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customXml/itemProps6.xml" ContentType="application/vnd.openxmlformats-officedocument.customXmlProperties+xml"/>
  <Override PartName="/customXml/itemProps7.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footer3.xml" ContentType="application/vnd.openxmlformats-officedocument.wordprocessingml.footer+xml"/>
  <Override PartName="/word/header3.xml" ContentType="application/vnd.openxmlformats-officedocument.wordprocessingml.header+xml"/>
  <Override PartName="/word/footer4.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tbl>
      <w:tblPr>
        <w:tblpPr w:leftFromText="187" w:rightFromText="187" w:vertAnchor="page" w:horzAnchor="margin" w:tblpXSpec="center" w:tblpY="5513"/>
        <w:tblW w:w="5395" w:type="pct"/>
        <w:tblLayout w:type="fixed"/>
        <w:tblCellMar>
          <w:top w:w="216" w:type="dxa"/>
          <w:left w:w="216" w:type="dxa"/>
          <w:bottom w:w="216" w:type="dxa"/>
          <w:right w:w="216" w:type="dxa"/>
        </w:tblCellMar>
        <w:tblLook w:val="04A0" w:firstRow="1" w:lastRow="0" w:firstColumn="1" w:lastColumn="0" w:noHBand="0" w:noVBand="1"/>
      </w:tblPr>
      <w:tblGrid>
        <w:gridCol w:w="5951"/>
        <w:gridCol w:w="4615"/>
      </w:tblGrid>
      <w:tr w:rsidR="00023FE7" w:rsidRPr="003410C7" w:rsidTr="00B909F2">
        <w:trPr>
          <w:trHeight w:val="4063"/>
        </w:trPr>
        <w:tc>
          <w:tcPr>
            <w:tcW w:w="5951" w:type="dxa"/>
            <w:tcBorders>
              <w:bottom w:val="single" w:sz="18" w:space="0" w:color="808080"/>
              <w:right w:val="single" w:sz="18" w:space="0" w:color="808080"/>
            </w:tcBorders>
            <w:vAlign w:val="center"/>
          </w:tcPr>
          <w:p w:rsidR="00023FE7" w:rsidRPr="00075CC1" w:rsidRDefault="00023FE7" w:rsidP="003410C7">
            <w:pPr>
              <w:pStyle w:val="Title"/>
              <w:rPr>
                <w:sz w:val="76"/>
                <w:szCs w:val="76"/>
              </w:rPr>
            </w:pPr>
            <w:bookmarkStart w:id="0" w:name="_Toc336337837"/>
            <w:bookmarkStart w:id="1" w:name="_Toc352234441"/>
            <w:bookmarkStart w:id="2" w:name="_GoBack"/>
            <w:bookmarkEnd w:id="2"/>
            <w:r w:rsidRPr="00075CC1">
              <w:rPr>
                <w:rFonts w:cs="Tahoma"/>
                <w:b w:val="0"/>
                <w:sz w:val="76"/>
                <w:szCs w:val="76"/>
              </w:rPr>
              <w:t>Microsoft</w:t>
            </w:r>
            <w:r w:rsidR="003410C7" w:rsidRPr="00075CC1">
              <w:rPr>
                <w:rFonts w:cs="Tahoma"/>
                <w:b w:val="0"/>
                <w:sz w:val="76"/>
                <w:szCs w:val="76"/>
                <w:vertAlign w:val="superscript"/>
              </w:rPr>
              <w:t>®</w:t>
            </w:r>
            <w:bookmarkEnd w:id="0"/>
            <w:bookmarkEnd w:id="1"/>
          </w:p>
          <w:p w:rsidR="00023FE7" w:rsidRPr="00075CC1" w:rsidRDefault="00023FE7" w:rsidP="003410C7">
            <w:pPr>
              <w:pStyle w:val="NoSpacing1"/>
              <w:ind w:left="990" w:right="929"/>
              <w:rPr>
                <w:rFonts w:ascii="Cambria" w:hAnsi="Cambria" w:cs="Calibri"/>
                <w:sz w:val="76"/>
                <w:szCs w:val="76"/>
              </w:rPr>
            </w:pPr>
            <w:r w:rsidRPr="00075CC1">
              <w:rPr>
                <w:rFonts w:ascii="Cambria" w:hAnsi="Cambria" w:cs="Tahoma"/>
                <w:sz w:val="76"/>
                <w:szCs w:val="76"/>
                <w:lang w:val="it-IT"/>
              </w:rPr>
              <w:t>Lista dei Prodotti</w:t>
            </w:r>
          </w:p>
        </w:tc>
        <w:tc>
          <w:tcPr>
            <w:tcW w:w="4615" w:type="dxa"/>
            <w:tcBorders>
              <w:left w:val="single" w:sz="18" w:space="0" w:color="808080"/>
              <w:bottom w:val="single" w:sz="18" w:space="0" w:color="808080"/>
            </w:tcBorders>
            <w:vAlign w:val="center"/>
          </w:tcPr>
          <w:p w:rsidR="003410C7" w:rsidRPr="003410C7" w:rsidRDefault="003410C7" w:rsidP="003410C7">
            <w:pPr>
              <w:pStyle w:val="NoSpacing1"/>
              <w:ind w:right="-1797"/>
              <w:rPr>
                <w:rFonts w:ascii="Tahoma" w:hAnsi="Tahoma" w:cs="Tahoma"/>
                <w:sz w:val="72"/>
                <w:szCs w:val="72"/>
              </w:rPr>
            </w:pPr>
          </w:p>
          <w:p w:rsidR="00023FE7" w:rsidRPr="00446EC1" w:rsidRDefault="00B65F35">
            <w:pPr>
              <w:pStyle w:val="NoSpacing1"/>
              <w:ind w:right="-1797"/>
              <w:rPr>
                <w:rFonts w:ascii="Tahoma" w:hAnsi="Tahoma" w:cs="Tahoma"/>
                <w:sz w:val="72"/>
                <w:szCs w:val="72"/>
              </w:rPr>
            </w:pPr>
            <w:r w:rsidRPr="003410C7">
              <w:rPr>
                <w:rFonts w:ascii="Tahoma" w:hAnsi="Tahoma" w:cs="Tahoma"/>
                <w:sz w:val="72"/>
                <w:szCs w:val="72"/>
              </w:rPr>
              <w:t xml:space="preserve">1 </w:t>
            </w:r>
            <w:r w:rsidR="003410C7" w:rsidRPr="003410C7">
              <w:rPr>
                <w:rFonts w:ascii="Tahoma" w:hAnsi="Tahoma" w:cs="Tahoma"/>
                <w:sz w:val="72"/>
                <w:szCs w:val="72"/>
              </w:rPr>
              <w:t>A</w:t>
            </w:r>
            <w:r w:rsidRPr="003410C7">
              <w:rPr>
                <w:rFonts w:ascii="Tahoma" w:hAnsi="Tahoma" w:cs="Tahoma"/>
                <w:sz w:val="72"/>
                <w:szCs w:val="72"/>
              </w:rPr>
              <w:t>prile</w:t>
            </w:r>
          </w:p>
          <w:p w:rsidR="00023FE7" w:rsidRPr="003410C7" w:rsidRDefault="0077167D" w:rsidP="00A04495">
            <w:pPr>
              <w:pStyle w:val="NoSpacing1"/>
              <w:ind w:rightChars="-103" w:right="-185"/>
              <w:rPr>
                <w:rFonts w:ascii="Tahoma" w:hAnsi="Tahoma" w:cs="Tahoma"/>
                <w:color w:val="4F81BD"/>
                <w:sz w:val="200"/>
                <w:szCs w:val="200"/>
              </w:rPr>
            </w:pPr>
            <w:r w:rsidRPr="003410C7">
              <w:rPr>
                <w:rFonts w:ascii="Tahoma" w:hAnsi="Tahoma" w:cs="Tahoma"/>
                <w:color w:val="4F81BD"/>
                <w:sz w:val="180"/>
                <w:szCs w:val="200"/>
              </w:rPr>
              <w:t>2013</w:t>
            </w:r>
          </w:p>
        </w:tc>
      </w:tr>
      <w:tr w:rsidR="00023FE7" w:rsidRPr="00B60E3C" w:rsidTr="00B909F2">
        <w:trPr>
          <w:trHeight w:val="412"/>
        </w:trPr>
        <w:tc>
          <w:tcPr>
            <w:tcW w:w="5951" w:type="dxa"/>
            <w:tcBorders>
              <w:top w:val="single" w:sz="18" w:space="0" w:color="808080"/>
            </w:tcBorders>
            <w:vAlign w:val="center"/>
          </w:tcPr>
          <w:p w:rsidR="00023FE7" w:rsidRPr="00451078" w:rsidRDefault="00023FE7" w:rsidP="003410C7">
            <w:pPr>
              <w:pStyle w:val="NoSpacing1"/>
              <w:ind w:leftChars="122" w:left="220" w:firstLine="2"/>
              <w:rPr>
                <w:rFonts w:ascii="Tahoma" w:hAnsi="Tahoma" w:cs="Tahoma"/>
                <w:sz w:val="22"/>
                <w:szCs w:val="22"/>
                <w:lang w:val="it-IT"/>
              </w:rPr>
            </w:pPr>
            <w:r w:rsidRPr="00451078">
              <w:rPr>
                <w:rFonts w:ascii="Tahoma" w:hAnsi="Tahoma" w:cs="Tahoma"/>
                <w:szCs w:val="22"/>
                <w:lang w:val="it-IT"/>
              </w:rPr>
              <w:t>La Lista dei Prodotti Microsoft fornisce mensilmente informazioni sul software Microsoft e sui Servizi Online</w:t>
            </w:r>
            <w:r w:rsidR="003410C7" w:rsidRPr="00451078">
              <w:rPr>
                <w:rFonts w:ascii="Tahoma" w:hAnsi="Tahoma" w:cs="Tahoma"/>
                <w:szCs w:val="22"/>
                <w:lang w:val="it-IT"/>
              </w:rPr>
              <w:t> </w:t>
            </w:r>
            <w:r w:rsidRPr="00451078">
              <w:rPr>
                <w:rFonts w:ascii="Tahoma" w:hAnsi="Tahoma" w:cs="Tahoma"/>
                <w:szCs w:val="22"/>
                <w:lang w:val="it-IT"/>
              </w:rPr>
              <w:t>concessi in licenza tramite i programmi Microsoft</w:t>
            </w:r>
            <w:r w:rsidR="003410C7" w:rsidRPr="00451078">
              <w:rPr>
                <w:rFonts w:ascii="Tahoma" w:hAnsi="Tahoma" w:cs="Tahoma"/>
                <w:szCs w:val="22"/>
                <w:lang w:val="it-IT"/>
              </w:rPr>
              <w:t> </w:t>
            </w:r>
            <w:r w:rsidRPr="00451078">
              <w:rPr>
                <w:rFonts w:ascii="Tahoma" w:hAnsi="Tahoma" w:cs="Tahoma"/>
                <w:szCs w:val="22"/>
                <w:lang w:val="it-IT"/>
              </w:rPr>
              <w:t>Volume</w:t>
            </w:r>
            <w:r w:rsidR="003410C7" w:rsidRPr="00451078">
              <w:rPr>
                <w:rFonts w:ascii="Tahoma" w:hAnsi="Tahoma" w:cs="Tahoma"/>
                <w:szCs w:val="22"/>
                <w:lang w:val="it-IT"/>
              </w:rPr>
              <w:t> </w:t>
            </w:r>
            <w:r w:rsidRPr="00451078">
              <w:rPr>
                <w:rFonts w:ascii="Tahoma" w:hAnsi="Tahoma" w:cs="Tahoma"/>
                <w:szCs w:val="22"/>
                <w:lang w:val="it-IT"/>
              </w:rPr>
              <w:t>Licensing.</w:t>
            </w:r>
          </w:p>
        </w:tc>
        <w:tc>
          <w:tcPr>
            <w:tcW w:w="4615" w:type="dxa"/>
            <w:tcBorders>
              <w:top w:val="single" w:sz="18" w:space="0" w:color="808080"/>
            </w:tcBorders>
            <w:vAlign w:val="center"/>
          </w:tcPr>
          <w:p w:rsidR="00023FE7" w:rsidRPr="00451078" w:rsidRDefault="00023FE7" w:rsidP="00A04495">
            <w:pPr>
              <w:pStyle w:val="NoSpacing1"/>
              <w:ind w:rightChars="-15" w:right="-27"/>
              <w:rPr>
                <w:rFonts w:ascii="Tahoma" w:hAnsi="Tahoma" w:cs="Tahoma"/>
                <w:sz w:val="32"/>
                <w:szCs w:val="32"/>
                <w:lang w:val="it-IT"/>
              </w:rPr>
            </w:pPr>
          </w:p>
        </w:tc>
      </w:tr>
    </w:tbl>
    <w:p w:rsidR="00023FE7" w:rsidRPr="00451078" w:rsidRDefault="00023FE7" w:rsidP="000C2842">
      <w:pPr>
        <w:pStyle w:val="Heading1"/>
        <w:rPr>
          <w:lang w:val="it-IT"/>
        </w:rPr>
        <w:sectPr w:rsidR="00023FE7" w:rsidRPr="00451078" w:rsidSect="00C530A9">
          <w:headerReference w:type="default" r:id="rId15"/>
          <w:footerReference w:type="default" r:id="rId16"/>
          <w:headerReference w:type="first" r:id="rId17"/>
          <w:footerReference w:type="first" r:id="rId18"/>
          <w:endnotePr>
            <w:numFmt w:val="decimal"/>
          </w:endnotePr>
          <w:pgSz w:w="12240" w:h="15840" w:code="1"/>
          <w:pgMar w:top="1440" w:right="1440" w:bottom="1440" w:left="1440" w:header="576" w:footer="432" w:gutter="0"/>
          <w:cols w:space="720"/>
          <w:titlePg/>
          <w:docGrid w:linePitch="360"/>
        </w:sectPr>
      </w:pPr>
    </w:p>
    <w:p w:rsidR="00023FE7" w:rsidRPr="00451078" w:rsidRDefault="00023FE7" w:rsidP="000C2842">
      <w:pPr>
        <w:pStyle w:val="Heading1"/>
        <w:rPr>
          <w:lang w:val="it-IT"/>
        </w:rPr>
      </w:pPr>
      <w:bookmarkStart w:id="3" w:name="_Toc336337838"/>
      <w:bookmarkStart w:id="4" w:name="_Toc352234442"/>
      <w:r w:rsidRPr="00451078">
        <w:rPr>
          <w:lang w:val="it-IT"/>
        </w:rPr>
        <w:lastRenderedPageBreak/>
        <w:t>INFORMAZIONI SUL PRESENTE Documento</w:t>
      </w:r>
      <w:bookmarkEnd w:id="3"/>
      <w:bookmarkEnd w:id="4"/>
    </w:p>
    <w:p w:rsidR="00023FE7" w:rsidRPr="00451078" w:rsidRDefault="00023FE7">
      <w:pPr>
        <w:pStyle w:val="Body"/>
        <w:ind w:right="720"/>
        <w:rPr>
          <w:lang w:val="it-IT"/>
        </w:rPr>
      </w:pPr>
    </w:p>
    <w:p w:rsidR="00023FE7" w:rsidRPr="00451078" w:rsidRDefault="00023FE7">
      <w:pPr>
        <w:pStyle w:val="Body"/>
        <w:ind w:right="720"/>
        <w:rPr>
          <w:lang w:val="it-IT"/>
        </w:rPr>
      </w:pPr>
      <w:r w:rsidRPr="00451078">
        <w:rPr>
          <w:rFonts w:ascii="Tahoma" w:hAnsi="Tahoma" w:cs="Tahoma"/>
          <w:sz w:val="18"/>
          <w:szCs w:val="18"/>
          <w:lang w:val="it-IT"/>
        </w:rPr>
        <w:t>La Lista dei Prodotti Microsoft fornisce mensilmente informazioni sul software Microsoft e sui Servizi Online concessi in licenza tramite i programmi Microsoft Volume Licensing. Le informazioni riportate nella Lista dei Prodotti Microsoft includono:</w:t>
      </w:r>
    </w:p>
    <w:p w:rsidR="00023FE7" w:rsidRPr="00451078" w:rsidRDefault="00023FE7">
      <w:pPr>
        <w:pStyle w:val="Body"/>
        <w:ind w:right="720"/>
        <w:rPr>
          <w:lang w:val="it-IT"/>
        </w:rPr>
      </w:pPr>
    </w:p>
    <w:p w:rsidR="00023FE7" w:rsidRPr="00451078" w:rsidRDefault="00023FE7">
      <w:pPr>
        <w:pStyle w:val="BulletedList"/>
        <w:ind w:right="720"/>
        <w:rPr>
          <w:lang w:val="it-IT"/>
        </w:rPr>
      </w:pPr>
      <w:r w:rsidRPr="00451078">
        <w:rPr>
          <w:rFonts w:ascii="Tahoma" w:hAnsi="Tahoma" w:cs="Tahoma"/>
          <w:sz w:val="18"/>
          <w:szCs w:val="18"/>
          <w:lang w:val="it-IT"/>
        </w:rPr>
        <w:t>Disponibilità di software e prodotti nuovi offerti tramite Microsoft Volume Licensing</w:t>
      </w:r>
    </w:p>
    <w:p w:rsidR="00023FE7" w:rsidRPr="00451078" w:rsidRDefault="00023FE7" w:rsidP="003410C7">
      <w:pPr>
        <w:pStyle w:val="BulletedList"/>
        <w:numPr>
          <w:ilvl w:val="0"/>
          <w:numId w:val="16"/>
        </w:numPr>
        <w:rPr>
          <w:lang w:val="it-IT"/>
        </w:rPr>
      </w:pPr>
      <w:r w:rsidRPr="00451078">
        <w:rPr>
          <w:rFonts w:ascii="Tahoma" w:hAnsi="Tahoma" w:cs="Tahoma"/>
          <w:sz w:val="18"/>
          <w:szCs w:val="18"/>
          <w:lang w:val="it-IT"/>
        </w:rPr>
        <w:t>Interruzione della fornitura di software e prodotti offerti tramite Microsoft Volume Licensing</w:t>
      </w:r>
    </w:p>
    <w:p w:rsidR="00023FE7" w:rsidRPr="00451078" w:rsidRDefault="00023FE7" w:rsidP="00024C3C">
      <w:pPr>
        <w:pStyle w:val="BulletedList"/>
        <w:numPr>
          <w:ilvl w:val="0"/>
          <w:numId w:val="16"/>
        </w:numPr>
        <w:ind w:right="720"/>
        <w:rPr>
          <w:lang w:val="it-IT"/>
        </w:rPr>
      </w:pPr>
      <w:r w:rsidRPr="00451078">
        <w:rPr>
          <w:rFonts w:ascii="Tahoma" w:hAnsi="Tahoma" w:cs="Tahoma"/>
          <w:sz w:val="18"/>
          <w:szCs w:val="18"/>
          <w:lang w:val="it-IT"/>
        </w:rPr>
        <w:t xml:space="preserve">Classificazione di software e prodotti relativa al pool di prodotti con Contratti Multilicenza Microsoft (Volume Licensing) </w:t>
      </w:r>
    </w:p>
    <w:p w:rsidR="00023FE7" w:rsidRPr="00451078" w:rsidRDefault="00023FE7" w:rsidP="00024C3C">
      <w:pPr>
        <w:pStyle w:val="BulletedList"/>
        <w:numPr>
          <w:ilvl w:val="0"/>
          <w:numId w:val="16"/>
        </w:numPr>
        <w:ind w:right="720"/>
        <w:rPr>
          <w:lang w:val="it-IT"/>
        </w:rPr>
      </w:pPr>
      <w:r w:rsidRPr="00451078">
        <w:rPr>
          <w:rFonts w:ascii="Tahoma" w:hAnsi="Tahoma" w:cs="Tahoma"/>
          <w:sz w:val="18"/>
          <w:szCs w:val="18"/>
          <w:lang w:val="it-IT"/>
        </w:rPr>
        <w:t>Valore di punti per la tecnologia di ciascun software e prodotto</w:t>
      </w:r>
    </w:p>
    <w:p w:rsidR="00023FE7" w:rsidRPr="003410C7" w:rsidRDefault="00023FE7" w:rsidP="00024C3C">
      <w:pPr>
        <w:pStyle w:val="BulletedList"/>
        <w:numPr>
          <w:ilvl w:val="0"/>
          <w:numId w:val="16"/>
        </w:numPr>
        <w:ind w:right="720"/>
      </w:pPr>
      <w:r w:rsidRPr="003410C7">
        <w:rPr>
          <w:rFonts w:ascii="Tahoma" w:hAnsi="Tahoma" w:cs="Tahoma"/>
          <w:sz w:val="18"/>
          <w:szCs w:val="18"/>
        </w:rPr>
        <w:t>Promozioni disponibili</w:t>
      </w:r>
    </w:p>
    <w:p w:rsidR="00023FE7" w:rsidRPr="00451078" w:rsidRDefault="00023FE7" w:rsidP="00E904F3">
      <w:pPr>
        <w:pStyle w:val="BulletedList"/>
        <w:numPr>
          <w:ilvl w:val="0"/>
          <w:numId w:val="16"/>
        </w:numPr>
        <w:rPr>
          <w:lang w:val="it-IT"/>
        </w:rPr>
      </w:pPr>
      <w:r w:rsidRPr="00451078">
        <w:rPr>
          <w:rFonts w:ascii="Tahoma" w:hAnsi="Tahoma" w:cs="Tahoma"/>
          <w:sz w:val="18"/>
          <w:szCs w:val="18"/>
          <w:lang w:val="it-IT"/>
        </w:rPr>
        <w:t>Percorsi di migrazione da una versione di software a un</w:t>
      </w:r>
      <w:r w:rsidR="0073727D">
        <w:rPr>
          <w:rFonts w:ascii="Tahoma" w:hAnsi="Tahoma" w:cs="Tahoma"/>
          <w:sz w:val="18"/>
          <w:szCs w:val="18"/>
          <w:lang w:val="it-IT"/>
        </w:rPr>
        <w:t>’</w:t>
      </w:r>
      <w:r w:rsidRPr="00451078">
        <w:rPr>
          <w:rFonts w:ascii="Tahoma" w:hAnsi="Tahoma" w:cs="Tahoma"/>
          <w:sz w:val="18"/>
          <w:szCs w:val="18"/>
          <w:lang w:val="it-IT"/>
        </w:rPr>
        <w:t>altra versione dello stesso software</w:t>
      </w:r>
    </w:p>
    <w:p w:rsidR="00023FE7" w:rsidRPr="00451078" w:rsidRDefault="00023FE7" w:rsidP="00024C3C">
      <w:pPr>
        <w:pStyle w:val="BulletedList"/>
        <w:numPr>
          <w:ilvl w:val="0"/>
          <w:numId w:val="16"/>
        </w:numPr>
        <w:ind w:right="720"/>
        <w:rPr>
          <w:lang w:val="it-IT"/>
        </w:rPr>
      </w:pPr>
      <w:r w:rsidRPr="00451078">
        <w:rPr>
          <w:rFonts w:ascii="Tahoma" w:hAnsi="Tahoma" w:cs="Tahoma"/>
          <w:sz w:val="18"/>
          <w:szCs w:val="18"/>
          <w:lang w:val="it-IT"/>
        </w:rPr>
        <w:t>Percorsi di migrazione da un software interrotto a nuove versioni di software</w:t>
      </w:r>
    </w:p>
    <w:p w:rsidR="00023FE7" w:rsidRPr="003410C7" w:rsidRDefault="00023FE7" w:rsidP="00024C3C">
      <w:pPr>
        <w:pStyle w:val="BulletedList"/>
        <w:numPr>
          <w:ilvl w:val="0"/>
          <w:numId w:val="16"/>
        </w:numPr>
        <w:ind w:right="720"/>
      </w:pPr>
      <w:r w:rsidRPr="003410C7">
        <w:rPr>
          <w:rFonts w:ascii="Tahoma" w:hAnsi="Tahoma" w:cs="Tahoma"/>
          <w:sz w:val="18"/>
          <w:szCs w:val="18"/>
        </w:rPr>
        <w:t>Vantaggi di Software Assurance</w:t>
      </w:r>
    </w:p>
    <w:p w:rsidR="00023FE7" w:rsidRPr="00451078" w:rsidRDefault="00023FE7" w:rsidP="00024C3C">
      <w:pPr>
        <w:pStyle w:val="BulletedList"/>
        <w:numPr>
          <w:ilvl w:val="0"/>
          <w:numId w:val="16"/>
        </w:numPr>
        <w:ind w:right="720"/>
        <w:rPr>
          <w:lang w:val="it-IT"/>
        </w:rPr>
      </w:pPr>
      <w:r w:rsidRPr="00451078">
        <w:rPr>
          <w:rFonts w:ascii="Tahoma" w:hAnsi="Tahoma" w:cs="Tahoma"/>
          <w:sz w:val="18"/>
          <w:szCs w:val="18"/>
          <w:lang w:val="it-IT"/>
        </w:rPr>
        <w:t>Altre Note e informazioni specifiche del software e dei prodotti</w:t>
      </w:r>
    </w:p>
    <w:p w:rsidR="00023FE7" w:rsidRPr="00451078" w:rsidRDefault="00023FE7">
      <w:pPr>
        <w:ind w:right="720"/>
        <w:rPr>
          <w:lang w:val="it-IT"/>
        </w:rPr>
      </w:pPr>
    </w:p>
    <w:p w:rsidR="00023FE7" w:rsidRPr="00451078" w:rsidRDefault="00023FE7">
      <w:pPr>
        <w:ind w:right="720"/>
        <w:rPr>
          <w:lang w:val="it-IT"/>
        </w:rPr>
      </w:pPr>
    </w:p>
    <w:p w:rsidR="00023FE7" w:rsidRPr="00451078" w:rsidRDefault="00023FE7" w:rsidP="000C2842">
      <w:pPr>
        <w:pStyle w:val="Heading1"/>
        <w:rPr>
          <w:lang w:val="it-IT"/>
        </w:rPr>
      </w:pPr>
      <w:bookmarkStart w:id="5" w:name="_Toc336337839"/>
      <w:bookmarkStart w:id="6" w:name="_Toc352234443"/>
      <w:r w:rsidRPr="00451078">
        <w:rPr>
          <w:lang w:val="it-IT"/>
        </w:rPr>
        <w:t>MODALITà DI Utilizzo deLLA LISTA DEI Prodotti Microsoft</w:t>
      </w:r>
      <w:bookmarkEnd w:id="5"/>
      <w:bookmarkEnd w:id="6"/>
    </w:p>
    <w:p w:rsidR="00023FE7" w:rsidRPr="00451078" w:rsidRDefault="00023FE7">
      <w:pPr>
        <w:pStyle w:val="Body"/>
        <w:ind w:right="-1890"/>
        <w:rPr>
          <w:lang w:val="it-IT"/>
        </w:rPr>
      </w:pPr>
    </w:p>
    <w:p w:rsidR="00023FE7" w:rsidRPr="00451078" w:rsidRDefault="00023FE7" w:rsidP="001A3EC5">
      <w:pPr>
        <w:pStyle w:val="Body"/>
        <w:rPr>
          <w:lang w:val="it-IT"/>
        </w:rPr>
      </w:pPr>
      <w:r w:rsidRPr="00451078">
        <w:rPr>
          <w:rFonts w:ascii="Tahoma" w:hAnsi="Tahoma" w:cs="Tahoma"/>
          <w:b/>
          <w:lang w:val="it-IT"/>
        </w:rPr>
        <w:t>Si consiglia di familiarizzare con i codici della tabella riportati dopo i passaggi che</w:t>
      </w:r>
      <w:r w:rsidR="001A3EC5" w:rsidRPr="00451078">
        <w:rPr>
          <w:rFonts w:ascii="Tahoma" w:hAnsi="Tahoma" w:cs="Tahoma"/>
          <w:b/>
          <w:lang w:val="it-IT"/>
        </w:rPr>
        <w:t> </w:t>
      </w:r>
      <w:r w:rsidRPr="00451078">
        <w:rPr>
          <w:rFonts w:ascii="Tahoma" w:hAnsi="Tahoma" w:cs="Tahoma"/>
          <w:b/>
          <w:lang w:val="it-IT"/>
        </w:rPr>
        <w:t>seguono.</w:t>
      </w:r>
    </w:p>
    <w:p w:rsidR="00023FE7" w:rsidRPr="00451078" w:rsidRDefault="00023FE7">
      <w:pPr>
        <w:pStyle w:val="Body"/>
        <w:ind w:right="-1890"/>
        <w:rPr>
          <w:lang w:val="it-IT"/>
        </w:rPr>
      </w:pPr>
    </w:p>
    <w:p w:rsidR="00023FE7" w:rsidRPr="00451078" w:rsidRDefault="00023FE7">
      <w:pPr>
        <w:pStyle w:val="Body"/>
        <w:ind w:right="-1890"/>
        <w:rPr>
          <w:lang w:val="it-IT"/>
        </w:rPr>
      </w:pPr>
      <w:r w:rsidRPr="00451078">
        <w:rPr>
          <w:rStyle w:val="BodyChar"/>
          <w:rFonts w:ascii="Tahoma" w:hAnsi="Tahoma" w:cs="Tahoma"/>
          <w:b/>
          <w:sz w:val="18"/>
          <w:szCs w:val="18"/>
          <w:lang w:val="it-IT"/>
        </w:rPr>
        <w:t>Punto 1:</w:t>
      </w:r>
      <w:r w:rsidR="001A3EC5" w:rsidRPr="00451078">
        <w:rPr>
          <w:rStyle w:val="BodyChar"/>
          <w:rFonts w:ascii="Tahoma" w:hAnsi="Tahoma" w:cs="Tahoma"/>
          <w:b/>
          <w:sz w:val="18"/>
          <w:szCs w:val="18"/>
          <w:lang w:val="it-IT"/>
        </w:rPr>
        <w:t xml:space="preserve"> </w:t>
      </w:r>
      <w:r w:rsidRPr="00451078">
        <w:rPr>
          <w:rFonts w:ascii="Tahoma" w:hAnsi="Tahoma" w:cs="Tahoma"/>
          <w:sz w:val="18"/>
          <w:szCs w:val="18"/>
          <w:lang w:val="it-IT"/>
        </w:rPr>
        <w:t xml:space="preserve">individuare nella tabella il software che interessa. </w:t>
      </w:r>
    </w:p>
    <w:p w:rsidR="00023FE7" w:rsidRPr="00451078" w:rsidRDefault="00023FE7">
      <w:pPr>
        <w:pStyle w:val="Body"/>
        <w:ind w:right="-1890"/>
        <w:rPr>
          <w:lang w:val="it-IT"/>
        </w:rPr>
      </w:pPr>
    </w:p>
    <w:p w:rsidR="00023FE7" w:rsidRPr="003410C7" w:rsidRDefault="002A31E3" w:rsidP="002A31E3">
      <w:pPr>
        <w:pStyle w:val="NumberedSteps"/>
        <w:spacing w:before="0" w:after="0"/>
        <w:ind w:left="-187" w:right="720"/>
      </w:pPr>
      <w:r w:rsidRPr="002243AA">
        <w:rPr>
          <w:rFonts w:ascii="Tahoma" w:hAnsi="Tahoma" w:cs="Tahoma"/>
          <w:noProof/>
          <w:sz w:val="18"/>
          <w:szCs w:val="18"/>
        </w:rPr>
        <w:drawing>
          <wp:inline distT="0" distB="0" distL="0" distR="0" wp14:anchorId="516B5FDB" wp14:editId="1F493C09">
            <wp:extent cx="5762625" cy="2515326"/>
            <wp:effectExtent l="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rotWithShape="1">
                    <a:blip r:embed="rId19"/>
                    <a:srcRect l="16346" t="31624" r="14263" b="27992"/>
                    <a:stretch/>
                  </pic:blipFill>
                  <pic:spPr bwMode="auto">
                    <a:xfrm>
                      <a:off x="0" y="0"/>
                      <a:ext cx="5778295" cy="2522166"/>
                    </a:xfrm>
                    <a:prstGeom prst="rect">
                      <a:avLst/>
                    </a:prstGeom>
                    <a:ln>
                      <a:noFill/>
                    </a:ln>
                    <a:extLst>
                      <a:ext uri="{53640926-AAD7-44D8-BBD7-CCE9431645EC}">
                        <a14:shadowObscured xmlns:a14="http://schemas.microsoft.com/office/drawing/2010/main"/>
                      </a:ext>
                    </a:extLst>
                  </pic:spPr>
                </pic:pic>
              </a:graphicData>
            </a:graphic>
          </wp:inline>
        </w:drawing>
      </w:r>
    </w:p>
    <w:p w:rsidR="00023FE7" w:rsidRPr="003410C7" w:rsidRDefault="00023FE7" w:rsidP="002A31E3">
      <w:pPr>
        <w:pStyle w:val="NumberedSteps"/>
        <w:spacing w:before="0" w:after="0"/>
        <w:ind w:right="720"/>
      </w:pPr>
    </w:p>
    <w:p w:rsidR="00023FE7" w:rsidRPr="00451078" w:rsidRDefault="00023FE7" w:rsidP="002A31E3">
      <w:pPr>
        <w:pStyle w:val="NumberedSteps"/>
        <w:spacing w:before="0"/>
        <w:ind w:right="720"/>
        <w:rPr>
          <w:lang w:val="it-IT"/>
        </w:rPr>
      </w:pPr>
      <w:r w:rsidRPr="00451078">
        <w:rPr>
          <w:rStyle w:val="BodyChar"/>
          <w:rFonts w:ascii="Tahoma" w:hAnsi="Tahoma" w:cs="Tahoma"/>
          <w:b/>
          <w:sz w:val="18"/>
          <w:szCs w:val="18"/>
          <w:lang w:val="it-IT"/>
        </w:rPr>
        <w:t>Punto 2:</w:t>
      </w:r>
      <w:r w:rsidR="001A3EC5" w:rsidRPr="00451078">
        <w:rPr>
          <w:rFonts w:ascii="Tahoma" w:hAnsi="Tahoma" w:cs="Tahoma"/>
          <w:sz w:val="18"/>
          <w:szCs w:val="18"/>
          <w:lang w:val="it-IT"/>
        </w:rPr>
        <w:t xml:space="preserve"> </w:t>
      </w:r>
      <w:r w:rsidRPr="00451078">
        <w:rPr>
          <w:rFonts w:ascii="Tahoma" w:hAnsi="Tahoma" w:cs="Tahoma"/>
          <w:sz w:val="18"/>
          <w:szCs w:val="18"/>
          <w:lang w:val="it-IT"/>
        </w:rPr>
        <w:t>esaminare le informazioni nelle colonne relative alle promozioni disponibili, ai vantaggi di</w:t>
      </w:r>
      <w:r w:rsidR="00FB25FF" w:rsidRPr="00451078">
        <w:rPr>
          <w:rFonts w:ascii="Tahoma" w:hAnsi="Tahoma" w:cs="Tahoma"/>
          <w:sz w:val="18"/>
          <w:szCs w:val="18"/>
          <w:lang w:val="it-IT"/>
        </w:rPr>
        <w:t> </w:t>
      </w:r>
      <w:r w:rsidRPr="00451078">
        <w:rPr>
          <w:rFonts w:ascii="Tahoma" w:hAnsi="Tahoma" w:cs="Tahoma"/>
          <w:sz w:val="18"/>
          <w:szCs w:val="18"/>
          <w:lang w:val="it-IT"/>
        </w:rPr>
        <w:t>Software Assurance, ai punti accumulati, alla disponibilità dei programmi, ecc.</w:t>
      </w:r>
    </w:p>
    <w:p w:rsidR="00023FE7" w:rsidRPr="00451078" w:rsidRDefault="00023FE7" w:rsidP="00E904F3">
      <w:pPr>
        <w:pStyle w:val="NumberedSteps"/>
        <w:ind w:right="720"/>
        <w:rPr>
          <w:lang w:val="it-IT"/>
        </w:rPr>
      </w:pPr>
      <w:r w:rsidRPr="00451078">
        <w:rPr>
          <w:rStyle w:val="BodyChar"/>
          <w:rFonts w:ascii="Tahoma" w:hAnsi="Tahoma" w:cs="Tahoma"/>
          <w:b/>
          <w:sz w:val="18"/>
          <w:szCs w:val="18"/>
          <w:lang w:val="it-IT"/>
        </w:rPr>
        <w:t>Punto 3:</w:t>
      </w:r>
      <w:r w:rsidR="001A3EC5" w:rsidRPr="00451078">
        <w:rPr>
          <w:rFonts w:ascii="Tahoma" w:hAnsi="Tahoma" w:cs="Tahoma"/>
          <w:sz w:val="18"/>
          <w:szCs w:val="18"/>
          <w:lang w:val="it-IT"/>
        </w:rPr>
        <w:t xml:space="preserve"> </w:t>
      </w:r>
      <w:r w:rsidRPr="00451078">
        <w:rPr>
          <w:rFonts w:ascii="Tahoma" w:hAnsi="Tahoma" w:cs="Tahoma"/>
          <w:sz w:val="18"/>
          <w:szCs w:val="18"/>
          <w:lang w:val="it-IT"/>
        </w:rPr>
        <w:t xml:space="preserve">alcuni software saranno anche corredati di note a piè di pagina riguardanti informazioni aggiuntive. Per leggerle, se applicabile, </w:t>
      </w:r>
      <w:r w:rsidR="001A3EC5" w:rsidRPr="00451078">
        <w:rPr>
          <w:rFonts w:ascii="Tahoma" w:hAnsi="Tahoma" w:cs="Tahoma"/>
          <w:sz w:val="18"/>
          <w:szCs w:val="18"/>
          <w:lang w:val="it-IT"/>
        </w:rPr>
        <w:t>“</w:t>
      </w:r>
      <w:r w:rsidRPr="00451078">
        <w:rPr>
          <w:rFonts w:ascii="Tahoma" w:hAnsi="Tahoma" w:cs="Tahoma"/>
          <w:sz w:val="18"/>
          <w:szCs w:val="18"/>
          <w:lang w:val="it-IT"/>
        </w:rPr>
        <w:t>fare clic</w:t>
      </w:r>
      <w:r w:rsidR="001A3EC5" w:rsidRPr="00451078">
        <w:rPr>
          <w:rFonts w:ascii="Tahoma" w:hAnsi="Tahoma" w:cs="Tahoma"/>
          <w:sz w:val="18"/>
          <w:szCs w:val="18"/>
          <w:lang w:val="it-IT"/>
        </w:rPr>
        <w:t>”</w:t>
      </w:r>
      <w:r w:rsidRPr="00451078">
        <w:rPr>
          <w:rFonts w:ascii="Tahoma" w:hAnsi="Tahoma" w:cs="Tahoma"/>
          <w:sz w:val="18"/>
          <w:szCs w:val="18"/>
          <w:lang w:val="it-IT"/>
        </w:rPr>
        <w:t xml:space="preserve"> (Ctrl + clic) sul numero della nota a piè di pagina, che indirizzerà immediatamente al testo corrispondente oppure fare riferimento alla nota</w:t>
      </w:r>
      <w:r w:rsidR="00BA6035" w:rsidRPr="00451078">
        <w:rPr>
          <w:rFonts w:ascii="Tahoma" w:hAnsi="Tahoma" w:cs="Tahoma"/>
          <w:sz w:val="18"/>
          <w:szCs w:val="18"/>
          <w:lang w:val="it-IT"/>
        </w:rPr>
        <w:t> </w:t>
      </w:r>
      <w:r w:rsidRPr="00451078">
        <w:rPr>
          <w:rFonts w:ascii="Tahoma" w:hAnsi="Tahoma" w:cs="Tahoma"/>
          <w:sz w:val="18"/>
          <w:szCs w:val="18"/>
          <w:lang w:val="it-IT"/>
        </w:rPr>
        <w:t>a</w:t>
      </w:r>
      <w:r w:rsidR="003410C7" w:rsidRPr="00451078">
        <w:rPr>
          <w:rFonts w:ascii="Tahoma" w:hAnsi="Tahoma" w:cs="Tahoma"/>
          <w:sz w:val="18"/>
          <w:szCs w:val="18"/>
          <w:lang w:val="it-IT"/>
        </w:rPr>
        <w:t> </w:t>
      </w:r>
      <w:r w:rsidRPr="00451078">
        <w:rPr>
          <w:rFonts w:ascii="Tahoma" w:hAnsi="Tahoma" w:cs="Tahoma"/>
          <w:sz w:val="18"/>
          <w:szCs w:val="18"/>
          <w:lang w:val="it-IT"/>
        </w:rPr>
        <w:t>piè di pagina identificata nelle pagine che seguono la tabella. Le informazioni aggiuntive includono i dettagli riguardanti le offerte di migrazione o i criteri di idoneità illustrati nell</w:t>
      </w:r>
      <w:r w:rsidR="0073727D">
        <w:rPr>
          <w:rFonts w:ascii="Tahoma" w:hAnsi="Tahoma" w:cs="Tahoma"/>
          <w:sz w:val="18"/>
          <w:szCs w:val="18"/>
          <w:lang w:val="it-IT"/>
        </w:rPr>
        <w:t>’</w:t>
      </w:r>
      <w:r w:rsidRPr="00451078">
        <w:rPr>
          <w:rFonts w:ascii="Tahoma" w:hAnsi="Tahoma" w:cs="Tahoma"/>
          <w:sz w:val="18"/>
          <w:szCs w:val="18"/>
          <w:lang w:val="it-IT"/>
        </w:rPr>
        <w:t>esempio che segue.</w:t>
      </w:r>
    </w:p>
    <w:p w:rsidR="00023FE7" w:rsidRPr="003410C7" w:rsidRDefault="002A31E3">
      <w:pPr>
        <w:pStyle w:val="NumberedSteps"/>
        <w:tabs>
          <w:tab w:val="left" w:pos="9360"/>
        </w:tabs>
        <w:ind w:right="720"/>
      </w:pPr>
      <w:r w:rsidRPr="007D381A">
        <w:rPr>
          <w:rFonts w:ascii="Tahoma" w:hAnsi="Tahoma" w:cs="Tahoma"/>
          <w:noProof/>
          <w:sz w:val="18"/>
          <w:szCs w:val="18"/>
        </w:rPr>
        <w:lastRenderedPageBreak/>
        <w:drawing>
          <wp:inline distT="0" distB="0" distL="0" distR="0" wp14:anchorId="40441612" wp14:editId="0F0F8549">
            <wp:extent cx="2028825" cy="2396550"/>
            <wp:effectExtent l="0" t="0" r="0" b="381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rotWithShape="1">
                    <a:blip r:embed="rId20"/>
                    <a:srcRect l="16025" t="31624" r="58334" b="27992"/>
                    <a:stretch/>
                  </pic:blipFill>
                  <pic:spPr bwMode="auto">
                    <a:xfrm>
                      <a:off x="0" y="0"/>
                      <a:ext cx="2028825" cy="2396550"/>
                    </a:xfrm>
                    <a:prstGeom prst="rect">
                      <a:avLst/>
                    </a:prstGeom>
                    <a:ln>
                      <a:noFill/>
                    </a:ln>
                    <a:extLst>
                      <a:ext uri="{53640926-AAD7-44D8-BBD7-CCE9431645EC}">
                        <a14:shadowObscured xmlns:a14="http://schemas.microsoft.com/office/drawing/2010/main"/>
                      </a:ext>
                    </a:extLst>
                  </pic:spPr>
                </pic:pic>
              </a:graphicData>
            </a:graphic>
          </wp:inline>
        </w:drawing>
      </w:r>
    </w:p>
    <w:p w:rsidR="0013361B" w:rsidRPr="003410C7" w:rsidRDefault="0013361B">
      <w:pPr>
        <w:pStyle w:val="NumberedSteps"/>
        <w:tabs>
          <w:tab w:val="left" w:pos="9360"/>
        </w:tabs>
        <w:ind w:right="720"/>
      </w:pPr>
    </w:p>
    <w:p w:rsidR="00023FE7" w:rsidRPr="003410C7" w:rsidRDefault="002A31E3">
      <w:pPr>
        <w:pStyle w:val="NumberedSteps"/>
        <w:ind w:right="720"/>
      </w:pPr>
      <w:r w:rsidRPr="003B6FF8">
        <w:rPr>
          <w:rFonts w:ascii="Tahoma" w:hAnsi="Tahoma" w:cs="Tahoma"/>
          <w:noProof/>
          <w:sz w:val="18"/>
          <w:szCs w:val="18"/>
          <w:bdr w:val="single" w:sz="8" w:space="0" w:color="auto"/>
        </w:rPr>
        <w:drawing>
          <wp:inline distT="0" distB="0" distL="0" distR="0" wp14:anchorId="6ECD22C6" wp14:editId="4EBC0409">
            <wp:extent cx="5238750" cy="1033780"/>
            <wp:effectExtent l="0" t="0" r="0" b="0"/>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rotWithShape="1">
                    <a:blip r:embed="rId21"/>
                    <a:srcRect l="19551" t="36752" r="20353" b="47436"/>
                    <a:stretch/>
                  </pic:blipFill>
                  <pic:spPr bwMode="auto">
                    <a:xfrm>
                      <a:off x="0" y="0"/>
                      <a:ext cx="5239682" cy="1033964"/>
                    </a:xfrm>
                    <a:prstGeom prst="rect">
                      <a:avLst/>
                    </a:prstGeom>
                    <a:solidFill>
                      <a:schemeClr val="tx1"/>
                    </a:solidFill>
                    <a:ln>
                      <a:noFill/>
                    </a:ln>
                    <a:extLst>
                      <a:ext uri="{53640926-AAD7-44D8-BBD7-CCE9431645EC}">
                        <a14:shadowObscured xmlns:a14="http://schemas.microsoft.com/office/drawing/2010/main"/>
                      </a:ext>
                    </a:extLst>
                  </pic:spPr>
                </pic:pic>
              </a:graphicData>
            </a:graphic>
          </wp:inline>
        </w:drawing>
      </w:r>
    </w:p>
    <w:p w:rsidR="0013361B" w:rsidRPr="003410C7" w:rsidRDefault="0013361B">
      <w:pPr>
        <w:pStyle w:val="NumberedSteps"/>
        <w:ind w:right="720"/>
      </w:pPr>
    </w:p>
    <w:p w:rsidR="00023FE7" w:rsidRPr="00451078" w:rsidRDefault="00023FE7">
      <w:pPr>
        <w:pStyle w:val="NumberedSteps"/>
        <w:ind w:right="720"/>
        <w:rPr>
          <w:lang w:val="it-IT"/>
        </w:rPr>
      </w:pPr>
      <w:r w:rsidRPr="00451078">
        <w:rPr>
          <w:rStyle w:val="BodyChar"/>
          <w:rFonts w:ascii="Tahoma" w:hAnsi="Tahoma" w:cs="Tahoma"/>
          <w:b/>
          <w:sz w:val="18"/>
          <w:szCs w:val="18"/>
          <w:lang w:val="it-IT"/>
        </w:rPr>
        <w:t>Punto 4:</w:t>
      </w:r>
      <w:r w:rsidR="001A3EC5" w:rsidRPr="00451078">
        <w:rPr>
          <w:rStyle w:val="BodyChar"/>
          <w:rFonts w:ascii="Tahoma" w:hAnsi="Tahoma" w:cs="Tahoma"/>
          <w:b/>
          <w:sz w:val="18"/>
          <w:szCs w:val="18"/>
          <w:lang w:val="it-IT"/>
        </w:rPr>
        <w:t xml:space="preserve"> </w:t>
      </w:r>
      <w:r w:rsidRPr="00451078">
        <w:rPr>
          <w:rFonts w:ascii="Tahoma" w:hAnsi="Tahoma" w:cs="Tahoma"/>
          <w:sz w:val="18"/>
          <w:szCs w:val="18"/>
          <w:lang w:val="it-IT"/>
        </w:rPr>
        <w:t>per ulteriori informazioni sui vantaggi di Software Assurance e sulle modalità di acquisto e di rinnovo di Software Assurance, vedere le Appendici 5 e 6.</w:t>
      </w:r>
    </w:p>
    <w:p w:rsidR="00023FE7" w:rsidRPr="00451078" w:rsidRDefault="00023FE7" w:rsidP="00E904F3">
      <w:pPr>
        <w:pStyle w:val="Body"/>
        <w:ind w:right="720"/>
        <w:rPr>
          <w:lang w:val="it-IT"/>
        </w:rPr>
      </w:pPr>
      <w:r w:rsidRPr="00451078">
        <w:rPr>
          <w:rFonts w:ascii="Tahoma" w:hAnsi="Tahoma" w:cs="Tahoma"/>
          <w:b/>
          <w:sz w:val="18"/>
          <w:szCs w:val="18"/>
          <w:lang w:val="it-IT"/>
        </w:rPr>
        <w:t>Nota:</w:t>
      </w:r>
      <w:r w:rsidR="001A3EC5" w:rsidRPr="00451078">
        <w:rPr>
          <w:rFonts w:ascii="Tahoma" w:hAnsi="Tahoma" w:cs="Tahoma"/>
          <w:sz w:val="18"/>
          <w:szCs w:val="18"/>
          <w:lang w:val="it-IT"/>
        </w:rPr>
        <w:t xml:space="preserve"> </w:t>
      </w:r>
      <w:r w:rsidRPr="00451078">
        <w:rPr>
          <w:rFonts w:ascii="Tahoma" w:hAnsi="Tahoma" w:cs="Tahoma"/>
          <w:sz w:val="18"/>
          <w:szCs w:val="18"/>
          <w:lang w:val="it-IT"/>
        </w:rPr>
        <w:t>la presente Lista dei Prodotti identifica, in base al programma, il software che è disponibile e</w:t>
      </w:r>
      <w:r w:rsidR="00446EC1" w:rsidRPr="00451078">
        <w:rPr>
          <w:rFonts w:ascii="Tahoma" w:hAnsi="Tahoma" w:cs="Tahoma"/>
          <w:sz w:val="18"/>
          <w:szCs w:val="18"/>
          <w:lang w:val="it-IT"/>
        </w:rPr>
        <w:t> </w:t>
      </w:r>
      <w:r w:rsidRPr="00451078">
        <w:rPr>
          <w:rFonts w:ascii="Tahoma" w:hAnsi="Tahoma" w:cs="Tahoma"/>
          <w:sz w:val="18"/>
          <w:szCs w:val="18"/>
          <w:lang w:val="it-IT"/>
        </w:rPr>
        <w:t>le informazioni specifiche riguardanti l</w:t>
      </w:r>
      <w:r w:rsidR="0073727D">
        <w:rPr>
          <w:rFonts w:ascii="Tahoma" w:hAnsi="Tahoma" w:cs="Tahoma"/>
          <w:sz w:val="18"/>
          <w:szCs w:val="18"/>
          <w:lang w:val="it-IT"/>
        </w:rPr>
        <w:t>’</w:t>
      </w:r>
      <w:r w:rsidRPr="00451078">
        <w:rPr>
          <w:rFonts w:ascii="Tahoma" w:hAnsi="Tahoma" w:cs="Tahoma"/>
          <w:sz w:val="18"/>
          <w:szCs w:val="18"/>
          <w:lang w:val="it-IT"/>
        </w:rPr>
        <w:t>acquisto di Licenze per tale software. È incorporato nel contratto Microsoft Volume Licensing. La disponibilità del software può variare in base al paese. Le</w:t>
      </w:r>
      <w:r w:rsidR="00BA6035" w:rsidRPr="00451078">
        <w:rPr>
          <w:rFonts w:ascii="Tahoma" w:hAnsi="Tahoma" w:cs="Tahoma"/>
          <w:sz w:val="18"/>
          <w:szCs w:val="18"/>
          <w:lang w:val="it-IT"/>
        </w:rPr>
        <w:t> </w:t>
      </w:r>
      <w:r w:rsidRPr="00451078">
        <w:rPr>
          <w:rFonts w:ascii="Tahoma" w:hAnsi="Tahoma" w:cs="Tahoma"/>
          <w:sz w:val="18"/>
          <w:szCs w:val="18"/>
          <w:lang w:val="it-IT"/>
        </w:rPr>
        <w:t>società dovranno contattare il loro rivenditore o l</w:t>
      </w:r>
      <w:r w:rsidR="0073727D">
        <w:rPr>
          <w:rFonts w:ascii="Tahoma" w:hAnsi="Tahoma" w:cs="Tahoma"/>
          <w:sz w:val="18"/>
          <w:szCs w:val="18"/>
          <w:lang w:val="it-IT"/>
        </w:rPr>
        <w:t>’</w:t>
      </w:r>
      <w:r w:rsidRPr="00451078">
        <w:rPr>
          <w:rFonts w:ascii="Tahoma" w:hAnsi="Tahoma" w:cs="Tahoma"/>
          <w:sz w:val="18"/>
          <w:szCs w:val="18"/>
          <w:lang w:val="it-IT"/>
        </w:rPr>
        <w:t>Account Manager designato da Microsoft per informazioni relative alla disponibilità di un determinato software in base al paese.</w:t>
      </w:r>
    </w:p>
    <w:p w:rsidR="00023FE7" w:rsidRPr="00451078" w:rsidRDefault="00023FE7">
      <w:pPr>
        <w:pStyle w:val="Body"/>
        <w:ind w:right="720"/>
        <w:rPr>
          <w:lang w:val="it-IT"/>
        </w:rPr>
      </w:pPr>
    </w:p>
    <w:p w:rsidR="00023FE7" w:rsidRPr="00372904" w:rsidRDefault="00023FE7" w:rsidP="00E904F3">
      <w:pPr>
        <w:pStyle w:val="Body"/>
        <w:ind w:right="432"/>
        <w:rPr>
          <w:rFonts w:ascii="Tahoma" w:hAnsi="Tahoma" w:cs="Tahoma"/>
          <w:sz w:val="18"/>
          <w:szCs w:val="18"/>
          <w:lang w:val="it-IT"/>
        </w:rPr>
      </w:pPr>
      <w:r w:rsidRPr="00372904">
        <w:rPr>
          <w:rFonts w:ascii="Tahoma" w:hAnsi="Tahoma" w:cs="Tahoma"/>
          <w:sz w:val="18"/>
          <w:szCs w:val="18"/>
          <w:lang w:val="it-IT"/>
        </w:rPr>
        <w:t>Sarà anche possibile prendere in visione il documento Diritti di Utilizzo del Prodotto (Product</w:t>
      </w:r>
      <w:r w:rsidR="00BA6035" w:rsidRPr="00372904">
        <w:rPr>
          <w:rFonts w:ascii="Tahoma" w:hAnsi="Tahoma" w:cs="Tahoma"/>
          <w:sz w:val="18"/>
          <w:szCs w:val="18"/>
          <w:lang w:val="it-IT"/>
        </w:rPr>
        <w:t> </w:t>
      </w:r>
      <w:r w:rsidRPr="00372904">
        <w:rPr>
          <w:rFonts w:ascii="Tahoma" w:hAnsi="Tahoma" w:cs="Tahoma"/>
          <w:sz w:val="18"/>
          <w:szCs w:val="18"/>
          <w:lang w:val="it-IT"/>
        </w:rPr>
        <w:t>Use</w:t>
      </w:r>
      <w:r w:rsidR="00BA6035" w:rsidRPr="00372904">
        <w:rPr>
          <w:rFonts w:ascii="Tahoma" w:hAnsi="Tahoma" w:cs="Tahoma"/>
          <w:sz w:val="18"/>
          <w:szCs w:val="18"/>
          <w:lang w:val="it-IT"/>
        </w:rPr>
        <w:t> </w:t>
      </w:r>
      <w:r w:rsidRPr="00372904">
        <w:rPr>
          <w:rFonts w:ascii="Tahoma" w:hAnsi="Tahoma" w:cs="Tahoma"/>
          <w:sz w:val="18"/>
          <w:szCs w:val="18"/>
          <w:lang w:val="it-IT"/>
        </w:rPr>
        <w:t>Rights o PUR). Il PUR viene prodotto ogni trimestre e fornisce informazioni sugli ultimi</w:t>
      </w:r>
      <w:r w:rsidR="00BA6035" w:rsidRPr="00372904">
        <w:rPr>
          <w:rFonts w:ascii="Tahoma" w:hAnsi="Tahoma" w:cs="Tahoma"/>
          <w:sz w:val="18"/>
          <w:szCs w:val="18"/>
          <w:lang w:val="it-IT"/>
        </w:rPr>
        <w:t> </w:t>
      </w:r>
      <w:r w:rsidRPr="00372904">
        <w:rPr>
          <w:rFonts w:ascii="Tahoma" w:hAnsi="Tahoma" w:cs="Tahoma"/>
          <w:sz w:val="18"/>
          <w:szCs w:val="18"/>
          <w:lang w:val="it-IT"/>
        </w:rPr>
        <w:t>diritti sull</w:t>
      </w:r>
      <w:r w:rsidR="0073727D">
        <w:rPr>
          <w:rFonts w:ascii="Tahoma" w:hAnsi="Tahoma" w:cs="Tahoma"/>
          <w:sz w:val="18"/>
          <w:szCs w:val="18"/>
          <w:lang w:val="it-IT"/>
        </w:rPr>
        <w:t>’</w:t>
      </w:r>
      <w:r w:rsidRPr="00372904">
        <w:rPr>
          <w:rFonts w:ascii="Tahoma" w:hAnsi="Tahoma" w:cs="Tahoma"/>
          <w:sz w:val="18"/>
          <w:szCs w:val="18"/>
          <w:lang w:val="it-IT"/>
        </w:rPr>
        <w:t>utilizzo del software Microsoft ai sensi dei programmi Microsoft Volume Licensing. Il</w:t>
      </w:r>
      <w:r w:rsidR="00BA6035" w:rsidRPr="00372904">
        <w:rPr>
          <w:rFonts w:ascii="Tahoma" w:hAnsi="Tahoma" w:cs="Tahoma"/>
          <w:sz w:val="18"/>
          <w:szCs w:val="18"/>
          <w:lang w:val="it-IT"/>
        </w:rPr>
        <w:t> </w:t>
      </w:r>
      <w:r w:rsidRPr="00372904">
        <w:rPr>
          <w:rFonts w:ascii="Tahoma" w:hAnsi="Tahoma" w:cs="Tahoma"/>
          <w:sz w:val="18"/>
          <w:szCs w:val="18"/>
          <w:lang w:val="it-IT"/>
        </w:rPr>
        <w:t>documento si trova all</w:t>
      </w:r>
      <w:r w:rsidR="0073727D">
        <w:rPr>
          <w:rFonts w:ascii="Tahoma" w:hAnsi="Tahoma" w:cs="Tahoma"/>
          <w:sz w:val="18"/>
          <w:szCs w:val="18"/>
          <w:lang w:val="it-IT"/>
        </w:rPr>
        <w:t>’</w:t>
      </w:r>
      <w:r w:rsidRPr="00372904">
        <w:rPr>
          <w:rFonts w:ascii="Tahoma" w:hAnsi="Tahoma" w:cs="Tahoma"/>
          <w:sz w:val="18"/>
          <w:szCs w:val="18"/>
          <w:lang w:val="it-IT"/>
        </w:rPr>
        <w:t>indirizzo:</w:t>
      </w:r>
      <w:r w:rsidR="00082E1C" w:rsidRPr="00372904">
        <w:rPr>
          <w:rFonts w:ascii="Tahoma" w:hAnsi="Tahoma" w:cs="Tahoma"/>
          <w:sz w:val="18"/>
          <w:szCs w:val="18"/>
          <w:lang w:val="it-IT"/>
        </w:rPr>
        <w:t xml:space="preserve"> </w:t>
      </w:r>
      <w:r w:rsidRPr="00372904">
        <w:rPr>
          <w:rFonts w:ascii="Tahoma" w:hAnsi="Tahoma" w:cs="Tahoma"/>
          <w:sz w:val="18"/>
          <w:szCs w:val="18"/>
          <w:lang w:val="it-IT"/>
        </w:rPr>
        <w:t>http://www.microsoftvolumelicensing.com/userights/Default.aspx</w:t>
      </w:r>
      <w:hyperlink w:history="1"/>
    </w:p>
    <w:p w:rsidR="00465757" w:rsidRPr="00451078" w:rsidRDefault="00465757" w:rsidP="00465757">
      <w:pPr>
        <w:rPr>
          <w:lang w:val="it-IT"/>
        </w:rPr>
      </w:pPr>
    </w:p>
    <w:p w:rsidR="00465757" w:rsidRPr="00451078" w:rsidRDefault="00465757" w:rsidP="00465757">
      <w:pPr>
        <w:rPr>
          <w:lang w:val="it-IT"/>
        </w:rPr>
      </w:pPr>
    </w:p>
    <w:p w:rsidR="00707E03" w:rsidRPr="00707E03" w:rsidRDefault="00023FE7" w:rsidP="00836D9F">
      <w:pPr>
        <w:pStyle w:val="TOC1"/>
        <w:rPr>
          <w:color w:val="auto"/>
        </w:rPr>
      </w:pPr>
      <w:r w:rsidRPr="00451078">
        <w:rPr>
          <w:lang w:val="it-IT"/>
        </w:rPr>
        <w:br w:type="page"/>
      </w:r>
      <w:r w:rsidR="000D77F6" w:rsidRPr="003410C7">
        <w:rPr>
          <w:color w:val="auto"/>
        </w:rPr>
        <w:fldChar w:fldCharType="begin"/>
      </w:r>
      <w:r w:rsidRPr="00451078">
        <w:rPr>
          <w:color w:val="auto"/>
          <w:lang w:val="it-IT"/>
        </w:rPr>
        <w:instrText xml:space="preserve"> TOC \o "1-2" \t "Heading 3,3,Heading 4,4,Product Names,2" </w:instrText>
      </w:r>
      <w:r w:rsidR="000D77F6" w:rsidRPr="003410C7">
        <w:rPr>
          <w:color w:val="auto"/>
        </w:rPr>
        <w:fldChar w:fldCharType="separate"/>
      </w:r>
    </w:p>
    <w:p w:rsidR="00707E03" w:rsidRPr="00707E03" w:rsidRDefault="00707E03">
      <w:pPr>
        <w:pStyle w:val="TOC1"/>
        <w:rPr>
          <w:rFonts w:asciiTheme="minorHAnsi" w:eastAsiaTheme="minorEastAsia" w:hAnsiTheme="minorHAnsi" w:cstheme="minorBidi"/>
          <w:b w:val="0"/>
          <w:caps w:val="0"/>
          <w:color w:val="auto"/>
          <w:szCs w:val="22"/>
        </w:rPr>
      </w:pPr>
      <w:r w:rsidRPr="00707E03">
        <w:rPr>
          <w:b w:val="0"/>
          <w:color w:val="auto"/>
        </w:rPr>
        <w:lastRenderedPageBreak/>
        <w:t>Microsoft</w:t>
      </w:r>
      <w:r w:rsidRPr="00707E03">
        <w:rPr>
          <w:b w:val="0"/>
          <w:color w:val="auto"/>
          <w:vertAlign w:val="superscript"/>
        </w:rPr>
        <w:t>®</w:t>
      </w:r>
      <w:r w:rsidRPr="00707E03">
        <w:rPr>
          <w:color w:val="auto"/>
        </w:rPr>
        <w:tab/>
      </w:r>
      <w:r w:rsidRPr="00707E03">
        <w:rPr>
          <w:color w:val="auto"/>
        </w:rPr>
        <w:fldChar w:fldCharType="begin"/>
      </w:r>
      <w:r w:rsidRPr="00707E03">
        <w:rPr>
          <w:color w:val="auto"/>
        </w:rPr>
        <w:instrText xml:space="preserve"> PAGEREF _Toc352234441 \h </w:instrText>
      </w:r>
      <w:r w:rsidRPr="00707E03">
        <w:rPr>
          <w:color w:val="auto"/>
        </w:rPr>
      </w:r>
      <w:r w:rsidRPr="00707E03">
        <w:rPr>
          <w:color w:val="auto"/>
        </w:rPr>
        <w:fldChar w:fldCharType="separate"/>
      </w:r>
      <w:r w:rsidRPr="00707E03">
        <w:rPr>
          <w:color w:val="auto"/>
        </w:rPr>
        <w:t>1</w:t>
      </w:r>
      <w:r w:rsidRPr="00707E03">
        <w:rPr>
          <w:color w:val="auto"/>
        </w:rPr>
        <w:fldChar w:fldCharType="end"/>
      </w:r>
    </w:p>
    <w:p w:rsidR="00707E03" w:rsidRPr="00707E03" w:rsidRDefault="00707E03">
      <w:pPr>
        <w:pStyle w:val="TOC1"/>
        <w:rPr>
          <w:rFonts w:asciiTheme="minorHAnsi" w:eastAsiaTheme="minorEastAsia" w:hAnsiTheme="minorHAnsi" w:cstheme="minorBidi"/>
          <w:b w:val="0"/>
          <w:caps w:val="0"/>
          <w:color w:val="auto"/>
          <w:szCs w:val="22"/>
        </w:rPr>
      </w:pPr>
      <w:r w:rsidRPr="00707E03">
        <w:rPr>
          <w:color w:val="auto"/>
          <w:lang w:val="it-IT"/>
        </w:rPr>
        <w:t>INFORMAZIONI SUL PRESENTE Documento</w:t>
      </w:r>
      <w:r w:rsidRPr="00707E03">
        <w:rPr>
          <w:color w:val="auto"/>
        </w:rPr>
        <w:tab/>
      </w:r>
      <w:r w:rsidRPr="00707E03">
        <w:rPr>
          <w:color w:val="auto"/>
        </w:rPr>
        <w:fldChar w:fldCharType="begin"/>
      </w:r>
      <w:r w:rsidRPr="00707E03">
        <w:rPr>
          <w:color w:val="auto"/>
        </w:rPr>
        <w:instrText xml:space="preserve"> PAGEREF _Toc352234442 \h </w:instrText>
      </w:r>
      <w:r w:rsidRPr="00707E03">
        <w:rPr>
          <w:color w:val="auto"/>
        </w:rPr>
      </w:r>
      <w:r w:rsidRPr="00707E03">
        <w:rPr>
          <w:color w:val="auto"/>
        </w:rPr>
        <w:fldChar w:fldCharType="separate"/>
      </w:r>
      <w:r w:rsidRPr="00707E03">
        <w:rPr>
          <w:color w:val="auto"/>
        </w:rPr>
        <w:t>2</w:t>
      </w:r>
      <w:r w:rsidRPr="00707E03">
        <w:rPr>
          <w:color w:val="auto"/>
        </w:rPr>
        <w:fldChar w:fldCharType="end"/>
      </w:r>
    </w:p>
    <w:p w:rsidR="00707E03" w:rsidRPr="00707E03" w:rsidRDefault="00707E03">
      <w:pPr>
        <w:pStyle w:val="TOC1"/>
        <w:rPr>
          <w:rFonts w:asciiTheme="minorHAnsi" w:eastAsiaTheme="minorEastAsia" w:hAnsiTheme="minorHAnsi" w:cstheme="minorBidi"/>
          <w:b w:val="0"/>
          <w:caps w:val="0"/>
          <w:color w:val="auto"/>
          <w:szCs w:val="22"/>
        </w:rPr>
      </w:pPr>
      <w:r w:rsidRPr="00707E03">
        <w:rPr>
          <w:color w:val="auto"/>
          <w:lang w:val="it-IT"/>
        </w:rPr>
        <w:t>MODALITà DI Utilizzo deLLA LISTA DEI Prodotti Microsoft</w:t>
      </w:r>
      <w:r w:rsidRPr="00707E03">
        <w:rPr>
          <w:color w:val="auto"/>
        </w:rPr>
        <w:tab/>
      </w:r>
      <w:r w:rsidRPr="00707E03">
        <w:rPr>
          <w:color w:val="auto"/>
        </w:rPr>
        <w:fldChar w:fldCharType="begin"/>
      </w:r>
      <w:r w:rsidRPr="00707E03">
        <w:rPr>
          <w:color w:val="auto"/>
        </w:rPr>
        <w:instrText xml:space="preserve"> PAGEREF _Toc352234443 \h </w:instrText>
      </w:r>
      <w:r w:rsidRPr="00707E03">
        <w:rPr>
          <w:color w:val="auto"/>
        </w:rPr>
      </w:r>
      <w:r w:rsidRPr="00707E03">
        <w:rPr>
          <w:color w:val="auto"/>
        </w:rPr>
        <w:fldChar w:fldCharType="separate"/>
      </w:r>
      <w:r w:rsidRPr="00707E03">
        <w:rPr>
          <w:color w:val="auto"/>
        </w:rPr>
        <w:t>2</w:t>
      </w:r>
      <w:r w:rsidRPr="00707E03">
        <w:rPr>
          <w:color w:val="auto"/>
        </w:rPr>
        <w:fldChar w:fldCharType="end"/>
      </w:r>
    </w:p>
    <w:p w:rsidR="00707E03" w:rsidRPr="00707E03" w:rsidRDefault="00707E03">
      <w:pPr>
        <w:pStyle w:val="TOC2"/>
        <w:rPr>
          <w:rFonts w:asciiTheme="minorHAnsi" w:eastAsiaTheme="minorEastAsia" w:hAnsiTheme="minorHAnsi" w:cstheme="minorBidi"/>
          <w:sz w:val="22"/>
          <w:szCs w:val="22"/>
        </w:rPr>
      </w:pPr>
      <w:r w:rsidRPr="00707E03">
        <w:rPr>
          <w:rFonts w:cs="Tahoma"/>
          <w:lang w:val="it-IT"/>
        </w:rPr>
        <w:t>Codici Tabella</w:t>
      </w:r>
      <w:r w:rsidRPr="00707E03">
        <w:tab/>
      </w:r>
      <w:r w:rsidRPr="00707E03">
        <w:fldChar w:fldCharType="begin"/>
      </w:r>
      <w:r w:rsidRPr="00707E03">
        <w:instrText xml:space="preserve"> PAGEREF _Toc352234444 \h </w:instrText>
      </w:r>
      <w:r w:rsidRPr="00707E03">
        <w:fldChar w:fldCharType="separate"/>
      </w:r>
      <w:r w:rsidRPr="00707E03">
        <w:t>14</w:t>
      </w:r>
      <w:r w:rsidRPr="00707E03">
        <w:fldChar w:fldCharType="end"/>
      </w:r>
    </w:p>
    <w:p w:rsidR="00707E03" w:rsidRPr="00707E03" w:rsidRDefault="00707E03">
      <w:pPr>
        <w:pStyle w:val="TOC1"/>
        <w:rPr>
          <w:rFonts w:asciiTheme="minorHAnsi" w:eastAsiaTheme="minorEastAsia" w:hAnsiTheme="minorHAnsi" w:cstheme="minorBidi"/>
          <w:b w:val="0"/>
          <w:caps w:val="0"/>
          <w:color w:val="auto"/>
          <w:szCs w:val="22"/>
        </w:rPr>
      </w:pPr>
      <w:r w:rsidRPr="00707E03">
        <w:rPr>
          <w:color w:val="auto"/>
          <w:lang w:val="it-IT"/>
        </w:rPr>
        <w:t>LISTA DEI ProdottI</w:t>
      </w:r>
      <w:r w:rsidRPr="00707E03">
        <w:rPr>
          <w:color w:val="auto"/>
        </w:rPr>
        <w:tab/>
      </w:r>
      <w:r w:rsidRPr="00707E03">
        <w:rPr>
          <w:color w:val="auto"/>
        </w:rPr>
        <w:fldChar w:fldCharType="begin"/>
      </w:r>
      <w:r w:rsidRPr="00707E03">
        <w:rPr>
          <w:color w:val="auto"/>
        </w:rPr>
        <w:instrText xml:space="preserve"> PAGEREF _Toc352234445 \h </w:instrText>
      </w:r>
      <w:r w:rsidRPr="00707E03">
        <w:rPr>
          <w:color w:val="auto"/>
        </w:rPr>
      </w:r>
      <w:r w:rsidRPr="00707E03">
        <w:rPr>
          <w:color w:val="auto"/>
        </w:rPr>
        <w:fldChar w:fldCharType="separate"/>
      </w:r>
      <w:r w:rsidRPr="00707E03">
        <w:rPr>
          <w:color w:val="auto"/>
        </w:rPr>
        <w:t>16</w:t>
      </w:r>
      <w:r w:rsidRPr="00707E03">
        <w:rPr>
          <w:color w:val="auto"/>
        </w:rPr>
        <w:fldChar w:fldCharType="end"/>
      </w:r>
    </w:p>
    <w:p w:rsidR="00707E03" w:rsidRPr="00707E03" w:rsidRDefault="00707E03">
      <w:pPr>
        <w:pStyle w:val="TOC3"/>
        <w:rPr>
          <w:rFonts w:asciiTheme="minorHAnsi" w:eastAsiaTheme="minorEastAsia" w:hAnsiTheme="minorHAnsi" w:cstheme="minorBidi"/>
          <w:bCs w:val="0"/>
          <w:color w:val="auto"/>
          <w:sz w:val="22"/>
          <w:szCs w:val="22"/>
        </w:rPr>
      </w:pPr>
      <w:r w:rsidRPr="00707E03">
        <w:rPr>
          <w:color w:val="auto"/>
          <w:lang w:val="it-IT"/>
        </w:rPr>
        <w:t>POOL DI APPLICAZIONI</w:t>
      </w:r>
      <w:r w:rsidRPr="00707E03">
        <w:rPr>
          <w:color w:val="auto"/>
        </w:rPr>
        <w:tab/>
      </w:r>
      <w:r w:rsidRPr="00707E03">
        <w:rPr>
          <w:color w:val="auto"/>
        </w:rPr>
        <w:fldChar w:fldCharType="begin"/>
      </w:r>
      <w:r w:rsidRPr="00707E03">
        <w:rPr>
          <w:color w:val="auto"/>
        </w:rPr>
        <w:instrText xml:space="preserve"> PAGEREF _Toc352234446 \h </w:instrText>
      </w:r>
      <w:r w:rsidRPr="00707E03">
        <w:rPr>
          <w:color w:val="auto"/>
        </w:rPr>
      </w:r>
      <w:r w:rsidRPr="00707E03">
        <w:rPr>
          <w:color w:val="auto"/>
        </w:rPr>
        <w:fldChar w:fldCharType="separate"/>
      </w:r>
      <w:r w:rsidRPr="00707E03">
        <w:rPr>
          <w:color w:val="auto"/>
        </w:rPr>
        <w:t>16</w:t>
      </w:r>
      <w:r w:rsidRPr="00707E03">
        <w:rPr>
          <w:color w:val="auto"/>
        </w:rPr>
        <w:fldChar w:fldCharType="end"/>
      </w:r>
    </w:p>
    <w:p w:rsidR="00707E03" w:rsidRPr="00707E03" w:rsidRDefault="00707E03">
      <w:pPr>
        <w:pStyle w:val="TOC2"/>
        <w:rPr>
          <w:rFonts w:asciiTheme="minorHAnsi" w:eastAsiaTheme="minorEastAsia" w:hAnsiTheme="minorHAnsi" w:cstheme="minorBidi"/>
          <w:sz w:val="22"/>
          <w:szCs w:val="22"/>
        </w:rPr>
      </w:pPr>
      <w:r w:rsidRPr="00707E03">
        <w:rPr>
          <w:rFonts w:cs="Tahoma"/>
        </w:rPr>
        <w:t>Access 2013</w:t>
      </w:r>
      <w:r w:rsidRPr="00707E03">
        <w:tab/>
      </w:r>
      <w:r w:rsidRPr="00707E03">
        <w:fldChar w:fldCharType="begin"/>
      </w:r>
      <w:r w:rsidRPr="00707E03">
        <w:instrText xml:space="preserve"> PAGEREF _Toc352234447 \h </w:instrText>
      </w:r>
      <w:r w:rsidRPr="00707E03">
        <w:fldChar w:fldCharType="separate"/>
      </w:r>
      <w:r w:rsidRPr="00707E03">
        <w:t>16</w:t>
      </w:r>
      <w:r w:rsidRPr="00707E03">
        <w:fldChar w:fldCharType="end"/>
      </w:r>
    </w:p>
    <w:p w:rsidR="00707E03" w:rsidRPr="00707E03" w:rsidRDefault="00707E03">
      <w:pPr>
        <w:pStyle w:val="TOC2"/>
        <w:rPr>
          <w:rFonts w:asciiTheme="minorHAnsi" w:eastAsiaTheme="minorEastAsia" w:hAnsiTheme="minorHAnsi" w:cstheme="minorBidi"/>
          <w:sz w:val="22"/>
          <w:szCs w:val="22"/>
        </w:rPr>
      </w:pPr>
      <w:r w:rsidRPr="00707E03">
        <w:rPr>
          <w:rFonts w:cs="Tahoma"/>
        </w:rPr>
        <w:t>AutoRoute 2013</w:t>
      </w:r>
      <w:r w:rsidRPr="00707E03">
        <w:tab/>
      </w:r>
      <w:r w:rsidRPr="00707E03">
        <w:fldChar w:fldCharType="begin"/>
      </w:r>
      <w:r w:rsidRPr="00707E03">
        <w:instrText xml:space="preserve"> PAGEREF _Toc352234448 \h </w:instrText>
      </w:r>
      <w:r w:rsidRPr="00707E03">
        <w:fldChar w:fldCharType="separate"/>
      </w:r>
      <w:r w:rsidRPr="00707E03">
        <w:t>16</w:t>
      </w:r>
      <w:r w:rsidRPr="00707E03">
        <w:fldChar w:fldCharType="end"/>
      </w:r>
    </w:p>
    <w:p w:rsidR="00707E03" w:rsidRPr="00707E03" w:rsidRDefault="00707E03">
      <w:pPr>
        <w:pStyle w:val="TOC2"/>
        <w:rPr>
          <w:rFonts w:asciiTheme="minorHAnsi" w:eastAsiaTheme="minorEastAsia" w:hAnsiTheme="minorHAnsi" w:cstheme="minorBidi"/>
          <w:sz w:val="22"/>
          <w:szCs w:val="22"/>
        </w:rPr>
      </w:pPr>
      <w:r w:rsidRPr="00707E03">
        <w:rPr>
          <w:rFonts w:cs="Tahoma"/>
        </w:rPr>
        <w:t>Excel 2013</w:t>
      </w:r>
      <w:r w:rsidRPr="00707E03">
        <w:tab/>
      </w:r>
      <w:r w:rsidRPr="00707E03">
        <w:fldChar w:fldCharType="begin"/>
      </w:r>
      <w:r w:rsidRPr="00707E03">
        <w:instrText xml:space="preserve"> PAGEREF _Toc352234449 \h </w:instrText>
      </w:r>
      <w:r w:rsidRPr="00707E03">
        <w:fldChar w:fldCharType="separate"/>
      </w:r>
      <w:r w:rsidRPr="00707E03">
        <w:t>16</w:t>
      </w:r>
      <w:r w:rsidRPr="00707E03">
        <w:fldChar w:fldCharType="end"/>
      </w:r>
    </w:p>
    <w:p w:rsidR="00707E03" w:rsidRPr="00707E03" w:rsidRDefault="00707E03">
      <w:pPr>
        <w:pStyle w:val="TOC2"/>
        <w:rPr>
          <w:rFonts w:asciiTheme="minorHAnsi" w:eastAsiaTheme="minorEastAsia" w:hAnsiTheme="minorHAnsi" w:cstheme="minorBidi"/>
          <w:sz w:val="22"/>
          <w:szCs w:val="22"/>
        </w:rPr>
      </w:pPr>
      <w:r w:rsidRPr="00707E03">
        <w:rPr>
          <w:rFonts w:cs="Tahoma"/>
        </w:rPr>
        <w:t>Excel per Mac 2011</w:t>
      </w:r>
      <w:r w:rsidRPr="00707E03">
        <w:tab/>
      </w:r>
      <w:r w:rsidRPr="00707E03">
        <w:fldChar w:fldCharType="begin"/>
      </w:r>
      <w:r w:rsidRPr="00707E03">
        <w:instrText xml:space="preserve"> PAGEREF _Toc352234450 \h </w:instrText>
      </w:r>
      <w:r w:rsidRPr="00707E03">
        <w:fldChar w:fldCharType="separate"/>
      </w:r>
      <w:r w:rsidRPr="00707E03">
        <w:t>16</w:t>
      </w:r>
      <w:r w:rsidRPr="00707E03">
        <w:fldChar w:fldCharType="end"/>
      </w:r>
    </w:p>
    <w:p w:rsidR="00707E03" w:rsidRPr="00707E03" w:rsidRDefault="00707E03">
      <w:pPr>
        <w:pStyle w:val="TOC2"/>
        <w:rPr>
          <w:rFonts w:asciiTheme="minorHAnsi" w:eastAsiaTheme="minorEastAsia" w:hAnsiTheme="minorHAnsi" w:cstheme="minorBidi"/>
          <w:sz w:val="22"/>
          <w:szCs w:val="22"/>
        </w:rPr>
      </w:pPr>
      <w:r w:rsidRPr="00707E03">
        <w:rPr>
          <w:rFonts w:cs="Tahoma"/>
        </w:rPr>
        <w:t>Expression Encoder Pro 4</w:t>
      </w:r>
      <w:r w:rsidRPr="00707E03">
        <w:tab/>
      </w:r>
      <w:r w:rsidRPr="00707E03">
        <w:fldChar w:fldCharType="begin"/>
      </w:r>
      <w:r w:rsidRPr="00707E03">
        <w:instrText xml:space="preserve"> PAGEREF _Toc352234451 \h </w:instrText>
      </w:r>
      <w:r w:rsidRPr="00707E03">
        <w:fldChar w:fldCharType="separate"/>
      </w:r>
      <w:r w:rsidRPr="00707E03">
        <w:t>16</w:t>
      </w:r>
      <w:r w:rsidRPr="00707E03">
        <w:fldChar w:fldCharType="end"/>
      </w:r>
    </w:p>
    <w:p w:rsidR="00707E03" w:rsidRPr="00707E03" w:rsidRDefault="00707E03">
      <w:pPr>
        <w:pStyle w:val="TOC2"/>
        <w:rPr>
          <w:rFonts w:asciiTheme="minorHAnsi" w:eastAsiaTheme="minorEastAsia" w:hAnsiTheme="minorHAnsi" w:cstheme="minorBidi"/>
          <w:sz w:val="22"/>
          <w:szCs w:val="22"/>
        </w:rPr>
      </w:pPr>
      <w:r w:rsidRPr="00707E03">
        <w:rPr>
          <w:rFonts w:cs="Tahoma"/>
        </w:rPr>
        <w:t>GeoSynther 3.0</w:t>
      </w:r>
      <w:r w:rsidRPr="00707E03">
        <w:tab/>
      </w:r>
      <w:r w:rsidRPr="00707E03">
        <w:fldChar w:fldCharType="begin"/>
      </w:r>
      <w:r w:rsidRPr="00707E03">
        <w:instrText xml:space="preserve"> PAGEREF _Toc352234452 \h </w:instrText>
      </w:r>
      <w:r w:rsidRPr="00707E03">
        <w:fldChar w:fldCharType="separate"/>
      </w:r>
      <w:r w:rsidRPr="00707E03">
        <w:t>16</w:t>
      </w:r>
      <w:r w:rsidRPr="00707E03">
        <w:fldChar w:fldCharType="end"/>
      </w:r>
    </w:p>
    <w:p w:rsidR="00707E03" w:rsidRPr="00707E03" w:rsidRDefault="00707E03">
      <w:pPr>
        <w:pStyle w:val="TOC2"/>
        <w:rPr>
          <w:rFonts w:asciiTheme="minorHAnsi" w:eastAsiaTheme="minorEastAsia" w:hAnsiTheme="minorHAnsi" w:cstheme="minorBidi"/>
          <w:sz w:val="22"/>
          <w:szCs w:val="22"/>
        </w:rPr>
      </w:pPr>
      <w:r w:rsidRPr="00707E03">
        <w:rPr>
          <w:rFonts w:cs="Tahoma"/>
        </w:rPr>
        <w:t>GeoSynth Viewer 3.0</w:t>
      </w:r>
      <w:r w:rsidRPr="00707E03">
        <w:tab/>
      </w:r>
      <w:r w:rsidRPr="00707E03">
        <w:fldChar w:fldCharType="begin"/>
      </w:r>
      <w:r w:rsidRPr="00707E03">
        <w:instrText xml:space="preserve"> PAGEREF _Toc352234453 \h </w:instrText>
      </w:r>
      <w:r w:rsidRPr="00707E03">
        <w:fldChar w:fldCharType="separate"/>
      </w:r>
      <w:r w:rsidRPr="00707E03">
        <w:t>16</w:t>
      </w:r>
      <w:r w:rsidRPr="00707E03">
        <w:fldChar w:fldCharType="end"/>
      </w:r>
    </w:p>
    <w:p w:rsidR="00707E03" w:rsidRPr="00707E03" w:rsidRDefault="00707E03">
      <w:pPr>
        <w:pStyle w:val="TOC2"/>
        <w:rPr>
          <w:rFonts w:asciiTheme="minorHAnsi" w:eastAsiaTheme="minorEastAsia" w:hAnsiTheme="minorHAnsi" w:cstheme="minorBidi"/>
          <w:sz w:val="22"/>
          <w:szCs w:val="22"/>
        </w:rPr>
      </w:pPr>
      <w:r w:rsidRPr="00707E03">
        <w:rPr>
          <w:rFonts w:cs="Tahoma"/>
        </w:rPr>
        <w:t>InfoPath</w:t>
      </w:r>
      <w:r w:rsidRPr="00707E03">
        <w:rPr>
          <w:rFonts w:cs="Tahoma"/>
          <w:vertAlign w:val="superscript"/>
        </w:rPr>
        <w:t>®</w:t>
      </w:r>
      <w:r w:rsidRPr="00707E03">
        <w:rPr>
          <w:rFonts w:cs="Tahoma"/>
        </w:rPr>
        <w:t xml:space="preserve"> 2013</w:t>
      </w:r>
      <w:r w:rsidRPr="00707E03">
        <w:tab/>
      </w:r>
      <w:r w:rsidRPr="00707E03">
        <w:fldChar w:fldCharType="begin"/>
      </w:r>
      <w:r w:rsidRPr="00707E03">
        <w:instrText xml:space="preserve"> PAGEREF _Toc352234454 \h </w:instrText>
      </w:r>
      <w:r w:rsidRPr="00707E03">
        <w:fldChar w:fldCharType="separate"/>
      </w:r>
      <w:r w:rsidRPr="00707E03">
        <w:t>16</w:t>
      </w:r>
      <w:r w:rsidRPr="00707E03">
        <w:fldChar w:fldCharType="end"/>
      </w:r>
    </w:p>
    <w:p w:rsidR="00707E03" w:rsidRPr="00707E03" w:rsidRDefault="00707E03">
      <w:pPr>
        <w:pStyle w:val="TOC2"/>
        <w:rPr>
          <w:rFonts w:asciiTheme="minorHAnsi" w:eastAsiaTheme="minorEastAsia" w:hAnsiTheme="minorHAnsi" w:cstheme="minorBidi"/>
          <w:sz w:val="22"/>
          <w:szCs w:val="22"/>
        </w:rPr>
      </w:pPr>
      <w:r w:rsidRPr="00707E03">
        <w:rPr>
          <w:rFonts w:cs="Tahoma"/>
        </w:rPr>
        <w:t>Lync 2013</w:t>
      </w:r>
      <w:r w:rsidRPr="00707E03">
        <w:tab/>
      </w:r>
      <w:r w:rsidRPr="00707E03">
        <w:fldChar w:fldCharType="begin"/>
      </w:r>
      <w:r w:rsidRPr="00707E03">
        <w:instrText xml:space="preserve"> PAGEREF _Toc352234455 \h </w:instrText>
      </w:r>
      <w:r w:rsidRPr="00707E03">
        <w:fldChar w:fldCharType="separate"/>
      </w:r>
      <w:r w:rsidRPr="00707E03">
        <w:t>16</w:t>
      </w:r>
      <w:r w:rsidRPr="00707E03">
        <w:fldChar w:fldCharType="end"/>
      </w:r>
    </w:p>
    <w:p w:rsidR="00707E03" w:rsidRPr="00707E03" w:rsidRDefault="00707E03">
      <w:pPr>
        <w:pStyle w:val="TOC2"/>
        <w:rPr>
          <w:rFonts w:asciiTheme="minorHAnsi" w:eastAsiaTheme="minorEastAsia" w:hAnsiTheme="minorHAnsi" w:cstheme="minorBidi"/>
          <w:sz w:val="22"/>
          <w:szCs w:val="22"/>
        </w:rPr>
      </w:pPr>
      <w:r w:rsidRPr="00707E03">
        <w:rPr>
          <w:rFonts w:cs="Tahoma"/>
        </w:rPr>
        <w:t>Lync per Mac 2011</w:t>
      </w:r>
      <w:r w:rsidRPr="00707E03">
        <w:tab/>
      </w:r>
      <w:r w:rsidRPr="00707E03">
        <w:fldChar w:fldCharType="begin"/>
      </w:r>
      <w:r w:rsidRPr="00707E03">
        <w:instrText xml:space="preserve"> PAGEREF _Toc352234456 \h </w:instrText>
      </w:r>
      <w:r w:rsidRPr="00707E03">
        <w:fldChar w:fldCharType="separate"/>
      </w:r>
      <w:r w:rsidRPr="00707E03">
        <w:t>16</w:t>
      </w:r>
      <w:r w:rsidRPr="00707E03">
        <w:fldChar w:fldCharType="end"/>
      </w:r>
    </w:p>
    <w:p w:rsidR="00707E03" w:rsidRPr="00707E03" w:rsidRDefault="00707E03">
      <w:pPr>
        <w:pStyle w:val="TOC2"/>
        <w:rPr>
          <w:rFonts w:asciiTheme="minorHAnsi" w:eastAsiaTheme="minorEastAsia" w:hAnsiTheme="minorHAnsi" w:cstheme="minorBidi"/>
          <w:sz w:val="22"/>
          <w:szCs w:val="22"/>
        </w:rPr>
      </w:pPr>
      <w:r w:rsidRPr="00707E03">
        <w:rPr>
          <w:rFonts w:cs="Tahoma"/>
        </w:rPr>
        <w:t>MapPoint</w:t>
      </w:r>
      <w:r w:rsidRPr="00707E03">
        <w:rPr>
          <w:rFonts w:cs="Tahoma"/>
          <w:vertAlign w:val="superscript"/>
        </w:rPr>
        <w:t>®</w:t>
      </w:r>
      <w:r w:rsidRPr="00707E03">
        <w:rPr>
          <w:rFonts w:cs="Tahoma"/>
        </w:rPr>
        <w:t xml:space="preserve"> Fleet Edition 2013</w:t>
      </w:r>
      <w:r w:rsidRPr="00707E03">
        <w:tab/>
      </w:r>
      <w:r w:rsidRPr="00707E03">
        <w:fldChar w:fldCharType="begin"/>
      </w:r>
      <w:r w:rsidRPr="00707E03">
        <w:instrText xml:space="preserve"> PAGEREF _Toc352234457 \h </w:instrText>
      </w:r>
      <w:r w:rsidRPr="00707E03">
        <w:fldChar w:fldCharType="separate"/>
      </w:r>
      <w:r w:rsidRPr="00707E03">
        <w:t>16</w:t>
      </w:r>
      <w:r w:rsidRPr="00707E03">
        <w:fldChar w:fldCharType="end"/>
      </w:r>
    </w:p>
    <w:p w:rsidR="00707E03" w:rsidRPr="00707E03" w:rsidRDefault="00707E03">
      <w:pPr>
        <w:pStyle w:val="TOC2"/>
        <w:rPr>
          <w:rFonts w:asciiTheme="minorHAnsi" w:eastAsiaTheme="minorEastAsia" w:hAnsiTheme="minorHAnsi" w:cstheme="minorBidi"/>
          <w:sz w:val="22"/>
          <w:szCs w:val="22"/>
        </w:rPr>
      </w:pPr>
      <w:r w:rsidRPr="00707E03">
        <w:rPr>
          <w:rFonts w:cs="Tahoma"/>
        </w:rPr>
        <w:t>MapPoint</w:t>
      </w:r>
      <w:r w:rsidRPr="00707E03">
        <w:rPr>
          <w:rFonts w:cs="Tahoma"/>
          <w:vertAlign w:val="superscript"/>
        </w:rPr>
        <w:t>®</w:t>
      </w:r>
      <w:r w:rsidRPr="00707E03">
        <w:rPr>
          <w:rFonts w:cs="Tahoma"/>
        </w:rPr>
        <w:t xml:space="preserve"> 2013 per Windows</w:t>
      </w:r>
      <w:r w:rsidRPr="00707E03">
        <w:tab/>
      </w:r>
      <w:r w:rsidRPr="00707E03">
        <w:fldChar w:fldCharType="begin"/>
      </w:r>
      <w:r w:rsidRPr="00707E03">
        <w:instrText xml:space="preserve"> PAGEREF _Toc352234458 \h </w:instrText>
      </w:r>
      <w:r w:rsidRPr="00707E03">
        <w:fldChar w:fldCharType="separate"/>
      </w:r>
      <w:r w:rsidRPr="00707E03">
        <w:t>16</w:t>
      </w:r>
      <w:r w:rsidRPr="00707E03">
        <w:fldChar w:fldCharType="end"/>
      </w:r>
    </w:p>
    <w:p w:rsidR="00707E03" w:rsidRPr="00707E03" w:rsidRDefault="00707E03">
      <w:pPr>
        <w:pStyle w:val="TOC2"/>
        <w:rPr>
          <w:rFonts w:asciiTheme="minorHAnsi" w:eastAsiaTheme="minorEastAsia" w:hAnsiTheme="minorHAnsi" w:cstheme="minorBidi"/>
          <w:sz w:val="22"/>
          <w:szCs w:val="22"/>
        </w:rPr>
      </w:pPr>
      <w:r w:rsidRPr="00707E03">
        <w:rPr>
          <w:rFonts w:cs="Tahoma"/>
        </w:rPr>
        <w:t>Sistemi Operativi MSDN</w:t>
      </w:r>
      <w:r w:rsidRPr="00707E03">
        <w:tab/>
      </w:r>
      <w:r w:rsidRPr="00707E03">
        <w:fldChar w:fldCharType="begin"/>
      </w:r>
      <w:r w:rsidRPr="00707E03">
        <w:instrText xml:space="preserve"> PAGEREF _Toc352234459 \h </w:instrText>
      </w:r>
      <w:r w:rsidRPr="00707E03">
        <w:fldChar w:fldCharType="separate"/>
      </w:r>
      <w:r w:rsidRPr="00707E03">
        <w:t>16</w:t>
      </w:r>
      <w:r w:rsidRPr="00707E03">
        <w:fldChar w:fldCharType="end"/>
      </w:r>
    </w:p>
    <w:p w:rsidR="00707E03" w:rsidRPr="00707E03" w:rsidRDefault="00707E03">
      <w:pPr>
        <w:pStyle w:val="TOC2"/>
        <w:rPr>
          <w:rFonts w:asciiTheme="minorHAnsi" w:eastAsiaTheme="minorEastAsia" w:hAnsiTheme="minorHAnsi" w:cstheme="minorBidi"/>
          <w:sz w:val="22"/>
          <w:szCs w:val="22"/>
        </w:rPr>
      </w:pPr>
      <w:r w:rsidRPr="00707E03">
        <w:rPr>
          <w:rFonts w:cs="Tahoma"/>
          <w:lang w:val="it-IT"/>
        </w:rPr>
        <w:t>Office 365 A2 (SL per Utente)</w:t>
      </w:r>
      <w:r w:rsidRPr="00707E03">
        <w:tab/>
      </w:r>
      <w:r w:rsidRPr="00707E03">
        <w:fldChar w:fldCharType="begin"/>
      </w:r>
      <w:r w:rsidRPr="00707E03">
        <w:instrText xml:space="preserve"> PAGEREF _Toc352234460 \h </w:instrText>
      </w:r>
      <w:r w:rsidRPr="00707E03">
        <w:fldChar w:fldCharType="separate"/>
      </w:r>
      <w:r w:rsidRPr="00707E03">
        <w:t>16</w:t>
      </w:r>
      <w:r w:rsidRPr="00707E03">
        <w:fldChar w:fldCharType="end"/>
      </w:r>
    </w:p>
    <w:p w:rsidR="00707E03" w:rsidRPr="00707E03" w:rsidRDefault="00707E03">
      <w:pPr>
        <w:pStyle w:val="TOC2"/>
        <w:rPr>
          <w:rFonts w:asciiTheme="minorHAnsi" w:eastAsiaTheme="minorEastAsia" w:hAnsiTheme="minorHAnsi" w:cstheme="minorBidi"/>
          <w:sz w:val="22"/>
          <w:szCs w:val="22"/>
        </w:rPr>
      </w:pPr>
      <w:r w:rsidRPr="00707E03">
        <w:rPr>
          <w:rFonts w:cs="Tahoma"/>
          <w:lang w:val="it-IT"/>
        </w:rPr>
        <w:t>Office 365 A3 (SL per Utente)</w:t>
      </w:r>
      <w:r w:rsidRPr="00707E03">
        <w:tab/>
      </w:r>
      <w:r w:rsidRPr="00707E03">
        <w:fldChar w:fldCharType="begin"/>
      </w:r>
      <w:r w:rsidRPr="00707E03">
        <w:instrText xml:space="preserve"> PAGEREF _Toc352234461 \h </w:instrText>
      </w:r>
      <w:r w:rsidRPr="00707E03">
        <w:fldChar w:fldCharType="separate"/>
      </w:r>
      <w:r w:rsidRPr="00707E03">
        <w:t>16</w:t>
      </w:r>
      <w:r w:rsidRPr="00707E03">
        <w:fldChar w:fldCharType="end"/>
      </w:r>
    </w:p>
    <w:p w:rsidR="00707E03" w:rsidRPr="00707E03" w:rsidRDefault="00707E03">
      <w:pPr>
        <w:pStyle w:val="TOC2"/>
        <w:rPr>
          <w:rFonts w:asciiTheme="minorHAnsi" w:eastAsiaTheme="minorEastAsia" w:hAnsiTheme="minorHAnsi" w:cstheme="minorBidi"/>
          <w:sz w:val="22"/>
          <w:szCs w:val="22"/>
        </w:rPr>
      </w:pPr>
      <w:r w:rsidRPr="00707E03">
        <w:rPr>
          <w:rFonts w:cs="Tahoma"/>
          <w:lang w:val="it-IT"/>
        </w:rPr>
        <w:t>Office 365 A4 (SL per Utente)</w:t>
      </w:r>
      <w:r w:rsidRPr="00707E03">
        <w:tab/>
      </w:r>
      <w:r w:rsidRPr="00707E03">
        <w:fldChar w:fldCharType="begin"/>
      </w:r>
      <w:r w:rsidRPr="00707E03">
        <w:instrText xml:space="preserve"> PAGEREF _Toc352234462 \h </w:instrText>
      </w:r>
      <w:r w:rsidRPr="00707E03">
        <w:fldChar w:fldCharType="separate"/>
      </w:r>
      <w:r w:rsidRPr="00707E03">
        <w:t>16</w:t>
      </w:r>
      <w:r w:rsidRPr="00707E03">
        <w:fldChar w:fldCharType="end"/>
      </w:r>
    </w:p>
    <w:p w:rsidR="00707E03" w:rsidRPr="00707E03" w:rsidRDefault="00707E03">
      <w:pPr>
        <w:pStyle w:val="TOC2"/>
        <w:rPr>
          <w:rFonts w:asciiTheme="minorHAnsi" w:eastAsiaTheme="minorEastAsia" w:hAnsiTheme="minorHAnsi" w:cstheme="minorBidi"/>
          <w:sz w:val="22"/>
          <w:szCs w:val="22"/>
        </w:rPr>
      </w:pPr>
      <w:r w:rsidRPr="00707E03">
        <w:rPr>
          <w:rFonts w:cs="Tahoma"/>
        </w:rPr>
        <w:t>Office 365 Midsize Business  (SL per Utente)</w:t>
      </w:r>
      <w:r w:rsidRPr="00707E03">
        <w:tab/>
      </w:r>
      <w:r w:rsidRPr="00707E03">
        <w:fldChar w:fldCharType="begin"/>
      </w:r>
      <w:r w:rsidRPr="00707E03">
        <w:instrText xml:space="preserve"> PAGEREF _Toc352234463 \h </w:instrText>
      </w:r>
      <w:r w:rsidRPr="00707E03">
        <w:fldChar w:fldCharType="separate"/>
      </w:r>
      <w:r w:rsidRPr="00707E03">
        <w:t>16</w:t>
      </w:r>
      <w:r w:rsidRPr="00707E03">
        <w:fldChar w:fldCharType="end"/>
      </w:r>
    </w:p>
    <w:p w:rsidR="00707E03" w:rsidRPr="00707E03" w:rsidRDefault="00707E03">
      <w:pPr>
        <w:pStyle w:val="TOC2"/>
        <w:rPr>
          <w:rFonts w:asciiTheme="minorHAnsi" w:eastAsiaTheme="minorEastAsia" w:hAnsiTheme="minorHAnsi" w:cstheme="minorBidi"/>
          <w:sz w:val="22"/>
          <w:szCs w:val="22"/>
        </w:rPr>
      </w:pPr>
      <w:r w:rsidRPr="00707E03">
        <w:rPr>
          <w:rFonts w:cs="Tahoma"/>
          <w:lang w:val="it-IT"/>
        </w:rPr>
        <w:t>Office 365 Enterprise E1 (SL per Utente)</w:t>
      </w:r>
      <w:r w:rsidRPr="00707E03">
        <w:tab/>
      </w:r>
      <w:r w:rsidRPr="00707E03">
        <w:fldChar w:fldCharType="begin"/>
      </w:r>
      <w:r w:rsidRPr="00707E03">
        <w:instrText xml:space="preserve"> PAGEREF _Toc352234464 \h </w:instrText>
      </w:r>
      <w:r w:rsidRPr="00707E03">
        <w:fldChar w:fldCharType="separate"/>
      </w:r>
      <w:r w:rsidRPr="00707E03">
        <w:t>16</w:t>
      </w:r>
      <w:r w:rsidRPr="00707E03">
        <w:fldChar w:fldCharType="end"/>
      </w:r>
    </w:p>
    <w:p w:rsidR="00707E03" w:rsidRPr="00707E03" w:rsidRDefault="00707E03">
      <w:pPr>
        <w:pStyle w:val="TOC2"/>
        <w:rPr>
          <w:rFonts w:asciiTheme="minorHAnsi" w:eastAsiaTheme="minorEastAsia" w:hAnsiTheme="minorHAnsi" w:cstheme="minorBidi"/>
          <w:sz w:val="22"/>
          <w:szCs w:val="22"/>
        </w:rPr>
      </w:pPr>
      <w:r w:rsidRPr="00707E03">
        <w:rPr>
          <w:rFonts w:cs="Tahoma"/>
          <w:lang w:val="it-IT"/>
        </w:rPr>
        <w:t>Office 365 Enterprise E2 (SL per Utente)</w:t>
      </w:r>
      <w:r w:rsidRPr="00707E03">
        <w:tab/>
      </w:r>
      <w:r w:rsidRPr="00707E03">
        <w:fldChar w:fldCharType="begin"/>
      </w:r>
      <w:r w:rsidRPr="00707E03">
        <w:instrText xml:space="preserve"> PAGEREF _Toc352234465 \h </w:instrText>
      </w:r>
      <w:r w:rsidRPr="00707E03">
        <w:fldChar w:fldCharType="separate"/>
      </w:r>
      <w:r w:rsidRPr="00707E03">
        <w:t>16</w:t>
      </w:r>
      <w:r w:rsidRPr="00707E03">
        <w:fldChar w:fldCharType="end"/>
      </w:r>
    </w:p>
    <w:p w:rsidR="00707E03" w:rsidRPr="00707E03" w:rsidRDefault="00707E03">
      <w:pPr>
        <w:pStyle w:val="TOC2"/>
        <w:rPr>
          <w:rFonts w:asciiTheme="minorHAnsi" w:eastAsiaTheme="minorEastAsia" w:hAnsiTheme="minorHAnsi" w:cstheme="minorBidi"/>
          <w:sz w:val="22"/>
          <w:szCs w:val="22"/>
        </w:rPr>
      </w:pPr>
      <w:r w:rsidRPr="00707E03">
        <w:rPr>
          <w:rFonts w:cs="Tahoma"/>
          <w:lang w:val="it-IT"/>
        </w:rPr>
        <w:t>Office 365 Enterprise E3 (SL per Utente)</w:t>
      </w:r>
      <w:r w:rsidRPr="00707E03">
        <w:tab/>
      </w:r>
      <w:r w:rsidRPr="00707E03">
        <w:fldChar w:fldCharType="begin"/>
      </w:r>
      <w:r w:rsidRPr="00707E03">
        <w:instrText xml:space="preserve"> PAGEREF _Toc352234466 \h </w:instrText>
      </w:r>
      <w:r w:rsidRPr="00707E03">
        <w:fldChar w:fldCharType="separate"/>
      </w:r>
      <w:r w:rsidRPr="00707E03">
        <w:t>16</w:t>
      </w:r>
      <w:r w:rsidRPr="00707E03">
        <w:fldChar w:fldCharType="end"/>
      </w:r>
    </w:p>
    <w:p w:rsidR="00707E03" w:rsidRPr="00707E03" w:rsidRDefault="00707E03">
      <w:pPr>
        <w:pStyle w:val="TOC2"/>
        <w:rPr>
          <w:rFonts w:asciiTheme="minorHAnsi" w:eastAsiaTheme="minorEastAsia" w:hAnsiTheme="minorHAnsi" w:cstheme="minorBidi"/>
          <w:sz w:val="22"/>
          <w:szCs w:val="22"/>
        </w:rPr>
      </w:pPr>
      <w:r w:rsidRPr="00707E03">
        <w:rPr>
          <w:rFonts w:cs="Tahoma"/>
          <w:lang w:val="it-IT"/>
        </w:rPr>
        <w:t>Office 365 Enterprise E4 (SL per Utente)</w:t>
      </w:r>
      <w:r w:rsidRPr="00707E03">
        <w:tab/>
      </w:r>
      <w:r w:rsidRPr="00707E03">
        <w:fldChar w:fldCharType="begin"/>
      </w:r>
      <w:r w:rsidRPr="00707E03">
        <w:instrText xml:space="preserve"> PAGEREF _Toc352234467 \h </w:instrText>
      </w:r>
      <w:r w:rsidRPr="00707E03">
        <w:fldChar w:fldCharType="separate"/>
      </w:r>
      <w:r w:rsidRPr="00707E03">
        <w:t>16</w:t>
      </w:r>
      <w:r w:rsidRPr="00707E03">
        <w:fldChar w:fldCharType="end"/>
      </w:r>
    </w:p>
    <w:p w:rsidR="00707E03" w:rsidRPr="00707E03" w:rsidRDefault="00707E03">
      <w:pPr>
        <w:pStyle w:val="TOC2"/>
        <w:rPr>
          <w:rFonts w:asciiTheme="minorHAnsi" w:eastAsiaTheme="minorEastAsia" w:hAnsiTheme="minorHAnsi" w:cstheme="minorBidi"/>
          <w:sz w:val="22"/>
          <w:szCs w:val="22"/>
        </w:rPr>
      </w:pPr>
      <w:r w:rsidRPr="00707E03">
        <w:rPr>
          <w:rFonts w:cs="Tahoma"/>
          <w:lang w:val="it-IT"/>
        </w:rPr>
        <w:t>Diritti di Utilizzo Commerciale di Office Home and Student RT 2013</w:t>
      </w:r>
      <w:r w:rsidRPr="00707E03">
        <w:tab/>
      </w:r>
      <w:r w:rsidRPr="00707E03">
        <w:fldChar w:fldCharType="begin"/>
      </w:r>
      <w:r w:rsidRPr="00707E03">
        <w:instrText xml:space="preserve"> PAGEREF _Toc352234468 \h </w:instrText>
      </w:r>
      <w:r w:rsidRPr="00707E03">
        <w:fldChar w:fldCharType="separate"/>
      </w:r>
      <w:r w:rsidRPr="00707E03">
        <w:t>16</w:t>
      </w:r>
      <w:r w:rsidRPr="00707E03">
        <w:fldChar w:fldCharType="end"/>
      </w:r>
    </w:p>
    <w:p w:rsidR="00707E03" w:rsidRPr="00707E03" w:rsidRDefault="00707E03">
      <w:pPr>
        <w:pStyle w:val="TOC2"/>
        <w:rPr>
          <w:rFonts w:asciiTheme="minorHAnsi" w:eastAsiaTheme="minorEastAsia" w:hAnsiTheme="minorHAnsi" w:cstheme="minorBidi"/>
          <w:sz w:val="22"/>
          <w:szCs w:val="22"/>
        </w:rPr>
      </w:pPr>
      <w:r w:rsidRPr="00707E03">
        <w:rPr>
          <w:rFonts w:cs="Tahoma"/>
        </w:rPr>
        <w:t>Office per Mac Standard 2011</w:t>
      </w:r>
      <w:r w:rsidRPr="00707E03">
        <w:tab/>
      </w:r>
      <w:r w:rsidRPr="00707E03">
        <w:fldChar w:fldCharType="begin"/>
      </w:r>
      <w:r w:rsidRPr="00707E03">
        <w:instrText xml:space="preserve"> PAGEREF _Toc352234469 \h </w:instrText>
      </w:r>
      <w:r w:rsidRPr="00707E03">
        <w:fldChar w:fldCharType="separate"/>
      </w:r>
      <w:r w:rsidRPr="00707E03">
        <w:t>16</w:t>
      </w:r>
      <w:r w:rsidRPr="00707E03">
        <w:fldChar w:fldCharType="end"/>
      </w:r>
    </w:p>
    <w:p w:rsidR="00707E03" w:rsidRPr="00707E03" w:rsidRDefault="00707E03">
      <w:pPr>
        <w:pStyle w:val="TOC2"/>
        <w:rPr>
          <w:rFonts w:asciiTheme="minorHAnsi" w:eastAsiaTheme="minorEastAsia" w:hAnsiTheme="minorHAnsi" w:cstheme="minorBidi"/>
          <w:sz w:val="22"/>
          <w:szCs w:val="22"/>
        </w:rPr>
      </w:pPr>
      <w:r w:rsidRPr="00707E03">
        <w:rPr>
          <w:rFonts w:cs="Tahoma"/>
        </w:rPr>
        <w:t>Office Multi-Language Pack 2013</w:t>
      </w:r>
      <w:r w:rsidRPr="00707E03">
        <w:tab/>
      </w:r>
      <w:r w:rsidRPr="00707E03">
        <w:fldChar w:fldCharType="begin"/>
      </w:r>
      <w:r w:rsidRPr="00707E03">
        <w:instrText xml:space="preserve"> PAGEREF _Toc352234470 \h </w:instrText>
      </w:r>
      <w:r w:rsidRPr="00707E03">
        <w:fldChar w:fldCharType="separate"/>
      </w:r>
      <w:r w:rsidRPr="00707E03">
        <w:t>16</w:t>
      </w:r>
      <w:r w:rsidRPr="00707E03">
        <w:fldChar w:fldCharType="end"/>
      </w:r>
    </w:p>
    <w:p w:rsidR="00707E03" w:rsidRPr="00707E03" w:rsidRDefault="00707E03">
      <w:pPr>
        <w:pStyle w:val="TOC2"/>
        <w:rPr>
          <w:rFonts w:asciiTheme="minorHAnsi" w:eastAsiaTheme="minorEastAsia" w:hAnsiTheme="minorHAnsi" w:cstheme="minorBidi"/>
          <w:sz w:val="22"/>
          <w:szCs w:val="22"/>
        </w:rPr>
      </w:pPr>
      <w:r w:rsidRPr="00707E03">
        <w:rPr>
          <w:rFonts w:cs="Tahoma"/>
        </w:rPr>
        <w:t>Office Professional Plus 2013</w:t>
      </w:r>
      <w:r w:rsidRPr="00707E03">
        <w:tab/>
      </w:r>
      <w:r w:rsidRPr="00707E03">
        <w:fldChar w:fldCharType="begin"/>
      </w:r>
      <w:r w:rsidRPr="00707E03">
        <w:instrText xml:space="preserve"> PAGEREF _Toc352234471 \h </w:instrText>
      </w:r>
      <w:r w:rsidRPr="00707E03">
        <w:fldChar w:fldCharType="separate"/>
      </w:r>
      <w:r w:rsidRPr="00707E03">
        <w:t>16</w:t>
      </w:r>
      <w:r w:rsidRPr="00707E03">
        <w:fldChar w:fldCharType="end"/>
      </w:r>
    </w:p>
    <w:p w:rsidR="00707E03" w:rsidRPr="00707E03" w:rsidRDefault="00707E03">
      <w:pPr>
        <w:pStyle w:val="TOC3"/>
        <w:rPr>
          <w:rFonts w:asciiTheme="minorHAnsi" w:eastAsiaTheme="minorEastAsia" w:hAnsiTheme="minorHAnsi" w:cstheme="minorBidi"/>
          <w:bCs w:val="0"/>
          <w:color w:val="auto"/>
          <w:sz w:val="22"/>
          <w:szCs w:val="22"/>
        </w:rPr>
      </w:pPr>
      <w:r w:rsidRPr="00707E03">
        <w:rPr>
          <w:color w:val="auto"/>
        </w:rPr>
        <w:t>Office Standard 2013</w:t>
      </w:r>
      <w:r w:rsidRPr="00707E03">
        <w:rPr>
          <w:color w:val="auto"/>
        </w:rPr>
        <w:tab/>
      </w:r>
      <w:r w:rsidRPr="00707E03">
        <w:rPr>
          <w:color w:val="auto"/>
        </w:rPr>
        <w:fldChar w:fldCharType="begin"/>
      </w:r>
      <w:r w:rsidRPr="00707E03">
        <w:rPr>
          <w:color w:val="auto"/>
        </w:rPr>
        <w:instrText xml:space="preserve"> PAGEREF _Toc352234472 \h </w:instrText>
      </w:r>
      <w:r w:rsidRPr="00707E03">
        <w:rPr>
          <w:color w:val="auto"/>
        </w:rPr>
      </w:r>
      <w:r w:rsidRPr="00707E03">
        <w:rPr>
          <w:color w:val="auto"/>
        </w:rPr>
        <w:fldChar w:fldCharType="separate"/>
      </w:r>
      <w:r w:rsidRPr="00707E03">
        <w:rPr>
          <w:color w:val="auto"/>
        </w:rPr>
        <w:t>16</w:t>
      </w:r>
      <w:r w:rsidRPr="00707E03">
        <w:rPr>
          <w:color w:val="auto"/>
        </w:rPr>
        <w:fldChar w:fldCharType="end"/>
      </w:r>
    </w:p>
    <w:p w:rsidR="00707E03" w:rsidRPr="00707E03" w:rsidRDefault="00707E03">
      <w:pPr>
        <w:pStyle w:val="TOC2"/>
        <w:rPr>
          <w:rFonts w:asciiTheme="minorHAnsi" w:eastAsiaTheme="minorEastAsia" w:hAnsiTheme="minorHAnsi" w:cstheme="minorBidi"/>
          <w:sz w:val="22"/>
          <w:szCs w:val="22"/>
        </w:rPr>
      </w:pPr>
      <w:r w:rsidRPr="00707E03">
        <w:rPr>
          <w:rFonts w:cs="Tahoma"/>
          <w:lang w:val="it-IT"/>
        </w:rPr>
        <w:t>Office 365 ProPlus (SL per Utente)</w:t>
      </w:r>
      <w:r w:rsidRPr="00707E03">
        <w:tab/>
      </w:r>
      <w:r w:rsidRPr="00707E03">
        <w:fldChar w:fldCharType="begin"/>
      </w:r>
      <w:r w:rsidRPr="00707E03">
        <w:instrText xml:space="preserve"> PAGEREF _Toc352234473 \h </w:instrText>
      </w:r>
      <w:r w:rsidRPr="00707E03">
        <w:fldChar w:fldCharType="separate"/>
      </w:r>
      <w:r w:rsidRPr="00707E03">
        <w:t>16</w:t>
      </w:r>
      <w:r w:rsidRPr="00707E03">
        <w:fldChar w:fldCharType="end"/>
      </w:r>
    </w:p>
    <w:p w:rsidR="00707E03" w:rsidRPr="00707E03" w:rsidRDefault="00707E03">
      <w:pPr>
        <w:pStyle w:val="TOC2"/>
        <w:rPr>
          <w:rFonts w:asciiTheme="minorHAnsi" w:eastAsiaTheme="minorEastAsia" w:hAnsiTheme="minorHAnsi" w:cstheme="minorBidi"/>
          <w:sz w:val="22"/>
          <w:szCs w:val="22"/>
        </w:rPr>
      </w:pPr>
      <w:r w:rsidRPr="00707E03">
        <w:rPr>
          <w:rFonts w:cs="Tahoma"/>
        </w:rPr>
        <w:t>Office 365 ProPlus SA Transition  (SL per Utente)</w:t>
      </w:r>
      <w:r w:rsidRPr="00707E03">
        <w:tab/>
      </w:r>
      <w:r w:rsidRPr="00707E03">
        <w:fldChar w:fldCharType="begin"/>
      </w:r>
      <w:r w:rsidRPr="00707E03">
        <w:instrText xml:space="preserve"> PAGEREF _Toc352234474 \h </w:instrText>
      </w:r>
      <w:r w:rsidRPr="00707E03">
        <w:fldChar w:fldCharType="separate"/>
      </w:r>
      <w:r w:rsidRPr="00707E03">
        <w:t>16</w:t>
      </w:r>
      <w:r w:rsidRPr="00707E03">
        <w:fldChar w:fldCharType="end"/>
      </w:r>
    </w:p>
    <w:p w:rsidR="00707E03" w:rsidRPr="00707E03" w:rsidRDefault="00707E03">
      <w:pPr>
        <w:pStyle w:val="TOC2"/>
        <w:rPr>
          <w:rFonts w:asciiTheme="minorHAnsi" w:eastAsiaTheme="minorEastAsia" w:hAnsiTheme="minorHAnsi" w:cstheme="minorBidi"/>
          <w:sz w:val="22"/>
          <w:szCs w:val="22"/>
        </w:rPr>
      </w:pPr>
      <w:r w:rsidRPr="00707E03">
        <w:rPr>
          <w:rFonts w:cs="Tahoma"/>
          <w:lang w:val="it-IT"/>
        </w:rPr>
        <w:t>Sottoscrizione Office Professional Plus A (SL per Utente)</w:t>
      </w:r>
      <w:r w:rsidRPr="00707E03">
        <w:tab/>
      </w:r>
      <w:r w:rsidRPr="00707E03">
        <w:fldChar w:fldCharType="begin"/>
      </w:r>
      <w:r w:rsidRPr="00707E03">
        <w:instrText xml:space="preserve"> PAGEREF _Toc352234475 \h </w:instrText>
      </w:r>
      <w:r w:rsidRPr="00707E03">
        <w:fldChar w:fldCharType="separate"/>
      </w:r>
      <w:r w:rsidRPr="00707E03">
        <w:t>16</w:t>
      </w:r>
      <w:r w:rsidRPr="00707E03">
        <w:fldChar w:fldCharType="end"/>
      </w:r>
    </w:p>
    <w:p w:rsidR="00707E03" w:rsidRPr="00707E03" w:rsidRDefault="00707E03">
      <w:pPr>
        <w:pStyle w:val="TOC2"/>
        <w:rPr>
          <w:rFonts w:asciiTheme="minorHAnsi" w:eastAsiaTheme="minorEastAsia" w:hAnsiTheme="minorHAnsi" w:cstheme="minorBidi"/>
          <w:sz w:val="22"/>
          <w:szCs w:val="22"/>
        </w:rPr>
      </w:pPr>
      <w:r w:rsidRPr="00707E03">
        <w:rPr>
          <w:rFonts w:cs="Tahoma"/>
        </w:rPr>
        <w:t>OneNote</w:t>
      </w:r>
      <w:r w:rsidRPr="00707E03">
        <w:rPr>
          <w:rFonts w:cs="Tahoma"/>
          <w:vertAlign w:val="superscript"/>
        </w:rPr>
        <w:t>®</w:t>
      </w:r>
      <w:r w:rsidRPr="00707E03">
        <w:rPr>
          <w:rFonts w:cs="Tahoma"/>
        </w:rPr>
        <w:t xml:space="preserve"> 2013</w:t>
      </w:r>
      <w:r w:rsidRPr="00707E03">
        <w:tab/>
      </w:r>
      <w:r w:rsidRPr="00707E03">
        <w:fldChar w:fldCharType="begin"/>
      </w:r>
      <w:r w:rsidRPr="00707E03">
        <w:instrText xml:space="preserve"> PAGEREF _Toc352234476 \h </w:instrText>
      </w:r>
      <w:r w:rsidRPr="00707E03">
        <w:fldChar w:fldCharType="separate"/>
      </w:r>
      <w:r w:rsidRPr="00707E03">
        <w:t>17</w:t>
      </w:r>
      <w:r w:rsidRPr="00707E03">
        <w:fldChar w:fldCharType="end"/>
      </w:r>
    </w:p>
    <w:p w:rsidR="00707E03" w:rsidRPr="00707E03" w:rsidRDefault="00707E03">
      <w:pPr>
        <w:pStyle w:val="TOC2"/>
        <w:rPr>
          <w:rFonts w:asciiTheme="minorHAnsi" w:eastAsiaTheme="minorEastAsia" w:hAnsiTheme="minorHAnsi" w:cstheme="minorBidi"/>
          <w:sz w:val="22"/>
          <w:szCs w:val="22"/>
        </w:rPr>
      </w:pPr>
      <w:r w:rsidRPr="00707E03">
        <w:rPr>
          <w:rFonts w:cs="Tahoma"/>
        </w:rPr>
        <w:t>Outlook</w:t>
      </w:r>
      <w:r w:rsidRPr="00707E03">
        <w:rPr>
          <w:rFonts w:cs="Tahoma"/>
          <w:vertAlign w:val="superscript"/>
        </w:rPr>
        <w:t>®</w:t>
      </w:r>
      <w:r w:rsidRPr="00707E03">
        <w:rPr>
          <w:rFonts w:cs="Tahoma"/>
        </w:rPr>
        <w:t xml:space="preserve"> 2013</w:t>
      </w:r>
      <w:r w:rsidRPr="00707E03">
        <w:tab/>
      </w:r>
      <w:r w:rsidRPr="00707E03">
        <w:fldChar w:fldCharType="begin"/>
      </w:r>
      <w:r w:rsidRPr="00707E03">
        <w:instrText xml:space="preserve"> PAGEREF _Toc352234477 \h </w:instrText>
      </w:r>
      <w:r w:rsidRPr="00707E03">
        <w:fldChar w:fldCharType="separate"/>
      </w:r>
      <w:r w:rsidRPr="00707E03">
        <w:t>17</w:t>
      </w:r>
      <w:r w:rsidRPr="00707E03">
        <w:fldChar w:fldCharType="end"/>
      </w:r>
    </w:p>
    <w:p w:rsidR="00707E03" w:rsidRPr="00707E03" w:rsidRDefault="00707E03">
      <w:pPr>
        <w:pStyle w:val="TOC2"/>
        <w:rPr>
          <w:rFonts w:asciiTheme="minorHAnsi" w:eastAsiaTheme="minorEastAsia" w:hAnsiTheme="minorHAnsi" w:cstheme="minorBidi"/>
          <w:sz w:val="22"/>
          <w:szCs w:val="22"/>
        </w:rPr>
      </w:pPr>
      <w:r w:rsidRPr="00707E03">
        <w:rPr>
          <w:rFonts w:cs="Tahoma"/>
        </w:rPr>
        <w:t>Outlook per Mac 2011</w:t>
      </w:r>
      <w:r w:rsidRPr="00707E03">
        <w:tab/>
      </w:r>
      <w:r w:rsidRPr="00707E03">
        <w:fldChar w:fldCharType="begin"/>
      </w:r>
      <w:r w:rsidRPr="00707E03">
        <w:instrText xml:space="preserve"> PAGEREF _Toc352234478 \h </w:instrText>
      </w:r>
      <w:r w:rsidRPr="00707E03">
        <w:fldChar w:fldCharType="separate"/>
      </w:r>
      <w:r w:rsidRPr="00707E03">
        <w:t>17</w:t>
      </w:r>
      <w:r w:rsidRPr="00707E03">
        <w:fldChar w:fldCharType="end"/>
      </w:r>
    </w:p>
    <w:p w:rsidR="00707E03" w:rsidRPr="00707E03" w:rsidRDefault="00707E03">
      <w:pPr>
        <w:pStyle w:val="TOC3"/>
        <w:rPr>
          <w:rFonts w:asciiTheme="minorHAnsi" w:eastAsiaTheme="minorEastAsia" w:hAnsiTheme="minorHAnsi" w:cstheme="minorBidi"/>
          <w:bCs w:val="0"/>
          <w:color w:val="auto"/>
          <w:sz w:val="22"/>
          <w:szCs w:val="22"/>
        </w:rPr>
      </w:pPr>
      <w:r w:rsidRPr="00707E03">
        <w:rPr>
          <w:color w:val="auto"/>
        </w:rPr>
        <w:t>PowerPoint 2013</w:t>
      </w:r>
      <w:r w:rsidRPr="00707E03">
        <w:rPr>
          <w:color w:val="auto"/>
        </w:rPr>
        <w:tab/>
      </w:r>
      <w:r w:rsidRPr="00707E03">
        <w:rPr>
          <w:color w:val="auto"/>
        </w:rPr>
        <w:fldChar w:fldCharType="begin"/>
      </w:r>
      <w:r w:rsidRPr="00707E03">
        <w:rPr>
          <w:color w:val="auto"/>
        </w:rPr>
        <w:instrText xml:space="preserve"> PAGEREF _Toc352234479 \h </w:instrText>
      </w:r>
      <w:r w:rsidRPr="00707E03">
        <w:rPr>
          <w:color w:val="auto"/>
        </w:rPr>
      </w:r>
      <w:r w:rsidRPr="00707E03">
        <w:rPr>
          <w:color w:val="auto"/>
        </w:rPr>
        <w:fldChar w:fldCharType="separate"/>
      </w:r>
      <w:r w:rsidRPr="00707E03">
        <w:rPr>
          <w:color w:val="auto"/>
        </w:rPr>
        <w:t>17</w:t>
      </w:r>
      <w:r w:rsidRPr="00707E03">
        <w:rPr>
          <w:color w:val="auto"/>
        </w:rPr>
        <w:fldChar w:fldCharType="end"/>
      </w:r>
    </w:p>
    <w:p w:rsidR="00707E03" w:rsidRPr="00707E03" w:rsidRDefault="00707E03">
      <w:pPr>
        <w:pStyle w:val="TOC3"/>
        <w:rPr>
          <w:rFonts w:asciiTheme="minorHAnsi" w:eastAsiaTheme="minorEastAsia" w:hAnsiTheme="minorHAnsi" w:cstheme="minorBidi"/>
          <w:bCs w:val="0"/>
          <w:color w:val="auto"/>
          <w:sz w:val="22"/>
          <w:szCs w:val="22"/>
        </w:rPr>
      </w:pPr>
      <w:r w:rsidRPr="00707E03">
        <w:rPr>
          <w:color w:val="auto"/>
        </w:rPr>
        <w:t>Powerpoint per Mac 2011</w:t>
      </w:r>
      <w:r w:rsidRPr="00707E03">
        <w:rPr>
          <w:color w:val="auto"/>
        </w:rPr>
        <w:tab/>
      </w:r>
      <w:r w:rsidRPr="00707E03">
        <w:rPr>
          <w:color w:val="auto"/>
        </w:rPr>
        <w:fldChar w:fldCharType="begin"/>
      </w:r>
      <w:r w:rsidRPr="00707E03">
        <w:rPr>
          <w:color w:val="auto"/>
        </w:rPr>
        <w:instrText xml:space="preserve"> PAGEREF _Toc352234480 \h </w:instrText>
      </w:r>
      <w:r w:rsidRPr="00707E03">
        <w:rPr>
          <w:color w:val="auto"/>
        </w:rPr>
      </w:r>
      <w:r w:rsidRPr="00707E03">
        <w:rPr>
          <w:color w:val="auto"/>
        </w:rPr>
        <w:fldChar w:fldCharType="separate"/>
      </w:r>
      <w:r w:rsidRPr="00707E03">
        <w:rPr>
          <w:color w:val="auto"/>
        </w:rPr>
        <w:t>17</w:t>
      </w:r>
      <w:r w:rsidRPr="00707E03">
        <w:rPr>
          <w:color w:val="auto"/>
        </w:rPr>
        <w:fldChar w:fldCharType="end"/>
      </w:r>
    </w:p>
    <w:p w:rsidR="00707E03" w:rsidRPr="00707E03" w:rsidRDefault="00707E03">
      <w:pPr>
        <w:pStyle w:val="TOC3"/>
        <w:rPr>
          <w:rFonts w:asciiTheme="minorHAnsi" w:eastAsiaTheme="minorEastAsia" w:hAnsiTheme="minorHAnsi" w:cstheme="minorBidi"/>
          <w:bCs w:val="0"/>
          <w:color w:val="auto"/>
          <w:sz w:val="22"/>
          <w:szCs w:val="22"/>
        </w:rPr>
      </w:pPr>
      <w:r w:rsidRPr="00707E03">
        <w:rPr>
          <w:color w:val="auto"/>
        </w:rPr>
        <w:t>Project 2013 Standard</w:t>
      </w:r>
      <w:r w:rsidRPr="00707E03">
        <w:rPr>
          <w:color w:val="auto"/>
        </w:rPr>
        <w:tab/>
      </w:r>
      <w:r w:rsidRPr="00707E03">
        <w:rPr>
          <w:color w:val="auto"/>
        </w:rPr>
        <w:fldChar w:fldCharType="begin"/>
      </w:r>
      <w:r w:rsidRPr="00707E03">
        <w:rPr>
          <w:color w:val="auto"/>
        </w:rPr>
        <w:instrText xml:space="preserve"> PAGEREF _Toc352234481 \h </w:instrText>
      </w:r>
      <w:r w:rsidRPr="00707E03">
        <w:rPr>
          <w:color w:val="auto"/>
        </w:rPr>
      </w:r>
      <w:r w:rsidRPr="00707E03">
        <w:rPr>
          <w:color w:val="auto"/>
        </w:rPr>
        <w:fldChar w:fldCharType="separate"/>
      </w:r>
      <w:r w:rsidRPr="00707E03">
        <w:rPr>
          <w:color w:val="auto"/>
        </w:rPr>
        <w:t>17</w:t>
      </w:r>
      <w:r w:rsidRPr="00707E03">
        <w:rPr>
          <w:color w:val="auto"/>
        </w:rPr>
        <w:fldChar w:fldCharType="end"/>
      </w:r>
    </w:p>
    <w:p w:rsidR="00707E03" w:rsidRPr="00707E03" w:rsidRDefault="00707E03">
      <w:pPr>
        <w:pStyle w:val="TOC3"/>
        <w:rPr>
          <w:rFonts w:asciiTheme="minorHAnsi" w:eastAsiaTheme="minorEastAsia" w:hAnsiTheme="minorHAnsi" w:cstheme="minorBidi"/>
          <w:bCs w:val="0"/>
          <w:color w:val="auto"/>
          <w:sz w:val="22"/>
          <w:szCs w:val="22"/>
        </w:rPr>
      </w:pPr>
      <w:r w:rsidRPr="00707E03">
        <w:rPr>
          <w:color w:val="auto"/>
        </w:rPr>
        <w:t>Project 2013 Professional</w:t>
      </w:r>
      <w:r w:rsidRPr="00707E03">
        <w:rPr>
          <w:color w:val="auto"/>
        </w:rPr>
        <w:tab/>
      </w:r>
      <w:r w:rsidRPr="00707E03">
        <w:rPr>
          <w:color w:val="auto"/>
        </w:rPr>
        <w:fldChar w:fldCharType="begin"/>
      </w:r>
      <w:r w:rsidRPr="00707E03">
        <w:rPr>
          <w:color w:val="auto"/>
        </w:rPr>
        <w:instrText xml:space="preserve"> PAGEREF _Toc352234482 \h </w:instrText>
      </w:r>
      <w:r w:rsidRPr="00707E03">
        <w:rPr>
          <w:color w:val="auto"/>
        </w:rPr>
      </w:r>
      <w:r w:rsidRPr="00707E03">
        <w:rPr>
          <w:color w:val="auto"/>
        </w:rPr>
        <w:fldChar w:fldCharType="separate"/>
      </w:r>
      <w:r w:rsidRPr="00707E03">
        <w:rPr>
          <w:color w:val="auto"/>
        </w:rPr>
        <w:t>17</w:t>
      </w:r>
      <w:r w:rsidRPr="00707E03">
        <w:rPr>
          <w:color w:val="auto"/>
        </w:rPr>
        <w:fldChar w:fldCharType="end"/>
      </w:r>
    </w:p>
    <w:p w:rsidR="00707E03" w:rsidRPr="00707E03" w:rsidRDefault="00707E03">
      <w:pPr>
        <w:pStyle w:val="TOC3"/>
        <w:rPr>
          <w:rFonts w:asciiTheme="minorHAnsi" w:eastAsiaTheme="minorEastAsia" w:hAnsiTheme="minorHAnsi" w:cstheme="minorBidi"/>
          <w:bCs w:val="0"/>
          <w:color w:val="auto"/>
          <w:sz w:val="22"/>
          <w:szCs w:val="22"/>
        </w:rPr>
      </w:pPr>
      <w:r w:rsidRPr="00707E03">
        <w:rPr>
          <w:color w:val="auto"/>
        </w:rPr>
        <w:t>Project Pro per Office 365</w:t>
      </w:r>
      <w:r w:rsidRPr="00707E03">
        <w:rPr>
          <w:color w:val="auto"/>
        </w:rPr>
        <w:tab/>
      </w:r>
      <w:r w:rsidRPr="00707E03">
        <w:rPr>
          <w:color w:val="auto"/>
        </w:rPr>
        <w:fldChar w:fldCharType="begin"/>
      </w:r>
      <w:r w:rsidRPr="00707E03">
        <w:rPr>
          <w:color w:val="auto"/>
        </w:rPr>
        <w:instrText xml:space="preserve"> PAGEREF _Toc352234483 \h </w:instrText>
      </w:r>
      <w:r w:rsidRPr="00707E03">
        <w:rPr>
          <w:color w:val="auto"/>
        </w:rPr>
      </w:r>
      <w:r w:rsidRPr="00707E03">
        <w:rPr>
          <w:color w:val="auto"/>
        </w:rPr>
        <w:fldChar w:fldCharType="separate"/>
      </w:r>
      <w:r w:rsidRPr="00707E03">
        <w:rPr>
          <w:color w:val="auto"/>
        </w:rPr>
        <w:t>17</w:t>
      </w:r>
      <w:r w:rsidRPr="00707E03">
        <w:rPr>
          <w:color w:val="auto"/>
        </w:rPr>
        <w:fldChar w:fldCharType="end"/>
      </w:r>
    </w:p>
    <w:p w:rsidR="00707E03" w:rsidRPr="00707E03" w:rsidRDefault="00707E03">
      <w:pPr>
        <w:pStyle w:val="TOC3"/>
        <w:rPr>
          <w:rFonts w:asciiTheme="minorHAnsi" w:eastAsiaTheme="minorEastAsia" w:hAnsiTheme="minorHAnsi" w:cstheme="minorBidi"/>
          <w:bCs w:val="0"/>
          <w:color w:val="auto"/>
          <w:sz w:val="22"/>
          <w:szCs w:val="22"/>
        </w:rPr>
      </w:pPr>
      <w:r w:rsidRPr="00707E03">
        <w:rPr>
          <w:color w:val="auto"/>
        </w:rPr>
        <w:t>Project Pro per Office 365 A</w:t>
      </w:r>
      <w:r w:rsidRPr="00707E03">
        <w:rPr>
          <w:color w:val="auto"/>
        </w:rPr>
        <w:tab/>
      </w:r>
      <w:r w:rsidRPr="00707E03">
        <w:rPr>
          <w:color w:val="auto"/>
        </w:rPr>
        <w:fldChar w:fldCharType="begin"/>
      </w:r>
      <w:r w:rsidRPr="00707E03">
        <w:rPr>
          <w:color w:val="auto"/>
        </w:rPr>
        <w:instrText xml:space="preserve"> PAGEREF _Toc352234484 \h </w:instrText>
      </w:r>
      <w:r w:rsidRPr="00707E03">
        <w:rPr>
          <w:color w:val="auto"/>
        </w:rPr>
      </w:r>
      <w:r w:rsidRPr="00707E03">
        <w:rPr>
          <w:color w:val="auto"/>
        </w:rPr>
        <w:fldChar w:fldCharType="separate"/>
      </w:r>
      <w:r w:rsidRPr="00707E03">
        <w:rPr>
          <w:color w:val="auto"/>
        </w:rPr>
        <w:t>17</w:t>
      </w:r>
      <w:r w:rsidRPr="00707E03">
        <w:rPr>
          <w:color w:val="auto"/>
        </w:rPr>
        <w:fldChar w:fldCharType="end"/>
      </w:r>
    </w:p>
    <w:p w:rsidR="00707E03" w:rsidRPr="00707E03" w:rsidRDefault="00707E03">
      <w:pPr>
        <w:pStyle w:val="TOC3"/>
        <w:rPr>
          <w:rFonts w:asciiTheme="minorHAnsi" w:eastAsiaTheme="minorEastAsia" w:hAnsiTheme="minorHAnsi" w:cstheme="minorBidi"/>
          <w:bCs w:val="0"/>
          <w:color w:val="auto"/>
          <w:sz w:val="22"/>
          <w:szCs w:val="22"/>
        </w:rPr>
      </w:pPr>
      <w:r w:rsidRPr="00707E03">
        <w:rPr>
          <w:color w:val="auto"/>
        </w:rPr>
        <w:t>Publisher 2013</w:t>
      </w:r>
      <w:r w:rsidRPr="00707E03">
        <w:rPr>
          <w:color w:val="auto"/>
        </w:rPr>
        <w:tab/>
      </w:r>
      <w:r w:rsidRPr="00707E03">
        <w:rPr>
          <w:color w:val="auto"/>
        </w:rPr>
        <w:fldChar w:fldCharType="begin"/>
      </w:r>
      <w:r w:rsidRPr="00707E03">
        <w:rPr>
          <w:color w:val="auto"/>
        </w:rPr>
        <w:instrText xml:space="preserve"> PAGEREF _Toc352234485 \h </w:instrText>
      </w:r>
      <w:r w:rsidRPr="00707E03">
        <w:rPr>
          <w:color w:val="auto"/>
        </w:rPr>
      </w:r>
      <w:r w:rsidRPr="00707E03">
        <w:rPr>
          <w:color w:val="auto"/>
        </w:rPr>
        <w:fldChar w:fldCharType="separate"/>
      </w:r>
      <w:r w:rsidRPr="00707E03">
        <w:rPr>
          <w:color w:val="auto"/>
        </w:rPr>
        <w:t>17</w:t>
      </w:r>
      <w:r w:rsidRPr="00707E03">
        <w:rPr>
          <w:color w:val="auto"/>
        </w:rPr>
        <w:fldChar w:fldCharType="end"/>
      </w:r>
    </w:p>
    <w:p w:rsidR="00707E03" w:rsidRPr="00707E03" w:rsidRDefault="00707E03">
      <w:pPr>
        <w:pStyle w:val="TOC3"/>
        <w:rPr>
          <w:rFonts w:asciiTheme="minorHAnsi" w:eastAsiaTheme="minorEastAsia" w:hAnsiTheme="minorHAnsi" w:cstheme="minorBidi"/>
          <w:bCs w:val="0"/>
          <w:color w:val="auto"/>
          <w:sz w:val="22"/>
          <w:szCs w:val="22"/>
        </w:rPr>
      </w:pPr>
      <w:r w:rsidRPr="00707E03">
        <w:rPr>
          <w:color w:val="auto"/>
          <w:lang w:val="it-IT"/>
        </w:rPr>
        <w:t>Diritti di Noleggio per Office Standard</w:t>
      </w:r>
      <w:r w:rsidRPr="00707E03">
        <w:rPr>
          <w:color w:val="auto"/>
        </w:rPr>
        <w:tab/>
      </w:r>
      <w:r w:rsidRPr="00707E03">
        <w:rPr>
          <w:color w:val="auto"/>
        </w:rPr>
        <w:fldChar w:fldCharType="begin"/>
      </w:r>
      <w:r w:rsidRPr="00707E03">
        <w:rPr>
          <w:color w:val="auto"/>
        </w:rPr>
        <w:instrText xml:space="preserve"> PAGEREF _Toc352234486 \h </w:instrText>
      </w:r>
      <w:r w:rsidRPr="00707E03">
        <w:rPr>
          <w:color w:val="auto"/>
        </w:rPr>
      </w:r>
      <w:r w:rsidRPr="00707E03">
        <w:rPr>
          <w:color w:val="auto"/>
        </w:rPr>
        <w:fldChar w:fldCharType="separate"/>
      </w:r>
      <w:r w:rsidRPr="00707E03">
        <w:rPr>
          <w:color w:val="auto"/>
        </w:rPr>
        <w:t>17</w:t>
      </w:r>
      <w:r w:rsidRPr="00707E03">
        <w:rPr>
          <w:color w:val="auto"/>
        </w:rPr>
        <w:fldChar w:fldCharType="end"/>
      </w:r>
    </w:p>
    <w:p w:rsidR="00707E03" w:rsidRPr="00707E03" w:rsidRDefault="00707E03">
      <w:pPr>
        <w:pStyle w:val="TOC3"/>
        <w:rPr>
          <w:rFonts w:asciiTheme="minorHAnsi" w:eastAsiaTheme="minorEastAsia" w:hAnsiTheme="minorHAnsi" w:cstheme="minorBidi"/>
          <w:bCs w:val="0"/>
          <w:color w:val="auto"/>
          <w:sz w:val="22"/>
          <w:szCs w:val="22"/>
        </w:rPr>
      </w:pPr>
      <w:r w:rsidRPr="00707E03">
        <w:rPr>
          <w:color w:val="auto"/>
          <w:lang w:val="it-IT"/>
        </w:rPr>
        <w:t>Diritto di Noleggio per  Office Professional Plus</w:t>
      </w:r>
      <w:r w:rsidRPr="00707E03">
        <w:rPr>
          <w:color w:val="auto"/>
        </w:rPr>
        <w:tab/>
      </w:r>
      <w:r w:rsidRPr="00707E03">
        <w:rPr>
          <w:color w:val="auto"/>
        </w:rPr>
        <w:fldChar w:fldCharType="begin"/>
      </w:r>
      <w:r w:rsidRPr="00707E03">
        <w:rPr>
          <w:color w:val="auto"/>
        </w:rPr>
        <w:instrText xml:space="preserve"> PAGEREF _Toc352234487 \h </w:instrText>
      </w:r>
      <w:r w:rsidRPr="00707E03">
        <w:rPr>
          <w:color w:val="auto"/>
        </w:rPr>
      </w:r>
      <w:r w:rsidRPr="00707E03">
        <w:rPr>
          <w:color w:val="auto"/>
        </w:rPr>
        <w:fldChar w:fldCharType="separate"/>
      </w:r>
      <w:r w:rsidRPr="00707E03">
        <w:rPr>
          <w:color w:val="auto"/>
        </w:rPr>
        <w:t>17</w:t>
      </w:r>
      <w:r w:rsidRPr="00707E03">
        <w:rPr>
          <w:color w:val="auto"/>
        </w:rPr>
        <w:fldChar w:fldCharType="end"/>
      </w:r>
    </w:p>
    <w:p w:rsidR="00707E03" w:rsidRPr="00707E03" w:rsidRDefault="00707E03">
      <w:pPr>
        <w:pStyle w:val="TOC3"/>
        <w:rPr>
          <w:rFonts w:asciiTheme="minorHAnsi" w:eastAsiaTheme="minorEastAsia" w:hAnsiTheme="minorHAnsi" w:cstheme="minorBidi"/>
          <w:bCs w:val="0"/>
          <w:color w:val="auto"/>
          <w:sz w:val="22"/>
          <w:szCs w:val="22"/>
        </w:rPr>
      </w:pPr>
      <w:r w:rsidRPr="00707E03">
        <w:rPr>
          <w:color w:val="auto"/>
        </w:rPr>
        <w:t>Streets and Trips 2013</w:t>
      </w:r>
      <w:r w:rsidRPr="00707E03">
        <w:rPr>
          <w:color w:val="auto"/>
        </w:rPr>
        <w:tab/>
      </w:r>
      <w:r w:rsidRPr="00707E03">
        <w:rPr>
          <w:color w:val="auto"/>
        </w:rPr>
        <w:fldChar w:fldCharType="begin"/>
      </w:r>
      <w:r w:rsidRPr="00707E03">
        <w:rPr>
          <w:color w:val="auto"/>
        </w:rPr>
        <w:instrText xml:space="preserve"> PAGEREF _Toc352234488 \h </w:instrText>
      </w:r>
      <w:r w:rsidRPr="00707E03">
        <w:rPr>
          <w:color w:val="auto"/>
        </w:rPr>
      </w:r>
      <w:r w:rsidRPr="00707E03">
        <w:rPr>
          <w:color w:val="auto"/>
        </w:rPr>
        <w:fldChar w:fldCharType="separate"/>
      </w:r>
      <w:r w:rsidRPr="00707E03">
        <w:rPr>
          <w:color w:val="auto"/>
        </w:rPr>
        <w:t>17</w:t>
      </w:r>
      <w:r w:rsidRPr="00707E03">
        <w:rPr>
          <w:color w:val="auto"/>
        </w:rPr>
        <w:fldChar w:fldCharType="end"/>
      </w:r>
    </w:p>
    <w:p w:rsidR="00707E03" w:rsidRPr="00707E03" w:rsidRDefault="00707E03">
      <w:pPr>
        <w:pStyle w:val="TOC3"/>
        <w:rPr>
          <w:rFonts w:asciiTheme="minorHAnsi" w:eastAsiaTheme="minorEastAsia" w:hAnsiTheme="minorHAnsi" w:cstheme="minorBidi"/>
          <w:bCs w:val="0"/>
          <w:color w:val="auto"/>
          <w:sz w:val="22"/>
          <w:szCs w:val="22"/>
        </w:rPr>
      </w:pPr>
      <w:r w:rsidRPr="00707E03">
        <w:rPr>
          <w:color w:val="auto"/>
        </w:rPr>
        <w:t>TechNet Plus Direct</w:t>
      </w:r>
      <w:r w:rsidRPr="00707E03">
        <w:rPr>
          <w:color w:val="auto"/>
        </w:rPr>
        <w:tab/>
      </w:r>
      <w:r w:rsidRPr="00707E03">
        <w:rPr>
          <w:color w:val="auto"/>
        </w:rPr>
        <w:fldChar w:fldCharType="begin"/>
      </w:r>
      <w:r w:rsidRPr="00707E03">
        <w:rPr>
          <w:color w:val="auto"/>
        </w:rPr>
        <w:instrText xml:space="preserve"> PAGEREF _Toc352234489 \h </w:instrText>
      </w:r>
      <w:r w:rsidRPr="00707E03">
        <w:rPr>
          <w:color w:val="auto"/>
        </w:rPr>
      </w:r>
      <w:r w:rsidRPr="00707E03">
        <w:rPr>
          <w:color w:val="auto"/>
        </w:rPr>
        <w:fldChar w:fldCharType="separate"/>
      </w:r>
      <w:r w:rsidRPr="00707E03">
        <w:rPr>
          <w:color w:val="auto"/>
        </w:rPr>
        <w:t>17</w:t>
      </w:r>
      <w:r w:rsidRPr="00707E03">
        <w:rPr>
          <w:color w:val="auto"/>
        </w:rPr>
        <w:fldChar w:fldCharType="end"/>
      </w:r>
    </w:p>
    <w:p w:rsidR="00707E03" w:rsidRPr="00707E03" w:rsidRDefault="00707E03">
      <w:pPr>
        <w:pStyle w:val="TOC3"/>
        <w:rPr>
          <w:rFonts w:asciiTheme="minorHAnsi" w:eastAsiaTheme="minorEastAsia" w:hAnsiTheme="minorHAnsi" w:cstheme="minorBidi"/>
          <w:bCs w:val="0"/>
          <w:color w:val="auto"/>
          <w:sz w:val="22"/>
          <w:szCs w:val="22"/>
        </w:rPr>
      </w:pPr>
      <w:r w:rsidRPr="00707E03">
        <w:rPr>
          <w:color w:val="auto"/>
        </w:rPr>
        <w:t>Vexcel Desktop con  Enhanced Content Pack</w:t>
      </w:r>
      <w:r w:rsidRPr="00707E03">
        <w:rPr>
          <w:color w:val="auto"/>
        </w:rPr>
        <w:tab/>
      </w:r>
      <w:r w:rsidRPr="00707E03">
        <w:rPr>
          <w:color w:val="auto"/>
        </w:rPr>
        <w:fldChar w:fldCharType="begin"/>
      </w:r>
      <w:r w:rsidRPr="00707E03">
        <w:rPr>
          <w:color w:val="auto"/>
        </w:rPr>
        <w:instrText xml:space="preserve"> PAGEREF _Toc352234490 \h </w:instrText>
      </w:r>
      <w:r w:rsidRPr="00707E03">
        <w:rPr>
          <w:color w:val="auto"/>
        </w:rPr>
      </w:r>
      <w:r w:rsidRPr="00707E03">
        <w:rPr>
          <w:color w:val="auto"/>
        </w:rPr>
        <w:fldChar w:fldCharType="separate"/>
      </w:r>
      <w:r w:rsidRPr="00707E03">
        <w:rPr>
          <w:color w:val="auto"/>
        </w:rPr>
        <w:t>17</w:t>
      </w:r>
      <w:r w:rsidRPr="00707E03">
        <w:rPr>
          <w:color w:val="auto"/>
        </w:rPr>
        <w:fldChar w:fldCharType="end"/>
      </w:r>
    </w:p>
    <w:p w:rsidR="00707E03" w:rsidRPr="00707E03" w:rsidRDefault="00707E03">
      <w:pPr>
        <w:pStyle w:val="TOC3"/>
        <w:rPr>
          <w:rFonts w:asciiTheme="minorHAnsi" w:eastAsiaTheme="minorEastAsia" w:hAnsiTheme="minorHAnsi" w:cstheme="minorBidi"/>
          <w:bCs w:val="0"/>
          <w:color w:val="auto"/>
          <w:sz w:val="22"/>
          <w:szCs w:val="22"/>
        </w:rPr>
      </w:pPr>
      <w:r w:rsidRPr="00707E03">
        <w:rPr>
          <w:color w:val="auto"/>
        </w:rPr>
        <w:t>Visio</w:t>
      </w:r>
      <w:r w:rsidRPr="00707E03">
        <w:rPr>
          <w:color w:val="auto"/>
          <w:vertAlign w:val="superscript"/>
        </w:rPr>
        <w:t>®</w:t>
      </w:r>
      <w:r w:rsidRPr="00707E03">
        <w:rPr>
          <w:color w:val="auto"/>
        </w:rPr>
        <w:t xml:space="preserve"> 2013 Professional</w:t>
      </w:r>
      <w:r w:rsidRPr="00707E03">
        <w:rPr>
          <w:color w:val="auto"/>
        </w:rPr>
        <w:tab/>
      </w:r>
      <w:r w:rsidRPr="00707E03">
        <w:rPr>
          <w:color w:val="auto"/>
        </w:rPr>
        <w:fldChar w:fldCharType="begin"/>
      </w:r>
      <w:r w:rsidRPr="00707E03">
        <w:rPr>
          <w:color w:val="auto"/>
        </w:rPr>
        <w:instrText xml:space="preserve"> PAGEREF _Toc352234491 \h </w:instrText>
      </w:r>
      <w:r w:rsidRPr="00707E03">
        <w:rPr>
          <w:color w:val="auto"/>
        </w:rPr>
      </w:r>
      <w:r w:rsidRPr="00707E03">
        <w:rPr>
          <w:color w:val="auto"/>
        </w:rPr>
        <w:fldChar w:fldCharType="separate"/>
      </w:r>
      <w:r w:rsidRPr="00707E03">
        <w:rPr>
          <w:color w:val="auto"/>
        </w:rPr>
        <w:t>17</w:t>
      </w:r>
      <w:r w:rsidRPr="00707E03">
        <w:rPr>
          <w:color w:val="auto"/>
        </w:rPr>
        <w:fldChar w:fldCharType="end"/>
      </w:r>
    </w:p>
    <w:p w:rsidR="00707E03" w:rsidRPr="00707E03" w:rsidRDefault="00707E03">
      <w:pPr>
        <w:pStyle w:val="TOC3"/>
        <w:rPr>
          <w:rFonts w:asciiTheme="minorHAnsi" w:eastAsiaTheme="minorEastAsia" w:hAnsiTheme="minorHAnsi" w:cstheme="minorBidi"/>
          <w:bCs w:val="0"/>
          <w:color w:val="auto"/>
          <w:sz w:val="22"/>
          <w:szCs w:val="22"/>
        </w:rPr>
      </w:pPr>
      <w:r w:rsidRPr="00707E03">
        <w:rPr>
          <w:color w:val="auto"/>
        </w:rPr>
        <w:t>Visio</w:t>
      </w:r>
      <w:r w:rsidRPr="00707E03">
        <w:rPr>
          <w:color w:val="auto"/>
          <w:vertAlign w:val="superscript"/>
        </w:rPr>
        <w:t>®</w:t>
      </w:r>
      <w:r w:rsidRPr="00707E03">
        <w:rPr>
          <w:color w:val="auto"/>
        </w:rPr>
        <w:t xml:space="preserve"> 2013 Standard</w:t>
      </w:r>
      <w:r w:rsidRPr="00707E03">
        <w:rPr>
          <w:color w:val="auto"/>
        </w:rPr>
        <w:tab/>
      </w:r>
      <w:r w:rsidRPr="00707E03">
        <w:rPr>
          <w:color w:val="auto"/>
        </w:rPr>
        <w:fldChar w:fldCharType="begin"/>
      </w:r>
      <w:r w:rsidRPr="00707E03">
        <w:rPr>
          <w:color w:val="auto"/>
        </w:rPr>
        <w:instrText xml:space="preserve"> PAGEREF _Toc352234492 \h </w:instrText>
      </w:r>
      <w:r w:rsidRPr="00707E03">
        <w:rPr>
          <w:color w:val="auto"/>
        </w:rPr>
      </w:r>
      <w:r w:rsidRPr="00707E03">
        <w:rPr>
          <w:color w:val="auto"/>
        </w:rPr>
        <w:fldChar w:fldCharType="separate"/>
      </w:r>
      <w:r w:rsidRPr="00707E03">
        <w:rPr>
          <w:color w:val="auto"/>
        </w:rPr>
        <w:t>17</w:t>
      </w:r>
      <w:r w:rsidRPr="00707E03">
        <w:rPr>
          <w:color w:val="auto"/>
        </w:rPr>
        <w:fldChar w:fldCharType="end"/>
      </w:r>
    </w:p>
    <w:p w:rsidR="00707E03" w:rsidRPr="00707E03" w:rsidRDefault="00707E03">
      <w:pPr>
        <w:pStyle w:val="TOC2"/>
        <w:rPr>
          <w:rFonts w:asciiTheme="minorHAnsi" w:eastAsiaTheme="minorEastAsia" w:hAnsiTheme="minorHAnsi" w:cstheme="minorBidi"/>
          <w:sz w:val="22"/>
          <w:szCs w:val="22"/>
        </w:rPr>
      </w:pPr>
      <w:r w:rsidRPr="00707E03">
        <w:rPr>
          <w:rFonts w:cs="Tahoma"/>
        </w:rPr>
        <w:t>Visio Pro per Office 365</w:t>
      </w:r>
      <w:r w:rsidRPr="00707E03">
        <w:tab/>
      </w:r>
      <w:r w:rsidRPr="00707E03">
        <w:fldChar w:fldCharType="begin"/>
      </w:r>
      <w:r w:rsidRPr="00707E03">
        <w:instrText xml:space="preserve"> PAGEREF _Toc352234493 \h </w:instrText>
      </w:r>
      <w:r w:rsidRPr="00707E03">
        <w:fldChar w:fldCharType="separate"/>
      </w:r>
      <w:r w:rsidRPr="00707E03">
        <w:t>17</w:t>
      </w:r>
      <w:r w:rsidRPr="00707E03">
        <w:fldChar w:fldCharType="end"/>
      </w:r>
    </w:p>
    <w:p w:rsidR="00707E03" w:rsidRPr="00707E03" w:rsidRDefault="00707E03">
      <w:pPr>
        <w:pStyle w:val="TOC2"/>
        <w:rPr>
          <w:rFonts w:asciiTheme="minorHAnsi" w:eastAsiaTheme="minorEastAsia" w:hAnsiTheme="minorHAnsi" w:cstheme="minorBidi"/>
          <w:sz w:val="22"/>
          <w:szCs w:val="22"/>
        </w:rPr>
      </w:pPr>
      <w:r w:rsidRPr="00707E03">
        <w:rPr>
          <w:rFonts w:cs="Tahoma"/>
          <w:lang w:val="it-IT"/>
        </w:rPr>
        <w:t>Visio Pro per Office 365 A</w:t>
      </w:r>
      <w:r w:rsidRPr="00707E03">
        <w:tab/>
      </w:r>
      <w:r w:rsidRPr="00707E03">
        <w:fldChar w:fldCharType="begin"/>
      </w:r>
      <w:r w:rsidRPr="00707E03">
        <w:instrText xml:space="preserve"> PAGEREF _Toc352234494 \h </w:instrText>
      </w:r>
      <w:r w:rsidRPr="00707E03">
        <w:fldChar w:fldCharType="separate"/>
      </w:r>
      <w:r w:rsidRPr="00707E03">
        <w:t>17</w:t>
      </w:r>
      <w:r w:rsidRPr="00707E03">
        <w:fldChar w:fldCharType="end"/>
      </w:r>
    </w:p>
    <w:p w:rsidR="00707E03" w:rsidRPr="00707E03" w:rsidRDefault="00707E03">
      <w:pPr>
        <w:pStyle w:val="TOC2"/>
        <w:rPr>
          <w:rFonts w:asciiTheme="minorHAnsi" w:eastAsiaTheme="minorEastAsia" w:hAnsiTheme="minorHAnsi" w:cstheme="minorBidi"/>
          <w:sz w:val="22"/>
          <w:szCs w:val="22"/>
        </w:rPr>
      </w:pPr>
      <w:r w:rsidRPr="00707E03">
        <w:rPr>
          <w:rFonts w:cs="Tahoma"/>
        </w:rPr>
        <w:t>Visual Studio</w:t>
      </w:r>
      <w:r w:rsidRPr="00707E03">
        <w:rPr>
          <w:rFonts w:cs="Tahoma"/>
          <w:vertAlign w:val="superscript"/>
        </w:rPr>
        <w:t>®</w:t>
      </w:r>
      <w:r w:rsidRPr="00707E03">
        <w:rPr>
          <w:rFonts w:cs="Tahoma"/>
        </w:rPr>
        <w:t xml:space="preserve"> Professional 2012</w:t>
      </w:r>
      <w:r w:rsidRPr="00707E03">
        <w:tab/>
      </w:r>
      <w:r w:rsidRPr="00707E03">
        <w:fldChar w:fldCharType="begin"/>
      </w:r>
      <w:r w:rsidRPr="00707E03">
        <w:instrText xml:space="preserve"> PAGEREF _Toc352234495 \h </w:instrText>
      </w:r>
      <w:r w:rsidRPr="00707E03">
        <w:fldChar w:fldCharType="separate"/>
      </w:r>
      <w:r w:rsidRPr="00707E03">
        <w:t>17</w:t>
      </w:r>
      <w:r w:rsidRPr="00707E03">
        <w:fldChar w:fldCharType="end"/>
      </w:r>
    </w:p>
    <w:p w:rsidR="00707E03" w:rsidRPr="00707E03" w:rsidRDefault="00707E03">
      <w:pPr>
        <w:pStyle w:val="TOC2"/>
        <w:rPr>
          <w:rFonts w:asciiTheme="minorHAnsi" w:eastAsiaTheme="minorEastAsia" w:hAnsiTheme="minorHAnsi" w:cstheme="minorBidi"/>
          <w:sz w:val="22"/>
          <w:szCs w:val="22"/>
        </w:rPr>
      </w:pPr>
      <w:r w:rsidRPr="00707E03">
        <w:rPr>
          <w:rFonts w:cs="Tahoma"/>
          <w:lang w:val="it-IT"/>
        </w:rPr>
        <w:t>Visual Studio</w:t>
      </w:r>
      <w:r w:rsidRPr="00707E03">
        <w:rPr>
          <w:rFonts w:cs="Tahoma"/>
          <w:vertAlign w:val="superscript"/>
          <w:lang w:val="it-IT"/>
        </w:rPr>
        <w:t>®</w:t>
      </w:r>
      <w:r w:rsidRPr="00707E03">
        <w:rPr>
          <w:rFonts w:cs="Tahoma"/>
          <w:lang w:val="it-IT"/>
        </w:rPr>
        <w:t xml:space="preserve"> Professional 2012 con MSDN</w:t>
      </w:r>
      <w:r w:rsidRPr="00707E03">
        <w:tab/>
      </w:r>
      <w:r w:rsidRPr="00707E03">
        <w:fldChar w:fldCharType="begin"/>
      </w:r>
      <w:r w:rsidRPr="00707E03">
        <w:instrText xml:space="preserve"> PAGEREF _Toc352234496 \h </w:instrText>
      </w:r>
      <w:r w:rsidRPr="00707E03">
        <w:fldChar w:fldCharType="separate"/>
      </w:r>
      <w:r w:rsidRPr="00707E03">
        <w:t>17</w:t>
      </w:r>
      <w:r w:rsidRPr="00707E03">
        <w:fldChar w:fldCharType="end"/>
      </w:r>
    </w:p>
    <w:p w:rsidR="00707E03" w:rsidRPr="00707E03" w:rsidRDefault="00707E03">
      <w:pPr>
        <w:pStyle w:val="TOC2"/>
        <w:rPr>
          <w:rFonts w:asciiTheme="minorHAnsi" w:eastAsiaTheme="minorEastAsia" w:hAnsiTheme="minorHAnsi" w:cstheme="minorBidi"/>
          <w:sz w:val="22"/>
          <w:szCs w:val="22"/>
        </w:rPr>
      </w:pPr>
      <w:r w:rsidRPr="00707E03">
        <w:rPr>
          <w:rFonts w:cs="Tahoma"/>
        </w:rPr>
        <w:t>Visual Studio</w:t>
      </w:r>
      <w:r w:rsidRPr="00707E03">
        <w:rPr>
          <w:rFonts w:cs="Tahoma"/>
          <w:vertAlign w:val="superscript"/>
        </w:rPr>
        <w:t>®</w:t>
      </w:r>
      <w:r w:rsidRPr="00707E03">
        <w:rPr>
          <w:rFonts w:cs="Tahoma"/>
        </w:rPr>
        <w:t xml:space="preserve"> Premium 2012 con MSDN</w:t>
      </w:r>
      <w:r w:rsidRPr="00707E03">
        <w:tab/>
      </w:r>
      <w:r w:rsidRPr="00707E03">
        <w:fldChar w:fldCharType="begin"/>
      </w:r>
      <w:r w:rsidRPr="00707E03">
        <w:instrText xml:space="preserve"> PAGEREF _Toc352234497 \h </w:instrText>
      </w:r>
      <w:r w:rsidRPr="00707E03">
        <w:fldChar w:fldCharType="separate"/>
      </w:r>
      <w:r w:rsidRPr="00707E03">
        <w:t>17</w:t>
      </w:r>
      <w:r w:rsidRPr="00707E03">
        <w:fldChar w:fldCharType="end"/>
      </w:r>
    </w:p>
    <w:p w:rsidR="00707E03" w:rsidRPr="00707E03" w:rsidRDefault="00707E03">
      <w:pPr>
        <w:pStyle w:val="TOC2"/>
        <w:rPr>
          <w:rFonts w:asciiTheme="minorHAnsi" w:eastAsiaTheme="minorEastAsia" w:hAnsiTheme="minorHAnsi" w:cstheme="minorBidi"/>
          <w:sz w:val="22"/>
          <w:szCs w:val="22"/>
        </w:rPr>
      </w:pPr>
      <w:r w:rsidRPr="00707E03">
        <w:rPr>
          <w:rFonts w:cs="Tahoma"/>
          <w:lang w:val="it-IT"/>
        </w:rPr>
        <w:lastRenderedPageBreak/>
        <w:t>Visual Studio</w:t>
      </w:r>
      <w:r w:rsidRPr="00707E03">
        <w:rPr>
          <w:rFonts w:cs="Tahoma"/>
          <w:vertAlign w:val="superscript"/>
          <w:lang w:val="it-IT"/>
        </w:rPr>
        <w:t>®</w:t>
      </w:r>
      <w:r w:rsidRPr="00707E03">
        <w:rPr>
          <w:rFonts w:cs="Tahoma"/>
          <w:lang w:val="it-IT"/>
        </w:rPr>
        <w:t xml:space="preserve"> Ultimate 2012 con MSDN</w:t>
      </w:r>
      <w:r w:rsidRPr="00707E03">
        <w:tab/>
      </w:r>
      <w:r w:rsidRPr="00707E03">
        <w:fldChar w:fldCharType="begin"/>
      </w:r>
      <w:r w:rsidRPr="00707E03">
        <w:instrText xml:space="preserve"> PAGEREF _Toc352234498 \h </w:instrText>
      </w:r>
      <w:r w:rsidRPr="00707E03">
        <w:fldChar w:fldCharType="separate"/>
      </w:r>
      <w:r w:rsidRPr="00707E03">
        <w:t>17</w:t>
      </w:r>
      <w:r w:rsidRPr="00707E03">
        <w:fldChar w:fldCharType="end"/>
      </w:r>
    </w:p>
    <w:p w:rsidR="00707E03" w:rsidRPr="00707E03" w:rsidRDefault="00707E03">
      <w:pPr>
        <w:pStyle w:val="TOC2"/>
        <w:rPr>
          <w:rFonts w:asciiTheme="minorHAnsi" w:eastAsiaTheme="minorEastAsia" w:hAnsiTheme="minorHAnsi" w:cstheme="minorBidi"/>
          <w:sz w:val="22"/>
          <w:szCs w:val="22"/>
        </w:rPr>
      </w:pPr>
      <w:r w:rsidRPr="00707E03">
        <w:rPr>
          <w:rFonts w:cs="Tahoma"/>
        </w:rPr>
        <w:t>Visual Studio</w:t>
      </w:r>
      <w:r w:rsidRPr="00707E03">
        <w:rPr>
          <w:rFonts w:cs="Tahoma"/>
          <w:vertAlign w:val="superscript"/>
        </w:rPr>
        <w:t>®</w:t>
      </w:r>
      <w:r w:rsidRPr="00707E03">
        <w:rPr>
          <w:rFonts w:cs="Tahoma"/>
        </w:rPr>
        <w:t xml:space="preserve"> Test Professional 2012 con MSDN</w:t>
      </w:r>
      <w:r w:rsidRPr="00707E03">
        <w:tab/>
      </w:r>
      <w:r w:rsidRPr="00707E03">
        <w:fldChar w:fldCharType="begin"/>
      </w:r>
      <w:r w:rsidRPr="00707E03">
        <w:instrText xml:space="preserve"> PAGEREF _Toc352234499 \h </w:instrText>
      </w:r>
      <w:r w:rsidRPr="00707E03">
        <w:fldChar w:fldCharType="separate"/>
      </w:r>
      <w:r w:rsidRPr="00707E03">
        <w:t>17</w:t>
      </w:r>
      <w:r w:rsidRPr="00707E03">
        <w:fldChar w:fldCharType="end"/>
      </w:r>
    </w:p>
    <w:p w:rsidR="00707E03" w:rsidRPr="00707E03" w:rsidRDefault="00707E03">
      <w:pPr>
        <w:pStyle w:val="TOC2"/>
        <w:rPr>
          <w:rFonts w:asciiTheme="minorHAnsi" w:eastAsiaTheme="minorEastAsia" w:hAnsiTheme="minorHAnsi" w:cstheme="minorBidi"/>
          <w:sz w:val="22"/>
          <w:szCs w:val="22"/>
        </w:rPr>
      </w:pPr>
      <w:r w:rsidRPr="00707E03">
        <w:rPr>
          <w:rFonts w:cs="Tahoma"/>
        </w:rPr>
        <w:t>Word 2013</w:t>
      </w:r>
      <w:r w:rsidRPr="00707E03">
        <w:tab/>
      </w:r>
      <w:r w:rsidRPr="00707E03">
        <w:fldChar w:fldCharType="begin"/>
      </w:r>
      <w:r w:rsidRPr="00707E03">
        <w:instrText xml:space="preserve"> PAGEREF _Toc352234500 \h </w:instrText>
      </w:r>
      <w:r w:rsidRPr="00707E03">
        <w:fldChar w:fldCharType="separate"/>
      </w:r>
      <w:r w:rsidRPr="00707E03">
        <w:t>17</w:t>
      </w:r>
      <w:r w:rsidRPr="00707E03">
        <w:fldChar w:fldCharType="end"/>
      </w:r>
    </w:p>
    <w:p w:rsidR="00707E03" w:rsidRPr="00707E03" w:rsidRDefault="00707E03">
      <w:pPr>
        <w:pStyle w:val="TOC2"/>
        <w:rPr>
          <w:rFonts w:asciiTheme="minorHAnsi" w:eastAsiaTheme="minorEastAsia" w:hAnsiTheme="minorHAnsi" w:cstheme="minorBidi"/>
          <w:sz w:val="22"/>
          <w:szCs w:val="22"/>
        </w:rPr>
      </w:pPr>
      <w:r w:rsidRPr="00707E03">
        <w:rPr>
          <w:rFonts w:cs="Tahoma"/>
        </w:rPr>
        <w:t>Word per Mac 2011</w:t>
      </w:r>
      <w:r w:rsidRPr="00707E03">
        <w:tab/>
      </w:r>
      <w:r w:rsidRPr="00707E03">
        <w:fldChar w:fldCharType="begin"/>
      </w:r>
      <w:r w:rsidRPr="00707E03">
        <w:instrText xml:space="preserve"> PAGEREF _Toc352234501 \h </w:instrText>
      </w:r>
      <w:r w:rsidRPr="00707E03">
        <w:fldChar w:fldCharType="separate"/>
      </w:r>
      <w:r w:rsidRPr="00707E03">
        <w:t>17</w:t>
      </w:r>
      <w:r w:rsidRPr="00707E03">
        <w:fldChar w:fldCharType="end"/>
      </w:r>
    </w:p>
    <w:p w:rsidR="00707E03" w:rsidRPr="00707E03" w:rsidRDefault="00707E03">
      <w:pPr>
        <w:pStyle w:val="TOC3"/>
        <w:rPr>
          <w:rFonts w:asciiTheme="minorHAnsi" w:eastAsiaTheme="minorEastAsia" w:hAnsiTheme="minorHAnsi" w:cstheme="minorBidi"/>
          <w:bCs w:val="0"/>
          <w:color w:val="auto"/>
          <w:sz w:val="22"/>
          <w:szCs w:val="22"/>
        </w:rPr>
      </w:pPr>
      <w:r w:rsidRPr="00707E03">
        <w:rPr>
          <w:color w:val="auto"/>
        </w:rPr>
        <w:t>POOL DI SISTEMI</w:t>
      </w:r>
      <w:r w:rsidRPr="00707E03">
        <w:rPr>
          <w:color w:val="auto"/>
        </w:rPr>
        <w:tab/>
      </w:r>
      <w:r w:rsidRPr="00707E03">
        <w:rPr>
          <w:color w:val="auto"/>
        </w:rPr>
        <w:fldChar w:fldCharType="begin"/>
      </w:r>
      <w:r w:rsidRPr="00707E03">
        <w:rPr>
          <w:color w:val="auto"/>
        </w:rPr>
        <w:instrText xml:space="preserve"> PAGEREF _Toc352234502 \h </w:instrText>
      </w:r>
      <w:r w:rsidRPr="00707E03">
        <w:rPr>
          <w:color w:val="auto"/>
        </w:rPr>
      </w:r>
      <w:r w:rsidRPr="00707E03">
        <w:rPr>
          <w:color w:val="auto"/>
        </w:rPr>
        <w:fldChar w:fldCharType="separate"/>
      </w:r>
      <w:r w:rsidRPr="00707E03">
        <w:rPr>
          <w:color w:val="auto"/>
        </w:rPr>
        <w:t>18</w:t>
      </w:r>
      <w:r w:rsidRPr="00707E03">
        <w:rPr>
          <w:color w:val="auto"/>
        </w:rPr>
        <w:fldChar w:fldCharType="end"/>
      </w:r>
    </w:p>
    <w:p w:rsidR="00707E03" w:rsidRPr="00707E03" w:rsidRDefault="00707E03">
      <w:pPr>
        <w:pStyle w:val="TOC2"/>
        <w:rPr>
          <w:rFonts w:asciiTheme="minorHAnsi" w:eastAsiaTheme="minorEastAsia" w:hAnsiTheme="minorHAnsi" w:cstheme="minorBidi"/>
          <w:sz w:val="22"/>
          <w:szCs w:val="22"/>
        </w:rPr>
      </w:pPr>
      <w:r w:rsidRPr="00707E03">
        <w:rPr>
          <w:rFonts w:cs="Tahoma"/>
        </w:rPr>
        <w:t>Microsoft Desktop Optimization Pack per Software Assurance.</w:t>
      </w:r>
      <w:r w:rsidRPr="00707E03">
        <w:tab/>
      </w:r>
      <w:r w:rsidRPr="00707E03">
        <w:fldChar w:fldCharType="begin"/>
      </w:r>
      <w:r w:rsidRPr="00707E03">
        <w:instrText xml:space="preserve"> PAGEREF _Toc352234503 \h </w:instrText>
      </w:r>
      <w:r w:rsidRPr="00707E03">
        <w:fldChar w:fldCharType="separate"/>
      </w:r>
      <w:r w:rsidRPr="00707E03">
        <w:t>18</w:t>
      </w:r>
      <w:r w:rsidRPr="00707E03">
        <w:fldChar w:fldCharType="end"/>
      </w:r>
    </w:p>
    <w:p w:rsidR="00707E03" w:rsidRPr="00707E03" w:rsidRDefault="00707E03">
      <w:pPr>
        <w:pStyle w:val="TOC2"/>
        <w:rPr>
          <w:rFonts w:asciiTheme="minorHAnsi" w:eastAsiaTheme="minorEastAsia" w:hAnsiTheme="minorHAnsi" w:cstheme="minorBidi"/>
          <w:sz w:val="22"/>
          <w:szCs w:val="22"/>
        </w:rPr>
      </w:pPr>
      <w:r w:rsidRPr="00707E03">
        <w:rPr>
          <w:rFonts w:cs="Tahoma"/>
        </w:rPr>
        <w:t>Licenza “Subscription” per Window Companion</w:t>
      </w:r>
      <w:r w:rsidRPr="00707E03">
        <w:tab/>
      </w:r>
      <w:r w:rsidRPr="00707E03">
        <w:fldChar w:fldCharType="begin"/>
      </w:r>
      <w:r w:rsidRPr="00707E03">
        <w:instrText xml:space="preserve"> PAGEREF _Toc352234504 \h </w:instrText>
      </w:r>
      <w:r w:rsidRPr="00707E03">
        <w:fldChar w:fldCharType="separate"/>
      </w:r>
      <w:r w:rsidRPr="00707E03">
        <w:t>18</w:t>
      </w:r>
      <w:r w:rsidRPr="00707E03">
        <w:fldChar w:fldCharType="end"/>
      </w:r>
    </w:p>
    <w:p w:rsidR="00707E03" w:rsidRPr="00707E03" w:rsidRDefault="00707E03">
      <w:pPr>
        <w:pStyle w:val="TOC2"/>
        <w:rPr>
          <w:rFonts w:asciiTheme="minorHAnsi" w:eastAsiaTheme="minorEastAsia" w:hAnsiTheme="minorHAnsi" w:cstheme="minorBidi"/>
          <w:sz w:val="22"/>
          <w:szCs w:val="22"/>
        </w:rPr>
      </w:pPr>
      <w:r w:rsidRPr="00707E03">
        <w:rPr>
          <w:rFonts w:cs="Tahoma"/>
        </w:rPr>
        <w:t>Windows Vista DVD Playback Pack</w:t>
      </w:r>
      <w:r w:rsidRPr="00707E03">
        <w:tab/>
      </w:r>
      <w:r w:rsidRPr="00707E03">
        <w:fldChar w:fldCharType="begin"/>
      </w:r>
      <w:r w:rsidRPr="00707E03">
        <w:instrText xml:space="preserve"> PAGEREF _Toc352234505 \h </w:instrText>
      </w:r>
      <w:r w:rsidRPr="00707E03">
        <w:fldChar w:fldCharType="separate"/>
      </w:r>
      <w:r w:rsidRPr="00707E03">
        <w:t>18</w:t>
      </w:r>
      <w:r w:rsidRPr="00707E03">
        <w:fldChar w:fldCharType="end"/>
      </w:r>
    </w:p>
    <w:p w:rsidR="00707E03" w:rsidRPr="00707E03" w:rsidRDefault="00707E03">
      <w:pPr>
        <w:pStyle w:val="TOC2"/>
        <w:rPr>
          <w:rFonts w:asciiTheme="minorHAnsi" w:eastAsiaTheme="minorEastAsia" w:hAnsiTheme="minorHAnsi" w:cstheme="minorBidi"/>
          <w:sz w:val="22"/>
          <w:szCs w:val="22"/>
        </w:rPr>
      </w:pPr>
      <w:r w:rsidRPr="00707E03">
        <w:rPr>
          <w:rFonts w:cs="Tahoma"/>
          <w:lang w:val="it-IT"/>
        </w:rPr>
        <w:t>Diritti di Noleggio per Windows</w:t>
      </w:r>
      <w:r w:rsidRPr="00707E03">
        <w:tab/>
      </w:r>
      <w:r w:rsidRPr="00707E03">
        <w:fldChar w:fldCharType="begin"/>
      </w:r>
      <w:r w:rsidRPr="00707E03">
        <w:instrText xml:space="preserve"> PAGEREF _Toc352234506 \h </w:instrText>
      </w:r>
      <w:r w:rsidRPr="00707E03">
        <w:fldChar w:fldCharType="separate"/>
      </w:r>
      <w:r w:rsidRPr="00707E03">
        <w:t>18</w:t>
      </w:r>
      <w:r w:rsidRPr="00707E03">
        <w:fldChar w:fldCharType="end"/>
      </w:r>
    </w:p>
    <w:p w:rsidR="00707E03" w:rsidRPr="00707E03" w:rsidRDefault="00707E03">
      <w:pPr>
        <w:pStyle w:val="TOC2"/>
        <w:rPr>
          <w:rFonts w:asciiTheme="minorHAnsi" w:eastAsiaTheme="minorEastAsia" w:hAnsiTheme="minorHAnsi" w:cstheme="minorBidi"/>
          <w:sz w:val="22"/>
          <w:szCs w:val="22"/>
        </w:rPr>
      </w:pPr>
      <w:r w:rsidRPr="00707E03">
        <w:rPr>
          <w:rFonts w:cs="Tahoma"/>
        </w:rPr>
        <w:t>Windows 8 Enterprise Sideloading (100 Confezioni)</w:t>
      </w:r>
      <w:r w:rsidRPr="00707E03">
        <w:tab/>
      </w:r>
      <w:r w:rsidRPr="00707E03">
        <w:fldChar w:fldCharType="begin"/>
      </w:r>
      <w:r w:rsidRPr="00707E03">
        <w:instrText xml:space="preserve"> PAGEREF _Toc352234507 \h </w:instrText>
      </w:r>
      <w:r w:rsidRPr="00707E03">
        <w:fldChar w:fldCharType="separate"/>
      </w:r>
      <w:r w:rsidRPr="00707E03">
        <w:t>18</w:t>
      </w:r>
      <w:r w:rsidRPr="00707E03">
        <w:fldChar w:fldCharType="end"/>
      </w:r>
    </w:p>
    <w:p w:rsidR="00707E03" w:rsidRPr="00707E03" w:rsidRDefault="00707E03">
      <w:pPr>
        <w:pStyle w:val="TOC2"/>
        <w:rPr>
          <w:rFonts w:asciiTheme="minorHAnsi" w:eastAsiaTheme="minorEastAsia" w:hAnsiTheme="minorHAnsi" w:cstheme="minorBidi"/>
          <w:sz w:val="22"/>
          <w:szCs w:val="22"/>
        </w:rPr>
      </w:pPr>
      <w:r w:rsidRPr="00707E03">
        <w:rPr>
          <w:rFonts w:cs="Tahoma"/>
        </w:rPr>
        <w:t>Windows</w:t>
      </w:r>
      <w:r w:rsidRPr="00707E03">
        <w:rPr>
          <w:rFonts w:cs="Tahoma"/>
          <w:vertAlign w:val="superscript"/>
        </w:rPr>
        <w:t>®</w:t>
      </w:r>
      <w:r w:rsidRPr="00707E03">
        <w:rPr>
          <w:rFonts w:cs="Tahoma"/>
        </w:rPr>
        <w:t xml:space="preserve"> 7 Partners in Learning</w:t>
      </w:r>
      <w:r w:rsidRPr="00707E03">
        <w:tab/>
      </w:r>
      <w:r w:rsidRPr="00707E03">
        <w:fldChar w:fldCharType="begin"/>
      </w:r>
      <w:r w:rsidRPr="00707E03">
        <w:instrText xml:space="preserve"> PAGEREF _Toc352234508 \h </w:instrText>
      </w:r>
      <w:r w:rsidRPr="00707E03">
        <w:fldChar w:fldCharType="separate"/>
      </w:r>
      <w:r w:rsidRPr="00707E03">
        <w:t>18</w:t>
      </w:r>
      <w:r w:rsidRPr="00707E03">
        <w:fldChar w:fldCharType="end"/>
      </w:r>
    </w:p>
    <w:p w:rsidR="00707E03" w:rsidRPr="00707E03" w:rsidRDefault="00707E03">
      <w:pPr>
        <w:pStyle w:val="TOC2"/>
        <w:rPr>
          <w:rFonts w:asciiTheme="minorHAnsi" w:eastAsiaTheme="minorEastAsia" w:hAnsiTheme="minorHAnsi" w:cstheme="minorBidi"/>
          <w:sz w:val="22"/>
          <w:szCs w:val="22"/>
        </w:rPr>
      </w:pPr>
      <w:r w:rsidRPr="00707E03">
        <w:rPr>
          <w:rFonts w:cs="Tahoma"/>
        </w:rPr>
        <w:t>Windows</w:t>
      </w:r>
      <w:r w:rsidRPr="00707E03">
        <w:rPr>
          <w:rFonts w:cs="Tahoma"/>
          <w:vertAlign w:val="superscript"/>
        </w:rPr>
        <w:t>®</w:t>
      </w:r>
      <w:r w:rsidRPr="00707E03">
        <w:rPr>
          <w:rFonts w:cs="Tahoma"/>
        </w:rPr>
        <w:t xml:space="preserve"> 8 Pro</w:t>
      </w:r>
      <w:r w:rsidRPr="00707E03">
        <w:tab/>
      </w:r>
      <w:r w:rsidRPr="00707E03">
        <w:fldChar w:fldCharType="begin"/>
      </w:r>
      <w:r w:rsidRPr="00707E03">
        <w:instrText xml:space="preserve"> PAGEREF _Toc352234509 \h </w:instrText>
      </w:r>
      <w:r w:rsidRPr="00707E03">
        <w:fldChar w:fldCharType="separate"/>
      </w:r>
      <w:r w:rsidRPr="00707E03">
        <w:t>18</w:t>
      </w:r>
      <w:r w:rsidRPr="00707E03">
        <w:fldChar w:fldCharType="end"/>
      </w:r>
    </w:p>
    <w:p w:rsidR="00707E03" w:rsidRPr="00707E03" w:rsidRDefault="00707E03">
      <w:pPr>
        <w:pStyle w:val="TOC2"/>
        <w:rPr>
          <w:rFonts w:asciiTheme="minorHAnsi" w:eastAsiaTheme="minorEastAsia" w:hAnsiTheme="minorHAnsi" w:cstheme="minorBidi"/>
          <w:sz w:val="22"/>
          <w:szCs w:val="22"/>
        </w:rPr>
      </w:pPr>
      <w:r w:rsidRPr="00707E03">
        <w:rPr>
          <w:rFonts w:cs="Tahoma"/>
        </w:rPr>
        <w:t>Windows</w:t>
      </w:r>
      <w:r w:rsidRPr="00707E03">
        <w:rPr>
          <w:rFonts w:cs="Tahoma"/>
          <w:vertAlign w:val="superscript"/>
        </w:rPr>
        <w:t>®</w:t>
      </w:r>
      <w:r w:rsidRPr="00707E03">
        <w:rPr>
          <w:rFonts w:cs="Tahoma"/>
        </w:rPr>
        <w:t xml:space="preserve"> 8 Pro con MDOP</w:t>
      </w:r>
      <w:r w:rsidRPr="00707E03">
        <w:tab/>
      </w:r>
      <w:r w:rsidRPr="00707E03">
        <w:fldChar w:fldCharType="begin"/>
      </w:r>
      <w:r w:rsidRPr="00707E03">
        <w:instrText xml:space="preserve"> PAGEREF _Toc352234510 \h </w:instrText>
      </w:r>
      <w:r w:rsidRPr="00707E03">
        <w:fldChar w:fldCharType="separate"/>
      </w:r>
      <w:r w:rsidRPr="00707E03">
        <w:t>18</w:t>
      </w:r>
      <w:r w:rsidRPr="00707E03">
        <w:fldChar w:fldCharType="end"/>
      </w:r>
    </w:p>
    <w:p w:rsidR="00707E03" w:rsidRPr="00707E03" w:rsidRDefault="00707E03">
      <w:pPr>
        <w:pStyle w:val="TOC2"/>
        <w:rPr>
          <w:rFonts w:asciiTheme="minorHAnsi" w:eastAsiaTheme="minorEastAsia" w:hAnsiTheme="minorHAnsi" w:cstheme="minorBidi"/>
          <w:sz w:val="22"/>
          <w:szCs w:val="22"/>
        </w:rPr>
      </w:pPr>
      <w:r w:rsidRPr="00707E03">
        <w:rPr>
          <w:rFonts w:cs="Tahoma"/>
        </w:rPr>
        <w:t>Windows Virtual Desktop Access (VDA)</w:t>
      </w:r>
      <w:r w:rsidRPr="00707E03">
        <w:tab/>
      </w:r>
      <w:r w:rsidRPr="00707E03">
        <w:fldChar w:fldCharType="begin"/>
      </w:r>
      <w:r w:rsidRPr="00707E03">
        <w:instrText xml:space="preserve"> PAGEREF _Toc352234511 \h </w:instrText>
      </w:r>
      <w:r w:rsidRPr="00707E03">
        <w:fldChar w:fldCharType="separate"/>
      </w:r>
      <w:r w:rsidRPr="00707E03">
        <w:t>18</w:t>
      </w:r>
      <w:r w:rsidRPr="00707E03">
        <w:fldChar w:fldCharType="end"/>
      </w:r>
    </w:p>
    <w:p w:rsidR="00707E03" w:rsidRPr="00707E03" w:rsidRDefault="00707E03">
      <w:pPr>
        <w:pStyle w:val="TOC2"/>
        <w:rPr>
          <w:rFonts w:asciiTheme="minorHAnsi" w:eastAsiaTheme="minorEastAsia" w:hAnsiTheme="minorHAnsi" w:cstheme="minorBidi"/>
          <w:sz w:val="22"/>
          <w:szCs w:val="22"/>
        </w:rPr>
      </w:pPr>
      <w:r w:rsidRPr="00707E03">
        <w:rPr>
          <w:rFonts w:cs="Tahoma"/>
        </w:rPr>
        <w:t>Windows Intune (Per Dispositivo)</w:t>
      </w:r>
      <w:r w:rsidRPr="00707E03">
        <w:tab/>
      </w:r>
      <w:r w:rsidRPr="00707E03">
        <w:fldChar w:fldCharType="begin"/>
      </w:r>
      <w:r w:rsidRPr="00707E03">
        <w:instrText xml:space="preserve"> PAGEREF _Toc352234512 \h </w:instrText>
      </w:r>
      <w:r w:rsidRPr="00707E03">
        <w:fldChar w:fldCharType="separate"/>
      </w:r>
      <w:r w:rsidRPr="00707E03">
        <w:t>18</w:t>
      </w:r>
      <w:r w:rsidRPr="00707E03">
        <w:fldChar w:fldCharType="end"/>
      </w:r>
    </w:p>
    <w:p w:rsidR="00707E03" w:rsidRPr="00707E03" w:rsidRDefault="00707E03">
      <w:pPr>
        <w:pStyle w:val="TOC2"/>
        <w:rPr>
          <w:rFonts w:asciiTheme="minorHAnsi" w:eastAsiaTheme="minorEastAsia" w:hAnsiTheme="minorHAnsi" w:cstheme="minorBidi"/>
          <w:sz w:val="22"/>
          <w:szCs w:val="22"/>
        </w:rPr>
      </w:pPr>
      <w:r w:rsidRPr="00707E03">
        <w:rPr>
          <w:rFonts w:cs="Tahoma"/>
          <w:lang w:val="it-IT"/>
        </w:rPr>
        <w:t>Componente Aggiuntivo per Windows Intune (Per Dispositivo)</w:t>
      </w:r>
      <w:r w:rsidRPr="00707E03">
        <w:tab/>
      </w:r>
      <w:r w:rsidRPr="00707E03">
        <w:fldChar w:fldCharType="begin"/>
      </w:r>
      <w:r w:rsidRPr="00707E03">
        <w:instrText xml:space="preserve"> PAGEREF _Toc352234513 \h </w:instrText>
      </w:r>
      <w:r w:rsidRPr="00707E03">
        <w:fldChar w:fldCharType="separate"/>
      </w:r>
      <w:r w:rsidRPr="00707E03">
        <w:t>18</w:t>
      </w:r>
      <w:r w:rsidRPr="00707E03">
        <w:fldChar w:fldCharType="end"/>
      </w:r>
    </w:p>
    <w:p w:rsidR="00707E03" w:rsidRPr="00707E03" w:rsidRDefault="00707E03">
      <w:pPr>
        <w:pStyle w:val="TOC3"/>
        <w:rPr>
          <w:rFonts w:asciiTheme="minorHAnsi" w:eastAsiaTheme="minorEastAsia" w:hAnsiTheme="minorHAnsi" w:cstheme="minorBidi"/>
          <w:bCs w:val="0"/>
          <w:color w:val="auto"/>
          <w:sz w:val="22"/>
          <w:szCs w:val="22"/>
        </w:rPr>
      </w:pPr>
      <w:r w:rsidRPr="00707E03">
        <w:rPr>
          <w:color w:val="auto"/>
        </w:rPr>
        <w:t>POOL DI SERVER</w:t>
      </w:r>
      <w:r w:rsidRPr="00707E03">
        <w:rPr>
          <w:color w:val="auto"/>
        </w:rPr>
        <w:tab/>
      </w:r>
      <w:r w:rsidRPr="00707E03">
        <w:rPr>
          <w:color w:val="auto"/>
        </w:rPr>
        <w:fldChar w:fldCharType="begin"/>
      </w:r>
      <w:r w:rsidRPr="00707E03">
        <w:rPr>
          <w:color w:val="auto"/>
        </w:rPr>
        <w:instrText xml:space="preserve"> PAGEREF _Toc352234514 \h </w:instrText>
      </w:r>
      <w:r w:rsidRPr="00707E03">
        <w:rPr>
          <w:color w:val="auto"/>
        </w:rPr>
      </w:r>
      <w:r w:rsidRPr="00707E03">
        <w:rPr>
          <w:color w:val="auto"/>
        </w:rPr>
        <w:fldChar w:fldCharType="separate"/>
      </w:r>
      <w:r w:rsidRPr="00707E03">
        <w:rPr>
          <w:color w:val="auto"/>
        </w:rPr>
        <w:t>18</w:t>
      </w:r>
      <w:r w:rsidRPr="00707E03">
        <w:rPr>
          <w:color w:val="auto"/>
        </w:rPr>
        <w:fldChar w:fldCharType="end"/>
      </w:r>
    </w:p>
    <w:p w:rsidR="00707E03" w:rsidRPr="00707E03" w:rsidRDefault="00707E03">
      <w:pPr>
        <w:pStyle w:val="TOC2"/>
        <w:rPr>
          <w:rFonts w:asciiTheme="minorHAnsi" w:eastAsiaTheme="minorEastAsia" w:hAnsiTheme="minorHAnsi" w:cstheme="minorBidi"/>
          <w:sz w:val="22"/>
          <w:szCs w:val="22"/>
        </w:rPr>
      </w:pPr>
      <w:r w:rsidRPr="00707E03">
        <w:rPr>
          <w:rFonts w:cs="Tahoma"/>
        </w:rPr>
        <w:t>Bing Maps Consumer Tracked Per Asset Monthly Sub</w:t>
      </w:r>
      <w:r w:rsidRPr="00707E03">
        <w:tab/>
      </w:r>
      <w:r w:rsidRPr="00707E03">
        <w:fldChar w:fldCharType="begin"/>
      </w:r>
      <w:r w:rsidRPr="00707E03">
        <w:instrText xml:space="preserve"> PAGEREF _Toc352234515 \h </w:instrText>
      </w:r>
      <w:r w:rsidRPr="00707E03">
        <w:fldChar w:fldCharType="separate"/>
      </w:r>
      <w:r w:rsidRPr="00707E03">
        <w:t>18</w:t>
      </w:r>
      <w:r w:rsidRPr="00707E03">
        <w:fldChar w:fldCharType="end"/>
      </w:r>
    </w:p>
    <w:p w:rsidR="00707E03" w:rsidRPr="00707E03" w:rsidRDefault="00707E03">
      <w:pPr>
        <w:pStyle w:val="TOC2"/>
        <w:rPr>
          <w:rFonts w:asciiTheme="minorHAnsi" w:eastAsiaTheme="minorEastAsia" w:hAnsiTheme="minorHAnsi" w:cstheme="minorBidi"/>
          <w:sz w:val="22"/>
          <w:szCs w:val="22"/>
        </w:rPr>
      </w:pPr>
      <w:r w:rsidRPr="00707E03">
        <w:rPr>
          <w:rFonts w:cs="Tahoma"/>
        </w:rPr>
        <w:t>Bing Maps for Enterprise Platform Fee Monthly Sub</w:t>
      </w:r>
      <w:r w:rsidRPr="00707E03">
        <w:tab/>
      </w:r>
      <w:r w:rsidRPr="00707E03">
        <w:fldChar w:fldCharType="begin"/>
      </w:r>
      <w:r w:rsidRPr="00707E03">
        <w:instrText xml:space="preserve"> PAGEREF _Toc352234516 \h </w:instrText>
      </w:r>
      <w:r w:rsidRPr="00707E03">
        <w:fldChar w:fldCharType="separate"/>
      </w:r>
      <w:r w:rsidRPr="00707E03">
        <w:t>18</w:t>
      </w:r>
      <w:r w:rsidRPr="00707E03">
        <w:fldChar w:fldCharType="end"/>
      </w:r>
    </w:p>
    <w:p w:rsidR="00707E03" w:rsidRPr="00707E03" w:rsidRDefault="00707E03">
      <w:pPr>
        <w:pStyle w:val="TOC2"/>
        <w:rPr>
          <w:rFonts w:asciiTheme="minorHAnsi" w:eastAsiaTheme="minorEastAsia" w:hAnsiTheme="minorHAnsi" w:cstheme="minorBidi"/>
          <w:sz w:val="22"/>
          <w:szCs w:val="22"/>
        </w:rPr>
      </w:pPr>
      <w:r w:rsidRPr="00707E03">
        <w:rPr>
          <w:rFonts w:cs="Tahoma"/>
        </w:rPr>
        <w:t>Bing Maps Public Website Usage 100K Transactions Monthly Sub</w:t>
      </w:r>
      <w:r w:rsidRPr="00707E03">
        <w:tab/>
      </w:r>
      <w:r w:rsidRPr="00707E03">
        <w:fldChar w:fldCharType="begin"/>
      </w:r>
      <w:r w:rsidRPr="00707E03">
        <w:instrText xml:space="preserve"> PAGEREF _Toc352234517 \h </w:instrText>
      </w:r>
      <w:r w:rsidRPr="00707E03">
        <w:fldChar w:fldCharType="separate"/>
      </w:r>
      <w:r w:rsidRPr="00707E03">
        <w:t>18</w:t>
      </w:r>
      <w:r w:rsidRPr="00707E03">
        <w:fldChar w:fldCharType="end"/>
      </w:r>
    </w:p>
    <w:p w:rsidR="00707E03" w:rsidRPr="00707E03" w:rsidRDefault="00707E03">
      <w:pPr>
        <w:pStyle w:val="TOC2"/>
        <w:rPr>
          <w:rFonts w:asciiTheme="minorHAnsi" w:eastAsiaTheme="minorEastAsia" w:hAnsiTheme="minorHAnsi" w:cstheme="minorBidi"/>
          <w:sz w:val="22"/>
          <w:szCs w:val="22"/>
        </w:rPr>
      </w:pPr>
      <w:r w:rsidRPr="00707E03">
        <w:rPr>
          <w:rFonts w:cs="Tahoma"/>
        </w:rPr>
        <w:t>Bing Maps Public Website Usage 250K Transactions Monthly Sub</w:t>
      </w:r>
      <w:r w:rsidRPr="00707E03">
        <w:tab/>
      </w:r>
      <w:r w:rsidRPr="00707E03">
        <w:fldChar w:fldCharType="begin"/>
      </w:r>
      <w:r w:rsidRPr="00707E03">
        <w:instrText xml:space="preserve"> PAGEREF _Toc352234518 \h </w:instrText>
      </w:r>
      <w:r w:rsidRPr="00707E03">
        <w:fldChar w:fldCharType="separate"/>
      </w:r>
      <w:r w:rsidRPr="00707E03">
        <w:t>18</w:t>
      </w:r>
      <w:r w:rsidRPr="00707E03">
        <w:fldChar w:fldCharType="end"/>
      </w:r>
    </w:p>
    <w:p w:rsidR="00707E03" w:rsidRPr="00707E03" w:rsidRDefault="00707E03">
      <w:pPr>
        <w:pStyle w:val="TOC2"/>
        <w:rPr>
          <w:rFonts w:asciiTheme="minorHAnsi" w:eastAsiaTheme="minorEastAsia" w:hAnsiTheme="minorHAnsi" w:cstheme="minorBidi"/>
          <w:sz w:val="22"/>
          <w:szCs w:val="22"/>
        </w:rPr>
      </w:pPr>
      <w:r w:rsidRPr="00707E03">
        <w:rPr>
          <w:rFonts w:cs="Tahoma"/>
        </w:rPr>
        <w:t>Bing Maps Public Website Usage 420K Transactions Monthly Sub</w:t>
      </w:r>
      <w:r w:rsidRPr="00707E03">
        <w:tab/>
      </w:r>
      <w:r w:rsidRPr="00707E03">
        <w:fldChar w:fldCharType="begin"/>
      </w:r>
      <w:r w:rsidRPr="00707E03">
        <w:instrText xml:space="preserve"> PAGEREF _Toc352234519 \h </w:instrText>
      </w:r>
      <w:r w:rsidRPr="00707E03">
        <w:fldChar w:fldCharType="separate"/>
      </w:r>
      <w:r w:rsidRPr="00707E03">
        <w:t>18</w:t>
      </w:r>
      <w:r w:rsidRPr="00707E03">
        <w:fldChar w:fldCharType="end"/>
      </w:r>
    </w:p>
    <w:p w:rsidR="00707E03" w:rsidRPr="00707E03" w:rsidRDefault="00707E03">
      <w:pPr>
        <w:pStyle w:val="TOC2"/>
        <w:rPr>
          <w:rFonts w:asciiTheme="minorHAnsi" w:eastAsiaTheme="minorEastAsia" w:hAnsiTheme="minorHAnsi" w:cstheme="minorBidi"/>
          <w:sz w:val="22"/>
          <w:szCs w:val="22"/>
        </w:rPr>
      </w:pPr>
      <w:r w:rsidRPr="00707E03">
        <w:rPr>
          <w:rFonts w:cs="Tahoma"/>
        </w:rPr>
        <w:t>Bing Maps Public Website Usage 420K Transactions Monthly Sub</w:t>
      </w:r>
      <w:r w:rsidRPr="00707E03">
        <w:tab/>
      </w:r>
      <w:r w:rsidRPr="00707E03">
        <w:fldChar w:fldCharType="begin"/>
      </w:r>
      <w:r w:rsidRPr="00707E03">
        <w:instrText xml:space="preserve"> PAGEREF _Toc352234520 \h </w:instrText>
      </w:r>
      <w:r w:rsidRPr="00707E03">
        <w:fldChar w:fldCharType="separate"/>
      </w:r>
      <w:r w:rsidRPr="00707E03">
        <w:t>18</w:t>
      </w:r>
      <w:r w:rsidRPr="00707E03">
        <w:fldChar w:fldCharType="end"/>
      </w:r>
    </w:p>
    <w:p w:rsidR="00707E03" w:rsidRPr="00707E03" w:rsidRDefault="00707E03">
      <w:pPr>
        <w:pStyle w:val="TOC2"/>
        <w:rPr>
          <w:rFonts w:asciiTheme="minorHAnsi" w:eastAsiaTheme="minorEastAsia" w:hAnsiTheme="minorHAnsi" w:cstheme="minorBidi"/>
          <w:sz w:val="22"/>
          <w:szCs w:val="22"/>
        </w:rPr>
      </w:pPr>
      <w:r w:rsidRPr="00707E03">
        <w:rPr>
          <w:rFonts w:cs="Tahoma"/>
        </w:rPr>
        <w:t>Bing Maps Public Website Usage 840K Transactions Monthly Sub</w:t>
      </w:r>
      <w:r w:rsidRPr="00707E03">
        <w:tab/>
      </w:r>
      <w:r w:rsidRPr="00707E03">
        <w:fldChar w:fldCharType="begin"/>
      </w:r>
      <w:r w:rsidRPr="00707E03">
        <w:instrText xml:space="preserve"> PAGEREF _Toc352234521 \h </w:instrText>
      </w:r>
      <w:r w:rsidRPr="00707E03">
        <w:fldChar w:fldCharType="separate"/>
      </w:r>
      <w:r w:rsidRPr="00707E03">
        <w:t>18</w:t>
      </w:r>
      <w:r w:rsidRPr="00707E03">
        <w:fldChar w:fldCharType="end"/>
      </w:r>
    </w:p>
    <w:p w:rsidR="00707E03" w:rsidRPr="00707E03" w:rsidRDefault="00707E03">
      <w:pPr>
        <w:pStyle w:val="TOC2"/>
        <w:rPr>
          <w:rFonts w:asciiTheme="minorHAnsi" w:eastAsiaTheme="minorEastAsia" w:hAnsiTheme="minorHAnsi" w:cstheme="minorBidi"/>
          <w:sz w:val="22"/>
          <w:szCs w:val="22"/>
        </w:rPr>
      </w:pPr>
      <w:r w:rsidRPr="00707E03">
        <w:rPr>
          <w:rFonts w:cs="Tahoma"/>
        </w:rPr>
        <w:t>Bing Maps Public Website Usage 2,5m Transactions Monthly Sub</w:t>
      </w:r>
      <w:r w:rsidRPr="00707E03">
        <w:tab/>
      </w:r>
      <w:r w:rsidRPr="00707E03">
        <w:fldChar w:fldCharType="begin"/>
      </w:r>
      <w:r w:rsidRPr="00707E03">
        <w:instrText xml:space="preserve"> PAGEREF _Toc352234522 \h </w:instrText>
      </w:r>
      <w:r w:rsidRPr="00707E03">
        <w:fldChar w:fldCharType="separate"/>
      </w:r>
      <w:r w:rsidRPr="00707E03">
        <w:t>18</w:t>
      </w:r>
      <w:r w:rsidRPr="00707E03">
        <w:fldChar w:fldCharType="end"/>
      </w:r>
    </w:p>
    <w:p w:rsidR="00707E03" w:rsidRPr="00707E03" w:rsidRDefault="00707E03">
      <w:pPr>
        <w:pStyle w:val="TOC2"/>
        <w:rPr>
          <w:rFonts w:asciiTheme="minorHAnsi" w:eastAsiaTheme="minorEastAsia" w:hAnsiTheme="minorHAnsi" w:cstheme="minorBidi"/>
          <w:sz w:val="22"/>
          <w:szCs w:val="22"/>
        </w:rPr>
      </w:pPr>
      <w:r w:rsidRPr="00707E03">
        <w:rPr>
          <w:rFonts w:cs="Tahoma"/>
        </w:rPr>
        <w:t>Bing Maps Public Website Usage 4,2m Transactions Monthly Sub</w:t>
      </w:r>
      <w:r w:rsidRPr="00707E03">
        <w:tab/>
      </w:r>
      <w:r w:rsidRPr="00707E03">
        <w:fldChar w:fldCharType="begin"/>
      </w:r>
      <w:r w:rsidRPr="00707E03">
        <w:instrText xml:space="preserve"> PAGEREF _Toc352234523 \h </w:instrText>
      </w:r>
      <w:r w:rsidRPr="00707E03">
        <w:fldChar w:fldCharType="separate"/>
      </w:r>
      <w:r w:rsidRPr="00707E03">
        <w:t>18</w:t>
      </w:r>
      <w:r w:rsidRPr="00707E03">
        <w:fldChar w:fldCharType="end"/>
      </w:r>
    </w:p>
    <w:p w:rsidR="00707E03" w:rsidRPr="00707E03" w:rsidRDefault="00707E03">
      <w:pPr>
        <w:pStyle w:val="TOC2"/>
        <w:rPr>
          <w:rFonts w:asciiTheme="minorHAnsi" w:eastAsiaTheme="minorEastAsia" w:hAnsiTheme="minorHAnsi" w:cstheme="minorBidi"/>
          <w:sz w:val="22"/>
          <w:szCs w:val="22"/>
        </w:rPr>
      </w:pPr>
      <w:r w:rsidRPr="00707E03">
        <w:rPr>
          <w:rFonts w:cs="Tahoma"/>
        </w:rPr>
        <w:t>Bing Maps Public Website Usage 8,4m Transactions Monthly Sub</w:t>
      </w:r>
      <w:r w:rsidRPr="00707E03">
        <w:tab/>
      </w:r>
      <w:r w:rsidRPr="00707E03">
        <w:fldChar w:fldCharType="begin"/>
      </w:r>
      <w:r w:rsidRPr="00707E03">
        <w:instrText xml:space="preserve"> PAGEREF _Toc352234524 \h </w:instrText>
      </w:r>
      <w:r w:rsidRPr="00707E03">
        <w:fldChar w:fldCharType="separate"/>
      </w:r>
      <w:r w:rsidRPr="00707E03">
        <w:t>18</w:t>
      </w:r>
      <w:r w:rsidRPr="00707E03">
        <w:fldChar w:fldCharType="end"/>
      </w:r>
    </w:p>
    <w:p w:rsidR="00707E03" w:rsidRPr="00707E03" w:rsidRDefault="00707E03">
      <w:pPr>
        <w:pStyle w:val="TOC2"/>
        <w:rPr>
          <w:rFonts w:asciiTheme="minorHAnsi" w:eastAsiaTheme="minorEastAsia" w:hAnsiTheme="minorHAnsi" w:cstheme="minorBidi"/>
          <w:sz w:val="22"/>
          <w:szCs w:val="22"/>
        </w:rPr>
      </w:pPr>
      <w:r w:rsidRPr="00707E03">
        <w:rPr>
          <w:rFonts w:cs="Tahoma"/>
        </w:rPr>
        <w:t>Bing Maps Public Website Usage Unlimited Transactions Monthly Sub</w:t>
      </w:r>
      <w:r w:rsidRPr="00707E03">
        <w:tab/>
      </w:r>
      <w:r w:rsidRPr="00707E03">
        <w:fldChar w:fldCharType="begin"/>
      </w:r>
      <w:r w:rsidRPr="00707E03">
        <w:instrText xml:space="preserve"> PAGEREF _Toc352234525 \h </w:instrText>
      </w:r>
      <w:r w:rsidRPr="00707E03">
        <w:fldChar w:fldCharType="separate"/>
      </w:r>
      <w:r w:rsidRPr="00707E03">
        <w:t>18</w:t>
      </w:r>
      <w:r w:rsidRPr="00707E03">
        <w:fldChar w:fldCharType="end"/>
      </w:r>
    </w:p>
    <w:p w:rsidR="00707E03" w:rsidRPr="00707E03" w:rsidRDefault="00707E03">
      <w:pPr>
        <w:pStyle w:val="TOC2"/>
        <w:rPr>
          <w:rFonts w:asciiTheme="minorHAnsi" w:eastAsiaTheme="minorEastAsia" w:hAnsiTheme="minorHAnsi" w:cstheme="minorBidi"/>
          <w:sz w:val="22"/>
          <w:szCs w:val="22"/>
        </w:rPr>
      </w:pPr>
      <w:r w:rsidRPr="00707E03">
        <w:rPr>
          <w:rFonts w:cs="Tahoma"/>
        </w:rPr>
        <w:t>Bing Maps Internal Website Usage 100K Transactions Monthly Sub</w:t>
      </w:r>
      <w:r w:rsidRPr="00707E03">
        <w:tab/>
      </w:r>
      <w:r w:rsidRPr="00707E03">
        <w:fldChar w:fldCharType="begin"/>
      </w:r>
      <w:r w:rsidRPr="00707E03">
        <w:instrText xml:space="preserve"> PAGEREF _Toc352234526 \h </w:instrText>
      </w:r>
      <w:r w:rsidRPr="00707E03">
        <w:fldChar w:fldCharType="separate"/>
      </w:r>
      <w:r w:rsidRPr="00707E03">
        <w:t>18</w:t>
      </w:r>
      <w:r w:rsidRPr="00707E03">
        <w:fldChar w:fldCharType="end"/>
      </w:r>
    </w:p>
    <w:p w:rsidR="00707E03" w:rsidRPr="00707E03" w:rsidRDefault="00707E03">
      <w:pPr>
        <w:pStyle w:val="TOC2"/>
        <w:rPr>
          <w:rFonts w:asciiTheme="minorHAnsi" w:eastAsiaTheme="minorEastAsia" w:hAnsiTheme="minorHAnsi" w:cstheme="minorBidi"/>
          <w:sz w:val="22"/>
          <w:szCs w:val="22"/>
        </w:rPr>
      </w:pPr>
      <w:r w:rsidRPr="00707E03">
        <w:rPr>
          <w:rFonts w:cs="Tahoma"/>
        </w:rPr>
        <w:t>Bing Maps Internal Website Usage 250K Transactions Monthly Sub</w:t>
      </w:r>
      <w:r w:rsidRPr="00707E03">
        <w:tab/>
      </w:r>
      <w:r w:rsidRPr="00707E03">
        <w:fldChar w:fldCharType="begin"/>
      </w:r>
      <w:r w:rsidRPr="00707E03">
        <w:instrText xml:space="preserve"> PAGEREF _Toc352234527 \h </w:instrText>
      </w:r>
      <w:r w:rsidRPr="00707E03">
        <w:fldChar w:fldCharType="separate"/>
      </w:r>
      <w:r w:rsidRPr="00707E03">
        <w:t>18</w:t>
      </w:r>
      <w:r w:rsidRPr="00707E03">
        <w:fldChar w:fldCharType="end"/>
      </w:r>
    </w:p>
    <w:p w:rsidR="00707E03" w:rsidRPr="00707E03" w:rsidRDefault="00707E03">
      <w:pPr>
        <w:pStyle w:val="TOC2"/>
        <w:rPr>
          <w:rFonts w:asciiTheme="minorHAnsi" w:eastAsiaTheme="minorEastAsia" w:hAnsiTheme="minorHAnsi" w:cstheme="minorBidi"/>
          <w:sz w:val="22"/>
          <w:szCs w:val="22"/>
        </w:rPr>
      </w:pPr>
      <w:r w:rsidRPr="00707E03">
        <w:rPr>
          <w:rFonts w:cs="Tahoma"/>
        </w:rPr>
        <w:t>Bing Maps Internal Website Usage 420K Transactions Monthly Sub</w:t>
      </w:r>
      <w:r w:rsidRPr="00707E03">
        <w:tab/>
      </w:r>
      <w:r w:rsidRPr="00707E03">
        <w:fldChar w:fldCharType="begin"/>
      </w:r>
      <w:r w:rsidRPr="00707E03">
        <w:instrText xml:space="preserve"> PAGEREF _Toc352234528 \h </w:instrText>
      </w:r>
      <w:r w:rsidRPr="00707E03">
        <w:fldChar w:fldCharType="separate"/>
      </w:r>
      <w:r w:rsidRPr="00707E03">
        <w:t>18</w:t>
      </w:r>
      <w:r w:rsidRPr="00707E03">
        <w:fldChar w:fldCharType="end"/>
      </w:r>
    </w:p>
    <w:p w:rsidR="00707E03" w:rsidRPr="00707E03" w:rsidRDefault="00707E03">
      <w:pPr>
        <w:pStyle w:val="TOC2"/>
        <w:rPr>
          <w:rFonts w:asciiTheme="minorHAnsi" w:eastAsiaTheme="minorEastAsia" w:hAnsiTheme="minorHAnsi" w:cstheme="minorBidi"/>
          <w:sz w:val="22"/>
          <w:szCs w:val="22"/>
        </w:rPr>
      </w:pPr>
      <w:r w:rsidRPr="00707E03">
        <w:rPr>
          <w:rFonts w:cs="Tahoma"/>
        </w:rPr>
        <w:t>Bing Maps Internal Website Usage 1,25m Transactions Monthly Sub</w:t>
      </w:r>
      <w:r w:rsidRPr="00707E03">
        <w:tab/>
      </w:r>
      <w:r w:rsidRPr="00707E03">
        <w:fldChar w:fldCharType="begin"/>
      </w:r>
      <w:r w:rsidRPr="00707E03">
        <w:instrText xml:space="preserve"> PAGEREF _Toc352234529 \h </w:instrText>
      </w:r>
      <w:r w:rsidRPr="00707E03">
        <w:fldChar w:fldCharType="separate"/>
      </w:r>
      <w:r w:rsidRPr="00707E03">
        <w:t>18</w:t>
      </w:r>
      <w:r w:rsidRPr="00707E03">
        <w:fldChar w:fldCharType="end"/>
      </w:r>
    </w:p>
    <w:p w:rsidR="00707E03" w:rsidRPr="00707E03" w:rsidRDefault="00707E03">
      <w:pPr>
        <w:pStyle w:val="TOC2"/>
        <w:rPr>
          <w:rFonts w:asciiTheme="minorHAnsi" w:eastAsiaTheme="minorEastAsia" w:hAnsiTheme="minorHAnsi" w:cstheme="minorBidi"/>
          <w:sz w:val="22"/>
          <w:szCs w:val="22"/>
        </w:rPr>
      </w:pPr>
      <w:r w:rsidRPr="00707E03">
        <w:rPr>
          <w:rFonts w:cs="Tahoma"/>
        </w:rPr>
        <w:t>Bing Maps Internal Website Usage 2,1m Transactions Monthly Sub</w:t>
      </w:r>
      <w:r w:rsidRPr="00707E03">
        <w:tab/>
      </w:r>
      <w:r w:rsidRPr="00707E03">
        <w:fldChar w:fldCharType="begin"/>
      </w:r>
      <w:r w:rsidRPr="00707E03">
        <w:instrText xml:space="preserve"> PAGEREF _Toc352234530 \h </w:instrText>
      </w:r>
      <w:r w:rsidRPr="00707E03">
        <w:fldChar w:fldCharType="separate"/>
      </w:r>
      <w:r w:rsidRPr="00707E03">
        <w:t>18</w:t>
      </w:r>
      <w:r w:rsidRPr="00707E03">
        <w:fldChar w:fldCharType="end"/>
      </w:r>
    </w:p>
    <w:p w:rsidR="00707E03" w:rsidRPr="00707E03" w:rsidRDefault="00707E03">
      <w:pPr>
        <w:pStyle w:val="TOC2"/>
        <w:rPr>
          <w:rFonts w:asciiTheme="minorHAnsi" w:eastAsiaTheme="minorEastAsia" w:hAnsiTheme="minorHAnsi" w:cstheme="minorBidi"/>
          <w:sz w:val="22"/>
          <w:szCs w:val="22"/>
        </w:rPr>
      </w:pPr>
      <w:r w:rsidRPr="00707E03">
        <w:rPr>
          <w:rFonts w:cs="Tahoma"/>
        </w:rPr>
        <w:t>Bing Maps Internal Website Usage Unlimited Transactions Monthly Sub</w:t>
      </w:r>
      <w:r w:rsidRPr="00707E03">
        <w:tab/>
      </w:r>
      <w:r w:rsidRPr="00707E03">
        <w:fldChar w:fldCharType="begin"/>
      </w:r>
      <w:r w:rsidRPr="00707E03">
        <w:instrText xml:space="preserve"> PAGEREF _Toc352234531 \h </w:instrText>
      </w:r>
      <w:r w:rsidRPr="00707E03">
        <w:fldChar w:fldCharType="separate"/>
      </w:r>
      <w:r w:rsidRPr="00707E03">
        <w:t>18</w:t>
      </w:r>
      <w:r w:rsidRPr="00707E03">
        <w:fldChar w:fldCharType="end"/>
      </w:r>
    </w:p>
    <w:p w:rsidR="00707E03" w:rsidRPr="00707E03" w:rsidRDefault="00707E03">
      <w:pPr>
        <w:pStyle w:val="TOC2"/>
        <w:rPr>
          <w:rFonts w:asciiTheme="minorHAnsi" w:eastAsiaTheme="minorEastAsia" w:hAnsiTheme="minorHAnsi" w:cstheme="minorBidi"/>
          <w:sz w:val="22"/>
          <w:szCs w:val="22"/>
        </w:rPr>
      </w:pPr>
      <w:r w:rsidRPr="00707E03">
        <w:rPr>
          <w:rFonts w:cs="Tahoma"/>
        </w:rPr>
        <w:t>Bing Maps Per Known User Monthly Sub</w:t>
      </w:r>
      <w:r w:rsidRPr="00707E03">
        <w:tab/>
      </w:r>
      <w:r w:rsidRPr="00707E03">
        <w:fldChar w:fldCharType="begin"/>
      </w:r>
      <w:r w:rsidRPr="00707E03">
        <w:instrText xml:space="preserve"> PAGEREF _Toc352234532 \h </w:instrText>
      </w:r>
      <w:r w:rsidRPr="00707E03">
        <w:fldChar w:fldCharType="separate"/>
      </w:r>
      <w:r w:rsidRPr="00707E03">
        <w:t>19</w:t>
      </w:r>
      <w:r w:rsidRPr="00707E03">
        <w:fldChar w:fldCharType="end"/>
      </w:r>
    </w:p>
    <w:p w:rsidR="00707E03" w:rsidRPr="00707E03" w:rsidRDefault="00707E03">
      <w:pPr>
        <w:pStyle w:val="TOC2"/>
        <w:rPr>
          <w:rFonts w:asciiTheme="minorHAnsi" w:eastAsiaTheme="minorEastAsia" w:hAnsiTheme="minorHAnsi" w:cstheme="minorBidi"/>
          <w:sz w:val="22"/>
          <w:szCs w:val="22"/>
        </w:rPr>
      </w:pPr>
      <w:r w:rsidRPr="00707E03">
        <w:rPr>
          <w:rFonts w:cs="Tahoma"/>
        </w:rPr>
        <w:t>Bing Maps Known User 5K Bundle Monthly Sub</w:t>
      </w:r>
      <w:r w:rsidRPr="00707E03">
        <w:tab/>
      </w:r>
      <w:r w:rsidRPr="00707E03">
        <w:fldChar w:fldCharType="begin"/>
      </w:r>
      <w:r w:rsidRPr="00707E03">
        <w:instrText xml:space="preserve"> PAGEREF _Toc352234533 \h </w:instrText>
      </w:r>
      <w:r w:rsidRPr="00707E03">
        <w:fldChar w:fldCharType="separate"/>
      </w:r>
      <w:r w:rsidRPr="00707E03">
        <w:t>19</w:t>
      </w:r>
      <w:r w:rsidRPr="00707E03">
        <w:fldChar w:fldCharType="end"/>
      </w:r>
    </w:p>
    <w:p w:rsidR="00707E03" w:rsidRPr="00707E03" w:rsidRDefault="00707E03">
      <w:pPr>
        <w:pStyle w:val="TOC2"/>
        <w:rPr>
          <w:rFonts w:asciiTheme="minorHAnsi" w:eastAsiaTheme="minorEastAsia" w:hAnsiTheme="minorHAnsi" w:cstheme="minorBidi"/>
          <w:sz w:val="22"/>
          <w:szCs w:val="22"/>
        </w:rPr>
      </w:pPr>
      <w:r w:rsidRPr="00707E03">
        <w:rPr>
          <w:rFonts w:cs="Tahoma"/>
        </w:rPr>
        <w:t>Bing Maps Light Known Per User Monthly Sub</w:t>
      </w:r>
      <w:r w:rsidRPr="00707E03">
        <w:tab/>
      </w:r>
      <w:r w:rsidRPr="00707E03">
        <w:fldChar w:fldCharType="begin"/>
      </w:r>
      <w:r w:rsidRPr="00707E03">
        <w:instrText xml:space="preserve"> PAGEREF _Toc352234534 \h </w:instrText>
      </w:r>
      <w:r w:rsidRPr="00707E03">
        <w:fldChar w:fldCharType="separate"/>
      </w:r>
      <w:r w:rsidRPr="00707E03">
        <w:t>19</w:t>
      </w:r>
      <w:r w:rsidRPr="00707E03">
        <w:fldChar w:fldCharType="end"/>
      </w:r>
    </w:p>
    <w:p w:rsidR="00707E03" w:rsidRPr="00707E03" w:rsidRDefault="00707E03">
      <w:pPr>
        <w:pStyle w:val="TOC2"/>
        <w:rPr>
          <w:rFonts w:asciiTheme="minorHAnsi" w:eastAsiaTheme="minorEastAsia" w:hAnsiTheme="minorHAnsi" w:cstheme="minorBidi"/>
          <w:sz w:val="22"/>
          <w:szCs w:val="22"/>
        </w:rPr>
      </w:pPr>
      <w:r w:rsidRPr="00707E03">
        <w:rPr>
          <w:rFonts w:cs="Tahoma"/>
        </w:rPr>
        <w:t>Bing Maps Light Known 5K User Bundle Monthly Sub</w:t>
      </w:r>
      <w:r w:rsidRPr="00707E03">
        <w:tab/>
      </w:r>
      <w:r w:rsidRPr="00707E03">
        <w:fldChar w:fldCharType="begin"/>
      </w:r>
      <w:r w:rsidRPr="00707E03">
        <w:instrText xml:space="preserve"> PAGEREF _Toc352234535 \h </w:instrText>
      </w:r>
      <w:r w:rsidRPr="00707E03">
        <w:fldChar w:fldCharType="separate"/>
      </w:r>
      <w:r w:rsidRPr="00707E03">
        <w:t>19</w:t>
      </w:r>
      <w:r w:rsidRPr="00707E03">
        <w:fldChar w:fldCharType="end"/>
      </w:r>
    </w:p>
    <w:p w:rsidR="00707E03" w:rsidRPr="00707E03" w:rsidRDefault="00707E03">
      <w:pPr>
        <w:pStyle w:val="TOC2"/>
        <w:rPr>
          <w:rFonts w:asciiTheme="minorHAnsi" w:eastAsiaTheme="minorEastAsia" w:hAnsiTheme="minorHAnsi" w:cstheme="minorBidi"/>
          <w:sz w:val="22"/>
          <w:szCs w:val="22"/>
        </w:rPr>
      </w:pPr>
      <w:r w:rsidRPr="00707E03">
        <w:rPr>
          <w:rFonts w:cs="Tahoma"/>
        </w:rPr>
        <w:t>Bing Maps Mobile Asset Management Platform Fee Monthly Sub</w:t>
      </w:r>
      <w:r w:rsidRPr="00707E03">
        <w:tab/>
      </w:r>
      <w:r w:rsidRPr="00707E03">
        <w:fldChar w:fldCharType="begin"/>
      </w:r>
      <w:r w:rsidRPr="00707E03">
        <w:instrText xml:space="preserve"> PAGEREF _Toc352234536 \h </w:instrText>
      </w:r>
      <w:r w:rsidRPr="00707E03">
        <w:fldChar w:fldCharType="separate"/>
      </w:r>
      <w:r w:rsidRPr="00707E03">
        <w:t>19</w:t>
      </w:r>
      <w:r w:rsidRPr="00707E03">
        <w:fldChar w:fldCharType="end"/>
      </w:r>
    </w:p>
    <w:p w:rsidR="00707E03" w:rsidRPr="00707E03" w:rsidRDefault="00707E03">
      <w:pPr>
        <w:pStyle w:val="TOC2"/>
        <w:rPr>
          <w:rFonts w:asciiTheme="minorHAnsi" w:eastAsiaTheme="minorEastAsia" w:hAnsiTheme="minorHAnsi" w:cstheme="minorBidi"/>
          <w:sz w:val="22"/>
          <w:szCs w:val="22"/>
        </w:rPr>
      </w:pPr>
      <w:r w:rsidRPr="00707E03">
        <w:rPr>
          <w:rFonts w:cs="Tahoma"/>
        </w:rPr>
        <w:t>Bing Maps Mobile Asset Management NA w routing Per Asset Monthly Sub</w:t>
      </w:r>
      <w:r w:rsidRPr="00707E03">
        <w:tab/>
      </w:r>
      <w:r w:rsidRPr="00707E03">
        <w:fldChar w:fldCharType="begin"/>
      </w:r>
      <w:r w:rsidRPr="00707E03">
        <w:instrText xml:space="preserve"> PAGEREF _Toc352234537 \h </w:instrText>
      </w:r>
      <w:r w:rsidRPr="00707E03">
        <w:fldChar w:fldCharType="separate"/>
      </w:r>
      <w:r w:rsidRPr="00707E03">
        <w:t>19</w:t>
      </w:r>
      <w:r w:rsidRPr="00707E03">
        <w:fldChar w:fldCharType="end"/>
      </w:r>
    </w:p>
    <w:p w:rsidR="00707E03" w:rsidRPr="00707E03" w:rsidRDefault="00707E03">
      <w:pPr>
        <w:pStyle w:val="TOC2"/>
        <w:rPr>
          <w:rFonts w:asciiTheme="minorHAnsi" w:eastAsiaTheme="minorEastAsia" w:hAnsiTheme="minorHAnsi" w:cstheme="minorBidi"/>
          <w:sz w:val="22"/>
          <w:szCs w:val="22"/>
        </w:rPr>
      </w:pPr>
      <w:r w:rsidRPr="00707E03">
        <w:rPr>
          <w:rFonts w:cs="Tahoma"/>
        </w:rPr>
        <w:t>Bing Maps Mobile Asset Management NA w/o routing Per Asset Monthly Sub</w:t>
      </w:r>
      <w:r w:rsidRPr="00707E03">
        <w:tab/>
      </w:r>
      <w:r w:rsidRPr="00707E03">
        <w:fldChar w:fldCharType="begin"/>
      </w:r>
      <w:r w:rsidRPr="00707E03">
        <w:instrText xml:space="preserve"> PAGEREF _Toc352234538 \h </w:instrText>
      </w:r>
      <w:r w:rsidRPr="00707E03">
        <w:fldChar w:fldCharType="separate"/>
      </w:r>
      <w:r w:rsidRPr="00707E03">
        <w:t>19</w:t>
      </w:r>
      <w:r w:rsidRPr="00707E03">
        <w:fldChar w:fldCharType="end"/>
      </w:r>
    </w:p>
    <w:p w:rsidR="00707E03" w:rsidRPr="00707E03" w:rsidRDefault="00707E03">
      <w:pPr>
        <w:pStyle w:val="TOC2"/>
        <w:rPr>
          <w:rFonts w:asciiTheme="minorHAnsi" w:eastAsiaTheme="minorEastAsia" w:hAnsiTheme="minorHAnsi" w:cstheme="minorBidi"/>
          <w:sz w:val="22"/>
          <w:szCs w:val="22"/>
        </w:rPr>
      </w:pPr>
      <w:r w:rsidRPr="00707E03">
        <w:rPr>
          <w:rFonts w:cs="Tahoma"/>
        </w:rPr>
        <w:t>Bing Maps Mobile Asset Management Europe w routing Per Asset Monthly Sub</w:t>
      </w:r>
      <w:r w:rsidRPr="00707E03">
        <w:tab/>
      </w:r>
      <w:r w:rsidRPr="00707E03">
        <w:fldChar w:fldCharType="begin"/>
      </w:r>
      <w:r w:rsidRPr="00707E03">
        <w:instrText xml:space="preserve"> PAGEREF _Toc352234539 \h </w:instrText>
      </w:r>
      <w:r w:rsidRPr="00707E03">
        <w:fldChar w:fldCharType="separate"/>
      </w:r>
      <w:r w:rsidRPr="00707E03">
        <w:t>19</w:t>
      </w:r>
      <w:r w:rsidRPr="00707E03">
        <w:fldChar w:fldCharType="end"/>
      </w:r>
    </w:p>
    <w:p w:rsidR="00707E03" w:rsidRPr="00707E03" w:rsidRDefault="00707E03">
      <w:pPr>
        <w:pStyle w:val="TOC2"/>
        <w:rPr>
          <w:rFonts w:asciiTheme="minorHAnsi" w:eastAsiaTheme="minorEastAsia" w:hAnsiTheme="minorHAnsi" w:cstheme="minorBidi"/>
          <w:sz w:val="22"/>
          <w:szCs w:val="22"/>
        </w:rPr>
      </w:pPr>
      <w:r w:rsidRPr="00707E03">
        <w:rPr>
          <w:rFonts w:cs="Tahoma"/>
        </w:rPr>
        <w:t>Bing Maps Mobile Asset Management Europe w/o routing Per Asset Monthly Sub</w:t>
      </w:r>
      <w:r w:rsidRPr="00707E03">
        <w:tab/>
      </w:r>
      <w:r w:rsidRPr="00707E03">
        <w:fldChar w:fldCharType="begin"/>
      </w:r>
      <w:r w:rsidRPr="00707E03">
        <w:instrText xml:space="preserve"> PAGEREF _Toc352234540 \h </w:instrText>
      </w:r>
      <w:r w:rsidRPr="00707E03">
        <w:fldChar w:fldCharType="separate"/>
      </w:r>
      <w:r w:rsidRPr="00707E03">
        <w:t>19</w:t>
      </w:r>
      <w:r w:rsidRPr="00707E03">
        <w:fldChar w:fldCharType="end"/>
      </w:r>
    </w:p>
    <w:p w:rsidR="00707E03" w:rsidRPr="00707E03" w:rsidRDefault="00707E03">
      <w:pPr>
        <w:pStyle w:val="TOC2"/>
        <w:rPr>
          <w:rFonts w:asciiTheme="minorHAnsi" w:eastAsiaTheme="minorEastAsia" w:hAnsiTheme="minorHAnsi" w:cstheme="minorBidi"/>
          <w:sz w:val="22"/>
          <w:szCs w:val="22"/>
        </w:rPr>
      </w:pPr>
      <w:r w:rsidRPr="00707E03">
        <w:rPr>
          <w:rFonts w:cs="Tahoma"/>
        </w:rPr>
        <w:t>CAL per Bing Maps Server</w:t>
      </w:r>
      <w:r w:rsidRPr="00707E03">
        <w:tab/>
      </w:r>
      <w:r w:rsidRPr="00707E03">
        <w:fldChar w:fldCharType="begin"/>
      </w:r>
      <w:r w:rsidRPr="00707E03">
        <w:instrText xml:space="preserve"> PAGEREF _Toc352234541 \h </w:instrText>
      </w:r>
      <w:r w:rsidRPr="00707E03">
        <w:fldChar w:fldCharType="separate"/>
      </w:r>
      <w:r w:rsidRPr="00707E03">
        <w:t>19</w:t>
      </w:r>
      <w:r w:rsidRPr="00707E03">
        <w:fldChar w:fldCharType="end"/>
      </w:r>
    </w:p>
    <w:p w:rsidR="00707E03" w:rsidRPr="00707E03" w:rsidRDefault="00707E03">
      <w:pPr>
        <w:pStyle w:val="TOC3"/>
        <w:rPr>
          <w:rFonts w:asciiTheme="minorHAnsi" w:eastAsiaTheme="minorEastAsia" w:hAnsiTheme="minorHAnsi" w:cstheme="minorBidi"/>
          <w:bCs w:val="0"/>
          <w:color w:val="auto"/>
          <w:sz w:val="22"/>
          <w:szCs w:val="22"/>
        </w:rPr>
      </w:pPr>
      <w:r w:rsidRPr="00707E03">
        <w:rPr>
          <w:color w:val="auto"/>
        </w:rPr>
        <w:t>CAL per Bing Maps Server con Enhanced Content Pack</w:t>
      </w:r>
      <w:r w:rsidRPr="00707E03">
        <w:rPr>
          <w:color w:val="auto"/>
        </w:rPr>
        <w:tab/>
      </w:r>
      <w:r w:rsidRPr="00707E03">
        <w:rPr>
          <w:color w:val="auto"/>
        </w:rPr>
        <w:fldChar w:fldCharType="begin"/>
      </w:r>
      <w:r w:rsidRPr="00707E03">
        <w:rPr>
          <w:color w:val="auto"/>
        </w:rPr>
        <w:instrText xml:space="preserve"> PAGEREF _Toc352234542 \h </w:instrText>
      </w:r>
      <w:r w:rsidRPr="00707E03">
        <w:rPr>
          <w:color w:val="auto"/>
        </w:rPr>
      </w:r>
      <w:r w:rsidRPr="00707E03">
        <w:rPr>
          <w:color w:val="auto"/>
        </w:rPr>
        <w:fldChar w:fldCharType="separate"/>
      </w:r>
      <w:r w:rsidRPr="00707E03">
        <w:rPr>
          <w:color w:val="auto"/>
        </w:rPr>
        <w:t>19</w:t>
      </w:r>
      <w:r w:rsidRPr="00707E03">
        <w:rPr>
          <w:color w:val="auto"/>
        </w:rPr>
        <w:fldChar w:fldCharType="end"/>
      </w:r>
    </w:p>
    <w:p w:rsidR="00707E03" w:rsidRPr="00707E03" w:rsidRDefault="00707E03">
      <w:pPr>
        <w:pStyle w:val="TOC2"/>
        <w:rPr>
          <w:rFonts w:asciiTheme="minorHAnsi" w:eastAsiaTheme="minorEastAsia" w:hAnsiTheme="minorHAnsi" w:cstheme="minorBidi"/>
          <w:sz w:val="22"/>
          <w:szCs w:val="22"/>
        </w:rPr>
      </w:pPr>
      <w:r w:rsidRPr="00707E03">
        <w:rPr>
          <w:lang w:val="sv-SE"/>
        </w:rPr>
        <w:t>Bing Maps Standard o Professional (SL Utente)</w:t>
      </w:r>
      <w:r w:rsidRPr="00707E03">
        <w:tab/>
      </w:r>
      <w:r w:rsidRPr="00707E03">
        <w:fldChar w:fldCharType="begin"/>
      </w:r>
      <w:r w:rsidRPr="00707E03">
        <w:instrText xml:space="preserve"> PAGEREF _Toc352234543 \h </w:instrText>
      </w:r>
      <w:r w:rsidRPr="00707E03">
        <w:fldChar w:fldCharType="separate"/>
      </w:r>
      <w:r w:rsidRPr="00707E03">
        <w:t>19</w:t>
      </w:r>
      <w:r w:rsidRPr="00707E03">
        <w:fldChar w:fldCharType="end"/>
      </w:r>
    </w:p>
    <w:p w:rsidR="00707E03" w:rsidRPr="00707E03" w:rsidRDefault="00707E03">
      <w:pPr>
        <w:pStyle w:val="TOC2"/>
        <w:rPr>
          <w:rFonts w:asciiTheme="minorHAnsi" w:eastAsiaTheme="minorEastAsia" w:hAnsiTheme="minorHAnsi" w:cstheme="minorBidi"/>
          <w:sz w:val="22"/>
          <w:szCs w:val="22"/>
        </w:rPr>
      </w:pPr>
      <w:r w:rsidRPr="00707E03">
        <w:t>Bing Maps Standard (SL Servizi)</w:t>
      </w:r>
      <w:r w:rsidRPr="00707E03">
        <w:tab/>
      </w:r>
      <w:r w:rsidRPr="00707E03">
        <w:fldChar w:fldCharType="begin"/>
      </w:r>
      <w:r w:rsidRPr="00707E03">
        <w:instrText xml:space="preserve"> PAGEREF _Toc352234544 \h </w:instrText>
      </w:r>
      <w:r w:rsidRPr="00707E03">
        <w:fldChar w:fldCharType="separate"/>
      </w:r>
      <w:r w:rsidRPr="00707E03">
        <w:t>19</w:t>
      </w:r>
      <w:r w:rsidRPr="00707E03">
        <w:fldChar w:fldCharType="end"/>
      </w:r>
    </w:p>
    <w:p w:rsidR="00707E03" w:rsidRPr="00707E03" w:rsidRDefault="00707E03">
      <w:pPr>
        <w:pStyle w:val="TOC2"/>
        <w:rPr>
          <w:rFonts w:asciiTheme="minorHAnsi" w:eastAsiaTheme="minorEastAsia" w:hAnsiTheme="minorHAnsi" w:cstheme="minorBidi"/>
          <w:sz w:val="22"/>
          <w:szCs w:val="22"/>
        </w:rPr>
      </w:pPr>
      <w:r w:rsidRPr="00707E03">
        <w:rPr>
          <w:rFonts w:cs="Tahoma"/>
        </w:rPr>
        <w:t>BizTalk</w:t>
      </w:r>
      <w:r w:rsidRPr="00707E03">
        <w:rPr>
          <w:rFonts w:cs="Tahoma"/>
          <w:vertAlign w:val="superscript"/>
        </w:rPr>
        <w:t>®</w:t>
      </w:r>
      <w:r w:rsidRPr="00707E03">
        <w:rPr>
          <w:rFonts w:cs="Tahoma"/>
        </w:rPr>
        <w:t xml:space="preserve"> Server 2013 Branch Edition</w:t>
      </w:r>
      <w:r w:rsidRPr="00707E03">
        <w:tab/>
      </w:r>
      <w:r w:rsidRPr="00707E03">
        <w:fldChar w:fldCharType="begin"/>
      </w:r>
      <w:r w:rsidRPr="00707E03">
        <w:instrText xml:space="preserve"> PAGEREF _Toc352234545 \h </w:instrText>
      </w:r>
      <w:r w:rsidRPr="00707E03">
        <w:fldChar w:fldCharType="separate"/>
      </w:r>
      <w:r w:rsidRPr="00707E03">
        <w:t>19</w:t>
      </w:r>
      <w:r w:rsidRPr="00707E03">
        <w:fldChar w:fldCharType="end"/>
      </w:r>
    </w:p>
    <w:p w:rsidR="00707E03" w:rsidRPr="00707E03" w:rsidRDefault="00707E03">
      <w:pPr>
        <w:pStyle w:val="TOC2"/>
        <w:rPr>
          <w:rFonts w:asciiTheme="minorHAnsi" w:eastAsiaTheme="minorEastAsia" w:hAnsiTheme="minorHAnsi" w:cstheme="minorBidi"/>
          <w:sz w:val="22"/>
          <w:szCs w:val="22"/>
        </w:rPr>
      </w:pPr>
      <w:r w:rsidRPr="00707E03">
        <w:rPr>
          <w:rFonts w:cs="Tahoma"/>
        </w:rPr>
        <w:t>BizTalk</w:t>
      </w:r>
      <w:r w:rsidRPr="00707E03">
        <w:rPr>
          <w:rFonts w:cs="Tahoma"/>
          <w:vertAlign w:val="superscript"/>
        </w:rPr>
        <w:t>®</w:t>
      </w:r>
      <w:r w:rsidRPr="00707E03">
        <w:rPr>
          <w:rFonts w:cs="Tahoma"/>
        </w:rPr>
        <w:t xml:space="preserve"> Server 2013 Enterprise Edition</w:t>
      </w:r>
      <w:r w:rsidRPr="00707E03">
        <w:tab/>
      </w:r>
      <w:r w:rsidRPr="00707E03">
        <w:fldChar w:fldCharType="begin"/>
      </w:r>
      <w:r w:rsidRPr="00707E03">
        <w:instrText xml:space="preserve"> PAGEREF _Toc352234546 \h </w:instrText>
      </w:r>
      <w:r w:rsidRPr="00707E03">
        <w:fldChar w:fldCharType="separate"/>
      </w:r>
      <w:r w:rsidRPr="00707E03">
        <w:t>19</w:t>
      </w:r>
      <w:r w:rsidRPr="00707E03">
        <w:fldChar w:fldCharType="end"/>
      </w:r>
    </w:p>
    <w:p w:rsidR="00707E03" w:rsidRPr="00707E03" w:rsidRDefault="00707E03">
      <w:pPr>
        <w:pStyle w:val="TOC2"/>
        <w:rPr>
          <w:rFonts w:asciiTheme="minorHAnsi" w:eastAsiaTheme="minorEastAsia" w:hAnsiTheme="minorHAnsi" w:cstheme="minorBidi"/>
          <w:sz w:val="22"/>
          <w:szCs w:val="22"/>
        </w:rPr>
      </w:pPr>
      <w:r w:rsidRPr="00707E03">
        <w:rPr>
          <w:rFonts w:cs="Tahoma"/>
        </w:rPr>
        <w:t>BizTalk</w:t>
      </w:r>
      <w:r w:rsidRPr="00707E03">
        <w:rPr>
          <w:rFonts w:cs="Tahoma"/>
          <w:vertAlign w:val="superscript"/>
        </w:rPr>
        <w:t>®</w:t>
      </w:r>
      <w:r w:rsidRPr="00707E03">
        <w:rPr>
          <w:rFonts w:cs="Tahoma"/>
        </w:rPr>
        <w:t xml:space="preserve"> Server 2013 Branch IDC</w:t>
      </w:r>
      <w:r w:rsidRPr="00707E03">
        <w:tab/>
      </w:r>
      <w:r w:rsidRPr="00707E03">
        <w:fldChar w:fldCharType="begin"/>
      </w:r>
      <w:r w:rsidRPr="00707E03">
        <w:instrText xml:space="preserve"> PAGEREF _Toc352234547 \h </w:instrText>
      </w:r>
      <w:r w:rsidRPr="00707E03">
        <w:fldChar w:fldCharType="separate"/>
      </w:r>
      <w:r w:rsidRPr="00707E03">
        <w:t>19</w:t>
      </w:r>
      <w:r w:rsidRPr="00707E03">
        <w:fldChar w:fldCharType="end"/>
      </w:r>
    </w:p>
    <w:p w:rsidR="00707E03" w:rsidRPr="00707E03" w:rsidRDefault="00707E03">
      <w:pPr>
        <w:pStyle w:val="TOC2"/>
        <w:rPr>
          <w:rFonts w:asciiTheme="minorHAnsi" w:eastAsiaTheme="minorEastAsia" w:hAnsiTheme="minorHAnsi" w:cstheme="minorBidi"/>
          <w:sz w:val="22"/>
          <w:szCs w:val="22"/>
        </w:rPr>
      </w:pPr>
      <w:r w:rsidRPr="00707E03">
        <w:rPr>
          <w:rFonts w:cs="Tahoma"/>
        </w:rPr>
        <w:t>BizTalk</w:t>
      </w:r>
      <w:r w:rsidRPr="00707E03">
        <w:rPr>
          <w:rFonts w:cs="Tahoma"/>
          <w:vertAlign w:val="superscript"/>
        </w:rPr>
        <w:t>®</w:t>
      </w:r>
      <w:r w:rsidRPr="00707E03">
        <w:rPr>
          <w:rFonts w:cs="Tahoma"/>
        </w:rPr>
        <w:t xml:space="preserve"> Server 2013 Standard Edition</w:t>
      </w:r>
      <w:r w:rsidRPr="00707E03">
        <w:tab/>
      </w:r>
      <w:r w:rsidRPr="00707E03">
        <w:fldChar w:fldCharType="begin"/>
      </w:r>
      <w:r w:rsidRPr="00707E03">
        <w:instrText xml:space="preserve"> PAGEREF _Toc352234548 \h </w:instrText>
      </w:r>
      <w:r w:rsidRPr="00707E03">
        <w:fldChar w:fldCharType="separate"/>
      </w:r>
      <w:r w:rsidRPr="00707E03">
        <w:t>19</w:t>
      </w:r>
      <w:r w:rsidRPr="00707E03">
        <w:fldChar w:fldCharType="end"/>
      </w:r>
    </w:p>
    <w:p w:rsidR="00707E03" w:rsidRPr="00707E03" w:rsidRDefault="00707E03">
      <w:pPr>
        <w:pStyle w:val="TOC2"/>
        <w:rPr>
          <w:rFonts w:asciiTheme="minorHAnsi" w:eastAsiaTheme="minorEastAsia" w:hAnsiTheme="minorHAnsi" w:cstheme="minorBidi"/>
          <w:sz w:val="22"/>
          <w:szCs w:val="22"/>
        </w:rPr>
      </w:pPr>
      <w:r w:rsidRPr="00707E03">
        <w:rPr>
          <w:rFonts w:cs="Tahoma"/>
        </w:rPr>
        <w:t>BizTalk</w:t>
      </w:r>
      <w:r w:rsidRPr="00707E03">
        <w:rPr>
          <w:rFonts w:cs="Tahoma"/>
          <w:vertAlign w:val="superscript"/>
        </w:rPr>
        <w:t>®</w:t>
      </w:r>
      <w:r w:rsidRPr="00707E03">
        <w:rPr>
          <w:rFonts w:cs="Tahoma"/>
        </w:rPr>
        <w:t xml:space="preserve"> Server 2013 Standard Edition IDC</w:t>
      </w:r>
      <w:r w:rsidRPr="00707E03">
        <w:tab/>
      </w:r>
      <w:r w:rsidRPr="00707E03">
        <w:fldChar w:fldCharType="begin"/>
      </w:r>
      <w:r w:rsidRPr="00707E03">
        <w:instrText xml:space="preserve"> PAGEREF _Toc352234549 \h </w:instrText>
      </w:r>
      <w:r w:rsidRPr="00707E03">
        <w:fldChar w:fldCharType="separate"/>
      </w:r>
      <w:r w:rsidRPr="00707E03">
        <w:t>19</w:t>
      </w:r>
      <w:r w:rsidRPr="00707E03">
        <w:fldChar w:fldCharType="end"/>
      </w:r>
    </w:p>
    <w:p w:rsidR="00707E03" w:rsidRPr="00707E03" w:rsidRDefault="00707E03">
      <w:pPr>
        <w:pStyle w:val="TOC2"/>
        <w:rPr>
          <w:rFonts w:asciiTheme="minorHAnsi" w:eastAsiaTheme="minorEastAsia" w:hAnsiTheme="minorHAnsi" w:cstheme="minorBidi"/>
          <w:sz w:val="22"/>
          <w:szCs w:val="22"/>
        </w:rPr>
      </w:pPr>
      <w:r w:rsidRPr="00707E03">
        <w:rPr>
          <w:rFonts w:cs="Tahoma"/>
        </w:rPr>
        <w:t>Business Intelligence Appliance 2012</w:t>
      </w:r>
      <w:r w:rsidRPr="00707E03">
        <w:tab/>
      </w:r>
      <w:r w:rsidRPr="00707E03">
        <w:fldChar w:fldCharType="begin"/>
      </w:r>
      <w:r w:rsidRPr="00707E03">
        <w:instrText xml:space="preserve"> PAGEREF _Toc352234550 \h </w:instrText>
      </w:r>
      <w:r w:rsidRPr="00707E03">
        <w:fldChar w:fldCharType="separate"/>
      </w:r>
      <w:r w:rsidRPr="00707E03">
        <w:t>19</w:t>
      </w:r>
      <w:r w:rsidRPr="00707E03">
        <w:fldChar w:fldCharType="end"/>
      </w:r>
    </w:p>
    <w:p w:rsidR="00707E03" w:rsidRPr="00707E03" w:rsidRDefault="00707E03">
      <w:pPr>
        <w:pStyle w:val="TOC2"/>
        <w:rPr>
          <w:rFonts w:asciiTheme="minorHAnsi" w:eastAsiaTheme="minorEastAsia" w:hAnsiTheme="minorHAnsi" w:cstheme="minorBidi"/>
          <w:sz w:val="22"/>
          <w:szCs w:val="22"/>
        </w:rPr>
      </w:pPr>
      <w:r w:rsidRPr="00707E03">
        <w:rPr>
          <w:rFonts w:cs="Tahoma"/>
          <w:lang w:val="it-IT"/>
        </w:rPr>
        <w:t>Core CAL Suite Bridge per Office 365 (Utente e Dispositivo)</w:t>
      </w:r>
      <w:r w:rsidRPr="00707E03">
        <w:tab/>
      </w:r>
      <w:r w:rsidRPr="00707E03">
        <w:fldChar w:fldCharType="begin"/>
      </w:r>
      <w:r w:rsidRPr="00707E03">
        <w:instrText xml:space="preserve"> PAGEREF _Toc352234551 \h </w:instrText>
      </w:r>
      <w:r w:rsidRPr="00707E03">
        <w:fldChar w:fldCharType="separate"/>
      </w:r>
      <w:r w:rsidRPr="00707E03">
        <w:t>19</w:t>
      </w:r>
      <w:r w:rsidRPr="00707E03">
        <w:fldChar w:fldCharType="end"/>
      </w:r>
    </w:p>
    <w:p w:rsidR="00707E03" w:rsidRPr="00707E03" w:rsidRDefault="00707E03">
      <w:pPr>
        <w:pStyle w:val="TOC2"/>
        <w:rPr>
          <w:rFonts w:asciiTheme="minorHAnsi" w:eastAsiaTheme="minorEastAsia" w:hAnsiTheme="minorHAnsi" w:cstheme="minorBidi"/>
          <w:sz w:val="22"/>
          <w:szCs w:val="22"/>
        </w:rPr>
      </w:pPr>
      <w:r w:rsidRPr="00707E03">
        <w:rPr>
          <w:rFonts w:cs="Tahoma"/>
          <w:lang w:val="it-IT"/>
        </w:rPr>
        <w:t>Core CAL Suite Bridge per Office 365 e Windows</w:t>
      </w:r>
      <w:r w:rsidRPr="00707E03">
        <w:rPr>
          <w:rFonts w:cs="Tahoma"/>
          <w:vertAlign w:val="superscript"/>
          <w:lang w:val="it-IT"/>
        </w:rPr>
        <w:t>®</w:t>
      </w:r>
      <w:r w:rsidRPr="00707E03">
        <w:rPr>
          <w:rFonts w:cs="Tahoma"/>
          <w:lang w:val="it-IT"/>
        </w:rPr>
        <w:t xml:space="preserve"> Intune (Utente e Dispositivo)</w:t>
      </w:r>
      <w:r w:rsidRPr="00707E03">
        <w:tab/>
      </w:r>
      <w:r w:rsidRPr="00707E03">
        <w:fldChar w:fldCharType="begin"/>
      </w:r>
      <w:r w:rsidRPr="00707E03">
        <w:instrText xml:space="preserve"> PAGEREF _Toc352234552 \h </w:instrText>
      </w:r>
      <w:r w:rsidRPr="00707E03">
        <w:fldChar w:fldCharType="separate"/>
      </w:r>
      <w:r w:rsidRPr="00707E03">
        <w:t>19</w:t>
      </w:r>
      <w:r w:rsidRPr="00707E03">
        <w:fldChar w:fldCharType="end"/>
      </w:r>
    </w:p>
    <w:p w:rsidR="00707E03" w:rsidRPr="00707E03" w:rsidRDefault="00707E03">
      <w:pPr>
        <w:pStyle w:val="TOC2"/>
        <w:rPr>
          <w:rFonts w:asciiTheme="minorHAnsi" w:eastAsiaTheme="minorEastAsia" w:hAnsiTheme="minorHAnsi" w:cstheme="minorBidi"/>
          <w:sz w:val="22"/>
          <w:szCs w:val="22"/>
        </w:rPr>
      </w:pPr>
      <w:r w:rsidRPr="00707E03">
        <w:rPr>
          <w:rFonts w:cs="Tahoma"/>
          <w:lang w:val="it-IT"/>
        </w:rPr>
        <w:t>Core CAL Bridge per Windows</w:t>
      </w:r>
      <w:r w:rsidRPr="00707E03">
        <w:rPr>
          <w:rFonts w:cs="Tahoma"/>
          <w:vertAlign w:val="superscript"/>
          <w:lang w:val="it-IT"/>
        </w:rPr>
        <w:t>®</w:t>
      </w:r>
      <w:r w:rsidRPr="00707E03">
        <w:rPr>
          <w:rFonts w:cs="Tahoma"/>
          <w:lang w:val="it-IT"/>
        </w:rPr>
        <w:t xml:space="preserve"> Intune (Utente e Dispositivo)</w:t>
      </w:r>
      <w:r w:rsidRPr="00707E03">
        <w:tab/>
      </w:r>
      <w:r w:rsidRPr="00707E03">
        <w:fldChar w:fldCharType="begin"/>
      </w:r>
      <w:r w:rsidRPr="00707E03">
        <w:instrText xml:space="preserve"> PAGEREF _Toc352234553 \h </w:instrText>
      </w:r>
      <w:r w:rsidRPr="00707E03">
        <w:fldChar w:fldCharType="separate"/>
      </w:r>
      <w:r w:rsidRPr="00707E03">
        <w:t>19</w:t>
      </w:r>
      <w:r w:rsidRPr="00707E03">
        <w:fldChar w:fldCharType="end"/>
      </w:r>
    </w:p>
    <w:p w:rsidR="00707E03" w:rsidRPr="00707E03" w:rsidRDefault="00707E03">
      <w:pPr>
        <w:pStyle w:val="TOC2"/>
        <w:rPr>
          <w:rFonts w:asciiTheme="minorHAnsi" w:eastAsiaTheme="minorEastAsia" w:hAnsiTheme="minorHAnsi" w:cstheme="minorBidi"/>
          <w:sz w:val="22"/>
          <w:szCs w:val="22"/>
        </w:rPr>
      </w:pPr>
      <w:r w:rsidRPr="00707E03">
        <w:rPr>
          <w:rFonts w:cs="Tahoma"/>
          <w:lang w:val="it-IT"/>
        </w:rPr>
        <w:t>Core CAL Suite (Utente e Dispositivo)</w:t>
      </w:r>
      <w:r w:rsidRPr="00707E03">
        <w:tab/>
      </w:r>
      <w:r w:rsidRPr="00707E03">
        <w:fldChar w:fldCharType="begin"/>
      </w:r>
      <w:r w:rsidRPr="00707E03">
        <w:instrText xml:space="preserve"> PAGEREF _Toc352234554 \h </w:instrText>
      </w:r>
      <w:r w:rsidRPr="00707E03">
        <w:fldChar w:fldCharType="separate"/>
      </w:r>
      <w:r w:rsidRPr="00707E03">
        <w:t>19</w:t>
      </w:r>
      <w:r w:rsidRPr="00707E03">
        <w:fldChar w:fldCharType="end"/>
      </w:r>
    </w:p>
    <w:p w:rsidR="00707E03" w:rsidRPr="00707E03" w:rsidRDefault="00707E03">
      <w:pPr>
        <w:pStyle w:val="TOC2"/>
        <w:rPr>
          <w:rFonts w:asciiTheme="minorHAnsi" w:eastAsiaTheme="minorEastAsia" w:hAnsiTheme="minorHAnsi" w:cstheme="minorBidi"/>
          <w:sz w:val="22"/>
          <w:szCs w:val="22"/>
        </w:rPr>
      </w:pPr>
      <w:r w:rsidRPr="00707E03">
        <w:rPr>
          <w:rFonts w:cs="Tahoma"/>
          <w:lang w:val="fr-FR"/>
        </w:rPr>
        <w:t>Core Infrastructure Server Suite Standard</w:t>
      </w:r>
      <w:r w:rsidRPr="00707E03">
        <w:tab/>
      </w:r>
      <w:r w:rsidRPr="00707E03">
        <w:fldChar w:fldCharType="begin"/>
      </w:r>
      <w:r w:rsidRPr="00707E03">
        <w:instrText xml:space="preserve"> PAGEREF _Toc352234555 \h </w:instrText>
      </w:r>
      <w:r w:rsidRPr="00707E03">
        <w:fldChar w:fldCharType="separate"/>
      </w:r>
      <w:r w:rsidRPr="00707E03">
        <w:t>19</w:t>
      </w:r>
      <w:r w:rsidRPr="00707E03">
        <w:fldChar w:fldCharType="end"/>
      </w:r>
    </w:p>
    <w:p w:rsidR="00707E03" w:rsidRPr="00707E03" w:rsidRDefault="00707E03">
      <w:pPr>
        <w:pStyle w:val="TOC2"/>
        <w:rPr>
          <w:rFonts w:asciiTheme="minorHAnsi" w:eastAsiaTheme="minorEastAsia" w:hAnsiTheme="minorHAnsi" w:cstheme="minorBidi"/>
          <w:sz w:val="22"/>
          <w:szCs w:val="22"/>
        </w:rPr>
      </w:pPr>
      <w:r w:rsidRPr="00707E03">
        <w:rPr>
          <w:rFonts w:cs="Tahoma"/>
          <w:lang w:val="fr-FR"/>
        </w:rPr>
        <w:t>Core Infrastructure Server Suite Enterprise</w:t>
      </w:r>
      <w:r w:rsidRPr="00707E03">
        <w:tab/>
      </w:r>
      <w:r w:rsidRPr="00707E03">
        <w:fldChar w:fldCharType="begin"/>
      </w:r>
      <w:r w:rsidRPr="00707E03">
        <w:instrText xml:space="preserve"> PAGEREF _Toc352234556 \h </w:instrText>
      </w:r>
      <w:r w:rsidRPr="00707E03">
        <w:fldChar w:fldCharType="separate"/>
      </w:r>
      <w:r w:rsidRPr="00707E03">
        <w:t>19</w:t>
      </w:r>
      <w:r w:rsidRPr="00707E03">
        <w:fldChar w:fldCharType="end"/>
      </w:r>
    </w:p>
    <w:p w:rsidR="00707E03" w:rsidRPr="00707E03" w:rsidRDefault="00707E03">
      <w:pPr>
        <w:pStyle w:val="TOC2"/>
        <w:rPr>
          <w:rFonts w:asciiTheme="minorHAnsi" w:eastAsiaTheme="minorEastAsia" w:hAnsiTheme="minorHAnsi" w:cstheme="minorBidi"/>
          <w:sz w:val="22"/>
          <w:szCs w:val="22"/>
        </w:rPr>
      </w:pPr>
      <w:r w:rsidRPr="00707E03">
        <w:rPr>
          <w:rFonts w:cs="Tahoma"/>
          <w:lang w:val="fr-FR"/>
        </w:rPr>
        <w:t>Core Infrastructure Server Suite Datacenter</w:t>
      </w:r>
      <w:r w:rsidRPr="00707E03">
        <w:tab/>
      </w:r>
      <w:r w:rsidRPr="00707E03">
        <w:fldChar w:fldCharType="begin"/>
      </w:r>
      <w:r w:rsidRPr="00707E03">
        <w:instrText xml:space="preserve"> PAGEREF _Toc352234557 \h </w:instrText>
      </w:r>
      <w:r w:rsidRPr="00707E03">
        <w:fldChar w:fldCharType="separate"/>
      </w:r>
      <w:r w:rsidRPr="00707E03">
        <w:t>19</w:t>
      </w:r>
      <w:r w:rsidRPr="00707E03">
        <w:fldChar w:fldCharType="end"/>
      </w:r>
    </w:p>
    <w:p w:rsidR="00707E03" w:rsidRPr="00707E03" w:rsidRDefault="00707E03">
      <w:pPr>
        <w:pStyle w:val="TOC2"/>
        <w:rPr>
          <w:rFonts w:asciiTheme="minorHAnsi" w:eastAsiaTheme="minorEastAsia" w:hAnsiTheme="minorHAnsi" w:cstheme="minorBidi"/>
          <w:sz w:val="22"/>
          <w:szCs w:val="22"/>
        </w:rPr>
      </w:pPr>
      <w:r w:rsidRPr="00707E03">
        <w:rPr>
          <w:rFonts w:cs="Tahoma"/>
        </w:rPr>
        <w:lastRenderedPageBreak/>
        <w:t>Dynamics CRM Online Extra Storage</w:t>
      </w:r>
      <w:r w:rsidRPr="00707E03">
        <w:tab/>
      </w:r>
      <w:r w:rsidRPr="00707E03">
        <w:fldChar w:fldCharType="begin"/>
      </w:r>
      <w:r w:rsidRPr="00707E03">
        <w:instrText xml:space="preserve"> PAGEREF _Toc352234558 \h </w:instrText>
      </w:r>
      <w:r w:rsidRPr="00707E03">
        <w:fldChar w:fldCharType="separate"/>
      </w:r>
      <w:r w:rsidRPr="00707E03">
        <w:t>19</w:t>
      </w:r>
      <w:r w:rsidRPr="00707E03">
        <w:fldChar w:fldCharType="end"/>
      </w:r>
    </w:p>
    <w:p w:rsidR="00707E03" w:rsidRPr="00707E03" w:rsidRDefault="00707E03">
      <w:pPr>
        <w:pStyle w:val="TOC2"/>
        <w:rPr>
          <w:rFonts w:asciiTheme="minorHAnsi" w:eastAsiaTheme="minorEastAsia" w:hAnsiTheme="minorHAnsi" w:cstheme="minorBidi"/>
          <w:sz w:val="22"/>
          <w:szCs w:val="22"/>
        </w:rPr>
      </w:pPr>
      <w:r w:rsidRPr="00707E03">
        <w:rPr>
          <w:rFonts w:cs="Tahoma"/>
          <w:lang w:val="it-IT"/>
        </w:rPr>
        <w:t>Dynamics CRM Online Per Utente</w:t>
      </w:r>
      <w:r w:rsidRPr="00707E03">
        <w:tab/>
      </w:r>
      <w:r w:rsidRPr="00707E03">
        <w:fldChar w:fldCharType="begin"/>
      </w:r>
      <w:r w:rsidRPr="00707E03">
        <w:instrText xml:space="preserve"> PAGEREF _Toc352234559 \h </w:instrText>
      </w:r>
      <w:r w:rsidRPr="00707E03">
        <w:fldChar w:fldCharType="separate"/>
      </w:r>
      <w:r w:rsidRPr="00707E03">
        <w:t>19</w:t>
      </w:r>
      <w:r w:rsidRPr="00707E03">
        <w:fldChar w:fldCharType="end"/>
      </w:r>
    </w:p>
    <w:p w:rsidR="00707E03" w:rsidRPr="00707E03" w:rsidRDefault="00707E03">
      <w:pPr>
        <w:pStyle w:val="TOC2"/>
        <w:rPr>
          <w:rFonts w:asciiTheme="minorHAnsi" w:eastAsiaTheme="minorEastAsia" w:hAnsiTheme="minorHAnsi" w:cstheme="minorBidi"/>
          <w:sz w:val="22"/>
          <w:szCs w:val="22"/>
        </w:rPr>
      </w:pPr>
      <w:r w:rsidRPr="00707E03">
        <w:rPr>
          <w:rFonts w:cs="Tahoma"/>
          <w:lang w:val="fr-FR"/>
        </w:rPr>
        <w:t>Dynamics CRM Online per SA</w:t>
      </w:r>
      <w:r w:rsidRPr="00707E03">
        <w:tab/>
      </w:r>
      <w:r w:rsidRPr="00707E03">
        <w:fldChar w:fldCharType="begin"/>
      </w:r>
      <w:r w:rsidRPr="00707E03">
        <w:instrText xml:space="preserve"> PAGEREF _Toc352234560 \h </w:instrText>
      </w:r>
      <w:r w:rsidRPr="00707E03">
        <w:fldChar w:fldCharType="separate"/>
      </w:r>
      <w:r w:rsidRPr="00707E03">
        <w:t>19</w:t>
      </w:r>
      <w:r w:rsidRPr="00707E03">
        <w:fldChar w:fldCharType="end"/>
      </w:r>
    </w:p>
    <w:p w:rsidR="00707E03" w:rsidRPr="00707E03" w:rsidRDefault="00707E03">
      <w:pPr>
        <w:pStyle w:val="TOC2"/>
        <w:rPr>
          <w:rFonts w:asciiTheme="minorHAnsi" w:eastAsiaTheme="minorEastAsia" w:hAnsiTheme="minorHAnsi" w:cstheme="minorBidi"/>
          <w:sz w:val="22"/>
          <w:szCs w:val="22"/>
        </w:rPr>
      </w:pPr>
      <w:r w:rsidRPr="00707E03">
        <w:rPr>
          <w:rFonts w:cs="Tahoma"/>
          <w:lang w:val="it-IT"/>
        </w:rPr>
        <w:t>Enterprise CAL Suite Bridge per Office 365 (Utente e Dispositivo)</w:t>
      </w:r>
      <w:r w:rsidRPr="00707E03">
        <w:tab/>
      </w:r>
      <w:r w:rsidRPr="00707E03">
        <w:fldChar w:fldCharType="begin"/>
      </w:r>
      <w:r w:rsidRPr="00707E03">
        <w:instrText xml:space="preserve"> PAGEREF _Toc352234561 \h </w:instrText>
      </w:r>
      <w:r w:rsidRPr="00707E03">
        <w:fldChar w:fldCharType="separate"/>
      </w:r>
      <w:r w:rsidRPr="00707E03">
        <w:t>19</w:t>
      </w:r>
      <w:r w:rsidRPr="00707E03">
        <w:fldChar w:fldCharType="end"/>
      </w:r>
    </w:p>
    <w:p w:rsidR="00707E03" w:rsidRPr="00707E03" w:rsidRDefault="00707E03">
      <w:pPr>
        <w:pStyle w:val="TOC2"/>
        <w:rPr>
          <w:rFonts w:asciiTheme="minorHAnsi" w:eastAsiaTheme="minorEastAsia" w:hAnsiTheme="minorHAnsi" w:cstheme="minorBidi"/>
          <w:sz w:val="22"/>
          <w:szCs w:val="22"/>
        </w:rPr>
      </w:pPr>
      <w:r w:rsidRPr="00707E03">
        <w:rPr>
          <w:rFonts w:cs="Tahoma"/>
          <w:lang w:val="it-IT"/>
        </w:rPr>
        <w:t>Enterprise CAL Suite Bridge per Office 365 e Windows</w:t>
      </w:r>
      <w:r w:rsidRPr="00707E03">
        <w:rPr>
          <w:rFonts w:cs="Tahoma"/>
          <w:vertAlign w:val="superscript"/>
          <w:lang w:val="it-IT"/>
        </w:rPr>
        <w:t>®</w:t>
      </w:r>
      <w:r w:rsidRPr="00707E03">
        <w:rPr>
          <w:rFonts w:cs="Tahoma"/>
          <w:lang w:val="it-IT"/>
        </w:rPr>
        <w:t xml:space="preserve"> Intune (Utente e Dispositivo)</w:t>
      </w:r>
      <w:r w:rsidRPr="00707E03">
        <w:tab/>
      </w:r>
      <w:r w:rsidRPr="00707E03">
        <w:fldChar w:fldCharType="begin"/>
      </w:r>
      <w:r w:rsidRPr="00707E03">
        <w:instrText xml:space="preserve"> PAGEREF _Toc352234562 \h </w:instrText>
      </w:r>
      <w:r w:rsidRPr="00707E03">
        <w:fldChar w:fldCharType="separate"/>
      </w:r>
      <w:r w:rsidRPr="00707E03">
        <w:t>19</w:t>
      </w:r>
      <w:r w:rsidRPr="00707E03">
        <w:fldChar w:fldCharType="end"/>
      </w:r>
    </w:p>
    <w:p w:rsidR="00707E03" w:rsidRPr="00707E03" w:rsidRDefault="00707E03">
      <w:pPr>
        <w:pStyle w:val="TOC2"/>
        <w:rPr>
          <w:rFonts w:asciiTheme="minorHAnsi" w:eastAsiaTheme="minorEastAsia" w:hAnsiTheme="minorHAnsi" w:cstheme="minorBidi"/>
          <w:sz w:val="22"/>
          <w:szCs w:val="22"/>
        </w:rPr>
      </w:pPr>
      <w:r w:rsidRPr="00707E03">
        <w:rPr>
          <w:rFonts w:cs="Tahoma"/>
          <w:lang w:val="it-IT"/>
        </w:rPr>
        <w:t>Enterprise CAL Suite Bridge per Windows</w:t>
      </w:r>
      <w:r w:rsidRPr="00707E03">
        <w:rPr>
          <w:rFonts w:cs="Tahoma"/>
          <w:vertAlign w:val="superscript"/>
          <w:lang w:val="it-IT"/>
        </w:rPr>
        <w:t>®</w:t>
      </w:r>
      <w:r w:rsidRPr="00707E03">
        <w:rPr>
          <w:rFonts w:cs="Tahoma"/>
          <w:lang w:val="it-IT"/>
        </w:rPr>
        <w:t> Intune (Utente e Dispositivo)</w:t>
      </w:r>
      <w:r w:rsidRPr="00707E03">
        <w:tab/>
      </w:r>
      <w:r w:rsidRPr="00707E03">
        <w:fldChar w:fldCharType="begin"/>
      </w:r>
      <w:r w:rsidRPr="00707E03">
        <w:instrText xml:space="preserve"> PAGEREF _Toc352234563 \h </w:instrText>
      </w:r>
      <w:r w:rsidRPr="00707E03">
        <w:fldChar w:fldCharType="separate"/>
      </w:r>
      <w:r w:rsidRPr="00707E03">
        <w:t>19</w:t>
      </w:r>
      <w:r w:rsidRPr="00707E03">
        <w:fldChar w:fldCharType="end"/>
      </w:r>
    </w:p>
    <w:p w:rsidR="00707E03" w:rsidRPr="00707E03" w:rsidRDefault="00707E03">
      <w:pPr>
        <w:pStyle w:val="TOC2"/>
        <w:rPr>
          <w:rFonts w:asciiTheme="minorHAnsi" w:eastAsiaTheme="minorEastAsia" w:hAnsiTheme="minorHAnsi" w:cstheme="minorBidi"/>
          <w:sz w:val="22"/>
          <w:szCs w:val="22"/>
        </w:rPr>
      </w:pPr>
      <w:r w:rsidRPr="00707E03">
        <w:rPr>
          <w:rFonts w:cs="Tahoma"/>
        </w:rPr>
        <w:t>Enterprise CAL Suite (Utente e Dispositivo)</w:t>
      </w:r>
      <w:r w:rsidRPr="00707E03">
        <w:tab/>
      </w:r>
      <w:r w:rsidRPr="00707E03">
        <w:fldChar w:fldCharType="begin"/>
      </w:r>
      <w:r w:rsidRPr="00707E03">
        <w:instrText xml:space="preserve"> PAGEREF _Toc352234564 \h </w:instrText>
      </w:r>
      <w:r w:rsidRPr="00707E03">
        <w:fldChar w:fldCharType="separate"/>
      </w:r>
      <w:r w:rsidRPr="00707E03">
        <w:t>20</w:t>
      </w:r>
      <w:r w:rsidRPr="00707E03">
        <w:fldChar w:fldCharType="end"/>
      </w:r>
    </w:p>
    <w:p w:rsidR="00707E03" w:rsidRPr="00707E03" w:rsidRDefault="00707E03">
      <w:pPr>
        <w:pStyle w:val="TOC2"/>
        <w:rPr>
          <w:rFonts w:asciiTheme="minorHAnsi" w:eastAsiaTheme="minorEastAsia" w:hAnsiTheme="minorHAnsi" w:cstheme="minorBidi"/>
          <w:sz w:val="22"/>
          <w:szCs w:val="22"/>
        </w:rPr>
      </w:pPr>
      <w:r w:rsidRPr="00707E03">
        <w:rPr>
          <w:rFonts w:cs="Tahoma"/>
          <w:lang w:val="it-IT"/>
        </w:rPr>
        <w:t>Enterprise CAL per Exchange 2013 con Servizi</w:t>
      </w:r>
      <w:r w:rsidRPr="00707E03">
        <w:tab/>
      </w:r>
      <w:r w:rsidRPr="00707E03">
        <w:fldChar w:fldCharType="begin"/>
      </w:r>
      <w:r w:rsidRPr="00707E03">
        <w:instrText xml:space="preserve"> PAGEREF _Toc352234565 \h </w:instrText>
      </w:r>
      <w:r w:rsidRPr="00707E03">
        <w:fldChar w:fldCharType="separate"/>
      </w:r>
      <w:r w:rsidRPr="00707E03">
        <w:t>20</w:t>
      </w:r>
      <w:r w:rsidRPr="00707E03">
        <w:fldChar w:fldCharType="end"/>
      </w:r>
    </w:p>
    <w:p w:rsidR="00707E03" w:rsidRPr="00707E03" w:rsidRDefault="00707E03">
      <w:pPr>
        <w:pStyle w:val="TOC2"/>
        <w:rPr>
          <w:rFonts w:asciiTheme="minorHAnsi" w:eastAsiaTheme="minorEastAsia" w:hAnsiTheme="minorHAnsi" w:cstheme="minorBidi"/>
          <w:sz w:val="22"/>
          <w:szCs w:val="22"/>
        </w:rPr>
      </w:pPr>
      <w:r w:rsidRPr="00707E03">
        <w:rPr>
          <w:rFonts w:cs="Tahoma"/>
          <w:lang w:val="it-IT"/>
        </w:rPr>
        <w:t>Enterprise CAL per Exchange 2013 senza Servizi</w:t>
      </w:r>
      <w:r w:rsidRPr="00707E03">
        <w:tab/>
      </w:r>
      <w:r w:rsidRPr="00707E03">
        <w:fldChar w:fldCharType="begin"/>
      </w:r>
      <w:r w:rsidRPr="00707E03">
        <w:instrText xml:space="preserve"> PAGEREF _Toc352234566 \h </w:instrText>
      </w:r>
      <w:r w:rsidRPr="00707E03">
        <w:fldChar w:fldCharType="separate"/>
      </w:r>
      <w:r w:rsidRPr="00707E03">
        <w:t>20</w:t>
      </w:r>
      <w:r w:rsidRPr="00707E03">
        <w:fldChar w:fldCharType="end"/>
      </w:r>
    </w:p>
    <w:p w:rsidR="00707E03" w:rsidRPr="00707E03" w:rsidRDefault="00707E03">
      <w:pPr>
        <w:pStyle w:val="TOC2"/>
        <w:rPr>
          <w:rFonts w:asciiTheme="minorHAnsi" w:eastAsiaTheme="minorEastAsia" w:hAnsiTheme="minorHAnsi" w:cstheme="minorBidi"/>
          <w:sz w:val="22"/>
          <w:szCs w:val="22"/>
        </w:rPr>
      </w:pPr>
      <w:r w:rsidRPr="00707E03">
        <w:rPr>
          <w:rFonts w:cs="Tahoma"/>
          <w:lang w:val="it-IT"/>
        </w:rPr>
        <w:t>Archiviazione Exchange Online per Exchange Server A (SL per Utente)</w:t>
      </w:r>
      <w:r w:rsidRPr="00707E03">
        <w:tab/>
      </w:r>
      <w:r w:rsidRPr="00707E03">
        <w:fldChar w:fldCharType="begin"/>
      </w:r>
      <w:r w:rsidRPr="00707E03">
        <w:instrText xml:space="preserve"> PAGEREF _Toc352234567 \h </w:instrText>
      </w:r>
      <w:r w:rsidRPr="00707E03">
        <w:fldChar w:fldCharType="separate"/>
      </w:r>
      <w:r w:rsidRPr="00707E03">
        <w:t>20</w:t>
      </w:r>
      <w:r w:rsidRPr="00707E03">
        <w:fldChar w:fldCharType="end"/>
      </w:r>
    </w:p>
    <w:p w:rsidR="00707E03" w:rsidRPr="00707E03" w:rsidRDefault="00707E03">
      <w:pPr>
        <w:pStyle w:val="TOC3"/>
        <w:rPr>
          <w:rFonts w:asciiTheme="minorHAnsi" w:eastAsiaTheme="minorEastAsia" w:hAnsiTheme="minorHAnsi" w:cstheme="minorBidi"/>
          <w:bCs w:val="0"/>
          <w:color w:val="auto"/>
          <w:sz w:val="22"/>
          <w:szCs w:val="22"/>
        </w:rPr>
      </w:pPr>
      <w:r w:rsidRPr="00707E03">
        <w:rPr>
          <w:color w:val="auto"/>
          <w:lang w:val="it-IT"/>
        </w:rPr>
        <w:t>Archiviazione Exchange Online per Exchange Server A (SL per Utente)</w:t>
      </w:r>
      <w:r w:rsidRPr="00707E03">
        <w:rPr>
          <w:color w:val="auto"/>
        </w:rPr>
        <w:tab/>
      </w:r>
      <w:r w:rsidRPr="00707E03">
        <w:rPr>
          <w:color w:val="auto"/>
        </w:rPr>
        <w:fldChar w:fldCharType="begin"/>
      </w:r>
      <w:r w:rsidRPr="00707E03">
        <w:rPr>
          <w:color w:val="auto"/>
        </w:rPr>
        <w:instrText xml:space="preserve"> PAGEREF _Toc352234568 \h </w:instrText>
      </w:r>
      <w:r w:rsidRPr="00707E03">
        <w:rPr>
          <w:color w:val="auto"/>
        </w:rPr>
      </w:r>
      <w:r w:rsidRPr="00707E03">
        <w:rPr>
          <w:color w:val="auto"/>
        </w:rPr>
        <w:fldChar w:fldCharType="separate"/>
      </w:r>
      <w:r w:rsidRPr="00707E03">
        <w:rPr>
          <w:color w:val="auto"/>
        </w:rPr>
        <w:t>20</w:t>
      </w:r>
      <w:r w:rsidRPr="00707E03">
        <w:rPr>
          <w:color w:val="auto"/>
        </w:rPr>
        <w:fldChar w:fldCharType="end"/>
      </w:r>
    </w:p>
    <w:p w:rsidR="00707E03" w:rsidRPr="00707E03" w:rsidRDefault="00707E03">
      <w:pPr>
        <w:pStyle w:val="TOC2"/>
        <w:rPr>
          <w:rFonts w:asciiTheme="minorHAnsi" w:eastAsiaTheme="minorEastAsia" w:hAnsiTheme="minorHAnsi" w:cstheme="minorBidi"/>
          <w:sz w:val="22"/>
          <w:szCs w:val="22"/>
        </w:rPr>
      </w:pPr>
      <w:r w:rsidRPr="00707E03">
        <w:rPr>
          <w:rFonts w:cs="Tahoma"/>
        </w:rPr>
        <w:t>Exchange Hosted Archive (SL per Utente)</w:t>
      </w:r>
      <w:r w:rsidRPr="00707E03">
        <w:tab/>
      </w:r>
      <w:r w:rsidRPr="00707E03">
        <w:fldChar w:fldCharType="begin"/>
      </w:r>
      <w:r w:rsidRPr="00707E03">
        <w:instrText xml:space="preserve"> PAGEREF _Toc352234569 \h </w:instrText>
      </w:r>
      <w:r w:rsidRPr="00707E03">
        <w:fldChar w:fldCharType="separate"/>
      </w:r>
      <w:r w:rsidRPr="00707E03">
        <w:t>20</w:t>
      </w:r>
      <w:r w:rsidRPr="00707E03">
        <w:fldChar w:fldCharType="end"/>
      </w:r>
    </w:p>
    <w:p w:rsidR="00707E03" w:rsidRPr="00707E03" w:rsidRDefault="00707E03">
      <w:pPr>
        <w:pStyle w:val="TOC2"/>
        <w:rPr>
          <w:rFonts w:asciiTheme="minorHAnsi" w:eastAsiaTheme="minorEastAsia" w:hAnsiTheme="minorHAnsi" w:cstheme="minorBidi"/>
          <w:sz w:val="22"/>
          <w:szCs w:val="22"/>
        </w:rPr>
      </w:pPr>
      <w:r w:rsidRPr="00707E03">
        <w:rPr>
          <w:rFonts w:cs="Tahoma"/>
        </w:rPr>
        <w:t>Exchange Hosted Archive Extra Storage (SL per Utente)</w:t>
      </w:r>
      <w:r w:rsidRPr="00707E03">
        <w:tab/>
      </w:r>
      <w:r w:rsidRPr="00707E03">
        <w:fldChar w:fldCharType="begin"/>
      </w:r>
      <w:r w:rsidRPr="00707E03">
        <w:instrText xml:space="preserve"> PAGEREF _Toc352234570 \h </w:instrText>
      </w:r>
      <w:r w:rsidRPr="00707E03">
        <w:fldChar w:fldCharType="separate"/>
      </w:r>
      <w:r w:rsidRPr="00707E03">
        <w:t>20</w:t>
      </w:r>
      <w:r w:rsidRPr="00707E03">
        <w:fldChar w:fldCharType="end"/>
      </w:r>
    </w:p>
    <w:p w:rsidR="00707E03" w:rsidRPr="00707E03" w:rsidRDefault="00707E03">
      <w:pPr>
        <w:pStyle w:val="TOC2"/>
        <w:rPr>
          <w:rFonts w:asciiTheme="minorHAnsi" w:eastAsiaTheme="minorEastAsia" w:hAnsiTheme="minorHAnsi" w:cstheme="minorBidi"/>
          <w:sz w:val="22"/>
          <w:szCs w:val="22"/>
        </w:rPr>
      </w:pPr>
      <w:r w:rsidRPr="00707E03">
        <w:rPr>
          <w:rFonts w:cs="Tahoma"/>
          <w:lang w:val="sv-SE"/>
        </w:rPr>
        <w:t>Exchange Hosted Encryption (SL per Utente)</w:t>
      </w:r>
      <w:r w:rsidRPr="00707E03">
        <w:tab/>
      </w:r>
      <w:r w:rsidRPr="00707E03">
        <w:fldChar w:fldCharType="begin"/>
      </w:r>
      <w:r w:rsidRPr="00707E03">
        <w:instrText xml:space="preserve"> PAGEREF _Toc352234571 \h </w:instrText>
      </w:r>
      <w:r w:rsidRPr="00707E03">
        <w:fldChar w:fldCharType="separate"/>
      </w:r>
      <w:r w:rsidRPr="00707E03">
        <w:t>20</w:t>
      </w:r>
      <w:r w:rsidRPr="00707E03">
        <w:fldChar w:fldCharType="end"/>
      </w:r>
    </w:p>
    <w:p w:rsidR="00707E03" w:rsidRPr="00707E03" w:rsidRDefault="00707E03">
      <w:pPr>
        <w:pStyle w:val="TOC2"/>
        <w:rPr>
          <w:rFonts w:asciiTheme="minorHAnsi" w:eastAsiaTheme="minorEastAsia" w:hAnsiTheme="minorHAnsi" w:cstheme="minorBidi"/>
          <w:sz w:val="22"/>
          <w:szCs w:val="22"/>
        </w:rPr>
      </w:pPr>
      <w:r w:rsidRPr="00707E03">
        <w:rPr>
          <w:rFonts w:cs="Tahoma"/>
        </w:rPr>
        <w:t>Archiviazione Exchange Online per Exchange Online A</w:t>
      </w:r>
      <w:r w:rsidRPr="00707E03">
        <w:tab/>
      </w:r>
      <w:r w:rsidRPr="00707E03">
        <w:fldChar w:fldCharType="begin"/>
      </w:r>
      <w:r w:rsidRPr="00707E03">
        <w:instrText xml:space="preserve"> PAGEREF _Toc352234572 \h </w:instrText>
      </w:r>
      <w:r w:rsidRPr="00707E03">
        <w:fldChar w:fldCharType="separate"/>
      </w:r>
      <w:r w:rsidRPr="00707E03">
        <w:t>20</w:t>
      </w:r>
      <w:r w:rsidRPr="00707E03">
        <w:fldChar w:fldCharType="end"/>
      </w:r>
    </w:p>
    <w:p w:rsidR="00707E03" w:rsidRPr="00707E03" w:rsidRDefault="00707E03">
      <w:pPr>
        <w:pStyle w:val="TOC2"/>
        <w:rPr>
          <w:rFonts w:asciiTheme="minorHAnsi" w:eastAsiaTheme="minorEastAsia" w:hAnsiTheme="minorHAnsi" w:cstheme="minorBidi"/>
          <w:sz w:val="22"/>
          <w:szCs w:val="22"/>
        </w:rPr>
      </w:pPr>
      <w:r w:rsidRPr="00707E03">
        <w:rPr>
          <w:rFonts w:cs="Tahoma"/>
        </w:rPr>
        <w:t>Archiviazione Exchange Online per Exchange Online</w:t>
      </w:r>
      <w:r w:rsidRPr="00707E03">
        <w:tab/>
      </w:r>
      <w:r w:rsidRPr="00707E03">
        <w:fldChar w:fldCharType="begin"/>
      </w:r>
      <w:r w:rsidRPr="00707E03">
        <w:instrText xml:space="preserve"> PAGEREF _Toc352234573 \h </w:instrText>
      </w:r>
      <w:r w:rsidRPr="00707E03">
        <w:fldChar w:fldCharType="separate"/>
      </w:r>
      <w:r w:rsidRPr="00707E03">
        <w:t>20</w:t>
      </w:r>
      <w:r w:rsidRPr="00707E03">
        <w:fldChar w:fldCharType="end"/>
      </w:r>
    </w:p>
    <w:p w:rsidR="00707E03" w:rsidRPr="00707E03" w:rsidRDefault="00707E03">
      <w:pPr>
        <w:pStyle w:val="TOC2"/>
        <w:rPr>
          <w:rFonts w:asciiTheme="minorHAnsi" w:eastAsiaTheme="minorEastAsia" w:hAnsiTheme="minorHAnsi" w:cstheme="minorBidi"/>
          <w:sz w:val="22"/>
          <w:szCs w:val="22"/>
        </w:rPr>
      </w:pPr>
      <w:r w:rsidRPr="00707E03">
        <w:rPr>
          <w:rFonts w:cs="Tahoma"/>
          <w:lang w:val="it-IT"/>
        </w:rPr>
        <w:t>Chiosco Exchange Online (SL per Utente)</w:t>
      </w:r>
      <w:r w:rsidRPr="00707E03">
        <w:tab/>
      </w:r>
      <w:r w:rsidRPr="00707E03">
        <w:fldChar w:fldCharType="begin"/>
      </w:r>
      <w:r w:rsidRPr="00707E03">
        <w:instrText xml:space="preserve"> PAGEREF _Toc352234574 \h </w:instrText>
      </w:r>
      <w:r w:rsidRPr="00707E03">
        <w:fldChar w:fldCharType="separate"/>
      </w:r>
      <w:r w:rsidRPr="00707E03">
        <w:t>20</w:t>
      </w:r>
      <w:r w:rsidRPr="00707E03">
        <w:fldChar w:fldCharType="end"/>
      </w:r>
    </w:p>
    <w:p w:rsidR="00707E03" w:rsidRPr="00707E03" w:rsidRDefault="00707E03">
      <w:pPr>
        <w:pStyle w:val="TOC2"/>
        <w:rPr>
          <w:rFonts w:asciiTheme="minorHAnsi" w:eastAsiaTheme="minorEastAsia" w:hAnsiTheme="minorHAnsi" w:cstheme="minorBidi"/>
          <w:sz w:val="22"/>
          <w:szCs w:val="22"/>
        </w:rPr>
      </w:pPr>
      <w:r w:rsidRPr="00707E03">
        <w:rPr>
          <w:rFonts w:cs="Tahoma"/>
          <w:lang w:val="it-IT"/>
        </w:rPr>
        <w:t>Exchange Online Piano 1 (SL per Utente)</w:t>
      </w:r>
      <w:r w:rsidRPr="00707E03">
        <w:tab/>
      </w:r>
      <w:r w:rsidRPr="00707E03">
        <w:fldChar w:fldCharType="begin"/>
      </w:r>
      <w:r w:rsidRPr="00707E03">
        <w:instrText xml:space="preserve"> PAGEREF _Toc352234575 \h </w:instrText>
      </w:r>
      <w:r w:rsidRPr="00707E03">
        <w:fldChar w:fldCharType="separate"/>
      </w:r>
      <w:r w:rsidRPr="00707E03">
        <w:t>20</w:t>
      </w:r>
      <w:r w:rsidRPr="00707E03">
        <w:fldChar w:fldCharType="end"/>
      </w:r>
    </w:p>
    <w:p w:rsidR="00707E03" w:rsidRPr="00707E03" w:rsidRDefault="00707E03">
      <w:pPr>
        <w:pStyle w:val="TOC2"/>
        <w:rPr>
          <w:rFonts w:asciiTheme="minorHAnsi" w:eastAsiaTheme="minorEastAsia" w:hAnsiTheme="minorHAnsi" w:cstheme="minorBidi"/>
          <w:sz w:val="22"/>
          <w:szCs w:val="22"/>
        </w:rPr>
      </w:pPr>
      <w:r w:rsidRPr="00707E03">
        <w:rPr>
          <w:rFonts w:cs="Tahoma"/>
          <w:lang w:val="it-IT"/>
        </w:rPr>
        <w:t>Exchange Online Piano 2 (SL per Utente)</w:t>
      </w:r>
      <w:r w:rsidRPr="00707E03">
        <w:tab/>
      </w:r>
      <w:r w:rsidRPr="00707E03">
        <w:fldChar w:fldCharType="begin"/>
      </w:r>
      <w:r w:rsidRPr="00707E03">
        <w:instrText xml:space="preserve"> PAGEREF _Toc352234576 \h </w:instrText>
      </w:r>
      <w:r w:rsidRPr="00707E03">
        <w:fldChar w:fldCharType="separate"/>
      </w:r>
      <w:r w:rsidRPr="00707E03">
        <w:t>20</w:t>
      </w:r>
      <w:r w:rsidRPr="00707E03">
        <w:fldChar w:fldCharType="end"/>
      </w:r>
    </w:p>
    <w:p w:rsidR="00707E03" w:rsidRPr="00707E03" w:rsidRDefault="00707E03">
      <w:pPr>
        <w:pStyle w:val="TOC3"/>
        <w:rPr>
          <w:rFonts w:asciiTheme="minorHAnsi" w:eastAsiaTheme="minorEastAsia" w:hAnsiTheme="minorHAnsi" w:cstheme="minorBidi"/>
          <w:bCs w:val="0"/>
          <w:color w:val="auto"/>
          <w:sz w:val="22"/>
          <w:szCs w:val="22"/>
        </w:rPr>
      </w:pPr>
      <w:r w:rsidRPr="00707E03">
        <w:rPr>
          <w:color w:val="auto"/>
          <w:lang w:val="it-IT"/>
        </w:rPr>
        <w:t>Exchange Online Piano 1A per Ex Allievi (SL per Utente)</w:t>
      </w:r>
      <w:r w:rsidRPr="00707E03">
        <w:rPr>
          <w:color w:val="auto"/>
        </w:rPr>
        <w:tab/>
      </w:r>
      <w:r w:rsidRPr="00707E03">
        <w:rPr>
          <w:color w:val="auto"/>
        </w:rPr>
        <w:fldChar w:fldCharType="begin"/>
      </w:r>
      <w:r w:rsidRPr="00707E03">
        <w:rPr>
          <w:color w:val="auto"/>
        </w:rPr>
        <w:instrText xml:space="preserve"> PAGEREF _Toc352234577 \h </w:instrText>
      </w:r>
      <w:r w:rsidRPr="00707E03">
        <w:rPr>
          <w:color w:val="auto"/>
        </w:rPr>
      </w:r>
      <w:r w:rsidRPr="00707E03">
        <w:rPr>
          <w:color w:val="auto"/>
        </w:rPr>
        <w:fldChar w:fldCharType="separate"/>
      </w:r>
      <w:r w:rsidRPr="00707E03">
        <w:rPr>
          <w:color w:val="auto"/>
        </w:rPr>
        <w:t>20</w:t>
      </w:r>
      <w:r w:rsidRPr="00707E03">
        <w:rPr>
          <w:color w:val="auto"/>
        </w:rPr>
        <w:fldChar w:fldCharType="end"/>
      </w:r>
    </w:p>
    <w:p w:rsidR="00707E03" w:rsidRPr="00707E03" w:rsidRDefault="00707E03">
      <w:pPr>
        <w:pStyle w:val="TOC3"/>
        <w:rPr>
          <w:rFonts w:asciiTheme="minorHAnsi" w:eastAsiaTheme="minorEastAsia" w:hAnsiTheme="minorHAnsi" w:cstheme="minorBidi"/>
          <w:bCs w:val="0"/>
          <w:color w:val="auto"/>
          <w:sz w:val="22"/>
          <w:szCs w:val="22"/>
        </w:rPr>
      </w:pPr>
      <w:r w:rsidRPr="00707E03">
        <w:rPr>
          <w:color w:val="auto"/>
          <w:lang w:val="it-IT"/>
        </w:rPr>
        <w:t>Exchange Online Piano 2A (SL per Utente)</w:t>
      </w:r>
      <w:r w:rsidRPr="00707E03">
        <w:rPr>
          <w:color w:val="auto"/>
        </w:rPr>
        <w:tab/>
      </w:r>
      <w:r w:rsidRPr="00707E03">
        <w:rPr>
          <w:color w:val="auto"/>
        </w:rPr>
        <w:fldChar w:fldCharType="begin"/>
      </w:r>
      <w:r w:rsidRPr="00707E03">
        <w:rPr>
          <w:color w:val="auto"/>
        </w:rPr>
        <w:instrText xml:space="preserve"> PAGEREF _Toc352234578 \h </w:instrText>
      </w:r>
      <w:r w:rsidRPr="00707E03">
        <w:rPr>
          <w:color w:val="auto"/>
        </w:rPr>
      </w:r>
      <w:r w:rsidRPr="00707E03">
        <w:rPr>
          <w:color w:val="auto"/>
        </w:rPr>
        <w:fldChar w:fldCharType="separate"/>
      </w:r>
      <w:r w:rsidRPr="00707E03">
        <w:rPr>
          <w:color w:val="auto"/>
        </w:rPr>
        <w:t>20</w:t>
      </w:r>
      <w:r w:rsidRPr="00707E03">
        <w:rPr>
          <w:color w:val="auto"/>
        </w:rPr>
        <w:fldChar w:fldCharType="end"/>
      </w:r>
    </w:p>
    <w:p w:rsidR="00707E03" w:rsidRPr="00707E03" w:rsidRDefault="00707E03">
      <w:pPr>
        <w:pStyle w:val="TOC2"/>
        <w:rPr>
          <w:rFonts w:asciiTheme="minorHAnsi" w:eastAsiaTheme="minorEastAsia" w:hAnsiTheme="minorHAnsi" w:cstheme="minorBidi"/>
          <w:sz w:val="22"/>
          <w:szCs w:val="22"/>
        </w:rPr>
      </w:pPr>
      <w:r w:rsidRPr="00707E03">
        <w:rPr>
          <w:rFonts w:cs="Tahoma"/>
        </w:rPr>
        <w:t>Exchange Online Protection (SL per Utente)</w:t>
      </w:r>
      <w:r w:rsidRPr="00707E03">
        <w:tab/>
      </w:r>
      <w:r w:rsidRPr="00707E03">
        <w:fldChar w:fldCharType="begin"/>
      </w:r>
      <w:r w:rsidRPr="00707E03">
        <w:instrText xml:space="preserve"> PAGEREF _Toc352234579 \h </w:instrText>
      </w:r>
      <w:r w:rsidRPr="00707E03">
        <w:fldChar w:fldCharType="separate"/>
      </w:r>
      <w:r w:rsidRPr="00707E03">
        <w:t>20</w:t>
      </w:r>
      <w:r w:rsidRPr="00707E03">
        <w:fldChar w:fldCharType="end"/>
      </w:r>
    </w:p>
    <w:p w:rsidR="00707E03" w:rsidRPr="00707E03" w:rsidRDefault="00707E03">
      <w:pPr>
        <w:pStyle w:val="TOC2"/>
        <w:rPr>
          <w:rFonts w:asciiTheme="minorHAnsi" w:eastAsiaTheme="minorEastAsia" w:hAnsiTheme="minorHAnsi" w:cstheme="minorBidi"/>
          <w:sz w:val="22"/>
          <w:szCs w:val="22"/>
        </w:rPr>
      </w:pPr>
      <w:r w:rsidRPr="00707E03">
        <w:rPr>
          <w:rFonts w:cs="Tahoma"/>
        </w:rPr>
        <w:t>Exchange Server Enterprise 2013</w:t>
      </w:r>
      <w:r w:rsidRPr="00707E03">
        <w:tab/>
      </w:r>
      <w:r w:rsidRPr="00707E03">
        <w:fldChar w:fldCharType="begin"/>
      </w:r>
      <w:r w:rsidRPr="00707E03">
        <w:instrText xml:space="preserve"> PAGEREF _Toc352234580 \h </w:instrText>
      </w:r>
      <w:r w:rsidRPr="00707E03">
        <w:fldChar w:fldCharType="separate"/>
      </w:r>
      <w:r w:rsidRPr="00707E03">
        <w:t>20</w:t>
      </w:r>
      <w:r w:rsidRPr="00707E03">
        <w:fldChar w:fldCharType="end"/>
      </w:r>
    </w:p>
    <w:p w:rsidR="00707E03" w:rsidRPr="00707E03" w:rsidRDefault="00707E03">
      <w:pPr>
        <w:pStyle w:val="TOC2"/>
        <w:rPr>
          <w:rFonts w:asciiTheme="minorHAnsi" w:eastAsiaTheme="minorEastAsia" w:hAnsiTheme="minorHAnsi" w:cstheme="minorBidi"/>
          <w:sz w:val="22"/>
          <w:szCs w:val="22"/>
        </w:rPr>
      </w:pPr>
      <w:r w:rsidRPr="00707E03">
        <w:rPr>
          <w:rFonts w:cs="Tahoma"/>
        </w:rPr>
        <w:t>Exchange Server Standard 2013</w:t>
      </w:r>
      <w:r w:rsidRPr="00707E03">
        <w:tab/>
      </w:r>
      <w:r w:rsidRPr="00707E03">
        <w:fldChar w:fldCharType="begin"/>
      </w:r>
      <w:r w:rsidRPr="00707E03">
        <w:instrText xml:space="preserve"> PAGEREF _Toc352234581 \h </w:instrText>
      </w:r>
      <w:r w:rsidRPr="00707E03">
        <w:fldChar w:fldCharType="separate"/>
      </w:r>
      <w:r w:rsidRPr="00707E03">
        <w:t>20</w:t>
      </w:r>
      <w:r w:rsidRPr="00707E03">
        <w:fldChar w:fldCharType="end"/>
      </w:r>
    </w:p>
    <w:p w:rsidR="00707E03" w:rsidRPr="00707E03" w:rsidRDefault="00707E03">
      <w:pPr>
        <w:pStyle w:val="TOC2"/>
        <w:rPr>
          <w:rFonts w:asciiTheme="minorHAnsi" w:eastAsiaTheme="minorEastAsia" w:hAnsiTheme="minorHAnsi" w:cstheme="minorBidi"/>
          <w:sz w:val="22"/>
          <w:szCs w:val="22"/>
        </w:rPr>
      </w:pPr>
      <w:r w:rsidRPr="00707E03">
        <w:rPr>
          <w:rFonts w:cs="Tahoma"/>
        </w:rPr>
        <w:t>Exchange Server 2007 Standard for Small Business</w:t>
      </w:r>
      <w:r w:rsidRPr="00707E03">
        <w:tab/>
      </w:r>
      <w:r w:rsidRPr="00707E03">
        <w:fldChar w:fldCharType="begin"/>
      </w:r>
      <w:r w:rsidRPr="00707E03">
        <w:instrText xml:space="preserve"> PAGEREF _Toc352234582 \h </w:instrText>
      </w:r>
      <w:r w:rsidRPr="00707E03">
        <w:fldChar w:fldCharType="separate"/>
      </w:r>
      <w:r w:rsidRPr="00707E03">
        <w:t>20</w:t>
      </w:r>
      <w:r w:rsidRPr="00707E03">
        <w:fldChar w:fldCharType="end"/>
      </w:r>
    </w:p>
    <w:p w:rsidR="00707E03" w:rsidRPr="00707E03" w:rsidRDefault="00707E03">
      <w:pPr>
        <w:pStyle w:val="TOC2"/>
        <w:rPr>
          <w:rFonts w:asciiTheme="minorHAnsi" w:eastAsiaTheme="minorEastAsia" w:hAnsiTheme="minorHAnsi" w:cstheme="minorBidi"/>
          <w:sz w:val="22"/>
          <w:szCs w:val="22"/>
        </w:rPr>
      </w:pPr>
      <w:r w:rsidRPr="00707E03">
        <w:rPr>
          <w:rFonts w:cs="Tahoma"/>
        </w:rPr>
        <w:t>CAL per Exchange Server 2007 Standard for Small Business</w:t>
      </w:r>
      <w:r w:rsidRPr="00707E03">
        <w:tab/>
      </w:r>
      <w:r w:rsidRPr="00707E03">
        <w:fldChar w:fldCharType="begin"/>
      </w:r>
      <w:r w:rsidRPr="00707E03">
        <w:instrText xml:space="preserve"> PAGEREF _Toc352234583 \h </w:instrText>
      </w:r>
      <w:r w:rsidRPr="00707E03">
        <w:fldChar w:fldCharType="separate"/>
      </w:r>
      <w:r w:rsidRPr="00707E03">
        <w:t>20</w:t>
      </w:r>
      <w:r w:rsidRPr="00707E03">
        <w:fldChar w:fldCharType="end"/>
      </w:r>
    </w:p>
    <w:p w:rsidR="00707E03" w:rsidRPr="00707E03" w:rsidRDefault="00707E03">
      <w:pPr>
        <w:pStyle w:val="TOC2"/>
        <w:rPr>
          <w:rFonts w:asciiTheme="minorHAnsi" w:eastAsiaTheme="minorEastAsia" w:hAnsiTheme="minorHAnsi" w:cstheme="minorBidi"/>
          <w:sz w:val="22"/>
          <w:szCs w:val="22"/>
        </w:rPr>
      </w:pPr>
      <w:r w:rsidRPr="00707E03">
        <w:rPr>
          <w:rFonts w:cs="Tahoma"/>
        </w:rPr>
        <w:t>Exchange Server 2010 Standard CAL (Dispositivo e Utente)</w:t>
      </w:r>
      <w:r w:rsidRPr="00707E03">
        <w:tab/>
      </w:r>
      <w:r w:rsidRPr="00707E03">
        <w:fldChar w:fldCharType="begin"/>
      </w:r>
      <w:r w:rsidRPr="00707E03">
        <w:instrText xml:space="preserve"> PAGEREF _Toc352234584 \h </w:instrText>
      </w:r>
      <w:r w:rsidRPr="00707E03">
        <w:fldChar w:fldCharType="separate"/>
      </w:r>
      <w:r w:rsidRPr="00707E03">
        <w:t>20</w:t>
      </w:r>
      <w:r w:rsidRPr="00707E03">
        <w:fldChar w:fldCharType="end"/>
      </w:r>
    </w:p>
    <w:p w:rsidR="00707E03" w:rsidRPr="00707E03" w:rsidRDefault="00707E03">
      <w:pPr>
        <w:pStyle w:val="TOC2"/>
        <w:rPr>
          <w:rFonts w:asciiTheme="minorHAnsi" w:eastAsiaTheme="minorEastAsia" w:hAnsiTheme="minorHAnsi" w:cstheme="minorBidi"/>
          <w:sz w:val="22"/>
          <w:szCs w:val="22"/>
        </w:rPr>
      </w:pPr>
      <w:r w:rsidRPr="00707E03">
        <w:rPr>
          <w:rFonts w:cs="Tahoma"/>
        </w:rPr>
        <w:t>Forefront Endpoint Protection</w:t>
      </w:r>
      <w:r w:rsidRPr="00707E03">
        <w:tab/>
      </w:r>
      <w:r w:rsidRPr="00707E03">
        <w:fldChar w:fldCharType="begin"/>
      </w:r>
      <w:r w:rsidRPr="00707E03">
        <w:instrText xml:space="preserve"> PAGEREF _Toc352234585 \h </w:instrText>
      </w:r>
      <w:r w:rsidRPr="00707E03">
        <w:fldChar w:fldCharType="separate"/>
      </w:r>
      <w:r w:rsidRPr="00707E03">
        <w:t>20</w:t>
      </w:r>
      <w:r w:rsidRPr="00707E03">
        <w:fldChar w:fldCharType="end"/>
      </w:r>
    </w:p>
    <w:p w:rsidR="00707E03" w:rsidRPr="00707E03" w:rsidRDefault="00707E03">
      <w:pPr>
        <w:pStyle w:val="TOC2"/>
        <w:rPr>
          <w:rFonts w:asciiTheme="minorHAnsi" w:eastAsiaTheme="minorEastAsia" w:hAnsiTheme="minorHAnsi" w:cstheme="minorBidi"/>
          <w:sz w:val="22"/>
          <w:szCs w:val="22"/>
        </w:rPr>
      </w:pPr>
      <w:r w:rsidRPr="00707E03">
        <w:rPr>
          <w:rFonts w:cs="Tahoma"/>
          <w:lang w:val="it-IT"/>
        </w:rPr>
        <w:t>CAL per Forefront Identity Manager 2010 R2 (solo Utente)</w:t>
      </w:r>
      <w:r w:rsidRPr="00707E03">
        <w:tab/>
      </w:r>
      <w:r w:rsidRPr="00707E03">
        <w:fldChar w:fldCharType="begin"/>
      </w:r>
      <w:r w:rsidRPr="00707E03">
        <w:instrText xml:space="preserve"> PAGEREF _Toc352234586 \h </w:instrText>
      </w:r>
      <w:r w:rsidRPr="00707E03">
        <w:fldChar w:fldCharType="separate"/>
      </w:r>
      <w:r w:rsidRPr="00707E03">
        <w:t>20</w:t>
      </w:r>
      <w:r w:rsidRPr="00707E03">
        <w:fldChar w:fldCharType="end"/>
      </w:r>
    </w:p>
    <w:p w:rsidR="00707E03" w:rsidRPr="00707E03" w:rsidRDefault="00707E03">
      <w:pPr>
        <w:pStyle w:val="TOC2"/>
        <w:rPr>
          <w:rFonts w:asciiTheme="minorHAnsi" w:eastAsiaTheme="minorEastAsia" w:hAnsiTheme="minorHAnsi" w:cstheme="minorBidi"/>
          <w:sz w:val="22"/>
          <w:szCs w:val="22"/>
        </w:rPr>
      </w:pPr>
      <w:r w:rsidRPr="00707E03">
        <w:rPr>
          <w:rFonts w:cs="Tahoma"/>
        </w:rPr>
        <w:t>External Connector per Forefront Identity Manager 2010 R2</w:t>
      </w:r>
      <w:r w:rsidRPr="00707E03">
        <w:tab/>
      </w:r>
      <w:r w:rsidRPr="00707E03">
        <w:fldChar w:fldCharType="begin"/>
      </w:r>
      <w:r w:rsidRPr="00707E03">
        <w:instrText xml:space="preserve"> PAGEREF _Toc352234587 \h </w:instrText>
      </w:r>
      <w:r w:rsidRPr="00707E03">
        <w:fldChar w:fldCharType="separate"/>
      </w:r>
      <w:r w:rsidRPr="00707E03">
        <w:t>20</w:t>
      </w:r>
      <w:r w:rsidRPr="00707E03">
        <w:fldChar w:fldCharType="end"/>
      </w:r>
    </w:p>
    <w:p w:rsidR="00707E03" w:rsidRPr="00707E03" w:rsidRDefault="00707E03">
      <w:pPr>
        <w:pStyle w:val="TOC2"/>
        <w:rPr>
          <w:rFonts w:asciiTheme="minorHAnsi" w:eastAsiaTheme="minorEastAsia" w:hAnsiTheme="minorHAnsi" w:cstheme="minorBidi"/>
          <w:sz w:val="22"/>
          <w:szCs w:val="22"/>
        </w:rPr>
      </w:pPr>
      <w:r w:rsidRPr="00707E03">
        <w:rPr>
          <w:rFonts w:cs="Tahoma"/>
        </w:rPr>
        <w:t>Forefront Identity Manager 2010 R2 Server</w:t>
      </w:r>
      <w:r w:rsidRPr="00707E03">
        <w:tab/>
      </w:r>
      <w:r w:rsidRPr="00707E03">
        <w:fldChar w:fldCharType="begin"/>
      </w:r>
      <w:r w:rsidRPr="00707E03">
        <w:instrText xml:space="preserve"> PAGEREF _Toc352234588 \h </w:instrText>
      </w:r>
      <w:r w:rsidRPr="00707E03">
        <w:fldChar w:fldCharType="separate"/>
      </w:r>
      <w:r w:rsidRPr="00707E03">
        <w:t>20</w:t>
      </w:r>
      <w:r w:rsidRPr="00707E03">
        <w:fldChar w:fldCharType="end"/>
      </w:r>
    </w:p>
    <w:p w:rsidR="00707E03" w:rsidRPr="00707E03" w:rsidRDefault="00707E03">
      <w:pPr>
        <w:pStyle w:val="TOC2"/>
        <w:rPr>
          <w:rFonts w:asciiTheme="minorHAnsi" w:eastAsiaTheme="minorEastAsia" w:hAnsiTheme="minorHAnsi" w:cstheme="minorBidi"/>
          <w:sz w:val="22"/>
          <w:szCs w:val="22"/>
        </w:rPr>
      </w:pPr>
      <w:r w:rsidRPr="00707E03">
        <w:rPr>
          <w:rFonts w:cs="Tahoma"/>
        </w:rPr>
        <w:t>Forefront Identity Manager 2010 R2 - Windows Live Edition</w:t>
      </w:r>
      <w:r w:rsidRPr="00707E03">
        <w:tab/>
      </w:r>
      <w:r w:rsidRPr="00707E03">
        <w:fldChar w:fldCharType="begin"/>
      </w:r>
      <w:r w:rsidRPr="00707E03">
        <w:instrText xml:space="preserve"> PAGEREF _Toc352234589 \h </w:instrText>
      </w:r>
      <w:r w:rsidRPr="00707E03">
        <w:fldChar w:fldCharType="separate"/>
      </w:r>
      <w:r w:rsidRPr="00707E03">
        <w:t>20</w:t>
      </w:r>
      <w:r w:rsidRPr="00707E03">
        <w:fldChar w:fldCharType="end"/>
      </w:r>
    </w:p>
    <w:p w:rsidR="00707E03" w:rsidRPr="00707E03" w:rsidRDefault="00707E03">
      <w:pPr>
        <w:pStyle w:val="TOC2"/>
        <w:rPr>
          <w:rFonts w:asciiTheme="minorHAnsi" w:eastAsiaTheme="minorEastAsia" w:hAnsiTheme="minorHAnsi" w:cstheme="minorBidi"/>
          <w:sz w:val="22"/>
          <w:szCs w:val="22"/>
        </w:rPr>
      </w:pPr>
      <w:r w:rsidRPr="00707E03">
        <w:rPr>
          <w:rFonts w:cs="Tahoma"/>
        </w:rPr>
        <w:t>Forefront Protection 2010 for Exchange Server (SL per Dispositivo e Utente)</w:t>
      </w:r>
      <w:r w:rsidRPr="00707E03">
        <w:tab/>
      </w:r>
      <w:r w:rsidRPr="00707E03">
        <w:fldChar w:fldCharType="begin"/>
      </w:r>
      <w:r w:rsidRPr="00707E03">
        <w:instrText xml:space="preserve"> PAGEREF _Toc352234590 \h </w:instrText>
      </w:r>
      <w:r w:rsidRPr="00707E03">
        <w:fldChar w:fldCharType="separate"/>
      </w:r>
      <w:r w:rsidRPr="00707E03">
        <w:t>20</w:t>
      </w:r>
      <w:r w:rsidRPr="00707E03">
        <w:fldChar w:fldCharType="end"/>
      </w:r>
    </w:p>
    <w:p w:rsidR="00707E03" w:rsidRPr="00707E03" w:rsidRDefault="00707E03">
      <w:pPr>
        <w:pStyle w:val="TOC2"/>
        <w:rPr>
          <w:rFonts w:asciiTheme="minorHAnsi" w:eastAsiaTheme="minorEastAsia" w:hAnsiTheme="minorHAnsi" w:cstheme="minorBidi"/>
          <w:sz w:val="22"/>
          <w:szCs w:val="22"/>
        </w:rPr>
      </w:pPr>
      <w:r w:rsidRPr="00707E03">
        <w:rPr>
          <w:rFonts w:cs="Tahoma"/>
        </w:rPr>
        <w:t>Forefront Protection Suite (SL per Dispositivo e Utente)</w:t>
      </w:r>
      <w:r w:rsidRPr="00707E03">
        <w:tab/>
      </w:r>
      <w:r w:rsidRPr="00707E03">
        <w:fldChar w:fldCharType="begin"/>
      </w:r>
      <w:r w:rsidRPr="00707E03">
        <w:instrText xml:space="preserve"> PAGEREF _Toc352234591 \h </w:instrText>
      </w:r>
      <w:r w:rsidRPr="00707E03">
        <w:fldChar w:fldCharType="separate"/>
      </w:r>
      <w:r w:rsidRPr="00707E03">
        <w:t>20</w:t>
      </w:r>
      <w:r w:rsidRPr="00707E03">
        <w:fldChar w:fldCharType="end"/>
      </w:r>
    </w:p>
    <w:p w:rsidR="00707E03" w:rsidRPr="00707E03" w:rsidRDefault="00707E03">
      <w:pPr>
        <w:pStyle w:val="TOC2"/>
        <w:rPr>
          <w:rFonts w:asciiTheme="minorHAnsi" w:eastAsiaTheme="minorEastAsia" w:hAnsiTheme="minorHAnsi" w:cstheme="minorBidi"/>
          <w:sz w:val="22"/>
          <w:szCs w:val="22"/>
        </w:rPr>
      </w:pPr>
      <w:r w:rsidRPr="00707E03">
        <w:rPr>
          <w:rFonts w:cs="Tahoma"/>
        </w:rPr>
        <w:t>Forefront Security for Office Communications Server  (SL per Dispositivo e Utente)</w:t>
      </w:r>
      <w:r w:rsidRPr="00707E03">
        <w:tab/>
      </w:r>
      <w:r w:rsidRPr="00707E03">
        <w:fldChar w:fldCharType="begin"/>
      </w:r>
      <w:r w:rsidRPr="00707E03">
        <w:instrText xml:space="preserve"> PAGEREF _Toc352234592 \h </w:instrText>
      </w:r>
      <w:r w:rsidRPr="00707E03">
        <w:fldChar w:fldCharType="separate"/>
      </w:r>
      <w:r w:rsidRPr="00707E03">
        <w:t>20</w:t>
      </w:r>
      <w:r w:rsidRPr="00707E03">
        <w:fldChar w:fldCharType="end"/>
      </w:r>
    </w:p>
    <w:p w:rsidR="00707E03" w:rsidRPr="00707E03" w:rsidRDefault="00707E03">
      <w:pPr>
        <w:pStyle w:val="TOC2"/>
        <w:rPr>
          <w:rFonts w:asciiTheme="minorHAnsi" w:eastAsiaTheme="minorEastAsia" w:hAnsiTheme="minorHAnsi" w:cstheme="minorBidi"/>
          <w:sz w:val="22"/>
          <w:szCs w:val="22"/>
        </w:rPr>
      </w:pPr>
      <w:r w:rsidRPr="00707E03">
        <w:rPr>
          <w:rFonts w:cs="Tahoma"/>
        </w:rPr>
        <w:t>Forefront Protection 2010 for SharePoint (SL per Dispositivo e Utente)</w:t>
      </w:r>
      <w:r w:rsidRPr="00707E03">
        <w:tab/>
      </w:r>
      <w:r w:rsidRPr="00707E03">
        <w:fldChar w:fldCharType="begin"/>
      </w:r>
      <w:r w:rsidRPr="00707E03">
        <w:instrText xml:space="preserve"> PAGEREF _Toc352234593 \h </w:instrText>
      </w:r>
      <w:r w:rsidRPr="00707E03">
        <w:fldChar w:fldCharType="separate"/>
      </w:r>
      <w:r w:rsidRPr="00707E03">
        <w:t>20</w:t>
      </w:r>
      <w:r w:rsidRPr="00707E03">
        <w:fldChar w:fldCharType="end"/>
      </w:r>
    </w:p>
    <w:p w:rsidR="00707E03" w:rsidRPr="00707E03" w:rsidRDefault="00707E03">
      <w:pPr>
        <w:pStyle w:val="TOC2"/>
        <w:rPr>
          <w:rFonts w:asciiTheme="minorHAnsi" w:eastAsiaTheme="minorEastAsia" w:hAnsiTheme="minorHAnsi" w:cstheme="minorBidi"/>
          <w:sz w:val="22"/>
          <w:szCs w:val="22"/>
        </w:rPr>
      </w:pPr>
      <w:r w:rsidRPr="00707E03">
        <w:rPr>
          <w:rFonts w:cs="Tahoma"/>
        </w:rPr>
        <w:t>Forefront Protection 2010 for SharePoint per Siti Internet (SL Add-on)</w:t>
      </w:r>
      <w:r w:rsidRPr="00707E03">
        <w:tab/>
      </w:r>
      <w:r w:rsidRPr="00707E03">
        <w:fldChar w:fldCharType="begin"/>
      </w:r>
      <w:r w:rsidRPr="00707E03">
        <w:instrText xml:space="preserve"> PAGEREF _Toc352234594 \h </w:instrText>
      </w:r>
      <w:r w:rsidRPr="00707E03">
        <w:fldChar w:fldCharType="separate"/>
      </w:r>
      <w:r w:rsidRPr="00707E03">
        <w:t>20</w:t>
      </w:r>
      <w:r w:rsidRPr="00707E03">
        <w:fldChar w:fldCharType="end"/>
      </w:r>
    </w:p>
    <w:p w:rsidR="00707E03" w:rsidRPr="00707E03" w:rsidRDefault="00707E03">
      <w:pPr>
        <w:pStyle w:val="TOC2"/>
        <w:rPr>
          <w:rFonts w:asciiTheme="minorHAnsi" w:eastAsiaTheme="minorEastAsia" w:hAnsiTheme="minorHAnsi" w:cstheme="minorBidi"/>
          <w:sz w:val="22"/>
          <w:szCs w:val="22"/>
        </w:rPr>
      </w:pPr>
      <w:r w:rsidRPr="00707E03">
        <w:rPr>
          <w:rFonts w:cs="Tahoma"/>
        </w:rPr>
        <w:t>Forefront Threat Management Gateway Web Protection Services</w:t>
      </w:r>
      <w:r w:rsidRPr="00707E03">
        <w:tab/>
      </w:r>
      <w:r w:rsidRPr="00707E03">
        <w:fldChar w:fldCharType="begin"/>
      </w:r>
      <w:r w:rsidRPr="00707E03">
        <w:instrText xml:space="preserve"> PAGEREF _Toc352234595 \h </w:instrText>
      </w:r>
      <w:r w:rsidRPr="00707E03">
        <w:fldChar w:fldCharType="separate"/>
      </w:r>
      <w:r w:rsidRPr="00707E03">
        <w:t>20</w:t>
      </w:r>
      <w:r w:rsidRPr="00707E03">
        <w:fldChar w:fldCharType="end"/>
      </w:r>
    </w:p>
    <w:p w:rsidR="00707E03" w:rsidRPr="00707E03" w:rsidRDefault="00707E03">
      <w:pPr>
        <w:pStyle w:val="TOC2"/>
        <w:rPr>
          <w:rFonts w:asciiTheme="minorHAnsi" w:eastAsiaTheme="minorEastAsia" w:hAnsiTheme="minorHAnsi" w:cstheme="minorBidi"/>
          <w:sz w:val="22"/>
          <w:szCs w:val="22"/>
        </w:rPr>
      </w:pPr>
      <w:r w:rsidRPr="00707E03">
        <w:rPr>
          <w:rFonts w:cs="Tahoma"/>
        </w:rPr>
        <w:t>Forefront Unified Access Gateway Server 2010</w:t>
      </w:r>
      <w:r w:rsidRPr="00707E03">
        <w:tab/>
      </w:r>
      <w:r w:rsidRPr="00707E03">
        <w:fldChar w:fldCharType="begin"/>
      </w:r>
      <w:r w:rsidRPr="00707E03">
        <w:instrText xml:space="preserve"> PAGEREF _Toc352234596 \h </w:instrText>
      </w:r>
      <w:r w:rsidRPr="00707E03">
        <w:fldChar w:fldCharType="separate"/>
      </w:r>
      <w:r w:rsidRPr="00707E03">
        <w:t>20</w:t>
      </w:r>
      <w:r w:rsidRPr="00707E03">
        <w:fldChar w:fldCharType="end"/>
      </w:r>
    </w:p>
    <w:p w:rsidR="00707E03" w:rsidRPr="00707E03" w:rsidRDefault="00707E03">
      <w:pPr>
        <w:pStyle w:val="TOC2"/>
        <w:rPr>
          <w:rFonts w:asciiTheme="minorHAnsi" w:eastAsiaTheme="minorEastAsia" w:hAnsiTheme="minorHAnsi" w:cstheme="minorBidi"/>
          <w:sz w:val="22"/>
          <w:szCs w:val="22"/>
        </w:rPr>
      </w:pPr>
      <w:r w:rsidRPr="00707E03">
        <w:rPr>
          <w:rFonts w:cs="Tahoma"/>
        </w:rPr>
        <w:t>External Connector per Forefront Unified Access Gateway 2010</w:t>
      </w:r>
      <w:r w:rsidRPr="00707E03">
        <w:tab/>
      </w:r>
      <w:r w:rsidRPr="00707E03">
        <w:fldChar w:fldCharType="begin"/>
      </w:r>
      <w:r w:rsidRPr="00707E03">
        <w:instrText xml:space="preserve"> PAGEREF _Toc352234597 \h </w:instrText>
      </w:r>
      <w:r w:rsidRPr="00707E03">
        <w:fldChar w:fldCharType="separate"/>
      </w:r>
      <w:r w:rsidRPr="00707E03">
        <w:t>21</w:t>
      </w:r>
      <w:r w:rsidRPr="00707E03">
        <w:fldChar w:fldCharType="end"/>
      </w:r>
    </w:p>
    <w:p w:rsidR="00707E03" w:rsidRPr="00707E03" w:rsidRDefault="00707E03">
      <w:pPr>
        <w:pStyle w:val="TOC2"/>
        <w:rPr>
          <w:rFonts w:asciiTheme="minorHAnsi" w:eastAsiaTheme="minorEastAsia" w:hAnsiTheme="minorHAnsi" w:cstheme="minorBidi"/>
          <w:sz w:val="22"/>
          <w:szCs w:val="22"/>
        </w:rPr>
      </w:pPr>
      <w:r w:rsidRPr="00707E03">
        <w:rPr>
          <w:rFonts w:cs="Tahoma"/>
        </w:rPr>
        <w:t>CAL per Forefront Unified Access Gateway 2010</w:t>
      </w:r>
      <w:r w:rsidRPr="00707E03">
        <w:tab/>
      </w:r>
      <w:r w:rsidRPr="00707E03">
        <w:fldChar w:fldCharType="begin"/>
      </w:r>
      <w:r w:rsidRPr="00707E03">
        <w:instrText xml:space="preserve"> PAGEREF _Toc352234598 \h </w:instrText>
      </w:r>
      <w:r w:rsidRPr="00707E03">
        <w:fldChar w:fldCharType="separate"/>
      </w:r>
      <w:r w:rsidRPr="00707E03">
        <w:t>21</w:t>
      </w:r>
      <w:r w:rsidRPr="00707E03">
        <w:fldChar w:fldCharType="end"/>
      </w:r>
    </w:p>
    <w:p w:rsidR="00707E03" w:rsidRPr="00707E03" w:rsidRDefault="00707E03">
      <w:pPr>
        <w:pStyle w:val="TOC2"/>
        <w:rPr>
          <w:rFonts w:asciiTheme="minorHAnsi" w:eastAsiaTheme="minorEastAsia" w:hAnsiTheme="minorHAnsi" w:cstheme="minorBidi"/>
          <w:sz w:val="22"/>
          <w:szCs w:val="22"/>
        </w:rPr>
      </w:pPr>
      <w:r w:rsidRPr="00707E03">
        <w:rPr>
          <w:rFonts w:cs="Tahoma"/>
          <w:lang w:val="it-IT"/>
        </w:rPr>
        <w:t>Pacchetto di 10.000 CAL per Forefront Unified Access Gateway 2010</w:t>
      </w:r>
      <w:r w:rsidRPr="00707E03">
        <w:tab/>
      </w:r>
      <w:r w:rsidRPr="00707E03">
        <w:fldChar w:fldCharType="begin"/>
      </w:r>
      <w:r w:rsidRPr="00707E03">
        <w:instrText xml:space="preserve"> PAGEREF _Toc352234599 \h </w:instrText>
      </w:r>
      <w:r w:rsidRPr="00707E03">
        <w:fldChar w:fldCharType="separate"/>
      </w:r>
      <w:r w:rsidRPr="00707E03">
        <w:t>21</w:t>
      </w:r>
      <w:r w:rsidRPr="00707E03">
        <w:fldChar w:fldCharType="end"/>
      </w:r>
    </w:p>
    <w:p w:rsidR="00707E03" w:rsidRPr="00707E03" w:rsidRDefault="00707E03">
      <w:pPr>
        <w:pStyle w:val="TOC2"/>
        <w:rPr>
          <w:rFonts w:asciiTheme="minorHAnsi" w:eastAsiaTheme="minorEastAsia" w:hAnsiTheme="minorHAnsi" w:cstheme="minorBidi"/>
          <w:sz w:val="22"/>
          <w:szCs w:val="22"/>
        </w:rPr>
      </w:pPr>
      <w:r w:rsidRPr="00707E03">
        <w:rPr>
          <w:rFonts w:cs="Tahoma"/>
        </w:rPr>
        <w:t>GeoSynth Server</w:t>
      </w:r>
      <w:r w:rsidRPr="00707E03">
        <w:tab/>
      </w:r>
      <w:r w:rsidRPr="00707E03">
        <w:fldChar w:fldCharType="begin"/>
      </w:r>
      <w:r w:rsidRPr="00707E03">
        <w:instrText xml:space="preserve"> PAGEREF _Toc352234600 \h </w:instrText>
      </w:r>
      <w:r w:rsidRPr="00707E03">
        <w:fldChar w:fldCharType="separate"/>
      </w:r>
      <w:r w:rsidRPr="00707E03">
        <w:t>21</w:t>
      </w:r>
      <w:r w:rsidRPr="00707E03">
        <w:fldChar w:fldCharType="end"/>
      </w:r>
    </w:p>
    <w:p w:rsidR="00707E03" w:rsidRPr="00707E03" w:rsidRDefault="00707E03">
      <w:pPr>
        <w:pStyle w:val="TOC2"/>
        <w:rPr>
          <w:rFonts w:asciiTheme="minorHAnsi" w:eastAsiaTheme="minorEastAsia" w:hAnsiTheme="minorHAnsi" w:cstheme="minorBidi"/>
          <w:sz w:val="22"/>
          <w:szCs w:val="22"/>
        </w:rPr>
      </w:pPr>
      <w:r w:rsidRPr="00707E03">
        <w:rPr>
          <w:rFonts w:cs="Tahoma"/>
        </w:rPr>
        <w:t>HPC Pack 2008 R2 Enterprise</w:t>
      </w:r>
      <w:r w:rsidRPr="00707E03">
        <w:tab/>
      </w:r>
      <w:r w:rsidRPr="00707E03">
        <w:fldChar w:fldCharType="begin"/>
      </w:r>
      <w:r w:rsidRPr="00707E03">
        <w:instrText xml:space="preserve"> PAGEREF _Toc352234601 \h </w:instrText>
      </w:r>
      <w:r w:rsidRPr="00707E03">
        <w:fldChar w:fldCharType="separate"/>
      </w:r>
      <w:r w:rsidRPr="00707E03">
        <w:t>21</w:t>
      </w:r>
      <w:r w:rsidRPr="00707E03">
        <w:fldChar w:fldCharType="end"/>
      </w:r>
    </w:p>
    <w:p w:rsidR="00707E03" w:rsidRPr="00707E03" w:rsidRDefault="00707E03">
      <w:pPr>
        <w:pStyle w:val="TOC2"/>
        <w:rPr>
          <w:rFonts w:asciiTheme="minorHAnsi" w:eastAsiaTheme="minorEastAsia" w:hAnsiTheme="minorHAnsi" w:cstheme="minorBidi"/>
          <w:sz w:val="22"/>
          <w:szCs w:val="22"/>
        </w:rPr>
      </w:pPr>
      <w:r w:rsidRPr="00707E03">
        <w:rPr>
          <w:rFonts w:cs="Tahoma"/>
        </w:rPr>
        <w:t>HPC Pack 2008 R2 per Workstation</w:t>
      </w:r>
      <w:r w:rsidRPr="00707E03">
        <w:tab/>
      </w:r>
      <w:r w:rsidRPr="00707E03">
        <w:fldChar w:fldCharType="begin"/>
      </w:r>
      <w:r w:rsidRPr="00707E03">
        <w:instrText xml:space="preserve"> PAGEREF _Toc352234602 \h </w:instrText>
      </w:r>
      <w:r w:rsidRPr="00707E03">
        <w:fldChar w:fldCharType="separate"/>
      </w:r>
      <w:r w:rsidRPr="00707E03">
        <w:t>21</w:t>
      </w:r>
      <w:r w:rsidRPr="00707E03">
        <w:fldChar w:fldCharType="end"/>
      </w:r>
    </w:p>
    <w:p w:rsidR="00707E03" w:rsidRPr="00707E03" w:rsidRDefault="00707E03">
      <w:pPr>
        <w:pStyle w:val="TOC2"/>
        <w:rPr>
          <w:rFonts w:asciiTheme="minorHAnsi" w:eastAsiaTheme="minorEastAsia" w:hAnsiTheme="minorHAnsi" w:cstheme="minorBidi"/>
          <w:sz w:val="22"/>
          <w:szCs w:val="22"/>
        </w:rPr>
      </w:pPr>
      <w:r w:rsidRPr="00707E03">
        <w:rPr>
          <w:rFonts w:cs="Tahoma"/>
        </w:rPr>
        <w:t>Learning Solutions Combination  E-Reference Library (SL per Utente)</w:t>
      </w:r>
      <w:r w:rsidRPr="00707E03">
        <w:tab/>
      </w:r>
      <w:r w:rsidRPr="00707E03">
        <w:fldChar w:fldCharType="begin"/>
      </w:r>
      <w:r w:rsidRPr="00707E03">
        <w:instrText xml:space="preserve"> PAGEREF _Toc352234603 \h </w:instrText>
      </w:r>
      <w:r w:rsidRPr="00707E03">
        <w:fldChar w:fldCharType="separate"/>
      </w:r>
      <w:r w:rsidRPr="00707E03">
        <w:t>21</w:t>
      </w:r>
      <w:r w:rsidRPr="00707E03">
        <w:fldChar w:fldCharType="end"/>
      </w:r>
    </w:p>
    <w:p w:rsidR="00707E03" w:rsidRPr="00707E03" w:rsidRDefault="00707E03">
      <w:pPr>
        <w:pStyle w:val="TOC2"/>
        <w:rPr>
          <w:rFonts w:asciiTheme="minorHAnsi" w:eastAsiaTheme="minorEastAsia" w:hAnsiTheme="minorHAnsi" w:cstheme="minorBidi"/>
          <w:sz w:val="22"/>
          <w:szCs w:val="22"/>
        </w:rPr>
      </w:pPr>
      <w:r w:rsidRPr="00707E03">
        <w:rPr>
          <w:rFonts w:cs="Tahoma"/>
        </w:rPr>
        <w:t>Learning Solutions IT Academy (SL Servizi)</w:t>
      </w:r>
      <w:r w:rsidRPr="00707E03">
        <w:tab/>
      </w:r>
      <w:r w:rsidRPr="00707E03">
        <w:fldChar w:fldCharType="begin"/>
      </w:r>
      <w:r w:rsidRPr="00707E03">
        <w:instrText xml:space="preserve"> PAGEREF _Toc352234604 \h </w:instrText>
      </w:r>
      <w:r w:rsidRPr="00707E03">
        <w:fldChar w:fldCharType="separate"/>
      </w:r>
      <w:r w:rsidRPr="00707E03">
        <w:t>21</w:t>
      </w:r>
      <w:r w:rsidRPr="00707E03">
        <w:fldChar w:fldCharType="end"/>
      </w:r>
    </w:p>
    <w:p w:rsidR="00707E03" w:rsidRPr="00707E03" w:rsidRDefault="00707E03">
      <w:pPr>
        <w:pStyle w:val="TOC2"/>
        <w:rPr>
          <w:rFonts w:asciiTheme="minorHAnsi" w:eastAsiaTheme="minorEastAsia" w:hAnsiTheme="minorHAnsi" w:cstheme="minorBidi"/>
          <w:sz w:val="22"/>
          <w:szCs w:val="22"/>
        </w:rPr>
      </w:pPr>
      <w:r w:rsidRPr="00707E03">
        <w:rPr>
          <w:rFonts w:cs="Tahoma"/>
        </w:rPr>
        <w:t>Learning Solutions MCP 1 Exam Vouchers/Month (SL Servizi)</w:t>
      </w:r>
      <w:r w:rsidRPr="00707E03">
        <w:tab/>
      </w:r>
      <w:r w:rsidRPr="00707E03">
        <w:fldChar w:fldCharType="begin"/>
      </w:r>
      <w:r w:rsidRPr="00707E03">
        <w:instrText xml:space="preserve"> PAGEREF _Toc352234605 \h </w:instrText>
      </w:r>
      <w:r w:rsidRPr="00707E03">
        <w:fldChar w:fldCharType="separate"/>
      </w:r>
      <w:r w:rsidRPr="00707E03">
        <w:t>21</w:t>
      </w:r>
      <w:r w:rsidRPr="00707E03">
        <w:fldChar w:fldCharType="end"/>
      </w:r>
    </w:p>
    <w:p w:rsidR="00707E03" w:rsidRPr="00707E03" w:rsidRDefault="00707E03">
      <w:pPr>
        <w:pStyle w:val="TOC2"/>
        <w:rPr>
          <w:rFonts w:asciiTheme="minorHAnsi" w:eastAsiaTheme="minorEastAsia" w:hAnsiTheme="minorHAnsi" w:cstheme="minorBidi"/>
          <w:sz w:val="22"/>
          <w:szCs w:val="22"/>
        </w:rPr>
      </w:pPr>
      <w:r w:rsidRPr="00707E03">
        <w:rPr>
          <w:rFonts w:cs="Tahoma"/>
          <w:lang w:val="it-IT"/>
        </w:rPr>
        <w:t>Lync Online Piano 1 (SL per Utente)</w:t>
      </w:r>
      <w:r w:rsidRPr="00707E03">
        <w:tab/>
      </w:r>
      <w:r w:rsidRPr="00707E03">
        <w:fldChar w:fldCharType="begin"/>
      </w:r>
      <w:r w:rsidRPr="00707E03">
        <w:instrText xml:space="preserve"> PAGEREF _Toc352234606 \h </w:instrText>
      </w:r>
      <w:r w:rsidRPr="00707E03">
        <w:fldChar w:fldCharType="separate"/>
      </w:r>
      <w:r w:rsidRPr="00707E03">
        <w:t>21</w:t>
      </w:r>
      <w:r w:rsidRPr="00707E03">
        <w:fldChar w:fldCharType="end"/>
      </w:r>
    </w:p>
    <w:p w:rsidR="00707E03" w:rsidRPr="00707E03" w:rsidRDefault="00707E03">
      <w:pPr>
        <w:pStyle w:val="TOC2"/>
        <w:rPr>
          <w:rFonts w:asciiTheme="minorHAnsi" w:eastAsiaTheme="minorEastAsia" w:hAnsiTheme="minorHAnsi" w:cstheme="minorBidi"/>
          <w:sz w:val="22"/>
          <w:szCs w:val="22"/>
        </w:rPr>
      </w:pPr>
      <w:r w:rsidRPr="00707E03">
        <w:rPr>
          <w:rFonts w:cs="Tahoma"/>
          <w:lang w:val="it-IT"/>
        </w:rPr>
        <w:t>Lync Online Piano 2 (SL per Utente)</w:t>
      </w:r>
      <w:r w:rsidRPr="00707E03">
        <w:tab/>
      </w:r>
      <w:r w:rsidRPr="00707E03">
        <w:fldChar w:fldCharType="begin"/>
      </w:r>
      <w:r w:rsidRPr="00707E03">
        <w:instrText xml:space="preserve"> PAGEREF _Toc352234607 \h </w:instrText>
      </w:r>
      <w:r w:rsidRPr="00707E03">
        <w:fldChar w:fldCharType="separate"/>
      </w:r>
      <w:r w:rsidRPr="00707E03">
        <w:t>21</w:t>
      </w:r>
      <w:r w:rsidRPr="00707E03">
        <w:fldChar w:fldCharType="end"/>
      </w:r>
    </w:p>
    <w:p w:rsidR="00707E03" w:rsidRPr="00707E03" w:rsidRDefault="00707E03">
      <w:pPr>
        <w:pStyle w:val="TOC2"/>
        <w:rPr>
          <w:rFonts w:asciiTheme="minorHAnsi" w:eastAsiaTheme="minorEastAsia" w:hAnsiTheme="minorHAnsi" w:cstheme="minorBidi"/>
          <w:sz w:val="22"/>
          <w:szCs w:val="22"/>
        </w:rPr>
      </w:pPr>
      <w:r w:rsidRPr="00707E03">
        <w:rPr>
          <w:rFonts w:cs="Tahoma"/>
          <w:lang w:val="it-IT"/>
        </w:rPr>
        <w:t>Lync Online Piano 3 (SL per Utente)</w:t>
      </w:r>
      <w:r w:rsidRPr="00707E03">
        <w:tab/>
      </w:r>
      <w:r w:rsidRPr="00707E03">
        <w:fldChar w:fldCharType="begin"/>
      </w:r>
      <w:r w:rsidRPr="00707E03">
        <w:instrText xml:space="preserve"> PAGEREF _Toc352234608 \h </w:instrText>
      </w:r>
      <w:r w:rsidRPr="00707E03">
        <w:fldChar w:fldCharType="separate"/>
      </w:r>
      <w:r w:rsidRPr="00707E03">
        <w:t>21</w:t>
      </w:r>
      <w:r w:rsidRPr="00707E03">
        <w:fldChar w:fldCharType="end"/>
      </w:r>
    </w:p>
    <w:p w:rsidR="00707E03" w:rsidRPr="00707E03" w:rsidRDefault="00707E03">
      <w:pPr>
        <w:pStyle w:val="TOC2"/>
        <w:rPr>
          <w:rFonts w:asciiTheme="minorHAnsi" w:eastAsiaTheme="minorEastAsia" w:hAnsiTheme="minorHAnsi" w:cstheme="minorBidi"/>
          <w:sz w:val="22"/>
          <w:szCs w:val="22"/>
        </w:rPr>
      </w:pPr>
      <w:r w:rsidRPr="00707E03">
        <w:rPr>
          <w:rFonts w:cs="Tahoma"/>
          <w:lang w:val="it-IT"/>
        </w:rPr>
        <w:t>Lync Online Piano 3A (SL per Utente)</w:t>
      </w:r>
      <w:r w:rsidRPr="00707E03">
        <w:tab/>
      </w:r>
      <w:r w:rsidRPr="00707E03">
        <w:fldChar w:fldCharType="begin"/>
      </w:r>
      <w:r w:rsidRPr="00707E03">
        <w:instrText xml:space="preserve"> PAGEREF _Toc352234609 \h </w:instrText>
      </w:r>
      <w:r w:rsidRPr="00707E03">
        <w:fldChar w:fldCharType="separate"/>
      </w:r>
      <w:r w:rsidRPr="00707E03">
        <w:t>21</w:t>
      </w:r>
      <w:r w:rsidRPr="00707E03">
        <w:fldChar w:fldCharType="end"/>
      </w:r>
    </w:p>
    <w:p w:rsidR="00707E03" w:rsidRPr="00707E03" w:rsidRDefault="00707E03">
      <w:pPr>
        <w:pStyle w:val="TOC2"/>
        <w:rPr>
          <w:rFonts w:asciiTheme="minorHAnsi" w:eastAsiaTheme="minorEastAsia" w:hAnsiTheme="minorHAnsi" w:cstheme="minorBidi"/>
          <w:sz w:val="22"/>
          <w:szCs w:val="22"/>
        </w:rPr>
      </w:pPr>
      <w:r w:rsidRPr="00707E03">
        <w:rPr>
          <w:rFonts w:cs="Tahoma"/>
        </w:rPr>
        <w:t>Lync Server 2013</w:t>
      </w:r>
      <w:r w:rsidRPr="00707E03">
        <w:tab/>
      </w:r>
      <w:r w:rsidRPr="00707E03">
        <w:fldChar w:fldCharType="begin"/>
      </w:r>
      <w:r w:rsidRPr="00707E03">
        <w:instrText xml:space="preserve"> PAGEREF _Toc352234610 \h </w:instrText>
      </w:r>
      <w:r w:rsidRPr="00707E03">
        <w:fldChar w:fldCharType="separate"/>
      </w:r>
      <w:r w:rsidRPr="00707E03">
        <w:t>21</w:t>
      </w:r>
      <w:r w:rsidRPr="00707E03">
        <w:fldChar w:fldCharType="end"/>
      </w:r>
    </w:p>
    <w:p w:rsidR="00707E03" w:rsidRPr="00707E03" w:rsidRDefault="00707E03">
      <w:pPr>
        <w:pStyle w:val="TOC2"/>
        <w:rPr>
          <w:rFonts w:asciiTheme="minorHAnsi" w:eastAsiaTheme="minorEastAsia" w:hAnsiTheme="minorHAnsi" w:cstheme="minorBidi"/>
          <w:sz w:val="22"/>
          <w:szCs w:val="22"/>
        </w:rPr>
      </w:pPr>
      <w:r w:rsidRPr="00707E03">
        <w:rPr>
          <w:rFonts w:cs="Tahoma"/>
        </w:rPr>
        <w:t>Enterprise CAL per Lync Server 2013</w:t>
      </w:r>
      <w:r w:rsidRPr="00707E03">
        <w:tab/>
      </w:r>
      <w:r w:rsidRPr="00707E03">
        <w:fldChar w:fldCharType="begin"/>
      </w:r>
      <w:r w:rsidRPr="00707E03">
        <w:instrText xml:space="preserve"> PAGEREF _Toc352234611 \h </w:instrText>
      </w:r>
      <w:r w:rsidRPr="00707E03">
        <w:fldChar w:fldCharType="separate"/>
      </w:r>
      <w:r w:rsidRPr="00707E03">
        <w:t>21</w:t>
      </w:r>
      <w:r w:rsidRPr="00707E03">
        <w:fldChar w:fldCharType="end"/>
      </w:r>
    </w:p>
    <w:p w:rsidR="00707E03" w:rsidRPr="00707E03" w:rsidRDefault="00707E03">
      <w:pPr>
        <w:pStyle w:val="TOC2"/>
        <w:rPr>
          <w:rFonts w:asciiTheme="minorHAnsi" w:eastAsiaTheme="minorEastAsia" w:hAnsiTheme="minorHAnsi" w:cstheme="minorBidi"/>
          <w:sz w:val="22"/>
          <w:szCs w:val="22"/>
        </w:rPr>
      </w:pPr>
      <w:r w:rsidRPr="00707E03">
        <w:rPr>
          <w:rFonts w:cs="Tahoma"/>
          <w:lang w:val="fr-FR"/>
        </w:rPr>
        <w:t>Plus CAL per Lync Server 2013</w:t>
      </w:r>
      <w:r w:rsidRPr="00707E03">
        <w:tab/>
      </w:r>
      <w:r w:rsidRPr="00707E03">
        <w:fldChar w:fldCharType="begin"/>
      </w:r>
      <w:r w:rsidRPr="00707E03">
        <w:instrText xml:space="preserve"> PAGEREF _Toc352234612 \h </w:instrText>
      </w:r>
      <w:r w:rsidRPr="00707E03">
        <w:fldChar w:fldCharType="separate"/>
      </w:r>
      <w:r w:rsidRPr="00707E03">
        <w:t>21</w:t>
      </w:r>
      <w:r w:rsidRPr="00707E03">
        <w:fldChar w:fldCharType="end"/>
      </w:r>
    </w:p>
    <w:p w:rsidR="00707E03" w:rsidRPr="00707E03" w:rsidRDefault="00707E03">
      <w:pPr>
        <w:pStyle w:val="TOC2"/>
        <w:rPr>
          <w:rFonts w:asciiTheme="minorHAnsi" w:eastAsiaTheme="minorEastAsia" w:hAnsiTheme="minorHAnsi" w:cstheme="minorBidi"/>
          <w:sz w:val="22"/>
          <w:szCs w:val="22"/>
        </w:rPr>
      </w:pPr>
      <w:r w:rsidRPr="00707E03">
        <w:rPr>
          <w:rFonts w:cs="Tahoma"/>
        </w:rPr>
        <w:t>Standard CAL per Lync Server 2013</w:t>
      </w:r>
      <w:r w:rsidRPr="00707E03">
        <w:tab/>
      </w:r>
      <w:r w:rsidRPr="00707E03">
        <w:fldChar w:fldCharType="begin"/>
      </w:r>
      <w:r w:rsidRPr="00707E03">
        <w:instrText xml:space="preserve"> PAGEREF _Toc352234613 \h </w:instrText>
      </w:r>
      <w:r w:rsidRPr="00707E03">
        <w:fldChar w:fldCharType="separate"/>
      </w:r>
      <w:r w:rsidRPr="00707E03">
        <w:t>21</w:t>
      </w:r>
      <w:r w:rsidRPr="00707E03">
        <w:fldChar w:fldCharType="end"/>
      </w:r>
    </w:p>
    <w:p w:rsidR="00707E03" w:rsidRPr="00707E03" w:rsidRDefault="00707E03">
      <w:pPr>
        <w:pStyle w:val="TOC2"/>
        <w:rPr>
          <w:rFonts w:asciiTheme="minorHAnsi" w:eastAsiaTheme="minorEastAsia" w:hAnsiTheme="minorHAnsi" w:cstheme="minorBidi"/>
          <w:sz w:val="22"/>
          <w:szCs w:val="22"/>
        </w:rPr>
      </w:pPr>
      <w:r w:rsidRPr="00707E03">
        <w:rPr>
          <w:rFonts w:cs="Tahoma"/>
          <w:lang w:val="it-IT"/>
        </w:rPr>
        <w:t>Enterprise Additive CAL per Microsoft Dynamics AX 2012 R2 (Utente e Dispositivo)</w:t>
      </w:r>
      <w:r w:rsidRPr="00707E03">
        <w:tab/>
      </w:r>
      <w:r w:rsidRPr="00707E03">
        <w:fldChar w:fldCharType="begin"/>
      </w:r>
      <w:r w:rsidRPr="00707E03">
        <w:instrText xml:space="preserve"> PAGEREF _Toc352234614 \h </w:instrText>
      </w:r>
      <w:r w:rsidRPr="00707E03">
        <w:fldChar w:fldCharType="separate"/>
      </w:r>
      <w:r w:rsidRPr="00707E03">
        <w:t>21</w:t>
      </w:r>
      <w:r w:rsidRPr="00707E03">
        <w:fldChar w:fldCharType="end"/>
      </w:r>
    </w:p>
    <w:p w:rsidR="00707E03" w:rsidRPr="00707E03" w:rsidRDefault="00707E03">
      <w:pPr>
        <w:pStyle w:val="TOC2"/>
        <w:rPr>
          <w:rFonts w:asciiTheme="minorHAnsi" w:eastAsiaTheme="minorEastAsia" w:hAnsiTheme="minorHAnsi" w:cstheme="minorBidi"/>
          <w:sz w:val="22"/>
          <w:szCs w:val="22"/>
        </w:rPr>
      </w:pPr>
      <w:r w:rsidRPr="00707E03">
        <w:rPr>
          <w:rFonts w:cs="Tahoma"/>
        </w:rPr>
        <w:t>Enterprise CAL per Microsoft Dynamics AX 2012 R2 (Utente e Dispositivo)</w:t>
      </w:r>
      <w:r w:rsidRPr="00707E03">
        <w:tab/>
      </w:r>
      <w:r w:rsidRPr="00707E03">
        <w:fldChar w:fldCharType="begin"/>
      </w:r>
      <w:r w:rsidRPr="00707E03">
        <w:instrText xml:space="preserve"> PAGEREF _Toc352234615 \h </w:instrText>
      </w:r>
      <w:r w:rsidRPr="00707E03">
        <w:fldChar w:fldCharType="separate"/>
      </w:r>
      <w:r w:rsidRPr="00707E03">
        <w:t>21</w:t>
      </w:r>
      <w:r w:rsidRPr="00707E03">
        <w:fldChar w:fldCharType="end"/>
      </w:r>
    </w:p>
    <w:p w:rsidR="00707E03" w:rsidRPr="00707E03" w:rsidRDefault="00707E03">
      <w:pPr>
        <w:pStyle w:val="TOC2"/>
        <w:rPr>
          <w:rFonts w:asciiTheme="minorHAnsi" w:eastAsiaTheme="minorEastAsia" w:hAnsiTheme="minorHAnsi" w:cstheme="minorBidi"/>
          <w:sz w:val="22"/>
          <w:szCs w:val="22"/>
        </w:rPr>
      </w:pPr>
      <w:r w:rsidRPr="00707E03">
        <w:rPr>
          <w:rFonts w:cs="Tahoma"/>
        </w:rPr>
        <w:t>Functional Additive CAL per Microsoft Dynamics AX 2012 R2 (Utente e Dispositivo)</w:t>
      </w:r>
      <w:r w:rsidRPr="00707E03">
        <w:tab/>
      </w:r>
      <w:r w:rsidRPr="00707E03">
        <w:fldChar w:fldCharType="begin"/>
      </w:r>
      <w:r w:rsidRPr="00707E03">
        <w:instrText xml:space="preserve"> PAGEREF _Toc352234616 \h </w:instrText>
      </w:r>
      <w:r w:rsidRPr="00707E03">
        <w:fldChar w:fldCharType="separate"/>
      </w:r>
      <w:r w:rsidRPr="00707E03">
        <w:t>21</w:t>
      </w:r>
      <w:r w:rsidRPr="00707E03">
        <w:fldChar w:fldCharType="end"/>
      </w:r>
    </w:p>
    <w:p w:rsidR="00707E03" w:rsidRPr="00707E03" w:rsidRDefault="00707E03">
      <w:pPr>
        <w:pStyle w:val="TOC2"/>
        <w:rPr>
          <w:rFonts w:asciiTheme="minorHAnsi" w:eastAsiaTheme="minorEastAsia" w:hAnsiTheme="minorHAnsi" w:cstheme="minorBidi"/>
          <w:sz w:val="22"/>
          <w:szCs w:val="22"/>
        </w:rPr>
      </w:pPr>
      <w:r w:rsidRPr="00707E03">
        <w:rPr>
          <w:rFonts w:cs="Tahoma"/>
        </w:rPr>
        <w:t>Functional CAL per Microsoft Dynamics AX 2012 R2 (Utente e Dispositivo)</w:t>
      </w:r>
      <w:r w:rsidRPr="00707E03">
        <w:tab/>
      </w:r>
      <w:r w:rsidRPr="00707E03">
        <w:fldChar w:fldCharType="begin"/>
      </w:r>
      <w:r w:rsidRPr="00707E03">
        <w:instrText xml:space="preserve"> PAGEREF _Toc352234617 \h </w:instrText>
      </w:r>
      <w:r w:rsidRPr="00707E03">
        <w:fldChar w:fldCharType="separate"/>
      </w:r>
      <w:r w:rsidRPr="00707E03">
        <w:t>21</w:t>
      </w:r>
      <w:r w:rsidRPr="00707E03">
        <w:fldChar w:fldCharType="end"/>
      </w:r>
    </w:p>
    <w:p w:rsidR="00707E03" w:rsidRPr="00707E03" w:rsidRDefault="00707E03">
      <w:pPr>
        <w:pStyle w:val="TOC2"/>
        <w:rPr>
          <w:rFonts w:asciiTheme="minorHAnsi" w:eastAsiaTheme="minorEastAsia" w:hAnsiTheme="minorHAnsi" w:cstheme="minorBidi"/>
          <w:sz w:val="22"/>
          <w:szCs w:val="22"/>
        </w:rPr>
      </w:pPr>
      <w:r w:rsidRPr="00707E03">
        <w:rPr>
          <w:rFonts w:cs="Tahoma"/>
        </w:rPr>
        <w:lastRenderedPageBreak/>
        <w:t>Self Serve CAL per Microsoft Dynamics AX 2012 R2 (Utente e Dispositivo)</w:t>
      </w:r>
      <w:r w:rsidRPr="00707E03">
        <w:tab/>
      </w:r>
      <w:r w:rsidRPr="00707E03">
        <w:fldChar w:fldCharType="begin"/>
      </w:r>
      <w:r w:rsidRPr="00707E03">
        <w:instrText xml:space="preserve"> PAGEREF _Toc352234618 \h </w:instrText>
      </w:r>
      <w:r w:rsidRPr="00707E03">
        <w:fldChar w:fldCharType="separate"/>
      </w:r>
      <w:r w:rsidRPr="00707E03">
        <w:t>21</w:t>
      </w:r>
      <w:r w:rsidRPr="00707E03">
        <w:fldChar w:fldCharType="end"/>
      </w:r>
    </w:p>
    <w:p w:rsidR="00707E03" w:rsidRPr="00707E03" w:rsidRDefault="00707E03">
      <w:pPr>
        <w:pStyle w:val="TOC2"/>
        <w:rPr>
          <w:rFonts w:asciiTheme="minorHAnsi" w:eastAsiaTheme="minorEastAsia" w:hAnsiTheme="minorHAnsi" w:cstheme="minorBidi"/>
          <w:sz w:val="22"/>
          <w:szCs w:val="22"/>
        </w:rPr>
      </w:pPr>
      <w:r w:rsidRPr="00707E03">
        <w:rPr>
          <w:rFonts w:cs="Tahoma"/>
          <w:lang w:val="pt-BR"/>
        </w:rPr>
        <w:t>Microsoft Dynamics AX 2012 R2 Server</w:t>
      </w:r>
      <w:r w:rsidRPr="00707E03">
        <w:tab/>
      </w:r>
      <w:r w:rsidRPr="00707E03">
        <w:fldChar w:fldCharType="begin"/>
      </w:r>
      <w:r w:rsidRPr="00707E03">
        <w:instrText xml:space="preserve"> PAGEREF _Toc352234619 \h </w:instrText>
      </w:r>
      <w:r w:rsidRPr="00707E03">
        <w:fldChar w:fldCharType="separate"/>
      </w:r>
      <w:r w:rsidRPr="00707E03">
        <w:t>21</w:t>
      </w:r>
      <w:r w:rsidRPr="00707E03">
        <w:fldChar w:fldCharType="end"/>
      </w:r>
    </w:p>
    <w:p w:rsidR="00707E03" w:rsidRPr="00707E03" w:rsidRDefault="00707E03">
      <w:pPr>
        <w:pStyle w:val="TOC2"/>
        <w:rPr>
          <w:rFonts w:asciiTheme="minorHAnsi" w:eastAsiaTheme="minorEastAsia" w:hAnsiTheme="minorHAnsi" w:cstheme="minorBidi"/>
          <w:sz w:val="22"/>
          <w:szCs w:val="22"/>
        </w:rPr>
      </w:pPr>
      <w:r w:rsidRPr="00707E03">
        <w:rPr>
          <w:rFonts w:cs="Tahoma"/>
          <w:lang w:val="it-IT"/>
        </w:rPr>
        <w:t>Task Additive CAL per Microsoft Dynamics AX 2012 R2 (Utente e Dispositivo)</w:t>
      </w:r>
      <w:r w:rsidRPr="00707E03">
        <w:tab/>
      </w:r>
      <w:r w:rsidRPr="00707E03">
        <w:fldChar w:fldCharType="begin"/>
      </w:r>
      <w:r w:rsidRPr="00707E03">
        <w:instrText xml:space="preserve"> PAGEREF _Toc352234620 \h </w:instrText>
      </w:r>
      <w:r w:rsidRPr="00707E03">
        <w:fldChar w:fldCharType="separate"/>
      </w:r>
      <w:r w:rsidRPr="00707E03">
        <w:t>21</w:t>
      </w:r>
      <w:r w:rsidRPr="00707E03">
        <w:fldChar w:fldCharType="end"/>
      </w:r>
    </w:p>
    <w:p w:rsidR="00707E03" w:rsidRPr="00707E03" w:rsidRDefault="00707E03">
      <w:pPr>
        <w:pStyle w:val="TOC2"/>
        <w:rPr>
          <w:rFonts w:asciiTheme="minorHAnsi" w:eastAsiaTheme="minorEastAsia" w:hAnsiTheme="minorHAnsi" w:cstheme="minorBidi"/>
          <w:sz w:val="22"/>
          <w:szCs w:val="22"/>
        </w:rPr>
      </w:pPr>
      <w:r w:rsidRPr="00707E03">
        <w:rPr>
          <w:rFonts w:cs="Tahoma"/>
        </w:rPr>
        <w:t>Task CAL per Microsoft Dynamics AX 2012 R2 (Utente e Dispositivo)</w:t>
      </w:r>
      <w:r w:rsidRPr="00707E03">
        <w:tab/>
      </w:r>
      <w:r w:rsidRPr="00707E03">
        <w:fldChar w:fldCharType="begin"/>
      </w:r>
      <w:r w:rsidRPr="00707E03">
        <w:instrText xml:space="preserve"> PAGEREF _Toc352234621 \h </w:instrText>
      </w:r>
      <w:r w:rsidRPr="00707E03">
        <w:fldChar w:fldCharType="separate"/>
      </w:r>
      <w:r w:rsidRPr="00707E03">
        <w:t>21</w:t>
      </w:r>
      <w:r w:rsidRPr="00707E03">
        <w:fldChar w:fldCharType="end"/>
      </w:r>
    </w:p>
    <w:p w:rsidR="00707E03" w:rsidRPr="00707E03" w:rsidRDefault="00707E03">
      <w:pPr>
        <w:pStyle w:val="TOC2"/>
        <w:rPr>
          <w:rFonts w:asciiTheme="minorHAnsi" w:eastAsiaTheme="minorEastAsia" w:hAnsiTheme="minorHAnsi" w:cstheme="minorBidi"/>
          <w:sz w:val="22"/>
          <w:szCs w:val="22"/>
        </w:rPr>
      </w:pPr>
      <w:r w:rsidRPr="00707E03">
        <w:rPr>
          <w:rFonts w:cs="Tahoma"/>
          <w:lang w:val="it-IT"/>
        </w:rPr>
        <w:t>CAL per Microsoft Dynamics CRM 2011 (Utente e Dispositivo)</w:t>
      </w:r>
      <w:r w:rsidRPr="00707E03">
        <w:tab/>
      </w:r>
      <w:r w:rsidRPr="00707E03">
        <w:fldChar w:fldCharType="begin"/>
      </w:r>
      <w:r w:rsidRPr="00707E03">
        <w:instrText xml:space="preserve"> PAGEREF _Toc352234622 \h </w:instrText>
      </w:r>
      <w:r w:rsidRPr="00707E03">
        <w:fldChar w:fldCharType="separate"/>
      </w:r>
      <w:r w:rsidRPr="00707E03">
        <w:t>21</w:t>
      </w:r>
      <w:r w:rsidRPr="00707E03">
        <w:fldChar w:fldCharType="end"/>
      </w:r>
    </w:p>
    <w:p w:rsidR="00707E03" w:rsidRPr="00707E03" w:rsidRDefault="00707E03">
      <w:pPr>
        <w:pStyle w:val="TOC2"/>
        <w:rPr>
          <w:rFonts w:asciiTheme="minorHAnsi" w:eastAsiaTheme="minorEastAsia" w:hAnsiTheme="minorHAnsi" w:cstheme="minorBidi"/>
          <w:sz w:val="22"/>
          <w:szCs w:val="22"/>
        </w:rPr>
      </w:pPr>
      <w:r w:rsidRPr="00707E03">
        <w:rPr>
          <w:rFonts w:cs="Tahoma"/>
          <w:lang w:val="it-IT"/>
        </w:rPr>
        <w:t>CAL per Employee Self Service di Microsoft Dynamics CRM 2011 (Utente e Dispositivo)</w:t>
      </w:r>
      <w:r w:rsidRPr="00707E03">
        <w:tab/>
      </w:r>
      <w:r w:rsidRPr="00707E03">
        <w:fldChar w:fldCharType="begin"/>
      </w:r>
      <w:r w:rsidRPr="00707E03">
        <w:instrText xml:space="preserve"> PAGEREF _Toc352234623 \h </w:instrText>
      </w:r>
      <w:r w:rsidRPr="00707E03">
        <w:fldChar w:fldCharType="separate"/>
      </w:r>
      <w:r w:rsidRPr="00707E03">
        <w:t>21</w:t>
      </w:r>
      <w:r w:rsidRPr="00707E03">
        <w:fldChar w:fldCharType="end"/>
      </w:r>
    </w:p>
    <w:p w:rsidR="00707E03" w:rsidRPr="00707E03" w:rsidRDefault="00707E03">
      <w:pPr>
        <w:pStyle w:val="TOC2"/>
        <w:rPr>
          <w:rFonts w:asciiTheme="minorHAnsi" w:eastAsiaTheme="minorEastAsia" w:hAnsiTheme="minorHAnsi" w:cstheme="minorBidi"/>
          <w:sz w:val="22"/>
          <w:szCs w:val="22"/>
        </w:rPr>
      </w:pPr>
      <w:r w:rsidRPr="00707E03">
        <w:rPr>
          <w:rFonts w:cs="Tahoma"/>
        </w:rPr>
        <w:t>Microsoft Dynamics CRM 2011 External Connector</w:t>
      </w:r>
      <w:r w:rsidRPr="00707E03">
        <w:tab/>
      </w:r>
      <w:r w:rsidRPr="00707E03">
        <w:fldChar w:fldCharType="begin"/>
      </w:r>
      <w:r w:rsidRPr="00707E03">
        <w:instrText xml:space="preserve"> PAGEREF _Toc352234624 \h </w:instrText>
      </w:r>
      <w:r w:rsidRPr="00707E03">
        <w:fldChar w:fldCharType="separate"/>
      </w:r>
      <w:r w:rsidRPr="00707E03">
        <w:t>21</w:t>
      </w:r>
      <w:r w:rsidRPr="00707E03">
        <w:fldChar w:fldCharType="end"/>
      </w:r>
    </w:p>
    <w:p w:rsidR="00707E03" w:rsidRPr="00707E03" w:rsidRDefault="00707E03">
      <w:pPr>
        <w:pStyle w:val="TOC2"/>
        <w:rPr>
          <w:rFonts w:asciiTheme="minorHAnsi" w:eastAsiaTheme="minorEastAsia" w:hAnsiTheme="minorHAnsi" w:cstheme="minorBidi"/>
          <w:sz w:val="22"/>
          <w:szCs w:val="22"/>
        </w:rPr>
      </w:pPr>
      <w:r w:rsidRPr="00707E03">
        <w:rPr>
          <w:rFonts w:cs="Tahoma"/>
          <w:lang w:val="it-IT"/>
        </w:rPr>
        <w:t>CAL Aggiuntiva per l’Utilizzo Completo di Microsoft Dynamics CRM 2011  (Utente e Dispositivo)</w:t>
      </w:r>
      <w:r w:rsidRPr="00707E03">
        <w:tab/>
      </w:r>
      <w:r w:rsidRPr="00707E03">
        <w:fldChar w:fldCharType="begin"/>
      </w:r>
      <w:r w:rsidRPr="00707E03">
        <w:instrText xml:space="preserve"> PAGEREF _Toc352234625 \h </w:instrText>
      </w:r>
      <w:r w:rsidRPr="00707E03">
        <w:fldChar w:fldCharType="separate"/>
      </w:r>
      <w:r w:rsidRPr="00707E03">
        <w:t>21</w:t>
      </w:r>
      <w:r w:rsidRPr="00707E03">
        <w:fldChar w:fldCharType="end"/>
      </w:r>
    </w:p>
    <w:p w:rsidR="00707E03" w:rsidRPr="00707E03" w:rsidRDefault="00707E03">
      <w:pPr>
        <w:pStyle w:val="TOC2"/>
        <w:rPr>
          <w:rFonts w:asciiTheme="minorHAnsi" w:eastAsiaTheme="minorEastAsia" w:hAnsiTheme="minorHAnsi" w:cstheme="minorBidi"/>
          <w:sz w:val="22"/>
          <w:szCs w:val="22"/>
        </w:rPr>
      </w:pPr>
      <w:r w:rsidRPr="00707E03">
        <w:rPr>
          <w:rFonts w:cs="Tahoma"/>
          <w:lang w:val="it-IT"/>
        </w:rPr>
        <w:t>CAL per l’Utilizzo Limitato di Microsoft Dynamics CRM 2011 (Utenti e Dispositivo)</w:t>
      </w:r>
      <w:r w:rsidRPr="00707E03">
        <w:tab/>
      </w:r>
      <w:r w:rsidRPr="00707E03">
        <w:fldChar w:fldCharType="begin"/>
      </w:r>
      <w:r w:rsidRPr="00707E03">
        <w:instrText xml:space="preserve"> PAGEREF _Toc352234626 \h </w:instrText>
      </w:r>
      <w:r w:rsidRPr="00707E03">
        <w:fldChar w:fldCharType="separate"/>
      </w:r>
      <w:r w:rsidRPr="00707E03">
        <w:t>21</w:t>
      </w:r>
      <w:r w:rsidRPr="00707E03">
        <w:fldChar w:fldCharType="end"/>
      </w:r>
    </w:p>
    <w:p w:rsidR="00707E03" w:rsidRPr="00707E03" w:rsidRDefault="00707E03">
      <w:pPr>
        <w:pStyle w:val="TOC2"/>
        <w:rPr>
          <w:rFonts w:asciiTheme="minorHAnsi" w:eastAsiaTheme="minorEastAsia" w:hAnsiTheme="minorHAnsi" w:cstheme="minorBidi"/>
          <w:sz w:val="22"/>
          <w:szCs w:val="22"/>
        </w:rPr>
      </w:pPr>
      <w:r w:rsidRPr="00707E03">
        <w:rPr>
          <w:rFonts w:cs="Tahoma"/>
          <w:lang w:val="it-IT"/>
        </w:rPr>
        <w:t>CAL Aggiuntiva per l’Utilizzo Limitato di Microsoft Dynamics CRM 2011 (Utente e Dispositivo)</w:t>
      </w:r>
      <w:r w:rsidRPr="00707E03">
        <w:tab/>
      </w:r>
      <w:r w:rsidRPr="00707E03">
        <w:fldChar w:fldCharType="begin"/>
      </w:r>
      <w:r w:rsidRPr="00707E03">
        <w:instrText xml:space="preserve"> PAGEREF _Toc352234627 \h </w:instrText>
      </w:r>
      <w:r w:rsidRPr="00707E03">
        <w:fldChar w:fldCharType="separate"/>
      </w:r>
      <w:r w:rsidRPr="00707E03">
        <w:t>21</w:t>
      </w:r>
      <w:r w:rsidRPr="00707E03">
        <w:fldChar w:fldCharType="end"/>
      </w:r>
    </w:p>
    <w:p w:rsidR="00707E03" w:rsidRPr="00707E03" w:rsidRDefault="00707E03">
      <w:pPr>
        <w:pStyle w:val="TOC2"/>
        <w:rPr>
          <w:rFonts w:asciiTheme="minorHAnsi" w:eastAsiaTheme="minorEastAsia" w:hAnsiTheme="minorHAnsi" w:cstheme="minorBidi"/>
          <w:sz w:val="22"/>
          <w:szCs w:val="22"/>
        </w:rPr>
      </w:pPr>
      <w:r w:rsidRPr="00707E03">
        <w:rPr>
          <w:rFonts w:cs="Tahoma"/>
        </w:rPr>
        <w:t>Microsoft Dynamics CRM Server 2011</w:t>
      </w:r>
      <w:r w:rsidRPr="00707E03">
        <w:tab/>
      </w:r>
      <w:r w:rsidRPr="00707E03">
        <w:fldChar w:fldCharType="begin"/>
      </w:r>
      <w:r w:rsidRPr="00707E03">
        <w:instrText xml:space="preserve"> PAGEREF _Toc352234628 \h </w:instrText>
      </w:r>
      <w:r w:rsidRPr="00707E03">
        <w:fldChar w:fldCharType="separate"/>
      </w:r>
      <w:r w:rsidRPr="00707E03">
        <w:t>21</w:t>
      </w:r>
      <w:r w:rsidRPr="00707E03">
        <w:fldChar w:fldCharType="end"/>
      </w:r>
    </w:p>
    <w:p w:rsidR="00707E03" w:rsidRPr="00707E03" w:rsidRDefault="00707E03">
      <w:pPr>
        <w:pStyle w:val="TOC2"/>
        <w:rPr>
          <w:rFonts w:asciiTheme="minorHAnsi" w:eastAsiaTheme="minorEastAsia" w:hAnsiTheme="minorHAnsi" w:cstheme="minorBidi"/>
          <w:sz w:val="22"/>
          <w:szCs w:val="22"/>
        </w:rPr>
      </w:pPr>
      <w:r w:rsidRPr="00707E03">
        <w:rPr>
          <w:rFonts w:cs="Tahoma"/>
        </w:rPr>
        <w:t>Microsoft Dynamics CRM Workgroup Server 2011</w:t>
      </w:r>
      <w:r w:rsidRPr="00707E03">
        <w:tab/>
      </w:r>
      <w:r w:rsidRPr="00707E03">
        <w:fldChar w:fldCharType="begin"/>
      </w:r>
      <w:r w:rsidRPr="00707E03">
        <w:instrText xml:space="preserve"> PAGEREF _Toc352234629 \h </w:instrText>
      </w:r>
      <w:r w:rsidRPr="00707E03">
        <w:fldChar w:fldCharType="separate"/>
      </w:r>
      <w:r w:rsidRPr="00707E03">
        <w:t>21</w:t>
      </w:r>
      <w:r w:rsidRPr="00707E03">
        <w:fldChar w:fldCharType="end"/>
      </w:r>
    </w:p>
    <w:p w:rsidR="00707E03" w:rsidRPr="00707E03" w:rsidRDefault="00707E03">
      <w:pPr>
        <w:pStyle w:val="TOC2"/>
        <w:rPr>
          <w:rFonts w:asciiTheme="minorHAnsi" w:eastAsiaTheme="minorEastAsia" w:hAnsiTheme="minorHAnsi" w:cstheme="minorBidi"/>
          <w:sz w:val="22"/>
          <w:szCs w:val="22"/>
        </w:rPr>
      </w:pPr>
      <w:r w:rsidRPr="00707E03">
        <w:rPr>
          <w:rFonts w:cs="Tahoma"/>
        </w:rPr>
        <w:t>Microsoft Translator API</w:t>
      </w:r>
      <w:r w:rsidRPr="00707E03">
        <w:tab/>
      </w:r>
      <w:r w:rsidRPr="00707E03">
        <w:fldChar w:fldCharType="begin"/>
      </w:r>
      <w:r w:rsidRPr="00707E03">
        <w:instrText xml:space="preserve"> PAGEREF _Toc352234630 \h </w:instrText>
      </w:r>
      <w:r w:rsidRPr="00707E03">
        <w:fldChar w:fldCharType="separate"/>
      </w:r>
      <w:r w:rsidRPr="00707E03">
        <w:t>22</w:t>
      </w:r>
      <w:r w:rsidRPr="00707E03">
        <w:fldChar w:fldCharType="end"/>
      </w:r>
    </w:p>
    <w:p w:rsidR="00707E03" w:rsidRPr="00707E03" w:rsidRDefault="00707E03">
      <w:pPr>
        <w:pStyle w:val="TOC2"/>
        <w:rPr>
          <w:rFonts w:asciiTheme="minorHAnsi" w:eastAsiaTheme="minorEastAsia" w:hAnsiTheme="minorHAnsi" w:cstheme="minorBidi"/>
          <w:sz w:val="22"/>
          <w:szCs w:val="22"/>
        </w:rPr>
      </w:pPr>
      <w:r w:rsidRPr="00707E03">
        <w:rPr>
          <w:rFonts w:cs="Tahoma"/>
        </w:rPr>
        <w:t>Office 365 Midsize Business (SL per Utente)</w:t>
      </w:r>
      <w:r w:rsidRPr="00707E03">
        <w:tab/>
      </w:r>
      <w:r w:rsidRPr="00707E03">
        <w:fldChar w:fldCharType="begin"/>
      </w:r>
      <w:r w:rsidRPr="00707E03">
        <w:instrText xml:space="preserve"> PAGEREF _Toc352234631 \h </w:instrText>
      </w:r>
      <w:r w:rsidRPr="00707E03">
        <w:fldChar w:fldCharType="separate"/>
      </w:r>
      <w:r w:rsidRPr="00707E03">
        <w:t>22</w:t>
      </w:r>
      <w:r w:rsidRPr="00707E03">
        <w:fldChar w:fldCharType="end"/>
      </w:r>
    </w:p>
    <w:p w:rsidR="00707E03" w:rsidRPr="00707E03" w:rsidRDefault="00707E03">
      <w:pPr>
        <w:pStyle w:val="TOC2"/>
        <w:rPr>
          <w:rFonts w:asciiTheme="minorHAnsi" w:eastAsiaTheme="minorEastAsia" w:hAnsiTheme="minorHAnsi" w:cstheme="minorBidi"/>
          <w:sz w:val="22"/>
          <w:szCs w:val="22"/>
        </w:rPr>
      </w:pPr>
      <w:r w:rsidRPr="00707E03">
        <w:rPr>
          <w:rFonts w:cs="Tahoma"/>
        </w:rPr>
        <w:t>Office 365 Education A2 (SL per Utente)</w:t>
      </w:r>
      <w:r w:rsidRPr="00707E03">
        <w:tab/>
      </w:r>
      <w:r w:rsidRPr="00707E03">
        <w:fldChar w:fldCharType="begin"/>
      </w:r>
      <w:r w:rsidRPr="00707E03">
        <w:instrText xml:space="preserve"> PAGEREF _Toc352234632 \h </w:instrText>
      </w:r>
      <w:r w:rsidRPr="00707E03">
        <w:fldChar w:fldCharType="separate"/>
      </w:r>
      <w:r w:rsidRPr="00707E03">
        <w:t>22</w:t>
      </w:r>
      <w:r w:rsidRPr="00707E03">
        <w:fldChar w:fldCharType="end"/>
      </w:r>
    </w:p>
    <w:p w:rsidR="00707E03" w:rsidRPr="00707E03" w:rsidRDefault="00707E03">
      <w:pPr>
        <w:pStyle w:val="TOC2"/>
        <w:rPr>
          <w:rFonts w:asciiTheme="minorHAnsi" w:eastAsiaTheme="minorEastAsia" w:hAnsiTheme="minorHAnsi" w:cstheme="minorBidi"/>
          <w:sz w:val="22"/>
          <w:szCs w:val="22"/>
        </w:rPr>
      </w:pPr>
      <w:r w:rsidRPr="00707E03">
        <w:rPr>
          <w:rFonts w:cs="Tahoma"/>
        </w:rPr>
        <w:t>Office 365 Education A3 (SL per Utente)</w:t>
      </w:r>
      <w:r w:rsidRPr="00707E03">
        <w:tab/>
      </w:r>
      <w:r w:rsidRPr="00707E03">
        <w:fldChar w:fldCharType="begin"/>
      </w:r>
      <w:r w:rsidRPr="00707E03">
        <w:instrText xml:space="preserve"> PAGEREF _Toc352234633 \h </w:instrText>
      </w:r>
      <w:r w:rsidRPr="00707E03">
        <w:fldChar w:fldCharType="separate"/>
      </w:r>
      <w:r w:rsidRPr="00707E03">
        <w:t>22</w:t>
      </w:r>
      <w:r w:rsidRPr="00707E03">
        <w:fldChar w:fldCharType="end"/>
      </w:r>
    </w:p>
    <w:p w:rsidR="00707E03" w:rsidRPr="00707E03" w:rsidRDefault="00707E03">
      <w:pPr>
        <w:pStyle w:val="TOC2"/>
        <w:rPr>
          <w:rFonts w:asciiTheme="minorHAnsi" w:eastAsiaTheme="minorEastAsia" w:hAnsiTheme="minorHAnsi" w:cstheme="minorBidi"/>
          <w:sz w:val="22"/>
          <w:szCs w:val="22"/>
        </w:rPr>
      </w:pPr>
      <w:r w:rsidRPr="00707E03">
        <w:rPr>
          <w:rFonts w:cs="Tahoma"/>
        </w:rPr>
        <w:t>Office 365 Education A4 (SL per Utente)</w:t>
      </w:r>
      <w:r w:rsidRPr="00707E03">
        <w:tab/>
      </w:r>
      <w:r w:rsidRPr="00707E03">
        <w:fldChar w:fldCharType="begin"/>
      </w:r>
      <w:r w:rsidRPr="00707E03">
        <w:instrText xml:space="preserve"> PAGEREF _Toc352234634 \h </w:instrText>
      </w:r>
      <w:r w:rsidRPr="00707E03">
        <w:fldChar w:fldCharType="separate"/>
      </w:r>
      <w:r w:rsidRPr="00707E03">
        <w:t>22</w:t>
      </w:r>
      <w:r w:rsidRPr="00707E03">
        <w:fldChar w:fldCharType="end"/>
      </w:r>
    </w:p>
    <w:p w:rsidR="00707E03" w:rsidRPr="00707E03" w:rsidRDefault="00707E03">
      <w:pPr>
        <w:pStyle w:val="TOC2"/>
        <w:rPr>
          <w:rFonts w:asciiTheme="minorHAnsi" w:eastAsiaTheme="minorEastAsia" w:hAnsiTheme="minorHAnsi" w:cstheme="minorBidi"/>
          <w:sz w:val="22"/>
          <w:szCs w:val="22"/>
        </w:rPr>
      </w:pPr>
      <w:r w:rsidRPr="00707E03">
        <w:rPr>
          <w:rFonts w:cs="Tahoma"/>
          <w:lang w:val="it-IT"/>
        </w:rPr>
        <w:t>Office 365 Enterprise E1 (SL per Utente)</w:t>
      </w:r>
      <w:r w:rsidRPr="00707E03">
        <w:tab/>
      </w:r>
      <w:r w:rsidRPr="00707E03">
        <w:fldChar w:fldCharType="begin"/>
      </w:r>
      <w:r w:rsidRPr="00707E03">
        <w:instrText xml:space="preserve"> PAGEREF _Toc352234635 \h </w:instrText>
      </w:r>
      <w:r w:rsidRPr="00707E03">
        <w:fldChar w:fldCharType="separate"/>
      </w:r>
      <w:r w:rsidRPr="00707E03">
        <w:t>22</w:t>
      </w:r>
      <w:r w:rsidRPr="00707E03">
        <w:fldChar w:fldCharType="end"/>
      </w:r>
    </w:p>
    <w:p w:rsidR="00707E03" w:rsidRPr="00707E03" w:rsidRDefault="00707E03">
      <w:pPr>
        <w:pStyle w:val="TOC2"/>
        <w:rPr>
          <w:rFonts w:asciiTheme="minorHAnsi" w:eastAsiaTheme="minorEastAsia" w:hAnsiTheme="minorHAnsi" w:cstheme="minorBidi"/>
          <w:sz w:val="22"/>
          <w:szCs w:val="22"/>
        </w:rPr>
      </w:pPr>
      <w:r w:rsidRPr="00707E03">
        <w:rPr>
          <w:rFonts w:cs="Tahoma"/>
          <w:lang w:val="it-IT"/>
        </w:rPr>
        <w:t>Office 365 Enterprise E2 - E4 (SL per Utente)</w:t>
      </w:r>
      <w:r w:rsidRPr="00707E03">
        <w:tab/>
      </w:r>
      <w:r w:rsidRPr="00707E03">
        <w:fldChar w:fldCharType="begin"/>
      </w:r>
      <w:r w:rsidRPr="00707E03">
        <w:instrText xml:space="preserve"> PAGEREF _Toc352234636 \h </w:instrText>
      </w:r>
      <w:r w:rsidRPr="00707E03">
        <w:fldChar w:fldCharType="separate"/>
      </w:r>
      <w:r w:rsidRPr="00707E03">
        <w:t>22</w:t>
      </w:r>
      <w:r w:rsidRPr="00707E03">
        <w:fldChar w:fldCharType="end"/>
      </w:r>
    </w:p>
    <w:p w:rsidR="00707E03" w:rsidRPr="00707E03" w:rsidRDefault="00707E03">
      <w:pPr>
        <w:pStyle w:val="TOC2"/>
        <w:rPr>
          <w:rFonts w:asciiTheme="minorHAnsi" w:eastAsiaTheme="minorEastAsia" w:hAnsiTheme="minorHAnsi" w:cstheme="minorBidi"/>
          <w:sz w:val="22"/>
          <w:szCs w:val="22"/>
        </w:rPr>
      </w:pPr>
      <w:r w:rsidRPr="00707E03">
        <w:rPr>
          <w:rFonts w:cs="Tahoma"/>
          <w:lang w:val="it-IT"/>
        </w:rPr>
        <w:t>Office 365 Enterprise K1 (SL per Utente)</w:t>
      </w:r>
      <w:r w:rsidRPr="00707E03">
        <w:tab/>
      </w:r>
      <w:r w:rsidRPr="00707E03">
        <w:fldChar w:fldCharType="begin"/>
      </w:r>
      <w:r w:rsidRPr="00707E03">
        <w:instrText xml:space="preserve"> PAGEREF _Toc352234637 \h </w:instrText>
      </w:r>
      <w:r w:rsidRPr="00707E03">
        <w:fldChar w:fldCharType="separate"/>
      </w:r>
      <w:r w:rsidRPr="00707E03">
        <w:t>22</w:t>
      </w:r>
      <w:r w:rsidRPr="00707E03">
        <w:fldChar w:fldCharType="end"/>
      </w:r>
    </w:p>
    <w:p w:rsidR="00707E03" w:rsidRPr="00707E03" w:rsidRDefault="00707E03">
      <w:pPr>
        <w:pStyle w:val="TOC2"/>
        <w:rPr>
          <w:rFonts w:asciiTheme="minorHAnsi" w:eastAsiaTheme="minorEastAsia" w:hAnsiTheme="minorHAnsi" w:cstheme="minorBidi"/>
          <w:sz w:val="22"/>
          <w:szCs w:val="22"/>
        </w:rPr>
      </w:pPr>
      <w:r w:rsidRPr="00707E03">
        <w:rPr>
          <w:rFonts w:cs="Tahoma"/>
          <w:lang w:val="it-IT"/>
        </w:rPr>
        <w:t>Office 365 Enterprise K2 (SL per Utente)</w:t>
      </w:r>
      <w:r w:rsidRPr="00707E03">
        <w:tab/>
      </w:r>
      <w:r w:rsidRPr="00707E03">
        <w:fldChar w:fldCharType="begin"/>
      </w:r>
      <w:r w:rsidRPr="00707E03">
        <w:instrText xml:space="preserve"> PAGEREF _Toc352234638 \h </w:instrText>
      </w:r>
      <w:r w:rsidRPr="00707E03">
        <w:fldChar w:fldCharType="separate"/>
      </w:r>
      <w:r w:rsidRPr="00707E03">
        <w:t>22</w:t>
      </w:r>
      <w:r w:rsidRPr="00707E03">
        <w:fldChar w:fldCharType="end"/>
      </w:r>
    </w:p>
    <w:p w:rsidR="00707E03" w:rsidRPr="00707E03" w:rsidRDefault="00707E03">
      <w:pPr>
        <w:pStyle w:val="TOC2"/>
        <w:rPr>
          <w:rFonts w:asciiTheme="minorHAnsi" w:eastAsiaTheme="minorEastAsia" w:hAnsiTheme="minorHAnsi" w:cstheme="minorBidi"/>
          <w:sz w:val="22"/>
          <w:szCs w:val="22"/>
        </w:rPr>
      </w:pPr>
      <w:r w:rsidRPr="00707E03">
        <w:rPr>
          <w:rFonts w:cs="Tahoma"/>
        </w:rPr>
        <w:t>Office 365 Government G1 - G4 (SL per Utente)</w:t>
      </w:r>
      <w:r w:rsidRPr="00707E03">
        <w:tab/>
      </w:r>
      <w:r w:rsidRPr="00707E03">
        <w:fldChar w:fldCharType="begin"/>
      </w:r>
      <w:r w:rsidRPr="00707E03">
        <w:instrText xml:space="preserve"> PAGEREF _Toc352234639 \h </w:instrText>
      </w:r>
      <w:r w:rsidRPr="00707E03">
        <w:fldChar w:fldCharType="separate"/>
      </w:r>
      <w:r w:rsidRPr="00707E03">
        <w:t>22</w:t>
      </w:r>
      <w:r w:rsidRPr="00707E03">
        <w:fldChar w:fldCharType="end"/>
      </w:r>
    </w:p>
    <w:p w:rsidR="00707E03" w:rsidRPr="00707E03" w:rsidRDefault="00707E03">
      <w:pPr>
        <w:pStyle w:val="TOC2"/>
        <w:rPr>
          <w:rFonts w:asciiTheme="minorHAnsi" w:eastAsiaTheme="minorEastAsia" w:hAnsiTheme="minorHAnsi" w:cstheme="minorBidi"/>
          <w:sz w:val="22"/>
          <w:szCs w:val="22"/>
        </w:rPr>
      </w:pPr>
      <w:r w:rsidRPr="00707E03">
        <w:rPr>
          <w:rFonts w:cs="Tahoma"/>
        </w:rPr>
        <w:t>Office Web Applications con SharePoint Piano 2A (SL per utente)</w:t>
      </w:r>
      <w:r w:rsidRPr="00707E03">
        <w:tab/>
      </w:r>
      <w:r w:rsidRPr="00707E03">
        <w:fldChar w:fldCharType="begin"/>
      </w:r>
      <w:r w:rsidRPr="00707E03">
        <w:instrText xml:space="preserve"> PAGEREF _Toc352234640 \h </w:instrText>
      </w:r>
      <w:r w:rsidRPr="00707E03">
        <w:fldChar w:fldCharType="separate"/>
      </w:r>
      <w:r w:rsidRPr="00707E03">
        <w:t>22</w:t>
      </w:r>
      <w:r w:rsidRPr="00707E03">
        <w:fldChar w:fldCharType="end"/>
      </w:r>
    </w:p>
    <w:p w:rsidR="00707E03" w:rsidRPr="00707E03" w:rsidRDefault="00707E03">
      <w:pPr>
        <w:pStyle w:val="TOC2"/>
        <w:rPr>
          <w:rFonts w:asciiTheme="minorHAnsi" w:eastAsiaTheme="minorEastAsia" w:hAnsiTheme="minorHAnsi" w:cstheme="minorBidi"/>
          <w:sz w:val="22"/>
          <w:szCs w:val="22"/>
        </w:rPr>
      </w:pPr>
      <w:r w:rsidRPr="00707E03">
        <w:rPr>
          <w:rFonts w:cs="Tahoma"/>
        </w:rPr>
        <w:t>Project Online</w:t>
      </w:r>
      <w:r w:rsidRPr="00707E03">
        <w:tab/>
      </w:r>
      <w:r w:rsidRPr="00707E03">
        <w:fldChar w:fldCharType="begin"/>
      </w:r>
      <w:r w:rsidRPr="00707E03">
        <w:instrText xml:space="preserve"> PAGEREF _Toc352234641 \h </w:instrText>
      </w:r>
      <w:r w:rsidRPr="00707E03">
        <w:fldChar w:fldCharType="separate"/>
      </w:r>
      <w:r w:rsidRPr="00707E03">
        <w:t>22</w:t>
      </w:r>
      <w:r w:rsidRPr="00707E03">
        <w:fldChar w:fldCharType="end"/>
      </w:r>
    </w:p>
    <w:p w:rsidR="00707E03" w:rsidRPr="00707E03" w:rsidRDefault="00707E03">
      <w:pPr>
        <w:pStyle w:val="TOC2"/>
        <w:rPr>
          <w:rFonts w:asciiTheme="minorHAnsi" w:eastAsiaTheme="minorEastAsia" w:hAnsiTheme="minorHAnsi" w:cstheme="minorBidi"/>
          <w:sz w:val="22"/>
          <w:szCs w:val="22"/>
        </w:rPr>
      </w:pPr>
      <w:r w:rsidRPr="00707E03">
        <w:rPr>
          <w:rFonts w:cs="Tahoma"/>
        </w:rPr>
        <w:t>Project Online A</w:t>
      </w:r>
      <w:r w:rsidRPr="00707E03">
        <w:tab/>
      </w:r>
      <w:r w:rsidRPr="00707E03">
        <w:fldChar w:fldCharType="begin"/>
      </w:r>
      <w:r w:rsidRPr="00707E03">
        <w:instrText xml:space="preserve"> PAGEREF _Toc352234642 \h </w:instrText>
      </w:r>
      <w:r w:rsidRPr="00707E03">
        <w:fldChar w:fldCharType="separate"/>
      </w:r>
      <w:r w:rsidRPr="00707E03">
        <w:t>22</w:t>
      </w:r>
      <w:r w:rsidRPr="00707E03">
        <w:fldChar w:fldCharType="end"/>
      </w:r>
    </w:p>
    <w:p w:rsidR="00707E03" w:rsidRPr="00707E03" w:rsidRDefault="00707E03">
      <w:pPr>
        <w:pStyle w:val="TOC2"/>
        <w:rPr>
          <w:rFonts w:asciiTheme="minorHAnsi" w:eastAsiaTheme="minorEastAsia" w:hAnsiTheme="minorHAnsi" w:cstheme="minorBidi"/>
          <w:sz w:val="22"/>
          <w:szCs w:val="22"/>
        </w:rPr>
      </w:pPr>
      <w:r w:rsidRPr="00707E03">
        <w:rPr>
          <w:rFonts w:cs="Tahoma"/>
        </w:rPr>
        <w:t>Project Server 2013</w:t>
      </w:r>
      <w:r w:rsidRPr="00707E03">
        <w:tab/>
      </w:r>
      <w:r w:rsidRPr="00707E03">
        <w:fldChar w:fldCharType="begin"/>
      </w:r>
      <w:r w:rsidRPr="00707E03">
        <w:instrText xml:space="preserve"> PAGEREF _Toc352234643 \h </w:instrText>
      </w:r>
      <w:r w:rsidRPr="00707E03">
        <w:fldChar w:fldCharType="separate"/>
      </w:r>
      <w:r w:rsidRPr="00707E03">
        <w:t>22</w:t>
      </w:r>
      <w:r w:rsidRPr="00707E03">
        <w:fldChar w:fldCharType="end"/>
      </w:r>
    </w:p>
    <w:p w:rsidR="00707E03" w:rsidRPr="00707E03" w:rsidRDefault="00707E03">
      <w:pPr>
        <w:pStyle w:val="TOC2"/>
        <w:rPr>
          <w:rFonts w:asciiTheme="minorHAnsi" w:eastAsiaTheme="minorEastAsia" w:hAnsiTheme="minorHAnsi" w:cstheme="minorBidi"/>
          <w:sz w:val="22"/>
          <w:szCs w:val="22"/>
        </w:rPr>
      </w:pPr>
      <w:r w:rsidRPr="00707E03">
        <w:rPr>
          <w:rFonts w:cs="Tahoma"/>
        </w:rPr>
        <w:t>CAL per Project Server 2013</w:t>
      </w:r>
      <w:r w:rsidRPr="00707E03">
        <w:tab/>
      </w:r>
      <w:r w:rsidRPr="00707E03">
        <w:fldChar w:fldCharType="begin"/>
      </w:r>
      <w:r w:rsidRPr="00707E03">
        <w:instrText xml:space="preserve"> PAGEREF _Toc352234644 \h </w:instrText>
      </w:r>
      <w:r w:rsidRPr="00707E03">
        <w:fldChar w:fldCharType="separate"/>
      </w:r>
      <w:r w:rsidRPr="00707E03">
        <w:t>22</w:t>
      </w:r>
      <w:r w:rsidRPr="00707E03">
        <w:fldChar w:fldCharType="end"/>
      </w:r>
    </w:p>
    <w:p w:rsidR="00707E03" w:rsidRPr="00707E03" w:rsidRDefault="00707E03">
      <w:pPr>
        <w:pStyle w:val="TOC2"/>
        <w:rPr>
          <w:rFonts w:asciiTheme="minorHAnsi" w:eastAsiaTheme="minorEastAsia" w:hAnsiTheme="minorHAnsi" w:cstheme="minorBidi"/>
          <w:sz w:val="22"/>
          <w:szCs w:val="22"/>
        </w:rPr>
      </w:pPr>
      <w:r w:rsidRPr="00707E03">
        <w:rPr>
          <w:rFonts w:cs="Tahoma"/>
        </w:rPr>
        <w:t>SharePoint™ Online Extra Storage 1 GB (SL Add-on)</w:t>
      </w:r>
      <w:r w:rsidRPr="00707E03">
        <w:tab/>
      </w:r>
      <w:r w:rsidRPr="00707E03">
        <w:fldChar w:fldCharType="begin"/>
      </w:r>
      <w:r w:rsidRPr="00707E03">
        <w:instrText xml:space="preserve"> PAGEREF _Toc352234645 \h </w:instrText>
      </w:r>
      <w:r w:rsidRPr="00707E03">
        <w:fldChar w:fldCharType="separate"/>
      </w:r>
      <w:r w:rsidRPr="00707E03">
        <w:t>22</w:t>
      </w:r>
      <w:r w:rsidRPr="00707E03">
        <w:fldChar w:fldCharType="end"/>
      </w:r>
    </w:p>
    <w:p w:rsidR="00707E03" w:rsidRPr="00707E03" w:rsidRDefault="00707E03">
      <w:pPr>
        <w:pStyle w:val="TOC2"/>
        <w:rPr>
          <w:rFonts w:asciiTheme="minorHAnsi" w:eastAsiaTheme="minorEastAsia" w:hAnsiTheme="minorHAnsi" w:cstheme="minorBidi"/>
          <w:sz w:val="22"/>
          <w:szCs w:val="22"/>
        </w:rPr>
      </w:pPr>
      <w:r w:rsidRPr="00707E03">
        <w:rPr>
          <w:rFonts w:cs="Tahoma"/>
        </w:rPr>
        <w:t>SharePoint™ Online Extra Storage 1 GB A (SL Add-on)</w:t>
      </w:r>
      <w:r w:rsidRPr="00707E03">
        <w:tab/>
      </w:r>
      <w:r w:rsidRPr="00707E03">
        <w:fldChar w:fldCharType="begin"/>
      </w:r>
      <w:r w:rsidRPr="00707E03">
        <w:instrText xml:space="preserve"> PAGEREF _Toc352234646 \h </w:instrText>
      </w:r>
      <w:r w:rsidRPr="00707E03">
        <w:fldChar w:fldCharType="separate"/>
      </w:r>
      <w:r w:rsidRPr="00707E03">
        <w:t>22</w:t>
      </w:r>
      <w:r w:rsidRPr="00707E03">
        <w:fldChar w:fldCharType="end"/>
      </w:r>
    </w:p>
    <w:p w:rsidR="00707E03" w:rsidRPr="00707E03" w:rsidRDefault="00707E03">
      <w:pPr>
        <w:pStyle w:val="TOC2"/>
        <w:rPr>
          <w:rFonts w:asciiTheme="minorHAnsi" w:eastAsiaTheme="minorEastAsia" w:hAnsiTheme="minorHAnsi" w:cstheme="minorBidi"/>
          <w:sz w:val="22"/>
          <w:szCs w:val="22"/>
        </w:rPr>
      </w:pPr>
      <w:r w:rsidRPr="00707E03">
        <w:rPr>
          <w:rFonts w:cs="Tahoma"/>
          <w:lang w:val="it-IT"/>
        </w:rPr>
        <w:t>SharePoint™ Online Piano 1 (SL per Utente)</w:t>
      </w:r>
      <w:r w:rsidRPr="00707E03">
        <w:tab/>
      </w:r>
      <w:r w:rsidRPr="00707E03">
        <w:fldChar w:fldCharType="begin"/>
      </w:r>
      <w:r w:rsidRPr="00707E03">
        <w:instrText xml:space="preserve"> PAGEREF _Toc352234647 \h </w:instrText>
      </w:r>
      <w:r w:rsidRPr="00707E03">
        <w:fldChar w:fldCharType="separate"/>
      </w:r>
      <w:r w:rsidRPr="00707E03">
        <w:t>22</w:t>
      </w:r>
      <w:r w:rsidRPr="00707E03">
        <w:fldChar w:fldCharType="end"/>
      </w:r>
    </w:p>
    <w:p w:rsidR="00707E03" w:rsidRPr="00707E03" w:rsidRDefault="00707E03">
      <w:pPr>
        <w:pStyle w:val="TOC2"/>
        <w:rPr>
          <w:rFonts w:asciiTheme="minorHAnsi" w:eastAsiaTheme="minorEastAsia" w:hAnsiTheme="minorHAnsi" w:cstheme="minorBidi"/>
          <w:sz w:val="22"/>
          <w:szCs w:val="22"/>
        </w:rPr>
      </w:pPr>
      <w:r w:rsidRPr="00707E03">
        <w:rPr>
          <w:rFonts w:cs="Tahoma"/>
          <w:lang w:val="it-IT"/>
        </w:rPr>
        <w:t>SharePoint™ Online Piano 2 (SL per Utente)</w:t>
      </w:r>
      <w:r w:rsidRPr="00707E03">
        <w:tab/>
      </w:r>
      <w:r w:rsidRPr="00707E03">
        <w:fldChar w:fldCharType="begin"/>
      </w:r>
      <w:r w:rsidRPr="00707E03">
        <w:instrText xml:space="preserve"> PAGEREF _Toc352234648 \h </w:instrText>
      </w:r>
      <w:r w:rsidRPr="00707E03">
        <w:fldChar w:fldCharType="separate"/>
      </w:r>
      <w:r w:rsidRPr="00707E03">
        <w:t>22</w:t>
      </w:r>
      <w:r w:rsidRPr="00707E03">
        <w:fldChar w:fldCharType="end"/>
      </w:r>
    </w:p>
    <w:p w:rsidR="00707E03" w:rsidRPr="00707E03" w:rsidRDefault="00707E03">
      <w:pPr>
        <w:pStyle w:val="TOC2"/>
        <w:rPr>
          <w:rFonts w:asciiTheme="minorHAnsi" w:eastAsiaTheme="minorEastAsia" w:hAnsiTheme="minorHAnsi" w:cstheme="minorBidi"/>
          <w:sz w:val="22"/>
          <w:szCs w:val="22"/>
        </w:rPr>
      </w:pPr>
      <w:r w:rsidRPr="00707E03">
        <w:rPr>
          <w:rFonts w:cs="Tahoma"/>
        </w:rPr>
        <w:t>SharePoint™ Server 2013</w:t>
      </w:r>
      <w:r w:rsidRPr="00707E03">
        <w:tab/>
      </w:r>
      <w:r w:rsidRPr="00707E03">
        <w:fldChar w:fldCharType="begin"/>
      </w:r>
      <w:r w:rsidRPr="00707E03">
        <w:instrText xml:space="preserve"> PAGEREF _Toc352234649 \h </w:instrText>
      </w:r>
      <w:r w:rsidRPr="00707E03">
        <w:fldChar w:fldCharType="separate"/>
      </w:r>
      <w:r w:rsidRPr="00707E03">
        <w:t>22</w:t>
      </w:r>
      <w:r w:rsidRPr="00707E03">
        <w:fldChar w:fldCharType="end"/>
      </w:r>
    </w:p>
    <w:p w:rsidR="00707E03" w:rsidRPr="00707E03" w:rsidRDefault="00707E03">
      <w:pPr>
        <w:pStyle w:val="TOC2"/>
        <w:rPr>
          <w:rFonts w:asciiTheme="minorHAnsi" w:eastAsiaTheme="minorEastAsia" w:hAnsiTheme="minorHAnsi" w:cstheme="minorBidi"/>
          <w:sz w:val="22"/>
          <w:szCs w:val="22"/>
        </w:rPr>
      </w:pPr>
      <w:r w:rsidRPr="00707E03">
        <w:rPr>
          <w:rFonts w:cs="Tahoma"/>
        </w:rPr>
        <w:t>Enterprise CAL per SharePoint™ Server 2013</w:t>
      </w:r>
      <w:r w:rsidRPr="00707E03">
        <w:tab/>
      </w:r>
      <w:r w:rsidRPr="00707E03">
        <w:fldChar w:fldCharType="begin"/>
      </w:r>
      <w:r w:rsidRPr="00707E03">
        <w:instrText xml:space="preserve"> PAGEREF _Toc352234650 \h </w:instrText>
      </w:r>
      <w:r w:rsidRPr="00707E03">
        <w:fldChar w:fldCharType="separate"/>
      </w:r>
      <w:r w:rsidRPr="00707E03">
        <w:t>22</w:t>
      </w:r>
      <w:r w:rsidRPr="00707E03">
        <w:fldChar w:fldCharType="end"/>
      </w:r>
    </w:p>
    <w:p w:rsidR="00707E03" w:rsidRPr="00707E03" w:rsidRDefault="00707E03">
      <w:pPr>
        <w:pStyle w:val="TOC2"/>
        <w:rPr>
          <w:rFonts w:asciiTheme="minorHAnsi" w:eastAsiaTheme="minorEastAsia" w:hAnsiTheme="minorHAnsi" w:cstheme="minorBidi"/>
          <w:sz w:val="22"/>
          <w:szCs w:val="22"/>
        </w:rPr>
      </w:pPr>
      <w:r w:rsidRPr="00707E03">
        <w:rPr>
          <w:rFonts w:cs="Tahoma"/>
        </w:rPr>
        <w:t>Standard CAL per  SharePoint™ Server 2013</w:t>
      </w:r>
      <w:r w:rsidRPr="00707E03">
        <w:tab/>
      </w:r>
      <w:r w:rsidRPr="00707E03">
        <w:fldChar w:fldCharType="begin"/>
      </w:r>
      <w:r w:rsidRPr="00707E03">
        <w:instrText xml:space="preserve"> PAGEREF _Toc352234651 \h </w:instrText>
      </w:r>
      <w:r w:rsidRPr="00707E03">
        <w:fldChar w:fldCharType="separate"/>
      </w:r>
      <w:r w:rsidRPr="00707E03">
        <w:t>22</w:t>
      </w:r>
      <w:r w:rsidRPr="00707E03">
        <w:fldChar w:fldCharType="end"/>
      </w:r>
    </w:p>
    <w:p w:rsidR="00707E03" w:rsidRPr="00707E03" w:rsidRDefault="00707E03">
      <w:pPr>
        <w:pStyle w:val="TOC2"/>
        <w:rPr>
          <w:rFonts w:asciiTheme="minorHAnsi" w:eastAsiaTheme="minorEastAsia" w:hAnsiTheme="minorHAnsi" w:cstheme="minorBidi"/>
          <w:sz w:val="22"/>
          <w:szCs w:val="22"/>
        </w:rPr>
      </w:pPr>
      <w:r w:rsidRPr="00707E03">
        <w:rPr>
          <w:rFonts w:cs="Tahoma"/>
          <w:lang w:val="it-IT"/>
        </w:rPr>
        <w:t>1 Licenza per Processore per SQL Server</w:t>
      </w:r>
      <w:r w:rsidRPr="00707E03">
        <w:rPr>
          <w:rFonts w:eastAsia="Times New Roman" w:cs="Tahoma"/>
          <w:vertAlign w:val="superscript"/>
          <w:lang w:val="it-IT"/>
        </w:rPr>
        <w:t>®</w:t>
      </w:r>
      <w:r w:rsidRPr="00707E03">
        <w:rPr>
          <w:rFonts w:cs="Tahoma"/>
          <w:lang w:val="it-IT"/>
        </w:rPr>
        <w:t> 2008 R2 Datacenter</w:t>
      </w:r>
      <w:r w:rsidRPr="00707E03">
        <w:tab/>
      </w:r>
      <w:r w:rsidRPr="00707E03">
        <w:fldChar w:fldCharType="begin"/>
      </w:r>
      <w:r w:rsidRPr="00707E03">
        <w:instrText xml:space="preserve"> PAGEREF _Toc352234652 \h </w:instrText>
      </w:r>
      <w:r w:rsidRPr="00707E03">
        <w:fldChar w:fldCharType="separate"/>
      </w:r>
      <w:r w:rsidRPr="00707E03">
        <w:t>22</w:t>
      </w:r>
      <w:r w:rsidRPr="00707E03">
        <w:fldChar w:fldCharType="end"/>
      </w:r>
    </w:p>
    <w:p w:rsidR="00707E03" w:rsidRPr="00707E03" w:rsidRDefault="00707E03">
      <w:pPr>
        <w:pStyle w:val="TOC2"/>
        <w:rPr>
          <w:rFonts w:asciiTheme="minorHAnsi" w:eastAsiaTheme="minorEastAsia" w:hAnsiTheme="minorHAnsi" w:cstheme="minorBidi"/>
          <w:sz w:val="22"/>
          <w:szCs w:val="22"/>
        </w:rPr>
      </w:pPr>
      <w:r w:rsidRPr="00707E03">
        <w:rPr>
          <w:rFonts w:cs="Tahoma"/>
        </w:rPr>
        <w:t>SQL Server</w:t>
      </w:r>
      <w:r w:rsidRPr="00707E03">
        <w:rPr>
          <w:rFonts w:eastAsia="Times New Roman" w:cs="Tahoma"/>
          <w:vertAlign w:val="superscript"/>
        </w:rPr>
        <w:t>®</w:t>
      </w:r>
      <w:r w:rsidRPr="00707E03">
        <w:rPr>
          <w:rFonts w:cs="Tahoma"/>
        </w:rPr>
        <w:t xml:space="preserve"> 2008 R2 Small Business</w:t>
      </w:r>
      <w:r w:rsidRPr="00707E03">
        <w:tab/>
      </w:r>
      <w:r w:rsidRPr="00707E03">
        <w:fldChar w:fldCharType="begin"/>
      </w:r>
      <w:r w:rsidRPr="00707E03">
        <w:instrText xml:space="preserve"> PAGEREF _Toc352234653 \h </w:instrText>
      </w:r>
      <w:r w:rsidRPr="00707E03">
        <w:fldChar w:fldCharType="separate"/>
      </w:r>
      <w:r w:rsidRPr="00707E03">
        <w:t>22</w:t>
      </w:r>
      <w:r w:rsidRPr="00707E03">
        <w:fldChar w:fldCharType="end"/>
      </w:r>
    </w:p>
    <w:p w:rsidR="00707E03" w:rsidRPr="00707E03" w:rsidRDefault="00707E03">
      <w:pPr>
        <w:pStyle w:val="TOC2"/>
        <w:rPr>
          <w:rFonts w:asciiTheme="minorHAnsi" w:eastAsiaTheme="minorEastAsia" w:hAnsiTheme="minorHAnsi" w:cstheme="minorBidi"/>
          <w:sz w:val="22"/>
          <w:szCs w:val="22"/>
        </w:rPr>
      </w:pPr>
      <w:r w:rsidRPr="00707E03">
        <w:rPr>
          <w:rFonts w:cs="Tahoma"/>
        </w:rPr>
        <w:t>Licenza CAL per SQL Server</w:t>
      </w:r>
      <w:r w:rsidRPr="00707E03">
        <w:rPr>
          <w:rFonts w:eastAsia="Times New Roman" w:cs="Tahoma"/>
          <w:vertAlign w:val="superscript"/>
        </w:rPr>
        <w:t>®</w:t>
      </w:r>
      <w:r w:rsidRPr="00707E03">
        <w:rPr>
          <w:rFonts w:cs="Tahoma"/>
        </w:rPr>
        <w:t xml:space="preserve"> 2008 R2 Small Business</w:t>
      </w:r>
      <w:r w:rsidRPr="00707E03">
        <w:tab/>
      </w:r>
      <w:r w:rsidRPr="00707E03">
        <w:fldChar w:fldCharType="begin"/>
      </w:r>
      <w:r w:rsidRPr="00707E03">
        <w:instrText xml:space="preserve"> PAGEREF _Toc352234654 \h </w:instrText>
      </w:r>
      <w:r w:rsidRPr="00707E03">
        <w:fldChar w:fldCharType="separate"/>
      </w:r>
      <w:r w:rsidRPr="00707E03">
        <w:t>22</w:t>
      </w:r>
      <w:r w:rsidRPr="00707E03">
        <w:fldChar w:fldCharType="end"/>
      </w:r>
    </w:p>
    <w:p w:rsidR="00707E03" w:rsidRPr="00707E03" w:rsidRDefault="00707E03">
      <w:pPr>
        <w:pStyle w:val="TOC2"/>
        <w:rPr>
          <w:rFonts w:asciiTheme="minorHAnsi" w:eastAsiaTheme="minorEastAsia" w:hAnsiTheme="minorHAnsi" w:cstheme="minorBidi"/>
          <w:sz w:val="22"/>
          <w:szCs w:val="22"/>
        </w:rPr>
      </w:pPr>
      <w:r w:rsidRPr="00707E03">
        <w:rPr>
          <w:rFonts w:cs="Tahoma"/>
          <w:lang w:val="it-IT"/>
        </w:rPr>
        <w:t>Licenza Per Processore per SQL Server</w:t>
      </w:r>
      <w:r w:rsidRPr="00707E03">
        <w:rPr>
          <w:rFonts w:eastAsia="Times New Roman" w:cs="Tahoma"/>
          <w:vertAlign w:val="superscript"/>
          <w:lang w:val="it-IT"/>
        </w:rPr>
        <w:t>®</w:t>
      </w:r>
      <w:r w:rsidRPr="00707E03">
        <w:rPr>
          <w:rFonts w:cs="Tahoma"/>
          <w:lang w:val="it-IT"/>
        </w:rPr>
        <w:t> 2008 R2 Web</w:t>
      </w:r>
      <w:r w:rsidRPr="00707E03">
        <w:tab/>
      </w:r>
      <w:r w:rsidRPr="00707E03">
        <w:fldChar w:fldCharType="begin"/>
      </w:r>
      <w:r w:rsidRPr="00707E03">
        <w:instrText xml:space="preserve"> PAGEREF _Toc352234655 \h </w:instrText>
      </w:r>
      <w:r w:rsidRPr="00707E03">
        <w:fldChar w:fldCharType="separate"/>
      </w:r>
      <w:r w:rsidRPr="00707E03">
        <w:t>22</w:t>
      </w:r>
      <w:r w:rsidRPr="00707E03">
        <w:fldChar w:fldCharType="end"/>
      </w:r>
    </w:p>
    <w:p w:rsidR="00707E03" w:rsidRPr="00707E03" w:rsidRDefault="00707E03">
      <w:pPr>
        <w:pStyle w:val="TOC2"/>
        <w:rPr>
          <w:rFonts w:asciiTheme="minorHAnsi" w:eastAsiaTheme="minorEastAsia" w:hAnsiTheme="minorHAnsi" w:cstheme="minorBidi"/>
          <w:sz w:val="22"/>
          <w:szCs w:val="22"/>
        </w:rPr>
      </w:pPr>
      <w:r w:rsidRPr="00707E03">
        <w:rPr>
          <w:rFonts w:cs="Tahoma"/>
          <w:lang w:val="it-IT"/>
        </w:rPr>
        <w:t>Licenza CAL per SQL Server</w:t>
      </w:r>
      <w:r w:rsidRPr="00707E03">
        <w:rPr>
          <w:rFonts w:eastAsia="Times New Roman" w:cs="Tahoma"/>
          <w:vertAlign w:val="superscript"/>
          <w:lang w:val="it-IT"/>
        </w:rPr>
        <w:t>®</w:t>
      </w:r>
      <w:r w:rsidRPr="00707E03">
        <w:rPr>
          <w:rFonts w:cs="Tahoma"/>
          <w:lang w:val="it-IT"/>
        </w:rPr>
        <w:t xml:space="preserve"> 2008 R2 Workgroup</w:t>
      </w:r>
      <w:r w:rsidRPr="00707E03">
        <w:tab/>
      </w:r>
      <w:r w:rsidRPr="00707E03">
        <w:fldChar w:fldCharType="begin"/>
      </w:r>
      <w:r w:rsidRPr="00707E03">
        <w:instrText xml:space="preserve"> PAGEREF _Toc352234656 \h </w:instrText>
      </w:r>
      <w:r w:rsidRPr="00707E03">
        <w:fldChar w:fldCharType="separate"/>
      </w:r>
      <w:r w:rsidRPr="00707E03">
        <w:t>22</w:t>
      </w:r>
      <w:r w:rsidRPr="00707E03">
        <w:fldChar w:fldCharType="end"/>
      </w:r>
    </w:p>
    <w:p w:rsidR="00707E03" w:rsidRPr="00707E03" w:rsidRDefault="00707E03">
      <w:pPr>
        <w:pStyle w:val="TOC2"/>
        <w:rPr>
          <w:rFonts w:asciiTheme="minorHAnsi" w:eastAsiaTheme="minorEastAsia" w:hAnsiTheme="minorHAnsi" w:cstheme="minorBidi"/>
          <w:sz w:val="22"/>
          <w:szCs w:val="22"/>
        </w:rPr>
      </w:pPr>
      <w:r w:rsidRPr="00707E03">
        <w:rPr>
          <w:rFonts w:cs="Tahoma"/>
        </w:rPr>
        <w:t>SQL Server</w:t>
      </w:r>
      <w:r w:rsidRPr="00707E03">
        <w:rPr>
          <w:rFonts w:eastAsia="Times New Roman" w:cs="Tahoma"/>
          <w:vertAlign w:val="superscript"/>
        </w:rPr>
        <w:t>®</w:t>
      </w:r>
      <w:r w:rsidRPr="00707E03">
        <w:rPr>
          <w:rFonts w:cs="Tahoma"/>
        </w:rPr>
        <w:t xml:space="preserve"> 2008 R2 Workgroup (5 Add On Client)</w:t>
      </w:r>
      <w:r w:rsidRPr="00707E03">
        <w:tab/>
      </w:r>
      <w:r w:rsidRPr="00707E03">
        <w:fldChar w:fldCharType="begin"/>
      </w:r>
      <w:r w:rsidRPr="00707E03">
        <w:instrText xml:space="preserve"> PAGEREF _Toc352234657 \h </w:instrText>
      </w:r>
      <w:r w:rsidRPr="00707E03">
        <w:fldChar w:fldCharType="separate"/>
      </w:r>
      <w:r w:rsidRPr="00707E03">
        <w:t>22</w:t>
      </w:r>
      <w:r w:rsidRPr="00707E03">
        <w:fldChar w:fldCharType="end"/>
      </w:r>
    </w:p>
    <w:p w:rsidR="00707E03" w:rsidRPr="00707E03" w:rsidRDefault="00707E03">
      <w:pPr>
        <w:pStyle w:val="TOC2"/>
        <w:rPr>
          <w:rFonts w:asciiTheme="minorHAnsi" w:eastAsiaTheme="minorEastAsia" w:hAnsiTheme="minorHAnsi" w:cstheme="minorBidi"/>
          <w:sz w:val="22"/>
          <w:szCs w:val="22"/>
        </w:rPr>
      </w:pPr>
      <w:r w:rsidRPr="00707E03">
        <w:rPr>
          <w:rFonts w:cs="Tahoma"/>
          <w:lang w:val="it-IT"/>
        </w:rPr>
        <w:t>1 Licenza per Processore per SQL Server</w:t>
      </w:r>
      <w:r w:rsidRPr="00707E03">
        <w:rPr>
          <w:rFonts w:eastAsia="Times New Roman" w:cs="Tahoma"/>
          <w:vertAlign w:val="superscript"/>
          <w:lang w:val="it-IT"/>
        </w:rPr>
        <w:t>®</w:t>
      </w:r>
      <w:r w:rsidRPr="00707E03">
        <w:rPr>
          <w:rFonts w:cs="Tahoma"/>
          <w:lang w:val="it-IT"/>
        </w:rPr>
        <w:t> 2008 R2 Workgroup</w:t>
      </w:r>
      <w:r w:rsidRPr="00707E03">
        <w:tab/>
      </w:r>
      <w:r w:rsidRPr="00707E03">
        <w:fldChar w:fldCharType="begin"/>
      </w:r>
      <w:r w:rsidRPr="00707E03">
        <w:instrText xml:space="preserve"> PAGEREF _Toc352234658 \h </w:instrText>
      </w:r>
      <w:r w:rsidRPr="00707E03">
        <w:fldChar w:fldCharType="separate"/>
      </w:r>
      <w:r w:rsidRPr="00707E03">
        <w:t>22</w:t>
      </w:r>
      <w:r w:rsidRPr="00707E03">
        <w:fldChar w:fldCharType="end"/>
      </w:r>
    </w:p>
    <w:p w:rsidR="00707E03" w:rsidRPr="00707E03" w:rsidRDefault="00707E03">
      <w:pPr>
        <w:pStyle w:val="TOC2"/>
        <w:rPr>
          <w:rFonts w:asciiTheme="minorHAnsi" w:eastAsiaTheme="minorEastAsia" w:hAnsiTheme="minorHAnsi" w:cstheme="minorBidi"/>
          <w:sz w:val="22"/>
          <w:szCs w:val="22"/>
        </w:rPr>
      </w:pPr>
      <w:r w:rsidRPr="00707E03">
        <w:rPr>
          <w:rFonts w:cs="Tahoma"/>
        </w:rPr>
        <w:t>SQL Server</w:t>
      </w:r>
      <w:r w:rsidRPr="00707E03">
        <w:rPr>
          <w:rFonts w:eastAsia="Times New Roman" w:cs="Tahoma"/>
          <w:vertAlign w:val="superscript"/>
        </w:rPr>
        <w:t>®</w:t>
      </w:r>
      <w:r w:rsidRPr="00707E03">
        <w:rPr>
          <w:rFonts w:cs="Tahoma"/>
        </w:rPr>
        <w:t xml:space="preserve"> 2012 Business Intelligence</w:t>
      </w:r>
      <w:r w:rsidRPr="00707E03">
        <w:tab/>
      </w:r>
      <w:r w:rsidRPr="00707E03">
        <w:fldChar w:fldCharType="begin"/>
      </w:r>
      <w:r w:rsidRPr="00707E03">
        <w:instrText xml:space="preserve"> PAGEREF _Toc352234659 \h </w:instrText>
      </w:r>
      <w:r w:rsidRPr="00707E03">
        <w:fldChar w:fldCharType="separate"/>
      </w:r>
      <w:r w:rsidRPr="00707E03">
        <w:t>23</w:t>
      </w:r>
      <w:r w:rsidRPr="00707E03">
        <w:fldChar w:fldCharType="end"/>
      </w:r>
    </w:p>
    <w:p w:rsidR="00707E03" w:rsidRPr="00707E03" w:rsidRDefault="00707E03">
      <w:pPr>
        <w:pStyle w:val="TOC2"/>
        <w:rPr>
          <w:rFonts w:asciiTheme="minorHAnsi" w:eastAsiaTheme="minorEastAsia" w:hAnsiTheme="minorHAnsi" w:cstheme="minorBidi"/>
          <w:sz w:val="22"/>
          <w:szCs w:val="22"/>
        </w:rPr>
      </w:pPr>
      <w:r w:rsidRPr="00707E03">
        <w:rPr>
          <w:rFonts w:cs="Tahoma"/>
          <w:lang w:val="it-IT"/>
        </w:rPr>
        <w:t>Licenza CAL per SQL Server</w:t>
      </w:r>
      <w:r w:rsidRPr="00707E03">
        <w:rPr>
          <w:rFonts w:eastAsia="Times New Roman" w:cs="Tahoma"/>
          <w:vertAlign w:val="superscript"/>
          <w:lang w:val="it-IT"/>
        </w:rPr>
        <w:t>®</w:t>
      </w:r>
      <w:r w:rsidRPr="00707E03">
        <w:rPr>
          <w:rFonts w:cs="Tahoma"/>
          <w:lang w:val="it-IT"/>
        </w:rPr>
        <w:t xml:space="preserve"> 2012 (SL per Dispositivo e Utente)</w:t>
      </w:r>
      <w:r w:rsidRPr="00707E03">
        <w:tab/>
      </w:r>
      <w:r w:rsidRPr="00707E03">
        <w:fldChar w:fldCharType="begin"/>
      </w:r>
      <w:r w:rsidRPr="00707E03">
        <w:instrText xml:space="preserve"> PAGEREF _Toc352234660 \h </w:instrText>
      </w:r>
      <w:r w:rsidRPr="00707E03">
        <w:fldChar w:fldCharType="separate"/>
      </w:r>
      <w:r w:rsidRPr="00707E03">
        <w:t>23</w:t>
      </w:r>
      <w:r w:rsidRPr="00707E03">
        <w:fldChar w:fldCharType="end"/>
      </w:r>
    </w:p>
    <w:p w:rsidR="00707E03" w:rsidRPr="00707E03" w:rsidRDefault="00707E03">
      <w:pPr>
        <w:pStyle w:val="TOC2"/>
        <w:rPr>
          <w:rFonts w:asciiTheme="minorHAnsi" w:eastAsiaTheme="minorEastAsia" w:hAnsiTheme="minorHAnsi" w:cstheme="minorBidi"/>
          <w:sz w:val="22"/>
          <w:szCs w:val="22"/>
        </w:rPr>
      </w:pPr>
      <w:r w:rsidRPr="00707E03">
        <w:rPr>
          <w:rFonts w:cs="Tahoma"/>
        </w:rPr>
        <w:t>SQL Server</w:t>
      </w:r>
      <w:r w:rsidRPr="00707E03">
        <w:rPr>
          <w:rFonts w:eastAsia="Times New Roman" w:cs="Tahoma"/>
          <w:vertAlign w:val="superscript"/>
        </w:rPr>
        <w:t>®</w:t>
      </w:r>
      <w:r w:rsidRPr="00707E03">
        <w:rPr>
          <w:rFonts w:cs="Tahoma"/>
        </w:rPr>
        <w:t xml:space="preserve"> 2012 Developer</w:t>
      </w:r>
      <w:r w:rsidRPr="00707E03">
        <w:tab/>
      </w:r>
      <w:r w:rsidRPr="00707E03">
        <w:fldChar w:fldCharType="begin"/>
      </w:r>
      <w:r w:rsidRPr="00707E03">
        <w:instrText xml:space="preserve"> PAGEREF _Toc352234661 \h </w:instrText>
      </w:r>
      <w:r w:rsidRPr="00707E03">
        <w:fldChar w:fldCharType="separate"/>
      </w:r>
      <w:r w:rsidRPr="00707E03">
        <w:t>23</w:t>
      </w:r>
      <w:r w:rsidRPr="00707E03">
        <w:fldChar w:fldCharType="end"/>
      </w:r>
    </w:p>
    <w:p w:rsidR="00707E03" w:rsidRPr="00707E03" w:rsidRDefault="00707E03">
      <w:pPr>
        <w:pStyle w:val="TOC2"/>
        <w:rPr>
          <w:rFonts w:asciiTheme="minorHAnsi" w:eastAsiaTheme="minorEastAsia" w:hAnsiTheme="minorHAnsi" w:cstheme="minorBidi"/>
          <w:sz w:val="22"/>
          <w:szCs w:val="22"/>
        </w:rPr>
      </w:pPr>
      <w:r w:rsidRPr="00707E03">
        <w:rPr>
          <w:rFonts w:cs="Tahoma"/>
        </w:rPr>
        <w:t>SQL Server</w:t>
      </w:r>
      <w:r w:rsidRPr="00707E03">
        <w:rPr>
          <w:rFonts w:eastAsia="Times New Roman" w:cs="Tahoma"/>
          <w:vertAlign w:val="superscript"/>
        </w:rPr>
        <w:t>®</w:t>
      </w:r>
      <w:r w:rsidRPr="00707E03">
        <w:rPr>
          <w:rFonts w:cs="Tahoma"/>
        </w:rPr>
        <w:t xml:space="preserve"> 2012 Enterprise</w:t>
      </w:r>
      <w:r w:rsidRPr="00707E03">
        <w:tab/>
      </w:r>
      <w:r w:rsidRPr="00707E03">
        <w:fldChar w:fldCharType="begin"/>
      </w:r>
      <w:r w:rsidRPr="00707E03">
        <w:instrText xml:space="preserve"> PAGEREF _Toc352234662 \h </w:instrText>
      </w:r>
      <w:r w:rsidRPr="00707E03">
        <w:fldChar w:fldCharType="separate"/>
      </w:r>
      <w:r w:rsidRPr="00707E03">
        <w:t>23</w:t>
      </w:r>
      <w:r w:rsidRPr="00707E03">
        <w:fldChar w:fldCharType="end"/>
      </w:r>
    </w:p>
    <w:p w:rsidR="00707E03" w:rsidRPr="00707E03" w:rsidRDefault="00707E03">
      <w:pPr>
        <w:pStyle w:val="TOC2"/>
        <w:rPr>
          <w:rFonts w:asciiTheme="minorHAnsi" w:eastAsiaTheme="minorEastAsia" w:hAnsiTheme="minorHAnsi" w:cstheme="minorBidi"/>
          <w:sz w:val="22"/>
          <w:szCs w:val="22"/>
        </w:rPr>
      </w:pPr>
      <w:r w:rsidRPr="00707E03">
        <w:rPr>
          <w:rFonts w:cs="Tahoma"/>
          <w:lang w:val="it-IT"/>
        </w:rPr>
        <w:t>SQL Server</w:t>
      </w:r>
      <w:r w:rsidRPr="00707E03">
        <w:rPr>
          <w:rFonts w:eastAsia="Times New Roman" w:cs="Tahoma"/>
          <w:vertAlign w:val="superscript"/>
          <w:lang w:val="it-IT"/>
        </w:rPr>
        <w:t>®</w:t>
      </w:r>
      <w:r w:rsidRPr="00707E03">
        <w:rPr>
          <w:rFonts w:cs="Tahoma"/>
          <w:lang w:val="it-IT"/>
        </w:rPr>
        <w:t xml:space="preserve"> 2012 Enterprise Core (2 Licenze Core per confezione)</w:t>
      </w:r>
      <w:r w:rsidRPr="00707E03">
        <w:tab/>
      </w:r>
      <w:r w:rsidRPr="00707E03">
        <w:fldChar w:fldCharType="begin"/>
      </w:r>
      <w:r w:rsidRPr="00707E03">
        <w:instrText xml:space="preserve"> PAGEREF _Toc352234663 \h </w:instrText>
      </w:r>
      <w:r w:rsidRPr="00707E03">
        <w:fldChar w:fldCharType="separate"/>
      </w:r>
      <w:r w:rsidRPr="00707E03">
        <w:t>23</w:t>
      </w:r>
      <w:r w:rsidRPr="00707E03">
        <w:fldChar w:fldCharType="end"/>
      </w:r>
    </w:p>
    <w:p w:rsidR="00707E03" w:rsidRPr="00707E03" w:rsidRDefault="00707E03">
      <w:pPr>
        <w:pStyle w:val="TOC2"/>
        <w:rPr>
          <w:rFonts w:asciiTheme="minorHAnsi" w:eastAsiaTheme="minorEastAsia" w:hAnsiTheme="minorHAnsi" w:cstheme="minorBidi"/>
          <w:sz w:val="22"/>
          <w:szCs w:val="22"/>
        </w:rPr>
      </w:pPr>
      <w:r w:rsidRPr="00707E03">
        <w:rPr>
          <w:rFonts w:cs="Tahoma"/>
        </w:rPr>
        <w:t>SQL Server</w:t>
      </w:r>
      <w:r w:rsidRPr="00707E03">
        <w:rPr>
          <w:rFonts w:eastAsia="Times New Roman" w:cs="Tahoma"/>
          <w:vertAlign w:val="superscript"/>
        </w:rPr>
        <w:t>®</w:t>
      </w:r>
      <w:r w:rsidRPr="00707E03">
        <w:rPr>
          <w:rFonts w:cs="Tahoma"/>
        </w:rPr>
        <w:t xml:space="preserve"> 2012 Parallel Data Warehouse</w:t>
      </w:r>
      <w:r w:rsidRPr="00707E03">
        <w:tab/>
      </w:r>
      <w:r w:rsidRPr="00707E03">
        <w:fldChar w:fldCharType="begin"/>
      </w:r>
      <w:r w:rsidRPr="00707E03">
        <w:instrText xml:space="preserve"> PAGEREF _Toc352234664 \h </w:instrText>
      </w:r>
      <w:r w:rsidRPr="00707E03">
        <w:fldChar w:fldCharType="separate"/>
      </w:r>
      <w:r w:rsidRPr="00707E03">
        <w:t>23</w:t>
      </w:r>
      <w:r w:rsidRPr="00707E03">
        <w:fldChar w:fldCharType="end"/>
      </w:r>
    </w:p>
    <w:p w:rsidR="00707E03" w:rsidRPr="00707E03" w:rsidRDefault="00707E03">
      <w:pPr>
        <w:pStyle w:val="TOC2"/>
        <w:rPr>
          <w:rFonts w:asciiTheme="minorHAnsi" w:eastAsiaTheme="minorEastAsia" w:hAnsiTheme="minorHAnsi" w:cstheme="minorBidi"/>
          <w:sz w:val="22"/>
          <w:szCs w:val="22"/>
        </w:rPr>
      </w:pPr>
      <w:r w:rsidRPr="00707E03">
        <w:rPr>
          <w:rFonts w:cs="Tahoma"/>
        </w:rPr>
        <w:t>SQL Server</w:t>
      </w:r>
      <w:r w:rsidRPr="00707E03">
        <w:rPr>
          <w:rFonts w:eastAsia="Times New Roman" w:cs="Tahoma"/>
          <w:vertAlign w:val="superscript"/>
        </w:rPr>
        <w:t>®</w:t>
      </w:r>
      <w:r w:rsidRPr="00707E03">
        <w:rPr>
          <w:rFonts w:cs="Tahoma"/>
        </w:rPr>
        <w:t xml:space="preserve"> 2012 Parallel Data Warehouse Developer</w:t>
      </w:r>
      <w:r w:rsidRPr="00707E03">
        <w:tab/>
      </w:r>
      <w:r w:rsidRPr="00707E03">
        <w:fldChar w:fldCharType="begin"/>
      </w:r>
      <w:r w:rsidRPr="00707E03">
        <w:instrText xml:space="preserve"> PAGEREF _Toc352234665 \h </w:instrText>
      </w:r>
      <w:r w:rsidRPr="00707E03">
        <w:fldChar w:fldCharType="separate"/>
      </w:r>
      <w:r w:rsidRPr="00707E03">
        <w:t>23</w:t>
      </w:r>
      <w:r w:rsidRPr="00707E03">
        <w:fldChar w:fldCharType="end"/>
      </w:r>
    </w:p>
    <w:p w:rsidR="00707E03" w:rsidRPr="00707E03" w:rsidRDefault="00707E03">
      <w:pPr>
        <w:pStyle w:val="TOC2"/>
        <w:rPr>
          <w:rFonts w:asciiTheme="minorHAnsi" w:eastAsiaTheme="minorEastAsia" w:hAnsiTheme="minorHAnsi" w:cstheme="minorBidi"/>
          <w:sz w:val="22"/>
          <w:szCs w:val="22"/>
        </w:rPr>
      </w:pPr>
      <w:r w:rsidRPr="00707E03">
        <w:rPr>
          <w:rFonts w:cs="Tahoma"/>
        </w:rPr>
        <w:t>SQL Server</w:t>
      </w:r>
      <w:r w:rsidRPr="00707E03">
        <w:rPr>
          <w:rFonts w:eastAsia="Times New Roman" w:cs="Tahoma"/>
          <w:vertAlign w:val="superscript"/>
        </w:rPr>
        <w:t>®</w:t>
      </w:r>
      <w:r w:rsidRPr="00707E03">
        <w:rPr>
          <w:rFonts w:cs="Tahoma"/>
        </w:rPr>
        <w:t xml:space="preserve"> 2012 Standard</w:t>
      </w:r>
      <w:r w:rsidRPr="00707E03">
        <w:tab/>
      </w:r>
      <w:r w:rsidRPr="00707E03">
        <w:fldChar w:fldCharType="begin"/>
      </w:r>
      <w:r w:rsidRPr="00707E03">
        <w:instrText xml:space="preserve"> PAGEREF _Toc352234666 \h </w:instrText>
      </w:r>
      <w:r w:rsidRPr="00707E03">
        <w:fldChar w:fldCharType="separate"/>
      </w:r>
      <w:r w:rsidRPr="00707E03">
        <w:t>23</w:t>
      </w:r>
      <w:r w:rsidRPr="00707E03">
        <w:fldChar w:fldCharType="end"/>
      </w:r>
    </w:p>
    <w:p w:rsidR="00707E03" w:rsidRPr="00707E03" w:rsidRDefault="00707E03">
      <w:pPr>
        <w:pStyle w:val="TOC2"/>
        <w:rPr>
          <w:rFonts w:asciiTheme="minorHAnsi" w:eastAsiaTheme="minorEastAsia" w:hAnsiTheme="minorHAnsi" w:cstheme="minorBidi"/>
          <w:sz w:val="22"/>
          <w:szCs w:val="22"/>
        </w:rPr>
      </w:pPr>
      <w:r w:rsidRPr="00707E03">
        <w:rPr>
          <w:rFonts w:cs="Tahoma"/>
          <w:lang w:val="it-IT"/>
        </w:rPr>
        <w:t>SQL Server</w:t>
      </w:r>
      <w:r w:rsidRPr="00707E03">
        <w:rPr>
          <w:rFonts w:eastAsia="Times New Roman" w:cs="Tahoma"/>
          <w:vertAlign w:val="superscript"/>
          <w:lang w:val="it-IT"/>
        </w:rPr>
        <w:t>®</w:t>
      </w:r>
      <w:r w:rsidRPr="00707E03">
        <w:rPr>
          <w:rFonts w:cs="Tahoma"/>
          <w:lang w:val="it-IT"/>
        </w:rPr>
        <w:t xml:space="preserve"> 2012 Standard Core (2 Licenze Core per confezione)</w:t>
      </w:r>
      <w:r w:rsidRPr="00707E03">
        <w:tab/>
      </w:r>
      <w:r w:rsidRPr="00707E03">
        <w:fldChar w:fldCharType="begin"/>
      </w:r>
      <w:r w:rsidRPr="00707E03">
        <w:instrText xml:space="preserve"> PAGEREF _Toc352234667 \h </w:instrText>
      </w:r>
      <w:r w:rsidRPr="00707E03">
        <w:fldChar w:fldCharType="separate"/>
      </w:r>
      <w:r w:rsidRPr="00707E03">
        <w:t>23</w:t>
      </w:r>
      <w:r w:rsidRPr="00707E03">
        <w:fldChar w:fldCharType="end"/>
      </w:r>
    </w:p>
    <w:p w:rsidR="00707E03" w:rsidRPr="00707E03" w:rsidRDefault="00707E03">
      <w:pPr>
        <w:pStyle w:val="TOC2"/>
        <w:rPr>
          <w:rFonts w:asciiTheme="minorHAnsi" w:eastAsiaTheme="minorEastAsia" w:hAnsiTheme="minorHAnsi" w:cstheme="minorBidi"/>
          <w:sz w:val="22"/>
          <w:szCs w:val="22"/>
        </w:rPr>
      </w:pPr>
      <w:r w:rsidRPr="00707E03">
        <w:rPr>
          <w:rFonts w:cs="Tahoma"/>
          <w:lang w:val="it-IT"/>
        </w:rPr>
        <w:t>Licenza di Gestione Server Enterprise per System Center Configuration Manager 2007 R3</w:t>
      </w:r>
      <w:r w:rsidRPr="00707E03">
        <w:tab/>
      </w:r>
      <w:r w:rsidRPr="00707E03">
        <w:fldChar w:fldCharType="begin"/>
      </w:r>
      <w:r w:rsidRPr="00707E03">
        <w:instrText xml:space="preserve"> PAGEREF _Toc352234668 \h </w:instrText>
      </w:r>
      <w:r w:rsidRPr="00707E03">
        <w:fldChar w:fldCharType="separate"/>
      </w:r>
      <w:r w:rsidRPr="00707E03">
        <w:t>23</w:t>
      </w:r>
      <w:r w:rsidRPr="00707E03">
        <w:fldChar w:fldCharType="end"/>
      </w:r>
    </w:p>
    <w:p w:rsidR="00707E03" w:rsidRPr="00707E03" w:rsidRDefault="00707E03">
      <w:pPr>
        <w:pStyle w:val="TOC2"/>
        <w:rPr>
          <w:rFonts w:asciiTheme="minorHAnsi" w:eastAsiaTheme="minorEastAsia" w:hAnsiTheme="minorHAnsi" w:cstheme="minorBidi"/>
          <w:sz w:val="22"/>
          <w:szCs w:val="22"/>
        </w:rPr>
      </w:pPr>
      <w:r w:rsidRPr="00707E03">
        <w:rPr>
          <w:rFonts w:cs="Tahoma"/>
          <w:lang w:val="it-IT"/>
        </w:rPr>
        <w:t>Licenza di Gestione Server Standard (Standard Server ML) per System Center Configuration Manager 2007 R3</w:t>
      </w:r>
      <w:r w:rsidRPr="00707E03">
        <w:tab/>
      </w:r>
      <w:r w:rsidRPr="00707E03">
        <w:fldChar w:fldCharType="begin"/>
      </w:r>
      <w:r w:rsidRPr="00707E03">
        <w:instrText xml:space="preserve"> PAGEREF _Toc352234669 \h </w:instrText>
      </w:r>
      <w:r w:rsidRPr="00707E03">
        <w:fldChar w:fldCharType="separate"/>
      </w:r>
      <w:r w:rsidRPr="00707E03">
        <w:t>23</w:t>
      </w:r>
      <w:r w:rsidRPr="00707E03">
        <w:fldChar w:fldCharType="end"/>
      </w:r>
    </w:p>
    <w:p w:rsidR="00707E03" w:rsidRPr="00707E03" w:rsidRDefault="00707E03">
      <w:pPr>
        <w:pStyle w:val="TOC2"/>
        <w:rPr>
          <w:rFonts w:asciiTheme="minorHAnsi" w:eastAsiaTheme="minorEastAsia" w:hAnsiTheme="minorHAnsi" w:cstheme="minorBidi"/>
          <w:sz w:val="22"/>
          <w:szCs w:val="22"/>
        </w:rPr>
      </w:pPr>
      <w:r w:rsidRPr="00707E03">
        <w:rPr>
          <w:rFonts w:cs="Tahoma"/>
          <w:lang w:val="it-IT"/>
        </w:rPr>
        <w:t>Licenza di Gestione Server Enterprise per System Center Data Protection Manager 2010</w:t>
      </w:r>
      <w:r w:rsidRPr="00707E03">
        <w:tab/>
      </w:r>
      <w:r w:rsidRPr="00707E03">
        <w:fldChar w:fldCharType="begin"/>
      </w:r>
      <w:r w:rsidRPr="00707E03">
        <w:instrText xml:space="preserve"> PAGEREF _Toc352234670 \h </w:instrText>
      </w:r>
      <w:r w:rsidRPr="00707E03">
        <w:fldChar w:fldCharType="separate"/>
      </w:r>
      <w:r w:rsidRPr="00707E03">
        <w:t>23</w:t>
      </w:r>
      <w:r w:rsidRPr="00707E03">
        <w:fldChar w:fldCharType="end"/>
      </w:r>
    </w:p>
    <w:p w:rsidR="00707E03" w:rsidRPr="00707E03" w:rsidRDefault="00707E03">
      <w:pPr>
        <w:pStyle w:val="TOC2"/>
        <w:rPr>
          <w:rFonts w:asciiTheme="minorHAnsi" w:eastAsiaTheme="minorEastAsia" w:hAnsiTheme="minorHAnsi" w:cstheme="minorBidi"/>
          <w:sz w:val="22"/>
          <w:szCs w:val="22"/>
        </w:rPr>
      </w:pPr>
      <w:r w:rsidRPr="00707E03">
        <w:rPr>
          <w:rFonts w:cs="Tahoma"/>
          <w:lang w:val="it-IT"/>
        </w:rPr>
        <w:t>Licenza di Gestione Server Standard per System Center Data Protection Manager 2010</w:t>
      </w:r>
      <w:r w:rsidRPr="00707E03">
        <w:tab/>
      </w:r>
      <w:r w:rsidRPr="00707E03">
        <w:fldChar w:fldCharType="begin"/>
      </w:r>
      <w:r w:rsidRPr="00707E03">
        <w:instrText xml:space="preserve"> PAGEREF _Toc352234671 \h </w:instrText>
      </w:r>
      <w:r w:rsidRPr="00707E03">
        <w:fldChar w:fldCharType="separate"/>
      </w:r>
      <w:r w:rsidRPr="00707E03">
        <w:t>23</w:t>
      </w:r>
      <w:r w:rsidRPr="00707E03">
        <w:fldChar w:fldCharType="end"/>
      </w:r>
    </w:p>
    <w:p w:rsidR="00707E03" w:rsidRPr="00707E03" w:rsidRDefault="00707E03">
      <w:pPr>
        <w:pStyle w:val="TOC2"/>
        <w:rPr>
          <w:rFonts w:asciiTheme="minorHAnsi" w:eastAsiaTheme="minorEastAsia" w:hAnsiTheme="minorHAnsi" w:cstheme="minorBidi"/>
          <w:sz w:val="22"/>
          <w:szCs w:val="22"/>
        </w:rPr>
      </w:pPr>
      <w:r w:rsidRPr="00707E03">
        <w:rPr>
          <w:rFonts w:cs="Tahoma"/>
        </w:rPr>
        <w:t>System Center Essentials 2010</w:t>
      </w:r>
      <w:r w:rsidRPr="00707E03">
        <w:tab/>
      </w:r>
      <w:r w:rsidRPr="00707E03">
        <w:fldChar w:fldCharType="begin"/>
      </w:r>
      <w:r w:rsidRPr="00707E03">
        <w:instrText xml:space="preserve"> PAGEREF _Toc352234672 \h </w:instrText>
      </w:r>
      <w:r w:rsidRPr="00707E03">
        <w:fldChar w:fldCharType="separate"/>
      </w:r>
      <w:r w:rsidRPr="00707E03">
        <w:t>23</w:t>
      </w:r>
      <w:r w:rsidRPr="00707E03">
        <w:fldChar w:fldCharType="end"/>
      </w:r>
    </w:p>
    <w:p w:rsidR="00707E03" w:rsidRPr="00707E03" w:rsidRDefault="00707E03">
      <w:pPr>
        <w:pStyle w:val="TOC2"/>
        <w:rPr>
          <w:rFonts w:asciiTheme="minorHAnsi" w:eastAsiaTheme="minorEastAsia" w:hAnsiTheme="minorHAnsi" w:cstheme="minorBidi"/>
          <w:sz w:val="22"/>
          <w:szCs w:val="22"/>
        </w:rPr>
      </w:pPr>
      <w:r w:rsidRPr="00707E03">
        <w:rPr>
          <w:rFonts w:cs="Tahoma"/>
        </w:rPr>
        <w:t>Client ML per System Center Essentials 2010</w:t>
      </w:r>
      <w:r w:rsidRPr="00707E03">
        <w:tab/>
      </w:r>
      <w:r w:rsidRPr="00707E03">
        <w:fldChar w:fldCharType="begin"/>
      </w:r>
      <w:r w:rsidRPr="00707E03">
        <w:instrText xml:space="preserve"> PAGEREF _Toc352234673 \h </w:instrText>
      </w:r>
      <w:r w:rsidRPr="00707E03">
        <w:fldChar w:fldCharType="separate"/>
      </w:r>
      <w:r w:rsidRPr="00707E03">
        <w:t>23</w:t>
      </w:r>
      <w:r w:rsidRPr="00707E03">
        <w:fldChar w:fldCharType="end"/>
      </w:r>
    </w:p>
    <w:p w:rsidR="00707E03" w:rsidRPr="00707E03" w:rsidRDefault="00707E03">
      <w:pPr>
        <w:pStyle w:val="TOC2"/>
        <w:rPr>
          <w:rFonts w:asciiTheme="minorHAnsi" w:eastAsiaTheme="minorEastAsia" w:hAnsiTheme="minorHAnsi" w:cstheme="minorBidi"/>
          <w:sz w:val="22"/>
          <w:szCs w:val="22"/>
        </w:rPr>
      </w:pPr>
      <w:r w:rsidRPr="00707E03">
        <w:rPr>
          <w:rFonts w:cs="Tahoma"/>
        </w:rPr>
        <w:t>Server ML per System Center Essentials 2010</w:t>
      </w:r>
      <w:r w:rsidRPr="00707E03">
        <w:tab/>
      </w:r>
      <w:r w:rsidRPr="00707E03">
        <w:fldChar w:fldCharType="begin"/>
      </w:r>
      <w:r w:rsidRPr="00707E03">
        <w:instrText xml:space="preserve"> PAGEREF _Toc352234674 \h </w:instrText>
      </w:r>
      <w:r w:rsidRPr="00707E03">
        <w:fldChar w:fldCharType="separate"/>
      </w:r>
      <w:r w:rsidRPr="00707E03">
        <w:t>23</w:t>
      </w:r>
      <w:r w:rsidRPr="00707E03">
        <w:fldChar w:fldCharType="end"/>
      </w:r>
    </w:p>
    <w:p w:rsidR="00707E03" w:rsidRPr="00707E03" w:rsidRDefault="00707E03">
      <w:pPr>
        <w:pStyle w:val="TOC2"/>
        <w:rPr>
          <w:rFonts w:asciiTheme="minorHAnsi" w:eastAsiaTheme="minorEastAsia" w:hAnsiTheme="minorHAnsi" w:cstheme="minorBidi"/>
          <w:sz w:val="22"/>
          <w:szCs w:val="22"/>
        </w:rPr>
      </w:pPr>
      <w:r w:rsidRPr="00707E03">
        <w:rPr>
          <w:rFonts w:cs="Tahoma"/>
        </w:rPr>
        <w:t>System Center Essentials 2010 con Tecnologia SQL Server 2008</w:t>
      </w:r>
      <w:r w:rsidRPr="00707E03">
        <w:tab/>
      </w:r>
      <w:r w:rsidRPr="00707E03">
        <w:fldChar w:fldCharType="begin"/>
      </w:r>
      <w:r w:rsidRPr="00707E03">
        <w:instrText xml:space="preserve"> PAGEREF _Toc352234675 \h </w:instrText>
      </w:r>
      <w:r w:rsidRPr="00707E03">
        <w:fldChar w:fldCharType="separate"/>
      </w:r>
      <w:r w:rsidRPr="00707E03">
        <w:t>23</w:t>
      </w:r>
      <w:r w:rsidRPr="00707E03">
        <w:fldChar w:fldCharType="end"/>
      </w:r>
    </w:p>
    <w:p w:rsidR="00707E03" w:rsidRPr="00707E03" w:rsidRDefault="00707E03">
      <w:pPr>
        <w:pStyle w:val="TOC2"/>
        <w:rPr>
          <w:rFonts w:asciiTheme="minorHAnsi" w:eastAsiaTheme="minorEastAsia" w:hAnsiTheme="minorHAnsi" w:cstheme="minorBidi"/>
          <w:sz w:val="22"/>
          <w:szCs w:val="22"/>
        </w:rPr>
      </w:pPr>
      <w:r w:rsidRPr="00707E03">
        <w:rPr>
          <w:rFonts w:cs="Tahoma"/>
          <w:lang w:val="it-IT"/>
        </w:rPr>
        <w:t>Suite di Licenza di Gestione Client per System Center Essentials Plus 2010</w:t>
      </w:r>
      <w:r w:rsidRPr="00707E03">
        <w:tab/>
      </w:r>
      <w:r w:rsidRPr="00707E03">
        <w:fldChar w:fldCharType="begin"/>
      </w:r>
      <w:r w:rsidRPr="00707E03">
        <w:instrText xml:space="preserve"> PAGEREF _Toc352234676 \h </w:instrText>
      </w:r>
      <w:r w:rsidRPr="00707E03">
        <w:fldChar w:fldCharType="separate"/>
      </w:r>
      <w:r w:rsidRPr="00707E03">
        <w:t>23</w:t>
      </w:r>
      <w:r w:rsidRPr="00707E03">
        <w:fldChar w:fldCharType="end"/>
      </w:r>
    </w:p>
    <w:p w:rsidR="00707E03" w:rsidRPr="00707E03" w:rsidRDefault="00707E03">
      <w:pPr>
        <w:pStyle w:val="TOC2"/>
        <w:rPr>
          <w:rFonts w:asciiTheme="minorHAnsi" w:eastAsiaTheme="minorEastAsia" w:hAnsiTheme="minorHAnsi" w:cstheme="minorBidi"/>
          <w:sz w:val="22"/>
          <w:szCs w:val="22"/>
        </w:rPr>
      </w:pPr>
      <w:r w:rsidRPr="00707E03">
        <w:rPr>
          <w:rFonts w:cs="Tahoma"/>
          <w:lang w:val="it-IT"/>
        </w:rPr>
        <w:t>Licenza di Gestione Server Standard per System Center Operations Manager 2007 R2</w:t>
      </w:r>
      <w:r w:rsidRPr="00707E03">
        <w:tab/>
      </w:r>
      <w:r w:rsidRPr="00707E03">
        <w:fldChar w:fldCharType="begin"/>
      </w:r>
      <w:r w:rsidRPr="00707E03">
        <w:instrText xml:space="preserve"> PAGEREF _Toc352234677 \h </w:instrText>
      </w:r>
      <w:r w:rsidRPr="00707E03">
        <w:fldChar w:fldCharType="separate"/>
      </w:r>
      <w:r w:rsidRPr="00707E03">
        <w:t>23</w:t>
      </w:r>
      <w:r w:rsidRPr="00707E03">
        <w:fldChar w:fldCharType="end"/>
      </w:r>
    </w:p>
    <w:p w:rsidR="00707E03" w:rsidRPr="00707E03" w:rsidRDefault="00707E03">
      <w:pPr>
        <w:pStyle w:val="TOC2"/>
        <w:rPr>
          <w:rFonts w:asciiTheme="minorHAnsi" w:eastAsiaTheme="minorEastAsia" w:hAnsiTheme="minorHAnsi" w:cstheme="minorBidi"/>
          <w:sz w:val="22"/>
          <w:szCs w:val="22"/>
        </w:rPr>
      </w:pPr>
      <w:r w:rsidRPr="00707E03">
        <w:rPr>
          <w:rFonts w:cs="Tahoma"/>
          <w:lang w:val="it-IT"/>
        </w:rPr>
        <w:lastRenderedPageBreak/>
        <w:t>Licenza di Gestione Server Enterprise per System Center Operations Manager 2007 R2</w:t>
      </w:r>
      <w:r w:rsidRPr="00707E03">
        <w:tab/>
      </w:r>
      <w:r w:rsidRPr="00707E03">
        <w:fldChar w:fldCharType="begin"/>
      </w:r>
      <w:r w:rsidRPr="00707E03">
        <w:instrText xml:space="preserve"> PAGEREF _Toc352234678 \h </w:instrText>
      </w:r>
      <w:r w:rsidRPr="00707E03">
        <w:fldChar w:fldCharType="separate"/>
      </w:r>
      <w:r w:rsidRPr="00707E03">
        <w:t>23</w:t>
      </w:r>
      <w:r w:rsidRPr="00707E03">
        <w:fldChar w:fldCharType="end"/>
      </w:r>
    </w:p>
    <w:p w:rsidR="00707E03" w:rsidRPr="00707E03" w:rsidRDefault="00707E03">
      <w:pPr>
        <w:pStyle w:val="TOC2"/>
        <w:rPr>
          <w:rFonts w:asciiTheme="minorHAnsi" w:eastAsiaTheme="minorEastAsia" w:hAnsiTheme="minorHAnsi" w:cstheme="minorBidi"/>
          <w:sz w:val="22"/>
          <w:szCs w:val="22"/>
        </w:rPr>
      </w:pPr>
      <w:r w:rsidRPr="00707E03">
        <w:rPr>
          <w:rFonts w:cs="Tahoma"/>
          <w:lang w:val="it-IT"/>
        </w:rPr>
        <w:t>Licenza di Gestione Client per OSE per System Center Operations Manager 2007 R2</w:t>
      </w:r>
      <w:r w:rsidRPr="00707E03">
        <w:tab/>
      </w:r>
      <w:r w:rsidRPr="00707E03">
        <w:fldChar w:fldCharType="begin"/>
      </w:r>
      <w:r w:rsidRPr="00707E03">
        <w:instrText xml:space="preserve"> PAGEREF _Toc352234679 \h </w:instrText>
      </w:r>
      <w:r w:rsidRPr="00707E03">
        <w:fldChar w:fldCharType="separate"/>
      </w:r>
      <w:r w:rsidRPr="00707E03">
        <w:t>23</w:t>
      </w:r>
      <w:r w:rsidRPr="00707E03">
        <w:fldChar w:fldCharType="end"/>
      </w:r>
    </w:p>
    <w:p w:rsidR="00707E03" w:rsidRPr="00707E03" w:rsidRDefault="00707E03">
      <w:pPr>
        <w:pStyle w:val="TOC2"/>
        <w:rPr>
          <w:rFonts w:asciiTheme="minorHAnsi" w:eastAsiaTheme="minorEastAsia" w:hAnsiTheme="minorHAnsi" w:cstheme="minorBidi"/>
          <w:sz w:val="22"/>
          <w:szCs w:val="22"/>
        </w:rPr>
      </w:pPr>
      <w:r w:rsidRPr="00707E03">
        <w:rPr>
          <w:rFonts w:cs="Tahoma"/>
          <w:lang w:val="it-IT"/>
        </w:rPr>
        <w:t>Licenza di Gestione Client per Utente per System Center Operations Manager 2007 R2</w:t>
      </w:r>
      <w:r w:rsidRPr="00707E03">
        <w:tab/>
      </w:r>
      <w:r w:rsidRPr="00707E03">
        <w:fldChar w:fldCharType="begin"/>
      </w:r>
      <w:r w:rsidRPr="00707E03">
        <w:instrText xml:space="preserve"> PAGEREF _Toc352234680 \h </w:instrText>
      </w:r>
      <w:r w:rsidRPr="00707E03">
        <w:fldChar w:fldCharType="separate"/>
      </w:r>
      <w:r w:rsidRPr="00707E03">
        <w:t>23</w:t>
      </w:r>
      <w:r w:rsidRPr="00707E03">
        <w:fldChar w:fldCharType="end"/>
      </w:r>
    </w:p>
    <w:p w:rsidR="00707E03" w:rsidRPr="00707E03" w:rsidRDefault="00707E03">
      <w:pPr>
        <w:pStyle w:val="TOC2"/>
        <w:rPr>
          <w:rFonts w:asciiTheme="minorHAnsi" w:eastAsiaTheme="minorEastAsia" w:hAnsiTheme="minorHAnsi" w:cstheme="minorBidi"/>
          <w:sz w:val="22"/>
          <w:szCs w:val="22"/>
        </w:rPr>
      </w:pPr>
      <w:r w:rsidRPr="00707E03">
        <w:rPr>
          <w:rFonts w:cs="Tahoma"/>
        </w:rPr>
        <w:t>System Center Reporting Manager 2006</w:t>
      </w:r>
      <w:r w:rsidRPr="00707E03">
        <w:tab/>
      </w:r>
      <w:r w:rsidRPr="00707E03">
        <w:fldChar w:fldCharType="begin"/>
      </w:r>
      <w:r w:rsidRPr="00707E03">
        <w:instrText xml:space="preserve"> PAGEREF _Toc352234681 \h </w:instrText>
      </w:r>
      <w:r w:rsidRPr="00707E03">
        <w:fldChar w:fldCharType="separate"/>
      </w:r>
      <w:r w:rsidRPr="00707E03">
        <w:t>23</w:t>
      </w:r>
      <w:r w:rsidRPr="00707E03">
        <w:fldChar w:fldCharType="end"/>
      </w:r>
    </w:p>
    <w:p w:rsidR="00707E03" w:rsidRPr="00707E03" w:rsidRDefault="00707E03">
      <w:pPr>
        <w:pStyle w:val="TOC2"/>
        <w:rPr>
          <w:rFonts w:asciiTheme="minorHAnsi" w:eastAsiaTheme="minorEastAsia" w:hAnsiTheme="minorHAnsi" w:cstheme="minorBidi"/>
          <w:sz w:val="22"/>
          <w:szCs w:val="22"/>
        </w:rPr>
      </w:pPr>
      <w:r w:rsidRPr="00707E03">
        <w:rPr>
          <w:rFonts w:cs="Tahoma"/>
        </w:rPr>
        <w:t>System Center Server Management Suite Enterprise</w:t>
      </w:r>
      <w:r w:rsidRPr="00707E03">
        <w:tab/>
      </w:r>
      <w:r w:rsidRPr="00707E03">
        <w:fldChar w:fldCharType="begin"/>
      </w:r>
      <w:r w:rsidRPr="00707E03">
        <w:instrText xml:space="preserve"> PAGEREF _Toc352234682 \h </w:instrText>
      </w:r>
      <w:r w:rsidRPr="00707E03">
        <w:fldChar w:fldCharType="separate"/>
      </w:r>
      <w:r w:rsidRPr="00707E03">
        <w:t>23</w:t>
      </w:r>
      <w:r w:rsidRPr="00707E03">
        <w:fldChar w:fldCharType="end"/>
      </w:r>
    </w:p>
    <w:p w:rsidR="00707E03" w:rsidRPr="00707E03" w:rsidRDefault="00707E03">
      <w:pPr>
        <w:pStyle w:val="TOC4"/>
        <w:rPr>
          <w:rFonts w:asciiTheme="minorHAnsi" w:eastAsiaTheme="minorEastAsia" w:hAnsiTheme="minorHAnsi" w:cstheme="minorBidi"/>
          <w:noProof/>
          <w:sz w:val="22"/>
          <w:szCs w:val="22"/>
        </w:rPr>
      </w:pPr>
      <w:r w:rsidRPr="00707E03">
        <w:rPr>
          <w:rFonts w:cs="Tahoma"/>
          <w:noProof/>
        </w:rPr>
        <w:t>System Center Server Management Suite Datacenter</w:t>
      </w:r>
      <w:r w:rsidRPr="00707E03">
        <w:rPr>
          <w:noProof/>
        </w:rPr>
        <w:tab/>
      </w:r>
      <w:r w:rsidRPr="00707E03">
        <w:rPr>
          <w:noProof/>
        </w:rPr>
        <w:fldChar w:fldCharType="begin"/>
      </w:r>
      <w:r w:rsidRPr="00707E03">
        <w:rPr>
          <w:noProof/>
        </w:rPr>
        <w:instrText xml:space="preserve"> PAGEREF _Toc352234683 \h </w:instrText>
      </w:r>
      <w:r w:rsidRPr="00707E03">
        <w:rPr>
          <w:noProof/>
        </w:rPr>
      </w:r>
      <w:r w:rsidRPr="00707E03">
        <w:rPr>
          <w:noProof/>
        </w:rPr>
        <w:fldChar w:fldCharType="separate"/>
      </w:r>
      <w:r w:rsidRPr="00707E03">
        <w:rPr>
          <w:noProof/>
        </w:rPr>
        <w:t>23</w:t>
      </w:r>
      <w:r w:rsidRPr="00707E03">
        <w:rPr>
          <w:noProof/>
        </w:rPr>
        <w:fldChar w:fldCharType="end"/>
      </w:r>
    </w:p>
    <w:p w:rsidR="00707E03" w:rsidRPr="00707E03" w:rsidRDefault="00707E03">
      <w:pPr>
        <w:pStyle w:val="TOC2"/>
        <w:rPr>
          <w:rFonts w:asciiTheme="minorHAnsi" w:eastAsiaTheme="minorEastAsia" w:hAnsiTheme="minorHAnsi" w:cstheme="minorBidi"/>
          <w:sz w:val="22"/>
          <w:szCs w:val="22"/>
        </w:rPr>
      </w:pPr>
      <w:r w:rsidRPr="00707E03">
        <w:rPr>
          <w:rFonts w:cs="Tahoma"/>
          <w:lang w:val="it-IT"/>
        </w:rPr>
        <w:t>Licenza di Gestione Client (Client ML) per OSE per System Center Service Manager 2010</w:t>
      </w:r>
      <w:r w:rsidRPr="00707E03">
        <w:tab/>
      </w:r>
      <w:r w:rsidRPr="00707E03">
        <w:fldChar w:fldCharType="begin"/>
      </w:r>
      <w:r w:rsidRPr="00707E03">
        <w:instrText xml:space="preserve"> PAGEREF _Toc352234684 \h </w:instrText>
      </w:r>
      <w:r w:rsidRPr="00707E03">
        <w:fldChar w:fldCharType="separate"/>
      </w:r>
      <w:r w:rsidRPr="00707E03">
        <w:t>23</w:t>
      </w:r>
      <w:r w:rsidRPr="00707E03">
        <w:fldChar w:fldCharType="end"/>
      </w:r>
    </w:p>
    <w:p w:rsidR="00707E03" w:rsidRPr="00707E03" w:rsidRDefault="00707E03">
      <w:pPr>
        <w:pStyle w:val="TOC2"/>
        <w:rPr>
          <w:rFonts w:asciiTheme="minorHAnsi" w:eastAsiaTheme="minorEastAsia" w:hAnsiTheme="minorHAnsi" w:cstheme="minorBidi"/>
          <w:sz w:val="22"/>
          <w:szCs w:val="22"/>
        </w:rPr>
      </w:pPr>
      <w:r w:rsidRPr="00707E03">
        <w:rPr>
          <w:rFonts w:cs="Tahoma"/>
          <w:lang w:val="it-IT"/>
        </w:rPr>
        <w:t>Licenza di Gestione Client (Client ML) per Utente per System Center Service Manager 2010</w:t>
      </w:r>
      <w:r w:rsidRPr="00707E03">
        <w:tab/>
      </w:r>
      <w:r w:rsidRPr="00707E03">
        <w:fldChar w:fldCharType="begin"/>
      </w:r>
      <w:r w:rsidRPr="00707E03">
        <w:instrText xml:space="preserve"> PAGEREF _Toc352234685 \h </w:instrText>
      </w:r>
      <w:r w:rsidRPr="00707E03">
        <w:fldChar w:fldCharType="separate"/>
      </w:r>
      <w:r w:rsidRPr="00707E03">
        <w:t>24</w:t>
      </w:r>
      <w:r w:rsidRPr="00707E03">
        <w:fldChar w:fldCharType="end"/>
      </w:r>
    </w:p>
    <w:p w:rsidR="00707E03" w:rsidRPr="00707E03" w:rsidRDefault="00707E03">
      <w:pPr>
        <w:pStyle w:val="TOC3"/>
        <w:rPr>
          <w:rFonts w:asciiTheme="minorHAnsi" w:eastAsiaTheme="minorEastAsia" w:hAnsiTheme="minorHAnsi" w:cstheme="minorBidi"/>
          <w:bCs w:val="0"/>
          <w:color w:val="auto"/>
          <w:sz w:val="22"/>
          <w:szCs w:val="22"/>
        </w:rPr>
      </w:pPr>
      <w:r w:rsidRPr="00707E03">
        <w:rPr>
          <w:color w:val="auto"/>
          <w:lang w:val="it-IT"/>
        </w:rPr>
        <w:t>Licenza di Gestione Server (Server ML) per OSE per System Center Service Manager 2010</w:t>
      </w:r>
      <w:r w:rsidRPr="00707E03">
        <w:rPr>
          <w:color w:val="auto"/>
        </w:rPr>
        <w:tab/>
      </w:r>
      <w:r w:rsidRPr="00707E03">
        <w:rPr>
          <w:color w:val="auto"/>
        </w:rPr>
        <w:fldChar w:fldCharType="begin"/>
      </w:r>
      <w:r w:rsidRPr="00707E03">
        <w:rPr>
          <w:color w:val="auto"/>
        </w:rPr>
        <w:instrText xml:space="preserve"> PAGEREF _Toc352234686 \h </w:instrText>
      </w:r>
      <w:r w:rsidRPr="00707E03">
        <w:rPr>
          <w:color w:val="auto"/>
        </w:rPr>
      </w:r>
      <w:r w:rsidRPr="00707E03">
        <w:rPr>
          <w:color w:val="auto"/>
        </w:rPr>
        <w:fldChar w:fldCharType="separate"/>
      </w:r>
      <w:r w:rsidRPr="00707E03">
        <w:rPr>
          <w:color w:val="auto"/>
        </w:rPr>
        <w:t>24</w:t>
      </w:r>
      <w:r w:rsidRPr="00707E03">
        <w:rPr>
          <w:color w:val="auto"/>
        </w:rPr>
        <w:fldChar w:fldCharType="end"/>
      </w:r>
    </w:p>
    <w:p w:rsidR="00707E03" w:rsidRPr="00707E03" w:rsidRDefault="00707E03">
      <w:pPr>
        <w:pStyle w:val="TOC2"/>
        <w:rPr>
          <w:rFonts w:asciiTheme="minorHAnsi" w:eastAsiaTheme="minorEastAsia" w:hAnsiTheme="minorHAnsi" w:cstheme="minorBidi"/>
          <w:sz w:val="22"/>
          <w:szCs w:val="22"/>
        </w:rPr>
      </w:pPr>
      <w:r w:rsidRPr="00707E03">
        <w:rPr>
          <w:rFonts w:cs="Tahoma"/>
          <w:lang w:val="it-IT"/>
        </w:rPr>
        <w:t>Licenza di Gestione Client per OSE per System Center Virtual Machine Manager 2008 R2</w:t>
      </w:r>
      <w:r w:rsidRPr="00707E03">
        <w:tab/>
      </w:r>
      <w:r w:rsidRPr="00707E03">
        <w:fldChar w:fldCharType="begin"/>
      </w:r>
      <w:r w:rsidRPr="00707E03">
        <w:instrText xml:space="preserve"> PAGEREF _Toc352234687 \h </w:instrText>
      </w:r>
      <w:r w:rsidRPr="00707E03">
        <w:fldChar w:fldCharType="separate"/>
      </w:r>
      <w:r w:rsidRPr="00707E03">
        <w:t>24</w:t>
      </w:r>
      <w:r w:rsidRPr="00707E03">
        <w:fldChar w:fldCharType="end"/>
      </w:r>
    </w:p>
    <w:p w:rsidR="00707E03" w:rsidRPr="00707E03" w:rsidRDefault="00707E03">
      <w:pPr>
        <w:pStyle w:val="TOC2"/>
        <w:rPr>
          <w:rFonts w:asciiTheme="minorHAnsi" w:eastAsiaTheme="minorEastAsia" w:hAnsiTheme="minorHAnsi" w:cstheme="minorBidi"/>
          <w:sz w:val="22"/>
          <w:szCs w:val="22"/>
        </w:rPr>
      </w:pPr>
      <w:r w:rsidRPr="00707E03">
        <w:rPr>
          <w:rFonts w:cs="Tahoma"/>
          <w:lang w:val="it-IT"/>
        </w:rPr>
        <w:t>Licenza di Gestione Client per Utente per System Center Virtual Machine Manager 2008 R2</w:t>
      </w:r>
      <w:r w:rsidRPr="00707E03">
        <w:tab/>
      </w:r>
      <w:r w:rsidRPr="00707E03">
        <w:fldChar w:fldCharType="begin"/>
      </w:r>
      <w:r w:rsidRPr="00707E03">
        <w:instrText xml:space="preserve"> PAGEREF _Toc352234688 \h </w:instrText>
      </w:r>
      <w:r w:rsidRPr="00707E03">
        <w:fldChar w:fldCharType="separate"/>
      </w:r>
      <w:r w:rsidRPr="00707E03">
        <w:t>24</w:t>
      </w:r>
      <w:r w:rsidRPr="00707E03">
        <w:fldChar w:fldCharType="end"/>
      </w:r>
    </w:p>
    <w:p w:rsidR="00707E03" w:rsidRPr="00707E03" w:rsidRDefault="00707E03">
      <w:pPr>
        <w:pStyle w:val="TOC2"/>
        <w:rPr>
          <w:rFonts w:asciiTheme="minorHAnsi" w:eastAsiaTheme="minorEastAsia" w:hAnsiTheme="minorHAnsi" w:cstheme="minorBidi"/>
          <w:sz w:val="22"/>
          <w:szCs w:val="22"/>
        </w:rPr>
      </w:pPr>
      <w:r w:rsidRPr="00707E03">
        <w:rPr>
          <w:rFonts w:cs="Tahoma"/>
          <w:lang w:val="it-IT"/>
        </w:rPr>
        <w:t>Licenza di Gestione Server per System Center Virtual Machine Manager 2008 R2 Enterprise</w:t>
      </w:r>
      <w:r w:rsidRPr="00707E03">
        <w:tab/>
      </w:r>
      <w:r w:rsidRPr="00707E03">
        <w:fldChar w:fldCharType="begin"/>
      </w:r>
      <w:r w:rsidRPr="00707E03">
        <w:instrText xml:space="preserve"> PAGEREF _Toc352234689 \h </w:instrText>
      </w:r>
      <w:r w:rsidRPr="00707E03">
        <w:fldChar w:fldCharType="separate"/>
      </w:r>
      <w:r w:rsidRPr="00707E03">
        <w:t>24</w:t>
      </w:r>
      <w:r w:rsidRPr="00707E03">
        <w:fldChar w:fldCharType="end"/>
      </w:r>
    </w:p>
    <w:p w:rsidR="00707E03" w:rsidRPr="00707E03" w:rsidRDefault="00707E03">
      <w:pPr>
        <w:pStyle w:val="TOC2"/>
        <w:rPr>
          <w:rFonts w:asciiTheme="minorHAnsi" w:eastAsiaTheme="minorEastAsia" w:hAnsiTheme="minorHAnsi" w:cstheme="minorBidi"/>
          <w:sz w:val="22"/>
          <w:szCs w:val="22"/>
        </w:rPr>
      </w:pPr>
      <w:r w:rsidRPr="00707E03">
        <w:rPr>
          <w:rFonts w:cs="Tahoma"/>
          <w:lang w:val="fr-FR"/>
        </w:rPr>
        <w:t>System Center 2012 Client Management Suite (Client ML) per OSE</w:t>
      </w:r>
      <w:r w:rsidRPr="00707E03">
        <w:tab/>
      </w:r>
      <w:r w:rsidRPr="00707E03">
        <w:fldChar w:fldCharType="begin"/>
      </w:r>
      <w:r w:rsidRPr="00707E03">
        <w:instrText xml:space="preserve"> PAGEREF _Toc352234690 \h </w:instrText>
      </w:r>
      <w:r w:rsidRPr="00707E03">
        <w:fldChar w:fldCharType="separate"/>
      </w:r>
      <w:r w:rsidRPr="00707E03">
        <w:t>24</w:t>
      </w:r>
      <w:r w:rsidRPr="00707E03">
        <w:fldChar w:fldCharType="end"/>
      </w:r>
    </w:p>
    <w:p w:rsidR="00707E03" w:rsidRPr="00707E03" w:rsidRDefault="00707E03">
      <w:pPr>
        <w:pStyle w:val="TOC2"/>
        <w:rPr>
          <w:rFonts w:asciiTheme="minorHAnsi" w:eastAsiaTheme="minorEastAsia" w:hAnsiTheme="minorHAnsi" w:cstheme="minorBidi"/>
          <w:sz w:val="22"/>
          <w:szCs w:val="22"/>
        </w:rPr>
      </w:pPr>
      <w:r w:rsidRPr="00707E03">
        <w:rPr>
          <w:rFonts w:cs="Tahoma"/>
          <w:lang w:val="fr-FR"/>
        </w:rPr>
        <w:t>System Center 2012 Client Management Suite (Client ML) per Utente</w:t>
      </w:r>
      <w:r w:rsidRPr="00707E03">
        <w:tab/>
      </w:r>
      <w:r w:rsidRPr="00707E03">
        <w:fldChar w:fldCharType="begin"/>
      </w:r>
      <w:r w:rsidRPr="00707E03">
        <w:instrText xml:space="preserve"> PAGEREF _Toc352234691 \h </w:instrText>
      </w:r>
      <w:r w:rsidRPr="00707E03">
        <w:fldChar w:fldCharType="separate"/>
      </w:r>
      <w:r w:rsidRPr="00707E03">
        <w:t>24</w:t>
      </w:r>
      <w:r w:rsidRPr="00707E03">
        <w:fldChar w:fldCharType="end"/>
      </w:r>
    </w:p>
    <w:p w:rsidR="00707E03" w:rsidRPr="00707E03" w:rsidRDefault="00707E03">
      <w:pPr>
        <w:pStyle w:val="TOC2"/>
        <w:rPr>
          <w:rFonts w:asciiTheme="minorHAnsi" w:eastAsiaTheme="minorEastAsia" w:hAnsiTheme="minorHAnsi" w:cstheme="minorBidi"/>
          <w:sz w:val="22"/>
          <w:szCs w:val="22"/>
        </w:rPr>
      </w:pPr>
      <w:r w:rsidRPr="00707E03">
        <w:rPr>
          <w:rFonts w:cs="Tahoma"/>
          <w:lang w:val="it-IT"/>
        </w:rPr>
        <w:t>Licenza di Gestione Client (Client ML) per System Center 2012 Configuration Manager (Solo Studenti)</w:t>
      </w:r>
      <w:r w:rsidRPr="00707E03">
        <w:tab/>
      </w:r>
      <w:r w:rsidRPr="00707E03">
        <w:fldChar w:fldCharType="begin"/>
      </w:r>
      <w:r w:rsidRPr="00707E03">
        <w:instrText xml:space="preserve"> PAGEREF _Toc352234692 \h </w:instrText>
      </w:r>
      <w:r w:rsidRPr="00707E03">
        <w:fldChar w:fldCharType="separate"/>
      </w:r>
      <w:r w:rsidRPr="00707E03">
        <w:t>24</w:t>
      </w:r>
      <w:r w:rsidRPr="00707E03">
        <w:fldChar w:fldCharType="end"/>
      </w:r>
    </w:p>
    <w:p w:rsidR="00707E03" w:rsidRPr="00707E03" w:rsidRDefault="00707E03">
      <w:pPr>
        <w:pStyle w:val="TOC2"/>
        <w:rPr>
          <w:rFonts w:asciiTheme="minorHAnsi" w:eastAsiaTheme="minorEastAsia" w:hAnsiTheme="minorHAnsi" w:cstheme="minorBidi"/>
          <w:sz w:val="22"/>
          <w:szCs w:val="22"/>
        </w:rPr>
      </w:pPr>
      <w:r w:rsidRPr="00707E03">
        <w:rPr>
          <w:rFonts w:cs="Tahoma"/>
          <w:lang w:val="it-IT"/>
        </w:rPr>
        <w:t>Licenza di Gestione Client per OSE per System Center 2012 Configuration Manager</w:t>
      </w:r>
      <w:r w:rsidRPr="00707E03">
        <w:tab/>
      </w:r>
      <w:r w:rsidRPr="00707E03">
        <w:fldChar w:fldCharType="begin"/>
      </w:r>
      <w:r w:rsidRPr="00707E03">
        <w:instrText xml:space="preserve"> PAGEREF _Toc352234693 \h </w:instrText>
      </w:r>
      <w:r w:rsidRPr="00707E03">
        <w:fldChar w:fldCharType="separate"/>
      </w:r>
      <w:r w:rsidRPr="00707E03">
        <w:t>24</w:t>
      </w:r>
      <w:r w:rsidRPr="00707E03">
        <w:fldChar w:fldCharType="end"/>
      </w:r>
    </w:p>
    <w:p w:rsidR="00707E03" w:rsidRPr="00707E03" w:rsidRDefault="00707E03">
      <w:pPr>
        <w:pStyle w:val="TOC2"/>
        <w:rPr>
          <w:rFonts w:asciiTheme="minorHAnsi" w:eastAsiaTheme="minorEastAsia" w:hAnsiTheme="minorHAnsi" w:cstheme="minorBidi"/>
          <w:sz w:val="22"/>
          <w:szCs w:val="22"/>
        </w:rPr>
      </w:pPr>
      <w:r w:rsidRPr="00707E03">
        <w:rPr>
          <w:rFonts w:cs="Tahoma"/>
          <w:lang w:val="it-IT"/>
        </w:rPr>
        <w:t>Licenza di Gestione Client per Utente per System Center 2012 Configuration Manager</w:t>
      </w:r>
      <w:r w:rsidRPr="00707E03">
        <w:tab/>
      </w:r>
      <w:r w:rsidRPr="00707E03">
        <w:fldChar w:fldCharType="begin"/>
      </w:r>
      <w:r w:rsidRPr="00707E03">
        <w:instrText xml:space="preserve"> PAGEREF _Toc352234694 \h </w:instrText>
      </w:r>
      <w:r w:rsidRPr="00707E03">
        <w:fldChar w:fldCharType="separate"/>
      </w:r>
      <w:r w:rsidRPr="00707E03">
        <w:t>24</w:t>
      </w:r>
      <w:r w:rsidRPr="00707E03">
        <w:fldChar w:fldCharType="end"/>
      </w:r>
    </w:p>
    <w:p w:rsidR="00707E03" w:rsidRPr="00707E03" w:rsidRDefault="00707E03">
      <w:pPr>
        <w:pStyle w:val="TOC2"/>
        <w:rPr>
          <w:rFonts w:asciiTheme="minorHAnsi" w:eastAsiaTheme="minorEastAsia" w:hAnsiTheme="minorHAnsi" w:cstheme="minorBidi"/>
          <w:sz w:val="22"/>
          <w:szCs w:val="22"/>
        </w:rPr>
      </w:pPr>
      <w:r w:rsidRPr="00707E03">
        <w:rPr>
          <w:rFonts w:cs="Tahoma"/>
          <w:lang w:val="it-IT"/>
        </w:rPr>
        <w:t>Licenza di Gestione Server per System Center 2012 Datacenter (2 processori)</w:t>
      </w:r>
      <w:r w:rsidRPr="00707E03">
        <w:tab/>
      </w:r>
      <w:r w:rsidRPr="00707E03">
        <w:fldChar w:fldCharType="begin"/>
      </w:r>
      <w:r w:rsidRPr="00707E03">
        <w:instrText xml:space="preserve"> PAGEREF _Toc352234695 \h </w:instrText>
      </w:r>
      <w:r w:rsidRPr="00707E03">
        <w:fldChar w:fldCharType="separate"/>
      </w:r>
      <w:r w:rsidRPr="00707E03">
        <w:t>24</w:t>
      </w:r>
      <w:r w:rsidRPr="00707E03">
        <w:fldChar w:fldCharType="end"/>
      </w:r>
    </w:p>
    <w:p w:rsidR="00707E03" w:rsidRPr="00707E03" w:rsidRDefault="00707E03">
      <w:pPr>
        <w:pStyle w:val="TOC2"/>
        <w:rPr>
          <w:rFonts w:asciiTheme="minorHAnsi" w:eastAsiaTheme="minorEastAsia" w:hAnsiTheme="minorHAnsi" w:cstheme="minorBidi"/>
          <w:sz w:val="22"/>
          <w:szCs w:val="22"/>
        </w:rPr>
      </w:pPr>
      <w:r w:rsidRPr="00707E03">
        <w:rPr>
          <w:rFonts w:cs="Tahoma"/>
        </w:rPr>
        <w:t>System Center 2012 Endpoint Protection</w:t>
      </w:r>
      <w:r w:rsidRPr="00707E03">
        <w:tab/>
      </w:r>
      <w:r w:rsidRPr="00707E03">
        <w:fldChar w:fldCharType="begin"/>
      </w:r>
      <w:r w:rsidRPr="00707E03">
        <w:instrText xml:space="preserve"> PAGEREF _Toc352234696 \h </w:instrText>
      </w:r>
      <w:r w:rsidRPr="00707E03">
        <w:fldChar w:fldCharType="separate"/>
      </w:r>
      <w:r w:rsidRPr="00707E03">
        <w:t>24</w:t>
      </w:r>
      <w:r w:rsidRPr="00707E03">
        <w:fldChar w:fldCharType="end"/>
      </w:r>
    </w:p>
    <w:p w:rsidR="00707E03" w:rsidRPr="00707E03" w:rsidRDefault="00707E03">
      <w:pPr>
        <w:pStyle w:val="TOC2"/>
        <w:rPr>
          <w:rFonts w:asciiTheme="minorHAnsi" w:eastAsiaTheme="minorEastAsia" w:hAnsiTheme="minorHAnsi" w:cstheme="minorBidi"/>
          <w:sz w:val="22"/>
          <w:szCs w:val="22"/>
        </w:rPr>
      </w:pPr>
      <w:r w:rsidRPr="00707E03">
        <w:rPr>
          <w:rFonts w:cs="Tahoma"/>
          <w:lang w:val="it-IT"/>
        </w:rPr>
        <w:t>Licenza di Gestione Server Standard per System Center 2012 (2 processori)</w:t>
      </w:r>
      <w:r w:rsidRPr="00707E03">
        <w:tab/>
      </w:r>
      <w:r w:rsidRPr="00707E03">
        <w:fldChar w:fldCharType="begin"/>
      </w:r>
      <w:r w:rsidRPr="00707E03">
        <w:instrText xml:space="preserve"> PAGEREF _Toc352234697 \h </w:instrText>
      </w:r>
      <w:r w:rsidRPr="00707E03">
        <w:fldChar w:fldCharType="separate"/>
      </w:r>
      <w:r w:rsidRPr="00707E03">
        <w:t>24</w:t>
      </w:r>
      <w:r w:rsidRPr="00707E03">
        <w:fldChar w:fldCharType="end"/>
      </w:r>
    </w:p>
    <w:p w:rsidR="00707E03" w:rsidRPr="00707E03" w:rsidRDefault="00707E03">
      <w:pPr>
        <w:pStyle w:val="TOC2"/>
        <w:rPr>
          <w:rFonts w:asciiTheme="minorHAnsi" w:eastAsiaTheme="minorEastAsia" w:hAnsiTheme="minorHAnsi" w:cstheme="minorBidi"/>
          <w:sz w:val="22"/>
          <w:szCs w:val="22"/>
        </w:rPr>
      </w:pPr>
      <w:r w:rsidRPr="00707E03">
        <w:rPr>
          <w:rFonts w:cs="Tahoma"/>
        </w:rPr>
        <w:t>TechNet Plus Single User</w:t>
      </w:r>
      <w:r w:rsidRPr="00707E03">
        <w:tab/>
      </w:r>
      <w:r w:rsidRPr="00707E03">
        <w:fldChar w:fldCharType="begin"/>
      </w:r>
      <w:r w:rsidRPr="00707E03">
        <w:instrText xml:space="preserve"> PAGEREF _Toc352234698 \h </w:instrText>
      </w:r>
      <w:r w:rsidRPr="00707E03">
        <w:fldChar w:fldCharType="separate"/>
      </w:r>
      <w:r w:rsidRPr="00707E03">
        <w:t>24</w:t>
      </w:r>
      <w:r w:rsidRPr="00707E03">
        <w:fldChar w:fldCharType="end"/>
      </w:r>
    </w:p>
    <w:p w:rsidR="00707E03" w:rsidRPr="00707E03" w:rsidRDefault="00707E03">
      <w:pPr>
        <w:pStyle w:val="TOC2"/>
        <w:rPr>
          <w:rFonts w:asciiTheme="minorHAnsi" w:eastAsiaTheme="minorEastAsia" w:hAnsiTheme="minorHAnsi" w:cstheme="minorBidi"/>
          <w:sz w:val="22"/>
          <w:szCs w:val="22"/>
        </w:rPr>
      </w:pPr>
      <w:r w:rsidRPr="00707E03">
        <w:rPr>
          <w:rFonts w:cs="Tahoma"/>
        </w:rPr>
        <w:t>VDI Suite</w:t>
      </w:r>
      <w:r w:rsidRPr="00707E03">
        <w:tab/>
      </w:r>
      <w:r w:rsidRPr="00707E03">
        <w:fldChar w:fldCharType="begin"/>
      </w:r>
      <w:r w:rsidRPr="00707E03">
        <w:instrText xml:space="preserve"> PAGEREF _Toc352234699 \h </w:instrText>
      </w:r>
      <w:r w:rsidRPr="00707E03">
        <w:fldChar w:fldCharType="separate"/>
      </w:r>
      <w:r w:rsidRPr="00707E03">
        <w:t>24</w:t>
      </w:r>
      <w:r w:rsidRPr="00707E03">
        <w:fldChar w:fldCharType="end"/>
      </w:r>
    </w:p>
    <w:p w:rsidR="00707E03" w:rsidRPr="00707E03" w:rsidRDefault="00707E03">
      <w:pPr>
        <w:pStyle w:val="TOC2"/>
        <w:rPr>
          <w:rFonts w:asciiTheme="minorHAnsi" w:eastAsiaTheme="minorEastAsia" w:hAnsiTheme="minorHAnsi" w:cstheme="minorBidi"/>
          <w:sz w:val="22"/>
          <w:szCs w:val="22"/>
        </w:rPr>
      </w:pPr>
      <w:r w:rsidRPr="00707E03">
        <w:rPr>
          <w:rFonts w:cs="Tahoma"/>
        </w:rPr>
        <w:t>VDI Suite con MDOP</w:t>
      </w:r>
      <w:r w:rsidRPr="00707E03">
        <w:tab/>
      </w:r>
      <w:r w:rsidRPr="00707E03">
        <w:fldChar w:fldCharType="begin"/>
      </w:r>
      <w:r w:rsidRPr="00707E03">
        <w:instrText xml:space="preserve"> PAGEREF _Toc352234700 \h </w:instrText>
      </w:r>
      <w:r w:rsidRPr="00707E03">
        <w:fldChar w:fldCharType="separate"/>
      </w:r>
      <w:r w:rsidRPr="00707E03">
        <w:t>24</w:t>
      </w:r>
      <w:r w:rsidRPr="00707E03">
        <w:fldChar w:fldCharType="end"/>
      </w:r>
    </w:p>
    <w:p w:rsidR="00707E03" w:rsidRPr="00707E03" w:rsidRDefault="00707E03">
      <w:pPr>
        <w:pStyle w:val="TOC2"/>
        <w:rPr>
          <w:rFonts w:asciiTheme="minorHAnsi" w:eastAsiaTheme="minorEastAsia" w:hAnsiTheme="minorHAnsi" w:cstheme="minorBidi"/>
          <w:sz w:val="22"/>
          <w:szCs w:val="22"/>
        </w:rPr>
      </w:pPr>
      <w:r w:rsidRPr="00707E03">
        <w:rPr>
          <w:rFonts w:cs="Tahoma"/>
        </w:rPr>
        <w:t>VDI Standard Suite</w:t>
      </w:r>
      <w:r w:rsidRPr="00707E03">
        <w:tab/>
      </w:r>
      <w:r w:rsidRPr="00707E03">
        <w:fldChar w:fldCharType="begin"/>
      </w:r>
      <w:r w:rsidRPr="00707E03">
        <w:instrText xml:space="preserve"> PAGEREF _Toc352234701 \h </w:instrText>
      </w:r>
      <w:r w:rsidRPr="00707E03">
        <w:fldChar w:fldCharType="separate"/>
      </w:r>
      <w:r w:rsidRPr="00707E03">
        <w:t>24</w:t>
      </w:r>
      <w:r w:rsidRPr="00707E03">
        <w:fldChar w:fldCharType="end"/>
      </w:r>
    </w:p>
    <w:p w:rsidR="00707E03" w:rsidRPr="00707E03" w:rsidRDefault="00707E03">
      <w:pPr>
        <w:pStyle w:val="TOC2"/>
        <w:rPr>
          <w:rFonts w:asciiTheme="minorHAnsi" w:eastAsiaTheme="minorEastAsia" w:hAnsiTheme="minorHAnsi" w:cstheme="minorBidi"/>
          <w:sz w:val="22"/>
          <w:szCs w:val="22"/>
        </w:rPr>
      </w:pPr>
      <w:r w:rsidRPr="00707E03">
        <w:rPr>
          <w:rFonts w:cs="Tahoma"/>
        </w:rPr>
        <w:t>VDI Standard Suite con MDOP</w:t>
      </w:r>
      <w:r w:rsidRPr="00707E03">
        <w:tab/>
      </w:r>
      <w:r w:rsidRPr="00707E03">
        <w:fldChar w:fldCharType="begin"/>
      </w:r>
      <w:r w:rsidRPr="00707E03">
        <w:instrText xml:space="preserve"> PAGEREF _Toc352234702 \h </w:instrText>
      </w:r>
      <w:r w:rsidRPr="00707E03">
        <w:fldChar w:fldCharType="separate"/>
      </w:r>
      <w:r w:rsidRPr="00707E03">
        <w:t>24</w:t>
      </w:r>
      <w:r w:rsidRPr="00707E03">
        <w:fldChar w:fldCharType="end"/>
      </w:r>
    </w:p>
    <w:p w:rsidR="00707E03" w:rsidRPr="00707E03" w:rsidRDefault="00707E03">
      <w:pPr>
        <w:pStyle w:val="TOC2"/>
        <w:rPr>
          <w:rFonts w:asciiTheme="minorHAnsi" w:eastAsiaTheme="minorEastAsia" w:hAnsiTheme="minorHAnsi" w:cstheme="minorBidi"/>
          <w:sz w:val="22"/>
          <w:szCs w:val="22"/>
        </w:rPr>
      </w:pPr>
      <w:r w:rsidRPr="00707E03">
        <w:rPr>
          <w:rFonts w:cs="Tahoma"/>
        </w:rPr>
        <w:t>VDI Premium Suite</w:t>
      </w:r>
      <w:r w:rsidRPr="00707E03">
        <w:tab/>
      </w:r>
      <w:r w:rsidRPr="00707E03">
        <w:fldChar w:fldCharType="begin"/>
      </w:r>
      <w:r w:rsidRPr="00707E03">
        <w:instrText xml:space="preserve"> PAGEREF _Toc352234703 \h </w:instrText>
      </w:r>
      <w:r w:rsidRPr="00707E03">
        <w:fldChar w:fldCharType="separate"/>
      </w:r>
      <w:r w:rsidRPr="00707E03">
        <w:t>24</w:t>
      </w:r>
      <w:r w:rsidRPr="00707E03">
        <w:fldChar w:fldCharType="end"/>
      </w:r>
    </w:p>
    <w:p w:rsidR="00707E03" w:rsidRPr="00707E03" w:rsidRDefault="00707E03">
      <w:pPr>
        <w:pStyle w:val="TOC2"/>
        <w:rPr>
          <w:rFonts w:asciiTheme="minorHAnsi" w:eastAsiaTheme="minorEastAsia" w:hAnsiTheme="minorHAnsi" w:cstheme="minorBidi"/>
          <w:sz w:val="22"/>
          <w:szCs w:val="22"/>
        </w:rPr>
      </w:pPr>
      <w:r w:rsidRPr="00707E03">
        <w:rPr>
          <w:rFonts w:cs="Tahoma"/>
          <w:lang w:val="it-IT"/>
        </w:rPr>
        <w:t>VDI Premium Suite con MDOP</w:t>
      </w:r>
      <w:r w:rsidRPr="00707E03">
        <w:tab/>
      </w:r>
      <w:r w:rsidRPr="00707E03">
        <w:fldChar w:fldCharType="begin"/>
      </w:r>
      <w:r w:rsidRPr="00707E03">
        <w:instrText xml:space="preserve"> PAGEREF _Toc352234704 \h </w:instrText>
      </w:r>
      <w:r w:rsidRPr="00707E03">
        <w:fldChar w:fldCharType="separate"/>
      </w:r>
      <w:r w:rsidRPr="00707E03">
        <w:t>24</w:t>
      </w:r>
      <w:r w:rsidRPr="00707E03">
        <w:fldChar w:fldCharType="end"/>
      </w:r>
    </w:p>
    <w:p w:rsidR="00707E03" w:rsidRPr="00707E03" w:rsidRDefault="00707E03">
      <w:pPr>
        <w:pStyle w:val="TOC2"/>
        <w:rPr>
          <w:rFonts w:asciiTheme="minorHAnsi" w:eastAsiaTheme="minorEastAsia" w:hAnsiTheme="minorHAnsi" w:cstheme="minorBidi"/>
          <w:sz w:val="22"/>
          <w:szCs w:val="22"/>
        </w:rPr>
      </w:pPr>
      <w:r w:rsidRPr="00707E03">
        <w:rPr>
          <w:rFonts w:cs="Tahoma"/>
        </w:rPr>
        <w:t>Vexcel Server</w:t>
      </w:r>
      <w:r w:rsidRPr="00707E03">
        <w:tab/>
      </w:r>
      <w:r w:rsidRPr="00707E03">
        <w:fldChar w:fldCharType="begin"/>
      </w:r>
      <w:r w:rsidRPr="00707E03">
        <w:instrText xml:space="preserve"> PAGEREF _Toc352234705 \h </w:instrText>
      </w:r>
      <w:r w:rsidRPr="00707E03">
        <w:fldChar w:fldCharType="separate"/>
      </w:r>
      <w:r w:rsidRPr="00707E03">
        <w:t>24</w:t>
      </w:r>
      <w:r w:rsidRPr="00707E03">
        <w:fldChar w:fldCharType="end"/>
      </w:r>
    </w:p>
    <w:p w:rsidR="00707E03" w:rsidRPr="00707E03" w:rsidRDefault="00707E03">
      <w:pPr>
        <w:pStyle w:val="TOC2"/>
        <w:rPr>
          <w:rFonts w:asciiTheme="minorHAnsi" w:eastAsiaTheme="minorEastAsia" w:hAnsiTheme="minorHAnsi" w:cstheme="minorBidi"/>
          <w:sz w:val="22"/>
          <w:szCs w:val="22"/>
        </w:rPr>
      </w:pPr>
      <w:r w:rsidRPr="00707E03">
        <w:rPr>
          <w:rFonts w:cs="Tahoma"/>
        </w:rPr>
        <w:t>Vexcel Server con Enhanced Content Pack</w:t>
      </w:r>
      <w:r w:rsidRPr="00707E03">
        <w:tab/>
      </w:r>
      <w:r w:rsidRPr="00707E03">
        <w:fldChar w:fldCharType="begin"/>
      </w:r>
      <w:r w:rsidRPr="00707E03">
        <w:instrText xml:space="preserve"> PAGEREF _Toc352234706 \h </w:instrText>
      </w:r>
      <w:r w:rsidRPr="00707E03">
        <w:fldChar w:fldCharType="separate"/>
      </w:r>
      <w:r w:rsidRPr="00707E03">
        <w:t>24</w:t>
      </w:r>
      <w:r w:rsidRPr="00707E03">
        <w:fldChar w:fldCharType="end"/>
      </w:r>
    </w:p>
    <w:p w:rsidR="00707E03" w:rsidRPr="00707E03" w:rsidRDefault="00707E03">
      <w:pPr>
        <w:pStyle w:val="TOC2"/>
        <w:rPr>
          <w:rFonts w:asciiTheme="minorHAnsi" w:eastAsiaTheme="minorEastAsia" w:hAnsiTheme="minorHAnsi" w:cstheme="minorBidi"/>
          <w:sz w:val="22"/>
          <w:szCs w:val="22"/>
        </w:rPr>
      </w:pPr>
      <w:r w:rsidRPr="00707E03">
        <w:rPr>
          <w:rFonts w:cs="Tahoma"/>
          <w:lang w:val="pt-BR"/>
        </w:rPr>
        <w:t>Virtual Server 2005 R2 Enterprise Edition</w:t>
      </w:r>
      <w:r w:rsidRPr="00707E03">
        <w:tab/>
      </w:r>
      <w:r w:rsidRPr="00707E03">
        <w:fldChar w:fldCharType="begin"/>
      </w:r>
      <w:r w:rsidRPr="00707E03">
        <w:instrText xml:space="preserve"> PAGEREF _Toc352234707 \h </w:instrText>
      </w:r>
      <w:r w:rsidRPr="00707E03">
        <w:fldChar w:fldCharType="separate"/>
      </w:r>
      <w:r w:rsidRPr="00707E03">
        <w:t>24</w:t>
      </w:r>
      <w:r w:rsidRPr="00707E03">
        <w:fldChar w:fldCharType="end"/>
      </w:r>
    </w:p>
    <w:p w:rsidR="00707E03" w:rsidRPr="00707E03" w:rsidRDefault="00707E03">
      <w:pPr>
        <w:pStyle w:val="TOC2"/>
        <w:rPr>
          <w:rFonts w:asciiTheme="minorHAnsi" w:eastAsiaTheme="minorEastAsia" w:hAnsiTheme="minorHAnsi" w:cstheme="minorBidi"/>
          <w:sz w:val="22"/>
          <w:szCs w:val="22"/>
        </w:rPr>
      </w:pPr>
      <w:r w:rsidRPr="00707E03">
        <w:rPr>
          <w:rFonts w:cs="Tahoma"/>
        </w:rPr>
        <w:t>Visual Studio</w:t>
      </w:r>
      <w:r w:rsidRPr="00707E03">
        <w:rPr>
          <w:rFonts w:eastAsia="Times New Roman" w:cs="Tahoma"/>
          <w:vertAlign w:val="superscript"/>
        </w:rPr>
        <w:t>®</w:t>
      </w:r>
      <w:r w:rsidRPr="00707E03">
        <w:rPr>
          <w:rFonts w:cs="Tahoma"/>
        </w:rPr>
        <w:t xml:space="preserve"> Team Foundation Server 2012 con Tecnologia SQL Server 2012</w:t>
      </w:r>
      <w:r w:rsidRPr="00707E03">
        <w:tab/>
      </w:r>
      <w:r w:rsidRPr="00707E03">
        <w:fldChar w:fldCharType="begin"/>
      </w:r>
      <w:r w:rsidRPr="00707E03">
        <w:instrText xml:space="preserve"> PAGEREF _Toc352234708 \h </w:instrText>
      </w:r>
      <w:r w:rsidRPr="00707E03">
        <w:fldChar w:fldCharType="separate"/>
      </w:r>
      <w:r w:rsidRPr="00707E03">
        <w:t>24</w:t>
      </w:r>
      <w:r w:rsidRPr="00707E03">
        <w:fldChar w:fldCharType="end"/>
      </w:r>
    </w:p>
    <w:p w:rsidR="00707E03" w:rsidRPr="00707E03" w:rsidRDefault="00707E03">
      <w:pPr>
        <w:pStyle w:val="TOC2"/>
        <w:rPr>
          <w:rFonts w:asciiTheme="minorHAnsi" w:eastAsiaTheme="minorEastAsia" w:hAnsiTheme="minorHAnsi" w:cstheme="minorBidi"/>
          <w:sz w:val="22"/>
          <w:szCs w:val="22"/>
        </w:rPr>
      </w:pPr>
      <w:r w:rsidRPr="00707E03">
        <w:rPr>
          <w:rFonts w:cs="Tahoma"/>
          <w:lang w:val="it-IT"/>
        </w:rPr>
        <w:t>CAL per Dispositivo per Visual Studio</w:t>
      </w:r>
      <w:r w:rsidRPr="00707E03">
        <w:rPr>
          <w:rFonts w:cs="Tahoma"/>
          <w:vertAlign w:val="superscript"/>
          <w:lang w:val="it-IT"/>
        </w:rPr>
        <w:t>®</w:t>
      </w:r>
      <w:r w:rsidRPr="00707E03">
        <w:rPr>
          <w:rFonts w:cs="Tahoma"/>
          <w:lang w:val="it-IT"/>
        </w:rPr>
        <w:t xml:space="preserve"> Team Foundation Server 2012</w:t>
      </w:r>
      <w:r w:rsidRPr="00707E03">
        <w:tab/>
      </w:r>
      <w:r w:rsidRPr="00707E03">
        <w:fldChar w:fldCharType="begin"/>
      </w:r>
      <w:r w:rsidRPr="00707E03">
        <w:instrText xml:space="preserve"> PAGEREF _Toc352234709 \h </w:instrText>
      </w:r>
      <w:r w:rsidRPr="00707E03">
        <w:fldChar w:fldCharType="separate"/>
      </w:r>
      <w:r w:rsidRPr="00707E03">
        <w:t>24</w:t>
      </w:r>
      <w:r w:rsidRPr="00707E03">
        <w:fldChar w:fldCharType="end"/>
      </w:r>
    </w:p>
    <w:p w:rsidR="00707E03" w:rsidRPr="00707E03" w:rsidRDefault="00707E03">
      <w:pPr>
        <w:pStyle w:val="TOC2"/>
        <w:rPr>
          <w:rFonts w:asciiTheme="minorHAnsi" w:eastAsiaTheme="minorEastAsia" w:hAnsiTheme="minorHAnsi" w:cstheme="minorBidi"/>
          <w:sz w:val="22"/>
          <w:szCs w:val="22"/>
        </w:rPr>
      </w:pPr>
      <w:r w:rsidRPr="00707E03">
        <w:rPr>
          <w:rFonts w:cs="Tahoma"/>
        </w:rPr>
        <w:t>User CAL per Visual Studio</w:t>
      </w:r>
      <w:r w:rsidRPr="00707E03">
        <w:rPr>
          <w:rFonts w:cs="Tahoma"/>
          <w:vertAlign w:val="superscript"/>
        </w:rPr>
        <w:t>®</w:t>
      </w:r>
      <w:r w:rsidRPr="00707E03">
        <w:rPr>
          <w:rFonts w:cs="Tahoma"/>
        </w:rPr>
        <w:t xml:space="preserve"> Team Foundation Server 2012</w:t>
      </w:r>
      <w:r w:rsidRPr="00707E03">
        <w:tab/>
      </w:r>
      <w:r w:rsidRPr="00707E03">
        <w:fldChar w:fldCharType="begin"/>
      </w:r>
      <w:r w:rsidRPr="00707E03">
        <w:instrText xml:space="preserve"> PAGEREF _Toc352234710 \h </w:instrText>
      </w:r>
      <w:r w:rsidRPr="00707E03">
        <w:fldChar w:fldCharType="separate"/>
      </w:r>
      <w:r w:rsidRPr="00707E03">
        <w:t>24</w:t>
      </w:r>
      <w:r w:rsidRPr="00707E03">
        <w:fldChar w:fldCharType="end"/>
      </w:r>
    </w:p>
    <w:p w:rsidR="00707E03" w:rsidRPr="00707E03" w:rsidRDefault="00707E03">
      <w:pPr>
        <w:pStyle w:val="TOC2"/>
        <w:rPr>
          <w:rFonts w:asciiTheme="minorHAnsi" w:eastAsiaTheme="minorEastAsia" w:hAnsiTheme="minorHAnsi" w:cstheme="minorBidi"/>
          <w:sz w:val="22"/>
          <w:szCs w:val="22"/>
        </w:rPr>
      </w:pPr>
      <w:r w:rsidRPr="00707E03">
        <w:rPr>
          <w:rFonts w:cs="Tahoma"/>
        </w:rPr>
        <w:t>Web Antimalware Subscription per Forefront Threat Management Gateway Medium Business Edition (Dispositivo e Utente)</w:t>
      </w:r>
      <w:r w:rsidRPr="00707E03">
        <w:tab/>
      </w:r>
      <w:r w:rsidRPr="00707E03">
        <w:fldChar w:fldCharType="begin"/>
      </w:r>
      <w:r w:rsidRPr="00707E03">
        <w:instrText xml:space="preserve"> PAGEREF _Toc352234711 \h </w:instrText>
      </w:r>
      <w:r w:rsidRPr="00707E03">
        <w:fldChar w:fldCharType="separate"/>
      </w:r>
      <w:r w:rsidRPr="00707E03">
        <w:t>25</w:t>
      </w:r>
      <w:r w:rsidRPr="00707E03">
        <w:fldChar w:fldCharType="end"/>
      </w:r>
    </w:p>
    <w:p w:rsidR="00707E03" w:rsidRPr="00707E03" w:rsidRDefault="00707E03">
      <w:pPr>
        <w:pStyle w:val="TOC2"/>
        <w:rPr>
          <w:rFonts w:asciiTheme="minorHAnsi" w:eastAsiaTheme="minorEastAsia" w:hAnsiTheme="minorHAnsi" w:cstheme="minorBidi"/>
          <w:sz w:val="22"/>
          <w:szCs w:val="22"/>
        </w:rPr>
      </w:pPr>
      <w:r w:rsidRPr="00707E03">
        <w:rPr>
          <w:rFonts w:cs="Tahoma"/>
        </w:rPr>
        <w:t>Servizi di Windows Azure</w:t>
      </w:r>
      <w:r w:rsidRPr="00707E03">
        <w:tab/>
      </w:r>
      <w:r w:rsidRPr="00707E03">
        <w:fldChar w:fldCharType="begin"/>
      </w:r>
      <w:r w:rsidRPr="00707E03">
        <w:instrText xml:space="preserve"> PAGEREF _Toc352234712 \h </w:instrText>
      </w:r>
      <w:r w:rsidRPr="00707E03">
        <w:fldChar w:fldCharType="separate"/>
      </w:r>
      <w:r w:rsidRPr="00707E03">
        <w:t>25</w:t>
      </w:r>
      <w:r w:rsidRPr="00707E03">
        <w:fldChar w:fldCharType="end"/>
      </w:r>
    </w:p>
    <w:p w:rsidR="00707E03" w:rsidRPr="00707E03" w:rsidRDefault="00707E03">
      <w:pPr>
        <w:pStyle w:val="TOC2"/>
        <w:rPr>
          <w:rFonts w:asciiTheme="minorHAnsi" w:eastAsiaTheme="minorEastAsia" w:hAnsiTheme="minorHAnsi" w:cstheme="minorBidi"/>
          <w:sz w:val="22"/>
          <w:szCs w:val="22"/>
        </w:rPr>
      </w:pPr>
      <w:r w:rsidRPr="00707E03">
        <w:rPr>
          <w:rFonts w:cs="Tahoma"/>
        </w:rPr>
        <w:t>Windows</w:t>
      </w:r>
      <w:r w:rsidRPr="00707E03">
        <w:rPr>
          <w:rFonts w:cs="Tahoma"/>
          <w:vertAlign w:val="superscript"/>
        </w:rPr>
        <w:t>®</w:t>
      </w:r>
      <w:r w:rsidRPr="00707E03">
        <w:rPr>
          <w:rFonts w:cs="Tahoma"/>
        </w:rPr>
        <w:t xml:space="preserve"> Embedded Device Manager 2011</w:t>
      </w:r>
      <w:r w:rsidRPr="00707E03">
        <w:tab/>
      </w:r>
      <w:r w:rsidRPr="00707E03">
        <w:fldChar w:fldCharType="begin"/>
      </w:r>
      <w:r w:rsidRPr="00707E03">
        <w:instrText xml:space="preserve"> PAGEREF _Toc352234713 \h </w:instrText>
      </w:r>
      <w:r w:rsidRPr="00707E03">
        <w:fldChar w:fldCharType="separate"/>
      </w:r>
      <w:r w:rsidRPr="00707E03">
        <w:t>25</w:t>
      </w:r>
      <w:r w:rsidRPr="00707E03">
        <w:fldChar w:fldCharType="end"/>
      </w:r>
    </w:p>
    <w:p w:rsidR="00707E03" w:rsidRPr="00707E03" w:rsidRDefault="00707E03">
      <w:pPr>
        <w:pStyle w:val="TOC2"/>
        <w:rPr>
          <w:rFonts w:asciiTheme="minorHAnsi" w:eastAsiaTheme="minorEastAsia" w:hAnsiTheme="minorHAnsi" w:cstheme="minorBidi"/>
          <w:sz w:val="22"/>
          <w:szCs w:val="22"/>
        </w:rPr>
      </w:pPr>
      <w:r w:rsidRPr="00707E03">
        <w:rPr>
          <w:rFonts w:cs="Tahoma"/>
          <w:lang w:val="it-IT"/>
        </w:rPr>
        <w:t>Licenza di Gestione Client per OSE per Windows</w:t>
      </w:r>
      <w:r w:rsidRPr="00707E03">
        <w:rPr>
          <w:rFonts w:cs="Tahoma"/>
          <w:vertAlign w:val="superscript"/>
          <w:lang w:val="it-IT"/>
        </w:rPr>
        <w:t>®</w:t>
      </w:r>
      <w:r w:rsidRPr="00707E03">
        <w:rPr>
          <w:rFonts w:cs="Tahoma"/>
          <w:lang w:val="it-IT"/>
        </w:rPr>
        <w:t xml:space="preserve"> Embedded Device Manager 2011</w:t>
      </w:r>
      <w:r w:rsidRPr="00707E03">
        <w:tab/>
      </w:r>
      <w:r w:rsidRPr="00707E03">
        <w:fldChar w:fldCharType="begin"/>
      </w:r>
      <w:r w:rsidRPr="00707E03">
        <w:instrText xml:space="preserve"> PAGEREF _Toc352234714 \h </w:instrText>
      </w:r>
      <w:r w:rsidRPr="00707E03">
        <w:fldChar w:fldCharType="separate"/>
      </w:r>
      <w:r w:rsidRPr="00707E03">
        <w:t>25</w:t>
      </w:r>
      <w:r w:rsidRPr="00707E03">
        <w:fldChar w:fldCharType="end"/>
      </w:r>
    </w:p>
    <w:p w:rsidR="00707E03" w:rsidRPr="00707E03" w:rsidRDefault="00707E03">
      <w:pPr>
        <w:pStyle w:val="TOC2"/>
        <w:rPr>
          <w:rFonts w:asciiTheme="minorHAnsi" w:eastAsiaTheme="minorEastAsia" w:hAnsiTheme="minorHAnsi" w:cstheme="minorBidi"/>
          <w:sz w:val="22"/>
          <w:szCs w:val="22"/>
        </w:rPr>
      </w:pPr>
      <w:r w:rsidRPr="00707E03">
        <w:rPr>
          <w:rFonts w:cs="Tahoma"/>
          <w:lang w:val="it-IT"/>
        </w:rPr>
        <w:t>Licenza di Gestione Client per Utente per Windows</w:t>
      </w:r>
      <w:r w:rsidRPr="00707E03">
        <w:rPr>
          <w:rFonts w:cs="Tahoma"/>
          <w:vertAlign w:val="superscript"/>
          <w:lang w:val="it-IT"/>
        </w:rPr>
        <w:t>®</w:t>
      </w:r>
      <w:r w:rsidRPr="00707E03">
        <w:rPr>
          <w:rFonts w:cs="Tahoma"/>
          <w:lang w:val="it-IT"/>
        </w:rPr>
        <w:t xml:space="preserve"> Embedded Device Manager 2011</w:t>
      </w:r>
      <w:r w:rsidRPr="00707E03">
        <w:tab/>
      </w:r>
      <w:r w:rsidRPr="00707E03">
        <w:fldChar w:fldCharType="begin"/>
      </w:r>
      <w:r w:rsidRPr="00707E03">
        <w:instrText xml:space="preserve"> PAGEREF _Toc352234715 \h </w:instrText>
      </w:r>
      <w:r w:rsidRPr="00707E03">
        <w:fldChar w:fldCharType="separate"/>
      </w:r>
      <w:r w:rsidRPr="00707E03">
        <w:t>25</w:t>
      </w:r>
      <w:r w:rsidRPr="00707E03">
        <w:fldChar w:fldCharType="end"/>
      </w:r>
    </w:p>
    <w:p w:rsidR="00707E03" w:rsidRPr="00707E03" w:rsidRDefault="00707E03">
      <w:pPr>
        <w:pStyle w:val="TOC2"/>
        <w:rPr>
          <w:rFonts w:asciiTheme="minorHAnsi" w:eastAsiaTheme="minorEastAsia" w:hAnsiTheme="minorHAnsi" w:cstheme="minorBidi"/>
          <w:sz w:val="22"/>
          <w:szCs w:val="22"/>
        </w:rPr>
      </w:pPr>
      <w:r w:rsidRPr="00707E03">
        <w:rPr>
          <w:rFonts w:cs="Tahoma"/>
        </w:rPr>
        <w:t>Windows</w:t>
      </w:r>
      <w:r w:rsidRPr="00707E03">
        <w:rPr>
          <w:rFonts w:cs="Tahoma"/>
          <w:vertAlign w:val="superscript"/>
        </w:rPr>
        <w:t>®</w:t>
      </w:r>
      <w:r w:rsidRPr="00707E03">
        <w:rPr>
          <w:rFonts w:cs="Tahoma"/>
        </w:rPr>
        <w:t xml:space="preserve"> Embedded Device Manager 2011 con Tecnologia SQL Server</w:t>
      </w:r>
      <w:r w:rsidRPr="00707E03">
        <w:rPr>
          <w:rFonts w:cs="Tahoma"/>
          <w:vertAlign w:val="superscript"/>
        </w:rPr>
        <w:t>®</w:t>
      </w:r>
      <w:r w:rsidRPr="00707E03">
        <w:rPr>
          <w:rFonts w:cs="Tahoma"/>
        </w:rPr>
        <w:t xml:space="preserve"> 2008</w:t>
      </w:r>
      <w:r w:rsidRPr="00707E03">
        <w:tab/>
      </w:r>
      <w:r w:rsidRPr="00707E03">
        <w:fldChar w:fldCharType="begin"/>
      </w:r>
      <w:r w:rsidRPr="00707E03">
        <w:instrText xml:space="preserve"> PAGEREF _Toc352234716 \h </w:instrText>
      </w:r>
      <w:r w:rsidRPr="00707E03">
        <w:fldChar w:fldCharType="separate"/>
      </w:r>
      <w:r w:rsidRPr="00707E03">
        <w:t>25</w:t>
      </w:r>
      <w:r w:rsidRPr="00707E03">
        <w:fldChar w:fldCharType="end"/>
      </w:r>
    </w:p>
    <w:p w:rsidR="00707E03" w:rsidRPr="00707E03" w:rsidRDefault="00707E03">
      <w:pPr>
        <w:pStyle w:val="TOC2"/>
        <w:rPr>
          <w:rFonts w:asciiTheme="minorHAnsi" w:eastAsiaTheme="minorEastAsia" w:hAnsiTheme="minorHAnsi" w:cstheme="minorBidi"/>
          <w:sz w:val="22"/>
          <w:szCs w:val="22"/>
        </w:rPr>
      </w:pPr>
      <w:r w:rsidRPr="00707E03">
        <w:rPr>
          <w:rFonts w:cs="Tahoma"/>
        </w:rPr>
        <w:t>Windows Essential Business Server 2008 Standard</w:t>
      </w:r>
      <w:r w:rsidRPr="00707E03">
        <w:tab/>
      </w:r>
      <w:r w:rsidRPr="00707E03">
        <w:fldChar w:fldCharType="begin"/>
      </w:r>
      <w:r w:rsidRPr="00707E03">
        <w:instrText xml:space="preserve"> PAGEREF _Toc352234717 \h </w:instrText>
      </w:r>
      <w:r w:rsidRPr="00707E03">
        <w:fldChar w:fldCharType="separate"/>
      </w:r>
      <w:r w:rsidRPr="00707E03">
        <w:t>25</w:t>
      </w:r>
      <w:r w:rsidRPr="00707E03">
        <w:fldChar w:fldCharType="end"/>
      </w:r>
    </w:p>
    <w:p w:rsidR="00707E03" w:rsidRPr="00707E03" w:rsidRDefault="00707E03">
      <w:pPr>
        <w:pStyle w:val="TOC2"/>
        <w:rPr>
          <w:rFonts w:asciiTheme="minorHAnsi" w:eastAsiaTheme="minorEastAsia" w:hAnsiTheme="minorHAnsi" w:cstheme="minorBidi"/>
          <w:sz w:val="22"/>
          <w:szCs w:val="22"/>
        </w:rPr>
      </w:pPr>
      <w:r w:rsidRPr="00707E03">
        <w:rPr>
          <w:rFonts w:cs="Tahoma"/>
        </w:rPr>
        <w:t>CAL Suite per Windows Essential Business Server 2008</w:t>
      </w:r>
      <w:r w:rsidRPr="00707E03">
        <w:tab/>
      </w:r>
      <w:r w:rsidRPr="00707E03">
        <w:fldChar w:fldCharType="begin"/>
      </w:r>
      <w:r w:rsidRPr="00707E03">
        <w:instrText xml:space="preserve"> PAGEREF _Toc352234718 \h </w:instrText>
      </w:r>
      <w:r w:rsidRPr="00707E03">
        <w:fldChar w:fldCharType="separate"/>
      </w:r>
      <w:r w:rsidRPr="00707E03">
        <w:t>25</w:t>
      </w:r>
      <w:r w:rsidRPr="00707E03">
        <w:fldChar w:fldCharType="end"/>
      </w:r>
    </w:p>
    <w:p w:rsidR="00707E03" w:rsidRPr="00707E03" w:rsidRDefault="00707E03">
      <w:pPr>
        <w:pStyle w:val="TOC2"/>
        <w:rPr>
          <w:rFonts w:asciiTheme="minorHAnsi" w:eastAsiaTheme="minorEastAsia" w:hAnsiTheme="minorHAnsi" w:cstheme="minorBidi"/>
          <w:sz w:val="22"/>
          <w:szCs w:val="22"/>
        </w:rPr>
      </w:pPr>
      <w:r w:rsidRPr="00707E03">
        <w:rPr>
          <w:rFonts w:cs="Tahoma"/>
        </w:rPr>
        <w:t>CAL Suite per Windows Essential Business Server 2008 (5 client)</w:t>
      </w:r>
      <w:r w:rsidRPr="00707E03">
        <w:tab/>
      </w:r>
      <w:r w:rsidRPr="00707E03">
        <w:fldChar w:fldCharType="begin"/>
      </w:r>
      <w:r w:rsidRPr="00707E03">
        <w:instrText xml:space="preserve"> PAGEREF _Toc352234719 \h </w:instrText>
      </w:r>
      <w:r w:rsidRPr="00707E03">
        <w:fldChar w:fldCharType="separate"/>
      </w:r>
      <w:r w:rsidRPr="00707E03">
        <w:t>25</w:t>
      </w:r>
      <w:r w:rsidRPr="00707E03">
        <w:fldChar w:fldCharType="end"/>
      </w:r>
    </w:p>
    <w:p w:rsidR="00707E03" w:rsidRPr="00707E03" w:rsidRDefault="00707E03">
      <w:pPr>
        <w:pStyle w:val="TOC2"/>
        <w:rPr>
          <w:rFonts w:asciiTheme="minorHAnsi" w:eastAsiaTheme="minorEastAsia" w:hAnsiTheme="minorHAnsi" w:cstheme="minorBidi"/>
          <w:sz w:val="22"/>
          <w:szCs w:val="22"/>
        </w:rPr>
      </w:pPr>
      <w:r w:rsidRPr="00707E03">
        <w:rPr>
          <w:rFonts w:cs="Tahoma"/>
        </w:rPr>
        <w:t>CAL Suite per Windows Essential Business Server 2008 (20 client)</w:t>
      </w:r>
      <w:r w:rsidRPr="00707E03">
        <w:tab/>
      </w:r>
      <w:r w:rsidRPr="00707E03">
        <w:fldChar w:fldCharType="begin"/>
      </w:r>
      <w:r w:rsidRPr="00707E03">
        <w:instrText xml:space="preserve"> PAGEREF _Toc352234720 \h </w:instrText>
      </w:r>
      <w:r w:rsidRPr="00707E03">
        <w:fldChar w:fldCharType="separate"/>
      </w:r>
      <w:r w:rsidRPr="00707E03">
        <w:t>25</w:t>
      </w:r>
      <w:r w:rsidRPr="00707E03">
        <w:fldChar w:fldCharType="end"/>
      </w:r>
    </w:p>
    <w:p w:rsidR="00707E03" w:rsidRPr="00707E03" w:rsidRDefault="00707E03">
      <w:pPr>
        <w:pStyle w:val="TOC2"/>
        <w:rPr>
          <w:rFonts w:asciiTheme="minorHAnsi" w:eastAsiaTheme="minorEastAsia" w:hAnsiTheme="minorHAnsi" w:cstheme="minorBidi"/>
          <w:sz w:val="22"/>
          <w:szCs w:val="22"/>
        </w:rPr>
      </w:pPr>
      <w:r w:rsidRPr="00707E03">
        <w:rPr>
          <w:rFonts w:cs="Tahoma"/>
        </w:rPr>
        <w:t>CAL Suite per Windows Essential Business Server 2008 (50 client)</w:t>
      </w:r>
      <w:r w:rsidRPr="00707E03">
        <w:tab/>
      </w:r>
      <w:r w:rsidRPr="00707E03">
        <w:fldChar w:fldCharType="begin"/>
      </w:r>
      <w:r w:rsidRPr="00707E03">
        <w:instrText xml:space="preserve"> PAGEREF _Toc352234721 \h </w:instrText>
      </w:r>
      <w:r w:rsidRPr="00707E03">
        <w:fldChar w:fldCharType="separate"/>
      </w:r>
      <w:r w:rsidRPr="00707E03">
        <w:t>25</w:t>
      </w:r>
      <w:r w:rsidRPr="00707E03">
        <w:fldChar w:fldCharType="end"/>
      </w:r>
    </w:p>
    <w:p w:rsidR="00707E03" w:rsidRPr="00707E03" w:rsidRDefault="00707E03">
      <w:pPr>
        <w:pStyle w:val="TOC2"/>
        <w:rPr>
          <w:rFonts w:asciiTheme="minorHAnsi" w:eastAsiaTheme="minorEastAsia" w:hAnsiTheme="minorHAnsi" w:cstheme="minorBidi"/>
          <w:sz w:val="22"/>
          <w:szCs w:val="22"/>
        </w:rPr>
      </w:pPr>
      <w:r w:rsidRPr="00707E03">
        <w:rPr>
          <w:rFonts w:cs="Tahoma"/>
        </w:rPr>
        <w:t>Windows Essential Business Server 2008 Premium</w:t>
      </w:r>
      <w:r w:rsidRPr="00707E03">
        <w:tab/>
      </w:r>
      <w:r w:rsidRPr="00707E03">
        <w:fldChar w:fldCharType="begin"/>
      </w:r>
      <w:r w:rsidRPr="00707E03">
        <w:instrText xml:space="preserve"> PAGEREF _Toc352234722 \h </w:instrText>
      </w:r>
      <w:r w:rsidRPr="00707E03">
        <w:fldChar w:fldCharType="separate"/>
      </w:r>
      <w:r w:rsidRPr="00707E03">
        <w:t>25</w:t>
      </w:r>
      <w:r w:rsidRPr="00707E03">
        <w:fldChar w:fldCharType="end"/>
      </w:r>
    </w:p>
    <w:p w:rsidR="00707E03" w:rsidRPr="00707E03" w:rsidRDefault="00707E03">
      <w:pPr>
        <w:pStyle w:val="TOC2"/>
        <w:rPr>
          <w:rFonts w:asciiTheme="minorHAnsi" w:eastAsiaTheme="minorEastAsia" w:hAnsiTheme="minorHAnsi" w:cstheme="minorBidi"/>
          <w:sz w:val="22"/>
          <w:szCs w:val="22"/>
        </w:rPr>
      </w:pPr>
      <w:r w:rsidRPr="00707E03">
        <w:rPr>
          <w:rFonts w:cs="Tahoma"/>
          <w:lang w:val="it-IT"/>
        </w:rPr>
        <w:t>CAL Suite per Windows Essential Business Server 2008 per Utenti o Dispositivi Premium</w:t>
      </w:r>
      <w:r w:rsidRPr="00707E03">
        <w:tab/>
      </w:r>
      <w:r w:rsidRPr="00707E03">
        <w:fldChar w:fldCharType="begin"/>
      </w:r>
      <w:r w:rsidRPr="00707E03">
        <w:instrText xml:space="preserve"> PAGEREF _Toc352234723 \h </w:instrText>
      </w:r>
      <w:r w:rsidRPr="00707E03">
        <w:fldChar w:fldCharType="separate"/>
      </w:r>
      <w:r w:rsidRPr="00707E03">
        <w:t>25</w:t>
      </w:r>
      <w:r w:rsidRPr="00707E03">
        <w:fldChar w:fldCharType="end"/>
      </w:r>
    </w:p>
    <w:p w:rsidR="00707E03" w:rsidRPr="00707E03" w:rsidRDefault="00707E03">
      <w:pPr>
        <w:pStyle w:val="TOC2"/>
        <w:rPr>
          <w:rFonts w:asciiTheme="minorHAnsi" w:eastAsiaTheme="minorEastAsia" w:hAnsiTheme="minorHAnsi" w:cstheme="minorBidi"/>
          <w:sz w:val="22"/>
          <w:szCs w:val="22"/>
        </w:rPr>
      </w:pPr>
      <w:r w:rsidRPr="00707E03">
        <w:rPr>
          <w:rFonts w:cs="Tahoma"/>
          <w:lang w:val="it-IT"/>
        </w:rPr>
        <w:t>CAL Suite per Windows Essential Business Server 2008 per Utenti o Dispositivi Premium (5 client)</w:t>
      </w:r>
      <w:r w:rsidRPr="00707E03">
        <w:tab/>
      </w:r>
      <w:r w:rsidRPr="00707E03">
        <w:fldChar w:fldCharType="begin"/>
      </w:r>
      <w:r w:rsidRPr="00707E03">
        <w:instrText xml:space="preserve"> PAGEREF _Toc352234724 \h </w:instrText>
      </w:r>
      <w:r w:rsidRPr="00707E03">
        <w:fldChar w:fldCharType="separate"/>
      </w:r>
      <w:r w:rsidRPr="00707E03">
        <w:t>25</w:t>
      </w:r>
      <w:r w:rsidRPr="00707E03">
        <w:fldChar w:fldCharType="end"/>
      </w:r>
    </w:p>
    <w:p w:rsidR="00707E03" w:rsidRPr="00707E03" w:rsidRDefault="00707E03">
      <w:pPr>
        <w:pStyle w:val="TOC2"/>
        <w:rPr>
          <w:rFonts w:asciiTheme="minorHAnsi" w:eastAsiaTheme="minorEastAsia" w:hAnsiTheme="minorHAnsi" w:cstheme="minorBidi"/>
          <w:sz w:val="22"/>
          <w:szCs w:val="22"/>
        </w:rPr>
      </w:pPr>
      <w:r w:rsidRPr="00707E03">
        <w:rPr>
          <w:rFonts w:cs="Tahoma"/>
          <w:lang w:val="it-IT"/>
        </w:rPr>
        <w:t>CAL Suite per Windows Essential Business Server 2008 per Utenti o Dispositivi Premium (20 client)</w:t>
      </w:r>
      <w:r w:rsidRPr="00707E03">
        <w:tab/>
      </w:r>
      <w:r w:rsidRPr="00707E03">
        <w:fldChar w:fldCharType="begin"/>
      </w:r>
      <w:r w:rsidRPr="00707E03">
        <w:instrText xml:space="preserve"> PAGEREF _Toc352234725 \h </w:instrText>
      </w:r>
      <w:r w:rsidRPr="00707E03">
        <w:fldChar w:fldCharType="separate"/>
      </w:r>
      <w:r w:rsidRPr="00707E03">
        <w:t>25</w:t>
      </w:r>
      <w:r w:rsidRPr="00707E03">
        <w:fldChar w:fldCharType="end"/>
      </w:r>
    </w:p>
    <w:p w:rsidR="00707E03" w:rsidRPr="00707E03" w:rsidRDefault="00707E03">
      <w:pPr>
        <w:pStyle w:val="TOC2"/>
        <w:rPr>
          <w:rFonts w:asciiTheme="minorHAnsi" w:eastAsiaTheme="minorEastAsia" w:hAnsiTheme="minorHAnsi" w:cstheme="minorBidi"/>
          <w:sz w:val="22"/>
          <w:szCs w:val="22"/>
        </w:rPr>
      </w:pPr>
      <w:r w:rsidRPr="00707E03">
        <w:rPr>
          <w:rFonts w:cs="Tahoma"/>
          <w:lang w:val="it-IT"/>
        </w:rPr>
        <w:t>CAL Suite per Windows Essential Business Server 2008 per Utenti o Dispositivi Premium (50 client)</w:t>
      </w:r>
      <w:r w:rsidRPr="00707E03">
        <w:tab/>
      </w:r>
      <w:r w:rsidRPr="00707E03">
        <w:fldChar w:fldCharType="begin"/>
      </w:r>
      <w:r w:rsidRPr="00707E03">
        <w:instrText xml:space="preserve"> PAGEREF _Toc352234726 \h </w:instrText>
      </w:r>
      <w:r w:rsidRPr="00707E03">
        <w:fldChar w:fldCharType="separate"/>
      </w:r>
      <w:r w:rsidRPr="00707E03">
        <w:t>25</w:t>
      </w:r>
      <w:r w:rsidRPr="00707E03">
        <w:fldChar w:fldCharType="end"/>
      </w:r>
    </w:p>
    <w:p w:rsidR="00707E03" w:rsidRPr="00707E03" w:rsidRDefault="00707E03">
      <w:pPr>
        <w:pStyle w:val="TOC2"/>
        <w:rPr>
          <w:rFonts w:asciiTheme="minorHAnsi" w:eastAsiaTheme="minorEastAsia" w:hAnsiTheme="minorHAnsi" w:cstheme="minorBidi"/>
          <w:sz w:val="22"/>
          <w:szCs w:val="22"/>
        </w:rPr>
      </w:pPr>
      <w:r w:rsidRPr="00707E03">
        <w:rPr>
          <w:rFonts w:cs="Tahoma"/>
        </w:rPr>
        <w:t>Windows HPC Server 2008 R2 Suite</w:t>
      </w:r>
      <w:r w:rsidRPr="00707E03">
        <w:tab/>
      </w:r>
      <w:r w:rsidRPr="00707E03">
        <w:fldChar w:fldCharType="begin"/>
      </w:r>
      <w:r w:rsidRPr="00707E03">
        <w:instrText xml:space="preserve"> PAGEREF _Toc352234727 \h </w:instrText>
      </w:r>
      <w:r w:rsidRPr="00707E03">
        <w:fldChar w:fldCharType="separate"/>
      </w:r>
      <w:r w:rsidRPr="00707E03">
        <w:t>25</w:t>
      </w:r>
      <w:r w:rsidRPr="00707E03">
        <w:fldChar w:fldCharType="end"/>
      </w:r>
    </w:p>
    <w:p w:rsidR="00707E03" w:rsidRPr="00707E03" w:rsidRDefault="00707E03">
      <w:pPr>
        <w:pStyle w:val="TOC2"/>
        <w:rPr>
          <w:rFonts w:asciiTheme="minorHAnsi" w:eastAsiaTheme="minorEastAsia" w:hAnsiTheme="minorHAnsi" w:cstheme="minorBidi"/>
          <w:sz w:val="22"/>
          <w:szCs w:val="22"/>
        </w:rPr>
      </w:pPr>
      <w:r w:rsidRPr="00707E03">
        <w:rPr>
          <w:rFonts w:cs="Tahoma"/>
        </w:rPr>
        <w:t>Componente Aggiuntivo per Windows Intune per System Center Configuration Manager e System Center EndPoint Protection (Per Utente)</w:t>
      </w:r>
      <w:r w:rsidRPr="00707E03">
        <w:tab/>
      </w:r>
      <w:r w:rsidRPr="00707E03">
        <w:fldChar w:fldCharType="begin"/>
      </w:r>
      <w:r w:rsidRPr="00707E03">
        <w:instrText xml:space="preserve"> PAGEREF _Toc352234728 \h </w:instrText>
      </w:r>
      <w:r w:rsidRPr="00707E03">
        <w:fldChar w:fldCharType="separate"/>
      </w:r>
      <w:r w:rsidRPr="00707E03">
        <w:t>25</w:t>
      </w:r>
      <w:r w:rsidRPr="00707E03">
        <w:fldChar w:fldCharType="end"/>
      </w:r>
    </w:p>
    <w:p w:rsidR="00707E03" w:rsidRPr="00707E03" w:rsidRDefault="00707E03">
      <w:pPr>
        <w:pStyle w:val="TOC2"/>
        <w:rPr>
          <w:rFonts w:asciiTheme="minorHAnsi" w:eastAsiaTheme="minorEastAsia" w:hAnsiTheme="minorHAnsi" w:cstheme="minorBidi"/>
          <w:sz w:val="22"/>
          <w:szCs w:val="22"/>
        </w:rPr>
      </w:pPr>
      <w:r w:rsidRPr="00707E03">
        <w:rPr>
          <w:rFonts w:cs="Tahoma"/>
        </w:rPr>
        <w:t>Windows Intune (Per Utente)</w:t>
      </w:r>
      <w:r w:rsidRPr="00707E03">
        <w:tab/>
      </w:r>
      <w:r w:rsidRPr="00707E03">
        <w:fldChar w:fldCharType="begin"/>
      </w:r>
      <w:r w:rsidRPr="00707E03">
        <w:instrText xml:space="preserve"> PAGEREF _Toc352234729 \h </w:instrText>
      </w:r>
      <w:r w:rsidRPr="00707E03">
        <w:fldChar w:fldCharType="separate"/>
      </w:r>
      <w:r w:rsidRPr="00707E03">
        <w:t>25</w:t>
      </w:r>
      <w:r w:rsidRPr="00707E03">
        <w:fldChar w:fldCharType="end"/>
      </w:r>
    </w:p>
    <w:p w:rsidR="00707E03" w:rsidRPr="00707E03" w:rsidRDefault="00707E03">
      <w:pPr>
        <w:pStyle w:val="TOC2"/>
        <w:rPr>
          <w:rFonts w:asciiTheme="minorHAnsi" w:eastAsiaTheme="minorEastAsia" w:hAnsiTheme="minorHAnsi" w:cstheme="minorBidi"/>
          <w:sz w:val="22"/>
          <w:szCs w:val="22"/>
        </w:rPr>
      </w:pPr>
      <w:r w:rsidRPr="00707E03">
        <w:rPr>
          <w:rFonts w:cs="Tahoma"/>
        </w:rPr>
        <w:t>USL Add-On per Windows Intune Extra Storage 1 GB</w:t>
      </w:r>
      <w:r w:rsidRPr="00707E03">
        <w:tab/>
      </w:r>
      <w:r w:rsidRPr="00707E03">
        <w:fldChar w:fldCharType="begin"/>
      </w:r>
      <w:r w:rsidRPr="00707E03">
        <w:instrText xml:space="preserve"> PAGEREF _Toc352234730 \h </w:instrText>
      </w:r>
      <w:r w:rsidRPr="00707E03">
        <w:fldChar w:fldCharType="separate"/>
      </w:r>
      <w:r w:rsidRPr="00707E03">
        <w:t>25</w:t>
      </w:r>
      <w:r w:rsidRPr="00707E03">
        <w:fldChar w:fldCharType="end"/>
      </w:r>
    </w:p>
    <w:p w:rsidR="00707E03" w:rsidRPr="00707E03" w:rsidRDefault="00707E03">
      <w:pPr>
        <w:pStyle w:val="TOC2"/>
        <w:rPr>
          <w:rFonts w:asciiTheme="minorHAnsi" w:eastAsiaTheme="minorEastAsia" w:hAnsiTheme="minorHAnsi" w:cstheme="minorBidi"/>
          <w:sz w:val="22"/>
          <w:szCs w:val="22"/>
        </w:rPr>
      </w:pPr>
      <w:r w:rsidRPr="00707E03">
        <w:rPr>
          <w:rFonts w:cs="Tahoma"/>
        </w:rPr>
        <w:t>Windows MultiPoint Server 2012 Standard</w:t>
      </w:r>
      <w:r w:rsidRPr="00707E03">
        <w:tab/>
      </w:r>
      <w:r w:rsidRPr="00707E03">
        <w:fldChar w:fldCharType="begin"/>
      </w:r>
      <w:r w:rsidRPr="00707E03">
        <w:instrText xml:space="preserve"> PAGEREF _Toc352234731 \h </w:instrText>
      </w:r>
      <w:r w:rsidRPr="00707E03">
        <w:fldChar w:fldCharType="separate"/>
      </w:r>
      <w:r w:rsidRPr="00707E03">
        <w:t>25</w:t>
      </w:r>
      <w:r w:rsidRPr="00707E03">
        <w:fldChar w:fldCharType="end"/>
      </w:r>
    </w:p>
    <w:p w:rsidR="00707E03" w:rsidRPr="00707E03" w:rsidRDefault="00707E03">
      <w:pPr>
        <w:pStyle w:val="TOC2"/>
        <w:rPr>
          <w:rFonts w:asciiTheme="minorHAnsi" w:eastAsiaTheme="minorEastAsia" w:hAnsiTheme="minorHAnsi" w:cstheme="minorBidi"/>
          <w:sz w:val="22"/>
          <w:szCs w:val="22"/>
        </w:rPr>
      </w:pPr>
      <w:r w:rsidRPr="00707E03">
        <w:rPr>
          <w:rFonts w:cs="Tahoma"/>
        </w:rPr>
        <w:t>Windows MultiPoint Server 2012 Premium</w:t>
      </w:r>
      <w:r w:rsidRPr="00707E03">
        <w:tab/>
      </w:r>
      <w:r w:rsidRPr="00707E03">
        <w:fldChar w:fldCharType="begin"/>
      </w:r>
      <w:r w:rsidRPr="00707E03">
        <w:instrText xml:space="preserve"> PAGEREF _Toc352234732 \h </w:instrText>
      </w:r>
      <w:r w:rsidRPr="00707E03">
        <w:fldChar w:fldCharType="separate"/>
      </w:r>
      <w:r w:rsidRPr="00707E03">
        <w:t>25</w:t>
      </w:r>
      <w:r w:rsidRPr="00707E03">
        <w:fldChar w:fldCharType="end"/>
      </w:r>
    </w:p>
    <w:p w:rsidR="00707E03" w:rsidRPr="00707E03" w:rsidRDefault="00707E03">
      <w:pPr>
        <w:pStyle w:val="TOC2"/>
        <w:rPr>
          <w:rFonts w:asciiTheme="minorHAnsi" w:eastAsiaTheme="minorEastAsia" w:hAnsiTheme="minorHAnsi" w:cstheme="minorBidi"/>
          <w:sz w:val="22"/>
          <w:szCs w:val="22"/>
        </w:rPr>
      </w:pPr>
      <w:r w:rsidRPr="00707E03">
        <w:rPr>
          <w:rFonts w:cs="Tahoma"/>
        </w:rPr>
        <w:t>CAL per Windows MultiPoint Server 2012</w:t>
      </w:r>
      <w:r w:rsidRPr="00707E03">
        <w:tab/>
      </w:r>
      <w:r w:rsidRPr="00707E03">
        <w:fldChar w:fldCharType="begin"/>
      </w:r>
      <w:r w:rsidRPr="00707E03">
        <w:instrText xml:space="preserve"> PAGEREF _Toc352234733 \h </w:instrText>
      </w:r>
      <w:r w:rsidRPr="00707E03">
        <w:fldChar w:fldCharType="separate"/>
      </w:r>
      <w:r w:rsidRPr="00707E03">
        <w:t>25</w:t>
      </w:r>
      <w:r w:rsidRPr="00707E03">
        <w:fldChar w:fldCharType="end"/>
      </w:r>
    </w:p>
    <w:p w:rsidR="00707E03" w:rsidRPr="00707E03" w:rsidRDefault="00707E03">
      <w:pPr>
        <w:pStyle w:val="TOC2"/>
        <w:rPr>
          <w:rFonts w:asciiTheme="minorHAnsi" w:eastAsiaTheme="minorEastAsia" w:hAnsiTheme="minorHAnsi" w:cstheme="minorBidi"/>
          <w:sz w:val="22"/>
          <w:szCs w:val="22"/>
        </w:rPr>
      </w:pPr>
      <w:r w:rsidRPr="00707E03">
        <w:rPr>
          <w:rFonts w:cs="Tahoma"/>
        </w:rPr>
        <w:t>CAL per Windows MultiPoint Server 2012 con CAL per Windows Server 2012</w:t>
      </w:r>
      <w:r w:rsidRPr="00707E03">
        <w:tab/>
      </w:r>
      <w:r w:rsidRPr="00707E03">
        <w:fldChar w:fldCharType="begin"/>
      </w:r>
      <w:r w:rsidRPr="00707E03">
        <w:instrText xml:space="preserve"> PAGEREF _Toc352234734 \h </w:instrText>
      </w:r>
      <w:r w:rsidRPr="00707E03">
        <w:fldChar w:fldCharType="separate"/>
      </w:r>
      <w:r w:rsidRPr="00707E03">
        <w:t>25</w:t>
      </w:r>
      <w:r w:rsidRPr="00707E03">
        <w:fldChar w:fldCharType="end"/>
      </w:r>
    </w:p>
    <w:p w:rsidR="00707E03" w:rsidRPr="00707E03" w:rsidRDefault="00707E03">
      <w:pPr>
        <w:pStyle w:val="TOC2"/>
        <w:rPr>
          <w:rFonts w:asciiTheme="minorHAnsi" w:eastAsiaTheme="minorEastAsia" w:hAnsiTheme="minorHAnsi" w:cstheme="minorBidi"/>
          <w:sz w:val="22"/>
          <w:szCs w:val="22"/>
        </w:rPr>
      </w:pPr>
      <w:r w:rsidRPr="00707E03">
        <w:rPr>
          <w:rFonts w:cs="Tahoma"/>
        </w:rPr>
        <w:t>Windows MultiPoint Server 2012 Premium con Windows MultiPoint Server 2012 (CAL) (5 Client)</w:t>
      </w:r>
      <w:r w:rsidRPr="00707E03">
        <w:tab/>
      </w:r>
      <w:r w:rsidRPr="00707E03">
        <w:fldChar w:fldCharType="begin"/>
      </w:r>
      <w:r w:rsidRPr="00707E03">
        <w:instrText xml:space="preserve"> PAGEREF _Toc352234735 \h </w:instrText>
      </w:r>
      <w:r w:rsidRPr="00707E03">
        <w:fldChar w:fldCharType="separate"/>
      </w:r>
      <w:r w:rsidRPr="00707E03">
        <w:t>25</w:t>
      </w:r>
      <w:r w:rsidRPr="00707E03">
        <w:fldChar w:fldCharType="end"/>
      </w:r>
    </w:p>
    <w:p w:rsidR="00707E03" w:rsidRPr="00707E03" w:rsidRDefault="00707E03">
      <w:pPr>
        <w:pStyle w:val="TOC2"/>
        <w:rPr>
          <w:rFonts w:asciiTheme="minorHAnsi" w:eastAsiaTheme="minorEastAsia" w:hAnsiTheme="minorHAnsi" w:cstheme="minorBidi"/>
          <w:sz w:val="22"/>
          <w:szCs w:val="22"/>
        </w:rPr>
      </w:pPr>
      <w:r w:rsidRPr="00707E03">
        <w:rPr>
          <w:rFonts w:cs="Tahoma"/>
        </w:rPr>
        <w:lastRenderedPageBreak/>
        <w:t>Windows MultiPoint Server 2012 Premium con Windows MultiPoint Server 2012 (CAL) (5 Client) con Windows Server 2012 (CAL) (5 Client)</w:t>
      </w:r>
      <w:r w:rsidRPr="00707E03">
        <w:tab/>
      </w:r>
      <w:r w:rsidRPr="00707E03">
        <w:fldChar w:fldCharType="begin"/>
      </w:r>
      <w:r w:rsidRPr="00707E03">
        <w:instrText xml:space="preserve"> PAGEREF _Toc352234736 \h </w:instrText>
      </w:r>
      <w:r w:rsidRPr="00707E03">
        <w:fldChar w:fldCharType="separate"/>
      </w:r>
      <w:r w:rsidRPr="00707E03">
        <w:t>25</w:t>
      </w:r>
      <w:r w:rsidRPr="00707E03">
        <w:fldChar w:fldCharType="end"/>
      </w:r>
    </w:p>
    <w:p w:rsidR="00707E03" w:rsidRPr="00707E03" w:rsidRDefault="00707E03">
      <w:pPr>
        <w:pStyle w:val="TOC2"/>
        <w:rPr>
          <w:rFonts w:asciiTheme="minorHAnsi" w:eastAsiaTheme="minorEastAsia" w:hAnsiTheme="minorHAnsi" w:cstheme="minorBidi"/>
          <w:sz w:val="22"/>
          <w:szCs w:val="22"/>
        </w:rPr>
      </w:pPr>
      <w:r w:rsidRPr="00707E03">
        <w:rPr>
          <w:rFonts w:cs="Tahoma"/>
        </w:rPr>
        <w:t>Windows Server™ 2008 R2 HPC Edition</w:t>
      </w:r>
      <w:r w:rsidRPr="00707E03">
        <w:tab/>
      </w:r>
      <w:r w:rsidRPr="00707E03">
        <w:fldChar w:fldCharType="begin"/>
      </w:r>
      <w:r w:rsidRPr="00707E03">
        <w:instrText xml:space="preserve"> PAGEREF _Toc352234737 \h </w:instrText>
      </w:r>
      <w:r w:rsidRPr="00707E03">
        <w:fldChar w:fldCharType="separate"/>
      </w:r>
      <w:r w:rsidRPr="00707E03">
        <w:t>25</w:t>
      </w:r>
      <w:r w:rsidRPr="00707E03">
        <w:fldChar w:fldCharType="end"/>
      </w:r>
    </w:p>
    <w:p w:rsidR="00707E03" w:rsidRPr="00707E03" w:rsidRDefault="00707E03">
      <w:pPr>
        <w:pStyle w:val="TOC2"/>
        <w:rPr>
          <w:rFonts w:asciiTheme="minorHAnsi" w:eastAsiaTheme="minorEastAsia" w:hAnsiTheme="minorHAnsi" w:cstheme="minorBidi"/>
          <w:sz w:val="22"/>
          <w:szCs w:val="22"/>
        </w:rPr>
      </w:pPr>
      <w:r w:rsidRPr="00707E03">
        <w:rPr>
          <w:rFonts w:cs="Tahoma"/>
        </w:rPr>
        <w:t>Windows Server™ 2008 R2 Enterprise</w:t>
      </w:r>
      <w:r w:rsidRPr="00707E03">
        <w:tab/>
      </w:r>
      <w:r w:rsidRPr="00707E03">
        <w:fldChar w:fldCharType="begin"/>
      </w:r>
      <w:r w:rsidRPr="00707E03">
        <w:instrText xml:space="preserve"> PAGEREF _Toc352234738 \h </w:instrText>
      </w:r>
      <w:r w:rsidRPr="00707E03">
        <w:fldChar w:fldCharType="separate"/>
      </w:r>
      <w:r w:rsidRPr="00707E03">
        <w:t>25</w:t>
      </w:r>
      <w:r w:rsidRPr="00707E03">
        <w:fldChar w:fldCharType="end"/>
      </w:r>
    </w:p>
    <w:p w:rsidR="00707E03" w:rsidRPr="00707E03" w:rsidRDefault="00707E03">
      <w:pPr>
        <w:pStyle w:val="TOC2"/>
        <w:rPr>
          <w:rFonts w:asciiTheme="minorHAnsi" w:eastAsiaTheme="minorEastAsia" w:hAnsiTheme="minorHAnsi" w:cstheme="minorBidi"/>
          <w:sz w:val="22"/>
          <w:szCs w:val="22"/>
        </w:rPr>
      </w:pPr>
      <w:r w:rsidRPr="00707E03">
        <w:rPr>
          <w:rFonts w:cs="Tahoma"/>
          <w:lang w:val="it-IT"/>
        </w:rPr>
        <w:t>Windows Server™ 2008 R2 per Sistemi Basati su Itanium</w:t>
      </w:r>
      <w:r w:rsidRPr="00707E03">
        <w:tab/>
      </w:r>
      <w:r w:rsidRPr="00707E03">
        <w:fldChar w:fldCharType="begin"/>
      </w:r>
      <w:r w:rsidRPr="00707E03">
        <w:instrText xml:space="preserve"> PAGEREF _Toc352234739 \h </w:instrText>
      </w:r>
      <w:r w:rsidRPr="00707E03">
        <w:fldChar w:fldCharType="separate"/>
      </w:r>
      <w:r w:rsidRPr="00707E03">
        <w:t>26</w:t>
      </w:r>
      <w:r w:rsidRPr="00707E03">
        <w:fldChar w:fldCharType="end"/>
      </w:r>
    </w:p>
    <w:p w:rsidR="00707E03" w:rsidRPr="00707E03" w:rsidRDefault="00707E03">
      <w:pPr>
        <w:pStyle w:val="TOC2"/>
        <w:rPr>
          <w:rFonts w:asciiTheme="minorHAnsi" w:eastAsiaTheme="minorEastAsia" w:hAnsiTheme="minorHAnsi" w:cstheme="minorBidi"/>
          <w:sz w:val="22"/>
          <w:szCs w:val="22"/>
        </w:rPr>
      </w:pPr>
      <w:r w:rsidRPr="00707E03">
        <w:rPr>
          <w:rFonts w:cs="Tahoma"/>
        </w:rPr>
        <w:t>CAL per Windows Server™ 2012 (Dispositivo e Utente)</w:t>
      </w:r>
      <w:r w:rsidRPr="00707E03">
        <w:tab/>
      </w:r>
      <w:r w:rsidRPr="00707E03">
        <w:fldChar w:fldCharType="begin"/>
      </w:r>
      <w:r w:rsidRPr="00707E03">
        <w:instrText xml:space="preserve"> PAGEREF _Toc352234740 \h </w:instrText>
      </w:r>
      <w:r w:rsidRPr="00707E03">
        <w:fldChar w:fldCharType="separate"/>
      </w:r>
      <w:r w:rsidRPr="00707E03">
        <w:t>26</w:t>
      </w:r>
      <w:r w:rsidRPr="00707E03">
        <w:fldChar w:fldCharType="end"/>
      </w:r>
    </w:p>
    <w:p w:rsidR="00707E03" w:rsidRPr="00707E03" w:rsidRDefault="00707E03">
      <w:pPr>
        <w:pStyle w:val="TOC2"/>
        <w:rPr>
          <w:rFonts w:asciiTheme="minorHAnsi" w:eastAsiaTheme="minorEastAsia" w:hAnsiTheme="minorHAnsi" w:cstheme="minorBidi"/>
          <w:sz w:val="22"/>
          <w:szCs w:val="22"/>
        </w:rPr>
      </w:pPr>
      <w:r w:rsidRPr="00707E03">
        <w:rPr>
          <w:rFonts w:cs="Tahoma"/>
        </w:rPr>
        <w:t>Windows Server™ 2012 Datacenter</w:t>
      </w:r>
      <w:r w:rsidRPr="00707E03">
        <w:tab/>
      </w:r>
      <w:r w:rsidRPr="00707E03">
        <w:fldChar w:fldCharType="begin"/>
      </w:r>
      <w:r w:rsidRPr="00707E03">
        <w:instrText xml:space="preserve"> PAGEREF _Toc352234741 \h </w:instrText>
      </w:r>
      <w:r w:rsidRPr="00707E03">
        <w:fldChar w:fldCharType="separate"/>
      </w:r>
      <w:r w:rsidRPr="00707E03">
        <w:t>26</w:t>
      </w:r>
      <w:r w:rsidRPr="00707E03">
        <w:fldChar w:fldCharType="end"/>
      </w:r>
    </w:p>
    <w:p w:rsidR="00707E03" w:rsidRPr="00707E03" w:rsidRDefault="00707E03">
      <w:pPr>
        <w:pStyle w:val="TOC2"/>
        <w:rPr>
          <w:rFonts w:asciiTheme="minorHAnsi" w:eastAsiaTheme="minorEastAsia" w:hAnsiTheme="minorHAnsi" w:cstheme="minorBidi"/>
          <w:sz w:val="22"/>
          <w:szCs w:val="22"/>
        </w:rPr>
      </w:pPr>
      <w:r w:rsidRPr="00707E03">
        <w:rPr>
          <w:rFonts w:cs="Tahoma"/>
        </w:rPr>
        <w:t>Windows Server™ 2012 Standard</w:t>
      </w:r>
      <w:r w:rsidRPr="00707E03">
        <w:tab/>
      </w:r>
      <w:r w:rsidRPr="00707E03">
        <w:fldChar w:fldCharType="begin"/>
      </w:r>
      <w:r w:rsidRPr="00707E03">
        <w:instrText xml:space="preserve"> PAGEREF _Toc352234742 \h </w:instrText>
      </w:r>
      <w:r w:rsidRPr="00707E03">
        <w:fldChar w:fldCharType="separate"/>
      </w:r>
      <w:r w:rsidRPr="00707E03">
        <w:t>26</w:t>
      </w:r>
      <w:r w:rsidRPr="00707E03">
        <w:fldChar w:fldCharType="end"/>
      </w:r>
    </w:p>
    <w:p w:rsidR="00707E03" w:rsidRPr="00707E03" w:rsidRDefault="00707E03">
      <w:pPr>
        <w:pStyle w:val="TOC2"/>
        <w:rPr>
          <w:rFonts w:asciiTheme="minorHAnsi" w:eastAsiaTheme="minorEastAsia" w:hAnsiTheme="minorHAnsi" w:cstheme="minorBidi"/>
          <w:sz w:val="22"/>
          <w:szCs w:val="22"/>
        </w:rPr>
      </w:pPr>
      <w:r w:rsidRPr="00707E03">
        <w:rPr>
          <w:rFonts w:cs="Tahoma"/>
        </w:rPr>
        <w:t>External Connector per Windows Server™</w:t>
      </w:r>
      <w:r w:rsidRPr="00707E03">
        <w:tab/>
      </w:r>
      <w:r w:rsidRPr="00707E03">
        <w:fldChar w:fldCharType="begin"/>
      </w:r>
      <w:r w:rsidRPr="00707E03">
        <w:instrText xml:space="preserve"> PAGEREF _Toc352234743 \h </w:instrText>
      </w:r>
      <w:r w:rsidRPr="00707E03">
        <w:fldChar w:fldCharType="separate"/>
      </w:r>
      <w:r w:rsidRPr="00707E03">
        <w:t>26</w:t>
      </w:r>
      <w:r w:rsidRPr="00707E03">
        <w:fldChar w:fldCharType="end"/>
      </w:r>
    </w:p>
    <w:p w:rsidR="00707E03" w:rsidRPr="00707E03" w:rsidRDefault="00707E03">
      <w:pPr>
        <w:pStyle w:val="TOC2"/>
        <w:rPr>
          <w:rFonts w:asciiTheme="minorHAnsi" w:eastAsiaTheme="minorEastAsia" w:hAnsiTheme="minorHAnsi" w:cstheme="minorBidi"/>
          <w:sz w:val="22"/>
          <w:szCs w:val="22"/>
        </w:rPr>
      </w:pPr>
      <w:r w:rsidRPr="00707E03">
        <w:rPr>
          <w:rFonts w:cs="Tahoma"/>
          <w:lang w:val="it-IT"/>
        </w:rPr>
        <w:t>CAL per Servizi Desktop Remoto Windows Server™ 2012</w:t>
      </w:r>
      <w:r w:rsidRPr="00707E03">
        <w:tab/>
      </w:r>
      <w:r w:rsidRPr="00707E03">
        <w:fldChar w:fldCharType="begin"/>
      </w:r>
      <w:r w:rsidRPr="00707E03">
        <w:instrText xml:space="preserve"> PAGEREF _Toc352234744 \h </w:instrText>
      </w:r>
      <w:r w:rsidRPr="00707E03">
        <w:fldChar w:fldCharType="separate"/>
      </w:r>
      <w:r w:rsidRPr="00707E03">
        <w:t>26</w:t>
      </w:r>
      <w:r w:rsidRPr="00707E03">
        <w:fldChar w:fldCharType="end"/>
      </w:r>
    </w:p>
    <w:p w:rsidR="00707E03" w:rsidRPr="00707E03" w:rsidRDefault="00707E03">
      <w:pPr>
        <w:pStyle w:val="TOC2"/>
        <w:rPr>
          <w:rFonts w:asciiTheme="minorHAnsi" w:eastAsiaTheme="minorEastAsia" w:hAnsiTheme="minorHAnsi" w:cstheme="minorBidi"/>
          <w:sz w:val="22"/>
          <w:szCs w:val="22"/>
        </w:rPr>
      </w:pPr>
      <w:r w:rsidRPr="00707E03">
        <w:rPr>
          <w:rFonts w:cs="Tahoma"/>
        </w:rPr>
        <w:t>External Connector per Servizi Desktop Remoto Windows Server™ 2012</w:t>
      </w:r>
      <w:r w:rsidRPr="00707E03">
        <w:tab/>
      </w:r>
      <w:r w:rsidRPr="00707E03">
        <w:fldChar w:fldCharType="begin"/>
      </w:r>
      <w:r w:rsidRPr="00707E03">
        <w:instrText xml:space="preserve"> PAGEREF _Toc352234745 \h </w:instrText>
      </w:r>
      <w:r w:rsidRPr="00707E03">
        <w:fldChar w:fldCharType="separate"/>
      </w:r>
      <w:r w:rsidRPr="00707E03">
        <w:t>26</w:t>
      </w:r>
      <w:r w:rsidRPr="00707E03">
        <w:fldChar w:fldCharType="end"/>
      </w:r>
    </w:p>
    <w:p w:rsidR="00707E03" w:rsidRPr="00707E03" w:rsidRDefault="00707E03">
      <w:pPr>
        <w:pStyle w:val="TOC2"/>
        <w:rPr>
          <w:rFonts w:asciiTheme="minorHAnsi" w:eastAsiaTheme="minorEastAsia" w:hAnsiTheme="minorHAnsi" w:cstheme="minorBidi"/>
          <w:sz w:val="22"/>
          <w:szCs w:val="22"/>
        </w:rPr>
      </w:pPr>
      <w:r w:rsidRPr="00707E03">
        <w:rPr>
          <w:rFonts w:cs="Tahoma"/>
        </w:rPr>
        <w:t>CAL per Windows Server™ 2012 Active Directory Rights Management Services</w:t>
      </w:r>
      <w:r w:rsidRPr="00707E03">
        <w:tab/>
      </w:r>
      <w:r w:rsidRPr="00707E03">
        <w:fldChar w:fldCharType="begin"/>
      </w:r>
      <w:r w:rsidRPr="00707E03">
        <w:instrText xml:space="preserve"> PAGEREF _Toc352234746 \h </w:instrText>
      </w:r>
      <w:r w:rsidRPr="00707E03">
        <w:fldChar w:fldCharType="separate"/>
      </w:r>
      <w:r w:rsidRPr="00707E03">
        <w:t>26</w:t>
      </w:r>
      <w:r w:rsidRPr="00707E03">
        <w:fldChar w:fldCharType="end"/>
      </w:r>
    </w:p>
    <w:p w:rsidR="00707E03" w:rsidRPr="00707E03" w:rsidRDefault="00707E03">
      <w:pPr>
        <w:pStyle w:val="TOC2"/>
        <w:rPr>
          <w:rFonts w:asciiTheme="minorHAnsi" w:eastAsiaTheme="minorEastAsia" w:hAnsiTheme="minorHAnsi" w:cstheme="minorBidi"/>
          <w:sz w:val="22"/>
          <w:szCs w:val="22"/>
        </w:rPr>
      </w:pPr>
      <w:r w:rsidRPr="00707E03">
        <w:rPr>
          <w:rFonts w:cs="Tahoma"/>
        </w:rPr>
        <w:t>External Connector per Windows Server™ Active Directory Rights Management Services</w:t>
      </w:r>
      <w:r w:rsidRPr="00707E03">
        <w:tab/>
      </w:r>
      <w:r w:rsidRPr="00707E03">
        <w:fldChar w:fldCharType="begin"/>
      </w:r>
      <w:r w:rsidRPr="00707E03">
        <w:instrText xml:space="preserve"> PAGEREF _Toc352234747 \h </w:instrText>
      </w:r>
      <w:r w:rsidRPr="00707E03">
        <w:fldChar w:fldCharType="separate"/>
      </w:r>
      <w:r w:rsidRPr="00707E03">
        <w:t>26</w:t>
      </w:r>
      <w:r w:rsidRPr="00707E03">
        <w:fldChar w:fldCharType="end"/>
      </w:r>
    </w:p>
    <w:p w:rsidR="00707E03" w:rsidRPr="00707E03" w:rsidRDefault="00707E03">
      <w:pPr>
        <w:pStyle w:val="TOC2"/>
        <w:rPr>
          <w:rFonts w:asciiTheme="minorHAnsi" w:eastAsiaTheme="minorEastAsia" w:hAnsiTheme="minorHAnsi" w:cstheme="minorBidi"/>
          <w:sz w:val="22"/>
          <w:szCs w:val="22"/>
        </w:rPr>
      </w:pPr>
      <w:r w:rsidRPr="00707E03">
        <w:rPr>
          <w:rFonts w:cs="Tahoma"/>
        </w:rPr>
        <w:t>Windows Small Business Server 2008 Premium</w:t>
      </w:r>
      <w:r w:rsidRPr="00707E03">
        <w:tab/>
      </w:r>
      <w:r w:rsidRPr="00707E03">
        <w:fldChar w:fldCharType="begin"/>
      </w:r>
      <w:r w:rsidRPr="00707E03">
        <w:instrText xml:space="preserve"> PAGEREF _Toc352234748 \h </w:instrText>
      </w:r>
      <w:r w:rsidRPr="00707E03">
        <w:fldChar w:fldCharType="separate"/>
      </w:r>
      <w:r w:rsidRPr="00707E03">
        <w:t>26</w:t>
      </w:r>
      <w:r w:rsidRPr="00707E03">
        <w:fldChar w:fldCharType="end"/>
      </w:r>
    </w:p>
    <w:p w:rsidR="00707E03" w:rsidRPr="00707E03" w:rsidRDefault="00707E03">
      <w:pPr>
        <w:pStyle w:val="TOC2"/>
        <w:rPr>
          <w:rFonts w:asciiTheme="minorHAnsi" w:eastAsiaTheme="minorEastAsia" w:hAnsiTheme="minorHAnsi" w:cstheme="minorBidi"/>
          <w:sz w:val="22"/>
          <w:szCs w:val="22"/>
        </w:rPr>
      </w:pPr>
      <w:r w:rsidRPr="00707E03">
        <w:rPr>
          <w:rFonts w:cs="Tahoma"/>
        </w:rPr>
        <w:t>CAL Suite per Windows Small Business Server 2008 per Utenti o Dispositivi Premium</w:t>
      </w:r>
      <w:r w:rsidRPr="00707E03">
        <w:tab/>
      </w:r>
      <w:r w:rsidRPr="00707E03">
        <w:fldChar w:fldCharType="begin"/>
      </w:r>
      <w:r w:rsidRPr="00707E03">
        <w:instrText xml:space="preserve"> PAGEREF _Toc352234749 \h </w:instrText>
      </w:r>
      <w:r w:rsidRPr="00707E03">
        <w:fldChar w:fldCharType="separate"/>
      </w:r>
      <w:r w:rsidRPr="00707E03">
        <w:t>26</w:t>
      </w:r>
      <w:r w:rsidRPr="00707E03">
        <w:fldChar w:fldCharType="end"/>
      </w:r>
    </w:p>
    <w:p w:rsidR="00707E03" w:rsidRPr="00707E03" w:rsidRDefault="00707E03">
      <w:pPr>
        <w:pStyle w:val="TOC2"/>
        <w:rPr>
          <w:rFonts w:asciiTheme="minorHAnsi" w:eastAsiaTheme="minorEastAsia" w:hAnsiTheme="minorHAnsi" w:cstheme="minorBidi"/>
          <w:sz w:val="22"/>
          <w:szCs w:val="22"/>
        </w:rPr>
      </w:pPr>
      <w:r w:rsidRPr="00707E03">
        <w:rPr>
          <w:rFonts w:cs="Tahoma"/>
        </w:rPr>
        <w:t>CAL Suite per Windows Small Business Server 2008 per Utenti o Dispositivi Premium (5 Client)</w:t>
      </w:r>
      <w:r w:rsidRPr="00707E03">
        <w:tab/>
      </w:r>
      <w:r w:rsidRPr="00707E03">
        <w:fldChar w:fldCharType="begin"/>
      </w:r>
      <w:r w:rsidRPr="00707E03">
        <w:instrText xml:space="preserve"> PAGEREF _Toc352234750 \h </w:instrText>
      </w:r>
      <w:r w:rsidRPr="00707E03">
        <w:fldChar w:fldCharType="separate"/>
      </w:r>
      <w:r w:rsidRPr="00707E03">
        <w:t>26</w:t>
      </w:r>
      <w:r w:rsidRPr="00707E03">
        <w:fldChar w:fldCharType="end"/>
      </w:r>
    </w:p>
    <w:p w:rsidR="00707E03" w:rsidRPr="00707E03" w:rsidRDefault="00707E03">
      <w:pPr>
        <w:pStyle w:val="TOC2"/>
        <w:rPr>
          <w:rFonts w:asciiTheme="minorHAnsi" w:eastAsiaTheme="minorEastAsia" w:hAnsiTheme="minorHAnsi" w:cstheme="minorBidi"/>
          <w:sz w:val="22"/>
          <w:szCs w:val="22"/>
        </w:rPr>
      </w:pPr>
      <w:r w:rsidRPr="00707E03">
        <w:rPr>
          <w:rFonts w:cs="Tahoma"/>
        </w:rPr>
        <w:t>CAL Suite per Windows Small Business Server 2008 per Utenti o Dispositivi Premium (20 Client)</w:t>
      </w:r>
      <w:r w:rsidRPr="00707E03">
        <w:tab/>
      </w:r>
      <w:r w:rsidRPr="00707E03">
        <w:fldChar w:fldCharType="begin"/>
      </w:r>
      <w:r w:rsidRPr="00707E03">
        <w:instrText xml:space="preserve"> PAGEREF _Toc352234751 \h </w:instrText>
      </w:r>
      <w:r w:rsidRPr="00707E03">
        <w:fldChar w:fldCharType="separate"/>
      </w:r>
      <w:r w:rsidRPr="00707E03">
        <w:t>26</w:t>
      </w:r>
      <w:r w:rsidRPr="00707E03">
        <w:fldChar w:fldCharType="end"/>
      </w:r>
    </w:p>
    <w:p w:rsidR="00707E03" w:rsidRPr="00707E03" w:rsidRDefault="00707E03">
      <w:pPr>
        <w:pStyle w:val="TOC2"/>
        <w:rPr>
          <w:rFonts w:asciiTheme="minorHAnsi" w:eastAsiaTheme="minorEastAsia" w:hAnsiTheme="minorHAnsi" w:cstheme="minorBidi"/>
          <w:sz w:val="22"/>
          <w:szCs w:val="22"/>
        </w:rPr>
      </w:pPr>
      <w:r w:rsidRPr="00707E03">
        <w:rPr>
          <w:rFonts w:cs="Tahoma"/>
        </w:rPr>
        <w:t>Windows Small Business Server 2011 Standard (5 client)</w:t>
      </w:r>
      <w:r w:rsidRPr="00707E03">
        <w:tab/>
      </w:r>
      <w:r w:rsidRPr="00707E03">
        <w:fldChar w:fldCharType="begin"/>
      </w:r>
      <w:r w:rsidRPr="00707E03">
        <w:instrText xml:space="preserve"> PAGEREF _Toc352234752 \h </w:instrText>
      </w:r>
      <w:r w:rsidRPr="00707E03">
        <w:fldChar w:fldCharType="separate"/>
      </w:r>
      <w:r w:rsidRPr="00707E03">
        <w:t>26</w:t>
      </w:r>
      <w:r w:rsidRPr="00707E03">
        <w:fldChar w:fldCharType="end"/>
      </w:r>
    </w:p>
    <w:p w:rsidR="00707E03" w:rsidRPr="00707E03" w:rsidRDefault="00707E03">
      <w:pPr>
        <w:pStyle w:val="TOC2"/>
        <w:rPr>
          <w:rFonts w:asciiTheme="minorHAnsi" w:eastAsiaTheme="minorEastAsia" w:hAnsiTheme="minorHAnsi" w:cstheme="minorBidi"/>
          <w:sz w:val="22"/>
          <w:szCs w:val="22"/>
        </w:rPr>
      </w:pPr>
      <w:r w:rsidRPr="00707E03">
        <w:rPr>
          <w:rFonts w:cs="Tahoma"/>
        </w:rPr>
        <w:t>CAL Suite per Windows Small Business Server 2011 (1 client)</w:t>
      </w:r>
      <w:r w:rsidRPr="00707E03">
        <w:tab/>
      </w:r>
      <w:r w:rsidRPr="00707E03">
        <w:fldChar w:fldCharType="begin"/>
      </w:r>
      <w:r w:rsidRPr="00707E03">
        <w:instrText xml:space="preserve"> PAGEREF _Toc352234753 \h </w:instrText>
      </w:r>
      <w:r w:rsidRPr="00707E03">
        <w:fldChar w:fldCharType="separate"/>
      </w:r>
      <w:r w:rsidRPr="00707E03">
        <w:t>26</w:t>
      </w:r>
      <w:r w:rsidRPr="00707E03">
        <w:fldChar w:fldCharType="end"/>
      </w:r>
    </w:p>
    <w:p w:rsidR="00707E03" w:rsidRPr="00707E03" w:rsidRDefault="00707E03">
      <w:pPr>
        <w:pStyle w:val="TOC2"/>
        <w:rPr>
          <w:rFonts w:asciiTheme="minorHAnsi" w:eastAsiaTheme="minorEastAsia" w:hAnsiTheme="minorHAnsi" w:cstheme="minorBidi"/>
          <w:sz w:val="22"/>
          <w:szCs w:val="22"/>
        </w:rPr>
      </w:pPr>
      <w:r w:rsidRPr="00707E03">
        <w:rPr>
          <w:rFonts w:cs="Tahoma"/>
        </w:rPr>
        <w:t>CAL Suite per Windows Small Business Server 2011 (5 client)</w:t>
      </w:r>
      <w:r w:rsidRPr="00707E03">
        <w:tab/>
      </w:r>
      <w:r w:rsidRPr="00707E03">
        <w:fldChar w:fldCharType="begin"/>
      </w:r>
      <w:r w:rsidRPr="00707E03">
        <w:instrText xml:space="preserve"> PAGEREF _Toc352234754 \h </w:instrText>
      </w:r>
      <w:r w:rsidRPr="00707E03">
        <w:fldChar w:fldCharType="separate"/>
      </w:r>
      <w:r w:rsidRPr="00707E03">
        <w:t>26</w:t>
      </w:r>
      <w:r w:rsidRPr="00707E03">
        <w:fldChar w:fldCharType="end"/>
      </w:r>
    </w:p>
    <w:p w:rsidR="00707E03" w:rsidRPr="00707E03" w:rsidRDefault="00707E03">
      <w:pPr>
        <w:pStyle w:val="TOC2"/>
        <w:rPr>
          <w:rFonts w:asciiTheme="minorHAnsi" w:eastAsiaTheme="minorEastAsia" w:hAnsiTheme="minorHAnsi" w:cstheme="minorBidi"/>
          <w:sz w:val="22"/>
          <w:szCs w:val="22"/>
        </w:rPr>
      </w:pPr>
      <w:r w:rsidRPr="00707E03">
        <w:rPr>
          <w:rFonts w:cs="Tahoma"/>
        </w:rPr>
        <w:t>CAL Suite per Windows Small Business Server 2011 (20 client)</w:t>
      </w:r>
      <w:r w:rsidRPr="00707E03">
        <w:tab/>
      </w:r>
      <w:r w:rsidRPr="00707E03">
        <w:fldChar w:fldCharType="begin"/>
      </w:r>
      <w:r w:rsidRPr="00707E03">
        <w:instrText xml:space="preserve"> PAGEREF _Toc352234755 \h </w:instrText>
      </w:r>
      <w:r w:rsidRPr="00707E03">
        <w:fldChar w:fldCharType="separate"/>
      </w:r>
      <w:r w:rsidRPr="00707E03">
        <w:t>26</w:t>
      </w:r>
      <w:r w:rsidRPr="00707E03">
        <w:fldChar w:fldCharType="end"/>
      </w:r>
    </w:p>
    <w:p w:rsidR="00707E03" w:rsidRPr="00707E03" w:rsidRDefault="00707E03">
      <w:pPr>
        <w:pStyle w:val="TOC2"/>
        <w:rPr>
          <w:rFonts w:asciiTheme="minorHAnsi" w:eastAsiaTheme="minorEastAsia" w:hAnsiTheme="minorHAnsi" w:cstheme="minorBidi"/>
          <w:sz w:val="22"/>
          <w:szCs w:val="22"/>
        </w:rPr>
      </w:pPr>
      <w:r w:rsidRPr="00707E03">
        <w:rPr>
          <w:rFonts w:cs="Tahoma"/>
        </w:rPr>
        <w:t>Premium Add-on per Windows Small Business Server 2011 (5 client)</w:t>
      </w:r>
      <w:r w:rsidRPr="00707E03">
        <w:tab/>
      </w:r>
      <w:r w:rsidRPr="00707E03">
        <w:fldChar w:fldCharType="begin"/>
      </w:r>
      <w:r w:rsidRPr="00707E03">
        <w:instrText xml:space="preserve"> PAGEREF _Toc352234756 \h </w:instrText>
      </w:r>
      <w:r w:rsidRPr="00707E03">
        <w:fldChar w:fldCharType="separate"/>
      </w:r>
      <w:r w:rsidRPr="00707E03">
        <w:t>26</w:t>
      </w:r>
      <w:r w:rsidRPr="00707E03">
        <w:fldChar w:fldCharType="end"/>
      </w:r>
    </w:p>
    <w:p w:rsidR="00707E03" w:rsidRPr="00707E03" w:rsidRDefault="00707E03">
      <w:pPr>
        <w:pStyle w:val="TOC2"/>
        <w:rPr>
          <w:rFonts w:asciiTheme="minorHAnsi" w:eastAsiaTheme="minorEastAsia" w:hAnsiTheme="minorHAnsi" w:cstheme="minorBidi"/>
          <w:sz w:val="22"/>
          <w:szCs w:val="22"/>
        </w:rPr>
      </w:pPr>
      <w:r w:rsidRPr="00707E03">
        <w:rPr>
          <w:rFonts w:cs="Tahoma"/>
        </w:rPr>
        <w:t>Premium Add-on CAL Suite per Windows Small Business Server 2011</w:t>
      </w:r>
      <w:r w:rsidRPr="00707E03">
        <w:tab/>
      </w:r>
      <w:r w:rsidRPr="00707E03">
        <w:fldChar w:fldCharType="begin"/>
      </w:r>
      <w:r w:rsidRPr="00707E03">
        <w:instrText xml:space="preserve"> PAGEREF _Toc352234757 \h </w:instrText>
      </w:r>
      <w:r w:rsidRPr="00707E03">
        <w:fldChar w:fldCharType="separate"/>
      </w:r>
      <w:r w:rsidRPr="00707E03">
        <w:t>26</w:t>
      </w:r>
      <w:r w:rsidRPr="00707E03">
        <w:fldChar w:fldCharType="end"/>
      </w:r>
    </w:p>
    <w:p w:rsidR="00707E03" w:rsidRPr="00707E03" w:rsidRDefault="00707E03">
      <w:pPr>
        <w:pStyle w:val="TOC2"/>
        <w:rPr>
          <w:rFonts w:asciiTheme="minorHAnsi" w:eastAsiaTheme="minorEastAsia" w:hAnsiTheme="minorHAnsi" w:cstheme="minorBidi"/>
          <w:sz w:val="22"/>
          <w:szCs w:val="22"/>
        </w:rPr>
      </w:pPr>
      <w:r w:rsidRPr="00707E03">
        <w:rPr>
          <w:rFonts w:cs="Tahoma"/>
        </w:rPr>
        <w:t>Premium Add-on CAL Suite per Windows Small Business Server 2011 (5 client)</w:t>
      </w:r>
      <w:r w:rsidRPr="00707E03">
        <w:tab/>
      </w:r>
      <w:r w:rsidRPr="00707E03">
        <w:fldChar w:fldCharType="begin"/>
      </w:r>
      <w:r w:rsidRPr="00707E03">
        <w:instrText xml:space="preserve"> PAGEREF _Toc352234758 \h </w:instrText>
      </w:r>
      <w:r w:rsidRPr="00707E03">
        <w:fldChar w:fldCharType="separate"/>
      </w:r>
      <w:r w:rsidRPr="00707E03">
        <w:t>26</w:t>
      </w:r>
      <w:r w:rsidRPr="00707E03">
        <w:fldChar w:fldCharType="end"/>
      </w:r>
    </w:p>
    <w:p w:rsidR="00707E03" w:rsidRPr="00707E03" w:rsidRDefault="00707E03">
      <w:pPr>
        <w:pStyle w:val="TOC2"/>
        <w:rPr>
          <w:rFonts w:asciiTheme="minorHAnsi" w:eastAsiaTheme="minorEastAsia" w:hAnsiTheme="minorHAnsi" w:cstheme="minorBidi"/>
          <w:sz w:val="22"/>
          <w:szCs w:val="22"/>
        </w:rPr>
      </w:pPr>
      <w:r w:rsidRPr="00707E03">
        <w:rPr>
          <w:rFonts w:cs="Tahoma"/>
        </w:rPr>
        <w:t>Premium Add-on CAL Suite per Windows Small Business Server 2011 (20 client)</w:t>
      </w:r>
      <w:r w:rsidRPr="00707E03">
        <w:tab/>
      </w:r>
      <w:r w:rsidRPr="00707E03">
        <w:fldChar w:fldCharType="begin"/>
      </w:r>
      <w:r w:rsidRPr="00707E03">
        <w:instrText xml:space="preserve"> PAGEREF _Toc352234759 \h </w:instrText>
      </w:r>
      <w:r w:rsidRPr="00707E03">
        <w:fldChar w:fldCharType="separate"/>
      </w:r>
      <w:r w:rsidRPr="00707E03">
        <w:t>26</w:t>
      </w:r>
      <w:r w:rsidRPr="00707E03">
        <w:fldChar w:fldCharType="end"/>
      </w:r>
    </w:p>
    <w:p w:rsidR="00707E03" w:rsidRPr="00707E03" w:rsidRDefault="00707E03">
      <w:pPr>
        <w:pStyle w:val="TOC2"/>
        <w:rPr>
          <w:rFonts w:asciiTheme="minorHAnsi" w:eastAsiaTheme="minorEastAsia" w:hAnsiTheme="minorHAnsi" w:cstheme="minorBidi"/>
          <w:sz w:val="22"/>
          <w:szCs w:val="22"/>
        </w:rPr>
      </w:pPr>
      <w:r w:rsidRPr="00707E03">
        <w:rPr>
          <w:rFonts w:cs="Tahoma"/>
        </w:rPr>
        <w:t>Windows Server Essentials 2012</w:t>
      </w:r>
      <w:r w:rsidRPr="00707E03">
        <w:tab/>
      </w:r>
      <w:r w:rsidRPr="00707E03">
        <w:fldChar w:fldCharType="begin"/>
      </w:r>
      <w:r w:rsidRPr="00707E03">
        <w:instrText xml:space="preserve"> PAGEREF _Toc352234760 \h </w:instrText>
      </w:r>
      <w:r w:rsidRPr="00707E03">
        <w:fldChar w:fldCharType="separate"/>
      </w:r>
      <w:r w:rsidRPr="00707E03">
        <w:t>27</w:t>
      </w:r>
      <w:r w:rsidRPr="00707E03">
        <w:fldChar w:fldCharType="end"/>
      </w:r>
    </w:p>
    <w:p w:rsidR="00707E03" w:rsidRPr="00707E03" w:rsidRDefault="00707E03">
      <w:pPr>
        <w:pStyle w:val="TOC2"/>
        <w:rPr>
          <w:rFonts w:asciiTheme="minorHAnsi" w:eastAsiaTheme="minorEastAsia" w:hAnsiTheme="minorHAnsi" w:cstheme="minorBidi"/>
          <w:sz w:val="22"/>
          <w:szCs w:val="22"/>
        </w:rPr>
      </w:pPr>
      <w:r w:rsidRPr="00707E03">
        <w:rPr>
          <w:rFonts w:cs="Tahoma"/>
        </w:rPr>
        <w:t>Windows Small Business Server 2011 Essentials</w:t>
      </w:r>
      <w:r w:rsidRPr="00707E03">
        <w:tab/>
      </w:r>
      <w:r w:rsidRPr="00707E03">
        <w:fldChar w:fldCharType="begin"/>
      </w:r>
      <w:r w:rsidRPr="00707E03">
        <w:instrText xml:space="preserve"> PAGEREF _Toc352234761 \h </w:instrText>
      </w:r>
      <w:r w:rsidRPr="00707E03">
        <w:fldChar w:fldCharType="separate"/>
      </w:r>
      <w:r w:rsidRPr="00707E03">
        <w:t>27</w:t>
      </w:r>
      <w:r w:rsidRPr="00707E03">
        <w:fldChar w:fldCharType="end"/>
      </w:r>
    </w:p>
    <w:p w:rsidR="00707E03" w:rsidRPr="00707E03" w:rsidRDefault="00707E03">
      <w:pPr>
        <w:pStyle w:val="TOC2"/>
        <w:rPr>
          <w:rFonts w:asciiTheme="minorHAnsi" w:eastAsiaTheme="minorEastAsia" w:hAnsiTheme="minorHAnsi" w:cstheme="minorBidi"/>
          <w:sz w:val="22"/>
          <w:szCs w:val="22"/>
        </w:rPr>
      </w:pPr>
      <w:r w:rsidRPr="00707E03">
        <w:rPr>
          <w:rFonts w:cs="Tahoma"/>
        </w:rPr>
        <w:t>Windows Web Server 2008 R2</w:t>
      </w:r>
      <w:r w:rsidRPr="00707E03">
        <w:tab/>
      </w:r>
      <w:r w:rsidRPr="00707E03">
        <w:fldChar w:fldCharType="begin"/>
      </w:r>
      <w:r w:rsidRPr="00707E03">
        <w:instrText xml:space="preserve"> PAGEREF _Toc352234762 \h </w:instrText>
      </w:r>
      <w:r w:rsidRPr="00707E03">
        <w:fldChar w:fldCharType="separate"/>
      </w:r>
      <w:r w:rsidRPr="00707E03">
        <w:t>27</w:t>
      </w:r>
      <w:r w:rsidRPr="00707E03">
        <w:fldChar w:fldCharType="end"/>
      </w:r>
    </w:p>
    <w:p w:rsidR="00707E03" w:rsidRPr="00707E03" w:rsidRDefault="00707E03">
      <w:pPr>
        <w:pStyle w:val="TOC2"/>
        <w:rPr>
          <w:rFonts w:asciiTheme="minorHAnsi" w:eastAsiaTheme="minorEastAsia" w:hAnsiTheme="minorHAnsi" w:cstheme="minorBidi"/>
          <w:sz w:val="22"/>
          <w:szCs w:val="22"/>
        </w:rPr>
      </w:pPr>
      <w:r w:rsidRPr="00707E03">
        <w:rPr>
          <w:rFonts w:cs="Tahoma"/>
        </w:rPr>
        <w:t>Yammer Enterprise</w:t>
      </w:r>
      <w:r w:rsidRPr="00707E03">
        <w:tab/>
      </w:r>
      <w:r w:rsidRPr="00707E03">
        <w:fldChar w:fldCharType="begin"/>
      </w:r>
      <w:r w:rsidRPr="00707E03">
        <w:instrText xml:space="preserve"> PAGEREF _Toc352234763 \h </w:instrText>
      </w:r>
      <w:r w:rsidRPr="00707E03">
        <w:fldChar w:fldCharType="separate"/>
      </w:r>
      <w:r w:rsidRPr="00707E03">
        <w:t>27</w:t>
      </w:r>
      <w:r w:rsidRPr="00707E03">
        <w:fldChar w:fldCharType="end"/>
      </w:r>
    </w:p>
    <w:p w:rsidR="00707E03" w:rsidRPr="00707E03" w:rsidRDefault="00707E03">
      <w:pPr>
        <w:pStyle w:val="TOC1"/>
        <w:rPr>
          <w:rFonts w:asciiTheme="minorHAnsi" w:eastAsiaTheme="minorEastAsia" w:hAnsiTheme="minorHAnsi" w:cstheme="minorBidi"/>
          <w:b w:val="0"/>
          <w:caps w:val="0"/>
          <w:color w:val="auto"/>
          <w:szCs w:val="22"/>
        </w:rPr>
      </w:pPr>
      <w:r w:rsidRPr="00707E03">
        <w:rPr>
          <w:color w:val="auto"/>
        </w:rPr>
        <w:tab/>
      </w:r>
      <w:r w:rsidRPr="00707E03">
        <w:rPr>
          <w:color w:val="auto"/>
        </w:rPr>
        <w:fldChar w:fldCharType="begin"/>
      </w:r>
      <w:r w:rsidRPr="00707E03">
        <w:rPr>
          <w:color w:val="auto"/>
        </w:rPr>
        <w:instrText xml:space="preserve"> PAGEREF _Toc352234764 \h </w:instrText>
      </w:r>
      <w:r w:rsidRPr="00707E03">
        <w:rPr>
          <w:color w:val="auto"/>
        </w:rPr>
      </w:r>
      <w:r w:rsidRPr="00707E03">
        <w:rPr>
          <w:color w:val="auto"/>
        </w:rPr>
        <w:fldChar w:fldCharType="separate"/>
      </w:r>
      <w:r w:rsidRPr="00707E03">
        <w:rPr>
          <w:color w:val="auto"/>
        </w:rPr>
        <w:t>27</w:t>
      </w:r>
      <w:r w:rsidRPr="00707E03">
        <w:rPr>
          <w:color w:val="auto"/>
        </w:rPr>
        <w:fldChar w:fldCharType="end"/>
      </w:r>
    </w:p>
    <w:p w:rsidR="00707E03" w:rsidRPr="00707E03" w:rsidRDefault="00707E03">
      <w:pPr>
        <w:pStyle w:val="TOC1"/>
        <w:rPr>
          <w:rFonts w:asciiTheme="minorHAnsi" w:eastAsiaTheme="minorEastAsia" w:hAnsiTheme="minorHAnsi" w:cstheme="minorBidi"/>
          <w:b w:val="0"/>
          <w:caps w:val="0"/>
          <w:color w:val="auto"/>
          <w:szCs w:val="22"/>
        </w:rPr>
      </w:pPr>
      <w:r w:rsidRPr="00707E03">
        <w:rPr>
          <w:color w:val="auto"/>
          <w:lang w:val="it-IT"/>
        </w:rPr>
        <w:t>ARTICOLO 1 - Modifiche apportate alla LISTA DEI PRODOTTI negli ultimi 12 mesi</w:t>
      </w:r>
      <w:r w:rsidRPr="00707E03">
        <w:rPr>
          <w:color w:val="auto"/>
        </w:rPr>
        <w:tab/>
      </w:r>
      <w:r w:rsidRPr="00707E03">
        <w:rPr>
          <w:color w:val="auto"/>
        </w:rPr>
        <w:fldChar w:fldCharType="begin"/>
      </w:r>
      <w:r w:rsidRPr="00707E03">
        <w:rPr>
          <w:color w:val="auto"/>
        </w:rPr>
        <w:instrText xml:space="preserve"> PAGEREF _Toc352234765 \h </w:instrText>
      </w:r>
      <w:r w:rsidRPr="00707E03">
        <w:rPr>
          <w:color w:val="auto"/>
        </w:rPr>
      </w:r>
      <w:r w:rsidRPr="00707E03">
        <w:rPr>
          <w:color w:val="auto"/>
        </w:rPr>
        <w:fldChar w:fldCharType="separate"/>
      </w:r>
      <w:r w:rsidRPr="00707E03">
        <w:rPr>
          <w:color w:val="auto"/>
        </w:rPr>
        <w:t>28</w:t>
      </w:r>
      <w:r w:rsidRPr="00707E03">
        <w:rPr>
          <w:color w:val="auto"/>
        </w:rPr>
        <w:fldChar w:fldCharType="end"/>
      </w:r>
    </w:p>
    <w:p w:rsidR="00707E03" w:rsidRPr="00707E03" w:rsidRDefault="00707E03">
      <w:pPr>
        <w:pStyle w:val="TOC2"/>
        <w:rPr>
          <w:rFonts w:asciiTheme="minorHAnsi" w:eastAsiaTheme="minorEastAsia" w:hAnsiTheme="minorHAnsi" w:cstheme="minorBidi"/>
          <w:sz w:val="22"/>
          <w:szCs w:val="22"/>
        </w:rPr>
      </w:pPr>
      <w:r w:rsidRPr="00707E03">
        <w:rPr>
          <w:rFonts w:cs="Tahoma"/>
          <w:lang w:val="it-IT"/>
        </w:rPr>
        <w:t>MODIFICHE APPORTATE NEL MESE DI APRILE 2013</w:t>
      </w:r>
      <w:r w:rsidRPr="00707E03">
        <w:tab/>
      </w:r>
      <w:r w:rsidRPr="00707E03">
        <w:fldChar w:fldCharType="begin"/>
      </w:r>
      <w:r w:rsidRPr="00707E03">
        <w:instrText xml:space="preserve"> PAGEREF _Toc352234766 \h </w:instrText>
      </w:r>
      <w:r w:rsidRPr="00707E03">
        <w:fldChar w:fldCharType="separate"/>
      </w:r>
      <w:r w:rsidRPr="00707E03">
        <w:t>28</w:t>
      </w:r>
      <w:r w:rsidRPr="00707E03">
        <w:fldChar w:fldCharType="end"/>
      </w:r>
    </w:p>
    <w:p w:rsidR="00707E03" w:rsidRPr="00707E03" w:rsidRDefault="00707E03">
      <w:pPr>
        <w:pStyle w:val="TOC2"/>
        <w:rPr>
          <w:rFonts w:asciiTheme="minorHAnsi" w:eastAsiaTheme="minorEastAsia" w:hAnsiTheme="minorHAnsi" w:cstheme="minorBidi"/>
          <w:sz w:val="22"/>
          <w:szCs w:val="22"/>
        </w:rPr>
      </w:pPr>
      <w:r w:rsidRPr="00707E03">
        <w:rPr>
          <w:rFonts w:cs="Tahoma"/>
          <w:lang w:val="it-IT"/>
        </w:rPr>
        <w:t>MODIFICHE APPORTATE NEL MESE DI MARZO 2013</w:t>
      </w:r>
      <w:r w:rsidRPr="00707E03">
        <w:tab/>
      </w:r>
      <w:r w:rsidRPr="00707E03">
        <w:fldChar w:fldCharType="begin"/>
      </w:r>
      <w:r w:rsidRPr="00707E03">
        <w:instrText xml:space="preserve"> PAGEREF _Toc352234767 \h </w:instrText>
      </w:r>
      <w:r w:rsidRPr="00707E03">
        <w:fldChar w:fldCharType="separate"/>
      </w:r>
      <w:r w:rsidRPr="00707E03">
        <w:t>30</w:t>
      </w:r>
      <w:r w:rsidRPr="00707E03">
        <w:fldChar w:fldCharType="end"/>
      </w:r>
    </w:p>
    <w:p w:rsidR="00707E03" w:rsidRPr="00707E03" w:rsidRDefault="00707E03">
      <w:pPr>
        <w:pStyle w:val="TOC2"/>
        <w:rPr>
          <w:rFonts w:asciiTheme="minorHAnsi" w:eastAsiaTheme="minorEastAsia" w:hAnsiTheme="minorHAnsi" w:cstheme="minorBidi"/>
          <w:sz w:val="22"/>
          <w:szCs w:val="22"/>
        </w:rPr>
      </w:pPr>
      <w:r w:rsidRPr="00707E03">
        <w:rPr>
          <w:rFonts w:cs="Tahoma"/>
          <w:lang w:val="it-IT"/>
        </w:rPr>
        <w:t>MODIFICHE APPORTATE NEL MESE DI FEBBRAIO 2013</w:t>
      </w:r>
      <w:r w:rsidRPr="00707E03">
        <w:tab/>
      </w:r>
      <w:r w:rsidRPr="00707E03">
        <w:fldChar w:fldCharType="begin"/>
      </w:r>
      <w:r w:rsidRPr="00707E03">
        <w:instrText xml:space="preserve"> PAGEREF _Toc352234768 \h </w:instrText>
      </w:r>
      <w:r w:rsidRPr="00707E03">
        <w:fldChar w:fldCharType="separate"/>
      </w:r>
      <w:r w:rsidRPr="00707E03">
        <w:t>31</w:t>
      </w:r>
      <w:r w:rsidRPr="00707E03">
        <w:fldChar w:fldCharType="end"/>
      </w:r>
    </w:p>
    <w:p w:rsidR="00707E03" w:rsidRPr="00707E03" w:rsidRDefault="00707E03">
      <w:pPr>
        <w:pStyle w:val="TOC2"/>
        <w:rPr>
          <w:rFonts w:asciiTheme="minorHAnsi" w:eastAsiaTheme="minorEastAsia" w:hAnsiTheme="minorHAnsi" w:cstheme="minorBidi"/>
          <w:sz w:val="22"/>
          <w:szCs w:val="22"/>
        </w:rPr>
      </w:pPr>
      <w:r w:rsidRPr="00707E03">
        <w:rPr>
          <w:rFonts w:cs="Tahoma"/>
          <w:lang w:val="it-IT"/>
        </w:rPr>
        <w:t>MODIFICHE APPORTATE NEL MESE DI GENNAIO 2013</w:t>
      </w:r>
      <w:r w:rsidRPr="00707E03">
        <w:tab/>
      </w:r>
      <w:r w:rsidRPr="00707E03">
        <w:fldChar w:fldCharType="begin"/>
      </w:r>
      <w:r w:rsidRPr="00707E03">
        <w:instrText xml:space="preserve"> PAGEREF _Toc352234769 \h </w:instrText>
      </w:r>
      <w:r w:rsidRPr="00707E03">
        <w:fldChar w:fldCharType="separate"/>
      </w:r>
      <w:r w:rsidRPr="00707E03">
        <w:t>31</w:t>
      </w:r>
      <w:r w:rsidRPr="00707E03">
        <w:fldChar w:fldCharType="end"/>
      </w:r>
    </w:p>
    <w:p w:rsidR="00707E03" w:rsidRPr="00707E03" w:rsidRDefault="00707E03">
      <w:pPr>
        <w:pStyle w:val="TOC2"/>
        <w:rPr>
          <w:rFonts w:asciiTheme="minorHAnsi" w:eastAsiaTheme="minorEastAsia" w:hAnsiTheme="minorHAnsi" w:cstheme="minorBidi"/>
          <w:sz w:val="22"/>
          <w:szCs w:val="22"/>
        </w:rPr>
      </w:pPr>
      <w:r w:rsidRPr="00707E03">
        <w:rPr>
          <w:rFonts w:cs="Tahoma"/>
          <w:lang w:val="it-IT"/>
        </w:rPr>
        <w:t>MODIFICHE APPORTATE NEL MESE DI DICEMBRE 2012</w:t>
      </w:r>
      <w:r w:rsidRPr="00707E03">
        <w:tab/>
      </w:r>
      <w:r w:rsidRPr="00707E03">
        <w:fldChar w:fldCharType="begin"/>
      </w:r>
      <w:r w:rsidRPr="00707E03">
        <w:instrText xml:space="preserve"> PAGEREF _Toc352234770 \h </w:instrText>
      </w:r>
      <w:r w:rsidRPr="00707E03">
        <w:fldChar w:fldCharType="separate"/>
      </w:r>
      <w:r w:rsidRPr="00707E03">
        <w:t>32</w:t>
      </w:r>
      <w:r w:rsidRPr="00707E03">
        <w:fldChar w:fldCharType="end"/>
      </w:r>
    </w:p>
    <w:p w:rsidR="00707E03" w:rsidRPr="00707E03" w:rsidRDefault="00707E03">
      <w:pPr>
        <w:pStyle w:val="TOC2"/>
        <w:rPr>
          <w:rFonts w:asciiTheme="minorHAnsi" w:eastAsiaTheme="minorEastAsia" w:hAnsiTheme="minorHAnsi" w:cstheme="minorBidi"/>
          <w:sz w:val="22"/>
          <w:szCs w:val="22"/>
        </w:rPr>
      </w:pPr>
      <w:r w:rsidRPr="00707E03">
        <w:rPr>
          <w:rFonts w:cs="Tahoma"/>
          <w:lang w:val="it-IT"/>
        </w:rPr>
        <w:t>MODIFICHE APPORTATE NEL MESE DI NOVEMBRE 2012</w:t>
      </w:r>
      <w:r w:rsidRPr="00707E03">
        <w:tab/>
      </w:r>
      <w:r w:rsidRPr="00707E03">
        <w:fldChar w:fldCharType="begin"/>
      </w:r>
      <w:r w:rsidRPr="00707E03">
        <w:instrText xml:space="preserve"> PAGEREF _Toc352234771 \h </w:instrText>
      </w:r>
      <w:r w:rsidRPr="00707E03">
        <w:fldChar w:fldCharType="separate"/>
      </w:r>
      <w:r w:rsidRPr="00707E03">
        <w:t>34</w:t>
      </w:r>
      <w:r w:rsidRPr="00707E03">
        <w:fldChar w:fldCharType="end"/>
      </w:r>
    </w:p>
    <w:p w:rsidR="00707E03" w:rsidRPr="00707E03" w:rsidRDefault="00707E03">
      <w:pPr>
        <w:pStyle w:val="TOC2"/>
        <w:rPr>
          <w:rFonts w:asciiTheme="minorHAnsi" w:eastAsiaTheme="minorEastAsia" w:hAnsiTheme="minorHAnsi" w:cstheme="minorBidi"/>
          <w:sz w:val="22"/>
          <w:szCs w:val="22"/>
        </w:rPr>
      </w:pPr>
      <w:r w:rsidRPr="00707E03">
        <w:rPr>
          <w:rFonts w:cs="Tahoma"/>
          <w:lang w:val="it-IT"/>
        </w:rPr>
        <w:t>MODIFICHE APPORTATE NEL MESE DI OTTOBRE 2012</w:t>
      </w:r>
      <w:r w:rsidRPr="00707E03">
        <w:tab/>
      </w:r>
      <w:r w:rsidRPr="00707E03">
        <w:fldChar w:fldCharType="begin"/>
      </w:r>
      <w:r w:rsidRPr="00707E03">
        <w:instrText xml:space="preserve"> PAGEREF _Toc352234772 \h </w:instrText>
      </w:r>
      <w:r w:rsidRPr="00707E03">
        <w:fldChar w:fldCharType="separate"/>
      </w:r>
      <w:r w:rsidRPr="00707E03">
        <w:t>34</w:t>
      </w:r>
      <w:r w:rsidRPr="00707E03">
        <w:fldChar w:fldCharType="end"/>
      </w:r>
    </w:p>
    <w:p w:rsidR="00707E03" w:rsidRPr="00707E03" w:rsidRDefault="00707E03">
      <w:pPr>
        <w:pStyle w:val="TOC2"/>
        <w:rPr>
          <w:rFonts w:asciiTheme="minorHAnsi" w:eastAsiaTheme="minorEastAsia" w:hAnsiTheme="minorHAnsi" w:cstheme="minorBidi"/>
          <w:sz w:val="22"/>
          <w:szCs w:val="22"/>
        </w:rPr>
      </w:pPr>
      <w:r w:rsidRPr="00707E03">
        <w:rPr>
          <w:rFonts w:cs="Tahoma"/>
          <w:lang w:val="it-IT"/>
        </w:rPr>
        <w:t>MODIFICHE APPORTATE NEL MESE DI SETTEMBRE 2012</w:t>
      </w:r>
      <w:r w:rsidRPr="00707E03">
        <w:tab/>
      </w:r>
      <w:r w:rsidRPr="00707E03">
        <w:fldChar w:fldCharType="begin"/>
      </w:r>
      <w:r w:rsidRPr="00707E03">
        <w:instrText xml:space="preserve"> PAGEREF _Toc352234773 \h </w:instrText>
      </w:r>
      <w:r w:rsidRPr="00707E03">
        <w:fldChar w:fldCharType="separate"/>
      </w:r>
      <w:r w:rsidRPr="00707E03">
        <w:t>35</w:t>
      </w:r>
      <w:r w:rsidRPr="00707E03">
        <w:fldChar w:fldCharType="end"/>
      </w:r>
    </w:p>
    <w:p w:rsidR="00707E03" w:rsidRPr="00707E03" w:rsidRDefault="00707E03">
      <w:pPr>
        <w:pStyle w:val="TOC2"/>
        <w:rPr>
          <w:rFonts w:asciiTheme="minorHAnsi" w:eastAsiaTheme="minorEastAsia" w:hAnsiTheme="minorHAnsi" w:cstheme="minorBidi"/>
          <w:sz w:val="22"/>
          <w:szCs w:val="22"/>
        </w:rPr>
      </w:pPr>
      <w:r w:rsidRPr="00707E03">
        <w:rPr>
          <w:rFonts w:cs="Tahoma"/>
          <w:lang w:val="it-IT"/>
        </w:rPr>
        <w:t>MODIFICHE APPORTATE NEL MESE DI AGOSTO 2012</w:t>
      </w:r>
      <w:r w:rsidRPr="00707E03">
        <w:tab/>
      </w:r>
      <w:r w:rsidRPr="00707E03">
        <w:fldChar w:fldCharType="begin"/>
      </w:r>
      <w:r w:rsidRPr="00707E03">
        <w:instrText xml:space="preserve"> PAGEREF _Toc352234774 \h </w:instrText>
      </w:r>
      <w:r w:rsidRPr="00707E03">
        <w:fldChar w:fldCharType="separate"/>
      </w:r>
      <w:r w:rsidRPr="00707E03">
        <w:t>36</w:t>
      </w:r>
      <w:r w:rsidRPr="00707E03">
        <w:fldChar w:fldCharType="end"/>
      </w:r>
    </w:p>
    <w:p w:rsidR="00707E03" w:rsidRPr="00707E03" w:rsidRDefault="00707E03">
      <w:pPr>
        <w:pStyle w:val="TOC2"/>
        <w:rPr>
          <w:rFonts w:asciiTheme="minorHAnsi" w:eastAsiaTheme="minorEastAsia" w:hAnsiTheme="minorHAnsi" w:cstheme="minorBidi"/>
          <w:sz w:val="22"/>
          <w:szCs w:val="22"/>
        </w:rPr>
      </w:pPr>
      <w:r w:rsidRPr="00707E03">
        <w:rPr>
          <w:rFonts w:cs="Tahoma"/>
          <w:lang w:val="it-IT"/>
        </w:rPr>
        <w:t>MODIFICHE APPORTATE NEL MESE DI LUGLIO 2012</w:t>
      </w:r>
      <w:r w:rsidRPr="00707E03">
        <w:tab/>
      </w:r>
      <w:r w:rsidRPr="00707E03">
        <w:fldChar w:fldCharType="begin"/>
      </w:r>
      <w:r w:rsidRPr="00707E03">
        <w:instrText xml:space="preserve"> PAGEREF _Toc352234775 \h </w:instrText>
      </w:r>
      <w:r w:rsidRPr="00707E03">
        <w:fldChar w:fldCharType="separate"/>
      </w:r>
      <w:r w:rsidRPr="00707E03">
        <w:t>36</w:t>
      </w:r>
      <w:r w:rsidRPr="00707E03">
        <w:fldChar w:fldCharType="end"/>
      </w:r>
    </w:p>
    <w:p w:rsidR="00707E03" w:rsidRPr="00707E03" w:rsidRDefault="00707E03">
      <w:pPr>
        <w:pStyle w:val="TOC2"/>
        <w:rPr>
          <w:rFonts w:asciiTheme="minorHAnsi" w:eastAsiaTheme="minorEastAsia" w:hAnsiTheme="minorHAnsi" w:cstheme="minorBidi"/>
          <w:sz w:val="22"/>
          <w:szCs w:val="22"/>
        </w:rPr>
      </w:pPr>
      <w:r w:rsidRPr="00707E03">
        <w:rPr>
          <w:rFonts w:cs="Tahoma"/>
          <w:lang w:val="it-IT"/>
        </w:rPr>
        <w:t>MODIFICHE APPORTATE NEL MESE DI GIUGNO 2012</w:t>
      </w:r>
      <w:r w:rsidRPr="00707E03">
        <w:tab/>
      </w:r>
      <w:r w:rsidRPr="00707E03">
        <w:fldChar w:fldCharType="begin"/>
      </w:r>
      <w:r w:rsidRPr="00707E03">
        <w:instrText xml:space="preserve"> PAGEREF _Toc352234776 \h </w:instrText>
      </w:r>
      <w:r w:rsidRPr="00707E03">
        <w:fldChar w:fldCharType="separate"/>
      </w:r>
      <w:r w:rsidRPr="00707E03">
        <w:t>37</w:t>
      </w:r>
      <w:r w:rsidRPr="00707E03">
        <w:fldChar w:fldCharType="end"/>
      </w:r>
    </w:p>
    <w:p w:rsidR="00707E03" w:rsidRPr="00707E03" w:rsidRDefault="00707E03">
      <w:pPr>
        <w:pStyle w:val="TOC2"/>
        <w:rPr>
          <w:rFonts w:asciiTheme="minorHAnsi" w:eastAsiaTheme="minorEastAsia" w:hAnsiTheme="minorHAnsi" w:cstheme="minorBidi"/>
          <w:sz w:val="22"/>
          <w:szCs w:val="22"/>
        </w:rPr>
      </w:pPr>
      <w:r w:rsidRPr="00707E03">
        <w:rPr>
          <w:rFonts w:cs="Tahoma"/>
          <w:lang w:val="it-IT"/>
        </w:rPr>
        <w:t>MODIFICHE APPORTATE NEL MESE DI MAGGIO 2012</w:t>
      </w:r>
      <w:r w:rsidRPr="00707E03">
        <w:tab/>
      </w:r>
      <w:r w:rsidRPr="00707E03">
        <w:fldChar w:fldCharType="begin"/>
      </w:r>
      <w:r w:rsidRPr="00707E03">
        <w:instrText xml:space="preserve"> PAGEREF _Toc352234777 \h </w:instrText>
      </w:r>
      <w:r w:rsidRPr="00707E03">
        <w:fldChar w:fldCharType="separate"/>
      </w:r>
      <w:r w:rsidRPr="00707E03">
        <w:t>37</w:t>
      </w:r>
      <w:r w:rsidRPr="00707E03">
        <w:fldChar w:fldCharType="end"/>
      </w:r>
    </w:p>
    <w:p w:rsidR="00707E03" w:rsidRPr="00707E03" w:rsidRDefault="00707E03">
      <w:pPr>
        <w:pStyle w:val="TOC1"/>
        <w:rPr>
          <w:rFonts w:asciiTheme="minorHAnsi" w:eastAsiaTheme="minorEastAsia" w:hAnsiTheme="minorHAnsi" w:cstheme="minorBidi"/>
          <w:b w:val="0"/>
          <w:caps w:val="0"/>
          <w:color w:val="auto"/>
          <w:szCs w:val="22"/>
        </w:rPr>
      </w:pPr>
      <w:r w:rsidRPr="00707E03">
        <w:rPr>
          <w:color w:val="auto"/>
          <w:lang w:val="it-IT"/>
        </w:rPr>
        <w:t>ARTICOLO 2 - PROMOZIONI DI PRODOTTI</w:t>
      </w:r>
      <w:r w:rsidRPr="00707E03">
        <w:rPr>
          <w:color w:val="auto"/>
        </w:rPr>
        <w:tab/>
      </w:r>
      <w:r w:rsidRPr="00707E03">
        <w:rPr>
          <w:color w:val="auto"/>
        </w:rPr>
        <w:fldChar w:fldCharType="begin"/>
      </w:r>
      <w:r w:rsidRPr="00707E03">
        <w:rPr>
          <w:color w:val="auto"/>
        </w:rPr>
        <w:instrText xml:space="preserve"> PAGEREF _Toc352234778 \h </w:instrText>
      </w:r>
      <w:r w:rsidRPr="00707E03">
        <w:rPr>
          <w:color w:val="auto"/>
        </w:rPr>
      </w:r>
      <w:r w:rsidRPr="00707E03">
        <w:rPr>
          <w:color w:val="auto"/>
        </w:rPr>
        <w:fldChar w:fldCharType="separate"/>
      </w:r>
      <w:r w:rsidRPr="00707E03">
        <w:rPr>
          <w:color w:val="auto"/>
        </w:rPr>
        <w:t>38</w:t>
      </w:r>
      <w:r w:rsidRPr="00707E03">
        <w:rPr>
          <w:color w:val="auto"/>
        </w:rPr>
        <w:fldChar w:fldCharType="end"/>
      </w:r>
    </w:p>
    <w:p w:rsidR="00707E03" w:rsidRPr="00707E03" w:rsidRDefault="00707E03">
      <w:pPr>
        <w:pStyle w:val="TOC2"/>
        <w:rPr>
          <w:rFonts w:asciiTheme="minorHAnsi" w:eastAsiaTheme="minorEastAsia" w:hAnsiTheme="minorHAnsi" w:cstheme="minorBidi"/>
          <w:sz w:val="22"/>
          <w:szCs w:val="22"/>
        </w:rPr>
      </w:pPr>
      <w:r w:rsidRPr="00707E03">
        <w:rPr>
          <w:rFonts w:cs="Tahoma"/>
          <w:lang w:val="it-IT"/>
        </w:rPr>
        <w:t>Microsoft Dynamics AX 2012 R2 - Promozione: Acquista Una Enterprise CAL e Ricevi Una Functional CAL</w:t>
      </w:r>
      <w:r w:rsidRPr="00707E03">
        <w:tab/>
      </w:r>
      <w:r w:rsidRPr="00707E03">
        <w:fldChar w:fldCharType="begin"/>
      </w:r>
      <w:r w:rsidRPr="00707E03">
        <w:instrText xml:space="preserve"> PAGEREF _Toc352234779 \h </w:instrText>
      </w:r>
      <w:r w:rsidRPr="00707E03">
        <w:fldChar w:fldCharType="separate"/>
      </w:r>
      <w:r w:rsidRPr="00707E03">
        <w:t>38</w:t>
      </w:r>
      <w:r w:rsidRPr="00707E03">
        <w:fldChar w:fldCharType="end"/>
      </w:r>
    </w:p>
    <w:p w:rsidR="00707E03" w:rsidRPr="00707E03" w:rsidRDefault="00707E03">
      <w:pPr>
        <w:pStyle w:val="TOC2"/>
        <w:rPr>
          <w:rFonts w:asciiTheme="minorHAnsi" w:eastAsiaTheme="minorEastAsia" w:hAnsiTheme="minorHAnsi" w:cstheme="minorBidi"/>
          <w:sz w:val="22"/>
          <w:szCs w:val="22"/>
        </w:rPr>
      </w:pPr>
      <w:r w:rsidRPr="00707E03">
        <w:rPr>
          <w:rFonts w:cs="Tahoma"/>
          <w:lang w:val="it-IT"/>
        </w:rPr>
        <w:t>Microsoft Dynamics AX 2012 R2 - Promozione EA Starter</w:t>
      </w:r>
      <w:r w:rsidRPr="00707E03">
        <w:tab/>
      </w:r>
      <w:r w:rsidRPr="00707E03">
        <w:fldChar w:fldCharType="begin"/>
      </w:r>
      <w:r w:rsidRPr="00707E03">
        <w:instrText xml:space="preserve"> PAGEREF _Toc352234780 \h </w:instrText>
      </w:r>
      <w:r w:rsidRPr="00707E03">
        <w:fldChar w:fldCharType="separate"/>
      </w:r>
      <w:r w:rsidRPr="00707E03">
        <w:t>38</w:t>
      </w:r>
      <w:r w:rsidRPr="00707E03">
        <w:fldChar w:fldCharType="end"/>
      </w:r>
    </w:p>
    <w:p w:rsidR="00707E03" w:rsidRPr="00707E03" w:rsidRDefault="00707E03">
      <w:pPr>
        <w:pStyle w:val="TOC2"/>
        <w:rPr>
          <w:rFonts w:asciiTheme="minorHAnsi" w:eastAsiaTheme="minorEastAsia" w:hAnsiTheme="minorHAnsi" w:cstheme="minorBidi"/>
          <w:sz w:val="22"/>
          <w:szCs w:val="22"/>
        </w:rPr>
      </w:pPr>
      <w:r w:rsidRPr="00707E03">
        <w:rPr>
          <w:rFonts w:eastAsia="Times New Roman" w:cs="Tahoma"/>
          <w:lang w:val="it-IT"/>
        </w:rPr>
        <w:t>15% di sconto sulle Licenze Step-up per Project/Visio</w:t>
      </w:r>
      <w:r w:rsidRPr="00707E03">
        <w:tab/>
      </w:r>
      <w:r w:rsidRPr="00707E03">
        <w:fldChar w:fldCharType="begin"/>
      </w:r>
      <w:r w:rsidRPr="00707E03">
        <w:instrText xml:space="preserve"> PAGEREF _Toc352234781 \h </w:instrText>
      </w:r>
      <w:r w:rsidRPr="00707E03">
        <w:fldChar w:fldCharType="separate"/>
      </w:r>
      <w:r w:rsidRPr="00707E03">
        <w:t>38</w:t>
      </w:r>
      <w:r w:rsidRPr="00707E03">
        <w:fldChar w:fldCharType="end"/>
      </w:r>
    </w:p>
    <w:p w:rsidR="00707E03" w:rsidRPr="00707E03" w:rsidRDefault="00707E03">
      <w:pPr>
        <w:pStyle w:val="TOC2"/>
        <w:rPr>
          <w:rFonts w:asciiTheme="minorHAnsi" w:eastAsiaTheme="minorEastAsia" w:hAnsiTheme="minorHAnsi" w:cstheme="minorBidi"/>
          <w:sz w:val="22"/>
          <w:szCs w:val="22"/>
        </w:rPr>
      </w:pPr>
      <w:r w:rsidRPr="00707E03">
        <w:rPr>
          <w:rFonts w:eastAsia="Times New Roman" w:cs="Tahoma"/>
          <w:lang w:val="it-IT"/>
        </w:rPr>
        <w:t>55% di sconto sulle CAL per Project Server Acquistate a Livello Aziendale</w:t>
      </w:r>
      <w:r w:rsidRPr="00707E03">
        <w:tab/>
      </w:r>
      <w:r w:rsidRPr="00707E03">
        <w:fldChar w:fldCharType="begin"/>
      </w:r>
      <w:r w:rsidRPr="00707E03">
        <w:instrText xml:space="preserve"> PAGEREF _Toc352234782 \h </w:instrText>
      </w:r>
      <w:r w:rsidRPr="00707E03">
        <w:fldChar w:fldCharType="separate"/>
      </w:r>
      <w:r w:rsidRPr="00707E03">
        <w:t>38</w:t>
      </w:r>
      <w:r w:rsidRPr="00707E03">
        <w:fldChar w:fldCharType="end"/>
      </w:r>
    </w:p>
    <w:p w:rsidR="00707E03" w:rsidRPr="00707E03" w:rsidRDefault="00707E03">
      <w:pPr>
        <w:pStyle w:val="TOC1"/>
        <w:rPr>
          <w:rFonts w:asciiTheme="minorHAnsi" w:eastAsiaTheme="minorEastAsia" w:hAnsiTheme="minorHAnsi" w:cstheme="minorBidi"/>
          <w:b w:val="0"/>
          <w:caps w:val="0"/>
          <w:color w:val="auto"/>
          <w:szCs w:val="22"/>
        </w:rPr>
      </w:pPr>
      <w:r w:rsidRPr="00707E03">
        <w:rPr>
          <w:color w:val="auto"/>
          <w:lang w:val="it-IT"/>
        </w:rPr>
        <w:t>ARTICOLO 3 - CONDIZIONI Dei Programmi Multilicenza</w:t>
      </w:r>
      <w:r w:rsidRPr="00707E03">
        <w:rPr>
          <w:color w:val="auto"/>
        </w:rPr>
        <w:tab/>
      </w:r>
      <w:r w:rsidRPr="00707E03">
        <w:rPr>
          <w:color w:val="auto"/>
        </w:rPr>
        <w:fldChar w:fldCharType="begin"/>
      </w:r>
      <w:r w:rsidRPr="00707E03">
        <w:rPr>
          <w:color w:val="auto"/>
        </w:rPr>
        <w:instrText xml:space="preserve"> PAGEREF _Toc352234783 \h </w:instrText>
      </w:r>
      <w:r w:rsidRPr="00707E03">
        <w:rPr>
          <w:color w:val="auto"/>
        </w:rPr>
      </w:r>
      <w:r w:rsidRPr="00707E03">
        <w:rPr>
          <w:color w:val="auto"/>
        </w:rPr>
        <w:fldChar w:fldCharType="separate"/>
      </w:r>
      <w:r w:rsidRPr="00707E03">
        <w:rPr>
          <w:color w:val="auto"/>
        </w:rPr>
        <w:t>39</w:t>
      </w:r>
      <w:r w:rsidRPr="00707E03">
        <w:rPr>
          <w:color w:val="auto"/>
        </w:rPr>
        <w:fldChar w:fldCharType="end"/>
      </w:r>
    </w:p>
    <w:p w:rsidR="00707E03" w:rsidRPr="00707E03" w:rsidRDefault="00707E03">
      <w:pPr>
        <w:pStyle w:val="TOC3"/>
        <w:rPr>
          <w:rFonts w:asciiTheme="minorHAnsi" w:eastAsiaTheme="minorEastAsia" w:hAnsiTheme="minorHAnsi" w:cstheme="minorBidi"/>
          <w:bCs w:val="0"/>
          <w:color w:val="auto"/>
          <w:sz w:val="22"/>
          <w:szCs w:val="22"/>
        </w:rPr>
      </w:pPr>
      <w:r w:rsidRPr="00707E03">
        <w:rPr>
          <w:color w:val="auto"/>
          <w:lang w:val="it-IT"/>
        </w:rPr>
        <w:t>Programmi di Contratti Multilicenza Applicabili</w:t>
      </w:r>
      <w:r w:rsidRPr="00707E03">
        <w:rPr>
          <w:color w:val="auto"/>
        </w:rPr>
        <w:tab/>
      </w:r>
      <w:r w:rsidRPr="00707E03">
        <w:rPr>
          <w:color w:val="auto"/>
        </w:rPr>
        <w:fldChar w:fldCharType="begin"/>
      </w:r>
      <w:r w:rsidRPr="00707E03">
        <w:rPr>
          <w:color w:val="auto"/>
        </w:rPr>
        <w:instrText xml:space="preserve"> PAGEREF _Toc352234784 \h </w:instrText>
      </w:r>
      <w:r w:rsidRPr="00707E03">
        <w:rPr>
          <w:color w:val="auto"/>
        </w:rPr>
      </w:r>
      <w:r w:rsidRPr="00707E03">
        <w:rPr>
          <w:color w:val="auto"/>
        </w:rPr>
        <w:fldChar w:fldCharType="separate"/>
      </w:r>
      <w:r w:rsidRPr="00707E03">
        <w:rPr>
          <w:color w:val="auto"/>
        </w:rPr>
        <w:t>39</w:t>
      </w:r>
      <w:r w:rsidRPr="00707E03">
        <w:rPr>
          <w:color w:val="auto"/>
        </w:rPr>
        <w:fldChar w:fldCharType="end"/>
      </w:r>
    </w:p>
    <w:p w:rsidR="00707E03" w:rsidRPr="00707E03" w:rsidRDefault="00707E03">
      <w:pPr>
        <w:pStyle w:val="TOC3"/>
        <w:rPr>
          <w:rFonts w:asciiTheme="minorHAnsi" w:eastAsiaTheme="minorEastAsia" w:hAnsiTheme="minorHAnsi" w:cstheme="minorBidi"/>
          <w:bCs w:val="0"/>
          <w:color w:val="auto"/>
          <w:sz w:val="22"/>
          <w:szCs w:val="22"/>
        </w:rPr>
      </w:pPr>
      <w:r w:rsidRPr="00707E03">
        <w:rPr>
          <w:color w:val="auto"/>
          <w:lang w:val="it-IT"/>
        </w:rPr>
        <w:t>Punti e Requisiti Minimi per gli Ordini</w:t>
      </w:r>
      <w:r w:rsidRPr="00707E03">
        <w:rPr>
          <w:color w:val="auto"/>
        </w:rPr>
        <w:tab/>
      </w:r>
      <w:r w:rsidRPr="00707E03">
        <w:rPr>
          <w:color w:val="auto"/>
        </w:rPr>
        <w:fldChar w:fldCharType="begin"/>
      </w:r>
      <w:r w:rsidRPr="00707E03">
        <w:rPr>
          <w:color w:val="auto"/>
        </w:rPr>
        <w:instrText xml:space="preserve"> PAGEREF _Toc352234785 \h </w:instrText>
      </w:r>
      <w:r w:rsidRPr="00707E03">
        <w:rPr>
          <w:color w:val="auto"/>
        </w:rPr>
      </w:r>
      <w:r w:rsidRPr="00707E03">
        <w:rPr>
          <w:color w:val="auto"/>
        </w:rPr>
        <w:fldChar w:fldCharType="separate"/>
      </w:r>
      <w:r w:rsidRPr="00707E03">
        <w:rPr>
          <w:color w:val="auto"/>
        </w:rPr>
        <w:t>39</w:t>
      </w:r>
      <w:r w:rsidRPr="00707E03">
        <w:rPr>
          <w:color w:val="auto"/>
        </w:rPr>
        <w:fldChar w:fldCharType="end"/>
      </w:r>
    </w:p>
    <w:p w:rsidR="00707E03" w:rsidRPr="00707E03" w:rsidRDefault="00707E03">
      <w:pPr>
        <w:pStyle w:val="TOC2"/>
        <w:rPr>
          <w:rFonts w:asciiTheme="minorHAnsi" w:eastAsiaTheme="minorEastAsia" w:hAnsiTheme="minorHAnsi" w:cstheme="minorBidi"/>
          <w:sz w:val="22"/>
          <w:szCs w:val="22"/>
        </w:rPr>
      </w:pPr>
      <w:r w:rsidRPr="00707E03">
        <w:rPr>
          <w:rFonts w:cs="Tahoma"/>
        </w:rPr>
        <w:t>Requisiti Minimi dell’Ordine</w:t>
      </w:r>
      <w:r w:rsidRPr="00707E03">
        <w:tab/>
      </w:r>
      <w:r w:rsidRPr="00707E03">
        <w:fldChar w:fldCharType="begin"/>
      </w:r>
      <w:r w:rsidRPr="00707E03">
        <w:instrText xml:space="preserve"> PAGEREF _Toc352234786 \h </w:instrText>
      </w:r>
      <w:r w:rsidRPr="00707E03">
        <w:fldChar w:fldCharType="separate"/>
      </w:r>
      <w:r w:rsidRPr="00707E03">
        <w:t>39</w:t>
      </w:r>
      <w:r w:rsidRPr="00707E03">
        <w:fldChar w:fldCharType="end"/>
      </w:r>
    </w:p>
    <w:p w:rsidR="00707E03" w:rsidRPr="00707E03" w:rsidRDefault="00707E03">
      <w:pPr>
        <w:pStyle w:val="TOC3"/>
        <w:rPr>
          <w:rFonts w:asciiTheme="minorHAnsi" w:eastAsiaTheme="minorEastAsia" w:hAnsiTheme="minorHAnsi" w:cstheme="minorBidi"/>
          <w:bCs w:val="0"/>
          <w:color w:val="auto"/>
          <w:sz w:val="22"/>
          <w:szCs w:val="22"/>
        </w:rPr>
      </w:pPr>
      <w:r w:rsidRPr="00707E03">
        <w:rPr>
          <w:color w:val="auto"/>
        </w:rPr>
        <w:t>Piattaforme</w:t>
      </w:r>
      <w:r w:rsidRPr="00707E03">
        <w:rPr>
          <w:color w:val="auto"/>
        </w:rPr>
        <w:tab/>
      </w:r>
      <w:r w:rsidRPr="00707E03">
        <w:rPr>
          <w:color w:val="auto"/>
        </w:rPr>
        <w:fldChar w:fldCharType="begin"/>
      </w:r>
      <w:r w:rsidRPr="00707E03">
        <w:rPr>
          <w:color w:val="auto"/>
        </w:rPr>
        <w:instrText xml:space="preserve"> PAGEREF _Toc352234787 \h </w:instrText>
      </w:r>
      <w:r w:rsidRPr="00707E03">
        <w:rPr>
          <w:color w:val="auto"/>
        </w:rPr>
      </w:r>
      <w:r w:rsidRPr="00707E03">
        <w:rPr>
          <w:color w:val="auto"/>
        </w:rPr>
        <w:fldChar w:fldCharType="separate"/>
      </w:r>
      <w:r w:rsidRPr="00707E03">
        <w:rPr>
          <w:color w:val="auto"/>
        </w:rPr>
        <w:t>42</w:t>
      </w:r>
      <w:r w:rsidRPr="00707E03">
        <w:rPr>
          <w:color w:val="auto"/>
        </w:rPr>
        <w:fldChar w:fldCharType="end"/>
      </w:r>
    </w:p>
    <w:p w:rsidR="00707E03" w:rsidRPr="00707E03" w:rsidRDefault="00707E03">
      <w:pPr>
        <w:pStyle w:val="TOC3"/>
        <w:rPr>
          <w:rFonts w:asciiTheme="minorHAnsi" w:eastAsiaTheme="minorEastAsia" w:hAnsiTheme="minorHAnsi" w:cstheme="minorBidi"/>
          <w:bCs w:val="0"/>
          <w:color w:val="auto"/>
          <w:sz w:val="22"/>
          <w:szCs w:val="22"/>
        </w:rPr>
      </w:pPr>
      <w:r w:rsidRPr="00707E03">
        <w:rPr>
          <w:color w:val="auto"/>
          <w:lang w:val="it-IT"/>
        </w:rPr>
        <w:t>Definizione di Gestione per i Dispositivi Qualificanti</w:t>
      </w:r>
      <w:r w:rsidRPr="00707E03">
        <w:rPr>
          <w:color w:val="auto"/>
        </w:rPr>
        <w:tab/>
      </w:r>
      <w:r w:rsidRPr="00707E03">
        <w:rPr>
          <w:color w:val="auto"/>
        </w:rPr>
        <w:fldChar w:fldCharType="begin"/>
      </w:r>
      <w:r w:rsidRPr="00707E03">
        <w:rPr>
          <w:color w:val="auto"/>
        </w:rPr>
        <w:instrText xml:space="preserve"> PAGEREF _Toc352234788 \h </w:instrText>
      </w:r>
      <w:r w:rsidRPr="00707E03">
        <w:rPr>
          <w:color w:val="auto"/>
        </w:rPr>
      </w:r>
      <w:r w:rsidRPr="00707E03">
        <w:rPr>
          <w:color w:val="auto"/>
        </w:rPr>
        <w:fldChar w:fldCharType="separate"/>
      </w:r>
      <w:r w:rsidRPr="00707E03">
        <w:rPr>
          <w:color w:val="auto"/>
        </w:rPr>
        <w:t>43</w:t>
      </w:r>
      <w:r w:rsidRPr="00707E03">
        <w:rPr>
          <w:color w:val="auto"/>
        </w:rPr>
        <w:fldChar w:fldCharType="end"/>
      </w:r>
    </w:p>
    <w:p w:rsidR="00707E03" w:rsidRPr="00707E03" w:rsidRDefault="00707E03">
      <w:pPr>
        <w:pStyle w:val="TOC3"/>
        <w:rPr>
          <w:rFonts w:asciiTheme="minorHAnsi" w:eastAsiaTheme="minorEastAsia" w:hAnsiTheme="minorHAnsi" w:cstheme="minorBidi"/>
          <w:bCs w:val="0"/>
          <w:color w:val="auto"/>
          <w:sz w:val="22"/>
          <w:szCs w:val="22"/>
        </w:rPr>
      </w:pPr>
      <w:r w:rsidRPr="00707E03">
        <w:rPr>
          <w:color w:val="auto"/>
          <w:lang w:val="it-IT"/>
        </w:rPr>
        <w:t>Prodotti Qualificati per lo Sconto Up-to-Date (UTD)</w:t>
      </w:r>
      <w:r w:rsidRPr="00707E03">
        <w:rPr>
          <w:color w:val="auto"/>
        </w:rPr>
        <w:tab/>
      </w:r>
      <w:r w:rsidRPr="00707E03">
        <w:rPr>
          <w:color w:val="auto"/>
        </w:rPr>
        <w:fldChar w:fldCharType="begin"/>
      </w:r>
      <w:r w:rsidRPr="00707E03">
        <w:rPr>
          <w:color w:val="auto"/>
        </w:rPr>
        <w:instrText xml:space="preserve"> PAGEREF _Toc352234789 \h </w:instrText>
      </w:r>
      <w:r w:rsidRPr="00707E03">
        <w:rPr>
          <w:color w:val="auto"/>
        </w:rPr>
      </w:r>
      <w:r w:rsidRPr="00707E03">
        <w:rPr>
          <w:color w:val="auto"/>
        </w:rPr>
        <w:fldChar w:fldCharType="separate"/>
      </w:r>
      <w:r w:rsidRPr="00707E03">
        <w:rPr>
          <w:color w:val="auto"/>
        </w:rPr>
        <w:t>44</w:t>
      </w:r>
      <w:r w:rsidRPr="00707E03">
        <w:rPr>
          <w:color w:val="auto"/>
        </w:rPr>
        <w:fldChar w:fldCharType="end"/>
      </w:r>
    </w:p>
    <w:p w:rsidR="00707E03" w:rsidRPr="00707E03" w:rsidRDefault="00707E03">
      <w:pPr>
        <w:pStyle w:val="TOC2"/>
        <w:rPr>
          <w:rFonts w:asciiTheme="minorHAnsi" w:eastAsiaTheme="minorEastAsia" w:hAnsiTheme="minorHAnsi" w:cstheme="minorBidi"/>
          <w:sz w:val="22"/>
          <w:szCs w:val="22"/>
        </w:rPr>
      </w:pPr>
      <w:r w:rsidRPr="00707E03">
        <w:rPr>
          <w:rFonts w:cs="Tahoma"/>
          <w:lang w:val="it-IT"/>
        </w:rPr>
        <w:t>Condizioni Aggiornate per i Programmi Contratto Enterprise e Contratto Subscription</w:t>
      </w:r>
      <w:r w:rsidRPr="00707E03">
        <w:tab/>
      </w:r>
      <w:r w:rsidRPr="00707E03">
        <w:fldChar w:fldCharType="begin"/>
      </w:r>
      <w:r w:rsidRPr="00707E03">
        <w:instrText xml:space="preserve"> PAGEREF _Toc352234790 \h </w:instrText>
      </w:r>
      <w:r w:rsidRPr="00707E03">
        <w:fldChar w:fldCharType="separate"/>
      </w:r>
      <w:r w:rsidRPr="00707E03">
        <w:t>44</w:t>
      </w:r>
      <w:r w:rsidRPr="00707E03">
        <w:fldChar w:fldCharType="end"/>
      </w:r>
    </w:p>
    <w:p w:rsidR="00707E03" w:rsidRPr="00707E03" w:rsidRDefault="00707E03">
      <w:pPr>
        <w:pStyle w:val="TOC2"/>
        <w:rPr>
          <w:rFonts w:asciiTheme="minorHAnsi" w:eastAsiaTheme="minorEastAsia" w:hAnsiTheme="minorHAnsi" w:cstheme="minorBidi"/>
          <w:sz w:val="22"/>
          <w:szCs w:val="22"/>
        </w:rPr>
      </w:pPr>
      <w:r w:rsidRPr="00707E03">
        <w:rPr>
          <w:rFonts w:cs="Tahoma"/>
          <w:lang w:val="it-IT"/>
        </w:rPr>
        <w:lastRenderedPageBreak/>
        <w:t>Continuità del Servizio per Proroga del Periodo di Validità</w:t>
      </w:r>
      <w:r w:rsidRPr="00707E03">
        <w:tab/>
      </w:r>
      <w:r w:rsidRPr="00707E03">
        <w:fldChar w:fldCharType="begin"/>
      </w:r>
      <w:r w:rsidRPr="00707E03">
        <w:instrText xml:space="preserve"> PAGEREF _Toc352234791 \h </w:instrText>
      </w:r>
      <w:r w:rsidRPr="00707E03">
        <w:fldChar w:fldCharType="separate"/>
      </w:r>
      <w:r w:rsidRPr="00707E03">
        <w:t>48</w:t>
      </w:r>
      <w:r w:rsidRPr="00707E03">
        <w:fldChar w:fldCharType="end"/>
      </w:r>
    </w:p>
    <w:p w:rsidR="00707E03" w:rsidRPr="00707E03" w:rsidRDefault="00707E03">
      <w:pPr>
        <w:pStyle w:val="TOC1"/>
        <w:rPr>
          <w:rFonts w:asciiTheme="minorHAnsi" w:eastAsiaTheme="minorEastAsia" w:hAnsiTheme="minorHAnsi" w:cstheme="minorBidi"/>
          <w:b w:val="0"/>
          <w:caps w:val="0"/>
          <w:color w:val="auto"/>
          <w:szCs w:val="22"/>
        </w:rPr>
      </w:pPr>
      <w:r w:rsidRPr="00707E03">
        <w:rPr>
          <w:color w:val="auto"/>
          <w:lang w:val="it-IT"/>
        </w:rPr>
        <w:t>ARTICOLO 4 - Tipi di Licenze e Corrispettivi</w:t>
      </w:r>
      <w:r w:rsidRPr="00707E03">
        <w:rPr>
          <w:color w:val="auto"/>
        </w:rPr>
        <w:tab/>
      </w:r>
      <w:r w:rsidRPr="00707E03">
        <w:rPr>
          <w:color w:val="auto"/>
        </w:rPr>
        <w:fldChar w:fldCharType="begin"/>
      </w:r>
      <w:r w:rsidRPr="00707E03">
        <w:rPr>
          <w:color w:val="auto"/>
        </w:rPr>
        <w:instrText xml:space="preserve"> PAGEREF _Toc352234792 \h </w:instrText>
      </w:r>
      <w:r w:rsidRPr="00707E03">
        <w:rPr>
          <w:color w:val="auto"/>
        </w:rPr>
      </w:r>
      <w:r w:rsidRPr="00707E03">
        <w:rPr>
          <w:color w:val="auto"/>
        </w:rPr>
        <w:fldChar w:fldCharType="separate"/>
      </w:r>
      <w:r w:rsidRPr="00707E03">
        <w:rPr>
          <w:color w:val="auto"/>
        </w:rPr>
        <w:t>49</w:t>
      </w:r>
      <w:r w:rsidRPr="00707E03">
        <w:rPr>
          <w:color w:val="auto"/>
        </w:rPr>
        <w:fldChar w:fldCharType="end"/>
      </w:r>
    </w:p>
    <w:p w:rsidR="00707E03" w:rsidRPr="00707E03" w:rsidRDefault="00707E03">
      <w:pPr>
        <w:pStyle w:val="TOC2"/>
        <w:rPr>
          <w:rFonts w:asciiTheme="minorHAnsi" w:eastAsiaTheme="minorEastAsia" w:hAnsiTheme="minorHAnsi" w:cstheme="minorBidi"/>
          <w:sz w:val="22"/>
          <w:szCs w:val="22"/>
        </w:rPr>
      </w:pPr>
      <w:r w:rsidRPr="00707E03">
        <w:rPr>
          <w:rFonts w:cs="Tahoma"/>
          <w:lang w:val="it-IT"/>
        </w:rPr>
        <w:t>Corrispettivi</w:t>
      </w:r>
      <w:r w:rsidRPr="00707E03">
        <w:tab/>
      </w:r>
      <w:r w:rsidRPr="00707E03">
        <w:fldChar w:fldCharType="begin"/>
      </w:r>
      <w:r w:rsidRPr="00707E03">
        <w:instrText xml:space="preserve"> PAGEREF _Toc352234793 \h </w:instrText>
      </w:r>
      <w:r w:rsidRPr="00707E03">
        <w:fldChar w:fldCharType="separate"/>
      </w:r>
      <w:r w:rsidRPr="00707E03">
        <w:t>49</w:t>
      </w:r>
      <w:r w:rsidRPr="00707E03">
        <w:fldChar w:fldCharType="end"/>
      </w:r>
    </w:p>
    <w:p w:rsidR="00707E03" w:rsidRPr="00707E03" w:rsidRDefault="00707E03">
      <w:pPr>
        <w:pStyle w:val="TOC2"/>
        <w:rPr>
          <w:rFonts w:asciiTheme="minorHAnsi" w:eastAsiaTheme="minorEastAsia" w:hAnsiTheme="minorHAnsi" w:cstheme="minorBidi"/>
          <w:sz w:val="22"/>
          <w:szCs w:val="22"/>
        </w:rPr>
      </w:pPr>
      <w:r w:rsidRPr="00707E03">
        <w:rPr>
          <w:rFonts w:cs="Tahoma"/>
          <w:lang w:val="it-IT"/>
        </w:rPr>
        <w:t>Licenza</w:t>
      </w:r>
      <w:r w:rsidRPr="00707E03">
        <w:tab/>
      </w:r>
      <w:r w:rsidRPr="00707E03">
        <w:fldChar w:fldCharType="begin"/>
      </w:r>
      <w:r w:rsidRPr="00707E03">
        <w:instrText xml:space="preserve"> PAGEREF _Toc352234794 \h </w:instrText>
      </w:r>
      <w:r w:rsidRPr="00707E03">
        <w:fldChar w:fldCharType="separate"/>
      </w:r>
      <w:r w:rsidRPr="00707E03">
        <w:t>49</w:t>
      </w:r>
      <w:r w:rsidRPr="00707E03">
        <w:fldChar w:fldCharType="end"/>
      </w:r>
    </w:p>
    <w:p w:rsidR="00707E03" w:rsidRPr="00707E03" w:rsidRDefault="00707E03">
      <w:pPr>
        <w:pStyle w:val="TOC2"/>
        <w:rPr>
          <w:rFonts w:asciiTheme="minorHAnsi" w:eastAsiaTheme="minorEastAsia" w:hAnsiTheme="minorHAnsi" w:cstheme="minorBidi"/>
          <w:sz w:val="22"/>
          <w:szCs w:val="22"/>
        </w:rPr>
      </w:pPr>
      <w:r w:rsidRPr="00707E03">
        <w:rPr>
          <w:rFonts w:cs="Tahoma"/>
          <w:lang w:val="it-IT"/>
        </w:rPr>
        <w:t>Licenza e Software Assurance (L&amp;SA)</w:t>
      </w:r>
      <w:r w:rsidRPr="00707E03">
        <w:tab/>
      </w:r>
      <w:r w:rsidRPr="00707E03">
        <w:fldChar w:fldCharType="begin"/>
      </w:r>
      <w:r w:rsidRPr="00707E03">
        <w:instrText xml:space="preserve"> PAGEREF _Toc352234795 \h </w:instrText>
      </w:r>
      <w:r w:rsidRPr="00707E03">
        <w:fldChar w:fldCharType="separate"/>
      </w:r>
      <w:r w:rsidRPr="00707E03">
        <w:t>49</w:t>
      </w:r>
      <w:r w:rsidRPr="00707E03">
        <w:fldChar w:fldCharType="end"/>
      </w:r>
    </w:p>
    <w:p w:rsidR="00707E03" w:rsidRPr="00707E03" w:rsidRDefault="00707E03">
      <w:pPr>
        <w:pStyle w:val="TOC2"/>
        <w:rPr>
          <w:rFonts w:asciiTheme="minorHAnsi" w:eastAsiaTheme="minorEastAsia" w:hAnsiTheme="minorHAnsi" w:cstheme="minorBidi"/>
          <w:sz w:val="22"/>
          <w:szCs w:val="22"/>
        </w:rPr>
      </w:pPr>
      <w:r w:rsidRPr="00707E03">
        <w:rPr>
          <w:rFonts w:cs="Tahoma"/>
          <w:lang w:val="it-IT"/>
        </w:rPr>
        <w:t>Software Assurance</w:t>
      </w:r>
      <w:r w:rsidRPr="00707E03">
        <w:tab/>
      </w:r>
      <w:r w:rsidRPr="00707E03">
        <w:fldChar w:fldCharType="begin"/>
      </w:r>
      <w:r w:rsidRPr="00707E03">
        <w:instrText xml:space="preserve"> PAGEREF _Toc352234796 \h </w:instrText>
      </w:r>
      <w:r w:rsidRPr="00707E03">
        <w:fldChar w:fldCharType="separate"/>
      </w:r>
      <w:r w:rsidRPr="00707E03">
        <w:t>49</w:t>
      </w:r>
      <w:r w:rsidRPr="00707E03">
        <w:fldChar w:fldCharType="end"/>
      </w:r>
    </w:p>
    <w:p w:rsidR="00707E03" w:rsidRPr="00707E03" w:rsidRDefault="00707E03">
      <w:pPr>
        <w:pStyle w:val="TOC2"/>
        <w:rPr>
          <w:rFonts w:asciiTheme="minorHAnsi" w:eastAsiaTheme="minorEastAsia" w:hAnsiTheme="minorHAnsi" w:cstheme="minorBidi"/>
          <w:sz w:val="22"/>
          <w:szCs w:val="22"/>
        </w:rPr>
      </w:pPr>
      <w:r w:rsidRPr="00707E03">
        <w:rPr>
          <w:rFonts w:cs="Tahoma"/>
          <w:lang w:val="it-IT"/>
        </w:rPr>
        <w:t>Licenze Step-Up</w:t>
      </w:r>
      <w:r w:rsidRPr="00707E03">
        <w:tab/>
      </w:r>
      <w:r w:rsidRPr="00707E03">
        <w:fldChar w:fldCharType="begin"/>
      </w:r>
      <w:r w:rsidRPr="00707E03">
        <w:instrText xml:space="preserve"> PAGEREF _Toc352234797 \h </w:instrText>
      </w:r>
      <w:r w:rsidRPr="00707E03">
        <w:fldChar w:fldCharType="separate"/>
      </w:r>
      <w:r w:rsidRPr="00707E03">
        <w:t>51</w:t>
      </w:r>
      <w:r w:rsidRPr="00707E03">
        <w:fldChar w:fldCharType="end"/>
      </w:r>
    </w:p>
    <w:p w:rsidR="00707E03" w:rsidRPr="00707E03" w:rsidRDefault="00707E03">
      <w:pPr>
        <w:pStyle w:val="TOC2"/>
        <w:rPr>
          <w:rFonts w:asciiTheme="minorHAnsi" w:eastAsiaTheme="minorEastAsia" w:hAnsiTheme="minorHAnsi" w:cstheme="minorBidi"/>
          <w:sz w:val="22"/>
          <w:szCs w:val="22"/>
        </w:rPr>
      </w:pPr>
      <w:r w:rsidRPr="00707E03">
        <w:rPr>
          <w:rFonts w:cs="Tahoma"/>
          <w:lang w:val="it-IT"/>
        </w:rPr>
        <w:t>Licenze “Subscription”</w:t>
      </w:r>
      <w:r w:rsidRPr="00707E03">
        <w:tab/>
      </w:r>
      <w:r w:rsidRPr="00707E03">
        <w:fldChar w:fldCharType="begin"/>
      </w:r>
      <w:r w:rsidRPr="00707E03">
        <w:instrText xml:space="preserve"> PAGEREF _Toc352234798 \h </w:instrText>
      </w:r>
      <w:r w:rsidRPr="00707E03">
        <w:fldChar w:fldCharType="separate"/>
      </w:r>
      <w:r w:rsidRPr="00707E03">
        <w:t>51</w:t>
      </w:r>
      <w:r w:rsidRPr="00707E03">
        <w:fldChar w:fldCharType="end"/>
      </w:r>
    </w:p>
    <w:p w:rsidR="00707E03" w:rsidRPr="00707E03" w:rsidRDefault="00707E03">
      <w:pPr>
        <w:pStyle w:val="TOC2"/>
        <w:rPr>
          <w:rFonts w:asciiTheme="minorHAnsi" w:eastAsiaTheme="minorEastAsia" w:hAnsiTheme="minorHAnsi" w:cstheme="minorBidi"/>
          <w:sz w:val="22"/>
          <w:szCs w:val="22"/>
        </w:rPr>
      </w:pPr>
      <w:r w:rsidRPr="00707E03">
        <w:rPr>
          <w:rFonts w:cs="Tahoma"/>
        </w:rPr>
        <w:t>Aggiornamento</w:t>
      </w:r>
      <w:r w:rsidRPr="00707E03">
        <w:tab/>
      </w:r>
      <w:r w:rsidRPr="00707E03">
        <w:fldChar w:fldCharType="begin"/>
      </w:r>
      <w:r w:rsidRPr="00707E03">
        <w:instrText xml:space="preserve"> PAGEREF _Toc352234799 \h </w:instrText>
      </w:r>
      <w:r w:rsidRPr="00707E03">
        <w:fldChar w:fldCharType="separate"/>
      </w:r>
      <w:r w:rsidRPr="00707E03">
        <w:t>51</w:t>
      </w:r>
      <w:r w:rsidRPr="00707E03">
        <w:fldChar w:fldCharType="end"/>
      </w:r>
    </w:p>
    <w:p w:rsidR="00707E03" w:rsidRPr="00707E03" w:rsidRDefault="00707E03">
      <w:pPr>
        <w:pStyle w:val="TOC2"/>
        <w:rPr>
          <w:rFonts w:asciiTheme="minorHAnsi" w:eastAsiaTheme="minorEastAsia" w:hAnsiTheme="minorHAnsi" w:cstheme="minorBidi"/>
          <w:sz w:val="22"/>
          <w:szCs w:val="22"/>
        </w:rPr>
      </w:pPr>
      <w:r w:rsidRPr="00707E03">
        <w:rPr>
          <w:rFonts w:cs="Tahoma"/>
          <w:lang w:val="it-IT"/>
        </w:rPr>
        <w:t>Aggiornamento e Software Assurance</w:t>
      </w:r>
      <w:r w:rsidRPr="00707E03">
        <w:tab/>
      </w:r>
      <w:r w:rsidRPr="00707E03">
        <w:fldChar w:fldCharType="begin"/>
      </w:r>
      <w:r w:rsidRPr="00707E03">
        <w:instrText xml:space="preserve"> PAGEREF _Toc352234800 \h </w:instrText>
      </w:r>
      <w:r w:rsidRPr="00707E03">
        <w:fldChar w:fldCharType="separate"/>
      </w:r>
      <w:r w:rsidRPr="00707E03">
        <w:t>52</w:t>
      </w:r>
      <w:r w:rsidRPr="00707E03">
        <w:fldChar w:fldCharType="end"/>
      </w:r>
    </w:p>
    <w:p w:rsidR="00707E03" w:rsidRPr="00707E03" w:rsidRDefault="00707E03">
      <w:pPr>
        <w:pStyle w:val="TOC2"/>
        <w:rPr>
          <w:rFonts w:asciiTheme="minorHAnsi" w:eastAsiaTheme="minorEastAsia" w:hAnsiTheme="minorHAnsi" w:cstheme="minorBidi"/>
          <w:sz w:val="22"/>
          <w:szCs w:val="22"/>
        </w:rPr>
      </w:pPr>
      <w:r w:rsidRPr="00707E03">
        <w:rPr>
          <w:rFonts w:cs="Tahoma"/>
          <w:lang w:val="it-IT"/>
        </w:rPr>
        <w:t>Licenze Work at Home</w:t>
      </w:r>
      <w:r w:rsidRPr="00707E03">
        <w:tab/>
      </w:r>
      <w:r w:rsidRPr="00707E03">
        <w:fldChar w:fldCharType="begin"/>
      </w:r>
      <w:r w:rsidRPr="00707E03">
        <w:instrText xml:space="preserve"> PAGEREF _Toc352234801 \h </w:instrText>
      </w:r>
      <w:r w:rsidRPr="00707E03">
        <w:fldChar w:fldCharType="separate"/>
      </w:r>
      <w:r w:rsidRPr="00707E03">
        <w:t>52</w:t>
      </w:r>
      <w:r w:rsidRPr="00707E03">
        <w:fldChar w:fldCharType="end"/>
      </w:r>
    </w:p>
    <w:p w:rsidR="00707E03" w:rsidRPr="00707E03" w:rsidRDefault="00707E03">
      <w:pPr>
        <w:pStyle w:val="TOC1"/>
        <w:rPr>
          <w:rFonts w:asciiTheme="minorHAnsi" w:eastAsiaTheme="minorEastAsia" w:hAnsiTheme="minorHAnsi" w:cstheme="minorBidi"/>
          <w:b w:val="0"/>
          <w:caps w:val="0"/>
          <w:color w:val="auto"/>
          <w:szCs w:val="22"/>
        </w:rPr>
      </w:pPr>
      <w:r w:rsidRPr="00707E03">
        <w:rPr>
          <w:color w:val="auto"/>
          <w:lang w:val="it-IT"/>
        </w:rPr>
        <w:t>Articolo 5 - PREZZI DEI SERVIZI ONLINE E CONDIZIONI DI PAGAMENTO</w:t>
      </w:r>
      <w:r w:rsidRPr="00707E03">
        <w:rPr>
          <w:color w:val="auto"/>
        </w:rPr>
        <w:tab/>
      </w:r>
      <w:r w:rsidRPr="00707E03">
        <w:rPr>
          <w:color w:val="auto"/>
        </w:rPr>
        <w:fldChar w:fldCharType="begin"/>
      </w:r>
      <w:r w:rsidRPr="00707E03">
        <w:rPr>
          <w:color w:val="auto"/>
        </w:rPr>
        <w:instrText xml:space="preserve"> PAGEREF _Toc352234802 \h </w:instrText>
      </w:r>
      <w:r w:rsidRPr="00707E03">
        <w:rPr>
          <w:color w:val="auto"/>
        </w:rPr>
      </w:r>
      <w:r w:rsidRPr="00707E03">
        <w:rPr>
          <w:color w:val="auto"/>
        </w:rPr>
        <w:fldChar w:fldCharType="separate"/>
      </w:r>
      <w:r w:rsidRPr="00707E03">
        <w:rPr>
          <w:color w:val="auto"/>
        </w:rPr>
        <w:t>53</w:t>
      </w:r>
      <w:r w:rsidRPr="00707E03">
        <w:rPr>
          <w:color w:val="auto"/>
        </w:rPr>
        <w:fldChar w:fldCharType="end"/>
      </w:r>
    </w:p>
    <w:p w:rsidR="00707E03" w:rsidRPr="00707E03" w:rsidRDefault="00707E03">
      <w:pPr>
        <w:pStyle w:val="TOC2"/>
        <w:rPr>
          <w:rFonts w:asciiTheme="minorHAnsi" w:eastAsiaTheme="minorEastAsia" w:hAnsiTheme="minorHAnsi" w:cstheme="minorBidi"/>
          <w:sz w:val="22"/>
          <w:szCs w:val="22"/>
        </w:rPr>
      </w:pPr>
      <w:r w:rsidRPr="00707E03">
        <w:rPr>
          <w:rFonts w:cs="Tahoma"/>
          <w:lang w:val="it-IT"/>
        </w:rPr>
        <w:t>Periodo di Validità dell’Abbonamento ai Servizi Online</w:t>
      </w:r>
      <w:r w:rsidRPr="00707E03">
        <w:tab/>
      </w:r>
      <w:r w:rsidRPr="00707E03">
        <w:fldChar w:fldCharType="begin"/>
      </w:r>
      <w:r w:rsidRPr="00707E03">
        <w:instrText xml:space="preserve"> PAGEREF _Toc352234803 \h </w:instrText>
      </w:r>
      <w:r w:rsidRPr="00707E03">
        <w:fldChar w:fldCharType="separate"/>
      </w:r>
      <w:r w:rsidRPr="00707E03">
        <w:t>53</w:t>
      </w:r>
      <w:r w:rsidRPr="00707E03">
        <w:fldChar w:fldCharType="end"/>
      </w:r>
    </w:p>
    <w:p w:rsidR="00707E03" w:rsidRPr="00707E03" w:rsidRDefault="00707E03">
      <w:pPr>
        <w:pStyle w:val="TOC2"/>
        <w:rPr>
          <w:rFonts w:asciiTheme="minorHAnsi" w:eastAsiaTheme="minorEastAsia" w:hAnsiTheme="minorHAnsi" w:cstheme="minorBidi"/>
          <w:sz w:val="22"/>
          <w:szCs w:val="22"/>
        </w:rPr>
      </w:pPr>
      <w:r w:rsidRPr="00707E03">
        <w:rPr>
          <w:rFonts w:cs="Tahoma"/>
          <w:lang w:val="it-IT"/>
        </w:rPr>
        <w:t>Acquisti e Rinnovo Automatico di Servizi Online</w:t>
      </w:r>
      <w:r w:rsidRPr="00707E03">
        <w:tab/>
      </w:r>
      <w:r w:rsidRPr="00707E03">
        <w:fldChar w:fldCharType="begin"/>
      </w:r>
      <w:r w:rsidRPr="00707E03">
        <w:instrText xml:space="preserve"> PAGEREF _Toc352234804 \h </w:instrText>
      </w:r>
      <w:r w:rsidRPr="00707E03">
        <w:fldChar w:fldCharType="separate"/>
      </w:r>
      <w:r w:rsidRPr="00707E03">
        <w:t>54</w:t>
      </w:r>
      <w:r w:rsidRPr="00707E03">
        <w:fldChar w:fldCharType="end"/>
      </w:r>
    </w:p>
    <w:p w:rsidR="00707E03" w:rsidRPr="00707E03" w:rsidRDefault="00707E03">
      <w:pPr>
        <w:pStyle w:val="TOC2"/>
        <w:rPr>
          <w:rFonts w:asciiTheme="minorHAnsi" w:eastAsiaTheme="minorEastAsia" w:hAnsiTheme="minorHAnsi" w:cstheme="minorBidi"/>
          <w:sz w:val="22"/>
          <w:szCs w:val="22"/>
        </w:rPr>
      </w:pPr>
      <w:r w:rsidRPr="00707E03">
        <w:rPr>
          <w:rFonts w:cs="Tahoma"/>
          <w:lang w:val="it-IT"/>
        </w:rPr>
        <w:t>Gestione degli Stati di Rinnovo e di Rinnovo Automatico</w:t>
      </w:r>
      <w:r w:rsidRPr="00707E03">
        <w:tab/>
      </w:r>
      <w:r w:rsidRPr="00707E03">
        <w:fldChar w:fldCharType="begin"/>
      </w:r>
      <w:r w:rsidRPr="00707E03">
        <w:instrText xml:space="preserve"> PAGEREF _Toc352234805 \h </w:instrText>
      </w:r>
      <w:r w:rsidRPr="00707E03">
        <w:fldChar w:fldCharType="separate"/>
      </w:r>
      <w:r w:rsidRPr="00707E03">
        <w:t>54</w:t>
      </w:r>
      <w:r w:rsidRPr="00707E03">
        <w:fldChar w:fldCharType="end"/>
      </w:r>
    </w:p>
    <w:p w:rsidR="00707E03" w:rsidRPr="00707E03" w:rsidRDefault="00707E03">
      <w:pPr>
        <w:pStyle w:val="TOC2"/>
        <w:rPr>
          <w:rFonts w:asciiTheme="minorHAnsi" w:eastAsiaTheme="minorEastAsia" w:hAnsiTheme="minorHAnsi" w:cstheme="minorBidi"/>
          <w:sz w:val="22"/>
          <w:szCs w:val="22"/>
        </w:rPr>
      </w:pPr>
      <w:r w:rsidRPr="00707E03">
        <w:rPr>
          <w:rFonts w:cs="Tahoma"/>
          <w:lang w:val="it-IT"/>
        </w:rPr>
        <w:t>Annullamento dei Servizi Online</w:t>
      </w:r>
      <w:r w:rsidRPr="00707E03">
        <w:tab/>
      </w:r>
      <w:r w:rsidRPr="00707E03">
        <w:fldChar w:fldCharType="begin"/>
      </w:r>
      <w:r w:rsidRPr="00707E03">
        <w:instrText xml:space="preserve"> PAGEREF _Toc352234806 \h </w:instrText>
      </w:r>
      <w:r w:rsidRPr="00707E03">
        <w:fldChar w:fldCharType="separate"/>
      </w:r>
      <w:r w:rsidRPr="00707E03">
        <w:t>55</w:t>
      </w:r>
      <w:r w:rsidRPr="00707E03">
        <w:fldChar w:fldCharType="end"/>
      </w:r>
    </w:p>
    <w:p w:rsidR="00707E03" w:rsidRPr="00707E03" w:rsidRDefault="00707E03">
      <w:pPr>
        <w:pStyle w:val="TOC2"/>
        <w:rPr>
          <w:rFonts w:asciiTheme="minorHAnsi" w:eastAsiaTheme="minorEastAsia" w:hAnsiTheme="minorHAnsi" w:cstheme="minorBidi"/>
          <w:sz w:val="22"/>
          <w:szCs w:val="22"/>
        </w:rPr>
      </w:pPr>
      <w:r w:rsidRPr="00707E03">
        <w:rPr>
          <w:rFonts w:cs="Tahoma"/>
          <w:lang w:val="it-IT"/>
        </w:rPr>
        <w:t>Opzioni relative alle Condizioni di Pagamento dei Servizi Online</w:t>
      </w:r>
      <w:r w:rsidRPr="00707E03">
        <w:tab/>
      </w:r>
      <w:r w:rsidRPr="00707E03">
        <w:fldChar w:fldCharType="begin"/>
      </w:r>
      <w:r w:rsidRPr="00707E03">
        <w:instrText xml:space="preserve"> PAGEREF _Toc352234807 \h </w:instrText>
      </w:r>
      <w:r w:rsidRPr="00707E03">
        <w:fldChar w:fldCharType="separate"/>
      </w:r>
      <w:r w:rsidRPr="00707E03">
        <w:t>55</w:t>
      </w:r>
      <w:r w:rsidRPr="00707E03">
        <w:fldChar w:fldCharType="end"/>
      </w:r>
    </w:p>
    <w:p w:rsidR="00707E03" w:rsidRPr="00707E03" w:rsidRDefault="00707E03">
      <w:pPr>
        <w:pStyle w:val="TOC2"/>
        <w:rPr>
          <w:rFonts w:asciiTheme="minorHAnsi" w:eastAsiaTheme="minorEastAsia" w:hAnsiTheme="minorHAnsi" w:cstheme="minorBidi"/>
          <w:sz w:val="22"/>
          <w:szCs w:val="22"/>
        </w:rPr>
      </w:pPr>
      <w:r w:rsidRPr="00707E03">
        <w:rPr>
          <w:rFonts w:cs="Tahoma"/>
          <w:lang w:val="it-IT"/>
        </w:rPr>
        <w:t>Requisiti di Acquisto Minimo per i Servizi Online in Volume Licensing</w:t>
      </w:r>
      <w:r w:rsidRPr="00707E03">
        <w:tab/>
      </w:r>
      <w:r w:rsidRPr="00707E03">
        <w:fldChar w:fldCharType="begin"/>
      </w:r>
      <w:r w:rsidRPr="00707E03">
        <w:instrText xml:space="preserve"> PAGEREF _Toc352234808 \h </w:instrText>
      </w:r>
      <w:r w:rsidRPr="00707E03">
        <w:fldChar w:fldCharType="separate"/>
      </w:r>
      <w:r w:rsidRPr="00707E03">
        <w:t>55</w:t>
      </w:r>
      <w:r w:rsidRPr="00707E03">
        <w:fldChar w:fldCharType="end"/>
      </w:r>
    </w:p>
    <w:p w:rsidR="00707E03" w:rsidRPr="00707E03" w:rsidRDefault="00707E03">
      <w:pPr>
        <w:pStyle w:val="TOC3"/>
        <w:rPr>
          <w:rFonts w:asciiTheme="minorHAnsi" w:eastAsiaTheme="minorEastAsia" w:hAnsiTheme="minorHAnsi" w:cstheme="minorBidi"/>
          <w:bCs w:val="0"/>
          <w:color w:val="auto"/>
          <w:sz w:val="22"/>
          <w:szCs w:val="22"/>
        </w:rPr>
      </w:pPr>
      <w:r w:rsidRPr="00707E03">
        <w:rPr>
          <w:color w:val="auto"/>
          <w:lang w:val="it-IT"/>
        </w:rPr>
        <w:t>Servizi di Windows Azure</w:t>
      </w:r>
      <w:r w:rsidRPr="00707E03">
        <w:rPr>
          <w:color w:val="auto"/>
        </w:rPr>
        <w:tab/>
      </w:r>
      <w:r w:rsidRPr="00707E03">
        <w:rPr>
          <w:color w:val="auto"/>
        </w:rPr>
        <w:fldChar w:fldCharType="begin"/>
      </w:r>
      <w:r w:rsidRPr="00707E03">
        <w:rPr>
          <w:color w:val="auto"/>
        </w:rPr>
        <w:instrText xml:space="preserve"> PAGEREF _Toc352234809 \h </w:instrText>
      </w:r>
      <w:r w:rsidRPr="00707E03">
        <w:rPr>
          <w:color w:val="auto"/>
        </w:rPr>
      </w:r>
      <w:r w:rsidRPr="00707E03">
        <w:rPr>
          <w:color w:val="auto"/>
        </w:rPr>
        <w:fldChar w:fldCharType="separate"/>
      </w:r>
      <w:r w:rsidRPr="00707E03">
        <w:rPr>
          <w:color w:val="auto"/>
        </w:rPr>
        <w:t>55</w:t>
      </w:r>
      <w:r w:rsidRPr="00707E03">
        <w:rPr>
          <w:color w:val="auto"/>
        </w:rPr>
        <w:fldChar w:fldCharType="end"/>
      </w:r>
    </w:p>
    <w:p w:rsidR="00707E03" w:rsidRPr="00707E03" w:rsidRDefault="00707E03">
      <w:pPr>
        <w:pStyle w:val="TOC2"/>
        <w:rPr>
          <w:rFonts w:asciiTheme="minorHAnsi" w:eastAsiaTheme="minorEastAsia" w:hAnsiTheme="minorHAnsi" w:cstheme="minorBidi"/>
          <w:sz w:val="22"/>
          <w:szCs w:val="22"/>
        </w:rPr>
      </w:pPr>
      <w:r w:rsidRPr="00707E03">
        <w:rPr>
          <w:rFonts w:cs="Tahoma"/>
          <w:lang w:val="it-IT"/>
        </w:rPr>
        <w:t>Disponibilità internazionale del Servizio Online</w:t>
      </w:r>
      <w:r w:rsidRPr="00707E03">
        <w:tab/>
      </w:r>
      <w:r w:rsidRPr="00707E03">
        <w:fldChar w:fldCharType="begin"/>
      </w:r>
      <w:r w:rsidRPr="00707E03">
        <w:instrText xml:space="preserve"> PAGEREF _Toc352234810 \h </w:instrText>
      </w:r>
      <w:r w:rsidRPr="00707E03">
        <w:fldChar w:fldCharType="separate"/>
      </w:r>
      <w:r w:rsidRPr="00707E03">
        <w:t>57</w:t>
      </w:r>
      <w:r w:rsidRPr="00707E03">
        <w:fldChar w:fldCharType="end"/>
      </w:r>
    </w:p>
    <w:p w:rsidR="00707E03" w:rsidRPr="00707E03" w:rsidRDefault="00707E03">
      <w:pPr>
        <w:pStyle w:val="TOC2"/>
        <w:rPr>
          <w:rFonts w:asciiTheme="minorHAnsi" w:eastAsiaTheme="minorEastAsia" w:hAnsiTheme="minorHAnsi" w:cstheme="minorBidi"/>
          <w:sz w:val="22"/>
          <w:szCs w:val="22"/>
        </w:rPr>
      </w:pPr>
      <w:r w:rsidRPr="00707E03">
        <w:rPr>
          <w:rFonts w:cs="Tahoma"/>
          <w:lang w:val="it-IT"/>
        </w:rPr>
        <w:t>Condizioni Aggiuntive per i Servizi Online</w:t>
      </w:r>
      <w:r w:rsidRPr="00707E03">
        <w:tab/>
      </w:r>
      <w:r w:rsidRPr="00707E03">
        <w:fldChar w:fldCharType="begin"/>
      </w:r>
      <w:r w:rsidRPr="00707E03">
        <w:instrText xml:space="preserve"> PAGEREF _Toc352234811 \h </w:instrText>
      </w:r>
      <w:r w:rsidRPr="00707E03">
        <w:fldChar w:fldCharType="separate"/>
      </w:r>
      <w:r w:rsidRPr="00707E03">
        <w:t>57</w:t>
      </w:r>
      <w:r w:rsidRPr="00707E03">
        <w:fldChar w:fldCharType="end"/>
      </w:r>
    </w:p>
    <w:p w:rsidR="00707E03" w:rsidRPr="00707E03" w:rsidRDefault="00707E03">
      <w:pPr>
        <w:pStyle w:val="TOC1"/>
        <w:rPr>
          <w:rFonts w:asciiTheme="minorHAnsi" w:eastAsiaTheme="minorEastAsia" w:hAnsiTheme="minorHAnsi" w:cstheme="minorBidi"/>
          <w:b w:val="0"/>
          <w:caps w:val="0"/>
          <w:color w:val="auto"/>
          <w:szCs w:val="22"/>
        </w:rPr>
      </w:pPr>
      <w:r w:rsidRPr="00707E03">
        <w:rPr>
          <w:color w:val="auto"/>
          <w:lang w:val="it-IT"/>
        </w:rPr>
        <w:t>ARTICOLO 6 - Regole per il Rinnovo di Software Assurance</w:t>
      </w:r>
      <w:r w:rsidRPr="00707E03">
        <w:rPr>
          <w:color w:val="auto"/>
        </w:rPr>
        <w:tab/>
      </w:r>
      <w:r w:rsidRPr="00707E03">
        <w:rPr>
          <w:color w:val="auto"/>
        </w:rPr>
        <w:fldChar w:fldCharType="begin"/>
      </w:r>
      <w:r w:rsidRPr="00707E03">
        <w:rPr>
          <w:color w:val="auto"/>
        </w:rPr>
        <w:instrText xml:space="preserve"> PAGEREF _Toc352234812 \h </w:instrText>
      </w:r>
      <w:r w:rsidRPr="00707E03">
        <w:rPr>
          <w:color w:val="auto"/>
        </w:rPr>
      </w:r>
      <w:r w:rsidRPr="00707E03">
        <w:rPr>
          <w:color w:val="auto"/>
        </w:rPr>
        <w:fldChar w:fldCharType="separate"/>
      </w:r>
      <w:r w:rsidRPr="00707E03">
        <w:rPr>
          <w:color w:val="auto"/>
        </w:rPr>
        <w:t>58</w:t>
      </w:r>
      <w:r w:rsidRPr="00707E03">
        <w:rPr>
          <w:color w:val="auto"/>
        </w:rPr>
        <w:fldChar w:fldCharType="end"/>
      </w:r>
    </w:p>
    <w:p w:rsidR="00707E03" w:rsidRPr="00707E03" w:rsidRDefault="00707E03">
      <w:pPr>
        <w:pStyle w:val="TOC4"/>
        <w:rPr>
          <w:rFonts w:asciiTheme="minorHAnsi" w:eastAsiaTheme="minorEastAsia" w:hAnsiTheme="minorHAnsi" w:cstheme="minorBidi"/>
          <w:noProof/>
          <w:sz w:val="22"/>
          <w:szCs w:val="22"/>
        </w:rPr>
      </w:pPr>
      <w:r w:rsidRPr="00707E03">
        <w:rPr>
          <w:rFonts w:cs="Tahoma"/>
          <w:noProof/>
          <w:lang w:val="it-IT"/>
        </w:rPr>
        <w:t>Licenza Open</w:t>
      </w:r>
      <w:r w:rsidRPr="00707E03">
        <w:rPr>
          <w:noProof/>
        </w:rPr>
        <w:tab/>
      </w:r>
      <w:r w:rsidRPr="00707E03">
        <w:rPr>
          <w:noProof/>
        </w:rPr>
        <w:fldChar w:fldCharType="begin"/>
      </w:r>
      <w:r w:rsidRPr="00707E03">
        <w:rPr>
          <w:noProof/>
        </w:rPr>
        <w:instrText xml:space="preserve"> PAGEREF _Toc352234813 \h </w:instrText>
      </w:r>
      <w:r w:rsidRPr="00707E03">
        <w:rPr>
          <w:noProof/>
        </w:rPr>
      </w:r>
      <w:r w:rsidRPr="00707E03">
        <w:rPr>
          <w:noProof/>
        </w:rPr>
        <w:fldChar w:fldCharType="separate"/>
      </w:r>
      <w:r w:rsidRPr="00707E03">
        <w:rPr>
          <w:noProof/>
        </w:rPr>
        <w:t>58</w:t>
      </w:r>
      <w:r w:rsidRPr="00707E03">
        <w:rPr>
          <w:noProof/>
        </w:rPr>
        <w:fldChar w:fldCharType="end"/>
      </w:r>
    </w:p>
    <w:p w:rsidR="00707E03" w:rsidRPr="00707E03" w:rsidRDefault="00707E03">
      <w:pPr>
        <w:pStyle w:val="TOC4"/>
        <w:rPr>
          <w:rFonts w:asciiTheme="minorHAnsi" w:eastAsiaTheme="minorEastAsia" w:hAnsiTheme="minorHAnsi" w:cstheme="minorBidi"/>
          <w:noProof/>
          <w:sz w:val="22"/>
          <w:szCs w:val="22"/>
        </w:rPr>
      </w:pPr>
      <w:r w:rsidRPr="00707E03">
        <w:rPr>
          <w:rFonts w:cs="Tahoma"/>
          <w:noProof/>
          <w:lang w:val="it-IT"/>
        </w:rPr>
        <w:t>Open Value 20xx</w:t>
      </w:r>
      <w:r w:rsidRPr="00707E03">
        <w:rPr>
          <w:noProof/>
        </w:rPr>
        <w:tab/>
      </w:r>
      <w:r w:rsidRPr="00707E03">
        <w:rPr>
          <w:noProof/>
        </w:rPr>
        <w:fldChar w:fldCharType="begin"/>
      </w:r>
      <w:r w:rsidRPr="00707E03">
        <w:rPr>
          <w:noProof/>
        </w:rPr>
        <w:instrText xml:space="preserve"> PAGEREF _Toc352234814 \h </w:instrText>
      </w:r>
      <w:r w:rsidRPr="00707E03">
        <w:rPr>
          <w:noProof/>
        </w:rPr>
      </w:r>
      <w:r w:rsidRPr="00707E03">
        <w:rPr>
          <w:noProof/>
        </w:rPr>
        <w:fldChar w:fldCharType="separate"/>
      </w:r>
      <w:r w:rsidRPr="00707E03">
        <w:rPr>
          <w:noProof/>
        </w:rPr>
        <w:t>58</w:t>
      </w:r>
      <w:r w:rsidRPr="00707E03">
        <w:rPr>
          <w:noProof/>
        </w:rPr>
        <w:fldChar w:fldCharType="end"/>
      </w:r>
    </w:p>
    <w:p w:rsidR="00707E03" w:rsidRPr="00707E03" w:rsidRDefault="00707E03">
      <w:pPr>
        <w:pStyle w:val="TOC4"/>
        <w:rPr>
          <w:rFonts w:asciiTheme="minorHAnsi" w:eastAsiaTheme="minorEastAsia" w:hAnsiTheme="minorHAnsi" w:cstheme="minorBidi"/>
          <w:noProof/>
          <w:sz w:val="22"/>
          <w:szCs w:val="22"/>
        </w:rPr>
      </w:pPr>
      <w:r w:rsidRPr="00707E03">
        <w:rPr>
          <w:rFonts w:cs="Tahoma"/>
          <w:noProof/>
          <w:lang w:val="it-IT"/>
        </w:rPr>
        <w:t>Select 20xx</w:t>
      </w:r>
      <w:r w:rsidRPr="00707E03">
        <w:rPr>
          <w:noProof/>
        </w:rPr>
        <w:tab/>
      </w:r>
      <w:r w:rsidRPr="00707E03">
        <w:rPr>
          <w:noProof/>
        </w:rPr>
        <w:fldChar w:fldCharType="begin"/>
      </w:r>
      <w:r w:rsidRPr="00707E03">
        <w:rPr>
          <w:noProof/>
        </w:rPr>
        <w:instrText xml:space="preserve"> PAGEREF _Toc352234815 \h </w:instrText>
      </w:r>
      <w:r w:rsidRPr="00707E03">
        <w:rPr>
          <w:noProof/>
        </w:rPr>
      </w:r>
      <w:r w:rsidRPr="00707E03">
        <w:rPr>
          <w:noProof/>
        </w:rPr>
        <w:fldChar w:fldCharType="separate"/>
      </w:r>
      <w:r w:rsidRPr="00707E03">
        <w:rPr>
          <w:noProof/>
        </w:rPr>
        <w:t>58</w:t>
      </w:r>
      <w:r w:rsidRPr="00707E03">
        <w:rPr>
          <w:noProof/>
        </w:rPr>
        <w:fldChar w:fldCharType="end"/>
      </w:r>
    </w:p>
    <w:p w:rsidR="00707E03" w:rsidRPr="00707E03" w:rsidRDefault="00707E03">
      <w:pPr>
        <w:pStyle w:val="TOC4"/>
        <w:rPr>
          <w:rFonts w:asciiTheme="minorHAnsi" w:eastAsiaTheme="minorEastAsia" w:hAnsiTheme="minorHAnsi" w:cstheme="minorBidi"/>
          <w:noProof/>
          <w:sz w:val="22"/>
          <w:szCs w:val="22"/>
        </w:rPr>
      </w:pPr>
      <w:r w:rsidRPr="00707E03">
        <w:rPr>
          <w:noProof/>
          <w:lang w:val="it-IT"/>
        </w:rPr>
        <w:t>Rinnovo della Copertura ai sensi del Medesimo Contratto</w:t>
      </w:r>
      <w:r w:rsidRPr="00707E03">
        <w:rPr>
          <w:noProof/>
        </w:rPr>
        <w:tab/>
      </w:r>
      <w:r w:rsidRPr="00707E03">
        <w:rPr>
          <w:noProof/>
        </w:rPr>
        <w:fldChar w:fldCharType="begin"/>
      </w:r>
      <w:r w:rsidRPr="00707E03">
        <w:rPr>
          <w:noProof/>
        </w:rPr>
        <w:instrText xml:space="preserve"> PAGEREF _Toc352234816 \h </w:instrText>
      </w:r>
      <w:r w:rsidRPr="00707E03">
        <w:rPr>
          <w:noProof/>
        </w:rPr>
      </w:r>
      <w:r w:rsidRPr="00707E03">
        <w:rPr>
          <w:noProof/>
        </w:rPr>
        <w:fldChar w:fldCharType="separate"/>
      </w:r>
      <w:r w:rsidRPr="00707E03">
        <w:rPr>
          <w:noProof/>
        </w:rPr>
        <w:t>58</w:t>
      </w:r>
      <w:r w:rsidRPr="00707E03">
        <w:rPr>
          <w:noProof/>
        </w:rPr>
        <w:fldChar w:fldCharType="end"/>
      </w:r>
    </w:p>
    <w:p w:rsidR="00707E03" w:rsidRPr="00707E03" w:rsidRDefault="00707E03">
      <w:pPr>
        <w:pStyle w:val="TOC4"/>
        <w:rPr>
          <w:rFonts w:asciiTheme="minorHAnsi" w:eastAsiaTheme="minorEastAsia" w:hAnsiTheme="minorHAnsi" w:cstheme="minorBidi"/>
          <w:noProof/>
          <w:sz w:val="22"/>
          <w:szCs w:val="22"/>
        </w:rPr>
      </w:pPr>
      <w:r w:rsidRPr="00707E03">
        <w:rPr>
          <w:noProof/>
          <w:lang w:val="it-IT"/>
        </w:rPr>
        <w:t>Rinnovo della Copertura con un Contratto Separato</w:t>
      </w:r>
      <w:r w:rsidRPr="00707E03">
        <w:rPr>
          <w:noProof/>
        </w:rPr>
        <w:tab/>
      </w:r>
      <w:r w:rsidRPr="00707E03">
        <w:rPr>
          <w:noProof/>
        </w:rPr>
        <w:fldChar w:fldCharType="begin"/>
      </w:r>
      <w:r w:rsidRPr="00707E03">
        <w:rPr>
          <w:noProof/>
        </w:rPr>
        <w:instrText xml:space="preserve"> PAGEREF _Toc352234817 \h </w:instrText>
      </w:r>
      <w:r w:rsidRPr="00707E03">
        <w:rPr>
          <w:noProof/>
        </w:rPr>
      </w:r>
      <w:r w:rsidRPr="00707E03">
        <w:rPr>
          <w:noProof/>
        </w:rPr>
        <w:fldChar w:fldCharType="separate"/>
      </w:r>
      <w:r w:rsidRPr="00707E03">
        <w:rPr>
          <w:noProof/>
        </w:rPr>
        <w:t>59</w:t>
      </w:r>
      <w:r w:rsidRPr="00707E03">
        <w:rPr>
          <w:noProof/>
        </w:rPr>
        <w:fldChar w:fldCharType="end"/>
      </w:r>
    </w:p>
    <w:p w:rsidR="00707E03" w:rsidRPr="00707E03" w:rsidRDefault="00707E03">
      <w:pPr>
        <w:pStyle w:val="TOC4"/>
        <w:rPr>
          <w:rFonts w:asciiTheme="minorHAnsi" w:eastAsiaTheme="minorEastAsia" w:hAnsiTheme="minorHAnsi" w:cstheme="minorBidi"/>
          <w:noProof/>
          <w:sz w:val="22"/>
          <w:szCs w:val="22"/>
        </w:rPr>
      </w:pPr>
      <w:r w:rsidRPr="00707E03">
        <w:rPr>
          <w:rFonts w:cs="Tahoma"/>
          <w:noProof/>
          <w:lang w:val="it-IT"/>
        </w:rPr>
        <w:t>Select Plus 20xx</w:t>
      </w:r>
      <w:r w:rsidRPr="00707E03">
        <w:rPr>
          <w:noProof/>
        </w:rPr>
        <w:tab/>
      </w:r>
      <w:r w:rsidRPr="00707E03">
        <w:rPr>
          <w:noProof/>
        </w:rPr>
        <w:fldChar w:fldCharType="begin"/>
      </w:r>
      <w:r w:rsidRPr="00707E03">
        <w:rPr>
          <w:noProof/>
        </w:rPr>
        <w:instrText xml:space="preserve"> PAGEREF _Toc352234818 \h </w:instrText>
      </w:r>
      <w:r w:rsidRPr="00707E03">
        <w:rPr>
          <w:noProof/>
        </w:rPr>
      </w:r>
      <w:r w:rsidRPr="00707E03">
        <w:rPr>
          <w:noProof/>
        </w:rPr>
        <w:fldChar w:fldCharType="separate"/>
      </w:r>
      <w:r w:rsidRPr="00707E03">
        <w:rPr>
          <w:noProof/>
        </w:rPr>
        <w:t>59</w:t>
      </w:r>
      <w:r w:rsidRPr="00707E03">
        <w:rPr>
          <w:noProof/>
        </w:rPr>
        <w:fldChar w:fldCharType="end"/>
      </w:r>
    </w:p>
    <w:p w:rsidR="00707E03" w:rsidRPr="00707E03" w:rsidRDefault="00707E03">
      <w:pPr>
        <w:pStyle w:val="TOC4"/>
        <w:rPr>
          <w:rFonts w:asciiTheme="minorHAnsi" w:eastAsiaTheme="minorEastAsia" w:hAnsiTheme="minorHAnsi" w:cstheme="minorBidi"/>
          <w:noProof/>
          <w:sz w:val="22"/>
          <w:szCs w:val="22"/>
        </w:rPr>
      </w:pPr>
      <w:r w:rsidRPr="00707E03">
        <w:rPr>
          <w:rFonts w:cs="Tahoma"/>
          <w:noProof/>
          <w:lang w:val="it-IT"/>
        </w:rPr>
        <w:t>Contratto Enterprise 2011 e versioni successive</w:t>
      </w:r>
      <w:r w:rsidRPr="00707E03">
        <w:rPr>
          <w:noProof/>
        </w:rPr>
        <w:tab/>
      </w:r>
      <w:r w:rsidRPr="00707E03">
        <w:rPr>
          <w:noProof/>
        </w:rPr>
        <w:fldChar w:fldCharType="begin"/>
      </w:r>
      <w:r w:rsidRPr="00707E03">
        <w:rPr>
          <w:noProof/>
        </w:rPr>
        <w:instrText xml:space="preserve"> PAGEREF _Toc352234819 \h </w:instrText>
      </w:r>
      <w:r w:rsidRPr="00707E03">
        <w:rPr>
          <w:noProof/>
        </w:rPr>
      </w:r>
      <w:r w:rsidRPr="00707E03">
        <w:rPr>
          <w:noProof/>
        </w:rPr>
        <w:fldChar w:fldCharType="separate"/>
      </w:r>
      <w:r w:rsidRPr="00707E03">
        <w:rPr>
          <w:noProof/>
        </w:rPr>
        <w:t>59</w:t>
      </w:r>
      <w:r w:rsidRPr="00707E03">
        <w:rPr>
          <w:noProof/>
        </w:rPr>
        <w:fldChar w:fldCharType="end"/>
      </w:r>
    </w:p>
    <w:p w:rsidR="00707E03" w:rsidRPr="00707E03" w:rsidRDefault="00707E03">
      <w:pPr>
        <w:pStyle w:val="TOC4"/>
        <w:rPr>
          <w:rFonts w:asciiTheme="minorHAnsi" w:eastAsiaTheme="minorEastAsia" w:hAnsiTheme="minorHAnsi" w:cstheme="minorBidi"/>
          <w:noProof/>
          <w:sz w:val="22"/>
          <w:szCs w:val="22"/>
        </w:rPr>
      </w:pPr>
      <w:r w:rsidRPr="00707E03">
        <w:rPr>
          <w:rFonts w:cs="Tahoma"/>
          <w:noProof/>
          <w:lang w:val="it-IT"/>
        </w:rPr>
        <w:t>Contratto Enterprise Prima del 2011</w:t>
      </w:r>
      <w:r w:rsidRPr="00707E03">
        <w:rPr>
          <w:noProof/>
        </w:rPr>
        <w:tab/>
      </w:r>
      <w:r w:rsidRPr="00707E03">
        <w:rPr>
          <w:noProof/>
        </w:rPr>
        <w:fldChar w:fldCharType="begin"/>
      </w:r>
      <w:r w:rsidRPr="00707E03">
        <w:rPr>
          <w:noProof/>
        </w:rPr>
        <w:instrText xml:space="preserve"> PAGEREF _Toc352234820 \h </w:instrText>
      </w:r>
      <w:r w:rsidRPr="00707E03">
        <w:rPr>
          <w:noProof/>
        </w:rPr>
      </w:r>
      <w:r w:rsidRPr="00707E03">
        <w:rPr>
          <w:noProof/>
        </w:rPr>
        <w:fldChar w:fldCharType="separate"/>
      </w:r>
      <w:r w:rsidRPr="00707E03">
        <w:rPr>
          <w:noProof/>
        </w:rPr>
        <w:t>60</w:t>
      </w:r>
      <w:r w:rsidRPr="00707E03">
        <w:rPr>
          <w:noProof/>
        </w:rPr>
        <w:fldChar w:fldCharType="end"/>
      </w:r>
    </w:p>
    <w:p w:rsidR="00707E03" w:rsidRPr="00707E03" w:rsidRDefault="00707E03">
      <w:pPr>
        <w:pStyle w:val="TOC4"/>
        <w:rPr>
          <w:rFonts w:asciiTheme="minorHAnsi" w:eastAsiaTheme="minorEastAsia" w:hAnsiTheme="minorHAnsi" w:cstheme="minorBidi"/>
          <w:noProof/>
          <w:sz w:val="22"/>
          <w:szCs w:val="22"/>
        </w:rPr>
      </w:pPr>
      <w:r w:rsidRPr="00707E03">
        <w:rPr>
          <w:rFonts w:cs="Tahoma"/>
          <w:noProof/>
          <w:lang w:val="it-IT"/>
        </w:rPr>
        <w:t>Rinnovo Incrociato dei Programmi</w:t>
      </w:r>
      <w:r w:rsidRPr="00707E03">
        <w:rPr>
          <w:noProof/>
        </w:rPr>
        <w:tab/>
      </w:r>
      <w:r w:rsidRPr="00707E03">
        <w:rPr>
          <w:noProof/>
        </w:rPr>
        <w:fldChar w:fldCharType="begin"/>
      </w:r>
      <w:r w:rsidRPr="00707E03">
        <w:rPr>
          <w:noProof/>
        </w:rPr>
        <w:instrText xml:space="preserve"> PAGEREF _Toc352234821 \h </w:instrText>
      </w:r>
      <w:r w:rsidRPr="00707E03">
        <w:rPr>
          <w:noProof/>
        </w:rPr>
      </w:r>
      <w:r w:rsidRPr="00707E03">
        <w:rPr>
          <w:noProof/>
        </w:rPr>
        <w:fldChar w:fldCharType="separate"/>
      </w:r>
      <w:r w:rsidRPr="00707E03">
        <w:rPr>
          <w:noProof/>
        </w:rPr>
        <w:t>60</w:t>
      </w:r>
      <w:r w:rsidRPr="00707E03">
        <w:rPr>
          <w:noProof/>
        </w:rPr>
        <w:fldChar w:fldCharType="end"/>
      </w:r>
    </w:p>
    <w:p w:rsidR="00707E03" w:rsidRPr="00707E03" w:rsidRDefault="00707E03">
      <w:pPr>
        <w:pStyle w:val="TOC1"/>
        <w:rPr>
          <w:rFonts w:asciiTheme="minorHAnsi" w:eastAsiaTheme="minorEastAsia" w:hAnsiTheme="minorHAnsi" w:cstheme="minorBidi"/>
          <w:b w:val="0"/>
          <w:caps w:val="0"/>
          <w:color w:val="auto"/>
          <w:szCs w:val="22"/>
        </w:rPr>
      </w:pPr>
      <w:r w:rsidRPr="00707E03">
        <w:rPr>
          <w:color w:val="auto"/>
          <w:lang w:val="it-IT"/>
        </w:rPr>
        <w:t>ARTICOLO 7 - Vantaggi di Software Assurance (SA) e dei Servizi Online (OLS)</w:t>
      </w:r>
      <w:r w:rsidRPr="00707E03">
        <w:rPr>
          <w:color w:val="auto"/>
        </w:rPr>
        <w:tab/>
      </w:r>
      <w:r w:rsidRPr="00707E03">
        <w:rPr>
          <w:color w:val="auto"/>
        </w:rPr>
        <w:fldChar w:fldCharType="begin"/>
      </w:r>
      <w:r w:rsidRPr="00707E03">
        <w:rPr>
          <w:color w:val="auto"/>
        </w:rPr>
        <w:instrText xml:space="preserve"> PAGEREF _Toc352234822 \h </w:instrText>
      </w:r>
      <w:r w:rsidRPr="00707E03">
        <w:rPr>
          <w:color w:val="auto"/>
        </w:rPr>
      </w:r>
      <w:r w:rsidRPr="00707E03">
        <w:rPr>
          <w:color w:val="auto"/>
        </w:rPr>
        <w:fldChar w:fldCharType="separate"/>
      </w:r>
      <w:r w:rsidRPr="00707E03">
        <w:rPr>
          <w:color w:val="auto"/>
        </w:rPr>
        <w:t>61</w:t>
      </w:r>
      <w:r w:rsidRPr="00707E03">
        <w:rPr>
          <w:color w:val="auto"/>
        </w:rPr>
        <w:fldChar w:fldCharType="end"/>
      </w:r>
    </w:p>
    <w:p w:rsidR="00707E03" w:rsidRPr="00707E03" w:rsidRDefault="00707E03">
      <w:pPr>
        <w:pStyle w:val="TOC2"/>
        <w:rPr>
          <w:rFonts w:asciiTheme="minorHAnsi" w:eastAsiaTheme="minorEastAsia" w:hAnsiTheme="minorHAnsi" w:cstheme="minorBidi"/>
          <w:sz w:val="22"/>
          <w:szCs w:val="22"/>
        </w:rPr>
      </w:pPr>
      <w:r w:rsidRPr="00707E03">
        <w:rPr>
          <w:lang w:val="it-IT"/>
        </w:rPr>
        <w:t>Diritti su Versioni Nuove</w:t>
      </w:r>
      <w:r w:rsidRPr="00707E03">
        <w:tab/>
      </w:r>
      <w:r w:rsidRPr="00707E03">
        <w:fldChar w:fldCharType="begin"/>
      </w:r>
      <w:r w:rsidRPr="00707E03">
        <w:instrText xml:space="preserve"> PAGEREF _Toc352234823 \h </w:instrText>
      </w:r>
      <w:r w:rsidRPr="00707E03">
        <w:fldChar w:fldCharType="separate"/>
      </w:r>
      <w:r w:rsidRPr="00707E03">
        <w:t>63</w:t>
      </w:r>
      <w:r w:rsidRPr="00707E03">
        <w:fldChar w:fldCharType="end"/>
      </w:r>
    </w:p>
    <w:p w:rsidR="00707E03" w:rsidRPr="00707E03" w:rsidRDefault="00707E03">
      <w:pPr>
        <w:pStyle w:val="TOC2"/>
        <w:rPr>
          <w:rFonts w:asciiTheme="minorHAnsi" w:eastAsiaTheme="minorEastAsia" w:hAnsiTheme="minorHAnsi" w:cstheme="minorBidi"/>
          <w:sz w:val="22"/>
          <w:szCs w:val="22"/>
        </w:rPr>
      </w:pPr>
      <w:r w:rsidRPr="00707E03">
        <w:rPr>
          <w:lang w:val="it-IT"/>
        </w:rPr>
        <w:t>Office Multi Language Pack</w:t>
      </w:r>
      <w:r w:rsidRPr="00707E03">
        <w:tab/>
      </w:r>
      <w:r w:rsidRPr="00707E03">
        <w:fldChar w:fldCharType="begin"/>
      </w:r>
      <w:r w:rsidRPr="00707E03">
        <w:instrText xml:space="preserve"> PAGEREF _Toc352234824 \h </w:instrText>
      </w:r>
      <w:r w:rsidRPr="00707E03">
        <w:fldChar w:fldCharType="separate"/>
      </w:r>
      <w:r w:rsidRPr="00707E03">
        <w:t>63</w:t>
      </w:r>
      <w:r w:rsidRPr="00707E03">
        <w:fldChar w:fldCharType="end"/>
      </w:r>
    </w:p>
    <w:p w:rsidR="00707E03" w:rsidRPr="00707E03" w:rsidRDefault="00707E03">
      <w:pPr>
        <w:pStyle w:val="TOC3"/>
        <w:rPr>
          <w:rFonts w:asciiTheme="minorHAnsi" w:eastAsiaTheme="minorEastAsia" w:hAnsiTheme="minorHAnsi" w:cstheme="minorBidi"/>
          <w:bCs w:val="0"/>
          <w:color w:val="auto"/>
          <w:sz w:val="22"/>
          <w:szCs w:val="22"/>
        </w:rPr>
      </w:pPr>
      <w:r w:rsidRPr="00707E03">
        <w:rPr>
          <w:color w:val="auto"/>
          <w:lang w:val="it-IT"/>
        </w:rPr>
        <w:t>Windows 8 Enterprise</w:t>
      </w:r>
      <w:r w:rsidRPr="00707E03">
        <w:rPr>
          <w:color w:val="auto"/>
        </w:rPr>
        <w:tab/>
      </w:r>
      <w:r w:rsidRPr="00707E03">
        <w:rPr>
          <w:color w:val="auto"/>
        </w:rPr>
        <w:fldChar w:fldCharType="begin"/>
      </w:r>
      <w:r w:rsidRPr="00707E03">
        <w:rPr>
          <w:color w:val="auto"/>
        </w:rPr>
        <w:instrText xml:space="preserve"> PAGEREF _Toc352234825 \h </w:instrText>
      </w:r>
      <w:r w:rsidRPr="00707E03">
        <w:rPr>
          <w:color w:val="auto"/>
        </w:rPr>
      </w:r>
      <w:r w:rsidRPr="00707E03">
        <w:rPr>
          <w:color w:val="auto"/>
        </w:rPr>
        <w:fldChar w:fldCharType="separate"/>
      </w:r>
      <w:r w:rsidRPr="00707E03">
        <w:rPr>
          <w:color w:val="auto"/>
        </w:rPr>
        <w:t>68</w:t>
      </w:r>
      <w:r w:rsidRPr="00707E03">
        <w:rPr>
          <w:color w:val="auto"/>
        </w:rPr>
        <w:fldChar w:fldCharType="end"/>
      </w:r>
    </w:p>
    <w:p w:rsidR="00707E03" w:rsidRPr="00707E03" w:rsidRDefault="00707E03">
      <w:pPr>
        <w:pStyle w:val="TOC3"/>
        <w:rPr>
          <w:rFonts w:asciiTheme="minorHAnsi" w:eastAsiaTheme="minorEastAsia" w:hAnsiTheme="minorHAnsi" w:cstheme="minorBidi"/>
          <w:bCs w:val="0"/>
          <w:color w:val="auto"/>
          <w:sz w:val="22"/>
          <w:szCs w:val="22"/>
        </w:rPr>
      </w:pPr>
      <w:r w:rsidRPr="00707E03">
        <w:rPr>
          <w:color w:val="auto"/>
          <w:lang w:val="it-IT"/>
        </w:rPr>
        <w:t>Windows 8 Enterprise Sideloading</w:t>
      </w:r>
      <w:r w:rsidRPr="00707E03">
        <w:rPr>
          <w:color w:val="auto"/>
        </w:rPr>
        <w:tab/>
      </w:r>
      <w:r w:rsidRPr="00707E03">
        <w:rPr>
          <w:color w:val="auto"/>
        </w:rPr>
        <w:fldChar w:fldCharType="begin"/>
      </w:r>
      <w:r w:rsidRPr="00707E03">
        <w:rPr>
          <w:color w:val="auto"/>
        </w:rPr>
        <w:instrText xml:space="preserve"> PAGEREF _Toc352234826 \h </w:instrText>
      </w:r>
      <w:r w:rsidRPr="00707E03">
        <w:rPr>
          <w:color w:val="auto"/>
        </w:rPr>
      </w:r>
      <w:r w:rsidRPr="00707E03">
        <w:rPr>
          <w:color w:val="auto"/>
        </w:rPr>
        <w:fldChar w:fldCharType="separate"/>
      </w:r>
      <w:r w:rsidRPr="00707E03">
        <w:rPr>
          <w:color w:val="auto"/>
        </w:rPr>
        <w:t>68</w:t>
      </w:r>
      <w:r w:rsidRPr="00707E03">
        <w:rPr>
          <w:color w:val="auto"/>
        </w:rPr>
        <w:fldChar w:fldCharType="end"/>
      </w:r>
    </w:p>
    <w:p w:rsidR="00707E03" w:rsidRPr="00707E03" w:rsidRDefault="00707E03">
      <w:pPr>
        <w:pStyle w:val="TOC3"/>
        <w:rPr>
          <w:rFonts w:asciiTheme="minorHAnsi" w:eastAsiaTheme="minorEastAsia" w:hAnsiTheme="minorHAnsi" w:cstheme="minorBidi"/>
          <w:bCs w:val="0"/>
          <w:color w:val="auto"/>
          <w:sz w:val="22"/>
          <w:szCs w:val="22"/>
        </w:rPr>
      </w:pPr>
      <w:r w:rsidRPr="00707E03">
        <w:rPr>
          <w:color w:val="auto"/>
          <w:lang w:val="it-IT"/>
        </w:rPr>
        <w:t>Licenza “Subscription” per Windows Companion</w:t>
      </w:r>
      <w:r w:rsidRPr="00707E03">
        <w:rPr>
          <w:color w:val="auto"/>
        </w:rPr>
        <w:tab/>
      </w:r>
      <w:r w:rsidRPr="00707E03">
        <w:rPr>
          <w:color w:val="auto"/>
        </w:rPr>
        <w:fldChar w:fldCharType="begin"/>
      </w:r>
      <w:r w:rsidRPr="00707E03">
        <w:rPr>
          <w:color w:val="auto"/>
        </w:rPr>
        <w:instrText xml:space="preserve"> PAGEREF _Toc352234827 \h </w:instrText>
      </w:r>
      <w:r w:rsidRPr="00707E03">
        <w:rPr>
          <w:color w:val="auto"/>
        </w:rPr>
      </w:r>
      <w:r w:rsidRPr="00707E03">
        <w:rPr>
          <w:color w:val="auto"/>
        </w:rPr>
        <w:fldChar w:fldCharType="separate"/>
      </w:r>
      <w:r w:rsidRPr="00707E03">
        <w:rPr>
          <w:color w:val="auto"/>
        </w:rPr>
        <w:t>68</w:t>
      </w:r>
      <w:r w:rsidRPr="00707E03">
        <w:rPr>
          <w:color w:val="auto"/>
        </w:rPr>
        <w:fldChar w:fldCharType="end"/>
      </w:r>
    </w:p>
    <w:p w:rsidR="00707E03" w:rsidRPr="00707E03" w:rsidRDefault="00707E03">
      <w:pPr>
        <w:pStyle w:val="TOC3"/>
        <w:rPr>
          <w:rFonts w:asciiTheme="minorHAnsi" w:eastAsiaTheme="minorEastAsia" w:hAnsiTheme="minorHAnsi" w:cstheme="minorBidi"/>
          <w:bCs w:val="0"/>
          <w:color w:val="auto"/>
          <w:sz w:val="22"/>
          <w:szCs w:val="22"/>
        </w:rPr>
      </w:pPr>
      <w:r w:rsidRPr="00707E03">
        <w:rPr>
          <w:color w:val="auto"/>
          <w:lang w:val="it-IT"/>
        </w:rPr>
        <w:t>Voucher Corsi</w:t>
      </w:r>
      <w:r w:rsidRPr="00707E03">
        <w:rPr>
          <w:color w:val="auto"/>
        </w:rPr>
        <w:tab/>
      </w:r>
      <w:r w:rsidRPr="00707E03">
        <w:rPr>
          <w:color w:val="auto"/>
        </w:rPr>
        <w:fldChar w:fldCharType="begin"/>
      </w:r>
      <w:r w:rsidRPr="00707E03">
        <w:rPr>
          <w:color w:val="auto"/>
        </w:rPr>
        <w:instrText xml:space="preserve"> PAGEREF _Toc352234828 \h </w:instrText>
      </w:r>
      <w:r w:rsidRPr="00707E03">
        <w:rPr>
          <w:color w:val="auto"/>
        </w:rPr>
      </w:r>
      <w:r w:rsidRPr="00707E03">
        <w:rPr>
          <w:color w:val="auto"/>
        </w:rPr>
        <w:fldChar w:fldCharType="separate"/>
      </w:r>
      <w:r w:rsidRPr="00707E03">
        <w:rPr>
          <w:color w:val="auto"/>
        </w:rPr>
        <w:t>68</w:t>
      </w:r>
      <w:r w:rsidRPr="00707E03">
        <w:rPr>
          <w:color w:val="auto"/>
        </w:rPr>
        <w:fldChar w:fldCharType="end"/>
      </w:r>
    </w:p>
    <w:p w:rsidR="00707E03" w:rsidRPr="00707E03" w:rsidRDefault="00707E03">
      <w:pPr>
        <w:pStyle w:val="TOC3"/>
        <w:rPr>
          <w:rFonts w:asciiTheme="minorHAnsi" w:eastAsiaTheme="minorEastAsia" w:hAnsiTheme="minorHAnsi" w:cstheme="minorBidi"/>
          <w:bCs w:val="0"/>
          <w:color w:val="auto"/>
          <w:sz w:val="22"/>
          <w:szCs w:val="22"/>
        </w:rPr>
      </w:pPr>
      <w:r w:rsidRPr="00707E03">
        <w:rPr>
          <w:color w:val="auto"/>
          <w:lang w:val="it-IT"/>
        </w:rPr>
        <w:t>E-Learning</w:t>
      </w:r>
      <w:r w:rsidRPr="00707E03">
        <w:rPr>
          <w:color w:val="auto"/>
        </w:rPr>
        <w:tab/>
      </w:r>
      <w:r w:rsidRPr="00707E03">
        <w:rPr>
          <w:color w:val="auto"/>
        </w:rPr>
        <w:fldChar w:fldCharType="begin"/>
      </w:r>
      <w:r w:rsidRPr="00707E03">
        <w:rPr>
          <w:color w:val="auto"/>
        </w:rPr>
        <w:instrText xml:space="preserve"> PAGEREF _Toc352234829 \h </w:instrText>
      </w:r>
      <w:r w:rsidRPr="00707E03">
        <w:rPr>
          <w:color w:val="auto"/>
        </w:rPr>
      </w:r>
      <w:r w:rsidRPr="00707E03">
        <w:rPr>
          <w:color w:val="auto"/>
        </w:rPr>
        <w:fldChar w:fldCharType="separate"/>
      </w:r>
      <w:r w:rsidRPr="00707E03">
        <w:rPr>
          <w:color w:val="auto"/>
        </w:rPr>
        <w:t>70</w:t>
      </w:r>
      <w:r w:rsidRPr="00707E03">
        <w:rPr>
          <w:color w:val="auto"/>
        </w:rPr>
        <w:fldChar w:fldCharType="end"/>
      </w:r>
    </w:p>
    <w:p w:rsidR="00707E03" w:rsidRPr="00707E03" w:rsidRDefault="00707E03">
      <w:pPr>
        <w:pStyle w:val="TOC3"/>
        <w:rPr>
          <w:rFonts w:asciiTheme="minorHAnsi" w:eastAsiaTheme="minorEastAsia" w:hAnsiTheme="minorHAnsi" w:cstheme="minorBidi"/>
          <w:bCs w:val="0"/>
          <w:color w:val="auto"/>
          <w:sz w:val="22"/>
          <w:szCs w:val="22"/>
        </w:rPr>
      </w:pPr>
      <w:r w:rsidRPr="00707E03">
        <w:rPr>
          <w:color w:val="auto"/>
          <w:lang w:val="it-IT"/>
        </w:rPr>
        <w:t>Home Use Program</w:t>
      </w:r>
      <w:r w:rsidRPr="00707E03">
        <w:rPr>
          <w:color w:val="auto"/>
        </w:rPr>
        <w:tab/>
      </w:r>
      <w:r w:rsidRPr="00707E03">
        <w:rPr>
          <w:color w:val="auto"/>
        </w:rPr>
        <w:fldChar w:fldCharType="begin"/>
      </w:r>
      <w:r w:rsidRPr="00707E03">
        <w:rPr>
          <w:color w:val="auto"/>
        </w:rPr>
        <w:instrText xml:space="preserve"> PAGEREF _Toc352234830 \h </w:instrText>
      </w:r>
      <w:r w:rsidRPr="00707E03">
        <w:rPr>
          <w:color w:val="auto"/>
        </w:rPr>
      </w:r>
      <w:r w:rsidRPr="00707E03">
        <w:rPr>
          <w:color w:val="auto"/>
        </w:rPr>
        <w:fldChar w:fldCharType="separate"/>
      </w:r>
      <w:r w:rsidRPr="00707E03">
        <w:rPr>
          <w:color w:val="auto"/>
        </w:rPr>
        <w:t>71</w:t>
      </w:r>
      <w:r w:rsidRPr="00707E03">
        <w:rPr>
          <w:color w:val="auto"/>
        </w:rPr>
        <w:fldChar w:fldCharType="end"/>
      </w:r>
    </w:p>
    <w:p w:rsidR="00707E03" w:rsidRPr="00707E03" w:rsidRDefault="00707E03">
      <w:pPr>
        <w:pStyle w:val="TOC3"/>
        <w:rPr>
          <w:rFonts w:asciiTheme="minorHAnsi" w:eastAsiaTheme="minorEastAsia" w:hAnsiTheme="minorHAnsi" w:cstheme="minorBidi"/>
          <w:bCs w:val="0"/>
          <w:color w:val="auto"/>
          <w:sz w:val="22"/>
          <w:szCs w:val="22"/>
        </w:rPr>
      </w:pPr>
      <w:r w:rsidRPr="00707E03">
        <w:rPr>
          <w:color w:val="auto"/>
          <w:lang w:val="it-IT"/>
        </w:rPr>
        <w:t>Supporto per la Risoluzione dei Problemi 24x7</w:t>
      </w:r>
      <w:r w:rsidRPr="00707E03">
        <w:rPr>
          <w:color w:val="auto"/>
        </w:rPr>
        <w:tab/>
      </w:r>
      <w:r w:rsidRPr="00707E03">
        <w:rPr>
          <w:color w:val="auto"/>
        </w:rPr>
        <w:fldChar w:fldCharType="begin"/>
      </w:r>
      <w:r w:rsidRPr="00707E03">
        <w:rPr>
          <w:color w:val="auto"/>
        </w:rPr>
        <w:instrText xml:space="preserve"> PAGEREF _Toc352234831 \h </w:instrText>
      </w:r>
      <w:r w:rsidRPr="00707E03">
        <w:rPr>
          <w:color w:val="auto"/>
        </w:rPr>
      </w:r>
      <w:r w:rsidRPr="00707E03">
        <w:rPr>
          <w:color w:val="auto"/>
        </w:rPr>
        <w:fldChar w:fldCharType="separate"/>
      </w:r>
      <w:r w:rsidRPr="00707E03">
        <w:rPr>
          <w:color w:val="auto"/>
        </w:rPr>
        <w:t>73</w:t>
      </w:r>
      <w:r w:rsidRPr="00707E03">
        <w:rPr>
          <w:color w:val="auto"/>
        </w:rPr>
        <w:fldChar w:fldCharType="end"/>
      </w:r>
    </w:p>
    <w:p w:rsidR="00707E03" w:rsidRPr="00707E03" w:rsidRDefault="00707E03">
      <w:pPr>
        <w:pStyle w:val="TOC3"/>
        <w:rPr>
          <w:rFonts w:asciiTheme="minorHAnsi" w:eastAsiaTheme="minorEastAsia" w:hAnsiTheme="minorHAnsi" w:cstheme="minorBidi"/>
          <w:bCs w:val="0"/>
          <w:color w:val="auto"/>
          <w:sz w:val="22"/>
          <w:szCs w:val="22"/>
        </w:rPr>
      </w:pPr>
      <w:r w:rsidRPr="00707E03">
        <w:rPr>
          <w:color w:val="auto"/>
          <w:lang w:val="it-IT"/>
        </w:rPr>
        <w:t>Supporto Illimitato per la Risoluzione dei Problemi 24x7</w:t>
      </w:r>
      <w:r w:rsidRPr="00707E03">
        <w:rPr>
          <w:color w:val="auto"/>
        </w:rPr>
        <w:tab/>
      </w:r>
      <w:r w:rsidRPr="00707E03">
        <w:rPr>
          <w:color w:val="auto"/>
        </w:rPr>
        <w:fldChar w:fldCharType="begin"/>
      </w:r>
      <w:r w:rsidRPr="00707E03">
        <w:rPr>
          <w:color w:val="auto"/>
        </w:rPr>
        <w:instrText xml:space="preserve"> PAGEREF _Toc352234832 \h </w:instrText>
      </w:r>
      <w:r w:rsidRPr="00707E03">
        <w:rPr>
          <w:color w:val="auto"/>
        </w:rPr>
      </w:r>
      <w:r w:rsidRPr="00707E03">
        <w:rPr>
          <w:color w:val="auto"/>
        </w:rPr>
        <w:fldChar w:fldCharType="separate"/>
      </w:r>
      <w:r w:rsidRPr="00707E03">
        <w:rPr>
          <w:color w:val="auto"/>
        </w:rPr>
        <w:t>78</w:t>
      </w:r>
      <w:r w:rsidRPr="00707E03">
        <w:rPr>
          <w:color w:val="auto"/>
        </w:rPr>
        <w:fldChar w:fldCharType="end"/>
      </w:r>
    </w:p>
    <w:p w:rsidR="00707E03" w:rsidRPr="00707E03" w:rsidRDefault="00707E03">
      <w:pPr>
        <w:pStyle w:val="TOC3"/>
        <w:rPr>
          <w:rFonts w:asciiTheme="minorHAnsi" w:eastAsiaTheme="minorEastAsia" w:hAnsiTheme="minorHAnsi" w:cstheme="minorBidi"/>
          <w:bCs w:val="0"/>
          <w:color w:val="auto"/>
          <w:sz w:val="22"/>
          <w:szCs w:val="22"/>
        </w:rPr>
      </w:pPr>
      <w:r w:rsidRPr="00707E03">
        <w:rPr>
          <w:color w:val="auto"/>
          <w:lang w:val="it-IT"/>
        </w:rPr>
        <w:t>System Center Advisor</w:t>
      </w:r>
      <w:r w:rsidRPr="00707E03">
        <w:rPr>
          <w:color w:val="auto"/>
        </w:rPr>
        <w:tab/>
      </w:r>
      <w:r w:rsidRPr="00707E03">
        <w:rPr>
          <w:color w:val="auto"/>
        </w:rPr>
        <w:fldChar w:fldCharType="begin"/>
      </w:r>
      <w:r w:rsidRPr="00707E03">
        <w:rPr>
          <w:color w:val="auto"/>
        </w:rPr>
        <w:instrText xml:space="preserve"> PAGEREF _Toc352234833 \h </w:instrText>
      </w:r>
      <w:r w:rsidRPr="00707E03">
        <w:rPr>
          <w:color w:val="auto"/>
        </w:rPr>
      </w:r>
      <w:r w:rsidRPr="00707E03">
        <w:rPr>
          <w:color w:val="auto"/>
        </w:rPr>
        <w:fldChar w:fldCharType="separate"/>
      </w:r>
      <w:r w:rsidRPr="00707E03">
        <w:rPr>
          <w:color w:val="auto"/>
        </w:rPr>
        <w:t>80</w:t>
      </w:r>
      <w:r w:rsidRPr="00707E03">
        <w:rPr>
          <w:color w:val="auto"/>
        </w:rPr>
        <w:fldChar w:fldCharType="end"/>
      </w:r>
    </w:p>
    <w:p w:rsidR="00707E03" w:rsidRPr="00707E03" w:rsidRDefault="00707E03">
      <w:pPr>
        <w:pStyle w:val="TOC3"/>
        <w:rPr>
          <w:rFonts w:asciiTheme="minorHAnsi" w:eastAsiaTheme="minorEastAsia" w:hAnsiTheme="minorHAnsi" w:cstheme="minorBidi"/>
          <w:bCs w:val="0"/>
          <w:color w:val="auto"/>
          <w:sz w:val="22"/>
          <w:szCs w:val="22"/>
        </w:rPr>
      </w:pPr>
      <w:r w:rsidRPr="00707E03">
        <w:rPr>
          <w:color w:val="auto"/>
          <w:lang w:val="it-IT"/>
        </w:rPr>
        <w:t>Back-up per Ripristino di Emergenza “a Freddo”</w:t>
      </w:r>
      <w:r w:rsidRPr="00707E03">
        <w:rPr>
          <w:color w:val="auto"/>
        </w:rPr>
        <w:tab/>
      </w:r>
      <w:r w:rsidRPr="00707E03">
        <w:rPr>
          <w:color w:val="auto"/>
        </w:rPr>
        <w:fldChar w:fldCharType="begin"/>
      </w:r>
      <w:r w:rsidRPr="00707E03">
        <w:rPr>
          <w:color w:val="auto"/>
        </w:rPr>
        <w:instrText xml:space="preserve"> PAGEREF _Toc352234834 \h </w:instrText>
      </w:r>
      <w:r w:rsidRPr="00707E03">
        <w:rPr>
          <w:color w:val="auto"/>
        </w:rPr>
      </w:r>
      <w:r w:rsidRPr="00707E03">
        <w:rPr>
          <w:color w:val="auto"/>
        </w:rPr>
        <w:fldChar w:fldCharType="separate"/>
      </w:r>
      <w:r w:rsidRPr="00707E03">
        <w:rPr>
          <w:color w:val="auto"/>
        </w:rPr>
        <w:t>81</w:t>
      </w:r>
      <w:r w:rsidRPr="00707E03">
        <w:rPr>
          <w:color w:val="auto"/>
        </w:rPr>
        <w:fldChar w:fldCharType="end"/>
      </w:r>
    </w:p>
    <w:p w:rsidR="00707E03" w:rsidRPr="00707E03" w:rsidRDefault="00707E03">
      <w:pPr>
        <w:pStyle w:val="TOC3"/>
        <w:rPr>
          <w:rFonts w:asciiTheme="minorHAnsi" w:eastAsiaTheme="minorEastAsia" w:hAnsiTheme="minorHAnsi" w:cstheme="minorBidi"/>
          <w:bCs w:val="0"/>
          <w:color w:val="auto"/>
          <w:sz w:val="22"/>
          <w:szCs w:val="22"/>
        </w:rPr>
      </w:pPr>
      <w:r w:rsidRPr="00707E03">
        <w:rPr>
          <w:color w:val="auto"/>
          <w:lang w:val="it-IT"/>
        </w:rPr>
        <w:t>Servizi in Abbonamento TechNet SA</w:t>
      </w:r>
      <w:r w:rsidRPr="00707E03">
        <w:rPr>
          <w:color w:val="auto"/>
        </w:rPr>
        <w:tab/>
      </w:r>
      <w:r w:rsidRPr="00707E03">
        <w:rPr>
          <w:color w:val="auto"/>
        </w:rPr>
        <w:fldChar w:fldCharType="begin"/>
      </w:r>
      <w:r w:rsidRPr="00707E03">
        <w:rPr>
          <w:color w:val="auto"/>
        </w:rPr>
        <w:instrText xml:space="preserve"> PAGEREF _Toc352234835 \h </w:instrText>
      </w:r>
      <w:r w:rsidRPr="00707E03">
        <w:rPr>
          <w:color w:val="auto"/>
        </w:rPr>
      </w:r>
      <w:r w:rsidRPr="00707E03">
        <w:rPr>
          <w:color w:val="auto"/>
        </w:rPr>
        <w:fldChar w:fldCharType="separate"/>
      </w:r>
      <w:r w:rsidRPr="00707E03">
        <w:rPr>
          <w:color w:val="auto"/>
        </w:rPr>
        <w:t>82</w:t>
      </w:r>
      <w:r w:rsidRPr="00707E03">
        <w:rPr>
          <w:color w:val="auto"/>
        </w:rPr>
        <w:fldChar w:fldCharType="end"/>
      </w:r>
    </w:p>
    <w:p w:rsidR="00707E03" w:rsidRPr="00707E03" w:rsidRDefault="00707E03">
      <w:pPr>
        <w:pStyle w:val="TOC3"/>
        <w:rPr>
          <w:rFonts w:asciiTheme="minorHAnsi" w:eastAsiaTheme="minorEastAsia" w:hAnsiTheme="minorHAnsi" w:cstheme="minorBidi"/>
          <w:bCs w:val="0"/>
          <w:color w:val="auto"/>
          <w:sz w:val="22"/>
          <w:szCs w:val="22"/>
        </w:rPr>
      </w:pPr>
      <w:r w:rsidRPr="00707E03">
        <w:rPr>
          <w:color w:val="auto"/>
          <w:lang w:val="it-IT"/>
        </w:rPr>
        <w:t>TechNet Plus Direct</w:t>
      </w:r>
      <w:r w:rsidRPr="00707E03">
        <w:rPr>
          <w:color w:val="auto"/>
        </w:rPr>
        <w:tab/>
      </w:r>
      <w:r w:rsidRPr="00707E03">
        <w:rPr>
          <w:color w:val="auto"/>
        </w:rPr>
        <w:fldChar w:fldCharType="begin"/>
      </w:r>
      <w:r w:rsidRPr="00707E03">
        <w:rPr>
          <w:color w:val="auto"/>
        </w:rPr>
        <w:instrText xml:space="preserve"> PAGEREF _Toc352234836 \h </w:instrText>
      </w:r>
      <w:r w:rsidRPr="00707E03">
        <w:rPr>
          <w:color w:val="auto"/>
        </w:rPr>
      </w:r>
      <w:r w:rsidRPr="00707E03">
        <w:rPr>
          <w:color w:val="auto"/>
        </w:rPr>
        <w:fldChar w:fldCharType="separate"/>
      </w:r>
      <w:r w:rsidRPr="00707E03">
        <w:rPr>
          <w:color w:val="auto"/>
        </w:rPr>
        <w:t>82</w:t>
      </w:r>
      <w:r w:rsidRPr="00707E03">
        <w:rPr>
          <w:color w:val="auto"/>
        </w:rPr>
        <w:fldChar w:fldCharType="end"/>
      </w:r>
    </w:p>
    <w:p w:rsidR="00707E03" w:rsidRPr="00707E03" w:rsidRDefault="00707E03">
      <w:pPr>
        <w:pStyle w:val="TOC3"/>
        <w:rPr>
          <w:rFonts w:asciiTheme="minorHAnsi" w:eastAsiaTheme="minorEastAsia" w:hAnsiTheme="minorHAnsi" w:cstheme="minorBidi"/>
          <w:bCs w:val="0"/>
          <w:color w:val="auto"/>
          <w:sz w:val="22"/>
          <w:szCs w:val="22"/>
        </w:rPr>
      </w:pPr>
      <w:r w:rsidRPr="00707E03">
        <w:rPr>
          <w:color w:val="auto"/>
          <w:lang w:val="it-IT"/>
        </w:rPr>
        <w:t>Mobilità delle Licenze tramite Software Assurance</w:t>
      </w:r>
      <w:r w:rsidRPr="00707E03">
        <w:rPr>
          <w:color w:val="auto"/>
        </w:rPr>
        <w:tab/>
      </w:r>
      <w:r w:rsidRPr="00707E03">
        <w:rPr>
          <w:color w:val="auto"/>
        </w:rPr>
        <w:fldChar w:fldCharType="begin"/>
      </w:r>
      <w:r w:rsidRPr="00707E03">
        <w:rPr>
          <w:color w:val="auto"/>
        </w:rPr>
        <w:instrText xml:space="preserve"> PAGEREF _Toc352234837 \h </w:instrText>
      </w:r>
      <w:r w:rsidRPr="00707E03">
        <w:rPr>
          <w:color w:val="auto"/>
        </w:rPr>
      </w:r>
      <w:r w:rsidRPr="00707E03">
        <w:rPr>
          <w:color w:val="auto"/>
        </w:rPr>
        <w:fldChar w:fldCharType="separate"/>
      </w:r>
      <w:r w:rsidRPr="00707E03">
        <w:rPr>
          <w:color w:val="auto"/>
        </w:rPr>
        <w:t>83</w:t>
      </w:r>
      <w:r w:rsidRPr="00707E03">
        <w:rPr>
          <w:color w:val="auto"/>
        </w:rPr>
        <w:fldChar w:fldCharType="end"/>
      </w:r>
    </w:p>
    <w:p w:rsidR="00707E03" w:rsidRPr="00707E03" w:rsidRDefault="00707E03">
      <w:pPr>
        <w:pStyle w:val="TOC3"/>
        <w:rPr>
          <w:rFonts w:asciiTheme="minorHAnsi" w:eastAsiaTheme="minorEastAsia" w:hAnsiTheme="minorHAnsi" w:cstheme="minorBidi"/>
          <w:bCs w:val="0"/>
          <w:color w:val="auto"/>
          <w:sz w:val="22"/>
          <w:szCs w:val="22"/>
        </w:rPr>
      </w:pPr>
      <w:r w:rsidRPr="00707E03">
        <w:rPr>
          <w:color w:val="auto"/>
          <w:lang w:val="it-IT"/>
        </w:rPr>
        <w:t>Windows Thin PC</w:t>
      </w:r>
      <w:r w:rsidRPr="00707E03">
        <w:rPr>
          <w:color w:val="auto"/>
        </w:rPr>
        <w:tab/>
      </w:r>
      <w:r w:rsidRPr="00707E03">
        <w:rPr>
          <w:color w:val="auto"/>
        </w:rPr>
        <w:fldChar w:fldCharType="begin"/>
      </w:r>
      <w:r w:rsidRPr="00707E03">
        <w:rPr>
          <w:color w:val="auto"/>
        </w:rPr>
        <w:instrText xml:space="preserve"> PAGEREF _Toc352234838 \h </w:instrText>
      </w:r>
      <w:r w:rsidRPr="00707E03">
        <w:rPr>
          <w:color w:val="auto"/>
        </w:rPr>
      </w:r>
      <w:r w:rsidRPr="00707E03">
        <w:rPr>
          <w:color w:val="auto"/>
        </w:rPr>
        <w:fldChar w:fldCharType="separate"/>
      </w:r>
      <w:r w:rsidRPr="00707E03">
        <w:rPr>
          <w:color w:val="auto"/>
        </w:rPr>
        <w:t>84</w:t>
      </w:r>
      <w:r w:rsidRPr="00707E03">
        <w:rPr>
          <w:color w:val="auto"/>
        </w:rPr>
        <w:fldChar w:fldCharType="end"/>
      </w:r>
    </w:p>
    <w:p w:rsidR="00707E03" w:rsidRPr="00707E03" w:rsidRDefault="00707E03">
      <w:pPr>
        <w:pStyle w:val="TOC3"/>
        <w:rPr>
          <w:rFonts w:asciiTheme="minorHAnsi" w:eastAsiaTheme="minorEastAsia" w:hAnsiTheme="minorHAnsi" w:cstheme="minorBidi"/>
          <w:bCs w:val="0"/>
          <w:color w:val="auto"/>
          <w:sz w:val="22"/>
          <w:szCs w:val="22"/>
        </w:rPr>
      </w:pPr>
      <w:r w:rsidRPr="00707E03">
        <w:rPr>
          <w:color w:val="auto"/>
        </w:rPr>
        <w:t>Microsoft Desktop Optimization Pack per Software Assurance</w:t>
      </w:r>
      <w:r w:rsidRPr="00707E03">
        <w:rPr>
          <w:color w:val="auto"/>
        </w:rPr>
        <w:tab/>
      </w:r>
      <w:r w:rsidRPr="00707E03">
        <w:rPr>
          <w:color w:val="auto"/>
        </w:rPr>
        <w:fldChar w:fldCharType="begin"/>
      </w:r>
      <w:r w:rsidRPr="00707E03">
        <w:rPr>
          <w:color w:val="auto"/>
        </w:rPr>
        <w:instrText xml:space="preserve"> PAGEREF _Toc352234839 \h </w:instrText>
      </w:r>
      <w:r w:rsidRPr="00707E03">
        <w:rPr>
          <w:color w:val="auto"/>
        </w:rPr>
      </w:r>
      <w:r w:rsidRPr="00707E03">
        <w:rPr>
          <w:color w:val="auto"/>
        </w:rPr>
        <w:fldChar w:fldCharType="separate"/>
      </w:r>
      <w:r w:rsidRPr="00707E03">
        <w:rPr>
          <w:color w:val="auto"/>
        </w:rPr>
        <w:t>84</w:t>
      </w:r>
      <w:r w:rsidRPr="00707E03">
        <w:rPr>
          <w:color w:val="auto"/>
        </w:rPr>
        <w:fldChar w:fldCharType="end"/>
      </w:r>
    </w:p>
    <w:p w:rsidR="00707E03" w:rsidRPr="00707E03" w:rsidRDefault="00707E03">
      <w:pPr>
        <w:pStyle w:val="TOC3"/>
        <w:rPr>
          <w:rFonts w:asciiTheme="minorHAnsi" w:eastAsiaTheme="minorEastAsia" w:hAnsiTheme="minorHAnsi" w:cstheme="minorBidi"/>
          <w:bCs w:val="0"/>
          <w:color w:val="auto"/>
          <w:sz w:val="22"/>
          <w:szCs w:val="22"/>
        </w:rPr>
      </w:pPr>
      <w:r w:rsidRPr="00707E03">
        <w:rPr>
          <w:color w:val="auto"/>
          <w:lang w:val="it-IT"/>
        </w:rPr>
        <w:t>Diritti per Windows Virtual Desktop Access (VDA)</w:t>
      </w:r>
      <w:r w:rsidRPr="00707E03">
        <w:rPr>
          <w:color w:val="auto"/>
        </w:rPr>
        <w:tab/>
      </w:r>
      <w:r w:rsidRPr="00707E03">
        <w:rPr>
          <w:color w:val="auto"/>
        </w:rPr>
        <w:fldChar w:fldCharType="begin"/>
      </w:r>
      <w:r w:rsidRPr="00707E03">
        <w:rPr>
          <w:color w:val="auto"/>
        </w:rPr>
        <w:instrText xml:space="preserve"> PAGEREF _Toc352234840 \h </w:instrText>
      </w:r>
      <w:r w:rsidRPr="00707E03">
        <w:rPr>
          <w:color w:val="auto"/>
        </w:rPr>
      </w:r>
      <w:r w:rsidRPr="00707E03">
        <w:rPr>
          <w:color w:val="auto"/>
        </w:rPr>
        <w:fldChar w:fldCharType="separate"/>
      </w:r>
      <w:r w:rsidRPr="00707E03">
        <w:rPr>
          <w:color w:val="auto"/>
        </w:rPr>
        <w:t>85</w:t>
      </w:r>
      <w:r w:rsidRPr="00707E03">
        <w:rPr>
          <w:color w:val="auto"/>
        </w:rPr>
        <w:fldChar w:fldCharType="end"/>
      </w:r>
    </w:p>
    <w:p w:rsidR="00707E03" w:rsidRPr="00707E03" w:rsidRDefault="00707E03">
      <w:pPr>
        <w:pStyle w:val="TOC3"/>
        <w:rPr>
          <w:rFonts w:asciiTheme="minorHAnsi" w:eastAsiaTheme="minorEastAsia" w:hAnsiTheme="minorHAnsi" w:cstheme="minorBidi"/>
          <w:bCs w:val="0"/>
          <w:color w:val="auto"/>
          <w:sz w:val="22"/>
          <w:szCs w:val="22"/>
        </w:rPr>
      </w:pPr>
      <w:r w:rsidRPr="00707E03">
        <w:rPr>
          <w:color w:val="auto"/>
          <w:lang w:val="it-IT"/>
        </w:rPr>
        <w:t>Disponibilità di Licenze Step-Up</w:t>
      </w:r>
      <w:r w:rsidRPr="00707E03">
        <w:rPr>
          <w:color w:val="auto"/>
        </w:rPr>
        <w:tab/>
      </w:r>
      <w:r w:rsidRPr="00707E03">
        <w:rPr>
          <w:color w:val="auto"/>
        </w:rPr>
        <w:fldChar w:fldCharType="begin"/>
      </w:r>
      <w:r w:rsidRPr="00707E03">
        <w:rPr>
          <w:color w:val="auto"/>
        </w:rPr>
        <w:instrText xml:space="preserve"> PAGEREF _Toc352234841 \h </w:instrText>
      </w:r>
      <w:r w:rsidRPr="00707E03">
        <w:rPr>
          <w:color w:val="auto"/>
        </w:rPr>
      </w:r>
      <w:r w:rsidRPr="00707E03">
        <w:rPr>
          <w:color w:val="auto"/>
        </w:rPr>
        <w:fldChar w:fldCharType="separate"/>
      </w:r>
      <w:r w:rsidRPr="00707E03">
        <w:rPr>
          <w:color w:val="auto"/>
        </w:rPr>
        <w:t>85</w:t>
      </w:r>
      <w:r w:rsidRPr="00707E03">
        <w:rPr>
          <w:color w:val="auto"/>
        </w:rPr>
        <w:fldChar w:fldCharType="end"/>
      </w:r>
    </w:p>
    <w:p w:rsidR="00707E03" w:rsidRPr="00707E03" w:rsidRDefault="00707E03">
      <w:pPr>
        <w:pStyle w:val="TOC1"/>
        <w:rPr>
          <w:rFonts w:asciiTheme="minorHAnsi" w:eastAsiaTheme="minorEastAsia" w:hAnsiTheme="minorHAnsi" w:cstheme="minorBidi"/>
          <w:b w:val="0"/>
          <w:caps w:val="0"/>
          <w:color w:val="auto"/>
          <w:szCs w:val="22"/>
        </w:rPr>
      </w:pPr>
      <w:r w:rsidRPr="00707E03">
        <w:rPr>
          <w:color w:val="auto"/>
          <w:lang w:val="it-IT"/>
        </w:rPr>
        <w:t>ARTICOLO 8 - Servizi</w:t>
      </w:r>
      <w:r w:rsidRPr="00707E03">
        <w:rPr>
          <w:color w:val="auto"/>
        </w:rPr>
        <w:tab/>
      </w:r>
      <w:r w:rsidRPr="00707E03">
        <w:rPr>
          <w:color w:val="auto"/>
        </w:rPr>
        <w:fldChar w:fldCharType="begin"/>
      </w:r>
      <w:r w:rsidRPr="00707E03">
        <w:rPr>
          <w:color w:val="auto"/>
        </w:rPr>
        <w:instrText xml:space="preserve"> PAGEREF _Toc352234842 \h </w:instrText>
      </w:r>
      <w:r w:rsidRPr="00707E03">
        <w:rPr>
          <w:color w:val="auto"/>
        </w:rPr>
      </w:r>
      <w:r w:rsidRPr="00707E03">
        <w:rPr>
          <w:color w:val="auto"/>
        </w:rPr>
        <w:fldChar w:fldCharType="separate"/>
      </w:r>
      <w:r w:rsidRPr="00707E03">
        <w:rPr>
          <w:color w:val="auto"/>
        </w:rPr>
        <w:t>87</w:t>
      </w:r>
      <w:r w:rsidRPr="00707E03">
        <w:rPr>
          <w:color w:val="auto"/>
        </w:rPr>
        <w:fldChar w:fldCharType="end"/>
      </w:r>
    </w:p>
    <w:p w:rsidR="00707E03" w:rsidRPr="00707E03" w:rsidRDefault="00707E03">
      <w:pPr>
        <w:pStyle w:val="TOC2"/>
        <w:rPr>
          <w:rFonts w:asciiTheme="minorHAnsi" w:eastAsiaTheme="minorEastAsia" w:hAnsiTheme="minorHAnsi" w:cstheme="minorBidi"/>
          <w:sz w:val="22"/>
          <w:szCs w:val="22"/>
        </w:rPr>
      </w:pPr>
      <w:r w:rsidRPr="00707E03">
        <w:rPr>
          <w:lang w:val="it-IT"/>
        </w:rPr>
        <w:t>Diritti sull’utilizzo, di titolarità e di licenza</w:t>
      </w:r>
      <w:r w:rsidRPr="00707E03">
        <w:tab/>
      </w:r>
      <w:r w:rsidRPr="00707E03">
        <w:fldChar w:fldCharType="begin"/>
      </w:r>
      <w:r w:rsidRPr="00707E03">
        <w:instrText xml:space="preserve"> PAGEREF _Toc352234843 \h </w:instrText>
      </w:r>
      <w:r w:rsidRPr="00707E03">
        <w:fldChar w:fldCharType="separate"/>
      </w:r>
      <w:r w:rsidRPr="00707E03">
        <w:t>94</w:t>
      </w:r>
      <w:r w:rsidRPr="00707E03">
        <w:fldChar w:fldCharType="end"/>
      </w:r>
    </w:p>
    <w:p w:rsidR="00707E03" w:rsidRPr="00707E03" w:rsidRDefault="00707E03">
      <w:pPr>
        <w:pStyle w:val="TOC1"/>
        <w:rPr>
          <w:rFonts w:asciiTheme="minorHAnsi" w:eastAsiaTheme="minorEastAsia" w:hAnsiTheme="minorHAnsi" w:cstheme="minorBidi"/>
          <w:b w:val="0"/>
          <w:caps w:val="0"/>
          <w:color w:val="auto"/>
          <w:szCs w:val="22"/>
        </w:rPr>
      </w:pPr>
      <w:r w:rsidRPr="00707E03">
        <w:rPr>
          <w:color w:val="auto"/>
        </w:rPr>
        <w:t>ARTICOLO</w:t>
      </w:r>
      <w:r w:rsidRPr="00707E03">
        <w:rPr>
          <w:color w:val="auto"/>
          <w:lang w:val="it-IT"/>
        </w:rPr>
        <w:t xml:space="preserve"> 9 - Condizioni Aggiuntive</w:t>
      </w:r>
      <w:r w:rsidRPr="00707E03">
        <w:rPr>
          <w:color w:val="auto"/>
        </w:rPr>
        <w:tab/>
      </w:r>
      <w:r w:rsidRPr="00707E03">
        <w:rPr>
          <w:color w:val="auto"/>
        </w:rPr>
        <w:fldChar w:fldCharType="begin"/>
      </w:r>
      <w:r w:rsidRPr="00707E03">
        <w:rPr>
          <w:color w:val="auto"/>
        </w:rPr>
        <w:instrText xml:space="preserve"> PAGEREF _Toc352234844 \h </w:instrText>
      </w:r>
      <w:r w:rsidRPr="00707E03">
        <w:rPr>
          <w:color w:val="auto"/>
        </w:rPr>
      </w:r>
      <w:r w:rsidRPr="00707E03">
        <w:rPr>
          <w:color w:val="auto"/>
        </w:rPr>
        <w:fldChar w:fldCharType="separate"/>
      </w:r>
      <w:r w:rsidRPr="00707E03">
        <w:rPr>
          <w:color w:val="auto"/>
        </w:rPr>
        <w:t>97</w:t>
      </w:r>
      <w:r w:rsidRPr="00707E03">
        <w:rPr>
          <w:color w:val="auto"/>
        </w:rPr>
        <w:fldChar w:fldCharType="end"/>
      </w:r>
    </w:p>
    <w:p w:rsidR="00707E03" w:rsidRPr="00707E03" w:rsidRDefault="00707E03">
      <w:pPr>
        <w:pStyle w:val="TOC3"/>
        <w:rPr>
          <w:rFonts w:asciiTheme="minorHAnsi" w:eastAsiaTheme="minorEastAsia" w:hAnsiTheme="minorHAnsi" w:cstheme="minorBidi"/>
          <w:bCs w:val="0"/>
          <w:color w:val="auto"/>
          <w:sz w:val="22"/>
          <w:szCs w:val="22"/>
        </w:rPr>
      </w:pPr>
      <w:r w:rsidRPr="00707E03">
        <w:rPr>
          <w:rFonts w:eastAsia="Times New Roman"/>
          <w:color w:val="auto"/>
          <w:lang w:val="it-IT"/>
        </w:rPr>
        <w:lastRenderedPageBreak/>
        <w:t>Client Access Licenses (CAL) e Licenze di Gestione Client (ML)</w:t>
      </w:r>
      <w:r w:rsidRPr="00707E03">
        <w:rPr>
          <w:color w:val="auto"/>
        </w:rPr>
        <w:tab/>
      </w:r>
      <w:r w:rsidRPr="00707E03">
        <w:rPr>
          <w:color w:val="auto"/>
        </w:rPr>
        <w:fldChar w:fldCharType="begin"/>
      </w:r>
      <w:r w:rsidRPr="00707E03">
        <w:rPr>
          <w:color w:val="auto"/>
        </w:rPr>
        <w:instrText xml:space="preserve"> PAGEREF _Toc352234845 \h </w:instrText>
      </w:r>
      <w:r w:rsidRPr="00707E03">
        <w:rPr>
          <w:color w:val="auto"/>
        </w:rPr>
      </w:r>
      <w:r w:rsidRPr="00707E03">
        <w:rPr>
          <w:color w:val="auto"/>
        </w:rPr>
        <w:fldChar w:fldCharType="separate"/>
      </w:r>
      <w:r w:rsidRPr="00707E03">
        <w:rPr>
          <w:color w:val="auto"/>
        </w:rPr>
        <w:t>97</w:t>
      </w:r>
      <w:r w:rsidRPr="00707E03">
        <w:rPr>
          <w:color w:val="auto"/>
        </w:rPr>
        <w:fldChar w:fldCharType="end"/>
      </w:r>
    </w:p>
    <w:p w:rsidR="00707E03" w:rsidRPr="00707E03" w:rsidRDefault="00707E03">
      <w:pPr>
        <w:pStyle w:val="TOC3"/>
        <w:rPr>
          <w:rFonts w:asciiTheme="minorHAnsi" w:eastAsiaTheme="minorEastAsia" w:hAnsiTheme="minorHAnsi" w:cstheme="minorBidi"/>
          <w:bCs w:val="0"/>
          <w:color w:val="auto"/>
          <w:sz w:val="22"/>
          <w:szCs w:val="22"/>
        </w:rPr>
      </w:pPr>
      <w:r w:rsidRPr="00707E03">
        <w:rPr>
          <w:color w:val="auto"/>
          <w:lang w:val="it-IT"/>
        </w:rPr>
        <w:t>Limitazioni dei Controlli EI</w:t>
      </w:r>
      <w:r w:rsidRPr="00707E03">
        <w:rPr>
          <w:color w:val="auto"/>
        </w:rPr>
        <w:tab/>
      </w:r>
      <w:r w:rsidRPr="00707E03">
        <w:rPr>
          <w:color w:val="auto"/>
        </w:rPr>
        <w:fldChar w:fldCharType="begin"/>
      </w:r>
      <w:r w:rsidRPr="00707E03">
        <w:rPr>
          <w:color w:val="auto"/>
        </w:rPr>
        <w:instrText xml:space="preserve"> PAGEREF _Toc352234846 \h </w:instrText>
      </w:r>
      <w:r w:rsidRPr="00707E03">
        <w:rPr>
          <w:color w:val="auto"/>
        </w:rPr>
      </w:r>
      <w:r w:rsidRPr="00707E03">
        <w:rPr>
          <w:color w:val="auto"/>
        </w:rPr>
        <w:fldChar w:fldCharType="separate"/>
      </w:r>
      <w:r w:rsidRPr="00707E03">
        <w:rPr>
          <w:color w:val="auto"/>
        </w:rPr>
        <w:t>97</w:t>
      </w:r>
      <w:r w:rsidRPr="00707E03">
        <w:rPr>
          <w:color w:val="auto"/>
        </w:rPr>
        <w:fldChar w:fldCharType="end"/>
      </w:r>
    </w:p>
    <w:p w:rsidR="00707E03" w:rsidRPr="00707E03" w:rsidRDefault="00707E03">
      <w:pPr>
        <w:pStyle w:val="TOC3"/>
        <w:rPr>
          <w:rFonts w:asciiTheme="minorHAnsi" w:eastAsiaTheme="minorEastAsia" w:hAnsiTheme="minorHAnsi" w:cstheme="minorBidi"/>
          <w:bCs w:val="0"/>
          <w:color w:val="auto"/>
          <w:sz w:val="22"/>
          <w:szCs w:val="22"/>
        </w:rPr>
      </w:pPr>
      <w:r w:rsidRPr="00707E03">
        <w:rPr>
          <w:color w:val="auto"/>
          <w:lang w:val="it-IT"/>
        </w:rPr>
        <w:t>Multilanguage Pack (MLP), Funzionalità Multilanguage User Interface (MUI) e Nuovi Diritti sulle Lingue</w:t>
      </w:r>
      <w:r w:rsidRPr="00707E03">
        <w:rPr>
          <w:color w:val="auto"/>
        </w:rPr>
        <w:tab/>
      </w:r>
      <w:r w:rsidRPr="00707E03">
        <w:rPr>
          <w:color w:val="auto"/>
        </w:rPr>
        <w:fldChar w:fldCharType="begin"/>
      </w:r>
      <w:r w:rsidRPr="00707E03">
        <w:rPr>
          <w:color w:val="auto"/>
        </w:rPr>
        <w:instrText xml:space="preserve"> PAGEREF _Toc352234847 \h </w:instrText>
      </w:r>
      <w:r w:rsidRPr="00707E03">
        <w:rPr>
          <w:color w:val="auto"/>
        </w:rPr>
      </w:r>
      <w:r w:rsidRPr="00707E03">
        <w:rPr>
          <w:color w:val="auto"/>
        </w:rPr>
        <w:fldChar w:fldCharType="separate"/>
      </w:r>
      <w:r w:rsidRPr="00707E03">
        <w:rPr>
          <w:color w:val="auto"/>
        </w:rPr>
        <w:t>98</w:t>
      </w:r>
      <w:r w:rsidRPr="00707E03">
        <w:rPr>
          <w:color w:val="auto"/>
        </w:rPr>
        <w:fldChar w:fldCharType="end"/>
      </w:r>
    </w:p>
    <w:p w:rsidR="00707E03" w:rsidRPr="00707E03" w:rsidRDefault="00707E03">
      <w:pPr>
        <w:pStyle w:val="TOC2"/>
        <w:rPr>
          <w:rFonts w:asciiTheme="minorHAnsi" w:eastAsiaTheme="minorEastAsia" w:hAnsiTheme="minorHAnsi" w:cstheme="minorBidi"/>
          <w:sz w:val="22"/>
          <w:szCs w:val="22"/>
        </w:rPr>
      </w:pPr>
      <w:r w:rsidRPr="00707E03">
        <w:rPr>
          <w:rFonts w:cs="Tahoma"/>
          <w:lang w:val="it-IT"/>
        </w:rPr>
        <w:t>Licenze Indipendenti dalla Piattaforma</w:t>
      </w:r>
      <w:r w:rsidRPr="00707E03">
        <w:tab/>
      </w:r>
      <w:r w:rsidRPr="00707E03">
        <w:fldChar w:fldCharType="begin"/>
      </w:r>
      <w:r w:rsidRPr="00707E03">
        <w:instrText xml:space="preserve"> PAGEREF _Toc352234848 \h </w:instrText>
      </w:r>
      <w:r w:rsidRPr="00707E03">
        <w:fldChar w:fldCharType="separate"/>
      </w:r>
      <w:r w:rsidRPr="00707E03">
        <w:t>98</w:t>
      </w:r>
      <w:r w:rsidRPr="00707E03">
        <w:fldChar w:fldCharType="end"/>
      </w:r>
    </w:p>
    <w:p w:rsidR="00707E03" w:rsidRPr="00707E03" w:rsidRDefault="00707E03">
      <w:pPr>
        <w:pStyle w:val="TOC2"/>
        <w:rPr>
          <w:rFonts w:asciiTheme="minorHAnsi" w:eastAsiaTheme="minorEastAsia" w:hAnsiTheme="minorHAnsi" w:cstheme="minorBidi"/>
          <w:sz w:val="22"/>
          <w:szCs w:val="22"/>
        </w:rPr>
      </w:pPr>
      <w:r w:rsidRPr="00707E03">
        <w:rPr>
          <w:rFonts w:cs="Tahoma"/>
          <w:lang w:val="it-IT"/>
        </w:rPr>
        <w:t>Codice “Product Key” per Volume Licensing</w:t>
      </w:r>
      <w:r w:rsidRPr="00707E03">
        <w:tab/>
      </w:r>
      <w:r w:rsidRPr="00707E03">
        <w:fldChar w:fldCharType="begin"/>
      </w:r>
      <w:r w:rsidRPr="00707E03">
        <w:instrText xml:space="preserve"> PAGEREF _Toc352234849 \h </w:instrText>
      </w:r>
      <w:r w:rsidRPr="00707E03">
        <w:fldChar w:fldCharType="separate"/>
      </w:r>
      <w:r w:rsidRPr="00707E03">
        <w:t>99</w:t>
      </w:r>
      <w:r w:rsidRPr="00707E03">
        <w:fldChar w:fldCharType="end"/>
      </w:r>
    </w:p>
    <w:p w:rsidR="00707E03" w:rsidRPr="00707E03" w:rsidRDefault="00707E03">
      <w:pPr>
        <w:pStyle w:val="TOC1"/>
        <w:rPr>
          <w:rFonts w:asciiTheme="minorHAnsi" w:eastAsiaTheme="minorEastAsia" w:hAnsiTheme="minorHAnsi" w:cstheme="minorBidi"/>
          <w:b w:val="0"/>
          <w:caps w:val="0"/>
          <w:color w:val="auto"/>
          <w:szCs w:val="22"/>
        </w:rPr>
      </w:pPr>
      <w:r w:rsidRPr="00707E03">
        <w:rPr>
          <w:color w:val="auto"/>
          <w:lang w:val="it-IT"/>
        </w:rPr>
        <w:t>NOTE del Prodotto</w:t>
      </w:r>
      <w:r w:rsidRPr="00707E03">
        <w:rPr>
          <w:color w:val="auto"/>
        </w:rPr>
        <w:tab/>
      </w:r>
      <w:r w:rsidRPr="00707E03">
        <w:rPr>
          <w:color w:val="auto"/>
        </w:rPr>
        <w:fldChar w:fldCharType="begin"/>
      </w:r>
      <w:r w:rsidRPr="00707E03">
        <w:rPr>
          <w:color w:val="auto"/>
        </w:rPr>
        <w:instrText xml:space="preserve"> PAGEREF _Toc352234850 \h </w:instrText>
      </w:r>
      <w:r w:rsidRPr="00707E03">
        <w:rPr>
          <w:color w:val="auto"/>
        </w:rPr>
      </w:r>
      <w:r w:rsidRPr="00707E03">
        <w:rPr>
          <w:color w:val="auto"/>
        </w:rPr>
        <w:fldChar w:fldCharType="separate"/>
      </w:r>
      <w:r w:rsidRPr="00707E03">
        <w:rPr>
          <w:color w:val="auto"/>
        </w:rPr>
        <w:t>100</w:t>
      </w:r>
      <w:r w:rsidRPr="00707E03">
        <w:rPr>
          <w:color w:val="auto"/>
        </w:rPr>
        <w:fldChar w:fldCharType="end"/>
      </w:r>
    </w:p>
    <w:p w:rsidR="00707E03" w:rsidRPr="00707E03" w:rsidRDefault="00707E03">
      <w:pPr>
        <w:pStyle w:val="TOC2"/>
        <w:rPr>
          <w:rFonts w:asciiTheme="minorHAnsi" w:eastAsiaTheme="minorEastAsia" w:hAnsiTheme="minorHAnsi" w:cstheme="minorBidi"/>
          <w:sz w:val="22"/>
          <w:szCs w:val="22"/>
        </w:rPr>
      </w:pPr>
      <w:r w:rsidRPr="00707E03">
        <w:rPr>
          <w:rFonts w:cs="Tahoma"/>
          <w:lang w:val="it-IT"/>
        </w:rPr>
        <w:t>Pool di Applicazioni</w:t>
      </w:r>
      <w:r w:rsidRPr="00707E03">
        <w:tab/>
      </w:r>
      <w:r w:rsidRPr="00707E03">
        <w:fldChar w:fldCharType="begin"/>
      </w:r>
      <w:r w:rsidRPr="00707E03">
        <w:instrText xml:space="preserve"> PAGEREF _Toc352234851 \h </w:instrText>
      </w:r>
      <w:r w:rsidRPr="00707E03">
        <w:fldChar w:fldCharType="separate"/>
      </w:r>
      <w:r w:rsidRPr="00707E03">
        <w:t>100</w:t>
      </w:r>
      <w:r w:rsidRPr="00707E03">
        <w:fldChar w:fldCharType="end"/>
      </w:r>
    </w:p>
    <w:p w:rsidR="00707E03" w:rsidRPr="00707E03" w:rsidRDefault="00707E03">
      <w:pPr>
        <w:pStyle w:val="TOC3"/>
        <w:rPr>
          <w:rFonts w:asciiTheme="minorHAnsi" w:eastAsiaTheme="minorEastAsia" w:hAnsiTheme="minorHAnsi" w:cstheme="minorBidi"/>
          <w:bCs w:val="0"/>
          <w:color w:val="auto"/>
          <w:sz w:val="22"/>
          <w:szCs w:val="22"/>
        </w:rPr>
      </w:pPr>
      <w:r w:rsidRPr="00707E03">
        <w:rPr>
          <w:caps/>
          <w:color w:val="auto"/>
          <w:vertAlign w:val="superscript"/>
          <w:lang w:val="it-IT"/>
        </w:rPr>
        <w:t>1</w:t>
      </w:r>
      <w:r w:rsidRPr="00707E03">
        <w:rPr>
          <w:color w:val="auto"/>
          <w:lang w:val="it-IT"/>
        </w:rPr>
        <w:t xml:space="preserve"> Expression Encoder Pro 4</w:t>
      </w:r>
      <w:r w:rsidRPr="00707E03">
        <w:rPr>
          <w:color w:val="auto"/>
        </w:rPr>
        <w:tab/>
      </w:r>
      <w:r w:rsidRPr="00707E03">
        <w:rPr>
          <w:color w:val="auto"/>
        </w:rPr>
        <w:fldChar w:fldCharType="begin"/>
      </w:r>
      <w:r w:rsidRPr="00707E03">
        <w:rPr>
          <w:color w:val="auto"/>
        </w:rPr>
        <w:instrText xml:space="preserve"> PAGEREF _Toc352234852 \h </w:instrText>
      </w:r>
      <w:r w:rsidRPr="00707E03">
        <w:rPr>
          <w:color w:val="auto"/>
        </w:rPr>
      </w:r>
      <w:r w:rsidRPr="00707E03">
        <w:rPr>
          <w:color w:val="auto"/>
        </w:rPr>
        <w:fldChar w:fldCharType="separate"/>
      </w:r>
      <w:r w:rsidRPr="00707E03">
        <w:rPr>
          <w:color w:val="auto"/>
        </w:rPr>
        <w:t>100</w:t>
      </w:r>
      <w:r w:rsidRPr="00707E03">
        <w:rPr>
          <w:color w:val="auto"/>
        </w:rPr>
        <w:fldChar w:fldCharType="end"/>
      </w:r>
    </w:p>
    <w:p w:rsidR="00707E03" w:rsidRPr="00707E03" w:rsidRDefault="00707E03">
      <w:pPr>
        <w:pStyle w:val="TOC3"/>
        <w:rPr>
          <w:rFonts w:asciiTheme="minorHAnsi" w:eastAsiaTheme="minorEastAsia" w:hAnsiTheme="minorHAnsi" w:cstheme="minorBidi"/>
          <w:bCs w:val="0"/>
          <w:color w:val="auto"/>
          <w:sz w:val="22"/>
          <w:szCs w:val="22"/>
        </w:rPr>
      </w:pPr>
      <w:r w:rsidRPr="00707E03">
        <w:rPr>
          <w:caps/>
          <w:color w:val="auto"/>
          <w:vertAlign w:val="superscript"/>
          <w:lang w:val="it-IT"/>
        </w:rPr>
        <w:t>2</w:t>
      </w:r>
      <w:r w:rsidRPr="00707E03">
        <w:rPr>
          <w:color w:val="auto"/>
          <w:lang w:val="it-IT"/>
        </w:rPr>
        <w:t xml:space="preserve"> Lync per Mac 2011</w:t>
      </w:r>
      <w:r w:rsidRPr="00707E03">
        <w:rPr>
          <w:color w:val="auto"/>
        </w:rPr>
        <w:tab/>
      </w:r>
      <w:r w:rsidRPr="00707E03">
        <w:rPr>
          <w:color w:val="auto"/>
        </w:rPr>
        <w:fldChar w:fldCharType="begin"/>
      </w:r>
      <w:r w:rsidRPr="00707E03">
        <w:rPr>
          <w:color w:val="auto"/>
        </w:rPr>
        <w:instrText xml:space="preserve"> PAGEREF _Toc352234853 \h </w:instrText>
      </w:r>
      <w:r w:rsidRPr="00707E03">
        <w:rPr>
          <w:color w:val="auto"/>
        </w:rPr>
      </w:r>
      <w:r w:rsidRPr="00707E03">
        <w:rPr>
          <w:color w:val="auto"/>
        </w:rPr>
        <w:fldChar w:fldCharType="separate"/>
      </w:r>
      <w:r w:rsidRPr="00707E03">
        <w:rPr>
          <w:color w:val="auto"/>
        </w:rPr>
        <w:t>100</w:t>
      </w:r>
      <w:r w:rsidRPr="00707E03">
        <w:rPr>
          <w:color w:val="auto"/>
        </w:rPr>
        <w:fldChar w:fldCharType="end"/>
      </w:r>
    </w:p>
    <w:p w:rsidR="00707E03" w:rsidRPr="00707E03" w:rsidRDefault="00707E03">
      <w:pPr>
        <w:pStyle w:val="TOC3"/>
        <w:rPr>
          <w:rFonts w:asciiTheme="minorHAnsi" w:eastAsiaTheme="minorEastAsia" w:hAnsiTheme="minorHAnsi" w:cstheme="minorBidi"/>
          <w:bCs w:val="0"/>
          <w:color w:val="auto"/>
          <w:sz w:val="22"/>
          <w:szCs w:val="22"/>
        </w:rPr>
      </w:pPr>
      <w:r w:rsidRPr="00707E03">
        <w:rPr>
          <w:caps/>
          <w:color w:val="auto"/>
          <w:vertAlign w:val="superscript"/>
          <w:lang w:val="it-IT"/>
        </w:rPr>
        <w:t>3</w:t>
      </w:r>
      <w:r w:rsidRPr="00707E03">
        <w:rPr>
          <w:color w:val="auto"/>
          <w:lang w:val="it-IT"/>
        </w:rPr>
        <w:t xml:space="preserve"> Sistemi Operativi MSDN</w:t>
      </w:r>
      <w:r w:rsidRPr="00707E03">
        <w:rPr>
          <w:color w:val="auto"/>
        </w:rPr>
        <w:tab/>
      </w:r>
      <w:r w:rsidRPr="00707E03">
        <w:rPr>
          <w:color w:val="auto"/>
        </w:rPr>
        <w:fldChar w:fldCharType="begin"/>
      </w:r>
      <w:r w:rsidRPr="00707E03">
        <w:rPr>
          <w:color w:val="auto"/>
        </w:rPr>
        <w:instrText xml:space="preserve"> PAGEREF _Toc352234854 \h </w:instrText>
      </w:r>
      <w:r w:rsidRPr="00707E03">
        <w:rPr>
          <w:color w:val="auto"/>
        </w:rPr>
      </w:r>
      <w:r w:rsidRPr="00707E03">
        <w:rPr>
          <w:color w:val="auto"/>
        </w:rPr>
        <w:fldChar w:fldCharType="separate"/>
      </w:r>
      <w:r w:rsidRPr="00707E03">
        <w:rPr>
          <w:color w:val="auto"/>
        </w:rPr>
        <w:t>100</w:t>
      </w:r>
      <w:r w:rsidRPr="00707E03">
        <w:rPr>
          <w:color w:val="auto"/>
        </w:rPr>
        <w:fldChar w:fldCharType="end"/>
      </w:r>
    </w:p>
    <w:p w:rsidR="00707E03" w:rsidRPr="00707E03" w:rsidRDefault="00707E03">
      <w:pPr>
        <w:pStyle w:val="TOC2"/>
        <w:rPr>
          <w:rFonts w:asciiTheme="minorHAnsi" w:eastAsiaTheme="minorEastAsia" w:hAnsiTheme="minorHAnsi" w:cstheme="minorBidi"/>
          <w:sz w:val="22"/>
          <w:szCs w:val="22"/>
        </w:rPr>
      </w:pPr>
      <w:r w:rsidRPr="00707E03">
        <w:rPr>
          <w:rFonts w:cs="Tahoma"/>
          <w:caps/>
          <w:vertAlign w:val="superscript"/>
          <w:lang w:val="it-IT"/>
        </w:rPr>
        <w:t>4</w:t>
      </w:r>
      <w:r w:rsidRPr="00707E03">
        <w:rPr>
          <w:lang w:val="it-IT"/>
        </w:rPr>
        <w:t xml:space="preserve"> </w:t>
      </w:r>
      <w:r w:rsidRPr="00707E03">
        <w:rPr>
          <w:rFonts w:cs="Tahoma"/>
          <w:lang w:val="it-IT"/>
        </w:rPr>
        <w:t>Office 365 Education A2-A4 (SL per Utente)</w:t>
      </w:r>
      <w:r w:rsidRPr="00707E03">
        <w:tab/>
      </w:r>
      <w:r w:rsidRPr="00707E03">
        <w:fldChar w:fldCharType="begin"/>
      </w:r>
      <w:r w:rsidRPr="00707E03">
        <w:instrText xml:space="preserve"> PAGEREF _Toc352234855 \h </w:instrText>
      </w:r>
      <w:r w:rsidRPr="00707E03">
        <w:fldChar w:fldCharType="separate"/>
      </w:r>
      <w:r w:rsidRPr="00707E03">
        <w:t>101</w:t>
      </w:r>
      <w:r w:rsidRPr="00707E03">
        <w:fldChar w:fldCharType="end"/>
      </w:r>
    </w:p>
    <w:p w:rsidR="00707E03" w:rsidRPr="00707E03" w:rsidRDefault="00707E03">
      <w:pPr>
        <w:pStyle w:val="TOC2"/>
        <w:rPr>
          <w:rFonts w:asciiTheme="minorHAnsi" w:eastAsiaTheme="minorEastAsia" w:hAnsiTheme="minorHAnsi" w:cstheme="minorBidi"/>
          <w:sz w:val="22"/>
          <w:szCs w:val="22"/>
        </w:rPr>
      </w:pPr>
      <w:r w:rsidRPr="00707E03">
        <w:rPr>
          <w:rFonts w:cs="Tahoma"/>
          <w:caps/>
          <w:vertAlign w:val="superscript"/>
          <w:lang w:val="it-IT"/>
        </w:rPr>
        <w:t>5</w:t>
      </w:r>
      <w:r w:rsidRPr="00707E03">
        <w:rPr>
          <w:rFonts w:cs="Tahoma"/>
          <w:lang w:val="it-IT"/>
        </w:rPr>
        <w:t xml:space="preserve"> Office 365 Enterprise E2-E4</w:t>
      </w:r>
      <w:r w:rsidRPr="00707E03">
        <w:tab/>
      </w:r>
      <w:r w:rsidRPr="00707E03">
        <w:fldChar w:fldCharType="begin"/>
      </w:r>
      <w:r w:rsidRPr="00707E03">
        <w:instrText xml:space="preserve"> PAGEREF _Toc352234856 \h </w:instrText>
      </w:r>
      <w:r w:rsidRPr="00707E03">
        <w:fldChar w:fldCharType="separate"/>
      </w:r>
      <w:r w:rsidRPr="00707E03">
        <w:t>102</w:t>
      </w:r>
      <w:r w:rsidRPr="00707E03">
        <w:fldChar w:fldCharType="end"/>
      </w:r>
    </w:p>
    <w:p w:rsidR="00707E03" w:rsidRPr="00707E03" w:rsidRDefault="00707E03">
      <w:pPr>
        <w:pStyle w:val="TOC3"/>
        <w:rPr>
          <w:rFonts w:asciiTheme="minorHAnsi" w:eastAsiaTheme="minorEastAsia" w:hAnsiTheme="minorHAnsi" w:cstheme="minorBidi"/>
          <w:bCs w:val="0"/>
          <w:color w:val="auto"/>
          <w:sz w:val="22"/>
          <w:szCs w:val="22"/>
        </w:rPr>
      </w:pPr>
      <w:r w:rsidRPr="00707E03">
        <w:rPr>
          <w:caps/>
          <w:color w:val="auto"/>
          <w:vertAlign w:val="superscript"/>
        </w:rPr>
        <w:t>6</w:t>
      </w:r>
      <w:r w:rsidRPr="00707E03">
        <w:rPr>
          <w:caps/>
          <w:color w:val="auto"/>
        </w:rPr>
        <w:t xml:space="preserve"> </w:t>
      </w:r>
      <w:r w:rsidRPr="00707E03">
        <w:rPr>
          <w:color w:val="auto"/>
        </w:rPr>
        <w:t>Office per Mac Standard 2011</w:t>
      </w:r>
      <w:r w:rsidRPr="00707E03">
        <w:rPr>
          <w:color w:val="auto"/>
        </w:rPr>
        <w:tab/>
      </w:r>
      <w:r w:rsidRPr="00707E03">
        <w:rPr>
          <w:color w:val="auto"/>
        </w:rPr>
        <w:fldChar w:fldCharType="begin"/>
      </w:r>
      <w:r w:rsidRPr="00707E03">
        <w:rPr>
          <w:color w:val="auto"/>
        </w:rPr>
        <w:instrText xml:space="preserve"> PAGEREF _Toc352234857 \h </w:instrText>
      </w:r>
      <w:r w:rsidRPr="00707E03">
        <w:rPr>
          <w:color w:val="auto"/>
        </w:rPr>
      </w:r>
      <w:r w:rsidRPr="00707E03">
        <w:rPr>
          <w:color w:val="auto"/>
        </w:rPr>
        <w:fldChar w:fldCharType="separate"/>
      </w:r>
      <w:r w:rsidRPr="00707E03">
        <w:rPr>
          <w:color w:val="auto"/>
        </w:rPr>
        <w:t>102</w:t>
      </w:r>
      <w:r w:rsidRPr="00707E03">
        <w:rPr>
          <w:color w:val="auto"/>
        </w:rPr>
        <w:fldChar w:fldCharType="end"/>
      </w:r>
    </w:p>
    <w:p w:rsidR="00707E03" w:rsidRPr="00707E03" w:rsidRDefault="00707E03">
      <w:pPr>
        <w:pStyle w:val="TOC3"/>
        <w:rPr>
          <w:rFonts w:asciiTheme="minorHAnsi" w:eastAsiaTheme="minorEastAsia" w:hAnsiTheme="minorHAnsi" w:cstheme="minorBidi"/>
          <w:bCs w:val="0"/>
          <w:color w:val="auto"/>
          <w:sz w:val="22"/>
          <w:szCs w:val="22"/>
        </w:rPr>
      </w:pPr>
      <w:r w:rsidRPr="00707E03">
        <w:rPr>
          <w:caps/>
          <w:color w:val="auto"/>
          <w:vertAlign w:val="superscript"/>
          <w:lang w:val="it-IT"/>
        </w:rPr>
        <w:t>7</w:t>
      </w:r>
      <w:r w:rsidRPr="00707E03">
        <w:rPr>
          <w:color w:val="auto"/>
          <w:lang w:val="it-IT"/>
        </w:rPr>
        <w:t xml:space="preserve"> Office Multi-Language Pack 2013</w:t>
      </w:r>
      <w:r w:rsidRPr="00707E03">
        <w:rPr>
          <w:color w:val="auto"/>
        </w:rPr>
        <w:tab/>
      </w:r>
      <w:r w:rsidRPr="00707E03">
        <w:rPr>
          <w:color w:val="auto"/>
        </w:rPr>
        <w:fldChar w:fldCharType="begin"/>
      </w:r>
      <w:r w:rsidRPr="00707E03">
        <w:rPr>
          <w:color w:val="auto"/>
        </w:rPr>
        <w:instrText xml:space="preserve"> PAGEREF _Toc352234858 \h </w:instrText>
      </w:r>
      <w:r w:rsidRPr="00707E03">
        <w:rPr>
          <w:color w:val="auto"/>
        </w:rPr>
      </w:r>
      <w:r w:rsidRPr="00707E03">
        <w:rPr>
          <w:color w:val="auto"/>
        </w:rPr>
        <w:fldChar w:fldCharType="separate"/>
      </w:r>
      <w:r w:rsidRPr="00707E03">
        <w:rPr>
          <w:color w:val="auto"/>
        </w:rPr>
        <w:t>102</w:t>
      </w:r>
      <w:r w:rsidRPr="00707E03">
        <w:rPr>
          <w:color w:val="auto"/>
        </w:rPr>
        <w:fldChar w:fldCharType="end"/>
      </w:r>
    </w:p>
    <w:p w:rsidR="00707E03" w:rsidRPr="00707E03" w:rsidRDefault="00707E03">
      <w:pPr>
        <w:pStyle w:val="TOC3"/>
        <w:rPr>
          <w:rFonts w:asciiTheme="minorHAnsi" w:eastAsiaTheme="minorEastAsia" w:hAnsiTheme="minorHAnsi" w:cstheme="minorBidi"/>
          <w:bCs w:val="0"/>
          <w:color w:val="auto"/>
          <w:sz w:val="22"/>
          <w:szCs w:val="22"/>
        </w:rPr>
      </w:pPr>
      <w:r w:rsidRPr="00707E03">
        <w:rPr>
          <w:caps/>
          <w:color w:val="auto"/>
          <w:vertAlign w:val="superscript"/>
        </w:rPr>
        <w:t>8</w:t>
      </w:r>
      <w:r w:rsidRPr="00707E03">
        <w:rPr>
          <w:color w:val="auto"/>
        </w:rPr>
        <w:t xml:space="preserve"> Office Professional Plus 2013</w:t>
      </w:r>
      <w:r w:rsidRPr="00707E03">
        <w:rPr>
          <w:color w:val="auto"/>
        </w:rPr>
        <w:tab/>
      </w:r>
      <w:r w:rsidRPr="00707E03">
        <w:rPr>
          <w:color w:val="auto"/>
        </w:rPr>
        <w:fldChar w:fldCharType="begin"/>
      </w:r>
      <w:r w:rsidRPr="00707E03">
        <w:rPr>
          <w:color w:val="auto"/>
        </w:rPr>
        <w:instrText xml:space="preserve"> PAGEREF _Toc352234859 \h </w:instrText>
      </w:r>
      <w:r w:rsidRPr="00707E03">
        <w:rPr>
          <w:color w:val="auto"/>
        </w:rPr>
      </w:r>
      <w:r w:rsidRPr="00707E03">
        <w:rPr>
          <w:color w:val="auto"/>
        </w:rPr>
        <w:fldChar w:fldCharType="separate"/>
      </w:r>
      <w:r w:rsidRPr="00707E03">
        <w:rPr>
          <w:color w:val="auto"/>
        </w:rPr>
        <w:t>103</w:t>
      </w:r>
      <w:r w:rsidRPr="00707E03">
        <w:rPr>
          <w:color w:val="auto"/>
        </w:rPr>
        <w:fldChar w:fldCharType="end"/>
      </w:r>
    </w:p>
    <w:p w:rsidR="00707E03" w:rsidRPr="00707E03" w:rsidRDefault="00707E03">
      <w:pPr>
        <w:pStyle w:val="TOC3"/>
        <w:rPr>
          <w:rFonts w:asciiTheme="minorHAnsi" w:eastAsiaTheme="minorEastAsia" w:hAnsiTheme="minorHAnsi" w:cstheme="minorBidi"/>
          <w:bCs w:val="0"/>
          <w:color w:val="auto"/>
          <w:sz w:val="22"/>
          <w:szCs w:val="22"/>
        </w:rPr>
      </w:pPr>
      <w:r w:rsidRPr="00707E03">
        <w:rPr>
          <w:caps/>
          <w:color w:val="auto"/>
          <w:vertAlign w:val="superscript"/>
        </w:rPr>
        <w:t>9</w:t>
      </w:r>
      <w:r w:rsidRPr="00707E03">
        <w:rPr>
          <w:color w:val="auto"/>
        </w:rPr>
        <w:t xml:space="preserve"> Office Standard 2013</w:t>
      </w:r>
      <w:r w:rsidRPr="00707E03">
        <w:rPr>
          <w:color w:val="auto"/>
        </w:rPr>
        <w:tab/>
      </w:r>
      <w:r w:rsidRPr="00707E03">
        <w:rPr>
          <w:color w:val="auto"/>
        </w:rPr>
        <w:fldChar w:fldCharType="begin"/>
      </w:r>
      <w:r w:rsidRPr="00707E03">
        <w:rPr>
          <w:color w:val="auto"/>
        </w:rPr>
        <w:instrText xml:space="preserve"> PAGEREF _Toc352234860 \h </w:instrText>
      </w:r>
      <w:r w:rsidRPr="00707E03">
        <w:rPr>
          <w:color w:val="auto"/>
        </w:rPr>
      </w:r>
      <w:r w:rsidRPr="00707E03">
        <w:rPr>
          <w:color w:val="auto"/>
        </w:rPr>
        <w:fldChar w:fldCharType="separate"/>
      </w:r>
      <w:r w:rsidRPr="00707E03">
        <w:rPr>
          <w:color w:val="auto"/>
        </w:rPr>
        <w:t>103</w:t>
      </w:r>
      <w:r w:rsidRPr="00707E03">
        <w:rPr>
          <w:color w:val="auto"/>
        </w:rPr>
        <w:fldChar w:fldCharType="end"/>
      </w:r>
    </w:p>
    <w:p w:rsidR="00707E03" w:rsidRPr="00707E03" w:rsidRDefault="00707E03">
      <w:pPr>
        <w:pStyle w:val="TOC3"/>
        <w:rPr>
          <w:rFonts w:asciiTheme="minorHAnsi" w:eastAsiaTheme="minorEastAsia" w:hAnsiTheme="minorHAnsi" w:cstheme="minorBidi"/>
          <w:bCs w:val="0"/>
          <w:color w:val="auto"/>
          <w:sz w:val="22"/>
          <w:szCs w:val="22"/>
        </w:rPr>
      </w:pPr>
      <w:r w:rsidRPr="00707E03">
        <w:rPr>
          <w:caps/>
          <w:color w:val="auto"/>
          <w:vertAlign w:val="superscript"/>
          <w:lang w:val="it-IT"/>
        </w:rPr>
        <w:t>10</w:t>
      </w:r>
      <w:r w:rsidRPr="00707E03">
        <w:rPr>
          <w:color w:val="auto"/>
          <w:lang w:val="it-IT"/>
        </w:rPr>
        <w:t xml:space="preserve"> Office 365 ProPlus (SL per Utente)</w:t>
      </w:r>
      <w:r w:rsidRPr="00707E03">
        <w:rPr>
          <w:color w:val="auto"/>
        </w:rPr>
        <w:tab/>
      </w:r>
      <w:r w:rsidRPr="00707E03">
        <w:rPr>
          <w:color w:val="auto"/>
        </w:rPr>
        <w:fldChar w:fldCharType="begin"/>
      </w:r>
      <w:r w:rsidRPr="00707E03">
        <w:rPr>
          <w:color w:val="auto"/>
        </w:rPr>
        <w:instrText xml:space="preserve"> PAGEREF _Toc352234861 \h </w:instrText>
      </w:r>
      <w:r w:rsidRPr="00707E03">
        <w:rPr>
          <w:color w:val="auto"/>
        </w:rPr>
      </w:r>
      <w:r w:rsidRPr="00707E03">
        <w:rPr>
          <w:color w:val="auto"/>
        </w:rPr>
        <w:fldChar w:fldCharType="separate"/>
      </w:r>
      <w:r w:rsidRPr="00707E03">
        <w:rPr>
          <w:color w:val="auto"/>
        </w:rPr>
        <w:t>103</w:t>
      </w:r>
      <w:r w:rsidRPr="00707E03">
        <w:rPr>
          <w:color w:val="auto"/>
        </w:rPr>
        <w:fldChar w:fldCharType="end"/>
      </w:r>
    </w:p>
    <w:p w:rsidR="00707E03" w:rsidRPr="00707E03" w:rsidRDefault="00707E03">
      <w:pPr>
        <w:pStyle w:val="TOC3"/>
        <w:rPr>
          <w:rFonts w:asciiTheme="minorHAnsi" w:eastAsiaTheme="minorEastAsia" w:hAnsiTheme="minorHAnsi" w:cstheme="minorBidi"/>
          <w:bCs w:val="0"/>
          <w:color w:val="auto"/>
          <w:sz w:val="22"/>
          <w:szCs w:val="22"/>
        </w:rPr>
      </w:pPr>
      <w:r w:rsidRPr="00707E03">
        <w:rPr>
          <w:caps/>
          <w:color w:val="auto"/>
          <w:vertAlign w:val="superscript"/>
          <w:lang w:val="it-IT"/>
        </w:rPr>
        <w:t>11</w:t>
      </w:r>
      <w:r w:rsidRPr="00707E03">
        <w:rPr>
          <w:color w:val="auto"/>
          <w:lang w:val="it-IT"/>
        </w:rPr>
        <w:t xml:space="preserve"> Outlook per Mac 2011</w:t>
      </w:r>
      <w:r w:rsidRPr="00707E03">
        <w:rPr>
          <w:color w:val="auto"/>
        </w:rPr>
        <w:tab/>
      </w:r>
      <w:r w:rsidRPr="00707E03">
        <w:rPr>
          <w:color w:val="auto"/>
        </w:rPr>
        <w:fldChar w:fldCharType="begin"/>
      </w:r>
      <w:r w:rsidRPr="00707E03">
        <w:rPr>
          <w:color w:val="auto"/>
        </w:rPr>
        <w:instrText xml:space="preserve"> PAGEREF _Toc352234862 \h </w:instrText>
      </w:r>
      <w:r w:rsidRPr="00707E03">
        <w:rPr>
          <w:color w:val="auto"/>
        </w:rPr>
      </w:r>
      <w:r w:rsidRPr="00707E03">
        <w:rPr>
          <w:color w:val="auto"/>
        </w:rPr>
        <w:fldChar w:fldCharType="separate"/>
      </w:r>
      <w:r w:rsidRPr="00707E03">
        <w:rPr>
          <w:color w:val="auto"/>
        </w:rPr>
        <w:t>104</w:t>
      </w:r>
      <w:r w:rsidRPr="00707E03">
        <w:rPr>
          <w:color w:val="auto"/>
        </w:rPr>
        <w:fldChar w:fldCharType="end"/>
      </w:r>
    </w:p>
    <w:p w:rsidR="00707E03" w:rsidRPr="00707E03" w:rsidRDefault="00707E03">
      <w:pPr>
        <w:pStyle w:val="TOC3"/>
        <w:rPr>
          <w:rFonts w:asciiTheme="minorHAnsi" w:eastAsiaTheme="minorEastAsia" w:hAnsiTheme="minorHAnsi" w:cstheme="minorBidi"/>
          <w:bCs w:val="0"/>
          <w:color w:val="auto"/>
          <w:sz w:val="22"/>
          <w:szCs w:val="22"/>
        </w:rPr>
      </w:pPr>
      <w:r w:rsidRPr="00707E03">
        <w:rPr>
          <w:caps/>
          <w:color w:val="auto"/>
          <w:vertAlign w:val="superscript"/>
          <w:lang w:val="it-IT"/>
        </w:rPr>
        <w:t>12</w:t>
      </w:r>
      <w:r w:rsidRPr="00707E03">
        <w:rPr>
          <w:color w:val="auto"/>
          <w:lang w:val="it-IT"/>
        </w:rPr>
        <w:t xml:space="preserve"> Project 2013 Professional</w:t>
      </w:r>
      <w:r w:rsidRPr="00707E03">
        <w:rPr>
          <w:color w:val="auto"/>
        </w:rPr>
        <w:tab/>
      </w:r>
      <w:r w:rsidRPr="00707E03">
        <w:rPr>
          <w:color w:val="auto"/>
        </w:rPr>
        <w:fldChar w:fldCharType="begin"/>
      </w:r>
      <w:r w:rsidRPr="00707E03">
        <w:rPr>
          <w:color w:val="auto"/>
        </w:rPr>
        <w:instrText xml:space="preserve"> PAGEREF _Toc352234863 \h </w:instrText>
      </w:r>
      <w:r w:rsidRPr="00707E03">
        <w:rPr>
          <w:color w:val="auto"/>
        </w:rPr>
      </w:r>
      <w:r w:rsidRPr="00707E03">
        <w:rPr>
          <w:color w:val="auto"/>
        </w:rPr>
        <w:fldChar w:fldCharType="separate"/>
      </w:r>
      <w:r w:rsidRPr="00707E03">
        <w:rPr>
          <w:color w:val="auto"/>
        </w:rPr>
        <w:t>104</w:t>
      </w:r>
      <w:r w:rsidRPr="00707E03">
        <w:rPr>
          <w:color w:val="auto"/>
        </w:rPr>
        <w:fldChar w:fldCharType="end"/>
      </w:r>
    </w:p>
    <w:p w:rsidR="00707E03" w:rsidRPr="00707E03" w:rsidRDefault="00707E03">
      <w:pPr>
        <w:pStyle w:val="TOC3"/>
        <w:rPr>
          <w:rFonts w:asciiTheme="minorHAnsi" w:eastAsiaTheme="minorEastAsia" w:hAnsiTheme="minorHAnsi" w:cstheme="minorBidi"/>
          <w:bCs w:val="0"/>
          <w:color w:val="auto"/>
          <w:sz w:val="22"/>
          <w:szCs w:val="22"/>
        </w:rPr>
      </w:pPr>
      <w:r w:rsidRPr="00707E03">
        <w:rPr>
          <w:caps/>
          <w:color w:val="auto"/>
          <w:vertAlign w:val="superscript"/>
          <w:lang w:val="it-IT"/>
        </w:rPr>
        <w:t>13</w:t>
      </w:r>
      <w:r w:rsidRPr="00707E03">
        <w:rPr>
          <w:caps/>
          <w:color w:val="auto"/>
          <w:lang w:val="it-IT"/>
        </w:rPr>
        <w:t xml:space="preserve"> </w:t>
      </w:r>
      <w:r w:rsidRPr="00707E03">
        <w:rPr>
          <w:color w:val="auto"/>
          <w:lang w:val="it-IT"/>
        </w:rPr>
        <w:t>Project Pro per Office 365</w:t>
      </w:r>
      <w:r w:rsidRPr="00707E03">
        <w:rPr>
          <w:color w:val="auto"/>
        </w:rPr>
        <w:tab/>
      </w:r>
      <w:r w:rsidRPr="00707E03">
        <w:rPr>
          <w:color w:val="auto"/>
        </w:rPr>
        <w:fldChar w:fldCharType="begin"/>
      </w:r>
      <w:r w:rsidRPr="00707E03">
        <w:rPr>
          <w:color w:val="auto"/>
        </w:rPr>
        <w:instrText xml:space="preserve"> PAGEREF _Toc352234864 \h </w:instrText>
      </w:r>
      <w:r w:rsidRPr="00707E03">
        <w:rPr>
          <w:color w:val="auto"/>
        </w:rPr>
      </w:r>
      <w:r w:rsidRPr="00707E03">
        <w:rPr>
          <w:color w:val="auto"/>
        </w:rPr>
        <w:fldChar w:fldCharType="separate"/>
      </w:r>
      <w:r w:rsidRPr="00707E03">
        <w:rPr>
          <w:color w:val="auto"/>
        </w:rPr>
        <w:t>105</w:t>
      </w:r>
      <w:r w:rsidRPr="00707E03">
        <w:rPr>
          <w:color w:val="auto"/>
        </w:rPr>
        <w:fldChar w:fldCharType="end"/>
      </w:r>
    </w:p>
    <w:p w:rsidR="00707E03" w:rsidRPr="00707E03" w:rsidRDefault="00707E03">
      <w:pPr>
        <w:pStyle w:val="TOC3"/>
        <w:rPr>
          <w:rFonts w:asciiTheme="minorHAnsi" w:eastAsiaTheme="minorEastAsia" w:hAnsiTheme="minorHAnsi" w:cstheme="minorBidi"/>
          <w:bCs w:val="0"/>
          <w:color w:val="auto"/>
          <w:sz w:val="22"/>
          <w:szCs w:val="22"/>
        </w:rPr>
      </w:pPr>
      <w:r w:rsidRPr="00707E03">
        <w:rPr>
          <w:caps/>
          <w:color w:val="auto"/>
          <w:vertAlign w:val="superscript"/>
          <w:lang w:val="it-IT"/>
        </w:rPr>
        <w:t>14</w:t>
      </w:r>
      <w:r w:rsidRPr="00707E03">
        <w:rPr>
          <w:color w:val="auto"/>
          <w:lang w:val="it-IT"/>
        </w:rPr>
        <w:t xml:space="preserve"> Diritti di Noleggio per Office</w:t>
      </w:r>
      <w:r w:rsidRPr="00707E03">
        <w:rPr>
          <w:color w:val="auto"/>
        </w:rPr>
        <w:tab/>
      </w:r>
      <w:r w:rsidRPr="00707E03">
        <w:rPr>
          <w:color w:val="auto"/>
        </w:rPr>
        <w:fldChar w:fldCharType="begin"/>
      </w:r>
      <w:r w:rsidRPr="00707E03">
        <w:rPr>
          <w:color w:val="auto"/>
        </w:rPr>
        <w:instrText xml:space="preserve"> PAGEREF _Toc352234865 \h </w:instrText>
      </w:r>
      <w:r w:rsidRPr="00707E03">
        <w:rPr>
          <w:color w:val="auto"/>
        </w:rPr>
      </w:r>
      <w:r w:rsidRPr="00707E03">
        <w:rPr>
          <w:color w:val="auto"/>
        </w:rPr>
        <w:fldChar w:fldCharType="separate"/>
      </w:r>
      <w:r w:rsidRPr="00707E03">
        <w:rPr>
          <w:color w:val="auto"/>
        </w:rPr>
        <w:t>105</w:t>
      </w:r>
      <w:r w:rsidRPr="00707E03">
        <w:rPr>
          <w:color w:val="auto"/>
        </w:rPr>
        <w:fldChar w:fldCharType="end"/>
      </w:r>
    </w:p>
    <w:p w:rsidR="00707E03" w:rsidRPr="00707E03" w:rsidRDefault="00707E03">
      <w:pPr>
        <w:pStyle w:val="TOC3"/>
        <w:rPr>
          <w:rFonts w:asciiTheme="minorHAnsi" w:eastAsiaTheme="minorEastAsia" w:hAnsiTheme="minorHAnsi" w:cstheme="minorBidi"/>
          <w:bCs w:val="0"/>
          <w:color w:val="auto"/>
          <w:sz w:val="22"/>
          <w:szCs w:val="22"/>
        </w:rPr>
      </w:pPr>
      <w:r w:rsidRPr="00707E03">
        <w:rPr>
          <w:caps/>
          <w:color w:val="auto"/>
          <w:vertAlign w:val="superscript"/>
          <w:lang w:val="it-IT"/>
        </w:rPr>
        <w:t>15</w:t>
      </w:r>
      <w:r w:rsidRPr="00707E03">
        <w:rPr>
          <w:caps/>
          <w:color w:val="auto"/>
          <w:lang w:val="it-IT"/>
        </w:rPr>
        <w:t xml:space="preserve"> </w:t>
      </w:r>
      <w:r w:rsidRPr="00707E03">
        <w:rPr>
          <w:color w:val="auto"/>
          <w:lang w:val="it-IT"/>
        </w:rPr>
        <w:t>Vexcel Desktop con Enhanced Content Pack</w:t>
      </w:r>
      <w:r w:rsidRPr="00707E03">
        <w:rPr>
          <w:color w:val="auto"/>
        </w:rPr>
        <w:tab/>
      </w:r>
      <w:r w:rsidRPr="00707E03">
        <w:rPr>
          <w:color w:val="auto"/>
        </w:rPr>
        <w:fldChar w:fldCharType="begin"/>
      </w:r>
      <w:r w:rsidRPr="00707E03">
        <w:rPr>
          <w:color w:val="auto"/>
        </w:rPr>
        <w:instrText xml:space="preserve"> PAGEREF _Toc352234866 \h </w:instrText>
      </w:r>
      <w:r w:rsidRPr="00707E03">
        <w:rPr>
          <w:color w:val="auto"/>
        </w:rPr>
      </w:r>
      <w:r w:rsidRPr="00707E03">
        <w:rPr>
          <w:color w:val="auto"/>
        </w:rPr>
        <w:fldChar w:fldCharType="separate"/>
      </w:r>
      <w:r w:rsidRPr="00707E03">
        <w:rPr>
          <w:color w:val="auto"/>
        </w:rPr>
        <w:t>106</w:t>
      </w:r>
      <w:r w:rsidRPr="00707E03">
        <w:rPr>
          <w:color w:val="auto"/>
        </w:rPr>
        <w:fldChar w:fldCharType="end"/>
      </w:r>
    </w:p>
    <w:p w:rsidR="00707E03" w:rsidRPr="00707E03" w:rsidRDefault="00707E03">
      <w:pPr>
        <w:pStyle w:val="TOC3"/>
        <w:rPr>
          <w:rFonts w:asciiTheme="minorHAnsi" w:eastAsiaTheme="minorEastAsia" w:hAnsiTheme="minorHAnsi" w:cstheme="minorBidi"/>
          <w:bCs w:val="0"/>
          <w:color w:val="auto"/>
          <w:sz w:val="22"/>
          <w:szCs w:val="22"/>
        </w:rPr>
      </w:pPr>
      <w:r w:rsidRPr="00707E03">
        <w:rPr>
          <w:caps/>
          <w:color w:val="auto"/>
          <w:vertAlign w:val="superscript"/>
          <w:lang w:val="it-IT"/>
        </w:rPr>
        <w:t>16</w:t>
      </w:r>
      <w:r w:rsidRPr="00707E03">
        <w:rPr>
          <w:color w:val="auto"/>
          <w:lang w:val="it-IT"/>
        </w:rPr>
        <w:t xml:space="preserve"> Visio Professional 2013</w:t>
      </w:r>
      <w:r w:rsidRPr="00707E03">
        <w:rPr>
          <w:color w:val="auto"/>
        </w:rPr>
        <w:tab/>
      </w:r>
      <w:r w:rsidRPr="00707E03">
        <w:rPr>
          <w:color w:val="auto"/>
        </w:rPr>
        <w:fldChar w:fldCharType="begin"/>
      </w:r>
      <w:r w:rsidRPr="00707E03">
        <w:rPr>
          <w:color w:val="auto"/>
        </w:rPr>
        <w:instrText xml:space="preserve"> PAGEREF _Toc352234867 \h </w:instrText>
      </w:r>
      <w:r w:rsidRPr="00707E03">
        <w:rPr>
          <w:color w:val="auto"/>
        </w:rPr>
      </w:r>
      <w:r w:rsidRPr="00707E03">
        <w:rPr>
          <w:color w:val="auto"/>
        </w:rPr>
        <w:fldChar w:fldCharType="separate"/>
      </w:r>
      <w:r w:rsidRPr="00707E03">
        <w:rPr>
          <w:color w:val="auto"/>
        </w:rPr>
        <w:t>106</w:t>
      </w:r>
      <w:r w:rsidRPr="00707E03">
        <w:rPr>
          <w:color w:val="auto"/>
        </w:rPr>
        <w:fldChar w:fldCharType="end"/>
      </w:r>
    </w:p>
    <w:p w:rsidR="00707E03" w:rsidRPr="00707E03" w:rsidRDefault="00707E03">
      <w:pPr>
        <w:pStyle w:val="TOC3"/>
        <w:rPr>
          <w:rFonts w:asciiTheme="minorHAnsi" w:eastAsiaTheme="minorEastAsia" w:hAnsiTheme="minorHAnsi" w:cstheme="minorBidi"/>
          <w:bCs w:val="0"/>
          <w:color w:val="auto"/>
          <w:sz w:val="22"/>
          <w:szCs w:val="22"/>
        </w:rPr>
      </w:pPr>
      <w:r w:rsidRPr="00707E03">
        <w:rPr>
          <w:caps/>
          <w:color w:val="auto"/>
          <w:vertAlign w:val="superscript"/>
          <w:lang w:val="it-IT"/>
        </w:rPr>
        <w:t>17</w:t>
      </w:r>
      <w:r w:rsidRPr="00707E03">
        <w:rPr>
          <w:color w:val="auto"/>
          <w:lang w:val="it-IT"/>
        </w:rPr>
        <w:t xml:space="preserve"> Visio Pro per Office 365</w:t>
      </w:r>
      <w:r w:rsidRPr="00707E03">
        <w:rPr>
          <w:color w:val="auto"/>
        </w:rPr>
        <w:tab/>
      </w:r>
      <w:r w:rsidRPr="00707E03">
        <w:rPr>
          <w:color w:val="auto"/>
        </w:rPr>
        <w:fldChar w:fldCharType="begin"/>
      </w:r>
      <w:r w:rsidRPr="00707E03">
        <w:rPr>
          <w:color w:val="auto"/>
        </w:rPr>
        <w:instrText xml:space="preserve"> PAGEREF _Toc352234868 \h </w:instrText>
      </w:r>
      <w:r w:rsidRPr="00707E03">
        <w:rPr>
          <w:color w:val="auto"/>
        </w:rPr>
      </w:r>
      <w:r w:rsidRPr="00707E03">
        <w:rPr>
          <w:color w:val="auto"/>
        </w:rPr>
        <w:fldChar w:fldCharType="separate"/>
      </w:r>
      <w:r w:rsidRPr="00707E03">
        <w:rPr>
          <w:color w:val="auto"/>
        </w:rPr>
        <w:t>106</w:t>
      </w:r>
      <w:r w:rsidRPr="00707E03">
        <w:rPr>
          <w:color w:val="auto"/>
        </w:rPr>
        <w:fldChar w:fldCharType="end"/>
      </w:r>
    </w:p>
    <w:p w:rsidR="00707E03" w:rsidRPr="00707E03" w:rsidRDefault="00707E03">
      <w:pPr>
        <w:pStyle w:val="TOC3"/>
        <w:rPr>
          <w:rFonts w:asciiTheme="minorHAnsi" w:eastAsiaTheme="minorEastAsia" w:hAnsiTheme="minorHAnsi" w:cstheme="minorBidi"/>
          <w:bCs w:val="0"/>
          <w:color w:val="auto"/>
          <w:sz w:val="22"/>
          <w:szCs w:val="22"/>
        </w:rPr>
      </w:pPr>
      <w:r w:rsidRPr="00707E03">
        <w:rPr>
          <w:caps/>
          <w:color w:val="auto"/>
          <w:vertAlign w:val="superscript"/>
          <w:lang w:val="it-IT"/>
        </w:rPr>
        <w:t>18</w:t>
      </w:r>
      <w:r w:rsidRPr="00707E03">
        <w:rPr>
          <w:color w:val="auto"/>
          <w:lang w:val="it-IT"/>
        </w:rPr>
        <w:t xml:space="preserve"> Visual Studio Professional 2012</w:t>
      </w:r>
      <w:r w:rsidRPr="00707E03">
        <w:rPr>
          <w:color w:val="auto"/>
        </w:rPr>
        <w:tab/>
      </w:r>
      <w:r w:rsidRPr="00707E03">
        <w:rPr>
          <w:color w:val="auto"/>
        </w:rPr>
        <w:fldChar w:fldCharType="begin"/>
      </w:r>
      <w:r w:rsidRPr="00707E03">
        <w:rPr>
          <w:color w:val="auto"/>
        </w:rPr>
        <w:instrText xml:space="preserve"> PAGEREF _Toc352234869 \h </w:instrText>
      </w:r>
      <w:r w:rsidRPr="00707E03">
        <w:rPr>
          <w:color w:val="auto"/>
        </w:rPr>
      </w:r>
      <w:r w:rsidRPr="00707E03">
        <w:rPr>
          <w:color w:val="auto"/>
        </w:rPr>
        <w:fldChar w:fldCharType="separate"/>
      </w:r>
      <w:r w:rsidRPr="00707E03">
        <w:rPr>
          <w:color w:val="auto"/>
        </w:rPr>
        <w:t>107</w:t>
      </w:r>
      <w:r w:rsidRPr="00707E03">
        <w:rPr>
          <w:color w:val="auto"/>
        </w:rPr>
        <w:fldChar w:fldCharType="end"/>
      </w:r>
    </w:p>
    <w:p w:rsidR="00707E03" w:rsidRPr="00707E03" w:rsidRDefault="00707E03">
      <w:pPr>
        <w:pStyle w:val="TOC3"/>
        <w:rPr>
          <w:rFonts w:asciiTheme="minorHAnsi" w:eastAsiaTheme="minorEastAsia" w:hAnsiTheme="minorHAnsi" w:cstheme="minorBidi"/>
          <w:bCs w:val="0"/>
          <w:color w:val="auto"/>
          <w:sz w:val="22"/>
          <w:szCs w:val="22"/>
        </w:rPr>
      </w:pPr>
      <w:r w:rsidRPr="00707E03">
        <w:rPr>
          <w:caps/>
          <w:color w:val="auto"/>
          <w:vertAlign w:val="superscript"/>
          <w:lang w:val="it-IT"/>
        </w:rPr>
        <w:t>19</w:t>
      </w:r>
      <w:r w:rsidRPr="00707E03">
        <w:rPr>
          <w:color w:val="auto"/>
          <w:lang w:val="it-IT"/>
        </w:rPr>
        <w:t xml:space="preserve"> Visual Studio Professional 2012 con MSDN</w:t>
      </w:r>
      <w:r w:rsidRPr="00707E03">
        <w:rPr>
          <w:color w:val="auto"/>
        </w:rPr>
        <w:tab/>
      </w:r>
      <w:r w:rsidRPr="00707E03">
        <w:rPr>
          <w:color w:val="auto"/>
        </w:rPr>
        <w:fldChar w:fldCharType="begin"/>
      </w:r>
      <w:r w:rsidRPr="00707E03">
        <w:rPr>
          <w:color w:val="auto"/>
        </w:rPr>
        <w:instrText xml:space="preserve"> PAGEREF _Toc352234870 \h </w:instrText>
      </w:r>
      <w:r w:rsidRPr="00707E03">
        <w:rPr>
          <w:color w:val="auto"/>
        </w:rPr>
      </w:r>
      <w:r w:rsidRPr="00707E03">
        <w:rPr>
          <w:color w:val="auto"/>
        </w:rPr>
        <w:fldChar w:fldCharType="separate"/>
      </w:r>
      <w:r w:rsidRPr="00707E03">
        <w:rPr>
          <w:color w:val="auto"/>
        </w:rPr>
        <w:t>107</w:t>
      </w:r>
      <w:r w:rsidRPr="00707E03">
        <w:rPr>
          <w:color w:val="auto"/>
        </w:rPr>
        <w:fldChar w:fldCharType="end"/>
      </w:r>
    </w:p>
    <w:p w:rsidR="00707E03" w:rsidRPr="00707E03" w:rsidRDefault="00707E03">
      <w:pPr>
        <w:pStyle w:val="TOC3"/>
        <w:rPr>
          <w:rFonts w:asciiTheme="minorHAnsi" w:eastAsiaTheme="minorEastAsia" w:hAnsiTheme="minorHAnsi" w:cstheme="minorBidi"/>
          <w:bCs w:val="0"/>
          <w:color w:val="auto"/>
          <w:sz w:val="22"/>
          <w:szCs w:val="22"/>
        </w:rPr>
      </w:pPr>
      <w:r w:rsidRPr="00707E03">
        <w:rPr>
          <w:caps/>
          <w:color w:val="auto"/>
          <w:vertAlign w:val="superscript"/>
        </w:rPr>
        <w:t>20</w:t>
      </w:r>
      <w:r w:rsidRPr="00707E03">
        <w:rPr>
          <w:color w:val="auto"/>
        </w:rPr>
        <w:t xml:space="preserve"> Visual Studio Premium 2012 con MSDN</w:t>
      </w:r>
      <w:r w:rsidRPr="00707E03">
        <w:rPr>
          <w:color w:val="auto"/>
        </w:rPr>
        <w:tab/>
      </w:r>
      <w:r w:rsidRPr="00707E03">
        <w:rPr>
          <w:color w:val="auto"/>
        </w:rPr>
        <w:fldChar w:fldCharType="begin"/>
      </w:r>
      <w:r w:rsidRPr="00707E03">
        <w:rPr>
          <w:color w:val="auto"/>
        </w:rPr>
        <w:instrText xml:space="preserve"> PAGEREF _Toc352234871 \h </w:instrText>
      </w:r>
      <w:r w:rsidRPr="00707E03">
        <w:rPr>
          <w:color w:val="auto"/>
        </w:rPr>
      </w:r>
      <w:r w:rsidRPr="00707E03">
        <w:rPr>
          <w:color w:val="auto"/>
        </w:rPr>
        <w:fldChar w:fldCharType="separate"/>
      </w:r>
      <w:r w:rsidRPr="00707E03">
        <w:rPr>
          <w:color w:val="auto"/>
        </w:rPr>
        <w:t>108</w:t>
      </w:r>
      <w:r w:rsidRPr="00707E03">
        <w:rPr>
          <w:color w:val="auto"/>
        </w:rPr>
        <w:fldChar w:fldCharType="end"/>
      </w:r>
    </w:p>
    <w:p w:rsidR="00707E03" w:rsidRPr="00707E03" w:rsidRDefault="00707E03">
      <w:pPr>
        <w:pStyle w:val="TOC3"/>
        <w:rPr>
          <w:rFonts w:asciiTheme="minorHAnsi" w:eastAsiaTheme="minorEastAsia" w:hAnsiTheme="minorHAnsi" w:cstheme="minorBidi"/>
          <w:bCs w:val="0"/>
          <w:color w:val="auto"/>
          <w:sz w:val="22"/>
          <w:szCs w:val="22"/>
        </w:rPr>
      </w:pPr>
      <w:r w:rsidRPr="00707E03">
        <w:rPr>
          <w:caps/>
          <w:color w:val="auto"/>
          <w:vertAlign w:val="superscript"/>
          <w:lang w:val="it-IT"/>
        </w:rPr>
        <w:t>21</w:t>
      </w:r>
      <w:r w:rsidRPr="00707E03">
        <w:rPr>
          <w:color w:val="auto"/>
          <w:lang w:val="it-IT"/>
        </w:rPr>
        <w:t xml:space="preserve"> Visual Studio Ultimate 2012 con MSDN</w:t>
      </w:r>
      <w:r w:rsidRPr="00707E03">
        <w:rPr>
          <w:color w:val="auto"/>
        </w:rPr>
        <w:tab/>
      </w:r>
      <w:r w:rsidRPr="00707E03">
        <w:rPr>
          <w:color w:val="auto"/>
        </w:rPr>
        <w:fldChar w:fldCharType="begin"/>
      </w:r>
      <w:r w:rsidRPr="00707E03">
        <w:rPr>
          <w:color w:val="auto"/>
        </w:rPr>
        <w:instrText xml:space="preserve"> PAGEREF _Toc352234872 \h </w:instrText>
      </w:r>
      <w:r w:rsidRPr="00707E03">
        <w:rPr>
          <w:color w:val="auto"/>
        </w:rPr>
      </w:r>
      <w:r w:rsidRPr="00707E03">
        <w:rPr>
          <w:color w:val="auto"/>
        </w:rPr>
        <w:fldChar w:fldCharType="separate"/>
      </w:r>
      <w:r w:rsidRPr="00707E03">
        <w:rPr>
          <w:color w:val="auto"/>
        </w:rPr>
        <w:t>109</w:t>
      </w:r>
      <w:r w:rsidRPr="00707E03">
        <w:rPr>
          <w:color w:val="auto"/>
        </w:rPr>
        <w:fldChar w:fldCharType="end"/>
      </w:r>
    </w:p>
    <w:p w:rsidR="00707E03" w:rsidRPr="00707E03" w:rsidRDefault="00707E03">
      <w:pPr>
        <w:pStyle w:val="TOC3"/>
        <w:rPr>
          <w:rFonts w:asciiTheme="minorHAnsi" w:eastAsiaTheme="minorEastAsia" w:hAnsiTheme="minorHAnsi" w:cstheme="minorBidi"/>
          <w:bCs w:val="0"/>
          <w:color w:val="auto"/>
          <w:sz w:val="22"/>
          <w:szCs w:val="22"/>
        </w:rPr>
      </w:pPr>
      <w:r w:rsidRPr="00707E03">
        <w:rPr>
          <w:caps/>
          <w:color w:val="auto"/>
          <w:vertAlign w:val="superscript"/>
        </w:rPr>
        <w:t>22</w:t>
      </w:r>
      <w:r w:rsidRPr="00707E03">
        <w:rPr>
          <w:color w:val="auto"/>
        </w:rPr>
        <w:t xml:space="preserve"> Visual Studio Test Professional 2012 con MSDN</w:t>
      </w:r>
      <w:r w:rsidRPr="00707E03">
        <w:rPr>
          <w:color w:val="auto"/>
        </w:rPr>
        <w:tab/>
      </w:r>
      <w:r w:rsidRPr="00707E03">
        <w:rPr>
          <w:color w:val="auto"/>
        </w:rPr>
        <w:fldChar w:fldCharType="begin"/>
      </w:r>
      <w:r w:rsidRPr="00707E03">
        <w:rPr>
          <w:color w:val="auto"/>
        </w:rPr>
        <w:instrText xml:space="preserve"> PAGEREF _Toc352234873 \h </w:instrText>
      </w:r>
      <w:r w:rsidRPr="00707E03">
        <w:rPr>
          <w:color w:val="auto"/>
        </w:rPr>
      </w:r>
      <w:r w:rsidRPr="00707E03">
        <w:rPr>
          <w:color w:val="auto"/>
        </w:rPr>
        <w:fldChar w:fldCharType="separate"/>
      </w:r>
      <w:r w:rsidRPr="00707E03">
        <w:rPr>
          <w:color w:val="auto"/>
        </w:rPr>
        <w:t>110</w:t>
      </w:r>
      <w:r w:rsidRPr="00707E03">
        <w:rPr>
          <w:color w:val="auto"/>
        </w:rPr>
        <w:fldChar w:fldCharType="end"/>
      </w:r>
    </w:p>
    <w:p w:rsidR="00707E03" w:rsidRPr="00707E03" w:rsidRDefault="00707E03">
      <w:pPr>
        <w:pStyle w:val="TOC2"/>
        <w:rPr>
          <w:rFonts w:asciiTheme="minorHAnsi" w:eastAsiaTheme="minorEastAsia" w:hAnsiTheme="minorHAnsi" w:cstheme="minorBidi"/>
          <w:sz w:val="22"/>
          <w:szCs w:val="22"/>
        </w:rPr>
      </w:pPr>
      <w:r w:rsidRPr="00707E03">
        <w:rPr>
          <w:rFonts w:cs="Tahoma"/>
          <w:lang w:val="it-IT"/>
        </w:rPr>
        <w:t>Pool di Sistemi</w:t>
      </w:r>
      <w:r w:rsidRPr="00707E03">
        <w:tab/>
      </w:r>
      <w:r w:rsidRPr="00707E03">
        <w:fldChar w:fldCharType="begin"/>
      </w:r>
      <w:r w:rsidRPr="00707E03">
        <w:instrText xml:space="preserve"> PAGEREF _Toc352234874 \h </w:instrText>
      </w:r>
      <w:r w:rsidRPr="00707E03">
        <w:fldChar w:fldCharType="separate"/>
      </w:r>
      <w:r w:rsidRPr="00707E03">
        <w:t>111</w:t>
      </w:r>
      <w:r w:rsidRPr="00707E03">
        <w:fldChar w:fldCharType="end"/>
      </w:r>
    </w:p>
    <w:p w:rsidR="00707E03" w:rsidRPr="00707E03" w:rsidRDefault="00707E03">
      <w:pPr>
        <w:pStyle w:val="TOC3"/>
        <w:rPr>
          <w:rFonts w:asciiTheme="minorHAnsi" w:eastAsiaTheme="minorEastAsia" w:hAnsiTheme="minorHAnsi" w:cstheme="minorBidi"/>
          <w:bCs w:val="0"/>
          <w:color w:val="auto"/>
          <w:sz w:val="22"/>
          <w:szCs w:val="22"/>
        </w:rPr>
      </w:pPr>
      <w:r w:rsidRPr="00707E03">
        <w:rPr>
          <w:caps/>
          <w:color w:val="auto"/>
          <w:vertAlign w:val="superscript"/>
          <w:lang w:val="it-IT"/>
        </w:rPr>
        <w:t>23</w:t>
      </w:r>
      <w:r w:rsidRPr="00707E03">
        <w:rPr>
          <w:color w:val="auto"/>
          <w:lang w:val="it-IT"/>
        </w:rPr>
        <w:t xml:space="preserve"> Microsoft Desktop Optimization Pack per Software Assurance</w:t>
      </w:r>
      <w:r w:rsidRPr="00707E03">
        <w:rPr>
          <w:color w:val="auto"/>
        </w:rPr>
        <w:tab/>
      </w:r>
      <w:r w:rsidRPr="00707E03">
        <w:rPr>
          <w:color w:val="auto"/>
        </w:rPr>
        <w:fldChar w:fldCharType="begin"/>
      </w:r>
      <w:r w:rsidRPr="00707E03">
        <w:rPr>
          <w:color w:val="auto"/>
        </w:rPr>
        <w:instrText xml:space="preserve"> PAGEREF _Toc352234875 \h </w:instrText>
      </w:r>
      <w:r w:rsidRPr="00707E03">
        <w:rPr>
          <w:color w:val="auto"/>
        </w:rPr>
      </w:r>
      <w:r w:rsidRPr="00707E03">
        <w:rPr>
          <w:color w:val="auto"/>
        </w:rPr>
        <w:fldChar w:fldCharType="separate"/>
      </w:r>
      <w:r w:rsidRPr="00707E03">
        <w:rPr>
          <w:color w:val="auto"/>
        </w:rPr>
        <w:t>111</w:t>
      </w:r>
      <w:r w:rsidRPr="00707E03">
        <w:rPr>
          <w:color w:val="auto"/>
        </w:rPr>
        <w:fldChar w:fldCharType="end"/>
      </w:r>
    </w:p>
    <w:p w:rsidR="00707E03" w:rsidRPr="00707E03" w:rsidRDefault="00707E03">
      <w:pPr>
        <w:pStyle w:val="TOC3"/>
        <w:rPr>
          <w:rFonts w:asciiTheme="minorHAnsi" w:eastAsiaTheme="minorEastAsia" w:hAnsiTheme="minorHAnsi" w:cstheme="minorBidi"/>
          <w:bCs w:val="0"/>
          <w:color w:val="auto"/>
          <w:sz w:val="22"/>
          <w:szCs w:val="22"/>
        </w:rPr>
      </w:pPr>
      <w:r w:rsidRPr="00707E03">
        <w:rPr>
          <w:caps/>
          <w:color w:val="auto"/>
          <w:vertAlign w:val="superscript"/>
          <w:lang w:val="it-IT"/>
        </w:rPr>
        <w:t>24</w:t>
      </w:r>
      <w:r w:rsidRPr="00707E03">
        <w:rPr>
          <w:caps/>
          <w:color w:val="auto"/>
          <w:lang w:val="it-IT"/>
        </w:rPr>
        <w:t xml:space="preserve"> </w:t>
      </w:r>
      <w:r w:rsidRPr="00707E03">
        <w:rPr>
          <w:color w:val="auto"/>
          <w:lang w:val="it-IT"/>
        </w:rPr>
        <w:t>Licenza “Subscription” per Windows</w:t>
      </w:r>
      <w:r w:rsidRPr="00707E03">
        <w:rPr>
          <w:color w:val="auto"/>
          <w:vertAlign w:val="superscript"/>
          <w:lang w:val="it-IT"/>
        </w:rPr>
        <w:t>®</w:t>
      </w:r>
      <w:r w:rsidRPr="00707E03">
        <w:rPr>
          <w:color w:val="auto"/>
          <w:lang w:val="it-IT"/>
        </w:rPr>
        <w:t xml:space="preserve"> Companion</w:t>
      </w:r>
      <w:r w:rsidRPr="00707E03">
        <w:rPr>
          <w:color w:val="auto"/>
        </w:rPr>
        <w:tab/>
      </w:r>
      <w:r w:rsidRPr="00707E03">
        <w:rPr>
          <w:color w:val="auto"/>
        </w:rPr>
        <w:fldChar w:fldCharType="begin"/>
      </w:r>
      <w:r w:rsidRPr="00707E03">
        <w:rPr>
          <w:color w:val="auto"/>
        </w:rPr>
        <w:instrText xml:space="preserve"> PAGEREF _Toc352234876 \h </w:instrText>
      </w:r>
      <w:r w:rsidRPr="00707E03">
        <w:rPr>
          <w:color w:val="auto"/>
        </w:rPr>
      </w:r>
      <w:r w:rsidRPr="00707E03">
        <w:rPr>
          <w:color w:val="auto"/>
        </w:rPr>
        <w:fldChar w:fldCharType="separate"/>
      </w:r>
      <w:r w:rsidRPr="00707E03">
        <w:rPr>
          <w:color w:val="auto"/>
        </w:rPr>
        <w:t>112</w:t>
      </w:r>
      <w:r w:rsidRPr="00707E03">
        <w:rPr>
          <w:color w:val="auto"/>
        </w:rPr>
        <w:fldChar w:fldCharType="end"/>
      </w:r>
    </w:p>
    <w:p w:rsidR="00707E03" w:rsidRPr="00707E03" w:rsidRDefault="00707E03">
      <w:pPr>
        <w:pStyle w:val="TOC3"/>
        <w:rPr>
          <w:rFonts w:asciiTheme="minorHAnsi" w:eastAsiaTheme="minorEastAsia" w:hAnsiTheme="minorHAnsi" w:cstheme="minorBidi"/>
          <w:bCs w:val="0"/>
          <w:color w:val="auto"/>
          <w:sz w:val="22"/>
          <w:szCs w:val="22"/>
        </w:rPr>
      </w:pPr>
      <w:r w:rsidRPr="00707E03">
        <w:rPr>
          <w:caps/>
          <w:color w:val="auto"/>
          <w:vertAlign w:val="superscript"/>
          <w:lang w:val="it-IT"/>
        </w:rPr>
        <w:t>25</w:t>
      </w:r>
      <w:r w:rsidRPr="00707E03">
        <w:rPr>
          <w:rFonts w:eastAsia="Times New Roman"/>
          <w:color w:val="auto"/>
          <w:lang w:val="it-IT"/>
        </w:rPr>
        <w:t xml:space="preserve"> Windows Vista DVD Playback Pack</w:t>
      </w:r>
      <w:r w:rsidRPr="00707E03">
        <w:rPr>
          <w:color w:val="auto"/>
        </w:rPr>
        <w:tab/>
      </w:r>
      <w:r w:rsidRPr="00707E03">
        <w:rPr>
          <w:color w:val="auto"/>
        </w:rPr>
        <w:fldChar w:fldCharType="begin"/>
      </w:r>
      <w:r w:rsidRPr="00707E03">
        <w:rPr>
          <w:color w:val="auto"/>
        </w:rPr>
        <w:instrText xml:space="preserve"> PAGEREF _Toc352234877 \h </w:instrText>
      </w:r>
      <w:r w:rsidRPr="00707E03">
        <w:rPr>
          <w:color w:val="auto"/>
        </w:rPr>
      </w:r>
      <w:r w:rsidRPr="00707E03">
        <w:rPr>
          <w:color w:val="auto"/>
        </w:rPr>
        <w:fldChar w:fldCharType="separate"/>
      </w:r>
      <w:r w:rsidRPr="00707E03">
        <w:rPr>
          <w:color w:val="auto"/>
        </w:rPr>
        <w:t>112</w:t>
      </w:r>
      <w:r w:rsidRPr="00707E03">
        <w:rPr>
          <w:color w:val="auto"/>
        </w:rPr>
        <w:fldChar w:fldCharType="end"/>
      </w:r>
    </w:p>
    <w:p w:rsidR="00707E03" w:rsidRPr="00707E03" w:rsidRDefault="00707E03">
      <w:pPr>
        <w:pStyle w:val="TOC3"/>
        <w:rPr>
          <w:rFonts w:asciiTheme="minorHAnsi" w:eastAsiaTheme="minorEastAsia" w:hAnsiTheme="minorHAnsi" w:cstheme="minorBidi"/>
          <w:bCs w:val="0"/>
          <w:color w:val="auto"/>
          <w:sz w:val="22"/>
          <w:szCs w:val="22"/>
        </w:rPr>
      </w:pPr>
      <w:r w:rsidRPr="00707E03">
        <w:rPr>
          <w:caps/>
          <w:color w:val="auto"/>
          <w:vertAlign w:val="superscript"/>
        </w:rPr>
        <w:t>26</w:t>
      </w:r>
      <w:r w:rsidRPr="00707E03">
        <w:rPr>
          <w:color w:val="auto"/>
        </w:rPr>
        <w:t xml:space="preserve"> Windows</w:t>
      </w:r>
      <w:r w:rsidRPr="00707E03">
        <w:rPr>
          <w:color w:val="auto"/>
          <w:vertAlign w:val="superscript"/>
        </w:rPr>
        <w:t>®</w:t>
      </w:r>
      <w:r w:rsidRPr="00707E03">
        <w:rPr>
          <w:color w:val="auto"/>
        </w:rPr>
        <w:t xml:space="preserve"> 8 Enterprise Sideloading</w:t>
      </w:r>
      <w:r w:rsidRPr="00707E03">
        <w:rPr>
          <w:color w:val="auto"/>
        </w:rPr>
        <w:tab/>
      </w:r>
      <w:r w:rsidRPr="00707E03">
        <w:rPr>
          <w:color w:val="auto"/>
        </w:rPr>
        <w:fldChar w:fldCharType="begin"/>
      </w:r>
      <w:r w:rsidRPr="00707E03">
        <w:rPr>
          <w:color w:val="auto"/>
        </w:rPr>
        <w:instrText xml:space="preserve"> PAGEREF _Toc352234878 \h </w:instrText>
      </w:r>
      <w:r w:rsidRPr="00707E03">
        <w:rPr>
          <w:color w:val="auto"/>
        </w:rPr>
      </w:r>
      <w:r w:rsidRPr="00707E03">
        <w:rPr>
          <w:color w:val="auto"/>
        </w:rPr>
        <w:fldChar w:fldCharType="separate"/>
      </w:r>
      <w:r w:rsidRPr="00707E03">
        <w:rPr>
          <w:color w:val="auto"/>
        </w:rPr>
        <w:t>112</w:t>
      </w:r>
      <w:r w:rsidRPr="00707E03">
        <w:rPr>
          <w:color w:val="auto"/>
        </w:rPr>
        <w:fldChar w:fldCharType="end"/>
      </w:r>
    </w:p>
    <w:p w:rsidR="00707E03" w:rsidRPr="00707E03" w:rsidRDefault="00707E03">
      <w:pPr>
        <w:pStyle w:val="TOC3"/>
        <w:rPr>
          <w:rFonts w:asciiTheme="minorHAnsi" w:eastAsiaTheme="minorEastAsia" w:hAnsiTheme="minorHAnsi" w:cstheme="minorBidi"/>
          <w:bCs w:val="0"/>
          <w:color w:val="auto"/>
          <w:sz w:val="22"/>
          <w:szCs w:val="22"/>
        </w:rPr>
      </w:pPr>
      <w:r w:rsidRPr="00707E03">
        <w:rPr>
          <w:caps/>
          <w:color w:val="auto"/>
          <w:vertAlign w:val="superscript"/>
          <w:lang w:val="it-IT"/>
        </w:rPr>
        <w:t>27</w:t>
      </w:r>
      <w:r w:rsidRPr="00707E03">
        <w:rPr>
          <w:color w:val="auto"/>
          <w:lang w:val="it-IT"/>
        </w:rPr>
        <w:t xml:space="preserve"> Windows</w:t>
      </w:r>
      <w:r w:rsidRPr="00707E03">
        <w:rPr>
          <w:color w:val="auto"/>
          <w:vertAlign w:val="superscript"/>
          <w:lang w:val="it-IT"/>
        </w:rPr>
        <w:t>®</w:t>
      </w:r>
      <w:r w:rsidRPr="00707E03">
        <w:rPr>
          <w:color w:val="auto"/>
          <w:lang w:val="it-IT"/>
        </w:rPr>
        <w:t xml:space="preserve"> 7 Partners in Learning</w:t>
      </w:r>
      <w:r w:rsidRPr="00707E03">
        <w:rPr>
          <w:color w:val="auto"/>
        </w:rPr>
        <w:tab/>
      </w:r>
      <w:r w:rsidRPr="00707E03">
        <w:rPr>
          <w:color w:val="auto"/>
        </w:rPr>
        <w:fldChar w:fldCharType="begin"/>
      </w:r>
      <w:r w:rsidRPr="00707E03">
        <w:rPr>
          <w:color w:val="auto"/>
        </w:rPr>
        <w:instrText xml:space="preserve"> PAGEREF _Toc352234879 \h </w:instrText>
      </w:r>
      <w:r w:rsidRPr="00707E03">
        <w:rPr>
          <w:color w:val="auto"/>
        </w:rPr>
      </w:r>
      <w:r w:rsidRPr="00707E03">
        <w:rPr>
          <w:color w:val="auto"/>
        </w:rPr>
        <w:fldChar w:fldCharType="separate"/>
      </w:r>
      <w:r w:rsidRPr="00707E03">
        <w:rPr>
          <w:color w:val="auto"/>
        </w:rPr>
        <w:t>113</w:t>
      </w:r>
      <w:r w:rsidRPr="00707E03">
        <w:rPr>
          <w:color w:val="auto"/>
        </w:rPr>
        <w:fldChar w:fldCharType="end"/>
      </w:r>
    </w:p>
    <w:p w:rsidR="00707E03" w:rsidRPr="00707E03" w:rsidRDefault="00707E03">
      <w:pPr>
        <w:pStyle w:val="TOC3"/>
        <w:rPr>
          <w:rFonts w:asciiTheme="minorHAnsi" w:eastAsiaTheme="minorEastAsia" w:hAnsiTheme="minorHAnsi" w:cstheme="minorBidi"/>
          <w:bCs w:val="0"/>
          <w:color w:val="auto"/>
          <w:sz w:val="22"/>
          <w:szCs w:val="22"/>
        </w:rPr>
      </w:pPr>
      <w:r w:rsidRPr="00707E03">
        <w:rPr>
          <w:caps/>
          <w:color w:val="auto"/>
          <w:vertAlign w:val="superscript"/>
          <w:lang w:val="it-IT"/>
        </w:rPr>
        <w:t>28</w:t>
      </w:r>
      <w:r w:rsidRPr="00707E03">
        <w:rPr>
          <w:color w:val="auto"/>
          <w:lang w:val="it-IT"/>
        </w:rPr>
        <w:t xml:space="preserve"> Aggiornamento per Windows</w:t>
      </w:r>
      <w:r w:rsidRPr="00707E03">
        <w:rPr>
          <w:color w:val="auto"/>
          <w:vertAlign w:val="superscript"/>
          <w:lang w:val="it-IT"/>
        </w:rPr>
        <w:t>®</w:t>
      </w:r>
      <w:r w:rsidRPr="00707E03">
        <w:rPr>
          <w:color w:val="auto"/>
          <w:lang w:val="it-IT"/>
        </w:rPr>
        <w:t xml:space="preserve"> 8 Pro e Windows Intune (Per Dispositivo)</w:t>
      </w:r>
      <w:r w:rsidRPr="00707E03">
        <w:rPr>
          <w:color w:val="auto"/>
        </w:rPr>
        <w:tab/>
      </w:r>
      <w:r w:rsidRPr="00707E03">
        <w:rPr>
          <w:color w:val="auto"/>
        </w:rPr>
        <w:fldChar w:fldCharType="begin"/>
      </w:r>
      <w:r w:rsidRPr="00707E03">
        <w:rPr>
          <w:color w:val="auto"/>
        </w:rPr>
        <w:instrText xml:space="preserve"> PAGEREF _Toc352234880 \h </w:instrText>
      </w:r>
      <w:r w:rsidRPr="00707E03">
        <w:rPr>
          <w:color w:val="auto"/>
        </w:rPr>
      </w:r>
      <w:r w:rsidRPr="00707E03">
        <w:rPr>
          <w:color w:val="auto"/>
        </w:rPr>
        <w:fldChar w:fldCharType="separate"/>
      </w:r>
      <w:r w:rsidRPr="00707E03">
        <w:rPr>
          <w:color w:val="auto"/>
        </w:rPr>
        <w:t>113</w:t>
      </w:r>
      <w:r w:rsidRPr="00707E03">
        <w:rPr>
          <w:color w:val="auto"/>
        </w:rPr>
        <w:fldChar w:fldCharType="end"/>
      </w:r>
    </w:p>
    <w:p w:rsidR="00707E03" w:rsidRPr="00707E03" w:rsidRDefault="00707E03">
      <w:pPr>
        <w:pStyle w:val="TOC2"/>
        <w:rPr>
          <w:rFonts w:asciiTheme="minorHAnsi" w:eastAsiaTheme="minorEastAsia" w:hAnsiTheme="minorHAnsi" w:cstheme="minorBidi"/>
          <w:sz w:val="22"/>
          <w:szCs w:val="22"/>
        </w:rPr>
      </w:pPr>
      <w:r w:rsidRPr="00707E03">
        <w:rPr>
          <w:rFonts w:cs="Tahoma"/>
          <w:caps/>
          <w:vertAlign w:val="superscript"/>
          <w:lang w:val="it-IT"/>
        </w:rPr>
        <w:t>29</w:t>
      </w:r>
      <w:r w:rsidRPr="00707E03">
        <w:rPr>
          <w:rFonts w:cs="Tahoma"/>
          <w:caps/>
          <w:lang w:val="it-IT"/>
        </w:rPr>
        <w:t xml:space="preserve"> </w:t>
      </w:r>
      <w:r w:rsidRPr="00707E03">
        <w:rPr>
          <w:rFonts w:cs="Tahoma"/>
          <w:lang w:val="it-IT"/>
        </w:rPr>
        <w:t>Componente Aggiuntivo per Windows Intune (Per Dispositivo)</w:t>
      </w:r>
      <w:r w:rsidRPr="00707E03">
        <w:tab/>
      </w:r>
      <w:r w:rsidRPr="00707E03">
        <w:fldChar w:fldCharType="begin"/>
      </w:r>
      <w:r w:rsidRPr="00707E03">
        <w:instrText xml:space="preserve"> PAGEREF _Toc352234881 \h </w:instrText>
      </w:r>
      <w:r w:rsidRPr="00707E03">
        <w:fldChar w:fldCharType="separate"/>
      </w:r>
      <w:r w:rsidRPr="00707E03">
        <w:t>120</w:t>
      </w:r>
      <w:r w:rsidRPr="00707E03">
        <w:fldChar w:fldCharType="end"/>
      </w:r>
    </w:p>
    <w:p w:rsidR="00707E03" w:rsidRPr="00707E03" w:rsidRDefault="00707E03">
      <w:pPr>
        <w:pStyle w:val="TOC2"/>
        <w:rPr>
          <w:rFonts w:asciiTheme="minorHAnsi" w:eastAsiaTheme="minorEastAsia" w:hAnsiTheme="minorHAnsi" w:cstheme="minorBidi"/>
          <w:sz w:val="22"/>
          <w:szCs w:val="22"/>
        </w:rPr>
      </w:pPr>
      <w:r w:rsidRPr="00707E03">
        <w:rPr>
          <w:rFonts w:cs="Tahoma"/>
        </w:rPr>
        <w:t>Pool di Server</w:t>
      </w:r>
      <w:r w:rsidRPr="00707E03">
        <w:tab/>
      </w:r>
      <w:r w:rsidRPr="00707E03">
        <w:fldChar w:fldCharType="begin"/>
      </w:r>
      <w:r w:rsidRPr="00707E03">
        <w:instrText xml:space="preserve"> PAGEREF _Toc352234882 \h </w:instrText>
      </w:r>
      <w:r w:rsidRPr="00707E03">
        <w:fldChar w:fldCharType="separate"/>
      </w:r>
      <w:r w:rsidRPr="00707E03">
        <w:t>121</w:t>
      </w:r>
      <w:r w:rsidRPr="00707E03">
        <w:fldChar w:fldCharType="end"/>
      </w:r>
    </w:p>
    <w:p w:rsidR="00707E03" w:rsidRPr="00707E03" w:rsidRDefault="00707E03">
      <w:pPr>
        <w:pStyle w:val="TOC2"/>
        <w:rPr>
          <w:rFonts w:asciiTheme="minorHAnsi" w:eastAsiaTheme="minorEastAsia" w:hAnsiTheme="minorHAnsi" w:cstheme="minorBidi"/>
          <w:sz w:val="22"/>
          <w:szCs w:val="22"/>
        </w:rPr>
      </w:pPr>
      <w:r w:rsidRPr="00707E03">
        <w:rPr>
          <w:rFonts w:cs="Tahoma"/>
          <w:caps/>
          <w:vertAlign w:val="superscript"/>
        </w:rPr>
        <w:t>30</w:t>
      </w:r>
      <w:r w:rsidRPr="00707E03">
        <w:rPr>
          <w:rFonts w:cs="Tahoma"/>
        </w:rPr>
        <w:t xml:space="preserve"> SL Add-On per Bing Maps Public Website Usage e Bing Maps Internal Website Usage</w:t>
      </w:r>
      <w:r w:rsidRPr="00707E03">
        <w:tab/>
      </w:r>
      <w:r w:rsidRPr="00707E03">
        <w:fldChar w:fldCharType="begin"/>
      </w:r>
      <w:r w:rsidRPr="00707E03">
        <w:instrText xml:space="preserve"> PAGEREF _Toc352234883 \h </w:instrText>
      </w:r>
      <w:r w:rsidRPr="00707E03">
        <w:fldChar w:fldCharType="separate"/>
      </w:r>
      <w:r w:rsidRPr="00707E03">
        <w:t>121</w:t>
      </w:r>
      <w:r w:rsidRPr="00707E03">
        <w:fldChar w:fldCharType="end"/>
      </w:r>
    </w:p>
    <w:p w:rsidR="00707E03" w:rsidRPr="00707E03" w:rsidRDefault="00707E03">
      <w:pPr>
        <w:pStyle w:val="TOC3"/>
        <w:rPr>
          <w:rFonts w:asciiTheme="minorHAnsi" w:eastAsiaTheme="minorEastAsia" w:hAnsiTheme="minorHAnsi" w:cstheme="minorBidi"/>
          <w:bCs w:val="0"/>
          <w:color w:val="auto"/>
          <w:sz w:val="22"/>
          <w:szCs w:val="22"/>
        </w:rPr>
      </w:pPr>
      <w:r w:rsidRPr="00707E03">
        <w:rPr>
          <w:caps/>
          <w:color w:val="auto"/>
          <w:vertAlign w:val="superscript"/>
          <w:lang w:val="it-IT"/>
        </w:rPr>
        <w:t>31</w:t>
      </w:r>
      <w:r w:rsidRPr="00707E03">
        <w:rPr>
          <w:caps/>
          <w:color w:val="auto"/>
          <w:lang w:val="it-IT"/>
        </w:rPr>
        <w:t xml:space="preserve"> </w:t>
      </w:r>
      <w:r w:rsidRPr="00707E03">
        <w:rPr>
          <w:color w:val="auto"/>
          <w:lang w:val="it-IT"/>
        </w:rPr>
        <w:t>BizTalk Server</w:t>
      </w:r>
      <w:r w:rsidRPr="00707E03">
        <w:rPr>
          <w:color w:val="auto"/>
          <w:vertAlign w:val="superscript"/>
          <w:lang w:val="it-IT"/>
        </w:rPr>
        <w:t>®</w:t>
      </w:r>
      <w:r w:rsidRPr="00707E03">
        <w:rPr>
          <w:color w:val="auto"/>
          <w:lang w:val="it-IT"/>
        </w:rPr>
        <w:t xml:space="preserve"> 2013 Branch</w:t>
      </w:r>
      <w:r w:rsidRPr="00707E03">
        <w:rPr>
          <w:color w:val="auto"/>
        </w:rPr>
        <w:tab/>
      </w:r>
      <w:r w:rsidRPr="00707E03">
        <w:rPr>
          <w:color w:val="auto"/>
        </w:rPr>
        <w:fldChar w:fldCharType="begin"/>
      </w:r>
      <w:r w:rsidRPr="00707E03">
        <w:rPr>
          <w:color w:val="auto"/>
        </w:rPr>
        <w:instrText xml:space="preserve"> PAGEREF _Toc352234884 \h </w:instrText>
      </w:r>
      <w:r w:rsidRPr="00707E03">
        <w:rPr>
          <w:color w:val="auto"/>
        </w:rPr>
      </w:r>
      <w:r w:rsidRPr="00707E03">
        <w:rPr>
          <w:color w:val="auto"/>
        </w:rPr>
        <w:fldChar w:fldCharType="separate"/>
      </w:r>
      <w:r w:rsidRPr="00707E03">
        <w:rPr>
          <w:color w:val="auto"/>
        </w:rPr>
        <w:t>123</w:t>
      </w:r>
      <w:r w:rsidRPr="00707E03">
        <w:rPr>
          <w:color w:val="auto"/>
        </w:rPr>
        <w:fldChar w:fldCharType="end"/>
      </w:r>
    </w:p>
    <w:p w:rsidR="00707E03" w:rsidRPr="00707E03" w:rsidRDefault="00707E03">
      <w:pPr>
        <w:pStyle w:val="TOC3"/>
        <w:rPr>
          <w:rFonts w:asciiTheme="minorHAnsi" w:eastAsiaTheme="minorEastAsia" w:hAnsiTheme="minorHAnsi" w:cstheme="minorBidi"/>
          <w:bCs w:val="0"/>
          <w:color w:val="auto"/>
          <w:sz w:val="22"/>
          <w:szCs w:val="22"/>
        </w:rPr>
      </w:pPr>
      <w:r w:rsidRPr="00707E03">
        <w:rPr>
          <w:caps/>
          <w:color w:val="auto"/>
          <w:vertAlign w:val="superscript"/>
          <w:lang w:val="it-IT"/>
        </w:rPr>
        <w:t>32</w:t>
      </w:r>
      <w:r w:rsidRPr="00707E03">
        <w:rPr>
          <w:caps/>
          <w:color w:val="auto"/>
          <w:lang w:val="it-IT"/>
        </w:rPr>
        <w:t xml:space="preserve"> </w:t>
      </w:r>
      <w:r w:rsidRPr="00707E03">
        <w:rPr>
          <w:color w:val="auto"/>
          <w:lang w:val="it-IT"/>
        </w:rPr>
        <w:t>BizTalk Server</w:t>
      </w:r>
      <w:r w:rsidRPr="00707E03">
        <w:rPr>
          <w:color w:val="auto"/>
          <w:vertAlign w:val="superscript"/>
          <w:lang w:val="it-IT"/>
        </w:rPr>
        <w:t>®</w:t>
      </w:r>
      <w:r w:rsidRPr="00707E03">
        <w:rPr>
          <w:color w:val="auto"/>
          <w:lang w:val="it-IT"/>
        </w:rPr>
        <w:t xml:space="preserve"> 2013 Enterprise</w:t>
      </w:r>
      <w:r w:rsidRPr="00707E03">
        <w:rPr>
          <w:color w:val="auto"/>
        </w:rPr>
        <w:tab/>
      </w:r>
      <w:r w:rsidRPr="00707E03">
        <w:rPr>
          <w:color w:val="auto"/>
        </w:rPr>
        <w:fldChar w:fldCharType="begin"/>
      </w:r>
      <w:r w:rsidRPr="00707E03">
        <w:rPr>
          <w:color w:val="auto"/>
        </w:rPr>
        <w:instrText xml:space="preserve"> PAGEREF _Toc352234885 \h </w:instrText>
      </w:r>
      <w:r w:rsidRPr="00707E03">
        <w:rPr>
          <w:color w:val="auto"/>
        </w:rPr>
      </w:r>
      <w:r w:rsidRPr="00707E03">
        <w:rPr>
          <w:color w:val="auto"/>
        </w:rPr>
        <w:fldChar w:fldCharType="separate"/>
      </w:r>
      <w:r w:rsidRPr="00707E03">
        <w:rPr>
          <w:color w:val="auto"/>
        </w:rPr>
        <w:t>124</w:t>
      </w:r>
      <w:r w:rsidRPr="00707E03">
        <w:rPr>
          <w:color w:val="auto"/>
        </w:rPr>
        <w:fldChar w:fldCharType="end"/>
      </w:r>
    </w:p>
    <w:p w:rsidR="00707E03" w:rsidRPr="00707E03" w:rsidRDefault="00707E03">
      <w:pPr>
        <w:pStyle w:val="TOC3"/>
        <w:rPr>
          <w:rFonts w:asciiTheme="minorHAnsi" w:eastAsiaTheme="minorEastAsia" w:hAnsiTheme="minorHAnsi" w:cstheme="minorBidi"/>
          <w:bCs w:val="0"/>
          <w:color w:val="auto"/>
          <w:sz w:val="22"/>
          <w:szCs w:val="22"/>
        </w:rPr>
      </w:pPr>
      <w:r w:rsidRPr="00707E03">
        <w:rPr>
          <w:caps/>
          <w:color w:val="auto"/>
          <w:vertAlign w:val="superscript"/>
          <w:lang w:val="it-IT"/>
        </w:rPr>
        <w:t>33</w:t>
      </w:r>
      <w:r w:rsidRPr="00707E03">
        <w:rPr>
          <w:color w:val="auto"/>
          <w:lang w:val="it-IT"/>
        </w:rPr>
        <w:t xml:space="preserve"> BizTalk Server</w:t>
      </w:r>
      <w:r w:rsidRPr="00707E03">
        <w:rPr>
          <w:color w:val="auto"/>
          <w:vertAlign w:val="superscript"/>
          <w:lang w:val="it-IT"/>
        </w:rPr>
        <w:t>®</w:t>
      </w:r>
      <w:r w:rsidRPr="00707E03">
        <w:rPr>
          <w:color w:val="auto"/>
          <w:lang w:val="it-IT"/>
        </w:rPr>
        <w:t xml:space="preserve"> 2013 Standard</w:t>
      </w:r>
      <w:r w:rsidRPr="00707E03">
        <w:rPr>
          <w:color w:val="auto"/>
        </w:rPr>
        <w:tab/>
      </w:r>
      <w:r w:rsidRPr="00707E03">
        <w:rPr>
          <w:color w:val="auto"/>
        </w:rPr>
        <w:fldChar w:fldCharType="begin"/>
      </w:r>
      <w:r w:rsidRPr="00707E03">
        <w:rPr>
          <w:color w:val="auto"/>
        </w:rPr>
        <w:instrText xml:space="preserve"> PAGEREF _Toc352234886 \h </w:instrText>
      </w:r>
      <w:r w:rsidRPr="00707E03">
        <w:rPr>
          <w:color w:val="auto"/>
        </w:rPr>
      </w:r>
      <w:r w:rsidRPr="00707E03">
        <w:rPr>
          <w:color w:val="auto"/>
        </w:rPr>
        <w:fldChar w:fldCharType="separate"/>
      </w:r>
      <w:r w:rsidRPr="00707E03">
        <w:rPr>
          <w:color w:val="auto"/>
        </w:rPr>
        <w:t>125</w:t>
      </w:r>
      <w:r w:rsidRPr="00707E03">
        <w:rPr>
          <w:color w:val="auto"/>
        </w:rPr>
        <w:fldChar w:fldCharType="end"/>
      </w:r>
    </w:p>
    <w:p w:rsidR="00707E03" w:rsidRPr="00707E03" w:rsidRDefault="00707E03">
      <w:pPr>
        <w:pStyle w:val="TOC3"/>
        <w:rPr>
          <w:rFonts w:asciiTheme="minorHAnsi" w:eastAsiaTheme="minorEastAsia" w:hAnsiTheme="minorHAnsi" w:cstheme="minorBidi"/>
          <w:bCs w:val="0"/>
          <w:color w:val="auto"/>
          <w:sz w:val="22"/>
          <w:szCs w:val="22"/>
        </w:rPr>
      </w:pPr>
      <w:r w:rsidRPr="00707E03">
        <w:rPr>
          <w:caps/>
          <w:color w:val="auto"/>
          <w:vertAlign w:val="superscript"/>
          <w:lang w:val="it-IT"/>
        </w:rPr>
        <w:t>34</w:t>
      </w:r>
      <w:r w:rsidRPr="00707E03">
        <w:rPr>
          <w:caps/>
          <w:color w:val="auto"/>
          <w:lang w:val="it-IT"/>
        </w:rPr>
        <w:t xml:space="preserve"> </w:t>
      </w:r>
      <w:r w:rsidRPr="00707E03">
        <w:rPr>
          <w:color w:val="auto"/>
          <w:lang w:val="it-IT"/>
        </w:rPr>
        <w:t>Business Intelligence Appliance 2012</w:t>
      </w:r>
      <w:r w:rsidRPr="00707E03">
        <w:rPr>
          <w:color w:val="auto"/>
        </w:rPr>
        <w:tab/>
      </w:r>
      <w:r w:rsidRPr="00707E03">
        <w:rPr>
          <w:color w:val="auto"/>
        </w:rPr>
        <w:fldChar w:fldCharType="begin"/>
      </w:r>
      <w:r w:rsidRPr="00707E03">
        <w:rPr>
          <w:color w:val="auto"/>
        </w:rPr>
        <w:instrText xml:space="preserve"> PAGEREF _Toc352234887 \h </w:instrText>
      </w:r>
      <w:r w:rsidRPr="00707E03">
        <w:rPr>
          <w:color w:val="auto"/>
        </w:rPr>
      </w:r>
      <w:r w:rsidRPr="00707E03">
        <w:rPr>
          <w:color w:val="auto"/>
        </w:rPr>
        <w:fldChar w:fldCharType="separate"/>
      </w:r>
      <w:r w:rsidRPr="00707E03">
        <w:rPr>
          <w:color w:val="auto"/>
        </w:rPr>
        <w:t>127</w:t>
      </w:r>
      <w:r w:rsidRPr="00707E03">
        <w:rPr>
          <w:color w:val="auto"/>
        </w:rPr>
        <w:fldChar w:fldCharType="end"/>
      </w:r>
    </w:p>
    <w:p w:rsidR="00707E03" w:rsidRPr="00707E03" w:rsidRDefault="00707E03">
      <w:pPr>
        <w:pStyle w:val="TOC3"/>
        <w:rPr>
          <w:rFonts w:asciiTheme="minorHAnsi" w:eastAsiaTheme="minorEastAsia" w:hAnsiTheme="minorHAnsi" w:cstheme="minorBidi"/>
          <w:bCs w:val="0"/>
          <w:color w:val="auto"/>
          <w:sz w:val="22"/>
          <w:szCs w:val="22"/>
        </w:rPr>
      </w:pPr>
      <w:r w:rsidRPr="00707E03">
        <w:rPr>
          <w:caps/>
          <w:color w:val="auto"/>
          <w:vertAlign w:val="superscript"/>
          <w:lang w:val="it-IT"/>
        </w:rPr>
        <w:t>35</w:t>
      </w:r>
      <w:r w:rsidRPr="00707E03">
        <w:rPr>
          <w:color w:val="auto"/>
          <w:lang w:val="it-IT"/>
        </w:rPr>
        <w:t xml:space="preserve"> Core CAL Suite Bridge per Office 365, Core CAL Suite Bridge per Office 365 e Windows Intune e Core CAL Suite Bridge per Windows Intune</w:t>
      </w:r>
      <w:r w:rsidRPr="00707E03">
        <w:rPr>
          <w:color w:val="auto"/>
        </w:rPr>
        <w:tab/>
      </w:r>
      <w:r w:rsidRPr="00707E03">
        <w:rPr>
          <w:color w:val="auto"/>
        </w:rPr>
        <w:fldChar w:fldCharType="begin"/>
      </w:r>
      <w:r w:rsidRPr="00707E03">
        <w:rPr>
          <w:color w:val="auto"/>
        </w:rPr>
        <w:instrText xml:space="preserve"> PAGEREF _Toc352234888 \h </w:instrText>
      </w:r>
      <w:r w:rsidRPr="00707E03">
        <w:rPr>
          <w:color w:val="auto"/>
        </w:rPr>
      </w:r>
      <w:r w:rsidRPr="00707E03">
        <w:rPr>
          <w:color w:val="auto"/>
        </w:rPr>
        <w:fldChar w:fldCharType="separate"/>
      </w:r>
      <w:r w:rsidRPr="00707E03">
        <w:rPr>
          <w:color w:val="auto"/>
        </w:rPr>
        <w:t>127</w:t>
      </w:r>
      <w:r w:rsidRPr="00707E03">
        <w:rPr>
          <w:color w:val="auto"/>
        </w:rPr>
        <w:fldChar w:fldCharType="end"/>
      </w:r>
    </w:p>
    <w:p w:rsidR="00707E03" w:rsidRPr="00707E03" w:rsidRDefault="00707E03">
      <w:pPr>
        <w:pStyle w:val="TOC3"/>
        <w:rPr>
          <w:rFonts w:asciiTheme="minorHAnsi" w:eastAsiaTheme="minorEastAsia" w:hAnsiTheme="minorHAnsi" w:cstheme="minorBidi"/>
          <w:bCs w:val="0"/>
          <w:color w:val="auto"/>
          <w:sz w:val="22"/>
          <w:szCs w:val="22"/>
        </w:rPr>
      </w:pPr>
      <w:r w:rsidRPr="00707E03">
        <w:rPr>
          <w:caps/>
          <w:color w:val="auto"/>
          <w:vertAlign w:val="superscript"/>
        </w:rPr>
        <w:t>36</w:t>
      </w:r>
      <w:r w:rsidRPr="00707E03">
        <w:rPr>
          <w:color w:val="auto"/>
        </w:rPr>
        <w:t xml:space="preserve"> Core CAL Suite</w:t>
      </w:r>
      <w:r w:rsidRPr="00707E03">
        <w:rPr>
          <w:color w:val="auto"/>
        </w:rPr>
        <w:tab/>
      </w:r>
      <w:r w:rsidRPr="00707E03">
        <w:rPr>
          <w:color w:val="auto"/>
        </w:rPr>
        <w:fldChar w:fldCharType="begin"/>
      </w:r>
      <w:r w:rsidRPr="00707E03">
        <w:rPr>
          <w:color w:val="auto"/>
        </w:rPr>
        <w:instrText xml:space="preserve"> PAGEREF _Toc352234889 \h </w:instrText>
      </w:r>
      <w:r w:rsidRPr="00707E03">
        <w:rPr>
          <w:color w:val="auto"/>
        </w:rPr>
      </w:r>
      <w:r w:rsidRPr="00707E03">
        <w:rPr>
          <w:color w:val="auto"/>
        </w:rPr>
        <w:fldChar w:fldCharType="separate"/>
      </w:r>
      <w:r w:rsidRPr="00707E03">
        <w:rPr>
          <w:color w:val="auto"/>
        </w:rPr>
        <w:t>128</w:t>
      </w:r>
      <w:r w:rsidRPr="00707E03">
        <w:rPr>
          <w:color w:val="auto"/>
        </w:rPr>
        <w:fldChar w:fldCharType="end"/>
      </w:r>
    </w:p>
    <w:p w:rsidR="00707E03" w:rsidRPr="00707E03" w:rsidRDefault="00707E03">
      <w:pPr>
        <w:pStyle w:val="TOC3"/>
        <w:rPr>
          <w:rFonts w:asciiTheme="minorHAnsi" w:eastAsiaTheme="minorEastAsia" w:hAnsiTheme="minorHAnsi" w:cstheme="minorBidi"/>
          <w:bCs w:val="0"/>
          <w:color w:val="auto"/>
          <w:sz w:val="22"/>
          <w:szCs w:val="22"/>
        </w:rPr>
      </w:pPr>
      <w:r w:rsidRPr="00707E03">
        <w:rPr>
          <w:caps/>
          <w:color w:val="auto"/>
          <w:vertAlign w:val="superscript"/>
          <w:lang w:val="it-IT"/>
        </w:rPr>
        <w:t>37</w:t>
      </w:r>
      <w:r w:rsidRPr="00707E03">
        <w:rPr>
          <w:color w:val="auto"/>
          <w:lang w:val="it-IT"/>
        </w:rPr>
        <w:t xml:space="preserve"> Core Infrastructure Server Suite Standard</w:t>
      </w:r>
      <w:r w:rsidRPr="00707E03">
        <w:rPr>
          <w:color w:val="auto"/>
        </w:rPr>
        <w:tab/>
      </w:r>
      <w:r w:rsidRPr="00707E03">
        <w:rPr>
          <w:color w:val="auto"/>
        </w:rPr>
        <w:fldChar w:fldCharType="begin"/>
      </w:r>
      <w:r w:rsidRPr="00707E03">
        <w:rPr>
          <w:color w:val="auto"/>
        </w:rPr>
        <w:instrText xml:space="preserve"> PAGEREF _Toc352234890 \h </w:instrText>
      </w:r>
      <w:r w:rsidRPr="00707E03">
        <w:rPr>
          <w:color w:val="auto"/>
        </w:rPr>
      </w:r>
      <w:r w:rsidRPr="00707E03">
        <w:rPr>
          <w:color w:val="auto"/>
        </w:rPr>
        <w:fldChar w:fldCharType="separate"/>
      </w:r>
      <w:r w:rsidRPr="00707E03">
        <w:rPr>
          <w:color w:val="auto"/>
        </w:rPr>
        <w:t>129</w:t>
      </w:r>
      <w:r w:rsidRPr="00707E03">
        <w:rPr>
          <w:color w:val="auto"/>
        </w:rPr>
        <w:fldChar w:fldCharType="end"/>
      </w:r>
    </w:p>
    <w:p w:rsidR="00707E03" w:rsidRPr="00707E03" w:rsidRDefault="00707E03">
      <w:pPr>
        <w:pStyle w:val="TOC3"/>
        <w:rPr>
          <w:rFonts w:asciiTheme="minorHAnsi" w:eastAsiaTheme="minorEastAsia" w:hAnsiTheme="minorHAnsi" w:cstheme="minorBidi"/>
          <w:bCs w:val="0"/>
          <w:color w:val="auto"/>
          <w:sz w:val="22"/>
          <w:szCs w:val="22"/>
        </w:rPr>
      </w:pPr>
      <w:r w:rsidRPr="00707E03">
        <w:rPr>
          <w:caps/>
          <w:color w:val="auto"/>
          <w:vertAlign w:val="superscript"/>
          <w:lang w:val="it-IT"/>
        </w:rPr>
        <w:t>38</w:t>
      </w:r>
      <w:r w:rsidRPr="00707E03">
        <w:rPr>
          <w:color w:val="auto"/>
          <w:lang w:val="it-IT"/>
        </w:rPr>
        <w:t xml:space="preserve"> Core Infrastructure Server Suite Enterprise</w:t>
      </w:r>
      <w:r w:rsidRPr="00707E03">
        <w:rPr>
          <w:color w:val="auto"/>
        </w:rPr>
        <w:tab/>
      </w:r>
      <w:r w:rsidRPr="00707E03">
        <w:rPr>
          <w:color w:val="auto"/>
        </w:rPr>
        <w:fldChar w:fldCharType="begin"/>
      </w:r>
      <w:r w:rsidRPr="00707E03">
        <w:rPr>
          <w:color w:val="auto"/>
        </w:rPr>
        <w:instrText xml:space="preserve"> PAGEREF _Toc352234891 \h </w:instrText>
      </w:r>
      <w:r w:rsidRPr="00707E03">
        <w:rPr>
          <w:color w:val="auto"/>
        </w:rPr>
      </w:r>
      <w:r w:rsidRPr="00707E03">
        <w:rPr>
          <w:color w:val="auto"/>
        </w:rPr>
        <w:fldChar w:fldCharType="separate"/>
      </w:r>
      <w:r w:rsidRPr="00707E03">
        <w:rPr>
          <w:color w:val="auto"/>
        </w:rPr>
        <w:t>130</w:t>
      </w:r>
      <w:r w:rsidRPr="00707E03">
        <w:rPr>
          <w:color w:val="auto"/>
        </w:rPr>
        <w:fldChar w:fldCharType="end"/>
      </w:r>
    </w:p>
    <w:p w:rsidR="00707E03" w:rsidRPr="00707E03" w:rsidRDefault="00707E03">
      <w:pPr>
        <w:pStyle w:val="TOC3"/>
        <w:rPr>
          <w:rFonts w:asciiTheme="minorHAnsi" w:eastAsiaTheme="minorEastAsia" w:hAnsiTheme="minorHAnsi" w:cstheme="minorBidi"/>
          <w:bCs w:val="0"/>
          <w:color w:val="auto"/>
          <w:sz w:val="22"/>
          <w:szCs w:val="22"/>
        </w:rPr>
      </w:pPr>
      <w:r w:rsidRPr="00707E03">
        <w:rPr>
          <w:caps/>
          <w:color w:val="auto"/>
          <w:vertAlign w:val="superscript"/>
          <w:lang w:val="it-IT"/>
        </w:rPr>
        <w:t>39</w:t>
      </w:r>
      <w:r w:rsidRPr="00707E03">
        <w:rPr>
          <w:color w:val="auto"/>
          <w:lang w:val="it-IT"/>
        </w:rPr>
        <w:t xml:space="preserve"> Core Infrastructure Server Suite Datacenter</w:t>
      </w:r>
      <w:r w:rsidRPr="00707E03">
        <w:rPr>
          <w:color w:val="auto"/>
        </w:rPr>
        <w:tab/>
      </w:r>
      <w:r w:rsidRPr="00707E03">
        <w:rPr>
          <w:color w:val="auto"/>
        </w:rPr>
        <w:fldChar w:fldCharType="begin"/>
      </w:r>
      <w:r w:rsidRPr="00707E03">
        <w:rPr>
          <w:color w:val="auto"/>
        </w:rPr>
        <w:instrText xml:space="preserve"> PAGEREF _Toc352234892 \h </w:instrText>
      </w:r>
      <w:r w:rsidRPr="00707E03">
        <w:rPr>
          <w:color w:val="auto"/>
        </w:rPr>
      </w:r>
      <w:r w:rsidRPr="00707E03">
        <w:rPr>
          <w:color w:val="auto"/>
        </w:rPr>
        <w:fldChar w:fldCharType="separate"/>
      </w:r>
      <w:r w:rsidRPr="00707E03">
        <w:rPr>
          <w:color w:val="auto"/>
        </w:rPr>
        <w:t>130</w:t>
      </w:r>
      <w:r w:rsidRPr="00707E03">
        <w:rPr>
          <w:color w:val="auto"/>
        </w:rPr>
        <w:fldChar w:fldCharType="end"/>
      </w:r>
    </w:p>
    <w:p w:rsidR="00707E03" w:rsidRPr="00707E03" w:rsidRDefault="00707E03">
      <w:pPr>
        <w:pStyle w:val="TOC3"/>
        <w:rPr>
          <w:rFonts w:asciiTheme="minorHAnsi" w:eastAsiaTheme="minorEastAsia" w:hAnsiTheme="minorHAnsi" w:cstheme="minorBidi"/>
          <w:bCs w:val="0"/>
          <w:color w:val="auto"/>
          <w:sz w:val="22"/>
          <w:szCs w:val="22"/>
        </w:rPr>
      </w:pPr>
      <w:r w:rsidRPr="00707E03">
        <w:rPr>
          <w:caps/>
          <w:color w:val="auto"/>
          <w:vertAlign w:val="superscript"/>
          <w:lang w:val="it-IT"/>
        </w:rPr>
        <w:t>40</w:t>
      </w:r>
      <w:r w:rsidRPr="00707E03">
        <w:rPr>
          <w:color w:val="auto"/>
          <w:lang w:val="it-IT"/>
        </w:rPr>
        <w:t xml:space="preserve"> Dynamics CRM Online</w:t>
      </w:r>
      <w:r w:rsidRPr="00707E03">
        <w:rPr>
          <w:color w:val="auto"/>
        </w:rPr>
        <w:tab/>
      </w:r>
      <w:r w:rsidRPr="00707E03">
        <w:rPr>
          <w:color w:val="auto"/>
        </w:rPr>
        <w:fldChar w:fldCharType="begin"/>
      </w:r>
      <w:r w:rsidRPr="00707E03">
        <w:rPr>
          <w:color w:val="auto"/>
        </w:rPr>
        <w:instrText xml:space="preserve"> PAGEREF _Toc352234893 \h </w:instrText>
      </w:r>
      <w:r w:rsidRPr="00707E03">
        <w:rPr>
          <w:color w:val="auto"/>
        </w:rPr>
      </w:r>
      <w:r w:rsidRPr="00707E03">
        <w:rPr>
          <w:color w:val="auto"/>
        </w:rPr>
        <w:fldChar w:fldCharType="separate"/>
      </w:r>
      <w:r w:rsidRPr="00707E03">
        <w:rPr>
          <w:color w:val="auto"/>
        </w:rPr>
        <w:t>131</w:t>
      </w:r>
      <w:r w:rsidRPr="00707E03">
        <w:rPr>
          <w:color w:val="auto"/>
        </w:rPr>
        <w:fldChar w:fldCharType="end"/>
      </w:r>
    </w:p>
    <w:p w:rsidR="00707E03" w:rsidRPr="00707E03" w:rsidRDefault="00707E03">
      <w:pPr>
        <w:pStyle w:val="TOC3"/>
        <w:rPr>
          <w:rFonts w:asciiTheme="minorHAnsi" w:eastAsiaTheme="minorEastAsia" w:hAnsiTheme="minorHAnsi" w:cstheme="minorBidi"/>
          <w:bCs w:val="0"/>
          <w:color w:val="auto"/>
          <w:sz w:val="22"/>
          <w:szCs w:val="22"/>
        </w:rPr>
      </w:pPr>
      <w:r w:rsidRPr="00707E03">
        <w:rPr>
          <w:caps/>
          <w:color w:val="auto"/>
          <w:vertAlign w:val="superscript"/>
          <w:lang w:val="it-IT"/>
        </w:rPr>
        <w:t xml:space="preserve">41 </w:t>
      </w:r>
      <w:r w:rsidRPr="00707E03">
        <w:rPr>
          <w:color w:val="auto"/>
          <w:lang w:val="it-IT"/>
        </w:rPr>
        <w:t>Enterprise CAL Suite Bridge per Office 365, Enterprise CAL Suite Bridge per Office 365 e Windows Intune ed Enterprise CAL Suite Bridge per Windows Intune</w:t>
      </w:r>
      <w:r w:rsidRPr="00707E03">
        <w:rPr>
          <w:color w:val="auto"/>
        </w:rPr>
        <w:tab/>
      </w:r>
      <w:r w:rsidRPr="00707E03">
        <w:rPr>
          <w:color w:val="auto"/>
        </w:rPr>
        <w:fldChar w:fldCharType="begin"/>
      </w:r>
      <w:r w:rsidRPr="00707E03">
        <w:rPr>
          <w:color w:val="auto"/>
        </w:rPr>
        <w:instrText xml:space="preserve"> PAGEREF _Toc352234894 \h </w:instrText>
      </w:r>
      <w:r w:rsidRPr="00707E03">
        <w:rPr>
          <w:color w:val="auto"/>
        </w:rPr>
      </w:r>
      <w:r w:rsidRPr="00707E03">
        <w:rPr>
          <w:color w:val="auto"/>
        </w:rPr>
        <w:fldChar w:fldCharType="separate"/>
      </w:r>
      <w:r w:rsidRPr="00707E03">
        <w:rPr>
          <w:color w:val="auto"/>
        </w:rPr>
        <w:t>132</w:t>
      </w:r>
      <w:r w:rsidRPr="00707E03">
        <w:rPr>
          <w:color w:val="auto"/>
        </w:rPr>
        <w:fldChar w:fldCharType="end"/>
      </w:r>
    </w:p>
    <w:p w:rsidR="00707E03" w:rsidRPr="00707E03" w:rsidRDefault="00707E03">
      <w:pPr>
        <w:pStyle w:val="TOC3"/>
        <w:rPr>
          <w:rFonts w:asciiTheme="minorHAnsi" w:eastAsiaTheme="minorEastAsia" w:hAnsiTheme="minorHAnsi" w:cstheme="minorBidi"/>
          <w:bCs w:val="0"/>
          <w:color w:val="auto"/>
          <w:sz w:val="22"/>
          <w:szCs w:val="22"/>
        </w:rPr>
      </w:pPr>
      <w:r w:rsidRPr="00707E03">
        <w:rPr>
          <w:caps/>
          <w:color w:val="auto"/>
          <w:vertAlign w:val="superscript"/>
        </w:rPr>
        <w:t>42</w:t>
      </w:r>
      <w:r w:rsidRPr="00707E03">
        <w:rPr>
          <w:color w:val="auto"/>
        </w:rPr>
        <w:t xml:space="preserve"> Enterprise CAL Suite</w:t>
      </w:r>
      <w:r w:rsidRPr="00707E03">
        <w:rPr>
          <w:color w:val="auto"/>
        </w:rPr>
        <w:tab/>
      </w:r>
      <w:r w:rsidRPr="00707E03">
        <w:rPr>
          <w:color w:val="auto"/>
        </w:rPr>
        <w:fldChar w:fldCharType="begin"/>
      </w:r>
      <w:r w:rsidRPr="00707E03">
        <w:rPr>
          <w:color w:val="auto"/>
        </w:rPr>
        <w:instrText xml:space="preserve"> PAGEREF _Toc352234895 \h </w:instrText>
      </w:r>
      <w:r w:rsidRPr="00707E03">
        <w:rPr>
          <w:color w:val="auto"/>
        </w:rPr>
      </w:r>
      <w:r w:rsidRPr="00707E03">
        <w:rPr>
          <w:color w:val="auto"/>
        </w:rPr>
        <w:fldChar w:fldCharType="separate"/>
      </w:r>
      <w:r w:rsidRPr="00707E03">
        <w:rPr>
          <w:color w:val="auto"/>
        </w:rPr>
        <w:t>133</w:t>
      </w:r>
      <w:r w:rsidRPr="00707E03">
        <w:rPr>
          <w:color w:val="auto"/>
        </w:rPr>
        <w:fldChar w:fldCharType="end"/>
      </w:r>
    </w:p>
    <w:p w:rsidR="00707E03" w:rsidRPr="00707E03" w:rsidRDefault="00707E03">
      <w:pPr>
        <w:pStyle w:val="TOC3"/>
        <w:rPr>
          <w:rFonts w:asciiTheme="minorHAnsi" w:eastAsiaTheme="minorEastAsia" w:hAnsiTheme="minorHAnsi" w:cstheme="minorBidi"/>
          <w:bCs w:val="0"/>
          <w:color w:val="auto"/>
          <w:sz w:val="22"/>
          <w:szCs w:val="22"/>
        </w:rPr>
      </w:pPr>
      <w:r w:rsidRPr="00707E03">
        <w:rPr>
          <w:caps/>
          <w:color w:val="auto"/>
          <w:vertAlign w:val="superscript"/>
          <w:lang w:val="it-IT"/>
        </w:rPr>
        <w:t>43</w:t>
      </w:r>
      <w:r w:rsidRPr="00707E03">
        <w:rPr>
          <w:color w:val="auto"/>
          <w:lang w:val="it-IT"/>
        </w:rPr>
        <w:t xml:space="preserve"> Exchange Enterprise CAL con Services 2013</w:t>
      </w:r>
      <w:r w:rsidRPr="00707E03">
        <w:rPr>
          <w:color w:val="auto"/>
        </w:rPr>
        <w:tab/>
      </w:r>
      <w:r w:rsidRPr="00707E03">
        <w:rPr>
          <w:color w:val="auto"/>
        </w:rPr>
        <w:fldChar w:fldCharType="begin"/>
      </w:r>
      <w:r w:rsidRPr="00707E03">
        <w:rPr>
          <w:color w:val="auto"/>
        </w:rPr>
        <w:instrText xml:space="preserve"> PAGEREF _Toc352234896 \h </w:instrText>
      </w:r>
      <w:r w:rsidRPr="00707E03">
        <w:rPr>
          <w:color w:val="auto"/>
        </w:rPr>
      </w:r>
      <w:r w:rsidRPr="00707E03">
        <w:rPr>
          <w:color w:val="auto"/>
        </w:rPr>
        <w:fldChar w:fldCharType="separate"/>
      </w:r>
      <w:r w:rsidRPr="00707E03">
        <w:rPr>
          <w:color w:val="auto"/>
        </w:rPr>
        <w:t>137</w:t>
      </w:r>
      <w:r w:rsidRPr="00707E03">
        <w:rPr>
          <w:color w:val="auto"/>
        </w:rPr>
        <w:fldChar w:fldCharType="end"/>
      </w:r>
    </w:p>
    <w:p w:rsidR="00707E03" w:rsidRPr="00707E03" w:rsidRDefault="00707E03">
      <w:pPr>
        <w:pStyle w:val="TOC2"/>
        <w:rPr>
          <w:rFonts w:asciiTheme="minorHAnsi" w:eastAsiaTheme="minorEastAsia" w:hAnsiTheme="minorHAnsi" w:cstheme="minorBidi"/>
          <w:sz w:val="22"/>
          <w:szCs w:val="22"/>
        </w:rPr>
      </w:pPr>
      <w:r w:rsidRPr="00707E03">
        <w:rPr>
          <w:rFonts w:cs="Tahoma"/>
          <w:vertAlign w:val="superscript"/>
          <w:lang w:val="it-IT"/>
        </w:rPr>
        <w:t>44</w:t>
      </w:r>
      <w:r w:rsidRPr="00707E03">
        <w:rPr>
          <w:rFonts w:cs="Tahoma"/>
          <w:lang w:val="it-IT"/>
        </w:rPr>
        <w:t xml:space="preserve"> Archiviazione Exchange Online (SL per Utente)</w:t>
      </w:r>
      <w:r w:rsidRPr="00707E03">
        <w:tab/>
      </w:r>
      <w:r w:rsidRPr="00707E03">
        <w:fldChar w:fldCharType="begin"/>
      </w:r>
      <w:r w:rsidRPr="00707E03">
        <w:instrText xml:space="preserve"> PAGEREF _Toc352234897 \h </w:instrText>
      </w:r>
      <w:r w:rsidRPr="00707E03">
        <w:fldChar w:fldCharType="separate"/>
      </w:r>
      <w:r w:rsidRPr="00707E03">
        <w:t>139</w:t>
      </w:r>
      <w:r w:rsidRPr="00707E03">
        <w:fldChar w:fldCharType="end"/>
      </w:r>
    </w:p>
    <w:p w:rsidR="00707E03" w:rsidRPr="00707E03" w:rsidRDefault="00707E03">
      <w:pPr>
        <w:pStyle w:val="TOC2"/>
        <w:rPr>
          <w:rFonts w:asciiTheme="minorHAnsi" w:eastAsiaTheme="minorEastAsia" w:hAnsiTheme="minorHAnsi" w:cstheme="minorBidi"/>
          <w:sz w:val="22"/>
          <w:szCs w:val="22"/>
        </w:rPr>
      </w:pPr>
      <w:r w:rsidRPr="00707E03">
        <w:rPr>
          <w:rFonts w:cs="Tahoma"/>
          <w:vertAlign w:val="superscript"/>
        </w:rPr>
        <w:t>45</w:t>
      </w:r>
      <w:r w:rsidRPr="00707E03">
        <w:rPr>
          <w:rFonts w:cs="Tahoma"/>
        </w:rPr>
        <w:t xml:space="preserve"> Exchange Hosted Archive (SL per Utente), Exchange Hosted Archive Extra Storage (SL Add-on)</w:t>
      </w:r>
      <w:r w:rsidRPr="00707E03">
        <w:tab/>
      </w:r>
      <w:r w:rsidRPr="00707E03">
        <w:fldChar w:fldCharType="begin"/>
      </w:r>
      <w:r w:rsidRPr="00707E03">
        <w:instrText xml:space="preserve"> PAGEREF _Toc352234898 \h </w:instrText>
      </w:r>
      <w:r w:rsidRPr="00707E03">
        <w:fldChar w:fldCharType="separate"/>
      </w:r>
      <w:r w:rsidRPr="00707E03">
        <w:t>140</w:t>
      </w:r>
      <w:r w:rsidRPr="00707E03">
        <w:fldChar w:fldCharType="end"/>
      </w:r>
    </w:p>
    <w:p w:rsidR="00707E03" w:rsidRPr="00707E03" w:rsidRDefault="00707E03">
      <w:pPr>
        <w:pStyle w:val="TOC2"/>
        <w:rPr>
          <w:rFonts w:asciiTheme="minorHAnsi" w:eastAsiaTheme="minorEastAsia" w:hAnsiTheme="minorHAnsi" w:cstheme="minorBidi"/>
          <w:sz w:val="22"/>
          <w:szCs w:val="22"/>
        </w:rPr>
      </w:pPr>
      <w:r w:rsidRPr="00707E03">
        <w:rPr>
          <w:rFonts w:cs="Tahoma"/>
          <w:vertAlign w:val="superscript"/>
          <w:lang w:val="sv-SE"/>
        </w:rPr>
        <w:t>46</w:t>
      </w:r>
      <w:r w:rsidRPr="00707E03">
        <w:rPr>
          <w:rFonts w:cs="Tahoma"/>
          <w:lang w:val="sv-SE"/>
        </w:rPr>
        <w:t xml:space="preserve"> Exchange Hosted Encryption (SL per Utente)</w:t>
      </w:r>
      <w:r w:rsidRPr="00707E03">
        <w:tab/>
      </w:r>
      <w:r w:rsidRPr="00707E03">
        <w:fldChar w:fldCharType="begin"/>
      </w:r>
      <w:r w:rsidRPr="00707E03">
        <w:instrText xml:space="preserve"> PAGEREF _Toc352234899 \h </w:instrText>
      </w:r>
      <w:r w:rsidRPr="00707E03">
        <w:fldChar w:fldCharType="separate"/>
      </w:r>
      <w:r w:rsidRPr="00707E03">
        <w:t>141</w:t>
      </w:r>
      <w:r w:rsidRPr="00707E03">
        <w:fldChar w:fldCharType="end"/>
      </w:r>
    </w:p>
    <w:p w:rsidR="00707E03" w:rsidRPr="00707E03" w:rsidRDefault="00707E03">
      <w:pPr>
        <w:pStyle w:val="TOC3"/>
        <w:rPr>
          <w:rFonts w:asciiTheme="minorHAnsi" w:eastAsiaTheme="minorEastAsia" w:hAnsiTheme="minorHAnsi" w:cstheme="minorBidi"/>
          <w:bCs w:val="0"/>
          <w:color w:val="auto"/>
          <w:sz w:val="22"/>
          <w:szCs w:val="22"/>
        </w:rPr>
      </w:pPr>
      <w:r w:rsidRPr="00707E03">
        <w:rPr>
          <w:caps/>
          <w:color w:val="auto"/>
          <w:vertAlign w:val="superscript"/>
          <w:lang w:val="it-IT"/>
        </w:rPr>
        <w:t>47</w:t>
      </w:r>
      <w:r w:rsidRPr="00707E03">
        <w:rPr>
          <w:color w:val="auto"/>
          <w:lang w:val="it-IT"/>
        </w:rPr>
        <w:t xml:space="preserve"> Exchange Online Kiosk (SL per Utente)</w:t>
      </w:r>
      <w:r w:rsidRPr="00707E03">
        <w:rPr>
          <w:color w:val="auto"/>
        </w:rPr>
        <w:tab/>
      </w:r>
      <w:r w:rsidRPr="00707E03">
        <w:rPr>
          <w:color w:val="auto"/>
        </w:rPr>
        <w:fldChar w:fldCharType="begin"/>
      </w:r>
      <w:r w:rsidRPr="00707E03">
        <w:rPr>
          <w:color w:val="auto"/>
        </w:rPr>
        <w:instrText xml:space="preserve"> PAGEREF _Toc352234900 \h </w:instrText>
      </w:r>
      <w:r w:rsidRPr="00707E03">
        <w:rPr>
          <w:color w:val="auto"/>
        </w:rPr>
      </w:r>
      <w:r w:rsidRPr="00707E03">
        <w:rPr>
          <w:color w:val="auto"/>
        </w:rPr>
        <w:fldChar w:fldCharType="separate"/>
      </w:r>
      <w:r w:rsidRPr="00707E03">
        <w:rPr>
          <w:color w:val="auto"/>
        </w:rPr>
        <w:t>141</w:t>
      </w:r>
      <w:r w:rsidRPr="00707E03">
        <w:rPr>
          <w:color w:val="auto"/>
        </w:rPr>
        <w:fldChar w:fldCharType="end"/>
      </w:r>
    </w:p>
    <w:p w:rsidR="00707E03" w:rsidRPr="00707E03" w:rsidRDefault="00707E03">
      <w:pPr>
        <w:pStyle w:val="TOC3"/>
        <w:rPr>
          <w:rFonts w:asciiTheme="minorHAnsi" w:eastAsiaTheme="minorEastAsia" w:hAnsiTheme="minorHAnsi" w:cstheme="minorBidi"/>
          <w:bCs w:val="0"/>
          <w:color w:val="auto"/>
          <w:sz w:val="22"/>
          <w:szCs w:val="22"/>
        </w:rPr>
      </w:pPr>
      <w:r w:rsidRPr="00707E03">
        <w:rPr>
          <w:caps/>
          <w:color w:val="auto"/>
          <w:vertAlign w:val="superscript"/>
          <w:lang w:val="it-IT"/>
        </w:rPr>
        <w:t>48</w:t>
      </w:r>
      <w:r w:rsidRPr="00707E03">
        <w:rPr>
          <w:color w:val="auto"/>
          <w:lang w:val="it-IT"/>
        </w:rPr>
        <w:t xml:space="preserve"> Exchange Online Piano 1</w:t>
      </w:r>
      <w:r w:rsidRPr="00707E03">
        <w:rPr>
          <w:color w:val="auto"/>
        </w:rPr>
        <w:tab/>
      </w:r>
      <w:r w:rsidRPr="00707E03">
        <w:rPr>
          <w:color w:val="auto"/>
        </w:rPr>
        <w:fldChar w:fldCharType="begin"/>
      </w:r>
      <w:r w:rsidRPr="00707E03">
        <w:rPr>
          <w:color w:val="auto"/>
        </w:rPr>
        <w:instrText xml:space="preserve"> PAGEREF _Toc352234901 \h </w:instrText>
      </w:r>
      <w:r w:rsidRPr="00707E03">
        <w:rPr>
          <w:color w:val="auto"/>
        </w:rPr>
      </w:r>
      <w:r w:rsidRPr="00707E03">
        <w:rPr>
          <w:color w:val="auto"/>
        </w:rPr>
        <w:fldChar w:fldCharType="separate"/>
      </w:r>
      <w:r w:rsidRPr="00707E03">
        <w:rPr>
          <w:color w:val="auto"/>
        </w:rPr>
        <w:t>141</w:t>
      </w:r>
      <w:r w:rsidRPr="00707E03">
        <w:rPr>
          <w:color w:val="auto"/>
        </w:rPr>
        <w:fldChar w:fldCharType="end"/>
      </w:r>
    </w:p>
    <w:p w:rsidR="00707E03" w:rsidRPr="00707E03" w:rsidRDefault="00707E03">
      <w:pPr>
        <w:pStyle w:val="TOC2"/>
        <w:rPr>
          <w:rFonts w:asciiTheme="minorHAnsi" w:eastAsiaTheme="minorEastAsia" w:hAnsiTheme="minorHAnsi" w:cstheme="minorBidi"/>
          <w:sz w:val="22"/>
          <w:szCs w:val="22"/>
        </w:rPr>
      </w:pPr>
      <w:r w:rsidRPr="00707E03">
        <w:rPr>
          <w:rFonts w:cs="Tahoma"/>
          <w:caps/>
          <w:vertAlign w:val="superscript"/>
          <w:lang w:val="it-IT"/>
        </w:rPr>
        <w:lastRenderedPageBreak/>
        <w:t>49</w:t>
      </w:r>
      <w:r w:rsidRPr="00707E03">
        <w:rPr>
          <w:rFonts w:cs="Tahoma"/>
          <w:lang w:val="it-IT"/>
        </w:rPr>
        <w:t xml:space="preserve"> Exchange Online Piano 2</w:t>
      </w:r>
      <w:r w:rsidRPr="00707E03">
        <w:tab/>
      </w:r>
      <w:r w:rsidRPr="00707E03">
        <w:fldChar w:fldCharType="begin"/>
      </w:r>
      <w:r w:rsidRPr="00707E03">
        <w:instrText xml:space="preserve"> PAGEREF _Toc352234902 \h </w:instrText>
      </w:r>
      <w:r w:rsidRPr="00707E03">
        <w:fldChar w:fldCharType="separate"/>
      </w:r>
      <w:r w:rsidRPr="00707E03">
        <w:t>142</w:t>
      </w:r>
      <w:r w:rsidRPr="00707E03">
        <w:fldChar w:fldCharType="end"/>
      </w:r>
    </w:p>
    <w:p w:rsidR="00707E03" w:rsidRPr="00707E03" w:rsidRDefault="00707E03">
      <w:pPr>
        <w:pStyle w:val="TOC2"/>
        <w:rPr>
          <w:rFonts w:asciiTheme="minorHAnsi" w:eastAsiaTheme="minorEastAsia" w:hAnsiTheme="minorHAnsi" w:cstheme="minorBidi"/>
          <w:sz w:val="22"/>
          <w:szCs w:val="22"/>
        </w:rPr>
      </w:pPr>
      <w:r w:rsidRPr="00707E03">
        <w:rPr>
          <w:rFonts w:cs="Tahoma"/>
          <w:caps/>
          <w:vertAlign w:val="superscript"/>
          <w:lang w:val="it-IT"/>
        </w:rPr>
        <w:t>50</w:t>
      </w:r>
      <w:r w:rsidRPr="00707E03">
        <w:rPr>
          <w:rFonts w:cs="Tahoma"/>
          <w:caps/>
          <w:lang w:val="it-IT"/>
        </w:rPr>
        <w:t xml:space="preserve"> </w:t>
      </w:r>
      <w:r w:rsidRPr="00707E03">
        <w:rPr>
          <w:rFonts w:cs="Tahoma"/>
          <w:lang w:val="it-IT"/>
        </w:rPr>
        <w:t>Exchange Online Protection (SL per Utente)</w:t>
      </w:r>
      <w:r w:rsidRPr="00707E03">
        <w:tab/>
      </w:r>
      <w:r w:rsidRPr="00707E03">
        <w:fldChar w:fldCharType="begin"/>
      </w:r>
      <w:r w:rsidRPr="00707E03">
        <w:instrText xml:space="preserve"> PAGEREF _Toc352234903 \h </w:instrText>
      </w:r>
      <w:r w:rsidRPr="00707E03">
        <w:fldChar w:fldCharType="separate"/>
      </w:r>
      <w:r w:rsidRPr="00707E03">
        <w:t>142</w:t>
      </w:r>
      <w:r w:rsidRPr="00707E03">
        <w:fldChar w:fldCharType="end"/>
      </w:r>
    </w:p>
    <w:p w:rsidR="00707E03" w:rsidRPr="00707E03" w:rsidRDefault="00707E03">
      <w:pPr>
        <w:pStyle w:val="TOC2"/>
        <w:rPr>
          <w:rFonts w:asciiTheme="minorHAnsi" w:eastAsiaTheme="minorEastAsia" w:hAnsiTheme="minorHAnsi" w:cstheme="minorBidi"/>
          <w:sz w:val="22"/>
          <w:szCs w:val="22"/>
        </w:rPr>
      </w:pPr>
      <w:r w:rsidRPr="00707E03">
        <w:rPr>
          <w:rFonts w:cs="Tahoma"/>
          <w:caps/>
          <w:vertAlign w:val="superscript"/>
          <w:lang w:val="it-IT"/>
        </w:rPr>
        <w:t>51</w:t>
      </w:r>
      <w:r w:rsidRPr="00707E03">
        <w:rPr>
          <w:rFonts w:cs="Tahoma"/>
          <w:caps/>
          <w:lang w:val="it-IT"/>
        </w:rPr>
        <w:t xml:space="preserve"> </w:t>
      </w:r>
      <w:r w:rsidRPr="00707E03">
        <w:rPr>
          <w:rFonts w:cs="Tahoma"/>
          <w:lang w:val="it-IT"/>
        </w:rPr>
        <w:t>Exchange Server 2013, Edizioni Enterprise e Standard</w:t>
      </w:r>
      <w:r w:rsidRPr="00707E03">
        <w:tab/>
      </w:r>
      <w:r w:rsidRPr="00707E03">
        <w:fldChar w:fldCharType="begin"/>
      </w:r>
      <w:r w:rsidRPr="00707E03">
        <w:instrText xml:space="preserve"> PAGEREF _Toc352234904 \h </w:instrText>
      </w:r>
      <w:r w:rsidRPr="00707E03">
        <w:fldChar w:fldCharType="separate"/>
      </w:r>
      <w:r w:rsidRPr="00707E03">
        <w:t>142</w:t>
      </w:r>
      <w:r w:rsidRPr="00707E03">
        <w:fldChar w:fldCharType="end"/>
      </w:r>
    </w:p>
    <w:p w:rsidR="00707E03" w:rsidRPr="00707E03" w:rsidRDefault="00707E03">
      <w:pPr>
        <w:pStyle w:val="TOC3"/>
        <w:rPr>
          <w:rFonts w:asciiTheme="minorHAnsi" w:eastAsiaTheme="minorEastAsia" w:hAnsiTheme="minorHAnsi" w:cstheme="minorBidi"/>
          <w:bCs w:val="0"/>
          <w:color w:val="auto"/>
          <w:sz w:val="22"/>
          <w:szCs w:val="22"/>
        </w:rPr>
      </w:pPr>
      <w:r w:rsidRPr="00707E03">
        <w:rPr>
          <w:caps/>
          <w:color w:val="auto"/>
          <w:vertAlign w:val="superscript"/>
        </w:rPr>
        <w:t>52</w:t>
      </w:r>
      <w:r w:rsidRPr="00707E03">
        <w:rPr>
          <w:color w:val="auto"/>
        </w:rPr>
        <w:t xml:space="preserve"> Standard CAL per Exchange Server 2010</w:t>
      </w:r>
      <w:r w:rsidRPr="00707E03">
        <w:rPr>
          <w:color w:val="auto"/>
        </w:rPr>
        <w:tab/>
      </w:r>
      <w:r w:rsidRPr="00707E03">
        <w:rPr>
          <w:color w:val="auto"/>
        </w:rPr>
        <w:fldChar w:fldCharType="begin"/>
      </w:r>
      <w:r w:rsidRPr="00707E03">
        <w:rPr>
          <w:color w:val="auto"/>
        </w:rPr>
        <w:instrText xml:space="preserve"> PAGEREF _Toc352234905 \h </w:instrText>
      </w:r>
      <w:r w:rsidRPr="00707E03">
        <w:rPr>
          <w:color w:val="auto"/>
        </w:rPr>
      </w:r>
      <w:r w:rsidRPr="00707E03">
        <w:rPr>
          <w:color w:val="auto"/>
        </w:rPr>
        <w:fldChar w:fldCharType="separate"/>
      </w:r>
      <w:r w:rsidRPr="00707E03">
        <w:rPr>
          <w:color w:val="auto"/>
        </w:rPr>
        <w:t>143</w:t>
      </w:r>
      <w:r w:rsidRPr="00707E03">
        <w:rPr>
          <w:color w:val="auto"/>
        </w:rPr>
        <w:fldChar w:fldCharType="end"/>
      </w:r>
    </w:p>
    <w:p w:rsidR="00707E03" w:rsidRPr="00707E03" w:rsidRDefault="00707E03">
      <w:pPr>
        <w:pStyle w:val="TOC3"/>
        <w:rPr>
          <w:rFonts w:asciiTheme="minorHAnsi" w:eastAsiaTheme="minorEastAsia" w:hAnsiTheme="minorHAnsi" w:cstheme="minorBidi"/>
          <w:bCs w:val="0"/>
          <w:color w:val="auto"/>
          <w:sz w:val="22"/>
          <w:szCs w:val="22"/>
        </w:rPr>
      </w:pPr>
      <w:r w:rsidRPr="00707E03">
        <w:rPr>
          <w:caps/>
          <w:color w:val="auto"/>
          <w:vertAlign w:val="superscript"/>
          <w:lang w:val="it-IT"/>
        </w:rPr>
        <w:t>53</w:t>
      </w:r>
      <w:r w:rsidRPr="00707E03">
        <w:rPr>
          <w:color w:val="auto"/>
          <w:lang w:val="it-IT"/>
        </w:rPr>
        <w:t xml:space="preserve"> Forefront Endpoint Protection</w:t>
      </w:r>
      <w:r w:rsidRPr="00707E03">
        <w:rPr>
          <w:color w:val="auto"/>
        </w:rPr>
        <w:tab/>
      </w:r>
      <w:r w:rsidRPr="00707E03">
        <w:rPr>
          <w:color w:val="auto"/>
        </w:rPr>
        <w:fldChar w:fldCharType="begin"/>
      </w:r>
      <w:r w:rsidRPr="00707E03">
        <w:rPr>
          <w:color w:val="auto"/>
        </w:rPr>
        <w:instrText xml:space="preserve"> PAGEREF _Toc352234906 \h </w:instrText>
      </w:r>
      <w:r w:rsidRPr="00707E03">
        <w:rPr>
          <w:color w:val="auto"/>
        </w:rPr>
      </w:r>
      <w:r w:rsidRPr="00707E03">
        <w:rPr>
          <w:color w:val="auto"/>
        </w:rPr>
        <w:fldChar w:fldCharType="separate"/>
      </w:r>
      <w:r w:rsidRPr="00707E03">
        <w:rPr>
          <w:color w:val="auto"/>
        </w:rPr>
        <w:t>144</w:t>
      </w:r>
      <w:r w:rsidRPr="00707E03">
        <w:rPr>
          <w:color w:val="auto"/>
        </w:rPr>
        <w:fldChar w:fldCharType="end"/>
      </w:r>
    </w:p>
    <w:p w:rsidR="00707E03" w:rsidRPr="00707E03" w:rsidRDefault="00707E03">
      <w:pPr>
        <w:pStyle w:val="TOC3"/>
        <w:rPr>
          <w:rFonts w:asciiTheme="minorHAnsi" w:eastAsiaTheme="minorEastAsia" w:hAnsiTheme="minorHAnsi" w:cstheme="minorBidi"/>
          <w:bCs w:val="0"/>
          <w:color w:val="auto"/>
          <w:sz w:val="22"/>
          <w:szCs w:val="22"/>
        </w:rPr>
      </w:pPr>
      <w:r w:rsidRPr="00707E03">
        <w:rPr>
          <w:caps/>
          <w:color w:val="auto"/>
          <w:vertAlign w:val="superscript"/>
          <w:lang w:val="it-IT"/>
        </w:rPr>
        <w:t>54</w:t>
      </w:r>
      <w:r w:rsidRPr="00707E03">
        <w:rPr>
          <w:caps/>
          <w:color w:val="auto"/>
          <w:lang w:val="it-IT"/>
        </w:rPr>
        <w:t xml:space="preserve"> </w:t>
      </w:r>
      <w:r w:rsidRPr="00707E03">
        <w:rPr>
          <w:color w:val="auto"/>
          <w:lang w:val="it-IT"/>
        </w:rPr>
        <w:t>Forefront Identity Manager 2010 R2</w:t>
      </w:r>
      <w:r w:rsidRPr="00707E03">
        <w:rPr>
          <w:color w:val="auto"/>
        </w:rPr>
        <w:tab/>
      </w:r>
      <w:r w:rsidRPr="00707E03">
        <w:rPr>
          <w:color w:val="auto"/>
        </w:rPr>
        <w:fldChar w:fldCharType="begin"/>
      </w:r>
      <w:r w:rsidRPr="00707E03">
        <w:rPr>
          <w:color w:val="auto"/>
        </w:rPr>
        <w:instrText xml:space="preserve"> PAGEREF _Toc352234907 \h </w:instrText>
      </w:r>
      <w:r w:rsidRPr="00707E03">
        <w:rPr>
          <w:color w:val="auto"/>
        </w:rPr>
      </w:r>
      <w:r w:rsidRPr="00707E03">
        <w:rPr>
          <w:color w:val="auto"/>
        </w:rPr>
        <w:fldChar w:fldCharType="separate"/>
      </w:r>
      <w:r w:rsidRPr="00707E03">
        <w:rPr>
          <w:color w:val="auto"/>
        </w:rPr>
        <w:t>144</w:t>
      </w:r>
      <w:r w:rsidRPr="00707E03">
        <w:rPr>
          <w:color w:val="auto"/>
        </w:rPr>
        <w:fldChar w:fldCharType="end"/>
      </w:r>
    </w:p>
    <w:p w:rsidR="00707E03" w:rsidRPr="00707E03" w:rsidRDefault="00707E03">
      <w:pPr>
        <w:pStyle w:val="TOC2"/>
        <w:rPr>
          <w:rFonts w:asciiTheme="minorHAnsi" w:eastAsiaTheme="minorEastAsia" w:hAnsiTheme="minorHAnsi" w:cstheme="minorBidi"/>
          <w:sz w:val="22"/>
          <w:szCs w:val="22"/>
        </w:rPr>
      </w:pPr>
      <w:r w:rsidRPr="00707E03">
        <w:rPr>
          <w:rFonts w:cs="Tahoma"/>
          <w:caps/>
          <w:vertAlign w:val="superscript"/>
        </w:rPr>
        <w:t>55</w:t>
      </w:r>
      <w:r w:rsidRPr="00707E03">
        <w:rPr>
          <w:rFonts w:cs="Tahoma"/>
        </w:rPr>
        <w:t xml:space="preserve"> Forefront Identity Manager 2010 – Windows Live Edition</w:t>
      </w:r>
      <w:r w:rsidRPr="00707E03">
        <w:tab/>
      </w:r>
      <w:r w:rsidRPr="00707E03">
        <w:fldChar w:fldCharType="begin"/>
      </w:r>
      <w:r w:rsidRPr="00707E03">
        <w:instrText xml:space="preserve"> PAGEREF _Toc352234908 \h </w:instrText>
      </w:r>
      <w:r w:rsidRPr="00707E03">
        <w:fldChar w:fldCharType="separate"/>
      </w:r>
      <w:r w:rsidRPr="00707E03">
        <w:t>144</w:t>
      </w:r>
      <w:r w:rsidRPr="00707E03">
        <w:fldChar w:fldCharType="end"/>
      </w:r>
    </w:p>
    <w:p w:rsidR="00707E03" w:rsidRPr="00707E03" w:rsidRDefault="00707E03">
      <w:pPr>
        <w:pStyle w:val="TOC3"/>
        <w:rPr>
          <w:rFonts w:asciiTheme="minorHAnsi" w:eastAsiaTheme="minorEastAsia" w:hAnsiTheme="minorHAnsi" w:cstheme="minorBidi"/>
          <w:bCs w:val="0"/>
          <w:color w:val="auto"/>
          <w:sz w:val="22"/>
          <w:szCs w:val="22"/>
        </w:rPr>
      </w:pPr>
      <w:r w:rsidRPr="00707E03">
        <w:rPr>
          <w:caps/>
          <w:color w:val="auto"/>
          <w:vertAlign w:val="superscript"/>
        </w:rPr>
        <w:t>56</w:t>
      </w:r>
      <w:r w:rsidRPr="00707E03">
        <w:rPr>
          <w:color w:val="auto"/>
        </w:rPr>
        <w:t xml:space="preserve"> Forefront Protection 2010 for Exchange Server (SL per Dispositivo e Utente), Forefront Protection 2010 for SharePoint (SL per Dispositivo e Utente) e Forefront Protection 2010 per Siti Internet (SL Add-on)</w:t>
      </w:r>
      <w:r w:rsidRPr="00707E03">
        <w:rPr>
          <w:color w:val="auto"/>
        </w:rPr>
        <w:tab/>
      </w:r>
      <w:r w:rsidRPr="00707E03">
        <w:rPr>
          <w:color w:val="auto"/>
        </w:rPr>
        <w:fldChar w:fldCharType="begin"/>
      </w:r>
      <w:r w:rsidRPr="00707E03">
        <w:rPr>
          <w:color w:val="auto"/>
        </w:rPr>
        <w:instrText xml:space="preserve"> PAGEREF _Toc352234909 \h </w:instrText>
      </w:r>
      <w:r w:rsidRPr="00707E03">
        <w:rPr>
          <w:color w:val="auto"/>
        </w:rPr>
      </w:r>
      <w:r w:rsidRPr="00707E03">
        <w:rPr>
          <w:color w:val="auto"/>
        </w:rPr>
        <w:fldChar w:fldCharType="separate"/>
      </w:r>
      <w:r w:rsidRPr="00707E03">
        <w:rPr>
          <w:color w:val="auto"/>
        </w:rPr>
        <w:t>144</w:t>
      </w:r>
      <w:r w:rsidRPr="00707E03">
        <w:rPr>
          <w:color w:val="auto"/>
        </w:rPr>
        <w:fldChar w:fldCharType="end"/>
      </w:r>
    </w:p>
    <w:p w:rsidR="00707E03" w:rsidRPr="00707E03" w:rsidRDefault="00707E03">
      <w:pPr>
        <w:pStyle w:val="TOC3"/>
        <w:rPr>
          <w:rFonts w:asciiTheme="minorHAnsi" w:eastAsiaTheme="minorEastAsia" w:hAnsiTheme="minorHAnsi" w:cstheme="minorBidi"/>
          <w:bCs w:val="0"/>
          <w:color w:val="auto"/>
          <w:sz w:val="22"/>
          <w:szCs w:val="22"/>
        </w:rPr>
      </w:pPr>
      <w:r w:rsidRPr="00707E03">
        <w:rPr>
          <w:caps/>
          <w:color w:val="auto"/>
          <w:vertAlign w:val="superscript"/>
          <w:lang w:val="it-IT"/>
        </w:rPr>
        <w:t>57</w:t>
      </w:r>
      <w:r w:rsidRPr="00707E03">
        <w:rPr>
          <w:color w:val="auto"/>
          <w:lang w:val="it-IT"/>
        </w:rPr>
        <w:t xml:space="preserve"> Forefront Protection Suite (Dispositivo e Utente)</w:t>
      </w:r>
      <w:r w:rsidRPr="00707E03">
        <w:rPr>
          <w:color w:val="auto"/>
        </w:rPr>
        <w:tab/>
      </w:r>
      <w:r w:rsidRPr="00707E03">
        <w:rPr>
          <w:color w:val="auto"/>
        </w:rPr>
        <w:fldChar w:fldCharType="begin"/>
      </w:r>
      <w:r w:rsidRPr="00707E03">
        <w:rPr>
          <w:color w:val="auto"/>
        </w:rPr>
        <w:instrText xml:space="preserve"> PAGEREF _Toc352234910 \h </w:instrText>
      </w:r>
      <w:r w:rsidRPr="00707E03">
        <w:rPr>
          <w:color w:val="auto"/>
        </w:rPr>
      </w:r>
      <w:r w:rsidRPr="00707E03">
        <w:rPr>
          <w:color w:val="auto"/>
        </w:rPr>
        <w:fldChar w:fldCharType="separate"/>
      </w:r>
      <w:r w:rsidRPr="00707E03">
        <w:rPr>
          <w:color w:val="auto"/>
        </w:rPr>
        <w:t>145</w:t>
      </w:r>
      <w:r w:rsidRPr="00707E03">
        <w:rPr>
          <w:color w:val="auto"/>
        </w:rPr>
        <w:fldChar w:fldCharType="end"/>
      </w:r>
    </w:p>
    <w:p w:rsidR="00707E03" w:rsidRPr="00707E03" w:rsidRDefault="00707E03">
      <w:pPr>
        <w:pStyle w:val="TOC3"/>
        <w:rPr>
          <w:rFonts w:asciiTheme="minorHAnsi" w:eastAsiaTheme="minorEastAsia" w:hAnsiTheme="minorHAnsi" w:cstheme="minorBidi"/>
          <w:bCs w:val="0"/>
          <w:color w:val="auto"/>
          <w:sz w:val="22"/>
          <w:szCs w:val="22"/>
        </w:rPr>
      </w:pPr>
      <w:r w:rsidRPr="00707E03">
        <w:rPr>
          <w:caps/>
          <w:color w:val="auto"/>
          <w:vertAlign w:val="superscript"/>
          <w:lang w:val="it-IT"/>
        </w:rPr>
        <w:t>58</w:t>
      </w:r>
      <w:r w:rsidRPr="00707E03">
        <w:rPr>
          <w:caps/>
          <w:color w:val="auto"/>
          <w:lang w:val="it-IT"/>
        </w:rPr>
        <w:t xml:space="preserve"> </w:t>
      </w:r>
      <w:r w:rsidRPr="00707E03">
        <w:rPr>
          <w:color w:val="auto"/>
          <w:lang w:val="it-IT"/>
        </w:rPr>
        <w:t>Forefront Security for Office Communications Server (SL per Utente e Dispositivo)</w:t>
      </w:r>
      <w:r w:rsidRPr="00707E03">
        <w:rPr>
          <w:color w:val="auto"/>
        </w:rPr>
        <w:tab/>
      </w:r>
      <w:r w:rsidRPr="00707E03">
        <w:rPr>
          <w:color w:val="auto"/>
        </w:rPr>
        <w:fldChar w:fldCharType="begin"/>
      </w:r>
      <w:r w:rsidRPr="00707E03">
        <w:rPr>
          <w:color w:val="auto"/>
        </w:rPr>
        <w:instrText xml:space="preserve"> PAGEREF _Toc352234911 \h </w:instrText>
      </w:r>
      <w:r w:rsidRPr="00707E03">
        <w:rPr>
          <w:color w:val="auto"/>
        </w:rPr>
      </w:r>
      <w:r w:rsidRPr="00707E03">
        <w:rPr>
          <w:color w:val="auto"/>
        </w:rPr>
        <w:fldChar w:fldCharType="separate"/>
      </w:r>
      <w:r w:rsidRPr="00707E03">
        <w:rPr>
          <w:color w:val="auto"/>
        </w:rPr>
        <w:t>145</w:t>
      </w:r>
      <w:r w:rsidRPr="00707E03">
        <w:rPr>
          <w:color w:val="auto"/>
        </w:rPr>
        <w:fldChar w:fldCharType="end"/>
      </w:r>
    </w:p>
    <w:p w:rsidR="00707E03" w:rsidRPr="00707E03" w:rsidRDefault="00707E03">
      <w:pPr>
        <w:pStyle w:val="TOC3"/>
        <w:rPr>
          <w:rFonts w:asciiTheme="minorHAnsi" w:eastAsiaTheme="minorEastAsia" w:hAnsiTheme="minorHAnsi" w:cstheme="minorBidi"/>
          <w:bCs w:val="0"/>
          <w:color w:val="auto"/>
          <w:sz w:val="22"/>
          <w:szCs w:val="22"/>
        </w:rPr>
      </w:pPr>
      <w:r w:rsidRPr="00707E03">
        <w:rPr>
          <w:caps/>
          <w:color w:val="auto"/>
          <w:vertAlign w:val="superscript"/>
        </w:rPr>
        <w:t>59</w:t>
      </w:r>
      <w:r w:rsidRPr="00707E03">
        <w:rPr>
          <w:caps/>
          <w:color w:val="auto"/>
        </w:rPr>
        <w:t xml:space="preserve"> </w:t>
      </w:r>
      <w:r w:rsidRPr="00707E03">
        <w:rPr>
          <w:color w:val="auto"/>
        </w:rPr>
        <w:t>Forefront Threat Management Gateway Web Protection Service</w:t>
      </w:r>
      <w:r w:rsidRPr="00707E03">
        <w:rPr>
          <w:color w:val="auto"/>
        </w:rPr>
        <w:tab/>
      </w:r>
      <w:r w:rsidRPr="00707E03">
        <w:rPr>
          <w:color w:val="auto"/>
        </w:rPr>
        <w:fldChar w:fldCharType="begin"/>
      </w:r>
      <w:r w:rsidRPr="00707E03">
        <w:rPr>
          <w:color w:val="auto"/>
        </w:rPr>
        <w:instrText xml:space="preserve"> PAGEREF _Toc352234912 \h </w:instrText>
      </w:r>
      <w:r w:rsidRPr="00707E03">
        <w:rPr>
          <w:color w:val="auto"/>
        </w:rPr>
      </w:r>
      <w:r w:rsidRPr="00707E03">
        <w:rPr>
          <w:color w:val="auto"/>
        </w:rPr>
        <w:fldChar w:fldCharType="separate"/>
      </w:r>
      <w:r w:rsidRPr="00707E03">
        <w:rPr>
          <w:color w:val="auto"/>
        </w:rPr>
        <w:t>146</w:t>
      </w:r>
      <w:r w:rsidRPr="00707E03">
        <w:rPr>
          <w:color w:val="auto"/>
        </w:rPr>
        <w:fldChar w:fldCharType="end"/>
      </w:r>
    </w:p>
    <w:p w:rsidR="00707E03" w:rsidRPr="00707E03" w:rsidRDefault="00707E03">
      <w:pPr>
        <w:pStyle w:val="TOC3"/>
        <w:rPr>
          <w:rFonts w:asciiTheme="minorHAnsi" w:eastAsiaTheme="minorEastAsia" w:hAnsiTheme="minorHAnsi" w:cstheme="minorBidi"/>
          <w:bCs w:val="0"/>
          <w:color w:val="auto"/>
          <w:sz w:val="22"/>
          <w:szCs w:val="22"/>
        </w:rPr>
      </w:pPr>
      <w:r w:rsidRPr="00707E03">
        <w:rPr>
          <w:caps/>
          <w:color w:val="auto"/>
          <w:vertAlign w:val="superscript"/>
        </w:rPr>
        <w:t>60</w:t>
      </w:r>
      <w:r w:rsidRPr="00707E03">
        <w:rPr>
          <w:caps/>
          <w:color w:val="auto"/>
        </w:rPr>
        <w:t xml:space="preserve"> </w:t>
      </w:r>
      <w:r w:rsidRPr="00707E03">
        <w:rPr>
          <w:color w:val="auto"/>
        </w:rPr>
        <w:t>Forefront Unified Access Gateway 2010</w:t>
      </w:r>
      <w:r w:rsidRPr="00707E03">
        <w:rPr>
          <w:color w:val="auto"/>
        </w:rPr>
        <w:tab/>
      </w:r>
      <w:r w:rsidRPr="00707E03">
        <w:rPr>
          <w:color w:val="auto"/>
        </w:rPr>
        <w:fldChar w:fldCharType="begin"/>
      </w:r>
      <w:r w:rsidRPr="00707E03">
        <w:rPr>
          <w:color w:val="auto"/>
        </w:rPr>
        <w:instrText xml:space="preserve"> PAGEREF _Toc352234913 \h </w:instrText>
      </w:r>
      <w:r w:rsidRPr="00707E03">
        <w:rPr>
          <w:color w:val="auto"/>
        </w:rPr>
      </w:r>
      <w:r w:rsidRPr="00707E03">
        <w:rPr>
          <w:color w:val="auto"/>
        </w:rPr>
        <w:fldChar w:fldCharType="separate"/>
      </w:r>
      <w:r w:rsidRPr="00707E03">
        <w:rPr>
          <w:color w:val="auto"/>
        </w:rPr>
        <w:t>146</w:t>
      </w:r>
      <w:r w:rsidRPr="00707E03">
        <w:rPr>
          <w:color w:val="auto"/>
        </w:rPr>
        <w:fldChar w:fldCharType="end"/>
      </w:r>
    </w:p>
    <w:p w:rsidR="00707E03" w:rsidRPr="00707E03" w:rsidRDefault="00707E03">
      <w:pPr>
        <w:pStyle w:val="TOC3"/>
        <w:rPr>
          <w:rFonts w:asciiTheme="minorHAnsi" w:eastAsiaTheme="minorEastAsia" w:hAnsiTheme="minorHAnsi" w:cstheme="minorBidi"/>
          <w:bCs w:val="0"/>
          <w:color w:val="auto"/>
          <w:sz w:val="22"/>
          <w:szCs w:val="22"/>
        </w:rPr>
      </w:pPr>
      <w:r w:rsidRPr="00707E03">
        <w:rPr>
          <w:caps/>
          <w:color w:val="auto"/>
          <w:vertAlign w:val="superscript"/>
        </w:rPr>
        <w:t>61</w:t>
      </w:r>
      <w:r w:rsidRPr="00707E03">
        <w:rPr>
          <w:caps/>
          <w:color w:val="auto"/>
        </w:rPr>
        <w:t xml:space="preserve"> </w:t>
      </w:r>
      <w:r w:rsidRPr="00707E03">
        <w:rPr>
          <w:color w:val="auto"/>
        </w:rPr>
        <w:t>HPC Pack 2008 R2 Enterprise</w:t>
      </w:r>
      <w:r w:rsidRPr="00707E03">
        <w:rPr>
          <w:color w:val="auto"/>
        </w:rPr>
        <w:tab/>
      </w:r>
      <w:r w:rsidRPr="00707E03">
        <w:rPr>
          <w:color w:val="auto"/>
        </w:rPr>
        <w:fldChar w:fldCharType="begin"/>
      </w:r>
      <w:r w:rsidRPr="00707E03">
        <w:rPr>
          <w:color w:val="auto"/>
        </w:rPr>
        <w:instrText xml:space="preserve"> PAGEREF _Toc352234914 \h </w:instrText>
      </w:r>
      <w:r w:rsidRPr="00707E03">
        <w:rPr>
          <w:color w:val="auto"/>
        </w:rPr>
      </w:r>
      <w:r w:rsidRPr="00707E03">
        <w:rPr>
          <w:color w:val="auto"/>
        </w:rPr>
        <w:fldChar w:fldCharType="separate"/>
      </w:r>
      <w:r w:rsidRPr="00707E03">
        <w:rPr>
          <w:color w:val="auto"/>
        </w:rPr>
        <w:t>146</w:t>
      </w:r>
      <w:r w:rsidRPr="00707E03">
        <w:rPr>
          <w:color w:val="auto"/>
        </w:rPr>
        <w:fldChar w:fldCharType="end"/>
      </w:r>
    </w:p>
    <w:p w:rsidR="00707E03" w:rsidRPr="00707E03" w:rsidRDefault="00707E03">
      <w:pPr>
        <w:pStyle w:val="TOC3"/>
        <w:rPr>
          <w:rFonts w:asciiTheme="minorHAnsi" w:eastAsiaTheme="minorEastAsia" w:hAnsiTheme="minorHAnsi" w:cstheme="minorBidi"/>
          <w:bCs w:val="0"/>
          <w:color w:val="auto"/>
          <w:sz w:val="22"/>
          <w:szCs w:val="22"/>
        </w:rPr>
      </w:pPr>
      <w:r w:rsidRPr="00707E03">
        <w:rPr>
          <w:caps/>
          <w:color w:val="auto"/>
          <w:vertAlign w:val="superscript"/>
          <w:lang w:val="it-IT"/>
        </w:rPr>
        <w:t>62</w:t>
      </w:r>
      <w:r w:rsidRPr="00707E03">
        <w:rPr>
          <w:color w:val="auto"/>
          <w:lang w:val="it-IT"/>
        </w:rPr>
        <w:t xml:space="preserve"> Learning Solutions MCP Exam Vouchers</w:t>
      </w:r>
      <w:r w:rsidRPr="00707E03">
        <w:rPr>
          <w:color w:val="auto"/>
        </w:rPr>
        <w:tab/>
      </w:r>
      <w:r w:rsidRPr="00707E03">
        <w:rPr>
          <w:color w:val="auto"/>
        </w:rPr>
        <w:fldChar w:fldCharType="begin"/>
      </w:r>
      <w:r w:rsidRPr="00707E03">
        <w:rPr>
          <w:color w:val="auto"/>
        </w:rPr>
        <w:instrText xml:space="preserve"> PAGEREF _Toc352234915 \h </w:instrText>
      </w:r>
      <w:r w:rsidRPr="00707E03">
        <w:rPr>
          <w:color w:val="auto"/>
        </w:rPr>
      </w:r>
      <w:r w:rsidRPr="00707E03">
        <w:rPr>
          <w:color w:val="auto"/>
        </w:rPr>
        <w:fldChar w:fldCharType="separate"/>
      </w:r>
      <w:r w:rsidRPr="00707E03">
        <w:rPr>
          <w:color w:val="auto"/>
        </w:rPr>
        <w:t>147</w:t>
      </w:r>
      <w:r w:rsidRPr="00707E03">
        <w:rPr>
          <w:color w:val="auto"/>
        </w:rPr>
        <w:fldChar w:fldCharType="end"/>
      </w:r>
    </w:p>
    <w:p w:rsidR="00707E03" w:rsidRPr="00707E03" w:rsidRDefault="00707E03">
      <w:pPr>
        <w:pStyle w:val="TOC2"/>
        <w:rPr>
          <w:rFonts w:asciiTheme="minorHAnsi" w:eastAsiaTheme="minorEastAsia" w:hAnsiTheme="minorHAnsi" w:cstheme="minorBidi"/>
          <w:sz w:val="22"/>
          <w:szCs w:val="22"/>
        </w:rPr>
      </w:pPr>
      <w:r w:rsidRPr="00707E03">
        <w:rPr>
          <w:rFonts w:cs="Tahoma"/>
          <w:caps/>
          <w:vertAlign w:val="superscript"/>
          <w:lang w:val="it-IT"/>
        </w:rPr>
        <w:t>63</w:t>
      </w:r>
      <w:r w:rsidRPr="00707E03">
        <w:rPr>
          <w:rFonts w:cs="Tahoma"/>
          <w:lang w:val="it-IT"/>
        </w:rPr>
        <w:t xml:space="preserve"> Lync Online Piani 1, 2 e 3</w:t>
      </w:r>
      <w:r w:rsidRPr="00707E03">
        <w:tab/>
      </w:r>
      <w:r w:rsidRPr="00707E03">
        <w:fldChar w:fldCharType="begin"/>
      </w:r>
      <w:r w:rsidRPr="00707E03">
        <w:instrText xml:space="preserve"> PAGEREF _Toc352234916 \h </w:instrText>
      </w:r>
      <w:r w:rsidRPr="00707E03">
        <w:fldChar w:fldCharType="separate"/>
      </w:r>
      <w:r w:rsidRPr="00707E03">
        <w:t>147</w:t>
      </w:r>
      <w:r w:rsidRPr="00707E03">
        <w:fldChar w:fldCharType="end"/>
      </w:r>
    </w:p>
    <w:p w:rsidR="00707E03" w:rsidRPr="00707E03" w:rsidRDefault="00707E03">
      <w:pPr>
        <w:pStyle w:val="TOC2"/>
        <w:rPr>
          <w:rFonts w:asciiTheme="minorHAnsi" w:eastAsiaTheme="minorEastAsia" w:hAnsiTheme="minorHAnsi" w:cstheme="minorBidi"/>
          <w:sz w:val="22"/>
          <w:szCs w:val="22"/>
        </w:rPr>
      </w:pPr>
      <w:r w:rsidRPr="00707E03">
        <w:rPr>
          <w:rFonts w:cs="Tahoma"/>
          <w:caps/>
          <w:vertAlign w:val="superscript"/>
          <w:lang w:val="it-IT"/>
        </w:rPr>
        <w:t>64</w:t>
      </w:r>
      <w:r w:rsidRPr="00707E03">
        <w:rPr>
          <w:rFonts w:cs="Tahoma"/>
          <w:caps/>
          <w:lang w:val="it-IT"/>
        </w:rPr>
        <w:t xml:space="preserve"> </w:t>
      </w:r>
      <w:r w:rsidRPr="00707E03">
        <w:rPr>
          <w:rFonts w:cs="Tahoma"/>
          <w:lang w:val="it-IT"/>
        </w:rPr>
        <w:t>Lync Server 2013</w:t>
      </w:r>
      <w:r w:rsidRPr="00707E03">
        <w:tab/>
      </w:r>
      <w:r w:rsidRPr="00707E03">
        <w:fldChar w:fldCharType="begin"/>
      </w:r>
      <w:r w:rsidRPr="00707E03">
        <w:instrText xml:space="preserve"> PAGEREF _Toc352234917 \h </w:instrText>
      </w:r>
      <w:r w:rsidRPr="00707E03">
        <w:fldChar w:fldCharType="separate"/>
      </w:r>
      <w:r w:rsidRPr="00707E03">
        <w:t>147</w:t>
      </w:r>
      <w:r w:rsidRPr="00707E03">
        <w:fldChar w:fldCharType="end"/>
      </w:r>
    </w:p>
    <w:p w:rsidR="00707E03" w:rsidRPr="00707E03" w:rsidRDefault="00707E03">
      <w:pPr>
        <w:pStyle w:val="TOC3"/>
        <w:rPr>
          <w:rFonts w:asciiTheme="minorHAnsi" w:eastAsiaTheme="minorEastAsia" w:hAnsiTheme="minorHAnsi" w:cstheme="minorBidi"/>
          <w:bCs w:val="0"/>
          <w:color w:val="auto"/>
          <w:sz w:val="22"/>
          <w:szCs w:val="22"/>
        </w:rPr>
      </w:pPr>
      <w:r w:rsidRPr="00707E03">
        <w:rPr>
          <w:color w:val="auto"/>
          <w:vertAlign w:val="superscript"/>
          <w:lang w:val="it-IT"/>
        </w:rPr>
        <w:t>65</w:t>
      </w:r>
      <w:r w:rsidRPr="00707E03">
        <w:rPr>
          <w:color w:val="auto"/>
          <w:lang w:val="it-IT"/>
        </w:rPr>
        <w:t xml:space="preserve"> Microsoft Dynamics AX 2012 R2</w:t>
      </w:r>
      <w:r w:rsidRPr="00707E03">
        <w:rPr>
          <w:color w:val="auto"/>
        </w:rPr>
        <w:tab/>
      </w:r>
      <w:r w:rsidRPr="00707E03">
        <w:rPr>
          <w:color w:val="auto"/>
        </w:rPr>
        <w:fldChar w:fldCharType="begin"/>
      </w:r>
      <w:r w:rsidRPr="00707E03">
        <w:rPr>
          <w:color w:val="auto"/>
        </w:rPr>
        <w:instrText xml:space="preserve"> PAGEREF _Toc352234918 \h </w:instrText>
      </w:r>
      <w:r w:rsidRPr="00707E03">
        <w:rPr>
          <w:color w:val="auto"/>
        </w:rPr>
      </w:r>
      <w:r w:rsidRPr="00707E03">
        <w:rPr>
          <w:color w:val="auto"/>
        </w:rPr>
        <w:fldChar w:fldCharType="separate"/>
      </w:r>
      <w:r w:rsidRPr="00707E03">
        <w:rPr>
          <w:color w:val="auto"/>
        </w:rPr>
        <w:t>149</w:t>
      </w:r>
      <w:r w:rsidRPr="00707E03">
        <w:rPr>
          <w:color w:val="auto"/>
        </w:rPr>
        <w:fldChar w:fldCharType="end"/>
      </w:r>
    </w:p>
    <w:p w:rsidR="00707E03" w:rsidRPr="00707E03" w:rsidRDefault="00707E03">
      <w:pPr>
        <w:pStyle w:val="TOC3"/>
        <w:rPr>
          <w:rFonts w:asciiTheme="minorHAnsi" w:eastAsiaTheme="minorEastAsia" w:hAnsiTheme="minorHAnsi" w:cstheme="minorBidi"/>
          <w:bCs w:val="0"/>
          <w:color w:val="auto"/>
          <w:sz w:val="22"/>
          <w:szCs w:val="22"/>
        </w:rPr>
      </w:pPr>
      <w:r w:rsidRPr="00707E03">
        <w:rPr>
          <w:color w:val="auto"/>
          <w:vertAlign w:val="superscript"/>
          <w:lang w:val="it-IT"/>
        </w:rPr>
        <w:t>66</w:t>
      </w:r>
      <w:r w:rsidRPr="00707E03">
        <w:rPr>
          <w:color w:val="auto"/>
          <w:lang w:val="it-IT"/>
        </w:rPr>
        <w:t xml:space="preserve"> Microsoft Dynamics CRM 2011</w:t>
      </w:r>
      <w:r w:rsidRPr="00707E03">
        <w:rPr>
          <w:color w:val="auto"/>
        </w:rPr>
        <w:tab/>
      </w:r>
      <w:r w:rsidRPr="00707E03">
        <w:rPr>
          <w:color w:val="auto"/>
        </w:rPr>
        <w:fldChar w:fldCharType="begin"/>
      </w:r>
      <w:r w:rsidRPr="00707E03">
        <w:rPr>
          <w:color w:val="auto"/>
        </w:rPr>
        <w:instrText xml:space="preserve"> PAGEREF _Toc352234919 \h </w:instrText>
      </w:r>
      <w:r w:rsidRPr="00707E03">
        <w:rPr>
          <w:color w:val="auto"/>
        </w:rPr>
      </w:r>
      <w:r w:rsidRPr="00707E03">
        <w:rPr>
          <w:color w:val="auto"/>
        </w:rPr>
        <w:fldChar w:fldCharType="separate"/>
      </w:r>
      <w:r w:rsidRPr="00707E03">
        <w:rPr>
          <w:color w:val="auto"/>
        </w:rPr>
        <w:t>150</w:t>
      </w:r>
      <w:r w:rsidRPr="00707E03">
        <w:rPr>
          <w:color w:val="auto"/>
        </w:rPr>
        <w:fldChar w:fldCharType="end"/>
      </w:r>
    </w:p>
    <w:p w:rsidR="00707E03" w:rsidRPr="00707E03" w:rsidRDefault="00707E03">
      <w:pPr>
        <w:pStyle w:val="TOC2"/>
        <w:rPr>
          <w:rFonts w:asciiTheme="minorHAnsi" w:eastAsiaTheme="minorEastAsia" w:hAnsiTheme="minorHAnsi" w:cstheme="minorBidi"/>
          <w:sz w:val="22"/>
          <w:szCs w:val="22"/>
        </w:rPr>
      </w:pPr>
      <w:r w:rsidRPr="00707E03">
        <w:rPr>
          <w:rFonts w:cs="Tahoma"/>
          <w:caps/>
          <w:vertAlign w:val="superscript"/>
          <w:lang w:val="it-IT"/>
        </w:rPr>
        <w:t xml:space="preserve">67 </w:t>
      </w:r>
      <w:r w:rsidRPr="00707E03">
        <w:rPr>
          <w:rFonts w:cs="Tahoma"/>
          <w:lang w:val="it-IT"/>
        </w:rPr>
        <w:t>Microsoft Dynamics CRM 2011 Server</w:t>
      </w:r>
      <w:r w:rsidRPr="00707E03">
        <w:tab/>
      </w:r>
      <w:r w:rsidRPr="00707E03">
        <w:fldChar w:fldCharType="begin"/>
      </w:r>
      <w:r w:rsidRPr="00707E03">
        <w:instrText xml:space="preserve"> PAGEREF _Toc352234920 \h </w:instrText>
      </w:r>
      <w:r w:rsidRPr="00707E03">
        <w:fldChar w:fldCharType="separate"/>
      </w:r>
      <w:r w:rsidRPr="00707E03">
        <w:t>160</w:t>
      </w:r>
      <w:r w:rsidRPr="00707E03">
        <w:fldChar w:fldCharType="end"/>
      </w:r>
    </w:p>
    <w:p w:rsidR="00707E03" w:rsidRPr="00707E03" w:rsidRDefault="00707E03">
      <w:pPr>
        <w:pStyle w:val="TOC2"/>
        <w:rPr>
          <w:rFonts w:asciiTheme="minorHAnsi" w:eastAsiaTheme="minorEastAsia" w:hAnsiTheme="minorHAnsi" w:cstheme="minorBidi"/>
          <w:sz w:val="22"/>
          <w:szCs w:val="22"/>
        </w:rPr>
      </w:pPr>
      <w:r w:rsidRPr="00707E03">
        <w:rPr>
          <w:rFonts w:cs="Tahoma"/>
          <w:caps/>
          <w:vertAlign w:val="superscript"/>
          <w:lang w:val="it-IT"/>
        </w:rPr>
        <w:t>68</w:t>
      </w:r>
      <w:r w:rsidRPr="00707E03">
        <w:rPr>
          <w:rFonts w:cs="Tahoma"/>
          <w:lang w:val="it-IT"/>
        </w:rPr>
        <w:t xml:space="preserve"> Office 365 Enterprise E1</w:t>
      </w:r>
      <w:r w:rsidRPr="00707E03">
        <w:tab/>
      </w:r>
      <w:r w:rsidRPr="00707E03">
        <w:fldChar w:fldCharType="begin"/>
      </w:r>
      <w:r w:rsidRPr="00707E03">
        <w:instrText xml:space="preserve"> PAGEREF _Toc352234921 \h </w:instrText>
      </w:r>
      <w:r w:rsidRPr="00707E03">
        <w:fldChar w:fldCharType="separate"/>
      </w:r>
      <w:r w:rsidRPr="00707E03">
        <w:t>160</w:t>
      </w:r>
      <w:r w:rsidRPr="00707E03">
        <w:fldChar w:fldCharType="end"/>
      </w:r>
    </w:p>
    <w:p w:rsidR="00707E03" w:rsidRPr="00707E03" w:rsidRDefault="00707E03">
      <w:pPr>
        <w:pStyle w:val="TOC2"/>
        <w:rPr>
          <w:rFonts w:asciiTheme="minorHAnsi" w:eastAsiaTheme="minorEastAsia" w:hAnsiTheme="minorHAnsi" w:cstheme="minorBidi"/>
          <w:sz w:val="22"/>
          <w:szCs w:val="22"/>
        </w:rPr>
      </w:pPr>
      <w:r w:rsidRPr="00707E03">
        <w:rPr>
          <w:rFonts w:cs="Tahoma"/>
          <w:caps/>
          <w:vertAlign w:val="superscript"/>
          <w:lang w:val="it-IT"/>
        </w:rPr>
        <w:t>69</w:t>
      </w:r>
      <w:r w:rsidRPr="00707E03">
        <w:rPr>
          <w:rFonts w:cs="Tahoma"/>
          <w:caps/>
          <w:lang w:val="it-IT"/>
        </w:rPr>
        <w:t xml:space="preserve"> </w:t>
      </w:r>
      <w:r w:rsidRPr="00707E03">
        <w:rPr>
          <w:rFonts w:cs="Tahoma"/>
          <w:lang w:val="it-IT"/>
        </w:rPr>
        <w:t>Office 365 Enterprise K1 e K2 (SL per Utente)</w:t>
      </w:r>
      <w:r w:rsidRPr="00707E03">
        <w:tab/>
      </w:r>
      <w:r w:rsidRPr="00707E03">
        <w:fldChar w:fldCharType="begin"/>
      </w:r>
      <w:r w:rsidRPr="00707E03">
        <w:instrText xml:space="preserve"> PAGEREF _Toc352234922 \h </w:instrText>
      </w:r>
      <w:r w:rsidRPr="00707E03">
        <w:fldChar w:fldCharType="separate"/>
      </w:r>
      <w:r w:rsidRPr="00707E03">
        <w:t>161</w:t>
      </w:r>
      <w:r w:rsidRPr="00707E03">
        <w:fldChar w:fldCharType="end"/>
      </w:r>
    </w:p>
    <w:p w:rsidR="00707E03" w:rsidRPr="00707E03" w:rsidRDefault="00707E03">
      <w:pPr>
        <w:pStyle w:val="TOC2"/>
        <w:rPr>
          <w:rFonts w:asciiTheme="minorHAnsi" w:eastAsiaTheme="minorEastAsia" w:hAnsiTheme="minorHAnsi" w:cstheme="minorBidi"/>
          <w:sz w:val="22"/>
          <w:szCs w:val="22"/>
        </w:rPr>
      </w:pPr>
      <w:r w:rsidRPr="00707E03">
        <w:rPr>
          <w:rFonts w:cs="Tahoma"/>
          <w:caps/>
          <w:vertAlign w:val="superscript"/>
          <w:lang w:val="it-IT"/>
        </w:rPr>
        <w:t>70</w:t>
      </w:r>
      <w:r w:rsidRPr="00707E03">
        <w:rPr>
          <w:rFonts w:cs="Tahoma"/>
          <w:lang w:val="it-IT"/>
        </w:rPr>
        <w:t xml:space="preserve"> Office 365 Government G1-G4</w:t>
      </w:r>
      <w:r w:rsidRPr="00707E03">
        <w:tab/>
      </w:r>
      <w:r w:rsidRPr="00707E03">
        <w:fldChar w:fldCharType="begin"/>
      </w:r>
      <w:r w:rsidRPr="00707E03">
        <w:instrText xml:space="preserve"> PAGEREF _Toc352234923 \h </w:instrText>
      </w:r>
      <w:r w:rsidRPr="00707E03">
        <w:fldChar w:fldCharType="separate"/>
      </w:r>
      <w:r w:rsidRPr="00707E03">
        <w:t>161</w:t>
      </w:r>
      <w:r w:rsidRPr="00707E03">
        <w:fldChar w:fldCharType="end"/>
      </w:r>
    </w:p>
    <w:p w:rsidR="00707E03" w:rsidRPr="00707E03" w:rsidRDefault="00707E03">
      <w:pPr>
        <w:pStyle w:val="TOC2"/>
        <w:rPr>
          <w:rFonts w:asciiTheme="minorHAnsi" w:eastAsiaTheme="minorEastAsia" w:hAnsiTheme="minorHAnsi" w:cstheme="minorBidi"/>
          <w:sz w:val="22"/>
          <w:szCs w:val="22"/>
        </w:rPr>
      </w:pPr>
      <w:r w:rsidRPr="00707E03">
        <w:rPr>
          <w:rFonts w:cs="Tahoma"/>
          <w:caps/>
          <w:vertAlign w:val="superscript"/>
        </w:rPr>
        <w:t>71</w:t>
      </w:r>
      <w:r w:rsidRPr="00707E03">
        <w:rPr>
          <w:rFonts w:cs="Tahoma"/>
        </w:rPr>
        <w:t xml:space="preserve"> SharePoint Online Piani 1 e 2</w:t>
      </w:r>
      <w:r w:rsidRPr="00707E03">
        <w:tab/>
      </w:r>
      <w:r w:rsidRPr="00707E03">
        <w:fldChar w:fldCharType="begin"/>
      </w:r>
      <w:r w:rsidRPr="00707E03">
        <w:instrText xml:space="preserve"> PAGEREF _Toc352234924 \h </w:instrText>
      </w:r>
      <w:r w:rsidRPr="00707E03">
        <w:fldChar w:fldCharType="separate"/>
      </w:r>
      <w:r w:rsidRPr="00707E03">
        <w:t>162</w:t>
      </w:r>
      <w:r w:rsidRPr="00707E03">
        <w:fldChar w:fldCharType="end"/>
      </w:r>
    </w:p>
    <w:p w:rsidR="00707E03" w:rsidRPr="00707E03" w:rsidRDefault="00707E03">
      <w:pPr>
        <w:pStyle w:val="TOC2"/>
        <w:rPr>
          <w:rFonts w:asciiTheme="minorHAnsi" w:eastAsiaTheme="minorEastAsia" w:hAnsiTheme="minorHAnsi" w:cstheme="minorBidi"/>
          <w:sz w:val="22"/>
          <w:szCs w:val="22"/>
        </w:rPr>
      </w:pPr>
      <w:r w:rsidRPr="00707E03">
        <w:rPr>
          <w:rFonts w:cs="Tahoma"/>
          <w:caps/>
          <w:vertAlign w:val="superscript"/>
        </w:rPr>
        <w:t xml:space="preserve">72 </w:t>
      </w:r>
      <w:r w:rsidRPr="00707E03">
        <w:rPr>
          <w:rFonts w:cs="Tahoma"/>
        </w:rPr>
        <w:t>SharePoint Server 2013</w:t>
      </w:r>
      <w:r w:rsidRPr="00707E03">
        <w:tab/>
      </w:r>
      <w:r w:rsidRPr="00707E03">
        <w:fldChar w:fldCharType="begin"/>
      </w:r>
      <w:r w:rsidRPr="00707E03">
        <w:instrText xml:space="preserve"> PAGEREF _Toc352234925 \h </w:instrText>
      </w:r>
      <w:r w:rsidRPr="00707E03">
        <w:fldChar w:fldCharType="separate"/>
      </w:r>
      <w:r w:rsidRPr="00707E03">
        <w:t>163</w:t>
      </w:r>
      <w:r w:rsidRPr="00707E03">
        <w:fldChar w:fldCharType="end"/>
      </w:r>
    </w:p>
    <w:p w:rsidR="00707E03" w:rsidRPr="00707E03" w:rsidRDefault="00707E03">
      <w:pPr>
        <w:pStyle w:val="TOC3"/>
        <w:rPr>
          <w:rFonts w:asciiTheme="minorHAnsi" w:eastAsiaTheme="minorEastAsia" w:hAnsiTheme="minorHAnsi" w:cstheme="minorBidi"/>
          <w:bCs w:val="0"/>
          <w:color w:val="auto"/>
          <w:sz w:val="22"/>
          <w:szCs w:val="22"/>
        </w:rPr>
      </w:pPr>
      <w:r w:rsidRPr="00707E03">
        <w:rPr>
          <w:caps/>
          <w:color w:val="auto"/>
          <w:vertAlign w:val="superscript"/>
          <w:lang w:val="it-IT"/>
        </w:rPr>
        <w:t>73</w:t>
      </w:r>
      <w:r w:rsidRPr="00707E03">
        <w:rPr>
          <w:color w:val="auto"/>
          <w:lang w:val="it-IT"/>
        </w:rPr>
        <w:t xml:space="preserve"> SQL Server</w:t>
      </w:r>
      <w:r w:rsidRPr="00707E03">
        <w:rPr>
          <w:color w:val="auto"/>
          <w:vertAlign w:val="superscript"/>
          <w:lang w:val="it-IT"/>
        </w:rPr>
        <w:t>®</w:t>
      </w:r>
      <w:r w:rsidRPr="00707E03">
        <w:rPr>
          <w:color w:val="auto"/>
          <w:lang w:val="it-IT"/>
        </w:rPr>
        <w:t xml:space="preserve"> 2008 R2 Datacenter</w:t>
      </w:r>
      <w:r w:rsidRPr="00707E03">
        <w:rPr>
          <w:color w:val="auto"/>
        </w:rPr>
        <w:tab/>
      </w:r>
      <w:r w:rsidRPr="00707E03">
        <w:rPr>
          <w:color w:val="auto"/>
        </w:rPr>
        <w:fldChar w:fldCharType="begin"/>
      </w:r>
      <w:r w:rsidRPr="00707E03">
        <w:rPr>
          <w:color w:val="auto"/>
        </w:rPr>
        <w:instrText xml:space="preserve"> PAGEREF _Toc352234926 \h </w:instrText>
      </w:r>
      <w:r w:rsidRPr="00707E03">
        <w:rPr>
          <w:color w:val="auto"/>
        </w:rPr>
      </w:r>
      <w:r w:rsidRPr="00707E03">
        <w:rPr>
          <w:color w:val="auto"/>
        </w:rPr>
        <w:fldChar w:fldCharType="separate"/>
      </w:r>
      <w:r w:rsidRPr="00707E03">
        <w:rPr>
          <w:color w:val="auto"/>
        </w:rPr>
        <w:t>164</w:t>
      </w:r>
      <w:r w:rsidRPr="00707E03">
        <w:rPr>
          <w:color w:val="auto"/>
        </w:rPr>
        <w:fldChar w:fldCharType="end"/>
      </w:r>
    </w:p>
    <w:p w:rsidR="00707E03" w:rsidRPr="00707E03" w:rsidRDefault="00707E03">
      <w:pPr>
        <w:pStyle w:val="TOC3"/>
        <w:rPr>
          <w:rFonts w:asciiTheme="minorHAnsi" w:eastAsiaTheme="minorEastAsia" w:hAnsiTheme="minorHAnsi" w:cstheme="minorBidi"/>
          <w:bCs w:val="0"/>
          <w:color w:val="auto"/>
          <w:sz w:val="22"/>
          <w:szCs w:val="22"/>
        </w:rPr>
      </w:pPr>
      <w:r w:rsidRPr="00707E03">
        <w:rPr>
          <w:caps/>
          <w:color w:val="auto"/>
          <w:vertAlign w:val="superscript"/>
          <w:lang w:val="it-IT"/>
        </w:rPr>
        <w:t>74</w:t>
      </w:r>
      <w:r w:rsidRPr="00707E03">
        <w:rPr>
          <w:caps/>
          <w:color w:val="auto"/>
          <w:lang w:val="it-IT"/>
        </w:rPr>
        <w:t xml:space="preserve"> </w:t>
      </w:r>
      <w:r w:rsidRPr="00707E03">
        <w:rPr>
          <w:color w:val="auto"/>
          <w:lang w:val="it-IT"/>
        </w:rPr>
        <w:t>SQL Server</w:t>
      </w:r>
      <w:r w:rsidRPr="00707E03">
        <w:rPr>
          <w:color w:val="auto"/>
          <w:vertAlign w:val="superscript"/>
          <w:lang w:val="it-IT"/>
        </w:rPr>
        <w:t>®</w:t>
      </w:r>
      <w:r w:rsidRPr="00707E03">
        <w:rPr>
          <w:color w:val="auto"/>
          <w:lang w:val="it-IT"/>
        </w:rPr>
        <w:t xml:space="preserve"> 2008 R2 Small Business</w:t>
      </w:r>
      <w:r w:rsidRPr="00707E03">
        <w:rPr>
          <w:color w:val="auto"/>
        </w:rPr>
        <w:tab/>
      </w:r>
      <w:r w:rsidRPr="00707E03">
        <w:rPr>
          <w:color w:val="auto"/>
        </w:rPr>
        <w:fldChar w:fldCharType="begin"/>
      </w:r>
      <w:r w:rsidRPr="00707E03">
        <w:rPr>
          <w:color w:val="auto"/>
        </w:rPr>
        <w:instrText xml:space="preserve"> PAGEREF _Toc352234927 \h </w:instrText>
      </w:r>
      <w:r w:rsidRPr="00707E03">
        <w:rPr>
          <w:color w:val="auto"/>
        </w:rPr>
      </w:r>
      <w:r w:rsidRPr="00707E03">
        <w:rPr>
          <w:color w:val="auto"/>
        </w:rPr>
        <w:fldChar w:fldCharType="separate"/>
      </w:r>
      <w:r w:rsidRPr="00707E03">
        <w:rPr>
          <w:color w:val="auto"/>
        </w:rPr>
        <w:t>167</w:t>
      </w:r>
      <w:r w:rsidRPr="00707E03">
        <w:rPr>
          <w:color w:val="auto"/>
        </w:rPr>
        <w:fldChar w:fldCharType="end"/>
      </w:r>
    </w:p>
    <w:p w:rsidR="00707E03" w:rsidRPr="00707E03" w:rsidRDefault="00707E03">
      <w:pPr>
        <w:pStyle w:val="TOC3"/>
        <w:rPr>
          <w:rFonts w:asciiTheme="minorHAnsi" w:eastAsiaTheme="minorEastAsia" w:hAnsiTheme="minorHAnsi" w:cstheme="minorBidi"/>
          <w:bCs w:val="0"/>
          <w:color w:val="auto"/>
          <w:sz w:val="22"/>
          <w:szCs w:val="22"/>
        </w:rPr>
      </w:pPr>
      <w:r w:rsidRPr="00707E03">
        <w:rPr>
          <w:caps/>
          <w:color w:val="auto"/>
          <w:vertAlign w:val="superscript"/>
          <w:lang w:val="it-IT"/>
        </w:rPr>
        <w:t>75</w:t>
      </w:r>
      <w:r w:rsidRPr="00707E03">
        <w:rPr>
          <w:color w:val="auto"/>
          <w:lang w:val="it-IT"/>
        </w:rPr>
        <w:t xml:space="preserve"> Processore per SQL Server</w:t>
      </w:r>
      <w:r w:rsidRPr="00707E03">
        <w:rPr>
          <w:color w:val="auto"/>
          <w:vertAlign w:val="superscript"/>
          <w:lang w:val="it-IT"/>
        </w:rPr>
        <w:t>®</w:t>
      </w:r>
      <w:r w:rsidRPr="00707E03">
        <w:rPr>
          <w:color w:val="auto"/>
          <w:lang w:val="it-IT"/>
        </w:rPr>
        <w:t xml:space="preserve"> 2008 R2 Web</w:t>
      </w:r>
      <w:r w:rsidRPr="00707E03">
        <w:rPr>
          <w:color w:val="auto"/>
        </w:rPr>
        <w:tab/>
      </w:r>
      <w:r w:rsidRPr="00707E03">
        <w:rPr>
          <w:color w:val="auto"/>
        </w:rPr>
        <w:fldChar w:fldCharType="begin"/>
      </w:r>
      <w:r w:rsidRPr="00707E03">
        <w:rPr>
          <w:color w:val="auto"/>
        </w:rPr>
        <w:instrText xml:space="preserve"> PAGEREF _Toc352234928 \h </w:instrText>
      </w:r>
      <w:r w:rsidRPr="00707E03">
        <w:rPr>
          <w:color w:val="auto"/>
        </w:rPr>
      </w:r>
      <w:r w:rsidRPr="00707E03">
        <w:rPr>
          <w:color w:val="auto"/>
        </w:rPr>
        <w:fldChar w:fldCharType="separate"/>
      </w:r>
      <w:r w:rsidRPr="00707E03">
        <w:rPr>
          <w:color w:val="auto"/>
        </w:rPr>
        <w:t>167</w:t>
      </w:r>
      <w:r w:rsidRPr="00707E03">
        <w:rPr>
          <w:color w:val="auto"/>
        </w:rPr>
        <w:fldChar w:fldCharType="end"/>
      </w:r>
    </w:p>
    <w:p w:rsidR="00707E03" w:rsidRPr="00707E03" w:rsidRDefault="00707E03">
      <w:pPr>
        <w:pStyle w:val="TOC3"/>
        <w:rPr>
          <w:rFonts w:asciiTheme="minorHAnsi" w:eastAsiaTheme="minorEastAsia" w:hAnsiTheme="minorHAnsi" w:cstheme="minorBidi"/>
          <w:bCs w:val="0"/>
          <w:color w:val="auto"/>
          <w:sz w:val="22"/>
          <w:szCs w:val="22"/>
        </w:rPr>
      </w:pPr>
      <w:r w:rsidRPr="00707E03">
        <w:rPr>
          <w:color w:val="auto"/>
          <w:vertAlign w:val="superscript"/>
        </w:rPr>
        <w:t>76</w:t>
      </w:r>
      <w:r w:rsidRPr="00707E03">
        <w:rPr>
          <w:color w:val="auto"/>
        </w:rPr>
        <w:t xml:space="preserve"> SQL Server</w:t>
      </w:r>
      <w:r w:rsidRPr="00707E03">
        <w:rPr>
          <w:color w:val="auto"/>
          <w:vertAlign w:val="superscript"/>
        </w:rPr>
        <w:t>®</w:t>
      </w:r>
      <w:r w:rsidRPr="00707E03">
        <w:rPr>
          <w:color w:val="auto"/>
        </w:rPr>
        <w:t xml:space="preserve"> 2008 R2 Workgroup (5 Add On Client)</w:t>
      </w:r>
      <w:r w:rsidRPr="00707E03">
        <w:rPr>
          <w:color w:val="auto"/>
        </w:rPr>
        <w:tab/>
      </w:r>
      <w:r w:rsidRPr="00707E03">
        <w:rPr>
          <w:color w:val="auto"/>
        </w:rPr>
        <w:fldChar w:fldCharType="begin"/>
      </w:r>
      <w:r w:rsidRPr="00707E03">
        <w:rPr>
          <w:color w:val="auto"/>
        </w:rPr>
        <w:instrText xml:space="preserve"> PAGEREF _Toc352234929 \h </w:instrText>
      </w:r>
      <w:r w:rsidRPr="00707E03">
        <w:rPr>
          <w:color w:val="auto"/>
        </w:rPr>
      </w:r>
      <w:r w:rsidRPr="00707E03">
        <w:rPr>
          <w:color w:val="auto"/>
        </w:rPr>
        <w:fldChar w:fldCharType="separate"/>
      </w:r>
      <w:r w:rsidRPr="00707E03">
        <w:rPr>
          <w:color w:val="auto"/>
        </w:rPr>
        <w:t>169</w:t>
      </w:r>
      <w:r w:rsidRPr="00707E03">
        <w:rPr>
          <w:color w:val="auto"/>
        </w:rPr>
        <w:fldChar w:fldCharType="end"/>
      </w:r>
    </w:p>
    <w:p w:rsidR="00707E03" w:rsidRPr="00707E03" w:rsidRDefault="00707E03">
      <w:pPr>
        <w:pStyle w:val="TOC3"/>
        <w:rPr>
          <w:rFonts w:asciiTheme="minorHAnsi" w:eastAsiaTheme="minorEastAsia" w:hAnsiTheme="minorHAnsi" w:cstheme="minorBidi"/>
          <w:bCs w:val="0"/>
          <w:color w:val="auto"/>
          <w:sz w:val="22"/>
          <w:szCs w:val="22"/>
        </w:rPr>
      </w:pPr>
      <w:r w:rsidRPr="00707E03">
        <w:rPr>
          <w:color w:val="auto"/>
          <w:vertAlign w:val="superscript"/>
          <w:lang w:val="it-IT"/>
        </w:rPr>
        <w:t>77</w:t>
      </w:r>
      <w:r w:rsidRPr="00707E03">
        <w:rPr>
          <w:color w:val="auto"/>
          <w:lang w:val="it-IT"/>
        </w:rPr>
        <w:t xml:space="preserve"> Processore per SQL Server</w:t>
      </w:r>
      <w:r w:rsidRPr="00707E03">
        <w:rPr>
          <w:color w:val="auto"/>
          <w:vertAlign w:val="superscript"/>
          <w:lang w:val="it-IT"/>
        </w:rPr>
        <w:t>®</w:t>
      </w:r>
      <w:r w:rsidRPr="00707E03">
        <w:rPr>
          <w:color w:val="auto"/>
          <w:lang w:val="it-IT"/>
        </w:rPr>
        <w:t xml:space="preserve"> 2008 R2 Workgroup</w:t>
      </w:r>
      <w:r w:rsidRPr="00707E03">
        <w:rPr>
          <w:color w:val="auto"/>
        </w:rPr>
        <w:tab/>
      </w:r>
      <w:r w:rsidRPr="00707E03">
        <w:rPr>
          <w:color w:val="auto"/>
        </w:rPr>
        <w:fldChar w:fldCharType="begin"/>
      </w:r>
      <w:r w:rsidRPr="00707E03">
        <w:rPr>
          <w:color w:val="auto"/>
        </w:rPr>
        <w:instrText xml:space="preserve"> PAGEREF _Toc352234930 \h </w:instrText>
      </w:r>
      <w:r w:rsidRPr="00707E03">
        <w:rPr>
          <w:color w:val="auto"/>
        </w:rPr>
      </w:r>
      <w:r w:rsidRPr="00707E03">
        <w:rPr>
          <w:color w:val="auto"/>
        </w:rPr>
        <w:fldChar w:fldCharType="separate"/>
      </w:r>
      <w:r w:rsidRPr="00707E03">
        <w:rPr>
          <w:color w:val="auto"/>
        </w:rPr>
        <w:t>170</w:t>
      </w:r>
      <w:r w:rsidRPr="00707E03">
        <w:rPr>
          <w:color w:val="auto"/>
        </w:rPr>
        <w:fldChar w:fldCharType="end"/>
      </w:r>
    </w:p>
    <w:p w:rsidR="00707E03" w:rsidRPr="00707E03" w:rsidRDefault="00707E03">
      <w:pPr>
        <w:pStyle w:val="TOC3"/>
        <w:rPr>
          <w:rFonts w:asciiTheme="minorHAnsi" w:eastAsiaTheme="minorEastAsia" w:hAnsiTheme="minorHAnsi" w:cstheme="minorBidi"/>
          <w:bCs w:val="0"/>
          <w:color w:val="auto"/>
          <w:sz w:val="22"/>
          <w:szCs w:val="22"/>
        </w:rPr>
      </w:pPr>
      <w:r w:rsidRPr="00707E03">
        <w:rPr>
          <w:color w:val="auto"/>
          <w:vertAlign w:val="superscript"/>
          <w:lang w:val="it-IT"/>
        </w:rPr>
        <w:t>78</w:t>
      </w:r>
      <w:r w:rsidRPr="00707E03">
        <w:rPr>
          <w:color w:val="auto"/>
          <w:lang w:val="it-IT"/>
        </w:rPr>
        <w:t xml:space="preserve"> SQL Server</w:t>
      </w:r>
      <w:r w:rsidRPr="00707E03">
        <w:rPr>
          <w:color w:val="auto"/>
          <w:vertAlign w:val="superscript"/>
          <w:lang w:val="it-IT"/>
        </w:rPr>
        <w:t>®</w:t>
      </w:r>
      <w:r w:rsidRPr="00707E03">
        <w:rPr>
          <w:color w:val="auto"/>
          <w:lang w:val="it-IT"/>
        </w:rPr>
        <w:t xml:space="preserve"> 2012 Developer</w:t>
      </w:r>
      <w:r w:rsidRPr="00707E03">
        <w:rPr>
          <w:color w:val="auto"/>
        </w:rPr>
        <w:tab/>
      </w:r>
      <w:r w:rsidRPr="00707E03">
        <w:rPr>
          <w:color w:val="auto"/>
        </w:rPr>
        <w:fldChar w:fldCharType="begin"/>
      </w:r>
      <w:r w:rsidRPr="00707E03">
        <w:rPr>
          <w:color w:val="auto"/>
        </w:rPr>
        <w:instrText xml:space="preserve"> PAGEREF _Toc352234931 \h </w:instrText>
      </w:r>
      <w:r w:rsidRPr="00707E03">
        <w:rPr>
          <w:color w:val="auto"/>
        </w:rPr>
      </w:r>
      <w:r w:rsidRPr="00707E03">
        <w:rPr>
          <w:color w:val="auto"/>
        </w:rPr>
        <w:fldChar w:fldCharType="separate"/>
      </w:r>
      <w:r w:rsidRPr="00707E03">
        <w:rPr>
          <w:color w:val="auto"/>
        </w:rPr>
        <w:t>172</w:t>
      </w:r>
      <w:r w:rsidRPr="00707E03">
        <w:rPr>
          <w:color w:val="auto"/>
        </w:rPr>
        <w:fldChar w:fldCharType="end"/>
      </w:r>
    </w:p>
    <w:p w:rsidR="00707E03" w:rsidRPr="00707E03" w:rsidRDefault="00707E03">
      <w:pPr>
        <w:pStyle w:val="TOC3"/>
        <w:rPr>
          <w:rFonts w:asciiTheme="minorHAnsi" w:eastAsiaTheme="minorEastAsia" w:hAnsiTheme="minorHAnsi" w:cstheme="minorBidi"/>
          <w:bCs w:val="0"/>
          <w:color w:val="auto"/>
          <w:sz w:val="22"/>
          <w:szCs w:val="22"/>
        </w:rPr>
      </w:pPr>
      <w:r w:rsidRPr="00707E03">
        <w:rPr>
          <w:color w:val="auto"/>
          <w:vertAlign w:val="superscript"/>
          <w:lang w:val="it-IT"/>
        </w:rPr>
        <w:t>79</w:t>
      </w:r>
      <w:r w:rsidRPr="00707E03">
        <w:rPr>
          <w:color w:val="auto"/>
          <w:lang w:val="it-IT"/>
        </w:rPr>
        <w:t xml:space="preserve"> SQL Server</w:t>
      </w:r>
      <w:r w:rsidRPr="00707E03">
        <w:rPr>
          <w:color w:val="auto"/>
          <w:vertAlign w:val="superscript"/>
          <w:lang w:val="it-IT"/>
        </w:rPr>
        <w:t>®</w:t>
      </w:r>
      <w:r w:rsidRPr="00707E03">
        <w:rPr>
          <w:color w:val="auto"/>
          <w:lang w:val="it-IT"/>
        </w:rPr>
        <w:t xml:space="preserve"> 2012 Enterprise</w:t>
      </w:r>
      <w:r w:rsidRPr="00707E03">
        <w:rPr>
          <w:color w:val="auto"/>
        </w:rPr>
        <w:tab/>
      </w:r>
      <w:r w:rsidRPr="00707E03">
        <w:rPr>
          <w:color w:val="auto"/>
        </w:rPr>
        <w:fldChar w:fldCharType="begin"/>
      </w:r>
      <w:r w:rsidRPr="00707E03">
        <w:rPr>
          <w:color w:val="auto"/>
        </w:rPr>
        <w:instrText xml:space="preserve"> PAGEREF _Toc352234932 \h </w:instrText>
      </w:r>
      <w:r w:rsidRPr="00707E03">
        <w:rPr>
          <w:color w:val="auto"/>
        </w:rPr>
      </w:r>
      <w:r w:rsidRPr="00707E03">
        <w:rPr>
          <w:color w:val="auto"/>
        </w:rPr>
        <w:fldChar w:fldCharType="separate"/>
      </w:r>
      <w:r w:rsidRPr="00707E03">
        <w:rPr>
          <w:color w:val="auto"/>
        </w:rPr>
        <w:t>172</w:t>
      </w:r>
      <w:r w:rsidRPr="00707E03">
        <w:rPr>
          <w:color w:val="auto"/>
        </w:rPr>
        <w:fldChar w:fldCharType="end"/>
      </w:r>
    </w:p>
    <w:p w:rsidR="00707E03" w:rsidRPr="00707E03" w:rsidRDefault="00707E03">
      <w:pPr>
        <w:pStyle w:val="TOC3"/>
        <w:rPr>
          <w:rFonts w:asciiTheme="minorHAnsi" w:eastAsiaTheme="minorEastAsia" w:hAnsiTheme="minorHAnsi" w:cstheme="minorBidi"/>
          <w:bCs w:val="0"/>
          <w:color w:val="auto"/>
          <w:sz w:val="22"/>
          <w:szCs w:val="22"/>
        </w:rPr>
      </w:pPr>
      <w:r w:rsidRPr="00707E03">
        <w:rPr>
          <w:caps/>
          <w:color w:val="auto"/>
          <w:vertAlign w:val="superscript"/>
          <w:lang w:val="it-IT"/>
        </w:rPr>
        <w:t>80</w:t>
      </w:r>
      <w:r w:rsidRPr="00707E03">
        <w:rPr>
          <w:caps/>
          <w:color w:val="auto"/>
          <w:lang w:val="it-IT"/>
        </w:rPr>
        <w:t xml:space="preserve"> </w:t>
      </w:r>
      <w:r w:rsidRPr="00707E03">
        <w:rPr>
          <w:color w:val="auto"/>
          <w:lang w:val="it-IT"/>
        </w:rPr>
        <w:t>SQL Server</w:t>
      </w:r>
      <w:r w:rsidRPr="00707E03">
        <w:rPr>
          <w:color w:val="auto"/>
          <w:vertAlign w:val="superscript"/>
          <w:lang w:val="it-IT"/>
        </w:rPr>
        <w:t>®</w:t>
      </w:r>
      <w:r w:rsidRPr="00707E03">
        <w:rPr>
          <w:color w:val="auto"/>
          <w:lang w:val="it-IT"/>
        </w:rPr>
        <w:t xml:space="preserve"> 2012 Enterprise Core</w:t>
      </w:r>
      <w:r w:rsidRPr="00707E03">
        <w:rPr>
          <w:color w:val="auto"/>
        </w:rPr>
        <w:tab/>
      </w:r>
      <w:r w:rsidRPr="00707E03">
        <w:rPr>
          <w:color w:val="auto"/>
        </w:rPr>
        <w:fldChar w:fldCharType="begin"/>
      </w:r>
      <w:r w:rsidRPr="00707E03">
        <w:rPr>
          <w:color w:val="auto"/>
        </w:rPr>
        <w:instrText xml:space="preserve"> PAGEREF _Toc352234933 \h </w:instrText>
      </w:r>
      <w:r w:rsidRPr="00707E03">
        <w:rPr>
          <w:color w:val="auto"/>
        </w:rPr>
      </w:r>
      <w:r w:rsidRPr="00707E03">
        <w:rPr>
          <w:color w:val="auto"/>
        </w:rPr>
        <w:fldChar w:fldCharType="separate"/>
      </w:r>
      <w:r w:rsidRPr="00707E03">
        <w:rPr>
          <w:color w:val="auto"/>
        </w:rPr>
        <w:t>173</w:t>
      </w:r>
      <w:r w:rsidRPr="00707E03">
        <w:rPr>
          <w:color w:val="auto"/>
        </w:rPr>
        <w:fldChar w:fldCharType="end"/>
      </w:r>
    </w:p>
    <w:p w:rsidR="00707E03" w:rsidRPr="00707E03" w:rsidRDefault="00707E03">
      <w:pPr>
        <w:pStyle w:val="TOC3"/>
        <w:rPr>
          <w:rFonts w:asciiTheme="minorHAnsi" w:eastAsiaTheme="minorEastAsia" w:hAnsiTheme="minorHAnsi" w:cstheme="minorBidi"/>
          <w:bCs w:val="0"/>
          <w:color w:val="auto"/>
          <w:sz w:val="22"/>
          <w:szCs w:val="22"/>
        </w:rPr>
      </w:pPr>
      <w:r w:rsidRPr="00707E03">
        <w:rPr>
          <w:caps/>
          <w:color w:val="auto"/>
          <w:vertAlign w:val="superscript"/>
          <w:lang w:val="it-IT"/>
        </w:rPr>
        <w:t>81</w:t>
      </w:r>
      <w:r w:rsidRPr="00707E03">
        <w:rPr>
          <w:color w:val="auto"/>
          <w:lang w:val="it-IT"/>
        </w:rPr>
        <w:t xml:space="preserve"> SQL Server </w:t>
      </w:r>
      <w:r w:rsidRPr="00707E03">
        <w:rPr>
          <w:color w:val="auto"/>
          <w:vertAlign w:val="superscript"/>
          <w:lang w:val="it-IT"/>
        </w:rPr>
        <w:t>®</w:t>
      </w:r>
      <w:r w:rsidRPr="00707E03">
        <w:rPr>
          <w:color w:val="auto"/>
          <w:lang w:val="it-IT"/>
        </w:rPr>
        <w:t xml:space="preserve"> 2012 Parallel Data Warehouse</w:t>
      </w:r>
      <w:r w:rsidRPr="00707E03">
        <w:rPr>
          <w:color w:val="auto"/>
        </w:rPr>
        <w:tab/>
      </w:r>
      <w:r w:rsidRPr="00707E03">
        <w:rPr>
          <w:color w:val="auto"/>
        </w:rPr>
        <w:fldChar w:fldCharType="begin"/>
      </w:r>
      <w:r w:rsidRPr="00707E03">
        <w:rPr>
          <w:color w:val="auto"/>
        </w:rPr>
        <w:instrText xml:space="preserve"> PAGEREF _Toc352234934 \h </w:instrText>
      </w:r>
      <w:r w:rsidRPr="00707E03">
        <w:rPr>
          <w:color w:val="auto"/>
        </w:rPr>
      </w:r>
      <w:r w:rsidRPr="00707E03">
        <w:rPr>
          <w:color w:val="auto"/>
        </w:rPr>
        <w:fldChar w:fldCharType="separate"/>
      </w:r>
      <w:r w:rsidRPr="00707E03">
        <w:rPr>
          <w:color w:val="auto"/>
        </w:rPr>
        <w:t>175</w:t>
      </w:r>
      <w:r w:rsidRPr="00707E03">
        <w:rPr>
          <w:color w:val="auto"/>
        </w:rPr>
        <w:fldChar w:fldCharType="end"/>
      </w:r>
    </w:p>
    <w:p w:rsidR="00707E03" w:rsidRPr="00707E03" w:rsidRDefault="00707E03">
      <w:pPr>
        <w:pStyle w:val="TOC3"/>
        <w:rPr>
          <w:rFonts w:asciiTheme="minorHAnsi" w:eastAsiaTheme="minorEastAsia" w:hAnsiTheme="minorHAnsi" w:cstheme="minorBidi"/>
          <w:bCs w:val="0"/>
          <w:color w:val="auto"/>
          <w:sz w:val="22"/>
          <w:szCs w:val="22"/>
        </w:rPr>
      </w:pPr>
      <w:r w:rsidRPr="00707E03">
        <w:rPr>
          <w:caps/>
          <w:color w:val="auto"/>
          <w:vertAlign w:val="superscript"/>
          <w:lang w:val="it-IT"/>
        </w:rPr>
        <w:t>82</w:t>
      </w:r>
      <w:r w:rsidRPr="00707E03">
        <w:rPr>
          <w:color w:val="auto"/>
          <w:lang w:val="it-IT"/>
        </w:rPr>
        <w:t xml:space="preserve"> SQL Server</w:t>
      </w:r>
      <w:r w:rsidRPr="00707E03">
        <w:rPr>
          <w:color w:val="auto"/>
          <w:vertAlign w:val="superscript"/>
          <w:lang w:val="it-IT"/>
        </w:rPr>
        <w:t>®</w:t>
      </w:r>
      <w:r w:rsidRPr="00707E03">
        <w:rPr>
          <w:color w:val="auto"/>
          <w:lang w:val="it-IT"/>
        </w:rPr>
        <w:t xml:space="preserve"> 2012 Standard</w:t>
      </w:r>
      <w:r w:rsidRPr="00707E03">
        <w:rPr>
          <w:color w:val="auto"/>
        </w:rPr>
        <w:tab/>
      </w:r>
      <w:r w:rsidRPr="00707E03">
        <w:rPr>
          <w:color w:val="auto"/>
        </w:rPr>
        <w:fldChar w:fldCharType="begin"/>
      </w:r>
      <w:r w:rsidRPr="00707E03">
        <w:rPr>
          <w:color w:val="auto"/>
        </w:rPr>
        <w:instrText xml:space="preserve"> PAGEREF _Toc352234935 \h </w:instrText>
      </w:r>
      <w:r w:rsidRPr="00707E03">
        <w:rPr>
          <w:color w:val="auto"/>
        </w:rPr>
      </w:r>
      <w:r w:rsidRPr="00707E03">
        <w:rPr>
          <w:color w:val="auto"/>
        </w:rPr>
        <w:fldChar w:fldCharType="separate"/>
      </w:r>
      <w:r w:rsidRPr="00707E03">
        <w:rPr>
          <w:color w:val="auto"/>
        </w:rPr>
        <w:t>176</w:t>
      </w:r>
      <w:r w:rsidRPr="00707E03">
        <w:rPr>
          <w:color w:val="auto"/>
        </w:rPr>
        <w:fldChar w:fldCharType="end"/>
      </w:r>
    </w:p>
    <w:p w:rsidR="00707E03" w:rsidRPr="00707E03" w:rsidRDefault="00707E03">
      <w:pPr>
        <w:pStyle w:val="TOC3"/>
        <w:rPr>
          <w:rFonts w:asciiTheme="minorHAnsi" w:eastAsiaTheme="minorEastAsia" w:hAnsiTheme="minorHAnsi" w:cstheme="minorBidi"/>
          <w:bCs w:val="0"/>
          <w:color w:val="auto"/>
          <w:sz w:val="22"/>
          <w:szCs w:val="22"/>
        </w:rPr>
      </w:pPr>
      <w:r w:rsidRPr="00707E03">
        <w:rPr>
          <w:caps/>
          <w:color w:val="auto"/>
          <w:vertAlign w:val="superscript"/>
          <w:lang w:val="it-IT"/>
        </w:rPr>
        <w:t>83</w:t>
      </w:r>
      <w:r w:rsidRPr="00707E03">
        <w:rPr>
          <w:color w:val="auto"/>
          <w:lang w:val="it-IT"/>
        </w:rPr>
        <w:t xml:space="preserve"> SQL Server</w:t>
      </w:r>
      <w:r w:rsidRPr="00707E03">
        <w:rPr>
          <w:color w:val="auto"/>
          <w:vertAlign w:val="superscript"/>
          <w:lang w:val="it-IT"/>
        </w:rPr>
        <w:t>®</w:t>
      </w:r>
      <w:r w:rsidRPr="00707E03">
        <w:rPr>
          <w:color w:val="auto"/>
          <w:lang w:val="it-IT"/>
        </w:rPr>
        <w:t xml:space="preserve"> 2012 Standard</w:t>
      </w:r>
      <w:r w:rsidRPr="00707E03">
        <w:rPr>
          <w:rFonts w:eastAsia="Calibri"/>
          <w:color w:val="auto"/>
          <w:lang w:val="it-IT"/>
        </w:rPr>
        <w:t xml:space="preserve"> Core</w:t>
      </w:r>
      <w:r w:rsidRPr="00707E03">
        <w:rPr>
          <w:color w:val="auto"/>
        </w:rPr>
        <w:tab/>
      </w:r>
      <w:r w:rsidRPr="00707E03">
        <w:rPr>
          <w:color w:val="auto"/>
        </w:rPr>
        <w:fldChar w:fldCharType="begin"/>
      </w:r>
      <w:r w:rsidRPr="00707E03">
        <w:rPr>
          <w:color w:val="auto"/>
        </w:rPr>
        <w:instrText xml:space="preserve"> PAGEREF _Toc352234936 \h </w:instrText>
      </w:r>
      <w:r w:rsidRPr="00707E03">
        <w:rPr>
          <w:color w:val="auto"/>
        </w:rPr>
      </w:r>
      <w:r w:rsidRPr="00707E03">
        <w:rPr>
          <w:color w:val="auto"/>
        </w:rPr>
        <w:fldChar w:fldCharType="separate"/>
      </w:r>
      <w:r w:rsidRPr="00707E03">
        <w:rPr>
          <w:color w:val="auto"/>
        </w:rPr>
        <w:t>176</w:t>
      </w:r>
      <w:r w:rsidRPr="00707E03">
        <w:rPr>
          <w:color w:val="auto"/>
        </w:rPr>
        <w:fldChar w:fldCharType="end"/>
      </w:r>
    </w:p>
    <w:p w:rsidR="00707E03" w:rsidRPr="00707E03" w:rsidRDefault="00707E03">
      <w:pPr>
        <w:pStyle w:val="TOC3"/>
        <w:rPr>
          <w:rFonts w:asciiTheme="minorHAnsi" w:eastAsiaTheme="minorEastAsia" w:hAnsiTheme="minorHAnsi" w:cstheme="minorBidi"/>
          <w:bCs w:val="0"/>
          <w:color w:val="auto"/>
          <w:sz w:val="22"/>
          <w:szCs w:val="22"/>
        </w:rPr>
      </w:pPr>
      <w:r w:rsidRPr="00707E03">
        <w:rPr>
          <w:caps/>
          <w:color w:val="auto"/>
          <w:vertAlign w:val="superscript"/>
          <w:lang w:val="it-IT"/>
        </w:rPr>
        <w:t>84</w:t>
      </w:r>
      <w:r w:rsidRPr="00707E03">
        <w:rPr>
          <w:color w:val="auto"/>
          <w:lang w:val="it-IT"/>
        </w:rPr>
        <w:t xml:space="preserve"> System Center Essentials 2010</w:t>
      </w:r>
      <w:r w:rsidRPr="00707E03">
        <w:rPr>
          <w:color w:val="auto"/>
        </w:rPr>
        <w:tab/>
      </w:r>
      <w:r w:rsidRPr="00707E03">
        <w:rPr>
          <w:color w:val="auto"/>
        </w:rPr>
        <w:fldChar w:fldCharType="begin"/>
      </w:r>
      <w:r w:rsidRPr="00707E03">
        <w:rPr>
          <w:color w:val="auto"/>
        </w:rPr>
        <w:instrText xml:space="preserve"> PAGEREF _Toc352234937 \h </w:instrText>
      </w:r>
      <w:r w:rsidRPr="00707E03">
        <w:rPr>
          <w:color w:val="auto"/>
        </w:rPr>
      </w:r>
      <w:r w:rsidRPr="00707E03">
        <w:rPr>
          <w:color w:val="auto"/>
        </w:rPr>
        <w:fldChar w:fldCharType="separate"/>
      </w:r>
      <w:r w:rsidRPr="00707E03">
        <w:rPr>
          <w:color w:val="auto"/>
        </w:rPr>
        <w:t>179</w:t>
      </w:r>
      <w:r w:rsidRPr="00707E03">
        <w:rPr>
          <w:color w:val="auto"/>
        </w:rPr>
        <w:fldChar w:fldCharType="end"/>
      </w:r>
    </w:p>
    <w:p w:rsidR="00707E03" w:rsidRPr="00707E03" w:rsidRDefault="00707E03">
      <w:pPr>
        <w:pStyle w:val="TOC3"/>
        <w:rPr>
          <w:rFonts w:asciiTheme="minorHAnsi" w:eastAsiaTheme="minorEastAsia" w:hAnsiTheme="minorHAnsi" w:cstheme="minorBidi"/>
          <w:bCs w:val="0"/>
          <w:color w:val="auto"/>
          <w:sz w:val="22"/>
          <w:szCs w:val="22"/>
        </w:rPr>
      </w:pPr>
      <w:r w:rsidRPr="00707E03">
        <w:rPr>
          <w:caps/>
          <w:color w:val="auto"/>
          <w:vertAlign w:val="superscript"/>
          <w:lang w:val="it-IT"/>
        </w:rPr>
        <w:t>85</w:t>
      </w:r>
      <w:r w:rsidRPr="00707E03">
        <w:rPr>
          <w:color w:val="auto"/>
          <w:lang w:val="it-IT"/>
        </w:rPr>
        <w:t xml:space="preserve"> System Center Reporting Manager 2006</w:t>
      </w:r>
      <w:r w:rsidRPr="00707E03">
        <w:rPr>
          <w:color w:val="auto"/>
        </w:rPr>
        <w:tab/>
      </w:r>
      <w:r w:rsidRPr="00707E03">
        <w:rPr>
          <w:color w:val="auto"/>
        </w:rPr>
        <w:fldChar w:fldCharType="begin"/>
      </w:r>
      <w:r w:rsidRPr="00707E03">
        <w:rPr>
          <w:color w:val="auto"/>
        </w:rPr>
        <w:instrText xml:space="preserve"> PAGEREF _Toc352234938 \h </w:instrText>
      </w:r>
      <w:r w:rsidRPr="00707E03">
        <w:rPr>
          <w:color w:val="auto"/>
        </w:rPr>
      </w:r>
      <w:r w:rsidRPr="00707E03">
        <w:rPr>
          <w:color w:val="auto"/>
        </w:rPr>
        <w:fldChar w:fldCharType="separate"/>
      </w:r>
      <w:r w:rsidRPr="00707E03">
        <w:rPr>
          <w:color w:val="auto"/>
        </w:rPr>
        <w:t>180</w:t>
      </w:r>
      <w:r w:rsidRPr="00707E03">
        <w:rPr>
          <w:color w:val="auto"/>
        </w:rPr>
        <w:fldChar w:fldCharType="end"/>
      </w:r>
    </w:p>
    <w:p w:rsidR="00707E03" w:rsidRPr="00707E03" w:rsidRDefault="00707E03">
      <w:pPr>
        <w:pStyle w:val="TOC3"/>
        <w:rPr>
          <w:rFonts w:asciiTheme="minorHAnsi" w:eastAsiaTheme="minorEastAsia" w:hAnsiTheme="minorHAnsi" w:cstheme="minorBidi"/>
          <w:bCs w:val="0"/>
          <w:color w:val="auto"/>
          <w:sz w:val="22"/>
          <w:szCs w:val="22"/>
        </w:rPr>
      </w:pPr>
      <w:r w:rsidRPr="00707E03">
        <w:rPr>
          <w:caps/>
          <w:color w:val="auto"/>
          <w:vertAlign w:val="superscript"/>
          <w:lang w:val="it-IT"/>
        </w:rPr>
        <w:t>86</w:t>
      </w:r>
      <w:r w:rsidRPr="00707E03">
        <w:rPr>
          <w:caps/>
          <w:color w:val="auto"/>
          <w:lang w:val="it-IT"/>
        </w:rPr>
        <w:t xml:space="preserve"> </w:t>
      </w:r>
      <w:r w:rsidRPr="00707E03">
        <w:rPr>
          <w:color w:val="auto"/>
          <w:lang w:val="it-IT"/>
        </w:rPr>
        <w:t>System Center Server Management Suite Enterprise</w:t>
      </w:r>
      <w:r w:rsidRPr="00707E03">
        <w:rPr>
          <w:color w:val="auto"/>
        </w:rPr>
        <w:tab/>
      </w:r>
      <w:r w:rsidRPr="00707E03">
        <w:rPr>
          <w:color w:val="auto"/>
        </w:rPr>
        <w:fldChar w:fldCharType="begin"/>
      </w:r>
      <w:r w:rsidRPr="00707E03">
        <w:rPr>
          <w:color w:val="auto"/>
        </w:rPr>
        <w:instrText xml:space="preserve"> PAGEREF _Toc352234939 \h </w:instrText>
      </w:r>
      <w:r w:rsidRPr="00707E03">
        <w:rPr>
          <w:color w:val="auto"/>
        </w:rPr>
      </w:r>
      <w:r w:rsidRPr="00707E03">
        <w:rPr>
          <w:color w:val="auto"/>
        </w:rPr>
        <w:fldChar w:fldCharType="separate"/>
      </w:r>
      <w:r w:rsidRPr="00707E03">
        <w:rPr>
          <w:color w:val="auto"/>
        </w:rPr>
        <w:t>181</w:t>
      </w:r>
      <w:r w:rsidRPr="00707E03">
        <w:rPr>
          <w:color w:val="auto"/>
        </w:rPr>
        <w:fldChar w:fldCharType="end"/>
      </w:r>
    </w:p>
    <w:p w:rsidR="00707E03" w:rsidRPr="00707E03" w:rsidRDefault="00707E03">
      <w:pPr>
        <w:pStyle w:val="TOC3"/>
        <w:rPr>
          <w:rFonts w:asciiTheme="minorHAnsi" w:eastAsiaTheme="minorEastAsia" w:hAnsiTheme="minorHAnsi" w:cstheme="minorBidi"/>
          <w:bCs w:val="0"/>
          <w:color w:val="auto"/>
          <w:sz w:val="22"/>
          <w:szCs w:val="22"/>
        </w:rPr>
      </w:pPr>
      <w:r w:rsidRPr="00707E03">
        <w:rPr>
          <w:caps/>
          <w:color w:val="auto"/>
          <w:vertAlign w:val="superscript"/>
          <w:lang w:val="it-IT"/>
        </w:rPr>
        <w:t>87</w:t>
      </w:r>
      <w:r w:rsidRPr="00707E03">
        <w:rPr>
          <w:caps/>
          <w:color w:val="auto"/>
          <w:lang w:val="it-IT"/>
        </w:rPr>
        <w:t xml:space="preserve"> </w:t>
      </w:r>
      <w:r w:rsidRPr="00707E03">
        <w:rPr>
          <w:color w:val="auto"/>
          <w:lang w:val="it-IT"/>
        </w:rPr>
        <w:t>System Center Server Management Suite Datacenter</w:t>
      </w:r>
      <w:r w:rsidRPr="00707E03">
        <w:rPr>
          <w:color w:val="auto"/>
        </w:rPr>
        <w:tab/>
      </w:r>
      <w:r w:rsidRPr="00707E03">
        <w:rPr>
          <w:color w:val="auto"/>
        </w:rPr>
        <w:fldChar w:fldCharType="begin"/>
      </w:r>
      <w:r w:rsidRPr="00707E03">
        <w:rPr>
          <w:color w:val="auto"/>
        </w:rPr>
        <w:instrText xml:space="preserve"> PAGEREF _Toc352234940 \h </w:instrText>
      </w:r>
      <w:r w:rsidRPr="00707E03">
        <w:rPr>
          <w:color w:val="auto"/>
        </w:rPr>
      </w:r>
      <w:r w:rsidRPr="00707E03">
        <w:rPr>
          <w:color w:val="auto"/>
        </w:rPr>
        <w:fldChar w:fldCharType="separate"/>
      </w:r>
      <w:r w:rsidRPr="00707E03">
        <w:rPr>
          <w:color w:val="auto"/>
        </w:rPr>
        <w:t>182</w:t>
      </w:r>
      <w:r w:rsidRPr="00707E03">
        <w:rPr>
          <w:color w:val="auto"/>
        </w:rPr>
        <w:fldChar w:fldCharType="end"/>
      </w:r>
    </w:p>
    <w:p w:rsidR="00707E03" w:rsidRPr="00707E03" w:rsidRDefault="00707E03">
      <w:pPr>
        <w:pStyle w:val="TOC3"/>
        <w:rPr>
          <w:rFonts w:asciiTheme="minorHAnsi" w:eastAsiaTheme="minorEastAsia" w:hAnsiTheme="minorHAnsi" w:cstheme="minorBidi"/>
          <w:bCs w:val="0"/>
          <w:color w:val="auto"/>
          <w:sz w:val="22"/>
          <w:szCs w:val="22"/>
        </w:rPr>
      </w:pPr>
      <w:r w:rsidRPr="00707E03">
        <w:rPr>
          <w:caps/>
          <w:color w:val="auto"/>
          <w:vertAlign w:val="superscript"/>
          <w:lang w:val="it-IT"/>
        </w:rPr>
        <w:t>88</w:t>
      </w:r>
      <w:r w:rsidRPr="00707E03">
        <w:rPr>
          <w:color w:val="auto"/>
          <w:lang w:val="it-IT"/>
        </w:rPr>
        <w:t xml:space="preserve"> System Center Virtual Machine Manager 2008 R2 - Licenze di Gestione Client e Server</w:t>
      </w:r>
      <w:r w:rsidRPr="00707E03">
        <w:rPr>
          <w:color w:val="auto"/>
        </w:rPr>
        <w:tab/>
      </w:r>
      <w:r w:rsidRPr="00707E03">
        <w:rPr>
          <w:color w:val="auto"/>
        </w:rPr>
        <w:fldChar w:fldCharType="begin"/>
      </w:r>
      <w:r w:rsidRPr="00707E03">
        <w:rPr>
          <w:color w:val="auto"/>
        </w:rPr>
        <w:instrText xml:space="preserve"> PAGEREF _Toc352234941 \h </w:instrText>
      </w:r>
      <w:r w:rsidRPr="00707E03">
        <w:rPr>
          <w:color w:val="auto"/>
        </w:rPr>
      </w:r>
      <w:r w:rsidRPr="00707E03">
        <w:rPr>
          <w:color w:val="auto"/>
        </w:rPr>
        <w:fldChar w:fldCharType="separate"/>
      </w:r>
      <w:r w:rsidRPr="00707E03">
        <w:rPr>
          <w:color w:val="auto"/>
        </w:rPr>
        <w:t>183</w:t>
      </w:r>
      <w:r w:rsidRPr="00707E03">
        <w:rPr>
          <w:color w:val="auto"/>
        </w:rPr>
        <w:fldChar w:fldCharType="end"/>
      </w:r>
    </w:p>
    <w:p w:rsidR="00707E03" w:rsidRPr="00707E03" w:rsidRDefault="00707E03">
      <w:pPr>
        <w:pStyle w:val="TOC3"/>
        <w:rPr>
          <w:rFonts w:asciiTheme="minorHAnsi" w:eastAsiaTheme="minorEastAsia" w:hAnsiTheme="minorHAnsi" w:cstheme="minorBidi"/>
          <w:bCs w:val="0"/>
          <w:color w:val="auto"/>
          <w:sz w:val="22"/>
          <w:szCs w:val="22"/>
        </w:rPr>
      </w:pPr>
      <w:r w:rsidRPr="00707E03">
        <w:rPr>
          <w:caps/>
          <w:color w:val="auto"/>
          <w:vertAlign w:val="superscript"/>
          <w:lang w:val="it-IT"/>
        </w:rPr>
        <w:t>89</w:t>
      </w:r>
      <w:r w:rsidRPr="00707E03">
        <w:rPr>
          <w:color w:val="auto"/>
          <w:lang w:val="it-IT"/>
        </w:rPr>
        <w:t xml:space="preserve"> System Center 2012</w:t>
      </w:r>
      <w:r w:rsidRPr="00707E03">
        <w:rPr>
          <w:color w:val="auto"/>
        </w:rPr>
        <w:tab/>
      </w:r>
      <w:r w:rsidRPr="00707E03">
        <w:rPr>
          <w:color w:val="auto"/>
        </w:rPr>
        <w:fldChar w:fldCharType="begin"/>
      </w:r>
      <w:r w:rsidRPr="00707E03">
        <w:rPr>
          <w:color w:val="auto"/>
        </w:rPr>
        <w:instrText xml:space="preserve"> PAGEREF _Toc352234942 \h </w:instrText>
      </w:r>
      <w:r w:rsidRPr="00707E03">
        <w:rPr>
          <w:color w:val="auto"/>
        </w:rPr>
      </w:r>
      <w:r w:rsidRPr="00707E03">
        <w:rPr>
          <w:color w:val="auto"/>
        </w:rPr>
        <w:fldChar w:fldCharType="separate"/>
      </w:r>
      <w:r w:rsidRPr="00707E03">
        <w:rPr>
          <w:color w:val="auto"/>
        </w:rPr>
        <w:t>183</w:t>
      </w:r>
      <w:r w:rsidRPr="00707E03">
        <w:rPr>
          <w:color w:val="auto"/>
        </w:rPr>
        <w:fldChar w:fldCharType="end"/>
      </w:r>
    </w:p>
    <w:p w:rsidR="00707E03" w:rsidRPr="00707E03" w:rsidRDefault="00707E03">
      <w:pPr>
        <w:pStyle w:val="TOC3"/>
        <w:rPr>
          <w:rFonts w:asciiTheme="minorHAnsi" w:eastAsiaTheme="minorEastAsia" w:hAnsiTheme="minorHAnsi" w:cstheme="minorBidi"/>
          <w:bCs w:val="0"/>
          <w:color w:val="auto"/>
          <w:sz w:val="22"/>
          <w:szCs w:val="22"/>
        </w:rPr>
      </w:pPr>
      <w:r w:rsidRPr="00707E03">
        <w:rPr>
          <w:caps/>
          <w:color w:val="auto"/>
          <w:vertAlign w:val="superscript"/>
          <w:lang w:val="it-IT"/>
        </w:rPr>
        <w:t>90</w:t>
      </w:r>
      <w:r w:rsidRPr="00707E03">
        <w:rPr>
          <w:color w:val="auto"/>
          <w:lang w:val="it-IT"/>
        </w:rPr>
        <w:t xml:space="preserve"> System Center 2012 Endpoint Protection</w:t>
      </w:r>
      <w:r w:rsidRPr="00707E03">
        <w:rPr>
          <w:color w:val="auto"/>
        </w:rPr>
        <w:tab/>
      </w:r>
      <w:r w:rsidRPr="00707E03">
        <w:rPr>
          <w:color w:val="auto"/>
        </w:rPr>
        <w:fldChar w:fldCharType="begin"/>
      </w:r>
      <w:r w:rsidRPr="00707E03">
        <w:rPr>
          <w:color w:val="auto"/>
        </w:rPr>
        <w:instrText xml:space="preserve"> PAGEREF _Toc352234943 \h </w:instrText>
      </w:r>
      <w:r w:rsidRPr="00707E03">
        <w:rPr>
          <w:color w:val="auto"/>
        </w:rPr>
      </w:r>
      <w:r w:rsidRPr="00707E03">
        <w:rPr>
          <w:color w:val="auto"/>
        </w:rPr>
        <w:fldChar w:fldCharType="separate"/>
      </w:r>
      <w:r w:rsidRPr="00707E03">
        <w:rPr>
          <w:color w:val="auto"/>
        </w:rPr>
        <w:t>186</w:t>
      </w:r>
      <w:r w:rsidRPr="00707E03">
        <w:rPr>
          <w:color w:val="auto"/>
        </w:rPr>
        <w:fldChar w:fldCharType="end"/>
      </w:r>
    </w:p>
    <w:p w:rsidR="00707E03" w:rsidRPr="00707E03" w:rsidRDefault="00707E03">
      <w:pPr>
        <w:pStyle w:val="TOC3"/>
        <w:rPr>
          <w:rFonts w:asciiTheme="minorHAnsi" w:eastAsiaTheme="minorEastAsia" w:hAnsiTheme="minorHAnsi" w:cstheme="minorBidi"/>
          <w:bCs w:val="0"/>
          <w:color w:val="auto"/>
          <w:sz w:val="22"/>
          <w:szCs w:val="22"/>
        </w:rPr>
      </w:pPr>
      <w:r w:rsidRPr="00707E03">
        <w:rPr>
          <w:caps/>
          <w:color w:val="auto"/>
          <w:vertAlign w:val="superscript"/>
          <w:lang w:val="it-IT"/>
        </w:rPr>
        <w:t>91</w:t>
      </w:r>
      <w:r w:rsidRPr="00707E03">
        <w:rPr>
          <w:color w:val="auto"/>
          <w:lang w:val="it-IT"/>
        </w:rPr>
        <w:t xml:space="preserve"> TechNet Plus Single User</w:t>
      </w:r>
      <w:r w:rsidRPr="00707E03">
        <w:rPr>
          <w:color w:val="auto"/>
        </w:rPr>
        <w:tab/>
      </w:r>
      <w:r w:rsidRPr="00707E03">
        <w:rPr>
          <w:color w:val="auto"/>
        </w:rPr>
        <w:fldChar w:fldCharType="begin"/>
      </w:r>
      <w:r w:rsidRPr="00707E03">
        <w:rPr>
          <w:color w:val="auto"/>
        </w:rPr>
        <w:instrText xml:space="preserve"> PAGEREF _Toc352234944 \h </w:instrText>
      </w:r>
      <w:r w:rsidRPr="00707E03">
        <w:rPr>
          <w:color w:val="auto"/>
        </w:rPr>
      </w:r>
      <w:r w:rsidRPr="00707E03">
        <w:rPr>
          <w:color w:val="auto"/>
        </w:rPr>
        <w:fldChar w:fldCharType="separate"/>
      </w:r>
      <w:r w:rsidRPr="00707E03">
        <w:rPr>
          <w:color w:val="auto"/>
        </w:rPr>
        <w:t>186</w:t>
      </w:r>
      <w:r w:rsidRPr="00707E03">
        <w:rPr>
          <w:color w:val="auto"/>
        </w:rPr>
        <w:fldChar w:fldCharType="end"/>
      </w:r>
    </w:p>
    <w:p w:rsidR="00707E03" w:rsidRPr="00707E03" w:rsidRDefault="00707E03">
      <w:pPr>
        <w:pStyle w:val="TOC3"/>
        <w:rPr>
          <w:rFonts w:asciiTheme="minorHAnsi" w:eastAsiaTheme="minorEastAsia" w:hAnsiTheme="minorHAnsi" w:cstheme="minorBidi"/>
          <w:bCs w:val="0"/>
          <w:color w:val="auto"/>
          <w:sz w:val="22"/>
          <w:szCs w:val="22"/>
        </w:rPr>
      </w:pPr>
      <w:r w:rsidRPr="00707E03">
        <w:rPr>
          <w:caps/>
          <w:color w:val="auto"/>
          <w:vertAlign w:val="superscript"/>
          <w:lang w:val="it-IT"/>
        </w:rPr>
        <w:t>92</w:t>
      </w:r>
      <w:r w:rsidRPr="00707E03">
        <w:rPr>
          <w:caps/>
          <w:color w:val="auto"/>
          <w:lang w:val="it-IT"/>
        </w:rPr>
        <w:t xml:space="preserve"> </w:t>
      </w:r>
      <w:r w:rsidRPr="00707E03">
        <w:rPr>
          <w:color w:val="auto"/>
          <w:lang w:val="it-IT"/>
        </w:rPr>
        <w:t>VDI Standard e Premium Suite</w:t>
      </w:r>
      <w:r w:rsidRPr="00707E03">
        <w:rPr>
          <w:color w:val="auto"/>
        </w:rPr>
        <w:tab/>
      </w:r>
      <w:r w:rsidRPr="00707E03">
        <w:rPr>
          <w:color w:val="auto"/>
        </w:rPr>
        <w:fldChar w:fldCharType="begin"/>
      </w:r>
      <w:r w:rsidRPr="00707E03">
        <w:rPr>
          <w:color w:val="auto"/>
        </w:rPr>
        <w:instrText xml:space="preserve"> PAGEREF _Toc352234945 \h </w:instrText>
      </w:r>
      <w:r w:rsidRPr="00707E03">
        <w:rPr>
          <w:color w:val="auto"/>
        </w:rPr>
      </w:r>
      <w:r w:rsidRPr="00707E03">
        <w:rPr>
          <w:color w:val="auto"/>
        </w:rPr>
        <w:fldChar w:fldCharType="separate"/>
      </w:r>
      <w:r w:rsidRPr="00707E03">
        <w:rPr>
          <w:color w:val="auto"/>
        </w:rPr>
        <w:t>187</w:t>
      </w:r>
      <w:r w:rsidRPr="00707E03">
        <w:rPr>
          <w:color w:val="auto"/>
        </w:rPr>
        <w:fldChar w:fldCharType="end"/>
      </w:r>
    </w:p>
    <w:p w:rsidR="00707E03" w:rsidRPr="00707E03" w:rsidRDefault="00707E03">
      <w:pPr>
        <w:pStyle w:val="TOC3"/>
        <w:rPr>
          <w:rFonts w:asciiTheme="minorHAnsi" w:eastAsiaTheme="minorEastAsia" w:hAnsiTheme="minorHAnsi" w:cstheme="minorBidi"/>
          <w:bCs w:val="0"/>
          <w:color w:val="auto"/>
          <w:sz w:val="22"/>
          <w:szCs w:val="22"/>
        </w:rPr>
      </w:pPr>
      <w:r w:rsidRPr="00707E03">
        <w:rPr>
          <w:caps/>
          <w:color w:val="auto"/>
          <w:vertAlign w:val="superscript"/>
          <w:lang w:val="it-IT"/>
        </w:rPr>
        <w:t>93</w:t>
      </w:r>
      <w:r w:rsidRPr="00707E03">
        <w:rPr>
          <w:caps/>
          <w:color w:val="auto"/>
          <w:lang w:val="it-IT"/>
        </w:rPr>
        <w:t xml:space="preserve"> </w:t>
      </w:r>
      <w:r w:rsidRPr="00707E03">
        <w:rPr>
          <w:color w:val="auto"/>
          <w:lang w:val="it-IT"/>
        </w:rPr>
        <w:t>Vexcel Server e Vexcel Server con Enhanced Content Pack</w:t>
      </w:r>
      <w:r w:rsidRPr="00707E03">
        <w:rPr>
          <w:color w:val="auto"/>
        </w:rPr>
        <w:tab/>
      </w:r>
      <w:r w:rsidRPr="00707E03">
        <w:rPr>
          <w:color w:val="auto"/>
        </w:rPr>
        <w:fldChar w:fldCharType="begin"/>
      </w:r>
      <w:r w:rsidRPr="00707E03">
        <w:rPr>
          <w:color w:val="auto"/>
        </w:rPr>
        <w:instrText xml:space="preserve"> PAGEREF _Toc352234946 \h </w:instrText>
      </w:r>
      <w:r w:rsidRPr="00707E03">
        <w:rPr>
          <w:color w:val="auto"/>
        </w:rPr>
      </w:r>
      <w:r w:rsidRPr="00707E03">
        <w:rPr>
          <w:color w:val="auto"/>
        </w:rPr>
        <w:fldChar w:fldCharType="separate"/>
      </w:r>
      <w:r w:rsidRPr="00707E03">
        <w:rPr>
          <w:color w:val="auto"/>
        </w:rPr>
        <w:t>187</w:t>
      </w:r>
      <w:r w:rsidRPr="00707E03">
        <w:rPr>
          <w:color w:val="auto"/>
        </w:rPr>
        <w:fldChar w:fldCharType="end"/>
      </w:r>
    </w:p>
    <w:p w:rsidR="00707E03" w:rsidRPr="00707E03" w:rsidRDefault="00707E03">
      <w:pPr>
        <w:pStyle w:val="TOC2"/>
        <w:rPr>
          <w:rFonts w:asciiTheme="minorHAnsi" w:eastAsiaTheme="minorEastAsia" w:hAnsiTheme="minorHAnsi" w:cstheme="minorBidi"/>
          <w:sz w:val="22"/>
          <w:szCs w:val="22"/>
        </w:rPr>
      </w:pPr>
      <w:r w:rsidRPr="00707E03">
        <w:rPr>
          <w:rFonts w:cs="Tahoma"/>
          <w:caps/>
          <w:vertAlign w:val="superscript"/>
          <w:lang w:val="it-IT"/>
        </w:rPr>
        <w:t>94</w:t>
      </w:r>
      <w:r w:rsidRPr="00707E03">
        <w:rPr>
          <w:rFonts w:cs="Tahoma"/>
          <w:caps/>
          <w:lang w:val="it-IT"/>
        </w:rPr>
        <w:t xml:space="preserve"> </w:t>
      </w:r>
      <w:r w:rsidRPr="00707E03">
        <w:rPr>
          <w:rFonts w:cs="Tahoma"/>
          <w:lang w:val="it-IT"/>
        </w:rPr>
        <w:t>Servizi Windows Azure</w:t>
      </w:r>
      <w:r w:rsidRPr="00707E03">
        <w:tab/>
      </w:r>
      <w:r w:rsidRPr="00707E03">
        <w:fldChar w:fldCharType="begin"/>
      </w:r>
      <w:r w:rsidRPr="00707E03">
        <w:instrText xml:space="preserve"> PAGEREF _Toc352234947 \h </w:instrText>
      </w:r>
      <w:r w:rsidRPr="00707E03">
        <w:fldChar w:fldCharType="separate"/>
      </w:r>
      <w:r w:rsidRPr="00707E03">
        <w:t>187</w:t>
      </w:r>
      <w:r w:rsidRPr="00707E03">
        <w:fldChar w:fldCharType="end"/>
      </w:r>
    </w:p>
    <w:p w:rsidR="00707E03" w:rsidRPr="00707E03" w:rsidRDefault="00707E03">
      <w:pPr>
        <w:pStyle w:val="TOC2"/>
        <w:rPr>
          <w:rFonts w:asciiTheme="minorHAnsi" w:eastAsiaTheme="minorEastAsia" w:hAnsiTheme="minorHAnsi" w:cstheme="minorBidi"/>
          <w:sz w:val="22"/>
          <w:szCs w:val="22"/>
        </w:rPr>
      </w:pPr>
      <w:r w:rsidRPr="00707E03">
        <w:rPr>
          <w:rFonts w:cs="Tahoma"/>
          <w:caps/>
          <w:vertAlign w:val="superscript"/>
          <w:lang w:val="it-IT"/>
        </w:rPr>
        <w:t>95</w:t>
      </w:r>
      <w:r w:rsidRPr="00707E03">
        <w:rPr>
          <w:rFonts w:cs="Tahoma"/>
          <w:lang w:val="it-IT"/>
        </w:rPr>
        <w:t xml:space="preserve"> Licenza di Server di Gestione per Windows Embedded Device Manager 2011</w:t>
      </w:r>
      <w:r w:rsidRPr="00707E03">
        <w:tab/>
      </w:r>
      <w:r w:rsidRPr="00707E03">
        <w:fldChar w:fldCharType="begin"/>
      </w:r>
      <w:r w:rsidRPr="00707E03">
        <w:instrText xml:space="preserve"> PAGEREF _Toc352234948 \h </w:instrText>
      </w:r>
      <w:r w:rsidRPr="00707E03">
        <w:fldChar w:fldCharType="separate"/>
      </w:r>
      <w:r w:rsidRPr="00707E03">
        <w:t>187</w:t>
      </w:r>
      <w:r w:rsidRPr="00707E03">
        <w:fldChar w:fldCharType="end"/>
      </w:r>
    </w:p>
    <w:p w:rsidR="00707E03" w:rsidRPr="00707E03" w:rsidRDefault="00707E03">
      <w:pPr>
        <w:pStyle w:val="TOC2"/>
        <w:rPr>
          <w:rFonts w:asciiTheme="minorHAnsi" w:eastAsiaTheme="minorEastAsia" w:hAnsiTheme="minorHAnsi" w:cstheme="minorBidi"/>
          <w:sz w:val="22"/>
          <w:szCs w:val="22"/>
        </w:rPr>
      </w:pPr>
      <w:r w:rsidRPr="00707E03">
        <w:rPr>
          <w:rFonts w:cs="Tahoma"/>
          <w:caps/>
          <w:vertAlign w:val="superscript"/>
          <w:lang w:val="it-IT"/>
        </w:rPr>
        <w:t>96</w:t>
      </w:r>
      <w:r w:rsidRPr="00707E03">
        <w:rPr>
          <w:rFonts w:cs="Tahoma"/>
          <w:lang w:val="it-IT"/>
        </w:rPr>
        <w:t xml:space="preserve"> Licenze di Gestione Client per Windows Embedded Device Manager 2011</w:t>
      </w:r>
      <w:r w:rsidRPr="00707E03">
        <w:tab/>
      </w:r>
      <w:r w:rsidRPr="00707E03">
        <w:fldChar w:fldCharType="begin"/>
      </w:r>
      <w:r w:rsidRPr="00707E03">
        <w:instrText xml:space="preserve"> PAGEREF _Toc352234949 \h </w:instrText>
      </w:r>
      <w:r w:rsidRPr="00707E03">
        <w:fldChar w:fldCharType="separate"/>
      </w:r>
      <w:r w:rsidRPr="00707E03">
        <w:t>188</w:t>
      </w:r>
      <w:r w:rsidRPr="00707E03">
        <w:fldChar w:fldCharType="end"/>
      </w:r>
    </w:p>
    <w:p w:rsidR="00707E03" w:rsidRPr="00707E03" w:rsidRDefault="00707E03">
      <w:pPr>
        <w:pStyle w:val="TOC3"/>
        <w:rPr>
          <w:rFonts w:asciiTheme="minorHAnsi" w:eastAsiaTheme="minorEastAsia" w:hAnsiTheme="minorHAnsi" w:cstheme="minorBidi"/>
          <w:bCs w:val="0"/>
          <w:color w:val="auto"/>
          <w:sz w:val="22"/>
          <w:szCs w:val="22"/>
        </w:rPr>
      </w:pPr>
      <w:r w:rsidRPr="00707E03">
        <w:rPr>
          <w:caps/>
          <w:color w:val="auto"/>
          <w:vertAlign w:val="superscript"/>
          <w:lang w:val="it-IT"/>
        </w:rPr>
        <w:t xml:space="preserve">97 </w:t>
      </w:r>
      <w:r w:rsidRPr="00707E03">
        <w:rPr>
          <w:color w:val="auto"/>
          <w:lang w:val="it-IT"/>
        </w:rPr>
        <w:t>Windows EBS 2008, Edizioni Standard e Premium</w:t>
      </w:r>
      <w:r w:rsidRPr="00707E03">
        <w:rPr>
          <w:color w:val="auto"/>
        </w:rPr>
        <w:tab/>
      </w:r>
      <w:r w:rsidRPr="00707E03">
        <w:rPr>
          <w:color w:val="auto"/>
        </w:rPr>
        <w:fldChar w:fldCharType="begin"/>
      </w:r>
      <w:r w:rsidRPr="00707E03">
        <w:rPr>
          <w:color w:val="auto"/>
        </w:rPr>
        <w:instrText xml:space="preserve"> PAGEREF _Toc352234950 \h </w:instrText>
      </w:r>
      <w:r w:rsidRPr="00707E03">
        <w:rPr>
          <w:color w:val="auto"/>
        </w:rPr>
      </w:r>
      <w:r w:rsidRPr="00707E03">
        <w:rPr>
          <w:color w:val="auto"/>
        </w:rPr>
        <w:fldChar w:fldCharType="separate"/>
      </w:r>
      <w:r w:rsidRPr="00707E03">
        <w:rPr>
          <w:color w:val="auto"/>
        </w:rPr>
        <w:t>189</w:t>
      </w:r>
      <w:r w:rsidRPr="00707E03">
        <w:rPr>
          <w:color w:val="auto"/>
        </w:rPr>
        <w:fldChar w:fldCharType="end"/>
      </w:r>
    </w:p>
    <w:p w:rsidR="00707E03" w:rsidRPr="00707E03" w:rsidRDefault="00707E03">
      <w:pPr>
        <w:pStyle w:val="TOC3"/>
        <w:rPr>
          <w:rFonts w:asciiTheme="minorHAnsi" w:eastAsiaTheme="minorEastAsia" w:hAnsiTheme="minorHAnsi" w:cstheme="minorBidi"/>
          <w:bCs w:val="0"/>
          <w:color w:val="auto"/>
          <w:sz w:val="22"/>
          <w:szCs w:val="22"/>
        </w:rPr>
      </w:pPr>
      <w:r w:rsidRPr="00707E03">
        <w:rPr>
          <w:caps/>
          <w:color w:val="auto"/>
          <w:vertAlign w:val="superscript"/>
          <w:lang w:val="it-IT"/>
        </w:rPr>
        <w:t>98</w:t>
      </w:r>
      <w:r w:rsidRPr="00707E03">
        <w:rPr>
          <w:caps/>
          <w:color w:val="auto"/>
          <w:lang w:val="it-IT"/>
        </w:rPr>
        <w:t xml:space="preserve"> </w:t>
      </w:r>
      <w:r w:rsidRPr="00707E03">
        <w:rPr>
          <w:color w:val="auto"/>
          <w:lang w:val="it-IT"/>
        </w:rPr>
        <w:t>Windows HPC Server 2008 R2 Suite</w:t>
      </w:r>
      <w:r w:rsidRPr="00707E03">
        <w:rPr>
          <w:color w:val="auto"/>
        </w:rPr>
        <w:tab/>
      </w:r>
      <w:r w:rsidRPr="00707E03">
        <w:rPr>
          <w:color w:val="auto"/>
        </w:rPr>
        <w:fldChar w:fldCharType="begin"/>
      </w:r>
      <w:r w:rsidRPr="00707E03">
        <w:rPr>
          <w:color w:val="auto"/>
        </w:rPr>
        <w:instrText xml:space="preserve"> PAGEREF _Toc352234951 \h </w:instrText>
      </w:r>
      <w:r w:rsidRPr="00707E03">
        <w:rPr>
          <w:color w:val="auto"/>
        </w:rPr>
      </w:r>
      <w:r w:rsidRPr="00707E03">
        <w:rPr>
          <w:color w:val="auto"/>
        </w:rPr>
        <w:fldChar w:fldCharType="separate"/>
      </w:r>
      <w:r w:rsidRPr="00707E03">
        <w:rPr>
          <w:color w:val="auto"/>
        </w:rPr>
        <w:t>191</w:t>
      </w:r>
      <w:r w:rsidRPr="00707E03">
        <w:rPr>
          <w:color w:val="auto"/>
        </w:rPr>
        <w:fldChar w:fldCharType="end"/>
      </w:r>
    </w:p>
    <w:p w:rsidR="00707E03" w:rsidRPr="00707E03" w:rsidRDefault="00707E03">
      <w:pPr>
        <w:pStyle w:val="TOC2"/>
        <w:rPr>
          <w:rFonts w:asciiTheme="minorHAnsi" w:eastAsiaTheme="minorEastAsia" w:hAnsiTheme="minorHAnsi" w:cstheme="minorBidi"/>
          <w:sz w:val="22"/>
          <w:szCs w:val="22"/>
        </w:rPr>
      </w:pPr>
      <w:r w:rsidRPr="00707E03">
        <w:rPr>
          <w:rFonts w:cs="Tahoma"/>
          <w:caps/>
          <w:vertAlign w:val="superscript"/>
          <w:lang w:val="it-IT"/>
        </w:rPr>
        <w:t>99</w:t>
      </w:r>
      <w:r w:rsidRPr="00707E03">
        <w:rPr>
          <w:rFonts w:cs="Tahoma"/>
          <w:caps/>
          <w:lang w:val="it-IT"/>
        </w:rPr>
        <w:t xml:space="preserve"> </w:t>
      </w:r>
      <w:r w:rsidRPr="00707E03">
        <w:rPr>
          <w:rFonts w:cs="Tahoma"/>
          <w:lang w:val="it-IT"/>
        </w:rPr>
        <w:t>Windows Multipoint Server 2012 Standard</w:t>
      </w:r>
      <w:r w:rsidRPr="00707E03">
        <w:tab/>
      </w:r>
      <w:r w:rsidRPr="00707E03">
        <w:fldChar w:fldCharType="begin"/>
      </w:r>
      <w:r w:rsidRPr="00707E03">
        <w:instrText xml:space="preserve"> PAGEREF _Toc352234952 \h </w:instrText>
      </w:r>
      <w:r w:rsidRPr="00707E03">
        <w:fldChar w:fldCharType="separate"/>
      </w:r>
      <w:r w:rsidRPr="00707E03">
        <w:t>191</w:t>
      </w:r>
      <w:r w:rsidRPr="00707E03">
        <w:fldChar w:fldCharType="end"/>
      </w:r>
    </w:p>
    <w:p w:rsidR="00707E03" w:rsidRPr="00707E03" w:rsidRDefault="00707E03">
      <w:pPr>
        <w:pStyle w:val="TOC2"/>
        <w:rPr>
          <w:rFonts w:asciiTheme="minorHAnsi" w:eastAsiaTheme="minorEastAsia" w:hAnsiTheme="minorHAnsi" w:cstheme="minorBidi"/>
          <w:sz w:val="22"/>
          <w:szCs w:val="22"/>
        </w:rPr>
      </w:pPr>
      <w:r w:rsidRPr="00707E03">
        <w:rPr>
          <w:rFonts w:cs="Tahoma"/>
          <w:caps/>
          <w:vertAlign w:val="superscript"/>
        </w:rPr>
        <w:t>100</w:t>
      </w:r>
      <w:r w:rsidRPr="00707E03">
        <w:rPr>
          <w:rFonts w:cs="Tahoma"/>
          <w:caps/>
        </w:rPr>
        <w:t xml:space="preserve"> </w:t>
      </w:r>
      <w:r w:rsidRPr="00707E03">
        <w:rPr>
          <w:rFonts w:cs="Tahoma"/>
        </w:rPr>
        <w:t>Windows Multipoint Server 2012 Premium</w:t>
      </w:r>
      <w:r w:rsidRPr="00707E03">
        <w:tab/>
      </w:r>
      <w:r w:rsidRPr="00707E03">
        <w:fldChar w:fldCharType="begin"/>
      </w:r>
      <w:r w:rsidRPr="00707E03">
        <w:instrText xml:space="preserve"> PAGEREF _Toc352234953 \h </w:instrText>
      </w:r>
      <w:r w:rsidRPr="00707E03">
        <w:fldChar w:fldCharType="separate"/>
      </w:r>
      <w:r w:rsidRPr="00707E03">
        <w:t>192</w:t>
      </w:r>
      <w:r w:rsidRPr="00707E03">
        <w:fldChar w:fldCharType="end"/>
      </w:r>
    </w:p>
    <w:p w:rsidR="00707E03" w:rsidRPr="00707E03" w:rsidRDefault="00707E03">
      <w:pPr>
        <w:pStyle w:val="TOC2"/>
        <w:rPr>
          <w:rFonts w:asciiTheme="minorHAnsi" w:eastAsiaTheme="minorEastAsia" w:hAnsiTheme="minorHAnsi" w:cstheme="minorBidi"/>
          <w:sz w:val="22"/>
          <w:szCs w:val="22"/>
        </w:rPr>
      </w:pPr>
      <w:r w:rsidRPr="00707E03">
        <w:rPr>
          <w:rFonts w:cs="Tahoma"/>
          <w:caps/>
          <w:vertAlign w:val="superscript"/>
        </w:rPr>
        <w:t>101</w:t>
      </w:r>
      <w:r w:rsidRPr="00707E03">
        <w:rPr>
          <w:rFonts w:cs="Tahoma"/>
        </w:rPr>
        <w:t xml:space="preserve"> Licenza CAL per Windows Multipoint Server 2012</w:t>
      </w:r>
      <w:r w:rsidRPr="00707E03">
        <w:tab/>
      </w:r>
      <w:r w:rsidRPr="00707E03">
        <w:fldChar w:fldCharType="begin"/>
      </w:r>
      <w:r w:rsidRPr="00707E03">
        <w:instrText xml:space="preserve"> PAGEREF _Toc352234954 \h </w:instrText>
      </w:r>
      <w:r w:rsidRPr="00707E03">
        <w:fldChar w:fldCharType="separate"/>
      </w:r>
      <w:r w:rsidRPr="00707E03">
        <w:t>192</w:t>
      </w:r>
      <w:r w:rsidRPr="00707E03">
        <w:fldChar w:fldCharType="end"/>
      </w:r>
    </w:p>
    <w:p w:rsidR="00707E03" w:rsidRPr="00707E03" w:rsidRDefault="00707E03">
      <w:pPr>
        <w:pStyle w:val="TOC3"/>
        <w:rPr>
          <w:rFonts w:asciiTheme="minorHAnsi" w:eastAsiaTheme="minorEastAsia" w:hAnsiTheme="minorHAnsi" w:cstheme="minorBidi"/>
          <w:bCs w:val="0"/>
          <w:color w:val="auto"/>
          <w:sz w:val="22"/>
          <w:szCs w:val="22"/>
        </w:rPr>
      </w:pPr>
      <w:r w:rsidRPr="00707E03">
        <w:rPr>
          <w:caps/>
          <w:color w:val="auto"/>
          <w:vertAlign w:val="superscript"/>
          <w:lang w:val="it-IT"/>
        </w:rPr>
        <w:t>102</w:t>
      </w:r>
      <w:r w:rsidRPr="00707E03">
        <w:rPr>
          <w:color w:val="auto"/>
          <w:lang w:val="it-IT"/>
        </w:rPr>
        <w:t xml:space="preserve"> Windows Server 2008 R2 HPC Edition</w:t>
      </w:r>
      <w:r w:rsidRPr="00707E03">
        <w:rPr>
          <w:color w:val="auto"/>
        </w:rPr>
        <w:tab/>
      </w:r>
      <w:r w:rsidRPr="00707E03">
        <w:rPr>
          <w:color w:val="auto"/>
        </w:rPr>
        <w:fldChar w:fldCharType="begin"/>
      </w:r>
      <w:r w:rsidRPr="00707E03">
        <w:rPr>
          <w:color w:val="auto"/>
        </w:rPr>
        <w:instrText xml:space="preserve"> PAGEREF _Toc352234955 \h </w:instrText>
      </w:r>
      <w:r w:rsidRPr="00707E03">
        <w:rPr>
          <w:color w:val="auto"/>
        </w:rPr>
      </w:r>
      <w:r w:rsidRPr="00707E03">
        <w:rPr>
          <w:color w:val="auto"/>
        </w:rPr>
        <w:fldChar w:fldCharType="separate"/>
      </w:r>
      <w:r w:rsidRPr="00707E03">
        <w:rPr>
          <w:color w:val="auto"/>
        </w:rPr>
        <w:t>192</w:t>
      </w:r>
      <w:r w:rsidRPr="00707E03">
        <w:rPr>
          <w:color w:val="auto"/>
        </w:rPr>
        <w:fldChar w:fldCharType="end"/>
      </w:r>
    </w:p>
    <w:p w:rsidR="00707E03" w:rsidRPr="00707E03" w:rsidRDefault="00707E03">
      <w:pPr>
        <w:pStyle w:val="TOC3"/>
        <w:rPr>
          <w:rFonts w:asciiTheme="minorHAnsi" w:eastAsiaTheme="minorEastAsia" w:hAnsiTheme="minorHAnsi" w:cstheme="minorBidi"/>
          <w:bCs w:val="0"/>
          <w:color w:val="auto"/>
          <w:sz w:val="22"/>
          <w:szCs w:val="22"/>
        </w:rPr>
      </w:pPr>
      <w:r w:rsidRPr="00707E03">
        <w:rPr>
          <w:caps/>
          <w:color w:val="auto"/>
          <w:vertAlign w:val="superscript"/>
          <w:lang w:val="it-IT"/>
        </w:rPr>
        <w:t>103</w:t>
      </w:r>
      <w:r w:rsidRPr="00707E03">
        <w:rPr>
          <w:color w:val="auto"/>
          <w:lang w:val="it-IT"/>
        </w:rPr>
        <w:t xml:space="preserve"> Windows Server 2008 R2 Enterprise</w:t>
      </w:r>
      <w:r w:rsidRPr="00707E03">
        <w:rPr>
          <w:color w:val="auto"/>
        </w:rPr>
        <w:tab/>
      </w:r>
      <w:r w:rsidRPr="00707E03">
        <w:rPr>
          <w:color w:val="auto"/>
        </w:rPr>
        <w:fldChar w:fldCharType="begin"/>
      </w:r>
      <w:r w:rsidRPr="00707E03">
        <w:rPr>
          <w:color w:val="auto"/>
        </w:rPr>
        <w:instrText xml:space="preserve"> PAGEREF _Toc352234956 \h </w:instrText>
      </w:r>
      <w:r w:rsidRPr="00707E03">
        <w:rPr>
          <w:color w:val="auto"/>
        </w:rPr>
      </w:r>
      <w:r w:rsidRPr="00707E03">
        <w:rPr>
          <w:color w:val="auto"/>
        </w:rPr>
        <w:fldChar w:fldCharType="separate"/>
      </w:r>
      <w:r w:rsidRPr="00707E03">
        <w:rPr>
          <w:color w:val="auto"/>
        </w:rPr>
        <w:t>192</w:t>
      </w:r>
      <w:r w:rsidRPr="00707E03">
        <w:rPr>
          <w:color w:val="auto"/>
        </w:rPr>
        <w:fldChar w:fldCharType="end"/>
      </w:r>
    </w:p>
    <w:p w:rsidR="00707E03" w:rsidRPr="00707E03" w:rsidRDefault="00707E03">
      <w:pPr>
        <w:pStyle w:val="TOC3"/>
        <w:rPr>
          <w:rFonts w:asciiTheme="minorHAnsi" w:eastAsiaTheme="minorEastAsia" w:hAnsiTheme="minorHAnsi" w:cstheme="minorBidi"/>
          <w:bCs w:val="0"/>
          <w:color w:val="auto"/>
          <w:sz w:val="22"/>
          <w:szCs w:val="22"/>
        </w:rPr>
      </w:pPr>
      <w:r w:rsidRPr="00707E03">
        <w:rPr>
          <w:caps/>
          <w:color w:val="auto"/>
          <w:vertAlign w:val="superscript"/>
          <w:lang w:val="it-IT"/>
        </w:rPr>
        <w:t>104</w:t>
      </w:r>
      <w:r w:rsidRPr="00707E03">
        <w:rPr>
          <w:color w:val="auto"/>
          <w:lang w:val="it-IT"/>
        </w:rPr>
        <w:t xml:space="preserve"> Windows Server 2008 R2 per Sistemi Itanium</w:t>
      </w:r>
      <w:r w:rsidRPr="00707E03">
        <w:rPr>
          <w:color w:val="auto"/>
        </w:rPr>
        <w:tab/>
      </w:r>
      <w:r w:rsidRPr="00707E03">
        <w:rPr>
          <w:color w:val="auto"/>
        </w:rPr>
        <w:fldChar w:fldCharType="begin"/>
      </w:r>
      <w:r w:rsidRPr="00707E03">
        <w:rPr>
          <w:color w:val="auto"/>
        </w:rPr>
        <w:instrText xml:space="preserve"> PAGEREF _Toc352234957 \h </w:instrText>
      </w:r>
      <w:r w:rsidRPr="00707E03">
        <w:rPr>
          <w:color w:val="auto"/>
        </w:rPr>
      </w:r>
      <w:r w:rsidRPr="00707E03">
        <w:rPr>
          <w:color w:val="auto"/>
        </w:rPr>
        <w:fldChar w:fldCharType="separate"/>
      </w:r>
      <w:r w:rsidRPr="00707E03">
        <w:rPr>
          <w:color w:val="auto"/>
        </w:rPr>
        <w:t>193</w:t>
      </w:r>
      <w:r w:rsidRPr="00707E03">
        <w:rPr>
          <w:color w:val="auto"/>
        </w:rPr>
        <w:fldChar w:fldCharType="end"/>
      </w:r>
    </w:p>
    <w:p w:rsidR="00707E03" w:rsidRPr="00707E03" w:rsidRDefault="00707E03">
      <w:pPr>
        <w:pStyle w:val="TOC3"/>
        <w:rPr>
          <w:rFonts w:asciiTheme="minorHAnsi" w:eastAsiaTheme="minorEastAsia" w:hAnsiTheme="minorHAnsi" w:cstheme="minorBidi"/>
          <w:bCs w:val="0"/>
          <w:color w:val="auto"/>
          <w:sz w:val="22"/>
          <w:szCs w:val="22"/>
        </w:rPr>
      </w:pPr>
      <w:r w:rsidRPr="00707E03">
        <w:rPr>
          <w:caps/>
          <w:color w:val="auto"/>
          <w:vertAlign w:val="superscript"/>
          <w:lang w:val="it-IT"/>
        </w:rPr>
        <w:t>105</w:t>
      </w:r>
      <w:r w:rsidRPr="00707E03">
        <w:rPr>
          <w:caps/>
          <w:color w:val="auto"/>
          <w:lang w:val="it-IT"/>
        </w:rPr>
        <w:t xml:space="preserve"> </w:t>
      </w:r>
      <w:r w:rsidRPr="00707E03">
        <w:rPr>
          <w:color w:val="auto"/>
          <w:lang w:val="it-IT"/>
        </w:rPr>
        <w:t>Licenza CAL per Windows Server 2012</w:t>
      </w:r>
      <w:r w:rsidRPr="00707E03">
        <w:rPr>
          <w:color w:val="auto"/>
        </w:rPr>
        <w:tab/>
      </w:r>
      <w:r w:rsidRPr="00707E03">
        <w:rPr>
          <w:color w:val="auto"/>
        </w:rPr>
        <w:fldChar w:fldCharType="begin"/>
      </w:r>
      <w:r w:rsidRPr="00707E03">
        <w:rPr>
          <w:color w:val="auto"/>
        </w:rPr>
        <w:instrText xml:space="preserve"> PAGEREF _Toc352234958 \h </w:instrText>
      </w:r>
      <w:r w:rsidRPr="00707E03">
        <w:rPr>
          <w:color w:val="auto"/>
        </w:rPr>
      </w:r>
      <w:r w:rsidRPr="00707E03">
        <w:rPr>
          <w:color w:val="auto"/>
        </w:rPr>
        <w:fldChar w:fldCharType="separate"/>
      </w:r>
      <w:r w:rsidRPr="00707E03">
        <w:rPr>
          <w:color w:val="auto"/>
        </w:rPr>
        <w:t>194</w:t>
      </w:r>
      <w:r w:rsidRPr="00707E03">
        <w:rPr>
          <w:color w:val="auto"/>
        </w:rPr>
        <w:fldChar w:fldCharType="end"/>
      </w:r>
    </w:p>
    <w:p w:rsidR="00707E03" w:rsidRPr="00707E03" w:rsidRDefault="00707E03">
      <w:pPr>
        <w:pStyle w:val="TOC3"/>
        <w:rPr>
          <w:rFonts w:asciiTheme="minorHAnsi" w:eastAsiaTheme="minorEastAsia" w:hAnsiTheme="minorHAnsi" w:cstheme="minorBidi"/>
          <w:bCs w:val="0"/>
          <w:color w:val="auto"/>
          <w:sz w:val="22"/>
          <w:szCs w:val="22"/>
        </w:rPr>
      </w:pPr>
      <w:r w:rsidRPr="00707E03">
        <w:rPr>
          <w:caps/>
          <w:color w:val="auto"/>
          <w:vertAlign w:val="superscript"/>
          <w:lang w:val="it-IT"/>
        </w:rPr>
        <w:t>106</w:t>
      </w:r>
      <w:r w:rsidRPr="00707E03">
        <w:rPr>
          <w:caps/>
          <w:color w:val="auto"/>
          <w:lang w:val="it-IT"/>
        </w:rPr>
        <w:t xml:space="preserve"> </w:t>
      </w:r>
      <w:r w:rsidRPr="00707E03">
        <w:rPr>
          <w:color w:val="auto"/>
          <w:lang w:val="it-IT"/>
        </w:rPr>
        <w:t>Windows Server 2008 R2 Datacenter</w:t>
      </w:r>
      <w:r w:rsidRPr="00707E03">
        <w:rPr>
          <w:color w:val="auto"/>
        </w:rPr>
        <w:tab/>
      </w:r>
      <w:r w:rsidRPr="00707E03">
        <w:rPr>
          <w:color w:val="auto"/>
        </w:rPr>
        <w:fldChar w:fldCharType="begin"/>
      </w:r>
      <w:r w:rsidRPr="00707E03">
        <w:rPr>
          <w:color w:val="auto"/>
        </w:rPr>
        <w:instrText xml:space="preserve"> PAGEREF _Toc352234959 \h </w:instrText>
      </w:r>
      <w:r w:rsidRPr="00707E03">
        <w:rPr>
          <w:color w:val="auto"/>
        </w:rPr>
      </w:r>
      <w:r w:rsidRPr="00707E03">
        <w:rPr>
          <w:color w:val="auto"/>
        </w:rPr>
        <w:fldChar w:fldCharType="separate"/>
      </w:r>
      <w:r w:rsidRPr="00707E03">
        <w:rPr>
          <w:color w:val="auto"/>
        </w:rPr>
        <w:t>194</w:t>
      </w:r>
      <w:r w:rsidRPr="00707E03">
        <w:rPr>
          <w:color w:val="auto"/>
        </w:rPr>
        <w:fldChar w:fldCharType="end"/>
      </w:r>
    </w:p>
    <w:p w:rsidR="00707E03" w:rsidRPr="00707E03" w:rsidRDefault="00707E03">
      <w:pPr>
        <w:pStyle w:val="TOC3"/>
        <w:rPr>
          <w:rFonts w:asciiTheme="minorHAnsi" w:eastAsiaTheme="minorEastAsia" w:hAnsiTheme="minorHAnsi" w:cstheme="minorBidi"/>
          <w:bCs w:val="0"/>
          <w:color w:val="auto"/>
          <w:sz w:val="22"/>
          <w:szCs w:val="22"/>
        </w:rPr>
      </w:pPr>
      <w:r w:rsidRPr="00707E03">
        <w:rPr>
          <w:caps/>
          <w:color w:val="auto"/>
          <w:vertAlign w:val="superscript"/>
          <w:lang w:val="it-IT"/>
        </w:rPr>
        <w:t>107</w:t>
      </w:r>
      <w:r w:rsidRPr="00707E03">
        <w:rPr>
          <w:caps/>
          <w:color w:val="auto"/>
          <w:lang w:val="it-IT"/>
        </w:rPr>
        <w:t xml:space="preserve"> </w:t>
      </w:r>
      <w:r w:rsidRPr="00707E03">
        <w:rPr>
          <w:color w:val="auto"/>
          <w:lang w:val="it-IT"/>
        </w:rPr>
        <w:t>Windows Server 2008 R2 Standard</w:t>
      </w:r>
      <w:r w:rsidRPr="00707E03">
        <w:rPr>
          <w:color w:val="auto"/>
        </w:rPr>
        <w:tab/>
      </w:r>
      <w:r w:rsidRPr="00707E03">
        <w:rPr>
          <w:color w:val="auto"/>
        </w:rPr>
        <w:fldChar w:fldCharType="begin"/>
      </w:r>
      <w:r w:rsidRPr="00707E03">
        <w:rPr>
          <w:color w:val="auto"/>
        </w:rPr>
        <w:instrText xml:space="preserve"> PAGEREF _Toc352234960 \h </w:instrText>
      </w:r>
      <w:r w:rsidRPr="00707E03">
        <w:rPr>
          <w:color w:val="auto"/>
        </w:rPr>
      </w:r>
      <w:r w:rsidRPr="00707E03">
        <w:rPr>
          <w:color w:val="auto"/>
        </w:rPr>
        <w:fldChar w:fldCharType="separate"/>
      </w:r>
      <w:r w:rsidRPr="00707E03">
        <w:rPr>
          <w:color w:val="auto"/>
        </w:rPr>
        <w:t>195</w:t>
      </w:r>
      <w:r w:rsidRPr="00707E03">
        <w:rPr>
          <w:color w:val="auto"/>
        </w:rPr>
        <w:fldChar w:fldCharType="end"/>
      </w:r>
    </w:p>
    <w:p w:rsidR="00707E03" w:rsidRPr="00707E03" w:rsidRDefault="00707E03">
      <w:pPr>
        <w:pStyle w:val="TOC3"/>
        <w:rPr>
          <w:rFonts w:asciiTheme="minorHAnsi" w:eastAsiaTheme="minorEastAsia" w:hAnsiTheme="minorHAnsi" w:cstheme="minorBidi"/>
          <w:bCs w:val="0"/>
          <w:color w:val="auto"/>
          <w:sz w:val="22"/>
          <w:szCs w:val="22"/>
        </w:rPr>
      </w:pPr>
      <w:r w:rsidRPr="00707E03">
        <w:rPr>
          <w:caps/>
          <w:color w:val="auto"/>
          <w:vertAlign w:val="superscript"/>
          <w:lang w:val="it-IT"/>
        </w:rPr>
        <w:lastRenderedPageBreak/>
        <w:t>108</w:t>
      </w:r>
      <w:r w:rsidRPr="00707E03">
        <w:rPr>
          <w:color w:val="auto"/>
          <w:lang w:val="it-IT"/>
        </w:rPr>
        <w:t xml:space="preserve"> Windows Web Server</w:t>
      </w:r>
      <w:r w:rsidRPr="00707E03">
        <w:rPr>
          <w:color w:val="auto"/>
          <w:vertAlign w:val="superscript"/>
          <w:lang w:val="it-IT"/>
        </w:rPr>
        <w:t>®</w:t>
      </w:r>
      <w:r w:rsidRPr="00707E03">
        <w:rPr>
          <w:color w:val="auto"/>
          <w:lang w:val="it-IT"/>
        </w:rPr>
        <w:t xml:space="preserve"> 2008 R2</w:t>
      </w:r>
      <w:r w:rsidRPr="00707E03">
        <w:rPr>
          <w:color w:val="auto"/>
        </w:rPr>
        <w:tab/>
      </w:r>
      <w:r w:rsidRPr="00707E03">
        <w:rPr>
          <w:color w:val="auto"/>
        </w:rPr>
        <w:fldChar w:fldCharType="begin"/>
      </w:r>
      <w:r w:rsidRPr="00707E03">
        <w:rPr>
          <w:color w:val="auto"/>
        </w:rPr>
        <w:instrText xml:space="preserve"> PAGEREF _Toc352234961 \h </w:instrText>
      </w:r>
      <w:r w:rsidRPr="00707E03">
        <w:rPr>
          <w:color w:val="auto"/>
        </w:rPr>
      </w:r>
      <w:r w:rsidRPr="00707E03">
        <w:rPr>
          <w:color w:val="auto"/>
        </w:rPr>
        <w:fldChar w:fldCharType="separate"/>
      </w:r>
      <w:r w:rsidRPr="00707E03">
        <w:rPr>
          <w:color w:val="auto"/>
        </w:rPr>
        <w:t>196</w:t>
      </w:r>
      <w:r w:rsidRPr="00707E03">
        <w:rPr>
          <w:color w:val="auto"/>
        </w:rPr>
        <w:fldChar w:fldCharType="end"/>
      </w:r>
    </w:p>
    <w:p w:rsidR="00707E03" w:rsidRPr="00707E03" w:rsidRDefault="00707E03">
      <w:pPr>
        <w:pStyle w:val="TOC2"/>
        <w:rPr>
          <w:rFonts w:asciiTheme="minorHAnsi" w:eastAsiaTheme="minorEastAsia" w:hAnsiTheme="minorHAnsi" w:cstheme="minorBidi"/>
          <w:sz w:val="22"/>
          <w:szCs w:val="22"/>
        </w:rPr>
      </w:pPr>
      <w:r w:rsidRPr="00707E03">
        <w:rPr>
          <w:rFonts w:cs="Tahoma"/>
          <w:caps/>
          <w:vertAlign w:val="superscript"/>
        </w:rPr>
        <w:t>109</w:t>
      </w:r>
      <w:r w:rsidRPr="00707E03">
        <w:rPr>
          <w:rFonts w:cs="Tahoma"/>
        </w:rPr>
        <w:t xml:space="preserve"> Windows Small Business Server (SBS) 2008 Premium</w:t>
      </w:r>
      <w:r w:rsidRPr="00707E03">
        <w:tab/>
      </w:r>
      <w:r w:rsidRPr="00707E03">
        <w:fldChar w:fldCharType="begin"/>
      </w:r>
      <w:r w:rsidRPr="00707E03">
        <w:instrText xml:space="preserve"> PAGEREF _Toc352234962 \h </w:instrText>
      </w:r>
      <w:r w:rsidRPr="00707E03">
        <w:fldChar w:fldCharType="separate"/>
      </w:r>
      <w:r w:rsidRPr="00707E03">
        <w:t>197</w:t>
      </w:r>
      <w:r w:rsidRPr="00707E03">
        <w:fldChar w:fldCharType="end"/>
      </w:r>
    </w:p>
    <w:p w:rsidR="00707E03" w:rsidRPr="00707E03" w:rsidRDefault="00707E03">
      <w:pPr>
        <w:pStyle w:val="TOC3"/>
        <w:rPr>
          <w:rFonts w:asciiTheme="minorHAnsi" w:eastAsiaTheme="minorEastAsia" w:hAnsiTheme="minorHAnsi" w:cstheme="minorBidi"/>
          <w:bCs w:val="0"/>
          <w:color w:val="auto"/>
          <w:sz w:val="22"/>
          <w:szCs w:val="22"/>
        </w:rPr>
      </w:pPr>
      <w:r w:rsidRPr="00707E03">
        <w:rPr>
          <w:caps/>
          <w:color w:val="auto"/>
          <w:vertAlign w:val="superscript"/>
        </w:rPr>
        <w:t>110</w:t>
      </w:r>
      <w:r w:rsidRPr="00707E03">
        <w:rPr>
          <w:color w:val="auto"/>
        </w:rPr>
        <w:t xml:space="preserve"> Windows Small Business Server (SBS) 2011 Standard</w:t>
      </w:r>
      <w:r w:rsidRPr="00707E03">
        <w:rPr>
          <w:color w:val="auto"/>
        </w:rPr>
        <w:tab/>
      </w:r>
      <w:r w:rsidRPr="00707E03">
        <w:rPr>
          <w:color w:val="auto"/>
        </w:rPr>
        <w:fldChar w:fldCharType="begin"/>
      </w:r>
      <w:r w:rsidRPr="00707E03">
        <w:rPr>
          <w:color w:val="auto"/>
        </w:rPr>
        <w:instrText xml:space="preserve"> PAGEREF _Toc352234963 \h </w:instrText>
      </w:r>
      <w:r w:rsidRPr="00707E03">
        <w:rPr>
          <w:color w:val="auto"/>
        </w:rPr>
      </w:r>
      <w:r w:rsidRPr="00707E03">
        <w:rPr>
          <w:color w:val="auto"/>
        </w:rPr>
        <w:fldChar w:fldCharType="separate"/>
      </w:r>
      <w:r w:rsidRPr="00707E03">
        <w:rPr>
          <w:color w:val="auto"/>
        </w:rPr>
        <w:t>197</w:t>
      </w:r>
      <w:r w:rsidRPr="00707E03">
        <w:rPr>
          <w:color w:val="auto"/>
        </w:rPr>
        <w:fldChar w:fldCharType="end"/>
      </w:r>
    </w:p>
    <w:p w:rsidR="00707E03" w:rsidRPr="00707E03" w:rsidRDefault="00707E03">
      <w:pPr>
        <w:pStyle w:val="TOC2"/>
        <w:rPr>
          <w:rFonts w:asciiTheme="minorHAnsi" w:eastAsiaTheme="minorEastAsia" w:hAnsiTheme="minorHAnsi" w:cstheme="minorBidi"/>
          <w:sz w:val="22"/>
          <w:szCs w:val="22"/>
        </w:rPr>
      </w:pPr>
      <w:r w:rsidRPr="00707E03">
        <w:rPr>
          <w:rFonts w:cs="Tahoma"/>
          <w:caps/>
          <w:vertAlign w:val="superscript"/>
        </w:rPr>
        <w:t>111</w:t>
      </w:r>
      <w:r w:rsidRPr="00707E03">
        <w:rPr>
          <w:rFonts w:cs="Tahoma"/>
          <w:caps/>
        </w:rPr>
        <w:t xml:space="preserve"> </w:t>
      </w:r>
      <w:r w:rsidRPr="00707E03">
        <w:rPr>
          <w:rFonts w:cs="Tahoma"/>
        </w:rPr>
        <w:t>CAL Suite per Windows Small Business Server (SBS) 2011</w:t>
      </w:r>
      <w:r w:rsidRPr="00707E03">
        <w:tab/>
      </w:r>
      <w:r w:rsidRPr="00707E03">
        <w:fldChar w:fldCharType="begin"/>
      </w:r>
      <w:r w:rsidRPr="00707E03">
        <w:instrText xml:space="preserve"> PAGEREF _Toc352234964 \h </w:instrText>
      </w:r>
      <w:r w:rsidRPr="00707E03">
        <w:fldChar w:fldCharType="separate"/>
      </w:r>
      <w:r w:rsidRPr="00707E03">
        <w:t>198</w:t>
      </w:r>
      <w:r w:rsidRPr="00707E03">
        <w:fldChar w:fldCharType="end"/>
      </w:r>
    </w:p>
    <w:p w:rsidR="00707E03" w:rsidRPr="00707E03" w:rsidRDefault="00707E03">
      <w:pPr>
        <w:pStyle w:val="TOC2"/>
        <w:rPr>
          <w:rFonts w:asciiTheme="minorHAnsi" w:eastAsiaTheme="minorEastAsia" w:hAnsiTheme="minorHAnsi" w:cstheme="minorBidi"/>
          <w:sz w:val="22"/>
          <w:szCs w:val="22"/>
        </w:rPr>
      </w:pPr>
      <w:r w:rsidRPr="00707E03">
        <w:rPr>
          <w:rFonts w:cs="Tahoma"/>
          <w:caps/>
          <w:vertAlign w:val="superscript"/>
        </w:rPr>
        <w:t>112</w:t>
      </w:r>
      <w:r w:rsidRPr="00707E03">
        <w:rPr>
          <w:rFonts w:cs="Tahoma"/>
          <w:caps/>
        </w:rPr>
        <w:t xml:space="preserve"> </w:t>
      </w:r>
      <w:r w:rsidRPr="00707E03">
        <w:rPr>
          <w:rFonts w:cs="Tahoma"/>
        </w:rPr>
        <w:t>Premium Add-on per Windows Small Business Server (SBS) 2011</w:t>
      </w:r>
      <w:r w:rsidRPr="00707E03">
        <w:tab/>
      </w:r>
      <w:r w:rsidRPr="00707E03">
        <w:fldChar w:fldCharType="begin"/>
      </w:r>
      <w:r w:rsidRPr="00707E03">
        <w:instrText xml:space="preserve"> PAGEREF _Toc352234965 \h </w:instrText>
      </w:r>
      <w:r w:rsidRPr="00707E03">
        <w:fldChar w:fldCharType="separate"/>
      </w:r>
      <w:r w:rsidRPr="00707E03">
        <w:t>199</w:t>
      </w:r>
      <w:r w:rsidRPr="00707E03">
        <w:fldChar w:fldCharType="end"/>
      </w:r>
    </w:p>
    <w:p w:rsidR="00707E03" w:rsidRPr="00707E03" w:rsidRDefault="00707E03">
      <w:pPr>
        <w:pStyle w:val="TOC2"/>
        <w:rPr>
          <w:rFonts w:asciiTheme="minorHAnsi" w:eastAsiaTheme="minorEastAsia" w:hAnsiTheme="minorHAnsi" w:cstheme="minorBidi"/>
          <w:sz w:val="22"/>
          <w:szCs w:val="22"/>
        </w:rPr>
      </w:pPr>
      <w:r w:rsidRPr="00707E03">
        <w:rPr>
          <w:rFonts w:cs="Tahoma"/>
          <w:caps/>
          <w:vertAlign w:val="superscript"/>
        </w:rPr>
        <w:t>113</w:t>
      </w:r>
      <w:r w:rsidRPr="00707E03">
        <w:rPr>
          <w:rFonts w:cs="Tahoma"/>
        </w:rPr>
        <w:t xml:space="preserve"> Premium Add-on CAL Suite per Windows Small Business Server (SBS) 2011</w:t>
      </w:r>
      <w:r w:rsidRPr="00707E03">
        <w:tab/>
      </w:r>
      <w:r w:rsidRPr="00707E03">
        <w:fldChar w:fldCharType="begin"/>
      </w:r>
      <w:r w:rsidRPr="00707E03">
        <w:instrText xml:space="preserve"> PAGEREF _Toc352234966 \h </w:instrText>
      </w:r>
      <w:r w:rsidRPr="00707E03">
        <w:fldChar w:fldCharType="separate"/>
      </w:r>
      <w:r w:rsidRPr="00707E03">
        <w:t>200</w:t>
      </w:r>
      <w:r w:rsidRPr="00707E03">
        <w:fldChar w:fldCharType="end"/>
      </w:r>
    </w:p>
    <w:p w:rsidR="00707E03" w:rsidRDefault="00707E03">
      <w:pPr>
        <w:pStyle w:val="TOC2"/>
        <w:rPr>
          <w:rFonts w:asciiTheme="minorHAnsi" w:eastAsiaTheme="minorEastAsia" w:hAnsiTheme="minorHAnsi" w:cstheme="minorBidi"/>
          <w:sz w:val="22"/>
          <w:szCs w:val="22"/>
        </w:rPr>
      </w:pPr>
      <w:r w:rsidRPr="00707E03">
        <w:rPr>
          <w:rFonts w:cs="Tahoma"/>
          <w:vertAlign w:val="superscript"/>
          <w:lang w:val="it-IT"/>
        </w:rPr>
        <w:t>114</w:t>
      </w:r>
      <w:r w:rsidRPr="00707E03">
        <w:rPr>
          <w:rFonts w:cs="Tahoma"/>
          <w:lang w:val="it-IT"/>
        </w:rPr>
        <w:t xml:space="preserve"> Windows Small Business Server 2011 Essentials</w:t>
      </w:r>
      <w:r>
        <w:tab/>
      </w:r>
      <w:r>
        <w:fldChar w:fldCharType="begin"/>
      </w:r>
      <w:r>
        <w:instrText xml:space="preserve"> PAGEREF _Toc352234967 \h </w:instrText>
      </w:r>
      <w:r>
        <w:fldChar w:fldCharType="separate"/>
      </w:r>
      <w:r>
        <w:t>201</w:t>
      </w:r>
      <w:r>
        <w:fldChar w:fldCharType="end"/>
      </w:r>
    </w:p>
    <w:p w:rsidR="007E0CC6" w:rsidRPr="003410C7" w:rsidRDefault="000D77F6" w:rsidP="00461CA9">
      <w:pPr>
        <w:pStyle w:val="TOC4"/>
        <w:tabs>
          <w:tab w:val="clear" w:pos="9360"/>
          <w:tab w:val="center" w:pos="4680"/>
        </w:tabs>
      </w:pPr>
      <w:r w:rsidRPr="003410C7">
        <w:rPr>
          <w:rFonts w:cs="Tahoma"/>
          <w:szCs w:val="18"/>
        </w:rPr>
        <w:fldChar w:fldCharType="end"/>
      </w:r>
    </w:p>
    <w:p w:rsidR="00023FE7" w:rsidRPr="00451078" w:rsidRDefault="00ED3854" w:rsidP="007E0CC6">
      <w:pPr>
        <w:pStyle w:val="Heading2"/>
        <w:rPr>
          <w:sz w:val="36"/>
          <w:szCs w:val="36"/>
          <w:lang w:val="it-IT"/>
        </w:rPr>
      </w:pPr>
      <w:bookmarkStart w:id="7" w:name="_Toc246850065"/>
      <w:r w:rsidRPr="005E4903">
        <w:rPr>
          <w:rFonts w:ascii="Tahoma" w:hAnsi="Tahoma" w:cs="Tahoma"/>
          <w:sz w:val="36"/>
          <w:szCs w:val="36"/>
          <w:lang w:val="it-IT"/>
        </w:rPr>
        <w:br w:type="page"/>
      </w:r>
      <w:bookmarkStart w:id="8" w:name="_Toc336337840"/>
      <w:bookmarkStart w:id="9" w:name="_Toc352234444"/>
      <w:r w:rsidRPr="00451078">
        <w:rPr>
          <w:rFonts w:ascii="Tahoma" w:hAnsi="Tahoma" w:cs="Tahoma"/>
          <w:sz w:val="36"/>
          <w:szCs w:val="36"/>
          <w:lang w:val="it-IT"/>
        </w:rPr>
        <w:lastRenderedPageBreak/>
        <w:t>Codici Tabella</w:t>
      </w:r>
      <w:bookmarkEnd w:id="7"/>
      <w:bookmarkEnd w:id="8"/>
      <w:bookmarkEnd w:id="9"/>
    </w:p>
    <w:p w:rsidR="00023FE7" w:rsidRPr="00B17DED" w:rsidRDefault="00023FE7">
      <w:pPr>
        <w:pStyle w:val="ChartKeyHeadings"/>
        <w:ind w:right="-180"/>
        <w:rPr>
          <w:sz w:val="18"/>
          <w:szCs w:val="18"/>
          <w:lang w:val="it-IT"/>
        </w:rPr>
      </w:pPr>
    </w:p>
    <w:p w:rsidR="00023FE7" w:rsidRPr="00451078" w:rsidRDefault="00023FE7">
      <w:pPr>
        <w:pStyle w:val="ChartKeyHeadings"/>
        <w:ind w:right="-180"/>
        <w:rPr>
          <w:lang w:val="it-IT"/>
        </w:rPr>
      </w:pPr>
      <w:r w:rsidRPr="00451078">
        <w:rPr>
          <w:rFonts w:ascii="Tahoma" w:hAnsi="Tahoma" w:cs="Tahoma"/>
          <w:szCs w:val="24"/>
          <w:lang w:val="it-IT"/>
        </w:rPr>
        <w:t>Intestazioni Colonne</w:t>
      </w:r>
    </w:p>
    <w:p w:rsidR="00023FE7" w:rsidRPr="00B17DED" w:rsidRDefault="00023FE7">
      <w:pPr>
        <w:pStyle w:val="ChartKeyHeadings"/>
        <w:ind w:right="-180"/>
        <w:rPr>
          <w:sz w:val="18"/>
          <w:szCs w:val="18"/>
          <w:lang w:val="it-IT"/>
        </w:rPr>
      </w:pPr>
    </w:p>
    <w:p w:rsidR="00664EE9" w:rsidRPr="00C24B9F" w:rsidRDefault="00664EE9" w:rsidP="00446EC1">
      <w:pPr>
        <w:pStyle w:val="Bodywithspace"/>
        <w:spacing w:before="0" w:after="0" w:line="276" w:lineRule="auto"/>
        <w:rPr>
          <w:sz w:val="18"/>
          <w:szCs w:val="18"/>
          <w:lang w:val="it-IT"/>
        </w:rPr>
      </w:pPr>
      <w:r w:rsidRPr="00C24B9F">
        <w:rPr>
          <w:rStyle w:val="BodyChar"/>
          <w:rFonts w:ascii="Tahoma" w:hAnsi="Tahoma" w:cs="Tahoma"/>
          <w:b/>
          <w:color w:val="000000"/>
          <w:sz w:val="18"/>
          <w:szCs w:val="18"/>
          <w:lang w:val="it-IT"/>
        </w:rPr>
        <w:t>Unità Campus e School =</w:t>
      </w:r>
      <w:r w:rsidRPr="00C24B9F">
        <w:rPr>
          <w:rFonts w:ascii="Tahoma" w:hAnsi="Tahoma" w:cs="Tahoma"/>
          <w:color w:val="000000"/>
          <w:sz w:val="18"/>
          <w:szCs w:val="18"/>
          <w:lang w:val="it-IT"/>
        </w:rPr>
        <w:t xml:space="preserve"> I numeri visualizzati in questa colonna rappresentano le unità designate quando il</w:t>
      </w:r>
      <w:r w:rsidR="00BA6035" w:rsidRPr="00C24B9F">
        <w:rPr>
          <w:rFonts w:ascii="Tahoma" w:hAnsi="Tahoma" w:cs="Tahoma"/>
          <w:color w:val="000000"/>
          <w:sz w:val="18"/>
          <w:szCs w:val="18"/>
          <w:lang w:val="it-IT"/>
        </w:rPr>
        <w:t> </w:t>
      </w:r>
      <w:r w:rsidRPr="00C24B9F">
        <w:rPr>
          <w:rFonts w:ascii="Tahoma" w:hAnsi="Tahoma" w:cs="Tahoma"/>
          <w:color w:val="000000"/>
          <w:sz w:val="18"/>
          <w:szCs w:val="18"/>
          <w:lang w:val="it-IT"/>
        </w:rPr>
        <w:t>software viene offerto attraverso l</w:t>
      </w:r>
      <w:r w:rsidR="0073727D">
        <w:rPr>
          <w:rFonts w:ascii="Tahoma" w:hAnsi="Tahoma" w:cs="Tahoma"/>
          <w:color w:val="000000"/>
          <w:sz w:val="18"/>
          <w:szCs w:val="18"/>
          <w:lang w:val="it-IT"/>
        </w:rPr>
        <w:t>’</w:t>
      </w:r>
      <w:r w:rsidRPr="00C24B9F">
        <w:rPr>
          <w:rFonts w:ascii="Tahoma" w:hAnsi="Tahoma" w:cs="Tahoma"/>
          <w:color w:val="000000"/>
          <w:sz w:val="18"/>
          <w:szCs w:val="18"/>
          <w:lang w:val="it-IT"/>
        </w:rPr>
        <w:t>Iscrizione School ai sensi del Contratto Campus e School. I</w:t>
      </w:r>
      <w:r w:rsidR="00446EC1" w:rsidRPr="00C24B9F">
        <w:rPr>
          <w:rFonts w:ascii="Tahoma" w:hAnsi="Tahoma" w:cs="Tahoma"/>
          <w:color w:val="000000"/>
          <w:sz w:val="18"/>
          <w:szCs w:val="18"/>
          <w:lang w:val="it-IT"/>
        </w:rPr>
        <w:t> </w:t>
      </w:r>
      <w:r w:rsidRPr="00C24B9F">
        <w:rPr>
          <w:rFonts w:ascii="Tahoma" w:hAnsi="Tahoma" w:cs="Tahoma"/>
          <w:color w:val="000000"/>
          <w:sz w:val="18"/>
          <w:szCs w:val="18"/>
          <w:lang w:val="it-IT"/>
        </w:rPr>
        <w:t>prodotti non vengono offerti in questi programmi quando la colonna CA/SA è vuota.</w:t>
      </w:r>
    </w:p>
    <w:p w:rsidR="00023FE7" w:rsidRPr="00C24B9F" w:rsidRDefault="00023FE7" w:rsidP="00446EC1">
      <w:pPr>
        <w:pStyle w:val="Bodywithspace"/>
        <w:spacing w:before="0" w:after="0" w:line="276" w:lineRule="auto"/>
        <w:rPr>
          <w:sz w:val="18"/>
          <w:szCs w:val="18"/>
          <w:lang w:val="it-IT"/>
        </w:rPr>
      </w:pPr>
      <w:r w:rsidRPr="00C24B9F">
        <w:rPr>
          <w:rStyle w:val="BodyChar"/>
          <w:rFonts w:ascii="Tahoma" w:hAnsi="Tahoma" w:cs="Tahoma"/>
          <w:b/>
          <w:sz w:val="18"/>
          <w:szCs w:val="18"/>
          <w:lang w:val="it-IT"/>
        </w:rPr>
        <w:t xml:space="preserve">Data Disponibilità = </w:t>
      </w:r>
      <w:r w:rsidRPr="00C24B9F">
        <w:rPr>
          <w:rStyle w:val="BodyChar"/>
          <w:rFonts w:ascii="Tahoma" w:hAnsi="Tahoma" w:cs="Tahoma"/>
          <w:sz w:val="18"/>
          <w:szCs w:val="18"/>
          <w:lang w:val="it-IT"/>
        </w:rPr>
        <w:t>È la data in cui il prodotto è disponibile per la prima volta,</w:t>
      </w:r>
      <w:r w:rsidRPr="00C24B9F">
        <w:rPr>
          <w:rStyle w:val="BodyChar"/>
          <w:rFonts w:ascii="Tahoma" w:hAnsi="Tahoma" w:cs="Tahoma"/>
          <w:color w:val="000000"/>
          <w:sz w:val="18"/>
          <w:szCs w:val="18"/>
          <w:lang w:val="it-IT"/>
        </w:rPr>
        <w:t xml:space="preserve"> indicata nel formato mese/anno. </w:t>
      </w:r>
      <w:r w:rsidRPr="00C24B9F">
        <w:rPr>
          <w:rStyle w:val="BodyChar"/>
          <w:rFonts w:ascii="Tahoma" w:hAnsi="Tahoma" w:cs="Tahoma"/>
          <w:sz w:val="18"/>
          <w:szCs w:val="18"/>
          <w:lang w:val="it-IT"/>
        </w:rPr>
        <w:t>È la prima tra la data in cui Microsoft dà la possibilità di ordinare le licenze per il prodotto e quella in cui consente di scaricare il software per il prodotto dal Volume Licensing Services Center (VLSC).</w:t>
      </w:r>
    </w:p>
    <w:p w:rsidR="00023FE7" w:rsidRPr="00C24B9F" w:rsidRDefault="00023FE7" w:rsidP="00446EC1">
      <w:pPr>
        <w:pStyle w:val="Bodywithspace"/>
        <w:spacing w:before="0" w:after="0" w:line="276" w:lineRule="auto"/>
        <w:rPr>
          <w:sz w:val="18"/>
          <w:szCs w:val="18"/>
          <w:lang w:val="it-IT"/>
        </w:rPr>
      </w:pPr>
      <w:r w:rsidRPr="00C24B9F">
        <w:rPr>
          <w:rStyle w:val="BodyChar"/>
          <w:rFonts w:ascii="Tahoma" w:hAnsi="Tahoma" w:cs="Tahoma"/>
          <w:b/>
          <w:sz w:val="18"/>
          <w:szCs w:val="18"/>
          <w:lang w:val="it-IT"/>
        </w:rPr>
        <w:t>EA (Contratto Enterprise) =</w:t>
      </w:r>
      <w:r w:rsidRPr="00C24B9F">
        <w:rPr>
          <w:rFonts w:ascii="Tahoma" w:hAnsi="Tahoma" w:cs="Tahoma"/>
          <w:sz w:val="18"/>
          <w:szCs w:val="18"/>
          <w:lang w:val="it-IT"/>
        </w:rPr>
        <w:t xml:space="preserve"> Contratto Enterprise 20xx.</w:t>
      </w:r>
    </w:p>
    <w:p w:rsidR="00023FE7" w:rsidRPr="00C24B9F" w:rsidRDefault="00023FE7" w:rsidP="00446EC1">
      <w:pPr>
        <w:pStyle w:val="Bodywithspace"/>
        <w:spacing w:before="0" w:after="0" w:line="276" w:lineRule="auto"/>
        <w:rPr>
          <w:sz w:val="18"/>
          <w:szCs w:val="18"/>
          <w:lang w:val="it-IT"/>
        </w:rPr>
      </w:pPr>
      <w:r w:rsidRPr="00C24B9F">
        <w:rPr>
          <w:rStyle w:val="BodyChar"/>
          <w:rFonts w:ascii="Tahoma" w:hAnsi="Tahoma" w:cs="Tahoma"/>
          <w:b/>
          <w:sz w:val="18"/>
          <w:szCs w:val="18"/>
          <w:lang w:val="it-IT"/>
        </w:rPr>
        <w:t xml:space="preserve">EA Sub (Contratto Enterprise Subscription) = </w:t>
      </w:r>
      <w:r w:rsidRPr="00C24B9F">
        <w:rPr>
          <w:rFonts w:ascii="Tahoma" w:hAnsi="Tahoma" w:cs="Tahoma"/>
          <w:sz w:val="18"/>
          <w:szCs w:val="18"/>
          <w:lang w:val="it-IT"/>
        </w:rPr>
        <w:t>Contratto Enterprise Subscription 200x.</w:t>
      </w:r>
      <w:r w:rsidR="00082E1C" w:rsidRPr="00C24B9F">
        <w:rPr>
          <w:rFonts w:ascii="Tahoma" w:hAnsi="Tahoma" w:cs="Tahoma"/>
          <w:sz w:val="18"/>
          <w:szCs w:val="18"/>
          <w:lang w:val="it-IT"/>
        </w:rPr>
        <w:t xml:space="preserve"> </w:t>
      </w:r>
    </w:p>
    <w:p w:rsidR="00456002" w:rsidRPr="00C24B9F" w:rsidRDefault="00456002" w:rsidP="00446EC1">
      <w:pPr>
        <w:pStyle w:val="Bodywithspace"/>
        <w:spacing w:before="0" w:after="0" w:line="276" w:lineRule="auto"/>
        <w:rPr>
          <w:sz w:val="18"/>
          <w:szCs w:val="18"/>
          <w:lang w:val="it-IT"/>
        </w:rPr>
      </w:pPr>
      <w:r w:rsidRPr="00C24B9F">
        <w:rPr>
          <w:rStyle w:val="BodyChar"/>
          <w:rFonts w:ascii="Tahoma" w:hAnsi="Tahoma" w:cs="Tahoma"/>
          <w:b/>
          <w:sz w:val="18"/>
          <w:szCs w:val="18"/>
          <w:lang w:val="it-IT"/>
        </w:rPr>
        <w:t>Requisito Minimo per i Programmi Open =</w:t>
      </w:r>
      <w:r w:rsidRPr="00C24B9F">
        <w:rPr>
          <w:rFonts w:ascii="Tahoma" w:hAnsi="Tahoma" w:cs="Tahoma"/>
          <w:sz w:val="18"/>
          <w:szCs w:val="18"/>
          <w:lang w:val="it-IT"/>
        </w:rPr>
        <w:t xml:space="preserve"> Ogni Licenza conta esclusivamente come 5 Licenze ai fini del</w:t>
      </w:r>
      <w:r w:rsidR="006B2A0B" w:rsidRPr="00C24B9F">
        <w:rPr>
          <w:rFonts w:ascii="Tahoma" w:hAnsi="Tahoma" w:cs="Tahoma"/>
          <w:sz w:val="18"/>
          <w:szCs w:val="18"/>
          <w:lang w:val="it-IT"/>
        </w:rPr>
        <w:t> </w:t>
      </w:r>
      <w:r w:rsidRPr="00C24B9F">
        <w:rPr>
          <w:rFonts w:ascii="Tahoma" w:hAnsi="Tahoma" w:cs="Tahoma"/>
          <w:sz w:val="18"/>
          <w:szCs w:val="18"/>
          <w:lang w:val="it-IT"/>
        </w:rPr>
        <w:t>requisito minimo per l</w:t>
      </w:r>
      <w:r w:rsidR="0073727D">
        <w:rPr>
          <w:rFonts w:ascii="Tahoma" w:hAnsi="Tahoma" w:cs="Tahoma"/>
          <w:sz w:val="18"/>
          <w:szCs w:val="18"/>
          <w:lang w:val="it-IT"/>
        </w:rPr>
        <w:t>’</w:t>
      </w:r>
      <w:r w:rsidRPr="00C24B9F">
        <w:rPr>
          <w:rFonts w:ascii="Tahoma" w:hAnsi="Tahoma" w:cs="Tahoma"/>
          <w:sz w:val="18"/>
          <w:szCs w:val="18"/>
          <w:lang w:val="it-IT"/>
        </w:rPr>
        <w:t>ordine iniziale nei programmi Open License e/o Open Value. Il valore indica il programma per cui è in vigore.</w:t>
      </w:r>
    </w:p>
    <w:p w:rsidR="00456002" w:rsidRPr="00C24B9F" w:rsidRDefault="00456002" w:rsidP="00446EC1">
      <w:pPr>
        <w:pStyle w:val="Bodywithspace"/>
        <w:spacing w:before="0" w:after="0" w:line="276" w:lineRule="auto"/>
        <w:rPr>
          <w:sz w:val="18"/>
          <w:szCs w:val="18"/>
        </w:rPr>
      </w:pPr>
      <w:r w:rsidRPr="00C24B9F">
        <w:rPr>
          <w:rStyle w:val="BodyChar"/>
          <w:rFonts w:ascii="Tahoma" w:hAnsi="Tahoma" w:cs="Tahoma"/>
          <w:b/>
          <w:sz w:val="18"/>
          <w:szCs w:val="18"/>
          <w:lang w:val="it-IT"/>
        </w:rPr>
        <w:t>Open License =</w:t>
      </w:r>
      <w:r w:rsidRPr="00C24B9F">
        <w:rPr>
          <w:rFonts w:ascii="Tahoma" w:hAnsi="Tahoma" w:cs="Tahoma"/>
          <w:sz w:val="18"/>
          <w:szCs w:val="18"/>
          <w:lang w:val="it-IT"/>
        </w:rPr>
        <w:t xml:space="preserve"> L</w:t>
      </w:r>
      <w:r w:rsidR="0073727D">
        <w:rPr>
          <w:rFonts w:ascii="Tahoma" w:hAnsi="Tahoma" w:cs="Tahoma"/>
          <w:sz w:val="18"/>
          <w:szCs w:val="18"/>
          <w:lang w:val="it-IT"/>
        </w:rPr>
        <w:t>’</w:t>
      </w:r>
      <w:r w:rsidRPr="00C24B9F">
        <w:rPr>
          <w:rFonts w:ascii="Tahoma" w:hAnsi="Tahoma" w:cs="Tahoma"/>
          <w:sz w:val="18"/>
          <w:szCs w:val="18"/>
          <w:lang w:val="it-IT"/>
        </w:rPr>
        <w:t xml:space="preserve">unico componente Open License dei Programmi Open. </w:t>
      </w:r>
      <w:r w:rsidRPr="00C24B9F">
        <w:rPr>
          <w:rFonts w:ascii="Tahoma" w:hAnsi="Tahoma" w:cs="Tahoma"/>
          <w:sz w:val="18"/>
          <w:szCs w:val="18"/>
        </w:rPr>
        <w:t>Open License include Open</w:t>
      </w:r>
      <w:r w:rsidR="00446EC1" w:rsidRPr="00C24B9F">
        <w:rPr>
          <w:rFonts w:ascii="Tahoma" w:hAnsi="Tahoma" w:cs="Tahoma"/>
          <w:sz w:val="18"/>
          <w:szCs w:val="18"/>
        </w:rPr>
        <w:t> </w:t>
      </w:r>
      <w:r w:rsidRPr="00C24B9F">
        <w:rPr>
          <w:rFonts w:ascii="Tahoma" w:hAnsi="Tahoma" w:cs="Tahoma"/>
          <w:sz w:val="18"/>
          <w:szCs w:val="18"/>
        </w:rPr>
        <w:t>License, Open License for Academic, Open License for Government e Open License for Charity, ove</w:t>
      </w:r>
      <w:r w:rsidR="00446EC1" w:rsidRPr="00C24B9F">
        <w:rPr>
          <w:rFonts w:ascii="Tahoma" w:hAnsi="Tahoma" w:cs="Tahoma"/>
          <w:sz w:val="18"/>
          <w:szCs w:val="18"/>
        </w:rPr>
        <w:t> </w:t>
      </w:r>
      <w:r w:rsidRPr="00C24B9F">
        <w:rPr>
          <w:rFonts w:ascii="Tahoma" w:hAnsi="Tahoma" w:cs="Tahoma"/>
          <w:sz w:val="18"/>
          <w:szCs w:val="18"/>
        </w:rPr>
        <w:t>disponibili.</w:t>
      </w:r>
    </w:p>
    <w:p w:rsidR="00456002" w:rsidRPr="00C24B9F" w:rsidRDefault="00456002" w:rsidP="00446EC1">
      <w:pPr>
        <w:pStyle w:val="Bodywithspace"/>
        <w:spacing w:before="0" w:after="0" w:line="276" w:lineRule="auto"/>
        <w:rPr>
          <w:sz w:val="18"/>
          <w:szCs w:val="18"/>
        </w:rPr>
      </w:pPr>
      <w:r w:rsidRPr="00C24B9F">
        <w:rPr>
          <w:rStyle w:val="BodyChar"/>
          <w:rFonts w:ascii="Tahoma" w:hAnsi="Tahoma" w:cs="Tahoma"/>
          <w:b/>
          <w:sz w:val="18"/>
          <w:szCs w:val="18"/>
        </w:rPr>
        <w:t>Open Value (OV)</w:t>
      </w:r>
      <w:r w:rsidR="00446EC1" w:rsidRPr="00C24B9F">
        <w:rPr>
          <w:rStyle w:val="BodyChar"/>
          <w:rFonts w:ascii="Tahoma" w:hAnsi="Tahoma" w:cs="Tahoma"/>
          <w:b/>
          <w:sz w:val="18"/>
          <w:szCs w:val="18"/>
        </w:rPr>
        <w:t xml:space="preserve"> </w:t>
      </w:r>
      <w:r w:rsidRPr="00C24B9F">
        <w:rPr>
          <w:rStyle w:val="BodyChar"/>
          <w:rFonts w:ascii="Tahoma" w:hAnsi="Tahoma" w:cs="Tahoma"/>
          <w:b/>
          <w:sz w:val="18"/>
          <w:szCs w:val="18"/>
        </w:rPr>
        <w:t>=</w:t>
      </w:r>
      <w:r w:rsidRPr="00C24B9F">
        <w:rPr>
          <w:rFonts w:ascii="Tahoma" w:hAnsi="Tahoma" w:cs="Tahoma"/>
          <w:sz w:val="18"/>
          <w:szCs w:val="18"/>
        </w:rPr>
        <w:t xml:space="preserve"> Open Value include Open Value e Open Value for Government.</w:t>
      </w:r>
    </w:p>
    <w:p w:rsidR="00456002" w:rsidRPr="00C24B9F" w:rsidRDefault="00456002" w:rsidP="00446EC1">
      <w:pPr>
        <w:pStyle w:val="Bodywithspace"/>
        <w:spacing w:before="0" w:after="0" w:line="276" w:lineRule="auto"/>
        <w:rPr>
          <w:sz w:val="18"/>
          <w:szCs w:val="18"/>
        </w:rPr>
      </w:pPr>
      <w:r w:rsidRPr="00C24B9F">
        <w:rPr>
          <w:rStyle w:val="BodyChar"/>
          <w:rFonts w:ascii="Tahoma" w:hAnsi="Tahoma" w:cs="Tahoma"/>
          <w:b/>
          <w:sz w:val="18"/>
          <w:szCs w:val="18"/>
        </w:rPr>
        <w:t>Open Value Subscription (OVS)</w:t>
      </w:r>
      <w:r w:rsidR="00446EC1" w:rsidRPr="00C24B9F">
        <w:rPr>
          <w:rStyle w:val="BodyChar"/>
          <w:rFonts w:ascii="Tahoma" w:hAnsi="Tahoma" w:cs="Tahoma"/>
          <w:b/>
          <w:sz w:val="18"/>
          <w:szCs w:val="18"/>
        </w:rPr>
        <w:t xml:space="preserve"> </w:t>
      </w:r>
      <w:r w:rsidRPr="00C24B9F">
        <w:rPr>
          <w:rStyle w:val="BodyChar"/>
          <w:rFonts w:ascii="Tahoma" w:hAnsi="Tahoma" w:cs="Tahoma"/>
          <w:b/>
          <w:sz w:val="18"/>
          <w:szCs w:val="18"/>
        </w:rPr>
        <w:t>=</w:t>
      </w:r>
      <w:r w:rsidRPr="00C24B9F">
        <w:rPr>
          <w:rFonts w:ascii="Tahoma" w:hAnsi="Tahoma" w:cs="Tahoma"/>
          <w:sz w:val="18"/>
          <w:szCs w:val="18"/>
        </w:rPr>
        <w:t xml:space="preserve"> Open Value Subscription include Open Value Subscription e Open Value Subscription for Government. </w:t>
      </w:r>
    </w:p>
    <w:p w:rsidR="00456002" w:rsidRPr="00C24B9F" w:rsidRDefault="00456002" w:rsidP="00446EC1">
      <w:pPr>
        <w:pStyle w:val="Bodywithspace"/>
        <w:spacing w:before="0" w:after="0" w:line="276" w:lineRule="auto"/>
        <w:rPr>
          <w:sz w:val="18"/>
          <w:szCs w:val="18"/>
        </w:rPr>
      </w:pPr>
      <w:r w:rsidRPr="00C24B9F">
        <w:rPr>
          <w:rStyle w:val="BodyChar"/>
          <w:rFonts w:ascii="Tahoma" w:hAnsi="Tahoma" w:cs="Tahoma"/>
          <w:b/>
          <w:sz w:val="18"/>
          <w:szCs w:val="18"/>
        </w:rPr>
        <w:t xml:space="preserve">EES/OVS-ES = </w:t>
      </w:r>
      <w:r w:rsidRPr="00C24B9F">
        <w:rPr>
          <w:rStyle w:val="BodyChar"/>
          <w:rFonts w:ascii="Tahoma" w:hAnsi="Tahoma" w:cs="Tahoma"/>
          <w:sz w:val="18"/>
          <w:szCs w:val="18"/>
        </w:rPr>
        <w:t>Enrollment for Education Solutions/Open Value Subscription – Education Solutions</w:t>
      </w:r>
    </w:p>
    <w:p w:rsidR="00456002" w:rsidRPr="00C24B9F" w:rsidRDefault="00456002" w:rsidP="00446EC1">
      <w:pPr>
        <w:pStyle w:val="Bodywithspace"/>
        <w:spacing w:before="0" w:after="0" w:line="276" w:lineRule="auto"/>
        <w:rPr>
          <w:sz w:val="18"/>
          <w:szCs w:val="18"/>
          <w:lang w:val="it-IT"/>
        </w:rPr>
      </w:pPr>
      <w:r w:rsidRPr="00C24B9F">
        <w:rPr>
          <w:rStyle w:val="BodyChar"/>
          <w:rFonts w:ascii="Tahoma" w:hAnsi="Tahoma" w:cs="Tahoma"/>
          <w:b/>
          <w:sz w:val="18"/>
          <w:szCs w:val="18"/>
          <w:lang w:val="it-IT"/>
        </w:rPr>
        <w:t>Promozioni e Migrazioni =</w:t>
      </w:r>
      <w:r w:rsidRPr="00C24B9F">
        <w:rPr>
          <w:rFonts w:ascii="Tahoma" w:hAnsi="Tahoma" w:cs="Tahoma"/>
          <w:sz w:val="18"/>
          <w:szCs w:val="18"/>
          <w:lang w:val="it-IT"/>
        </w:rPr>
        <w:t xml:space="preserve"> È già in corso una promozione o è disponibile una migrazione di software.</w:t>
      </w:r>
    </w:p>
    <w:p w:rsidR="00456002" w:rsidRPr="00C24B9F" w:rsidRDefault="00456002" w:rsidP="00446EC1">
      <w:pPr>
        <w:pStyle w:val="Bodywithspace"/>
        <w:spacing w:before="0" w:after="0" w:line="276" w:lineRule="auto"/>
        <w:rPr>
          <w:sz w:val="18"/>
          <w:szCs w:val="18"/>
          <w:lang w:val="it-IT"/>
        </w:rPr>
      </w:pPr>
      <w:r w:rsidRPr="00C24B9F">
        <w:rPr>
          <w:rStyle w:val="BodyChar"/>
          <w:rFonts w:ascii="Tahoma" w:hAnsi="Tahoma" w:cs="Tahoma"/>
          <w:b/>
          <w:sz w:val="18"/>
          <w:szCs w:val="18"/>
          <w:lang w:val="it-IT"/>
        </w:rPr>
        <w:t>SAB =</w:t>
      </w:r>
      <w:r w:rsidRPr="00C24B9F">
        <w:rPr>
          <w:rFonts w:ascii="Tahoma" w:hAnsi="Tahoma" w:cs="Tahoma"/>
          <w:sz w:val="18"/>
          <w:szCs w:val="18"/>
          <w:lang w:val="it-IT"/>
        </w:rPr>
        <w:t xml:space="preserve"> Per le società idonee all</w:t>
      </w:r>
      <w:r w:rsidR="0073727D">
        <w:rPr>
          <w:rFonts w:ascii="Tahoma" w:hAnsi="Tahoma" w:cs="Tahoma"/>
          <w:sz w:val="18"/>
          <w:szCs w:val="18"/>
          <w:lang w:val="it-IT"/>
        </w:rPr>
        <w:t>’</w:t>
      </w:r>
      <w:r w:rsidRPr="00C24B9F">
        <w:rPr>
          <w:rFonts w:ascii="Tahoma" w:hAnsi="Tahoma" w:cs="Tahoma"/>
          <w:sz w:val="18"/>
          <w:szCs w:val="18"/>
          <w:lang w:val="it-IT"/>
        </w:rPr>
        <w:t>acquisto del software sono disponibili i Vantaggi di Software Assurance (Software Assurance Benefits o SAB).</w:t>
      </w:r>
    </w:p>
    <w:p w:rsidR="00456002" w:rsidRPr="00C24B9F" w:rsidRDefault="00456002" w:rsidP="00446EC1">
      <w:pPr>
        <w:pStyle w:val="Bodywithspace"/>
        <w:spacing w:before="0" w:after="0" w:line="276" w:lineRule="auto"/>
        <w:rPr>
          <w:sz w:val="18"/>
          <w:szCs w:val="18"/>
        </w:rPr>
      </w:pPr>
      <w:r w:rsidRPr="00C24B9F">
        <w:rPr>
          <w:rStyle w:val="BodyChar"/>
          <w:rFonts w:ascii="Tahoma" w:hAnsi="Tahoma" w:cs="Tahoma"/>
          <w:b/>
          <w:sz w:val="18"/>
          <w:szCs w:val="18"/>
        </w:rPr>
        <w:t>Select =</w:t>
      </w:r>
      <w:r w:rsidRPr="00C24B9F">
        <w:rPr>
          <w:rFonts w:ascii="Tahoma" w:hAnsi="Tahoma" w:cs="Tahoma"/>
          <w:sz w:val="18"/>
          <w:szCs w:val="18"/>
        </w:rPr>
        <w:t xml:space="preserve"> Select 20xx. Sono inclusi anche i Contratti Select for Academic e Select for Government.</w:t>
      </w:r>
    </w:p>
    <w:p w:rsidR="00456002" w:rsidRPr="003410C7" w:rsidRDefault="00456002" w:rsidP="00446EC1">
      <w:pPr>
        <w:pStyle w:val="Bodywithspace"/>
        <w:spacing w:before="0" w:after="0" w:line="276" w:lineRule="auto"/>
      </w:pPr>
      <w:r w:rsidRPr="00471E0A">
        <w:rPr>
          <w:rStyle w:val="BodyChar"/>
          <w:rFonts w:ascii="Tahoma" w:hAnsi="Tahoma" w:cs="Tahoma"/>
          <w:b/>
          <w:sz w:val="18"/>
          <w:szCs w:val="18"/>
        </w:rPr>
        <w:t>Select Plus</w:t>
      </w:r>
      <w:r w:rsidRPr="00471E0A">
        <w:rPr>
          <w:rStyle w:val="BodyChar"/>
          <w:rFonts w:ascii="Tahoma" w:hAnsi="Tahoma" w:cs="Tahoma"/>
          <w:sz w:val="18"/>
          <w:szCs w:val="18"/>
        </w:rPr>
        <w:t xml:space="preserve"> </w:t>
      </w:r>
      <w:r w:rsidRPr="00471E0A">
        <w:rPr>
          <w:rStyle w:val="BodyChar"/>
          <w:rFonts w:ascii="Tahoma" w:hAnsi="Tahoma" w:cs="Tahoma"/>
          <w:b/>
          <w:sz w:val="18"/>
          <w:szCs w:val="18"/>
        </w:rPr>
        <w:t>=</w:t>
      </w:r>
      <w:r w:rsidRPr="00471E0A">
        <w:rPr>
          <w:rStyle w:val="BodyChar"/>
          <w:rFonts w:ascii="Tahoma" w:hAnsi="Tahoma" w:cs="Tahoma"/>
          <w:sz w:val="18"/>
          <w:szCs w:val="18"/>
        </w:rPr>
        <w:t xml:space="preserve"> Select Plus 20xx.</w:t>
      </w:r>
      <w:r w:rsidR="00082E1C" w:rsidRPr="00471E0A">
        <w:rPr>
          <w:rStyle w:val="BodyChar"/>
          <w:rFonts w:ascii="Tahoma" w:hAnsi="Tahoma" w:cs="Tahoma"/>
          <w:sz w:val="18"/>
          <w:szCs w:val="18"/>
        </w:rPr>
        <w:t xml:space="preserve"> </w:t>
      </w:r>
      <w:r w:rsidRPr="003410C7">
        <w:rPr>
          <w:rStyle w:val="BodyChar"/>
          <w:rFonts w:ascii="Tahoma" w:hAnsi="Tahoma" w:cs="Tahoma"/>
          <w:sz w:val="18"/>
          <w:szCs w:val="18"/>
        </w:rPr>
        <w:t>Sono inclusi anche i Contratti Plus License for Academic e Select Plus for</w:t>
      </w:r>
      <w:r w:rsidR="00446EC1">
        <w:rPr>
          <w:rStyle w:val="BodyChar"/>
          <w:rFonts w:ascii="Tahoma" w:hAnsi="Tahoma" w:cs="Tahoma"/>
          <w:sz w:val="18"/>
          <w:szCs w:val="18"/>
        </w:rPr>
        <w:t> </w:t>
      </w:r>
      <w:r w:rsidRPr="003410C7">
        <w:rPr>
          <w:rStyle w:val="BodyChar"/>
          <w:rFonts w:ascii="Tahoma" w:hAnsi="Tahoma" w:cs="Tahoma"/>
          <w:sz w:val="18"/>
          <w:szCs w:val="18"/>
        </w:rPr>
        <w:t>Government.</w:t>
      </w:r>
    </w:p>
    <w:p w:rsidR="00023FE7" w:rsidRPr="003410C7" w:rsidRDefault="00023FE7">
      <w:pPr>
        <w:pStyle w:val="Bodywithspace"/>
        <w:spacing w:before="0" w:after="0"/>
        <w:ind w:right="-180"/>
      </w:pPr>
    </w:p>
    <w:p w:rsidR="00023FE7" w:rsidRPr="00451078" w:rsidRDefault="00023FE7">
      <w:pPr>
        <w:pStyle w:val="ChartKeyHeadings"/>
        <w:ind w:right="-180"/>
        <w:rPr>
          <w:lang w:val="it-IT"/>
        </w:rPr>
      </w:pPr>
      <w:r w:rsidRPr="00451078">
        <w:rPr>
          <w:rFonts w:ascii="Tahoma" w:hAnsi="Tahoma" w:cs="Tahoma"/>
          <w:szCs w:val="28"/>
          <w:lang w:val="it-IT"/>
        </w:rPr>
        <w:t>Valori delle colonne</w:t>
      </w:r>
    </w:p>
    <w:p w:rsidR="00023FE7" w:rsidRPr="00CA407F" w:rsidRDefault="00023FE7">
      <w:pPr>
        <w:pStyle w:val="ChartKeyHeadings"/>
        <w:ind w:right="-180"/>
        <w:rPr>
          <w:sz w:val="18"/>
          <w:szCs w:val="18"/>
          <w:lang w:val="it-IT"/>
        </w:rPr>
      </w:pPr>
    </w:p>
    <w:p w:rsidR="00023FE7" w:rsidRPr="00451078" w:rsidRDefault="00023FE7">
      <w:pPr>
        <w:pStyle w:val="Bodywithspace"/>
        <w:spacing w:before="0" w:after="0" w:line="276" w:lineRule="auto"/>
        <w:ind w:right="-180"/>
        <w:rPr>
          <w:lang w:val="it-IT"/>
        </w:rPr>
      </w:pPr>
      <w:r w:rsidRPr="00451078">
        <w:rPr>
          <w:rStyle w:val="BodyChar"/>
          <w:rFonts w:ascii="Tahoma" w:hAnsi="Tahoma" w:cs="Tahoma"/>
          <w:b/>
          <w:sz w:val="18"/>
          <w:szCs w:val="18"/>
          <w:lang w:val="it-IT"/>
        </w:rPr>
        <w:t xml:space="preserve">1 An = </w:t>
      </w:r>
      <w:r w:rsidRPr="00451078">
        <w:rPr>
          <w:rFonts w:ascii="Tahoma" w:hAnsi="Tahoma" w:cs="Tahoma"/>
          <w:sz w:val="18"/>
          <w:szCs w:val="18"/>
          <w:lang w:val="it-IT"/>
        </w:rPr>
        <w:t>(ancora 1 anno alla scadenza del periodo di validità del contratto).</w:t>
      </w:r>
    </w:p>
    <w:p w:rsidR="00023FE7" w:rsidRPr="00451078" w:rsidRDefault="00023FE7">
      <w:pPr>
        <w:pStyle w:val="Bodywithspace"/>
        <w:spacing w:before="0" w:after="0" w:line="276" w:lineRule="auto"/>
        <w:ind w:right="-180"/>
        <w:rPr>
          <w:lang w:val="it-IT"/>
        </w:rPr>
      </w:pPr>
      <w:r w:rsidRPr="00451078">
        <w:rPr>
          <w:rStyle w:val="BodyChar"/>
          <w:rFonts w:ascii="Tahoma" w:hAnsi="Tahoma" w:cs="Tahoma"/>
          <w:b/>
          <w:sz w:val="18"/>
          <w:szCs w:val="18"/>
          <w:lang w:val="it-IT"/>
        </w:rPr>
        <w:t>2 An =</w:t>
      </w:r>
      <w:r w:rsidRPr="00451078">
        <w:rPr>
          <w:rFonts w:ascii="Tahoma" w:hAnsi="Tahoma" w:cs="Tahoma"/>
          <w:sz w:val="18"/>
          <w:szCs w:val="18"/>
          <w:lang w:val="it-IT"/>
        </w:rPr>
        <w:t xml:space="preserve"> (ancora 2 anni alla scadenza del periodo di validità del contratto).</w:t>
      </w:r>
    </w:p>
    <w:p w:rsidR="00023FE7" w:rsidRPr="00451078" w:rsidRDefault="00023FE7">
      <w:pPr>
        <w:pStyle w:val="Bodywithspace"/>
        <w:spacing w:before="0" w:after="0" w:line="276" w:lineRule="auto"/>
        <w:ind w:right="-180"/>
        <w:rPr>
          <w:lang w:val="it-IT"/>
        </w:rPr>
      </w:pPr>
      <w:r w:rsidRPr="00451078">
        <w:rPr>
          <w:rStyle w:val="BodyChar"/>
          <w:rFonts w:ascii="Tahoma" w:hAnsi="Tahoma" w:cs="Tahoma"/>
          <w:b/>
          <w:sz w:val="18"/>
          <w:szCs w:val="18"/>
          <w:lang w:val="it-IT"/>
        </w:rPr>
        <w:t>3 An =</w:t>
      </w:r>
      <w:r w:rsidRPr="00451078">
        <w:rPr>
          <w:rFonts w:ascii="Tahoma" w:hAnsi="Tahoma" w:cs="Tahoma"/>
          <w:sz w:val="18"/>
          <w:szCs w:val="18"/>
          <w:lang w:val="it-IT"/>
        </w:rPr>
        <w:t xml:space="preserve"> (ancora 3 anni alla scadenza del periodo di validità del contratto).</w:t>
      </w:r>
    </w:p>
    <w:p w:rsidR="00023FE7" w:rsidRPr="00451078" w:rsidRDefault="00023FE7">
      <w:pPr>
        <w:pStyle w:val="Bodywithspace"/>
        <w:spacing w:before="0" w:after="0" w:line="276" w:lineRule="auto"/>
        <w:ind w:right="-180"/>
        <w:rPr>
          <w:lang w:val="it-IT"/>
        </w:rPr>
      </w:pPr>
      <w:r w:rsidRPr="00451078">
        <w:rPr>
          <w:rStyle w:val="BodyChar"/>
          <w:rFonts w:ascii="Tahoma" w:hAnsi="Tahoma" w:cs="Tahoma"/>
          <w:b/>
          <w:sz w:val="18"/>
          <w:szCs w:val="18"/>
          <w:lang w:val="it-IT"/>
        </w:rPr>
        <w:t>A =</w:t>
      </w:r>
      <w:r w:rsidRPr="00451078">
        <w:rPr>
          <w:rFonts w:ascii="Tahoma" w:hAnsi="Tahoma" w:cs="Tahoma"/>
          <w:sz w:val="18"/>
          <w:szCs w:val="18"/>
          <w:lang w:val="it-IT"/>
        </w:rPr>
        <w:t xml:space="preserve"> Indica che il software è offerto come prodotto aggiuntivo.</w:t>
      </w:r>
    </w:p>
    <w:p w:rsidR="009E22D0" w:rsidRPr="00451078" w:rsidRDefault="009E22D0" w:rsidP="009E22D0">
      <w:pPr>
        <w:pStyle w:val="Bodywithspace"/>
        <w:spacing w:before="0" w:after="0" w:line="276" w:lineRule="auto"/>
        <w:ind w:right="-180"/>
        <w:rPr>
          <w:lang w:val="it-IT"/>
        </w:rPr>
      </w:pPr>
      <w:r w:rsidRPr="00451078">
        <w:rPr>
          <w:rStyle w:val="BodyChar"/>
          <w:rFonts w:ascii="Tahoma" w:hAnsi="Tahoma" w:cs="Tahoma"/>
          <w:b/>
          <w:sz w:val="18"/>
          <w:szCs w:val="18"/>
          <w:lang w:val="it-IT"/>
        </w:rPr>
        <w:t>AO</w:t>
      </w:r>
      <w:r w:rsidRPr="00451078">
        <w:rPr>
          <w:rStyle w:val="BodyChar"/>
          <w:rFonts w:ascii="Tahoma" w:hAnsi="Tahoma" w:cs="Tahoma"/>
          <w:sz w:val="18"/>
          <w:szCs w:val="18"/>
          <w:lang w:val="it-IT"/>
        </w:rPr>
        <w:t xml:space="preserve"> </w:t>
      </w:r>
      <w:r w:rsidRPr="00451078">
        <w:rPr>
          <w:rStyle w:val="BodyChar"/>
          <w:rFonts w:ascii="Tahoma" w:hAnsi="Tahoma" w:cs="Tahoma"/>
          <w:b/>
          <w:sz w:val="18"/>
          <w:szCs w:val="18"/>
          <w:lang w:val="it-IT"/>
        </w:rPr>
        <w:t xml:space="preserve">– </w:t>
      </w:r>
      <w:r w:rsidRPr="00451078">
        <w:rPr>
          <w:rFonts w:ascii="Tahoma" w:hAnsi="Tahoma" w:cs="Tahoma"/>
          <w:sz w:val="18"/>
          <w:szCs w:val="18"/>
          <w:lang w:val="it-IT"/>
        </w:rPr>
        <w:t>Indica software offerto come prodotto aggiuntivo ordinabile per l</w:t>
      </w:r>
      <w:r w:rsidR="0073727D">
        <w:rPr>
          <w:rFonts w:ascii="Tahoma" w:hAnsi="Tahoma" w:cs="Tahoma"/>
          <w:sz w:val="18"/>
          <w:szCs w:val="18"/>
          <w:lang w:val="it-IT"/>
        </w:rPr>
        <w:t>’</w:t>
      </w:r>
      <w:r w:rsidRPr="00451078">
        <w:rPr>
          <w:rFonts w:ascii="Tahoma" w:hAnsi="Tahoma" w:cs="Tahoma"/>
          <w:sz w:val="18"/>
          <w:szCs w:val="18"/>
          <w:lang w:val="it-IT"/>
        </w:rPr>
        <w:t>intera organizzazione.</w:t>
      </w:r>
    </w:p>
    <w:p w:rsidR="009F5F37" w:rsidRPr="00451078" w:rsidRDefault="009F5F37">
      <w:pPr>
        <w:pStyle w:val="Bodywithspace"/>
        <w:spacing w:before="0" w:after="0" w:line="276" w:lineRule="auto"/>
        <w:ind w:right="-180"/>
        <w:rPr>
          <w:lang w:val="it-IT"/>
        </w:rPr>
      </w:pPr>
      <w:r w:rsidRPr="00451078">
        <w:rPr>
          <w:rStyle w:val="BodyChar"/>
          <w:rFonts w:ascii="Tahoma" w:hAnsi="Tahoma" w:cs="Tahoma"/>
          <w:b/>
          <w:sz w:val="18"/>
          <w:szCs w:val="18"/>
          <w:lang w:val="it-IT"/>
        </w:rPr>
        <w:t xml:space="preserve">C = </w:t>
      </w:r>
      <w:r w:rsidRPr="00451078">
        <w:rPr>
          <w:rFonts w:ascii="Tahoma" w:hAnsi="Tahoma" w:cs="Tahoma"/>
          <w:sz w:val="18"/>
          <w:szCs w:val="18"/>
          <w:lang w:val="it-IT"/>
        </w:rPr>
        <w:t>Indica che il software è offerto come prodotto per le infrastrutture core.</w:t>
      </w:r>
    </w:p>
    <w:p w:rsidR="009F5F37" w:rsidRPr="00451078" w:rsidRDefault="009F5F37" w:rsidP="009F5F37">
      <w:pPr>
        <w:pStyle w:val="ListParagraph"/>
        <w:rPr>
          <w:lang w:val="it-IT"/>
        </w:rPr>
      </w:pPr>
      <w:r w:rsidRPr="00451078">
        <w:rPr>
          <w:rStyle w:val="BodyChar"/>
          <w:rFonts w:ascii="Tahoma" w:hAnsi="Tahoma" w:cs="Tahoma"/>
          <w:b/>
          <w:sz w:val="18"/>
          <w:szCs w:val="18"/>
          <w:lang w:val="it-IT"/>
        </w:rPr>
        <w:t xml:space="preserve">D = </w:t>
      </w:r>
      <w:r w:rsidRPr="00451078">
        <w:rPr>
          <w:rFonts w:ascii="Tahoma" w:hAnsi="Tahoma" w:cs="Tahoma"/>
          <w:sz w:val="18"/>
          <w:szCs w:val="18"/>
          <w:lang w:val="it-IT"/>
        </w:rPr>
        <w:t>Indica che il software è offerto come prodotto del Programma Industry Device.</w:t>
      </w:r>
    </w:p>
    <w:p w:rsidR="00023FE7" w:rsidRPr="00451078" w:rsidRDefault="00023FE7">
      <w:pPr>
        <w:pStyle w:val="Bodywithspace"/>
        <w:spacing w:before="0" w:after="0" w:line="276" w:lineRule="auto"/>
        <w:ind w:right="-180"/>
        <w:rPr>
          <w:lang w:val="it-IT"/>
        </w:rPr>
      </w:pPr>
      <w:r w:rsidRPr="00451078">
        <w:rPr>
          <w:rStyle w:val="BodyChar"/>
          <w:rFonts w:ascii="Tahoma" w:hAnsi="Tahoma" w:cs="Tahoma"/>
          <w:b/>
          <w:sz w:val="18"/>
          <w:szCs w:val="18"/>
          <w:lang w:val="it-IT"/>
        </w:rPr>
        <w:t>DT =</w:t>
      </w:r>
      <w:r w:rsidRPr="00451078">
        <w:rPr>
          <w:rFonts w:ascii="Tahoma" w:hAnsi="Tahoma" w:cs="Tahoma"/>
          <w:sz w:val="18"/>
          <w:szCs w:val="18"/>
          <w:lang w:val="it-IT"/>
        </w:rPr>
        <w:t xml:space="preserve"> Vantaggi di Software Assurance per le Offerte di Desktop. </w:t>
      </w:r>
    </w:p>
    <w:p w:rsidR="00F90F21" w:rsidRPr="00451078" w:rsidRDefault="009055B7">
      <w:pPr>
        <w:pStyle w:val="Bodywithspace"/>
        <w:spacing w:before="0" w:after="0" w:line="276" w:lineRule="auto"/>
        <w:ind w:right="-180"/>
        <w:rPr>
          <w:lang w:val="it-IT"/>
        </w:rPr>
      </w:pPr>
      <w:r w:rsidRPr="00451078">
        <w:rPr>
          <w:rFonts w:ascii="Tahoma" w:hAnsi="Tahoma" w:cs="Times New Roman"/>
          <w:b/>
          <w:color w:val="000000"/>
          <w:sz w:val="18"/>
          <w:szCs w:val="22"/>
          <w:lang w:val="it-IT"/>
        </w:rPr>
        <w:t>E</w:t>
      </w:r>
      <w:r w:rsidRPr="00451078">
        <w:rPr>
          <w:rFonts w:ascii="Tahoma" w:hAnsi="Tahoma" w:cs="Times New Roman"/>
          <w:color w:val="000000"/>
          <w:sz w:val="18"/>
          <w:szCs w:val="22"/>
          <w:lang w:val="it-IT"/>
        </w:rPr>
        <w:t xml:space="preserve"> = Indica che il prodotto è offerto come prodotto enterprise o della piattaforma desktop.</w:t>
      </w:r>
    </w:p>
    <w:p w:rsidR="00B23BE6" w:rsidRPr="00451078" w:rsidRDefault="00B23BE6" w:rsidP="00B23BE6">
      <w:pPr>
        <w:spacing w:line="276" w:lineRule="auto"/>
        <w:ind w:left="720" w:right="-180"/>
        <w:rPr>
          <w:lang w:val="it-IT"/>
        </w:rPr>
      </w:pPr>
      <w:r w:rsidRPr="00451078">
        <w:rPr>
          <w:b/>
          <w:color w:val="000000"/>
          <w:lang w:val="it-IT"/>
        </w:rPr>
        <w:t>EOLS =</w:t>
      </w:r>
      <w:r w:rsidRPr="00451078">
        <w:rPr>
          <w:color w:val="000000"/>
          <w:lang w:val="it-IT"/>
        </w:rPr>
        <w:t xml:space="preserve"> Indica che il prodotto è offerto come servizio online enterprise o servizio online della piattaforma.</w:t>
      </w:r>
    </w:p>
    <w:p w:rsidR="00E97819" w:rsidRPr="00451078" w:rsidRDefault="00E97819">
      <w:pPr>
        <w:pStyle w:val="Bodywithspace"/>
        <w:spacing w:before="0" w:after="0" w:line="276" w:lineRule="auto"/>
        <w:ind w:right="-180"/>
        <w:rPr>
          <w:lang w:val="it-IT"/>
        </w:rPr>
      </w:pPr>
      <w:r w:rsidRPr="00451078">
        <w:rPr>
          <w:rFonts w:ascii="Tahoma" w:hAnsi="Tahoma" w:cs="Times New Roman"/>
          <w:b/>
          <w:color w:val="000000"/>
          <w:sz w:val="18"/>
          <w:szCs w:val="22"/>
          <w:lang w:val="it-IT"/>
        </w:rPr>
        <w:t xml:space="preserve">ST = </w:t>
      </w:r>
      <w:r w:rsidRPr="00451078">
        <w:rPr>
          <w:rFonts w:ascii="Tahoma" w:hAnsi="Tahoma" w:cs="Times New Roman"/>
          <w:color w:val="000000"/>
          <w:sz w:val="18"/>
          <w:szCs w:val="22"/>
          <w:lang w:val="it-IT"/>
        </w:rPr>
        <w:t>Indica che il software è offerto come Offerta Studente e deve essere ordinato per l</w:t>
      </w:r>
      <w:r w:rsidR="0073727D">
        <w:rPr>
          <w:rFonts w:ascii="Tahoma" w:hAnsi="Tahoma" w:cs="Tahoma"/>
          <w:sz w:val="18"/>
          <w:szCs w:val="18"/>
          <w:lang w:val="it-IT"/>
        </w:rPr>
        <w:t>’</w:t>
      </w:r>
      <w:r w:rsidRPr="00451078">
        <w:rPr>
          <w:rFonts w:ascii="Tahoma" w:hAnsi="Tahoma" w:cs="Times New Roman"/>
          <w:color w:val="000000"/>
          <w:sz w:val="18"/>
          <w:szCs w:val="22"/>
          <w:lang w:val="it-IT"/>
        </w:rPr>
        <w:t>intero Numero degli</w:t>
      </w:r>
      <w:r w:rsidR="000D238A" w:rsidRPr="00451078">
        <w:rPr>
          <w:rFonts w:ascii="Tahoma" w:hAnsi="Tahoma" w:cs="Times New Roman"/>
          <w:color w:val="000000"/>
          <w:sz w:val="18"/>
          <w:szCs w:val="22"/>
          <w:lang w:val="it-IT"/>
        </w:rPr>
        <w:t> </w:t>
      </w:r>
      <w:r w:rsidRPr="00451078">
        <w:rPr>
          <w:rFonts w:ascii="Tahoma" w:hAnsi="Tahoma" w:cs="Times New Roman"/>
          <w:color w:val="000000"/>
          <w:sz w:val="18"/>
          <w:szCs w:val="22"/>
          <w:lang w:val="it-IT"/>
        </w:rPr>
        <w:t>Studenti.</w:t>
      </w:r>
    </w:p>
    <w:p w:rsidR="00023FE7" w:rsidRPr="00451078" w:rsidRDefault="00023FE7">
      <w:pPr>
        <w:pStyle w:val="Bodywithspace"/>
        <w:spacing w:before="0" w:after="0" w:line="276" w:lineRule="auto"/>
        <w:ind w:right="-180"/>
        <w:rPr>
          <w:lang w:val="it-IT"/>
        </w:rPr>
      </w:pPr>
      <w:r w:rsidRPr="00451078">
        <w:rPr>
          <w:rStyle w:val="BodyChar"/>
          <w:rFonts w:ascii="Tahoma" w:hAnsi="Tahoma" w:cs="Tahoma"/>
          <w:b/>
          <w:sz w:val="18"/>
          <w:szCs w:val="18"/>
          <w:lang w:val="it-IT"/>
        </w:rPr>
        <w:t>L (Licenza) =</w:t>
      </w:r>
      <w:r w:rsidRPr="00451078">
        <w:rPr>
          <w:rFonts w:ascii="Tahoma" w:hAnsi="Tahoma" w:cs="Tahoma"/>
          <w:sz w:val="18"/>
          <w:szCs w:val="18"/>
          <w:lang w:val="it-IT"/>
        </w:rPr>
        <w:t xml:space="preserve"> Valore di punti attribuito quando per il software indicato viene offerta una Licenza Standard.</w:t>
      </w:r>
    </w:p>
    <w:p w:rsidR="00023FE7" w:rsidRPr="00451078" w:rsidRDefault="00023FE7">
      <w:pPr>
        <w:pStyle w:val="Bodywithspace"/>
        <w:spacing w:before="0" w:after="0" w:line="276" w:lineRule="auto"/>
        <w:ind w:right="-180"/>
        <w:rPr>
          <w:lang w:val="it-IT"/>
        </w:rPr>
      </w:pPr>
      <w:r w:rsidRPr="00451078">
        <w:rPr>
          <w:rStyle w:val="BodyChar"/>
          <w:rFonts w:ascii="Tahoma" w:hAnsi="Tahoma" w:cs="Tahoma"/>
          <w:b/>
          <w:sz w:val="18"/>
          <w:szCs w:val="18"/>
          <w:lang w:val="it-IT"/>
        </w:rPr>
        <w:t>L&amp;SA (Licenza e Software Assurance) =</w:t>
      </w:r>
      <w:r w:rsidRPr="00451078">
        <w:rPr>
          <w:rFonts w:ascii="Tahoma" w:hAnsi="Tahoma" w:cs="Tahoma"/>
          <w:sz w:val="18"/>
          <w:szCs w:val="18"/>
          <w:lang w:val="it-IT"/>
        </w:rPr>
        <w:t xml:space="preserve"> Valore di punti attribuito quando per il software indicato viene offerta una copertura Licenza e Software Assurance (L&amp;SA).</w:t>
      </w:r>
    </w:p>
    <w:p w:rsidR="00023FE7" w:rsidRPr="00451078" w:rsidRDefault="00023FE7">
      <w:pPr>
        <w:pStyle w:val="Bodywithspace"/>
        <w:spacing w:before="0" w:after="0" w:line="276" w:lineRule="auto"/>
        <w:rPr>
          <w:rFonts w:ascii="Tahoma" w:hAnsi="Tahoma" w:cs="Tahoma"/>
          <w:color w:val="000000"/>
          <w:sz w:val="18"/>
          <w:szCs w:val="18"/>
          <w:lang w:val="it-IT"/>
        </w:rPr>
      </w:pPr>
      <w:r w:rsidRPr="00451078">
        <w:rPr>
          <w:rStyle w:val="BodyChar"/>
          <w:rFonts w:ascii="Tahoma" w:hAnsi="Tahoma" w:cs="Tahoma"/>
          <w:b/>
          <w:bCs/>
          <w:color w:val="000000"/>
          <w:sz w:val="18"/>
          <w:szCs w:val="18"/>
          <w:lang w:val="it-IT"/>
        </w:rPr>
        <w:t>OL =</w:t>
      </w:r>
      <w:r w:rsidRPr="00451078">
        <w:rPr>
          <w:rFonts w:ascii="Tahoma" w:hAnsi="Tahoma" w:cs="Tahoma"/>
          <w:color w:val="000000"/>
          <w:sz w:val="18"/>
          <w:szCs w:val="18"/>
          <w:lang w:val="it-IT"/>
        </w:rPr>
        <w:t xml:space="preserve"> Disponibile in Open License.</w:t>
      </w:r>
    </w:p>
    <w:p w:rsidR="001D3F04" w:rsidRPr="00451078" w:rsidRDefault="001D3F04" w:rsidP="001D3F04">
      <w:pPr>
        <w:pStyle w:val="Bodywithspace"/>
        <w:spacing w:before="0" w:after="0" w:line="276" w:lineRule="auto"/>
        <w:ind w:right="-180"/>
        <w:rPr>
          <w:lang w:val="it-IT"/>
        </w:rPr>
      </w:pPr>
      <w:r w:rsidRPr="00451078">
        <w:rPr>
          <w:rStyle w:val="BodyChar"/>
          <w:rFonts w:ascii="Tahoma" w:hAnsi="Tahoma" w:cs="Tahoma"/>
          <w:b/>
          <w:sz w:val="18"/>
          <w:szCs w:val="18"/>
          <w:lang w:val="it-IT"/>
        </w:rPr>
        <w:t>OSB =</w:t>
      </w:r>
      <w:r w:rsidRPr="00451078">
        <w:rPr>
          <w:rStyle w:val="BodyChar"/>
          <w:rFonts w:ascii="Tahoma" w:hAnsi="Tahoma" w:cs="Tahoma"/>
          <w:sz w:val="18"/>
          <w:szCs w:val="18"/>
          <w:lang w:val="it-IT"/>
        </w:rPr>
        <w:t xml:space="preserve"> Vantaggi dei Servizi Online per le società idonee.</w:t>
      </w:r>
      <w:r w:rsidR="00082E1C" w:rsidRPr="00451078">
        <w:rPr>
          <w:rStyle w:val="BodyChar"/>
          <w:rFonts w:ascii="Tahoma" w:hAnsi="Tahoma" w:cs="Tahoma"/>
          <w:sz w:val="18"/>
          <w:szCs w:val="18"/>
          <w:lang w:val="it-IT"/>
        </w:rPr>
        <w:t xml:space="preserve"> </w:t>
      </w:r>
      <w:r w:rsidRPr="00451078">
        <w:rPr>
          <w:rFonts w:ascii="Tahoma" w:hAnsi="Tahoma" w:cs="Tahoma"/>
          <w:sz w:val="18"/>
          <w:szCs w:val="18"/>
          <w:lang w:val="it-IT"/>
        </w:rPr>
        <w:t>I prodotti idonei per i vantaggi dei Servizi Online possono essere presenti in più di una tabella di pool di prodotti</w:t>
      </w:r>
      <w:r w:rsidR="00082E1C" w:rsidRPr="00451078">
        <w:rPr>
          <w:rFonts w:ascii="Tahoma" w:hAnsi="Tahoma" w:cs="Tahoma"/>
          <w:sz w:val="18"/>
          <w:szCs w:val="18"/>
          <w:lang w:val="it-IT"/>
        </w:rPr>
        <w:t xml:space="preserve"> </w:t>
      </w:r>
      <w:r w:rsidRPr="00451078">
        <w:rPr>
          <w:rFonts w:ascii="Tahoma" w:hAnsi="Tahoma" w:cs="Tahoma"/>
          <w:sz w:val="18"/>
          <w:szCs w:val="18"/>
          <w:lang w:val="it-IT"/>
        </w:rPr>
        <w:t>al solo scopo di evidenziare che tali offerte possono essere idonee per vantaggi di software assurance associati a più di un pool di prodotti e che non è</w:t>
      </w:r>
      <w:r w:rsidR="000D238A" w:rsidRPr="00451078">
        <w:rPr>
          <w:rFonts w:ascii="Tahoma" w:hAnsi="Tahoma" w:cs="Tahoma"/>
          <w:sz w:val="18"/>
          <w:szCs w:val="18"/>
          <w:lang w:val="it-IT"/>
        </w:rPr>
        <w:t> </w:t>
      </w:r>
      <w:r w:rsidRPr="00451078">
        <w:rPr>
          <w:rFonts w:ascii="Tahoma" w:hAnsi="Tahoma" w:cs="Tahoma"/>
          <w:sz w:val="18"/>
          <w:szCs w:val="18"/>
          <w:lang w:val="it-IT"/>
        </w:rPr>
        <w:t>necessario scegliere tra i vantaggi di diversi pool.</w:t>
      </w:r>
    </w:p>
    <w:p w:rsidR="00023FE7" w:rsidRPr="00C17270" w:rsidRDefault="00023FE7">
      <w:pPr>
        <w:pStyle w:val="Bodywithspace"/>
        <w:spacing w:before="0" w:after="0" w:line="276" w:lineRule="auto"/>
        <w:rPr>
          <w:sz w:val="18"/>
          <w:szCs w:val="18"/>
          <w:lang w:val="it-IT"/>
        </w:rPr>
      </w:pPr>
      <w:r w:rsidRPr="00C17270">
        <w:rPr>
          <w:rStyle w:val="BodyChar"/>
          <w:rFonts w:ascii="Tahoma" w:hAnsi="Tahoma" w:cs="Tahoma"/>
          <w:b/>
          <w:bCs/>
          <w:color w:val="000000"/>
          <w:sz w:val="18"/>
          <w:szCs w:val="18"/>
          <w:lang w:val="it-IT"/>
        </w:rPr>
        <w:t xml:space="preserve">OL/SA = </w:t>
      </w:r>
      <w:r w:rsidRPr="00C17270">
        <w:rPr>
          <w:rStyle w:val="BodyChar"/>
          <w:rFonts w:ascii="Tahoma" w:hAnsi="Tahoma" w:cs="Tahoma"/>
          <w:color w:val="000000"/>
          <w:sz w:val="18"/>
          <w:szCs w:val="18"/>
          <w:lang w:val="it-IT"/>
        </w:rPr>
        <w:t>Disponibile esclusivamente in Open License per L&amp;SA e SA.</w:t>
      </w:r>
    </w:p>
    <w:p w:rsidR="00023FE7" w:rsidRPr="00C17270" w:rsidRDefault="00023FE7">
      <w:pPr>
        <w:pStyle w:val="Bodywithspace"/>
        <w:spacing w:before="0" w:after="0" w:line="276" w:lineRule="auto"/>
        <w:rPr>
          <w:sz w:val="18"/>
          <w:szCs w:val="18"/>
          <w:lang w:val="it-IT"/>
        </w:rPr>
      </w:pPr>
      <w:r w:rsidRPr="00C17270">
        <w:rPr>
          <w:rStyle w:val="BodyChar"/>
          <w:rFonts w:ascii="Tahoma" w:hAnsi="Tahoma" w:cs="Tahoma"/>
          <w:b/>
          <w:bCs/>
          <w:color w:val="000000"/>
          <w:sz w:val="18"/>
          <w:szCs w:val="18"/>
          <w:lang w:val="it-IT"/>
        </w:rPr>
        <w:lastRenderedPageBreak/>
        <w:t xml:space="preserve">OSP = </w:t>
      </w:r>
      <w:r w:rsidRPr="00C17270">
        <w:rPr>
          <w:rStyle w:val="BodyChar"/>
          <w:rFonts w:ascii="Tahoma" w:hAnsi="Tahoma" w:cs="Tahoma"/>
          <w:bCs/>
          <w:color w:val="000000"/>
          <w:sz w:val="18"/>
          <w:szCs w:val="18"/>
          <w:lang w:val="it-IT"/>
        </w:rPr>
        <w:t>Disponibile nel programma Online Subscription.</w:t>
      </w:r>
    </w:p>
    <w:p w:rsidR="00023FE7" w:rsidRPr="00C17270" w:rsidRDefault="00023FE7">
      <w:pPr>
        <w:pStyle w:val="Bodywithspace"/>
        <w:spacing w:before="0" w:after="0" w:line="276" w:lineRule="auto"/>
        <w:rPr>
          <w:sz w:val="18"/>
          <w:szCs w:val="18"/>
          <w:lang w:val="it-IT"/>
        </w:rPr>
      </w:pPr>
      <w:r w:rsidRPr="00C17270">
        <w:rPr>
          <w:rStyle w:val="BodyChar"/>
          <w:rFonts w:ascii="Tahoma" w:hAnsi="Tahoma" w:cs="Tahoma"/>
          <w:b/>
          <w:bCs/>
          <w:color w:val="000000"/>
          <w:sz w:val="18"/>
          <w:szCs w:val="18"/>
          <w:lang w:val="it-IT"/>
        </w:rPr>
        <w:t>OV/OVS =</w:t>
      </w:r>
      <w:r w:rsidRPr="00C17270">
        <w:rPr>
          <w:rFonts w:ascii="Tahoma" w:hAnsi="Tahoma" w:cs="Tahoma"/>
          <w:color w:val="000000"/>
          <w:sz w:val="18"/>
          <w:szCs w:val="18"/>
          <w:lang w:val="it-IT"/>
        </w:rPr>
        <w:t xml:space="preserve"> Disponibile nei programmi Open Value e Open Value Subscription.</w:t>
      </w:r>
    </w:p>
    <w:p w:rsidR="00023FE7" w:rsidRPr="00C17270" w:rsidRDefault="00023FE7">
      <w:pPr>
        <w:pStyle w:val="Bodywithspace"/>
        <w:spacing w:before="0" w:after="0" w:line="276" w:lineRule="auto"/>
        <w:ind w:right="-180"/>
        <w:rPr>
          <w:sz w:val="18"/>
          <w:szCs w:val="18"/>
          <w:lang w:val="it-IT"/>
        </w:rPr>
      </w:pPr>
      <w:r w:rsidRPr="00C17270">
        <w:rPr>
          <w:rStyle w:val="BodyChar"/>
          <w:rFonts w:ascii="Tahoma" w:hAnsi="Tahoma" w:cs="Tahoma"/>
          <w:b/>
          <w:sz w:val="18"/>
          <w:szCs w:val="18"/>
          <w:lang w:val="it-IT"/>
        </w:rPr>
        <w:t>P =</w:t>
      </w:r>
      <w:r w:rsidRPr="00C17270">
        <w:rPr>
          <w:rFonts w:ascii="Tahoma" w:hAnsi="Tahoma" w:cs="Tahoma"/>
          <w:sz w:val="18"/>
          <w:szCs w:val="18"/>
          <w:lang w:val="it-IT"/>
        </w:rPr>
        <w:t xml:space="preserve"> Indica il software offerto in un programma Open Value non a livello aziendale. </w:t>
      </w:r>
    </w:p>
    <w:p w:rsidR="009F5F37" w:rsidRPr="00C17270" w:rsidRDefault="009F5F37">
      <w:pPr>
        <w:pStyle w:val="Bodywithspace"/>
        <w:spacing w:before="0" w:after="0" w:line="276" w:lineRule="auto"/>
        <w:rPr>
          <w:sz w:val="18"/>
          <w:szCs w:val="18"/>
          <w:lang w:val="it-IT"/>
        </w:rPr>
      </w:pPr>
      <w:r w:rsidRPr="00C17270">
        <w:rPr>
          <w:rStyle w:val="BodyChar"/>
          <w:rFonts w:ascii="Tahoma" w:hAnsi="Tahoma" w:cs="Tahoma"/>
          <w:b/>
          <w:sz w:val="18"/>
          <w:szCs w:val="18"/>
          <w:lang w:val="it-IT"/>
        </w:rPr>
        <w:t xml:space="preserve">S = </w:t>
      </w:r>
      <w:r w:rsidRPr="00C17270">
        <w:rPr>
          <w:rFonts w:ascii="Tahoma" w:hAnsi="Tahoma" w:cs="Tahoma"/>
          <w:sz w:val="18"/>
          <w:szCs w:val="18"/>
          <w:lang w:val="it-IT"/>
        </w:rPr>
        <w:t>Indica che il software è offerto come prodotto della piattaforma applicativa.</w:t>
      </w:r>
    </w:p>
    <w:p w:rsidR="00023FE7" w:rsidRPr="00C17270" w:rsidRDefault="00023FE7">
      <w:pPr>
        <w:pStyle w:val="Bodywithspace"/>
        <w:spacing w:before="0" w:after="0" w:line="276" w:lineRule="auto"/>
        <w:rPr>
          <w:sz w:val="18"/>
          <w:szCs w:val="18"/>
          <w:lang w:val="it-IT"/>
        </w:rPr>
      </w:pPr>
      <w:r w:rsidRPr="00C17270">
        <w:rPr>
          <w:rStyle w:val="BodyChar"/>
          <w:rFonts w:ascii="Tahoma" w:hAnsi="Tahoma" w:cs="Tahoma"/>
          <w:b/>
          <w:sz w:val="18"/>
          <w:szCs w:val="18"/>
          <w:lang w:val="it-IT"/>
        </w:rPr>
        <w:t>SA (Software Assurance) =</w:t>
      </w:r>
      <w:r w:rsidRPr="00C17270">
        <w:rPr>
          <w:rFonts w:ascii="Tahoma" w:hAnsi="Tahoma" w:cs="Tahoma"/>
          <w:sz w:val="18"/>
          <w:szCs w:val="18"/>
          <w:lang w:val="it-IT"/>
        </w:rPr>
        <w:t xml:space="preserve"> Valore di punti attribuito quando per il software indicato viene offerta la</w:t>
      </w:r>
      <w:r w:rsidR="00446EC1" w:rsidRPr="00C17270">
        <w:rPr>
          <w:rFonts w:ascii="Tahoma" w:hAnsi="Tahoma" w:cs="Tahoma"/>
          <w:sz w:val="18"/>
          <w:szCs w:val="18"/>
          <w:lang w:val="it-IT"/>
        </w:rPr>
        <w:t> </w:t>
      </w:r>
      <w:r w:rsidRPr="00C17270">
        <w:rPr>
          <w:rFonts w:ascii="Tahoma" w:hAnsi="Tahoma" w:cs="Tahoma"/>
          <w:sz w:val="18"/>
          <w:szCs w:val="18"/>
          <w:lang w:val="it-IT"/>
        </w:rPr>
        <w:t xml:space="preserve">copertura Software Assurance. </w:t>
      </w:r>
    </w:p>
    <w:p w:rsidR="00023FE7" w:rsidRPr="00C17270" w:rsidRDefault="00023FE7">
      <w:pPr>
        <w:pStyle w:val="Bodywithspace"/>
        <w:spacing w:before="0" w:after="0" w:line="276" w:lineRule="auto"/>
        <w:ind w:right="-180"/>
        <w:rPr>
          <w:sz w:val="18"/>
          <w:szCs w:val="18"/>
          <w:lang w:val="it-IT"/>
        </w:rPr>
      </w:pPr>
      <w:r w:rsidRPr="00C17270">
        <w:rPr>
          <w:rStyle w:val="BodyChar"/>
          <w:rFonts w:ascii="Tahoma" w:hAnsi="Tahoma" w:cs="Tahoma"/>
          <w:b/>
          <w:sz w:val="18"/>
          <w:szCs w:val="18"/>
          <w:lang w:val="it-IT"/>
        </w:rPr>
        <w:t>SRV =</w:t>
      </w:r>
      <w:r w:rsidRPr="00C17270">
        <w:rPr>
          <w:rFonts w:ascii="Tahoma" w:hAnsi="Tahoma" w:cs="Tahoma"/>
          <w:sz w:val="18"/>
          <w:szCs w:val="18"/>
          <w:lang w:val="it-IT"/>
        </w:rPr>
        <w:t xml:space="preserve"> Vantaggi di Software Assurance per le Offerte di Pool di Server. </w:t>
      </w:r>
    </w:p>
    <w:p w:rsidR="00023FE7" w:rsidRPr="00C17270" w:rsidRDefault="00023FE7">
      <w:pPr>
        <w:pStyle w:val="Bodywithspace"/>
        <w:tabs>
          <w:tab w:val="left" w:pos="9360"/>
        </w:tabs>
        <w:spacing w:before="0" w:after="0" w:line="276" w:lineRule="auto"/>
        <w:ind w:right="-180"/>
        <w:rPr>
          <w:sz w:val="18"/>
          <w:szCs w:val="18"/>
          <w:lang w:val="it-IT"/>
        </w:rPr>
      </w:pPr>
      <w:r w:rsidRPr="00C17270">
        <w:rPr>
          <w:rStyle w:val="BodyChar"/>
          <w:rFonts w:ascii="Tahoma" w:hAnsi="Tahoma" w:cs="Tahoma"/>
          <w:b/>
          <w:sz w:val="18"/>
          <w:szCs w:val="18"/>
          <w:lang w:val="it-IT"/>
        </w:rPr>
        <w:t>U (Licenza di Aggiornamento) =</w:t>
      </w:r>
      <w:r w:rsidRPr="00C17270">
        <w:rPr>
          <w:rFonts w:ascii="Tahoma" w:hAnsi="Tahoma" w:cs="Tahoma"/>
          <w:sz w:val="18"/>
          <w:szCs w:val="18"/>
          <w:lang w:val="it-IT"/>
        </w:rPr>
        <w:t xml:space="preserve"> Valore di punti attribuito quando per il software indicato viene offerto un</w:t>
      </w:r>
      <w:r w:rsidR="000D238A" w:rsidRPr="00C17270">
        <w:rPr>
          <w:rFonts w:ascii="Tahoma" w:hAnsi="Tahoma" w:cs="Tahoma"/>
          <w:sz w:val="18"/>
          <w:szCs w:val="18"/>
          <w:lang w:val="it-IT"/>
        </w:rPr>
        <w:t> </w:t>
      </w:r>
      <w:r w:rsidRPr="00C17270">
        <w:rPr>
          <w:rFonts w:ascii="Tahoma" w:hAnsi="Tahoma" w:cs="Tahoma"/>
          <w:sz w:val="18"/>
          <w:szCs w:val="18"/>
          <w:lang w:val="it-IT"/>
        </w:rPr>
        <w:t>aggiornamento.</w:t>
      </w:r>
    </w:p>
    <w:p w:rsidR="00023FE7" w:rsidRPr="00C17270" w:rsidRDefault="00023FE7">
      <w:pPr>
        <w:pStyle w:val="Bodywithspace"/>
        <w:spacing w:before="0" w:after="0" w:line="276" w:lineRule="auto"/>
        <w:ind w:right="-180"/>
        <w:rPr>
          <w:sz w:val="18"/>
          <w:szCs w:val="18"/>
          <w:lang w:val="it-IT"/>
        </w:rPr>
      </w:pPr>
      <w:r w:rsidRPr="00C17270">
        <w:rPr>
          <w:rStyle w:val="BodyChar"/>
          <w:rFonts w:ascii="Tahoma" w:hAnsi="Tahoma" w:cs="Tahoma"/>
          <w:b/>
          <w:sz w:val="18"/>
          <w:szCs w:val="18"/>
          <w:lang w:val="it-IT"/>
        </w:rPr>
        <w:t>U &amp; SA (Aggiornamento &amp; Software Assurance)</w:t>
      </w:r>
      <w:r w:rsidRPr="00C17270">
        <w:rPr>
          <w:rFonts w:ascii="Tahoma" w:hAnsi="Tahoma" w:cs="Tahoma"/>
          <w:sz w:val="18"/>
          <w:szCs w:val="18"/>
          <w:lang w:val="it-IT"/>
        </w:rPr>
        <w:t xml:space="preserve"> </w:t>
      </w:r>
      <w:r w:rsidRPr="00C17270">
        <w:rPr>
          <w:rFonts w:ascii="Tahoma" w:hAnsi="Tahoma" w:cs="Tahoma"/>
          <w:b/>
          <w:sz w:val="18"/>
          <w:szCs w:val="18"/>
          <w:lang w:val="it-IT"/>
        </w:rPr>
        <w:t>=</w:t>
      </w:r>
      <w:r w:rsidRPr="00C17270">
        <w:rPr>
          <w:rFonts w:ascii="Tahoma" w:hAnsi="Tahoma" w:cs="Tahoma"/>
          <w:sz w:val="18"/>
          <w:szCs w:val="18"/>
          <w:lang w:val="it-IT"/>
        </w:rPr>
        <w:t xml:space="preserve"> Valore di punti attribuito quando per il software indicato viene offerto il programma Aggiornamento e Software Assurance.</w:t>
      </w:r>
    </w:p>
    <w:p w:rsidR="00023FE7" w:rsidRPr="00451078" w:rsidRDefault="00023FE7" w:rsidP="00FB25FF">
      <w:pPr>
        <w:pStyle w:val="Heading1"/>
        <w:spacing w:before="0"/>
        <w:rPr>
          <w:lang w:val="it-IT"/>
        </w:rPr>
      </w:pPr>
      <w:r w:rsidRPr="00451078">
        <w:rPr>
          <w:lang w:val="it-IT"/>
        </w:rPr>
        <w:br w:type="page"/>
      </w:r>
      <w:bookmarkStart w:id="10" w:name="_Toc336337841"/>
      <w:bookmarkStart w:id="11" w:name="_Toc352234445"/>
      <w:r w:rsidRPr="00451078">
        <w:rPr>
          <w:lang w:val="it-IT"/>
        </w:rPr>
        <w:lastRenderedPageBreak/>
        <w:t>LISTA DEI ProdottI</w:t>
      </w:r>
      <w:bookmarkEnd w:id="10"/>
      <w:bookmarkEnd w:id="11"/>
    </w:p>
    <w:p w:rsidR="000E5145" w:rsidRPr="00451078" w:rsidRDefault="000E5145" w:rsidP="004E292A">
      <w:pPr>
        <w:pStyle w:val="Heading3"/>
        <w:rPr>
          <w:lang w:val="it-IT"/>
        </w:rPr>
      </w:pPr>
      <w:bookmarkStart w:id="12" w:name="_Toc300391149"/>
      <w:bookmarkStart w:id="13" w:name="_Toc312398873"/>
      <w:bookmarkStart w:id="14" w:name="_Toc336337842"/>
    </w:p>
    <w:p w:rsidR="00F70479" w:rsidRPr="00451078" w:rsidRDefault="00F70479" w:rsidP="00F70479">
      <w:pPr>
        <w:rPr>
          <w:lang w:val="it-IT"/>
        </w:rPr>
      </w:pPr>
    </w:p>
    <w:p w:rsidR="00023FE7" w:rsidRPr="00451078" w:rsidRDefault="00023FE7" w:rsidP="004E292A">
      <w:pPr>
        <w:pStyle w:val="Heading3"/>
        <w:rPr>
          <w:lang w:val="it-IT"/>
        </w:rPr>
      </w:pPr>
      <w:bookmarkStart w:id="15" w:name="_Toc352234446"/>
      <w:r w:rsidRPr="00451078">
        <w:rPr>
          <w:rFonts w:ascii="Tahoma" w:hAnsi="Tahoma" w:cs="Tahoma"/>
          <w:sz w:val="22"/>
          <w:szCs w:val="22"/>
          <w:lang w:val="it-IT"/>
        </w:rPr>
        <w:t>POOL DI APPLICAZIONI</w:t>
      </w:r>
      <w:bookmarkEnd w:id="12"/>
      <w:bookmarkEnd w:id="13"/>
      <w:bookmarkEnd w:id="14"/>
      <w:bookmarkEnd w:id="15"/>
    </w:p>
    <w:p w:rsidR="006949F0" w:rsidRPr="00451078" w:rsidRDefault="006949F0" w:rsidP="006949F0">
      <w:pPr>
        <w:rPr>
          <w:lang w:val="it-IT"/>
        </w:rPr>
      </w:pPr>
    </w:p>
    <w:tbl>
      <w:tblPr>
        <w:tblW w:w="10530" w:type="dxa"/>
        <w:tblInd w:w="-30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29" w:type="dxa"/>
          <w:right w:w="29" w:type="dxa"/>
        </w:tblCellMar>
        <w:tblLook w:val="0000" w:firstRow="0" w:lastRow="0" w:firstColumn="0" w:lastColumn="0" w:noHBand="0" w:noVBand="0"/>
      </w:tblPr>
      <w:tblGrid>
        <w:gridCol w:w="2638"/>
        <w:gridCol w:w="429"/>
        <w:gridCol w:w="429"/>
        <w:gridCol w:w="429"/>
        <w:gridCol w:w="429"/>
        <w:gridCol w:w="429"/>
        <w:gridCol w:w="429"/>
        <w:gridCol w:w="429"/>
        <w:gridCol w:w="429"/>
        <w:gridCol w:w="429"/>
        <w:gridCol w:w="429"/>
        <w:gridCol w:w="429"/>
        <w:gridCol w:w="429"/>
        <w:gridCol w:w="442"/>
        <w:gridCol w:w="495"/>
        <w:gridCol w:w="459"/>
        <w:gridCol w:w="360"/>
        <w:gridCol w:w="474"/>
        <w:gridCol w:w="514"/>
      </w:tblGrid>
      <w:tr w:rsidR="00B27742" w:rsidRPr="00B60E3C" w:rsidTr="002A074D">
        <w:trPr>
          <w:cantSplit/>
          <w:trHeight w:val="1016"/>
          <w:tblHeader/>
        </w:trPr>
        <w:tc>
          <w:tcPr>
            <w:tcW w:w="2638" w:type="dxa"/>
            <w:tcBorders>
              <w:top w:val="single" w:sz="4" w:space="0" w:color="FFFFFF"/>
              <w:left w:val="nil"/>
              <w:bottom w:val="nil"/>
            </w:tcBorders>
          </w:tcPr>
          <w:p w:rsidR="00B27742" w:rsidRPr="00451078" w:rsidRDefault="00B27742">
            <w:pPr>
              <w:widowControl w:val="0"/>
              <w:ind w:left="-360"/>
              <w:rPr>
                <w:rFonts w:cs="Tahoma"/>
                <w:lang w:val="it-IT"/>
              </w:rPr>
            </w:pPr>
          </w:p>
        </w:tc>
        <w:tc>
          <w:tcPr>
            <w:tcW w:w="429" w:type="dxa"/>
            <w:textDirection w:val="btLr"/>
            <w:vAlign w:val="center"/>
          </w:tcPr>
          <w:p w:rsidR="00B27742" w:rsidRPr="009F17FF" w:rsidRDefault="007646F5" w:rsidP="00AA16F3">
            <w:pPr>
              <w:pStyle w:val="TableVerticalText"/>
              <w:widowControl w:val="0"/>
              <w:rPr>
                <w:rFonts w:ascii="Tahoma" w:hAnsi="Tahoma" w:cs="Tahoma"/>
                <w:szCs w:val="11"/>
              </w:rPr>
            </w:pPr>
            <w:r w:rsidRPr="003511B3">
              <w:rPr>
                <w:rFonts w:ascii="Tahoma" w:hAnsi="Tahoma" w:cs="Tahoma"/>
              </w:rPr>
              <w:t>Note del Prodotto</w:t>
            </w:r>
          </w:p>
        </w:tc>
        <w:tc>
          <w:tcPr>
            <w:tcW w:w="429" w:type="dxa"/>
            <w:textDirection w:val="btLr"/>
          </w:tcPr>
          <w:p w:rsidR="00B27742" w:rsidRPr="003410C7" w:rsidRDefault="00B27742">
            <w:pPr>
              <w:pStyle w:val="TableVerticalText"/>
              <w:widowControl w:val="0"/>
              <w:rPr>
                <w:rFonts w:ascii="Tahoma" w:hAnsi="Tahoma" w:cs="Tahoma"/>
              </w:rPr>
            </w:pPr>
            <w:r w:rsidRPr="003410C7">
              <w:rPr>
                <w:rFonts w:ascii="Tahoma" w:hAnsi="Tahoma" w:cs="Tahoma"/>
              </w:rPr>
              <w:t>Data Disponibilità</w:t>
            </w:r>
          </w:p>
        </w:tc>
        <w:tc>
          <w:tcPr>
            <w:tcW w:w="429" w:type="dxa"/>
            <w:tcBorders>
              <w:right w:val="single" w:sz="18" w:space="0" w:color="auto"/>
            </w:tcBorders>
            <w:textDirection w:val="btLr"/>
            <w:vAlign w:val="center"/>
          </w:tcPr>
          <w:p w:rsidR="00B27742" w:rsidRPr="003410C7" w:rsidRDefault="00B27742">
            <w:pPr>
              <w:pStyle w:val="TableVerticalText"/>
              <w:widowControl w:val="0"/>
              <w:rPr>
                <w:rFonts w:ascii="Tahoma" w:hAnsi="Tahoma" w:cs="Tahoma"/>
              </w:rPr>
            </w:pPr>
            <w:r w:rsidRPr="003410C7">
              <w:rPr>
                <w:rFonts w:ascii="Tahoma" w:hAnsi="Tahoma" w:cs="Tahoma"/>
              </w:rPr>
              <w:t>SAB</w:t>
            </w:r>
          </w:p>
        </w:tc>
        <w:tc>
          <w:tcPr>
            <w:tcW w:w="3003" w:type="dxa"/>
            <w:gridSpan w:val="7"/>
            <w:tcBorders>
              <w:left w:val="single" w:sz="18" w:space="0" w:color="auto"/>
              <w:right w:val="single" w:sz="18" w:space="0" w:color="auto"/>
            </w:tcBorders>
            <w:vAlign w:val="center"/>
          </w:tcPr>
          <w:p w:rsidR="00B27742" w:rsidRPr="003410C7" w:rsidRDefault="00B27742">
            <w:pPr>
              <w:pStyle w:val="TableHeadingsBlack"/>
              <w:widowControl w:val="0"/>
              <w:rPr>
                <w:rFonts w:ascii="Tahoma" w:hAnsi="Tahoma" w:cs="Tahoma"/>
              </w:rPr>
            </w:pPr>
            <w:r w:rsidRPr="003410C7">
              <w:rPr>
                <w:rFonts w:ascii="Tahoma" w:hAnsi="Tahoma" w:cs="Tahoma"/>
              </w:rPr>
              <w:t>Select / Select Plus*</w:t>
            </w:r>
          </w:p>
        </w:tc>
        <w:tc>
          <w:tcPr>
            <w:tcW w:w="1300" w:type="dxa"/>
            <w:gridSpan w:val="3"/>
            <w:tcBorders>
              <w:left w:val="single" w:sz="18" w:space="0" w:color="auto"/>
              <w:right w:val="single" w:sz="18" w:space="0" w:color="auto"/>
            </w:tcBorders>
            <w:vAlign w:val="center"/>
          </w:tcPr>
          <w:p w:rsidR="00B27742" w:rsidRPr="003410C7" w:rsidRDefault="00B27742">
            <w:pPr>
              <w:pStyle w:val="TableHeadingsBlack"/>
              <w:widowControl w:val="0"/>
              <w:rPr>
                <w:rFonts w:ascii="Tahoma" w:hAnsi="Tahoma" w:cs="Tahoma"/>
              </w:rPr>
            </w:pPr>
            <w:r w:rsidRPr="003410C7">
              <w:rPr>
                <w:rFonts w:ascii="Tahoma" w:hAnsi="Tahoma" w:cs="Tahoma"/>
              </w:rPr>
              <w:t>Licenza Open</w:t>
            </w:r>
          </w:p>
        </w:tc>
        <w:tc>
          <w:tcPr>
            <w:tcW w:w="495" w:type="dxa"/>
            <w:tcBorders>
              <w:left w:val="single" w:sz="18" w:space="0" w:color="auto"/>
            </w:tcBorders>
            <w:textDirection w:val="btLr"/>
            <w:vAlign w:val="center"/>
          </w:tcPr>
          <w:p w:rsidR="00B27742" w:rsidRPr="003410C7" w:rsidRDefault="00B27742">
            <w:pPr>
              <w:pStyle w:val="TableVerticalText"/>
              <w:widowControl w:val="0"/>
              <w:rPr>
                <w:rFonts w:ascii="Tahoma" w:hAnsi="Tahoma" w:cs="Tahoma"/>
              </w:rPr>
            </w:pPr>
            <w:r w:rsidRPr="003410C7">
              <w:rPr>
                <w:rFonts w:ascii="Tahoma" w:hAnsi="Tahoma" w:cs="Tahoma"/>
              </w:rPr>
              <w:t>Unità Campus/</w:t>
            </w:r>
            <w:r w:rsidR="00FE2D13">
              <w:rPr>
                <w:rFonts w:ascii="Tahoma" w:hAnsi="Tahoma" w:cs="Tahoma"/>
              </w:rPr>
              <w:br/>
            </w:r>
            <w:r w:rsidRPr="003410C7">
              <w:rPr>
                <w:rFonts w:ascii="Tahoma" w:hAnsi="Tahoma" w:cs="Tahoma"/>
              </w:rPr>
              <w:t>School</w:t>
            </w:r>
          </w:p>
        </w:tc>
        <w:tc>
          <w:tcPr>
            <w:tcW w:w="459" w:type="dxa"/>
            <w:tcBorders>
              <w:right w:val="single" w:sz="18" w:space="0" w:color="auto"/>
            </w:tcBorders>
            <w:textDirection w:val="btLr"/>
            <w:vAlign w:val="center"/>
          </w:tcPr>
          <w:p w:rsidR="00B27742" w:rsidRPr="003410C7" w:rsidRDefault="00B27742">
            <w:pPr>
              <w:pStyle w:val="TableVerticalText"/>
              <w:widowControl w:val="0"/>
              <w:rPr>
                <w:rFonts w:ascii="Tahoma" w:hAnsi="Tahoma" w:cs="Tahoma"/>
              </w:rPr>
            </w:pPr>
            <w:r w:rsidRPr="003410C7">
              <w:rPr>
                <w:rFonts w:ascii="Tahoma" w:hAnsi="Tahoma" w:cs="Tahoma"/>
              </w:rPr>
              <w:t>EA ed EA Sub</w:t>
            </w:r>
          </w:p>
        </w:tc>
        <w:tc>
          <w:tcPr>
            <w:tcW w:w="360" w:type="dxa"/>
            <w:tcBorders>
              <w:left w:val="single" w:sz="18" w:space="0" w:color="auto"/>
              <w:right w:val="single" w:sz="18" w:space="0" w:color="auto"/>
            </w:tcBorders>
            <w:textDirection w:val="btLr"/>
            <w:vAlign w:val="center"/>
          </w:tcPr>
          <w:p w:rsidR="00B27742" w:rsidRPr="003410C7" w:rsidRDefault="00B27742">
            <w:pPr>
              <w:pStyle w:val="TableVerticalText"/>
              <w:widowControl w:val="0"/>
              <w:rPr>
                <w:rFonts w:ascii="Tahoma" w:hAnsi="Tahoma" w:cs="Tahoma"/>
              </w:rPr>
            </w:pPr>
            <w:r w:rsidRPr="003410C7">
              <w:rPr>
                <w:rFonts w:ascii="Tahoma" w:hAnsi="Tahoma" w:cs="Tahoma"/>
              </w:rPr>
              <w:t>OV / OVS</w:t>
            </w:r>
          </w:p>
        </w:tc>
        <w:tc>
          <w:tcPr>
            <w:tcW w:w="474" w:type="dxa"/>
            <w:textDirection w:val="btLr"/>
          </w:tcPr>
          <w:p w:rsidR="00B27742" w:rsidRPr="003410C7" w:rsidRDefault="00B0036E" w:rsidP="00E67091">
            <w:pPr>
              <w:pStyle w:val="TableVerticalText"/>
              <w:widowControl w:val="0"/>
              <w:spacing w:before="120"/>
              <w:rPr>
                <w:rFonts w:ascii="Tahoma" w:hAnsi="Tahoma" w:cs="Tahoma"/>
              </w:rPr>
            </w:pPr>
            <w:r w:rsidRPr="003410C7">
              <w:rPr>
                <w:rFonts w:ascii="Tahoma" w:hAnsi="Tahoma" w:cs="Tahoma"/>
              </w:rPr>
              <w:t>EES / OVS -ES</w:t>
            </w:r>
          </w:p>
        </w:tc>
        <w:tc>
          <w:tcPr>
            <w:tcW w:w="514" w:type="dxa"/>
            <w:textDirection w:val="btLr"/>
            <w:vAlign w:val="center"/>
          </w:tcPr>
          <w:p w:rsidR="00B27742" w:rsidRPr="00451078" w:rsidRDefault="00B27742" w:rsidP="000D238A">
            <w:pPr>
              <w:pStyle w:val="TableVerticalText"/>
              <w:widowControl w:val="0"/>
              <w:spacing w:line="110" w:lineRule="exact"/>
              <w:ind w:left="0" w:right="0"/>
              <w:rPr>
                <w:rFonts w:ascii="Tahoma" w:hAnsi="Tahoma" w:cs="Tahoma"/>
                <w:lang w:val="it-IT"/>
              </w:rPr>
            </w:pPr>
            <w:r w:rsidRPr="00451078">
              <w:rPr>
                <w:rFonts w:ascii="Tahoma" w:hAnsi="Tahoma" w:cs="Tahoma"/>
                <w:lang w:val="it-IT"/>
              </w:rPr>
              <w:t>Requisito minimo per i Programmi Open</w:t>
            </w:r>
          </w:p>
        </w:tc>
      </w:tr>
      <w:tr w:rsidR="00B27742" w:rsidRPr="003410C7" w:rsidTr="002A074D">
        <w:trPr>
          <w:cantSplit/>
          <w:trHeight w:val="271"/>
          <w:tblHeader/>
        </w:trPr>
        <w:tc>
          <w:tcPr>
            <w:tcW w:w="2638" w:type="dxa"/>
            <w:vMerge w:val="restart"/>
            <w:tcBorders>
              <w:top w:val="nil"/>
              <w:left w:val="nil"/>
            </w:tcBorders>
          </w:tcPr>
          <w:p w:rsidR="00B27742" w:rsidRPr="00451078" w:rsidRDefault="00B27742">
            <w:pPr>
              <w:widowControl w:val="0"/>
              <w:rPr>
                <w:rFonts w:cs="Tahoma"/>
                <w:b/>
                <w:lang w:val="it-IT"/>
              </w:rPr>
            </w:pPr>
          </w:p>
        </w:tc>
        <w:tc>
          <w:tcPr>
            <w:tcW w:w="429" w:type="dxa"/>
            <w:vMerge w:val="restart"/>
          </w:tcPr>
          <w:p w:rsidR="00B27742" w:rsidRPr="009F17FF" w:rsidRDefault="00B27742">
            <w:pPr>
              <w:keepNext/>
              <w:widowControl w:val="0"/>
              <w:spacing w:before="200" w:after="120"/>
              <w:jc w:val="center"/>
              <w:outlineLvl w:val="0"/>
              <w:rPr>
                <w:rFonts w:cs="Tahoma"/>
                <w:b/>
                <w:color w:val="0000FF"/>
                <w:sz w:val="10"/>
                <w:szCs w:val="10"/>
              </w:rPr>
            </w:pPr>
            <w:r w:rsidRPr="009F17FF">
              <w:rPr>
                <w:rFonts w:cs="Tahoma"/>
                <w:b/>
                <w:color w:val="0000FF"/>
                <w:sz w:val="10"/>
                <w:szCs w:val="10"/>
              </w:rPr>
              <w:t>(Ctrl + Clic)</w:t>
            </w:r>
          </w:p>
        </w:tc>
        <w:tc>
          <w:tcPr>
            <w:tcW w:w="429" w:type="dxa"/>
            <w:vMerge w:val="restart"/>
          </w:tcPr>
          <w:p w:rsidR="00B27742" w:rsidRPr="003410C7" w:rsidRDefault="00B27742">
            <w:pPr>
              <w:widowControl w:val="0"/>
              <w:rPr>
                <w:rFonts w:cs="Tahoma"/>
              </w:rPr>
            </w:pPr>
          </w:p>
        </w:tc>
        <w:tc>
          <w:tcPr>
            <w:tcW w:w="429" w:type="dxa"/>
            <w:vMerge w:val="restart"/>
            <w:tcBorders>
              <w:right w:val="single" w:sz="18" w:space="0" w:color="auto"/>
            </w:tcBorders>
          </w:tcPr>
          <w:p w:rsidR="00B27742" w:rsidRPr="003410C7" w:rsidRDefault="00B27742">
            <w:pPr>
              <w:widowControl w:val="0"/>
              <w:rPr>
                <w:rFonts w:cs="Tahoma"/>
              </w:rPr>
            </w:pPr>
          </w:p>
        </w:tc>
        <w:tc>
          <w:tcPr>
            <w:tcW w:w="429" w:type="dxa"/>
            <w:vMerge w:val="restart"/>
            <w:tcBorders>
              <w:left w:val="single" w:sz="18" w:space="0" w:color="auto"/>
            </w:tcBorders>
            <w:vAlign w:val="center"/>
          </w:tcPr>
          <w:p w:rsidR="00B27742" w:rsidRPr="003410C7" w:rsidRDefault="00B27742">
            <w:pPr>
              <w:pStyle w:val="TableHeadingsRed"/>
              <w:widowControl w:val="0"/>
              <w:rPr>
                <w:rFonts w:ascii="Tahoma" w:hAnsi="Tahoma" w:cs="Tahoma"/>
              </w:rPr>
            </w:pPr>
            <w:r w:rsidRPr="003410C7">
              <w:rPr>
                <w:rFonts w:ascii="Tahoma" w:hAnsi="Tahoma" w:cs="Tahoma"/>
              </w:rPr>
              <w:t>L</w:t>
            </w:r>
          </w:p>
        </w:tc>
        <w:tc>
          <w:tcPr>
            <w:tcW w:w="1287" w:type="dxa"/>
            <w:gridSpan w:val="3"/>
            <w:vAlign w:val="center"/>
          </w:tcPr>
          <w:p w:rsidR="00B27742" w:rsidRPr="003410C7" w:rsidRDefault="00B27742">
            <w:pPr>
              <w:pStyle w:val="TableHeadingsGreen"/>
              <w:widowControl w:val="0"/>
              <w:rPr>
                <w:rFonts w:ascii="Tahoma" w:hAnsi="Tahoma" w:cs="Tahoma"/>
              </w:rPr>
            </w:pPr>
            <w:r w:rsidRPr="003410C7">
              <w:rPr>
                <w:rFonts w:ascii="Tahoma" w:hAnsi="Tahoma" w:cs="Tahoma"/>
              </w:rPr>
              <w:t>L&amp;SA</w:t>
            </w:r>
          </w:p>
        </w:tc>
        <w:tc>
          <w:tcPr>
            <w:tcW w:w="1287" w:type="dxa"/>
            <w:gridSpan w:val="3"/>
            <w:tcBorders>
              <w:right w:val="single" w:sz="18" w:space="0" w:color="auto"/>
            </w:tcBorders>
            <w:vAlign w:val="center"/>
          </w:tcPr>
          <w:p w:rsidR="00B27742" w:rsidRPr="003410C7" w:rsidRDefault="00B27742">
            <w:pPr>
              <w:pStyle w:val="TableHeadingsBlue"/>
              <w:widowControl w:val="0"/>
              <w:rPr>
                <w:rFonts w:ascii="Tahoma" w:hAnsi="Tahoma" w:cs="Tahoma"/>
              </w:rPr>
            </w:pPr>
            <w:r w:rsidRPr="003410C7">
              <w:rPr>
                <w:rFonts w:ascii="Tahoma" w:hAnsi="Tahoma" w:cs="Tahoma"/>
              </w:rPr>
              <w:t>SA</w:t>
            </w:r>
          </w:p>
        </w:tc>
        <w:tc>
          <w:tcPr>
            <w:tcW w:w="429" w:type="dxa"/>
            <w:vMerge w:val="restart"/>
            <w:tcBorders>
              <w:left w:val="single" w:sz="18" w:space="0" w:color="auto"/>
            </w:tcBorders>
            <w:vAlign w:val="center"/>
          </w:tcPr>
          <w:p w:rsidR="00B27742" w:rsidRPr="003410C7" w:rsidRDefault="00B27742">
            <w:pPr>
              <w:pStyle w:val="TableHeadingsRed"/>
              <w:widowControl w:val="0"/>
              <w:rPr>
                <w:rFonts w:ascii="Tahoma" w:hAnsi="Tahoma" w:cs="Tahoma"/>
              </w:rPr>
            </w:pPr>
            <w:r w:rsidRPr="003410C7">
              <w:rPr>
                <w:rFonts w:ascii="Tahoma" w:hAnsi="Tahoma" w:cs="Tahoma"/>
              </w:rPr>
              <w:t>L</w:t>
            </w:r>
          </w:p>
        </w:tc>
        <w:tc>
          <w:tcPr>
            <w:tcW w:w="429" w:type="dxa"/>
            <w:vAlign w:val="center"/>
          </w:tcPr>
          <w:p w:rsidR="00B27742" w:rsidRPr="003410C7" w:rsidRDefault="00B27742">
            <w:pPr>
              <w:pStyle w:val="TableHeadingsGreen"/>
              <w:widowControl w:val="0"/>
              <w:rPr>
                <w:rFonts w:ascii="Tahoma" w:hAnsi="Tahoma" w:cs="Tahoma"/>
              </w:rPr>
            </w:pPr>
            <w:r w:rsidRPr="003410C7">
              <w:rPr>
                <w:rFonts w:ascii="Tahoma" w:hAnsi="Tahoma" w:cs="Tahoma"/>
              </w:rPr>
              <w:t>L&amp;SA</w:t>
            </w:r>
          </w:p>
        </w:tc>
        <w:tc>
          <w:tcPr>
            <w:tcW w:w="442" w:type="dxa"/>
            <w:vMerge w:val="restart"/>
            <w:tcBorders>
              <w:right w:val="single" w:sz="18" w:space="0" w:color="auto"/>
            </w:tcBorders>
            <w:vAlign w:val="center"/>
          </w:tcPr>
          <w:p w:rsidR="00B27742" w:rsidRPr="003410C7" w:rsidRDefault="00B27742">
            <w:pPr>
              <w:pStyle w:val="TableHeadingsBlue"/>
              <w:widowControl w:val="0"/>
              <w:rPr>
                <w:rFonts w:ascii="Tahoma" w:hAnsi="Tahoma" w:cs="Tahoma"/>
              </w:rPr>
            </w:pPr>
            <w:r w:rsidRPr="003410C7">
              <w:rPr>
                <w:rFonts w:ascii="Tahoma" w:hAnsi="Tahoma" w:cs="Tahoma"/>
              </w:rPr>
              <w:t>SA</w:t>
            </w:r>
          </w:p>
        </w:tc>
        <w:tc>
          <w:tcPr>
            <w:tcW w:w="495" w:type="dxa"/>
            <w:vMerge w:val="restart"/>
            <w:tcBorders>
              <w:left w:val="single" w:sz="18" w:space="0" w:color="auto"/>
            </w:tcBorders>
          </w:tcPr>
          <w:p w:rsidR="00B27742" w:rsidRPr="003410C7" w:rsidRDefault="00B27742" w:rsidP="00097B90">
            <w:pPr>
              <w:widowControl w:val="0"/>
              <w:rPr>
                <w:rFonts w:cs="Tahoma"/>
              </w:rPr>
            </w:pPr>
          </w:p>
        </w:tc>
        <w:tc>
          <w:tcPr>
            <w:tcW w:w="459" w:type="dxa"/>
            <w:vMerge w:val="restart"/>
            <w:tcBorders>
              <w:right w:val="single" w:sz="18" w:space="0" w:color="auto"/>
            </w:tcBorders>
          </w:tcPr>
          <w:p w:rsidR="00B27742" w:rsidRPr="003410C7" w:rsidRDefault="00B27742">
            <w:pPr>
              <w:widowControl w:val="0"/>
              <w:rPr>
                <w:rFonts w:cs="Tahoma"/>
              </w:rPr>
            </w:pPr>
          </w:p>
        </w:tc>
        <w:tc>
          <w:tcPr>
            <w:tcW w:w="360" w:type="dxa"/>
            <w:vMerge w:val="restart"/>
            <w:tcBorders>
              <w:left w:val="single" w:sz="18" w:space="0" w:color="auto"/>
              <w:right w:val="single" w:sz="18" w:space="0" w:color="auto"/>
            </w:tcBorders>
          </w:tcPr>
          <w:p w:rsidR="00B27742" w:rsidRPr="003410C7" w:rsidRDefault="00B27742">
            <w:pPr>
              <w:widowControl w:val="0"/>
              <w:rPr>
                <w:rFonts w:cs="Tahoma"/>
              </w:rPr>
            </w:pPr>
          </w:p>
        </w:tc>
        <w:tc>
          <w:tcPr>
            <w:tcW w:w="474" w:type="dxa"/>
            <w:vMerge w:val="restart"/>
          </w:tcPr>
          <w:p w:rsidR="00B27742" w:rsidRPr="003410C7" w:rsidRDefault="00B27742">
            <w:pPr>
              <w:widowControl w:val="0"/>
              <w:rPr>
                <w:rFonts w:cs="Tahoma"/>
              </w:rPr>
            </w:pPr>
          </w:p>
        </w:tc>
        <w:tc>
          <w:tcPr>
            <w:tcW w:w="514" w:type="dxa"/>
            <w:vMerge w:val="restart"/>
          </w:tcPr>
          <w:p w:rsidR="00B27742" w:rsidRPr="003410C7" w:rsidRDefault="00B27742">
            <w:pPr>
              <w:widowControl w:val="0"/>
              <w:rPr>
                <w:rFonts w:cs="Tahoma"/>
              </w:rPr>
            </w:pPr>
          </w:p>
        </w:tc>
      </w:tr>
      <w:tr w:rsidR="00B27742" w:rsidRPr="003410C7" w:rsidTr="002A074D">
        <w:trPr>
          <w:cantSplit/>
          <w:trHeight w:val="262"/>
          <w:tblHeader/>
        </w:trPr>
        <w:tc>
          <w:tcPr>
            <w:tcW w:w="2638" w:type="dxa"/>
            <w:vMerge/>
            <w:tcBorders>
              <w:top w:val="single" w:sz="4" w:space="0" w:color="auto"/>
              <w:left w:val="nil"/>
              <w:bottom w:val="single" w:sz="4" w:space="0" w:color="auto"/>
            </w:tcBorders>
          </w:tcPr>
          <w:p w:rsidR="00B27742" w:rsidRPr="003410C7" w:rsidRDefault="00B27742">
            <w:pPr>
              <w:widowControl w:val="0"/>
              <w:rPr>
                <w:rFonts w:cs="Tahoma"/>
              </w:rPr>
            </w:pPr>
          </w:p>
        </w:tc>
        <w:tc>
          <w:tcPr>
            <w:tcW w:w="429" w:type="dxa"/>
            <w:vMerge/>
            <w:tcBorders>
              <w:bottom w:val="single" w:sz="4" w:space="0" w:color="auto"/>
            </w:tcBorders>
          </w:tcPr>
          <w:p w:rsidR="00B27742" w:rsidRPr="009F17FF" w:rsidRDefault="00B27742">
            <w:pPr>
              <w:keepNext/>
              <w:widowControl w:val="0"/>
              <w:spacing w:before="200" w:after="120"/>
              <w:outlineLvl w:val="0"/>
              <w:rPr>
                <w:rFonts w:ascii="Trebuchet MS" w:hAnsi="Trebuchet MS" w:cs="Tahoma"/>
                <w:b/>
                <w:sz w:val="13"/>
                <w:szCs w:val="13"/>
              </w:rPr>
            </w:pPr>
          </w:p>
        </w:tc>
        <w:tc>
          <w:tcPr>
            <w:tcW w:w="429" w:type="dxa"/>
            <w:vMerge/>
            <w:tcBorders>
              <w:bottom w:val="single" w:sz="4" w:space="0" w:color="auto"/>
            </w:tcBorders>
          </w:tcPr>
          <w:p w:rsidR="00B27742" w:rsidRPr="003410C7" w:rsidRDefault="00B27742">
            <w:pPr>
              <w:widowControl w:val="0"/>
              <w:rPr>
                <w:rFonts w:cs="Tahoma"/>
              </w:rPr>
            </w:pPr>
          </w:p>
        </w:tc>
        <w:tc>
          <w:tcPr>
            <w:tcW w:w="429" w:type="dxa"/>
            <w:vMerge/>
            <w:tcBorders>
              <w:bottom w:val="single" w:sz="4" w:space="0" w:color="auto"/>
              <w:right w:val="single" w:sz="18" w:space="0" w:color="auto"/>
            </w:tcBorders>
          </w:tcPr>
          <w:p w:rsidR="00B27742" w:rsidRPr="003410C7" w:rsidRDefault="00B27742">
            <w:pPr>
              <w:widowControl w:val="0"/>
              <w:rPr>
                <w:rFonts w:cs="Tahoma"/>
              </w:rPr>
            </w:pPr>
          </w:p>
        </w:tc>
        <w:tc>
          <w:tcPr>
            <w:tcW w:w="429" w:type="dxa"/>
            <w:vMerge/>
            <w:tcBorders>
              <w:left w:val="single" w:sz="18" w:space="0" w:color="auto"/>
              <w:bottom w:val="single" w:sz="4" w:space="0" w:color="auto"/>
            </w:tcBorders>
            <w:vAlign w:val="center"/>
          </w:tcPr>
          <w:p w:rsidR="00B27742" w:rsidRPr="003410C7" w:rsidRDefault="00B27742">
            <w:pPr>
              <w:widowControl w:val="0"/>
              <w:jc w:val="center"/>
              <w:rPr>
                <w:rFonts w:cs="Tahoma"/>
              </w:rPr>
            </w:pPr>
          </w:p>
        </w:tc>
        <w:tc>
          <w:tcPr>
            <w:tcW w:w="429" w:type="dxa"/>
            <w:tcBorders>
              <w:bottom w:val="single" w:sz="4" w:space="0" w:color="auto"/>
            </w:tcBorders>
            <w:vAlign w:val="center"/>
          </w:tcPr>
          <w:p w:rsidR="00B27742" w:rsidRPr="003410C7" w:rsidRDefault="00B27742">
            <w:pPr>
              <w:pStyle w:val="TableHeadingsGreen"/>
              <w:widowControl w:val="0"/>
              <w:rPr>
                <w:rFonts w:ascii="Tahoma" w:hAnsi="Tahoma" w:cs="Tahoma"/>
              </w:rPr>
            </w:pPr>
            <w:r w:rsidRPr="003410C7">
              <w:rPr>
                <w:rFonts w:ascii="Tahoma" w:hAnsi="Tahoma" w:cs="Tahoma"/>
              </w:rPr>
              <w:t>3An</w:t>
            </w:r>
          </w:p>
        </w:tc>
        <w:tc>
          <w:tcPr>
            <w:tcW w:w="429" w:type="dxa"/>
            <w:tcBorders>
              <w:bottom w:val="single" w:sz="4" w:space="0" w:color="auto"/>
            </w:tcBorders>
            <w:vAlign w:val="center"/>
          </w:tcPr>
          <w:p w:rsidR="00B27742" w:rsidRPr="003410C7" w:rsidRDefault="00B27742">
            <w:pPr>
              <w:pStyle w:val="TableHeadingsGreen"/>
              <w:widowControl w:val="0"/>
              <w:rPr>
                <w:rFonts w:ascii="Tahoma" w:hAnsi="Tahoma" w:cs="Tahoma"/>
              </w:rPr>
            </w:pPr>
            <w:r w:rsidRPr="003410C7">
              <w:rPr>
                <w:rFonts w:ascii="Tahoma" w:hAnsi="Tahoma" w:cs="Tahoma"/>
              </w:rPr>
              <w:t>2An</w:t>
            </w:r>
          </w:p>
        </w:tc>
        <w:tc>
          <w:tcPr>
            <w:tcW w:w="429" w:type="dxa"/>
            <w:tcBorders>
              <w:bottom w:val="single" w:sz="4" w:space="0" w:color="auto"/>
            </w:tcBorders>
            <w:vAlign w:val="center"/>
          </w:tcPr>
          <w:p w:rsidR="00B27742" w:rsidRPr="003410C7" w:rsidRDefault="00B27742">
            <w:pPr>
              <w:pStyle w:val="TableHeadingsGreen"/>
              <w:widowControl w:val="0"/>
              <w:rPr>
                <w:rFonts w:ascii="Tahoma" w:hAnsi="Tahoma" w:cs="Tahoma"/>
              </w:rPr>
            </w:pPr>
            <w:r w:rsidRPr="003410C7">
              <w:rPr>
                <w:rFonts w:ascii="Tahoma" w:hAnsi="Tahoma" w:cs="Tahoma"/>
              </w:rPr>
              <w:t>1An</w:t>
            </w:r>
          </w:p>
        </w:tc>
        <w:tc>
          <w:tcPr>
            <w:tcW w:w="429" w:type="dxa"/>
            <w:tcBorders>
              <w:bottom w:val="single" w:sz="4" w:space="0" w:color="auto"/>
            </w:tcBorders>
            <w:vAlign w:val="center"/>
          </w:tcPr>
          <w:p w:rsidR="00B27742" w:rsidRPr="003410C7" w:rsidRDefault="00B27742">
            <w:pPr>
              <w:pStyle w:val="TableHeadingsBlue"/>
              <w:widowControl w:val="0"/>
              <w:rPr>
                <w:rFonts w:ascii="Tahoma" w:hAnsi="Tahoma" w:cs="Tahoma"/>
              </w:rPr>
            </w:pPr>
            <w:r w:rsidRPr="003410C7">
              <w:rPr>
                <w:rFonts w:ascii="Tahoma" w:hAnsi="Tahoma" w:cs="Tahoma"/>
              </w:rPr>
              <w:t>3An</w:t>
            </w:r>
          </w:p>
        </w:tc>
        <w:tc>
          <w:tcPr>
            <w:tcW w:w="429" w:type="dxa"/>
            <w:tcBorders>
              <w:bottom w:val="single" w:sz="4" w:space="0" w:color="auto"/>
            </w:tcBorders>
            <w:vAlign w:val="center"/>
          </w:tcPr>
          <w:p w:rsidR="00B27742" w:rsidRPr="003410C7" w:rsidRDefault="00B27742">
            <w:pPr>
              <w:pStyle w:val="TableHeadingsBlue"/>
              <w:widowControl w:val="0"/>
              <w:rPr>
                <w:rFonts w:ascii="Tahoma" w:hAnsi="Tahoma" w:cs="Tahoma"/>
              </w:rPr>
            </w:pPr>
            <w:r w:rsidRPr="003410C7">
              <w:rPr>
                <w:rFonts w:ascii="Tahoma" w:hAnsi="Tahoma" w:cs="Tahoma"/>
              </w:rPr>
              <w:t>2An</w:t>
            </w:r>
          </w:p>
        </w:tc>
        <w:tc>
          <w:tcPr>
            <w:tcW w:w="429" w:type="dxa"/>
            <w:tcBorders>
              <w:bottom w:val="single" w:sz="4" w:space="0" w:color="auto"/>
              <w:right w:val="single" w:sz="18" w:space="0" w:color="auto"/>
            </w:tcBorders>
            <w:vAlign w:val="center"/>
          </w:tcPr>
          <w:p w:rsidR="00B27742" w:rsidRPr="003410C7" w:rsidRDefault="00B27742">
            <w:pPr>
              <w:pStyle w:val="TableHeadingsBlue"/>
              <w:widowControl w:val="0"/>
              <w:rPr>
                <w:rFonts w:ascii="Tahoma" w:hAnsi="Tahoma" w:cs="Tahoma"/>
              </w:rPr>
            </w:pPr>
            <w:r w:rsidRPr="003410C7">
              <w:rPr>
                <w:rFonts w:ascii="Tahoma" w:hAnsi="Tahoma" w:cs="Tahoma"/>
              </w:rPr>
              <w:t>1An</w:t>
            </w:r>
          </w:p>
        </w:tc>
        <w:tc>
          <w:tcPr>
            <w:tcW w:w="429" w:type="dxa"/>
            <w:vMerge/>
            <w:tcBorders>
              <w:left w:val="single" w:sz="18" w:space="0" w:color="auto"/>
              <w:bottom w:val="single" w:sz="4" w:space="0" w:color="auto"/>
            </w:tcBorders>
            <w:vAlign w:val="center"/>
          </w:tcPr>
          <w:p w:rsidR="00B27742" w:rsidRPr="003410C7" w:rsidRDefault="00B27742">
            <w:pPr>
              <w:widowControl w:val="0"/>
              <w:jc w:val="center"/>
              <w:rPr>
                <w:rFonts w:cs="Tahoma"/>
              </w:rPr>
            </w:pPr>
          </w:p>
        </w:tc>
        <w:tc>
          <w:tcPr>
            <w:tcW w:w="429" w:type="dxa"/>
            <w:tcBorders>
              <w:bottom w:val="single" w:sz="4" w:space="0" w:color="auto"/>
            </w:tcBorders>
            <w:vAlign w:val="center"/>
          </w:tcPr>
          <w:p w:rsidR="00B27742" w:rsidRPr="003410C7" w:rsidRDefault="00B27742">
            <w:pPr>
              <w:pStyle w:val="TableHeadingsGreen"/>
              <w:widowControl w:val="0"/>
              <w:rPr>
                <w:rFonts w:ascii="Tahoma" w:hAnsi="Tahoma" w:cs="Tahoma"/>
              </w:rPr>
            </w:pPr>
            <w:r w:rsidRPr="003410C7">
              <w:rPr>
                <w:rFonts w:ascii="Tahoma" w:hAnsi="Tahoma" w:cs="Tahoma"/>
              </w:rPr>
              <w:t>P</w:t>
            </w:r>
          </w:p>
        </w:tc>
        <w:tc>
          <w:tcPr>
            <w:tcW w:w="442" w:type="dxa"/>
            <w:vMerge/>
            <w:tcBorders>
              <w:bottom w:val="single" w:sz="4" w:space="0" w:color="auto"/>
              <w:right w:val="single" w:sz="18" w:space="0" w:color="auto"/>
            </w:tcBorders>
          </w:tcPr>
          <w:p w:rsidR="00B27742" w:rsidRPr="003410C7" w:rsidRDefault="00B27742">
            <w:pPr>
              <w:widowControl w:val="0"/>
              <w:rPr>
                <w:rFonts w:cs="Tahoma"/>
              </w:rPr>
            </w:pPr>
          </w:p>
        </w:tc>
        <w:tc>
          <w:tcPr>
            <w:tcW w:w="495" w:type="dxa"/>
            <w:vMerge/>
            <w:tcBorders>
              <w:left w:val="single" w:sz="18" w:space="0" w:color="auto"/>
              <w:bottom w:val="single" w:sz="4" w:space="0" w:color="auto"/>
            </w:tcBorders>
          </w:tcPr>
          <w:p w:rsidR="00B27742" w:rsidRPr="003410C7" w:rsidRDefault="00B27742">
            <w:pPr>
              <w:widowControl w:val="0"/>
              <w:rPr>
                <w:rFonts w:cs="Tahoma"/>
              </w:rPr>
            </w:pPr>
          </w:p>
        </w:tc>
        <w:tc>
          <w:tcPr>
            <w:tcW w:w="459" w:type="dxa"/>
            <w:vMerge/>
            <w:tcBorders>
              <w:bottom w:val="single" w:sz="4" w:space="0" w:color="auto"/>
              <w:right w:val="single" w:sz="18" w:space="0" w:color="auto"/>
            </w:tcBorders>
          </w:tcPr>
          <w:p w:rsidR="00B27742" w:rsidRPr="003410C7" w:rsidRDefault="00B27742">
            <w:pPr>
              <w:widowControl w:val="0"/>
              <w:rPr>
                <w:rFonts w:cs="Tahoma"/>
              </w:rPr>
            </w:pPr>
          </w:p>
        </w:tc>
        <w:tc>
          <w:tcPr>
            <w:tcW w:w="360" w:type="dxa"/>
            <w:vMerge/>
            <w:tcBorders>
              <w:left w:val="single" w:sz="18" w:space="0" w:color="auto"/>
              <w:bottom w:val="single" w:sz="4" w:space="0" w:color="auto"/>
              <w:right w:val="single" w:sz="18" w:space="0" w:color="auto"/>
            </w:tcBorders>
          </w:tcPr>
          <w:p w:rsidR="00B27742" w:rsidRPr="003410C7" w:rsidRDefault="00B27742">
            <w:pPr>
              <w:widowControl w:val="0"/>
              <w:rPr>
                <w:rFonts w:cs="Tahoma"/>
              </w:rPr>
            </w:pPr>
          </w:p>
        </w:tc>
        <w:tc>
          <w:tcPr>
            <w:tcW w:w="474" w:type="dxa"/>
            <w:vMerge/>
            <w:tcBorders>
              <w:bottom w:val="single" w:sz="4" w:space="0" w:color="auto"/>
            </w:tcBorders>
          </w:tcPr>
          <w:p w:rsidR="00B27742" w:rsidRPr="003410C7" w:rsidRDefault="00B27742">
            <w:pPr>
              <w:widowControl w:val="0"/>
              <w:rPr>
                <w:rFonts w:cs="Tahoma"/>
              </w:rPr>
            </w:pPr>
          </w:p>
        </w:tc>
        <w:tc>
          <w:tcPr>
            <w:tcW w:w="514" w:type="dxa"/>
            <w:vMerge/>
            <w:tcBorders>
              <w:bottom w:val="single" w:sz="4" w:space="0" w:color="auto"/>
            </w:tcBorders>
          </w:tcPr>
          <w:p w:rsidR="00B27742" w:rsidRPr="003410C7" w:rsidRDefault="00B27742">
            <w:pPr>
              <w:widowControl w:val="0"/>
              <w:rPr>
                <w:rFonts w:cs="Tahoma"/>
              </w:rPr>
            </w:pPr>
          </w:p>
        </w:tc>
      </w:tr>
      <w:tr w:rsidR="00EF228F" w:rsidRPr="003410C7" w:rsidTr="002A074D">
        <w:trPr>
          <w:cantSplit/>
          <w:trHeight w:val="287"/>
        </w:trPr>
        <w:tc>
          <w:tcPr>
            <w:tcW w:w="2638" w:type="dxa"/>
            <w:tcBorders>
              <w:bottom w:val="single" w:sz="4" w:space="0" w:color="auto"/>
            </w:tcBorders>
            <w:shd w:val="clear" w:color="auto" w:fill="FABF8F"/>
            <w:vAlign w:val="center"/>
          </w:tcPr>
          <w:p w:rsidR="00B27742" w:rsidRPr="003410C7" w:rsidRDefault="00B27742" w:rsidP="003410C7">
            <w:pPr>
              <w:pStyle w:val="ProductNames"/>
              <w:spacing w:beforeLines="20" w:before="48" w:afterLines="20" w:after="48"/>
              <w:rPr>
                <w:rFonts w:ascii="Tahoma" w:hAnsi="Tahoma" w:cs="Tahoma"/>
                <w:sz w:val="14"/>
              </w:rPr>
            </w:pPr>
            <w:bookmarkStart w:id="16" w:name="_Toc336337843"/>
            <w:bookmarkStart w:id="17" w:name="_Toc352234447"/>
            <w:r w:rsidRPr="003410C7">
              <w:rPr>
                <w:rFonts w:ascii="Tahoma" w:hAnsi="Tahoma" w:cs="Tahoma"/>
                <w:sz w:val="14"/>
              </w:rPr>
              <w:t xml:space="preserve">Access </w:t>
            </w:r>
            <w:bookmarkEnd w:id="16"/>
            <w:r w:rsidRPr="003410C7">
              <w:rPr>
                <w:rFonts w:ascii="Tahoma" w:hAnsi="Tahoma" w:cs="Tahoma"/>
                <w:sz w:val="14"/>
              </w:rPr>
              <w:t>2013</w:t>
            </w:r>
            <w:bookmarkEnd w:id="17"/>
          </w:p>
        </w:tc>
        <w:tc>
          <w:tcPr>
            <w:tcW w:w="429" w:type="dxa"/>
            <w:tcBorders>
              <w:bottom w:val="single" w:sz="4" w:space="0" w:color="auto"/>
            </w:tcBorders>
            <w:shd w:val="clear" w:color="auto" w:fill="FABF8F"/>
            <w:vAlign w:val="center"/>
          </w:tcPr>
          <w:p w:rsidR="00B27742" w:rsidRPr="009F17FF" w:rsidRDefault="00B27742">
            <w:pPr>
              <w:pStyle w:val="TableText"/>
              <w:widowControl w:val="0"/>
              <w:rPr>
                <w:rStyle w:val="EndnoteReference"/>
                <w:color w:val="0000FF"/>
                <w:sz w:val="13"/>
                <w:szCs w:val="13"/>
                <w:u w:val="single"/>
              </w:rPr>
            </w:pPr>
          </w:p>
        </w:tc>
        <w:tc>
          <w:tcPr>
            <w:tcW w:w="429" w:type="dxa"/>
            <w:tcBorders>
              <w:bottom w:val="single" w:sz="4" w:space="0" w:color="auto"/>
            </w:tcBorders>
            <w:shd w:val="clear" w:color="auto" w:fill="FABF8F"/>
            <w:vAlign w:val="center"/>
          </w:tcPr>
          <w:p w:rsidR="00B27742" w:rsidRPr="003410C7" w:rsidRDefault="00014EAD" w:rsidP="004000C7">
            <w:pPr>
              <w:pStyle w:val="TableText"/>
              <w:widowControl w:val="0"/>
              <w:rPr>
                <w:rFonts w:ascii="Tahoma" w:hAnsi="Tahoma" w:cs="Tahoma"/>
                <w:color w:val="000000"/>
                <w:sz w:val="13"/>
              </w:rPr>
            </w:pPr>
            <w:r w:rsidRPr="003410C7">
              <w:rPr>
                <w:rFonts w:ascii="Tahoma" w:hAnsi="Tahoma" w:cs="Tahoma"/>
                <w:color w:val="000000"/>
                <w:sz w:val="13"/>
              </w:rPr>
              <w:t>10/12</w:t>
            </w:r>
          </w:p>
        </w:tc>
        <w:tc>
          <w:tcPr>
            <w:tcW w:w="429" w:type="dxa"/>
            <w:tcBorders>
              <w:bottom w:val="single" w:sz="4" w:space="0" w:color="auto"/>
              <w:right w:val="single" w:sz="18" w:space="0" w:color="auto"/>
            </w:tcBorders>
            <w:shd w:val="clear" w:color="auto" w:fill="FABF8F"/>
            <w:vAlign w:val="center"/>
          </w:tcPr>
          <w:p w:rsidR="00B27742" w:rsidRPr="003410C7" w:rsidRDefault="00B27742" w:rsidP="004B3534">
            <w:pPr>
              <w:pStyle w:val="TableText"/>
              <w:widowControl w:val="0"/>
              <w:rPr>
                <w:rFonts w:ascii="Tahoma" w:hAnsi="Tahoma" w:cs="Tahoma"/>
                <w:color w:val="000000"/>
                <w:sz w:val="13"/>
              </w:rPr>
            </w:pPr>
            <w:r w:rsidRPr="003410C7">
              <w:rPr>
                <w:rFonts w:ascii="Tahoma" w:hAnsi="Tahoma" w:cs="Tahoma"/>
                <w:color w:val="000000"/>
                <w:sz w:val="13"/>
              </w:rPr>
              <w:t>DT</w:t>
            </w:r>
          </w:p>
        </w:tc>
        <w:tc>
          <w:tcPr>
            <w:tcW w:w="429" w:type="dxa"/>
            <w:tcBorders>
              <w:left w:val="single" w:sz="18" w:space="0" w:color="auto"/>
              <w:bottom w:val="single" w:sz="4" w:space="0" w:color="auto"/>
            </w:tcBorders>
            <w:shd w:val="clear" w:color="auto" w:fill="FABF8F"/>
            <w:vAlign w:val="center"/>
          </w:tcPr>
          <w:p w:rsidR="00B27742" w:rsidRPr="003410C7" w:rsidRDefault="00B27742" w:rsidP="004B3534">
            <w:pPr>
              <w:pStyle w:val="TableText"/>
              <w:widowControl w:val="0"/>
              <w:rPr>
                <w:rFonts w:ascii="Tahoma" w:hAnsi="Tahoma" w:cs="Tahoma"/>
                <w:sz w:val="13"/>
              </w:rPr>
            </w:pPr>
            <w:r w:rsidRPr="003410C7">
              <w:rPr>
                <w:rFonts w:ascii="Tahoma" w:hAnsi="Tahoma" w:cs="Tahoma"/>
                <w:sz w:val="13"/>
              </w:rPr>
              <w:t>1</w:t>
            </w:r>
          </w:p>
        </w:tc>
        <w:tc>
          <w:tcPr>
            <w:tcW w:w="429" w:type="dxa"/>
            <w:tcBorders>
              <w:bottom w:val="single" w:sz="4" w:space="0" w:color="auto"/>
            </w:tcBorders>
            <w:shd w:val="clear" w:color="auto" w:fill="FABF8F"/>
            <w:vAlign w:val="center"/>
          </w:tcPr>
          <w:p w:rsidR="00B27742" w:rsidRPr="003410C7" w:rsidRDefault="00B27742" w:rsidP="004B3534">
            <w:pPr>
              <w:pStyle w:val="TableText"/>
              <w:widowControl w:val="0"/>
              <w:rPr>
                <w:rFonts w:ascii="Tahoma" w:hAnsi="Tahoma" w:cs="Tahoma"/>
                <w:sz w:val="13"/>
              </w:rPr>
            </w:pPr>
            <w:r w:rsidRPr="003410C7">
              <w:rPr>
                <w:rFonts w:ascii="Tahoma" w:hAnsi="Tahoma" w:cs="Tahoma"/>
                <w:sz w:val="13"/>
              </w:rPr>
              <w:t>3</w:t>
            </w:r>
          </w:p>
        </w:tc>
        <w:tc>
          <w:tcPr>
            <w:tcW w:w="429" w:type="dxa"/>
            <w:tcBorders>
              <w:bottom w:val="single" w:sz="4" w:space="0" w:color="auto"/>
            </w:tcBorders>
            <w:shd w:val="clear" w:color="auto" w:fill="FABF8F"/>
            <w:vAlign w:val="center"/>
          </w:tcPr>
          <w:p w:rsidR="00B27742" w:rsidRPr="003410C7" w:rsidRDefault="00B27742" w:rsidP="004B3534">
            <w:pPr>
              <w:pStyle w:val="TableText"/>
              <w:widowControl w:val="0"/>
              <w:rPr>
                <w:rFonts w:ascii="Tahoma" w:hAnsi="Tahoma" w:cs="Tahoma"/>
                <w:sz w:val="13"/>
              </w:rPr>
            </w:pPr>
            <w:r w:rsidRPr="003410C7">
              <w:rPr>
                <w:rFonts w:ascii="Tahoma" w:hAnsi="Tahoma" w:cs="Tahoma"/>
                <w:sz w:val="13"/>
              </w:rPr>
              <w:t>2</w:t>
            </w:r>
          </w:p>
        </w:tc>
        <w:tc>
          <w:tcPr>
            <w:tcW w:w="429" w:type="dxa"/>
            <w:tcBorders>
              <w:bottom w:val="single" w:sz="4" w:space="0" w:color="auto"/>
            </w:tcBorders>
            <w:shd w:val="clear" w:color="auto" w:fill="FABF8F"/>
            <w:vAlign w:val="center"/>
          </w:tcPr>
          <w:p w:rsidR="00B27742" w:rsidRPr="003410C7" w:rsidRDefault="00B27742" w:rsidP="004B3534">
            <w:pPr>
              <w:pStyle w:val="TableText"/>
              <w:widowControl w:val="0"/>
              <w:rPr>
                <w:rFonts w:ascii="Tahoma" w:hAnsi="Tahoma" w:cs="Tahoma"/>
                <w:sz w:val="13"/>
              </w:rPr>
            </w:pPr>
            <w:r w:rsidRPr="003410C7">
              <w:rPr>
                <w:rFonts w:ascii="Tahoma" w:hAnsi="Tahoma" w:cs="Tahoma"/>
                <w:sz w:val="13"/>
              </w:rPr>
              <w:t>2</w:t>
            </w:r>
          </w:p>
        </w:tc>
        <w:tc>
          <w:tcPr>
            <w:tcW w:w="429" w:type="dxa"/>
            <w:tcBorders>
              <w:bottom w:val="single" w:sz="4" w:space="0" w:color="auto"/>
            </w:tcBorders>
            <w:shd w:val="clear" w:color="auto" w:fill="FABF8F"/>
            <w:vAlign w:val="center"/>
          </w:tcPr>
          <w:p w:rsidR="00B27742" w:rsidRPr="003410C7" w:rsidRDefault="00B27742" w:rsidP="004B3534">
            <w:pPr>
              <w:pStyle w:val="TableText"/>
              <w:widowControl w:val="0"/>
              <w:rPr>
                <w:rFonts w:ascii="Tahoma" w:hAnsi="Tahoma" w:cs="Tahoma"/>
                <w:sz w:val="13"/>
              </w:rPr>
            </w:pPr>
            <w:r w:rsidRPr="003410C7">
              <w:rPr>
                <w:rFonts w:ascii="Tahoma" w:hAnsi="Tahoma" w:cs="Tahoma"/>
                <w:sz w:val="13"/>
              </w:rPr>
              <w:t>2</w:t>
            </w:r>
          </w:p>
        </w:tc>
        <w:tc>
          <w:tcPr>
            <w:tcW w:w="429" w:type="dxa"/>
            <w:tcBorders>
              <w:bottom w:val="single" w:sz="4" w:space="0" w:color="auto"/>
            </w:tcBorders>
            <w:shd w:val="clear" w:color="auto" w:fill="FABF8F"/>
            <w:vAlign w:val="center"/>
          </w:tcPr>
          <w:p w:rsidR="00B27742" w:rsidRPr="003410C7" w:rsidRDefault="00B27742" w:rsidP="004B3534">
            <w:pPr>
              <w:pStyle w:val="TableText"/>
              <w:widowControl w:val="0"/>
              <w:rPr>
                <w:rFonts w:ascii="Tahoma" w:hAnsi="Tahoma" w:cs="Tahoma"/>
                <w:sz w:val="13"/>
              </w:rPr>
            </w:pPr>
            <w:r w:rsidRPr="003410C7">
              <w:rPr>
                <w:rFonts w:ascii="Tahoma" w:hAnsi="Tahoma" w:cs="Tahoma"/>
                <w:sz w:val="13"/>
              </w:rPr>
              <w:t>1</w:t>
            </w:r>
          </w:p>
        </w:tc>
        <w:tc>
          <w:tcPr>
            <w:tcW w:w="429" w:type="dxa"/>
            <w:tcBorders>
              <w:bottom w:val="single" w:sz="4" w:space="0" w:color="auto"/>
              <w:right w:val="single" w:sz="18" w:space="0" w:color="auto"/>
            </w:tcBorders>
            <w:shd w:val="clear" w:color="auto" w:fill="FABF8F"/>
            <w:vAlign w:val="center"/>
          </w:tcPr>
          <w:p w:rsidR="00B27742" w:rsidRPr="003410C7" w:rsidRDefault="00B27742" w:rsidP="004B3534">
            <w:pPr>
              <w:pStyle w:val="TableText"/>
              <w:widowControl w:val="0"/>
              <w:rPr>
                <w:rFonts w:ascii="Tahoma" w:hAnsi="Tahoma" w:cs="Tahoma"/>
                <w:sz w:val="13"/>
              </w:rPr>
            </w:pPr>
            <w:r w:rsidRPr="003410C7">
              <w:rPr>
                <w:rFonts w:ascii="Tahoma" w:hAnsi="Tahoma" w:cs="Tahoma"/>
                <w:sz w:val="13"/>
              </w:rPr>
              <w:t>1</w:t>
            </w:r>
          </w:p>
        </w:tc>
        <w:tc>
          <w:tcPr>
            <w:tcW w:w="429" w:type="dxa"/>
            <w:tcBorders>
              <w:left w:val="single" w:sz="18" w:space="0" w:color="auto"/>
              <w:bottom w:val="single" w:sz="4" w:space="0" w:color="auto"/>
            </w:tcBorders>
            <w:shd w:val="clear" w:color="auto" w:fill="FABF8F"/>
            <w:vAlign w:val="center"/>
          </w:tcPr>
          <w:p w:rsidR="00B27742" w:rsidRPr="003410C7" w:rsidRDefault="00B27742" w:rsidP="004B3534">
            <w:pPr>
              <w:pStyle w:val="TableText"/>
              <w:widowControl w:val="0"/>
              <w:rPr>
                <w:rFonts w:ascii="Tahoma" w:hAnsi="Tahoma" w:cs="Tahoma"/>
                <w:sz w:val="13"/>
              </w:rPr>
            </w:pPr>
            <w:r w:rsidRPr="003410C7">
              <w:rPr>
                <w:rFonts w:ascii="Tahoma" w:hAnsi="Tahoma" w:cs="Tahoma"/>
                <w:sz w:val="13"/>
              </w:rPr>
              <w:t>1</w:t>
            </w:r>
          </w:p>
        </w:tc>
        <w:tc>
          <w:tcPr>
            <w:tcW w:w="429" w:type="dxa"/>
            <w:tcBorders>
              <w:bottom w:val="single" w:sz="4" w:space="0" w:color="auto"/>
            </w:tcBorders>
            <w:shd w:val="clear" w:color="auto" w:fill="FABF8F"/>
            <w:vAlign w:val="center"/>
          </w:tcPr>
          <w:p w:rsidR="00B27742" w:rsidRPr="003410C7" w:rsidRDefault="00B27742" w:rsidP="004B3534">
            <w:pPr>
              <w:pStyle w:val="TableText"/>
              <w:widowControl w:val="0"/>
              <w:rPr>
                <w:rFonts w:ascii="Tahoma" w:hAnsi="Tahoma" w:cs="Tahoma"/>
                <w:sz w:val="13"/>
              </w:rPr>
            </w:pPr>
            <w:r w:rsidRPr="003410C7">
              <w:rPr>
                <w:rFonts w:ascii="Tahoma" w:hAnsi="Tahoma" w:cs="Tahoma"/>
                <w:sz w:val="13"/>
              </w:rPr>
              <w:t>2</w:t>
            </w:r>
          </w:p>
        </w:tc>
        <w:tc>
          <w:tcPr>
            <w:tcW w:w="442" w:type="dxa"/>
            <w:tcBorders>
              <w:bottom w:val="single" w:sz="4" w:space="0" w:color="auto"/>
              <w:right w:val="single" w:sz="18" w:space="0" w:color="auto"/>
            </w:tcBorders>
            <w:shd w:val="clear" w:color="auto" w:fill="FABF8F"/>
            <w:vAlign w:val="center"/>
          </w:tcPr>
          <w:p w:rsidR="00B27742" w:rsidRPr="003410C7" w:rsidRDefault="00B27742" w:rsidP="004B3534">
            <w:pPr>
              <w:pStyle w:val="TableText"/>
              <w:widowControl w:val="0"/>
              <w:rPr>
                <w:rFonts w:ascii="Tahoma" w:hAnsi="Tahoma" w:cs="Tahoma"/>
                <w:sz w:val="13"/>
              </w:rPr>
            </w:pPr>
            <w:r w:rsidRPr="003410C7">
              <w:rPr>
                <w:rFonts w:ascii="Tahoma" w:hAnsi="Tahoma" w:cs="Tahoma"/>
                <w:sz w:val="13"/>
              </w:rPr>
              <w:t>1</w:t>
            </w:r>
          </w:p>
        </w:tc>
        <w:tc>
          <w:tcPr>
            <w:tcW w:w="495" w:type="dxa"/>
            <w:tcBorders>
              <w:left w:val="single" w:sz="18" w:space="0" w:color="auto"/>
              <w:bottom w:val="single" w:sz="4" w:space="0" w:color="auto"/>
            </w:tcBorders>
            <w:shd w:val="clear" w:color="auto" w:fill="FABF8F"/>
            <w:vAlign w:val="center"/>
          </w:tcPr>
          <w:p w:rsidR="00B27742" w:rsidRPr="003410C7" w:rsidRDefault="00B27742" w:rsidP="004B3534">
            <w:pPr>
              <w:pStyle w:val="TableText"/>
              <w:widowControl w:val="0"/>
              <w:rPr>
                <w:rFonts w:ascii="Tahoma" w:hAnsi="Tahoma" w:cs="Tahoma"/>
                <w:sz w:val="13"/>
              </w:rPr>
            </w:pPr>
          </w:p>
        </w:tc>
        <w:tc>
          <w:tcPr>
            <w:tcW w:w="459" w:type="dxa"/>
            <w:tcBorders>
              <w:bottom w:val="single" w:sz="4" w:space="0" w:color="auto"/>
              <w:right w:val="single" w:sz="18" w:space="0" w:color="auto"/>
            </w:tcBorders>
            <w:shd w:val="clear" w:color="auto" w:fill="FABF8F"/>
            <w:vAlign w:val="center"/>
          </w:tcPr>
          <w:p w:rsidR="00B27742" w:rsidRPr="003410C7" w:rsidRDefault="00B27742" w:rsidP="004B3534">
            <w:pPr>
              <w:pStyle w:val="TableText"/>
              <w:widowControl w:val="0"/>
              <w:rPr>
                <w:rFonts w:ascii="Tahoma" w:hAnsi="Tahoma" w:cs="Tahoma"/>
                <w:sz w:val="13"/>
              </w:rPr>
            </w:pPr>
          </w:p>
        </w:tc>
        <w:tc>
          <w:tcPr>
            <w:tcW w:w="360" w:type="dxa"/>
            <w:tcBorders>
              <w:left w:val="single" w:sz="18" w:space="0" w:color="auto"/>
              <w:bottom w:val="single" w:sz="4" w:space="0" w:color="auto"/>
              <w:right w:val="single" w:sz="18" w:space="0" w:color="auto"/>
            </w:tcBorders>
            <w:shd w:val="clear" w:color="auto" w:fill="FABF8F"/>
            <w:vAlign w:val="center"/>
          </w:tcPr>
          <w:p w:rsidR="00B27742" w:rsidRPr="003410C7" w:rsidRDefault="00B27742" w:rsidP="004B3534">
            <w:pPr>
              <w:pStyle w:val="TableText"/>
              <w:widowControl w:val="0"/>
              <w:rPr>
                <w:rFonts w:ascii="Tahoma" w:hAnsi="Tahoma" w:cs="Tahoma"/>
                <w:sz w:val="13"/>
              </w:rPr>
            </w:pPr>
            <w:r w:rsidRPr="003410C7">
              <w:rPr>
                <w:rFonts w:ascii="Tahoma" w:hAnsi="Tahoma" w:cs="Tahoma"/>
                <w:sz w:val="13"/>
              </w:rPr>
              <w:t>P</w:t>
            </w:r>
          </w:p>
        </w:tc>
        <w:tc>
          <w:tcPr>
            <w:tcW w:w="474" w:type="dxa"/>
            <w:tcBorders>
              <w:bottom w:val="single" w:sz="4" w:space="0" w:color="auto"/>
            </w:tcBorders>
            <w:shd w:val="clear" w:color="auto" w:fill="FABF8F"/>
          </w:tcPr>
          <w:p w:rsidR="00B27742" w:rsidRPr="003410C7" w:rsidRDefault="00B27742" w:rsidP="004B3534">
            <w:pPr>
              <w:pStyle w:val="TableText"/>
              <w:widowControl w:val="0"/>
              <w:rPr>
                <w:rFonts w:ascii="Tahoma" w:hAnsi="Tahoma" w:cs="Tahoma"/>
                <w:sz w:val="13"/>
              </w:rPr>
            </w:pPr>
          </w:p>
        </w:tc>
        <w:tc>
          <w:tcPr>
            <w:tcW w:w="514" w:type="dxa"/>
            <w:tcBorders>
              <w:bottom w:val="single" w:sz="4" w:space="0" w:color="auto"/>
            </w:tcBorders>
            <w:shd w:val="clear" w:color="auto" w:fill="FABF8F"/>
            <w:vAlign w:val="center"/>
          </w:tcPr>
          <w:p w:rsidR="00B27742" w:rsidRPr="003410C7" w:rsidRDefault="00B27742" w:rsidP="004B3534">
            <w:pPr>
              <w:pStyle w:val="TableText"/>
              <w:widowControl w:val="0"/>
              <w:rPr>
                <w:rFonts w:ascii="Tahoma" w:hAnsi="Tahoma" w:cs="Tahoma"/>
                <w:sz w:val="13"/>
              </w:rPr>
            </w:pPr>
          </w:p>
        </w:tc>
      </w:tr>
      <w:tr w:rsidR="00EF228F" w:rsidRPr="003410C7" w:rsidTr="002A074D">
        <w:trPr>
          <w:cantSplit/>
          <w:trHeight w:val="287"/>
        </w:trPr>
        <w:tc>
          <w:tcPr>
            <w:tcW w:w="2638" w:type="dxa"/>
            <w:tcBorders>
              <w:bottom w:val="single" w:sz="4" w:space="0" w:color="auto"/>
            </w:tcBorders>
            <w:shd w:val="clear" w:color="auto" w:fill="FFFFFF"/>
            <w:vAlign w:val="center"/>
          </w:tcPr>
          <w:p w:rsidR="00B27742" w:rsidRPr="003410C7" w:rsidRDefault="00B27742" w:rsidP="003410C7">
            <w:pPr>
              <w:pStyle w:val="ProductNames"/>
              <w:spacing w:beforeLines="20" w:before="48" w:afterLines="20" w:after="48"/>
              <w:rPr>
                <w:rFonts w:ascii="Tahoma" w:hAnsi="Tahoma" w:cs="Tahoma"/>
                <w:sz w:val="14"/>
              </w:rPr>
            </w:pPr>
            <w:bookmarkStart w:id="18" w:name="_Toc336337844"/>
            <w:bookmarkStart w:id="19" w:name="_Toc352234448"/>
            <w:r w:rsidRPr="003410C7">
              <w:rPr>
                <w:rFonts w:ascii="Tahoma" w:hAnsi="Tahoma" w:cs="Tahoma"/>
                <w:sz w:val="14"/>
              </w:rPr>
              <w:t>AutoRoute 2013</w:t>
            </w:r>
            <w:bookmarkEnd w:id="18"/>
            <w:bookmarkEnd w:id="19"/>
          </w:p>
        </w:tc>
        <w:tc>
          <w:tcPr>
            <w:tcW w:w="429" w:type="dxa"/>
            <w:tcBorders>
              <w:bottom w:val="single" w:sz="4" w:space="0" w:color="auto"/>
            </w:tcBorders>
            <w:shd w:val="clear" w:color="auto" w:fill="FFFFFF"/>
            <w:vAlign w:val="center"/>
          </w:tcPr>
          <w:p w:rsidR="00B27742" w:rsidRPr="009F17FF" w:rsidRDefault="00B27742">
            <w:pPr>
              <w:pStyle w:val="TableText"/>
              <w:widowControl w:val="0"/>
              <w:rPr>
                <w:rFonts w:cs="Tahoma"/>
                <w:b/>
                <w:color w:val="0000FF"/>
                <w:sz w:val="13"/>
                <w:szCs w:val="13"/>
                <w:u w:val="single"/>
              </w:rPr>
            </w:pPr>
          </w:p>
        </w:tc>
        <w:tc>
          <w:tcPr>
            <w:tcW w:w="429" w:type="dxa"/>
            <w:tcBorders>
              <w:bottom w:val="single" w:sz="4" w:space="0" w:color="auto"/>
            </w:tcBorders>
            <w:shd w:val="clear" w:color="auto" w:fill="FFFFFF"/>
            <w:vAlign w:val="center"/>
          </w:tcPr>
          <w:p w:rsidR="00B27742" w:rsidRPr="003410C7" w:rsidRDefault="00E64830" w:rsidP="004000C7">
            <w:pPr>
              <w:pStyle w:val="TableText"/>
              <w:widowControl w:val="0"/>
              <w:rPr>
                <w:rFonts w:ascii="Tahoma" w:hAnsi="Tahoma" w:cs="Tahoma"/>
                <w:sz w:val="13"/>
              </w:rPr>
            </w:pPr>
            <w:r w:rsidRPr="003410C7">
              <w:rPr>
                <w:rFonts w:ascii="Tahoma" w:hAnsi="Tahoma" w:cs="Tahoma"/>
                <w:sz w:val="13"/>
              </w:rPr>
              <w:t>10/12</w:t>
            </w:r>
          </w:p>
        </w:tc>
        <w:tc>
          <w:tcPr>
            <w:tcW w:w="429" w:type="dxa"/>
            <w:tcBorders>
              <w:bottom w:val="single" w:sz="4" w:space="0" w:color="auto"/>
              <w:right w:val="single" w:sz="18" w:space="0" w:color="auto"/>
            </w:tcBorders>
            <w:shd w:val="clear" w:color="auto" w:fill="FFFFFF"/>
            <w:vAlign w:val="center"/>
          </w:tcPr>
          <w:p w:rsidR="00B27742" w:rsidRPr="003410C7" w:rsidRDefault="00B27742" w:rsidP="004B3534">
            <w:pPr>
              <w:pStyle w:val="TableText"/>
              <w:widowControl w:val="0"/>
              <w:rPr>
                <w:rFonts w:ascii="Tahoma" w:hAnsi="Tahoma" w:cs="Tahoma"/>
                <w:sz w:val="13"/>
              </w:rPr>
            </w:pPr>
          </w:p>
        </w:tc>
        <w:tc>
          <w:tcPr>
            <w:tcW w:w="429" w:type="dxa"/>
            <w:tcBorders>
              <w:left w:val="single" w:sz="18" w:space="0" w:color="auto"/>
              <w:bottom w:val="single" w:sz="4" w:space="0" w:color="auto"/>
            </w:tcBorders>
            <w:shd w:val="clear" w:color="auto" w:fill="FFFFFF"/>
            <w:vAlign w:val="center"/>
          </w:tcPr>
          <w:p w:rsidR="00B27742" w:rsidRPr="003410C7" w:rsidRDefault="00B27742" w:rsidP="004B3534">
            <w:pPr>
              <w:pStyle w:val="TableText"/>
              <w:widowControl w:val="0"/>
              <w:rPr>
                <w:rFonts w:ascii="Tahoma" w:hAnsi="Tahoma" w:cs="Tahoma"/>
                <w:sz w:val="13"/>
              </w:rPr>
            </w:pPr>
            <w:r w:rsidRPr="003410C7">
              <w:rPr>
                <w:rFonts w:ascii="Tahoma" w:hAnsi="Tahoma" w:cs="Tahoma"/>
                <w:sz w:val="13"/>
              </w:rPr>
              <w:t>1</w:t>
            </w:r>
          </w:p>
        </w:tc>
        <w:tc>
          <w:tcPr>
            <w:tcW w:w="429" w:type="dxa"/>
            <w:tcBorders>
              <w:bottom w:val="single" w:sz="4" w:space="0" w:color="auto"/>
            </w:tcBorders>
            <w:shd w:val="clear" w:color="auto" w:fill="FFFFFF"/>
            <w:vAlign w:val="center"/>
          </w:tcPr>
          <w:p w:rsidR="00B27742" w:rsidRPr="003410C7" w:rsidRDefault="00B27742" w:rsidP="004B3534">
            <w:pPr>
              <w:pStyle w:val="TableText"/>
              <w:widowControl w:val="0"/>
              <w:rPr>
                <w:rFonts w:ascii="Tahoma" w:hAnsi="Tahoma" w:cs="Tahoma"/>
                <w:sz w:val="13"/>
              </w:rPr>
            </w:pPr>
            <w:r w:rsidRPr="003410C7">
              <w:rPr>
                <w:rFonts w:ascii="Tahoma" w:hAnsi="Tahoma" w:cs="Tahoma"/>
                <w:sz w:val="13"/>
              </w:rPr>
              <w:t>3</w:t>
            </w:r>
          </w:p>
        </w:tc>
        <w:tc>
          <w:tcPr>
            <w:tcW w:w="429" w:type="dxa"/>
            <w:tcBorders>
              <w:bottom w:val="single" w:sz="4" w:space="0" w:color="auto"/>
            </w:tcBorders>
            <w:shd w:val="clear" w:color="auto" w:fill="FFFFFF"/>
            <w:vAlign w:val="center"/>
          </w:tcPr>
          <w:p w:rsidR="00B27742" w:rsidRPr="003410C7" w:rsidRDefault="00B27742" w:rsidP="004B3534">
            <w:pPr>
              <w:pStyle w:val="TableText"/>
              <w:widowControl w:val="0"/>
              <w:rPr>
                <w:rFonts w:ascii="Tahoma" w:hAnsi="Tahoma" w:cs="Tahoma"/>
                <w:sz w:val="13"/>
              </w:rPr>
            </w:pPr>
            <w:r w:rsidRPr="003410C7">
              <w:rPr>
                <w:rFonts w:ascii="Tahoma" w:hAnsi="Tahoma" w:cs="Tahoma"/>
                <w:sz w:val="13"/>
              </w:rPr>
              <w:t>2</w:t>
            </w:r>
          </w:p>
        </w:tc>
        <w:tc>
          <w:tcPr>
            <w:tcW w:w="429" w:type="dxa"/>
            <w:tcBorders>
              <w:bottom w:val="single" w:sz="4" w:space="0" w:color="auto"/>
            </w:tcBorders>
            <w:shd w:val="clear" w:color="auto" w:fill="FFFFFF"/>
            <w:vAlign w:val="center"/>
          </w:tcPr>
          <w:p w:rsidR="00B27742" w:rsidRPr="003410C7" w:rsidRDefault="00B27742" w:rsidP="004B3534">
            <w:pPr>
              <w:pStyle w:val="TableText"/>
              <w:widowControl w:val="0"/>
              <w:rPr>
                <w:rFonts w:ascii="Tahoma" w:hAnsi="Tahoma" w:cs="Tahoma"/>
                <w:sz w:val="13"/>
              </w:rPr>
            </w:pPr>
            <w:r w:rsidRPr="003410C7">
              <w:rPr>
                <w:rFonts w:ascii="Tahoma" w:hAnsi="Tahoma" w:cs="Tahoma"/>
                <w:sz w:val="13"/>
              </w:rPr>
              <w:t>2</w:t>
            </w:r>
          </w:p>
        </w:tc>
        <w:tc>
          <w:tcPr>
            <w:tcW w:w="429" w:type="dxa"/>
            <w:tcBorders>
              <w:bottom w:val="single" w:sz="4" w:space="0" w:color="auto"/>
            </w:tcBorders>
            <w:shd w:val="clear" w:color="auto" w:fill="FFFFFF"/>
            <w:vAlign w:val="center"/>
          </w:tcPr>
          <w:p w:rsidR="00B27742" w:rsidRPr="003410C7" w:rsidRDefault="00B27742" w:rsidP="004B3534">
            <w:pPr>
              <w:pStyle w:val="TableText"/>
              <w:widowControl w:val="0"/>
              <w:rPr>
                <w:rFonts w:ascii="Tahoma" w:hAnsi="Tahoma" w:cs="Tahoma"/>
                <w:sz w:val="13"/>
              </w:rPr>
            </w:pPr>
            <w:r w:rsidRPr="003410C7">
              <w:rPr>
                <w:rFonts w:ascii="Tahoma" w:hAnsi="Tahoma" w:cs="Tahoma"/>
                <w:sz w:val="13"/>
              </w:rPr>
              <w:t>2</w:t>
            </w:r>
          </w:p>
        </w:tc>
        <w:tc>
          <w:tcPr>
            <w:tcW w:w="429" w:type="dxa"/>
            <w:tcBorders>
              <w:bottom w:val="single" w:sz="4" w:space="0" w:color="auto"/>
            </w:tcBorders>
            <w:shd w:val="clear" w:color="auto" w:fill="FFFFFF"/>
            <w:vAlign w:val="center"/>
          </w:tcPr>
          <w:p w:rsidR="00B27742" w:rsidRPr="003410C7" w:rsidRDefault="00B27742" w:rsidP="004B3534">
            <w:pPr>
              <w:pStyle w:val="TableText"/>
              <w:widowControl w:val="0"/>
              <w:rPr>
                <w:rFonts w:ascii="Tahoma" w:hAnsi="Tahoma" w:cs="Tahoma"/>
                <w:sz w:val="13"/>
              </w:rPr>
            </w:pPr>
            <w:r w:rsidRPr="003410C7">
              <w:rPr>
                <w:rFonts w:ascii="Tahoma" w:hAnsi="Tahoma" w:cs="Tahoma"/>
                <w:sz w:val="13"/>
              </w:rPr>
              <w:t>1</w:t>
            </w:r>
          </w:p>
        </w:tc>
        <w:tc>
          <w:tcPr>
            <w:tcW w:w="429" w:type="dxa"/>
            <w:tcBorders>
              <w:bottom w:val="single" w:sz="4" w:space="0" w:color="auto"/>
              <w:right w:val="single" w:sz="18" w:space="0" w:color="auto"/>
            </w:tcBorders>
            <w:shd w:val="clear" w:color="auto" w:fill="FFFFFF"/>
            <w:vAlign w:val="center"/>
          </w:tcPr>
          <w:p w:rsidR="00B27742" w:rsidRPr="003410C7" w:rsidRDefault="00B27742" w:rsidP="004B3534">
            <w:pPr>
              <w:pStyle w:val="TableText"/>
              <w:widowControl w:val="0"/>
              <w:rPr>
                <w:rFonts w:ascii="Tahoma" w:hAnsi="Tahoma" w:cs="Tahoma"/>
                <w:sz w:val="13"/>
              </w:rPr>
            </w:pPr>
            <w:r w:rsidRPr="003410C7">
              <w:rPr>
                <w:rFonts w:ascii="Tahoma" w:hAnsi="Tahoma" w:cs="Tahoma"/>
                <w:sz w:val="13"/>
              </w:rPr>
              <w:t>1</w:t>
            </w:r>
          </w:p>
        </w:tc>
        <w:tc>
          <w:tcPr>
            <w:tcW w:w="429" w:type="dxa"/>
            <w:tcBorders>
              <w:left w:val="single" w:sz="18" w:space="0" w:color="auto"/>
              <w:bottom w:val="single" w:sz="4" w:space="0" w:color="auto"/>
            </w:tcBorders>
            <w:shd w:val="clear" w:color="auto" w:fill="FFFFFF"/>
            <w:vAlign w:val="center"/>
          </w:tcPr>
          <w:p w:rsidR="00B27742" w:rsidRPr="003410C7" w:rsidRDefault="00B27742" w:rsidP="004B3534">
            <w:pPr>
              <w:pStyle w:val="TableText"/>
              <w:widowControl w:val="0"/>
              <w:rPr>
                <w:rFonts w:ascii="Tahoma" w:hAnsi="Tahoma" w:cs="Tahoma"/>
                <w:sz w:val="13"/>
              </w:rPr>
            </w:pPr>
            <w:r w:rsidRPr="003410C7">
              <w:rPr>
                <w:rFonts w:ascii="Tahoma" w:hAnsi="Tahoma" w:cs="Tahoma"/>
                <w:sz w:val="13"/>
              </w:rPr>
              <w:t>1</w:t>
            </w:r>
          </w:p>
        </w:tc>
        <w:tc>
          <w:tcPr>
            <w:tcW w:w="429" w:type="dxa"/>
            <w:tcBorders>
              <w:bottom w:val="single" w:sz="4" w:space="0" w:color="auto"/>
            </w:tcBorders>
            <w:shd w:val="clear" w:color="auto" w:fill="FFFFFF"/>
            <w:vAlign w:val="center"/>
          </w:tcPr>
          <w:p w:rsidR="00B27742" w:rsidRPr="003410C7" w:rsidRDefault="00B27742" w:rsidP="004B3534">
            <w:pPr>
              <w:pStyle w:val="TableText"/>
              <w:widowControl w:val="0"/>
              <w:rPr>
                <w:rFonts w:ascii="Tahoma" w:hAnsi="Tahoma" w:cs="Tahoma"/>
                <w:sz w:val="13"/>
              </w:rPr>
            </w:pPr>
            <w:r w:rsidRPr="003410C7">
              <w:rPr>
                <w:rFonts w:ascii="Tahoma" w:hAnsi="Tahoma" w:cs="Tahoma"/>
                <w:sz w:val="13"/>
              </w:rPr>
              <w:t>2</w:t>
            </w:r>
          </w:p>
        </w:tc>
        <w:tc>
          <w:tcPr>
            <w:tcW w:w="442" w:type="dxa"/>
            <w:tcBorders>
              <w:bottom w:val="single" w:sz="4" w:space="0" w:color="auto"/>
              <w:right w:val="single" w:sz="18" w:space="0" w:color="auto"/>
            </w:tcBorders>
            <w:shd w:val="clear" w:color="auto" w:fill="FFFFFF"/>
            <w:vAlign w:val="center"/>
          </w:tcPr>
          <w:p w:rsidR="00B27742" w:rsidRPr="003410C7" w:rsidRDefault="00B27742" w:rsidP="004B3534">
            <w:pPr>
              <w:pStyle w:val="TableText"/>
              <w:widowControl w:val="0"/>
              <w:rPr>
                <w:rFonts w:ascii="Tahoma" w:hAnsi="Tahoma" w:cs="Tahoma"/>
                <w:sz w:val="13"/>
              </w:rPr>
            </w:pPr>
            <w:r w:rsidRPr="003410C7">
              <w:rPr>
                <w:rFonts w:ascii="Tahoma" w:hAnsi="Tahoma" w:cs="Tahoma"/>
                <w:sz w:val="13"/>
              </w:rPr>
              <w:t>1</w:t>
            </w:r>
          </w:p>
        </w:tc>
        <w:tc>
          <w:tcPr>
            <w:tcW w:w="495" w:type="dxa"/>
            <w:tcBorders>
              <w:left w:val="single" w:sz="18" w:space="0" w:color="auto"/>
              <w:bottom w:val="single" w:sz="4" w:space="0" w:color="auto"/>
            </w:tcBorders>
            <w:shd w:val="clear" w:color="auto" w:fill="FFFFFF"/>
            <w:vAlign w:val="center"/>
          </w:tcPr>
          <w:p w:rsidR="00B27742" w:rsidRPr="003410C7" w:rsidRDefault="00B27742" w:rsidP="004B3534">
            <w:pPr>
              <w:pStyle w:val="TableText"/>
              <w:widowControl w:val="0"/>
              <w:rPr>
                <w:rFonts w:ascii="Tahoma" w:hAnsi="Tahoma" w:cs="Tahoma"/>
                <w:sz w:val="13"/>
              </w:rPr>
            </w:pPr>
            <w:r w:rsidRPr="003410C7">
              <w:rPr>
                <w:rFonts w:ascii="Tahoma" w:hAnsi="Tahoma" w:cs="Tahoma"/>
                <w:sz w:val="13"/>
              </w:rPr>
              <w:t>1</w:t>
            </w:r>
          </w:p>
        </w:tc>
        <w:tc>
          <w:tcPr>
            <w:tcW w:w="459" w:type="dxa"/>
            <w:tcBorders>
              <w:bottom w:val="single" w:sz="4" w:space="0" w:color="auto"/>
              <w:right w:val="single" w:sz="18" w:space="0" w:color="auto"/>
            </w:tcBorders>
            <w:shd w:val="clear" w:color="auto" w:fill="FFFFFF"/>
            <w:vAlign w:val="center"/>
          </w:tcPr>
          <w:p w:rsidR="00B27742" w:rsidRPr="003410C7" w:rsidRDefault="00B27742" w:rsidP="004B3534">
            <w:pPr>
              <w:pStyle w:val="TableText"/>
              <w:widowControl w:val="0"/>
              <w:rPr>
                <w:rFonts w:ascii="Tahoma" w:hAnsi="Tahoma" w:cs="Tahoma"/>
                <w:sz w:val="13"/>
              </w:rPr>
            </w:pPr>
            <w:r w:rsidRPr="003410C7">
              <w:rPr>
                <w:rFonts w:ascii="Tahoma" w:hAnsi="Tahoma" w:cs="Tahoma"/>
                <w:sz w:val="13"/>
              </w:rPr>
              <w:t>A</w:t>
            </w:r>
          </w:p>
        </w:tc>
        <w:tc>
          <w:tcPr>
            <w:tcW w:w="360" w:type="dxa"/>
            <w:tcBorders>
              <w:left w:val="single" w:sz="18" w:space="0" w:color="auto"/>
              <w:bottom w:val="single" w:sz="4" w:space="0" w:color="auto"/>
              <w:right w:val="single" w:sz="18" w:space="0" w:color="auto"/>
            </w:tcBorders>
            <w:shd w:val="clear" w:color="auto" w:fill="FFFFFF"/>
            <w:vAlign w:val="center"/>
          </w:tcPr>
          <w:p w:rsidR="00B27742" w:rsidRPr="003410C7" w:rsidRDefault="00B27742" w:rsidP="004B3534">
            <w:pPr>
              <w:pStyle w:val="TableText"/>
              <w:widowControl w:val="0"/>
              <w:rPr>
                <w:rFonts w:ascii="Tahoma" w:hAnsi="Tahoma" w:cs="Tahoma"/>
                <w:sz w:val="13"/>
              </w:rPr>
            </w:pPr>
            <w:r w:rsidRPr="003410C7">
              <w:rPr>
                <w:rFonts w:ascii="Tahoma" w:hAnsi="Tahoma" w:cs="Tahoma"/>
                <w:sz w:val="13"/>
              </w:rPr>
              <w:t>P</w:t>
            </w:r>
          </w:p>
        </w:tc>
        <w:tc>
          <w:tcPr>
            <w:tcW w:w="474" w:type="dxa"/>
            <w:tcBorders>
              <w:bottom w:val="single" w:sz="4" w:space="0" w:color="auto"/>
            </w:tcBorders>
            <w:shd w:val="clear" w:color="auto" w:fill="FFFFFF"/>
            <w:vAlign w:val="center"/>
          </w:tcPr>
          <w:p w:rsidR="00B27742" w:rsidRPr="003410C7" w:rsidRDefault="00F440FF" w:rsidP="00080B33">
            <w:pPr>
              <w:pStyle w:val="TableText"/>
              <w:widowControl w:val="0"/>
              <w:rPr>
                <w:rFonts w:ascii="Tahoma" w:hAnsi="Tahoma" w:cs="Tahoma"/>
                <w:sz w:val="13"/>
              </w:rPr>
            </w:pPr>
            <w:r w:rsidRPr="003410C7">
              <w:rPr>
                <w:rFonts w:ascii="Tahoma" w:hAnsi="Tahoma" w:cs="Tahoma"/>
                <w:sz w:val="13"/>
              </w:rPr>
              <w:t>A</w:t>
            </w:r>
          </w:p>
        </w:tc>
        <w:tc>
          <w:tcPr>
            <w:tcW w:w="514" w:type="dxa"/>
            <w:tcBorders>
              <w:bottom w:val="single" w:sz="4" w:space="0" w:color="auto"/>
            </w:tcBorders>
            <w:shd w:val="clear" w:color="auto" w:fill="FFFFFF"/>
            <w:vAlign w:val="center"/>
          </w:tcPr>
          <w:p w:rsidR="00B27742" w:rsidRPr="003410C7" w:rsidRDefault="00B27742" w:rsidP="004B3534">
            <w:pPr>
              <w:pStyle w:val="TableText"/>
              <w:widowControl w:val="0"/>
              <w:rPr>
                <w:rFonts w:ascii="Tahoma" w:hAnsi="Tahoma" w:cs="Tahoma"/>
                <w:sz w:val="13"/>
              </w:rPr>
            </w:pPr>
          </w:p>
        </w:tc>
      </w:tr>
      <w:tr w:rsidR="00EF228F" w:rsidRPr="003410C7" w:rsidTr="002A074D">
        <w:trPr>
          <w:cantSplit/>
          <w:trHeight w:val="287"/>
        </w:trPr>
        <w:tc>
          <w:tcPr>
            <w:tcW w:w="2638" w:type="dxa"/>
            <w:tcBorders>
              <w:bottom w:val="single" w:sz="4" w:space="0" w:color="auto"/>
            </w:tcBorders>
            <w:shd w:val="clear" w:color="auto" w:fill="FABF8F"/>
            <w:vAlign w:val="center"/>
          </w:tcPr>
          <w:p w:rsidR="00B27742" w:rsidRPr="003410C7" w:rsidRDefault="00B27742" w:rsidP="003410C7">
            <w:pPr>
              <w:pStyle w:val="ProductNames"/>
              <w:spacing w:beforeLines="20" w:before="48" w:afterLines="20" w:after="48"/>
              <w:rPr>
                <w:rFonts w:ascii="Tahoma" w:hAnsi="Tahoma" w:cs="Tahoma"/>
                <w:sz w:val="14"/>
              </w:rPr>
            </w:pPr>
            <w:bookmarkStart w:id="20" w:name="_Toc336337846"/>
            <w:bookmarkStart w:id="21" w:name="_Toc352234449"/>
            <w:r w:rsidRPr="003410C7">
              <w:rPr>
                <w:rFonts w:ascii="Tahoma" w:hAnsi="Tahoma" w:cs="Tahoma"/>
                <w:sz w:val="14"/>
              </w:rPr>
              <w:t xml:space="preserve">Excel </w:t>
            </w:r>
            <w:bookmarkEnd w:id="20"/>
            <w:r w:rsidRPr="003410C7">
              <w:rPr>
                <w:rFonts w:ascii="Tahoma" w:hAnsi="Tahoma" w:cs="Tahoma"/>
                <w:sz w:val="14"/>
              </w:rPr>
              <w:t>2013</w:t>
            </w:r>
            <w:bookmarkEnd w:id="21"/>
          </w:p>
        </w:tc>
        <w:tc>
          <w:tcPr>
            <w:tcW w:w="429" w:type="dxa"/>
            <w:tcBorders>
              <w:bottom w:val="single" w:sz="4" w:space="0" w:color="auto"/>
            </w:tcBorders>
            <w:shd w:val="clear" w:color="auto" w:fill="FABF8F"/>
            <w:vAlign w:val="center"/>
          </w:tcPr>
          <w:p w:rsidR="00B27742" w:rsidRPr="009F17FF" w:rsidRDefault="00B27742">
            <w:pPr>
              <w:pStyle w:val="TableText"/>
              <w:widowControl w:val="0"/>
              <w:rPr>
                <w:rStyle w:val="EndnoteReference"/>
                <w:rFonts w:cs="Tahoma"/>
                <w:color w:val="0000FF"/>
                <w:sz w:val="13"/>
                <w:szCs w:val="13"/>
                <w:u w:val="single"/>
              </w:rPr>
            </w:pPr>
          </w:p>
        </w:tc>
        <w:tc>
          <w:tcPr>
            <w:tcW w:w="429" w:type="dxa"/>
            <w:tcBorders>
              <w:bottom w:val="single" w:sz="4" w:space="0" w:color="auto"/>
            </w:tcBorders>
            <w:shd w:val="clear" w:color="auto" w:fill="FABF8F"/>
            <w:vAlign w:val="center"/>
          </w:tcPr>
          <w:p w:rsidR="00B27742" w:rsidRPr="003410C7" w:rsidRDefault="00014EAD" w:rsidP="004000C7">
            <w:pPr>
              <w:pStyle w:val="TableText"/>
              <w:widowControl w:val="0"/>
              <w:rPr>
                <w:rFonts w:ascii="Tahoma" w:hAnsi="Tahoma" w:cs="Tahoma"/>
                <w:color w:val="000000"/>
                <w:sz w:val="13"/>
              </w:rPr>
            </w:pPr>
            <w:r w:rsidRPr="003410C7">
              <w:rPr>
                <w:rFonts w:ascii="Tahoma" w:hAnsi="Tahoma" w:cs="Tahoma"/>
                <w:color w:val="000000"/>
                <w:sz w:val="13"/>
              </w:rPr>
              <w:t>10/12</w:t>
            </w:r>
          </w:p>
        </w:tc>
        <w:tc>
          <w:tcPr>
            <w:tcW w:w="429" w:type="dxa"/>
            <w:tcBorders>
              <w:bottom w:val="single" w:sz="4" w:space="0" w:color="auto"/>
              <w:right w:val="single" w:sz="18" w:space="0" w:color="auto"/>
            </w:tcBorders>
            <w:shd w:val="clear" w:color="auto" w:fill="FABF8F"/>
            <w:vAlign w:val="center"/>
          </w:tcPr>
          <w:p w:rsidR="00B27742" w:rsidRPr="003410C7" w:rsidRDefault="00B27742" w:rsidP="004B3534">
            <w:pPr>
              <w:pStyle w:val="TableText"/>
              <w:widowControl w:val="0"/>
              <w:rPr>
                <w:rFonts w:ascii="Tahoma" w:hAnsi="Tahoma" w:cs="Tahoma"/>
                <w:color w:val="000000"/>
                <w:sz w:val="13"/>
              </w:rPr>
            </w:pPr>
            <w:r w:rsidRPr="003410C7">
              <w:rPr>
                <w:rFonts w:ascii="Tahoma" w:hAnsi="Tahoma" w:cs="Tahoma"/>
                <w:color w:val="000000"/>
                <w:sz w:val="13"/>
              </w:rPr>
              <w:t>DT</w:t>
            </w:r>
          </w:p>
        </w:tc>
        <w:tc>
          <w:tcPr>
            <w:tcW w:w="429" w:type="dxa"/>
            <w:tcBorders>
              <w:left w:val="single" w:sz="18" w:space="0" w:color="auto"/>
              <w:bottom w:val="single" w:sz="4" w:space="0" w:color="auto"/>
            </w:tcBorders>
            <w:shd w:val="clear" w:color="auto" w:fill="FABF8F"/>
            <w:vAlign w:val="center"/>
          </w:tcPr>
          <w:p w:rsidR="00B27742" w:rsidRPr="003410C7" w:rsidRDefault="00B27742" w:rsidP="004B3534">
            <w:pPr>
              <w:pStyle w:val="TableText"/>
              <w:widowControl w:val="0"/>
              <w:rPr>
                <w:rFonts w:ascii="Tahoma" w:hAnsi="Tahoma" w:cs="Tahoma"/>
                <w:sz w:val="13"/>
              </w:rPr>
            </w:pPr>
            <w:r w:rsidRPr="003410C7">
              <w:rPr>
                <w:rFonts w:ascii="Tahoma" w:hAnsi="Tahoma" w:cs="Tahoma"/>
                <w:sz w:val="13"/>
              </w:rPr>
              <w:t>1</w:t>
            </w:r>
          </w:p>
        </w:tc>
        <w:tc>
          <w:tcPr>
            <w:tcW w:w="429" w:type="dxa"/>
            <w:tcBorders>
              <w:bottom w:val="single" w:sz="4" w:space="0" w:color="auto"/>
            </w:tcBorders>
            <w:shd w:val="clear" w:color="auto" w:fill="FABF8F"/>
            <w:vAlign w:val="center"/>
          </w:tcPr>
          <w:p w:rsidR="00B27742" w:rsidRPr="003410C7" w:rsidRDefault="00B27742" w:rsidP="004B3534">
            <w:pPr>
              <w:pStyle w:val="TableText"/>
              <w:widowControl w:val="0"/>
              <w:rPr>
                <w:rFonts w:ascii="Tahoma" w:hAnsi="Tahoma" w:cs="Tahoma"/>
                <w:sz w:val="13"/>
              </w:rPr>
            </w:pPr>
            <w:r w:rsidRPr="003410C7">
              <w:rPr>
                <w:rFonts w:ascii="Tahoma" w:hAnsi="Tahoma" w:cs="Tahoma"/>
                <w:sz w:val="13"/>
              </w:rPr>
              <w:t>3</w:t>
            </w:r>
          </w:p>
        </w:tc>
        <w:tc>
          <w:tcPr>
            <w:tcW w:w="429" w:type="dxa"/>
            <w:tcBorders>
              <w:bottom w:val="single" w:sz="4" w:space="0" w:color="auto"/>
            </w:tcBorders>
            <w:shd w:val="clear" w:color="auto" w:fill="FABF8F"/>
            <w:vAlign w:val="center"/>
          </w:tcPr>
          <w:p w:rsidR="00B27742" w:rsidRPr="003410C7" w:rsidRDefault="00B27742" w:rsidP="004B3534">
            <w:pPr>
              <w:pStyle w:val="TableText"/>
              <w:widowControl w:val="0"/>
              <w:rPr>
                <w:rFonts w:ascii="Tahoma" w:hAnsi="Tahoma" w:cs="Tahoma"/>
                <w:sz w:val="13"/>
              </w:rPr>
            </w:pPr>
            <w:r w:rsidRPr="003410C7">
              <w:rPr>
                <w:rFonts w:ascii="Tahoma" w:hAnsi="Tahoma" w:cs="Tahoma"/>
                <w:sz w:val="13"/>
              </w:rPr>
              <w:t>2</w:t>
            </w:r>
          </w:p>
        </w:tc>
        <w:tc>
          <w:tcPr>
            <w:tcW w:w="429" w:type="dxa"/>
            <w:tcBorders>
              <w:bottom w:val="single" w:sz="4" w:space="0" w:color="auto"/>
            </w:tcBorders>
            <w:shd w:val="clear" w:color="auto" w:fill="FABF8F"/>
            <w:vAlign w:val="center"/>
          </w:tcPr>
          <w:p w:rsidR="00B27742" w:rsidRPr="003410C7" w:rsidRDefault="00B27742" w:rsidP="004B3534">
            <w:pPr>
              <w:pStyle w:val="TableText"/>
              <w:widowControl w:val="0"/>
              <w:rPr>
                <w:rFonts w:ascii="Tahoma" w:hAnsi="Tahoma" w:cs="Tahoma"/>
                <w:sz w:val="13"/>
              </w:rPr>
            </w:pPr>
            <w:r w:rsidRPr="003410C7">
              <w:rPr>
                <w:rFonts w:ascii="Tahoma" w:hAnsi="Tahoma" w:cs="Tahoma"/>
                <w:sz w:val="13"/>
              </w:rPr>
              <w:t>2</w:t>
            </w:r>
          </w:p>
        </w:tc>
        <w:tc>
          <w:tcPr>
            <w:tcW w:w="429" w:type="dxa"/>
            <w:tcBorders>
              <w:bottom w:val="single" w:sz="4" w:space="0" w:color="auto"/>
            </w:tcBorders>
            <w:shd w:val="clear" w:color="auto" w:fill="FABF8F"/>
            <w:vAlign w:val="center"/>
          </w:tcPr>
          <w:p w:rsidR="00B27742" w:rsidRPr="003410C7" w:rsidRDefault="00B27742" w:rsidP="004B3534">
            <w:pPr>
              <w:pStyle w:val="TableText"/>
              <w:widowControl w:val="0"/>
              <w:rPr>
                <w:rFonts w:ascii="Tahoma" w:hAnsi="Tahoma" w:cs="Tahoma"/>
                <w:sz w:val="13"/>
              </w:rPr>
            </w:pPr>
            <w:r w:rsidRPr="003410C7">
              <w:rPr>
                <w:rFonts w:ascii="Tahoma" w:hAnsi="Tahoma" w:cs="Tahoma"/>
                <w:sz w:val="13"/>
              </w:rPr>
              <w:t>2</w:t>
            </w:r>
          </w:p>
        </w:tc>
        <w:tc>
          <w:tcPr>
            <w:tcW w:w="429" w:type="dxa"/>
            <w:tcBorders>
              <w:bottom w:val="single" w:sz="4" w:space="0" w:color="auto"/>
            </w:tcBorders>
            <w:shd w:val="clear" w:color="auto" w:fill="FABF8F"/>
            <w:vAlign w:val="center"/>
          </w:tcPr>
          <w:p w:rsidR="00B27742" w:rsidRPr="003410C7" w:rsidRDefault="00B27742" w:rsidP="004B3534">
            <w:pPr>
              <w:pStyle w:val="TableText"/>
              <w:widowControl w:val="0"/>
              <w:rPr>
                <w:rFonts w:ascii="Tahoma" w:hAnsi="Tahoma" w:cs="Tahoma"/>
                <w:sz w:val="13"/>
              </w:rPr>
            </w:pPr>
            <w:r w:rsidRPr="003410C7">
              <w:rPr>
                <w:rFonts w:ascii="Tahoma" w:hAnsi="Tahoma" w:cs="Tahoma"/>
                <w:sz w:val="13"/>
              </w:rPr>
              <w:t>1</w:t>
            </w:r>
          </w:p>
        </w:tc>
        <w:tc>
          <w:tcPr>
            <w:tcW w:w="429" w:type="dxa"/>
            <w:tcBorders>
              <w:bottom w:val="single" w:sz="4" w:space="0" w:color="auto"/>
              <w:right w:val="single" w:sz="18" w:space="0" w:color="auto"/>
            </w:tcBorders>
            <w:shd w:val="clear" w:color="auto" w:fill="FABF8F"/>
            <w:vAlign w:val="center"/>
          </w:tcPr>
          <w:p w:rsidR="00B27742" w:rsidRPr="003410C7" w:rsidRDefault="00B27742" w:rsidP="004B3534">
            <w:pPr>
              <w:pStyle w:val="TableText"/>
              <w:widowControl w:val="0"/>
              <w:rPr>
                <w:rFonts w:ascii="Tahoma" w:hAnsi="Tahoma" w:cs="Tahoma"/>
                <w:sz w:val="13"/>
              </w:rPr>
            </w:pPr>
            <w:r w:rsidRPr="003410C7">
              <w:rPr>
                <w:rFonts w:ascii="Tahoma" w:hAnsi="Tahoma" w:cs="Tahoma"/>
                <w:sz w:val="13"/>
              </w:rPr>
              <w:t>1</w:t>
            </w:r>
          </w:p>
        </w:tc>
        <w:tc>
          <w:tcPr>
            <w:tcW w:w="429" w:type="dxa"/>
            <w:tcBorders>
              <w:left w:val="single" w:sz="18" w:space="0" w:color="auto"/>
              <w:bottom w:val="single" w:sz="4" w:space="0" w:color="auto"/>
            </w:tcBorders>
            <w:shd w:val="clear" w:color="auto" w:fill="FABF8F"/>
            <w:vAlign w:val="center"/>
          </w:tcPr>
          <w:p w:rsidR="00B27742" w:rsidRPr="003410C7" w:rsidRDefault="00B27742" w:rsidP="004B3534">
            <w:pPr>
              <w:pStyle w:val="TableText"/>
              <w:widowControl w:val="0"/>
              <w:rPr>
                <w:rFonts w:ascii="Tahoma" w:hAnsi="Tahoma" w:cs="Tahoma"/>
                <w:sz w:val="13"/>
              </w:rPr>
            </w:pPr>
            <w:r w:rsidRPr="003410C7">
              <w:rPr>
                <w:rFonts w:ascii="Tahoma" w:hAnsi="Tahoma" w:cs="Tahoma"/>
                <w:sz w:val="13"/>
              </w:rPr>
              <w:t>1</w:t>
            </w:r>
          </w:p>
        </w:tc>
        <w:tc>
          <w:tcPr>
            <w:tcW w:w="429" w:type="dxa"/>
            <w:tcBorders>
              <w:bottom w:val="single" w:sz="4" w:space="0" w:color="auto"/>
            </w:tcBorders>
            <w:shd w:val="clear" w:color="auto" w:fill="FABF8F"/>
            <w:vAlign w:val="center"/>
          </w:tcPr>
          <w:p w:rsidR="00B27742" w:rsidRPr="003410C7" w:rsidRDefault="00B27742" w:rsidP="004B3534">
            <w:pPr>
              <w:pStyle w:val="TableText"/>
              <w:widowControl w:val="0"/>
              <w:rPr>
                <w:rFonts w:ascii="Tahoma" w:hAnsi="Tahoma" w:cs="Tahoma"/>
                <w:sz w:val="13"/>
              </w:rPr>
            </w:pPr>
            <w:r w:rsidRPr="003410C7">
              <w:rPr>
                <w:rFonts w:ascii="Tahoma" w:hAnsi="Tahoma" w:cs="Tahoma"/>
                <w:sz w:val="13"/>
              </w:rPr>
              <w:t>2</w:t>
            </w:r>
          </w:p>
        </w:tc>
        <w:tc>
          <w:tcPr>
            <w:tcW w:w="442" w:type="dxa"/>
            <w:tcBorders>
              <w:bottom w:val="single" w:sz="4" w:space="0" w:color="auto"/>
              <w:right w:val="single" w:sz="18" w:space="0" w:color="auto"/>
            </w:tcBorders>
            <w:shd w:val="clear" w:color="auto" w:fill="FABF8F"/>
            <w:vAlign w:val="center"/>
          </w:tcPr>
          <w:p w:rsidR="00B27742" w:rsidRPr="003410C7" w:rsidRDefault="00B27742" w:rsidP="004B3534">
            <w:pPr>
              <w:pStyle w:val="TableText"/>
              <w:widowControl w:val="0"/>
              <w:rPr>
                <w:rFonts w:ascii="Tahoma" w:hAnsi="Tahoma" w:cs="Tahoma"/>
                <w:sz w:val="13"/>
              </w:rPr>
            </w:pPr>
            <w:r w:rsidRPr="003410C7">
              <w:rPr>
                <w:rFonts w:ascii="Tahoma" w:hAnsi="Tahoma" w:cs="Tahoma"/>
                <w:sz w:val="13"/>
              </w:rPr>
              <w:t>1</w:t>
            </w:r>
          </w:p>
        </w:tc>
        <w:tc>
          <w:tcPr>
            <w:tcW w:w="495" w:type="dxa"/>
            <w:tcBorders>
              <w:left w:val="single" w:sz="18" w:space="0" w:color="auto"/>
              <w:bottom w:val="single" w:sz="4" w:space="0" w:color="auto"/>
            </w:tcBorders>
            <w:shd w:val="clear" w:color="auto" w:fill="FABF8F"/>
            <w:vAlign w:val="center"/>
          </w:tcPr>
          <w:p w:rsidR="00B27742" w:rsidRPr="003410C7" w:rsidRDefault="00B27742" w:rsidP="004B3534">
            <w:pPr>
              <w:pStyle w:val="TableText"/>
              <w:widowControl w:val="0"/>
              <w:rPr>
                <w:rFonts w:ascii="Tahoma" w:hAnsi="Tahoma" w:cs="Tahoma"/>
                <w:sz w:val="13"/>
              </w:rPr>
            </w:pPr>
          </w:p>
        </w:tc>
        <w:tc>
          <w:tcPr>
            <w:tcW w:w="459" w:type="dxa"/>
            <w:tcBorders>
              <w:bottom w:val="single" w:sz="4" w:space="0" w:color="auto"/>
              <w:right w:val="single" w:sz="18" w:space="0" w:color="auto"/>
            </w:tcBorders>
            <w:shd w:val="clear" w:color="auto" w:fill="FABF8F"/>
            <w:vAlign w:val="center"/>
          </w:tcPr>
          <w:p w:rsidR="00B27742" w:rsidRPr="003410C7" w:rsidRDefault="00B27742" w:rsidP="004B3534">
            <w:pPr>
              <w:pStyle w:val="TableText"/>
              <w:widowControl w:val="0"/>
              <w:rPr>
                <w:rFonts w:ascii="Tahoma" w:hAnsi="Tahoma" w:cs="Tahoma"/>
                <w:sz w:val="13"/>
              </w:rPr>
            </w:pPr>
          </w:p>
        </w:tc>
        <w:tc>
          <w:tcPr>
            <w:tcW w:w="360" w:type="dxa"/>
            <w:tcBorders>
              <w:left w:val="single" w:sz="18" w:space="0" w:color="auto"/>
              <w:bottom w:val="single" w:sz="4" w:space="0" w:color="auto"/>
              <w:right w:val="single" w:sz="18" w:space="0" w:color="auto"/>
            </w:tcBorders>
            <w:shd w:val="clear" w:color="auto" w:fill="FABF8F"/>
            <w:vAlign w:val="center"/>
          </w:tcPr>
          <w:p w:rsidR="00B27742" w:rsidRPr="003410C7" w:rsidRDefault="00B27742" w:rsidP="004B3534">
            <w:pPr>
              <w:pStyle w:val="TableText"/>
              <w:widowControl w:val="0"/>
              <w:rPr>
                <w:rFonts w:ascii="Tahoma" w:hAnsi="Tahoma" w:cs="Tahoma"/>
                <w:sz w:val="13"/>
              </w:rPr>
            </w:pPr>
            <w:r w:rsidRPr="003410C7">
              <w:rPr>
                <w:rFonts w:ascii="Tahoma" w:hAnsi="Tahoma" w:cs="Tahoma"/>
                <w:sz w:val="13"/>
              </w:rPr>
              <w:t>P</w:t>
            </w:r>
          </w:p>
        </w:tc>
        <w:tc>
          <w:tcPr>
            <w:tcW w:w="474" w:type="dxa"/>
            <w:tcBorders>
              <w:bottom w:val="single" w:sz="4" w:space="0" w:color="auto"/>
            </w:tcBorders>
            <w:shd w:val="clear" w:color="auto" w:fill="FABF8F"/>
            <w:vAlign w:val="center"/>
          </w:tcPr>
          <w:p w:rsidR="00B27742" w:rsidRPr="003410C7" w:rsidRDefault="00B27742" w:rsidP="00080B33">
            <w:pPr>
              <w:pStyle w:val="TableText"/>
              <w:widowControl w:val="0"/>
              <w:rPr>
                <w:rFonts w:ascii="Tahoma" w:hAnsi="Tahoma" w:cs="Tahoma"/>
                <w:sz w:val="13"/>
              </w:rPr>
            </w:pPr>
          </w:p>
        </w:tc>
        <w:tc>
          <w:tcPr>
            <w:tcW w:w="514" w:type="dxa"/>
            <w:tcBorders>
              <w:bottom w:val="single" w:sz="4" w:space="0" w:color="auto"/>
            </w:tcBorders>
            <w:shd w:val="clear" w:color="auto" w:fill="FABF8F"/>
            <w:vAlign w:val="center"/>
          </w:tcPr>
          <w:p w:rsidR="00B27742" w:rsidRPr="003410C7" w:rsidRDefault="00B27742" w:rsidP="004B3534">
            <w:pPr>
              <w:pStyle w:val="TableText"/>
              <w:widowControl w:val="0"/>
              <w:rPr>
                <w:rFonts w:ascii="Tahoma" w:hAnsi="Tahoma" w:cs="Tahoma"/>
                <w:sz w:val="13"/>
              </w:rPr>
            </w:pPr>
          </w:p>
        </w:tc>
      </w:tr>
      <w:tr w:rsidR="00B33D0E" w:rsidRPr="003410C7" w:rsidTr="002A074D">
        <w:trPr>
          <w:cantSplit/>
          <w:trHeight w:val="278"/>
        </w:trPr>
        <w:tc>
          <w:tcPr>
            <w:tcW w:w="2638" w:type="dxa"/>
            <w:tcBorders>
              <w:bottom w:val="single" w:sz="4" w:space="0" w:color="auto"/>
            </w:tcBorders>
            <w:shd w:val="clear" w:color="auto" w:fill="auto"/>
            <w:vAlign w:val="center"/>
          </w:tcPr>
          <w:p w:rsidR="00B27742" w:rsidRPr="003410C7" w:rsidRDefault="00B27742" w:rsidP="003410C7">
            <w:pPr>
              <w:pStyle w:val="ProductNames"/>
              <w:spacing w:beforeLines="20" w:before="48" w:afterLines="20" w:after="48"/>
              <w:rPr>
                <w:rFonts w:ascii="Tahoma" w:hAnsi="Tahoma" w:cs="Tahoma"/>
                <w:sz w:val="14"/>
              </w:rPr>
            </w:pPr>
            <w:bookmarkStart w:id="22" w:name="_Toc336337847"/>
            <w:bookmarkStart w:id="23" w:name="_Toc352234450"/>
            <w:r w:rsidRPr="003410C7">
              <w:rPr>
                <w:rFonts w:ascii="Tahoma" w:hAnsi="Tahoma" w:cs="Tahoma"/>
                <w:sz w:val="14"/>
              </w:rPr>
              <w:t>Excel per Mac 2011</w:t>
            </w:r>
            <w:bookmarkEnd w:id="22"/>
            <w:bookmarkEnd w:id="23"/>
          </w:p>
        </w:tc>
        <w:tc>
          <w:tcPr>
            <w:tcW w:w="429" w:type="dxa"/>
            <w:tcBorders>
              <w:bottom w:val="single" w:sz="4" w:space="0" w:color="auto"/>
            </w:tcBorders>
            <w:shd w:val="clear" w:color="auto" w:fill="auto"/>
            <w:vAlign w:val="center"/>
          </w:tcPr>
          <w:p w:rsidR="00B27742" w:rsidRPr="009F17FF" w:rsidRDefault="00B27742">
            <w:pPr>
              <w:pStyle w:val="TableText"/>
              <w:widowControl w:val="0"/>
              <w:rPr>
                <w:rStyle w:val="EndnoteReference"/>
                <w:rFonts w:cs="Tahoma"/>
                <w:color w:val="0000FF"/>
                <w:sz w:val="13"/>
                <w:szCs w:val="13"/>
                <w:u w:val="single"/>
              </w:rPr>
            </w:pPr>
          </w:p>
        </w:tc>
        <w:tc>
          <w:tcPr>
            <w:tcW w:w="429" w:type="dxa"/>
            <w:tcBorders>
              <w:bottom w:val="single" w:sz="4" w:space="0" w:color="auto"/>
            </w:tcBorders>
            <w:shd w:val="clear" w:color="auto" w:fill="auto"/>
            <w:vAlign w:val="center"/>
          </w:tcPr>
          <w:p w:rsidR="00B27742" w:rsidRPr="003410C7" w:rsidRDefault="00B27742" w:rsidP="004000C7">
            <w:pPr>
              <w:pStyle w:val="TableText"/>
              <w:widowControl w:val="0"/>
              <w:rPr>
                <w:rFonts w:ascii="Tahoma" w:hAnsi="Tahoma" w:cs="Tahoma"/>
                <w:color w:val="000000"/>
                <w:sz w:val="13"/>
              </w:rPr>
            </w:pPr>
            <w:r w:rsidRPr="003410C7">
              <w:rPr>
                <w:rFonts w:ascii="Tahoma" w:hAnsi="Tahoma" w:cs="Tahoma"/>
                <w:color w:val="000000"/>
                <w:sz w:val="13"/>
              </w:rPr>
              <w:t>09/10</w:t>
            </w:r>
          </w:p>
        </w:tc>
        <w:tc>
          <w:tcPr>
            <w:tcW w:w="429" w:type="dxa"/>
            <w:tcBorders>
              <w:bottom w:val="single" w:sz="4" w:space="0" w:color="auto"/>
              <w:right w:val="single" w:sz="18" w:space="0" w:color="auto"/>
            </w:tcBorders>
            <w:shd w:val="clear" w:color="auto" w:fill="auto"/>
            <w:vAlign w:val="center"/>
          </w:tcPr>
          <w:p w:rsidR="00B27742" w:rsidRPr="003410C7" w:rsidRDefault="00B27742" w:rsidP="004B3534">
            <w:pPr>
              <w:pStyle w:val="TableText"/>
              <w:widowControl w:val="0"/>
              <w:rPr>
                <w:rFonts w:ascii="Tahoma" w:hAnsi="Tahoma" w:cs="Tahoma"/>
                <w:color w:val="000000"/>
                <w:sz w:val="13"/>
              </w:rPr>
            </w:pPr>
            <w:r w:rsidRPr="003410C7">
              <w:rPr>
                <w:rFonts w:ascii="Tahoma" w:hAnsi="Tahoma" w:cs="Tahoma"/>
                <w:color w:val="000000"/>
                <w:sz w:val="13"/>
              </w:rPr>
              <w:t>DT</w:t>
            </w:r>
          </w:p>
        </w:tc>
        <w:tc>
          <w:tcPr>
            <w:tcW w:w="429" w:type="dxa"/>
            <w:tcBorders>
              <w:left w:val="single" w:sz="18" w:space="0" w:color="auto"/>
              <w:bottom w:val="single" w:sz="4" w:space="0" w:color="auto"/>
            </w:tcBorders>
            <w:shd w:val="clear" w:color="auto" w:fill="auto"/>
            <w:vAlign w:val="center"/>
          </w:tcPr>
          <w:p w:rsidR="00B27742" w:rsidRPr="003410C7" w:rsidRDefault="00B27742" w:rsidP="004B3534">
            <w:pPr>
              <w:pStyle w:val="TableText"/>
              <w:widowControl w:val="0"/>
              <w:rPr>
                <w:rFonts w:ascii="Tahoma" w:hAnsi="Tahoma" w:cs="Tahoma"/>
                <w:sz w:val="13"/>
              </w:rPr>
            </w:pPr>
            <w:r w:rsidRPr="003410C7">
              <w:rPr>
                <w:rFonts w:ascii="Tahoma" w:hAnsi="Tahoma" w:cs="Tahoma"/>
                <w:sz w:val="13"/>
              </w:rPr>
              <w:t>1</w:t>
            </w:r>
          </w:p>
        </w:tc>
        <w:tc>
          <w:tcPr>
            <w:tcW w:w="429" w:type="dxa"/>
            <w:tcBorders>
              <w:bottom w:val="single" w:sz="4" w:space="0" w:color="auto"/>
            </w:tcBorders>
            <w:shd w:val="clear" w:color="auto" w:fill="auto"/>
            <w:vAlign w:val="center"/>
          </w:tcPr>
          <w:p w:rsidR="00B27742" w:rsidRPr="003410C7" w:rsidRDefault="00B27742" w:rsidP="004B3534">
            <w:pPr>
              <w:pStyle w:val="TableText"/>
              <w:widowControl w:val="0"/>
              <w:rPr>
                <w:rFonts w:ascii="Tahoma" w:hAnsi="Tahoma" w:cs="Tahoma"/>
                <w:sz w:val="13"/>
              </w:rPr>
            </w:pPr>
            <w:r w:rsidRPr="003410C7">
              <w:rPr>
                <w:rFonts w:ascii="Tahoma" w:hAnsi="Tahoma" w:cs="Tahoma"/>
                <w:sz w:val="13"/>
              </w:rPr>
              <w:t>3</w:t>
            </w:r>
          </w:p>
        </w:tc>
        <w:tc>
          <w:tcPr>
            <w:tcW w:w="429" w:type="dxa"/>
            <w:tcBorders>
              <w:bottom w:val="single" w:sz="4" w:space="0" w:color="auto"/>
            </w:tcBorders>
            <w:shd w:val="clear" w:color="auto" w:fill="auto"/>
            <w:vAlign w:val="center"/>
          </w:tcPr>
          <w:p w:rsidR="00B27742" w:rsidRPr="003410C7" w:rsidRDefault="00B27742" w:rsidP="004B3534">
            <w:pPr>
              <w:pStyle w:val="TableText"/>
              <w:widowControl w:val="0"/>
              <w:rPr>
                <w:rFonts w:ascii="Tahoma" w:hAnsi="Tahoma" w:cs="Tahoma"/>
                <w:sz w:val="13"/>
              </w:rPr>
            </w:pPr>
            <w:r w:rsidRPr="003410C7">
              <w:rPr>
                <w:rFonts w:ascii="Tahoma" w:hAnsi="Tahoma" w:cs="Tahoma"/>
                <w:sz w:val="13"/>
              </w:rPr>
              <w:t>2</w:t>
            </w:r>
          </w:p>
        </w:tc>
        <w:tc>
          <w:tcPr>
            <w:tcW w:w="429" w:type="dxa"/>
            <w:tcBorders>
              <w:bottom w:val="single" w:sz="4" w:space="0" w:color="auto"/>
            </w:tcBorders>
            <w:shd w:val="clear" w:color="auto" w:fill="auto"/>
            <w:vAlign w:val="center"/>
          </w:tcPr>
          <w:p w:rsidR="00B27742" w:rsidRPr="003410C7" w:rsidRDefault="00B27742" w:rsidP="004B3534">
            <w:pPr>
              <w:pStyle w:val="TableText"/>
              <w:widowControl w:val="0"/>
              <w:rPr>
                <w:rFonts w:ascii="Tahoma" w:hAnsi="Tahoma" w:cs="Tahoma"/>
                <w:sz w:val="13"/>
              </w:rPr>
            </w:pPr>
            <w:r w:rsidRPr="003410C7">
              <w:rPr>
                <w:rFonts w:ascii="Tahoma" w:hAnsi="Tahoma" w:cs="Tahoma"/>
                <w:sz w:val="13"/>
              </w:rPr>
              <w:t>2</w:t>
            </w:r>
          </w:p>
        </w:tc>
        <w:tc>
          <w:tcPr>
            <w:tcW w:w="429" w:type="dxa"/>
            <w:tcBorders>
              <w:bottom w:val="single" w:sz="4" w:space="0" w:color="auto"/>
            </w:tcBorders>
            <w:shd w:val="clear" w:color="auto" w:fill="auto"/>
            <w:vAlign w:val="center"/>
          </w:tcPr>
          <w:p w:rsidR="00B27742" w:rsidRPr="003410C7" w:rsidRDefault="00B27742" w:rsidP="004B3534">
            <w:pPr>
              <w:pStyle w:val="TableText"/>
              <w:widowControl w:val="0"/>
              <w:rPr>
                <w:rFonts w:ascii="Tahoma" w:hAnsi="Tahoma" w:cs="Tahoma"/>
                <w:sz w:val="13"/>
              </w:rPr>
            </w:pPr>
            <w:r w:rsidRPr="003410C7">
              <w:rPr>
                <w:rFonts w:ascii="Tahoma" w:hAnsi="Tahoma" w:cs="Tahoma"/>
                <w:sz w:val="13"/>
              </w:rPr>
              <w:t>2</w:t>
            </w:r>
          </w:p>
        </w:tc>
        <w:tc>
          <w:tcPr>
            <w:tcW w:w="429" w:type="dxa"/>
            <w:tcBorders>
              <w:bottom w:val="single" w:sz="4" w:space="0" w:color="auto"/>
            </w:tcBorders>
            <w:shd w:val="clear" w:color="auto" w:fill="auto"/>
            <w:vAlign w:val="center"/>
          </w:tcPr>
          <w:p w:rsidR="00B27742" w:rsidRPr="003410C7" w:rsidRDefault="00B27742" w:rsidP="004B3534">
            <w:pPr>
              <w:pStyle w:val="TableText"/>
              <w:widowControl w:val="0"/>
              <w:rPr>
                <w:rFonts w:ascii="Tahoma" w:hAnsi="Tahoma" w:cs="Tahoma"/>
                <w:sz w:val="13"/>
              </w:rPr>
            </w:pPr>
            <w:r w:rsidRPr="003410C7">
              <w:rPr>
                <w:rFonts w:ascii="Tahoma" w:hAnsi="Tahoma" w:cs="Tahoma"/>
                <w:sz w:val="13"/>
              </w:rPr>
              <w:t>1</w:t>
            </w:r>
          </w:p>
        </w:tc>
        <w:tc>
          <w:tcPr>
            <w:tcW w:w="429" w:type="dxa"/>
            <w:tcBorders>
              <w:bottom w:val="single" w:sz="4" w:space="0" w:color="auto"/>
              <w:right w:val="single" w:sz="18" w:space="0" w:color="auto"/>
            </w:tcBorders>
            <w:shd w:val="clear" w:color="auto" w:fill="auto"/>
            <w:vAlign w:val="center"/>
          </w:tcPr>
          <w:p w:rsidR="00B27742" w:rsidRPr="003410C7" w:rsidRDefault="00B27742" w:rsidP="004B3534">
            <w:pPr>
              <w:pStyle w:val="TableText"/>
              <w:widowControl w:val="0"/>
              <w:rPr>
                <w:rFonts w:ascii="Tahoma" w:hAnsi="Tahoma" w:cs="Tahoma"/>
                <w:sz w:val="13"/>
              </w:rPr>
            </w:pPr>
            <w:r w:rsidRPr="003410C7">
              <w:rPr>
                <w:rFonts w:ascii="Tahoma" w:hAnsi="Tahoma" w:cs="Tahoma"/>
                <w:sz w:val="13"/>
              </w:rPr>
              <w:t>1</w:t>
            </w:r>
          </w:p>
        </w:tc>
        <w:tc>
          <w:tcPr>
            <w:tcW w:w="429" w:type="dxa"/>
            <w:tcBorders>
              <w:left w:val="single" w:sz="18" w:space="0" w:color="auto"/>
              <w:bottom w:val="single" w:sz="4" w:space="0" w:color="auto"/>
            </w:tcBorders>
            <w:shd w:val="clear" w:color="auto" w:fill="auto"/>
            <w:vAlign w:val="center"/>
          </w:tcPr>
          <w:p w:rsidR="00B27742" w:rsidRPr="003410C7" w:rsidRDefault="00B27742" w:rsidP="004B3534">
            <w:pPr>
              <w:pStyle w:val="TableText"/>
              <w:widowControl w:val="0"/>
              <w:rPr>
                <w:rFonts w:ascii="Tahoma" w:hAnsi="Tahoma" w:cs="Tahoma"/>
                <w:sz w:val="13"/>
              </w:rPr>
            </w:pPr>
            <w:r w:rsidRPr="003410C7">
              <w:rPr>
                <w:rFonts w:ascii="Tahoma" w:hAnsi="Tahoma" w:cs="Tahoma"/>
                <w:sz w:val="13"/>
              </w:rPr>
              <w:t>1</w:t>
            </w:r>
          </w:p>
        </w:tc>
        <w:tc>
          <w:tcPr>
            <w:tcW w:w="429" w:type="dxa"/>
            <w:tcBorders>
              <w:bottom w:val="single" w:sz="4" w:space="0" w:color="auto"/>
            </w:tcBorders>
            <w:shd w:val="clear" w:color="auto" w:fill="auto"/>
            <w:vAlign w:val="center"/>
          </w:tcPr>
          <w:p w:rsidR="00B27742" w:rsidRPr="003410C7" w:rsidRDefault="00B27742" w:rsidP="004B3534">
            <w:pPr>
              <w:pStyle w:val="TableText"/>
              <w:widowControl w:val="0"/>
              <w:rPr>
                <w:rFonts w:ascii="Tahoma" w:hAnsi="Tahoma" w:cs="Tahoma"/>
                <w:sz w:val="13"/>
              </w:rPr>
            </w:pPr>
            <w:r w:rsidRPr="003410C7">
              <w:rPr>
                <w:rFonts w:ascii="Tahoma" w:hAnsi="Tahoma" w:cs="Tahoma"/>
                <w:sz w:val="13"/>
              </w:rPr>
              <w:t>2</w:t>
            </w:r>
          </w:p>
        </w:tc>
        <w:tc>
          <w:tcPr>
            <w:tcW w:w="442" w:type="dxa"/>
            <w:tcBorders>
              <w:bottom w:val="single" w:sz="4" w:space="0" w:color="auto"/>
              <w:right w:val="single" w:sz="18" w:space="0" w:color="auto"/>
            </w:tcBorders>
            <w:shd w:val="clear" w:color="auto" w:fill="auto"/>
            <w:vAlign w:val="center"/>
          </w:tcPr>
          <w:p w:rsidR="00B27742" w:rsidRPr="003410C7" w:rsidRDefault="00B27742" w:rsidP="004B3534">
            <w:pPr>
              <w:pStyle w:val="TableText"/>
              <w:widowControl w:val="0"/>
              <w:rPr>
                <w:rFonts w:ascii="Tahoma" w:hAnsi="Tahoma" w:cs="Tahoma"/>
                <w:sz w:val="13"/>
              </w:rPr>
            </w:pPr>
            <w:r w:rsidRPr="003410C7">
              <w:rPr>
                <w:rFonts w:ascii="Tahoma" w:hAnsi="Tahoma" w:cs="Tahoma"/>
                <w:sz w:val="13"/>
              </w:rPr>
              <w:t>1</w:t>
            </w:r>
          </w:p>
        </w:tc>
        <w:tc>
          <w:tcPr>
            <w:tcW w:w="495" w:type="dxa"/>
            <w:tcBorders>
              <w:left w:val="single" w:sz="18" w:space="0" w:color="auto"/>
              <w:bottom w:val="single" w:sz="4" w:space="0" w:color="auto"/>
            </w:tcBorders>
            <w:shd w:val="clear" w:color="auto" w:fill="auto"/>
            <w:vAlign w:val="center"/>
          </w:tcPr>
          <w:p w:rsidR="00B27742" w:rsidRPr="003410C7" w:rsidRDefault="00B27742" w:rsidP="004B3534">
            <w:pPr>
              <w:pStyle w:val="TableText"/>
              <w:widowControl w:val="0"/>
              <w:rPr>
                <w:rFonts w:ascii="Tahoma" w:hAnsi="Tahoma" w:cs="Tahoma"/>
                <w:sz w:val="13"/>
              </w:rPr>
            </w:pPr>
          </w:p>
        </w:tc>
        <w:tc>
          <w:tcPr>
            <w:tcW w:w="459" w:type="dxa"/>
            <w:tcBorders>
              <w:bottom w:val="single" w:sz="4" w:space="0" w:color="auto"/>
              <w:right w:val="single" w:sz="18" w:space="0" w:color="auto"/>
            </w:tcBorders>
            <w:shd w:val="clear" w:color="auto" w:fill="auto"/>
            <w:vAlign w:val="center"/>
          </w:tcPr>
          <w:p w:rsidR="00B27742" w:rsidRPr="003410C7" w:rsidRDefault="00B27742" w:rsidP="004B3534">
            <w:pPr>
              <w:pStyle w:val="TableText"/>
              <w:widowControl w:val="0"/>
              <w:rPr>
                <w:rFonts w:ascii="Tahoma" w:hAnsi="Tahoma" w:cs="Tahoma"/>
                <w:sz w:val="13"/>
              </w:rPr>
            </w:pPr>
          </w:p>
        </w:tc>
        <w:tc>
          <w:tcPr>
            <w:tcW w:w="360" w:type="dxa"/>
            <w:tcBorders>
              <w:left w:val="single" w:sz="18" w:space="0" w:color="auto"/>
              <w:bottom w:val="single" w:sz="4" w:space="0" w:color="auto"/>
              <w:right w:val="single" w:sz="18" w:space="0" w:color="auto"/>
            </w:tcBorders>
            <w:shd w:val="clear" w:color="auto" w:fill="auto"/>
            <w:vAlign w:val="center"/>
          </w:tcPr>
          <w:p w:rsidR="00B27742" w:rsidRPr="003410C7" w:rsidRDefault="00B27742" w:rsidP="004B3534">
            <w:pPr>
              <w:pStyle w:val="TableText"/>
              <w:widowControl w:val="0"/>
              <w:rPr>
                <w:rFonts w:ascii="Tahoma" w:hAnsi="Tahoma" w:cs="Tahoma"/>
                <w:sz w:val="13"/>
              </w:rPr>
            </w:pPr>
            <w:r w:rsidRPr="003410C7">
              <w:rPr>
                <w:rFonts w:ascii="Tahoma" w:hAnsi="Tahoma" w:cs="Tahoma"/>
                <w:sz w:val="13"/>
              </w:rPr>
              <w:t>P</w:t>
            </w:r>
          </w:p>
        </w:tc>
        <w:tc>
          <w:tcPr>
            <w:tcW w:w="474" w:type="dxa"/>
            <w:tcBorders>
              <w:bottom w:val="single" w:sz="4" w:space="0" w:color="auto"/>
            </w:tcBorders>
            <w:shd w:val="clear" w:color="auto" w:fill="auto"/>
            <w:vAlign w:val="center"/>
          </w:tcPr>
          <w:p w:rsidR="00B27742" w:rsidRPr="003410C7" w:rsidRDefault="00B27742" w:rsidP="00080B33">
            <w:pPr>
              <w:pStyle w:val="TableText"/>
              <w:widowControl w:val="0"/>
              <w:rPr>
                <w:rFonts w:ascii="Tahoma" w:hAnsi="Tahoma" w:cs="Tahoma"/>
                <w:sz w:val="13"/>
              </w:rPr>
            </w:pPr>
          </w:p>
        </w:tc>
        <w:tc>
          <w:tcPr>
            <w:tcW w:w="514" w:type="dxa"/>
            <w:tcBorders>
              <w:bottom w:val="single" w:sz="4" w:space="0" w:color="auto"/>
            </w:tcBorders>
            <w:shd w:val="clear" w:color="auto" w:fill="auto"/>
            <w:vAlign w:val="center"/>
          </w:tcPr>
          <w:p w:rsidR="00B27742" w:rsidRPr="003410C7" w:rsidRDefault="00B27742" w:rsidP="004B3534">
            <w:pPr>
              <w:pStyle w:val="TableText"/>
              <w:widowControl w:val="0"/>
              <w:rPr>
                <w:rFonts w:ascii="Tahoma" w:hAnsi="Tahoma" w:cs="Tahoma"/>
                <w:sz w:val="13"/>
              </w:rPr>
            </w:pPr>
          </w:p>
        </w:tc>
      </w:tr>
      <w:tr w:rsidR="00EF228F" w:rsidRPr="003410C7" w:rsidTr="002A074D">
        <w:trPr>
          <w:cantSplit/>
          <w:trHeight w:val="287"/>
        </w:trPr>
        <w:tc>
          <w:tcPr>
            <w:tcW w:w="2638" w:type="dxa"/>
            <w:tcBorders>
              <w:bottom w:val="single" w:sz="4" w:space="0" w:color="auto"/>
            </w:tcBorders>
            <w:shd w:val="clear" w:color="auto" w:fill="FABF8F"/>
            <w:vAlign w:val="center"/>
          </w:tcPr>
          <w:p w:rsidR="00B27742" w:rsidRPr="003410C7" w:rsidRDefault="00B27742" w:rsidP="003410C7">
            <w:pPr>
              <w:pStyle w:val="Heading2"/>
              <w:spacing w:beforeLines="20" w:before="48" w:afterLines="20" w:after="48"/>
              <w:ind w:left="0"/>
              <w:rPr>
                <w:rFonts w:ascii="Tahoma" w:hAnsi="Tahoma" w:cs="Tahoma"/>
                <w:b w:val="0"/>
                <w:sz w:val="14"/>
              </w:rPr>
            </w:pPr>
            <w:bookmarkStart w:id="24" w:name="_Toc336337850"/>
            <w:bookmarkStart w:id="25" w:name="_Toc352234451"/>
            <w:r w:rsidRPr="003410C7">
              <w:rPr>
                <w:rFonts w:ascii="Tahoma" w:hAnsi="Tahoma" w:cs="Tahoma"/>
                <w:b w:val="0"/>
                <w:sz w:val="14"/>
              </w:rPr>
              <w:t>Expression Encoder Pro 4</w:t>
            </w:r>
            <w:bookmarkEnd w:id="24"/>
            <w:bookmarkEnd w:id="25"/>
          </w:p>
        </w:tc>
        <w:tc>
          <w:tcPr>
            <w:tcW w:w="429" w:type="dxa"/>
            <w:tcBorders>
              <w:bottom w:val="single" w:sz="4" w:space="0" w:color="auto"/>
            </w:tcBorders>
            <w:shd w:val="clear" w:color="auto" w:fill="FABF8F"/>
            <w:vAlign w:val="center"/>
          </w:tcPr>
          <w:p w:rsidR="00B27742" w:rsidRPr="009F17FF" w:rsidRDefault="00FC1A4D" w:rsidP="00F9515B">
            <w:pPr>
              <w:pStyle w:val="TableText"/>
              <w:widowControl w:val="0"/>
              <w:rPr>
                <w:rStyle w:val="EndnoteReference"/>
                <w:rFonts w:cs="Tahoma"/>
                <w:color w:val="0000FF"/>
                <w:sz w:val="13"/>
                <w:szCs w:val="13"/>
                <w:u w:val="single"/>
              </w:rPr>
            </w:pPr>
            <w:hyperlink w:anchor="_1_Expression_Encoder" w:history="1">
              <w:r w:rsidR="000D77F6" w:rsidRPr="009F17FF">
                <w:rPr>
                  <w:rStyle w:val="Hyperlink"/>
                  <w:sz w:val="13"/>
                  <w:szCs w:val="13"/>
                </w:rPr>
                <w:t>1</w:t>
              </w:r>
            </w:hyperlink>
          </w:p>
        </w:tc>
        <w:tc>
          <w:tcPr>
            <w:tcW w:w="429" w:type="dxa"/>
            <w:tcBorders>
              <w:bottom w:val="single" w:sz="4" w:space="0" w:color="auto"/>
            </w:tcBorders>
            <w:shd w:val="clear" w:color="auto" w:fill="FABF8F"/>
            <w:vAlign w:val="center"/>
          </w:tcPr>
          <w:p w:rsidR="00B27742" w:rsidRPr="003410C7" w:rsidRDefault="00913F3F" w:rsidP="004000C7">
            <w:pPr>
              <w:pStyle w:val="TableText"/>
              <w:widowControl w:val="0"/>
              <w:rPr>
                <w:rFonts w:ascii="Tahoma" w:hAnsi="Tahoma" w:cs="Tahoma"/>
                <w:sz w:val="13"/>
              </w:rPr>
            </w:pPr>
            <w:r w:rsidRPr="003410C7">
              <w:rPr>
                <w:rFonts w:ascii="Tahoma" w:hAnsi="Tahoma" w:cs="Tahoma"/>
                <w:sz w:val="13"/>
              </w:rPr>
              <w:t>07/10</w:t>
            </w:r>
          </w:p>
        </w:tc>
        <w:tc>
          <w:tcPr>
            <w:tcW w:w="429" w:type="dxa"/>
            <w:tcBorders>
              <w:bottom w:val="single" w:sz="4" w:space="0" w:color="auto"/>
              <w:right w:val="single" w:sz="18" w:space="0" w:color="auto"/>
            </w:tcBorders>
            <w:shd w:val="clear" w:color="auto" w:fill="FABF8F"/>
            <w:vAlign w:val="center"/>
          </w:tcPr>
          <w:p w:rsidR="00B27742" w:rsidRPr="003410C7" w:rsidRDefault="00B27742" w:rsidP="00F9515B">
            <w:pPr>
              <w:pStyle w:val="TableText"/>
              <w:widowControl w:val="0"/>
              <w:rPr>
                <w:rFonts w:ascii="Tahoma" w:hAnsi="Tahoma" w:cs="Tahoma"/>
                <w:sz w:val="13"/>
              </w:rPr>
            </w:pPr>
            <w:r w:rsidRPr="003410C7">
              <w:rPr>
                <w:rFonts w:ascii="Tahoma" w:hAnsi="Tahoma" w:cs="Tahoma"/>
                <w:sz w:val="13"/>
              </w:rPr>
              <w:t>DT</w:t>
            </w:r>
          </w:p>
        </w:tc>
        <w:tc>
          <w:tcPr>
            <w:tcW w:w="429" w:type="dxa"/>
            <w:tcBorders>
              <w:left w:val="single" w:sz="18" w:space="0" w:color="auto"/>
              <w:bottom w:val="single" w:sz="4" w:space="0" w:color="auto"/>
            </w:tcBorders>
            <w:shd w:val="clear" w:color="auto" w:fill="FABF8F"/>
            <w:vAlign w:val="center"/>
          </w:tcPr>
          <w:p w:rsidR="00B27742" w:rsidRPr="003410C7" w:rsidRDefault="00B27742" w:rsidP="00F9515B">
            <w:pPr>
              <w:pStyle w:val="TableText"/>
              <w:widowControl w:val="0"/>
              <w:rPr>
                <w:rFonts w:ascii="Tahoma" w:hAnsi="Tahoma" w:cs="Tahoma"/>
                <w:sz w:val="13"/>
              </w:rPr>
            </w:pPr>
            <w:r w:rsidRPr="003410C7">
              <w:rPr>
                <w:rFonts w:ascii="Tahoma" w:hAnsi="Tahoma" w:cs="Tahoma"/>
                <w:sz w:val="13"/>
              </w:rPr>
              <w:t>1</w:t>
            </w:r>
          </w:p>
        </w:tc>
        <w:tc>
          <w:tcPr>
            <w:tcW w:w="429" w:type="dxa"/>
            <w:tcBorders>
              <w:bottom w:val="single" w:sz="4" w:space="0" w:color="auto"/>
            </w:tcBorders>
            <w:shd w:val="clear" w:color="auto" w:fill="FABF8F"/>
            <w:vAlign w:val="center"/>
          </w:tcPr>
          <w:p w:rsidR="00B27742" w:rsidRPr="003410C7" w:rsidRDefault="00B27742" w:rsidP="00F9515B">
            <w:pPr>
              <w:pStyle w:val="TableText"/>
              <w:widowControl w:val="0"/>
              <w:rPr>
                <w:rFonts w:ascii="Tahoma" w:hAnsi="Tahoma" w:cs="Tahoma"/>
                <w:sz w:val="13"/>
              </w:rPr>
            </w:pPr>
            <w:r w:rsidRPr="003410C7">
              <w:rPr>
                <w:rFonts w:ascii="Tahoma" w:hAnsi="Tahoma" w:cs="Tahoma"/>
                <w:sz w:val="13"/>
              </w:rPr>
              <w:t>3</w:t>
            </w:r>
          </w:p>
        </w:tc>
        <w:tc>
          <w:tcPr>
            <w:tcW w:w="429" w:type="dxa"/>
            <w:tcBorders>
              <w:bottom w:val="single" w:sz="4" w:space="0" w:color="auto"/>
            </w:tcBorders>
            <w:shd w:val="clear" w:color="auto" w:fill="FABF8F"/>
            <w:vAlign w:val="center"/>
          </w:tcPr>
          <w:p w:rsidR="00B27742" w:rsidRPr="003410C7" w:rsidRDefault="00B27742" w:rsidP="00F9515B">
            <w:pPr>
              <w:pStyle w:val="TableText"/>
              <w:widowControl w:val="0"/>
              <w:rPr>
                <w:rFonts w:ascii="Tahoma" w:hAnsi="Tahoma" w:cs="Tahoma"/>
                <w:sz w:val="13"/>
              </w:rPr>
            </w:pPr>
            <w:r w:rsidRPr="003410C7">
              <w:rPr>
                <w:rFonts w:ascii="Tahoma" w:hAnsi="Tahoma" w:cs="Tahoma"/>
                <w:sz w:val="13"/>
              </w:rPr>
              <w:t>2</w:t>
            </w:r>
          </w:p>
        </w:tc>
        <w:tc>
          <w:tcPr>
            <w:tcW w:w="429" w:type="dxa"/>
            <w:tcBorders>
              <w:bottom w:val="single" w:sz="4" w:space="0" w:color="auto"/>
            </w:tcBorders>
            <w:shd w:val="clear" w:color="auto" w:fill="FABF8F"/>
            <w:vAlign w:val="center"/>
          </w:tcPr>
          <w:p w:rsidR="00B27742" w:rsidRPr="003410C7" w:rsidRDefault="00B27742" w:rsidP="00F9515B">
            <w:pPr>
              <w:pStyle w:val="TableText"/>
              <w:widowControl w:val="0"/>
              <w:rPr>
                <w:rFonts w:ascii="Tahoma" w:hAnsi="Tahoma" w:cs="Tahoma"/>
                <w:sz w:val="13"/>
              </w:rPr>
            </w:pPr>
            <w:r w:rsidRPr="003410C7">
              <w:rPr>
                <w:rFonts w:ascii="Tahoma" w:hAnsi="Tahoma" w:cs="Tahoma"/>
                <w:sz w:val="13"/>
              </w:rPr>
              <w:t>2</w:t>
            </w:r>
          </w:p>
        </w:tc>
        <w:tc>
          <w:tcPr>
            <w:tcW w:w="429" w:type="dxa"/>
            <w:tcBorders>
              <w:bottom w:val="single" w:sz="4" w:space="0" w:color="auto"/>
            </w:tcBorders>
            <w:shd w:val="clear" w:color="auto" w:fill="FABF8F"/>
            <w:vAlign w:val="center"/>
          </w:tcPr>
          <w:p w:rsidR="00B27742" w:rsidRPr="003410C7" w:rsidRDefault="00B27742" w:rsidP="00F9515B">
            <w:pPr>
              <w:pStyle w:val="TableText"/>
              <w:widowControl w:val="0"/>
              <w:rPr>
                <w:rFonts w:ascii="Tahoma" w:hAnsi="Tahoma" w:cs="Tahoma"/>
                <w:sz w:val="13"/>
              </w:rPr>
            </w:pPr>
            <w:r w:rsidRPr="003410C7">
              <w:rPr>
                <w:rFonts w:ascii="Tahoma" w:hAnsi="Tahoma" w:cs="Tahoma"/>
                <w:sz w:val="13"/>
              </w:rPr>
              <w:t>2</w:t>
            </w:r>
          </w:p>
        </w:tc>
        <w:tc>
          <w:tcPr>
            <w:tcW w:w="429" w:type="dxa"/>
            <w:tcBorders>
              <w:bottom w:val="single" w:sz="4" w:space="0" w:color="auto"/>
            </w:tcBorders>
            <w:shd w:val="clear" w:color="auto" w:fill="FABF8F"/>
            <w:vAlign w:val="center"/>
          </w:tcPr>
          <w:p w:rsidR="00B27742" w:rsidRPr="003410C7" w:rsidRDefault="00B27742" w:rsidP="00F9515B">
            <w:pPr>
              <w:pStyle w:val="TableText"/>
              <w:widowControl w:val="0"/>
              <w:rPr>
                <w:rFonts w:ascii="Tahoma" w:hAnsi="Tahoma" w:cs="Tahoma"/>
                <w:sz w:val="13"/>
              </w:rPr>
            </w:pPr>
            <w:r w:rsidRPr="003410C7">
              <w:rPr>
                <w:rFonts w:ascii="Tahoma" w:hAnsi="Tahoma" w:cs="Tahoma"/>
                <w:sz w:val="13"/>
              </w:rPr>
              <w:t>1</w:t>
            </w:r>
          </w:p>
        </w:tc>
        <w:tc>
          <w:tcPr>
            <w:tcW w:w="429" w:type="dxa"/>
            <w:tcBorders>
              <w:bottom w:val="single" w:sz="4" w:space="0" w:color="auto"/>
              <w:right w:val="single" w:sz="18" w:space="0" w:color="auto"/>
            </w:tcBorders>
            <w:shd w:val="clear" w:color="auto" w:fill="FABF8F"/>
            <w:vAlign w:val="center"/>
          </w:tcPr>
          <w:p w:rsidR="00B27742" w:rsidRPr="003410C7" w:rsidRDefault="00B27742" w:rsidP="00F9515B">
            <w:pPr>
              <w:pStyle w:val="TableText"/>
              <w:widowControl w:val="0"/>
              <w:rPr>
                <w:rFonts w:ascii="Tahoma" w:hAnsi="Tahoma" w:cs="Tahoma"/>
                <w:sz w:val="13"/>
              </w:rPr>
            </w:pPr>
            <w:r w:rsidRPr="003410C7">
              <w:rPr>
                <w:rFonts w:ascii="Tahoma" w:hAnsi="Tahoma" w:cs="Tahoma"/>
                <w:sz w:val="13"/>
              </w:rPr>
              <w:t>1</w:t>
            </w:r>
          </w:p>
        </w:tc>
        <w:tc>
          <w:tcPr>
            <w:tcW w:w="429" w:type="dxa"/>
            <w:tcBorders>
              <w:left w:val="single" w:sz="18" w:space="0" w:color="auto"/>
              <w:bottom w:val="single" w:sz="4" w:space="0" w:color="auto"/>
            </w:tcBorders>
            <w:shd w:val="clear" w:color="auto" w:fill="FABF8F"/>
            <w:vAlign w:val="center"/>
          </w:tcPr>
          <w:p w:rsidR="00B27742" w:rsidRPr="003410C7" w:rsidRDefault="00B27742" w:rsidP="00F9515B">
            <w:pPr>
              <w:pStyle w:val="TableText"/>
              <w:widowControl w:val="0"/>
              <w:rPr>
                <w:rFonts w:ascii="Tahoma" w:hAnsi="Tahoma" w:cs="Tahoma"/>
                <w:sz w:val="13"/>
              </w:rPr>
            </w:pPr>
            <w:r w:rsidRPr="003410C7">
              <w:rPr>
                <w:rFonts w:ascii="Tahoma" w:hAnsi="Tahoma" w:cs="Tahoma"/>
                <w:sz w:val="13"/>
              </w:rPr>
              <w:t>1</w:t>
            </w:r>
          </w:p>
        </w:tc>
        <w:tc>
          <w:tcPr>
            <w:tcW w:w="429" w:type="dxa"/>
            <w:tcBorders>
              <w:bottom w:val="single" w:sz="4" w:space="0" w:color="auto"/>
            </w:tcBorders>
            <w:shd w:val="clear" w:color="auto" w:fill="FABF8F"/>
            <w:vAlign w:val="center"/>
          </w:tcPr>
          <w:p w:rsidR="00B27742" w:rsidRPr="003410C7" w:rsidRDefault="00B27742" w:rsidP="00F9515B">
            <w:pPr>
              <w:pStyle w:val="TableText"/>
              <w:widowControl w:val="0"/>
              <w:rPr>
                <w:rFonts w:ascii="Tahoma" w:hAnsi="Tahoma" w:cs="Tahoma"/>
                <w:sz w:val="13"/>
              </w:rPr>
            </w:pPr>
            <w:r w:rsidRPr="003410C7">
              <w:rPr>
                <w:rFonts w:ascii="Tahoma" w:hAnsi="Tahoma" w:cs="Tahoma"/>
                <w:sz w:val="13"/>
              </w:rPr>
              <w:t>2</w:t>
            </w:r>
          </w:p>
        </w:tc>
        <w:tc>
          <w:tcPr>
            <w:tcW w:w="442" w:type="dxa"/>
            <w:tcBorders>
              <w:bottom w:val="single" w:sz="4" w:space="0" w:color="auto"/>
              <w:right w:val="single" w:sz="18" w:space="0" w:color="auto"/>
            </w:tcBorders>
            <w:shd w:val="clear" w:color="auto" w:fill="FABF8F"/>
            <w:vAlign w:val="center"/>
          </w:tcPr>
          <w:p w:rsidR="00B27742" w:rsidRPr="003410C7" w:rsidRDefault="00B27742" w:rsidP="00F9515B">
            <w:pPr>
              <w:pStyle w:val="TableText"/>
              <w:widowControl w:val="0"/>
              <w:rPr>
                <w:rFonts w:ascii="Tahoma" w:hAnsi="Tahoma" w:cs="Tahoma"/>
                <w:sz w:val="13"/>
              </w:rPr>
            </w:pPr>
            <w:r w:rsidRPr="003410C7">
              <w:rPr>
                <w:rFonts w:ascii="Tahoma" w:hAnsi="Tahoma" w:cs="Tahoma"/>
                <w:sz w:val="13"/>
              </w:rPr>
              <w:t>1</w:t>
            </w:r>
          </w:p>
        </w:tc>
        <w:tc>
          <w:tcPr>
            <w:tcW w:w="495" w:type="dxa"/>
            <w:tcBorders>
              <w:left w:val="single" w:sz="18" w:space="0" w:color="auto"/>
              <w:bottom w:val="single" w:sz="4" w:space="0" w:color="auto"/>
            </w:tcBorders>
            <w:shd w:val="clear" w:color="auto" w:fill="FABF8F"/>
            <w:vAlign w:val="center"/>
          </w:tcPr>
          <w:p w:rsidR="00B27742" w:rsidRPr="003410C7" w:rsidRDefault="00B27742" w:rsidP="00F9515B">
            <w:pPr>
              <w:pStyle w:val="TableText"/>
              <w:widowControl w:val="0"/>
              <w:rPr>
                <w:rFonts w:ascii="Tahoma" w:hAnsi="Tahoma" w:cs="Tahoma"/>
                <w:sz w:val="13"/>
              </w:rPr>
            </w:pPr>
          </w:p>
        </w:tc>
        <w:tc>
          <w:tcPr>
            <w:tcW w:w="459" w:type="dxa"/>
            <w:tcBorders>
              <w:bottom w:val="single" w:sz="4" w:space="0" w:color="auto"/>
              <w:right w:val="single" w:sz="18" w:space="0" w:color="auto"/>
            </w:tcBorders>
            <w:shd w:val="clear" w:color="auto" w:fill="FABF8F"/>
            <w:vAlign w:val="center"/>
          </w:tcPr>
          <w:p w:rsidR="00B27742" w:rsidRPr="003410C7" w:rsidRDefault="00B27742" w:rsidP="00F9515B">
            <w:pPr>
              <w:pStyle w:val="TableText"/>
              <w:widowControl w:val="0"/>
              <w:rPr>
                <w:rFonts w:ascii="Tahoma" w:hAnsi="Tahoma" w:cs="Tahoma"/>
                <w:sz w:val="13"/>
              </w:rPr>
            </w:pPr>
          </w:p>
        </w:tc>
        <w:tc>
          <w:tcPr>
            <w:tcW w:w="360" w:type="dxa"/>
            <w:tcBorders>
              <w:left w:val="single" w:sz="18" w:space="0" w:color="auto"/>
              <w:bottom w:val="single" w:sz="4" w:space="0" w:color="auto"/>
              <w:right w:val="single" w:sz="18" w:space="0" w:color="auto"/>
            </w:tcBorders>
            <w:shd w:val="clear" w:color="auto" w:fill="FABF8F"/>
            <w:vAlign w:val="center"/>
          </w:tcPr>
          <w:p w:rsidR="00B27742" w:rsidRPr="003410C7" w:rsidRDefault="00B27742" w:rsidP="00F9515B">
            <w:pPr>
              <w:pStyle w:val="TableText"/>
              <w:widowControl w:val="0"/>
              <w:rPr>
                <w:rFonts w:ascii="Tahoma" w:hAnsi="Tahoma" w:cs="Tahoma"/>
                <w:sz w:val="13"/>
              </w:rPr>
            </w:pPr>
            <w:r w:rsidRPr="003410C7">
              <w:rPr>
                <w:rFonts w:ascii="Tahoma" w:hAnsi="Tahoma" w:cs="Tahoma"/>
                <w:sz w:val="13"/>
              </w:rPr>
              <w:t>P</w:t>
            </w:r>
          </w:p>
        </w:tc>
        <w:tc>
          <w:tcPr>
            <w:tcW w:w="474" w:type="dxa"/>
            <w:tcBorders>
              <w:bottom w:val="single" w:sz="4" w:space="0" w:color="auto"/>
            </w:tcBorders>
            <w:shd w:val="clear" w:color="auto" w:fill="FABF8F"/>
            <w:vAlign w:val="center"/>
          </w:tcPr>
          <w:p w:rsidR="00B27742" w:rsidRPr="003410C7" w:rsidRDefault="00B27742" w:rsidP="00080B33">
            <w:pPr>
              <w:pStyle w:val="TableText"/>
              <w:widowControl w:val="0"/>
              <w:rPr>
                <w:rFonts w:ascii="Tahoma" w:hAnsi="Tahoma" w:cs="Tahoma"/>
                <w:sz w:val="13"/>
              </w:rPr>
            </w:pPr>
          </w:p>
        </w:tc>
        <w:tc>
          <w:tcPr>
            <w:tcW w:w="514" w:type="dxa"/>
            <w:tcBorders>
              <w:bottom w:val="single" w:sz="4" w:space="0" w:color="auto"/>
            </w:tcBorders>
            <w:shd w:val="clear" w:color="auto" w:fill="FABF8F"/>
            <w:vAlign w:val="center"/>
          </w:tcPr>
          <w:p w:rsidR="00B27742" w:rsidRPr="003410C7" w:rsidRDefault="00B27742" w:rsidP="00F9515B">
            <w:pPr>
              <w:pStyle w:val="TableText"/>
              <w:widowControl w:val="0"/>
              <w:rPr>
                <w:rFonts w:ascii="Tahoma" w:hAnsi="Tahoma" w:cs="Tahoma"/>
                <w:sz w:val="13"/>
              </w:rPr>
            </w:pPr>
          </w:p>
        </w:tc>
      </w:tr>
      <w:tr w:rsidR="00B33D0E" w:rsidRPr="003410C7" w:rsidTr="002A074D">
        <w:trPr>
          <w:cantSplit/>
          <w:trHeight w:val="287"/>
        </w:trPr>
        <w:tc>
          <w:tcPr>
            <w:tcW w:w="2638" w:type="dxa"/>
            <w:tcBorders>
              <w:bottom w:val="single" w:sz="4" w:space="0" w:color="auto"/>
            </w:tcBorders>
            <w:shd w:val="clear" w:color="auto" w:fill="auto"/>
            <w:vAlign w:val="center"/>
          </w:tcPr>
          <w:p w:rsidR="00B27742" w:rsidRPr="003410C7" w:rsidRDefault="00B27742" w:rsidP="003410C7">
            <w:pPr>
              <w:pStyle w:val="Heading2"/>
              <w:spacing w:beforeLines="20" w:before="48" w:afterLines="20" w:after="48"/>
              <w:ind w:left="0"/>
              <w:rPr>
                <w:rFonts w:ascii="Tahoma" w:hAnsi="Tahoma" w:cs="Tahoma"/>
                <w:b w:val="0"/>
                <w:sz w:val="14"/>
              </w:rPr>
            </w:pPr>
            <w:bookmarkStart w:id="26" w:name="_Toc336337851"/>
            <w:bookmarkStart w:id="27" w:name="_Toc352234452"/>
            <w:r w:rsidRPr="003410C7">
              <w:rPr>
                <w:rFonts w:ascii="Tahoma" w:hAnsi="Tahoma" w:cs="Tahoma"/>
                <w:b w:val="0"/>
                <w:sz w:val="14"/>
              </w:rPr>
              <w:t>GeoSynther 3.0</w:t>
            </w:r>
            <w:bookmarkEnd w:id="26"/>
            <w:bookmarkEnd w:id="27"/>
          </w:p>
        </w:tc>
        <w:tc>
          <w:tcPr>
            <w:tcW w:w="429" w:type="dxa"/>
            <w:tcBorders>
              <w:bottom w:val="single" w:sz="4" w:space="0" w:color="auto"/>
            </w:tcBorders>
            <w:shd w:val="clear" w:color="auto" w:fill="auto"/>
            <w:vAlign w:val="center"/>
          </w:tcPr>
          <w:p w:rsidR="00B27742" w:rsidRPr="009F17FF" w:rsidRDefault="00B27742" w:rsidP="00F62B9E">
            <w:pPr>
              <w:pStyle w:val="TableText"/>
              <w:widowControl w:val="0"/>
              <w:rPr>
                <w:rStyle w:val="EndnoteReference"/>
                <w:rFonts w:cs="Tahoma"/>
                <w:color w:val="0000FF"/>
                <w:sz w:val="13"/>
                <w:szCs w:val="13"/>
                <w:u w:val="single"/>
              </w:rPr>
            </w:pPr>
          </w:p>
        </w:tc>
        <w:tc>
          <w:tcPr>
            <w:tcW w:w="429" w:type="dxa"/>
            <w:tcBorders>
              <w:bottom w:val="single" w:sz="4" w:space="0" w:color="auto"/>
            </w:tcBorders>
            <w:shd w:val="clear" w:color="auto" w:fill="auto"/>
            <w:vAlign w:val="center"/>
          </w:tcPr>
          <w:p w:rsidR="00B27742" w:rsidRPr="003410C7" w:rsidRDefault="00B27742" w:rsidP="004000C7">
            <w:pPr>
              <w:pStyle w:val="TableText"/>
              <w:widowControl w:val="0"/>
              <w:rPr>
                <w:rFonts w:ascii="Tahoma" w:hAnsi="Tahoma" w:cs="Tahoma"/>
                <w:sz w:val="13"/>
              </w:rPr>
            </w:pPr>
            <w:r w:rsidRPr="003410C7">
              <w:rPr>
                <w:rFonts w:ascii="Tahoma" w:hAnsi="Tahoma" w:cs="Tahoma"/>
                <w:sz w:val="13"/>
              </w:rPr>
              <w:t>05/10</w:t>
            </w:r>
          </w:p>
        </w:tc>
        <w:tc>
          <w:tcPr>
            <w:tcW w:w="429" w:type="dxa"/>
            <w:tcBorders>
              <w:bottom w:val="single" w:sz="4" w:space="0" w:color="auto"/>
              <w:right w:val="single" w:sz="18" w:space="0" w:color="auto"/>
            </w:tcBorders>
            <w:shd w:val="clear" w:color="auto" w:fill="auto"/>
            <w:vAlign w:val="center"/>
          </w:tcPr>
          <w:p w:rsidR="00B27742" w:rsidRPr="003410C7" w:rsidRDefault="00B27742" w:rsidP="004B3534">
            <w:pPr>
              <w:pStyle w:val="TableText"/>
              <w:widowControl w:val="0"/>
              <w:rPr>
                <w:rFonts w:ascii="Tahoma" w:hAnsi="Tahoma" w:cs="Tahoma"/>
                <w:sz w:val="13"/>
              </w:rPr>
            </w:pPr>
            <w:r w:rsidRPr="003410C7">
              <w:rPr>
                <w:rFonts w:ascii="Tahoma" w:hAnsi="Tahoma" w:cs="Tahoma"/>
                <w:sz w:val="13"/>
              </w:rPr>
              <w:t>DT</w:t>
            </w:r>
          </w:p>
        </w:tc>
        <w:tc>
          <w:tcPr>
            <w:tcW w:w="429" w:type="dxa"/>
            <w:tcBorders>
              <w:left w:val="single" w:sz="18" w:space="0" w:color="auto"/>
              <w:bottom w:val="single" w:sz="4" w:space="0" w:color="auto"/>
            </w:tcBorders>
            <w:shd w:val="clear" w:color="auto" w:fill="auto"/>
            <w:vAlign w:val="center"/>
          </w:tcPr>
          <w:p w:rsidR="00B27742" w:rsidRPr="003410C7" w:rsidRDefault="00B27742" w:rsidP="004B3534">
            <w:pPr>
              <w:pStyle w:val="TableText"/>
              <w:widowControl w:val="0"/>
              <w:rPr>
                <w:rFonts w:ascii="Tahoma" w:hAnsi="Tahoma" w:cs="Tahoma"/>
                <w:sz w:val="13"/>
              </w:rPr>
            </w:pPr>
          </w:p>
        </w:tc>
        <w:tc>
          <w:tcPr>
            <w:tcW w:w="429" w:type="dxa"/>
            <w:tcBorders>
              <w:bottom w:val="single" w:sz="4" w:space="0" w:color="auto"/>
            </w:tcBorders>
            <w:shd w:val="clear" w:color="auto" w:fill="auto"/>
            <w:vAlign w:val="center"/>
          </w:tcPr>
          <w:p w:rsidR="00B27742" w:rsidRPr="003410C7" w:rsidRDefault="00B27742" w:rsidP="004B3534">
            <w:pPr>
              <w:pStyle w:val="TableText"/>
              <w:widowControl w:val="0"/>
              <w:rPr>
                <w:rFonts w:ascii="Tahoma" w:hAnsi="Tahoma" w:cs="Tahoma"/>
                <w:sz w:val="13"/>
              </w:rPr>
            </w:pPr>
          </w:p>
        </w:tc>
        <w:tc>
          <w:tcPr>
            <w:tcW w:w="429" w:type="dxa"/>
            <w:tcBorders>
              <w:bottom w:val="single" w:sz="4" w:space="0" w:color="auto"/>
            </w:tcBorders>
            <w:shd w:val="clear" w:color="auto" w:fill="auto"/>
            <w:vAlign w:val="center"/>
          </w:tcPr>
          <w:p w:rsidR="00B27742" w:rsidRPr="003410C7" w:rsidRDefault="00B27742" w:rsidP="004B3534">
            <w:pPr>
              <w:pStyle w:val="TableText"/>
              <w:widowControl w:val="0"/>
              <w:rPr>
                <w:rFonts w:ascii="Tahoma" w:hAnsi="Tahoma" w:cs="Tahoma"/>
                <w:sz w:val="13"/>
              </w:rPr>
            </w:pPr>
          </w:p>
        </w:tc>
        <w:tc>
          <w:tcPr>
            <w:tcW w:w="429" w:type="dxa"/>
            <w:tcBorders>
              <w:bottom w:val="single" w:sz="4" w:space="0" w:color="auto"/>
            </w:tcBorders>
            <w:shd w:val="clear" w:color="auto" w:fill="auto"/>
            <w:vAlign w:val="center"/>
          </w:tcPr>
          <w:p w:rsidR="00B27742" w:rsidRPr="003410C7" w:rsidRDefault="00B27742" w:rsidP="004B3534">
            <w:pPr>
              <w:pStyle w:val="TableText"/>
              <w:widowControl w:val="0"/>
              <w:rPr>
                <w:rFonts w:ascii="Tahoma" w:hAnsi="Tahoma" w:cs="Tahoma"/>
                <w:sz w:val="13"/>
              </w:rPr>
            </w:pPr>
          </w:p>
        </w:tc>
        <w:tc>
          <w:tcPr>
            <w:tcW w:w="429" w:type="dxa"/>
            <w:tcBorders>
              <w:bottom w:val="single" w:sz="4" w:space="0" w:color="auto"/>
            </w:tcBorders>
            <w:shd w:val="clear" w:color="auto" w:fill="auto"/>
            <w:vAlign w:val="center"/>
          </w:tcPr>
          <w:p w:rsidR="00B27742" w:rsidRPr="003410C7" w:rsidRDefault="00B27742" w:rsidP="004B3534">
            <w:pPr>
              <w:pStyle w:val="TableText"/>
              <w:widowControl w:val="0"/>
              <w:rPr>
                <w:rFonts w:ascii="Tahoma" w:hAnsi="Tahoma" w:cs="Tahoma"/>
                <w:sz w:val="13"/>
              </w:rPr>
            </w:pPr>
          </w:p>
        </w:tc>
        <w:tc>
          <w:tcPr>
            <w:tcW w:w="429" w:type="dxa"/>
            <w:tcBorders>
              <w:bottom w:val="single" w:sz="4" w:space="0" w:color="auto"/>
            </w:tcBorders>
            <w:shd w:val="clear" w:color="auto" w:fill="auto"/>
            <w:vAlign w:val="center"/>
          </w:tcPr>
          <w:p w:rsidR="00B27742" w:rsidRPr="003410C7" w:rsidRDefault="00B27742" w:rsidP="004B3534">
            <w:pPr>
              <w:pStyle w:val="TableText"/>
              <w:widowControl w:val="0"/>
              <w:rPr>
                <w:rFonts w:ascii="Tahoma" w:hAnsi="Tahoma" w:cs="Tahoma"/>
                <w:sz w:val="13"/>
              </w:rPr>
            </w:pPr>
          </w:p>
        </w:tc>
        <w:tc>
          <w:tcPr>
            <w:tcW w:w="429" w:type="dxa"/>
            <w:tcBorders>
              <w:bottom w:val="single" w:sz="4" w:space="0" w:color="auto"/>
              <w:right w:val="single" w:sz="18" w:space="0" w:color="auto"/>
            </w:tcBorders>
            <w:shd w:val="clear" w:color="auto" w:fill="auto"/>
            <w:vAlign w:val="center"/>
          </w:tcPr>
          <w:p w:rsidR="00B27742" w:rsidRPr="003410C7" w:rsidRDefault="00B27742" w:rsidP="004B3534">
            <w:pPr>
              <w:pStyle w:val="TableText"/>
              <w:widowControl w:val="0"/>
              <w:rPr>
                <w:rFonts w:ascii="Tahoma" w:hAnsi="Tahoma" w:cs="Tahoma"/>
                <w:sz w:val="13"/>
              </w:rPr>
            </w:pPr>
          </w:p>
        </w:tc>
        <w:tc>
          <w:tcPr>
            <w:tcW w:w="429" w:type="dxa"/>
            <w:tcBorders>
              <w:left w:val="single" w:sz="18" w:space="0" w:color="auto"/>
              <w:bottom w:val="single" w:sz="4" w:space="0" w:color="auto"/>
            </w:tcBorders>
            <w:shd w:val="clear" w:color="auto" w:fill="auto"/>
            <w:vAlign w:val="center"/>
          </w:tcPr>
          <w:p w:rsidR="00B27742" w:rsidRPr="003410C7" w:rsidRDefault="00B27742" w:rsidP="004B3534">
            <w:pPr>
              <w:pStyle w:val="TableText"/>
              <w:widowControl w:val="0"/>
              <w:rPr>
                <w:rFonts w:ascii="Tahoma" w:hAnsi="Tahoma" w:cs="Tahoma"/>
                <w:sz w:val="13"/>
              </w:rPr>
            </w:pPr>
          </w:p>
        </w:tc>
        <w:tc>
          <w:tcPr>
            <w:tcW w:w="429" w:type="dxa"/>
            <w:tcBorders>
              <w:bottom w:val="single" w:sz="4" w:space="0" w:color="auto"/>
            </w:tcBorders>
            <w:shd w:val="clear" w:color="auto" w:fill="auto"/>
            <w:vAlign w:val="center"/>
          </w:tcPr>
          <w:p w:rsidR="00B27742" w:rsidRPr="003410C7" w:rsidRDefault="00B27742" w:rsidP="004B3534">
            <w:pPr>
              <w:pStyle w:val="TableText"/>
              <w:widowControl w:val="0"/>
              <w:rPr>
                <w:rFonts w:ascii="Tahoma" w:hAnsi="Tahoma" w:cs="Tahoma"/>
                <w:sz w:val="13"/>
              </w:rPr>
            </w:pPr>
          </w:p>
        </w:tc>
        <w:tc>
          <w:tcPr>
            <w:tcW w:w="442" w:type="dxa"/>
            <w:tcBorders>
              <w:bottom w:val="single" w:sz="4" w:space="0" w:color="auto"/>
              <w:right w:val="single" w:sz="18" w:space="0" w:color="auto"/>
            </w:tcBorders>
            <w:shd w:val="clear" w:color="auto" w:fill="auto"/>
            <w:vAlign w:val="center"/>
          </w:tcPr>
          <w:p w:rsidR="00B27742" w:rsidRPr="003410C7" w:rsidRDefault="00B27742" w:rsidP="004B3534">
            <w:pPr>
              <w:pStyle w:val="TableText"/>
              <w:widowControl w:val="0"/>
              <w:rPr>
                <w:rFonts w:ascii="Tahoma" w:hAnsi="Tahoma" w:cs="Tahoma"/>
                <w:sz w:val="13"/>
              </w:rPr>
            </w:pPr>
          </w:p>
        </w:tc>
        <w:tc>
          <w:tcPr>
            <w:tcW w:w="495" w:type="dxa"/>
            <w:tcBorders>
              <w:left w:val="single" w:sz="18" w:space="0" w:color="auto"/>
              <w:bottom w:val="single" w:sz="4" w:space="0" w:color="auto"/>
            </w:tcBorders>
            <w:shd w:val="clear" w:color="auto" w:fill="auto"/>
            <w:vAlign w:val="center"/>
          </w:tcPr>
          <w:p w:rsidR="00B27742" w:rsidRPr="003410C7" w:rsidRDefault="00B27742" w:rsidP="004B3534">
            <w:pPr>
              <w:pStyle w:val="TableText"/>
              <w:widowControl w:val="0"/>
              <w:rPr>
                <w:rFonts w:ascii="Tahoma" w:hAnsi="Tahoma" w:cs="Tahoma"/>
                <w:sz w:val="13"/>
              </w:rPr>
            </w:pPr>
          </w:p>
        </w:tc>
        <w:tc>
          <w:tcPr>
            <w:tcW w:w="459" w:type="dxa"/>
            <w:tcBorders>
              <w:bottom w:val="single" w:sz="4" w:space="0" w:color="auto"/>
              <w:right w:val="single" w:sz="18" w:space="0" w:color="auto"/>
            </w:tcBorders>
            <w:shd w:val="clear" w:color="auto" w:fill="auto"/>
            <w:vAlign w:val="center"/>
          </w:tcPr>
          <w:p w:rsidR="00B27742" w:rsidRPr="003410C7" w:rsidRDefault="00B27742" w:rsidP="004B3534">
            <w:pPr>
              <w:pStyle w:val="TableText"/>
              <w:widowControl w:val="0"/>
              <w:rPr>
                <w:rFonts w:ascii="Tahoma" w:hAnsi="Tahoma" w:cs="Tahoma"/>
                <w:sz w:val="13"/>
              </w:rPr>
            </w:pPr>
          </w:p>
        </w:tc>
        <w:tc>
          <w:tcPr>
            <w:tcW w:w="360" w:type="dxa"/>
            <w:tcBorders>
              <w:left w:val="single" w:sz="18" w:space="0" w:color="auto"/>
              <w:bottom w:val="single" w:sz="4" w:space="0" w:color="auto"/>
              <w:right w:val="single" w:sz="18" w:space="0" w:color="auto"/>
            </w:tcBorders>
            <w:shd w:val="clear" w:color="auto" w:fill="auto"/>
            <w:vAlign w:val="center"/>
          </w:tcPr>
          <w:p w:rsidR="00B27742" w:rsidRPr="003410C7" w:rsidRDefault="00B27742" w:rsidP="004B3534">
            <w:pPr>
              <w:pStyle w:val="TableText"/>
              <w:widowControl w:val="0"/>
              <w:rPr>
                <w:rFonts w:ascii="Tahoma" w:hAnsi="Tahoma" w:cs="Tahoma"/>
                <w:sz w:val="13"/>
              </w:rPr>
            </w:pPr>
          </w:p>
        </w:tc>
        <w:tc>
          <w:tcPr>
            <w:tcW w:w="474" w:type="dxa"/>
            <w:tcBorders>
              <w:bottom w:val="single" w:sz="4" w:space="0" w:color="auto"/>
            </w:tcBorders>
            <w:shd w:val="clear" w:color="auto" w:fill="auto"/>
            <w:vAlign w:val="center"/>
          </w:tcPr>
          <w:p w:rsidR="00B27742" w:rsidRPr="003410C7" w:rsidRDefault="00F440FF" w:rsidP="00080B33">
            <w:pPr>
              <w:pStyle w:val="TableText"/>
              <w:widowControl w:val="0"/>
              <w:rPr>
                <w:rFonts w:ascii="Tahoma" w:hAnsi="Tahoma" w:cs="Tahoma"/>
                <w:sz w:val="13"/>
              </w:rPr>
            </w:pPr>
            <w:r w:rsidRPr="003410C7">
              <w:rPr>
                <w:rFonts w:ascii="Tahoma" w:hAnsi="Tahoma" w:cs="Tahoma"/>
                <w:sz w:val="13"/>
              </w:rPr>
              <w:t>A</w:t>
            </w:r>
          </w:p>
        </w:tc>
        <w:tc>
          <w:tcPr>
            <w:tcW w:w="514" w:type="dxa"/>
            <w:tcBorders>
              <w:bottom w:val="single" w:sz="4" w:space="0" w:color="auto"/>
            </w:tcBorders>
            <w:shd w:val="clear" w:color="auto" w:fill="auto"/>
            <w:vAlign w:val="center"/>
          </w:tcPr>
          <w:p w:rsidR="00B27742" w:rsidRPr="003410C7" w:rsidRDefault="00B27742" w:rsidP="004B3534">
            <w:pPr>
              <w:pStyle w:val="TableText"/>
              <w:widowControl w:val="0"/>
              <w:rPr>
                <w:rFonts w:ascii="Tahoma" w:hAnsi="Tahoma" w:cs="Tahoma"/>
                <w:sz w:val="13"/>
              </w:rPr>
            </w:pPr>
          </w:p>
        </w:tc>
      </w:tr>
      <w:tr w:rsidR="00EF228F" w:rsidRPr="003410C7" w:rsidTr="002A074D">
        <w:trPr>
          <w:cantSplit/>
          <w:trHeight w:val="287"/>
        </w:trPr>
        <w:tc>
          <w:tcPr>
            <w:tcW w:w="2638" w:type="dxa"/>
            <w:tcBorders>
              <w:bottom w:val="single" w:sz="4" w:space="0" w:color="auto"/>
            </w:tcBorders>
            <w:shd w:val="clear" w:color="auto" w:fill="FABF8F"/>
            <w:vAlign w:val="center"/>
          </w:tcPr>
          <w:p w:rsidR="00B27742" w:rsidRPr="003410C7" w:rsidRDefault="00B27742" w:rsidP="003410C7">
            <w:pPr>
              <w:pStyle w:val="Heading2"/>
              <w:spacing w:beforeLines="20" w:before="48" w:afterLines="20" w:after="48"/>
              <w:ind w:left="0"/>
              <w:rPr>
                <w:rFonts w:ascii="Tahoma" w:hAnsi="Tahoma" w:cs="Tahoma"/>
                <w:b w:val="0"/>
                <w:sz w:val="14"/>
              </w:rPr>
            </w:pPr>
            <w:bookmarkStart w:id="28" w:name="_Toc336337852"/>
            <w:bookmarkStart w:id="29" w:name="_Toc352234453"/>
            <w:r w:rsidRPr="003410C7">
              <w:rPr>
                <w:rFonts w:ascii="Tahoma" w:hAnsi="Tahoma" w:cs="Tahoma"/>
                <w:b w:val="0"/>
                <w:sz w:val="14"/>
              </w:rPr>
              <w:t>GeoSynth Viewer 3.0</w:t>
            </w:r>
            <w:bookmarkEnd w:id="28"/>
            <w:bookmarkEnd w:id="29"/>
          </w:p>
        </w:tc>
        <w:tc>
          <w:tcPr>
            <w:tcW w:w="429" w:type="dxa"/>
            <w:tcBorders>
              <w:bottom w:val="single" w:sz="4" w:space="0" w:color="auto"/>
            </w:tcBorders>
            <w:shd w:val="clear" w:color="auto" w:fill="FABF8F"/>
            <w:vAlign w:val="center"/>
          </w:tcPr>
          <w:p w:rsidR="00B27742" w:rsidRPr="009F17FF" w:rsidRDefault="00B27742" w:rsidP="00F62B9E">
            <w:pPr>
              <w:pStyle w:val="TableText"/>
              <w:widowControl w:val="0"/>
              <w:rPr>
                <w:rStyle w:val="EndnoteReference"/>
                <w:rFonts w:cs="Tahoma"/>
                <w:color w:val="0000FF"/>
                <w:sz w:val="13"/>
                <w:szCs w:val="13"/>
                <w:u w:val="single"/>
              </w:rPr>
            </w:pPr>
          </w:p>
        </w:tc>
        <w:tc>
          <w:tcPr>
            <w:tcW w:w="429" w:type="dxa"/>
            <w:tcBorders>
              <w:bottom w:val="single" w:sz="4" w:space="0" w:color="auto"/>
            </w:tcBorders>
            <w:shd w:val="clear" w:color="auto" w:fill="FABF8F"/>
            <w:vAlign w:val="center"/>
          </w:tcPr>
          <w:p w:rsidR="00B27742" w:rsidRPr="003410C7" w:rsidRDefault="00B27742" w:rsidP="004000C7">
            <w:pPr>
              <w:pStyle w:val="TableText"/>
              <w:widowControl w:val="0"/>
              <w:rPr>
                <w:rFonts w:ascii="Tahoma" w:hAnsi="Tahoma" w:cs="Tahoma"/>
                <w:sz w:val="13"/>
              </w:rPr>
            </w:pPr>
            <w:r w:rsidRPr="003410C7">
              <w:rPr>
                <w:rFonts w:ascii="Tahoma" w:hAnsi="Tahoma" w:cs="Tahoma"/>
                <w:sz w:val="13"/>
              </w:rPr>
              <w:t>05/10</w:t>
            </w:r>
          </w:p>
        </w:tc>
        <w:tc>
          <w:tcPr>
            <w:tcW w:w="429" w:type="dxa"/>
            <w:tcBorders>
              <w:bottom w:val="single" w:sz="4" w:space="0" w:color="auto"/>
              <w:right w:val="single" w:sz="18" w:space="0" w:color="auto"/>
            </w:tcBorders>
            <w:shd w:val="clear" w:color="auto" w:fill="FABF8F"/>
            <w:vAlign w:val="center"/>
          </w:tcPr>
          <w:p w:rsidR="00B27742" w:rsidRPr="003410C7" w:rsidRDefault="00B27742" w:rsidP="004B3534">
            <w:pPr>
              <w:pStyle w:val="TableText"/>
              <w:widowControl w:val="0"/>
              <w:rPr>
                <w:rFonts w:ascii="Tahoma" w:hAnsi="Tahoma" w:cs="Tahoma"/>
                <w:sz w:val="13"/>
              </w:rPr>
            </w:pPr>
            <w:r w:rsidRPr="003410C7">
              <w:rPr>
                <w:rFonts w:ascii="Tahoma" w:hAnsi="Tahoma" w:cs="Tahoma"/>
                <w:sz w:val="13"/>
              </w:rPr>
              <w:t>DT</w:t>
            </w:r>
          </w:p>
        </w:tc>
        <w:tc>
          <w:tcPr>
            <w:tcW w:w="429" w:type="dxa"/>
            <w:tcBorders>
              <w:left w:val="single" w:sz="18" w:space="0" w:color="auto"/>
              <w:bottom w:val="single" w:sz="4" w:space="0" w:color="auto"/>
            </w:tcBorders>
            <w:shd w:val="clear" w:color="auto" w:fill="FABF8F"/>
            <w:vAlign w:val="center"/>
          </w:tcPr>
          <w:p w:rsidR="00B27742" w:rsidRPr="003410C7" w:rsidRDefault="00B27742" w:rsidP="004B3534">
            <w:pPr>
              <w:pStyle w:val="TableText"/>
              <w:widowControl w:val="0"/>
              <w:rPr>
                <w:rFonts w:ascii="Tahoma" w:hAnsi="Tahoma" w:cs="Tahoma"/>
                <w:sz w:val="13"/>
              </w:rPr>
            </w:pPr>
          </w:p>
        </w:tc>
        <w:tc>
          <w:tcPr>
            <w:tcW w:w="429" w:type="dxa"/>
            <w:tcBorders>
              <w:bottom w:val="single" w:sz="4" w:space="0" w:color="auto"/>
            </w:tcBorders>
            <w:shd w:val="clear" w:color="auto" w:fill="FABF8F"/>
            <w:vAlign w:val="center"/>
          </w:tcPr>
          <w:p w:rsidR="00B27742" w:rsidRPr="003410C7" w:rsidRDefault="00B27742" w:rsidP="004B3534">
            <w:pPr>
              <w:pStyle w:val="TableText"/>
              <w:widowControl w:val="0"/>
              <w:rPr>
                <w:rFonts w:ascii="Tahoma" w:hAnsi="Tahoma" w:cs="Tahoma"/>
                <w:sz w:val="13"/>
              </w:rPr>
            </w:pPr>
          </w:p>
        </w:tc>
        <w:tc>
          <w:tcPr>
            <w:tcW w:w="429" w:type="dxa"/>
            <w:tcBorders>
              <w:bottom w:val="single" w:sz="4" w:space="0" w:color="auto"/>
            </w:tcBorders>
            <w:shd w:val="clear" w:color="auto" w:fill="FABF8F"/>
            <w:vAlign w:val="center"/>
          </w:tcPr>
          <w:p w:rsidR="00B27742" w:rsidRPr="003410C7" w:rsidRDefault="00B27742" w:rsidP="004B3534">
            <w:pPr>
              <w:pStyle w:val="TableText"/>
              <w:widowControl w:val="0"/>
              <w:rPr>
                <w:rFonts w:ascii="Tahoma" w:hAnsi="Tahoma" w:cs="Tahoma"/>
                <w:sz w:val="13"/>
              </w:rPr>
            </w:pPr>
          </w:p>
        </w:tc>
        <w:tc>
          <w:tcPr>
            <w:tcW w:w="429" w:type="dxa"/>
            <w:tcBorders>
              <w:bottom w:val="single" w:sz="4" w:space="0" w:color="auto"/>
            </w:tcBorders>
            <w:shd w:val="clear" w:color="auto" w:fill="FABF8F"/>
            <w:vAlign w:val="center"/>
          </w:tcPr>
          <w:p w:rsidR="00B27742" w:rsidRPr="003410C7" w:rsidRDefault="00B27742" w:rsidP="004B3534">
            <w:pPr>
              <w:pStyle w:val="TableText"/>
              <w:widowControl w:val="0"/>
              <w:rPr>
                <w:rFonts w:ascii="Tahoma" w:hAnsi="Tahoma" w:cs="Tahoma"/>
                <w:sz w:val="13"/>
              </w:rPr>
            </w:pPr>
          </w:p>
        </w:tc>
        <w:tc>
          <w:tcPr>
            <w:tcW w:w="429" w:type="dxa"/>
            <w:tcBorders>
              <w:bottom w:val="single" w:sz="4" w:space="0" w:color="auto"/>
            </w:tcBorders>
            <w:shd w:val="clear" w:color="auto" w:fill="FABF8F"/>
            <w:vAlign w:val="center"/>
          </w:tcPr>
          <w:p w:rsidR="00B27742" w:rsidRPr="003410C7" w:rsidRDefault="00B27742" w:rsidP="004B3534">
            <w:pPr>
              <w:pStyle w:val="TableText"/>
              <w:widowControl w:val="0"/>
              <w:rPr>
                <w:rFonts w:ascii="Tahoma" w:hAnsi="Tahoma" w:cs="Tahoma"/>
                <w:sz w:val="13"/>
              </w:rPr>
            </w:pPr>
          </w:p>
        </w:tc>
        <w:tc>
          <w:tcPr>
            <w:tcW w:w="429" w:type="dxa"/>
            <w:tcBorders>
              <w:bottom w:val="single" w:sz="4" w:space="0" w:color="auto"/>
            </w:tcBorders>
            <w:shd w:val="clear" w:color="auto" w:fill="FABF8F"/>
            <w:vAlign w:val="center"/>
          </w:tcPr>
          <w:p w:rsidR="00B27742" w:rsidRPr="003410C7" w:rsidRDefault="00B27742" w:rsidP="004B3534">
            <w:pPr>
              <w:pStyle w:val="TableText"/>
              <w:widowControl w:val="0"/>
              <w:rPr>
                <w:rFonts w:ascii="Tahoma" w:hAnsi="Tahoma" w:cs="Tahoma"/>
                <w:sz w:val="13"/>
              </w:rPr>
            </w:pPr>
          </w:p>
        </w:tc>
        <w:tc>
          <w:tcPr>
            <w:tcW w:w="429" w:type="dxa"/>
            <w:tcBorders>
              <w:bottom w:val="single" w:sz="4" w:space="0" w:color="auto"/>
              <w:right w:val="single" w:sz="18" w:space="0" w:color="auto"/>
            </w:tcBorders>
            <w:shd w:val="clear" w:color="auto" w:fill="FABF8F"/>
            <w:vAlign w:val="center"/>
          </w:tcPr>
          <w:p w:rsidR="00B27742" w:rsidRPr="003410C7" w:rsidRDefault="00B27742" w:rsidP="004B3534">
            <w:pPr>
              <w:pStyle w:val="TableText"/>
              <w:widowControl w:val="0"/>
              <w:rPr>
                <w:rFonts w:ascii="Tahoma" w:hAnsi="Tahoma" w:cs="Tahoma"/>
                <w:sz w:val="13"/>
              </w:rPr>
            </w:pPr>
          </w:p>
        </w:tc>
        <w:tc>
          <w:tcPr>
            <w:tcW w:w="429" w:type="dxa"/>
            <w:tcBorders>
              <w:left w:val="single" w:sz="18" w:space="0" w:color="auto"/>
              <w:bottom w:val="single" w:sz="4" w:space="0" w:color="auto"/>
            </w:tcBorders>
            <w:shd w:val="clear" w:color="auto" w:fill="FABF8F"/>
            <w:vAlign w:val="center"/>
          </w:tcPr>
          <w:p w:rsidR="00B27742" w:rsidRPr="003410C7" w:rsidRDefault="00B27742" w:rsidP="004B3534">
            <w:pPr>
              <w:pStyle w:val="TableText"/>
              <w:widowControl w:val="0"/>
              <w:rPr>
                <w:rFonts w:ascii="Tahoma" w:hAnsi="Tahoma" w:cs="Tahoma"/>
                <w:sz w:val="13"/>
              </w:rPr>
            </w:pPr>
          </w:p>
        </w:tc>
        <w:tc>
          <w:tcPr>
            <w:tcW w:w="429" w:type="dxa"/>
            <w:tcBorders>
              <w:bottom w:val="single" w:sz="4" w:space="0" w:color="auto"/>
            </w:tcBorders>
            <w:shd w:val="clear" w:color="auto" w:fill="FABF8F"/>
            <w:vAlign w:val="center"/>
          </w:tcPr>
          <w:p w:rsidR="00B27742" w:rsidRPr="003410C7" w:rsidRDefault="00B27742" w:rsidP="004B3534">
            <w:pPr>
              <w:pStyle w:val="TableText"/>
              <w:widowControl w:val="0"/>
              <w:rPr>
                <w:rFonts w:ascii="Tahoma" w:hAnsi="Tahoma" w:cs="Tahoma"/>
                <w:sz w:val="13"/>
              </w:rPr>
            </w:pPr>
          </w:p>
        </w:tc>
        <w:tc>
          <w:tcPr>
            <w:tcW w:w="442" w:type="dxa"/>
            <w:tcBorders>
              <w:bottom w:val="single" w:sz="4" w:space="0" w:color="auto"/>
              <w:right w:val="single" w:sz="18" w:space="0" w:color="auto"/>
            </w:tcBorders>
            <w:shd w:val="clear" w:color="auto" w:fill="FABF8F"/>
            <w:vAlign w:val="center"/>
          </w:tcPr>
          <w:p w:rsidR="00B27742" w:rsidRPr="003410C7" w:rsidRDefault="00B27742" w:rsidP="004B3534">
            <w:pPr>
              <w:pStyle w:val="TableText"/>
              <w:widowControl w:val="0"/>
              <w:rPr>
                <w:rFonts w:ascii="Tahoma" w:hAnsi="Tahoma" w:cs="Tahoma"/>
                <w:sz w:val="13"/>
              </w:rPr>
            </w:pPr>
          </w:p>
        </w:tc>
        <w:tc>
          <w:tcPr>
            <w:tcW w:w="495" w:type="dxa"/>
            <w:tcBorders>
              <w:left w:val="single" w:sz="18" w:space="0" w:color="auto"/>
              <w:bottom w:val="single" w:sz="4" w:space="0" w:color="auto"/>
            </w:tcBorders>
            <w:shd w:val="clear" w:color="auto" w:fill="FABF8F"/>
            <w:vAlign w:val="center"/>
          </w:tcPr>
          <w:p w:rsidR="00B27742" w:rsidRPr="003410C7" w:rsidRDefault="00B27742" w:rsidP="004B3534">
            <w:pPr>
              <w:pStyle w:val="TableText"/>
              <w:widowControl w:val="0"/>
              <w:rPr>
                <w:rFonts w:ascii="Tahoma" w:hAnsi="Tahoma" w:cs="Tahoma"/>
                <w:sz w:val="13"/>
              </w:rPr>
            </w:pPr>
          </w:p>
        </w:tc>
        <w:tc>
          <w:tcPr>
            <w:tcW w:w="459" w:type="dxa"/>
            <w:tcBorders>
              <w:bottom w:val="single" w:sz="4" w:space="0" w:color="auto"/>
              <w:right w:val="single" w:sz="18" w:space="0" w:color="auto"/>
            </w:tcBorders>
            <w:shd w:val="clear" w:color="auto" w:fill="FABF8F"/>
            <w:vAlign w:val="center"/>
          </w:tcPr>
          <w:p w:rsidR="00B27742" w:rsidRPr="003410C7" w:rsidRDefault="00B27742" w:rsidP="004B3534">
            <w:pPr>
              <w:pStyle w:val="TableText"/>
              <w:widowControl w:val="0"/>
              <w:rPr>
                <w:rFonts w:ascii="Tahoma" w:hAnsi="Tahoma" w:cs="Tahoma"/>
                <w:sz w:val="13"/>
              </w:rPr>
            </w:pPr>
          </w:p>
        </w:tc>
        <w:tc>
          <w:tcPr>
            <w:tcW w:w="360" w:type="dxa"/>
            <w:tcBorders>
              <w:left w:val="single" w:sz="18" w:space="0" w:color="auto"/>
              <w:bottom w:val="single" w:sz="4" w:space="0" w:color="auto"/>
              <w:right w:val="single" w:sz="18" w:space="0" w:color="auto"/>
            </w:tcBorders>
            <w:shd w:val="clear" w:color="auto" w:fill="FABF8F"/>
            <w:vAlign w:val="center"/>
          </w:tcPr>
          <w:p w:rsidR="00B27742" w:rsidRPr="003410C7" w:rsidRDefault="00B27742" w:rsidP="004B3534">
            <w:pPr>
              <w:pStyle w:val="TableText"/>
              <w:widowControl w:val="0"/>
              <w:rPr>
                <w:rFonts w:ascii="Tahoma" w:hAnsi="Tahoma" w:cs="Tahoma"/>
                <w:sz w:val="13"/>
              </w:rPr>
            </w:pPr>
          </w:p>
        </w:tc>
        <w:tc>
          <w:tcPr>
            <w:tcW w:w="474" w:type="dxa"/>
            <w:tcBorders>
              <w:bottom w:val="single" w:sz="4" w:space="0" w:color="auto"/>
            </w:tcBorders>
            <w:shd w:val="clear" w:color="auto" w:fill="FABF8F"/>
            <w:vAlign w:val="center"/>
          </w:tcPr>
          <w:p w:rsidR="00B27742" w:rsidRPr="003410C7" w:rsidRDefault="006A33F3" w:rsidP="00080B33">
            <w:pPr>
              <w:pStyle w:val="TableText"/>
              <w:widowControl w:val="0"/>
              <w:rPr>
                <w:rFonts w:ascii="Tahoma" w:hAnsi="Tahoma" w:cs="Tahoma"/>
                <w:sz w:val="13"/>
              </w:rPr>
            </w:pPr>
            <w:r w:rsidRPr="003410C7">
              <w:rPr>
                <w:rFonts w:ascii="Tahoma" w:hAnsi="Tahoma" w:cs="Tahoma"/>
                <w:sz w:val="13"/>
              </w:rPr>
              <w:t>A</w:t>
            </w:r>
          </w:p>
        </w:tc>
        <w:tc>
          <w:tcPr>
            <w:tcW w:w="514" w:type="dxa"/>
            <w:tcBorders>
              <w:bottom w:val="single" w:sz="4" w:space="0" w:color="auto"/>
            </w:tcBorders>
            <w:shd w:val="clear" w:color="auto" w:fill="FABF8F"/>
            <w:vAlign w:val="center"/>
          </w:tcPr>
          <w:p w:rsidR="00B27742" w:rsidRPr="003410C7" w:rsidRDefault="00B27742" w:rsidP="004B3534">
            <w:pPr>
              <w:pStyle w:val="TableText"/>
              <w:widowControl w:val="0"/>
              <w:rPr>
                <w:rFonts w:ascii="Tahoma" w:hAnsi="Tahoma" w:cs="Tahoma"/>
                <w:sz w:val="13"/>
              </w:rPr>
            </w:pPr>
          </w:p>
        </w:tc>
      </w:tr>
      <w:tr w:rsidR="00B33D0E" w:rsidRPr="003410C7" w:rsidTr="002A074D">
        <w:trPr>
          <w:cantSplit/>
          <w:trHeight w:val="287"/>
        </w:trPr>
        <w:tc>
          <w:tcPr>
            <w:tcW w:w="2638" w:type="dxa"/>
            <w:tcBorders>
              <w:bottom w:val="single" w:sz="4" w:space="0" w:color="auto"/>
            </w:tcBorders>
            <w:shd w:val="clear" w:color="auto" w:fill="auto"/>
            <w:vAlign w:val="center"/>
          </w:tcPr>
          <w:p w:rsidR="00B27742" w:rsidRPr="003410C7" w:rsidRDefault="00B27742" w:rsidP="003410C7">
            <w:pPr>
              <w:pStyle w:val="Heading2"/>
              <w:spacing w:beforeLines="20" w:before="48" w:afterLines="20" w:after="48"/>
              <w:ind w:left="0"/>
              <w:rPr>
                <w:rFonts w:ascii="Tahoma" w:hAnsi="Tahoma" w:cs="Tahoma"/>
                <w:b w:val="0"/>
                <w:sz w:val="14"/>
              </w:rPr>
            </w:pPr>
            <w:bookmarkStart w:id="30" w:name="_Toc336337853"/>
            <w:bookmarkStart w:id="31" w:name="_Toc352234454"/>
            <w:r w:rsidRPr="003410C7">
              <w:rPr>
                <w:rFonts w:ascii="Tahoma" w:hAnsi="Tahoma" w:cs="Tahoma"/>
                <w:b w:val="0"/>
                <w:sz w:val="14"/>
              </w:rPr>
              <w:t>InfoPath</w:t>
            </w:r>
            <w:r w:rsidR="003410C7" w:rsidRPr="003410C7">
              <w:rPr>
                <w:rFonts w:ascii="Tahoma" w:hAnsi="Tahoma" w:cs="Tahoma"/>
                <w:b w:val="0"/>
                <w:sz w:val="14"/>
                <w:vertAlign w:val="superscript"/>
              </w:rPr>
              <w:t>®</w:t>
            </w:r>
            <w:r w:rsidRPr="003410C7">
              <w:rPr>
                <w:rFonts w:ascii="Tahoma" w:hAnsi="Tahoma" w:cs="Tahoma"/>
                <w:b w:val="0"/>
                <w:sz w:val="14"/>
              </w:rPr>
              <w:t xml:space="preserve"> </w:t>
            </w:r>
            <w:bookmarkEnd w:id="30"/>
            <w:r w:rsidRPr="003410C7">
              <w:rPr>
                <w:rFonts w:ascii="Tahoma" w:hAnsi="Tahoma" w:cs="Tahoma"/>
                <w:b w:val="0"/>
                <w:sz w:val="14"/>
              </w:rPr>
              <w:t>2013</w:t>
            </w:r>
            <w:bookmarkEnd w:id="31"/>
          </w:p>
        </w:tc>
        <w:tc>
          <w:tcPr>
            <w:tcW w:w="429" w:type="dxa"/>
            <w:tcBorders>
              <w:bottom w:val="single" w:sz="4" w:space="0" w:color="auto"/>
            </w:tcBorders>
            <w:shd w:val="clear" w:color="auto" w:fill="auto"/>
            <w:vAlign w:val="center"/>
          </w:tcPr>
          <w:p w:rsidR="00B27742" w:rsidRPr="009F17FF" w:rsidRDefault="00B27742">
            <w:pPr>
              <w:pStyle w:val="TableText"/>
              <w:widowControl w:val="0"/>
              <w:rPr>
                <w:rStyle w:val="EndnoteReference"/>
                <w:rFonts w:cs="Tahoma"/>
                <w:color w:val="0000FF"/>
                <w:sz w:val="13"/>
                <w:szCs w:val="13"/>
                <w:u w:val="single"/>
              </w:rPr>
            </w:pPr>
          </w:p>
        </w:tc>
        <w:tc>
          <w:tcPr>
            <w:tcW w:w="429" w:type="dxa"/>
            <w:tcBorders>
              <w:bottom w:val="single" w:sz="4" w:space="0" w:color="auto"/>
            </w:tcBorders>
            <w:shd w:val="clear" w:color="auto" w:fill="auto"/>
            <w:vAlign w:val="center"/>
          </w:tcPr>
          <w:p w:rsidR="00B27742" w:rsidRPr="003410C7" w:rsidRDefault="00B27742" w:rsidP="004000C7">
            <w:pPr>
              <w:pStyle w:val="TableText"/>
              <w:widowControl w:val="0"/>
              <w:rPr>
                <w:rFonts w:ascii="Tahoma" w:hAnsi="Tahoma" w:cs="Tahoma"/>
                <w:sz w:val="13"/>
              </w:rPr>
            </w:pPr>
            <w:r w:rsidRPr="003410C7">
              <w:rPr>
                <w:rFonts w:ascii="Tahoma" w:hAnsi="Tahoma" w:cs="Tahoma"/>
                <w:sz w:val="13"/>
              </w:rPr>
              <w:t>04/10</w:t>
            </w:r>
          </w:p>
        </w:tc>
        <w:tc>
          <w:tcPr>
            <w:tcW w:w="429" w:type="dxa"/>
            <w:tcBorders>
              <w:bottom w:val="single" w:sz="4" w:space="0" w:color="auto"/>
              <w:right w:val="single" w:sz="18" w:space="0" w:color="auto"/>
            </w:tcBorders>
            <w:shd w:val="clear" w:color="auto" w:fill="auto"/>
            <w:vAlign w:val="center"/>
          </w:tcPr>
          <w:p w:rsidR="00B27742" w:rsidRPr="003410C7" w:rsidRDefault="00B27742" w:rsidP="004B3534">
            <w:pPr>
              <w:pStyle w:val="TableText"/>
              <w:widowControl w:val="0"/>
              <w:rPr>
                <w:rFonts w:ascii="Tahoma" w:hAnsi="Tahoma" w:cs="Tahoma"/>
                <w:sz w:val="13"/>
              </w:rPr>
            </w:pPr>
            <w:r w:rsidRPr="003410C7">
              <w:rPr>
                <w:rFonts w:ascii="Tahoma" w:hAnsi="Tahoma" w:cs="Tahoma"/>
                <w:sz w:val="13"/>
              </w:rPr>
              <w:t>DT</w:t>
            </w:r>
          </w:p>
        </w:tc>
        <w:tc>
          <w:tcPr>
            <w:tcW w:w="429" w:type="dxa"/>
            <w:tcBorders>
              <w:left w:val="single" w:sz="18" w:space="0" w:color="auto"/>
              <w:bottom w:val="single" w:sz="4" w:space="0" w:color="auto"/>
            </w:tcBorders>
            <w:shd w:val="clear" w:color="auto" w:fill="auto"/>
            <w:vAlign w:val="center"/>
          </w:tcPr>
          <w:p w:rsidR="00B27742" w:rsidRPr="003410C7" w:rsidRDefault="00B27742" w:rsidP="004B3534">
            <w:pPr>
              <w:pStyle w:val="TableText"/>
              <w:widowControl w:val="0"/>
              <w:rPr>
                <w:rFonts w:ascii="Tahoma" w:hAnsi="Tahoma" w:cs="Tahoma"/>
                <w:sz w:val="13"/>
              </w:rPr>
            </w:pPr>
            <w:r w:rsidRPr="003410C7">
              <w:rPr>
                <w:rFonts w:ascii="Tahoma" w:hAnsi="Tahoma" w:cs="Tahoma"/>
                <w:sz w:val="13"/>
              </w:rPr>
              <w:t>1</w:t>
            </w:r>
          </w:p>
        </w:tc>
        <w:tc>
          <w:tcPr>
            <w:tcW w:w="429" w:type="dxa"/>
            <w:tcBorders>
              <w:bottom w:val="single" w:sz="4" w:space="0" w:color="auto"/>
            </w:tcBorders>
            <w:shd w:val="clear" w:color="auto" w:fill="auto"/>
            <w:vAlign w:val="center"/>
          </w:tcPr>
          <w:p w:rsidR="00B27742" w:rsidRPr="003410C7" w:rsidRDefault="00B27742" w:rsidP="004B3534">
            <w:pPr>
              <w:pStyle w:val="TableText"/>
              <w:widowControl w:val="0"/>
              <w:rPr>
                <w:rFonts w:ascii="Tahoma" w:hAnsi="Tahoma" w:cs="Tahoma"/>
                <w:sz w:val="13"/>
              </w:rPr>
            </w:pPr>
            <w:r w:rsidRPr="003410C7">
              <w:rPr>
                <w:rFonts w:ascii="Tahoma" w:hAnsi="Tahoma" w:cs="Tahoma"/>
                <w:sz w:val="13"/>
              </w:rPr>
              <w:t>3</w:t>
            </w:r>
          </w:p>
        </w:tc>
        <w:tc>
          <w:tcPr>
            <w:tcW w:w="429" w:type="dxa"/>
            <w:tcBorders>
              <w:bottom w:val="single" w:sz="4" w:space="0" w:color="auto"/>
            </w:tcBorders>
            <w:shd w:val="clear" w:color="auto" w:fill="auto"/>
            <w:vAlign w:val="center"/>
          </w:tcPr>
          <w:p w:rsidR="00B27742" w:rsidRPr="003410C7" w:rsidRDefault="00B27742" w:rsidP="004B3534">
            <w:pPr>
              <w:pStyle w:val="TableText"/>
              <w:widowControl w:val="0"/>
              <w:rPr>
                <w:rFonts w:ascii="Tahoma" w:hAnsi="Tahoma" w:cs="Tahoma"/>
                <w:sz w:val="13"/>
              </w:rPr>
            </w:pPr>
            <w:r w:rsidRPr="003410C7">
              <w:rPr>
                <w:rFonts w:ascii="Tahoma" w:hAnsi="Tahoma" w:cs="Tahoma"/>
                <w:sz w:val="13"/>
              </w:rPr>
              <w:t>2</w:t>
            </w:r>
          </w:p>
        </w:tc>
        <w:tc>
          <w:tcPr>
            <w:tcW w:w="429" w:type="dxa"/>
            <w:tcBorders>
              <w:bottom w:val="single" w:sz="4" w:space="0" w:color="auto"/>
            </w:tcBorders>
            <w:shd w:val="clear" w:color="auto" w:fill="auto"/>
            <w:vAlign w:val="center"/>
          </w:tcPr>
          <w:p w:rsidR="00B27742" w:rsidRPr="003410C7" w:rsidRDefault="00B27742" w:rsidP="004B3534">
            <w:pPr>
              <w:pStyle w:val="TableText"/>
              <w:widowControl w:val="0"/>
              <w:rPr>
                <w:rFonts w:ascii="Tahoma" w:hAnsi="Tahoma" w:cs="Tahoma"/>
                <w:sz w:val="13"/>
              </w:rPr>
            </w:pPr>
            <w:r w:rsidRPr="003410C7">
              <w:rPr>
                <w:rFonts w:ascii="Tahoma" w:hAnsi="Tahoma" w:cs="Tahoma"/>
                <w:sz w:val="13"/>
              </w:rPr>
              <w:t>2</w:t>
            </w:r>
          </w:p>
        </w:tc>
        <w:tc>
          <w:tcPr>
            <w:tcW w:w="429" w:type="dxa"/>
            <w:tcBorders>
              <w:bottom w:val="single" w:sz="4" w:space="0" w:color="auto"/>
            </w:tcBorders>
            <w:shd w:val="clear" w:color="auto" w:fill="auto"/>
            <w:vAlign w:val="center"/>
          </w:tcPr>
          <w:p w:rsidR="00B27742" w:rsidRPr="003410C7" w:rsidRDefault="00B27742" w:rsidP="004B3534">
            <w:pPr>
              <w:pStyle w:val="TableText"/>
              <w:widowControl w:val="0"/>
              <w:rPr>
                <w:rFonts w:ascii="Tahoma" w:hAnsi="Tahoma" w:cs="Tahoma"/>
                <w:sz w:val="13"/>
              </w:rPr>
            </w:pPr>
            <w:r w:rsidRPr="003410C7">
              <w:rPr>
                <w:rFonts w:ascii="Tahoma" w:hAnsi="Tahoma" w:cs="Tahoma"/>
                <w:sz w:val="13"/>
              </w:rPr>
              <w:t>2</w:t>
            </w:r>
          </w:p>
        </w:tc>
        <w:tc>
          <w:tcPr>
            <w:tcW w:w="429" w:type="dxa"/>
            <w:tcBorders>
              <w:bottom w:val="single" w:sz="4" w:space="0" w:color="auto"/>
            </w:tcBorders>
            <w:shd w:val="clear" w:color="auto" w:fill="auto"/>
            <w:vAlign w:val="center"/>
          </w:tcPr>
          <w:p w:rsidR="00B27742" w:rsidRPr="003410C7" w:rsidRDefault="00B27742" w:rsidP="004B3534">
            <w:pPr>
              <w:pStyle w:val="TableText"/>
              <w:widowControl w:val="0"/>
              <w:rPr>
                <w:rFonts w:ascii="Tahoma" w:hAnsi="Tahoma" w:cs="Tahoma"/>
                <w:sz w:val="13"/>
              </w:rPr>
            </w:pPr>
            <w:r w:rsidRPr="003410C7">
              <w:rPr>
                <w:rFonts w:ascii="Tahoma" w:hAnsi="Tahoma" w:cs="Tahoma"/>
                <w:sz w:val="13"/>
              </w:rPr>
              <w:t>1</w:t>
            </w:r>
          </w:p>
        </w:tc>
        <w:tc>
          <w:tcPr>
            <w:tcW w:w="429" w:type="dxa"/>
            <w:tcBorders>
              <w:bottom w:val="single" w:sz="4" w:space="0" w:color="auto"/>
              <w:right w:val="single" w:sz="18" w:space="0" w:color="auto"/>
            </w:tcBorders>
            <w:shd w:val="clear" w:color="auto" w:fill="auto"/>
            <w:vAlign w:val="center"/>
          </w:tcPr>
          <w:p w:rsidR="00B27742" w:rsidRPr="003410C7" w:rsidRDefault="00B27742" w:rsidP="004B3534">
            <w:pPr>
              <w:pStyle w:val="TableText"/>
              <w:widowControl w:val="0"/>
              <w:rPr>
                <w:rFonts w:ascii="Tahoma" w:hAnsi="Tahoma" w:cs="Tahoma"/>
                <w:sz w:val="13"/>
              </w:rPr>
            </w:pPr>
            <w:r w:rsidRPr="003410C7">
              <w:rPr>
                <w:rFonts w:ascii="Tahoma" w:hAnsi="Tahoma" w:cs="Tahoma"/>
                <w:sz w:val="13"/>
              </w:rPr>
              <w:t>1</w:t>
            </w:r>
          </w:p>
        </w:tc>
        <w:tc>
          <w:tcPr>
            <w:tcW w:w="429" w:type="dxa"/>
            <w:tcBorders>
              <w:left w:val="single" w:sz="18" w:space="0" w:color="auto"/>
              <w:bottom w:val="single" w:sz="4" w:space="0" w:color="auto"/>
            </w:tcBorders>
            <w:shd w:val="clear" w:color="auto" w:fill="auto"/>
            <w:vAlign w:val="center"/>
          </w:tcPr>
          <w:p w:rsidR="00B27742" w:rsidRPr="003410C7" w:rsidRDefault="00B27742" w:rsidP="004B3534">
            <w:pPr>
              <w:pStyle w:val="TableText"/>
              <w:widowControl w:val="0"/>
              <w:rPr>
                <w:rFonts w:ascii="Tahoma" w:hAnsi="Tahoma" w:cs="Tahoma"/>
                <w:sz w:val="13"/>
              </w:rPr>
            </w:pPr>
            <w:r w:rsidRPr="003410C7">
              <w:rPr>
                <w:rFonts w:ascii="Tahoma" w:hAnsi="Tahoma" w:cs="Tahoma"/>
                <w:sz w:val="13"/>
              </w:rPr>
              <w:t>1</w:t>
            </w:r>
          </w:p>
        </w:tc>
        <w:tc>
          <w:tcPr>
            <w:tcW w:w="429" w:type="dxa"/>
            <w:tcBorders>
              <w:bottom w:val="single" w:sz="4" w:space="0" w:color="auto"/>
            </w:tcBorders>
            <w:shd w:val="clear" w:color="auto" w:fill="auto"/>
            <w:vAlign w:val="center"/>
          </w:tcPr>
          <w:p w:rsidR="00B27742" w:rsidRPr="003410C7" w:rsidRDefault="00B27742" w:rsidP="004B3534">
            <w:pPr>
              <w:pStyle w:val="TableText"/>
              <w:widowControl w:val="0"/>
              <w:rPr>
                <w:rFonts w:ascii="Tahoma" w:hAnsi="Tahoma" w:cs="Tahoma"/>
                <w:sz w:val="13"/>
              </w:rPr>
            </w:pPr>
            <w:r w:rsidRPr="003410C7">
              <w:rPr>
                <w:rFonts w:ascii="Tahoma" w:hAnsi="Tahoma" w:cs="Tahoma"/>
                <w:sz w:val="13"/>
              </w:rPr>
              <w:t>2</w:t>
            </w:r>
          </w:p>
        </w:tc>
        <w:tc>
          <w:tcPr>
            <w:tcW w:w="442" w:type="dxa"/>
            <w:tcBorders>
              <w:bottom w:val="single" w:sz="4" w:space="0" w:color="auto"/>
              <w:right w:val="single" w:sz="18" w:space="0" w:color="auto"/>
            </w:tcBorders>
            <w:shd w:val="clear" w:color="auto" w:fill="auto"/>
            <w:vAlign w:val="center"/>
          </w:tcPr>
          <w:p w:rsidR="00B27742" w:rsidRPr="003410C7" w:rsidRDefault="00B27742" w:rsidP="004B3534">
            <w:pPr>
              <w:pStyle w:val="TableText"/>
              <w:widowControl w:val="0"/>
              <w:rPr>
                <w:rFonts w:ascii="Tahoma" w:hAnsi="Tahoma" w:cs="Tahoma"/>
                <w:sz w:val="13"/>
              </w:rPr>
            </w:pPr>
            <w:r w:rsidRPr="003410C7">
              <w:rPr>
                <w:rFonts w:ascii="Tahoma" w:hAnsi="Tahoma" w:cs="Tahoma"/>
                <w:sz w:val="13"/>
              </w:rPr>
              <w:t>1</w:t>
            </w:r>
          </w:p>
        </w:tc>
        <w:tc>
          <w:tcPr>
            <w:tcW w:w="495" w:type="dxa"/>
            <w:tcBorders>
              <w:left w:val="single" w:sz="18" w:space="0" w:color="auto"/>
              <w:bottom w:val="single" w:sz="4" w:space="0" w:color="auto"/>
            </w:tcBorders>
            <w:shd w:val="clear" w:color="auto" w:fill="auto"/>
            <w:vAlign w:val="center"/>
          </w:tcPr>
          <w:p w:rsidR="00B27742" w:rsidRPr="003410C7" w:rsidRDefault="00B27742" w:rsidP="004B3534">
            <w:pPr>
              <w:pStyle w:val="TableText"/>
              <w:widowControl w:val="0"/>
              <w:rPr>
                <w:rFonts w:ascii="Tahoma" w:hAnsi="Tahoma" w:cs="Tahoma"/>
                <w:sz w:val="13"/>
              </w:rPr>
            </w:pPr>
          </w:p>
        </w:tc>
        <w:tc>
          <w:tcPr>
            <w:tcW w:w="459" w:type="dxa"/>
            <w:tcBorders>
              <w:bottom w:val="single" w:sz="4" w:space="0" w:color="auto"/>
              <w:right w:val="single" w:sz="18" w:space="0" w:color="auto"/>
            </w:tcBorders>
            <w:shd w:val="clear" w:color="auto" w:fill="auto"/>
            <w:vAlign w:val="center"/>
          </w:tcPr>
          <w:p w:rsidR="00B27742" w:rsidRPr="003410C7" w:rsidRDefault="00B27742" w:rsidP="004B3534">
            <w:pPr>
              <w:pStyle w:val="TableText"/>
              <w:widowControl w:val="0"/>
              <w:rPr>
                <w:rFonts w:ascii="Tahoma" w:hAnsi="Tahoma" w:cs="Tahoma"/>
                <w:sz w:val="13"/>
              </w:rPr>
            </w:pPr>
          </w:p>
        </w:tc>
        <w:tc>
          <w:tcPr>
            <w:tcW w:w="360" w:type="dxa"/>
            <w:tcBorders>
              <w:left w:val="single" w:sz="18" w:space="0" w:color="auto"/>
              <w:bottom w:val="single" w:sz="4" w:space="0" w:color="auto"/>
              <w:right w:val="single" w:sz="18" w:space="0" w:color="auto"/>
            </w:tcBorders>
            <w:shd w:val="clear" w:color="auto" w:fill="auto"/>
            <w:vAlign w:val="center"/>
          </w:tcPr>
          <w:p w:rsidR="00B27742" w:rsidRPr="003410C7" w:rsidRDefault="00B27742" w:rsidP="004B3534">
            <w:pPr>
              <w:pStyle w:val="TableText"/>
              <w:widowControl w:val="0"/>
              <w:rPr>
                <w:rFonts w:ascii="Tahoma" w:hAnsi="Tahoma" w:cs="Tahoma"/>
                <w:sz w:val="13"/>
              </w:rPr>
            </w:pPr>
            <w:r w:rsidRPr="003410C7">
              <w:rPr>
                <w:rFonts w:ascii="Tahoma" w:hAnsi="Tahoma" w:cs="Tahoma"/>
                <w:sz w:val="13"/>
              </w:rPr>
              <w:t>P</w:t>
            </w:r>
          </w:p>
        </w:tc>
        <w:tc>
          <w:tcPr>
            <w:tcW w:w="474" w:type="dxa"/>
            <w:tcBorders>
              <w:bottom w:val="single" w:sz="4" w:space="0" w:color="auto"/>
            </w:tcBorders>
            <w:shd w:val="clear" w:color="auto" w:fill="auto"/>
            <w:vAlign w:val="center"/>
          </w:tcPr>
          <w:p w:rsidR="00B27742" w:rsidRPr="003410C7" w:rsidRDefault="00B27742" w:rsidP="00080B33">
            <w:pPr>
              <w:pStyle w:val="TableText"/>
              <w:widowControl w:val="0"/>
              <w:rPr>
                <w:rFonts w:ascii="Tahoma" w:hAnsi="Tahoma" w:cs="Tahoma"/>
                <w:sz w:val="13"/>
              </w:rPr>
            </w:pPr>
          </w:p>
        </w:tc>
        <w:tc>
          <w:tcPr>
            <w:tcW w:w="514" w:type="dxa"/>
            <w:tcBorders>
              <w:bottom w:val="single" w:sz="4" w:space="0" w:color="auto"/>
            </w:tcBorders>
            <w:shd w:val="clear" w:color="auto" w:fill="auto"/>
            <w:vAlign w:val="center"/>
          </w:tcPr>
          <w:p w:rsidR="00B27742" w:rsidRPr="003410C7" w:rsidRDefault="00B27742" w:rsidP="004B3534">
            <w:pPr>
              <w:pStyle w:val="TableText"/>
              <w:widowControl w:val="0"/>
              <w:rPr>
                <w:rFonts w:ascii="Tahoma" w:hAnsi="Tahoma" w:cs="Tahoma"/>
                <w:sz w:val="13"/>
              </w:rPr>
            </w:pPr>
          </w:p>
        </w:tc>
      </w:tr>
      <w:tr w:rsidR="00EF228F" w:rsidRPr="003410C7" w:rsidTr="002A074D">
        <w:trPr>
          <w:cantSplit/>
          <w:trHeight w:val="287"/>
        </w:trPr>
        <w:tc>
          <w:tcPr>
            <w:tcW w:w="2638" w:type="dxa"/>
            <w:tcBorders>
              <w:bottom w:val="single" w:sz="4" w:space="0" w:color="auto"/>
            </w:tcBorders>
            <w:shd w:val="clear" w:color="auto" w:fill="FABF8F"/>
            <w:vAlign w:val="center"/>
          </w:tcPr>
          <w:p w:rsidR="00B27742" w:rsidRPr="003410C7" w:rsidRDefault="00B27742" w:rsidP="003410C7">
            <w:pPr>
              <w:pStyle w:val="Heading2"/>
              <w:spacing w:beforeLines="20" w:before="48" w:afterLines="20" w:after="48"/>
              <w:ind w:left="0"/>
              <w:rPr>
                <w:rFonts w:ascii="Tahoma" w:hAnsi="Tahoma" w:cs="Tahoma"/>
                <w:b w:val="0"/>
                <w:sz w:val="14"/>
              </w:rPr>
            </w:pPr>
            <w:bookmarkStart w:id="32" w:name="_Toc336337854"/>
            <w:bookmarkStart w:id="33" w:name="_Toc352234455"/>
            <w:r w:rsidRPr="003410C7">
              <w:rPr>
                <w:rFonts w:ascii="Tahoma" w:hAnsi="Tahoma" w:cs="Tahoma"/>
                <w:b w:val="0"/>
                <w:sz w:val="14"/>
              </w:rPr>
              <w:t xml:space="preserve">Lync </w:t>
            </w:r>
            <w:bookmarkEnd w:id="32"/>
            <w:r w:rsidRPr="003410C7">
              <w:rPr>
                <w:rFonts w:ascii="Tahoma" w:hAnsi="Tahoma" w:cs="Tahoma"/>
                <w:b w:val="0"/>
                <w:sz w:val="14"/>
              </w:rPr>
              <w:t>2013</w:t>
            </w:r>
            <w:bookmarkEnd w:id="33"/>
          </w:p>
        </w:tc>
        <w:tc>
          <w:tcPr>
            <w:tcW w:w="429" w:type="dxa"/>
            <w:tcBorders>
              <w:bottom w:val="single" w:sz="4" w:space="0" w:color="auto"/>
            </w:tcBorders>
            <w:shd w:val="clear" w:color="auto" w:fill="FABF8F"/>
            <w:vAlign w:val="center"/>
          </w:tcPr>
          <w:p w:rsidR="00B27742" w:rsidRPr="009F17FF" w:rsidRDefault="00B27742">
            <w:pPr>
              <w:pStyle w:val="TableText"/>
              <w:widowControl w:val="0"/>
              <w:rPr>
                <w:rStyle w:val="EndnoteReference"/>
                <w:color w:val="0000FF"/>
                <w:sz w:val="13"/>
                <w:szCs w:val="13"/>
                <w:u w:val="single"/>
              </w:rPr>
            </w:pPr>
            <w:bookmarkStart w:id="34" w:name="_Hlt301882262"/>
            <w:bookmarkStart w:id="35" w:name="_Hlt336250688"/>
          </w:p>
        </w:tc>
        <w:bookmarkEnd w:id="34"/>
        <w:bookmarkEnd w:id="35"/>
        <w:tc>
          <w:tcPr>
            <w:tcW w:w="429" w:type="dxa"/>
            <w:tcBorders>
              <w:bottom w:val="single" w:sz="4" w:space="0" w:color="auto"/>
            </w:tcBorders>
            <w:shd w:val="clear" w:color="auto" w:fill="FABF8F"/>
            <w:vAlign w:val="center"/>
          </w:tcPr>
          <w:p w:rsidR="00B27742" w:rsidRPr="003410C7" w:rsidRDefault="00B27742" w:rsidP="004000C7">
            <w:pPr>
              <w:pStyle w:val="TableText"/>
              <w:widowControl w:val="0"/>
              <w:rPr>
                <w:rFonts w:ascii="Tahoma" w:hAnsi="Tahoma" w:cs="Tahoma"/>
                <w:sz w:val="13"/>
              </w:rPr>
            </w:pPr>
            <w:r w:rsidRPr="003410C7">
              <w:rPr>
                <w:rFonts w:ascii="Tahoma" w:hAnsi="Tahoma" w:cs="Tahoma"/>
                <w:sz w:val="13"/>
              </w:rPr>
              <w:t>10/12</w:t>
            </w:r>
          </w:p>
        </w:tc>
        <w:tc>
          <w:tcPr>
            <w:tcW w:w="429" w:type="dxa"/>
            <w:tcBorders>
              <w:bottom w:val="single" w:sz="4" w:space="0" w:color="auto"/>
              <w:right w:val="single" w:sz="18" w:space="0" w:color="auto"/>
            </w:tcBorders>
            <w:shd w:val="clear" w:color="auto" w:fill="FABF8F"/>
            <w:vAlign w:val="center"/>
          </w:tcPr>
          <w:p w:rsidR="00B27742" w:rsidRPr="003410C7" w:rsidRDefault="00B27742" w:rsidP="004B3534">
            <w:pPr>
              <w:pStyle w:val="TableText"/>
              <w:widowControl w:val="0"/>
              <w:rPr>
                <w:rFonts w:ascii="Tahoma" w:hAnsi="Tahoma" w:cs="Tahoma"/>
                <w:sz w:val="13"/>
              </w:rPr>
            </w:pPr>
            <w:r w:rsidRPr="003410C7">
              <w:rPr>
                <w:rFonts w:ascii="Tahoma" w:hAnsi="Tahoma" w:cs="Tahoma"/>
                <w:sz w:val="13"/>
              </w:rPr>
              <w:t>DT</w:t>
            </w:r>
          </w:p>
        </w:tc>
        <w:tc>
          <w:tcPr>
            <w:tcW w:w="429" w:type="dxa"/>
            <w:tcBorders>
              <w:left w:val="single" w:sz="18" w:space="0" w:color="auto"/>
              <w:bottom w:val="single" w:sz="4" w:space="0" w:color="auto"/>
            </w:tcBorders>
            <w:shd w:val="clear" w:color="auto" w:fill="FABF8F"/>
            <w:vAlign w:val="center"/>
          </w:tcPr>
          <w:p w:rsidR="00B27742" w:rsidRPr="003410C7" w:rsidRDefault="00B27742" w:rsidP="004B3534">
            <w:pPr>
              <w:pStyle w:val="TableText"/>
              <w:widowControl w:val="0"/>
              <w:rPr>
                <w:rFonts w:ascii="Tahoma" w:hAnsi="Tahoma" w:cs="Tahoma"/>
                <w:sz w:val="13"/>
              </w:rPr>
            </w:pPr>
            <w:r w:rsidRPr="003410C7">
              <w:rPr>
                <w:rFonts w:ascii="Tahoma" w:hAnsi="Tahoma" w:cs="Tahoma"/>
                <w:sz w:val="13"/>
              </w:rPr>
              <w:t>1</w:t>
            </w:r>
          </w:p>
        </w:tc>
        <w:tc>
          <w:tcPr>
            <w:tcW w:w="429" w:type="dxa"/>
            <w:tcBorders>
              <w:bottom w:val="single" w:sz="4" w:space="0" w:color="auto"/>
            </w:tcBorders>
            <w:shd w:val="clear" w:color="auto" w:fill="FABF8F"/>
            <w:vAlign w:val="center"/>
          </w:tcPr>
          <w:p w:rsidR="00B27742" w:rsidRPr="003410C7" w:rsidRDefault="00B27742" w:rsidP="004B3534">
            <w:pPr>
              <w:pStyle w:val="TableText"/>
              <w:widowControl w:val="0"/>
              <w:rPr>
                <w:rFonts w:ascii="Tahoma" w:hAnsi="Tahoma" w:cs="Tahoma"/>
                <w:sz w:val="13"/>
              </w:rPr>
            </w:pPr>
            <w:r w:rsidRPr="003410C7">
              <w:rPr>
                <w:rFonts w:ascii="Tahoma" w:hAnsi="Tahoma" w:cs="Tahoma"/>
                <w:sz w:val="13"/>
              </w:rPr>
              <w:t>3</w:t>
            </w:r>
          </w:p>
        </w:tc>
        <w:tc>
          <w:tcPr>
            <w:tcW w:w="429" w:type="dxa"/>
            <w:tcBorders>
              <w:bottom w:val="single" w:sz="4" w:space="0" w:color="auto"/>
            </w:tcBorders>
            <w:shd w:val="clear" w:color="auto" w:fill="FABF8F"/>
            <w:vAlign w:val="center"/>
          </w:tcPr>
          <w:p w:rsidR="00B27742" w:rsidRPr="003410C7" w:rsidRDefault="00B27742" w:rsidP="004B3534">
            <w:pPr>
              <w:pStyle w:val="TableText"/>
              <w:widowControl w:val="0"/>
              <w:rPr>
                <w:rFonts w:ascii="Tahoma" w:hAnsi="Tahoma" w:cs="Tahoma"/>
                <w:sz w:val="13"/>
              </w:rPr>
            </w:pPr>
            <w:r w:rsidRPr="003410C7">
              <w:rPr>
                <w:rFonts w:ascii="Tahoma" w:hAnsi="Tahoma" w:cs="Tahoma"/>
                <w:sz w:val="13"/>
              </w:rPr>
              <w:t>2</w:t>
            </w:r>
          </w:p>
        </w:tc>
        <w:tc>
          <w:tcPr>
            <w:tcW w:w="429" w:type="dxa"/>
            <w:tcBorders>
              <w:bottom w:val="single" w:sz="4" w:space="0" w:color="auto"/>
            </w:tcBorders>
            <w:shd w:val="clear" w:color="auto" w:fill="FABF8F"/>
            <w:vAlign w:val="center"/>
          </w:tcPr>
          <w:p w:rsidR="00B27742" w:rsidRPr="003410C7" w:rsidRDefault="00B27742" w:rsidP="004B3534">
            <w:pPr>
              <w:pStyle w:val="TableText"/>
              <w:widowControl w:val="0"/>
              <w:rPr>
                <w:rFonts w:ascii="Tahoma" w:hAnsi="Tahoma" w:cs="Tahoma"/>
                <w:sz w:val="13"/>
              </w:rPr>
            </w:pPr>
            <w:r w:rsidRPr="003410C7">
              <w:rPr>
                <w:rFonts w:ascii="Tahoma" w:hAnsi="Tahoma" w:cs="Tahoma"/>
                <w:sz w:val="13"/>
              </w:rPr>
              <w:t>2</w:t>
            </w:r>
          </w:p>
        </w:tc>
        <w:tc>
          <w:tcPr>
            <w:tcW w:w="429" w:type="dxa"/>
            <w:tcBorders>
              <w:bottom w:val="single" w:sz="4" w:space="0" w:color="auto"/>
            </w:tcBorders>
            <w:shd w:val="clear" w:color="auto" w:fill="FABF8F"/>
            <w:vAlign w:val="center"/>
          </w:tcPr>
          <w:p w:rsidR="00B27742" w:rsidRPr="003410C7" w:rsidRDefault="00B27742" w:rsidP="004B3534">
            <w:pPr>
              <w:pStyle w:val="TableText"/>
              <w:widowControl w:val="0"/>
              <w:rPr>
                <w:rFonts w:ascii="Tahoma" w:hAnsi="Tahoma" w:cs="Tahoma"/>
                <w:sz w:val="13"/>
              </w:rPr>
            </w:pPr>
            <w:r w:rsidRPr="003410C7">
              <w:rPr>
                <w:rFonts w:ascii="Tahoma" w:hAnsi="Tahoma" w:cs="Tahoma"/>
                <w:sz w:val="13"/>
              </w:rPr>
              <w:t>2</w:t>
            </w:r>
          </w:p>
        </w:tc>
        <w:tc>
          <w:tcPr>
            <w:tcW w:w="429" w:type="dxa"/>
            <w:tcBorders>
              <w:bottom w:val="single" w:sz="4" w:space="0" w:color="auto"/>
            </w:tcBorders>
            <w:shd w:val="clear" w:color="auto" w:fill="FABF8F"/>
            <w:vAlign w:val="center"/>
          </w:tcPr>
          <w:p w:rsidR="00B27742" w:rsidRPr="003410C7" w:rsidRDefault="00B27742" w:rsidP="004B3534">
            <w:pPr>
              <w:pStyle w:val="TableText"/>
              <w:widowControl w:val="0"/>
              <w:rPr>
                <w:rFonts w:ascii="Tahoma" w:hAnsi="Tahoma" w:cs="Tahoma"/>
                <w:sz w:val="13"/>
              </w:rPr>
            </w:pPr>
            <w:r w:rsidRPr="003410C7">
              <w:rPr>
                <w:rFonts w:ascii="Tahoma" w:hAnsi="Tahoma" w:cs="Tahoma"/>
                <w:sz w:val="13"/>
              </w:rPr>
              <w:t>1</w:t>
            </w:r>
          </w:p>
        </w:tc>
        <w:tc>
          <w:tcPr>
            <w:tcW w:w="429" w:type="dxa"/>
            <w:tcBorders>
              <w:bottom w:val="single" w:sz="4" w:space="0" w:color="auto"/>
              <w:right w:val="single" w:sz="18" w:space="0" w:color="auto"/>
            </w:tcBorders>
            <w:shd w:val="clear" w:color="auto" w:fill="FABF8F"/>
            <w:vAlign w:val="center"/>
          </w:tcPr>
          <w:p w:rsidR="00B27742" w:rsidRPr="003410C7" w:rsidRDefault="00B27742" w:rsidP="004B3534">
            <w:pPr>
              <w:pStyle w:val="TableText"/>
              <w:widowControl w:val="0"/>
              <w:rPr>
                <w:rFonts w:ascii="Tahoma" w:hAnsi="Tahoma" w:cs="Tahoma"/>
                <w:sz w:val="13"/>
              </w:rPr>
            </w:pPr>
            <w:r w:rsidRPr="003410C7">
              <w:rPr>
                <w:rFonts w:ascii="Tahoma" w:hAnsi="Tahoma" w:cs="Tahoma"/>
                <w:sz w:val="13"/>
              </w:rPr>
              <w:t>1</w:t>
            </w:r>
          </w:p>
        </w:tc>
        <w:tc>
          <w:tcPr>
            <w:tcW w:w="429" w:type="dxa"/>
            <w:tcBorders>
              <w:left w:val="single" w:sz="18" w:space="0" w:color="auto"/>
              <w:bottom w:val="single" w:sz="4" w:space="0" w:color="auto"/>
            </w:tcBorders>
            <w:shd w:val="clear" w:color="auto" w:fill="FABF8F"/>
            <w:vAlign w:val="center"/>
          </w:tcPr>
          <w:p w:rsidR="00B27742" w:rsidRPr="003410C7" w:rsidRDefault="00B27742" w:rsidP="004B3534">
            <w:pPr>
              <w:pStyle w:val="TableText"/>
              <w:widowControl w:val="0"/>
              <w:rPr>
                <w:rFonts w:ascii="Tahoma" w:hAnsi="Tahoma" w:cs="Tahoma"/>
                <w:sz w:val="13"/>
              </w:rPr>
            </w:pPr>
            <w:r w:rsidRPr="003410C7">
              <w:rPr>
                <w:rFonts w:ascii="Tahoma" w:hAnsi="Tahoma" w:cs="Tahoma"/>
                <w:sz w:val="13"/>
              </w:rPr>
              <w:t>1</w:t>
            </w:r>
          </w:p>
        </w:tc>
        <w:tc>
          <w:tcPr>
            <w:tcW w:w="429" w:type="dxa"/>
            <w:tcBorders>
              <w:bottom w:val="single" w:sz="4" w:space="0" w:color="auto"/>
            </w:tcBorders>
            <w:shd w:val="clear" w:color="auto" w:fill="FABF8F"/>
            <w:vAlign w:val="center"/>
          </w:tcPr>
          <w:p w:rsidR="00B27742" w:rsidRPr="003410C7" w:rsidRDefault="00B27742" w:rsidP="004B3534">
            <w:pPr>
              <w:pStyle w:val="TableText"/>
              <w:widowControl w:val="0"/>
              <w:rPr>
                <w:rFonts w:ascii="Tahoma" w:hAnsi="Tahoma" w:cs="Tahoma"/>
                <w:sz w:val="13"/>
              </w:rPr>
            </w:pPr>
            <w:r w:rsidRPr="003410C7">
              <w:rPr>
                <w:rFonts w:ascii="Tahoma" w:hAnsi="Tahoma" w:cs="Tahoma"/>
                <w:sz w:val="13"/>
              </w:rPr>
              <w:t>2</w:t>
            </w:r>
          </w:p>
        </w:tc>
        <w:tc>
          <w:tcPr>
            <w:tcW w:w="442" w:type="dxa"/>
            <w:tcBorders>
              <w:bottom w:val="single" w:sz="4" w:space="0" w:color="auto"/>
              <w:right w:val="single" w:sz="18" w:space="0" w:color="auto"/>
            </w:tcBorders>
            <w:shd w:val="clear" w:color="auto" w:fill="FABF8F"/>
            <w:vAlign w:val="center"/>
          </w:tcPr>
          <w:p w:rsidR="00B27742" w:rsidRPr="003410C7" w:rsidRDefault="00B27742" w:rsidP="004B3534">
            <w:pPr>
              <w:pStyle w:val="TableText"/>
              <w:widowControl w:val="0"/>
              <w:rPr>
                <w:rFonts w:ascii="Tahoma" w:hAnsi="Tahoma" w:cs="Tahoma"/>
                <w:sz w:val="13"/>
              </w:rPr>
            </w:pPr>
            <w:r w:rsidRPr="003410C7">
              <w:rPr>
                <w:rFonts w:ascii="Tahoma" w:hAnsi="Tahoma" w:cs="Tahoma"/>
                <w:sz w:val="13"/>
              </w:rPr>
              <w:t>1</w:t>
            </w:r>
          </w:p>
        </w:tc>
        <w:tc>
          <w:tcPr>
            <w:tcW w:w="495" w:type="dxa"/>
            <w:tcBorders>
              <w:left w:val="single" w:sz="18" w:space="0" w:color="auto"/>
              <w:bottom w:val="single" w:sz="4" w:space="0" w:color="auto"/>
            </w:tcBorders>
            <w:shd w:val="clear" w:color="auto" w:fill="FABF8F"/>
            <w:vAlign w:val="center"/>
          </w:tcPr>
          <w:p w:rsidR="00B27742" w:rsidRPr="003410C7" w:rsidRDefault="00B27742" w:rsidP="004B3534">
            <w:pPr>
              <w:pStyle w:val="TableText"/>
              <w:widowControl w:val="0"/>
              <w:rPr>
                <w:rFonts w:ascii="Tahoma" w:hAnsi="Tahoma" w:cs="Tahoma"/>
                <w:sz w:val="13"/>
              </w:rPr>
            </w:pPr>
            <w:r w:rsidRPr="003410C7">
              <w:rPr>
                <w:rFonts w:ascii="Tahoma" w:hAnsi="Tahoma" w:cs="Tahoma"/>
                <w:sz w:val="13"/>
              </w:rPr>
              <w:t>1</w:t>
            </w:r>
          </w:p>
        </w:tc>
        <w:tc>
          <w:tcPr>
            <w:tcW w:w="459" w:type="dxa"/>
            <w:tcBorders>
              <w:bottom w:val="single" w:sz="4" w:space="0" w:color="auto"/>
              <w:right w:val="single" w:sz="18" w:space="0" w:color="auto"/>
            </w:tcBorders>
            <w:shd w:val="clear" w:color="auto" w:fill="FABF8F"/>
            <w:vAlign w:val="center"/>
          </w:tcPr>
          <w:p w:rsidR="00B27742" w:rsidRPr="003410C7" w:rsidRDefault="00B27742" w:rsidP="004B3534">
            <w:pPr>
              <w:pStyle w:val="TableText"/>
              <w:widowControl w:val="0"/>
              <w:rPr>
                <w:rFonts w:ascii="Tahoma" w:hAnsi="Tahoma" w:cs="Tahoma"/>
                <w:sz w:val="13"/>
              </w:rPr>
            </w:pPr>
            <w:r w:rsidRPr="003410C7">
              <w:rPr>
                <w:rFonts w:ascii="Tahoma" w:hAnsi="Tahoma" w:cs="Tahoma"/>
                <w:sz w:val="13"/>
              </w:rPr>
              <w:t>A</w:t>
            </w:r>
          </w:p>
        </w:tc>
        <w:tc>
          <w:tcPr>
            <w:tcW w:w="360" w:type="dxa"/>
            <w:tcBorders>
              <w:left w:val="single" w:sz="18" w:space="0" w:color="auto"/>
              <w:bottom w:val="single" w:sz="4" w:space="0" w:color="auto"/>
              <w:right w:val="single" w:sz="18" w:space="0" w:color="auto"/>
            </w:tcBorders>
            <w:shd w:val="clear" w:color="auto" w:fill="FABF8F"/>
            <w:vAlign w:val="center"/>
          </w:tcPr>
          <w:p w:rsidR="00B27742" w:rsidRPr="003410C7" w:rsidRDefault="00B27742" w:rsidP="004B3534">
            <w:pPr>
              <w:pStyle w:val="TableText"/>
              <w:widowControl w:val="0"/>
              <w:rPr>
                <w:rFonts w:ascii="Tahoma" w:hAnsi="Tahoma" w:cs="Tahoma"/>
                <w:sz w:val="13"/>
              </w:rPr>
            </w:pPr>
            <w:r w:rsidRPr="003410C7">
              <w:rPr>
                <w:rFonts w:ascii="Tahoma" w:hAnsi="Tahoma" w:cs="Tahoma"/>
                <w:sz w:val="13"/>
              </w:rPr>
              <w:t>P</w:t>
            </w:r>
          </w:p>
        </w:tc>
        <w:tc>
          <w:tcPr>
            <w:tcW w:w="474" w:type="dxa"/>
            <w:tcBorders>
              <w:bottom w:val="single" w:sz="4" w:space="0" w:color="auto"/>
            </w:tcBorders>
            <w:shd w:val="clear" w:color="auto" w:fill="FABF8F"/>
            <w:vAlign w:val="center"/>
          </w:tcPr>
          <w:p w:rsidR="00B27742" w:rsidRPr="003410C7" w:rsidRDefault="00F440FF" w:rsidP="00080B33">
            <w:pPr>
              <w:pStyle w:val="TableText"/>
              <w:widowControl w:val="0"/>
              <w:rPr>
                <w:rFonts w:ascii="Tahoma" w:hAnsi="Tahoma" w:cs="Tahoma"/>
                <w:sz w:val="13"/>
              </w:rPr>
            </w:pPr>
            <w:r w:rsidRPr="003410C7">
              <w:rPr>
                <w:rFonts w:ascii="Tahoma" w:hAnsi="Tahoma" w:cs="Tahoma"/>
                <w:sz w:val="13"/>
              </w:rPr>
              <w:t>A, ST</w:t>
            </w:r>
          </w:p>
        </w:tc>
        <w:tc>
          <w:tcPr>
            <w:tcW w:w="514" w:type="dxa"/>
            <w:tcBorders>
              <w:bottom w:val="single" w:sz="4" w:space="0" w:color="auto"/>
            </w:tcBorders>
            <w:shd w:val="clear" w:color="auto" w:fill="FABF8F"/>
            <w:vAlign w:val="center"/>
          </w:tcPr>
          <w:p w:rsidR="00B27742" w:rsidRPr="003410C7" w:rsidRDefault="00B27742" w:rsidP="004B3534">
            <w:pPr>
              <w:pStyle w:val="TableText"/>
              <w:widowControl w:val="0"/>
              <w:rPr>
                <w:rFonts w:ascii="Tahoma" w:hAnsi="Tahoma" w:cs="Tahoma"/>
                <w:sz w:val="13"/>
              </w:rPr>
            </w:pPr>
          </w:p>
        </w:tc>
      </w:tr>
      <w:tr w:rsidR="00B33D0E" w:rsidRPr="003410C7" w:rsidTr="002A074D">
        <w:trPr>
          <w:cantSplit/>
          <w:trHeight w:val="287"/>
        </w:trPr>
        <w:tc>
          <w:tcPr>
            <w:tcW w:w="2638" w:type="dxa"/>
            <w:tcBorders>
              <w:bottom w:val="single" w:sz="4" w:space="0" w:color="auto"/>
            </w:tcBorders>
            <w:shd w:val="clear" w:color="auto" w:fill="auto"/>
            <w:vAlign w:val="center"/>
          </w:tcPr>
          <w:p w:rsidR="00CA606E" w:rsidRPr="003410C7" w:rsidRDefault="00CA606E" w:rsidP="003410C7">
            <w:pPr>
              <w:pStyle w:val="Heading2"/>
              <w:spacing w:beforeLines="20" w:before="48" w:afterLines="20" w:after="48"/>
              <w:ind w:left="0"/>
              <w:rPr>
                <w:rFonts w:ascii="Tahoma" w:hAnsi="Tahoma" w:cs="Tahoma"/>
                <w:b w:val="0"/>
                <w:sz w:val="14"/>
              </w:rPr>
            </w:pPr>
            <w:bookmarkStart w:id="36" w:name="_Toc336337855"/>
            <w:bookmarkStart w:id="37" w:name="_Toc352234456"/>
            <w:r w:rsidRPr="003410C7">
              <w:rPr>
                <w:rFonts w:ascii="Tahoma" w:hAnsi="Tahoma" w:cs="Tahoma"/>
                <w:b w:val="0"/>
                <w:sz w:val="14"/>
              </w:rPr>
              <w:t>Lync per Mac 2011</w:t>
            </w:r>
            <w:bookmarkEnd w:id="36"/>
            <w:bookmarkEnd w:id="37"/>
          </w:p>
        </w:tc>
        <w:tc>
          <w:tcPr>
            <w:tcW w:w="429" w:type="dxa"/>
            <w:tcBorders>
              <w:bottom w:val="single" w:sz="4" w:space="0" w:color="auto"/>
            </w:tcBorders>
            <w:shd w:val="clear" w:color="auto" w:fill="auto"/>
            <w:vAlign w:val="center"/>
          </w:tcPr>
          <w:p w:rsidR="00CA606E" w:rsidRPr="009F17FF" w:rsidRDefault="00FC1A4D" w:rsidP="009832D3">
            <w:pPr>
              <w:pStyle w:val="TableText"/>
              <w:widowControl w:val="0"/>
              <w:rPr>
                <w:rStyle w:val="EndnoteReference"/>
                <w:color w:val="0000FF"/>
                <w:sz w:val="13"/>
                <w:szCs w:val="13"/>
                <w:u w:val="single"/>
              </w:rPr>
            </w:pPr>
            <w:hyperlink w:anchor="_23_Lync_for" w:history="1">
              <w:r w:rsidR="000D77F6" w:rsidRPr="009F17FF">
                <w:rPr>
                  <w:rStyle w:val="Hyperlink"/>
                  <w:sz w:val="13"/>
                  <w:szCs w:val="13"/>
                </w:rPr>
                <w:t>2</w:t>
              </w:r>
            </w:hyperlink>
          </w:p>
        </w:tc>
        <w:tc>
          <w:tcPr>
            <w:tcW w:w="429" w:type="dxa"/>
            <w:tcBorders>
              <w:bottom w:val="single" w:sz="4" w:space="0" w:color="auto"/>
            </w:tcBorders>
            <w:shd w:val="clear" w:color="auto" w:fill="auto"/>
            <w:vAlign w:val="center"/>
          </w:tcPr>
          <w:p w:rsidR="00CA606E" w:rsidRPr="003410C7" w:rsidRDefault="00C4684B" w:rsidP="004000C7">
            <w:pPr>
              <w:pStyle w:val="TableText"/>
              <w:widowControl w:val="0"/>
              <w:rPr>
                <w:rFonts w:ascii="Tahoma" w:hAnsi="Tahoma" w:cs="Tahoma"/>
                <w:sz w:val="13"/>
              </w:rPr>
            </w:pPr>
            <w:r w:rsidRPr="003410C7">
              <w:rPr>
                <w:rFonts w:ascii="Tahoma" w:hAnsi="Tahoma" w:cs="Tahoma"/>
                <w:sz w:val="13"/>
              </w:rPr>
              <w:t>10/11</w:t>
            </w:r>
          </w:p>
        </w:tc>
        <w:tc>
          <w:tcPr>
            <w:tcW w:w="429" w:type="dxa"/>
            <w:tcBorders>
              <w:bottom w:val="single" w:sz="4" w:space="0" w:color="auto"/>
              <w:right w:val="single" w:sz="18" w:space="0" w:color="auto"/>
            </w:tcBorders>
            <w:shd w:val="clear" w:color="auto" w:fill="auto"/>
            <w:vAlign w:val="center"/>
          </w:tcPr>
          <w:p w:rsidR="00CA606E" w:rsidRPr="003410C7" w:rsidRDefault="00CA606E" w:rsidP="00703595">
            <w:pPr>
              <w:pStyle w:val="TableText"/>
              <w:widowControl w:val="0"/>
              <w:rPr>
                <w:rFonts w:ascii="Tahoma" w:hAnsi="Tahoma" w:cs="Tahoma"/>
                <w:sz w:val="13"/>
              </w:rPr>
            </w:pPr>
            <w:r w:rsidRPr="003410C7">
              <w:rPr>
                <w:rFonts w:ascii="Tahoma" w:hAnsi="Tahoma" w:cs="Tahoma"/>
                <w:sz w:val="13"/>
              </w:rPr>
              <w:t>DT</w:t>
            </w:r>
          </w:p>
        </w:tc>
        <w:tc>
          <w:tcPr>
            <w:tcW w:w="429" w:type="dxa"/>
            <w:tcBorders>
              <w:left w:val="single" w:sz="18" w:space="0" w:color="auto"/>
              <w:bottom w:val="single" w:sz="4" w:space="0" w:color="auto"/>
            </w:tcBorders>
            <w:shd w:val="clear" w:color="auto" w:fill="auto"/>
            <w:vAlign w:val="center"/>
          </w:tcPr>
          <w:p w:rsidR="00CA606E" w:rsidRPr="003410C7" w:rsidRDefault="00CA606E" w:rsidP="00703595">
            <w:pPr>
              <w:pStyle w:val="TableText"/>
              <w:widowControl w:val="0"/>
              <w:rPr>
                <w:rFonts w:ascii="Tahoma" w:hAnsi="Tahoma" w:cs="Tahoma"/>
                <w:sz w:val="13"/>
              </w:rPr>
            </w:pPr>
            <w:r w:rsidRPr="003410C7">
              <w:rPr>
                <w:rFonts w:ascii="Tahoma" w:hAnsi="Tahoma" w:cs="Tahoma"/>
                <w:sz w:val="13"/>
              </w:rPr>
              <w:t>1</w:t>
            </w:r>
          </w:p>
        </w:tc>
        <w:tc>
          <w:tcPr>
            <w:tcW w:w="429" w:type="dxa"/>
            <w:tcBorders>
              <w:bottom w:val="single" w:sz="4" w:space="0" w:color="auto"/>
            </w:tcBorders>
            <w:shd w:val="clear" w:color="auto" w:fill="auto"/>
            <w:vAlign w:val="center"/>
          </w:tcPr>
          <w:p w:rsidR="00CA606E" w:rsidRPr="003410C7" w:rsidRDefault="00CA606E" w:rsidP="00703595">
            <w:pPr>
              <w:pStyle w:val="TableText"/>
              <w:widowControl w:val="0"/>
              <w:rPr>
                <w:rFonts w:ascii="Tahoma" w:hAnsi="Tahoma" w:cs="Tahoma"/>
                <w:sz w:val="13"/>
              </w:rPr>
            </w:pPr>
            <w:r w:rsidRPr="003410C7">
              <w:rPr>
                <w:rFonts w:ascii="Tahoma" w:hAnsi="Tahoma" w:cs="Tahoma"/>
                <w:sz w:val="13"/>
              </w:rPr>
              <w:t>3</w:t>
            </w:r>
          </w:p>
        </w:tc>
        <w:tc>
          <w:tcPr>
            <w:tcW w:w="429" w:type="dxa"/>
            <w:tcBorders>
              <w:bottom w:val="single" w:sz="4" w:space="0" w:color="auto"/>
            </w:tcBorders>
            <w:shd w:val="clear" w:color="auto" w:fill="auto"/>
            <w:vAlign w:val="center"/>
          </w:tcPr>
          <w:p w:rsidR="00CA606E" w:rsidRPr="003410C7" w:rsidRDefault="00CA606E" w:rsidP="00703595">
            <w:pPr>
              <w:pStyle w:val="TableText"/>
              <w:widowControl w:val="0"/>
              <w:rPr>
                <w:rFonts w:ascii="Tahoma" w:hAnsi="Tahoma" w:cs="Tahoma"/>
                <w:sz w:val="13"/>
              </w:rPr>
            </w:pPr>
            <w:r w:rsidRPr="003410C7">
              <w:rPr>
                <w:rFonts w:ascii="Tahoma" w:hAnsi="Tahoma" w:cs="Tahoma"/>
                <w:sz w:val="13"/>
              </w:rPr>
              <w:t>2</w:t>
            </w:r>
          </w:p>
        </w:tc>
        <w:tc>
          <w:tcPr>
            <w:tcW w:w="429" w:type="dxa"/>
            <w:tcBorders>
              <w:bottom w:val="single" w:sz="4" w:space="0" w:color="auto"/>
            </w:tcBorders>
            <w:shd w:val="clear" w:color="auto" w:fill="auto"/>
            <w:vAlign w:val="center"/>
          </w:tcPr>
          <w:p w:rsidR="00CA606E" w:rsidRPr="003410C7" w:rsidRDefault="00CA606E" w:rsidP="00703595">
            <w:pPr>
              <w:pStyle w:val="TableText"/>
              <w:widowControl w:val="0"/>
              <w:rPr>
                <w:rFonts w:ascii="Tahoma" w:hAnsi="Tahoma" w:cs="Tahoma"/>
                <w:sz w:val="13"/>
              </w:rPr>
            </w:pPr>
            <w:r w:rsidRPr="003410C7">
              <w:rPr>
                <w:rFonts w:ascii="Tahoma" w:hAnsi="Tahoma" w:cs="Tahoma"/>
                <w:sz w:val="13"/>
              </w:rPr>
              <w:t>2</w:t>
            </w:r>
          </w:p>
        </w:tc>
        <w:tc>
          <w:tcPr>
            <w:tcW w:w="429" w:type="dxa"/>
            <w:tcBorders>
              <w:bottom w:val="single" w:sz="4" w:space="0" w:color="auto"/>
            </w:tcBorders>
            <w:shd w:val="clear" w:color="auto" w:fill="auto"/>
            <w:vAlign w:val="center"/>
          </w:tcPr>
          <w:p w:rsidR="00CA606E" w:rsidRPr="003410C7" w:rsidRDefault="00CA606E" w:rsidP="00703595">
            <w:pPr>
              <w:pStyle w:val="TableText"/>
              <w:widowControl w:val="0"/>
              <w:rPr>
                <w:rFonts w:ascii="Tahoma" w:hAnsi="Tahoma" w:cs="Tahoma"/>
                <w:sz w:val="13"/>
              </w:rPr>
            </w:pPr>
            <w:r w:rsidRPr="003410C7">
              <w:rPr>
                <w:rFonts w:ascii="Tahoma" w:hAnsi="Tahoma" w:cs="Tahoma"/>
                <w:sz w:val="13"/>
              </w:rPr>
              <w:t>2</w:t>
            </w:r>
          </w:p>
        </w:tc>
        <w:tc>
          <w:tcPr>
            <w:tcW w:w="429" w:type="dxa"/>
            <w:tcBorders>
              <w:bottom w:val="single" w:sz="4" w:space="0" w:color="auto"/>
            </w:tcBorders>
            <w:shd w:val="clear" w:color="auto" w:fill="auto"/>
            <w:vAlign w:val="center"/>
          </w:tcPr>
          <w:p w:rsidR="00CA606E" w:rsidRPr="003410C7" w:rsidRDefault="00CA606E" w:rsidP="00703595">
            <w:pPr>
              <w:pStyle w:val="TableText"/>
              <w:widowControl w:val="0"/>
              <w:rPr>
                <w:rFonts w:ascii="Tahoma" w:hAnsi="Tahoma" w:cs="Tahoma"/>
                <w:sz w:val="13"/>
              </w:rPr>
            </w:pPr>
            <w:r w:rsidRPr="003410C7">
              <w:rPr>
                <w:rFonts w:ascii="Tahoma" w:hAnsi="Tahoma" w:cs="Tahoma"/>
                <w:sz w:val="13"/>
              </w:rPr>
              <w:t>1</w:t>
            </w:r>
          </w:p>
        </w:tc>
        <w:tc>
          <w:tcPr>
            <w:tcW w:w="429" w:type="dxa"/>
            <w:tcBorders>
              <w:bottom w:val="single" w:sz="4" w:space="0" w:color="auto"/>
              <w:right w:val="single" w:sz="18" w:space="0" w:color="auto"/>
            </w:tcBorders>
            <w:shd w:val="clear" w:color="auto" w:fill="auto"/>
            <w:vAlign w:val="center"/>
          </w:tcPr>
          <w:p w:rsidR="00CA606E" w:rsidRPr="003410C7" w:rsidRDefault="00CA606E" w:rsidP="00703595">
            <w:pPr>
              <w:pStyle w:val="TableText"/>
              <w:widowControl w:val="0"/>
              <w:rPr>
                <w:rFonts w:ascii="Tahoma" w:hAnsi="Tahoma" w:cs="Tahoma"/>
                <w:sz w:val="13"/>
              </w:rPr>
            </w:pPr>
            <w:r w:rsidRPr="003410C7">
              <w:rPr>
                <w:rFonts w:ascii="Tahoma" w:hAnsi="Tahoma" w:cs="Tahoma"/>
                <w:sz w:val="13"/>
              </w:rPr>
              <w:t>1</w:t>
            </w:r>
          </w:p>
        </w:tc>
        <w:tc>
          <w:tcPr>
            <w:tcW w:w="429" w:type="dxa"/>
            <w:tcBorders>
              <w:left w:val="single" w:sz="18" w:space="0" w:color="auto"/>
              <w:bottom w:val="single" w:sz="4" w:space="0" w:color="auto"/>
            </w:tcBorders>
            <w:shd w:val="clear" w:color="auto" w:fill="auto"/>
            <w:vAlign w:val="center"/>
          </w:tcPr>
          <w:p w:rsidR="00CA606E" w:rsidRPr="003410C7" w:rsidRDefault="00CA606E" w:rsidP="00703595">
            <w:pPr>
              <w:pStyle w:val="TableText"/>
              <w:widowControl w:val="0"/>
              <w:rPr>
                <w:rFonts w:ascii="Tahoma" w:hAnsi="Tahoma" w:cs="Tahoma"/>
                <w:sz w:val="13"/>
              </w:rPr>
            </w:pPr>
            <w:r w:rsidRPr="003410C7">
              <w:rPr>
                <w:rFonts w:ascii="Tahoma" w:hAnsi="Tahoma" w:cs="Tahoma"/>
                <w:sz w:val="13"/>
              </w:rPr>
              <w:t>1</w:t>
            </w:r>
          </w:p>
        </w:tc>
        <w:tc>
          <w:tcPr>
            <w:tcW w:w="429" w:type="dxa"/>
            <w:tcBorders>
              <w:bottom w:val="single" w:sz="4" w:space="0" w:color="auto"/>
            </w:tcBorders>
            <w:shd w:val="clear" w:color="auto" w:fill="auto"/>
            <w:vAlign w:val="center"/>
          </w:tcPr>
          <w:p w:rsidR="00CA606E" w:rsidRPr="003410C7" w:rsidRDefault="00CA606E" w:rsidP="00703595">
            <w:pPr>
              <w:pStyle w:val="TableText"/>
              <w:widowControl w:val="0"/>
              <w:rPr>
                <w:rFonts w:ascii="Tahoma" w:hAnsi="Tahoma" w:cs="Tahoma"/>
                <w:sz w:val="13"/>
              </w:rPr>
            </w:pPr>
            <w:r w:rsidRPr="003410C7">
              <w:rPr>
                <w:rFonts w:ascii="Tahoma" w:hAnsi="Tahoma" w:cs="Tahoma"/>
                <w:sz w:val="13"/>
              </w:rPr>
              <w:t>2</w:t>
            </w:r>
          </w:p>
        </w:tc>
        <w:tc>
          <w:tcPr>
            <w:tcW w:w="442" w:type="dxa"/>
            <w:tcBorders>
              <w:bottom w:val="single" w:sz="4" w:space="0" w:color="auto"/>
              <w:right w:val="single" w:sz="18" w:space="0" w:color="auto"/>
            </w:tcBorders>
            <w:shd w:val="clear" w:color="auto" w:fill="auto"/>
            <w:vAlign w:val="center"/>
          </w:tcPr>
          <w:p w:rsidR="00CA606E" w:rsidRPr="003410C7" w:rsidRDefault="00CA606E" w:rsidP="00703595">
            <w:pPr>
              <w:pStyle w:val="TableText"/>
              <w:widowControl w:val="0"/>
              <w:rPr>
                <w:rFonts w:ascii="Tahoma" w:hAnsi="Tahoma" w:cs="Tahoma"/>
                <w:sz w:val="13"/>
              </w:rPr>
            </w:pPr>
            <w:r w:rsidRPr="003410C7">
              <w:rPr>
                <w:rFonts w:ascii="Tahoma" w:hAnsi="Tahoma" w:cs="Tahoma"/>
                <w:sz w:val="13"/>
              </w:rPr>
              <w:t>1</w:t>
            </w:r>
          </w:p>
        </w:tc>
        <w:tc>
          <w:tcPr>
            <w:tcW w:w="495" w:type="dxa"/>
            <w:tcBorders>
              <w:left w:val="single" w:sz="18" w:space="0" w:color="auto"/>
              <w:bottom w:val="single" w:sz="4" w:space="0" w:color="auto"/>
            </w:tcBorders>
            <w:shd w:val="clear" w:color="auto" w:fill="auto"/>
            <w:vAlign w:val="center"/>
          </w:tcPr>
          <w:p w:rsidR="00CA606E" w:rsidRPr="003410C7" w:rsidRDefault="00CA606E" w:rsidP="00703595">
            <w:pPr>
              <w:pStyle w:val="TableText"/>
              <w:widowControl w:val="0"/>
              <w:rPr>
                <w:rFonts w:ascii="Tahoma" w:hAnsi="Tahoma" w:cs="Tahoma"/>
                <w:sz w:val="13"/>
              </w:rPr>
            </w:pPr>
            <w:r w:rsidRPr="003410C7">
              <w:rPr>
                <w:rFonts w:ascii="Tahoma" w:hAnsi="Tahoma" w:cs="Tahoma"/>
                <w:sz w:val="13"/>
              </w:rPr>
              <w:t>1</w:t>
            </w:r>
          </w:p>
        </w:tc>
        <w:tc>
          <w:tcPr>
            <w:tcW w:w="459" w:type="dxa"/>
            <w:tcBorders>
              <w:bottom w:val="single" w:sz="4" w:space="0" w:color="auto"/>
              <w:right w:val="single" w:sz="18" w:space="0" w:color="auto"/>
            </w:tcBorders>
            <w:shd w:val="clear" w:color="auto" w:fill="auto"/>
            <w:vAlign w:val="center"/>
          </w:tcPr>
          <w:p w:rsidR="00CA606E" w:rsidRPr="003410C7" w:rsidRDefault="00CA606E" w:rsidP="00703595">
            <w:pPr>
              <w:pStyle w:val="TableText"/>
              <w:widowControl w:val="0"/>
              <w:rPr>
                <w:rFonts w:ascii="Tahoma" w:hAnsi="Tahoma" w:cs="Tahoma"/>
                <w:sz w:val="13"/>
              </w:rPr>
            </w:pPr>
          </w:p>
        </w:tc>
        <w:tc>
          <w:tcPr>
            <w:tcW w:w="360" w:type="dxa"/>
            <w:tcBorders>
              <w:left w:val="single" w:sz="18" w:space="0" w:color="auto"/>
              <w:bottom w:val="single" w:sz="4" w:space="0" w:color="auto"/>
              <w:right w:val="single" w:sz="18" w:space="0" w:color="auto"/>
            </w:tcBorders>
            <w:shd w:val="clear" w:color="auto" w:fill="auto"/>
            <w:vAlign w:val="center"/>
          </w:tcPr>
          <w:p w:rsidR="00CA606E" w:rsidRPr="003410C7" w:rsidRDefault="00CA606E" w:rsidP="00703595">
            <w:pPr>
              <w:pStyle w:val="TableText"/>
              <w:widowControl w:val="0"/>
              <w:rPr>
                <w:rFonts w:ascii="Tahoma" w:hAnsi="Tahoma" w:cs="Tahoma"/>
                <w:sz w:val="13"/>
              </w:rPr>
            </w:pPr>
            <w:r w:rsidRPr="003410C7">
              <w:rPr>
                <w:rFonts w:ascii="Tahoma" w:hAnsi="Tahoma" w:cs="Tahoma"/>
                <w:sz w:val="13"/>
              </w:rPr>
              <w:t>P</w:t>
            </w:r>
          </w:p>
        </w:tc>
        <w:tc>
          <w:tcPr>
            <w:tcW w:w="474" w:type="dxa"/>
            <w:tcBorders>
              <w:bottom w:val="single" w:sz="4" w:space="0" w:color="auto"/>
            </w:tcBorders>
            <w:shd w:val="clear" w:color="auto" w:fill="auto"/>
            <w:vAlign w:val="center"/>
          </w:tcPr>
          <w:p w:rsidR="00CA606E" w:rsidRPr="003410C7" w:rsidRDefault="00CA606E" w:rsidP="00080B33">
            <w:pPr>
              <w:pStyle w:val="TableText"/>
              <w:widowControl w:val="0"/>
              <w:rPr>
                <w:rFonts w:ascii="Tahoma" w:hAnsi="Tahoma" w:cs="Tahoma"/>
                <w:sz w:val="13"/>
              </w:rPr>
            </w:pPr>
          </w:p>
        </w:tc>
        <w:tc>
          <w:tcPr>
            <w:tcW w:w="514" w:type="dxa"/>
            <w:tcBorders>
              <w:bottom w:val="single" w:sz="4" w:space="0" w:color="auto"/>
            </w:tcBorders>
            <w:shd w:val="clear" w:color="auto" w:fill="auto"/>
            <w:vAlign w:val="center"/>
          </w:tcPr>
          <w:p w:rsidR="00CA606E" w:rsidRPr="003410C7" w:rsidRDefault="00CA606E" w:rsidP="00703595">
            <w:pPr>
              <w:pStyle w:val="TableText"/>
              <w:widowControl w:val="0"/>
              <w:rPr>
                <w:rFonts w:ascii="Tahoma" w:hAnsi="Tahoma" w:cs="Tahoma"/>
                <w:sz w:val="13"/>
              </w:rPr>
            </w:pPr>
          </w:p>
        </w:tc>
      </w:tr>
      <w:tr w:rsidR="00EF228F" w:rsidRPr="003410C7" w:rsidTr="002A074D">
        <w:trPr>
          <w:cantSplit/>
          <w:trHeight w:val="287"/>
        </w:trPr>
        <w:tc>
          <w:tcPr>
            <w:tcW w:w="2638" w:type="dxa"/>
            <w:tcBorders>
              <w:bottom w:val="single" w:sz="4" w:space="0" w:color="auto"/>
            </w:tcBorders>
            <w:shd w:val="clear" w:color="auto" w:fill="FABF8F"/>
            <w:vAlign w:val="center"/>
          </w:tcPr>
          <w:p w:rsidR="00B27742" w:rsidRPr="003410C7" w:rsidRDefault="00B27742" w:rsidP="003410C7">
            <w:pPr>
              <w:pStyle w:val="Heading2"/>
              <w:spacing w:beforeLines="20" w:before="48" w:afterLines="20" w:after="48"/>
              <w:ind w:left="0"/>
              <w:rPr>
                <w:rFonts w:ascii="Tahoma" w:hAnsi="Tahoma" w:cs="Tahoma"/>
                <w:b w:val="0"/>
                <w:sz w:val="14"/>
              </w:rPr>
            </w:pPr>
            <w:bookmarkStart w:id="38" w:name="_Toc235859737"/>
            <w:bookmarkStart w:id="39" w:name="_Toc336337856"/>
            <w:bookmarkStart w:id="40" w:name="_Toc352234457"/>
            <w:r w:rsidRPr="003410C7">
              <w:rPr>
                <w:rFonts w:ascii="Tahoma" w:hAnsi="Tahoma" w:cs="Tahoma"/>
                <w:b w:val="0"/>
                <w:sz w:val="14"/>
              </w:rPr>
              <w:t>MapPoint</w:t>
            </w:r>
            <w:r w:rsidR="003410C7" w:rsidRPr="003410C7">
              <w:rPr>
                <w:rFonts w:ascii="Tahoma" w:hAnsi="Tahoma" w:cs="Tahoma"/>
                <w:b w:val="0"/>
                <w:sz w:val="14"/>
                <w:vertAlign w:val="superscript"/>
              </w:rPr>
              <w:t>®</w:t>
            </w:r>
            <w:r w:rsidRPr="003410C7">
              <w:rPr>
                <w:rFonts w:ascii="Tahoma" w:hAnsi="Tahoma" w:cs="Tahoma"/>
                <w:b w:val="0"/>
                <w:sz w:val="14"/>
              </w:rPr>
              <w:t xml:space="preserve"> Fleet Edition </w:t>
            </w:r>
            <w:bookmarkEnd w:id="38"/>
            <w:r w:rsidRPr="003410C7">
              <w:rPr>
                <w:rFonts w:ascii="Tahoma" w:hAnsi="Tahoma" w:cs="Tahoma"/>
                <w:b w:val="0"/>
                <w:sz w:val="14"/>
              </w:rPr>
              <w:t>2013</w:t>
            </w:r>
            <w:bookmarkEnd w:id="39"/>
            <w:bookmarkEnd w:id="40"/>
          </w:p>
        </w:tc>
        <w:tc>
          <w:tcPr>
            <w:tcW w:w="429" w:type="dxa"/>
            <w:tcBorders>
              <w:bottom w:val="single" w:sz="4" w:space="0" w:color="auto"/>
            </w:tcBorders>
            <w:shd w:val="clear" w:color="auto" w:fill="FABF8F"/>
            <w:vAlign w:val="center"/>
          </w:tcPr>
          <w:p w:rsidR="00B27742" w:rsidRPr="009F17FF" w:rsidRDefault="00B27742">
            <w:pPr>
              <w:pStyle w:val="TableText"/>
              <w:widowControl w:val="0"/>
              <w:rPr>
                <w:rStyle w:val="EndnoteReference"/>
                <w:color w:val="0000FF"/>
                <w:sz w:val="13"/>
                <w:szCs w:val="13"/>
                <w:u w:val="single"/>
              </w:rPr>
            </w:pPr>
          </w:p>
        </w:tc>
        <w:tc>
          <w:tcPr>
            <w:tcW w:w="429" w:type="dxa"/>
            <w:tcBorders>
              <w:bottom w:val="single" w:sz="4" w:space="0" w:color="auto"/>
            </w:tcBorders>
            <w:shd w:val="clear" w:color="auto" w:fill="FABF8F"/>
            <w:vAlign w:val="center"/>
          </w:tcPr>
          <w:p w:rsidR="00B27742" w:rsidRPr="003410C7" w:rsidRDefault="00097B90" w:rsidP="004000C7">
            <w:pPr>
              <w:pStyle w:val="TableText"/>
              <w:widowControl w:val="0"/>
              <w:rPr>
                <w:rFonts w:ascii="Tahoma" w:hAnsi="Tahoma" w:cs="Tahoma"/>
                <w:sz w:val="13"/>
              </w:rPr>
            </w:pPr>
            <w:r w:rsidRPr="003410C7">
              <w:rPr>
                <w:rFonts w:ascii="Tahoma" w:hAnsi="Tahoma" w:cs="Tahoma"/>
                <w:sz w:val="13"/>
              </w:rPr>
              <w:t>03/11</w:t>
            </w:r>
          </w:p>
        </w:tc>
        <w:tc>
          <w:tcPr>
            <w:tcW w:w="429" w:type="dxa"/>
            <w:tcBorders>
              <w:bottom w:val="single" w:sz="4" w:space="0" w:color="auto"/>
              <w:right w:val="single" w:sz="18" w:space="0" w:color="auto"/>
            </w:tcBorders>
            <w:shd w:val="clear" w:color="auto" w:fill="FABF8F"/>
            <w:vAlign w:val="center"/>
          </w:tcPr>
          <w:p w:rsidR="00B27742" w:rsidRPr="003410C7" w:rsidRDefault="00B27742" w:rsidP="004B3534">
            <w:pPr>
              <w:pStyle w:val="TableText"/>
              <w:widowControl w:val="0"/>
              <w:rPr>
                <w:rFonts w:ascii="Tahoma" w:hAnsi="Tahoma" w:cs="Tahoma"/>
                <w:sz w:val="13"/>
              </w:rPr>
            </w:pPr>
            <w:r w:rsidRPr="003410C7">
              <w:rPr>
                <w:rFonts w:ascii="Tahoma" w:hAnsi="Tahoma" w:cs="Tahoma"/>
                <w:sz w:val="13"/>
              </w:rPr>
              <w:t>DT</w:t>
            </w:r>
          </w:p>
        </w:tc>
        <w:tc>
          <w:tcPr>
            <w:tcW w:w="429" w:type="dxa"/>
            <w:tcBorders>
              <w:left w:val="single" w:sz="18" w:space="0" w:color="auto"/>
              <w:bottom w:val="single" w:sz="4" w:space="0" w:color="auto"/>
            </w:tcBorders>
            <w:shd w:val="clear" w:color="auto" w:fill="FABF8F"/>
            <w:vAlign w:val="center"/>
          </w:tcPr>
          <w:p w:rsidR="00B27742" w:rsidRPr="003410C7" w:rsidRDefault="00B27742" w:rsidP="004B3534">
            <w:pPr>
              <w:pStyle w:val="TableText"/>
              <w:widowControl w:val="0"/>
              <w:rPr>
                <w:rFonts w:ascii="Tahoma" w:hAnsi="Tahoma" w:cs="Tahoma"/>
                <w:sz w:val="13"/>
              </w:rPr>
            </w:pPr>
            <w:r w:rsidRPr="003410C7">
              <w:rPr>
                <w:rFonts w:ascii="Tahoma" w:hAnsi="Tahoma" w:cs="Tahoma"/>
                <w:sz w:val="13"/>
              </w:rPr>
              <w:t>4</w:t>
            </w:r>
          </w:p>
        </w:tc>
        <w:tc>
          <w:tcPr>
            <w:tcW w:w="429" w:type="dxa"/>
            <w:tcBorders>
              <w:bottom w:val="single" w:sz="4" w:space="0" w:color="auto"/>
            </w:tcBorders>
            <w:shd w:val="clear" w:color="auto" w:fill="FABF8F"/>
            <w:vAlign w:val="center"/>
          </w:tcPr>
          <w:p w:rsidR="00B27742" w:rsidRPr="003410C7" w:rsidRDefault="00B27742" w:rsidP="004B3534">
            <w:pPr>
              <w:pStyle w:val="TableText"/>
              <w:widowControl w:val="0"/>
              <w:rPr>
                <w:rFonts w:ascii="Tahoma" w:hAnsi="Tahoma" w:cs="Tahoma"/>
                <w:sz w:val="13"/>
              </w:rPr>
            </w:pPr>
            <w:r w:rsidRPr="003410C7">
              <w:rPr>
                <w:rFonts w:ascii="Tahoma" w:hAnsi="Tahoma" w:cs="Tahoma"/>
                <w:sz w:val="13"/>
              </w:rPr>
              <w:t>10</w:t>
            </w:r>
          </w:p>
        </w:tc>
        <w:tc>
          <w:tcPr>
            <w:tcW w:w="429" w:type="dxa"/>
            <w:tcBorders>
              <w:bottom w:val="single" w:sz="4" w:space="0" w:color="auto"/>
            </w:tcBorders>
            <w:shd w:val="clear" w:color="auto" w:fill="FABF8F"/>
            <w:vAlign w:val="center"/>
          </w:tcPr>
          <w:p w:rsidR="00B27742" w:rsidRPr="003410C7" w:rsidRDefault="00B27742" w:rsidP="004B3534">
            <w:pPr>
              <w:pStyle w:val="TableText"/>
              <w:widowControl w:val="0"/>
              <w:rPr>
                <w:rFonts w:ascii="Tahoma" w:hAnsi="Tahoma" w:cs="Tahoma"/>
                <w:sz w:val="13"/>
              </w:rPr>
            </w:pPr>
            <w:r w:rsidRPr="003410C7">
              <w:rPr>
                <w:rFonts w:ascii="Tahoma" w:hAnsi="Tahoma" w:cs="Tahoma"/>
                <w:sz w:val="13"/>
              </w:rPr>
              <w:t>8</w:t>
            </w:r>
          </w:p>
        </w:tc>
        <w:tc>
          <w:tcPr>
            <w:tcW w:w="429" w:type="dxa"/>
            <w:tcBorders>
              <w:bottom w:val="single" w:sz="4" w:space="0" w:color="auto"/>
            </w:tcBorders>
            <w:shd w:val="clear" w:color="auto" w:fill="FABF8F"/>
            <w:vAlign w:val="center"/>
          </w:tcPr>
          <w:p w:rsidR="00B27742" w:rsidRPr="003410C7" w:rsidRDefault="00B27742" w:rsidP="004B3534">
            <w:pPr>
              <w:pStyle w:val="TableText"/>
              <w:widowControl w:val="0"/>
              <w:rPr>
                <w:rFonts w:ascii="Tahoma" w:hAnsi="Tahoma" w:cs="Tahoma"/>
                <w:sz w:val="13"/>
              </w:rPr>
            </w:pPr>
            <w:r w:rsidRPr="003410C7">
              <w:rPr>
                <w:rFonts w:ascii="Tahoma" w:hAnsi="Tahoma" w:cs="Tahoma"/>
                <w:sz w:val="13"/>
              </w:rPr>
              <w:t>6</w:t>
            </w:r>
          </w:p>
        </w:tc>
        <w:tc>
          <w:tcPr>
            <w:tcW w:w="429" w:type="dxa"/>
            <w:tcBorders>
              <w:bottom w:val="single" w:sz="4" w:space="0" w:color="auto"/>
            </w:tcBorders>
            <w:shd w:val="clear" w:color="auto" w:fill="FABF8F"/>
            <w:vAlign w:val="center"/>
          </w:tcPr>
          <w:p w:rsidR="00B27742" w:rsidRPr="003410C7" w:rsidRDefault="00B27742" w:rsidP="004B3534">
            <w:pPr>
              <w:pStyle w:val="TableText"/>
              <w:widowControl w:val="0"/>
              <w:rPr>
                <w:rFonts w:ascii="Tahoma" w:hAnsi="Tahoma" w:cs="Tahoma"/>
                <w:sz w:val="13"/>
              </w:rPr>
            </w:pPr>
            <w:r w:rsidRPr="003410C7">
              <w:rPr>
                <w:rFonts w:ascii="Tahoma" w:hAnsi="Tahoma" w:cs="Tahoma"/>
                <w:sz w:val="13"/>
              </w:rPr>
              <w:t>6</w:t>
            </w:r>
          </w:p>
        </w:tc>
        <w:tc>
          <w:tcPr>
            <w:tcW w:w="429" w:type="dxa"/>
            <w:tcBorders>
              <w:bottom w:val="single" w:sz="4" w:space="0" w:color="auto"/>
            </w:tcBorders>
            <w:shd w:val="clear" w:color="auto" w:fill="FABF8F"/>
            <w:vAlign w:val="center"/>
          </w:tcPr>
          <w:p w:rsidR="00B27742" w:rsidRPr="003410C7" w:rsidRDefault="00B27742" w:rsidP="004B3534">
            <w:pPr>
              <w:pStyle w:val="TableText"/>
              <w:widowControl w:val="0"/>
              <w:rPr>
                <w:rFonts w:ascii="Tahoma" w:hAnsi="Tahoma" w:cs="Tahoma"/>
                <w:sz w:val="13"/>
              </w:rPr>
            </w:pPr>
            <w:r w:rsidRPr="003410C7">
              <w:rPr>
                <w:rFonts w:ascii="Tahoma" w:hAnsi="Tahoma" w:cs="Tahoma"/>
                <w:sz w:val="13"/>
              </w:rPr>
              <w:t>4</w:t>
            </w:r>
          </w:p>
        </w:tc>
        <w:tc>
          <w:tcPr>
            <w:tcW w:w="429" w:type="dxa"/>
            <w:tcBorders>
              <w:bottom w:val="single" w:sz="4" w:space="0" w:color="auto"/>
              <w:right w:val="single" w:sz="18" w:space="0" w:color="auto"/>
            </w:tcBorders>
            <w:shd w:val="clear" w:color="auto" w:fill="FABF8F"/>
            <w:vAlign w:val="center"/>
          </w:tcPr>
          <w:p w:rsidR="00B27742" w:rsidRPr="003410C7" w:rsidRDefault="00B27742" w:rsidP="004B3534">
            <w:pPr>
              <w:pStyle w:val="TableText"/>
              <w:widowControl w:val="0"/>
              <w:rPr>
                <w:rFonts w:ascii="Tahoma" w:hAnsi="Tahoma" w:cs="Tahoma"/>
                <w:sz w:val="13"/>
              </w:rPr>
            </w:pPr>
            <w:r w:rsidRPr="003410C7">
              <w:rPr>
                <w:rFonts w:ascii="Tahoma" w:hAnsi="Tahoma" w:cs="Tahoma"/>
                <w:sz w:val="13"/>
              </w:rPr>
              <w:t>2</w:t>
            </w:r>
          </w:p>
        </w:tc>
        <w:tc>
          <w:tcPr>
            <w:tcW w:w="429" w:type="dxa"/>
            <w:tcBorders>
              <w:left w:val="single" w:sz="18" w:space="0" w:color="auto"/>
              <w:bottom w:val="single" w:sz="4" w:space="0" w:color="auto"/>
            </w:tcBorders>
            <w:shd w:val="clear" w:color="auto" w:fill="FABF8F"/>
            <w:vAlign w:val="center"/>
          </w:tcPr>
          <w:p w:rsidR="00B27742" w:rsidRPr="003410C7" w:rsidRDefault="00B27742" w:rsidP="004B3534">
            <w:pPr>
              <w:pStyle w:val="TableText"/>
              <w:widowControl w:val="0"/>
              <w:rPr>
                <w:rFonts w:ascii="Tahoma" w:hAnsi="Tahoma" w:cs="Tahoma"/>
                <w:sz w:val="13"/>
              </w:rPr>
            </w:pPr>
            <w:r w:rsidRPr="003410C7">
              <w:rPr>
                <w:rFonts w:ascii="Tahoma" w:hAnsi="Tahoma" w:cs="Tahoma"/>
                <w:sz w:val="13"/>
              </w:rPr>
              <w:t>4</w:t>
            </w:r>
          </w:p>
        </w:tc>
        <w:tc>
          <w:tcPr>
            <w:tcW w:w="429" w:type="dxa"/>
            <w:tcBorders>
              <w:bottom w:val="single" w:sz="4" w:space="0" w:color="auto"/>
            </w:tcBorders>
            <w:shd w:val="clear" w:color="auto" w:fill="FABF8F"/>
            <w:vAlign w:val="center"/>
          </w:tcPr>
          <w:p w:rsidR="00B27742" w:rsidRPr="003410C7" w:rsidRDefault="00B27742" w:rsidP="004B3534">
            <w:pPr>
              <w:pStyle w:val="TableText"/>
              <w:widowControl w:val="0"/>
              <w:rPr>
                <w:rFonts w:ascii="Tahoma" w:hAnsi="Tahoma" w:cs="Tahoma"/>
                <w:sz w:val="13"/>
              </w:rPr>
            </w:pPr>
            <w:r w:rsidRPr="003410C7">
              <w:rPr>
                <w:rFonts w:ascii="Tahoma" w:hAnsi="Tahoma" w:cs="Tahoma"/>
                <w:sz w:val="13"/>
              </w:rPr>
              <w:t>8</w:t>
            </w:r>
          </w:p>
        </w:tc>
        <w:tc>
          <w:tcPr>
            <w:tcW w:w="442" w:type="dxa"/>
            <w:tcBorders>
              <w:bottom w:val="single" w:sz="4" w:space="0" w:color="auto"/>
              <w:right w:val="single" w:sz="18" w:space="0" w:color="auto"/>
            </w:tcBorders>
            <w:shd w:val="clear" w:color="auto" w:fill="FABF8F"/>
            <w:vAlign w:val="center"/>
          </w:tcPr>
          <w:p w:rsidR="00B27742" w:rsidRPr="003410C7" w:rsidRDefault="00B27742" w:rsidP="004B3534">
            <w:pPr>
              <w:pStyle w:val="TableText"/>
              <w:widowControl w:val="0"/>
              <w:rPr>
                <w:rFonts w:ascii="Tahoma" w:hAnsi="Tahoma" w:cs="Tahoma"/>
                <w:sz w:val="13"/>
              </w:rPr>
            </w:pPr>
            <w:r w:rsidRPr="003410C7">
              <w:rPr>
                <w:rFonts w:ascii="Tahoma" w:hAnsi="Tahoma" w:cs="Tahoma"/>
                <w:sz w:val="13"/>
              </w:rPr>
              <w:t>4</w:t>
            </w:r>
          </w:p>
        </w:tc>
        <w:tc>
          <w:tcPr>
            <w:tcW w:w="495" w:type="dxa"/>
            <w:tcBorders>
              <w:left w:val="single" w:sz="18" w:space="0" w:color="auto"/>
              <w:bottom w:val="single" w:sz="4" w:space="0" w:color="auto"/>
            </w:tcBorders>
            <w:shd w:val="clear" w:color="auto" w:fill="FABF8F"/>
            <w:vAlign w:val="center"/>
          </w:tcPr>
          <w:p w:rsidR="00B27742" w:rsidRPr="003410C7" w:rsidRDefault="00B27742" w:rsidP="004B3534">
            <w:pPr>
              <w:pStyle w:val="TableText"/>
              <w:widowControl w:val="0"/>
              <w:rPr>
                <w:rFonts w:ascii="Tahoma" w:hAnsi="Tahoma" w:cs="Tahoma"/>
                <w:sz w:val="13"/>
              </w:rPr>
            </w:pPr>
          </w:p>
        </w:tc>
        <w:tc>
          <w:tcPr>
            <w:tcW w:w="459" w:type="dxa"/>
            <w:tcBorders>
              <w:bottom w:val="single" w:sz="4" w:space="0" w:color="auto"/>
              <w:right w:val="single" w:sz="18" w:space="0" w:color="auto"/>
            </w:tcBorders>
            <w:shd w:val="clear" w:color="auto" w:fill="FABF8F"/>
            <w:vAlign w:val="center"/>
          </w:tcPr>
          <w:p w:rsidR="00B27742" w:rsidRPr="003410C7" w:rsidRDefault="00B27742" w:rsidP="004B3534">
            <w:pPr>
              <w:pStyle w:val="TableText"/>
              <w:widowControl w:val="0"/>
              <w:rPr>
                <w:rFonts w:ascii="Tahoma" w:hAnsi="Tahoma" w:cs="Tahoma"/>
                <w:sz w:val="13"/>
              </w:rPr>
            </w:pPr>
            <w:r w:rsidRPr="003410C7">
              <w:rPr>
                <w:rFonts w:ascii="Tahoma" w:hAnsi="Tahoma" w:cs="Tahoma"/>
                <w:sz w:val="13"/>
              </w:rPr>
              <w:t>A</w:t>
            </w:r>
          </w:p>
        </w:tc>
        <w:tc>
          <w:tcPr>
            <w:tcW w:w="360" w:type="dxa"/>
            <w:tcBorders>
              <w:left w:val="single" w:sz="18" w:space="0" w:color="auto"/>
              <w:bottom w:val="single" w:sz="4" w:space="0" w:color="auto"/>
              <w:right w:val="single" w:sz="18" w:space="0" w:color="auto"/>
            </w:tcBorders>
            <w:shd w:val="clear" w:color="auto" w:fill="FABF8F"/>
            <w:vAlign w:val="center"/>
          </w:tcPr>
          <w:p w:rsidR="00B27742" w:rsidRPr="003410C7" w:rsidRDefault="00B27742" w:rsidP="004B3534">
            <w:pPr>
              <w:pStyle w:val="TableText"/>
              <w:widowControl w:val="0"/>
              <w:rPr>
                <w:rFonts w:ascii="Tahoma" w:hAnsi="Tahoma" w:cs="Tahoma"/>
                <w:sz w:val="13"/>
              </w:rPr>
            </w:pPr>
            <w:r w:rsidRPr="003410C7">
              <w:rPr>
                <w:rFonts w:ascii="Tahoma" w:hAnsi="Tahoma" w:cs="Tahoma"/>
                <w:sz w:val="13"/>
              </w:rPr>
              <w:t>P</w:t>
            </w:r>
          </w:p>
        </w:tc>
        <w:tc>
          <w:tcPr>
            <w:tcW w:w="474" w:type="dxa"/>
            <w:tcBorders>
              <w:bottom w:val="single" w:sz="4" w:space="0" w:color="auto"/>
            </w:tcBorders>
            <w:shd w:val="clear" w:color="auto" w:fill="FABF8F"/>
            <w:vAlign w:val="center"/>
          </w:tcPr>
          <w:p w:rsidR="00B27742" w:rsidRPr="003410C7" w:rsidRDefault="00B27742" w:rsidP="00080B33">
            <w:pPr>
              <w:pStyle w:val="TableText"/>
              <w:widowControl w:val="0"/>
              <w:rPr>
                <w:rFonts w:ascii="Tahoma" w:hAnsi="Tahoma" w:cs="Tahoma"/>
                <w:sz w:val="13"/>
              </w:rPr>
            </w:pPr>
          </w:p>
        </w:tc>
        <w:tc>
          <w:tcPr>
            <w:tcW w:w="514" w:type="dxa"/>
            <w:tcBorders>
              <w:bottom w:val="single" w:sz="4" w:space="0" w:color="auto"/>
            </w:tcBorders>
            <w:shd w:val="clear" w:color="auto" w:fill="FABF8F"/>
            <w:vAlign w:val="center"/>
          </w:tcPr>
          <w:p w:rsidR="00B27742" w:rsidRPr="003410C7" w:rsidRDefault="00B27742" w:rsidP="004B3534">
            <w:pPr>
              <w:pStyle w:val="TableText"/>
              <w:widowControl w:val="0"/>
              <w:rPr>
                <w:rFonts w:ascii="Tahoma" w:hAnsi="Tahoma" w:cs="Tahoma"/>
                <w:sz w:val="13"/>
              </w:rPr>
            </w:pPr>
          </w:p>
        </w:tc>
      </w:tr>
      <w:tr w:rsidR="00B33D0E" w:rsidRPr="003410C7" w:rsidTr="002A074D">
        <w:trPr>
          <w:cantSplit/>
          <w:trHeight w:val="323"/>
        </w:trPr>
        <w:tc>
          <w:tcPr>
            <w:tcW w:w="2638" w:type="dxa"/>
            <w:tcBorders>
              <w:bottom w:val="single" w:sz="4" w:space="0" w:color="auto"/>
            </w:tcBorders>
            <w:shd w:val="clear" w:color="auto" w:fill="auto"/>
            <w:vAlign w:val="center"/>
          </w:tcPr>
          <w:p w:rsidR="00B27742" w:rsidRPr="003410C7" w:rsidRDefault="00B27742" w:rsidP="003410C7">
            <w:pPr>
              <w:pStyle w:val="Heading2"/>
              <w:spacing w:beforeLines="20" w:before="48" w:afterLines="20" w:after="48"/>
              <w:ind w:left="0"/>
              <w:rPr>
                <w:rFonts w:ascii="Tahoma" w:hAnsi="Tahoma" w:cs="Tahoma"/>
                <w:b w:val="0"/>
                <w:sz w:val="14"/>
              </w:rPr>
            </w:pPr>
            <w:bookmarkStart w:id="41" w:name="_Toc235859738"/>
            <w:bookmarkStart w:id="42" w:name="_Toc336337857"/>
            <w:bookmarkStart w:id="43" w:name="_Toc352234458"/>
            <w:r w:rsidRPr="003410C7">
              <w:rPr>
                <w:rFonts w:ascii="Tahoma" w:hAnsi="Tahoma" w:cs="Tahoma"/>
                <w:b w:val="0"/>
                <w:sz w:val="14"/>
              </w:rPr>
              <w:t>MapPoint</w:t>
            </w:r>
            <w:r w:rsidR="003410C7" w:rsidRPr="003410C7">
              <w:rPr>
                <w:rFonts w:ascii="Tahoma" w:hAnsi="Tahoma" w:cs="Tahoma"/>
                <w:b w:val="0"/>
                <w:sz w:val="14"/>
                <w:vertAlign w:val="superscript"/>
              </w:rPr>
              <w:t>®</w:t>
            </w:r>
            <w:r w:rsidRPr="003410C7">
              <w:rPr>
                <w:rFonts w:ascii="Tahoma" w:hAnsi="Tahoma" w:cs="Tahoma"/>
                <w:b w:val="0"/>
                <w:sz w:val="14"/>
              </w:rPr>
              <w:t xml:space="preserve"> 2013 per Windows</w:t>
            </w:r>
            <w:bookmarkEnd w:id="41"/>
            <w:bookmarkEnd w:id="42"/>
            <w:bookmarkEnd w:id="43"/>
          </w:p>
        </w:tc>
        <w:tc>
          <w:tcPr>
            <w:tcW w:w="429" w:type="dxa"/>
            <w:tcBorders>
              <w:bottom w:val="single" w:sz="4" w:space="0" w:color="auto"/>
            </w:tcBorders>
            <w:shd w:val="clear" w:color="auto" w:fill="auto"/>
            <w:vAlign w:val="center"/>
          </w:tcPr>
          <w:p w:rsidR="00B27742" w:rsidRPr="009F17FF" w:rsidRDefault="00B27742">
            <w:pPr>
              <w:pStyle w:val="TableText"/>
              <w:widowControl w:val="0"/>
              <w:rPr>
                <w:rStyle w:val="EndnoteReference"/>
                <w:color w:val="0000FF"/>
                <w:sz w:val="13"/>
                <w:szCs w:val="13"/>
                <w:u w:val="single"/>
              </w:rPr>
            </w:pPr>
          </w:p>
        </w:tc>
        <w:tc>
          <w:tcPr>
            <w:tcW w:w="429" w:type="dxa"/>
            <w:tcBorders>
              <w:bottom w:val="single" w:sz="4" w:space="0" w:color="auto"/>
            </w:tcBorders>
            <w:shd w:val="clear" w:color="auto" w:fill="auto"/>
            <w:vAlign w:val="center"/>
          </w:tcPr>
          <w:p w:rsidR="00B27742" w:rsidRPr="003410C7" w:rsidRDefault="00097B90" w:rsidP="004000C7">
            <w:pPr>
              <w:pStyle w:val="TableText"/>
              <w:widowControl w:val="0"/>
              <w:rPr>
                <w:rFonts w:ascii="Tahoma" w:hAnsi="Tahoma" w:cs="Tahoma"/>
                <w:color w:val="000000"/>
                <w:sz w:val="13"/>
              </w:rPr>
            </w:pPr>
            <w:r w:rsidRPr="003410C7">
              <w:rPr>
                <w:rFonts w:ascii="Tahoma" w:hAnsi="Tahoma" w:cs="Tahoma"/>
                <w:color w:val="000000"/>
                <w:sz w:val="13"/>
              </w:rPr>
              <w:t>03/11</w:t>
            </w:r>
          </w:p>
        </w:tc>
        <w:tc>
          <w:tcPr>
            <w:tcW w:w="429" w:type="dxa"/>
            <w:tcBorders>
              <w:bottom w:val="single" w:sz="4" w:space="0" w:color="auto"/>
              <w:right w:val="single" w:sz="18" w:space="0" w:color="auto"/>
            </w:tcBorders>
            <w:shd w:val="clear" w:color="auto" w:fill="auto"/>
            <w:vAlign w:val="center"/>
          </w:tcPr>
          <w:p w:rsidR="00B27742" w:rsidRPr="003410C7" w:rsidRDefault="00B27742" w:rsidP="004B3534">
            <w:pPr>
              <w:pStyle w:val="TableText"/>
              <w:widowControl w:val="0"/>
              <w:rPr>
                <w:rFonts w:ascii="Tahoma" w:hAnsi="Tahoma" w:cs="Tahoma"/>
                <w:color w:val="000000"/>
                <w:sz w:val="13"/>
              </w:rPr>
            </w:pPr>
            <w:r w:rsidRPr="003410C7">
              <w:rPr>
                <w:rFonts w:ascii="Tahoma" w:hAnsi="Tahoma" w:cs="Tahoma"/>
                <w:color w:val="000000"/>
                <w:sz w:val="13"/>
              </w:rPr>
              <w:t>DT</w:t>
            </w:r>
          </w:p>
        </w:tc>
        <w:tc>
          <w:tcPr>
            <w:tcW w:w="429" w:type="dxa"/>
            <w:tcBorders>
              <w:left w:val="single" w:sz="18" w:space="0" w:color="auto"/>
              <w:bottom w:val="single" w:sz="4" w:space="0" w:color="auto"/>
            </w:tcBorders>
            <w:shd w:val="clear" w:color="auto" w:fill="auto"/>
            <w:vAlign w:val="center"/>
          </w:tcPr>
          <w:p w:rsidR="00B27742" w:rsidRPr="003410C7" w:rsidRDefault="00B27742" w:rsidP="004B3534">
            <w:pPr>
              <w:pStyle w:val="TableText"/>
              <w:widowControl w:val="0"/>
              <w:rPr>
                <w:rFonts w:ascii="Tahoma" w:hAnsi="Tahoma" w:cs="Tahoma"/>
                <w:sz w:val="13"/>
              </w:rPr>
            </w:pPr>
            <w:r w:rsidRPr="003410C7">
              <w:rPr>
                <w:rFonts w:ascii="Tahoma" w:hAnsi="Tahoma" w:cs="Tahoma"/>
                <w:sz w:val="13"/>
              </w:rPr>
              <w:t>1</w:t>
            </w:r>
          </w:p>
        </w:tc>
        <w:tc>
          <w:tcPr>
            <w:tcW w:w="429" w:type="dxa"/>
            <w:tcBorders>
              <w:bottom w:val="single" w:sz="4" w:space="0" w:color="auto"/>
            </w:tcBorders>
            <w:shd w:val="clear" w:color="auto" w:fill="auto"/>
            <w:vAlign w:val="center"/>
          </w:tcPr>
          <w:p w:rsidR="00B27742" w:rsidRPr="003410C7" w:rsidRDefault="00B27742" w:rsidP="004B3534">
            <w:pPr>
              <w:pStyle w:val="TableText"/>
              <w:widowControl w:val="0"/>
              <w:rPr>
                <w:rFonts w:ascii="Tahoma" w:hAnsi="Tahoma" w:cs="Tahoma"/>
                <w:sz w:val="13"/>
              </w:rPr>
            </w:pPr>
            <w:r w:rsidRPr="003410C7">
              <w:rPr>
                <w:rFonts w:ascii="Tahoma" w:hAnsi="Tahoma" w:cs="Tahoma"/>
                <w:sz w:val="13"/>
              </w:rPr>
              <w:t>3</w:t>
            </w:r>
          </w:p>
        </w:tc>
        <w:tc>
          <w:tcPr>
            <w:tcW w:w="429" w:type="dxa"/>
            <w:tcBorders>
              <w:bottom w:val="single" w:sz="4" w:space="0" w:color="auto"/>
            </w:tcBorders>
            <w:shd w:val="clear" w:color="auto" w:fill="auto"/>
            <w:vAlign w:val="center"/>
          </w:tcPr>
          <w:p w:rsidR="00B27742" w:rsidRPr="003410C7" w:rsidRDefault="00B27742" w:rsidP="004B3534">
            <w:pPr>
              <w:pStyle w:val="TableText"/>
              <w:widowControl w:val="0"/>
              <w:rPr>
                <w:rFonts w:ascii="Tahoma" w:hAnsi="Tahoma" w:cs="Tahoma"/>
                <w:sz w:val="13"/>
              </w:rPr>
            </w:pPr>
            <w:r w:rsidRPr="003410C7">
              <w:rPr>
                <w:rFonts w:ascii="Tahoma" w:hAnsi="Tahoma" w:cs="Tahoma"/>
                <w:sz w:val="13"/>
              </w:rPr>
              <w:t>2</w:t>
            </w:r>
          </w:p>
        </w:tc>
        <w:tc>
          <w:tcPr>
            <w:tcW w:w="429" w:type="dxa"/>
            <w:tcBorders>
              <w:bottom w:val="single" w:sz="4" w:space="0" w:color="auto"/>
            </w:tcBorders>
            <w:shd w:val="clear" w:color="auto" w:fill="auto"/>
            <w:vAlign w:val="center"/>
          </w:tcPr>
          <w:p w:rsidR="00B27742" w:rsidRPr="003410C7" w:rsidRDefault="00B27742" w:rsidP="004B3534">
            <w:pPr>
              <w:pStyle w:val="TableText"/>
              <w:widowControl w:val="0"/>
              <w:rPr>
                <w:rFonts w:ascii="Tahoma" w:hAnsi="Tahoma" w:cs="Tahoma"/>
                <w:sz w:val="13"/>
              </w:rPr>
            </w:pPr>
            <w:r w:rsidRPr="003410C7">
              <w:rPr>
                <w:rFonts w:ascii="Tahoma" w:hAnsi="Tahoma" w:cs="Tahoma"/>
                <w:sz w:val="13"/>
              </w:rPr>
              <w:t>2</w:t>
            </w:r>
          </w:p>
        </w:tc>
        <w:tc>
          <w:tcPr>
            <w:tcW w:w="429" w:type="dxa"/>
            <w:tcBorders>
              <w:bottom w:val="single" w:sz="4" w:space="0" w:color="auto"/>
            </w:tcBorders>
            <w:shd w:val="clear" w:color="auto" w:fill="auto"/>
            <w:vAlign w:val="center"/>
          </w:tcPr>
          <w:p w:rsidR="00B27742" w:rsidRPr="003410C7" w:rsidRDefault="00B27742" w:rsidP="004B3534">
            <w:pPr>
              <w:pStyle w:val="TableText"/>
              <w:widowControl w:val="0"/>
              <w:rPr>
                <w:rFonts w:ascii="Tahoma" w:hAnsi="Tahoma" w:cs="Tahoma"/>
                <w:sz w:val="13"/>
              </w:rPr>
            </w:pPr>
            <w:r w:rsidRPr="003410C7">
              <w:rPr>
                <w:rFonts w:ascii="Tahoma" w:hAnsi="Tahoma" w:cs="Tahoma"/>
                <w:sz w:val="13"/>
              </w:rPr>
              <w:t>2</w:t>
            </w:r>
          </w:p>
        </w:tc>
        <w:tc>
          <w:tcPr>
            <w:tcW w:w="429" w:type="dxa"/>
            <w:tcBorders>
              <w:bottom w:val="single" w:sz="4" w:space="0" w:color="auto"/>
            </w:tcBorders>
            <w:shd w:val="clear" w:color="auto" w:fill="auto"/>
            <w:vAlign w:val="center"/>
          </w:tcPr>
          <w:p w:rsidR="00B27742" w:rsidRPr="003410C7" w:rsidRDefault="00B27742" w:rsidP="004B3534">
            <w:pPr>
              <w:pStyle w:val="TableText"/>
              <w:widowControl w:val="0"/>
              <w:rPr>
                <w:rFonts w:ascii="Tahoma" w:hAnsi="Tahoma" w:cs="Tahoma"/>
                <w:sz w:val="13"/>
              </w:rPr>
            </w:pPr>
            <w:r w:rsidRPr="003410C7">
              <w:rPr>
                <w:rFonts w:ascii="Tahoma" w:hAnsi="Tahoma" w:cs="Tahoma"/>
                <w:sz w:val="13"/>
              </w:rPr>
              <w:t>1</w:t>
            </w:r>
          </w:p>
        </w:tc>
        <w:tc>
          <w:tcPr>
            <w:tcW w:w="429" w:type="dxa"/>
            <w:tcBorders>
              <w:bottom w:val="single" w:sz="4" w:space="0" w:color="auto"/>
              <w:right w:val="single" w:sz="18" w:space="0" w:color="auto"/>
            </w:tcBorders>
            <w:shd w:val="clear" w:color="auto" w:fill="auto"/>
            <w:vAlign w:val="center"/>
          </w:tcPr>
          <w:p w:rsidR="00B27742" w:rsidRPr="003410C7" w:rsidRDefault="00B27742" w:rsidP="004B3534">
            <w:pPr>
              <w:pStyle w:val="TableText"/>
              <w:widowControl w:val="0"/>
              <w:rPr>
                <w:rFonts w:ascii="Tahoma" w:hAnsi="Tahoma" w:cs="Tahoma"/>
                <w:sz w:val="13"/>
              </w:rPr>
            </w:pPr>
            <w:r w:rsidRPr="003410C7">
              <w:rPr>
                <w:rFonts w:ascii="Tahoma" w:hAnsi="Tahoma" w:cs="Tahoma"/>
                <w:sz w:val="13"/>
              </w:rPr>
              <w:t>1</w:t>
            </w:r>
          </w:p>
        </w:tc>
        <w:tc>
          <w:tcPr>
            <w:tcW w:w="429" w:type="dxa"/>
            <w:tcBorders>
              <w:left w:val="single" w:sz="18" w:space="0" w:color="auto"/>
              <w:bottom w:val="single" w:sz="4" w:space="0" w:color="auto"/>
            </w:tcBorders>
            <w:shd w:val="clear" w:color="auto" w:fill="auto"/>
            <w:vAlign w:val="center"/>
          </w:tcPr>
          <w:p w:rsidR="00B27742" w:rsidRPr="003410C7" w:rsidRDefault="00B27742" w:rsidP="004B3534">
            <w:pPr>
              <w:pStyle w:val="TableText"/>
              <w:widowControl w:val="0"/>
              <w:rPr>
                <w:rFonts w:ascii="Tahoma" w:hAnsi="Tahoma" w:cs="Tahoma"/>
                <w:sz w:val="13"/>
              </w:rPr>
            </w:pPr>
            <w:r w:rsidRPr="003410C7">
              <w:rPr>
                <w:rFonts w:ascii="Tahoma" w:hAnsi="Tahoma" w:cs="Tahoma"/>
                <w:sz w:val="13"/>
              </w:rPr>
              <w:t>1</w:t>
            </w:r>
          </w:p>
        </w:tc>
        <w:tc>
          <w:tcPr>
            <w:tcW w:w="429" w:type="dxa"/>
            <w:tcBorders>
              <w:bottom w:val="single" w:sz="4" w:space="0" w:color="auto"/>
            </w:tcBorders>
            <w:shd w:val="clear" w:color="auto" w:fill="auto"/>
            <w:vAlign w:val="center"/>
          </w:tcPr>
          <w:p w:rsidR="00B27742" w:rsidRPr="003410C7" w:rsidRDefault="00B27742" w:rsidP="004B3534">
            <w:pPr>
              <w:pStyle w:val="TableText"/>
              <w:widowControl w:val="0"/>
              <w:rPr>
                <w:rFonts w:ascii="Tahoma" w:hAnsi="Tahoma" w:cs="Tahoma"/>
                <w:sz w:val="13"/>
              </w:rPr>
            </w:pPr>
            <w:r w:rsidRPr="003410C7">
              <w:rPr>
                <w:rFonts w:ascii="Tahoma" w:hAnsi="Tahoma" w:cs="Tahoma"/>
                <w:sz w:val="13"/>
              </w:rPr>
              <w:t>2</w:t>
            </w:r>
          </w:p>
        </w:tc>
        <w:tc>
          <w:tcPr>
            <w:tcW w:w="442" w:type="dxa"/>
            <w:tcBorders>
              <w:bottom w:val="single" w:sz="4" w:space="0" w:color="auto"/>
              <w:right w:val="single" w:sz="18" w:space="0" w:color="auto"/>
            </w:tcBorders>
            <w:shd w:val="clear" w:color="auto" w:fill="auto"/>
            <w:vAlign w:val="center"/>
          </w:tcPr>
          <w:p w:rsidR="00B27742" w:rsidRPr="003410C7" w:rsidRDefault="00B27742" w:rsidP="004B3534">
            <w:pPr>
              <w:pStyle w:val="TableText"/>
              <w:widowControl w:val="0"/>
              <w:rPr>
                <w:rFonts w:ascii="Tahoma" w:hAnsi="Tahoma" w:cs="Tahoma"/>
                <w:sz w:val="13"/>
              </w:rPr>
            </w:pPr>
            <w:r w:rsidRPr="003410C7">
              <w:rPr>
                <w:rFonts w:ascii="Tahoma" w:hAnsi="Tahoma" w:cs="Tahoma"/>
                <w:sz w:val="13"/>
              </w:rPr>
              <w:t>1</w:t>
            </w:r>
          </w:p>
        </w:tc>
        <w:tc>
          <w:tcPr>
            <w:tcW w:w="495" w:type="dxa"/>
            <w:tcBorders>
              <w:left w:val="single" w:sz="18" w:space="0" w:color="auto"/>
              <w:bottom w:val="single" w:sz="4" w:space="0" w:color="auto"/>
            </w:tcBorders>
            <w:shd w:val="clear" w:color="auto" w:fill="auto"/>
            <w:vAlign w:val="center"/>
          </w:tcPr>
          <w:p w:rsidR="00B27742" w:rsidRPr="003410C7" w:rsidRDefault="00B27742" w:rsidP="004B3534">
            <w:pPr>
              <w:pStyle w:val="TableText"/>
              <w:widowControl w:val="0"/>
              <w:rPr>
                <w:rFonts w:ascii="Tahoma" w:hAnsi="Tahoma" w:cs="Tahoma"/>
                <w:sz w:val="13"/>
              </w:rPr>
            </w:pPr>
            <w:r w:rsidRPr="003410C7">
              <w:rPr>
                <w:rFonts w:ascii="Tahoma" w:hAnsi="Tahoma" w:cs="Tahoma"/>
                <w:sz w:val="13"/>
              </w:rPr>
              <w:t>1</w:t>
            </w:r>
          </w:p>
        </w:tc>
        <w:tc>
          <w:tcPr>
            <w:tcW w:w="459" w:type="dxa"/>
            <w:tcBorders>
              <w:bottom w:val="single" w:sz="4" w:space="0" w:color="auto"/>
              <w:right w:val="single" w:sz="18" w:space="0" w:color="auto"/>
            </w:tcBorders>
            <w:shd w:val="clear" w:color="auto" w:fill="auto"/>
            <w:vAlign w:val="center"/>
          </w:tcPr>
          <w:p w:rsidR="00B27742" w:rsidRPr="003410C7" w:rsidRDefault="00B27742" w:rsidP="004B3534">
            <w:pPr>
              <w:pStyle w:val="TableText"/>
              <w:widowControl w:val="0"/>
              <w:rPr>
                <w:rFonts w:ascii="Tahoma" w:hAnsi="Tahoma" w:cs="Tahoma"/>
                <w:sz w:val="13"/>
              </w:rPr>
            </w:pPr>
            <w:r w:rsidRPr="003410C7">
              <w:rPr>
                <w:rFonts w:ascii="Tahoma" w:hAnsi="Tahoma" w:cs="Tahoma"/>
                <w:sz w:val="13"/>
              </w:rPr>
              <w:t>A</w:t>
            </w:r>
          </w:p>
        </w:tc>
        <w:tc>
          <w:tcPr>
            <w:tcW w:w="360" w:type="dxa"/>
            <w:tcBorders>
              <w:left w:val="single" w:sz="18" w:space="0" w:color="auto"/>
              <w:bottom w:val="single" w:sz="4" w:space="0" w:color="auto"/>
              <w:right w:val="single" w:sz="18" w:space="0" w:color="auto"/>
            </w:tcBorders>
            <w:shd w:val="clear" w:color="auto" w:fill="auto"/>
            <w:vAlign w:val="center"/>
          </w:tcPr>
          <w:p w:rsidR="00B27742" w:rsidRPr="003410C7" w:rsidRDefault="00B27742" w:rsidP="004B3534">
            <w:pPr>
              <w:pStyle w:val="TableText"/>
              <w:widowControl w:val="0"/>
              <w:rPr>
                <w:rFonts w:ascii="Tahoma" w:hAnsi="Tahoma" w:cs="Tahoma"/>
                <w:sz w:val="13"/>
              </w:rPr>
            </w:pPr>
            <w:r w:rsidRPr="003410C7">
              <w:rPr>
                <w:rFonts w:ascii="Tahoma" w:hAnsi="Tahoma" w:cs="Tahoma"/>
                <w:sz w:val="13"/>
              </w:rPr>
              <w:t>P</w:t>
            </w:r>
          </w:p>
        </w:tc>
        <w:tc>
          <w:tcPr>
            <w:tcW w:w="474" w:type="dxa"/>
            <w:tcBorders>
              <w:bottom w:val="single" w:sz="4" w:space="0" w:color="auto"/>
            </w:tcBorders>
            <w:shd w:val="clear" w:color="auto" w:fill="auto"/>
            <w:vAlign w:val="center"/>
          </w:tcPr>
          <w:p w:rsidR="00B27742" w:rsidRPr="003410C7" w:rsidRDefault="00F440FF" w:rsidP="00080B33">
            <w:pPr>
              <w:pStyle w:val="TableText"/>
              <w:widowControl w:val="0"/>
              <w:rPr>
                <w:rFonts w:ascii="Tahoma" w:hAnsi="Tahoma" w:cs="Tahoma"/>
                <w:sz w:val="13"/>
              </w:rPr>
            </w:pPr>
            <w:r w:rsidRPr="003410C7">
              <w:rPr>
                <w:rFonts w:ascii="Tahoma" w:hAnsi="Tahoma" w:cs="Tahoma"/>
                <w:sz w:val="13"/>
              </w:rPr>
              <w:t>A, AO, ST</w:t>
            </w:r>
          </w:p>
        </w:tc>
        <w:tc>
          <w:tcPr>
            <w:tcW w:w="514" w:type="dxa"/>
            <w:tcBorders>
              <w:bottom w:val="single" w:sz="4" w:space="0" w:color="auto"/>
            </w:tcBorders>
            <w:shd w:val="clear" w:color="auto" w:fill="auto"/>
            <w:vAlign w:val="center"/>
          </w:tcPr>
          <w:p w:rsidR="00B27742" w:rsidRPr="003410C7" w:rsidRDefault="00B27742" w:rsidP="004B3534">
            <w:pPr>
              <w:pStyle w:val="TableText"/>
              <w:widowControl w:val="0"/>
              <w:rPr>
                <w:rFonts w:ascii="Tahoma" w:hAnsi="Tahoma" w:cs="Tahoma"/>
                <w:sz w:val="13"/>
              </w:rPr>
            </w:pPr>
          </w:p>
        </w:tc>
      </w:tr>
      <w:tr w:rsidR="00EF228F" w:rsidRPr="003410C7" w:rsidTr="002A074D">
        <w:trPr>
          <w:cantSplit/>
          <w:trHeight w:val="145"/>
        </w:trPr>
        <w:tc>
          <w:tcPr>
            <w:tcW w:w="2638" w:type="dxa"/>
            <w:tcBorders>
              <w:bottom w:val="single" w:sz="4" w:space="0" w:color="auto"/>
            </w:tcBorders>
            <w:shd w:val="clear" w:color="auto" w:fill="FABF8F"/>
            <w:vAlign w:val="center"/>
          </w:tcPr>
          <w:p w:rsidR="00B27742" w:rsidRPr="003410C7" w:rsidRDefault="00B27742" w:rsidP="003410C7">
            <w:pPr>
              <w:pStyle w:val="Heading2"/>
              <w:spacing w:beforeLines="20" w:before="48" w:afterLines="20" w:after="48"/>
              <w:ind w:left="0"/>
              <w:rPr>
                <w:rFonts w:ascii="Tahoma" w:hAnsi="Tahoma" w:cs="Tahoma"/>
                <w:b w:val="0"/>
                <w:sz w:val="14"/>
              </w:rPr>
            </w:pPr>
            <w:bookmarkStart w:id="44" w:name="_Toc336337858"/>
            <w:bookmarkStart w:id="45" w:name="_Toc352234459"/>
            <w:r w:rsidRPr="003410C7">
              <w:rPr>
                <w:rFonts w:ascii="Tahoma" w:hAnsi="Tahoma" w:cs="Tahoma"/>
                <w:b w:val="0"/>
                <w:sz w:val="14"/>
              </w:rPr>
              <w:t>Sistemi Operativi MSDN</w:t>
            </w:r>
            <w:bookmarkEnd w:id="44"/>
            <w:bookmarkEnd w:id="45"/>
          </w:p>
        </w:tc>
        <w:tc>
          <w:tcPr>
            <w:tcW w:w="429" w:type="dxa"/>
            <w:tcBorders>
              <w:bottom w:val="single" w:sz="4" w:space="0" w:color="auto"/>
            </w:tcBorders>
            <w:shd w:val="clear" w:color="auto" w:fill="FABF8F"/>
            <w:vAlign w:val="center"/>
          </w:tcPr>
          <w:p w:rsidR="00B27742" w:rsidRPr="009F17FF" w:rsidRDefault="00FC1A4D" w:rsidP="009832D3">
            <w:pPr>
              <w:pStyle w:val="TableText"/>
              <w:widowControl w:val="0"/>
              <w:rPr>
                <w:rStyle w:val="EndnoteReference"/>
                <w:color w:val="0000FF"/>
                <w:sz w:val="13"/>
                <w:szCs w:val="13"/>
                <w:u w:val="single"/>
              </w:rPr>
            </w:pPr>
            <w:hyperlink w:anchor="_34_MSDN_Operating" w:history="1">
              <w:r w:rsidR="000D77F6" w:rsidRPr="009F17FF">
                <w:rPr>
                  <w:rStyle w:val="Hyperlink"/>
                  <w:sz w:val="13"/>
                  <w:szCs w:val="13"/>
                </w:rPr>
                <w:t>3</w:t>
              </w:r>
            </w:hyperlink>
          </w:p>
        </w:tc>
        <w:tc>
          <w:tcPr>
            <w:tcW w:w="429" w:type="dxa"/>
            <w:tcBorders>
              <w:bottom w:val="single" w:sz="4" w:space="0" w:color="auto"/>
            </w:tcBorders>
            <w:shd w:val="clear" w:color="auto" w:fill="FABF8F"/>
            <w:vAlign w:val="center"/>
          </w:tcPr>
          <w:p w:rsidR="00B27742" w:rsidRPr="003410C7" w:rsidRDefault="00B27742" w:rsidP="004000C7">
            <w:pPr>
              <w:pStyle w:val="TableText"/>
              <w:rPr>
                <w:rFonts w:ascii="Tahoma" w:hAnsi="Tahoma" w:cs="Tahoma"/>
                <w:sz w:val="13"/>
              </w:rPr>
            </w:pPr>
            <w:r w:rsidRPr="003410C7">
              <w:rPr>
                <w:rFonts w:ascii="Tahoma" w:hAnsi="Tahoma" w:cs="Tahoma"/>
                <w:sz w:val="13"/>
              </w:rPr>
              <w:t>01/06</w:t>
            </w:r>
          </w:p>
        </w:tc>
        <w:tc>
          <w:tcPr>
            <w:tcW w:w="429" w:type="dxa"/>
            <w:tcBorders>
              <w:bottom w:val="single" w:sz="4" w:space="0" w:color="auto"/>
              <w:right w:val="single" w:sz="18" w:space="0" w:color="auto"/>
            </w:tcBorders>
            <w:shd w:val="clear" w:color="auto" w:fill="FABF8F"/>
            <w:vAlign w:val="center"/>
          </w:tcPr>
          <w:p w:rsidR="00B27742" w:rsidRPr="003410C7" w:rsidRDefault="00B27742" w:rsidP="004B3534">
            <w:pPr>
              <w:pStyle w:val="TableText"/>
              <w:rPr>
                <w:rFonts w:ascii="Tahoma" w:hAnsi="Tahoma" w:cs="Tahoma"/>
                <w:sz w:val="13"/>
              </w:rPr>
            </w:pPr>
          </w:p>
        </w:tc>
        <w:tc>
          <w:tcPr>
            <w:tcW w:w="429" w:type="dxa"/>
            <w:tcBorders>
              <w:left w:val="single" w:sz="18" w:space="0" w:color="auto"/>
              <w:bottom w:val="single" w:sz="4" w:space="0" w:color="auto"/>
            </w:tcBorders>
            <w:shd w:val="clear" w:color="auto" w:fill="FABF8F"/>
            <w:vAlign w:val="center"/>
          </w:tcPr>
          <w:p w:rsidR="00B27742" w:rsidRPr="003410C7" w:rsidRDefault="00B27742" w:rsidP="004B3534">
            <w:pPr>
              <w:pStyle w:val="TableText"/>
              <w:rPr>
                <w:rFonts w:ascii="Tahoma" w:hAnsi="Tahoma" w:cs="Tahoma"/>
                <w:sz w:val="13"/>
              </w:rPr>
            </w:pPr>
          </w:p>
        </w:tc>
        <w:tc>
          <w:tcPr>
            <w:tcW w:w="429" w:type="dxa"/>
            <w:tcBorders>
              <w:bottom w:val="single" w:sz="4" w:space="0" w:color="auto"/>
            </w:tcBorders>
            <w:shd w:val="clear" w:color="auto" w:fill="FABF8F"/>
            <w:vAlign w:val="center"/>
          </w:tcPr>
          <w:p w:rsidR="00B27742" w:rsidRPr="003410C7" w:rsidRDefault="00B27742" w:rsidP="004B3534">
            <w:pPr>
              <w:pStyle w:val="TableText"/>
              <w:rPr>
                <w:rFonts w:ascii="Tahoma" w:hAnsi="Tahoma" w:cs="Tahoma"/>
                <w:sz w:val="13"/>
              </w:rPr>
            </w:pPr>
            <w:r w:rsidRPr="003410C7">
              <w:rPr>
                <w:rFonts w:ascii="Tahoma" w:hAnsi="Tahoma" w:cs="Tahoma"/>
                <w:sz w:val="13"/>
              </w:rPr>
              <w:t>5</w:t>
            </w:r>
          </w:p>
        </w:tc>
        <w:tc>
          <w:tcPr>
            <w:tcW w:w="429" w:type="dxa"/>
            <w:tcBorders>
              <w:bottom w:val="single" w:sz="4" w:space="0" w:color="auto"/>
            </w:tcBorders>
            <w:shd w:val="clear" w:color="auto" w:fill="FABF8F"/>
            <w:vAlign w:val="center"/>
          </w:tcPr>
          <w:p w:rsidR="00B27742" w:rsidRPr="003410C7" w:rsidRDefault="00B27742" w:rsidP="004B3534">
            <w:pPr>
              <w:pStyle w:val="TableText"/>
              <w:rPr>
                <w:rFonts w:ascii="Tahoma" w:hAnsi="Tahoma" w:cs="Tahoma"/>
                <w:sz w:val="13"/>
              </w:rPr>
            </w:pPr>
            <w:r w:rsidRPr="003410C7">
              <w:rPr>
                <w:rFonts w:ascii="Tahoma" w:hAnsi="Tahoma" w:cs="Tahoma"/>
                <w:sz w:val="13"/>
              </w:rPr>
              <w:t>4</w:t>
            </w:r>
          </w:p>
        </w:tc>
        <w:tc>
          <w:tcPr>
            <w:tcW w:w="429" w:type="dxa"/>
            <w:tcBorders>
              <w:bottom w:val="single" w:sz="4" w:space="0" w:color="auto"/>
            </w:tcBorders>
            <w:shd w:val="clear" w:color="auto" w:fill="FABF8F"/>
            <w:vAlign w:val="center"/>
          </w:tcPr>
          <w:p w:rsidR="00B27742" w:rsidRPr="003410C7" w:rsidRDefault="00B27742" w:rsidP="004B3534">
            <w:pPr>
              <w:pStyle w:val="TableText"/>
              <w:rPr>
                <w:rFonts w:ascii="Tahoma" w:hAnsi="Tahoma" w:cs="Tahoma"/>
                <w:sz w:val="13"/>
              </w:rPr>
            </w:pPr>
            <w:r w:rsidRPr="003410C7">
              <w:rPr>
                <w:rFonts w:ascii="Tahoma" w:hAnsi="Tahoma" w:cs="Tahoma"/>
                <w:sz w:val="13"/>
              </w:rPr>
              <w:t>3</w:t>
            </w:r>
          </w:p>
        </w:tc>
        <w:tc>
          <w:tcPr>
            <w:tcW w:w="429" w:type="dxa"/>
            <w:tcBorders>
              <w:bottom w:val="single" w:sz="4" w:space="0" w:color="auto"/>
            </w:tcBorders>
            <w:shd w:val="clear" w:color="auto" w:fill="FABF8F"/>
            <w:vAlign w:val="center"/>
          </w:tcPr>
          <w:p w:rsidR="00B27742" w:rsidRPr="003410C7" w:rsidRDefault="00B27742" w:rsidP="004B3534">
            <w:pPr>
              <w:pStyle w:val="TableText"/>
              <w:rPr>
                <w:rFonts w:ascii="Tahoma" w:hAnsi="Tahoma" w:cs="Tahoma"/>
                <w:sz w:val="13"/>
              </w:rPr>
            </w:pPr>
            <w:r w:rsidRPr="003410C7">
              <w:rPr>
                <w:rFonts w:ascii="Tahoma" w:hAnsi="Tahoma" w:cs="Tahoma"/>
                <w:sz w:val="13"/>
              </w:rPr>
              <w:t>3</w:t>
            </w:r>
          </w:p>
        </w:tc>
        <w:tc>
          <w:tcPr>
            <w:tcW w:w="429" w:type="dxa"/>
            <w:tcBorders>
              <w:bottom w:val="single" w:sz="4" w:space="0" w:color="auto"/>
            </w:tcBorders>
            <w:shd w:val="clear" w:color="auto" w:fill="FABF8F"/>
            <w:vAlign w:val="center"/>
          </w:tcPr>
          <w:p w:rsidR="00B27742" w:rsidRPr="003410C7" w:rsidRDefault="00B27742" w:rsidP="004B3534">
            <w:pPr>
              <w:pStyle w:val="TableText"/>
              <w:rPr>
                <w:rFonts w:ascii="Tahoma" w:hAnsi="Tahoma" w:cs="Tahoma"/>
                <w:sz w:val="13"/>
              </w:rPr>
            </w:pPr>
            <w:r w:rsidRPr="003410C7">
              <w:rPr>
                <w:rFonts w:ascii="Tahoma" w:hAnsi="Tahoma" w:cs="Tahoma"/>
                <w:sz w:val="13"/>
              </w:rPr>
              <w:t>2</w:t>
            </w:r>
          </w:p>
        </w:tc>
        <w:tc>
          <w:tcPr>
            <w:tcW w:w="429" w:type="dxa"/>
            <w:tcBorders>
              <w:bottom w:val="single" w:sz="4" w:space="0" w:color="auto"/>
              <w:right w:val="single" w:sz="18" w:space="0" w:color="auto"/>
            </w:tcBorders>
            <w:shd w:val="clear" w:color="auto" w:fill="FABF8F"/>
            <w:vAlign w:val="center"/>
          </w:tcPr>
          <w:p w:rsidR="00B27742" w:rsidRPr="003410C7" w:rsidRDefault="00B27742" w:rsidP="004B3534">
            <w:pPr>
              <w:pStyle w:val="TableText"/>
              <w:rPr>
                <w:rFonts w:ascii="Tahoma" w:hAnsi="Tahoma" w:cs="Tahoma"/>
                <w:sz w:val="13"/>
              </w:rPr>
            </w:pPr>
            <w:r w:rsidRPr="003410C7">
              <w:rPr>
                <w:rFonts w:ascii="Tahoma" w:hAnsi="Tahoma" w:cs="Tahoma"/>
                <w:sz w:val="13"/>
              </w:rPr>
              <w:t>1</w:t>
            </w:r>
          </w:p>
        </w:tc>
        <w:tc>
          <w:tcPr>
            <w:tcW w:w="429" w:type="dxa"/>
            <w:tcBorders>
              <w:left w:val="single" w:sz="18" w:space="0" w:color="auto"/>
              <w:bottom w:val="single" w:sz="4" w:space="0" w:color="auto"/>
            </w:tcBorders>
            <w:shd w:val="clear" w:color="auto" w:fill="FABF8F"/>
            <w:vAlign w:val="center"/>
          </w:tcPr>
          <w:p w:rsidR="00B27742" w:rsidRPr="003410C7" w:rsidRDefault="00B27742" w:rsidP="004B3534">
            <w:pPr>
              <w:pStyle w:val="TableText"/>
              <w:rPr>
                <w:rFonts w:ascii="Tahoma" w:hAnsi="Tahoma" w:cs="Tahoma"/>
                <w:sz w:val="13"/>
              </w:rPr>
            </w:pPr>
          </w:p>
        </w:tc>
        <w:tc>
          <w:tcPr>
            <w:tcW w:w="429" w:type="dxa"/>
            <w:tcBorders>
              <w:bottom w:val="single" w:sz="4" w:space="0" w:color="auto"/>
            </w:tcBorders>
            <w:shd w:val="clear" w:color="auto" w:fill="FABF8F"/>
            <w:vAlign w:val="center"/>
          </w:tcPr>
          <w:p w:rsidR="00B27742" w:rsidRPr="003410C7" w:rsidRDefault="00B27742" w:rsidP="004B3534">
            <w:pPr>
              <w:pStyle w:val="TableText"/>
              <w:rPr>
                <w:rFonts w:ascii="Tahoma" w:hAnsi="Tahoma" w:cs="Tahoma"/>
                <w:sz w:val="13"/>
              </w:rPr>
            </w:pPr>
            <w:r w:rsidRPr="003410C7">
              <w:rPr>
                <w:rFonts w:ascii="Tahoma" w:hAnsi="Tahoma" w:cs="Tahoma"/>
                <w:sz w:val="13"/>
              </w:rPr>
              <w:t>4</w:t>
            </w:r>
          </w:p>
        </w:tc>
        <w:tc>
          <w:tcPr>
            <w:tcW w:w="442" w:type="dxa"/>
            <w:tcBorders>
              <w:bottom w:val="single" w:sz="4" w:space="0" w:color="auto"/>
              <w:right w:val="single" w:sz="18" w:space="0" w:color="auto"/>
            </w:tcBorders>
            <w:shd w:val="clear" w:color="auto" w:fill="FABF8F"/>
            <w:vAlign w:val="center"/>
          </w:tcPr>
          <w:p w:rsidR="00B27742" w:rsidRPr="003410C7" w:rsidRDefault="00B27742" w:rsidP="004B3534">
            <w:pPr>
              <w:pStyle w:val="TableText"/>
              <w:rPr>
                <w:rFonts w:ascii="Tahoma" w:hAnsi="Tahoma" w:cs="Tahoma"/>
                <w:sz w:val="13"/>
              </w:rPr>
            </w:pPr>
            <w:r w:rsidRPr="003410C7">
              <w:rPr>
                <w:rFonts w:ascii="Tahoma" w:hAnsi="Tahoma" w:cs="Tahoma"/>
                <w:sz w:val="13"/>
              </w:rPr>
              <w:t>2</w:t>
            </w:r>
          </w:p>
        </w:tc>
        <w:tc>
          <w:tcPr>
            <w:tcW w:w="495" w:type="dxa"/>
            <w:tcBorders>
              <w:left w:val="single" w:sz="18" w:space="0" w:color="auto"/>
              <w:bottom w:val="single" w:sz="4" w:space="0" w:color="auto"/>
            </w:tcBorders>
            <w:shd w:val="clear" w:color="auto" w:fill="FABF8F"/>
            <w:vAlign w:val="center"/>
          </w:tcPr>
          <w:p w:rsidR="00B27742" w:rsidRPr="003410C7" w:rsidRDefault="00B27742" w:rsidP="004B3534">
            <w:pPr>
              <w:pStyle w:val="TableText"/>
              <w:rPr>
                <w:rFonts w:ascii="Tahoma" w:hAnsi="Tahoma" w:cs="Tahoma"/>
                <w:sz w:val="13"/>
              </w:rPr>
            </w:pPr>
            <w:r w:rsidRPr="003410C7">
              <w:rPr>
                <w:rFonts w:ascii="Tahoma" w:hAnsi="Tahoma" w:cs="Tahoma"/>
                <w:sz w:val="13"/>
              </w:rPr>
              <w:t>1</w:t>
            </w:r>
          </w:p>
        </w:tc>
        <w:tc>
          <w:tcPr>
            <w:tcW w:w="459" w:type="dxa"/>
            <w:tcBorders>
              <w:bottom w:val="single" w:sz="4" w:space="0" w:color="auto"/>
              <w:right w:val="single" w:sz="18" w:space="0" w:color="auto"/>
            </w:tcBorders>
            <w:shd w:val="clear" w:color="auto" w:fill="FABF8F"/>
            <w:vAlign w:val="center"/>
          </w:tcPr>
          <w:p w:rsidR="00B27742" w:rsidRPr="003410C7" w:rsidRDefault="00B27742" w:rsidP="004B3534">
            <w:pPr>
              <w:pStyle w:val="TableText"/>
              <w:rPr>
                <w:rFonts w:ascii="Tahoma" w:hAnsi="Tahoma" w:cs="Tahoma"/>
                <w:sz w:val="13"/>
              </w:rPr>
            </w:pPr>
          </w:p>
        </w:tc>
        <w:tc>
          <w:tcPr>
            <w:tcW w:w="360" w:type="dxa"/>
            <w:tcBorders>
              <w:left w:val="single" w:sz="18" w:space="0" w:color="auto"/>
              <w:bottom w:val="single" w:sz="4" w:space="0" w:color="auto"/>
              <w:right w:val="single" w:sz="18" w:space="0" w:color="auto"/>
            </w:tcBorders>
            <w:shd w:val="clear" w:color="auto" w:fill="FABF8F"/>
            <w:vAlign w:val="center"/>
          </w:tcPr>
          <w:p w:rsidR="00B27742" w:rsidRPr="003410C7" w:rsidRDefault="00B27742" w:rsidP="004B3534">
            <w:pPr>
              <w:pStyle w:val="TableText"/>
              <w:rPr>
                <w:rFonts w:ascii="Tahoma" w:hAnsi="Tahoma" w:cs="Tahoma"/>
                <w:sz w:val="13"/>
              </w:rPr>
            </w:pPr>
            <w:r w:rsidRPr="003410C7">
              <w:rPr>
                <w:rFonts w:ascii="Tahoma" w:hAnsi="Tahoma" w:cs="Tahoma"/>
                <w:sz w:val="13"/>
              </w:rPr>
              <w:t>P</w:t>
            </w:r>
          </w:p>
        </w:tc>
        <w:tc>
          <w:tcPr>
            <w:tcW w:w="474" w:type="dxa"/>
            <w:tcBorders>
              <w:bottom w:val="single" w:sz="4" w:space="0" w:color="auto"/>
            </w:tcBorders>
            <w:shd w:val="clear" w:color="auto" w:fill="FABF8F"/>
            <w:vAlign w:val="center"/>
          </w:tcPr>
          <w:p w:rsidR="00B27742" w:rsidRPr="003410C7" w:rsidRDefault="00052BF4" w:rsidP="00080B33">
            <w:pPr>
              <w:pStyle w:val="TableText"/>
              <w:rPr>
                <w:rFonts w:ascii="Tahoma" w:hAnsi="Tahoma" w:cs="Tahoma"/>
                <w:sz w:val="13"/>
              </w:rPr>
            </w:pPr>
            <w:r w:rsidRPr="003410C7">
              <w:rPr>
                <w:rFonts w:ascii="Tahoma" w:hAnsi="Tahoma" w:cs="Tahoma"/>
                <w:sz w:val="13"/>
              </w:rPr>
              <w:t>A</w:t>
            </w:r>
          </w:p>
        </w:tc>
        <w:tc>
          <w:tcPr>
            <w:tcW w:w="514" w:type="dxa"/>
            <w:tcBorders>
              <w:bottom w:val="single" w:sz="4" w:space="0" w:color="auto"/>
            </w:tcBorders>
            <w:shd w:val="clear" w:color="auto" w:fill="FABF8F"/>
            <w:vAlign w:val="center"/>
          </w:tcPr>
          <w:p w:rsidR="00B27742" w:rsidRPr="003410C7" w:rsidRDefault="00B27742" w:rsidP="004B3534">
            <w:pPr>
              <w:pStyle w:val="TableText"/>
            </w:pPr>
            <w:r w:rsidRPr="003410C7">
              <w:rPr>
                <w:rFonts w:ascii="Tahoma" w:hAnsi="Tahoma" w:cs="Tahoma"/>
                <w:sz w:val="13"/>
              </w:rPr>
              <w:t>OL/SA/</w:t>
            </w:r>
          </w:p>
          <w:p w:rsidR="00B27742" w:rsidRPr="003410C7" w:rsidRDefault="00B27742" w:rsidP="004B3534">
            <w:pPr>
              <w:pStyle w:val="TableText"/>
              <w:rPr>
                <w:rFonts w:ascii="Tahoma" w:hAnsi="Tahoma" w:cs="Tahoma"/>
                <w:sz w:val="13"/>
              </w:rPr>
            </w:pPr>
            <w:r w:rsidRPr="003410C7">
              <w:rPr>
                <w:rFonts w:ascii="Tahoma" w:hAnsi="Tahoma" w:cs="Tahoma"/>
                <w:sz w:val="13"/>
              </w:rPr>
              <w:t>OV</w:t>
            </w:r>
          </w:p>
        </w:tc>
      </w:tr>
      <w:tr w:rsidR="00B33D0E" w:rsidRPr="003410C7" w:rsidTr="002A074D">
        <w:trPr>
          <w:cantSplit/>
          <w:trHeight w:val="287"/>
        </w:trPr>
        <w:tc>
          <w:tcPr>
            <w:tcW w:w="2638" w:type="dxa"/>
            <w:tcBorders>
              <w:bottom w:val="single" w:sz="4" w:space="0" w:color="auto"/>
            </w:tcBorders>
            <w:shd w:val="clear" w:color="auto" w:fill="auto"/>
            <w:vAlign w:val="center"/>
          </w:tcPr>
          <w:p w:rsidR="007B2C93" w:rsidRPr="00451078" w:rsidRDefault="007B2C93" w:rsidP="003410C7">
            <w:pPr>
              <w:pStyle w:val="Heading2"/>
              <w:spacing w:beforeLines="20" w:before="48" w:afterLines="20" w:after="48"/>
              <w:ind w:left="0"/>
              <w:rPr>
                <w:rFonts w:ascii="Tahoma" w:hAnsi="Tahoma" w:cs="Tahoma"/>
                <w:b w:val="0"/>
                <w:sz w:val="14"/>
                <w:lang w:val="it-IT"/>
              </w:rPr>
            </w:pPr>
            <w:bookmarkStart w:id="46" w:name="_Toc336337859"/>
            <w:bookmarkStart w:id="47" w:name="_Toc352234460"/>
            <w:r w:rsidRPr="00451078">
              <w:rPr>
                <w:rFonts w:ascii="Tahoma" w:hAnsi="Tahoma" w:cs="Tahoma"/>
                <w:b w:val="0"/>
                <w:sz w:val="14"/>
                <w:lang w:val="it-IT"/>
              </w:rPr>
              <w:t>Office 365 A2 (SL per Utente)</w:t>
            </w:r>
            <w:bookmarkEnd w:id="46"/>
            <w:bookmarkEnd w:id="47"/>
          </w:p>
        </w:tc>
        <w:tc>
          <w:tcPr>
            <w:tcW w:w="429" w:type="dxa"/>
            <w:tcBorders>
              <w:bottom w:val="single" w:sz="4" w:space="0" w:color="auto"/>
            </w:tcBorders>
            <w:shd w:val="clear" w:color="auto" w:fill="auto"/>
            <w:vAlign w:val="center"/>
          </w:tcPr>
          <w:p w:rsidR="007B2C93" w:rsidRPr="009F17FF" w:rsidRDefault="00FC1A4D" w:rsidP="009832D3">
            <w:pPr>
              <w:pStyle w:val="TableText"/>
              <w:widowControl w:val="0"/>
              <w:rPr>
                <w:b/>
                <w:color w:val="0000FF"/>
                <w:sz w:val="13"/>
                <w:szCs w:val="13"/>
                <w:u w:val="single"/>
              </w:rPr>
            </w:pPr>
            <w:hyperlink w:anchor="_45_Office_365" w:history="1">
              <w:r w:rsidR="000D77F6" w:rsidRPr="009F17FF">
                <w:rPr>
                  <w:rStyle w:val="Hyperlink"/>
                  <w:sz w:val="13"/>
                  <w:szCs w:val="13"/>
                </w:rPr>
                <w:t>4</w:t>
              </w:r>
            </w:hyperlink>
          </w:p>
        </w:tc>
        <w:tc>
          <w:tcPr>
            <w:tcW w:w="429" w:type="dxa"/>
            <w:tcBorders>
              <w:bottom w:val="single" w:sz="4" w:space="0" w:color="auto"/>
            </w:tcBorders>
            <w:shd w:val="clear" w:color="auto" w:fill="auto"/>
            <w:vAlign w:val="center"/>
          </w:tcPr>
          <w:p w:rsidR="007B2C93" w:rsidRPr="003410C7" w:rsidRDefault="007B2C93" w:rsidP="004000C7">
            <w:pPr>
              <w:pStyle w:val="TableText"/>
              <w:widowControl w:val="0"/>
              <w:rPr>
                <w:rFonts w:ascii="Tahoma" w:hAnsi="Tahoma" w:cs="Tahoma"/>
                <w:sz w:val="13"/>
              </w:rPr>
            </w:pPr>
            <w:r w:rsidRPr="003410C7">
              <w:rPr>
                <w:rFonts w:ascii="Tahoma" w:hAnsi="Tahoma" w:cs="Tahoma"/>
                <w:sz w:val="13"/>
              </w:rPr>
              <w:t>06/12</w:t>
            </w:r>
          </w:p>
        </w:tc>
        <w:tc>
          <w:tcPr>
            <w:tcW w:w="429" w:type="dxa"/>
            <w:tcBorders>
              <w:bottom w:val="single" w:sz="4" w:space="0" w:color="auto"/>
              <w:right w:val="single" w:sz="18" w:space="0" w:color="auto"/>
            </w:tcBorders>
            <w:shd w:val="clear" w:color="auto" w:fill="auto"/>
            <w:vAlign w:val="center"/>
          </w:tcPr>
          <w:p w:rsidR="007B2C93" w:rsidRPr="003410C7" w:rsidRDefault="007B2C93" w:rsidP="004B3534">
            <w:pPr>
              <w:pStyle w:val="TableText"/>
              <w:widowControl w:val="0"/>
              <w:rPr>
                <w:rFonts w:ascii="Tahoma" w:hAnsi="Tahoma" w:cs="Tahoma"/>
                <w:sz w:val="13"/>
              </w:rPr>
            </w:pPr>
            <w:r w:rsidRPr="003410C7">
              <w:rPr>
                <w:rFonts w:ascii="Tahoma" w:hAnsi="Tahoma" w:cs="Tahoma"/>
                <w:sz w:val="13"/>
              </w:rPr>
              <w:t>OSB</w:t>
            </w:r>
          </w:p>
        </w:tc>
        <w:tc>
          <w:tcPr>
            <w:tcW w:w="429" w:type="dxa"/>
            <w:tcBorders>
              <w:left w:val="single" w:sz="18" w:space="0" w:color="auto"/>
              <w:bottom w:val="single" w:sz="4" w:space="0" w:color="auto"/>
            </w:tcBorders>
            <w:shd w:val="clear" w:color="auto" w:fill="auto"/>
            <w:vAlign w:val="center"/>
          </w:tcPr>
          <w:p w:rsidR="007B2C93" w:rsidRPr="003410C7" w:rsidRDefault="007B2C93" w:rsidP="004B3534">
            <w:pPr>
              <w:pStyle w:val="TableText"/>
              <w:widowControl w:val="0"/>
              <w:rPr>
                <w:rFonts w:ascii="Tahoma" w:hAnsi="Tahoma" w:cs="Tahoma"/>
                <w:sz w:val="13"/>
              </w:rPr>
            </w:pPr>
          </w:p>
        </w:tc>
        <w:tc>
          <w:tcPr>
            <w:tcW w:w="429" w:type="dxa"/>
            <w:tcBorders>
              <w:bottom w:val="single" w:sz="4" w:space="0" w:color="auto"/>
            </w:tcBorders>
            <w:shd w:val="clear" w:color="auto" w:fill="auto"/>
            <w:vAlign w:val="center"/>
          </w:tcPr>
          <w:p w:rsidR="007B2C93" w:rsidRPr="003410C7" w:rsidRDefault="007B2C93" w:rsidP="004B3534">
            <w:pPr>
              <w:pStyle w:val="TableText"/>
              <w:widowControl w:val="0"/>
              <w:rPr>
                <w:rFonts w:ascii="Tahoma" w:hAnsi="Tahoma" w:cs="Tahoma"/>
                <w:sz w:val="13"/>
              </w:rPr>
            </w:pPr>
          </w:p>
        </w:tc>
        <w:tc>
          <w:tcPr>
            <w:tcW w:w="429" w:type="dxa"/>
            <w:tcBorders>
              <w:bottom w:val="single" w:sz="4" w:space="0" w:color="auto"/>
            </w:tcBorders>
            <w:shd w:val="clear" w:color="auto" w:fill="auto"/>
            <w:vAlign w:val="center"/>
          </w:tcPr>
          <w:p w:rsidR="007B2C93" w:rsidRPr="003410C7" w:rsidRDefault="007B2C93" w:rsidP="004B3534">
            <w:pPr>
              <w:pStyle w:val="TableText"/>
              <w:widowControl w:val="0"/>
              <w:rPr>
                <w:rFonts w:ascii="Tahoma" w:hAnsi="Tahoma" w:cs="Tahoma"/>
                <w:sz w:val="13"/>
              </w:rPr>
            </w:pPr>
          </w:p>
        </w:tc>
        <w:tc>
          <w:tcPr>
            <w:tcW w:w="429" w:type="dxa"/>
            <w:tcBorders>
              <w:bottom w:val="single" w:sz="4" w:space="0" w:color="auto"/>
            </w:tcBorders>
            <w:shd w:val="clear" w:color="auto" w:fill="auto"/>
            <w:vAlign w:val="center"/>
          </w:tcPr>
          <w:p w:rsidR="007B2C93" w:rsidRPr="003410C7" w:rsidRDefault="007B2C93" w:rsidP="004B3534">
            <w:pPr>
              <w:pStyle w:val="TableText"/>
              <w:widowControl w:val="0"/>
              <w:rPr>
                <w:rFonts w:ascii="Tahoma" w:hAnsi="Tahoma" w:cs="Tahoma"/>
                <w:sz w:val="13"/>
              </w:rPr>
            </w:pPr>
          </w:p>
        </w:tc>
        <w:tc>
          <w:tcPr>
            <w:tcW w:w="429" w:type="dxa"/>
            <w:tcBorders>
              <w:bottom w:val="single" w:sz="4" w:space="0" w:color="auto"/>
            </w:tcBorders>
            <w:shd w:val="clear" w:color="auto" w:fill="auto"/>
            <w:vAlign w:val="center"/>
          </w:tcPr>
          <w:p w:rsidR="007B2C93" w:rsidRPr="003410C7" w:rsidRDefault="007B2C93" w:rsidP="004B3534">
            <w:pPr>
              <w:pStyle w:val="TableText"/>
              <w:widowControl w:val="0"/>
              <w:rPr>
                <w:rFonts w:ascii="Tahoma" w:hAnsi="Tahoma" w:cs="Tahoma"/>
                <w:sz w:val="13"/>
              </w:rPr>
            </w:pPr>
          </w:p>
        </w:tc>
        <w:tc>
          <w:tcPr>
            <w:tcW w:w="429" w:type="dxa"/>
            <w:tcBorders>
              <w:bottom w:val="single" w:sz="4" w:space="0" w:color="auto"/>
            </w:tcBorders>
            <w:shd w:val="clear" w:color="auto" w:fill="auto"/>
            <w:vAlign w:val="center"/>
          </w:tcPr>
          <w:p w:rsidR="007B2C93" w:rsidRPr="003410C7" w:rsidRDefault="007B2C93" w:rsidP="004B3534">
            <w:pPr>
              <w:pStyle w:val="TableText"/>
              <w:widowControl w:val="0"/>
              <w:rPr>
                <w:rFonts w:ascii="Tahoma" w:hAnsi="Tahoma" w:cs="Tahoma"/>
                <w:sz w:val="13"/>
              </w:rPr>
            </w:pPr>
          </w:p>
        </w:tc>
        <w:tc>
          <w:tcPr>
            <w:tcW w:w="429" w:type="dxa"/>
            <w:tcBorders>
              <w:bottom w:val="single" w:sz="4" w:space="0" w:color="auto"/>
              <w:right w:val="single" w:sz="18" w:space="0" w:color="auto"/>
            </w:tcBorders>
            <w:shd w:val="clear" w:color="auto" w:fill="auto"/>
            <w:vAlign w:val="center"/>
          </w:tcPr>
          <w:p w:rsidR="007B2C93" w:rsidRPr="003410C7" w:rsidRDefault="007B2C93" w:rsidP="004B3534">
            <w:pPr>
              <w:pStyle w:val="TableText"/>
              <w:widowControl w:val="0"/>
              <w:rPr>
                <w:rFonts w:ascii="Tahoma" w:hAnsi="Tahoma" w:cs="Tahoma"/>
                <w:sz w:val="13"/>
              </w:rPr>
            </w:pPr>
          </w:p>
        </w:tc>
        <w:tc>
          <w:tcPr>
            <w:tcW w:w="429" w:type="dxa"/>
            <w:tcBorders>
              <w:left w:val="single" w:sz="18" w:space="0" w:color="auto"/>
              <w:bottom w:val="single" w:sz="4" w:space="0" w:color="auto"/>
            </w:tcBorders>
            <w:shd w:val="clear" w:color="auto" w:fill="auto"/>
            <w:vAlign w:val="center"/>
          </w:tcPr>
          <w:p w:rsidR="007B2C93" w:rsidRPr="003410C7" w:rsidRDefault="007B2C93" w:rsidP="004B3534">
            <w:pPr>
              <w:pStyle w:val="TableText"/>
              <w:widowControl w:val="0"/>
              <w:rPr>
                <w:rFonts w:ascii="Tahoma" w:hAnsi="Tahoma" w:cs="Tahoma"/>
                <w:sz w:val="13"/>
              </w:rPr>
            </w:pPr>
          </w:p>
        </w:tc>
        <w:tc>
          <w:tcPr>
            <w:tcW w:w="429" w:type="dxa"/>
            <w:tcBorders>
              <w:bottom w:val="single" w:sz="4" w:space="0" w:color="auto"/>
            </w:tcBorders>
            <w:shd w:val="clear" w:color="auto" w:fill="auto"/>
            <w:vAlign w:val="center"/>
          </w:tcPr>
          <w:p w:rsidR="007B2C93" w:rsidRPr="003410C7" w:rsidRDefault="007B2C93" w:rsidP="004B3534">
            <w:pPr>
              <w:pStyle w:val="TableText"/>
              <w:widowControl w:val="0"/>
              <w:rPr>
                <w:rFonts w:ascii="Tahoma" w:hAnsi="Tahoma" w:cs="Tahoma"/>
                <w:sz w:val="13"/>
              </w:rPr>
            </w:pPr>
          </w:p>
        </w:tc>
        <w:tc>
          <w:tcPr>
            <w:tcW w:w="442" w:type="dxa"/>
            <w:tcBorders>
              <w:bottom w:val="single" w:sz="4" w:space="0" w:color="auto"/>
              <w:right w:val="single" w:sz="18" w:space="0" w:color="auto"/>
            </w:tcBorders>
            <w:shd w:val="clear" w:color="auto" w:fill="auto"/>
            <w:vAlign w:val="center"/>
          </w:tcPr>
          <w:p w:rsidR="007B2C93" w:rsidRPr="003410C7" w:rsidRDefault="007B2C93" w:rsidP="004B3534">
            <w:pPr>
              <w:pStyle w:val="TableText"/>
              <w:widowControl w:val="0"/>
              <w:rPr>
                <w:rFonts w:ascii="Tahoma" w:hAnsi="Tahoma" w:cs="Tahoma"/>
                <w:sz w:val="13"/>
              </w:rPr>
            </w:pPr>
          </w:p>
        </w:tc>
        <w:tc>
          <w:tcPr>
            <w:tcW w:w="495" w:type="dxa"/>
            <w:tcBorders>
              <w:left w:val="single" w:sz="18" w:space="0" w:color="auto"/>
              <w:bottom w:val="single" w:sz="4" w:space="0" w:color="auto"/>
            </w:tcBorders>
            <w:shd w:val="clear" w:color="auto" w:fill="auto"/>
            <w:vAlign w:val="center"/>
          </w:tcPr>
          <w:p w:rsidR="007B2C93" w:rsidRPr="003410C7" w:rsidRDefault="007B2C93" w:rsidP="004B3534">
            <w:pPr>
              <w:pStyle w:val="TableText"/>
              <w:widowControl w:val="0"/>
              <w:rPr>
                <w:rFonts w:ascii="Tahoma" w:hAnsi="Tahoma" w:cs="Tahoma"/>
                <w:sz w:val="13"/>
              </w:rPr>
            </w:pPr>
          </w:p>
        </w:tc>
        <w:tc>
          <w:tcPr>
            <w:tcW w:w="459" w:type="dxa"/>
            <w:tcBorders>
              <w:bottom w:val="single" w:sz="4" w:space="0" w:color="auto"/>
              <w:right w:val="single" w:sz="18" w:space="0" w:color="auto"/>
            </w:tcBorders>
            <w:shd w:val="clear" w:color="auto" w:fill="auto"/>
            <w:vAlign w:val="center"/>
          </w:tcPr>
          <w:p w:rsidR="007B2C93" w:rsidRPr="003410C7" w:rsidDel="000365B0" w:rsidRDefault="007B2C93" w:rsidP="004B3534">
            <w:pPr>
              <w:pStyle w:val="TableText"/>
              <w:widowControl w:val="0"/>
              <w:rPr>
                <w:rFonts w:ascii="Tahoma" w:hAnsi="Tahoma" w:cs="Tahoma"/>
                <w:sz w:val="13"/>
              </w:rPr>
            </w:pPr>
          </w:p>
        </w:tc>
        <w:tc>
          <w:tcPr>
            <w:tcW w:w="360" w:type="dxa"/>
            <w:tcBorders>
              <w:left w:val="single" w:sz="18" w:space="0" w:color="auto"/>
              <w:bottom w:val="single" w:sz="4" w:space="0" w:color="auto"/>
              <w:right w:val="single" w:sz="18" w:space="0" w:color="auto"/>
            </w:tcBorders>
            <w:shd w:val="clear" w:color="auto" w:fill="auto"/>
            <w:vAlign w:val="center"/>
          </w:tcPr>
          <w:p w:rsidR="007B2C93" w:rsidRPr="003410C7" w:rsidRDefault="007B2C93" w:rsidP="004B3534">
            <w:pPr>
              <w:pStyle w:val="TableText"/>
              <w:widowControl w:val="0"/>
              <w:rPr>
                <w:rFonts w:ascii="Tahoma" w:hAnsi="Tahoma" w:cs="Tahoma"/>
                <w:sz w:val="13"/>
              </w:rPr>
            </w:pPr>
          </w:p>
        </w:tc>
        <w:tc>
          <w:tcPr>
            <w:tcW w:w="474" w:type="dxa"/>
            <w:tcBorders>
              <w:bottom w:val="single" w:sz="4" w:space="0" w:color="auto"/>
            </w:tcBorders>
            <w:shd w:val="clear" w:color="auto" w:fill="auto"/>
            <w:vAlign w:val="center"/>
          </w:tcPr>
          <w:p w:rsidR="007B2C93" w:rsidRPr="003410C7" w:rsidRDefault="007B2C93" w:rsidP="00080B33">
            <w:pPr>
              <w:pStyle w:val="TableText"/>
              <w:widowControl w:val="0"/>
              <w:rPr>
                <w:rFonts w:ascii="Tahoma" w:hAnsi="Tahoma" w:cs="Tahoma"/>
                <w:sz w:val="13"/>
              </w:rPr>
            </w:pPr>
            <w:r w:rsidRPr="003410C7">
              <w:rPr>
                <w:rFonts w:ascii="Tahoma" w:hAnsi="Tahoma" w:cs="Tahoma"/>
                <w:sz w:val="13"/>
              </w:rPr>
              <w:t>EOLS (Solo EES)</w:t>
            </w:r>
          </w:p>
        </w:tc>
        <w:tc>
          <w:tcPr>
            <w:tcW w:w="514" w:type="dxa"/>
            <w:tcBorders>
              <w:bottom w:val="single" w:sz="4" w:space="0" w:color="auto"/>
            </w:tcBorders>
            <w:shd w:val="clear" w:color="auto" w:fill="auto"/>
            <w:vAlign w:val="center"/>
          </w:tcPr>
          <w:p w:rsidR="007B2C93" w:rsidRPr="003410C7" w:rsidRDefault="007B2C93" w:rsidP="004B3534">
            <w:pPr>
              <w:pStyle w:val="TableText"/>
              <w:widowControl w:val="0"/>
              <w:rPr>
                <w:rFonts w:ascii="Tahoma" w:hAnsi="Tahoma" w:cs="Tahoma"/>
                <w:sz w:val="13"/>
              </w:rPr>
            </w:pPr>
          </w:p>
        </w:tc>
      </w:tr>
      <w:tr w:rsidR="00EF228F" w:rsidRPr="003410C7" w:rsidTr="002A074D">
        <w:trPr>
          <w:cantSplit/>
          <w:trHeight w:val="287"/>
        </w:trPr>
        <w:tc>
          <w:tcPr>
            <w:tcW w:w="2638" w:type="dxa"/>
            <w:tcBorders>
              <w:bottom w:val="single" w:sz="4" w:space="0" w:color="auto"/>
            </w:tcBorders>
            <w:shd w:val="clear" w:color="auto" w:fill="FABF8F"/>
            <w:vAlign w:val="center"/>
          </w:tcPr>
          <w:p w:rsidR="007B2C93" w:rsidRPr="00451078" w:rsidRDefault="007B2C93" w:rsidP="003410C7">
            <w:pPr>
              <w:pStyle w:val="Heading2"/>
              <w:spacing w:beforeLines="20" w:before="48" w:afterLines="20" w:after="48"/>
              <w:ind w:left="0"/>
              <w:rPr>
                <w:rFonts w:ascii="Tahoma" w:hAnsi="Tahoma" w:cs="Tahoma"/>
                <w:b w:val="0"/>
                <w:sz w:val="14"/>
                <w:lang w:val="it-IT"/>
              </w:rPr>
            </w:pPr>
            <w:bookmarkStart w:id="48" w:name="_Toc336337860"/>
            <w:bookmarkStart w:id="49" w:name="_Toc352234461"/>
            <w:r w:rsidRPr="00451078">
              <w:rPr>
                <w:rFonts w:ascii="Tahoma" w:hAnsi="Tahoma" w:cs="Tahoma"/>
                <w:b w:val="0"/>
                <w:sz w:val="14"/>
                <w:lang w:val="it-IT"/>
              </w:rPr>
              <w:t>Office 365 A3 (SL per Utente)</w:t>
            </w:r>
            <w:bookmarkEnd w:id="48"/>
            <w:bookmarkEnd w:id="49"/>
          </w:p>
        </w:tc>
        <w:tc>
          <w:tcPr>
            <w:tcW w:w="429" w:type="dxa"/>
            <w:tcBorders>
              <w:bottom w:val="single" w:sz="4" w:space="0" w:color="auto"/>
            </w:tcBorders>
            <w:shd w:val="clear" w:color="auto" w:fill="FABF8F"/>
            <w:vAlign w:val="center"/>
          </w:tcPr>
          <w:p w:rsidR="007B2C93" w:rsidRPr="009F17FF" w:rsidRDefault="00FC1A4D" w:rsidP="009832D3">
            <w:pPr>
              <w:pStyle w:val="TableText"/>
              <w:widowControl w:val="0"/>
              <w:rPr>
                <w:b/>
                <w:color w:val="0000FF"/>
                <w:sz w:val="13"/>
                <w:szCs w:val="13"/>
                <w:u w:val="single"/>
              </w:rPr>
            </w:pPr>
            <w:hyperlink w:anchor="_45_Office_365" w:history="1">
              <w:r w:rsidR="000D77F6" w:rsidRPr="009F17FF">
                <w:rPr>
                  <w:rStyle w:val="Hyperlink"/>
                  <w:sz w:val="13"/>
                  <w:szCs w:val="13"/>
                </w:rPr>
                <w:t>4</w:t>
              </w:r>
            </w:hyperlink>
          </w:p>
        </w:tc>
        <w:tc>
          <w:tcPr>
            <w:tcW w:w="429" w:type="dxa"/>
            <w:tcBorders>
              <w:bottom w:val="single" w:sz="4" w:space="0" w:color="auto"/>
            </w:tcBorders>
            <w:shd w:val="clear" w:color="auto" w:fill="FABF8F"/>
            <w:vAlign w:val="center"/>
          </w:tcPr>
          <w:p w:rsidR="007B2C93" w:rsidRPr="003410C7" w:rsidRDefault="007B2C93" w:rsidP="004000C7">
            <w:pPr>
              <w:pStyle w:val="TableText"/>
              <w:widowControl w:val="0"/>
              <w:rPr>
                <w:rFonts w:ascii="Tahoma" w:hAnsi="Tahoma" w:cs="Tahoma"/>
                <w:sz w:val="13"/>
              </w:rPr>
            </w:pPr>
            <w:r w:rsidRPr="003410C7">
              <w:rPr>
                <w:rFonts w:ascii="Tahoma" w:hAnsi="Tahoma" w:cs="Tahoma"/>
                <w:sz w:val="13"/>
              </w:rPr>
              <w:t>06/12</w:t>
            </w:r>
          </w:p>
        </w:tc>
        <w:tc>
          <w:tcPr>
            <w:tcW w:w="429" w:type="dxa"/>
            <w:tcBorders>
              <w:bottom w:val="single" w:sz="4" w:space="0" w:color="auto"/>
              <w:right w:val="single" w:sz="18" w:space="0" w:color="auto"/>
            </w:tcBorders>
            <w:shd w:val="clear" w:color="auto" w:fill="FABF8F"/>
            <w:vAlign w:val="center"/>
          </w:tcPr>
          <w:p w:rsidR="007B2C93" w:rsidRPr="003410C7" w:rsidRDefault="007B2C93" w:rsidP="004B3534">
            <w:pPr>
              <w:pStyle w:val="TableText"/>
              <w:widowControl w:val="0"/>
              <w:rPr>
                <w:rFonts w:ascii="Tahoma" w:hAnsi="Tahoma" w:cs="Tahoma"/>
                <w:sz w:val="13"/>
              </w:rPr>
            </w:pPr>
            <w:r w:rsidRPr="003410C7">
              <w:rPr>
                <w:rFonts w:ascii="Tahoma" w:hAnsi="Tahoma" w:cs="Tahoma"/>
                <w:sz w:val="13"/>
              </w:rPr>
              <w:t>OSB</w:t>
            </w:r>
          </w:p>
        </w:tc>
        <w:tc>
          <w:tcPr>
            <w:tcW w:w="429" w:type="dxa"/>
            <w:tcBorders>
              <w:left w:val="single" w:sz="18" w:space="0" w:color="auto"/>
              <w:bottom w:val="single" w:sz="4" w:space="0" w:color="auto"/>
            </w:tcBorders>
            <w:shd w:val="clear" w:color="auto" w:fill="FABF8F"/>
            <w:vAlign w:val="center"/>
          </w:tcPr>
          <w:p w:rsidR="007B2C93" w:rsidRPr="003410C7" w:rsidRDefault="007B2C93" w:rsidP="004B3534">
            <w:pPr>
              <w:pStyle w:val="TableText"/>
              <w:widowControl w:val="0"/>
              <w:rPr>
                <w:rFonts w:ascii="Tahoma" w:hAnsi="Tahoma" w:cs="Tahoma"/>
                <w:sz w:val="13"/>
              </w:rPr>
            </w:pPr>
          </w:p>
        </w:tc>
        <w:tc>
          <w:tcPr>
            <w:tcW w:w="429" w:type="dxa"/>
            <w:tcBorders>
              <w:bottom w:val="single" w:sz="4" w:space="0" w:color="auto"/>
            </w:tcBorders>
            <w:shd w:val="clear" w:color="auto" w:fill="FABF8F"/>
            <w:vAlign w:val="center"/>
          </w:tcPr>
          <w:p w:rsidR="007B2C93" w:rsidRPr="003410C7" w:rsidRDefault="007B2C93" w:rsidP="004B3534">
            <w:pPr>
              <w:pStyle w:val="TableText"/>
              <w:widowControl w:val="0"/>
              <w:rPr>
                <w:rFonts w:ascii="Tahoma" w:hAnsi="Tahoma" w:cs="Tahoma"/>
                <w:sz w:val="13"/>
              </w:rPr>
            </w:pPr>
          </w:p>
        </w:tc>
        <w:tc>
          <w:tcPr>
            <w:tcW w:w="429" w:type="dxa"/>
            <w:tcBorders>
              <w:bottom w:val="single" w:sz="4" w:space="0" w:color="auto"/>
            </w:tcBorders>
            <w:shd w:val="clear" w:color="auto" w:fill="FABF8F"/>
            <w:vAlign w:val="center"/>
          </w:tcPr>
          <w:p w:rsidR="007B2C93" w:rsidRPr="003410C7" w:rsidRDefault="007B2C93" w:rsidP="004B3534">
            <w:pPr>
              <w:pStyle w:val="TableText"/>
              <w:widowControl w:val="0"/>
              <w:rPr>
                <w:rFonts w:ascii="Tahoma" w:hAnsi="Tahoma" w:cs="Tahoma"/>
                <w:sz w:val="13"/>
              </w:rPr>
            </w:pPr>
          </w:p>
        </w:tc>
        <w:tc>
          <w:tcPr>
            <w:tcW w:w="429" w:type="dxa"/>
            <w:tcBorders>
              <w:bottom w:val="single" w:sz="4" w:space="0" w:color="auto"/>
            </w:tcBorders>
            <w:shd w:val="clear" w:color="auto" w:fill="FABF8F"/>
            <w:vAlign w:val="center"/>
          </w:tcPr>
          <w:p w:rsidR="007B2C93" w:rsidRPr="003410C7" w:rsidRDefault="007B2C93" w:rsidP="004B3534">
            <w:pPr>
              <w:pStyle w:val="TableText"/>
              <w:widowControl w:val="0"/>
              <w:rPr>
                <w:rFonts w:ascii="Tahoma" w:hAnsi="Tahoma" w:cs="Tahoma"/>
                <w:sz w:val="13"/>
              </w:rPr>
            </w:pPr>
          </w:p>
        </w:tc>
        <w:tc>
          <w:tcPr>
            <w:tcW w:w="429" w:type="dxa"/>
            <w:tcBorders>
              <w:bottom w:val="single" w:sz="4" w:space="0" w:color="auto"/>
            </w:tcBorders>
            <w:shd w:val="clear" w:color="auto" w:fill="FABF8F"/>
            <w:vAlign w:val="center"/>
          </w:tcPr>
          <w:p w:rsidR="007B2C93" w:rsidRPr="003410C7" w:rsidRDefault="007B2C93" w:rsidP="004B3534">
            <w:pPr>
              <w:pStyle w:val="TableText"/>
              <w:widowControl w:val="0"/>
              <w:rPr>
                <w:rFonts w:ascii="Tahoma" w:hAnsi="Tahoma" w:cs="Tahoma"/>
                <w:sz w:val="13"/>
              </w:rPr>
            </w:pPr>
          </w:p>
        </w:tc>
        <w:tc>
          <w:tcPr>
            <w:tcW w:w="429" w:type="dxa"/>
            <w:tcBorders>
              <w:bottom w:val="single" w:sz="4" w:space="0" w:color="auto"/>
            </w:tcBorders>
            <w:shd w:val="clear" w:color="auto" w:fill="FABF8F"/>
            <w:vAlign w:val="center"/>
          </w:tcPr>
          <w:p w:rsidR="007B2C93" w:rsidRPr="003410C7" w:rsidRDefault="007B2C93" w:rsidP="004B3534">
            <w:pPr>
              <w:pStyle w:val="TableText"/>
              <w:widowControl w:val="0"/>
              <w:rPr>
                <w:rFonts w:ascii="Tahoma" w:hAnsi="Tahoma" w:cs="Tahoma"/>
                <w:sz w:val="13"/>
              </w:rPr>
            </w:pPr>
          </w:p>
        </w:tc>
        <w:tc>
          <w:tcPr>
            <w:tcW w:w="429" w:type="dxa"/>
            <w:tcBorders>
              <w:bottom w:val="single" w:sz="4" w:space="0" w:color="auto"/>
              <w:right w:val="single" w:sz="18" w:space="0" w:color="auto"/>
            </w:tcBorders>
            <w:shd w:val="clear" w:color="auto" w:fill="FABF8F"/>
            <w:vAlign w:val="center"/>
          </w:tcPr>
          <w:p w:rsidR="007B2C93" w:rsidRPr="003410C7" w:rsidRDefault="007B2C93" w:rsidP="004B3534">
            <w:pPr>
              <w:pStyle w:val="TableText"/>
              <w:widowControl w:val="0"/>
              <w:rPr>
                <w:rFonts w:ascii="Tahoma" w:hAnsi="Tahoma" w:cs="Tahoma"/>
                <w:sz w:val="13"/>
              </w:rPr>
            </w:pPr>
          </w:p>
        </w:tc>
        <w:tc>
          <w:tcPr>
            <w:tcW w:w="429" w:type="dxa"/>
            <w:tcBorders>
              <w:left w:val="single" w:sz="18" w:space="0" w:color="auto"/>
              <w:bottom w:val="single" w:sz="4" w:space="0" w:color="auto"/>
            </w:tcBorders>
            <w:shd w:val="clear" w:color="auto" w:fill="FABF8F"/>
            <w:vAlign w:val="center"/>
          </w:tcPr>
          <w:p w:rsidR="007B2C93" w:rsidRPr="003410C7" w:rsidRDefault="007B2C93" w:rsidP="004B3534">
            <w:pPr>
              <w:pStyle w:val="TableText"/>
              <w:widowControl w:val="0"/>
              <w:rPr>
                <w:rFonts w:ascii="Tahoma" w:hAnsi="Tahoma" w:cs="Tahoma"/>
                <w:sz w:val="13"/>
              </w:rPr>
            </w:pPr>
          </w:p>
        </w:tc>
        <w:tc>
          <w:tcPr>
            <w:tcW w:w="429" w:type="dxa"/>
            <w:tcBorders>
              <w:bottom w:val="single" w:sz="4" w:space="0" w:color="auto"/>
            </w:tcBorders>
            <w:shd w:val="clear" w:color="auto" w:fill="FABF8F"/>
            <w:vAlign w:val="center"/>
          </w:tcPr>
          <w:p w:rsidR="007B2C93" w:rsidRPr="003410C7" w:rsidRDefault="007B2C93" w:rsidP="004B3534">
            <w:pPr>
              <w:pStyle w:val="TableText"/>
              <w:widowControl w:val="0"/>
              <w:rPr>
                <w:rFonts w:ascii="Tahoma" w:hAnsi="Tahoma" w:cs="Tahoma"/>
                <w:sz w:val="13"/>
              </w:rPr>
            </w:pPr>
          </w:p>
        </w:tc>
        <w:tc>
          <w:tcPr>
            <w:tcW w:w="442" w:type="dxa"/>
            <w:tcBorders>
              <w:bottom w:val="single" w:sz="4" w:space="0" w:color="auto"/>
              <w:right w:val="single" w:sz="18" w:space="0" w:color="auto"/>
            </w:tcBorders>
            <w:shd w:val="clear" w:color="auto" w:fill="FABF8F"/>
            <w:vAlign w:val="center"/>
          </w:tcPr>
          <w:p w:rsidR="007B2C93" w:rsidRPr="003410C7" w:rsidRDefault="007B2C93" w:rsidP="004B3534">
            <w:pPr>
              <w:pStyle w:val="TableText"/>
              <w:widowControl w:val="0"/>
              <w:rPr>
                <w:rFonts w:ascii="Tahoma" w:hAnsi="Tahoma" w:cs="Tahoma"/>
                <w:sz w:val="13"/>
              </w:rPr>
            </w:pPr>
          </w:p>
        </w:tc>
        <w:tc>
          <w:tcPr>
            <w:tcW w:w="495" w:type="dxa"/>
            <w:tcBorders>
              <w:left w:val="single" w:sz="18" w:space="0" w:color="auto"/>
              <w:bottom w:val="single" w:sz="4" w:space="0" w:color="auto"/>
            </w:tcBorders>
            <w:shd w:val="clear" w:color="auto" w:fill="FABF8F"/>
            <w:vAlign w:val="center"/>
          </w:tcPr>
          <w:p w:rsidR="007B2C93" w:rsidRPr="003410C7" w:rsidRDefault="007B2C93" w:rsidP="004B3534">
            <w:pPr>
              <w:pStyle w:val="TableText"/>
              <w:widowControl w:val="0"/>
              <w:rPr>
                <w:rFonts w:ascii="Tahoma" w:hAnsi="Tahoma" w:cs="Tahoma"/>
                <w:sz w:val="13"/>
              </w:rPr>
            </w:pPr>
            <w:r w:rsidRPr="003410C7">
              <w:rPr>
                <w:rFonts w:ascii="Tahoma" w:hAnsi="Tahoma" w:cs="Tahoma"/>
                <w:sz w:val="13"/>
              </w:rPr>
              <w:t>2</w:t>
            </w:r>
          </w:p>
        </w:tc>
        <w:tc>
          <w:tcPr>
            <w:tcW w:w="459" w:type="dxa"/>
            <w:tcBorders>
              <w:bottom w:val="single" w:sz="4" w:space="0" w:color="auto"/>
              <w:right w:val="single" w:sz="18" w:space="0" w:color="auto"/>
            </w:tcBorders>
            <w:shd w:val="clear" w:color="auto" w:fill="FABF8F"/>
            <w:vAlign w:val="center"/>
          </w:tcPr>
          <w:p w:rsidR="007B2C93" w:rsidRPr="003410C7" w:rsidDel="000365B0" w:rsidRDefault="007B2C93" w:rsidP="004B3534">
            <w:pPr>
              <w:pStyle w:val="TableText"/>
              <w:widowControl w:val="0"/>
              <w:rPr>
                <w:rFonts w:ascii="Tahoma" w:hAnsi="Tahoma" w:cs="Tahoma"/>
                <w:sz w:val="13"/>
              </w:rPr>
            </w:pPr>
          </w:p>
        </w:tc>
        <w:tc>
          <w:tcPr>
            <w:tcW w:w="360" w:type="dxa"/>
            <w:tcBorders>
              <w:left w:val="single" w:sz="18" w:space="0" w:color="auto"/>
              <w:bottom w:val="single" w:sz="4" w:space="0" w:color="auto"/>
              <w:right w:val="single" w:sz="18" w:space="0" w:color="auto"/>
            </w:tcBorders>
            <w:shd w:val="clear" w:color="auto" w:fill="FABF8F"/>
            <w:vAlign w:val="center"/>
          </w:tcPr>
          <w:p w:rsidR="007B2C93" w:rsidRPr="003410C7" w:rsidRDefault="007B2C93" w:rsidP="004B3534">
            <w:pPr>
              <w:pStyle w:val="TableText"/>
              <w:widowControl w:val="0"/>
              <w:rPr>
                <w:rFonts w:ascii="Tahoma" w:hAnsi="Tahoma" w:cs="Tahoma"/>
                <w:sz w:val="13"/>
              </w:rPr>
            </w:pPr>
          </w:p>
        </w:tc>
        <w:tc>
          <w:tcPr>
            <w:tcW w:w="474" w:type="dxa"/>
            <w:tcBorders>
              <w:bottom w:val="single" w:sz="4" w:space="0" w:color="auto"/>
            </w:tcBorders>
            <w:shd w:val="clear" w:color="auto" w:fill="FABF8F"/>
            <w:vAlign w:val="center"/>
          </w:tcPr>
          <w:p w:rsidR="007B2C93" w:rsidRPr="003410C7" w:rsidRDefault="007B2C93" w:rsidP="00080B33">
            <w:pPr>
              <w:pStyle w:val="TableText"/>
              <w:widowControl w:val="0"/>
              <w:rPr>
                <w:rFonts w:ascii="Tahoma" w:hAnsi="Tahoma" w:cs="Tahoma"/>
                <w:sz w:val="13"/>
              </w:rPr>
            </w:pPr>
            <w:r w:rsidRPr="003410C7">
              <w:rPr>
                <w:rFonts w:ascii="Tahoma" w:hAnsi="Tahoma" w:cs="Tahoma"/>
                <w:sz w:val="13"/>
              </w:rPr>
              <w:t>EOLS (Solo EES)</w:t>
            </w:r>
          </w:p>
        </w:tc>
        <w:tc>
          <w:tcPr>
            <w:tcW w:w="514" w:type="dxa"/>
            <w:tcBorders>
              <w:bottom w:val="single" w:sz="4" w:space="0" w:color="auto"/>
            </w:tcBorders>
            <w:shd w:val="clear" w:color="auto" w:fill="FABF8F"/>
            <w:vAlign w:val="center"/>
          </w:tcPr>
          <w:p w:rsidR="007B2C93" w:rsidRPr="003410C7" w:rsidRDefault="007B2C93" w:rsidP="004B3534">
            <w:pPr>
              <w:pStyle w:val="TableText"/>
              <w:widowControl w:val="0"/>
              <w:rPr>
                <w:rFonts w:ascii="Tahoma" w:hAnsi="Tahoma" w:cs="Tahoma"/>
                <w:sz w:val="13"/>
              </w:rPr>
            </w:pPr>
          </w:p>
        </w:tc>
      </w:tr>
      <w:tr w:rsidR="00B33D0E" w:rsidRPr="003410C7" w:rsidTr="002A074D">
        <w:trPr>
          <w:cantSplit/>
          <w:trHeight w:val="287"/>
        </w:trPr>
        <w:tc>
          <w:tcPr>
            <w:tcW w:w="2638" w:type="dxa"/>
            <w:tcBorders>
              <w:bottom w:val="single" w:sz="4" w:space="0" w:color="auto"/>
            </w:tcBorders>
            <w:shd w:val="clear" w:color="auto" w:fill="auto"/>
            <w:vAlign w:val="center"/>
          </w:tcPr>
          <w:p w:rsidR="007B2C93" w:rsidRPr="00451078" w:rsidRDefault="007B2C93" w:rsidP="003410C7">
            <w:pPr>
              <w:pStyle w:val="Heading2"/>
              <w:spacing w:beforeLines="20" w:before="48" w:afterLines="20" w:after="48"/>
              <w:ind w:left="0"/>
              <w:rPr>
                <w:rFonts w:ascii="Tahoma" w:hAnsi="Tahoma" w:cs="Tahoma"/>
                <w:b w:val="0"/>
                <w:sz w:val="14"/>
                <w:lang w:val="it-IT"/>
              </w:rPr>
            </w:pPr>
            <w:bookmarkStart w:id="50" w:name="_Toc336337861"/>
            <w:bookmarkStart w:id="51" w:name="_Toc352234462"/>
            <w:r w:rsidRPr="00451078">
              <w:rPr>
                <w:rFonts w:ascii="Tahoma" w:hAnsi="Tahoma" w:cs="Tahoma"/>
                <w:b w:val="0"/>
                <w:sz w:val="14"/>
                <w:lang w:val="it-IT"/>
              </w:rPr>
              <w:t>Office 365 A4 (SL per Utente)</w:t>
            </w:r>
            <w:bookmarkEnd w:id="50"/>
            <w:bookmarkEnd w:id="51"/>
          </w:p>
        </w:tc>
        <w:tc>
          <w:tcPr>
            <w:tcW w:w="429" w:type="dxa"/>
            <w:tcBorders>
              <w:bottom w:val="single" w:sz="4" w:space="0" w:color="auto"/>
            </w:tcBorders>
            <w:shd w:val="clear" w:color="auto" w:fill="auto"/>
            <w:vAlign w:val="center"/>
          </w:tcPr>
          <w:p w:rsidR="007B2C93" w:rsidRPr="009F17FF" w:rsidRDefault="00FC1A4D" w:rsidP="009832D3">
            <w:pPr>
              <w:pStyle w:val="TableText"/>
              <w:widowControl w:val="0"/>
              <w:rPr>
                <w:b/>
                <w:color w:val="0000FF"/>
                <w:sz w:val="13"/>
                <w:szCs w:val="13"/>
                <w:u w:val="single"/>
              </w:rPr>
            </w:pPr>
            <w:hyperlink w:anchor="_45_Office_365" w:history="1">
              <w:r w:rsidR="000D77F6" w:rsidRPr="009F17FF">
                <w:rPr>
                  <w:rStyle w:val="Hyperlink"/>
                  <w:sz w:val="13"/>
                  <w:szCs w:val="13"/>
                </w:rPr>
                <w:t>4</w:t>
              </w:r>
            </w:hyperlink>
          </w:p>
        </w:tc>
        <w:tc>
          <w:tcPr>
            <w:tcW w:w="429" w:type="dxa"/>
            <w:tcBorders>
              <w:bottom w:val="single" w:sz="4" w:space="0" w:color="auto"/>
            </w:tcBorders>
            <w:shd w:val="clear" w:color="auto" w:fill="auto"/>
            <w:vAlign w:val="center"/>
          </w:tcPr>
          <w:p w:rsidR="007B2C93" w:rsidRPr="003410C7" w:rsidRDefault="007B2C93" w:rsidP="004000C7">
            <w:pPr>
              <w:pStyle w:val="TableText"/>
              <w:widowControl w:val="0"/>
              <w:rPr>
                <w:rFonts w:ascii="Tahoma" w:hAnsi="Tahoma" w:cs="Tahoma"/>
                <w:sz w:val="13"/>
              </w:rPr>
            </w:pPr>
            <w:r w:rsidRPr="003410C7">
              <w:rPr>
                <w:rFonts w:ascii="Tahoma" w:hAnsi="Tahoma" w:cs="Tahoma"/>
                <w:sz w:val="13"/>
              </w:rPr>
              <w:t>06/12</w:t>
            </w:r>
          </w:p>
        </w:tc>
        <w:tc>
          <w:tcPr>
            <w:tcW w:w="429" w:type="dxa"/>
            <w:tcBorders>
              <w:bottom w:val="single" w:sz="4" w:space="0" w:color="auto"/>
              <w:right w:val="single" w:sz="18" w:space="0" w:color="auto"/>
            </w:tcBorders>
            <w:shd w:val="clear" w:color="auto" w:fill="auto"/>
            <w:vAlign w:val="center"/>
          </w:tcPr>
          <w:p w:rsidR="007B2C93" w:rsidRPr="003410C7" w:rsidRDefault="007B2C93" w:rsidP="004B3534">
            <w:pPr>
              <w:pStyle w:val="TableText"/>
              <w:widowControl w:val="0"/>
              <w:rPr>
                <w:rFonts w:ascii="Tahoma" w:hAnsi="Tahoma" w:cs="Tahoma"/>
                <w:sz w:val="13"/>
              </w:rPr>
            </w:pPr>
            <w:r w:rsidRPr="003410C7">
              <w:rPr>
                <w:rFonts w:ascii="Tahoma" w:hAnsi="Tahoma" w:cs="Tahoma"/>
                <w:sz w:val="13"/>
              </w:rPr>
              <w:t>OSB</w:t>
            </w:r>
          </w:p>
        </w:tc>
        <w:tc>
          <w:tcPr>
            <w:tcW w:w="429" w:type="dxa"/>
            <w:tcBorders>
              <w:left w:val="single" w:sz="18" w:space="0" w:color="auto"/>
              <w:bottom w:val="single" w:sz="4" w:space="0" w:color="auto"/>
            </w:tcBorders>
            <w:shd w:val="clear" w:color="auto" w:fill="auto"/>
            <w:vAlign w:val="center"/>
          </w:tcPr>
          <w:p w:rsidR="007B2C93" w:rsidRPr="003410C7" w:rsidRDefault="007B2C93" w:rsidP="004B3534">
            <w:pPr>
              <w:pStyle w:val="TableText"/>
              <w:widowControl w:val="0"/>
              <w:rPr>
                <w:rFonts w:ascii="Tahoma" w:hAnsi="Tahoma" w:cs="Tahoma"/>
                <w:sz w:val="13"/>
              </w:rPr>
            </w:pPr>
          </w:p>
        </w:tc>
        <w:tc>
          <w:tcPr>
            <w:tcW w:w="429" w:type="dxa"/>
            <w:tcBorders>
              <w:bottom w:val="single" w:sz="4" w:space="0" w:color="auto"/>
            </w:tcBorders>
            <w:shd w:val="clear" w:color="auto" w:fill="auto"/>
            <w:vAlign w:val="center"/>
          </w:tcPr>
          <w:p w:rsidR="007B2C93" w:rsidRPr="003410C7" w:rsidRDefault="007B2C93" w:rsidP="004B3534">
            <w:pPr>
              <w:pStyle w:val="TableText"/>
              <w:widowControl w:val="0"/>
              <w:rPr>
                <w:rFonts w:ascii="Tahoma" w:hAnsi="Tahoma" w:cs="Tahoma"/>
                <w:sz w:val="13"/>
              </w:rPr>
            </w:pPr>
          </w:p>
        </w:tc>
        <w:tc>
          <w:tcPr>
            <w:tcW w:w="429" w:type="dxa"/>
            <w:tcBorders>
              <w:bottom w:val="single" w:sz="4" w:space="0" w:color="auto"/>
            </w:tcBorders>
            <w:shd w:val="clear" w:color="auto" w:fill="auto"/>
            <w:vAlign w:val="center"/>
          </w:tcPr>
          <w:p w:rsidR="007B2C93" w:rsidRPr="003410C7" w:rsidRDefault="007B2C93" w:rsidP="004B3534">
            <w:pPr>
              <w:pStyle w:val="TableText"/>
              <w:widowControl w:val="0"/>
              <w:rPr>
                <w:rFonts w:ascii="Tahoma" w:hAnsi="Tahoma" w:cs="Tahoma"/>
                <w:sz w:val="13"/>
              </w:rPr>
            </w:pPr>
          </w:p>
        </w:tc>
        <w:tc>
          <w:tcPr>
            <w:tcW w:w="429" w:type="dxa"/>
            <w:tcBorders>
              <w:bottom w:val="single" w:sz="4" w:space="0" w:color="auto"/>
            </w:tcBorders>
            <w:shd w:val="clear" w:color="auto" w:fill="auto"/>
            <w:vAlign w:val="center"/>
          </w:tcPr>
          <w:p w:rsidR="007B2C93" w:rsidRPr="003410C7" w:rsidRDefault="007B2C93" w:rsidP="004B3534">
            <w:pPr>
              <w:pStyle w:val="TableText"/>
              <w:widowControl w:val="0"/>
              <w:rPr>
                <w:rFonts w:ascii="Tahoma" w:hAnsi="Tahoma" w:cs="Tahoma"/>
                <w:sz w:val="13"/>
              </w:rPr>
            </w:pPr>
          </w:p>
        </w:tc>
        <w:tc>
          <w:tcPr>
            <w:tcW w:w="429" w:type="dxa"/>
            <w:tcBorders>
              <w:bottom w:val="single" w:sz="4" w:space="0" w:color="auto"/>
            </w:tcBorders>
            <w:shd w:val="clear" w:color="auto" w:fill="auto"/>
            <w:vAlign w:val="center"/>
          </w:tcPr>
          <w:p w:rsidR="007B2C93" w:rsidRPr="003410C7" w:rsidRDefault="007B2C93" w:rsidP="004B3534">
            <w:pPr>
              <w:pStyle w:val="TableText"/>
              <w:widowControl w:val="0"/>
              <w:rPr>
                <w:rFonts w:ascii="Tahoma" w:hAnsi="Tahoma" w:cs="Tahoma"/>
                <w:sz w:val="13"/>
              </w:rPr>
            </w:pPr>
          </w:p>
        </w:tc>
        <w:tc>
          <w:tcPr>
            <w:tcW w:w="429" w:type="dxa"/>
            <w:tcBorders>
              <w:bottom w:val="single" w:sz="4" w:space="0" w:color="auto"/>
            </w:tcBorders>
            <w:shd w:val="clear" w:color="auto" w:fill="auto"/>
            <w:vAlign w:val="center"/>
          </w:tcPr>
          <w:p w:rsidR="007B2C93" w:rsidRPr="003410C7" w:rsidRDefault="007B2C93" w:rsidP="004B3534">
            <w:pPr>
              <w:pStyle w:val="TableText"/>
              <w:widowControl w:val="0"/>
              <w:rPr>
                <w:rFonts w:ascii="Tahoma" w:hAnsi="Tahoma" w:cs="Tahoma"/>
                <w:sz w:val="13"/>
              </w:rPr>
            </w:pPr>
          </w:p>
        </w:tc>
        <w:tc>
          <w:tcPr>
            <w:tcW w:w="429" w:type="dxa"/>
            <w:tcBorders>
              <w:bottom w:val="single" w:sz="4" w:space="0" w:color="auto"/>
              <w:right w:val="single" w:sz="18" w:space="0" w:color="auto"/>
            </w:tcBorders>
            <w:shd w:val="clear" w:color="auto" w:fill="auto"/>
            <w:vAlign w:val="center"/>
          </w:tcPr>
          <w:p w:rsidR="007B2C93" w:rsidRPr="003410C7" w:rsidRDefault="007B2C93" w:rsidP="004B3534">
            <w:pPr>
              <w:pStyle w:val="TableText"/>
              <w:widowControl w:val="0"/>
              <w:rPr>
                <w:rFonts w:ascii="Tahoma" w:hAnsi="Tahoma" w:cs="Tahoma"/>
                <w:sz w:val="13"/>
              </w:rPr>
            </w:pPr>
          </w:p>
        </w:tc>
        <w:tc>
          <w:tcPr>
            <w:tcW w:w="429" w:type="dxa"/>
            <w:tcBorders>
              <w:left w:val="single" w:sz="18" w:space="0" w:color="auto"/>
              <w:bottom w:val="single" w:sz="4" w:space="0" w:color="auto"/>
            </w:tcBorders>
            <w:shd w:val="clear" w:color="auto" w:fill="auto"/>
            <w:vAlign w:val="center"/>
          </w:tcPr>
          <w:p w:rsidR="007B2C93" w:rsidRPr="003410C7" w:rsidRDefault="007B2C93" w:rsidP="004B3534">
            <w:pPr>
              <w:pStyle w:val="TableText"/>
              <w:widowControl w:val="0"/>
              <w:rPr>
                <w:rFonts w:ascii="Tahoma" w:hAnsi="Tahoma" w:cs="Tahoma"/>
                <w:sz w:val="13"/>
              </w:rPr>
            </w:pPr>
          </w:p>
        </w:tc>
        <w:tc>
          <w:tcPr>
            <w:tcW w:w="429" w:type="dxa"/>
            <w:tcBorders>
              <w:bottom w:val="single" w:sz="4" w:space="0" w:color="auto"/>
            </w:tcBorders>
            <w:shd w:val="clear" w:color="auto" w:fill="auto"/>
            <w:vAlign w:val="center"/>
          </w:tcPr>
          <w:p w:rsidR="007B2C93" w:rsidRPr="003410C7" w:rsidRDefault="007B2C93" w:rsidP="004B3534">
            <w:pPr>
              <w:pStyle w:val="TableText"/>
              <w:widowControl w:val="0"/>
              <w:rPr>
                <w:rFonts w:ascii="Tahoma" w:hAnsi="Tahoma" w:cs="Tahoma"/>
                <w:sz w:val="13"/>
              </w:rPr>
            </w:pPr>
          </w:p>
        </w:tc>
        <w:tc>
          <w:tcPr>
            <w:tcW w:w="442" w:type="dxa"/>
            <w:tcBorders>
              <w:bottom w:val="single" w:sz="4" w:space="0" w:color="auto"/>
              <w:right w:val="single" w:sz="18" w:space="0" w:color="auto"/>
            </w:tcBorders>
            <w:shd w:val="clear" w:color="auto" w:fill="auto"/>
            <w:vAlign w:val="center"/>
          </w:tcPr>
          <w:p w:rsidR="007B2C93" w:rsidRPr="003410C7" w:rsidRDefault="007B2C93" w:rsidP="004B3534">
            <w:pPr>
              <w:pStyle w:val="TableText"/>
              <w:widowControl w:val="0"/>
              <w:rPr>
                <w:rFonts w:ascii="Tahoma" w:hAnsi="Tahoma" w:cs="Tahoma"/>
                <w:sz w:val="13"/>
              </w:rPr>
            </w:pPr>
          </w:p>
        </w:tc>
        <w:tc>
          <w:tcPr>
            <w:tcW w:w="495" w:type="dxa"/>
            <w:tcBorders>
              <w:left w:val="single" w:sz="18" w:space="0" w:color="auto"/>
              <w:bottom w:val="single" w:sz="4" w:space="0" w:color="auto"/>
            </w:tcBorders>
            <w:shd w:val="clear" w:color="auto" w:fill="auto"/>
            <w:vAlign w:val="center"/>
          </w:tcPr>
          <w:p w:rsidR="007B2C93" w:rsidRPr="003410C7" w:rsidRDefault="007B2C93" w:rsidP="004B3534">
            <w:pPr>
              <w:pStyle w:val="TableText"/>
              <w:widowControl w:val="0"/>
              <w:rPr>
                <w:rFonts w:ascii="Tahoma" w:hAnsi="Tahoma" w:cs="Tahoma"/>
                <w:sz w:val="13"/>
              </w:rPr>
            </w:pPr>
            <w:r w:rsidRPr="003410C7">
              <w:rPr>
                <w:rFonts w:ascii="Tahoma" w:hAnsi="Tahoma" w:cs="Tahoma"/>
                <w:sz w:val="13"/>
              </w:rPr>
              <w:t>2</w:t>
            </w:r>
          </w:p>
        </w:tc>
        <w:tc>
          <w:tcPr>
            <w:tcW w:w="459" w:type="dxa"/>
            <w:tcBorders>
              <w:bottom w:val="single" w:sz="4" w:space="0" w:color="auto"/>
              <w:right w:val="single" w:sz="18" w:space="0" w:color="auto"/>
            </w:tcBorders>
            <w:shd w:val="clear" w:color="auto" w:fill="auto"/>
            <w:vAlign w:val="center"/>
          </w:tcPr>
          <w:p w:rsidR="007B2C93" w:rsidRPr="003410C7" w:rsidDel="000365B0" w:rsidRDefault="007B2C93" w:rsidP="004B3534">
            <w:pPr>
              <w:pStyle w:val="TableText"/>
              <w:widowControl w:val="0"/>
              <w:rPr>
                <w:rFonts w:ascii="Tahoma" w:hAnsi="Tahoma" w:cs="Tahoma"/>
                <w:sz w:val="13"/>
              </w:rPr>
            </w:pPr>
          </w:p>
        </w:tc>
        <w:tc>
          <w:tcPr>
            <w:tcW w:w="360" w:type="dxa"/>
            <w:tcBorders>
              <w:left w:val="single" w:sz="18" w:space="0" w:color="auto"/>
              <w:bottom w:val="single" w:sz="4" w:space="0" w:color="auto"/>
              <w:right w:val="single" w:sz="18" w:space="0" w:color="auto"/>
            </w:tcBorders>
            <w:shd w:val="clear" w:color="auto" w:fill="auto"/>
            <w:vAlign w:val="center"/>
          </w:tcPr>
          <w:p w:rsidR="007B2C93" w:rsidRPr="003410C7" w:rsidRDefault="007B2C93" w:rsidP="004B3534">
            <w:pPr>
              <w:pStyle w:val="TableText"/>
              <w:widowControl w:val="0"/>
              <w:rPr>
                <w:rFonts w:ascii="Tahoma" w:hAnsi="Tahoma" w:cs="Tahoma"/>
                <w:sz w:val="13"/>
              </w:rPr>
            </w:pPr>
          </w:p>
        </w:tc>
        <w:tc>
          <w:tcPr>
            <w:tcW w:w="474" w:type="dxa"/>
            <w:tcBorders>
              <w:bottom w:val="single" w:sz="4" w:space="0" w:color="auto"/>
            </w:tcBorders>
            <w:shd w:val="clear" w:color="auto" w:fill="auto"/>
            <w:vAlign w:val="center"/>
          </w:tcPr>
          <w:p w:rsidR="007B2C93" w:rsidRPr="003410C7" w:rsidRDefault="007B2C93" w:rsidP="00080B33">
            <w:pPr>
              <w:pStyle w:val="TableText"/>
              <w:widowControl w:val="0"/>
              <w:rPr>
                <w:rFonts w:ascii="Tahoma" w:hAnsi="Tahoma" w:cs="Tahoma"/>
                <w:sz w:val="13"/>
              </w:rPr>
            </w:pPr>
            <w:r w:rsidRPr="003410C7">
              <w:rPr>
                <w:rFonts w:ascii="Tahoma" w:hAnsi="Tahoma" w:cs="Tahoma"/>
                <w:sz w:val="13"/>
              </w:rPr>
              <w:t>EOLS (Solo EES)</w:t>
            </w:r>
          </w:p>
        </w:tc>
        <w:tc>
          <w:tcPr>
            <w:tcW w:w="514" w:type="dxa"/>
            <w:tcBorders>
              <w:bottom w:val="single" w:sz="4" w:space="0" w:color="auto"/>
            </w:tcBorders>
            <w:shd w:val="clear" w:color="auto" w:fill="auto"/>
            <w:vAlign w:val="center"/>
          </w:tcPr>
          <w:p w:rsidR="007B2C93" w:rsidRPr="003410C7" w:rsidRDefault="007B2C93" w:rsidP="004B3534">
            <w:pPr>
              <w:pStyle w:val="TableText"/>
              <w:widowControl w:val="0"/>
              <w:rPr>
                <w:rFonts w:ascii="Tahoma" w:hAnsi="Tahoma" w:cs="Tahoma"/>
                <w:sz w:val="13"/>
              </w:rPr>
            </w:pPr>
          </w:p>
        </w:tc>
      </w:tr>
      <w:tr w:rsidR="00EF228F" w:rsidRPr="003410C7" w:rsidTr="002A074D">
        <w:trPr>
          <w:cantSplit/>
          <w:trHeight w:val="287"/>
        </w:trPr>
        <w:tc>
          <w:tcPr>
            <w:tcW w:w="2638" w:type="dxa"/>
            <w:tcBorders>
              <w:bottom w:val="single" w:sz="4" w:space="0" w:color="auto"/>
            </w:tcBorders>
            <w:shd w:val="clear" w:color="auto" w:fill="FABF8F"/>
            <w:vAlign w:val="center"/>
          </w:tcPr>
          <w:p w:rsidR="003E5902" w:rsidRPr="003410C7" w:rsidRDefault="003E5902" w:rsidP="003410C7">
            <w:pPr>
              <w:pStyle w:val="Heading2"/>
              <w:spacing w:beforeLines="20" w:before="48" w:afterLines="20" w:after="48"/>
              <w:ind w:left="0"/>
              <w:rPr>
                <w:rFonts w:ascii="Tahoma" w:hAnsi="Tahoma" w:cs="Tahoma"/>
                <w:b w:val="0"/>
                <w:sz w:val="14"/>
              </w:rPr>
            </w:pPr>
            <w:bookmarkStart w:id="52" w:name="_Toc352234463"/>
            <w:r w:rsidRPr="003410C7">
              <w:rPr>
                <w:rFonts w:ascii="Tahoma" w:hAnsi="Tahoma" w:cs="Tahoma"/>
                <w:b w:val="0"/>
                <w:sz w:val="14"/>
              </w:rPr>
              <w:t xml:space="preserve">Office 365 Midsize Business </w:t>
            </w:r>
            <w:r w:rsidR="003410C7" w:rsidRPr="003410C7">
              <w:rPr>
                <w:rFonts w:ascii="Tahoma" w:hAnsi="Tahoma" w:cs="Tahoma"/>
                <w:b w:val="0"/>
                <w:sz w:val="14"/>
              </w:rPr>
              <w:br/>
            </w:r>
            <w:r w:rsidRPr="003410C7">
              <w:rPr>
                <w:rFonts w:ascii="Tahoma" w:hAnsi="Tahoma" w:cs="Tahoma"/>
                <w:b w:val="0"/>
                <w:sz w:val="14"/>
              </w:rPr>
              <w:t>(SL per Utente)</w:t>
            </w:r>
            <w:bookmarkEnd w:id="52"/>
          </w:p>
        </w:tc>
        <w:tc>
          <w:tcPr>
            <w:tcW w:w="429" w:type="dxa"/>
            <w:tcBorders>
              <w:bottom w:val="single" w:sz="4" w:space="0" w:color="auto"/>
            </w:tcBorders>
            <w:shd w:val="clear" w:color="auto" w:fill="FABF8F"/>
            <w:vAlign w:val="center"/>
          </w:tcPr>
          <w:p w:rsidR="003E5902" w:rsidRPr="009F17FF" w:rsidRDefault="003E5902" w:rsidP="009832D3">
            <w:pPr>
              <w:pStyle w:val="TableText"/>
              <w:widowControl w:val="0"/>
              <w:rPr>
                <w:sz w:val="13"/>
                <w:szCs w:val="13"/>
              </w:rPr>
            </w:pPr>
          </w:p>
        </w:tc>
        <w:tc>
          <w:tcPr>
            <w:tcW w:w="429" w:type="dxa"/>
            <w:tcBorders>
              <w:bottom w:val="single" w:sz="4" w:space="0" w:color="auto"/>
            </w:tcBorders>
            <w:shd w:val="clear" w:color="auto" w:fill="FABF8F"/>
            <w:vAlign w:val="center"/>
          </w:tcPr>
          <w:p w:rsidR="003E5902" w:rsidRPr="003410C7" w:rsidRDefault="003E5902" w:rsidP="004000C7">
            <w:pPr>
              <w:pStyle w:val="TableText"/>
              <w:widowControl w:val="0"/>
              <w:rPr>
                <w:rFonts w:ascii="Tahoma" w:hAnsi="Tahoma" w:cs="Tahoma"/>
                <w:sz w:val="13"/>
              </w:rPr>
            </w:pPr>
            <w:r w:rsidRPr="003410C7">
              <w:rPr>
                <w:rFonts w:ascii="Tahoma" w:hAnsi="Tahoma" w:cs="Tahoma"/>
                <w:sz w:val="13"/>
              </w:rPr>
              <w:t>03/13</w:t>
            </w:r>
          </w:p>
        </w:tc>
        <w:tc>
          <w:tcPr>
            <w:tcW w:w="429" w:type="dxa"/>
            <w:tcBorders>
              <w:bottom w:val="single" w:sz="4" w:space="0" w:color="auto"/>
              <w:right w:val="single" w:sz="18" w:space="0" w:color="auto"/>
            </w:tcBorders>
            <w:shd w:val="clear" w:color="auto" w:fill="FABF8F"/>
            <w:vAlign w:val="center"/>
          </w:tcPr>
          <w:p w:rsidR="003E5902" w:rsidRPr="003410C7" w:rsidRDefault="003E5902" w:rsidP="004B3534">
            <w:pPr>
              <w:pStyle w:val="TableText"/>
              <w:widowControl w:val="0"/>
              <w:rPr>
                <w:rFonts w:ascii="Tahoma" w:hAnsi="Tahoma" w:cs="Tahoma"/>
                <w:sz w:val="13"/>
              </w:rPr>
            </w:pPr>
          </w:p>
        </w:tc>
        <w:tc>
          <w:tcPr>
            <w:tcW w:w="429" w:type="dxa"/>
            <w:tcBorders>
              <w:left w:val="single" w:sz="18" w:space="0" w:color="auto"/>
              <w:bottom w:val="single" w:sz="4" w:space="0" w:color="auto"/>
            </w:tcBorders>
            <w:shd w:val="clear" w:color="auto" w:fill="FABF8F"/>
            <w:vAlign w:val="center"/>
          </w:tcPr>
          <w:p w:rsidR="003E5902" w:rsidRPr="003410C7" w:rsidRDefault="003E5902" w:rsidP="004B3534">
            <w:pPr>
              <w:pStyle w:val="TableText"/>
              <w:widowControl w:val="0"/>
              <w:rPr>
                <w:rFonts w:ascii="Tahoma" w:hAnsi="Tahoma" w:cs="Tahoma"/>
                <w:sz w:val="13"/>
              </w:rPr>
            </w:pPr>
          </w:p>
        </w:tc>
        <w:tc>
          <w:tcPr>
            <w:tcW w:w="429" w:type="dxa"/>
            <w:tcBorders>
              <w:bottom w:val="single" w:sz="4" w:space="0" w:color="auto"/>
            </w:tcBorders>
            <w:shd w:val="clear" w:color="auto" w:fill="FABF8F"/>
            <w:vAlign w:val="center"/>
          </w:tcPr>
          <w:p w:rsidR="003E5902" w:rsidRPr="003410C7" w:rsidRDefault="003E5902" w:rsidP="004B3534">
            <w:pPr>
              <w:pStyle w:val="TableText"/>
              <w:widowControl w:val="0"/>
              <w:rPr>
                <w:rFonts w:ascii="Tahoma" w:hAnsi="Tahoma" w:cs="Tahoma"/>
                <w:sz w:val="13"/>
              </w:rPr>
            </w:pPr>
          </w:p>
        </w:tc>
        <w:tc>
          <w:tcPr>
            <w:tcW w:w="429" w:type="dxa"/>
            <w:tcBorders>
              <w:bottom w:val="single" w:sz="4" w:space="0" w:color="auto"/>
            </w:tcBorders>
            <w:shd w:val="clear" w:color="auto" w:fill="FABF8F"/>
            <w:vAlign w:val="center"/>
          </w:tcPr>
          <w:p w:rsidR="003E5902" w:rsidRPr="003410C7" w:rsidRDefault="003E5902" w:rsidP="004B3534">
            <w:pPr>
              <w:pStyle w:val="TableText"/>
              <w:widowControl w:val="0"/>
              <w:rPr>
                <w:rFonts w:ascii="Tahoma" w:hAnsi="Tahoma" w:cs="Tahoma"/>
                <w:sz w:val="13"/>
              </w:rPr>
            </w:pPr>
          </w:p>
        </w:tc>
        <w:tc>
          <w:tcPr>
            <w:tcW w:w="429" w:type="dxa"/>
            <w:tcBorders>
              <w:bottom w:val="single" w:sz="4" w:space="0" w:color="auto"/>
            </w:tcBorders>
            <w:shd w:val="clear" w:color="auto" w:fill="FABF8F"/>
            <w:vAlign w:val="center"/>
          </w:tcPr>
          <w:p w:rsidR="003E5902" w:rsidRPr="003410C7" w:rsidRDefault="003E5902" w:rsidP="004B3534">
            <w:pPr>
              <w:pStyle w:val="TableText"/>
              <w:widowControl w:val="0"/>
              <w:rPr>
                <w:rFonts w:ascii="Tahoma" w:hAnsi="Tahoma" w:cs="Tahoma"/>
                <w:sz w:val="13"/>
              </w:rPr>
            </w:pPr>
          </w:p>
        </w:tc>
        <w:tc>
          <w:tcPr>
            <w:tcW w:w="429" w:type="dxa"/>
            <w:tcBorders>
              <w:bottom w:val="single" w:sz="4" w:space="0" w:color="auto"/>
            </w:tcBorders>
            <w:shd w:val="clear" w:color="auto" w:fill="FABF8F"/>
            <w:vAlign w:val="center"/>
          </w:tcPr>
          <w:p w:rsidR="003E5902" w:rsidRPr="003410C7" w:rsidRDefault="003E5902" w:rsidP="004B3534">
            <w:pPr>
              <w:pStyle w:val="TableText"/>
              <w:widowControl w:val="0"/>
              <w:rPr>
                <w:rFonts w:ascii="Tahoma" w:hAnsi="Tahoma" w:cs="Tahoma"/>
                <w:sz w:val="13"/>
              </w:rPr>
            </w:pPr>
          </w:p>
        </w:tc>
        <w:tc>
          <w:tcPr>
            <w:tcW w:w="429" w:type="dxa"/>
            <w:tcBorders>
              <w:bottom w:val="single" w:sz="4" w:space="0" w:color="auto"/>
            </w:tcBorders>
            <w:shd w:val="clear" w:color="auto" w:fill="FABF8F"/>
            <w:vAlign w:val="center"/>
          </w:tcPr>
          <w:p w:rsidR="003E5902" w:rsidRPr="003410C7" w:rsidRDefault="003E5902" w:rsidP="004B3534">
            <w:pPr>
              <w:pStyle w:val="TableText"/>
              <w:widowControl w:val="0"/>
              <w:rPr>
                <w:rFonts w:ascii="Tahoma" w:hAnsi="Tahoma" w:cs="Tahoma"/>
                <w:sz w:val="13"/>
              </w:rPr>
            </w:pPr>
          </w:p>
        </w:tc>
        <w:tc>
          <w:tcPr>
            <w:tcW w:w="429" w:type="dxa"/>
            <w:tcBorders>
              <w:bottom w:val="single" w:sz="4" w:space="0" w:color="auto"/>
              <w:right w:val="single" w:sz="18" w:space="0" w:color="auto"/>
            </w:tcBorders>
            <w:shd w:val="clear" w:color="auto" w:fill="FABF8F"/>
            <w:vAlign w:val="center"/>
          </w:tcPr>
          <w:p w:rsidR="003E5902" w:rsidRPr="003410C7" w:rsidRDefault="003E5902" w:rsidP="004B3534">
            <w:pPr>
              <w:pStyle w:val="TableText"/>
              <w:widowControl w:val="0"/>
              <w:rPr>
                <w:rFonts w:ascii="Tahoma" w:hAnsi="Tahoma" w:cs="Tahoma"/>
                <w:sz w:val="13"/>
              </w:rPr>
            </w:pPr>
          </w:p>
        </w:tc>
        <w:tc>
          <w:tcPr>
            <w:tcW w:w="1300" w:type="dxa"/>
            <w:gridSpan w:val="3"/>
            <w:tcBorders>
              <w:left w:val="single" w:sz="18" w:space="0" w:color="auto"/>
              <w:bottom w:val="single" w:sz="4" w:space="0" w:color="auto"/>
              <w:right w:val="single" w:sz="18" w:space="0" w:color="auto"/>
            </w:tcBorders>
            <w:shd w:val="clear" w:color="auto" w:fill="FABF8F"/>
            <w:vAlign w:val="center"/>
          </w:tcPr>
          <w:p w:rsidR="003E5902" w:rsidRPr="003410C7" w:rsidRDefault="003E5902" w:rsidP="004B3534">
            <w:pPr>
              <w:pStyle w:val="TableText"/>
              <w:widowControl w:val="0"/>
              <w:rPr>
                <w:rFonts w:ascii="Tahoma" w:hAnsi="Tahoma" w:cs="Tahoma"/>
                <w:sz w:val="13"/>
              </w:rPr>
            </w:pPr>
            <w:r w:rsidRPr="003410C7">
              <w:rPr>
                <w:rFonts w:ascii="Tahoma" w:hAnsi="Tahoma" w:cs="Tahoma"/>
                <w:sz w:val="13"/>
              </w:rPr>
              <w:t>1</w:t>
            </w:r>
          </w:p>
        </w:tc>
        <w:tc>
          <w:tcPr>
            <w:tcW w:w="495" w:type="dxa"/>
            <w:tcBorders>
              <w:left w:val="single" w:sz="18" w:space="0" w:color="auto"/>
              <w:bottom w:val="single" w:sz="4" w:space="0" w:color="auto"/>
            </w:tcBorders>
            <w:shd w:val="clear" w:color="auto" w:fill="FABF8F"/>
            <w:vAlign w:val="center"/>
          </w:tcPr>
          <w:p w:rsidR="003E5902" w:rsidRPr="003410C7" w:rsidRDefault="003E5902" w:rsidP="004B3534">
            <w:pPr>
              <w:pStyle w:val="TableText"/>
              <w:widowControl w:val="0"/>
              <w:rPr>
                <w:rFonts w:ascii="Tahoma" w:hAnsi="Tahoma" w:cs="Tahoma"/>
                <w:sz w:val="13"/>
              </w:rPr>
            </w:pPr>
          </w:p>
        </w:tc>
        <w:tc>
          <w:tcPr>
            <w:tcW w:w="459" w:type="dxa"/>
            <w:tcBorders>
              <w:bottom w:val="single" w:sz="4" w:space="0" w:color="auto"/>
              <w:right w:val="single" w:sz="18" w:space="0" w:color="auto"/>
            </w:tcBorders>
            <w:shd w:val="clear" w:color="auto" w:fill="FABF8F"/>
            <w:vAlign w:val="center"/>
          </w:tcPr>
          <w:p w:rsidR="003E5902" w:rsidRPr="003410C7" w:rsidRDefault="003E5902" w:rsidP="00CC19FC">
            <w:pPr>
              <w:pStyle w:val="TableText"/>
              <w:widowControl w:val="0"/>
              <w:rPr>
                <w:rFonts w:ascii="Tahoma" w:hAnsi="Tahoma" w:cs="Tahoma"/>
                <w:sz w:val="13"/>
              </w:rPr>
            </w:pPr>
          </w:p>
        </w:tc>
        <w:tc>
          <w:tcPr>
            <w:tcW w:w="360" w:type="dxa"/>
            <w:tcBorders>
              <w:left w:val="single" w:sz="18" w:space="0" w:color="auto"/>
              <w:bottom w:val="single" w:sz="4" w:space="0" w:color="auto"/>
              <w:right w:val="single" w:sz="18" w:space="0" w:color="auto"/>
            </w:tcBorders>
            <w:shd w:val="clear" w:color="auto" w:fill="FABF8F"/>
            <w:vAlign w:val="center"/>
          </w:tcPr>
          <w:p w:rsidR="003E5902" w:rsidRPr="003410C7" w:rsidRDefault="003E5902" w:rsidP="004B3534">
            <w:pPr>
              <w:pStyle w:val="TableText"/>
              <w:widowControl w:val="0"/>
              <w:rPr>
                <w:rFonts w:ascii="Tahoma" w:hAnsi="Tahoma" w:cs="Tahoma"/>
                <w:sz w:val="13"/>
              </w:rPr>
            </w:pPr>
            <w:r w:rsidRPr="003410C7">
              <w:rPr>
                <w:rFonts w:ascii="Tahoma" w:hAnsi="Tahoma" w:cs="Tahoma"/>
                <w:sz w:val="13"/>
              </w:rPr>
              <w:t>P</w:t>
            </w:r>
          </w:p>
        </w:tc>
        <w:tc>
          <w:tcPr>
            <w:tcW w:w="474" w:type="dxa"/>
            <w:tcBorders>
              <w:bottom w:val="single" w:sz="4" w:space="0" w:color="auto"/>
            </w:tcBorders>
            <w:shd w:val="clear" w:color="auto" w:fill="FABF8F"/>
            <w:vAlign w:val="center"/>
          </w:tcPr>
          <w:p w:rsidR="003E5902" w:rsidRPr="003410C7" w:rsidRDefault="003E5902" w:rsidP="00080B33">
            <w:pPr>
              <w:pStyle w:val="TableText"/>
              <w:widowControl w:val="0"/>
              <w:rPr>
                <w:rFonts w:ascii="Tahoma" w:hAnsi="Tahoma" w:cs="Tahoma"/>
                <w:sz w:val="13"/>
              </w:rPr>
            </w:pPr>
          </w:p>
        </w:tc>
        <w:tc>
          <w:tcPr>
            <w:tcW w:w="514" w:type="dxa"/>
            <w:tcBorders>
              <w:bottom w:val="single" w:sz="4" w:space="0" w:color="auto"/>
            </w:tcBorders>
            <w:shd w:val="clear" w:color="auto" w:fill="FABF8F"/>
            <w:vAlign w:val="center"/>
          </w:tcPr>
          <w:p w:rsidR="003E5902" w:rsidRPr="003410C7" w:rsidRDefault="003E5902" w:rsidP="004B3534">
            <w:pPr>
              <w:pStyle w:val="TableText"/>
              <w:widowControl w:val="0"/>
              <w:rPr>
                <w:rFonts w:ascii="Tahoma" w:hAnsi="Tahoma" w:cs="Tahoma"/>
                <w:sz w:val="13"/>
              </w:rPr>
            </w:pPr>
            <w:r w:rsidRPr="003410C7">
              <w:rPr>
                <w:rFonts w:ascii="Tahoma" w:hAnsi="Tahoma" w:cs="Tahoma"/>
                <w:sz w:val="13"/>
              </w:rPr>
              <w:t>OL/OV</w:t>
            </w:r>
          </w:p>
        </w:tc>
      </w:tr>
      <w:tr w:rsidR="00B33D0E" w:rsidRPr="003410C7" w:rsidTr="002A074D">
        <w:trPr>
          <w:cantSplit/>
          <w:trHeight w:val="287"/>
        </w:trPr>
        <w:tc>
          <w:tcPr>
            <w:tcW w:w="2638" w:type="dxa"/>
            <w:tcBorders>
              <w:bottom w:val="single" w:sz="4" w:space="0" w:color="auto"/>
            </w:tcBorders>
            <w:shd w:val="clear" w:color="auto" w:fill="auto"/>
            <w:vAlign w:val="center"/>
          </w:tcPr>
          <w:p w:rsidR="00CC19FC" w:rsidRPr="00451078" w:rsidRDefault="00CC19FC" w:rsidP="003410C7">
            <w:pPr>
              <w:pStyle w:val="Heading2"/>
              <w:spacing w:beforeLines="20" w:before="48" w:afterLines="20" w:after="48"/>
              <w:ind w:left="0"/>
              <w:rPr>
                <w:rFonts w:ascii="Tahoma" w:hAnsi="Tahoma" w:cs="Tahoma"/>
                <w:b w:val="0"/>
                <w:sz w:val="14"/>
                <w:lang w:val="it-IT"/>
              </w:rPr>
            </w:pPr>
            <w:bookmarkStart w:id="53" w:name="_Toc352234464"/>
            <w:r w:rsidRPr="00451078">
              <w:rPr>
                <w:rFonts w:ascii="Tahoma" w:hAnsi="Tahoma" w:cs="Tahoma"/>
                <w:b w:val="0"/>
                <w:sz w:val="14"/>
                <w:lang w:val="it-IT"/>
              </w:rPr>
              <w:t>Office 365 Enterprise E1 (SL per Utente)</w:t>
            </w:r>
            <w:bookmarkEnd w:id="53"/>
          </w:p>
        </w:tc>
        <w:tc>
          <w:tcPr>
            <w:tcW w:w="429" w:type="dxa"/>
            <w:tcBorders>
              <w:bottom w:val="single" w:sz="4" w:space="0" w:color="auto"/>
            </w:tcBorders>
            <w:shd w:val="clear" w:color="auto" w:fill="auto"/>
            <w:vAlign w:val="center"/>
          </w:tcPr>
          <w:p w:rsidR="00CC19FC" w:rsidRPr="00451078" w:rsidRDefault="00CC19FC" w:rsidP="009832D3">
            <w:pPr>
              <w:pStyle w:val="TableText"/>
              <w:widowControl w:val="0"/>
              <w:rPr>
                <w:sz w:val="13"/>
                <w:szCs w:val="13"/>
                <w:lang w:val="it-IT"/>
              </w:rPr>
            </w:pPr>
          </w:p>
        </w:tc>
        <w:tc>
          <w:tcPr>
            <w:tcW w:w="429" w:type="dxa"/>
            <w:tcBorders>
              <w:bottom w:val="single" w:sz="4" w:space="0" w:color="auto"/>
            </w:tcBorders>
            <w:shd w:val="clear" w:color="auto" w:fill="auto"/>
            <w:vAlign w:val="center"/>
          </w:tcPr>
          <w:p w:rsidR="00CC19FC" w:rsidRPr="003410C7" w:rsidRDefault="00CC19FC" w:rsidP="004000C7">
            <w:pPr>
              <w:pStyle w:val="TableText"/>
              <w:widowControl w:val="0"/>
              <w:rPr>
                <w:rFonts w:ascii="Tahoma" w:hAnsi="Tahoma" w:cs="Tahoma"/>
                <w:sz w:val="13"/>
              </w:rPr>
            </w:pPr>
            <w:r w:rsidRPr="003410C7">
              <w:rPr>
                <w:rFonts w:ascii="Tahoma" w:hAnsi="Tahoma" w:cs="Tahoma"/>
                <w:sz w:val="13"/>
              </w:rPr>
              <w:t>06/11</w:t>
            </w:r>
          </w:p>
        </w:tc>
        <w:tc>
          <w:tcPr>
            <w:tcW w:w="429" w:type="dxa"/>
            <w:tcBorders>
              <w:bottom w:val="single" w:sz="4" w:space="0" w:color="auto"/>
              <w:right w:val="single" w:sz="18" w:space="0" w:color="auto"/>
            </w:tcBorders>
            <w:shd w:val="clear" w:color="auto" w:fill="auto"/>
            <w:vAlign w:val="center"/>
          </w:tcPr>
          <w:p w:rsidR="00CC19FC" w:rsidRPr="003410C7" w:rsidRDefault="00CC19FC" w:rsidP="004B3534">
            <w:pPr>
              <w:pStyle w:val="TableText"/>
              <w:widowControl w:val="0"/>
              <w:rPr>
                <w:rFonts w:ascii="Tahoma" w:hAnsi="Tahoma" w:cs="Tahoma"/>
                <w:sz w:val="13"/>
              </w:rPr>
            </w:pPr>
            <w:r w:rsidRPr="003410C7">
              <w:rPr>
                <w:rFonts w:ascii="Tahoma" w:hAnsi="Tahoma" w:cs="Tahoma"/>
                <w:sz w:val="13"/>
              </w:rPr>
              <w:t>OSB</w:t>
            </w:r>
          </w:p>
        </w:tc>
        <w:tc>
          <w:tcPr>
            <w:tcW w:w="429" w:type="dxa"/>
            <w:tcBorders>
              <w:left w:val="single" w:sz="18" w:space="0" w:color="auto"/>
              <w:bottom w:val="single" w:sz="4" w:space="0" w:color="auto"/>
            </w:tcBorders>
            <w:shd w:val="clear" w:color="auto" w:fill="auto"/>
            <w:vAlign w:val="center"/>
          </w:tcPr>
          <w:p w:rsidR="00CC19FC" w:rsidRPr="003410C7" w:rsidRDefault="00CC19FC" w:rsidP="004B3534">
            <w:pPr>
              <w:pStyle w:val="TableText"/>
              <w:widowControl w:val="0"/>
              <w:rPr>
                <w:rFonts w:ascii="Tahoma" w:hAnsi="Tahoma" w:cs="Tahoma"/>
                <w:sz w:val="13"/>
              </w:rPr>
            </w:pPr>
          </w:p>
        </w:tc>
        <w:tc>
          <w:tcPr>
            <w:tcW w:w="429" w:type="dxa"/>
            <w:tcBorders>
              <w:bottom w:val="single" w:sz="4" w:space="0" w:color="auto"/>
            </w:tcBorders>
            <w:shd w:val="clear" w:color="auto" w:fill="auto"/>
            <w:vAlign w:val="center"/>
          </w:tcPr>
          <w:p w:rsidR="00CC19FC" w:rsidRPr="003410C7" w:rsidRDefault="00CC19FC" w:rsidP="004B3534">
            <w:pPr>
              <w:pStyle w:val="TableText"/>
              <w:widowControl w:val="0"/>
              <w:rPr>
                <w:rFonts w:ascii="Tahoma" w:hAnsi="Tahoma" w:cs="Tahoma"/>
                <w:sz w:val="13"/>
              </w:rPr>
            </w:pPr>
          </w:p>
        </w:tc>
        <w:tc>
          <w:tcPr>
            <w:tcW w:w="429" w:type="dxa"/>
            <w:tcBorders>
              <w:bottom w:val="single" w:sz="4" w:space="0" w:color="auto"/>
            </w:tcBorders>
            <w:shd w:val="clear" w:color="auto" w:fill="auto"/>
            <w:vAlign w:val="center"/>
          </w:tcPr>
          <w:p w:rsidR="00CC19FC" w:rsidRPr="003410C7" w:rsidRDefault="00CC19FC" w:rsidP="004B3534">
            <w:pPr>
              <w:pStyle w:val="TableText"/>
              <w:widowControl w:val="0"/>
              <w:rPr>
                <w:rFonts w:ascii="Tahoma" w:hAnsi="Tahoma" w:cs="Tahoma"/>
                <w:sz w:val="13"/>
              </w:rPr>
            </w:pPr>
          </w:p>
        </w:tc>
        <w:tc>
          <w:tcPr>
            <w:tcW w:w="429" w:type="dxa"/>
            <w:tcBorders>
              <w:bottom w:val="single" w:sz="4" w:space="0" w:color="auto"/>
            </w:tcBorders>
            <w:shd w:val="clear" w:color="auto" w:fill="auto"/>
            <w:vAlign w:val="center"/>
          </w:tcPr>
          <w:p w:rsidR="00CC19FC" w:rsidRPr="003410C7" w:rsidRDefault="00CC19FC" w:rsidP="004B3534">
            <w:pPr>
              <w:pStyle w:val="TableText"/>
              <w:widowControl w:val="0"/>
              <w:rPr>
                <w:rFonts w:ascii="Tahoma" w:hAnsi="Tahoma" w:cs="Tahoma"/>
                <w:sz w:val="13"/>
              </w:rPr>
            </w:pPr>
          </w:p>
        </w:tc>
        <w:tc>
          <w:tcPr>
            <w:tcW w:w="429" w:type="dxa"/>
            <w:tcBorders>
              <w:bottom w:val="single" w:sz="4" w:space="0" w:color="auto"/>
            </w:tcBorders>
            <w:shd w:val="clear" w:color="auto" w:fill="auto"/>
            <w:vAlign w:val="center"/>
          </w:tcPr>
          <w:p w:rsidR="00CC19FC" w:rsidRPr="003410C7" w:rsidRDefault="00CC19FC" w:rsidP="004B3534">
            <w:pPr>
              <w:pStyle w:val="TableText"/>
              <w:widowControl w:val="0"/>
              <w:rPr>
                <w:rFonts w:ascii="Tahoma" w:hAnsi="Tahoma" w:cs="Tahoma"/>
                <w:sz w:val="13"/>
              </w:rPr>
            </w:pPr>
          </w:p>
        </w:tc>
        <w:tc>
          <w:tcPr>
            <w:tcW w:w="429" w:type="dxa"/>
            <w:tcBorders>
              <w:bottom w:val="single" w:sz="4" w:space="0" w:color="auto"/>
            </w:tcBorders>
            <w:shd w:val="clear" w:color="auto" w:fill="auto"/>
            <w:vAlign w:val="center"/>
          </w:tcPr>
          <w:p w:rsidR="00CC19FC" w:rsidRPr="003410C7" w:rsidRDefault="00CC19FC" w:rsidP="004B3534">
            <w:pPr>
              <w:pStyle w:val="TableText"/>
              <w:widowControl w:val="0"/>
              <w:rPr>
                <w:rFonts w:ascii="Tahoma" w:hAnsi="Tahoma" w:cs="Tahoma"/>
                <w:sz w:val="13"/>
              </w:rPr>
            </w:pPr>
          </w:p>
        </w:tc>
        <w:tc>
          <w:tcPr>
            <w:tcW w:w="429" w:type="dxa"/>
            <w:tcBorders>
              <w:bottom w:val="single" w:sz="4" w:space="0" w:color="auto"/>
              <w:right w:val="single" w:sz="18" w:space="0" w:color="auto"/>
            </w:tcBorders>
            <w:shd w:val="clear" w:color="auto" w:fill="auto"/>
            <w:vAlign w:val="center"/>
          </w:tcPr>
          <w:p w:rsidR="00CC19FC" w:rsidRPr="003410C7" w:rsidRDefault="00CC19FC" w:rsidP="004B3534">
            <w:pPr>
              <w:pStyle w:val="TableText"/>
              <w:widowControl w:val="0"/>
              <w:rPr>
                <w:rFonts w:ascii="Tahoma" w:hAnsi="Tahoma" w:cs="Tahoma"/>
                <w:sz w:val="13"/>
              </w:rPr>
            </w:pPr>
          </w:p>
        </w:tc>
        <w:tc>
          <w:tcPr>
            <w:tcW w:w="429" w:type="dxa"/>
            <w:tcBorders>
              <w:left w:val="single" w:sz="18" w:space="0" w:color="auto"/>
              <w:bottom w:val="single" w:sz="4" w:space="0" w:color="auto"/>
            </w:tcBorders>
            <w:shd w:val="clear" w:color="auto" w:fill="auto"/>
            <w:vAlign w:val="center"/>
          </w:tcPr>
          <w:p w:rsidR="00CC19FC" w:rsidRPr="003410C7" w:rsidRDefault="00CC19FC" w:rsidP="004B3534">
            <w:pPr>
              <w:pStyle w:val="TableText"/>
              <w:widowControl w:val="0"/>
              <w:rPr>
                <w:rFonts w:ascii="Tahoma" w:hAnsi="Tahoma" w:cs="Tahoma"/>
                <w:sz w:val="13"/>
              </w:rPr>
            </w:pPr>
          </w:p>
        </w:tc>
        <w:tc>
          <w:tcPr>
            <w:tcW w:w="429" w:type="dxa"/>
            <w:tcBorders>
              <w:bottom w:val="single" w:sz="4" w:space="0" w:color="auto"/>
            </w:tcBorders>
            <w:shd w:val="clear" w:color="auto" w:fill="auto"/>
            <w:vAlign w:val="center"/>
          </w:tcPr>
          <w:p w:rsidR="00CC19FC" w:rsidRPr="003410C7" w:rsidRDefault="00CC19FC" w:rsidP="004B3534">
            <w:pPr>
              <w:pStyle w:val="TableText"/>
              <w:widowControl w:val="0"/>
              <w:rPr>
                <w:rFonts w:ascii="Tahoma" w:hAnsi="Tahoma" w:cs="Tahoma"/>
                <w:sz w:val="13"/>
              </w:rPr>
            </w:pPr>
          </w:p>
        </w:tc>
        <w:tc>
          <w:tcPr>
            <w:tcW w:w="442" w:type="dxa"/>
            <w:tcBorders>
              <w:bottom w:val="single" w:sz="4" w:space="0" w:color="auto"/>
              <w:right w:val="single" w:sz="18" w:space="0" w:color="auto"/>
            </w:tcBorders>
            <w:shd w:val="clear" w:color="auto" w:fill="auto"/>
            <w:vAlign w:val="center"/>
          </w:tcPr>
          <w:p w:rsidR="00CC19FC" w:rsidRPr="003410C7" w:rsidRDefault="00CC19FC" w:rsidP="004B3534">
            <w:pPr>
              <w:pStyle w:val="TableText"/>
              <w:widowControl w:val="0"/>
              <w:rPr>
                <w:rFonts w:ascii="Tahoma" w:hAnsi="Tahoma" w:cs="Tahoma"/>
                <w:sz w:val="13"/>
              </w:rPr>
            </w:pPr>
          </w:p>
        </w:tc>
        <w:tc>
          <w:tcPr>
            <w:tcW w:w="495" w:type="dxa"/>
            <w:tcBorders>
              <w:left w:val="single" w:sz="18" w:space="0" w:color="auto"/>
              <w:bottom w:val="single" w:sz="4" w:space="0" w:color="auto"/>
            </w:tcBorders>
            <w:shd w:val="clear" w:color="auto" w:fill="auto"/>
            <w:vAlign w:val="center"/>
          </w:tcPr>
          <w:p w:rsidR="00CC19FC" w:rsidRPr="003410C7" w:rsidRDefault="00CC19FC" w:rsidP="004B3534">
            <w:pPr>
              <w:pStyle w:val="TableText"/>
              <w:widowControl w:val="0"/>
              <w:rPr>
                <w:rFonts w:ascii="Tahoma" w:hAnsi="Tahoma" w:cs="Tahoma"/>
                <w:sz w:val="13"/>
              </w:rPr>
            </w:pPr>
          </w:p>
        </w:tc>
        <w:tc>
          <w:tcPr>
            <w:tcW w:w="459" w:type="dxa"/>
            <w:tcBorders>
              <w:bottom w:val="single" w:sz="4" w:space="0" w:color="auto"/>
              <w:right w:val="single" w:sz="18" w:space="0" w:color="auto"/>
            </w:tcBorders>
            <w:shd w:val="clear" w:color="auto" w:fill="auto"/>
            <w:vAlign w:val="center"/>
          </w:tcPr>
          <w:p w:rsidR="00CC19FC" w:rsidRPr="003410C7" w:rsidRDefault="00CC19FC" w:rsidP="00CC19FC">
            <w:pPr>
              <w:pStyle w:val="TableText"/>
              <w:widowControl w:val="0"/>
              <w:rPr>
                <w:rFonts w:ascii="Tahoma" w:hAnsi="Tahoma" w:cs="Tahoma"/>
                <w:sz w:val="13"/>
              </w:rPr>
            </w:pPr>
            <w:r w:rsidRPr="003410C7">
              <w:rPr>
                <w:rFonts w:ascii="Tahoma" w:hAnsi="Tahoma" w:cs="Tahoma"/>
                <w:sz w:val="13"/>
              </w:rPr>
              <w:t>EOLS</w:t>
            </w:r>
          </w:p>
        </w:tc>
        <w:tc>
          <w:tcPr>
            <w:tcW w:w="360" w:type="dxa"/>
            <w:tcBorders>
              <w:left w:val="single" w:sz="18" w:space="0" w:color="auto"/>
              <w:bottom w:val="single" w:sz="4" w:space="0" w:color="auto"/>
              <w:right w:val="single" w:sz="18" w:space="0" w:color="auto"/>
            </w:tcBorders>
            <w:shd w:val="clear" w:color="auto" w:fill="auto"/>
            <w:vAlign w:val="center"/>
          </w:tcPr>
          <w:p w:rsidR="00CC19FC" w:rsidRPr="003410C7" w:rsidRDefault="00CC19FC" w:rsidP="004B3534">
            <w:pPr>
              <w:pStyle w:val="TableText"/>
              <w:widowControl w:val="0"/>
              <w:rPr>
                <w:rFonts w:ascii="Tahoma" w:hAnsi="Tahoma" w:cs="Tahoma"/>
                <w:sz w:val="13"/>
              </w:rPr>
            </w:pPr>
          </w:p>
        </w:tc>
        <w:tc>
          <w:tcPr>
            <w:tcW w:w="474" w:type="dxa"/>
            <w:tcBorders>
              <w:bottom w:val="single" w:sz="4" w:space="0" w:color="auto"/>
            </w:tcBorders>
            <w:shd w:val="clear" w:color="auto" w:fill="auto"/>
            <w:vAlign w:val="center"/>
          </w:tcPr>
          <w:p w:rsidR="00CC19FC" w:rsidRPr="003410C7" w:rsidRDefault="00CC19FC" w:rsidP="00080B33">
            <w:pPr>
              <w:pStyle w:val="TableText"/>
              <w:widowControl w:val="0"/>
              <w:rPr>
                <w:rFonts w:ascii="Tahoma" w:hAnsi="Tahoma" w:cs="Tahoma"/>
                <w:sz w:val="13"/>
              </w:rPr>
            </w:pPr>
          </w:p>
        </w:tc>
        <w:tc>
          <w:tcPr>
            <w:tcW w:w="514" w:type="dxa"/>
            <w:tcBorders>
              <w:bottom w:val="single" w:sz="4" w:space="0" w:color="auto"/>
            </w:tcBorders>
            <w:shd w:val="clear" w:color="auto" w:fill="auto"/>
            <w:vAlign w:val="center"/>
          </w:tcPr>
          <w:p w:rsidR="00CC19FC" w:rsidRPr="003410C7" w:rsidRDefault="00CC19FC" w:rsidP="004B3534">
            <w:pPr>
              <w:pStyle w:val="TableText"/>
              <w:widowControl w:val="0"/>
              <w:rPr>
                <w:rFonts w:ascii="Tahoma" w:hAnsi="Tahoma" w:cs="Tahoma"/>
                <w:sz w:val="13"/>
              </w:rPr>
            </w:pPr>
          </w:p>
        </w:tc>
      </w:tr>
      <w:tr w:rsidR="00EF228F" w:rsidRPr="003410C7" w:rsidTr="002A074D">
        <w:trPr>
          <w:cantSplit/>
          <w:trHeight w:val="287"/>
        </w:trPr>
        <w:tc>
          <w:tcPr>
            <w:tcW w:w="2638" w:type="dxa"/>
            <w:tcBorders>
              <w:bottom w:val="single" w:sz="4" w:space="0" w:color="auto"/>
            </w:tcBorders>
            <w:shd w:val="clear" w:color="auto" w:fill="FABF8F"/>
            <w:vAlign w:val="center"/>
          </w:tcPr>
          <w:p w:rsidR="00CC19FC" w:rsidRPr="00451078" w:rsidRDefault="00CC19FC" w:rsidP="003410C7">
            <w:pPr>
              <w:pStyle w:val="Heading2"/>
              <w:spacing w:beforeLines="20" w:before="48" w:afterLines="20" w:after="48"/>
              <w:ind w:left="0"/>
              <w:rPr>
                <w:rFonts w:ascii="Tahoma" w:hAnsi="Tahoma" w:cs="Tahoma"/>
                <w:b w:val="0"/>
                <w:sz w:val="14"/>
                <w:lang w:val="it-IT"/>
              </w:rPr>
            </w:pPr>
            <w:bookmarkStart w:id="54" w:name="_Toc291024473"/>
            <w:bookmarkStart w:id="55" w:name="_Toc336337862"/>
            <w:bookmarkStart w:id="56" w:name="_Toc352234465"/>
            <w:r w:rsidRPr="00451078">
              <w:rPr>
                <w:rFonts w:ascii="Tahoma" w:hAnsi="Tahoma" w:cs="Tahoma"/>
                <w:b w:val="0"/>
                <w:sz w:val="14"/>
                <w:lang w:val="it-IT"/>
              </w:rPr>
              <w:t>Office 365 Enterprise E2 (SL per Utente)</w:t>
            </w:r>
            <w:bookmarkEnd w:id="54"/>
            <w:bookmarkEnd w:id="55"/>
            <w:bookmarkEnd w:id="56"/>
          </w:p>
        </w:tc>
        <w:tc>
          <w:tcPr>
            <w:tcW w:w="429" w:type="dxa"/>
            <w:tcBorders>
              <w:bottom w:val="single" w:sz="4" w:space="0" w:color="auto"/>
            </w:tcBorders>
            <w:shd w:val="clear" w:color="auto" w:fill="FABF8F"/>
            <w:vAlign w:val="center"/>
          </w:tcPr>
          <w:p w:rsidR="00CC19FC" w:rsidRPr="009F17FF" w:rsidRDefault="00FC1A4D" w:rsidP="009832D3">
            <w:pPr>
              <w:pStyle w:val="TableText"/>
              <w:widowControl w:val="0"/>
              <w:rPr>
                <w:b/>
                <w:color w:val="0000FF"/>
                <w:sz w:val="13"/>
                <w:szCs w:val="13"/>
                <w:u w:val="single"/>
              </w:rPr>
            </w:pPr>
            <w:hyperlink w:anchor="_65_Office_365" w:history="1">
              <w:r w:rsidR="000D77F6" w:rsidRPr="009F17FF">
                <w:rPr>
                  <w:rStyle w:val="Hyperlink"/>
                  <w:sz w:val="13"/>
                  <w:szCs w:val="13"/>
                </w:rPr>
                <w:t>5</w:t>
              </w:r>
            </w:hyperlink>
          </w:p>
        </w:tc>
        <w:tc>
          <w:tcPr>
            <w:tcW w:w="429" w:type="dxa"/>
            <w:tcBorders>
              <w:bottom w:val="single" w:sz="4" w:space="0" w:color="auto"/>
            </w:tcBorders>
            <w:shd w:val="clear" w:color="auto" w:fill="FABF8F"/>
            <w:vAlign w:val="center"/>
          </w:tcPr>
          <w:p w:rsidR="00CC19FC" w:rsidRPr="003410C7" w:rsidRDefault="00CC19FC" w:rsidP="004000C7">
            <w:pPr>
              <w:pStyle w:val="TableText"/>
              <w:widowControl w:val="0"/>
              <w:rPr>
                <w:rFonts w:ascii="Tahoma" w:hAnsi="Tahoma" w:cs="Tahoma"/>
                <w:sz w:val="13"/>
              </w:rPr>
            </w:pPr>
            <w:r w:rsidRPr="003410C7">
              <w:rPr>
                <w:rFonts w:ascii="Tahoma" w:hAnsi="Tahoma" w:cs="Tahoma"/>
                <w:sz w:val="13"/>
              </w:rPr>
              <w:t>06/11</w:t>
            </w:r>
          </w:p>
        </w:tc>
        <w:tc>
          <w:tcPr>
            <w:tcW w:w="429" w:type="dxa"/>
            <w:tcBorders>
              <w:bottom w:val="single" w:sz="4" w:space="0" w:color="auto"/>
              <w:right w:val="single" w:sz="18" w:space="0" w:color="auto"/>
            </w:tcBorders>
            <w:shd w:val="clear" w:color="auto" w:fill="FABF8F"/>
            <w:vAlign w:val="center"/>
          </w:tcPr>
          <w:p w:rsidR="00CC19FC" w:rsidRPr="003410C7" w:rsidRDefault="00CC19FC" w:rsidP="004B3534">
            <w:pPr>
              <w:pStyle w:val="TableText"/>
              <w:widowControl w:val="0"/>
              <w:rPr>
                <w:rFonts w:ascii="Tahoma" w:hAnsi="Tahoma" w:cs="Tahoma"/>
                <w:sz w:val="13"/>
              </w:rPr>
            </w:pPr>
            <w:r w:rsidRPr="003410C7">
              <w:rPr>
                <w:rFonts w:ascii="Tahoma" w:hAnsi="Tahoma" w:cs="Tahoma"/>
                <w:sz w:val="13"/>
              </w:rPr>
              <w:t>OSB</w:t>
            </w:r>
          </w:p>
        </w:tc>
        <w:tc>
          <w:tcPr>
            <w:tcW w:w="429" w:type="dxa"/>
            <w:tcBorders>
              <w:left w:val="single" w:sz="18" w:space="0" w:color="auto"/>
              <w:bottom w:val="single" w:sz="4" w:space="0" w:color="auto"/>
            </w:tcBorders>
            <w:shd w:val="clear" w:color="auto" w:fill="FABF8F"/>
            <w:vAlign w:val="center"/>
          </w:tcPr>
          <w:p w:rsidR="00CC19FC" w:rsidRPr="003410C7" w:rsidRDefault="00CC19FC" w:rsidP="004B3534">
            <w:pPr>
              <w:pStyle w:val="TableText"/>
              <w:widowControl w:val="0"/>
              <w:rPr>
                <w:rFonts w:ascii="Tahoma" w:hAnsi="Tahoma" w:cs="Tahoma"/>
                <w:sz w:val="13"/>
              </w:rPr>
            </w:pPr>
          </w:p>
        </w:tc>
        <w:tc>
          <w:tcPr>
            <w:tcW w:w="429" w:type="dxa"/>
            <w:tcBorders>
              <w:bottom w:val="single" w:sz="4" w:space="0" w:color="auto"/>
            </w:tcBorders>
            <w:shd w:val="clear" w:color="auto" w:fill="FABF8F"/>
            <w:vAlign w:val="center"/>
          </w:tcPr>
          <w:p w:rsidR="00CC19FC" w:rsidRPr="003410C7" w:rsidRDefault="00CC19FC" w:rsidP="004B3534">
            <w:pPr>
              <w:pStyle w:val="TableText"/>
              <w:widowControl w:val="0"/>
              <w:rPr>
                <w:rFonts w:ascii="Tahoma" w:hAnsi="Tahoma" w:cs="Tahoma"/>
                <w:sz w:val="13"/>
              </w:rPr>
            </w:pPr>
          </w:p>
        </w:tc>
        <w:tc>
          <w:tcPr>
            <w:tcW w:w="429" w:type="dxa"/>
            <w:tcBorders>
              <w:bottom w:val="single" w:sz="4" w:space="0" w:color="auto"/>
            </w:tcBorders>
            <w:shd w:val="clear" w:color="auto" w:fill="FABF8F"/>
            <w:vAlign w:val="center"/>
          </w:tcPr>
          <w:p w:rsidR="00CC19FC" w:rsidRPr="003410C7" w:rsidRDefault="00CC19FC" w:rsidP="004B3534">
            <w:pPr>
              <w:pStyle w:val="TableText"/>
              <w:widowControl w:val="0"/>
              <w:rPr>
                <w:rFonts w:ascii="Tahoma" w:hAnsi="Tahoma" w:cs="Tahoma"/>
                <w:sz w:val="13"/>
              </w:rPr>
            </w:pPr>
          </w:p>
        </w:tc>
        <w:tc>
          <w:tcPr>
            <w:tcW w:w="429" w:type="dxa"/>
            <w:tcBorders>
              <w:bottom w:val="single" w:sz="4" w:space="0" w:color="auto"/>
            </w:tcBorders>
            <w:shd w:val="clear" w:color="auto" w:fill="FABF8F"/>
            <w:vAlign w:val="center"/>
          </w:tcPr>
          <w:p w:rsidR="00CC19FC" w:rsidRPr="003410C7" w:rsidRDefault="00CC19FC" w:rsidP="004B3534">
            <w:pPr>
              <w:pStyle w:val="TableText"/>
              <w:widowControl w:val="0"/>
              <w:rPr>
                <w:rFonts w:ascii="Tahoma" w:hAnsi="Tahoma" w:cs="Tahoma"/>
                <w:sz w:val="13"/>
              </w:rPr>
            </w:pPr>
          </w:p>
        </w:tc>
        <w:tc>
          <w:tcPr>
            <w:tcW w:w="429" w:type="dxa"/>
            <w:tcBorders>
              <w:bottom w:val="single" w:sz="4" w:space="0" w:color="auto"/>
            </w:tcBorders>
            <w:shd w:val="clear" w:color="auto" w:fill="FABF8F"/>
            <w:vAlign w:val="center"/>
          </w:tcPr>
          <w:p w:rsidR="00CC19FC" w:rsidRPr="003410C7" w:rsidRDefault="00CC19FC" w:rsidP="004B3534">
            <w:pPr>
              <w:pStyle w:val="TableText"/>
              <w:widowControl w:val="0"/>
              <w:rPr>
                <w:rFonts w:ascii="Tahoma" w:hAnsi="Tahoma" w:cs="Tahoma"/>
                <w:sz w:val="13"/>
              </w:rPr>
            </w:pPr>
          </w:p>
        </w:tc>
        <w:tc>
          <w:tcPr>
            <w:tcW w:w="429" w:type="dxa"/>
            <w:tcBorders>
              <w:bottom w:val="single" w:sz="4" w:space="0" w:color="auto"/>
            </w:tcBorders>
            <w:shd w:val="clear" w:color="auto" w:fill="FABF8F"/>
            <w:vAlign w:val="center"/>
          </w:tcPr>
          <w:p w:rsidR="00CC19FC" w:rsidRPr="003410C7" w:rsidRDefault="00CC19FC" w:rsidP="004B3534">
            <w:pPr>
              <w:pStyle w:val="TableText"/>
              <w:widowControl w:val="0"/>
              <w:rPr>
                <w:rFonts w:ascii="Tahoma" w:hAnsi="Tahoma" w:cs="Tahoma"/>
                <w:sz w:val="13"/>
              </w:rPr>
            </w:pPr>
          </w:p>
        </w:tc>
        <w:tc>
          <w:tcPr>
            <w:tcW w:w="429" w:type="dxa"/>
            <w:tcBorders>
              <w:bottom w:val="single" w:sz="4" w:space="0" w:color="auto"/>
              <w:right w:val="single" w:sz="18" w:space="0" w:color="auto"/>
            </w:tcBorders>
            <w:shd w:val="clear" w:color="auto" w:fill="FABF8F"/>
            <w:vAlign w:val="center"/>
          </w:tcPr>
          <w:p w:rsidR="00CC19FC" w:rsidRPr="003410C7" w:rsidRDefault="00CC19FC" w:rsidP="004B3534">
            <w:pPr>
              <w:pStyle w:val="TableText"/>
              <w:widowControl w:val="0"/>
              <w:rPr>
                <w:rFonts w:ascii="Tahoma" w:hAnsi="Tahoma" w:cs="Tahoma"/>
                <w:sz w:val="13"/>
              </w:rPr>
            </w:pPr>
          </w:p>
        </w:tc>
        <w:tc>
          <w:tcPr>
            <w:tcW w:w="429" w:type="dxa"/>
            <w:tcBorders>
              <w:left w:val="single" w:sz="18" w:space="0" w:color="auto"/>
              <w:bottom w:val="single" w:sz="4" w:space="0" w:color="auto"/>
            </w:tcBorders>
            <w:shd w:val="clear" w:color="auto" w:fill="FABF8F"/>
            <w:vAlign w:val="center"/>
          </w:tcPr>
          <w:p w:rsidR="00CC19FC" w:rsidRPr="003410C7" w:rsidRDefault="00CC19FC" w:rsidP="004B3534">
            <w:pPr>
              <w:pStyle w:val="TableText"/>
              <w:widowControl w:val="0"/>
              <w:rPr>
                <w:rFonts w:ascii="Tahoma" w:hAnsi="Tahoma" w:cs="Tahoma"/>
                <w:sz w:val="13"/>
              </w:rPr>
            </w:pPr>
          </w:p>
        </w:tc>
        <w:tc>
          <w:tcPr>
            <w:tcW w:w="429" w:type="dxa"/>
            <w:tcBorders>
              <w:bottom w:val="single" w:sz="4" w:space="0" w:color="auto"/>
            </w:tcBorders>
            <w:shd w:val="clear" w:color="auto" w:fill="FABF8F"/>
            <w:vAlign w:val="center"/>
          </w:tcPr>
          <w:p w:rsidR="00CC19FC" w:rsidRPr="003410C7" w:rsidRDefault="00CC19FC" w:rsidP="004B3534">
            <w:pPr>
              <w:pStyle w:val="TableText"/>
              <w:widowControl w:val="0"/>
              <w:rPr>
                <w:rFonts w:ascii="Tahoma" w:hAnsi="Tahoma" w:cs="Tahoma"/>
                <w:sz w:val="13"/>
              </w:rPr>
            </w:pPr>
          </w:p>
        </w:tc>
        <w:tc>
          <w:tcPr>
            <w:tcW w:w="442" w:type="dxa"/>
            <w:tcBorders>
              <w:bottom w:val="single" w:sz="4" w:space="0" w:color="auto"/>
              <w:right w:val="single" w:sz="18" w:space="0" w:color="auto"/>
            </w:tcBorders>
            <w:shd w:val="clear" w:color="auto" w:fill="FABF8F"/>
            <w:vAlign w:val="center"/>
          </w:tcPr>
          <w:p w:rsidR="00CC19FC" w:rsidRPr="003410C7" w:rsidRDefault="00CC19FC" w:rsidP="004B3534">
            <w:pPr>
              <w:pStyle w:val="TableText"/>
              <w:widowControl w:val="0"/>
              <w:rPr>
                <w:rFonts w:ascii="Tahoma" w:hAnsi="Tahoma" w:cs="Tahoma"/>
                <w:sz w:val="13"/>
              </w:rPr>
            </w:pPr>
          </w:p>
        </w:tc>
        <w:tc>
          <w:tcPr>
            <w:tcW w:w="495" w:type="dxa"/>
            <w:tcBorders>
              <w:left w:val="single" w:sz="18" w:space="0" w:color="auto"/>
              <w:bottom w:val="single" w:sz="4" w:space="0" w:color="auto"/>
            </w:tcBorders>
            <w:shd w:val="clear" w:color="auto" w:fill="FABF8F"/>
            <w:vAlign w:val="center"/>
          </w:tcPr>
          <w:p w:rsidR="00CC19FC" w:rsidRPr="003410C7" w:rsidRDefault="00CC19FC" w:rsidP="004B3534">
            <w:pPr>
              <w:pStyle w:val="TableText"/>
              <w:widowControl w:val="0"/>
              <w:rPr>
                <w:rFonts w:ascii="Tahoma" w:hAnsi="Tahoma" w:cs="Tahoma"/>
                <w:sz w:val="13"/>
              </w:rPr>
            </w:pPr>
          </w:p>
        </w:tc>
        <w:tc>
          <w:tcPr>
            <w:tcW w:w="459" w:type="dxa"/>
            <w:tcBorders>
              <w:bottom w:val="single" w:sz="4" w:space="0" w:color="auto"/>
              <w:right w:val="single" w:sz="18" w:space="0" w:color="auto"/>
            </w:tcBorders>
            <w:shd w:val="clear" w:color="auto" w:fill="FABF8F"/>
            <w:vAlign w:val="center"/>
          </w:tcPr>
          <w:p w:rsidR="00CC19FC" w:rsidRPr="003410C7" w:rsidRDefault="00CC19FC" w:rsidP="004B3534">
            <w:pPr>
              <w:pStyle w:val="TableText"/>
              <w:widowControl w:val="0"/>
              <w:rPr>
                <w:rFonts w:ascii="Tahoma" w:hAnsi="Tahoma" w:cs="Tahoma"/>
                <w:sz w:val="13"/>
              </w:rPr>
            </w:pPr>
            <w:r w:rsidRPr="003410C7">
              <w:rPr>
                <w:rFonts w:ascii="Tahoma" w:hAnsi="Tahoma" w:cs="Tahoma"/>
                <w:sz w:val="13"/>
              </w:rPr>
              <w:t>EOLS</w:t>
            </w:r>
          </w:p>
        </w:tc>
        <w:tc>
          <w:tcPr>
            <w:tcW w:w="360" w:type="dxa"/>
            <w:tcBorders>
              <w:left w:val="single" w:sz="18" w:space="0" w:color="auto"/>
              <w:bottom w:val="single" w:sz="4" w:space="0" w:color="auto"/>
              <w:right w:val="single" w:sz="18" w:space="0" w:color="auto"/>
            </w:tcBorders>
            <w:shd w:val="clear" w:color="auto" w:fill="FABF8F"/>
            <w:vAlign w:val="center"/>
          </w:tcPr>
          <w:p w:rsidR="00CC19FC" w:rsidRPr="003410C7" w:rsidRDefault="00CC19FC" w:rsidP="004B3534">
            <w:pPr>
              <w:pStyle w:val="TableText"/>
              <w:widowControl w:val="0"/>
              <w:rPr>
                <w:rFonts w:ascii="Tahoma" w:hAnsi="Tahoma" w:cs="Tahoma"/>
                <w:sz w:val="13"/>
              </w:rPr>
            </w:pPr>
          </w:p>
        </w:tc>
        <w:tc>
          <w:tcPr>
            <w:tcW w:w="474" w:type="dxa"/>
            <w:tcBorders>
              <w:bottom w:val="single" w:sz="4" w:space="0" w:color="auto"/>
            </w:tcBorders>
            <w:shd w:val="clear" w:color="auto" w:fill="FABF8F"/>
            <w:vAlign w:val="center"/>
          </w:tcPr>
          <w:p w:rsidR="00CC19FC" w:rsidRPr="003410C7" w:rsidRDefault="00CC19FC" w:rsidP="00080B33">
            <w:pPr>
              <w:pStyle w:val="TableText"/>
              <w:widowControl w:val="0"/>
              <w:rPr>
                <w:rFonts w:ascii="Tahoma" w:hAnsi="Tahoma" w:cs="Tahoma"/>
                <w:sz w:val="13"/>
              </w:rPr>
            </w:pPr>
          </w:p>
        </w:tc>
        <w:tc>
          <w:tcPr>
            <w:tcW w:w="514" w:type="dxa"/>
            <w:tcBorders>
              <w:bottom w:val="single" w:sz="4" w:space="0" w:color="auto"/>
            </w:tcBorders>
            <w:shd w:val="clear" w:color="auto" w:fill="FABF8F"/>
            <w:vAlign w:val="center"/>
          </w:tcPr>
          <w:p w:rsidR="00CC19FC" w:rsidRPr="003410C7" w:rsidRDefault="00CC19FC" w:rsidP="004B3534">
            <w:pPr>
              <w:pStyle w:val="TableText"/>
              <w:widowControl w:val="0"/>
              <w:rPr>
                <w:rFonts w:ascii="Tahoma" w:hAnsi="Tahoma" w:cs="Tahoma"/>
                <w:sz w:val="13"/>
              </w:rPr>
            </w:pPr>
          </w:p>
        </w:tc>
      </w:tr>
      <w:tr w:rsidR="00B33D0E" w:rsidRPr="003410C7" w:rsidTr="002A074D">
        <w:trPr>
          <w:cantSplit/>
          <w:trHeight w:val="287"/>
        </w:trPr>
        <w:tc>
          <w:tcPr>
            <w:tcW w:w="2638" w:type="dxa"/>
            <w:tcBorders>
              <w:bottom w:val="single" w:sz="4" w:space="0" w:color="auto"/>
            </w:tcBorders>
            <w:shd w:val="clear" w:color="auto" w:fill="auto"/>
            <w:vAlign w:val="center"/>
          </w:tcPr>
          <w:p w:rsidR="00CC19FC" w:rsidRPr="00451078" w:rsidRDefault="00CC19FC" w:rsidP="003410C7">
            <w:pPr>
              <w:pStyle w:val="Heading2"/>
              <w:spacing w:beforeLines="20" w:before="48" w:afterLines="20" w:after="48"/>
              <w:ind w:left="0"/>
              <w:rPr>
                <w:rFonts w:ascii="Tahoma" w:hAnsi="Tahoma" w:cs="Tahoma"/>
                <w:b w:val="0"/>
                <w:sz w:val="14"/>
                <w:lang w:val="it-IT"/>
              </w:rPr>
            </w:pPr>
            <w:bookmarkStart w:id="57" w:name="_Toc291024474"/>
            <w:bookmarkStart w:id="58" w:name="_Toc336337863"/>
            <w:bookmarkStart w:id="59" w:name="_Toc352234466"/>
            <w:r w:rsidRPr="00451078">
              <w:rPr>
                <w:rFonts w:ascii="Tahoma" w:hAnsi="Tahoma" w:cs="Tahoma"/>
                <w:b w:val="0"/>
                <w:sz w:val="14"/>
                <w:lang w:val="it-IT"/>
              </w:rPr>
              <w:t>Office 365 Enterprise E3 (SL per Utente)</w:t>
            </w:r>
            <w:bookmarkEnd w:id="57"/>
            <w:bookmarkEnd w:id="58"/>
            <w:bookmarkEnd w:id="59"/>
          </w:p>
        </w:tc>
        <w:tc>
          <w:tcPr>
            <w:tcW w:w="429" w:type="dxa"/>
            <w:tcBorders>
              <w:bottom w:val="single" w:sz="4" w:space="0" w:color="auto"/>
            </w:tcBorders>
            <w:shd w:val="clear" w:color="auto" w:fill="auto"/>
            <w:vAlign w:val="center"/>
          </w:tcPr>
          <w:p w:rsidR="00CC19FC" w:rsidRPr="009F17FF" w:rsidRDefault="00FC1A4D" w:rsidP="009832D3">
            <w:pPr>
              <w:pStyle w:val="TableText"/>
              <w:widowControl w:val="0"/>
              <w:rPr>
                <w:b/>
                <w:color w:val="0000FF"/>
                <w:sz w:val="13"/>
                <w:szCs w:val="13"/>
                <w:u w:val="single"/>
              </w:rPr>
            </w:pPr>
            <w:hyperlink w:anchor="_65_Office_365" w:history="1">
              <w:r w:rsidR="000D77F6" w:rsidRPr="009F17FF">
                <w:rPr>
                  <w:rStyle w:val="Hyperlink"/>
                  <w:sz w:val="13"/>
                  <w:szCs w:val="13"/>
                </w:rPr>
                <w:t>5</w:t>
              </w:r>
            </w:hyperlink>
          </w:p>
        </w:tc>
        <w:tc>
          <w:tcPr>
            <w:tcW w:w="429" w:type="dxa"/>
            <w:tcBorders>
              <w:bottom w:val="single" w:sz="4" w:space="0" w:color="auto"/>
            </w:tcBorders>
            <w:shd w:val="clear" w:color="auto" w:fill="auto"/>
            <w:vAlign w:val="center"/>
          </w:tcPr>
          <w:p w:rsidR="00CC19FC" w:rsidRPr="003410C7" w:rsidRDefault="00CC19FC" w:rsidP="004000C7">
            <w:pPr>
              <w:pStyle w:val="TableText"/>
              <w:widowControl w:val="0"/>
              <w:rPr>
                <w:rFonts w:ascii="Tahoma" w:hAnsi="Tahoma" w:cs="Tahoma"/>
                <w:sz w:val="13"/>
              </w:rPr>
            </w:pPr>
            <w:r w:rsidRPr="003410C7">
              <w:rPr>
                <w:rFonts w:ascii="Tahoma" w:hAnsi="Tahoma" w:cs="Tahoma"/>
                <w:sz w:val="13"/>
              </w:rPr>
              <w:t>06/11</w:t>
            </w:r>
          </w:p>
        </w:tc>
        <w:tc>
          <w:tcPr>
            <w:tcW w:w="429" w:type="dxa"/>
            <w:tcBorders>
              <w:bottom w:val="single" w:sz="4" w:space="0" w:color="auto"/>
              <w:right w:val="single" w:sz="18" w:space="0" w:color="auto"/>
            </w:tcBorders>
            <w:shd w:val="clear" w:color="auto" w:fill="auto"/>
            <w:vAlign w:val="center"/>
          </w:tcPr>
          <w:p w:rsidR="00CC19FC" w:rsidRPr="003410C7" w:rsidRDefault="00CC19FC" w:rsidP="004B3534">
            <w:pPr>
              <w:pStyle w:val="TableText"/>
              <w:widowControl w:val="0"/>
              <w:rPr>
                <w:rFonts w:ascii="Tahoma" w:hAnsi="Tahoma" w:cs="Tahoma"/>
                <w:sz w:val="13"/>
              </w:rPr>
            </w:pPr>
            <w:r w:rsidRPr="003410C7">
              <w:rPr>
                <w:rFonts w:ascii="Tahoma" w:hAnsi="Tahoma" w:cs="Tahoma"/>
                <w:sz w:val="13"/>
              </w:rPr>
              <w:t>OSB</w:t>
            </w:r>
          </w:p>
        </w:tc>
        <w:tc>
          <w:tcPr>
            <w:tcW w:w="429" w:type="dxa"/>
            <w:tcBorders>
              <w:left w:val="single" w:sz="18" w:space="0" w:color="auto"/>
              <w:bottom w:val="single" w:sz="4" w:space="0" w:color="auto"/>
            </w:tcBorders>
            <w:shd w:val="clear" w:color="auto" w:fill="auto"/>
            <w:vAlign w:val="center"/>
          </w:tcPr>
          <w:p w:rsidR="00CC19FC" w:rsidRPr="003410C7" w:rsidRDefault="00CC19FC" w:rsidP="004B3534">
            <w:pPr>
              <w:pStyle w:val="TableText"/>
              <w:widowControl w:val="0"/>
              <w:rPr>
                <w:rFonts w:ascii="Tahoma" w:hAnsi="Tahoma" w:cs="Tahoma"/>
                <w:sz w:val="13"/>
              </w:rPr>
            </w:pPr>
          </w:p>
        </w:tc>
        <w:tc>
          <w:tcPr>
            <w:tcW w:w="429" w:type="dxa"/>
            <w:tcBorders>
              <w:bottom w:val="single" w:sz="4" w:space="0" w:color="auto"/>
            </w:tcBorders>
            <w:shd w:val="clear" w:color="auto" w:fill="auto"/>
            <w:vAlign w:val="center"/>
          </w:tcPr>
          <w:p w:rsidR="00CC19FC" w:rsidRPr="003410C7" w:rsidRDefault="00CC19FC" w:rsidP="004B3534">
            <w:pPr>
              <w:pStyle w:val="TableText"/>
              <w:widowControl w:val="0"/>
              <w:rPr>
                <w:rFonts w:ascii="Tahoma" w:hAnsi="Tahoma" w:cs="Tahoma"/>
                <w:sz w:val="13"/>
              </w:rPr>
            </w:pPr>
          </w:p>
        </w:tc>
        <w:tc>
          <w:tcPr>
            <w:tcW w:w="429" w:type="dxa"/>
            <w:tcBorders>
              <w:bottom w:val="single" w:sz="4" w:space="0" w:color="auto"/>
            </w:tcBorders>
            <w:shd w:val="clear" w:color="auto" w:fill="auto"/>
            <w:vAlign w:val="center"/>
          </w:tcPr>
          <w:p w:rsidR="00CC19FC" w:rsidRPr="003410C7" w:rsidRDefault="00CC19FC" w:rsidP="004B3534">
            <w:pPr>
              <w:pStyle w:val="TableText"/>
              <w:widowControl w:val="0"/>
              <w:rPr>
                <w:rFonts w:ascii="Tahoma" w:hAnsi="Tahoma" w:cs="Tahoma"/>
                <w:sz w:val="13"/>
              </w:rPr>
            </w:pPr>
          </w:p>
        </w:tc>
        <w:tc>
          <w:tcPr>
            <w:tcW w:w="429" w:type="dxa"/>
            <w:tcBorders>
              <w:bottom w:val="single" w:sz="4" w:space="0" w:color="auto"/>
            </w:tcBorders>
            <w:shd w:val="clear" w:color="auto" w:fill="auto"/>
            <w:vAlign w:val="center"/>
          </w:tcPr>
          <w:p w:rsidR="00CC19FC" w:rsidRPr="003410C7" w:rsidRDefault="00CC19FC" w:rsidP="004B3534">
            <w:pPr>
              <w:pStyle w:val="TableText"/>
              <w:widowControl w:val="0"/>
              <w:rPr>
                <w:rFonts w:ascii="Tahoma" w:hAnsi="Tahoma" w:cs="Tahoma"/>
                <w:sz w:val="13"/>
              </w:rPr>
            </w:pPr>
          </w:p>
        </w:tc>
        <w:tc>
          <w:tcPr>
            <w:tcW w:w="429" w:type="dxa"/>
            <w:tcBorders>
              <w:bottom w:val="single" w:sz="4" w:space="0" w:color="auto"/>
            </w:tcBorders>
            <w:shd w:val="clear" w:color="auto" w:fill="auto"/>
            <w:vAlign w:val="center"/>
          </w:tcPr>
          <w:p w:rsidR="00CC19FC" w:rsidRPr="003410C7" w:rsidRDefault="00CC19FC" w:rsidP="004B3534">
            <w:pPr>
              <w:pStyle w:val="TableText"/>
              <w:widowControl w:val="0"/>
              <w:rPr>
                <w:rFonts w:ascii="Tahoma" w:hAnsi="Tahoma" w:cs="Tahoma"/>
                <w:sz w:val="13"/>
              </w:rPr>
            </w:pPr>
          </w:p>
        </w:tc>
        <w:tc>
          <w:tcPr>
            <w:tcW w:w="429" w:type="dxa"/>
            <w:tcBorders>
              <w:bottom w:val="single" w:sz="4" w:space="0" w:color="auto"/>
            </w:tcBorders>
            <w:shd w:val="clear" w:color="auto" w:fill="auto"/>
            <w:vAlign w:val="center"/>
          </w:tcPr>
          <w:p w:rsidR="00CC19FC" w:rsidRPr="003410C7" w:rsidRDefault="00CC19FC" w:rsidP="004B3534">
            <w:pPr>
              <w:pStyle w:val="TableText"/>
              <w:widowControl w:val="0"/>
              <w:rPr>
                <w:rFonts w:ascii="Tahoma" w:hAnsi="Tahoma" w:cs="Tahoma"/>
                <w:sz w:val="13"/>
              </w:rPr>
            </w:pPr>
          </w:p>
        </w:tc>
        <w:tc>
          <w:tcPr>
            <w:tcW w:w="429" w:type="dxa"/>
            <w:tcBorders>
              <w:bottom w:val="single" w:sz="4" w:space="0" w:color="auto"/>
              <w:right w:val="single" w:sz="18" w:space="0" w:color="auto"/>
            </w:tcBorders>
            <w:shd w:val="clear" w:color="auto" w:fill="auto"/>
            <w:vAlign w:val="center"/>
          </w:tcPr>
          <w:p w:rsidR="00CC19FC" w:rsidRPr="003410C7" w:rsidRDefault="00CC19FC" w:rsidP="004B3534">
            <w:pPr>
              <w:pStyle w:val="TableText"/>
              <w:widowControl w:val="0"/>
              <w:rPr>
                <w:rFonts w:ascii="Tahoma" w:hAnsi="Tahoma" w:cs="Tahoma"/>
                <w:sz w:val="13"/>
              </w:rPr>
            </w:pPr>
          </w:p>
        </w:tc>
        <w:tc>
          <w:tcPr>
            <w:tcW w:w="429" w:type="dxa"/>
            <w:tcBorders>
              <w:left w:val="single" w:sz="18" w:space="0" w:color="auto"/>
              <w:bottom w:val="single" w:sz="4" w:space="0" w:color="auto"/>
            </w:tcBorders>
            <w:shd w:val="clear" w:color="auto" w:fill="auto"/>
            <w:vAlign w:val="center"/>
          </w:tcPr>
          <w:p w:rsidR="00CC19FC" w:rsidRPr="003410C7" w:rsidRDefault="00CC19FC" w:rsidP="004B3534">
            <w:pPr>
              <w:pStyle w:val="TableText"/>
              <w:widowControl w:val="0"/>
              <w:rPr>
                <w:rFonts w:ascii="Tahoma" w:hAnsi="Tahoma" w:cs="Tahoma"/>
                <w:sz w:val="13"/>
              </w:rPr>
            </w:pPr>
          </w:p>
        </w:tc>
        <w:tc>
          <w:tcPr>
            <w:tcW w:w="429" w:type="dxa"/>
            <w:tcBorders>
              <w:bottom w:val="single" w:sz="4" w:space="0" w:color="auto"/>
            </w:tcBorders>
            <w:shd w:val="clear" w:color="auto" w:fill="auto"/>
            <w:vAlign w:val="center"/>
          </w:tcPr>
          <w:p w:rsidR="00CC19FC" w:rsidRPr="003410C7" w:rsidRDefault="00CC19FC" w:rsidP="004B3534">
            <w:pPr>
              <w:pStyle w:val="TableText"/>
              <w:widowControl w:val="0"/>
              <w:rPr>
                <w:rFonts w:ascii="Tahoma" w:hAnsi="Tahoma" w:cs="Tahoma"/>
                <w:sz w:val="13"/>
              </w:rPr>
            </w:pPr>
          </w:p>
        </w:tc>
        <w:tc>
          <w:tcPr>
            <w:tcW w:w="442" w:type="dxa"/>
            <w:tcBorders>
              <w:bottom w:val="single" w:sz="4" w:space="0" w:color="auto"/>
              <w:right w:val="single" w:sz="18" w:space="0" w:color="auto"/>
            </w:tcBorders>
            <w:shd w:val="clear" w:color="auto" w:fill="auto"/>
            <w:vAlign w:val="center"/>
          </w:tcPr>
          <w:p w:rsidR="00CC19FC" w:rsidRPr="003410C7" w:rsidRDefault="00CC19FC" w:rsidP="004B3534">
            <w:pPr>
              <w:pStyle w:val="TableText"/>
              <w:widowControl w:val="0"/>
              <w:rPr>
                <w:rFonts w:ascii="Tahoma" w:hAnsi="Tahoma" w:cs="Tahoma"/>
                <w:sz w:val="13"/>
              </w:rPr>
            </w:pPr>
          </w:p>
        </w:tc>
        <w:tc>
          <w:tcPr>
            <w:tcW w:w="495" w:type="dxa"/>
            <w:tcBorders>
              <w:left w:val="single" w:sz="18" w:space="0" w:color="auto"/>
              <w:bottom w:val="single" w:sz="4" w:space="0" w:color="auto"/>
            </w:tcBorders>
            <w:shd w:val="clear" w:color="auto" w:fill="auto"/>
            <w:vAlign w:val="center"/>
          </w:tcPr>
          <w:p w:rsidR="00CC19FC" w:rsidRPr="003410C7" w:rsidRDefault="00CC19FC" w:rsidP="004B3534">
            <w:pPr>
              <w:pStyle w:val="TableText"/>
              <w:widowControl w:val="0"/>
              <w:rPr>
                <w:rFonts w:ascii="Tahoma" w:hAnsi="Tahoma" w:cs="Tahoma"/>
                <w:sz w:val="13"/>
              </w:rPr>
            </w:pPr>
          </w:p>
        </w:tc>
        <w:tc>
          <w:tcPr>
            <w:tcW w:w="459" w:type="dxa"/>
            <w:tcBorders>
              <w:bottom w:val="single" w:sz="4" w:space="0" w:color="auto"/>
              <w:right w:val="single" w:sz="18" w:space="0" w:color="auto"/>
            </w:tcBorders>
            <w:shd w:val="clear" w:color="auto" w:fill="auto"/>
            <w:vAlign w:val="center"/>
          </w:tcPr>
          <w:p w:rsidR="00CC19FC" w:rsidRPr="003410C7" w:rsidRDefault="00CC19FC" w:rsidP="004B3534">
            <w:pPr>
              <w:pStyle w:val="TableText"/>
              <w:widowControl w:val="0"/>
              <w:rPr>
                <w:rFonts w:ascii="Tahoma" w:hAnsi="Tahoma" w:cs="Tahoma"/>
                <w:sz w:val="13"/>
              </w:rPr>
            </w:pPr>
            <w:r w:rsidRPr="003410C7">
              <w:rPr>
                <w:rFonts w:ascii="Tahoma" w:hAnsi="Tahoma" w:cs="Tahoma"/>
                <w:sz w:val="13"/>
              </w:rPr>
              <w:t>EOLS</w:t>
            </w:r>
          </w:p>
        </w:tc>
        <w:tc>
          <w:tcPr>
            <w:tcW w:w="360" w:type="dxa"/>
            <w:tcBorders>
              <w:left w:val="single" w:sz="18" w:space="0" w:color="auto"/>
              <w:bottom w:val="single" w:sz="4" w:space="0" w:color="auto"/>
              <w:right w:val="single" w:sz="18" w:space="0" w:color="auto"/>
            </w:tcBorders>
            <w:shd w:val="clear" w:color="auto" w:fill="auto"/>
            <w:vAlign w:val="center"/>
          </w:tcPr>
          <w:p w:rsidR="00CC19FC" w:rsidRPr="003410C7" w:rsidRDefault="00CC19FC" w:rsidP="004B3534">
            <w:pPr>
              <w:pStyle w:val="TableText"/>
              <w:widowControl w:val="0"/>
              <w:rPr>
                <w:rFonts w:ascii="Tahoma" w:hAnsi="Tahoma" w:cs="Tahoma"/>
                <w:sz w:val="13"/>
              </w:rPr>
            </w:pPr>
          </w:p>
        </w:tc>
        <w:tc>
          <w:tcPr>
            <w:tcW w:w="474" w:type="dxa"/>
            <w:tcBorders>
              <w:bottom w:val="single" w:sz="4" w:space="0" w:color="auto"/>
            </w:tcBorders>
            <w:shd w:val="clear" w:color="auto" w:fill="auto"/>
            <w:vAlign w:val="center"/>
          </w:tcPr>
          <w:p w:rsidR="00CC19FC" w:rsidRPr="003410C7" w:rsidRDefault="00CC19FC" w:rsidP="00080B33">
            <w:pPr>
              <w:pStyle w:val="TableText"/>
              <w:widowControl w:val="0"/>
              <w:rPr>
                <w:rFonts w:ascii="Tahoma" w:hAnsi="Tahoma" w:cs="Tahoma"/>
                <w:sz w:val="13"/>
              </w:rPr>
            </w:pPr>
          </w:p>
        </w:tc>
        <w:tc>
          <w:tcPr>
            <w:tcW w:w="514" w:type="dxa"/>
            <w:tcBorders>
              <w:bottom w:val="single" w:sz="4" w:space="0" w:color="auto"/>
            </w:tcBorders>
            <w:shd w:val="clear" w:color="auto" w:fill="auto"/>
            <w:vAlign w:val="center"/>
          </w:tcPr>
          <w:p w:rsidR="00CC19FC" w:rsidRPr="003410C7" w:rsidRDefault="00CC19FC" w:rsidP="004B3534">
            <w:pPr>
              <w:pStyle w:val="TableText"/>
              <w:widowControl w:val="0"/>
              <w:rPr>
                <w:rFonts w:ascii="Tahoma" w:hAnsi="Tahoma" w:cs="Tahoma"/>
                <w:sz w:val="13"/>
              </w:rPr>
            </w:pPr>
          </w:p>
        </w:tc>
      </w:tr>
      <w:tr w:rsidR="00EF228F" w:rsidRPr="003410C7" w:rsidTr="002A074D">
        <w:trPr>
          <w:cantSplit/>
          <w:trHeight w:val="287"/>
        </w:trPr>
        <w:tc>
          <w:tcPr>
            <w:tcW w:w="2638" w:type="dxa"/>
            <w:tcBorders>
              <w:bottom w:val="single" w:sz="4" w:space="0" w:color="auto"/>
            </w:tcBorders>
            <w:shd w:val="clear" w:color="auto" w:fill="FABF8F"/>
            <w:vAlign w:val="center"/>
          </w:tcPr>
          <w:p w:rsidR="00CC19FC" w:rsidRPr="00451078" w:rsidRDefault="00CC19FC" w:rsidP="003410C7">
            <w:pPr>
              <w:pStyle w:val="Heading2"/>
              <w:spacing w:beforeLines="20" w:before="48" w:afterLines="20" w:after="48"/>
              <w:ind w:left="0"/>
              <w:rPr>
                <w:rFonts w:ascii="Tahoma" w:hAnsi="Tahoma" w:cs="Tahoma"/>
                <w:b w:val="0"/>
                <w:sz w:val="14"/>
                <w:lang w:val="it-IT"/>
              </w:rPr>
            </w:pPr>
            <w:bookmarkStart w:id="60" w:name="_Toc291024475"/>
            <w:bookmarkStart w:id="61" w:name="_Toc336337864"/>
            <w:bookmarkStart w:id="62" w:name="_Toc352234467"/>
            <w:r w:rsidRPr="00451078">
              <w:rPr>
                <w:rFonts w:ascii="Tahoma" w:hAnsi="Tahoma" w:cs="Tahoma"/>
                <w:b w:val="0"/>
                <w:sz w:val="14"/>
                <w:lang w:val="it-IT"/>
              </w:rPr>
              <w:t>Office 365 Enterprise E4 (SL per Utente)</w:t>
            </w:r>
            <w:bookmarkEnd w:id="60"/>
            <w:bookmarkEnd w:id="61"/>
            <w:bookmarkEnd w:id="62"/>
          </w:p>
        </w:tc>
        <w:tc>
          <w:tcPr>
            <w:tcW w:w="429" w:type="dxa"/>
            <w:tcBorders>
              <w:bottom w:val="single" w:sz="4" w:space="0" w:color="auto"/>
            </w:tcBorders>
            <w:shd w:val="clear" w:color="auto" w:fill="FABF8F"/>
            <w:vAlign w:val="center"/>
          </w:tcPr>
          <w:p w:rsidR="00CC19FC" w:rsidRPr="009F17FF" w:rsidRDefault="00FC1A4D" w:rsidP="009832D3">
            <w:pPr>
              <w:pStyle w:val="TableText"/>
              <w:widowControl w:val="0"/>
              <w:rPr>
                <w:b/>
                <w:color w:val="0000FF"/>
                <w:sz w:val="13"/>
                <w:szCs w:val="13"/>
                <w:u w:val="single"/>
              </w:rPr>
            </w:pPr>
            <w:hyperlink w:anchor="_65_Office_365" w:history="1">
              <w:r w:rsidR="000D77F6" w:rsidRPr="009F17FF">
                <w:rPr>
                  <w:rStyle w:val="Hyperlink"/>
                  <w:sz w:val="13"/>
                  <w:szCs w:val="13"/>
                </w:rPr>
                <w:t>5</w:t>
              </w:r>
            </w:hyperlink>
          </w:p>
        </w:tc>
        <w:tc>
          <w:tcPr>
            <w:tcW w:w="429" w:type="dxa"/>
            <w:tcBorders>
              <w:bottom w:val="single" w:sz="4" w:space="0" w:color="auto"/>
            </w:tcBorders>
            <w:shd w:val="clear" w:color="auto" w:fill="FABF8F"/>
            <w:vAlign w:val="center"/>
          </w:tcPr>
          <w:p w:rsidR="00CC19FC" w:rsidRPr="003410C7" w:rsidRDefault="00CC19FC" w:rsidP="004000C7">
            <w:pPr>
              <w:pStyle w:val="TableText"/>
              <w:widowControl w:val="0"/>
              <w:rPr>
                <w:rFonts w:ascii="Tahoma" w:hAnsi="Tahoma" w:cs="Tahoma"/>
                <w:sz w:val="13"/>
              </w:rPr>
            </w:pPr>
            <w:r w:rsidRPr="003410C7">
              <w:rPr>
                <w:rFonts w:ascii="Tahoma" w:hAnsi="Tahoma" w:cs="Tahoma"/>
                <w:sz w:val="13"/>
              </w:rPr>
              <w:t>0611</w:t>
            </w:r>
          </w:p>
        </w:tc>
        <w:tc>
          <w:tcPr>
            <w:tcW w:w="429" w:type="dxa"/>
            <w:tcBorders>
              <w:bottom w:val="single" w:sz="4" w:space="0" w:color="auto"/>
              <w:right w:val="single" w:sz="18" w:space="0" w:color="auto"/>
            </w:tcBorders>
            <w:shd w:val="clear" w:color="auto" w:fill="FABF8F"/>
            <w:vAlign w:val="center"/>
          </w:tcPr>
          <w:p w:rsidR="00CC19FC" w:rsidRPr="003410C7" w:rsidRDefault="00CC19FC" w:rsidP="004B3534">
            <w:pPr>
              <w:pStyle w:val="TableText"/>
              <w:widowControl w:val="0"/>
              <w:rPr>
                <w:rFonts w:ascii="Tahoma" w:hAnsi="Tahoma" w:cs="Tahoma"/>
                <w:sz w:val="13"/>
              </w:rPr>
            </w:pPr>
            <w:r w:rsidRPr="003410C7">
              <w:rPr>
                <w:rFonts w:ascii="Tahoma" w:hAnsi="Tahoma" w:cs="Tahoma"/>
                <w:sz w:val="13"/>
              </w:rPr>
              <w:t>OSB</w:t>
            </w:r>
          </w:p>
        </w:tc>
        <w:tc>
          <w:tcPr>
            <w:tcW w:w="429" w:type="dxa"/>
            <w:tcBorders>
              <w:left w:val="single" w:sz="18" w:space="0" w:color="auto"/>
              <w:bottom w:val="single" w:sz="4" w:space="0" w:color="auto"/>
            </w:tcBorders>
            <w:shd w:val="clear" w:color="auto" w:fill="FABF8F"/>
            <w:vAlign w:val="center"/>
          </w:tcPr>
          <w:p w:rsidR="00CC19FC" w:rsidRPr="003410C7" w:rsidRDefault="00CC19FC" w:rsidP="004B3534">
            <w:pPr>
              <w:pStyle w:val="TableText"/>
              <w:widowControl w:val="0"/>
              <w:rPr>
                <w:rFonts w:ascii="Tahoma" w:hAnsi="Tahoma" w:cs="Tahoma"/>
                <w:sz w:val="13"/>
              </w:rPr>
            </w:pPr>
          </w:p>
        </w:tc>
        <w:tc>
          <w:tcPr>
            <w:tcW w:w="429" w:type="dxa"/>
            <w:tcBorders>
              <w:bottom w:val="single" w:sz="4" w:space="0" w:color="auto"/>
            </w:tcBorders>
            <w:shd w:val="clear" w:color="auto" w:fill="FABF8F"/>
            <w:vAlign w:val="center"/>
          </w:tcPr>
          <w:p w:rsidR="00CC19FC" w:rsidRPr="003410C7" w:rsidRDefault="00CC19FC" w:rsidP="004B3534">
            <w:pPr>
              <w:pStyle w:val="TableText"/>
              <w:widowControl w:val="0"/>
              <w:rPr>
                <w:rFonts w:ascii="Tahoma" w:hAnsi="Tahoma" w:cs="Tahoma"/>
                <w:sz w:val="13"/>
              </w:rPr>
            </w:pPr>
          </w:p>
        </w:tc>
        <w:tc>
          <w:tcPr>
            <w:tcW w:w="429" w:type="dxa"/>
            <w:tcBorders>
              <w:bottom w:val="single" w:sz="4" w:space="0" w:color="auto"/>
            </w:tcBorders>
            <w:shd w:val="clear" w:color="auto" w:fill="FABF8F"/>
            <w:vAlign w:val="center"/>
          </w:tcPr>
          <w:p w:rsidR="00CC19FC" w:rsidRPr="003410C7" w:rsidRDefault="00CC19FC" w:rsidP="004B3534">
            <w:pPr>
              <w:pStyle w:val="TableText"/>
              <w:widowControl w:val="0"/>
              <w:rPr>
                <w:rFonts w:ascii="Tahoma" w:hAnsi="Tahoma" w:cs="Tahoma"/>
                <w:sz w:val="13"/>
              </w:rPr>
            </w:pPr>
          </w:p>
        </w:tc>
        <w:tc>
          <w:tcPr>
            <w:tcW w:w="429" w:type="dxa"/>
            <w:tcBorders>
              <w:bottom w:val="single" w:sz="4" w:space="0" w:color="auto"/>
            </w:tcBorders>
            <w:shd w:val="clear" w:color="auto" w:fill="FABF8F"/>
            <w:vAlign w:val="center"/>
          </w:tcPr>
          <w:p w:rsidR="00CC19FC" w:rsidRPr="003410C7" w:rsidRDefault="00CC19FC" w:rsidP="004B3534">
            <w:pPr>
              <w:pStyle w:val="TableText"/>
              <w:widowControl w:val="0"/>
              <w:rPr>
                <w:rFonts w:ascii="Tahoma" w:hAnsi="Tahoma" w:cs="Tahoma"/>
                <w:sz w:val="13"/>
              </w:rPr>
            </w:pPr>
          </w:p>
        </w:tc>
        <w:tc>
          <w:tcPr>
            <w:tcW w:w="429" w:type="dxa"/>
            <w:tcBorders>
              <w:bottom w:val="single" w:sz="4" w:space="0" w:color="auto"/>
            </w:tcBorders>
            <w:shd w:val="clear" w:color="auto" w:fill="FABF8F"/>
            <w:vAlign w:val="center"/>
          </w:tcPr>
          <w:p w:rsidR="00CC19FC" w:rsidRPr="003410C7" w:rsidRDefault="00CC19FC" w:rsidP="004B3534">
            <w:pPr>
              <w:pStyle w:val="TableText"/>
              <w:widowControl w:val="0"/>
              <w:rPr>
                <w:rFonts w:ascii="Tahoma" w:hAnsi="Tahoma" w:cs="Tahoma"/>
                <w:sz w:val="13"/>
              </w:rPr>
            </w:pPr>
          </w:p>
        </w:tc>
        <w:tc>
          <w:tcPr>
            <w:tcW w:w="429" w:type="dxa"/>
            <w:tcBorders>
              <w:bottom w:val="single" w:sz="4" w:space="0" w:color="auto"/>
            </w:tcBorders>
            <w:shd w:val="clear" w:color="auto" w:fill="FABF8F"/>
            <w:vAlign w:val="center"/>
          </w:tcPr>
          <w:p w:rsidR="00CC19FC" w:rsidRPr="003410C7" w:rsidRDefault="00CC19FC" w:rsidP="004B3534">
            <w:pPr>
              <w:pStyle w:val="TableText"/>
              <w:widowControl w:val="0"/>
              <w:rPr>
                <w:rFonts w:ascii="Tahoma" w:hAnsi="Tahoma" w:cs="Tahoma"/>
                <w:sz w:val="13"/>
              </w:rPr>
            </w:pPr>
          </w:p>
        </w:tc>
        <w:tc>
          <w:tcPr>
            <w:tcW w:w="429" w:type="dxa"/>
            <w:tcBorders>
              <w:bottom w:val="single" w:sz="4" w:space="0" w:color="auto"/>
              <w:right w:val="single" w:sz="18" w:space="0" w:color="auto"/>
            </w:tcBorders>
            <w:shd w:val="clear" w:color="auto" w:fill="FABF8F"/>
            <w:vAlign w:val="center"/>
          </w:tcPr>
          <w:p w:rsidR="00CC19FC" w:rsidRPr="003410C7" w:rsidRDefault="00CC19FC" w:rsidP="004B3534">
            <w:pPr>
              <w:pStyle w:val="TableText"/>
              <w:widowControl w:val="0"/>
              <w:rPr>
                <w:rFonts w:ascii="Tahoma" w:hAnsi="Tahoma" w:cs="Tahoma"/>
                <w:sz w:val="13"/>
              </w:rPr>
            </w:pPr>
          </w:p>
        </w:tc>
        <w:tc>
          <w:tcPr>
            <w:tcW w:w="429" w:type="dxa"/>
            <w:tcBorders>
              <w:left w:val="single" w:sz="18" w:space="0" w:color="auto"/>
              <w:bottom w:val="single" w:sz="4" w:space="0" w:color="auto"/>
            </w:tcBorders>
            <w:shd w:val="clear" w:color="auto" w:fill="FABF8F"/>
            <w:vAlign w:val="center"/>
          </w:tcPr>
          <w:p w:rsidR="00CC19FC" w:rsidRPr="003410C7" w:rsidRDefault="00CC19FC" w:rsidP="004B3534">
            <w:pPr>
              <w:pStyle w:val="TableText"/>
              <w:widowControl w:val="0"/>
              <w:rPr>
                <w:rFonts w:ascii="Tahoma" w:hAnsi="Tahoma" w:cs="Tahoma"/>
                <w:sz w:val="13"/>
              </w:rPr>
            </w:pPr>
          </w:p>
        </w:tc>
        <w:tc>
          <w:tcPr>
            <w:tcW w:w="429" w:type="dxa"/>
            <w:tcBorders>
              <w:bottom w:val="single" w:sz="4" w:space="0" w:color="auto"/>
            </w:tcBorders>
            <w:shd w:val="clear" w:color="auto" w:fill="FABF8F"/>
            <w:vAlign w:val="center"/>
          </w:tcPr>
          <w:p w:rsidR="00CC19FC" w:rsidRPr="003410C7" w:rsidRDefault="00CC19FC" w:rsidP="004B3534">
            <w:pPr>
              <w:pStyle w:val="TableText"/>
              <w:widowControl w:val="0"/>
              <w:rPr>
                <w:rFonts w:ascii="Tahoma" w:hAnsi="Tahoma" w:cs="Tahoma"/>
                <w:sz w:val="13"/>
              </w:rPr>
            </w:pPr>
          </w:p>
        </w:tc>
        <w:tc>
          <w:tcPr>
            <w:tcW w:w="442" w:type="dxa"/>
            <w:tcBorders>
              <w:bottom w:val="single" w:sz="4" w:space="0" w:color="auto"/>
              <w:right w:val="single" w:sz="18" w:space="0" w:color="auto"/>
            </w:tcBorders>
            <w:shd w:val="clear" w:color="auto" w:fill="FABF8F"/>
            <w:vAlign w:val="center"/>
          </w:tcPr>
          <w:p w:rsidR="00CC19FC" w:rsidRPr="003410C7" w:rsidRDefault="00CC19FC" w:rsidP="004B3534">
            <w:pPr>
              <w:pStyle w:val="TableText"/>
              <w:widowControl w:val="0"/>
              <w:rPr>
                <w:rFonts w:ascii="Tahoma" w:hAnsi="Tahoma" w:cs="Tahoma"/>
                <w:sz w:val="13"/>
              </w:rPr>
            </w:pPr>
          </w:p>
        </w:tc>
        <w:tc>
          <w:tcPr>
            <w:tcW w:w="495" w:type="dxa"/>
            <w:tcBorders>
              <w:left w:val="single" w:sz="18" w:space="0" w:color="auto"/>
              <w:bottom w:val="single" w:sz="4" w:space="0" w:color="auto"/>
            </w:tcBorders>
            <w:shd w:val="clear" w:color="auto" w:fill="FABF8F"/>
            <w:vAlign w:val="center"/>
          </w:tcPr>
          <w:p w:rsidR="00CC19FC" w:rsidRPr="003410C7" w:rsidRDefault="00CC19FC" w:rsidP="004B3534">
            <w:pPr>
              <w:pStyle w:val="TableText"/>
              <w:widowControl w:val="0"/>
              <w:rPr>
                <w:rFonts w:ascii="Tahoma" w:hAnsi="Tahoma" w:cs="Tahoma"/>
                <w:sz w:val="13"/>
              </w:rPr>
            </w:pPr>
          </w:p>
        </w:tc>
        <w:tc>
          <w:tcPr>
            <w:tcW w:w="459" w:type="dxa"/>
            <w:tcBorders>
              <w:bottom w:val="single" w:sz="4" w:space="0" w:color="auto"/>
              <w:right w:val="single" w:sz="18" w:space="0" w:color="auto"/>
            </w:tcBorders>
            <w:shd w:val="clear" w:color="auto" w:fill="FABF8F"/>
            <w:vAlign w:val="center"/>
          </w:tcPr>
          <w:p w:rsidR="00CC19FC" w:rsidRPr="003410C7" w:rsidRDefault="00CC19FC" w:rsidP="004B3534">
            <w:pPr>
              <w:pStyle w:val="TableText"/>
              <w:widowControl w:val="0"/>
              <w:rPr>
                <w:rFonts w:ascii="Tahoma" w:hAnsi="Tahoma" w:cs="Tahoma"/>
                <w:sz w:val="13"/>
              </w:rPr>
            </w:pPr>
            <w:r w:rsidRPr="003410C7">
              <w:rPr>
                <w:rFonts w:ascii="Tahoma" w:hAnsi="Tahoma" w:cs="Tahoma"/>
                <w:sz w:val="13"/>
              </w:rPr>
              <w:t>EOLS</w:t>
            </w:r>
          </w:p>
        </w:tc>
        <w:tc>
          <w:tcPr>
            <w:tcW w:w="360" w:type="dxa"/>
            <w:tcBorders>
              <w:left w:val="single" w:sz="18" w:space="0" w:color="auto"/>
              <w:bottom w:val="single" w:sz="4" w:space="0" w:color="auto"/>
              <w:right w:val="single" w:sz="18" w:space="0" w:color="auto"/>
            </w:tcBorders>
            <w:shd w:val="clear" w:color="auto" w:fill="FABF8F"/>
            <w:vAlign w:val="center"/>
          </w:tcPr>
          <w:p w:rsidR="00CC19FC" w:rsidRPr="003410C7" w:rsidRDefault="00CC19FC" w:rsidP="004B3534">
            <w:pPr>
              <w:pStyle w:val="TableText"/>
              <w:widowControl w:val="0"/>
              <w:rPr>
                <w:rFonts w:ascii="Tahoma" w:hAnsi="Tahoma" w:cs="Tahoma"/>
                <w:sz w:val="13"/>
              </w:rPr>
            </w:pPr>
          </w:p>
        </w:tc>
        <w:tc>
          <w:tcPr>
            <w:tcW w:w="474" w:type="dxa"/>
            <w:tcBorders>
              <w:bottom w:val="single" w:sz="4" w:space="0" w:color="auto"/>
            </w:tcBorders>
            <w:shd w:val="clear" w:color="auto" w:fill="FABF8F"/>
            <w:vAlign w:val="center"/>
          </w:tcPr>
          <w:p w:rsidR="00CC19FC" w:rsidRPr="003410C7" w:rsidRDefault="00CC19FC" w:rsidP="00080B33">
            <w:pPr>
              <w:pStyle w:val="TableText"/>
              <w:widowControl w:val="0"/>
              <w:rPr>
                <w:rFonts w:ascii="Tahoma" w:hAnsi="Tahoma" w:cs="Tahoma"/>
                <w:sz w:val="13"/>
              </w:rPr>
            </w:pPr>
          </w:p>
        </w:tc>
        <w:tc>
          <w:tcPr>
            <w:tcW w:w="514" w:type="dxa"/>
            <w:tcBorders>
              <w:bottom w:val="single" w:sz="4" w:space="0" w:color="auto"/>
            </w:tcBorders>
            <w:shd w:val="clear" w:color="auto" w:fill="FABF8F"/>
            <w:vAlign w:val="center"/>
          </w:tcPr>
          <w:p w:rsidR="00CC19FC" w:rsidRPr="003410C7" w:rsidRDefault="00CC19FC" w:rsidP="004B3534">
            <w:pPr>
              <w:pStyle w:val="TableText"/>
              <w:widowControl w:val="0"/>
              <w:rPr>
                <w:rFonts w:ascii="Tahoma" w:hAnsi="Tahoma" w:cs="Tahoma"/>
                <w:sz w:val="13"/>
              </w:rPr>
            </w:pPr>
          </w:p>
        </w:tc>
      </w:tr>
      <w:tr w:rsidR="00B33D0E" w:rsidRPr="003410C7" w:rsidTr="002A074D">
        <w:trPr>
          <w:cantSplit/>
          <w:trHeight w:val="287"/>
        </w:trPr>
        <w:tc>
          <w:tcPr>
            <w:tcW w:w="2638" w:type="dxa"/>
            <w:tcBorders>
              <w:bottom w:val="single" w:sz="4" w:space="0" w:color="auto"/>
            </w:tcBorders>
            <w:shd w:val="clear" w:color="auto" w:fill="auto"/>
            <w:vAlign w:val="center"/>
          </w:tcPr>
          <w:p w:rsidR="00CC19FC" w:rsidRPr="00451078" w:rsidRDefault="00CC19FC" w:rsidP="003410C7">
            <w:pPr>
              <w:pStyle w:val="Heading2"/>
              <w:spacing w:beforeLines="20" w:before="48" w:afterLines="20" w:after="48"/>
              <w:ind w:left="0"/>
              <w:rPr>
                <w:rFonts w:ascii="Tahoma" w:hAnsi="Tahoma" w:cs="Tahoma"/>
                <w:b w:val="0"/>
                <w:sz w:val="14"/>
                <w:lang w:val="it-IT"/>
              </w:rPr>
            </w:pPr>
            <w:bookmarkStart w:id="63" w:name="_Toc352234468"/>
            <w:r w:rsidRPr="00451078">
              <w:rPr>
                <w:rFonts w:ascii="Tahoma" w:hAnsi="Tahoma" w:cs="Tahoma"/>
                <w:b w:val="0"/>
                <w:sz w:val="14"/>
                <w:lang w:val="it-IT"/>
              </w:rPr>
              <w:t>Diritti di Utilizzo Commerciale di Office Home and Student RT 2013</w:t>
            </w:r>
            <w:bookmarkEnd w:id="63"/>
          </w:p>
        </w:tc>
        <w:tc>
          <w:tcPr>
            <w:tcW w:w="429" w:type="dxa"/>
            <w:tcBorders>
              <w:bottom w:val="single" w:sz="4" w:space="0" w:color="auto"/>
            </w:tcBorders>
            <w:shd w:val="clear" w:color="auto" w:fill="auto"/>
            <w:vAlign w:val="center"/>
          </w:tcPr>
          <w:p w:rsidR="00CC19FC" w:rsidRPr="00451078" w:rsidRDefault="00CC19FC" w:rsidP="00152361">
            <w:pPr>
              <w:pStyle w:val="TableText"/>
              <w:widowControl w:val="0"/>
              <w:rPr>
                <w:b/>
                <w:color w:val="0000FF"/>
                <w:sz w:val="13"/>
                <w:szCs w:val="13"/>
                <w:u w:val="single"/>
                <w:lang w:val="it-IT"/>
              </w:rPr>
            </w:pPr>
          </w:p>
        </w:tc>
        <w:tc>
          <w:tcPr>
            <w:tcW w:w="429" w:type="dxa"/>
            <w:tcBorders>
              <w:bottom w:val="single" w:sz="4" w:space="0" w:color="auto"/>
            </w:tcBorders>
            <w:shd w:val="clear" w:color="auto" w:fill="auto"/>
            <w:vAlign w:val="center"/>
          </w:tcPr>
          <w:p w:rsidR="00CC19FC" w:rsidRPr="003410C7" w:rsidRDefault="00CC19FC" w:rsidP="004000C7">
            <w:pPr>
              <w:pStyle w:val="TableText"/>
              <w:widowControl w:val="0"/>
              <w:rPr>
                <w:rFonts w:ascii="Tahoma" w:hAnsi="Tahoma" w:cs="Tahoma"/>
                <w:sz w:val="13"/>
              </w:rPr>
            </w:pPr>
            <w:r w:rsidRPr="003410C7">
              <w:rPr>
                <w:rFonts w:ascii="Tahoma" w:hAnsi="Tahoma" w:cs="Tahoma"/>
                <w:sz w:val="13"/>
              </w:rPr>
              <w:t>12/12</w:t>
            </w:r>
          </w:p>
        </w:tc>
        <w:tc>
          <w:tcPr>
            <w:tcW w:w="429" w:type="dxa"/>
            <w:tcBorders>
              <w:bottom w:val="single" w:sz="4" w:space="0" w:color="auto"/>
              <w:right w:val="single" w:sz="18" w:space="0" w:color="auto"/>
            </w:tcBorders>
            <w:shd w:val="clear" w:color="auto" w:fill="auto"/>
            <w:vAlign w:val="center"/>
          </w:tcPr>
          <w:p w:rsidR="00CC19FC" w:rsidRPr="003410C7" w:rsidRDefault="00CC19FC" w:rsidP="004B3534">
            <w:pPr>
              <w:pStyle w:val="TableText"/>
              <w:widowControl w:val="0"/>
              <w:rPr>
                <w:rFonts w:ascii="Tahoma" w:hAnsi="Tahoma" w:cs="Tahoma"/>
                <w:sz w:val="13"/>
              </w:rPr>
            </w:pPr>
          </w:p>
        </w:tc>
        <w:tc>
          <w:tcPr>
            <w:tcW w:w="429" w:type="dxa"/>
            <w:tcBorders>
              <w:left w:val="single" w:sz="18" w:space="0" w:color="auto"/>
              <w:bottom w:val="single" w:sz="4" w:space="0" w:color="auto"/>
            </w:tcBorders>
            <w:shd w:val="clear" w:color="auto" w:fill="auto"/>
            <w:vAlign w:val="center"/>
          </w:tcPr>
          <w:p w:rsidR="00CC19FC" w:rsidRPr="003410C7" w:rsidRDefault="00CC19FC" w:rsidP="004B3534">
            <w:pPr>
              <w:pStyle w:val="TableText"/>
              <w:widowControl w:val="0"/>
              <w:rPr>
                <w:rFonts w:ascii="Tahoma" w:hAnsi="Tahoma" w:cs="Tahoma"/>
                <w:sz w:val="13"/>
              </w:rPr>
            </w:pPr>
            <w:r w:rsidRPr="003410C7">
              <w:rPr>
                <w:rFonts w:ascii="Tahoma" w:hAnsi="Tahoma" w:cs="Tahoma"/>
                <w:sz w:val="13"/>
              </w:rPr>
              <w:t>1</w:t>
            </w:r>
          </w:p>
        </w:tc>
        <w:tc>
          <w:tcPr>
            <w:tcW w:w="429" w:type="dxa"/>
            <w:tcBorders>
              <w:bottom w:val="single" w:sz="4" w:space="0" w:color="auto"/>
            </w:tcBorders>
            <w:shd w:val="clear" w:color="auto" w:fill="auto"/>
            <w:vAlign w:val="center"/>
          </w:tcPr>
          <w:p w:rsidR="00CC19FC" w:rsidRPr="003410C7" w:rsidRDefault="00CC19FC" w:rsidP="004B3534">
            <w:pPr>
              <w:pStyle w:val="TableText"/>
              <w:widowControl w:val="0"/>
              <w:rPr>
                <w:rFonts w:ascii="Tahoma" w:hAnsi="Tahoma" w:cs="Tahoma"/>
                <w:sz w:val="13"/>
              </w:rPr>
            </w:pPr>
            <w:r w:rsidRPr="003410C7">
              <w:rPr>
                <w:rFonts w:ascii="Tahoma" w:hAnsi="Tahoma" w:cs="Tahoma"/>
                <w:sz w:val="13"/>
              </w:rPr>
              <w:t>3</w:t>
            </w:r>
          </w:p>
        </w:tc>
        <w:tc>
          <w:tcPr>
            <w:tcW w:w="429" w:type="dxa"/>
            <w:tcBorders>
              <w:bottom w:val="single" w:sz="4" w:space="0" w:color="auto"/>
            </w:tcBorders>
            <w:shd w:val="clear" w:color="auto" w:fill="auto"/>
            <w:vAlign w:val="center"/>
          </w:tcPr>
          <w:p w:rsidR="00CC19FC" w:rsidRPr="003410C7" w:rsidRDefault="00CC19FC" w:rsidP="004B3534">
            <w:pPr>
              <w:pStyle w:val="TableText"/>
              <w:widowControl w:val="0"/>
              <w:rPr>
                <w:rFonts w:ascii="Tahoma" w:hAnsi="Tahoma" w:cs="Tahoma"/>
                <w:sz w:val="13"/>
              </w:rPr>
            </w:pPr>
            <w:r w:rsidRPr="003410C7">
              <w:rPr>
                <w:rFonts w:ascii="Tahoma" w:hAnsi="Tahoma" w:cs="Tahoma"/>
                <w:sz w:val="13"/>
              </w:rPr>
              <w:t>2</w:t>
            </w:r>
          </w:p>
        </w:tc>
        <w:tc>
          <w:tcPr>
            <w:tcW w:w="429" w:type="dxa"/>
            <w:tcBorders>
              <w:bottom w:val="single" w:sz="4" w:space="0" w:color="auto"/>
            </w:tcBorders>
            <w:shd w:val="clear" w:color="auto" w:fill="auto"/>
            <w:vAlign w:val="center"/>
          </w:tcPr>
          <w:p w:rsidR="00CC19FC" w:rsidRPr="003410C7" w:rsidRDefault="00CC19FC" w:rsidP="004B3534">
            <w:pPr>
              <w:pStyle w:val="TableText"/>
              <w:widowControl w:val="0"/>
              <w:rPr>
                <w:rFonts w:ascii="Tahoma" w:hAnsi="Tahoma" w:cs="Tahoma"/>
                <w:sz w:val="13"/>
              </w:rPr>
            </w:pPr>
            <w:r w:rsidRPr="003410C7">
              <w:rPr>
                <w:rFonts w:ascii="Tahoma" w:hAnsi="Tahoma" w:cs="Tahoma"/>
                <w:sz w:val="13"/>
              </w:rPr>
              <w:t>2</w:t>
            </w:r>
          </w:p>
        </w:tc>
        <w:tc>
          <w:tcPr>
            <w:tcW w:w="429" w:type="dxa"/>
            <w:tcBorders>
              <w:bottom w:val="single" w:sz="4" w:space="0" w:color="auto"/>
            </w:tcBorders>
            <w:shd w:val="clear" w:color="auto" w:fill="auto"/>
            <w:vAlign w:val="center"/>
          </w:tcPr>
          <w:p w:rsidR="00CC19FC" w:rsidRPr="003410C7" w:rsidRDefault="00CC19FC" w:rsidP="004B3534">
            <w:pPr>
              <w:pStyle w:val="TableText"/>
              <w:widowControl w:val="0"/>
              <w:rPr>
                <w:rFonts w:ascii="Tahoma" w:hAnsi="Tahoma" w:cs="Tahoma"/>
                <w:sz w:val="13"/>
              </w:rPr>
            </w:pPr>
            <w:r w:rsidRPr="003410C7">
              <w:rPr>
                <w:rFonts w:ascii="Tahoma" w:hAnsi="Tahoma" w:cs="Tahoma"/>
                <w:sz w:val="13"/>
              </w:rPr>
              <w:t>2</w:t>
            </w:r>
          </w:p>
        </w:tc>
        <w:tc>
          <w:tcPr>
            <w:tcW w:w="429" w:type="dxa"/>
            <w:tcBorders>
              <w:bottom w:val="single" w:sz="4" w:space="0" w:color="auto"/>
            </w:tcBorders>
            <w:shd w:val="clear" w:color="auto" w:fill="auto"/>
            <w:vAlign w:val="center"/>
          </w:tcPr>
          <w:p w:rsidR="00CC19FC" w:rsidRPr="003410C7" w:rsidRDefault="00CC19FC" w:rsidP="004B3534">
            <w:pPr>
              <w:pStyle w:val="TableText"/>
              <w:widowControl w:val="0"/>
              <w:rPr>
                <w:rFonts w:ascii="Tahoma" w:hAnsi="Tahoma" w:cs="Tahoma"/>
                <w:sz w:val="13"/>
              </w:rPr>
            </w:pPr>
            <w:r w:rsidRPr="003410C7">
              <w:rPr>
                <w:rFonts w:ascii="Tahoma" w:hAnsi="Tahoma" w:cs="Tahoma"/>
                <w:sz w:val="13"/>
              </w:rPr>
              <w:t>1</w:t>
            </w:r>
          </w:p>
        </w:tc>
        <w:tc>
          <w:tcPr>
            <w:tcW w:w="429" w:type="dxa"/>
            <w:tcBorders>
              <w:bottom w:val="single" w:sz="4" w:space="0" w:color="auto"/>
              <w:right w:val="single" w:sz="18" w:space="0" w:color="auto"/>
            </w:tcBorders>
            <w:shd w:val="clear" w:color="auto" w:fill="auto"/>
            <w:vAlign w:val="center"/>
          </w:tcPr>
          <w:p w:rsidR="00CC19FC" w:rsidRPr="003410C7" w:rsidRDefault="00CC19FC" w:rsidP="004B3534">
            <w:pPr>
              <w:pStyle w:val="TableText"/>
              <w:widowControl w:val="0"/>
              <w:rPr>
                <w:rFonts w:ascii="Tahoma" w:hAnsi="Tahoma" w:cs="Tahoma"/>
                <w:sz w:val="13"/>
              </w:rPr>
            </w:pPr>
            <w:r w:rsidRPr="003410C7">
              <w:rPr>
                <w:rFonts w:ascii="Tahoma" w:hAnsi="Tahoma" w:cs="Tahoma"/>
                <w:sz w:val="13"/>
              </w:rPr>
              <w:t>1</w:t>
            </w:r>
          </w:p>
        </w:tc>
        <w:tc>
          <w:tcPr>
            <w:tcW w:w="429" w:type="dxa"/>
            <w:tcBorders>
              <w:left w:val="single" w:sz="18" w:space="0" w:color="auto"/>
              <w:bottom w:val="single" w:sz="4" w:space="0" w:color="auto"/>
            </w:tcBorders>
            <w:shd w:val="clear" w:color="auto" w:fill="auto"/>
            <w:vAlign w:val="center"/>
          </w:tcPr>
          <w:p w:rsidR="00CC19FC" w:rsidRPr="003410C7" w:rsidRDefault="00CC19FC" w:rsidP="004B3534">
            <w:pPr>
              <w:pStyle w:val="TableText"/>
              <w:widowControl w:val="0"/>
              <w:rPr>
                <w:rFonts w:ascii="Tahoma" w:hAnsi="Tahoma" w:cs="Tahoma"/>
                <w:sz w:val="13"/>
              </w:rPr>
            </w:pPr>
            <w:r w:rsidRPr="003410C7">
              <w:rPr>
                <w:rFonts w:ascii="Tahoma" w:hAnsi="Tahoma" w:cs="Tahoma"/>
                <w:sz w:val="13"/>
              </w:rPr>
              <w:t>1</w:t>
            </w:r>
          </w:p>
        </w:tc>
        <w:tc>
          <w:tcPr>
            <w:tcW w:w="429" w:type="dxa"/>
            <w:tcBorders>
              <w:bottom w:val="single" w:sz="4" w:space="0" w:color="auto"/>
            </w:tcBorders>
            <w:shd w:val="clear" w:color="auto" w:fill="auto"/>
            <w:vAlign w:val="center"/>
          </w:tcPr>
          <w:p w:rsidR="00CC19FC" w:rsidRPr="003410C7" w:rsidRDefault="00CC19FC" w:rsidP="004B3534">
            <w:pPr>
              <w:pStyle w:val="TableText"/>
              <w:widowControl w:val="0"/>
              <w:rPr>
                <w:rFonts w:ascii="Tahoma" w:hAnsi="Tahoma" w:cs="Tahoma"/>
                <w:sz w:val="13"/>
              </w:rPr>
            </w:pPr>
            <w:r w:rsidRPr="003410C7">
              <w:rPr>
                <w:rFonts w:ascii="Tahoma" w:hAnsi="Tahoma" w:cs="Tahoma"/>
                <w:sz w:val="13"/>
              </w:rPr>
              <w:t>2</w:t>
            </w:r>
          </w:p>
        </w:tc>
        <w:tc>
          <w:tcPr>
            <w:tcW w:w="442" w:type="dxa"/>
            <w:tcBorders>
              <w:bottom w:val="single" w:sz="4" w:space="0" w:color="auto"/>
              <w:right w:val="single" w:sz="18" w:space="0" w:color="auto"/>
            </w:tcBorders>
            <w:shd w:val="clear" w:color="auto" w:fill="auto"/>
            <w:vAlign w:val="center"/>
          </w:tcPr>
          <w:p w:rsidR="00CC19FC" w:rsidRPr="003410C7" w:rsidRDefault="00CC19FC" w:rsidP="004B3534">
            <w:pPr>
              <w:pStyle w:val="TableText"/>
              <w:widowControl w:val="0"/>
              <w:rPr>
                <w:rFonts w:ascii="Tahoma" w:hAnsi="Tahoma" w:cs="Tahoma"/>
                <w:sz w:val="13"/>
              </w:rPr>
            </w:pPr>
            <w:r w:rsidRPr="003410C7">
              <w:rPr>
                <w:rFonts w:ascii="Tahoma" w:hAnsi="Tahoma" w:cs="Tahoma"/>
                <w:sz w:val="13"/>
              </w:rPr>
              <w:t>1</w:t>
            </w:r>
          </w:p>
        </w:tc>
        <w:tc>
          <w:tcPr>
            <w:tcW w:w="495" w:type="dxa"/>
            <w:tcBorders>
              <w:left w:val="single" w:sz="18" w:space="0" w:color="auto"/>
              <w:bottom w:val="single" w:sz="4" w:space="0" w:color="auto"/>
            </w:tcBorders>
            <w:shd w:val="clear" w:color="auto" w:fill="auto"/>
            <w:vAlign w:val="center"/>
          </w:tcPr>
          <w:p w:rsidR="00CC19FC" w:rsidRPr="003410C7" w:rsidRDefault="00CC19FC" w:rsidP="004B3534">
            <w:pPr>
              <w:pStyle w:val="TableText"/>
              <w:widowControl w:val="0"/>
              <w:rPr>
                <w:rFonts w:ascii="Tahoma" w:hAnsi="Tahoma" w:cs="Tahoma"/>
                <w:sz w:val="13"/>
              </w:rPr>
            </w:pPr>
          </w:p>
        </w:tc>
        <w:tc>
          <w:tcPr>
            <w:tcW w:w="459" w:type="dxa"/>
            <w:tcBorders>
              <w:bottom w:val="single" w:sz="4" w:space="0" w:color="auto"/>
              <w:right w:val="single" w:sz="18" w:space="0" w:color="auto"/>
            </w:tcBorders>
            <w:shd w:val="clear" w:color="auto" w:fill="auto"/>
            <w:vAlign w:val="center"/>
          </w:tcPr>
          <w:p w:rsidR="00CC19FC" w:rsidRPr="003410C7" w:rsidRDefault="00CC19FC" w:rsidP="004B3534">
            <w:pPr>
              <w:pStyle w:val="TableText"/>
              <w:widowControl w:val="0"/>
              <w:rPr>
                <w:rFonts w:ascii="Tahoma" w:hAnsi="Tahoma" w:cs="Tahoma"/>
                <w:sz w:val="13"/>
              </w:rPr>
            </w:pPr>
          </w:p>
        </w:tc>
        <w:tc>
          <w:tcPr>
            <w:tcW w:w="360" w:type="dxa"/>
            <w:tcBorders>
              <w:left w:val="single" w:sz="18" w:space="0" w:color="auto"/>
              <w:bottom w:val="single" w:sz="4" w:space="0" w:color="auto"/>
              <w:right w:val="single" w:sz="18" w:space="0" w:color="auto"/>
            </w:tcBorders>
            <w:shd w:val="clear" w:color="auto" w:fill="auto"/>
            <w:vAlign w:val="center"/>
          </w:tcPr>
          <w:p w:rsidR="00CC19FC" w:rsidRPr="003410C7" w:rsidRDefault="00CC19FC" w:rsidP="004B3534">
            <w:pPr>
              <w:pStyle w:val="TableText"/>
              <w:widowControl w:val="0"/>
              <w:rPr>
                <w:rFonts w:ascii="Tahoma" w:hAnsi="Tahoma" w:cs="Tahoma"/>
                <w:sz w:val="13"/>
              </w:rPr>
            </w:pPr>
          </w:p>
        </w:tc>
        <w:tc>
          <w:tcPr>
            <w:tcW w:w="474" w:type="dxa"/>
            <w:tcBorders>
              <w:bottom w:val="single" w:sz="4" w:space="0" w:color="auto"/>
            </w:tcBorders>
            <w:shd w:val="clear" w:color="auto" w:fill="auto"/>
            <w:vAlign w:val="center"/>
          </w:tcPr>
          <w:p w:rsidR="00CC19FC" w:rsidRPr="003410C7" w:rsidRDefault="00CC19FC" w:rsidP="00080B33">
            <w:pPr>
              <w:pStyle w:val="TableText"/>
              <w:widowControl w:val="0"/>
              <w:rPr>
                <w:rFonts w:ascii="Tahoma" w:hAnsi="Tahoma" w:cs="Tahoma"/>
                <w:sz w:val="13"/>
              </w:rPr>
            </w:pPr>
          </w:p>
        </w:tc>
        <w:tc>
          <w:tcPr>
            <w:tcW w:w="514" w:type="dxa"/>
            <w:tcBorders>
              <w:bottom w:val="single" w:sz="4" w:space="0" w:color="auto"/>
            </w:tcBorders>
            <w:shd w:val="clear" w:color="auto" w:fill="auto"/>
            <w:vAlign w:val="center"/>
          </w:tcPr>
          <w:p w:rsidR="00CC19FC" w:rsidRPr="003410C7" w:rsidRDefault="00CC19FC" w:rsidP="004B3534">
            <w:pPr>
              <w:pStyle w:val="TableText"/>
              <w:widowControl w:val="0"/>
              <w:rPr>
                <w:rFonts w:ascii="Tahoma" w:hAnsi="Tahoma" w:cs="Tahoma"/>
                <w:sz w:val="13"/>
              </w:rPr>
            </w:pPr>
          </w:p>
        </w:tc>
      </w:tr>
      <w:tr w:rsidR="00EF228F" w:rsidRPr="003410C7" w:rsidTr="002A074D">
        <w:trPr>
          <w:cantSplit/>
          <w:trHeight w:val="287"/>
        </w:trPr>
        <w:tc>
          <w:tcPr>
            <w:tcW w:w="2638" w:type="dxa"/>
            <w:tcBorders>
              <w:bottom w:val="single" w:sz="4" w:space="0" w:color="auto"/>
            </w:tcBorders>
            <w:shd w:val="clear" w:color="auto" w:fill="FABF8F"/>
            <w:vAlign w:val="center"/>
          </w:tcPr>
          <w:p w:rsidR="00CC19FC" w:rsidRPr="003410C7" w:rsidRDefault="00CC19FC" w:rsidP="003410C7">
            <w:pPr>
              <w:pStyle w:val="Heading2"/>
              <w:spacing w:beforeLines="20" w:before="48" w:afterLines="20" w:after="48"/>
              <w:ind w:left="0"/>
              <w:rPr>
                <w:rFonts w:ascii="Tahoma" w:hAnsi="Tahoma" w:cs="Tahoma"/>
                <w:b w:val="0"/>
                <w:sz w:val="14"/>
              </w:rPr>
            </w:pPr>
            <w:bookmarkStart w:id="64" w:name="_Toc336337865"/>
            <w:bookmarkStart w:id="65" w:name="_Toc352234469"/>
            <w:r w:rsidRPr="003410C7">
              <w:rPr>
                <w:rFonts w:ascii="Tahoma" w:hAnsi="Tahoma" w:cs="Tahoma"/>
                <w:b w:val="0"/>
                <w:sz w:val="14"/>
              </w:rPr>
              <w:t>Office per Mac Standard 2011</w:t>
            </w:r>
            <w:bookmarkEnd w:id="64"/>
            <w:bookmarkEnd w:id="65"/>
            <w:r w:rsidRPr="003410C7">
              <w:rPr>
                <w:rFonts w:ascii="Tahoma" w:hAnsi="Tahoma" w:cs="Tahoma"/>
                <w:b w:val="0"/>
                <w:sz w:val="14"/>
              </w:rPr>
              <w:t xml:space="preserve"> </w:t>
            </w:r>
          </w:p>
        </w:tc>
        <w:tc>
          <w:tcPr>
            <w:tcW w:w="429" w:type="dxa"/>
            <w:tcBorders>
              <w:bottom w:val="single" w:sz="4" w:space="0" w:color="auto"/>
            </w:tcBorders>
            <w:shd w:val="clear" w:color="auto" w:fill="FABF8F"/>
            <w:vAlign w:val="center"/>
          </w:tcPr>
          <w:p w:rsidR="00CC19FC" w:rsidRPr="009F17FF" w:rsidRDefault="00FC1A4D" w:rsidP="009832D3">
            <w:pPr>
              <w:pStyle w:val="TableText"/>
              <w:widowControl w:val="0"/>
              <w:rPr>
                <w:rStyle w:val="EndnoteReference"/>
                <w:color w:val="0000FF"/>
                <w:sz w:val="13"/>
                <w:szCs w:val="13"/>
                <w:u w:val="single"/>
              </w:rPr>
            </w:pPr>
            <w:hyperlink w:anchor="_76_Office_for" w:history="1">
              <w:r w:rsidR="000D77F6" w:rsidRPr="009F17FF">
                <w:rPr>
                  <w:rStyle w:val="Hyperlink"/>
                  <w:sz w:val="13"/>
                  <w:szCs w:val="13"/>
                </w:rPr>
                <w:t>6</w:t>
              </w:r>
            </w:hyperlink>
          </w:p>
        </w:tc>
        <w:tc>
          <w:tcPr>
            <w:tcW w:w="429" w:type="dxa"/>
            <w:tcBorders>
              <w:bottom w:val="single" w:sz="4" w:space="0" w:color="auto"/>
            </w:tcBorders>
            <w:shd w:val="clear" w:color="auto" w:fill="FABF8F"/>
            <w:vAlign w:val="center"/>
          </w:tcPr>
          <w:p w:rsidR="00CC19FC" w:rsidRPr="003410C7" w:rsidRDefault="00CC19FC" w:rsidP="004000C7">
            <w:pPr>
              <w:pStyle w:val="TableText"/>
              <w:widowControl w:val="0"/>
              <w:rPr>
                <w:rFonts w:ascii="Tahoma" w:hAnsi="Tahoma" w:cs="Tahoma"/>
                <w:sz w:val="13"/>
              </w:rPr>
            </w:pPr>
            <w:r w:rsidRPr="003410C7">
              <w:rPr>
                <w:rFonts w:ascii="Tahoma" w:hAnsi="Tahoma" w:cs="Tahoma"/>
                <w:sz w:val="13"/>
              </w:rPr>
              <w:t>09/10</w:t>
            </w:r>
          </w:p>
        </w:tc>
        <w:tc>
          <w:tcPr>
            <w:tcW w:w="429" w:type="dxa"/>
            <w:tcBorders>
              <w:bottom w:val="single" w:sz="4" w:space="0" w:color="auto"/>
              <w:right w:val="single" w:sz="18" w:space="0" w:color="auto"/>
            </w:tcBorders>
            <w:shd w:val="clear" w:color="auto" w:fill="FABF8F"/>
            <w:vAlign w:val="center"/>
          </w:tcPr>
          <w:p w:rsidR="00CC19FC" w:rsidRPr="003410C7" w:rsidRDefault="00CC19FC" w:rsidP="004B3534">
            <w:pPr>
              <w:pStyle w:val="TableText"/>
              <w:widowControl w:val="0"/>
              <w:rPr>
                <w:rFonts w:ascii="Tahoma" w:hAnsi="Tahoma" w:cs="Tahoma"/>
                <w:sz w:val="13"/>
              </w:rPr>
            </w:pPr>
            <w:r w:rsidRPr="003410C7">
              <w:rPr>
                <w:rFonts w:ascii="Tahoma" w:hAnsi="Tahoma" w:cs="Tahoma"/>
                <w:sz w:val="13"/>
              </w:rPr>
              <w:t>DT</w:t>
            </w:r>
          </w:p>
        </w:tc>
        <w:tc>
          <w:tcPr>
            <w:tcW w:w="429" w:type="dxa"/>
            <w:tcBorders>
              <w:left w:val="single" w:sz="18" w:space="0" w:color="auto"/>
              <w:bottom w:val="single" w:sz="4" w:space="0" w:color="auto"/>
            </w:tcBorders>
            <w:shd w:val="clear" w:color="auto" w:fill="FABF8F"/>
            <w:vAlign w:val="center"/>
          </w:tcPr>
          <w:p w:rsidR="00CC19FC" w:rsidRPr="003410C7" w:rsidRDefault="00CC19FC" w:rsidP="004B3534">
            <w:pPr>
              <w:pStyle w:val="TableText"/>
              <w:widowControl w:val="0"/>
              <w:rPr>
                <w:rFonts w:ascii="Tahoma" w:hAnsi="Tahoma" w:cs="Tahoma"/>
                <w:sz w:val="13"/>
              </w:rPr>
            </w:pPr>
            <w:r w:rsidRPr="003410C7">
              <w:rPr>
                <w:rFonts w:ascii="Tahoma" w:hAnsi="Tahoma" w:cs="Tahoma"/>
                <w:sz w:val="13"/>
              </w:rPr>
              <w:t>2</w:t>
            </w:r>
          </w:p>
        </w:tc>
        <w:tc>
          <w:tcPr>
            <w:tcW w:w="429" w:type="dxa"/>
            <w:tcBorders>
              <w:bottom w:val="single" w:sz="4" w:space="0" w:color="auto"/>
            </w:tcBorders>
            <w:shd w:val="clear" w:color="auto" w:fill="FABF8F"/>
            <w:vAlign w:val="center"/>
          </w:tcPr>
          <w:p w:rsidR="00CC19FC" w:rsidRPr="003410C7" w:rsidRDefault="00CC19FC" w:rsidP="004B3534">
            <w:pPr>
              <w:pStyle w:val="TableText"/>
              <w:widowControl w:val="0"/>
              <w:rPr>
                <w:rFonts w:ascii="Tahoma" w:hAnsi="Tahoma" w:cs="Tahoma"/>
                <w:sz w:val="13"/>
              </w:rPr>
            </w:pPr>
            <w:r w:rsidRPr="003410C7">
              <w:rPr>
                <w:rFonts w:ascii="Tahoma" w:hAnsi="Tahoma" w:cs="Tahoma"/>
                <w:sz w:val="13"/>
              </w:rPr>
              <w:t>5</w:t>
            </w:r>
          </w:p>
        </w:tc>
        <w:tc>
          <w:tcPr>
            <w:tcW w:w="429" w:type="dxa"/>
            <w:tcBorders>
              <w:bottom w:val="single" w:sz="4" w:space="0" w:color="auto"/>
            </w:tcBorders>
            <w:shd w:val="clear" w:color="auto" w:fill="FABF8F"/>
            <w:vAlign w:val="center"/>
          </w:tcPr>
          <w:p w:rsidR="00CC19FC" w:rsidRPr="003410C7" w:rsidRDefault="00CC19FC" w:rsidP="004B3534">
            <w:pPr>
              <w:pStyle w:val="TableText"/>
              <w:widowControl w:val="0"/>
              <w:rPr>
                <w:rFonts w:ascii="Tahoma" w:hAnsi="Tahoma" w:cs="Tahoma"/>
                <w:sz w:val="13"/>
              </w:rPr>
            </w:pPr>
            <w:r w:rsidRPr="003410C7">
              <w:rPr>
                <w:rFonts w:ascii="Tahoma" w:hAnsi="Tahoma" w:cs="Tahoma"/>
                <w:sz w:val="13"/>
              </w:rPr>
              <w:t>4</w:t>
            </w:r>
          </w:p>
        </w:tc>
        <w:tc>
          <w:tcPr>
            <w:tcW w:w="429" w:type="dxa"/>
            <w:tcBorders>
              <w:bottom w:val="single" w:sz="4" w:space="0" w:color="auto"/>
            </w:tcBorders>
            <w:shd w:val="clear" w:color="auto" w:fill="FABF8F"/>
            <w:vAlign w:val="center"/>
          </w:tcPr>
          <w:p w:rsidR="00CC19FC" w:rsidRPr="003410C7" w:rsidRDefault="00CC19FC" w:rsidP="004B3534">
            <w:pPr>
              <w:pStyle w:val="TableText"/>
              <w:widowControl w:val="0"/>
              <w:rPr>
                <w:rFonts w:ascii="Tahoma" w:hAnsi="Tahoma" w:cs="Tahoma"/>
                <w:sz w:val="13"/>
              </w:rPr>
            </w:pPr>
            <w:r w:rsidRPr="003410C7">
              <w:rPr>
                <w:rFonts w:ascii="Tahoma" w:hAnsi="Tahoma" w:cs="Tahoma"/>
                <w:sz w:val="13"/>
              </w:rPr>
              <w:t>3</w:t>
            </w:r>
          </w:p>
        </w:tc>
        <w:tc>
          <w:tcPr>
            <w:tcW w:w="429" w:type="dxa"/>
            <w:tcBorders>
              <w:bottom w:val="single" w:sz="4" w:space="0" w:color="auto"/>
            </w:tcBorders>
            <w:shd w:val="clear" w:color="auto" w:fill="FABF8F"/>
            <w:vAlign w:val="center"/>
          </w:tcPr>
          <w:p w:rsidR="00CC19FC" w:rsidRPr="003410C7" w:rsidRDefault="00CC19FC" w:rsidP="004B3534">
            <w:pPr>
              <w:pStyle w:val="TableText"/>
              <w:widowControl w:val="0"/>
              <w:rPr>
                <w:rFonts w:ascii="Tahoma" w:hAnsi="Tahoma" w:cs="Tahoma"/>
                <w:sz w:val="13"/>
              </w:rPr>
            </w:pPr>
            <w:r w:rsidRPr="003410C7">
              <w:rPr>
                <w:rFonts w:ascii="Tahoma" w:hAnsi="Tahoma" w:cs="Tahoma"/>
                <w:sz w:val="13"/>
              </w:rPr>
              <w:t>3</w:t>
            </w:r>
          </w:p>
        </w:tc>
        <w:tc>
          <w:tcPr>
            <w:tcW w:w="429" w:type="dxa"/>
            <w:tcBorders>
              <w:bottom w:val="single" w:sz="4" w:space="0" w:color="auto"/>
            </w:tcBorders>
            <w:shd w:val="clear" w:color="auto" w:fill="FABF8F"/>
            <w:vAlign w:val="center"/>
          </w:tcPr>
          <w:p w:rsidR="00CC19FC" w:rsidRPr="003410C7" w:rsidRDefault="00CC19FC" w:rsidP="004B3534">
            <w:pPr>
              <w:pStyle w:val="TableText"/>
              <w:widowControl w:val="0"/>
              <w:rPr>
                <w:rFonts w:ascii="Tahoma" w:hAnsi="Tahoma" w:cs="Tahoma"/>
                <w:sz w:val="13"/>
              </w:rPr>
            </w:pPr>
            <w:r w:rsidRPr="003410C7">
              <w:rPr>
                <w:rFonts w:ascii="Tahoma" w:hAnsi="Tahoma" w:cs="Tahoma"/>
                <w:sz w:val="13"/>
              </w:rPr>
              <w:t>2</w:t>
            </w:r>
          </w:p>
        </w:tc>
        <w:tc>
          <w:tcPr>
            <w:tcW w:w="429" w:type="dxa"/>
            <w:tcBorders>
              <w:bottom w:val="single" w:sz="4" w:space="0" w:color="auto"/>
              <w:right w:val="single" w:sz="18" w:space="0" w:color="auto"/>
            </w:tcBorders>
            <w:shd w:val="clear" w:color="auto" w:fill="FABF8F"/>
            <w:vAlign w:val="center"/>
          </w:tcPr>
          <w:p w:rsidR="00CC19FC" w:rsidRPr="003410C7" w:rsidRDefault="00CC19FC" w:rsidP="004B3534">
            <w:pPr>
              <w:pStyle w:val="TableText"/>
              <w:widowControl w:val="0"/>
              <w:rPr>
                <w:rFonts w:ascii="Tahoma" w:hAnsi="Tahoma" w:cs="Tahoma"/>
                <w:sz w:val="13"/>
              </w:rPr>
            </w:pPr>
            <w:r w:rsidRPr="003410C7">
              <w:rPr>
                <w:rFonts w:ascii="Tahoma" w:hAnsi="Tahoma" w:cs="Tahoma"/>
                <w:sz w:val="13"/>
              </w:rPr>
              <w:t>1</w:t>
            </w:r>
          </w:p>
        </w:tc>
        <w:tc>
          <w:tcPr>
            <w:tcW w:w="429" w:type="dxa"/>
            <w:tcBorders>
              <w:left w:val="single" w:sz="18" w:space="0" w:color="auto"/>
              <w:bottom w:val="single" w:sz="4" w:space="0" w:color="auto"/>
            </w:tcBorders>
            <w:shd w:val="clear" w:color="auto" w:fill="FABF8F"/>
            <w:vAlign w:val="center"/>
          </w:tcPr>
          <w:p w:rsidR="00CC19FC" w:rsidRPr="003410C7" w:rsidRDefault="00CC19FC" w:rsidP="004B3534">
            <w:pPr>
              <w:pStyle w:val="TableText"/>
              <w:widowControl w:val="0"/>
              <w:rPr>
                <w:rFonts w:ascii="Tahoma" w:hAnsi="Tahoma" w:cs="Tahoma"/>
                <w:sz w:val="13"/>
              </w:rPr>
            </w:pPr>
            <w:r w:rsidRPr="003410C7">
              <w:rPr>
                <w:rFonts w:ascii="Tahoma" w:hAnsi="Tahoma" w:cs="Tahoma"/>
                <w:sz w:val="13"/>
              </w:rPr>
              <w:t>2</w:t>
            </w:r>
          </w:p>
        </w:tc>
        <w:tc>
          <w:tcPr>
            <w:tcW w:w="429" w:type="dxa"/>
            <w:tcBorders>
              <w:bottom w:val="single" w:sz="4" w:space="0" w:color="auto"/>
            </w:tcBorders>
            <w:shd w:val="clear" w:color="auto" w:fill="FABF8F"/>
            <w:vAlign w:val="center"/>
          </w:tcPr>
          <w:p w:rsidR="00CC19FC" w:rsidRPr="003410C7" w:rsidRDefault="00CC19FC" w:rsidP="004B3534">
            <w:pPr>
              <w:pStyle w:val="TableText"/>
              <w:widowControl w:val="0"/>
              <w:rPr>
                <w:rFonts w:ascii="Tahoma" w:hAnsi="Tahoma" w:cs="Tahoma"/>
                <w:sz w:val="13"/>
              </w:rPr>
            </w:pPr>
            <w:r w:rsidRPr="003410C7">
              <w:rPr>
                <w:rFonts w:ascii="Tahoma" w:hAnsi="Tahoma" w:cs="Tahoma"/>
                <w:sz w:val="13"/>
              </w:rPr>
              <w:t>4</w:t>
            </w:r>
          </w:p>
        </w:tc>
        <w:tc>
          <w:tcPr>
            <w:tcW w:w="442" w:type="dxa"/>
            <w:tcBorders>
              <w:bottom w:val="single" w:sz="4" w:space="0" w:color="auto"/>
              <w:right w:val="single" w:sz="18" w:space="0" w:color="auto"/>
            </w:tcBorders>
            <w:shd w:val="clear" w:color="auto" w:fill="FABF8F"/>
            <w:vAlign w:val="center"/>
          </w:tcPr>
          <w:p w:rsidR="00CC19FC" w:rsidRPr="003410C7" w:rsidRDefault="00CC19FC" w:rsidP="004B3534">
            <w:pPr>
              <w:pStyle w:val="TableText"/>
              <w:widowControl w:val="0"/>
              <w:rPr>
                <w:rFonts w:ascii="Tahoma" w:hAnsi="Tahoma" w:cs="Tahoma"/>
                <w:sz w:val="13"/>
              </w:rPr>
            </w:pPr>
            <w:r w:rsidRPr="003410C7">
              <w:rPr>
                <w:rFonts w:ascii="Tahoma" w:hAnsi="Tahoma" w:cs="Tahoma"/>
                <w:sz w:val="13"/>
              </w:rPr>
              <w:t>2</w:t>
            </w:r>
          </w:p>
        </w:tc>
        <w:tc>
          <w:tcPr>
            <w:tcW w:w="495" w:type="dxa"/>
            <w:tcBorders>
              <w:left w:val="single" w:sz="18" w:space="0" w:color="auto"/>
              <w:bottom w:val="single" w:sz="4" w:space="0" w:color="auto"/>
            </w:tcBorders>
            <w:shd w:val="clear" w:color="auto" w:fill="FABF8F"/>
            <w:vAlign w:val="center"/>
          </w:tcPr>
          <w:p w:rsidR="00CC19FC" w:rsidRPr="003410C7" w:rsidRDefault="00CC19FC" w:rsidP="004B3534">
            <w:pPr>
              <w:pStyle w:val="TableText"/>
              <w:widowControl w:val="0"/>
              <w:rPr>
                <w:rFonts w:ascii="Tahoma" w:hAnsi="Tahoma" w:cs="Tahoma"/>
                <w:sz w:val="13"/>
              </w:rPr>
            </w:pPr>
            <w:r w:rsidRPr="003410C7">
              <w:rPr>
                <w:rFonts w:ascii="Tahoma" w:hAnsi="Tahoma" w:cs="Tahoma"/>
                <w:sz w:val="13"/>
              </w:rPr>
              <w:t>1</w:t>
            </w:r>
          </w:p>
        </w:tc>
        <w:tc>
          <w:tcPr>
            <w:tcW w:w="459" w:type="dxa"/>
            <w:tcBorders>
              <w:bottom w:val="single" w:sz="4" w:space="0" w:color="auto"/>
              <w:right w:val="single" w:sz="18" w:space="0" w:color="auto"/>
            </w:tcBorders>
            <w:shd w:val="clear" w:color="auto" w:fill="FABF8F"/>
            <w:vAlign w:val="center"/>
          </w:tcPr>
          <w:p w:rsidR="00CC19FC" w:rsidRPr="003410C7" w:rsidRDefault="00CC19FC" w:rsidP="004B3534">
            <w:pPr>
              <w:pStyle w:val="TableText"/>
              <w:widowControl w:val="0"/>
              <w:rPr>
                <w:rFonts w:ascii="Tahoma" w:hAnsi="Tahoma" w:cs="Tahoma"/>
                <w:sz w:val="13"/>
              </w:rPr>
            </w:pPr>
          </w:p>
        </w:tc>
        <w:tc>
          <w:tcPr>
            <w:tcW w:w="360" w:type="dxa"/>
            <w:tcBorders>
              <w:left w:val="single" w:sz="18" w:space="0" w:color="auto"/>
              <w:bottom w:val="single" w:sz="4" w:space="0" w:color="auto"/>
              <w:right w:val="single" w:sz="18" w:space="0" w:color="auto"/>
            </w:tcBorders>
            <w:shd w:val="clear" w:color="auto" w:fill="FABF8F"/>
            <w:vAlign w:val="center"/>
          </w:tcPr>
          <w:p w:rsidR="00CC19FC" w:rsidRPr="003410C7" w:rsidRDefault="00CC19FC" w:rsidP="004B3534">
            <w:pPr>
              <w:pStyle w:val="TableText"/>
              <w:widowControl w:val="0"/>
              <w:rPr>
                <w:rFonts w:ascii="Tahoma" w:hAnsi="Tahoma" w:cs="Tahoma"/>
                <w:sz w:val="13"/>
              </w:rPr>
            </w:pPr>
            <w:r w:rsidRPr="003410C7">
              <w:rPr>
                <w:rFonts w:ascii="Tahoma" w:hAnsi="Tahoma" w:cs="Tahoma"/>
                <w:sz w:val="13"/>
              </w:rPr>
              <w:t>P</w:t>
            </w:r>
          </w:p>
        </w:tc>
        <w:tc>
          <w:tcPr>
            <w:tcW w:w="474" w:type="dxa"/>
            <w:tcBorders>
              <w:bottom w:val="single" w:sz="4" w:space="0" w:color="auto"/>
            </w:tcBorders>
            <w:shd w:val="clear" w:color="auto" w:fill="FABF8F"/>
            <w:vAlign w:val="center"/>
          </w:tcPr>
          <w:p w:rsidR="00CC19FC" w:rsidRPr="003410C7" w:rsidRDefault="00CC19FC" w:rsidP="00080B33">
            <w:pPr>
              <w:pStyle w:val="TableText"/>
              <w:widowControl w:val="0"/>
              <w:rPr>
                <w:rFonts w:ascii="Tahoma" w:hAnsi="Tahoma" w:cs="Tahoma"/>
                <w:sz w:val="13"/>
              </w:rPr>
            </w:pPr>
            <w:r w:rsidRPr="003410C7">
              <w:rPr>
                <w:rFonts w:ascii="Tahoma" w:hAnsi="Tahoma" w:cs="Tahoma"/>
                <w:sz w:val="13"/>
              </w:rPr>
              <w:t>E</w:t>
            </w:r>
          </w:p>
        </w:tc>
        <w:tc>
          <w:tcPr>
            <w:tcW w:w="514" w:type="dxa"/>
            <w:tcBorders>
              <w:bottom w:val="single" w:sz="4" w:space="0" w:color="auto"/>
            </w:tcBorders>
            <w:shd w:val="clear" w:color="auto" w:fill="FABF8F"/>
            <w:vAlign w:val="center"/>
          </w:tcPr>
          <w:p w:rsidR="00CC19FC" w:rsidRPr="003410C7" w:rsidRDefault="00CC19FC" w:rsidP="004B3534">
            <w:pPr>
              <w:pStyle w:val="TableText"/>
              <w:widowControl w:val="0"/>
              <w:rPr>
                <w:rFonts w:ascii="Tahoma" w:hAnsi="Tahoma" w:cs="Tahoma"/>
                <w:sz w:val="13"/>
              </w:rPr>
            </w:pPr>
          </w:p>
        </w:tc>
      </w:tr>
      <w:tr w:rsidR="00B33D0E" w:rsidRPr="003410C7" w:rsidTr="002A074D">
        <w:trPr>
          <w:cantSplit/>
          <w:trHeight w:val="287"/>
        </w:trPr>
        <w:tc>
          <w:tcPr>
            <w:tcW w:w="2638" w:type="dxa"/>
            <w:tcBorders>
              <w:bottom w:val="single" w:sz="4" w:space="0" w:color="auto"/>
            </w:tcBorders>
            <w:shd w:val="clear" w:color="auto" w:fill="auto"/>
            <w:vAlign w:val="center"/>
          </w:tcPr>
          <w:p w:rsidR="00CC19FC" w:rsidRPr="003410C7" w:rsidRDefault="00CC19FC" w:rsidP="003410C7">
            <w:pPr>
              <w:pStyle w:val="Heading2"/>
              <w:spacing w:beforeLines="20" w:before="48" w:afterLines="20" w:after="48"/>
              <w:ind w:left="0"/>
              <w:rPr>
                <w:rFonts w:ascii="Tahoma" w:hAnsi="Tahoma" w:cs="Tahoma"/>
                <w:b w:val="0"/>
                <w:sz w:val="14"/>
              </w:rPr>
            </w:pPr>
            <w:bookmarkStart w:id="66" w:name="_Office_Multi-Language_Pack"/>
            <w:bookmarkStart w:id="67" w:name="_Toc336337866"/>
            <w:bookmarkStart w:id="68" w:name="_Toc352234470"/>
            <w:bookmarkEnd w:id="66"/>
            <w:r w:rsidRPr="003410C7">
              <w:rPr>
                <w:rFonts w:ascii="Tahoma" w:hAnsi="Tahoma" w:cs="Tahoma"/>
                <w:b w:val="0"/>
                <w:sz w:val="14"/>
              </w:rPr>
              <w:t xml:space="preserve">Office Multi-Language Pack </w:t>
            </w:r>
            <w:bookmarkEnd w:id="67"/>
            <w:r w:rsidRPr="003410C7">
              <w:rPr>
                <w:rFonts w:ascii="Tahoma" w:hAnsi="Tahoma" w:cs="Tahoma"/>
                <w:b w:val="0"/>
                <w:sz w:val="14"/>
              </w:rPr>
              <w:t>2013</w:t>
            </w:r>
            <w:bookmarkEnd w:id="68"/>
          </w:p>
        </w:tc>
        <w:tc>
          <w:tcPr>
            <w:tcW w:w="429" w:type="dxa"/>
            <w:tcBorders>
              <w:bottom w:val="single" w:sz="4" w:space="0" w:color="auto"/>
            </w:tcBorders>
            <w:shd w:val="clear" w:color="auto" w:fill="auto"/>
            <w:vAlign w:val="center"/>
          </w:tcPr>
          <w:p w:rsidR="00CC19FC" w:rsidRPr="009F17FF" w:rsidRDefault="00FC1A4D" w:rsidP="009832D3">
            <w:pPr>
              <w:pStyle w:val="TableText"/>
              <w:widowControl w:val="0"/>
              <w:rPr>
                <w:rStyle w:val="EndnoteReference"/>
                <w:color w:val="0000FF"/>
                <w:sz w:val="13"/>
                <w:szCs w:val="13"/>
                <w:u w:val="single"/>
              </w:rPr>
            </w:pPr>
            <w:hyperlink w:anchor="_87_Office_Multi-Language" w:history="1">
              <w:r w:rsidR="000D77F6" w:rsidRPr="009F17FF">
                <w:rPr>
                  <w:rStyle w:val="Hyperlink"/>
                  <w:sz w:val="13"/>
                  <w:szCs w:val="13"/>
                </w:rPr>
                <w:t>7</w:t>
              </w:r>
            </w:hyperlink>
          </w:p>
        </w:tc>
        <w:tc>
          <w:tcPr>
            <w:tcW w:w="429" w:type="dxa"/>
            <w:tcBorders>
              <w:bottom w:val="single" w:sz="4" w:space="0" w:color="auto"/>
            </w:tcBorders>
            <w:shd w:val="clear" w:color="auto" w:fill="auto"/>
            <w:vAlign w:val="center"/>
          </w:tcPr>
          <w:p w:rsidR="00CC19FC" w:rsidRPr="003410C7" w:rsidRDefault="00CC19FC" w:rsidP="004000C7">
            <w:pPr>
              <w:pStyle w:val="TableText"/>
              <w:widowControl w:val="0"/>
              <w:rPr>
                <w:rFonts w:ascii="Tahoma" w:hAnsi="Tahoma" w:cs="Tahoma"/>
                <w:sz w:val="13"/>
              </w:rPr>
            </w:pPr>
            <w:r w:rsidRPr="003410C7">
              <w:rPr>
                <w:rFonts w:ascii="Tahoma" w:hAnsi="Tahoma" w:cs="Tahoma"/>
                <w:sz w:val="13"/>
              </w:rPr>
              <w:t>10/12</w:t>
            </w:r>
          </w:p>
        </w:tc>
        <w:tc>
          <w:tcPr>
            <w:tcW w:w="429" w:type="dxa"/>
            <w:tcBorders>
              <w:bottom w:val="single" w:sz="4" w:space="0" w:color="auto"/>
              <w:right w:val="single" w:sz="18" w:space="0" w:color="auto"/>
            </w:tcBorders>
            <w:shd w:val="clear" w:color="auto" w:fill="auto"/>
            <w:vAlign w:val="center"/>
          </w:tcPr>
          <w:p w:rsidR="00CC19FC" w:rsidRPr="003410C7" w:rsidRDefault="00CC19FC" w:rsidP="004B3534">
            <w:pPr>
              <w:pStyle w:val="TableText"/>
              <w:widowControl w:val="0"/>
              <w:rPr>
                <w:rFonts w:ascii="Tahoma" w:hAnsi="Tahoma" w:cs="Tahoma"/>
                <w:sz w:val="13"/>
              </w:rPr>
            </w:pPr>
          </w:p>
        </w:tc>
        <w:tc>
          <w:tcPr>
            <w:tcW w:w="429" w:type="dxa"/>
            <w:tcBorders>
              <w:left w:val="single" w:sz="18" w:space="0" w:color="auto"/>
              <w:bottom w:val="single" w:sz="4" w:space="0" w:color="auto"/>
            </w:tcBorders>
            <w:shd w:val="clear" w:color="auto" w:fill="auto"/>
            <w:vAlign w:val="center"/>
          </w:tcPr>
          <w:p w:rsidR="00CC19FC" w:rsidRPr="003410C7" w:rsidRDefault="00CC19FC" w:rsidP="004B3534">
            <w:pPr>
              <w:pStyle w:val="TableText"/>
              <w:widowControl w:val="0"/>
              <w:rPr>
                <w:rFonts w:ascii="Tahoma" w:hAnsi="Tahoma" w:cs="Tahoma"/>
                <w:sz w:val="13"/>
              </w:rPr>
            </w:pPr>
            <w:r w:rsidRPr="003410C7">
              <w:rPr>
                <w:rFonts w:ascii="Tahoma" w:hAnsi="Tahoma" w:cs="Tahoma"/>
                <w:sz w:val="13"/>
              </w:rPr>
              <w:t>1</w:t>
            </w:r>
          </w:p>
        </w:tc>
        <w:tc>
          <w:tcPr>
            <w:tcW w:w="429" w:type="dxa"/>
            <w:tcBorders>
              <w:bottom w:val="single" w:sz="4" w:space="0" w:color="auto"/>
            </w:tcBorders>
            <w:shd w:val="clear" w:color="auto" w:fill="auto"/>
            <w:vAlign w:val="center"/>
          </w:tcPr>
          <w:p w:rsidR="00CC19FC" w:rsidRPr="003410C7" w:rsidRDefault="00CC19FC" w:rsidP="004B3534">
            <w:pPr>
              <w:pStyle w:val="TableText"/>
              <w:widowControl w:val="0"/>
              <w:rPr>
                <w:rFonts w:ascii="Tahoma" w:hAnsi="Tahoma" w:cs="Tahoma"/>
                <w:sz w:val="13"/>
              </w:rPr>
            </w:pPr>
            <w:r w:rsidRPr="003410C7">
              <w:rPr>
                <w:rFonts w:ascii="Tahoma" w:hAnsi="Tahoma" w:cs="Tahoma"/>
                <w:sz w:val="13"/>
              </w:rPr>
              <w:t>3</w:t>
            </w:r>
          </w:p>
        </w:tc>
        <w:tc>
          <w:tcPr>
            <w:tcW w:w="429" w:type="dxa"/>
            <w:tcBorders>
              <w:bottom w:val="single" w:sz="4" w:space="0" w:color="auto"/>
            </w:tcBorders>
            <w:shd w:val="clear" w:color="auto" w:fill="auto"/>
            <w:vAlign w:val="center"/>
          </w:tcPr>
          <w:p w:rsidR="00CC19FC" w:rsidRPr="003410C7" w:rsidRDefault="00CC19FC" w:rsidP="004B3534">
            <w:pPr>
              <w:pStyle w:val="TableText"/>
              <w:widowControl w:val="0"/>
              <w:rPr>
                <w:rFonts w:ascii="Tahoma" w:hAnsi="Tahoma" w:cs="Tahoma"/>
                <w:sz w:val="13"/>
              </w:rPr>
            </w:pPr>
            <w:r w:rsidRPr="003410C7">
              <w:rPr>
                <w:rFonts w:ascii="Tahoma" w:hAnsi="Tahoma" w:cs="Tahoma"/>
                <w:sz w:val="13"/>
              </w:rPr>
              <w:t>2</w:t>
            </w:r>
          </w:p>
        </w:tc>
        <w:tc>
          <w:tcPr>
            <w:tcW w:w="429" w:type="dxa"/>
            <w:tcBorders>
              <w:bottom w:val="single" w:sz="4" w:space="0" w:color="auto"/>
            </w:tcBorders>
            <w:shd w:val="clear" w:color="auto" w:fill="auto"/>
            <w:vAlign w:val="center"/>
          </w:tcPr>
          <w:p w:rsidR="00CC19FC" w:rsidRPr="003410C7" w:rsidRDefault="00CC19FC" w:rsidP="004B3534">
            <w:pPr>
              <w:pStyle w:val="TableText"/>
              <w:widowControl w:val="0"/>
              <w:rPr>
                <w:rFonts w:ascii="Tahoma" w:hAnsi="Tahoma" w:cs="Tahoma"/>
                <w:sz w:val="13"/>
              </w:rPr>
            </w:pPr>
            <w:r w:rsidRPr="003410C7">
              <w:rPr>
                <w:rFonts w:ascii="Tahoma" w:hAnsi="Tahoma" w:cs="Tahoma"/>
                <w:sz w:val="13"/>
              </w:rPr>
              <w:t>2</w:t>
            </w:r>
          </w:p>
        </w:tc>
        <w:tc>
          <w:tcPr>
            <w:tcW w:w="429" w:type="dxa"/>
            <w:tcBorders>
              <w:bottom w:val="single" w:sz="4" w:space="0" w:color="auto"/>
            </w:tcBorders>
            <w:shd w:val="clear" w:color="auto" w:fill="auto"/>
            <w:vAlign w:val="center"/>
          </w:tcPr>
          <w:p w:rsidR="00CC19FC" w:rsidRPr="003410C7" w:rsidRDefault="00CC19FC" w:rsidP="004B3534">
            <w:pPr>
              <w:pStyle w:val="TableText"/>
              <w:widowControl w:val="0"/>
              <w:rPr>
                <w:rFonts w:ascii="Tahoma" w:hAnsi="Tahoma" w:cs="Tahoma"/>
                <w:sz w:val="13"/>
              </w:rPr>
            </w:pPr>
            <w:r w:rsidRPr="003410C7">
              <w:rPr>
                <w:rFonts w:ascii="Tahoma" w:hAnsi="Tahoma" w:cs="Tahoma"/>
                <w:sz w:val="13"/>
              </w:rPr>
              <w:t>2</w:t>
            </w:r>
          </w:p>
        </w:tc>
        <w:tc>
          <w:tcPr>
            <w:tcW w:w="429" w:type="dxa"/>
            <w:tcBorders>
              <w:bottom w:val="single" w:sz="4" w:space="0" w:color="auto"/>
            </w:tcBorders>
            <w:shd w:val="clear" w:color="auto" w:fill="auto"/>
            <w:vAlign w:val="center"/>
          </w:tcPr>
          <w:p w:rsidR="00CC19FC" w:rsidRPr="003410C7" w:rsidRDefault="00CC19FC" w:rsidP="004B3534">
            <w:pPr>
              <w:pStyle w:val="TableText"/>
              <w:widowControl w:val="0"/>
              <w:rPr>
                <w:rFonts w:ascii="Tahoma" w:hAnsi="Tahoma" w:cs="Tahoma"/>
                <w:sz w:val="13"/>
              </w:rPr>
            </w:pPr>
            <w:r w:rsidRPr="003410C7">
              <w:rPr>
                <w:rFonts w:ascii="Tahoma" w:hAnsi="Tahoma" w:cs="Tahoma"/>
                <w:sz w:val="13"/>
              </w:rPr>
              <w:t>1</w:t>
            </w:r>
          </w:p>
        </w:tc>
        <w:tc>
          <w:tcPr>
            <w:tcW w:w="429" w:type="dxa"/>
            <w:tcBorders>
              <w:bottom w:val="single" w:sz="4" w:space="0" w:color="auto"/>
              <w:right w:val="single" w:sz="18" w:space="0" w:color="auto"/>
            </w:tcBorders>
            <w:shd w:val="clear" w:color="auto" w:fill="auto"/>
            <w:vAlign w:val="center"/>
          </w:tcPr>
          <w:p w:rsidR="00CC19FC" w:rsidRPr="003410C7" w:rsidRDefault="00CC19FC" w:rsidP="004B3534">
            <w:pPr>
              <w:pStyle w:val="TableText"/>
              <w:widowControl w:val="0"/>
              <w:rPr>
                <w:rFonts w:ascii="Tahoma" w:hAnsi="Tahoma" w:cs="Tahoma"/>
                <w:sz w:val="13"/>
              </w:rPr>
            </w:pPr>
            <w:r w:rsidRPr="003410C7">
              <w:rPr>
                <w:rFonts w:ascii="Tahoma" w:hAnsi="Tahoma" w:cs="Tahoma"/>
                <w:sz w:val="13"/>
              </w:rPr>
              <w:t>1</w:t>
            </w:r>
          </w:p>
        </w:tc>
        <w:tc>
          <w:tcPr>
            <w:tcW w:w="429" w:type="dxa"/>
            <w:tcBorders>
              <w:left w:val="single" w:sz="18" w:space="0" w:color="auto"/>
              <w:bottom w:val="single" w:sz="4" w:space="0" w:color="auto"/>
            </w:tcBorders>
            <w:shd w:val="clear" w:color="auto" w:fill="auto"/>
            <w:vAlign w:val="center"/>
          </w:tcPr>
          <w:p w:rsidR="00CC19FC" w:rsidRPr="003410C7" w:rsidRDefault="00CC19FC" w:rsidP="004B3534">
            <w:pPr>
              <w:pStyle w:val="TableText"/>
              <w:widowControl w:val="0"/>
              <w:rPr>
                <w:rFonts w:ascii="Tahoma" w:hAnsi="Tahoma" w:cs="Tahoma"/>
                <w:sz w:val="13"/>
              </w:rPr>
            </w:pPr>
            <w:r w:rsidRPr="003410C7">
              <w:rPr>
                <w:rFonts w:ascii="Tahoma" w:hAnsi="Tahoma" w:cs="Tahoma"/>
                <w:sz w:val="13"/>
              </w:rPr>
              <w:t>1</w:t>
            </w:r>
          </w:p>
        </w:tc>
        <w:tc>
          <w:tcPr>
            <w:tcW w:w="429" w:type="dxa"/>
            <w:tcBorders>
              <w:bottom w:val="single" w:sz="4" w:space="0" w:color="auto"/>
            </w:tcBorders>
            <w:shd w:val="clear" w:color="auto" w:fill="auto"/>
            <w:vAlign w:val="center"/>
          </w:tcPr>
          <w:p w:rsidR="00CC19FC" w:rsidRPr="003410C7" w:rsidRDefault="00CC19FC" w:rsidP="004B3534">
            <w:pPr>
              <w:pStyle w:val="TableText"/>
              <w:widowControl w:val="0"/>
              <w:rPr>
                <w:rFonts w:ascii="Tahoma" w:hAnsi="Tahoma" w:cs="Tahoma"/>
                <w:sz w:val="13"/>
              </w:rPr>
            </w:pPr>
            <w:r w:rsidRPr="003410C7">
              <w:rPr>
                <w:rFonts w:ascii="Tahoma" w:hAnsi="Tahoma" w:cs="Tahoma"/>
                <w:sz w:val="13"/>
              </w:rPr>
              <w:t>2</w:t>
            </w:r>
          </w:p>
        </w:tc>
        <w:tc>
          <w:tcPr>
            <w:tcW w:w="442" w:type="dxa"/>
            <w:tcBorders>
              <w:bottom w:val="single" w:sz="4" w:space="0" w:color="auto"/>
              <w:right w:val="single" w:sz="18" w:space="0" w:color="auto"/>
            </w:tcBorders>
            <w:shd w:val="clear" w:color="auto" w:fill="auto"/>
            <w:vAlign w:val="center"/>
          </w:tcPr>
          <w:p w:rsidR="00CC19FC" w:rsidRPr="003410C7" w:rsidRDefault="00CC19FC" w:rsidP="004B3534">
            <w:pPr>
              <w:pStyle w:val="TableText"/>
              <w:widowControl w:val="0"/>
              <w:rPr>
                <w:rFonts w:ascii="Tahoma" w:hAnsi="Tahoma" w:cs="Tahoma"/>
                <w:sz w:val="13"/>
              </w:rPr>
            </w:pPr>
            <w:r w:rsidRPr="003410C7">
              <w:rPr>
                <w:rFonts w:ascii="Tahoma" w:hAnsi="Tahoma" w:cs="Tahoma"/>
                <w:sz w:val="13"/>
              </w:rPr>
              <w:t>1</w:t>
            </w:r>
          </w:p>
        </w:tc>
        <w:tc>
          <w:tcPr>
            <w:tcW w:w="495" w:type="dxa"/>
            <w:tcBorders>
              <w:left w:val="single" w:sz="18" w:space="0" w:color="auto"/>
              <w:bottom w:val="single" w:sz="4" w:space="0" w:color="auto"/>
            </w:tcBorders>
            <w:shd w:val="clear" w:color="auto" w:fill="auto"/>
            <w:vAlign w:val="center"/>
          </w:tcPr>
          <w:p w:rsidR="00CC19FC" w:rsidRPr="003410C7" w:rsidRDefault="00CC19FC" w:rsidP="004B3534">
            <w:pPr>
              <w:pStyle w:val="TableText"/>
              <w:widowControl w:val="0"/>
              <w:rPr>
                <w:rFonts w:ascii="Tahoma" w:hAnsi="Tahoma" w:cs="Tahoma"/>
                <w:sz w:val="13"/>
              </w:rPr>
            </w:pPr>
            <w:r w:rsidRPr="003410C7">
              <w:rPr>
                <w:rFonts w:ascii="Tahoma" w:hAnsi="Tahoma" w:cs="Tahoma"/>
                <w:sz w:val="13"/>
              </w:rPr>
              <w:t>1</w:t>
            </w:r>
          </w:p>
        </w:tc>
        <w:tc>
          <w:tcPr>
            <w:tcW w:w="459" w:type="dxa"/>
            <w:tcBorders>
              <w:bottom w:val="single" w:sz="4" w:space="0" w:color="auto"/>
              <w:right w:val="single" w:sz="18" w:space="0" w:color="auto"/>
            </w:tcBorders>
            <w:shd w:val="clear" w:color="auto" w:fill="auto"/>
            <w:vAlign w:val="center"/>
          </w:tcPr>
          <w:p w:rsidR="00CC19FC" w:rsidRPr="003410C7" w:rsidRDefault="00CC19FC" w:rsidP="004B3534">
            <w:pPr>
              <w:pStyle w:val="TableText"/>
              <w:widowControl w:val="0"/>
              <w:rPr>
                <w:rFonts w:ascii="Tahoma" w:hAnsi="Tahoma" w:cs="Tahoma"/>
                <w:sz w:val="13"/>
              </w:rPr>
            </w:pPr>
            <w:r w:rsidRPr="003410C7">
              <w:rPr>
                <w:rFonts w:ascii="Tahoma" w:hAnsi="Tahoma" w:cs="Tahoma"/>
                <w:sz w:val="13"/>
              </w:rPr>
              <w:t>A</w:t>
            </w:r>
          </w:p>
        </w:tc>
        <w:tc>
          <w:tcPr>
            <w:tcW w:w="360" w:type="dxa"/>
            <w:tcBorders>
              <w:left w:val="single" w:sz="18" w:space="0" w:color="auto"/>
              <w:bottom w:val="single" w:sz="4" w:space="0" w:color="auto"/>
              <w:right w:val="single" w:sz="18" w:space="0" w:color="auto"/>
            </w:tcBorders>
            <w:shd w:val="clear" w:color="auto" w:fill="auto"/>
            <w:vAlign w:val="center"/>
          </w:tcPr>
          <w:p w:rsidR="00CC19FC" w:rsidRPr="003410C7" w:rsidRDefault="00CC19FC" w:rsidP="004B3534">
            <w:pPr>
              <w:pStyle w:val="TableText"/>
              <w:widowControl w:val="0"/>
              <w:rPr>
                <w:rFonts w:ascii="Tahoma" w:hAnsi="Tahoma" w:cs="Tahoma"/>
                <w:sz w:val="13"/>
              </w:rPr>
            </w:pPr>
          </w:p>
        </w:tc>
        <w:tc>
          <w:tcPr>
            <w:tcW w:w="474" w:type="dxa"/>
            <w:tcBorders>
              <w:bottom w:val="single" w:sz="4" w:space="0" w:color="auto"/>
            </w:tcBorders>
            <w:shd w:val="clear" w:color="auto" w:fill="auto"/>
            <w:vAlign w:val="center"/>
          </w:tcPr>
          <w:p w:rsidR="00CC19FC" w:rsidRPr="003410C7" w:rsidRDefault="00CC19FC" w:rsidP="00080B33">
            <w:pPr>
              <w:pStyle w:val="TableText"/>
              <w:widowControl w:val="0"/>
              <w:rPr>
                <w:rFonts w:ascii="Tahoma" w:hAnsi="Tahoma" w:cs="Tahoma"/>
                <w:sz w:val="13"/>
              </w:rPr>
            </w:pPr>
            <w:r w:rsidRPr="003410C7">
              <w:rPr>
                <w:rFonts w:ascii="Tahoma" w:hAnsi="Tahoma" w:cs="Tahoma"/>
                <w:sz w:val="13"/>
              </w:rPr>
              <w:t>A</w:t>
            </w:r>
          </w:p>
        </w:tc>
        <w:tc>
          <w:tcPr>
            <w:tcW w:w="514" w:type="dxa"/>
            <w:tcBorders>
              <w:bottom w:val="single" w:sz="4" w:space="0" w:color="auto"/>
            </w:tcBorders>
            <w:shd w:val="clear" w:color="auto" w:fill="auto"/>
            <w:vAlign w:val="center"/>
          </w:tcPr>
          <w:p w:rsidR="00CC19FC" w:rsidRPr="003410C7" w:rsidRDefault="00CC19FC" w:rsidP="004B3534">
            <w:pPr>
              <w:pStyle w:val="TableText"/>
              <w:widowControl w:val="0"/>
              <w:rPr>
                <w:rFonts w:ascii="Tahoma" w:hAnsi="Tahoma" w:cs="Tahoma"/>
                <w:sz w:val="13"/>
              </w:rPr>
            </w:pPr>
          </w:p>
        </w:tc>
      </w:tr>
      <w:tr w:rsidR="00EF228F" w:rsidRPr="003410C7" w:rsidTr="002A074D">
        <w:trPr>
          <w:cantSplit/>
          <w:trHeight w:val="422"/>
        </w:trPr>
        <w:tc>
          <w:tcPr>
            <w:tcW w:w="2638" w:type="dxa"/>
            <w:tcBorders>
              <w:bottom w:val="single" w:sz="4" w:space="0" w:color="auto"/>
            </w:tcBorders>
            <w:shd w:val="clear" w:color="auto" w:fill="FABF8F"/>
            <w:vAlign w:val="center"/>
          </w:tcPr>
          <w:p w:rsidR="00CC19FC" w:rsidRPr="003410C7" w:rsidRDefault="00CC19FC" w:rsidP="003410C7">
            <w:pPr>
              <w:pStyle w:val="ProductNames"/>
              <w:spacing w:beforeLines="20" w:before="48" w:afterLines="20" w:after="48"/>
              <w:rPr>
                <w:rFonts w:ascii="Tahoma" w:hAnsi="Tahoma" w:cs="Tahoma"/>
                <w:sz w:val="14"/>
              </w:rPr>
            </w:pPr>
            <w:bookmarkStart w:id="69" w:name="_Toc336337867"/>
            <w:bookmarkStart w:id="70" w:name="_Toc352234471"/>
            <w:r w:rsidRPr="003410C7">
              <w:rPr>
                <w:rFonts w:ascii="Tahoma" w:hAnsi="Tahoma" w:cs="Tahoma"/>
                <w:sz w:val="14"/>
              </w:rPr>
              <w:t xml:space="preserve">Office Professional Plus </w:t>
            </w:r>
            <w:bookmarkEnd w:id="69"/>
            <w:r w:rsidRPr="003410C7">
              <w:rPr>
                <w:rFonts w:ascii="Tahoma" w:hAnsi="Tahoma" w:cs="Tahoma"/>
                <w:sz w:val="14"/>
              </w:rPr>
              <w:t>2013</w:t>
            </w:r>
            <w:bookmarkEnd w:id="70"/>
          </w:p>
        </w:tc>
        <w:tc>
          <w:tcPr>
            <w:tcW w:w="429" w:type="dxa"/>
            <w:tcBorders>
              <w:bottom w:val="single" w:sz="4" w:space="0" w:color="auto"/>
            </w:tcBorders>
            <w:shd w:val="clear" w:color="auto" w:fill="FABF8F"/>
            <w:vAlign w:val="center"/>
          </w:tcPr>
          <w:p w:rsidR="00CC19FC" w:rsidRPr="009F17FF" w:rsidRDefault="00FC1A4D" w:rsidP="009832D3">
            <w:pPr>
              <w:pStyle w:val="TableText"/>
              <w:widowControl w:val="0"/>
              <w:rPr>
                <w:rStyle w:val="EndnoteReference"/>
                <w:color w:val="0000FF"/>
                <w:sz w:val="13"/>
                <w:szCs w:val="13"/>
                <w:u w:val="single"/>
              </w:rPr>
            </w:pPr>
            <w:hyperlink w:anchor="_98_Office_Professional" w:history="1">
              <w:r w:rsidR="000D77F6" w:rsidRPr="009F17FF">
                <w:rPr>
                  <w:rStyle w:val="Hyperlink"/>
                  <w:sz w:val="13"/>
                  <w:szCs w:val="13"/>
                </w:rPr>
                <w:t>8</w:t>
              </w:r>
            </w:hyperlink>
          </w:p>
        </w:tc>
        <w:tc>
          <w:tcPr>
            <w:tcW w:w="429" w:type="dxa"/>
            <w:tcBorders>
              <w:bottom w:val="single" w:sz="4" w:space="0" w:color="auto"/>
            </w:tcBorders>
            <w:shd w:val="clear" w:color="auto" w:fill="FABF8F"/>
            <w:vAlign w:val="center"/>
          </w:tcPr>
          <w:p w:rsidR="00CC19FC" w:rsidRPr="003410C7" w:rsidRDefault="00CC19FC" w:rsidP="004000C7">
            <w:pPr>
              <w:pStyle w:val="TableText"/>
              <w:widowControl w:val="0"/>
              <w:rPr>
                <w:rFonts w:ascii="Tahoma" w:hAnsi="Tahoma" w:cs="Tahoma"/>
                <w:sz w:val="13"/>
              </w:rPr>
            </w:pPr>
            <w:r w:rsidRPr="003410C7">
              <w:rPr>
                <w:rFonts w:ascii="Tahoma" w:hAnsi="Tahoma" w:cs="Tahoma"/>
                <w:sz w:val="13"/>
              </w:rPr>
              <w:t>10/12</w:t>
            </w:r>
          </w:p>
        </w:tc>
        <w:tc>
          <w:tcPr>
            <w:tcW w:w="429" w:type="dxa"/>
            <w:tcBorders>
              <w:bottom w:val="single" w:sz="4" w:space="0" w:color="auto"/>
              <w:right w:val="single" w:sz="18" w:space="0" w:color="auto"/>
            </w:tcBorders>
            <w:shd w:val="clear" w:color="auto" w:fill="FABF8F"/>
            <w:vAlign w:val="center"/>
          </w:tcPr>
          <w:p w:rsidR="00CC19FC" w:rsidRPr="003410C7" w:rsidRDefault="00CC19FC" w:rsidP="004B3534">
            <w:pPr>
              <w:pStyle w:val="TableText"/>
              <w:widowControl w:val="0"/>
              <w:rPr>
                <w:rFonts w:ascii="Tahoma" w:hAnsi="Tahoma" w:cs="Tahoma"/>
                <w:sz w:val="13"/>
              </w:rPr>
            </w:pPr>
            <w:r w:rsidRPr="003410C7">
              <w:rPr>
                <w:rFonts w:ascii="Tahoma" w:hAnsi="Tahoma" w:cs="Tahoma"/>
                <w:sz w:val="13"/>
              </w:rPr>
              <w:t>DT</w:t>
            </w:r>
          </w:p>
        </w:tc>
        <w:tc>
          <w:tcPr>
            <w:tcW w:w="429" w:type="dxa"/>
            <w:tcBorders>
              <w:left w:val="single" w:sz="18" w:space="0" w:color="auto"/>
              <w:bottom w:val="single" w:sz="4" w:space="0" w:color="auto"/>
            </w:tcBorders>
            <w:shd w:val="clear" w:color="auto" w:fill="FABF8F"/>
            <w:vAlign w:val="center"/>
          </w:tcPr>
          <w:p w:rsidR="00CC19FC" w:rsidRPr="003410C7" w:rsidRDefault="00CC19FC" w:rsidP="004B3534">
            <w:pPr>
              <w:pStyle w:val="TableText"/>
              <w:widowControl w:val="0"/>
              <w:rPr>
                <w:rFonts w:ascii="Tahoma" w:hAnsi="Tahoma" w:cs="Tahoma"/>
                <w:sz w:val="13"/>
              </w:rPr>
            </w:pPr>
            <w:r w:rsidRPr="003410C7">
              <w:rPr>
                <w:rFonts w:ascii="Tahoma" w:hAnsi="Tahoma" w:cs="Tahoma"/>
                <w:sz w:val="13"/>
              </w:rPr>
              <w:t>2</w:t>
            </w:r>
          </w:p>
        </w:tc>
        <w:tc>
          <w:tcPr>
            <w:tcW w:w="429" w:type="dxa"/>
            <w:tcBorders>
              <w:bottom w:val="single" w:sz="4" w:space="0" w:color="auto"/>
            </w:tcBorders>
            <w:shd w:val="clear" w:color="auto" w:fill="FABF8F"/>
            <w:vAlign w:val="center"/>
          </w:tcPr>
          <w:p w:rsidR="00CC19FC" w:rsidRPr="003410C7" w:rsidRDefault="00CC19FC" w:rsidP="004B3534">
            <w:pPr>
              <w:pStyle w:val="TableText"/>
              <w:widowControl w:val="0"/>
              <w:rPr>
                <w:rFonts w:ascii="Tahoma" w:hAnsi="Tahoma" w:cs="Tahoma"/>
                <w:sz w:val="13"/>
              </w:rPr>
            </w:pPr>
            <w:r w:rsidRPr="003410C7">
              <w:rPr>
                <w:rFonts w:ascii="Tahoma" w:hAnsi="Tahoma" w:cs="Tahoma"/>
                <w:sz w:val="13"/>
              </w:rPr>
              <w:t>5</w:t>
            </w:r>
          </w:p>
        </w:tc>
        <w:tc>
          <w:tcPr>
            <w:tcW w:w="429" w:type="dxa"/>
            <w:tcBorders>
              <w:bottom w:val="single" w:sz="4" w:space="0" w:color="auto"/>
            </w:tcBorders>
            <w:shd w:val="clear" w:color="auto" w:fill="FABF8F"/>
            <w:vAlign w:val="center"/>
          </w:tcPr>
          <w:p w:rsidR="00CC19FC" w:rsidRPr="003410C7" w:rsidRDefault="00CC19FC" w:rsidP="004B3534">
            <w:pPr>
              <w:pStyle w:val="TableText"/>
              <w:widowControl w:val="0"/>
              <w:rPr>
                <w:rFonts w:ascii="Tahoma" w:hAnsi="Tahoma" w:cs="Tahoma"/>
                <w:sz w:val="13"/>
              </w:rPr>
            </w:pPr>
            <w:r w:rsidRPr="003410C7">
              <w:rPr>
                <w:rFonts w:ascii="Tahoma" w:hAnsi="Tahoma" w:cs="Tahoma"/>
                <w:sz w:val="13"/>
              </w:rPr>
              <w:t>4</w:t>
            </w:r>
          </w:p>
        </w:tc>
        <w:tc>
          <w:tcPr>
            <w:tcW w:w="429" w:type="dxa"/>
            <w:tcBorders>
              <w:bottom w:val="single" w:sz="4" w:space="0" w:color="auto"/>
            </w:tcBorders>
            <w:shd w:val="clear" w:color="auto" w:fill="FABF8F"/>
            <w:vAlign w:val="center"/>
          </w:tcPr>
          <w:p w:rsidR="00CC19FC" w:rsidRPr="003410C7" w:rsidRDefault="00CC19FC" w:rsidP="004B3534">
            <w:pPr>
              <w:pStyle w:val="TableText"/>
              <w:widowControl w:val="0"/>
              <w:rPr>
                <w:rFonts w:ascii="Tahoma" w:hAnsi="Tahoma" w:cs="Tahoma"/>
                <w:sz w:val="13"/>
              </w:rPr>
            </w:pPr>
            <w:r w:rsidRPr="003410C7">
              <w:rPr>
                <w:rFonts w:ascii="Tahoma" w:hAnsi="Tahoma" w:cs="Tahoma"/>
                <w:sz w:val="13"/>
              </w:rPr>
              <w:t>3</w:t>
            </w:r>
          </w:p>
        </w:tc>
        <w:tc>
          <w:tcPr>
            <w:tcW w:w="429" w:type="dxa"/>
            <w:tcBorders>
              <w:bottom w:val="single" w:sz="4" w:space="0" w:color="auto"/>
            </w:tcBorders>
            <w:shd w:val="clear" w:color="auto" w:fill="FABF8F"/>
            <w:vAlign w:val="center"/>
          </w:tcPr>
          <w:p w:rsidR="00CC19FC" w:rsidRPr="003410C7" w:rsidRDefault="00CC19FC" w:rsidP="004B3534">
            <w:pPr>
              <w:pStyle w:val="TableText"/>
              <w:widowControl w:val="0"/>
              <w:rPr>
                <w:rFonts w:ascii="Tahoma" w:hAnsi="Tahoma" w:cs="Tahoma"/>
                <w:sz w:val="13"/>
              </w:rPr>
            </w:pPr>
            <w:r w:rsidRPr="003410C7">
              <w:rPr>
                <w:rFonts w:ascii="Tahoma" w:hAnsi="Tahoma" w:cs="Tahoma"/>
                <w:sz w:val="13"/>
              </w:rPr>
              <w:t>3</w:t>
            </w:r>
          </w:p>
        </w:tc>
        <w:tc>
          <w:tcPr>
            <w:tcW w:w="429" w:type="dxa"/>
            <w:tcBorders>
              <w:bottom w:val="single" w:sz="4" w:space="0" w:color="auto"/>
            </w:tcBorders>
            <w:shd w:val="clear" w:color="auto" w:fill="FABF8F"/>
            <w:vAlign w:val="center"/>
          </w:tcPr>
          <w:p w:rsidR="00CC19FC" w:rsidRPr="003410C7" w:rsidRDefault="00CC19FC" w:rsidP="004B3534">
            <w:pPr>
              <w:pStyle w:val="TableText"/>
              <w:widowControl w:val="0"/>
              <w:rPr>
                <w:rFonts w:ascii="Tahoma" w:hAnsi="Tahoma" w:cs="Tahoma"/>
                <w:sz w:val="13"/>
              </w:rPr>
            </w:pPr>
            <w:r w:rsidRPr="003410C7">
              <w:rPr>
                <w:rFonts w:ascii="Tahoma" w:hAnsi="Tahoma" w:cs="Tahoma"/>
                <w:sz w:val="13"/>
              </w:rPr>
              <w:t>2</w:t>
            </w:r>
          </w:p>
        </w:tc>
        <w:tc>
          <w:tcPr>
            <w:tcW w:w="429" w:type="dxa"/>
            <w:tcBorders>
              <w:bottom w:val="single" w:sz="4" w:space="0" w:color="auto"/>
              <w:right w:val="single" w:sz="18" w:space="0" w:color="auto"/>
            </w:tcBorders>
            <w:shd w:val="clear" w:color="auto" w:fill="FABF8F"/>
            <w:vAlign w:val="center"/>
          </w:tcPr>
          <w:p w:rsidR="00CC19FC" w:rsidRPr="003410C7" w:rsidRDefault="00CC19FC" w:rsidP="004B3534">
            <w:pPr>
              <w:pStyle w:val="TableText"/>
              <w:widowControl w:val="0"/>
              <w:rPr>
                <w:rFonts w:ascii="Tahoma" w:hAnsi="Tahoma" w:cs="Tahoma"/>
                <w:sz w:val="13"/>
              </w:rPr>
            </w:pPr>
            <w:r w:rsidRPr="003410C7">
              <w:rPr>
                <w:rFonts w:ascii="Tahoma" w:hAnsi="Tahoma" w:cs="Tahoma"/>
                <w:sz w:val="13"/>
              </w:rPr>
              <w:t>1</w:t>
            </w:r>
          </w:p>
        </w:tc>
        <w:tc>
          <w:tcPr>
            <w:tcW w:w="429" w:type="dxa"/>
            <w:tcBorders>
              <w:left w:val="single" w:sz="18" w:space="0" w:color="auto"/>
              <w:bottom w:val="single" w:sz="4" w:space="0" w:color="auto"/>
            </w:tcBorders>
            <w:shd w:val="clear" w:color="auto" w:fill="FABF8F"/>
            <w:vAlign w:val="center"/>
          </w:tcPr>
          <w:p w:rsidR="00CC19FC" w:rsidRPr="003410C7" w:rsidRDefault="00CC19FC" w:rsidP="004B3534">
            <w:pPr>
              <w:pStyle w:val="TableText"/>
              <w:widowControl w:val="0"/>
              <w:rPr>
                <w:rFonts w:ascii="Tahoma" w:hAnsi="Tahoma" w:cs="Tahoma"/>
                <w:sz w:val="13"/>
              </w:rPr>
            </w:pPr>
            <w:r w:rsidRPr="003410C7">
              <w:rPr>
                <w:rFonts w:ascii="Tahoma" w:hAnsi="Tahoma" w:cs="Tahoma"/>
                <w:sz w:val="13"/>
              </w:rPr>
              <w:t>2</w:t>
            </w:r>
          </w:p>
        </w:tc>
        <w:tc>
          <w:tcPr>
            <w:tcW w:w="429" w:type="dxa"/>
            <w:tcBorders>
              <w:bottom w:val="single" w:sz="4" w:space="0" w:color="auto"/>
            </w:tcBorders>
            <w:shd w:val="clear" w:color="auto" w:fill="FABF8F"/>
            <w:vAlign w:val="center"/>
          </w:tcPr>
          <w:p w:rsidR="00CC19FC" w:rsidRPr="003410C7" w:rsidRDefault="00CC19FC" w:rsidP="004B3534">
            <w:pPr>
              <w:pStyle w:val="TableText"/>
              <w:widowControl w:val="0"/>
              <w:rPr>
                <w:rFonts w:ascii="Tahoma" w:hAnsi="Tahoma" w:cs="Tahoma"/>
                <w:sz w:val="13"/>
              </w:rPr>
            </w:pPr>
            <w:r w:rsidRPr="003410C7">
              <w:rPr>
                <w:rFonts w:ascii="Tahoma" w:hAnsi="Tahoma" w:cs="Tahoma"/>
                <w:sz w:val="13"/>
              </w:rPr>
              <w:t>4</w:t>
            </w:r>
          </w:p>
        </w:tc>
        <w:tc>
          <w:tcPr>
            <w:tcW w:w="442" w:type="dxa"/>
            <w:tcBorders>
              <w:bottom w:val="single" w:sz="4" w:space="0" w:color="auto"/>
              <w:right w:val="single" w:sz="18" w:space="0" w:color="auto"/>
            </w:tcBorders>
            <w:shd w:val="clear" w:color="auto" w:fill="FABF8F"/>
            <w:vAlign w:val="center"/>
          </w:tcPr>
          <w:p w:rsidR="00CC19FC" w:rsidRPr="003410C7" w:rsidRDefault="00CC19FC" w:rsidP="004B3534">
            <w:pPr>
              <w:pStyle w:val="TableText"/>
              <w:widowControl w:val="0"/>
              <w:rPr>
                <w:rFonts w:ascii="Tahoma" w:hAnsi="Tahoma" w:cs="Tahoma"/>
                <w:sz w:val="13"/>
              </w:rPr>
            </w:pPr>
            <w:r w:rsidRPr="003410C7">
              <w:rPr>
                <w:rFonts w:ascii="Tahoma" w:hAnsi="Tahoma" w:cs="Tahoma"/>
                <w:sz w:val="13"/>
              </w:rPr>
              <w:t>2</w:t>
            </w:r>
          </w:p>
        </w:tc>
        <w:tc>
          <w:tcPr>
            <w:tcW w:w="495" w:type="dxa"/>
            <w:tcBorders>
              <w:left w:val="single" w:sz="18" w:space="0" w:color="auto"/>
              <w:bottom w:val="single" w:sz="4" w:space="0" w:color="auto"/>
            </w:tcBorders>
            <w:shd w:val="clear" w:color="auto" w:fill="FABF8F"/>
            <w:vAlign w:val="center"/>
          </w:tcPr>
          <w:p w:rsidR="00CC19FC" w:rsidRPr="003410C7" w:rsidRDefault="00CC19FC" w:rsidP="00097B90">
            <w:pPr>
              <w:pStyle w:val="TableText"/>
              <w:widowControl w:val="0"/>
              <w:rPr>
                <w:rFonts w:ascii="Tahoma" w:hAnsi="Tahoma" w:cs="Tahoma"/>
                <w:sz w:val="13"/>
              </w:rPr>
            </w:pPr>
            <w:r w:rsidRPr="003410C7">
              <w:rPr>
                <w:rFonts w:ascii="Tahoma" w:hAnsi="Tahoma" w:cs="Tahoma"/>
                <w:sz w:val="13"/>
              </w:rPr>
              <w:t>1</w:t>
            </w:r>
          </w:p>
        </w:tc>
        <w:tc>
          <w:tcPr>
            <w:tcW w:w="459" w:type="dxa"/>
            <w:tcBorders>
              <w:bottom w:val="single" w:sz="4" w:space="0" w:color="auto"/>
              <w:right w:val="single" w:sz="18" w:space="0" w:color="auto"/>
            </w:tcBorders>
            <w:shd w:val="clear" w:color="auto" w:fill="FABF8F"/>
            <w:vAlign w:val="center"/>
          </w:tcPr>
          <w:p w:rsidR="00CC19FC" w:rsidRPr="003410C7" w:rsidRDefault="00CC19FC" w:rsidP="004B3534">
            <w:pPr>
              <w:pStyle w:val="TableText"/>
              <w:widowControl w:val="0"/>
              <w:rPr>
                <w:rFonts w:ascii="Tahoma" w:hAnsi="Tahoma" w:cs="Tahoma"/>
                <w:sz w:val="13"/>
              </w:rPr>
            </w:pPr>
            <w:r w:rsidRPr="003410C7">
              <w:rPr>
                <w:rFonts w:ascii="Tahoma" w:hAnsi="Tahoma" w:cs="Tahoma"/>
                <w:sz w:val="13"/>
              </w:rPr>
              <w:t>E</w:t>
            </w:r>
          </w:p>
        </w:tc>
        <w:tc>
          <w:tcPr>
            <w:tcW w:w="360" w:type="dxa"/>
            <w:tcBorders>
              <w:left w:val="single" w:sz="18" w:space="0" w:color="auto"/>
              <w:bottom w:val="single" w:sz="4" w:space="0" w:color="auto"/>
              <w:right w:val="single" w:sz="18" w:space="0" w:color="auto"/>
            </w:tcBorders>
            <w:shd w:val="clear" w:color="auto" w:fill="FABF8F"/>
            <w:vAlign w:val="center"/>
          </w:tcPr>
          <w:p w:rsidR="00CC19FC" w:rsidRPr="003410C7" w:rsidRDefault="00CC19FC" w:rsidP="004B3534">
            <w:pPr>
              <w:pStyle w:val="TableText"/>
              <w:widowControl w:val="0"/>
              <w:rPr>
                <w:rFonts w:ascii="Tahoma" w:hAnsi="Tahoma" w:cs="Tahoma"/>
                <w:sz w:val="13"/>
              </w:rPr>
            </w:pPr>
            <w:r w:rsidRPr="003410C7">
              <w:rPr>
                <w:rFonts w:ascii="Tahoma" w:hAnsi="Tahoma" w:cs="Tahoma"/>
                <w:sz w:val="13"/>
              </w:rPr>
              <w:t>E, P</w:t>
            </w:r>
          </w:p>
        </w:tc>
        <w:tc>
          <w:tcPr>
            <w:tcW w:w="474" w:type="dxa"/>
            <w:tcBorders>
              <w:bottom w:val="single" w:sz="4" w:space="0" w:color="auto"/>
            </w:tcBorders>
            <w:shd w:val="clear" w:color="auto" w:fill="FABF8F"/>
            <w:vAlign w:val="center"/>
          </w:tcPr>
          <w:p w:rsidR="00CC19FC" w:rsidRPr="003410C7" w:rsidRDefault="00CC19FC" w:rsidP="00080B33">
            <w:pPr>
              <w:pStyle w:val="TableText"/>
              <w:widowControl w:val="0"/>
              <w:rPr>
                <w:rFonts w:ascii="Tahoma" w:hAnsi="Tahoma" w:cs="Tahoma"/>
                <w:sz w:val="13"/>
              </w:rPr>
            </w:pPr>
            <w:r w:rsidRPr="003410C7">
              <w:rPr>
                <w:rFonts w:ascii="Tahoma" w:hAnsi="Tahoma" w:cs="Tahoma"/>
                <w:sz w:val="13"/>
              </w:rPr>
              <w:t>E, ST</w:t>
            </w:r>
          </w:p>
        </w:tc>
        <w:tc>
          <w:tcPr>
            <w:tcW w:w="514" w:type="dxa"/>
            <w:tcBorders>
              <w:bottom w:val="single" w:sz="4" w:space="0" w:color="auto"/>
            </w:tcBorders>
            <w:shd w:val="clear" w:color="auto" w:fill="FABF8F"/>
            <w:vAlign w:val="center"/>
          </w:tcPr>
          <w:p w:rsidR="00CC19FC" w:rsidRPr="003410C7" w:rsidRDefault="00CC19FC" w:rsidP="004B3534">
            <w:pPr>
              <w:pStyle w:val="TableText"/>
              <w:widowControl w:val="0"/>
              <w:rPr>
                <w:rFonts w:ascii="Tahoma" w:hAnsi="Tahoma" w:cs="Tahoma"/>
                <w:sz w:val="13"/>
              </w:rPr>
            </w:pPr>
          </w:p>
        </w:tc>
      </w:tr>
      <w:tr w:rsidR="00B33D0E" w:rsidRPr="003410C7" w:rsidTr="002A074D">
        <w:trPr>
          <w:cantSplit/>
          <w:trHeight w:val="278"/>
        </w:trPr>
        <w:tc>
          <w:tcPr>
            <w:tcW w:w="2638" w:type="dxa"/>
            <w:tcBorders>
              <w:bottom w:val="single" w:sz="4" w:space="0" w:color="auto"/>
            </w:tcBorders>
            <w:shd w:val="clear" w:color="auto" w:fill="auto"/>
            <w:vAlign w:val="center"/>
          </w:tcPr>
          <w:p w:rsidR="00CC19FC" w:rsidRPr="003410C7" w:rsidRDefault="00CC19FC" w:rsidP="003410C7">
            <w:pPr>
              <w:pStyle w:val="Heading3"/>
              <w:spacing w:beforeLines="20" w:before="48" w:afterLines="20" w:after="48"/>
              <w:rPr>
                <w:rFonts w:ascii="Tahoma" w:hAnsi="Tahoma" w:cs="Tahoma"/>
                <w:b w:val="0"/>
                <w:sz w:val="14"/>
              </w:rPr>
            </w:pPr>
            <w:bookmarkStart w:id="71" w:name="_Toc336337868"/>
            <w:bookmarkStart w:id="72" w:name="_Toc352234472"/>
            <w:r w:rsidRPr="003410C7">
              <w:rPr>
                <w:rFonts w:ascii="Tahoma" w:hAnsi="Tahoma" w:cs="Tahoma"/>
                <w:b w:val="0"/>
                <w:sz w:val="14"/>
              </w:rPr>
              <w:t xml:space="preserve">Office Standard </w:t>
            </w:r>
            <w:bookmarkEnd w:id="71"/>
            <w:r w:rsidRPr="003410C7">
              <w:rPr>
                <w:rFonts w:ascii="Tahoma" w:hAnsi="Tahoma" w:cs="Tahoma"/>
                <w:b w:val="0"/>
                <w:sz w:val="14"/>
              </w:rPr>
              <w:t>2013</w:t>
            </w:r>
            <w:bookmarkEnd w:id="72"/>
            <w:r w:rsidRPr="003410C7">
              <w:rPr>
                <w:rFonts w:ascii="Tahoma" w:hAnsi="Tahoma" w:cs="Tahoma"/>
                <w:b w:val="0"/>
                <w:sz w:val="14"/>
              </w:rPr>
              <w:t xml:space="preserve"> </w:t>
            </w:r>
          </w:p>
        </w:tc>
        <w:tc>
          <w:tcPr>
            <w:tcW w:w="429" w:type="dxa"/>
            <w:tcBorders>
              <w:bottom w:val="single" w:sz="4" w:space="0" w:color="auto"/>
            </w:tcBorders>
            <w:shd w:val="clear" w:color="auto" w:fill="auto"/>
            <w:vAlign w:val="center"/>
          </w:tcPr>
          <w:p w:rsidR="00CC19FC" w:rsidRPr="009F17FF" w:rsidRDefault="00FC1A4D" w:rsidP="009832D3">
            <w:pPr>
              <w:pStyle w:val="TableText"/>
              <w:widowControl w:val="0"/>
              <w:rPr>
                <w:rStyle w:val="EndnoteReference"/>
                <w:color w:val="0000FF"/>
                <w:sz w:val="13"/>
                <w:szCs w:val="13"/>
                <w:u w:val="single"/>
              </w:rPr>
            </w:pPr>
            <w:hyperlink w:anchor="_109_Office_Standard" w:history="1">
              <w:r w:rsidR="000D77F6" w:rsidRPr="009F17FF">
                <w:rPr>
                  <w:rStyle w:val="Hyperlink"/>
                  <w:sz w:val="13"/>
                  <w:szCs w:val="13"/>
                </w:rPr>
                <w:t>9</w:t>
              </w:r>
            </w:hyperlink>
          </w:p>
        </w:tc>
        <w:tc>
          <w:tcPr>
            <w:tcW w:w="429" w:type="dxa"/>
            <w:tcBorders>
              <w:bottom w:val="single" w:sz="4" w:space="0" w:color="auto"/>
            </w:tcBorders>
            <w:shd w:val="clear" w:color="auto" w:fill="auto"/>
            <w:vAlign w:val="center"/>
          </w:tcPr>
          <w:p w:rsidR="00CC19FC" w:rsidRPr="003410C7" w:rsidRDefault="00CC19FC" w:rsidP="004000C7">
            <w:pPr>
              <w:pStyle w:val="TableText"/>
              <w:widowControl w:val="0"/>
              <w:rPr>
                <w:rFonts w:ascii="Tahoma" w:hAnsi="Tahoma" w:cs="Tahoma"/>
                <w:sz w:val="13"/>
              </w:rPr>
            </w:pPr>
            <w:r w:rsidRPr="003410C7">
              <w:rPr>
                <w:rFonts w:ascii="Tahoma" w:hAnsi="Tahoma" w:cs="Tahoma"/>
                <w:sz w:val="13"/>
              </w:rPr>
              <w:t>10/12</w:t>
            </w:r>
          </w:p>
        </w:tc>
        <w:tc>
          <w:tcPr>
            <w:tcW w:w="429" w:type="dxa"/>
            <w:tcBorders>
              <w:bottom w:val="single" w:sz="4" w:space="0" w:color="auto"/>
              <w:right w:val="single" w:sz="18" w:space="0" w:color="auto"/>
            </w:tcBorders>
            <w:shd w:val="clear" w:color="auto" w:fill="auto"/>
            <w:vAlign w:val="center"/>
          </w:tcPr>
          <w:p w:rsidR="00CC19FC" w:rsidRPr="003410C7" w:rsidRDefault="00CC19FC" w:rsidP="004B3534">
            <w:pPr>
              <w:pStyle w:val="TableText"/>
              <w:widowControl w:val="0"/>
              <w:rPr>
                <w:rFonts w:ascii="Tahoma" w:hAnsi="Tahoma" w:cs="Tahoma"/>
                <w:b/>
                <w:sz w:val="13"/>
              </w:rPr>
            </w:pPr>
            <w:r w:rsidRPr="003410C7">
              <w:rPr>
                <w:rFonts w:ascii="Tahoma" w:hAnsi="Tahoma" w:cs="Tahoma"/>
                <w:sz w:val="13"/>
              </w:rPr>
              <w:t>DT</w:t>
            </w:r>
          </w:p>
        </w:tc>
        <w:tc>
          <w:tcPr>
            <w:tcW w:w="429" w:type="dxa"/>
            <w:tcBorders>
              <w:left w:val="single" w:sz="18" w:space="0" w:color="auto"/>
              <w:bottom w:val="single" w:sz="4" w:space="0" w:color="auto"/>
            </w:tcBorders>
            <w:shd w:val="clear" w:color="auto" w:fill="auto"/>
            <w:vAlign w:val="center"/>
          </w:tcPr>
          <w:p w:rsidR="00CC19FC" w:rsidRPr="003410C7" w:rsidRDefault="00CC19FC" w:rsidP="004B3534">
            <w:pPr>
              <w:pStyle w:val="TableText"/>
              <w:widowControl w:val="0"/>
              <w:rPr>
                <w:rFonts w:ascii="Tahoma" w:hAnsi="Tahoma" w:cs="Tahoma"/>
                <w:sz w:val="13"/>
              </w:rPr>
            </w:pPr>
            <w:r w:rsidRPr="003410C7">
              <w:rPr>
                <w:rFonts w:ascii="Tahoma" w:hAnsi="Tahoma" w:cs="Tahoma"/>
                <w:sz w:val="13"/>
              </w:rPr>
              <w:t>2</w:t>
            </w:r>
          </w:p>
        </w:tc>
        <w:tc>
          <w:tcPr>
            <w:tcW w:w="429" w:type="dxa"/>
            <w:tcBorders>
              <w:bottom w:val="single" w:sz="4" w:space="0" w:color="auto"/>
            </w:tcBorders>
            <w:shd w:val="clear" w:color="auto" w:fill="auto"/>
            <w:vAlign w:val="center"/>
          </w:tcPr>
          <w:p w:rsidR="00CC19FC" w:rsidRPr="003410C7" w:rsidRDefault="00CC19FC" w:rsidP="004B3534">
            <w:pPr>
              <w:pStyle w:val="TableText"/>
              <w:widowControl w:val="0"/>
              <w:rPr>
                <w:rFonts w:ascii="Tahoma" w:hAnsi="Tahoma" w:cs="Tahoma"/>
                <w:sz w:val="13"/>
              </w:rPr>
            </w:pPr>
            <w:r w:rsidRPr="003410C7">
              <w:rPr>
                <w:rFonts w:ascii="Tahoma" w:hAnsi="Tahoma" w:cs="Tahoma"/>
                <w:sz w:val="13"/>
              </w:rPr>
              <w:t>5</w:t>
            </w:r>
          </w:p>
        </w:tc>
        <w:tc>
          <w:tcPr>
            <w:tcW w:w="429" w:type="dxa"/>
            <w:tcBorders>
              <w:bottom w:val="single" w:sz="4" w:space="0" w:color="auto"/>
            </w:tcBorders>
            <w:shd w:val="clear" w:color="auto" w:fill="auto"/>
            <w:vAlign w:val="center"/>
          </w:tcPr>
          <w:p w:rsidR="00CC19FC" w:rsidRPr="003410C7" w:rsidRDefault="00CC19FC" w:rsidP="004B3534">
            <w:pPr>
              <w:pStyle w:val="TableText"/>
              <w:widowControl w:val="0"/>
              <w:rPr>
                <w:rFonts w:ascii="Tahoma" w:hAnsi="Tahoma" w:cs="Tahoma"/>
                <w:sz w:val="13"/>
              </w:rPr>
            </w:pPr>
            <w:r w:rsidRPr="003410C7">
              <w:rPr>
                <w:rFonts w:ascii="Tahoma" w:hAnsi="Tahoma" w:cs="Tahoma"/>
                <w:sz w:val="13"/>
              </w:rPr>
              <w:t>4</w:t>
            </w:r>
          </w:p>
        </w:tc>
        <w:tc>
          <w:tcPr>
            <w:tcW w:w="429" w:type="dxa"/>
            <w:tcBorders>
              <w:bottom w:val="single" w:sz="4" w:space="0" w:color="auto"/>
            </w:tcBorders>
            <w:shd w:val="clear" w:color="auto" w:fill="auto"/>
            <w:vAlign w:val="center"/>
          </w:tcPr>
          <w:p w:rsidR="00CC19FC" w:rsidRPr="003410C7" w:rsidRDefault="00CC19FC" w:rsidP="004B3534">
            <w:pPr>
              <w:pStyle w:val="TableText"/>
              <w:widowControl w:val="0"/>
              <w:rPr>
                <w:rFonts w:ascii="Tahoma" w:hAnsi="Tahoma" w:cs="Tahoma"/>
                <w:sz w:val="13"/>
              </w:rPr>
            </w:pPr>
            <w:r w:rsidRPr="003410C7">
              <w:rPr>
                <w:rFonts w:ascii="Tahoma" w:hAnsi="Tahoma" w:cs="Tahoma"/>
                <w:sz w:val="13"/>
              </w:rPr>
              <w:t>3</w:t>
            </w:r>
          </w:p>
        </w:tc>
        <w:tc>
          <w:tcPr>
            <w:tcW w:w="429" w:type="dxa"/>
            <w:tcBorders>
              <w:bottom w:val="single" w:sz="4" w:space="0" w:color="auto"/>
            </w:tcBorders>
            <w:shd w:val="clear" w:color="auto" w:fill="auto"/>
            <w:vAlign w:val="center"/>
          </w:tcPr>
          <w:p w:rsidR="00CC19FC" w:rsidRPr="003410C7" w:rsidRDefault="00CC19FC" w:rsidP="004B3534">
            <w:pPr>
              <w:pStyle w:val="TableText"/>
              <w:widowControl w:val="0"/>
              <w:rPr>
                <w:rFonts w:ascii="Tahoma" w:hAnsi="Tahoma" w:cs="Tahoma"/>
                <w:sz w:val="13"/>
              </w:rPr>
            </w:pPr>
            <w:r w:rsidRPr="003410C7">
              <w:rPr>
                <w:rFonts w:ascii="Tahoma" w:hAnsi="Tahoma" w:cs="Tahoma"/>
                <w:sz w:val="13"/>
              </w:rPr>
              <w:t>3</w:t>
            </w:r>
          </w:p>
        </w:tc>
        <w:tc>
          <w:tcPr>
            <w:tcW w:w="429" w:type="dxa"/>
            <w:tcBorders>
              <w:bottom w:val="single" w:sz="4" w:space="0" w:color="auto"/>
            </w:tcBorders>
            <w:shd w:val="clear" w:color="auto" w:fill="auto"/>
            <w:vAlign w:val="center"/>
          </w:tcPr>
          <w:p w:rsidR="00CC19FC" w:rsidRPr="003410C7" w:rsidRDefault="00CC19FC" w:rsidP="004B3534">
            <w:pPr>
              <w:pStyle w:val="TableText"/>
              <w:widowControl w:val="0"/>
              <w:rPr>
                <w:rFonts w:ascii="Tahoma" w:hAnsi="Tahoma" w:cs="Tahoma"/>
                <w:sz w:val="13"/>
              </w:rPr>
            </w:pPr>
            <w:r w:rsidRPr="003410C7">
              <w:rPr>
                <w:rFonts w:ascii="Tahoma" w:hAnsi="Tahoma" w:cs="Tahoma"/>
                <w:sz w:val="13"/>
              </w:rPr>
              <w:t>2</w:t>
            </w:r>
          </w:p>
        </w:tc>
        <w:tc>
          <w:tcPr>
            <w:tcW w:w="429" w:type="dxa"/>
            <w:tcBorders>
              <w:bottom w:val="single" w:sz="4" w:space="0" w:color="auto"/>
              <w:right w:val="single" w:sz="18" w:space="0" w:color="auto"/>
            </w:tcBorders>
            <w:shd w:val="clear" w:color="auto" w:fill="auto"/>
            <w:vAlign w:val="center"/>
          </w:tcPr>
          <w:p w:rsidR="00CC19FC" w:rsidRPr="003410C7" w:rsidRDefault="00CC19FC" w:rsidP="004B3534">
            <w:pPr>
              <w:pStyle w:val="TableText"/>
              <w:widowControl w:val="0"/>
              <w:rPr>
                <w:rFonts w:ascii="Tahoma" w:hAnsi="Tahoma" w:cs="Tahoma"/>
                <w:sz w:val="13"/>
              </w:rPr>
            </w:pPr>
            <w:r w:rsidRPr="003410C7">
              <w:rPr>
                <w:rFonts w:ascii="Tahoma" w:hAnsi="Tahoma" w:cs="Tahoma"/>
                <w:sz w:val="13"/>
              </w:rPr>
              <w:t>1</w:t>
            </w:r>
          </w:p>
        </w:tc>
        <w:tc>
          <w:tcPr>
            <w:tcW w:w="429" w:type="dxa"/>
            <w:tcBorders>
              <w:left w:val="single" w:sz="18" w:space="0" w:color="auto"/>
              <w:bottom w:val="single" w:sz="4" w:space="0" w:color="auto"/>
            </w:tcBorders>
            <w:shd w:val="clear" w:color="auto" w:fill="auto"/>
            <w:vAlign w:val="center"/>
          </w:tcPr>
          <w:p w:rsidR="00CC19FC" w:rsidRPr="003410C7" w:rsidRDefault="00CC19FC" w:rsidP="004B3534">
            <w:pPr>
              <w:pStyle w:val="TableText"/>
              <w:widowControl w:val="0"/>
              <w:rPr>
                <w:rFonts w:ascii="Tahoma" w:hAnsi="Tahoma" w:cs="Tahoma"/>
                <w:sz w:val="13"/>
              </w:rPr>
            </w:pPr>
            <w:r w:rsidRPr="003410C7">
              <w:rPr>
                <w:rFonts w:ascii="Tahoma" w:hAnsi="Tahoma" w:cs="Tahoma"/>
                <w:sz w:val="13"/>
              </w:rPr>
              <w:t>2</w:t>
            </w:r>
          </w:p>
        </w:tc>
        <w:tc>
          <w:tcPr>
            <w:tcW w:w="429" w:type="dxa"/>
            <w:tcBorders>
              <w:bottom w:val="single" w:sz="4" w:space="0" w:color="auto"/>
            </w:tcBorders>
            <w:shd w:val="clear" w:color="auto" w:fill="auto"/>
            <w:vAlign w:val="center"/>
          </w:tcPr>
          <w:p w:rsidR="00CC19FC" w:rsidRPr="003410C7" w:rsidRDefault="00CC19FC" w:rsidP="004B3534">
            <w:pPr>
              <w:pStyle w:val="TableText"/>
              <w:widowControl w:val="0"/>
              <w:rPr>
                <w:rFonts w:ascii="Tahoma" w:hAnsi="Tahoma" w:cs="Tahoma"/>
                <w:sz w:val="13"/>
              </w:rPr>
            </w:pPr>
            <w:r w:rsidRPr="003410C7">
              <w:rPr>
                <w:rFonts w:ascii="Tahoma" w:hAnsi="Tahoma" w:cs="Tahoma"/>
                <w:sz w:val="13"/>
              </w:rPr>
              <w:t>4</w:t>
            </w:r>
          </w:p>
        </w:tc>
        <w:tc>
          <w:tcPr>
            <w:tcW w:w="442" w:type="dxa"/>
            <w:tcBorders>
              <w:bottom w:val="single" w:sz="4" w:space="0" w:color="auto"/>
              <w:right w:val="single" w:sz="18" w:space="0" w:color="auto"/>
            </w:tcBorders>
            <w:shd w:val="clear" w:color="auto" w:fill="auto"/>
            <w:vAlign w:val="center"/>
          </w:tcPr>
          <w:p w:rsidR="00CC19FC" w:rsidRPr="003410C7" w:rsidRDefault="00CC19FC" w:rsidP="004B3534">
            <w:pPr>
              <w:pStyle w:val="TableText"/>
              <w:widowControl w:val="0"/>
              <w:rPr>
                <w:rFonts w:ascii="Tahoma" w:hAnsi="Tahoma" w:cs="Tahoma"/>
                <w:sz w:val="13"/>
              </w:rPr>
            </w:pPr>
            <w:r w:rsidRPr="003410C7">
              <w:rPr>
                <w:rFonts w:ascii="Tahoma" w:hAnsi="Tahoma" w:cs="Tahoma"/>
                <w:sz w:val="13"/>
              </w:rPr>
              <w:t>2</w:t>
            </w:r>
          </w:p>
        </w:tc>
        <w:tc>
          <w:tcPr>
            <w:tcW w:w="495" w:type="dxa"/>
            <w:tcBorders>
              <w:left w:val="single" w:sz="18" w:space="0" w:color="auto"/>
              <w:bottom w:val="single" w:sz="4" w:space="0" w:color="auto"/>
            </w:tcBorders>
            <w:shd w:val="clear" w:color="auto" w:fill="auto"/>
            <w:vAlign w:val="center"/>
          </w:tcPr>
          <w:p w:rsidR="00CC19FC" w:rsidRPr="003410C7" w:rsidRDefault="00CC19FC" w:rsidP="004B3534">
            <w:pPr>
              <w:pStyle w:val="TableText"/>
              <w:widowControl w:val="0"/>
              <w:rPr>
                <w:rFonts w:ascii="Tahoma" w:hAnsi="Tahoma" w:cs="Tahoma"/>
                <w:sz w:val="13"/>
              </w:rPr>
            </w:pPr>
          </w:p>
        </w:tc>
        <w:tc>
          <w:tcPr>
            <w:tcW w:w="459" w:type="dxa"/>
            <w:tcBorders>
              <w:bottom w:val="single" w:sz="4" w:space="0" w:color="auto"/>
              <w:right w:val="single" w:sz="18" w:space="0" w:color="auto"/>
            </w:tcBorders>
            <w:shd w:val="clear" w:color="auto" w:fill="auto"/>
            <w:vAlign w:val="center"/>
          </w:tcPr>
          <w:p w:rsidR="00CC19FC" w:rsidRPr="003410C7" w:rsidRDefault="00CC19FC" w:rsidP="004B3534">
            <w:pPr>
              <w:pStyle w:val="TableText"/>
              <w:widowControl w:val="0"/>
              <w:rPr>
                <w:rFonts w:ascii="Tahoma" w:hAnsi="Tahoma" w:cs="Tahoma"/>
                <w:sz w:val="13"/>
              </w:rPr>
            </w:pPr>
          </w:p>
        </w:tc>
        <w:tc>
          <w:tcPr>
            <w:tcW w:w="360" w:type="dxa"/>
            <w:tcBorders>
              <w:left w:val="single" w:sz="18" w:space="0" w:color="auto"/>
              <w:bottom w:val="single" w:sz="4" w:space="0" w:color="auto"/>
              <w:right w:val="single" w:sz="18" w:space="0" w:color="auto"/>
            </w:tcBorders>
            <w:shd w:val="clear" w:color="auto" w:fill="auto"/>
            <w:vAlign w:val="center"/>
          </w:tcPr>
          <w:p w:rsidR="00CC19FC" w:rsidRPr="003410C7" w:rsidRDefault="00CC19FC" w:rsidP="004B3534">
            <w:pPr>
              <w:pStyle w:val="TableText"/>
              <w:widowControl w:val="0"/>
              <w:rPr>
                <w:rFonts w:ascii="Tahoma" w:hAnsi="Tahoma" w:cs="Tahoma"/>
                <w:sz w:val="13"/>
              </w:rPr>
            </w:pPr>
            <w:r w:rsidRPr="003410C7">
              <w:rPr>
                <w:rFonts w:ascii="Tahoma" w:hAnsi="Tahoma" w:cs="Tahoma"/>
                <w:sz w:val="13"/>
              </w:rPr>
              <w:t>P</w:t>
            </w:r>
          </w:p>
        </w:tc>
        <w:tc>
          <w:tcPr>
            <w:tcW w:w="474" w:type="dxa"/>
            <w:tcBorders>
              <w:bottom w:val="single" w:sz="4" w:space="0" w:color="auto"/>
            </w:tcBorders>
            <w:shd w:val="clear" w:color="auto" w:fill="auto"/>
            <w:vAlign w:val="center"/>
          </w:tcPr>
          <w:p w:rsidR="00CC19FC" w:rsidRPr="003410C7" w:rsidRDefault="00CC19FC" w:rsidP="00080B33">
            <w:pPr>
              <w:pStyle w:val="TableText"/>
              <w:widowControl w:val="0"/>
              <w:rPr>
                <w:rFonts w:ascii="Tahoma" w:hAnsi="Tahoma" w:cs="Tahoma"/>
                <w:sz w:val="13"/>
              </w:rPr>
            </w:pPr>
          </w:p>
        </w:tc>
        <w:tc>
          <w:tcPr>
            <w:tcW w:w="514" w:type="dxa"/>
            <w:tcBorders>
              <w:bottom w:val="single" w:sz="4" w:space="0" w:color="auto"/>
            </w:tcBorders>
            <w:shd w:val="clear" w:color="auto" w:fill="auto"/>
            <w:vAlign w:val="center"/>
          </w:tcPr>
          <w:p w:rsidR="00CC19FC" w:rsidRPr="003410C7" w:rsidRDefault="00CC19FC" w:rsidP="004B3534">
            <w:pPr>
              <w:pStyle w:val="TableText"/>
              <w:widowControl w:val="0"/>
              <w:rPr>
                <w:rFonts w:ascii="Tahoma" w:hAnsi="Tahoma" w:cs="Tahoma"/>
                <w:sz w:val="13"/>
              </w:rPr>
            </w:pPr>
          </w:p>
        </w:tc>
      </w:tr>
      <w:tr w:rsidR="00EF228F" w:rsidRPr="003410C7" w:rsidTr="002A074D">
        <w:trPr>
          <w:cantSplit/>
          <w:trHeight w:val="305"/>
        </w:trPr>
        <w:tc>
          <w:tcPr>
            <w:tcW w:w="2638" w:type="dxa"/>
            <w:tcBorders>
              <w:bottom w:val="single" w:sz="4" w:space="0" w:color="auto"/>
            </w:tcBorders>
            <w:shd w:val="clear" w:color="auto" w:fill="FABF8F"/>
          </w:tcPr>
          <w:p w:rsidR="00CC19FC" w:rsidRPr="00451078" w:rsidRDefault="00CC19FC" w:rsidP="003410C7">
            <w:pPr>
              <w:pStyle w:val="Heading2"/>
              <w:spacing w:beforeLines="20" w:before="48" w:afterLines="20" w:after="48"/>
              <w:ind w:left="0"/>
              <w:rPr>
                <w:rFonts w:ascii="Tahoma" w:hAnsi="Tahoma" w:cs="Tahoma"/>
                <w:b w:val="0"/>
                <w:sz w:val="14"/>
                <w:lang w:val="it-IT"/>
              </w:rPr>
            </w:pPr>
            <w:bookmarkStart w:id="73" w:name="_Toc336337869"/>
            <w:bookmarkStart w:id="74" w:name="_Toc352234473"/>
            <w:r w:rsidRPr="00451078">
              <w:rPr>
                <w:rFonts w:ascii="Tahoma" w:hAnsi="Tahoma" w:cs="Tahoma"/>
                <w:b w:val="0"/>
                <w:sz w:val="14"/>
                <w:lang w:val="it-IT"/>
              </w:rPr>
              <w:t>Office 365 ProPlus (SL per Utente)</w:t>
            </w:r>
            <w:bookmarkEnd w:id="73"/>
            <w:bookmarkEnd w:id="74"/>
          </w:p>
        </w:tc>
        <w:tc>
          <w:tcPr>
            <w:tcW w:w="429" w:type="dxa"/>
            <w:tcBorders>
              <w:bottom w:val="single" w:sz="4" w:space="0" w:color="auto"/>
            </w:tcBorders>
            <w:shd w:val="clear" w:color="auto" w:fill="FABF8F"/>
          </w:tcPr>
          <w:p w:rsidR="00CC19FC" w:rsidRPr="009F17FF" w:rsidRDefault="00FC1A4D" w:rsidP="001866F1">
            <w:pPr>
              <w:pStyle w:val="TableText"/>
              <w:widowControl w:val="0"/>
              <w:spacing w:before="120"/>
              <w:rPr>
                <w:b/>
                <w:color w:val="0000FF"/>
                <w:sz w:val="13"/>
                <w:szCs w:val="13"/>
                <w:u w:val="single"/>
              </w:rPr>
            </w:pPr>
            <w:hyperlink w:anchor="_110_Office_365" w:history="1">
              <w:r w:rsidR="000D77F6" w:rsidRPr="009F17FF">
                <w:rPr>
                  <w:rStyle w:val="Hyperlink"/>
                  <w:sz w:val="13"/>
                  <w:szCs w:val="13"/>
                </w:rPr>
                <w:t>10</w:t>
              </w:r>
            </w:hyperlink>
            <w:hyperlink w:anchor="Aps_9OfficeProPlusSubUserSL" w:history="1"/>
          </w:p>
        </w:tc>
        <w:tc>
          <w:tcPr>
            <w:tcW w:w="429" w:type="dxa"/>
            <w:tcBorders>
              <w:bottom w:val="single" w:sz="4" w:space="0" w:color="auto"/>
            </w:tcBorders>
            <w:shd w:val="clear" w:color="auto" w:fill="FABF8F"/>
            <w:vAlign w:val="center"/>
          </w:tcPr>
          <w:p w:rsidR="00CC19FC" w:rsidRPr="003410C7" w:rsidRDefault="00CC19FC" w:rsidP="004000C7">
            <w:pPr>
              <w:pStyle w:val="TableText"/>
              <w:rPr>
                <w:rFonts w:ascii="Tahoma" w:hAnsi="Tahoma" w:cs="Tahoma"/>
                <w:sz w:val="13"/>
              </w:rPr>
            </w:pPr>
            <w:r w:rsidRPr="003410C7">
              <w:rPr>
                <w:rFonts w:ascii="Tahoma" w:hAnsi="Tahoma" w:cs="Tahoma"/>
                <w:sz w:val="13"/>
              </w:rPr>
              <w:t>06/11</w:t>
            </w:r>
          </w:p>
        </w:tc>
        <w:tc>
          <w:tcPr>
            <w:tcW w:w="429" w:type="dxa"/>
            <w:tcBorders>
              <w:bottom w:val="single" w:sz="4" w:space="0" w:color="auto"/>
              <w:right w:val="single" w:sz="18" w:space="0" w:color="auto"/>
            </w:tcBorders>
            <w:shd w:val="clear" w:color="auto" w:fill="FABF8F"/>
          </w:tcPr>
          <w:p w:rsidR="00CC19FC" w:rsidRPr="003410C7" w:rsidRDefault="00CC19FC" w:rsidP="004B3534">
            <w:pPr>
              <w:pStyle w:val="TableText"/>
              <w:rPr>
                <w:rFonts w:ascii="Tahoma" w:hAnsi="Tahoma" w:cs="Tahoma"/>
                <w:sz w:val="13"/>
              </w:rPr>
            </w:pPr>
          </w:p>
        </w:tc>
        <w:tc>
          <w:tcPr>
            <w:tcW w:w="429" w:type="dxa"/>
            <w:tcBorders>
              <w:left w:val="single" w:sz="18" w:space="0" w:color="auto"/>
              <w:bottom w:val="single" w:sz="4" w:space="0" w:color="auto"/>
            </w:tcBorders>
            <w:shd w:val="clear" w:color="auto" w:fill="FABF8F"/>
          </w:tcPr>
          <w:p w:rsidR="00CC19FC" w:rsidRPr="003410C7" w:rsidRDefault="00CC19FC" w:rsidP="004B3534">
            <w:pPr>
              <w:pStyle w:val="TableText"/>
              <w:rPr>
                <w:rFonts w:ascii="Tahoma" w:hAnsi="Tahoma" w:cs="Tahoma"/>
                <w:sz w:val="13"/>
              </w:rPr>
            </w:pPr>
          </w:p>
        </w:tc>
        <w:tc>
          <w:tcPr>
            <w:tcW w:w="429" w:type="dxa"/>
            <w:tcBorders>
              <w:bottom w:val="single" w:sz="4" w:space="0" w:color="auto"/>
            </w:tcBorders>
            <w:shd w:val="clear" w:color="auto" w:fill="FABF8F"/>
          </w:tcPr>
          <w:p w:rsidR="00CC19FC" w:rsidRPr="003410C7" w:rsidRDefault="00CC19FC" w:rsidP="004B3534">
            <w:pPr>
              <w:pStyle w:val="TableText"/>
              <w:rPr>
                <w:rFonts w:ascii="Tahoma" w:hAnsi="Tahoma" w:cs="Tahoma"/>
                <w:sz w:val="13"/>
              </w:rPr>
            </w:pPr>
          </w:p>
        </w:tc>
        <w:tc>
          <w:tcPr>
            <w:tcW w:w="429" w:type="dxa"/>
            <w:tcBorders>
              <w:bottom w:val="single" w:sz="4" w:space="0" w:color="auto"/>
            </w:tcBorders>
            <w:shd w:val="clear" w:color="auto" w:fill="FABF8F"/>
          </w:tcPr>
          <w:p w:rsidR="00CC19FC" w:rsidRPr="003410C7" w:rsidRDefault="00CC19FC" w:rsidP="004B3534">
            <w:pPr>
              <w:pStyle w:val="TableText"/>
              <w:rPr>
                <w:rFonts w:ascii="Tahoma" w:hAnsi="Tahoma" w:cs="Tahoma"/>
                <w:sz w:val="13"/>
              </w:rPr>
            </w:pPr>
          </w:p>
        </w:tc>
        <w:tc>
          <w:tcPr>
            <w:tcW w:w="429" w:type="dxa"/>
            <w:tcBorders>
              <w:bottom w:val="single" w:sz="4" w:space="0" w:color="auto"/>
            </w:tcBorders>
            <w:shd w:val="clear" w:color="auto" w:fill="FABF8F"/>
          </w:tcPr>
          <w:p w:rsidR="00CC19FC" w:rsidRPr="003410C7" w:rsidRDefault="00CC19FC" w:rsidP="004B3534">
            <w:pPr>
              <w:pStyle w:val="TableText"/>
              <w:rPr>
                <w:rFonts w:ascii="Tahoma" w:hAnsi="Tahoma" w:cs="Tahoma"/>
                <w:sz w:val="13"/>
              </w:rPr>
            </w:pPr>
          </w:p>
        </w:tc>
        <w:tc>
          <w:tcPr>
            <w:tcW w:w="429" w:type="dxa"/>
            <w:tcBorders>
              <w:bottom w:val="single" w:sz="4" w:space="0" w:color="auto"/>
            </w:tcBorders>
            <w:shd w:val="clear" w:color="auto" w:fill="FABF8F"/>
          </w:tcPr>
          <w:p w:rsidR="00CC19FC" w:rsidRPr="003410C7" w:rsidRDefault="00CC19FC" w:rsidP="004B3534">
            <w:pPr>
              <w:pStyle w:val="TableText"/>
              <w:rPr>
                <w:rFonts w:ascii="Tahoma" w:hAnsi="Tahoma" w:cs="Tahoma"/>
                <w:sz w:val="13"/>
              </w:rPr>
            </w:pPr>
          </w:p>
        </w:tc>
        <w:tc>
          <w:tcPr>
            <w:tcW w:w="429" w:type="dxa"/>
            <w:tcBorders>
              <w:bottom w:val="single" w:sz="4" w:space="0" w:color="auto"/>
            </w:tcBorders>
            <w:shd w:val="clear" w:color="auto" w:fill="FABF8F"/>
          </w:tcPr>
          <w:p w:rsidR="00CC19FC" w:rsidRPr="003410C7" w:rsidRDefault="00CC19FC" w:rsidP="004B3534">
            <w:pPr>
              <w:pStyle w:val="TableText"/>
              <w:rPr>
                <w:rFonts w:ascii="Tahoma" w:hAnsi="Tahoma" w:cs="Tahoma"/>
                <w:sz w:val="13"/>
              </w:rPr>
            </w:pPr>
          </w:p>
        </w:tc>
        <w:tc>
          <w:tcPr>
            <w:tcW w:w="429" w:type="dxa"/>
            <w:tcBorders>
              <w:bottom w:val="single" w:sz="4" w:space="0" w:color="auto"/>
              <w:right w:val="single" w:sz="18" w:space="0" w:color="auto"/>
            </w:tcBorders>
            <w:shd w:val="clear" w:color="auto" w:fill="FABF8F"/>
          </w:tcPr>
          <w:p w:rsidR="00CC19FC" w:rsidRPr="003410C7" w:rsidRDefault="00CC19FC" w:rsidP="004B3534">
            <w:pPr>
              <w:pStyle w:val="TableText"/>
              <w:rPr>
                <w:rFonts w:ascii="Tahoma" w:hAnsi="Tahoma" w:cs="Tahoma"/>
                <w:sz w:val="13"/>
              </w:rPr>
            </w:pPr>
          </w:p>
        </w:tc>
        <w:tc>
          <w:tcPr>
            <w:tcW w:w="429" w:type="dxa"/>
            <w:tcBorders>
              <w:left w:val="single" w:sz="18" w:space="0" w:color="auto"/>
              <w:bottom w:val="single" w:sz="4" w:space="0" w:color="auto"/>
            </w:tcBorders>
            <w:shd w:val="clear" w:color="auto" w:fill="FABF8F"/>
          </w:tcPr>
          <w:p w:rsidR="00CC19FC" w:rsidRPr="003410C7" w:rsidRDefault="00CC19FC" w:rsidP="004B3534">
            <w:pPr>
              <w:pStyle w:val="TableText"/>
              <w:rPr>
                <w:rFonts w:ascii="Tahoma" w:hAnsi="Tahoma" w:cs="Tahoma"/>
                <w:sz w:val="13"/>
              </w:rPr>
            </w:pPr>
          </w:p>
        </w:tc>
        <w:tc>
          <w:tcPr>
            <w:tcW w:w="429" w:type="dxa"/>
            <w:tcBorders>
              <w:bottom w:val="single" w:sz="4" w:space="0" w:color="auto"/>
            </w:tcBorders>
            <w:shd w:val="clear" w:color="auto" w:fill="FABF8F"/>
          </w:tcPr>
          <w:p w:rsidR="00CC19FC" w:rsidRPr="003410C7" w:rsidRDefault="00CC19FC" w:rsidP="004B3534">
            <w:pPr>
              <w:pStyle w:val="TableText"/>
              <w:rPr>
                <w:rFonts w:ascii="Tahoma" w:hAnsi="Tahoma" w:cs="Tahoma"/>
                <w:sz w:val="13"/>
              </w:rPr>
            </w:pPr>
          </w:p>
        </w:tc>
        <w:tc>
          <w:tcPr>
            <w:tcW w:w="442" w:type="dxa"/>
            <w:tcBorders>
              <w:bottom w:val="single" w:sz="4" w:space="0" w:color="auto"/>
              <w:right w:val="single" w:sz="18" w:space="0" w:color="auto"/>
            </w:tcBorders>
            <w:shd w:val="clear" w:color="auto" w:fill="FABF8F"/>
          </w:tcPr>
          <w:p w:rsidR="00CC19FC" w:rsidRPr="003410C7" w:rsidRDefault="00CC19FC" w:rsidP="004B3534">
            <w:pPr>
              <w:pStyle w:val="TableText"/>
              <w:rPr>
                <w:rFonts w:ascii="Tahoma" w:hAnsi="Tahoma" w:cs="Tahoma"/>
                <w:sz w:val="13"/>
              </w:rPr>
            </w:pPr>
          </w:p>
        </w:tc>
        <w:tc>
          <w:tcPr>
            <w:tcW w:w="495" w:type="dxa"/>
            <w:tcBorders>
              <w:left w:val="single" w:sz="18" w:space="0" w:color="auto"/>
              <w:bottom w:val="single" w:sz="4" w:space="0" w:color="auto"/>
            </w:tcBorders>
            <w:shd w:val="clear" w:color="auto" w:fill="FABF8F"/>
          </w:tcPr>
          <w:p w:rsidR="00CC19FC" w:rsidRPr="003410C7" w:rsidRDefault="00CC19FC" w:rsidP="004B3534">
            <w:pPr>
              <w:pStyle w:val="TableText"/>
              <w:rPr>
                <w:rFonts w:ascii="Tahoma" w:hAnsi="Tahoma" w:cs="Tahoma"/>
                <w:sz w:val="13"/>
              </w:rPr>
            </w:pPr>
          </w:p>
        </w:tc>
        <w:tc>
          <w:tcPr>
            <w:tcW w:w="459" w:type="dxa"/>
            <w:tcBorders>
              <w:bottom w:val="single" w:sz="4" w:space="0" w:color="auto"/>
              <w:right w:val="single" w:sz="18" w:space="0" w:color="auto"/>
            </w:tcBorders>
            <w:shd w:val="clear" w:color="auto" w:fill="FABF8F"/>
            <w:vAlign w:val="center"/>
          </w:tcPr>
          <w:p w:rsidR="00CC19FC" w:rsidRPr="003410C7" w:rsidRDefault="00CC19FC" w:rsidP="00140B67">
            <w:pPr>
              <w:pStyle w:val="TableText"/>
              <w:rPr>
                <w:rFonts w:ascii="Tahoma" w:hAnsi="Tahoma" w:cs="Tahoma"/>
                <w:sz w:val="13"/>
              </w:rPr>
            </w:pPr>
            <w:r w:rsidRPr="003410C7">
              <w:rPr>
                <w:rFonts w:ascii="Tahoma" w:hAnsi="Tahoma" w:cs="Tahoma"/>
                <w:sz w:val="13"/>
              </w:rPr>
              <w:t>E, S</w:t>
            </w:r>
          </w:p>
        </w:tc>
        <w:tc>
          <w:tcPr>
            <w:tcW w:w="360" w:type="dxa"/>
            <w:tcBorders>
              <w:left w:val="single" w:sz="18" w:space="0" w:color="auto"/>
              <w:bottom w:val="single" w:sz="4" w:space="0" w:color="auto"/>
              <w:right w:val="single" w:sz="18" w:space="0" w:color="auto"/>
            </w:tcBorders>
            <w:shd w:val="clear" w:color="auto" w:fill="FABF8F"/>
          </w:tcPr>
          <w:p w:rsidR="00CC19FC" w:rsidRPr="003410C7" w:rsidRDefault="00CC19FC" w:rsidP="004B3534">
            <w:pPr>
              <w:pStyle w:val="TableText"/>
              <w:rPr>
                <w:rFonts w:ascii="Tahoma" w:hAnsi="Tahoma" w:cs="Tahoma"/>
                <w:sz w:val="13"/>
              </w:rPr>
            </w:pPr>
          </w:p>
        </w:tc>
        <w:tc>
          <w:tcPr>
            <w:tcW w:w="474" w:type="dxa"/>
            <w:tcBorders>
              <w:bottom w:val="single" w:sz="4" w:space="0" w:color="auto"/>
            </w:tcBorders>
            <w:shd w:val="clear" w:color="auto" w:fill="FABF8F"/>
            <w:vAlign w:val="center"/>
          </w:tcPr>
          <w:p w:rsidR="00CC19FC" w:rsidRPr="003410C7" w:rsidRDefault="00CC19FC" w:rsidP="00080B33">
            <w:pPr>
              <w:pStyle w:val="TableText"/>
              <w:rPr>
                <w:rFonts w:ascii="Tahoma" w:hAnsi="Tahoma" w:cs="Tahoma"/>
                <w:sz w:val="13"/>
              </w:rPr>
            </w:pPr>
          </w:p>
        </w:tc>
        <w:tc>
          <w:tcPr>
            <w:tcW w:w="514" w:type="dxa"/>
            <w:tcBorders>
              <w:bottom w:val="single" w:sz="4" w:space="0" w:color="auto"/>
            </w:tcBorders>
            <w:shd w:val="clear" w:color="auto" w:fill="FABF8F"/>
          </w:tcPr>
          <w:p w:rsidR="00CC19FC" w:rsidRPr="003410C7" w:rsidRDefault="00CC19FC" w:rsidP="004B3534">
            <w:pPr>
              <w:pStyle w:val="TableText"/>
              <w:rPr>
                <w:rFonts w:ascii="Tahoma" w:hAnsi="Tahoma" w:cs="Tahoma"/>
                <w:sz w:val="13"/>
              </w:rPr>
            </w:pPr>
          </w:p>
        </w:tc>
      </w:tr>
      <w:tr w:rsidR="002253A3" w:rsidRPr="003410C7" w:rsidTr="002A074D">
        <w:trPr>
          <w:cantSplit/>
          <w:trHeight w:val="305"/>
        </w:trPr>
        <w:tc>
          <w:tcPr>
            <w:tcW w:w="2638" w:type="dxa"/>
            <w:tcBorders>
              <w:bottom w:val="single" w:sz="4" w:space="0" w:color="auto"/>
            </w:tcBorders>
            <w:shd w:val="clear" w:color="auto" w:fill="auto"/>
            <w:vAlign w:val="center"/>
          </w:tcPr>
          <w:p w:rsidR="003418C5" w:rsidRPr="003410C7" w:rsidRDefault="003418C5" w:rsidP="003410C7">
            <w:pPr>
              <w:pStyle w:val="Heading2"/>
              <w:spacing w:beforeLines="20" w:before="48" w:afterLines="20" w:after="48"/>
              <w:ind w:left="0"/>
              <w:rPr>
                <w:rFonts w:ascii="Tahoma" w:hAnsi="Tahoma" w:cs="Tahoma"/>
                <w:b w:val="0"/>
                <w:sz w:val="14"/>
              </w:rPr>
            </w:pPr>
            <w:bookmarkStart w:id="75" w:name="_Toc352234474"/>
            <w:r w:rsidRPr="003410C7">
              <w:rPr>
                <w:rFonts w:ascii="Tahoma" w:hAnsi="Tahoma" w:cs="Tahoma"/>
                <w:b w:val="0"/>
                <w:sz w:val="14"/>
              </w:rPr>
              <w:t xml:space="preserve">Office 365 ProPlus SA Transition </w:t>
            </w:r>
            <w:r w:rsidR="000D238A">
              <w:rPr>
                <w:rFonts w:ascii="Tahoma" w:hAnsi="Tahoma" w:cs="Tahoma"/>
                <w:b w:val="0"/>
                <w:sz w:val="14"/>
              </w:rPr>
              <w:br/>
            </w:r>
            <w:r w:rsidRPr="003410C7">
              <w:rPr>
                <w:rFonts w:ascii="Tahoma" w:hAnsi="Tahoma" w:cs="Tahoma"/>
                <w:b w:val="0"/>
                <w:sz w:val="14"/>
              </w:rPr>
              <w:t>(SL per Utente)</w:t>
            </w:r>
            <w:bookmarkEnd w:id="75"/>
          </w:p>
        </w:tc>
        <w:tc>
          <w:tcPr>
            <w:tcW w:w="429" w:type="dxa"/>
            <w:tcBorders>
              <w:bottom w:val="single" w:sz="4" w:space="0" w:color="auto"/>
            </w:tcBorders>
            <w:shd w:val="clear" w:color="auto" w:fill="auto"/>
            <w:vAlign w:val="center"/>
          </w:tcPr>
          <w:p w:rsidR="003418C5" w:rsidRPr="009F17FF" w:rsidRDefault="00FC1A4D" w:rsidP="00761E3B">
            <w:pPr>
              <w:pStyle w:val="TableText"/>
              <w:widowControl w:val="0"/>
              <w:rPr>
                <w:b/>
                <w:color w:val="0000FF"/>
                <w:sz w:val="13"/>
                <w:szCs w:val="13"/>
                <w:u w:val="single"/>
              </w:rPr>
            </w:pPr>
            <w:hyperlink w:anchor="_110_Office_365" w:history="1">
              <w:r w:rsidR="000D77F6" w:rsidRPr="009F17FF">
                <w:rPr>
                  <w:rStyle w:val="Hyperlink"/>
                  <w:sz w:val="13"/>
                  <w:szCs w:val="13"/>
                </w:rPr>
                <w:t>10</w:t>
              </w:r>
            </w:hyperlink>
          </w:p>
        </w:tc>
        <w:tc>
          <w:tcPr>
            <w:tcW w:w="429" w:type="dxa"/>
            <w:tcBorders>
              <w:bottom w:val="single" w:sz="4" w:space="0" w:color="auto"/>
            </w:tcBorders>
            <w:shd w:val="clear" w:color="auto" w:fill="auto"/>
            <w:vAlign w:val="center"/>
          </w:tcPr>
          <w:p w:rsidR="003418C5" w:rsidRPr="003410C7" w:rsidRDefault="003418C5" w:rsidP="004000C7">
            <w:pPr>
              <w:pStyle w:val="TableText"/>
              <w:rPr>
                <w:rFonts w:ascii="Tahoma" w:hAnsi="Tahoma" w:cs="Tahoma"/>
                <w:sz w:val="13"/>
              </w:rPr>
            </w:pPr>
            <w:r w:rsidRPr="003410C7">
              <w:rPr>
                <w:rFonts w:ascii="Tahoma" w:hAnsi="Tahoma" w:cs="Tahoma"/>
                <w:sz w:val="13"/>
              </w:rPr>
              <w:t>04/13</w:t>
            </w:r>
          </w:p>
        </w:tc>
        <w:tc>
          <w:tcPr>
            <w:tcW w:w="429" w:type="dxa"/>
            <w:tcBorders>
              <w:bottom w:val="single" w:sz="4" w:space="0" w:color="auto"/>
              <w:right w:val="single" w:sz="18" w:space="0" w:color="auto"/>
            </w:tcBorders>
            <w:shd w:val="clear" w:color="auto" w:fill="auto"/>
            <w:vAlign w:val="center"/>
          </w:tcPr>
          <w:p w:rsidR="003418C5" w:rsidRPr="003410C7" w:rsidRDefault="003418C5" w:rsidP="004B3534">
            <w:pPr>
              <w:pStyle w:val="TableText"/>
              <w:rPr>
                <w:rFonts w:ascii="Tahoma" w:hAnsi="Tahoma" w:cs="Tahoma"/>
                <w:sz w:val="13"/>
              </w:rPr>
            </w:pPr>
          </w:p>
        </w:tc>
        <w:tc>
          <w:tcPr>
            <w:tcW w:w="429" w:type="dxa"/>
            <w:tcBorders>
              <w:left w:val="single" w:sz="18" w:space="0" w:color="auto"/>
              <w:bottom w:val="single" w:sz="4" w:space="0" w:color="auto"/>
            </w:tcBorders>
            <w:shd w:val="clear" w:color="auto" w:fill="auto"/>
            <w:vAlign w:val="center"/>
          </w:tcPr>
          <w:p w:rsidR="003418C5" w:rsidRPr="003410C7" w:rsidRDefault="003418C5" w:rsidP="004B3534">
            <w:pPr>
              <w:pStyle w:val="TableText"/>
              <w:rPr>
                <w:rFonts w:ascii="Tahoma" w:hAnsi="Tahoma" w:cs="Tahoma"/>
                <w:sz w:val="13"/>
              </w:rPr>
            </w:pPr>
          </w:p>
        </w:tc>
        <w:tc>
          <w:tcPr>
            <w:tcW w:w="429" w:type="dxa"/>
            <w:tcBorders>
              <w:bottom w:val="single" w:sz="4" w:space="0" w:color="auto"/>
            </w:tcBorders>
            <w:shd w:val="clear" w:color="auto" w:fill="auto"/>
            <w:vAlign w:val="center"/>
          </w:tcPr>
          <w:p w:rsidR="003418C5" w:rsidRPr="003410C7" w:rsidRDefault="003418C5" w:rsidP="004B3534">
            <w:pPr>
              <w:pStyle w:val="TableText"/>
              <w:rPr>
                <w:rFonts w:ascii="Tahoma" w:hAnsi="Tahoma" w:cs="Tahoma"/>
                <w:sz w:val="13"/>
              </w:rPr>
            </w:pPr>
          </w:p>
        </w:tc>
        <w:tc>
          <w:tcPr>
            <w:tcW w:w="429" w:type="dxa"/>
            <w:tcBorders>
              <w:bottom w:val="single" w:sz="4" w:space="0" w:color="auto"/>
            </w:tcBorders>
            <w:shd w:val="clear" w:color="auto" w:fill="auto"/>
            <w:vAlign w:val="center"/>
          </w:tcPr>
          <w:p w:rsidR="003418C5" w:rsidRPr="003410C7" w:rsidRDefault="003418C5" w:rsidP="004B3534">
            <w:pPr>
              <w:pStyle w:val="TableText"/>
              <w:rPr>
                <w:rFonts w:ascii="Tahoma" w:hAnsi="Tahoma" w:cs="Tahoma"/>
                <w:sz w:val="13"/>
              </w:rPr>
            </w:pPr>
          </w:p>
        </w:tc>
        <w:tc>
          <w:tcPr>
            <w:tcW w:w="429" w:type="dxa"/>
            <w:tcBorders>
              <w:bottom w:val="single" w:sz="4" w:space="0" w:color="auto"/>
            </w:tcBorders>
            <w:shd w:val="clear" w:color="auto" w:fill="auto"/>
            <w:vAlign w:val="center"/>
          </w:tcPr>
          <w:p w:rsidR="003418C5" w:rsidRPr="003410C7" w:rsidRDefault="003418C5" w:rsidP="004B3534">
            <w:pPr>
              <w:pStyle w:val="TableText"/>
              <w:rPr>
                <w:rFonts w:ascii="Tahoma" w:hAnsi="Tahoma" w:cs="Tahoma"/>
                <w:sz w:val="13"/>
              </w:rPr>
            </w:pPr>
          </w:p>
        </w:tc>
        <w:tc>
          <w:tcPr>
            <w:tcW w:w="429" w:type="dxa"/>
            <w:tcBorders>
              <w:bottom w:val="single" w:sz="4" w:space="0" w:color="auto"/>
            </w:tcBorders>
            <w:shd w:val="clear" w:color="auto" w:fill="auto"/>
            <w:vAlign w:val="center"/>
          </w:tcPr>
          <w:p w:rsidR="003418C5" w:rsidRPr="003410C7" w:rsidRDefault="003418C5" w:rsidP="004B3534">
            <w:pPr>
              <w:pStyle w:val="TableText"/>
              <w:rPr>
                <w:rFonts w:ascii="Tahoma" w:hAnsi="Tahoma" w:cs="Tahoma"/>
                <w:sz w:val="13"/>
              </w:rPr>
            </w:pPr>
          </w:p>
        </w:tc>
        <w:tc>
          <w:tcPr>
            <w:tcW w:w="429" w:type="dxa"/>
            <w:tcBorders>
              <w:bottom w:val="single" w:sz="4" w:space="0" w:color="auto"/>
            </w:tcBorders>
            <w:shd w:val="clear" w:color="auto" w:fill="auto"/>
            <w:vAlign w:val="center"/>
          </w:tcPr>
          <w:p w:rsidR="003418C5" w:rsidRPr="003410C7" w:rsidRDefault="003418C5" w:rsidP="004B3534">
            <w:pPr>
              <w:pStyle w:val="TableText"/>
              <w:rPr>
                <w:rFonts w:ascii="Tahoma" w:hAnsi="Tahoma" w:cs="Tahoma"/>
                <w:sz w:val="13"/>
              </w:rPr>
            </w:pPr>
          </w:p>
        </w:tc>
        <w:tc>
          <w:tcPr>
            <w:tcW w:w="429" w:type="dxa"/>
            <w:tcBorders>
              <w:bottom w:val="single" w:sz="4" w:space="0" w:color="auto"/>
              <w:right w:val="single" w:sz="18" w:space="0" w:color="auto"/>
            </w:tcBorders>
            <w:shd w:val="clear" w:color="auto" w:fill="auto"/>
            <w:vAlign w:val="center"/>
          </w:tcPr>
          <w:p w:rsidR="003418C5" w:rsidRPr="003410C7" w:rsidRDefault="003418C5" w:rsidP="004B3534">
            <w:pPr>
              <w:pStyle w:val="TableText"/>
              <w:rPr>
                <w:rFonts w:ascii="Tahoma" w:hAnsi="Tahoma" w:cs="Tahoma"/>
                <w:sz w:val="13"/>
              </w:rPr>
            </w:pPr>
          </w:p>
        </w:tc>
        <w:tc>
          <w:tcPr>
            <w:tcW w:w="429" w:type="dxa"/>
            <w:tcBorders>
              <w:left w:val="single" w:sz="18" w:space="0" w:color="auto"/>
              <w:bottom w:val="single" w:sz="4" w:space="0" w:color="auto"/>
            </w:tcBorders>
            <w:shd w:val="clear" w:color="auto" w:fill="auto"/>
            <w:vAlign w:val="center"/>
          </w:tcPr>
          <w:p w:rsidR="003418C5" w:rsidRPr="003410C7" w:rsidRDefault="003418C5" w:rsidP="004B3534">
            <w:pPr>
              <w:pStyle w:val="TableText"/>
              <w:rPr>
                <w:rFonts w:ascii="Tahoma" w:hAnsi="Tahoma" w:cs="Tahoma"/>
                <w:sz w:val="13"/>
              </w:rPr>
            </w:pPr>
          </w:p>
        </w:tc>
        <w:tc>
          <w:tcPr>
            <w:tcW w:w="429" w:type="dxa"/>
            <w:tcBorders>
              <w:bottom w:val="single" w:sz="4" w:space="0" w:color="auto"/>
            </w:tcBorders>
            <w:shd w:val="clear" w:color="auto" w:fill="auto"/>
            <w:vAlign w:val="center"/>
          </w:tcPr>
          <w:p w:rsidR="003418C5" w:rsidRPr="003410C7" w:rsidRDefault="003418C5" w:rsidP="004B3534">
            <w:pPr>
              <w:pStyle w:val="TableText"/>
              <w:rPr>
                <w:rFonts w:ascii="Tahoma" w:hAnsi="Tahoma" w:cs="Tahoma"/>
                <w:sz w:val="13"/>
              </w:rPr>
            </w:pPr>
          </w:p>
        </w:tc>
        <w:tc>
          <w:tcPr>
            <w:tcW w:w="442" w:type="dxa"/>
            <w:tcBorders>
              <w:bottom w:val="single" w:sz="4" w:space="0" w:color="auto"/>
              <w:right w:val="single" w:sz="18" w:space="0" w:color="auto"/>
            </w:tcBorders>
            <w:shd w:val="clear" w:color="auto" w:fill="auto"/>
            <w:vAlign w:val="center"/>
          </w:tcPr>
          <w:p w:rsidR="003418C5" w:rsidRPr="003410C7" w:rsidRDefault="003418C5" w:rsidP="004B3534">
            <w:pPr>
              <w:pStyle w:val="TableText"/>
              <w:rPr>
                <w:rFonts w:ascii="Tahoma" w:hAnsi="Tahoma" w:cs="Tahoma"/>
                <w:sz w:val="13"/>
              </w:rPr>
            </w:pPr>
          </w:p>
        </w:tc>
        <w:tc>
          <w:tcPr>
            <w:tcW w:w="495" w:type="dxa"/>
            <w:tcBorders>
              <w:left w:val="single" w:sz="18" w:space="0" w:color="auto"/>
              <w:bottom w:val="single" w:sz="4" w:space="0" w:color="auto"/>
            </w:tcBorders>
            <w:shd w:val="clear" w:color="auto" w:fill="auto"/>
            <w:vAlign w:val="center"/>
          </w:tcPr>
          <w:p w:rsidR="003418C5" w:rsidRPr="003410C7" w:rsidRDefault="003418C5" w:rsidP="004B3534">
            <w:pPr>
              <w:pStyle w:val="TableText"/>
              <w:rPr>
                <w:rFonts w:ascii="Tahoma" w:hAnsi="Tahoma" w:cs="Tahoma"/>
                <w:sz w:val="13"/>
              </w:rPr>
            </w:pPr>
          </w:p>
        </w:tc>
        <w:tc>
          <w:tcPr>
            <w:tcW w:w="459" w:type="dxa"/>
            <w:tcBorders>
              <w:bottom w:val="single" w:sz="4" w:space="0" w:color="auto"/>
              <w:right w:val="single" w:sz="18" w:space="0" w:color="auto"/>
            </w:tcBorders>
            <w:shd w:val="clear" w:color="auto" w:fill="auto"/>
            <w:vAlign w:val="center"/>
          </w:tcPr>
          <w:p w:rsidR="003418C5" w:rsidRPr="003410C7" w:rsidRDefault="003418C5" w:rsidP="004B3534">
            <w:pPr>
              <w:pStyle w:val="TableText"/>
              <w:rPr>
                <w:rFonts w:ascii="Tahoma" w:hAnsi="Tahoma" w:cs="Tahoma"/>
                <w:sz w:val="13"/>
              </w:rPr>
            </w:pPr>
            <w:r w:rsidRPr="003410C7">
              <w:rPr>
                <w:rFonts w:ascii="Tahoma" w:hAnsi="Tahoma" w:cs="Tahoma"/>
                <w:sz w:val="13"/>
              </w:rPr>
              <w:t>E, S</w:t>
            </w:r>
          </w:p>
        </w:tc>
        <w:tc>
          <w:tcPr>
            <w:tcW w:w="360" w:type="dxa"/>
            <w:tcBorders>
              <w:left w:val="single" w:sz="18" w:space="0" w:color="auto"/>
              <w:bottom w:val="single" w:sz="4" w:space="0" w:color="auto"/>
              <w:right w:val="single" w:sz="18" w:space="0" w:color="auto"/>
            </w:tcBorders>
            <w:shd w:val="clear" w:color="auto" w:fill="auto"/>
            <w:vAlign w:val="center"/>
          </w:tcPr>
          <w:p w:rsidR="003418C5" w:rsidRPr="003410C7" w:rsidRDefault="003418C5" w:rsidP="004B3534">
            <w:pPr>
              <w:pStyle w:val="TableText"/>
              <w:rPr>
                <w:rFonts w:ascii="Tahoma" w:hAnsi="Tahoma" w:cs="Tahoma"/>
                <w:sz w:val="13"/>
              </w:rPr>
            </w:pPr>
          </w:p>
        </w:tc>
        <w:tc>
          <w:tcPr>
            <w:tcW w:w="474" w:type="dxa"/>
            <w:tcBorders>
              <w:bottom w:val="single" w:sz="4" w:space="0" w:color="auto"/>
            </w:tcBorders>
            <w:shd w:val="clear" w:color="auto" w:fill="auto"/>
            <w:vAlign w:val="center"/>
          </w:tcPr>
          <w:p w:rsidR="003418C5" w:rsidRPr="003410C7" w:rsidRDefault="003418C5" w:rsidP="00080B33">
            <w:pPr>
              <w:pStyle w:val="TableText"/>
              <w:rPr>
                <w:rFonts w:ascii="Tahoma" w:hAnsi="Tahoma" w:cs="Tahoma"/>
                <w:sz w:val="13"/>
              </w:rPr>
            </w:pPr>
          </w:p>
        </w:tc>
        <w:tc>
          <w:tcPr>
            <w:tcW w:w="514" w:type="dxa"/>
            <w:tcBorders>
              <w:bottom w:val="single" w:sz="4" w:space="0" w:color="auto"/>
            </w:tcBorders>
            <w:shd w:val="clear" w:color="auto" w:fill="auto"/>
            <w:vAlign w:val="center"/>
          </w:tcPr>
          <w:p w:rsidR="003418C5" w:rsidRPr="003410C7" w:rsidRDefault="003418C5" w:rsidP="004B3534">
            <w:pPr>
              <w:pStyle w:val="TableText"/>
              <w:rPr>
                <w:rFonts w:ascii="Tahoma" w:hAnsi="Tahoma" w:cs="Tahoma"/>
                <w:sz w:val="13"/>
              </w:rPr>
            </w:pPr>
          </w:p>
        </w:tc>
      </w:tr>
      <w:tr w:rsidR="00EF228F" w:rsidRPr="003410C7" w:rsidTr="002A074D">
        <w:trPr>
          <w:cantSplit/>
          <w:trHeight w:val="305"/>
        </w:trPr>
        <w:tc>
          <w:tcPr>
            <w:tcW w:w="2638" w:type="dxa"/>
            <w:tcBorders>
              <w:bottom w:val="single" w:sz="4" w:space="0" w:color="auto"/>
            </w:tcBorders>
            <w:shd w:val="clear" w:color="auto" w:fill="FABF8F"/>
            <w:vAlign w:val="center"/>
          </w:tcPr>
          <w:p w:rsidR="00CC19FC" w:rsidRPr="00451078" w:rsidRDefault="00CC19FC" w:rsidP="000D238A">
            <w:pPr>
              <w:pStyle w:val="Heading2"/>
              <w:spacing w:beforeLines="20" w:before="48" w:afterLines="20" w:after="48"/>
              <w:ind w:left="0"/>
              <w:rPr>
                <w:rFonts w:ascii="Tahoma" w:hAnsi="Tahoma" w:cs="Tahoma"/>
                <w:b w:val="0"/>
                <w:sz w:val="14"/>
                <w:lang w:val="it-IT"/>
              </w:rPr>
            </w:pPr>
            <w:bookmarkStart w:id="76" w:name="_Toc336337870"/>
            <w:bookmarkStart w:id="77" w:name="_Toc352234475"/>
            <w:r w:rsidRPr="00451078">
              <w:rPr>
                <w:rFonts w:ascii="Tahoma" w:hAnsi="Tahoma" w:cs="Tahoma"/>
                <w:b w:val="0"/>
                <w:sz w:val="14"/>
                <w:lang w:val="it-IT"/>
              </w:rPr>
              <w:t>Sottoscrizione Office Professional Plus A</w:t>
            </w:r>
            <w:r w:rsidR="000D238A" w:rsidRPr="00451078">
              <w:rPr>
                <w:rFonts w:ascii="Tahoma" w:hAnsi="Tahoma" w:cs="Tahoma"/>
                <w:b w:val="0"/>
                <w:sz w:val="14"/>
                <w:lang w:val="it-IT"/>
              </w:rPr>
              <w:t> </w:t>
            </w:r>
            <w:r w:rsidRPr="00451078">
              <w:rPr>
                <w:rFonts w:ascii="Tahoma" w:hAnsi="Tahoma" w:cs="Tahoma"/>
                <w:b w:val="0"/>
                <w:sz w:val="14"/>
                <w:lang w:val="it-IT"/>
              </w:rPr>
              <w:t>(SL per Utente)</w:t>
            </w:r>
            <w:bookmarkEnd w:id="76"/>
            <w:bookmarkEnd w:id="77"/>
          </w:p>
        </w:tc>
        <w:tc>
          <w:tcPr>
            <w:tcW w:w="429" w:type="dxa"/>
            <w:tcBorders>
              <w:bottom w:val="single" w:sz="4" w:space="0" w:color="auto"/>
            </w:tcBorders>
            <w:shd w:val="clear" w:color="auto" w:fill="FABF8F"/>
            <w:vAlign w:val="center"/>
          </w:tcPr>
          <w:p w:rsidR="00CC19FC" w:rsidRPr="00451078" w:rsidRDefault="00CC19FC" w:rsidP="00761E3B">
            <w:pPr>
              <w:pStyle w:val="TableText"/>
              <w:widowControl w:val="0"/>
              <w:rPr>
                <w:b/>
                <w:color w:val="0000FF"/>
                <w:sz w:val="13"/>
                <w:szCs w:val="13"/>
                <w:u w:val="single"/>
                <w:lang w:val="it-IT"/>
              </w:rPr>
            </w:pPr>
          </w:p>
        </w:tc>
        <w:tc>
          <w:tcPr>
            <w:tcW w:w="429" w:type="dxa"/>
            <w:tcBorders>
              <w:bottom w:val="single" w:sz="4" w:space="0" w:color="auto"/>
            </w:tcBorders>
            <w:shd w:val="clear" w:color="auto" w:fill="FABF8F"/>
            <w:vAlign w:val="center"/>
          </w:tcPr>
          <w:p w:rsidR="00CC19FC" w:rsidRPr="003410C7" w:rsidRDefault="00CC19FC" w:rsidP="004000C7">
            <w:pPr>
              <w:pStyle w:val="TableText"/>
              <w:rPr>
                <w:rFonts w:ascii="Tahoma" w:hAnsi="Tahoma" w:cs="Tahoma"/>
                <w:sz w:val="13"/>
              </w:rPr>
            </w:pPr>
            <w:r w:rsidRPr="003410C7">
              <w:rPr>
                <w:rFonts w:ascii="Tahoma" w:hAnsi="Tahoma" w:cs="Tahoma"/>
                <w:sz w:val="13"/>
              </w:rPr>
              <w:t>06/12</w:t>
            </w:r>
          </w:p>
        </w:tc>
        <w:tc>
          <w:tcPr>
            <w:tcW w:w="429" w:type="dxa"/>
            <w:tcBorders>
              <w:bottom w:val="single" w:sz="4" w:space="0" w:color="auto"/>
              <w:right w:val="single" w:sz="18" w:space="0" w:color="auto"/>
            </w:tcBorders>
            <w:shd w:val="clear" w:color="auto" w:fill="FABF8F"/>
            <w:vAlign w:val="center"/>
          </w:tcPr>
          <w:p w:rsidR="00CC19FC" w:rsidRPr="003410C7" w:rsidRDefault="00CC19FC" w:rsidP="004B3534">
            <w:pPr>
              <w:pStyle w:val="TableText"/>
              <w:rPr>
                <w:rFonts w:ascii="Tahoma" w:hAnsi="Tahoma" w:cs="Tahoma"/>
                <w:sz w:val="13"/>
              </w:rPr>
            </w:pPr>
          </w:p>
        </w:tc>
        <w:tc>
          <w:tcPr>
            <w:tcW w:w="429" w:type="dxa"/>
            <w:tcBorders>
              <w:left w:val="single" w:sz="18" w:space="0" w:color="auto"/>
              <w:bottom w:val="single" w:sz="4" w:space="0" w:color="auto"/>
            </w:tcBorders>
            <w:shd w:val="clear" w:color="auto" w:fill="FABF8F"/>
            <w:vAlign w:val="center"/>
          </w:tcPr>
          <w:p w:rsidR="00CC19FC" w:rsidRPr="003410C7" w:rsidRDefault="00CC19FC" w:rsidP="004B3534">
            <w:pPr>
              <w:pStyle w:val="TableText"/>
              <w:rPr>
                <w:rFonts w:ascii="Tahoma" w:hAnsi="Tahoma" w:cs="Tahoma"/>
                <w:sz w:val="13"/>
              </w:rPr>
            </w:pPr>
          </w:p>
        </w:tc>
        <w:tc>
          <w:tcPr>
            <w:tcW w:w="429" w:type="dxa"/>
            <w:tcBorders>
              <w:bottom w:val="single" w:sz="4" w:space="0" w:color="auto"/>
            </w:tcBorders>
            <w:shd w:val="clear" w:color="auto" w:fill="FABF8F"/>
            <w:vAlign w:val="center"/>
          </w:tcPr>
          <w:p w:rsidR="00CC19FC" w:rsidRPr="003410C7" w:rsidRDefault="00CC19FC" w:rsidP="004B3534">
            <w:pPr>
              <w:pStyle w:val="TableText"/>
              <w:rPr>
                <w:rFonts w:ascii="Tahoma" w:hAnsi="Tahoma" w:cs="Tahoma"/>
                <w:sz w:val="13"/>
              </w:rPr>
            </w:pPr>
          </w:p>
        </w:tc>
        <w:tc>
          <w:tcPr>
            <w:tcW w:w="429" w:type="dxa"/>
            <w:tcBorders>
              <w:bottom w:val="single" w:sz="4" w:space="0" w:color="auto"/>
            </w:tcBorders>
            <w:shd w:val="clear" w:color="auto" w:fill="FABF8F"/>
            <w:vAlign w:val="center"/>
          </w:tcPr>
          <w:p w:rsidR="00CC19FC" w:rsidRPr="003410C7" w:rsidRDefault="00CC19FC" w:rsidP="004B3534">
            <w:pPr>
              <w:pStyle w:val="TableText"/>
              <w:rPr>
                <w:rFonts w:ascii="Tahoma" w:hAnsi="Tahoma" w:cs="Tahoma"/>
                <w:sz w:val="13"/>
              </w:rPr>
            </w:pPr>
          </w:p>
        </w:tc>
        <w:tc>
          <w:tcPr>
            <w:tcW w:w="429" w:type="dxa"/>
            <w:tcBorders>
              <w:bottom w:val="single" w:sz="4" w:space="0" w:color="auto"/>
            </w:tcBorders>
            <w:shd w:val="clear" w:color="auto" w:fill="FABF8F"/>
            <w:vAlign w:val="center"/>
          </w:tcPr>
          <w:p w:rsidR="00CC19FC" w:rsidRPr="003410C7" w:rsidRDefault="00CC19FC" w:rsidP="004B3534">
            <w:pPr>
              <w:pStyle w:val="TableText"/>
              <w:rPr>
                <w:rFonts w:ascii="Tahoma" w:hAnsi="Tahoma" w:cs="Tahoma"/>
                <w:sz w:val="13"/>
              </w:rPr>
            </w:pPr>
          </w:p>
        </w:tc>
        <w:tc>
          <w:tcPr>
            <w:tcW w:w="429" w:type="dxa"/>
            <w:tcBorders>
              <w:bottom w:val="single" w:sz="4" w:space="0" w:color="auto"/>
            </w:tcBorders>
            <w:shd w:val="clear" w:color="auto" w:fill="FABF8F"/>
            <w:vAlign w:val="center"/>
          </w:tcPr>
          <w:p w:rsidR="00CC19FC" w:rsidRPr="003410C7" w:rsidRDefault="00CC19FC" w:rsidP="004B3534">
            <w:pPr>
              <w:pStyle w:val="TableText"/>
              <w:rPr>
                <w:rFonts w:ascii="Tahoma" w:hAnsi="Tahoma" w:cs="Tahoma"/>
                <w:sz w:val="13"/>
              </w:rPr>
            </w:pPr>
          </w:p>
        </w:tc>
        <w:tc>
          <w:tcPr>
            <w:tcW w:w="429" w:type="dxa"/>
            <w:tcBorders>
              <w:bottom w:val="single" w:sz="4" w:space="0" w:color="auto"/>
            </w:tcBorders>
            <w:shd w:val="clear" w:color="auto" w:fill="FABF8F"/>
            <w:vAlign w:val="center"/>
          </w:tcPr>
          <w:p w:rsidR="00CC19FC" w:rsidRPr="003410C7" w:rsidRDefault="00CC19FC" w:rsidP="004B3534">
            <w:pPr>
              <w:pStyle w:val="TableText"/>
              <w:rPr>
                <w:rFonts w:ascii="Tahoma" w:hAnsi="Tahoma" w:cs="Tahoma"/>
                <w:sz w:val="13"/>
              </w:rPr>
            </w:pPr>
          </w:p>
        </w:tc>
        <w:tc>
          <w:tcPr>
            <w:tcW w:w="429" w:type="dxa"/>
            <w:tcBorders>
              <w:bottom w:val="single" w:sz="4" w:space="0" w:color="auto"/>
              <w:right w:val="single" w:sz="18" w:space="0" w:color="auto"/>
            </w:tcBorders>
            <w:shd w:val="clear" w:color="auto" w:fill="FABF8F"/>
            <w:vAlign w:val="center"/>
          </w:tcPr>
          <w:p w:rsidR="00CC19FC" w:rsidRPr="003410C7" w:rsidRDefault="00CC19FC" w:rsidP="004B3534">
            <w:pPr>
              <w:pStyle w:val="TableText"/>
              <w:rPr>
                <w:rFonts w:ascii="Tahoma" w:hAnsi="Tahoma" w:cs="Tahoma"/>
                <w:sz w:val="13"/>
              </w:rPr>
            </w:pPr>
          </w:p>
        </w:tc>
        <w:tc>
          <w:tcPr>
            <w:tcW w:w="429" w:type="dxa"/>
            <w:tcBorders>
              <w:left w:val="single" w:sz="18" w:space="0" w:color="auto"/>
              <w:bottom w:val="single" w:sz="4" w:space="0" w:color="auto"/>
            </w:tcBorders>
            <w:shd w:val="clear" w:color="auto" w:fill="FABF8F"/>
            <w:vAlign w:val="center"/>
          </w:tcPr>
          <w:p w:rsidR="00CC19FC" w:rsidRPr="003410C7" w:rsidRDefault="00CC19FC" w:rsidP="004B3534">
            <w:pPr>
              <w:pStyle w:val="TableText"/>
              <w:rPr>
                <w:rFonts w:ascii="Tahoma" w:hAnsi="Tahoma" w:cs="Tahoma"/>
                <w:sz w:val="13"/>
              </w:rPr>
            </w:pPr>
          </w:p>
        </w:tc>
        <w:tc>
          <w:tcPr>
            <w:tcW w:w="429" w:type="dxa"/>
            <w:tcBorders>
              <w:bottom w:val="single" w:sz="4" w:space="0" w:color="auto"/>
            </w:tcBorders>
            <w:shd w:val="clear" w:color="auto" w:fill="FABF8F"/>
            <w:vAlign w:val="center"/>
          </w:tcPr>
          <w:p w:rsidR="00CC19FC" w:rsidRPr="003410C7" w:rsidRDefault="00CC19FC" w:rsidP="004B3534">
            <w:pPr>
              <w:pStyle w:val="TableText"/>
              <w:rPr>
                <w:rFonts w:ascii="Tahoma" w:hAnsi="Tahoma" w:cs="Tahoma"/>
                <w:sz w:val="13"/>
              </w:rPr>
            </w:pPr>
          </w:p>
        </w:tc>
        <w:tc>
          <w:tcPr>
            <w:tcW w:w="442" w:type="dxa"/>
            <w:tcBorders>
              <w:bottom w:val="single" w:sz="4" w:space="0" w:color="auto"/>
              <w:right w:val="single" w:sz="18" w:space="0" w:color="auto"/>
            </w:tcBorders>
            <w:shd w:val="clear" w:color="auto" w:fill="FABF8F"/>
            <w:vAlign w:val="center"/>
          </w:tcPr>
          <w:p w:rsidR="00CC19FC" w:rsidRPr="003410C7" w:rsidRDefault="00CC19FC" w:rsidP="004B3534">
            <w:pPr>
              <w:pStyle w:val="TableText"/>
              <w:rPr>
                <w:rFonts w:ascii="Tahoma" w:hAnsi="Tahoma" w:cs="Tahoma"/>
                <w:sz w:val="13"/>
              </w:rPr>
            </w:pPr>
          </w:p>
        </w:tc>
        <w:tc>
          <w:tcPr>
            <w:tcW w:w="495" w:type="dxa"/>
            <w:tcBorders>
              <w:left w:val="single" w:sz="18" w:space="0" w:color="auto"/>
              <w:bottom w:val="single" w:sz="4" w:space="0" w:color="auto"/>
            </w:tcBorders>
            <w:shd w:val="clear" w:color="auto" w:fill="FABF8F"/>
            <w:vAlign w:val="center"/>
          </w:tcPr>
          <w:p w:rsidR="00CC19FC" w:rsidRPr="003410C7" w:rsidRDefault="00CC19FC" w:rsidP="004B3534">
            <w:pPr>
              <w:pStyle w:val="TableText"/>
              <w:rPr>
                <w:rFonts w:ascii="Tahoma" w:hAnsi="Tahoma" w:cs="Tahoma"/>
                <w:sz w:val="13"/>
              </w:rPr>
            </w:pPr>
            <w:r w:rsidRPr="003410C7">
              <w:rPr>
                <w:rFonts w:ascii="Tahoma" w:hAnsi="Tahoma" w:cs="Tahoma"/>
                <w:sz w:val="13"/>
              </w:rPr>
              <w:t>1</w:t>
            </w:r>
          </w:p>
        </w:tc>
        <w:tc>
          <w:tcPr>
            <w:tcW w:w="459" w:type="dxa"/>
            <w:tcBorders>
              <w:bottom w:val="single" w:sz="4" w:space="0" w:color="auto"/>
              <w:right w:val="single" w:sz="18" w:space="0" w:color="auto"/>
            </w:tcBorders>
            <w:shd w:val="clear" w:color="auto" w:fill="FABF8F"/>
            <w:vAlign w:val="center"/>
          </w:tcPr>
          <w:p w:rsidR="00CC19FC" w:rsidRPr="003410C7" w:rsidRDefault="00CC19FC" w:rsidP="004B3534">
            <w:pPr>
              <w:pStyle w:val="TableText"/>
              <w:rPr>
                <w:rFonts w:ascii="Tahoma" w:hAnsi="Tahoma" w:cs="Tahoma"/>
                <w:sz w:val="13"/>
              </w:rPr>
            </w:pPr>
            <w:r w:rsidRPr="003410C7">
              <w:rPr>
                <w:rFonts w:ascii="Tahoma" w:hAnsi="Tahoma" w:cs="Tahoma"/>
                <w:sz w:val="13"/>
              </w:rPr>
              <w:t>E</w:t>
            </w:r>
          </w:p>
        </w:tc>
        <w:tc>
          <w:tcPr>
            <w:tcW w:w="360" w:type="dxa"/>
            <w:tcBorders>
              <w:left w:val="single" w:sz="18" w:space="0" w:color="auto"/>
              <w:bottom w:val="single" w:sz="4" w:space="0" w:color="auto"/>
              <w:right w:val="single" w:sz="18" w:space="0" w:color="auto"/>
            </w:tcBorders>
            <w:shd w:val="clear" w:color="auto" w:fill="FABF8F"/>
            <w:vAlign w:val="center"/>
          </w:tcPr>
          <w:p w:rsidR="00CC19FC" w:rsidRPr="003410C7" w:rsidRDefault="00CC19FC" w:rsidP="004B3534">
            <w:pPr>
              <w:pStyle w:val="TableText"/>
              <w:rPr>
                <w:rFonts w:ascii="Tahoma" w:hAnsi="Tahoma" w:cs="Tahoma"/>
                <w:sz w:val="13"/>
              </w:rPr>
            </w:pPr>
          </w:p>
        </w:tc>
        <w:tc>
          <w:tcPr>
            <w:tcW w:w="474" w:type="dxa"/>
            <w:tcBorders>
              <w:bottom w:val="single" w:sz="4" w:space="0" w:color="auto"/>
            </w:tcBorders>
            <w:shd w:val="clear" w:color="auto" w:fill="FABF8F"/>
            <w:vAlign w:val="center"/>
          </w:tcPr>
          <w:p w:rsidR="00CC19FC" w:rsidRPr="003410C7" w:rsidRDefault="00CC19FC" w:rsidP="00080B33">
            <w:pPr>
              <w:pStyle w:val="TableText"/>
              <w:rPr>
                <w:rFonts w:ascii="Tahoma" w:hAnsi="Tahoma" w:cs="Tahoma"/>
                <w:sz w:val="13"/>
              </w:rPr>
            </w:pPr>
            <w:r w:rsidRPr="003410C7">
              <w:rPr>
                <w:rFonts w:ascii="Tahoma" w:hAnsi="Tahoma" w:cs="Tahoma"/>
                <w:sz w:val="13"/>
              </w:rPr>
              <w:t>E (Solo EES)</w:t>
            </w:r>
          </w:p>
        </w:tc>
        <w:tc>
          <w:tcPr>
            <w:tcW w:w="514" w:type="dxa"/>
            <w:tcBorders>
              <w:bottom w:val="single" w:sz="4" w:space="0" w:color="auto"/>
            </w:tcBorders>
            <w:shd w:val="clear" w:color="auto" w:fill="FABF8F"/>
            <w:vAlign w:val="center"/>
          </w:tcPr>
          <w:p w:rsidR="00CC19FC" w:rsidRPr="003410C7" w:rsidRDefault="00CC19FC" w:rsidP="004B3534">
            <w:pPr>
              <w:pStyle w:val="TableText"/>
              <w:rPr>
                <w:rFonts w:ascii="Tahoma" w:hAnsi="Tahoma" w:cs="Tahoma"/>
                <w:sz w:val="13"/>
              </w:rPr>
            </w:pPr>
          </w:p>
        </w:tc>
      </w:tr>
      <w:tr w:rsidR="00792825" w:rsidRPr="003410C7" w:rsidTr="002A074D">
        <w:trPr>
          <w:cantSplit/>
          <w:trHeight w:val="305"/>
        </w:trPr>
        <w:tc>
          <w:tcPr>
            <w:tcW w:w="2638" w:type="dxa"/>
            <w:tcBorders>
              <w:bottom w:val="single" w:sz="4" w:space="0" w:color="auto"/>
            </w:tcBorders>
            <w:shd w:val="clear" w:color="auto" w:fill="auto"/>
            <w:vAlign w:val="center"/>
          </w:tcPr>
          <w:p w:rsidR="00CC19FC" w:rsidRPr="003410C7" w:rsidRDefault="00CC19FC" w:rsidP="003410C7">
            <w:pPr>
              <w:pStyle w:val="Heading2"/>
              <w:spacing w:beforeLines="20" w:before="48" w:afterLines="20" w:after="48"/>
              <w:ind w:left="0"/>
              <w:rPr>
                <w:rFonts w:ascii="Tahoma" w:hAnsi="Tahoma" w:cs="Tahoma"/>
                <w:b w:val="0"/>
                <w:sz w:val="14"/>
              </w:rPr>
            </w:pPr>
            <w:bookmarkStart w:id="78" w:name="_Toc336337873"/>
            <w:bookmarkStart w:id="79" w:name="_Toc352234476"/>
            <w:r w:rsidRPr="003410C7">
              <w:rPr>
                <w:rFonts w:ascii="Tahoma" w:hAnsi="Tahoma" w:cs="Tahoma"/>
                <w:b w:val="0"/>
                <w:sz w:val="14"/>
              </w:rPr>
              <w:lastRenderedPageBreak/>
              <w:t>OneNote</w:t>
            </w:r>
            <w:r w:rsidR="003410C7" w:rsidRPr="003410C7">
              <w:rPr>
                <w:rFonts w:ascii="Tahoma" w:hAnsi="Tahoma" w:cs="Tahoma"/>
                <w:b w:val="0"/>
                <w:sz w:val="14"/>
                <w:vertAlign w:val="superscript"/>
              </w:rPr>
              <w:t>®</w:t>
            </w:r>
            <w:r w:rsidRPr="003410C7">
              <w:rPr>
                <w:rFonts w:ascii="Tahoma" w:hAnsi="Tahoma" w:cs="Tahoma"/>
                <w:b w:val="0"/>
                <w:sz w:val="14"/>
              </w:rPr>
              <w:t xml:space="preserve"> </w:t>
            </w:r>
            <w:bookmarkEnd w:id="78"/>
            <w:r w:rsidRPr="003410C7">
              <w:rPr>
                <w:rFonts w:ascii="Tahoma" w:hAnsi="Tahoma" w:cs="Tahoma"/>
                <w:b w:val="0"/>
                <w:sz w:val="14"/>
              </w:rPr>
              <w:t>2013</w:t>
            </w:r>
            <w:bookmarkEnd w:id="79"/>
          </w:p>
        </w:tc>
        <w:tc>
          <w:tcPr>
            <w:tcW w:w="429" w:type="dxa"/>
            <w:tcBorders>
              <w:bottom w:val="single" w:sz="4" w:space="0" w:color="auto"/>
            </w:tcBorders>
            <w:shd w:val="clear" w:color="auto" w:fill="auto"/>
            <w:vAlign w:val="center"/>
          </w:tcPr>
          <w:p w:rsidR="00CC19FC" w:rsidRPr="009F17FF" w:rsidRDefault="00CC19FC" w:rsidP="00761E3B">
            <w:pPr>
              <w:pStyle w:val="TableText"/>
              <w:widowControl w:val="0"/>
              <w:rPr>
                <w:rStyle w:val="EndnoteReference"/>
                <w:color w:val="0000FF"/>
                <w:sz w:val="13"/>
                <w:szCs w:val="13"/>
                <w:u w:val="single"/>
              </w:rPr>
            </w:pPr>
          </w:p>
        </w:tc>
        <w:tc>
          <w:tcPr>
            <w:tcW w:w="429" w:type="dxa"/>
            <w:tcBorders>
              <w:bottom w:val="single" w:sz="4" w:space="0" w:color="auto"/>
            </w:tcBorders>
            <w:shd w:val="clear" w:color="auto" w:fill="auto"/>
            <w:vAlign w:val="center"/>
          </w:tcPr>
          <w:p w:rsidR="00CC19FC" w:rsidRPr="003410C7" w:rsidRDefault="00CC19FC" w:rsidP="004000C7">
            <w:pPr>
              <w:pStyle w:val="TableText"/>
              <w:rPr>
                <w:rFonts w:ascii="Tahoma" w:hAnsi="Tahoma" w:cs="Tahoma"/>
                <w:sz w:val="13"/>
              </w:rPr>
            </w:pPr>
            <w:r w:rsidRPr="003410C7">
              <w:rPr>
                <w:rFonts w:ascii="Tahoma" w:hAnsi="Tahoma" w:cs="Tahoma"/>
                <w:sz w:val="13"/>
              </w:rPr>
              <w:t>10/12</w:t>
            </w:r>
          </w:p>
        </w:tc>
        <w:tc>
          <w:tcPr>
            <w:tcW w:w="429" w:type="dxa"/>
            <w:tcBorders>
              <w:bottom w:val="single" w:sz="4" w:space="0" w:color="auto"/>
              <w:right w:val="single" w:sz="18" w:space="0" w:color="auto"/>
            </w:tcBorders>
            <w:shd w:val="clear" w:color="auto" w:fill="auto"/>
            <w:vAlign w:val="center"/>
          </w:tcPr>
          <w:p w:rsidR="00CC19FC" w:rsidRPr="003410C7" w:rsidRDefault="00CC19FC" w:rsidP="004B3534">
            <w:pPr>
              <w:pStyle w:val="TableText"/>
              <w:rPr>
                <w:rFonts w:ascii="Tahoma" w:hAnsi="Tahoma" w:cs="Tahoma"/>
                <w:sz w:val="13"/>
              </w:rPr>
            </w:pPr>
            <w:r w:rsidRPr="003410C7">
              <w:rPr>
                <w:rFonts w:ascii="Tahoma" w:hAnsi="Tahoma" w:cs="Tahoma"/>
                <w:sz w:val="13"/>
              </w:rPr>
              <w:t>DT</w:t>
            </w:r>
          </w:p>
        </w:tc>
        <w:tc>
          <w:tcPr>
            <w:tcW w:w="429" w:type="dxa"/>
            <w:tcBorders>
              <w:left w:val="single" w:sz="18" w:space="0" w:color="auto"/>
              <w:bottom w:val="single" w:sz="4" w:space="0" w:color="auto"/>
            </w:tcBorders>
            <w:shd w:val="clear" w:color="auto" w:fill="auto"/>
            <w:vAlign w:val="center"/>
          </w:tcPr>
          <w:p w:rsidR="00CC19FC" w:rsidRPr="003410C7" w:rsidRDefault="00CC19FC" w:rsidP="004B3534">
            <w:pPr>
              <w:pStyle w:val="TableText"/>
              <w:rPr>
                <w:rFonts w:ascii="Tahoma" w:hAnsi="Tahoma" w:cs="Tahoma"/>
                <w:sz w:val="13"/>
              </w:rPr>
            </w:pPr>
            <w:r w:rsidRPr="003410C7">
              <w:rPr>
                <w:rFonts w:ascii="Tahoma" w:hAnsi="Tahoma" w:cs="Tahoma"/>
                <w:sz w:val="13"/>
              </w:rPr>
              <w:t>1</w:t>
            </w:r>
          </w:p>
        </w:tc>
        <w:tc>
          <w:tcPr>
            <w:tcW w:w="429" w:type="dxa"/>
            <w:tcBorders>
              <w:bottom w:val="single" w:sz="4" w:space="0" w:color="auto"/>
            </w:tcBorders>
            <w:shd w:val="clear" w:color="auto" w:fill="auto"/>
            <w:vAlign w:val="center"/>
          </w:tcPr>
          <w:p w:rsidR="00CC19FC" w:rsidRPr="003410C7" w:rsidRDefault="00CC19FC" w:rsidP="004B3534">
            <w:pPr>
              <w:pStyle w:val="TableText"/>
              <w:rPr>
                <w:rFonts w:ascii="Tahoma" w:hAnsi="Tahoma" w:cs="Tahoma"/>
                <w:sz w:val="13"/>
              </w:rPr>
            </w:pPr>
            <w:r w:rsidRPr="003410C7">
              <w:rPr>
                <w:rFonts w:ascii="Tahoma" w:hAnsi="Tahoma" w:cs="Tahoma"/>
                <w:sz w:val="13"/>
              </w:rPr>
              <w:t>3</w:t>
            </w:r>
          </w:p>
        </w:tc>
        <w:tc>
          <w:tcPr>
            <w:tcW w:w="429" w:type="dxa"/>
            <w:tcBorders>
              <w:bottom w:val="single" w:sz="4" w:space="0" w:color="auto"/>
            </w:tcBorders>
            <w:shd w:val="clear" w:color="auto" w:fill="auto"/>
            <w:vAlign w:val="center"/>
          </w:tcPr>
          <w:p w:rsidR="00CC19FC" w:rsidRPr="003410C7" w:rsidRDefault="00CC19FC" w:rsidP="004B3534">
            <w:pPr>
              <w:pStyle w:val="TableText"/>
              <w:rPr>
                <w:rFonts w:ascii="Tahoma" w:hAnsi="Tahoma" w:cs="Tahoma"/>
                <w:sz w:val="13"/>
              </w:rPr>
            </w:pPr>
            <w:r w:rsidRPr="003410C7">
              <w:rPr>
                <w:rFonts w:ascii="Tahoma" w:hAnsi="Tahoma" w:cs="Tahoma"/>
                <w:sz w:val="13"/>
              </w:rPr>
              <w:t>2</w:t>
            </w:r>
          </w:p>
        </w:tc>
        <w:tc>
          <w:tcPr>
            <w:tcW w:w="429" w:type="dxa"/>
            <w:tcBorders>
              <w:bottom w:val="single" w:sz="4" w:space="0" w:color="auto"/>
            </w:tcBorders>
            <w:shd w:val="clear" w:color="auto" w:fill="auto"/>
            <w:vAlign w:val="center"/>
          </w:tcPr>
          <w:p w:rsidR="00CC19FC" w:rsidRPr="003410C7" w:rsidRDefault="00CC19FC" w:rsidP="004B3534">
            <w:pPr>
              <w:pStyle w:val="TableText"/>
              <w:rPr>
                <w:rFonts w:ascii="Tahoma" w:hAnsi="Tahoma" w:cs="Tahoma"/>
                <w:sz w:val="13"/>
              </w:rPr>
            </w:pPr>
            <w:r w:rsidRPr="003410C7">
              <w:rPr>
                <w:rFonts w:ascii="Tahoma" w:hAnsi="Tahoma" w:cs="Tahoma"/>
                <w:sz w:val="13"/>
              </w:rPr>
              <w:t>2</w:t>
            </w:r>
          </w:p>
        </w:tc>
        <w:tc>
          <w:tcPr>
            <w:tcW w:w="429" w:type="dxa"/>
            <w:tcBorders>
              <w:bottom w:val="single" w:sz="4" w:space="0" w:color="auto"/>
            </w:tcBorders>
            <w:shd w:val="clear" w:color="auto" w:fill="auto"/>
            <w:vAlign w:val="center"/>
          </w:tcPr>
          <w:p w:rsidR="00CC19FC" w:rsidRPr="003410C7" w:rsidRDefault="00CC19FC" w:rsidP="004B3534">
            <w:pPr>
              <w:pStyle w:val="TableText"/>
              <w:rPr>
                <w:rFonts w:ascii="Tahoma" w:hAnsi="Tahoma" w:cs="Tahoma"/>
                <w:sz w:val="13"/>
              </w:rPr>
            </w:pPr>
            <w:r w:rsidRPr="003410C7">
              <w:rPr>
                <w:rFonts w:ascii="Tahoma" w:hAnsi="Tahoma" w:cs="Tahoma"/>
                <w:sz w:val="13"/>
              </w:rPr>
              <w:t>2</w:t>
            </w:r>
          </w:p>
        </w:tc>
        <w:tc>
          <w:tcPr>
            <w:tcW w:w="429" w:type="dxa"/>
            <w:tcBorders>
              <w:bottom w:val="single" w:sz="4" w:space="0" w:color="auto"/>
            </w:tcBorders>
            <w:shd w:val="clear" w:color="auto" w:fill="auto"/>
            <w:vAlign w:val="center"/>
          </w:tcPr>
          <w:p w:rsidR="00CC19FC" w:rsidRPr="003410C7" w:rsidRDefault="00CC19FC" w:rsidP="004B3534">
            <w:pPr>
              <w:pStyle w:val="TableText"/>
              <w:rPr>
                <w:rFonts w:ascii="Tahoma" w:hAnsi="Tahoma" w:cs="Tahoma"/>
                <w:sz w:val="13"/>
              </w:rPr>
            </w:pPr>
            <w:r w:rsidRPr="003410C7">
              <w:rPr>
                <w:rFonts w:ascii="Tahoma" w:hAnsi="Tahoma" w:cs="Tahoma"/>
                <w:sz w:val="13"/>
              </w:rPr>
              <w:t>1</w:t>
            </w:r>
          </w:p>
        </w:tc>
        <w:tc>
          <w:tcPr>
            <w:tcW w:w="429" w:type="dxa"/>
            <w:tcBorders>
              <w:bottom w:val="single" w:sz="4" w:space="0" w:color="auto"/>
              <w:right w:val="single" w:sz="18" w:space="0" w:color="auto"/>
            </w:tcBorders>
            <w:shd w:val="clear" w:color="auto" w:fill="auto"/>
            <w:vAlign w:val="center"/>
          </w:tcPr>
          <w:p w:rsidR="00CC19FC" w:rsidRPr="003410C7" w:rsidRDefault="00CC19FC" w:rsidP="004B3534">
            <w:pPr>
              <w:pStyle w:val="TableText"/>
              <w:rPr>
                <w:rFonts w:ascii="Tahoma" w:hAnsi="Tahoma" w:cs="Tahoma"/>
                <w:sz w:val="13"/>
              </w:rPr>
            </w:pPr>
            <w:r w:rsidRPr="003410C7">
              <w:rPr>
                <w:rFonts w:ascii="Tahoma" w:hAnsi="Tahoma" w:cs="Tahoma"/>
                <w:sz w:val="13"/>
              </w:rPr>
              <w:t>1</w:t>
            </w:r>
          </w:p>
        </w:tc>
        <w:tc>
          <w:tcPr>
            <w:tcW w:w="429" w:type="dxa"/>
            <w:tcBorders>
              <w:left w:val="single" w:sz="18" w:space="0" w:color="auto"/>
              <w:bottom w:val="single" w:sz="4" w:space="0" w:color="auto"/>
            </w:tcBorders>
            <w:shd w:val="clear" w:color="auto" w:fill="auto"/>
            <w:vAlign w:val="center"/>
          </w:tcPr>
          <w:p w:rsidR="00CC19FC" w:rsidRPr="003410C7" w:rsidRDefault="00CC19FC" w:rsidP="004B3534">
            <w:pPr>
              <w:pStyle w:val="TableText"/>
              <w:rPr>
                <w:rFonts w:ascii="Tahoma" w:hAnsi="Tahoma" w:cs="Tahoma"/>
                <w:sz w:val="13"/>
              </w:rPr>
            </w:pPr>
            <w:r w:rsidRPr="003410C7">
              <w:rPr>
                <w:rFonts w:ascii="Tahoma" w:hAnsi="Tahoma" w:cs="Tahoma"/>
                <w:sz w:val="13"/>
              </w:rPr>
              <w:t>1</w:t>
            </w:r>
          </w:p>
        </w:tc>
        <w:tc>
          <w:tcPr>
            <w:tcW w:w="429" w:type="dxa"/>
            <w:tcBorders>
              <w:bottom w:val="single" w:sz="4" w:space="0" w:color="auto"/>
            </w:tcBorders>
            <w:shd w:val="clear" w:color="auto" w:fill="auto"/>
            <w:vAlign w:val="center"/>
          </w:tcPr>
          <w:p w:rsidR="00CC19FC" w:rsidRPr="003410C7" w:rsidRDefault="00CC19FC" w:rsidP="004B3534">
            <w:pPr>
              <w:pStyle w:val="TableText"/>
              <w:rPr>
                <w:rFonts w:ascii="Tahoma" w:hAnsi="Tahoma" w:cs="Tahoma"/>
                <w:sz w:val="13"/>
              </w:rPr>
            </w:pPr>
            <w:r w:rsidRPr="003410C7">
              <w:rPr>
                <w:rFonts w:ascii="Tahoma" w:hAnsi="Tahoma" w:cs="Tahoma"/>
                <w:sz w:val="13"/>
              </w:rPr>
              <w:t>2</w:t>
            </w:r>
          </w:p>
        </w:tc>
        <w:tc>
          <w:tcPr>
            <w:tcW w:w="442" w:type="dxa"/>
            <w:tcBorders>
              <w:bottom w:val="single" w:sz="4" w:space="0" w:color="auto"/>
              <w:right w:val="single" w:sz="18" w:space="0" w:color="auto"/>
            </w:tcBorders>
            <w:shd w:val="clear" w:color="auto" w:fill="auto"/>
            <w:vAlign w:val="center"/>
          </w:tcPr>
          <w:p w:rsidR="00CC19FC" w:rsidRPr="003410C7" w:rsidRDefault="00CC19FC" w:rsidP="004B3534">
            <w:pPr>
              <w:pStyle w:val="TableText"/>
              <w:rPr>
                <w:rFonts w:ascii="Tahoma" w:hAnsi="Tahoma" w:cs="Tahoma"/>
                <w:sz w:val="13"/>
              </w:rPr>
            </w:pPr>
            <w:r w:rsidRPr="003410C7">
              <w:rPr>
                <w:rFonts w:ascii="Tahoma" w:hAnsi="Tahoma" w:cs="Tahoma"/>
                <w:sz w:val="13"/>
              </w:rPr>
              <w:t>1</w:t>
            </w:r>
          </w:p>
        </w:tc>
        <w:tc>
          <w:tcPr>
            <w:tcW w:w="495" w:type="dxa"/>
            <w:tcBorders>
              <w:left w:val="single" w:sz="18" w:space="0" w:color="auto"/>
              <w:bottom w:val="single" w:sz="4" w:space="0" w:color="auto"/>
            </w:tcBorders>
            <w:shd w:val="clear" w:color="auto" w:fill="auto"/>
            <w:vAlign w:val="center"/>
          </w:tcPr>
          <w:p w:rsidR="00CC19FC" w:rsidRPr="003410C7" w:rsidRDefault="00CC19FC" w:rsidP="004B3534">
            <w:pPr>
              <w:pStyle w:val="TableText"/>
              <w:rPr>
                <w:rFonts w:ascii="Tahoma" w:hAnsi="Tahoma" w:cs="Tahoma"/>
                <w:sz w:val="13"/>
              </w:rPr>
            </w:pPr>
          </w:p>
        </w:tc>
        <w:tc>
          <w:tcPr>
            <w:tcW w:w="459" w:type="dxa"/>
            <w:tcBorders>
              <w:bottom w:val="single" w:sz="4" w:space="0" w:color="auto"/>
              <w:right w:val="single" w:sz="18" w:space="0" w:color="auto"/>
            </w:tcBorders>
            <w:shd w:val="clear" w:color="auto" w:fill="auto"/>
            <w:vAlign w:val="center"/>
          </w:tcPr>
          <w:p w:rsidR="00CC19FC" w:rsidRPr="003410C7" w:rsidRDefault="00CC19FC" w:rsidP="004B3534">
            <w:pPr>
              <w:pStyle w:val="TableText"/>
              <w:rPr>
                <w:rFonts w:ascii="Tahoma" w:hAnsi="Tahoma" w:cs="Tahoma"/>
                <w:sz w:val="13"/>
              </w:rPr>
            </w:pPr>
          </w:p>
        </w:tc>
        <w:tc>
          <w:tcPr>
            <w:tcW w:w="360" w:type="dxa"/>
            <w:tcBorders>
              <w:left w:val="single" w:sz="18" w:space="0" w:color="auto"/>
              <w:bottom w:val="single" w:sz="4" w:space="0" w:color="auto"/>
              <w:right w:val="single" w:sz="18" w:space="0" w:color="auto"/>
            </w:tcBorders>
            <w:shd w:val="clear" w:color="auto" w:fill="auto"/>
            <w:vAlign w:val="center"/>
          </w:tcPr>
          <w:p w:rsidR="00CC19FC" w:rsidRPr="003410C7" w:rsidRDefault="00CC19FC" w:rsidP="004B3534">
            <w:pPr>
              <w:pStyle w:val="TableText"/>
              <w:rPr>
                <w:rFonts w:ascii="Tahoma" w:hAnsi="Tahoma" w:cs="Tahoma"/>
                <w:sz w:val="13"/>
              </w:rPr>
            </w:pPr>
            <w:r w:rsidRPr="003410C7">
              <w:rPr>
                <w:rFonts w:ascii="Tahoma" w:hAnsi="Tahoma" w:cs="Tahoma"/>
                <w:sz w:val="13"/>
              </w:rPr>
              <w:t>P</w:t>
            </w:r>
          </w:p>
        </w:tc>
        <w:tc>
          <w:tcPr>
            <w:tcW w:w="474" w:type="dxa"/>
            <w:tcBorders>
              <w:bottom w:val="single" w:sz="4" w:space="0" w:color="auto"/>
            </w:tcBorders>
            <w:shd w:val="clear" w:color="auto" w:fill="auto"/>
          </w:tcPr>
          <w:p w:rsidR="00CC19FC" w:rsidRPr="003410C7" w:rsidRDefault="00CC19FC" w:rsidP="004B3534">
            <w:pPr>
              <w:pStyle w:val="TableText"/>
              <w:rPr>
                <w:rFonts w:ascii="Tahoma" w:hAnsi="Tahoma" w:cs="Tahoma"/>
                <w:sz w:val="13"/>
              </w:rPr>
            </w:pPr>
          </w:p>
        </w:tc>
        <w:tc>
          <w:tcPr>
            <w:tcW w:w="514" w:type="dxa"/>
            <w:tcBorders>
              <w:bottom w:val="single" w:sz="4" w:space="0" w:color="auto"/>
            </w:tcBorders>
            <w:shd w:val="clear" w:color="auto" w:fill="auto"/>
            <w:vAlign w:val="center"/>
          </w:tcPr>
          <w:p w:rsidR="00CC19FC" w:rsidRPr="003410C7" w:rsidRDefault="00CC19FC" w:rsidP="004B3534">
            <w:pPr>
              <w:pStyle w:val="TableText"/>
              <w:rPr>
                <w:rFonts w:ascii="Tahoma" w:hAnsi="Tahoma" w:cs="Tahoma"/>
                <w:sz w:val="13"/>
              </w:rPr>
            </w:pPr>
          </w:p>
        </w:tc>
      </w:tr>
      <w:tr w:rsidR="00EF228F" w:rsidRPr="003410C7" w:rsidTr="002A074D">
        <w:trPr>
          <w:cantSplit/>
          <w:trHeight w:val="350"/>
        </w:trPr>
        <w:tc>
          <w:tcPr>
            <w:tcW w:w="2638" w:type="dxa"/>
            <w:tcBorders>
              <w:bottom w:val="single" w:sz="4" w:space="0" w:color="auto"/>
            </w:tcBorders>
            <w:shd w:val="clear" w:color="auto" w:fill="FABF8F"/>
            <w:vAlign w:val="center"/>
          </w:tcPr>
          <w:p w:rsidR="00CC19FC" w:rsidRPr="003410C7" w:rsidRDefault="00CC19FC" w:rsidP="003410C7">
            <w:pPr>
              <w:pStyle w:val="Heading2"/>
              <w:spacing w:beforeLines="20" w:before="48" w:afterLines="20" w:after="48"/>
              <w:ind w:left="0"/>
              <w:rPr>
                <w:rFonts w:ascii="Tahoma" w:hAnsi="Tahoma" w:cs="Tahoma"/>
                <w:b w:val="0"/>
                <w:sz w:val="14"/>
              </w:rPr>
            </w:pPr>
            <w:bookmarkStart w:id="80" w:name="_Toc336337874"/>
            <w:bookmarkStart w:id="81" w:name="_Toc352234477"/>
            <w:r w:rsidRPr="003410C7">
              <w:rPr>
                <w:rFonts w:ascii="Tahoma" w:hAnsi="Tahoma" w:cs="Tahoma"/>
                <w:b w:val="0"/>
                <w:sz w:val="14"/>
              </w:rPr>
              <w:t>Outlook</w:t>
            </w:r>
            <w:r w:rsidR="003410C7" w:rsidRPr="003410C7">
              <w:rPr>
                <w:rFonts w:ascii="Tahoma" w:hAnsi="Tahoma" w:cs="Tahoma"/>
                <w:b w:val="0"/>
                <w:sz w:val="14"/>
                <w:vertAlign w:val="superscript"/>
              </w:rPr>
              <w:t>®</w:t>
            </w:r>
            <w:r w:rsidRPr="003410C7">
              <w:rPr>
                <w:rFonts w:ascii="Tahoma" w:hAnsi="Tahoma" w:cs="Tahoma"/>
                <w:b w:val="0"/>
                <w:sz w:val="14"/>
              </w:rPr>
              <w:t xml:space="preserve"> </w:t>
            </w:r>
            <w:bookmarkEnd w:id="80"/>
            <w:r w:rsidRPr="003410C7">
              <w:rPr>
                <w:rFonts w:ascii="Tahoma" w:hAnsi="Tahoma" w:cs="Tahoma"/>
                <w:b w:val="0"/>
                <w:sz w:val="14"/>
              </w:rPr>
              <w:t>2013</w:t>
            </w:r>
            <w:bookmarkEnd w:id="81"/>
          </w:p>
        </w:tc>
        <w:tc>
          <w:tcPr>
            <w:tcW w:w="429" w:type="dxa"/>
            <w:tcBorders>
              <w:bottom w:val="single" w:sz="4" w:space="0" w:color="auto"/>
            </w:tcBorders>
            <w:shd w:val="clear" w:color="auto" w:fill="FABF8F"/>
            <w:vAlign w:val="center"/>
          </w:tcPr>
          <w:p w:rsidR="00CC19FC" w:rsidRPr="009F17FF" w:rsidRDefault="00CC19FC" w:rsidP="00761E3B">
            <w:pPr>
              <w:pStyle w:val="TableText"/>
              <w:widowControl w:val="0"/>
              <w:rPr>
                <w:rStyle w:val="EndnoteReference"/>
                <w:color w:val="0000FF"/>
                <w:sz w:val="13"/>
                <w:szCs w:val="13"/>
                <w:u w:val="single"/>
              </w:rPr>
            </w:pPr>
          </w:p>
        </w:tc>
        <w:tc>
          <w:tcPr>
            <w:tcW w:w="429" w:type="dxa"/>
            <w:tcBorders>
              <w:bottom w:val="single" w:sz="4" w:space="0" w:color="auto"/>
            </w:tcBorders>
            <w:shd w:val="clear" w:color="auto" w:fill="FABF8F"/>
            <w:vAlign w:val="center"/>
          </w:tcPr>
          <w:p w:rsidR="00CC19FC" w:rsidRPr="003410C7" w:rsidRDefault="00CC19FC" w:rsidP="004941B2">
            <w:pPr>
              <w:pStyle w:val="TableText"/>
              <w:spacing w:before="60" w:after="60"/>
              <w:rPr>
                <w:rFonts w:ascii="Tahoma" w:hAnsi="Tahoma" w:cs="Tahoma"/>
                <w:sz w:val="13"/>
              </w:rPr>
            </w:pPr>
            <w:r w:rsidRPr="003410C7">
              <w:rPr>
                <w:rFonts w:ascii="Tahoma" w:hAnsi="Tahoma" w:cs="Tahoma"/>
                <w:sz w:val="13"/>
              </w:rPr>
              <w:t>10/12</w:t>
            </w:r>
          </w:p>
        </w:tc>
        <w:tc>
          <w:tcPr>
            <w:tcW w:w="429" w:type="dxa"/>
            <w:tcBorders>
              <w:bottom w:val="single" w:sz="4" w:space="0" w:color="auto"/>
              <w:right w:val="single" w:sz="18" w:space="0" w:color="auto"/>
            </w:tcBorders>
            <w:shd w:val="clear" w:color="auto" w:fill="FABF8F"/>
            <w:vAlign w:val="center"/>
          </w:tcPr>
          <w:p w:rsidR="00CC19FC" w:rsidRPr="003410C7" w:rsidRDefault="00CC19FC" w:rsidP="004B3534">
            <w:pPr>
              <w:pStyle w:val="TableText"/>
              <w:rPr>
                <w:rFonts w:ascii="Tahoma" w:hAnsi="Tahoma" w:cs="Tahoma"/>
                <w:sz w:val="13"/>
              </w:rPr>
            </w:pPr>
            <w:r w:rsidRPr="003410C7">
              <w:rPr>
                <w:rFonts w:ascii="Tahoma" w:hAnsi="Tahoma" w:cs="Tahoma"/>
                <w:sz w:val="13"/>
              </w:rPr>
              <w:t>DT</w:t>
            </w:r>
          </w:p>
        </w:tc>
        <w:tc>
          <w:tcPr>
            <w:tcW w:w="429" w:type="dxa"/>
            <w:tcBorders>
              <w:left w:val="single" w:sz="18" w:space="0" w:color="auto"/>
              <w:bottom w:val="single" w:sz="4" w:space="0" w:color="auto"/>
            </w:tcBorders>
            <w:shd w:val="clear" w:color="auto" w:fill="FABF8F"/>
            <w:vAlign w:val="center"/>
          </w:tcPr>
          <w:p w:rsidR="00CC19FC" w:rsidRPr="003410C7" w:rsidRDefault="00CC19FC" w:rsidP="004B3534">
            <w:pPr>
              <w:pStyle w:val="TableText"/>
              <w:rPr>
                <w:rFonts w:ascii="Tahoma" w:hAnsi="Tahoma" w:cs="Tahoma"/>
                <w:sz w:val="13"/>
              </w:rPr>
            </w:pPr>
            <w:r w:rsidRPr="003410C7">
              <w:rPr>
                <w:rFonts w:ascii="Tahoma" w:hAnsi="Tahoma" w:cs="Tahoma"/>
                <w:sz w:val="13"/>
              </w:rPr>
              <w:t>1</w:t>
            </w:r>
          </w:p>
        </w:tc>
        <w:tc>
          <w:tcPr>
            <w:tcW w:w="429" w:type="dxa"/>
            <w:tcBorders>
              <w:bottom w:val="single" w:sz="4" w:space="0" w:color="auto"/>
            </w:tcBorders>
            <w:shd w:val="clear" w:color="auto" w:fill="FABF8F"/>
            <w:vAlign w:val="center"/>
          </w:tcPr>
          <w:p w:rsidR="00CC19FC" w:rsidRPr="003410C7" w:rsidRDefault="00CC19FC" w:rsidP="004B3534">
            <w:pPr>
              <w:pStyle w:val="TableText"/>
              <w:rPr>
                <w:rFonts w:ascii="Tahoma" w:hAnsi="Tahoma" w:cs="Tahoma"/>
                <w:sz w:val="13"/>
              </w:rPr>
            </w:pPr>
            <w:r w:rsidRPr="003410C7">
              <w:rPr>
                <w:rFonts w:ascii="Tahoma" w:hAnsi="Tahoma" w:cs="Tahoma"/>
                <w:sz w:val="13"/>
              </w:rPr>
              <w:t>3</w:t>
            </w:r>
          </w:p>
        </w:tc>
        <w:tc>
          <w:tcPr>
            <w:tcW w:w="429" w:type="dxa"/>
            <w:tcBorders>
              <w:bottom w:val="single" w:sz="4" w:space="0" w:color="auto"/>
            </w:tcBorders>
            <w:shd w:val="clear" w:color="auto" w:fill="FABF8F"/>
            <w:vAlign w:val="center"/>
          </w:tcPr>
          <w:p w:rsidR="00CC19FC" w:rsidRPr="003410C7" w:rsidRDefault="00CC19FC" w:rsidP="004B3534">
            <w:pPr>
              <w:pStyle w:val="TableText"/>
              <w:rPr>
                <w:rFonts w:ascii="Tahoma" w:hAnsi="Tahoma" w:cs="Tahoma"/>
                <w:sz w:val="13"/>
              </w:rPr>
            </w:pPr>
            <w:r w:rsidRPr="003410C7">
              <w:rPr>
                <w:rFonts w:ascii="Tahoma" w:hAnsi="Tahoma" w:cs="Tahoma"/>
                <w:sz w:val="13"/>
              </w:rPr>
              <w:t>2</w:t>
            </w:r>
          </w:p>
        </w:tc>
        <w:tc>
          <w:tcPr>
            <w:tcW w:w="429" w:type="dxa"/>
            <w:tcBorders>
              <w:bottom w:val="single" w:sz="4" w:space="0" w:color="auto"/>
            </w:tcBorders>
            <w:shd w:val="clear" w:color="auto" w:fill="FABF8F"/>
            <w:vAlign w:val="center"/>
          </w:tcPr>
          <w:p w:rsidR="00CC19FC" w:rsidRPr="003410C7" w:rsidRDefault="00CC19FC" w:rsidP="004B3534">
            <w:pPr>
              <w:pStyle w:val="TableText"/>
              <w:rPr>
                <w:rFonts w:ascii="Tahoma" w:hAnsi="Tahoma" w:cs="Tahoma"/>
                <w:sz w:val="13"/>
              </w:rPr>
            </w:pPr>
            <w:r w:rsidRPr="003410C7">
              <w:rPr>
                <w:rFonts w:ascii="Tahoma" w:hAnsi="Tahoma" w:cs="Tahoma"/>
                <w:sz w:val="13"/>
              </w:rPr>
              <w:t>2</w:t>
            </w:r>
          </w:p>
        </w:tc>
        <w:tc>
          <w:tcPr>
            <w:tcW w:w="429" w:type="dxa"/>
            <w:tcBorders>
              <w:bottom w:val="single" w:sz="4" w:space="0" w:color="auto"/>
            </w:tcBorders>
            <w:shd w:val="clear" w:color="auto" w:fill="FABF8F"/>
            <w:vAlign w:val="center"/>
          </w:tcPr>
          <w:p w:rsidR="00CC19FC" w:rsidRPr="003410C7" w:rsidRDefault="00CC19FC" w:rsidP="004B3534">
            <w:pPr>
              <w:pStyle w:val="TableText"/>
              <w:rPr>
                <w:rFonts w:ascii="Tahoma" w:hAnsi="Tahoma" w:cs="Tahoma"/>
                <w:sz w:val="13"/>
              </w:rPr>
            </w:pPr>
            <w:r w:rsidRPr="003410C7">
              <w:rPr>
                <w:rFonts w:ascii="Tahoma" w:hAnsi="Tahoma" w:cs="Tahoma"/>
                <w:sz w:val="13"/>
              </w:rPr>
              <w:t>2</w:t>
            </w:r>
          </w:p>
        </w:tc>
        <w:tc>
          <w:tcPr>
            <w:tcW w:w="429" w:type="dxa"/>
            <w:tcBorders>
              <w:bottom w:val="single" w:sz="4" w:space="0" w:color="auto"/>
            </w:tcBorders>
            <w:shd w:val="clear" w:color="auto" w:fill="FABF8F"/>
            <w:vAlign w:val="center"/>
          </w:tcPr>
          <w:p w:rsidR="00CC19FC" w:rsidRPr="003410C7" w:rsidRDefault="00CC19FC" w:rsidP="004B3534">
            <w:pPr>
              <w:pStyle w:val="TableText"/>
              <w:rPr>
                <w:rFonts w:ascii="Tahoma" w:hAnsi="Tahoma" w:cs="Tahoma"/>
                <w:sz w:val="13"/>
              </w:rPr>
            </w:pPr>
            <w:r w:rsidRPr="003410C7">
              <w:rPr>
                <w:rFonts w:ascii="Tahoma" w:hAnsi="Tahoma" w:cs="Tahoma"/>
                <w:sz w:val="13"/>
              </w:rPr>
              <w:t>1</w:t>
            </w:r>
          </w:p>
        </w:tc>
        <w:tc>
          <w:tcPr>
            <w:tcW w:w="429" w:type="dxa"/>
            <w:tcBorders>
              <w:bottom w:val="single" w:sz="4" w:space="0" w:color="auto"/>
              <w:right w:val="single" w:sz="18" w:space="0" w:color="auto"/>
            </w:tcBorders>
            <w:shd w:val="clear" w:color="auto" w:fill="FABF8F"/>
            <w:vAlign w:val="center"/>
          </w:tcPr>
          <w:p w:rsidR="00CC19FC" w:rsidRPr="003410C7" w:rsidRDefault="00CC19FC" w:rsidP="004B3534">
            <w:pPr>
              <w:pStyle w:val="TableText"/>
              <w:rPr>
                <w:rFonts w:ascii="Tahoma" w:hAnsi="Tahoma" w:cs="Tahoma"/>
                <w:sz w:val="13"/>
              </w:rPr>
            </w:pPr>
            <w:r w:rsidRPr="003410C7">
              <w:rPr>
                <w:rFonts w:ascii="Tahoma" w:hAnsi="Tahoma" w:cs="Tahoma"/>
                <w:sz w:val="13"/>
              </w:rPr>
              <w:t>1</w:t>
            </w:r>
          </w:p>
        </w:tc>
        <w:tc>
          <w:tcPr>
            <w:tcW w:w="429" w:type="dxa"/>
            <w:tcBorders>
              <w:left w:val="single" w:sz="18" w:space="0" w:color="auto"/>
              <w:bottom w:val="single" w:sz="4" w:space="0" w:color="auto"/>
            </w:tcBorders>
            <w:shd w:val="clear" w:color="auto" w:fill="FABF8F"/>
            <w:vAlign w:val="center"/>
          </w:tcPr>
          <w:p w:rsidR="00CC19FC" w:rsidRPr="003410C7" w:rsidRDefault="00CC19FC" w:rsidP="004B3534">
            <w:pPr>
              <w:pStyle w:val="TableText"/>
              <w:rPr>
                <w:rFonts w:ascii="Tahoma" w:hAnsi="Tahoma" w:cs="Tahoma"/>
                <w:sz w:val="13"/>
              </w:rPr>
            </w:pPr>
            <w:r w:rsidRPr="003410C7">
              <w:rPr>
                <w:rFonts w:ascii="Tahoma" w:hAnsi="Tahoma" w:cs="Tahoma"/>
                <w:sz w:val="13"/>
              </w:rPr>
              <w:t>1</w:t>
            </w:r>
          </w:p>
        </w:tc>
        <w:tc>
          <w:tcPr>
            <w:tcW w:w="429" w:type="dxa"/>
            <w:tcBorders>
              <w:bottom w:val="single" w:sz="4" w:space="0" w:color="auto"/>
            </w:tcBorders>
            <w:shd w:val="clear" w:color="auto" w:fill="FABF8F"/>
            <w:vAlign w:val="center"/>
          </w:tcPr>
          <w:p w:rsidR="00CC19FC" w:rsidRPr="003410C7" w:rsidRDefault="00CC19FC" w:rsidP="004B3534">
            <w:pPr>
              <w:pStyle w:val="TableText"/>
              <w:rPr>
                <w:rFonts w:ascii="Tahoma" w:hAnsi="Tahoma" w:cs="Tahoma"/>
                <w:sz w:val="13"/>
              </w:rPr>
            </w:pPr>
            <w:r w:rsidRPr="003410C7">
              <w:rPr>
                <w:rFonts w:ascii="Tahoma" w:hAnsi="Tahoma" w:cs="Tahoma"/>
                <w:sz w:val="13"/>
              </w:rPr>
              <w:t>2</w:t>
            </w:r>
          </w:p>
        </w:tc>
        <w:tc>
          <w:tcPr>
            <w:tcW w:w="442" w:type="dxa"/>
            <w:tcBorders>
              <w:bottom w:val="single" w:sz="4" w:space="0" w:color="auto"/>
              <w:right w:val="single" w:sz="18" w:space="0" w:color="auto"/>
            </w:tcBorders>
            <w:shd w:val="clear" w:color="auto" w:fill="FABF8F"/>
            <w:vAlign w:val="center"/>
          </w:tcPr>
          <w:p w:rsidR="00CC19FC" w:rsidRPr="003410C7" w:rsidRDefault="00CC19FC" w:rsidP="004B3534">
            <w:pPr>
              <w:pStyle w:val="TableText"/>
              <w:rPr>
                <w:rFonts w:ascii="Tahoma" w:hAnsi="Tahoma" w:cs="Tahoma"/>
                <w:sz w:val="13"/>
              </w:rPr>
            </w:pPr>
            <w:r w:rsidRPr="003410C7">
              <w:rPr>
                <w:rFonts w:ascii="Tahoma" w:hAnsi="Tahoma" w:cs="Tahoma"/>
                <w:sz w:val="13"/>
              </w:rPr>
              <w:t>1</w:t>
            </w:r>
          </w:p>
        </w:tc>
        <w:tc>
          <w:tcPr>
            <w:tcW w:w="495" w:type="dxa"/>
            <w:tcBorders>
              <w:left w:val="single" w:sz="18" w:space="0" w:color="auto"/>
              <w:bottom w:val="single" w:sz="4" w:space="0" w:color="auto"/>
            </w:tcBorders>
            <w:shd w:val="clear" w:color="auto" w:fill="FABF8F"/>
            <w:vAlign w:val="center"/>
          </w:tcPr>
          <w:p w:rsidR="00CC19FC" w:rsidRPr="003410C7" w:rsidRDefault="00CC19FC" w:rsidP="004B3534">
            <w:pPr>
              <w:pStyle w:val="TableText"/>
              <w:rPr>
                <w:rFonts w:ascii="Tahoma" w:hAnsi="Tahoma" w:cs="Tahoma"/>
                <w:sz w:val="13"/>
              </w:rPr>
            </w:pPr>
          </w:p>
        </w:tc>
        <w:tc>
          <w:tcPr>
            <w:tcW w:w="459" w:type="dxa"/>
            <w:tcBorders>
              <w:bottom w:val="single" w:sz="4" w:space="0" w:color="auto"/>
              <w:right w:val="single" w:sz="18" w:space="0" w:color="auto"/>
            </w:tcBorders>
            <w:shd w:val="clear" w:color="auto" w:fill="FABF8F"/>
            <w:vAlign w:val="center"/>
          </w:tcPr>
          <w:p w:rsidR="00CC19FC" w:rsidRPr="003410C7" w:rsidRDefault="00CC19FC" w:rsidP="004B3534">
            <w:pPr>
              <w:pStyle w:val="TableText"/>
              <w:rPr>
                <w:rFonts w:ascii="Tahoma" w:hAnsi="Tahoma" w:cs="Tahoma"/>
                <w:sz w:val="13"/>
              </w:rPr>
            </w:pPr>
          </w:p>
        </w:tc>
        <w:tc>
          <w:tcPr>
            <w:tcW w:w="360" w:type="dxa"/>
            <w:tcBorders>
              <w:left w:val="single" w:sz="18" w:space="0" w:color="auto"/>
              <w:bottom w:val="single" w:sz="4" w:space="0" w:color="auto"/>
              <w:right w:val="single" w:sz="18" w:space="0" w:color="auto"/>
            </w:tcBorders>
            <w:shd w:val="clear" w:color="auto" w:fill="FABF8F"/>
            <w:vAlign w:val="center"/>
          </w:tcPr>
          <w:p w:rsidR="00CC19FC" w:rsidRPr="003410C7" w:rsidRDefault="00CC19FC" w:rsidP="004B3534">
            <w:pPr>
              <w:pStyle w:val="TableText"/>
              <w:rPr>
                <w:rFonts w:ascii="Tahoma" w:hAnsi="Tahoma" w:cs="Tahoma"/>
                <w:sz w:val="13"/>
              </w:rPr>
            </w:pPr>
            <w:r w:rsidRPr="003410C7">
              <w:rPr>
                <w:rFonts w:ascii="Tahoma" w:hAnsi="Tahoma" w:cs="Tahoma"/>
                <w:sz w:val="13"/>
              </w:rPr>
              <w:t>P</w:t>
            </w:r>
          </w:p>
        </w:tc>
        <w:tc>
          <w:tcPr>
            <w:tcW w:w="474" w:type="dxa"/>
            <w:tcBorders>
              <w:bottom w:val="single" w:sz="4" w:space="0" w:color="auto"/>
            </w:tcBorders>
            <w:shd w:val="clear" w:color="auto" w:fill="FABF8F"/>
            <w:vAlign w:val="center"/>
          </w:tcPr>
          <w:p w:rsidR="00CC19FC" w:rsidRPr="003410C7" w:rsidRDefault="00CC19FC" w:rsidP="00080B33">
            <w:pPr>
              <w:pStyle w:val="TableText"/>
              <w:rPr>
                <w:rFonts w:ascii="Tahoma" w:hAnsi="Tahoma" w:cs="Tahoma"/>
                <w:sz w:val="13"/>
              </w:rPr>
            </w:pPr>
          </w:p>
        </w:tc>
        <w:tc>
          <w:tcPr>
            <w:tcW w:w="514" w:type="dxa"/>
            <w:tcBorders>
              <w:bottom w:val="single" w:sz="4" w:space="0" w:color="auto"/>
            </w:tcBorders>
            <w:shd w:val="clear" w:color="auto" w:fill="FABF8F"/>
            <w:vAlign w:val="center"/>
          </w:tcPr>
          <w:p w:rsidR="00CC19FC" w:rsidRPr="003410C7" w:rsidRDefault="00CC19FC" w:rsidP="004B3534">
            <w:pPr>
              <w:pStyle w:val="TableText"/>
              <w:rPr>
                <w:rFonts w:ascii="Tahoma" w:hAnsi="Tahoma" w:cs="Tahoma"/>
                <w:sz w:val="13"/>
              </w:rPr>
            </w:pPr>
          </w:p>
        </w:tc>
      </w:tr>
      <w:tr w:rsidR="00CC19FC" w:rsidRPr="003410C7" w:rsidTr="002A074D">
        <w:trPr>
          <w:cantSplit/>
          <w:trHeight w:val="305"/>
        </w:trPr>
        <w:tc>
          <w:tcPr>
            <w:tcW w:w="2638" w:type="dxa"/>
            <w:tcBorders>
              <w:bottom w:val="single" w:sz="4" w:space="0" w:color="auto"/>
            </w:tcBorders>
            <w:shd w:val="clear" w:color="auto" w:fill="auto"/>
            <w:vAlign w:val="center"/>
          </w:tcPr>
          <w:p w:rsidR="00CC19FC" w:rsidRPr="003410C7" w:rsidRDefault="00CC19FC" w:rsidP="003410C7">
            <w:pPr>
              <w:pStyle w:val="Heading2"/>
              <w:spacing w:beforeLines="20" w:before="48" w:afterLines="20" w:after="48"/>
              <w:ind w:left="0"/>
              <w:rPr>
                <w:rFonts w:ascii="Tahoma" w:hAnsi="Tahoma" w:cs="Tahoma"/>
                <w:b w:val="0"/>
                <w:sz w:val="16"/>
                <w:szCs w:val="16"/>
              </w:rPr>
            </w:pPr>
            <w:bookmarkStart w:id="82" w:name="_Toc336337875"/>
            <w:bookmarkStart w:id="83" w:name="_Toc352234478"/>
            <w:r w:rsidRPr="003410C7">
              <w:rPr>
                <w:rFonts w:ascii="Tahoma" w:hAnsi="Tahoma" w:cs="Tahoma"/>
                <w:b w:val="0"/>
                <w:sz w:val="14"/>
                <w:szCs w:val="16"/>
              </w:rPr>
              <w:t xml:space="preserve">Outlook </w:t>
            </w:r>
            <w:bookmarkEnd w:id="82"/>
            <w:r w:rsidRPr="003410C7">
              <w:rPr>
                <w:rFonts w:ascii="Tahoma" w:hAnsi="Tahoma" w:cs="Tahoma"/>
                <w:b w:val="0"/>
                <w:sz w:val="14"/>
                <w:szCs w:val="16"/>
              </w:rPr>
              <w:t>per Mac 2011</w:t>
            </w:r>
            <w:bookmarkEnd w:id="83"/>
          </w:p>
        </w:tc>
        <w:tc>
          <w:tcPr>
            <w:tcW w:w="429" w:type="dxa"/>
            <w:tcBorders>
              <w:bottom w:val="single" w:sz="4" w:space="0" w:color="auto"/>
            </w:tcBorders>
            <w:shd w:val="clear" w:color="auto" w:fill="auto"/>
            <w:vAlign w:val="center"/>
          </w:tcPr>
          <w:p w:rsidR="00CC19FC" w:rsidRPr="009F17FF" w:rsidRDefault="00FC1A4D" w:rsidP="001866F1">
            <w:pPr>
              <w:pStyle w:val="TableText"/>
              <w:widowControl w:val="0"/>
              <w:rPr>
                <w:rStyle w:val="EndnoteReference"/>
                <w:color w:val="0000FF"/>
                <w:sz w:val="13"/>
                <w:szCs w:val="13"/>
                <w:u w:val="single"/>
              </w:rPr>
            </w:pPr>
            <w:hyperlink w:anchor="_121_Outlook_for" w:history="1">
              <w:r w:rsidR="000D77F6" w:rsidRPr="009F17FF">
                <w:rPr>
                  <w:rStyle w:val="Hyperlink"/>
                  <w:sz w:val="13"/>
                  <w:szCs w:val="13"/>
                </w:rPr>
                <w:t>11</w:t>
              </w:r>
            </w:hyperlink>
            <w:hyperlink w:anchor="Srv_9OutlookMac2011" w:history="1"/>
          </w:p>
        </w:tc>
        <w:tc>
          <w:tcPr>
            <w:tcW w:w="429" w:type="dxa"/>
            <w:tcBorders>
              <w:bottom w:val="single" w:sz="4" w:space="0" w:color="auto"/>
            </w:tcBorders>
            <w:shd w:val="clear" w:color="auto" w:fill="auto"/>
            <w:vAlign w:val="center"/>
          </w:tcPr>
          <w:p w:rsidR="00CC19FC" w:rsidRPr="003410C7" w:rsidRDefault="00CC19FC" w:rsidP="004B3534">
            <w:pPr>
              <w:pStyle w:val="TableText"/>
              <w:widowControl w:val="0"/>
              <w:rPr>
                <w:rFonts w:ascii="Tahoma" w:hAnsi="Tahoma" w:cs="Tahoma"/>
                <w:sz w:val="13"/>
              </w:rPr>
            </w:pPr>
            <w:r w:rsidRPr="003410C7">
              <w:rPr>
                <w:rFonts w:ascii="Tahoma" w:hAnsi="Tahoma" w:cs="Tahoma"/>
                <w:sz w:val="13"/>
              </w:rPr>
              <w:t>09/10</w:t>
            </w:r>
          </w:p>
        </w:tc>
        <w:tc>
          <w:tcPr>
            <w:tcW w:w="429" w:type="dxa"/>
            <w:tcBorders>
              <w:bottom w:val="single" w:sz="4" w:space="0" w:color="auto"/>
              <w:right w:val="single" w:sz="18" w:space="0" w:color="auto"/>
            </w:tcBorders>
            <w:shd w:val="clear" w:color="auto" w:fill="auto"/>
            <w:vAlign w:val="center"/>
          </w:tcPr>
          <w:p w:rsidR="00CC19FC" w:rsidRPr="003410C7" w:rsidRDefault="00CC19FC" w:rsidP="004B3534">
            <w:pPr>
              <w:pStyle w:val="TableText"/>
              <w:widowControl w:val="0"/>
              <w:rPr>
                <w:rFonts w:ascii="Tahoma" w:hAnsi="Tahoma" w:cs="Tahoma"/>
                <w:sz w:val="13"/>
              </w:rPr>
            </w:pPr>
            <w:r w:rsidRPr="003410C7">
              <w:rPr>
                <w:rFonts w:ascii="Tahoma" w:hAnsi="Tahoma" w:cs="Tahoma"/>
                <w:sz w:val="13"/>
              </w:rPr>
              <w:t>DT</w:t>
            </w:r>
          </w:p>
        </w:tc>
        <w:tc>
          <w:tcPr>
            <w:tcW w:w="429" w:type="dxa"/>
            <w:tcBorders>
              <w:left w:val="single" w:sz="18" w:space="0" w:color="auto"/>
              <w:bottom w:val="single" w:sz="4" w:space="0" w:color="auto"/>
            </w:tcBorders>
            <w:shd w:val="clear" w:color="auto" w:fill="auto"/>
            <w:vAlign w:val="center"/>
          </w:tcPr>
          <w:p w:rsidR="00CC19FC" w:rsidRPr="003410C7" w:rsidRDefault="00CC19FC" w:rsidP="004B3534">
            <w:pPr>
              <w:pStyle w:val="TableText"/>
              <w:widowControl w:val="0"/>
              <w:rPr>
                <w:rFonts w:ascii="Tahoma" w:hAnsi="Tahoma" w:cs="Tahoma"/>
                <w:sz w:val="13"/>
              </w:rPr>
            </w:pPr>
            <w:r w:rsidRPr="003410C7">
              <w:rPr>
                <w:rFonts w:ascii="Tahoma" w:hAnsi="Tahoma" w:cs="Tahoma"/>
                <w:sz w:val="13"/>
              </w:rPr>
              <w:t>1</w:t>
            </w:r>
          </w:p>
        </w:tc>
        <w:tc>
          <w:tcPr>
            <w:tcW w:w="429" w:type="dxa"/>
            <w:tcBorders>
              <w:bottom w:val="single" w:sz="4" w:space="0" w:color="auto"/>
            </w:tcBorders>
            <w:shd w:val="clear" w:color="auto" w:fill="auto"/>
            <w:vAlign w:val="center"/>
          </w:tcPr>
          <w:p w:rsidR="00CC19FC" w:rsidRPr="003410C7" w:rsidRDefault="00CC19FC" w:rsidP="004B3534">
            <w:pPr>
              <w:pStyle w:val="TableText"/>
              <w:widowControl w:val="0"/>
              <w:rPr>
                <w:rFonts w:ascii="Tahoma" w:hAnsi="Tahoma" w:cs="Tahoma"/>
                <w:sz w:val="13"/>
              </w:rPr>
            </w:pPr>
            <w:r w:rsidRPr="003410C7">
              <w:rPr>
                <w:rFonts w:ascii="Tahoma" w:hAnsi="Tahoma" w:cs="Tahoma"/>
                <w:sz w:val="13"/>
              </w:rPr>
              <w:t>3</w:t>
            </w:r>
          </w:p>
        </w:tc>
        <w:tc>
          <w:tcPr>
            <w:tcW w:w="429" w:type="dxa"/>
            <w:tcBorders>
              <w:bottom w:val="single" w:sz="4" w:space="0" w:color="auto"/>
            </w:tcBorders>
            <w:shd w:val="clear" w:color="auto" w:fill="auto"/>
            <w:vAlign w:val="center"/>
          </w:tcPr>
          <w:p w:rsidR="00CC19FC" w:rsidRPr="003410C7" w:rsidRDefault="00CC19FC" w:rsidP="004B3534">
            <w:pPr>
              <w:pStyle w:val="TableText"/>
              <w:widowControl w:val="0"/>
              <w:rPr>
                <w:rFonts w:ascii="Tahoma" w:hAnsi="Tahoma" w:cs="Tahoma"/>
                <w:sz w:val="13"/>
              </w:rPr>
            </w:pPr>
            <w:r w:rsidRPr="003410C7">
              <w:rPr>
                <w:rFonts w:ascii="Tahoma" w:hAnsi="Tahoma" w:cs="Tahoma"/>
                <w:sz w:val="13"/>
              </w:rPr>
              <w:t>2</w:t>
            </w:r>
          </w:p>
        </w:tc>
        <w:tc>
          <w:tcPr>
            <w:tcW w:w="429" w:type="dxa"/>
            <w:tcBorders>
              <w:bottom w:val="single" w:sz="4" w:space="0" w:color="auto"/>
            </w:tcBorders>
            <w:shd w:val="clear" w:color="auto" w:fill="auto"/>
            <w:vAlign w:val="center"/>
          </w:tcPr>
          <w:p w:rsidR="00CC19FC" w:rsidRPr="003410C7" w:rsidRDefault="00CC19FC" w:rsidP="004B3534">
            <w:pPr>
              <w:pStyle w:val="TableText"/>
              <w:widowControl w:val="0"/>
              <w:rPr>
                <w:rFonts w:ascii="Tahoma" w:hAnsi="Tahoma" w:cs="Tahoma"/>
                <w:sz w:val="13"/>
              </w:rPr>
            </w:pPr>
            <w:r w:rsidRPr="003410C7">
              <w:rPr>
                <w:rFonts w:ascii="Tahoma" w:hAnsi="Tahoma" w:cs="Tahoma"/>
                <w:sz w:val="13"/>
              </w:rPr>
              <w:t>2</w:t>
            </w:r>
          </w:p>
        </w:tc>
        <w:tc>
          <w:tcPr>
            <w:tcW w:w="429" w:type="dxa"/>
            <w:tcBorders>
              <w:bottom w:val="single" w:sz="4" w:space="0" w:color="auto"/>
            </w:tcBorders>
            <w:shd w:val="clear" w:color="auto" w:fill="auto"/>
            <w:vAlign w:val="center"/>
          </w:tcPr>
          <w:p w:rsidR="00CC19FC" w:rsidRPr="003410C7" w:rsidRDefault="00CC19FC" w:rsidP="004B3534">
            <w:pPr>
              <w:pStyle w:val="TableText"/>
              <w:widowControl w:val="0"/>
              <w:rPr>
                <w:rFonts w:ascii="Tahoma" w:hAnsi="Tahoma" w:cs="Tahoma"/>
                <w:sz w:val="13"/>
              </w:rPr>
            </w:pPr>
            <w:r w:rsidRPr="003410C7">
              <w:rPr>
                <w:rFonts w:ascii="Tahoma" w:hAnsi="Tahoma" w:cs="Tahoma"/>
                <w:sz w:val="13"/>
              </w:rPr>
              <w:t>2</w:t>
            </w:r>
          </w:p>
        </w:tc>
        <w:tc>
          <w:tcPr>
            <w:tcW w:w="429" w:type="dxa"/>
            <w:tcBorders>
              <w:bottom w:val="single" w:sz="4" w:space="0" w:color="auto"/>
            </w:tcBorders>
            <w:shd w:val="clear" w:color="auto" w:fill="auto"/>
            <w:vAlign w:val="center"/>
          </w:tcPr>
          <w:p w:rsidR="00CC19FC" w:rsidRPr="003410C7" w:rsidRDefault="00CC19FC" w:rsidP="004B3534">
            <w:pPr>
              <w:pStyle w:val="TableText"/>
              <w:widowControl w:val="0"/>
              <w:rPr>
                <w:rFonts w:ascii="Tahoma" w:hAnsi="Tahoma" w:cs="Tahoma"/>
                <w:sz w:val="13"/>
              </w:rPr>
            </w:pPr>
            <w:r w:rsidRPr="003410C7">
              <w:rPr>
                <w:rFonts w:ascii="Tahoma" w:hAnsi="Tahoma" w:cs="Tahoma"/>
                <w:sz w:val="13"/>
              </w:rPr>
              <w:t>1</w:t>
            </w:r>
          </w:p>
        </w:tc>
        <w:tc>
          <w:tcPr>
            <w:tcW w:w="429" w:type="dxa"/>
            <w:tcBorders>
              <w:bottom w:val="single" w:sz="4" w:space="0" w:color="auto"/>
              <w:right w:val="single" w:sz="18" w:space="0" w:color="auto"/>
            </w:tcBorders>
            <w:shd w:val="clear" w:color="auto" w:fill="auto"/>
            <w:vAlign w:val="center"/>
          </w:tcPr>
          <w:p w:rsidR="00CC19FC" w:rsidRPr="003410C7" w:rsidRDefault="00CC19FC" w:rsidP="004B3534">
            <w:pPr>
              <w:pStyle w:val="TableText"/>
              <w:widowControl w:val="0"/>
              <w:rPr>
                <w:rFonts w:ascii="Tahoma" w:hAnsi="Tahoma" w:cs="Tahoma"/>
                <w:sz w:val="13"/>
              </w:rPr>
            </w:pPr>
            <w:r w:rsidRPr="003410C7">
              <w:rPr>
                <w:rFonts w:ascii="Tahoma" w:hAnsi="Tahoma" w:cs="Tahoma"/>
                <w:sz w:val="13"/>
              </w:rPr>
              <w:t>1</w:t>
            </w:r>
          </w:p>
        </w:tc>
        <w:tc>
          <w:tcPr>
            <w:tcW w:w="429" w:type="dxa"/>
            <w:tcBorders>
              <w:left w:val="single" w:sz="18" w:space="0" w:color="auto"/>
              <w:bottom w:val="single" w:sz="4" w:space="0" w:color="auto"/>
            </w:tcBorders>
            <w:shd w:val="clear" w:color="auto" w:fill="auto"/>
            <w:vAlign w:val="center"/>
          </w:tcPr>
          <w:p w:rsidR="00CC19FC" w:rsidRPr="003410C7" w:rsidRDefault="00CC19FC" w:rsidP="004B3534">
            <w:pPr>
              <w:pStyle w:val="TableText"/>
              <w:widowControl w:val="0"/>
              <w:rPr>
                <w:rFonts w:ascii="Tahoma" w:hAnsi="Tahoma" w:cs="Tahoma"/>
                <w:sz w:val="13"/>
              </w:rPr>
            </w:pPr>
            <w:r w:rsidRPr="003410C7">
              <w:rPr>
                <w:rFonts w:ascii="Tahoma" w:hAnsi="Tahoma" w:cs="Tahoma"/>
                <w:sz w:val="13"/>
              </w:rPr>
              <w:t>1</w:t>
            </w:r>
          </w:p>
        </w:tc>
        <w:tc>
          <w:tcPr>
            <w:tcW w:w="429" w:type="dxa"/>
            <w:tcBorders>
              <w:bottom w:val="single" w:sz="4" w:space="0" w:color="auto"/>
            </w:tcBorders>
            <w:shd w:val="clear" w:color="auto" w:fill="auto"/>
            <w:vAlign w:val="center"/>
          </w:tcPr>
          <w:p w:rsidR="00CC19FC" w:rsidRPr="003410C7" w:rsidRDefault="00CC19FC" w:rsidP="004B3534">
            <w:pPr>
              <w:pStyle w:val="TableText"/>
              <w:widowControl w:val="0"/>
              <w:rPr>
                <w:rFonts w:ascii="Tahoma" w:hAnsi="Tahoma" w:cs="Tahoma"/>
                <w:sz w:val="13"/>
              </w:rPr>
            </w:pPr>
            <w:r w:rsidRPr="003410C7">
              <w:rPr>
                <w:rFonts w:ascii="Tahoma" w:hAnsi="Tahoma" w:cs="Tahoma"/>
                <w:sz w:val="13"/>
              </w:rPr>
              <w:t>2</w:t>
            </w:r>
          </w:p>
        </w:tc>
        <w:tc>
          <w:tcPr>
            <w:tcW w:w="442" w:type="dxa"/>
            <w:tcBorders>
              <w:bottom w:val="single" w:sz="4" w:space="0" w:color="auto"/>
              <w:right w:val="single" w:sz="18" w:space="0" w:color="auto"/>
            </w:tcBorders>
            <w:shd w:val="clear" w:color="auto" w:fill="auto"/>
            <w:vAlign w:val="center"/>
          </w:tcPr>
          <w:p w:rsidR="00CC19FC" w:rsidRPr="003410C7" w:rsidRDefault="00CC19FC" w:rsidP="004B3534">
            <w:pPr>
              <w:pStyle w:val="TableText"/>
              <w:widowControl w:val="0"/>
              <w:rPr>
                <w:rFonts w:ascii="Tahoma" w:hAnsi="Tahoma" w:cs="Tahoma"/>
                <w:sz w:val="13"/>
              </w:rPr>
            </w:pPr>
            <w:r w:rsidRPr="003410C7">
              <w:rPr>
                <w:rFonts w:ascii="Tahoma" w:hAnsi="Tahoma" w:cs="Tahoma"/>
                <w:sz w:val="13"/>
              </w:rPr>
              <w:t>1</w:t>
            </w:r>
          </w:p>
        </w:tc>
        <w:tc>
          <w:tcPr>
            <w:tcW w:w="495" w:type="dxa"/>
            <w:tcBorders>
              <w:left w:val="single" w:sz="18" w:space="0" w:color="auto"/>
              <w:bottom w:val="single" w:sz="4" w:space="0" w:color="auto"/>
            </w:tcBorders>
            <w:shd w:val="clear" w:color="auto" w:fill="auto"/>
            <w:vAlign w:val="center"/>
          </w:tcPr>
          <w:p w:rsidR="00CC19FC" w:rsidRPr="003410C7" w:rsidRDefault="00CC19FC" w:rsidP="004B3534">
            <w:pPr>
              <w:pStyle w:val="TableText"/>
              <w:widowControl w:val="0"/>
              <w:rPr>
                <w:rFonts w:ascii="Tahoma" w:hAnsi="Tahoma" w:cs="Tahoma"/>
                <w:sz w:val="13"/>
              </w:rPr>
            </w:pPr>
          </w:p>
        </w:tc>
        <w:tc>
          <w:tcPr>
            <w:tcW w:w="459" w:type="dxa"/>
            <w:tcBorders>
              <w:bottom w:val="single" w:sz="4" w:space="0" w:color="auto"/>
              <w:right w:val="single" w:sz="18" w:space="0" w:color="auto"/>
            </w:tcBorders>
            <w:shd w:val="clear" w:color="auto" w:fill="auto"/>
            <w:vAlign w:val="center"/>
          </w:tcPr>
          <w:p w:rsidR="00CC19FC" w:rsidRPr="003410C7" w:rsidRDefault="00CC19FC" w:rsidP="004B3534">
            <w:pPr>
              <w:pStyle w:val="TableText"/>
              <w:widowControl w:val="0"/>
              <w:rPr>
                <w:rFonts w:ascii="Tahoma" w:hAnsi="Tahoma" w:cs="Tahoma"/>
                <w:sz w:val="13"/>
              </w:rPr>
            </w:pPr>
          </w:p>
        </w:tc>
        <w:tc>
          <w:tcPr>
            <w:tcW w:w="360" w:type="dxa"/>
            <w:tcBorders>
              <w:left w:val="single" w:sz="18" w:space="0" w:color="auto"/>
              <w:bottom w:val="single" w:sz="4" w:space="0" w:color="auto"/>
              <w:right w:val="single" w:sz="18" w:space="0" w:color="auto"/>
            </w:tcBorders>
            <w:shd w:val="clear" w:color="auto" w:fill="auto"/>
            <w:vAlign w:val="center"/>
          </w:tcPr>
          <w:p w:rsidR="00CC19FC" w:rsidRPr="003410C7" w:rsidRDefault="00CC19FC" w:rsidP="004B3534">
            <w:pPr>
              <w:pStyle w:val="TableText"/>
              <w:widowControl w:val="0"/>
              <w:rPr>
                <w:rFonts w:ascii="Tahoma" w:hAnsi="Tahoma" w:cs="Tahoma"/>
                <w:sz w:val="13"/>
              </w:rPr>
            </w:pPr>
            <w:r w:rsidRPr="003410C7">
              <w:rPr>
                <w:rFonts w:ascii="Tahoma" w:hAnsi="Tahoma" w:cs="Tahoma"/>
                <w:sz w:val="13"/>
              </w:rPr>
              <w:t>P</w:t>
            </w:r>
          </w:p>
        </w:tc>
        <w:tc>
          <w:tcPr>
            <w:tcW w:w="474" w:type="dxa"/>
            <w:tcBorders>
              <w:bottom w:val="single" w:sz="4" w:space="0" w:color="auto"/>
            </w:tcBorders>
            <w:shd w:val="clear" w:color="auto" w:fill="auto"/>
            <w:vAlign w:val="center"/>
          </w:tcPr>
          <w:p w:rsidR="00CC19FC" w:rsidRPr="003410C7" w:rsidRDefault="00CC19FC" w:rsidP="00080B33">
            <w:pPr>
              <w:pStyle w:val="TableText"/>
              <w:widowControl w:val="0"/>
              <w:rPr>
                <w:rFonts w:ascii="Tahoma" w:hAnsi="Tahoma" w:cs="Tahoma"/>
                <w:sz w:val="13"/>
              </w:rPr>
            </w:pPr>
          </w:p>
        </w:tc>
        <w:tc>
          <w:tcPr>
            <w:tcW w:w="514" w:type="dxa"/>
            <w:tcBorders>
              <w:bottom w:val="single" w:sz="4" w:space="0" w:color="auto"/>
            </w:tcBorders>
            <w:shd w:val="clear" w:color="auto" w:fill="auto"/>
            <w:vAlign w:val="center"/>
          </w:tcPr>
          <w:p w:rsidR="00CC19FC" w:rsidRPr="003410C7" w:rsidRDefault="00CC19FC" w:rsidP="004B3534">
            <w:pPr>
              <w:pStyle w:val="TableText"/>
              <w:widowControl w:val="0"/>
              <w:rPr>
                <w:rFonts w:ascii="Tahoma" w:hAnsi="Tahoma" w:cs="Tahoma"/>
                <w:sz w:val="13"/>
              </w:rPr>
            </w:pPr>
          </w:p>
        </w:tc>
      </w:tr>
      <w:tr w:rsidR="00EF228F" w:rsidRPr="003410C7" w:rsidTr="002A074D">
        <w:trPr>
          <w:cantSplit/>
          <w:trHeight w:val="305"/>
        </w:trPr>
        <w:tc>
          <w:tcPr>
            <w:tcW w:w="2638" w:type="dxa"/>
            <w:tcBorders>
              <w:bottom w:val="single" w:sz="4" w:space="0" w:color="auto"/>
            </w:tcBorders>
            <w:shd w:val="clear" w:color="auto" w:fill="FABF8F"/>
            <w:vAlign w:val="center"/>
          </w:tcPr>
          <w:p w:rsidR="00CC19FC" w:rsidRPr="003410C7" w:rsidRDefault="00CC19FC" w:rsidP="003410C7">
            <w:pPr>
              <w:pStyle w:val="Heading3"/>
              <w:spacing w:beforeLines="20" w:before="48" w:afterLines="20" w:after="48"/>
              <w:rPr>
                <w:rFonts w:ascii="Tahoma" w:hAnsi="Tahoma" w:cs="Tahoma"/>
                <w:b w:val="0"/>
                <w:sz w:val="14"/>
              </w:rPr>
            </w:pPr>
            <w:bookmarkStart w:id="84" w:name="_Toc352234479"/>
            <w:r w:rsidRPr="003410C7">
              <w:rPr>
                <w:rFonts w:ascii="Tahoma" w:hAnsi="Tahoma" w:cs="Tahoma"/>
                <w:b w:val="0"/>
                <w:sz w:val="14"/>
              </w:rPr>
              <w:t>PowerPoint 2013</w:t>
            </w:r>
            <w:bookmarkEnd w:id="84"/>
          </w:p>
        </w:tc>
        <w:tc>
          <w:tcPr>
            <w:tcW w:w="429" w:type="dxa"/>
            <w:tcBorders>
              <w:bottom w:val="single" w:sz="4" w:space="0" w:color="auto"/>
            </w:tcBorders>
            <w:shd w:val="clear" w:color="auto" w:fill="FABF8F"/>
            <w:vAlign w:val="center"/>
          </w:tcPr>
          <w:p w:rsidR="00CC19FC" w:rsidRPr="009F17FF" w:rsidRDefault="00CC19FC" w:rsidP="00F62B9E">
            <w:pPr>
              <w:pStyle w:val="TableText"/>
              <w:widowControl w:val="0"/>
              <w:rPr>
                <w:rStyle w:val="EndnoteReference"/>
                <w:color w:val="0000FF"/>
                <w:sz w:val="13"/>
                <w:szCs w:val="13"/>
                <w:u w:val="single"/>
              </w:rPr>
            </w:pPr>
          </w:p>
        </w:tc>
        <w:tc>
          <w:tcPr>
            <w:tcW w:w="429" w:type="dxa"/>
            <w:tcBorders>
              <w:bottom w:val="single" w:sz="4" w:space="0" w:color="auto"/>
            </w:tcBorders>
            <w:shd w:val="clear" w:color="auto" w:fill="FABF8F"/>
            <w:vAlign w:val="center"/>
          </w:tcPr>
          <w:p w:rsidR="00CC19FC" w:rsidRPr="003410C7" w:rsidRDefault="00CC19FC" w:rsidP="004941B2">
            <w:pPr>
              <w:pStyle w:val="TableText"/>
              <w:widowControl w:val="0"/>
              <w:rPr>
                <w:rFonts w:ascii="Tahoma" w:hAnsi="Tahoma" w:cs="Tahoma"/>
                <w:sz w:val="13"/>
              </w:rPr>
            </w:pPr>
            <w:r w:rsidRPr="003410C7">
              <w:rPr>
                <w:rFonts w:ascii="Tahoma" w:hAnsi="Tahoma" w:cs="Tahoma"/>
                <w:sz w:val="13"/>
              </w:rPr>
              <w:t>10/12</w:t>
            </w:r>
          </w:p>
        </w:tc>
        <w:tc>
          <w:tcPr>
            <w:tcW w:w="429" w:type="dxa"/>
            <w:tcBorders>
              <w:bottom w:val="single" w:sz="4" w:space="0" w:color="auto"/>
              <w:right w:val="single" w:sz="18" w:space="0" w:color="auto"/>
            </w:tcBorders>
            <w:shd w:val="clear" w:color="auto" w:fill="FABF8F"/>
            <w:vAlign w:val="center"/>
          </w:tcPr>
          <w:p w:rsidR="00CC19FC" w:rsidRPr="003410C7" w:rsidRDefault="00CC19FC" w:rsidP="004B3534">
            <w:pPr>
              <w:pStyle w:val="TableText"/>
              <w:widowControl w:val="0"/>
              <w:rPr>
                <w:rFonts w:ascii="Tahoma" w:hAnsi="Tahoma" w:cs="Tahoma"/>
                <w:sz w:val="13"/>
              </w:rPr>
            </w:pPr>
            <w:r w:rsidRPr="003410C7">
              <w:rPr>
                <w:rFonts w:ascii="Tahoma" w:hAnsi="Tahoma" w:cs="Tahoma"/>
                <w:sz w:val="13"/>
              </w:rPr>
              <w:t>DT</w:t>
            </w:r>
          </w:p>
        </w:tc>
        <w:tc>
          <w:tcPr>
            <w:tcW w:w="429" w:type="dxa"/>
            <w:tcBorders>
              <w:left w:val="single" w:sz="18" w:space="0" w:color="auto"/>
              <w:bottom w:val="single" w:sz="4" w:space="0" w:color="auto"/>
            </w:tcBorders>
            <w:shd w:val="clear" w:color="auto" w:fill="FABF8F"/>
            <w:vAlign w:val="center"/>
          </w:tcPr>
          <w:p w:rsidR="00CC19FC" w:rsidRPr="003410C7" w:rsidRDefault="00CC19FC" w:rsidP="004B3534">
            <w:pPr>
              <w:pStyle w:val="TableText"/>
              <w:widowControl w:val="0"/>
              <w:rPr>
                <w:rFonts w:ascii="Tahoma" w:hAnsi="Tahoma" w:cs="Tahoma"/>
                <w:sz w:val="13"/>
              </w:rPr>
            </w:pPr>
            <w:r w:rsidRPr="003410C7">
              <w:rPr>
                <w:rFonts w:ascii="Tahoma" w:hAnsi="Tahoma" w:cs="Tahoma"/>
                <w:sz w:val="13"/>
              </w:rPr>
              <w:t>1</w:t>
            </w:r>
          </w:p>
        </w:tc>
        <w:tc>
          <w:tcPr>
            <w:tcW w:w="429" w:type="dxa"/>
            <w:tcBorders>
              <w:bottom w:val="single" w:sz="4" w:space="0" w:color="auto"/>
            </w:tcBorders>
            <w:shd w:val="clear" w:color="auto" w:fill="FABF8F"/>
            <w:vAlign w:val="center"/>
          </w:tcPr>
          <w:p w:rsidR="00CC19FC" w:rsidRPr="003410C7" w:rsidRDefault="00CC19FC" w:rsidP="004B3534">
            <w:pPr>
              <w:pStyle w:val="TableText"/>
              <w:widowControl w:val="0"/>
              <w:rPr>
                <w:rFonts w:ascii="Tahoma" w:hAnsi="Tahoma" w:cs="Tahoma"/>
                <w:sz w:val="13"/>
              </w:rPr>
            </w:pPr>
            <w:r w:rsidRPr="003410C7">
              <w:rPr>
                <w:rFonts w:ascii="Tahoma" w:hAnsi="Tahoma" w:cs="Tahoma"/>
                <w:sz w:val="13"/>
              </w:rPr>
              <w:t>3</w:t>
            </w:r>
          </w:p>
        </w:tc>
        <w:tc>
          <w:tcPr>
            <w:tcW w:w="429" w:type="dxa"/>
            <w:tcBorders>
              <w:bottom w:val="single" w:sz="4" w:space="0" w:color="auto"/>
            </w:tcBorders>
            <w:shd w:val="clear" w:color="auto" w:fill="FABF8F"/>
            <w:vAlign w:val="center"/>
          </w:tcPr>
          <w:p w:rsidR="00CC19FC" w:rsidRPr="003410C7" w:rsidRDefault="00CC19FC" w:rsidP="004B3534">
            <w:pPr>
              <w:pStyle w:val="TableText"/>
              <w:widowControl w:val="0"/>
              <w:rPr>
                <w:rFonts w:ascii="Tahoma" w:hAnsi="Tahoma" w:cs="Tahoma"/>
                <w:sz w:val="13"/>
              </w:rPr>
            </w:pPr>
            <w:r w:rsidRPr="003410C7">
              <w:rPr>
                <w:rFonts w:ascii="Tahoma" w:hAnsi="Tahoma" w:cs="Tahoma"/>
                <w:sz w:val="13"/>
              </w:rPr>
              <w:t>2</w:t>
            </w:r>
          </w:p>
        </w:tc>
        <w:tc>
          <w:tcPr>
            <w:tcW w:w="429" w:type="dxa"/>
            <w:tcBorders>
              <w:bottom w:val="single" w:sz="4" w:space="0" w:color="auto"/>
            </w:tcBorders>
            <w:shd w:val="clear" w:color="auto" w:fill="FABF8F"/>
            <w:vAlign w:val="center"/>
          </w:tcPr>
          <w:p w:rsidR="00CC19FC" w:rsidRPr="003410C7" w:rsidRDefault="00CC19FC" w:rsidP="004B3534">
            <w:pPr>
              <w:pStyle w:val="TableText"/>
              <w:widowControl w:val="0"/>
              <w:rPr>
                <w:rFonts w:ascii="Tahoma" w:hAnsi="Tahoma" w:cs="Tahoma"/>
                <w:sz w:val="13"/>
              </w:rPr>
            </w:pPr>
            <w:r w:rsidRPr="003410C7">
              <w:rPr>
                <w:rFonts w:ascii="Tahoma" w:hAnsi="Tahoma" w:cs="Tahoma"/>
                <w:sz w:val="13"/>
              </w:rPr>
              <w:t>2</w:t>
            </w:r>
          </w:p>
        </w:tc>
        <w:tc>
          <w:tcPr>
            <w:tcW w:w="429" w:type="dxa"/>
            <w:tcBorders>
              <w:bottom w:val="single" w:sz="4" w:space="0" w:color="auto"/>
            </w:tcBorders>
            <w:shd w:val="clear" w:color="auto" w:fill="FABF8F"/>
            <w:vAlign w:val="center"/>
          </w:tcPr>
          <w:p w:rsidR="00CC19FC" w:rsidRPr="003410C7" w:rsidRDefault="00CC19FC" w:rsidP="004B3534">
            <w:pPr>
              <w:pStyle w:val="TableText"/>
              <w:widowControl w:val="0"/>
              <w:rPr>
                <w:rFonts w:ascii="Tahoma" w:hAnsi="Tahoma" w:cs="Tahoma"/>
                <w:sz w:val="13"/>
              </w:rPr>
            </w:pPr>
            <w:r w:rsidRPr="003410C7">
              <w:rPr>
                <w:rFonts w:ascii="Tahoma" w:hAnsi="Tahoma" w:cs="Tahoma"/>
                <w:sz w:val="13"/>
              </w:rPr>
              <w:t>2</w:t>
            </w:r>
          </w:p>
        </w:tc>
        <w:tc>
          <w:tcPr>
            <w:tcW w:w="429" w:type="dxa"/>
            <w:tcBorders>
              <w:bottom w:val="single" w:sz="4" w:space="0" w:color="auto"/>
            </w:tcBorders>
            <w:shd w:val="clear" w:color="auto" w:fill="FABF8F"/>
            <w:vAlign w:val="center"/>
          </w:tcPr>
          <w:p w:rsidR="00CC19FC" w:rsidRPr="003410C7" w:rsidRDefault="00CC19FC" w:rsidP="004B3534">
            <w:pPr>
              <w:pStyle w:val="TableText"/>
              <w:widowControl w:val="0"/>
              <w:rPr>
                <w:rFonts w:ascii="Tahoma" w:hAnsi="Tahoma" w:cs="Tahoma"/>
                <w:sz w:val="13"/>
              </w:rPr>
            </w:pPr>
            <w:r w:rsidRPr="003410C7">
              <w:rPr>
                <w:rFonts w:ascii="Tahoma" w:hAnsi="Tahoma" w:cs="Tahoma"/>
                <w:sz w:val="13"/>
              </w:rPr>
              <w:t>1</w:t>
            </w:r>
          </w:p>
        </w:tc>
        <w:tc>
          <w:tcPr>
            <w:tcW w:w="429" w:type="dxa"/>
            <w:tcBorders>
              <w:bottom w:val="single" w:sz="4" w:space="0" w:color="auto"/>
              <w:right w:val="single" w:sz="18" w:space="0" w:color="auto"/>
            </w:tcBorders>
            <w:shd w:val="clear" w:color="auto" w:fill="FABF8F"/>
            <w:vAlign w:val="center"/>
          </w:tcPr>
          <w:p w:rsidR="00CC19FC" w:rsidRPr="003410C7" w:rsidRDefault="00CC19FC" w:rsidP="004B3534">
            <w:pPr>
              <w:pStyle w:val="TableText"/>
              <w:widowControl w:val="0"/>
              <w:rPr>
                <w:rFonts w:ascii="Tahoma" w:hAnsi="Tahoma" w:cs="Tahoma"/>
                <w:sz w:val="13"/>
              </w:rPr>
            </w:pPr>
            <w:r w:rsidRPr="003410C7">
              <w:rPr>
                <w:rFonts w:ascii="Tahoma" w:hAnsi="Tahoma" w:cs="Tahoma"/>
                <w:sz w:val="13"/>
              </w:rPr>
              <w:t>1</w:t>
            </w:r>
          </w:p>
        </w:tc>
        <w:tc>
          <w:tcPr>
            <w:tcW w:w="429" w:type="dxa"/>
            <w:tcBorders>
              <w:left w:val="single" w:sz="18" w:space="0" w:color="auto"/>
              <w:bottom w:val="single" w:sz="4" w:space="0" w:color="auto"/>
            </w:tcBorders>
            <w:shd w:val="clear" w:color="auto" w:fill="FABF8F"/>
            <w:vAlign w:val="center"/>
          </w:tcPr>
          <w:p w:rsidR="00CC19FC" w:rsidRPr="003410C7" w:rsidRDefault="00CC19FC" w:rsidP="004B3534">
            <w:pPr>
              <w:pStyle w:val="TableText"/>
              <w:widowControl w:val="0"/>
              <w:rPr>
                <w:rFonts w:ascii="Tahoma" w:hAnsi="Tahoma" w:cs="Tahoma"/>
                <w:sz w:val="13"/>
              </w:rPr>
            </w:pPr>
            <w:r w:rsidRPr="003410C7">
              <w:rPr>
                <w:rFonts w:ascii="Tahoma" w:hAnsi="Tahoma" w:cs="Tahoma"/>
                <w:sz w:val="13"/>
              </w:rPr>
              <w:t>1</w:t>
            </w:r>
          </w:p>
        </w:tc>
        <w:tc>
          <w:tcPr>
            <w:tcW w:w="429" w:type="dxa"/>
            <w:tcBorders>
              <w:bottom w:val="single" w:sz="4" w:space="0" w:color="auto"/>
            </w:tcBorders>
            <w:shd w:val="clear" w:color="auto" w:fill="FABF8F"/>
            <w:vAlign w:val="center"/>
          </w:tcPr>
          <w:p w:rsidR="00CC19FC" w:rsidRPr="003410C7" w:rsidRDefault="00CC19FC" w:rsidP="004B3534">
            <w:pPr>
              <w:pStyle w:val="TableText"/>
              <w:widowControl w:val="0"/>
              <w:rPr>
                <w:rFonts w:ascii="Tahoma" w:hAnsi="Tahoma" w:cs="Tahoma"/>
                <w:sz w:val="13"/>
              </w:rPr>
            </w:pPr>
            <w:r w:rsidRPr="003410C7">
              <w:rPr>
                <w:rFonts w:ascii="Tahoma" w:hAnsi="Tahoma" w:cs="Tahoma"/>
                <w:sz w:val="13"/>
              </w:rPr>
              <w:t>2</w:t>
            </w:r>
          </w:p>
        </w:tc>
        <w:tc>
          <w:tcPr>
            <w:tcW w:w="442" w:type="dxa"/>
            <w:tcBorders>
              <w:bottom w:val="single" w:sz="4" w:space="0" w:color="auto"/>
              <w:right w:val="single" w:sz="18" w:space="0" w:color="auto"/>
            </w:tcBorders>
            <w:shd w:val="clear" w:color="auto" w:fill="FABF8F"/>
            <w:vAlign w:val="center"/>
          </w:tcPr>
          <w:p w:rsidR="00CC19FC" w:rsidRPr="003410C7" w:rsidRDefault="00CC19FC" w:rsidP="004B3534">
            <w:pPr>
              <w:pStyle w:val="TableText"/>
              <w:widowControl w:val="0"/>
              <w:rPr>
                <w:rFonts w:ascii="Tahoma" w:hAnsi="Tahoma" w:cs="Tahoma"/>
                <w:sz w:val="13"/>
              </w:rPr>
            </w:pPr>
            <w:r w:rsidRPr="003410C7">
              <w:rPr>
                <w:rFonts w:ascii="Tahoma" w:hAnsi="Tahoma" w:cs="Tahoma"/>
                <w:sz w:val="13"/>
              </w:rPr>
              <w:t>1</w:t>
            </w:r>
          </w:p>
        </w:tc>
        <w:tc>
          <w:tcPr>
            <w:tcW w:w="495" w:type="dxa"/>
            <w:tcBorders>
              <w:left w:val="single" w:sz="18" w:space="0" w:color="auto"/>
              <w:bottom w:val="single" w:sz="4" w:space="0" w:color="auto"/>
            </w:tcBorders>
            <w:shd w:val="clear" w:color="auto" w:fill="FABF8F"/>
            <w:vAlign w:val="center"/>
          </w:tcPr>
          <w:p w:rsidR="00CC19FC" w:rsidRPr="003410C7" w:rsidRDefault="00CC19FC" w:rsidP="004B3534">
            <w:pPr>
              <w:pStyle w:val="TableText"/>
              <w:widowControl w:val="0"/>
              <w:rPr>
                <w:rFonts w:ascii="Tahoma" w:hAnsi="Tahoma" w:cs="Tahoma"/>
                <w:sz w:val="13"/>
              </w:rPr>
            </w:pPr>
          </w:p>
        </w:tc>
        <w:tc>
          <w:tcPr>
            <w:tcW w:w="459" w:type="dxa"/>
            <w:tcBorders>
              <w:bottom w:val="single" w:sz="4" w:space="0" w:color="auto"/>
              <w:right w:val="single" w:sz="18" w:space="0" w:color="auto"/>
            </w:tcBorders>
            <w:shd w:val="clear" w:color="auto" w:fill="FABF8F"/>
            <w:vAlign w:val="center"/>
          </w:tcPr>
          <w:p w:rsidR="00CC19FC" w:rsidRPr="003410C7" w:rsidRDefault="00CC19FC" w:rsidP="004B3534">
            <w:pPr>
              <w:pStyle w:val="TableText"/>
              <w:widowControl w:val="0"/>
              <w:rPr>
                <w:rFonts w:ascii="Tahoma" w:hAnsi="Tahoma" w:cs="Tahoma"/>
                <w:sz w:val="13"/>
              </w:rPr>
            </w:pPr>
          </w:p>
        </w:tc>
        <w:tc>
          <w:tcPr>
            <w:tcW w:w="360" w:type="dxa"/>
            <w:tcBorders>
              <w:left w:val="single" w:sz="18" w:space="0" w:color="auto"/>
              <w:bottom w:val="single" w:sz="4" w:space="0" w:color="auto"/>
              <w:right w:val="single" w:sz="18" w:space="0" w:color="auto"/>
            </w:tcBorders>
            <w:shd w:val="clear" w:color="auto" w:fill="FABF8F"/>
            <w:vAlign w:val="center"/>
          </w:tcPr>
          <w:p w:rsidR="00CC19FC" w:rsidRPr="003410C7" w:rsidRDefault="00CC19FC" w:rsidP="004B3534">
            <w:pPr>
              <w:pStyle w:val="TableText"/>
              <w:widowControl w:val="0"/>
              <w:rPr>
                <w:rFonts w:ascii="Tahoma" w:hAnsi="Tahoma" w:cs="Tahoma"/>
                <w:sz w:val="13"/>
              </w:rPr>
            </w:pPr>
            <w:r w:rsidRPr="003410C7">
              <w:rPr>
                <w:rFonts w:ascii="Tahoma" w:hAnsi="Tahoma" w:cs="Tahoma"/>
                <w:sz w:val="13"/>
              </w:rPr>
              <w:t>P</w:t>
            </w:r>
          </w:p>
        </w:tc>
        <w:tc>
          <w:tcPr>
            <w:tcW w:w="474" w:type="dxa"/>
            <w:tcBorders>
              <w:bottom w:val="single" w:sz="4" w:space="0" w:color="auto"/>
            </w:tcBorders>
            <w:shd w:val="clear" w:color="auto" w:fill="FABF8F"/>
            <w:vAlign w:val="center"/>
          </w:tcPr>
          <w:p w:rsidR="00CC19FC" w:rsidRPr="003410C7" w:rsidRDefault="00CC19FC" w:rsidP="00080B33">
            <w:pPr>
              <w:pStyle w:val="TableText"/>
              <w:widowControl w:val="0"/>
              <w:rPr>
                <w:rFonts w:ascii="Tahoma" w:hAnsi="Tahoma" w:cs="Tahoma"/>
                <w:sz w:val="13"/>
              </w:rPr>
            </w:pPr>
          </w:p>
        </w:tc>
        <w:tc>
          <w:tcPr>
            <w:tcW w:w="514" w:type="dxa"/>
            <w:tcBorders>
              <w:bottom w:val="single" w:sz="4" w:space="0" w:color="auto"/>
            </w:tcBorders>
            <w:shd w:val="clear" w:color="auto" w:fill="FABF8F"/>
            <w:vAlign w:val="center"/>
          </w:tcPr>
          <w:p w:rsidR="00CC19FC" w:rsidRPr="003410C7" w:rsidRDefault="00CC19FC" w:rsidP="004B3534">
            <w:pPr>
              <w:pStyle w:val="TableText"/>
              <w:widowControl w:val="0"/>
              <w:rPr>
                <w:rFonts w:ascii="Tahoma" w:hAnsi="Tahoma" w:cs="Tahoma"/>
                <w:sz w:val="13"/>
              </w:rPr>
            </w:pPr>
          </w:p>
        </w:tc>
      </w:tr>
      <w:tr w:rsidR="00EF228F" w:rsidRPr="003410C7" w:rsidTr="002A074D">
        <w:trPr>
          <w:cantSplit/>
          <w:trHeight w:val="145"/>
        </w:trPr>
        <w:tc>
          <w:tcPr>
            <w:tcW w:w="2638" w:type="dxa"/>
            <w:tcBorders>
              <w:bottom w:val="single" w:sz="4" w:space="0" w:color="auto"/>
            </w:tcBorders>
            <w:shd w:val="clear" w:color="auto" w:fill="FFFFFF"/>
          </w:tcPr>
          <w:p w:rsidR="00CC19FC" w:rsidRPr="003410C7" w:rsidRDefault="00CC19FC" w:rsidP="003410C7">
            <w:pPr>
              <w:pStyle w:val="Heading3"/>
              <w:spacing w:beforeLines="20" w:before="48" w:afterLines="20" w:after="48"/>
              <w:rPr>
                <w:rFonts w:ascii="Tahoma" w:hAnsi="Tahoma" w:cs="Tahoma"/>
                <w:b w:val="0"/>
                <w:sz w:val="14"/>
              </w:rPr>
            </w:pPr>
            <w:bookmarkStart w:id="85" w:name="_Toc336337878"/>
            <w:bookmarkStart w:id="86" w:name="_Toc352234480"/>
            <w:r w:rsidRPr="003410C7">
              <w:rPr>
                <w:rFonts w:ascii="Tahoma" w:hAnsi="Tahoma" w:cs="Tahoma"/>
                <w:b w:val="0"/>
                <w:sz w:val="14"/>
              </w:rPr>
              <w:t>Powerpoint per Mac 2011</w:t>
            </w:r>
            <w:bookmarkEnd w:id="85"/>
            <w:bookmarkEnd w:id="86"/>
          </w:p>
        </w:tc>
        <w:tc>
          <w:tcPr>
            <w:tcW w:w="429" w:type="dxa"/>
            <w:tcBorders>
              <w:bottom w:val="single" w:sz="4" w:space="0" w:color="auto"/>
            </w:tcBorders>
            <w:shd w:val="clear" w:color="auto" w:fill="FFFFFF"/>
            <w:vAlign w:val="center"/>
          </w:tcPr>
          <w:p w:rsidR="00CC19FC" w:rsidRPr="009F17FF" w:rsidRDefault="00CC19FC" w:rsidP="00F62B9E">
            <w:pPr>
              <w:pStyle w:val="TableText"/>
              <w:widowControl w:val="0"/>
              <w:rPr>
                <w:rStyle w:val="EndnoteReference"/>
                <w:color w:val="0000FF"/>
                <w:sz w:val="13"/>
                <w:szCs w:val="13"/>
                <w:u w:val="single"/>
              </w:rPr>
            </w:pPr>
          </w:p>
        </w:tc>
        <w:tc>
          <w:tcPr>
            <w:tcW w:w="429" w:type="dxa"/>
            <w:tcBorders>
              <w:bottom w:val="single" w:sz="4" w:space="0" w:color="auto"/>
            </w:tcBorders>
            <w:shd w:val="clear" w:color="auto" w:fill="FFFFFF"/>
            <w:vAlign w:val="center"/>
          </w:tcPr>
          <w:p w:rsidR="00CC19FC" w:rsidRPr="003410C7" w:rsidRDefault="00CC19FC" w:rsidP="004B3534">
            <w:pPr>
              <w:pStyle w:val="TableText"/>
              <w:spacing w:before="60" w:after="60"/>
              <w:rPr>
                <w:rFonts w:ascii="Tahoma" w:hAnsi="Tahoma" w:cs="Tahoma"/>
                <w:sz w:val="13"/>
              </w:rPr>
            </w:pPr>
            <w:r w:rsidRPr="003410C7">
              <w:rPr>
                <w:rFonts w:ascii="Tahoma" w:hAnsi="Tahoma" w:cs="Tahoma"/>
                <w:sz w:val="13"/>
              </w:rPr>
              <w:t>09/10</w:t>
            </w:r>
          </w:p>
        </w:tc>
        <w:tc>
          <w:tcPr>
            <w:tcW w:w="429" w:type="dxa"/>
            <w:tcBorders>
              <w:bottom w:val="single" w:sz="4" w:space="0" w:color="auto"/>
              <w:right w:val="single" w:sz="18" w:space="0" w:color="auto"/>
            </w:tcBorders>
            <w:shd w:val="clear" w:color="auto" w:fill="FFFFFF"/>
            <w:vAlign w:val="center"/>
          </w:tcPr>
          <w:p w:rsidR="00CC19FC" w:rsidRPr="003410C7" w:rsidRDefault="00CC19FC" w:rsidP="004B3534">
            <w:pPr>
              <w:pStyle w:val="TableText"/>
              <w:rPr>
                <w:rFonts w:ascii="Tahoma" w:hAnsi="Tahoma" w:cs="Tahoma"/>
                <w:sz w:val="13"/>
              </w:rPr>
            </w:pPr>
            <w:r w:rsidRPr="003410C7">
              <w:rPr>
                <w:rFonts w:ascii="Tahoma" w:hAnsi="Tahoma" w:cs="Tahoma"/>
                <w:sz w:val="13"/>
              </w:rPr>
              <w:t>DT</w:t>
            </w:r>
          </w:p>
        </w:tc>
        <w:tc>
          <w:tcPr>
            <w:tcW w:w="429" w:type="dxa"/>
            <w:tcBorders>
              <w:left w:val="single" w:sz="18" w:space="0" w:color="auto"/>
              <w:bottom w:val="single" w:sz="4" w:space="0" w:color="auto"/>
            </w:tcBorders>
            <w:shd w:val="clear" w:color="auto" w:fill="FFFFFF"/>
            <w:vAlign w:val="center"/>
          </w:tcPr>
          <w:p w:rsidR="00CC19FC" w:rsidRPr="003410C7" w:rsidRDefault="00CC19FC" w:rsidP="004B3534">
            <w:pPr>
              <w:pStyle w:val="TableText"/>
              <w:rPr>
                <w:rFonts w:ascii="Tahoma" w:hAnsi="Tahoma" w:cs="Tahoma"/>
                <w:sz w:val="13"/>
              </w:rPr>
            </w:pPr>
            <w:r w:rsidRPr="003410C7">
              <w:rPr>
                <w:rFonts w:ascii="Tahoma" w:hAnsi="Tahoma" w:cs="Tahoma"/>
                <w:sz w:val="13"/>
              </w:rPr>
              <w:t>1</w:t>
            </w:r>
          </w:p>
        </w:tc>
        <w:tc>
          <w:tcPr>
            <w:tcW w:w="429" w:type="dxa"/>
            <w:tcBorders>
              <w:bottom w:val="single" w:sz="4" w:space="0" w:color="auto"/>
            </w:tcBorders>
            <w:shd w:val="clear" w:color="auto" w:fill="FFFFFF"/>
            <w:vAlign w:val="center"/>
          </w:tcPr>
          <w:p w:rsidR="00CC19FC" w:rsidRPr="003410C7" w:rsidRDefault="00CC19FC" w:rsidP="004B3534">
            <w:pPr>
              <w:pStyle w:val="TableText"/>
              <w:rPr>
                <w:rFonts w:ascii="Tahoma" w:hAnsi="Tahoma" w:cs="Tahoma"/>
                <w:sz w:val="13"/>
              </w:rPr>
            </w:pPr>
            <w:r w:rsidRPr="003410C7">
              <w:rPr>
                <w:rFonts w:ascii="Tahoma" w:hAnsi="Tahoma" w:cs="Tahoma"/>
                <w:sz w:val="13"/>
              </w:rPr>
              <w:t>3</w:t>
            </w:r>
          </w:p>
        </w:tc>
        <w:tc>
          <w:tcPr>
            <w:tcW w:w="429" w:type="dxa"/>
            <w:tcBorders>
              <w:bottom w:val="single" w:sz="4" w:space="0" w:color="auto"/>
            </w:tcBorders>
            <w:shd w:val="clear" w:color="auto" w:fill="FFFFFF"/>
            <w:vAlign w:val="center"/>
          </w:tcPr>
          <w:p w:rsidR="00CC19FC" w:rsidRPr="003410C7" w:rsidRDefault="00CC19FC" w:rsidP="004B3534">
            <w:pPr>
              <w:pStyle w:val="TableText"/>
              <w:rPr>
                <w:rFonts w:ascii="Tahoma" w:hAnsi="Tahoma" w:cs="Tahoma"/>
                <w:sz w:val="13"/>
              </w:rPr>
            </w:pPr>
            <w:r w:rsidRPr="003410C7">
              <w:rPr>
                <w:rFonts w:ascii="Tahoma" w:hAnsi="Tahoma" w:cs="Tahoma"/>
                <w:sz w:val="13"/>
              </w:rPr>
              <w:t>2</w:t>
            </w:r>
          </w:p>
        </w:tc>
        <w:tc>
          <w:tcPr>
            <w:tcW w:w="429" w:type="dxa"/>
            <w:tcBorders>
              <w:bottom w:val="single" w:sz="4" w:space="0" w:color="auto"/>
            </w:tcBorders>
            <w:shd w:val="clear" w:color="auto" w:fill="FFFFFF"/>
            <w:vAlign w:val="center"/>
          </w:tcPr>
          <w:p w:rsidR="00CC19FC" w:rsidRPr="003410C7" w:rsidRDefault="00CC19FC" w:rsidP="004B3534">
            <w:pPr>
              <w:pStyle w:val="TableText"/>
              <w:rPr>
                <w:rFonts w:ascii="Tahoma" w:hAnsi="Tahoma" w:cs="Tahoma"/>
                <w:sz w:val="13"/>
              </w:rPr>
            </w:pPr>
            <w:r w:rsidRPr="003410C7">
              <w:rPr>
                <w:rFonts w:ascii="Tahoma" w:hAnsi="Tahoma" w:cs="Tahoma"/>
                <w:sz w:val="13"/>
              </w:rPr>
              <w:t>2</w:t>
            </w:r>
          </w:p>
        </w:tc>
        <w:tc>
          <w:tcPr>
            <w:tcW w:w="429" w:type="dxa"/>
            <w:tcBorders>
              <w:bottom w:val="single" w:sz="4" w:space="0" w:color="auto"/>
            </w:tcBorders>
            <w:shd w:val="clear" w:color="auto" w:fill="FFFFFF"/>
            <w:vAlign w:val="center"/>
          </w:tcPr>
          <w:p w:rsidR="00CC19FC" w:rsidRPr="003410C7" w:rsidRDefault="00CC19FC" w:rsidP="004B3534">
            <w:pPr>
              <w:pStyle w:val="TableText"/>
              <w:rPr>
                <w:rFonts w:ascii="Tahoma" w:hAnsi="Tahoma" w:cs="Tahoma"/>
                <w:sz w:val="13"/>
              </w:rPr>
            </w:pPr>
            <w:r w:rsidRPr="003410C7">
              <w:rPr>
                <w:rFonts w:ascii="Tahoma" w:hAnsi="Tahoma" w:cs="Tahoma"/>
                <w:sz w:val="13"/>
              </w:rPr>
              <w:t>2</w:t>
            </w:r>
          </w:p>
        </w:tc>
        <w:tc>
          <w:tcPr>
            <w:tcW w:w="429" w:type="dxa"/>
            <w:tcBorders>
              <w:bottom w:val="single" w:sz="4" w:space="0" w:color="auto"/>
            </w:tcBorders>
            <w:shd w:val="clear" w:color="auto" w:fill="FFFFFF"/>
            <w:vAlign w:val="center"/>
          </w:tcPr>
          <w:p w:rsidR="00CC19FC" w:rsidRPr="003410C7" w:rsidRDefault="00CC19FC" w:rsidP="004B3534">
            <w:pPr>
              <w:pStyle w:val="TableText"/>
              <w:rPr>
                <w:rFonts w:ascii="Tahoma" w:hAnsi="Tahoma" w:cs="Tahoma"/>
                <w:sz w:val="13"/>
              </w:rPr>
            </w:pPr>
            <w:r w:rsidRPr="003410C7">
              <w:rPr>
                <w:rFonts w:ascii="Tahoma" w:hAnsi="Tahoma" w:cs="Tahoma"/>
                <w:sz w:val="13"/>
              </w:rPr>
              <w:t>1</w:t>
            </w:r>
          </w:p>
        </w:tc>
        <w:tc>
          <w:tcPr>
            <w:tcW w:w="429" w:type="dxa"/>
            <w:tcBorders>
              <w:bottom w:val="single" w:sz="4" w:space="0" w:color="auto"/>
              <w:right w:val="single" w:sz="18" w:space="0" w:color="auto"/>
            </w:tcBorders>
            <w:shd w:val="clear" w:color="auto" w:fill="FFFFFF"/>
            <w:vAlign w:val="center"/>
          </w:tcPr>
          <w:p w:rsidR="00CC19FC" w:rsidRPr="003410C7" w:rsidRDefault="00CC19FC" w:rsidP="004B3534">
            <w:pPr>
              <w:pStyle w:val="TableText"/>
              <w:rPr>
                <w:rFonts w:ascii="Tahoma" w:hAnsi="Tahoma" w:cs="Tahoma"/>
                <w:sz w:val="13"/>
              </w:rPr>
            </w:pPr>
            <w:r w:rsidRPr="003410C7">
              <w:rPr>
                <w:rFonts w:ascii="Tahoma" w:hAnsi="Tahoma" w:cs="Tahoma"/>
                <w:sz w:val="13"/>
              </w:rPr>
              <w:t>1</w:t>
            </w:r>
          </w:p>
        </w:tc>
        <w:tc>
          <w:tcPr>
            <w:tcW w:w="429" w:type="dxa"/>
            <w:tcBorders>
              <w:left w:val="single" w:sz="18" w:space="0" w:color="auto"/>
              <w:bottom w:val="single" w:sz="4" w:space="0" w:color="auto"/>
            </w:tcBorders>
            <w:shd w:val="clear" w:color="auto" w:fill="FFFFFF"/>
            <w:vAlign w:val="center"/>
          </w:tcPr>
          <w:p w:rsidR="00CC19FC" w:rsidRPr="003410C7" w:rsidRDefault="00CC19FC" w:rsidP="004B3534">
            <w:pPr>
              <w:pStyle w:val="TableText"/>
              <w:rPr>
                <w:rFonts w:ascii="Tahoma" w:hAnsi="Tahoma" w:cs="Tahoma"/>
                <w:sz w:val="13"/>
              </w:rPr>
            </w:pPr>
            <w:r w:rsidRPr="003410C7">
              <w:rPr>
                <w:rFonts w:ascii="Tahoma" w:hAnsi="Tahoma" w:cs="Tahoma"/>
                <w:sz w:val="13"/>
              </w:rPr>
              <w:t>1</w:t>
            </w:r>
          </w:p>
        </w:tc>
        <w:tc>
          <w:tcPr>
            <w:tcW w:w="429" w:type="dxa"/>
            <w:tcBorders>
              <w:bottom w:val="single" w:sz="4" w:space="0" w:color="auto"/>
            </w:tcBorders>
            <w:shd w:val="clear" w:color="auto" w:fill="FFFFFF"/>
            <w:vAlign w:val="center"/>
          </w:tcPr>
          <w:p w:rsidR="00CC19FC" w:rsidRPr="003410C7" w:rsidRDefault="00CC19FC" w:rsidP="004B3534">
            <w:pPr>
              <w:pStyle w:val="TableText"/>
              <w:rPr>
                <w:rFonts w:ascii="Tahoma" w:hAnsi="Tahoma" w:cs="Tahoma"/>
                <w:sz w:val="13"/>
              </w:rPr>
            </w:pPr>
            <w:r w:rsidRPr="003410C7">
              <w:rPr>
                <w:rFonts w:ascii="Tahoma" w:hAnsi="Tahoma" w:cs="Tahoma"/>
                <w:sz w:val="13"/>
              </w:rPr>
              <w:t>2</w:t>
            </w:r>
          </w:p>
        </w:tc>
        <w:tc>
          <w:tcPr>
            <w:tcW w:w="442" w:type="dxa"/>
            <w:tcBorders>
              <w:bottom w:val="single" w:sz="4" w:space="0" w:color="auto"/>
              <w:right w:val="single" w:sz="18" w:space="0" w:color="auto"/>
            </w:tcBorders>
            <w:shd w:val="clear" w:color="auto" w:fill="FFFFFF"/>
            <w:vAlign w:val="center"/>
          </w:tcPr>
          <w:p w:rsidR="00CC19FC" w:rsidRPr="003410C7" w:rsidRDefault="00CC19FC" w:rsidP="004B3534">
            <w:pPr>
              <w:pStyle w:val="TableText"/>
              <w:rPr>
                <w:rFonts w:ascii="Tahoma" w:hAnsi="Tahoma" w:cs="Tahoma"/>
                <w:sz w:val="13"/>
              </w:rPr>
            </w:pPr>
            <w:r w:rsidRPr="003410C7">
              <w:rPr>
                <w:rFonts w:ascii="Tahoma" w:hAnsi="Tahoma" w:cs="Tahoma"/>
                <w:sz w:val="13"/>
              </w:rPr>
              <w:t>1</w:t>
            </w:r>
          </w:p>
        </w:tc>
        <w:tc>
          <w:tcPr>
            <w:tcW w:w="495" w:type="dxa"/>
            <w:tcBorders>
              <w:left w:val="single" w:sz="18" w:space="0" w:color="auto"/>
              <w:bottom w:val="single" w:sz="4" w:space="0" w:color="auto"/>
            </w:tcBorders>
            <w:shd w:val="clear" w:color="auto" w:fill="FFFFFF"/>
            <w:vAlign w:val="center"/>
          </w:tcPr>
          <w:p w:rsidR="00CC19FC" w:rsidRPr="003410C7" w:rsidRDefault="00CC19FC" w:rsidP="004B3534">
            <w:pPr>
              <w:pStyle w:val="TableText"/>
              <w:rPr>
                <w:rFonts w:ascii="Tahoma" w:hAnsi="Tahoma" w:cs="Tahoma"/>
                <w:sz w:val="13"/>
              </w:rPr>
            </w:pPr>
          </w:p>
        </w:tc>
        <w:tc>
          <w:tcPr>
            <w:tcW w:w="459" w:type="dxa"/>
            <w:tcBorders>
              <w:bottom w:val="single" w:sz="4" w:space="0" w:color="auto"/>
              <w:right w:val="single" w:sz="18" w:space="0" w:color="auto"/>
            </w:tcBorders>
            <w:shd w:val="clear" w:color="auto" w:fill="FFFFFF"/>
            <w:vAlign w:val="center"/>
          </w:tcPr>
          <w:p w:rsidR="00CC19FC" w:rsidRPr="003410C7" w:rsidRDefault="00CC19FC" w:rsidP="004B3534">
            <w:pPr>
              <w:pStyle w:val="TableText"/>
              <w:rPr>
                <w:rFonts w:ascii="Tahoma" w:hAnsi="Tahoma" w:cs="Tahoma"/>
                <w:sz w:val="13"/>
              </w:rPr>
            </w:pPr>
          </w:p>
        </w:tc>
        <w:tc>
          <w:tcPr>
            <w:tcW w:w="360" w:type="dxa"/>
            <w:tcBorders>
              <w:left w:val="single" w:sz="18" w:space="0" w:color="auto"/>
              <w:bottom w:val="single" w:sz="4" w:space="0" w:color="auto"/>
              <w:right w:val="single" w:sz="18" w:space="0" w:color="auto"/>
            </w:tcBorders>
            <w:shd w:val="clear" w:color="auto" w:fill="FFFFFF"/>
            <w:vAlign w:val="center"/>
          </w:tcPr>
          <w:p w:rsidR="00CC19FC" w:rsidRPr="003410C7" w:rsidRDefault="00CC19FC" w:rsidP="004B3534">
            <w:pPr>
              <w:pStyle w:val="TableText"/>
              <w:rPr>
                <w:rFonts w:ascii="Tahoma" w:hAnsi="Tahoma" w:cs="Tahoma"/>
                <w:sz w:val="13"/>
              </w:rPr>
            </w:pPr>
            <w:r w:rsidRPr="003410C7">
              <w:rPr>
                <w:rFonts w:ascii="Tahoma" w:hAnsi="Tahoma" w:cs="Tahoma"/>
                <w:sz w:val="13"/>
              </w:rPr>
              <w:t>P</w:t>
            </w:r>
          </w:p>
        </w:tc>
        <w:tc>
          <w:tcPr>
            <w:tcW w:w="474" w:type="dxa"/>
            <w:tcBorders>
              <w:bottom w:val="single" w:sz="4" w:space="0" w:color="auto"/>
            </w:tcBorders>
            <w:shd w:val="clear" w:color="auto" w:fill="FFFFFF"/>
            <w:vAlign w:val="center"/>
          </w:tcPr>
          <w:p w:rsidR="00CC19FC" w:rsidRPr="003410C7" w:rsidRDefault="00CC19FC" w:rsidP="00080B33">
            <w:pPr>
              <w:pStyle w:val="TableText"/>
              <w:rPr>
                <w:rFonts w:ascii="Tahoma" w:hAnsi="Tahoma" w:cs="Tahoma"/>
                <w:sz w:val="13"/>
              </w:rPr>
            </w:pPr>
          </w:p>
        </w:tc>
        <w:tc>
          <w:tcPr>
            <w:tcW w:w="514" w:type="dxa"/>
            <w:tcBorders>
              <w:bottom w:val="single" w:sz="4" w:space="0" w:color="auto"/>
            </w:tcBorders>
            <w:shd w:val="clear" w:color="auto" w:fill="FFFFFF"/>
            <w:vAlign w:val="center"/>
          </w:tcPr>
          <w:p w:rsidR="00CC19FC" w:rsidRPr="003410C7" w:rsidRDefault="00CC19FC" w:rsidP="004B3534">
            <w:pPr>
              <w:pStyle w:val="TableText"/>
              <w:rPr>
                <w:rFonts w:ascii="Tahoma" w:hAnsi="Tahoma" w:cs="Tahoma"/>
                <w:sz w:val="13"/>
              </w:rPr>
            </w:pPr>
          </w:p>
        </w:tc>
      </w:tr>
      <w:tr w:rsidR="00EF228F" w:rsidRPr="003410C7" w:rsidTr="002A074D">
        <w:trPr>
          <w:cantSplit/>
          <w:trHeight w:val="145"/>
        </w:trPr>
        <w:tc>
          <w:tcPr>
            <w:tcW w:w="2638" w:type="dxa"/>
            <w:tcBorders>
              <w:bottom w:val="single" w:sz="4" w:space="0" w:color="auto"/>
            </w:tcBorders>
            <w:shd w:val="clear" w:color="auto" w:fill="FABF8F"/>
          </w:tcPr>
          <w:p w:rsidR="00CC19FC" w:rsidRPr="003410C7" w:rsidRDefault="00CC19FC" w:rsidP="003410C7">
            <w:pPr>
              <w:pStyle w:val="Heading3"/>
              <w:spacing w:beforeLines="20" w:before="48" w:afterLines="20" w:after="48"/>
              <w:rPr>
                <w:rFonts w:ascii="Tahoma" w:hAnsi="Tahoma" w:cs="Tahoma"/>
                <w:b w:val="0"/>
                <w:sz w:val="14"/>
              </w:rPr>
            </w:pPr>
            <w:bookmarkStart w:id="87" w:name="_Toc336337879"/>
            <w:bookmarkStart w:id="88" w:name="_Toc352234481"/>
            <w:r w:rsidRPr="003410C7">
              <w:rPr>
                <w:rFonts w:ascii="Tahoma" w:hAnsi="Tahoma" w:cs="Tahoma"/>
                <w:b w:val="0"/>
                <w:sz w:val="14"/>
              </w:rPr>
              <w:t>Project 2013 Standard</w:t>
            </w:r>
            <w:bookmarkEnd w:id="87"/>
            <w:bookmarkEnd w:id="88"/>
            <w:r w:rsidRPr="003410C7">
              <w:rPr>
                <w:rFonts w:ascii="Tahoma" w:hAnsi="Tahoma" w:cs="Tahoma"/>
                <w:b w:val="0"/>
                <w:sz w:val="14"/>
              </w:rPr>
              <w:t xml:space="preserve"> </w:t>
            </w:r>
          </w:p>
        </w:tc>
        <w:tc>
          <w:tcPr>
            <w:tcW w:w="429" w:type="dxa"/>
            <w:tcBorders>
              <w:bottom w:val="single" w:sz="4" w:space="0" w:color="auto"/>
            </w:tcBorders>
            <w:shd w:val="clear" w:color="auto" w:fill="FABF8F"/>
            <w:vAlign w:val="center"/>
          </w:tcPr>
          <w:p w:rsidR="00CC19FC" w:rsidRPr="009F17FF" w:rsidRDefault="00CC19FC" w:rsidP="00D353E6">
            <w:pPr>
              <w:pStyle w:val="TableText"/>
              <w:widowControl w:val="0"/>
              <w:rPr>
                <w:rStyle w:val="EndnoteReference"/>
                <w:color w:val="0000FF"/>
                <w:sz w:val="13"/>
                <w:szCs w:val="13"/>
                <w:u w:val="single"/>
              </w:rPr>
            </w:pPr>
          </w:p>
        </w:tc>
        <w:tc>
          <w:tcPr>
            <w:tcW w:w="429" w:type="dxa"/>
            <w:tcBorders>
              <w:bottom w:val="single" w:sz="4" w:space="0" w:color="auto"/>
            </w:tcBorders>
            <w:shd w:val="clear" w:color="auto" w:fill="FABF8F"/>
            <w:vAlign w:val="center"/>
          </w:tcPr>
          <w:p w:rsidR="00CC19FC" w:rsidRPr="003410C7" w:rsidRDefault="00CC19FC" w:rsidP="004941B2">
            <w:pPr>
              <w:pStyle w:val="TableText"/>
              <w:spacing w:before="60" w:after="60"/>
              <w:rPr>
                <w:rFonts w:ascii="Tahoma" w:hAnsi="Tahoma" w:cs="Tahoma"/>
                <w:sz w:val="13"/>
              </w:rPr>
            </w:pPr>
            <w:r w:rsidRPr="003410C7">
              <w:rPr>
                <w:rFonts w:ascii="Tahoma" w:hAnsi="Tahoma" w:cs="Tahoma"/>
                <w:sz w:val="13"/>
              </w:rPr>
              <w:t>10/12</w:t>
            </w:r>
          </w:p>
        </w:tc>
        <w:tc>
          <w:tcPr>
            <w:tcW w:w="429" w:type="dxa"/>
            <w:tcBorders>
              <w:bottom w:val="single" w:sz="4" w:space="0" w:color="auto"/>
              <w:right w:val="single" w:sz="18" w:space="0" w:color="auto"/>
            </w:tcBorders>
            <w:shd w:val="clear" w:color="auto" w:fill="FABF8F"/>
            <w:vAlign w:val="center"/>
          </w:tcPr>
          <w:p w:rsidR="00CC19FC" w:rsidRPr="003410C7" w:rsidRDefault="00CC19FC" w:rsidP="004B3534">
            <w:pPr>
              <w:pStyle w:val="TableText"/>
              <w:rPr>
                <w:rFonts w:ascii="Tahoma" w:hAnsi="Tahoma" w:cs="Tahoma"/>
                <w:sz w:val="13"/>
              </w:rPr>
            </w:pPr>
            <w:r w:rsidRPr="003410C7">
              <w:rPr>
                <w:rFonts w:ascii="Tahoma" w:hAnsi="Tahoma" w:cs="Tahoma"/>
                <w:sz w:val="13"/>
              </w:rPr>
              <w:t>DT</w:t>
            </w:r>
          </w:p>
        </w:tc>
        <w:tc>
          <w:tcPr>
            <w:tcW w:w="429" w:type="dxa"/>
            <w:tcBorders>
              <w:left w:val="single" w:sz="18" w:space="0" w:color="auto"/>
              <w:bottom w:val="single" w:sz="4" w:space="0" w:color="auto"/>
            </w:tcBorders>
            <w:shd w:val="clear" w:color="auto" w:fill="FABF8F"/>
            <w:vAlign w:val="center"/>
          </w:tcPr>
          <w:p w:rsidR="00CC19FC" w:rsidRPr="003410C7" w:rsidRDefault="00CC19FC" w:rsidP="004B3534">
            <w:pPr>
              <w:pStyle w:val="TableText"/>
              <w:rPr>
                <w:rFonts w:ascii="Tahoma" w:hAnsi="Tahoma" w:cs="Tahoma"/>
                <w:sz w:val="13"/>
              </w:rPr>
            </w:pPr>
            <w:r w:rsidRPr="003410C7">
              <w:rPr>
                <w:rFonts w:ascii="Tahoma" w:hAnsi="Tahoma" w:cs="Tahoma"/>
                <w:sz w:val="13"/>
              </w:rPr>
              <w:t>2</w:t>
            </w:r>
          </w:p>
        </w:tc>
        <w:tc>
          <w:tcPr>
            <w:tcW w:w="429" w:type="dxa"/>
            <w:tcBorders>
              <w:bottom w:val="single" w:sz="4" w:space="0" w:color="auto"/>
            </w:tcBorders>
            <w:shd w:val="clear" w:color="auto" w:fill="FABF8F"/>
            <w:vAlign w:val="center"/>
          </w:tcPr>
          <w:p w:rsidR="00CC19FC" w:rsidRPr="003410C7" w:rsidRDefault="00CC19FC" w:rsidP="004B3534">
            <w:pPr>
              <w:pStyle w:val="TableText"/>
              <w:rPr>
                <w:rFonts w:ascii="Tahoma" w:hAnsi="Tahoma" w:cs="Tahoma"/>
                <w:sz w:val="13"/>
              </w:rPr>
            </w:pPr>
            <w:r w:rsidRPr="003410C7">
              <w:rPr>
                <w:rFonts w:ascii="Tahoma" w:hAnsi="Tahoma" w:cs="Tahoma"/>
                <w:sz w:val="13"/>
              </w:rPr>
              <w:t>5</w:t>
            </w:r>
          </w:p>
        </w:tc>
        <w:tc>
          <w:tcPr>
            <w:tcW w:w="429" w:type="dxa"/>
            <w:tcBorders>
              <w:bottom w:val="single" w:sz="4" w:space="0" w:color="auto"/>
            </w:tcBorders>
            <w:shd w:val="clear" w:color="auto" w:fill="FABF8F"/>
            <w:vAlign w:val="center"/>
          </w:tcPr>
          <w:p w:rsidR="00CC19FC" w:rsidRPr="003410C7" w:rsidRDefault="00CC19FC" w:rsidP="004B3534">
            <w:pPr>
              <w:pStyle w:val="TableText"/>
              <w:rPr>
                <w:rFonts w:ascii="Tahoma" w:hAnsi="Tahoma" w:cs="Tahoma"/>
                <w:sz w:val="13"/>
              </w:rPr>
            </w:pPr>
            <w:r w:rsidRPr="003410C7">
              <w:rPr>
                <w:rFonts w:ascii="Tahoma" w:hAnsi="Tahoma" w:cs="Tahoma"/>
                <w:sz w:val="13"/>
              </w:rPr>
              <w:t>4</w:t>
            </w:r>
          </w:p>
        </w:tc>
        <w:tc>
          <w:tcPr>
            <w:tcW w:w="429" w:type="dxa"/>
            <w:tcBorders>
              <w:bottom w:val="single" w:sz="4" w:space="0" w:color="auto"/>
            </w:tcBorders>
            <w:shd w:val="clear" w:color="auto" w:fill="FABF8F"/>
            <w:vAlign w:val="center"/>
          </w:tcPr>
          <w:p w:rsidR="00CC19FC" w:rsidRPr="003410C7" w:rsidRDefault="00CC19FC" w:rsidP="004B3534">
            <w:pPr>
              <w:pStyle w:val="TableText"/>
              <w:rPr>
                <w:rFonts w:ascii="Tahoma" w:hAnsi="Tahoma" w:cs="Tahoma"/>
                <w:sz w:val="13"/>
              </w:rPr>
            </w:pPr>
            <w:r w:rsidRPr="003410C7">
              <w:rPr>
                <w:rFonts w:ascii="Tahoma" w:hAnsi="Tahoma" w:cs="Tahoma"/>
                <w:sz w:val="13"/>
              </w:rPr>
              <w:t>3</w:t>
            </w:r>
          </w:p>
        </w:tc>
        <w:tc>
          <w:tcPr>
            <w:tcW w:w="429" w:type="dxa"/>
            <w:tcBorders>
              <w:bottom w:val="single" w:sz="4" w:space="0" w:color="auto"/>
            </w:tcBorders>
            <w:shd w:val="clear" w:color="auto" w:fill="FABF8F"/>
            <w:vAlign w:val="center"/>
          </w:tcPr>
          <w:p w:rsidR="00CC19FC" w:rsidRPr="003410C7" w:rsidRDefault="00CC19FC" w:rsidP="004B3534">
            <w:pPr>
              <w:pStyle w:val="TableText"/>
              <w:rPr>
                <w:rFonts w:ascii="Tahoma" w:hAnsi="Tahoma" w:cs="Tahoma"/>
                <w:sz w:val="13"/>
              </w:rPr>
            </w:pPr>
            <w:r w:rsidRPr="003410C7">
              <w:rPr>
                <w:rFonts w:ascii="Tahoma" w:hAnsi="Tahoma" w:cs="Tahoma"/>
                <w:sz w:val="13"/>
              </w:rPr>
              <w:t>3</w:t>
            </w:r>
          </w:p>
        </w:tc>
        <w:tc>
          <w:tcPr>
            <w:tcW w:w="429" w:type="dxa"/>
            <w:tcBorders>
              <w:bottom w:val="single" w:sz="4" w:space="0" w:color="auto"/>
            </w:tcBorders>
            <w:shd w:val="clear" w:color="auto" w:fill="FABF8F"/>
            <w:vAlign w:val="center"/>
          </w:tcPr>
          <w:p w:rsidR="00CC19FC" w:rsidRPr="003410C7" w:rsidRDefault="00CC19FC" w:rsidP="004B3534">
            <w:pPr>
              <w:pStyle w:val="TableText"/>
              <w:rPr>
                <w:rFonts w:ascii="Tahoma" w:hAnsi="Tahoma" w:cs="Tahoma"/>
                <w:sz w:val="13"/>
              </w:rPr>
            </w:pPr>
            <w:r w:rsidRPr="003410C7">
              <w:rPr>
                <w:rFonts w:ascii="Tahoma" w:hAnsi="Tahoma" w:cs="Tahoma"/>
                <w:sz w:val="13"/>
              </w:rPr>
              <w:t>2</w:t>
            </w:r>
          </w:p>
        </w:tc>
        <w:tc>
          <w:tcPr>
            <w:tcW w:w="429" w:type="dxa"/>
            <w:tcBorders>
              <w:bottom w:val="single" w:sz="4" w:space="0" w:color="auto"/>
              <w:right w:val="single" w:sz="18" w:space="0" w:color="auto"/>
            </w:tcBorders>
            <w:shd w:val="clear" w:color="auto" w:fill="FABF8F"/>
            <w:vAlign w:val="center"/>
          </w:tcPr>
          <w:p w:rsidR="00CC19FC" w:rsidRPr="003410C7" w:rsidRDefault="00CC19FC" w:rsidP="004B3534">
            <w:pPr>
              <w:pStyle w:val="TableText"/>
              <w:rPr>
                <w:rFonts w:ascii="Tahoma" w:hAnsi="Tahoma" w:cs="Tahoma"/>
                <w:sz w:val="13"/>
              </w:rPr>
            </w:pPr>
            <w:r w:rsidRPr="003410C7">
              <w:rPr>
                <w:rFonts w:ascii="Tahoma" w:hAnsi="Tahoma" w:cs="Tahoma"/>
                <w:sz w:val="13"/>
              </w:rPr>
              <w:t>1</w:t>
            </w:r>
          </w:p>
        </w:tc>
        <w:tc>
          <w:tcPr>
            <w:tcW w:w="429" w:type="dxa"/>
            <w:tcBorders>
              <w:left w:val="single" w:sz="18" w:space="0" w:color="auto"/>
              <w:bottom w:val="single" w:sz="4" w:space="0" w:color="auto"/>
            </w:tcBorders>
            <w:shd w:val="clear" w:color="auto" w:fill="FABF8F"/>
            <w:vAlign w:val="center"/>
          </w:tcPr>
          <w:p w:rsidR="00CC19FC" w:rsidRPr="003410C7" w:rsidRDefault="00CC19FC" w:rsidP="004B3534">
            <w:pPr>
              <w:pStyle w:val="TableText"/>
              <w:rPr>
                <w:rFonts w:ascii="Tahoma" w:hAnsi="Tahoma" w:cs="Tahoma"/>
                <w:sz w:val="13"/>
              </w:rPr>
            </w:pPr>
            <w:r w:rsidRPr="003410C7">
              <w:rPr>
                <w:rFonts w:ascii="Tahoma" w:hAnsi="Tahoma" w:cs="Tahoma"/>
                <w:sz w:val="13"/>
              </w:rPr>
              <w:t>2</w:t>
            </w:r>
          </w:p>
        </w:tc>
        <w:tc>
          <w:tcPr>
            <w:tcW w:w="429" w:type="dxa"/>
            <w:tcBorders>
              <w:bottom w:val="single" w:sz="4" w:space="0" w:color="auto"/>
            </w:tcBorders>
            <w:shd w:val="clear" w:color="auto" w:fill="FABF8F"/>
            <w:vAlign w:val="center"/>
          </w:tcPr>
          <w:p w:rsidR="00CC19FC" w:rsidRPr="003410C7" w:rsidRDefault="00CC19FC" w:rsidP="004B3534">
            <w:pPr>
              <w:pStyle w:val="TableText"/>
              <w:rPr>
                <w:rFonts w:ascii="Tahoma" w:hAnsi="Tahoma" w:cs="Tahoma"/>
                <w:sz w:val="13"/>
              </w:rPr>
            </w:pPr>
            <w:r w:rsidRPr="003410C7">
              <w:rPr>
                <w:rFonts w:ascii="Tahoma" w:hAnsi="Tahoma" w:cs="Tahoma"/>
                <w:sz w:val="13"/>
              </w:rPr>
              <w:t>4</w:t>
            </w:r>
          </w:p>
        </w:tc>
        <w:tc>
          <w:tcPr>
            <w:tcW w:w="442" w:type="dxa"/>
            <w:tcBorders>
              <w:bottom w:val="single" w:sz="4" w:space="0" w:color="auto"/>
              <w:right w:val="single" w:sz="18" w:space="0" w:color="auto"/>
            </w:tcBorders>
            <w:shd w:val="clear" w:color="auto" w:fill="FABF8F"/>
            <w:vAlign w:val="center"/>
          </w:tcPr>
          <w:p w:rsidR="00CC19FC" w:rsidRPr="003410C7" w:rsidRDefault="00CC19FC" w:rsidP="004B3534">
            <w:pPr>
              <w:pStyle w:val="TableText"/>
              <w:rPr>
                <w:rFonts w:ascii="Tahoma" w:hAnsi="Tahoma" w:cs="Tahoma"/>
                <w:sz w:val="13"/>
              </w:rPr>
            </w:pPr>
            <w:r w:rsidRPr="003410C7">
              <w:rPr>
                <w:rFonts w:ascii="Tahoma" w:hAnsi="Tahoma" w:cs="Tahoma"/>
                <w:sz w:val="13"/>
              </w:rPr>
              <w:t>2</w:t>
            </w:r>
          </w:p>
        </w:tc>
        <w:tc>
          <w:tcPr>
            <w:tcW w:w="495" w:type="dxa"/>
            <w:tcBorders>
              <w:left w:val="single" w:sz="18" w:space="0" w:color="auto"/>
              <w:bottom w:val="single" w:sz="4" w:space="0" w:color="auto"/>
            </w:tcBorders>
            <w:shd w:val="clear" w:color="auto" w:fill="FABF8F"/>
            <w:vAlign w:val="center"/>
          </w:tcPr>
          <w:p w:rsidR="00CC19FC" w:rsidRPr="003410C7" w:rsidRDefault="00CC19FC" w:rsidP="004B3534">
            <w:pPr>
              <w:pStyle w:val="TableText"/>
              <w:rPr>
                <w:rFonts w:ascii="Tahoma" w:hAnsi="Tahoma" w:cs="Tahoma"/>
                <w:sz w:val="13"/>
              </w:rPr>
            </w:pPr>
          </w:p>
        </w:tc>
        <w:tc>
          <w:tcPr>
            <w:tcW w:w="459" w:type="dxa"/>
            <w:tcBorders>
              <w:bottom w:val="single" w:sz="4" w:space="0" w:color="auto"/>
              <w:right w:val="single" w:sz="18" w:space="0" w:color="auto"/>
            </w:tcBorders>
            <w:shd w:val="clear" w:color="auto" w:fill="FABF8F"/>
            <w:vAlign w:val="center"/>
          </w:tcPr>
          <w:p w:rsidR="00CC19FC" w:rsidRPr="003410C7" w:rsidRDefault="00CC19FC" w:rsidP="004B3534">
            <w:pPr>
              <w:pStyle w:val="TableText"/>
              <w:rPr>
                <w:rFonts w:ascii="Tahoma" w:hAnsi="Tahoma" w:cs="Tahoma"/>
                <w:sz w:val="13"/>
              </w:rPr>
            </w:pPr>
            <w:r w:rsidRPr="003410C7">
              <w:rPr>
                <w:rFonts w:ascii="Tahoma" w:hAnsi="Tahoma" w:cs="Tahoma"/>
                <w:sz w:val="13"/>
              </w:rPr>
              <w:t>A</w:t>
            </w:r>
          </w:p>
        </w:tc>
        <w:tc>
          <w:tcPr>
            <w:tcW w:w="360" w:type="dxa"/>
            <w:tcBorders>
              <w:left w:val="single" w:sz="18" w:space="0" w:color="auto"/>
              <w:bottom w:val="single" w:sz="4" w:space="0" w:color="auto"/>
              <w:right w:val="single" w:sz="18" w:space="0" w:color="auto"/>
            </w:tcBorders>
            <w:shd w:val="clear" w:color="auto" w:fill="FABF8F"/>
            <w:vAlign w:val="center"/>
          </w:tcPr>
          <w:p w:rsidR="00CC19FC" w:rsidRPr="003410C7" w:rsidRDefault="00CC19FC" w:rsidP="004B3534">
            <w:pPr>
              <w:pStyle w:val="TableText"/>
              <w:rPr>
                <w:rFonts w:ascii="Tahoma" w:hAnsi="Tahoma" w:cs="Tahoma"/>
                <w:sz w:val="13"/>
              </w:rPr>
            </w:pPr>
            <w:r w:rsidRPr="003410C7">
              <w:rPr>
                <w:rFonts w:ascii="Tahoma" w:hAnsi="Tahoma" w:cs="Tahoma"/>
                <w:sz w:val="13"/>
              </w:rPr>
              <w:t>P</w:t>
            </w:r>
          </w:p>
        </w:tc>
        <w:tc>
          <w:tcPr>
            <w:tcW w:w="474" w:type="dxa"/>
            <w:tcBorders>
              <w:bottom w:val="single" w:sz="4" w:space="0" w:color="auto"/>
            </w:tcBorders>
            <w:shd w:val="clear" w:color="auto" w:fill="FABF8F"/>
            <w:vAlign w:val="center"/>
          </w:tcPr>
          <w:p w:rsidR="00CC19FC" w:rsidRPr="003410C7" w:rsidRDefault="00CC19FC" w:rsidP="00080B33">
            <w:pPr>
              <w:pStyle w:val="TableText"/>
              <w:rPr>
                <w:rFonts w:ascii="Tahoma" w:hAnsi="Tahoma" w:cs="Tahoma"/>
                <w:sz w:val="13"/>
              </w:rPr>
            </w:pPr>
          </w:p>
        </w:tc>
        <w:tc>
          <w:tcPr>
            <w:tcW w:w="514" w:type="dxa"/>
            <w:tcBorders>
              <w:bottom w:val="single" w:sz="4" w:space="0" w:color="auto"/>
            </w:tcBorders>
            <w:shd w:val="clear" w:color="auto" w:fill="FABF8F"/>
            <w:vAlign w:val="center"/>
          </w:tcPr>
          <w:p w:rsidR="00CC19FC" w:rsidRPr="003410C7" w:rsidRDefault="00CC19FC" w:rsidP="004B3534">
            <w:pPr>
              <w:pStyle w:val="TableText"/>
              <w:rPr>
                <w:rFonts w:ascii="Tahoma" w:hAnsi="Tahoma" w:cs="Tahoma"/>
                <w:sz w:val="13"/>
              </w:rPr>
            </w:pPr>
          </w:p>
        </w:tc>
      </w:tr>
      <w:tr w:rsidR="00EF228F" w:rsidRPr="003410C7" w:rsidTr="002A074D">
        <w:trPr>
          <w:cantSplit/>
          <w:trHeight w:val="145"/>
        </w:trPr>
        <w:tc>
          <w:tcPr>
            <w:tcW w:w="2638" w:type="dxa"/>
            <w:tcBorders>
              <w:bottom w:val="single" w:sz="4" w:space="0" w:color="auto"/>
            </w:tcBorders>
            <w:shd w:val="clear" w:color="auto" w:fill="FFFFFF"/>
          </w:tcPr>
          <w:p w:rsidR="00CC19FC" w:rsidRPr="003410C7" w:rsidRDefault="00CC19FC" w:rsidP="003410C7">
            <w:pPr>
              <w:pStyle w:val="Heading3"/>
              <w:spacing w:beforeLines="20" w:before="48" w:afterLines="20" w:after="48"/>
              <w:rPr>
                <w:rFonts w:ascii="Tahoma" w:hAnsi="Tahoma" w:cs="Tahoma"/>
                <w:b w:val="0"/>
                <w:sz w:val="14"/>
              </w:rPr>
            </w:pPr>
            <w:bookmarkStart w:id="89" w:name="_Toc336337880"/>
            <w:bookmarkStart w:id="90" w:name="_Toc352234482"/>
            <w:r w:rsidRPr="003410C7">
              <w:rPr>
                <w:rFonts w:ascii="Tahoma" w:hAnsi="Tahoma" w:cs="Tahoma"/>
                <w:b w:val="0"/>
                <w:sz w:val="14"/>
              </w:rPr>
              <w:t>Project 2013 Professional</w:t>
            </w:r>
            <w:bookmarkEnd w:id="89"/>
            <w:bookmarkEnd w:id="90"/>
            <w:r w:rsidRPr="003410C7">
              <w:rPr>
                <w:rFonts w:ascii="Tahoma" w:hAnsi="Tahoma" w:cs="Tahoma"/>
                <w:b w:val="0"/>
                <w:sz w:val="14"/>
              </w:rPr>
              <w:t xml:space="preserve"> </w:t>
            </w:r>
          </w:p>
        </w:tc>
        <w:tc>
          <w:tcPr>
            <w:tcW w:w="429" w:type="dxa"/>
            <w:tcBorders>
              <w:bottom w:val="single" w:sz="4" w:space="0" w:color="auto"/>
            </w:tcBorders>
            <w:shd w:val="clear" w:color="auto" w:fill="FFFFFF"/>
            <w:vAlign w:val="center"/>
          </w:tcPr>
          <w:p w:rsidR="00CC19FC" w:rsidRPr="009F17FF" w:rsidRDefault="00FC1A4D" w:rsidP="001866F1">
            <w:pPr>
              <w:pStyle w:val="TableText"/>
              <w:widowControl w:val="0"/>
              <w:rPr>
                <w:rStyle w:val="EndnoteReference"/>
                <w:color w:val="0000FF"/>
                <w:sz w:val="13"/>
                <w:szCs w:val="13"/>
                <w:u w:val="single"/>
              </w:rPr>
            </w:pPr>
            <w:hyperlink w:anchor="_132_Project_2013" w:history="1">
              <w:r w:rsidR="000D77F6" w:rsidRPr="009F17FF">
                <w:rPr>
                  <w:rStyle w:val="Hyperlink"/>
                  <w:b/>
                  <w:sz w:val="13"/>
                  <w:szCs w:val="13"/>
                </w:rPr>
                <w:t>12</w:t>
              </w:r>
            </w:hyperlink>
          </w:p>
        </w:tc>
        <w:tc>
          <w:tcPr>
            <w:tcW w:w="429" w:type="dxa"/>
            <w:tcBorders>
              <w:bottom w:val="single" w:sz="4" w:space="0" w:color="auto"/>
            </w:tcBorders>
            <w:shd w:val="clear" w:color="auto" w:fill="FFFFFF"/>
            <w:vAlign w:val="center"/>
          </w:tcPr>
          <w:p w:rsidR="00CC19FC" w:rsidRPr="003410C7" w:rsidRDefault="00CC19FC" w:rsidP="004941B2">
            <w:pPr>
              <w:pStyle w:val="TableText"/>
              <w:spacing w:before="60" w:after="60"/>
              <w:rPr>
                <w:rFonts w:ascii="Tahoma" w:hAnsi="Tahoma" w:cs="Tahoma"/>
                <w:sz w:val="13"/>
              </w:rPr>
            </w:pPr>
            <w:r w:rsidRPr="003410C7">
              <w:rPr>
                <w:rFonts w:ascii="Tahoma" w:hAnsi="Tahoma" w:cs="Tahoma"/>
                <w:sz w:val="13"/>
              </w:rPr>
              <w:t>10/12</w:t>
            </w:r>
          </w:p>
        </w:tc>
        <w:tc>
          <w:tcPr>
            <w:tcW w:w="429" w:type="dxa"/>
            <w:tcBorders>
              <w:bottom w:val="single" w:sz="4" w:space="0" w:color="auto"/>
              <w:right w:val="single" w:sz="18" w:space="0" w:color="auto"/>
            </w:tcBorders>
            <w:shd w:val="clear" w:color="auto" w:fill="FFFFFF"/>
            <w:vAlign w:val="center"/>
          </w:tcPr>
          <w:p w:rsidR="00CC19FC" w:rsidRPr="003410C7" w:rsidRDefault="00CC19FC" w:rsidP="004B3534">
            <w:pPr>
              <w:pStyle w:val="TableText"/>
              <w:rPr>
                <w:rFonts w:ascii="Tahoma" w:hAnsi="Tahoma" w:cs="Tahoma"/>
                <w:sz w:val="13"/>
              </w:rPr>
            </w:pPr>
            <w:r w:rsidRPr="003410C7">
              <w:rPr>
                <w:rFonts w:ascii="Tahoma" w:hAnsi="Tahoma" w:cs="Tahoma"/>
                <w:sz w:val="13"/>
              </w:rPr>
              <w:t>DT</w:t>
            </w:r>
          </w:p>
        </w:tc>
        <w:tc>
          <w:tcPr>
            <w:tcW w:w="429" w:type="dxa"/>
            <w:tcBorders>
              <w:left w:val="single" w:sz="18" w:space="0" w:color="auto"/>
              <w:bottom w:val="single" w:sz="4" w:space="0" w:color="auto"/>
            </w:tcBorders>
            <w:shd w:val="clear" w:color="auto" w:fill="FFFFFF"/>
            <w:vAlign w:val="center"/>
          </w:tcPr>
          <w:p w:rsidR="00CC19FC" w:rsidRPr="003410C7" w:rsidRDefault="00CC19FC" w:rsidP="0070485B">
            <w:pPr>
              <w:pStyle w:val="TableText"/>
              <w:rPr>
                <w:rFonts w:ascii="Tahoma" w:hAnsi="Tahoma" w:cs="Tahoma"/>
                <w:sz w:val="13"/>
                <w:szCs w:val="13"/>
              </w:rPr>
            </w:pPr>
            <w:r w:rsidRPr="003410C7">
              <w:rPr>
                <w:rFonts w:ascii="Tahoma" w:hAnsi="Tahoma" w:cs="Tahoma"/>
                <w:sz w:val="13"/>
                <w:szCs w:val="13"/>
              </w:rPr>
              <w:t>4</w:t>
            </w:r>
          </w:p>
        </w:tc>
        <w:tc>
          <w:tcPr>
            <w:tcW w:w="429" w:type="dxa"/>
            <w:tcBorders>
              <w:bottom w:val="single" w:sz="4" w:space="0" w:color="auto"/>
            </w:tcBorders>
            <w:shd w:val="clear" w:color="auto" w:fill="FFFFFF"/>
            <w:vAlign w:val="center"/>
          </w:tcPr>
          <w:p w:rsidR="00CC19FC" w:rsidRPr="003410C7" w:rsidRDefault="00CC19FC" w:rsidP="0070485B">
            <w:pPr>
              <w:pStyle w:val="TableText"/>
              <w:rPr>
                <w:rFonts w:ascii="Tahoma" w:hAnsi="Tahoma" w:cs="Tahoma"/>
                <w:sz w:val="13"/>
                <w:szCs w:val="13"/>
              </w:rPr>
            </w:pPr>
            <w:r w:rsidRPr="003410C7">
              <w:rPr>
                <w:rFonts w:ascii="Tahoma" w:hAnsi="Tahoma" w:cs="Tahoma"/>
                <w:sz w:val="13"/>
                <w:szCs w:val="13"/>
              </w:rPr>
              <w:t>10</w:t>
            </w:r>
          </w:p>
        </w:tc>
        <w:tc>
          <w:tcPr>
            <w:tcW w:w="429" w:type="dxa"/>
            <w:tcBorders>
              <w:bottom w:val="single" w:sz="4" w:space="0" w:color="auto"/>
            </w:tcBorders>
            <w:shd w:val="clear" w:color="auto" w:fill="FFFFFF"/>
            <w:vAlign w:val="center"/>
          </w:tcPr>
          <w:p w:rsidR="00CC19FC" w:rsidRPr="003410C7" w:rsidRDefault="00CC19FC" w:rsidP="0070485B">
            <w:pPr>
              <w:pStyle w:val="TableText"/>
              <w:rPr>
                <w:rFonts w:ascii="Tahoma" w:hAnsi="Tahoma" w:cs="Tahoma"/>
                <w:sz w:val="13"/>
                <w:szCs w:val="13"/>
              </w:rPr>
            </w:pPr>
            <w:r w:rsidRPr="003410C7">
              <w:rPr>
                <w:rFonts w:ascii="Tahoma" w:hAnsi="Tahoma" w:cs="Tahoma"/>
                <w:sz w:val="13"/>
                <w:szCs w:val="13"/>
              </w:rPr>
              <w:t>8</w:t>
            </w:r>
          </w:p>
        </w:tc>
        <w:tc>
          <w:tcPr>
            <w:tcW w:w="429" w:type="dxa"/>
            <w:tcBorders>
              <w:bottom w:val="single" w:sz="4" w:space="0" w:color="auto"/>
            </w:tcBorders>
            <w:shd w:val="clear" w:color="auto" w:fill="FFFFFF"/>
            <w:vAlign w:val="center"/>
          </w:tcPr>
          <w:p w:rsidR="00CC19FC" w:rsidRPr="003410C7" w:rsidRDefault="00CC19FC" w:rsidP="0070485B">
            <w:pPr>
              <w:pStyle w:val="TableText"/>
              <w:rPr>
                <w:rFonts w:ascii="Tahoma" w:hAnsi="Tahoma" w:cs="Tahoma"/>
                <w:sz w:val="13"/>
                <w:szCs w:val="13"/>
              </w:rPr>
            </w:pPr>
            <w:r w:rsidRPr="003410C7">
              <w:rPr>
                <w:rFonts w:ascii="Tahoma" w:hAnsi="Tahoma" w:cs="Tahoma"/>
                <w:sz w:val="13"/>
                <w:szCs w:val="13"/>
              </w:rPr>
              <w:t>6</w:t>
            </w:r>
          </w:p>
        </w:tc>
        <w:tc>
          <w:tcPr>
            <w:tcW w:w="429" w:type="dxa"/>
            <w:tcBorders>
              <w:bottom w:val="single" w:sz="4" w:space="0" w:color="auto"/>
            </w:tcBorders>
            <w:shd w:val="clear" w:color="auto" w:fill="FFFFFF"/>
            <w:vAlign w:val="center"/>
          </w:tcPr>
          <w:p w:rsidR="00CC19FC" w:rsidRPr="003410C7" w:rsidRDefault="00CC19FC" w:rsidP="0070485B">
            <w:pPr>
              <w:pStyle w:val="TableText"/>
              <w:rPr>
                <w:rFonts w:ascii="Tahoma" w:hAnsi="Tahoma" w:cs="Tahoma"/>
                <w:sz w:val="13"/>
                <w:szCs w:val="13"/>
              </w:rPr>
            </w:pPr>
            <w:r w:rsidRPr="003410C7">
              <w:rPr>
                <w:rFonts w:ascii="Tahoma" w:hAnsi="Tahoma" w:cs="Tahoma"/>
                <w:sz w:val="13"/>
                <w:szCs w:val="13"/>
              </w:rPr>
              <w:t>6</w:t>
            </w:r>
          </w:p>
        </w:tc>
        <w:tc>
          <w:tcPr>
            <w:tcW w:w="429" w:type="dxa"/>
            <w:tcBorders>
              <w:bottom w:val="single" w:sz="4" w:space="0" w:color="auto"/>
            </w:tcBorders>
            <w:shd w:val="clear" w:color="auto" w:fill="FFFFFF"/>
            <w:vAlign w:val="center"/>
          </w:tcPr>
          <w:p w:rsidR="00CC19FC" w:rsidRPr="003410C7" w:rsidRDefault="00CC19FC" w:rsidP="0070485B">
            <w:pPr>
              <w:pStyle w:val="TableText"/>
              <w:rPr>
                <w:rFonts w:ascii="Tahoma" w:hAnsi="Tahoma" w:cs="Tahoma"/>
                <w:sz w:val="13"/>
                <w:szCs w:val="13"/>
              </w:rPr>
            </w:pPr>
            <w:r w:rsidRPr="003410C7">
              <w:rPr>
                <w:rFonts w:ascii="Tahoma" w:hAnsi="Tahoma" w:cs="Tahoma"/>
                <w:sz w:val="13"/>
                <w:szCs w:val="13"/>
              </w:rPr>
              <w:t>4</w:t>
            </w:r>
          </w:p>
        </w:tc>
        <w:tc>
          <w:tcPr>
            <w:tcW w:w="429" w:type="dxa"/>
            <w:tcBorders>
              <w:bottom w:val="single" w:sz="4" w:space="0" w:color="auto"/>
              <w:right w:val="single" w:sz="18" w:space="0" w:color="auto"/>
            </w:tcBorders>
            <w:shd w:val="clear" w:color="auto" w:fill="FFFFFF"/>
            <w:vAlign w:val="center"/>
          </w:tcPr>
          <w:p w:rsidR="00CC19FC" w:rsidRPr="003410C7" w:rsidRDefault="00CC19FC" w:rsidP="0070485B">
            <w:pPr>
              <w:pStyle w:val="TableText"/>
              <w:rPr>
                <w:rFonts w:ascii="Tahoma" w:hAnsi="Tahoma" w:cs="Tahoma"/>
                <w:sz w:val="13"/>
                <w:szCs w:val="13"/>
              </w:rPr>
            </w:pPr>
            <w:r w:rsidRPr="003410C7">
              <w:rPr>
                <w:rFonts w:ascii="Tahoma" w:hAnsi="Tahoma" w:cs="Tahoma"/>
                <w:sz w:val="13"/>
                <w:szCs w:val="13"/>
              </w:rPr>
              <w:t>2</w:t>
            </w:r>
          </w:p>
        </w:tc>
        <w:tc>
          <w:tcPr>
            <w:tcW w:w="429" w:type="dxa"/>
            <w:tcBorders>
              <w:left w:val="single" w:sz="18" w:space="0" w:color="auto"/>
              <w:bottom w:val="single" w:sz="4" w:space="0" w:color="auto"/>
            </w:tcBorders>
            <w:shd w:val="clear" w:color="auto" w:fill="FFFFFF"/>
            <w:vAlign w:val="center"/>
          </w:tcPr>
          <w:p w:rsidR="00CC19FC" w:rsidRPr="003410C7" w:rsidRDefault="00CC19FC" w:rsidP="0070485B">
            <w:pPr>
              <w:pStyle w:val="TableText"/>
              <w:rPr>
                <w:rFonts w:ascii="Tahoma" w:hAnsi="Tahoma" w:cs="Tahoma"/>
                <w:sz w:val="13"/>
                <w:szCs w:val="13"/>
              </w:rPr>
            </w:pPr>
            <w:r w:rsidRPr="003410C7">
              <w:rPr>
                <w:rFonts w:ascii="Tahoma" w:hAnsi="Tahoma" w:cs="Tahoma"/>
                <w:sz w:val="13"/>
                <w:szCs w:val="13"/>
              </w:rPr>
              <w:t>4</w:t>
            </w:r>
          </w:p>
        </w:tc>
        <w:tc>
          <w:tcPr>
            <w:tcW w:w="429" w:type="dxa"/>
            <w:tcBorders>
              <w:bottom w:val="single" w:sz="4" w:space="0" w:color="auto"/>
            </w:tcBorders>
            <w:shd w:val="clear" w:color="auto" w:fill="FFFFFF"/>
            <w:vAlign w:val="center"/>
          </w:tcPr>
          <w:p w:rsidR="00CC19FC" w:rsidRPr="003410C7" w:rsidRDefault="00CC19FC" w:rsidP="0070485B">
            <w:pPr>
              <w:pStyle w:val="TableText"/>
              <w:rPr>
                <w:rFonts w:ascii="Tahoma" w:hAnsi="Tahoma" w:cs="Tahoma"/>
                <w:sz w:val="13"/>
                <w:szCs w:val="13"/>
              </w:rPr>
            </w:pPr>
            <w:r w:rsidRPr="003410C7">
              <w:rPr>
                <w:rFonts w:ascii="Tahoma" w:hAnsi="Tahoma" w:cs="Tahoma"/>
                <w:sz w:val="13"/>
                <w:szCs w:val="13"/>
              </w:rPr>
              <w:t>8</w:t>
            </w:r>
          </w:p>
        </w:tc>
        <w:tc>
          <w:tcPr>
            <w:tcW w:w="442" w:type="dxa"/>
            <w:tcBorders>
              <w:bottom w:val="single" w:sz="4" w:space="0" w:color="auto"/>
              <w:right w:val="single" w:sz="18" w:space="0" w:color="auto"/>
            </w:tcBorders>
            <w:shd w:val="clear" w:color="auto" w:fill="FFFFFF"/>
            <w:vAlign w:val="center"/>
          </w:tcPr>
          <w:p w:rsidR="00CC19FC" w:rsidRPr="003410C7" w:rsidRDefault="00CC19FC" w:rsidP="0070485B">
            <w:pPr>
              <w:pStyle w:val="TableText"/>
              <w:rPr>
                <w:rFonts w:ascii="Tahoma" w:hAnsi="Tahoma" w:cs="Tahoma"/>
                <w:sz w:val="13"/>
                <w:szCs w:val="13"/>
              </w:rPr>
            </w:pPr>
            <w:r w:rsidRPr="003410C7">
              <w:rPr>
                <w:rFonts w:ascii="Tahoma" w:hAnsi="Tahoma" w:cs="Tahoma"/>
                <w:sz w:val="13"/>
                <w:szCs w:val="13"/>
              </w:rPr>
              <w:t>4</w:t>
            </w:r>
          </w:p>
        </w:tc>
        <w:tc>
          <w:tcPr>
            <w:tcW w:w="495" w:type="dxa"/>
            <w:tcBorders>
              <w:left w:val="single" w:sz="18" w:space="0" w:color="auto"/>
              <w:bottom w:val="single" w:sz="4" w:space="0" w:color="auto"/>
            </w:tcBorders>
            <w:shd w:val="clear" w:color="auto" w:fill="FFFFFF"/>
            <w:vAlign w:val="center"/>
          </w:tcPr>
          <w:p w:rsidR="00CC19FC" w:rsidRPr="003410C7" w:rsidRDefault="00CC19FC" w:rsidP="0070485B">
            <w:pPr>
              <w:pStyle w:val="TableText"/>
              <w:rPr>
                <w:rFonts w:ascii="Tahoma" w:hAnsi="Tahoma" w:cs="Tahoma"/>
                <w:sz w:val="13"/>
                <w:szCs w:val="13"/>
              </w:rPr>
            </w:pPr>
            <w:r w:rsidRPr="003410C7">
              <w:rPr>
                <w:rFonts w:ascii="Tahoma" w:hAnsi="Tahoma" w:cs="Tahoma"/>
                <w:sz w:val="13"/>
                <w:szCs w:val="13"/>
              </w:rPr>
              <w:t>1</w:t>
            </w:r>
          </w:p>
        </w:tc>
        <w:tc>
          <w:tcPr>
            <w:tcW w:w="459" w:type="dxa"/>
            <w:tcBorders>
              <w:bottom w:val="single" w:sz="4" w:space="0" w:color="auto"/>
              <w:right w:val="single" w:sz="18" w:space="0" w:color="auto"/>
            </w:tcBorders>
            <w:shd w:val="clear" w:color="auto" w:fill="FFFFFF"/>
            <w:vAlign w:val="center"/>
          </w:tcPr>
          <w:p w:rsidR="00CC19FC" w:rsidRPr="003410C7" w:rsidRDefault="00CC19FC" w:rsidP="0070485B">
            <w:pPr>
              <w:pStyle w:val="TableText"/>
              <w:rPr>
                <w:rFonts w:ascii="Tahoma" w:hAnsi="Tahoma" w:cs="Tahoma"/>
                <w:sz w:val="13"/>
              </w:rPr>
            </w:pPr>
            <w:r w:rsidRPr="003410C7">
              <w:rPr>
                <w:rFonts w:ascii="Tahoma" w:hAnsi="Tahoma" w:cs="Tahoma"/>
                <w:sz w:val="13"/>
              </w:rPr>
              <w:t>A</w:t>
            </w:r>
          </w:p>
        </w:tc>
        <w:tc>
          <w:tcPr>
            <w:tcW w:w="360" w:type="dxa"/>
            <w:tcBorders>
              <w:left w:val="single" w:sz="18" w:space="0" w:color="auto"/>
              <w:bottom w:val="single" w:sz="4" w:space="0" w:color="auto"/>
              <w:right w:val="single" w:sz="18" w:space="0" w:color="auto"/>
            </w:tcBorders>
            <w:shd w:val="clear" w:color="auto" w:fill="FFFFFF"/>
            <w:vAlign w:val="center"/>
          </w:tcPr>
          <w:p w:rsidR="00CC19FC" w:rsidRPr="003410C7" w:rsidRDefault="00CC19FC" w:rsidP="0070485B">
            <w:pPr>
              <w:pStyle w:val="TableText"/>
              <w:rPr>
                <w:rFonts w:ascii="Tahoma" w:hAnsi="Tahoma" w:cs="Tahoma"/>
                <w:sz w:val="13"/>
              </w:rPr>
            </w:pPr>
            <w:r w:rsidRPr="003410C7">
              <w:rPr>
                <w:rFonts w:ascii="Tahoma" w:hAnsi="Tahoma" w:cs="Tahoma"/>
                <w:sz w:val="13"/>
              </w:rPr>
              <w:t>P</w:t>
            </w:r>
          </w:p>
        </w:tc>
        <w:tc>
          <w:tcPr>
            <w:tcW w:w="474" w:type="dxa"/>
            <w:tcBorders>
              <w:bottom w:val="single" w:sz="4" w:space="0" w:color="auto"/>
            </w:tcBorders>
            <w:shd w:val="clear" w:color="auto" w:fill="FFFFFF"/>
            <w:vAlign w:val="center"/>
          </w:tcPr>
          <w:p w:rsidR="00CC19FC" w:rsidRPr="003410C7" w:rsidRDefault="00CC19FC" w:rsidP="0070485B">
            <w:pPr>
              <w:pStyle w:val="TableText"/>
              <w:rPr>
                <w:rFonts w:ascii="Tahoma" w:hAnsi="Tahoma" w:cs="Tahoma"/>
                <w:sz w:val="13"/>
              </w:rPr>
            </w:pPr>
            <w:r w:rsidRPr="003410C7">
              <w:rPr>
                <w:rFonts w:ascii="Tahoma" w:hAnsi="Tahoma" w:cs="Tahoma"/>
                <w:sz w:val="13"/>
              </w:rPr>
              <w:t>A, AO, ST</w:t>
            </w:r>
          </w:p>
        </w:tc>
        <w:tc>
          <w:tcPr>
            <w:tcW w:w="514" w:type="dxa"/>
            <w:tcBorders>
              <w:bottom w:val="single" w:sz="4" w:space="0" w:color="auto"/>
            </w:tcBorders>
            <w:shd w:val="clear" w:color="auto" w:fill="FFFFFF"/>
            <w:vAlign w:val="center"/>
          </w:tcPr>
          <w:p w:rsidR="00CC19FC" w:rsidRPr="003410C7" w:rsidRDefault="00CC19FC" w:rsidP="0070485B">
            <w:pPr>
              <w:pStyle w:val="TableText"/>
              <w:rPr>
                <w:rFonts w:ascii="Tahoma" w:hAnsi="Tahoma" w:cs="Tahoma"/>
                <w:sz w:val="13"/>
              </w:rPr>
            </w:pPr>
          </w:p>
        </w:tc>
      </w:tr>
      <w:tr w:rsidR="00EF228F" w:rsidRPr="003410C7" w:rsidTr="002A074D">
        <w:trPr>
          <w:cantSplit/>
          <w:trHeight w:val="145"/>
        </w:trPr>
        <w:tc>
          <w:tcPr>
            <w:tcW w:w="2638" w:type="dxa"/>
            <w:tcBorders>
              <w:bottom w:val="single" w:sz="4" w:space="0" w:color="auto"/>
            </w:tcBorders>
            <w:shd w:val="clear" w:color="auto" w:fill="FABF8F"/>
          </w:tcPr>
          <w:p w:rsidR="00CC19FC" w:rsidRPr="003410C7" w:rsidRDefault="00C24CBE" w:rsidP="003410C7">
            <w:pPr>
              <w:pStyle w:val="Heading3"/>
              <w:spacing w:beforeLines="20" w:before="48" w:afterLines="20" w:after="48"/>
              <w:rPr>
                <w:rFonts w:ascii="Tahoma" w:hAnsi="Tahoma" w:cs="Tahoma"/>
                <w:b w:val="0"/>
                <w:sz w:val="14"/>
              </w:rPr>
            </w:pPr>
            <w:bookmarkStart w:id="91" w:name="_Toc352234483"/>
            <w:r w:rsidRPr="003410C7">
              <w:rPr>
                <w:rFonts w:ascii="Tahoma" w:hAnsi="Tahoma" w:cs="Tahoma"/>
                <w:b w:val="0"/>
                <w:sz w:val="14"/>
              </w:rPr>
              <w:t>Project Pro per Office 365</w:t>
            </w:r>
            <w:bookmarkEnd w:id="91"/>
            <w:r w:rsidR="001A3EC5">
              <w:rPr>
                <w:rFonts w:ascii="Tahoma" w:hAnsi="Tahoma" w:cs="Tahoma"/>
                <w:b w:val="0"/>
                <w:sz w:val="14"/>
              </w:rPr>
              <w:t xml:space="preserve"> </w:t>
            </w:r>
          </w:p>
        </w:tc>
        <w:tc>
          <w:tcPr>
            <w:tcW w:w="429" w:type="dxa"/>
            <w:tcBorders>
              <w:bottom w:val="single" w:sz="4" w:space="0" w:color="auto"/>
            </w:tcBorders>
            <w:shd w:val="clear" w:color="auto" w:fill="FABF8F"/>
            <w:vAlign w:val="center"/>
          </w:tcPr>
          <w:p w:rsidR="00CC19FC" w:rsidRPr="009F17FF" w:rsidRDefault="00FC1A4D" w:rsidP="0018541C">
            <w:pPr>
              <w:pStyle w:val="TableText"/>
              <w:widowControl w:val="0"/>
              <w:rPr>
                <w:b/>
                <w:color w:val="0000FF"/>
                <w:sz w:val="13"/>
                <w:szCs w:val="13"/>
                <w:u w:val="single"/>
              </w:rPr>
            </w:pPr>
            <w:hyperlink w:anchor="_143_Project_Pro" w:history="1">
              <w:r w:rsidR="000D77F6" w:rsidRPr="009F17FF">
                <w:rPr>
                  <w:rStyle w:val="Hyperlink"/>
                  <w:b/>
                  <w:sz w:val="13"/>
                  <w:szCs w:val="13"/>
                </w:rPr>
                <w:t>13</w:t>
              </w:r>
            </w:hyperlink>
          </w:p>
        </w:tc>
        <w:tc>
          <w:tcPr>
            <w:tcW w:w="429" w:type="dxa"/>
            <w:tcBorders>
              <w:bottom w:val="single" w:sz="4" w:space="0" w:color="auto"/>
            </w:tcBorders>
            <w:shd w:val="clear" w:color="auto" w:fill="FABF8F"/>
            <w:vAlign w:val="center"/>
          </w:tcPr>
          <w:p w:rsidR="00CC19FC" w:rsidRPr="003410C7" w:rsidRDefault="00CC19FC" w:rsidP="004941B2">
            <w:pPr>
              <w:pStyle w:val="TableText"/>
              <w:spacing w:before="60" w:after="60"/>
              <w:rPr>
                <w:rFonts w:ascii="Tahoma" w:hAnsi="Tahoma" w:cs="Tahoma"/>
                <w:sz w:val="13"/>
              </w:rPr>
            </w:pPr>
            <w:r w:rsidRPr="003410C7">
              <w:rPr>
                <w:rFonts w:ascii="Tahoma" w:hAnsi="Tahoma" w:cs="Tahoma"/>
                <w:sz w:val="13"/>
              </w:rPr>
              <w:t>03/13</w:t>
            </w:r>
          </w:p>
        </w:tc>
        <w:tc>
          <w:tcPr>
            <w:tcW w:w="429" w:type="dxa"/>
            <w:tcBorders>
              <w:bottom w:val="single" w:sz="4" w:space="0" w:color="auto"/>
              <w:right w:val="single" w:sz="18" w:space="0" w:color="auto"/>
            </w:tcBorders>
            <w:shd w:val="clear" w:color="auto" w:fill="FABF8F"/>
            <w:vAlign w:val="center"/>
          </w:tcPr>
          <w:p w:rsidR="00CC19FC" w:rsidRPr="003410C7" w:rsidRDefault="00CC19FC" w:rsidP="004B3534">
            <w:pPr>
              <w:pStyle w:val="TableText"/>
              <w:rPr>
                <w:rFonts w:ascii="Tahoma" w:hAnsi="Tahoma" w:cs="Tahoma"/>
                <w:sz w:val="13"/>
              </w:rPr>
            </w:pPr>
            <w:r w:rsidRPr="003410C7">
              <w:rPr>
                <w:rFonts w:ascii="Tahoma" w:hAnsi="Tahoma" w:cs="Tahoma"/>
                <w:sz w:val="13"/>
              </w:rPr>
              <w:t>DT</w:t>
            </w:r>
          </w:p>
        </w:tc>
        <w:tc>
          <w:tcPr>
            <w:tcW w:w="429" w:type="dxa"/>
            <w:tcBorders>
              <w:left w:val="single" w:sz="18" w:space="0" w:color="auto"/>
              <w:bottom w:val="single" w:sz="4" w:space="0" w:color="auto"/>
            </w:tcBorders>
            <w:shd w:val="clear" w:color="auto" w:fill="FABF8F"/>
            <w:vAlign w:val="center"/>
          </w:tcPr>
          <w:p w:rsidR="00CC19FC" w:rsidRPr="003410C7" w:rsidRDefault="00CC19FC" w:rsidP="004B3534">
            <w:pPr>
              <w:pStyle w:val="TableText"/>
              <w:spacing w:after="120"/>
              <w:rPr>
                <w:rFonts w:ascii="Tahoma" w:hAnsi="Tahoma" w:cs="Tahoma"/>
                <w:sz w:val="13"/>
                <w:szCs w:val="13"/>
              </w:rPr>
            </w:pPr>
          </w:p>
        </w:tc>
        <w:tc>
          <w:tcPr>
            <w:tcW w:w="429" w:type="dxa"/>
            <w:tcBorders>
              <w:bottom w:val="single" w:sz="4" w:space="0" w:color="auto"/>
            </w:tcBorders>
            <w:shd w:val="clear" w:color="auto" w:fill="FABF8F"/>
            <w:vAlign w:val="center"/>
          </w:tcPr>
          <w:p w:rsidR="00CC19FC" w:rsidRPr="003410C7" w:rsidRDefault="00CC19FC" w:rsidP="004B3534">
            <w:pPr>
              <w:pStyle w:val="TableText"/>
              <w:spacing w:after="120"/>
              <w:rPr>
                <w:rFonts w:ascii="Tahoma" w:hAnsi="Tahoma" w:cs="Tahoma"/>
                <w:sz w:val="13"/>
                <w:szCs w:val="13"/>
              </w:rPr>
            </w:pPr>
          </w:p>
        </w:tc>
        <w:tc>
          <w:tcPr>
            <w:tcW w:w="429" w:type="dxa"/>
            <w:tcBorders>
              <w:bottom w:val="single" w:sz="4" w:space="0" w:color="auto"/>
            </w:tcBorders>
            <w:shd w:val="clear" w:color="auto" w:fill="FABF8F"/>
            <w:vAlign w:val="center"/>
          </w:tcPr>
          <w:p w:rsidR="00CC19FC" w:rsidRPr="003410C7" w:rsidRDefault="00CC19FC" w:rsidP="004B3534">
            <w:pPr>
              <w:pStyle w:val="TableText"/>
              <w:spacing w:after="120"/>
              <w:rPr>
                <w:rFonts w:ascii="Tahoma" w:hAnsi="Tahoma" w:cs="Tahoma"/>
                <w:sz w:val="13"/>
                <w:szCs w:val="13"/>
              </w:rPr>
            </w:pPr>
          </w:p>
        </w:tc>
        <w:tc>
          <w:tcPr>
            <w:tcW w:w="429" w:type="dxa"/>
            <w:tcBorders>
              <w:bottom w:val="single" w:sz="4" w:space="0" w:color="auto"/>
            </w:tcBorders>
            <w:shd w:val="clear" w:color="auto" w:fill="FABF8F"/>
            <w:vAlign w:val="center"/>
          </w:tcPr>
          <w:p w:rsidR="00CC19FC" w:rsidRPr="003410C7" w:rsidRDefault="00CC19FC" w:rsidP="004B3534">
            <w:pPr>
              <w:pStyle w:val="TableText"/>
              <w:spacing w:after="120"/>
              <w:rPr>
                <w:rFonts w:ascii="Tahoma" w:hAnsi="Tahoma" w:cs="Tahoma"/>
                <w:sz w:val="13"/>
                <w:szCs w:val="13"/>
              </w:rPr>
            </w:pPr>
          </w:p>
        </w:tc>
        <w:tc>
          <w:tcPr>
            <w:tcW w:w="429" w:type="dxa"/>
            <w:tcBorders>
              <w:bottom w:val="single" w:sz="4" w:space="0" w:color="auto"/>
            </w:tcBorders>
            <w:shd w:val="clear" w:color="auto" w:fill="FABF8F"/>
            <w:vAlign w:val="center"/>
          </w:tcPr>
          <w:p w:rsidR="00CC19FC" w:rsidRPr="003410C7" w:rsidRDefault="00CC19FC" w:rsidP="004B3534">
            <w:pPr>
              <w:pStyle w:val="TableText"/>
              <w:spacing w:after="120"/>
              <w:rPr>
                <w:rFonts w:ascii="Tahoma" w:hAnsi="Tahoma" w:cs="Tahoma"/>
                <w:sz w:val="13"/>
                <w:szCs w:val="13"/>
              </w:rPr>
            </w:pPr>
          </w:p>
        </w:tc>
        <w:tc>
          <w:tcPr>
            <w:tcW w:w="429" w:type="dxa"/>
            <w:tcBorders>
              <w:bottom w:val="single" w:sz="4" w:space="0" w:color="auto"/>
            </w:tcBorders>
            <w:shd w:val="clear" w:color="auto" w:fill="FABF8F"/>
            <w:vAlign w:val="center"/>
          </w:tcPr>
          <w:p w:rsidR="00CC19FC" w:rsidRPr="003410C7" w:rsidRDefault="00CC19FC" w:rsidP="004B3534">
            <w:pPr>
              <w:pStyle w:val="TableText"/>
              <w:spacing w:after="120"/>
              <w:rPr>
                <w:rFonts w:ascii="Tahoma" w:hAnsi="Tahoma" w:cs="Tahoma"/>
                <w:sz w:val="13"/>
                <w:szCs w:val="13"/>
              </w:rPr>
            </w:pPr>
          </w:p>
        </w:tc>
        <w:tc>
          <w:tcPr>
            <w:tcW w:w="429" w:type="dxa"/>
            <w:tcBorders>
              <w:bottom w:val="single" w:sz="4" w:space="0" w:color="auto"/>
              <w:right w:val="single" w:sz="18" w:space="0" w:color="auto"/>
            </w:tcBorders>
            <w:shd w:val="clear" w:color="auto" w:fill="FABF8F"/>
            <w:vAlign w:val="center"/>
          </w:tcPr>
          <w:p w:rsidR="00CC19FC" w:rsidRPr="003410C7" w:rsidRDefault="00CC19FC" w:rsidP="004B3534">
            <w:pPr>
              <w:pStyle w:val="TableText"/>
              <w:spacing w:after="120"/>
              <w:rPr>
                <w:rFonts w:ascii="Tahoma" w:hAnsi="Tahoma" w:cs="Tahoma"/>
                <w:sz w:val="13"/>
                <w:szCs w:val="13"/>
              </w:rPr>
            </w:pPr>
          </w:p>
        </w:tc>
        <w:tc>
          <w:tcPr>
            <w:tcW w:w="429" w:type="dxa"/>
            <w:tcBorders>
              <w:left w:val="single" w:sz="18" w:space="0" w:color="auto"/>
              <w:bottom w:val="single" w:sz="4" w:space="0" w:color="auto"/>
            </w:tcBorders>
            <w:shd w:val="clear" w:color="auto" w:fill="FABF8F"/>
            <w:vAlign w:val="center"/>
          </w:tcPr>
          <w:p w:rsidR="00CC19FC" w:rsidRPr="003410C7" w:rsidRDefault="00CC19FC" w:rsidP="004B3534">
            <w:pPr>
              <w:pStyle w:val="TableText"/>
              <w:spacing w:after="120"/>
              <w:rPr>
                <w:rFonts w:ascii="Tahoma" w:hAnsi="Tahoma" w:cs="Tahoma"/>
                <w:sz w:val="13"/>
                <w:szCs w:val="13"/>
              </w:rPr>
            </w:pPr>
          </w:p>
        </w:tc>
        <w:tc>
          <w:tcPr>
            <w:tcW w:w="429" w:type="dxa"/>
            <w:tcBorders>
              <w:bottom w:val="single" w:sz="4" w:space="0" w:color="auto"/>
            </w:tcBorders>
            <w:shd w:val="clear" w:color="auto" w:fill="FABF8F"/>
            <w:vAlign w:val="center"/>
          </w:tcPr>
          <w:p w:rsidR="00CC19FC" w:rsidRPr="003410C7" w:rsidRDefault="00CC19FC" w:rsidP="004B3534">
            <w:pPr>
              <w:pStyle w:val="TableText"/>
              <w:spacing w:after="120"/>
              <w:rPr>
                <w:rFonts w:ascii="Tahoma" w:hAnsi="Tahoma" w:cs="Tahoma"/>
                <w:sz w:val="13"/>
                <w:szCs w:val="13"/>
              </w:rPr>
            </w:pPr>
          </w:p>
        </w:tc>
        <w:tc>
          <w:tcPr>
            <w:tcW w:w="442" w:type="dxa"/>
            <w:tcBorders>
              <w:bottom w:val="single" w:sz="4" w:space="0" w:color="auto"/>
              <w:right w:val="single" w:sz="18" w:space="0" w:color="auto"/>
            </w:tcBorders>
            <w:shd w:val="clear" w:color="auto" w:fill="FABF8F"/>
            <w:vAlign w:val="center"/>
          </w:tcPr>
          <w:p w:rsidR="00CC19FC" w:rsidRPr="003410C7" w:rsidRDefault="00CC19FC" w:rsidP="004B3534">
            <w:pPr>
              <w:pStyle w:val="TableText"/>
              <w:spacing w:after="120"/>
              <w:rPr>
                <w:rFonts w:ascii="Tahoma" w:hAnsi="Tahoma" w:cs="Tahoma"/>
                <w:sz w:val="13"/>
                <w:szCs w:val="13"/>
              </w:rPr>
            </w:pPr>
          </w:p>
        </w:tc>
        <w:tc>
          <w:tcPr>
            <w:tcW w:w="495" w:type="dxa"/>
            <w:tcBorders>
              <w:left w:val="single" w:sz="18" w:space="0" w:color="auto"/>
              <w:bottom w:val="single" w:sz="4" w:space="0" w:color="auto"/>
            </w:tcBorders>
            <w:shd w:val="clear" w:color="auto" w:fill="FABF8F"/>
            <w:vAlign w:val="center"/>
          </w:tcPr>
          <w:p w:rsidR="00CC19FC" w:rsidRPr="003410C7" w:rsidRDefault="00CC19FC" w:rsidP="004B3534">
            <w:pPr>
              <w:pStyle w:val="TableText"/>
              <w:spacing w:after="120"/>
              <w:rPr>
                <w:rFonts w:ascii="Tahoma" w:hAnsi="Tahoma" w:cs="Tahoma"/>
                <w:sz w:val="13"/>
                <w:szCs w:val="13"/>
              </w:rPr>
            </w:pPr>
          </w:p>
        </w:tc>
        <w:tc>
          <w:tcPr>
            <w:tcW w:w="459" w:type="dxa"/>
            <w:tcBorders>
              <w:bottom w:val="single" w:sz="4" w:space="0" w:color="auto"/>
              <w:right w:val="single" w:sz="18" w:space="0" w:color="auto"/>
            </w:tcBorders>
            <w:shd w:val="clear" w:color="auto" w:fill="FABF8F"/>
            <w:vAlign w:val="center"/>
          </w:tcPr>
          <w:p w:rsidR="00CC19FC" w:rsidRPr="003410C7" w:rsidRDefault="00CC19FC" w:rsidP="004B3534">
            <w:pPr>
              <w:pStyle w:val="TableText"/>
              <w:rPr>
                <w:rFonts w:ascii="Tahoma" w:hAnsi="Tahoma" w:cs="Tahoma"/>
                <w:sz w:val="13"/>
              </w:rPr>
            </w:pPr>
            <w:r w:rsidRPr="003410C7">
              <w:rPr>
                <w:rFonts w:ascii="Tahoma" w:hAnsi="Tahoma" w:cs="Tahoma"/>
                <w:sz w:val="13"/>
              </w:rPr>
              <w:t>A</w:t>
            </w:r>
          </w:p>
        </w:tc>
        <w:tc>
          <w:tcPr>
            <w:tcW w:w="360" w:type="dxa"/>
            <w:tcBorders>
              <w:left w:val="single" w:sz="18" w:space="0" w:color="auto"/>
              <w:bottom w:val="single" w:sz="4" w:space="0" w:color="auto"/>
              <w:right w:val="single" w:sz="18" w:space="0" w:color="auto"/>
            </w:tcBorders>
            <w:shd w:val="clear" w:color="auto" w:fill="FABF8F"/>
            <w:vAlign w:val="center"/>
          </w:tcPr>
          <w:p w:rsidR="00CC19FC" w:rsidRPr="003410C7" w:rsidRDefault="00CC19FC" w:rsidP="004B3534">
            <w:pPr>
              <w:pStyle w:val="TableText"/>
              <w:rPr>
                <w:rFonts w:ascii="Tahoma" w:hAnsi="Tahoma" w:cs="Tahoma"/>
                <w:sz w:val="13"/>
              </w:rPr>
            </w:pPr>
          </w:p>
        </w:tc>
        <w:tc>
          <w:tcPr>
            <w:tcW w:w="474" w:type="dxa"/>
            <w:tcBorders>
              <w:bottom w:val="single" w:sz="4" w:space="0" w:color="auto"/>
            </w:tcBorders>
            <w:shd w:val="clear" w:color="auto" w:fill="FABF8F"/>
            <w:vAlign w:val="center"/>
          </w:tcPr>
          <w:p w:rsidR="00CC19FC" w:rsidRPr="003410C7" w:rsidRDefault="00CC19FC" w:rsidP="00080B33">
            <w:pPr>
              <w:pStyle w:val="TableText"/>
              <w:rPr>
                <w:rFonts w:ascii="Tahoma" w:hAnsi="Tahoma" w:cs="Tahoma"/>
                <w:sz w:val="13"/>
              </w:rPr>
            </w:pPr>
          </w:p>
        </w:tc>
        <w:tc>
          <w:tcPr>
            <w:tcW w:w="514" w:type="dxa"/>
            <w:tcBorders>
              <w:bottom w:val="single" w:sz="4" w:space="0" w:color="auto"/>
            </w:tcBorders>
            <w:shd w:val="clear" w:color="auto" w:fill="FABF8F"/>
            <w:vAlign w:val="center"/>
          </w:tcPr>
          <w:p w:rsidR="00CC19FC" w:rsidRPr="003410C7" w:rsidRDefault="00CC19FC" w:rsidP="004B3534">
            <w:pPr>
              <w:pStyle w:val="TableText"/>
              <w:rPr>
                <w:rFonts w:ascii="Tahoma" w:hAnsi="Tahoma" w:cs="Tahoma"/>
                <w:sz w:val="13"/>
              </w:rPr>
            </w:pPr>
          </w:p>
        </w:tc>
      </w:tr>
      <w:tr w:rsidR="00CC19FC" w:rsidRPr="003410C7" w:rsidTr="002A074D">
        <w:trPr>
          <w:cantSplit/>
          <w:trHeight w:val="145"/>
        </w:trPr>
        <w:tc>
          <w:tcPr>
            <w:tcW w:w="2638" w:type="dxa"/>
            <w:tcBorders>
              <w:bottom w:val="single" w:sz="4" w:space="0" w:color="auto"/>
            </w:tcBorders>
            <w:shd w:val="clear" w:color="auto" w:fill="auto"/>
          </w:tcPr>
          <w:p w:rsidR="00CC19FC" w:rsidRPr="003410C7" w:rsidRDefault="00CC19FC" w:rsidP="003410C7">
            <w:pPr>
              <w:pStyle w:val="Heading3"/>
              <w:spacing w:beforeLines="20" w:before="48" w:afterLines="20" w:after="48"/>
              <w:rPr>
                <w:rFonts w:ascii="Tahoma" w:hAnsi="Tahoma" w:cs="Tahoma"/>
                <w:b w:val="0"/>
                <w:sz w:val="14"/>
              </w:rPr>
            </w:pPr>
            <w:bookmarkStart w:id="92" w:name="_Toc352234484"/>
            <w:r w:rsidRPr="003410C7">
              <w:rPr>
                <w:rFonts w:ascii="Tahoma" w:hAnsi="Tahoma" w:cs="Tahoma"/>
                <w:b w:val="0"/>
                <w:sz w:val="14"/>
              </w:rPr>
              <w:t>Project Pro per Office 365 A</w:t>
            </w:r>
            <w:bookmarkEnd w:id="92"/>
          </w:p>
        </w:tc>
        <w:tc>
          <w:tcPr>
            <w:tcW w:w="429" w:type="dxa"/>
            <w:tcBorders>
              <w:bottom w:val="single" w:sz="4" w:space="0" w:color="auto"/>
            </w:tcBorders>
            <w:shd w:val="clear" w:color="auto" w:fill="auto"/>
            <w:vAlign w:val="center"/>
          </w:tcPr>
          <w:p w:rsidR="00CC19FC" w:rsidRPr="009F17FF" w:rsidRDefault="00CC19FC" w:rsidP="00152361">
            <w:pPr>
              <w:pStyle w:val="TableText"/>
              <w:widowControl w:val="0"/>
              <w:rPr>
                <w:b/>
                <w:color w:val="0000FF"/>
                <w:sz w:val="13"/>
                <w:szCs w:val="13"/>
                <w:u w:val="single"/>
              </w:rPr>
            </w:pPr>
          </w:p>
        </w:tc>
        <w:tc>
          <w:tcPr>
            <w:tcW w:w="429" w:type="dxa"/>
            <w:tcBorders>
              <w:bottom w:val="single" w:sz="4" w:space="0" w:color="auto"/>
            </w:tcBorders>
            <w:shd w:val="clear" w:color="auto" w:fill="auto"/>
            <w:vAlign w:val="center"/>
          </w:tcPr>
          <w:p w:rsidR="00CC19FC" w:rsidRPr="003410C7" w:rsidRDefault="00CC19FC" w:rsidP="004941B2">
            <w:pPr>
              <w:pStyle w:val="TableText"/>
              <w:spacing w:before="60" w:after="60"/>
              <w:rPr>
                <w:rFonts w:ascii="Tahoma" w:hAnsi="Tahoma" w:cs="Tahoma"/>
                <w:sz w:val="13"/>
              </w:rPr>
            </w:pPr>
            <w:r w:rsidRPr="003410C7">
              <w:rPr>
                <w:rFonts w:ascii="Tahoma" w:hAnsi="Tahoma" w:cs="Tahoma"/>
                <w:sz w:val="13"/>
              </w:rPr>
              <w:t>03/13</w:t>
            </w:r>
          </w:p>
        </w:tc>
        <w:tc>
          <w:tcPr>
            <w:tcW w:w="429" w:type="dxa"/>
            <w:tcBorders>
              <w:bottom w:val="single" w:sz="4" w:space="0" w:color="auto"/>
              <w:right w:val="single" w:sz="18" w:space="0" w:color="auto"/>
            </w:tcBorders>
            <w:shd w:val="clear" w:color="auto" w:fill="auto"/>
            <w:vAlign w:val="center"/>
          </w:tcPr>
          <w:p w:rsidR="00CC19FC" w:rsidRPr="003410C7" w:rsidRDefault="00CC19FC" w:rsidP="004B3534">
            <w:pPr>
              <w:pStyle w:val="TableText"/>
              <w:rPr>
                <w:rFonts w:ascii="Tahoma" w:hAnsi="Tahoma" w:cs="Tahoma"/>
                <w:sz w:val="13"/>
              </w:rPr>
            </w:pPr>
            <w:r w:rsidRPr="003410C7">
              <w:rPr>
                <w:rFonts w:ascii="Tahoma" w:hAnsi="Tahoma" w:cs="Tahoma"/>
                <w:sz w:val="13"/>
              </w:rPr>
              <w:t>DT</w:t>
            </w:r>
          </w:p>
        </w:tc>
        <w:tc>
          <w:tcPr>
            <w:tcW w:w="429" w:type="dxa"/>
            <w:tcBorders>
              <w:left w:val="single" w:sz="18" w:space="0" w:color="auto"/>
              <w:bottom w:val="single" w:sz="4" w:space="0" w:color="auto"/>
            </w:tcBorders>
            <w:shd w:val="clear" w:color="auto" w:fill="auto"/>
            <w:vAlign w:val="center"/>
          </w:tcPr>
          <w:p w:rsidR="00CC19FC" w:rsidRPr="003410C7" w:rsidRDefault="00CC19FC" w:rsidP="004B3534">
            <w:pPr>
              <w:pStyle w:val="TableText"/>
              <w:spacing w:after="120"/>
              <w:rPr>
                <w:rFonts w:ascii="Tahoma" w:hAnsi="Tahoma" w:cs="Tahoma"/>
                <w:sz w:val="13"/>
                <w:szCs w:val="13"/>
              </w:rPr>
            </w:pPr>
          </w:p>
        </w:tc>
        <w:tc>
          <w:tcPr>
            <w:tcW w:w="429" w:type="dxa"/>
            <w:tcBorders>
              <w:bottom w:val="single" w:sz="4" w:space="0" w:color="auto"/>
            </w:tcBorders>
            <w:shd w:val="clear" w:color="auto" w:fill="auto"/>
            <w:vAlign w:val="center"/>
          </w:tcPr>
          <w:p w:rsidR="00CC19FC" w:rsidRPr="003410C7" w:rsidRDefault="00CC19FC" w:rsidP="004B3534">
            <w:pPr>
              <w:pStyle w:val="TableText"/>
              <w:spacing w:after="120"/>
              <w:rPr>
                <w:rFonts w:ascii="Tahoma" w:hAnsi="Tahoma" w:cs="Tahoma"/>
                <w:sz w:val="13"/>
                <w:szCs w:val="13"/>
              </w:rPr>
            </w:pPr>
          </w:p>
        </w:tc>
        <w:tc>
          <w:tcPr>
            <w:tcW w:w="429" w:type="dxa"/>
            <w:tcBorders>
              <w:bottom w:val="single" w:sz="4" w:space="0" w:color="auto"/>
            </w:tcBorders>
            <w:shd w:val="clear" w:color="auto" w:fill="auto"/>
            <w:vAlign w:val="center"/>
          </w:tcPr>
          <w:p w:rsidR="00CC19FC" w:rsidRPr="003410C7" w:rsidRDefault="00CC19FC" w:rsidP="004B3534">
            <w:pPr>
              <w:pStyle w:val="TableText"/>
              <w:spacing w:after="120"/>
              <w:rPr>
                <w:rFonts w:ascii="Tahoma" w:hAnsi="Tahoma" w:cs="Tahoma"/>
                <w:sz w:val="13"/>
                <w:szCs w:val="13"/>
              </w:rPr>
            </w:pPr>
          </w:p>
        </w:tc>
        <w:tc>
          <w:tcPr>
            <w:tcW w:w="429" w:type="dxa"/>
            <w:tcBorders>
              <w:bottom w:val="single" w:sz="4" w:space="0" w:color="auto"/>
            </w:tcBorders>
            <w:shd w:val="clear" w:color="auto" w:fill="auto"/>
            <w:vAlign w:val="center"/>
          </w:tcPr>
          <w:p w:rsidR="00CC19FC" w:rsidRPr="003410C7" w:rsidRDefault="00CC19FC" w:rsidP="004B3534">
            <w:pPr>
              <w:pStyle w:val="TableText"/>
              <w:spacing w:after="120"/>
              <w:rPr>
                <w:rFonts w:ascii="Tahoma" w:hAnsi="Tahoma" w:cs="Tahoma"/>
                <w:sz w:val="13"/>
                <w:szCs w:val="13"/>
              </w:rPr>
            </w:pPr>
          </w:p>
        </w:tc>
        <w:tc>
          <w:tcPr>
            <w:tcW w:w="429" w:type="dxa"/>
            <w:tcBorders>
              <w:bottom w:val="single" w:sz="4" w:space="0" w:color="auto"/>
            </w:tcBorders>
            <w:shd w:val="clear" w:color="auto" w:fill="auto"/>
            <w:vAlign w:val="center"/>
          </w:tcPr>
          <w:p w:rsidR="00CC19FC" w:rsidRPr="003410C7" w:rsidRDefault="00CC19FC" w:rsidP="004B3534">
            <w:pPr>
              <w:pStyle w:val="TableText"/>
              <w:spacing w:after="120"/>
              <w:rPr>
                <w:rFonts w:ascii="Tahoma" w:hAnsi="Tahoma" w:cs="Tahoma"/>
                <w:sz w:val="13"/>
                <w:szCs w:val="13"/>
              </w:rPr>
            </w:pPr>
          </w:p>
        </w:tc>
        <w:tc>
          <w:tcPr>
            <w:tcW w:w="429" w:type="dxa"/>
            <w:tcBorders>
              <w:bottom w:val="single" w:sz="4" w:space="0" w:color="auto"/>
            </w:tcBorders>
            <w:shd w:val="clear" w:color="auto" w:fill="auto"/>
            <w:vAlign w:val="center"/>
          </w:tcPr>
          <w:p w:rsidR="00CC19FC" w:rsidRPr="003410C7" w:rsidRDefault="00CC19FC" w:rsidP="004B3534">
            <w:pPr>
              <w:pStyle w:val="TableText"/>
              <w:spacing w:after="120"/>
              <w:rPr>
                <w:rFonts w:ascii="Tahoma" w:hAnsi="Tahoma" w:cs="Tahoma"/>
                <w:sz w:val="13"/>
                <w:szCs w:val="13"/>
              </w:rPr>
            </w:pPr>
          </w:p>
        </w:tc>
        <w:tc>
          <w:tcPr>
            <w:tcW w:w="429" w:type="dxa"/>
            <w:tcBorders>
              <w:bottom w:val="single" w:sz="4" w:space="0" w:color="auto"/>
              <w:right w:val="single" w:sz="18" w:space="0" w:color="auto"/>
            </w:tcBorders>
            <w:shd w:val="clear" w:color="auto" w:fill="auto"/>
            <w:vAlign w:val="center"/>
          </w:tcPr>
          <w:p w:rsidR="00CC19FC" w:rsidRPr="003410C7" w:rsidRDefault="00CC19FC" w:rsidP="004B3534">
            <w:pPr>
              <w:pStyle w:val="TableText"/>
              <w:spacing w:after="120"/>
              <w:rPr>
                <w:rFonts w:ascii="Tahoma" w:hAnsi="Tahoma" w:cs="Tahoma"/>
                <w:sz w:val="13"/>
                <w:szCs w:val="13"/>
              </w:rPr>
            </w:pPr>
          </w:p>
        </w:tc>
        <w:tc>
          <w:tcPr>
            <w:tcW w:w="429" w:type="dxa"/>
            <w:tcBorders>
              <w:left w:val="single" w:sz="18" w:space="0" w:color="auto"/>
              <w:bottom w:val="single" w:sz="4" w:space="0" w:color="auto"/>
            </w:tcBorders>
            <w:shd w:val="clear" w:color="auto" w:fill="auto"/>
            <w:vAlign w:val="center"/>
          </w:tcPr>
          <w:p w:rsidR="00CC19FC" w:rsidRPr="003410C7" w:rsidRDefault="00CC19FC" w:rsidP="004B3534">
            <w:pPr>
              <w:pStyle w:val="TableText"/>
              <w:spacing w:after="120"/>
              <w:rPr>
                <w:rFonts w:ascii="Tahoma" w:hAnsi="Tahoma" w:cs="Tahoma"/>
                <w:sz w:val="13"/>
                <w:szCs w:val="13"/>
              </w:rPr>
            </w:pPr>
          </w:p>
        </w:tc>
        <w:tc>
          <w:tcPr>
            <w:tcW w:w="429" w:type="dxa"/>
            <w:tcBorders>
              <w:bottom w:val="single" w:sz="4" w:space="0" w:color="auto"/>
            </w:tcBorders>
            <w:shd w:val="clear" w:color="auto" w:fill="auto"/>
            <w:vAlign w:val="center"/>
          </w:tcPr>
          <w:p w:rsidR="00CC19FC" w:rsidRPr="003410C7" w:rsidRDefault="00CC19FC" w:rsidP="004B3534">
            <w:pPr>
              <w:pStyle w:val="TableText"/>
              <w:spacing w:after="120"/>
              <w:rPr>
                <w:rFonts w:ascii="Tahoma" w:hAnsi="Tahoma" w:cs="Tahoma"/>
                <w:sz w:val="13"/>
                <w:szCs w:val="13"/>
              </w:rPr>
            </w:pPr>
          </w:p>
        </w:tc>
        <w:tc>
          <w:tcPr>
            <w:tcW w:w="442" w:type="dxa"/>
            <w:tcBorders>
              <w:bottom w:val="single" w:sz="4" w:space="0" w:color="auto"/>
              <w:right w:val="single" w:sz="18" w:space="0" w:color="auto"/>
            </w:tcBorders>
            <w:shd w:val="clear" w:color="auto" w:fill="auto"/>
            <w:vAlign w:val="center"/>
          </w:tcPr>
          <w:p w:rsidR="00CC19FC" w:rsidRPr="003410C7" w:rsidRDefault="00CC19FC" w:rsidP="004B3534">
            <w:pPr>
              <w:pStyle w:val="TableText"/>
              <w:spacing w:after="120"/>
              <w:rPr>
                <w:rFonts w:ascii="Tahoma" w:hAnsi="Tahoma" w:cs="Tahoma"/>
                <w:sz w:val="13"/>
                <w:szCs w:val="13"/>
              </w:rPr>
            </w:pPr>
          </w:p>
        </w:tc>
        <w:tc>
          <w:tcPr>
            <w:tcW w:w="495" w:type="dxa"/>
            <w:tcBorders>
              <w:left w:val="single" w:sz="18" w:space="0" w:color="auto"/>
              <w:bottom w:val="single" w:sz="4" w:space="0" w:color="auto"/>
            </w:tcBorders>
            <w:shd w:val="clear" w:color="auto" w:fill="auto"/>
            <w:vAlign w:val="center"/>
          </w:tcPr>
          <w:p w:rsidR="00CC19FC" w:rsidRPr="003410C7" w:rsidRDefault="00C24CBE" w:rsidP="004B3534">
            <w:pPr>
              <w:pStyle w:val="TableText"/>
              <w:spacing w:after="120"/>
              <w:rPr>
                <w:rFonts w:ascii="Tahoma" w:hAnsi="Tahoma" w:cs="Tahoma"/>
                <w:sz w:val="13"/>
                <w:szCs w:val="13"/>
              </w:rPr>
            </w:pPr>
            <w:r w:rsidRPr="003410C7">
              <w:rPr>
                <w:rFonts w:ascii="Tahoma" w:hAnsi="Tahoma" w:cs="Tahoma"/>
                <w:sz w:val="13"/>
                <w:szCs w:val="13"/>
              </w:rPr>
              <w:t>1</w:t>
            </w:r>
          </w:p>
        </w:tc>
        <w:tc>
          <w:tcPr>
            <w:tcW w:w="459" w:type="dxa"/>
            <w:tcBorders>
              <w:bottom w:val="single" w:sz="4" w:space="0" w:color="auto"/>
              <w:right w:val="single" w:sz="18" w:space="0" w:color="auto"/>
            </w:tcBorders>
            <w:shd w:val="clear" w:color="auto" w:fill="auto"/>
            <w:vAlign w:val="center"/>
          </w:tcPr>
          <w:p w:rsidR="00CC19FC" w:rsidRPr="003410C7" w:rsidRDefault="00CC19FC" w:rsidP="004B3534">
            <w:pPr>
              <w:pStyle w:val="TableText"/>
              <w:rPr>
                <w:rFonts w:ascii="Tahoma" w:hAnsi="Tahoma" w:cs="Tahoma"/>
                <w:sz w:val="13"/>
              </w:rPr>
            </w:pPr>
            <w:r w:rsidRPr="003410C7">
              <w:rPr>
                <w:rFonts w:ascii="Tahoma" w:hAnsi="Tahoma" w:cs="Tahoma"/>
                <w:sz w:val="13"/>
              </w:rPr>
              <w:t>A</w:t>
            </w:r>
          </w:p>
        </w:tc>
        <w:tc>
          <w:tcPr>
            <w:tcW w:w="360" w:type="dxa"/>
            <w:tcBorders>
              <w:left w:val="single" w:sz="18" w:space="0" w:color="auto"/>
              <w:bottom w:val="single" w:sz="4" w:space="0" w:color="auto"/>
              <w:right w:val="single" w:sz="18" w:space="0" w:color="auto"/>
            </w:tcBorders>
            <w:shd w:val="clear" w:color="auto" w:fill="auto"/>
            <w:vAlign w:val="center"/>
          </w:tcPr>
          <w:p w:rsidR="00CC19FC" w:rsidRPr="003410C7" w:rsidRDefault="00CC19FC" w:rsidP="004B3534">
            <w:pPr>
              <w:pStyle w:val="TableText"/>
              <w:rPr>
                <w:rFonts w:ascii="Tahoma" w:hAnsi="Tahoma" w:cs="Tahoma"/>
                <w:sz w:val="13"/>
              </w:rPr>
            </w:pPr>
          </w:p>
        </w:tc>
        <w:tc>
          <w:tcPr>
            <w:tcW w:w="474" w:type="dxa"/>
            <w:tcBorders>
              <w:bottom w:val="single" w:sz="4" w:space="0" w:color="auto"/>
            </w:tcBorders>
            <w:shd w:val="clear" w:color="auto" w:fill="auto"/>
            <w:vAlign w:val="center"/>
          </w:tcPr>
          <w:p w:rsidR="00CC19FC" w:rsidRPr="003410C7" w:rsidRDefault="00573BA8" w:rsidP="00080B33">
            <w:pPr>
              <w:pStyle w:val="TableText"/>
              <w:rPr>
                <w:rFonts w:ascii="Tahoma" w:hAnsi="Tahoma" w:cs="Tahoma"/>
                <w:sz w:val="13"/>
              </w:rPr>
            </w:pPr>
            <w:r w:rsidRPr="003410C7">
              <w:rPr>
                <w:rFonts w:ascii="Tahoma" w:hAnsi="Tahoma" w:cs="Tahoma"/>
                <w:sz w:val="13"/>
              </w:rPr>
              <w:t>A, ST (Solo EES)</w:t>
            </w:r>
          </w:p>
        </w:tc>
        <w:tc>
          <w:tcPr>
            <w:tcW w:w="514" w:type="dxa"/>
            <w:tcBorders>
              <w:bottom w:val="single" w:sz="4" w:space="0" w:color="auto"/>
            </w:tcBorders>
            <w:shd w:val="clear" w:color="auto" w:fill="auto"/>
            <w:vAlign w:val="center"/>
          </w:tcPr>
          <w:p w:rsidR="00CC19FC" w:rsidRPr="003410C7" w:rsidRDefault="00CC19FC" w:rsidP="004B3534">
            <w:pPr>
              <w:pStyle w:val="TableText"/>
              <w:rPr>
                <w:rFonts w:ascii="Tahoma" w:hAnsi="Tahoma" w:cs="Tahoma"/>
                <w:sz w:val="13"/>
              </w:rPr>
            </w:pPr>
          </w:p>
        </w:tc>
      </w:tr>
      <w:tr w:rsidR="00EF228F" w:rsidRPr="003410C7" w:rsidTr="002A074D">
        <w:trPr>
          <w:cantSplit/>
          <w:trHeight w:val="145"/>
        </w:trPr>
        <w:tc>
          <w:tcPr>
            <w:tcW w:w="2638" w:type="dxa"/>
            <w:tcBorders>
              <w:bottom w:val="single" w:sz="4" w:space="0" w:color="auto"/>
            </w:tcBorders>
            <w:shd w:val="clear" w:color="auto" w:fill="FABF8F"/>
          </w:tcPr>
          <w:p w:rsidR="00CC19FC" w:rsidRPr="003410C7" w:rsidRDefault="00CC19FC" w:rsidP="003410C7">
            <w:pPr>
              <w:pStyle w:val="Heading3"/>
              <w:spacing w:beforeLines="20" w:before="48" w:afterLines="20" w:after="48"/>
              <w:rPr>
                <w:rFonts w:ascii="Tahoma" w:hAnsi="Tahoma" w:cs="Tahoma"/>
                <w:b w:val="0"/>
                <w:sz w:val="14"/>
              </w:rPr>
            </w:pPr>
            <w:bookmarkStart w:id="93" w:name="_Toc352234485"/>
            <w:r w:rsidRPr="003410C7">
              <w:rPr>
                <w:rFonts w:ascii="Tahoma" w:hAnsi="Tahoma" w:cs="Tahoma"/>
                <w:b w:val="0"/>
                <w:sz w:val="14"/>
              </w:rPr>
              <w:t>Publisher 2013</w:t>
            </w:r>
            <w:bookmarkEnd w:id="93"/>
          </w:p>
        </w:tc>
        <w:tc>
          <w:tcPr>
            <w:tcW w:w="429" w:type="dxa"/>
            <w:tcBorders>
              <w:bottom w:val="single" w:sz="4" w:space="0" w:color="auto"/>
            </w:tcBorders>
            <w:shd w:val="clear" w:color="auto" w:fill="FABF8F"/>
            <w:vAlign w:val="center"/>
          </w:tcPr>
          <w:p w:rsidR="00CC19FC" w:rsidRPr="009F17FF" w:rsidRDefault="00CC19FC" w:rsidP="00152361">
            <w:pPr>
              <w:pStyle w:val="TableText"/>
              <w:widowControl w:val="0"/>
              <w:rPr>
                <w:b/>
                <w:color w:val="0000FF"/>
                <w:sz w:val="13"/>
                <w:szCs w:val="13"/>
                <w:u w:val="single"/>
              </w:rPr>
            </w:pPr>
            <w:bookmarkStart w:id="94" w:name="_Hlt335908485"/>
          </w:p>
        </w:tc>
        <w:bookmarkEnd w:id="94"/>
        <w:tc>
          <w:tcPr>
            <w:tcW w:w="429" w:type="dxa"/>
            <w:tcBorders>
              <w:bottom w:val="single" w:sz="4" w:space="0" w:color="auto"/>
            </w:tcBorders>
            <w:shd w:val="clear" w:color="auto" w:fill="FABF8F"/>
            <w:vAlign w:val="center"/>
          </w:tcPr>
          <w:p w:rsidR="00CC19FC" w:rsidRPr="003410C7" w:rsidDel="00527D48" w:rsidRDefault="00CC19FC" w:rsidP="004941B2">
            <w:pPr>
              <w:pStyle w:val="TableText"/>
              <w:spacing w:before="60" w:after="60"/>
              <w:rPr>
                <w:rFonts w:ascii="Tahoma" w:hAnsi="Tahoma" w:cs="Tahoma"/>
                <w:sz w:val="13"/>
              </w:rPr>
            </w:pPr>
            <w:r w:rsidRPr="003410C7">
              <w:rPr>
                <w:rFonts w:ascii="Tahoma" w:hAnsi="Tahoma" w:cs="Tahoma"/>
                <w:sz w:val="13"/>
              </w:rPr>
              <w:t>10/12</w:t>
            </w:r>
          </w:p>
        </w:tc>
        <w:tc>
          <w:tcPr>
            <w:tcW w:w="429" w:type="dxa"/>
            <w:tcBorders>
              <w:bottom w:val="single" w:sz="4" w:space="0" w:color="auto"/>
              <w:right w:val="single" w:sz="18" w:space="0" w:color="auto"/>
            </w:tcBorders>
            <w:shd w:val="clear" w:color="auto" w:fill="FABF8F"/>
            <w:vAlign w:val="center"/>
          </w:tcPr>
          <w:p w:rsidR="00CC19FC" w:rsidRPr="003410C7" w:rsidRDefault="00CC19FC" w:rsidP="004B3534">
            <w:pPr>
              <w:pStyle w:val="TableText"/>
              <w:rPr>
                <w:rFonts w:ascii="Tahoma" w:hAnsi="Tahoma" w:cs="Tahoma"/>
                <w:sz w:val="13"/>
              </w:rPr>
            </w:pPr>
          </w:p>
        </w:tc>
        <w:tc>
          <w:tcPr>
            <w:tcW w:w="429" w:type="dxa"/>
            <w:tcBorders>
              <w:left w:val="single" w:sz="18" w:space="0" w:color="auto"/>
              <w:bottom w:val="single" w:sz="4" w:space="0" w:color="auto"/>
            </w:tcBorders>
            <w:shd w:val="clear" w:color="auto" w:fill="FABF8F"/>
            <w:vAlign w:val="center"/>
          </w:tcPr>
          <w:p w:rsidR="00CC19FC" w:rsidRPr="003410C7" w:rsidRDefault="00CC19FC" w:rsidP="004B3534">
            <w:pPr>
              <w:pStyle w:val="TableText"/>
              <w:spacing w:after="120"/>
              <w:rPr>
                <w:rFonts w:ascii="Tahoma" w:hAnsi="Tahoma" w:cs="Tahoma"/>
                <w:sz w:val="13"/>
                <w:szCs w:val="13"/>
              </w:rPr>
            </w:pPr>
            <w:r w:rsidRPr="003410C7">
              <w:rPr>
                <w:rFonts w:ascii="Tahoma" w:hAnsi="Tahoma" w:cs="Tahoma"/>
                <w:sz w:val="13"/>
                <w:szCs w:val="13"/>
              </w:rPr>
              <w:t>1</w:t>
            </w:r>
          </w:p>
        </w:tc>
        <w:tc>
          <w:tcPr>
            <w:tcW w:w="429" w:type="dxa"/>
            <w:tcBorders>
              <w:bottom w:val="single" w:sz="4" w:space="0" w:color="auto"/>
            </w:tcBorders>
            <w:shd w:val="clear" w:color="auto" w:fill="FABF8F"/>
            <w:vAlign w:val="center"/>
          </w:tcPr>
          <w:p w:rsidR="00CC19FC" w:rsidRPr="003410C7" w:rsidRDefault="00CC19FC" w:rsidP="004B3534">
            <w:pPr>
              <w:pStyle w:val="TableText"/>
              <w:spacing w:after="120"/>
              <w:rPr>
                <w:rFonts w:ascii="Tahoma" w:hAnsi="Tahoma" w:cs="Tahoma"/>
                <w:sz w:val="13"/>
                <w:szCs w:val="13"/>
              </w:rPr>
            </w:pPr>
            <w:r w:rsidRPr="003410C7">
              <w:rPr>
                <w:rFonts w:ascii="Tahoma" w:hAnsi="Tahoma" w:cs="Tahoma"/>
                <w:sz w:val="13"/>
                <w:szCs w:val="13"/>
              </w:rPr>
              <w:t>3</w:t>
            </w:r>
          </w:p>
        </w:tc>
        <w:tc>
          <w:tcPr>
            <w:tcW w:w="429" w:type="dxa"/>
            <w:tcBorders>
              <w:bottom w:val="single" w:sz="4" w:space="0" w:color="auto"/>
            </w:tcBorders>
            <w:shd w:val="clear" w:color="auto" w:fill="FABF8F"/>
            <w:vAlign w:val="center"/>
          </w:tcPr>
          <w:p w:rsidR="00CC19FC" w:rsidRPr="003410C7" w:rsidRDefault="00CC19FC" w:rsidP="004B3534">
            <w:pPr>
              <w:pStyle w:val="TableText"/>
              <w:spacing w:after="120"/>
              <w:rPr>
                <w:rFonts w:ascii="Tahoma" w:hAnsi="Tahoma" w:cs="Tahoma"/>
                <w:sz w:val="13"/>
                <w:szCs w:val="13"/>
              </w:rPr>
            </w:pPr>
            <w:r w:rsidRPr="003410C7">
              <w:rPr>
                <w:rFonts w:ascii="Tahoma" w:hAnsi="Tahoma" w:cs="Tahoma"/>
                <w:sz w:val="13"/>
                <w:szCs w:val="13"/>
              </w:rPr>
              <w:t>2</w:t>
            </w:r>
          </w:p>
        </w:tc>
        <w:tc>
          <w:tcPr>
            <w:tcW w:w="429" w:type="dxa"/>
            <w:tcBorders>
              <w:bottom w:val="single" w:sz="4" w:space="0" w:color="auto"/>
            </w:tcBorders>
            <w:shd w:val="clear" w:color="auto" w:fill="FABF8F"/>
            <w:vAlign w:val="center"/>
          </w:tcPr>
          <w:p w:rsidR="00CC19FC" w:rsidRPr="003410C7" w:rsidRDefault="00CC19FC" w:rsidP="004B3534">
            <w:pPr>
              <w:pStyle w:val="TableText"/>
              <w:spacing w:after="120"/>
              <w:rPr>
                <w:rFonts w:ascii="Tahoma" w:hAnsi="Tahoma" w:cs="Tahoma"/>
                <w:sz w:val="13"/>
                <w:szCs w:val="13"/>
              </w:rPr>
            </w:pPr>
            <w:r w:rsidRPr="003410C7">
              <w:rPr>
                <w:rFonts w:ascii="Tahoma" w:hAnsi="Tahoma" w:cs="Tahoma"/>
                <w:sz w:val="13"/>
                <w:szCs w:val="13"/>
              </w:rPr>
              <w:t>2</w:t>
            </w:r>
          </w:p>
        </w:tc>
        <w:tc>
          <w:tcPr>
            <w:tcW w:w="429" w:type="dxa"/>
            <w:tcBorders>
              <w:bottom w:val="single" w:sz="4" w:space="0" w:color="auto"/>
            </w:tcBorders>
            <w:shd w:val="clear" w:color="auto" w:fill="FABF8F"/>
            <w:vAlign w:val="center"/>
          </w:tcPr>
          <w:p w:rsidR="00CC19FC" w:rsidRPr="003410C7" w:rsidRDefault="00CC19FC" w:rsidP="004B3534">
            <w:pPr>
              <w:pStyle w:val="TableText"/>
              <w:spacing w:after="120"/>
              <w:rPr>
                <w:rFonts w:ascii="Tahoma" w:hAnsi="Tahoma" w:cs="Tahoma"/>
                <w:sz w:val="13"/>
                <w:szCs w:val="13"/>
              </w:rPr>
            </w:pPr>
            <w:r w:rsidRPr="003410C7">
              <w:rPr>
                <w:rFonts w:ascii="Tahoma" w:hAnsi="Tahoma" w:cs="Tahoma"/>
                <w:sz w:val="13"/>
                <w:szCs w:val="13"/>
              </w:rPr>
              <w:t>2</w:t>
            </w:r>
          </w:p>
        </w:tc>
        <w:tc>
          <w:tcPr>
            <w:tcW w:w="429" w:type="dxa"/>
            <w:tcBorders>
              <w:bottom w:val="single" w:sz="4" w:space="0" w:color="auto"/>
            </w:tcBorders>
            <w:shd w:val="clear" w:color="auto" w:fill="FABF8F"/>
            <w:vAlign w:val="center"/>
          </w:tcPr>
          <w:p w:rsidR="00CC19FC" w:rsidRPr="003410C7" w:rsidRDefault="00CC19FC" w:rsidP="004B3534">
            <w:pPr>
              <w:pStyle w:val="TableText"/>
              <w:spacing w:after="120"/>
              <w:rPr>
                <w:rFonts w:ascii="Tahoma" w:hAnsi="Tahoma" w:cs="Tahoma"/>
                <w:sz w:val="13"/>
                <w:szCs w:val="13"/>
              </w:rPr>
            </w:pPr>
            <w:r w:rsidRPr="003410C7">
              <w:rPr>
                <w:rFonts w:ascii="Tahoma" w:hAnsi="Tahoma" w:cs="Tahoma"/>
                <w:sz w:val="13"/>
                <w:szCs w:val="13"/>
              </w:rPr>
              <w:t>1</w:t>
            </w:r>
          </w:p>
        </w:tc>
        <w:tc>
          <w:tcPr>
            <w:tcW w:w="429" w:type="dxa"/>
            <w:tcBorders>
              <w:bottom w:val="single" w:sz="4" w:space="0" w:color="auto"/>
              <w:right w:val="single" w:sz="18" w:space="0" w:color="auto"/>
            </w:tcBorders>
            <w:shd w:val="clear" w:color="auto" w:fill="FABF8F"/>
            <w:vAlign w:val="center"/>
          </w:tcPr>
          <w:p w:rsidR="00CC19FC" w:rsidRPr="003410C7" w:rsidRDefault="00CC19FC" w:rsidP="004B3534">
            <w:pPr>
              <w:pStyle w:val="TableText"/>
              <w:spacing w:after="120"/>
              <w:rPr>
                <w:rFonts w:ascii="Tahoma" w:hAnsi="Tahoma" w:cs="Tahoma"/>
                <w:sz w:val="13"/>
                <w:szCs w:val="13"/>
              </w:rPr>
            </w:pPr>
            <w:r w:rsidRPr="003410C7">
              <w:rPr>
                <w:rFonts w:ascii="Tahoma" w:hAnsi="Tahoma" w:cs="Tahoma"/>
                <w:sz w:val="13"/>
                <w:szCs w:val="13"/>
              </w:rPr>
              <w:t>1</w:t>
            </w:r>
          </w:p>
        </w:tc>
        <w:tc>
          <w:tcPr>
            <w:tcW w:w="429" w:type="dxa"/>
            <w:tcBorders>
              <w:left w:val="single" w:sz="18" w:space="0" w:color="auto"/>
              <w:bottom w:val="single" w:sz="4" w:space="0" w:color="auto"/>
            </w:tcBorders>
            <w:shd w:val="clear" w:color="auto" w:fill="FABF8F"/>
            <w:vAlign w:val="center"/>
          </w:tcPr>
          <w:p w:rsidR="00CC19FC" w:rsidRPr="003410C7" w:rsidRDefault="00CC19FC" w:rsidP="004B3534">
            <w:pPr>
              <w:pStyle w:val="TableText"/>
              <w:spacing w:after="120"/>
              <w:rPr>
                <w:rFonts w:ascii="Tahoma" w:hAnsi="Tahoma" w:cs="Tahoma"/>
                <w:sz w:val="13"/>
                <w:szCs w:val="13"/>
              </w:rPr>
            </w:pPr>
            <w:r w:rsidRPr="003410C7">
              <w:rPr>
                <w:rFonts w:ascii="Tahoma" w:hAnsi="Tahoma" w:cs="Tahoma"/>
                <w:sz w:val="13"/>
                <w:szCs w:val="13"/>
              </w:rPr>
              <w:t>1</w:t>
            </w:r>
          </w:p>
        </w:tc>
        <w:tc>
          <w:tcPr>
            <w:tcW w:w="429" w:type="dxa"/>
            <w:tcBorders>
              <w:bottom w:val="single" w:sz="4" w:space="0" w:color="auto"/>
            </w:tcBorders>
            <w:shd w:val="clear" w:color="auto" w:fill="FABF8F"/>
            <w:vAlign w:val="center"/>
          </w:tcPr>
          <w:p w:rsidR="00CC19FC" w:rsidRPr="003410C7" w:rsidRDefault="00CC19FC" w:rsidP="004B3534">
            <w:pPr>
              <w:pStyle w:val="TableText"/>
              <w:spacing w:after="120"/>
              <w:rPr>
                <w:rFonts w:ascii="Tahoma" w:hAnsi="Tahoma" w:cs="Tahoma"/>
                <w:sz w:val="13"/>
                <w:szCs w:val="13"/>
              </w:rPr>
            </w:pPr>
            <w:r w:rsidRPr="003410C7">
              <w:rPr>
                <w:rFonts w:ascii="Tahoma" w:hAnsi="Tahoma" w:cs="Tahoma"/>
                <w:sz w:val="13"/>
                <w:szCs w:val="13"/>
              </w:rPr>
              <w:t>2</w:t>
            </w:r>
          </w:p>
        </w:tc>
        <w:tc>
          <w:tcPr>
            <w:tcW w:w="442" w:type="dxa"/>
            <w:tcBorders>
              <w:bottom w:val="single" w:sz="4" w:space="0" w:color="auto"/>
              <w:right w:val="single" w:sz="18" w:space="0" w:color="auto"/>
            </w:tcBorders>
            <w:shd w:val="clear" w:color="auto" w:fill="FABF8F"/>
            <w:vAlign w:val="center"/>
          </w:tcPr>
          <w:p w:rsidR="00CC19FC" w:rsidRPr="003410C7" w:rsidRDefault="00CC19FC" w:rsidP="004B3534">
            <w:pPr>
              <w:pStyle w:val="TableText"/>
              <w:spacing w:after="120"/>
              <w:rPr>
                <w:rFonts w:ascii="Tahoma" w:hAnsi="Tahoma" w:cs="Tahoma"/>
                <w:sz w:val="13"/>
                <w:szCs w:val="13"/>
              </w:rPr>
            </w:pPr>
            <w:r w:rsidRPr="003410C7">
              <w:rPr>
                <w:rFonts w:ascii="Tahoma" w:hAnsi="Tahoma" w:cs="Tahoma"/>
                <w:sz w:val="13"/>
                <w:szCs w:val="13"/>
              </w:rPr>
              <w:t>1</w:t>
            </w:r>
          </w:p>
        </w:tc>
        <w:tc>
          <w:tcPr>
            <w:tcW w:w="495" w:type="dxa"/>
            <w:tcBorders>
              <w:left w:val="single" w:sz="18" w:space="0" w:color="auto"/>
              <w:bottom w:val="single" w:sz="4" w:space="0" w:color="auto"/>
            </w:tcBorders>
            <w:shd w:val="clear" w:color="auto" w:fill="FABF8F"/>
            <w:vAlign w:val="center"/>
          </w:tcPr>
          <w:p w:rsidR="00CC19FC" w:rsidRPr="003410C7" w:rsidRDefault="00CC19FC" w:rsidP="004B3534">
            <w:pPr>
              <w:pStyle w:val="TableText"/>
              <w:spacing w:after="120"/>
              <w:rPr>
                <w:rFonts w:ascii="Tahoma" w:hAnsi="Tahoma" w:cs="Tahoma"/>
                <w:sz w:val="13"/>
                <w:szCs w:val="13"/>
              </w:rPr>
            </w:pPr>
          </w:p>
        </w:tc>
        <w:tc>
          <w:tcPr>
            <w:tcW w:w="459" w:type="dxa"/>
            <w:tcBorders>
              <w:bottom w:val="single" w:sz="4" w:space="0" w:color="auto"/>
              <w:right w:val="single" w:sz="18" w:space="0" w:color="auto"/>
            </w:tcBorders>
            <w:shd w:val="clear" w:color="auto" w:fill="FABF8F"/>
            <w:vAlign w:val="center"/>
          </w:tcPr>
          <w:p w:rsidR="00CC19FC" w:rsidRPr="003410C7" w:rsidRDefault="00CC19FC" w:rsidP="004B3534">
            <w:pPr>
              <w:pStyle w:val="TableText"/>
              <w:rPr>
                <w:rFonts w:ascii="Tahoma" w:hAnsi="Tahoma" w:cs="Tahoma"/>
                <w:sz w:val="13"/>
              </w:rPr>
            </w:pPr>
          </w:p>
        </w:tc>
        <w:tc>
          <w:tcPr>
            <w:tcW w:w="360" w:type="dxa"/>
            <w:tcBorders>
              <w:left w:val="single" w:sz="18" w:space="0" w:color="auto"/>
              <w:bottom w:val="single" w:sz="4" w:space="0" w:color="auto"/>
              <w:right w:val="single" w:sz="18" w:space="0" w:color="auto"/>
            </w:tcBorders>
            <w:shd w:val="clear" w:color="auto" w:fill="FABF8F"/>
            <w:vAlign w:val="center"/>
          </w:tcPr>
          <w:p w:rsidR="00CC19FC" w:rsidRPr="003410C7" w:rsidRDefault="00CC19FC" w:rsidP="004B3534">
            <w:pPr>
              <w:pStyle w:val="TableText"/>
              <w:rPr>
                <w:rFonts w:ascii="Tahoma" w:hAnsi="Tahoma" w:cs="Tahoma"/>
                <w:sz w:val="13"/>
              </w:rPr>
            </w:pPr>
            <w:r w:rsidRPr="003410C7">
              <w:rPr>
                <w:rFonts w:ascii="Tahoma" w:hAnsi="Tahoma" w:cs="Tahoma"/>
                <w:sz w:val="13"/>
              </w:rPr>
              <w:t>P</w:t>
            </w:r>
          </w:p>
        </w:tc>
        <w:tc>
          <w:tcPr>
            <w:tcW w:w="474" w:type="dxa"/>
            <w:tcBorders>
              <w:bottom w:val="single" w:sz="4" w:space="0" w:color="auto"/>
            </w:tcBorders>
            <w:shd w:val="clear" w:color="auto" w:fill="FABF8F"/>
            <w:vAlign w:val="center"/>
          </w:tcPr>
          <w:p w:rsidR="00CC19FC" w:rsidRPr="003410C7" w:rsidRDefault="00CC19FC" w:rsidP="00080B33">
            <w:pPr>
              <w:pStyle w:val="TableText"/>
              <w:rPr>
                <w:rFonts w:ascii="Tahoma" w:hAnsi="Tahoma" w:cs="Tahoma"/>
                <w:sz w:val="13"/>
              </w:rPr>
            </w:pPr>
          </w:p>
        </w:tc>
        <w:tc>
          <w:tcPr>
            <w:tcW w:w="514" w:type="dxa"/>
            <w:tcBorders>
              <w:bottom w:val="single" w:sz="4" w:space="0" w:color="auto"/>
            </w:tcBorders>
            <w:shd w:val="clear" w:color="auto" w:fill="FABF8F"/>
            <w:vAlign w:val="center"/>
          </w:tcPr>
          <w:p w:rsidR="00CC19FC" w:rsidRPr="003410C7" w:rsidRDefault="00CC19FC" w:rsidP="004B3534">
            <w:pPr>
              <w:pStyle w:val="TableText"/>
              <w:rPr>
                <w:rFonts w:ascii="Tahoma" w:hAnsi="Tahoma" w:cs="Tahoma"/>
                <w:sz w:val="13"/>
              </w:rPr>
            </w:pPr>
          </w:p>
        </w:tc>
      </w:tr>
      <w:tr w:rsidR="00CC19FC" w:rsidRPr="003410C7" w:rsidTr="002A074D">
        <w:trPr>
          <w:cantSplit/>
          <w:trHeight w:val="145"/>
        </w:trPr>
        <w:tc>
          <w:tcPr>
            <w:tcW w:w="2638" w:type="dxa"/>
            <w:tcBorders>
              <w:bottom w:val="single" w:sz="4" w:space="0" w:color="auto"/>
            </w:tcBorders>
            <w:shd w:val="clear" w:color="auto" w:fill="auto"/>
          </w:tcPr>
          <w:p w:rsidR="00CC19FC" w:rsidRPr="00451078" w:rsidRDefault="00CC19FC" w:rsidP="003410C7">
            <w:pPr>
              <w:pStyle w:val="Heading3"/>
              <w:spacing w:beforeLines="20" w:before="48" w:afterLines="20" w:after="48"/>
              <w:rPr>
                <w:rFonts w:ascii="Tahoma" w:hAnsi="Tahoma" w:cs="Tahoma"/>
                <w:b w:val="0"/>
                <w:sz w:val="14"/>
                <w:lang w:val="it-IT"/>
              </w:rPr>
            </w:pPr>
            <w:bookmarkStart w:id="95" w:name="_Toc336337882"/>
            <w:bookmarkStart w:id="96" w:name="_Toc352234486"/>
            <w:r w:rsidRPr="00451078">
              <w:rPr>
                <w:rFonts w:ascii="Tahoma" w:hAnsi="Tahoma" w:cs="Tahoma"/>
                <w:b w:val="0"/>
                <w:sz w:val="14"/>
                <w:lang w:val="it-IT"/>
              </w:rPr>
              <w:t xml:space="preserve">Diritti di Noleggio per Office </w:t>
            </w:r>
            <w:bookmarkEnd w:id="95"/>
            <w:r w:rsidRPr="00451078">
              <w:rPr>
                <w:rFonts w:ascii="Tahoma" w:hAnsi="Tahoma" w:cs="Tahoma"/>
                <w:b w:val="0"/>
                <w:sz w:val="14"/>
                <w:lang w:val="it-IT"/>
              </w:rPr>
              <w:t>Standard</w:t>
            </w:r>
            <w:bookmarkEnd w:id="96"/>
          </w:p>
        </w:tc>
        <w:tc>
          <w:tcPr>
            <w:tcW w:w="429" w:type="dxa"/>
            <w:tcBorders>
              <w:bottom w:val="single" w:sz="4" w:space="0" w:color="auto"/>
            </w:tcBorders>
            <w:shd w:val="clear" w:color="auto" w:fill="auto"/>
            <w:vAlign w:val="center"/>
          </w:tcPr>
          <w:p w:rsidR="00CC19FC" w:rsidRPr="009F17FF" w:rsidRDefault="00FC1A4D" w:rsidP="0018541C">
            <w:pPr>
              <w:pStyle w:val="TableText"/>
              <w:widowControl w:val="0"/>
              <w:rPr>
                <w:rStyle w:val="EndnoteReference"/>
                <w:color w:val="0000FF"/>
                <w:sz w:val="13"/>
                <w:szCs w:val="13"/>
                <w:u w:val="single"/>
              </w:rPr>
            </w:pPr>
            <w:hyperlink w:anchor="_145_Rental_Rights" w:history="1">
              <w:r w:rsidR="000D77F6" w:rsidRPr="009F17FF">
                <w:rPr>
                  <w:rStyle w:val="Hyperlink"/>
                  <w:sz w:val="13"/>
                  <w:szCs w:val="13"/>
                </w:rPr>
                <w:t>14</w:t>
              </w:r>
            </w:hyperlink>
          </w:p>
        </w:tc>
        <w:tc>
          <w:tcPr>
            <w:tcW w:w="429" w:type="dxa"/>
            <w:tcBorders>
              <w:bottom w:val="single" w:sz="4" w:space="0" w:color="auto"/>
            </w:tcBorders>
            <w:shd w:val="clear" w:color="auto" w:fill="auto"/>
            <w:vAlign w:val="center"/>
          </w:tcPr>
          <w:p w:rsidR="00CC19FC" w:rsidRPr="003410C7" w:rsidRDefault="00CC19FC" w:rsidP="004B3534">
            <w:pPr>
              <w:pStyle w:val="TableText"/>
              <w:spacing w:before="60" w:after="60"/>
              <w:rPr>
                <w:rFonts w:ascii="Tahoma" w:hAnsi="Tahoma" w:cs="Tahoma"/>
                <w:sz w:val="13"/>
              </w:rPr>
            </w:pPr>
            <w:r w:rsidRPr="003410C7">
              <w:rPr>
                <w:rFonts w:ascii="Tahoma" w:hAnsi="Tahoma" w:cs="Tahoma"/>
                <w:sz w:val="13"/>
              </w:rPr>
              <w:t>4/09</w:t>
            </w:r>
          </w:p>
        </w:tc>
        <w:tc>
          <w:tcPr>
            <w:tcW w:w="429" w:type="dxa"/>
            <w:tcBorders>
              <w:bottom w:val="single" w:sz="4" w:space="0" w:color="auto"/>
              <w:right w:val="single" w:sz="18" w:space="0" w:color="auto"/>
            </w:tcBorders>
            <w:shd w:val="clear" w:color="auto" w:fill="auto"/>
            <w:vAlign w:val="center"/>
          </w:tcPr>
          <w:p w:rsidR="00CC19FC" w:rsidRPr="003410C7" w:rsidRDefault="00CC19FC" w:rsidP="004B3534">
            <w:pPr>
              <w:pStyle w:val="TableText"/>
              <w:rPr>
                <w:rFonts w:ascii="Tahoma" w:hAnsi="Tahoma" w:cs="Tahoma"/>
                <w:sz w:val="13"/>
              </w:rPr>
            </w:pPr>
            <w:r w:rsidRPr="003410C7">
              <w:rPr>
                <w:rFonts w:ascii="Tahoma" w:hAnsi="Tahoma" w:cs="Tahoma"/>
                <w:sz w:val="13"/>
              </w:rPr>
              <w:t>DT</w:t>
            </w:r>
          </w:p>
        </w:tc>
        <w:tc>
          <w:tcPr>
            <w:tcW w:w="429" w:type="dxa"/>
            <w:tcBorders>
              <w:left w:val="single" w:sz="18" w:space="0" w:color="auto"/>
              <w:bottom w:val="single" w:sz="4" w:space="0" w:color="auto"/>
            </w:tcBorders>
            <w:shd w:val="clear" w:color="auto" w:fill="auto"/>
            <w:vAlign w:val="center"/>
          </w:tcPr>
          <w:p w:rsidR="00CC19FC" w:rsidRPr="003410C7" w:rsidRDefault="00CC19FC" w:rsidP="004B3534">
            <w:pPr>
              <w:pStyle w:val="TableText"/>
              <w:rPr>
                <w:rFonts w:ascii="Tahoma" w:hAnsi="Tahoma" w:cs="Tahoma"/>
                <w:sz w:val="13"/>
              </w:rPr>
            </w:pPr>
            <w:r w:rsidRPr="003410C7">
              <w:rPr>
                <w:rFonts w:ascii="Tahoma" w:hAnsi="Tahoma" w:cs="Tahoma"/>
                <w:sz w:val="13"/>
              </w:rPr>
              <w:t>1</w:t>
            </w:r>
          </w:p>
        </w:tc>
        <w:tc>
          <w:tcPr>
            <w:tcW w:w="429" w:type="dxa"/>
            <w:tcBorders>
              <w:bottom w:val="single" w:sz="4" w:space="0" w:color="auto"/>
            </w:tcBorders>
            <w:shd w:val="clear" w:color="auto" w:fill="auto"/>
            <w:vAlign w:val="center"/>
          </w:tcPr>
          <w:p w:rsidR="00CC19FC" w:rsidRPr="003410C7" w:rsidRDefault="00CC19FC" w:rsidP="004B3534">
            <w:pPr>
              <w:pStyle w:val="TableText"/>
              <w:rPr>
                <w:rFonts w:ascii="Tahoma" w:hAnsi="Tahoma" w:cs="Tahoma"/>
                <w:sz w:val="13"/>
              </w:rPr>
            </w:pPr>
          </w:p>
        </w:tc>
        <w:tc>
          <w:tcPr>
            <w:tcW w:w="429" w:type="dxa"/>
            <w:tcBorders>
              <w:bottom w:val="single" w:sz="4" w:space="0" w:color="auto"/>
            </w:tcBorders>
            <w:shd w:val="clear" w:color="auto" w:fill="auto"/>
            <w:vAlign w:val="center"/>
          </w:tcPr>
          <w:p w:rsidR="00CC19FC" w:rsidRPr="003410C7" w:rsidRDefault="00CC19FC" w:rsidP="004B3534">
            <w:pPr>
              <w:pStyle w:val="TableText"/>
              <w:rPr>
                <w:rFonts w:ascii="Tahoma" w:hAnsi="Tahoma" w:cs="Tahoma"/>
                <w:sz w:val="13"/>
              </w:rPr>
            </w:pPr>
          </w:p>
        </w:tc>
        <w:tc>
          <w:tcPr>
            <w:tcW w:w="429" w:type="dxa"/>
            <w:tcBorders>
              <w:bottom w:val="single" w:sz="4" w:space="0" w:color="auto"/>
            </w:tcBorders>
            <w:shd w:val="clear" w:color="auto" w:fill="auto"/>
            <w:vAlign w:val="center"/>
          </w:tcPr>
          <w:p w:rsidR="00CC19FC" w:rsidRPr="003410C7" w:rsidRDefault="00CC19FC" w:rsidP="004B3534">
            <w:pPr>
              <w:pStyle w:val="TableText"/>
              <w:rPr>
                <w:rFonts w:ascii="Tahoma" w:hAnsi="Tahoma" w:cs="Tahoma"/>
                <w:sz w:val="13"/>
              </w:rPr>
            </w:pPr>
          </w:p>
        </w:tc>
        <w:tc>
          <w:tcPr>
            <w:tcW w:w="429" w:type="dxa"/>
            <w:tcBorders>
              <w:bottom w:val="single" w:sz="4" w:space="0" w:color="auto"/>
            </w:tcBorders>
            <w:shd w:val="clear" w:color="auto" w:fill="auto"/>
            <w:vAlign w:val="center"/>
          </w:tcPr>
          <w:p w:rsidR="00CC19FC" w:rsidRPr="003410C7" w:rsidRDefault="00CC19FC" w:rsidP="004B3534">
            <w:pPr>
              <w:pStyle w:val="TableText"/>
              <w:rPr>
                <w:rFonts w:ascii="Tahoma" w:hAnsi="Tahoma" w:cs="Tahoma"/>
                <w:sz w:val="13"/>
              </w:rPr>
            </w:pPr>
          </w:p>
        </w:tc>
        <w:tc>
          <w:tcPr>
            <w:tcW w:w="429" w:type="dxa"/>
            <w:tcBorders>
              <w:bottom w:val="single" w:sz="4" w:space="0" w:color="auto"/>
            </w:tcBorders>
            <w:shd w:val="clear" w:color="auto" w:fill="auto"/>
            <w:vAlign w:val="center"/>
          </w:tcPr>
          <w:p w:rsidR="00CC19FC" w:rsidRPr="003410C7" w:rsidRDefault="00CC19FC" w:rsidP="004B3534">
            <w:pPr>
              <w:pStyle w:val="TableText"/>
              <w:rPr>
                <w:rFonts w:ascii="Tahoma" w:hAnsi="Tahoma" w:cs="Tahoma"/>
                <w:sz w:val="13"/>
              </w:rPr>
            </w:pPr>
          </w:p>
        </w:tc>
        <w:tc>
          <w:tcPr>
            <w:tcW w:w="429" w:type="dxa"/>
            <w:tcBorders>
              <w:bottom w:val="single" w:sz="4" w:space="0" w:color="auto"/>
              <w:right w:val="single" w:sz="18" w:space="0" w:color="auto"/>
            </w:tcBorders>
            <w:shd w:val="clear" w:color="auto" w:fill="auto"/>
            <w:vAlign w:val="center"/>
          </w:tcPr>
          <w:p w:rsidR="00CC19FC" w:rsidRPr="003410C7" w:rsidRDefault="00CC19FC" w:rsidP="004B3534">
            <w:pPr>
              <w:pStyle w:val="TableText"/>
              <w:rPr>
                <w:rFonts w:ascii="Tahoma" w:hAnsi="Tahoma" w:cs="Tahoma"/>
                <w:sz w:val="13"/>
              </w:rPr>
            </w:pPr>
          </w:p>
        </w:tc>
        <w:tc>
          <w:tcPr>
            <w:tcW w:w="429" w:type="dxa"/>
            <w:tcBorders>
              <w:left w:val="single" w:sz="18" w:space="0" w:color="auto"/>
              <w:bottom w:val="single" w:sz="4" w:space="0" w:color="auto"/>
            </w:tcBorders>
            <w:shd w:val="clear" w:color="auto" w:fill="auto"/>
            <w:vAlign w:val="center"/>
          </w:tcPr>
          <w:p w:rsidR="00CC19FC" w:rsidRPr="003410C7" w:rsidRDefault="00CC19FC" w:rsidP="004B3534">
            <w:pPr>
              <w:pStyle w:val="TableText"/>
              <w:rPr>
                <w:rFonts w:ascii="Tahoma" w:hAnsi="Tahoma" w:cs="Tahoma"/>
                <w:sz w:val="13"/>
              </w:rPr>
            </w:pPr>
            <w:r w:rsidRPr="003410C7">
              <w:rPr>
                <w:rFonts w:ascii="Tahoma" w:hAnsi="Tahoma" w:cs="Tahoma"/>
                <w:sz w:val="13"/>
              </w:rPr>
              <w:t>1</w:t>
            </w:r>
          </w:p>
        </w:tc>
        <w:tc>
          <w:tcPr>
            <w:tcW w:w="429" w:type="dxa"/>
            <w:tcBorders>
              <w:bottom w:val="single" w:sz="4" w:space="0" w:color="auto"/>
            </w:tcBorders>
            <w:shd w:val="clear" w:color="auto" w:fill="auto"/>
            <w:vAlign w:val="center"/>
          </w:tcPr>
          <w:p w:rsidR="00CC19FC" w:rsidRPr="003410C7" w:rsidRDefault="00CC19FC" w:rsidP="004B3534">
            <w:pPr>
              <w:pStyle w:val="TableText"/>
              <w:rPr>
                <w:rFonts w:ascii="Tahoma" w:hAnsi="Tahoma" w:cs="Tahoma"/>
                <w:sz w:val="13"/>
              </w:rPr>
            </w:pPr>
          </w:p>
        </w:tc>
        <w:tc>
          <w:tcPr>
            <w:tcW w:w="442" w:type="dxa"/>
            <w:tcBorders>
              <w:bottom w:val="single" w:sz="4" w:space="0" w:color="auto"/>
              <w:right w:val="single" w:sz="18" w:space="0" w:color="auto"/>
            </w:tcBorders>
            <w:shd w:val="clear" w:color="auto" w:fill="auto"/>
            <w:vAlign w:val="center"/>
          </w:tcPr>
          <w:p w:rsidR="00CC19FC" w:rsidRPr="003410C7" w:rsidRDefault="00CC19FC" w:rsidP="004B3534">
            <w:pPr>
              <w:pStyle w:val="TableText"/>
              <w:rPr>
                <w:rFonts w:ascii="Tahoma" w:hAnsi="Tahoma" w:cs="Tahoma"/>
                <w:sz w:val="13"/>
              </w:rPr>
            </w:pPr>
          </w:p>
        </w:tc>
        <w:tc>
          <w:tcPr>
            <w:tcW w:w="495" w:type="dxa"/>
            <w:tcBorders>
              <w:left w:val="single" w:sz="18" w:space="0" w:color="auto"/>
              <w:bottom w:val="single" w:sz="4" w:space="0" w:color="auto"/>
            </w:tcBorders>
            <w:shd w:val="clear" w:color="auto" w:fill="auto"/>
            <w:vAlign w:val="center"/>
          </w:tcPr>
          <w:p w:rsidR="00CC19FC" w:rsidRPr="003410C7" w:rsidRDefault="00CC19FC" w:rsidP="004B3534">
            <w:pPr>
              <w:pStyle w:val="TableText"/>
              <w:rPr>
                <w:rFonts w:ascii="Tahoma" w:hAnsi="Tahoma" w:cs="Tahoma"/>
                <w:sz w:val="13"/>
              </w:rPr>
            </w:pPr>
          </w:p>
        </w:tc>
        <w:tc>
          <w:tcPr>
            <w:tcW w:w="459" w:type="dxa"/>
            <w:tcBorders>
              <w:bottom w:val="single" w:sz="4" w:space="0" w:color="auto"/>
              <w:right w:val="single" w:sz="18" w:space="0" w:color="auto"/>
            </w:tcBorders>
            <w:shd w:val="clear" w:color="auto" w:fill="auto"/>
            <w:vAlign w:val="center"/>
          </w:tcPr>
          <w:p w:rsidR="00CC19FC" w:rsidRPr="003410C7" w:rsidRDefault="00CC19FC" w:rsidP="004B3534">
            <w:pPr>
              <w:pStyle w:val="TableText"/>
              <w:rPr>
                <w:rFonts w:ascii="Tahoma" w:hAnsi="Tahoma" w:cs="Tahoma"/>
                <w:sz w:val="13"/>
              </w:rPr>
            </w:pPr>
          </w:p>
        </w:tc>
        <w:tc>
          <w:tcPr>
            <w:tcW w:w="360" w:type="dxa"/>
            <w:tcBorders>
              <w:left w:val="single" w:sz="18" w:space="0" w:color="auto"/>
              <w:bottom w:val="single" w:sz="4" w:space="0" w:color="auto"/>
              <w:right w:val="single" w:sz="18" w:space="0" w:color="auto"/>
            </w:tcBorders>
            <w:shd w:val="clear" w:color="auto" w:fill="auto"/>
            <w:vAlign w:val="center"/>
          </w:tcPr>
          <w:p w:rsidR="00CC19FC" w:rsidRPr="003410C7" w:rsidRDefault="00CC19FC" w:rsidP="004B3534">
            <w:pPr>
              <w:pStyle w:val="TableText"/>
              <w:rPr>
                <w:rFonts w:ascii="Tahoma" w:hAnsi="Tahoma" w:cs="Tahoma"/>
                <w:sz w:val="13"/>
              </w:rPr>
            </w:pPr>
          </w:p>
        </w:tc>
        <w:tc>
          <w:tcPr>
            <w:tcW w:w="474" w:type="dxa"/>
            <w:tcBorders>
              <w:bottom w:val="single" w:sz="4" w:space="0" w:color="auto"/>
            </w:tcBorders>
            <w:shd w:val="clear" w:color="auto" w:fill="auto"/>
            <w:vAlign w:val="center"/>
          </w:tcPr>
          <w:p w:rsidR="00CC19FC" w:rsidRPr="003410C7" w:rsidRDefault="00CC19FC" w:rsidP="00080B33">
            <w:pPr>
              <w:pStyle w:val="TableText"/>
              <w:rPr>
                <w:rFonts w:ascii="Tahoma" w:hAnsi="Tahoma" w:cs="Tahoma"/>
                <w:sz w:val="13"/>
              </w:rPr>
            </w:pPr>
          </w:p>
        </w:tc>
        <w:tc>
          <w:tcPr>
            <w:tcW w:w="514" w:type="dxa"/>
            <w:tcBorders>
              <w:bottom w:val="single" w:sz="4" w:space="0" w:color="auto"/>
            </w:tcBorders>
            <w:shd w:val="clear" w:color="auto" w:fill="auto"/>
            <w:vAlign w:val="center"/>
          </w:tcPr>
          <w:p w:rsidR="00CC19FC" w:rsidRPr="003410C7" w:rsidRDefault="00CC19FC" w:rsidP="004B3534">
            <w:pPr>
              <w:pStyle w:val="TableText"/>
              <w:rPr>
                <w:rFonts w:ascii="Tahoma" w:hAnsi="Tahoma" w:cs="Tahoma"/>
                <w:sz w:val="13"/>
              </w:rPr>
            </w:pPr>
          </w:p>
        </w:tc>
      </w:tr>
      <w:tr w:rsidR="00EF228F" w:rsidRPr="003410C7" w:rsidTr="002A074D">
        <w:trPr>
          <w:cantSplit/>
          <w:trHeight w:val="145"/>
        </w:trPr>
        <w:tc>
          <w:tcPr>
            <w:tcW w:w="2638" w:type="dxa"/>
            <w:tcBorders>
              <w:bottom w:val="single" w:sz="4" w:space="0" w:color="auto"/>
            </w:tcBorders>
            <w:shd w:val="clear" w:color="auto" w:fill="FABF8F"/>
          </w:tcPr>
          <w:p w:rsidR="00CC19FC" w:rsidRPr="00451078" w:rsidRDefault="00CC19FC" w:rsidP="003410C7">
            <w:pPr>
              <w:pStyle w:val="Heading3"/>
              <w:spacing w:beforeLines="20" w:before="48" w:afterLines="20" w:after="48"/>
              <w:rPr>
                <w:rFonts w:ascii="Tahoma" w:hAnsi="Tahoma" w:cs="Tahoma"/>
                <w:b w:val="0"/>
                <w:sz w:val="14"/>
                <w:lang w:val="it-IT"/>
              </w:rPr>
            </w:pPr>
            <w:bookmarkStart w:id="97" w:name="_Toc352234487"/>
            <w:r w:rsidRPr="00451078">
              <w:rPr>
                <w:rFonts w:ascii="Tahoma" w:hAnsi="Tahoma" w:cs="Tahoma"/>
                <w:b w:val="0"/>
                <w:sz w:val="14"/>
                <w:lang w:val="it-IT"/>
              </w:rPr>
              <w:t xml:space="preserve">Diritto di Noleggio per </w:t>
            </w:r>
            <w:r w:rsidR="002512AB" w:rsidRPr="00451078">
              <w:rPr>
                <w:rFonts w:ascii="Tahoma" w:hAnsi="Tahoma" w:cs="Tahoma"/>
                <w:b w:val="0"/>
                <w:sz w:val="14"/>
                <w:lang w:val="it-IT"/>
              </w:rPr>
              <w:br/>
            </w:r>
            <w:r w:rsidRPr="00451078">
              <w:rPr>
                <w:rFonts w:ascii="Tahoma" w:hAnsi="Tahoma" w:cs="Tahoma"/>
                <w:b w:val="0"/>
                <w:sz w:val="14"/>
                <w:lang w:val="it-IT"/>
              </w:rPr>
              <w:t>Office Professional Plus</w:t>
            </w:r>
            <w:bookmarkEnd w:id="97"/>
          </w:p>
        </w:tc>
        <w:tc>
          <w:tcPr>
            <w:tcW w:w="429" w:type="dxa"/>
            <w:tcBorders>
              <w:bottom w:val="single" w:sz="4" w:space="0" w:color="auto"/>
            </w:tcBorders>
            <w:shd w:val="clear" w:color="auto" w:fill="FABF8F"/>
            <w:vAlign w:val="center"/>
          </w:tcPr>
          <w:p w:rsidR="00CC19FC" w:rsidRPr="009F17FF" w:rsidRDefault="00FC1A4D" w:rsidP="0018541C">
            <w:pPr>
              <w:pStyle w:val="TableText"/>
              <w:widowControl w:val="0"/>
              <w:rPr>
                <w:rStyle w:val="EndnoteReference"/>
                <w:color w:val="0000FF"/>
                <w:sz w:val="13"/>
                <w:szCs w:val="13"/>
                <w:u w:val="single"/>
              </w:rPr>
            </w:pPr>
            <w:hyperlink w:anchor="_145_Rental_Rights" w:history="1">
              <w:r w:rsidR="000D77F6" w:rsidRPr="009F17FF">
                <w:rPr>
                  <w:rStyle w:val="Hyperlink"/>
                  <w:sz w:val="13"/>
                  <w:szCs w:val="13"/>
                </w:rPr>
                <w:t>14</w:t>
              </w:r>
            </w:hyperlink>
          </w:p>
        </w:tc>
        <w:tc>
          <w:tcPr>
            <w:tcW w:w="429" w:type="dxa"/>
            <w:tcBorders>
              <w:bottom w:val="single" w:sz="4" w:space="0" w:color="auto"/>
            </w:tcBorders>
            <w:shd w:val="clear" w:color="auto" w:fill="FABF8F"/>
            <w:vAlign w:val="center"/>
          </w:tcPr>
          <w:p w:rsidR="00CC19FC" w:rsidRPr="003410C7" w:rsidRDefault="00CC19FC" w:rsidP="004B3534">
            <w:pPr>
              <w:pStyle w:val="TableText"/>
              <w:spacing w:before="60" w:after="60"/>
              <w:rPr>
                <w:rFonts w:ascii="Tahoma" w:hAnsi="Tahoma" w:cs="Tahoma"/>
                <w:sz w:val="13"/>
              </w:rPr>
            </w:pPr>
            <w:r w:rsidRPr="003410C7">
              <w:rPr>
                <w:rFonts w:ascii="Tahoma" w:hAnsi="Tahoma" w:cs="Tahoma"/>
                <w:sz w:val="13"/>
              </w:rPr>
              <w:t>4/09</w:t>
            </w:r>
          </w:p>
        </w:tc>
        <w:tc>
          <w:tcPr>
            <w:tcW w:w="429" w:type="dxa"/>
            <w:tcBorders>
              <w:bottom w:val="single" w:sz="4" w:space="0" w:color="auto"/>
              <w:right w:val="single" w:sz="18" w:space="0" w:color="auto"/>
            </w:tcBorders>
            <w:shd w:val="clear" w:color="auto" w:fill="FABF8F"/>
            <w:vAlign w:val="center"/>
          </w:tcPr>
          <w:p w:rsidR="00CC19FC" w:rsidRPr="003410C7" w:rsidRDefault="00CC19FC" w:rsidP="004B3534">
            <w:pPr>
              <w:pStyle w:val="TableText"/>
              <w:rPr>
                <w:rFonts w:ascii="Tahoma" w:hAnsi="Tahoma" w:cs="Tahoma"/>
                <w:sz w:val="13"/>
              </w:rPr>
            </w:pPr>
            <w:r w:rsidRPr="003410C7">
              <w:rPr>
                <w:rFonts w:ascii="Tahoma" w:hAnsi="Tahoma" w:cs="Tahoma"/>
                <w:sz w:val="13"/>
              </w:rPr>
              <w:t>DT</w:t>
            </w:r>
          </w:p>
        </w:tc>
        <w:tc>
          <w:tcPr>
            <w:tcW w:w="429" w:type="dxa"/>
            <w:tcBorders>
              <w:left w:val="single" w:sz="18" w:space="0" w:color="auto"/>
              <w:bottom w:val="single" w:sz="4" w:space="0" w:color="auto"/>
            </w:tcBorders>
            <w:shd w:val="clear" w:color="auto" w:fill="FABF8F"/>
            <w:vAlign w:val="center"/>
          </w:tcPr>
          <w:p w:rsidR="00CC19FC" w:rsidRPr="003410C7" w:rsidRDefault="00CC19FC" w:rsidP="004B3534">
            <w:pPr>
              <w:pStyle w:val="TableText"/>
              <w:rPr>
                <w:rFonts w:ascii="Tahoma" w:hAnsi="Tahoma" w:cs="Tahoma"/>
                <w:sz w:val="13"/>
              </w:rPr>
            </w:pPr>
            <w:r w:rsidRPr="003410C7">
              <w:rPr>
                <w:rFonts w:ascii="Tahoma" w:hAnsi="Tahoma" w:cs="Tahoma"/>
                <w:sz w:val="13"/>
              </w:rPr>
              <w:t>1</w:t>
            </w:r>
          </w:p>
        </w:tc>
        <w:tc>
          <w:tcPr>
            <w:tcW w:w="429" w:type="dxa"/>
            <w:tcBorders>
              <w:bottom w:val="single" w:sz="4" w:space="0" w:color="auto"/>
            </w:tcBorders>
            <w:shd w:val="clear" w:color="auto" w:fill="FABF8F"/>
            <w:vAlign w:val="center"/>
          </w:tcPr>
          <w:p w:rsidR="00CC19FC" w:rsidRPr="003410C7" w:rsidRDefault="00CC19FC" w:rsidP="004B3534">
            <w:pPr>
              <w:pStyle w:val="TableText"/>
              <w:rPr>
                <w:rFonts w:ascii="Tahoma" w:hAnsi="Tahoma" w:cs="Tahoma"/>
                <w:sz w:val="13"/>
              </w:rPr>
            </w:pPr>
          </w:p>
        </w:tc>
        <w:tc>
          <w:tcPr>
            <w:tcW w:w="429" w:type="dxa"/>
            <w:tcBorders>
              <w:bottom w:val="single" w:sz="4" w:space="0" w:color="auto"/>
            </w:tcBorders>
            <w:shd w:val="clear" w:color="auto" w:fill="FABF8F"/>
            <w:vAlign w:val="center"/>
          </w:tcPr>
          <w:p w:rsidR="00CC19FC" w:rsidRPr="003410C7" w:rsidRDefault="00CC19FC" w:rsidP="004B3534">
            <w:pPr>
              <w:pStyle w:val="TableText"/>
              <w:rPr>
                <w:rFonts w:ascii="Tahoma" w:hAnsi="Tahoma" w:cs="Tahoma"/>
                <w:sz w:val="13"/>
              </w:rPr>
            </w:pPr>
          </w:p>
        </w:tc>
        <w:tc>
          <w:tcPr>
            <w:tcW w:w="429" w:type="dxa"/>
            <w:tcBorders>
              <w:bottom w:val="single" w:sz="4" w:space="0" w:color="auto"/>
            </w:tcBorders>
            <w:shd w:val="clear" w:color="auto" w:fill="FABF8F"/>
            <w:vAlign w:val="center"/>
          </w:tcPr>
          <w:p w:rsidR="00CC19FC" w:rsidRPr="003410C7" w:rsidRDefault="00CC19FC" w:rsidP="004B3534">
            <w:pPr>
              <w:pStyle w:val="TableText"/>
              <w:rPr>
                <w:rFonts w:ascii="Tahoma" w:hAnsi="Tahoma" w:cs="Tahoma"/>
                <w:sz w:val="13"/>
              </w:rPr>
            </w:pPr>
          </w:p>
        </w:tc>
        <w:tc>
          <w:tcPr>
            <w:tcW w:w="429" w:type="dxa"/>
            <w:tcBorders>
              <w:bottom w:val="single" w:sz="4" w:space="0" w:color="auto"/>
            </w:tcBorders>
            <w:shd w:val="clear" w:color="auto" w:fill="FABF8F"/>
            <w:vAlign w:val="center"/>
          </w:tcPr>
          <w:p w:rsidR="00CC19FC" w:rsidRPr="003410C7" w:rsidRDefault="00CC19FC" w:rsidP="004B3534">
            <w:pPr>
              <w:pStyle w:val="TableText"/>
              <w:rPr>
                <w:rFonts w:ascii="Tahoma" w:hAnsi="Tahoma" w:cs="Tahoma"/>
                <w:sz w:val="13"/>
              </w:rPr>
            </w:pPr>
          </w:p>
        </w:tc>
        <w:tc>
          <w:tcPr>
            <w:tcW w:w="429" w:type="dxa"/>
            <w:tcBorders>
              <w:bottom w:val="single" w:sz="4" w:space="0" w:color="auto"/>
            </w:tcBorders>
            <w:shd w:val="clear" w:color="auto" w:fill="FABF8F"/>
            <w:vAlign w:val="center"/>
          </w:tcPr>
          <w:p w:rsidR="00CC19FC" w:rsidRPr="003410C7" w:rsidRDefault="00CC19FC" w:rsidP="004B3534">
            <w:pPr>
              <w:pStyle w:val="TableText"/>
              <w:rPr>
                <w:rFonts w:ascii="Tahoma" w:hAnsi="Tahoma" w:cs="Tahoma"/>
                <w:sz w:val="13"/>
              </w:rPr>
            </w:pPr>
          </w:p>
        </w:tc>
        <w:tc>
          <w:tcPr>
            <w:tcW w:w="429" w:type="dxa"/>
            <w:tcBorders>
              <w:bottom w:val="single" w:sz="4" w:space="0" w:color="auto"/>
              <w:right w:val="single" w:sz="18" w:space="0" w:color="auto"/>
            </w:tcBorders>
            <w:shd w:val="clear" w:color="auto" w:fill="FABF8F"/>
            <w:vAlign w:val="center"/>
          </w:tcPr>
          <w:p w:rsidR="00CC19FC" w:rsidRPr="003410C7" w:rsidRDefault="00CC19FC" w:rsidP="004B3534">
            <w:pPr>
              <w:pStyle w:val="TableText"/>
              <w:rPr>
                <w:rFonts w:ascii="Tahoma" w:hAnsi="Tahoma" w:cs="Tahoma"/>
                <w:sz w:val="13"/>
              </w:rPr>
            </w:pPr>
          </w:p>
        </w:tc>
        <w:tc>
          <w:tcPr>
            <w:tcW w:w="429" w:type="dxa"/>
            <w:tcBorders>
              <w:left w:val="single" w:sz="18" w:space="0" w:color="auto"/>
              <w:bottom w:val="single" w:sz="4" w:space="0" w:color="auto"/>
            </w:tcBorders>
            <w:shd w:val="clear" w:color="auto" w:fill="FABF8F"/>
            <w:vAlign w:val="center"/>
          </w:tcPr>
          <w:p w:rsidR="00CC19FC" w:rsidRPr="003410C7" w:rsidRDefault="00CC19FC" w:rsidP="004B3534">
            <w:pPr>
              <w:pStyle w:val="TableText"/>
              <w:rPr>
                <w:rFonts w:ascii="Tahoma" w:hAnsi="Tahoma" w:cs="Tahoma"/>
                <w:sz w:val="13"/>
              </w:rPr>
            </w:pPr>
            <w:r w:rsidRPr="003410C7">
              <w:rPr>
                <w:rFonts w:ascii="Tahoma" w:hAnsi="Tahoma" w:cs="Tahoma"/>
                <w:sz w:val="13"/>
              </w:rPr>
              <w:t>1</w:t>
            </w:r>
          </w:p>
        </w:tc>
        <w:tc>
          <w:tcPr>
            <w:tcW w:w="429" w:type="dxa"/>
            <w:tcBorders>
              <w:bottom w:val="single" w:sz="4" w:space="0" w:color="auto"/>
            </w:tcBorders>
            <w:shd w:val="clear" w:color="auto" w:fill="FABF8F"/>
            <w:vAlign w:val="center"/>
          </w:tcPr>
          <w:p w:rsidR="00CC19FC" w:rsidRPr="003410C7" w:rsidRDefault="00CC19FC" w:rsidP="004B3534">
            <w:pPr>
              <w:pStyle w:val="TableText"/>
              <w:rPr>
                <w:rFonts w:ascii="Tahoma" w:hAnsi="Tahoma" w:cs="Tahoma"/>
                <w:sz w:val="13"/>
              </w:rPr>
            </w:pPr>
          </w:p>
        </w:tc>
        <w:tc>
          <w:tcPr>
            <w:tcW w:w="442" w:type="dxa"/>
            <w:tcBorders>
              <w:bottom w:val="single" w:sz="4" w:space="0" w:color="auto"/>
              <w:right w:val="single" w:sz="18" w:space="0" w:color="auto"/>
            </w:tcBorders>
            <w:shd w:val="clear" w:color="auto" w:fill="FABF8F"/>
            <w:vAlign w:val="center"/>
          </w:tcPr>
          <w:p w:rsidR="00CC19FC" w:rsidRPr="003410C7" w:rsidRDefault="00CC19FC" w:rsidP="004B3534">
            <w:pPr>
              <w:pStyle w:val="TableText"/>
              <w:rPr>
                <w:rFonts w:ascii="Tahoma" w:hAnsi="Tahoma" w:cs="Tahoma"/>
                <w:sz w:val="13"/>
              </w:rPr>
            </w:pPr>
          </w:p>
        </w:tc>
        <w:tc>
          <w:tcPr>
            <w:tcW w:w="495" w:type="dxa"/>
            <w:tcBorders>
              <w:left w:val="single" w:sz="18" w:space="0" w:color="auto"/>
              <w:bottom w:val="single" w:sz="4" w:space="0" w:color="auto"/>
            </w:tcBorders>
            <w:shd w:val="clear" w:color="auto" w:fill="FABF8F"/>
            <w:vAlign w:val="center"/>
          </w:tcPr>
          <w:p w:rsidR="00CC19FC" w:rsidRPr="003410C7" w:rsidRDefault="00CC19FC" w:rsidP="004B3534">
            <w:pPr>
              <w:pStyle w:val="TableText"/>
              <w:rPr>
                <w:rFonts w:ascii="Tahoma" w:hAnsi="Tahoma" w:cs="Tahoma"/>
                <w:sz w:val="13"/>
              </w:rPr>
            </w:pPr>
          </w:p>
        </w:tc>
        <w:tc>
          <w:tcPr>
            <w:tcW w:w="459" w:type="dxa"/>
            <w:tcBorders>
              <w:bottom w:val="single" w:sz="4" w:space="0" w:color="auto"/>
              <w:right w:val="single" w:sz="18" w:space="0" w:color="auto"/>
            </w:tcBorders>
            <w:shd w:val="clear" w:color="auto" w:fill="FABF8F"/>
            <w:vAlign w:val="center"/>
          </w:tcPr>
          <w:p w:rsidR="00CC19FC" w:rsidRPr="003410C7" w:rsidRDefault="00CC19FC" w:rsidP="004B3534">
            <w:pPr>
              <w:pStyle w:val="TableText"/>
              <w:rPr>
                <w:rFonts w:ascii="Tahoma" w:hAnsi="Tahoma" w:cs="Tahoma"/>
                <w:sz w:val="13"/>
              </w:rPr>
            </w:pPr>
          </w:p>
        </w:tc>
        <w:tc>
          <w:tcPr>
            <w:tcW w:w="360" w:type="dxa"/>
            <w:tcBorders>
              <w:left w:val="single" w:sz="18" w:space="0" w:color="auto"/>
              <w:bottom w:val="single" w:sz="4" w:space="0" w:color="auto"/>
              <w:right w:val="single" w:sz="18" w:space="0" w:color="auto"/>
            </w:tcBorders>
            <w:shd w:val="clear" w:color="auto" w:fill="FABF8F"/>
            <w:vAlign w:val="center"/>
          </w:tcPr>
          <w:p w:rsidR="00CC19FC" w:rsidRPr="003410C7" w:rsidRDefault="00CC19FC" w:rsidP="004B3534">
            <w:pPr>
              <w:pStyle w:val="TableText"/>
              <w:rPr>
                <w:rFonts w:ascii="Tahoma" w:hAnsi="Tahoma" w:cs="Tahoma"/>
                <w:sz w:val="13"/>
              </w:rPr>
            </w:pPr>
          </w:p>
        </w:tc>
        <w:tc>
          <w:tcPr>
            <w:tcW w:w="474" w:type="dxa"/>
            <w:tcBorders>
              <w:bottom w:val="single" w:sz="4" w:space="0" w:color="auto"/>
            </w:tcBorders>
            <w:shd w:val="clear" w:color="auto" w:fill="FABF8F"/>
            <w:vAlign w:val="center"/>
          </w:tcPr>
          <w:p w:rsidR="00CC19FC" w:rsidRPr="003410C7" w:rsidRDefault="00CC19FC" w:rsidP="00080B33">
            <w:pPr>
              <w:pStyle w:val="TableText"/>
              <w:rPr>
                <w:rFonts w:ascii="Tahoma" w:hAnsi="Tahoma" w:cs="Tahoma"/>
                <w:sz w:val="13"/>
              </w:rPr>
            </w:pPr>
          </w:p>
        </w:tc>
        <w:tc>
          <w:tcPr>
            <w:tcW w:w="514" w:type="dxa"/>
            <w:tcBorders>
              <w:bottom w:val="single" w:sz="4" w:space="0" w:color="auto"/>
            </w:tcBorders>
            <w:shd w:val="clear" w:color="auto" w:fill="FABF8F"/>
            <w:vAlign w:val="center"/>
          </w:tcPr>
          <w:p w:rsidR="00CC19FC" w:rsidRPr="003410C7" w:rsidRDefault="00CC19FC" w:rsidP="004B3534">
            <w:pPr>
              <w:pStyle w:val="TableText"/>
              <w:rPr>
                <w:rFonts w:ascii="Tahoma" w:hAnsi="Tahoma" w:cs="Tahoma"/>
                <w:sz w:val="13"/>
              </w:rPr>
            </w:pPr>
          </w:p>
        </w:tc>
      </w:tr>
      <w:tr w:rsidR="00CC19FC" w:rsidRPr="003410C7" w:rsidTr="002A074D">
        <w:trPr>
          <w:cantSplit/>
          <w:trHeight w:val="145"/>
        </w:trPr>
        <w:tc>
          <w:tcPr>
            <w:tcW w:w="2638" w:type="dxa"/>
            <w:tcBorders>
              <w:bottom w:val="single" w:sz="4" w:space="0" w:color="auto"/>
            </w:tcBorders>
            <w:shd w:val="clear" w:color="auto" w:fill="auto"/>
          </w:tcPr>
          <w:p w:rsidR="00CC19FC" w:rsidRPr="003410C7" w:rsidRDefault="00CC19FC" w:rsidP="003410C7">
            <w:pPr>
              <w:pStyle w:val="Heading3"/>
              <w:spacing w:beforeLines="20" w:before="48" w:afterLines="20" w:after="48"/>
              <w:rPr>
                <w:rFonts w:ascii="Tahoma" w:hAnsi="Tahoma" w:cs="Tahoma"/>
                <w:b w:val="0"/>
                <w:sz w:val="14"/>
              </w:rPr>
            </w:pPr>
            <w:bookmarkStart w:id="98" w:name="_Toc336337884"/>
            <w:bookmarkStart w:id="99" w:name="_Toc352234488"/>
            <w:r w:rsidRPr="003410C7">
              <w:rPr>
                <w:rFonts w:ascii="Tahoma" w:hAnsi="Tahoma" w:cs="Tahoma"/>
                <w:b w:val="0"/>
                <w:sz w:val="14"/>
              </w:rPr>
              <w:t>Streets and Trips 2013</w:t>
            </w:r>
            <w:bookmarkEnd w:id="98"/>
            <w:bookmarkEnd w:id="99"/>
          </w:p>
        </w:tc>
        <w:tc>
          <w:tcPr>
            <w:tcW w:w="429" w:type="dxa"/>
            <w:tcBorders>
              <w:bottom w:val="single" w:sz="4" w:space="0" w:color="auto"/>
            </w:tcBorders>
            <w:shd w:val="clear" w:color="auto" w:fill="auto"/>
            <w:vAlign w:val="center"/>
          </w:tcPr>
          <w:p w:rsidR="00CC19FC" w:rsidRPr="009F17FF" w:rsidRDefault="00CC19FC" w:rsidP="00D353E6">
            <w:pPr>
              <w:pStyle w:val="TableText"/>
              <w:widowControl w:val="0"/>
              <w:rPr>
                <w:rStyle w:val="EndnoteReference"/>
                <w:color w:val="0000FF"/>
                <w:sz w:val="13"/>
                <w:szCs w:val="13"/>
                <w:u w:val="single"/>
              </w:rPr>
            </w:pPr>
          </w:p>
        </w:tc>
        <w:tc>
          <w:tcPr>
            <w:tcW w:w="429" w:type="dxa"/>
            <w:tcBorders>
              <w:bottom w:val="single" w:sz="4" w:space="0" w:color="auto"/>
            </w:tcBorders>
            <w:shd w:val="clear" w:color="auto" w:fill="auto"/>
            <w:vAlign w:val="center"/>
          </w:tcPr>
          <w:p w:rsidR="00CC19FC" w:rsidRPr="003410C7" w:rsidRDefault="00CC19FC" w:rsidP="00097B90">
            <w:pPr>
              <w:pStyle w:val="TableText"/>
              <w:spacing w:before="60" w:after="60"/>
              <w:rPr>
                <w:rFonts w:ascii="Tahoma" w:hAnsi="Tahoma" w:cs="Tahoma"/>
                <w:sz w:val="13"/>
              </w:rPr>
            </w:pPr>
            <w:r w:rsidRPr="003410C7">
              <w:rPr>
                <w:rFonts w:ascii="Tahoma" w:hAnsi="Tahoma" w:cs="Tahoma"/>
                <w:sz w:val="13"/>
              </w:rPr>
              <w:t>03/11</w:t>
            </w:r>
          </w:p>
        </w:tc>
        <w:tc>
          <w:tcPr>
            <w:tcW w:w="429" w:type="dxa"/>
            <w:tcBorders>
              <w:bottom w:val="single" w:sz="4" w:space="0" w:color="auto"/>
              <w:right w:val="single" w:sz="18" w:space="0" w:color="auto"/>
            </w:tcBorders>
            <w:shd w:val="clear" w:color="auto" w:fill="auto"/>
            <w:vAlign w:val="center"/>
          </w:tcPr>
          <w:p w:rsidR="00CC19FC" w:rsidRPr="003410C7" w:rsidRDefault="00CC19FC" w:rsidP="004B3534">
            <w:pPr>
              <w:pStyle w:val="TableText"/>
              <w:rPr>
                <w:rFonts w:ascii="Tahoma" w:hAnsi="Tahoma" w:cs="Tahoma"/>
                <w:sz w:val="13"/>
              </w:rPr>
            </w:pPr>
            <w:r w:rsidRPr="003410C7">
              <w:rPr>
                <w:rFonts w:ascii="Tahoma" w:hAnsi="Tahoma" w:cs="Tahoma"/>
                <w:sz w:val="13"/>
              </w:rPr>
              <w:t>DT</w:t>
            </w:r>
          </w:p>
        </w:tc>
        <w:tc>
          <w:tcPr>
            <w:tcW w:w="429" w:type="dxa"/>
            <w:tcBorders>
              <w:left w:val="single" w:sz="18" w:space="0" w:color="auto"/>
              <w:bottom w:val="single" w:sz="4" w:space="0" w:color="auto"/>
            </w:tcBorders>
            <w:shd w:val="clear" w:color="auto" w:fill="auto"/>
            <w:vAlign w:val="center"/>
          </w:tcPr>
          <w:p w:rsidR="00CC19FC" w:rsidRPr="003410C7" w:rsidRDefault="00CC19FC" w:rsidP="004B3534">
            <w:pPr>
              <w:pStyle w:val="TableText"/>
              <w:rPr>
                <w:rFonts w:ascii="Tahoma" w:hAnsi="Tahoma" w:cs="Tahoma"/>
                <w:sz w:val="13"/>
              </w:rPr>
            </w:pPr>
            <w:r w:rsidRPr="003410C7">
              <w:rPr>
                <w:rFonts w:ascii="Tahoma" w:hAnsi="Tahoma" w:cs="Tahoma"/>
                <w:sz w:val="13"/>
              </w:rPr>
              <w:t>1</w:t>
            </w:r>
          </w:p>
        </w:tc>
        <w:tc>
          <w:tcPr>
            <w:tcW w:w="429" w:type="dxa"/>
            <w:tcBorders>
              <w:bottom w:val="single" w:sz="4" w:space="0" w:color="auto"/>
            </w:tcBorders>
            <w:shd w:val="clear" w:color="auto" w:fill="auto"/>
            <w:vAlign w:val="center"/>
          </w:tcPr>
          <w:p w:rsidR="00CC19FC" w:rsidRPr="003410C7" w:rsidRDefault="00CC19FC" w:rsidP="004B3534">
            <w:pPr>
              <w:pStyle w:val="TableText"/>
              <w:rPr>
                <w:rFonts w:ascii="Tahoma" w:hAnsi="Tahoma" w:cs="Tahoma"/>
                <w:sz w:val="13"/>
              </w:rPr>
            </w:pPr>
            <w:r w:rsidRPr="003410C7">
              <w:rPr>
                <w:rFonts w:ascii="Tahoma" w:hAnsi="Tahoma" w:cs="Tahoma"/>
                <w:sz w:val="13"/>
              </w:rPr>
              <w:t>3</w:t>
            </w:r>
          </w:p>
        </w:tc>
        <w:tc>
          <w:tcPr>
            <w:tcW w:w="429" w:type="dxa"/>
            <w:tcBorders>
              <w:bottom w:val="single" w:sz="4" w:space="0" w:color="auto"/>
            </w:tcBorders>
            <w:shd w:val="clear" w:color="auto" w:fill="auto"/>
            <w:vAlign w:val="center"/>
          </w:tcPr>
          <w:p w:rsidR="00CC19FC" w:rsidRPr="003410C7" w:rsidRDefault="00CC19FC" w:rsidP="004B3534">
            <w:pPr>
              <w:pStyle w:val="TableText"/>
              <w:rPr>
                <w:rFonts w:ascii="Tahoma" w:hAnsi="Tahoma" w:cs="Tahoma"/>
                <w:sz w:val="13"/>
              </w:rPr>
            </w:pPr>
            <w:r w:rsidRPr="003410C7">
              <w:rPr>
                <w:rFonts w:ascii="Tahoma" w:hAnsi="Tahoma" w:cs="Tahoma"/>
                <w:sz w:val="13"/>
              </w:rPr>
              <w:t>2</w:t>
            </w:r>
          </w:p>
        </w:tc>
        <w:tc>
          <w:tcPr>
            <w:tcW w:w="429" w:type="dxa"/>
            <w:tcBorders>
              <w:bottom w:val="single" w:sz="4" w:space="0" w:color="auto"/>
            </w:tcBorders>
            <w:shd w:val="clear" w:color="auto" w:fill="auto"/>
            <w:vAlign w:val="center"/>
          </w:tcPr>
          <w:p w:rsidR="00CC19FC" w:rsidRPr="003410C7" w:rsidRDefault="00CC19FC" w:rsidP="004B3534">
            <w:pPr>
              <w:pStyle w:val="TableText"/>
              <w:rPr>
                <w:rFonts w:ascii="Tahoma" w:hAnsi="Tahoma" w:cs="Tahoma"/>
                <w:sz w:val="13"/>
              </w:rPr>
            </w:pPr>
            <w:r w:rsidRPr="003410C7">
              <w:rPr>
                <w:rFonts w:ascii="Tahoma" w:hAnsi="Tahoma" w:cs="Tahoma"/>
                <w:sz w:val="13"/>
              </w:rPr>
              <w:t>2</w:t>
            </w:r>
          </w:p>
        </w:tc>
        <w:tc>
          <w:tcPr>
            <w:tcW w:w="429" w:type="dxa"/>
            <w:tcBorders>
              <w:bottom w:val="single" w:sz="4" w:space="0" w:color="auto"/>
            </w:tcBorders>
            <w:shd w:val="clear" w:color="auto" w:fill="auto"/>
            <w:vAlign w:val="center"/>
          </w:tcPr>
          <w:p w:rsidR="00CC19FC" w:rsidRPr="003410C7" w:rsidRDefault="00CC19FC" w:rsidP="004B3534">
            <w:pPr>
              <w:pStyle w:val="TableText"/>
              <w:rPr>
                <w:rFonts w:ascii="Tahoma" w:hAnsi="Tahoma" w:cs="Tahoma"/>
                <w:sz w:val="13"/>
              </w:rPr>
            </w:pPr>
            <w:r w:rsidRPr="003410C7">
              <w:rPr>
                <w:rFonts w:ascii="Tahoma" w:hAnsi="Tahoma" w:cs="Tahoma"/>
                <w:sz w:val="13"/>
              </w:rPr>
              <w:t>2</w:t>
            </w:r>
          </w:p>
        </w:tc>
        <w:tc>
          <w:tcPr>
            <w:tcW w:w="429" w:type="dxa"/>
            <w:tcBorders>
              <w:bottom w:val="single" w:sz="4" w:space="0" w:color="auto"/>
            </w:tcBorders>
            <w:shd w:val="clear" w:color="auto" w:fill="auto"/>
            <w:vAlign w:val="center"/>
          </w:tcPr>
          <w:p w:rsidR="00CC19FC" w:rsidRPr="003410C7" w:rsidRDefault="00CC19FC" w:rsidP="004B3534">
            <w:pPr>
              <w:pStyle w:val="TableText"/>
              <w:rPr>
                <w:rFonts w:ascii="Tahoma" w:hAnsi="Tahoma" w:cs="Tahoma"/>
                <w:sz w:val="13"/>
              </w:rPr>
            </w:pPr>
            <w:r w:rsidRPr="003410C7">
              <w:rPr>
                <w:rFonts w:ascii="Tahoma" w:hAnsi="Tahoma" w:cs="Tahoma"/>
                <w:sz w:val="13"/>
              </w:rPr>
              <w:t>1</w:t>
            </w:r>
          </w:p>
        </w:tc>
        <w:tc>
          <w:tcPr>
            <w:tcW w:w="429" w:type="dxa"/>
            <w:tcBorders>
              <w:bottom w:val="single" w:sz="4" w:space="0" w:color="auto"/>
              <w:right w:val="single" w:sz="18" w:space="0" w:color="auto"/>
            </w:tcBorders>
            <w:shd w:val="clear" w:color="auto" w:fill="auto"/>
            <w:vAlign w:val="center"/>
          </w:tcPr>
          <w:p w:rsidR="00CC19FC" w:rsidRPr="003410C7" w:rsidRDefault="00CC19FC" w:rsidP="004B3534">
            <w:pPr>
              <w:pStyle w:val="TableText"/>
              <w:rPr>
                <w:rFonts w:ascii="Tahoma" w:hAnsi="Tahoma" w:cs="Tahoma"/>
                <w:sz w:val="13"/>
              </w:rPr>
            </w:pPr>
            <w:r w:rsidRPr="003410C7">
              <w:rPr>
                <w:rFonts w:ascii="Tahoma" w:hAnsi="Tahoma" w:cs="Tahoma"/>
                <w:sz w:val="13"/>
              </w:rPr>
              <w:t>1</w:t>
            </w:r>
          </w:p>
        </w:tc>
        <w:tc>
          <w:tcPr>
            <w:tcW w:w="429" w:type="dxa"/>
            <w:tcBorders>
              <w:left w:val="single" w:sz="18" w:space="0" w:color="auto"/>
              <w:bottom w:val="single" w:sz="4" w:space="0" w:color="auto"/>
            </w:tcBorders>
            <w:shd w:val="clear" w:color="auto" w:fill="auto"/>
            <w:vAlign w:val="center"/>
          </w:tcPr>
          <w:p w:rsidR="00CC19FC" w:rsidRPr="003410C7" w:rsidRDefault="00CC19FC" w:rsidP="004B3534">
            <w:pPr>
              <w:pStyle w:val="TableText"/>
              <w:rPr>
                <w:rFonts w:ascii="Tahoma" w:hAnsi="Tahoma" w:cs="Tahoma"/>
                <w:sz w:val="13"/>
              </w:rPr>
            </w:pPr>
            <w:r w:rsidRPr="003410C7">
              <w:rPr>
                <w:rFonts w:ascii="Tahoma" w:hAnsi="Tahoma" w:cs="Tahoma"/>
                <w:sz w:val="13"/>
              </w:rPr>
              <w:t>1</w:t>
            </w:r>
          </w:p>
        </w:tc>
        <w:tc>
          <w:tcPr>
            <w:tcW w:w="429" w:type="dxa"/>
            <w:tcBorders>
              <w:bottom w:val="single" w:sz="4" w:space="0" w:color="auto"/>
            </w:tcBorders>
            <w:shd w:val="clear" w:color="auto" w:fill="auto"/>
            <w:vAlign w:val="center"/>
          </w:tcPr>
          <w:p w:rsidR="00CC19FC" w:rsidRPr="003410C7" w:rsidRDefault="00CC19FC" w:rsidP="004B3534">
            <w:pPr>
              <w:pStyle w:val="TableText"/>
              <w:rPr>
                <w:rFonts w:ascii="Tahoma" w:hAnsi="Tahoma" w:cs="Tahoma"/>
                <w:sz w:val="13"/>
              </w:rPr>
            </w:pPr>
            <w:r w:rsidRPr="003410C7">
              <w:rPr>
                <w:rFonts w:ascii="Tahoma" w:hAnsi="Tahoma" w:cs="Tahoma"/>
                <w:sz w:val="13"/>
              </w:rPr>
              <w:t>2</w:t>
            </w:r>
          </w:p>
        </w:tc>
        <w:tc>
          <w:tcPr>
            <w:tcW w:w="442" w:type="dxa"/>
            <w:tcBorders>
              <w:bottom w:val="single" w:sz="4" w:space="0" w:color="auto"/>
              <w:right w:val="single" w:sz="18" w:space="0" w:color="auto"/>
            </w:tcBorders>
            <w:shd w:val="clear" w:color="auto" w:fill="auto"/>
            <w:vAlign w:val="center"/>
          </w:tcPr>
          <w:p w:rsidR="00CC19FC" w:rsidRPr="003410C7" w:rsidRDefault="00CC19FC" w:rsidP="004B3534">
            <w:pPr>
              <w:pStyle w:val="TableText"/>
              <w:rPr>
                <w:rFonts w:ascii="Tahoma" w:hAnsi="Tahoma" w:cs="Tahoma"/>
                <w:sz w:val="13"/>
              </w:rPr>
            </w:pPr>
            <w:r w:rsidRPr="003410C7">
              <w:rPr>
                <w:rFonts w:ascii="Tahoma" w:hAnsi="Tahoma" w:cs="Tahoma"/>
                <w:sz w:val="13"/>
              </w:rPr>
              <w:t>1</w:t>
            </w:r>
          </w:p>
        </w:tc>
        <w:tc>
          <w:tcPr>
            <w:tcW w:w="495" w:type="dxa"/>
            <w:tcBorders>
              <w:left w:val="single" w:sz="18" w:space="0" w:color="auto"/>
              <w:bottom w:val="single" w:sz="4" w:space="0" w:color="auto"/>
            </w:tcBorders>
            <w:shd w:val="clear" w:color="auto" w:fill="auto"/>
            <w:vAlign w:val="center"/>
          </w:tcPr>
          <w:p w:rsidR="00CC19FC" w:rsidRPr="003410C7" w:rsidRDefault="00CC19FC" w:rsidP="004B3534">
            <w:pPr>
              <w:pStyle w:val="TableText"/>
              <w:rPr>
                <w:rFonts w:ascii="Tahoma" w:hAnsi="Tahoma" w:cs="Tahoma"/>
                <w:sz w:val="13"/>
              </w:rPr>
            </w:pPr>
            <w:r w:rsidRPr="003410C7">
              <w:rPr>
                <w:rFonts w:ascii="Tahoma" w:hAnsi="Tahoma" w:cs="Tahoma"/>
                <w:sz w:val="13"/>
              </w:rPr>
              <w:t>1</w:t>
            </w:r>
          </w:p>
        </w:tc>
        <w:tc>
          <w:tcPr>
            <w:tcW w:w="459" w:type="dxa"/>
            <w:tcBorders>
              <w:bottom w:val="single" w:sz="4" w:space="0" w:color="auto"/>
              <w:right w:val="single" w:sz="18" w:space="0" w:color="auto"/>
            </w:tcBorders>
            <w:shd w:val="clear" w:color="auto" w:fill="auto"/>
            <w:vAlign w:val="center"/>
          </w:tcPr>
          <w:p w:rsidR="00CC19FC" w:rsidRPr="003410C7" w:rsidRDefault="00CC19FC" w:rsidP="004B3534">
            <w:pPr>
              <w:pStyle w:val="TableText"/>
              <w:rPr>
                <w:rFonts w:ascii="Tahoma" w:hAnsi="Tahoma" w:cs="Tahoma"/>
                <w:sz w:val="13"/>
              </w:rPr>
            </w:pPr>
            <w:r w:rsidRPr="003410C7">
              <w:rPr>
                <w:rFonts w:ascii="Tahoma" w:hAnsi="Tahoma" w:cs="Tahoma"/>
                <w:sz w:val="13"/>
              </w:rPr>
              <w:t>A</w:t>
            </w:r>
          </w:p>
        </w:tc>
        <w:tc>
          <w:tcPr>
            <w:tcW w:w="360" w:type="dxa"/>
            <w:tcBorders>
              <w:left w:val="single" w:sz="18" w:space="0" w:color="auto"/>
              <w:bottom w:val="single" w:sz="4" w:space="0" w:color="auto"/>
              <w:right w:val="single" w:sz="18" w:space="0" w:color="auto"/>
            </w:tcBorders>
            <w:shd w:val="clear" w:color="auto" w:fill="auto"/>
            <w:vAlign w:val="center"/>
          </w:tcPr>
          <w:p w:rsidR="00CC19FC" w:rsidRPr="003410C7" w:rsidRDefault="00CC19FC" w:rsidP="004B3534">
            <w:pPr>
              <w:pStyle w:val="TableText"/>
              <w:rPr>
                <w:rFonts w:ascii="Tahoma" w:hAnsi="Tahoma" w:cs="Tahoma"/>
                <w:sz w:val="13"/>
              </w:rPr>
            </w:pPr>
            <w:r w:rsidRPr="003410C7">
              <w:rPr>
                <w:rFonts w:ascii="Tahoma" w:hAnsi="Tahoma" w:cs="Tahoma"/>
                <w:sz w:val="13"/>
              </w:rPr>
              <w:t>P</w:t>
            </w:r>
          </w:p>
        </w:tc>
        <w:tc>
          <w:tcPr>
            <w:tcW w:w="474" w:type="dxa"/>
            <w:tcBorders>
              <w:bottom w:val="single" w:sz="4" w:space="0" w:color="auto"/>
            </w:tcBorders>
            <w:shd w:val="clear" w:color="auto" w:fill="auto"/>
            <w:vAlign w:val="center"/>
          </w:tcPr>
          <w:p w:rsidR="00CC19FC" w:rsidRPr="003410C7" w:rsidRDefault="00CC19FC" w:rsidP="00080B33">
            <w:pPr>
              <w:pStyle w:val="TableText"/>
              <w:rPr>
                <w:rFonts w:ascii="Tahoma" w:hAnsi="Tahoma" w:cs="Tahoma"/>
                <w:sz w:val="13"/>
              </w:rPr>
            </w:pPr>
            <w:r w:rsidRPr="003410C7">
              <w:rPr>
                <w:rFonts w:ascii="Tahoma" w:hAnsi="Tahoma" w:cs="Tahoma"/>
                <w:sz w:val="13"/>
              </w:rPr>
              <w:t>A, ST</w:t>
            </w:r>
          </w:p>
        </w:tc>
        <w:tc>
          <w:tcPr>
            <w:tcW w:w="514" w:type="dxa"/>
            <w:tcBorders>
              <w:bottom w:val="single" w:sz="4" w:space="0" w:color="auto"/>
            </w:tcBorders>
            <w:shd w:val="clear" w:color="auto" w:fill="auto"/>
            <w:vAlign w:val="center"/>
          </w:tcPr>
          <w:p w:rsidR="00CC19FC" w:rsidRPr="003410C7" w:rsidRDefault="00CC19FC" w:rsidP="004B3534">
            <w:pPr>
              <w:pStyle w:val="TableText"/>
              <w:rPr>
                <w:rFonts w:ascii="Tahoma" w:hAnsi="Tahoma" w:cs="Tahoma"/>
                <w:sz w:val="13"/>
              </w:rPr>
            </w:pPr>
          </w:p>
        </w:tc>
      </w:tr>
      <w:tr w:rsidR="00EF228F" w:rsidRPr="003410C7" w:rsidTr="002A074D">
        <w:trPr>
          <w:cantSplit/>
          <w:trHeight w:val="145"/>
        </w:trPr>
        <w:tc>
          <w:tcPr>
            <w:tcW w:w="2638" w:type="dxa"/>
            <w:tcBorders>
              <w:bottom w:val="single" w:sz="4" w:space="0" w:color="auto"/>
            </w:tcBorders>
            <w:shd w:val="clear" w:color="auto" w:fill="FABF8F"/>
          </w:tcPr>
          <w:p w:rsidR="005F584F" w:rsidRPr="003410C7" w:rsidRDefault="005F584F" w:rsidP="003410C7">
            <w:pPr>
              <w:pStyle w:val="Heading3"/>
              <w:spacing w:beforeLines="20" w:before="48" w:afterLines="20" w:after="48"/>
              <w:rPr>
                <w:rFonts w:ascii="Tahoma" w:hAnsi="Tahoma" w:cs="Tahoma"/>
                <w:b w:val="0"/>
                <w:sz w:val="14"/>
              </w:rPr>
            </w:pPr>
            <w:bookmarkStart w:id="100" w:name="_Toc352234489"/>
            <w:r w:rsidRPr="003410C7">
              <w:rPr>
                <w:rFonts w:ascii="Tahoma" w:hAnsi="Tahoma" w:cs="Tahoma"/>
                <w:b w:val="0"/>
                <w:sz w:val="14"/>
              </w:rPr>
              <w:t>TechNet Plus Direct</w:t>
            </w:r>
            <w:bookmarkEnd w:id="100"/>
            <w:r w:rsidRPr="003410C7">
              <w:rPr>
                <w:rFonts w:ascii="Tahoma" w:hAnsi="Tahoma" w:cs="Tahoma"/>
                <w:b w:val="0"/>
                <w:sz w:val="14"/>
              </w:rPr>
              <w:t xml:space="preserve"> </w:t>
            </w:r>
          </w:p>
        </w:tc>
        <w:tc>
          <w:tcPr>
            <w:tcW w:w="429" w:type="dxa"/>
            <w:tcBorders>
              <w:bottom w:val="single" w:sz="4" w:space="0" w:color="auto"/>
            </w:tcBorders>
            <w:shd w:val="clear" w:color="auto" w:fill="FABF8F"/>
            <w:vAlign w:val="center"/>
          </w:tcPr>
          <w:p w:rsidR="005F584F" w:rsidRPr="009F17FF" w:rsidRDefault="005F584F" w:rsidP="005F584F">
            <w:pPr>
              <w:pStyle w:val="TableText"/>
              <w:widowControl w:val="0"/>
              <w:rPr>
                <w:sz w:val="13"/>
                <w:szCs w:val="13"/>
              </w:rPr>
            </w:pPr>
          </w:p>
        </w:tc>
        <w:tc>
          <w:tcPr>
            <w:tcW w:w="429" w:type="dxa"/>
            <w:tcBorders>
              <w:bottom w:val="single" w:sz="4" w:space="0" w:color="auto"/>
            </w:tcBorders>
            <w:shd w:val="clear" w:color="auto" w:fill="FABF8F"/>
            <w:vAlign w:val="center"/>
          </w:tcPr>
          <w:p w:rsidR="005F584F" w:rsidRPr="003410C7" w:rsidRDefault="005F584F" w:rsidP="005F584F">
            <w:pPr>
              <w:pStyle w:val="TableText"/>
              <w:spacing w:before="60" w:after="60"/>
              <w:rPr>
                <w:rFonts w:ascii="Tahoma" w:hAnsi="Tahoma" w:cs="Tahoma"/>
                <w:sz w:val="13"/>
              </w:rPr>
            </w:pPr>
            <w:r w:rsidRPr="003410C7">
              <w:rPr>
                <w:rFonts w:ascii="Tahoma" w:hAnsi="Tahoma" w:cs="Tahoma"/>
                <w:sz w:val="13"/>
              </w:rPr>
              <w:t>08/06</w:t>
            </w:r>
          </w:p>
        </w:tc>
        <w:tc>
          <w:tcPr>
            <w:tcW w:w="429" w:type="dxa"/>
            <w:tcBorders>
              <w:bottom w:val="single" w:sz="4" w:space="0" w:color="auto"/>
              <w:right w:val="single" w:sz="18" w:space="0" w:color="auto"/>
            </w:tcBorders>
            <w:shd w:val="clear" w:color="auto" w:fill="FABF8F"/>
            <w:vAlign w:val="center"/>
          </w:tcPr>
          <w:p w:rsidR="005F584F" w:rsidRPr="003410C7" w:rsidRDefault="005F584F" w:rsidP="005F584F">
            <w:pPr>
              <w:pStyle w:val="TableText"/>
              <w:rPr>
                <w:rFonts w:ascii="Tahoma" w:hAnsi="Tahoma" w:cs="Tahoma"/>
                <w:sz w:val="13"/>
              </w:rPr>
            </w:pPr>
            <w:r w:rsidRPr="003410C7">
              <w:rPr>
                <w:rFonts w:ascii="Tahoma" w:hAnsi="Tahoma" w:cs="Tahoma"/>
                <w:sz w:val="13"/>
              </w:rPr>
              <w:t>DT</w:t>
            </w:r>
          </w:p>
        </w:tc>
        <w:tc>
          <w:tcPr>
            <w:tcW w:w="429" w:type="dxa"/>
            <w:tcBorders>
              <w:left w:val="single" w:sz="18" w:space="0" w:color="auto"/>
              <w:bottom w:val="single" w:sz="4" w:space="0" w:color="auto"/>
            </w:tcBorders>
            <w:shd w:val="clear" w:color="auto" w:fill="FABF8F"/>
            <w:vAlign w:val="center"/>
          </w:tcPr>
          <w:p w:rsidR="005F584F" w:rsidRPr="003410C7" w:rsidRDefault="005F584F" w:rsidP="005F584F">
            <w:pPr>
              <w:pStyle w:val="TableText"/>
              <w:rPr>
                <w:rFonts w:ascii="Tahoma" w:hAnsi="Tahoma" w:cs="Tahoma"/>
                <w:sz w:val="13"/>
              </w:rPr>
            </w:pPr>
          </w:p>
        </w:tc>
        <w:tc>
          <w:tcPr>
            <w:tcW w:w="429" w:type="dxa"/>
            <w:tcBorders>
              <w:bottom w:val="single" w:sz="4" w:space="0" w:color="auto"/>
            </w:tcBorders>
            <w:shd w:val="clear" w:color="auto" w:fill="FABF8F"/>
            <w:vAlign w:val="center"/>
          </w:tcPr>
          <w:p w:rsidR="005F584F" w:rsidRPr="003410C7" w:rsidRDefault="005F584F" w:rsidP="005F584F">
            <w:pPr>
              <w:pStyle w:val="TableText"/>
              <w:rPr>
                <w:rFonts w:ascii="Tahoma" w:hAnsi="Tahoma" w:cs="Tahoma"/>
                <w:sz w:val="13"/>
              </w:rPr>
            </w:pPr>
            <w:r w:rsidRPr="003410C7">
              <w:rPr>
                <w:rFonts w:ascii="Tahoma" w:hAnsi="Tahoma" w:cs="Tahoma"/>
                <w:sz w:val="13"/>
              </w:rPr>
              <w:t>5</w:t>
            </w:r>
          </w:p>
        </w:tc>
        <w:tc>
          <w:tcPr>
            <w:tcW w:w="429" w:type="dxa"/>
            <w:tcBorders>
              <w:bottom w:val="single" w:sz="4" w:space="0" w:color="auto"/>
            </w:tcBorders>
            <w:shd w:val="clear" w:color="auto" w:fill="FABF8F"/>
            <w:vAlign w:val="center"/>
          </w:tcPr>
          <w:p w:rsidR="005F584F" w:rsidRPr="003410C7" w:rsidRDefault="005F584F" w:rsidP="005F584F">
            <w:pPr>
              <w:pStyle w:val="TableText"/>
              <w:rPr>
                <w:rFonts w:ascii="Tahoma" w:hAnsi="Tahoma" w:cs="Tahoma"/>
                <w:sz w:val="13"/>
              </w:rPr>
            </w:pPr>
            <w:r w:rsidRPr="003410C7">
              <w:rPr>
                <w:rFonts w:ascii="Tahoma" w:hAnsi="Tahoma" w:cs="Tahoma"/>
                <w:sz w:val="13"/>
              </w:rPr>
              <w:t>4</w:t>
            </w:r>
          </w:p>
        </w:tc>
        <w:tc>
          <w:tcPr>
            <w:tcW w:w="429" w:type="dxa"/>
            <w:tcBorders>
              <w:bottom w:val="single" w:sz="4" w:space="0" w:color="auto"/>
            </w:tcBorders>
            <w:shd w:val="clear" w:color="auto" w:fill="FABF8F"/>
            <w:vAlign w:val="center"/>
          </w:tcPr>
          <w:p w:rsidR="005F584F" w:rsidRPr="003410C7" w:rsidRDefault="005F584F" w:rsidP="005F584F">
            <w:pPr>
              <w:pStyle w:val="TableText"/>
              <w:rPr>
                <w:rFonts w:ascii="Tahoma" w:hAnsi="Tahoma" w:cs="Tahoma"/>
                <w:sz w:val="13"/>
              </w:rPr>
            </w:pPr>
            <w:r w:rsidRPr="003410C7">
              <w:rPr>
                <w:rFonts w:ascii="Tahoma" w:hAnsi="Tahoma" w:cs="Tahoma"/>
                <w:sz w:val="13"/>
              </w:rPr>
              <w:t>3</w:t>
            </w:r>
          </w:p>
        </w:tc>
        <w:tc>
          <w:tcPr>
            <w:tcW w:w="429" w:type="dxa"/>
            <w:tcBorders>
              <w:bottom w:val="single" w:sz="4" w:space="0" w:color="auto"/>
            </w:tcBorders>
            <w:shd w:val="clear" w:color="auto" w:fill="FABF8F"/>
            <w:vAlign w:val="center"/>
          </w:tcPr>
          <w:p w:rsidR="005F584F" w:rsidRPr="003410C7" w:rsidRDefault="005F584F" w:rsidP="005F584F">
            <w:pPr>
              <w:pStyle w:val="TableText"/>
              <w:rPr>
                <w:rFonts w:ascii="Tahoma" w:hAnsi="Tahoma" w:cs="Tahoma"/>
                <w:sz w:val="13"/>
              </w:rPr>
            </w:pPr>
            <w:r w:rsidRPr="003410C7">
              <w:rPr>
                <w:rFonts w:ascii="Tahoma" w:hAnsi="Tahoma" w:cs="Tahoma"/>
                <w:sz w:val="13"/>
              </w:rPr>
              <w:t>3</w:t>
            </w:r>
          </w:p>
        </w:tc>
        <w:tc>
          <w:tcPr>
            <w:tcW w:w="429" w:type="dxa"/>
            <w:tcBorders>
              <w:bottom w:val="single" w:sz="4" w:space="0" w:color="auto"/>
            </w:tcBorders>
            <w:shd w:val="clear" w:color="auto" w:fill="FABF8F"/>
            <w:vAlign w:val="center"/>
          </w:tcPr>
          <w:p w:rsidR="005F584F" w:rsidRPr="003410C7" w:rsidRDefault="005F584F" w:rsidP="005F584F">
            <w:pPr>
              <w:pStyle w:val="TableText"/>
              <w:rPr>
                <w:rFonts w:ascii="Tahoma" w:hAnsi="Tahoma" w:cs="Tahoma"/>
                <w:sz w:val="13"/>
              </w:rPr>
            </w:pPr>
            <w:r w:rsidRPr="003410C7">
              <w:rPr>
                <w:rFonts w:ascii="Tahoma" w:hAnsi="Tahoma" w:cs="Tahoma"/>
                <w:sz w:val="13"/>
              </w:rPr>
              <w:t>2</w:t>
            </w:r>
          </w:p>
        </w:tc>
        <w:tc>
          <w:tcPr>
            <w:tcW w:w="429" w:type="dxa"/>
            <w:tcBorders>
              <w:bottom w:val="single" w:sz="4" w:space="0" w:color="auto"/>
              <w:right w:val="single" w:sz="18" w:space="0" w:color="auto"/>
            </w:tcBorders>
            <w:shd w:val="clear" w:color="auto" w:fill="FABF8F"/>
            <w:vAlign w:val="center"/>
          </w:tcPr>
          <w:p w:rsidR="005F584F" w:rsidRPr="003410C7" w:rsidRDefault="005F584F" w:rsidP="005F584F">
            <w:pPr>
              <w:pStyle w:val="TableText"/>
              <w:rPr>
                <w:rFonts w:ascii="Tahoma" w:hAnsi="Tahoma" w:cs="Tahoma"/>
                <w:sz w:val="13"/>
              </w:rPr>
            </w:pPr>
            <w:r w:rsidRPr="003410C7">
              <w:rPr>
                <w:rFonts w:ascii="Tahoma" w:hAnsi="Tahoma" w:cs="Tahoma"/>
                <w:sz w:val="13"/>
              </w:rPr>
              <w:t>1</w:t>
            </w:r>
          </w:p>
        </w:tc>
        <w:tc>
          <w:tcPr>
            <w:tcW w:w="429" w:type="dxa"/>
            <w:tcBorders>
              <w:left w:val="single" w:sz="18" w:space="0" w:color="auto"/>
              <w:bottom w:val="single" w:sz="4" w:space="0" w:color="auto"/>
            </w:tcBorders>
            <w:shd w:val="clear" w:color="auto" w:fill="FABF8F"/>
            <w:vAlign w:val="center"/>
          </w:tcPr>
          <w:p w:rsidR="005F584F" w:rsidRPr="003410C7" w:rsidRDefault="005F584F" w:rsidP="005F584F">
            <w:pPr>
              <w:pStyle w:val="TableText"/>
              <w:rPr>
                <w:rFonts w:ascii="Tahoma" w:hAnsi="Tahoma" w:cs="Tahoma"/>
                <w:sz w:val="13"/>
              </w:rPr>
            </w:pPr>
          </w:p>
        </w:tc>
        <w:tc>
          <w:tcPr>
            <w:tcW w:w="429" w:type="dxa"/>
            <w:tcBorders>
              <w:bottom w:val="single" w:sz="4" w:space="0" w:color="auto"/>
            </w:tcBorders>
            <w:shd w:val="clear" w:color="auto" w:fill="FABF8F"/>
            <w:vAlign w:val="center"/>
          </w:tcPr>
          <w:p w:rsidR="005F584F" w:rsidRPr="003410C7" w:rsidRDefault="005F584F" w:rsidP="005F584F">
            <w:pPr>
              <w:pStyle w:val="TableText"/>
              <w:rPr>
                <w:rFonts w:ascii="Tahoma" w:hAnsi="Tahoma" w:cs="Tahoma"/>
                <w:sz w:val="13"/>
              </w:rPr>
            </w:pPr>
            <w:r w:rsidRPr="003410C7">
              <w:rPr>
                <w:rFonts w:ascii="Tahoma" w:hAnsi="Tahoma" w:cs="Tahoma"/>
                <w:sz w:val="13"/>
              </w:rPr>
              <w:t>2</w:t>
            </w:r>
          </w:p>
        </w:tc>
        <w:tc>
          <w:tcPr>
            <w:tcW w:w="442" w:type="dxa"/>
            <w:tcBorders>
              <w:bottom w:val="single" w:sz="4" w:space="0" w:color="auto"/>
              <w:right w:val="single" w:sz="18" w:space="0" w:color="auto"/>
            </w:tcBorders>
            <w:shd w:val="clear" w:color="auto" w:fill="FABF8F"/>
            <w:vAlign w:val="center"/>
          </w:tcPr>
          <w:p w:rsidR="005F584F" w:rsidRPr="003410C7" w:rsidRDefault="005F584F" w:rsidP="005F584F">
            <w:pPr>
              <w:pStyle w:val="TableText"/>
              <w:rPr>
                <w:rFonts w:ascii="Tahoma" w:hAnsi="Tahoma" w:cs="Tahoma"/>
                <w:sz w:val="13"/>
              </w:rPr>
            </w:pPr>
            <w:r w:rsidRPr="003410C7">
              <w:rPr>
                <w:rFonts w:ascii="Tahoma" w:hAnsi="Tahoma" w:cs="Tahoma"/>
                <w:sz w:val="13"/>
              </w:rPr>
              <w:t>1</w:t>
            </w:r>
          </w:p>
        </w:tc>
        <w:tc>
          <w:tcPr>
            <w:tcW w:w="495" w:type="dxa"/>
            <w:tcBorders>
              <w:left w:val="single" w:sz="18" w:space="0" w:color="auto"/>
              <w:bottom w:val="single" w:sz="4" w:space="0" w:color="auto"/>
            </w:tcBorders>
            <w:shd w:val="clear" w:color="auto" w:fill="FABF8F"/>
            <w:vAlign w:val="center"/>
          </w:tcPr>
          <w:p w:rsidR="005F584F" w:rsidRPr="003410C7" w:rsidRDefault="005F584F" w:rsidP="005F584F">
            <w:pPr>
              <w:pStyle w:val="TableText"/>
              <w:rPr>
                <w:rFonts w:ascii="Tahoma" w:hAnsi="Tahoma" w:cs="Tahoma"/>
                <w:sz w:val="13"/>
              </w:rPr>
            </w:pPr>
          </w:p>
        </w:tc>
        <w:tc>
          <w:tcPr>
            <w:tcW w:w="459" w:type="dxa"/>
            <w:tcBorders>
              <w:bottom w:val="single" w:sz="4" w:space="0" w:color="auto"/>
              <w:right w:val="single" w:sz="18" w:space="0" w:color="auto"/>
            </w:tcBorders>
            <w:shd w:val="clear" w:color="auto" w:fill="FABF8F"/>
            <w:vAlign w:val="center"/>
          </w:tcPr>
          <w:p w:rsidR="005F584F" w:rsidRPr="003410C7" w:rsidRDefault="005F584F" w:rsidP="005F584F">
            <w:pPr>
              <w:pStyle w:val="TableText"/>
              <w:rPr>
                <w:rFonts w:ascii="Tahoma" w:hAnsi="Tahoma" w:cs="Tahoma"/>
                <w:sz w:val="13"/>
              </w:rPr>
            </w:pPr>
            <w:r w:rsidRPr="003410C7">
              <w:rPr>
                <w:rFonts w:ascii="Tahoma" w:hAnsi="Tahoma" w:cs="Tahoma"/>
                <w:sz w:val="13"/>
              </w:rPr>
              <w:t>A</w:t>
            </w:r>
          </w:p>
        </w:tc>
        <w:tc>
          <w:tcPr>
            <w:tcW w:w="360" w:type="dxa"/>
            <w:tcBorders>
              <w:left w:val="single" w:sz="18" w:space="0" w:color="auto"/>
              <w:bottom w:val="single" w:sz="4" w:space="0" w:color="auto"/>
              <w:right w:val="single" w:sz="18" w:space="0" w:color="auto"/>
            </w:tcBorders>
            <w:shd w:val="clear" w:color="auto" w:fill="FABF8F"/>
            <w:vAlign w:val="center"/>
          </w:tcPr>
          <w:p w:rsidR="005F584F" w:rsidRPr="003410C7" w:rsidRDefault="005F584F" w:rsidP="005F584F">
            <w:pPr>
              <w:pStyle w:val="TableText"/>
              <w:rPr>
                <w:rFonts w:ascii="Tahoma" w:hAnsi="Tahoma" w:cs="Tahoma"/>
                <w:sz w:val="13"/>
              </w:rPr>
            </w:pPr>
            <w:r w:rsidRPr="003410C7">
              <w:rPr>
                <w:rFonts w:ascii="Tahoma" w:hAnsi="Tahoma" w:cs="Tahoma"/>
                <w:sz w:val="13"/>
              </w:rPr>
              <w:t>P</w:t>
            </w:r>
          </w:p>
        </w:tc>
        <w:tc>
          <w:tcPr>
            <w:tcW w:w="474" w:type="dxa"/>
            <w:tcBorders>
              <w:bottom w:val="single" w:sz="4" w:space="0" w:color="auto"/>
            </w:tcBorders>
            <w:shd w:val="clear" w:color="auto" w:fill="FABF8F"/>
            <w:vAlign w:val="center"/>
          </w:tcPr>
          <w:p w:rsidR="005F584F" w:rsidRPr="003410C7" w:rsidRDefault="005F584F" w:rsidP="005F584F">
            <w:pPr>
              <w:pStyle w:val="TableText"/>
              <w:rPr>
                <w:rFonts w:ascii="Tahoma" w:hAnsi="Tahoma" w:cs="Tahoma"/>
                <w:sz w:val="13"/>
              </w:rPr>
            </w:pPr>
            <w:r w:rsidRPr="003410C7">
              <w:rPr>
                <w:rFonts w:ascii="Tahoma" w:hAnsi="Tahoma" w:cs="Tahoma"/>
                <w:sz w:val="13"/>
              </w:rPr>
              <w:t>A</w:t>
            </w:r>
          </w:p>
        </w:tc>
        <w:tc>
          <w:tcPr>
            <w:tcW w:w="514" w:type="dxa"/>
            <w:tcBorders>
              <w:bottom w:val="single" w:sz="4" w:space="0" w:color="auto"/>
            </w:tcBorders>
            <w:shd w:val="clear" w:color="auto" w:fill="FABF8F"/>
            <w:vAlign w:val="center"/>
          </w:tcPr>
          <w:p w:rsidR="005F584F" w:rsidRPr="003410C7" w:rsidRDefault="005F584F" w:rsidP="005F584F">
            <w:pPr>
              <w:pStyle w:val="TableText"/>
              <w:rPr>
                <w:rFonts w:ascii="Tahoma" w:hAnsi="Tahoma" w:cs="Tahoma"/>
                <w:sz w:val="13"/>
              </w:rPr>
            </w:pPr>
            <w:r w:rsidRPr="003410C7">
              <w:rPr>
                <w:rFonts w:ascii="Tahoma" w:hAnsi="Tahoma" w:cs="Tahoma"/>
                <w:sz w:val="13"/>
              </w:rPr>
              <w:t>OL</w:t>
            </w:r>
          </w:p>
        </w:tc>
      </w:tr>
      <w:tr w:rsidR="005F584F" w:rsidRPr="003410C7" w:rsidTr="002A074D">
        <w:trPr>
          <w:cantSplit/>
          <w:trHeight w:val="145"/>
        </w:trPr>
        <w:tc>
          <w:tcPr>
            <w:tcW w:w="2638" w:type="dxa"/>
            <w:tcBorders>
              <w:bottom w:val="single" w:sz="4" w:space="0" w:color="auto"/>
            </w:tcBorders>
            <w:shd w:val="clear" w:color="auto" w:fill="auto"/>
          </w:tcPr>
          <w:p w:rsidR="005F584F" w:rsidRPr="003410C7" w:rsidRDefault="005F584F" w:rsidP="003410C7">
            <w:pPr>
              <w:pStyle w:val="Heading3"/>
              <w:spacing w:beforeLines="20" w:before="48" w:afterLines="20" w:after="48"/>
              <w:rPr>
                <w:rFonts w:ascii="Tahoma" w:hAnsi="Tahoma" w:cs="Tahoma"/>
                <w:b w:val="0"/>
                <w:sz w:val="14"/>
              </w:rPr>
            </w:pPr>
            <w:bookmarkStart w:id="101" w:name="_Toc352234490"/>
            <w:r w:rsidRPr="003410C7">
              <w:rPr>
                <w:rFonts w:ascii="Tahoma" w:hAnsi="Tahoma" w:cs="Tahoma"/>
                <w:b w:val="0"/>
                <w:sz w:val="14"/>
              </w:rPr>
              <w:t xml:space="preserve">Vexcel Desktop con </w:t>
            </w:r>
            <w:r w:rsidR="002512AB">
              <w:rPr>
                <w:rFonts w:ascii="Tahoma" w:hAnsi="Tahoma" w:cs="Tahoma"/>
                <w:b w:val="0"/>
                <w:sz w:val="14"/>
              </w:rPr>
              <w:br/>
            </w:r>
            <w:r w:rsidRPr="003410C7">
              <w:rPr>
                <w:rFonts w:ascii="Tahoma" w:hAnsi="Tahoma" w:cs="Tahoma"/>
                <w:b w:val="0"/>
                <w:sz w:val="14"/>
              </w:rPr>
              <w:t>Enhanced Content Pack</w:t>
            </w:r>
            <w:bookmarkEnd w:id="101"/>
          </w:p>
        </w:tc>
        <w:tc>
          <w:tcPr>
            <w:tcW w:w="429" w:type="dxa"/>
            <w:tcBorders>
              <w:bottom w:val="single" w:sz="4" w:space="0" w:color="auto"/>
            </w:tcBorders>
            <w:shd w:val="clear" w:color="auto" w:fill="auto"/>
            <w:vAlign w:val="center"/>
          </w:tcPr>
          <w:p w:rsidR="005F584F" w:rsidRPr="009F17FF" w:rsidRDefault="00FC1A4D" w:rsidP="00E564C0">
            <w:pPr>
              <w:pStyle w:val="TableText"/>
              <w:widowControl w:val="0"/>
              <w:rPr>
                <w:sz w:val="13"/>
                <w:szCs w:val="13"/>
              </w:rPr>
            </w:pPr>
            <w:hyperlink w:anchor="_15_Visio_Professional" w:history="1">
              <w:r w:rsidR="000D77F6" w:rsidRPr="009F17FF">
                <w:rPr>
                  <w:rStyle w:val="Hyperlink"/>
                  <w:b/>
                  <w:sz w:val="13"/>
                  <w:szCs w:val="13"/>
                </w:rPr>
                <w:t>15</w:t>
              </w:r>
            </w:hyperlink>
          </w:p>
        </w:tc>
        <w:tc>
          <w:tcPr>
            <w:tcW w:w="429" w:type="dxa"/>
            <w:tcBorders>
              <w:bottom w:val="single" w:sz="4" w:space="0" w:color="auto"/>
            </w:tcBorders>
            <w:shd w:val="clear" w:color="auto" w:fill="auto"/>
            <w:vAlign w:val="center"/>
          </w:tcPr>
          <w:p w:rsidR="005F584F" w:rsidRPr="003410C7" w:rsidRDefault="005F584F" w:rsidP="004941B2">
            <w:pPr>
              <w:pStyle w:val="TableText"/>
              <w:spacing w:before="60" w:after="60"/>
              <w:rPr>
                <w:rFonts w:ascii="Tahoma" w:hAnsi="Tahoma" w:cs="Tahoma"/>
                <w:sz w:val="13"/>
              </w:rPr>
            </w:pPr>
            <w:r w:rsidRPr="003410C7">
              <w:rPr>
                <w:rFonts w:ascii="Tahoma" w:hAnsi="Tahoma" w:cs="Tahoma"/>
                <w:sz w:val="13"/>
              </w:rPr>
              <w:t>08/09</w:t>
            </w:r>
          </w:p>
        </w:tc>
        <w:tc>
          <w:tcPr>
            <w:tcW w:w="429" w:type="dxa"/>
            <w:tcBorders>
              <w:bottom w:val="single" w:sz="4" w:space="0" w:color="auto"/>
              <w:right w:val="single" w:sz="18" w:space="0" w:color="auto"/>
            </w:tcBorders>
            <w:shd w:val="clear" w:color="auto" w:fill="auto"/>
            <w:vAlign w:val="center"/>
          </w:tcPr>
          <w:p w:rsidR="005F584F" w:rsidRPr="003410C7" w:rsidRDefault="005F584F" w:rsidP="004B3534">
            <w:pPr>
              <w:pStyle w:val="TableText"/>
              <w:rPr>
                <w:rFonts w:ascii="Tahoma" w:hAnsi="Tahoma" w:cs="Tahoma"/>
                <w:sz w:val="13"/>
              </w:rPr>
            </w:pPr>
            <w:r w:rsidRPr="003410C7">
              <w:rPr>
                <w:rFonts w:ascii="Tahoma" w:hAnsi="Tahoma" w:cs="Tahoma"/>
                <w:sz w:val="13"/>
              </w:rPr>
              <w:t>DT</w:t>
            </w:r>
          </w:p>
        </w:tc>
        <w:tc>
          <w:tcPr>
            <w:tcW w:w="3003" w:type="dxa"/>
            <w:gridSpan w:val="7"/>
            <w:tcBorders>
              <w:left w:val="single" w:sz="18" w:space="0" w:color="auto"/>
              <w:bottom w:val="single" w:sz="4" w:space="0" w:color="auto"/>
              <w:right w:val="single" w:sz="18" w:space="0" w:color="auto"/>
            </w:tcBorders>
            <w:shd w:val="clear" w:color="auto" w:fill="auto"/>
            <w:vAlign w:val="center"/>
          </w:tcPr>
          <w:p w:rsidR="005F584F" w:rsidRPr="003410C7" w:rsidRDefault="005F584F" w:rsidP="004B3534">
            <w:pPr>
              <w:pStyle w:val="TableText"/>
              <w:rPr>
                <w:rFonts w:ascii="Tahoma" w:hAnsi="Tahoma" w:cs="Tahoma"/>
                <w:sz w:val="13"/>
              </w:rPr>
            </w:pPr>
            <w:r w:rsidRPr="003410C7">
              <w:rPr>
                <w:rFonts w:ascii="Tahoma" w:hAnsi="Tahoma" w:cs="Tahoma"/>
                <w:sz w:val="13"/>
              </w:rPr>
              <w:t>1 punto</w:t>
            </w:r>
          </w:p>
        </w:tc>
        <w:tc>
          <w:tcPr>
            <w:tcW w:w="429" w:type="dxa"/>
            <w:tcBorders>
              <w:left w:val="single" w:sz="18" w:space="0" w:color="auto"/>
              <w:bottom w:val="single" w:sz="4" w:space="0" w:color="auto"/>
            </w:tcBorders>
            <w:shd w:val="clear" w:color="auto" w:fill="auto"/>
            <w:vAlign w:val="center"/>
          </w:tcPr>
          <w:p w:rsidR="005F584F" w:rsidRPr="003410C7" w:rsidRDefault="005F584F" w:rsidP="004B3534">
            <w:pPr>
              <w:pStyle w:val="TableText"/>
              <w:rPr>
                <w:rFonts w:ascii="Tahoma" w:hAnsi="Tahoma" w:cs="Tahoma"/>
                <w:sz w:val="13"/>
              </w:rPr>
            </w:pPr>
          </w:p>
        </w:tc>
        <w:tc>
          <w:tcPr>
            <w:tcW w:w="429" w:type="dxa"/>
            <w:tcBorders>
              <w:bottom w:val="single" w:sz="4" w:space="0" w:color="auto"/>
            </w:tcBorders>
            <w:shd w:val="clear" w:color="auto" w:fill="auto"/>
            <w:vAlign w:val="center"/>
          </w:tcPr>
          <w:p w:rsidR="005F584F" w:rsidRPr="003410C7" w:rsidRDefault="005F584F" w:rsidP="004B3534">
            <w:pPr>
              <w:pStyle w:val="TableText"/>
              <w:rPr>
                <w:rFonts w:ascii="Tahoma" w:hAnsi="Tahoma" w:cs="Tahoma"/>
                <w:sz w:val="13"/>
              </w:rPr>
            </w:pPr>
          </w:p>
        </w:tc>
        <w:tc>
          <w:tcPr>
            <w:tcW w:w="442" w:type="dxa"/>
            <w:tcBorders>
              <w:bottom w:val="single" w:sz="4" w:space="0" w:color="auto"/>
              <w:right w:val="single" w:sz="18" w:space="0" w:color="auto"/>
            </w:tcBorders>
            <w:shd w:val="clear" w:color="auto" w:fill="auto"/>
            <w:vAlign w:val="center"/>
          </w:tcPr>
          <w:p w:rsidR="005F584F" w:rsidRPr="003410C7" w:rsidRDefault="005F584F" w:rsidP="004B3534">
            <w:pPr>
              <w:pStyle w:val="TableText"/>
              <w:rPr>
                <w:rFonts w:ascii="Tahoma" w:hAnsi="Tahoma" w:cs="Tahoma"/>
                <w:sz w:val="13"/>
              </w:rPr>
            </w:pPr>
          </w:p>
        </w:tc>
        <w:tc>
          <w:tcPr>
            <w:tcW w:w="495" w:type="dxa"/>
            <w:tcBorders>
              <w:left w:val="single" w:sz="18" w:space="0" w:color="auto"/>
              <w:bottom w:val="single" w:sz="4" w:space="0" w:color="auto"/>
            </w:tcBorders>
            <w:shd w:val="clear" w:color="auto" w:fill="auto"/>
            <w:vAlign w:val="center"/>
          </w:tcPr>
          <w:p w:rsidR="005F584F" w:rsidRPr="003410C7" w:rsidRDefault="005F584F" w:rsidP="004B3534">
            <w:pPr>
              <w:pStyle w:val="TableText"/>
              <w:rPr>
                <w:rFonts w:ascii="Tahoma" w:hAnsi="Tahoma" w:cs="Tahoma"/>
                <w:sz w:val="13"/>
              </w:rPr>
            </w:pPr>
            <w:r w:rsidRPr="003410C7">
              <w:rPr>
                <w:rFonts w:ascii="Tahoma" w:hAnsi="Tahoma" w:cs="Tahoma"/>
                <w:sz w:val="13"/>
              </w:rPr>
              <w:t>1</w:t>
            </w:r>
          </w:p>
        </w:tc>
        <w:tc>
          <w:tcPr>
            <w:tcW w:w="459" w:type="dxa"/>
            <w:tcBorders>
              <w:bottom w:val="single" w:sz="4" w:space="0" w:color="auto"/>
              <w:right w:val="single" w:sz="18" w:space="0" w:color="auto"/>
            </w:tcBorders>
            <w:shd w:val="clear" w:color="auto" w:fill="auto"/>
            <w:vAlign w:val="center"/>
          </w:tcPr>
          <w:p w:rsidR="005F584F" w:rsidRPr="003410C7" w:rsidRDefault="005F584F" w:rsidP="004B3534">
            <w:pPr>
              <w:pStyle w:val="TableText"/>
              <w:rPr>
                <w:rFonts w:ascii="Tahoma" w:hAnsi="Tahoma" w:cs="Tahoma"/>
                <w:sz w:val="13"/>
              </w:rPr>
            </w:pPr>
            <w:r w:rsidRPr="003410C7">
              <w:rPr>
                <w:rFonts w:ascii="Tahoma" w:hAnsi="Tahoma" w:cs="Tahoma"/>
                <w:sz w:val="13"/>
              </w:rPr>
              <w:t>A</w:t>
            </w:r>
          </w:p>
        </w:tc>
        <w:tc>
          <w:tcPr>
            <w:tcW w:w="360" w:type="dxa"/>
            <w:tcBorders>
              <w:left w:val="single" w:sz="18" w:space="0" w:color="auto"/>
              <w:bottom w:val="single" w:sz="4" w:space="0" w:color="auto"/>
              <w:right w:val="single" w:sz="18" w:space="0" w:color="auto"/>
            </w:tcBorders>
            <w:shd w:val="clear" w:color="auto" w:fill="auto"/>
            <w:vAlign w:val="center"/>
          </w:tcPr>
          <w:p w:rsidR="005F584F" w:rsidRPr="003410C7" w:rsidRDefault="005F584F" w:rsidP="004B3534">
            <w:pPr>
              <w:pStyle w:val="TableText"/>
              <w:rPr>
                <w:rFonts w:ascii="Tahoma" w:hAnsi="Tahoma" w:cs="Tahoma"/>
                <w:sz w:val="13"/>
              </w:rPr>
            </w:pPr>
            <w:r w:rsidRPr="003410C7">
              <w:rPr>
                <w:rFonts w:ascii="Tahoma" w:hAnsi="Tahoma" w:cs="Tahoma"/>
                <w:sz w:val="13"/>
              </w:rPr>
              <w:t>P</w:t>
            </w:r>
          </w:p>
        </w:tc>
        <w:tc>
          <w:tcPr>
            <w:tcW w:w="474" w:type="dxa"/>
            <w:tcBorders>
              <w:bottom w:val="single" w:sz="4" w:space="0" w:color="auto"/>
            </w:tcBorders>
            <w:shd w:val="clear" w:color="auto" w:fill="auto"/>
            <w:vAlign w:val="center"/>
          </w:tcPr>
          <w:p w:rsidR="005F584F" w:rsidRPr="003410C7" w:rsidRDefault="005F584F" w:rsidP="00080B33">
            <w:pPr>
              <w:pStyle w:val="TableText"/>
              <w:rPr>
                <w:rFonts w:ascii="Tahoma" w:hAnsi="Tahoma" w:cs="Tahoma"/>
                <w:sz w:val="13"/>
              </w:rPr>
            </w:pPr>
            <w:r w:rsidRPr="003410C7">
              <w:rPr>
                <w:rFonts w:ascii="Tahoma" w:hAnsi="Tahoma" w:cs="Tahoma"/>
                <w:sz w:val="13"/>
              </w:rPr>
              <w:t>A</w:t>
            </w:r>
          </w:p>
        </w:tc>
        <w:tc>
          <w:tcPr>
            <w:tcW w:w="514" w:type="dxa"/>
            <w:tcBorders>
              <w:bottom w:val="single" w:sz="4" w:space="0" w:color="auto"/>
            </w:tcBorders>
            <w:shd w:val="clear" w:color="auto" w:fill="auto"/>
            <w:vAlign w:val="center"/>
          </w:tcPr>
          <w:p w:rsidR="005F584F" w:rsidRPr="003410C7" w:rsidRDefault="005F584F" w:rsidP="004B3534">
            <w:pPr>
              <w:pStyle w:val="TableText"/>
              <w:rPr>
                <w:rFonts w:ascii="Tahoma" w:hAnsi="Tahoma" w:cs="Tahoma"/>
                <w:sz w:val="13"/>
              </w:rPr>
            </w:pPr>
          </w:p>
        </w:tc>
      </w:tr>
      <w:tr w:rsidR="00EF228F" w:rsidRPr="003410C7" w:rsidTr="002A074D">
        <w:trPr>
          <w:cantSplit/>
          <w:trHeight w:val="145"/>
        </w:trPr>
        <w:tc>
          <w:tcPr>
            <w:tcW w:w="2638" w:type="dxa"/>
            <w:tcBorders>
              <w:bottom w:val="single" w:sz="4" w:space="0" w:color="auto"/>
            </w:tcBorders>
            <w:shd w:val="clear" w:color="auto" w:fill="FABF8F"/>
          </w:tcPr>
          <w:p w:rsidR="00CC19FC" w:rsidRPr="003410C7" w:rsidRDefault="00CC19FC" w:rsidP="003410C7">
            <w:pPr>
              <w:pStyle w:val="Heading3"/>
              <w:spacing w:beforeLines="20" w:before="48" w:afterLines="20" w:after="48"/>
              <w:rPr>
                <w:rFonts w:ascii="Tahoma" w:hAnsi="Tahoma" w:cs="Tahoma"/>
                <w:b w:val="0"/>
                <w:sz w:val="14"/>
              </w:rPr>
            </w:pPr>
            <w:bookmarkStart w:id="102" w:name="_Toc336337886"/>
            <w:bookmarkStart w:id="103" w:name="_Toc352234491"/>
            <w:r w:rsidRPr="003410C7">
              <w:rPr>
                <w:rFonts w:ascii="Tahoma" w:hAnsi="Tahoma" w:cs="Tahoma"/>
                <w:b w:val="0"/>
                <w:sz w:val="14"/>
              </w:rPr>
              <w:t>Visio</w:t>
            </w:r>
            <w:r w:rsidR="003410C7" w:rsidRPr="003410C7">
              <w:rPr>
                <w:rFonts w:ascii="Tahoma" w:hAnsi="Tahoma" w:cs="Tahoma"/>
                <w:b w:val="0"/>
                <w:sz w:val="14"/>
                <w:vertAlign w:val="superscript"/>
              </w:rPr>
              <w:t>®</w:t>
            </w:r>
            <w:r w:rsidRPr="003410C7">
              <w:rPr>
                <w:rFonts w:ascii="Tahoma" w:hAnsi="Tahoma" w:cs="Tahoma"/>
                <w:b w:val="0"/>
                <w:sz w:val="14"/>
              </w:rPr>
              <w:t xml:space="preserve"> 2013 Professional</w:t>
            </w:r>
            <w:bookmarkEnd w:id="102"/>
            <w:bookmarkEnd w:id="103"/>
            <w:r w:rsidR="00082E1C">
              <w:rPr>
                <w:rFonts w:ascii="Tahoma" w:hAnsi="Tahoma" w:cs="Tahoma"/>
                <w:b w:val="0"/>
                <w:sz w:val="14"/>
              </w:rPr>
              <w:t xml:space="preserve"> </w:t>
            </w:r>
          </w:p>
        </w:tc>
        <w:tc>
          <w:tcPr>
            <w:tcW w:w="429" w:type="dxa"/>
            <w:tcBorders>
              <w:bottom w:val="single" w:sz="4" w:space="0" w:color="auto"/>
            </w:tcBorders>
            <w:shd w:val="clear" w:color="auto" w:fill="FABF8F"/>
            <w:vAlign w:val="center"/>
          </w:tcPr>
          <w:p w:rsidR="00CC19FC" w:rsidRPr="009F17FF" w:rsidRDefault="00FC1A4D" w:rsidP="0018541C">
            <w:pPr>
              <w:pStyle w:val="TableText"/>
              <w:widowControl w:val="0"/>
              <w:rPr>
                <w:rStyle w:val="EndnoteReference"/>
                <w:b w:val="0"/>
                <w:color w:val="0000FF"/>
                <w:sz w:val="13"/>
                <w:szCs w:val="13"/>
                <w:u w:val="single"/>
              </w:rPr>
            </w:pPr>
            <w:hyperlink w:anchor="_15_Visio_Professional" w:history="1">
              <w:r w:rsidR="000D77F6" w:rsidRPr="009F17FF">
                <w:rPr>
                  <w:rStyle w:val="Hyperlink"/>
                  <w:b/>
                  <w:sz w:val="13"/>
                  <w:szCs w:val="13"/>
                </w:rPr>
                <w:t>16</w:t>
              </w:r>
            </w:hyperlink>
          </w:p>
        </w:tc>
        <w:tc>
          <w:tcPr>
            <w:tcW w:w="429" w:type="dxa"/>
            <w:tcBorders>
              <w:bottom w:val="single" w:sz="4" w:space="0" w:color="auto"/>
            </w:tcBorders>
            <w:shd w:val="clear" w:color="auto" w:fill="FABF8F"/>
            <w:vAlign w:val="center"/>
          </w:tcPr>
          <w:p w:rsidR="00CC19FC" w:rsidRPr="003410C7" w:rsidRDefault="00CC19FC" w:rsidP="004941B2">
            <w:pPr>
              <w:pStyle w:val="TableText"/>
              <w:spacing w:before="60" w:after="60"/>
              <w:rPr>
                <w:rFonts w:ascii="Tahoma" w:hAnsi="Tahoma" w:cs="Tahoma"/>
                <w:sz w:val="13"/>
              </w:rPr>
            </w:pPr>
            <w:r w:rsidRPr="003410C7">
              <w:rPr>
                <w:rFonts w:ascii="Tahoma" w:hAnsi="Tahoma" w:cs="Tahoma"/>
                <w:sz w:val="13"/>
              </w:rPr>
              <w:t>10/12</w:t>
            </w:r>
          </w:p>
        </w:tc>
        <w:tc>
          <w:tcPr>
            <w:tcW w:w="429" w:type="dxa"/>
            <w:tcBorders>
              <w:bottom w:val="single" w:sz="4" w:space="0" w:color="auto"/>
              <w:right w:val="single" w:sz="18" w:space="0" w:color="auto"/>
            </w:tcBorders>
            <w:shd w:val="clear" w:color="auto" w:fill="FABF8F"/>
            <w:vAlign w:val="center"/>
          </w:tcPr>
          <w:p w:rsidR="00CC19FC" w:rsidRPr="003410C7" w:rsidRDefault="00CC19FC" w:rsidP="004B3534">
            <w:pPr>
              <w:pStyle w:val="TableText"/>
              <w:rPr>
                <w:rFonts w:ascii="Tahoma" w:hAnsi="Tahoma" w:cs="Tahoma"/>
                <w:sz w:val="13"/>
              </w:rPr>
            </w:pPr>
            <w:r w:rsidRPr="003410C7">
              <w:rPr>
                <w:rFonts w:ascii="Tahoma" w:hAnsi="Tahoma" w:cs="Tahoma"/>
                <w:sz w:val="13"/>
              </w:rPr>
              <w:t>DT</w:t>
            </w:r>
          </w:p>
        </w:tc>
        <w:tc>
          <w:tcPr>
            <w:tcW w:w="429" w:type="dxa"/>
            <w:tcBorders>
              <w:left w:val="single" w:sz="18" w:space="0" w:color="auto"/>
              <w:bottom w:val="single" w:sz="4" w:space="0" w:color="auto"/>
            </w:tcBorders>
            <w:shd w:val="clear" w:color="auto" w:fill="FABF8F"/>
            <w:vAlign w:val="center"/>
          </w:tcPr>
          <w:p w:rsidR="00CC19FC" w:rsidRPr="003410C7" w:rsidRDefault="00CC19FC" w:rsidP="004B3534">
            <w:pPr>
              <w:pStyle w:val="TableText"/>
              <w:rPr>
                <w:rFonts w:ascii="Tahoma" w:hAnsi="Tahoma" w:cs="Tahoma"/>
                <w:sz w:val="13"/>
              </w:rPr>
            </w:pPr>
            <w:r w:rsidRPr="003410C7">
              <w:rPr>
                <w:rFonts w:ascii="Tahoma" w:hAnsi="Tahoma" w:cs="Tahoma"/>
                <w:sz w:val="13"/>
              </w:rPr>
              <w:t>2</w:t>
            </w:r>
          </w:p>
        </w:tc>
        <w:tc>
          <w:tcPr>
            <w:tcW w:w="429" w:type="dxa"/>
            <w:tcBorders>
              <w:bottom w:val="single" w:sz="4" w:space="0" w:color="auto"/>
            </w:tcBorders>
            <w:shd w:val="clear" w:color="auto" w:fill="FABF8F"/>
            <w:vAlign w:val="center"/>
          </w:tcPr>
          <w:p w:rsidR="00CC19FC" w:rsidRPr="003410C7" w:rsidRDefault="00CC19FC" w:rsidP="004B3534">
            <w:pPr>
              <w:pStyle w:val="TableText"/>
              <w:rPr>
                <w:rFonts w:ascii="Tahoma" w:hAnsi="Tahoma" w:cs="Tahoma"/>
                <w:sz w:val="13"/>
              </w:rPr>
            </w:pPr>
            <w:r w:rsidRPr="003410C7">
              <w:rPr>
                <w:rFonts w:ascii="Tahoma" w:hAnsi="Tahoma" w:cs="Tahoma"/>
                <w:sz w:val="13"/>
              </w:rPr>
              <w:t>5</w:t>
            </w:r>
          </w:p>
        </w:tc>
        <w:tc>
          <w:tcPr>
            <w:tcW w:w="429" w:type="dxa"/>
            <w:tcBorders>
              <w:bottom w:val="single" w:sz="4" w:space="0" w:color="auto"/>
            </w:tcBorders>
            <w:shd w:val="clear" w:color="auto" w:fill="FABF8F"/>
            <w:vAlign w:val="center"/>
          </w:tcPr>
          <w:p w:rsidR="00CC19FC" w:rsidRPr="003410C7" w:rsidRDefault="00CC19FC" w:rsidP="004B3534">
            <w:pPr>
              <w:pStyle w:val="TableText"/>
              <w:rPr>
                <w:rFonts w:ascii="Tahoma" w:hAnsi="Tahoma" w:cs="Tahoma"/>
                <w:sz w:val="13"/>
              </w:rPr>
            </w:pPr>
            <w:r w:rsidRPr="003410C7">
              <w:rPr>
                <w:rFonts w:ascii="Tahoma" w:hAnsi="Tahoma" w:cs="Tahoma"/>
                <w:sz w:val="13"/>
              </w:rPr>
              <w:t>4</w:t>
            </w:r>
          </w:p>
        </w:tc>
        <w:tc>
          <w:tcPr>
            <w:tcW w:w="429" w:type="dxa"/>
            <w:tcBorders>
              <w:bottom w:val="single" w:sz="4" w:space="0" w:color="auto"/>
            </w:tcBorders>
            <w:shd w:val="clear" w:color="auto" w:fill="FABF8F"/>
            <w:vAlign w:val="center"/>
          </w:tcPr>
          <w:p w:rsidR="00CC19FC" w:rsidRPr="003410C7" w:rsidRDefault="00CC19FC" w:rsidP="004B3534">
            <w:pPr>
              <w:pStyle w:val="TableText"/>
              <w:rPr>
                <w:rFonts w:ascii="Tahoma" w:hAnsi="Tahoma" w:cs="Tahoma"/>
                <w:sz w:val="13"/>
              </w:rPr>
            </w:pPr>
            <w:r w:rsidRPr="003410C7">
              <w:rPr>
                <w:rFonts w:ascii="Tahoma" w:hAnsi="Tahoma" w:cs="Tahoma"/>
                <w:sz w:val="13"/>
              </w:rPr>
              <w:t>3</w:t>
            </w:r>
          </w:p>
        </w:tc>
        <w:tc>
          <w:tcPr>
            <w:tcW w:w="429" w:type="dxa"/>
            <w:tcBorders>
              <w:bottom w:val="single" w:sz="4" w:space="0" w:color="auto"/>
            </w:tcBorders>
            <w:shd w:val="clear" w:color="auto" w:fill="FABF8F"/>
            <w:vAlign w:val="center"/>
          </w:tcPr>
          <w:p w:rsidR="00CC19FC" w:rsidRPr="003410C7" w:rsidRDefault="00CC19FC" w:rsidP="004B3534">
            <w:pPr>
              <w:pStyle w:val="TableText"/>
              <w:rPr>
                <w:rFonts w:ascii="Tahoma" w:hAnsi="Tahoma" w:cs="Tahoma"/>
                <w:sz w:val="13"/>
              </w:rPr>
            </w:pPr>
            <w:r w:rsidRPr="003410C7">
              <w:rPr>
                <w:rFonts w:ascii="Tahoma" w:hAnsi="Tahoma" w:cs="Tahoma"/>
                <w:sz w:val="13"/>
              </w:rPr>
              <w:t>3</w:t>
            </w:r>
          </w:p>
        </w:tc>
        <w:tc>
          <w:tcPr>
            <w:tcW w:w="429" w:type="dxa"/>
            <w:tcBorders>
              <w:bottom w:val="single" w:sz="4" w:space="0" w:color="auto"/>
            </w:tcBorders>
            <w:shd w:val="clear" w:color="auto" w:fill="FABF8F"/>
            <w:vAlign w:val="center"/>
          </w:tcPr>
          <w:p w:rsidR="00CC19FC" w:rsidRPr="003410C7" w:rsidRDefault="00CC19FC" w:rsidP="004B3534">
            <w:pPr>
              <w:pStyle w:val="TableText"/>
              <w:rPr>
                <w:rFonts w:ascii="Tahoma" w:hAnsi="Tahoma" w:cs="Tahoma"/>
                <w:sz w:val="13"/>
              </w:rPr>
            </w:pPr>
            <w:r w:rsidRPr="003410C7">
              <w:rPr>
                <w:rFonts w:ascii="Tahoma" w:hAnsi="Tahoma" w:cs="Tahoma"/>
                <w:sz w:val="13"/>
              </w:rPr>
              <w:t>2</w:t>
            </w:r>
          </w:p>
        </w:tc>
        <w:tc>
          <w:tcPr>
            <w:tcW w:w="429" w:type="dxa"/>
            <w:tcBorders>
              <w:bottom w:val="single" w:sz="4" w:space="0" w:color="auto"/>
              <w:right w:val="single" w:sz="18" w:space="0" w:color="auto"/>
            </w:tcBorders>
            <w:shd w:val="clear" w:color="auto" w:fill="FABF8F"/>
            <w:vAlign w:val="center"/>
          </w:tcPr>
          <w:p w:rsidR="00CC19FC" w:rsidRPr="003410C7" w:rsidRDefault="00CC19FC" w:rsidP="004B3534">
            <w:pPr>
              <w:pStyle w:val="TableText"/>
              <w:rPr>
                <w:rFonts w:ascii="Tahoma" w:hAnsi="Tahoma" w:cs="Tahoma"/>
                <w:sz w:val="13"/>
              </w:rPr>
            </w:pPr>
            <w:r w:rsidRPr="003410C7">
              <w:rPr>
                <w:rFonts w:ascii="Tahoma" w:hAnsi="Tahoma" w:cs="Tahoma"/>
                <w:sz w:val="13"/>
              </w:rPr>
              <w:t>1</w:t>
            </w:r>
          </w:p>
        </w:tc>
        <w:tc>
          <w:tcPr>
            <w:tcW w:w="429" w:type="dxa"/>
            <w:tcBorders>
              <w:left w:val="single" w:sz="18" w:space="0" w:color="auto"/>
              <w:bottom w:val="single" w:sz="4" w:space="0" w:color="auto"/>
            </w:tcBorders>
            <w:shd w:val="clear" w:color="auto" w:fill="FABF8F"/>
            <w:vAlign w:val="center"/>
          </w:tcPr>
          <w:p w:rsidR="00CC19FC" w:rsidRPr="003410C7" w:rsidRDefault="00CC19FC" w:rsidP="004B3534">
            <w:pPr>
              <w:pStyle w:val="TableText"/>
              <w:rPr>
                <w:rFonts w:ascii="Tahoma" w:hAnsi="Tahoma" w:cs="Tahoma"/>
                <w:sz w:val="13"/>
              </w:rPr>
            </w:pPr>
            <w:r w:rsidRPr="003410C7">
              <w:rPr>
                <w:rFonts w:ascii="Tahoma" w:hAnsi="Tahoma" w:cs="Tahoma"/>
                <w:sz w:val="13"/>
              </w:rPr>
              <w:t>2</w:t>
            </w:r>
          </w:p>
        </w:tc>
        <w:tc>
          <w:tcPr>
            <w:tcW w:w="429" w:type="dxa"/>
            <w:tcBorders>
              <w:bottom w:val="single" w:sz="4" w:space="0" w:color="auto"/>
            </w:tcBorders>
            <w:shd w:val="clear" w:color="auto" w:fill="FABF8F"/>
            <w:vAlign w:val="center"/>
          </w:tcPr>
          <w:p w:rsidR="00CC19FC" w:rsidRPr="003410C7" w:rsidRDefault="00CC19FC" w:rsidP="004B3534">
            <w:pPr>
              <w:pStyle w:val="TableText"/>
              <w:rPr>
                <w:rFonts w:ascii="Tahoma" w:hAnsi="Tahoma" w:cs="Tahoma"/>
                <w:sz w:val="13"/>
              </w:rPr>
            </w:pPr>
            <w:r w:rsidRPr="003410C7">
              <w:rPr>
                <w:rFonts w:ascii="Tahoma" w:hAnsi="Tahoma" w:cs="Tahoma"/>
                <w:sz w:val="13"/>
              </w:rPr>
              <w:t>4</w:t>
            </w:r>
          </w:p>
        </w:tc>
        <w:tc>
          <w:tcPr>
            <w:tcW w:w="442" w:type="dxa"/>
            <w:tcBorders>
              <w:bottom w:val="single" w:sz="4" w:space="0" w:color="auto"/>
              <w:right w:val="single" w:sz="18" w:space="0" w:color="auto"/>
            </w:tcBorders>
            <w:shd w:val="clear" w:color="auto" w:fill="FABF8F"/>
            <w:vAlign w:val="center"/>
          </w:tcPr>
          <w:p w:rsidR="00CC19FC" w:rsidRPr="003410C7" w:rsidRDefault="00CC19FC" w:rsidP="004B3534">
            <w:pPr>
              <w:pStyle w:val="TableText"/>
              <w:rPr>
                <w:rFonts w:ascii="Tahoma" w:hAnsi="Tahoma" w:cs="Tahoma"/>
                <w:sz w:val="13"/>
              </w:rPr>
            </w:pPr>
            <w:r w:rsidRPr="003410C7">
              <w:rPr>
                <w:rFonts w:ascii="Tahoma" w:hAnsi="Tahoma" w:cs="Tahoma"/>
                <w:sz w:val="13"/>
              </w:rPr>
              <w:t>2</w:t>
            </w:r>
          </w:p>
        </w:tc>
        <w:tc>
          <w:tcPr>
            <w:tcW w:w="495" w:type="dxa"/>
            <w:tcBorders>
              <w:left w:val="single" w:sz="18" w:space="0" w:color="auto"/>
              <w:bottom w:val="single" w:sz="4" w:space="0" w:color="auto"/>
            </w:tcBorders>
            <w:shd w:val="clear" w:color="auto" w:fill="FABF8F"/>
            <w:vAlign w:val="center"/>
          </w:tcPr>
          <w:p w:rsidR="00CC19FC" w:rsidRPr="003410C7" w:rsidRDefault="00CC19FC" w:rsidP="004B3534">
            <w:pPr>
              <w:pStyle w:val="TableText"/>
              <w:rPr>
                <w:rFonts w:ascii="Tahoma" w:hAnsi="Tahoma" w:cs="Tahoma"/>
                <w:sz w:val="13"/>
              </w:rPr>
            </w:pPr>
            <w:r w:rsidRPr="003410C7">
              <w:rPr>
                <w:rFonts w:ascii="Tahoma" w:hAnsi="Tahoma" w:cs="Tahoma"/>
                <w:sz w:val="13"/>
              </w:rPr>
              <w:t>1</w:t>
            </w:r>
          </w:p>
        </w:tc>
        <w:tc>
          <w:tcPr>
            <w:tcW w:w="459" w:type="dxa"/>
            <w:tcBorders>
              <w:bottom w:val="single" w:sz="4" w:space="0" w:color="auto"/>
              <w:right w:val="single" w:sz="18" w:space="0" w:color="auto"/>
            </w:tcBorders>
            <w:shd w:val="clear" w:color="auto" w:fill="FABF8F"/>
            <w:vAlign w:val="center"/>
          </w:tcPr>
          <w:p w:rsidR="00CC19FC" w:rsidRPr="003410C7" w:rsidRDefault="00CC19FC" w:rsidP="004B3534">
            <w:pPr>
              <w:pStyle w:val="TableText"/>
              <w:rPr>
                <w:rFonts w:ascii="Tahoma" w:hAnsi="Tahoma" w:cs="Tahoma"/>
                <w:sz w:val="13"/>
              </w:rPr>
            </w:pPr>
            <w:r w:rsidRPr="003410C7">
              <w:rPr>
                <w:rFonts w:ascii="Tahoma" w:hAnsi="Tahoma" w:cs="Tahoma"/>
                <w:sz w:val="13"/>
              </w:rPr>
              <w:t>A</w:t>
            </w:r>
          </w:p>
        </w:tc>
        <w:tc>
          <w:tcPr>
            <w:tcW w:w="360" w:type="dxa"/>
            <w:tcBorders>
              <w:left w:val="single" w:sz="18" w:space="0" w:color="auto"/>
              <w:bottom w:val="single" w:sz="4" w:space="0" w:color="auto"/>
              <w:right w:val="single" w:sz="18" w:space="0" w:color="auto"/>
            </w:tcBorders>
            <w:shd w:val="clear" w:color="auto" w:fill="FABF8F"/>
            <w:vAlign w:val="center"/>
          </w:tcPr>
          <w:p w:rsidR="00CC19FC" w:rsidRPr="003410C7" w:rsidRDefault="00CC19FC" w:rsidP="004B3534">
            <w:pPr>
              <w:pStyle w:val="TableText"/>
              <w:rPr>
                <w:rFonts w:ascii="Tahoma" w:hAnsi="Tahoma" w:cs="Tahoma"/>
                <w:sz w:val="13"/>
              </w:rPr>
            </w:pPr>
            <w:r w:rsidRPr="003410C7">
              <w:rPr>
                <w:rFonts w:ascii="Tahoma" w:hAnsi="Tahoma" w:cs="Tahoma"/>
                <w:sz w:val="13"/>
              </w:rPr>
              <w:t>P</w:t>
            </w:r>
          </w:p>
        </w:tc>
        <w:tc>
          <w:tcPr>
            <w:tcW w:w="474" w:type="dxa"/>
            <w:tcBorders>
              <w:bottom w:val="single" w:sz="4" w:space="0" w:color="auto"/>
            </w:tcBorders>
            <w:shd w:val="clear" w:color="auto" w:fill="FABF8F"/>
            <w:vAlign w:val="center"/>
          </w:tcPr>
          <w:p w:rsidR="00CC19FC" w:rsidRPr="003410C7" w:rsidRDefault="00CC19FC" w:rsidP="00080B33">
            <w:pPr>
              <w:pStyle w:val="TableText"/>
              <w:rPr>
                <w:rFonts w:ascii="Tahoma" w:hAnsi="Tahoma" w:cs="Tahoma"/>
                <w:sz w:val="13"/>
              </w:rPr>
            </w:pPr>
          </w:p>
        </w:tc>
        <w:tc>
          <w:tcPr>
            <w:tcW w:w="514" w:type="dxa"/>
            <w:tcBorders>
              <w:bottom w:val="single" w:sz="4" w:space="0" w:color="auto"/>
            </w:tcBorders>
            <w:shd w:val="clear" w:color="auto" w:fill="FABF8F"/>
            <w:vAlign w:val="center"/>
          </w:tcPr>
          <w:p w:rsidR="00CC19FC" w:rsidRPr="003410C7" w:rsidRDefault="00CC19FC" w:rsidP="004B3534">
            <w:pPr>
              <w:pStyle w:val="TableText"/>
              <w:rPr>
                <w:rFonts w:ascii="Tahoma" w:hAnsi="Tahoma" w:cs="Tahoma"/>
                <w:sz w:val="13"/>
              </w:rPr>
            </w:pPr>
          </w:p>
        </w:tc>
      </w:tr>
      <w:tr w:rsidR="00CC19FC" w:rsidRPr="003410C7" w:rsidTr="002A074D">
        <w:trPr>
          <w:cantSplit/>
          <w:trHeight w:val="145"/>
        </w:trPr>
        <w:tc>
          <w:tcPr>
            <w:tcW w:w="2638" w:type="dxa"/>
            <w:tcBorders>
              <w:bottom w:val="single" w:sz="4" w:space="0" w:color="auto"/>
            </w:tcBorders>
            <w:shd w:val="clear" w:color="auto" w:fill="auto"/>
          </w:tcPr>
          <w:p w:rsidR="00CC19FC" w:rsidRPr="003410C7" w:rsidRDefault="00CC19FC" w:rsidP="003410C7">
            <w:pPr>
              <w:pStyle w:val="Heading3"/>
              <w:spacing w:beforeLines="20" w:before="48" w:afterLines="20" w:after="48"/>
              <w:rPr>
                <w:rFonts w:ascii="Tahoma" w:hAnsi="Tahoma" w:cs="Tahoma"/>
                <w:b w:val="0"/>
                <w:sz w:val="14"/>
              </w:rPr>
            </w:pPr>
            <w:bookmarkStart w:id="104" w:name="_Toc336337887"/>
            <w:bookmarkStart w:id="105" w:name="_Toc352234492"/>
            <w:r w:rsidRPr="003410C7">
              <w:rPr>
                <w:rFonts w:ascii="Tahoma" w:hAnsi="Tahoma" w:cs="Tahoma"/>
                <w:b w:val="0"/>
                <w:sz w:val="14"/>
              </w:rPr>
              <w:t>Visio</w:t>
            </w:r>
            <w:r w:rsidR="003410C7" w:rsidRPr="003410C7">
              <w:rPr>
                <w:rFonts w:ascii="Tahoma" w:hAnsi="Tahoma" w:cs="Tahoma"/>
                <w:b w:val="0"/>
                <w:sz w:val="14"/>
                <w:vertAlign w:val="superscript"/>
              </w:rPr>
              <w:t>®</w:t>
            </w:r>
            <w:r w:rsidRPr="003410C7">
              <w:rPr>
                <w:rFonts w:ascii="Tahoma" w:hAnsi="Tahoma" w:cs="Tahoma"/>
                <w:b w:val="0"/>
                <w:sz w:val="14"/>
              </w:rPr>
              <w:t xml:space="preserve"> 2013 Standard</w:t>
            </w:r>
            <w:bookmarkEnd w:id="104"/>
            <w:bookmarkEnd w:id="105"/>
            <w:r w:rsidRPr="003410C7">
              <w:rPr>
                <w:rFonts w:ascii="Tahoma" w:hAnsi="Tahoma" w:cs="Tahoma"/>
                <w:b w:val="0"/>
                <w:sz w:val="14"/>
              </w:rPr>
              <w:t xml:space="preserve"> </w:t>
            </w:r>
          </w:p>
        </w:tc>
        <w:tc>
          <w:tcPr>
            <w:tcW w:w="429" w:type="dxa"/>
            <w:tcBorders>
              <w:bottom w:val="single" w:sz="4" w:space="0" w:color="auto"/>
            </w:tcBorders>
            <w:shd w:val="clear" w:color="auto" w:fill="auto"/>
            <w:vAlign w:val="center"/>
          </w:tcPr>
          <w:p w:rsidR="00CC19FC" w:rsidRPr="009F17FF" w:rsidRDefault="00CC19FC" w:rsidP="00D353E6">
            <w:pPr>
              <w:pStyle w:val="TableText"/>
              <w:widowControl w:val="0"/>
              <w:rPr>
                <w:rStyle w:val="EndnoteReference"/>
                <w:color w:val="0000FF"/>
                <w:sz w:val="13"/>
                <w:szCs w:val="13"/>
                <w:u w:val="single"/>
              </w:rPr>
            </w:pPr>
          </w:p>
        </w:tc>
        <w:tc>
          <w:tcPr>
            <w:tcW w:w="429" w:type="dxa"/>
            <w:tcBorders>
              <w:bottom w:val="single" w:sz="4" w:space="0" w:color="auto"/>
            </w:tcBorders>
            <w:shd w:val="clear" w:color="auto" w:fill="auto"/>
            <w:vAlign w:val="center"/>
          </w:tcPr>
          <w:p w:rsidR="00CC19FC" w:rsidRPr="003410C7" w:rsidRDefault="00CC19FC" w:rsidP="004941B2">
            <w:pPr>
              <w:pStyle w:val="TableText"/>
              <w:spacing w:before="60" w:after="60"/>
              <w:rPr>
                <w:rFonts w:ascii="Tahoma" w:hAnsi="Tahoma" w:cs="Tahoma"/>
                <w:sz w:val="13"/>
              </w:rPr>
            </w:pPr>
            <w:r w:rsidRPr="003410C7">
              <w:rPr>
                <w:rFonts w:ascii="Tahoma" w:hAnsi="Tahoma" w:cs="Tahoma"/>
                <w:sz w:val="13"/>
              </w:rPr>
              <w:t>10/12</w:t>
            </w:r>
          </w:p>
        </w:tc>
        <w:tc>
          <w:tcPr>
            <w:tcW w:w="429" w:type="dxa"/>
            <w:tcBorders>
              <w:bottom w:val="single" w:sz="4" w:space="0" w:color="auto"/>
              <w:right w:val="single" w:sz="18" w:space="0" w:color="auto"/>
            </w:tcBorders>
            <w:shd w:val="clear" w:color="auto" w:fill="auto"/>
            <w:vAlign w:val="center"/>
          </w:tcPr>
          <w:p w:rsidR="00CC19FC" w:rsidRPr="003410C7" w:rsidRDefault="00CC19FC" w:rsidP="004B3534">
            <w:pPr>
              <w:pStyle w:val="TableText"/>
              <w:rPr>
                <w:rFonts w:ascii="Tahoma" w:hAnsi="Tahoma" w:cs="Tahoma"/>
                <w:sz w:val="13"/>
              </w:rPr>
            </w:pPr>
            <w:r w:rsidRPr="003410C7">
              <w:rPr>
                <w:rFonts w:ascii="Tahoma" w:hAnsi="Tahoma" w:cs="Tahoma"/>
                <w:sz w:val="13"/>
              </w:rPr>
              <w:t>DT</w:t>
            </w:r>
          </w:p>
        </w:tc>
        <w:tc>
          <w:tcPr>
            <w:tcW w:w="429" w:type="dxa"/>
            <w:tcBorders>
              <w:left w:val="single" w:sz="18" w:space="0" w:color="auto"/>
              <w:bottom w:val="single" w:sz="4" w:space="0" w:color="auto"/>
            </w:tcBorders>
            <w:shd w:val="clear" w:color="auto" w:fill="auto"/>
            <w:vAlign w:val="center"/>
          </w:tcPr>
          <w:p w:rsidR="00CC19FC" w:rsidRPr="003410C7" w:rsidRDefault="00CC19FC" w:rsidP="004B3534">
            <w:pPr>
              <w:pStyle w:val="TableText"/>
              <w:rPr>
                <w:rFonts w:ascii="Tahoma" w:hAnsi="Tahoma" w:cs="Tahoma"/>
                <w:sz w:val="13"/>
              </w:rPr>
            </w:pPr>
            <w:r w:rsidRPr="003410C7">
              <w:rPr>
                <w:rFonts w:ascii="Tahoma" w:hAnsi="Tahoma" w:cs="Tahoma"/>
                <w:sz w:val="13"/>
              </w:rPr>
              <w:t>1</w:t>
            </w:r>
          </w:p>
        </w:tc>
        <w:tc>
          <w:tcPr>
            <w:tcW w:w="429" w:type="dxa"/>
            <w:tcBorders>
              <w:bottom w:val="single" w:sz="4" w:space="0" w:color="auto"/>
            </w:tcBorders>
            <w:shd w:val="clear" w:color="auto" w:fill="auto"/>
            <w:vAlign w:val="center"/>
          </w:tcPr>
          <w:p w:rsidR="00CC19FC" w:rsidRPr="003410C7" w:rsidRDefault="00CC19FC" w:rsidP="004B3534">
            <w:pPr>
              <w:pStyle w:val="TableText"/>
              <w:rPr>
                <w:rFonts w:ascii="Tahoma" w:hAnsi="Tahoma" w:cs="Tahoma"/>
                <w:sz w:val="13"/>
              </w:rPr>
            </w:pPr>
            <w:r w:rsidRPr="003410C7">
              <w:rPr>
                <w:rFonts w:ascii="Tahoma" w:hAnsi="Tahoma" w:cs="Tahoma"/>
                <w:sz w:val="13"/>
              </w:rPr>
              <w:t>3</w:t>
            </w:r>
          </w:p>
        </w:tc>
        <w:tc>
          <w:tcPr>
            <w:tcW w:w="429" w:type="dxa"/>
            <w:tcBorders>
              <w:bottom w:val="single" w:sz="4" w:space="0" w:color="auto"/>
            </w:tcBorders>
            <w:shd w:val="clear" w:color="auto" w:fill="auto"/>
            <w:vAlign w:val="center"/>
          </w:tcPr>
          <w:p w:rsidR="00CC19FC" w:rsidRPr="003410C7" w:rsidRDefault="00CC19FC" w:rsidP="004B3534">
            <w:pPr>
              <w:pStyle w:val="TableText"/>
              <w:rPr>
                <w:rFonts w:ascii="Tahoma" w:hAnsi="Tahoma" w:cs="Tahoma"/>
                <w:sz w:val="13"/>
              </w:rPr>
            </w:pPr>
            <w:r w:rsidRPr="003410C7">
              <w:rPr>
                <w:rFonts w:ascii="Tahoma" w:hAnsi="Tahoma" w:cs="Tahoma"/>
                <w:sz w:val="13"/>
              </w:rPr>
              <w:t>2</w:t>
            </w:r>
          </w:p>
        </w:tc>
        <w:tc>
          <w:tcPr>
            <w:tcW w:w="429" w:type="dxa"/>
            <w:tcBorders>
              <w:bottom w:val="single" w:sz="4" w:space="0" w:color="auto"/>
            </w:tcBorders>
            <w:shd w:val="clear" w:color="auto" w:fill="auto"/>
            <w:vAlign w:val="center"/>
          </w:tcPr>
          <w:p w:rsidR="00CC19FC" w:rsidRPr="003410C7" w:rsidRDefault="00CC19FC" w:rsidP="004B3534">
            <w:pPr>
              <w:pStyle w:val="TableText"/>
              <w:rPr>
                <w:rFonts w:ascii="Tahoma" w:hAnsi="Tahoma" w:cs="Tahoma"/>
                <w:sz w:val="13"/>
              </w:rPr>
            </w:pPr>
            <w:r w:rsidRPr="003410C7">
              <w:rPr>
                <w:rFonts w:ascii="Tahoma" w:hAnsi="Tahoma" w:cs="Tahoma"/>
                <w:sz w:val="13"/>
              </w:rPr>
              <w:t>2</w:t>
            </w:r>
          </w:p>
        </w:tc>
        <w:tc>
          <w:tcPr>
            <w:tcW w:w="429" w:type="dxa"/>
            <w:tcBorders>
              <w:bottom w:val="single" w:sz="4" w:space="0" w:color="auto"/>
            </w:tcBorders>
            <w:shd w:val="clear" w:color="auto" w:fill="auto"/>
            <w:vAlign w:val="center"/>
          </w:tcPr>
          <w:p w:rsidR="00CC19FC" w:rsidRPr="003410C7" w:rsidRDefault="00CC19FC" w:rsidP="004B3534">
            <w:pPr>
              <w:pStyle w:val="TableText"/>
              <w:rPr>
                <w:rFonts w:ascii="Tahoma" w:hAnsi="Tahoma" w:cs="Tahoma"/>
                <w:sz w:val="13"/>
              </w:rPr>
            </w:pPr>
            <w:r w:rsidRPr="003410C7">
              <w:rPr>
                <w:rFonts w:ascii="Tahoma" w:hAnsi="Tahoma" w:cs="Tahoma"/>
                <w:sz w:val="13"/>
              </w:rPr>
              <w:t>2</w:t>
            </w:r>
          </w:p>
        </w:tc>
        <w:tc>
          <w:tcPr>
            <w:tcW w:w="429" w:type="dxa"/>
            <w:tcBorders>
              <w:bottom w:val="single" w:sz="4" w:space="0" w:color="auto"/>
            </w:tcBorders>
            <w:shd w:val="clear" w:color="auto" w:fill="auto"/>
            <w:vAlign w:val="center"/>
          </w:tcPr>
          <w:p w:rsidR="00CC19FC" w:rsidRPr="003410C7" w:rsidRDefault="00CC19FC" w:rsidP="004B3534">
            <w:pPr>
              <w:pStyle w:val="TableText"/>
              <w:rPr>
                <w:rFonts w:ascii="Tahoma" w:hAnsi="Tahoma" w:cs="Tahoma"/>
                <w:sz w:val="13"/>
              </w:rPr>
            </w:pPr>
            <w:r w:rsidRPr="003410C7">
              <w:rPr>
                <w:rFonts w:ascii="Tahoma" w:hAnsi="Tahoma" w:cs="Tahoma"/>
                <w:sz w:val="13"/>
              </w:rPr>
              <w:t>1</w:t>
            </w:r>
          </w:p>
        </w:tc>
        <w:tc>
          <w:tcPr>
            <w:tcW w:w="429" w:type="dxa"/>
            <w:tcBorders>
              <w:bottom w:val="single" w:sz="4" w:space="0" w:color="auto"/>
              <w:right w:val="single" w:sz="18" w:space="0" w:color="auto"/>
            </w:tcBorders>
            <w:shd w:val="clear" w:color="auto" w:fill="auto"/>
            <w:vAlign w:val="center"/>
          </w:tcPr>
          <w:p w:rsidR="00CC19FC" w:rsidRPr="003410C7" w:rsidRDefault="00CC19FC" w:rsidP="004B3534">
            <w:pPr>
              <w:pStyle w:val="TableText"/>
              <w:rPr>
                <w:rFonts w:ascii="Tahoma" w:hAnsi="Tahoma" w:cs="Tahoma"/>
                <w:sz w:val="13"/>
              </w:rPr>
            </w:pPr>
            <w:r w:rsidRPr="003410C7">
              <w:rPr>
                <w:rFonts w:ascii="Tahoma" w:hAnsi="Tahoma" w:cs="Tahoma"/>
                <w:sz w:val="13"/>
              </w:rPr>
              <w:t>1</w:t>
            </w:r>
          </w:p>
        </w:tc>
        <w:tc>
          <w:tcPr>
            <w:tcW w:w="429" w:type="dxa"/>
            <w:tcBorders>
              <w:left w:val="single" w:sz="18" w:space="0" w:color="auto"/>
              <w:bottom w:val="single" w:sz="4" w:space="0" w:color="auto"/>
            </w:tcBorders>
            <w:shd w:val="clear" w:color="auto" w:fill="auto"/>
            <w:vAlign w:val="center"/>
          </w:tcPr>
          <w:p w:rsidR="00CC19FC" w:rsidRPr="003410C7" w:rsidRDefault="00CC19FC" w:rsidP="004B3534">
            <w:pPr>
              <w:pStyle w:val="TableText"/>
              <w:rPr>
                <w:rFonts w:ascii="Tahoma" w:hAnsi="Tahoma" w:cs="Tahoma"/>
                <w:sz w:val="13"/>
              </w:rPr>
            </w:pPr>
            <w:r w:rsidRPr="003410C7">
              <w:rPr>
                <w:rFonts w:ascii="Tahoma" w:hAnsi="Tahoma" w:cs="Tahoma"/>
                <w:sz w:val="13"/>
              </w:rPr>
              <w:t>1</w:t>
            </w:r>
          </w:p>
        </w:tc>
        <w:tc>
          <w:tcPr>
            <w:tcW w:w="429" w:type="dxa"/>
            <w:tcBorders>
              <w:bottom w:val="single" w:sz="4" w:space="0" w:color="auto"/>
            </w:tcBorders>
            <w:shd w:val="clear" w:color="auto" w:fill="auto"/>
            <w:vAlign w:val="center"/>
          </w:tcPr>
          <w:p w:rsidR="00CC19FC" w:rsidRPr="003410C7" w:rsidRDefault="00CC19FC" w:rsidP="004B3534">
            <w:pPr>
              <w:pStyle w:val="TableText"/>
              <w:rPr>
                <w:rFonts w:ascii="Tahoma" w:hAnsi="Tahoma" w:cs="Tahoma"/>
                <w:sz w:val="13"/>
              </w:rPr>
            </w:pPr>
            <w:r w:rsidRPr="003410C7">
              <w:rPr>
                <w:rFonts w:ascii="Tahoma" w:hAnsi="Tahoma" w:cs="Tahoma"/>
                <w:sz w:val="13"/>
              </w:rPr>
              <w:t>2</w:t>
            </w:r>
          </w:p>
        </w:tc>
        <w:tc>
          <w:tcPr>
            <w:tcW w:w="442" w:type="dxa"/>
            <w:tcBorders>
              <w:bottom w:val="single" w:sz="4" w:space="0" w:color="auto"/>
              <w:right w:val="single" w:sz="18" w:space="0" w:color="auto"/>
            </w:tcBorders>
            <w:shd w:val="clear" w:color="auto" w:fill="auto"/>
            <w:vAlign w:val="center"/>
          </w:tcPr>
          <w:p w:rsidR="00CC19FC" w:rsidRPr="003410C7" w:rsidRDefault="00CC19FC" w:rsidP="004B3534">
            <w:pPr>
              <w:pStyle w:val="TableText"/>
              <w:rPr>
                <w:rFonts w:ascii="Tahoma" w:hAnsi="Tahoma" w:cs="Tahoma"/>
                <w:sz w:val="13"/>
              </w:rPr>
            </w:pPr>
            <w:r w:rsidRPr="003410C7">
              <w:rPr>
                <w:rFonts w:ascii="Tahoma" w:hAnsi="Tahoma" w:cs="Tahoma"/>
                <w:sz w:val="13"/>
              </w:rPr>
              <w:t>1</w:t>
            </w:r>
          </w:p>
        </w:tc>
        <w:tc>
          <w:tcPr>
            <w:tcW w:w="495" w:type="dxa"/>
            <w:tcBorders>
              <w:left w:val="single" w:sz="18" w:space="0" w:color="auto"/>
              <w:bottom w:val="single" w:sz="4" w:space="0" w:color="auto"/>
            </w:tcBorders>
            <w:shd w:val="clear" w:color="auto" w:fill="auto"/>
            <w:vAlign w:val="center"/>
          </w:tcPr>
          <w:p w:rsidR="00CC19FC" w:rsidRPr="003410C7" w:rsidRDefault="00CC19FC" w:rsidP="004B3534">
            <w:pPr>
              <w:pStyle w:val="TableText"/>
              <w:rPr>
                <w:rFonts w:ascii="Tahoma" w:hAnsi="Tahoma" w:cs="Tahoma"/>
                <w:sz w:val="13"/>
              </w:rPr>
            </w:pPr>
          </w:p>
        </w:tc>
        <w:tc>
          <w:tcPr>
            <w:tcW w:w="459" w:type="dxa"/>
            <w:tcBorders>
              <w:bottom w:val="single" w:sz="4" w:space="0" w:color="auto"/>
              <w:right w:val="single" w:sz="18" w:space="0" w:color="auto"/>
            </w:tcBorders>
            <w:shd w:val="clear" w:color="auto" w:fill="auto"/>
            <w:vAlign w:val="center"/>
          </w:tcPr>
          <w:p w:rsidR="00CC19FC" w:rsidRPr="003410C7" w:rsidRDefault="00CC19FC" w:rsidP="004B3534">
            <w:pPr>
              <w:pStyle w:val="TableText"/>
              <w:rPr>
                <w:rFonts w:ascii="Tahoma" w:hAnsi="Tahoma" w:cs="Tahoma"/>
                <w:sz w:val="13"/>
              </w:rPr>
            </w:pPr>
            <w:r w:rsidRPr="003410C7">
              <w:rPr>
                <w:rFonts w:ascii="Tahoma" w:hAnsi="Tahoma" w:cs="Tahoma"/>
                <w:sz w:val="13"/>
              </w:rPr>
              <w:t>A</w:t>
            </w:r>
          </w:p>
        </w:tc>
        <w:tc>
          <w:tcPr>
            <w:tcW w:w="360" w:type="dxa"/>
            <w:tcBorders>
              <w:left w:val="single" w:sz="18" w:space="0" w:color="auto"/>
              <w:bottom w:val="single" w:sz="4" w:space="0" w:color="auto"/>
              <w:right w:val="single" w:sz="18" w:space="0" w:color="auto"/>
            </w:tcBorders>
            <w:shd w:val="clear" w:color="auto" w:fill="auto"/>
            <w:vAlign w:val="center"/>
          </w:tcPr>
          <w:p w:rsidR="00CC19FC" w:rsidRPr="003410C7" w:rsidRDefault="00CC19FC" w:rsidP="004B3534">
            <w:pPr>
              <w:pStyle w:val="TableText"/>
              <w:rPr>
                <w:rFonts w:ascii="Tahoma" w:hAnsi="Tahoma" w:cs="Tahoma"/>
                <w:sz w:val="13"/>
              </w:rPr>
            </w:pPr>
            <w:r w:rsidRPr="003410C7">
              <w:rPr>
                <w:rFonts w:ascii="Tahoma" w:hAnsi="Tahoma" w:cs="Tahoma"/>
                <w:sz w:val="13"/>
              </w:rPr>
              <w:t>P</w:t>
            </w:r>
          </w:p>
        </w:tc>
        <w:tc>
          <w:tcPr>
            <w:tcW w:w="474" w:type="dxa"/>
            <w:tcBorders>
              <w:bottom w:val="single" w:sz="4" w:space="0" w:color="auto"/>
            </w:tcBorders>
            <w:shd w:val="clear" w:color="auto" w:fill="auto"/>
            <w:vAlign w:val="center"/>
          </w:tcPr>
          <w:p w:rsidR="00CC19FC" w:rsidRPr="003410C7" w:rsidRDefault="00CC19FC" w:rsidP="00080B33">
            <w:pPr>
              <w:pStyle w:val="TableText"/>
              <w:rPr>
                <w:rFonts w:ascii="Tahoma" w:hAnsi="Tahoma" w:cs="Tahoma"/>
                <w:sz w:val="13"/>
              </w:rPr>
            </w:pPr>
          </w:p>
        </w:tc>
        <w:tc>
          <w:tcPr>
            <w:tcW w:w="514" w:type="dxa"/>
            <w:tcBorders>
              <w:bottom w:val="single" w:sz="4" w:space="0" w:color="auto"/>
            </w:tcBorders>
            <w:shd w:val="clear" w:color="auto" w:fill="auto"/>
            <w:vAlign w:val="center"/>
          </w:tcPr>
          <w:p w:rsidR="00CC19FC" w:rsidRPr="003410C7" w:rsidRDefault="00CC19FC" w:rsidP="004B3534">
            <w:pPr>
              <w:pStyle w:val="TableText"/>
              <w:rPr>
                <w:rFonts w:ascii="Tahoma" w:hAnsi="Tahoma" w:cs="Tahoma"/>
                <w:sz w:val="13"/>
              </w:rPr>
            </w:pPr>
          </w:p>
        </w:tc>
      </w:tr>
      <w:tr w:rsidR="00EF228F" w:rsidRPr="003410C7" w:rsidTr="002A074D">
        <w:trPr>
          <w:cantSplit/>
          <w:trHeight w:val="145"/>
        </w:trPr>
        <w:tc>
          <w:tcPr>
            <w:tcW w:w="2638" w:type="dxa"/>
            <w:tcBorders>
              <w:bottom w:val="single" w:sz="4" w:space="0" w:color="auto"/>
            </w:tcBorders>
            <w:shd w:val="clear" w:color="auto" w:fill="FABF8F"/>
          </w:tcPr>
          <w:p w:rsidR="00CC19FC" w:rsidRPr="003410C7" w:rsidRDefault="00C24CBE" w:rsidP="003410C7">
            <w:pPr>
              <w:pStyle w:val="ProductNames"/>
              <w:spacing w:beforeLines="20" w:before="48" w:afterLines="20" w:after="48"/>
              <w:rPr>
                <w:rFonts w:ascii="Tahoma" w:hAnsi="Tahoma" w:cs="Tahoma"/>
                <w:sz w:val="14"/>
              </w:rPr>
            </w:pPr>
            <w:bookmarkStart w:id="106" w:name="_Toc352234493"/>
            <w:r w:rsidRPr="003410C7">
              <w:rPr>
                <w:rFonts w:ascii="Tahoma" w:hAnsi="Tahoma" w:cs="Tahoma"/>
                <w:sz w:val="14"/>
              </w:rPr>
              <w:t>Visio Pro per Office 365</w:t>
            </w:r>
            <w:bookmarkEnd w:id="106"/>
          </w:p>
        </w:tc>
        <w:tc>
          <w:tcPr>
            <w:tcW w:w="429" w:type="dxa"/>
            <w:tcBorders>
              <w:bottom w:val="single" w:sz="4" w:space="0" w:color="auto"/>
            </w:tcBorders>
            <w:shd w:val="clear" w:color="auto" w:fill="FABF8F"/>
            <w:vAlign w:val="center"/>
          </w:tcPr>
          <w:p w:rsidR="00CC19FC" w:rsidRPr="009F17FF" w:rsidRDefault="00FC1A4D" w:rsidP="0018541C">
            <w:pPr>
              <w:pStyle w:val="TableText"/>
              <w:widowControl w:val="0"/>
              <w:rPr>
                <w:rStyle w:val="EndnoteReference"/>
                <w:rFonts w:cs="Tahoma"/>
                <w:b w:val="0"/>
                <w:color w:val="0000FF"/>
                <w:sz w:val="13"/>
                <w:szCs w:val="13"/>
                <w:u w:val="single"/>
              </w:rPr>
            </w:pPr>
            <w:hyperlink w:anchor="_17_Visio_Pro" w:history="1">
              <w:r w:rsidR="007C2D60" w:rsidRPr="009F17FF">
                <w:rPr>
                  <w:rStyle w:val="Hyperlink"/>
                  <w:rFonts w:cs="Tahoma"/>
                  <w:b/>
                  <w:sz w:val="13"/>
                  <w:szCs w:val="13"/>
                </w:rPr>
                <w:t>17</w:t>
              </w:r>
            </w:hyperlink>
          </w:p>
        </w:tc>
        <w:tc>
          <w:tcPr>
            <w:tcW w:w="429" w:type="dxa"/>
            <w:tcBorders>
              <w:bottom w:val="single" w:sz="4" w:space="0" w:color="auto"/>
            </w:tcBorders>
            <w:shd w:val="clear" w:color="auto" w:fill="FABF8F"/>
            <w:vAlign w:val="center"/>
          </w:tcPr>
          <w:p w:rsidR="00CC19FC" w:rsidRPr="003410C7" w:rsidRDefault="00CC19FC" w:rsidP="004B3534">
            <w:pPr>
              <w:pStyle w:val="TableText"/>
              <w:spacing w:before="60" w:after="60"/>
              <w:rPr>
                <w:rFonts w:ascii="Tahoma" w:hAnsi="Tahoma" w:cs="Tahoma"/>
                <w:sz w:val="13"/>
              </w:rPr>
            </w:pPr>
            <w:r w:rsidRPr="003410C7">
              <w:rPr>
                <w:rFonts w:ascii="Tahoma" w:hAnsi="Tahoma" w:cs="Tahoma"/>
                <w:sz w:val="13"/>
              </w:rPr>
              <w:t>03/13</w:t>
            </w:r>
          </w:p>
        </w:tc>
        <w:tc>
          <w:tcPr>
            <w:tcW w:w="429" w:type="dxa"/>
            <w:tcBorders>
              <w:bottom w:val="single" w:sz="4" w:space="0" w:color="auto"/>
              <w:right w:val="single" w:sz="18" w:space="0" w:color="auto"/>
            </w:tcBorders>
            <w:shd w:val="clear" w:color="auto" w:fill="FABF8F"/>
            <w:vAlign w:val="center"/>
          </w:tcPr>
          <w:p w:rsidR="00CC19FC" w:rsidRPr="003410C7" w:rsidRDefault="00CC19FC" w:rsidP="004B3534">
            <w:pPr>
              <w:pStyle w:val="TableText"/>
              <w:rPr>
                <w:rFonts w:ascii="Tahoma" w:hAnsi="Tahoma" w:cs="Tahoma"/>
                <w:sz w:val="13"/>
              </w:rPr>
            </w:pPr>
            <w:r w:rsidRPr="003410C7">
              <w:rPr>
                <w:rFonts w:ascii="Tahoma" w:hAnsi="Tahoma" w:cs="Tahoma"/>
                <w:sz w:val="13"/>
              </w:rPr>
              <w:t>DT</w:t>
            </w:r>
          </w:p>
        </w:tc>
        <w:tc>
          <w:tcPr>
            <w:tcW w:w="429" w:type="dxa"/>
            <w:tcBorders>
              <w:left w:val="single" w:sz="18" w:space="0" w:color="auto"/>
              <w:bottom w:val="single" w:sz="4" w:space="0" w:color="auto"/>
            </w:tcBorders>
            <w:shd w:val="clear" w:color="auto" w:fill="FABF8F"/>
            <w:vAlign w:val="center"/>
          </w:tcPr>
          <w:p w:rsidR="00CC19FC" w:rsidRPr="003410C7" w:rsidRDefault="00CC19FC" w:rsidP="004B3534">
            <w:pPr>
              <w:pStyle w:val="TableText"/>
              <w:rPr>
                <w:rFonts w:ascii="Tahoma" w:hAnsi="Tahoma" w:cs="Tahoma"/>
                <w:sz w:val="13"/>
              </w:rPr>
            </w:pPr>
          </w:p>
        </w:tc>
        <w:tc>
          <w:tcPr>
            <w:tcW w:w="429" w:type="dxa"/>
            <w:tcBorders>
              <w:bottom w:val="single" w:sz="4" w:space="0" w:color="auto"/>
            </w:tcBorders>
            <w:shd w:val="clear" w:color="auto" w:fill="FABF8F"/>
            <w:vAlign w:val="center"/>
          </w:tcPr>
          <w:p w:rsidR="00CC19FC" w:rsidRPr="003410C7" w:rsidRDefault="00CC19FC" w:rsidP="004B3534">
            <w:pPr>
              <w:pStyle w:val="TableText"/>
              <w:rPr>
                <w:rFonts w:ascii="Tahoma" w:hAnsi="Tahoma" w:cs="Tahoma"/>
                <w:sz w:val="13"/>
              </w:rPr>
            </w:pPr>
          </w:p>
        </w:tc>
        <w:tc>
          <w:tcPr>
            <w:tcW w:w="429" w:type="dxa"/>
            <w:tcBorders>
              <w:bottom w:val="single" w:sz="4" w:space="0" w:color="auto"/>
            </w:tcBorders>
            <w:shd w:val="clear" w:color="auto" w:fill="FABF8F"/>
            <w:vAlign w:val="center"/>
          </w:tcPr>
          <w:p w:rsidR="00CC19FC" w:rsidRPr="003410C7" w:rsidRDefault="00CC19FC" w:rsidP="004B3534">
            <w:pPr>
              <w:pStyle w:val="TableText"/>
              <w:rPr>
                <w:rFonts w:ascii="Tahoma" w:hAnsi="Tahoma" w:cs="Tahoma"/>
                <w:sz w:val="13"/>
              </w:rPr>
            </w:pPr>
          </w:p>
        </w:tc>
        <w:tc>
          <w:tcPr>
            <w:tcW w:w="429" w:type="dxa"/>
            <w:tcBorders>
              <w:bottom w:val="single" w:sz="4" w:space="0" w:color="auto"/>
            </w:tcBorders>
            <w:shd w:val="clear" w:color="auto" w:fill="FABF8F"/>
            <w:vAlign w:val="center"/>
          </w:tcPr>
          <w:p w:rsidR="00CC19FC" w:rsidRPr="003410C7" w:rsidRDefault="00CC19FC" w:rsidP="004B3534">
            <w:pPr>
              <w:pStyle w:val="TableText"/>
              <w:rPr>
                <w:rFonts w:ascii="Tahoma" w:hAnsi="Tahoma" w:cs="Tahoma"/>
                <w:sz w:val="13"/>
              </w:rPr>
            </w:pPr>
          </w:p>
        </w:tc>
        <w:tc>
          <w:tcPr>
            <w:tcW w:w="429" w:type="dxa"/>
            <w:tcBorders>
              <w:bottom w:val="single" w:sz="4" w:space="0" w:color="auto"/>
            </w:tcBorders>
            <w:shd w:val="clear" w:color="auto" w:fill="FABF8F"/>
            <w:vAlign w:val="center"/>
          </w:tcPr>
          <w:p w:rsidR="00CC19FC" w:rsidRPr="003410C7" w:rsidRDefault="00CC19FC" w:rsidP="004B3534">
            <w:pPr>
              <w:pStyle w:val="TableText"/>
              <w:rPr>
                <w:rFonts w:ascii="Tahoma" w:hAnsi="Tahoma" w:cs="Tahoma"/>
                <w:sz w:val="13"/>
              </w:rPr>
            </w:pPr>
          </w:p>
        </w:tc>
        <w:tc>
          <w:tcPr>
            <w:tcW w:w="429" w:type="dxa"/>
            <w:tcBorders>
              <w:bottom w:val="single" w:sz="4" w:space="0" w:color="auto"/>
            </w:tcBorders>
            <w:shd w:val="clear" w:color="auto" w:fill="FABF8F"/>
            <w:vAlign w:val="center"/>
          </w:tcPr>
          <w:p w:rsidR="00CC19FC" w:rsidRPr="003410C7" w:rsidRDefault="00CC19FC" w:rsidP="004B3534">
            <w:pPr>
              <w:pStyle w:val="TableText"/>
              <w:rPr>
                <w:rFonts w:ascii="Tahoma" w:hAnsi="Tahoma" w:cs="Tahoma"/>
                <w:sz w:val="13"/>
              </w:rPr>
            </w:pPr>
          </w:p>
        </w:tc>
        <w:tc>
          <w:tcPr>
            <w:tcW w:w="429" w:type="dxa"/>
            <w:tcBorders>
              <w:bottom w:val="single" w:sz="4" w:space="0" w:color="auto"/>
              <w:right w:val="single" w:sz="18" w:space="0" w:color="auto"/>
            </w:tcBorders>
            <w:shd w:val="clear" w:color="auto" w:fill="FABF8F"/>
            <w:vAlign w:val="center"/>
          </w:tcPr>
          <w:p w:rsidR="00CC19FC" w:rsidRPr="003410C7" w:rsidRDefault="00CC19FC" w:rsidP="004B3534">
            <w:pPr>
              <w:pStyle w:val="TableText"/>
              <w:rPr>
                <w:rFonts w:ascii="Tahoma" w:hAnsi="Tahoma" w:cs="Tahoma"/>
                <w:sz w:val="13"/>
              </w:rPr>
            </w:pPr>
          </w:p>
        </w:tc>
        <w:tc>
          <w:tcPr>
            <w:tcW w:w="429" w:type="dxa"/>
            <w:tcBorders>
              <w:left w:val="single" w:sz="18" w:space="0" w:color="auto"/>
              <w:bottom w:val="single" w:sz="4" w:space="0" w:color="auto"/>
            </w:tcBorders>
            <w:shd w:val="clear" w:color="auto" w:fill="FABF8F"/>
            <w:vAlign w:val="center"/>
          </w:tcPr>
          <w:p w:rsidR="00CC19FC" w:rsidRPr="003410C7" w:rsidRDefault="00CC19FC" w:rsidP="004B3534">
            <w:pPr>
              <w:pStyle w:val="TableText"/>
              <w:rPr>
                <w:rFonts w:ascii="Tahoma" w:hAnsi="Tahoma" w:cs="Tahoma"/>
                <w:sz w:val="13"/>
              </w:rPr>
            </w:pPr>
          </w:p>
        </w:tc>
        <w:tc>
          <w:tcPr>
            <w:tcW w:w="429" w:type="dxa"/>
            <w:tcBorders>
              <w:bottom w:val="single" w:sz="4" w:space="0" w:color="auto"/>
            </w:tcBorders>
            <w:shd w:val="clear" w:color="auto" w:fill="FABF8F"/>
            <w:vAlign w:val="center"/>
          </w:tcPr>
          <w:p w:rsidR="00CC19FC" w:rsidRPr="003410C7" w:rsidRDefault="00CC19FC" w:rsidP="004B3534">
            <w:pPr>
              <w:pStyle w:val="TableText"/>
              <w:rPr>
                <w:rFonts w:ascii="Tahoma" w:hAnsi="Tahoma" w:cs="Tahoma"/>
                <w:sz w:val="13"/>
              </w:rPr>
            </w:pPr>
          </w:p>
        </w:tc>
        <w:tc>
          <w:tcPr>
            <w:tcW w:w="442" w:type="dxa"/>
            <w:tcBorders>
              <w:bottom w:val="single" w:sz="4" w:space="0" w:color="auto"/>
              <w:right w:val="single" w:sz="18" w:space="0" w:color="auto"/>
            </w:tcBorders>
            <w:shd w:val="clear" w:color="auto" w:fill="FABF8F"/>
            <w:vAlign w:val="center"/>
          </w:tcPr>
          <w:p w:rsidR="00CC19FC" w:rsidRPr="003410C7" w:rsidRDefault="00CC19FC" w:rsidP="004B3534">
            <w:pPr>
              <w:pStyle w:val="TableText"/>
              <w:rPr>
                <w:rFonts w:ascii="Tahoma" w:hAnsi="Tahoma" w:cs="Tahoma"/>
                <w:sz w:val="13"/>
              </w:rPr>
            </w:pPr>
          </w:p>
        </w:tc>
        <w:tc>
          <w:tcPr>
            <w:tcW w:w="495" w:type="dxa"/>
            <w:tcBorders>
              <w:left w:val="single" w:sz="18" w:space="0" w:color="auto"/>
              <w:bottom w:val="single" w:sz="4" w:space="0" w:color="auto"/>
            </w:tcBorders>
            <w:shd w:val="clear" w:color="auto" w:fill="FABF8F"/>
            <w:vAlign w:val="center"/>
          </w:tcPr>
          <w:p w:rsidR="00CC19FC" w:rsidRPr="003410C7" w:rsidRDefault="00CC19FC" w:rsidP="004B3534">
            <w:pPr>
              <w:pStyle w:val="TableText"/>
              <w:rPr>
                <w:rFonts w:ascii="Tahoma" w:hAnsi="Tahoma" w:cs="Tahoma"/>
                <w:sz w:val="13"/>
              </w:rPr>
            </w:pPr>
          </w:p>
        </w:tc>
        <w:tc>
          <w:tcPr>
            <w:tcW w:w="459" w:type="dxa"/>
            <w:tcBorders>
              <w:bottom w:val="single" w:sz="4" w:space="0" w:color="auto"/>
              <w:right w:val="single" w:sz="18" w:space="0" w:color="auto"/>
            </w:tcBorders>
            <w:shd w:val="clear" w:color="auto" w:fill="FABF8F"/>
            <w:vAlign w:val="center"/>
          </w:tcPr>
          <w:p w:rsidR="00CC19FC" w:rsidRPr="003410C7" w:rsidRDefault="00CC19FC" w:rsidP="004B3534">
            <w:pPr>
              <w:pStyle w:val="TableText"/>
              <w:rPr>
                <w:rFonts w:ascii="Tahoma" w:hAnsi="Tahoma" w:cs="Tahoma"/>
                <w:sz w:val="13"/>
              </w:rPr>
            </w:pPr>
            <w:r w:rsidRPr="003410C7">
              <w:rPr>
                <w:rFonts w:ascii="Tahoma" w:hAnsi="Tahoma" w:cs="Tahoma"/>
                <w:sz w:val="13"/>
              </w:rPr>
              <w:t>A</w:t>
            </w:r>
          </w:p>
        </w:tc>
        <w:tc>
          <w:tcPr>
            <w:tcW w:w="360" w:type="dxa"/>
            <w:tcBorders>
              <w:left w:val="single" w:sz="18" w:space="0" w:color="auto"/>
              <w:bottom w:val="single" w:sz="4" w:space="0" w:color="auto"/>
              <w:right w:val="single" w:sz="18" w:space="0" w:color="auto"/>
            </w:tcBorders>
            <w:shd w:val="clear" w:color="auto" w:fill="FABF8F"/>
            <w:vAlign w:val="center"/>
          </w:tcPr>
          <w:p w:rsidR="00CC19FC" w:rsidRPr="003410C7" w:rsidRDefault="00CC19FC" w:rsidP="004B3534">
            <w:pPr>
              <w:pStyle w:val="TableText"/>
              <w:rPr>
                <w:rFonts w:ascii="Tahoma" w:hAnsi="Tahoma" w:cs="Tahoma"/>
                <w:sz w:val="13"/>
              </w:rPr>
            </w:pPr>
          </w:p>
        </w:tc>
        <w:tc>
          <w:tcPr>
            <w:tcW w:w="474" w:type="dxa"/>
            <w:tcBorders>
              <w:bottom w:val="single" w:sz="4" w:space="0" w:color="auto"/>
            </w:tcBorders>
            <w:shd w:val="clear" w:color="auto" w:fill="FABF8F"/>
            <w:vAlign w:val="center"/>
          </w:tcPr>
          <w:p w:rsidR="00CC19FC" w:rsidRPr="003410C7" w:rsidRDefault="00CC19FC" w:rsidP="00080B33">
            <w:pPr>
              <w:pStyle w:val="TableText"/>
              <w:rPr>
                <w:rFonts w:ascii="Tahoma" w:hAnsi="Tahoma" w:cs="Tahoma"/>
                <w:sz w:val="13"/>
              </w:rPr>
            </w:pPr>
          </w:p>
        </w:tc>
        <w:tc>
          <w:tcPr>
            <w:tcW w:w="514" w:type="dxa"/>
            <w:tcBorders>
              <w:bottom w:val="single" w:sz="4" w:space="0" w:color="auto"/>
            </w:tcBorders>
            <w:shd w:val="clear" w:color="auto" w:fill="FABF8F"/>
            <w:vAlign w:val="center"/>
          </w:tcPr>
          <w:p w:rsidR="00CC19FC" w:rsidRPr="003410C7" w:rsidRDefault="00CC19FC" w:rsidP="004B3534">
            <w:pPr>
              <w:pStyle w:val="TableText"/>
              <w:rPr>
                <w:rFonts w:ascii="Tahoma" w:hAnsi="Tahoma" w:cs="Tahoma"/>
                <w:sz w:val="13"/>
              </w:rPr>
            </w:pPr>
          </w:p>
        </w:tc>
      </w:tr>
      <w:tr w:rsidR="00CC19FC" w:rsidRPr="003410C7" w:rsidTr="002A074D">
        <w:trPr>
          <w:cantSplit/>
          <w:trHeight w:val="145"/>
        </w:trPr>
        <w:tc>
          <w:tcPr>
            <w:tcW w:w="2638" w:type="dxa"/>
            <w:tcBorders>
              <w:bottom w:val="single" w:sz="4" w:space="0" w:color="auto"/>
            </w:tcBorders>
            <w:shd w:val="clear" w:color="auto" w:fill="auto"/>
            <w:vAlign w:val="center"/>
          </w:tcPr>
          <w:p w:rsidR="00CC19FC" w:rsidRPr="00451078" w:rsidRDefault="00CC19FC" w:rsidP="003410C7">
            <w:pPr>
              <w:pStyle w:val="ProductNames"/>
              <w:spacing w:beforeLines="20" w:before="48" w:afterLines="20" w:after="48"/>
              <w:rPr>
                <w:rFonts w:ascii="Tahoma" w:hAnsi="Tahoma" w:cs="Tahoma"/>
                <w:sz w:val="14"/>
                <w:lang w:val="it-IT"/>
              </w:rPr>
            </w:pPr>
            <w:bookmarkStart w:id="107" w:name="_Toc352234494"/>
            <w:r w:rsidRPr="00451078">
              <w:rPr>
                <w:rFonts w:ascii="Tahoma" w:hAnsi="Tahoma" w:cs="Tahoma"/>
                <w:sz w:val="14"/>
                <w:lang w:val="it-IT"/>
              </w:rPr>
              <w:t>Visio Pro per Office 365 A</w:t>
            </w:r>
            <w:bookmarkEnd w:id="107"/>
          </w:p>
        </w:tc>
        <w:tc>
          <w:tcPr>
            <w:tcW w:w="429" w:type="dxa"/>
            <w:tcBorders>
              <w:bottom w:val="single" w:sz="4" w:space="0" w:color="auto"/>
            </w:tcBorders>
            <w:shd w:val="clear" w:color="auto" w:fill="auto"/>
            <w:vAlign w:val="center"/>
          </w:tcPr>
          <w:p w:rsidR="00CC19FC" w:rsidRPr="00451078" w:rsidRDefault="00CC19FC" w:rsidP="008A7B14">
            <w:pPr>
              <w:pStyle w:val="TableText"/>
              <w:widowControl w:val="0"/>
              <w:rPr>
                <w:rStyle w:val="EndnoteReference"/>
                <w:rFonts w:cs="Tahoma"/>
                <w:color w:val="0000FF"/>
                <w:sz w:val="13"/>
                <w:szCs w:val="13"/>
                <w:u w:val="single"/>
                <w:lang w:val="it-IT"/>
              </w:rPr>
            </w:pPr>
          </w:p>
        </w:tc>
        <w:tc>
          <w:tcPr>
            <w:tcW w:w="429" w:type="dxa"/>
            <w:tcBorders>
              <w:bottom w:val="single" w:sz="4" w:space="0" w:color="auto"/>
            </w:tcBorders>
            <w:shd w:val="clear" w:color="auto" w:fill="auto"/>
            <w:vAlign w:val="center"/>
          </w:tcPr>
          <w:p w:rsidR="00CC19FC" w:rsidRPr="003410C7" w:rsidRDefault="00CC19FC" w:rsidP="004B3534">
            <w:pPr>
              <w:pStyle w:val="TableText"/>
              <w:spacing w:before="60" w:after="60"/>
              <w:rPr>
                <w:rFonts w:ascii="Tahoma" w:hAnsi="Tahoma" w:cs="Tahoma"/>
                <w:sz w:val="13"/>
              </w:rPr>
            </w:pPr>
            <w:r w:rsidRPr="003410C7">
              <w:rPr>
                <w:rFonts w:ascii="Tahoma" w:hAnsi="Tahoma" w:cs="Tahoma"/>
                <w:sz w:val="13"/>
              </w:rPr>
              <w:t>03/13</w:t>
            </w:r>
          </w:p>
        </w:tc>
        <w:tc>
          <w:tcPr>
            <w:tcW w:w="429" w:type="dxa"/>
            <w:tcBorders>
              <w:bottom w:val="single" w:sz="4" w:space="0" w:color="auto"/>
              <w:right w:val="single" w:sz="18" w:space="0" w:color="auto"/>
            </w:tcBorders>
            <w:shd w:val="clear" w:color="auto" w:fill="auto"/>
            <w:vAlign w:val="center"/>
          </w:tcPr>
          <w:p w:rsidR="00CC19FC" w:rsidRPr="003410C7" w:rsidRDefault="00CC19FC" w:rsidP="004B3534">
            <w:pPr>
              <w:pStyle w:val="TableText"/>
              <w:rPr>
                <w:rFonts w:ascii="Tahoma" w:hAnsi="Tahoma" w:cs="Tahoma"/>
                <w:sz w:val="13"/>
              </w:rPr>
            </w:pPr>
            <w:r w:rsidRPr="003410C7">
              <w:rPr>
                <w:rFonts w:ascii="Tahoma" w:hAnsi="Tahoma" w:cs="Tahoma"/>
                <w:sz w:val="13"/>
              </w:rPr>
              <w:t>DT</w:t>
            </w:r>
          </w:p>
        </w:tc>
        <w:tc>
          <w:tcPr>
            <w:tcW w:w="429" w:type="dxa"/>
            <w:tcBorders>
              <w:left w:val="single" w:sz="18" w:space="0" w:color="auto"/>
              <w:bottom w:val="single" w:sz="4" w:space="0" w:color="auto"/>
            </w:tcBorders>
            <w:shd w:val="clear" w:color="auto" w:fill="auto"/>
            <w:vAlign w:val="center"/>
          </w:tcPr>
          <w:p w:rsidR="00CC19FC" w:rsidRPr="003410C7" w:rsidRDefault="00CC19FC" w:rsidP="004B3534">
            <w:pPr>
              <w:pStyle w:val="TableText"/>
              <w:rPr>
                <w:rFonts w:ascii="Tahoma" w:hAnsi="Tahoma" w:cs="Tahoma"/>
                <w:sz w:val="13"/>
              </w:rPr>
            </w:pPr>
          </w:p>
        </w:tc>
        <w:tc>
          <w:tcPr>
            <w:tcW w:w="429" w:type="dxa"/>
            <w:tcBorders>
              <w:bottom w:val="single" w:sz="4" w:space="0" w:color="auto"/>
            </w:tcBorders>
            <w:shd w:val="clear" w:color="auto" w:fill="auto"/>
            <w:vAlign w:val="center"/>
          </w:tcPr>
          <w:p w:rsidR="00CC19FC" w:rsidRPr="003410C7" w:rsidRDefault="00CC19FC" w:rsidP="004B3534">
            <w:pPr>
              <w:pStyle w:val="TableText"/>
              <w:rPr>
                <w:rFonts w:ascii="Tahoma" w:hAnsi="Tahoma" w:cs="Tahoma"/>
                <w:sz w:val="13"/>
              </w:rPr>
            </w:pPr>
          </w:p>
        </w:tc>
        <w:tc>
          <w:tcPr>
            <w:tcW w:w="429" w:type="dxa"/>
            <w:tcBorders>
              <w:bottom w:val="single" w:sz="4" w:space="0" w:color="auto"/>
            </w:tcBorders>
            <w:shd w:val="clear" w:color="auto" w:fill="auto"/>
            <w:vAlign w:val="center"/>
          </w:tcPr>
          <w:p w:rsidR="00CC19FC" w:rsidRPr="003410C7" w:rsidRDefault="00CC19FC" w:rsidP="004B3534">
            <w:pPr>
              <w:pStyle w:val="TableText"/>
              <w:rPr>
                <w:rFonts w:ascii="Tahoma" w:hAnsi="Tahoma" w:cs="Tahoma"/>
                <w:sz w:val="13"/>
              </w:rPr>
            </w:pPr>
          </w:p>
        </w:tc>
        <w:tc>
          <w:tcPr>
            <w:tcW w:w="429" w:type="dxa"/>
            <w:tcBorders>
              <w:bottom w:val="single" w:sz="4" w:space="0" w:color="auto"/>
            </w:tcBorders>
            <w:shd w:val="clear" w:color="auto" w:fill="auto"/>
            <w:vAlign w:val="center"/>
          </w:tcPr>
          <w:p w:rsidR="00CC19FC" w:rsidRPr="003410C7" w:rsidRDefault="00CC19FC" w:rsidP="004B3534">
            <w:pPr>
              <w:pStyle w:val="TableText"/>
              <w:rPr>
                <w:rFonts w:ascii="Tahoma" w:hAnsi="Tahoma" w:cs="Tahoma"/>
                <w:sz w:val="13"/>
              </w:rPr>
            </w:pPr>
          </w:p>
        </w:tc>
        <w:tc>
          <w:tcPr>
            <w:tcW w:w="429" w:type="dxa"/>
            <w:tcBorders>
              <w:bottom w:val="single" w:sz="4" w:space="0" w:color="auto"/>
            </w:tcBorders>
            <w:shd w:val="clear" w:color="auto" w:fill="auto"/>
            <w:vAlign w:val="center"/>
          </w:tcPr>
          <w:p w:rsidR="00CC19FC" w:rsidRPr="003410C7" w:rsidRDefault="00CC19FC" w:rsidP="004B3534">
            <w:pPr>
              <w:pStyle w:val="TableText"/>
              <w:rPr>
                <w:rFonts w:ascii="Tahoma" w:hAnsi="Tahoma" w:cs="Tahoma"/>
                <w:sz w:val="13"/>
              </w:rPr>
            </w:pPr>
          </w:p>
        </w:tc>
        <w:tc>
          <w:tcPr>
            <w:tcW w:w="429" w:type="dxa"/>
            <w:tcBorders>
              <w:bottom w:val="single" w:sz="4" w:space="0" w:color="auto"/>
            </w:tcBorders>
            <w:shd w:val="clear" w:color="auto" w:fill="auto"/>
            <w:vAlign w:val="center"/>
          </w:tcPr>
          <w:p w:rsidR="00CC19FC" w:rsidRPr="003410C7" w:rsidRDefault="00CC19FC" w:rsidP="004B3534">
            <w:pPr>
              <w:pStyle w:val="TableText"/>
              <w:rPr>
                <w:rFonts w:ascii="Tahoma" w:hAnsi="Tahoma" w:cs="Tahoma"/>
                <w:sz w:val="13"/>
              </w:rPr>
            </w:pPr>
          </w:p>
        </w:tc>
        <w:tc>
          <w:tcPr>
            <w:tcW w:w="429" w:type="dxa"/>
            <w:tcBorders>
              <w:bottom w:val="single" w:sz="4" w:space="0" w:color="auto"/>
              <w:right w:val="single" w:sz="18" w:space="0" w:color="auto"/>
            </w:tcBorders>
            <w:shd w:val="clear" w:color="auto" w:fill="auto"/>
            <w:vAlign w:val="center"/>
          </w:tcPr>
          <w:p w:rsidR="00CC19FC" w:rsidRPr="003410C7" w:rsidRDefault="00CC19FC" w:rsidP="004B3534">
            <w:pPr>
              <w:pStyle w:val="TableText"/>
              <w:rPr>
                <w:rFonts w:ascii="Tahoma" w:hAnsi="Tahoma" w:cs="Tahoma"/>
                <w:sz w:val="13"/>
              </w:rPr>
            </w:pPr>
          </w:p>
        </w:tc>
        <w:tc>
          <w:tcPr>
            <w:tcW w:w="429" w:type="dxa"/>
            <w:tcBorders>
              <w:left w:val="single" w:sz="18" w:space="0" w:color="auto"/>
              <w:bottom w:val="single" w:sz="4" w:space="0" w:color="auto"/>
            </w:tcBorders>
            <w:shd w:val="clear" w:color="auto" w:fill="auto"/>
            <w:vAlign w:val="center"/>
          </w:tcPr>
          <w:p w:rsidR="00CC19FC" w:rsidRPr="003410C7" w:rsidRDefault="00CC19FC" w:rsidP="004B3534">
            <w:pPr>
              <w:pStyle w:val="TableText"/>
              <w:rPr>
                <w:rFonts w:ascii="Tahoma" w:hAnsi="Tahoma" w:cs="Tahoma"/>
                <w:sz w:val="13"/>
              </w:rPr>
            </w:pPr>
          </w:p>
        </w:tc>
        <w:tc>
          <w:tcPr>
            <w:tcW w:w="429" w:type="dxa"/>
            <w:tcBorders>
              <w:bottom w:val="single" w:sz="4" w:space="0" w:color="auto"/>
            </w:tcBorders>
            <w:shd w:val="clear" w:color="auto" w:fill="auto"/>
            <w:vAlign w:val="center"/>
          </w:tcPr>
          <w:p w:rsidR="00CC19FC" w:rsidRPr="003410C7" w:rsidRDefault="00CC19FC" w:rsidP="004B3534">
            <w:pPr>
              <w:pStyle w:val="TableText"/>
              <w:rPr>
                <w:rFonts w:ascii="Tahoma" w:hAnsi="Tahoma" w:cs="Tahoma"/>
                <w:sz w:val="13"/>
              </w:rPr>
            </w:pPr>
          </w:p>
        </w:tc>
        <w:tc>
          <w:tcPr>
            <w:tcW w:w="442" w:type="dxa"/>
            <w:tcBorders>
              <w:bottom w:val="single" w:sz="4" w:space="0" w:color="auto"/>
              <w:right w:val="single" w:sz="18" w:space="0" w:color="auto"/>
            </w:tcBorders>
            <w:shd w:val="clear" w:color="auto" w:fill="auto"/>
            <w:vAlign w:val="center"/>
          </w:tcPr>
          <w:p w:rsidR="00CC19FC" w:rsidRPr="003410C7" w:rsidRDefault="00CC19FC" w:rsidP="004B3534">
            <w:pPr>
              <w:pStyle w:val="TableText"/>
              <w:rPr>
                <w:rFonts w:ascii="Tahoma" w:hAnsi="Tahoma" w:cs="Tahoma"/>
                <w:sz w:val="13"/>
              </w:rPr>
            </w:pPr>
          </w:p>
        </w:tc>
        <w:tc>
          <w:tcPr>
            <w:tcW w:w="495" w:type="dxa"/>
            <w:tcBorders>
              <w:left w:val="single" w:sz="18" w:space="0" w:color="auto"/>
              <w:bottom w:val="single" w:sz="4" w:space="0" w:color="auto"/>
            </w:tcBorders>
            <w:shd w:val="clear" w:color="auto" w:fill="auto"/>
            <w:vAlign w:val="center"/>
          </w:tcPr>
          <w:p w:rsidR="00CC19FC" w:rsidRPr="003410C7" w:rsidRDefault="00C24CBE" w:rsidP="004B3534">
            <w:pPr>
              <w:pStyle w:val="TableText"/>
              <w:rPr>
                <w:rFonts w:ascii="Tahoma" w:hAnsi="Tahoma" w:cs="Tahoma"/>
                <w:sz w:val="13"/>
              </w:rPr>
            </w:pPr>
            <w:r w:rsidRPr="003410C7">
              <w:rPr>
                <w:rFonts w:ascii="Tahoma" w:hAnsi="Tahoma" w:cs="Tahoma"/>
                <w:sz w:val="13"/>
              </w:rPr>
              <w:t>1</w:t>
            </w:r>
          </w:p>
        </w:tc>
        <w:tc>
          <w:tcPr>
            <w:tcW w:w="459" w:type="dxa"/>
            <w:tcBorders>
              <w:bottom w:val="single" w:sz="4" w:space="0" w:color="auto"/>
              <w:right w:val="single" w:sz="18" w:space="0" w:color="auto"/>
            </w:tcBorders>
            <w:shd w:val="clear" w:color="auto" w:fill="auto"/>
            <w:vAlign w:val="center"/>
          </w:tcPr>
          <w:p w:rsidR="00CC19FC" w:rsidRPr="003410C7" w:rsidRDefault="00CC19FC" w:rsidP="004B3534">
            <w:pPr>
              <w:pStyle w:val="TableText"/>
              <w:rPr>
                <w:rFonts w:ascii="Tahoma" w:hAnsi="Tahoma" w:cs="Tahoma"/>
                <w:sz w:val="13"/>
              </w:rPr>
            </w:pPr>
            <w:r w:rsidRPr="003410C7">
              <w:rPr>
                <w:rFonts w:ascii="Tahoma" w:hAnsi="Tahoma" w:cs="Tahoma"/>
                <w:sz w:val="13"/>
              </w:rPr>
              <w:t>A</w:t>
            </w:r>
          </w:p>
        </w:tc>
        <w:tc>
          <w:tcPr>
            <w:tcW w:w="360" w:type="dxa"/>
            <w:tcBorders>
              <w:left w:val="single" w:sz="18" w:space="0" w:color="auto"/>
              <w:bottom w:val="single" w:sz="4" w:space="0" w:color="auto"/>
              <w:right w:val="single" w:sz="18" w:space="0" w:color="auto"/>
            </w:tcBorders>
            <w:shd w:val="clear" w:color="auto" w:fill="auto"/>
            <w:vAlign w:val="center"/>
          </w:tcPr>
          <w:p w:rsidR="00CC19FC" w:rsidRPr="003410C7" w:rsidRDefault="00CC19FC" w:rsidP="004B3534">
            <w:pPr>
              <w:pStyle w:val="TableText"/>
              <w:rPr>
                <w:rFonts w:ascii="Tahoma" w:hAnsi="Tahoma" w:cs="Tahoma"/>
                <w:sz w:val="13"/>
              </w:rPr>
            </w:pPr>
          </w:p>
        </w:tc>
        <w:tc>
          <w:tcPr>
            <w:tcW w:w="474" w:type="dxa"/>
            <w:tcBorders>
              <w:bottom w:val="single" w:sz="4" w:space="0" w:color="auto"/>
            </w:tcBorders>
            <w:shd w:val="clear" w:color="auto" w:fill="auto"/>
            <w:vAlign w:val="center"/>
          </w:tcPr>
          <w:p w:rsidR="00CC19FC" w:rsidRPr="003410C7" w:rsidRDefault="00573BA8" w:rsidP="00080B33">
            <w:pPr>
              <w:pStyle w:val="TableText"/>
              <w:rPr>
                <w:rFonts w:ascii="Tahoma" w:hAnsi="Tahoma" w:cs="Tahoma"/>
                <w:sz w:val="13"/>
              </w:rPr>
            </w:pPr>
            <w:r w:rsidRPr="003410C7">
              <w:rPr>
                <w:rFonts w:ascii="Tahoma" w:hAnsi="Tahoma" w:cs="Tahoma"/>
                <w:sz w:val="13"/>
              </w:rPr>
              <w:t>A, ST (Solo EES)</w:t>
            </w:r>
          </w:p>
        </w:tc>
        <w:tc>
          <w:tcPr>
            <w:tcW w:w="514" w:type="dxa"/>
            <w:tcBorders>
              <w:bottom w:val="single" w:sz="4" w:space="0" w:color="auto"/>
            </w:tcBorders>
            <w:shd w:val="clear" w:color="auto" w:fill="auto"/>
            <w:vAlign w:val="center"/>
          </w:tcPr>
          <w:p w:rsidR="00CC19FC" w:rsidRPr="003410C7" w:rsidRDefault="00CC19FC" w:rsidP="004B3534">
            <w:pPr>
              <w:pStyle w:val="TableText"/>
              <w:rPr>
                <w:rFonts w:ascii="Tahoma" w:hAnsi="Tahoma" w:cs="Tahoma"/>
                <w:sz w:val="13"/>
              </w:rPr>
            </w:pPr>
          </w:p>
        </w:tc>
      </w:tr>
      <w:tr w:rsidR="00EF228F" w:rsidRPr="003410C7" w:rsidTr="002A074D">
        <w:trPr>
          <w:cantSplit/>
          <w:trHeight w:val="145"/>
        </w:trPr>
        <w:tc>
          <w:tcPr>
            <w:tcW w:w="2638" w:type="dxa"/>
            <w:tcBorders>
              <w:bottom w:val="single" w:sz="4" w:space="0" w:color="auto"/>
            </w:tcBorders>
            <w:shd w:val="clear" w:color="auto" w:fill="FABF8F"/>
          </w:tcPr>
          <w:p w:rsidR="00CC19FC" w:rsidRPr="003410C7" w:rsidRDefault="00CC19FC" w:rsidP="003410C7">
            <w:pPr>
              <w:pStyle w:val="ProductNames"/>
              <w:spacing w:beforeLines="20" w:before="48" w:afterLines="20" w:after="48"/>
              <w:rPr>
                <w:rFonts w:ascii="Tahoma" w:hAnsi="Tahoma" w:cs="Tahoma"/>
                <w:sz w:val="14"/>
              </w:rPr>
            </w:pPr>
            <w:bookmarkStart w:id="108" w:name="_Toc336337889"/>
            <w:bookmarkStart w:id="109" w:name="_Toc352234495"/>
            <w:r w:rsidRPr="003410C7">
              <w:rPr>
                <w:rFonts w:ascii="Tahoma" w:hAnsi="Tahoma" w:cs="Tahoma"/>
                <w:sz w:val="14"/>
              </w:rPr>
              <w:t>Visual Studio</w:t>
            </w:r>
            <w:r w:rsidR="003410C7" w:rsidRPr="003410C7">
              <w:rPr>
                <w:rFonts w:ascii="Tahoma" w:hAnsi="Tahoma" w:cs="Tahoma"/>
                <w:sz w:val="14"/>
                <w:vertAlign w:val="superscript"/>
              </w:rPr>
              <w:t>®</w:t>
            </w:r>
            <w:r w:rsidRPr="003410C7">
              <w:rPr>
                <w:rFonts w:ascii="Tahoma" w:hAnsi="Tahoma" w:cs="Tahoma"/>
                <w:sz w:val="14"/>
              </w:rPr>
              <w:t xml:space="preserve"> Professional 2012</w:t>
            </w:r>
            <w:bookmarkEnd w:id="108"/>
            <w:bookmarkEnd w:id="109"/>
          </w:p>
        </w:tc>
        <w:tc>
          <w:tcPr>
            <w:tcW w:w="429" w:type="dxa"/>
            <w:tcBorders>
              <w:bottom w:val="single" w:sz="4" w:space="0" w:color="auto"/>
            </w:tcBorders>
            <w:shd w:val="clear" w:color="auto" w:fill="FABF8F"/>
            <w:vAlign w:val="center"/>
          </w:tcPr>
          <w:p w:rsidR="00CC19FC" w:rsidRPr="009F17FF" w:rsidRDefault="00FC1A4D" w:rsidP="0018541C">
            <w:pPr>
              <w:pStyle w:val="TableText"/>
              <w:widowControl w:val="0"/>
              <w:rPr>
                <w:b/>
                <w:color w:val="0000FF"/>
                <w:sz w:val="13"/>
                <w:szCs w:val="13"/>
                <w:u w:val="single"/>
              </w:rPr>
            </w:pPr>
            <w:hyperlink w:anchor="Aps_12VS2010Professional" w:history="1">
              <w:r w:rsidR="000D77F6" w:rsidRPr="009F17FF">
                <w:rPr>
                  <w:rStyle w:val="Hyperlink"/>
                  <w:b/>
                  <w:sz w:val="13"/>
                  <w:szCs w:val="13"/>
                </w:rPr>
                <w:t>18</w:t>
              </w:r>
            </w:hyperlink>
          </w:p>
        </w:tc>
        <w:tc>
          <w:tcPr>
            <w:tcW w:w="429" w:type="dxa"/>
            <w:tcBorders>
              <w:bottom w:val="single" w:sz="4" w:space="0" w:color="auto"/>
            </w:tcBorders>
            <w:shd w:val="clear" w:color="auto" w:fill="FABF8F"/>
            <w:vAlign w:val="center"/>
          </w:tcPr>
          <w:p w:rsidR="00CC19FC" w:rsidRPr="003410C7" w:rsidRDefault="00CC19FC" w:rsidP="0090699E">
            <w:pPr>
              <w:pStyle w:val="TableText"/>
              <w:spacing w:before="60" w:after="60"/>
              <w:rPr>
                <w:rFonts w:ascii="Tahoma" w:hAnsi="Tahoma" w:cs="Tahoma"/>
                <w:sz w:val="13"/>
              </w:rPr>
            </w:pPr>
            <w:r w:rsidRPr="003410C7">
              <w:rPr>
                <w:rFonts w:ascii="Tahoma" w:hAnsi="Tahoma" w:cs="Tahoma"/>
                <w:sz w:val="13"/>
              </w:rPr>
              <w:t>08/12</w:t>
            </w:r>
          </w:p>
        </w:tc>
        <w:tc>
          <w:tcPr>
            <w:tcW w:w="429" w:type="dxa"/>
            <w:tcBorders>
              <w:bottom w:val="single" w:sz="4" w:space="0" w:color="auto"/>
              <w:right w:val="single" w:sz="18" w:space="0" w:color="auto"/>
            </w:tcBorders>
            <w:shd w:val="clear" w:color="auto" w:fill="FABF8F"/>
            <w:vAlign w:val="center"/>
          </w:tcPr>
          <w:p w:rsidR="00CC19FC" w:rsidRPr="003410C7" w:rsidRDefault="00CC19FC" w:rsidP="004B3534">
            <w:pPr>
              <w:pStyle w:val="TableText"/>
              <w:rPr>
                <w:rFonts w:ascii="Tahoma" w:hAnsi="Tahoma" w:cs="Tahoma"/>
                <w:sz w:val="13"/>
              </w:rPr>
            </w:pPr>
          </w:p>
        </w:tc>
        <w:tc>
          <w:tcPr>
            <w:tcW w:w="429" w:type="dxa"/>
            <w:tcBorders>
              <w:left w:val="single" w:sz="18" w:space="0" w:color="auto"/>
              <w:bottom w:val="single" w:sz="4" w:space="0" w:color="auto"/>
            </w:tcBorders>
            <w:shd w:val="clear" w:color="auto" w:fill="FABF8F"/>
            <w:vAlign w:val="center"/>
          </w:tcPr>
          <w:p w:rsidR="00CC19FC" w:rsidRPr="003410C7" w:rsidRDefault="00CC19FC" w:rsidP="004B3534">
            <w:pPr>
              <w:pStyle w:val="TableText"/>
              <w:spacing w:after="120"/>
              <w:rPr>
                <w:rFonts w:ascii="Tahoma" w:hAnsi="Tahoma" w:cs="Tahoma"/>
                <w:sz w:val="13"/>
              </w:rPr>
            </w:pPr>
            <w:r w:rsidRPr="003410C7">
              <w:rPr>
                <w:rFonts w:ascii="Tahoma" w:hAnsi="Tahoma" w:cs="Tahoma"/>
                <w:sz w:val="13"/>
              </w:rPr>
              <w:t>2</w:t>
            </w:r>
          </w:p>
        </w:tc>
        <w:tc>
          <w:tcPr>
            <w:tcW w:w="429" w:type="dxa"/>
            <w:tcBorders>
              <w:bottom w:val="single" w:sz="4" w:space="0" w:color="auto"/>
            </w:tcBorders>
            <w:shd w:val="clear" w:color="auto" w:fill="FABF8F"/>
            <w:vAlign w:val="center"/>
          </w:tcPr>
          <w:p w:rsidR="00CC19FC" w:rsidRPr="003410C7" w:rsidRDefault="00CC19FC" w:rsidP="004B3534">
            <w:pPr>
              <w:pStyle w:val="TableText"/>
              <w:spacing w:after="120"/>
              <w:rPr>
                <w:rFonts w:ascii="Tahoma" w:hAnsi="Tahoma" w:cs="Tahoma"/>
                <w:sz w:val="13"/>
              </w:rPr>
            </w:pPr>
          </w:p>
        </w:tc>
        <w:tc>
          <w:tcPr>
            <w:tcW w:w="429" w:type="dxa"/>
            <w:tcBorders>
              <w:bottom w:val="single" w:sz="4" w:space="0" w:color="auto"/>
            </w:tcBorders>
            <w:shd w:val="clear" w:color="auto" w:fill="FABF8F"/>
            <w:vAlign w:val="center"/>
          </w:tcPr>
          <w:p w:rsidR="00CC19FC" w:rsidRPr="003410C7" w:rsidRDefault="00CC19FC" w:rsidP="004B3534">
            <w:pPr>
              <w:pStyle w:val="TableText"/>
              <w:spacing w:after="120"/>
              <w:rPr>
                <w:rFonts w:ascii="Tahoma" w:hAnsi="Tahoma" w:cs="Tahoma"/>
                <w:sz w:val="13"/>
              </w:rPr>
            </w:pPr>
          </w:p>
        </w:tc>
        <w:tc>
          <w:tcPr>
            <w:tcW w:w="429" w:type="dxa"/>
            <w:tcBorders>
              <w:bottom w:val="single" w:sz="4" w:space="0" w:color="auto"/>
            </w:tcBorders>
            <w:shd w:val="clear" w:color="auto" w:fill="FABF8F"/>
            <w:vAlign w:val="center"/>
          </w:tcPr>
          <w:p w:rsidR="00CC19FC" w:rsidRPr="003410C7" w:rsidRDefault="00CC19FC" w:rsidP="004B3534">
            <w:pPr>
              <w:pStyle w:val="TableText"/>
              <w:spacing w:after="120"/>
              <w:rPr>
                <w:rFonts w:ascii="Tahoma" w:hAnsi="Tahoma" w:cs="Tahoma"/>
                <w:sz w:val="13"/>
              </w:rPr>
            </w:pPr>
          </w:p>
        </w:tc>
        <w:tc>
          <w:tcPr>
            <w:tcW w:w="429" w:type="dxa"/>
            <w:tcBorders>
              <w:bottom w:val="single" w:sz="4" w:space="0" w:color="auto"/>
            </w:tcBorders>
            <w:shd w:val="clear" w:color="auto" w:fill="FABF8F"/>
            <w:vAlign w:val="center"/>
          </w:tcPr>
          <w:p w:rsidR="00CC19FC" w:rsidRPr="003410C7" w:rsidRDefault="00CC19FC" w:rsidP="004B3534">
            <w:pPr>
              <w:pStyle w:val="TableText"/>
              <w:spacing w:after="120"/>
              <w:rPr>
                <w:rFonts w:ascii="Tahoma" w:hAnsi="Tahoma" w:cs="Tahoma"/>
                <w:sz w:val="13"/>
              </w:rPr>
            </w:pPr>
          </w:p>
        </w:tc>
        <w:tc>
          <w:tcPr>
            <w:tcW w:w="429" w:type="dxa"/>
            <w:tcBorders>
              <w:bottom w:val="single" w:sz="4" w:space="0" w:color="auto"/>
            </w:tcBorders>
            <w:shd w:val="clear" w:color="auto" w:fill="FABF8F"/>
            <w:vAlign w:val="center"/>
          </w:tcPr>
          <w:p w:rsidR="00CC19FC" w:rsidRPr="003410C7" w:rsidRDefault="00CC19FC" w:rsidP="004B3534">
            <w:pPr>
              <w:pStyle w:val="TableText"/>
              <w:spacing w:after="120"/>
              <w:rPr>
                <w:rFonts w:ascii="Tahoma" w:hAnsi="Tahoma" w:cs="Tahoma"/>
                <w:sz w:val="13"/>
              </w:rPr>
            </w:pPr>
          </w:p>
        </w:tc>
        <w:tc>
          <w:tcPr>
            <w:tcW w:w="429" w:type="dxa"/>
            <w:tcBorders>
              <w:bottom w:val="single" w:sz="4" w:space="0" w:color="auto"/>
              <w:right w:val="single" w:sz="18" w:space="0" w:color="auto"/>
            </w:tcBorders>
            <w:shd w:val="clear" w:color="auto" w:fill="FABF8F"/>
            <w:vAlign w:val="center"/>
          </w:tcPr>
          <w:p w:rsidR="00CC19FC" w:rsidRPr="003410C7" w:rsidRDefault="00CC19FC" w:rsidP="004B3534">
            <w:pPr>
              <w:pStyle w:val="TableText"/>
              <w:spacing w:after="120"/>
              <w:rPr>
                <w:rFonts w:ascii="Tahoma" w:hAnsi="Tahoma" w:cs="Tahoma"/>
                <w:sz w:val="13"/>
              </w:rPr>
            </w:pPr>
          </w:p>
        </w:tc>
        <w:tc>
          <w:tcPr>
            <w:tcW w:w="429" w:type="dxa"/>
            <w:tcBorders>
              <w:left w:val="single" w:sz="18" w:space="0" w:color="auto"/>
              <w:bottom w:val="single" w:sz="4" w:space="0" w:color="auto"/>
            </w:tcBorders>
            <w:shd w:val="clear" w:color="auto" w:fill="FABF8F"/>
            <w:vAlign w:val="center"/>
          </w:tcPr>
          <w:p w:rsidR="00CC19FC" w:rsidRPr="003410C7" w:rsidRDefault="00CC19FC" w:rsidP="004B3534">
            <w:pPr>
              <w:pStyle w:val="TableText"/>
              <w:spacing w:after="120"/>
              <w:rPr>
                <w:rFonts w:ascii="Tahoma" w:hAnsi="Tahoma" w:cs="Tahoma"/>
                <w:sz w:val="13"/>
              </w:rPr>
            </w:pPr>
            <w:r w:rsidRPr="003410C7">
              <w:rPr>
                <w:rFonts w:ascii="Tahoma" w:hAnsi="Tahoma" w:cs="Tahoma"/>
                <w:sz w:val="13"/>
              </w:rPr>
              <w:t>2</w:t>
            </w:r>
          </w:p>
        </w:tc>
        <w:tc>
          <w:tcPr>
            <w:tcW w:w="429" w:type="dxa"/>
            <w:tcBorders>
              <w:bottom w:val="single" w:sz="4" w:space="0" w:color="auto"/>
            </w:tcBorders>
            <w:shd w:val="clear" w:color="auto" w:fill="FABF8F"/>
            <w:vAlign w:val="center"/>
          </w:tcPr>
          <w:p w:rsidR="00CC19FC" w:rsidRPr="003410C7" w:rsidRDefault="00CC19FC" w:rsidP="004B3534">
            <w:pPr>
              <w:pStyle w:val="TableText"/>
              <w:spacing w:after="120"/>
              <w:rPr>
                <w:rFonts w:ascii="Tahoma" w:hAnsi="Tahoma" w:cs="Tahoma"/>
                <w:sz w:val="13"/>
              </w:rPr>
            </w:pPr>
          </w:p>
        </w:tc>
        <w:tc>
          <w:tcPr>
            <w:tcW w:w="442" w:type="dxa"/>
            <w:tcBorders>
              <w:bottom w:val="single" w:sz="4" w:space="0" w:color="auto"/>
              <w:right w:val="single" w:sz="18" w:space="0" w:color="auto"/>
            </w:tcBorders>
            <w:shd w:val="clear" w:color="auto" w:fill="FABF8F"/>
            <w:vAlign w:val="center"/>
          </w:tcPr>
          <w:p w:rsidR="00CC19FC" w:rsidRPr="003410C7" w:rsidRDefault="00CC19FC" w:rsidP="004B3534">
            <w:pPr>
              <w:pStyle w:val="TableText"/>
              <w:spacing w:after="120"/>
              <w:rPr>
                <w:rFonts w:ascii="Tahoma" w:hAnsi="Tahoma" w:cs="Tahoma"/>
                <w:sz w:val="13"/>
              </w:rPr>
            </w:pPr>
          </w:p>
        </w:tc>
        <w:tc>
          <w:tcPr>
            <w:tcW w:w="495" w:type="dxa"/>
            <w:tcBorders>
              <w:left w:val="single" w:sz="18" w:space="0" w:color="auto"/>
              <w:bottom w:val="single" w:sz="4" w:space="0" w:color="auto"/>
            </w:tcBorders>
            <w:shd w:val="clear" w:color="auto" w:fill="FABF8F"/>
            <w:vAlign w:val="center"/>
          </w:tcPr>
          <w:p w:rsidR="00CC19FC" w:rsidRPr="003410C7" w:rsidRDefault="00CC19FC" w:rsidP="004B3534">
            <w:pPr>
              <w:pStyle w:val="TableText"/>
              <w:spacing w:before="120" w:after="120"/>
              <w:rPr>
                <w:rFonts w:ascii="Tahoma" w:hAnsi="Tahoma" w:cs="Tahoma"/>
                <w:sz w:val="13"/>
              </w:rPr>
            </w:pPr>
          </w:p>
        </w:tc>
        <w:tc>
          <w:tcPr>
            <w:tcW w:w="459" w:type="dxa"/>
            <w:tcBorders>
              <w:bottom w:val="single" w:sz="4" w:space="0" w:color="auto"/>
              <w:right w:val="single" w:sz="18" w:space="0" w:color="auto"/>
            </w:tcBorders>
            <w:shd w:val="clear" w:color="auto" w:fill="FABF8F"/>
            <w:vAlign w:val="center"/>
          </w:tcPr>
          <w:p w:rsidR="00CC19FC" w:rsidRPr="003410C7" w:rsidRDefault="00CC19FC" w:rsidP="004B3534">
            <w:pPr>
              <w:pStyle w:val="TableText"/>
              <w:rPr>
                <w:rFonts w:ascii="Tahoma" w:hAnsi="Tahoma" w:cs="Tahoma"/>
                <w:sz w:val="13"/>
              </w:rPr>
            </w:pPr>
          </w:p>
        </w:tc>
        <w:tc>
          <w:tcPr>
            <w:tcW w:w="360" w:type="dxa"/>
            <w:tcBorders>
              <w:left w:val="single" w:sz="18" w:space="0" w:color="auto"/>
              <w:bottom w:val="single" w:sz="4" w:space="0" w:color="auto"/>
              <w:right w:val="single" w:sz="18" w:space="0" w:color="auto"/>
            </w:tcBorders>
            <w:shd w:val="clear" w:color="auto" w:fill="FABF8F"/>
            <w:vAlign w:val="center"/>
          </w:tcPr>
          <w:p w:rsidR="00CC19FC" w:rsidRPr="003410C7" w:rsidRDefault="00CC19FC" w:rsidP="004B3534">
            <w:pPr>
              <w:pStyle w:val="TableText"/>
              <w:rPr>
                <w:rFonts w:ascii="Tahoma" w:hAnsi="Tahoma" w:cs="Tahoma"/>
                <w:sz w:val="13"/>
              </w:rPr>
            </w:pPr>
          </w:p>
        </w:tc>
        <w:tc>
          <w:tcPr>
            <w:tcW w:w="474" w:type="dxa"/>
            <w:tcBorders>
              <w:bottom w:val="single" w:sz="4" w:space="0" w:color="auto"/>
            </w:tcBorders>
            <w:shd w:val="clear" w:color="auto" w:fill="FABF8F"/>
            <w:vAlign w:val="center"/>
          </w:tcPr>
          <w:p w:rsidR="00CC19FC" w:rsidRPr="003410C7" w:rsidRDefault="00CC19FC" w:rsidP="00080B33">
            <w:pPr>
              <w:pStyle w:val="TableText"/>
              <w:rPr>
                <w:rFonts w:ascii="Tahoma" w:hAnsi="Tahoma" w:cs="Tahoma"/>
                <w:sz w:val="13"/>
              </w:rPr>
            </w:pPr>
          </w:p>
        </w:tc>
        <w:tc>
          <w:tcPr>
            <w:tcW w:w="514" w:type="dxa"/>
            <w:tcBorders>
              <w:bottom w:val="single" w:sz="4" w:space="0" w:color="auto"/>
            </w:tcBorders>
            <w:shd w:val="clear" w:color="auto" w:fill="FABF8F"/>
            <w:vAlign w:val="center"/>
          </w:tcPr>
          <w:p w:rsidR="00CC19FC" w:rsidRPr="003410C7" w:rsidRDefault="00CC19FC" w:rsidP="004B3534">
            <w:pPr>
              <w:pStyle w:val="TableText"/>
              <w:rPr>
                <w:rFonts w:ascii="Tahoma" w:hAnsi="Tahoma" w:cs="Tahoma"/>
                <w:sz w:val="13"/>
              </w:rPr>
            </w:pPr>
          </w:p>
        </w:tc>
      </w:tr>
      <w:tr w:rsidR="00B33D0E" w:rsidRPr="003410C7" w:rsidTr="002A074D">
        <w:trPr>
          <w:cantSplit/>
          <w:trHeight w:val="145"/>
        </w:trPr>
        <w:tc>
          <w:tcPr>
            <w:tcW w:w="2638" w:type="dxa"/>
            <w:tcBorders>
              <w:bottom w:val="single" w:sz="4" w:space="0" w:color="auto"/>
            </w:tcBorders>
            <w:shd w:val="clear" w:color="auto" w:fill="auto"/>
          </w:tcPr>
          <w:p w:rsidR="00CC19FC" w:rsidRPr="00451078" w:rsidRDefault="00CC19FC" w:rsidP="002512AB">
            <w:pPr>
              <w:pStyle w:val="ProductNames"/>
              <w:spacing w:beforeLines="20" w:before="48" w:afterLines="20" w:after="48"/>
              <w:rPr>
                <w:rFonts w:ascii="Tahoma" w:hAnsi="Tahoma" w:cs="Tahoma"/>
                <w:sz w:val="14"/>
                <w:lang w:val="it-IT"/>
              </w:rPr>
            </w:pPr>
            <w:bookmarkStart w:id="110" w:name="_Toc336337890"/>
            <w:bookmarkStart w:id="111" w:name="_Toc352234496"/>
            <w:r w:rsidRPr="00451078">
              <w:rPr>
                <w:rFonts w:ascii="Tahoma" w:hAnsi="Tahoma" w:cs="Tahoma"/>
                <w:sz w:val="14"/>
                <w:lang w:val="it-IT"/>
              </w:rPr>
              <w:t>Visual Studio</w:t>
            </w:r>
            <w:r w:rsidR="003410C7" w:rsidRPr="00451078">
              <w:rPr>
                <w:rFonts w:ascii="Tahoma" w:hAnsi="Tahoma" w:cs="Tahoma"/>
                <w:sz w:val="14"/>
                <w:vertAlign w:val="superscript"/>
                <w:lang w:val="it-IT"/>
              </w:rPr>
              <w:t>®</w:t>
            </w:r>
            <w:r w:rsidRPr="00451078">
              <w:rPr>
                <w:rFonts w:ascii="Tahoma" w:hAnsi="Tahoma" w:cs="Tahoma"/>
                <w:sz w:val="14"/>
                <w:lang w:val="it-IT"/>
              </w:rPr>
              <w:t xml:space="preserve"> Professional 2012 con</w:t>
            </w:r>
            <w:r w:rsidR="002512AB" w:rsidRPr="00451078">
              <w:rPr>
                <w:rFonts w:ascii="Tahoma" w:hAnsi="Tahoma" w:cs="Tahoma"/>
                <w:sz w:val="14"/>
                <w:lang w:val="it-IT"/>
              </w:rPr>
              <w:t> </w:t>
            </w:r>
            <w:r w:rsidRPr="00451078">
              <w:rPr>
                <w:rFonts w:ascii="Tahoma" w:hAnsi="Tahoma" w:cs="Tahoma"/>
                <w:sz w:val="14"/>
                <w:lang w:val="it-IT"/>
              </w:rPr>
              <w:t>MSDN</w:t>
            </w:r>
            <w:bookmarkEnd w:id="110"/>
            <w:bookmarkEnd w:id="111"/>
            <w:r w:rsidRPr="00451078">
              <w:rPr>
                <w:rFonts w:ascii="Tahoma" w:hAnsi="Tahoma" w:cs="Tahoma"/>
                <w:sz w:val="14"/>
                <w:lang w:val="it-IT"/>
              </w:rPr>
              <w:t xml:space="preserve"> </w:t>
            </w:r>
          </w:p>
        </w:tc>
        <w:tc>
          <w:tcPr>
            <w:tcW w:w="429" w:type="dxa"/>
            <w:tcBorders>
              <w:bottom w:val="single" w:sz="4" w:space="0" w:color="auto"/>
            </w:tcBorders>
            <w:shd w:val="clear" w:color="auto" w:fill="auto"/>
            <w:vAlign w:val="center"/>
          </w:tcPr>
          <w:p w:rsidR="00CC19FC" w:rsidRPr="009F17FF" w:rsidRDefault="00FC1A4D" w:rsidP="0018541C">
            <w:pPr>
              <w:pStyle w:val="TableText"/>
              <w:widowControl w:val="0"/>
              <w:rPr>
                <w:rStyle w:val="EndnoteReference"/>
                <w:b w:val="0"/>
                <w:color w:val="0000FF"/>
                <w:sz w:val="13"/>
                <w:szCs w:val="13"/>
                <w:u w:val="single"/>
              </w:rPr>
            </w:pPr>
            <w:hyperlink w:anchor="Aps_13VS2010ProfessionalMSDN" w:history="1">
              <w:r w:rsidR="000D77F6" w:rsidRPr="009F17FF">
                <w:rPr>
                  <w:rStyle w:val="Hyperlink"/>
                  <w:b/>
                  <w:sz w:val="13"/>
                  <w:szCs w:val="13"/>
                </w:rPr>
                <w:t>19</w:t>
              </w:r>
            </w:hyperlink>
          </w:p>
        </w:tc>
        <w:tc>
          <w:tcPr>
            <w:tcW w:w="429" w:type="dxa"/>
            <w:tcBorders>
              <w:bottom w:val="single" w:sz="4" w:space="0" w:color="auto"/>
            </w:tcBorders>
            <w:shd w:val="clear" w:color="auto" w:fill="auto"/>
            <w:vAlign w:val="center"/>
          </w:tcPr>
          <w:p w:rsidR="00CC19FC" w:rsidRPr="003410C7" w:rsidRDefault="00CC19FC" w:rsidP="00A1729A">
            <w:pPr>
              <w:pStyle w:val="TableText"/>
              <w:spacing w:before="60" w:after="60"/>
              <w:rPr>
                <w:rFonts w:ascii="Tahoma" w:hAnsi="Tahoma" w:cs="Tahoma"/>
                <w:sz w:val="13"/>
              </w:rPr>
            </w:pPr>
            <w:r w:rsidRPr="003410C7">
              <w:rPr>
                <w:rFonts w:ascii="Tahoma" w:hAnsi="Tahoma" w:cs="Tahoma"/>
                <w:sz w:val="13"/>
              </w:rPr>
              <w:t>09/12</w:t>
            </w:r>
          </w:p>
        </w:tc>
        <w:tc>
          <w:tcPr>
            <w:tcW w:w="429" w:type="dxa"/>
            <w:tcBorders>
              <w:bottom w:val="single" w:sz="4" w:space="0" w:color="auto"/>
              <w:right w:val="single" w:sz="18" w:space="0" w:color="auto"/>
            </w:tcBorders>
            <w:shd w:val="clear" w:color="auto" w:fill="auto"/>
            <w:vAlign w:val="center"/>
          </w:tcPr>
          <w:p w:rsidR="00CC19FC" w:rsidRPr="003410C7" w:rsidRDefault="00CC19FC" w:rsidP="004B3534">
            <w:pPr>
              <w:pStyle w:val="TableText"/>
              <w:rPr>
                <w:rFonts w:ascii="Tahoma" w:hAnsi="Tahoma" w:cs="Tahoma"/>
                <w:sz w:val="13"/>
              </w:rPr>
            </w:pPr>
            <w:r w:rsidRPr="003410C7">
              <w:rPr>
                <w:rFonts w:ascii="Tahoma" w:hAnsi="Tahoma" w:cs="Tahoma"/>
                <w:sz w:val="13"/>
              </w:rPr>
              <w:t>DT</w:t>
            </w:r>
          </w:p>
        </w:tc>
        <w:tc>
          <w:tcPr>
            <w:tcW w:w="429" w:type="dxa"/>
            <w:tcBorders>
              <w:left w:val="single" w:sz="18" w:space="0" w:color="auto"/>
              <w:bottom w:val="single" w:sz="4" w:space="0" w:color="auto"/>
            </w:tcBorders>
            <w:shd w:val="clear" w:color="auto" w:fill="auto"/>
            <w:vAlign w:val="center"/>
          </w:tcPr>
          <w:p w:rsidR="00CC19FC" w:rsidRPr="003410C7" w:rsidRDefault="00CC19FC" w:rsidP="004B3534">
            <w:pPr>
              <w:pStyle w:val="TableText"/>
              <w:spacing w:after="120"/>
              <w:rPr>
                <w:rFonts w:ascii="Tahoma" w:hAnsi="Tahoma" w:cs="Tahoma"/>
                <w:sz w:val="13"/>
              </w:rPr>
            </w:pPr>
          </w:p>
        </w:tc>
        <w:tc>
          <w:tcPr>
            <w:tcW w:w="429" w:type="dxa"/>
            <w:tcBorders>
              <w:bottom w:val="single" w:sz="4" w:space="0" w:color="auto"/>
            </w:tcBorders>
            <w:shd w:val="clear" w:color="auto" w:fill="auto"/>
            <w:vAlign w:val="center"/>
          </w:tcPr>
          <w:p w:rsidR="00CC19FC" w:rsidRPr="003410C7" w:rsidRDefault="00CC19FC" w:rsidP="004B3534">
            <w:pPr>
              <w:pStyle w:val="TableText"/>
              <w:spacing w:after="120"/>
              <w:rPr>
                <w:rFonts w:ascii="Tahoma" w:hAnsi="Tahoma" w:cs="Tahoma"/>
                <w:sz w:val="13"/>
              </w:rPr>
            </w:pPr>
            <w:r w:rsidRPr="003410C7">
              <w:rPr>
                <w:rFonts w:ascii="Tahoma" w:hAnsi="Tahoma" w:cs="Tahoma"/>
                <w:sz w:val="13"/>
              </w:rPr>
              <w:t>3</w:t>
            </w:r>
          </w:p>
        </w:tc>
        <w:tc>
          <w:tcPr>
            <w:tcW w:w="429" w:type="dxa"/>
            <w:tcBorders>
              <w:bottom w:val="single" w:sz="4" w:space="0" w:color="auto"/>
            </w:tcBorders>
            <w:shd w:val="clear" w:color="auto" w:fill="auto"/>
            <w:vAlign w:val="center"/>
          </w:tcPr>
          <w:p w:rsidR="00CC19FC" w:rsidRPr="003410C7" w:rsidRDefault="00CC19FC" w:rsidP="004B3534">
            <w:pPr>
              <w:pStyle w:val="TableText"/>
              <w:spacing w:after="120"/>
              <w:rPr>
                <w:rFonts w:ascii="Tahoma" w:hAnsi="Tahoma" w:cs="Tahoma"/>
                <w:sz w:val="13"/>
              </w:rPr>
            </w:pPr>
            <w:r w:rsidRPr="003410C7">
              <w:rPr>
                <w:rFonts w:ascii="Tahoma" w:hAnsi="Tahoma" w:cs="Tahoma"/>
                <w:sz w:val="13"/>
              </w:rPr>
              <w:t>2</w:t>
            </w:r>
          </w:p>
        </w:tc>
        <w:tc>
          <w:tcPr>
            <w:tcW w:w="429" w:type="dxa"/>
            <w:tcBorders>
              <w:bottom w:val="single" w:sz="4" w:space="0" w:color="auto"/>
            </w:tcBorders>
            <w:shd w:val="clear" w:color="auto" w:fill="auto"/>
            <w:vAlign w:val="center"/>
          </w:tcPr>
          <w:p w:rsidR="00CC19FC" w:rsidRPr="003410C7" w:rsidRDefault="00CC19FC" w:rsidP="004B3534">
            <w:pPr>
              <w:pStyle w:val="TableText"/>
              <w:spacing w:after="120"/>
              <w:rPr>
                <w:rFonts w:ascii="Tahoma" w:hAnsi="Tahoma" w:cs="Tahoma"/>
                <w:sz w:val="13"/>
              </w:rPr>
            </w:pPr>
            <w:r w:rsidRPr="003410C7">
              <w:rPr>
                <w:rFonts w:ascii="Tahoma" w:hAnsi="Tahoma" w:cs="Tahoma"/>
                <w:sz w:val="13"/>
              </w:rPr>
              <w:t>2</w:t>
            </w:r>
          </w:p>
        </w:tc>
        <w:tc>
          <w:tcPr>
            <w:tcW w:w="429" w:type="dxa"/>
            <w:tcBorders>
              <w:bottom w:val="single" w:sz="4" w:space="0" w:color="auto"/>
            </w:tcBorders>
            <w:shd w:val="clear" w:color="auto" w:fill="auto"/>
            <w:vAlign w:val="center"/>
          </w:tcPr>
          <w:p w:rsidR="00CC19FC" w:rsidRPr="003410C7" w:rsidRDefault="00CC19FC" w:rsidP="004B3534">
            <w:pPr>
              <w:pStyle w:val="TableText"/>
              <w:spacing w:after="120"/>
              <w:rPr>
                <w:rFonts w:ascii="Tahoma" w:hAnsi="Tahoma" w:cs="Tahoma"/>
                <w:sz w:val="13"/>
              </w:rPr>
            </w:pPr>
            <w:r w:rsidRPr="003410C7">
              <w:rPr>
                <w:rFonts w:ascii="Tahoma" w:hAnsi="Tahoma" w:cs="Tahoma"/>
                <w:sz w:val="13"/>
              </w:rPr>
              <w:t>2</w:t>
            </w:r>
          </w:p>
        </w:tc>
        <w:tc>
          <w:tcPr>
            <w:tcW w:w="429" w:type="dxa"/>
            <w:tcBorders>
              <w:bottom w:val="single" w:sz="4" w:space="0" w:color="auto"/>
            </w:tcBorders>
            <w:shd w:val="clear" w:color="auto" w:fill="auto"/>
            <w:vAlign w:val="center"/>
          </w:tcPr>
          <w:p w:rsidR="00CC19FC" w:rsidRPr="003410C7" w:rsidRDefault="00CC19FC" w:rsidP="004B3534">
            <w:pPr>
              <w:pStyle w:val="TableText"/>
              <w:spacing w:after="120"/>
              <w:rPr>
                <w:rFonts w:ascii="Tahoma" w:hAnsi="Tahoma" w:cs="Tahoma"/>
                <w:sz w:val="13"/>
              </w:rPr>
            </w:pPr>
            <w:r w:rsidRPr="003410C7">
              <w:rPr>
                <w:rFonts w:ascii="Tahoma" w:hAnsi="Tahoma" w:cs="Tahoma"/>
                <w:sz w:val="13"/>
              </w:rPr>
              <w:t>1</w:t>
            </w:r>
          </w:p>
        </w:tc>
        <w:tc>
          <w:tcPr>
            <w:tcW w:w="429" w:type="dxa"/>
            <w:tcBorders>
              <w:bottom w:val="single" w:sz="4" w:space="0" w:color="auto"/>
              <w:right w:val="single" w:sz="18" w:space="0" w:color="auto"/>
            </w:tcBorders>
            <w:shd w:val="clear" w:color="auto" w:fill="auto"/>
            <w:vAlign w:val="center"/>
          </w:tcPr>
          <w:p w:rsidR="00CC19FC" w:rsidRPr="003410C7" w:rsidRDefault="00CC19FC" w:rsidP="004B3534">
            <w:pPr>
              <w:pStyle w:val="TableText"/>
              <w:spacing w:after="120"/>
              <w:rPr>
                <w:rFonts w:ascii="Tahoma" w:hAnsi="Tahoma" w:cs="Tahoma"/>
                <w:sz w:val="13"/>
              </w:rPr>
            </w:pPr>
            <w:r w:rsidRPr="003410C7">
              <w:rPr>
                <w:rFonts w:ascii="Tahoma" w:hAnsi="Tahoma" w:cs="Tahoma"/>
                <w:sz w:val="13"/>
              </w:rPr>
              <w:t>1</w:t>
            </w:r>
          </w:p>
        </w:tc>
        <w:tc>
          <w:tcPr>
            <w:tcW w:w="429" w:type="dxa"/>
            <w:tcBorders>
              <w:left w:val="single" w:sz="18" w:space="0" w:color="auto"/>
              <w:bottom w:val="single" w:sz="4" w:space="0" w:color="auto"/>
            </w:tcBorders>
            <w:shd w:val="clear" w:color="auto" w:fill="auto"/>
            <w:vAlign w:val="center"/>
          </w:tcPr>
          <w:p w:rsidR="00CC19FC" w:rsidRPr="003410C7" w:rsidRDefault="00CC19FC" w:rsidP="004B3534">
            <w:pPr>
              <w:pStyle w:val="TableText"/>
              <w:spacing w:after="120"/>
              <w:rPr>
                <w:rFonts w:ascii="Tahoma" w:hAnsi="Tahoma" w:cs="Tahoma"/>
                <w:sz w:val="13"/>
              </w:rPr>
            </w:pPr>
          </w:p>
        </w:tc>
        <w:tc>
          <w:tcPr>
            <w:tcW w:w="429" w:type="dxa"/>
            <w:tcBorders>
              <w:bottom w:val="single" w:sz="4" w:space="0" w:color="auto"/>
            </w:tcBorders>
            <w:shd w:val="clear" w:color="auto" w:fill="auto"/>
            <w:vAlign w:val="center"/>
          </w:tcPr>
          <w:p w:rsidR="00CC19FC" w:rsidRPr="003410C7" w:rsidRDefault="00CC19FC" w:rsidP="004B3534">
            <w:pPr>
              <w:pStyle w:val="TableText"/>
              <w:spacing w:after="120"/>
              <w:rPr>
                <w:rFonts w:ascii="Tahoma" w:hAnsi="Tahoma" w:cs="Tahoma"/>
                <w:sz w:val="13"/>
              </w:rPr>
            </w:pPr>
            <w:r w:rsidRPr="003410C7">
              <w:rPr>
                <w:rFonts w:ascii="Tahoma" w:hAnsi="Tahoma" w:cs="Tahoma"/>
                <w:sz w:val="13"/>
              </w:rPr>
              <w:t>2</w:t>
            </w:r>
          </w:p>
        </w:tc>
        <w:tc>
          <w:tcPr>
            <w:tcW w:w="442" w:type="dxa"/>
            <w:tcBorders>
              <w:bottom w:val="single" w:sz="4" w:space="0" w:color="auto"/>
              <w:right w:val="single" w:sz="18" w:space="0" w:color="auto"/>
            </w:tcBorders>
            <w:shd w:val="clear" w:color="auto" w:fill="auto"/>
            <w:vAlign w:val="center"/>
          </w:tcPr>
          <w:p w:rsidR="00CC19FC" w:rsidRPr="003410C7" w:rsidRDefault="00CC19FC" w:rsidP="004B3534">
            <w:pPr>
              <w:pStyle w:val="TableText"/>
              <w:spacing w:after="120"/>
              <w:rPr>
                <w:rFonts w:ascii="Tahoma" w:hAnsi="Tahoma" w:cs="Tahoma"/>
                <w:sz w:val="13"/>
              </w:rPr>
            </w:pPr>
            <w:r w:rsidRPr="003410C7">
              <w:rPr>
                <w:rFonts w:ascii="Tahoma" w:hAnsi="Tahoma" w:cs="Tahoma"/>
                <w:sz w:val="13"/>
              </w:rPr>
              <w:t>1</w:t>
            </w:r>
          </w:p>
        </w:tc>
        <w:tc>
          <w:tcPr>
            <w:tcW w:w="495" w:type="dxa"/>
            <w:tcBorders>
              <w:left w:val="single" w:sz="18" w:space="0" w:color="auto"/>
              <w:bottom w:val="single" w:sz="4" w:space="0" w:color="auto"/>
            </w:tcBorders>
            <w:shd w:val="clear" w:color="auto" w:fill="auto"/>
            <w:vAlign w:val="center"/>
          </w:tcPr>
          <w:p w:rsidR="00CC19FC" w:rsidRPr="003410C7" w:rsidRDefault="00CC19FC" w:rsidP="004B3534">
            <w:pPr>
              <w:pStyle w:val="TableText"/>
              <w:rPr>
                <w:rFonts w:ascii="Tahoma" w:hAnsi="Tahoma" w:cs="Tahoma"/>
                <w:sz w:val="13"/>
              </w:rPr>
            </w:pPr>
            <w:r w:rsidRPr="003410C7">
              <w:rPr>
                <w:rFonts w:ascii="Tahoma" w:hAnsi="Tahoma" w:cs="Tahoma"/>
                <w:sz w:val="13"/>
              </w:rPr>
              <w:t>1</w:t>
            </w:r>
          </w:p>
        </w:tc>
        <w:tc>
          <w:tcPr>
            <w:tcW w:w="459" w:type="dxa"/>
            <w:tcBorders>
              <w:bottom w:val="single" w:sz="4" w:space="0" w:color="auto"/>
              <w:right w:val="single" w:sz="18" w:space="0" w:color="auto"/>
            </w:tcBorders>
            <w:shd w:val="clear" w:color="auto" w:fill="auto"/>
            <w:vAlign w:val="center"/>
          </w:tcPr>
          <w:p w:rsidR="00CC19FC" w:rsidRPr="003410C7" w:rsidRDefault="00CC19FC" w:rsidP="004B3534">
            <w:pPr>
              <w:pStyle w:val="TableText"/>
              <w:rPr>
                <w:rFonts w:ascii="Tahoma" w:hAnsi="Tahoma" w:cs="Tahoma"/>
                <w:sz w:val="13"/>
              </w:rPr>
            </w:pPr>
            <w:r w:rsidRPr="003410C7">
              <w:rPr>
                <w:rFonts w:ascii="Tahoma" w:hAnsi="Tahoma" w:cs="Tahoma"/>
                <w:sz w:val="13"/>
              </w:rPr>
              <w:t>A,S</w:t>
            </w:r>
          </w:p>
        </w:tc>
        <w:tc>
          <w:tcPr>
            <w:tcW w:w="360" w:type="dxa"/>
            <w:tcBorders>
              <w:left w:val="single" w:sz="18" w:space="0" w:color="auto"/>
              <w:bottom w:val="single" w:sz="4" w:space="0" w:color="auto"/>
              <w:right w:val="single" w:sz="18" w:space="0" w:color="auto"/>
            </w:tcBorders>
            <w:shd w:val="clear" w:color="auto" w:fill="auto"/>
            <w:vAlign w:val="center"/>
          </w:tcPr>
          <w:p w:rsidR="00CC19FC" w:rsidRPr="003410C7" w:rsidRDefault="00CC19FC" w:rsidP="004B3534">
            <w:pPr>
              <w:pStyle w:val="TableText"/>
              <w:rPr>
                <w:rFonts w:ascii="Tahoma" w:hAnsi="Tahoma" w:cs="Tahoma"/>
                <w:sz w:val="13"/>
              </w:rPr>
            </w:pPr>
            <w:r w:rsidRPr="003410C7">
              <w:rPr>
                <w:rFonts w:ascii="Tahoma" w:hAnsi="Tahoma" w:cs="Tahoma"/>
                <w:sz w:val="13"/>
              </w:rPr>
              <w:t>P</w:t>
            </w:r>
          </w:p>
        </w:tc>
        <w:tc>
          <w:tcPr>
            <w:tcW w:w="474" w:type="dxa"/>
            <w:tcBorders>
              <w:bottom w:val="single" w:sz="4" w:space="0" w:color="auto"/>
            </w:tcBorders>
            <w:shd w:val="clear" w:color="auto" w:fill="auto"/>
            <w:vAlign w:val="center"/>
          </w:tcPr>
          <w:p w:rsidR="00CC19FC" w:rsidRPr="003410C7" w:rsidRDefault="00CC19FC" w:rsidP="00080B33">
            <w:pPr>
              <w:pStyle w:val="TableText"/>
              <w:rPr>
                <w:rFonts w:ascii="Tahoma" w:hAnsi="Tahoma" w:cs="Tahoma"/>
                <w:sz w:val="13"/>
              </w:rPr>
            </w:pPr>
            <w:r w:rsidRPr="003410C7">
              <w:rPr>
                <w:rFonts w:ascii="Tahoma" w:hAnsi="Tahoma" w:cs="Tahoma"/>
                <w:sz w:val="13"/>
              </w:rPr>
              <w:t>A</w:t>
            </w:r>
          </w:p>
        </w:tc>
        <w:tc>
          <w:tcPr>
            <w:tcW w:w="514" w:type="dxa"/>
            <w:tcBorders>
              <w:bottom w:val="single" w:sz="4" w:space="0" w:color="auto"/>
            </w:tcBorders>
            <w:shd w:val="clear" w:color="auto" w:fill="auto"/>
            <w:vAlign w:val="center"/>
          </w:tcPr>
          <w:p w:rsidR="00CC19FC" w:rsidRPr="003410C7" w:rsidRDefault="00CC19FC" w:rsidP="004B3534">
            <w:pPr>
              <w:pStyle w:val="TableText"/>
            </w:pPr>
            <w:r w:rsidRPr="003410C7">
              <w:rPr>
                <w:rFonts w:ascii="Tahoma" w:hAnsi="Tahoma" w:cs="Tahoma"/>
                <w:sz w:val="13"/>
              </w:rPr>
              <w:t>OL/SA/</w:t>
            </w:r>
          </w:p>
          <w:p w:rsidR="00CC19FC" w:rsidRPr="003410C7" w:rsidRDefault="00CC19FC" w:rsidP="004B3534">
            <w:pPr>
              <w:pStyle w:val="TableText"/>
              <w:rPr>
                <w:rFonts w:ascii="Tahoma" w:hAnsi="Tahoma" w:cs="Tahoma"/>
                <w:sz w:val="13"/>
              </w:rPr>
            </w:pPr>
            <w:r w:rsidRPr="003410C7">
              <w:rPr>
                <w:rFonts w:ascii="Tahoma" w:hAnsi="Tahoma" w:cs="Tahoma"/>
                <w:sz w:val="13"/>
              </w:rPr>
              <w:t>OV</w:t>
            </w:r>
          </w:p>
        </w:tc>
      </w:tr>
      <w:tr w:rsidR="00EF228F" w:rsidRPr="003410C7" w:rsidTr="002A074D">
        <w:trPr>
          <w:cantSplit/>
          <w:trHeight w:val="145"/>
        </w:trPr>
        <w:tc>
          <w:tcPr>
            <w:tcW w:w="2638" w:type="dxa"/>
            <w:tcBorders>
              <w:bottom w:val="single" w:sz="4" w:space="0" w:color="auto"/>
            </w:tcBorders>
            <w:shd w:val="clear" w:color="auto" w:fill="FABF8F"/>
          </w:tcPr>
          <w:p w:rsidR="00CC19FC" w:rsidRPr="003410C7" w:rsidRDefault="00CC19FC" w:rsidP="003410C7">
            <w:pPr>
              <w:pStyle w:val="Heading2"/>
              <w:spacing w:beforeLines="20" w:before="48" w:afterLines="20" w:after="48"/>
              <w:ind w:left="0"/>
              <w:rPr>
                <w:rFonts w:ascii="Tahoma" w:hAnsi="Tahoma" w:cs="Tahoma"/>
                <w:b w:val="0"/>
                <w:sz w:val="14"/>
              </w:rPr>
            </w:pPr>
            <w:bookmarkStart w:id="112" w:name="_Toc336337891"/>
            <w:bookmarkStart w:id="113" w:name="_Toc352234497"/>
            <w:r w:rsidRPr="003410C7">
              <w:rPr>
                <w:rFonts w:ascii="Tahoma" w:hAnsi="Tahoma" w:cs="Tahoma"/>
                <w:b w:val="0"/>
                <w:sz w:val="14"/>
              </w:rPr>
              <w:t>Visual Studio</w:t>
            </w:r>
            <w:r w:rsidR="003410C7" w:rsidRPr="003410C7">
              <w:rPr>
                <w:rFonts w:ascii="Tahoma" w:hAnsi="Tahoma" w:cs="Tahoma"/>
                <w:sz w:val="14"/>
                <w:vertAlign w:val="superscript"/>
              </w:rPr>
              <w:t>®</w:t>
            </w:r>
            <w:r w:rsidRPr="003410C7">
              <w:rPr>
                <w:rFonts w:ascii="Tahoma" w:hAnsi="Tahoma" w:cs="Tahoma"/>
                <w:b w:val="0"/>
                <w:sz w:val="14"/>
              </w:rPr>
              <w:t xml:space="preserve"> Premium 2012 con MSDN</w:t>
            </w:r>
            <w:bookmarkEnd w:id="112"/>
            <w:bookmarkEnd w:id="113"/>
          </w:p>
        </w:tc>
        <w:tc>
          <w:tcPr>
            <w:tcW w:w="429" w:type="dxa"/>
            <w:tcBorders>
              <w:bottom w:val="single" w:sz="4" w:space="0" w:color="auto"/>
            </w:tcBorders>
            <w:shd w:val="clear" w:color="auto" w:fill="FABF8F"/>
            <w:vAlign w:val="center"/>
          </w:tcPr>
          <w:p w:rsidR="00CC19FC" w:rsidRPr="009F17FF" w:rsidRDefault="00FC1A4D" w:rsidP="0018541C">
            <w:pPr>
              <w:pStyle w:val="TableText"/>
              <w:widowControl w:val="0"/>
              <w:rPr>
                <w:b/>
                <w:sz w:val="13"/>
                <w:szCs w:val="13"/>
                <w:u w:val="single"/>
              </w:rPr>
            </w:pPr>
            <w:hyperlink w:anchor="Aps_16VS2010PremiumMSDN" w:history="1">
              <w:r w:rsidR="000D77F6" w:rsidRPr="009F17FF">
                <w:rPr>
                  <w:rStyle w:val="Hyperlink"/>
                  <w:b/>
                  <w:sz w:val="13"/>
                  <w:szCs w:val="13"/>
                </w:rPr>
                <w:t>20</w:t>
              </w:r>
            </w:hyperlink>
          </w:p>
        </w:tc>
        <w:tc>
          <w:tcPr>
            <w:tcW w:w="429" w:type="dxa"/>
            <w:tcBorders>
              <w:bottom w:val="single" w:sz="4" w:space="0" w:color="auto"/>
            </w:tcBorders>
            <w:shd w:val="clear" w:color="auto" w:fill="FABF8F"/>
            <w:vAlign w:val="center"/>
          </w:tcPr>
          <w:p w:rsidR="00CC19FC" w:rsidRPr="003410C7" w:rsidRDefault="00CC19FC" w:rsidP="000C622E">
            <w:pPr>
              <w:pStyle w:val="TableText"/>
              <w:spacing w:before="60" w:after="60"/>
              <w:rPr>
                <w:rFonts w:ascii="Tahoma" w:hAnsi="Tahoma" w:cs="Tahoma"/>
                <w:sz w:val="13"/>
              </w:rPr>
            </w:pPr>
            <w:r w:rsidRPr="003410C7">
              <w:rPr>
                <w:rFonts w:ascii="Tahoma" w:hAnsi="Tahoma" w:cs="Tahoma"/>
                <w:sz w:val="13"/>
              </w:rPr>
              <w:t>09/12</w:t>
            </w:r>
          </w:p>
        </w:tc>
        <w:tc>
          <w:tcPr>
            <w:tcW w:w="429" w:type="dxa"/>
            <w:tcBorders>
              <w:bottom w:val="single" w:sz="4" w:space="0" w:color="auto"/>
              <w:right w:val="single" w:sz="18" w:space="0" w:color="auto"/>
            </w:tcBorders>
            <w:shd w:val="clear" w:color="auto" w:fill="FABF8F"/>
            <w:vAlign w:val="center"/>
          </w:tcPr>
          <w:p w:rsidR="00CC19FC" w:rsidRPr="003410C7" w:rsidRDefault="00CC19FC" w:rsidP="004B3534">
            <w:pPr>
              <w:pStyle w:val="TableText"/>
              <w:rPr>
                <w:rFonts w:ascii="Tahoma" w:hAnsi="Tahoma" w:cs="Tahoma"/>
                <w:sz w:val="13"/>
              </w:rPr>
            </w:pPr>
            <w:r w:rsidRPr="003410C7">
              <w:rPr>
                <w:rFonts w:ascii="Tahoma" w:hAnsi="Tahoma" w:cs="Tahoma"/>
                <w:sz w:val="13"/>
              </w:rPr>
              <w:t>DT</w:t>
            </w:r>
          </w:p>
        </w:tc>
        <w:tc>
          <w:tcPr>
            <w:tcW w:w="429" w:type="dxa"/>
            <w:tcBorders>
              <w:left w:val="single" w:sz="18" w:space="0" w:color="auto"/>
              <w:bottom w:val="single" w:sz="4" w:space="0" w:color="auto"/>
            </w:tcBorders>
            <w:shd w:val="clear" w:color="auto" w:fill="FABF8F"/>
            <w:vAlign w:val="center"/>
          </w:tcPr>
          <w:p w:rsidR="00CC19FC" w:rsidRPr="003410C7" w:rsidRDefault="00CC19FC" w:rsidP="004B3534">
            <w:pPr>
              <w:pStyle w:val="TableText"/>
              <w:spacing w:after="120"/>
              <w:rPr>
                <w:rFonts w:ascii="Tahoma" w:hAnsi="Tahoma" w:cs="Tahoma"/>
                <w:sz w:val="13"/>
              </w:rPr>
            </w:pPr>
          </w:p>
        </w:tc>
        <w:tc>
          <w:tcPr>
            <w:tcW w:w="429" w:type="dxa"/>
            <w:tcBorders>
              <w:bottom w:val="single" w:sz="4" w:space="0" w:color="auto"/>
            </w:tcBorders>
            <w:shd w:val="clear" w:color="auto" w:fill="FABF8F"/>
            <w:vAlign w:val="center"/>
          </w:tcPr>
          <w:p w:rsidR="00CC19FC" w:rsidRPr="003410C7" w:rsidRDefault="00CC19FC" w:rsidP="000C622E">
            <w:pPr>
              <w:pStyle w:val="TableText"/>
              <w:spacing w:after="120"/>
              <w:rPr>
                <w:rFonts w:ascii="Tahoma" w:hAnsi="Tahoma" w:cs="Tahoma"/>
                <w:sz w:val="13"/>
              </w:rPr>
            </w:pPr>
            <w:r w:rsidRPr="003410C7">
              <w:rPr>
                <w:rFonts w:ascii="Tahoma" w:hAnsi="Tahoma" w:cs="Tahoma"/>
                <w:sz w:val="13"/>
              </w:rPr>
              <w:t>38</w:t>
            </w:r>
          </w:p>
        </w:tc>
        <w:tc>
          <w:tcPr>
            <w:tcW w:w="429" w:type="dxa"/>
            <w:tcBorders>
              <w:bottom w:val="single" w:sz="4" w:space="0" w:color="auto"/>
            </w:tcBorders>
            <w:shd w:val="clear" w:color="auto" w:fill="FABF8F"/>
            <w:vAlign w:val="center"/>
          </w:tcPr>
          <w:p w:rsidR="00CC19FC" w:rsidRPr="003410C7" w:rsidRDefault="00CC19FC" w:rsidP="000C622E">
            <w:pPr>
              <w:pStyle w:val="TableText"/>
              <w:spacing w:after="120"/>
              <w:rPr>
                <w:rFonts w:ascii="Tahoma" w:hAnsi="Tahoma" w:cs="Tahoma"/>
                <w:sz w:val="13"/>
              </w:rPr>
            </w:pPr>
            <w:r w:rsidRPr="003410C7">
              <w:rPr>
                <w:rFonts w:ascii="Tahoma" w:hAnsi="Tahoma" w:cs="Tahoma"/>
                <w:sz w:val="13"/>
              </w:rPr>
              <w:t>30</w:t>
            </w:r>
          </w:p>
        </w:tc>
        <w:tc>
          <w:tcPr>
            <w:tcW w:w="429" w:type="dxa"/>
            <w:tcBorders>
              <w:bottom w:val="single" w:sz="4" w:space="0" w:color="auto"/>
            </w:tcBorders>
            <w:shd w:val="clear" w:color="auto" w:fill="FABF8F"/>
            <w:vAlign w:val="center"/>
          </w:tcPr>
          <w:p w:rsidR="00CC19FC" w:rsidRPr="003410C7" w:rsidRDefault="00CC19FC" w:rsidP="000C622E">
            <w:pPr>
              <w:pStyle w:val="TableText"/>
              <w:spacing w:after="120"/>
              <w:rPr>
                <w:rFonts w:ascii="Tahoma" w:hAnsi="Tahoma" w:cs="Tahoma"/>
                <w:sz w:val="13"/>
              </w:rPr>
            </w:pPr>
            <w:r w:rsidRPr="003410C7">
              <w:rPr>
                <w:rFonts w:ascii="Tahoma" w:hAnsi="Tahoma" w:cs="Tahoma"/>
                <w:sz w:val="13"/>
              </w:rPr>
              <w:t>23</w:t>
            </w:r>
          </w:p>
        </w:tc>
        <w:tc>
          <w:tcPr>
            <w:tcW w:w="429" w:type="dxa"/>
            <w:tcBorders>
              <w:bottom w:val="single" w:sz="4" w:space="0" w:color="auto"/>
            </w:tcBorders>
            <w:shd w:val="clear" w:color="auto" w:fill="FABF8F"/>
            <w:vAlign w:val="center"/>
          </w:tcPr>
          <w:p w:rsidR="00CC19FC" w:rsidRPr="003410C7" w:rsidRDefault="00CC19FC" w:rsidP="000C622E">
            <w:pPr>
              <w:pStyle w:val="TableText"/>
              <w:spacing w:after="120"/>
              <w:rPr>
                <w:rFonts w:ascii="Tahoma" w:hAnsi="Tahoma" w:cs="Tahoma"/>
                <w:sz w:val="13"/>
              </w:rPr>
            </w:pPr>
            <w:r w:rsidRPr="003410C7">
              <w:rPr>
                <w:rFonts w:ascii="Tahoma" w:hAnsi="Tahoma" w:cs="Tahoma"/>
                <w:sz w:val="13"/>
              </w:rPr>
              <w:t>23</w:t>
            </w:r>
          </w:p>
        </w:tc>
        <w:tc>
          <w:tcPr>
            <w:tcW w:w="429" w:type="dxa"/>
            <w:tcBorders>
              <w:bottom w:val="single" w:sz="4" w:space="0" w:color="auto"/>
            </w:tcBorders>
            <w:shd w:val="clear" w:color="auto" w:fill="FABF8F"/>
            <w:vAlign w:val="center"/>
          </w:tcPr>
          <w:p w:rsidR="00CC19FC" w:rsidRPr="003410C7" w:rsidRDefault="00CC19FC" w:rsidP="000C622E">
            <w:pPr>
              <w:pStyle w:val="TableText"/>
              <w:spacing w:after="120"/>
              <w:rPr>
                <w:rFonts w:ascii="Tahoma" w:hAnsi="Tahoma" w:cs="Tahoma"/>
                <w:sz w:val="13"/>
              </w:rPr>
            </w:pPr>
            <w:r w:rsidRPr="003410C7">
              <w:rPr>
                <w:rFonts w:ascii="Tahoma" w:hAnsi="Tahoma" w:cs="Tahoma"/>
                <w:sz w:val="13"/>
              </w:rPr>
              <w:t>15</w:t>
            </w:r>
          </w:p>
        </w:tc>
        <w:tc>
          <w:tcPr>
            <w:tcW w:w="429" w:type="dxa"/>
            <w:tcBorders>
              <w:bottom w:val="single" w:sz="4" w:space="0" w:color="auto"/>
              <w:right w:val="single" w:sz="18" w:space="0" w:color="auto"/>
            </w:tcBorders>
            <w:shd w:val="clear" w:color="auto" w:fill="FABF8F"/>
            <w:vAlign w:val="center"/>
          </w:tcPr>
          <w:p w:rsidR="00CC19FC" w:rsidRPr="003410C7" w:rsidRDefault="00CC19FC" w:rsidP="000C622E">
            <w:pPr>
              <w:pStyle w:val="TableText"/>
              <w:spacing w:after="120"/>
              <w:rPr>
                <w:rFonts w:ascii="Tahoma" w:hAnsi="Tahoma" w:cs="Tahoma"/>
                <w:sz w:val="13"/>
              </w:rPr>
            </w:pPr>
            <w:r w:rsidRPr="003410C7">
              <w:rPr>
                <w:rFonts w:ascii="Tahoma" w:hAnsi="Tahoma" w:cs="Tahoma"/>
                <w:sz w:val="13"/>
              </w:rPr>
              <w:t>8</w:t>
            </w:r>
          </w:p>
        </w:tc>
        <w:tc>
          <w:tcPr>
            <w:tcW w:w="429" w:type="dxa"/>
            <w:tcBorders>
              <w:left w:val="single" w:sz="18" w:space="0" w:color="auto"/>
              <w:bottom w:val="single" w:sz="4" w:space="0" w:color="auto"/>
            </w:tcBorders>
            <w:shd w:val="clear" w:color="auto" w:fill="FABF8F"/>
            <w:vAlign w:val="center"/>
          </w:tcPr>
          <w:p w:rsidR="00CC19FC" w:rsidRPr="003410C7" w:rsidRDefault="00CC19FC" w:rsidP="004B3534">
            <w:pPr>
              <w:pStyle w:val="TableText"/>
              <w:spacing w:after="120"/>
              <w:rPr>
                <w:rFonts w:ascii="Tahoma" w:hAnsi="Tahoma" w:cs="Tahoma"/>
                <w:sz w:val="13"/>
              </w:rPr>
            </w:pPr>
          </w:p>
        </w:tc>
        <w:tc>
          <w:tcPr>
            <w:tcW w:w="429" w:type="dxa"/>
            <w:tcBorders>
              <w:bottom w:val="single" w:sz="4" w:space="0" w:color="auto"/>
            </w:tcBorders>
            <w:shd w:val="clear" w:color="auto" w:fill="FABF8F"/>
            <w:vAlign w:val="center"/>
          </w:tcPr>
          <w:p w:rsidR="00CC19FC" w:rsidRPr="003410C7" w:rsidRDefault="00CC19FC" w:rsidP="000C622E">
            <w:pPr>
              <w:pStyle w:val="TableText"/>
              <w:spacing w:after="120"/>
              <w:rPr>
                <w:rFonts w:ascii="Tahoma" w:hAnsi="Tahoma" w:cs="Tahoma"/>
                <w:sz w:val="13"/>
              </w:rPr>
            </w:pPr>
            <w:r w:rsidRPr="003410C7">
              <w:rPr>
                <w:rFonts w:ascii="Tahoma" w:hAnsi="Tahoma" w:cs="Tahoma"/>
                <w:sz w:val="13"/>
              </w:rPr>
              <w:t>30</w:t>
            </w:r>
          </w:p>
        </w:tc>
        <w:tc>
          <w:tcPr>
            <w:tcW w:w="442" w:type="dxa"/>
            <w:tcBorders>
              <w:bottom w:val="single" w:sz="4" w:space="0" w:color="auto"/>
              <w:right w:val="single" w:sz="18" w:space="0" w:color="auto"/>
            </w:tcBorders>
            <w:shd w:val="clear" w:color="auto" w:fill="FABF8F"/>
            <w:vAlign w:val="center"/>
          </w:tcPr>
          <w:p w:rsidR="00CC19FC" w:rsidRPr="003410C7" w:rsidRDefault="00CC19FC" w:rsidP="000C622E">
            <w:pPr>
              <w:pStyle w:val="TableText"/>
              <w:spacing w:after="120"/>
              <w:rPr>
                <w:rFonts w:ascii="Tahoma" w:hAnsi="Tahoma" w:cs="Tahoma"/>
                <w:sz w:val="13"/>
              </w:rPr>
            </w:pPr>
            <w:r w:rsidRPr="003410C7">
              <w:rPr>
                <w:rFonts w:ascii="Tahoma" w:hAnsi="Tahoma" w:cs="Tahoma"/>
                <w:sz w:val="13"/>
              </w:rPr>
              <w:t>15</w:t>
            </w:r>
          </w:p>
        </w:tc>
        <w:tc>
          <w:tcPr>
            <w:tcW w:w="495" w:type="dxa"/>
            <w:tcBorders>
              <w:left w:val="single" w:sz="18" w:space="0" w:color="auto"/>
              <w:bottom w:val="single" w:sz="4" w:space="0" w:color="auto"/>
            </w:tcBorders>
            <w:shd w:val="clear" w:color="auto" w:fill="FABF8F"/>
            <w:vAlign w:val="center"/>
          </w:tcPr>
          <w:p w:rsidR="00CC19FC" w:rsidRPr="003410C7" w:rsidRDefault="00CC19FC" w:rsidP="004B3534">
            <w:pPr>
              <w:pStyle w:val="TableText"/>
              <w:rPr>
                <w:rFonts w:ascii="Tahoma" w:hAnsi="Tahoma" w:cs="Tahoma"/>
                <w:sz w:val="13"/>
              </w:rPr>
            </w:pPr>
            <w:r w:rsidRPr="003410C7">
              <w:rPr>
                <w:rFonts w:ascii="Tahoma" w:hAnsi="Tahoma" w:cs="Tahoma"/>
                <w:sz w:val="13"/>
              </w:rPr>
              <w:t>1</w:t>
            </w:r>
          </w:p>
        </w:tc>
        <w:tc>
          <w:tcPr>
            <w:tcW w:w="459" w:type="dxa"/>
            <w:tcBorders>
              <w:bottom w:val="single" w:sz="4" w:space="0" w:color="auto"/>
              <w:right w:val="single" w:sz="18" w:space="0" w:color="auto"/>
            </w:tcBorders>
            <w:shd w:val="clear" w:color="auto" w:fill="FABF8F"/>
            <w:vAlign w:val="center"/>
          </w:tcPr>
          <w:p w:rsidR="00CC19FC" w:rsidRPr="003410C7" w:rsidRDefault="00CC19FC" w:rsidP="004B3534">
            <w:pPr>
              <w:pStyle w:val="TableText"/>
              <w:rPr>
                <w:rFonts w:ascii="Tahoma" w:hAnsi="Tahoma" w:cs="Tahoma"/>
                <w:sz w:val="13"/>
              </w:rPr>
            </w:pPr>
            <w:r w:rsidRPr="003410C7">
              <w:rPr>
                <w:rFonts w:ascii="Tahoma" w:hAnsi="Tahoma" w:cs="Tahoma"/>
                <w:sz w:val="13"/>
              </w:rPr>
              <w:t>A,S</w:t>
            </w:r>
          </w:p>
        </w:tc>
        <w:tc>
          <w:tcPr>
            <w:tcW w:w="360" w:type="dxa"/>
            <w:tcBorders>
              <w:left w:val="single" w:sz="18" w:space="0" w:color="auto"/>
              <w:bottom w:val="single" w:sz="4" w:space="0" w:color="auto"/>
              <w:right w:val="single" w:sz="18" w:space="0" w:color="auto"/>
            </w:tcBorders>
            <w:shd w:val="clear" w:color="auto" w:fill="FABF8F"/>
            <w:vAlign w:val="center"/>
          </w:tcPr>
          <w:p w:rsidR="00CC19FC" w:rsidRPr="003410C7" w:rsidRDefault="00CC19FC" w:rsidP="004B3534">
            <w:pPr>
              <w:pStyle w:val="TableText"/>
              <w:rPr>
                <w:rFonts w:ascii="Tahoma" w:hAnsi="Tahoma" w:cs="Tahoma"/>
                <w:sz w:val="13"/>
              </w:rPr>
            </w:pPr>
            <w:r w:rsidRPr="003410C7">
              <w:rPr>
                <w:rFonts w:ascii="Tahoma" w:hAnsi="Tahoma" w:cs="Tahoma"/>
                <w:sz w:val="13"/>
              </w:rPr>
              <w:t>P</w:t>
            </w:r>
          </w:p>
        </w:tc>
        <w:tc>
          <w:tcPr>
            <w:tcW w:w="474" w:type="dxa"/>
            <w:tcBorders>
              <w:bottom w:val="single" w:sz="4" w:space="0" w:color="auto"/>
            </w:tcBorders>
            <w:shd w:val="clear" w:color="auto" w:fill="FABF8F"/>
            <w:vAlign w:val="center"/>
          </w:tcPr>
          <w:p w:rsidR="00CC19FC" w:rsidRPr="003410C7" w:rsidRDefault="00CC19FC" w:rsidP="00080B33">
            <w:pPr>
              <w:pStyle w:val="TableText"/>
              <w:rPr>
                <w:rFonts w:ascii="Tahoma" w:hAnsi="Tahoma" w:cs="Tahoma"/>
                <w:sz w:val="13"/>
              </w:rPr>
            </w:pPr>
            <w:r w:rsidRPr="003410C7">
              <w:rPr>
                <w:rFonts w:ascii="Tahoma" w:hAnsi="Tahoma" w:cs="Tahoma"/>
                <w:sz w:val="13"/>
              </w:rPr>
              <w:t>A</w:t>
            </w:r>
          </w:p>
        </w:tc>
        <w:tc>
          <w:tcPr>
            <w:tcW w:w="514" w:type="dxa"/>
            <w:tcBorders>
              <w:bottom w:val="single" w:sz="4" w:space="0" w:color="auto"/>
            </w:tcBorders>
            <w:shd w:val="clear" w:color="auto" w:fill="FABF8F"/>
            <w:vAlign w:val="center"/>
          </w:tcPr>
          <w:p w:rsidR="00CC19FC" w:rsidRPr="003410C7" w:rsidRDefault="00CC19FC" w:rsidP="00036150">
            <w:pPr>
              <w:pStyle w:val="TableText"/>
            </w:pPr>
            <w:r w:rsidRPr="003410C7">
              <w:rPr>
                <w:rFonts w:ascii="Tahoma" w:hAnsi="Tahoma" w:cs="Tahoma"/>
                <w:sz w:val="13"/>
              </w:rPr>
              <w:t>OL/SA/</w:t>
            </w:r>
          </w:p>
          <w:p w:rsidR="00CC19FC" w:rsidRPr="003410C7" w:rsidRDefault="00CC19FC" w:rsidP="00036150">
            <w:pPr>
              <w:pStyle w:val="TableText"/>
              <w:rPr>
                <w:rFonts w:ascii="Tahoma" w:hAnsi="Tahoma" w:cs="Tahoma"/>
                <w:sz w:val="13"/>
              </w:rPr>
            </w:pPr>
            <w:r w:rsidRPr="003410C7">
              <w:rPr>
                <w:rFonts w:ascii="Tahoma" w:hAnsi="Tahoma" w:cs="Tahoma"/>
                <w:sz w:val="13"/>
              </w:rPr>
              <w:t>OV</w:t>
            </w:r>
          </w:p>
        </w:tc>
      </w:tr>
      <w:tr w:rsidR="00B33D0E" w:rsidRPr="003410C7" w:rsidTr="002A074D">
        <w:trPr>
          <w:cantSplit/>
          <w:trHeight w:val="145"/>
        </w:trPr>
        <w:tc>
          <w:tcPr>
            <w:tcW w:w="2638" w:type="dxa"/>
            <w:tcBorders>
              <w:bottom w:val="single" w:sz="4" w:space="0" w:color="auto"/>
            </w:tcBorders>
            <w:shd w:val="clear" w:color="auto" w:fill="auto"/>
          </w:tcPr>
          <w:p w:rsidR="00CC19FC" w:rsidRPr="00451078" w:rsidRDefault="00CC19FC" w:rsidP="003410C7">
            <w:pPr>
              <w:pStyle w:val="Heading2"/>
              <w:spacing w:beforeLines="20" w:before="48" w:afterLines="20" w:after="48"/>
              <w:ind w:left="0"/>
              <w:rPr>
                <w:rFonts w:ascii="Tahoma" w:hAnsi="Tahoma" w:cs="Tahoma"/>
                <w:b w:val="0"/>
                <w:sz w:val="14"/>
                <w:lang w:val="it-IT"/>
              </w:rPr>
            </w:pPr>
            <w:bookmarkStart w:id="114" w:name="_Toc336337892"/>
            <w:bookmarkStart w:id="115" w:name="_Toc352234498"/>
            <w:r w:rsidRPr="00451078">
              <w:rPr>
                <w:rFonts w:ascii="Tahoma" w:hAnsi="Tahoma" w:cs="Tahoma"/>
                <w:b w:val="0"/>
                <w:sz w:val="14"/>
                <w:lang w:val="it-IT"/>
              </w:rPr>
              <w:t>Visual Studio</w:t>
            </w:r>
            <w:r w:rsidR="003410C7" w:rsidRPr="00451078">
              <w:rPr>
                <w:rFonts w:ascii="Tahoma" w:hAnsi="Tahoma" w:cs="Tahoma"/>
                <w:sz w:val="14"/>
                <w:vertAlign w:val="superscript"/>
                <w:lang w:val="it-IT"/>
              </w:rPr>
              <w:t>®</w:t>
            </w:r>
            <w:r w:rsidRPr="00451078">
              <w:rPr>
                <w:rFonts w:ascii="Tahoma" w:hAnsi="Tahoma" w:cs="Tahoma"/>
                <w:b w:val="0"/>
                <w:sz w:val="14"/>
                <w:lang w:val="it-IT"/>
              </w:rPr>
              <w:t xml:space="preserve"> Ultimate 2012 con MSDN</w:t>
            </w:r>
            <w:bookmarkEnd w:id="114"/>
            <w:bookmarkEnd w:id="115"/>
          </w:p>
        </w:tc>
        <w:tc>
          <w:tcPr>
            <w:tcW w:w="429" w:type="dxa"/>
            <w:tcBorders>
              <w:bottom w:val="single" w:sz="4" w:space="0" w:color="auto"/>
            </w:tcBorders>
            <w:shd w:val="clear" w:color="auto" w:fill="auto"/>
            <w:vAlign w:val="center"/>
          </w:tcPr>
          <w:p w:rsidR="00CC19FC" w:rsidRPr="009F17FF" w:rsidRDefault="00FC1A4D" w:rsidP="0018541C">
            <w:pPr>
              <w:pStyle w:val="TableText"/>
              <w:widowControl w:val="0"/>
              <w:rPr>
                <w:b/>
                <w:sz w:val="13"/>
                <w:szCs w:val="13"/>
                <w:u w:val="single"/>
              </w:rPr>
            </w:pPr>
            <w:hyperlink w:anchor="Aps_18VS2010UltimateMSDN" w:history="1">
              <w:r w:rsidR="000D77F6" w:rsidRPr="009F17FF">
                <w:rPr>
                  <w:rStyle w:val="Hyperlink"/>
                  <w:b/>
                  <w:sz w:val="13"/>
                  <w:szCs w:val="13"/>
                </w:rPr>
                <w:t>21</w:t>
              </w:r>
            </w:hyperlink>
          </w:p>
        </w:tc>
        <w:tc>
          <w:tcPr>
            <w:tcW w:w="429" w:type="dxa"/>
            <w:tcBorders>
              <w:bottom w:val="single" w:sz="4" w:space="0" w:color="auto"/>
            </w:tcBorders>
            <w:shd w:val="clear" w:color="auto" w:fill="auto"/>
            <w:vAlign w:val="center"/>
          </w:tcPr>
          <w:p w:rsidR="00CC19FC" w:rsidRPr="003410C7" w:rsidRDefault="00CC19FC" w:rsidP="00E46F60">
            <w:pPr>
              <w:pStyle w:val="TableText"/>
              <w:spacing w:before="60" w:after="60"/>
              <w:rPr>
                <w:rFonts w:ascii="Tahoma" w:hAnsi="Tahoma" w:cs="Tahoma"/>
                <w:sz w:val="13"/>
              </w:rPr>
            </w:pPr>
            <w:r w:rsidRPr="003410C7">
              <w:rPr>
                <w:rFonts w:ascii="Tahoma" w:hAnsi="Tahoma" w:cs="Tahoma"/>
                <w:sz w:val="13"/>
              </w:rPr>
              <w:t>09/12</w:t>
            </w:r>
          </w:p>
        </w:tc>
        <w:tc>
          <w:tcPr>
            <w:tcW w:w="429" w:type="dxa"/>
            <w:tcBorders>
              <w:bottom w:val="single" w:sz="4" w:space="0" w:color="auto"/>
              <w:right w:val="single" w:sz="18" w:space="0" w:color="auto"/>
            </w:tcBorders>
            <w:shd w:val="clear" w:color="auto" w:fill="auto"/>
            <w:vAlign w:val="center"/>
          </w:tcPr>
          <w:p w:rsidR="00CC19FC" w:rsidRPr="003410C7" w:rsidRDefault="00CC19FC" w:rsidP="004B3534">
            <w:pPr>
              <w:pStyle w:val="TableText"/>
              <w:rPr>
                <w:rFonts w:ascii="Tahoma" w:hAnsi="Tahoma" w:cs="Tahoma"/>
                <w:sz w:val="13"/>
              </w:rPr>
            </w:pPr>
            <w:r w:rsidRPr="003410C7">
              <w:rPr>
                <w:rFonts w:ascii="Tahoma" w:hAnsi="Tahoma" w:cs="Tahoma"/>
                <w:sz w:val="13"/>
              </w:rPr>
              <w:t>DT</w:t>
            </w:r>
          </w:p>
        </w:tc>
        <w:tc>
          <w:tcPr>
            <w:tcW w:w="429" w:type="dxa"/>
            <w:tcBorders>
              <w:left w:val="single" w:sz="18" w:space="0" w:color="auto"/>
              <w:bottom w:val="single" w:sz="4" w:space="0" w:color="auto"/>
            </w:tcBorders>
            <w:shd w:val="clear" w:color="auto" w:fill="auto"/>
            <w:vAlign w:val="center"/>
          </w:tcPr>
          <w:p w:rsidR="00CC19FC" w:rsidRPr="003410C7" w:rsidRDefault="00CC19FC" w:rsidP="0070485B">
            <w:pPr>
              <w:pStyle w:val="TableText"/>
              <w:rPr>
                <w:rFonts w:ascii="Tahoma" w:hAnsi="Tahoma" w:cs="Tahoma"/>
                <w:sz w:val="13"/>
              </w:rPr>
            </w:pPr>
          </w:p>
        </w:tc>
        <w:tc>
          <w:tcPr>
            <w:tcW w:w="429" w:type="dxa"/>
            <w:tcBorders>
              <w:bottom w:val="single" w:sz="4" w:space="0" w:color="auto"/>
            </w:tcBorders>
            <w:shd w:val="clear" w:color="auto" w:fill="auto"/>
            <w:vAlign w:val="center"/>
          </w:tcPr>
          <w:p w:rsidR="00CC19FC" w:rsidRPr="003410C7" w:rsidRDefault="00CC19FC" w:rsidP="0070485B">
            <w:pPr>
              <w:pStyle w:val="TableText"/>
              <w:rPr>
                <w:rFonts w:ascii="Tahoma" w:hAnsi="Tahoma" w:cs="Tahoma"/>
                <w:sz w:val="13"/>
              </w:rPr>
            </w:pPr>
            <w:r w:rsidRPr="003410C7">
              <w:rPr>
                <w:rFonts w:ascii="Tahoma" w:hAnsi="Tahoma" w:cs="Tahoma"/>
                <w:sz w:val="13"/>
              </w:rPr>
              <w:t>83</w:t>
            </w:r>
          </w:p>
        </w:tc>
        <w:tc>
          <w:tcPr>
            <w:tcW w:w="429" w:type="dxa"/>
            <w:tcBorders>
              <w:bottom w:val="single" w:sz="4" w:space="0" w:color="auto"/>
            </w:tcBorders>
            <w:shd w:val="clear" w:color="auto" w:fill="auto"/>
            <w:vAlign w:val="center"/>
          </w:tcPr>
          <w:p w:rsidR="00CC19FC" w:rsidRPr="003410C7" w:rsidRDefault="00CC19FC" w:rsidP="0070485B">
            <w:pPr>
              <w:pStyle w:val="TableText"/>
              <w:rPr>
                <w:rFonts w:ascii="Tahoma" w:hAnsi="Tahoma" w:cs="Tahoma"/>
                <w:sz w:val="13"/>
              </w:rPr>
            </w:pPr>
            <w:r w:rsidRPr="003410C7">
              <w:rPr>
                <w:rFonts w:ascii="Tahoma" w:hAnsi="Tahoma" w:cs="Tahoma"/>
                <w:sz w:val="13"/>
              </w:rPr>
              <w:t>66</w:t>
            </w:r>
          </w:p>
        </w:tc>
        <w:tc>
          <w:tcPr>
            <w:tcW w:w="429" w:type="dxa"/>
            <w:tcBorders>
              <w:bottom w:val="single" w:sz="4" w:space="0" w:color="auto"/>
            </w:tcBorders>
            <w:shd w:val="clear" w:color="auto" w:fill="auto"/>
            <w:vAlign w:val="center"/>
          </w:tcPr>
          <w:p w:rsidR="00CC19FC" w:rsidRPr="003410C7" w:rsidRDefault="00CC19FC" w:rsidP="0070485B">
            <w:pPr>
              <w:pStyle w:val="TableText"/>
              <w:rPr>
                <w:rFonts w:ascii="Tahoma" w:hAnsi="Tahoma" w:cs="Tahoma"/>
                <w:sz w:val="13"/>
              </w:rPr>
            </w:pPr>
            <w:r w:rsidRPr="003410C7">
              <w:rPr>
                <w:rFonts w:ascii="Tahoma" w:hAnsi="Tahoma" w:cs="Tahoma"/>
                <w:sz w:val="13"/>
              </w:rPr>
              <w:t>50</w:t>
            </w:r>
          </w:p>
        </w:tc>
        <w:tc>
          <w:tcPr>
            <w:tcW w:w="429" w:type="dxa"/>
            <w:tcBorders>
              <w:bottom w:val="single" w:sz="4" w:space="0" w:color="auto"/>
            </w:tcBorders>
            <w:shd w:val="clear" w:color="auto" w:fill="auto"/>
            <w:vAlign w:val="center"/>
          </w:tcPr>
          <w:p w:rsidR="00CC19FC" w:rsidRPr="003410C7" w:rsidRDefault="00CC19FC" w:rsidP="0070485B">
            <w:pPr>
              <w:pStyle w:val="TableText"/>
              <w:rPr>
                <w:rFonts w:ascii="Tahoma" w:hAnsi="Tahoma" w:cs="Tahoma"/>
                <w:sz w:val="13"/>
              </w:rPr>
            </w:pPr>
            <w:r w:rsidRPr="003410C7">
              <w:rPr>
                <w:rFonts w:ascii="Tahoma" w:hAnsi="Tahoma" w:cs="Tahoma"/>
                <w:sz w:val="13"/>
              </w:rPr>
              <w:t>50</w:t>
            </w:r>
          </w:p>
        </w:tc>
        <w:tc>
          <w:tcPr>
            <w:tcW w:w="429" w:type="dxa"/>
            <w:tcBorders>
              <w:bottom w:val="single" w:sz="4" w:space="0" w:color="auto"/>
            </w:tcBorders>
            <w:shd w:val="clear" w:color="auto" w:fill="auto"/>
            <w:vAlign w:val="center"/>
          </w:tcPr>
          <w:p w:rsidR="00CC19FC" w:rsidRPr="003410C7" w:rsidRDefault="00CC19FC" w:rsidP="0070485B">
            <w:pPr>
              <w:pStyle w:val="TableText"/>
              <w:rPr>
                <w:rFonts w:ascii="Tahoma" w:hAnsi="Tahoma" w:cs="Tahoma"/>
                <w:sz w:val="13"/>
              </w:rPr>
            </w:pPr>
            <w:r w:rsidRPr="003410C7">
              <w:rPr>
                <w:rFonts w:ascii="Tahoma" w:hAnsi="Tahoma" w:cs="Tahoma"/>
                <w:sz w:val="13"/>
              </w:rPr>
              <w:t>33</w:t>
            </w:r>
          </w:p>
        </w:tc>
        <w:tc>
          <w:tcPr>
            <w:tcW w:w="429" w:type="dxa"/>
            <w:tcBorders>
              <w:bottom w:val="single" w:sz="4" w:space="0" w:color="auto"/>
              <w:right w:val="single" w:sz="18" w:space="0" w:color="auto"/>
            </w:tcBorders>
            <w:shd w:val="clear" w:color="auto" w:fill="auto"/>
            <w:vAlign w:val="center"/>
          </w:tcPr>
          <w:p w:rsidR="00CC19FC" w:rsidRPr="003410C7" w:rsidRDefault="00CC19FC" w:rsidP="0070485B">
            <w:pPr>
              <w:pStyle w:val="TableText"/>
              <w:rPr>
                <w:rFonts w:ascii="Tahoma" w:hAnsi="Tahoma" w:cs="Tahoma"/>
                <w:sz w:val="13"/>
              </w:rPr>
            </w:pPr>
            <w:r w:rsidRPr="003410C7">
              <w:rPr>
                <w:rFonts w:ascii="Tahoma" w:hAnsi="Tahoma" w:cs="Tahoma"/>
                <w:sz w:val="13"/>
              </w:rPr>
              <w:t>17</w:t>
            </w:r>
          </w:p>
        </w:tc>
        <w:tc>
          <w:tcPr>
            <w:tcW w:w="429" w:type="dxa"/>
            <w:tcBorders>
              <w:left w:val="single" w:sz="18" w:space="0" w:color="auto"/>
              <w:bottom w:val="single" w:sz="4" w:space="0" w:color="auto"/>
            </w:tcBorders>
            <w:shd w:val="clear" w:color="auto" w:fill="auto"/>
            <w:vAlign w:val="center"/>
          </w:tcPr>
          <w:p w:rsidR="00CC19FC" w:rsidRPr="003410C7" w:rsidRDefault="00CC19FC" w:rsidP="0070485B">
            <w:pPr>
              <w:pStyle w:val="TableText"/>
              <w:rPr>
                <w:rFonts w:ascii="Tahoma" w:hAnsi="Tahoma" w:cs="Tahoma"/>
                <w:sz w:val="13"/>
              </w:rPr>
            </w:pPr>
          </w:p>
        </w:tc>
        <w:tc>
          <w:tcPr>
            <w:tcW w:w="429" w:type="dxa"/>
            <w:tcBorders>
              <w:bottom w:val="single" w:sz="4" w:space="0" w:color="auto"/>
            </w:tcBorders>
            <w:shd w:val="clear" w:color="auto" w:fill="auto"/>
            <w:vAlign w:val="center"/>
          </w:tcPr>
          <w:p w:rsidR="00CC19FC" w:rsidRPr="003410C7" w:rsidRDefault="00CC19FC" w:rsidP="0070485B">
            <w:pPr>
              <w:pStyle w:val="TableText"/>
              <w:rPr>
                <w:rFonts w:ascii="Tahoma" w:hAnsi="Tahoma" w:cs="Tahoma"/>
                <w:sz w:val="13"/>
              </w:rPr>
            </w:pPr>
            <w:r w:rsidRPr="003410C7">
              <w:rPr>
                <w:rFonts w:ascii="Tahoma" w:hAnsi="Tahoma" w:cs="Tahoma"/>
                <w:sz w:val="13"/>
              </w:rPr>
              <w:t>66</w:t>
            </w:r>
          </w:p>
        </w:tc>
        <w:tc>
          <w:tcPr>
            <w:tcW w:w="442" w:type="dxa"/>
            <w:tcBorders>
              <w:bottom w:val="single" w:sz="4" w:space="0" w:color="auto"/>
              <w:right w:val="single" w:sz="18" w:space="0" w:color="auto"/>
            </w:tcBorders>
            <w:shd w:val="clear" w:color="auto" w:fill="auto"/>
            <w:vAlign w:val="center"/>
          </w:tcPr>
          <w:p w:rsidR="00CC19FC" w:rsidRPr="003410C7" w:rsidRDefault="00CC19FC" w:rsidP="0070485B">
            <w:pPr>
              <w:pStyle w:val="TableText"/>
              <w:rPr>
                <w:rFonts w:ascii="Tahoma" w:hAnsi="Tahoma" w:cs="Tahoma"/>
                <w:sz w:val="13"/>
              </w:rPr>
            </w:pPr>
            <w:r w:rsidRPr="003410C7">
              <w:rPr>
                <w:rFonts w:ascii="Tahoma" w:hAnsi="Tahoma" w:cs="Tahoma"/>
                <w:sz w:val="13"/>
              </w:rPr>
              <w:t>33</w:t>
            </w:r>
          </w:p>
        </w:tc>
        <w:tc>
          <w:tcPr>
            <w:tcW w:w="495" w:type="dxa"/>
            <w:tcBorders>
              <w:left w:val="single" w:sz="18" w:space="0" w:color="auto"/>
              <w:bottom w:val="single" w:sz="4" w:space="0" w:color="auto"/>
            </w:tcBorders>
            <w:shd w:val="clear" w:color="auto" w:fill="auto"/>
            <w:vAlign w:val="center"/>
          </w:tcPr>
          <w:p w:rsidR="00CC19FC" w:rsidRPr="003410C7" w:rsidRDefault="00CC19FC" w:rsidP="0070485B">
            <w:pPr>
              <w:pStyle w:val="TableText"/>
              <w:rPr>
                <w:rFonts w:ascii="Tahoma" w:hAnsi="Tahoma" w:cs="Tahoma"/>
                <w:sz w:val="13"/>
              </w:rPr>
            </w:pPr>
            <w:r w:rsidRPr="003410C7">
              <w:rPr>
                <w:rFonts w:ascii="Tahoma" w:hAnsi="Tahoma" w:cs="Tahoma"/>
                <w:sz w:val="13"/>
              </w:rPr>
              <w:t>1</w:t>
            </w:r>
          </w:p>
        </w:tc>
        <w:tc>
          <w:tcPr>
            <w:tcW w:w="459" w:type="dxa"/>
            <w:tcBorders>
              <w:bottom w:val="single" w:sz="4" w:space="0" w:color="auto"/>
              <w:right w:val="single" w:sz="18" w:space="0" w:color="auto"/>
            </w:tcBorders>
            <w:shd w:val="clear" w:color="auto" w:fill="auto"/>
            <w:vAlign w:val="center"/>
          </w:tcPr>
          <w:p w:rsidR="00CC19FC" w:rsidRPr="003410C7" w:rsidRDefault="00CC19FC" w:rsidP="0070485B">
            <w:pPr>
              <w:pStyle w:val="TableText"/>
              <w:rPr>
                <w:rFonts w:ascii="Tahoma" w:hAnsi="Tahoma" w:cs="Tahoma"/>
                <w:sz w:val="13"/>
              </w:rPr>
            </w:pPr>
            <w:r w:rsidRPr="003410C7">
              <w:rPr>
                <w:rFonts w:ascii="Tahoma" w:hAnsi="Tahoma" w:cs="Tahoma"/>
                <w:sz w:val="13"/>
              </w:rPr>
              <w:t>A,S</w:t>
            </w:r>
          </w:p>
        </w:tc>
        <w:tc>
          <w:tcPr>
            <w:tcW w:w="360" w:type="dxa"/>
            <w:tcBorders>
              <w:left w:val="single" w:sz="18" w:space="0" w:color="auto"/>
              <w:bottom w:val="single" w:sz="4" w:space="0" w:color="auto"/>
              <w:right w:val="single" w:sz="18" w:space="0" w:color="auto"/>
            </w:tcBorders>
            <w:shd w:val="clear" w:color="auto" w:fill="auto"/>
            <w:vAlign w:val="center"/>
          </w:tcPr>
          <w:p w:rsidR="00CC19FC" w:rsidRPr="003410C7" w:rsidRDefault="00CC19FC" w:rsidP="0070485B">
            <w:pPr>
              <w:pStyle w:val="TableText"/>
              <w:rPr>
                <w:rFonts w:ascii="Tahoma" w:hAnsi="Tahoma" w:cs="Tahoma"/>
                <w:sz w:val="13"/>
              </w:rPr>
            </w:pPr>
            <w:r w:rsidRPr="003410C7">
              <w:rPr>
                <w:rFonts w:ascii="Tahoma" w:hAnsi="Tahoma" w:cs="Tahoma"/>
                <w:sz w:val="13"/>
              </w:rPr>
              <w:t>P</w:t>
            </w:r>
          </w:p>
        </w:tc>
        <w:tc>
          <w:tcPr>
            <w:tcW w:w="474" w:type="dxa"/>
            <w:tcBorders>
              <w:bottom w:val="single" w:sz="4" w:space="0" w:color="auto"/>
            </w:tcBorders>
            <w:shd w:val="clear" w:color="auto" w:fill="auto"/>
            <w:vAlign w:val="center"/>
          </w:tcPr>
          <w:p w:rsidR="00CC19FC" w:rsidRPr="003410C7" w:rsidRDefault="00CC19FC" w:rsidP="0070485B">
            <w:pPr>
              <w:pStyle w:val="TableText"/>
              <w:rPr>
                <w:rFonts w:ascii="Tahoma" w:hAnsi="Tahoma" w:cs="Tahoma"/>
                <w:sz w:val="13"/>
              </w:rPr>
            </w:pPr>
            <w:r w:rsidRPr="003410C7">
              <w:rPr>
                <w:rFonts w:ascii="Tahoma" w:hAnsi="Tahoma" w:cs="Tahoma"/>
                <w:sz w:val="13"/>
              </w:rPr>
              <w:t>A</w:t>
            </w:r>
          </w:p>
        </w:tc>
        <w:tc>
          <w:tcPr>
            <w:tcW w:w="514" w:type="dxa"/>
            <w:tcBorders>
              <w:bottom w:val="single" w:sz="4" w:space="0" w:color="auto"/>
            </w:tcBorders>
            <w:shd w:val="clear" w:color="auto" w:fill="auto"/>
            <w:vAlign w:val="center"/>
          </w:tcPr>
          <w:p w:rsidR="00CC19FC" w:rsidRPr="003410C7" w:rsidRDefault="00CC19FC" w:rsidP="0070485B">
            <w:pPr>
              <w:pStyle w:val="TableText"/>
            </w:pPr>
            <w:r w:rsidRPr="003410C7">
              <w:rPr>
                <w:rFonts w:ascii="Tahoma" w:hAnsi="Tahoma" w:cs="Tahoma"/>
                <w:sz w:val="13"/>
              </w:rPr>
              <w:t>OL/SA/</w:t>
            </w:r>
          </w:p>
          <w:p w:rsidR="00CC19FC" w:rsidRPr="003410C7" w:rsidRDefault="00CC19FC" w:rsidP="0070485B">
            <w:pPr>
              <w:pStyle w:val="TableText"/>
              <w:rPr>
                <w:rFonts w:ascii="Tahoma" w:hAnsi="Tahoma" w:cs="Tahoma"/>
                <w:sz w:val="13"/>
              </w:rPr>
            </w:pPr>
            <w:r w:rsidRPr="003410C7">
              <w:rPr>
                <w:rFonts w:ascii="Tahoma" w:hAnsi="Tahoma" w:cs="Tahoma"/>
                <w:sz w:val="13"/>
              </w:rPr>
              <w:t>OV</w:t>
            </w:r>
          </w:p>
        </w:tc>
      </w:tr>
      <w:tr w:rsidR="00EF228F" w:rsidRPr="003410C7" w:rsidTr="002A074D">
        <w:trPr>
          <w:cantSplit/>
          <w:trHeight w:val="145"/>
        </w:trPr>
        <w:tc>
          <w:tcPr>
            <w:tcW w:w="2638" w:type="dxa"/>
            <w:tcBorders>
              <w:bottom w:val="single" w:sz="4" w:space="0" w:color="auto"/>
            </w:tcBorders>
            <w:shd w:val="clear" w:color="auto" w:fill="FABF8F"/>
          </w:tcPr>
          <w:p w:rsidR="00CC19FC" w:rsidRPr="003410C7" w:rsidRDefault="00CC19FC" w:rsidP="002512AB">
            <w:pPr>
              <w:pStyle w:val="Heading2"/>
              <w:spacing w:beforeLines="20" w:before="48" w:afterLines="20" w:after="48"/>
              <w:ind w:left="0"/>
              <w:rPr>
                <w:rFonts w:ascii="Tahoma" w:hAnsi="Tahoma" w:cs="Tahoma"/>
                <w:b w:val="0"/>
                <w:sz w:val="14"/>
              </w:rPr>
            </w:pPr>
            <w:bookmarkStart w:id="116" w:name="_Toc336337893"/>
            <w:bookmarkStart w:id="117" w:name="_Toc352234499"/>
            <w:r w:rsidRPr="003410C7">
              <w:rPr>
                <w:rFonts w:ascii="Tahoma" w:hAnsi="Tahoma" w:cs="Tahoma"/>
                <w:b w:val="0"/>
                <w:sz w:val="14"/>
              </w:rPr>
              <w:t>Visual Studio</w:t>
            </w:r>
            <w:r w:rsidR="003410C7" w:rsidRPr="003410C7">
              <w:rPr>
                <w:rFonts w:ascii="Tahoma" w:hAnsi="Tahoma" w:cs="Tahoma"/>
                <w:sz w:val="14"/>
                <w:vertAlign w:val="superscript"/>
              </w:rPr>
              <w:t>®</w:t>
            </w:r>
            <w:r w:rsidRPr="003410C7">
              <w:rPr>
                <w:rFonts w:ascii="Tahoma" w:hAnsi="Tahoma" w:cs="Tahoma"/>
                <w:b w:val="0"/>
                <w:sz w:val="14"/>
              </w:rPr>
              <w:t xml:space="preserve"> Test Professional 2012 con</w:t>
            </w:r>
            <w:r w:rsidR="002512AB">
              <w:rPr>
                <w:rFonts w:ascii="Tahoma" w:hAnsi="Tahoma" w:cs="Tahoma"/>
                <w:b w:val="0"/>
                <w:sz w:val="14"/>
              </w:rPr>
              <w:t> </w:t>
            </w:r>
            <w:r w:rsidRPr="003410C7">
              <w:rPr>
                <w:rFonts w:ascii="Tahoma" w:hAnsi="Tahoma" w:cs="Tahoma"/>
                <w:b w:val="0"/>
                <w:sz w:val="14"/>
              </w:rPr>
              <w:t>MSDN</w:t>
            </w:r>
            <w:bookmarkEnd w:id="116"/>
            <w:bookmarkEnd w:id="117"/>
          </w:p>
        </w:tc>
        <w:tc>
          <w:tcPr>
            <w:tcW w:w="429" w:type="dxa"/>
            <w:tcBorders>
              <w:bottom w:val="single" w:sz="4" w:space="0" w:color="auto"/>
            </w:tcBorders>
            <w:shd w:val="clear" w:color="auto" w:fill="FABF8F"/>
            <w:vAlign w:val="center"/>
          </w:tcPr>
          <w:p w:rsidR="00CC19FC" w:rsidRPr="009F17FF" w:rsidRDefault="00FC1A4D" w:rsidP="0018541C">
            <w:pPr>
              <w:pStyle w:val="TableText"/>
              <w:widowControl w:val="0"/>
              <w:rPr>
                <w:b/>
                <w:sz w:val="13"/>
                <w:szCs w:val="13"/>
                <w:u w:val="single"/>
              </w:rPr>
            </w:pPr>
            <w:hyperlink w:anchor="_22_Visual_Studio" w:history="1">
              <w:r w:rsidR="000D77F6" w:rsidRPr="009F17FF">
                <w:rPr>
                  <w:rStyle w:val="Hyperlink"/>
                  <w:b/>
                  <w:sz w:val="13"/>
                  <w:szCs w:val="13"/>
                </w:rPr>
                <w:t>22</w:t>
              </w:r>
            </w:hyperlink>
          </w:p>
        </w:tc>
        <w:tc>
          <w:tcPr>
            <w:tcW w:w="429" w:type="dxa"/>
            <w:tcBorders>
              <w:bottom w:val="single" w:sz="4" w:space="0" w:color="auto"/>
            </w:tcBorders>
            <w:shd w:val="clear" w:color="auto" w:fill="FABF8F"/>
            <w:vAlign w:val="center"/>
          </w:tcPr>
          <w:p w:rsidR="00CC19FC" w:rsidRPr="003410C7" w:rsidRDefault="00CC19FC" w:rsidP="00E46F60">
            <w:pPr>
              <w:pStyle w:val="TableText"/>
              <w:spacing w:before="60" w:after="60"/>
              <w:rPr>
                <w:rFonts w:ascii="Tahoma" w:hAnsi="Tahoma" w:cs="Tahoma"/>
                <w:sz w:val="13"/>
              </w:rPr>
            </w:pPr>
            <w:r w:rsidRPr="003410C7">
              <w:rPr>
                <w:rFonts w:ascii="Tahoma" w:hAnsi="Tahoma" w:cs="Tahoma"/>
                <w:sz w:val="13"/>
              </w:rPr>
              <w:t>09/12</w:t>
            </w:r>
          </w:p>
        </w:tc>
        <w:tc>
          <w:tcPr>
            <w:tcW w:w="429" w:type="dxa"/>
            <w:tcBorders>
              <w:bottom w:val="single" w:sz="4" w:space="0" w:color="auto"/>
              <w:right w:val="single" w:sz="18" w:space="0" w:color="auto"/>
            </w:tcBorders>
            <w:shd w:val="clear" w:color="auto" w:fill="FABF8F"/>
            <w:vAlign w:val="center"/>
          </w:tcPr>
          <w:p w:rsidR="00CC19FC" w:rsidRPr="003410C7" w:rsidRDefault="00CC19FC" w:rsidP="004B3534">
            <w:pPr>
              <w:pStyle w:val="TableText"/>
              <w:rPr>
                <w:rFonts w:ascii="Tahoma" w:hAnsi="Tahoma" w:cs="Tahoma"/>
                <w:sz w:val="13"/>
              </w:rPr>
            </w:pPr>
            <w:r w:rsidRPr="003410C7">
              <w:rPr>
                <w:rFonts w:ascii="Tahoma" w:hAnsi="Tahoma" w:cs="Tahoma"/>
                <w:sz w:val="13"/>
              </w:rPr>
              <w:t>DT</w:t>
            </w:r>
          </w:p>
        </w:tc>
        <w:tc>
          <w:tcPr>
            <w:tcW w:w="429" w:type="dxa"/>
            <w:tcBorders>
              <w:left w:val="single" w:sz="18" w:space="0" w:color="auto"/>
              <w:bottom w:val="single" w:sz="4" w:space="0" w:color="auto"/>
            </w:tcBorders>
            <w:shd w:val="clear" w:color="auto" w:fill="FABF8F"/>
            <w:vAlign w:val="center"/>
          </w:tcPr>
          <w:p w:rsidR="00CC19FC" w:rsidRPr="003410C7" w:rsidRDefault="00CC19FC" w:rsidP="0070485B">
            <w:pPr>
              <w:pStyle w:val="TableText"/>
              <w:rPr>
                <w:rFonts w:ascii="Tahoma" w:hAnsi="Tahoma" w:cs="Tahoma"/>
                <w:sz w:val="13"/>
              </w:rPr>
            </w:pPr>
          </w:p>
        </w:tc>
        <w:tc>
          <w:tcPr>
            <w:tcW w:w="429" w:type="dxa"/>
            <w:tcBorders>
              <w:bottom w:val="single" w:sz="4" w:space="0" w:color="auto"/>
            </w:tcBorders>
            <w:shd w:val="clear" w:color="auto" w:fill="FABF8F"/>
            <w:vAlign w:val="center"/>
          </w:tcPr>
          <w:p w:rsidR="00CC19FC" w:rsidRPr="003410C7" w:rsidRDefault="00CC19FC" w:rsidP="0070485B">
            <w:pPr>
              <w:pStyle w:val="TableText"/>
              <w:rPr>
                <w:rFonts w:ascii="Tahoma" w:hAnsi="Tahoma" w:cs="Tahoma"/>
                <w:sz w:val="13"/>
              </w:rPr>
            </w:pPr>
            <w:r w:rsidRPr="003410C7">
              <w:rPr>
                <w:rFonts w:ascii="Tahoma" w:hAnsi="Tahoma" w:cs="Tahoma"/>
                <w:sz w:val="13"/>
              </w:rPr>
              <w:t>15</w:t>
            </w:r>
          </w:p>
        </w:tc>
        <w:tc>
          <w:tcPr>
            <w:tcW w:w="429" w:type="dxa"/>
            <w:tcBorders>
              <w:bottom w:val="single" w:sz="4" w:space="0" w:color="auto"/>
            </w:tcBorders>
            <w:shd w:val="clear" w:color="auto" w:fill="FABF8F"/>
            <w:vAlign w:val="center"/>
          </w:tcPr>
          <w:p w:rsidR="00CC19FC" w:rsidRPr="003410C7" w:rsidRDefault="00CC19FC" w:rsidP="0070485B">
            <w:pPr>
              <w:pStyle w:val="TableText"/>
              <w:rPr>
                <w:rFonts w:ascii="Tahoma" w:hAnsi="Tahoma" w:cs="Tahoma"/>
                <w:sz w:val="13"/>
              </w:rPr>
            </w:pPr>
            <w:r w:rsidRPr="003410C7">
              <w:rPr>
                <w:rFonts w:ascii="Tahoma" w:hAnsi="Tahoma" w:cs="Tahoma"/>
                <w:sz w:val="13"/>
              </w:rPr>
              <w:t>12</w:t>
            </w:r>
          </w:p>
        </w:tc>
        <w:tc>
          <w:tcPr>
            <w:tcW w:w="429" w:type="dxa"/>
            <w:tcBorders>
              <w:bottom w:val="single" w:sz="4" w:space="0" w:color="auto"/>
            </w:tcBorders>
            <w:shd w:val="clear" w:color="auto" w:fill="FABF8F"/>
            <w:vAlign w:val="center"/>
          </w:tcPr>
          <w:p w:rsidR="00CC19FC" w:rsidRPr="003410C7" w:rsidRDefault="00CC19FC" w:rsidP="0070485B">
            <w:pPr>
              <w:pStyle w:val="TableText"/>
              <w:rPr>
                <w:rFonts w:ascii="Tahoma" w:hAnsi="Tahoma" w:cs="Tahoma"/>
                <w:sz w:val="13"/>
              </w:rPr>
            </w:pPr>
            <w:r w:rsidRPr="003410C7">
              <w:rPr>
                <w:rFonts w:ascii="Tahoma" w:hAnsi="Tahoma" w:cs="Tahoma"/>
                <w:sz w:val="13"/>
              </w:rPr>
              <w:t>9</w:t>
            </w:r>
          </w:p>
        </w:tc>
        <w:tc>
          <w:tcPr>
            <w:tcW w:w="429" w:type="dxa"/>
            <w:tcBorders>
              <w:bottom w:val="single" w:sz="4" w:space="0" w:color="auto"/>
            </w:tcBorders>
            <w:shd w:val="clear" w:color="auto" w:fill="FABF8F"/>
            <w:vAlign w:val="center"/>
          </w:tcPr>
          <w:p w:rsidR="00CC19FC" w:rsidRPr="003410C7" w:rsidRDefault="00CC19FC" w:rsidP="0070485B">
            <w:pPr>
              <w:pStyle w:val="TableText"/>
              <w:rPr>
                <w:rFonts w:ascii="Tahoma" w:hAnsi="Tahoma" w:cs="Tahoma"/>
                <w:sz w:val="13"/>
              </w:rPr>
            </w:pPr>
            <w:r w:rsidRPr="003410C7">
              <w:rPr>
                <w:rFonts w:ascii="Tahoma" w:hAnsi="Tahoma" w:cs="Tahoma"/>
                <w:sz w:val="13"/>
              </w:rPr>
              <w:t>9</w:t>
            </w:r>
          </w:p>
        </w:tc>
        <w:tc>
          <w:tcPr>
            <w:tcW w:w="429" w:type="dxa"/>
            <w:tcBorders>
              <w:bottom w:val="single" w:sz="4" w:space="0" w:color="auto"/>
            </w:tcBorders>
            <w:shd w:val="clear" w:color="auto" w:fill="FABF8F"/>
            <w:vAlign w:val="center"/>
          </w:tcPr>
          <w:p w:rsidR="00CC19FC" w:rsidRPr="003410C7" w:rsidRDefault="00CC19FC" w:rsidP="0070485B">
            <w:pPr>
              <w:pStyle w:val="TableText"/>
              <w:rPr>
                <w:rFonts w:ascii="Tahoma" w:hAnsi="Tahoma" w:cs="Tahoma"/>
                <w:sz w:val="13"/>
              </w:rPr>
            </w:pPr>
            <w:r w:rsidRPr="003410C7">
              <w:rPr>
                <w:rFonts w:ascii="Tahoma" w:hAnsi="Tahoma" w:cs="Tahoma"/>
                <w:sz w:val="13"/>
              </w:rPr>
              <w:t>6</w:t>
            </w:r>
          </w:p>
        </w:tc>
        <w:tc>
          <w:tcPr>
            <w:tcW w:w="429" w:type="dxa"/>
            <w:tcBorders>
              <w:bottom w:val="single" w:sz="4" w:space="0" w:color="auto"/>
              <w:right w:val="single" w:sz="18" w:space="0" w:color="auto"/>
            </w:tcBorders>
            <w:shd w:val="clear" w:color="auto" w:fill="FABF8F"/>
            <w:vAlign w:val="center"/>
          </w:tcPr>
          <w:p w:rsidR="00CC19FC" w:rsidRPr="003410C7" w:rsidRDefault="00CC19FC" w:rsidP="0070485B">
            <w:pPr>
              <w:pStyle w:val="TableText"/>
              <w:rPr>
                <w:rFonts w:ascii="Tahoma" w:hAnsi="Tahoma" w:cs="Tahoma"/>
                <w:sz w:val="13"/>
              </w:rPr>
            </w:pPr>
            <w:r w:rsidRPr="003410C7">
              <w:rPr>
                <w:rFonts w:ascii="Tahoma" w:hAnsi="Tahoma" w:cs="Tahoma"/>
                <w:sz w:val="13"/>
              </w:rPr>
              <w:t>3</w:t>
            </w:r>
          </w:p>
        </w:tc>
        <w:tc>
          <w:tcPr>
            <w:tcW w:w="429" w:type="dxa"/>
            <w:tcBorders>
              <w:left w:val="single" w:sz="18" w:space="0" w:color="auto"/>
              <w:bottom w:val="single" w:sz="4" w:space="0" w:color="auto"/>
            </w:tcBorders>
            <w:shd w:val="clear" w:color="auto" w:fill="FABF8F"/>
            <w:vAlign w:val="center"/>
          </w:tcPr>
          <w:p w:rsidR="00CC19FC" w:rsidRPr="003410C7" w:rsidRDefault="00CC19FC" w:rsidP="0070485B">
            <w:pPr>
              <w:pStyle w:val="TableText"/>
              <w:rPr>
                <w:rFonts w:ascii="Tahoma" w:hAnsi="Tahoma" w:cs="Tahoma"/>
                <w:sz w:val="13"/>
              </w:rPr>
            </w:pPr>
          </w:p>
        </w:tc>
        <w:tc>
          <w:tcPr>
            <w:tcW w:w="429" w:type="dxa"/>
            <w:tcBorders>
              <w:bottom w:val="single" w:sz="4" w:space="0" w:color="auto"/>
            </w:tcBorders>
            <w:shd w:val="clear" w:color="auto" w:fill="FABF8F"/>
            <w:vAlign w:val="center"/>
          </w:tcPr>
          <w:p w:rsidR="00CC19FC" w:rsidRPr="003410C7" w:rsidRDefault="00CC19FC" w:rsidP="0070485B">
            <w:pPr>
              <w:pStyle w:val="TableText"/>
              <w:rPr>
                <w:rFonts w:ascii="Tahoma" w:hAnsi="Tahoma" w:cs="Tahoma"/>
                <w:sz w:val="13"/>
              </w:rPr>
            </w:pPr>
            <w:r w:rsidRPr="003410C7">
              <w:rPr>
                <w:rFonts w:ascii="Tahoma" w:hAnsi="Tahoma" w:cs="Tahoma"/>
                <w:sz w:val="13"/>
              </w:rPr>
              <w:t>12</w:t>
            </w:r>
          </w:p>
        </w:tc>
        <w:tc>
          <w:tcPr>
            <w:tcW w:w="442" w:type="dxa"/>
            <w:tcBorders>
              <w:bottom w:val="single" w:sz="4" w:space="0" w:color="auto"/>
              <w:right w:val="single" w:sz="18" w:space="0" w:color="auto"/>
            </w:tcBorders>
            <w:shd w:val="clear" w:color="auto" w:fill="FABF8F"/>
            <w:vAlign w:val="center"/>
          </w:tcPr>
          <w:p w:rsidR="00CC19FC" w:rsidRPr="003410C7" w:rsidRDefault="00CC19FC" w:rsidP="0070485B">
            <w:pPr>
              <w:pStyle w:val="TableText"/>
              <w:rPr>
                <w:rFonts w:ascii="Tahoma" w:hAnsi="Tahoma" w:cs="Tahoma"/>
                <w:sz w:val="13"/>
              </w:rPr>
            </w:pPr>
            <w:r w:rsidRPr="003410C7">
              <w:rPr>
                <w:rFonts w:ascii="Tahoma" w:hAnsi="Tahoma" w:cs="Tahoma"/>
                <w:sz w:val="13"/>
              </w:rPr>
              <w:t>6</w:t>
            </w:r>
          </w:p>
        </w:tc>
        <w:tc>
          <w:tcPr>
            <w:tcW w:w="495" w:type="dxa"/>
            <w:tcBorders>
              <w:left w:val="single" w:sz="18" w:space="0" w:color="auto"/>
              <w:bottom w:val="single" w:sz="4" w:space="0" w:color="auto"/>
            </w:tcBorders>
            <w:shd w:val="clear" w:color="auto" w:fill="FABF8F"/>
            <w:vAlign w:val="center"/>
          </w:tcPr>
          <w:p w:rsidR="00CC19FC" w:rsidRPr="003410C7" w:rsidRDefault="00CC19FC" w:rsidP="0070485B">
            <w:pPr>
              <w:pStyle w:val="TableText"/>
              <w:rPr>
                <w:rFonts w:ascii="Tahoma" w:hAnsi="Tahoma" w:cs="Tahoma"/>
                <w:sz w:val="13"/>
              </w:rPr>
            </w:pPr>
            <w:r w:rsidRPr="003410C7">
              <w:rPr>
                <w:rFonts w:ascii="Tahoma" w:hAnsi="Tahoma" w:cs="Tahoma"/>
                <w:sz w:val="13"/>
              </w:rPr>
              <w:t>1</w:t>
            </w:r>
          </w:p>
        </w:tc>
        <w:tc>
          <w:tcPr>
            <w:tcW w:w="459" w:type="dxa"/>
            <w:tcBorders>
              <w:bottom w:val="single" w:sz="4" w:space="0" w:color="auto"/>
              <w:right w:val="single" w:sz="18" w:space="0" w:color="auto"/>
            </w:tcBorders>
            <w:shd w:val="clear" w:color="auto" w:fill="FABF8F"/>
            <w:vAlign w:val="center"/>
          </w:tcPr>
          <w:p w:rsidR="00CC19FC" w:rsidRPr="003410C7" w:rsidRDefault="00CC19FC" w:rsidP="0070485B">
            <w:pPr>
              <w:pStyle w:val="TableText"/>
              <w:rPr>
                <w:rFonts w:ascii="Tahoma" w:hAnsi="Tahoma" w:cs="Tahoma"/>
                <w:sz w:val="13"/>
              </w:rPr>
            </w:pPr>
            <w:r w:rsidRPr="003410C7">
              <w:rPr>
                <w:rFonts w:ascii="Tahoma" w:hAnsi="Tahoma" w:cs="Tahoma"/>
                <w:sz w:val="13"/>
              </w:rPr>
              <w:t>A,S</w:t>
            </w:r>
          </w:p>
        </w:tc>
        <w:tc>
          <w:tcPr>
            <w:tcW w:w="360" w:type="dxa"/>
            <w:tcBorders>
              <w:left w:val="single" w:sz="18" w:space="0" w:color="auto"/>
              <w:bottom w:val="single" w:sz="4" w:space="0" w:color="auto"/>
              <w:right w:val="single" w:sz="18" w:space="0" w:color="auto"/>
            </w:tcBorders>
            <w:shd w:val="clear" w:color="auto" w:fill="FABF8F"/>
            <w:vAlign w:val="center"/>
          </w:tcPr>
          <w:p w:rsidR="00CC19FC" w:rsidRPr="003410C7" w:rsidRDefault="00CC19FC" w:rsidP="0070485B">
            <w:pPr>
              <w:pStyle w:val="TableText"/>
              <w:rPr>
                <w:rFonts w:ascii="Tahoma" w:hAnsi="Tahoma" w:cs="Tahoma"/>
                <w:sz w:val="13"/>
              </w:rPr>
            </w:pPr>
            <w:r w:rsidRPr="003410C7">
              <w:rPr>
                <w:rFonts w:ascii="Tahoma" w:hAnsi="Tahoma" w:cs="Tahoma"/>
                <w:sz w:val="13"/>
              </w:rPr>
              <w:t>P</w:t>
            </w:r>
          </w:p>
        </w:tc>
        <w:tc>
          <w:tcPr>
            <w:tcW w:w="474" w:type="dxa"/>
            <w:tcBorders>
              <w:bottom w:val="single" w:sz="4" w:space="0" w:color="auto"/>
            </w:tcBorders>
            <w:shd w:val="clear" w:color="auto" w:fill="FABF8F"/>
            <w:vAlign w:val="center"/>
          </w:tcPr>
          <w:p w:rsidR="00CC19FC" w:rsidRPr="003410C7" w:rsidRDefault="00CC19FC" w:rsidP="0070485B">
            <w:pPr>
              <w:pStyle w:val="TableText"/>
              <w:rPr>
                <w:rFonts w:ascii="Tahoma" w:hAnsi="Tahoma" w:cs="Tahoma"/>
                <w:sz w:val="13"/>
              </w:rPr>
            </w:pPr>
            <w:r w:rsidRPr="003410C7">
              <w:rPr>
                <w:rFonts w:ascii="Tahoma" w:hAnsi="Tahoma" w:cs="Tahoma"/>
                <w:sz w:val="13"/>
              </w:rPr>
              <w:t>A</w:t>
            </w:r>
          </w:p>
        </w:tc>
        <w:tc>
          <w:tcPr>
            <w:tcW w:w="514" w:type="dxa"/>
            <w:tcBorders>
              <w:bottom w:val="single" w:sz="4" w:space="0" w:color="auto"/>
            </w:tcBorders>
            <w:shd w:val="clear" w:color="auto" w:fill="FABF8F"/>
            <w:vAlign w:val="center"/>
          </w:tcPr>
          <w:p w:rsidR="00CC19FC" w:rsidRPr="003410C7" w:rsidRDefault="00CC19FC" w:rsidP="0070485B">
            <w:pPr>
              <w:pStyle w:val="TableText"/>
            </w:pPr>
            <w:r w:rsidRPr="003410C7">
              <w:rPr>
                <w:rFonts w:ascii="Tahoma" w:hAnsi="Tahoma" w:cs="Tahoma"/>
                <w:sz w:val="13"/>
              </w:rPr>
              <w:t>OL/SA/</w:t>
            </w:r>
          </w:p>
          <w:p w:rsidR="00CC19FC" w:rsidRPr="003410C7" w:rsidRDefault="00CC19FC" w:rsidP="0070485B">
            <w:pPr>
              <w:pStyle w:val="TableText"/>
              <w:rPr>
                <w:rFonts w:ascii="Tahoma" w:hAnsi="Tahoma" w:cs="Tahoma"/>
                <w:sz w:val="13"/>
              </w:rPr>
            </w:pPr>
            <w:r w:rsidRPr="003410C7">
              <w:rPr>
                <w:rFonts w:ascii="Tahoma" w:hAnsi="Tahoma" w:cs="Tahoma"/>
                <w:sz w:val="13"/>
              </w:rPr>
              <w:t>OV</w:t>
            </w:r>
          </w:p>
        </w:tc>
      </w:tr>
      <w:tr w:rsidR="00B33D0E" w:rsidRPr="003410C7" w:rsidTr="002A074D">
        <w:trPr>
          <w:cantSplit/>
          <w:trHeight w:val="70"/>
        </w:trPr>
        <w:tc>
          <w:tcPr>
            <w:tcW w:w="2638" w:type="dxa"/>
            <w:tcBorders>
              <w:bottom w:val="single" w:sz="4" w:space="0" w:color="auto"/>
            </w:tcBorders>
            <w:shd w:val="clear" w:color="auto" w:fill="auto"/>
          </w:tcPr>
          <w:p w:rsidR="00CC19FC" w:rsidRPr="003410C7" w:rsidRDefault="00CC19FC" w:rsidP="003410C7">
            <w:pPr>
              <w:pStyle w:val="Heading2"/>
              <w:spacing w:beforeLines="20" w:before="48" w:afterLines="20" w:after="48"/>
              <w:ind w:left="0"/>
              <w:rPr>
                <w:rFonts w:ascii="Tahoma" w:hAnsi="Tahoma" w:cs="Tahoma"/>
                <w:b w:val="0"/>
                <w:sz w:val="14"/>
              </w:rPr>
            </w:pPr>
            <w:bookmarkStart w:id="118" w:name="_Toc336337894"/>
            <w:bookmarkStart w:id="119" w:name="_Toc352234500"/>
            <w:r w:rsidRPr="003410C7">
              <w:rPr>
                <w:rFonts w:ascii="Tahoma" w:hAnsi="Tahoma" w:cs="Tahoma"/>
                <w:b w:val="0"/>
                <w:sz w:val="14"/>
              </w:rPr>
              <w:t xml:space="preserve">Word </w:t>
            </w:r>
            <w:bookmarkEnd w:id="118"/>
            <w:r w:rsidRPr="003410C7">
              <w:rPr>
                <w:rFonts w:ascii="Tahoma" w:hAnsi="Tahoma" w:cs="Tahoma"/>
                <w:b w:val="0"/>
                <w:sz w:val="14"/>
              </w:rPr>
              <w:t>2013</w:t>
            </w:r>
            <w:bookmarkEnd w:id="119"/>
          </w:p>
        </w:tc>
        <w:tc>
          <w:tcPr>
            <w:tcW w:w="429" w:type="dxa"/>
            <w:tcBorders>
              <w:bottom w:val="single" w:sz="4" w:space="0" w:color="auto"/>
            </w:tcBorders>
            <w:shd w:val="clear" w:color="auto" w:fill="auto"/>
            <w:vAlign w:val="center"/>
          </w:tcPr>
          <w:p w:rsidR="00CC19FC" w:rsidRPr="009F17FF" w:rsidRDefault="00CC19FC" w:rsidP="00F62B9E">
            <w:pPr>
              <w:pStyle w:val="TableText"/>
              <w:widowControl w:val="0"/>
              <w:rPr>
                <w:rStyle w:val="EndnoteReference"/>
                <w:color w:val="0000FF"/>
                <w:sz w:val="13"/>
                <w:szCs w:val="13"/>
                <w:u w:val="single"/>
              </w:rPr>
            </w:pPr>
          </w:p>
        </w:tc>
        <w:tc>
          <w:tcPr>
            <w:tcW w:w="429" w:type="dxa"/>
            <w:tcBorders>
              <w:bottom w:val="single" w:sz="4" w:space="0" w:color="auto"/>
            </w:tcBorders>
            <w:shd w:val="clear" w:color="auto" w:fill="auto"/>
            <w:vAlign w:val="center"/>
          </w:tcPr>
          <w:p w:rsidR="00CC19FC" w:rsidRPr="003410C7" w:rsidRDefault="00CC19FC" w:rsidP="004941B2">
            <w:pPr>
              <w:pStyle w:val="TableText"/>
              <w:spacing w:before="60" w:after="60"/>
              <w:rPr>
                <w:rFonts w:ascii="Tahoma" w:hAnsi="Tahoma" w:cs="Tahoma"/>
                <w:sz w:val="13"/>
              </w:rPr>
            </w:pPr>
            <w:r w:rsidRPr="003410C7">
              <w:rPr>
                <w:rFonts w:ascii="Tahoma" w:hAnsi="Tahoma" w:cs="Tahoma"/>
                <w:sz w:val="13"/>
              </w:rPr>
              <w:t>10/12</w:t>
            </w:r>
          </w:p>
        </w:tc>
        <w:tc>
          <w:tcPr>
            <w:tcW w:w="429" w:type="dxa"/>
            <w:tcBorders>
              <w:bottom w:val="single" w:sz="4" w:space="0" w:color="auto"/>
              <w:right w:val="single" w:sz="18" w:space="0" w:color="auto"/>
            </w:tcBorders>
            <w:shd w:val="clear" w:color="auto" w:fill="auto"/>
            <w:vAlign w:val="center"/>
          </w:tcPr>
          <w:p w:rsidR="00CC19FC" w:rsidRPr="003410C7" w:rsidRDefault="00CC19FC" w:rsidP="004B3534">
            <w:pPr>
              <w:pStyle w:val="TableText"/>
              <w:rPr>
                <w:rFonts w:ascii="Tahoma" w:hAnsi="Tahoma" w:cs="Tahoma"/>
                <w:sz w:val="13"/>
              </w:rPr>
            </w:pPr>
            <w:r w:rsidRPr="003410C7">
              <w:rPr>
                <w:rFonts w:ascii="Tahoma" w:hAnsi="Tahoma" w:cs="Tahoma"/>
                <w:sz w:val="13"/>
              </w:rPr>
              <w:t>DT</w:t>
            </w:r>
          </w:p>
        </w:tc>
        <w:tc>
          <w:tcPr>
            <w:tcW w:w="429" w:type="dxa"/>
            <w:tcBorders>
              <w:left w:val="single" w:sz="18" w:space="0" w:color="auto"/>
              <w:bottom w:val="single" w:sz="4" w:space="0" w:color="auto"/>
            </w:tcBorders>
            <w:shd w:val="clear" w:color="auto" w:fill="auto"/>
            <w:vAlign w:val="center"/>
          </w:tcPr>
          <w:p w:rsidR="00CC19FC" w:rsidRPr="003410C7" w:rsidRDefault="00CC19FC" w:rsidP="004B3534">
            <w:pPr>
              <w:pStyle w:val="TableText"/>
              <w:spacing w:after="120"/>
              <w:rPr>
                <w:rFonts w:ascii="Tahoma" w:hAnsi="Tahoma" w:cs="Tahoma"/>
                <w:sz w:val="13"/>
              </w:rPr>
            </w:pPr>
            <w:r w:rsidRPr="003410C7">
              <w:rPr>
                <w:rFonts w:ascii="Tahoma" w:hAnsi="Tahoma" w:cs="Tahoma"/>
                <w:sz w:val="13"/>
              </w:rPr>
              <w:t>1</w:t>
            </w:r>
          </w:p>
        </w:tc>
        <w:tc>
          <w:tcPr>
            <w:tcW w:w="429" w:type="dxa"/>
            <w:tcBorders>
              <w:bottom w:val="single" w:sz="4" w:space="0" w:color="auto"/>
            </w:tcBorders>
            <w:shd w:val="clear" w:color="auto" w:fill="auto"/>
            <w:vAlign w:val="center"/>
          </w:tcPr>
          <w:p w:rsidR="00CC19FC" w:rsidRPr="003410C7" w:rsidRDefault="00CC19FC" w:rsidP="004B3534">
            <w:pPr>
              <w:pStyle w:val="TableText"/>
              <w:rPr>
                <w:rFonts w:ascii="Tahoma" w:hAnsi="Tahoma" w:cs="Tahoma"/>
                <w:sz w:val="13"/>
              </w:rPr>
            </w:pPr>
            <w:r w:rsidRPr="003410C7">
              <w:rPr>
                <w:rFonts w:ascii="Tahoma" w:hAnsi="Tahoma" w:cs="Tahoma"/>
                <w:sz w:val="13"/>
              </w:rPr>
              <w:t>3</w:t>
            </w:r>
          </w:p>
        </w:tc>
        <w:tc>
          <w:tcPr>
            <w:tcW w:w="429" w:type="dxa"/>
            <w:tcBorders>
              <w:bottom w:val="single" w:sz="4" w:space="0" w:color="auto"/>
            </w:tcBorders>
            <w:shd w:val="clear" w:color="auto" w:fill="auto"/>
            <w:vAlign w:val="center"/>
          </w:tcPr>
          <w:p w:rsidR="00CC19FC" w:rsidRPr="003410C7" w:rsidRDefault="00CC19FC" w:rsidP="004B3534">
            <w:pPr>
              <w:pStyle w:val="TableText"/>
              <w:rPr>
                <w:rFonts w:ascii="Tahoma" w:hAnsi="Tahoma" w:cs="Tahoma"/>
                <w:sz w:val="13"/>
              </w:rPr>
            </w:pPr>
            <w:r w:rsidRPr="003410C7">
              <w:rPr>
                <w:rFonts w:ascii="Tahoma" w:hAnsi="Tahoma" w:cs="Tahoma"/>
                <w:sz w:val="13"/>
              </w:rPr>
              <w:t>2</w:t>
            </w:r>
          </w:p>
        </w:tc>
        <w:tc>
          <w:tcPr>
            <w:tcW w:w="429" w:type="dxa"/>
            <w:tcBorders>
              <w:bottom w:val="single" w:sz="4" w:space="0" w:color="auto"/>
            </w:tcBorders>
            <w:shd w:val="clear" w:color="auto" w:fill="auto"/>
            <w:vAlign w:val="center"/>
          </w:tcPr>
          <w:p w:rsidR="00CC19FC" w:rsidRPr="003410C7" w:rsidRDefault="00CC19FC" w:rsidP="004B3534">
            <w:pPr>
              <w:pStyle w:val="TableText"/>
              <w:rPr>
                <w:rFonts w:ascii="Tahoma" w:hAnsi="Tahoma" w:cs="Tahoma"/>
                <w:sz w:val="13"/>
              </w:rPr>
            </w:pPr>
            <w:r w:rsidRPr="003410C7">
              <w:rPr>
                <w:rFonts w:ascii="Tahoma" w:hAnsi="Tahoma" w:cs="Tahoma"/>
                <w:sz w:val="13"/>
              </w:rPr>
              <w:t>2</w:t>
            </w:r>
          </w:p>
        </w:tc>
        <w:tc>
          <w:tcPr>
            <w:tcW w:w="429" w:type="dxa"/>
            <w:tcBorders>
              <w:bottom w:val="single" w:sz="4" w:space="0" w:color="auto"/>
            </w:tcBorders>
            <w:shd w:val="clear" w:color="auto" w:fill="auto"/>
            <w:vAlign w:val="center"/>
          </w:tcPr>
          <w:p w:rsidR="00CC19FC" w:rsidRPr="003410C7" w:rsidRDefault="00CC19FC" w:rsidP="004B3534">
            <w:pPr>
              <w:pStyle w:val="TableText"/>
              <w:rPr>
                <w:rFonts w:ascii="Tahoma" w:hAnsi="Tahoma" w:cs="Tahoma"/>
                <w:sz w:val="13"/>
              </w:rPr>
            </w:pPr>
            <w:r w:rsidRPr="003410C7">
              <w:rPr>
                <w:rFonts w:ascii="Tahoma" w:hAnsi="Tahoma" w:cs="Tahoma"/>
                <w:sz w:val="13"/>
              </w:rPr>
              <w:t>2</w:t>
            </w:r>
          </w:p>
        </w:tc>
        <w:tc>
          <w:tcPr>
            <w:tcW w:w="429" w:type="dxa"/>
            <w:tcBorders>
              <w:bottom w:val="single" w:sz="4" w:space="0" w:color="auto"/>
            </w:tcBorders>
            <w:shd w:val="clear" w:color="auto" w:fill="auto"/>
            <w:vAlign w:val="center"/>
          </w:tcPr>
          <w:p w:rsidR="00CC19FC" w:rsidRPr="003410C7" w:rsidRDefault="00CC19FC" w:rsidP="004B3534">
            <w:pPr>
              <w:pStyle w:val="TableText"/>
              <w:rPr>
                <w:rFonts w:ascii="Tahoma" w:hAnsi="Tahoma" w:cs="Tahoma"/>
                <w:sz w:val="13"/>
              </w:rPr>
            </w:pPr>
            <w:r w:rsidRPr="003410C7">
              <w:rPr>
                <w:rFonts w:ascii="Tahoma" w:hAnsi="Tahoma" w:cs="Tahoma"/>
                <w:sz w:val="13"/>
              </w:rPr>
              <w:t>1</w:t>
            </w:r>
          </w:p>
        </w:tc>
        <w:tc>
          <w:tcPr>
            <w:tcW w:w="429" w:type="dxa"/>
            <w:tcBorders>
              <w:bottom w:val="single" w:sz="4" w:space="0" w:color="auto"/>
              <w:right w:val="single" w:sz="18" w:space="0" w:color="auto"/>
            </w:tcBorders>
            <w:shd w:val="clear" w:color="auto" w:fill="auto"/>
            <w:vAlign w:val="center"/>
          </w:tcPr>
          <w:p w:rsidR="00CC19FC" w:rsidRPr="003410C7" w:rsidRDefault="00CC19FC" w:rsidP="004B3534">
            <w:pPr>
              <w:pStyle w:val="TableText"/>
              <w:rPr>
                <w:rFonts w:ascii="Tahoma" w:hAnsi="Tahoma" w:cs="Tahoma"/>
                <w:sz w:val="13"/>
              </w:rPr>
            </w:pPr>
            <w:r w:rsidRPr="003410C7">
              <w:rPr>
                <w:rFonts w:ascii="Tahoma" w:hAnsi="Tahoma" w:cs="Tahoma"/>
                <w:sz w:val="13"/>
              </w:rPr>
              <w:t>1</w:t>
            </w:r>
          </w:p>
        </w:tc>
        <w:tc>
          <w:tcPr>
            <w:tcW w:w="429" w:type="dxa"/>
            <w:tcBorders>
              <w:left w:val="single" w:sz="18" w:space="0" w:color="auto"/>
              <w:bottom w:val="single" w:sz="4" w:space="0" w:color="auto"/>
            </w:tcBorders>
            <w:shd w:val="clear" w:color="auto" w:fill="auto"/>
            <w:vAlign w:val="center"/>
          </w:tcPr>
          <w:p w:rsidR="00CC19FC" w:rsidRPr="003410C7" w:rsidRDefault="00CC19FC" w:rsidP="004B3534">
            <w:pPr>
              <w:pStyle w:val="TableText"/>
              <w:rPr>
                <w:rFonts w:ascii="Tahoma" w:hAnsi="Tahoma" w:cs="Tahoma"/>
                <w:sz w:val="13"/>
              </w:rPr>
            </w:pPr>
            <w:r w:rsidRPr="003410C7">
              <w:rPr>
                <w:rFonts w:ascii="Tahoma" w:hAnsi="Tahoma" w:cs="Tahoma"/>
                <w:sz w:val="13"/>
              </w:rPr>
              <w:t>1</w:t>
            </w:r>
          </w:p>
        </w:tc>
        <w:tc>
          <w:tcPr>
            <w:tcW w:w="429" w:type="dxa"/>
            <w:tcBorders>
              <w:bottom w:val="single" w:sz="4" w:space="0" w:color="auto"/>
            </w:tcBorders>
            <w:shd w:val="clear" w:color="auto" w:fill="auto"/>
            <w:vAlign w:val="center"/>
          </w:tcPr>
          <w:p w:rsidR="00CC19FC" w:rsidRPr="003410C7" w:rsidRDefault="00CC19FC" w:rsidP="004B3534">
            <w:pPr>
              <w:pStyle w:val="TableText"/>
              <w:rPr>
                <w:rFonts w:ascii="Tahoma" w:hAnsi="Tahoma" w:cs="Tahoma"/>
                <w:sz w:val="13"/>
              </w:rPr>
            </w:pPr>
            <w:r w:rsidRPr="003410C7">
              <w:rPr>
                <w:rFonts w:ascii="Tahoma" w:hAnsi="Tahoma" w:cs="Tahoma"/>
                <w:sz w:val="13"/>
              </w:rPr>
              <w:t>2</w:t>
            </w:r>
          </w:p>
        </w:tc>
        <w:tc>
          <w:tcPr>
            <w:tcW w:w="442" w:type="dxa"/>
            <w:tcBorders>
              <w:bottom w:val="single" w:sz="4" w:space="0" w:color="auto"/>
              <w:right w:val="single" w:sz="18" w:space="0" w:color="auto"/>
            </w:tcBorders>
            <w:shd w:val="clear" w:color="auto" w:fill="auto"/>
            <w:vAlign w:val="center"/>
          </w:tcPr>
          <w:p w:rsidR="00CC19FC" w:rsidRPr="003410C7" w:rsidRDefault="00CC19FC" w:rsidP="004B3534">
            <w:pPr>
              <w:pStyle w:val="TableText"/>
              <w:rPr>
                <w:rFonts w:ascii="Tahoma" w:hAnsi="Tahoma" w:cs="Tahoma"/>
                <w:sz w:val="13"/>
              </w:rPr>
            </w:pPr>
            <w:r w:rsidRPr="003410C7">
              <w:rPr>
                <w:rFonts w:ascii="Tahoma" w:hAnsi="Tahoma" w:cs="Tahoma"/>
                <w:sz w:val="13"/>
              </w:rPr>
              <w:t>1</w:t>
            </w:r>
          </w:p>
        </w:tc>
        <w:tc>
          <w:tcPr>
            <w:tcW w:w="495" w:type="dxa"/>
            <w:tcBorders>
              <w:left w:val="single" w:sz="18" w:space="0" w:color="auto"/>
              <w:bottom w:val="single" w:sz="4" w:space="0" w:color="auto"/>
            </w:tcBorders>
            <w:shd w:val="clear" w:color="auto" w:fill="auto"/>
            <w:vAlign w:val="center"/>
          </w:tcPr>
          <w:p w:rsidR="00CC19FC" w:rsidRPr="003410C7" w:rsidRDefault="00CC19FC" w:rsidP="004B3534">
            <w:pPr>
              <w:pStyle w:val="TableText"/>
              <w:rPr>
                <w:rFonts w:ascii="Tahoma" w:hAnsi="Tahoma" w:cs="Tahoma"/>
                <w:sz w:val="13"/>
              </w:rPr>
            </w:pPr>
          </w:p>
        </w:tc>
        <w:tc>
          <w:tcPr>
            <w:tcW w:w="459" w:type="dxa"/>
            <w:tcBorders>
              <w:bottom w:val="single" w:sz="4" w:space="0" w:color="auto"/>
              <w:right w:val="single" w:sz="18" w:space="0" w:color="auto"/>
            </w:tcBorders>
            <w:shd w:val="clear" w:color="auto" w:fill="auto"/>
            <w:vAlign w:val="center"/>
          </w:tcPr>
          <w:p w:rsidR="00CC19FC" w:rsidRPr="003410C7" w:rsidRDefault="00CC19FC" w:rsidP="004B3534">
            <w:pPr>
              <w:pStyle w:val="TableText"/>
              <w:rPr>
                <w:rFonts w:ascii="Tahoma" w:hAnsi="Tahoma" w:cs="Tahoma"/>
                <w:sz w:val="13"/>
              </w:rPr>
            </w:pPr>
          </w:p>
        </w:tc>
        <w:tc>
          <w:tcPr>
            <w:tcW w:w="360" w:type="dxa"/>
            <w:tcBorders>
              <w:left w:val="single" w:sz="18" w:space="0" w:color="auto"/>
              <w:bottom w:val="single" w:sz="4" w:space="0" w:color="auto"/>
              <w:right w:val="single" w:sz="18" w:space="0" w:color="auto"/>
            </w:tcBorders>
            <w:shd w:val="clear" w:color="auto" w:fill="auto"/>
            <w:vAlign w:val="center"/>
          </w:tcPr>
          <w:p w:rsidR="00CC19FC" w:rsidRPr="003410C7" w:rsidRDefault="00CC19FC" w:rsidP="004B3534">
            <w:pPr>
              <w:pStyle w:val="TableText"/>
              <w:rPr>
                <w:rFonts w:ascii="Tahoma" w:hAnsi="Tahoma" w:cs="Tahoma"/>
                <w:sz w:val="13"/>
              </w:rPr>
            </w:pPr>
            <w:r w:rsidRPr="003410C7">
              <w:rPr>
                <w:rFonts w:ascii="Tahoma" w:hAnsi="Tahoma" w:cs="Tahoma"/>
                <w:sz w:val="13"/>
              </w:rPr>
              <w:t>P</w:t>
            </w:r>
          </w:p>
        </w:tc>
        <w:tc>
          <w:tcPr>
            <w:tcW w:w="474" w:type="dxa"/>
            <w:tcBorders>
              <w:bottom w:val="single" w:sz="4" w:space="0" w:color="auto"/>
            </w:tcBorders>
            <w:shd w:val="clear" w:color="auto" w:fill="auto"/>
            <w:vAlign w:val="center"/>
          </w:tcPr>
          <w:p w:rsidR="00CC19FC" w:rsidRPr="003410C7" w:rsidRDefault="00CC19FC" w:rsidP="00080B33">
            <w:pPr>
              <w:pStyle w:val="TableText"/>
              <w:rPr>
                <w:rFonts w:ascii="Tahoma" w:hAnsi="Tahoma" w:cs="Tahoma"/>
                <w:sz w:val="13"/>
              </w:rPr>
            </w:pPr>
          </w:p>
        </w:tc>
        <w:tc>
          <w:tcPr>
            <w:tcW w:w="514" w:type="dxa"/>
            <w:tcBorders>
              <w:bottom w:val="single" w:sz="4" w:space="0" w:color="auto"/>
            </w:tcBorders>
            <w:shd w:val="clear" w:color="auto" w:fill="auto"/>
            <w:vAlign w:val="center"/>
          </w:tcPr>
          <w:p w:rsidR="00CC19FC" w:rsidRPr="003410C7" w:rsidRDefault="00CC19FC" w:rsidP="004B3534">
            <w:pPr>
              <w:pStyle w:val="TableText"/>
              <w:rPr>
                <w:rFonts w:ascii="Tahoma" w:hAnsi="Tahoma" w:cs="Tahoma"/>
                <w:sz w:val="13"/>
              </w:rPr>
            </w:pPr>
          </w:p>
        </w:tc>
      </w:tr>
      <w:tr w:rsidR="00EF228F" w:rsidRPr="003410C7" w:rsidTr="002A074D">
        <w:trPr>
          <w:cantSplit/>
          <w:trHeight w:val="323"/>
        </w:trPr>
        <w:tc>
          <w:tcPr>
            <w:tcW w:w="2638" w:type="dxa"/>
            <w:tcBorders>
              <w:bottom w:val="single" w:sz="4" w:space="0" w:color="auto"/>
            </w:tcBorders>
            <w:shd w:val="clear" w:color="auto" w:fill="FABF8F"/>
          </w:tcPr>
          <w:p w:rsidR="00CC19FC" w:rsidRPr="003410C7" w:rsidRDefault="00CC19FC" w:rsidP="003410C7">
            <w:pPr>
              <w:pStyle w:val="Heading2"/>
              <w:spacing w:beforeLines="20" w:before="48" w:afterLines="20" w:after="48"/>
              <w:ind w:left="0"/>
              <w:rPr>
                <w:rFonts w:ascii="Tahoma" w:hAnsi="Tahoma" w:cs="Tahoma"/>
                <w:b w:val="0"/>
                <w:sz w:val="14"/>
              </w:rPr>
            </w:pPr>
            <w:bookmarkStart w:id="120" w:name="_Toc336337895"/>
            <w:bookmarkStart w:id="121" w:name="_Toc352234501"/>
            <w:r w:rsidRPr="003410C7">
              <w:rPr>
                <w:rFonts w:ascii="Tahoma" w:hAnsi="Tahoma" w:cs="Tahoma"/>
                <w:b w:val="0"/>
                <w:sz w:val="14"/>
              </w:rPr>
              <w:t>Word per Mac 2011</w:t>
            </w:r>
            <w:bookmarkEnd w:id="120"/>
            <w:bookmarkEnd w:id="121"/>
          </w:p>
        </w:tc>
        <w:tc>
          <w:tcPr>
            <w:tcW w:w="429" w:type="dxa"/>
            <w:tcBorders>
              <w:bottom w:val="single" w:sz="4" w:space="0" w:color="auto"/>
            </w:tcBorders>
            <w:shd w:val="clear" w:color="auto" w:fill="FABF8F"/>
            <w:vAlign w:val="center"/>
          </w:tcPr>
          <w:p w:rsidR="00CC19FC" w:rsidRPr="009F17FF" w:rsidRDefault="00CC19FC" w:rsidP="00F62B9E">
            <w:pPr>
              <w:pStyle w:val="TableText"/>
              <w:widowControl w:val="0"/>
              <w:rPr>
                <w:rStyle w:val="EndnoteReference"/>
                <w:color w:val="0000FF"/>
                <w:sz w:val="13"/>
                <w:szCs w:val="13"/>
              </w:rPr>
            </w:pPr>
          </w:p>
        </w:tc>
        <w:tc>
          <w:tcPr>
            <w:tcW w:w="429" w:type="dxa"/>
            <w:tcBorders>
              <w:bottom w:val="single" w:sz="4" w:space="0" w:color="auto"/>
            </w:tcBorders>
            <w:shd w:val="clear" w:color="auto" w:fill="FABF8F"/>
            <w:vAlign w:val="center"/>
          </w:tcPr>
          <w:p w:rsidR="00CC19FC" w:rsidRPr="003410C7" w:rsidRDefault="00CC19FC" w:rsidP="004B3534">
            <w:pPr>
              <w:pStyle w:val="TableText"/>
              <w:spacing w:before="60" w:after="60"/>
              <w:rPr>
                <w:rFonts w:ascii="Tahoma" w:hAnsi="Tahoma" w:cs="Tahoma"/>
                <w:sz w:val="13"/>
              </w:rPr>
            </w:pPr>
            <w:r w:rsidRPr="003410C7">
              <w:rPr>
                <w:rFonts w:ascii="Tahoma" w:hAnsi="Tahoma" w:cs="Tahoma"/>
                <w:sz w:val="13"/>
              </w:rPr>
              <w:t>09/10</w:t>
            </w:r>
          </w:p>
        </w:tc>
        <w:tc>
          <w:tcPr>
            <w:tcW w:w="429" w:type="dxa"/>
            <w:tcBorders>
              <w:bottom w:val="single" w:sz="4" w:space="0" w:color="auto"/>
              <w:right w:val="single" w:sz="18" w:space="0" w:color="auto"/>
            </w:tcBorders>
            <w:shd w:val="clear" w:color="auto" w:fill="FABF8F"/>
            <w:vAlign w:val="center"/>
          </w:tcPr>
          <w:p w:rsidR="00CC19FC" w:rsidRPr="003410C7" w:rsidRDefault="00CC19FC" w:rsidP="004B3534">
            <w:pPr>
              <w:pStyle w:val="TableText"/>
              <w:rPr>
                <w:rFonts w:ascii="Tahoma" w:hAnsi="Tahoma" w:cs="Tahoma"/>
                <w:sz w:val="13"/>
              </w:rPr>
            </w:pPr>
            <w:r w:rsidRPr="003410C7">
              <w:rPr>
                <w:rFonts w:ascii="Tahoma" w:hAnsi="Tahoma" w:cs="Tahoma"/>
                <w:sz w:val="13"/>
              </w:rPr>
              <w:t>DT</w:t>
            </w:r>
          </w:p>
        </w:tc>
        <w:tc>
          <w:tcPr>
            <w:tcW w:w="429" w:type="dxa"/>
            <w:tcBorders>
              <w:left w:val="single" w:sz="18" w:space="0" w:color="auto"/>
              <w:bottom w:val="single" w:sz="4" w:space="0" w:color="auto"/>
            </w:tcBorders>
            <w:shd w:val="clear" w:color="auto" w:fill="FABF8F"/>
            <w:vAlign w:val="center"/>
          </w:tcPr>
          <w:p w:rsidR="00CC19FC" w:rsidRPr="003410C7" w:rsidRDefault="00CC19FC" w:rsidP="004B3534">
            <w:pPr>
              <w:pStyle w:val="TableText"/>
              <w:spacing w:after="120"/>
              <w:rPr>
                <w:rFonts w:ascii="Tahoma" w:hAnsi="Tahoma" w:cs="Tahoma"/>
                <w:sz w:val="13"/>
              </w:rPr>
            </w:pPr>
            <w:r w:rsidRPr="003410C7">
              <w:rPr>
                <w:rFonts w:ascii="Tahoma" w:hAnsi="Tahoma" w:cs="Tahoma"/>
                <w:sz w:val="13"/>
              </w:rPr>
              <w:t>1</w:t>
            </w:r>
          </w:p>
        </w:tc>
        <w:tc>
          <w:tcPr>
            <w:tcW w:w="429" w:type="dxa"/>
            <w:tcBorders>
              <w:bottom w:val="single" w:sz="4" w:space="0" w:color="auto"/>
            </w:tcBorders>
            <w:shd w:val="clear" w:color="auto" w:fill="FABF8F"/>
            <w:vAlign w:val="center"/>
          </w:tcPr>
          <w:p w:rsidR="00CC19FC" w:rsidRPr="003410C7" w:rsidRDefault="00CC19FC" w:rsidP="004B3534">
            <w:pPr>
              <w:pStyle w:val="TableText"/>
              <w:rPr>
                <w:rFonts w:ascii="Tahoma" w:hAnsi="Tahoma" w:cs="Tahoma"/>
                <w:sz w:val="13"/>
              </w:rPr>
            </w:pPr>
            <w:r w:rsidRPr="003410C7">
              <w:rPr>
                <w:rFonts w:ascii="Tahoma" w:hAnsi="Tahoma" w:cs="Tahoma"/>
                <w:sz w:val="13"/>
              </w:rPr>
              <w:t>3</w:t>
            </w:r>
          </w:p>
        </w:tc>
        <w:tc>
          <w:tcPr>
            <w:tcW w:w="429" w:type="dxa"/>
            <w:tcBorders>
              <w:bottom w:val="single" w:sz="4" w:space="0" w:color="auto"/>
            </w:tcBorders>
            <w:shd w:val="clear" w:color="auto" w:fill="FABF8F"/>
            <w:vAlign w:val="center"/>
          </w:tcPr>
          <w:p w:rsidR="00CC19FC" w:rsidRPr="003410C7" w:rsidRDefault="00CC19FC" w:rsidP="004B3534">
            <w:pPr>
              <w:pStyle w:val="TableText"/>
              <w:rPr>
                <w:rFonts w:ascii="Tahoma" w:hAnsi="Tahoma" w:cs="Tahoma"/>
                <w:sz w:val="13"/>
              </w:rPr>
            </w:pPr>
            <w:r w:rsidRPr="003410C7">
              <w:rPr>
                <w:rFonts w:ascii="Tahoma" w:hAnsi="Tahoma" w:cs="Tahoma"/>
                <w:sz w:val="13"/>
              </w:rPr>
              <w:t>2</w:t>
            </w:r>
          </w:p>
        </w:tc>
        <w:tc>
          <w:tcPr>
            <w:tcW w:w="429" w:type="dxa"/>
            <w:tcBorders>
              <w:bottom w:val="single" w:sz="4" w:space="0" w:color="auto"/>
            </w:tcBorders>
            <w:shd w:val="clear" w:color="auto" w:fill="FABF8F"/>
            <w:vAlign w:val="center"/>
          </w:tcPr>
          <w:p w:rsidR="00CC19FC" w:rsidRPr="003410C7" w:rsidRDefault="00CC19FC" w:rsidP="004B3534">
            <w:pPr>
              <w:pStyle w:val="TableText"/>
              <w:rPr>
                <w:rFonts w:ascii="Tahoma" w:hAnsi="Tahoma" w:cs="Tahoma"/>
                <w:sz w:val="13"/>
              </w:rPr>
            </w:pPr>
            <w:r w:rsidRPr="003410C7">
              <w:rPr>
                <w:rFonts w:ascii="Tahoma" w:hAnsi="Tahoma" w:cs="Tahoma"/>
                <w:sz w:val="13"/>
              </w:rPr>
              <w:t>2</w:t>
            </w:r>
          </w:p>
        </w:tc>
        <w:tc>
          <w:tcPr>
            <w:tcW w:w="429" w:type="dxa"/>
            <w:tcBorders>
              <w:bottom w:val="single" w:sz="4" w:space="0" w:color="auto"/>
            </w:tcBorders>
            <w:shd w:val="clear" w:color="auto" w:fill="FABF8F"/>
            <w:vAlign w:val="center"/>
          </w:tcPr>
          <w:p w:rsidR="00CC19FC" w:rsidRPr="003410C7" w:rsidRDefault="00CC19FC" w:rsidP="004B3534">
            <w:pPr>
              <w:pStyle w:val="TableText"/>
              <w:rPr>
                <w:rFonts w:ascii="Tahoma" w:hAnsi="Tahoma" w:cs="Tahoma"/>
                <w:sz w:val="13"/>
              </w:rPr>
            </w:pPr>
            <w:r w:rsidRPr="003410C7">
              <w:rPr>
                <w:rFonts w:ascii="Tahoma" w:hAnsi="Tahoma" w:cs="Tahoma"/>
                <w:sz w:val="13"/>
              </w:rPr>
              <w:t>2</w:t>
            </w:r>
          </w:p>
        </w:tc>
        <w:tc>
          <w:tcPr>
            <w:tcW w:w="429" w:type="dxa"/>
            <w:tcBorders>
              <w:bottom w:val="single" w:sz="4" w:space="0" w:color="auto"/>
            </w:tcBorders>
            <w:shd w:val="clear" w:color="auto" w:fill="FABF8F"/>
            <w:vAlign w:val="center"/>
          </w:tcPr>
          <w:p w:rsidR="00CC19FC" w:rsidRPr="003410C7" w:rsidRDefault="00CC19FC" w:rsidP="004B3534">
            <w:pPr>
              <w:pStyle w:val="TableText"/>
              <w:rPr>
                <w:rFonts w:ascii="Tahoma" w:hAnsi="Tahoma" w:cs="Tahoma"/>
                <w:sz w:val="13"/>
              </w:rPr>
            </w:pPr>
            <w:r w:rsidRPr="003410C7">
              <w:rPr>
                <w:rFonts w:ascii="Tahoma" w:hAnsi="Tahoma" w:cs="Tahoma"/>
                <w:sz w:val="13"/>
              </w:rPr>
              <w:t>1</w:t>
            </w:r>
          </w:p>
        </w:tc>
        <w:tc>
          <w:tcPr>
            <w:tcW w:w="429" w:type="dxa"/>
            <w:tcBorders>
              <w:bottom w:val="single" w:sz="4" w:space="0" w:color="auto"/>
              <w:right w:val="single" w:sz="18" w:space="0" w:color="auto"/>
            </w:tcBorders>
            <w:shd w:val="clear" w:color="auto" w:fill="FABF8F"/>
            <w:vAlign w:val="center"/>
          </w:tcPr>
          <w:p w:rsidR="00CC19FC" w:rsidRPr="003410C7" w:rsidRDefault="00CC19FC" w:rsidP="004B3534">
            <w:pPr>
              <w:pStyle w:val="TableText"/>
              <w:rPr>
                <w:rFonts w:ascii="Tahoma" w:hAnsi="Tahoma" w:cs="Tahoma"/>
                <w:sz w:val="13"/>
              </w:rPr>
            </w:pPr>
            <w:r w:rsidRPr="003410C7">
              <w:rPr>
                <w:rFonts w:ascii="Tahoma" w:hAnsi="Tahoma" w:cs="Tahoma"/>
                <w:sz w:val="13"/>
              </w:rPr>
              <w:t>1</w:t>
            </w:r>
          </w:p>
        </w:tc>
        <w:tc>
          <w:tcPr>
            <w:tcW w:w="429" w:type="dxa"/>
            <w:tcBorders>
              <w:left w:val="single" w:sz="18" w:space="0" w:color="auto"/>
              <w:bottom w:val="single" w:sz="4" w:space="0" w:color="auto"/>
            </w:tcBorders>
            <w:shd w:val="clear" w:color="auto" w:fill="FABF8F"/>
            <w:vAlign w:val="center"/>
          </w:tcPr>
          <w:p w:rsidR="00CC19FC" w:rsidRPr="003410C7" w:rsidRDefault="00CC19FC" w:rsidP="004B3534">
            <w:pPr>
              <w:pStyle w:val="TableText"/>
              <w:rPr>
                <w:rFonts w:ascii="Tahoma" w:hAnsi="Tahoma" w:cs="Tahoma"/>
                <w:sz w:val="13"/>
              </w:rPr>
            </w:pPr>
            <w:r w:rsidRPr="003410C7">
              <w:rPr>
                <w:rFonts w:ascii="Tahoma" w:hAnsi="Tahoma" w:cs="Tahoma"/>
                <w:sz w:val="13"/>
              </w:rPr>
              <w:t>1</w:t>
            </w:r>
          </w:p>
        </w:tc>
        <w:tc>
          <w:tcPr>
            <w:tcW w:w="429" w:type="dxa"/>
            <w:tcBorders>
              <w:bottom w:val="single" w:sz="4" w:space="0" w:color="auto"/>
            </w:tcBorders>
            <w:shd w:val="clear" w:color="auto" w:fill="FABF8F"/>
            <w:vAlign w:val="center"/>
          </w:tcPr>
          <w:p w:rsidR="00CC19FC" w:rsidRPr="003410C7" w:rsidRDefault="00CC19FC" w:rsidP="004B3534">
            <w:pPr>
              <w:pStyle w:val="TableText"/>
              <w:rPr>
                <w:rFonts w:ascii="Tahoma" w:hAnsi="Tahoma" w:cs="Tahoma"/>
                <w:sz w:val="13"/>
              </w:rPr>
            </w:pPr>
            <w:r w:rsidRPr="003410C7">
              <w:rPr>
                <w:rFonts w:ascii="Tahoma" w:hAnsi="Tahoma" w:cs="Tahoma"/>
                <w:sz w:val="13"/>
              </w:rPr>
              <w:t>2</w:t>
            </w:r>
          </w:p>
        </w:tc>
        <w:tc>
          <w:tcPr>
            <w:tcW w:w="442" w:type="dxa"/>
            <w:tcBorders>
              <w:bottom w:val="single" w:sz="4" w:space="0" w:color="auto"/>
              <w:right w:val="single" w:sz="18" w:space="0" w:color="auto"/>
            </w:tcBorders>
            <w:shd w:val="clear" w:color="auto" w:fill="FABF8F"/>
            <w:vAlign w:val="center"/>
          </w:tcPr>
          <w:p w:rsidR="00CC19FC" w:rsidRPr="003410C7" w:rsidRDefault="00CC19FC" w:rsidP="004B3534">
            <w:pPr>
              <w:pStyle w:val="TableText"/>
              <w:rPr>
                <w:rFonts w:ascii="Tahoma" w:hAnsi="Tahoma" w:cs="Tahoma"/>
                <w:sz w:val="13"/>
              </w:rPr>
            </w:pPr>
            <w:r w:rsidRPr="003410C7">
              <w:rPr>
                <w:rFonts w:ascii="Tahoma" w:hAnsi="Tahoma" w:cs="Tahoma"/>
                <w:sz w:val="13"/>
              </w:rPr>
              <w:t>1</w:t>
            </w:r>
          </w:p>
        </w:tc>
        <w:tc>
          <w:tcPr>
            <w:tcW w:w="495" w:type="dxa"/>
            <w:tcBorders>
              <w:left w:val="single" w:sz="18" w:space="0" w:color="auto"/>
              <w:bottom w:val="single" w:sz="4" w:space="0" w:color="auto"/>
            </w:tcBorders>
            <w:shd w:val="clear" w:color="auto" w:fill="FABF8F"/>
            <w:vAlign w:val="center"/>
          </w:tcPr>
          <w:p w:rsidR="00CC19FC" w:rsidRPr="003410C7" w:rsidRDefault="00CC19FC" w:rsidP="004B3534">
            <w:pPr>
              <w:pStyle w:val="TableText"/>
              <w:rPr>
                <w:rFonts w:ascii="Tahoma" w:hAnsi="Tahoma" w:cs="Tahoma"/>
                <w:sz w:val="13"/>
              </w:rPr>
            </w:pPr>
          </w:p>
        </w:tc>
        <w:tc>
          <w:tcPr>
            <w:tcW w:w="459" w:type="dxa"/>
            <w:tcBorders>
              <w:bottom w:val="single" w:sz="4" w:space="0" w:color="auto"/>
              <w:right w:val="single" w:sz="18" w:space="0" w:color="auto"/>
            </w:tcBorders>
            <w:shd w:val="clear" w:color="auto" w:fill="FABF8F"/>
            <w:vAlign w:val="center"/>
          </w:tcPr>
          <w:p w:rsidR="00CC19FC" w:rsidRPr="003410C7" w:rsidRDefault="00CC19FC" w:rsidP="004B3534">
            <w:pPr>
              <w:pStyle w:val="TableText"/>
              <w:rPr>
                <w:rFonts w:ascii="Tahoma" w:hAnsi="Tahoma" w:cs="Tahoma"/>
                <w:sz w:val="13"/>
              </w:rPr>
            </w:pPr>
          </w:p>
        </w:tc>
        <w:tc>
          <w:tcPr>
            <w:tcW w:w="360" w:type="dxa"/>
            <w:tcBorders>
              <w:left w:val="single" w:sz="18" w:space="0" w:color="auto"/>
              <w:bottom w:val="single" w:sz="4" w:space="0" w:color="auto"/>
              <w:right w:val="single" w:sz="18" w:space="0" w:color="auto"/>
            </w:tcBorders>
            <w:shd w:val="clear" w:color="auto" w:fill="FABF8F"/>
            <w:vAlign w:val="center"/>
          </w:tcPr>
          <w:p w:rsidR="00CC19FC" w:rsidRPr="003410C7" w:rsidRDefault="00CC19FC" w:rsidP="004B3534">
            <w:pPr>
              <w:pStyle w:val="TableText"/>
              <w:rPr>
                <w:rFonts w:ascii="Tahoma" w:hAnsi="Tahoma" w:cs="Tahoma"/>
                <w:sz w:val="13"/>
              </w:rPr>
            </w:pPr>
            <w:r w:rsidRPr="003410C7">
              <w:rPr>
                <w:rFonts w:ascii="Tahoma" w:hAnsi="Tahoma" w:cs="Tahoma"/>
                <w:sz w:val="13"/>
              </w:rPr>
              <w:t>P</w:t>
            </w:r>
          </w:p>
        </w:tc>
        <w:tc>
          <w:tcPr>
            <w:tcW w:w="474" w:type="dxa"/>
            <w:tcBorders>
              <w:bottom w:val="single" w:sz="4" w:space="0" w:color="auto"/>
            </w:tcBorders>
            <w:shd w:val="clear" w:color="auto" w:fill="FABF8F"/>
            <w:vAlign w:val="center"/>
          </w:tcPr>
          <w:p w:rsidR="00CC19FC" w:rsidRPr="003410C7" w:rsidRDefault="00CC19FC" w:rsidP="00080B33">
            <w:pPr>
              <w:pStyle w:val="TableText"/>
              <w:rPr>
                <w:rFonts w:ascii="Tahoma" w:hAnsi="Tahoma" w:cs="Tahoma"/>
                <w:sz w:val="13"/>
              </w:rPr>
            </w:pPr>
          </w:p>
        </w:tc>
        <w:tc>
          <w:tcPr>
            <w:tcW w:w="514" w:type="dxa"/>
            <w:tcBorders>
              <w:bottom w:val="single" w:sz="4" w:space="0" w:color="auto"/>
            </w:tcBorders>
            <w:shd w:val="clear" w:color="auto" w:fill="FABF8F"/>
            <w:vAlign w:val="center"/>
          </w:tcPr>
          <w:p w:rsidR="00CC19FC" w:rsidRPr="003410C7" w:rsidRDefault="00CC19FC" w:rsidP="004B3534">
            <w:pPr>
              <w:pStyle w:val="TableText"/>
              <w:rPr>
                <w:rFonts w:ascii="Tahoma" w:hAnsi="Tahoma" w:cs="Tahoma"/>
                <w:sz w:val="13"/>
              </w:rPr>
            </w:pPr>
          </w:p>
        </w:tc>
      </w:tr>
    </w:tbl>
    <w:p w:rsidR="00023FE7" w:rsidRPr="003410C7" w:rsidRDefault="00731840">
      <w:pPr>
        <w:pStyle w:val="Bodywithspace"/>
        <w:ind w:left="0"/>
      </w:pPr>
      <w:r>
        <w:rPr>
          <w:noProof/>
          <w:sz w:val="14"/>
        </w:rPr>
        <mc:AlternateContent>
          <mc:Choice Requires="wps">
            <w:drawing>
              <wp:anchor distT="0" distB="0" distL="114300" distR="114300" simplePos="0" relativeHeight="251653632" behindDoc="0" locked="0" layoutInCell="1" allowOverlap="1">
                <wp:simplePos x="0" y="0"/>
                <wp:positionH relativeFrom="column">
                  <wp:posOffset>-317500</wp:posOffset>
                </wp:positionH>
                <wp:positionV relativeFrom="paragraph">
                  <wp:posOffset>19685</wp:posOffset>
                </wp:positionV>
                <wp:extent cx="6547485" cy="427355"/>
                <wp:effectExtent l="0" t="0" r="0" b="0"/>
                <wp:wrapNone/>
                <wp:docPr id="6" name="Text Box 4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547485" cy="42735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F86FFF" w:rsidRPr="00451078" w:rsidRDefault="00F86FFF">
                            <w:pPr>
                              <w:rPr>
                                <w:rFonts w:cs="Tahoma"/>
                                <w:i/>
                                <w:color w:val="000000"/>
                                <w:sz w:val="14"/>
                                <w:szCs w:val="14"/>
                                <w:lang w:val="it-IT"/>
                              </w:rPr>
                            </w:pPr>
                            <w:r w:rsidRPr="00451078">
                              <w:rPr>
                                <w:rFonts w:cs="Tahoma"/>
                                <w:i/>
                                <w:color w:val="000000"/>
                                <w:sz w:val="14"/>
                                <w:szCs w:val="14"/>
                                <w:lang w:val="it-IT"/>
                              </w:rPr>
                              <w:t>Nota: se la cella del prodotto è vuota significa che il prodotto non è attualmente offerto nel programma.</w:t>
                            </w:r>
                          </w:p>
                          <w:p w:rsidR="00F86FFF" w:rsidRPr="00451078" w:rsidRDefault="00F86FFF">
                            <w:pPr>
                              <w:rPr>
                                <w:rFonts w:cs="Tahoma"/>
                                <w:i/>
                                <w:color w:val="000000"/>
                                <w:sz w:val="14"/>
                                <w:szCs w:val="14"/>
                                <w:lang w:val="it-IT"/>
                              </w:rPr>
                            </w:pPr>
                            <w:r w:rsidRPr="00451078">
                              <w:rPr>
                                <w:rFonts w:cs="Tahoma"/>
                                <w:i/>
                                <w:color w:val="000000"/>
                                <w:sz w:val="14"/>
                                <w:szCs w:val="14"/>
                                <w:lang w:val="it-IT"/>
                              </w:rPr>
                              <w:t>*Per quanto riguarda Select Plus verranno utilizzati solo i valori “L” e tre anni per “L&amp;SA” / “SA”.</w:t>
                            </w:r>
                          </w:p>
                          <w:p w:rsidR="00F86FFF" w:rsidRPr="00451078" w:rsidRDefault="00F86FFF">
                            <w:pPr>
                              <w:rPr>
                                <w:lang w:val="it-IT"/>
                              </w:rPr>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xmlns:w15="http://schemas.microsoft.com/office/word/2012/wordml">
            <w:pict>
              <v:shapetype id="_x0000_t202" coordsize="21600,21600" o:spt="202" path="m,l,21600r21600,l21600,xe">
                <v:stroke joinstyle="miter"/>
                <v:path gradientshapeok="t" o:connecttype="rect"/>
              </v:shapetype>
              <v:shape id="Text Box 43" o:spid="_x0000_s1026" type="#_x0000_t202" style="position:absolute;margin-left:-25pt;margin-top:1.55pt;width:515.55pt;height:33.65pt;z-index:2516536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DafxNtgIAALoFAAAOAAAAZHJzL2Uyb0RvYy54bWysVG1vmzAQ/j5p/8Hyd8pLDQmopGpDmCZ1&#10;L1K7H+CACdbAZrYT0k377zubJE1bTZq28QHZvvNz99w9vqvrfd+hHVOaS5Hj8CLAiIlK1lxscvzl&#10;ofTmGGlDRU07KViOH5nG14u3b67GIWORbGVXM4UAROhsHHLcGjNkvq+rlvVUX8iBCTA2UvXUwFZt&#10;/FrREdD7zo+CIPFHqepByYppDafFZMQLh980rDKfmkYzg7ocQ27G/ZX7r+3fX1zRbKPo0PLqkAb9&#10;iyx6ygUEPUEV1FC0VfwVVM8rJbVszEUle182Da+Y4wBswuAFm/uWDsxxgeLo4VQm/f9gq4+7zwrx&#10;OscJRoL20KIHtjfoVu4RubTlGQedgdf9AH5mD+fQZkdVD3ey+qqRkMuWig27UUqOLaM1pBfam/7Z&#10;1QlHW5D1+EHWEIdujXRA+0b1tnZQDQTo0KbHU2tsLhUcJjGZkXmMUQU2Es0u49iFoNnx9qC0ecdk&#10;j+wixwpa79Dp7k4bmw3Nji42mJAl7zrX/k48OwDH6QRiw1Vrs1m4bv5Ig3Q1X82JR6Jk5ZGgKLyb&#10;ckm8pAxncXFZLJdF+NPGDUnW8rpmwoY5Kiskf9a5g8YnTZy0pWXHawtnU9Jqs152Cu0oKLt036Eg&#10;Z27+8zRcEYDLC0phRILbKPXKZD7zSEliL50Fcy8I09s0CUhKivI5pTsu2L9TQmOO0ziKJzH9llvg&#10;vtfcaNZzA7Oj432O5ycnmlkJrkTtWmso76b1WSls+k+lgHYfG+0EazU6qdXs13tAsSpey/oRpKsk&#10;KAv0CQMPFq1U3zEaYXjkWH/bUsUw6t4LkH8aEmKnjduQeBbBRp1b1ucWKiqAyrHBaFouzTShtoPi&#10;mxYiTQ9OyBt4Mg13an7K6vDQYEA4UodhZifQ+d55PY3cxS8AAAD//wMAUEsDBBQABgAIAAAAIQD2&#10;TosO3QAAAAgBAAAPAAAAZHJzL2Rvd25yZXYueG1sTI/NTsMwEITvSLyDtUjcWjvQQhuyqRCIK6jl&#10;R+LmxtskIl5HsduEt2c5wW1Ws5r5pthMvlMnGmIbGCGbG1DEVXAt1whvr0+zFaiYLDvbBSaEb4qw&#10;Kc/PCpu7MPKWTrtUKwnhmFuEJqU+1zpWDXkb56EnFu8QBm+TnEOt3WBHCfedvjLmRnvbsjQ0tqeH&#10;hqqv3dEjvD8fPj8W5qV+9Mt+DJPR7Nca8fJiur8DlWhKf8/wiy/oUArTPhzZRdUhzJZGtiSE6wyU&#10;+OtVJmKPcGsWoMtC/x9Q/gAAAP//AwBQSwECLQAUAAYACAAAACEAtoM4kv4AAADhAQAAEwAAAAAA&#10;AAAAAAAAAAAAAAAAW0NvbnRlbnRfVHlwZXNdLnhtbFBLAQItABQABgAIAAAAIQA4/SH/1gAAAJQB&#10;AAALAAAAAAAAAAAAAAAAAC8BAABfcmVscy8ucmVsc1BLAQItABQABgAIAAAAIQDDafxNtgIAALoF&#10;AAAOAAAAAAAAAAAAAAAAAC4CAABkcnMvZTJvRG9jLnhtbFBLAQItABQABgAIAAAAIQD2TosO3QAA&#10;AAgBAAAPAAAAAAAAAAAAAAAAABAFAABkcnMvZG93bnJldi54bWxQSwUGAAAAAAQABADzAAAAGgYA&#10;AAAA&#10;" filled="f" stroked="f">
                <v:textbox>
                  <w:txbxContent>
                    <w:p w:rsidR="00F86FFF" w:rsidRPr="00451078" w:rsidRDefault="00F86FFF">
                      <w:pPr>
                        <w:rPr>
                          <w:rFonts w:cs="Tahoma"/>
                          <w:i/>
                          <w:color w:val="000000"/>
                          <w:sz w:val="14"/>
                          <w:szCs w:val="14"/>
                          <w:lang w:val="it-IT"/>
                        </w:rPr>
                      </w:pPr>
                      <w:r w:rsidRPr="00451078">
                        <w:rPr>
                          <w:rFonts w:cs="Tahoma"/>
                          <w:i/>
                          <w:color w:val="000000"/>
                          <w:sz w:val="14"/>
                          <w:szCs w:val="14"/>
                          <w:lang w:val="it-IT"/>
                        </w:rPr>
                        <w:t>Nota: se la cella del prodotto è vuota significa che il prodotto non è attualmente offerto nel programma.</w:t>
                      </w:r>
                    </w:p>
                    <w:p w:rsidR="00F86FFF" w:rsidRPr="00451078" w:rsidRDefault="00F86FFF">
                      <w:pPr>
                        <w:rPr>
                          <w:rFonts w:cs="Tahoma"/>
                          <w:i/>
                          <w:color w:val="000000"/>
                          <w:sz w:val="14"/>
                          <w:szCs w:val="14"/>
                          <w:lang w:val="it-IT"/>
                        </w:rPr>
                      </w:pPr>
                      <w:r w:rsidRPr="00451078">
                        <w:rPr>
                          <w:rFonts w:cs="Tahoma"/>
                          <w:i/>
                          <w:color w:val="000000"/>
                          <w:sz w:val="14"/>
                          <w:szCs w:val="14"/>
                          <w:lang w:val="it-IT"/>
                        </w:rPr>
                        <w:t>*Per quanto riguarda Select Plus verranno utilizzati solo i valori “L” e tre anni per “L&amp;SA” / “SA”.</w:t>
                      </w:r>
                    </w:p>
                    <w:p w:rsidR="00F86FFF" w:rsidRPr="00451078" w:rsidRDefault="00F86FFF">
                      <w:pPr>
                        <w:rPr>
                          <w:lang w:val="it-IT"/>
                        </w:rPr>
                      </w:pPr>
                    </w:p>
                  </w:txbxContent>
                </v:textbox>
              </v:shape>
            </w:pict>
          </mc:Fallback>
        </mc:AlternateContent>
      </w:r>
    </w:p>
    <w:p w:rsidR="00023FE7" w:rsidRPr="003410C7" w:rsidRDefault="00023FE7">
      <w:pPr>
        <w:pStyle w:val="ProductPool"/>
      </w:pPr>
    </w:p>
    <w:p w:rsidR="003410C7" w:rsidRPr="003410C7" w:rsidRDefault="003410C7" w:rsidP="004E292A">
      <w:pPr>
        <w:pStyle w:val="Heading3"/>
        <w:rPr>
          <w:sz w:val="18"/>
        </w:rPr>
      </w:pPr>
      <w:bookmarkStart w:id="122" w:name="_Toc336337896"/>
    </w:p>
    <w:p w:rsidR="003410C7" w:rsidRPr="003410C7" w:rsidRDefault="003410C7" w:rsidP="004E292A">
      <w:pPr>
        <w:pStyle w:val="Heading3"/>
        <w:rPr>
          <w:sz w:val="18"/>
        </w:rPr>
      </w:pPr>
    </w:p>
    <w:p w:rsidR="003410C7" w:rsidRPr="003410C7" w:rsidRDefault="003410C7" w:rsidP="004E292A">
      <w:pPr>
        <w:pStyle w:val="Heading3"/>
        <w:rPr>
          <w:sz w:val="18"/>
        </w:rPr>
      </w:pPr>
    </w:p>
    <w:p w:rsidR="003410C7" w:rsidRDefault="003410C7" w:rsidP="004E292A">
      <w:pPr>
        <w:pStyle w:val="Heading3"/>
        <w:rPr>
          <w:sz w:val="18"/>
        </w:rPr>
      </w:pPr>
    </w:p>
    <w:p w:rsidR="002B01D6" w:rsidRDefault="002B01D6" w:rsidP="002B01D6"/>
    <w:p w:rsidR="002B01D6" w:rsidRDefault="002B01D6" w:rsidP="002B01D6"/>
    <w:p w:rsidR="002B01D6" w:rsidRPr="002B01D6" w:rsidRDefault="002B01D6" w:rsidP="002B01D6"/>
    <w:p w:rsidR="003410C7" w:rsidRPr="003410C7" w:rsidRDefault="003410C7" w:rsidP="004E292A">
      <w:pPr>
        <w:pStyle w:val="Heading3"/>
        <w:rPr>
          <w:sz w:val="18"/>
        </w:rPr>
      </w:pPr>
    </w:p>
    <w:p w:rsidR="003410C7" w:rsidRPr="003410C7" w:rsidRDefault="003410C7" w:rsidP="004E292A">
      <w:pPr>
        <w:pStyle w:val="Heading3"/>
        <w:rPr>
          <w:sz w:val="18"/>
        </w:rPr>
      </w:pPr>
    </w:p>
    <w:p w:rsidR="00023FE7" w:rsidRPr="003410C7" w:rsidRDefault="00023FE7" w:rsidP="004E292A">
      <w:pPr>
        <w:pStyle w:val="Heading3"/>
      </w:pPr>
      <w:bookmarkStart w:id="123" w:name="_Toc352234502"/>
      <w:r w:rsidRPr="003410C7">
        <w:rPr>
          <w:rFonts w:ascii="Tahoma" w:hAnsi="Tahoma" w:cs="Tahoma"/>
          <w:sz w:val="22"/>
        </w:rPr>
        <w:lastRenderedPageBreak/>
        <w:t>POOL DI SISTEMI</w:t>
      </w:r>
      <w:bookmarkEnd w:id="122"/>
      <w:bookmarkEnd w:id="123"/>
    </w:p>
    <w:p w:rsidR="00023FE7" w:rsidRPr="003410C7" w:rsidRDefault="00023FE7"/>
    <w:tbl>
      <w:tblPr>
        <w:tblW w:w="10530" w:type="dxa"/>
        <w:tblInd w:w="-42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29" w:type="dxa"/>
          <w:right w:w="29" w:type="dxa"/>
        </w:tblCellMar>
        <w:tblLook w:val="0000" w:firstRow="0" w:lastRow="0" w:firstColumn="0" w:lastColumn="0" w:noHBand="0" w:noVBand="0"/>
      </w:tblPr>
      <w:tblGrid>
        <w:gridCol w:w="2610"/>
        <w:gridCol w:w="360"/>
        <w:gridCol w:w="450"/>
        <w:gridCol w:w="360"/>
        <w:gridCol w:w="450"/>
        <w:gridCol w:w="450"/>
        <w:gridCol w:w="450"/>
        <w:gridCol w:w="450"/>
        <w:gridCol w:w="450"/>
        <w:gridCol w:w="450"/>
        <w:gridCol w:w="360"/>
        <w:gridCol w:w="450"/>
        <w:gridCol w:w="450"/>
        <w:gridCol w:w="450"/>
        <w:gridCol w:w="450"/>
        <w:gridCol w:w="450"/>
        <w:gridCol w:w="450"/>
        <w:gridCol w:w="450"/>
        <w:gridCol w:w="540"/>
      </w:tblGrid>
      <w:tr w:rsidR="00AF4B30" w:rsidRPr="00B60E3C" w:rsidTr="00AF4B30">
        <w:trPr>
          <w:cantSplit/>
          <w:trHeight w:val="389"/>
          <w:tblHeader/>
        </w:trPr>
        <w:tc>
          <w:tcPr>
            <w:tcW w:w="2610" w:type="dxa"/>
            <w:vMerge w:val="restart"/>
            <w:tcBorders>
              <w:top w:val="single" w:sz="4" w:space="0" w:color="FFFFFF"/>
              <w:left w:val="single" w:sz="4" w:space="0" w:color="FFFFFF"/>
            </w:tcBorders>
          </w:tcPr>
          <w:p w:rsidR="00B27742" w:rsidRPr="003410C7" w:rsidRDefault="00731840">
            <w:pPr>
              <w:rPr>
                <w:rFonts w:cs="Tahoma"/>
                <w:sz w:val="20"/>
              </w:rPr>
            </w:pPr>
            <w:r>
              <w:rPr>
                <w:rFonts w:cs="Tahoma"/>
                <w:noProof/>
                <w:sz w:val="9"/>
              </w:rPr>
              <mc:AlternateContent>
                <mc:Choice Requires="wps">
                  <w:drawing>
                    <wp:anchor distT="0" distB="0" distL="114300" distR="114300" simplePos="0" relativeHeight="251660800" behindDoc="0" locked="0" layoutInCell="1" allowOverlap="1">
                      <wp:simplePos x="0" y="0"/>
                      <wp:positionH relativeFrom="column">
                        <wp:posOffset>1571625</wp:posOffset>
                      </wp:positionH>
                      <wp:positionV relativeFrom="paragraph">
                        <wp:posOffset>413385</wp:posOffset>
                      </wp:positionV>
                      <wp:extent cx="367030" cy="213995"/>
                      <wp:effectExtent l="0" t="0" r="0" b="0"/>
                      <wp:wrapNone/>
                      <wp:docPr id="10" name="Text Box 6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67030" cy="21399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F86FFF" w:rsidRDefault="00F86FFF">
                                  <w:pPr>
                                    <w:rPr>
                                      <w:color w:val="0000FF"/>
                                      <w:sz w:val="20"/>
                                    </w:rPr>
                                  </w:pPr>
                                  <w:r>
                                    <w:rPr>
                                      <w:rFonts w:cs="Tahoma"/>
                                      <w:b/>
                                      <w:color w:val="0000FF"/>
                                      <w:sz w:val="8"/>
                                    </w:rPr>
                                    <w:t>(Ctrl + Clic)</w:t>
                                  </w:r>
                                </w:p>
                              </w:txbxContent>
                            </wps:txbx>
                            <wps:bodyPr rot="0" vert="horz" wrap="square" lIns="91440" tIns="45720" rIns="91440" bIns="45720" anchor="t" anchorCtr="0" upright="1">
                              <a:spAutoFit/>
                            </wps:bodyPr>
                          </wps:wsp>
                        </a:graphicData>
                      </a:graphic>
                      <wp14:sizeRelH relativeFrom="margin">
                        <wp14:pctWidth>0</wp14:pctWidth>
                      </wp14:sizeRelH>
                      <wp14:sizeRelV relativeFrom="margin">
                        <wp14:pctHeight>20000</wp14:pctHeight>
                      </wp14:sizeRelV>
                    </wp:anchor>
                  </w:drawing>
                </mc:Choice>
                <mc:Fallback xmlns:w15="http://schemas.microsoft.com/office/word/2012/wordml">
                  <w:pict>
                    <v:shape id="Text Box 61" o:spid="_x0000_s1027" type="#_x0000_t202" style="position:absolute;margin-left:123.75pt;margin-top:32.55pt;width:28.9pt;height:16.85pt;z-index:251660800;visibility:visible;mso-wrap-style:square;mso-width-percent:0;mso-height-percent:200;mso-wrap-distance-left:9pt;mso-wrap-distance-top:0;mso-wrap-distance-right:9pt;mso-wrap-distance-bottom:0;mso-position-horizontal:absolute;mso-position-horizontal-relative:text;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oudKTtgIAAMEFAAAOAAAAZHJzL2Uyb0RvYy54bWysVNtu2zAMfR+wfxD07voSxYmNOkUbx8OA&#10;7gK0+wDFlmNhtuRJSpxu2L+PkpM0aTFg2OYHQxKpQx7yiNc3+65FO6Y0lyLD4VWAEROlrLjYZPjL&#10;Y+HNMdKGioq2UrAMPzGNbxZv31wPfcoi2ci2YgoBiNDp0Ge4MaZPfV+XDeuovpI9E2Cspeqoga3a&#10;+JWiA6B3rR8FQewPUlW9kiXTGk7z0YgXDr+uWWk+1bVmBrUZhtyM+yv3X9u/v7im6UbRvuHlIQ36&#10;F1l0lAsIeoLKqaFoq/grqI6XSmpZm6tSdr6sa14yxwHYhMELNg8N7ZnjAsXR/alM+v/Blh93nxXi&#10;FfQOyiNoBz16ZHuD7uQexaGtz9DrFNweenA0ezgHX8dV9/ey/KqRkMuGig27VUoODaMV5Odu+mdX&#10;RxxtQdbDB1lBHLo10gHta9XZ4kE5EKBDIk+n3thcSjicxLNgApYSTFE4SZKpzc2n6fFyr7R5x2SH&#10;7CLDClrvwOnuXpvR9ehiYwlZ8LZ17W/FxQFgjicQGq5am03CdfNHEiSr+WpOPBLFK48Eee7dFkvi&#10;xUU4m+aTfLnMw582bkjShlcVEzbMUVkh+bPOHTQ+auKkLS1bXlk4m5JWm/WyVWhHQdmF+w4FOXPz&#10;L9Nw9QIuLyiFEQnuosQr4vnMIwWZesksmHtBmNwlcUASkheXlO65YP9OCQ0ZTqbRdNTSb7kF7nvN&#10;jaYdNzA7Wt5leH5yoqlV4EpUrrWG8nZcn5XCpv9cCmj3sdFOr1aio1jNfr0fn8bxGaxl9QQCVhIE&#10;BlqEuQeLRqrvGA0wQzKsv22pYhi17wU8giQkBNyM25DpLIKNOreszy1UlACVYYPRuFyacVBte8U3&#10;DUQ6PrtbeDgFd6K2L2zMChjZDcwJx+0w0+wgOt87r+fJu/gFAAD//wMAUEsDBBQABgAIAAAAIQDM&#10;PaH63wAAAAkBAAAPAAAAZHJzL2Rvd25yZXYueG1sTI/LTsMwEEX3SPyDNUjsqN2UtGmaSVWhtiyB&#10;ErF24yGJiB+K3TT8PWYFy9E9uvdMsZ10z0YafGcNwnwmgJGprepMg1C9Hx4yYD5Io2RvDSF8k4dt&#10;eXtTyFzZq3mj8RQaFkuMzyVCG4LLOfd1S1r6mXVkYvZpBy1DPIeGq0FeY7nueSLEkmvZmbjQSkdP&#10;LdVfp4tGcMEdV8/Dy+tufxhF9XGskq7ZI97fTbsNsEBT+IPhVz+qQxmdzvZilGc9QvK4SiOKsEzn&#10;wCKwEOkC2BlhnWXAy4L//6D8AQAA//8DAFBLAQItABQABgAIAAAAIQC2gziS/gAAAOEBAAATAAAA&#10;AAAAAAAAAAAAAAAAAABbQ29udGVudF9UeXBlc10ueG1sUEsBAi0AFAAGAAgAAAAhADj9If/WAAAA&#10;lAEAAAsAAAAAAAAAAAAAAAAALwEAAF9yZWxzLy5yZWxzUEsBAi0AFAAGAAgAAAAhAOi50pO2AgAA&#10;wQUAAA4AAAAAAAAAAAAAAAAALgIAAGRycy9lMm9Eb2MueG1sUEsBAi0AFAAGAAgAAAAhAMw9ofrf&#10;AAAACQEAAA8AAAAAAAAAAAAAAAAAEAUAAGRycy9kb3ducmV2LnhtbFBLBQYAAAAABAAEAPMAAAAc&#10;BgAAAAA=&#10;" filled="f" stroked="f">
                      <v:textbox style="mso-fit-shape-to-text:t">
                        <w:txbxContent>
                          <w:p w:rsidR="00F86FFF" w:rsidRDefault="00F86FFF">
                            <w:pPr>
                              <w:rPr>
                                <w:color w:val="0000FF"/>
                                <w:sz w:val="20"/>
                              </w:rPr>
                            </w:pPr>
                            <w:r>
                              <w:rPr>
                                <w:rFonts w:cs="Tahoma"/>
                                <w:b/>
                                <w:color w:val="0000FF"/>
                                <w:sz w:val="8"/>
                              </w:rPr>
                              <w:t>(Ctrl + Clic)</w:t>
                            </w:r>
                          </w:p>
                        </w:txbxContent>
                      </v:textbox>
                    </v:shape>
                  </w:pict>
                </mc:Fallback>
              </mc:AlternateContent>
            </w:r>
          </w:p>
        </w:tc>
        <w:tc>
          <w:tcPr>
            <w:tcW w:w="360" w:type="dxa"/>
            <w:vMerge w:val="restart"/>
            <w:tcBorders>
              <w:top w:val="single" w:sz="12" w:space="0" w:color="auto"/>
            </w:tcBorders>
            <w:textDirection w:val="btLr"/>
            <w:vAlign w:val="center"/>
          </w:tcPr>
          <w:p w:rsidR="00B27742" w:rsidRPr="003410C7" w:rsidRDefault="007646F5" w:rsidP="007646F5">
            <w:pPr>
              <w:pStyle w:val="TableVerticalText"/>
              <w:rPr>
                <w:rFonts w:ascii="Tahoma" w:hAnsi="Tahoma" w:cs="Tahoma"/>
                <w:sz w:val="9"/>
              </w:rPr>
            </w:pPr>
            <w:r w:rsidRPr="003511B3">
              <w:rPr>
                <w:rFonts w:ascii="Tahoma" w:hAnsi="Tahoma" w:cs="Tahoma"/>
              </w:rPr>
              <w:t>Note del Prodotto</w:t>
            </w:r>
          </w:p>
        </w:tc>
        <w:tc>
          <w:tcPr>
            <w:tcW w:w="450" w:type="dxa"/>
            <w:vMerge w:val="restart"/>
            <w:tcBorders>
              <w:top w:val="single" w:sz="12" w:space="0" w:color="auto"/>
            </w:tcBorders>
            <w:textDirection w:val="btLr"/>
          </w:tcPr>
          <w:p w:rsidR="00B27742" w:rsidRPr="003410C7" w:rsidRDefault="00B27742" w:rsidP="0019788A">
            <w:pPr>
              <w:pStyle w:val="TableVerticalText"/>
              <w:spacing w:before="120"/>
              <w:rPr>
                <w:rFonts w:ascii="Tahoma" w:hAnsi="Tahoma" w:cs="Tahoma"/>
                <w:sz w:val="9"/>
              </w:rPr>
            </w:pPr>
            <w:r w:rsidRPr="003410C7">
              <w:rPr>
                <w:rFonts w:ascii="Tahoma" w:hAnsi="Tahoma" w:cs="Tahoma"/>
                <w:sz w:val="9"/>
              </w:rPr>
              <w:t>Data Disponibilità</w:t>
            </w:r>
          </w:p>
        </w:tc>
        <w:tc>
          <w:tcPr>
            <w:tcW w:w="360" w:type="dxa"/>
            <w:vMerge w:val="restart"/>
            <w:tcBorders>
              <w:top w:val="single" w:sz="12" w:space="0" w:color="auto"/>
              <w:right w:val="single" w:sz="18" w:space="0" w:color="auto"/>
            </w:tcBorders>
            <w:textDirection w:val="btLr"/>
            <w:vAlign w:val="center"/>
          </w:tcPr>
          <w:p w:rsidR="00B27742" w:rsidRPr="003410C7" w:rsidRDefault="00B27742">
            <w:pPr>
              <w:pStyle w:val="TableVerticalText"/>
              <w:rPr>
                <w:rFonts w:ascii="Tahoma" w:hAnsi="Tahoma" w:cs="Tahoma"/>
                <w:sz w:val="9"/>
              </w:rPr>
            </w:pPr>
            <w:r w:rsidRPr="003410C7">
              <w:rPr>
                <w:rFonts w:ascii="Tahoma" w:hAnsi="Tahoma" w:cs="Tahoma"/>
                <w:sz w:val="9"/>
              </w:rPr>
              <w:t>SAB</w:t>
            </w:r>
          </w:p>
        </w:tc>
        <w:tc>
          <w:tcPr>
            <w:tcW w:w="3060" w:type="dxa"/>
            <w:gridSpan w:val="7"/>
            <w:tcBorders>
              <w:top w:val="single" w:sz="12" w:space="0" w:color="auto"/>
              <w:left w:val="single" w:sz="18" w:space="0" w:color="auto"/>
              <w:right w:val="single" w:sz="18" w:space="0" w:color="auto"/>
            </w:tcBorders>
            <w:vAlign w:val="center"/>
          </w:tcPr>
          <w:p w:rsidR="00B27742" w:rsidRPr="003410C7" w:rsidRDefault="00B27742">
            <w:pPr>
              <w:pStyle w:val="TableHeadingsBlack"/>
              <w:rPr>
                <w:rFonts w:ascii="Tahoma" w:hAnsi="Tahoma" w:cs="Tahoma"/>
                <w:sz w:val="9"/>
              </w:rPr>
            </w:pPr>
            <w:r w:rsidRPr="003410C7">
              <w:rPr>
                <w:rFonts w:ascii="Tahoma" w:hAnsi="Tahoma" w:cs="Tahoma"/>
                <w:sz w:val="9"/>
              </w:rPr>
              <w:t>Select</w:t>
            </w:r>
          </w:p>
        </w:tc>
        <w:tc>
          <w:tcPr>
            <w:tcW w:w="1350" w:type="dxa"/>
            <w:gridSpan w:val="3"/>
            <w:tcBorders>
              <w:top w:val="single" w:sz="12" w:space="0" w:color="auto"/>
              <w:left w:val="single" w:sz="18" w:space="0" w:color="auto"/>
              <w:right w:val="single" w:sz="18" w:space="0" w:color="auto"/>
            </w:tcBorders>
            <w:vAlign w:val="center"/>
          </w:tcPr>
          <w:p w:rsidR="00B27742" w:rsidRPr="003410C7" w:rsidRDefault="00B27742">
            <w:pPr>
              <w:pStyle w:val="TableHeadingsBlack"/>
              <w:rPr>
                <w:rFonts w:ascii="Tahoma" w:hAnsi="Tahoma" w:cs="Tahoma"/>
                <w:sz w:val="9"/>
              </w:rPr>
            </w:pPr>
            <w:r w:rsidRPr="003410C7">
              <w:rPr>
                <w:rFonts w:ascii="Tahoma" w:hAnsi="Tahoma" w:cs="Tahoma"/>
                <w:sz w:val="9"/>
              </w:rPr>
              <w:t>Licenza Open</w:t>
            </w:r>
          </w:p>
        </w:tc>
        <w:tc>
          <w:tcPr>
            <w:tcW w:w="450" w:type="dxa"/>
            <w:vMerge w:val="restart"/>
            <w:tcBorders>
              <w:top w:val="single" w:sz="12" w:space="0" w:color="auto"/>
              <w:left w:val="single" w:sz="18" w:space="0" w:color="auto"/>
            </w:tcBorders>
            <w:textDirection w:val="btLr"/>
            <w:vAlign w:val="center"/>
          </w:tcPr>
          <w:p w:rsidR="00B27742" w:rsidRPr="003410C7" w:rsidRDefault="00B27742">
            <w:pPr>
              <w:pStyle w:val="TableVerticalText"/>
              <w:rPr>
                <w:rFonts w:ascii="Tahoma" w:hAnsi="Tahoma" w:cs="Tahoma"/>
                <w:sz w:val="9"/>
              </w:rPr>
            </w:pPr>
            <w:r w:rsidRPr="003410C7">
              <w:rPr>
                <w:rFonts w:ascii="Tahoma" w:hAnsi="Tahoma" w:cs="Tahoma"/>
                <w:sz w:val="9"/>
              </w:rPr>
              <w:t>Unità Campus/School</w:t>
            </w:r>
          </w:p>
        </w:tc>
        <w:tc>
          <w:tcPr>
            <w:tcW w:w="450" w:type="dxa"/>
            <w:vMerge w:val="restart"/>
            <w:tcBorders>
              <w:top w:val="single" w:sz="12" w:space="0" w:color="auto"/>
              <w:right w:val="single" w:sz="18" w:space="0" w:color="auto"/>
            </w:tcBorders>
            <w:textDirection w:val="btLr"/>
            <w:vAlign w:val="center"/>
          </w:tcPr>
          <w:p w:rsidR="00B27742" w:rsidRPr="003410C7" w:rsidRDefault="00B27742">
            <w:pPr>
              <w:pStyle w:val="TableVerticalText"/>
              <w:rPr>
                <w:rFonts w:ascii="Tahoma" w:hAnsi="Tahoma" w:cs="Tahoma"/>
                <w:sz w:val="9"/>
              </w:rPr>
            </w:pPr>
            <w:r w:rsidRPr="003410C7">
              <w:rPr>
                <w:rFonts w:ascii="Tahoma" w:hAnsi="Tahoma" w:cs="Tahoma"/>
                <w:sz w:val="9"/>
              </w:rPr>
              <w:t xml:space="preserve">EA ed </w:t>
            </w:r>
            <w:r w:rsidRPr="003410C7">
              <w:rPr>
                <w:rFonts w:ascii="Tahoma" w:hAnsi="Tahoma" w:cs="Tahoma"/>
                <w:sz w:val="9"/>
              </w:rPr>
              <w:br/>
              <w:t>EA Sub</w:t>
            </w:r>
          </w:p>
        </w:tc>
        <w:tc>
          <w:tcPr>
            <w:tcW w:w="450" w:type="dxa"/>
            <w:vMerge w:val="restart"/>
            <w:tcBorders>
              <w:top w:val="single" w:sz="12" w:space="0" w:color="auto"/>
              <w:left w:val="single" w:sz="18" w:space="0" w:color="auto"/>
              <w:right w:val="single" w:sz="18" w:space="0" w:color="auto"/>
            </w:tcBorders>
            <w:textDirection w:val="btLr"/>
            <w:vAlign w:val="center"/>
          </w:tcPr>
          <w:p w:rsidR="00B27742" w:rsidRPr="003410C7" w:rsidRDefault="00B27742">
            <w:pPr>
              <w:pStyle w:val="TableVerticalText"/>
              <w:rPr>
                <w:rFonts w:ascii="Tahoma" w:hAnsi="Tahoma" w:cs="Tahoma"/>
                <w:sz w:val="9"/>
              </w:rPr>
            </w:pPr>
            <w:r w:rsidRPr="003410C7">
              <w:rPr>
                <w:rFonts w:ascii="Tahoma" w:hAnsi="Tahoma" w:cs="Tahoma"/>
                <w:sz w:val="9"/>
              </w:rPr>
              <w:t>OV / OVS</w:t>
            </w:r>
          </w:p>
        </w:tc>
        <w:tc>
          <w:tcPr>
            <w:tcW w:w="450" w:type="dxa"/>
            <w:vMerge w:val="restart"/>
            <w:tcBorders>
              <w:top w:val="single" w:sz="12" w:space="0" w:color="auto"/>
            </w:tcBorders>
            <w:textDirection w:val="btLr"/>
          </w:tcPr>
          <w:p w:rsidR="00B27742" w:rsidRPr="003410C7" w:rsidRDefault="001A3EC5" w:rsidP="00E67091">
            <w:pPr>
              <w:pStyle w:val="TableVerticalText"/>
              <w:spacing w:before="120"/>
              <w:jc w:val="left"/>
              <w:rPr>
                <w:rFonts w:ascii="Tahoma" w:hAnsi="Tahoma" w:cs="Tahoma"/>
                <w:sz w:val="9"/>
              </w:rPr>
            </w:pPr>
            <w:r>
              <w:rPr>
                <w:rFonts w:ascii="Tahoma" w:hAnsi="Tahoma" w:cs="Tahoma"/>
                <w:sz w:val="9"/>
              </w:rPr>
              <w:t xml:space="preserve"> </w:t>
            </w:r>
            <w:r w:rsidR="00B0036E" w:rsidRPr="003410C7">
              <w:rPr>
                <w:rFonts w:ascii="Tahoma" w:hAnsi="Tahoma" w:cs="Tahoma"/>
                <w:sz w:val="9"/>
              </w:rPr>
              <w:t>EES / OVS ES</w:t>
            </w:r>
          </w:p>
        </w:tc>
        <w:tc>
          <w:tcPr>
            <w:tcW w:w="540" w:type="dxa"/>
            <w:vMerge w:val="restart"/>
            <w:tcBorders>
              <w:top w:val="single" w:sz="12" w:space="0" w:color="auto"/>
            </w:tcBorders>
            <w:textDirection w:val="btLr"/>
            <w:vAlign w:val="center"/>
          </w:tcPr>
          <w:p w:rsidR="00B27742" w:rsidRPr="00451078" w:rsidRDefault="00B27742" w:rsidP="00456002">
            <w:pPr>
              <w:pStyle w:val="TableVerticalText"/>
              <w:rPr>
                <w:rFonts w:ascii="Tahoma" w:hAnsi="Tahoma" w:cs="Tahoma"/>
                <w:sz w:val="9"/>
                <w:lang w:val="it-IT"/>
              </w:rPr>
            </w:pPr>
            <w:r w:rsidRPr="00451078">
              <w:rPr>
                <w:rFonts w:ascii="Tahoma" w:hAnsi="Tahoma" w:cs="Tahoma"/>
                <w:sz w:val="9"/>
                <w:lang w:val="it-IT"/>
              </w:rPr>
              <w:t>Requisito minimo per i Programmi Open</w:t>
            </w:r>
          </w:p>
        </w:tc>
      </w:tr>
      <w:tr w:rsidR="00CE5AB1" w:rsidRPr="003410C7" w:rsidTr="00AF4B30">
        <w:trPr>
          <w:cantSplit/>
          <w:trHeight w:val="262"/>
          <w:tblHeader/>
        </w:trPr>
        <w:tc>
          <w:tcPr>
            <w:tcW w:w="2610" w:type="dxa"/>
            <w:vMerge/>
            <w:tcBorders>
              <w:left w:val="single" w:sz="4" w:space="0" w:color="FFFFFF"/>
            </w:tcBorders>
          </w:tcPr>
          <w:p w:rsidR="00B27742" w:rsidRPr="00451078" w:rsidRDefault="00B27742">
            <w:pPr>
              <w:rPr>
                <w:rFonts w:cs="Tahoma"/>
                <w:sz w:val="20"/>
                <w:lang w:val="it-IT"/>
              </w:rPr>
            </w:pPr>
          </w:p>
        </w:tc>
        <w:tc>
          <w:tcPr>
            <w:tcW w:w="360" w:type="dxa"/>
            <w:vMerge/>
          </w:tcPr>
          <w:p w:rsidR="00B27742" w:rsidRPr="00451078" w:rsidRDefault="00B27742">
            <w:pPr>
              <w:rPr>
                <w:rFonts w:cs="Tahoma"/>
                <w:b/>
                <w:sz w:val="20"/>
                <w:lang w:val="it-IT"/>
              </w:rPr>
            </w:pPr>
          </w:p>
        </w:tc>
        <w:tc>
          <w:tcPr>
            <w:tcW w:w="450" w:type="dxa"/>
            <w:vMerge/>
          </w:tcPr>
          <w:p w:rsidR="00B27742" w:rsidRPr="00451078" w:rsidRDefault="00B27742">
            <w:pPr>
              <w:rPr>
                <w:rFonts w:cs="Tahoma"/>
                <w:sz w:val="20"/>
                <w:lang w:val="it-IT"/>
              </w:rPr>
            </w:pPr>
          </w:p>
        </w:tc>
        <w:tc>
          <w:tcPr>
            <w:tcW w:w="360" w:type="dxa"/>
            <w:vMerge/>
            <w:tcBorders>
              <w:right w:val="single" w:sz="18" w:space="0" w:color="auto"/>
            </w:tcBorders>
          </w:tcPr>
          <w:p w:rsidR="00B27742" w:rsidRPr="00451078" w:rsidRDefault="00B27742">
            <w:pPr>
              <w:rPr>
                <w:rFonts w:cs="Tahoma"/>
                <w:sz w:val="20"/>
                <w:lang w:val="it-IT"/>
              </w:rPr>
            </w:pPr>
          </w:p>
        </w:tc>
        <w:tc>
          <w:tcPr>
            <w:tcW w:w="450" w:type="dxa"/>
            <w:vMerge w:val="restart"/>
            <w:tcBorders>
              <w:left w:val="single" w:sz="18" w:space="0" w:color="auto"/>
            </w:tcBorders>
            <w:vAlign w:val="center"/>
          </w:tcPr>
          <w:p w:rsidR="00B27742" w:rsidRPr="003410C7" w:rsidRDefault="00B27742">
            <w:pPr>
              <w:pStyle w:val="TableHeadingsRed"/>
              <w:rPr>
                <w:rFonts w:ascii="Tahoma" w:hAnsi="Tahoma" w:cs="Tahoma"/>
                <w:sz w:val="9"/>
              </w:rPr>
            </w:pPr>
            <w:r w:rsidRPr="003410C7">
              <w:rPr>
                <w:rFonts w:ascii="Tahoma" w:hAnsi="Tahoma" w:cs="Tahoma"/>
                <w:sz w:val="9"/>
              </w:rPr>
              <w:t>L</w:t>
            </w:r>
          </w:p>
        </w:tc>
        <w:tc>
          <w:tcPr>
            <w:tcW w:w="1350" w:type="dxa"/>
            <w:gridSpan w:val="3"/>
            <w:vAlign w:val="center"/>
          </w:tcPr>
          <w:p w:rsidR="00B27742" w:rsidRPr="003410C7" w:rsidRDefault="00B27742">
            <w:pPr>
              <w:pStyle w:val="TableHeadingsGreen"/>
              <w:rPr>
                <w:rFonts w:ascii="Tahoma" w:hAnsi="Tahoma" w:cs="Tahoma"/>
                <w:sz w:val="9"/>
              </w:rPr>
            </w:pPr>
            <w:r w:rsidRPr="003410C7">
              <w:rPr>
                <w:rFonts w:ascii="Tahoma" w:hAnsi="Tahoma" w:cs="Tahoma"/>
                <w:sz w:val="9"/>
              </w:rPr>
              <w:t>L&amp;SA</w:t>
            </w:r>
          </w:p>
        </w:tc>
        <w:tc>
          <w:tcPr>
            <w:tcW w:w="1260" w:type="dxa"/>
            <w:gridSpan w:val="3"/>
            <w:tcBorders>
              <w:right w:val="single" w:sz="18" w:space="0" w:color="auto"/>
            </w:tcBorders>
            <w:vAlign w:val="center"/>
          </w:tcPr>
          <w:p w:rsidR="00B27742" w:rsidRPr="003410C7" w:rsidRDefault="00B27742">
            <w:pPr>
              <w:pStyle w:val="TableHeadingsBlue"/>
              <w:rPr>
                <w:rFonts w:ascii="Tahoma" w:hAnsi="Tahoma" w:cs="Tahoma"/>
                <w:sz w:val="9"/>
              </w:rPr>
            </w:pPr>
            <w:r w:rsidRPr="003410C7">
              <w:rPr>
                <w:rFonts w:ascii="Tahoma" w:hAnsi="Tahoma" w:cs="Tahoma"/>
                <w:sz w:val="9"/>
              </w:rPr>
              <w:t>SA</w:t>
            </w:r>
          </w:p>
        </w:tc>
        <w:tc>
          <w:tcPr>
            <w:tcW w:w="450" w:type="dxa"/>
            <w:vMerge w:val="restart"/>
            <w:tcBorders>
              <w:left w:val="single" w:sz="18" w:space="0" w:color="auto"/>
            </w:tcBorders>
            <w:vAlign w:val="center"/>
          </w:tcPr>
          <w:p w:rsidR="00B27742" w:rsidRPr="003410C7" w:rsidRDefault="00B27742">
            <w:pPr>
              <w:pStyle w:val="TableHeadingsRed"/>
              <w:rPr>
                <w:rFonts w:ascii="Tahoma" w:hAnsi="Tahoma" w:cs="Tahoma"/>
                <w:sz w:val="9"/>
              </w:rPr>
            </w:pPr>
            <w:r w:rsidRPr="003410C7">
              <w:rPr>
                <w:rFonts w:ascii="Tahoma" w:hAnsi="Tahoma" w:cs="Tahoma"/>
                <w:sz w:val="9"/>
              </w:rPr>
              <w:t>L</w:t>
            </w:r>
          </w:p>
        </w:tc>
        <w:tc>
          <w:tcPr>
            <w:tcW w:w="450" w:type="dxa"/>
            <w:vAlign w:val="center"/>
          </w:tcPr>
          <w:p w:rsidR="00B27742" w:rsidRPr="003410C7" w:rsidRDefault="00B27742">
            <w:pPr>
              <w:pStyle w:val="TableHeadingsGreen"/>
              <w:rPr>
                <w:rFonts w:ascii="Tahoma" w:hAnsi="Tahoma" w:cs="Tahoma"/>
                <w:sz w:val="9"/>
              </w:rPr>
            </w:pPr>
            <w:r w:rsidRPr="003410C7">
              <w:rPr>
                <w:rFonts w:ascii="Tahoma" w:hAnsi="Tahoma" w:cs="Tahoma"/>
                <w:sz w:val="9"/>
              </w:rPr>
              <w:t>L&amp;SA</w:t>
            </w:r>
          </w:p>
        </w:tc>
        <w:tc>
          <w:tcPr>
            <w:tcW w:w="450" w:type="dxa"/>
            <w:vMerge w:val="restart"/>
            <w:tcBorders>
              <w:right w:val="single" w:sz="18" w:space="0" w:color="auto"/>
            </w:tcBorders>
            <w:vAlign w:val="center"/>
          </w:tcPr>
          <w:p w:rsidR="00B27742" w:rsidRPr="003410C7" w:rsidRDefault="00B27742">
            <w:pPr>
              <w:pStyle w:val="TableHeadingsBlue"/>
              <w:rPr>
                <w:rFonts w:ascii="Tahoma" w:hAnsi="Tahoma" w:cs="Tahoma"/>
                <w:sz w:val="9"/>
              </w:rPr>
            </w:pPr>
            <w:r w:rsidRPr="003410C7">
              <w:rPr>
                <w:rFonts w:ascii="Tahoma" w:hAnsi="Tahoma" w:cs="Tahoma"/>
                <w:sz w:val="9"/>
              </w:rPr>
              <w:t>SA</w:t>
            </w:r>
          </w:p>
        </w:tc>
        <w:tc>
          <w:tcPr>
            <w:tcW w:w="450" w:type="dxa"/>
            <w:vMerge/>
            <w:tcBorders>
              <w:left w:val="single" w:sz="18" w:space="0" w:color="auto"/>
            </w:tcBorders>
          </w:tcPr>
          <w:p w:rsidR="00B27742" w:rsidRPr="003410C7" w:rsidRDefault="00B27742">
            <w:pPr>
              <w:rPr>
                <w:rFonts w:cs="Tahoma"/>
                <w:sz w:val="20"/>
              </w:rPr>
            </w:pPr>
          </w:p>
        </w:tc>
        <w:tc>
          <w:tcPr>
            <w:tcW w:w="450" w:type="dxa"/>
            <w:vMerge/>
            <w:tcBorders>
              <w:right w:val="single" w:sz="18" w:space="0" w:color="auto"/>
            </w:tcBorders>
          </w:tcPr>
          <w:p w:rsidR="00B27742" w:rsidRPr="003410C7" w:rsidRDefault="00B27742">
            <w:pPr>
              <w:rPr>
                <w:rFonts w:cs="Tahoma"/>
                <w:sz w:val="20"/>
              </w:rPr>
            </w:pPr>
          </w:p>
        </w:tc>
        <w:tc>
          <w:tcPr>
            <w:tcW w:w="450" w:type="dxa"/>
            <w:vMerge/>
            <w:tcBorders>
              <w:left w:val="single" w:sz="18" w:space="0" w:color="auto"/>
              <w:right w:val="single" w:sz="18" w:space="0" w:color="auto"/>
            </w:tcBorders>
          </w:tcPr>
          <w:p w:rsidR="00B27742" w:rsidRPr="003410C7" w:rsidRDefault="00B27742">
            <w:pPr>
              <w:rPr>
                <w:rFonts w:cs="Tahoma"/>
                <w:sz w:val="20"/>
              </w:rPr>
            </w:pPr>
          </w:p>
        </w:tc>
        <w:tc>
          <w:tcPr>
            <w:tcW w:w="450" w:type="dxa"/>
            <w:vMerge/>
          </w:tcPr>
          <w:p w:rsidR="00B27742" w:rsidRPr="003410C7" w:rsidRDefault="00B27742">
            <w:pPr>
              <w:rPr>
                <w:rFonts w:cs="Tahoma"/>
                <w:sz w:val="20"/>
              </w:rPr>
            </w:pPr>
          </w:p>
        </w:tc>
        <w:tc>
          <w:tcPr>
            <w:tcW w:w="540" w:type="dxa"/>
            <w:vMerge/>
          </w:tcPr>
          <w:p w:rsidR="00B27742" w:rsidRPr="003410C7" w:rsidRDefault="00B27742">
            <w:pPr>
              <w:rPr>
                <w:rFonts w:cs="Tahoma"/>
                <w:sz w:val="20"/>
              </w:rPr>
            </w:pPr>
          </w:p>
        </w:tc>
      </w:tr>
      <w:tr w:rsidR="00AF4B30" w:rsidRPr="003410C7" w:rsidTr="00AF4B30">
        <w:trPr>
          <w:cantSplit/>
          <w:trHeight w:val="287"/>
          <w:tblHeader/>
        </w:trPr>
        <w:tc>
          <w:tcPr>
            <w:tcW w:w="2610" w:type="dxa"/>
            <w:vMerge/>
            <w:tcBorders>
              <w:left w:val="single" w:sz="4" w:space="0" w:color="FFFFFF"/>
              <w:bottom w:val="single" w:sz="4" w:space="0" w:color="auto"/>
            </w:tcBorders>
          </w:tcPr>
          <w:p w:rsidR="00B27742" w:rsidRPr="003410C7" w:rsidRDefault="00B27742">
            <w:pPr>
              <w:rPr>
                <w:rFonts w:cs="Tahoma"/>
                <w:sz w:val="20"/>
              </w:rPr>
            </w:pPr>
          </w:p>
        </w:tc>
        <w:tc>
          <w:tcPr>
            <w:tcW w:w="360" w:type="dxa"/>
            <w:vMerge/>
            <w:tcBorders>
              <w:bottom w:val="single" w:sz="4" w:space="0" w:color="auto"/>
            </w:tcBorders>
          </w:tcPr>
          <w:p w:rsidR="00B27742" w:rsidRPr="003410C7" w:rsidRDefault="00B27742">
            <w:pPr>
              <w:rPr>
                <w:rFonts w:cs="Tahoma"/>
                <w:b/>
                <w:sz w:val="20"/>
              </w:rPr>
            </w:pPr>
          </w:p>
        </w:tc>
        <w:tc>
          <w:tcPr>
            <w:tcW w:w="450" w:type="dxa"/>
            <w:vMerge/>
            <w:tcBorders>
              <w:bottom w:val="single" w:sz="4" w:space="0" w:color="auto"/>
            </w:tcBorders>
          </w:tcPr>
          <w:p w:rsidR="00B27742" w:rsidRPr="003410C7" w:rsidRDefault="00B27742">
            <w:pPr>
              <w:rPr>
                <w:rFonts w:cs="Tahoma"/>
                <w:sz w:val="20"/>
              </w:rPr>
            </w:pPr>
          </w:p>
        </w:tc>
        <w:tc>
          <w:tcPr>
            <w:tcW w:w="360" w:type="dxa"/>
            <w:vMerge/>
            <w:tcBorders>
              <w:bottom w:val="single" w:sz="4" w:space="0" w:color="auto"/>
              <w:right w:val="single" w:sz="18" w:space="0" w:color="auto"/>
            </w:tcBorders>
          </w:tcPr>
          <w:p w:rsidR="00B27742" w:rsidRPr="003410C7" w:rsidRDefault="00B27742">
            <w:pPr>
              <w:rPr>
                <w:rFonts w:cs="Tahoma"/>
                <w:sz w:val="20"/>
              </w:rPr>
            </w:pPr>
          </w:p>
        </w:tc>
        <w:tc>
          <w:tcPr>
            <w:tcW w:w="450" w:type="dxa"/>
            <w:vMerge/>
            <w:tcBorders>
              <w:left w:val="single" w:sz="18" w:space="0" w:color="auto"/>
              <w:bottom w:val="single" w:sz="4" w:space="0" w:color="auto"/>
            </w:tcBorders>
            <w:vAlign w:val="center"/>
          </w:tcPr>
          <w:p w:rsidR="00B27742" w:rsidRPr="003410C7" w:rsidRDefault="00B27742">
            <w:pPr>
              <w:jc w:val="center"/>
              <w:rPr>
                <w:rFonts w:cs="Tahoma"/>
                <w:sz w:val="20"/>
              </w:rPr>
            </w:pPr>
          </w:p>
        </w:tc>
        <w:tc>
          <w:tcPr>
            <w:tcW w:w="450" w:type="dxa"/>
            <w:tcBorders>
              <w:bottom w:val="single" w:sz="4" w:space="0" w:color="auto"/>
            </w:tcBorders>
            <w:vAlign w:val="center"/>
          </w:tcPr>
          <w:p w:rsidR="00B27742" w:rsidRPr="003410C7" w:rsidRDefault="00B27742">
            <w:pPr>
              <w:pStyle w:val="TableHeadingsGreen"/>
              <w:rPr>
                <w:rFonts w:ascii="Tahoma" w:hAnsi="Tahoma" w:cs="Tahoma"/>
                <w:sz w:val="9"/>
              </w:rPr>
            </w:pPr>
            <w:r w:rsidRPr="003410C7">
              <w:rPr>
                <w:rFonts w:ascii="Tahoma" w:hAnsi="Tahoma" w:cs="Tahoma"/>
                <w:sz w:val="9"/>
              </w:rPr>
              <w:t>3An</w:t>
            </w:r>
          </w:p>
        </w:tc>
        <w:tc>
          <w:tcPr>
            <w:tcW w:w="450" w:type="dxa"/>
            <w:tcBorders>
              <w:bottom w:val="single" w:sz="4" w:space="0" w:color="auto"/>
            </w:tcBorders>
            <w:vAlign w:val="center"/>
          </w:tcPr>
          <w:p w:rsidR="00B27742" w:rsidRPr="003410C7" w:rsidRDefault="00B27742">
            <w:pPr>
              <w:pStyle w:val="TableHeadingsGreen"/>
              <w:rPr>
                <w:rFonts w:ascii="Tahoma" w:hAnsi="Tahoma" w:cs="Tahoma"/>
                <w:sz w:val="9"/>
              </w:rPr>
            </w:pPr>
            <w:r w:rsidRPr="003410C7">
              <w:rPr>
                <w:rFonts w:ascii="Tahoma" w:hAnsi="Tahoma" w:cs="Tahoma"/>
                <w:sz w:val="9"/>
              </w:rPr>
              <w:t>2An</w:t>
            </w:r>
          </w:p>
        </w:tc>
        <w:tc>
          <w:tcPr>
            <w:tcW w:w="450" w:type="dxa"/>
            <w:tcBorders>
              <w:bottom w:val="single" w:sz="4" w:space="0" w:color="auto"/>
            </w:tcBorders>
            <w:vAlign w:val="center"/>
          </w:tcPr>
          <w:p w:rsidR="00B27742" w:rsidRPr="003410C7" w:rsidRDefault="00B27742">
            <w:pPr>
              <w:pStyle w:val="TableHeadingsGreen"/>
              <w:rPr>
                <w:rFonts w:ascii="Tahoma" w:hAnsi="Tahoma" w:cs="Tahoma"/>
                <w:sz w:val="9"/>
              </w:rPr>
            </w:pPr>
            <w:r w:rsidRPr="003410C7">
              <w:rPr>
                <w:rFonts w:ascii="Tahoma" w:hAnsi="Tahoma" w:cs="Tahoma"/>
                <w:sz w:val="9"/>
              </w:rPr>
              <w:t>1An</w:t>
            </w:r>
          </w:p>
        </w:tc>
        <w:tc>
          <w:tcPr>
            <w:tcW w:w="450" w:type="dxa"/>
            <w:tcBorders>
              <w:bottom w:val="single" w:sz="4" w:space="0" w:color="auto"/>
            </w:tcBorders>
            <w:vAlign w:val="center"/>
          </w:tcPr>
          <w:p w:rsidR="00B27742" w:rsidRPr="003410C7" w:rsidRDefault="00B27742">
            <w:pPr>
              <w:pStyle w:val="TableHeadingsBlue"/>
              <w:rPr>
                <w:rFonts w:ascii="Tahoma" w:hAnsi="Tahoma" w:cs="Tahoma"/>
                <w:sz w:val="9"/>
              </w:rPr>
            </w:pPr>
            <w:r w:rsidRPr="003410C7">
              <w:rPr>
                <w:rFonts w:ascii="Tahoma" w:hAnsi="Tahoma" w:cs="Tahoma"/>
                <w:sz w:val="9"/>
              </w:rPr>
              <w:t>3An</w:t>
            </w:r>
          </w:p>
        </w:tc>
        <w:tc>
          <w:tcPr>
            <w:tcW w:w="450" w:type="dxa"/>
            <w:tcBorders>
              <w:bottom w:val="single" w:sz="4" w:space="0" w:color="auto"/>
            </w:tcBorders>
            <w:vAlign w:val="center"/>
          </w:tcPr>
          <w:p w:rsidR="00B27742" w:rsidRPr="003410C7" w:rsidRDefault="00B27742">
            <w:pPr>
              <w:pStyle w:val="TableHeadingsBlue"/>
              <w:rPr>
                <w:rFonts w:ascii="Tahoma" w:hAnsi="Tahoma" w:cs="Tahoma"/>
                <w:sz w:val="9"/>
              </w:rPr>
            </w:pPr>
            <w:r w:rsidRPr="003410C7">
              <w:rPr>
                <w:rFonts w:ascii="Tahoma" w:hAnsi="Tahoma" w:cs="Tahoma"/>
                <w:sz w:val="9"/>
              </w:rPr>
              <w:t>2An</w:t>
            </w:r>
          </w:p>
        </w:tc>
        <w:tc>
          <w:tcPr>
            <w:tcW w:w="360" w:type="dxa"/>
            <w:tcBorders>
              <w:bottom w:val="single" w:sz="4" w:space="0" w:color="auto"/>
              <w:right w:val="single" w:sz="18" w:space="0" w:color="auto"/>
            </w:tcBorders>
            <w:vAlign w:val="center"/>
          </w:tcPr>
          <w:p w:rsidR="00B27742" w:rsidRPr="003410C7" w:rsidRDefault="00B27742">
            <w:pPr>
              <w:pStyle w:val="TableHeadingsBlue"/>
              <w:rPr>
                <w:rFonts w:ascii="Tahoma" w:hAnsi="Tahoma" w:cs="Tahoma"/>
                <w:sz w:val="9"/>
              </w:rPr>
            </w:pPr>
            <w:r w:rsidRPr="003410C7">
              <w:rPr>
                <w:rFonts w:ascii="Tahoma" w:hAnsi="Tahoma" w:cs="Tahoma"/>
                <w:sz w:val="9"/>
              </w:rPr>
              <w:t>1An</w:t>
            </w:r>
          </w:p>
        </w:tc>
        <w:tc>
          <w:tcPr>
            <w:tcW w:w="450" w:type="dxa"/>
            <w:vMerge/>
            <w:tcBorders>
              <w:left w:val="single" w:sz="18" w:space="0" w:color="auto"/>
              <w:bottom w:val="single" w:sz="4" w:space="0" w:color="auto"/>
            </w:tcBorders>
            <w:vAlign w:val="center"/>
          </w:tcPr>
          <w:p w:rsidR="00B27742" w:rsidRPr="003410C7" w:rsidRDefault="00B27742">
            <w:pPr>
              <w:jc w:val="center"/>
              <w:rPr>
                <w:rFonts w:cs="Tahoma"/>
                <w:sz w:val="20"/>
              </w:rPr>
            </w:pPr>
          </w:p>
        </w:tc>
        <w:tc>
          <w:tcPr>
            <w:tcW w:w="450" w:type="dxa"/>
            <w:tcBorders>
              <w:bottom w:val="single" w:sz="4" w:space="0" w:color="auto"/>
            </w:tcBorders>
            <w:vAlign w:val="center"/>
          </w:tcPr>
          <w:p w:rsidR="00B27742" w:rsidRPr="003410C7" w:rsidRDefault="00B27742">
            <w:pPr>
              <w:pStyle w:val="TableHeadingsGreen"/>
              <w:rPr>
                <w:rFonts w:ascii="Tahoma" w:hAnsi="Tahoma" w:cs="Tahoma"/>
                <w:sz w:val="9"/>
              </w:rPr>
            </w:pPr>
            <w:r w:rsidRPr="003410C7">
              <w:rPr>
                <w:rFonts w:ascii="Tahoma" w:hAnsi="Tahoma" w:cs="Tahoma"/>
                <w:sz w:val="9"/>
              </w:rPr>
              <w:t>P</w:t>
            </w:r>
          </w:p>
        </w:tc>
        <w:tc>
          <w:tcPr>
            <w:tcW w:w="450" w:type="dxa"/>
            <w:vMerge/>
            <w:tcBorders>
              <w:bottom w:val="single" w:sz="4" w:space="0" w:color="auto"/>
              <w:right w:val="single" w:sz="18" w:space="0" w:color="auto"/>
            </w:tcBorders>
            <w:vAlign w:val="center"/>
          </w:tcPr>
          <w:p w:rsidR="00B27742" w:rsidRPr="003410C7" w:rsidRDefault="00B27742">
            <w:pPr>
              <w:jc w:val="center"/>
              <w:rPr>
                <w:rFonts w:cs="Tahoma"/>
                <w:sz w:val="20"/>
              </w:rPr>
            </w:pPr>
          </w:p>
        </w:tc>
        <w:tc>
          <w:tcPr>
            <w:tcW w:w="450" w:type="dxa"/>
            <w:vMerge/>
            <w:tcBorders>
              <w:left w:val="single" w:sz="18" w:space="0" w:color="auto"/>
              <w:bottom w:val="single" w:sz="4" w:space="0" w:color="auto"/>
            </w:tcBorders>
          </w:tcPr>
          <w:p w:rsidR="00B27742" w:rsidRPr="003410C7" w:rsidRDefault="00B27742">
            <w:pPr>
              <w:rPr>
                <w:rFonts w:cs="Tahoma"/>
                <w:sz w:val="20"/>
              </w:rPr>
            </w:pPr>
          </w:p>
        </w:tc>
        <w:tc>
          <w:tcPr>
            <w:tcW w:w="450" w:type="dxa"/>
            <w:vMerge/>
            <w:tcBorders>
              <w:bottom w:val="single" w:sz="4" w:space="0" w:color="auto"/>
              <w:right w:val="single" w:sz="18" w:space="0" w:color="auto"/>
            </w:tcBorders>
          </w:tcPr>
          <w:p w:rsidR="00B27742" w:rsidRPr="003410C7" w:rsidRDefault="00B27742">
            <w:pPr>
              <w:rPr>
                <w:rFonts w:cs="Tahoma"/>
                <w:sz w:val="20"/>
              </w:rPr>
            </w:pPr>
          </w:p>
        </w:tc>
        <w:tc>
          <w:tcPr>
            <w:tcW w:w="450" w:type="dxa"/>
            <w:vMerge/>
            <w:tcBorders>
              <w:left w:val="single" w:sz="18" w:space="0" w:color="auto"/>
              <w:bottom w:val="single" w:sz="4" w:space="0" w:color="auto"/>
              <w:right w:val="single" w:sz="18" w:space="0" w:color="auto"/>
            </w:tcBorders>
          </w:tcPr>
          <w:p w:rsidR="00B27742" w:rsidRPr="003410C7" w:rsidRDefault="00B27742">
            <w:pPr>
              <w:rPr>
                <w:rFonts w:cs="Tahoma"/>
                <w:sz w:val="20"/>
              </w:rPr>
            </w:pPr>
          </w:p>
        </w:tc>
        <w:tc>
          <w:tcPr>
            <w:tcW w:w="450" w:type="dxa"/>
            <w:vMerge/>
            <w:tcBorders>
              <w:bottom w:val="single" w:sz="4" w:space="0" w:color="auto"/>
            </w:tcBorders>
          </w:tcPr>
          <w:p w:rsidR="00B27742" w:rsidRPr="003410C7" w:rsidRDefault="00B27742">
            <w:pPr>
              <w:rPr>
                <w:rFonts w:cs="Tahoma"/>
                <w:sz w:val="20"/>
              </w:rPr>
            </w:pPr>
          </w:p>
        </w:tc>
        <w:tc>
          <w:tcPr>
            <w:tcW w:w="540" w:type="dxa"/>
            <w:vMerge/>
            <w:tcBorders>
              <w:bottom w:val="single" w:sz="4" w:space="0" w:color="auto"/>
            </w:tcBorders>
          </w:tcPr>
          <w:p w:rsidR="00B27742" w:rsidRPr="003410C7" w:rsidRDefault="00B27742">
            <w:pPr>
              <w:rPr>
                <w:rFonts w:cs="Tahoma"/>
                <w:sz w:val="20"/>
              </w:rPr>
            </w:pPr>
          </w:p>
        </w:tc>
      </w:tr>
      <w:tr w:rsidR="001A63C6" w:rsidRPr="003410C7" w:rsidTr="007E466C">
        <w:trPr>
          <w:trHeight w:val="145"/>
        </w:trPr>
        <w:tc>
          <w:tcPr>
            <w:tcW w:w="2610" w:type="dxa"/>
            <w:tcBorders>
              <w:bottom w:val="single" w:sz="4" w:space="0" w:color="auto"/>
            </w:tcBorders>
            <w:shd w:val="clear" w:color="auto" w:fill="FABF8F"/>
          </w:tcPr>
          <w:p w:rsidR="001A63C6" w:rsidRPr="003410C7" w:rsidRDefault="001A63C6" w:rsidP="00F70479">
            <w:pPr>
              <w:pStyle w:val="ProductNames"/>
              <w:rPr>
                <w:rFonts w:ascii="Tahoma" w:hAnsi="Tahoma" w:cs="Tahoma"/>
                <w:sz w:val="14"/>
              </w:rPr>
            </w:pPr>
            <w:bookmarkStart w:id="124" w:name="_Toc352234503"/>
            <w:r w:rsidRPr="003410C7">
              <w:rPr>
                <w:rFonts w:ascii="Tahoma" w:hAnsi="Tahoma" w:cs="Tahoma"/>
                <w:sz w:val="14"/>
              </w:rPr>
              <w:t>Microsof</w:t>
            </w:r>
            <w:r w:rsidR="00707E03">
              <w:rPr>
                <w:rFonts w:ascii="Tahoma" w:hAnsi="Tahoma" w:cs="Tahoma"/>
                <w:sz w:val="14"/>
              </w:rPr>
              <w:t>t Desktop Optimization Pack</w:t>
            </w:r>
            <w:r w:rsidRPr="003410C7">
              <w:rPr>
                <w:rFonts w:ascii="Tahoma" w:hAnsi="Tahoma" w:cs="Tahoma"/>
                <w:sz w:val="14"/>
              </w:rPr>
              <w:t xml:space="preserve"> per Software Assurance.</w:t>
            </w:r>
            <w:bookmarkEnd w:id="124"/>
          </w:p>
        </w:tc>
        <w:tc>
          <w:tcPr>
            <w:tcW w:w="360" w:type="dxa"/>
            <w:tcBorders>
              <w:bottom w:val="single" w:sz="4" w:space="0" w:color="auto"/>
            </w:tcBorders>
            <w:shd w:val="clear" w:color="auto" w:fill="FABF8F"/>
            <w:vAlign w:val="center"/>
          </w:tcPr>
          <w:p w:rsidR="001A63C6" w:rsidRPr="009F17FF" w:rsidRDefault="00FC1A4D" w:rsidP="00483B3D">
            <w:pPr>
              <w:pStyle w:val="TableText"/>
              <w:widowControl w:val="0"/>
              <w:rPr>
                <w:b/>
                <w:color w:val="0000FF"/>
                <w:sz w:val="13"/>
                <w:szCs w:val="13"/>
                <w:u w:val="single"/>
              </w:rPr>
            </w:pPr>
            <w:hyperlink w:anchor="_23_Microsoft_Desktop" w:history="1">
              <w:r w:rsidR="000D77F6" w:rsidRPr="009F17FF">
                <w:rPr>
                  <w:rStyle w:val="Hyperlink"/>
                  <w:b/>
                  <w:sz w:val="13"/>
                  <w:szCs w:val="13"/>
                </w:rPr>
                <w:t>23</w:t>
              </w:r>
            </w:hyperlink>
          </w:p>
        </w:tc>
        <w:tc>
          <w:tcPr>
            <w:tcW w:w="450" w:type="dxa"/>
            <w:tcBorders>
              <w:bottom w:val="single" w:sz="4" w:space="0" w:color="auto"/>
            </w:tcBorders>
            <w:shd w:val="clear" w:color="auto" w:fill="FABF8F"/>
            <w:vAlign w:val="center"/>
          </w:tcPr>
          <w:p w:rsidR="001A63C6" w:rsidRPr="003410C7" w:rsidRDefault="004D199A" w:rsidP="004D199A">
            <w:pPr>
              <w:pStyle w:val="TableText"/>
              <w:rPr>
                <w:rFonts w:ascii="Tahoma" w:hAnsi="Tahoma" w:cs="Tahoma"/>
                <w:sz w:val="13"/>
              </w:rPr>
            </w:pPr>
            <w:r w:rsidRPr="003410C7">
              <w:rPr>
                <w:rFonts w:ascii="Tahoma" w:hAnsi="Tahoma" w:cs="Tahoma"/>
                <w:sz w:val="13"/>
              </w:rPr>
              <w:t>11/12</w:t>
            </w:r>
          </w:p>
        </w:tc>
        <w:tc>
          <w:tcPr>
            <w:tcW w:w="360" w:type="dxa"/>
            <w:tcBorders>
              <w:bottom w:val="single" w:sz="4" w:space="0" w:color="auto"/>
              <w:right w:val="single" w:sz="18" w:space="0" w:color="auto"/>
            </w:tcBorders>
            <w:shd w:val="clear" w:color="auto" w:fill="FABF8F"/>
            <w:vAlign w:val="center"/>
          </w:tcPr>
          <w:p w:rsidR="001A63C6" w:rsidRPr="003410C7" w:rsidRDefault="001A63C6">
            <w:pPr>
              <w:pStyle w:val="TableText"/>
              <w:rPr>
                <w:rFonts w:ascii="Tahoma" w:hAnsi="Tahoma" w:cs="Tahoma"/>
                <w:sz w:val="13"/>
              </w:rPr>
            </w:pPr>
          </w:p>
        </w:tc>
        <w:tc>
          <w:tcPr>
            <w:tcW w:w="3060" w:type="dxa"/>
            <w:gridSpan w:val="7"/>
            <w:tcBorders>
              <w:left w:val="single" w:sz="18" w:space="0" w:color="auto"/>
              <w:bottom w:val="single" w:sz="4" w:space="0" w:color="auto"/>
              <w:right w:val="single" w:sz="18" w:space="0" w:color="auto"/>
            </w:tcBorders>
            <w:shd w:val="clear" w:color="auto" w:fill="FABF8F"/>
            <w:vAlign w:val="center"/>
          </w:tcPr>
          <w:p w:rsidR="001A63C6" w:rsidRPr="003410C7" w:rsidRDefault="004D199A">
            <w:pPr>
              <w:pStyle w:val="TableText"/>
              <w:rPr>
                <w:rFonts w:ascii="Tahoma" w:hAnsi="Tahoma" w:cs="Tahoma"/>
                <w:sz w:val="13"/>
              </w:rPr>
            </w:pPr>
            <w:r w:rsidRPr="003410C7">
              <w:rPr>
                <w:rFonts w:ascii="Tahoma" w:hAnsi="Tahoma" w:cs="Tahoma"/>
                <w:sz w:val="13"/>
              </w:rPr>
              <w:t>2</w:t>
            </w:r>
          </w:p>
        </w:tc>
        <w:tc>
          <w:tcPr>
            <w:tcW w:w="450" w:type="dxa"/>
            <w:tcBorders>
              <w:left w:val="single" w:sz="18" w:space="0" w:color="auto"/>
              <w:bottom w:val="single" w:sz="4" w:space="0" w:color="auto"/>
            </w:tcBorders>
            <w:shd w:val="clear" w:color="auto" w:fill="FABF8F"/>
            <w:vAlign w:val="center"/>
          </w:tcPr>
          <w:p w:rsidR="001A63C6" w:rsidRPr="003410C7" w:rsidRDefault="001A63C6">
            <w:pPr>
              <w:pStyle w:val="TableText"/>
              <w:rPr>
                <w:rFonts w:ascii="Tahoma" w:hAnsi="Tahoma" w:cs="Tahoma"/>
                <w:sz w:val="13"/>
              </w:rPr>
            </w:pPr>
          </w:p>
        </w:tc>
        <w:tc>
          <w:tcPr>
            <w:tcW w:w="450" w:type="dxa"/>
            <w:tcBorders>
              <w:bottom w:val="single" w:sz="4" w:space="0" w:color="auto"/>
            </w:tcBorders>
            <w:shd w:val="clear" w:color="auto" w:fill="FABF8F"/>
            <w:vAlign w:val="center"/>
          </w:tcPr>
          <w:p w:rsidR="001A63C6" w:rsidRPr="003410C7" w:rsidRDefault="001A63C6">
            <w:pPr>
              <w:pStyle w:val="TableText"/>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1A63C6" w:rsidRPr="003410C7" w:rsidRDefault="001A63C6">
            <w:pPr>
              <w:pStyle w:val="TableText"/>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3410C7" w:rsidRDefault="004D199A" w:rsidP="004479EA">
            <w:pPr>
              <w:pStyle w:val="TableText"/>
              <w:rPr>
                <w:rFonts w:ascii="Tahoma" w:hAnsi="Tahoma" w:cs="Tahoma"/>
                <w:sz w:val="13"/>
              </w:rPr>
            </w:pPr>
            <w:r w:rsidRPr="003410C7">
              <w:rPr>
                <w:rFonts w:ascii="Tahoma" w:hAnsi="Tahoma" w:cs="Tahoma"/>
                <w:sz w:val="13"/>
              </w:rPr>
              <w:t>1,E</w:t>
            </w:r>
          </w:p>
        </w:tc>
        <w:tc>
          <w:tcPr>
            <w:tcW w:w="450" w:type="dxa"/>
            <w:tcBorders>
              <w:bottom w:val="single" w:sz="4" w:space="0" w:color="auto"/>
              <w:right w:val="single" w:sz="18" w:space="0" w:color="auto"/>
            </w:tcBorders>
            <w:shd w:val="clear" w:color="auto" w:fill="FABF8F"/>
            <w:vAlign w:val="center"/>
          </w:tcPr>
          <w:p w:rsidR="001A63C6" w:rsidRPr="003410C7" w:rsidRDefault="004D199A" w:rsidP="008925CF">
            <w:pPr>
              <w:pStyle w:val="TableText"/>
              <w:rPr>
                <w:rFonts w:ascii="Tahoma" w:hAnsi="Tahoma" w:cs="Tahoma"/>
                <w:sz w:val="13"/>
              </w:rPr>
            </w:pPr>
            <w:r w:rsidRPr="003410C7">
              <w:rPr>
                <w:rFonts w:ascii="Tahoma" w:hAnsi="Tahoma" w:cs="Tahoma"/>
                <w:sz w:val="13"/>
              </w:rPr>
              <w:t>E,A</w:t>
            </w: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3410C7" w:rsidRDefault="004D199A">
            <w:pPr>
              <w:pStyle w:val="TableText"/>
              <w:rPr>
                <w:rFonts w:ascii="Tahoma" w:hAnsi="Tahoma" w:cs="Tahoma"/>
                <w:sz w:val="13"/>
              </w:rPr>
            </w:pPr>
            <w:r w:rsidRPr="003410C7">
              <w:rPr>
                <w:rFonts w:ascii="Tahoma" w:hAnsi="Tahoma" w:cs="Tahoma"/>
                <w:sz w:val="13"/>
              </w:rPr>
              <w:t>P</w:t>
            </w:r>
          </w:p>
        </w:tc>
        <w:tc>
          <w:tcPr>
            <w:tcW w:w="450" w:type="dxa"/>
            <w:tcBorders>
              <w:bottom w:val="single" w:sz="4" w:space="0" w:color="auto"/>
            </w:tcBorders>
            <w:shd w:val="clear" w:color="auto" w:fill="FABF8F"/>
            <w:vAlign w:val="center"/>
          </w:tcPr>
          <w:p w:rsidR="001A63C6" w:rsidRPr="003410C7" w:rsidRDefault="004D199A" w:rsidP="004D199A">
            <w:pPr>
              <w:pStyle w:val="TableText"/>
              <w:rPr>
                <w:rFonts w:ascii="Tahoma" w:hAnsi="Tahoma" w:cs="Tahoma"/>
                <w:sz w:val="13"/>
              </w:rPr>
            </w:pPr>
            <w:r w:rsidRPr="003410C7">
              <w:rPr>
                <w:rFonts w:ascii="Tahoma" w:hAnsi="Tahoma" w:cs="Tahoma"/>
                <w:sz w:val="13"/>
              </w:rPr>
              <w:t>ST,A</w:t>
            </w:r>
          </w:p>
        </w:tc>
        <w:tc>
          <w:tcPr>
            <w:tcW w:w="540" w:type="dxa"/>
            <w:tcBorders>
              <w:bottom w:val="single" w:sz="4" w:space="0" w:color="auto"/>
            </w:tcBorders>
            <w:shd w:val="clear" w:color="auto" w:fill="FABF8F"/>
            <w:vAlign w:val="center"/>
          </w:tcPr>
          <w:p w:rsidR="001A63C6" w:rsidRPr="003410C7" w:rsidRDefault="001A63C6">
            <w:pPr>
              <w:pStyle w:val="TableText"/>
              <w:rPr>
                <w:rFonts w:ascii="Tahoma" w:hAnsi="Tahoma" w:cs="Tahoma"/>
                <w:sz w:val="13"/>
              </w:rPr>
            </w:pPr>
          </w:p>
        </w:tc>
      </w:tr>
      <w:tr w:rsidR="002854D4" w:rsidRPr="003410C7" w:rsidTr="00483B3D">
        <w:trPr>
          <w:trHeight w:val="145"/>
        </w:trPr>
        <w:tc>
          <w:tcPr>
            <w:tcW w:w="2610" w:type="dxa"/>
            <w:tcBorders>
              <w:bottom w:val="single" w:sz="4" w:space="0" w:color="auto"/>
            </w:tcBorders>
            <w:shd w:val="clear" w:color="auto" w:fill="auto"/>
          </w:tcPr>
          <w:p w:rsidR="002854D4" w:rsidRPr="003410C7" w:rsidRDefault="002854D4" w:rsidP="00FB25FF">
            <w:pPr>
              <w:pStyle w:val="ProductNames"/>
              <w:rPr>
                <w:rFonts w:ascii="Tahoma" w:hAnsi="Tahoma" w:cs="Tahoma"/>
                <w:sz w:val="14"/>
              </w:rPr>
            </w:pPr>
            <w:bookmarkStart w:id="125" w:name="_Toc336337897"/>
            <w:bookmarkStart w:id="126" w:name="_Toc352234504"/>
            <w:r w:rsidRPr="003410C7">
              <w:rPr>
                <w:rFonts w:ascii="Tahoma" w:hAnsi="Tahoma" w:cs="Tahoma"/>
                <w:sz w:val="14"/>
              </w:rPr>
              <w:t xml:space="preserve">Licenza </w:t>
            </w:r>
            <w:r w:rsidR="001A3EC5">
              <w:rPr>
                <w:rFonts w:ascii="Tahoma" w:hAnsi="Tahoma" w:cs="Tahoma"/>
                <w:sz w:val="14"/>
              </w:rPr>
              <w:t>“</w:t>
            </w:r>
            <w:r w:rsidRPr="003410C7">
              <w:rPr>
                <w:rFonts w:ascii="Tahoma" w:hAnsi="Tahoma" w:cs="Tahoma"/>
                <w:sz w:val="14"/>
              </w:rPr>
              <w:t>Subscription</w:t>
            </w:r>
            <w:r w:rsidR="001A3EC5">
              <w:rPr>
                <w:rFonts w:ascii="Tahoma" w:hAnsi="Tahoma" w:cs="Tahoma"/>
                <w:sz w:val="14"/>
              </w:rPr>
              <w:t>”</w:t>
            </w:r>
            <w:r w:rsidRPr="003410C7">
              <w:rPr>
                <w:rFonts w:ascii="Tahoma" w:hAnsi="Tahoma" w:cs="Tahoma"/>
                <w:sz w:val="14"/>
              </w:rPr>
              <w:t xml:space="preserve"> per</w:t>
            </w:r>
            <w:r w:rsidR="00FB25FF">
              <w:rPr>
                <w:rFonts w:ascii="Tahoma" w:hAnsi="Tahoma" w:cs="Tahoma"/>
                <w:sz w:val="14"/>
              </w:rPr>
              <w:t> </w:t>
            </w:r>
            <w:r w:rsidRPr="003410C7">
              <w:rPr>
                <w:rFonts w:ascii="Tahoma" w:hAnsi="Tahoma" w:cs="Tahoma"/>
                <w:sz w:val="14"/>
              </w:rPr>
              <w:t>Window</w:t>
            </w:r>
            <w:r w:rsidR="005C3A8C">
              <w:rPr>
                <w:rFonts w:ascii="Tahoma" w:hAnsi="Tahoma" w:cs="Tahoma"/>
                <w:sz w:val="14"/>
              </w:rPr>
              <w:t> </w:t>
            </w:r>
            <w:r w:rsidRPr="003410C7">
              <w:rPr>
                <w:rFonts w:ascii="Tahoma" w:hAnsi="Tahoma" w:cs="Tahoma"/>
                <w:sz w:val="14"/>
              </w:rPr>
              <w:t>Companion</w:t>
            </w:r>
            <w:bookmarkEnd w:id="125"/>
            <w:bookmarkEnd w:id="126"/>
          </w:p>
        </w:tc>
        <w:tc>
          <w:tcPr>
            <w:tcW w:w="360" w:type="dxa"/>
            <w:tcBorders>
              <w:bottom w:val="single" w:sz="4" w:space="0" w:color="auto"/>
            </w:tcBorders>
            <w:shd w:val="clear" w:color="auto" w:fill="auto"/>
            <w:vAlign w:val="center"/>
          </w:tcPr>
          <w:p w:rsidR="002854D4" w:rsidRPr="009F17FF" w:rsidRDefault="00FC1A4D" w:rsidP="00C60100">
            <w:pPr>
              <w:pStyle w:val="TableText"/>
              <w:widowControl w:val="0"/>
              <w:rPr>
                <w:b/>
                <w:color w:val="0000FF"/>
                <w:sz w:val="13"/>
                <w:szCs w:val="13"/>
                <w:u w:val="single"/>
              </w:rPr>
            </w:pPr>
            <w:hyperlink r:id="rId22" w:anchor="_24_Licenza_" w:history="1">
              <w:r w:rsidR="000D77F6" w:rsidRPr="009F17FF">
                <w:rPr>
                  <w:rStyle w:val="Hyperlink"/>
                  <w:b/>
                  <w:sz w:val="13"/>
                  <w:szCs w:val="13"/>
                </w:rPr>
                <w:t>24</w:t>
              </w:r>
            </w:hyperlink>
          </w:p>
        </w:tc>
        <w:tc>
          <w:tcPr>
            <w:tcW w:w="450" w:type="dxa"/>
            <w:tcBorders>
              <w:bottom w:val="single" w:sz="4" w:space="0" w:color="auto"/>
            </w:tcBorders>
            <w:shd w:val="clear" w:color="auto" w:fill="auto"/>
            <w:vAlign w:val="center"/>
          </w:tcPr>
          <w:p w:rsidR="002854D4" w:rsidRPr="003410C7" w:rsidRDefault="002854D4" w:rsidP="004D199A">
            <w:pPr>
              <w:pStyle w:val="TableText"/>
              <w:rPr>
                <w:rFonts w:ascii="Tahoma" w:hAnsi="Tahoma" w:cs="Tahoma"/>
                <w:sz w:val="13"/>
              </w:rPr>
            </w:pPr>
            <w:r w:rsidRPr="003410C7">
              <w:rPr>
                <w:rFonts w:ascii="Tahoma" w:hAnsi="Tahoma" w:cs="Tahoma"/>
                <w:sz w:val="13"/>
              </w:rPr>
              <w:t>10/12</w:t>
            </w:r>
          </w:p>
        </w:tc>
        <w:tc>
          <w:tcPr>
            <w:tcW w:w="360" w:type="dxa"/>
            <w:tcBorders>
              <w:bottom w:val="single" w:sz="4" w:space="0" w:color="auto"/>
              <w:right w:val="single" w:sz="18" w:space="0" w:color="auto"/>
            </w:tcBorders>
            <w:shd w:val="clear" w:color="auto" w:fill="auto"/>
            <w:vAlign w:val="center"/>
          </w:tcPr>
          <w:p w:rsidR="002854D4" w:rsidRPr="003410C7" w:rsidRDefault="002854D4">
            <w:pPr>
              <w:pStyle w:val="TableText"/>
              <w:rPr>
                <w:rFonts w:ascii="Tahoma" w:hAnsi="Tahoma" w:cs="Tahoma"/>
                <w:sz w:val="13"/>
              </w:rPr>
            </w:pPr>
          </w:p>
        </w:tc>
        <w:tc>
          <w:tcPr>
            <w:tcW w:w="3060" w:type="dxa"/>
            <w:gridSpan w:val="7"/>
            <w:tcBorders>
              <w:left w:val="single" w:sz="18" w:space="0" w:color="auto"/>
              <w:bottom w:val="single" w:sz="4" w:space="0" w:color="auto"/>
              <w:right w:val="single" w:sz="18" w:space="0" w:color="auto"/>
            </w:tcBorders>
            <w:shd w:val="clear" w:color="auto" w:fill="auto"/>
            <w:vAlign w:val="center"/>
          </w:tcPr>
          <w:p w:rsidR="002854D4" w:rsidRPr="003410C7" w:rsidRDefault="002854D4">
            <w:pPr>
              <w:pStyle w:val="TableText"/>
              <w:rPr>
                <w:rFonts w:ascii="Tahoma" w:hAnsi="Tahoma" w:cs="Tahoma"/>
                <w:sz w:val="13"/>
              </w:rPr>
            </w:pPr>
            <w:r w:rsidRPr="003410C7">
              <w:rPr>
                <w:rFonts w:ascii="Tahoma" w:hAnsi="Tahoma" w:cs="Tahoma"/>
                <w:sz w:val="13"/>
              </w:rPr>
              <w:t>2</w:t>
            </w:r>
          </w:p>
        </w:tc>
        <w:tc>
          <w:tcPr>
            <w:tcW w:w="450" w:type="dxa"/>
            <w:tcBorders>
              <w:left w:val="single" w:sz="18" w:space="0" w:color="auto"/>
              <w:bottom w:val="single" w:sz="4" w:space="0" w:color="auto"/>
            </w:tcBorders>
            <w:shd w:val="clear" w:color="auto" w:fill="auto"/>
            <w:vAlign w:val="center"/>
          </w:tcPr>
          <w:p w:rsidR="002854D4" w:rsidRPr="003410C7" w:rsidRDefault="002854D4">
            <w:pPr>
              <w:pStyle w:val="TableText"/>
              <w:rPr>
                <w:rFonts w:ascii="Tahoma" w:hAnsi="Tahoma" w:cs="Tahoma"/>
                <w:sz w:val="13"/>
              </w:rPr>
            </w:pPr>
          </w:p>
        </w:tc>
        <w:tc>
          <w:tcPr>
            <w:tcW w:w="450" w:type="dxa"/>
            <w:tcBorders>
              <w:bottom w:val="single" w:sz="4" w:space="0" w:color="auto"/>
            </w:tcBorders>
            <w:shd w:val="clear" w:color="auto" w:fill="auto"/>
            <w:vAlign w:val="center"/>
          </w:tcPr>
          <w:p w:rsidR="002854D4" w:rsidRPr="003410C7" w:rsidRDefault="002854D4">
            <w:pPr>
              <w:pStyle w:val="TableText"/>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2854D4" w:rsidRPr="003410C7" w:rsidRDefault="002854D4">
            <w:pPr>
              <w:pStyle w:val="TableText"/>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2854D4" w:rsidRPr="003410C7" w:rsidRDefault="002854D4" w:rsidP="004479EA">
            <w:pPr>
              <w:pStyle w:val="TableText"/>
              <w:rPr>
                <w:rFonts w:ascii="Tahoma" w:hAnsi="Tahoma" w:cs="Tahoma"/>
                <w:sz w:val="13"/>
              </w:rPr>
            </w:pPr>
            <w:r w:rsidRPr="003410C7">
              <w:rPr>
                <w:rFonts w:ascii="Tahoma" w:hAnsi="Tahoma" w:cs="Tahoma"/>
                <w:sz w:val="13"/>
              </w:rPr>
              <w:t>1</w:t>
            </w:r>
          </w:p>
        </w:tc>
        <w:tc>
          <w:tcPr>
            <w:tcW w:w="450" w:type="dxa"/>
            <w:tcBorders>
              <w:bottom w:val="single" w:sz="4" w:space="0" w:color="auto"/>
              <w:right w:val="single" w:sz="18" w:space="0" w:color="auto"/>
            </w:tcBorders>
            <w:shd w:val="clear" w:color="auto" w:fill="auto"/>
            <w:vAlign w:val="center"/>
          </w:tcPr>
          <w:p w:rsidR="002854D4" w:rsidRPr="003410C7" w:rsidRDefault="002854D4" w:rsidP="008925CF">
            <w:pPr>
              <w:pStyle w:val="TableText"/>
              <w:rPr>
                <w:rFonts w:ascii="Tahoma" w:hAnsi="Tahoma" w:cs="Tahoma"/>
                <w:sz w:val="13"/>
              </w:rPr>
            </w:pPr>
            <w:r w:rsidRPr="003410C7">
              <w:rPr>
                <w:rFonts w:ascii="Tahoma" w:hAnsi="Tahoma" w:cs="Tahoma"/>
                <w:sz w:val="13"/>
              </w:rPr>
              <w:t>E</w:t>
            </w:r>
          </w:p>
        </w:tc>
        <w:tc>
          <w:tcPr>
            <w:tcW w:w="450" w:type="dxa"/>
            <w:tcBorders>
              <w:left w:val="single" w:sz="18" w:space="0" w:color="auto"/>
              <w:bottom w:val="single" w:sz="4" w:space="0" w:color="auto"/>
              <w:right w:val="single" w:sz="18" w:space="0" w:color="auto"/>
            </w:tcBorders>
            <w:shd w:val="clear" w:color="auto" w:fill="auto"/>
            <w:vAlign w:val="center"/>
          </w:tcPr>
          <w:p w:rsidR="002854D4" w:rsidRPr="003410C7" w:rsidRDefault="002854D4">
            <w:pPr>
              <w:pStyle w:val="TableText"/>
              <w:rPr>
                <w:rFonts w:ascii="Tahoma" w:hAnsi="Tahoma" w:cs="Tahoma"/>
                <w:sz w:val="13"/>
              </w:rPr>
            </w:pPr>
          </w:p>
        </w:tc>
        <w:tc>
          <w:tcPr>
            <w:tcW w:w="450" w:type="dxa"/>
            <w:tcBorders>
              <w:bottom w:val="single" w:sz="4" w:space="0" w:color="auto"/>
            </w:tcBorders>
            <w:shd w:val="clear" w:color="auto" w:fill="auto"/>
          </w:tcPr>
          <w:p w:rsidR="002854D4" w:rsidRPr="003410C7" w:rsidRDefault="002854D4">
            <w:pPr>
              <w:pStyle w:val="TableText"/>
              <w:rPr>
                <w:rFonts w:ascii="Tahoma" w:hAnsi="Tahoma" w:cs="Tahoma"/>
                <w:sz w:val="13"/>
              </w:rPr>
            </w:pPr>
            <w:r w:rsidRPr="003410C7">
              <w:rPr>
                <w:rFonts w:ascii="Tahoma" w:hAnsi="Tahoma" w:cs="Tahoma"/>
                <w:sz w:val="13"/>
              </w:rPr>
              <w:t>A (Solo EES)</w:t>
            </w:r>
          </w:p>
        </w:tc>
        <w:tc>
          <w:tcPr>
            <w:tcW w:w="540" w:type="dxa"/>
            <w:tcBorders>
              <w:bottom w:val="single" w:sz="4" w:space="0" w:color="auto"/>
            </w:tcBorders>
            <w:shd w:val="clear" w:color="auto" w:fill="auto"/>
            <w:vAlign w:val="center"/>
          </w:tcPr>
          <w:p w:rsidR="002854D4" w:rsidRPr="003410C7" w:rsidRDefault="002854D4">
            <w:pPr>
              <w:pStyle w:val="TableText"/>
              <w:rPr>
                <w:rFonts w:ascii="Tahoma" w:hAnsi="Tahoma" w:cs="Tahoma"/>
                <w:sz w:val="13"/>
              </w:rPr>
            </w:pPr>
          </w:p>
        </w:tc>
      </w:tr>
      <w:tr w:rsidR="00B33D0E" w:rsidRPr="003410C7" w:rsidTr="002B327C">
        <w:trPr>
          <w:trHeight w:val="145"/>
        </w:trPr>
        <w:tc>
          <w:tcPr>
            <w:tcW w:w="2610" w:type="dxa"/>
            <w:tcBorders>
              <w:bottom w:val="single" w:sz="4" w:space="0" w:color="auto"/>
            </w:tcBorders>
            <w:shd w:val="clear" w:color="auto" w:fill="FABF8F"/>
          </w:tcPr>
          <w:p w:rsidR="008357AC" w:rsidRPr="003410C7" w:rsidRDefault="008357AC" w:rsidP="00F70479">
            <w:pPr>
              <w:pStyle w:val="ProductNames"/>
              <w:rPr>
                <w:rFonts w:ascii="Tahoma" w:hAnsi="Tahoma" w:cs="Tahoma"/>
                <w:sz w:val="14"/>
              </w:rPr>
            </w:pPr>
            <w:bookmarkStart w:id="127" w:name="_Toc336337898"/>
            <w:bookmarkStart w:id="128" w:name="_Toc352234505"/>
            <w:r w:rsidRPr="003410C7">
              <w:rPr>
                <w:rFonts w:ascii="Tahoma" w:hAnsi="Tahoma" w:cs="Tahoma"/>
                <w:sz w:val="14"/>
              </w:rPr>
              <w:t>Windows Vista DVD Playback Pack</w:t>
            </w:r>
            <w:bookmarkEnd w:id="127"/>
            <w:bookmarkEnd w:id="128"/>
            <w:r w:rsidRPr="003410C7">
              <w:rPr>
                <w:rFonts w:ascii="Tahoma" w:hAnsi="Tahoma" w:cs="Tahoma"/>
                <w:sz w:val="14"/>
              </w:rPr>
              <w:t xml:space="preserve"> </w:t>
            </w:r>
          </w:p>
        </w:tc>
        <w:tc>
          <w:tcPr>
            <w:tcW w:w="360" w:type="dxa"/>
            <w:tcBorders>
              <w:bottom w:val="single" w:sz="4" w:space="0" w:color="auto"/>
            </w:tcBorders>
            <w:shd w:val="clear" w:color="auto" w:fill="FABF8F"/>
            <w:vAlign w:val="center"/>
          </w:tcPr>
          <w:p w:rsidR="008357AC" w:rsidRPr="009F17FF" w:rsidRDefault="00FC1A4D" w:rsidP="00C60100">
            <w:pPr>
              <w:pStyle w:val="TableText"/>
              <w:widowControl w:val="0"/>
              <w:rPr>
                <w:b/>
                <w:color w:val="0000FF"/>
                <w:sz w:val="13"/>
                <w:szCs w:val="13"/>
                <w:u w:val="single"/>
              </w:rPr>
            </w:pPr>
            <w:hyperlink w:anchor="Sys_24WindowsVistaDVDPack" w:history="1">
              <w:r w:rsidR="000D77F6" w:rsidRPr="009F17FF">
                <w:rPr>
                  <w:rStyle w:val="Hyperlink"/>
                  <w:b/>
                  <w:sz w:val="13"/>
                  <w:szCs w:val="13"/>
                </w:rPr>
                <w:t>25</w:t>
              </w:r>
            </w:hyperlink>
          </w:p>
        </w:tc>
        <w:tc>
          <w:tcPr>
            <w:tcW w:w="450" w:type="dxa"/>
            <w:tcBorders>
              <w:bottom w:val="single" w:sz="4" w:space="0" w:color="auto"/>
            </w:tcBorders>
            <w:shd w:val="clear" w:color="auto" w:fill="FABF8F"/>
          </w:tcPr>
          <w:p w:rsidR="008357AC" w:rsidRPr="003410C7" w:rsidDel="00587D23" w:rsidRDefault="008357AC" w:rsidP="00384940">
            <w:pPr>
              <w:pStyle w:val="TableText"/>
              <w:rPr>
                <w:rFonts w:ascii="Tahoma" w:hAnsi="Tahoma" w:cs="Tahoma"/>
                <w:sz w:val="13"/>
              </w:rPr>
            </w:pPr>
            <w:r w:rsidRPr="003410C7">
              <w:rPr>
                <w:rFonts w:ascii="Tahoma" w:hAnsi="Tahoma" w:cs="Tahoma"/>
                <w:sz w:val="13"/>
              </w:rPr>
              <w:t>03/11</w:t>
            </w:r>
          </w:p>
        </w:tc>
        <w:tc>
          <w:tcPr>
            <w:tcW w:w="360" w:type="dxa"/>
            <w:tcBorders>
              <w:bottom w:val="single" w:sz="4" w:space="0" w:color="auto"/>
              <w:right w:val="single" w:sz="18" w:space="0" w:color="auto"/>
            </w:tcBorders>
            <w:shd w:val="clear" w:color="auto" w:fill="FABF8F"/>
            <w:vAlign w:val="center"/>
          </w:tcPr>
          <w:p w:rsidR="008357AC" w:rsidRPr="003410C7" w:rsidRDefault="008357AC">
            <w:pPr>
              <w:pStyle w:val="TableText"/>
              <w:rPr>
                <w:rFonts w:ascii="Tahoma" w:hAnsi="Tahoma" w:cs="Tahoma"/>
                <w:sz w:val="13"/>
              </w:rPr>
            </w:pPr>
          </w:p>
        </w:tc>
        <w:tc>
          <w:tcPr>
            <w:tcW w:w="3060" w:type="dxa"/>
            <w:gridSpan w:val="7"/>
            <w:tcBorders>
              <w:left w:val="single" w:sz="18" w:space="0" w:color="auto"/>
              <w:bottom w:val="single" w:sz="4" w:space="0" w:color="auto"/>
              <w:right w:val="single" w:sz="18" w:space="0" w:color="auto"/>
            </w:tcBorders>
            <w:shd w:val="clear" w:color="auto" w:fill="FABF8F"/>
            <w:vAlign w:val="center"/>
          </w:tcPr>
          <w:p w:rsidR="008357AC" w:rsidRPr="003410C7" w:rsidRDefault="00FC7674">
            <w:pPr>
              <w:pStyle w:val="TableText"/>
              <w:rPr>
                <w:rFonts w:ascii="Tahoma" w:hAnsi="Tahoma" w:cs="Tahoma"/>
                <w:sz w:val="13"/>
              </w:rPr>
            </w:pPr>
            <w:r w:rsidRPr="003410C7">
              <w:rPr>
                <w:rFonts w:ascii="Tahoma" w:hAnsi="Tahoma" w:cs="Tahoma"/>
                <w:sz w:val="13"/>
              </w:rPr>
              <w:t>2</w:t>
            </w:r>
          </w:p>
        </w:tc>
        <w:tc>
          <w:tcPr>
            <w:tcW w:w="450" w:type="dxa"/>
            <w:tcBorders>
              <w:left w:val="single" w:sz="18" w:space="0" w:color="auto"/>
              <w:bottom w:val="single" w:sz="4" w:space="0" w:color="auto"/>
            </w:tcBorders>
            <w:shd w:val="clear" w:color="auto" w:fill="FABF8F"/>
            <w:vAlign w:val="center"/>
          </w:tcPr>
          <w:p w:rsidR="008357AC" w:rsidRPr="003410C7" w:rsidRDefault="00FC7674">
            <w:pPr>
              <w:pStyle w:val="TableText"/>
              <w:rPr>
                <w:rFonts w:ascii="Tahoma" w:hAnsi="Tahoma" w:cs="Tahoma"/>
                <w:sz w:val="13"/>
              </w:rPr>
            </w:pPr>
            <w:r w:rsidRPr="003410C7">
              <w:rPr>
                <w:rFonts w:ascii="Tahoma" w:hAnsi="Tahoma" w:cs="Tahoma"/>
                <w:sz w:val="13"/>
              </w:rPr>
              <w:t>2</w:t>
            </w:r>
          </w:p>
        </w:tc>
        <w:tc>
          <w:tcPr>
            <w:tcW w:w="450" w:type="dxa"/>
            <w:tcBorders>
              <w:bottom w:val="single" w:sz="4" w:space="0" w:color="auto"/>
            </w:tcBorders>
            <w:shd w:val="clear" w:color="auto" w:fill="FABF8F"/>
            <w:vAlign w:val="center"/>
          </w:tcPr>
          <w:p w:rsidR="008357AC" w:rsidRPr="003410C7" w:rsidRDefault="008357AC">
            <w:pPr>
              <w:pStyle w:val="TableText"/>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8357AC" w:rsidRPr="003410C7" w:rsidRDefault="008357AC">
            <w:pPr>
              <w:pStyle w:val="TableText"/>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8357AC" w:rsidRPr="003410C7" w:rsidRDefault="008357AC" w:rsidP="004479EA">
            <w:pPr>
              <w:pStyle w:val="TableText"/>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8357AC" w:rsidRPr="003410C7" w:rsidRDefault="008357AC" w:rsidP="008925CF">
            <w:pPr>
              <w:pStyle w:val="TableText"/>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rsidR="008357AC" w:rsidRPr="003410C7" w:rsidRDefault="008357AC">
            <w:pPr>
              <w:pStyle w:val="TableText"/>
              <w:rPr>
                <w:rFonts w:ascii="Tahoma" w:hAnsi="Tahoma" w:cs="Tahoma"/>
                <w:sz w:val="13"/>
              </w:rPr>
            </w:pPr>
          </w:p>
        </w:tc>
        <w:tc>
          <w:tcPr>
            <w:tcW w:w="450" w:type="dxa"/>
            <w:tcBorders>
              <w:bottom w:val="single" w:sz="4" w:space="0" w:color="auto"/>
            </w:tcBorders>
            <w:shd w:val="clear" w:color="auto" w:fill="FABF8F"/>
          </w:tcPr>
          <w:p w:rsidR="008357AC" w:rsidRPr="003410C7" w:rsidRDefault="008357AC">
            <w:pPr>
              <w:pStyle w:val="TableText"/>
              <w:rPr>
                <w:rFonts w:ascii="Tahoma" w:hAnsi="Tahoma" w:cs="Tahoma"/>
                <w:sz w:val="13"/>
              </w:rPr>
            </w:pPr>
          </w:p>
        </w:tc>
        <w:tc>
          <w:tcPr>
            <w:tcW w:w="540" w:type="dxa"/>
            <w:tcBorders>
              <w:bottom w:val="single" w:sz="4" w:space="0" w:color="auto"/>
            </w:tcBorders>
            <w:shd w:val="clear" w:color="auto" w:fill="FABF8F"/>
            <w:vAlign w:val="center"/>
          </w:tcPr>
          <w:p w:rsidR="008357AC" w:rsidRPr="003410C7" w:rsidRDefault="008357AC">
            <w:pPr>
              <w:pStyle w:val="TableText"/>
              <w:rPr>
                <w:rFonts w:ascii="Tahoma" w:hAnsi="Tahoma" w:cs="Tahoma"/>
                <w:sz w:val="13"/>
              </w:rPr>
            </w:pPr>
          </w:p>
        </w:tc>
      </w:tr>
      <w:tr w:rsidR="00B50A5B" w:rsidRPr="003410C7" w:rsidTr="007E466C">
        <w:trPr>
          <w:trHeight w:val="145"/>
        </w:trPr>
        <w:tc>
          <w:tcPr>
            <w:tcW w:w="2610" w:type="dxa"/>
            <w:tcBorders>
              <w:bottom w:val="single" w:sz="4" w:space="0" w:color="auto"/>
            </w:tcBorders>
            <w:shd w:val="clear" w:color="auto" w:fill="auto"/>
          </w:tcPr>
          <w:p w:rsidR="00B27742" w:rsidRPr="00451078" w:rsidRDefault="00B27742" w:rsidP="00F70479">
            <w:pPr>
              <w:pStyle w:val="ProductNames"/>
              <w:rPr>
                <w:rFonts w:ascii="Tahoma" w:hAnsi="Tahoma" w:cs="Tahoma"/>
                <w:sz w:val="14"/>
                <w:lang w:val="it-IT"/>
              </w:rPr>
            </w:pPr>
            <w:bookmarkStart w:id="129" w:name="_Toc336337901"/>
            <w:bookmarkStart w:id="130" w:name="_Toc352234506"/>
            <w:r w:rsidRPr="00451078">
              <w:rPr>
                <w:rFonts w:ascii="Tahoma" w:hAnsi="Tahoma" w:cs="Tahoma"/>
                <w:sz w:val="14"/>
                <w:lang w:val="it-IT"/>
              </w:rPr>
              <w:t>Diritti di Noleggio per Windows</w:t>
            </w:r>
            <w:bookmarkEnd w:id="129"/>
            <w:bookmarkEnd w:id="130"/>
          </w:p>
        </w:tc>
        <w:tc>
          <w:tcPr>
            <w:tcW w:w="360" w:type="dxa"/>
            <w:tcBorders>
              <w:bottom w:val="single" w:sz="4" w:space="0" w:color="auto"/>
            </w:tcBorders>
            <w:shd w:val="clear" w:color="auto" w:fill="auto"/>
            <w:vAlign w:val="center"/>
          </w:tcPr>
          <w:p w:rsidR="00B27742" w:rsidRPr="00451078" w:rsidRDefault="00B27742" w:rsidP="008A7B14">
            <w:pPr>
              <w:pStyle w:val="TableText"/>
              <w:widowControl w:val="0"/>
              <w:rPr>
                <w:sz w:val="13"/>
                <w:szCs w:val="13"/>
                <w:lang w:val="it-IT"/>
              </w:rPr>
            </w:pPr>
          </w:p>
        </w:tc>
        <w:tc>
          <w:tcPr>
            <w:tcW w:w="450" w:type="dxa"/>
            <w:tcBorders>
              <w:bottom w:val="single" w:sz="4" w:space="0" w:color="auto"/>
            </w:tcBorders>
            <w:shd w:val="clear" w:color="auto" w:fill="auto"/>
            <w:vAlign w:val="center"/>
          </w:tcPr>
          <w:p w:rsidR="00B27742" w:rsidRPr="003410C7" w:rsidRDefault="00B27742" w:rsidP="004D199A">
            <w:pPr>
              <w:pStyle w:val="TableText"/>
              <w:rPr>
                <w:rFonts w:ascii="Tahoma" w:hAnsi="Tahoma" w:cs="Tahoma"/>
                <w:sz w:val="13"/>
              </w:rPr>
            </w:pPr>
            <w:r w:rsidRPr="003410C7">
              <w:rPr>
                <w:rFonts w:ascii="Tahoma" w:hAnsi="Tahoma" w:cs="Tahoma"/>
                <w:sz w:val="13"/>
              </w:rPr>
              <w:t>04/09</w:t>
            </w:r>
          </w:p>
        </w:tc>
        <w:tc>
          <w:tcPr>
            <w:tcW w:w="360" w:type="dxa"/>
            <w:tcBorders>
              <w:bottom w:val="single" w:sz="4" w:space="0" w:color="auto"/>
              <w:right w:val="single" w:sz="18" w:space="0" w:color="auto"/>
            </w:tcBorders>
            <w:shd w:val="clear" w:color="auto" w:fill="auto"/>
            <w:vAlign w:val="center"/>
          </w:tcPr>
          <w:p w:rsidR="00B27742" w:rsidRPr="003410C7" w:rsidRDefault="00B27742">
            <w:pPr>
              <w:pStyle w:val="TableText"/>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B27742" w:rsidRPr="003410C7" w:rsidRDefault="00391582">
            <w:pPr>
              <w:pStyle w:val="TableText"/>
              <w:rPr>
                <w:rFonts w:ascii="Tahoma" w:hAnsi="Tahoma" w:cs="Tahoma"/>
                <w:sz w:val="13"/>
              </w:rPr>
            </w:pPr>
            <w:r w:rsidRPr="003410C7">
              <w:rPr>
                <w:rFonts w:ascii="Tahoma" w:hAnsi="Tahoma" w:cs="Tahoma"/>
                <w:sz w:val="13"/>
              </w:rPr>
              <w:t>2</w:t>
            </w:r>
          </w:p>
        </w:tc>
        <w:tc>
          <w:tcPr>
            <w:tcW w:w="450" w:type="dxa"/>
            <w:tcBorders>
              <w:bottom w:val="single" w:sz="4" w:space="0" w:color="auto"/>
            </w:tcBorders>
            <w:shd w:val="clear" w:color="auto" w:fill="auto"/>
            <w:vAlign w:val="center"/>
          </w:tcPr>
          <w:p w:rsidR="00B27742" w:rsidRPr="003410C7" w:rsidRDefault="00B27742">
            <w:pPr>
              <w:pStyle w:val="TableText"/>
              <w:rPr>
                <w:rFonts w:ascii="Tahoma" w:hAnsi="Tahoma" w:cs="Tahoma"/>
                <w:sz w:val="13"/>
              </w:rPr>
            </w:pPr>
          </w:p>
        </w:tc>
        <w:tc>
          <w:tcPr>
            <w:tcW w:w="450" w:type="dxa"/>
            <w:tcBorders>
              <w:bottom w:val="single" w:sz="4" w:space="0" w:color="auto"/>
            </w:tcBorders>
            <w:shd w:val="clear" w:color="auto" w:fill="auto"/>
            <w:vAlign w:val="center"/>
          </w:tcPr>
          <w:p w:rsidR="00B27742" w:rsidRPr="003410C7" w:rsidRDefault="00B27742">
            <w:pPr>
              <w:pStyle w:val="TableText"/>
              <w:rPr>
                <w:rFonts w:ascii="Tahoma" w:hAnsi="Tahoma" w:cs="Tahoma"/>
                <w:sz w:val="13"/>
              </w:rPr>
            </w:pPr>
          </w:p>
        </w:tc>
        <w:tc>
          <w:tcPr>
            <w:tcW w:w="450" w:type="dxa"/>
            <w:tcBorders>
              <w:bottom w:val="single" w:sz="4" w:space="0" w:color="auto"/>
            </w:tcBorders>
            <w:shd w:val="clear" w:color="auto" w:fill="auto"/>
            <w:vAlign w:val="center"/>
          </w:tcPr>
          <w:p w:rsidR="00B27742" w:rsidRPr="003410C7" w:rsidRDefault="00B27742">
            <w:pPr>
              <w:pStyle w:val="TableText"/>
              <w:rPr>
                <w:rFonts w:ascii="Tahoma" w:hAnsi="Tahoma" w:cs="Tahoma"/>
                <w:sz w:val="13"/>
              </w:rPr>
            </w:pPr>
          </w:p>
        </w:tc>
        <w:tc>
          <w:tcPr>
            <w:tcW w:w="450" w:type="dxa"/>
            <w:tcBorders>
              <w:bottom w:val="single" w:sz="4" w:space="0" w:color="auto"/>
            </w:tcBorders>
            <w:shd w:val="clear" w:color="auto" w:fill="auto"/>
            <w:vAlign w:val="center"/>
          </w:tcPr>
          <w:p w:rsidR="00B27742" w:rsidRPr="003410C7" w:rsidRDefault="00B27742">
            <w:pPr>
              <w:pStyle w:val="TableText"/>
              <w:rPr>
                <w:rFonts w:ascii="Tahoma" w:hAnsi="Tahoma" w:cs="Tahoma"/>
                <w:sz w:val="13"/>
              </w:rPr>
            </w:pPr>
          </w:p>
        </w:tc>
        <w:tc>
          <w:tcPr>
            <w:tcW w:w="450" w:type="dxa"/>
            <w:tcBorders>
              <w:bottom w:val="single" w:sz="4" w:space="0" w:color="auto"/>
            </w:tcBorders>
            <w:shd w:val="clear" w:color="auto" w:fill="auto"/>
            <w:vAlign w:val="center"/>
          </w:tcPr>
          <w:p w:rsidR="00B27742" w:rsidRPr="003410C7" w:rsidRDefault="00B27742">
            <w:pPr>
              <w:pStyle w:val="TableText"/>
              <w:rPr>
                <w:rFonts w:ascii="Tahoma" w:hAnsi="Tahoma" w:cs="Tahoma"/>
                <w:sz w:val="13"/>
              </w:rPr>
            </w:pPr>
          </w:p>
        </w:tc>
        <w:tc>
          <w:tcPr>
            <w:tcW w:w="360" w:type="dxa"/>
            <w:tcBorders>
              <w:bottom w:val="single" w:sz="4" w:space="0" w:color="auto"/>
              <w:right w:val="single" w:sz="18" w:space="0" w:color="auto"/>
            </w:tcBorders>
            <w:shd w:val="clear" w:color="auto" w:fill="auto"/>
            <w:vAlign w:val="center"/>
          </w:tcPr>
          <w:p w:rsidR="00B27742" w:rsidRPr="003410C7" w:rsidRDefault="00B27742">
            <w:pPr>
              <w:pStyle w:val="TableText"/>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B27742" w:rsidRPr="003410C7" w:rsidRDefault="00391582">
            <w:pPr>
              <w:pStyle w:val="TableText"/>
              <w:rPr>
                <w:rFonts w:ascii="Tahoma" w:hAnsi="Tahoma" w:cs="Tahoma"/>
                <w:sz w:val="13"/>
              </w:rPr>
            </w:pPr>
            <w:r w:rsidRPr="003410C7">
              <w:rPr>
                <w:rFonts w:ascii="Tahoma" w:hAnsi="Tahoma" w:cs="Tahoma"/>
                <w:sz w:val="13"/>
              </w:rPr>
              <w:t>2</w:t>
            </w:r>
          </w:p>
        </w:tc>
        <w:tc>
          <w:tcPr>
            <w:tcW w:w="450" w:type="dxa"/>
            <w:tcBorders>
              <w:bottom w:val="single" w:sz="4" w:space="0" w:color="auto"/>
            </w:tcBorders>
            <w:shd w:val="clear" w:color="auto" w:fill="auto"/>
            <w:vAlign w:val="center"/>
          </w:tcPr>
          <w:p w:rsidR="00B27742" w:rsidRPr="003410C7" w:rsidRDefault="00B27742">
            <w:pPr>
              <w:pStyle w:val="TableText"/>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B27742" w:rsidRPr="003410C7" w:rsidRDefault="00B27742">
            <w:pPr>
              <w:pStyle w:val="TableText"/>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B27742" w:rsidRPr="003410C7" w:rsidRDefault="00B27742">
            <w:pPr>
              <w:pStyle w:val="TableText"/>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B27742" w:rsidRPr="003410C7" w:rsidRDefault="00B27742">
            <w:pPr>
              <w:pStyle w:val="TableText"/>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rsidR="00B27742" w:rsidRPr="003410C7" w:rsidRDefault="00B27742">
            <w:pPr>
              <w:pStyle w:val="TableText"/>
              <w:rPr>
                <w:rFonts w:ascii="Tahoma" w:hAnsi="Tahoma" w:cs="Tahoma"/>
                <w:sz w:val="13"/>
              </w:rPr>
            </w:pPr>
          </w:p>
        </w:tc>
        <w:tc>
          <w:tcPr>
            <w:tcW w:w="450" w:type="dxa"/>
            <w:tcBorders>
              <w:bottom w:val="single" w:sz="4" w:space="0" w:color="auto"/>
            </w:tcBorders>
            <w:shd w:val="clear" w:color="auto" w:fill="auto"/>
          </w:tcPr>
          <w:p w:rsidR="00B27742" w:rsidRPr="003410C7" w:rsidRDefault="00B27742" w:rsidP="00A0765A">
            <w:pPr>
              <w:pStyle w:val="TableText"/>
              <w:spacing w:before="120"/>
              <w:rPr>
                <w:rFonts w:ascii="Tahoma" w:hAnsi="Tahoma" w:cs="Tahoma"/>
                <w:sz w:val="13"/>
              </w:rPr>
            </w:pPr>
          </w:p>
        </w:tc>
        <w:tc>
          <w:tcPr>
            <w:tcW w:w="540" w:type="dxa"/>
            <w:tcBorders>
              <w:bottom w:val="single" w:sz="4" w:space="0" w:color="auto"/>
            </w:tcBorders>
            <w:shd w:val="clear" w:color="auto" w:fill="auto"/>
            <w:vAlign w:val="center"/>
          </w:tcPr>
          <w:p w:rsidR="00B27742" w:rsidRPr="003410C7" w:rsidRDefault="00B27742">
            <w:pPr>
              <w:pStyle w:val="TableText"/>
              <w:rPr>
                <w:rFonts w:ascii="Tahoma" w:hAnsi="Tahoma" w:cs="Tahoma"/>
                <w:sz w:val="13"/>
              </w:rPr>
            </w:pPr>
          </w:p>
        </w:tc>
      </w:tr>
      <w:tr w:rsidR="00B50A5B" w:rsidRPr="003410C7" w:rsidTr="00B50A5B">
        <w:trPr>
          <w:trHeight w:val="145"/>
        </w:trPr>
        <w:tc>
          <w:tcPr>
            <w:tcW w:w="2610" w:type="dxa"/>
            <w:tcBorders>
              <w:bottom w:val="single" w:sz="4" w:space="0" w:color="auto"/>
            </w:tcBorders>
            <w:shd w:val="clear" w:color="auto" w:fill="FABF8F"/>
          </w:tcPr>
          <w:p w:rsidR="009447FB" w:rsidRPr="003410C7" w:rsidRDefault="009447FB" w:rsidP="00FE2D13">
            <w:pPr>
              <w:pStyle w:val="ProductNames"/>
              <w:rPr>
                <w:rFonts w:ascii="Tahoma" w:hAnsi="Tahoma" w:cs="Tahoma"/>
                <w:sz w:val="14"/>
              </w:rPr>
            </w:pPr>
            <w:bookmarkStart w:id="131" w:name="_Toc336337902"/>
            <w:bookmarkStart w:id="132" w:name="_Toc352234507"/>
            <w:r w:rsidRPr="003410C7">
              <w:rPr>
                <w:rFonts w:ascii="Tahoma" w:hAnsi="Tahoma" w:cs="Tahoma"/>
                <w:sz w:val="14"/>
              </w:rPr>
              <w:t>Windows 8 Enterprise Sideloading (100</w:t>
            </w:r>
            <w:r w:rsidR="00FE2D13">
              <w:rPr>
                <w:rFonts w:ascii="Tahoma" w:hAnsi="Tahoma" w:cs="Tahoma"/>
                <w:sz w:val="14"/>
              </w:rPr>
              <w:t> </w:t>
            </w:r>
            <w:r w:rsidRPr="003410C7">
              <w:rPr>
                <w:rFonts w:ascii="Tahoma" w:hAnsi="Tahoma" w:cs="Tahoma"/>
                <w:sz w:val="14"/>
              </w:rPr>
              <w:t>Confezioni)</w:t>
            </w:r>
            <w:bookmarkEnd w:id="131"/>
            <w:bookmarkEnd w:id="132"/>
          </w:p>
        </w:tc>
        <w:tc>
          <w:tcPr>
            <w:tcW w:w="360" w:type="dxa"/>
            <w:tcBorders>
              <w:bottom w:val="single" w:sz="4" w:space="0" w:color="auto"/>
            </w:tcBorders>
            <w:shd w:val="clear" w:color="auto" w:fill="FABF8F"/>
            <w:vAlign w:val="center"/>
          </w:tcPr>
          <w:p w:rsidR="009447FB" w:rsidRPr="009F17FF" w:rsidRDefault="00FC1A4D" w:rsidP="0018541C">
            <w:pPr>
              <w:pStyle w:val="TableText"/>
              <w:widowControl w:val="0"/>
              <w:rPr>
                <w:b/>
                <w:sz w:val="13"/>
                <w:szCs w:val="13"/>
                <w:u w:val="single"/>
              </w:rPr>
            </w:pPr>
            <w:hyperlink w:anchor="_26_Windows®_8" w:history="1">
              <w:r w:rsidR="000D77F6" w:rsidRPr="009F17FF">
                <w:rPr>
                  <w:rStyle w:val="Hyperlink"/>
                  <w:b/>
                  <w:sz w:val="13"/>
                  <w:szCs w:val="13"/>
                </w:rPr>
                <w:t>26</w:t>
              </w:r>
            </w:hyperlink>
          </w:p>
        </w:tc>
        <w:tc>
          <w:tcPr>
            <w:tcW w:w="450" w:type="dxa"/>
            <w:tcBorders>
              <w:bottom w:val="single" w:sz="4" w:space="0" w:color="auto"/>
            </w:tcBorders>
            <w:shd w:val="clear" w:color="auto" w:fill="FABF8F"/>
          </w:tcPr>
          <w:p w:rsidR="009447FB" w:rsidRPr="003410C7" w:rsidRDefault="00F21F1B" w:rsidP="009124DC">
            <w:pPr>
              <w:pStyle w:val="TableText"/>
              <w:spacing w:before="120"/>
              <w:rPr>
                <w:rFonts w:ascii="Tahoma" w:hAnsi="Tahoma" w:cs="Tahoma"/>
                <w:sz w:val="13"/>
              </w:rPr>
            </w:pPr>
            <w:r w:rsidRPr="003410C7">
              <w:rPr>
                <w:rFonts w:ascii="Tahoma" w:hAnsi="Tahoma" w:cs="Tahoma"/>
                <w:sz w:val="13"/>
              </w:rPr>
              <w:t>09/12</w:t>
            </w:r>
          </w:p>
        </w:tc>
        <w:tc>
          <w:tcPr>
            <w:tcW w:w="360" w:type="dxa"/>
            <w:tcBorders>
              <w:bottom w:val="single" w:sz="4" w:space="0" w:color="auto"/>
              <w:right w:val="single" w:sz="18" w:space="0" w:color="auto"/>
            </w:tcBorders>
            <w:shd w:val="clear" w:color="auto" w:fill="FABF8F"/>
            <w:vAlign w:val="center"/>
          </w:tcPr>
          <w:p w:rsidR="009447FB" w:rsidRPr="003410C7" w:rsidRDefault="009447FB">
            <w:pPr>
              <w:pStyle w:val="TableText"/>
              <w:rPr>
                <w:rFonts w:ascii="Tahoma" w:hAnsi="Tahoma" w:cs="Tahoma"/>
                <w:sz w:val="13"/>
              </w:rPr>
            </w:pPr>
            <w:r w:rsidRPr="003410C7">
              <w:rPr>
                <w:rFonts w:ascii="Tahoma" w:hAnsi="Tahoma" w:cs="Tahoma"/>
                <w:sz w:val="13"/>
              </w:rPr>
              <w:t>DT</w:t>
            </w:r>
          </w:p>
        </w:tc>
        <w:tc>
          <w:tcPr>
            <w:tcW w:w="450" w:type="dxa"/>
            <w:tcBorders>
              <w:left w:val="single" w:sz="18" w:space="0" w:color="auto"/>
              <w:bottom w:val="single" w:sz="4" w:space="0" w:color="auto"/>
            </w:tcBorders>
            <w:shd w:val="clear" w:color="auto" w:fill="FABF8F"/>
            <w:vAlign w:val="center"/>
          </w:tcPr>
          <w:p w:rsidR="009447FB" w:rsidRPr="003410C7" w:rsidRDefault="005B48E5">
            <w:pPr>
              <w:pStyle w:val="TableText"/>
              <w:rPr>
                <w:rFonts w:ascii="Tahoma" w:hAnsi="Tahoma" w:cs="Tahoma"/>
                <w:sz w:val="13"/>
              </w:rPr>
            </w:pPr>
            <w:r w:rsidRPr="003410C7">
              <w:rPr>
                <w:rFonts w:ascii="Tahoma" w:hAnsi="Tahoma" w:cs="Tahoma"/>
                <w:sz w:val="13"/>
              </w:rPr>
              <w:t>2</w:t>
            </w:r>
          </w:p>
        </w:tc>
        <w:tc>
          <w:tcPr>
            <w:tcW w:w="450" w:type="dxa"/>
            <w:tcBorders>
              <w:bottom w:val="single" w:sz="4" w:space="0" w:color="auto"/>
            </w:tcBorders>
            <w:shd w:val="clear" w:color="auto" w:fill="FABF8F"/>
            <w:vAlign w:val="center"/>
          </w:tcPr>
          <w:p w:rsidR="009447FB" w:rsidRPr="003410C7" w:rsidRDefault="009447FB">
            <w:pPr>
              <w:pStyle w:val="TableText"/>
              <w:rPr>
                <w:rFonts w:ascii="Tahoma" w:hAnsi="Tahoma" w:cs="Tahoma"/>
                <w:sz w:val="13"/>
              </w:rPr>
            </w:pPr>
          </w:p>
        </w:tc>
        <w:tc>
          <w:tcPr>
            <w:tcW w:w="450" w:type="dxa"/>
            <w:tcBorders>
              <w:bottom w:val="single" w:sz="4" w:space="0" w:color="auto"/>
            </w:tcBorders>
            <w:shd w:val="clear" w:color="auto" w:fill="FABF8F"/>
            <w:vAlign w:val="center"/>
          </w:tcPr>
          <w:p w:rsidR="009447FB" w:rsidRPr="003410C7" w:rsidRDefault="009447FB">
            <w:pPr>
              <w:pStyle w:val="TableText"/>
              <w:rPr>
                <w:rFonts w:ascii="Tahoma" w:hAnsi="Tahoma" w:cs="Tahoma"/>
                <w:sz w:val="13"/>
              </w:rPr>
            </w:pPr>
          </w:p>
        </w:tc>
        <w:tc>
          <w:tcPr>
            <w:tcW w:w="450" w:type="dxa"/>
            <w:tcBorders>
              <w:bottom w:val="single" w:sz="4" w:space="0" w:color="auto"/>
            </w:tcBorders>
            <w:shd w:val="clear" w:color="auto" w:fill="FABF8F"/>
            <w:vAlign w:val="center"/>
          </w:tcPr>
          <w:p w:rsidR="009447FB" w:rsidRPr="003410C7" w:rsidRDefault="009447FB">
            <w:pPr>
              <w:pStyle w:val="TableText"/>
              <w:rPr>
                <w:rFonts w:ascii="Tahoma" w:hAnsi="Tahoma" w:cs="Tahoma"/>
                <w:sz w:val="13"/>
              </w:rPr>
            </w:pPr>
          </w:p>
        </w:tc>
        <w:tc>
          <w:tcPr>
            <w:tcW w:w="450" w:type="dxa"/>
            <w:tcBorders>
              <w:bottom w:val="single" w:sz="4" w:space="0" w:color="auto"/>
            </w:tcBorders>
            <w:shd w:val="clear" w:color="auto" w:fill="FABF8F"/>
            <w:vAlign w:val="center"/>
          </w:tcPr>
          <w:p w:rsidR="009447FB" w:rsidRPr="003410C7" w:rsidRDefault="009447FB">
            <w:pPr>
              <w:pStyle w:val="TableText"/>
              <w:rPr>
                <w:rFonts w:ascii="Tahoma" w:hAnsi="Tahoma" w:cs="Tahoma"/>
                <w:sz w:val="13"/>
              </w:rPr>
            </w:pPr>
          </w:p>
        </w:tc>
        <w:tc>
          <w:tcPr>
            <w:tcW w:w="450" w:type="dxa"/>
            <w:tcBorders>
              <w:bottom w:val="single" w:sz="4" w:space="0" w:color="auto"/>
            </w:tcBorders>
            <w:shd w:val="clear" w:color="auto" w:fill="FABF8F"/>
            <w:vAlign w:val="center"/>
          </w:tcPr>
          <w:p w:rsidR="009447FB" w:rsidRPr="003410C7" w:rsidRDefault="009447FB">
            <w:pPr>
              <w:pStyle w:val="TableText"/>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rsidR="009447FB" w:rsidRPr="003410C7" w:rsidRDefault="009447FB">
            <w:pPr>
              <w:pStyle w:val="TableText"/>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9447FB" w:rsidRPr="003410C7" w:rsidRDefault="005B48E5">
            <w:pPr>
              <w:pStyle w:val="TableText"/>
              <w:rPr>
                <w:rFonts w:ascii="Tahoma" w:hAnsi="Tahoma" w:cs="Tahoma"/>
                <w:sz w:val="13"/>
              </w:rPr>
            </w:pPr>
            <w:r w:rsidRPr="003410C7">
              <w:rPr>
                <w:rFonts w:ascii="Tahoma" w:hAnsi="Tahoma" w:cs="Tahoma"/>
                <w:sz w:val="13"/>
              </w:rPr>
              <w:t>2</w:t>
            </w:r>
          </w:p>
        </w:tc>
        <w:tc>
          <w:tcPr>
            <w:tcW w:w="450" w:type="dxa"/>
            <w:tcBorders>
              <w:bottom w:val="single" w:sz="4" w:space="0" w:color="auto"/>
            </w:tcBorders>
            <w:shd w:val="clear" w:color="auto" w:fill="FABF8F"/>
            <w:vAlign w:val="center"/>
          </w:tcPr>
          <w:p w:rsidR="009447FB" w:rsidRPr="003410C7" w:rsidRDefault="009447FB">
            <w:pPr>
              <w:pStyle w:val="TableText"/>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9447FB" w:rsidRPr="003410C7" w:rsidRDefault="009447FB">
            <w:pPr>
              <w:pStyle w:val="TableText"/>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9447FB" w:rsidRPr="003410C7" w:rsidRDefault="009447FB">
            <w:pPr>
              <w:pStyle w:val="TableText"/>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9447FB" w:rsidRPr="003410C7" w:rsidRDefault="009447FB">
            <w:pPr>
              <w:pStyle w:val="TableText"/>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rsidR="009447FB" w:rsidRPr="003410C7" w:rsidRDefault="009447FB">
            <w:pPr>
              <w:pStyle w:val="TableText"/>
              <w:rPr>
                <w:rFonts w:ascii="Tahoma" w:hAnsi="Tahoma" w:cs="Tahoma"/>
                <w:sz w:val="13"/>
              </w:rPr>
            </w:pPr>
          </w:p>
        </w:tc>
        <w:tc>
          <w:tcPr>
            <w:tcW w:w="450" w:type="dxa"/>
            <w:tcBorders>
              <w:bottom w:val="single" w:sz="4" w:space="0" w:color="auto"/>
            </w:tcBorders>
            <w:shd w:val="clear" w:color="auto" w:fill="FABF8F"/>
          </w:tcPr>
          <w:p w:rsidR="009447FB" w:rsidRPr="003410C7" w:rsidRDefault="009447FB" w:rsidP="00A0765A">
            <w:pPr>
              <w:pStyle w:val="TableText"/>
              <w:spacing w:before="120"/>
              <w:rPr>
                <w:rFonts w:ascii="Tahoma" w:hAnsi="Tahoma" w:cs="Tahoma"/>
                <w:sz w:val="13"/>
              </w:rPr>
            </w:pPr>
          </w:p>
        </w:tc>
        <w:tc>
          <w:tcPr>
            <w:tcW w:w="540" w:type="dxa"/>
            <w:tcBorders>
              <w:bottom w:val="single" w:sz="4" w:space="0" w:color="auto"/>
            </w:tcBorders>
            <w:shd w:val="clear" w:color="auto" w:fill="FABF8F"/>
            <w:vAlign w:val="center"/>
          </w:tcPr>
          <w:p w:rsidR="009447FB" w:rsidRPr="003410C7" w:rsidRDefault="00D15A8B">
            <w:pPr>
              <w:pStyle w:val="TableText"/>
              <w:rPr>
                <w:rFonts w:ascii="Tahoma" w:hAnsi="Tahoma" w:cs="Tahoma"/>
                <w:sz w:val="13"/>
              </w:rPr>
            </w:pPr>
            <w:r w:rsidRPr="003410C7">
              <w:rPr>
                <w:rFonts w:ascii="Tahoma" w:hAnsi="Tahoma" w:cs="Tahoma"/>
                <w:sz w:val="13"/>
              </w:rPr>
              <w:t>OL</w:t>
            </w:r>
          </w:p>
        </w:tc>
      </w:tr>
      <w:tr w:rsidR="00B50A5B" w:rsidRPr="003410C7" w:rsidTr="0070485B">
        <w:trPr>
          <w:trHeight w:val="145"/>
        </w:trPr>
        <w:tc>
          <w:tcPr>
            <w:tcW w:w="2610" w:type="dxa"/>
            <w:tcBorders>
              <w:bottom w:val="single" w:sz="4" w:space="0" w:color="auto"/>
            </w:tcBorders>
            <w:shd w:val="clear" w:color="auto" w:fill="auto"/>
            <w:vAlign w:val="center"/>
          </w:tcPr>
          <w:p w:rsidR="00B27742" w:rsidRPr="003410C7" w:rsidRDefault="00B27742" w:rsidP="0070485B">
            <w:pPr>
              <w:pStyle w:val="ProductNames"/>
              <w:rPr>
                <w:rFonts w:ascii="Tahoma" w:hAnsi="Tahoma" w:cs="Tahoma"/>
                <w:sz w:val="14"/>
              </w:rPr>
            </w:pPr>
            <w:bookmarkStart w:id="133" w:name="_Toc336337903"/>
            <w:bookmarkStart w:id="134" w:name="_Toc352234508"/>
            <w:r w:rsidRPr="003410C7">
              <w:rPr>
                <w:rFonts w:ascii="Tahoma" w:hAnsi="Tahoma" w:cs="Tahoma"/>
                <w:sz w:val="14"/>
              </w:rPr>
              <w:t>Windows</w:t>
            </w:r>
            <w:r w:rsidR="003410C7" w:rsidRPr="003410C7">
              <w:rPr>
                <w:rFonts w:ascii="Tahoma" w:hAnsi="Tahoma" w:cs="Tahoma"/>
                <w:sz w:val="14"/>
                <w:vertAlign w:val="superscript"/>
              </w:rPr>
              <w:t>®</w:t>
            </w:r>
            <w:r w:rsidRPr="003410C7">
              <w:rPr>
                <w:rFonts w:ascii="Tahoma" w:hAnsi="Tahoma" w:cs="Tahoma"/>
                <w:sz w:val="14"/>
              </w:rPr>
              <w:t xml:space="preserve"> 7 Partners in Learning</w:t>
            </w:r>
            <w:bookmarkEnd w:id="133"/>
            <w:bookmarkEnd w:id="134"/>
          </w:p>
        </w:tc>
        <w:tc>
          <w:tcPr>
            <w:tcW w:w="360" w:type="dxa"/>
            <w:tcBorders>
              <w:bottom w:val="single" w:sz="4" w:space="0" w:color="auto"/>
            </w:tcBorders>
            <w:shd w:val="clear" w:color="auto" w:fill="auto"/>
            <w:vAlign w:val="center"/>
          </w:tcPr>
          <w:p w:rsidR="00B27742" w:rsidRPr="009F17FF" w:rsidRDefault="00FC1A4D" w:rsidP="0018541C">
            <w:pPr>
              <w:pStyle w:val="TableText"/>
              <w:widowControl w:val="0"/>
              <w:rPr>
                <w:b/>
                <w:sz w:val="13"/>
                <w:szCs w:val="13"/>
                <w:u w:val="single"/>
              </w:rPr>
            </w:pPr>
            <w:hyperlink w:anchor="Sys_25WindowsPartnersLearning" w:history="1">
              <w:r w:rsidR="000D77F6" w:rsidRPr="009F17FF">
                <w:rPr>
                  <w:rStyle w:val="Hyperlink"/>
                  <w:b/>
                  <w:sz w:val="13"/>
                  <w:szCs w:val="13"/>
                </w:rPr>
                <w:t>27</w:t>
              </w:r>
            </w:hyperlink>
          </w:p>
        </w:tc>
        <w:tc>
          <w:tcPr>
            <w:tcW w:w="450" w:type="dxa"/>
            <w:tcBorders>
              <w:bottom w:val="single" w:sz="4" w:space="0" w:color="auto"/>
            </w:tcBorders>
            <w:shd w:val="clear" w:color="auto" w:fill="auto"/>
          </w:tcPr>
          <w:p w:rsidR="00B27742" w:rsidRPr="003410C7" w:rsidRDefault="00B27742" w:rsidP="009124DC">
            <w:pPr>
              <w:pStyle w:val="TableText"/>
              <w:spacing w:before="120"/>
              <w:rPr>
                <w:rFonts w:ascii="Tahoma" w:hAnsi="Tahoma" w:cs="Tahoma"/>
                <w:sz w:val="13"/>
              </w:rPr>
            </w:pPr>
            <w:r w:rsidRPr="003410C7">
              <w:rPr>
                <w:rFonts w:ascii="Tahoma" w:hAnsi="Tahoma" w:cs="Tahoma"/>
                <w:sz w:val="13"/>
              </w:rPr>
              <w:t>11/09</w:t>
            </w:r>
          </w:p>
        </w:tc>
        <w:tc>
          <w:tcPr>
            <w:tcW w:w="360" w:type="dxa"/>
            <w:tcBorders>
              <w:bottom w:val="single" w:sz="4" w:space="0" w:color="auto"/>
              <w:right w:val="single" w:sz="18" w:space="0" w:color="auto"/>
            </w:tcBorders>
            <w:shd w:val="clear" w:color="auto" w:fill="auto"/>
            <w:vAlign w:val="center"/>
          </w:tcPr>
          <w:p w:rsidR="00B27742" w:rsidRPr="003410C7" w:rsidRDefault="00B27742">
            <w:pPr>
              <w:pStyle w:val="TableText"/>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B27742" w:rsidRPr="003410C7" w:rsidRDefault="00B27742">
            <w:pPr>
              <w:pStyle w:val="TableText"/>
              <w:rPr>
                <w:rFonts w:ascii="Tahoma" w:hAnsi="Tahoma" w:cs="Tahoma"/>
                <w:sz w:val="13"/>
              </w:rPr>
            </w:pPr>
          </w:p>
        </w:tc>
        <w:tc>
          <w:tcPr>
            <w:tcW w:w="450" w:type="dxa"/>
            <w:tcBorders>
              <w:bottom w:val="single" w:sz="4" w:space="0" w:color="auto"/>
            </w:tcBorders>
            <w:shd w:val="clear" w:color="auto" w:fill="auto"/>
            <w:vAlign w:val="center"/>
          </w:tcPr>
          <w:p w:rsidR="00B27742" w:rsidRPr="003410C7" w:rsidRDefault="00B27742">
            <w:pPr>
              <w:pStyle w:val="TableText"/>
              <w:rPr>
                <w:rFonts w:ascii="Tahoma" w:hAnsi="Tahoma" w:cs="Tahoma"/>
                <w:sz w:val="13"/>
              </w:rPr>
            </w:pPr>
          </w:p>
        </w:tc>
        <w:tc>
          <w:tcPr>
            <w:tcW w:w="450" w:type="dxa"/>
            <w:tcBorders>
              <w:bottom w:val="single" w:sz="4" w:space="0" w:color="auto"/>
            </w:tcBorders>
            <w:shd w:val="clear" w:color="auto" w:fill="auto"/>
            <w:vAlign w:val="center"/>
          </w:tcPr>
          <w:p w:rsidR="00B27742" w:rsidRPr="003410C7" w:rsidRDefault="00B27742">
            <w:pPr>
              <w:pStyle w:val="TableText"/>
              <w:rPr>
                <w:rFonts w:ascii="Tahoma" w:hAnsi="Tahoma" w:cs="Tahoma"/>
                <w:sz w:val="13"/>
              </w:rPr>
            </w:pPr>
          </w:p>
        </w:tc>
        <w:tc>
          <w:tcPr>
            <w:tcW w:w="450" w:type="dxa"/>
            <w:tcBorders>
              <w:bottom w:val="single" w:sz="4" w:space="0" w:color="auto"/>
            </w:tcBorders>
            <w:shd w:val="clear" w:color="auto" w:fill="auto"/>
            <w:vAlign w:val="center"/>
          </w:tcPr>
          <w:p w:rsidR="00B27742" w:rsidRPr="003410C7" w:rsidRDefault="00B27742">
            <w:pPr>
              <w:pStyle w:val="TableText"/>
              <w:rPr>
                <w:rFonts w:ascii="Tahoma" w:hAnsi="Tahoma" w:cs="Tahoma"/>
                <w:sz w:val="13"/>
              </w:rPr>
            </w:pPr>
          </w:p>
        </w:tc>
        <w:tc>
          <w:tcPr>
            <w:tcW w:w="450" w:type="dxa"/>
            <w:tcBorders>
              <w:bottom w:val="single" w:sz="4" w:space="0" w:color="auto"/>
            </w:tcBorders>
            <w:shd w:val="clear" w:color="auto" w:fill="auto"/>
            <w:vAlign w:val="center"/>
          </w:tcPr>
          <w:p w:rsidR="00B27742" w:rsidRPr="003410C7" w:rsidRDefault="00B27742">
            <w:pPr>
              <w:pStyle w:val="TableText"/>
              <w:rPr>
                <w:rFonts w:ascii="Tahoma" w:hAnsi="Tahoma" w:cs="Tahoma"/>
                <w:sz w:val="13"/>
              </w:rPr>
            </w:pPr>
          </w:p>
        </w:tc>
        <w:tc>
          <w:tcPr>
            <w:tcW w:w="450" w:type="dxa"/>
            <w:tcBorders>
              <w:bottom w:val="single" w:sz="4" w:space="0" w:color="auto"/>
            </w:tcBorders>
            <w:shd w:val="clear" w:color="auto" w:fill="auto"/>
            <w:vAlign w:val="center"/>
          </w:tcPr>
          <w:p w:rsidR="00B27742" w:rsidRPr="003410C7" w:rsidRDefault="00B27742">
            <w:pPr>
              <w:pStyle w:val="TableText"/>
              <w:rPr>
                <w:rFonts w:ascii="Tahoma" w:hAnsi="Tahoma" w:cs="Tahoma"/>
                <w:sz w:val="13"/>
              </w:rPr>
            </w:pPr>
          </w:p>
        </w:tc>
        <w:tc>
          <w:tcPr>
            <w:tcW w:w="360" w:type="dxa"/>
            <w:tcBorders>
              <w:bottom w:val="single" w:sz="4" w:space="0" w:color="auto"/>
              <w:right w:val="single" w:sz="18" w:space="0" w:color="auto"/>
            </w:tcBorders>
            <w:shd w:val="clear" w:color="auto" w:fill="auto"/>
            <w:vAlign w:val="center"/>
          </w:tcPr>
          <w:p w:rsidR="00B27742" w:rsidRPr="003410C7" w:rsidRDefault="00B27742">
            <w:pPr>
              <w:pStyle w:val="TableText"/>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B27742" w:rsidRPr="003410C7" w:rsidRDefault="00B27742">
            <w:pPr>
              <w:pStyle w:val="TableText"/>
              <w:rPr>
                <w:rFonts w:ascii="Tahoma" w:hAnsi="Tahoma" w:cs="Tahoma"/>
                <w:sz w:val="13"/>
              </w:rPr>
            </w:pPr>
          </w:p>
        </w:tc>
        <w:tc>
          <w:tcPr>
            <w:tcW w:w="450" w:type="dxa"/>
            <w:tcBorders>
              <w:bottom w:val="single" w:sz="4" w:space="0" w:color="auto"/>
            </w:tcBorders>
            <w:shd w:val="clear" w:color="auto" w:fill="auto"/>
            <w:vAlign w:val="center"/>
          </w:tcPr>
          <w:p w:rsidR="00B27742" w:rsidRPr="003410C7" w:rsidRDefault="00B27742">
            <w:pPr>
              <w:pStyle w:val="TableText"/>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B27742" w:rsidRPr="003410C7" w:rsidRDefault="00B27742">
            <w:pPr>
              <w:pStyle w:val="TableText"/>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B27742" w:rsidRPr="003410C7" w:rsidRDefault="00B27742">
            <w:pPr>
              <w:pStyle w:val="TableText"/>
              <w:rPr>
                <w:rFonts w:ascii="Tahoma" w:hAnsi="Tahoma" w:cs="Tahoma"/>
                <w:sz w:val="13"/>
              </w:rPr>
            </w:pPr>
            <w:r w:rsidRPr="003410C7">
              <w:rPr>
                <w:rFonts w:ascii="Tahoma" w:hAnsi="Tahoma" w:cs="Tahoma"/>
                <w:sz w:val="13"/>
              </w:rPr>
              <w:t xml:space="preserve">2 </w:t>
            </w:r>
            <w:r w:rsidRPr="003410C7">
              <w:rPr>
                <w:rFonts w:ascii="Tahoma" w:hAnsi="Tahoma" w:cs="Tahoma"/>
                <w:sz w:val="10"/>
                <w:szCs w:val="12"/>
              </w:rPr>
              <w:t>(solo School)</w:t>
            </w:r>
          </w:p>
        </w:tc>
        <w:tc>
          <w:tcPr>
            <w:tcW w:w="450" w:type="dxa"/>
            <w:tcBorders>
              <w:bottom w:val="single" w:sz="4" w:space="0" w:color="auto"/>
              <w:right w:val="single" w:sz="18" w:space="0" w:color="auto"/>
            </w:tcBorders>
            <w:shd w:val="clear" w:color="auto" w:fill="auto"/>
            <w:vAlign w:val="center"/>
          </w:tcPr>
          <w:p w:rsidR="00B27742" w:rsidRPr="003410C7" w:rsidRDefault="00B27742">
            <w:pPr>
              <w:pStyle w:val="TableText"/>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rsidR="00B27742" w:rsidRPr="003410C7" w:rsidRDefault="00B27742">
            <w:pPr>
              <w:pStyle w:val="TableText"/>
              <w:rPr>
                <w:rFonts w:ascii="Tahoma" w:hAnsi="Tahoma" w:cs="Tahoma"/>
                <w:sz w:val="13"/>
              </w:rPr>
            </w:pPr>
          </w:p>
        </w:tc>
        <w:tc>
          <w:tcPr>
            <w:tcW w:w="450" w:type="dxa"/>
            <w:tcBorders>
              <w:bottom w:val="single" w:sz="4" w:space="0" w:color="auto"/>
            </w:tcBorders>
            <w:shd w:val="clear" w:color="auto" w:fill="auto"/>
          </w:tcPr>
          <w:p w:rsidR="00B27742" w:rsidRPr="003410C7" w:rsidRDefault="00B27742" w:rsidP="00A0765A">
            <w:pPr>
              <w:pStyle w:val="TableText"/>
              <w:spacing w:before="120"/>
              <w:rPr>
                <w:rFonts w:ascii="Tahoma" w:hAnsi="Tahoma" w:cs="Tahoma"/>
                <w:sz w:val="13"/>
              </w:rPr>
            </w:pPr>
          </w:p>
        </w:tc>
        <w:tc>
          <w:tcPr>
            <w:tcW w:w="540" w:type="dxa"/>
            <w:tcBorders>
              <w:bottom w:val="single" w:sz="4" w:space="0" w:color="auto"/>
            </w:tcBorders>
            <w:shd w:val="clear" w:color="auto" w:fill="auto"/>
            <w:vAlign w:val="center"/>
          </w:tcPr>
          <w:p w:rsidR="00B27742" w:rsidRPr="003410C7" w:rsidRDefault="00B27742">
            <w:pPr>
              <w:pStyle w:val="TableText"/>
              <w:rPr>
                <w:rFonts w:ascii="Tahoma" w:hAnsi="Tahoma" w:cs="Tahoma"/>
                <w:sz w:val="13"/>
              </w:rPr>
            </w:pPr>
          </w:p>
        </w:tc>
      </w:tr>
      <w:tr w:rsidR="00B50A5B" w:rsidRPr="003410C7" w:rsidTr="004000C7">
        <w:trPr>
          <w:trHeight w:val="145"/>
        </w:trPr>
        <w:tc>
          <w:tcPr>
            <w:tcW w:w="2610" w:type="dxa"/>
            <w:tcBorders>
              <w:bottom w:val="single" w:sz="4" w:space="0" w:color="auto"/>
            </w:tcBorders>
            <w:shd w:val="clear" w:color="auto" w:fill="FABF8F"/>
          </w:tcPr>
          <w:p w:rsidR="00B27742" w:rsidRPr="003410C7" w:rsidRDefault="00B27742" w:rsidP="00F70479">
            <w:pPr>
              <w:pStyle w:val="ProductNames"/>
              <w:rPr>
                <w:rFonts w:ascii="Tahoma" w:hAnsi="Tahoma" w:cs="Tahoma"/>
                <w:sz w:val="14"/>
              </w:rPr>
            </w:pPr>
            <w:bookmarkStart w:id="135" w:name="_Toc336337904"/>
            <w:bookmarkStart w:id="136" w:name="_Toc352234509"/>
            <w:r w:rsidRPr="003410C7">
              <w:rPr>
                <w:rFonts w:ascii="Tahoma" w:hAnsi="Tahoma" w:cs="Tahoma"/>
                <w:sz w:val="14"/>
              </w:rPr>
              <w:t>Windows</w:t>
            </w:r>
            <w:r w:rsidR="003410C7" w:rsidRPr="003410C7">
              <w:rPr>
                <w:rFonts w:ascii="Tahoma" w:hAnsi="Tahoma" w:cs="Tahoma"/>
                <w:sz w:val="14"/>
                <w:vertAlign w:val="superscript"/>
              </w:rPr>
              <w:t>®</w:t>
            </w:r>
            <w:r w:rsidRPr="003410C7">
              <w:rPr>
                <w:rFonts w:ascii="Tahoma" w:hAnsi="Tahoma" w:cs="Tahoma"/>
                <w:sz w:val="14"/>
              </w:rPr>
              <w:t xml:space="preserve"> 8 Pro</w:t>
            </w:r>
            <w:bookmarkEnd w:id="135"/>
            <w:bookmarkEnd w:id="136"/>
            <w:r w:rsidRPr="003410C7">
              <w:rPr>
                <w:rFonts w:ascii="Tahoma" w:hAnsi="Tahoma" w:cs="Tahoma"/>
                <w:sz w:val="14"/>
              </w:rPr>
              <w:t xml:space="preserve"> </w:t>
            </w:r>
          </w:p>
        </w:tc>
        <w:tc>
          <w:tcPr>
            <w:tcW w:w="360" w:type="dxa"/>
            <w:tcBorders>
              <w:bottom w:val="single" w:sz="4" w:space="0" w:color="auto"/>
            </w:tcBorders>
            <w:shd w:val="clear" w:color="auto" w:fill="FABF8F"/>
            <w:vAlign w:val="center"/>
          </w:tcPr>
          <w:p w:rsidR="00B27742" w:rsidRPr="009F17FF" w:rsidRDefault="00FC1A4D" w:rsidP="0018541C">
            <w:pPr>
              <w:pStyle w:val="TableText"/>
              <w:widowControl w:val="0"/>
              <w:rPr>
                <w:rStyle w:val="EndnoteReference"/>
                <w:b w:val="0"/>
                <w:color w:val="0000FF"/>
                <w:sz w:val="13"/>
                <w:szCs w:val="13"/>
                <w:u w:val="single"/>
              </w:rPr>
            </w:pPr>
            <w:hyperlink w:anchor="_28_Aggiornamento_per" w:history="1">
              <w:r w:rsidR="000D77F6" w:rsidRPr="009F17FF">
                <w:rPr>
                  <w:rStyle w:val="Hyperlink"/>
                  <w:b/>
                  <w:sz w:val="13"/>
                  <w:szCs w:val="13"/>
                </w:rPr>
                <w:t>28</w:t>
              </w:r>
            </w:hyperlink>
          </w:p>
        </w:tc>
        <w:tc>
          <w:tcPr>
            <w:tcW w:w="450" w:type="dxa"/>
            <w:tcBorders>
              <w:bottom w:val="single" w:sz="4" w:space="0" w:color="auto"/>
            </w:tcBorders>
            <w:shd w:val="clear" w:color="auto" w:fill="FABF8F"/>
          </w:tcPr>
          <w:p w:rsidR="00B27742" w:rsidRPr="003410C7" w:rsidRDefault="00B27742" w:rsidP="009124DC">
            <w:pPr>
              <w:pStyle w:val="TableText"/>
              <w:spacing w:before="120"/>
              <w:rPr>
                <w:rFonts w:ascii="Tahoma" w:hAnsi="Tahoma" w:cs="Tahoma"/>
                <w:sz w:val="13"/>
              </w:rPr>
            </w:pPr>
            <w:r w:rsidRPr="003410C7">
              <w:rPr>
                <w:rFonts w:ascii="Tahoma" w:hAnsi="Tahoma" w:cs="Tahoma"/>
                <w:sz w:val="13"/>
              </w:rPr>
              <w:t>08/12</w:t>
            </w:r>
          </w:p>
        </w:tc>
        <w:tc>
          <w:tcPr>
            <w:tcW w:w="360" w:type="dxa"/>
            <w:tcBorders>
              <w:bottom w:val="single" w:sz="4" w:space="0" w:color="auto"/>
              <w:right w:val="single" w:sz="18" w:space="0" w:color="auto"/>
            </w:tcBorders>
            <w:shd w:val="clear" w:color="auto" w:fill="FABF8F"/>
            <w:vAlign w:val="center"/>
          </w:tcPr>
          <w:p w:rsidR="00B27742" w:rsidRPr="003410C7" w:rsidRDefault="00B27742">
            <w:pPr>
              <w:pStyle w:val="TableText"/>
              <w:rPr>
                <w:rFonts w:ascii="Tahoma" w:hAnsi="Tahoma" w:cs="Tahoma"/>
                <w:sz w:val="13"/>
              </w:rPr>
            </w:pPr>
            <w:r w:rsidRPr="003410C7">
              <w:rPr>
                <w:rFonts w:ascii="Tahoma" w:hAnsi="Tahoma" w:cs="Tahoma"/>
                <w:sz w:val="13"/>
              </w:rPr>
              <w:t>DT</w:t>
            </w:r>
          </w:p>
        </w:tc>
        <w:tc>
          <w:tcPr>
            <w:tcW w:w="450" w:type="dxa"/>
            <w:tcBorders>
              <w:left w:val="single" w:sz="18" w:space="0" w:color="auto"/>
              <w:bottom w:val="single" w:sz="4" w:space="0" w:color="auto"/>
            </w:tcBorders>
            <w:shd w:val="clear" w:color="auto" w:fill="FABF8F"/>
            <w:vAlign w:val="center"/>
          </w:tcPr>
          <w:p w:rsidR="00B27742" w:rsidRPr="003410C7" w:rsidRDefault="00B27742">
            <w:pPr>
              <w:pStyle w:val="TableText"/>
              <w:rPr>
                <w:rFonts w:ascii="Tahoma" w:hAnsi="Tahoma" w:cs="Tahoma"/>
                <w:sz w:val="13"/>
              </w:rPr>
            </w:pPr>
            <w:r w:rsidRPr="003410C7">
              <w:rPr>
                <w:rFonts w:ascii="Tahoma" w:hAnsi="Tahoma" w:cs="Tahoma"/>
                <w:sz w:val="13"/>
              </w:rPr>
              <w:t>2</w:t>
            </w:r>
          </w:p>
        </w:tc>
        <w:tc>
          <w:tcPr>
            <w:tcW w:w="450" w:type="dxa"/>
            <w:tcBorders>
              <w:bottom w:val="single" w:sz="4" w:space="0" w:color="auto"/>
            </w:tcBorders>
            <w:shd w:val="clear" w:color="auto" w:fill="FABF8F"/>
            <w:vAlign w:val="center"/>
          </w:tcPr>
          <w:p w:rsidR="00B27742" w:rsidRPr="003410C7" w:rsidRDefault="00B27742">
            <w:pPr>
              <w:pStyle w:val="TableText"/>
              <w:rPr>
                <w:rFonts w:ascii="Tahoma" w:hAnsi="Tahoma" w:cs="Tahoma"/>
                <w:sz w:val="13"/>
              </w:rPr>
            </w:pPr>
            <w:r w:rsidRPr="003410C7">
              <w:rPr>
                <w:rFonts w:ascii="Tahoma" w:hAnsi="Tahoma" w:cs="Tahoma"/>
                <w:sz w:val="13"/>
              </w:rPr>
              <w:t>5</w:t>
            </w:r>
          </w:p>
        </w:tc>
        <w:tc>
          <w:tcPr>
            <w:tcW w:w="450" w:type="dxa"/>
            <w:tcBorders>
              <w:bottom w:val="single" w:sz="4" w:space="0" w:color="auto"/>
            </w:tcBorders>
            <w:shd w:val="clear" w:color="auto" w:fill="FABF8F"/>
            <w:vAlign w:val="center"/>
          </w:tcPr>
          <w:p w:rsidR="00B27742" w:rsidRPr="003410C7" w:rsidRDefault="00B27742">
            <w:pPr>
              <w:pStyle w:val="TableText"/>
              <w:rPr>
                <w:rFonts w:ascii="Tahoma" w:hAnsi="Tahoma" w:cs="Tahoma"/>
                <w:sz w:val="13"/>
              </w:rPr>
            </w:pPr>
            <w:r w:rsidRPr="003410C7">
              <w:rPr>
                <w:rFonts w:ascii="Tahoma" w:hAnsi="Tahoma" w:cs="Tahoma"/>
                <w:sz w:val="13"/>
              </w:rPr>
              <w:t>4</w:t>
            </w:r>
          </w:p>
        </w:tc>
        <w:tc>
          <w:tcPr>
            <w:tcW w:w="450" w:type="dxa"/>
            <w:tcBorders>
              <w:bottom w:val="single" w:sz="4" w:space="0" w:color="auto"/>
            </w:tcBorders>
            <w:shd w:val="clear" w:color="auto" w:fill="FABF8F"/>
            <w:vAlign w:val="center"/>
          </w:tcPr>
          <w:p w:rsidR="00B27742" w:rsidRPr="003410C7" w:rsidRDefault="00B27742">
            <w:pPr>
              <w:pStyle w:val="TableText"/>
              <w:rPr>
                <w:rFonts w:ascii="Tahoma" w:hAnsi="Tahoma" w:cs="Tahoma"/>
                <w:sz w:val="13"/>
              </w:rPr>
            </w:pPr>
            <w:r w:rsidRPr="003410C7">
              <w:rPr>
                <w:rFonts w:ascii="Tahoma" w:hAnsi="Tahoma" w:cs="Tahoma"/>
                <w:sz w:val="13"/>
              </w:rPr>
              <w:t>3</w:t>
            </w:r>
          </w:p>
        </w:tc>
        <w:tc>
          <w:tcPr>
            <w:tcW w:w="450" w:type="dxa"/>
            <w:tcBorders>
              <w:bottom w:val="single" w:sz="4" w:space="0" w:color="auto"/>
            </w:tcBorders>
            <w:shd w:val="clear" w:color="auto" w:fill="FABF8F"/>
            <w:vAlign w:val="center"/>
          </w:tcPr>
          <w:p w:rsidR="00B27742" w:rsidRPr="003410C7" w:rsidRDefault="00B27742">
            <w:pPr>
              <w:pStyle w:val="TableText"/>
              <w:rPr>
                <w:rFonts w:ascii="Tahoma" w:hAnsi="Tahoma" w:cs="Tahoma"/>
                <w:sz w:val="13"/>
              </w:rPr>
            </w:pPr>
            <w:r w:rsidRPr="003410C7">
              <w:rPr>
                <w:rFonts w:ascii="Tahoma" w:hAnsi="Tahoma" w:cs="Tahoma"/>
                <w:sz w:val="13"/>
              </w:rPr>
              <w:t>3</w:t>
            </w:r>
          </w:p>
        </w:tc>
        <w:tc>
          <w:tcPr>
            <w:tcW w:w="450" w:type="dxa"/>
            <w:tcBorders>
              <w:bottom w:val="single" w:sz="4" w:space="0" w:color="auto"/>
            </w:tcBorders>
            <w:shd w:val="clear" w:color="auto" w:fill="FABF8F"/>
            <w:vAlign w:val="center"/>
          </w:tcPr>
          <w:p w:rsidR="00B27742" w:rsidRPr="003410C7" w:rsidRDefault="00B27742">
            <w:pPr>
              <w:pStyle w:val="TableText"/>
              <w:rPr>
                <w:rFonts w:ascii="Tahoma" w:hAnsi="Tahoma" w:cs="Tahoma"/>
                <w:sz w:val="13"/>
              </w:rPr>
            </w:pPr>
            <w:r w:rsidRPr="003410C7">
              <w:rPr>
                <w:rFonts w:ascii="Tahoma" w:hAnsi="Tahoma" w:cs="Tahoma"/>
                <w:sz w:val="13"/>
              </w:rPr>
              <w:t>2</w:t>
            </w:r>
          </w:p>
        </w:tc>
        <w:tc>
          <w:tcPr>
            <w:tcW w:w="360" w:type="dxa"/>
            <w:tcBorders>
              <w:bottom w:val="single" w:sz="4" w:space="0" w:color="auto"/>
              <w:right w:val="single" w:sz="18" w:space="0" w:color="auto"/>
            </w:tcBorders>
            <w:shd w:val="clear" w:color="auto" w:fill="FABF8F"/>
            <w:vAlign w:val="center"/>
          </w:tcPr>
          <w:p w:rsidR="00B27742" w:rsidRPr="003410C7" w:rsidRDefault="00B27742">
            <w:pPr>
              <w:pStyle w:val="TableText"/>
              <w:rPr>
                <w:rFonts w:ascii="Tahoma" w:hAnsi="Tahoma" w:cs="Tahoma"/>
                <w:sz w:val="13"/>
              </w:rPr>
            </w:pPr>
            <w:r w:rsidRPr="003410C7">
              <w:rPr>
                <w:rFonts w:ascii="Tahoma" w:hAnsi="Tahoma" w:cs="Tahoma"/>
                <w:sz w:val="13"/>
              </w:rPr>
              <w:t>1</w:t>
            </w:r>
          </w:p>
        </w:tc>
        <w:tc>
          <w:tcPr>
            <w:tcW w:w="450" w:type="dxa"/>
            <w:tcBorders>
              <w:left w:val="single" w:sz="18" w:space="0" w:color="auto"/>
              <w:bottom w:val="single" w:sz="4" w:space="0" w:color="auto"/>
            </w:tcBorders>
            <w:shd w:val="clear" w:color="auto" w:fill="FABF8F"/>
            <w:vAlign w:val="center"/>
          </w:tcPr>
          <w:p w:rsidR="00B27742" w:rsidRPr="003410C7" w:rsidRDefault="00B27742">
            <w:pPr>
              <w:pStyle w:val="TableText"/>
              <w:rPr>
                <w:rFonts w:ascii="Tahoma" w:hAnsi="Tahoma" w:cs="Tahoma"/>
                <w:sz w:val="13"/>
              </w:rPr>
            </w:pPr>
            <w:r w:rsidRPr="003410C7">
              <w:rPr>
                <w:rFonts w:ascii="Tahoma" w:hAnsi="Tahoma" w:cs="Tahoma"/>
                <w:sz w:val="13"/>
              </w:rPr>
              <w:t>2</w:t>
            </w:r>
          </w:p>
        </w:tc>
        <w:tc>
          <w:tcPr>
            <w:tcW w:w="450" w:type="dxa"/>
            <w:tcBorders>
              <w:bottom w:val="single" w:sz="4" w:space="0" w:color="auto"/>
            </w:tcBorders>
            <w:shd w:val="clear" w:color="auto" w:fill="FABF8F"/>
            <w:vAlign w:val="center"/>
          </w:tcPr>
          <w:p w:rsidR="00B27742" w:rsidRPr="003410C7" w:rsidRDefault="00B27742">
            <w:pPr>
              <w:pStyle w:val="TableText"/>
              <w:rPr>
                <w:rFonts w:ascii="Tahoma" w:hAnsi="Tahoma" w:cs="Tahoma"/>
                <w:sz w:val="13"/>
              </w:rPr>
            </w:pPr>
            <w:r w:rsidRPr="003410C7">
              <w:rPr>
                <w:rFonts w:ascii="Tahoma" w:hAnsi="Tahoma" w:cs="Tahoma"/>
                <w:sz w:val="13"/>
              </w:rPr>
              <w:t>4</w:t>
            </w:r>
          </w:p>
        </w:tc>
        <w:tc>
          <w:tcPr>
            <w:tcW w:w="450" w:type="dxa"/>
            <w:tcBorders>
              <w:bottom w:val="single" w:sz="4" w:space="0" w:color="auto"/>
              <w:right w:val="single" w:sz="18" w:space="0" w:color="auto"/>
            </w:tcBorders>
            <w:shd w:val="clear" w:color="auto" w:fill="FABF8F"/>
            <w:vAlign w:val="center"/>
          </w:tcPr>
          <w:p w:rsidR="00B27742" w:rsidRPr="003410C7" w:rsidRDefault="00B27742">
            <w:pPr>
              <w:pStyle w:val="TableText"/>
              <w:rPr>
                <w:rFonts w:ascii="Tahoma" w:hAnsi="Tahoma" w:cs="Tahoma"/>
                <w:sz w:val="13"/>
              </w:rPr>
            </w:pPr>
            <w:r w:rsidRPr="003410C7">
              <w:rPr>
                <w:rFonts w:ascii="Tahoma" w:hAnsi="Tahoma" w:cs="Tahoma"/>
                <w:sz w:val="13"/>
              </w:rPr>
              <w:t>2</w:t>
            </w:r>
          </w:p>
        </w:tc>
        <w:tc>
          <w:tcPr>
            <w:tcW w:w="450" w:type="dxa"/>
            <w:tcBorders>
              <w:left w:val="single" w:sz="18" w:space="0" w:color="auto"/>
              <w:bottom w:val="single" w:sz="4" w:space="0" w:color="auto"/>
            </w:tcBorders>
            <w:shd w:val="clear" w:color="auto" w:fill="FABF8F"/>
            <w:vAlign w:val="center"/>
          </w:tcPr>
          <w:p w:rsidR="00B27742" w:rsidRPr="003410C7" w:rsidRDefault="00664EE9">
            <w:pPr>
              <w:pStyle w:val="TableText"/>
              <w:rPr>
                <w:rFonts w:ascii="Tahoma" w:hAnsi="Tahoma" w:cs="Tahoma"/>
                <w:sz w:val="13"/>
              </w:rPr>
            </w:pPr>
            <w:r w:rsidRPr="003410C7">
              <w:rPr>
                <w:rFonts w:ascii="Tahoma" w:hAnsi="Tahoma" w:cs="Tahoma"/>
                <w:sz w:val="13"/>
              </w:rPr>
              <w:t>1</w:t>
            </w:r>
          </w:p>
        </w:tc>
        <w:tc>
          <w:tcPr>
            <w:tcW w:w="450" w:type="dxa"/>
            <w:tcBorders>
              <w:bottom w:val="single" w:sz="4" w:space="0" w:color="auto"/>
              <w:right w:val="single" w:sz="18" w:space="0" w:color="auto"/>
            </w:tcBorders>
            <w:shd w:val="clear" w:color="auto" w:fill="FABF8F"/>
            <w:vAlign w:val="center"/>
          </w:tcPr>
          <w:p w:rsidR="00B27742" w:rsidRPr="003410C7" w:rsidRDefault="00B27742">
            <w:pPr>
              <w:pStyle w:val="TableText"/>
              <w:rPr>
                <w:rFonts w:ascii="Tahoma" w:hAnsi="Tahoma" w:cs="Tahoma"/>
                <w:sz w:val="13"/>
              </w:rPr>
            </w:pPr>
            <w:r w:rsidRPr="003410C7">
              <w:rPr>
                <w:rFonts w:ascii="Tahoma" w:hAnsi="Tahoma" w:cs="Tahoma"/>
                <w:sz w:val="13"/>
              </w:rPr>
              <w:t>E</w:t>
            </w:r>
          </w:p>
        </w:tc>
        <w:tc>
          <w:tcPr>
            <w:tcW w:w="450" w:type="dxa"/>
            <w:tcBorders>
              <w:left w:val="single" w:sz="18" w:space="0" w:color="auto"/>
              <w:bottom w:val="single" w:sz="4" w:space="0" w:color="auto"/>
              <w:right w:val="single" w:sz="18" w:space="0" w:color="auto"/>
            </w:tcBorders>
            <w:shd w:val="clear" w:color="auto" w:fill="FABF8F"/>
            <w:vAlign w:val="center"/>
          </w:tcPr>
          <w:p w:rsidR="00B27742" w:rsidRPr="003410C7" w:rsidRDefault="00B27742">
            <w:pPr>
              <w:pStyle w:val="TableText"/>
              <w:rPr>
                <w:rFonts w:ascii="Tahoma" w:hAnsi="Tahoma" w:cs="Tahoma"/>
                <w:sz w:val="13"/>
              </w:rPr>
            </w:pPr>
            <w:r w:rsidRPr="003410C7">
              <w:rPr>
                <w:rFonts w:ascii="Tahoma" w:hAnsi="Tahoma" w:cs="Tahoma"/>
                <w:sz w:val="13"/>
              </w:rPr>
              <w:t>E, P</w:t>
            </w:r>
          </w:p>
        </w:tc>
        <w:tc>
          <w:tcPr>
            <w:tcW w:w="450" w:type="dxa"/>
            <w:tcBorders>
              <w:bottom w:val="single" w:sz="4" w:space="0" w:color="auto"/>
            </w:tcBorders>
            <w:shd w:val="clear" w:color="auto" w:fill="FABF8F"/>
            <w:vAlign w:val="center"/>
          </w:tcPr>
          <w:p w:rsidR="00B27742" w:rsidRPr="003410C7" w:rsidRDefault="00B27742" w:rsidP="004000C7">
            <w:pPr>
              <w:pStyle w:val="TableText"/>
              <w:rPr>
                <w:rFonts w:ascii="Tahoma" w:hAnsi="Tahoma" w:cs="Tahoma"/>
                <w:sz w:val="13"/>
              </w:rPr>
            </w:pPr>
            <w:r w:rsidRPr="003410C7">
              <w:rPr>
                <w:rFonts w:ascii="Tahoma" w:hAnsi="Tahoma" w:cs="Tahoma"/>
                <w:sz w:val="13"/>
              </w:rPr>
              <w:t>E, ST</w:t>
            </w:r>
          </w:p>
        </w:tc>
        <w:tc>
          <w:tcPr>
            <w:tcW w:w="540" w:type="dxa"/>
            <w:tcBorders>
              <w:bottom w:val="single" w:sz="4" w:space="0" w:color="auto"/>
            </w:tcBorders>
            <w:shd w:val="clear" w:color="auto" w:fill="FABF8F"/>
            <w:vAlign w:val="center"/>
          </w:tcPr>
          <w:p w:rsidR="00B27742" w:rsidRPr="003410C7" w:rsidRDefault="00B27742">
            <w:pPr>
              <w:pStyle w:val="TableText"/>
              <w:rPr>
                <w:rFonts w:ascii="Tahoma" w:hAnsi="Tahoma" w:cs="Tahoma"/>
                <w:sz w:val="13"/>
              </w:rPr>
            </w:pPr>
          </w:p>
        </w:tc>
      </w:tr>
      <w:tr w:rsidR="00B50A5B" w:rsidRPr="003410C7" w:rsidTr="004000C7">
        <w:trPr>
          <w:trHeight w:val="145"/>
        </w:trPr>
        <w:tc>
          <w:tcPr>
            <w:tcW w:w="2610" w:type="dxa"/>
            <w:tcBorders>
              <w:bottom w:val="single" w:sz="4" w:space="0" w:color="auto"/>
            </w:tcBorders>
            <w:shd w:val="clear" w:color="auto" w:fill="auto"/>
          </w:tcPr>
          <w:p w:rsidR="00B27742" w:rsidRPr="003410C7" w:rsidRDefault="00B27742" w:rsidP="00F70479">
            <w:pPr>
              <w:pStyle w:val="ProductNames"/>
              <w:rPr>
                <w:rFonts w:ascii="Tahoma" w:hAnsi="Tahoma" w:cs="Tahoma"/>
                <w:sz w:val="14"/>
              </w:rPr>
            </w:pPr>
            <w:bookmarkStart w:id="137" w:name="_Toc336337905"/>
            <w:bookmarkStart w:id="138" w:name="_Toc352234510"/>
            <w:r w:rsidRPr="003410C7">
              <w:rPr>
                <w:rFonts w:ascii="Tahoma" w:hAnsi="Tahoma" w:cs="Tahoma"/>
                <w:sz w:val="14"/>
              </w:rPr>
              <w:t>Windows</w:t>
            </w:r>
            <w:r w:rsidR="003410C7" w:rsidRPr="003410C7">
              <w:rPr>
                <w:rFonts w:ascii="Tahoma" w:hAnsi="Tahoma" w:cs="Tahoma"/>
                <w:sz w:val="14"/>
                <w:vertAlign w:val="superscript"/>
              </w:rPr>
              <w:t>®</w:t>
            </w:r>
            <w:r w:rsidRPr="003410C7">
              <w:rPr>
                <w:rFonts w:ascii="Tahoma" w:hAnsi="Tahoma" w:cs="Tahoma"/>
                <w:sz w:val="14"/>
              </w:rPr>
              <w:t xml:space="preserve"> 8 Pro con MDOP</w:t>
            </w:r>
            <w:bookmarkEnd w:id="137"/>
            <w:bookmarkEnd w:id="138"/>
            <w:r w:rsidRPr="003410C7">
              <w:rPr>
                <w:rFonts w:ascii="Tahoma" w:hAnsi="Tahoma" w:cs="Tahoma"/>
                <w:sz w:val="14"/>
              </w:rPr>
              <w:t xml:space="preserve"> </w:t>
            </w:r>
          </w:p>
        </w:tc>
        <w:tc>
          <w:tcPr>
            <w:tcW w:w="360" w:type="dxa"/>
            <w:tcBorders>
              <w:bottom w:val="single" w:sz="4" w:space="0" w:color="auto"/>
            </w:tcBorders>
            <w:shd w:val="clear" w:color="auto" w:fill="auto"/>
            <w:vAlign w:val="center"/>
          </w:tcPr>
          <w:p w:rsidR="00B27742" w:rsidRPr="009F17FF" w:rsidRDefault="00B27742" w:rsidP="005D1AD1">
            <w:pPr>
              <w:pStyle w:val="TableText"/>
              <w:widowControl w:val="0"/>
              <w:rPr>
                <w:rStyle w:val="EndnoteReference"/>
                <w:color w:val="0000FF"/>
                <w:sz w:val="13"/>
                <w:szCs w:val="13"/>
                <w:u w:val="single"/>
              </w:rPr>
            </w:pPr>
          </w:p>
        </w:tc>
        <w:tc>
          <w:tcPr>
            <w:tcW w:w="450" w:type="dxa"/>
            <w:tcBorders>
              <w:bottom w:val="single" w:sz="4" w:space="0" w:color="auto"/>
            </w:tcBorders>
            <w:shd w:val="clear" w:color="auto" w:fill="auto"/>
          </w:tcPr>
          <w:p w:rsidR="00B27742" w:rsidRPr="003410C7" w:rsidRDefault="001327D3" w:rsidP="00690165">
            <w:pPr>
              <w:pStyle w:val="TableText"/>
              <w:spacing w:before="120"/>
              <w:rPr>
                <w:rFonts w:ascii="Tahoma" w:hAnsi="Tahoma" w:cs="Tahoma"/>
                <w:sz w:val="13"/>
              </w:rPr>
            </w:pPr>
            <w:r w:rsidRPr="003410C7">
              <w:rPr>
                <w:rFonts w:ascii="Tahoma" w:hAnsi="Tahoma" w:cs="Tahoma"/>
                <w:sz w:val="13"/>
              </w:rPr>
              <w:t>12/12</w:t>
            </w:r>
          </w:p>
        </w:tc>
        <w:tc>
          <w:tcPr>
            <w:tcW w:w="360" w:type="dxa"/>
            <w:tcBorders>
              <w:bottom w:val="single" w:sz="4" w:space="0" w:color="auto"/>
              <w:right w:val="single" w:sz="18" w:space="0" w:color="auto"/>
            </w:tcBorders>
            <w:shd w:val="clear" w:color="auto" w:fill="auto"/>
            <w:vAlign w:val="center"/>
          </w:tcPr>
          <w:p w:rsidR="00B27742" w:rsidRPr="003410C7" w:rsidRDefault="00B27742" w:rsidP="005D1AD1">
            <w:pPr>
              <w:pStyle w:val="TableText"/>
              <w:rPr>
                <w:rFonts w:ascii="Tahoma" w:hAnsi="Tahoma" w:cs="Tahoma"/>
                <w:sz w:val="13"/>
              </w:rPr>
            </w:pPr>
            <w:r w:rsidRPr="003410C7">
              <w:rPr>
                <w:rFonts w:ascii="Tahoma" w:hAnsi="Tahoma" w:cs="Tahoma"/>
                <w:sz w:val="13"/>
              </w:rPr>
              <w:t>DT</w:t>
            </w:r>
          </w:p>
        </w:tc>
        <w:tc>
          <w:tcPr>
            <w:tcW w:w="450" w:type="dxa"/>
            <w:tcBorders>
              <w:left w:val="single" w:sz="18" w:space="0" w:color="auto"/>
              <w:bottom w:val="single" w:sz="4" w:space="0" w:color="auto"/>
            </w:tcBorders>
            <w:shd w:val="clear" w:color="auto" w:fill="auto"/>
            <w:vAlign w:val="center"/>
          </w:tcPr>
          <w:p w:rsidR="00B27742" w:rsidRPr="003410C7" w:rsidRDefault="00B27742" w:rsidP="005D1AD1">
            <w:pPr>
              <w:pStyle w:val="TableText"/>
              <w:rPr>
                <w:rFonts w:ascii="Tahoma" w:hAnsi="Tahoma" w:cs="Tahoma"/>
                <w:sz w:val="13"/>
              </w:rPr>
            </w:pPr>
            <w:r w:rsidRPr="003410C7">
              <w:rPr>
                <w:rFonts w:ascii="Tahoma" w:hAnsi="Tahoma" w:cs="Tahoma"/>
                <w:sz w:val="13"/>
              </w:rPr>
              <w:t>2</w:t>
            </w:r>
          </w:p>
        </w:tc>
        <w:tc>
          <w:tcPr>
            <w:tcW w:w="450" w:type="dxa"/>
            <w:tcBorders>
              <w:bottom w:val="single" w:sz="4" w:space="0" w:color="auto"/>
            </w:tcBorders>
            <w:shd w:val="clear" w:color="auto" w:fill="auto"/>
            <w:vAlign w:val="center"/>
          </w:tcPr>
          <w:p w:rsidR="00B27742" w:rsidRPr="003410C7" w:rsidRDefault="00B27742" w:rsidP="005D1AD1">
            <w:pPr>
              <w:pStyle w:val="TableText"/>
              <w:rPr>
                <w:rFonts w:ascii="Tahoma" w:hAnsi="Tahoma" w:cs="Tahoma"/>
                <w:sz w:val="13"/>
              </w:rPr>
            </w:pPr>
            <w:r w:rsidRPr="003410C7">
              <w:rPr>
                <w:rFonts w:ascii="Tahoma" w:hAnsi="Tahoma" w:cs="Tahoma"/>
                <w:sz w:val="13"/>
              </w:rPr>
              <w:t>5</w:t>
            </w:r>
          </w:p>
        </w:tc>
        <w:tc>
          <w:tcPr>
            <w:tcW w:w="450" w:type="dxa"/>
            <w:tcBorders>
              <w:bottom w:val="single" w:sz="4" w:space="0" w:color="auto"/>
            </w:tcBorders>
            <w:shd w:val="clear" w:color="auto" w:fill="auto"/>
            <w:vAlign w:val="center"/>
          </w:tcPr>
          <w:p w:rsidR="00B27742" w:rsidRPr="003410C7" w:rsidRDefault="00B27742" w:rsidP="005D1AD1">
            <w:pPr>
              <w:pStyle w:val="TableText"/>
              <w:rPr>
                <w:rFonts w:ascii="Tahoma" w:hAnsi="Tahoma" w:cs="Tahoma"/>
                <w:sz w:val="13"/>
              </w:rPr>
            </w:pPr>
            <w:r w:rsidRPr="003410C7">
              <w:rPr>
                <w:rFonts w:ascii="Tahoma" w:hAnsi="Tahoma" w:cs="Tahoma"/>
                <w:sz w:val="13"/>
              </w:rPr>
              <w:t>4</w:t>
            </w:r>
          </w:p>
        </w:tc>
        <w:tc>
          <w:tcPr>
            <w:tcW w:w="450" w:type="dxa"/>
            <w:tcBorders>
              <w:bottom w:val="single" w:sz="4" w:space="0" w:color="auto"/>
            </w:tcBorders>
            <w:shd w:val="clear" w:color="auto" w:fill="auto"/>
            <w:vAlign w:val="center"/>
          </w:tcPr>
          <w:p w:rsidR="00B27742" w:rsidRPr="003410C7" w:rsidRDefault="00B27742" w:rsidP="005D1AD1">
            <w:pPr>
              <w:pStyle w:val="TableText"/>
              <w:rPr>
                <w:rFonts w:ascii="Tahoma" w:hAnsi="Tahoma" w:cs="Tahoma"/>
                <w:sz w:val="13"/>
              </w:rPr>
            </w:pPr>
            <w:r w:rsidRPr="003410C7">
              <w:rPr>
                <w:rFonts w:ascii="Tahoma" w:hAnsi="Tahoma" w:cs="Tahoma"/>
                <w:sz w:val="13"/>
              </w:rPr>
              <w:t>3</w:t>
            </w:r>
          </w:p>
        </w:tc>
        <w:tc>
          <w:tcPr>
            <w:tcW w:w="450" w:type="dxa"/>
            <w:tcBorders>
              <w:bottom w:val="single" w:sz="4" w:space="0" w:color="auto"/>
            </w:tcBorders>
            <w:shd w:val="clear" w:color="auto" w:fill="auto"/>
            <w:vAlign w:val="center"/>
          </w:tcPr>
          <w:p w:rsidR="00B27742" w:rsidRPr="003410C7" w:rsidRDefault="00B27742" w:rsidP="005D1AD1">
            <w:pPr>
              <w:pStyle w:val="TableText"/>
              <w:rPr>
                <w:rFonts w:ascii="Tahoma" w:hAnsi="Tahoma" w:cs="Tahoma"/>
                <w:sz w:val="13"/>
              </w:rPr>
            </w:pPr>
            <w:r w:rsidRPr="003410C7">
              <w:rPr>
                <w:rFonts w:ascii="Tahoma" w:hAnsi="Tahoma" w:cs="Tahoma"/>
                <w:sz w:val="13"/>
              </w:rPr>
              <w:t>3</w:t>
            </w:r>
          </w:p>
        </w:tc>
        <w:tc>
          <w:tcPr>
            <w:tcW w:w="450" w:type="dxa"/>
            <w:tcBorders>
              <w:bottom w:val="single" w:sz="4" w:space="0" w:color="auto"/>
            </w:tcBorders>
            <w:shd w:val="clear" w:color="auto" w:fill="auto"/>
            <w:vAlign w:val="center"/>
          </w:tcPr>
          <w:p w:rsidR="00B27742" w:rsidRPr="003410C7" w:rsidRDefault="00B27742" w:rsidP="005D1AD1">
            <w:pPr>
              <w:pStyle w:val="TableText"/>
              <w:rPr>
                <w:rFonts w:ascii="Tahoma" w:hAnsi="Tahoma" w:cs="Tahoma"/>
                <w:sz w:val="13"/>
              </w:rPr>
            </w:pPr>
            <w:r w:rsidRPr="003410C7">
              <w:rPr>
                <w:rFonts w:ascii="Tahoma" w:hAnsi="Tahoma" w:cs="Tahoma"/>
                <w:sz w:val="13"/>
              </w:rPr>
              <w:t>2</w:t>
            </w:r>
          </w:p>
        </w:tc>
        <w:tc>
          <w:tcPr>
            <w:tcW w:w="360" w:type="dxa"/>
            <w:tcBorders>
              <w:bottom w:val="single" w:sz="4" w:space="0" w:color="auto"/>
              <w:right w:val="single" w:sz="18" w:space="0" w:color="auto"/>
            </w:tcBorders>
            <w:shd w:val="clear" w:color="auto" w:fill="auto"/>
            <w:vAlign w:val="center"/>
          </w:tcPr>
          <w:p w:rsidR="00B27742" w:rsidRPr="003410C7" w:rsidRDefault="00B27742" w:rsidP="005D1AD1">
            <w:pPr>
              <w:pStyle w:val="TableText"/>
              <w:rPr>
                <w:rFonts w:ascii="Tahoma" w:hAnsi="Tahoma" w:cs="Tahoma"/>
                <w:sz w:val="13"/>
              </w:rPr>
            </w:pPr>
            <w:r w:rsidRPr="003410C7">
              <w:rPr>
                <w:rFonts w:ascii="Tahoma" w:hAnsi="Tahoma" w:cs="Tahoma"/>
                <w:sz w:val="13"/>
              </w:rPr>
              <w:t>1</w:t>
            </w:r>
          </w:p>
        </w:tc>
        <w:tc>
          <w:tcPr>
            <w:tcW w:w="450" w:type="dxa"/>
            <w:tcBorders>
              <w:left w:val="single" w:sz="18" w:space="0" w:color="auto"/>
              <w:bottom w:val="single" w:sz="4" w:space="0" w:color="auto"/>
            </w:tcBorders>
            <w:shd w:val="clear" w:color="auto" w:fill="auto"/>
            <w:vAlign w:val="center"/>
          </w:tcPr>
          <w:p w:rsidR="00B27742" w:rsidRPr="003410C7" w:rsidRDefault="00B27742" w:rsidP="005D1AD1">
            <w:pPr>
              <w:pStyle w:val="TableText"/>
              <w:rPr>
                <w:rFonts w:ascii="Tahoma" w:hAnsi="Tahoma" w:cs="Tahoma"/>
                <w:sz w:val="13"/>
              </w:rPr>
            </w:pPr>
          </w:p>
        </w:tc>
        <w:tc>
          <w:tcPr>
            <w:tcW w:w="450" w:type="dxa"/>
            <w:tcBorders>
              <w:bottom w:val="single" w:sz="4" w:space="0" w:color="auto"/>
            </w:tcBorders>
            <w:shd w:val="clear" w:color="auto" w:fill="auto"/>
            <w:vAlign w:val="center"/>
          </w:tcPr>
          <w:p w:rsidR="00B27742" w:rsidRPr="003410C7" w:rsidRDefault="00B27742" w:rsidP="005D1AD1">
            <w:pPr>
              <w:pStyle w:val="TableText"/>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B27742" w:rsidRPr="003410C7" w:rsidRDefault="00B27742" w:rsidP="005D1AD1">
            <w:pPr>
              <w:pStyle w:val="TableText"/>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B27742" w:rsidRPr="003410C7" w:rsidRDefault="00664EE9" w:rsidP="005D1AD1">
            <w:pPr>
              <w:pStyle w:val="TableText"/>
              <w:rPr>
                <w:rFonts w:ascii="Tahoma" w:hAnsi="Tahoma" w:cs="Tahoma"/>
                <w:sz w:val="13"/>
              </w:rPr>
            </w:pPr>
            <w:r w:rsidRPr="003410C7">
              <w:rPr>
                <w:rFonts w:ascii="Tahoma" w:hAnsi="Tahoma" w:cs="Tahoma"/>
                <w:sz w:val="13"/>
              </w:rPr>
              <w:t>2</w:t>
            </w:r>
          </w:p>
        </w:tc>
        <w:tc>
          <w:tcPr>
            <w:tcW w:w="450" w:type="dxa"/>
            <w:tcBorders>
              <w:bottom w:val="single" w:sz="4" w:space="0" w:color="auto"/>
              <w:right w:val="single" w:sz="18" w:space="0" w:color="auto"/>
            </w:tcBorders>
            <w:shd w:val="clear" w:color="auto" w:fill="auto"/>
            <w:vAlign w:val="center"/>
          </w:tcPr>
          <w:p w:rsidR="00B27742" w:rsidRPr="003410C7" w:rsidRDefault="00B27742" w:rsidP="005D1AD1">
            <w:pPr>
              <w:pStyle w:val="TableText"/>
              <w:rPr>
                <w:rFonts w:ascii="Tahoma" w:hAnsi="Tahoma" w:cs="Tahoma"/>
                <w:sz w:val="13"/>
              </w:rPr>
            </w:pPr>
            <w:r w:rsidRPr="003410C7">
              <w:rPr>
                <w:rFonts w:ascii="Tahoma" w:hAnsi="Tahoma" w:cs="Tahoma"/>
                <w:sz w:val="13"/>
              </w:rPr>
              <w:t>E</w:t>
            </w:r>
          </w:p>
        </w:tc>
        <w:tc>
          <w:tcPr>
            <w:tcW w:w="450" w:type="dxa"/>
            <w:tcBorders>
              <w:left w:val="single" w:sz="18" w:space="0" w:color="auto"/>
              <w:bottom w:val="single" w:sz="4" w:space="0" w:color="auto"/>
              <w:right w:val="single" w:sz="18" w:space="0" w:color="auto"/>
            </w:tcBorders>
            <w:shd w:val="clear" w:color="auto" w:fill="auto"/>
            <w:vAlign w:val="center"/>
          </w:tcPr>
          <w:p w:rsidR="00B27742" w:rsidRPr="003410C7" w:rsidRDefault="00B27742" w:rsidP="005D1AD1">
            <w:pPr>
              <w:pStyle w:val="TableText"/>
              <w:rPr>
                <w:rFonts w:ascii="Tahoma" w:hAnsi="Tahoma" w:cs="Tahoma"/>
                <w:sz w:val="13"/>
              </w:rPr>
            </w:pPr>
            <w:r w:rsidRPr="003410C7">
              <w:rPr>
                <w:rFonts w:ascii="Tahoma" w:hAnsi="Tahoma" w:cs="Tahoma"/>
                <w:sz w:val="13"/>
              </w:rPr>
              <w:t>E, P</w:t>
            </w:r>
          </w:p>
        </w:tc>
        <w:tc>
          <w:tcPr>
            <w:tcW w:w="450" w:type="dxa"/>
            <w:tcBorders>
              <w:bottom w:val="single" w:sz="4" w:space="0" w:color="auto"/>
            </w:tcBorders>
            <w:shd w:val="clear" w:color="auto" w:fill="auto"/>
            <w:vAlign w:val="center"/>
          </w:tcPr>
          <w:p w:rsidR="00B27742" w:rsidRPr="003410C7" w:rsidRDefault="00B27742" w:rsidP="004000C7">
            <w:pPr>
              <w:pStyle w:val="TableText"/>
              <w:rPr>
                <w:rFonts w:ascii="Tahoma" w:hAnsi="Tahoma" w:cs="Tahoma"/>
                <w:sz w:val="13"/>
              </w:rPr>
            </w:pPr>
            <w:r w:rsidRPr="003410C7">
              <w:rPr>
                <w:rFonts w:ascii="Tahoma" w:hAnsi="Tahoma" w:cs="Tahoma"/>
                <w:sz w:val="13"/>
              </w:rPr>
              <w:t>E, ST</w:t>
            </w:r>
          </w:p>
        </w:tc>
        <w:tc>
          <w:tcPr>
            <w:tcW w:w="540" w:type="dxa"/>
            <w:tcBorders>
              <w:bottom w:val="single" w:sz="4" w:space="0" w:color="auto"/>
            </w:tcBorders>
            <w:shd w:val="clear" w:color="auto" w:fill="auto"/>
            <w:vAlign w:val="center"/>
          </w:tcPr>
          <w:p w:rsidR="00B27742" w:rsidRPr="003410C7" w:rsidRDefault="00B27742" w:rsidP="005D1AD1">
            <w:pPr>
              <w:pStyle w:val="TableText"/>
              <w:rPr>
                <w:rFonts w:ascii="Tahoma" w:hAnsi="Tahoma" w:cs="Tahoma"/>
                <w:sz w:val="13"/>
              </w:rPr>
            </w:pPr>
          </w:p>
        </w:tc>
      </w:tr>
      <w:tr w:rsidR="00B50A5B" w:rsidRPr="003410C7" w:rsidTr="007E466C">
        <w:trPr>
          <w:trHeight w:val="123"/>
        </w:trPr>
        <w:tc>
          <w:tcPr>
            <w:tcW w:w="2610" w:type="dxa"/>
            <w:shd w:val="clear" w:color="auto" w:fill="FABF8F"/>
          </w:tcPr>
          <w:p w:rsidR="00B27742" w:rsidRPr="003410C7" w:rsidRDefault="00B27742" w:rsidP="0070485B">
            <w:pPr>
              <w:pStyle w:val="ProductNames"/>
              <w:spacing w:before="40" w:after="40"/>
              <w:rPr>
                <w:rFonts w:ascii="Tahoma" w:hAnsi="Tahoma" w:cs="Tahoma"/>
                <w:sz w:val="14"/>
              </w:rPr>
            </w:pPr>
            <w:bookmarkStart w:id="139" w:name="_Toc336337906"/>
            <w:bookmarkStart w:id="140" w:name="_Toc352234511"/>
            <w:r w:rsidRPr="003410C7">
              <w:rPr>
                <w:rFonts w:ascii="Tahoma" w:hAnsi="Tahoma" w:cs="Tahoma"/>
                <w:sz w:val="14"/>
              </w:rPr>
              <w:t>Windows Virtual Desktop Access (VDA)</w:t>
            </w:r>
            <w:bookmarkEnd w:id="139"/>
            <w:bookmarkEnd w:id="140"/>
          </w:p>
        </w:tc>
        <w:tc>
          <w:tcPr>
            <w:tcW w:w="360" w:type="dxa"/>
            <w:shd w:val="clear" w:color="auto" w:fill="FABF8F"/>
            <w:vAlign w:val="center"/>
          </w:tcPr>
          <w:p w:rsidR="00B27742" w:rsidRPr="009F17FF" w:rsidRDefault="00B27742">
            <w:pPr>
              <w:pStyle w:val="TableText"/>
              <w:widowControl w:val="0"/>
              <w:rPr>
                <w:rStyle w:val="EndnoteReference"/>
                <w:rFonts w:ascii="Tahoma" w:hAnsi="Tahoma"/>
                <w:color w:val="0000FF"/>
                <w:sz w:val="13"/>
                <w:szCs w:val="13"/>
              </w:rPr>
            </w:pPr>
          </w:p>
        </w:tc>
        <w:tc>
          <w:tcPr>
            <w:tcW w:w="450" w:type="dxa"/>
            <w:shd w:val="clear" w:color="auto" w:fill="FABF8F"/>
            <w:vAlign w:val="center"/>
          </w:tcPr>
          <w:p w:rsidR="00B27742" w:rsidRPr="003410C7" w:rsidRDefault="00B27742" w:rsidP="007E466C">
            <w:pPr>
              <w:pStyle w:val="TableText"/>
              <w:rPr>
                <w:rFonts w:ascii="Tahoma" w:hAnsi="Tahoma" w:cs="Tahoma"/>
                <w:sz w:val="13"/>
              </w:rPr>
            </w:pPr>
            <w:r w:rsidRPr="003410C7">
              <w:rPr>
                <w:rFonts w:ascii="Tahoma" w:hAnsi="Tahoma" w:cs="Tahoma"/>
                <w:sz w:val="13"/>
              </w:rPr>
              <w:t>07/10</w:t>
            </w:r>
          </w:p>
        </w:tc>
        <w:tc>
          <w:tcPr>
            <w:tcW w:w="360" w:type="dxa"/>
            <w:tcBorders>
              <w:right w:val="single" w:sz="18" w:space="0" w:color="auto"/>
            </w:tcBorders>
            <w:shd w:val="clear" w:color="auto" w:fill="FABF8F"/>
            <w:vAlign w:val="center"/>
          </w:tcPr>
          <w:p w:rsidR="00B27742" w:rsidRPr="003410C7" w:rsidRDefault="00B27742">
            <w:pPr>
              <w:pStyle w:val="TableText"/>
              <w:rPr>
                <w:rFonts w:ascii="Tahoma" w:hAnsi="Tahoma" w:cs="Tahoma"/>
                <w:sz w:val="13"/>
              </w:rPr>
            </w:pPr>
            <w:r w:rsidRPr="003410C7">
              <w:rPr>
                <w:rFonts w:ascii="Tahoma" w:hAnsi="Tahoma" w:cs="Tahoma"/>
                <w:sz w:val="13"/>
              </w:rPr>
              <w:t>DT</w:t>
            </w:r>
          </w:p>
        </w:tc>
        <w:tc>
          <w:tcPr>
            <w:tcW w:w="3060" w:type="dxa"/>
            <w:gridSpan w:val="7"/>
            <w:tcBorders>
              <w:left w:val="single" w:sz="18" w:space="0" w:color="auto"/>
              <w:right w:val="single" w:sz="18" w:space="0" w:color="auto"/>
            </w:tcBorders>
            <w:shd w:val="clear" w:color="auto" w:fill="FABF8F"/>
            <w:vAlign w:val="center"/>
          </w:tcPr>
          <w:p w:rsidR="00B27742" w:rsidRPr="003410C7" w:rsidRDefault="00B27742">
            <w:pPr>
              <w:pStyle w:val="TableText"/>
              <w:rPr>
                <w:rFonts w:ascii="Tahoma" w:hAnsi="Tahoma" w:cs="Tahoma"/>
                <w:sz w:val="13"/>
              </w:rPr>
            </w:pPr>
            <w:r w:rsidRPr="003410C7">
              <w:rPr>
                <w:rFonts w:ascii="Tahoma" w:hAnsi="Tahoma" w:cs="Tahoma"/>
                <w:sz w:val="13"/>
              </w:rPr>
              <w:t>2</w:t>
            </w:r>
          </w:p>
        </w:tc>
        <w:tc>
          <w:tcPr>
            <w:tcW w:w="450" w:type="dxa"/>
            <w:tcBorders>
              <w:left w:val="single" w:sz="18" w:space="0" w:color="auto"/>
            </w:tcBorders>
            <w:shd w:val="clear" w:color="auto" w:fill="FABF8F"/>
            <w:vAlign w:val="center"/>
          </w:tcPr>
          <w:p w:rsidR="00B27742" w:rsidRPr="003410C7" w:rsidRDefault="00B27742">
            <w:pPr>
              <w:pStyle w:val="TableText"/>
              <w:rPr>
                <w:rFonts w:ascii="Tahoma" w:hAnsi="Tahoma" w:cs="Tahoma"/>
                <w:sz w:val="13"/>
              </w:rPr>
            </w:pPr>
          </w:p>
        </w:tc>
        <w:tc>
          <w:tcPr>
            <w:tcW w:w="450" w:type="dxa"/>
            <w:shd w:val="clear" w:color="auto" w:fill="FABF8F"/>
            <w:vAlign w:val="center"/>
          </w:tcPr>
          <w:p w:rsidR="00B27742" w:rsidRPr="003410C7" w:rsidRDefault="00B27742">
            <w:pPr>
              <w:pStyle w:val="TableText"/>
              <w:rPr>
                <w:rFonts w:ascii="Tahoma" w:hAnsi="Tahoma" w:cs="Tahoma"/>
                <w:sz w:val="13"/>
              </w:rPr>
            </w:pPr>
          </w:p>
        </w:tc>
        <w:tc>
          <w:tcPr>
            <w:tcW w:w="450" w:type="dxa"/>
            <w:tcBorders>
              <w:right w:val="single" w:sz="18" w:space="0" w:color="auto"/>
            </w:tcBorders>
            <w:shd w:val="clear" w:color="auto" w:fill="FABF8F"/>
            <w:vAlign w:val="center"/>
          </w:tcPr>
          <w:p w:rsidR="00B27742" w:rsidRPr="003410C7" w:rsidRDefault="00B27742">
            <w:pPr>
              <w:pStyle w:val="TableText"/>
              <w:rPr>
                <w:rFonts w:ascii="Tahoma" w:hAnsi="Tahoma" w:cs="Tahoma"/>
                <w:sz w:val="13"/>
              </w:rPr>
            </w:pPr>
          </w:p>
        </w:tc>
        <w:tc>
          <w:tcPr>
            <w:tcW w:w="450" w:type="dxa"/>
            <w:tcBorders>
              <w:left w:val="single" w:sz="18" w:space="0" w:color="auto"/>
            </w:tcBorders>
            <w:shd w:val="clear" w:color="auto" w:fill="FABF8F"/>
            <w:vAlign w:val="center"/>
          </w:tcPr>
          <w:p w:rsidR="00B27742" w:rsidRPr="003410C7" w:rsidRDefault="00751F50">
            <w:pPr>
              <w:pStyle w:val="TableText"/>
              <w:rPr>
                <w:rFonts w:ascii="Tahoma" w:hAnsi="Tahoma" w:cs="Tahoma"/>
                <w:sz w:val="13"/>
              </w:rPr>
            </w:pPr>
            <w:r w:rsidRPr="003410C7">
              <w:rPr>
                <w:rFonts w:ascii="Tahoma" w:hAnsi="Tahoma" w:cs="Tahoma"/>
                <w:sz w:val="13"/>
              </w:rPr>
              <w:t>1)</w:t>
            </w:r>
          </w:p>
        </w:tc>
        <w:tc>
          <w:tcPr>
            <w:tcW w:w="450" w:type="dxa"/>
            <w:tcBorders>
              <w:right w:val="single" w:sz="18" w:space="0" w:color="auto"/>
            </w:tcBorders>
            <w:shd w:val="clear" w:color="auto" w:fill="FABF8F"/>
            <w:vAlign w:val="center"/>
          </w:tcPr>
          <w:p w:rsidR="00B27742" w:rsidRPr="003410C7" w:rsidRDefault="00B27742" w:rsidP="00BD5039">
            <w:pPr>
              <w:pStyle w:val="TableText"/>
              <w:rPr>
                <w:rFonts w:ascii="Tahoma" w:hAnsi="Tahoma" w:cs="Tahoma"/>
                <w:sz w:val="13"/>
              </w:rPr>
            </w:pPr>
            <w:r w:rsidRPr="003410C7">
              <w:rPr>
                <w:rFonts w:ascii="Tahoma" w:hAnsi="Tahoma" w:cs="Tahoma"/>
                <w:sz w:val="13"/>
              </w:rPr>
              <w:t>E, A</w:t>
            </w:r>
          </w:p>
        </w:tc>
        <w:tc>
          <w:tcPr>
            <w:tcW w:w="450" w:type="dxa"/>
            <w:tcBorders>
              <w:left w:val="single" w:sz="18" w:space="0" w:color="auto"/>
              <w:right w:val="single" w:sz="18" w:space="0" w:color="auto"/>
            </w:tcBorders>
            <w:shd w:val="clear" w:color="auto" w:fill="FABF8F"/>
            <w:vAlign w:val="center"/>
          </w:tcPr>
          <w:p w:rsidR="00B27742" w:rsidRPr="003410C7" w:rsidRDefault="00B27742">
            <w:pPr>
              <w:pStyle w:val="TableText"/>
              <w:rPr>
                <w:rFonts w:ascii="Tahoma" w:hAnsi="Tahoma" w:cs="Tahoma"/>
                <w:sz w:val="13"/>
              </w:rPr>
            </w:pPr>
            <w:r w:rsidRPr="003410C7">
              <w:rPr>
                <w:rFonts w:ascii="Tahoma" w:hAnsi="Tahoma" w:cs="Tahoma"/>
                <w:sz w:val="13"/>
              </w:rPr>
              <w:t>P</w:t>
            </w:r>
          </w:p>
        </w:tc>
        <w:tc>
          <w:tcPr>
            <w:tcW w:w="450" w:type="dxa"/>
            <w:shd w:val="clear" w:color="auto" w:fill="FABF8F"/>
            <w:vAlign w:val="center"/>
          </w:tcPr>
          <w:p w:rsidR="00B27742" w:rsidRPr="003410C7" w:rsidRDefault="00954BF1" w:rsidP="00722522">
            <w:pPr>
              <w:pStyle w:val="TableText"/>
              <w:rPr>
                <w:rFonts w:ascii="Tahoma" w:hAnsi="Tahoma" w:cs="Tahoma"/>
                <w:sz w:val="13"/>
              </w:rPr>
            </w:pPr>
            <w:r w:rsidRPr="003410C7">
              <w:rPr>
                <w:rFonts w:ascii="Tahoma" w:hAnsi="Tahoma" w:cs="Tahoma"/>
                <w:sz w:val="13"/>
              </w:rPr>
              <w:t>A</w:t>
            </w:r>
          </w:p>
        </w:tc>
        <w:tc>
          <w:tcPr>
            <w:tcW w:w="540" w:type="dxa"/>
            <w:shd w:val="clear" w:color="auto" w:fill="FABF8F"/>
            <w:vAlign w:val="center"/>
          </w:tcPr>
          <w:p w:rsidR="00B27742" w:rsidRPr="003410C7" w:rsidRDefault="00B27742">
            <w:pPr>
              <w:pStyle w:val="TableText"/>
              <w:rPr>
                <w:rFonts w:ascii="Tahoma" w:hAnsi="Tahoma" w:cs="Tahoma"/>
                <w:sz w:val="13"/>
              </w:rPr>
            </w:pPr>
          </w:p>
        </w:tc>
      </w:tr>
      <w:tr w:rsidR="006F741C" w:rsidRPr="003410C7" w:rsidTr="004000C7">
        <w:trPr>
          <w:trHeight w:val="123"/>
        </w:trPr>
        <w:tc>
          <w:tcPr>
            <w:tcW w:w="2610" w:type="dxa"/>
            <w:shd w:val="clear" w:color="auto" w:fill="auto"/>
          </w:tcPr>
          <w:p w:rsidR="006F741C" w:rsidRPr="003410C7" w:rsidRDefault="006F741C" w:rsidP="00F70479">
            <w:pPr>
              <w:pStyle w:val="ProductNames"/>
              <w:rPr>
                <w:rFonts w:ascii="Tahoma" w:hAnsi="Tahoma" w:cs="Tahoma"/>
                <w:sz w:val="14"/>
              </w:rPr>
            </w:pPr>
            <w:bookmarkStart w:id="141" w:name="_Toc352234512"/>
            <w:r w:rsidRPr="003410C7">
              <w:rPr>
                <w:rFonts w:ascii="Tahoma" w:hAnsi="Tahoma" w:cs="Tahoma"/>
                <w:sz w:val="14"/>
              </w:rPr>
              <w:t>Windows Intune (Per Dispositivo)</w:t>
            </w:r>
            <w:bookmarkEnd w:id="141"/>
          </w:p>
        </w:tc>
        <w:tc>
          <w:tcPr>
            <w:tcW w:w="360" w:type="dxa"/>
            <w:shd w:val="clear" w:color="auto" w:fill="auto"/>
            <w:vAlign w:val="center"/>
          </w:tcPr>
          <w:p w:rsidR="006F741C" w:rsidRPr="009F17FF" w:rsidRDefault="00FC1A4D" w:rsidP="0018541C">
            <w:pPr>
              <w:pStyle w:val="TableText"/>
              <w:widowControl w:val="0"/>
              <w:rPr>
                <w:rStyle w:val="EndnoteReference"/>
                <w:b w:val="0"/>
                <w:color w:val="0000FF"/>
                <w:sz w:val="13"/>
                <w:szCs w:val="13"/>
              </w:rPr>
            </w:pPr>
            <w:hyperlink w:anchor="_28_Aggiornamento_per" w:history="1">
              <w:r w:rsidR="00B161AB" w:rsidRPr="009F17FF">
                <w:rPr>
                  <w:rStyle w:val="Hyperlink"/>
                  <w:b/>
                  <w:sz w:val="13"/>
                  <w:szCs w:val="13"/>
                </w:rPr>
                <w:t>28</w:t>
              </w:r>
            </w:hyperlink>
          </w:p>
        </w:tc>
        <w:tc>
          <w:tcPr>
            <w:tcW w:w="450" w:type="dxa"/>
            <w:shd w:val="clear" w:color="auto" w:fill="auto"/>
          </w:tcPr>
          <w:p w:rsidR="006F741C" w:rsidRPr="003410C7" w:rsidRDefault="006F741C" w:rsidP="006640D1">
            <w:pPr>
              <w:pStyle w:val="TableText"/>
              <w:spacing w:before="120"/>
              <w:rPr>
                <w:rFonts w:ascii="Tahoma" w:hAnsi="Tahoma" w:cs="Tahoma"/>
                <w:sz w:val="13"/>
              </w:rPr>
            </w:pPr>
            <w:r w:rsidRPr="003410C7">
              <w:rPr>
                <w:rFonts w:ascii="Tahoma" w:hAnsi="Tahoma" w:cs="Tahoma"/>
                <w:sz w:val="13"/>
              </w:rPr>
              <w:t>4/11</w:t>
            </w:r>
          </w:p>
        </w:tc>
        <w:tc>
          <w:tcPr>
            <w:tcW w:w="360" w:type="dxa"/>
            <w:tcBorders>
              <w:right w:val="single" w:sz="18" w:space="0" w:color="auto"/>
            </w:tcBorders>
            <w:shd w:val="clear" w:color="auto" w:fill="auto"/>
            <w:vAlign w:val="center"/>
          </w:tcPr>
          <w:p w:rsidR="006F741C" w:rsidRPr="003410C7" w:rsidRDefault="006F741C">
            <w:pPr>
              <w:pStyle w:val="TableText"/>
              <w:rPr>
                <w:rFonts w:ascii="Tahoma" w:hAnsi="Tahoma" w:cs="Tahoma"/>
                <w:sz w:val="13"/>
              </w:rPr>
            </w:pPr>
          </w:p>
        </w:tc>
        <w:tc>
          <w:tcPr>
            <w:tcW w:w="3060" w:type="dxa"/>
            <w:gridSpan w:val="7"/>
            <w:tcBorders>
              <w:left w:val="single" w:sz="18" w:space="0" w:color="auto"/>
              <w:right w:val="single" w:sz="18" w:space="0" w:color="auto"/>
            </w:tcBorders>
            <w:shd w:val="clear" w:color="auto" w:fill="auto"/>
            <w:vAlign w:val="center"/>
          </w:tcPr>
          <w:p w:rsidR="006F741C" w:rsidRPr="003410C7" w:rsidRDefault="006F741C">
            <w:pPr>
              <w:pStyle w:val="TableText"/>
              <w:rPr>
                <w:rFonts w:ascii="Tahoma" w:hAnsi="Tahoma" w:cs="Tahoma"/>
                <w:sz w:val="13"/>
              </w:rPr>
            </w:pPr>
          </w:p>
        </w:tc>
        <w:tc>
          <w:tcPr>
            <w:tcW w:w="450" w:type="dxa"/>
            <w:tcBorders>
              <w:left w:val="single" w:sz="18" w:space="0" w:color="auto"/>
            </w:tcBorders>
            <w:shd w:val="clear" w:color="auto" w:fill="auto"/>
            <w:vAlign w:val="center"/>
          </w:tcPr>
          <w:p w:rsidR="006F741C" w:rsidRPr="003410C7" w:rsidRDefault="006F741C">
            <w:pPr>
              <w:pStyle w:val="TableText"/>
              <w:rPr>
                <w:rFonts w:ascii="Tahoma" w:hAnsi="Tahoma" w:cs="Tahoma"/>
                <w:sz w:val="13"/>
              </w:rPr>
            </w:pPr>
          </w:p>
        </w:tc>
        <w:tc>
          <w:tcPr>
            <w:tcW w:w="450" w:type="dxa"/>
            <w:shd w:val="clear" w:color="auto" w:fill="auto"/>
            <w:vAlign w:val="center"/>
          </w:tcPr>
          <w:p w:rsidR="006F741C" w:rsidRPr="003410C7" w:rsidRDefault="006F741C">
            <w:pPr>
              <w:pStyle w:val="TableText"/>
              <w:rPr>
                <w:rFonts w:ascii="Tahoma" w:hAnsi="Tahoma" w:cs="Tahoma"/>
                <w:sz w:val="13"/>
              </w:rPr>
            </w:pPr>
          </w:p>
        </w:tc>
        <w:tc>
          <w:tcPr>
            <w:tcW w:w="450" w:type="dxa"/>
            <w:tcBorders>
              <w:right w:val="single" w:sz="18" w:space="0" w:color="auto"/>
            </w:tcBorders>
            <w:shd w:val="clear" w:color="auto" w:fill="auto"/>
            <w:vAlign w:val="center"/>
          </w:tcPr>
          <w:p w:rsidR="006F741C" w:rsidRPr="003410C7" w:rsidRDefault="006F741C">
            <w:pPr>
              <w:pStyle w:val="TableText"/>
              <w:rPr>
                <w:rFonts w:ascii="Tahoma" w:hAnsi="Tahoma" w:cs="Tahoma"/>
                <w:sz w:val="13"/>
              </w:rPr>
            </w:pPr>
          </w:p>
        </w:tc>
        <w:tc>
          <w:tcPr>
            <w:tcW w:w="450" w:type="dxa"/>
            <w:tcBorders>
              <w:left w:val="single" w:sz="18" w:space="0" w:color="auto"/>
            </w:tcBorders>
            <w:shd w:val="clear" w:color="auto" w:fill="auto"/>
            <w:vAlign w:val="center"/>
          </w:tcPr>
          <w:p w:rsidR="006F741C" w:rsidRPr="003410C7" w:rsidRDefault="006F741C">
            <w:pPr>
              <w:pStyle w:val="TableText"/>
              <w:rPr>
                <w:rFonts w:ascii="Tahoma" w:hAnsi="Tahoma" w:cs="Tahoma"/>
                <w:sz w:val="13"/>
              </w:rPr>
            </w:pPr>
          </w:p>
        </w:tc>
        <w:tc>
          <w:tcPr>
            <w:tcW w:w="450" w:type="dxa"/>
            <w:tcBorders>
              <w:right w:val="single" w:sz="18" w:space="0" w:color="auto"/>
            </w:tcBorders>
            <w:shd w:val="clear" w:color="auto" w:fill="auto"/>
            <w:vAlign w:val="center"/>
          </w:tcPr>
          <w:p w:rsidR="006F741C" w:rsidRPr="003410C7" w:rsidRDefault="006F741C" w:rsidP="00BD5039">
            <w:pPr>
              <w:pStyle w:val="TableText"/>
              <w:rPr>
                <w:rFonts w:ascii="Tahoma" w:hAnsi="Tahoma" w:cs="Tahoma"/>
                <w:sz w:val="13"/>
              </w:rPr>
            </w:pPr>
          </w:p>
        </w:tc>
        <w:tc>
          <w:tcPr>
            <w:tcW w:w="450" w:type="dxa"/>
            <w:tcBorders>
              <w:left w:val="single" w:sz="18" w:space="0" w:color="auto"/>
              <w:right w:val="single" w:sz="18" w:space="0" w:color="auto"/>
            </w:tcBorders>
            <w:shd w:val="clear" w:color="auto" w:fill="auto"/>
            <w:vAlign w:val="center"/>
          </w:tcPr>
          <w:p w:rsidR="006F741C" w:rsidRPr="003410C7" w:rsidRDefault="006F741C">
            <w:pPr>
              <w:pStyle w:val="TableText"/>
              <w:rPr>
                <w:rFonts w:ascii="Tahoma" w:hAnsi="Tahoma" w:cs="Tahoma"/>
                <w:sz w:val="13"/>
              </w:rPr>
            </w:pPr>
          </w:p>
        </w:tc>
        <w:tc>
          <w:tcPr>
            <w:tcW w:w="450" w:type="dxa"/>
            <w:shd w:val="clear" w:color="auto" w:fill="auto"/>
            <w:vAlign w:val="center"/>
          </w:tcPr>
          <w:p w:rsidR="006F741C" w:rsidRPr="003410C7" w:rsidRDefault="006F741C" w:rsidP="00722522">
            <w:pPr>
              <w:pStyle w:val="TableText"/>
              <w:rPr>
                <w:rFonts w:ascii="Tahoma" w:hAnsi="Tahoma" w:cs="Tahoma"/>
                <w:sz w:val="13"/>
              </w:rPr>
            </w:pPr>
          </w:p>
        </w:tc>
        <w:tc>
          <w:tcPr>
            <w:tcW w:w="540" w:type="dxa"/>
            <w:shd w:val="clear" w:color="auto" w:fill="auto"/>
            <w:vAlign w:val="center"/>
          </w:tcPr>
          <w:p w:rsidR="006F741C" w:rsidRPr="003410C7" w:rsidRDefault="006F741C">
            <w:pPr>
              <w:pStyle w:val="TableText"/>
              <w:rPr>
                <w:rFonts w:ascii="Tahoma" w:hAnsi="Tahoma" w:cs="Tahoma"/>
                <w:sz w:val="13"/>
              </w:rPr>
            </w:pPr>
          </w:p>
        </w:tc>
      </w:tr>
      <w:tr w:rsidR="00955DF1" w:rsidRPr="003410C7" w:rsidTr="0070485B">
        <w:trPr>
          <w:trHeight w:val="123"/>
        </w:trPr>
        <w:tc>
          <w:tcPr>
            <w:tcW w:w="2610" w:type="dxa"/>
            <w:tcBorders>
              <w:bottom w:val="single" w:sz="4" w:space="0" w:color="auto"/>
            </w:tcBorders>
            <w:shd w:val="clear" w:color="auto" w:fill="FABF8F"/>
          </w:tcPr>
          <w:p w:rsidR="00955DF1" w:rsidRPr="00451078" w:rsidRDefault="00955DF1" w:rsidP="005C3A8C">
            <w:pPr>
              <w:pStyle w:val="ProductNames"/>
              <w:rPr>
                <w:rFonts w:ascii="Tahoma" w:hAnsi="Tahoma" w:cs="Tahoma"/>
                <w:sz w:val="14"/>
                <w:lang w:val="it-IT"/>
              </w:rPr>
            </w:pPr>
            <w:bookmarkStart w:id="142" w:name="_Toc352234513"/>
            <w:r w:rsidRPr="00451078">
              <w:rPr>
                <w:rFonts w:ascii="Tahoma" w:hAnsi="Tahoma" w:cs="Tahoma"/>
                <w:sz w:val="14"/>
                <w:lang w:val="it-IT"/>
              </w:rPr>
              <w:t>Componente Aggiuntivo per Windows</w:t>
            </w:r>
            <w:r w:rsidR="005C3A8C" w:rsidRPr="00451078">
              <w:rPr>
                <w:rFonts w:ascii="Tahoma" w:hAnsi="Tahoma" w:cs="Tahoma"/>
                <w:sz w:val="14"/>
                <w:lang w:val="it-IT"/>
              </w:rPr>
              <w:t> </w:t>
            </w:r>
            <w:r w:rsidRPr="00451078">
              <w:rPr>
                <w:rFonts w:ascii="Tahoma" w:hAnsi="Tahoma" w:cs="Tahoma"/>
                <w:sz w:val="14"/>
                <w:lang w:val="it-IT"/>
              </w:rPr>
              <w:t>Intune (Per Dispositivo)</w:t>
            </w:r>
            <w:bookmarkEnd w:id="142"/>
          </w:p>
        </w:tc>
        <w:tc>
          <w:tcPr>
            <w:tcW w:w="360" w:type="dxa"/>
            <w:tcBorders>
              <w:bottom w:val="single" w:sz="4" w:space="0" w:color="auto"/>
            </w:tcBorders>
            <w:shd w:val="clear" w:color="auto" w:fill="FABF8F"/>
            <w:vAlign w:val="center"/>
          </w:tcPr>
          <w:p w:rsidR="00955DF1" w:rsidRPr="009F17FF" w:rsidRDefault="00FC1A4D" w:rsidP="0018541C">
            <w:pPr>
              <w:pStyle w:val="TableText"/>
              <w:widowControl w:val="0"/>
              <w:rPr>
                <w:rStyle w:val="EndnoteReference"/>
                <w:b w:val="0"/>
                <w:color w:val="0000FF"/>
                <w:sz w:val="13"/>
                <w:szCs w:val="13"/>
              </w:rPr>
            </w:pPr>
            <w:hyperlink w:anchor="_98_Windows_Multipoint" w:history="1">
              <w:r w:rsidR="000D77F6" w:rsidRPr="009F17FF">
                <w:rPr>
                  <w:rStyle w:val="Hyperlink"/>
                  <w:b/>
                  <w:sz w:val="13"/>
                  <w:szCs w:val="13"/>
                </w:rPr>
                <w:t>29</w:t>
              </w:r>
            </w:hyperlink>
          </w:p>
        </w:tc>
        <w:tc>
          <w:tcPr>
            <w:tcW w:w="450" w:type="dxa"/>
            <w:tcBorders>
              <w:bottom w:val="single" w:sz="4" w:space="0" w:color="auto"/>
            </w:tcBorders>
            <w:shd w:val="clear" w:color="auto" w:fill="FABF8F"/>
          </w:tcPr>
          <w:p w:rsidR="00955DF1" w:rsidRPr="003410C7" w:rsidRDefault="00955DF1" w:rsidP="00163658">
            <w:pPr>
              <w:pStyle w:val="TableText"/>
              <w:spacing w:before="120"/>
              <w:rPr>
                <w:rFonts w:ascii="Tahoma" w:hAnsi="Tahoma" w:cs="Tahoma"/>
                <w:sz w:val="13"/>
              </w:rPr>
            </w:pPr>
            <w:r w:rsidRPr="003410C7">
              <w:rPr>
                <w:rFonts w:ascii="Tahoma" w:hAnsi="Tahoma" w:cs="Tahoma"/>
                <w:sz w:val="13"/>
              </w:rPr>
              <w:t>4/11</w:t>
            </w:r>
          </w:p>
        </w:tc>
        <w:tc>
          <w:tcPr>
            <w:tcW w:w="360" w:type="dxa"/>
            <w:tcBorders>
              <w:bottom w:val="single" w:sz="4" w:space="0" w:color="auto"/>
              <w:right w:val="single" w:sz="18" w:space="0" w:color="auto"/>
            </w:tcBorders>
            <w:shd w:val="clear" w:color="auto" w:fill="FABF8F"/>
            <w:vAlign w:val="center"/>
          </w:tcPr>
          <w:p w:rsidR="00955DF1" w:rsidRPr="003410C7" w:rsidRDefault="00955DF1">
            <w:pPr>
              <w:pStyle w:val="TableText"/>
              <w:rPr>
                <w:rFonts w:ascii="Tahoma" w:hAnsi="Tahoma" w:cs="Tahoma"/>
                <w:sz w:val="13"/>
              </w:rPr>
            </w:pPr>
          </w:p>
        </w:tc>
        <w:tc>
          <w:tcPr>
            <w:tcW w:w="3060" w:type="dxa"/>
            <w:gridSpan w:val="7"/>
            <w:tcBorders>
              <w:left w:val="single" w:sz="18" w:space="0" w:color="auto"/>
              <w:bottom w:val="single" w:sz="4" w:space="0" w:color="auto"/>
              <w:right w:val="single" w:sz="18" w:space="0" w:color="auto"/>
            </w:tcBorders>
            <w:shd w:val="clear" w:color="auto" w:fill="FABF8F"/>
            <w:vAlign w:val="center"/>
          </w:tcPr>
          <w:p w:rsidR="00955DF1" w:rsidRPr="003410C7" w:rsidRDefault="00955DF1">
            <w:pPr>
              <w:pStyle w:val="TableText"/>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955DF1" w:rsidRPr="003410C7" w:rsidRDefault="00955DF1">
            <w:pPr>
              <w:pStyle w:val="TableText"/>
              <w:rPr>
                <w:rFonts w:ascii="Tahoma" w:hAnsi="Tahoma" w:cs="Tahoma"/>
                <w:sz w:val="13"/>
              </w:rPr>
            </w:pPr>
          </w:p>
        </w:tc>
        <w:tc>
          <w:tcPr>
            <w:tcW w:w="450" w:type="dxa"/>
            <w:tcBorders>
              <w:bottom w:val="single" w:sz="4" w:space="0" w:color="auto"/>
            </w:tcBorders>
            <w:shd w:val="clear" w:color="auto" w:fill="FABF8F"/>
            <w:vAlign w:val="center"/>
          </w:tcPr>
          <w:p w:rsidR="00955DF1" w:rsidRPr="003410C7" w:rsidRDefault="00955DF1">
            <w:pPr>
              <w:pStyle w:val="TableText"/>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955DF1" w:rsidRPr="003410C7" w:rsidRDefault="00955DF1">
            <w:pPr>
              <w:pStyle w:val="TableText"/>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955DF1" w:rsidRPr="003410C7" w:rsidRDefault="00955DF1">
            <w:pPr>
              <w:pStyle w:val="TableText"/>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955DF1" w:rsidRPr="003410C7" w:rsidRDefault="00955DF1" w:rsidP="00BD5039">
            <w:pPr>
              <w:pStyle w:val="TableText"/>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rsidR="00955DF1" w:rsidRPr="003410C7" w:rsidRDefault="00955DF1">
            <w:pPr>
              <w:pStyle w:val="TableText"/>
              <w:rPr>
                <w:rFonts w:ascii="Tahoma" w:hAnsi="Tahoma" w:cs="Tahoma"/>
                <w:sz w:val="13"/>
              </w:rPr>
            </w:pPr>
          </w:p>
        </w:tc>
        <w:tc>
          <w:tcPr>
            <w:tcW w:w="450" w:type="dxa"/>
            <w:tcBorders>
              <w:bottom w:val="single" w:sz="4" w:space="0" w:color="auto"/>
            </w:tcBorders>
            <w:shd w:val="clear" w:color="auto" w:fill="FABF8F"/>
            <w:vAlign w:val="center"/>
          </w:tcPr>
          <w:p w:rsidR="00955DF1" w:rsidRPr="003410C7" w:rsidRDefault="00955DF1" w:rsidP="00722522">
            <w:pPr>
              <w:pStyle w:val="TableText"/>
              <w:rPr>
                <w:rFonts w:ascii="Tahoma" w:hAnsi="Tahoma" w:cs="Tahoma"/>
                <w:sz w:val="13"/>
              </w:rPr>
            </w:pPr>
          </w:p>
        </w:tc>
        <w:tc>
          <w:tcPr>
            <w:tcW w:w="540" w:type="dxa"/>
            <w:tcBorders>
              <w:bottom w:val="single" w:sz="4" w:space="0" w:color="auto"/>
            </w:tcBorders>
            <w:shd w:val="clear" w:color="auto" w:fill="FABF8F"/>
            <w:vAlign w:val="center"/>
          </w:tcPr>
          <w:p w:rsidR="00955DF1" w:rsidRPr="003410C7" w:rsidRDefault="00955DF1">
            <w:pPr>
              <w:pStyle w:val="TableText"/>
              <w:rPr>
                <w:rFonts w:ascii="Tahoma" w:hAnsi="Tahoma" w:cs="Tahoma"/>
                <w:sz w:val="13"/>
              </w:rPr>
            </w:pPr>
          </w:p>
        </w:tc>
      </w:tr>
    </w:tbl>
    <w:p w:rsidR="00091558" w:rsidRPr="003410C7" w:rsidRDefault="00091558">
      <w:pPr>
        <w:pStyle w:val="ProductPool"/>
      </w:pPr>
    </w:p>
    <w:p w:rsidR="0021637C" w:rsidRPr="003410C7" w:rsidRDefault="0021637C" w:rsidP="004E292A">
      <w:pPr>
        <w:pStyle w:val="Heading3"/>
      </w:pPr>
    </w:p>
    <w:p w:rsidR="00023FE7" w:rsidRPr="003410C7" w:rsidRDefault="00023FE7" w:rsidP="004E292A">
      <w:pPr>
        <w:pStyle w:val="Heading3"/>
      </w:pPr>
      <w:bookmarkStart w:id="143" w:name="_Toc336337908"/>
      <w:bookmarkStart w:id="144" w:name="_Toc352234514"/>
      <w:r w:rsidRPr="003410C7">
        <w:rPr>
          <w:rFonts w:ascii="Tahoma" w:hAnsi="Tahoma" w:cs="Tahoma"/>
          <w:sz w:val="22"/>
          <w:szCs w:val="22"/>
        </w:rPr>
        <w:t>POOL DI SERVER</w:t>
      </w:r>
      <w:bookmarkEnd w:id="143"/>
      <w:bookmarkEnd w:id="144"/>
    </w:p>
    <w:p w:rsidR="00023FE7" w:rsidRPr="003410C7" w:rsidRDefault="00023FE7"/>
    <w:tbl>
      <w:tblPr>
        <w:tblW w:w="10654" w:type="dxa"/>
        <w:tblInd w:w="-54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29" w:type="dxa"/>
          <w:right w:w="29" w:type="dxa"/>
        </w:tblCellMar>
        <w:tblLook w:val="0000" w:firstRow="0" w:lastRow="0" w:firstColumn="0" w:lastColumn="0" w:noHBand="0" w:noVBand="0"/>
      </w:tblPr>
      <w:tblGrid>
        <w:gridCol w:w="20"/>
        <w:gridCol w:w="2714"/>
        <w:gridCol w:w="450"/>
        <w:gridCol w:w="450"/>
        <w:gridCol w:w="360"/>
        <w:gridCol w:w="360"/>
        <w:gridCol w:w="450"/>
        <w:gridCol w:w="450"/>
        <w:gridCol w:w="450"/>
        <w:gridCol w:w="450"/>
        <w:gridCol w:w="450"/>
        <w:gridCol w:w="360"/>
        <w:gridCol w:w="450"/>
        <w:gridCol w:w="450"/>
        <w:gridCol w:w="450"/>
        <w:gridCol w:w="450"/>
        <w:gridCol w:w="450"/>
        <w:gridCol w:w="450"/>
        <w:gridCol w:w="450"/>
        <w:gridCol w:w="540"/>
      </w:tblGrid>
      <w:tr w:rsidR="001C38D4" w:rsidRPr="00B60E3C" w:rsidTr="007E466C">
        <w:trPr>
          <w:cantSplit/>
          <w:trHeight w:val="389"/>
          <w:tblHeader/>
        </w:trPr>
        <w:tc>
          <w:tcPr>
            <w:tcW w:w="2734" w:type="dxa"/>
            <w:gridSpan w:val="2"/>
            <w:vMerge w:val="restart"/>
            <w:tcBorders>
              <w:top w:val="single" w:sz="4" w:space="0" w:color="FFFFFF"/>
              <w:left w:val="single" w:sz="4" w:space="0" w:color="FFFFFF"/>
            </w:tcBorders>
          </w:tcPr>
          <w:p w:rsidR="00C031FA" w:rsidRPr="003410C7" w:rsidRDefault="00731840">
            <w:pPr>
              <w:rPr>
                <w:rFonts w:cs="Tahoma"/>
                <w:sz w:val="20"/>
              </w:rPr>
            </w:pPr>
            <w:r>
              <w:rPr>
                <w:rFonts w:cs="Tahoma"/>
                <w:noProof/>
              </w:rPr>
              <mc:AlternateContent>
                <mc:Choice Requires="wps">
                  <w:drawing>
                    <wp:anchor distT="0" distB="0" distL="114300" distR="114300" simplePos="0" relativeHeight="251663872" behindDoc="0" locked="0" layoutInCell="1" allowOverlap="1">
                      <wp:simplePos x="0" y="0"/>
                      <wp:positionH relativeFrom="column">
                        <wp:posOffset>1663700</wp:posOffset>
                      </wp:positionH>
                      <wp:positionV relativeFrom="paragraph">
                        <wp:posOffset>408940</wp:posOffset>
                      </wp:positionV>
                      <wp:extent cx="405130" cy="213995"/>
                      <wp:effectExtent l="0" t="0" r="0" b="0"/>
                      <wp:wrapNone/>
                      <wp:docPr id="9" name="Text Box 6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05130" cy="21399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F86FFF" w:rsidRDefault="00F86FFF">
                                  <w:pPr>
                                    <w:rPr>
                                      <w:color w:val="0000FF"/>
                                      <w:sz w:val="20"/>
                                    </w:rPr>
                                  </w:pPr>
                                  <w:r>
                                    <w:rPr>
                                      <w:rFonts w:cs="Tahoma"/>
                                      <w:b/>
                                      <w:color w:val="0000FF"/>
                                      <w:sz w:val="8"/>
                                    </w:rPr>
                                    <w:t>(Ctrl + Clic)</w:t>
                                  </w:r>
                                </w:p>
                              </w:txbxContent>
                            </wps:txbx>
                            <wps:bodyPr rot="0" vert="horz" wrap="square" lIns="91440" tIns="45720" rIns="91440" bIns="45720" anchor="t" anchorCtr="0" upright="1">
                              <a:spAutoFit/>
                            </wps:bodyPr>
                          </wps:wsp>
                        </a:graphicData>
                      </a:graphic>
                      <wp14:sizeRelH relativeFrom="margin">
                        <wp14:pctWidth>0</wp14:pctWidth>
                      </wp14:sizeRelH>
                      <wp14:sizeRelV relativeFrom="margin">
                        <wp14:pctHeight>20000</wp14:pctHeight>
                      </wp14:sizeRelV>
                    </wp:anchor>
                  </w:drawing>
                </mc:Choice>
                <mc:Fallback xmlns:w15="http://schemas.microsoft.com/office/word/2012/wordml">
                  <w:pict>
                    <v:shape id="Text Box 64" o:spid="_x0000_s1028" type="#_x0000_t202" style="position:absolute;margin-left:131pt;margin-top:32.2pt;width:31.9pt;height:16.85pt;z-index:251663872;visibility:visible;mso-wrap-style:square;mso-width-percent:0;mso-height-percent:200;mso-wrap-distance-left:9pt;mso-wrap-distance-top:0;mso-wrap-distance-right:9pt;mso-wrap-distance-bottom:0;mso-position-horizontal:absolute;mso-position-horizontal-relative:text;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bvp34tgIAAMAFAAAOAAAAZHJzL2Uyb0RvYy54bWysVG1vmzAQ/j5p/8Hyd8pLTRJQSdWGME3q&#10;XqR2P8ABE6yBzWwn0E377zubJE1bTZq28QHZvvNz99w9vqvrsWvRninNpchweBFgxEQpKy62Gf7y&#10;UHgLjLShoqKtFCzDj0zj6+XbN1dDn7JINrKtmEIAInQ69BlujOlT39dlwzqqL2TPBBhrqTpqYKu2&#10;fqXoAOhd60dBMPMHqapeyZJpDaf5ZMRLh1/XrDSf6lozg9oMQ27G/ZX7b+zfX17RdKto3/DykAb9&#10;iyw6ygUEPUHl1FC0U/wVVMdLJbWszUUpO1/WNS+Z4wBswuAFm/uG9sxxgeLo/lQm/f9gy4/7zwrx&#10;KsMJRoJ20KIHNhp0K0c0I7Y8Q69T8Lrvwc+McA5tdlR1fyfLrxoJuWqo2LIbpeTQMFpBeqG96Z9d&#10;nXC0BdkMH2QFcejOSAc01qqztYNqIECHNj2eWmNzKeGQBHF4CZYSTFF4mSSxi0DT4+VeafOOyQ7Z&#10;RYYVdN6B0/2dNjYZmh5dbCwhC962rvuteHYAjtMJhIar1maTcM38kQTJerFeEI9Es7VHgjz3booV&#10;8WZFOI/zy3y1ysOfNm5I0oZXFRM2zFFYIfmzxh0kPkniJC0tW15ZOJuSVtvNqlVoT0HYhfsOBTlz&#10;85+n4YoAXF5QCiMS3EaJV8wWc48UJPaSebDwgjC5TWYBSUhePKd0xwX7d0poAM3FUTxp6bfcAve9&#10;5kbTjhsYHS3vMrw4OdHUKnAtKtdaQ3k7rc9KYdN/KgW0+9hop1cr0UmsZtyM7mVENrrV8kZWjyBg&#10;JUFgoEUYe7BopPqO0QAjJMP6244qhlH7XsAjSEJC7MxxGxLPI9ioc8vm3EJFCVAZNhhNy5WZ5tSu&#10;V3zbQKTjs7uBh1NwJ+qnrA7PDcaE43YYaXYOne+d19PgXf4CAAD//wMAUEsDBBQABgAIAAAAIQB+&#10;H22D3wAAAAkBAAAPAAAAZHJzL2Rvd25yZXYueG1sTI/LTsMwEEX3SPyDNUjsqFNT0hLiVBVqyxJo&#10;I9ZuPCQR8UO2m4a/Z1jBcjRX955TriczsBFD7J2VMJ9lwNA2Tve2lVAfd3crYDEpq9XgLEr4xgjr&#10;6vqqVIV2F/uO4yG1jEpsLJSELiVfcB6bDo2KM+fR0u/TBaMSnaHlOqgLlZuBiyzLuVG9pYVOeXzu&#10;sPk6nI0En/x++RJe3zbb3ZjVH/ta9O1WytubafMELOGU/sLwi0/oUBHTyZ2tjmyQIHJBLklCvlgA&#10;o8C9eCCXk4TH1Rx4VfL/BtUPAAAA//8DAFBLAQItABQABgAIAAAAIQC2gziS/gAAAOEBAAATAAAA&#10;AAAAAAAAAAAAAAAAAABbQ29udGVudF9UeXBlc10ueG1sUEsBAi0AFAAGAAgAAAAhADj9If/WAAAA&#10;lAEAAAsAAAAAAAAAAAAAAAAALwEAAF9yZWxzLy5yZWxzUEsBAi0AFAAGAAgAAAAhANu+nfi2AgAA&#10;wAUAAA4AAAAAAAAAAAAAAAAALgIAAGRycy9lMm9Eb2MueG1sUEsBAi0AFAAGAAgAAAAhAH4fbYPf&#10;AAAACQEAAA8AAAAAAAAAAAAAAAAAEAUAAGRycy9kb3ducmV2LnhtbFBLBQYAAAAABAAEAPMAAAAc&#10;BgAAAAA=&#10;" filled="f" stroked="f">
                      <v:textbox style="mso-fit-shape-to-text:t">
                        <w:txbxContent>
                          <w:p w:rsidR="00F86FFF" w:rsidRDefault="00F86FFF">
                            <w:pPr>
                              <w:rPr>
                                <w:color w:val="0000FF"/>
                                <w:sz w:val="20"/>
                              </w:rPr>
                            </w:pPr>
                            <w:r>
                              <w:rPr>
                                <w:rFonts w:cs="Tahoma"/>
                                <w:b/>
                                <w:color w:val="0000FF"/>
                                <w:sz w:val="8"/>
                              </w:rPr>
                              <w:t>(Ctrl + Clic)</w:t>
                            </w:r>
                          </w:p>
                        </w:txbxContent>
                      </v:textbox>
                    </v:shape>
                  </w:pict>
                </mc:Fallback>
              </mc:AlternateContent>
            </w:r>
          </w:p>
        </w:tc>
        <w:tc>
          <w:tcPr>
            <w:tcW w:w="450" w:type="dxa"/>
            <w:vMerge w:val="restart"/>
            <w:tcBorders>
              <w:top w:val="single" w:sz="12" w:space="0" w:color="auto"/>
            </w:tcBorders>
            <w:textDirection w:val="btLr"/>
            <w:vAlign w:val="center"/>
          </w:tcPr>
          <w:p w:rsidR="00C031FA" w:rsidRPr="009F17FF" w:rsidRDefault="007646F5" w:rsidP="007646F5">
            <w:pPr>
              <w:pStyle w:val="TableVerticalText"/>
              <w:rPr>
                <w:rFonts w:ascii="Tahoma" w:hAnsi="Tahoma" w:cs="Tahoma"/>
                <w:sz w:val="9"/>
                <w:szCs w:val="9"/>
              </w:rPr>
            </w:pPr>
            <w:r w:rsidRPr="003511B3">
              <w:rPr>
                <w:rFonts w:ascii="Tahoma" w:hAnsi="Tahoma" w:cs="Tahoma"/>
              </w:rPr>
              <w:t>Note del Prodotto</w:t>
            </w:r>
          </w:p>
        </w:tc>
        <w:tc>
          <w:tcPr>
            <w:tcW w:w="450" w:type="dxa"/>
            <w:vMerge w:val="restart"/>
            <w:tcBorders>
              <w:top w:val="single" w:sz="12" w:space="0" w:color="auto"/>
            </w:tcBorders>
            <w:textDirection w:val="btLr"/>
          </w:tcPr>
          <w:p w:rsidR="00C031FA" w:rsidRPr="009F17FF" w:rsidRDefault="00C031FA">
            <w:pPr>
              <w:pStyle w:val="TableVerticalText"/>
              <w:rPr>
                <w:rFonts w:ascii="Tahoma" w:hAnsi="Tahoma" w:cs="Tahoma"/>
                <w:sz w:val="9"/>
                <w:szCs w:val="9"/>
              </w:rPr>
            </w:pPr>
          </w:p>
          <w:p w:rsidR="00C031FA" w:rsidRPr="009F17FF" w:rsidRDefault="00C031FA">
            <w:pPr>
              <w:pStyle w:val="TableVerticalText"/>
              <w:rPr>
                <w:rFonts w:ascii="Tahoma" w:hAnsi="Tahoma" w:cs="Tahoma"/>
                <w:sz w:val="9"/>
                <w:szCs w:val="9"/>
              </w:rPr>
            </w:pPr>
            <w:r w:rsidRPr="009F17FF">
              <w:rPr>
                <w:rFonts w:ascii="Tahoma" w:hAnsi="Tahoma" w:cs="Tahoma"/>
                <w:sz w:val="9"/>
                <w:szCs w:val="9"/>
              </w:rPr>
              <w:t>Data Disponibilità</w:t>
            </w:r>
          </w:p>
        </w:tc>
        <w:tc>
          <w:tcPr>
            <w:tcW w:w="360" w:type="dxa"/>
            <w:vMerge w:val="restart"/>
            <w:tcBorders>
              <w:top w:val="single" w:sz="12" w:space="0" w:color="auto"/>
              <w:right w:val="single" w:sz="18" w:space="0" w:color="auto"/>
            </w:tcBorders>
            <w:textDirection w:val="btLr"/>
            <w:vAlign w:val="center"/>
          </w:tcPr>
          <w:p w:rsidR="00C031FA" w:rsidRPr="003410C7" w:rsidRDefault="00C031FA">
            <w:pPr>
              <w:pStyle w:val="TableVerticalText"/>
              <w:rPr>
                <w:rFonts w:ascii="Tahoma" w:hAnsi="Tahoma" w:cs="Tahoma"/>
                <w:sz w:val="9"/>
              </w:rPr>
            </w:pPr>
            <w:r w:rsidRPr="003410C7">
              <w:rPr>
                <w:rFonts w:ascii="Tahoma" w:hAnsi="Tahoma" w:cs="Tahoma"/>
                <w:sz w:val="9"/>
              </w:rPr>
              <w:t>SAB / OLB</w:t>
            </w:r>
          </w:p>
        </w:tc>
        <w:tc>
          <w:tcPr>
            <w:tcW w:w="2970" w:type="dxa"/>
            <w:gridSpan w:val="7"/>
            <w:tcBorders>
              <w:top w:val="single" w:sz="12" w:space="0" w:color="auto"/>
              <w:left w:val="single" w:sz="18" w:space="0" w:color="auto"/>
              <w:right w:val="single" w:sz="18" w:space="0" w:color="auto"/>
            </w:tcBorders>
            <w:vAlign w:val="center"/>
          </w:tcPr>
          <w:p w:rsidR="00C031FA" w:rsidRPr="003410C7" w:rsidRDefault="00C031FA">
            <w:pPr>
              <w:pStyle w:val="TableHeadingsBlack"/>
              <w:rPr>
                <w:rFonts w:ascii="Tahoma" w:hAnsi="Tahoma" w:cs="Tahoma"/>
              </w:rPr>
            </w:pPr>
            <w:r w:rsidRPr="003410C7">
              <w:rPr>
                <w:rFonts w:ascii="Tahoma" w:hAnsi="Tahoma" w:cs="Tahoma"/>
              </w:rPr>
              <w:t>Select / Select Plus*</w:t>
            </w:r>
          </w:p>
        </w:tc>
        <w:tc>
          <w:tcPr>
            <w:tcW w:w="1350" w:type="dxa"/>
            <w:gridSpan w:val="3"/>
            <w:tcBorders>
              <w:top w:val="single" w:sz="12" w:space="0" w:color="auto"/>
              <w:left w:val="single" w:sz="18" w:space="0" w:color="auto"/>
              <w:right w:val="single" w:sz="18" w:space="0" w:color="auto"/>
            </w:tcBorders>
            <w:vAlign w:val="center"/>
          </w:tcPr>
          <w:p w:rsidR="00C031FA" w:rsidRPr="003410C7" w:rsidRDefault="00C031FA">
            <w:pPr>
              <w:pStyle w:val="TableHeadingsBlack"/>
              <w:rPr>
                <w:rFonts w:ascii="Tahoma" w:hAnsi="Tahoma" w:cs="Tahoma"/>
                <w:szCs w:val="11"/>
              </w:rPr>
            </w:pPr>
            <w:r w:rsidRPr="003410C7">
              <w:rPr>
                <w:rFonts w:ascii="Tahoma" w:hAnsi="Tahoma" w:cs="Tahoma"/>
                <w:szCs w:val="11"/>
              </w:rPr>
              <w:t>Licenza Open</w:t>
            </w:r>
          </w:p>
        </w:tc>
        <w:tc>
          <w:tcPr>
            <w:tcW w:w="450" w:type="dxa"/>
            <w:vMerge w:val="restart"/>
            <w:tcBorders>
              <w:top w:val="single" w:sz="12" w:space="0" w:color="auto"/>
              <w:left w:val="single" w:sz="18" w:space="0" w:color="auto"/>
            </w:tcBorders>
            <w:textDirection w:val="btLr"/>
            <w:vAlign w:val="center"/>
          </w:tcPr>
          <w:p w:rsidR="00C031FA" w:rsidRPr="003410C7" w:rsidRDefault="00C031FA">
            <w:pPr>
              <w:pStyle w:val="TableVerticalText"/>
              <w:rPr>
                <w:rFonts w:ascii="Tahoma" w:hAnsi="Tahoma" w:cs="Tahoma"/>
                <w:sz w:val="9"/>
              </w:rPr>
            </w:pPr>
            <w:r w:rsidRPr="003410C7">
              <w:rPr>
                <w:rFonts w:ascii="Tahoma" w:hAnsi="Tahoma" w:cs="Tahoma"/>
                <w:sz w:val="9"/>
              </w:rPr>
              <w:t>Unità Campus/School</w:t>
            </w:r>
          </w:p>
        </w:tc>
        <w:tc>
          <w:tcPr>
            <w:tcW w:w="450" w:type="dxa"/>
            <w:vMerge w:val="restart"/>
            <w:tcBorders>
              <w:top w:val="single" w:sz="12" w:space="0" w:color="auto"/>
              <w:right w:val="single" w:sz="18" w:space="0" w:color="auto"/>
            </w:tcBorders>
            <w:textDirection w:val="btLr"/>
            <w:vAlign w:val="center"/>
          </w:tcPr>
          <w:p w:rsidR="00C031FA" w:rsidRPr="003410C7" w:rsidRDefault="00C031FA">
            <w:pPr>
              <w:pStyle w:val="TableVerticalText"/>
              <w:rPr>
                <w:rFonts w:ascii="Tahoma" w:hAnsi="Tahoma" w:cs="Tahoma"/>
                <w:sz w:val="9"/>
              </w:rPr>
            </w:pPr>
            <w:r w:rsidRPr="003410C7">
              <w:rPr>
                <w:rFonts w:ascii="Tahoma" w:hAnsi="Tahoma" w:cs="Tahoma"/>
                <w:sz w:val="9"/>
              </w:rPr>
              <w:t xml:space="preserve">EA ed </w:t>
            </w:r>
            <w:r w:rsidRPr="003410C7">
              <w:rPr>
                <w:rFonts w:ascii="Tahoma" w:hAnsi="Tahoma" w:cs="Tahoma"/>
                <w:sz w:val="9"/>
              </w:rPr>
              <w:br/>
              <w:t>EA Sub</w:t>
            </w:r>
          </w:p>
        </w:tc>
        <w:tc>
          <w:tcPr>
            <w:tcW w:w="450" w:type="dxa"/>
            <w:vMerge w:val="restart"/>
            <w:tcBorders>
              <w:top w:val="single" w:sz="12" w:space="0" w:color="auto"/>
              <w:left w:val="single" w:sz="18" w:space="0" w:color="auto"/>
              <w:right w:val="single" w:sz="18" w:space="0" w:color="auto"/>
            </w:tcBorders>
            <w:textDirection w:val="btLr"/>
            <w:vAlign w:val="center"/>
          </w:tcPr>
          <w:p w:rsidR="00C031FA" w:rsidRPr="003410C7" w:rsidRDefault="00C031FA">
            <w:pPr>
              <w:pStyle w:val="TableVerticalText"/>
              <w:rPr>
                <w:rFonts w:ascii="Tahoma" w:hAnsi="Tahoma" w:cs="Tahoma"/>
                <w:sz w:val="9"/>
              </w:rPr>
            </w:pPr>
            <w:r w:rsidRPr="003410C7">
              <w:rPr>
                <w:rFonts w:ascii="Tahoma" w:hAnsi="Tahoma" w:cs="Tahoma"/>
                <w:sz w:val="9"/>
              </w:rPr>
              <w:t>OV / OVS</w:t>
            </w:r>
          </w:p>
        </w:tc>
        <w:tc>
          <w:tcPr>
            <w:tcW w:w="450" w:type="dxa"/>
            <w:vMerge w:val="restart"/>
            <w:tcBorders>
              <w:top w:val="single" w:sz="12" w:space="0" w:color="auto"/>
            </w:tcBorders>
            <w:textDirection w:val="btLr"/>
          </w:tcPr>
          <w:p w:rsidR="00C031FA" w:rsidRPr="003410C7" w:rsidRDefault="00C031FA" w:rsidP="00384940">
            <w:pPr>
              <w:pStyle w:val="TableVerticalText"/>
              <w:spacing w:before="120"/>
              <w:rPr>
                <w:rFonts w:ascii="Tahoma" w:hAnsi="Tahoma" w:cs="Tahoma"/>
                <w:sz w:val="9"/>
              </w:rPr>
            </w:pPr>
            <w:r w:rsidRPr="003410C7">
              <w:rPr>
                <w:rFonts w:ascii="Tahoma" w:hAnsi="Tahoma" w:cs="Tahoma"/>
                <w:sz w:val="9"/>
              </w:rPr>
              <w:t>EES / OVS - ES</w:t>
            </w:r>
          </w:p>
        </w:tc>
        <w:tc>
          <w:tcPr>
            <w:tcW w:w="540" w:type="dxa"/>
            <w:vMerge w:val="restart"/>
            <w:tcBorders>
              <w:top w:val="single" w:sz="12" w:space="0" w:color="auto"/>
            </w:tcBorders>
            <w:textDirection w:val="btLr"/>
            <w:vAlign w:val="center"/>
          </w:tcPr>
          <w:p w:rsidR="00C031FA" w:rsidRPr="00451078" w:rsidRDefault="00C031FA" w:rsidP="00456002">
            <w:pPr>
              <w:pStyle w:val="TableVerticalText"/>
              <w:rPr>
                <w:rFonts w:ascii="Tahoma" w:hAnsi="Tahoma" w:cs="Tahoma"/>
                <w:sz w:val="9"/>
                <w:lang w:val="it-IT"/>
              </w:rPr>
            </w:pPr>
            <w:r w:rsidRPr="00451078">
              <w:rPr>
                <w:rFonts w:ascii="Tahoma" w:hAnsi="Tahoma" w:cs="Tahoma"/>
                <w:sz w:val="9"/>
                <w:lang w:val="it-IT"/>
              </w:rPr>
              <w:t>Requisito minimo per i Programmi Open</w:t>
            </w:r>
          </w:p>
        </w:tc>
      </w:tr>
      <w:tr w:rsidR="001C38D4" w:rsidRPr="003410C7" w:rsidTr="007E466C">
        <w:trPr>
          <w:cantSplit/>
          <w:trHeight w:val="262"/>
          <w:tblHeader/>
        </w:trPr>
        <w:tc>
          <w:tcPr>
            <w:tcW w:w="2734" w:type="dxa"/>
            <w:gridSpan w:val="2"/>
            <w:vMerge/>
            <w:tcBorders>
              <w:left w:val="single" w:sz="4" w:space="0" w:color="FFFFFF"/>
            </w:tcBorders>
          </w:tcPr>
          <w:p w:rsidR="00C031FA" w:rsidRPr="00451078" w:rsidRDefault="00C031FA">
            <w:pPr>
              <w:rPr>
                <w:rFonts w:cs="Tahoma"/>
                <w:sz w:val="20"/>
                <w:lang w:val="it-IT"/>
              </w:rPr>
            </w:pPr>
          </w:p>
        </w:tc>
        <w:tc>
          <w:tcPr>
            <w:tcW w:w="450" w:type="dxa"/>
            <w:vMerge/>
          </w:tcPr>
          <w:p w:rsidR="00C031FA" w:rsidRPr="00451078" w:rsidRDefault="00C031FA">
            <w:pPr>
              <w:rPr>
                <w:rFonts w:ascii="Trebuchet MS" w:hAnsi="Trebuchet MS" w:cs="Tahoma"/>
                <w:b/>
                <w:sz w:val="13"/>
                <w:szCs w:val="13"/>
                <w:lang w:val="it-IT"/>
              </w:rPr>
            </w:pPr>
          </w:p>
        </w:tc>
        <w:tc>
          <w:tcPr>
            <w:tcW w:w="450" w:type="dxa"/>
            <w:vMerge/>
          </w:tcPr>
          <w:p w:rsidR="00C031FA" w:rsidRPr="00451078" w:rsidRDefault="00C031FA">
            <w:pPr>
              <w:rPr>
                <w:rFonts w:cs="Tahoma"/>
                <w:sz w:val="20"/>
                <w:lang w:val="it-IT"/>
              </w:rPr>
            </w:pPr>
          </w:p>
        </w:tc>
        <w:tc>
          <w:tcPr>
            <w:tcW w:w="360" w:type="dxa"/>
            <w:vMerge/>
            <w:tcBorders>
              <w:right w:val="single" w:sz="18" w:space="0" w:color="auto"/>
            </w:tcBorders>
          </w:tcPr>
          <w:p w:rsidR="00C031FA" w:rsidRPr="00451078" w:rsidRDefault="00C031FA">
            <w:pPr>
              <w:rPr>
                <w:rFonts w:cs="Tahoma"/>
                <w:sz w:val="20"/>
                <w:lang w:val="it-IT"/>
              </w:rPr>
            </w:pPr>
          </w:p>
        </w:tc>
        <w:tc>
          <w:tcPr>
            <w:tcW w:w="360" w:type="dxa"/>
            <w:vMerge w:val="restart"/>
            <w:tcBorders>
              <w:left w:val="single" w:sz="18" w:space="0" w:color="auto"/>
            </w:tcBorders>
            <w:vAlign w:val="center"/>
          </w:tcPr>
          <w:p w:rsidR="00C031FA" w:rsidRPr="003410C7" w:rsidRDefault="00C031FA">
            <w:pPr>
              <w:pStyle w:val="TableHeadingsRed"/>
              <w:rPr>
                <w:rFonts w:ascii="Tahoma" w:hAnsi="Tahoma" w:cs="Tahoma"/>
                <w:sz w:val="9"/>
              </w:rPr>
            </w:pPr>
            <w:r w:rsidRPr="003410C7">
              <w:rPr>
                <w:rFonts w:ascii="Tahoma" w:hAnsi="Tahoma" w:cs="Tahoma"/>
                <w:sz w:val="9"/>
              </w:rPr>
              <w:t>L</w:t>
            </w:r>
          </w:p>
        </w:tc>
        <w:tc>
          <w:tcPr>
            <w:tcW w:w="1350" w:type="dxa"/>
            <w:gridSpan w:val="3"/>
            <w:vAlign w:val="center"/>
          </w:tcPr>
          <w:p w:rsidR="00C031FA" w:rsidRPr="003410C7" w:rsidRDefault="00C031FA">
            <w:pPr>
              <w:pStyle w:val="TableHeadingsGreen"/>
              <w:rPr>
                <w:rFonts w:ascii="Tahoma" w:hAnsi="Tahoma" w:cs="Tahoma"/>
                <w:sz w:val="9"/>
              </w:rPr>
            </w:pPr>
            <w:r w:rsidRPr="003410C7">
              <w:rPr>
                <w:rFonts w:ascii="Tahoma" w:hAnsi="Tahoma" w:cs="Tahoma"/>
                <w:sz w:val="9"/>
              </w:rPr>
              <w:t>L&amp;SA</w:t>
            </w:r>
          </w:p>
        </w:tc>
        <w:tc>
          <w:tcPr>
            <w:tcW w:w="1260" w:type="dxa"/>
            <w:gridSpan w:val="3"/>
            <w:tcBorders>
              <w:right w:val="single" w:sz="18" w:space="0" w:color="auto"/>
            </w:tcBorders>
            <w:vAlign w:val="center"/>
          </w:tcPr>
          <w:p w:rsidR="00C031FA" w:rsidRPr="003410C7" w:rsidRDefault="00C031FA">
            <w:pPr>
              <w:pStyle w:val="TableHeadingsBlue"/>
              <w:rPr>
                <w:rFonts w:ascii="Tahoma" w:hAnsi="Tahoma" w:cs="Tahoma"/>
                <w:sz w:val="9"/>
              </w:rPr>
            </w:pPr>
            <w:r w:rsidRPr="003410C7">
              <w:rPr>
                <w:rFonts w:ascii="Tahoma" w:hAnsi="Tahoma" w:cs="Tahoma"/>
                <w:sz w:val="9"/>
              </w:rPr>
              <w:t>SA</w:t>
            </w:r>
          </w:p>
        </w:tc>
        <w:tc>
          <w:tcPr>
            <w:tcW w:w="450" w:type="dxa"/>
            <w:vMerge w:val="restart"/>
            <w:tcBorders>
              <w:left w:val="single" w:sz="18" w:space="0" w:color="auto"/>
            </w:tcBorders>
            <w:vAlign w:val="center"/>
          </w:tcPr>
          <w:p w:rsidR="00C031FA" w:rsidRPr="003410C7" w:rsidRDefault="00C031FA">
            <w:pPr>
              <w:pStyle w:val="TableHeadingsRed"/>
              <w:rPr>
                <w:rFonts w:ascii="Tahoma" w:hAnsi="Tahoma" w:cs="Tahoma"/>
                <w:sz w:val="9"/>
              </w:rPr>
            </w:pPr>
            <w:r w:rsidRPr="003410C7">
              <w:rPr>
                <w:rFonts w:ascii="Tahoma" w:hAnsi="Tahoma" w:cs="Tahoma"/>
                <w:sz w:val="9"/>
              </w:rPr>
              <w:t>L</w:t>
            </w:r>
          </w:p>
        </w:tc>
        <w:tc>
          <w:tcPr>
            <w:tcW w:w="450" w:type="dxa"/>
            <w:vAlign w:val="center"/>
          </w:tcPr>
          <w:p w:rsidR="00C031FA" w:rsidRPr="003410C7" w:rsidRDefault="00C031FA">
            <w:pPr>
              <w:pStyle w:val="TableHeadingsGreen"/>
              <w:rPr>
                <w:rFonts w:ascii="Tahoma" w:hAnsi="Tahoma" w:cs="Tahoma"/>
                <w:sz w:val="9"/>
              </w:rPr>
            </w:pPr>
            <w:r w:rsidRPr="003410C7">
              <w:rPr>
                <w:rFonts w:ascii="Tahoma" w:hAnsi="Tahoma" w:cs="Tahoma"/>
                <w:sz w:val="9"/>
              </w:rPr>
              <w:t>L&amp;SA</w:t>
            </w:r>
          </w:p>
        </w:tc>
        <w:tc>
          <w:tcPr>
            <w:tcW w:w="450" w:type="dxa"/>
            <w:vMerge w:val="restart"/>
            <w:tcBorders>
              <w:right w:val="single" w:sz="18" w:space="0" w:color="auto"/>
            </w:tcBorders>
            <w:vAlign w:val="center"/>
          </w:tcPr>
          <w:p w:rsidR="00C031FA" w:rsidRPr="003410C7" w:rsidRDefault="00C031FA">
            <w:pPr>
              <w:pStyle w:val="TableHeadingsBlue"/>
              <w:rPr>
                <w:rFonts w:ascii="Tahoma" w:hAnsi="Tahoma" w:cs="Tahoma"/>
                <w:sz w:val="9"/>
              </w:rPr>
            </w:pPr>
            <w:r w:rsidRPr="003410C7">
              <w:rPr>
                <w:rFonts w:ascii="Tahoma" w:hAnsi="Tahoma" w:cs="Tahoma"/>
                <w:sz w:val="9"/>
              </w:rPr>
              <w:t>SA</w:t>
            </w:r>
          </w:p>
        </w:tc>
        <w:tc>
          <w:tcPr>
            <w:tcW w:w="450" w:type="dxa"/>
            <w:vMerge/>
            <w:tcBorders>
              <w:left w:val="single" w:sz="18" w:space="0" w:color="auto"/>
            </w:tcBorders>
          </w:tcPr>
          <w:p w:rsidR="00C031FA" w:rsidRPr="003410C7" w:rsidRDefault="00C031FA">
            <w:pPr>
              <w:rPr>
                <w:rFonts w:cs="Tahoma"/>
                <w:sz w:val="20"/>
              </w:rPr>
            </w:pPr>
          </w:p>
        </w:tc>
        <w:tc>
          <w:tcPr>
            <w:tcW w:w="450" w:type="dxa"/>
            <w:vMerge/>
            <w:tcBorders>
              <w:right w:val="single" w:sz="18" w:space="0" w:color="auto"/>
            </w:tcBorders>
          </w:tcPr>
          <w:p w:rsidR="00C031FA" w:rsidRPr="003410C7" w:rsidRDefault="00C031FA">
            <w:pPr>
              <w:rPr>
                <w:rFonts w:cs="Tahoma"/>
                <w:sz w:val="20"/>
              </w:rPr>
            </w:pPr>
          </w:p>
        </w:tc>
        <w:tc>
          <w:tcPr>
            <w:tcW w:w="450" w:type="dxa"/>
            <w:vMerge/>
            <w:tcBorders>
              <w:left w:val="single" w:sz="18" w:space="0" w:color="auto"/>
              <w:right w:val="single" w:sz="18" w:space="0" w:color="auto"/>
            </w:tcBorders>
          </w:tcPr>
          <w:p w:rsidR="00C031FA" w:rsidRPr="003410C7" w:rsidRDefault="00C031FA">
            <w:pPr>
              <w:rPr>
                <w:rFonts w:cs="Tahoma"/>
                <w:sz w:val="20"/>
              </w:rPr>
            </w:pPr>
          </w:p>
        </w:tc>
        <w:tc>
          <w:tcPr>
            <w:tcW w:w="450" w:type="dxa"/>
            <w:vMerge/>
          </w:tcPr>
          <w:p w:rsidR="00C031FA" w:rsidRPr="003410C7" w:rsidRDefault="00C031FA">
            <w:pPr>
              <w:rPr>
                <w:rFonts w:cs="Tahoma"/>
                <w:sz w:val="20"/>
              </w:rPr>
            </w:pPr>
          </w:p>
        </w:tc>
        <w:tc>
          <w:tcPr>
            <w:tcW w:w="540" w:type="dxa"/>
            <w:vMerge/>
          </w:tcPr>
          <w:p w:rsidR="00C031FA" w:rsidRPr="003410C7" w:rsidRDefault="00C031FA">
            <w:pPr>
              <w:rPr>
                <w:rFonts w:cs="Tahoma"/>
                <w:sz w:val="20"/>
              </w:rPr>
            </w:pPr>
          </w:p>
        </w:tc>
      </w:tr>
      <w:tr w:rsidR="001C38D4" w:rsidRPr="003410C7" w:rsidTr="007E466C">
        <w:trPr>
          <w:cantSplit/>
          <w:trHeight w:val="287"/>
          <w:tblHeader/>
        </w:trPr>
        <w:tc>
          <w:tcPr>
            <w:tcW w:w="2734" w:type="dxa"/>
            <w:gridSpan w:val="2"/>
            <w:vMerge/>
            <w:tcBorders>
              <w:left w:val="single" w:sz="4" w:space="0" w:color="FFFFFF"/>
              <w:bottom w:val="single" w:sz="4" w:space="0" w:color="auto"/>
            </w:tcBorders>
          </w:tcPr>
          <w:p w:rsidR="00C031FA" w:rsidRPr="003410C7" w:rsidRDefault="00C031FA">
            <w:pPr>
              <w:rPr>
                <w:rFonts w:cs="Tahoma"/>
                <w:sz w:val="20"/>
              </w:rPr>
            </w:pPr>
          </w:p>
        </w:tc>
        <w:tc>
          <w:tcPr>
            <w:tcW w:w="450" w:type="dxa"/>
            <w:vMerge/>
            <w:tcBorders>
              <w:bottom w:val="single" w:sz="4" w:space="0" w:color="auto"/>
            </w:tcBorders>
          </w:tcPr>
          <w:p w:rsidR="00C031FA" w:rsidRPr="009F17FF" w:rsidRDefault="00C031FA">
            <w:pPr>
              <w:rPr>
                <w:rFonts w:ascii="Trebuchet MS" w:hAnsi="Trebuchet MS" w:cs="Tahoma"/>
                <w:b/>
                <w:sz w:val="13"/>
                <w:szCs w:val="13"/>
              </w:rPr>
            </w:pPr>
          </w:p>
        </w:tc>
        <w:tc>
          <w:tcPr>
            <w:tcW w:w="450" w:type="dxa"/>
            <w:vMerge/>
            <w:tcBorders>
              <w:bottom w:val="single" w:sz="4" w:space="0" w:color="auto"/>
            </w:tcBorders>
          </w:tcPr>
          <w:p w:rsidR="00C031FA" w:rsidRPr="003410C7" w:rsidRDefault="00C031FA">
            <w:pPr>
              <w:rPr>
                <w:rFonts w:cs="Tahoma"/>
                <w:sz w:val="20"/>
              </w:rPr>
            </w:pPr>
          </w:p>
        </w:tc>
        <w:tc>
          <w:tcPr>
            <w:tcW w:w="360" w:type="dxa"/>
            <w:vMerge/>
            <w:tcBorders>
              <w:bottom w:val="single" w:sz="4" w:space="0" w:color="auto"/>
              <w:right w:val="single" w:sz="18" w:space="0" w:color="auto"/>
            </w:tcBorders>
          </w:tcPr>
          <w:p w:rsidR="00C031FA" w:rsidRPr="003410C7" w:rsidRDefault="00C031FA">
            <w:pPr>
              <w:rPr>
                <w:rFonts w:cs="Tahoma"/>
                <w:sz w:val="20"/>
              </w:rPr>
            </w:pPr>
          </w:p>
        </w:tc>
        <w:tc>
          <w:tcPr>
            <w:tcW w:w="360" w:type="dxa"/>
            <w:vMerge/>
            <w:tcBorders>
              <w:left w:val="single" w:sz="18" w:space="0" w:color="auto"/>
              <w:bottom w:val="single" w:sz="4" w:space="0" w:color="auto"/>
            </w:tcBorders>
            <w:vAlign w:val="center"/>
          </w:tcPr>
          <w:p w:rsidR="00C031FA" w:rsidRPr="003410C7" w:rsidRDefault="00C031FA">
            <w:pPr>
              <w:jc w:val="center"/>
              <w:rPr>
                <w:rFonts w:cs="Tahoma"/>
                <w:sz w:val="20"/>
              </w:rPr>
            </w:pPr>
          </w:p>
        </w:tc>
        <w:tc>
          <w:tcPr>
            <w:tcW w:w="450" w:type="dxa"/>
            <w:tcBorders>
              <w:bottom w:val="single" w:sz="4" w:space="0" w:color="auto"/>
            </w:tcBorders>
            <w:vAlign w:val="center"/>
          </w:tcPr>
          <w:p w:rsidR="00C031FA" w:rsidRPr="003410C7" w:rsidRDefault="00C031FA">
            <w:pPr>
              <w:pStyle w:val="TableHeadingsGreen"/>
              <w:rPr>
                <w:rFonts w:ascii="Tahoma" w:hAnsi="Tahoma" w:cs="Tahoma"/>
                <w:sz w:val="9"/>
              </w:rPr>
            </w:pPr>
            <w:r w:rsidRPr="003410C7">
              <w:rPr>
                <w:rFonts w:ascii="Tahoma" w:hAnsi="Tahoma" w:cs="Tahoma"/>
                <w:sz w:val="9"/>
              </w:rPr>
              <w:t>3An</w:t>
            </w:r>
          </w:p>
        </w:tc>
        <w:tc>
          <w:tcPr>
            <w:tcW w:w="450" w:type="dxa"/>
            <w:tcBorders>
              <w:bottom w:val="single" w:sz="4" w:space="0" w:color="auto"/>
            </w:tcBorders>
            <w:vAlign w:val="center"/>
          </w:tcPr>
          <w:p w:rsidR="00C031FA" w:rsidRPr="003410C7" w:rsidRDefault="00C031FA">
            <w:pPr>
              <w:pStyle w:val="TableHeadingsGreen"/>
              <w:rPr>
                <w:rFonts w:ascii="Tahoma" w:hAnsi="Tahoma" w:cs="Tahoma"/>
                <w:sz w:val="9"/>
              </w:rPr>
            </w:pPr>
            <w:r w:rsidRPr="003410C7">
              <w:rPr>
                <w:rFonts w:ascii="Tahoma" w:hAnsi="Tahoma" w:cs="Tahoma"/>
                <w:sz w:val="9"/>
              </w:rPr>
              <w:t>2An</w:t>
            </w:r>
          </w:p>
        </w:tc>
        <w:tc>
          <w:tcPr>
            <w:tcW w:w="450" w:type="dxa"/>
            <w:tcBorders>
              <w:bottom w:val="single" w:sz="4" w:space="0" w:color="auto"/>
            </w:tcBorders>
            <w:vAlign w:val="center"/>
          </w:tcPr>
          <w:p w:rsidR="00C031FA" w:rsidRPr="003410C7" w:rsidRDefault="00C031FA">
            <w:pPr>
              <w:pStyle w:val="TableHeadingsGreen"/>
              <w:rPr>
                <w:rFonts w:ascii="Tahoma" w:hAnsi="Tahoma" w:cs="Tahoma"/>
                <w:sz w:val="9"/>
              </w:rPr>
            </w:pPr>
            <w:r w:rsidRPr="003410C7">
              <w:rPr>
                <w:rFonts w:ascii="Tahoma" w:hAnsi="Tahoma" w:cs="Tahoma"/>
                <w:sz w:val="9"/>
              </w:rPr>
              <w:t>1An</w:t>
            </w:r>
          </w:p>
        </w:tc>
        <w:tc>
          <w:tcPr>
            <w:tcW w:w="450" w:type="dxa"/>
            <w:tcBorders>
              <w:bottom w:val="single" w:sz="4" w:space="0" w:color="auto"/>
            </w:tcBorders>
            <w:vAlign w:val="center"/>
          </w:tcPr>
          <w:p w:rsidR="00C031FA" w:rsidRPr="003410C7" w:rsidRDefault="00C031FA">
            <w:pPr>
              <w:pStyle w:val="TableHeadingsBlue"/>
              <w:rPr>
                <w:rFonts w:ascii="Tahoma" w:hAnsi="Tahoma" w:cs="Tahoma"/>
                <w:sz w:val="9"/>
              </w:rPr>
            </w:pPr>
            <w:r w:rsidRPr="003410C7">
              <w:rPr>
                <w:rFonts w:ascii="Tahoma" w:hAnsi="Tahoma" w:cs="Tahoma"/>
                <w:sz w:val="9"/>
              </w:rPr>
              <w:t>3An</w:t>
            </w:r>
          </w:p>
        </w:tc>
        <w:tc>
          <w:tcPr>
            <w:tcW w:w="450" w:type="dxa"/>
            <w:tcBorders>
              <w:bottom w:val="single" w:sz="4" w:space="0" w:color="auto"/>
            </w:tcBorders>
            <w:vAlign w:val="center"/>
          </w:tcPr>
          <w:p w:rsidR="00C031FA" w:rsidRPr="003410C7" w:rsidRDefault="00C031FA">
            <w:pPr>
              <w:pStyle w:val="TableHeadingsBlue"/>
              <w:rPr>
                <w:rFonts w:ascii="Tahoma" w:hAnsi="Tahoma" w:cs="Tahoma"/>
                <w:sz w:val="9"/>
              </w:rPr>
            </w:pPr>
            <w:r w:rsidRPr="003410C7">
              <w:rPr>
                <w:rFonts w:ascii="Tahoma" w:hAnsi="Tahoma" w:cs="Tahoma"/>
                <w:sz w:val="9"/>
              </w:rPr>
              <w:t>2An</w:t>
            </w:r>
          </w:p>
        </w:tc>
        <w:tc>
          <w:tcPr>
            <w:tcW w:w="360" w:type="dxa"/>
            <w:tcBorders>
              <w:bottom w:val="single" w:sz="4" w:space="0" w:color="auto"/>
              <w:right w:val="single" w:sz="18" w:space="0" w:color="auto"/>
            </w:tcBorders>
            <w:vAlign w:val="center"/>
          </w:tcPr>
          <w:p w:rsidR="00C031FA" w:rsidRPr="003410C7" w:rsidRDefault="00C031FA">
            <w:pPr>
              <w:pStyle w:val="TableHeadingsBlue"/>
              <w:rPr>
                <w:rFonts w:ascii="Tahoma" w:hAnsi="Tahoma" w:cs="Tahoma"/>
                <w:sz w:val="9"/>
              </w:rPr>
            </w:pPr>
            <w:r w:rsidRPr="003410C7">
              <w:rPr>
                <w:rFonts w:ascii="Tahoma" w:hAnsi="Tahoma" w:cs="Tahoma"/>
                <w:sz w:val="9"/>
              </w:rPr>
              <w:t>1An</w:t>
            </w:r>
          </w:p>
        </w:tc>
        <w:tc>
          <w:tcPr>
            <w:tcW w:w="450" w:type="dxa"/>
            <w:vMerge/>
            <w:tcBorders>
              <w:left w:val="single" w:sz="18" w:space="0" w:color="auto"/>
              <w:bottom w:val="single" w:sz="4" w:space="0" w:color="auto"/>
            </w:tcBorders>
            <w:vAlign w:val="center"/>
          </w:tcPr>
          <w:p w:rsidR="00C031FA" w:rsidRPr="003410C7" w:rsidRDefault="00C031FA">
            <w:pPr>
              <w:jc w:val="center"/>
              <w:rPr>
                <w:rFonts w:cs="Tahoma"/>
                <w:sz w:val="20"/>
              </w:rPr>
            </w:pPr>
          </w:p>
        </w:tc>
        <w:tc>
          <w:tcPr>
            <w:tcW w:w="450" w:type="dxa"/>
            <w:tcBorders>
              <w:bottom w:val="single" w:sz="4" w:space="0" w:color="auto"/>
            </w:tcBorders>
            <w:vAlign w:val="center"/>
          </w:tcPr>
          <w:p w:rsidR="00C031FA" w:rsidRPr="003410C7" w:rsidRDefault="00C031FA">
            <w:pPr>
              <w:pStyle w:val="TableHeadingsGreen"/>
              <w:rPr>
                <w:rFonts w:ascii="Tahoma" w:hAnsi="Tahoma" w:cs="Tahoma"/>
                <w:sz w:val="9"/>
              </w:rPr>
            </w:pPr>
            <w:r w:rsidRPr="003410C7">
              <w:rPr>
                <w:rFonts w:ascii="Tahoma" w:hAnsi="Tahoma" w:cs="Tahoma"/>
                <w:sz w:val="9"/>
              </w:rPr>
              <w:t>P</w:t>
            </w:r>
          </w:p>
        </w:tc>
        <w:tc>
          <w:tcPr>
            <w:tcW w:w="450" w:type="dxa"/>
            <w:vMerge/>
            <w:tcBorders>
              <w:bottom w:val="single" w:sz="4" w:space="0" w:color="auto"/>
              <w:right w:val="single" w:sz="18" w:space="0" w:color="auto"/>
            </w:tcBorders>
            <w:vAlign w:val="center"/>
          </w:tcPr>
          <w:p w:rsidR="00C031FA" w:rsidRPr="003410C7" w:rsidRDefault="00C031FA">
            <w:pPr>
              <w:jc w:val="center"/>
              <w:rPr>
                <w:rFonts w:cs="Tahoma"/>
                <w:sz w:val="20"/>
              </w:rPr>
            </w:pPr>
          </w:p>
        </w:tc>
        <w:tc>
          <w:tcPr>
            <w:tcW w:w="450" w:type="dxa"/>
            <w:vMerge/>
            <w:tcBorders>
              <w:left w:val="single" w:sz="18" w:space="0" w:color="auto"/>
              <w:bottom w:val="single" w:sz="4" w:space="0" w:color="auto"/>
            </w:tcBorders>
          </w:tcPr>
          <w:p w:rsidR="00C031FA" w:rsidRPr="003410C7" w:rsidRDefault="00C031FA">
            <w:pPr>
              <w:rPr>
                <w:rFonts w:cs="Tahoma"/>
                <w:sz w:val="20"/>
              </w:rPr>
            </w:pPr>
          </w:p>
        </w:tc>
        <w:tc>
          <w:tcPr>
            <w:tcW w:w="450" w:type="dxa"/>
            <w:vMerge/>
            <w:tcBorders>
              <w:bottom w:val="single" w:sz="4" w:space="0" w:color="auto"/>
              <w:right w:val="single" w:sz="18" w:space="0" w:color="auto"/>
            </w:tcBorders>
          </w:tcPr>
          <w:p w:rsidR="00C031FA" w:rsidRPr="003410C7" w:rsidRDefault="00C031FA">
            <w:pPr>
              <w:rPr>
                <w:rFonts w:cs="Tahoma"/>
                <w:sz w:val="20"/>
              </w:rPr>
            </w:pPr>
          </w:p>
        </w:tc>
        <w:tc>
          <w:tcPr>
            <w:tcW w:w="450" w:type="dxa"/>
            <w:vMerge/>
            <w:tcBorders>
              <w:left w:val="single" w:sz="18" w:space="0" w:color="auto"/>
              <w:bottom w:val="single" w:sz="4" w:space="0" w:color="auto"/>
              <w:right w:val="single" w:sz="18" w:space="0" w:color="auto"/>
            </w:tcBorders>
          </w:tcPr>
          <w:p w:rsidR="00C031FA" w:rsidRPr="003410C7" w:rsidRDefault="00C031FA">
            <w:pPr>
              <w:rPr>
                <w:rFonts w:cs="Tahoma"/>
                <w:sz w:val="20"/>
              </w:rPr>
            </w:pPr>
          </w:p>
        </w:tc>
        <w:tc>
          <w:tcPr>
            <w:tcW w:w="450" w:type="dxa"/>
            <w:vMerge/>
            <w:tcBorders>
              <w:bottom w:val="single" w:sz="4" w:space="0" w:color="auto"/>
            </w:tcBorders>
          </w:tcPr>
          <w:p w:rsidR="00C031FA" w:rsidRPr="003410C7" w:rsidRDefault="00C031FA">
            <w:pPr>
              <w:rPr>
                <w:rFonts w:cs="Tahoma"/>
                <w:sz w:val="20"/>
              </w:rPr>
            </w:pPr>
          </w:p>
        </w:tc>
        <w:tc>
          <w:tcPr>
            <w:tcW w:w="540" w:type="dxa"/>
            <w:vMerge/>
            <w:tcBorders>
              <w:bottom w:val="single" w:sz="4" w:space="0" w:color="auto"/>
            </w:tcBorders>
          </w:tcPr>
          <w:p w:rsidR="00C031FA" w:rsidRPr="003410C7" w:rsidRDefault="00C031FA">
            <w:pPr>
              <w:rPr>
                <w:rFonts w:cs="Tahoma"/>
                <w:sz w:val="20"/>
              </w:rPr>
            </w:pPr>
          </w:p>
        </w:tc>
      </w:tr>
      <w:tr w:rsidR="00EF228F" w:rsidRPr="003410C7" w:rsidTr="006B1F3F">
        <w:trPr>
          <w:trHeight w:val="145"/>
        </w:trPr>
        <w:tc>
          <w:tcPr>
            <w:tcW w:w="2734" w:type="dxa"/>
            <w:gridSpan w:val="2"/>
            <w:tcBorders>
              <w:bottom w:val="single" w:sz="4" w:space="0" w:color="auto"/>
            </w:tcBorders>
            <w:shd w:val="clear" w:color="auto" w:fill="FABF8F"/>
            <w:vAlign w:val="center"/>
          </w:tcPr>
          <w:p w:rsidR="00DC5AE8" w:rsidRPr="003410C7" w:rsidRDefault="00DC5AE8" w:rsidP="00281623">
            <w:pPr>
              <w:pStyle w:val="ProductNames"/>
              <w:spacing w:before="0" w:after="0"/>
              <w:rPr>
                <w:rFonts w:ascii="Tahoma" w:hAnsi="Tahoma" w:cs="Tahoma"/>
                <w:sz w:val="14"/>
              </w:rPr>
            </w:pPr>
            <w:bookmarkStart w:id="145" w:name="_Toc352234515"/>
            <w:r w:rsidRPr="003410C7">
              <w:rPr>
                <w:rFonts w:ascii="Tahoma" w:hAnsi="Tahoma" w:cs="Tahoma"/>
                <w:sz w:val="14"/>
              </w:rPr>
              <w:t>Bing Maps Consumer Tracked Per Asset</w:t>
            </w:r>
            <w:r w:rsidR="00281623">
              <w:rPr>
                <w:rFonts w:ascii="Tahoma" w:hAnsi="Tahoma" w:cs="Tahoma"/>
                <w:sz w:val="14"/>
              </w:rPr>
              <w:t> </w:t>
            </w:r>
            <w:r w:rsidRPr="003410C7">
              <w:rPr>
                <w:rFonts w:ascii="Tahoma" w:hAnsi="Tahoma" w:cs="Tahoma"/>
                <w:sz w:val="14"/>
              </w:rPr>
              <w:t>Monthly Sub</w:t>
            </w:r>
            <w:bookmarkEnd w:id="145"/>
          </w:p>
        </w:tc>
        <w:tc>
          <w:tcPr>
            <w:tcW w:w="450" w:type="dxa"/>
            <w:tcBorders>
              <w:bottom w:val="single" w:sz="4" w:space="0" w:color="auto"/>
            </w:tcBorders>
            <w:shd w:val="clear" w:color="auto" w:fill="FABF8F"/>
            <w:vAlign w:val="center"/>
          </w:tcPr>
          <w:p w:rsidR="00DC5AE8" w:rsidRPr="00214EC6" w:rsidRDefault="00FC1A4D" w:rsidP="002253A3">
            <w:pPr>
              <w:jc w:val="center"/>
              <w:rPr>
                <w:rFonts w:cs="Tahoma"/>
                <w:sz w:val="13"/>
                <w:szCs w:val="13"/>
              </w:rPr>
            </w:pPr>
            <w:hyperlink w:anchor="Srv_27BingMapsSvrandContentPack" w:history="1">
              <w:r w:rsidR="000D77F6" w:rsidRPr="00214EC6">
                <w:rPr>
                  <w:rStyle w:val="Hyperlink"/>
                  <w:rFonts w:cs="Tahoma"/>
                  <w:b/>
                  <w:sz w:val="13"/>
                  <w:szCs w:val="13"/>
                </w:rPr>
                <w:t>30</w:t>
              </w:r>
            </w:hyperlink>
          </w:p>
        </w:tc>
        <w:tc>
          <w:tcPr>
            <w:tcW w:w="450" w:type="dxa"/>
            <w:tcBorders>
              <w:bottom w:val="single" w:sz="4" w:space="0" w:color="auto"/>
            </w:tcBorders>
            <w:shd w:val="clear" w:color="auto" w:fill="FABF8F"/>
            <w:vAlign w:val="center"/>
          </w:tcPr>
          <w:p w:rsidR="00DC5AE8" w:rsidRPr="003410C7" w:rsidRDefault="00DC5AE8" w:rsidP="002253A3">
            <w:pPr>
              <w:jc w:val="center"/>
              <w:rPr>
                <w:rFonts w:cs="Tahoma"/>
                <w:sz w:val="13"/>
              </w:rPr>
            </w:pPr>
            <w:r w:rsidRPr="003410C7">
              <w:rPr>
                <w:rFonts w:cs="Tahoma"/>
                <w:sz w:val="13"/>
              </w:rPr>
              <w:t>4/13</w:t>
            </w:r>
          </w:p>
        </w:tc>
        <w:tc>
          <w:tcPr>
            <w:tcW w:w="360" w:type="dxa"/>
            <w:tcBorders>
              <w:bottom w:val="single" w:sz="4" w:space="0" w:color="auto"/>
              <w:right w:val="single" w:sz="18" w:space="0" w:color="auto"/>
            </w:tcBorders>
            <w:shd w:val="clear" w:color="auto" w:fill="FABF8F"/>
            <w:vAlign w:val="center"/>
          </w:tcPr>
          <w:p w:rsidR="00DC5AE8" w:rsidRPr="003410C7" w:rsidRDefault="00DC5AE8" w:rsidP="002253A3">
            <w:pPr>
              <w:jc w:val="center"/>
              <w:rPr>
                <w:rFonts w:cs="Tahoma"/>
                <w:sz w:val="13"/>
              </w:rPr>
            </w:pPr>
          </w:p>
        </w:tc>
        <w:tc>
          <w:tcPr>
            <w:tcW w:w="2970" w:type="dxa"/>
            <w:gridSpan w:val="7"/>
            <w:tcBorders>
              <w:left w:val="single" w:sz="18" w:space="0" w:color="auto"/>
              <w:bottom w:val="single" w:sz="4" w:space="0" w:color="auto"/>
              <w:right w:val="single" w:sz="18" w:space="0" w:color="auto"/>
            </w:tcBorders>
            <w:shd w:val="clear" w:color="auto" w:fill="FABF8F"/>
            <w:vAlign w:val="center"/>
          </w:tcPr>
          <w:p w:rsidR="00DC5AE8" w:rsidRPr="003410C7" w:rsidRDefault="00DC5AE8" w:rsidP="002253A3">
            <w:pPr>
              <w:jc w:val="center"/>
              <w:rPr>
                <w:rFonts w:cs="Tahoma"/>
                <w:sz w:val="13"/>
              </w:rPr>
            </w:pPr>
            <w:r w:rsidRPr="003410C7">
              <w:rPr>
                <w:rFonts w:cs="Tahoma"/>
                <w:sz w:val="13"/>
              </w:rPr>
              <w:t>1 punto</w:t>
            </w:r>
          </w:p>
        </w:tc>
        <w:tc>
          <w:tcPr>
            <w:tcW w:w="450" w:type="dxa"/>
            <w:tcBorders>
              <w:left w:val="single" w:sz="18" w:space="0" w:color="auto"/>
              <w:bottom w:val="single" w:sz="4" w:space="0" w:color="auto"/>
            </w:tcBorders>
            <w:shd w:val="clear" w:color="auto" w:fill="FABF8F"/>
            <w:vAlign w:val="center"/>
          </w:tcPr>
          <w:p w:rsidR="00DC5AE8" w:rsidRPr="003410C7" w:rsidRDefault="00DC5AE8" w:rsidP="002253A3">
            <w:pPr>
              <w:jc w:val="center"/>
              <w:rPr>
                <w:rFonts w:cs="Tahoma"/>
                <w:sz w:val="13"/>
              </w:rPr>
            </w:pPr>
            <w:r w:rsidRPr="003410C7">
              <w:rPr>
                <w:rFonts w:cs="Tahoma"/>
                <w:sz w:val="13"/>
              </w:rPr>
              <w:t>1</w:t>
            </w:r>
          </w:p>
        </w:tc>
        <w:tc>
          <w:tcPr>
            <w:tcW w:w="450" w:type="dxa"/>
            <w:tcBorders>
              <w:bottom w:val="single" w:sz="4" w:space="0" w:color="auto"/>
            </w:tcBorders>
            <w:shd w:val="clear" w:color="auto" w:fill="FABF8F"/>
            <w:vAlign w:val="center"/>
          </w:tcPr>
          <w:p w:rsidR="00DC5AE8" w:rsidRPr="003410C7" w:rsidRDefault="00DC5AE8" w:rsidP="002253A3">
            <w:pPr>
              <w:jc w:val="center"/>
              <w:rPr>
                <w:rFonts w:cs="Tahoma"/>
                <w:sz w:val="13"/>
              </w:rPr>
            </w:pPr>
          </w:p>
        </w:tc>
        <w:tc>
          <w:tcPr>
            <w:tcW w:w="450" w:type="dxa"/>
            <w:tcBorders>
              <w:bottom w:val="single" w:sz="4" w:space="0" w:color="auto"/>
              <w:right w:val="single" w:sz="18" w:space="0" w:color="auto"/>
            </w:tcBorders>
            <w:shd w:val="clear" w:color="auto" w:fill="FABF8F"/>
            <w:vAlign w:val="center"/>
          </w:tcPr>
          <w:p w:rsidR="00DC5AE8" w:rsidRPr="003410C7" w:rsidRDefault="00DC5AE8" w:rsidP="002253A3">
            <w:pPr>
              <w:jc w:val="center"/>
              <w:rPr>
                <w:rFonts w:cs="Tahoma"/>
                <w:sz w:val="13"/>
              </w:rPr>
            </w:pPr>
          </w:p>
        </w:tc>
        <w:tc>
          <w:tcPr>
            <w:tcW w:w="450" w:type="dxa"/>
            <w:tcBorders>
              <w:left w:val="single" w:sz="18" w:space="0" w:color="auto"/>
              <w:bottom w:val="single" w:sz="4" w:space="0" w:color="auto"/>
            </w:tcBorders>
            <w:shd w:val="clear" w:color="auto" w:fill="FABF8F"/>
            <w:vAlign w:val="center"/>
          </w:tcPr>
          <w:p w:rsidR="00DC5AE8" w:rsidRPr="003410C7" w:rsidRDefault="00DC5AE8" w:rsidP="002253A3">
            <w:pPr>
              <w:jc w:val="center"/>
              <w:rPr>
                <w:rFonts w:cs="Tahoma"/>
                <w:sz w:val="13"/>
              </w:rPr>
            </w:pPr>
          </w:p>
        </w:tc>
        <w:tc>
          <w:tcPr>
            <w:tcW w:w="450" w:type="dxa"/>
            <w:tcBorders>
              <w:bottom w:val="single" w:sz="4" w:space="0" w:color="auto"/>
              <w:right w:val="single" w:sz="18" w:space="0" w:color="auto"/>
            </w:tcBorders>
            <w:shd w:val="clear" w:color="auto" w:fill="FABF8F"/>
            <w:vAlign w:val="center"/>
          </w:tcPr>
          <w:p w:rsidR="00DC5AE8" w:rsidRPr="003410C7" w:rsidRDefault="00DC5AE8" w:rsidP="002253A3">
            <w:pPr>
              <w:jc w:val="center"/>
              <w:rPr>
                <w:rFonts w:cs="Tahoma"/>
                <w:sz w:val="13"/>
              </w:rPr>
            </w:pPr>
            <w:r w:rsidRPr="003410C7">
              <w:rPr>
                <w:rFonts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rsidR="00DC5AE8" w:rsidRPr="003410C7" w:rsidRDefault="00DC5AE8" w:rsidP="002253A3">
            <w:pPr>
              <w:jc w:val="center"/>
              <w:rPr>
                <w:rFonts w:cs="Tahoma"/>
                <w:sz w:val="13"/>
              </w:rPr>
            </w:pPr>
            <w:r w:rsidRPr="003410C7">
              <w:rPr>
                <w:rFonts w:cs="Tahoma"/>
                <w:sz w:val="13"/>
              </w:rPr>
              <w:t>P</w:t>
            </w:r>
          </w:p>
        </w:tc>
        <w:tc>
          <w:tcPr>
            <w:tcW w:w="450" w:type="dxa"/>
            <w:tcBorders>
              <w:bottom w:val="single" w:sz="4" w:space="0" w:color="auto"/>
            </w:tcBorders>
            <w:shd w:val="clear" w:color="auto" w:fill="FABF8F"/>
            <w:vAlign w:val="center"/>
          </w:tcPr>
          <w:p w:rsidR="00DC5AE8" w:rsidRPr="003410C7" w:rsidRDefault="00DC5AE8" w:rsidP="002253A3">
            <w:pPr>
              <w:jc w:val="center"/>
              <w:rPr>
                <w:rFonts w:cs="Tahoma"/>
                <w:sz w:val="13"/>
              </w:rPr>
            </w:pPr>
          </w:p>
        </w:tc>
        <w:tc>
          <w:tcPr>
            <w:tcW w:w="540" w:type="dxa"/>
            <w:tcBorders>
              <w:bottom w:val="single" w:sz="4" w:space="0" w:color="auto"/>
            </w:tcBorders>
            <w:shd w:val="clear" w:color="auto" w:fill="FABF8F"/>
            <w:vAlign w:val="center"/>
          </w:tcPr>
          <w:p w:rsidR="00DC5AE8" w:rsidRPr="003410C7" w:rsidRDefault="00DC5AE8" w:rsidP="002253A3">
            <w:pPr>
              <w:jc w:val="center"/>
              <w:rPr>
                <w:rFonts w:cs="Tahoma"/>
                <w:sz w:val="13"/>
              </w:rPr>
            </w:pPr>
            <w:r w:rsidRPr="003410C7">
              <w:rPr>
                <w:rFonts w:cs="Tahoma"/>
                <w:sz w:val="13"/>
              </w:rPr>
              <w:t>OL/OV</w:t>
            </w:r>
          </w:p>
        </w:tc>
      </w:tr>
      <w:tr w:rsidR="001A63C6" w:rsidRPr="003410C7" w:rsidTr="006B1F3F">
        <w:trPr>
          <w:trHeight w:val="145"/>
        </w:trPr>
        <w:tc>
          <w:tcPr>
            <w:tcW w:w="2734" w:type="dxa"/>
            <w:gridSpan w:val="2"/>
            <w:tcBorders>
              <w:bottom w:val="single" w:sz="4" w:space="0" w:color="auto"/>
            </w:tcBorders>
            <w:shd w:val="clear" w:color="auto" w:fill="auto"/>
          </w:tcPr>
          <w:p w:rsidR="001A63C6" w:rsidRPr="003410C7" w:rsidRDefault="001A63C6" w:rsidP="00281623">
            <w:pPr>
              <w:pStyle w:val="ProductNames"/>
              <w:spacing w:before="0" w:after="0"/>
              <w:rPr>
                <w:rFonts w:ascii="Tahoma" w:hAnsi="Tahoma" w:cs="Tahoma"/>
                <w:sz w:val="14"/>
              </w:rPr>
            </w:pPr>
            <w:bookmarkStart w:id="146" w:name="_Toc352234516"/>
            <w:r w:rsidRPr="003410C7">
              <w:rPr>
                <w:rFonts w:ascii="Tahoma" w:hAnsi="Tahoma" w:cs="Tahoma"/>
                <w:sz w:val="14"/>
              </w:rPr>
              <w:t>Bing Maps for Enterprise Platform Fee</w:t>
            </w:r>
            <w:r w:rsidR="00281623">
              <w:rPr>
                <w:rFonts w:ascii="Tahoma" w:hAnsi="Tahoma" w:cs="Tahoma"/>
                <w:sz w:val="14"/>
              </w:rPr>
              <w:t> </w:t>
            </w:r>
            <w:r w:rsidRPr="003410C7">
              <w:rPr>
                <w:rFonts w:ascii="Tahoma" w:hAnsi="Tahoma" w:cs="Tahoma"/>
                <w:sz w:val="14"/>
              </w:rPr>
              <w:t>Monthly Sub</w:t>
            </w:r>
            <w:bookmarkEnd w:id="146"/>
          </w:p>
        </w:tc>
        <w:tc>
          <w:tcPr>
            <w:tcW w:w="450" w:type="dxa"/>
            <w:tcBorders>
              <w:bottom w:val="single" w:sz="4" w:space="0" w:color="auto"/>
            </w:tcBorders>
            <w:shd w:val="clear" w:color="auto" w:fill="auto"/>
            <w:vAlign w:val="center"/>
          </w:tcPr>
          <w:p w:rsidR="001A63C6" w:rsidRPr="00214EC6" w:rsidRDefault="00FC1A4D" w:rsidP="002253A3">
            <w:pPr>
              <w:jc w:val="center"/>
              <w:rPr>
                <w:rFonts w:cs="Tahoma"/>
                <w:sz w:val="13"/>
                <w:szCs w:val="13"/>
              </w:rPr>
            </w:pPr>
            <w:hyperlink w:anchor="Srv_27BingMapsSvrandContentPack" w:history="1">
              <w:r w:rsidR="000D77F6" w:rsidRPr="00214EC6">
                <w:rPr>
                  <w:rStyle w:val="Hyperlink"/>
                  <w:rFonts w:cs="Tahoma"/>
                  <w:b/>
                  <w:sz w:val="13"/>
                  <w:szCs w:val="13"/>
                </w:rPr>
                <w:t>30</w:t>
              </w:r>
            </w:hyperlink>
          </w:p>
        </w:tc>
        <w:tc>
          <w:tcPr>
            <w:tcW w:w="450" w:type="dxa"/>
            <w:tcBorders>
              <w:bottom w:val="single" w:sz="4" w:space="0" w:color="auto"/>
            </w:tcBorders>
            <w:shd w:val="clear" w:color="auto" w:fill="auto"/>
            <w:vAlign w:val="center"/>
          </w:tcPr>
          <w:p w:rsidR="001A63C6" w:rsidRPr="003410C7" w:rsidRDefault="001A63C6" w:rsidP="002253A3">
            <w:pPr>
              <w:jc w:val="center"/>
              <w:rPr>
                <w:rFonts w:cs="Tahoma"/>
                <w:sz w:val="14"/>
              </w:rPr>
            </w:pPr>
          </w:p>
        </w:tc>
        <w:tc>
          <w:tcPr>
            <w:tcW w:w="360" w:type="dxa"/>
            <w:tcBorders>
              <w:bottom w:val="single" w:sz="4" w:space="0" w:color="auto"/>
              <w:right w:val="single" w:sz="18" w:space="0" w:color="auto"/>
            </w:tcBorders>
            <w:shd w:val="clear" w:color="auto" w:fill="auto"/>
            <w:vAlign w:val="center"/>
          </w:tcPr>
          <w:p w:rsidR="001A63C6" w:rsidRPr="003410C7" w:rsidRDefault="001A63C6" w:rsidP="002253A3">
            <w:pPr>
              <w:jc w:val="center"/>
              <w:rPr>
                <w:rFonts w:cs="Tahoma"/>
                <w:sz w:val="14"/>
              </w:rPr>
            </w:pPr>
          </w:p>
        </w:tc>
        <w:tc>
          <w:tcPr>
            <w:tcW w:w="2970" w:type="dxa"/>
            <w:gridSpan w:val="7"/>
            <w:tcBorders>
              <w:left w:val="single" w:sz="18" w:space="0" w:color="auto"/>
              <w:bottom w:val="single" w:sz="4" w:space="0" w:color="auto"/>
              <w:right w:val="single" w:sz="18" w:space="0" w:color="auto"/>
            </w:tcBorders>
            <w:shd w:val="clear" w:color="auto" w:fill="auto"/>
            <w:vAlign w:val="center"/>
          </w:tcPr>
          <w:p w:rsidR="001A63C6" w:rsidRPr="003410C7" w:rsidRDefault="001A63C6" w:rsidP="002253A3">
            <w:pPr>
              <w:jc w:val="center"/>
              <w:rPr>
                <w:rFonts w:cs="Tahoma"/>
                <w:sz w:val="14"/>
              </w:rPr>
            </w:pPr>
            <w:r w:rsidRPr="003410C7">
              <w:rPr>
                <w:rFonts w:cs="Tahoma"/>
                <w:sz w:val="14"/>
              </w:rPr>
              <w:t>50 crediti</w:t>
            </w:r>
          </w:p>
        </w:tc>
        <w:tc>
          <w:tcPr>
            <w:tcW w:w="450" w:type="dxa"/>
            <w:tcBorders>
              <w:left w:val="single" w:sz="18" w:space="0" w:color="auto"/>
              <w:bottom w:val="single" w:sz="4" w:space="0" w:color="auto"/>
            </w:tcBorders>
            <w:shd w:val="clear" w:color="auto" w:fill="auto"/>
            <w:vAlign w:val="center"/>
          </w:tcPr>
          <w:p w:rsidR="001A63C6" w:rsidRPr="003410C7" w:rsidRDefault="001A63C6" w:rsidP="002253A3">
            <w:pPr>
              <w:jc w:val="center"/>
              <w:rPr>
                <w:rFonts w:cs="Tahoma"/>
                <w:sz w:val="14"/>
              </w:rPr>
            </w:pPr>
            <w:r w:rsidRPr="003410C7">
              <w:rPr>
                <w:rFonts w:cs="Tahoma"/>
                <w:sz w:val="14"/>
              </w:rPr>
              <w:t>50</w:t>
            </w:r>
          </w:p>
        </w:tc>
        <w:tc>
          <w:tcPr>
            <w:tcW w:w="450" w:type="dxa"/>
            <w:tcBorders>
              <w:bottom w:val="single" w:sz="4" w:space="0" w:color="auto"/>
            </w:tcBorders>
            <w:shd w:val="clear" w:color="auto" w:fill="auto"/>
            <w:vAlign w:val="center"/>
          </w:tcPr>
          <w:p w:rsidR="001A63C6" w:rsidRPr="003410C7" w:rsidRDefault="001A63C6" w:rsidP="002253A3">
            <w:pPr>
              <w:jc w:val="center"/>
              <w:rPr>
                <w:rFonts w:cs="Tahoma"/>
                <w:sz w:val="14"/>
              </w:rPr>
            </w:pPr>
          </w:p>
        </w:tc>
        <w:tc>
          <w:tcPr>
            <w:tcW w:w="450" w:type="dxa"/>
            <w:tcBorders>
              <w:bottom w:val="single" w:sz="4" w:space="0" w:color="auto"/>
              <w:right w:val="single" w:sz="18" w:space="0" w:color="auto"/>
            </w:tcBorders>
            <w:shd w:val="clear" w:color="auto" w:fill="auto"/>
            <w:vAlign w:val="center"/>
          </w:tcPr>
          <w:p w:rsidR="001A63C6" w:rsidRPr="003410C7" w:rsidRDefault="001A63C6" w:rsidP="002253A3">
            <w:pPr>
              <w:jc w:val="center"/>
              <w:rPr>
                <w:rFonts w:cs="Tahoma"/>
                <w:sz w:val="14"/>
              </w:rPr>
            </w:pPr>
          </w:p>
        </w:tc>
        <w:tc>
          <w:tcPr>
            <w:tcW w:w="450" w:type="dxa"/>
            <w:tcBorders>
              <w:left w:val="single" w:sz="18" w:space="0" w:color="auto"/>
              <w:bottom w:val="single" w:sz="4" w:space="0" w:color="auto"/>
            </w:tcBorders>
            <w:shd w:val="clear" w:color="auto" w:fill="auto"/>
            <w:vAlign w:val="center"/>
          </w:tcPr>
          <w:p w:rsidR="001A63C6" w:rsidRPr="003410C7" w:rsidRDefault="001A63C6" w:rsidP="002253A3">
            <w:pPr>
              <w:jc w:val="center"/>
              <w:rPr>
                <w:rFonts w:cs="Tahoma"/>
                <w:sz w:val="14"/>
              </w:rPr>
            </w:pPr>
          </w:p>
        </w:tc>
        <w:tc>
          <w:tcPr>
            <w:tcW w:w="450" w:type="dxa"/>
            <w:tcBorders>
              <w:bottom w:val="single" w:sz="4" w:space="0" w:color="auto"/>
              <w:right w:val="single" w:sz="18" w:space="0" w:color="auto"/>
            </w:tcBorders>
            <w:shd w:val="clear" w:color="auto" w:fill="auto"/>
            <w:vAlign w:val="center"/>
          </w:tcPr>
          <w:p w:rsidR="001A63C6" w:rsidRPr="003410C7" w:rsidRDefault="001A63C6" w:rsidP="002253A3">
            <w:pPr>
              <w:jc w:val="center"/>
              <w:rPr>
                <w:rFonts w:cs="Tahoma"/>
                <w:sz w:val="14"/>
              </w:rPr>
            </w:pPr>
            <w:r w:rsidRPr="003410C7">
              <w:rPr>
                <w:rFonts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rsidR="001A63C6" w:rsidRPr="003410C7" w:rsidRDefault="001A63C6" w:rsidP="002253A3">
            <w:pPr>
              <w:jc w:val="center"/>
              <w:rPr>
                <w:rFonts w:cs="Tahoma"/>
                <w:sz w:val="14"/>
              </w:rPr>
            </w:pPr>
            <w:r w:rsidRPr="003410C7">
              <w:rPr>
                <w:rFonts w:cs="Tahoma"/>
                <w:sz w:val="13"/>
              </w:rPr>
              <w:t>P</w:t>
            </w:r>
          </w:p>
        </w:tc>
        <w:tc>
          <w:tcPr>
            <w:tcW w:w="450" w:type="dxa"/>
            <w:tcBorders>
              <w:bottom w:val="single" w:sz="4" w:space="0" w:color="auto"/>
            </w:tcBorders>
            <w:shd w:val="clear" w:color="auto" w:fill="auto"/>
            <w:vAlign w:val="center"/>
          </w:tcPr>
          <w:p w:rsidR="001A63C6" w:rsidRPr="003410C7" w:rsidRDefault="001A63C6" w:rsidP="002253A3">
            <w:pPr>
              <w:jc w:val="center"/>
              <w:rPr>
                <w:rFonts w:cs="Tahoma"/>
                <w:sz w:val="14"/>
              </w:rPr>
            </w:pPr>
          </w:p>
        </w:tc>
        <w:tc>
          <w:tcPr>
            <w:tcW w:w="540" w:type="dxa"/>
            <w:tcBorders>
              <w:bottom w:val="single" w:sz="4" w:space="0" w:color="auto"/>
            </w:tcBorders>
            <w:shd w:val="clear" w:color="auto" w:fill="auto"/>
            <w:vAlign w:val="center"/>
          </w:tcPr>
          <w:p w:rsidR="001A63C6" w:rsidRPr="003410C7" w:rsidRDefault="001A63C6" w:rsidP="002253A3">
            <w:pPr>
              <w:jc w:val="center"/>
              <w:rPr>
                <w:rFonts w:cs="Tahoma"/>
                <w:sz w:val="14"/>
              </w:rPr>
            </w:pPr>
            <w:r w:rsidRPr="003410C7">
              <w:rPr>
                <w:rFonts w:cs="Tahoma"/>
                <w:sz w:val="13"/>
              </w:rPr>
              <w:t>OL/OV</w:t>
            </w:r>
          </w:p>
        </w:tc>
      </w:tr>
      <w:tr w:rsidR="001A63C6" w:rsidRPr="003410C7" w:rsidTr="006B1F3F">
        <w:trPr>
          <w:trHeight w:val="145"/>
        </w:trPr>
        <w:tc>
          <w:tcPr>
            <w:tcW w:w="2734" w:type="dxa"/>
            <w:gridSpan w:val="2"/>
            <w:tcBorders>
              <w:bottom w:val="single" w:sz="4" w:space="0" w:color="auto"/>
            </w:tcBorders>
            <w:shd w:val="clear" w:color="auto" w:fill="FABF8F"/>
          </w:tcPr>
          <w:p w:rsidR="001A63C6" w:rsidRPr="003410C7" w:rsidRDefault="001A63C6" w:rsidP="001A63C6">
            <w:pPr>
              <w:pStyle w:val="ProductNames"/>
              <w:spacing w:before="0" w:after="0"/>
              <w:rPr>
                <w:rFonts w:ascii="Tahoma" w:hAnsi="Tahoma" w:cs="Tahoma"/>
                <w:sz w:val="14"/>
              </w:rPr>
            </w:pPr>
            <w:bookmarkStart w:id="147" w:name="_Toc352234517"/>
            <w:r w:rsidRPr="003410C7">
              <w:rPr>
                <w:rFonts w:ascii="Tahoma" w:hAnsi="Tahoma" w:cs="Tahoma"/>
                <w:sz w:val="14"/>
              </w:rPr>
              <w:t>Bing Maps Public Website Usage 100K Transactions Monthly Sub</w:t>
            </w:r>
            <w:bookmarkEnd w:id="147"/>
          </w:p>
        </w:tc>
        <w:tc>
          <w:tcPr>
            <w:tcW w:w="450" w:type="dxa"/>
            <w:tcBorders>
              <w:bottom w:val="single" w:sz="4" w:space="0" w:color="auto"/>
            </w:tcBorders>
            <w:shd w:val="clear" w:color="auto" w:fill="FABF8F"/>
            <w:vAlign w:val="center"/>
          </w:tcPr>
          <w:p w:rsidR="001A63C6" w:rsidRPr="00214EC6" w:rsidRDefault="00FC1A4D" w:rsidP="002253A3">
            <w:pPr>
              <w:jc w:val="center"/>
              <w:rPr>
                <w:rFonts w:cs="Tahoma"/>
                <w:sz w:val="13"/>
                <w:szCs w:val="13"/>
              </w:rPr>
            </w:pPr>
            <w:hyperlink w:anchor="Srv_27BingMapsSvrandContentPack" w:history="1">
              <w:r w:rsidR="000D77F6" w:rsidRPr="00214EC6">
                <w:rPr>
                  <w:rStyle w:val="Hyperlink"/>
                  <w:rFonts w:cs="Tahoma"/>
                  <w:b/>
                  <w:sz w:val="13"/>
                  <w:szCs w:val="13"/>
                </w:rPr>
                <w:t>30</w:t>
              </w:r>
            </w:hyperlink>
          </w:p>
        </w:tc>
        <w:tc>
          <w:tcPr>
            <w:tcW w:w="450" w:type="dxa"/>
            <w:tcBorders>
              <w:bottom w:val="single" w:sz="4" w:space="0" w:color="auto"/>
            </w:tcBorders>
            <w:shd w:val="clear" w:color="auto" w:fill="FABF8F"/>
            <w:vAlign w:val="center"/>
          </w:tcPr>
          <w:p w:rsidR="001A63C6" w:rsidRPr="003410C7" w:rsidRDefault="001A63C6" w:rsidP="002253A3">
            <w:pPr>
              <w:jc w:val="center"/>
              <w:rPr>
                <w:rFonts w:cs="Tahoma"/>
                <w:sz w:val="14"/>
              </w:rPr>
            </w:pPr>
          </w:p>
        </w:tc>
        <w:tc>
          <w:tcPr>
            <w:tcW w:w="360" w:type="dxa"/>
            <w:tcBorders>
              <w:bottom w:val="single" w:sz="4" w:space="0" w:color="auto"/>
              <w:right w:val="single" w:sz="18" w:space="0" w:color="auto"/>
            </w:tcBorders>
            <w:shd w:val="clear" w:color="auto" w:fill="FABF8F"/>
            <w:vAlign w:val="center"/>
          </w:tcPr>
          <w:p w:rsidR="001A63C6" w:rsidRPr="003410C7" w:rsidRDefault="001A63C6" w:rsidP="002253A3">
            <w:pPr>
              <w:jc w:val="center"/>
              <w:rPr>
                <w:rFonts w:cs="Tahoma"/>
                <w:sz w:val="14"/>
              </w:rPr>
            </w:pPr>
          </w:p>
        </w:tc>
        <w:tc>
          <w:tcPr>
            <w:tcW w:w="2970" w:type="dxa"/>
            <w:gridSpan w:val="7"/>
            <w:tcBorders>
              <w:left w:val="single" w:sz="18" w:space="0" w:color="auto"/>
              <w:bottom w:val="single" w:sz="4" w:space="0" w:color="auto"/>
              <w:right w:val="single" w:sz="18" w:space="0" w:color="auto"/>
            </w:tcBorders>
            <w:shd w:val="clear" w:color="auto" w:fill="FABF8F"/>
            <w:vAlign w:val="center"/>
          </w:tcPr>
          <w:p w:rsidR="001A63C6" w:rsidRPr="003410C7" w:rsidRDefault="001A63C6" w:rsidP="002253A3">
            <w:pPr>
              <w:jc w:val="center"/>
              <w:rPr>
                <w:rFonts w:cs="Tahoma"/>
                <w:sz w:val="14"/>
              </w:rPr>
            </w:pPr>
            <w:r w:rsidRPr="003410C7">
              <w:rPr>
                <w:rFonts w:cs="Tahoma"/>
                <w:sz w:val="14"/>
              </w:rPr>
              <w:t>50 crediti</w:t>
            </w:r>
          </w:p>
        </w:tc>
        <w:tc>
          <w:tcPr>
            <w:tcW w:w="450" w:type="dxa"/>
            <w:tcBorders>
              <w:left w:val="single" w:sz="18" w:space="0" w:color="auto"/>
              <w:bottom w:val="single" w:sz="4" w:space="0" w:color="auto"/>
            </w:tcBorders>
            <w:shd w:val="clear" w:color="auto" w:fill="FABF8F"/>
            <w:vAlign w:val="center"/>
          </w:tcPr>
          <w:p w:rsidR="001A63C6" w:rsidRPr="003410C7" w:rsidRDefault="001A63C6" w:rsidP="002253A3">
            <w:pPr>
              <w:jc w:val="center"/>
              <w:rPr>
                <w:rFonts w:cs="Tahoma"/>
                <w:sz w:val="14"/>
              </w:rPr>
            </w:pPr>
            <w:r w:rsidRPr="003410C7">
              <w:rPr>
                <w:rFonts w:cs="Tahoma"/>
                <w:sz w:val="14"/>
              </w:rPr>
              <w:t>50</w:t>
            </w:r>
          </w:p>
        </w:tc>
        <w:tc>
          <w:tcPr>
            <w:tcW w:w="450" w:type="dxa"/>
            <w:tcBorders>
              <w:bottom w:val="single" w:sz="4" w:space="0" w:color="auto"/>
            </w:tcBorders>
            <w:shd w:val="clear" w:color="auto" w:fill="FABF8F"/>
            <w:vAlign w:val="center"/>
          </w:tcPr>
          <w:p w:rsidR="001A63C6" w:rsidRPr="003410C7" w:rsidRDefault="001A63C6" w:rsidP="002253A3">
            <w:pPr>
              <w:jc w:val="center"/>
              <w:rPr>
                <w:rFonts w:cs="Tahoma"/>
                <w:sz w:val="14"/>
              </w:rPr>
            </w:pPr>
          </w:p>
        </w:tc>
        <w:tc>
          <w:tcPr>
            <w:tcW w:w="450" w:type="dxa"/>
            <w:tcBorders>
              <w:bottom w:val="single" w:sz="4" w:space="0" w:color="auto"/>
              <w:right w:val="single" w:sz="18" w:space="0" w:color="auto"/>
            </w:tcBorders>
            <w:shd w:val="clear" w:color="auto" w:fill="FABF8F"/>
            <w:vAlign w:val="center"/>
          </w:tcPr>
          <w:p w:rsidR="001A63C6" w:rsidRPr="003410C7" w:rsidRDefault="001A63C6" w:rsidP="002253A3">
            <w:pPr>
              <w:jc w:val="center"/>
              <w:rPr>
                <w:rFonts w:cs="Tahoma"/>
                <w:sz w:val="14"/>
              </w:rPr>
            </w:pPr>
          </w:p>
        </w:tc>
        <w:tc>
          <w:tcPr>
            <w:tcW w:w="450" w:type="dxa"/>
            <w:tcBorders>
              <w:left w:val="single" w:sz="18" w:space="0" w:color="auto"/>
              <w:bottom w:val="single" w:sz="4" w:space="0" w:color="auto"/>
            </w:tcBorders>
            <w:shd w:val="clear" w:color="auto" w:fill="FABF8F"/>
            <w:vAlign w:val="center"/>
          </w:tcPr>
          <w:p w:rsidR="001A63C6" w:rsidRPr="003410C7" w:rsidRDefault="001A63C6" w:rsidP="002253A3">
            <w:pPr>
              <w:jc w:val="center"/>
              <w:rPr>
                <w:rFonts w:cs="Tahoma"/>
                <w:sz w:val="14"/>
              </w:rPr>
            </w:pPr>
          </w:p>
        </w:tc>
        <w:tc>
          <w:tcPr>
            <w:tcW w:w="450" w:type="dxa"/>
            <w:tcBorders>
              <w:bottom w:val="single" w:sz="4" w:space="0" w:color="auto"/>
              <w:right w:val="single" w:sz="18" w:space="0" w:color="auto"/>
            </w:tcBorders>
            <w:shd w:val="clear" w:color="auto" w:fill="FABF8F"/>
            <w:vAlign w:val="center"/>
          </w:tcPr>
          <w:p w:rsidR="001A63C6" w:rsidRPr="003410C7" w:rsidRDefault="001A63C6" w:rsidP="002253A3">
            <w:pPr>
              <w:jc w:val="center"/>
              <w:rPr>
                <w:rFonts w:cs="Tahoma"/>
                <w:sz w:val="14"/>
              </w:rPr>
            </w:pPr>
            <w:r w:rsidRPr="003410C7">
              <w:rPr>
                <w:rFonts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3410C7" w:rsidRDefault="001A63C6" w:rsidP="002253A3">
            <w:pPr>
              <w:jc w:val="center"/>
              <w:rPr>
                <w:rFonts w:cs="Tahoma"/>
                <w:sz w:val="14"/>
              </w:rPr>
            </w:pPr>
            <w:r w:rsidRPr="003410C7">
              <w:rPr>
                <w:rFonts w:cs="Tahoma"/>
                <w:sz w:val="13"/>
              </w:rPr>
              <w:t>P</w:t>
            </w:r>
          </w:p>
        </w:tc>
        <w:tc>
          <w:tcPr>
            <w:tcW w:w="450" w:type="dxa"/>
            <w:tcBorders>
              <w:bottom w:val="single" w:sz="4" w:space="0" w:color="auto"/>
            </w:tcBorders>
            <w:shd w:val="clear" w:color="auto" w:fill="FABF8F"/>
            <w:vAlign w:val="center"/>
          </w:tcPr>
          <w:p w:rsidR="001A63C6" w:rsidRPr="003410C7" w:rsidRDefault="001A63C6" w:rsidP="002253A3">
            <w:pPr>
              <w:jc w:val="center"/>
              <w:rPr>
                <w:rFonts w:cs="Tahoma"/>
                <w:sz w:val="14"/>
              </w:rPr>
            </w:pPr>
          </w:p>
        </w:tc>
        <w:tc>
          <w:tcPr>
            <w:tcW w:w="540" w:type="dxa"/>
            <w:tcBorders>
              <w:bottom w:val="single" w:sz="4" w:space="0" w:color="auto"/>
            </w:tcBorders>
            <w:shd w:val="clear" w:color="auto" w:fill="FABF8F"/>
            <w:vAlign w:val="center"/>
          </w:tcPr>
          <w:p w:rsidR="001A63C6" w:rsidRPr="003410C7" w:rsidRDefault="001A63C6" w:rsidP="002253A3">
            <w:pPr>
              <w:jc w:val="center"/>
              <w:rPr>
                <w:rFonts w:cs="Tahoma"/>
                <w:sz w:val="14"/>
              </w:rPr>
            </w:pPr>
            <w:r w:rsidRPr="003410C7">
              <w:rPr>
                <w:rFonts w:cs="Tahoma"/>
                <w:sz w:val="13"/>
              </w:rPr>
              <w:t>OL/OV</w:t>
            </w:r>
          </w:p>
        </w:tc>
      </w:tr>
      <w:tr w:rsidR="001A63C6" w:rsidRPr="003410C7" w:rsidTr="006B1F3F">
        <w:trPr>
          <w:trHeight w:val="145"/>
        </w:trPr>
        <w:tc>
          <w:tcPr>
            <w:tcW w:w="2734" w:type="dxa"/>
            <w:gridSpan w:val="2"/>
            <w:tcBorders>
              <w:bottom w:val="single" w:sz="4" w:space="0" w:color="auto"/>
            </w:tcBorders>
            <w:shd w:val="clear" w:color="auto" w:fill="auto"/>
          </w:tcPr>
          <w:p w:rsidR="001A63C6" w:rsidRPr="003410C7" w:rsidRDefault="001A63C6" w:rsidP="001A63C6">
            <w:pPr>
              <w:pStyle w:val="ProductNames"/>
              <w:spacing w:before="0" w:after="0"/>
              <w:rPr>
                <w:rFonts w:ascii="Tahoma" w:hAnsi="Tahoma" w:cs="Tahoma"/>
                <w:sz w:val="14"/>
              </w:rPr>
            </w:pPr>
            <w:bookmarkStart w:id="148" w:name="_Toc352234518"/>
            <w:r w:rsidRPr="003410C7">
              <w:rPr>
                <w:rFonts w:ascii="Tahoma" w:hAnsi="Tahoma" w:cs="Tahoma"/>
                <w:sz w:val="14"/>
              </w:rPr>
              <w:t>Bing Maps Public Website Usage 250K Transactions Monthly Sub</w:t>
            </w:r>
            <w:bookmarkEnd w:id="148"/>
          </w:p>
        </w:tc>
        <w:tc>
          <w:tcPr>
            <w:tcW w:w="450" w:type="dxa"/>
            <w:tcBorders>
              <w:bottom w:val="single" w:sz="4" w:space="0" w:color="auto"/>
            </w:tcBorders>
            <w:shd w:val="clear" w:color="auto" w:fill="auto"/>
            <w:vAlign w:val="center"/>
          </w:tcPr>
          <w:p w:rsidR="001A63C6" w:rsidRPr="00214EC6" w:rsidRDefault="00FC1A4D" w:rsidP="002253A3">
            <w:pPr>
              <w:jc w:val="center"/>
              <w:rPr>
                <w:rFonts w:cs="Tahoma"/>
                <w:sz w:val="13"/>
                <w:szCs w:val="13"/>
              </w:rPr>
            </w:pPr>
            <w:hyperlink w:anchor="Srv_27BingMapsSvrandContentPack" w:history="1">
              <w:r w:rsidR="000D77F6" w:rsidRPr="00214EC6">
                <w:rPr>
                  <w:rStyle w:val="Hyperlink"/>
                  <w:rFonts w:cs="Tahoma"/>
                  <w:b/>
                  <w:sz w:val="13"/>
                  <w:szCs w:val="13"/>
                </w:rPr>
                <w:t>30</w:t>
              </w:r>
            </w:hyperlink>
          </w:p>
        </w:tc>
        <w:tc>
          <w:tcPr>
            <w:tcW w:w="450" w:type="dxa"/>
            <w:tcBorders>
              <w:bottom w:val="single" w:sz="4" w:space="0" w:color="auto"/>
            </w:tcBorders>
            <w:shd w:val="clear" w:color="auto" w:fill="auto"/>
            <w:vAlign w:val="center"/>
          </w:tcPr>
          <w:p w:rsidR="001A63C6" w:rsidRPr="003410C7" w:rsidRDefault="001A63C6" w:rsidP="002253A3">
            <w:pPr>
              <w:jc w:val="center"/>
              <w:rPr>
                <w:rFonts w:cs="Tahoma"/>
                <w:sz w:val="14"/>
              </w:rPr>
            </w:pPr>
          </w:p>
        </w:tc>
        <w:tc>
          <w:tcPr>
            <w:tcW w:w="360" w:type="dxa"/>
            <w:tcBorders>
              <w:bottom w:val="single" w:sz="4" w:space="0" w:color="auto"/>
              <w:right w:val="single" w:sz="18" w:space="0" w:color="auto"/>
            </w:tcBorders>
            <w:shd w:val="clear" w:color="auto" w:fill="auto"/>
            <w:vAlign w:val="center"/>
          </w:tcPr>
          <w:p w:rsidR="001A63C6" w:rsidRPr="003410C7" w:rsidRDefault="001A63C6" w:rsidP="002253A3">
            <w:pPr>
              <w:jc w:val="center"/>
              <w:rPr>
                <w:rFonts w:cs="Tahoma"/>
                <w:sz w:val="14"/>
              </w:rPr>
            </w:pPr>
          </w:p>
        </w:tc>
        <w:tc>
          <w:tcPr>
            <w:tcW w:w="2970" w:type="dxa"/>
            <w:gridSpan w:val="7"/>
            <w:tcBorders>
              <w:left w:val="single" w:sz="18" w:space="0" w:color="auto"/>
              <w:bottom w:val="single" w:sz="4" w:space="0" w:color="auto"/>
              <w:right w:val="single" w:sz="18" w:space="0" w:color="auto"/>
            </w:tcBorders>
            <w:shd w:val="clear" w:color="auto" w:fill="auto"/>
            <w:vAlign w:val="center"/>
          </w:tcPr>
          <w:p w:rsidR="001A63C6" w:rsidRPr="003410C7" w:rsidRDefault="001A63C6" w:rsidP="002253A3">
            <w:pPr>
              <w:jc w:val="center"/>
              <w:rPr>
                <w:rFonts w:cs="Tahoma"/>
                <w:sz w:val="14"/>
              </w:rPr>
            </w:pPr>
            <w:r w:rsidRPr="003410C7">
              <w:rPr>
                <w:rFonts w:cs="Tahoma"/>
                <w:sz w:val="14"/>
              </w:rPr>
              <w:t>125 crediti</w:t>
            </w:r>
          </w:p>
        </w:tc>
        <w:tc>
          <w:tcPr>
            <w:tcW w:w="450" w:type="dxa"/>
            <w:tcBorders>
              <w:left w:val="single" w:sz="18" w:space="0" w:color="auto"/>
              <w:bottom w:val="single" w:sz="4" w:space="0" w:color="auto"/>
            </w:tcBorders>
            <w:shd w:val="clear" w:color="auto" w:fill="auto"/>
            <w:vAlign w:val="center"/>
          </w:tcPr>
          <w:p w:rsidR="001A63C6" w:rsidRPr="003410C7" w:rsidRDefault="001A63C6" w:rsidP="002253A3">
            <w:pPr>
              <w:jc w:val="center"/>
              <w:rPr>
                <w:rFonts w:cs="Tahoma"/>
                <w:sz w:val="14"/>
              </w:rPr>
            </w:pPr>
            <w:r w:rsidRPr="003410C7">
              <w:rPr>
                <w:rFonts w:cs="Tahoma"/>
                <w:sz w:val="14"/>
              </w:rPr>
              <w:t>125</w:t>
            </w:r>
          </w:p>
        </w:tc>
        <w:tc>
          <w:tcPr>
            <w:tcW w:w="450" w:type="dxa"/>
            <w:tcBorders>
              <w:bottom w:val="single" w:sz="4" w:space="0" w:color="auto"/>
            </w:tcBorders>
            <w:shd w:val="clear" w:color="auto" w:fill="auto"/>
            <w:vAlign w:val="center"/>
          </w:tcPr>
          <w:p w:rsidR="001A63C6" w:rsidRPr="003410C7" w:rsidRDefault="001A63C6" w:rsidP="002253A3">
            <w:pPr>
              <w:jc w:val="center"/>
              <w:rPr>
                <w:rFonts w:cs="Tahoma"/>
                <w:sz w:val="14"/>
              </w:rPr>
            </w:pPr>
          </w:p>
        </w:tc>
        <w:tc>
          <w:tcPr>
            <w:tcW w:w="450" w:type="dxa"/>
            <w:tcBorders>
              <w:bottom w:val="single" w:sz="4" w:space="0" w:color="auto"/>
              <w:right w:val="single" w:sz="18" w:space="0" w:color="auto"/>
            </w:tcBorders>
            <w:shd w:val="clear" w:color="auto" w:fill="auto"/>
            <w:vAlign w:val="center"/>
          </w:tcPr>
          <w:p w:rsidR="001A63C6" w:rsidRPr="003410C7" w:rsidRDefault="001A63C6" w:rsidP="002253A3">
            <w:pPr>
              <w:jc w:val="center"/>
              <w:rPr>
                <w:rFonts w:cs="Tahoma"/>
                <w:sz w:val="14"/>
              </w:rPr>
            </w:pPr>
          </w:p>
        </w:tc>
        <w:tc>
          <w:tcPr>
            <w:tcW w:w="450" w:type="dxa"/>
            <w:tcBorders>
              <w:left w:val="single" w:sz="18" w:space="0" w:color="auto"/>
              <w:bottom w:val="single" w:sz="4" w:space="0" w:color="auto"/>
            </w:tcBorders>
            <w:shd w:val="clear" w:color="auto" w:fill="auto"/>
            <w:vAlign w:val="center"/>
          </w:tcPr>
          <w:p w:rsidR="001A63C6" w:rsidRPr="003410C7" w:rsidRDefault="001A63C6" w:rsidP="002253A3">
            <w:pPr>
              <w:jc w:val="center"/>
              <w:rPr>
                <w:rFonts w:cs="Tahoma"/>
                <w:sz w:val="14"/>
              </w:rPr>
            </w:pPr>
          </w:p>
        </w:tc>
        <w:tc>
          <w:tcPr>
            <w:tcW w:w="450" w:type="dxa"/>
            <w:tcBorders>
              <w:bottom w:val="single" w:sz="4" w:space="0" w:color="auto"/>
              <w:right w:val="single" w:sz="18" w:space="0" w:color="auto"/>
            </w:tcBorders>
            <w:shd w:val="clear" w:color="auto" w:fill="auto"/>
            <w:vAlign w:val="center"/>
          </w:tcPr>
          <w:p w:rsidR="001A63C6" w:rsidRPr="003410C7" w:rsidRDefault="001A63C6" w:rsidP="002253A3">
            <w:pPr>
              <w:jc w:val="center"/>
              <w:rPr>
                <w:rFonts w:cs="Tahoma"/>
                <w:sz w:val="14"/>
              </w:rPr>
            </w:pPr>
            <w:r w:rsidRPr="003410C7">
              <w:rPr>
                <w:rFonts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rsidR="001A63C6" w:rsidRPr="003410C7" w:rsidRDefault="001A63C6" w:rsidP="002253A3">
            <w:pPr>
              <w:jc w:val="center"/>
              <w:rPr>
                <w:rFonts w:cs="Tahoma"/>
                <w:sz w:val="14"/>
              </w:rPr>
            </w:pPr>
            <w:r w:rsidRPr="003410C7">
              <w:rPr>
                <w:rFonts w:cs="Tahoma"/>
                <w:sz w:val="13"/>
              </w:rPr>
              <w:t>P</w:t>
            </w:r>
          </w:p>
        </w:tc>
        <w:tc>
          <w:tcPr>
            <w:tcW w:w="450" w:type="dxa"/>
            <w:tcBorders>
              <w:bottom w:val="single" w:sz="4" w:space="0" w:color="auto"/>
            </w:tcBorders>
            <w:shd w:val="clear" w:color="auto" w:fill="auto"/>
            <w:vAlign w:val="center"/>
          </w:tcPr>
          <w:p w:rsidR="001A63C6" w:rsidRPr="003410C7" w:rsidRDefault="001A63C6" w:rsidP="002253A3">
            <w:pPr>
              <w:jc w:val="center"/>
              <w:rPr>
                <w:rFonts w:cs="Tahoma"/>
                <w:sz w:val="14"/>
              </w:rPr>
            </w:pPr>
          </w:p>
        </w:tc>
        <w:tc>
          <w:tcPr>
            <w:tcW w:w="540" w:type="dxa"/>
            <w:tcBorders>
              <w:bottom w:val="single" w:sz="4" w:space="0" w:color="auto"/>
            </w:tcBorders>
            <w:shd w:val="clear" w:color="auto" w:fill="auto"/>
            <w:vAlign w:val="center"/>
          </w:tcPr>
          <w:p w:rsidR="001A63C6" w:rsidRPr="003410C7" w:rsidRDefault="001A63C6" w:rsidP="002253A3">
            <w:pPr>
              <w:jc w:val="center"/>
              <w:rPr>
                <w:rFonts w:cs="Tahoma"/>
                <w:sz w:val="14"/>
              </w:rPr>
            </w:pPr>
            <w:r w:rsidRPr="003410C7">
              <w:rPr>
                <w:rFonts w:cs="Tahoma"/>
                <w:sz w:val="13"/>
              </w:rPr>
              <w:t>OL/OV</w:t>
            </w:r>
          </w:p>
        </w:tc>
      </w:tr>
      <w:tr w:rsidR="001A63C6" w:rsidRPr="003410C7" w:rsidTr="006B1F3F">
        <w:trPr>
          <w:trHeight w:val="145"/>
        </w:trPr>
        <w:tc>
          <w:tcPr>
            <w:tcW w:w="2734" w:type="dxa"/>
            <w:gridSpan w:val="2"/>
            <w:tcBorders>
              <w:bottom w:val="single" w:sz="4" w:space="0" w:color="auto"/>
            </w:tcBorders>
            <w:shd w:val="clear" w:color="auto" w:fill="FABF8F"/>
          </w:tcPr>
          <w:p w:rsidR="001A63C6" w:rsidRPr="003410C7" w:rsidRDefault="001A63C6" w:rsidP="001A63C6">
            <w:pPr>
              <w:pStyle w:val="ProductNames"/>
              <w:spacing w:before="0" w:after="0"/>
              <w:rPr>
                <w:rFonts w:ascii="Tahoma" w:hAnsi="Tahoma" w:cs="Tahoma"/>
                <w:sz w:val="14"/>
              </w:rPr>
            </w:pPr>
            <w:bookmarkStart w:id="149" w:name="_Toc352234519"/>
            <w:r w:rsidRPr="003410C7">
              <w:rPr>
                <w:rFonts w:ascii="Tahoma" w:hAnsi="Tahoma" w:cs="Tahoma"/>
                <w:sz w:val="14"/>
              </w:rPr>
              <w:t>Bing Maps Public Website Usage 420K Transactions Monthly Sub</w:t>
            </w:r>
            <w:bookmarkEnd w:id="149"/>
          </w:p>
        </w:tc>
        <w:tc>
          <w:tcPr>
            <w:tcW w:w="450" w:type="dxa"/>
            <w:tcBorders>
              <w:bottom w:val="single" w:sz="4" w:space="0" w:color="auto"/>
            </w:tcBorders>
            <w:shd w:val="clear" w:color="auto" w:fill="FABF8F"/>
            <w:vAlign w:val="center"/>
          </w:tcPr>
          <w:p w:rsidR="001A63C6" w:rsidRPr="00214EC6" w:rsidRDefault="00FC1A4D" w:rsidP="002253A3">
            <w:pPr>
              <w:jc w:val="center"/>
              <w:rPr>
                <w:rFonts w:cs="Tahoma"/>
                <w:sz w:val="13"/>
                <w:szCs w:val="13"/>
              </w:rPr>
            </w:pPr>
            <w:hyperlink w:anchor="Srv_27BingMapsSvrandContentPack" w:history="1">
              <w:r w:rsidR="000D77F6" w:rsidRPr="00214EC6">
                <w:rPr>
                  <w:rStyle w:val="Hyperlink"/>
                  <w:rFonts w:cs="Tahoma"/>
                  <w:b/>
                  <w:sz w:val="13"/>
                  <w:szCs w:val="13"/>
                </w:rPr>
                <w:t>30</w:t>
              </w:r>
            </w:hyperlink>
          </w:p>
        </w:tc>
        <w:tc>
          <w:tcPr>
            <w:tcW w:w="450" w:type="dxa"/>
            <w:tcBorders>
              <w:bottom w:val="single" w:sz="4" w:space="0" w:color="auto"/>
            </w:tcBorders>
            <w:shd w:val="clear" w:color="auto" w:fill="FABF8F"/>
            <w:vAlign w:val="center"/>
          </w:tcPr>
          <w:p w:rsidR="001A63C6" w:rsidRPr="003410C7" w:rsidRDefault="001A63C6" w:rsidP="002253A3">
            <w:pPr>
              <w:jc w:val="center"/>
              <w:rPr>
                <w:rFonts w:cs="Tahoma"/>
                <w:sz w:val="14"/>
              </w:rPr>
            </w:pPr>
          </w:p>
        </w:tc>
        <w:tc>
          <w:tcPr>
            <w:tcW w:w="360" w:type="dxa"/>
            <w:tcBorders>
              <w:bottom w:val="single" w:sz="4" w:space="0" w:color="auto"/>
              <w:right w:val="single" w:sz="18" w:space="0" w:color="auto"/>
            </w:tcBorders>
            <w:shd w:val="clear" w:color="auto" w:fill="FABF8F"/>
            <w:vAlign w:val="center"/>
          </w:tcPr>
          <w:p w:rsidR="001A63C6" w:rsidRPr="003410C7" w:rsidRDefault="001A63C6" w:rsidP="002253A3">
            <w:pPr>
              <w:jc w:val="center"/>
              <w:rPr>
                <w:rFonts w:cs="Tahoma"/>
                <w:sz w:val="14"/>
              </w:rPr>
            </w:pPr>
          </w:p>
        </w:tc>
        <w:tc>
          <w:tcPr>
            <w:tcW w:w="2970" w:type="dxa"/>
            <w:gridSpan w:val="7"/>
            <w:tcBorders>
              <w:left w:val="single" w:sz="18" w:space="0" w:color="auto"/>
              <w:bottom w:val="single" w:sz="4" w:space="0" w:color="auto"/>
              <w:right w:val="single" w:sz="18" w:space="0" w:color="auto"/>
            </w:tcBorders>
            <w:shd w:val="clear" w:color="auto" w:fill="FABF8F"/>
            <w:vAlign w:val="center"/>
          </w:tcPr>
          <w:p w:rsidR="001A63C6" w:rsidRPr="003410C7" w:rsidRDefault="001A63C6" w:rsidP="002253A3">
            <w:pPr>
              <w:jc w:val="center"/>
              <w:rPr>
                <w:rFonts w:cs="Tahoma"/>
                <w:sz w:val="14"/>
              </w:rPr>
            </w:pPr>
            <w:r w:rsidRPr="003410C7">
              <w:rPr>
                <w:rFonts w:cs="Tahoma"/>
                <w:sz w:val="14"/>
              </w:rPr>
              <w:t>200 crediti</w:t>
            </w:r>
          </w:p>
        </w:tc>
        <w:tc>
          <w:tcPr>
            <w:tcW w:w="450" w:type="dxa"/>
            <w:tcBorders>
              <w:left w:val="single" w:sz="18" w:space="0" w:color="auto"/>
              <w:bottom w:val="single" w:sz="4" w:space="0" w:color="auto"/>
            </w:tcBorders>
            <w:shd w:val="clear" w:color="auto" w:fill="FABF8F"/>
            <w:vAlign w:val="center"/>
          </w:tcPr>
          <w:p w:rsidR="001A63C6" w:rsidRPr="003410C7" w:rsidRDefault="001A63C6" w:rsidP="002253A3">
            <w:pPr>
              <w:jc w:val="center"/>
              <w:rPr>
                <w:rFonts w:cs="Tahoma"/>
                <w:sz w:val="14"/>
              </w:rPr>
            </w:pPr>
            <w:r w:rsidRPr="003410C7">
              <w:rPr>
                <w:rFonts w:cs="Tahoma"/>
                <w:sz w:val="14"/>
              </w:rPr>
              <w:t>200</w:t>
            </w:r>
          </w:p>
        </w:tc>
        <w:tc>
          <w:tcPr>
            <w:tcW w:w="450" w:type="dxa"/>
            <w:tcBorders>
              <w:bottom w:val="single" w:sz="4" w:space="0" w:color="auto"/>
            </w:tcBorders>
            <w:shd w:val="clear" w:color="auto" w:fill="FABF8F"/>
            <w:vAlign w:val="center"/>
          </w:tcPr>
          <w:p w:rsidR="001A63C6" w:rsidRPr="003410C7" w:rsidRDefault="001A63C6" w:rsidP="002253A3">
            <w:pPr>
              <w:jc w:val="center"/>
              <w:rPr>
                <w:rFonts w:cs="Tahoma"/>
                <w:sz w:val="14"/>
              </w:rPr>
            </w:pPr>
          </w:p>
        </w:tc>
        <w:tc>
          <w:tcPr>
            <w:tcW w:w="450" w:type="dxa"/>
            <w:tcBorders>
              <w:bottom w:val="single" w:sz="4" w:space="0" w:color="auto"/>
              <w:right w:val="single" w:sz="18" w:space="0" w:color="auto"/>
            </w:tcBorders>
            <w:shd w:val="clear" w:color="auto" w:fill="FABF8F"/>
            <w:vAlign w:val="center"/>
          </w:tcPr>
          <w:p w:rsidR="001A63C6" w:rsidRPr="003410C7" w:rsidRDefault="001A63C6" w:rsidP="002253A3">
            <w:pPr>
              <w:jc w:val="center"/>
              <w:rPr>
                <w:rFonts w:cs="Tahoma"/>
                <w:sz w:val="14"/>
              </w:rPr>
            </w:pPr>
          </w:p>
        </w:tc>
        <w:tc>
          <w:tcPr>
            <w:tcW w:w="450" w:type="dxa"/>
            <w:tcBorders>
              <w:left w:val="single" w:sz="18" w:space="0" w:color="auto"/>
              <w:bottom w:val="single" w:sz="4" w:space="0" w:color="auto"/>
            </w:tcBorders>
            <w:shd w:val="clear" w:color="auto" w:fill="FABF8F"/>
            <w:vAlign w:val="center"/>
          </w:tcPr>
          <w:p w:rsidR="001A63C6" w:rsidRPr="003410C7" w:rsidRDefault="001A63C6" w:rsidP="002253A3">
            <w:pPr>
              <w:jc w:val="center"/>
              <w:rPr>
                <w:rFonts w:cs="Tahoma"/>
                <w:sz w:val="14"/>
              </w:rPr>
            </w:pPr>
          </w:p>
        </w:tc>
        <w:tc>
          <w:tcPr>
            <w:tcW w:w="450" w:type="dxa"/>
            <w:tcBorders>
              <w:bottom w:val="single" w:sz="4" w:space="0" w:color="auto"/>
              <w:right w:val="single" w:sz="18" w:space="0" w:color="auto"/>
            </w:tcBorders>
            <w:shd w:val="clear" w:color="auto" w:fill="FABF8F"/>
            <w:vAlign w:val="center"/>
          </w:tcPr>
          <w:p w:rsidR="001A63C6" w:rsidRPr="003410C7" w:rsidRDefault="001A63C6" w:rsidP="002253A3">
            <w:pPr>
              <w:jc w:val="center"/>
              <w:rPr>
                <w:rFonts w:cs="Tahoma"/>
                <w:sz w:val="14"/>
              </w:rPr>
            </w:pPr>
            <w:r w:rsidRPr="003410C7">
              <w:rPr>
                <w:rFonts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3410C7" w:rsidRDefault="001A63C6" w:rsidP="002253A3">
            <w:pPr>
              <w:jc w:val="center"/>
              <w:rPr>
                <w:rFonts w:cs="Tahoma"/>
                <w:sz w:val="14"/>
              </w:rPr>
            </w:pPr>
            <w:r w:rsidRPr="003410C7">
              <w:rPr>
                <w:rFonts w:cs="Tahoma"/>
                <w:sz w:val="13"/>
              </w:rPr>
              <w:t>P</w:t>
            </w:r>
          </w:p>
        </w:tc>
        <w:tc>
          <w:tcPr>
            <w:tcW w:w="450" w:type="dxa"/>
            <w:tcBorders>
              <w:bottom w:val="single" w:sz="4" w:space="0" w:color="auto"/>
            </w:tcBorders>
            <w:shd w:val="clear" w:color="auto" w:fill="FABF8F"/>
            <w:vAlign w:val="center"/>
          </w:tcPr>
          <w:p w:rsidR="001A63C6" w:rsidRPr="003410C7" w:rsidRDefault="001A63C6" w:rsidP="002253A3">
            <w:pPr>
              <w:jc w:val="center"/>
              <w:rPr>
                <w:rFonts w:cs="Tahoma"/>
                <w:sz w:val="14"/>
              </w:rPr>
            </w:pPr>
          </w:p>
        </w:tc>
        <w:tc>
          <w:tcPr>
            <w:tcW w:w="540" w:type="dxa"/>
            <w:tcBorders>
              <w:bottom w:val="single" w:sz="4" w:space="0" w:color="auto"/>
            </w:tcBorders>
            <w:shd w:val="clear" w:color="auto" w:fill="FABF8F"/>
            <w:vAlign w:val="center"/>
          </w:tcPr>
          <w:p w:rsidR="001A63C6" w:rsidRPr="003410C7" w:rsidRDefault="001A63C6" w:rsidP="002253A3">
            <w:pPr>
              <w:jc w:val="center"/>
              <w:rPr>
                <w:rFonts w:cs="Tahoma"/>
                <w:sz w:val="14"/>
              </w:rPr>
            </w:pPr>
            <w:r w:rsidRPr="003410C7">
              <w:rPr>
                <w:rFonts w:cs="Tahoma"/>
                <w:sz w:val="13"/>
              </w:rPr>
              <w:t>OL/OV</w:t>
            </w:r>
          </w:p>
        </w:tc>
      </w:tr>
      <w:tr w:rsidR="001A63C6" w:rsidRPr="003410C7" w:rsidTr="006B1F3F">
        <w:trPr>
          <w:trHeight w:val="145"/>
        </w:trPr>
        <w:tc>
          <w:tcPr>
            <w:tcW w:w="2734" w:type="dxa"/>
            <w:gridSpan w:val="2"/>
            <w:tcBorders>
              <w:bottom w:val="single" w:sz="4" w:space="0" w:color="auto"/>
            </w:tcBorders>
            <w:shd w:val="clear" w:color="auto" w:fill="auto"/>
          </w:tcPr>
          <w:p w:rsidR="001A63C6" w:rsidRPr="003410C7" w:rsidRDefault="001A63C6" w:rsidP="001A63C6">
            <w:pPr>
              <w:pStyle w:val="ProductNames"/>
              <w:spacing w:before="0" w:after="0"/>
              <w:rPr>
                <w:rFonts w:ascii="Tahoma" w:hAnsi="Tahoma" w:cs="Tahoma"/>
                <w:sz w:val="14"/>
              </w:rPr>
            </w:pPr>
            <w:bookmarkStart w:id="150" w:name="_Toc352234520"/>
            <w:r w:rsidRPr="003410C7">
              <w:rPr>
                <w:rFonts w:ascii="Tahoma" w:hAnsi="Tahoma" w:cs="Tahoma"/>
                <w:sz w:val="14"/>
              </w:rPr>
              <w:t>Bing Maps Public Website Usage 420K Transactions Monthly Sub</w:t>
            </w:r>
            <w:bookmarkEnd w:id="150"/>
          </w:p>
        </w:tc>
        <w:tc>
          <w:tcPr>
            <w:tcW w:w="450" w:type="dxa"/>
            <w:tcBorders>
              <w:bottom w:val="single" w:sz="4" w:space="0" w:color="auto"/>
            </w:tcBorders>
            <w:shd w:val="clear" w:color="auto" w:fill="auto"/>
            <w:vAlign w:val="center"/>
          </w:tcPr>
          <w:p w:rsidR="001A63C6" w:rsidRPr="00214EC6" w:rsidRDefault="00FC1A4D" w:rsidP="002253A3">
            <w:pPr>
              <w:jc w:val="center"/>
              <w:rPr>
                <w:rFonts w:cs="Tahoma"/>
                <w:sz w:val="13"/>
                <w:szCs w:val="13"/>
              </w:rPr>
            </w:pPr>
            <w:hyperlink w:anchor="Srv_27BingMapsSvrandContentPack" w:history="1">
              <w:r w:rsidR="000D77F6" w:rsidRPr="00214EC6">
                <w:rPr>
                  <w:rStyle w:val="Hyperlink"/>
                  <w:rFonts w:cs="Tahoma"/>
                  <w:b/>
                  <w:sz w:val="13"/>
                  <w:szCs w:val="13"/>
                </w:rPr>
                <w:t>30</w:t>
              </w:r>
            </w:hyperlink>
          </w:p>
        </w:tc>
        <w:tc>
          <w:tcPr>
            <w:tcW w:w="450" w:type="dxa"/>
            <w:tcBorders>
              <w:bottom w:val="single" w:sz="4" w:space="0" w:color="auto"/>
            </w:tcBorders>
            <w:shd w:val="clear" w:color="auto" w:fill="auto"/>
            <w:vAlign w:val="center"/>
          </w:tcPr>
          <w:p w:rsidR="001A63C6" w:rsidRPr="003410C7" w:rsidRDefault="001A63C6" w:rsidP="002253A3">
            <w:pPr>
              <w:jc w:val="center"/>
              <w:rPr>
                <w:rFonts w:cs="Tahoma"/>
                <w:sz w:val="14"/>
              </w:rPr>
            </w:pPr>
          </w:p>
        </w:tc>
        <w:tc>
          <w:tcPr>
            <w:tcW w:w="360" w:type="dxa"/>
            <w:tcBorders>
              <w:bottom w:val="single" w:sz="4" w:space="0" w:color="auto"/>
              <w:right w:val="single" w:sz="18" w:space="0" w:color="auto"/>
            </w:tcBorders>
            <w:shd w:val="clear" w:color="auto" w:fill="auto"/>
            <w:vAlign w:val="center"/>
          </w:tcPr>
          <w:p w:rsidR="001A63C6" w:rsidRPr="003410C7" w:rsidRDefault="001A63C6" w:rsidP="002253A3">
            <w:pPr>
              <w:jc w:val="center"/>
              <w:rPr>
                <w:rFonts w:cs="Tahoma"/>
                <w:sz w:val="14"/>
              </w:rPr>
            </w:pPr>
          </w:p>
        </w:tc>
        <w:tc>
          <w:tcPr>
            <w:tcW w:w="2970" w:type="dxa"/>
            <w:gridSpan w:val="7"/>
            <w:tcBorders>
              <w:left w:val="single" w:sz="18" w:space="0" w:color="auto"/>
              <w:bottom w:val="single" w:sz="4" w:space="0" w:color="auto"/>
              <w:right w:val="single" w:sz="18" w:space="0" w:color="auto"/>
            </w:tcBorders>
            <w:shd w:val="clear" w:color="auto" w:fill="auto"/>
            <w:vAlign w:val="center"/>
          </w:tcPr>
          <w:p w:rsidR="001A63C6" w:rsidRPr="003410C7" w:rsidRDefault="001A63C6" w:rsidP="002253A3">
            <w:pPr>
              <w:jc w:val="center"/>
              <w:rPr>
                <w:rFonts w:cs="Tahoma"/>
                <w:sz w:val="14"/>
              </w:rPr>
            </w:pPr>
            <w:r w:rsidRPr="003410C7">
              <w:rPr>
                <w:rFonts w:cs="Tahoma"/>
                <w:sz w:val="14"/>
              </w:rPr>
              <w:t>200 crediti</w:t>
            </w:r>
          </w:p>
        </w:tc>
        <w:tc>
          <w:tcPr>
            <w:tcW w:w="450" w:type="dxa"/>
            <w:tcBorders>
              <w:left w:val="single" w:sz="18" w:space="0" w:color="auto"/>
              <w:bottom w:val="single" w:sz="4" w:space="0" w:color="auto"/>
            </w:tcBorders>
            <w:shd w:val="clear" w:color="auto" w:fill="auto"/>
            <w:vAlign w:val="center"/>
          </w:tcPr>
          <w:p w:rsidR="001A63C6" w:rsidRPr="003410C7" w:rsidRDefault="001A63C6" w:rsidP="002253A3">
            <w:pPr>
              <w:jc w:val="center"/>
              <w:rPr>
                <w:rFonts w:cs="Tahoma"/>
                <w:sz w:val="14"/>
              </w:rPr>
            </w:pPr>
            <w:r w:rsidRPr="003410C7">
              <w:rPr>
                <w:rFonts w:cs="Tahoma"/>
                <w:sz w:val="14"/>
              </w:rPr>
              <w:t>200</w:t>
            </w:r>
          </w:p>
        </w:tc>
        <w:tc>
          <w:tcPr>
            <w:tcW w:w="450" w:type="dxa"/>
            <w:tcBorders>
              <w:bottom w:val="single" w:sz="4" w:space="0" w:color="auto"/>
            </w:tcBorders>
            <w:shd w:val="clear" w:color="auto" w:fill="auto"/>
            <w:vAlign w:val="center"/>
          </w:tcPr>
          <w:p w:rsidR="001A63C6" w:rsidRPr="003410C7" w:rsidRDefault="001A63C6" w:rsidP="002253A3">
            <w:pPr>
              <w:jc w:val="center"/>
              <w:rPr>
                <w:rFonts w:cs="Tahoma"/>
                <w:sz w:val="14"/>
              </w:rPr>
            </w:pPr>
          </w:p>
        </w:tc>
        <w:tc>
          <w:tcPr>
            <w:tcW w:w="450" w:type="dxa"/>
            <w:tcBorders>
              <w:bottom w:val="single" w:sz="4" w:space="0" w:color="auto"/>
              <w:right w:val="single" w:sz="18" w:space="0" w:color="auto"/>
            </w:tcBorders>
            <w:shd w:val="clear" w:color="auto" w:fill="auto"/>
            <w:vAlign w:val="center"/>
          </w:tcPr>
          <w:p w:rsidR="001A63C6" w:rsidRPr="003410C7" w:rsidRDefault="001A63C6" w:rsidP="002253A3">
            <w:pPr>
              <w:jc w:val="center"/>
              <w:rPr>
                <w:rFonts w:cs="Tahoma"/>
                <w:sz w:val="14"/>
              </w:rPr>
            </w:pPr>
          </w:p>
        </w:tc>
        <w:tc>
          <w:tcPr>
            <w:tcW w:w="450" w:type="dxa"/>
            <w:tcBorders>
              <w:left w:val="single" w:sz="18" w:space="0" w:color="auto"/>
              <w:bottom w:val="single" w:sz="4" w:space="0" w:color="auto"/>
            </w:tcBorders>
            <w:shd w:val="clear" w:color="auto" w:fill="auto"/>
            <w:vAlign w:val="center"/>
          </w:tcPr>
          <w:p w:rsidR="001A63C6" w:rsidRPr="003410C7" w:rsidRDefault="001A63C6" w:rsidP="002253A3">
            <w:pPr>
              <w:jc w:val="center"/>
              <w:rPr>
                <w:rFonts w:cs="Tahoma"/>
                <w:sz w:val="14"/>
              </w:rPr>
            </w:pPr>
          </w:p>
        </w:tc>
        <w:tc>
          <w:tcPr>
            <w:tcW w:w="450" w:type="dxa"/>
            <w:tcBorders>
              <w:bottom w:val="single" w:sz="4" w:space="0" w:color="auto"/>
              <w:right w:val="single" w:sz="18" w:space="0" w:color="auto"/>
            </w:tcBorders>
            <w:shd w:val="clear" w:color="auto" w:fill="auto"/>
            <w:vAlign w:val="center"/>
          </w:tcPr>
          <w:p w:rsidR="001A63C6" w:rsidRPr="003410C7" w:rsidRDefault="001A63C6" w:rsidP="002253A3">
            <w:pPr>
              <w:jc w:val="center"/>
              <w:rPr>
                <w:rFonts w:cs="Tahoma"/>
                <w:sz w:val="14"/>
              </w:rPr>
            </w:pPr>
            <w:r w:rsidRPr="003410C7">
              <w:rPr>
                <w:rFonts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rsidR="001A63C6" w:rsidRPr="003410C7" w:rsidRDefault="001A63C6" w:rsidP="002253A3">
            <w:pPr>
              <w:jc w:val="center"/>
              <w:rPr>
                <w:rFonts w:cs="Tahoma"/>
                <w:sz w:val="14"/>
              </w:rPr>
            </w:pPr>
            <w:r w:rsidRPr="003410C7">
              <w:rPr>
                <w:rFonts w:cs="Tahoma"/>
                <w:sz w:val="13"/>
              </w:rPr>
              <w:t>P</w:t>
            </w:r>
          </w:p>
        </w:tc>
        <w:tc>
          <w:tcPr>
            <w:tcW w:w="450" w:type="dxa"/>
            <w:tcBorders>
              <w:bottom w:val="single" w:sz="4" w:space="0" w:color="auto"/>
            </w:tcBorders>
            <w:shd w:val="clear" w:color="auto" w:fill="auto"/>
            <w:vAlign w:val="center"/>
          </w:tcPr>
          <w:p w:rsidR="001A63C6" w:rsidRPr="003410C7" w:rsidRDefault="001A63C6" w:rsidP="002253A3">
            <w:pPr>
              <w:jc w:val="center"/>
              <w:rPr>
                <w:rFonts w:cs="Tahoma"/>
                <w:sz w:val="14"/>
              </w:rPr>
            </w:pPr>
          </w:p>
        </w:tc>
        <w:tc>
          <w:tcPr>
            <w:tcW w:w="540" w:type="dxa"/>
            <w:tcBorders>
              <w:bottom w:val="single" w:sz="4" w:space="0" w:color="auto"/>
            </w:tcBorders>
            <w:shd w:val="clear" w:color="auto" w:fill="auto"/>
            <w:vAlign w:val="center"/>
          </w:tcPr>
          <w:p w:rsidR="001A63C6" w:rsidRPr="003410C7" w:rsidRDefault="001A63C6" w:rsidP="002253A3">
            <w:pPr>
              <w:jc w:val="center"/>
              <w:rPr>
                <w:rFonts w:cs="Tahoma"/>
                <w:sz w:val="14"/>
              </w:rPr>
            </w:pPr>
            <w:r w:rsidRPr="003410C7">
              <w:rPr>
                <w:rFonts w:cs="Tahoma"/>
                <w:sz w:val="13"/>
              </w:rPr>
              <w:t>OL/OV</w:t>
            </w:r>
          </w:p>
        </w:tc>
      </w:tr>
      <w:tr w:rsidR="001A63C6" w:rsidRPr="003410C7" w:rsidTr="006B1F3F">
        <w:trPr>
          <w:trHeight w:val="145"/>
        </w:trPr>
        <w:tc>
          <w:tcPr>
            <w:tcW w:w="2734" w:type="dxa"/>
            <w:gridSpan w:val="2"/>
            <w:tcBorders>
              <w:bottom w:val="single" w:sz="4" w:space="0" w:color="auto"/>
            </w:tcBorders>
            <w:shd w:val="clear" w:color="auto" w:fill="FABF8F"/>
          </w:tcPr>
          <w:p w:rsidR="001A63C6" w:rsidRPr="003410C7" w:rsidRDefault="001A63C6" w:rsidP="001A63C6">
            <w:pPr>
              <w:pStyle w:val="ProductNames"/>
              <w:spacing w:before="0" w:after="0"/>
              <w:rPr>
                <w:rFonts w:ascii="Tahoma" w:hAnsi="Tahoma" w:cs="Tahoma"/>
                <w:sz w:val="14"/>
              </w:rPr>
            </w:pPr>
            <w:bookmarkStart w:id="151" w:name="_Toc352234521"/>
            <w:r w:rsidRPr="003410C7">
              <w:rPr>
                <w:rFonts w:ascii="Tahoma" w:hAnsi="Tahoma" w:cs="Tahoma"/>
                <w:sz w:val="14"/>
              </w:rPr>
              <w:t>Bing Maps Public Website Usage 840K Transactions Monthly Sub</w:t>
            </w:r>
            <w:bookmarkEnd w:id="151"/>
          </w:p>
        </w:tc>
        <w:tc>
          <w:tcPr>
            <w:tcW w:w="450" w:type="dxa"/>
            <w:tcBorders>
              <w:bottom w:val="single" w:sz="4" w:space="0" w:color="auto"/>
            </w:tcBorders>
            <w:shd w:val="clear" w:color="auto" w:fill="FABF8F"/>
            <w:vAlign w:val="center"/>
          </w:tcPr>
          <w:p w:rsidR="001A63C6" w:rsidRPr="00214EC6" w:rsidRDefault="00FC1A4D" w:rsidP="002253A3">
            <w:pPr>
              <w:jc w:val="center"/>
              <w:rPr>
                <w:rFonts w:cs="Tahoma"/>
                <w:sz w:val="13"/>
                <w:szCs w:val="13"/>
              </w:rPr>
            </w:pPr>
            <w:hyperlink w:anchor="Srv_27BingMapsSvrandContentPack" w:history="1">
              <w:r w:rsidR="000D77F6" w:rsidRPr="00214EC6">
                <w:rPr>
                  <w:rStyle w:val="Hyperlink"/>
                  <w:rFonts w:cs="Tahoma"/>
                  <w:b/>
                  <w:sz w:val="13"/>
                  <w:szCs w:val="13"/>
                </w:rPr>
                <w:t>30</w:t>
              </w:r>
            </w:hyperlink>
          </w:p>
        </w:tc>
        <w:tc>
          <w:tcPr>
            <w:tcW w:w="450" w:type="dxa"/>
            <w:tcBorders>
              <w:bottom w:val="single" w:sz="4" w:space="0" w:color="auto"/>
            </w:tcBorders>
            <w:shd w:val="clear" w:color="auto" w:fill="FABF8F"/>
            <w:vAlign w:val="center"/>
          </w:tcPr>
          <w:p w:rsidR="001A63C6" w:rsidRPr="003410C7" w:rsidRDefault="001A63C6" w:rsidP="002253A3">
            <w:pPr>
              <w:jc w:val="center"/>
              <w:rPr>
                <w:rFonts w:cs="Tahoma"/>
                <w:sz w:val="14"/>
              </w:rPr>
            </w:pPr>
          </w:p>
        </w:tc>
        <w:tc>
          <w:tcPr>
            <w:tcW w:w="360" w:type="dxa"/>
            <w:tcBorders>
              <w:bottom w:val="single" w:sz="4" w:space="0" w:color="auto"/>
              <w:right w:val="single" w:sz="18" w:space="0" w:color="auto"/>
            </w:tcBorders>
            <w:shd w:val="clear" w:color="auto" w:fill="FABF8F"/>
            <w:vAlign w:val="center"/>
          </w:tcPr>
          <w:p w:rsidR="001A63C6" w:rsidRPr="003410C7" w:rsidRDefault="001A63C6" w:rsidP="002253A3">
            <w:pPr>
              <w:jc w:val="center"/>
              <w:rPr>
                <w:rFonts w:cs="Tahoma"/>
                <w:sz w:val="14"/>
              </w:rPr>
            </w:pPr>
          </w:p>
        </w:tc>
        <w:tc>
          <w:tcPr>
            <w:tcW w:w="2970" w:type="dxa"/>
            <w:gridSpan w:val="7"/>
            <w:tcBorders>
              <w:left w:val="single" w:sz="18" w:space="0" w:color="auto"/>
              <w:bottom w:val="single" w:sz="4" w:space="0" w:color="auto"/>
              <w:right w:val="single" w:sz="18" w:space="0" w:color="auto"/>
            </w:tcBorders>
            <w:shd w:val="clear" w:color="auto" w:fill="FABF8F"/>
            <w:vAlign w:val="center"/>
          </w:tcPr>
          <w:p w:rsidR="001A63C6" w:rsidRPr="003410C7" w:rsidRDefault="001A63C6" w:rsidP="002253A3">
            <w:pPr>
              <w:jc w:val="center"/>
              <w:rPr>
                <w:rFonts w:cs="Tahoma"/>
                <w:sz w:val="14"/>
              </w:rPr>
            </w:pPr>
            <w:r w:rsidRPr="003410C7">
              <w:rPr>
                <w:rFonts w:cs="Tahoma"/>
                <w:sz w:val="14"/>
              </w:rPr>
              <w:t>200 crediti</w:t>
            </w:r>
          </w:p>
        </w:tc>
        <w:tc>
          <w:tcPr>
            <w:tcW w:w="450" w:type="dxa"/>
            <w:tcBorders>
              <w:left w:val="single" w:sz="18" w:space="0" w:color="auto"/>
              <w:bottom w:val="single" w:sz="4" w:space="0" w:color="auto"/>
            </w:tcBorders>
            <w:shd w:val="clear" w:color="auto" w:fill="FABF8F"/>
            <w:vAlign w:val="center"/>
          </w:tcPr>
          <w:p w:rsidR="001A63C6" w:rsidRPr="003410C7" w:rsidRDefault="001A63C6" w:rsidP="002253A3">
            <w:pPr>
              <w:jc w:val="center"/>
              <w:rPr>
                <w:rFonts w:cs="Tahoma"/>
                <w:sz w:val="14"/>
              </w:rPr>
            </w:pPr>
            <w:r w:rsidRPr="003410C7">
              <w:rPr>
                <w:rFonts w:cs="Tahoma"/>
                <w:sz w:val="14"/>
              </w:rPr>
              <w:t>200</w:t>
            </w:r>
          </w:p>
        </w:tc>
        <w:tc>
          <w:tcPr>
            <w:tcW w:w="450" w:type="dxa"/>
            <w:tcBorders>
              <w:bottom w:val="single" w:sz="4" w:space="0" w:color="auto"/>
            </w:tcBorders>
            <w:shd w:val="clear" w:color="auto" w:fill="FABF8F"/>
            <w:vAlign w:val="center"/>
          </w:tcPr>
          <w:p w:rsidR="001A63C6" w:rsidRPr="003410C7" w:rsidRDefault="001A63C6" w:rsidP="002253A3">
            <w:pPr>
              <w:jc w:val="center"/>
              <w:rPr>
                <w:rFonts w:cs="Tahoma"/>
                <w:sz w:val="14"/>
              </w:rPr>
            </w:pPr>
          </w:p>
        </w:tc>
        <w:tc>
          <w:tcPr>
            <w:tcW w:w="450" w:type="dxa"/>
            <w:tcBorders>
              <w:bottom w:val="single" w:sz="4" w:space="0" w:color="auto"/>
              <w:right w:val="single" w:sz="18" w:space="0" w:color="auto"/>
            </w:tcBorders>
            <w:shd w:val="clear" w:color="auto" w:fill="FABF8F"/>
            <w:vAlign w:val="center"/>
          </w:tcPr>
          <w:p w:rsidR="001A63C6" w:rsidRPr="003410C7" w:rsidRDefault="001A63C6" w:rsidP="002253A3">
            <w:pPr>
              <w:jc w:val="center"/>
              <w:rPr>
                <w:rFonts w:cs="Tahoma"/>
                <w:sz w:val="14"/>
              </w:rPr>
            </w:pPr>
          </w:p>
        </w:tc>
        <w:tc>
          <w:tcPr>
            <w:tcW w:w="450" w:type="dxa"/>
            <w:tcBorders>
              <w:left w:val="single" w:sz="18" w:space="0" w:color="auto"/>
              <w:bottom w:val="single" w:sz="4" w:space="0" w:color="auto"/>
            </w:tcBorders>
            <w:shd w:val="clear" w:color="auto" w:fill="FABF8F"/>
            <w:vAlign w:val="center"/>
          </w:tcPr>
          <w:p w:rsidR="001A63C6" w:rsidRPr="003410C7" w:rsidRDefault="001A63C6" w:rsidP="002253A3">
            <w:pPr>
              <w:jc w:val="center"/>
              <w:rPr>
                <w:rFonts w:cs="Tahoma"/>
                <w:sz w:val="14"/>
              </w:rPr>
            </w:pPr>
          </w:p>
        </w:tc>
        <w:tc>
          <w:tcPr>
            <w:tcW w:w="450" w:type="dxa"/>
            <w:tcBorders>
              <w:bottom w:val="single" w:sz="4" w:space="0" w:color="auto"/>
              <w:right w:val="single" w:sz="18" w:space="0" w:color="auto"/>
            </w:tcBorders>
            <w:shd w:val="clear" w:color="auto" w:fill="FABF8F"/>
            <w:vAlign w:val="center"/>
          </w:tcPr>
          <w:p w:rsidR="001A63C6" w:rsidRPr="003410C7" w:rsidRDefault="001A63C6" w:rsidP="002253A3">
            <w:pPr>
              <w:jc w:val="center"/>
              <w:rPr>
                <w:rFonts w:cs="Tahoma"/>
                <w:sz w:val="14"/>
              </w:rPr>
            </w:pPr>
            <w:r w:rsidRPr="003410C7">
              <w:rPr>
                <w:rFonts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3410C7" w:rsidRDefault="001A63C6" w:rsidP="002253A3">
            <w:pPr>
              <w:jc w:val="center"/>
              <w:rPr>
                <w:rFonts w:cs="Tahoma"/>
                <w:sz w:val="14"/>
              </w:rPr>
            </w:pPr>
            <w:r w:rsidRPr="003410C7">
              <w:rPr>
                <w:rFonts w:cs="Tahoma"/>
                <w:sz w:val="13"/>
              </w:rPr>
              <w:t>P</w:t>
            </w:r>
          </w:p>
        </w:tc>
        <w:tc>
          <w:tcPr>
            <w:tcW w:w="450" w:type="dxa"/>
            <w:tcBorders>
              <w:bottom w:val="single" w:sz="4" w:space="0" w:color="auto"/>
            </w:tcBorders>
            <w:shd w:val="clear" w:color="auto" w:fill="FABF8F"/>
            <w:vAlign w:val="center"/>
          </w:tcPr>
          <w:p w:rsidR="001A63C6" w:rsidRPr="003410C7" w:rsidRDefault="001A63C6" w:rsidP="002253A3">
            <w:pPr>
              <w:jc w:val="center"/>
              <w:rPr>
                <w:rFonts w:cs="Tahoma"/>
                <w:sz w:val="14"/>
              </w:rPr>
            </w:pPr>
          </w:p>
        </w:tc>
        <w:tc>
          <w:tcPr>
            <w:tcW w:w="540" w:type="dxa"/>
            <w:tcBorders>
              <w:bottom w:val="single" w:sz="4" w:space="0" w:color="auto"/>
            </w:tcBorders>
            <w:shd w:val="clear" w:color="auto" w:fill="FABF8F"/>
            <w:vAlign w:val="center"/>
          </w:tcPr>
          <w:p w:rsidR="001A63C6" w:rsidRPr="003410C7" w:rsidRDefault="001A63C6" w:rsidP="002253A3">
            <w:pPr>
              <w:jc w:val="center"/>
              <w:rPr>
                <w:rFonts w:cs="Tahoma"/>
                <w:sz w:val="14"/>
              </w:rPr>
            </w:pPr>
            <w:r w:rsidRPr="003410C7">
              <w:rPr>
                <w:rFonts w:cs="Tahoma"/>
                <w:sz w:val="13"/>
              </w:rPr>
              <w:t>OL/OV</w:t>
            </w:r>
          </w:p>
        </w:tc>
      </w:tr>
      <w:tr w:rsidR="001A63C6" w:rsidRPr="003410C7" w:rsidTr="007E466C">
        <w:trPr>
          <w:trHeight w:val="145"/>
        </w:trPr>
        <w:tc>
          <w:tcPr>
            <w:tcW w:w="2734" w:type="dxa"/>
            <w:gridSpan w:val="2"/>
            <w:tcBorders>
              <w:bottom w:val="single" w:sz="4" w:space="0" w:color="auto"/>
            </w:tcBorders>
            <w:shd w:val="clear" w:color="auto" w:fill="auto"/>
          </w:tcPr>
          <w:p w:rsidR="001A63C6" w:rsidRPr="003410C7" w:rsidRDefault="001A63C6" w:rsidP="001A63C6">
            <w:pPr>
              <w:pStyle w:val="ProductNames"/>
              <w:spacing w:before="0" w:after="0"/>
              <w:rPr>
                <w:rFonts w:ascii="Tahoma" w:hAnsi="Tahoma" w:cs="Tahoma"/>
                <w:sz w:val="14"/>
              </w:rPr>
            </w:pPr>
            <w:bookmarkStart w:id="152" w:name="_Toc352234522"/>
            <w:r w:rsidRPr="003410C7">
              <w:rPr>
                <w:rFonts w:ascii="Tahoma" w:hAnsi="Tahoma" w:cs="Tahoma"/>
                <w:sz w:val="14"/>
              </w:rPr>
              <w:t>B</w:t>
            </w:r>
            <w:r w:rsidR="002D01D3">
              <w:rPr>
                <w:rFonts w:ascii="Tahoma" w:hAnsi="Tahoma" w:cs="Tahoma"/>
                <w:sz w:val="14"/>
              </w:rPr>
              <w:t>ing Maps Public Website Usage 2,</w:t>
            </w:r>
            <w:r w:rsidRPr="003410C7">
              <w:rPr>
                <w:rFonts w:ascii="Tahoma" w:hAnsi="Tahoma" w:cs="Tahoma"/>
                <w:sz w:val="14"/>
              </w:rPr>
              <w:t>5m Transactions Monthly Sub</w:t>
            </w:r>
            <w:bookmarkEnd w:id="152"/>
          </w:p>
        </w:tc>
        <w:tc>
          <w:tcPr>
            <w:tcW w:w="450" w:type="dxa"/>
            <w:tcBorders>
              <w:bottom w:val="single" w:sz="4" w:space="0" w:color="auto"/>
            </w:tcBorders>
            <w:shd w:val="clear" w:color="auto" w:fill="auto"/>
            <w:vAlign w:val="center"/>
          </w:tcPr>
          <w:p w:rsidR="001A63C6" w:rsidRPr="00214EC6" w:rsidRDefault="00FC1A4D" w:rsidP="002253A3">
            <w:pPr>
              <w:jc w:val="center"/>
              <w:rPr>
                <w:rFonts w:cs="Tahoma"/>
                <w:sz w:val="13"/>
                <w:szCs w:val="13"/>
              </w:rPr>
            </w:pPr>
            <w:hyperlink w:anchor="Srv_27BingMapsSvrandContentPack" w:history="1">
              <w:r w:rsidR="000D77F6" w:rsidRPr="00214EC6">
                <w:rPr>
                  <w:rStyle w:val="Hyperlink"/>
                  <w:rFonts w:cs="Tahoma"/>
                  <w:b/>
                  <w:sz w:val="13"/>
                  <w:szCs w:val="13"/>
                </w:rPr>
                <w:t>30</w:t>
              </w:r>
            </w:hyperlink>
          </w:p>
        </w:tc>
        <w:tc>
          <w:tcPr>
            <w:tcW w:w="450" w:type="dxa"/>
            <w:tcBorders>
              <w:bottom w:val="single" w:sz="4" w:space="0" w:color="auto"/>
            </w:tcBorders>
            <w:shd w:val="clear" w:color="auto" w:fill="auto"/>
            <w:vAlign w:val="center"/>
          </w:tcPr>
          <w:p w:rsidR="001A63C6" w:rsidRPr="003410C7" w:rsidRDefault="001A63C6" w:rsidP="002253A3">
            <w:pPr>
              <w:jc w:val="center"/>
              <w:rPr>
                <w:rFonts w:cs="Tahoma"/>
                <w:sz w:val="14"/>
              </w:rPr>
            </w:pPr>
          </w:p>
        </w:tc>
        <w:tc>
          <w:tcPr>
            <w:tcW w:w="360" w:type="dxa"/>
            <w:tcBorders>
              <w:bottom w:val="single" w:sz="4" w:space="0" w:color="auto"/>
              <w:right w:val="single" w:sz="18" w:space="0" w:color="auto"/>
            </w:tcBorders>
            <w:shd w:val="clear" w:color="auto" w:fill="auto"/>
            <w:vAlign w:val="center"/>
          </w:tcPr>
          <w:p w:rsidR="001A63C6" w:rsidRPr="003410C7" w:rsidRDefault="001A63C6" w:rsidP="002253A3">
            <w:pPr>
              <w:jc w:val="center"/>
              <w:rPr>
                <w:rFonts w:cs="Tahoma"/>
                <w:sz w:val="14"/>
              </w:rPr>
            </w:pPr>
          </w:p>
        </w:tc>
        <w:tc>
          <w:tcPr>
            <w:tcW w:w="2970" w:type="dxa"/>
            <w:gridSpan w:val="7"/>
            <w:tcBorders>
              <w:left w:val="single" w:sz="18" w:space="0" w:color="auto"/>
              <w:bottom w:val="single" w:sz="4" w:space="0" w:color="auto"/>
              <w:right w:val="single" w:sz="18" w:space="0" w:color="auto"/>
            </w:tcBorders>
            <w:shd w:val="clear" w:color="auto" w:fill="auto"/>
            <w:vAlign w:val="center"/>
          </w:tcPr>
          <w:p w:rsidR="001A63C6" w:rsidRPr="003410C7" w:rsidRDefault="001A63C6" w:rsidP="002253A3">
            <w:pPr>
              <w:jc w:val="center"/>
              <w:rPr>
                <w:rFonts w:cs="Tahoma"/>
                <w:sz w:val="14"/>
              </w:rPr>
            </w:pPr>
            <w:r w:rsidRPr="003410C7">
              <w:rPr>
                <w:rFonts w:cs="Tahoma"/>
                <w:sz w:val="14"/>
              </w:rPr>
              <w:t>200 crediti</w:t>
            </w:r>
          </w:p>
        </w:tc>
        <w:tc>
          <w:tcPr>
            <w:tcW w:w="450" w:type="dxa"/>
            <w:tcBorders>
              <w:left w:val="single" w:sz="18" w:space="0" w:color="auto"/>
              <w:bottom w:val="single" w:sz="4" w:space="0" w:color="auto"/>
            </w:tcBorders>
            <w:shd w:val="clear" w:color="auto" w:fill="auto"/>
            <w:vAlign w:val="center"/>
          </w:tcPr>
          <w:p w:rsidR="001A63C6" w:rsidRPr="003410C7" w:rsidRDefault="001A63C6" w:rsidP="002253A3">
            <w:pPr>
              <w:jc w:val="center"/>
              <w:rPr>
                <w:rFonts w:cs="Tahoma"/>
                <w:sz w:val="14"/>
              </w:rPr>
            </w:pPr>
            <w:r w:rsidRPr="003410C7">
              <w:rPr>
                <w:rFonts w:cs="Tahoma"/>
                <w:sz w:val="14"/>
              </w:rPr>
              <w:t>200</w:t>
            </w:r>
          </w:p>
        </w:tc>
        <w:tc>
          <w:tcPr>
            <w:tcW w:w="450" w:type="dxa"/>
            <w:tcBorders>
              <w:bottom w:val="single" w:sz="4" w:space="0" w:color="auto"/>
            </w:tcBorders>
            <w:shd w:val="clear" w:color="auto" w:fill="auto"/>
            <w:vAlign w:val="center"/>
          </w:tcPr>
          <w:p w:rsidR="001A63C6" w:rsidRPr="003410C7" w:rsidRDefault="001A63C6" w:rsidP="002253A3">
            <w:pPr>
              <w:jc w:val="center"/>
              <w:rPr>
                <w:rFonts w:cs="Tahoma"/>
                <w:sz w:val="14"/>
              </w:rPr>
            </w:pPr>
          </w:p>
        </w:tc>
        <w:tc>
          <w:tcPr>
            <w:tcW w:w="450" w:type="dxa"/>
            <w:tcBorders>
              <w:bottom w:val="single" w:sz="4" w:space="0" w:color="auto"/>
              <w:right w:val="single" w:sz="18" w:space="0" w:color="auto"/>
            </w:tcBorders>
            <w:shd w:val="clear" w:color="auto" w:fill="auto"/>
            <w:vAlign w:val="center"/>
          </w:tcPr>
          <w:p w:rsidR="001A63C6" w:rsidRPr="003410C7" w:rsidRDefault="001A63C6" w:rsidP="002253A3">
            <w:pPr>
              <w:jc w:val="center"/>
              <w:rPr>
                <w:rFonts w:cs="Tahoma"/>
                <w:sz w:val="14"/>
              </w:rPr>
            </w:pPr>
          </w:p>
        </w:tc>
        <w:tc>
          <w:tcPr>
            <w:tcW w:w="450" w:type="dxa"/>
            <w:tcBorders>
              <w:left w:val="single" w:sz="18" w:space="0" w:color="auto"/>
              <w:bottom w:val="single" w:sz="4" w:space="0" w:color="auto"/>
            </w:tcBorders>
            <w:shd w:val="clear" w:color="auto" w:fill="auto"/>
            <w:vAlign w:val="center"/>
          </w:tcPr>
          <w:p w:rsidR="001A63C6" w:rsidRPr="003410C7" w:rsidRDefault="001A63C6" w:rsidP="002253A3">
            <w:pPr>
              <w:jc w:val="center"/>
              <w:rPr>
                <w:rFonts w:cs="Tahoma"/>
                <w:sz w:val="14"/>
              </w:rPr>
            </w:pPr>
          </w:p>
        </w:tc>
        <w:tc>
          <w:tcPr>
            <w:tcW w:w="450" w:type="dxa"/>
            <w:tcBorders>
              <w:bottom w:val="single" w:sz="4" w:space="0" w:color="auto"/>
              <w:right w:val="single" w:sz="18" w:space="0" w:color="auto"/>
            </w:tcBorders>
            <w:shd w:val="clear" w:color="auto" w:fill="auto"/>
            <w:vAlign w:val="center"/>
          </w:tcPr>
          <w:p w:rsidR="001A63C6" w:rsidRPr="003410C7" w:rsidRDefault="001A63C6" w:rsidP="002253A3">
            <w:pPr>
              <w:jc w:val="center"/>
              <w:rPr>
                <w:rFonts w:cs="Tahoma"/>
                <w:sz w:val="14"/>
              </w:rPr>
            </w:pPr>
            <w:r w:rsidRPr="003410C7">
              <w:rPr>
                <w:rFonts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rsidR="001A63C6" w:rsidRPr="003410C7" w:rsidRDefault="001A63C6" w:rsidP="002253A3">
            <w:pPr>
              <w:jc w:val="center"/>
              <w:rPr>
                <w:rFonts w:cs="Tahoma"/>
                <w:sz w:val="14"/>
              </w:rPr>
            </w:pPr>
            <w:r w:rsidRPr="003410C7">
              <w:rPr>
                <w:rFonts w:cs="Tahoma"/>
                <w:sz w:val="13"/>
              </w:rPr>
              <w:t>P</w:t>
            </w:r>
          </w:p>
        </w:tc>
        <w:tc>
          <w:tcPr>
            <w:tcW w:w="450" w:type="dxa"/>
            <w:tcBorders>
              <w:bottom w:val="single" w:sz="4" w:space="0" w:color="auto"/>
            </w:tcBorders>
            <w:shd w:val="clear" w:color="auto" w:fill="auto"/>
            <w:vAlign w:val="center"/>
          </w:tcPr>
          <w:p w:rsidR="001A63C6" w:rsidRPr="003410C7" w:rsidRDefault="001A63C6" w:rsidP="002253A3">
            <w:pPr>
              <w:jc w:val="center"/>
              <w:rPr>
                <w:rFonts w:cs="Tahoma"/>
                <w:sz w:val="14"/>
              </w:rPr>
            </w:pPr>
          </w:p>
        </w:tc>
        <w:tc>
          <w:tcPr>
            <w:tcW w:w="540" w:type="dxa"/>
            <w:tcBorders>
              <w:bottom w:val="single" w:sz="4" w:space="0" w:color="auto"/>
            </w:tcBorders>
            <w:shd w:val="clear" w:color="auto" w:fill="auto"/>
            <w:vAlign w:val="center"/>
          </w:tcPr>
          <w:p w:rsidR="001A63C6" w:rsidRPr="003410C7" w:rsidRDefault="001A63C6" w:rsidP="002253A3">
            <w:pPr>
              <w:jc w:val="center"/>
              <w:rPr>
                <w:rFonts w:cs="Tahoma"/>
                <w:sz w:val="14"/>
              </w:rPr>
            </w:pPr>
            <w:r w:rsidRPr="003410C7">
              <w:rPr>
                <w:rFonts w:cs="Tahoma"/>
                <w:sz w:val="13"/>
              </w:rPr>
              <w:t>OL/OV</w:t>
            </w:r>
          </w:p>
        </w:tc>
      </w:tr>
      <w:tr w:rsidR="001A63C6" w:rsidRPr="003410C7" w:rsidTr="006B1F3F">
        <w:trPr>
          <w:trHeight w:val="145"/>
        </w:trPr>
        <w:tc>
          <w:tcPr>
            <w:tcW w:w="2734" w:type="dxa"/>
            <w:gridSpan w:val="2"/>
            <w:tcBorders>
              <w:bottom w:val="single" w:sz="4" w:space="0" w:color="auto"/>
            </w:tcBorders>
            <w:shd w:val="clear" w:color="auto" w:fill="FABF8F"/>
          </w:tcPr>
          <w:p w:rsidR="001A63C6" w:rsidRPr="003410C7" w:rsidRDefault="001A63C6" w:rsidP="001A63C6">
            <w:pPr>
              <w:pStyle w:val="ProductNames"/>
              <w:spacing w:before="0" w:after="0"/>
              <w:rPr>
                <w:rFonts w:ascii="Tahoma" w:hAnsi="Tahoma" w:cs="Tahoma"/>
                <w:sz w:val="14"/>
              </w:rPr>
            </w:pPr>
            <w:bookmarkStart w:id="153" w:name="_Toc352234523"/>
            <w:r w:rsidRPr="003410C7">
              <w:rPr>
                <w:rFonts w:ascii="Tahoma" w:hAnsi="Tahoma" w:cs="Tahoma"/>
                <w:sz w:val="14"/>
              </w:rPr>
              <w:t xml:space="preserve">Bing Maps Public </w:t>
            </w:r>
            <w:r w:rsidR="002D01D3">
              <w:rPr>
                <w:rFonts w:ascii="Tahoma" w:hAnsi="Tahoma" w:cs="Tahoma"/>
                <w:sz w:val="14"/>
              </w:rPr>
              <w:t>Website Usage 4,</w:t>
            </w:r>
            <w:r w:rsidRPr="003410C7">
              <w:rPr>
                <w:rFonts w:ascii="Tahoma" w:hAnsi="Tahoma" w:cs="Tahoma"/>
                <w:sz w:val="14"/>
              </w:rPr>
              <w:t>2m Transactions Monthly Sub</w:t>
            </w:r>
            <w:bookmarkEnd w:id="153"/>
          </w:p>
        </w:tc>
        <w:tc>
          <w:tcPr>
            <w:tcW w:w="450" w:type="dxa"/>
            <w:tcBorders>
              <w:bottom w:val="single" w:sz="4" w:space="0" w:color="auto"/>
            </w:tcBorders>
            <w:shd w:val="clear" w:color="auto" w:fill="FABF8F"/>
            <w:vAlign w:val="center"/>
          </w:tcPr>
          <w:p w:rsidR="001A63C6" w:rsidRPr="00214EC6" w:rsidRDefault="00FC1A4D" w:rsidP="002253A3">
            <w:pPr>
              <w:jc w:val="center"/>
              <w:rPr>
                <w:rFonts w:cs="Tahoma"/>
                <w:sz w:val="13"/>
                <w:szCs w:val="13"/>
              </w:rPr>
            </w:pPr>
            <w:hyperlink w:anchor="Srv_27BingMapsSvrandContentPack" w:history="1">
              <w:r w:rsidR="000D77F6" w:rsidRPr="00214EC6">
                <w:rPr>
                  <w:rStyle w:val="Hyperlink"/>
                  <w:rFonts w:cs="Tahoma"/>
                  <w:b/>
                  <w:sz w:val="13"/>
                  <w:szCs w:val="13"/>
                </w:rPr>
                <w:t>30</w:t>
              </w:r>
            </w:hyperlink>
          </w:p>
        </w:tc>
        <w:tc>
          <w:tcPr>
            <w:tcW w:w="450" w:type="dxa"/>
            <w:tcBorders>
              <w:bottom w:val="single" w:sz="4" w:space="0" w:color="auto"/>
            </w:tcBorders>
            <w:shd w:val="clear" w:color="auto" w:fill="FABF8F"/>
            <w:vAlign w:val="center"/>
          </w:tcPr>
          <w:p w:rsidR="001A63C6" w:rsidRPr="003410C7" w:rsidRDefault="001A63C6" w:rsidP="002253A3">
            <w:pPr>
              <w:jc w:val="center"/>
              <w:rPr>
                <w:rFonts w:cs="Tahoma"/>
                <w:sz w:val="14"/>
              </w:rPr>
            </w:pPr>
          </w:p>
        </w:tc>
        <w:tc>
          <w:tcPr>
            <w:tcW w:w="360" w:type="dxa"/>
            <w:tcBorders>
              <w:bottom w:val="single" w:sz="4" w:space="0" w:color="auto"/>
              <w:right w:val="single" w:sz="18" w:space="0" w:color="auto"/>
            </w:tcBorders>
            <w:shd w:val="clear" w:color="auto" w:fill="FABF8F"/>
            <w:vAlign w:val="center"/>
          </w:tcPr>
          <w:p w:rsidR="001A63C6" w:rsidRPr="003410C7" w:rsidRDefault="001A63C6" w:rsidP="002253A3">
            <w:pPr>
              <w:jc w:val="center"/>
              <w:rPr>
                <w:rFonts w:cs="Tahoma"/>
                <w:sz w:val="14"/>
              </w:rPr>
            </w:pPr>
          </w:p>
        </w:tc>
        <w:tc>
          <w:tcPr>
            <w:tcW w:w="2970" w:type="dxa"/>
            <w:gridSpan w:val="7"/>
            <w:tcBorders>
              <w:left w:val="single" w:sz="18" w:space="0" w:color="auto"/>
              <w:bottom w:val="single" w:sz="4" w:space="0" w:color="auto"/>
              <w:right w:val="single" w:sz="18" w:space="0" w:color="auto"/>
            </w:tcBorders>
            <w:shd w:val="clear" w:color="auto" w:fill="FABF8F"/>
            <w:vAlign w:val="center"/>
          </w:tcPr>
          <w:p w:rsidR="001A63C6" w:rsidRPr="003410C7" w:rsidRDefault="001A63C6" w:rsidP="002253A3">
            <w:pPr>
              <w:jc w:val="center"/>
              <w:rPr>
                <w:rFonts w:cs="Tahoma"/>
                <w:sz w:val="14"/>
              </w:rPr>
            </w:pPr>
            <w:r w:rsidRPr="003410C7">
              <w:rPr>
                <w:rFonts w:cs="Tahoma"/>
                <w:sz w:val="14"/>
              </w:rPr>
              <w:t>200 crediti</w:t>
            </w:r>
          </w:p>
        </w:tc>
        <w:tc>
          <w:tcPr>
            <w:tcW w:w="450" w:type="dxa"/>
            <w:tcBorders>
              <w:left w:val="single" w:sz="18" w:space="0" w:color="auto"/>
              <w:bottom w:val="single" w:sz="4" w:space="0" w:color="auto"/>
            </w:tcBorders>
            <w:shd w:val="clear" w:color="auto" w:fill="FABF8F"/>
            <w:vAlign w:val="center"/>
          </w:tcPr>
          <w:p w:rsidR="001A63C6" w:rsidRPr="003410C7" w:rsidRDefault="001A63C6" w:rsidP="002253A3">
            <w:pPr>
              <w:jc w:val="center"/>
              <w:rPr>
                <w:rFonts w:cs="Tahoma"/>
                <w:sz w:val="14"/>
              </w:rPr>
            </w:pPr>
            <w:r w:rsidRPr="003410C7">
              <w:rPr>
                <w:rFonts w:cs="Tahoma"/>
                <w:sz w:val="14"/>
              </w:rPr>
              <w:t>200</w:t>
            </w:r>
          </w:p>
        </w:tc>
        <w:tc>
          <w:tcPr>
            <w:tcW w:w="450" w:type="dxa"/>
            <w:tcBorders>
              <w:bottom w:val="single" w:sz="4" w:space="0" w:color="auto"/>
            </w:tcBorders>
            <w:shd w:val="clear" w:color="auto" w:fill="FABF8F"/>
            <w:vAlign w:val="center"/>
          </w:tcPr>
          <w:p w:rsidR="001A63C6" w:rsidRPr="003410C7" w:rsidRDefault="001A63C6" w:rsidP="002253A3">
            <w:pPr>
              <w:jc w:val="center"/>
              <w:rPr>
                <w:rFonts w:cs="Tahoma"/>
                <w:sz w:val="14"/>
              </w:rPr>
            </w:pPr>
          </w:p>
        </w:tc>
        <w:tc>
          <w:tcPr>
            <w:tcW w:w="450" w:type="dxa"/>
            <w:tcBorders>
              <w:bottom w:val="single" w:sz="4" w:space="0" w:color="auto"/>
              <w:right w:val="single" w:sz="18" w:space="0" w:color="auto"/>
            </w:tcBorders>
            <w:shd w:val="clear" w:color="auto" w:fill="FABF8F"/>
            <w:vAlign w:val="center"/>
          </w:tcPr>
          <w:p w:rsidR="001A63C6" w:rsidRPr="003410C7" w:rsidRDefault="001A63C6" w:rsidP="002253A3">
            <w:pPr>
              <w:jc w:val="center"/>
              <w:rPr>
                <w:rFonts w:cs="Tahoma"/>
                <w:sz w:val="14"/>
              </w:rPr>
            </w:pPr>
          </w:p>
        </w:tc>
        <w:tc>
          <w:tcPr>
            <w:tcW w:w="450" w:type="dxa"/>
            <w:tcBorders>
              <w:left w:val="single" w:sz="18" w:space="0" w:color="auto"/>
              <w:bottom w:val="single" w:sz="4" w:space="0" w:color="auto"/>
            </w:tcBorders>
            <w:shd w:val="clear" w:color="auto" w:fill="FABF8F"/>
            <w:vAlign w:val="center"/>
          </w:tcPr>
          <w:p w:rsidR="001A63C6" w:rsidRPr="003410C7" w:rsidRDefault="001A63C6" w:rsidP="002253A3">
            <w:pPr>
              <w:jc w:val="center"/>
              <w:rPr>
                <w:rFonts w:cs="Tahoma"/>
                <w:sz w:val="14"/>
              </w:rPr>
            </w:pPr>
          </w:p>
        </w:tc>
        <w:tc>
          <w:tcPr>
            <w:tcW w:w="450" w:type="dxa"/>
            <w:tcBorders>
              <w:bottom w:val="single" w:sz="4" w:space="0" w:color="auto"/>
              <w:right w:val="single" w:sz="18" w:space="0" w:color="auto"/>
            </w:tcBorders>
            <w:shd w:val="clear" w:color="auto" w:fill="FABF8F"/>
            <w:vAlign w:val="center"/>
          </w:tcPr>
          <w:p w:rsidR="001A63C6" w:rsidRPr="003410C7" w:rsidRDefault="001A63C6" w:rsidP="002253A3">
            <w:pPr>
              <w:jc w:val="center"/>
              <w:rPr>
                <w:rFonts w:cs="Tahoma"/>
                <w:sz w:val="14"/>
              </w:rPr>
            </w:pPr>
            <w:r w:rsidRPr="003410C7">
              <w:rPr>
                <w:rFonts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3410C7" w:rsidRDefault="001A63C6" w:rsidP="002253A3">
            <w:pPr>
              <w:jc w:val="center"/>
              <w:rPr>
                <w:rFonts w:cs="Tahoma"/>
                <w:sz w:val="14"/>
              </w:rPr>
            </w:pPr>
            <w:r w:rsidRPr="003410C7">
              <w:rPr>
                <w:rFonts w:cs="Tahoma"/>
                <w:sz w:val="13"/>
              </w:rPr>
              <w:t>P</w:t>
            </w:r>
          </w:p>
        </w:tc>
        <w:tc>
          <w:tcPr>
            <w:tcW w:w="450" w:type="dxa"/>
            <w:tcBorders>
              <w:bottom w:val="single" w:sz="4" w:space="0" w:color="auto"/>
            </w:tcBorders>
            <w:shd w:val="clear" w:color="auto" w:fill="FABF8F"/>
            <w:vAlign w:val="center"/>
          </w:tcPr>
          <w:p w:rsidR="001A63C6" w:rsidRPr="003410C7" w:rsidRDefault="001A63C6" w:rsidP="002253A3">
            <w:pPr>
              <w:jc w:val="center"/>
              <w:rPr>
                <w:rFonts w:cs="Tahoma"/>
                <w:sz w:val="14"/>
              </w:rPr>
            </w:pPr>
          </w:p>
        </w:tc>
        <w:tc>
          <w:tcPr>
            <w:tcW w:w="540" w:type="dxa"/>
            <w:tcBorders>
              <w:bottom w:val="single" w:sz="4" w:space="0" w:color="auto"/>
            </w:tcBorders>
            <w:shd w:val="clear" w:color="auto" w:fill="FABF8F"/>
            <w:vAlign w:val="center"/>
          </w:tcPr>
          <w:p w:rsidR="001A63C6" w:rsidRPr="003410C7" w:rsidRDefault="001A63C6" w:rsidP="002253A3">
            <w:pPr>
              <w:jc w:val="center"/>
              <w:rPr>
                <w:rFonts w:cs="Tahoma"/>
                <w:sz w:val="14"/>
              </w:rPr>
            </w:pPr>
            <w:r w:rsidRPr="003410C7">
              <w:rPr>
                <w:rFonts w:cs="Tahoma"/>
                <w:sz w:val="13"/>
              </w:rPr>
              <w:t>OL/OV</w:t>
            </w:r>
          </w:p>
        </w:tc>
      </w:tr>
      <w:tr w:rsidR="001A63C6" w:rsidRPr="003410C7" w:rsidTr="006B1F3F">
        <w:trPr>
          <w:trHeight w:val="145"/>
        </w:trPr>
        <w:tc>
          <w:tcPr>
            <w:tcW w:w="2734" w:type="dxa"/>
            <w:gridSpan w:val="2"/>
            <w:tcBorders>
              <w:bottom w:val="single" w:sz="4" w:space="0" w:color="auto"/>
            </w:tcBorders>
            <w:shd w:val="clear" w:color="auto" w:fill="auto"/>
          </w:tcPr>
          <w:p w:rsidR="001A63C6" w:rsidRPr="003410C7" w:rsidRDefault="001A63C6" w:rsidP="001A63C6">
            <w:pPr>
              <w:pStyle w:val="ProductNames"/>
              <w:spacing w:before="0" w:after="0"/>
              <w:rPr>
                <w:rFonts w:ascii="Tahoma" w:hAnsi="Tahoma" w:cs="Tahoma"/>
                <w:sz w:val="14"/>
              </w:rPr>
            </w:pPr>
            <w:bookmarkStart w:id="154" w:name="_Toc352234524"/>
            <w:r w:rsidRPr="003410C7">
              <w:rPr>
                <w:rFonts w:ascii="Tahoma" w:hAnsi="Tahoma" w:cs="Tahoma"/>
                <w:sz w:val="14"/>
              </w:rPr>
              <w:t>B</w:t>
            </w:r>
            <w:r w:rsidR="002D01D3">
              <w:rPr>
                <w:rFonts w:ascii="Tahoma" w:hAnsi="Tahoma" w:cs="Tahoma"/>
                <w:sz w:val="14"/>
              </w:rPr>
              <w:t>ing Maps Public Website Usage 8,</w:t>
            </w:r>
            <w:r w:rsidRPr="003410C7">
              <w:rPr>
                <w:rFonts w:ascii="Tahoma" w:hAnsi="Tahoma" w:cs="Tahoma"/>
                <w:sz w:val="14"/>
              </w:rPr>
              <w:t>4m Transactions Monthly Sub</w:t>
            </w:r>
            <w:bookmarkEnd w:id="154"/>
          </w:p>
        </w:tc>
        <w:tc>
          <w:tcPr>
            <w:tcW w:w="450" w:type="dxa"/>
            <w:tcBorders>
              <w:bottom w:val="single" w:sz="4" w:space="0" w:color="auto"/>
            </w:tcBorders>
            <w:shd w:val="clear" w:color="auto" w:fill="auto"/>
            <w:vAlign w:val="center"/>
          </w:tcPr>
          <w:p w:rsidR="001A63C6" w:rsidRPr="00214EC6" w:rsidRDefault="00FC1A4D" w:rsidP="002253A3">
            <w:pPr>
              <w:jc w:val="center"/>
              <w:rPr>
                <w:rFonts w:cs="Tahoma"/>
                <w:sz w:val="13"/>
                <w:szCs w:val="13"/>
              </w:rPr>
            </w:pPr>
            <w:hyperlink w:anchor="Srv_27BingMapsSvrandContentPack" w:history="1">
              <w:r w:rsidR="000D77F6" w:rsidRPr="00214EC6">
                <w:rPr>
                  <w:rStyle w:val="Hyperlink"/>
                  <w:rFonts w:cs="Tahoma"/>
                  <w:b/>
                  <w:sz w:val="13"/>
                  <w:szCs w:val="13"/>
                </w:rPr>
                <w:t>30</w:t>
              </w:r>
            </w:hyperlink>
          </w:p>
        </w:tc>
        <w:tc>
          <w:tcPr>
            <w:tcW w:w="450" w:type="dxa"/>
            <w:tcBorders>
              <w:bottom w:val="single" w:sz="4" w:space="0" w:color="auto"/>
            </w:tcBorders>
            <w:shd w:val="clear" w:color="auto" w:fill="auto"/>
            <w:vAlign w:val="center"/>
          </w:tcPr>
          <w:p w:rsidR="001A63C6" w:rsidRPr="003410C7" w:rsidRDefault="001A63C6" w:rsidP="002253A3">
            <w:pPr>
              <w:jc w:val="center"/>
              <w:rPr>
                <w:rFonts w:cs="Tahoma"/>
                <w:sz w:val="14"/>
              </w:rPr>
            </w:pPr>
          </w:p>
        </w:tc>
        <w:tc>
          <w:tcPr>
            <w:tcW w:w="360" w:type="dxa"/>
            <w:tcBorders>
              <w:bottom w:val="single" w:sz="4" w:space="0" w:color="auto"/>
              <w:right w:val="single" w:sz="18" w:space="0" w:color="auto"/>
            </w:tcBorders>
            <w:shd w:val="clear" w:color="auto" w:fill="auto"/>
            <w:vAlign w:val="center"/>
          </w:tcPr>
          <w:p w:rsidR="001A63C6" w:rsidRPr="003410C7" w:rsidRDefault="001A63C6" w:rsidP="002253A3">
            <w:pPr>
              <w:jc w:val="center"/>
              <w:rPr>
                <w:rFonts w:cs="Tahoma"/>
                <w:sz w:val="14"/>
              </w:rPr>
            </w:pPr>
          </w:p>
        </w:tc>
        <w:tc>
          <w:tcPr>
            <w:tcW w:w="2970" w:type="dxa"/>
            <w:gridSpan w:val="7"/>
            <w:tcBorders>
              <w:left w:val="single" w:sz="18" w:space="0" w:color="auto"/>
              <w:bottom w:val="single" w:sz="4" w:space="0" w:color="auto"/>
              <w:right w:val="single" w:sz="18" w:space="0" w:color="auto"/>
            </w:tcBorders>
            <w:shd w:val="clear" w:color="auto" w:fill="auto"/>
            <w:vAlign w:val="center"/>
          </w:tcPr>
          <w:p w:rsidR="001A63C6" w:rsidRPr="003410C7" w:rsidRDefault="001A63C6" w:rsidP="002253A3">
            <w:pPr>
              <w:jc w:val="center"/>
              <w:rPr>
                <w:rFonts w:cs="Tahoma"/>
                <w:sz w:val="14"/>
              </w:rPr>
            </w:pPr>
            <w:r w:rsidRPr="003410C7">
              <w:rPr>
                <w:rFonts w:cs="Tahoma"/>
                <w:sz w:val="14"/>
              </w:rPr>
              <w:t>200 crediti</w:t>
            </w:r>
          </w:p>
        </w:tc>
        <w:tc>
          <w:tcPr>
            <w:tcW w:w="450" w:type="dxa"/>
            <w:tcBorders>
              <w:left w:val="single" w:sz="18" w:space="0" w:color="auto"/>
              <w:bottom w:val="single" w:sz="4" w:space="0" w:color="auto"/>
            </w:tcBorders>
            <w:shd w:val="clear" w:color="auto" w:fill="auto"/>
            <w:vAlign w:val="center"/>
          </w:tcPr>
          <w:p w:rsidR="001A63C6" w:rsidRPr="003410C7" w:rsidRDefault="001A63C6" w:rsidP="002253A3">
            <w:pPr>
              <w:jc w:val="center"/>
              <w:rPr>
                <w:rFonts w:cs="Tahoma"/>
                <w:sz w:val="14"/>
              </w:rPr>
            </w:pPr>
            <w:r w:rsidRPr="003410C7">
              <w:rPr>
                <w:rFonts w:cs="Tahoma"/>
                <w:sz w:val="14"/>
              </w:rPr>
              <w:t>200</w:t>
            </w:r>
          </w:p>
        </w:tc>
        <w:tc>
          <w:tcPr>
            <w:tcW w:w="450" w:type="dxa"/>
            <w:tcBorders>
              <w:bottom w:val="single" w:sz="4" w:space="0" w:color="auto"/>
            </w:tcBorders>
            <w:shd w:val="clear" w:color="auto" w:fill="auto"/>
            <w:vAlign w:val="center"/>
          </w:tcPr>
          <w:p w:rsidR="001A63C6" w:rsidRPr="003410C7" w:rsidRDefault="001A63C6" w:rsidP="002253A3">
            <w:pPr>
              <w:jc w:val="center"/>
              <w:rPr>
                <w:rFonts w:cs="Tahoma"/>
                <w:sz w:val="14"/>
              </w:rPr>
            </w:pPr>
          </w:p>
        </w:tc>
        <w:tc>
          <w:tcPr>
            <w:tcW w:w="450" w:type="dxa"/>
            <w:tcBorders>
              <w:bottom w:val="single" w:sz="4" w:space="0" w:color="auto"/>
              <w:right w:val="single" w:sz="18" w:space="0" w:color="auto"/>
            </w:tcBorders>
            <w:shd w:val="clear" w:color="auto" w:fill="auto"/>
            <w:vAlign w:val="center"/>
          </w:tcPr>
          <w:p w:rsidR="001A63C6" w:rsidRPr="003410C7" w:rsidRDefault="001A63C6" w:rsidP="002253A3">
            <w:pPr>
              <w:jc w:val="center"/>
              <w:rPr>
                <w:rFonts w:cs="Tahoma"/>
                <w:sz w:val="14"/>
              </w:rPr>
            </w:pPr>
          </w:p>
        </w:tc>
        <w:tc>
          <w:tcPr>
            <w:tcW w:w="450" w:type="dxa"/>
            <w:tcBorders>
              <w:left w:val="single" w:sz="18" w:space="0" w:color="auto"/>
              <w:bottom w:val="single" w:sz="4" w:space="0" w:color="auto"/>
            </w:tcBorders>
            <w:shd w:val="clear" w:color="auto" w:fill="auto"/>
            <w:vAlign w:val="center"/>
          </w:tcPr>
          <w:p w:rsidR="001A63C6" w:rsidRPr="003410C7" w:rsidRDefault="001A63C6" w:rsidP="002253A3">
            <w:pPr>
              <w:jc w:val="center"/>
              <w:rPr>
                <w:rFonts w:cs="Tahoma"/>
                <w:sz w:val="14"/>
              </w:rPr>
            </w:pPr>
          </w:p>
        </w:tc>
        <w:tc>
          <w:tcPr>
            <w:tcW w:w="450" w:type="dxa"/>
            <w:tcBorders>
              <w:bottom w:val="single" w:sz="4" w:space="0" w:color="auto"/>
              <w:right w:val="single" w:sz="18" w:space="0" w:color="auto"/>
            </w:tcBorders>
            <w:shd w:val="clear" w:color="auto" w:fill="auto"/>
            <w:vAlign w:val="center"/>
          </w:tcPr>
          <w:p w:rsidR="001A63C6" w:rsidRPr="003410C7" w:rsidRDefault="001A63C6" w:rsidP="002253A3">
            <w:pPr>
              <w:jc w:val="center"/>
              <w:rPr>
                <w:rFonts w:cs="Tahoma"/>
                <w:sz w:val="14"/>
              </w:rPr>
            </w:pPr>
            <w:r w:rsidRPr="003410C7">
              <w:rPr>
                <w:rFonts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rsidR="001A63C6" w:rsidRPr="003410C7" w:rsidRDefault="001A63C6" w:rsidP="002253A3">
            <w:pPr>
              <w:jc w:val="center"/>
              <w:rPr>
                <w:rFonts w:cs="Tahoma"/>
                <w:sz w:val="14"/>
              </w:rPr>
            </w:pPr>
            <w:r w:rsidRPr="003410C7">
              <w:rPr>
                <w:rFonts w:cs="Tahoma"/>
                <w:sz w:val="13"/>
              </w:rPr>
              <w:t>P</w:t>
            </w:r>
          </w:p>
        </w:tc>
        <w:tc>
          <w:tcPr>
            <w:tcW w:w="450" w:type="dxa"/>
            <w:tcBorders>
              <w:bottom w:val="single" w:sz="4" w:space="0" w:color="auto"/>
            </w:tcBorders>
            <w:shd w:val="clear" w:color="auto" w:fill="auto"/>
            <w:vAlign w:val="center"/>
          </w:tcPr>
          <w:p w:rsidR="001A63C6" w:rsidRPr="003410C7" w:rsidRDefault="001A63C6" w:rsidP="002253A3">
            <w:pPr>
              <w:jc w:val="center"/>
              <w:rPr>
                <w:rFonts w:cs="Tahoma"/>
                <w:sz w:val="14"/>
              </w:rPr>
            </w:pPr>
          </w:p>
        </w:tc>
        <w:tc>
          <w:tcPr>
            <w:tcW w:w="540" w:type="dxa"/>
            <w:tcBorders>
              <w:bottom w:val="single" w:sz="4" w:space="0" w:color="auto"/>
            </w:tcBorders>
            <w:shd w:val="clear" w:color="auto" w:fill="auto"/>
            <w:vAlign w:val="center"/>
          </w:tcPr>
          <w:p w:rsidR="001A63C6" w:rsidRPr="003410C7" w:rsidRDefault="001A63C6" w:rsidP="002253A3">
            <w:pPr>
              <w:jc w:val="center"/>
              <w:rPr>
                <w:rFonts w:cs="Tahoma"/>
                <w:sz w:val="14"/>
              </w:rPr>
            </w:pPr>
            <w:r w:rsidRPr="003410C7">
              <w:rPr>
                <w:rFonts w:cs="Tahoma"/>
                <w:sz w:val="13"/>
              </w:rPr>
              <w:t>OL/OV</w:t>
            </w:r>
          </w:p>
        </w:tc>
      </w:tr>
      <w:tr w:rsidR="00EF228F" w:rsidRPr="003410C7" w:rsidTr="006B1F3F">
        <w:trPr>
          <w:trHeight w:val="145"/>
        </w:trPr>
        <w:tc>
          <w:tcPr>
            <w:tcW w:w="2734" w:type="dxa"/>
            <w:gridSpan w:val="2"/>
            <w:tcBorders>
              <w:bottom w:val="single" w:sz="4" w:space="0" w:color="auto"/>
            </w:tcBorders>
            <w:shd w:val="clear" w:color="auto" w:fill="FABF8F"/>
          </w:tcPr>
          <w:p w:rsidR="001A63C6" w:rsidRPr="003410C7" w:rsidRDefault="001A63C6" w:rsidP="001A63C6">
            <w:pPr>
              <w:pStyle w:val="ProductNames"/>
              <w:spacing w:before="0" w:after="0"/>
              <w:rPr>
                <w:rFonts w:ascii="Tahoma" w:hAnsi="Tahoma" w:cs="Tahoma"/>
                <w:sz w:val="14"/>
              </w:rPr>
            </w:pPr>
            <w:bookmarkStart w:id="155" w:name="_Toc352234525"/>
            <w:r w:rsidRPr="003410C7">
              <w:rPr>
                <w:rFonts w:ascii="Tahoma" w:hAnsi="Tahoma" w:cs="Tahoma"/>
                <w:sz w:val="14"/>
              </w:rPr>
              <w:t>Bing Maps Public Website Usage Unlimited Transactions Monthly Sub</w:t>
            </w:r>
            <w:bookmarkEnd w:id="155"/>
          </w:p>
        </w:tc>
        <w:tc>
          <w:tcPr>
            <w:tcW w:w="450" w:type="dxa"/>
            <w:tcBorders>
              <w:bottom w:val="single" w:sz="4" w:space="0" w:color="auto"/>
            </w:tcBorders>
            <w:shd w:val="clear" w:color="auto" w:fill="FABF8F"/>
            <w:vAlign w:val="center"/>
          </w:tcPr>
          <w:p w:rsidR="001A63C6" w:rsidRPr="00214EC6" w:rsidRDefault="00FC1A4D" w:rsidP="002253A3">
            <w:pPr>
              <w:jc w:val="center"/>
              <w:rPr>
                <w:rFonts w:cs="Tahoma"/>
                <w:sz w:val="13"/>
                <w:szCs w:val="13"/>
              </w:rPr>
            </w:pPr>
            <w:hyperlink w:anchor="Srv_27BingMapsSvrandContentPack" w:history="1">
              <w:r w:rsidR="000D77F6" w:rsidRPr="00214EC6">
                <w:rPr>
                  <w:rStyle w:val="Hyperlink"/>
                  <w:rFonts w:cs="Tahoma"/>
                  <w:b/>
                  <w:sz w:val="13"/>
                  <w:szCs w:val="13"/>
                </w:rPr>
                <w:t>30</w:t>
              </w:r>
            </w:hyperlink>
          </w:p>
        </w:tc>
        <w:tc>
          <w:tcPr>
            <w:tcW w:w="450" w:type="dxa"/>
            <w:tcBorders>
              <w:bottom w:val="single" w:sz="4" w:space="0" w:color="auto"/>
            </w:tcBorders>
            <w:shd w:val="clear" w:color="auto" w:fill="FABF8F"/>
            <w:vAlign w:val="center"/>
          </w:tcPr>
          <w:p w:rsidR="001A63C6" w:rsidRPr="003410C7" w:rsidRDefault="001A63C6" w:rsidP="002253A3">
            <w:pPr>
              <w:jc w:val="center"/>
              <w:rPr>
                <w:rFonts w:cs="Tahoma"/>
                <w:sz w:val="14"/>
              </w:rPr>
            </w:pPr>
          </w:p>
        </w:tc>
        <w:tc>
          <w:tcPr>
            <w:tcW w:w="360" w:type="dxa"/>
            <w:tcBorders>
              <w:bottom w:val="single" w:sz="4" w:space="0" w:color="auto"/>
              <w:right w:val="single" w:sz="18" w:space="0" w:color="auto"/>
            </w:tcBorders>
            <w:shd w:val="clear" w:color="auto" w:fill="FABF8F"/>
            <w:vAlign w:val="center"/>
          </w:tcPr>
          <w:p w:rsidR="001A63C6" w:rsidRPr="003410C7" w:rsidRDefault="001A63C6" w:rsidP="002253A3">
            <w:pPr>
              <w:jc w:val="center"/>
              <w:rPr>
                <w:rFonts w:cs="Tahoma"/>
                <w:sz w:val="14"/>
              </w:rPr>
            </w:pPr>
          </w:p>
        </w:tc>
        <w:tc>
          <w:tcPr>
            <w:tcW w:w="2970" w:type="dxa"/>
            <w:gridSpan w:val="7"/>
            <w:tcBorders>
              <w:left w:val="single" w:sz="18" w:space="0" w:color="auto"/>
              <w:bottom w:val="single" w:sz="4" w:space="0" w:color="auto"/>
              <w:right w:val="single" w:sz="18" w:space="0" w:color="auto"/>
            </w:tcBorders>
            <w:shd w:val="clear" w:color="auto" w:fill="FABF8F"/>
            <w:vAlign w:val="center"/>
          </w:tcPr>
          <w:p w:rsidR="001A63C6" w:rsidRPr="003410C7" w:rsidRDefault="001A63C6" w:rsidP="002253A3">
            <w:pPr>
              <w:jc w:val="center"/>
              <w:rPr>
                <w:rFonts w:cs="Tahoma"/>
                <w:sz w:val="14"/>
              </w:rPr>
            </w:pPr>
            <w:r w:rsidRPr="003410C7">
              <w:rPr>
                <w:rFonts w:cs="Tahoma"/>
                <w:sz w:val="14"/>
              </w:rPr>
              <w:t>200 crediti</w:t>
            </w:r>
          </w:p>
        </w:tc>
        <w:tc>
          <w:tcPr>
            <w:tcW w:w="450" w:type="dxa"/>
            <w:tcBorders>
              <w:left w:val="single" w:sz="18" w:space="0" w:color="auto"/>
              <w:bottom w:val="single" w:sz="4" w:space="0" w:color="auto"/>
            </w:tcBorders>
            <w:shd w:val="clear" w:color="auto" w:fill="FABF8F"/>
            <w:vAlign w:val="center"/>
          </w:tcPr>
          <w:p w:rsidR="001A63C6" w:rsidRPr="003410C7" w:rsidRDefault="001A63C6" w:rsidP="002253A3">
            <w:pPr>
              <w:jc w:val="center"/>
              <w:rPr>
                <w:rFonts w:cs="Tahoma"/>
                <w:sz w:val="14"/>
              </w:rPr>
            </w:pPr>
            <w:r w:rsidRPr="003410C7">
              <w:rPr>
                <w:rFonts w:cs="Tahoma"/>
                <w:sz w:val="14"/>
              </w:rPr>
              <w:t>200</w:t>
            </w:r>
          </w:p>
        </w:tc>
        <w:tc>
          <w:tcPr>
            <w:tcW w:w="450" w:type="dxa"/>
            <w:tcBorders>
              <w:bottom w:val="single" w:sz="4" w:space="0" w:color="auto"/>
            </w:tcBorders>
            <w:shd w:val="clear" w:color="auto" w:fill="FABF8F"/>
            <w:vAlign w:val="center"/>
          </w:tcPr>
          <w:p w:rsidR="001A63C6" w:rsidRPr="003410C7" w:rsidRDefault="001A63C6" w:rsidP="002253A3">
            <w:pPr>
              <w:jc w:val="center"/>
              <w:rPr>
                <w:rFonts w:cs="Tahoma"/>
                <w:sz w:val="14"/>
              </w:rPr>
            </w:pPr>
          </w:p>
        </w:tc>
        <w:tc>
          <w:tcPr>
            <w:tcW w:w="450" w:type="dxa"/>
            <w:tcBorders>
              <w:bottom w:val="single" w:sz="4" w:space="0" w:color="auto"/>
              <w:right w:val="single" w:sz="18" w:space="0" w:color="auto"/>
            </w:tcBorders>
            <w:shd w:val="clear" w:color="auto" w:fill="FABF8F"/>
            <w:vAlign w:val="center"/>
          </w:tcPr>
          <w:p w:rsidR="001A63C6" w:rsidRPr="003410C7" w:rsidRDefault="001A63C6" w:rsidP="002253A3">
            <w:pPr>
              <w:jc w:val="center"/>
              <w:rPr>
                <w:rFonts w:cs="Tahoma"/>
                <w:sz w:val="14"/>
              </w:rPr>
            </w:pPr>
          </w:p>
        </w:tc>
        <w:tc>
          <w:tcPr>
            <w:tcW w:w="450" w:type="dxa"/>
            <w:tcBorders>
              <w:left w:val="single" w:sz="18" w:space="0" w:color="auto"/>
              <w:bottom w:val="single" w:sz="4" w:space="0" w:color="auto"/>
            </w:tcBorders>
            <w:shd w:val="clear" w:color="auto" w:fill="FABF8F"/>
            <w:vAlign w:val="center"/>
          </w:tcPr>
          <w:p w:rsidR="001A63C6" w:rsidRPr="003410C7" w:rsidRDefault="001A63C6" w:rsidP="002253A3">
            <w:pPr>
              <w:jc w:val="center"/>
              <w:rPr>
                <w:rFonts w:cs="Tahoma"/>
                <w:sz w:val="14"/>
              </w:rPr>
            </w:pPr>
          </w:p>
        </w:tc>
        <w:tc>
          <w:tcPr>
            <w:tcW w:w="450" w:type="dxa"/>
            <w:tcBorders>
              <w:bottom w:val="single" w:sz="4" w:space="0" w:color="auto"/>
              <w:right w:val="single" w:sz="18" w:space="0" w:color="auto"/>
            </w:tcBorders>
            <w:shd w:val="clear" w:color="auto" w:fill="FABF8F"/>
            <w:vAlign w:val="center"/>
          </w:tcPr>
          <w:p w:rsidR="001A63C6" w:rsidRPr="003410C7" w:rsidRDefault="001A63C6" w:rsidP="002253A3">
            <w:pPr>
              <w:jc w:val="center"/>
              <w:rPr>
                <w:rFonts w:cs="Tahoma"/>
                <w:b/>
                <w:sz w:val="14"/>
              </w:rPr>
            </w:pPr>
            <w:r w:rsidRPr="003410C7">
              <w:rPr>
                <w:rFonts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3410C7" w:rsidRDefault="001A63C6" w:rsidP="002253A3">
            <w:pPr>
              <w:jc w:val="center"/>
              <w:rPr>
                <w:rFonts w:cs="Tahoma"/>
                <w:sz w:val="14"/>
              </w:rPr>
            </w:pPr>
            <w:r w:rsidRPr="003410C7">
              <w:rPr>
                <w:rFonts w:cs="Tahoma"/>
                <w:sz w:val="13"/>
              </w:rPr>
              <w:t>P</w:t>
            </w:r>
          </w:p>
        </w:tc>
        <w:tc>
          <w:tcPr>
            <w:tcW w:w="450" w:type="dxa"/>
            <w:tcBorders>
              <w:bottom w:val="single" w:sz="4" w:space="0" w:color="auto"/>
            </w:tcBorders>
            <w:shd w:val="clear" w:color="auto" w:fill="FABF8F"/>
            <w:vAlign w:val="center"/>
          </w:tcPr>
          <w:p w:rsidR="001A63C6" w:rsidRPr="003410C7" w:rsidRDefault="001A63C6" w:rsidP="002253A3">
            <w:pPr>
              <w:jc w:val="center"/>
              <w:rPr>
                <w:rFonts w:cs="Tahoma"/>
                <w:sz w:val="14"/>
              </w:rPr>
            </w:pPr>
          </w:p>
        </w:tc>
        <w:tc>
          <w:tcPr>
            <w:tcW w:w="540" w:type="dxa"/>
            <w:tcBorders>
              <w:bottom w:val="single" w:sz="4" w:space="0" w:color="auto"/>
            </w:tcBorders>
            <w:shd w:val="clear" w:color="auto" w:fill="FABF8F"/>
            <w:vAlign w:val="center"/>
          </w:tcPr>
          <w:p w:rsidR="001A63C6" w:rsidRPr="003410C7" w:rsidRDefault="001A63C6" w:rsidP="002253A3">
            <w:pPr>
              <w:jc w:val="center"/>
              <w:rPr>
                <w:rFonts w:cs="Tahoma"/>
                <w:sz w:val="14"/>
              </w:rPr>
            </w:pPr>
            <w:r w:rsidRPr="003410C7">
              <w:rPr>
                <w:rFonts w:cs="Tahoma"/>
                <w:sz w:val="13"/>
              </w:rPr>
              <w:t>OL/OV</w:t>
            </w:r>
          </w:p>
        </w:tc>
      </w:tr>
      <w:tr w:rsidR="001A63C6" w:rsidRPr="003410C7" w:rsidTr="006B1F3F">
        <w:trPr>
          <w:trHeight w:val="145"/>
        </w:trPr>
        <w:tc>
          <w:tcPr>
            <w:tcW w:w="2734" w:type="dxa"/>
            <w:gridSpan w:val="2"/>
            <w:tcBorders>
              <w:bottom w:val="single" w:sz="4" w:space="0" w:color="auto"/>
            </w:tcBorders>
            <w:shd w:val="clear" w:color="auto" w:fill="auto"/>
          </w:tcPr>
          <w:p w:rsidR="001A63C6" w:rsidRPr="003410C7" w:rsidRDefault="001A63C6" w:rsidP="001A63C6">
            <w:pPr>
              <w:pStyle w:val="ProductNames"/>
              <w:spacing w:before="0" w:after="0"/>
              <w:rPr>
                <w:rFonts w:ascii="Tahoma" w:hAnsi="Tahoma" w:cs="Tahoma"/>
                <w:sz w:val="14"/>
              </w:rPr>
            </w:pPr>
            <w:bookmarkStart w:id="156" w:name="_Toc352234526"/>
            <w:r w:rsidRPr="003410C7">
              <w:rPr>
                <w:rFonts w:ascii="Tahoma" w:hAnsi="Tahoma" w:cs="Tahoma"/>
                <w:sz w:val="14"/>
              </w:rPr>
              <w:t>Bing Maps Internal Website Usage 100K Transactions Monthly Sub</w:t>
            </w:r>
            <w:bookmarkEnd w:id="156"/>
          </w:p>
        </w:tc>
        <w:tc>
          <w:tcPr>
            <w:tcW w:w="450" w:type="dxa"/>
            <w:tcBorders>
              <w:bottom w:val="single" w:sz="4" w:space="0" w:color="auto"/>
            </w:tcBorders>
            <w:shd w:val="clear" w:color="auto" w:fill="auto"/>
            <w:vAlign w:val="center"/>
          </w:tcPr>
          <w:p w:rsidR="001A63C6" w:rsidRPr="00214EC6" w:rsidRDefault="00FC1A4D" w:rsidP="002253A3">
            <w:pPr>
              <w:jc w:val="center"/>
              <w:rPr>
                <w:rFonts w:cs="Tahoma"/>
                <w:sz w:val="13"/>
                <w:szCs w:val="13"/>
              </w:rPr>
            </w:pPr>
            <w:hyperlink w:anchor="Srv_27BingMapsSvrandContentPack" w:history="1">
              <w:r w:rsidR="000D77F6" w:rsidRPr="00214EC6">
                <w:rPr>
                  <w:rStyle w:val="Hyperlink"/>
                  <w:rFonts w:cs="Tahoma"/>
                  <w:b/>
                  <w:sz w:val="13"/>
                  <w:szCs w:val="13"/>
                </w:rPr>
                <w:t>30</w:t>
              </w:r>
            </w:hyperlink>
          </w:p>
        </w:tc>
        <w:tc>
          <w:tcPr>
            <w:tcW w:w="450" w:type="dxa"/>
            <w:tcBorders>
              <w:bottom w:val="single" w:sz="4" w:space="0" w:color="auto"/>
            </w:tcBorders>
            <w:shd w:val="clear" w:color="auto" w:fill="auto"/>
            <w:vAlign w:val="center"/>
          </w:tcPr>
          <w:p w:rsidR="001A63C6" w:rsidRPr="003410C7" w:rsidRDefault="001A63C6" w:rsidP="002253A3">
            <w:pPr>
              <w:jc w:val="center"/>
              <w:rPr>
                <w:rFonts w:cs="Tahoma"/>
                <w:sz w:val="14"/>
              </w:rPr>
            </w:pPr>
          </w:p>
        </w:tc>
        <w:tc>
          <w:tcPr>
            <w:tcW w:w="360" w:type="dxa"/>
            <w:tcBorders>
              <w:bottom w:val="single" w:sz="4" w:space="0" w:color="auto"/>
              <w:right w:val="single" w:sz="18" w:space="0" w:color="auto"/>
            </w:tcBorders>
            <w:shd w:val="clear" w:color="auto" w:fill="auto"/>
            <w:vAlign w:val="center"/>
          </w:tcPr>
          <w:p w:rsidR="001A63C6" w:rsidRPr="003410C7" w:rsidRDefault="001A63C6" w:rsidP="002253A3">
            <w:pPr>
              <w:jc w:val="center"/>
              <w:rPr>
                <w:rFonts w:cs="Tahoma"/>
                <w:sz w:val="14"/>
              </w:rPr>
            </w:pPr>
          </w:p>
        </w:tc>
        <w:tc>
          <w:tcPr>
            <w:tcW w:w="2970" w:type="dxa"/>
            <w:gridSpan w:val="7"/>
            <w:tcBorders>
              <w:left w:val="single" w:sz="18" w:space="0" w:color="auto"/>
              <w:bottom w:val="single" w:sz="4" w:space="0" w:color="auto"/>
              <w:right w:val="single" w:sz="18" w:space="0" w:color="auto"/>
            </w:tcBorders>
            <w:shd w:val="clear" w:color="auto" w:fill="auto"/>
            <w:vAlign w:val="center"/>
          </w:tcPr>
          <w:p w:rsidR="001A63C6" w:rsidRPr="003410C7" w:rsidRDefault="001A63C6" w:rsidP="002253A3">
            <w:pPr>
              <w:jc w:val="center"/>
              <w:rPr>
                <w:rFonts w:cs="Tahoma"/>
                <w:sz w:val="14"/>
              </w:rPr>
            </w:pPr>
            <w:r w:rsidRPr="003410C7">
              <w:rPr>
                <w:rFonts w:cs="Tahoma"/>
                <w:sz w:val="14"/>
              </w:rPr>
              <w:t>125 crediti</w:t>
            </w:r>
          </w:p>
        </w:tc>
        <w:tc>
          <w:tcPr>
            <w:tcW w:w="450" w:type="dxa"/>
            <w:tcBorders>
              <w:left w:val="single" w:sz="18" w:space="0" w:color="auto"/>
              <w:bottom w:val="single" w:sz="4" w:space="0" w:color="auto"/>
            </w:tcBorders>
            <w:shd w:val="clear" w:color="auto" w:fill="auto"/>
            <w:vAlign w:val="center"/>
          </w:tcPr>
          <w:p w:rsidR="001A63C6" w:rsidRPr="003410C7" w:rsidRDefault="001A63C6" w:rsidP="002253A3">
            <w:pPr>
              <w:jc w:val="center"/>
              <w:rPr>
                <w:rFonts w:cs="Tahoma"/>
                <w:sz w:val="14"/>
              </w:rPr>
            </w:pPr>
            <w:r w:rsidRPr="003410C7">
              <w:rPr>
                <w:rFonts w:cs="Tahoma"/>
                <w:sz w:val="14"/>
              </w:rPr>
              <w:t>125</w:t>
            </w:r>
          </w:p>
        </w:tc>
        <w:tc>
          <w:tcPr>
            <w:tcW w:w="450" w:type="dxa"/>
            <w:tcBorders>
              <w:bottom w:val="single" w:sz="4" w:space="0" w:color="auto"/>
            </w:tcBorders>
            <w:shd w:val="clear" w:color="auto" w:fill="auto"/>
            <w:vAlign w:val="center"/>
          </w:tcPr>
          <w:p w:rsidR="001A63C6" w:rsidRPr="003410C7" w:rsidRDefault="001A63C6" w:rsidP="002253A3">
            <w:pPr>
              <w:jc w:val="center"/>
              <w:rPr>
                <w:rFonts w:cs="Tahoma"/>
                <w:sz w:val="14"/>
              </w:rPr>
            </w:pPr>
          </w:p>
        </w:tc>
        <w:tc>
          <w:tcPr>
            <w:tcW w:w="450" w:type="dxa"/>
            <w:tcBorders>
              <w:bottom w:val="single" w:sz="4" w:space="0" w:color="auto"/>
              <w:right w:val="single" w:sz="18" w:space="0" w:color="auto"/>
            </w:tcBorders>
            <w:shd w:val="clear" w:color="auto" w:fill="auto"/>
            <w:vAlign w:val="center"/>
          </w:tcPr>
          <w:p w:rsidR="001A63C6" w:rsidRPr="003410C7" w:rsidRDefault="001A63C6" w:rsidP="002253A3">
            <w:pPr>
              <w:jc w:val="center"/>
              <w:rPr>
                <w:rFonts w:cs="Tahoma"/>
                <w:sz w:val="14"/>
              </w:rPr>
            </w:pPr>
          </w:p>
        </w:tc>
        <w:tc>
          <w:tcPr>
            <w:tcW w:w="450" w:type="dxa"/>
            <w:tcBorders>
              <w:left w:val="single" w:sz="18" w:space="0" w:color="auto"/>
              <w:bottom w:val="single" w:sz="4" w:space="0" w:color="auto"/>
            </w:tcBorders>
            <w:shd w:val="clear" w:color="auto" w:fill="auto"/>
            <w:vAlign w:val="center"/>
          </w:tcPr>
          <w:p w:rsidR="001A63C6" w:rsidRPr="003410C7" w:rsidRDefault="001A63C6" w:rsidP="002253A3">
            <w:pPr>
              <w:jc w:val="center"/>
              <w:rPr>
                <w:rFonts w:cs="Tahoma"/>
                <w:sz w:val="14"/>
              </w:rPr>
            </w:pPr>
          </w:p>
        </w:tc>
        <w:tc>
          <w:tcPr>
            <w:tcW w:w="450" w:type="dxa"/>
            <w:tcBorders>
              <w:bottom w:val="single" w:sz="4" w:space="0" w:color="auto"/>
              <w:right w:val="single" w:sz="18" w:space="0" w:color="auto"/>
            </w:tcBorders>
            <w:shd w:val="clear" w:color="auto" w:fill="auto"/>
            <w:vAlign w:val="center"/>
          </w:tcPr>
          <w:p w:rsidR="001A63C6" w:rsidRPr="003410C7" w:rsidRDefault="001A63C6" w:rsidP="002253A3">
            <w:pPr>
              <w:jc w:val="center"/>
              <w:rPr>
                <w:rFonts w:cs="Tahoma"/>
                <w:sz w:val="14"/>
              </w:rPr>
            </w:pPr>
            <w:r w:rsidRPr="003410C7">
              <w:rPr>
                <w:rFonts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rsidR="001A63C6" w:rsidRPr="003410C7" w:rsidRDefault="001A63C6" w:rsidP="002253A3">
            <w:pPr>
              <w:jc w:val="center"/>
              <w:rPr>
                <w:rFonts w:cs="Tahoma"/>
                <w:sz w:val="14"/>
              </w:rPr>
            </w:pPr>
            <w:r w:rsidRPr="003410C7">
              <w:rPr>
                <w:rFonts w:cs="Tahoma"/>
                <w:sz w:val="13"/>
              </w:rPr>
              <w:t>P</w:t>
            </w:r>
          </w:p>
        </w:tc>
        <w:tc>
          <w:tcPr>
            <w:tcW w:w="450" w:type="dxa"/>
            <w:tcBorders>
              <w:bottom w:val="single" w:sz="4" w:space="0" w:color="auto"/>
            </w:tcBorders>
            <w:shd w:val="clear" w:color="auto" w:fill="auto"/>
            <w:vAlign w:val="center"/>
          </w:tcPr>
          <w:p w:rsidR="001A63C6" w:rsidRPr="003410C7" w:rsidRDefault="001A63C6" w:rsidP="002253A3">
            <w:pPr>
              <w:jc w:val="center"/>
              <w:rPr>
                <w:rFonts w:cs="Tahoma"/>
                <w:sz w:val="14"/>
              </w:rPr>
            </w:pPr>
          </w:p>
        </w:tc>
        <w:tc>
          <w:tcPr>
            <w:tcW w:w="540" w:type="dxa"/>
            <w:tcBorders>
              <w:bottom w:val="single" w:sz="4" w:space="0" w:color="auto"/>
            </w:tcBorders>
            <w:shd w:val="clear" w:color="auto" w:fill="auto"/>
            <w:vAlign w:val="center"/>
          </w:tcPr>
          <w:p w:rsidR="001A63C6" w:rsidRPr="003410C7" w:rsidRDefault="001A63C6" w:rsidP="002253A3">
            <w:pPr>
              <w:jc w:val="center"/>
              <w:rPr>
                <w:rFonts w:cs="Tahoma"/>
                <w:sz w:val="14"/>
              </w:rPr>
            </w:pPr>
            <w:r w:rsidRPr="003410C7">
              <w:rPr>
                <w:rFonts w:cs="Tahoma"/>
                <w:sz w:val="13"/>
              </w:rPr>
              <w:t>OL/OV</w:t>
            </w:r>
          </w:p>
        </w:tc>
      </w:tr>
      <w:tr w:rsidR="001A63C6" w:rsidRPr="003410C7" w:rsidTr="006B1F3F">
        <w:trPr>
          <w:trHeight w:val="145"/>
        </w:trPr>
        <w:tc>
          <w:tcPr>
            <w:tcW w:w="2734" w:type="dxa"/>
            <w:gridSpan w:val="2"/>
            <w:tcBorders>
              <w:bottom w:val="single" w:sz="4" w:space="0" w:color="auto"/>
            </w:tcBorders>
            <w:shd w:val="clear" w:color="auto" w:fill="FABF8F"/>
          </w:tcPr>
          <w:p w:rsidR="001A63C6" w:rsidRPr="003410C7" w:rsidRDefault="001A63C6" w:rsidP="001A63C6">
            <w:pPr>
              <w:pStyle w:val="ProductNames"/>
              <w:spacing w:before="0" w:after="0"/>
              <w:rPr>
                <w:rFonts w:ascii="Tahoma" w:hAnsi="Tahoma" w:cs="Tahoma"/>
                <w:sz w:val="14"/>
              </w:rPr>
            </w:pPr>
            <w:bookmarkStart w:id="157" w:name="_Toc352234527"/>
            <w:r w:rsidRPr="003410C7">
              <w:rPr>
                <w:rFonts w:ascii="Tahoma" w:hAnsi="Tahoma" w:cs="Tahoma"/>
                <w:sz w:val="14"/>
              </w:rPr>
              <w:t>Bing Maps Internal Website Usage 250K Transactions Monthly Sub</w:t>
            </w:r>
            <w:bookmarkEnd w:id="157"/>
          </w:p>
        </w:tc>
        <w:tc>
          <w:tcPr>
            <w:tcW w:w="450" w:type="dxa"/>
            <w:tcBorders>
              <w:bottom w:val="single" w:sz="4" w:space="0" w:color="auto"/>
            </w:tcBorders>
            <w:shd w:val="clear" w:color="auto" w:fill="FABF8F"/>
            <w:vAlign w:val="center"/>
          </w:tcPr>
          <w:p w:rsidR="001A63C6" w:rsidRPr="00214EC6" w:rsidRDefault="00FC1A4D" w:rsidP="002253A3">
            <w:pPr>
              <w:jc w:val="center"/>
              <w:rPr>
                <w:rFonts w:cs="Tahoma"/>
                <w:sz w:val="13"/>
                <w:szCs w:val="13"/>
              </w:rPr>
            </w:pPr>
            <w:hyperlink w:anchor="Srv_27BingMapsSvrandContentPack" w:history="1">
              <w:r w:rsidR="000D77F6" w:rsidRPr="00214EC6">
                <w:rPr>
                  <w:rStyle w:val="Hyperlink"/>
                  <w:rFonts w:cs="Tahoma"/>
                  <w:b/>
                  <w:sz w:val="13"/>
                  <w:szCs w:val="13"/>
                </w:rPr>
                <w:t>30</w:t>
              </w:r>
            </w:hyperlink>
          </w:p>
        </w:tc>
        <w:tc>
          <w:tcPr>
            <w:tcW w:w="450" w:type="dxa"/>
            <w:tcBorders>
              <w:bottom w:val="single" w:sz="4" w:space="0" w:color="auto"/>
            </w:tcBorders>
            <w:shd w:val="clear" w:color="auto" w:fill="FABF8F"/>
            <w:vAlign w:val="center"/>
          </w:tcPr>
          <w:p w:rsidR="001A63C6" w:rsidRPr="003410C7" w:rsidRDefault="001A63C6" w:rsidP="002253A3">
            <w:pPr>
              <w:jc w:val="center"/>
              <w:rPr>
                <w:rFonts w:cs="Tahoma"/>
                <w:sz w:val="14"/>
              </w:rPr>
            </w:pPr>
          </w:p>
        </w:tc>
        <w:tc>
          <w:tcPr>
            <w:tcW w:w="360" w:type="dxa"/>
            <w:tcBorders>
              <w:bottom w:val="single" w:sz="4" w:space="0" w:color="auto"/>
              <w:right w:val="single" w:sz="18" w:space="0" w:color="auto"/>
            </w:tcBorders>
            <w:shd w:val="clear" w:color="auto" w:fill="FABF8F"/>
            <w:vAlign w:val="center"/>
          </w:tcPr>
          <w:p w:rsidR="001A63C6" w:rsidRPr="003410C7" w:rsidRDefault="001A63C6" w:rsidP="002253A3">
            <w:pPr>
              <w:jc w:val="center"/>
              <w:rPr>
                <w:rFonts w:cs="Tahoma"/>
                <w:sz w:val="14"/>
              </w:rPr>
            </w:pPr>
          </w:p>
        </w:tc>
        <w:tc>
          <w:tcPr>
            <w:tcW w:w="2970" w:type="dxa"/>
            <w:gridSpan w:val="7"/>
            <w:tcBorders>
              <w:left w:val="single" w:sz="18" w:space="0" w:color="auto"/>
              <w:bottom w:val="single" w:sz="4" w:space="0" w:color="auto"/>
              <w:right w:val="single" w:sz="18" w:space="0" w:color="auto"/>
            </w:tcBorders>
            <w:shd w:val="clear" w:color="auto" w:fill="FABF8F"/>
            <w:vAlign w:val="center"/>
          </w:tcPr>
          <w:p w:rsidR="001A63C6" w:rsidRPr="003410C7" w:rsidRDefault="001A63C6" w:rsidP="002253A3">
            <w:pPr>
              <w:jc w:val="center"/>
              <w:rPr>
                <w:rFonts w:cs="Tahoma"/>
                <w:sz w:val="14"/>
              </w:rPr>
            </w:pPr>
            <w:r w:rsidRPr="003410C7">
              <w:rPr>
                <w:rFonts w:cs="Tahoma"/>
                <w:sz w:val="14"/>
              </w:rPr>
              <w:t>200 crediti</w:t>
            </w:r>
          </w:p>
        </w:tc>
        <w:tc>
          <w:tcPr>
            <w:tcW w:w="450" w:type="dxa"/>
            <w:tcBorders>
              <w:left w:val="single" w:sz="18" w:space="0" w:color="auto"/>
              <w:bottom w:val="single" w:sz="4" w:space="0" w:color="auto"/>
            </w:tcBorders>
            <w:shd w:val="clear" w:color="auto" w:fill="FABF8F"/>
            <w:vAlign w:val="center"/>
          </w:tcPr>
          <w:p w:rsidR="001A63C6" w:rsidRPr="003410C7" w:rsidRDefault="001A63C6" w:rsidP="002253A3">
            <w:pPr>
              <w:jc w:val="center"/>
              <w:rPr>
                <w:rFonts w:cs="Tahoma"/>
                <w:sz w:val="14"/>
              </w:rPr>
            </w:pPr>
            <w:r w:rsidRPr="003410C7">
              <w:rPr>
                <w:rFonts w:cs="Tahoma"/>
                <w:sz w:val="14"/>
              </w:rPr>
              <w:t>200</w:t>
            </w:r>
          </w:p>
        </w:tc>
        <w:tc>
          <w:tcPr>
            <w:tcW w:w="450" w:type="dxa"/>
            <w:tcBorders>
              <w:bottom w:val="single" w:sz="4" w:space="0" w:color="auto"/>
            </w:tcBorders>
            <w:shd w:val="clear" w:color="auto" w:fill="FABF8F"/>
            <w:vAlign w:val="center"/>
          </w:tcPr>
          <w:p w:rsidR="001A63C6" w:rsidRPr="003410C7" w:rsidRDefault="001A63C6" w:rsidP="002253A3">
            <w:pPr>
              <w:jc w:val="center"/>
              <w:rPr>
                <w:rFonts w:cs="Tahoma"/>
                <w:sz w:val="14"/>
              </w:rPr>
            </w:pPr>
          </w:p>
        </w:tc>
        <w:tc>
          <w:tcPr>
            <w:tcW w:w="450" w:type="dxa"/>
            <w:tcBorders>
              <w:bottom w:val="single" w:sz="4" w:space="0" w:color="auto"/>
              <w:right w:val="single" w:sz="18" w:space="0" w:color="auto"/>
            </w:tcBorders>
            <w:shd w:val="clear" w:color="auto" w:fill="FABF8F"/>
            <w:vAlign w:val="center"/>
          </w:tcPr>
          <w:p w:rsidR="001A63C6" w:rsidRPr="003410C7" w:rsidRDefault="001A63C6" w:rsidP="002253A3">
            <w:pPr>
              <w:jc w:val="center"/>
              <w:rPr>
                <w:rFonts w:cs="Tahoma"/>
                <w:sz w:val="14"/>
              </w:rPr>
            </w:pPr>
          </w:p>
        </w:tc>
        <w:tc>
          <w:tcPr>
            <w:tcW w:w="450" w:type="dxa"/>
            <w:tcBorders>
              <w:left w:val="single" w:sz="18" w:space="0" w:color="auto"/>
              <w:bottom w:val="single" w:sz="4" w:space="0" w:color="auto"/>
            </w:tcBorders>
            <w:shd w:val="clear" w:color="auto" w:fill="FABF8F"/>
            <w:vAlign w:val="center"/>
          </w:tcPr>
          <w:p w:rsidR="001A63C6" w:rsidRPr="003410C7" w:rsidRDefault="001A63C6" w:rsidP="002253A3">
            <w:pPr>
              <w:jc w:val="center"/>
              <w:rPr>
                <w:rFonts w:cs="Tahoma"/>
                <w:sz w:val="14"/>
              </w:rPr>
            </w:pPr>
          </w:p>
        </w:tc>
        <w:tc>
          <w:tcPr>
            <w:tcW w:w="450" w:type="dxa"/>
            <w:tcBorders>
              <w:bottom w:val="single" w:sz="4" w:space="0" w:color="auto"/>
              <w:right w:val="single" w:sz="18" w:space="0" w:color="auto"/>
            </w:tcBorders>
            <w:shd w:val="clear" w:color="auto" w:fill="FABF8F"/>
            <w:vAlign w:val="center"/>
          </w:tcPr>
          <w:p w:rsidR="001A63C6" w:rsidRPr="003410C7" w:rsidRDefault="001A63C6" w:rsidP="002253A3">
            <w:pPr>
              <w:jc w:val="center"/>
              <w:rPr>
                <w:rFonts w:cs="Tahoma"/>
                <w:sz w:val="14"/>
              </w:rPr>
            </w:pPr>
            <w:r w:rsidRPr="003410C7">
              <w:rPr>
                <w:rFonts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3410C7" w:rsidRDefault="001A63C6" w:rsidP="002253A3">
            <w:pPr>
              <w:jc w:val="center"/>
              <w:rPr>
                <w:rFonts w:cs="Tahoma"/>
                <w:sz w:val="14"/>
              </w:rPr>
            </w:pPr>
            <w:r w:rsidRPr="003410C7">
              <w:rPr>
                <w:rFonts w:cs="Tahoma"/>
                <w:sz w:val="13"/>
              </w:rPr>
              <w:t>P</w:t>
            </w:r>
          </w:p>
        </w:tc>
        <w:tc>
          <w:tcPr>
            <w:tcW w:w="450" w:type="dxa"/>
            <w:tcBorders>
              <w:bottom w:val="single" w:sz="4" w:space="0" w:color="auto"/>
            </w:tcBorders>
            <w:shd w:val="clear" w:color="auto" w:fill="FABF8F"/>
            <w:vAlign w:val="center"/>
          </w:tcPr>
          <w:p w:rsidR="001A63C6" w:rsidRPr="003410C7" w:rsidRDefault="001A63C6" w:rsidP="002253A3">
            <w:pPr>
              <w:jc w:val="center"/>
              <w:rPr>
                <w:rFonts w:cs="Tahoma"/>
                <w:sz w:val="14"/>
              </w:rPr>
            </w:pPr>
          </w:p>
        </w:tc>
        <w:tc>
          <w:tcPr>
            <w:tcW w:w="540" w:type="dxa"/>
            <w:tcBorders>
              <w:bottom w:val="single" w:sz="4" w:space="0" w:color="auto"/>
            </w:tcBorders>
            <w:shd w:val="clear" w:color="auto" w:fill="FABF8F"/>
            <w:vAlign w:val="center"/>
          </w:tcPr>
          <w:p w:rsidR="001A63C6" w:rsidRPr="003410C7" w:rsidRDefault="001A63C6" w:rsidP="002253A3">
            <w:pPr>
              <w:jc w:val="center"/>
              <w:rPr>
                <w:rFonts w:cs="Tahoma"/>
                <w:sz w:val="14"/>
              </w:rPr>
            </w:pPr>
            <w:r w:rsidRPr="003410C7">
              <w:rPr>
                <w:rFonts w:cs="Tahoma"/>
                <w:sz w:val="13"/>
              </w:rPr>
              <w:t>OL/OV</w:t>
            </w:r>
          </w:p>
        </w:tc>
      </w:tr>
      <w:tr w:rsidR="001A63C6" w:rsidRPr="003410C7" w:rsidTr="007E466C">
        <w:trPr>
          <w:trHeight w:val="145"/>
        </w:trPr>
        <w:tc>
          <w:tcPr>
            <w:tcW w:w="2734" w:type="dxa"/>
            <w:gridSpan w:val="2"/>
            <w:tcBorders>
              <w:bottom w:val="single" w:sz="4" w:space="0" w:color="auto"/>
            </w:tcBorders>
            <w:shd w:val="clear" w:color="auto" w:fill="auto"/>
          </w:tcPr>
          <w:p w:rsidR="001A63C6" w:rsidRPr="003410C7" w:rsidRDefault="001A63C6" w:rsidP="003410C7">
            <w:pPr>
              <w:pStyle w:val="ProductNames"/>
              <w:spacing w:beforeLines="20" w:before="48" w:afterLines="20" w:after="48"/>
              <w:rPr>
                <w:rFonts w:ascii="Tahoma" w:hAnsi="Tahoma" w:cs="Tahoma"/>
                <w:sz w:val="14"/>
              </w:rPr>
            </w:pPr>
            <w:bookmarkStart w:id="158" w:name="_Toc352234528"/>
            <w:r w:rsidRPr="003410C7">
              <w:rPr>
                <w:rFonts w:ascii="Tahoma" w:hAnsi="Tahoma" w:cs="Tahoma"/>
                <w:sz w:val="14"/>
              </w:rPr>
              <w:t>Bing Maps Internal Website Usage 420K Transactions Monthly Sub</w:t>
            </w:r>
            <w:bookmarkEnd w:id="158"/>
          </w:p>
        </w:tc>
        <w:tc>
          <w:tcPr>
            <w:tcW w:w="450" w:type="dxa"/>
            <w:tcBorders>
              <w:bottom w:val="single" w:sz="4" w:space="0" w:color="auto"/>
            </w:tcBorders>
            <w:shd w:val="clear" w:color="auto" w:fill="auto"/>
            <w:vAlign w:val="center"/>
          </w:tcPr>
          <w:p w:rsidR="001A63C6" w:rsidRPr="00214EC6" w:rsidRDefault="00FC1A4D" w:rsidP="002253A3">
            <w:pPr>
              <w:jc w:val="center"/>
              <w:rPr>
                <w:rFonts w:cs="Tahoma"/>
                <w:sz w:val="13"/>
                <w:szCs w:val="13"/>
              </w:rPr>
            </w:pPr>
            <w:hyperlink w:anchor="Srv_27BingMapsSvrandContentPack" w:history="1">
              <w:r w:rsidR="000D77F6" w:rsidRPr="00214EC6">
                <w:rPr>
                  <w:rStyle w:val="Hyperlink"/>
                  <w:rFonts w:cs="Tahoma"/>
                  <w:b/>
                  <w:sz w:val="13"/>
                  <w:szCs w:val="13"/>
                </w:rPr>
                <w:t>30</w:t>
              </w:r>
            </w:hyperlink>
          </w:p>
        </w:tc>
        <w:tc>
          <w:tcPr>
            <w:tcW w:w="450" w:type="dxa"/>
            <w:tcBorders>
              <w:bottom w:val="single" w:sz="4" w:space="0" w:color="auto"/>
            </w:tcBorders>
            <w:shd w:val="clear" w:color="auto" w:fill="auto"/>
            <w:vAlign w:val="center"/>
          </w:tcPr>
          <w:p w:rsidR="001A63C6" w:rsidRPr="003410C7" w:rsidRDefault="001A63C6" w:rsidP="002253A3">
            <w:pPr>
              <w:jc w:val="center"/>
              <w:rPr>
                <w:rFonts w:cs="Tahoma"/>
                <w:sz w:val="14"/>
              </w:rPr>
            </w:pPr>
          </w:p>
        </w:tc>
        <w:tc>
          <w:tcPr>
            <w:tcW w:w="360" w:type="dxa"/>
            <w:tcBorders>
              <w:bottom w:val="single" w:sz="4" w:space="0" w:color="auto"/>
              <w:right w:val="single" w:sz="18" w:space="0" w:color="auto"/>
            </w:tcBorders>
            <w:shd w:val="clear" w:color="auto" w:fill="auto"/>
            <w:vAlign w:val="center"/>
          </w:tcPr>
          <w:p w:rsidR="001A63C6" w:rsidRPr="003410C7" w:rsidRDefault="001A63C6" w:rsidP="002253A3">
            <w:pPr>
              <w:jc w:val="center"/>
              <w:rPr>
                <w:rFonts w:cs="Tahoma"/>
                <w:sz w:val="13"/>
              </w:rPr>
            </w:pPr>
          </w:p>
        </w:tc>
        <w:tc>
          <w:tcPr>
            <w:tcW w:w="2970" w:type="dxa"/>
            <w:gridSpan w:val="7"/>
            <w:tcBorders>
              <w:left w:val="single" w:sz="18" w:space="0" w:color="auto"/>
              <w:bottom w:val="single" w:sz="4" w:space="0" w:color="auto"/>
              <w:right w:val="single" w:sz="18" w:space="0" w:color="auto"/>
            </w:tcBorders>
            <w:shd w:val="clear" w:color="auto" w:fill="auto"/>
            <w:vAlign w:val="center"/>
          </w:tcPr>
          <w:p w:rsidR="001A63C6" w:rsidRPr="003410C7" w:rsidRDefault="001A63C6" w:rsidP="002253A3">
            <w:pPr>
              <w:jc w:val="center"/>
              <w:rPr>
                <w:rFonts w:cs="Tahoma"/>
                <w:sz w:val="14"/>
              </w:rPr>
            </w:pPr>
            <w:r w:rsidRPr="003410C7">
              <w:rPr>
                <w:rFonts w:cs="Tahoma"/>
                <w:sz w:val="14"/>
              </w:rPr>
              <w:t>200 crediti</w:t>
            </w:r>
          </w:p>
        </w:tc>
        <w:tc>
          <w:tcPr>
            <w:tcW w:w="450" w:type="dxa"/>
            <w:tcBorders>
              <w:left w:val="single" w:sz="18" w:space="0" w:color="auto"/>
              <w:bottom w:val="single" w:sz="4" w:space="0" w:color="auto"/>
            </w:tcBorders>
            <w:shd w:val="clear" w:color="auto" w:fill="auto"/>
            <w:vAlign w:val="center"/>
          </w:tcPr>
          <w:p w:rsidR="001A63C6" w:rsidRPr="003410C7" w:rsidRDefault="001A63C6" w:rsidP="002253A3">
            <w:pPr>
              <w:jc w:val="center"/>
              <w:rPr>
                <w:rFonts w:cs="Tahoma"/>
                <w:sz w:val="14"/>
              </w:rPr>
            </w:pPr>
            <w:r w:rsidRPr="003410C7">
              <w:rPr>
                <w:rFonts w:cs="Tahoma"/>
                <w:sz w:val="14"/>
              </w:rPr>
              <w:t>200</w:t>
            </w:r>
          </w:p>
        </w:tc>
        <w:tc>
          <w:tcPr>
            <w:tcW w:w="450" w:type="dxa"/>
            <w:tcBorders>
              <w:bottom w:val="single" w:sz="4" w:space="0" w:color="auto"/>
            </w:tcBorders>
            <w:shd w:val="clear" w:color="auto" w:fill="auto"/>
            <w:vAlign w:val="center"/>
          </w:tcPr>
          <w:p w:rsidR="001A63C6" w:rsidRPr="003410C7" w:rsidRDefault="001A63C6" w:rsidP="002253A3">
            <w:pPr>
              <w:jc w:val="center"/>
              <w:rPr>
                <w:rFonts w:cs="Tahoma"/>
                <w:sz w:val="13"/>
              </w:rPr>
            </w:pPr>
          </w:p>
        </w:tc>
        <w:tc>
          <w:tcPr>
            <w:tcW w:w="450" w:type="dxa"/>
            <w:tcBorders>
              <w:bottom w:val="single" w:sz="4" w:space="0" w:color="auto"/>
              <w:right w:val="single" w:sz="18" w:space="0" w:color="auto"/>
            </w:tcBorders>
            <w:shd w:val="clear" w:color="auto" w:fill="auto"/>
            <w:vAlign w:val="center"/>
          </w:tcPr>
          <w:p w:rsidR="001A63C6" w:rsidRPr="003410C7" w:rsidRDefault="001A63C6" w:rsidP="002253A3">
            <w:pPr>
              <w:jc w:val="center"/>
              <w:rPr>
                <w:rFonts w:cs="Tahoma"/>
                <w:sz w:val="13"/>
              </w:rPr>
            </w:pPr>
          </w:p>
        </w:tc>
        <w:tc>
          <w:tcPr>
            <w:tcW w:w="450" w:type="dxa"/>
            <w:tcBorders>
              <w:left w:val="single" w:sz="18" w:space="0" w:color="auto"/>
              <w:bottom w:val="single" w:sz="4" w:space="0" w:color="auto"/>
            </w:tcBorders>
            <w:shd w:val="clear" w:color="auto" w:fill="auto"/>
            <w:vAlign w:val="center"/>
          </w:tcPr>
          <w:p w:rsidR="001A63C6" w:rsidRPr="003410C7" w:rsidRDefault="001A63C6" w:rsidP="002253A3">
            <w:pPr>
              <w:jc w:val="center"/>
              <w:rPr>
                <w:rFonts w:cs="Tahoma"/>
                <w:sz w:val="13"/>
              </w:rPr>
            </w:pPr>
          </w:p>
        </w:tc>
        <w:tc>
          <w:tcPr>
            <w:tcW w:w="450" w:type="dxa"/>
            <w:tcBorders>
              <w:bottom w:val="single" w:sz="4" w:space="0" w:color="auto"/>
              <w:right w:val="single" w:sz="18" w:space="0" w:color="auto"/>
            </w:tcBorders>
            <w:shd w:val="clear" w:color="auto" w:fill="auto"/>
            <w:vAlign w:val="center"/>
          </w:tcPr>
          <w:p w:rsidR="001A63C6" w:rsidRPr="003410C7" w:rsidRDefault="001A63C6" w:rsidP="002253A3">
            <w:pPr>
              <w:jc w:val="center"/>
              <w:rPr>
                <w:rFonts w:cs="Tahoma"/>
                <w:sz w:val="14"/>
              </w:rPr>
            </w:pPr>
            <w:r w:rsidRPr="003410C7">
              <w:rPr>
                <w:rFonts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rsidR="001A63C6" w:rsidRPr="003410C7" w:rsidRDefault="001A63C6" w:rsidP="002253A3">
            <w:pPr>
              <w:jc w:val="center"/>
              <w:rPr>
                <w:rFonts w:cs="Tahoma"/>
                <w:sz w:val="14"/>
              </w:rPr>
            </w:pPr>
            <w:r w:rsidRPr="003410C7">
              <w:rPr>
                <w:rFonts w:cs="Tahoma"/>
                <w:sz w:val="13"/>
              </w:rPr>
              <w:t>P</w:t>
            </w:r>
          </w:p>
        </w:tc>
        <w:tc>
          <w:tcPr>
            <w:tcW w:w="450" w:type="dxa"/>
            <w:tcBorders>
              <w:bottom w:val="single" w:sz="4" w:space="0" w:color="auto"/>
            </w:tcBorders>
            <w:shd w:val="clear" w:color="auto" w:fill="auto"/>
            <w:vAlign w:val="center"/>
          </w:tcPr>
          <w:p w:rsidR="001A63C6" w:rsidRPr="003410C7" w:rsidRDefault="001A63C6" w:rsidP="002253A3">
            <w:pPr>
              <w:jc w:val="center"/>
              <w:rPr>
                <w:rFonts w:cs="Tahoma"/>
                <w:sz w:val="13"/>
              </w:rPr>
            </w:pPr>
          </w:p>
        </w:tc>
        <w:tc>
          <w:tcPr>
            <w:tcW w:w="540" w:type="dxa"/>
            <w:tcBorders>
              <w:bottom w:val="single" w:sz="4" w:space="0" w:color="auto"/>
            </w:tcBorders>
            <w:shd w:val="clear" w:color="auto" w:fill="auto"/>
            <w:vAlign w:val="center"/>
          </w:tcPr>
          <w:p w:rsidR="001A63C6" w:rsidRPr="003410C7" w:rsidRDefault="001A63C6" w:rsidP="002253A3">
            <w:pPr>
              <w:jc w:val="center"/>
              <w:rPr>
                <w:rFonts w:cs="Tahoma"/>
                <w:sz w:val="14"/>
              </w:rPr>
            </w:pPr>
            <w:r w:rsidRPr="003410C7">
              <w:rPr>
                <w:rFonts w:cs="Tahoma"/>
                <w:sz w:val="13"/>
              </w:rPr>
              <w:t>OL/OV</w:t>
            </w:r>
          </w:p>
        </w:tc>
      </w:tr>
      <w:tr w:rsidR="001A63C6" w:rsidRPr="003410C7" w:rsidTr="006B1F3F">
        <w:trPr>
          <w:trHeight w:val="145"/>
        </w:trPr>
        <w:tc>
          <w:tcPr>
            <w:tcW w:w="2734" w:type="dxa"/>
            <w:gridSpan w:val="2"/>
            <w:tcBorders>
              <w:bottom w:val="single" w:sz="4" w:space="0" w:color="auto"/>
            </w:tcBorders>
            <w:shd w:val="clear" w:color="auto" w:fill="FABF8F"/>
          </w:tcPr>
          <w:p w:rsidR="001A63C6" w:rsidRPr="003410C7" w:rsidRDefault="001A63C6" w:rsidP="003410C7">
            <w:pPr>
              <w:pStyle w:val="ProductNames"/>
              <w:spacing w:beforeLines="20" w:before="48" w:afterLines="20" w:after="48"/>
              <w:rPr>
                <w:rFonts w:ascii="Tahoma" w:hAnsi="Tahoma" w:cs="Tahoma"/>
                <w:sz w:val="14"/>
              </w:rPr>
            </w:pPr>
            <w:bookmarkStart w:id="159" w:name="_Toc352234529"/>
            <w:r w:rsidRPr="003410C7">
              <w:rPr>
                <w:rFonts w:ascii="Tahoma" w:hAnsi="Tahoma" w:cs="Tahoma"/>
                <w:sz w:val="14"/>
              </w:rPr>
              <w:t>Bin</w:t>
            </w:r>
            <w:r w:rsidR="002D01D3">
              <w:rPr>
                <w:rFonts w:ascii="Tahoma" w:hAnsi="Tahoma" w:cs="Tahoma"/>
                <w:sz w:val="14"/>
              </w:rPr>
              <w:t>g Maps Internal Website Usage 1,</w:t>
            </w:r>
            <w:r w:rsidRPr="003410C7">
              <w:rPr>
                <w:rFonts w:ascii="Tahoma" w:hAnsi="Tahoma" w:cs="Tahoma"/>
                <w:sz w:val="14"/>
              </w:rPr>
              <w:t>25m Transactions Monthly Sub</w:t>
            </w:r>
            <w:bookmarkEnd w:id="159"/>
          </w:p>
        </w:tc>
        <w:tc>
          <w:tcPr>
            <w:tcW w:w="450" w:type="dxa"/>
            <w:tcBorders>
              <w:bottom w:val="single" w:sz="4" w:space="0" w:color="auto"/>
            </w:tcBorders>
            <w:shd w:val="clear" w:color="auto" w:fill="FABF8F"/>
            <w:vAlign w:val="center"/>
          </w:tcPr>
          <w:p w:rsidR="001A63C6" w:rsidRPr="00214EC6" w:rsidRDefault="00FC1A4D" w:rsidP="002253A3">
            <w:pPr>
              <w:jc w:val="center"/>
              <w:rPr>
                <w:rFonts w:cs="Tahoma"/>
                <w:sz w:val="13"/>
                <w:szCs w:val="13"/>
              </w:rPr>
            </w:pPr>
            <w:hyperlink w:anchor="Srv_27BingMapsSvrandContentPack" w:history="1">
              <w:r w:rsidR="000D77F6" w:rsidRPr="00214EC6">
                <w:rPr>
                  <w:rStyle w:val="Hyperlink"/>
                  <w:rFonts w:cs="Tahoma"/>
                  <w:b/>
                  <w:sz w:val="13"/>
                  <w:szCs w:val="13"/>
                </w:rPr>
                <w:t>30</w:t>
              </w:r>
            </w:hyperlink>
          </w:p>
        </w:tc>
        <w:tc>
          <w:tcPr>
            <w:tcW w:w="450" w:type="dxa"/>
            <w:tcBorders>
              <w:bottom w:val="single" w:sz="4" w:space="0" w:color="auto"/>
            </w:tcBorders>
            <w:shd w:val="clear" w:color="auto" w:fill="FABF8F"/>
            <w:vAlign w:val="center"/>
          </w:tcPr>
          <w:p w:rsidR="001A63C6" w:rsidRPr="003410C7" w:rsidRDefault="001A63C6" w:rsidP="002253A3">
            <w:pPr>
              <w:jc w:val="center"/>
              <w:rPr>
                <w:rFonts w:cs="Tahoma"/>
                <w:sz w:val="14"/>
              </w:rPr>
            </w:pPr>
          </w:p>
        </w:tc>
        <w:tc>
          <w:tcPr>
            <w:tcW w:w="360" w:type="dxa"/>
            <w:tcBorders>
              <w:bottom w:val="single" w:sz="4" w:space="0" w:color="auto"/>
              <w:right w:val="single" w:sz="18" w:space="0" w:color="auto"/>
            </w:tcBorders>
            <w:shd w:val="clear" w:color="auto" w:fill="FABF8F"/>
            <w:vAlign w:val="center"/>
          </w:tcPr>
          <w:p w:rsidR="001A63C6" w:rsidRPr="003410C7" w:rsidRDefault="001A63C6" w:rsidP="002253A3">
            <w:pPr>
              <w:jc w:val="center"/>
              <w:rPr>
                <w:rFonts w:cs="Tahoma"/>
                <w:sz w:val="13"/>
              </w:rPr>
            </w:pPr>
          </w:p>
        </w:tc>
        <w:tc>
          <w:tcPr>
            <w:tcW w:w="2970" w:type="dxa"/>
            <w:gridSpan w:val="7"/>
            <w:tcBorders>
              <w:left w:val="single" w:sz="18" w:space="0" w:color="auto"/>
              <w:bottom w:val="single" w:sz="4" w:space="0" w:color="auto"/>
              <w:right w:val="single" w:sz="18" w:space="0" w:color="auto"/>
            </w:tcBorders>
            <w:shd w:val="clear" w:color="auto" w:fill="FABF8F"/>
            <w:vAlign w:val="center"/>
          </w:tcPr>
          <w:p w:rsidR="001A63C6" w:rsidRPr="003410C7" w:rsidRDefault="001A63C6" w:rsidP="002253A3">
            <w:pPr>
              <w:jc w:val="center"/>
              <w:rPr>
                <w:rFonts w:cs="Tahoma"/>
                <w:sz w:val="14"/>
              </w:rPr>
            </w:pPr>
            <w:r w:rsidRPr="003410C7">
              <w:rPr>
                <w:rFonts w:cs="Tahoma"/>
                <w:sz w:val="14"/>
              </w:rPr>
              <w:t>200 crediti</w:t>
            </w:r>
          </w:p>
        </w:tc>
        <w:tc>
          <w:tcPr>
            <w:tcW w:w="450" w:type="dxa"/>
            <w:tcBorders>
              <w:left w:val="single" w:sz="18" w:space="0" w:color="auto"/>
              <w:bottom w:val="single" w:sz="4" w:space="0" w:color="auto"/>
            </w:tcBorders>
            <w:shd w:val="clear" w:color="auto" w:fill="FABF8F"/>
            <w:vAlign w:val="center"/>
          </w:tcPr>
          <w:p w:rsidR="001A63C6" w:rsidRPr="003410C7" w:rsidRDefault="001A63C6" w:rsidP="002253A3">
            <w:pPr>
              <w:jc w:val="center"/>
              <w:rPr>
                <w:rFonts w:cs="Tahoma"/>
                <w:sz w:val="14"/>
              </w:rPr>
            </w:pPr>
            <w:r w:rsidRPr="003410C7">
              <w:rPr>
                <w:rFonts w:cs="Tahoma"/>
                <w:sz w:val="14"/>
              </w:rPr>
              <w:t>200</w:t>
            </w:r>
          </w:p>
        </w:tc>
        <w:tc>
          <w:tcPr>
            <w:tcW w:w="450" w:type="dxa"/>
            <w:tcBorders>
              <w:bottom w:val="single" w:sz="4" w:space="0" w:color="auto"/>
            </w:tcBorders>
            <w:shd w:val="clear" w:color="auto" w:fill="FABF8F"/>
            <w:vAlign w:val="center"/>
          </w:tcPr>
          <w:p w:rsidR="001A63C6" w:rsidRPr="003410C7" w:rsidRDefault="001A63C6" w:rsidP="002253A3">
            <w:pPr>
              <w:jc w:val="center"/>
              <w:rPr>
                <w:rFonts w:cs="Tahoma"/>
                <w:sz w:val="13"/>
              </w:rPr>
            </w:pPr>
          </w:p>
        </w:tc>
        <w:tc>
          <w:tcPr>
            <w:tcW w:w="450" w:type="dxa"/>
            <w:tcBorders>
              <w:bottom w:val="single" w:sz="4" w:space="0" w:color="auto"/>
              <w:right w:val="single" w:sz="18" w:space="0" w:color="auto"/>
            </w:tcBorders>
            <w:shd w:val="clear" w:color="auto" w:fill="FABF8F"/>
            <w:vAlign w:val="center"/>
          </w:tcPr>
          <w:p w:rsidR="001A63C6" w:rsidRPr="003410C7" w:rsidRDefault="001A63C6" w:rsidP="002253A3">
            <w:pPr>
              <w:jc w:val="center"/>
              <w:rPr>
                <w:rFonts w:cs="Tahoma"/>
                <w:sz w:val="13"/>
              </w:rPr>
            </w:pPr>
          </w:p>
        </w:tc>
        <w:tc>
          <w:tcPr>
            <w:tcW w:w="450" w:type="dxa"/>
            <w:tcBorders>
              <w:left w:val="single" w:sz="18" w:space="0" w:color="auto"/>
              <w:bottom w:val="single" w:sz="4" w:space="0" w:color="auto"/>
            </w:tcBorders>
            <w:shd w:val="clear" w:color="auto" w:fill="FABF8F"/>
            <w:vAlign w:val="center"/>
          </w:tcPr>
          <w:p w:rsidR="001A63C6" w:rsidRPr="003410C7" w:rsidRDefault="001A63C6" w:rsidP="002253A3">
            <w:pPr>
              <w:jc w:val="center"/>
              <w:rPr>
                <w:rFonts w:cs="Tahoma"/>
                <w:sz w:val="13"/>
              </w:rPr>
            </w:pPr>
          </w:p>
        </w:tc>
        <w:tc>
          <w:tcPr>
            <w:tcW w:w="450" w:type="dxa"/>
            <w:tcBorders>
              <w:bottom w:val="single" w:sz="4" w:space="0" w:color="auto"/>
              <w:right w:val="single" w:sz="18" w:space="0" w:color="auto"/>
            </w:tcBorders>
            <w:shd w:val="clear" w:color="auto" w:fill="FABF8F"/>
            <w:vAlign w:val="center"/>
          </w:tcPr>
          <w:p w:rsidR="001A63C6" w:rsidRPr="003410C7" w:rsidRDefault="001A63C6" w:rsidP="002253A3">
            <w:pPr>
              <w:jc w:val="center"/>
              <w:rPr>
                <w:rFonts w:cs="Tahoma"/>
                <w:sz w:val="14"/>
              </w:rPr>
            </w:pPr>
            <w:r w:rsidRPr="003410C7">
              <w:rPr>
                <w:rFonts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3410C7" w:rsidRDefault="001A63C6" w:rsidP="002253A3">
            <w:pPr>
              <w:jc w:val="center"/>
              <w:rPr>
                <w:rFonts w:cs="Tahoma"/>
                <w:sz w:val="14"/>
              </w:rPr>
            </w:pPr>
            <w:r w:rsidRPr="003410C7">
              <w:rPr>
                <w:rFonts w:cs="Tahoma"/>
                <w:sz w:val="13"/>
              </w:rPr>
              <w:t>P</w:t>
            </w:r>
          </w:p>
        </w:tc>
        <w:tc>
          <w:tcPr>
            <w:tcW w:w="450" w:type="dxa"/>
            <w:tcBorders>
              <w:bottom w:val="single" w:sz="4" w:space="0" w:color="auto"/>
            </w:tcBorders>
            <w:shd w:val="clear" w:color="auto" w:fill="FABF8F"/>
            <w:vAlign w:val="center"/>
          </w:tcPr>
          <w:p w:rsidR="001A63C6" w:rsidRPr="003410C7" w:rsidRDefault="001A63C6" w:rsidP="002253A3">
            <w:pPr>
              <w:jc w:val="center"/>
              <w:rPr>
                <w:rFonts w:cs="Tahoma"/>
                <w:sz w:val="13"/>
              </w:rPr>
            </w:pPr>
          </w:p>
        </w:tc>
        <w:tc>
          <w:tcPr>
            <w:tcW w:w="540" w:type="dxa"/>
            <w:tcBorders>
              <w:bottom w:val="single" w:sz="4" w:space="0" w:color="auto"/>
            </w:tcBorders>
            <w:shd w:val="clear" w:color="auto" w:fill="FABF8F"/>
            <w:vAlign w:val="center"/>
          </w:tcPr>
          <w:p w:rsidR="001A63C6" w:rsidRPr="003410C7" w:rsidRDefault="001A63C6" w:rsidP="002253A3">
            <w:pPr>
              <w:jc w:val="center"/>
              <w:rPr>
                <w:rFonts w:cs="Tahoma"/>
                <w:sz w:val="14"/>
              </w:rPr>
            </w:pPr>
            <w:r w:rsidRPr="003410C7">
              <w:rPr>
                <w:rFonts w:cs="Tahoma"/>
                <w:sz w:val="13"/>
              </w:rPr>
              <w:t>OL/OV</w:t>
            </w:r>
          </w:p>
        </w:tc>
      </w:tr>
      <w:tr w:rsidR="001A63C6" w:rsidRPr="003410C7" w:rsidTr="006B1F3F">
        <w:trPr>
          <w:trHeight w:val="145"/>
        </w:trPr>
        <w:tc>
          <w:tcPr>
            <w:tcW w:w="2734" w:type="dxa"/>
            <w:gridSpan w:val="2"/>
            <w:tcBorders>
              <w:bottom w:val="single" w:sz="4" w:space="0" w:color="auto"/>
            </w:tcBorders>
            <w:shd w:val="clear" w:color="auto" w:fill="auto"/>
          </w:tcPr>
          <w:p w:rsidR="001A63C6" w:rsidRPr="003410C7" w:rsidRDefault="001A63C6" w:rsidP="003410C7">
            <w:pPr>
              <w:pStyle w:val="ProductNames"/>
              <w:spacing w:beforeLines="20" w:before="48" w:afterLines="20" w:after="48"/>
              <w:rPr>
                <w:rFonts w:ascii="Tahoma" w:hAnsi="Tahoma" w:cs="Tahoma"/>
                <w:sz w:val="14"/>
              </w:rPr>
            </w:pPr>
            <w:bookmarkStart w:id="160" w:name="_Toc352234530"/>
            <w:r w:rsidRPr="003410C7">
              <w:rPr>
                <w:rFonts w:ascii="Tahoma" w:hAnsi="Tahoma" w:cs="Tahoma"/>
                <w:sz w:val="14"/>
              </w:rPr>
              <w:t>Bin</w:t>
            </w:r>
            <w:r w:rsidR="002D01D3">
              <w:rPr>
                <w:rFonts w:ascii="Tahoma" w:hAnsi="Tahoma" w:cs="Tahoma"/>
                <w:sz w:val="14"/>
              </w:rPr>
              <w:t>g Maps Internal Website Usage 2,</w:t>
            </w:r>
            <w:r w:rsidRPr="003410C7">
              <w:rPr>
                <w:rFonts w:ascii="Tahoma" w:hAnsi="Tahoma" w:cs="Tahoma"/>
                <w:sz w:val="14"/>
              </w:rPr>
              <w:t>1m Transactions Monthly Sub</w:t>
            </w:r>
            <w:bookmarkEnd w:id="160"/>
          </w:p>
        </w:tc>
        <w:tc>
          <w:tcPr>
            <w:tcW w:w="450" w:type="dxa"/>
            <w:tcBorders>
              <w:bottom w:val="single" w:sz="4" w:space="0" w:color="auto"/>
            </w:tcBorders>
            <w:shd w:val="clear" w:color="auto" w:fill="auto"/>
            <w:vAlign w:val="center"/>
          </w:tcPr>
          <w:p w:rsidR="001A63C6" w:rsidRPr="00214EC6" w:rsidRDefault="00FC1A4D" w:rsidP="002253A3">
            <w:pPr>
              <w:jc w:val="center"/>
              <w:rPr>
                <w:rFonts w:cs="Tahoma"/>
                <w:sz w:val="13"/>
                <w:szCs w:val="13"/>
              </w:rPr>
            </w:pPr>
            <w:hyperlink w:anchor="Srv_27BingMapsSvrandContentPack" w:history="1">
              <w:r w:rsidR="000D77F6" w:rsidRPr="00214EC6">
                <w:rPr>
                  <w:rStyle w:val="Hyperlink"/>
                  <w:rFonts w:cs="Tahoma"/>
                  <w:b/>
                  <w:sz w:val="13"/>
                  <w:szCs w:val="13"/>
                </w:rPr>
                <w:t>30</w:t>
              </w:r>
            </w:hyperlink>
          </w:p>
        </w:tc>
        <w:tc>
          <w:tcPr>
            <w:tcW w:w="450" w:type="dxa"/>
            <w:tcBorders>
              <w:bottom w:val="single" w:sz="4" w:space="0" w:color="auto"/>
            </w:tcBorders>
            <w:shd w:val="clear" w:color="auto" w:fill="auto"/>
            <w:vAlign w:val="center"/>
          </w:tcPr>
          <w:p w:rsidR="001A63C6" w:rsidRPr="003410C7" w:rsidRDefault="001A63C6" w:rsidP="002253A3">
            <w:pPr>
              <w:jc w:val="center"/>
              <w:rPr>
                <w:rFonts w:cs="Tahoma"/>
                <w:sz w:val="14"/>
              </w:rPr>
            </w:pPr>
          </w:p>
        </w:tc>
        <w:tc>
          <w:tcPr>
            <w:tcW w:w="360" w:type="dxa"/>
            <w:tcBorders>
              <w:bottom w:val="single" w:sz="4" w:space="0" w:color="auto"/>
              <w:right w:val="single" w:sz="18" w:space="0" w:color="auto"/>
            </w:tcBorders>
            <w:shd w:val="clear" w:color="auto" w:fill="auto"/>
            <w:vAlign w:val="center"/>
          </w:tcPr>
          <w:p w:rsidR="001A63C6" w:rsidRPr="003410C7" w:rsidRDefault="001A63C6" w:rsidP="002253A3">
            <w:pPr>
              <w:jc w:val="center"/>
              <w:rPr>
                <w:rFonts w:cs="Tahoma"/>
                <w:sz w:val="13"/>
              </w:rPr>
            </w:pPr>
          </w:p>
        </w:tc>
        <w:tc>
          <w:tcPr>
            <w:tcW w:w="2970" w:type="dxa"/>
            <w:gridSpan w:val="7"/>
            <w:tcBorders>
              <w:left w:val="single" w:sz="18" w:space="0" w:color="auto"/>
              <w:bottom w:val="single" w:sz="4" w:space="0" w:color="auto"/>
              <w:right w:val="single" w:sz="18" w:space="0" w:color="auto"/>
            </w:tcBorders>
            <w:shd w:val="clear" w:color="auto" w:fill="auto"/>
            <w:vAlign w:val="center"/>
          </w:tcPr>
          <w:p w:rsidR="001A63C6" w:rsidRPr="003410C7" w:rsidRDefault="001A63C6" w:rsidP="002253A3">
            <w:pPr>
              <w:jc w:val="center"/>
              <w:rPr>
                <w:rFonts w:cs="Tahoma"/>
                <w:sz w:val="14"/>
              </w:rPr>
            </w:pPr>
            <w:r w:rsidRPr="003410C7">
              <w:rPr>
                <w:rFonts w:cs="Tahoma"/>
                <w:sz w:val="14"/>
              </w:rPr>
              <w:t>200 crediti</w:t>
            </w:r>
          </w:p>
        </w:tc>
        <w:tc>
          <w:tcPr>
            <w:tcW w:w="450" w:type="dxa"/>
            <w:tcBorders>
              <w:left w:val="single" w:sz="18" w:space="0" w:color="auto"/>
              <w:bottom w:val="single" w:sz="4" w:space="0" w:color="auto"/>
            </w:tcBorders>
            <w:shd w:val="clear" w:color="auto" w:fill="auto"/>
            <w:vAlign w:val="center"/>
          </w:tcPr>
          <w:p w:rsidR="001A63C6" w:rsidRPr="003410C7" w:rsidRDefault="001A63C6" w:rsidP="002253A3">
            <w:pPr>
              <w:jc w:val="center"/>
              <w:rPr>
                <w:rFonts w:cs="Tahoma"/>
                <w:sz w:val="14"/>
              </w:rPr>
            </w:pPr>
            <w:r w:rsidRPr="003410C7">
              <w:rPr>
                <w:rFonts w:cs="Tahoma"/>
                <w:sz w:val="14"/>
              </w:rPr>
              <w:t>200</w:t>
            </w:r>
          </w:p>
        </w:tc>
        <w:tc>
          <w:tcPr>
            <w:tcW w:w="450" w:type="dxa"/>
            <w:tcBorders>
              <w:bottom w:val="single" w:sz="4" w:space="0" w:color="auto"/>
            </w:tcBorders>
            <w:shd w:val="clear" w:color="auto" w:fill="auto"/>
            <w:vAlign w:val="center"/>
          </w:tcPr>
          <w:p w:rsidR="001A63C6" w:rsidRPr="003410C7" w:rsidRDefault="001A63C6" w:rsidP="002253A3">
            <w:pPr>
              <w:jc w:val="center"/>
              <w:rPr>
                <w:rFonts w:cs="Tahoma"/>
                <w:sz w:val="13"/>
              </w:rPr>
            </w:pPr>
          </w:p>
        </w:tc>
        <w:tc>
          <w:tcPr>
            <w:tcW w:w="450" w:type="dxa"/>
            <w:tcBorders>
              <w:bottom w:val="single" w:sz="4" w:space="0" w:color="auto"/>
              <w:right w:val="single" w:sz="18" w:space="0" w:color="auto"/>
            </w:tcBorders>
            <w:shd w:val="clear" w:color="auto" w:fill="auto"/>
            <w:vAlign w:val="center"/>
          </w:tcPr>
          <w:p w:rsidR="001A63C6" w:rsidRPr="003410C7" w:rsidRDefault="001A63C6" w:rsidP="002253A3">
            <w:pPr>
              <w:jc w:val="center"/>
              <w:rPr>
                <w:rFonts w:cs="Tahoma"/>
                <w:sz w:val="13"/>
              </w:rPr>
            </w:pPr>
          </w:p>
        </w:tc>
        <w:tc>
          <w:tcPr>
            <w:tcW w:w="450" w:type="dxa"/>
            <w:tcBorders>
              <w:left w:val="single" w:sz="18" w:space="0" w:color="auto"/>
              <w:bottom w:val="single" w:sz="4" w:space="0" w:color="auto"/>
            </w:tcBorders>
            <w:shd w:val="clear" w:color="auto" w:fill="auto"/>
            <w:vAlign w:val="center"/>
          </w:tcPr>
          <w:p w:rsidR="001A63C6" w:rsidRPr="003410C7" w:rsidRDefault="001A63C6" w:rsidP="002253A3">
            <w:pPr>
              <w:jc w:val="center"/>
              <w:rPr>
                <w:rFonts w:cs="Tahoma"/>
                <w:sz w:val="13"/>
              </w:rPr>
            </w:pPr>
          </w:p>
        </w:tc>
        <w:tc>
          <w:tcPr>
            <w:tcW w:w="450" w:type="dxa"/>
            <w:tcBorders>
              <w:bottom w:val="single" w:sz="4" w:space="0" w:color="auto"/>
              <w:right w:val="single" w:sz="18" w:space="0" w:color="auto"/>
            </w:tcBorders>
            <w:shd w:val="clear" w:color="auto" w:fill="auto"/>
            <w:vAlign w:val="center"/>
          </w:tcPr>
          <w:p w:rsidR="001A63C6" w:rsidRPr="003410C7" w:rsidRDefault="001A63C6" w:rsidP="002253A3">
            <w:pPr>
              <w:jc w:val="center"/>
              <w:rPr>
                <w:rFonts w:cs="Tahoma"/>
                <w:sz w:val="14"/>
              </w:rPr>
            </w:pPr>
            <w:r w:rsidRPr="003410C7">
              <w:rPr>
                <w:rFonts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rsidR="001A63C6" w:rsidRPr="003410C7" w:rsidRDefault="001A63C6" w:rsidP="002253A3">
            <w:pPr>
              <w:jc w:val="center"/>
              <w:rPr>
                <w:rFonts w:cs="Tahoma"/>
                <w:sz w:val="14"/>
              </w:rPr>
            </w:pPr>
            <w:r w:rsidRPr="003410C7">
              <w:rPr>
                <w:rFonts w:cs="Tahoma"/>
                <w:sz w:val="13"/>
              </w:rPr>
              <w:t>P</w:t>
            </w:r>
          </w:p>
        </w:tc>
        <w:tc>
          <w:tcPr>
            <w:tcW w:w="450" w:type="dxa"/>
            <w:tcBorders>
              <w:bottom w:val="single" w:sz="4" w:space="0" w:color="auto"/>
            </w:tcBorders>
            <w:shd w:val="clear" w:color="auto" w:fill="auto"/>
            <w:vAlign w:val="center"/>
          </w:tcPr>
          <w:p w:rsidR="001A63C6" w:rsidRPr="003410C7" w:rsidRDefault="001A63C6" w:rsidP="002253A3">
            <w:pPr>
              <w:jc w:val="center"/>
              <w:rPr>
                <w:rFonts w:cs="Tahoma"/>
                <w:sz w:val="13"/>
              </w:rPr>
            </w:pPr>
          </w:p>
        </w:tc>
        <w:tc>
          <w:tcPr>
            <w:tcW w:w="540" w:type="dxa"/>
            <w:tcBorders>
              <w:bottom w:val="single" w:sz="4" w:space="0" w:color="auto"/>
            </w:tcBorders>
            <w:shd w:val="clear" w:color="auto" w:fill="auto"/>
            <w:vAlign w:val="center"/>
          </w:tcPr>
          <w:p w:rsidR="001A63C6" w:rsidRPr="003410C7" w:rsidRDefault="001A63C6" w:rsidP="002253A3">
            <w:pPr>
              <w:jc w:val="center"/>
              <w:rPr>
                <w:rFonts w:cs="Tahoma"/>
                <w:sz w:val="14"/>
              </w:rPr>
            </w:pPr>
            <w:r w:rsidRPr="003410C7">
              <w:rPr>
                <w:rFonts w:cs="Tahoma"/>
                <w:sz w:val="13"/>
              </w:rPr>
              <w:t>OL/OV</w:t>
            </w:r>
          </w:p>
        </w:tc>
      </w:tr>
      <w:tr w:rsidR="001A63C6" w:rsidRPr="003410C7" w:rsidTr="006B1F3F">
        <w:trPr>
          <w:trHeight w:val="145"/>
        </w:trPr>
        <w:tc>
          <w:tcPr>
            <w:tcW w:w="2734" w:type="dxa"/>
            <w:gridSpan w:val="2"/>
            <w:tcBorders>
              <w:bottom w:val="single" w:sz="4" w:space="0" w:color="auto"/>
            </w:tcBorders>
            <w:shd w:val="clear" w:color="auto" w:fill="FABF8F"/>
          </w:tcPr>
          <w:p w:rsidR="001A63C6" w:rsidRPr="003410C7" w:rsidRDefault="001A63C6" w:rsidP="003410C7">
            <w:pPr>
              <w:pStyle w:val="ProductNames"/>
              <w:spacing w:beforeLines="20" w:before="48" w:afterLines="20" w:after="48"/>
              <w:rPr>
                <w:rFonts w:ascii="Tahoma" w:hAnsi="Tahoma" w:cs="Tahoma"/>
                <w:sz w:val="14"/>
              </w:rPr>
            </w:pPr>
            <w:bookmarkStart w:id="161" w:name="_Toc352234531"/>
            <w:r w:rsidRPr="003410C7">
              <w:rPr>
                <w:rFonts w:ascii="Tahoma" w:hAnsi="Tahoma" w:cs="Tahoma"/>
                <w:sz w:val="14"/>
              </w:rPr>
              <w:t xml:space="preserve">Bing Maps Internal Website Usage </w:t>
            </w:r>
            <w:r w:rsidRPr="003410C7">
              <w:rPr>
                <w:rFonts w:ascii="Tahoma" w:hAnsi="Tahoma" w:cs="Tahoma"/>
                <w:sz w:val="14"/>
              </w:rPr>
              <w:lastRenderedPageBreak/>
              <w:t>Unlimited Transactions Monthly Sub</w:t>
            </w:r>
            <w:bookmarkEnd w:id="161"/>
          </w:p>
        </w:tc>
        <w:tc>
          <w:tcPr>
            <w:tcW w:w="450" w:type="dxa"/>
            <w:tcBorders>
              <w:bottom w:val="single" w:sz="4" w:space="0" w:color="auto"/>
            </w:tcBorders>
            <w:shd w:val="clear" w:color="auto" w:fill="FABF8F"/>
            <w:vAlign w:val="center"/>
          </w:tcPr>
          <w:p w:rsidR="001A63C6" w:rsidRPr="00214EC6" w:rsidRDefault="00FC1A4D" w:rsidP="002253A3">
            <w:pPr>
              <w:jc w:val="center"/>
              <w:rPr>
                <w:rFonts w:cs="Tahoma"/>
                <w:sz w:val="13"/>
                <w:szCs w:val="13"/>
              </w:rPr>
            </w:pPr>
            <w:hyperlink w:anchor="Srv_27BingMapsSvrandContentPack" w:history="1">
              <w:r w:rsidR="000D77F6" w:rsidRPr="00214EC6">
                <w:rPr>
                  <w:rStyle w:val="Hyperlink"/>
                  <w:rFonts w:cs="Tahoma"/>
                  <w:b/>
                  <w:sz w:val="13"/>
                  <w:szCs w:val="13"/>
                </w:rPr>
                <w:t>30</w:t>
              </w:r>
            </w:hyperlink>
          </w:p>
        </w:tc>
        <w:tc>
          <w:tcPr>
            <w:tcW w:w="450" w:type="dxa"/>
            <w:tcBorders>
              <w:bottom w:val="single" w:sz="4" w:space="0" w:color="auto"/>
            </w:tcBorders>
            <w:shd w:val="clear" w:color="auto" w:fill="FABF8F"/>
            <w:vAlign w:val="center"/>
          </w:tcPr>
          <w:p w:rsidR="001A63C6" w:rsidRPr="003410C7" w:rsidRDefault="001A63C6" w:rsidP="002253A3">
            <w:pPr>
              <w:jc w:val="center"/>
              <w:rPr>
                <w:rFonts w:cs="Tahoma"/>
                <w:sz w:val="14"/>
              </w:rPr>
            </w:pPr>
          </w:p>
        </w:tc>
        <w:tc>
          <w:tcPr>
            <w:tcW w:w="360" w:type="dxa"/>
            <w:tcBorders>
              <w:bottom w:val="single" w:sz="4" w:space="0" w:color="auto"/>
              <w:right w:val="single" w:sz="18" w:space="0" w:color="auto"/>
            </w:tcBorders>
            <w:shd w:val="clear" w:color="auto" w:fill="FABF8F"/>
            <w:vAlign w:val="center"/>
          </w:tcPr>
          <w:p w:rsidR="001A63C6" w:rsidRPr="003410C7" w:rsidRDefault="001A63C6" w:rsidP="002253A3">
            <w:pPr>
              <w:jc w:val="center"/>
              <w:rPr>
                <w:rFonts w:cs="Tahoma"/>
                <w:sz w:val="13"/>
              </w:rPr>
            </w:pPr>
          </w:p>
        </w:tc>
        <w:tc>
          <w:tcPr>
            <w:tcW w:w="2970" w:type="dxa"/>
            <w:gridSpan w:val="7"/>
            <w:tcBorders>
              <w:left w:val="single" w:sz="18" w:space="0" w:color="auto"/>
              <w:bottom w:val="single" w:sz="4" w:space="0" w:color="auto"/>
              <w:right w:val="single" w:sz="18" w:space="0" w:color="auto"/>
            </w:tcBorders>
            <w:shd w:val="clear" w:color="auto" w:fill="FABF8F"/>
            <w:vAlign w:val="center"/>
          </w:tcPr>
          <w:p w:rsidR="001A63C6" w:rsidRPr="003410C7" w:rsidRDefault="001A63C6" w:rsidP="002253A3">
            <w:pPr>
              <w:jc w:val="center"/>
              <w:rPr>
                <w:rFonts w:cs="Tahoma"/>
                <w:sz w:val="14"/>
              </w:rPr>
            </w:pPr>
            <w:r w:rsidRPr="003410C7">
              <w:rPr>
                <w:rFonts w:cs="Tahoma"/>
                <w:sz w:val="14"/>
              </w:rPr>
              <w:t>200 crediti</w:t>
            </w:r>
          </w:p>
        </w:tc>
        <w:tc>
          <w:tcPr>
            <w:tcW w:w="450" w:type="dxa"/>
            <w:tcBorders>
              <w:left w:val="single" w:sz="18" w:space="0" w:color="auto"/>
              <w:bottom w:val="single" w:sz="4" w:space="0" w:color="auto"/>
            </w:tcBorders>
            <w:shd w:val="clear" w:color="auto" w:fill="FABF8F"/>
            <w:vAlign w:val="center"/>
          </w:tcPr>
          <w:p w:rsidR="001A63C6" w:rsidRPr="003410C7" w:rsidRDefault="001A63C6" w:rsidP="002253A3">
            <w:pPr>
              <w:jc w:val="center"/>
              <w:rPr>
                <w:rFonts w:cs="Tahoma"/>
                <w:sz w:val="14"/>
              </w:rPr>
            </w:pPr>
            <w:r w:rsidRPr="003410C7">
              <w:rPr>
                <w:rFonts w:cs="Tahoma"/>
                <w:sz w:val="14"/>
              </w:rPr>
              <w:t>200</w:t>
            </w:r>
          </w:p>
        </w:tc>
        <w:tc>
          <w:tcPr>
            <w:tcW w:w="450" w:type="dxa"/>
            <w:tcBorders>
              <w:bottom w:val="single" w:sz="4" w:space="0" w:color="auto"/>
            </w:tcBorders>
            <w:shd w:val="clear" w:color="auto" w:fill="FABF8F"/>
            <w:vAlign w:val="center"/>
          </w:tcPr>
          <w:p w:rsidR="001A63C6" w:rsidRPr="003410C7" w:rsidRDefault="001A63C6" w:rsidP="002253A3">
            <w:pPr>
              <w:jc w:val="center"/>
              <w:rPr>
                <w:rFonts w:cs="Tahoma"/>
                <w:sz w:val="13"/>
              </w:rPr>
            </w:pPr>
          </w:p>
        </w:tc>
        <w:tc>
          <w:tcPr>
            <w:tcW w:w="450" w:type="dxa"/>
            <w:tcBorders>
              <w:bottom w:val="single" w:sz="4" w:space="0" w:color="auto"/>
              <w:right w:val="single" w:sz="18" w:space="0" w:color="auto"/>
            </w:tcBorders>
            <w:shd w:val="clear" w:color="auto" w:fill="FABF8F"/>
            <w:vAlign w:val="center"/>
          </w:tcPr>
          <w:p w:rsidR="001A63C6" w:rsidRPr="003410C7" w:rsidRDefault="001A63C6" w:rsidP="002253A3">
            <w:pPr>
              <w:jc w:val="center"/>
              <w:rPr>
                <w:rFonts w:cs="Tahoma"/>
                <w:sz w:val="13"/>
              </w:rPr>
            </w:pPr>
          </w:p>
        </w:tc>
        <w:tc>
          <w:tcPr>
            <w:tcW w:w="450" w:type="dxa"/>
            <w:tcBorders>
              <w:left w:val="single" w:sz="18" w:space="0" w:color="auto"/>
              <w:bottom w:val="single" w:sz="4" w:space="0" w:color="auto"/>
            </w:tcBorders>
            <w:shd w:val="clear" w:color="auto" w:fill="FABF8F"/>
            <w:vAlign w:val="center"/>
          </w:tcPr>
          <w:p w:rsidR="001A63C6" w:rsidRPr="003410C7" w:rsidRDefault="001A63C6" w:rsidP="002253A3">
            <w:pPr>
              <w:jc w:val="center"/>
              <w:rPr>
                <w:rFonts w:cs="Tahoma"/>
                <w:sz w:val="13"/>
              </w:rPr>
            </w:pPr>
          </w:p>
        </w:tc>
        <w:tc>
          <w:tcPr>
            <w:tcW w:w="450" w:type="dxa"/>
            <w:tcBorders>
              <w:bottom w:val="single" w:sz="4" w:space="0" w:color="auto"/>
              <w:right w:val="single" w:sz="18" w:space="0" w:color="auto"/>
            </w:tcBorders>
            <w:shd w:val="clear" w:color="auto" w:fill="FABF8F"/>
            <w:vAlign w:val="center"/>
          </w:tcPr>
          <w:p w:rsidR="001A63C6" w:rsidRPr="003410C7" w:rsidRDefault="001A63C6" w:rsidP="002253A3">
            <w:pPr>
              <w:jc w:val="center"/>
              <w:rPr>
                <w:rFonts w:cs="Tahoma"/>
                <w:sz w:val="14"/>
              </w:rPr>
            </w:pPr>
            <w:r w:rsidRPr="003410C7">
              <w:rPr>
                <w:rFonts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3410C7" w:rsidRDefault="001A63C6" w:rsidP="002253A3">
            <w:pPr>
              <w:jc w:val="center"/>
              <w:rPr>
                <w:rFonts w:cs="Tahoma"/>
                <w:sz w:val="14"/>
              </w:rPr>
            </w:pPr>
            <w:r w:rsidRPr="003410C7">
              <w:rPr>
                <w:rFonts w:cs="Tahoma"/>
                <w:sz w:val="13"/>
              </w:rPr>
              <w:t>P</w:t>
            </w:r>
          </w:p>
        </w:tc>
        <w:tc>
          <w:tcPr>
            <w:tcW w:w="450" w:type="dxa"/>
            <w:tcBorders>
              <w:bottom w:val="single" w:sz="4" w:space="0" w:color="auto"/>
            </w:tcBorders>
            <w:shd w:val="clear" w:color="auto" w:fill="FABF8F"/>
            <w:vAlign w:val="center"/>
          </w:tcPr>
          <w:p w:rsidR="001A63C6" w:rsidRPr="003410C7" w:rsidRDefault="001A63C6" w:rsidP="002253A3">
            <w:pPr>
              <w:jc w:val="center"/>
              <w:rPr>
                <w:rFonts w:cs="Tahoma"/>
                <w:sz w:val="13"/>
              </w:rPr>
            </w:pPr>
          </w:p>
        </w:tc>
        <w:tc>
          <w:tcPr>
            <w:tcW w:w="540" w:type="dxa"/>
            <w:tcBorders>
              <w:bottom w:val="single" w:sz="4" w:space="0" w:color="auto"/>
            </w:tcBorders>
            <w:shd w:val="clear" w:color="auto" w:fill="FABF8F"/>
            <w:vAlign w:val="center"/>
          </w:tcPr>
          <w:p w:rsidR="001A63C6" w:rsidRPr="003410C7" w:rsidRDefault="001A63C6" w:rsidP="002253A3">
            <w:pPr>
              <w:jc w:val="center"/>
              <w:rPr>
                <w:rFonts w:cs="Tahoma"/>
                <w:sz w:val="14"/>
              </w:rPr>
            </w:pPr>
            <w:r w:rsidRPr="003410C7">
              <w:rPr>
                <w:rFonts w:cs="Tahoma"/>
                <w:sz w:val="13"/>
              </w:rPr>
              <w:t>OL/OV</w:t>
            </w:r>
          </w:p>
        </w:tc>
      </w:tr>
      <w:tr w:rsidR="001A63C6" w:rsidRPr="003410C7" w:rsidTr="006B1F3F">
        <w:trPr>
          <w:trHeight w:val="145"/>
        </w:trPr>
        <w:tc>
          <w:tcPr>
            <w:tcW w:w="2734" w:type="dxa"/>
            <w:gridSpan w:val="2"/>
            <w:tcBorders>
              <w:bottom w:val="single" w:sz="4" w:space="0" w:color="auto"/>
            </w:tcBorders>
            <w:shd w:val="clear" w:color="auto" w:fill="auto"/>
          </w:tcPr>
          <w:p w:rsidR="001A63C6" w:rsidRPr="003410C7" w:rsidRDefault="00B60E3C" w:rsidP="003410C7">
            <w:pPr>
              <w:pStyle w:val="ProductNames"/>
              <w:spacing w:beforeLines="20" w:before="48" w:afterLines="20" w:after="48"/>
              <w:rPr>
                <w:rFonts w:ascii="Tahoma" w:hAnsi="Tahoma" w:cs="Tahoma"/>
                <w:sz w:val="14"/>
              </w:rPr>
            </w:pPr>
            <w:bookmarkStart w:id="162" w:name="_Toc352234532"/>
            <w:r>
              <w:rPr>
                <w:rFonts w:ascii="Tahoma" w:hAnsi="Tahoma" w:cs="Tahoma"/>
                <w:sz w:val="14"/>
              </w:rPr>
              <w:lastRenderedPageBreak/>
              <w:t>Bing Maps Per Known User Monthly Sub</w:t>
            </w:r>
            <w:bookmarkEnd w:id="162"/>
          </w:p>
        </w:tc>
        <w:tc>
          <w:tcPr>
            <w:tcW w:w="450" w:type="dxa"/>
            <w:tcBorders>
              <w:bottom w:val="single" w:sz="4" w:space="0" w:color="auto"/>
            </w:tcBorders>
            <w:shd w:val="clear" w:color="auto" w:fill="auto"/>
            <w:vAlign w:val="center"/>
          </w:tcPr>
          <w:p w:rsidR="001A63C6" w:rsidRPr="00214EC6" w:rsidRDefault="00FC1A4D" w:rsidP="002253A3">
            <w:pPr>
              <w:jc w:val="center"/>
              <w:rPr>
                <w:rFonts w:cs="Tahoma"/>
                <w:sz w:val="13"/>
                <w:szCs w:val="13"/>
              </w:rPr>
            </w:pPr>
            <w:hyperlink w:anchor="Srv_27BingMapsSvrandContentPack" w:history="1">
              <w:r w:rsidR="000D77F6" w:rsidRPr="00214EC6">
                <w:rPr>
                  <w:rStyle w:val="Hyperlink"/>
                  <w:rFonts w:cs="Tahoma"/>
                  <w:b/>
                  <w:sz w:val="13"/>
                  <w:szCs w:val="13"/>
                </w:rPr>
                <w:t>30</w:t>
              </w:r>
            </w:hyperlink>
          </w:p>
        </w:tc>
        <w:tc>
          <w:tcPr>
            <w:tcW w:w="450" w:type="dxa"/>
            <w:tcBorders>
              <w:bottom w:val="single" w:sz="4" w:space="0" w:color="auto"/>
            </w:tcBorders>
            <w:shd w:val="clear" w:color="auto" w:fill="auto"/>
            <w:vAlign w:val="center"/>
          </w:tcPr>
          <w:p w:rsidR="001A63C6" w:rsidRPr="003410C7" w:rsidRDefault="001A63C6" w:rsidP="002253A3">
            <w:pPr>
              <w:jc w:val="center"/>
              <w:rPr>
                <w:rFonts w:cs="Tahoma"/>
                <w:sz w:val="14"/>
              </w:rPr>
            </w:pPr>
          </w:p>
        </w:tc>
        <w:tc>
          <w:tcPr>
            <w:tcW w:w="360" w:type="dxa"/>
            <w:tcBorders>
              <w:bottom w:val="single" w:sz="4" w:space="0" w:color="auto"/>
              <w:right w:val="single" w:sz="18" w:space="0" w:color="auto"/>
            </w:tcBorders>
            <w:shd w:val="clear" w:color="auto" w:fill="auto"/>
            <w:vAlign w:val="center"/>
          </w:tcPr>
          <w:p w:rsidR="001A63C6" w:rsidRPr="003410C7" w:rsidRDefault="001A63C6" w:rsidP="002253A3">
            <w:pPr>
              <w:jc w:val="center"/>
              <w:rPr>
                <w:rFonts w:cs="Tahoma"/>
                <w:sz w:val="13"/>
              </w:rPr>
            </w:pPr>
          </w:p>
        </w:tc>
        <w:tc>
          <w:tcPr>
            <w:tcW w:w="2970" w:type="dxa"/>
            <w:gridSpan w:val="7"/>
            <w:tcBorders>
              <w:left w:val="single" w:sz="18" w:space="0" w:color="auto"/>
              <w:bottom w:val="single" w:sz="4" w:space="0" w:color="auto"/>
              <w:right w:val="single" w:sz="18" w:space="0" w:color="auto"/>
            </w:tcBorders>
            <w:shd w:val="clear" w:color="auto" w:fill="auto"/>
            <w:vAlign w:val="center"/>
          </w:tcPr>
          <w:p w:rsidR="001A63C6" w:rsidRPr="003410C7" w:rsidRDefault="001A63C6" w:rsidP="002253A3">
            <w:pPr>
              <w:jc w:val="center"/>
              <w:rPr>
                <w:rFonts w:cs="Tahoma"/>
                <w:sz w:val="14"/>
              </w:rPr>
            </w:pPr>
            <w:r w:rsidRPr="003410C7">
              <w:rPr>
                <w:rFonts w:cs="Tahoma"/>
                <w:sz w:val="14"/>
              </w:rPr>
              <w:t>1 punto</w:t>
            </w:r>
          </w:p>
        </w:tc>
        <w:tc>
          <w:tcPr>
            <w:tcW w:w="450" w:type="dxa"/>
            <w:tcBorders>
              <w:left w:val="single" w:sz="18" w:space="0" w:color="auto"/>
              <w:bottom w:val="single" w:sz="4" w:space="0" w:color="auto"/>
            </w:tcBorders>
            <w:shd w:val="clear" w:color="auto" w:fill="auto"/>
            <w:vAlign w:val="center"/>
          </w:tcPr>
          <w:p w:rsidR="001A63C6" w:rsidRPr="003410C7" w:rsidRDefault="001A63C6" w:rsidP="002253A3">
            <w:pPr>
              <w:jc w:val="center"/>
              <w:rPr>
                <w:rFonts w:cs="Tahoma"/>
                <w:sz w:val="14"/>
              </w:rPr>
            </w:pPr>
            <w:r w:rsidRPr="003410C7">
              <w:rPr>
                <w:rFonts w:cs="Tahoma"/>
                <w:sz w:val="14"/>
              </w:rPr>
              <w:t>1</w:t>
            </w:r>
          </w:p>
        </w:tc>
        <w:tc>
          <w:tcPr>
            <w:tcW w:w="450" w:type="dxa"/>
            <w:tcBorders>
              <w:bottom w:val="single" w:sz="4" w:space="0" w:color="auto"/>
            </w:tcBorders>
            <w:shd w:val="clear" w:color="auto" w:fill="auto"/>
            <w:vAlign w:val="center"/>
          </w:tcPr>
          <w:p w:rsidR="001A63C6" w:rsidRPr="003410C7" w:rsidRDefault="001A63C6" w:rsidP="002253A3">
            <w:pPr>
              <w:jc w:val="center"/>
              <w:rPr>
                <w:rFonts w:cs="Tahoma"/>
                <w:sz w:val="13"/>
              </w:rPr>
            </w:pPr>
          </w:p>
        </w:tc>
        <w:tc>
          <w:tcPr>
            <w:tcW w:w="450" w:type="dxa"/>
            <w:tcBorders>
              <w:bottom w:val="single" w:sz="4" w:space="0" w:color="auto"/>
              <w:right w:val="single" w:sz="18" w:space="0" w:color="auto"/>
            </w:tcBorders>
            <w:shd w:val="clear" w:color="auto" w:fill="auto"/>
            <w:vAlign w:val="center"/>
          </w:tcPr>
          <w:p w:rsidR="001A63C6" w:rsidRPr="003410C7" w:rsidRDefault="001A63C6" w:rsidP="002253A3">
            <w:pPr>
              <w:jc w:val="center"/>
              <w:rPr>
                <w:rFonts w:cs="Tahoma"/>
                <w:sz w:val="13"/>
              </w:rPr>
            </w:pPr>
          </w:p>
        </w:tc>
        <w:tc>
          <w:tcPr>
            <w:tcW w:w="450" w:type="dxa"/>
            <w:tcBorders>
              <w:left w:val="single" w:sz="18" w:space="0" w:color="auto"/>
              <w:bottom w:val="single" w:sz="4" w:space="0" w:color="auto"/>
            </w:tcBorders>
            <w:shd w:val="clear" w:color="auto" w:fill="auto"/>
            <w:vAlign w:val="center"/>
          </w:tcPr>
          <w:p w:rsidR="001A63C6" w:rsidRPr="003410C7" w:rsidRDefault="001A63C6" w:rsidP="002253A3">
            <w:pPr>
              <w:jc w:val="center"/>
              <w:rPr>
                <w:rFonts w:cs="Tahoma"/>
                <w:sz w:val="13"/>
              </w:rPr>
            </w:pPr>
          </w:p>
        </w:tc>
        <w:tc>
          <w:tcPr>
            <w:tcW w:w="450" w:type="dxa"/>
            <w:tcBorders>
              <w:bottom w:val="single" w:sz="4" w:space="0" w:color="auto"/>
              <w:right w:val="single" w:sz="18" w:space="0" w:color="auto"/>
            </w:tcBorders>
            <w:shd w:val="clear" w:color="auto" w:fill="auto"/>
            <w:vAlign w:val="center"/>
          </w:tcPr>
          <w:p w:rsidR="001A63C6" w:rsidRPr="003410C7" w:rsidRDefault="001A63C6" w:rsidP="002253A3">
            <w:pPr>
              <w:jc w:val="center"/>
              <w:rPr>
                <w:rFonts w:cs="Tahoma"/>
                <w:sz w:val="14"/>
              </w:rPr>
            </w:pPr>
            <w:r w:rsidRPr="003410C7">
              <w:rPr>
                <w:rFonts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rsidR="001A63C6" w:rsidRPr="003410C7" w:rsidRDefault="001A63C6" w:rsidP="002253A3">
            <w:pPr>
              <w:jc w:val="center"/>
              <w:rPr>
                <w:rFonts w:cs="Tahoma"/>
                <w:sz w:val="14"/>
              </w:rPr>
            </w:pPr>
            <w:r w:rsidRPr="003410C7">
              <w:rPr>
                <w:rFonts w:cs="Tahoma"/>
                <w:sz w:val="13"/>
              </w:rPr>
              <w:t>P</w:t>
            </w:r>
          </w:p>
        </w:tc>
        <w:tc>
          <w:tcPr>
            <w:tcW w:w="450" w:type="dxa"/>
            <w:tcBorders>
              <w:bottom w:val="single" w:sz="4" w:space="0" w:color="auto"/>
            </w:tcBorders>
            <w:shd w:val="clear" w:color="auto" w:fill="auto"/>
            <w:vAlign w:val="center"/>
          </w:tcPr>
          <w:p w:rsidR="001A63C6" w:rsidRPr="003410C7" w:rsidRDefault="001A63C6" w:rsidP="002253A3">
            <w:pPr>
              <w:jc w:val="center"/>
              <w:rPr>
                <w:rFonts w:cs="Tahoma"/>
                <w:sz w:val="13"/>
              </w:rPr>
            </w:pPr>
          </w:p>
        </w:tc>
        <w:tc>
          <w:tcPr>
            <w:tcW w:w="540" w:type="dxa"/>
            <w:tcBorders>
              <w:bottom w:val="single" w:sz="4" w:space="0" w:color="auto"/>
            </w:tcBorders>
            <w:shd w:val="clear" w:color="auto" w:fill="auto"/>
            <w:vAlign w:val="center"/>
          </w:tcPr>
          <w:p w:rsidR="001A63C6" w:rsidRPr="003410C7" w:rsidRDefault="001A63C6" w:rsidP="002253A3">
            <w:pPr>
              <w:jc w:val="center"/>
              <w:rPr>
                <w:rFonts w:cs="Tahoma"/>
                <w:sz w:val="14"/>
              </w:rPr>
            </w:pPr>
            <w:r w:rsidRPr="003410C7">
              <w:rPr>
                <w:rFonts w:cs="Tahoma"/>
                <w:sz w:val="13"/>
              </w:rPr>
              <w:t>OL/OV</w:t>
            </w:r>
          </w:p>
        </w:tc>
      </w:tr>
      <w:tr w:rsidR="001A63C6" w:rsidRPr="003410C7" w:rsidTr="006B1F3F">
        <w:trPr>
          <w:trHeight w:val="145"/>
        </w:trPr>
        <w:tc>
          <w:tcPr>
            <w:tcW w:w="2734" w:type="dxa"/>
            <w:gridSpan w:val="2"/>
            <w:tcBorders>
              <w:bottom w:val="single" w:sz="4" w:space="0" w:color="auto"/>
            </w:tcBorders>
            <w:shd w:val="clear" w:color="auto" w:fill="FABF8F"/>
          </w:tcPr>
          <w:p w:rsidR="001A63C6" w:rsidRPr="003410C7" w:rsidRDefault="003822C1" w:rsidP="00A442F1">
            <w:pPr>
              <w:pStyle w:val="ProductNames"/>
              <w:spacing w:beforeLines="20" w:before="48" w:afterLines="20" w:after="48"/>
              <w:rPr>
                <w:rFonts w:ascii="Tahoma" w:hAnsi="Tahoma" w:cs="Tahoma"/>
                <w:sz w:val="14"/>
              </w:rPr>
            </w:pPr>
            <w:bookmarkStart w:id="163" w:name="_Toc352234533"/>
            <w:r>
              <w:rPr>
                <w:rFonts w:ascii="Tahoma" w:hAnsi="Tahoma" w:cs="Tahoma"/>
                <w:sz w:val="14"/>
              </w:rPr>
              <w:t>Bing Maps Known User 5K Bundle Monthly Sub</w:t>
            </w:r>
            <w:bookmarkEnd w:id="163"/>
          </w:p>
        </w:tc>
        <w:tc>
          <w:tcPr>
            <w:tcW w:w="450" w:type="dxa"/>
            <w:tcBorders>
              <w:bottom w:val="single" w:sz="4" w:space="0" w:color="auto"/>
            </w:tcBorders>
            <w:shd w:val="clear" w:color="auto" w:fill="FABF8F"/>
            <w:vAlign w:val="center"/>
          </w:tcPr>
          <w:p w:rsidR="001A63C6" w:rsidRPr="00214EC6" w:rsidRDefault="00FC1A4D" w:rsidP="002253A3">
            <w:pPr>
              <w:jc w:val="center"/>
              <w:rPr>
                <w:rFonts w:cs="Tahoma"/>
                <w:sz w:val="13"/>
                <w:szCs w:val="13"/>
              </w:rPr>
            </w:pPr>
            <w:hyperlink w:anchor="Srv_27BingMapsSvrandContentPack" w:history="1">
              <w:r w:rsidR="000D77F6" w:rsidRPr="00214EC6">
                <w:rPr>
                  <w:rStyle w:val="Hyperlink"/>
                  <w:rFonts w:cs="Tahoma"/>
                  <w:b/>
                  <w:sz w:val="13"/>
                  <w:szCs w:val="13"/>
                </w:rPr>
                <w:t>30</w:t>
              </w:r>
            </w:hyperlink>
          </w:p>
        </w:tc>
        <w:tc>
          <w:tcPr>
            <w:tcW w:w="450" w:type="dxa"/>
            <w:tcBorders>
              <w:bottom w:val="single" w:sz="4" w:space="0" w:color="auto"/>
            </w:tcBorders>
            <w:shd w:val="clear" w:color="auto" w:fill="FABF8F"/>
            <w:vAlign w:val="center"/>
          </w:tcPr>
          <w:p w:rsidR="001A63C6" w:rsidRPr="003410C7" w:rsidRDefault="001A63C6" w:rsidP="002253A3">
            <w:pPr>
              <w:jc w:val="center"/>
              <w:rPr>
                <w:rFonts w:cs="Tahoma"/>
                <w:sz w:val="14"/>
              </w:rPr>
            </w:pPr>
          </w:p>
        </w:tc>
        <w:tc>
          <w:tcPr>
            <w:tcW w:w="360" w:type="dxa"/>
            <w:tcBorders>
              <w:bottom w:val="single" w:sz="4" w:space="0" w:color="auto"/>
              <w:right w:val="single" w:sz="18" w:space="0" w:color="auto"/>
            </w:tcBorders>
            <w:shd w:val="clear" w:color="auto" w:fill="FABF8F"/>
            <w:vAlign w:val="center"/>
          </w:tcPr>
          <w:p w:rsidR="001A63C6" w:rsidRPr="003410C7" w:rsidRDefault="001A63C6" w:rsidP="002253A3">
            <w:pPr>
              <w:jc w:val="center"/>
              <w:rPr>
                <w:rFonts w:cs="Tahoma"/>
                <w:sz w:val="13"/>
              </w:rPr>
            </w:pPr>
          </w:p>
        </w:tc>
        <w:tc>
          <w:tcPr>
            <w:tcW w:w="2970" w:type="dxa"/>
            <w:gridSpan w:val="7"/>
            <w:tcBorders>
              <w:left w:val="single" w:sz="18" w:space="0" w:color="auto"/>
              <w:bottom w:val="single" w:sz="4" w:space="0" w:color="auto"/>
              <w:right w:val="single" w:sz="18" w:space="0" w:color="auto"/>
            </w:tcBorders>
            <w:shd w:val="clear" w:color="auto" w:fill="FABF8F"/>
            <w:vAlign w:val="center"/>
          </w:tcPr>
          <w:p w:rsidR="001A63C6" w:rsidRPr="003410C7" w:rsidRDefault="001A63C6" w:rsidP="002253A3">
            <w:pPr>
              <w:jc w:val="center"/>
              <w:rPr>
                <w:rFonts w:cs="Tahoma"/>
                <w:sz w:val="14"/>
              </w:rPr>
            </w:pPr>
            <w:r w:rsidRPr="003410C7">
              <w:rPr>
                <w:rFonts w:cs="Tahoma"/>
                <w:sz w:val="14"/>
              </w:rPr>
              <w:t>200 crediti</w:t>
            </w:r>
          </w:p>
        </w:tc>
        <w:tc>
          <w:tcPr>
            <w:tcW w:w="450" w:type="dxa"/>
            <w:tcBorders>
              <w:left w:val="single" w:sz="18" w:space="0" w:color="auto"/>
              <w:bottom w:val="single" w:sz="4" w:space="0" w:color="auto"/>
            </w:tcBorders>
            <w:shd w:val="clear" w:color="auto" w:fill="FABF8F"/>
            <w:vAlign w:val="center"/>
          </w:tcPr>
          <w:p w:rsidR="001A63C6" w:rsidRPr="003410C7" w:rsidRDefault="001A63C6" w:rsidP="002253A3">
            <w:pPr>
              <w:jc w:val="center"/>
              <w:rPr>
                <w:rFonts w:cs="Tahoma"/>
                <w:sz w:val="14"/>
              </w:rPr>
            </w:pPr>
            <w:r w:rsidRPr="003410C7">
              <w:rPr>
                <w:rFonts w:cs="Tahoma"/>
                <w:sz w:val="14"/>
              </w:rPr>
              <w:t>200</w:t>
            </w:r>
          </w:p>
        </w:tc>
        <w:tc>
          <w:tcPr>
            <w:tcW w:w="450" w:type="dxa"/>
            <w:tcBorders>
              <w:bottom w:val="single" w:sz="4" w:space="0" w:color="auto"/>
            </w:tcBorders>
            <w:shd w:val="clear" w:color="auto" w:fill="FABF8F"/>
            <w:vAlign w:val="center"/>
          </w:tcPr>
          <w:p w:rsidR="001A63C6" w:rsidRPr="003410C7" w:rsidRDefault="001A63C6" w:rsidP="002253A3">
            <w:pPr>
              <w:jc w:val="center"/>
              <w:rPr>
                <w:rFonts w:cs="Tahoma"/>
                <w:sz w:val="13"/>
              </w:rPr>
            </w:pPr>
          </w:p>
        </w:tc>
        <w:tc>
          <w:tcPr>
            <w:tcW w:w="450" w:type="dxa"/>
            <w:tcBorders>
              <w:bottom w:val="single" w:sz="4" w:space="0" w:color="auto"/>
              <w:right w:val="single" w:sz="18" w:space="0" w:color="auto"/>
            </w:tcBorders>
            <w:shd w:val="clear" w:color="auto" w:fill="FABF8F"/>
            <w:vAlign w:val="center"/>
          </w:tcPr>
          <w:p w:rsidR="001A63C6" w:rsidRPr="003410C7" w:rsidRDefault="001A63C6" w:rsidP="002253A3">
            <w:pPr>
              <w:jc w:val="center"/>
              <w:rPr>
                <w:rFonts w:cs="Tahoma"/>
                <w:sz w:val="13"/>
              </w:rPr>
            </w:pPr>
          </w:p>
        </w:tc>
        <w:tc>
          <w:tcPr>
            <w:tcW w:w="450" w:type="dxa"/>
            <w:tcBorders>
              <w:left w:val="single" w:sz="18" w:space="0" w:color="auto"/>
              <w:bottom w:val="single" w:sz="4" w:space="0" w:color="auto"/>
            </w:tcBorders>
            <w:shd w:val="clear" w:color="auto" w:fill="FABF8F"/>
            <w:vAlign w:val="center"/>
          </w:tcPr>
          <w:p w:rsidR="001A63C6" w:rsidRPr="003410C7" w:rsidRDefault="001A63C6" w:rsidP="002253A3">
            <w:pPr>
              <w:jc w:val="center"/>
              <w:rPr>
                <w:rFonts w:cs="Tahoma"/>
                <w:sz w:val="13"/>
              </w:rPr>
            </w:pPr>
          </w:p>
        </w:tc>
        <w:tc>
          <w:tcPr>
            <w:tcW w:w="450" w:type="dxa"/>
            <w:tcBorders>
              <w:bottom w:val="single" w:sz="4" w:space="0" w:color="auto"/>
              <w:right w:val="single" w:sz="18" w:space="0" w:color="auto"/>
            </w:tcBorders>
            <w:shd w:val="clear" w:color="auto" w:fill="FABF8F"/>
            <w:vAlign w:val="center"/>
          </w:tcPr>
          <w:p w:rsidR="001A63C6" w:rsidRPr="003410C7" w:rsidRDefault="001A63C6" w:rsidP="002253A3">
            <w:pPr>
              <w:jc w:val="center"/>
              <w:rPr>
                <w:rFonts w:cs="Tahoma"/>
                <w:sz w:val="14"/>
              </w:rPr>
            </w:pPr>
            <w:r w:rsidRPr="003410C7">
              <w:rPr>
                <w:rFonts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3410C7" w:rsidRDefault="001A63C6" w:rsidP="002253A3">
            <w:pPr>
              <w:jc w:val="center"/>
              <w:rPr>
                <w:rFonts w:cs="Tahoma"/>
                <w:sz w:val="14"/>
              </w:rPr>
            </w:pPr>
            <w:r w:rsidRPr="003410C7">
              <w:rPr>
                <w:rFonts w:cs="Tahoma"/>
                <w:sz w:val="13"/>
              </w:rPr>
              <w:t>P</w:t>
            </w:r>
          </w:p>
        </w:tc>
        <w:tc>
          <w:tcPr>
            <w:tcW w:w="450" w:type="dxa"/>
            <w:tcBorders>
              <w:bottom w:val="single" w:sz="4" w:space="0" w:color="auto"/>
            </w:tcBorders>
            <w:shd w:val="clear" w:color="auto" w:fill="FABF8F"/>
            <w:vAlign w:val="center"/>
          </w:tcPr>
          <w:p w:rsidR="001A63C6" w:rsidRPr="003410C7" w:rsidRDefault="001A63C6" w:rsidP="002253A3">
            <w:pPr>
              <w:jc w:val="center"/>
              <w:rPr>
                <w:rFonts w:cs="Tahoma"/>
                <w:sz w:val="13"/>
              </w:rPr>
            </w:pPr>
          </w:p>
        </w:tc>
        <w:tc>
          <w:tcPr>
            <w:tcW w:w="540" w:type="dxa"/>
            <w:tcBorders>
              <w:bottom w:val="single" w:sz="4" w:space="0" w:color="auto"/>
            </w:tcBorders>
            <w:shd w:val="clear" w:color="auto" w:fill="FABF8F"/>
            <w:vAlign w:val="center"/>
          </w:tcPr>
          <w:p w:rsidR="001A63C6" w:rsidRPr="003410C7" w:rsidRDefault="001A63C6" w:rsidP="002253A3">
            <w:pPr>
              <w:jc w:val="center"/>
              <w:rPr>
                <w:rFonts w:cs="Tahoma"/>
                <w:sz w:val="14"/>
              </w:rPr>
            </w:pPr>
            <w:r w:rsidRPr="003410C7">
              <w:rPr>
                <w:rFonts w:cs="Tahoma"/>
                <w:sz w:val="13"/>
              </w:rPr>
              <w:t>OL/OV</w:t>
            </w:r>
          </w:p>
        </w:tc>
      </w:tr>
      <w:tr w:rsidR="001A63C6" w:rsidRPr="003410C7" w:rsidTr="006B1F3F">
        <w:trPr>
          <w:trHeight w:val="145"/>
        </w:trPr>
        <w:tc>
          <w:tcPr>
            <w:tcW w:w="2734" w:type="dxa"/>
            <w:gridSpan w:val="2"/>
            <w:tcBorders>
              <w:bottom w:val="single" w:sz="4" w:space="0" w:color="auto"/>
            </w:tcBorders>
            <w:shd w:val="clear" w:color="auto" w:fill="auto"/>
          </w:tcPr>
          <w:p w:rsidR="001A63C6" w:rsidRPr="003410C7" w:rsidRDefault="001A63C6" w:rsidP="00A442F1">
            <w:pPr>
              <w:pStyle w:val="ProductNames"/>
              <w:spacing w:beforeLines="20" w:before="48" w:afterLines="20" w:after="48"/>
              <w:rPr>
                <w:rFonts w:ascii="Tahoma" w:hAnsi="Tahoma" w:cs="Tahoma"/>
                <w:sz w:val="14"/>
              </w:rPr>
            </w:pPr>
            <w:bookmarkStart w:id="164" w:name="_Toc352234534"/>
            <w:r w:rsidRPr="003410C7">
              <w:rPr>
                <w:rFonts w:ascii="Tahoma" w:hAnsi="Tahoma" w:cs="Tahoma"/>
                <w:sz w:val="14"/>
              </w:rPr>
              <w:t>Bing Maps Light Known Per User Monthly</w:t>
            </w:r>
            <w:r w:rsidR="00A442F1">
              <w:rPr>
                <w:rFonts w:ascii="Tahoma" w:hAnsi="Tahoma" w:cs="Tahoma"/>
                <w:sz w:val="14"/>
              </w:rPr>
              <w:t> </w:t>
            </w:r>
            <w:r w:rsidRPr="003410C7">
              <w:rPr>
                <w:rFonts w:ascii="Tahoma" w:hAnsi="Tahoma" w:cs="Tahoma"/>
                <w:sz w:val="14"/>
              </w:rPr>
              <w:t>Sub</w:t>
            </w:r>
            <w:bookmarkEnd w:id="164"/>
          </w:p>
        </w:tc>
        <w:tc>
          <w:tcPr>
            <w:tcW w:w="450" w:type="dxa"/>
            <w:tcBorders>
              <w:bottom w:val="single" w:sz="4" w:space="0" w:color="auto"/>
            </w:tcBorders>
            <w:shd w:val="clear" w:color="auto" w:fill="auto"/>
            <w:vAlign w:val="center"/>
          </w:tcPr>
          <w:p w:rsidR="001A63C6" w:rsidRPr="00214EC6" w:rsidRDefault="00FC1A4D" w:rsidP="002253A3">
            <w:pPr>
              <w:jc w:val="center"/>
              <w:rPr>
                <w:rFonts w:cs="Tahoma"/>
                <w:sz w:val="13"/>
                <w:szCs w:val="13"/>
              </w:rPr>
            </w:pPr>
            <w:hyperlink w:anchor="Srv_27BingMapsSvrandContentPack" w:history="1">
              <w:r w:rsidR="000D77F6" w:rsidRPr="00214EC6">
                <w:rPr>
                  <w:rStyle w:val="Hyperlink"/>
                  <w:rFonts w:cs="Tahoma"/>
                  <w:b/>
                  <w:sz w:val="13"/>
                  <w:szCs w:val="13"/>
                </w:rPr>
                <w:t>30</w:t>
              </w:r>
            </w:hyperlink>
          </w:p>
        </w:tc>
        <w:tc>
          <w:tcPr>
            <w:tcW w:w="450" w:type="dxa"/>
            <w:tcBorders>
              <w:bottom w:val="single" w:sz="4" w:space="0" w:color="auto"/>
            </w:tcBorders>
            <w:shd w:val="clear" w:color="auto" w:fill="auto"/>
            <w:vAlign w:val="center"/>
          </w:tcPr>
          <w:p w:rsidR="001A63C6" w:rsidRPr="003410C7" w:rsidRDefault="001A63C6" w:rsidP="002253A3">
            <w:pPr>
              <w:jc w:val="center"/>
              <w:rPr>
                <w:rFonts w:cs="Tahoma"/>
                <w:sz w:val="14"/>
              </w:rPr>
            </w:pPr>
          </w:p>
        </w:tc>
        <w:tc>
          <w:tcPr>
            <w:tcW w:w="360" w:type="dxa"/>
            <w:tcBorders>
              <w:bottom w:val="single" w:sz="4" w:space="0" w:color="auto"/>
              <w:right w:val="single" w:sz="18" w:space="0" w:color="auto"/>
            </w:tcBorders>
            <w:shd w:val="clear" w:color="auto" w:fill="auto"/>
            <w:vAlign w:val="center"/>
          </w:tcPr>
          <w:p w:rsidR="001A63C6" w:rsidRPr="003410C7" w:rsidRDefault="001A63C6" w:rsidP="002253A3">
            <w:pPr>
              <w:jc w:val="center"/>
              <w:rPr>
                <w:rFonts w:cs="Tahoma"/>
                <w:sz w:val="13"/>
              </w:rPr>
            </w:pPr>
          </w:p>
        </w:tc>
        <w:tc>
          <w:tcPr>
            <w:tcW w:w="2970" w:type="dxa"/>
            <w:gridSpan w:val="7"/>
            <w:tcBorders>
              <w:left w:val="single" w:sz="18" w:space="0" w:color="auto"/>
              <w:bottom w:val="single" w:sz="4" w:space="0" w:color="auto"/>
              <w:right w:val="single" w:sz="18" w:space="0" w:color="auto"/>
            </w:tcBorders>
            <w:shd w:val="clear" w:color="auto" w:fill="auto"/>
            <w:vAlign w:val="center"/>
          </w:tcPr>
          <w:p w:rsidR="001A63C6" w:rsidRPr="003410C7" w:rsidRDefault="001A63C6" w:rsidP="002253A3">
            <w:pPr>
              <w:jc w:val="center"/>
              <w:rPr>
                <w:rFonts w:cs="Tahoma"/>
                <w:sz w:val="14"/>
              </w:rPr>
            </w:pPr>
            <w:r w:rsidRPr="003410C7">
              <w:rPr>
                <w:rFonts w:cs="Tahoma"/>
                <w:sz w:val="14"/>
              </w:rPr>
              <w:t>1 punto</w:t>
            </w:r>
          </w:p>
        </w:tc>
        <w:tc>
          <w:tcPr>
            <w:tcW w:w="450" w:type="dxa"/>
            <w:tcBorders>
              <w:left w:val="single" w:sz="18" w:space="0" w:color="auto"/>
              <w:bottom w:val="single" w:sz="4" w:space="0" w:color="auto"/>
            </w:tcBorders>
            <w:shd w:val="clear" w:color="auto" w:fill="auto"/>
            <w:vAlign w:val="center"/>
          </w:tcPr>
          <w:p w:rsidR="001A63C6" w:rsidRPr="003410C7" w:rsidRDefault="001A63C6" w:rsidP="002253A3">
            <w:pPr>
              <w:jc w:val="center"/>
              <w:rPr>
                <w:rFonts w:cs="Tahoma"/>
                <w:sz w:val="14"/>
              </w:rPr>
            </w:pPr>
            <w:r w:rsidRPr="003410C7">
              <w:rPr>
                <w:rFonts w:cs="Tahoma"/>
                <w:sz w:val="14"/>
              </w:rPr>
              <w:t>1</w:t>
            </w:r>
          </w:p>
        </w:tc>
        <w:tc>
          <w:tcPr>
            <w:tcW w:w="450" w:type="dxa"/>
            <w:tcBorders>
              <w:bottom w:val="single" w:sz="4" w:space="0" w:color="auto"/>
            </w:tcBorders>
            <w:shd w:val="clear" w:color="auto" w:fill="auto"/>
            <w:vAlign w:val="center"/>
          </w:tcPr>
          <w:p w:rsidR="001A63C6" w:rsidRPr="003410C7" w:rsidRDefault="001A63C6" w:rsidP="002253A3">
            <w:pPr>
              <w:jc w:val="center"/>
              <w:rPr>
                <w:rFonts w:cs="Tahoma"/>
                <w:sz w:val="13"/>
              </w:rPr>
            </w:pPr>
          </w:p>
        </w:tc>
        <w:tc>
          <w:tcPr>
            <w:tcW w:w="450" w:type="dxa"/>
            <w:tcBorders>
              <w:bottom w:val="single" w:sz="4" w:space="0" w:color="auto"/>
              <w:right w:val="single" w:sz="18" w:space="0" w:color="auto"/>
            </w:tcBorders>
            <w:shd w:val="clear" w:color="auto" w:fill="auto"/>
            <w:vAlign w:val="center"/>
          </w:tcPr>
          <w:p w:rsidR="001A63C6" w:rsidRPr="003410C7" w:rsidRDefault="001A63C6" w:rsidP="002253A3">
            <w:pPr>
              <w:jc w:val="center"/>
              <w:rPr>
                <w:rFonts w:cs="Tahoma"/>
                <w:sz w:val="13"/>
              </w:rPr>
            </w:pPr>
          </w:p>
        </w:tc>
        <w:tc>
          <w:tcPr>
            <w:tcW w:w="450" w:type="dxa"/>
            <w:tcBorders>
              <w:left w:val="single" w:sz="18" w:space="0" w:color="auto"/>
              <w:bottom w:val="single" w:sz="4" w:space="0" w:color="auto"/>
            </w:tcBorders>
            <w:shd w:val="clear" w:color="auto" w:fill="auto"/>
            <w:vAlign w:val="center"/>
          </w:tcPr>
          <w:p w:rsidR="001A63C6" w:rsidRPr="003410C7" w:rsidRDefault="001A63C6" w:rsidP="002253A3">
            <w:pPr>
              <w:jc w:val="center"/>
              <w:rPr>
                <w:rFonts w:cs="Tahoma"/>
                <w:sz w:val="13"/>
              </w:rPr>
            </w:pPr>
          </w:p>
        </w:tc>
        <w:tc>
          <w:tcPr>
            <w:tcW w:w="450" w:type="dxa"/>
            <w:tcBorders>
              <w:bottom w:val="single" w:sz="4" w:space="0" w:color="auto"/>
              <w:right w:val="single" w:sz="18" w:space="0" w:color="auto"/>
            </w:tcBorders>
            <w:shd w:val="clear" w:color="auto" w:fill="auto"/>
            <w:vAlign w:val="center"/>
          </w:tcPr>
          <w:p w:rsidR="001A63C6" w:rsidRPr="003410C7" w:rsidRDefault="001A63C6" w:rsidP="002253A3">
            <w:pPr>
              <w:jc w:val="center"/>
              <w:rPr>
                <w:rFonts w:cs="Tahoma"/>
                <w:sz w:val="14"/>
              </w:rPr>
            </w:pPr>
            <w:r w:rsidRPr="003410C7">
              <w:rPr>
                <w:rFonts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rsidR="001A63C6" w:rsidRPr="003410C7" w:rsidRDefault="001A63C6" w:rsidP="002253A3">
            <w:pPr>
              <w:jc w:val="center"/>
              <w:rPr>
                <w:rFonts w:cs="Tahoma"/>
                <w:sz w:val="14"/>
              </w:rPr>
            </w:pPr>
            <w:r w:rsidRPr="003410C7">
              <w:rPr>
                <w:rFonts w:cs="Tahoma"/>
                <w:sz w:val="13"/>
              </w:rPr>
              <w:t>P</w:t>
            </w:r>
          </w:p>
        </w:tc>
        <w:tc>
          <w:tcPr>
            <w:tcW w:w="450" w:type="dxa"/>
            <w:tcBorders>
              <w:bottom w:val="single" w:sz="4" w:space="0" w:color="auto"/>
            </w:tcBorders>
            <w:shd w:val="clear" w:color="auto" w:fill="auto"/>
            <w:vAlign w:val="center"/>
          </w:tcPr>
          <w:p w:rsidR="001A63C6" w:rsidRPr="003410C7" w:rsidRDefault="001A63C6" w:rsidP="002253A3">
            <w:pPr>
              <w:jc w:val="center"/>
              <w:rPr>
                <w:rFonts w:cs="Tahoma"/>
                <w:sz w:val="13"/>
              </w:rPr>
            </w:pPr>
          </w:p>
        </w:tc>
        <w:tc>
          <w:tcPr>
            <w:tcW w:w="540" w:type="dxa"/>
            <w:tcBorders>
              <w:bottom w:val="single" w:sz="4" w:space="0" w:color="auto"/>
            </w:tcBorders>
            <w:shd w:val="clear" w:color="auto" w:fill="auto"/>
            <w:vAlign w:val="center"/>
          </w:tcPr>
          <w:p w:rsidR="001A63C6" w:rsidRPr="003410C7" w:rsidRDefault="001A63C6" w:rsidP="002253A3">
            <w:pPr>
              <w:jc w:val="center"/>
              <w:rPr>
                <w:rFonts w:cs="Tahoma"/>
                <w:sz w:val="14"/>
              </w:rPr>
            </w:pPr>
            <w:r w:rsidRPr="003410C7">
              <w:rPr>
                <w:rFonts w:cs="Tahoma"/>
                <w:sz w:val="13"/>
              </w:rPr>
              <w:t>OL/OV</w:t>
            </w:r>
          </w:p>
        </w:tc>
      </w:tr>
      <w:tr w:rsidR="001A63C6" w:rsidRPr="003410C7" w:rsidTr="006B1F3F">
        <w:trPr>
          <w:trHeight w:val="145"/>
        </w:trPr>
        <w:tc>
          <w:tcPr>
            <w:tcW w:w="2734" w:type="dxa"/>
            <w:gridSpan w:val="2"/>
            <w:tcBorders>
              <w:bottom w:val="single" w:sz="4" w:space="0" w:color="auto"/>
            </w:tcBorders>
            <w:shd w:val="clear" w:color="auto" w:fill="FABF8F"/>
          </w:tcPr>
          <w:p w:rsidR="001A63C6" w:rsidRPr="003410C7" w:rsidRDefault="001A63C6" w:rsidP="00A442F1">
            <w:pPr>
              <w:pStyle w:val="ProductNames"/>
              <w:spacing w:beforeLines="20" w:before="48" w:afterLines="20" w:after="48"/>
              <w:rPr>
                <w:rFonts w:ascii="Tahoma" w:hAnsi="Tahoma" w:cs="Tahoma"/>
                <w:sz w:val="14"/>
              </w:rPr>
            </w:pPr>
            <w:bookmarkStart w:id="165" w:name="_Toc352234535"/>
            <w:r w:rsidRPr="003410C7">
              <w:rPr>
                <w:rFonts w:ascii="Tahoma" w:hAnsi="Tahoma" w:cs="Tahoma"/>
                <w:sz w:val="14"/>
              </w:rPr>
              <w:t>Bing Maps Light Known 5K User Bundle</w:t>
            </w:r>
            <w:r w:rsidR="00A442F1">
              <w:rPr>
                <w:rFonts w:ascii="Tahoma" w:hAnsi="Tahoma" w:cs="Tahoma"/>
                <w:sz w:val="14"/>
              </w:rPr>
              <w:t> </w:t>
            </w:r>
            <w:r w:rsidRPr="003410C7">
              <w:rPr>
                <w:rFonts w:ascii="Tahoma" w:hAnsi="Tahoma" w:cs="Tahoma"/>
                <w:sz w:val="14"/>
              </w:rPr>
              <w:t>Monthly Sub</w:t>
            </w:r>
            <w:bookmarkEnd w:id="165"/>
          </w:p>
        </w:tc>
        <w:tc>
          <w:tcPr>
            <w:tcW w:w="450" w:type="dxa"/>
            <w:tcBorders>
              <w:bottom w:val="single" w:sz="4" w:space="0" w:color="auto"/>
            </w:tcBorders>
            <w:shd w:val="clear" w:color="auto" w:fill="FABF8F"/>
            <w:vAlign w:val="center"/>
          </w:tcPr>
          <w:p w:rsidR="001A63C6" w:rsidRPr="00214EC6" w:rsidRDefault="00FC1A4D" w:rsidP="002253A3">
            <w:pPr>
              <w:jc w:val="center"/>
              <w:rPr>
                <w:rFonts w:cs="Tahoma"/>
                <w:sz w:val="13"/>
                <w:szCs w:val="13"/>
              </w:rPr>
            </w:pPr>
            <w:hyperlink w:anchor="Srv_27BingMapsSvrandContentPack" w:history="1">
              <w:r w:rsidR="000D77F6" w:rsidRPr="00214EC6">
                <w:rPr>
                  <w:rStyle w:val="Hyperlink"/>
                  <w:rFonts w:cs="Tahoma"/>
                  <w:b/>
                  <w:sz w:val="13"/>
                  <w:szCs w:val="13"/>
                </w:rPr>
                <w:t>30</w:t>
              </w:r>
            </w:hyperlink>
          </w:p>
        </w:tc>
        <w:tc>
          <w:tcPr>
            <w:tcW w:w="450" w:type="dxa"/>
            <w:tcBorders>
              <w:bottom w:val="single" w:sz="4" w:space="0" w:color="auto"/>
            </w:tcBorders>
            <w:shd w:val="clear" w:color="auto" w:fill="FABF8F"/>
            <w:vAlign w:val="center"/>
          </w:tcPr>
          <w:p w:rsidR="001A63C6" w:rsidRPr="003410C7" w:rsidRDefault="001A63C6" w:rsidP="002253A3">
            <w:pPr>
              <w:jc w:val="center"/>
              <w:rPr>
                <w:rFonts w:cs="Tahoma"/>
                <w:sz w:val="14"/>
              </w:rPr>
            </w:pPr>
          </w:p>
        </w:tc>
        <w:tc>
          <w:tcPr>
            <w:tcW w:w="360" w:type="dxa"/>
            <w:tcBorders>
              <w:bottom w:val="single" w:sz="4" w:space="0" w:color="auto"/>
              <w:right w:val="single" w:sz="18" w:space="0" w:color="auto"/>
            </w:tcBorders>
            <w:shd w:val="clear" w:color="auto" w:fill="FABF8F"/>
            <w:vAlign w:val="center"/>
          </w:tcPr>
          <w:p w:rsidR="001A63C6" w:rsidRPr="003410C7" w:rsidRDefault="001A63C6" w:rsidP="002253A3">
            <w:pPr>
              <w:jc w:val="center"/>
              <w:rPr>
                <w:rFonts w:cs="Tahoma"/>
                <w:sz w:val="13"/>
              </w:rPr>
            </w:pPr>
          </w:p>
        </w:tc>
        <w:tc>
          <w:tcPr>
            <w:tcW w:w="2970" w:type="dxa"/>
            <w:gridSpan w:val="7"/>
            <w:tcBorders>
              <w:left w:val="single" w:sz="18" w:space="0" w:color="auto"/>
              <w:bottom w:val="single" w:sz="4" w:space="0" w:color="auto"/>
              <w:right w:val="single" w:sz="18" w:space="0" w:color="auto"/>
            </w:tcBorders>
            <w:shd w:val="clear" w:color="auto" w:fill="FABF8F"/>
            <w:vAlign w:val="center"/>
          </w:tcPr>
          <w:p w:rsidR="001A63C6" w:rsidRPr="003410C7" w:rsidRDefault="001A63C6" w:rsidP="002253A3">
            <w:pPr>
              <w:jc w:val="center"/>
              <w:rPr>
                <w:rFonts w:cs="Tahoma"/>
                <w:sz w:val="14"/>
              </w:rPr>
            </w:pPr>
            <w:r w:rsidRPr="003410C7">
              <w:rPr>
                <w:rFonts w:cs="Tahoma"/>
                <w:sz w:val="14"/>
              </w:rPr>
              <w:t>125 crediti</w:t>
            </w:r>
          </w:p>
        </w:tc>
        <w:tc>
          <w:tcPr>
            <w:tcW w:w="450" w:type="dxa"/>
            <w:tcBorders>
              <w:left w:val="single" w:sz="18" w:space="0" w:color="auto"/>
              <w:bottom w:val="single" w:sz="4" w:space="0" w:color="auto"/>
            </w:tcBorders>
            <w:shd w:val="clear" w:color="auto" w:fill="FABF8F"/>
            <w:vAlign w:val="center"/>
          </w:tcPr>
          <w:p w:rsidR="001A63C6" w:rsidRPr="003410C7" w:rsidRDefault="001A63C6" w:rsidP="002253A3">
            <w:pPr>
              <w:jc w:val="center"/>
              <w:rPr>
                <w:rFonts w:cs="Tahoma"/>
                <w:sz w:val="14"/>
              </w:rPr>
            </w:pPr>
            <w:r w:rsidRPr="003410C7">
              <w:rPr>
                <w:rFonts w:cs="Tahoma"/>
                <w:sz w:val="14"/>
              </w:rPr>
              <w:t>125</w:t>
            </w:r>
          </w:p>
        </w:tc>
        <w:tc>
          <w:tcPr>
            <w:tcW w:w="450" w:type="dxa"/>
            <w:tcBorders>
              <w:bottom w:val="single" w:sz="4" w:space="0" w:color="auto"/>
            </w:tcBorders>
            <w:shd w:val="clear" w:color="auto" w:fill="FABF8F"/>
            <w:vAlign w:val="center"/>
          </w:tcPr>
          <w:p w:rsidR="001A63C6" w:rsidRPr="003410C7" w:rsidRDefault="001A63C6" w:rsidP="002253A3">
            <w:pPr>
              <w:jc w:val="center"/>
              <w:rPr>
                <w:rFonts w:cs="Tahoma"/>
                <w:sz w:val="13"/>
              </w:rPr>
            </w:pPr>
          </w:p>
        </w:tc>
        <w:tc>
          <w:tcPr>
            <w:tcW w:w="450" w:type="dxa"/>
            <w:tcBorders>
              <w:bottom w:val="single" w:sz="4" w:space="0" w:color="auto"/>
              <w:right w:val="single" w:sz="18" w:space="0" w:color="auto"/>
            </w:tcBorders>
            <w:shd w:val="clear" w:color="auto" w:fill="FABF8F"/>
            <w:vAlign w:val="center"/>
          </w:tcPr>
          <w:p w:rsidR="001A63C6" w:rsidRPr="003410C7" w:rsidRDefault="001A63C6" w:rsidP="002253A3">
            <w:pPr>
              <w:jc w:val="center"/>
              <w:rPr>
                <w:rFonts w:cs="Tahoma"/>
                <w:sz w:val="13"/>
              </w:rPr>
            </w:pPr>
          </w:p>
        </w:tc>
        <w:tc>
          <w:tcPr>
            <w:tcW w:w="450" w:type="dxa"/>
            <w:tcBorders>
              <w:left w:val="single" w:sz="18" w:space="0" w:color="auto"/>
              <w:bottom w:val="single" w:sz="4" w:space="0" w:color="auto"/>
            </w:tcBorders>
            <w:shd w:val="clear" w:color="auto" w:fill="FABF8F"/>
            <w:vAlign w:val="center"/>
          </w:tcPr>
          <w:p w:rsidR="001A63C6" w:rsidRPr="003410C7" w:rsidRDefault="001A63C6" w:rsidP="002253A3">
            <w:pPr>
              <w:jc w:val="center"/>
              <w:rPr>
                <w:rFonts w:cs="Tahoma"/>
                <w:sz w:val="13"/>
              </w:rPr>
            </w:pPr>
          </w:p>
        </w:tc>
        <w:tc>
          <w:tcPr>
            <w:tcW w:w="450" w:type="dxa"/>
            <w:tcBorders>
              <w:bottom w:val="single" w:sz="4" w:space="0" w:color="auto"/>
              <w:right w:val="single" w:sz="18" w:space="0" w:color="auto"/>
            </w:tcBorders>
            <w:shd w:val="clear" w:color="auto" w:fill="FABF8F"/>
            <w:vAlign w:val="center"/>
          </w:tcPr>
          <w:p w:rsidR="001A63C6" w:rsidRPr="003410C7" w:rsidRDefault="001A63C6" w:rsidP="002253A3">
            <w:pPr>
              <w:jc w:val="center"/>
              <w:rPr>
                <w:rFonts w:cs="Tahoma"/>
                <w:sz w:val="14"/>
              </w:rPr>
            </w:pPr>
            <w:r w:rsidRPr="003410C7">
              <w:rPr>
                <w:rFonts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3410C7" w:rsidRDefault="001A63C6" w:rsidP="002253A3">
            <w:pPr>
              <w:jc w:val="center"/>
              <w:rPr>
                <w:rFonts w:cs="Tahoma"/>
                <w:sz w:val="14"/>
              </w:rPr>
            </w:pPr>
            <w:r w:rsidRPr="003410C7">
              <w:rPr>
                <w:rFonts w:cs="Tahoma"/>
                <w:sz w:val="13"/>
              </w:rPr>
              <w:t>P</w:t>
            </w:r>
          </w:p>
        </w:tc>
        <w:tc>
          <w:tcPr>
            <w:tcW w:w="450" w:type="dxa"/>
            <w:tcBorders>
              <w:bottom w:val="single" w:sz="4" w:space="0" w:color="auto"/>
            </w:tcBorders>
            <w:shd w:val="clear" w:color="auto" w:fill="FABF8F"/>
            <w:vAlign w:val="center"/>
          </w:tcPr>
          <w:p w:rsidR="001A63C6" w:rsidRPr="003410C7" w:rsidRDefault="001A63C6" w:rsidP="002253A3">
            <w:pPr>
              <w:jc w:val="center"/>
              <w:rPr>
                <w:rFonts w:cs="Tahoma"/>
                <w:sz w:val="13"/>
              </w:rPr>
            </w:pPr>
          </w:p>
        </w:tc>
        <w:tc>
          <w:tcPr>
            <w:tcW w:w="540" w:type="dxa"/>
            <w:tcBorders>
              <w:bottom w:val="single" w:sz="4" w:space="0" w:color="auto"/>
            </w:tcBorders>
            <w:shd w:val="clear" w:color="auto" w:fill="FABF8F"/>
            <w:vAlign w:val="center"/>
          </w:tcPr>
          <w:p w:rsidR="001A63C6" w:rsidRPr="003410C7" w:rsidRDefault="001A63C6" w:rsidP="002253A3">
            <w:pPr>
              <w:jc w:val="center"/>
              <w:rPr>
                <w:rFonts w:cs="Tahoma"/>
                <w:sz w:val="14"/>
              </w:rPr>
            </w:pPr>
            <w:r w:rsidRPr="003410C7">
              <w:rPr>
                <w:rFonts w:cs="Tahoma"/>
                <w:sz w:val="13"/>
              </w:rPr>
              <w:t>OL/OV</w:t>
            </w:r>
          </w:p>
        </w:tc>
      </w:tr>
      <w:tr w:rsidR="001A63C6" w:rsidRPr="003410C7" w:rsidTr="006B1F3F">
        <w:trPr>
          <w:trHeight w:val="145"/>
        </w:trPr>
        <w:tc>
          <w:tcPr>
            <w:tcW w:w="2734" w:type="dxa"/>
            <w:gridSpan w:val="2"/>
            <w:tcBorders>
              <w:bottom w:val="single" w:sz="4" w:space="0" w:color="auto"/>
            </w:tcBorders>
            <w:shd w:val="clear" w:color="auto" w:fill="auto"/>
          </w:tcPr>
          <w:p w:rsidR="001A63C6" w:rsidRPr="003410C7" w:rsidRDefault="001A63C6" w:rsidP="003410C7">
            <w:pPr>
              <w:pStyle w:val="ProductNames"/>
              <w:spacing w:beforeLines="20" w:before="48" w:afterLines="20" w:after="48"/>
              <w:rPr>
                <w:rFonts w:ascii="Tahoma" w:hAnsi="Tahoma" w:cs="Tahoma"/>
                <w:sz w:val="14"/>
              </w:rPr>
            </w:pPr>
            <w:bookmarkStart w:id="166" w:name="_Toc352234536"/>
            <w:r w:rsidRPr="003410C7">
              <w:rPr>
                <w:rFonts w:ascii="Tahoma" w:hAnsi="Tahoma" w:cs="Tahoma"/>
                <w:sz w:val="14"/>
              </w:rPr>
              <w:t>Bing Maps Mobile Asset Management Platform Fee Monthly Sub</w:t>
            </w:r>
            <w:bookmarkEnd w:id="166"/>
          </w:p>
        </w:tc>
        <w:tc>
          <w:tcPr>
            <w:tcW w:w="450" w:type="dxa"/>
            <w:tcBorders>
              <w:bottom w:val="single" w:sz="4" w:space="0" w:color="auto"/>
            </w:tcBorders>
            <w:shd w:val="clear" w:color="auto" w:fill="auto"/>
            <w:vAlign w:val="center"/>
          </w:tcPr>
          <w:p w:rsidR="001A63C6" w:rsidRPr="00214EC6" w:rsidRDefault="00FC1A4D" w:rsidP="002253A3">
            <w:pPr>
              <w:jc w:val="center"/>
              <w:rPr>
                <w:rFonts w:cs="Tahoma"/>
                <w:sz w:val="13"/>
                <w:szCs w:val="13"/>
              </w:rPr>
            </w:pPr>
            <w:hyperlink w:anchor="Srv_27BingMapsSvrandContentPack" w:history="1">
              <w:r w:rsidR="000D77F6" w:rsidRPr="00214EC6">
                <w:rPr>
                  <w:rStyle w:val="Hyperlink"/>
                  <w:rFonts w:cs="Tahoma"/>
                  <w:b/>
                  <w:sz w:val="13"/>
                  <w:szCs w:val="13"/>
                </w:rPr>
                <w:t>30</w:t>
              </w:r>
            </w:hyperlink>
          </w:p>
        </w:tc>
        <w:tc>
          <w:tcPr>
            <w:tcW w:w="450" w:type="dxa"/>
            <w:tcBorders>
              <w:bottom w:val="single" w:sz="4" w:space="0" w:color="auto"/>
            </w:tcBorders>
            <w:shd w:val="clear" w:color="auto" w:fill="auto"/>
            <w:vAlign w:val="center"/>
          </w:tcPr>
          <w:p w:rsidR="001A63C6" w:rsidRPr="003410C7" w:rsidRDefault="001A63C6" w:rsidP="002253A3">
            <w:pPr>
              <w:jc w:val="center"/>
              <w:rPr>
                <w:rFonts w:cs="Tahoma"/>
                <w:sz w:val="14"/>
              </w:rPr>
            </w:pPr>
          </w:p>
        </w:tc>
        <w:tc>
          <w:tcPr>
            <w:tcW w:w="360" w:type="dxa"/>
            <w:tcBorders>
              <w:bottom w:val="single" w:sz="4" w:space="0" w:color="auto"/>
              <w:right w:val="single" w:sz="18" w:space="0" w:color="auto"/>
            </w:tcBorders>
            <w:shd w:val="clear" w:color="auto" w:fill="auto"/>
            <w:vAlign w:val="center"/>
          </w:tcPr>
          <w:p w:rsidR="001A63C6" w:rsidRPr="003410C7" w:rsidRDefault="001A63C6" w:rsidP="002253A3">
            <w:pPr>
              <w:jc w:val="center"/>
              <w:rPr>
                <w:rFonts w:cs="Tahoma"/>
                <w:sz w:val="13"/>
              </w:rPr>
            </w:pPr>
          </w:p>
        </w:tc>
        <w:tc>
          <w:tcPr>
            <w:tcW w:w="2970" w:type="dxa"/>
            <w:gridSpan w:val="7"/>
            <w:tcBorders>
              <w:left w:val="single" w:sz="18" w:space="0" w:color="auto"/>
              <w:bottom w:val="single" w:sz="4" w:space="0" w:color="auto"/>
              <w:right w:val="single" w:sz="18" w:space="0" w:color="auto"/>
            </w:tcBorders>
            <w:shd w:val="clear" w:color="auto" w:fill="auto"/>
            <w:vAlign w:val="center"/>
          </w:tcPr>
          <w:p w:rsidR="001A63C6" w:rsidRPr="003410C7" w:rsidRDefault="001A63C6" w:rsidP="002253A3">
            <w:pPr>
              <w:jc w:val="center"/>
              <w:rPr>
                <w:rFonts w:cs="Tahoma"/>
                <w:sz w:val="14"/>
              </w:rPr>
            </w:pPr>
            <w:r w:rsidRPr="003410C7">
              <w:rPr>
                <w:rFonts w:cs="Tahoma"/>
                <w:sz w:val="14"/>
              </w:rPr>
              <w:t>50 crediti</w:t>
            </w:r>
          </w:p>
        </w:tc>
        <w:tc>
          <w:tcPr>
            <w:tcW w:w="450" w:type="dxa"/>
            <w:tcBorders>
              <w:left w:val="single" w:sz="18" w:space="0" w:color="auto"/>
              <w:bottom w:val="single" w:sz="4" w:space="0" w:color="auto"/>
            </w:tcBorders>
            <w:shd w:val="clear" w:color="auto" w:fill="auto"/>
            <w:vAlign w:val="center"/>
          </w:tcPr>
          <w:p w:rsidR="001A63C6" w:rsidRPr="003410C7" w:rsidRDefault="001A63C6" w:rsidP="002253A3">
            <w:pPr>
              <w:jc w:val="center"/>
              <w:rPr>
                <w:rFonts w:cs="Tahoma"/>
                <w:sz w:val="14"/>
              </w:rPr>
            </w:pPr>
            <w:r w:rsidRPr="003410C7">
              <w:rPr>
                <w:rFonts w:cs="Tahoma"/>
                <w:sz w:val="14"/>
              </w:rPr>
              <w:t>50</w:t>
            </w:r>
          </w:p>
        </w:tc>
        <w:tc>
          <w:tcPr>
            <w:tcW w:w="450" w:type="dxa"/>
            <w:tcBorders>
              <w:bottom w:val="single" w:sz="4" w:space="0" w:color="auto"/>
            </w:tcBorders>
            <w:shd w:val="clear" w:color="auto" w:fill="auto"/>
            <w:vAlign w:val="center"/>
          </w:tcPr>
          <w:p w:rsidR="001A63C6" w:rsidRPr="003410C7" w:rsidRDefault="001A63C6" w:rsidP="002253A3">
            <w:pPr>
              <w:jc w:val="center"/>
              <w:rPr>
                <w:rFonts w:cs="Tahoma"/>
                <w:sz w:val="13"/>
              </w:rPr>
            </w:pPr>
          </w:p>
        </w:tc>
        <w:tc>
          <w:tcPr>
            <w:tcW w:w="450" w:type="dxa"/>
            <w:tcBorders>
              <w:bottom w:val="single" w:sz="4" w:space="0" w:color="auto"/>
              <w:right w:val="single" w:sz="18" w:space="0" w:color="auto"/>
            </w:tcBorders>
            <w:shd w:val="clear" w:color="auto" w:fill="auto"/>
            <w:vAlign w:val="center"/>
          </w:tcPr>
          <w:p w:rsidR="001A63C6" w:rsidRPr="003410C7" w:rsidRDefault="001A63C6" w:rsidP="002253A3">
            <w:pPr>
              <w:jc w:val="center"/>
              <w:rPr>
                <w:rFonts w:cs="Tahoma"/>
                <w:sz w:val="13"/>
              </w:rPr>
            </w:pPr>
          </w:p>
        </w:tc>
        <w:tc>
          <w:tcPr>
            <w:tcW w:w="450" w:type="dxa"/>
            <w:tcBorders>
              <w:left w:val="single" w:sz="18" w:space="0" w:color="auto"/>
              <w:bottom w:val="single" w:sz="4" w:space="0" w:color="auto"/>
            </w:tcBorders>
            <w:shd w:val="clear" w:color="auto" w:fill="auto"/>
            <w:vAlign w:val="center"/>
          </w:tcPr>
          <w:p w:rsidR="001A63C6" w:rsidRPr="003410C7" w:rsidRDefault="001A63C6" w:rsidP="002253A3">
            <w:pPr>
              <w:jc w:val="center"/>
              <w:rPr>
                <w:rFonts w:cs="Tahoma"/>
                <w:sz w:val="13"/>
              </w:rPr>
            </w:pPr>
          </w:p>
        </w:tc>
        <w:tc>
          <w:tcPr>
            <w:tcW w:w="450" w:type="dxa"/>
            <w:tcBorders>
              <w:bottom w:val="single" w:sz="4" w:space="0" w:color="auto"/>
              <w:right w:val="single" w:sz="18" w:space="0" w:color="auto"/>
            </w:tcBorders>
            <w:shd w:val="clear" w:color="auto" w:fill="auto"/>
            <w:vAlign w:val="center"/>
          </w:tcPr>
          <w:p w:rsidR="001A63C6" w:rsidRPr="003410C7" w:rsidRDefault="001A63C6" w:rsidP="002253A3">
            <w:pPr>
              <w:jc w:val="center"/>
              <w:rPr>
                <w:rFonts w:cs="Tahoma"/>
                <w:sz w:val="14"/>
              </w:rPr>
            </w:pPr>
            <w:r w:rsidRPr="003410C7">
              <w:rPr>
                <w:rFonts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rsidR="001A63C6" w:rsidRPr="003410C7" w:rsidRDefault="001A63C6" w:rsidP="002253A3">
            <w:pPr>
              <w:jc w:val="center"/>
              <w:rPr>
                <w:rFonts w:cs="Tahoma"/>
                <w:sz w:val="14"/>
              </w:rPr>
            </w:pPr>
            <w:r w:rsidRPr="003410C7">
              <w:rPr>
                <w:rFonts w:cs="Tahoma"/>
                <w:sz w:val="13"/>
              </w:rPr>
              <w:t>P</w:t>
            </w:r>
          </w:p>
        </w:tc>
        <w:tc>
          <w:tcPr>
            <w:tcW w:w="450" w:type="dxa"/>
            <w:tcBorders>
              <w:bottom w:val="single" w:sz="4" w:space="0" w:color="auto"/>
            </w:tcBorders>
            <w:shd w:val="clear" w:color="auto" w:fill="auto"/>
            <w:vAlign w:val="center"/>
          </w:tcPr>
          <w:p w:rsidR="001A63C6" w:rsidRPr="003410C7" w:rsidRDefault="001A63C6" w:rsidP="002253A3">
            <w:pPr>
              <w:jc w:val="center"/>
              <w:rPr>
                <w:rFonts w:cs="Tahoma"/>
                <w:sz w:val="13"/>
              </w:rPr>
            </w:pPr>
          </w:p>
        </w:tc>
        <w:tc>
          <w:tcPr>
            <w:tcW w:w="540" w:type="dxa"/>
            <w:tcBorders>
              <w:bottom w:val="single" w:sz="4" w:space="0" w:color="auto"/>
            </w:tcBorders>
            <w:shd w:val="clear" w:color="auto" w:fill="auto"/>
            <w:vAlign w:val="center"/>
          </w:tcPr>
          <w:p w:rsidR="001A63C6" w:rsidRPr="003410C7" w:rsidRDefault="001A63C6" w:rsidP="002253A3">
            <w:pPr>
              <w:jc w:val="center"/>
              <w:rPr>
                <w:rFonts w:cs="Tahoma"/>
                <w:sz w:val="14"/>
              </w:rPr>
            </w:pPr>
            <w:r w:rsidRPr="003410C7">
              <w:rPr>
                <w:rFonts w:cs="Tahoma"/>
                <w:sz w:val="13"/>
              </w:rPr>
              <w:t>OL/OV</w:t>
            </w:r>
          </w:p>
        </w:tc>
      </w:tr>
      <w:tr w:rsidR="001A63C6" w:rsidRPr="003410C7" w:rsidTr="006B1F3F">
        <w:trPr>
          <w:trHeight w:val="145"/>
        </w:trPr>
        <w:tc>
          <w:tcPr>
            <w:tcW w:w="2734" w:type="dxa"/>
            <w:gridSpan w:val="2"/>
            <w:tcBorders>
              <w:bottom w:val="single" w:sz="4" w:space="0" w:color="auto"/>
            </w:tcBorders>
            <w:shd w:val="clear" w:color="auto" w:fill="FABF8F"/>
          </w:tcPr>
          <w:p w:rsidR="001A63C6" w:rsidRPr="003410C7" w:rsidRDefault="001A63C6" w:rsidP="00A442F1">
            <w:pPr>
              <w:pStyle w:val="ProductNames"/>
              <w:spacing w:beforeLines="20" w:before="48" w:afterLines="20" w:after="48"/>
              <w:rPr>
                <w:rFonts w:ascii="Tahoma" w:hAnsi="Tahoma" w:cs="Tahoma"/>
                <w:sz w:val="14"/>
              </w:rPr>
            </w:pPr>
            <w:bookmarkStart w:id="167" w:name="_Toc352234537"/>
            <w:r w:rsidRPr="003410C7">
              <w:rPr>
                <w:rFonts w:ascii="Tahoma" w:hAnsi="Tahoma" w:cs="Tahoma"/>
                <w:sz w:val="14"/>
              </w:rPr>
              <w:t>Bing Maps Mobile Asset Management NA w</w:t>
            </w:r>
            <w:r w:rsidR="00A442F1">
              <w:rPr>
                <w:rFonts w:ascii="Tahoma" w:hAnsi="Tahoma" w:cs="Tahoma"/>
                <w:sz w:val="14"/>
              </w:rPr>
              <w:t> </w:t>
            </w:r>
            <w:r w:rsidRPr="003410C7">
              <w:rPr>
                <w:rFonts w:ascii="Tahoma" w:hAnsi="Tahoma" w:cs="Tahoma"/>
                <w:sz w:val="14"/>
              </w:rPr>
              <w:t>routing Per Asset Monthly Sub</w:t>
            </w:r>
            <w:bookmarkEnd w:id="167"/>
          </w:p>
        </w:tc>
        <w:tc>
          <w:tcPr>
            <w:tcW w:w="450" w:type="dxa"/>
            <w:tcBorders>
              <w:bottom w:val="single" w:sz="4" w:space="0" w:color="auto"/>
            </w:tcBorders>
            <w:shd w:val="clear" w:color="auto" w:fill="FABF8F"/>
            <w:vAlign w:val="center"/>
          </w:tcPr>
          <w:p w:rsidR="001A63C6" w:rsidRPr="00214EC6" w:rsidRDefault="00FC1A4D" w:rsidP="002253A3">
            <w:pPr>
              <w:jc w:val="center"/>
              <w:rPr>
                <w:rFonts w:cs="Tahoma"/>
                <w:sz w:val="13"/>
                <w:szCs w:val="13"/>
              </w:rPr>
            </w:pPr>
            <w:hyperlink w:anchor="Srv_27BingMapsSvrandContentPack" w:history="1">
              <w:r w:rsidR="000D77F6" w:rsidRPr="00214EC6">
                <w:rPr>
                  <w:rStyle w:val="Hyperlink"/>
                  <w:rFonts w:cs="Tahoma"/>
                  <w:b/>
                  <w:sz w:val="13"/>
                  <w:szCs w:val="13"/>
                </w:rPr>
                <w:t>30</w:t>
              </w:r>
            </w:hyperlink>
          </w:p>
        </w:tc>
        <w:tc>
          <w:tcPr>
            <w:tcW w:w="450" w:type="dxa"/>
            <w:tcBorders>
              <w:bottom w:val="single" w:sz="4" w:space="0" w:color="auto"/>
            </w:tcBorders>
            <w:shd w:val="clear" w:color="auto" w:fill="FABF8F"/>
            <w:vAlign w:val="center"/>
          </w:tcPr>
          <w:p w:rsidR="001A63C6" w:rsidRPr="003410C7" w:rsidRDefault="001A63C6" w:rsidP="002253A3">
            <w:pPr>
              <w:jc w:val="center"/>
              <w:rPr>
                <w:rFonts w:cs="Tahoma"/>
                <w:sz w:val="14"/>
              </w:rPr>
            </w:pPr>
          </w:p>
        </w:tc>
        <w:tc>
          <w:tcPr>
            <w:tcW w:w="360" w:type="dxa"/>
            <w:tcBorders>
              <w:bottom w:val="single" w:sz="4" w:space="0" w:color="auto"/>
              <w:right w:val="single" w:sz="18" w:space="0" w:color="auto"/>
            </w:tcBorders>
            <w:shd w:val="clear" w:color="auto" w:fill="FABF8F"/>
            <w:vAlign w:val="center"/>
          </w:tcPr>
          <w:p w:rsidR="001A63C6" w:rsidRPr="003410C7" w:rsidRDefault="001A63C6" w:rsidP="002253A3">
            <w:pPr>
              <w:jc w:val="center"/>
              <w:rPr>
                <w:rFonts w:cs="Tahoma"/>
                <w:sz w:val="13"/>
              </w:rPr>
            </w:pPr>
          </w:p>
        </w:tc>
        <w:tc>
          <w:tcPr>
            <w:tcW w:w="2970" w:type="dxa"/>
            <w:gridSpan w:val="7"/>
            <w:tcBorders>
              <w:left w:val="single" w:sz="18" w:space="0" w:color="auto"/>
              <w:bottom w:val="single" w:sz="4" w:space="0" w:color="auto"/>
              <w:right w:val="single" w:sz="18" w:space="0" w:color="auto"/>
            </w:tcBorders>
            <w:shd w:val="clear" w:color="auto" w:fill="FABF8F"/>
            <w:vAlign w:val="center"/>
          </w:tcPr>
          <w:p w:rsidR="001A63C6" w:rsidRPr="003410C7" w:rsidRDefault="001A63C6" w:rsidP="002253A3">
            <w:pPr>
              <w:jc w:val="center"/>
              <w:rPr>
                <w:rFonts w:cs="Tahoma"/>
                <w:sz w:val="14"/>
              </w:rPr>
            </w:pPr>
            <w:r w:rsidRPr="003410C7">
              <w:rPr>
                <w:rFonts w:cs="Tahoma"/>
                <w:sz w:val="14"/>
              </w:rPr>
              <w:t>1 punto</w:t>
            </w:r>
          </w:p>
        </w:tc>
        <w:tc>
          <w:tcPr>
            <w:tcW w:w="450" w:type="dxa"/>
            <w:tcBorders>
              <w:left w:val="single" w:sz="18" w:space="0" w:color="auto"/>
              <w:bottom w:val="single" w:sz="4" w:space="0" w:color="auto"/>
            </w:tcBorders>
            <w:shd w:val="clear" w:color="auto" w:fill="FABF8F"/>
            <w:vAlign w:val="center"/>
          </w:tcPr>
          <w:p w:rsidR="001A63C6" w:rsidRPr="003410C7" w:rsidRDefault="001A63C6" w:rsidP="002253A3">
            <w:pPr>
              <w:jc w:val="center"/>
              <w:rPr>
                <w:rFonts w:cs="Tahoma"/>
                <w:sz w:val="14"/>
              </w:rPr>
            </w:pPr>
            <w:r w:rsidRPr="003410C7">
              <w:rPr>
                <w:rFonts w:cs="Tahoma"/>
                <w:sz w:val="14"/>
              </w:rPr>
              <w:t>1</w:t>
            </w:r>
          </w:p>
        </w:tc>
        <w:tc>
          <w:tcPr>
            <w:tcW w:w="450" w:type="dxa"/>
            <w:tcBorders>
              <w:bottom w:val="single" w:sz="4" w:space="0" w:color="auto"/>
            </w:tcBorders>
            <w:shd w:val="clear" w:color="auto" w:fill="FABF8F"/>
            <w:vAlign w:val="center"/>
          </w:tcPr>
          <w:p w:rsidR="001A63C6" w:rsidRPr="003410C7" w:rsidRDefault="001A63C6" w:rsidP="002253A3">
            <w:pPr>
              <w:jc w:val="center"/>
              <w:rPr>
                <w:rFonts w:cs="Tahoma"/>
                <w:sz w:val="13"/>
              </w:rPr>
            </w:pPr>
          </w:p>
        </w:tc>
        <w:tc>
          <w:tcPr>
            <w:tcW w:w="450" w:type="dxa"/>
            <w:tcBorders>
              <w:bottom w:val="single" w:sz="4" w:space="0" w:color="auto"/>
              <w:right w:val="single" w:sz="18" w:space="0" w:color="auto"/>
            </w:tcBorders>
            <w:shd w:val="clear" w:color="auto" w:fill="FABF8F"/>
            <w:vAlign w:val="center"/>
          </w:tcPr>
          <w:p w:rsidR="001A63C6" w:rsidRPr="003410C7" w:rsidRDefault="001A63C6" w:rsidP="002253A3">
            <w:pPr>
              <w:jc w:val="center"/>
              <w:rPr>
                <w:rFonts w:cs="Tahoma"/>
                <w:sz w:val="13"/>
              </w:rPr>
            </w:pPr>
          </w:p>
        </w:tc>
        <w:tc>
          <w:tcPr>
            <w:tcW w:w="450" w:type="dxa"/>
            <w:tcBorders>
              <w:left w:val="single" w:sz="18" w:space="0" w:color="auto"/>
              <w:bottom w:val="single" w:sz="4" w:space="0" w:color="auto"/>
            </w:tcBorders>
            <w:shd w:val="clear" w:color="auto" w:fill="FABF8F"/>
            <w:vAlign w:val="center"/>
          </w:tcPr>
          <w:p w:rsidR="001A63C6" w:rsidRPr="003410C7" w:rsidRDefault="001A63C6" w:rsidP="002253A3">
            <w:pPr>
              <w:jc w:val="center"/>
              <w:rPr>
                <w:rFonts w:cs="Tahoma"/>
                <w:sz w:val="13"/>
              </w:rPr>
            </w:pPr>
          </w:p>
        </w:tc>
        <w:tc>
          <w:tcPr>
            <w:tcW w:w="450" w:type="dxa"/>
            <w:tcBorders>
              <w:bottom w:val="single" w:sz="4" w:space="0" w:color="auto"/>
              <w:right w:val="single" w:sz="18" w:space="0" w:color="auto"/>
            </w:tcBorders>
            <w:shd w:val="clear" w:color="auto" w:fill="FABF8F"/>
            <w:vAlign w:val="center"/>
          </w:tcPr>
          <w:p w:rsidR="001A63C6" w:rsidRPr="003410C7" w:rsidRDefault="001A63C6" w:rsidP="002253A3">
            <w:pPr>
              <w:jc w:val="center"/>
              <w:rPr>
                <w:rFonts w:cs="Tahoma"/>
                <w:sz w:val="14"/>
              </w:rPr>
            </w:pPr>
            <w:r w:rsidRPr="003410C7">
              <w:rPr>
                <w:rFonts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3410C7" w:rsidRDefault="001A63C6" w:rsidP="002253A3">
            <w:pPr>
              <w:jc w:val="center"/>
              <w:rPr>
                <w:rFonts w:cs="Tahoma"/>
                <w:sz w:val="14"/>
              </w:rPr>
            </w:pPr>
            <w:r w:rsidRPr="003410C7">
              <w:rPr>
                <w:rFonts w:cs="Tahoma"/>
                <w:sz w:val="13"/>
              </w:rPr>
              <w:t>P</w:t>
            </w:r>
          </w:p>
        </w:tc>
        <w:tc>
          <w:tcPr>
            <w:tcW w:w="450" w:type="dxa"/>
            <w:tcBorders>
              <w:bottom w:val="single" w:sz="4" w:space="0" w:color="auto"/>
            </w:tcBorders>
            <w:shd w:val="clear" w:color="auto" w:fill="FABF8F"/>
            <w:vAlign w:val="center"/>
          </w:tcPr>
          <w:p w:rsidR="001A63C6" w:rsidRPr="003410C7" w:rsidRDefault="001A63C6" w:rsidP="002253A3">
            <w:pPr>
              <w:jc w:val="center"/>
              <w:rPr>
                <w:rFonts w:cs="Tahoma"/>
                <w:sz w:val="13"/>
              </w:rPr>
            </w:pPr>
          </w:p>
        </w:tc>
        <w:tc>
          <w:tcPr>
            <w:tcW w:w="540" w:type="dxa"/>
            <w:tcBorders>
              <w:bottom w:val="single" w:sz="4" w:space="0" w:color="auto"/>
            </w:tcBorders>
            <w:shd w:val="clear" w:color="auto" w:fill="FABF8F"/>
            <w:vAlign w:val="center"/>
          </w:tcPr>
          <w:p w:rsidR="001A63C6" w:rsidRPr="003410C7" w:rsidRDefault="001A63C6" w:rsidP="002253A3">
            <w:pPr>
              <w:jc w:val="center"/>
              <w:rPr>
                <w:rFonts w:cs="Tahoma"/>
                <w:sz w:val="14"/>
              </w:rPr>
            </w:pPr>
            <w:r w:rsidRPr="003410C7">
              <w:rPr>
                <w:rFonts w:cs="Tahoma"/>
                <w:sz w:val="13"/>
              </w:rPr>
              <w:t>OL/OV</w:t>
            </w:r>
          </w:p>
        </w:tc>
      </w:tr>
      <w:tr w:rsidR="001A63C6" w:rsidRPr="003410C7" w:rsidTr="006B1F3F">
        <w:trPr>
          <w:trHeight w:val="145"/>
        </w:trPr>
        <w:tc>
          <w:tcPr>
            <w:tcW w:w="2734" w:type="dxa"/>
            <w:gridSpan w:val="2"/>
            <w:tcBorders>
              <w:bottom w:val="single" w:sz="4" w:space="0" w:color="auto"/>
            </w:tcBorders>
            <w:shd w:val="clear" w:color="auto" w:fill="auto"/>
          </w:tcPr>
          <w:p w:rsidR="001A63C6" w:rsidRPr="003410C7" w:rsidRDefault="001A63C6" w:rsidP="003410C7">
            <w:pPr>
              <w:pStyle w:val="ProductNames"/>
              <w:spacing w:beforeLines="20" w:before="48" w:afterLines="20" w:after="48"/>
              <w:rPr>
                <w:rFonts w:ascii="Tahoma" w:hAnsi="Tahoma" w:cs="Tahoma"/>
                <w:sz w:val="14"/>
              </w:rPr>
            </w:pPr>
            <w:bookmarkStart w:id="168" w:name="_Toc352234538"/>
            <w:r w:rsidRPr="003410C7">
              <w:rPr>
                <w:rFonts w:ascii="Tahoma" w:hAnsi="Tahoma" w:cs="Tahoma"/>
                <w:sz w:val="14"/>
              </w:rPr>
              <w:t>Bing Maps Mobile Asset Management NA w/o routing Per Asset Monthly Sub</w:t>
            </w:r>
            <w:bookmarkEnd w:id="168"/>
          </w:p>
        </w:tc>
        <w:tc>
          <w:tcPr>
            <w:tcW w:w="450" w:type="dxa"/>
            <w:tcBorders>
              <w:bottom w:val="single" w:sz="4" w:space="0" w:color="auto"/>
            </w:tcBorders>
            <w:shd w:val="clear" w:color="auto" w:fill="auto"/>
            <w:vAlign w:val="center"/>
          </w:tcPr>
          <w:p w:rsidR="001A63C6" w:rsidRPr="00214EC6" w:rsidRDefault="00FC1A4D" w:rsidP="002253A3">
            <w:pPr>
              <w:jc w:val="center"/>
              <w:rPr>
                <w:rFonts w:cs="Tahoma"/>
                <w:sz w:val="13"/>
                <w:szCs w:val="13"/>
              </w:rPr>
            </w:pPr>
            <w:hyperlink w:anchor="Srv_27BingMapsSvrandContentPack" w:history="1">
              <w:r w:rsidR="000D77F6" w:rsidRPr="00214EC6">
                <w:rPr>
                  <w:rStyle w:val="Hyperlink"/>
                  <w:rFonts w:cs="Tahoma"/>
                  <w:b/>
                  <w:sz w:val="13"/>
                  <w:szCs w:val="13"/>
                </w:rPr>
                <w:t>30</w:t>
              </w:r>
            </w:hyperlink>
          </w:p>
        </w:tc>
        <w:tc>
          <w:tcPr>
            <w:tcW w:w="450" w:type="dxa"/>
            <w:tcBorders>
              <w:bottom w:val="single" w:sz="4" w:space="0" w:color="auto"/>
            </w:tcBorders>
            <w:shd w:val="clear" w:color="auto" w:fill="auto"/>
            <w:vAlign w:val="center"/>
          </w:tcPr>
          <w:p w:rsidR="001A63C6" w:rsidRPr="003410C7" w:rsidRDefault="001A63C6" w:rsidP="002253A3">
            <w:pPr>
              <w:jc w:val="center"/>
              <w:rPr>
                <w:rFonts w:cs="Tahoma"/>
                <w:sz w:val="14"/>
              </w:rPr>
            </w:pPr>
          </w:p>
        </w:tc>
        <w:tc>
          <w:tcPr>
            <w:tcW w:w="360" w:type="dxa"/>
            <w:tcBorders>
              <w:bottom w:val="single" w:sz="4" w:space="0" w:color="auto"/>
              <w:right w:val="single" w:sz="18" w:space="0" w:color="auto"/>
            </w:tcBorders>
            <w:shd w:val="clear" w:color="auto" w:fill="auto"/>
            <w:vAlign w:val="center"/>
          </w:tcPr>
          <w:p w:rsidR="001A63C6" w:rsidRPr="003410C7" w:rsidRDefault="001A63C6" w:rsidP="002253A3">
            <w:pPr>
              <w:jc w:val="center"/>
              <w:rPr>
                <w:rFonts w:cs="Tahoma"/>
                <w:sz w:val="13"/>
              </w:rPr>
            </w:pPr>
          </w:p>
        </w:tc>
        <w:tc>
          <w:tcPr>
            <w:tcW w:w="2970" w:type="dxa"/>
            <w:gridSpan w:val="7"/>
            <w:tcBorders>
              <w:left w:val="single" w:sz="18" w:space="0" w:color="auto"/>
              <w:bottom w:val="single" w:sz="4" w:space="0" w:color="auto"/>
              <w:right w:val="single" w:sz="18" w:space="0" w:color="auto"/>
            </w:tcBorders>
            <w:shd w:val="clear" w:color="auto" w:fill="auto"/>
            <w:vAlign w:val="center"/>
          </w:tcPr>
          <w:p w:rsidR="001A63C6" w:rsidRPr="003410C7" w:rsidRDefault="001A63C6" w:rsidP="002253A3">
            <w:pPr>
              <w:jc w:val="center"/>
              <w:rPr>
                <w:rFonts w:cs="Tahoma"/>
                <w:sz w:val="14"/>
              </w:rPr>
            </w:pPr>
            <w:r w:rsidRPr="003410C7">
              <w:rPr>
                <w:rFonts w:cs="Tahoma"/>
                <w:sz w:val="14"/>
              </w:rPr>
              <w:t>1 punto</w:t>
            </w:r>
          </w:p>
        </w:tc>
        <w:tc>
          <w:tcPr>
            <w:tcW w:w="450" w:type="dxa"/>
            <w:tcBorders>
              <w:left w:val="single" w:sz="18" w:space="0" w:color="auto"/>
              <w:bottom w:val="single" w:sz="4" w:space="0" w:color="auto"/>
            </w:tcBorders>
            <w:shd w:val="clear" w:color="auto" w:fill="auto"/>
            <w:vAlign w:val="center"/>
          </w:tcPr>
          <w:p w:rsidR="001A63C6" w:rsidRPr="003410C7" w:rsidRDefault="001A63C6" w:rsidP="002253A3">
            <w:pPr>
              <w:jc w:val="center"/>
              <w:rPr>
                <w:rFonts w:cs="Tahoma"/>
                <w:sz w:val="14"/>
              </w:rPr>
            </w:pPr>
            <w:r w:rsidRPr="003410C7">
              <w:rPr>
                <w:rFonts w:cs="Tahoma"/>
                <w:sz w:val="14"/>
              </w:rPr>
              <w:t>1</w:t>
            </w:r>
          </w:p>
        </w:tc>
        <w:tc>
          <w:tcPr>
            <w:tcW w:w="450" w:type="dxa"/>
            <w:tcBorders>
              <w:bottom w:val="single" w:sz="4" w:space="0" w:color="auto"/>
            </w:tcBorders>
            <w:shd w:val="clear" w:color="auto" w:fill="auto"/>
            <w:vAlign w:val="center"/>
          </w:tcPr>
          <w:p w:rsidR="001A63C6" w:rsidRPr="003410C7" w:rsidRDefault="001A63C6" w:rsidP="002253A3">
            <w:pPr>
              <w:jc w:val="center"/>
              <w:rPr>
                <w:rFonts w:cs="Tahoma"/>
                <w:sz w:val="13"/>
              </w:rPr>
            </w:pPr>
          </w:p>
        </w:tc>
        <w:tc>
          <w:tcPr>
            <w:tcW w:w="450" w:type="dxa"/>
            <w:tcBorders>
              <w:bottom w:val="single" w:sz="4" w:space="0" w:color="auto"/>
              <w:right w:val="single" w:sz="18" w:space="0" w:color="auto"/>
            </w:tcBorders>
            <w:shd w:val="clear" w:color="auto" w:fill="auto"/>
            <w:vAlign w:val="center"/>
          </w:tcPr>
          <w:p w:rsidR="001A63C6" w:rsidRPr="003410C7" w:rsidRDefault="001A63C6" w:rsidP="002253A3">
            <w:pPr>
              <w:jc w:val="center"/>
              <w:rPr>
                <w:rFonts w:cs="Tahoma"/>
                <w:sz w:val="13"/>
              </w:rPr>
            </w:pPr>
          </w:p>
        </w:tc>
        <w:tc>
          <w:tcPr>
            <w:tcW w:w="450" w:type="dxa"/>
            <w:tcBorders>
              <w:left w:val="single" w:sz="18" w:space="0" w:color="auto"/>
              <w:bottom w:val="single" w:sz="4" w:space="0" w:color="auto"/>
            </w:tcBorders>
            <w:shd w:val="clear" w:color="auto" w:fill="auto"/>
            <w:vAlign w:val="center"/>
          </w:tcPr>
          <w:p w:rsidR="001A63C6" w:rsidRPr="003410C7" w:rsidRDefault="001A63C6" w:rsidP="002253A3">
            <w:pPr>
              <w:jc w:val="center"/>
              <w:rPr>
                <w:rFonts w:cs="Tahoma"/>
                <w:sz w:val="13"/>
              </w:rPr>
            </w:pPr>
          </w:p>
        </w:tc>
        <w:tc>
          <w:tcPr>
            <w:tcW w:w="450" w:type="dxa"/>
            <w:tcBorders>
              <w:bottom w:val="single" w:sz="4" w:space="0" w:color="auto"/>
              <w:right w:val="single" w:sz="18" w:space="0" w:color="auto"/>
            </w:tcBorders>
            <w:shd w:val="clear" w:color="auto" w:fill="auto"/>
            <w:vAlign w:val="center"/>
          </w:tcPr>
          <w:p w:rsidR="001A63C6" w:rsidRPr="003410C7" w:rsidRDefault="001A63C6" w:rsidP="002253A3">
            <w:pPr>
              <w:jc w:val="center"/>
              <w:rPr>
                <w:rFonts w:cs="Tahoma"/>
                <w:sz w:val="14"/>
              </w:rPr>
            </w:pPr>
            <w:r w:rsidRPr="003410C7">
              <w:rPr>
                <w:rFonts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rsidR="001A63C6" w:rsidRPr="003410C7" w:rsidRDefault="001A63C6" w:rsidP="002253A3">
            <w:pPr>
              <w:jc w:val="center"/>
              <w:rPr>
                <w:rFonts w:cs="Tahoma"/>
                <w:sz w:val="14"/>
              </w:rPr>
            </w:pPr>
            <w:r w:rsidRPr="003410C7">
              <w:rPr>
                <w:rFonts w:cs="Tahoma"/>
                <w:sz w:val="13"/>
              </w:rPr>
              <w:t>P</w:t>
            </w:r>
          </w:p>
        </w:tc>
        <w:tc>
          <w:tcPr>
            <w:tcW w:w="450" w:type="dxa"/>
            <w:tcBorders>
              <w:bottom w:val="single" w:sz="4" w:space="0" w:color="auto"/>
            </w:tcBorders>
            <w:shd w:val="clear" w:color="auto" w:fill="auto"/>
            <w:vAlign w:val="center"/>
          </w:tcPr>
          <w:p w:rsidR="001A63C6" w:rsidRPr="003410C7" w:rsidRDefault="001A63C6" w:rsidP="002253A3">
            <w:pPr>
              <w:jc w:val="center"/>
              <w:rPr>
                <w:rFonts w:cs="Tahoma"/>
                <w:sz w:val="13"/>
              </w:rPr>
            </w:pPr>
          </w:p>
        </w:tc>
        <w:tc>
          <w:tcPr>
            <w:tcW w:w="540" w:type="dxa"/>
            <w:tcBorders>
              <w:bottom w:val="single" w:sz="4" w:space="0" w:color="auto"/>
            </w:tcBorders>
            <w:shd w:val="clear" w:color="auto" w:fill="auto"/>
            <w:vAlign w:val="center"/>
          </w:tcPr>
          <w:p w:rsidR="001A63C6" w:rsidRPr="003410C7" w:rsidRDefault="001A63C6" w:rsidP="002253A3">
            <w:pPr>
              <w:jc w:val="center"/>
              <w:rPr>
                <w:rFonts w:cs="Tahoma"/>
                <w:sz w:val="14"/>
              </w:rPr>
            </w:pPr>
            <w:r w:rsidRPr="003410C7">
              <w:rPr>
                <w:rFonts w:cs="Tahoma"/>
                <w:sz w:val="13"/>
              </w:rPr>
              <w:t>OL/OV</w:t>
            </w:r>
          </w:p>
        </w:tc>
      </w:tr>
      <w:tr w:rsidR="001A63C6" w:rsidRPr="003410C7" w:rsidTr="006B1F3F">
        <w:trPr>
          <w:trHeight w:val="145"/>
        </w:trPr>
        <w:tc>
          <w:tcPr>
            <w:tcW w:w="2734" w:type="dxa"/>
            <w:gridSpan w:val="2"/>
            <w:tcBorders>
              <w:bottom w:val="single" w:sz="4" w:space="0" w:color="auto"/>
            </w:tcBorders>
            <w:shd w:val="clear" w:color="auto" w:fill="FABF8F"/>
          </w:tcPr>
          <w:p w:rsidR="001A63C6" w:rsidRPr="003410C7" w:rsidRDefault="001A63C6" w:rsidP="003410C7">
            <w:pPr>
              <w:pStyle w:val="ProductNames"/>
              <w:spacing w:beforeLines="20" w:before="48" w:afterLines="20" w:after="48"/>
              <w:rPr>
                <w:rFonts w:ascii="Tahoma" w:hAnsi="Tahoma" w:cs="Tahoma"/>
                <w:sz w:val="14"/>
              </w:rPr>
            </w:pPr>
            <w:bookmarkStart w:id="169" w:name="_Toc352234539"/>
            <w:r w:rsidRPr="003410C7">
              <w:rPr>
                <w:rFonts w:ascii="Tahoma" w:hAnsi="Tahoma" w:cs="Tahoma"/>
                <w:sz w:val="14"/>
              </w:rPr>
              <w:t>Bing Maps Mobile Asset Management Europe w routing Per Asset Monthly Sub</w:t>
            </w:r>
            <w:bookmarkEnd w:id="169"/>
          </w:p>
        </w:tc>
        <w:tc>
          <w:tcPr>
            <w:tcW w:w="450" w:type="dxa"/>
            <w:tcBorders>
              <w:bottom w:val="single" w:sz="4" w:space="0" w:color="auto"/>
            </w:tcBorders>
            <w:shd w:val="clear" w:color="auto" w:fill="FABF8F"/>
            <w:vAlign w:val="center"/>
          </w:tcPr>
          <w:p w:rsidR="001A63C6" w:rsidRPr="00214EC6" w:rsidRDefault="00FC1A4D" w:rsidP="002253A3">
            <w:pPr>
              <w:jc w:val="center"/>
              <w:rPr>
                <w:rFonts w:cs="Tahoma"/>
                <w:sz w:val="13"/>
                <w:szCs w:val="13"/>
              </w:rPr>
            </w:pPr>
            <w:hyperlink w:anchor="Srv_27BingMapsSvrandContentPack" w:history="1">
              <w:r w:rsidR="000D77F6" w:rsidRPr="00214EC6">
                <w:rPr>
                  <w:rStyle w:val="Hyperlink"/>
                  <w:rFonts w:cs="Tahoma"/>
                  <w:b/>
                  <w:sz w:val="13"/>
                  <w:szCs w:val="13"/>
                </w:rPr>
                <w:t>30</w:t>
              </w:r>
            </w:hyperlink>
          </w:p>
        </w:tc>
        <w:tc>
          <w:tcPr>
            <w:tcW w:w="450" w:type="dxa"/>
            <w:tcBorders>
              <w:bottom w:val="single" w:sz="4" w:space="0" w:color="auto"/>
            </w:tcBorders>
            <w:shd w:val="clear" w:color="auto" w:fill="FABF8F"/>
            <w:vAlign w:val="center"/>
          </w:tcPr>
          <w:p w:rsidR="001A63C6" w:rsidRPr="003410C7" w:rsidRDefault="001A63C6" w:rsidP="002253A3">
            <w:pPr>
              <w:jc w:val="center"/>
              <w:rPr>
                <w:rFonts w:cs="Tahoma"/>
                <w:sz w:val="14"/>
              </w:rPr>
            </w:pPr>
          </w:p>
        </w:tc>
        <w:tc>
          <w:tcPr>
            <w:tcW w:w="360" w:type="dxa"/>
            <w:tcBorders>
              <w:bottom w:val="single" w:sz="4" w:space="0" w:color="auto"/>
              <w:right w:val="single" w:sz="18" w:space="0" w:color="auto"/>
            </w:tcBorders>
            <w:shd w:val="clear" w:color="auto" w:fill="FABF8F"/>
            <w:vAlign w:val="center"/>
          </w:tcPr>
          <w:p w:rsidR="001A63C6" w:rsidRPr="003410C7" w:rsidRDefault="001A63C6" w:rsidP="002253A3">
            <w:pPr>
              <w:jc w:val="center"/>
              <w:rPr>
                <w:rFonts w:cs="Tahoma"/>
                <w:sz w:val="13"/>
              </w:rPr>
            </w:pPr>
          </w:p>
        </w:tc>
        <w:tc>
          <w:tcPr>
            <w:tcW w:w="2970" w:type="dxa"/>
            <w:gridSpan w:val="7"/>
            <w:tcBorders>
              <w:left w:val="single" w:sz="18" w:space="0" w:color="auto"/>
              <w:bottom w:val="single" w:sz="4" w:space="0" w:color="auto"/>
              <w:right w:val="single" w:sz="18" w:space="0" w:color="auto"/>
            </w:tcBorders>
            <w:shd w:val="clear" w:color="auto" w:fill="FABF8F"/>
            <w:vAlign w:val="center"/>
          </w:tcPr>
          <w:p w:rsidR="001A63C6" w:rsidRPr="003410C7" w:rsidRDefault="001A63C6" w:rsidP="002253A3">
            <w:pPr>
              <w:jc w:val="center"/>
              <w:rPr>
                <w:rFonts w:cs="Tahoma"/>
                <w:sz w:val="14"/>
              </w:rPr>
            </w:pPr>
            <w:r w:rsidRPr="003410C7">
              <w:rPr>
                <w:rFonts w:cs="Tahoma"/>
                <w:sz w:val="14"/>
              </w:rPr>
              <w:t>1 punto</w:t>
            </w:r>
          </w:p>
        </w:tc>
        <w:tc>
          <w:tcPr>
            <w:tcW w:w="450" w:type="dxa"/>
            <w:tcBorders>
              <w:left w:val="single" w:sz="18" w:space="0" w:color="auto"/>
              <w:bottom w:val="single" w:sz="4" w:space="0" w:color="auto"/>
            </w:tcBorders>
            <w:shd w:val="clear" w:color="auto" w:fill="FABF8F"/>
            <w:vAlign w:val="center"/>
          </w:tcPr>
          <w:p w:rsidR="001A63C6" w:rsidRPr="003410C7" w:rsidRDefault="001A63C6" w:rsidP="002253A3">
            <w:pPr>
              <w:jc w:val="center"/>
              <w:rPr>
                <w:rFonts w:cs="Tahoma"/>
                <w:sz w:val="14"/>
              </w:rPr>
            </w:pPr>
            <w:r w:rsidRPr="003410C7">
              <w:rPr>
                <w:rFonts w:cs="Tahoma"/>
                <w:sz w:val="14"/>
              </w:rPr>
              <w:t>1</w:t>
            </w:r>
          </w:p>
        </w:tc>
        <w:tc>
          <w:tcPr>
            <w:tcW w:w="450" w:type="dxa"/>
            <w:tcBorders>
              <w:bottom w:val="single" w:sz="4" w:space="0" w:color="auto"/>
            </w:tcBorders>
            <w:shd w:val="clear" w:color="auto" w:fill="FABF8F"/>
            <w:vAlign w:val="center"/>
          </w:tcPr>
          <w:p w:rsidR="001A63C6" w:rsidRPr="003410C7" w:rsidRDefault="001A63C6" w:rsidP="002253A3">
            <w:pPr>
              <w:jc w:val="center"/>
              <w:rPr>
                <w:rFonts w:cs="Tahoma"/>
                <w:sz w:val="13"/>
              </w:rPr>
            </w:pPr>
          </w:p>
        </w:tc>
        <w:tc>
          <w:tcPr>
            <w:tcW w:w="450" w:type="dxa"/>
            <w:tcBorders>
              <w:bottom w:val="single" w:sz="4" w:space="0" w:color="auto"/>
              <w:right w:val="single" w:sz="18" w:space="0" w:color="auto"/>
            </w:tcBorders>
            <w:shd w:val="clear" w:color="auto" w:fill="FABF8F"/>
            <w:vAlign w:val="center"/>
          </w:tcPr>
          <w:p w:rsidR="001A63C6" w:rsidRPr="003410C7" w:rsidRDefault="001A63C6" w:rsidP="002253A3">
            <w:pPr>
              <w:jc w:val="center"/>
              <w:rPr>
                <w:rFonts w:cs="Tahoma"/>
                <w:sz w:val="13"/>
              </w:rPr>
            </w:pPr>
          </w:p>
        </w:tc>
        <w:tc>
          <w:tcPr>
            <w:tcW w:w="450" w:type="dxa"/>
            <w:tcBorders>
              <w:left w:val="single" w:sz="18" w:space="0" w:color="auto"/>
              <w:bottom w:val="single" w:sz="4" w:space="0" w:color="auto"/>
            </w:tcBorders>
            <w:shd w:val="clear" w:color="auto" w:fill="FABF8F"/>
            <w:vAlign w:val="center"/>
          </w:tcPr>
          <w:p w:rsidR="001A63C6" w:rsidRPr="003410C7" w:rsidRDefault="001A63C6" w:rsidP="002253A3">
            <w:pPr>
              <w:jc w:val="center"/>
              <w:rPr>
                <w:rFonts w:cs="Tahoma"/>
                <w:sz w:val="13"/>
              </w:rPr>
            </w:pPr>
          </w:p>
        </w:tc>
        <w:tc>
          <w:tcPr>
            <w:tcW w:w="450" w:type="dxa"/>
            <w:tcBorders>
              <w:bottom w:val="single" w:sz="4" w:space="0" w:color="auto"/>
              <w:right w:val="single" w:sz="18" w:space="0" w:color="auto"/>
            </w:tcBorders>
            <w:shd w:val="clear" w:color="auto" w:fill="FABF8F"/>
            <w:vAlign w:val="center"/>
          </w:tcPr>
          <w:p w:rsidR="001A63C6" w:rsidRPr="003410C7" w:rsidRDefault="001A63C6" w:rsidP="002253A3">
            <w:pPr>
              <w:jc w:val="center"/>
              <w:rPr>
                <w:rFonts w:cs="Tahoma"/>
                <w:sz w:val="14"/>
              </w:rPr>
            </w:pPr>
            <w:r w:rsidRPr="003410C7">
              <w:rPr>
                <w:rFonts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3410C7" w:rsidRDefault="001A63C6" w:rsidP="002253A3">
            <w:pPr>
              <w:jc w:val="center"/>
              <w:rPr>
                <w:rFonts w:cs="Tahoma"/>
                <w:sz w:val="14"/>
              </w:rPr>
            </w:pPr>
            <w:r w:rsidRPr="003410C7">
              <w:rPr>
                <w:rFonts w:cs="Tahoma"/>
                <w:sz w:val="13"/>
              </w:rPr>
              <w:t>P</w:t>
            </w:r>
          </w:p>
        </w:tc>
        <w:tc>
          <w:tcPr>
            <w:tcW w:w="450" w:type="dxa"/>
            <w:tcBorders>
              <w:bottom w:val="single" w:sz="4" w:space="0" w:color="auto"/>
            </w:tcBorders>
            <w:shd w:val="clear" w:color="auto" w:fill="FABF8F"/>
            <w:vAlign w:val="center"/>
          </w:tcPr>
          <w:p w:rsidR="001A63C6" w:rsidRPr="003410C7" w:rsidRDefault="001A63C6" w:rsidP="002253A3">
            <w:pPr>
              <w:jc w:val="center"/>
              <w:rPr>
                <w:rFonts w:cs="Tahoma"/>
                <w:sz w:val="13"/>
              </w:rPr>
            </w:pPr>
          </w:p>
        </w:tc>
        <w:tc>
          <w:tcPr>
            <w:tcW w:w="540" w:type="dxa"/>
            <w:tcBorders>
              <w:bottom w:val="single" w:sz="4" w:space="0" w:color="auto"/>
            </w:tcBorders>
            <w:shd w:val="clear" w:color="auto" w:fill="FABF8F"/>
            <w:vAlign w:val="center"/>
          </w:tcPr>
          <w:p w:rsidR="001A63C6" w:rsidRPr="003410C7" w:rsidRDefault="001A63C6" w:rsidP="002253A3">
            <w:pPr>
              <w:jc w:val="center"/>
              <w:rPr>
                <w:rFonts w:cs="Tahoma"/>
                <w:sz w:val="14"/>
              </w:rPr>
            </w:pPr>
            <w:r w:rsidRPr="003410C7">
              <w:rPr>
                <w:rFonts w:cs="Tahoma"/>
                <w:sz w:val="13"/>
              </w:rPr>
              <w:t>OL/OV</w:t>
            </w:r>
          </w:p>
        </w:tc>
      </w:tr>
      <w:tr w:rsidR="001A63C6" w:rsidRPr="003410C7" w:rsidTr="006B1F3F">
        <w:trPr>
          <w:trHeight w:val="145"/>
        </w:trPr>
        <w:tc>
          <w:tcPr>
            <w:tcW w:w="2734" w:type="dxa"/>
            <w:gridSpan w:val="2"/>
            <w:tcBorders>
              <w:bottom w:val="single" w:sz="4" w:space="0" w:color="auto"/>
            </w:tcBorders>
            <w:shd w:val="clear" w:color="auto" w:fill="auto"/>
          </w:tcPr>
          <w:p w:rsidR="001A63C6" w:rsidRPr="003410C7" w:rsidRDefault="001A63C6" w:rsidP="003410C7">
            <w:pPr>
              <w:pStyle w:val="ProductNames"/>
              <w:spacing w:beforeLines="20" w:before="48" w:afterLines="20" w:after="48"/>
              <w:rPr>
                <w:rFonts w:ascii="Tahoma" w:hAnsi="Tahoma" w:cs="Tahoma"/>
                <w:sz w:val="14"/>
              </w:rPr>
            </w:pPr>
            <w:bookmarkStart w:id="170" w:name="_Toc352234540"/>
            <w:r w:rsidRPr="003410C7">
              <w:rPr>
                <w:rFonts w:ascii="Tahoma" w:hAnsi="Tahoma" w:cs="Tahoma"/>
                <w:sz w:val="14"/>
              </w:rPr>
              <w:t>Bing Maps Mobile Asset Management Europe w/o routing Per Asset Monthly Sub</w:t>
            </w:r>
            <w:bookmarkEnd w:id="170"/>
          </w:p>
        </w:tc>
        <w:tc>
          <w:tcPr>
            <w:tcW w:w="450" w:type="dxa"/>
            <w:tcBorders>
              <w:bottom w:val="single" w:sz="4" w:space="0" w:color="auto"/>
            </w:tcBorders>
            <w:shd w:val="clear" w:color="auto" w:fill="auto"/>
            <w:vAlign w:val="center"/>
          </w:tcPr>
          <w:p w:rsidR="001A63C6" w:rsidRPr="00214EC6" w:rsidRDefault="00FC1A4D" w:rsidP="002253A3">
            <w:pPr>
              <w:jc w:val="center"/>
              <w:rPr>
                <w:rFonts w:cs="Tahoma"/>
                <w:sz w:val="13"/>
                <w:szCs w:val="13"/>
              </w:rPr>
            </w:pPr>
            <w:hyperlink w:anchor="Srv_27BingMapsSvrandContentPack" w:history="1">
              <w:r w:rsidR="000D77F6" w:rsidRPr="00214EC6">
                <w:rPr>
                  <w:rStyle w:val="Hyperlink"/>
                  <w:rFonts w:cs="Tahoma"/>
                  <w:b/>
                  <w:sz w:val="13"/>
                  <w:szCs w:val="13"/>
                </w:rPr>
                <w:t>30</w:t>
              </w:r>
            </w:hyperlink>
          </w:p>
        </w:tc>
        <w:tc>
          <w:tcPr>
            <w:tcW w:w="450" w:type="dxa"/>
            <w:tcBorders>
              <w:bottom w:val="single" w:sz="4" w:space="0" w:color="auto"/>
            </w:tcBorders>
            <w:shd w:val="clear" w:color="auto" w:fill="auto"/>
            <w:vAlign w:val="center"/>
          </w:tcPr>
          <w:p w:rsidR="001A63C6" w:rsidRPr="003410C7" w:rsidRDefault="001A63C6" w:rsidP="002253A3">
            <w:pPr>
              <w:jc w:val="center"/>
              <w:rPr>
                <w:rFonts w:cs="Tahoma"/>
                <w:sz w:val="14"/>
              </w:rPr>
            </w:pPr>
          </w:p>
        </w:tc>
        <w:tc>
          <w:tcPr>
            <w:tcW w:w="360" w:type="dxa"/>
            <w:tcBorders>
              <w:bottom w:val="single" w:sz="4" w:space="0" w:color="auto"/>
              <w:right w:val="single" w:sz="18" w:space="0" w:color="auto"/>
            </w:tcBorders>
            <w:shd w:val="clear" w:color="auto" w:fill="auto"/>
            <w:vAlign w:val="center"/>
          </w:tcPr>
          <w:p w:rsidR="001A63C6" w:rsidRPr="003410C7" w:rsidRDefault="001A63C6" w:rsidP="002253A3">
            <w:pPr>
              <w:jc w:val="center"/>
              <w:rPr>
                <w:rFonts w:cs="Tahoma"/>
                <w:sz w:val="13"/>
              </w:rPr>
            </w:pPr>
          </w:p>
        </w:tc>
        <w:tc>
          <w:tcPr>
            <w:tcW w:w="2970" w:type="dxa"/>
            <w:gridSpan w:val="7"/>
            <w:tcBorders>
              <w:left w:val="single" w:sz="18" w:space="0" w:color="auto"/>
              <w:bottom w:val="single" w:sz="4" w:space="0" w:color="auto"/>
              <w:right w:val="single" w:sz="18" w:space="0" w:color="auto"/>
            </w:tcBorders>
            <w:shd w:val="clear" w:color="auto" w:fill="auto"/>
            <w:vAlign w:val="center"/>
          </w:tcPr>
          <w:p w:rsidR="001A63C6" w:rsidRPr="003410C7" w:rsidRDefault="001A63C6" w:rsidP="002253A3">
            <w:pPr>
              <w:jc w:val="center"/>
              <w:rPr>
                <w:rFonts w:cs="Tahoma"/>
                <w:sz w:val="14"/>
              </w:rPr>
            </w:pPr>
            <w:r w:rsidRPr="003410C7">
              <w:rPr>
                <w:rFonts w:cs="Tahoma"/>
                <w:sz w:val="14"/>
              </w:rPr>
              <w:t>1 punto</w:t>
            </w:r>
          </w:p>
        </w:tc>
        <w:tc>
          <w:tcPr>
            <w:tcW w:w="450" w:type="dxa"/>
            <w:tcBorders>
              <w:left w:val="single" w:sz="18" w:space="0" w:color="auto"/>
              <w:bottom w:val="single" w:sz="4" w:space="0" w:color="auto"/>
            </w:tcBorders>
            <w:shd w:val="clear" w:color="auto" w:fill="auto"/>
            <w:vAlign w:val="center"/>
          </w:tcPr>
          <w:p w:rsidR="001A63C6" w:rsidRPr="003410C7" w:rsidRDefault="001A63C6" w:rsidP="002253A3">
            <w:pPr>
              <w:jc w:val="center"/>
              <w:rPr>
                <w:rFonts w:cs="Tahoma"/>
                <w:sz w:val="14"/>
              </w:rPr>
            </w:pPr>
            <w:r w:rsidRPr="003410C7">
              <w:rPr>
                <w:rFonts w:cs="Tahoma"/>
                <w:sz w:val="14"/>
              </w:rPr>
              <w:t>1</w:t>
            </w:r>
          </w:p>
        </w:tc>
        <w:tc>
          <w:tcPr>
            <w:tcW w:w="450" w:type="dxa"/>
            <w:tcBorders>
              <w:bottom w:val="single" w:sz="4" w:space="0" w:color="auto"/>
            </w:tcBorders>
            <w:shd w:val="clear" w:color="auto" w:fill="auto"/>
            <w:vAlign w:val="center"/>
          </w:tcPr>
          <w:p w:rsidR="001A63C6" w:rsidRPr="003410C7" w:rsidRDefault="001A63C6" w:rsidP="002253A3">
            <w:pPr>
              <w:jc w:val="center"/>
              <w:rPr>
                <w:rFonts w:cs="Tahoma"/>
                <w:sz w:val="13"/>
              </w:rPr>
            </w:pPr>
          </w:p>
        </w:tc>
        <w:tc>
          <w:tcPr>
            <w:tcW w:w="450" w:type="dxa"/>
            <w:tcBorders>
              <w:bottom w:val="single" w:sz="4" w:space="0" w:color="auto"/>
              <w:right w:val="single" w:sz="18" w:space="0" w:color="auto"/>
            </w:tcBorders>
            <w:shd w:val="clear" w:color="auto" w:fill="auto"/>
            <w:vAlign w:val="center"/>
          </w:tcPr>
          <w:p w:rsidR="001A63C6" w:rsidRPr="003410C7" w:rsidRDefault="001A63C6" w:rsidP="002253A3">
            <w:pPr>
              <w:jc w:val="center"/>
              <w:rPr>
                <w:rFonts w:cs="Tahoma"/>
                <w:sz w:val="13"/>
              </w:rPr>
            </w:pPr>
          </w:p>
        </w:tc>
        <w:tc>
          <w:tcPr>
            <w:tcW w:w="450" w:type="dxa"/>
            <w:tcBorders>
              <w:left w:val="single" w:sz="18" w:space="0" w:color="auto"/>
              <w:bottom w:val="single" w:sz="4" w:space="0" w:color="auto"/>
            </w:tcBorders>
            <w:shd w:val="clear" w:color="auto" w:fill="auto"/>
            <w:vAlign w:val="center"/>
          </w:tcPr>
          <w:p w:rsidR="001A63C6" w:rsidRPr="003410C7" w:rsidRDefault="001A63C6" w:rsidP="002253A3">
            <w:pPr>
              <w:jc w:val="center"/>
              <w:rPr>
                <w:rFonts w:cs="Tahoma"/>
                <w:sz w:val="13"/>
              </w:rPr>
            </w:pPr>
          </w:p>
        </w:tc>
        <w:tc>
          <w:tcPr>
            <w:tcW w:w="450" w:type="dxa"/>
            <w:tcBorders>
              <w:bottom w:val="single" w:sz="4" w:space="0" w:color="auto"/>
              <w:right w:val="single" w:sz="18" w:space="0" w:color="auto"/>
            </w:tcBorders>
            <w:shd w:val="clear" w:color="auto" w:fill="auto"/>
            <w:vAlign w:val="center"/>
          </w:tcPr>
          <w:p w:rsidR="001A63C6" w:rsidRPr="003410C7" w:rsidRDefault="001A63C6" w:rsidP="002253A3">
            <w:pPr>
              <w:jc w:val="center"/>
              <w:rPr>
                <w:rFonts w:cs="Tahoma"/>
                <w:sz w:val="14"/>
              </w:rPr>
            </w:pPr>
            <w:r w:rsidRPr="003410C7">
              <w:rPr>
                <w:rFonts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rsidR="001A63C6" w:rsidRPr="003410C7" w:rsidRDefault="001A63C6" w:rsidP="002253A3">
            <w:pPr>
              <w:jc w:val="center"/>
              <w:rPr>
                <w:rFonts w:cs="Tahoma"/>
                <w:sz w:val="14"/>
              </w:rPr>
            </w:pPr>
            <w:r w:rsidRPr="003410C7">
              <w:rPr>
                <w:rFonts w:cs="Tahoma"/>
                <w:sz w:val="13"/>
              </w:rPr>
              <w:t>P</w:t>
            </w:r>
          </w:p>
        </w:tc>
        <w:tc>
          <w:tcPr>
            <w:tcW w:w="450" w:type="dxa"/>
            <w:tcBorders>
              <w:bottom w:val="single" w:sz="4" w:space="0" w:color="auto"/>
            </w:tcBorders>
            <w:shd w:val="clear" w:color="auto" w:fill="auto"/>
            <w:vAlign w:val="center"/>
          </w:tcPr>
          <w:p w:rsidR="001A63C6" w:rsidRPr="003410C7" w:rsidRDefault="001A63C6" w:rsidP="002253A3">
            <w:pPr>
              <w:jc w:val="center"/>
              <w:rPr>
                <w:rFonts w:cs="Tahoma"/>
                <w:sz w:val="13"/>
              </w:rPr>
            </w:pPr>
          </w:p>
        </w:tc>
        <w:tc>
          <w:tcPr>
            <w:tcW w:w="540" w:type="dxa"/>
            <w:tcBorders>
              <w:bottom w:val="single" w:sz="4" w:space="0" w:color="auto"/>
            </w:tcBorders>
            <w:shd w:val="clear" w:color="auto" w:fill="auto"/>
            <w:vAlign w:val="center"/>
          </w:tcPr>
          <w:p w:rsidR="001A63C6" w:rsidRPr="003410C7" w:rsidRDefault="001A63C6" w:rsidP="002253A3">
            <w:pPr>
              <w:jc w:val="center"/>
              <w:rPr>
                <w:rFonts w:cs="Tahoma"/>
                <w:sz w:val="14"/>
              </w:rPr>
            </w:pPr>
            <w:r w:rsidRPr="003410C7">
              <w:rPr>
                <w:rFonts w:cs="Tahoma"/>
                <w:sz w:val="13"/>
              </w:rPr>
              <w:t>OL/OV</w:t>
            </w:r>
          </w:p>
        </w:tc>
      </w:tr>
      <w:tr w:rsidR="00EF228F" w:rsidRPr="003410C7" w:rsidTr="006B1F3F">
        <w:trPr>
          <w:trHeight w:val="145"/>
        </w:trPr>
        <w:tc>
          <w:tcPr>
            <w:tcW w:w="2734" w:type="dxa"/>
            <w:gridSpan w:val="2"/>
            <w:tcBorders>
              <w:bottom w:val="single" w:sz="4" w:space="0" w:color="auto"/>
            </w:tcBorders>
            <w:shd w:val="clear" w:color="auto" w:fill="FABF8F"/>
          </w:tcPr>
          <w:p w:rsidR="001A63C6" w:rsidRPr="003410C7" w:rsidRDefault="001A63C6" w:rsidP="003410C7">
            <w:pPr>
              <w:pStyle w:val="ProductNames"/>
              <w:spacing w:beforeLines="20" w:before="48" w:afterLines="20" w:after="48"/>
              <w:rPr>
                <w:rFonts w:ascii="Tahoma" w:hAnsi="Tahoma"/>
                <w:sz w:val="14"/>
              </w:rPr>
            </w:pPr>
            <w:bookmarkStart w:id="171" w:name="_Toc336337910"/>
            <w:bookmarkStart w:id="172" w:name="_Toc352234541"/>
            <w:r w:rsidRPr="003410C7">
              <w:rPr>
                <w:rFonts w:ascii="Tahoma" w:hAnsi="Tahoma" w:cs="Tahoma"/>
                <w:sz w:val="14"/>
              </w:rPr>
              <w:t>CAL per Bing Maps Server</w:t>
            </w:r>
            <w:bookmarkEnd w:id="171"/>
            <w:bookmarkEnd w:id="172"/>
          </w:p>
        </w:tc>
        <w:tc>
          <w:tcPr>
            <w:tcW w:w="450" w:type="dxa"/>
            <w:tcBorders>
              <w:bottom w:val="single" w:sz="4" w:space="0" w:color="auto"/>
            </w:tcBorders>
            <w:shd w:val="clear" w:color="auto" w:fill="FABF8F"/>
            <w:vAlign w:val="center"/>
          </w:tcPr>
          <w:p w:rsidR="001A63C6" w:rsidRPr="00214EC6" w:rsidRDefault="00FC1A4D" w:rsidP="002253A3">
            <w:pPr>
              <w:jc w:val="center"/>
              <w:rPr>
                <w:rStyle w:val="EndnoteReference"/>
                <w:rFonts w:ascii="Tahoma" w:hAnsi="Tahoma" w:cs="Tahoma"/>
                <w:b w:val="0"/>
                <w:sz w:val="13"/>
                <w:szCs w:val="13"/>
                <w:u w:val="single"/>
              </w:rPr>
            </w:pPr>
            <w:hyperlink w:anchor="Srv_27BingMapsSvrandContentPack" w:history="1">
              <w:r w:rsidR="000D77F6" w:rsidRPr="00214EC6">
                <w:rPr>
                  <w:rStyle w:val="Hyperlink"/>
                  <w:rFonts w:cs="Tahoma"/>
                  <w:b/>
                  <w:sz w:val="13"/>
                  <w:szCs w:val="13"/>
                </w:rPr>
                <w:t>30</w:t>
              </w:r>
            </w:hyperlink>
          </w:p>
        </w:tc>
        <w:tc>
          <w:tcPr>
            <w:tcW w:w="450" w:type="dxa"/>
            <w:tcBorders>
              <w:bottom w:val="single" w:sz="4" w:space="0" w:color="auto"/>
            </w:tcBorders>
            <w:shd w:val="clear" w:color="auto" w:fill="FABF8F"/>
          </w:tcPr>
          <w:p w:rsidR="001A63C6" w:rsidRPr="003410C7" w:rsidRDefault="001A63C6" w:rsidP="002253A3">
            <w:pPr>
              <w:jc w:val="center"/>
              <w:rPr>
                <w:rFonts w:cs="Tahoma"/>
                <w:sz w:val="13"/>
              </w:rPr>
            </w:pPr>
            <w:r w:rsidRPr="003410C7">
              <w:rPr>
                <w:rFonts w:cs="Tahoma"/>
                <w:sz w:val="13"/>
              </w:rPr>
              <w:t>08/09</w:t>
            </w:r>
          </w:p>
        </w:tc>
        <w:tc>
          <w:tcPr>
            <w:tcW w:w="360" w:type="dxa"/>
            <w:tcBorders>
              <w:bottom w:val="single" w:sz="4" w:space="0" w:color="auto"/>
              <w:right w:val="single" w:sz="18" w:space="0" w:color="auto"/>
            </w:tcBorders>
            <w:shd w:val="clear" w:color="auto" w:fill="FABF8F"/>
            <w:vAlign w:val="center"/>
          </w:tcPr>
          <w:p w:rsidR="001A63C6" w:rsidRPr="003410C7" w:rsidRDefault="001A63C6" w:rsidP="002253A3">
            <w:pPr>
              <w:jc w:val="center"/>
              <w:rPr>
                <w:rFonts w:cs="Tahoma"/>
                <w:sz w:val="13"/>
              </w:rPr>
            </w:pPr>
          </w:p>
        </w:tc>
        <w:tc>
          <w:tcPr>
            <w:tcW w:w="2970" w:type="dxa"/>
            <w:gridSpan w:val="7"/>
            <w:tcBorders>
              <w:left w:val="single" w:sz="18" w:space="0" w:color="auto"/>
              <w:bottom w:val="single" w:sz="4" w:space="0" w:color="auto"/>
              <w:right w:val="single" w:sz="18" w:space="0" w:color="auto"/>
            </w:tcBorders>
            <w:shd w:val="clear" w:color="auto" w:fill="FABF8F"/>
            <w:vAlign w:val="center"/>
          </w:tcPr>
          <w:p w:rsidR="001A63C6" w:rsidRPr="003410C7" w:rsidRDefault="001A63C6" w:rsidP="002253A3">
            <w:pPr>
              <w:jc w:val="center"/>
              <w:rPr>
                <w:rFonts w:cs="Tahoma"/>
                <w:sz w:val="13"/>
              </w:rPr>
            </w:pPr>
            <w:r w:rsidRPr="003410C7">
              <w:rPr>
                <w:rFonts w:cs="Tahoma"/>
                <w:sz w:val="13"/>
              </w:rPr>
              <w:t>1 punto</w:t>
            </w:r>
          </w:p>
        </w:tc>
        <w:tc>
          <w:tcPr>
            <w:tcW w:w="450" w:type="dxa"/>
            <w:tcBorders>
              <w:left w:val="single" w:sz="18" w:space="0" w:color="auto"/>
              <w:bottom w:val="single" w:sz="4" w:space="0" w:color="auto"/>
            </w:tcBorders>
            <w:shd w:val="clear" w:color="auto" w:fill="FABF8F"/>
            <w:vAlign w:val="center"/>
          </w:tcPr>
          <w:p w:rsidR="001A63C6" w:rsidRPr="003410C7" w:rsidRDefault="001A63C6" w:rsidP="002253A3">
            <w:pPr>
              <w:jc w:val="center"/>
              <w:rPr>
                <w:rFonts w:cs="Tahoma"/>
                <w:sz w:val="13"/>
              </w:rPr>
            </w:pPr>
            <w:r w:rsidRPr="003410C7">
              <w:rPr>
                <w:rFonts w:cs="Tahoma"/>
                <w:sz w:val="13"/>
              </w:rPr>
              <w:t>1</w:t>
            </w:r>
          </w:p>
        </w:tc>
        <w:tc>
          <w:tcPr>
            <w:tcW w:w="450" w:type="dxa"/>
            <w:tcBorders>
              <w:bottom w:val="single" w:sz="4" w:space="0" w:color="auto"/>
            </w:tcBorders>
            <w:shd w:val="clear" w:color="auto" w:fill="FABF8F"/>
            <w:vAlign w:val="center"/>
          </w:tcPr>
          <w:p w:rsidR="001A63C6" w:rsidRPr="003410C7" w:rsidRDefault="001A63C6" w:rsidP="002253A3">
            <w:pPr>
              <w:jc w:val="center"/>
              <w:rPr>
                <w:rFonts w:cs="Tahoma"/>
                <w:sz w:val="13"/>
              </w:rPr>
            </w:pPr>
          </w:p>
        </w:tc>
        <w:tc>
          <w:tcPr>
            <w:tcW w:w="450" w:type="dxa"/>
            <w:tcBorders>
              <w:bottom w:val="single" w:sz="4" w:space="0" w:color="auto"/>
              <w:right w:val="single" w:sz="18" w:space="0" w:color="auto"/>
            </w:tcBorders>
            <w:shd w:val="clear" w:color="auto" w:fill="FABF8F"/>
            <w:vAlign w:val="center"/>
          </w:tcPr>
          <w:p w:rsidR="001A63C6" w:rsidRPr="003410C7" w:rsidRDefault="001A63C6" w:rsidP="002253A3">
            <w:pPr>
              <w:jc w:val="center"/>
              <w:rPr>
                <w:rFonts w:cs="Tahoma"/>
                <w:sz w:val="13"/>
              </w:rPr>
            </w:pPr>
          </w:p>
        </w:tc>
        <w:tc>
          <w:tcPr>
            <w:tcW w:w="450" w:type="dxa"/>
            <w:tcBorders>
              <w:left w:val="single" w:sz="18" w:space="0" w:color="auto"/>
              <w:bottom w:val="single" w:sz="4" w:space="0" w:color="auto"/>
            </w:tcBorders>
            <w:shd w:val="clear" w:color="auto" w:fill="FABF8F"/>
            <w:vAlign w:val="center"/>
          </w:tcPr>
          <w:p w:rsidR="001A63C6" w:rsidRPr="003410C7" w:rsidRDefault="001A63C6" w:rsidP="002253A3">
            <w:pPr>
              <w:jc w:val="center"/>
              <w:rPr>
                <w:rFonts w:cs="Tahoma"/>
                <w:sz w:val="13"/>
              </w:rPr>
            </w:pPr>
            <w:r w:rsidRPr="003410C7">
              <w:rPr>
                <w:rFonts w:cs="Tahoma"/>
                <w:sz w:val="13"/>
              </w:rPr>
              <w:t>1</w:t>
            </w:r>
          </w:p>
        </w:tc>
        <w:tc>
          <w:tcPr>
            <w:tcW w:w="450" w:type="dxa"/>
            <w:tcBorders>
              <w:bottom w:val="single" w:sz="4" w:space="0" w:color="auto"/>
              <w:right w:val="single" w:sz="18" w:space="0" w:color="auto"/>
            </w:tcBorders>
            <w:shd w:val="clear" w:color="auto" w:fill="FABF8F"/>
            <w:vAlign w:val="center"/>
          </w:tcPr>
          <w:p w:rsidR="001A63C6" w:rsidRPr="003410C7" w:rsidRDefault="001A63C6" w:rsidP="002253A3">
            <w:pPr>
              <w:jc w:val="center"/>
              <w:rPr>
                <w:rFonts w:cs="Tahoma"/>
                <w:sz w:val="13"/>
              </w:rPr>
            </w:pPr>
            <w:r w:rsidRPr="003410C7">
              <w:rPr>
                <w:rFonts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3410C7" w:rsidRDefault="001A63C6" w:rsidP="002253A3">
            <w:pPr>
              <w:jc w:val="center"/>
              <w:rPr>
                <w:rFonts w:cs="Tahoma"/>
                <w:sz w:val="13"/>
              </w:rPr>
            </w:pPr>
            <w:r w:rsidRPr="003410C7">
              <w:rPr>
                <w:rFonts w:cs="Tahoma"/>
                <w:sz w:val="13"/>
              </w:rPr>
              <w:t>P</w:t>
            </w:r>
          </w:p>
        </w:tc>
        <w:tc>
          <w:tcPr>
            <w:tcW w:w="450" w:type="dxa"/>
            <w:tcBorders>
              <w:bottom w:val="single" w:sz="4" w:space="0" w:color="auto"/>
            </w:tcBorders>
            <w:shd w:val="clear" w:color="auto" w:fill="FABF8F"/>
            <w:vAlign w:val="center"/>
          </w:tcPr>
          <w:p w:rsidR="001A63C6" w:rsidRPr="003410C7" w:rsidRDefault="001A63C6" w:rsidP="002253A3">
            <w:pPr>
              <w:jc w:val="center"/>
              <w:rPr>
                <w:rFonts w:cs="Tahoma"/>
                <w:sz w:val="13"/>
              </w:rPr>
            </w:pPr>
            <w:r w:rsidRPr="003410C7">
              <w:rPr>
                <w:rFonts w:cs="Tahoma"/>
                <w:sz w:val="13"/>
              </w:rPr>
              <w:t>A</w:t>
            </w:r>
          </w:p>
        </w:tc>
        <w:tc>
          <w:tcPr>
            <w:tcW w:w="540" w:type="dxa"/>
            <w:tcBorders>
              <w:bottom w:val="single" w:sz="4" w:space="0" w:color="auto"/>
            </w:tcBorders>
            <w:shd w:val="clear" w:color="auto" w:fill="FABF8F"/>
            <w:vAlign w:val="center"/>
          </w:tcPr>
          <w:p w:rsidR="001A63C6" w:rsidRPr="003410C7" w:rsidRDefault="001A63C6" w:rsidP="002253A3">
            <w:pPr>
              <w:jc w:val="center"/>
              <w:rPr>
                <w:rFonts w:cs="Tahoma"/>
                <w:sz w:val="13"/>
              </w:rPr>
            </w:pPr>
          </w:p>
        </w:tc>
      </w:tr>
      <w:tr w:rsidR="001A63C6" w:rsidRPr="003410C7" w:rsidTr="007E466C">
        <w:trPr>
          <w:trHeight w:val="145"/>
        </w:trPr>
        <w:tc>
          <w:tcPr>
            <w:tcW w:w="2734" w:type="dxa"/>
            <w:gridSpan w:val="2"/>
            <w:tcBorders>
              <w:bottom w:val="single" w:sz="4" w:space="0" w:color="auto"/>
            </w:tcBorders>
            <w:shd w:val="clear" w:color="auto" w:fill="auto"/>
          </w:tcPr>
          <w:p w:rsidR="001A63C6" w:rsidRPr="003410C7" w:rsidRDefault="001A63C6" w:rsidP="003410C7">
            <w:pPr>
              <w:pStyle w:val="Heading3"/>
              <w:spacing w:beforeLines="20" w:before="48" w:afterLines="20" w:after="48"/>
              <w:rPr>
                <w:rFonts w:ascii="Tahoma" w:hAnsi="Tahoma" w:cs="Tahoma"/>
                <w:b w:val="0"/>
                <w:sz w:val="16"/>
              </w:rPr>
            </w:pPr>
            <w:bookmarkStart w:id="173" w:name="_Toc315288746"/>
            <w:bookmarkStart w:id="174" w:name="_Toc336337912"/>
            <w:bookmarkStart w:id="175" w:name="_Toc352234542"/>
            <w:r w:rsidRPr="003410C7">
              <w:rPr>
                <w:rFonts w:ascii="Tahoma" w:hAnsi="Tahoma" w:cs="Tahoma"/>
                <w:b w:val="0"/>
                <w:sz w:val="14"/>
              </w:rPr>
              <w:t>CAL per Bing Maps Server con Enhanced Content Pack</w:t>
            </w:r>
            <w:bookmarkEnd w:id="173"/>
            <w:bookmarkEnd w:id="174"/>
            <w:bookmarkEnd w:id="175"/>
          </w:p>
        </w:tc>
        <w:tc>
          <w:tcPr>
            <w:tcW w:w="450" w:type="dxa"/>
            <w:tcBorders>
              <w:bottom w:val="single" w:sz="4" w:space="0" w:color="auto"/>
            </w:tcBorders>
            <w:shd w:val="clear" w:color="auto" w:fill="auto"/>
            <w:vAlign w:val="center"/>
          </w:tcPr>
          <w:p w:rsidR="001A63C6" w:rsidRPr="00214EC6" w:rsidRDefault="00FC1A4D" w:rsidP="002253A3">
            <w:pPr>
              <w:jc w:val="center"/>
              <w:rPr>
                <w:rStyle w:val="EndnoteReference"/>
                <w:rFonts w:ascii="Tahoma" w:hAnsi="Tahoma" w:cs="Tahoma"/>
                <w:b w:val="0"/>
                <w:sz w:val="13"/>
                <w:szCs w:val="13"/>
                <w:u w:val="single"/>
              </w:rPr>
            </w:pPr>
            <w:hyperlink w:anchor="Srv_27BingMapsSvrandContentPack" w:history="1">
              <w:r w:rsidR="000D77F6" w:rsidRPr="00214EC6">
                <w:rPr>
                  <w:rStyle w:val="Hyperlink"/>
                  <w:rFonts w:cs="Tahoma"/>
                  <w:b/>
                  <w:sz w:val="13"/>
                  <w:szCs w:val="13"/>
                </w:rPr>
                <w:t>30</w:t>
              </w:r>
            </w:hyperlink>
          </w:p>
        </w:tc>
        <w:tc>
          <w:tcPr>
            <w:tcW w:w="450" w:type="dxa"/>
            <w:tcBorders>
              <w:bottom w:val="single" w:sz="4" w:space="0" w:color="auto"/>
            </w:tcBorders>
            <w:shd w:val="clear" w:color="auto" w:fill="auto"/>
          </w:tcPr>
          <w:p w:rsidR="001A63C6" w:rsidRPr="003410C7" w:rsidRDefault="001A63C6" w:rsidP="002253A3">
            <w:pPr>
              <w:jc w:val="center"/>
              <w:rPr>
                <w:rFonts w:cs="Tahoma"/>
                <w:sz w:val="13"/>
              </w:rPr>
            </w:pPr>
            <w:r w:rsidRPr="003410C7">
              <w:rPr>
                <w:rFonts w:cs="Tahoma"/>
                <w:sz w:val="13"/>
              </w:rPr>
              <w:t>08/09</w:t>
            </w:r>
          </w:p>
        </w:tc>
        <w:tc>
          <w:tcPr>
            <w:tcW w:w="360" w:type="dxa"/>
            <w:tcBorders>
              <w:bottom w:val="single" w:sz="4" w:space="0" w:color="auto"/>
              <w:right w:val="single" w:sz="18" w:space="0" w:color="auto"/>
            </w:tcBorders>
            <w:shd w:val="clear" w:color="auto" w:fill="auto"/>
            <w:vAlign w:val="center"/>
          </w:tcPr>
          <w:p w:rsidR="001A63C6" w:rsidRPr="003410C7" w:rsidRDefault="001A63C6" w:rsidP="002253A3">
            <w:pPr>
              <w:jc w:val="center"/>
              <w:rPr>
                <w:rFonts w:cs="Tahoma"/>
                <w:sz w:val="13"/>
              </w:rPr>
            </w:pPr>
          </w:p>
        </w:tc>
        <w:tc>
          <w:tcPr>
            <w:tcW w:w="2970" w:type="dxa"/>
            <w:gridSpan w:val="7"/>
            <w:tcBorders>
              <w:left w:val="single" w:sz="18" w:space="0" w:color="auto"/>
              <w:bottom w:val="single" w:sz="4" w:space="0" w:color="auto"/>
              <w:right w:val="single" w:sz="18" w:space="0" w:color="auto"/>
            </w:tcBorders>
            <w:shd w:val="clear" w:color="auto" w:fill="auto"/>
            <w:vAlign w:val="center"/>
          </w:tcPr>
          <w:p w:rsidR="001A63C6" w:rsidRPr="003410C7" w:rsidRDefault="001A63C6" w:rsidP="002253A3">
            <w:pPr>
              <w:jc w:val="center"/>
              <w:rPr>
                <w:rFonts w:cs="Tahoma"/>
                <w:sz w:val="13"/>
              </w:rPr>
            </w:pPr>
            <w:r w:rsidRPr="003410C7">
              <w:rPr>
                <w:rFonts w:cs="Tahoma"/>
                <w:sz w:val="13"/>
              </w:rPr>
              <w:t>27 crediti</w:t>
            </w:r>
          </w:p>
        </w:tc>
        <w:tc>
          <w:tcPr>
            <w:tcW w:w="450" w:type="dxa"/>
            <w:tcBorders>
              <w:left w:val="single" w:sz="18" w:space="0" w:color="auto"/>
              <w:bottom w:val="single" w:sz="4" w:space="0" w:color="auto"/>
            </w:tcBorders>
            <w:shd w:val="clear" w:color="auto" w:fill="auto"/>
            <w:vAlign w:val="center"/>
          </w:tcPr>
          <w:p w:rsidR="001A63C6" w:rsidRPr="003410C7" w:rsidRDefault="001A63C6" w:rsidP="002253A3">
            <w:pPr>
              <w:jc w:val="center"/>
              <w:rPr>
                <w:rFonts w:cs="Tahoma"/>
                <w:sz w:val="13"/>
              </w:rPr>
            </w:pPr>
          </w:p>
        </w:tc>
        <w:tc>
          <w:tcPr>
            <w:tcW w:w="450" w:type="dxa"/>
            <w:tcBorders>
              <w:bottom w:val="single" w:sz="4" w:space="0" w:color="auto"/>
            </w:tcBorders>
            <w:shd w:val="clear" w:color="auto" w:fill="auto"/>
            <w:vAlign w:val="center"/>
          </w:tcPr>
          <w:p w:rsidR="001A63C6" w:rsidRPr="003410C7" w:rsidRDefault="001A63C6" w:rsidP="002253A3">
            <w:pPr>
              <w:jc w:val="center"/>
              <w:rPr>
                <w:rFonts w:cs="Tahoma"/>
                <w:sz w:val="13"/>
              </w:rPr>
            </w:pPr>
          </w:p>
        </w:tc>
        <w:tc>
          <w:tcPr>
            <w:tcW w:w="450" w:type="dxa"/>
            <w:tcBorders>
              <w:bottom w:val="single" w:sz="4" w:space="0" w:color="auto"/>
              <w:right w:val="single" w:sz="18" w:space="0" w:color="auto"/>
            </w:tcBorders>
            <w:shd w:val="clear" w:color="auto" w:fill="auto"/>
            <w:vAlign w:val="center"/>
          </w:tcPr>
          <w:p w:rsidR="001A63C6" w:rsidRPr="003410C7" w:rsidRDefault="001A63C6" w:rsidP="002253A3">
            <w:pPr>
              <w:jc w:val="center"/>
              <w:rPr>
                <w:rFonts w:cs="Tahoma"/>
                <w:sz w:val="13"/>
              </w:rPr>
            </w:pPr>
          </w:p>
        </w:tc>
        <w:tc>
          <w:tcPr>
            <w:tcW w:w="450" w:type="dxa"/>
            <w:tcBorders>
              <w:left w:val="single" w:sz="18" w:space="0" w:color="auto"/>
              <w:bottom w:val="single" w:sz="4" w:space="0" w:color="auto"/>
            </w:tcBorders>
            <w:shd w:val="clear" w:color="auto" w:fill="auto"/>
            <w:vAlign w:val="center"/>
          </w:tcPr>
          <w:p w:rsidR="001A63C6" w:rsidRPr="003410C7" w:rsidRDefault="001A63C6" w:rsidP="002253A3">
            <w:pPr>
              <w:jc w:val="center"/>
              <w:rPr>
                <w:rFonts w:cs="Tahoma"/>
                <w:sz w:val="13"/>
              </w:rPr>
            </w:pPr>
            <w:r w:rsidRPr="003410C7">
              <w:rPr>
                <w:rFonts w:cs="Tahoma"/>
                <w:sz w:val="13"/>
              </w:rPr>
              <w:t>27</w:t>
            </w:r>
          </w:p>
        </w:tc>
        <w:tc>
          <w:tcPr>
            <w:tcW w:w="450" w:type="dxa"/>
            <w:tcBorders>
              <w:bottom w:val="single" w:sz="4" w:space="0" w:color="auto"/>
              <w:right w:val="single" w:sz="18" w:space="0" w:color="auto"/>
            </w:tcBorders>
            <w:shd w:val="clear" w:color="auto" w:fill="auto"/>
            <w:vAlign w:val="center"/>
          </w:tcPr>
          <w:p w:rsidR="001A63C6" w:rsidRPr="003410C7" w:rsidRDefault="001A63C6" w:rsidP="002253A3">
            <w:pPr>
              <w:jc w:val="center"/>
              <w:rPr>
                <w:rFonts w:cs="Tahoma"/>
                <w:sz w:val="13"/>
              </w:rPr>
            </w:pPr>
            <w:r w:rsidRPr="003410C7">
              <w:rPr>
                <w:rFonts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rsidR="001A63C6" w:rsidRPr="003410C7" w:rsidRDefault="001A63C6" w:rsidP="002253A3">
            <w:pPr>
              <w:jc w:val="center"/>
              <w:rPr>
                <w:rFonts w:cs="Tahoma"/>
                <w:sz w:val="13"/>
              </w:rPr>
            </w:pPr>
            <w:r w:rsidRPr="003410C7">
              <w:rPr>
                <w:rFonts w:cs="Tahoma"/>
                <w:sz w:val="13"/>
              </w:rPr>
              <w:t>P</w:t>
            </w:r>
          </w:p>
        </w:tc>
        <w:tc>
          <w:tcPr>
            <w:tcW w:w="450" w:type="dxa"/>
            <w:tcBorders>
              <w:bottom w:val="single" w:sz="4" w:space="0" w:color="auto"/>
            </w:tcBorders>
            <w:shd w:val="clear" w:color="auto" w:fill="auto"/>
            <w:vAlign w:val="center"/>
          </w:tcPr>
          <w:p w:rsidR="001A63C6" w:rsidRPr="003410C7" w:rsidRDefault="001A63C6" w:rsidP="002253A3">
            <w:pPr>
              <w:jc w:val="center"/>
              <w:rPr>
                <w:rFonts w:cs="Tahoma"/>
                <w:sz w:val="13"/>
              </w:rPr>
            </w:pPr>
            <w:r w:rsidRPr="003410C7">
              <w:rPr>
                <w:rFonts w:cs="Tahoma"/>
                <w:sz w:val="13"/>
              </w:rPr>
              <w:t>A</w:t>
            </w:r>
          </w:p>
        </w:tc>
        <w:tc>
          <w:tcPr>
            <w:tcW w:w="540" w:type="dxa"/>
            <w:tcBorders>
              <w:bottom w:val="single" w:sz="4" w:space="0" w:color="auto"/>
            </w:tcBorders>
            <w:shd w:val="clear" w:color="auto" w:fill="auto"/>
            <w:vAlign w:val="center"/>
          </w:tcPr>
          <w:p w:rsidR="001A63C6" w:rsidRPr="003410C7" w:rsidRDefault="001A63C6" w:rsidP="002253A3">
            <w:pPr>
              <w:jc w:val="center"/>
              <w:rPr>
                <w:rFonts w:cs="Tahoma"/>
                <w:sz w:val="13"/>
              </w:rPr>
            </w:pPr>
          </w:p>
        </w:tc>
      </w:tr>
      <w:tr w:rsidR="00B33D0E" w:rsidRPr="003410C7" w:rsidTr="006B1F3F">
        <w:trPr>
          <w:trHeight w:val="145"/>
        </w:trPr>
        <w:tc>
          <w:tcPr>
            <w:tcW w:w="2734" w:type="dxa"/>
            <w:gridSpan w:val="2"/>
            <w:tcBorders>
              <w:bottom w:val="single" w:sz="4" w:space="0" w:color="auto"/>
            </w:tcBorders>
            <w:shd w:val="clear" w:color="auto" w:fill="FABF8F"/>
          </w:tcPr>
          <w:p w:rsidR="001A63C6" w:rsidRPr="00451078" w:rsidRDefault="001A63C6" w:rsidP="00FE2D13">
            <w:pPr>
              <w:pStyle w:val="ProductNames"/>
              <w:spacing w:beforeLines="20" w:before="48" w:afterLines="20" w:after="48"/>
              <w:rPr>
                <w:rFonts w:ascii="Tahoma" w:hAnsi="Tahoma"/>
                <w:sz w:val="14"/>
                <w:lang w:val="sv-SE"/>
              </w:rPr>
            </w:pPr>
            <w:bookmarkStart w:id="176" w:name="_Toc315288747"/>
            <w:bookmarkStart w:id="177" w:name="_Toc336337913"/>
            <w:bookmarkStart w:id="178" w:name="_Toc352234543"/>
            <w:r w:rsidRPr="00451078">
              <w:rPr>
                <w:rFonts w:ascii="Tahoma" w:hAnsi="Tahoma"/>
                <w:sz w:val="14"/>
                <w:lang w:val="sv-SE"/>
              </w:rPr>
              <w:t>Bing Maps Standard o Professional (SL</w:t>
            </w:r>
            <w:r w:rsidR="00FE2D13" w:rsidRPr="00451078">
              <w:rPr>
                <w:rFonts w:ascii="Tahoma" w:hAnsi="Tahoma"/>
                <w:sz w:val="14"/>
                <w:lang w:val="sv-SE"/>
              </w:rPr>
              <w:t> </w:t>
            </w:r>
            <w:r w:rsidRPr="00451078">
              <w:rPr>
                <w:rFonts w:ascii="Tahoma" w:hAnsi="Tahoma"/>
                <w:sz w:val="14"/>
                <w:lang w:val="sv-SE"/>
              </w:rPr>
              <w:t>Utente)</w:t>
            </w:r>
            <w:bookmarkEnd w:id="176"/>
            <w:bookmarkEnd w:id="177"/>
            <w:bookmarkEnd w:id="178"/>
          </w:p>
        </w:tc>
        <w:tc>
          <w:tcPr>
            <w:tcW w:w="450" w:type="dxa"/>
            <w:tcBorders>
              <w:bottom w:val="single" w:sz="4" w:space="0" w:color="auto"/>
            </w:tcBorders>
            <w:shd w:val="clear" w:color="auto" w:fill="FABF8F"/>
            <w:vAlign w:val="center"/>
          </w:tcPr>
          <w:p w:rsidR="001A63C6" w:rsidRPr="00451078" w:rsidRDefault="001A63C6" w:rsidP="002253A3">
            <w:pPr>
              <w:jc w:val="center"/>
              <w:rPr>
                <w:rStyle w:val="EndnoteReference"/>
                <w:sz w:val="13"/>
                <w:szCs w:val="13"/>
                <w:u w:val="single"/>
                <w:lang w:val="sv-SE"/>
              </w:rPr>
            </w:pPr>
          </w:p>
        </w:tc>
        <w:tc>
          <w:tcPr>
            <w:tcW w:w="450" w:type="dxa"/>
            <w:tcBorders>
              <w:bottom w:val="single" w:sz="4" w:space="0" w:color="auto"/>
            </w:tcBorders>
            <w:shd w:val="clear" w:color="auto" w:fill="FABF8F"/>
          </w:tcPr>
          <w:p w:rsidR="001A63C6" w:rsidRPr="003410C7" w:rsidRDefault="001A63C6" w:rsidP="002253A3">
            <w:pPr>
              <w:jc w:val="center"/>
              <w:rPr>
                <w:rFonts w:cs="Tahoma"/>
                <w:sz w:val="13"/>
              </w:rPr>
            </w:pPr>
            <w:r w:rsidRPr="003410C7">
              <w:rPr>
                <w:rFonts w:cs="Tahoma"/>
                <w:sz w:val="13"/>
              </w:rPr>
              <w:t>01/08</w:t>
            </w:r>
          </w:p>
        </w:tc>
        <w:tc>
          <w:tcPr>
            <w:tcW w:w="360" w:type="dxa"/>
            <w:tcBorders>
              <w:bottom w:val="single" w:sz="4" w:space="0" w:color="auto"/>
              <w:right w:val="single" w:sz="18" w:space="0" w:color="auto"/>
            </w:tcBorders>
            <w:shd w:val="clear" w:color="auto" w:fill="FABF8F"/>
            <w:vAlign w:val="center"/>
          </w:tcPr>
          <w:p w:rsidR="001A63C6" w:rsidRPr="003410C7" w:rsidRDefault="001A63C6" w:rsidP="002253A3">
            <w:pPr>
              <w:jc w:val="center"/>
              <w:rPr>
                <w:rFonts w:cs="Tahoma"/>
                <w:sz w:val="13"/>
              </w:rPr>
            </w:pPr>
          </w:p>
        </w:tc>
        <w:tc>
          <w:tcPr>
            <w:tcW w:w="2970" w:type="dxa"/>
            <w:gridSpan w:val="7"/>
            <w:tcBorders>
              <w:left w:val="single" w:sz="18" w:space="0" w:color="auto"/>
              <w:bottom w:val="single" w:sz="4" w:space="0" w:color="auto"/>
              <w:right w:val="single" w:sz="18" w:space="0" w:color="auto"/>
            </w:tcBorders>
            <w:shd w:val="clear" w:color="auto" w:fill="FABF8F"/>
            <w:vAlign w:val="center"/>
          </w:tcPr>
          <w:p w:rsidR="001A63C6" w:rsidRPr="003410C7" w:rsidRDefault="001A63C6" w:rsidP="002253A3">
            <w:pPr>
              <w:jc w:val="center"/>
              <w:rPr>
                <w:rFonts w:cs="Tahoma"/>
                <w:sz w:val="13"/>
              </w:rPr>
            </w:pPr>
            <w:r w:rsidRPr="003410C7">
              <w:rPr>
                <w:rFonts w:cs="Tahoma"/>
                <w:sz w:val="13"/>
              </w:rPr>
              <w:t>1 punto</w:t>
            </w:r>
          </w:p>
        </w:tc>
        <w:tc>
          <w:tcPr>
            <w:tcW w:w="450" w:type="dxa"/>
            <w:tcBorders>
              <w:left w:val="single" w:sz="18" w:space="0" w:color="auto"/>
              <w:bottom w:val="single" w:sz="4" w:space="0" w:color="auto"/>
            </w:tcBorders>
            <w:shd w:val="clear" w:color="auto" w:fill="FABF8F"/>
            <w:vAlign w:val="center"/>
          </w:tcPr>
          <w:p w:rsidR="001A63C6" w:rsidRPr="003410C7" w:rsidRDefault="001A63C6" w:rsidP="002253A3">
            <w:pPr>
              <w:jc w:val="center"/>
              <w:rPr>
                <w:rFonts w:cs="Tahoma"/>
                <w:sz w:val="13"/>
              </w:rPr>
            </w:pPr>
          </w:p>
        </w:tc>
        <w:tc>
          <w:tcPr>
            <w:tcW w:w="450" w:type="dxa"/>
            <w:tcBorders>
              <w:bottom w:val="single" w:sz="4" w:space="0" w:color="auto"/>
            </w:tcBorders>
            <w:shd w:val="clear" w:color="auto" w:fill="FABF8F"/>
            <w:vAlign w:val="center"/>
          </w:tcPr>
          <w:p w:rsidR="001A63C6" w:rsidRPr="003410C7" w:rsidRDefault="001A63C6" w:rsidP="002253A3">
            <w:pPr>
              <w:jc w:val="center"/>
              <w:rPr>
                <w:rFonts w:cs="Tahoma"/>
                <w:sz w:val="13"/>
              </w:rPr>
            </w:pPr>
          </w:p>
        </w:tc>
        <w:tc>
          <w:tcPr>
            <w:tcW w:w="450" w:type="dxa"/>
            <w:tcBorders>
              <w:bottom w:val="single" w:sz="4" w:space="0" w:color="auto"/>
              <w:right w:val="single" w:sz="18" w:space="0" w:color="auto"/>
            </w:tcBorders>
            <w:shd w:val="clear" w:color="auto" w:fill="FABF8F"/>
            <w:vAlign w:val="center"/>
          </w:tcPr>
          <w:p w:rsidR="001A63C6" w:rsidRPr="003410C7" w:rsidRDefault="001A63C6" w:rsidP="002253A3">
            <w:pPr>
              <w:jc w:val="center"/>
              <w:rPr>
                <w:rFonts w:cs="Tahoma"/>
                <w:sz w:val="13"/>
              </w:rPr>
            </w:pPr>
          </w:p>
        </w:tc>
        <w:tc>
          <w:tcPr>
            <w:tcW w:w="450" w:type="dxa"/>
            <w:tcBorders>
              <w:left w:val="single" w:sz="18" w:space="0" w:color="auto"/>
              <w:bottom w:val="single" w:sz="4" w:space="0" w:color="auto"/>
            </w:tcBorders>
            <w:shd w:val="clear" w:color="auto" w:fill="FABF8F"/>
            <w:vAlign w:val="center"/>
          </w:tcPr>
          <w:p w:rsidR="001A63C6" w:rsidRPr="003410C7" w:rsidRDefault="001A63C6" w:rsidP="002253A3">
            <w:pPr>
              <w:jc w:val="center"/>
              <w:rPr>
                <w:rFonts w:cs="Tahoma"/>
                <w:sz w:val="13"/>
              </w:rPr>
            </w:pPr>
          </w:p>
        </w:tc>
        <w:tc>
          <w:tcPr>
            <w:tcW w:w="450" w:type="dxa"/>
            <w:tcBorders>
              <w:bottom w:val="single" w:sz="4" w:space="0" w:color="auto"/>
              <w:right w:val="single" w:sz="18" w:space="0" w:color="auto"/>
            </w:tcBorders>
            <w:shd w:val="clear" w:color="auto" w:fill="FABF8F"/>
            <w:vAlign w:val="center"/>
          </w:tcPr>
          <w:p w:rsidR="001A63C6" w:rsidRPr="003410C7" w:rsidRDefault="001A63C6" w:rsidP="002253A3">
            <w:pPr>
              <w:jc w:val="center"/>
              <w:rPr>
                <w:rFonts w:cs="Tahoma"/>
                <w:sz w:val="13"/>
              </w:rPr>
            </w:pPr>
            <w:r w:rsidRPr="003410C7">
              <w:rPr>
                <w:rFonts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3410C7" w:rsidRDefault="001A63C6" w:rsidP="002253A3">
            <w:pPr>
              <w:jc w:val="center"/>
              <w:rPr>
                <w:rFonts w:cs="Tahoma"/>
                <w:sz w:val="13"/>
              </w:rPr>
            </w:pPr>
            <w:r w:rsidRPr="003410C7">
              <w:rPr>
                <w:rFonts w:cs="Tahoma"/>
                <w:sz w:val="13"/>
              </w:rPr>
              <w:t>P</w:t>
            </w:r>
          </w:p>
        </w:tc>
        <w:tc>
          <w:tcPr>
            <w:tcW w:w="450" w:type="dxa"/>
            <w:tcBorders>
              <w:bottom w:val="single" w:sz="4" w:space="0" w:color="auto"/>
            </w:tcBorders>
            <w:shd w:val="clear" w:color="auto" w:fill="FABF8F"/>
          </w:tcPr>
          <w:p w:rsidR="001A63C6" w:rsidRPr="003410C7" w:rsidRDefault="001A63C6" w:rsidP="002253A3">
            <w:pPr>
              <w:jc w:val="center"/>
              <w:rPr>
                <w:rFonts w:cs="Tahoma"/>
                <w:sz w:val="13"/>
              </w:rPr>
            </w:pPr>
          </w:p>
        </w:tc>
        <w:tc>
          <w:tcPr>
            <w:tcW w:w="540" w:type="dxa"/>
            <w:tcBorders>
              <w:bottom w:val="single" w:sz="4" w:space="0" w:color="auto"/>
            </w:tcBorders>
            <w:shd w:val="clear" w:color="auto" w:fill="FABF8F"/>
            <w:vAlign w:val="center"/>
          </w:tcPr>
          <w:p w:rsidR="001A63C6" w:rsidRPr="003410C7" w:rsidRDefault="001A63C6" w:rsidP="002253A3">
            <w:pPr>
              <w:jc w:val="center"/>
              <w:rPr>
                <w:rFonts w:cs="Tahoma"/>
                <w:sz w:val="13"/>
              </w:rPr>
            </w:pPr>
            <w:r w:rsidRPr="003410C7">
              <w:rPr>
                <w:rFonts w:cs="Tahoma"/>
                <w:sz w:val="13"/>
              </w:rPr>
              <w:t>OL/OV</w:t>
            </w:r>
          </w:p>
        </w:tc>
      </w:tr>
      <w:tr w:rsidR="001A63C6" w:rsidRPr="003410C7" w:rsidTr="007E466C">
        <w:trPr>
          <w:trHeight w:val="145"/>
        </w:trPr>
        <w:tc>
          <w:tcPr>
            <w:tcW w:w="2734" w:type="dxa"/>
            <w:gridSpan w:val="2"/>
            <w:tcBorders>
              <w:bottom w:val="single" w:sz="4" w:space="0" w:color="auto"/>
            </w:tcBorders>
            <w:shd w:val="clear" w:color="auto" w:fill="auto"/>
          </w:tcPr>
          <w:p w:rsidR="001A63C6" w:rsidRPr="003410C7" w:rsidRDefault="001A63C6" w:rsidP="003410C7">
            <w:pPr>
              <w:pStyle w:val="ProductNames"/>
              <w:spacing w:beforeLines="20" w:before="48" w:afterLines="20" w:after="48"/>
              <w:rPr>
                <w:rFonts w:ascii="Tahoma" w:hAnsi="Tahoma"/>
                <w:sz w:val="14"/>
              </w:rPr>
            </w:pPr>
            <w:bookmarkStart w:id="179" w:name="_Toc336337914"/>
            <w:bookmarkStart w:id="180" w:name="_Toc352234544"/>
            <w:r w:rsidRPr="003410C7">
              <w:rPr>
                <w:rFonts w:ascii="Tahoma" w:hAnsi="Tahoma"/>
                <w:sz w:val="14"/>
              </w:rPr>
              <w:t>Bing Maps Standard (SL Servizi)</w:t>
            </w:r>
            <w:bookmarkEnd w:id="179"/>
            <w:bookmarkEnd w:id="180"/>
          </w:p>
        </w:tc>
        <w:tc>
          <w:tcPr>
            <w:tcW w:w="450" w:type="dxa"/>
            <w:tcBorders>
              <w:bottom w:val="single" w:sz="4" w:space="0" w:color="auto"/>
            </w:tcBorders>
            <w:shd w:val="clear" w:color="auto" w:fill="auto"/>
            <w:vAlign w:val="center"/>
          </w:tcPr>
          <w:p w:rsidR="001A63C6" w:rsidRPr="009F17FF" w:rsidRDefault="001A63C6" w:rsidP="002253A3">
            <w:pPr>
              <w:jc w:val="center"/>
              <w:rPr>
                <w:rStyle w:val="EndnoteReference"/>
                <w:sz w:val="13"/>
                <w:szCs w:val="13"/>
                <w:u w:val="single"/>
              </w:rPr>
            </w:pPr>
          </w:p>
        </w:tc>
        <w:tc>
          <w:tcPr>
            <w:tcW w:w="450" w:type="dxa"/>
            <w:tcBorders>
              <w:bottom w:val="single" w:sz="4" w:space="0" w:color="auto"/>
            </w:tcBorders>
            <w:shd w:val="clear" w:color="auto" w:fill="auto"/>
          </w:tcPr>
          <w:p w:rsidR="001A63C6" w:rsidRPr="003410C7" w:rsidRDefault="001A63C6" w:rsidP="002253A3">
            <w:pPr>
              <w:jc w:val="center"/>
              <w:rPr>
                <w:rFonts w:cs="Tahoma"/>
                <w:sz w:val="13"/>
              </w:rPr>
            </w:pPr>
            <w:r w:rsidRPr="003410C7">
              <w:rPr>
                <w:rFonts w:cs="Tahoma"/>
                <w:sz w:val="13"/>
              </w:rPr>
              <w:t>01/08</w:t>
            </w:r>
          </w:p>
        </w:tc>
        <w:tc>
          <w:tcPr>
            <w:tcW w:w="360" w:type="dxa"/>
            <w:tcBorders>
              <w:bottom w:val="single" w:sz="4" w:space="0" w:color="auto"/>
              <w:right w:val="single" w:sz="18" w:space="0" w:color="auto"/>
            </w:tcBorders>
            <w:shd w:val="clear" w:color="auto" w:fill="auto"/>
            <w:vAlign w:val="center"/>
          </w:tcPr>
          <w:p w:rsidR="001A63C6" w:rsidRPr="003410C7" w:rsidRDefault="001A63C6" w:rsidP="002253A3">
            <w:pPr>
              <w:jc w:val="center"/>
              <w:rPr>
                <w:rFonts w:cs="Tahoma"/>
                <w:sz w:val="13"/>
              </w:rPr>
            </w:pPr>
          </w:p>
        </w:tc>
        <w:tc>
          <w:tcPr>
            <w:tcW w:w="2970" w:type="dxa"/>
            <w:gridSpan w:val="7"/>
            <w:tcBorders>
              <w:left w:val="single" w:sz="18" w:space="0" w:color="auto"/>
              <w:bottom w:val="single" w:sz="4" w:space="0" w:color="auto"/>
              <w:right w:val="single" w:sz="18" w:space="0" w:color="auto"/>
            </w:tcBorders>
            <w:shd w:val="clear" w:color="auto" w:fill="auto"/>
            <w:vAlign w:val="center"/>
          </w:tcPr>
          <w:p w:rsidR="001A63C6" w:rsidRPr="003410C7" w:rsidRDefault="001A63C6" w:rsidP="002253A3">
            <w:pPr>
              <w:jc w:val="center"/>
            </w:pPr>
            <w:r w:rsidRPr="003410C7">
              <w:rPr>
                <w:rFonts w:cs="Tahoma"/>
                <w:sz w:val="13"/>
              </w:rPr>
              <w:t>75 crediti</w:t>
            </w:r>
          </w:p>
          <w:p w:rsidR="001A63C6" w:rsidRPr="003410C7" w:rsidRDefault="001A63C6" w:rsidP="002253A3">
            <w:pPr>
              <w:jc w:val="center"/>
              <w:rPr>
                <w:rFonts w:cs="Tahoma"/>
                <w:sz w:val="13"/>
              </w:rPr>
            </w:pPr>
          </w:p>
        </w:tc>
        <w:tc>
          <w:tcPr>
            <w:tcW w:w="450" w:type="dxa"/>
            <w:tcBorders>
              <w:left w:val="single" w:sz="18" w:space="0" w:color="auto"/>
              <w:bottom w:val="single" w:sz="4" w:space="0" w:color="auto"/>
            </w:tcBorders>
            <w:shd w:val="clear" w:color="auto" w:fill="auto"/>
            <w:vAlign w:val="center"/>
          </w:tcPr>
          <w:p w:rsidR="001A63C6" w:rsidRPr="003410C7" w:rsidRDefault="001A63C6" w:rsidP="002253A3">
            <w:pPr>
              <w:jc w:val="center"/>
              <w:rPr>
                <w:rFonts w:cs="Tahoma"/>
                <w:sz w:val="13"/>
              </w:rPr>
            </w:pPr>
          </w:p>
        </w:tc>
        <w:tc>
          <w:tcPr>
            <w:tcW w:w="450" w:type="dxa"/>
            <w:tcBorders>
              <w:bottom w:val="single" w:sz="4" w:space="0" w:color="auto"/>
            </w:tcBorders>
            <w:shd w:val="clear" w:color="auto" w:fill="auto"/>
            <w:vAlign w:val="center"/>
          </w:tcPr>
          <w:p w:rsidR="001A63C6" w:rsidRPr="003410C7" w:rsidRDefault="001A63C6" w:rsidP="002253A3">
            <w:pPr>
              <w:jc w:val="center"/>
              <w:rPr>
                <w:rFonts w:cs="Tahoma"/>
                <w:sz w:val="13"/>
              </w:rPr>
            </w:pPr>
          </w:p>
        </w:tc>
        <w:tc>
          <w:tcPr>
            <w:tcW w:w="450" w:type="dxa"/>
            <w:tcBorders>
              <w:bottom w:val="single" w:sz="4" w:space="0" w:color="auto"/>
              <w:right w:val="single" w:sz="18" w:space="0" w:color="auto"/>
            </w:tcBorders>
            <w:shd w:val="clear" w:color="auto" w:fill="auto"/>
            <w:vAlign w:val="center"/>
          </w:tcPr>
          <w:p w:rsidR="001A63C6" w:rsidRPr="003410C7" w:rsidRDefault="001A63C6" w:rsidP="002253A3">
            <w:pPr>
              <w:jc w:val="center"/>
              <w:rPr>
                <w:rFonts w:cs="Tahoma"/>
                <w:sz w:val="13"/>
              </w:rPr>
            </w:pPr>
          </w:p>
        </w:tc>
        <w:tc>
          <w:tcPr>
            <w:tcW w:w="450" w:type="dxa"/>
            <w:tcBorders>
              <w:left w:val="single" w:sz="18" w:space="0" w:color="auto"/>
              <w:bottom w:val="single" w:sz="4" w:space="0" w:color="auto"/>
            </w:tcBorders>
            <w:shd w:val="clear" w:color="auto" w:fill="auto"/>
            <w:vAlign w:val="center"/>
          </w:tcPr>
          <w:p w:rsidR="001A63C6" w:rsidRPr="003410C7" w:rsidRDefault="001A63C6" w:rsidP="002253A3">
            <w:pPr>
              <w:jc w:val="center"/>
              <w:rPr>
                <w:rFonts w:cs="Tahoma"/>
                <w:sz w:val="13"/>
              </w:rPr>
            </w:pPr>
          </w:p>
        </w:tc>
        <w:tc>
          <w:tcPr>
            <w:tcW w:w="450" w:type="dxa"/>
            <w:tcBorders>
              <w:bottom w:val="single" w:sz="4" w:space="0" w:color="auto"/>
              <w:right w:val="single" w:sz="18" w:space="0" w:color="auto"/>
            </w:tcBorders>
            <w:shd w:val="clear" w:color="auto" w:fill="auto"/>
            <w:vAlign w:val="center"/>
          </w:tcPr>
          <w:p w:rsidR="001A63C6" w:rsidRPr="003410C7" w:rsidRDefault="001A63C6" w:rsidP="002253A3">
            <w:pPr>
              <w:jc w:val="center"/>
              <w:rPr>
                <w:rFonts w:cs="Tahoma"/>
                <w:sz w:val="13"/>
              </w:rPr>
            </w:pPr>
            <w:r w:rsidRPr="003410C7">
              <w:rPr>
                <w:rFonts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rsidR="001A63C6" w:rsidRPr="003410C7" w:rsidRDefault="001A63C6" w:rsidP="002253A3">
            <w:pPr>
              <w:jc w:val="center"/>
              <w:rPr>
                <w:rFonts w:cs="Tahoma"/>
                <w:sz w:val="13"/>
              </w:rPr>
            </w:pPr>
            <w:r w:rsidRPr="003410C7">
              <w:rPr>
                <w:rFonts w:cs="Tahoma"/>
                <w:sz w:val="13"/>
              </w:rPr>
              <w:t>P</w:t>
            </w:r>
          </w:p>
        </w:tc>
        <w:tc>
          <w:tcPr>
            <w:tcW w:w="450" w:type="dxa"/>
            <w:tcBorders>
              <w:bottom w:val="single" w:sz="4" w:space="0" w:color="auto"/>
            </w:tcBorders>
            <w:shd w:val="clear" w:color="auto" w:fill="auto"/>
          </w:tcPr>
          <w:p w:rsidR="001A63C6" w:rsidRPr="003410C7" w:rsidRDefault="001A63C6" w:rsidP="002253A3">
            <w:pPr>
              <w:jc w:val="center"/>
              <w:rPr>
                <w:rFonts w:cs="Tahoma"/>
                <w:sz w:val="13"/>
              </w:rPr>
            </w:pPr>
          </w:p>
        </w:tc>
        <w:tc>
          <w:tcPr>
            <w:tcW w:w="540" w:type="dxa"/>
            <w:tcBorders>
              <w:bottom w:val="single" w:sz="4" w:space="0" w:color="auto"/>
            </w:tcBorders>
            <w:shd w:val="clear" w:color="auto" w:fill="auto"/>
            <w:vAlign w:val="center"/>
          </w:tcPr>
          <w:p w:rsidR="001A63C6" w:rsidRPr="003410C7" w:rsidRDefault="001A63C6" w:rsidP="002253A3">
            <w:pPr>
              <w:jc w:val="center"/>
              <w:rPr>
                <w:rFonts w:cs="Tahoma"/>
                <w:sz w:val="13"/>
              </w:rPr>
            </w:pPr>
            <w:r w:rsidRPr="003410C7">
              <w:rPr>
                <w:rFonts w:cs="Tahoma"/>
                <w:sz w:val="13"/>
              </w:rPr>
              <w:t>OL/OV</w:t>
            </w:r>
          </w:p>
        </w:tc>
      </w:tr>
      <w:tr w:rsidR="00B33D0E" w:rsidRPr="003410C7" w:rsidTr="006B1F3F">
        <w:trPr>
          <w:trHeight w:val="64"/>
        </w:trPr>
        <w:tc>
          <w:tcPr>
            <w:tcW w:w="2734" w:type="dxa"/>
            <w:gridSpan w:val="2"/>
            <w:tcBorders>
              <w:bottom w:val="single" w:sz="4" w:space="0" w:color="auto"/>
            </w:tcBorders>
            <w:shd w:val="clear" w:color="auto" w:fill="FABF8F"/>
            <w:vAlign w:val="center"/>
          </w:tcPr>
          <w:p w:rsidR="001A63C6" w:rsidRPr="003410C7" w:rsidRDefault="001A63C6" w:rsidP="003410C7">
            <w:pPr>
              <w:pStyle w:val="ProductNames"/>
              <w:spacing w:beforeLines="20" w:before="48" w:afterLines="20" w:after="48"/>
              <w:rPr>
                <w:rFonts w:ascii="Tahoma" w:hAnsi="Tahoma" w:cs="Tahoma"/>
                <w:sz w:val="14"/>
              </w:rPr>
            </w:pPr>
            <w:bookmarkStart w:id="181" w:name="_Toc336337919"/>
            <w:bookmarkStart w:id="182" w:name="_Toc352234545"/>
            <w:r w:rsidRPr="003410C7">
              <w:rPr>
                <w:rFonts w:ascii="Tahoma" w:hAnsi="Tahoma" w:cs="Tahoma"/>
                <w:sz w:val="14"/>
              </w:rPr>
              <w:t>BizTalk</w:t>
            </w:r>
            <w:r w:rsidR="003410C7" w:rsidRPr="003410C7">
              <w:rPr>
                <w:rFonts w:cs="Tahoma"/>
                <w:szCs w:val="18"/>
                <w:vertAlign w:val="superscript"/>
              </w:rPr>
              <w:t>®</w:t>
            </w:r>
            <w:r w:rsidRPr="003410C7">
              <w:rPr>
                <w:rFonts w:ascii="Tahoma" w:hAnsi="Tahoma" w:cs="Tahoma"/>
                <w:sz w:val="14"/>
              </w:rPr>
              <w:t xml:space="preserve"> Server 2013 Branch Edition</w:t>
            </w:r>
            <w:bookmarkEnd w:id="181"/>
            <w:bookmarkEnd w:id="182"/>
            <w:r w:rsidRPr="003410C7">
              <w:rPr>
                <w:rFonts w:ascii="Tahoma" w:hAnsi="Tahoma" w:cs="Tahoma"/>
                <w:sz w:val="14"/>
              </w:rPr>
              <w:t xml:space="preserve"> </w:t>
            </w:r>
          </w:p>
        </w:tc>
        <w:tc>
          <w:tcPr>
            <w:tcW w:w="450" w:type="dxa"/>
            <w:tcBorders>
              <w:bottom w:val="single" w:sz="4" w:space="0" w:color="auto"/>
            </w:tcBorders>
            <w:shd w:val="clear" w:color="auto" w:fill="FABF8F"/>
            <w:vAlign w:val="center"/>
          </w:tcPr>
          <w:p w:rsidR="001A63C6" w:rsidRPr="009F17FF" w:rsidRDefault="00FC1A4D" w:rsidP="00136585">
            <w:pPr>
              <w:pStyle w:val="TableText"/>
              <w:widowControl w:val="0"/>
              <w:rPr>
                <w:rStyle w:val="EndnoteReference"/>
                <w:rFonts w:cs="Tahoma"/>
                <w:b w:val="0"/>
                <w:color w:val="0000FF"/>
                <w:sz w:val="13"/>
                <w:szCs w:val="13"/>
                <w:u w:val="single"/>
              </w:rPr>
            </w:pPr>
            <w:hyperlink w:anchor="_31_BizTalk_Server®" w:history="1">
              <w:r w:rsidR="000D77F6" w:rsidRPr="009F17FF">
                <w:rPr>
                  <w:rStyle w:val="Hyperlink"/>
                  <w:rFonts w:cs="Tahoma"/>
                  <w:b/>
                  <w:sz w:val="13"/>
                  <w:szCs w:val="13"/>
                </w:rPr>
                <w:t>31</w:t>
              </w:r>
            </w:hyperlink>
            <w:hyperlink w:anchor="Srv_26_BizTalkServerBranch" w:history="1"/>
          </w:p>
        </w:tc>
        <w:tc>
          <w:tcPr>
            <w:tcW w:w="450" w:type="dxa"/>
            <w:tcBorders>
              <w:bottom w:val="single" w:sz="4" w:space="0" w:color="auto"/>
            </w:tcBorders>
            <w:shd w:val="clear" w:color="auto" w:fill="FABF8F"/>
            <w:vAlign w:val="center"/>
          </w:tcPr>
          <w:p w:rsidR="001A63C6" w:rsidRPr="003410C7" w:rsidRDefault="002B327C" w:rsidP="001A63C6">
            <w:pPr>
              <w:pStyle w:val="TableText"/>
              <w:widowControl w:val="0"/>
              <w:rPr>
                <w:rFonts w:ascii="Tahoma" w:hAnsi="Tahoma" w:cs="Tahoma"/>
                <w:color w:val="000000"/>
                <w:sz w:val="13"/>
              </w:rPr>
            </w:pPr>
            <w:r w:rsidRPr="003410C7">
              <w:rPr>
                <w:rFonts w:ascii="Tahoma" w:hAnsi="Tahoma" w:cs="Tahoma"/>
                <w:color w:val="000000"/>
                <w:sz w:val="13"/>
              </w:rPr>
              <w:t>4/13</w:t>
            </w:r>
          </w:p>
        </w:tc>
        <w:tc>
          <w:tcPr>
            <w:tcW w:w="360" w:type="dxa"/>
            <w:tcBorders>
              <w:bottom w:val="single" w:sz="4" w:space="0" w:color="auto"/>
              <w:right w:val="single" w:sz="18" w:space="0" w:color="auto"/>
            </w:tcBorders>
            <w:shd w:val="clear" w:color="auto" w:fill="FABF8F"/>
            <w:vAlign w:val="center"/>
          </w:tcPr>
          <w:p w:rsidR="001A63C6" w:rsidRPr="003410C7" w:rsidRDefault="001A63C6" w:rsidP="001A63C6">
            <w:pPr>
              <w:pStyle w:val="TableText"/>
              <w:widowControl w:val="0"/>
              <w:rPr>
                <w:rFonts w:ascii="Tahoma" w:hAnsi="Tahoma" w:cs="Tahoma"/>
                <w:color w:val="000000"/>
                <w:sz w:val="13"/>
              </w:rPr>
            </w:pPr>
            <w:r w:rsidRPr="003410C7">
              <w:rPr>
                <w:rFonts w:ascii="Tahoma" w:hAnsi="Tahoma" w:cs="Tahoma"/>
                <w:color w:val="000000"/>
                <w:sz w:val="13"/>
              </w:rPr>
              <w:t>SRV</w:t>
            </w:r>
          </w:p>
        </w:tc>
        <w:tc>
          <w:tcPr>
            <w:tcW w:w="360" w:type="dxa"/>
            <w:tcBorders>
              <w:left w:val="single" w:sz="18" w:space="0" w:color="auto"/>
              <w:bottom w:val="single" w:sz="4" w:space="0" w:color="auto"/>
            </w:tcBorders>
            <w:shd w:val="clear" w:color="auto" w:fill="FABF8F"/>
            <w:vAlign w:val="center"/>
          </w:tcPr>
          <w:p w:rsidR="001A63C6" w:rsidRPr="003410C7" w:rsidRDefault="001A63C6" w:rsidP="001A63C6">
            <w:pPr>
              <w:pStyle w:val="TableText"/>
              <w:widowControl w:val="0"/>
              <w:rPr>
                <w:rFonts w:ascii="Tahoma" w:hAnsi="Tahoma" w:cs="Tahoma"/>
                <w:sz w:val="13"/>
              </w:rPr>
            </w:pPr>
            <w:r w:rsidRPr="003410C7">
              <w:rPr>
                <w:rFonts w:ascii="Tahoma" w:hAnsi="Tahoma" w:cs="Tahoma"/>
                <w:sz w:val="13"/>
              </w:rPr>
              <w:t>25</w:t>
            </w:r>
          </w:p>
        </w:tc>
        <w:tc>
          <w:tcPr>
            <w:tcW w:w="450" w:type="dxa"/>
            <w:tcBorders>
              <w:bottom w:val="single" w:sz="4" w:space="0" w:color="auto"/>
            </w:tcBorders>
            <w:shd w:val="clear" w:color="auto" w:fill="FABF8F"/>
            <w:vAlign w:val="center"/>
          </w:tcPr>
          <w:p w:rsidR="001A63C6" w:rsidRPr="003410C7" w:rsidRDefault="001A63C6" w:rsidP="001A63C6">
            <w:pPr>
              <w:pStyle w:val="TableText"/>
              <w:widowControl w:val="0"/>
              <w:rPr>
                <w:rFonts w:ascii="Tahoma" w:hAnsi="Tahoma" w:cs="Tahoma"/>
                <w:sz w:val="13"/>
              </w:rPr>
            </w:pPr>
            <w:r w:rsidRPr="003410C7">
              <w:rPr>
                <w:rFonts w:ascii="Tahoma" w:hAnsi="Tahoma" w:cs="Tahoma"/>
                <w:sz w:val="13"/>
              </w:rPr>
              <w:t>63</w:t>
            </w:r>
          </w:p>
        </w:tc>
        <w:tc>
          <w:tcPr>
            <w:tcW w:w="450" w:type="dxa"/>
            <w:tcBorders>
              <w:bottom w:val="single" w:sz="4" w:space="0" w:color="auto"/>
            </w:tcBorders>
            <w:shd w:val="clear" w:color="auto" w:fill="FABF8F"/>
            <w:vAlign w:val="center"/>
          </w:tcPr>
          <w:p w:rsidR="001A63C6" w:rsidRPr="003410C7" w:rsidRDefault="001A63C6" w:rsidP="001A63C6">
            <w:pPr>
              <w:pStyle w:val="TableText"/>
              <w:widowControl w:val="0"/>
              <w:rPr>
                <w:rFonts w:ascii="Tahoma" w:hAnsi="Tahoma" w:cs="Tahoma"/>
                <w:sz w:val="13"/>
              </w:rPr>
            </w:pPr>
            <w:r w:rsidRPr="003410C7">
              <w:rPr>
                <w:rFonts w:ascii="Tahoma" w:hAnsi="Tahoma" w:cs="Tahoma"/>
                <w:sz w:val="13"/>
              </w:rPr>
              <w:t>50</w:t>
            </w:r>
          </w:p>
        </w:tc>
        <w:tc>
          <w:tcPr>
            <w:tcW w:w="450" w:type="dxa"/>
            <w:tcBorders>
              <w:bottom w:val="single" w:sz="4" w:space="0" w:color="auto"/>
            </w:tcBorders>
            <w:shd w:val="clear" w:color="auto" w:fill="FABF8F"/>
            <w:vAlign w:val="center"/>
          </w:tcPr>
          <w:p w:rsidR="001A63C6" w:rsidRPr="003410C7" w:rsidRDefault="001A63C6" w:rsidP="001A63C6">
            <w:pPr>
              <w:pStyle w:val="TableText"/>
              <w:widowControl w:val="0"/>
              <w:rPr>
                <w:rFonts w:ascii="Tahoma" w:hAnsi="Tahoma" w:cs="Tahoma"/>
                <w:sz w:val="13"/>
              </w:rPr>
            </w:pPr>
            <w:r w:rsidRPr="003410C7">
              <w:rPr>
                <w:rFonts w:ascii="Tahoma" w:hAnsi="Tahoma" w:cs="Tahoma"/>
                <w:sz w:val="13"/>
              </w:rPr>
              <w:t>38</w:t>
            </w:r>
          </w:p>
        </w:tc>
        <w:tc>
          <w:tcPr>
            <w:tcW w:w="450" w:type="dxa"/>
            <w:tcBorders>
              <w:bottom w:val="single" w:sz="4" w:space="0" w:color="auto"/>
            </w:tcBorders>
            <w:shd w:val="clear" w:color="auto" w:fill="FABF8F"/>
            <w:vAlign w:val="center"/>
          </w:tcPr>
          <w:p w:rsidR="001A63C6" w:rsidRPr="003410C7" w:rsidRDefault="001A63C6" w:rsidP="001A63C6">
            <w:pPr>
              <w:pStyle w:val="TableText"/>
              <w:widowControl w:val="0"/>
              <w:rPr>
                <w:rFonts w:ascii="Tahoma" w:hAnsi="Tahoma" w:cs="Tahoma"/>
                <w:sz w:val="13"/>
              </w:rPr>
            </w:pPr>
            <w:r w:rsidRPr="003410C7">
              <w:rPr>
                <w:rFonts w:ascii="Tahoma" w:hAnsi="Tahoma" w:cs="Tahoma"/>
                <w:sz w:val="13"/>
              </w:rPr>
              <w:t>38</w:t>
            </w:r>
          </w:p>
        </w:tc>
        <w:tc>
          <w:tcPr>
            <w:tcW w:w="450" w:type="dxa"/>
            <w:tcBorders>
              <w:bottom w:val="single" w:sz="4" w:space="0" w:color="auto"/>
            </w:tcBorders>
            <w:shd w:val="clear" w:color="auto" w:fill="FABF8F"/>
            <w:vAlign w:val="center"/>
          </w:tcPr>
          <w:p w:rsidR="001A63C6" w:rsidRPr="003410C7" w:rsidRDefault="001A63C6" w:rsidP="001A63C6">
            <w:pPr>
              <w:pStyle w:val="TableText"/>
              <w:widowControl w:val="0"/>
              <w:rPr>
                <w:rFonts w:ascii="Tahoma" w:hAnsi="Tahoma" w:cs="Tahoma"/>
                <w:sz w:val="13"/>
              </w:rPr>
            </w:pPr>
            <w:r w:rsidRPr="003410C7">
              <w:rPr>
                <w:rFonts w:ascii="Tahoma" w:hAnsi="Tahoma" w:cs="Tahoma"/>
                <w:sz w:val="13"/>
              </w:rPr>
              <w:t>25</w:t>
            </w:r>
          </w:p>
        </w:tc>
        <w:tc>
          <w:tcPr>
            <w:tcW w:w="360" w:type="dxa"/>
            <w:tcBorders>
              <w:bottom w:val="single" w:sz="4" w:space="0" w:color="auto"/>
              <w:right w:val="single" w:sz="18" w:space="0" w:color="auto"/>
            </w:tcBorders>
            <w:shd w:val="clear" w:color="auto" w:fill="FABF8F"/>
            <w:vAlign w:val="center"/>
          </w:tcPr>
          <w:p w:rsidR="001A63C6" w:rsidRPr="003410C7" w:rsidRDefault="001A63C6" w:rsidP="001A63C6">
            <w:pPr>
              <w:pStyle w:val="TableText"/>
              <w:widowControl w:val="0"/>
              <w:rPr>
                <w:rFonts w:ascii="Tahoma" w:hAnsi="Tahoma" w:cs="Tahoma"/>
                <w:sz w:val="13"/>
              </w:rPr>
            </w:pPr>
            <w:r w:rsidRPr="003410C7">
              <w:rPr>
                <w:rFonts w:ascii="Tahoma" w:hAnsi="Tahoma" w:cs="Tahoma"/>
                <w:sz w:val="13"/>
              </w:rPr>
              <w:t>13</w:t>
            </w:r>
          </w:p>
        </w:tc>
        <w:tc>
          <w:tcPr>
            <w:tcW w:w="450" w:type="dxa"/>
            <w:tcBorders>
              <w:left w:val="single" w:sz="18" w:space="0" w:color="auto"/>
              <w:bottom w:val="single" w:sz="4" w:space="0" w:color="auto"/>
            </w:tcBorders>
            <w:shd w:val="clear" w:color="auto" w:fill="FABF8F"/>
            <w:vAlign w:val="center"/>
          </w:tcPr>
          <w:p w:rsidR="001A63C6" w:rsidRPr="003410C7" w:rsidRDefault="001A63C6" w:rsidP="001A63C6">
            <w:pPr>
              <w:pStyle w:val="TableText"/>
              <w:widowControl w:val="0"/>
              <w:rPr>
                <w:rFonts w:ascii="Tahoma" w:hAnsi="Tahoma" w:cs="Tahoma"/>
                <w:sz w:val="13"/>
              </w:rPr>
            </w:pPr>
            <w:r w:rsidRPr="003410C7">
              <w:rPr>
                <w:rFonts w:ascii="Tahoma" w:hAnsi="Tahoma" w:cs="Tahoma"/>
                <w:sz w:val="13"/>
              </w:rPr>
              <w:t>25</w:t>
            </w:r>
          </w:p>
        </w:tc>
        <w:tc>
          <w:tcPr>
            <w:tcW w:w="450" w:type="dxa"/>
            <w:tcBorders>
              <w:bottom w:val="single" w:sz="4" w:space="0" w:color="auto"/>
            </w:tcBorders>
            <w:shd w:val="clear" w:color="auto" w:fill="FABF8F"/>
            <w:vAlign w:val="center"/>
          </w:tcPr>
          <w:p w:rsidR="001A63C6" w:rsidRPr="003410C7" w:rsidRDefault="001A63C6" w:rsidP="001A63C6">
            <w:pPr>
              <w:pStyle w:val="TableText"/>
              <w:widowControl w:val="0"/>
              <w:rPr>
                <w:rFonts w:ascii="Tahoma" w:hAnsi="Tahoma" w:cs="Tahoma"/>
                <w:sz w:val="13"/>
              </w:rPr>
            </w:pPr>
            <w:r w:rsidRPr="003410C7">
              <w:rPr>
                <w:rFonts w:ascii="Tahoma" w:hAnsi="Tahoma" w:cs="Tahoma"/>
                <w:sz w:val="13"/>
              </w:rPr>
              <w:t>50</w:t>
            </w:r>
          </w:p>
        </w:tc>
        <w:tc>
          <w:tcPr>
            <w:tcW w:w="450" w:type="dxa"/>
            <w:tcBorders>
              <w:bottom w:val="single" w:sz="4" w:space="0" w:color="auto"/>
              <w:right w:val="single" w:sz="18" w:space="0" w:color="auto"/>
            </w:tcBorders>
            <w:shd w:val="clear" w:color="auto" w:fill="FABF8F"/>
            <w:vAlign w:val="center"/>
          </w:tcPr>
          <w:p w:rsidR="001A63C6" w:rsidRPr="003410C7" w:rsidRDefault="001A63C6" w:rsidP="001A63C6">
            <w:pPr>
              <w:pStyle w:val="TableText"/>
              <w:widowControl w:val="0"/>
              <w:rPr>
                <w:rFonts w:ascii="Tahoma" w:hAnsi="Tahoma" w:cs="Tahoma"/>
                <w:sz w:val="13"/>
              </w:rPr>
            </w:pPr>
            <w:r w:rsidRPr="003410C7">
              <w:rPr>
                <w:rFonts w:ascii="Tahoma" w:hAnsi="Tahoma" w:cs="Tahoma"/>
                <w:sz w:val="13"/>
              </w:rPr>
              <w:t>25</w:t>
            </w:r>
          </w:p>
        </w:tc>
        <w:tc>
          <w:tcPr>
            <w:tcW w:w="450" w:type="dxa"/>
            <w:tcBorders>
              <w:left w:val="single" w:sz="18" w:space="0" w:color="auto"/>
              <w:bottom w:val="single" w:sz="4" w:space="0" w:color="auto"/>
            </w:tcBorders>
            <w:shd w:val="clear" w:color="auto" w:fill="FABF8F"/>
            <w:vAlign w:val="center"/>
          </w:tcPr>
          <w:p w:rsidR="001A63C6" w:rsidRPr="003410C7" w:rsidRDefault="001A63C6" w:rsidP="001A63C6">
            <w:pPr>
              <w:pStyle w:val="TableText"/>
              <w:widowControl w:val="0"/>
              <w:rPr>
                <w:rFonts w:ascii="Tahoma" w:hAnsi="Tahoma" w:cs="Tahoma"/>
                <w:sz w:val="13"/>
              </w:rPr>
            </w:pPr>
            <w:r w:rsidRPr="003410C7">
              <w:rPr>
                <w:rFonts w:ascii="Tahoma" w:hAnsi="Tahoma" w:cs="Tahoma"/>
                <w:sz w:val="13"/>
              </w:rPr>
              <w:t>25</w:t>
            </w:r>
          </w:p>
        </w:tc>
        <w:tc>
          <w:tcPr>
            <w:tcW w:w="450" w:type="dxa"/>
            <w:tcBorders>
              <w:bottom w:val="single" w:sz="4" w:space="0" w:color="auto"/>
              <w:right w:val="single" w:sz="18" w:space="0" w:color="auto"/>
            </w:tcBorders>
            <w:shd w:val="clear" w:color="auto" w:fill="FABF8F"/>
            <w:vAlign w:val="center"/>
          </w:tcPr>
          <w:p w:rsidR="001A63C6" w:rsidRPr="003410C7" w:rsidRDefault="001A63C6" w:rsidP="001A63C6">
            <w:pPr>
              <w:pStyle w:val="TableText"/>
              <w:widowControl w:val="0"/>
              <w:rPr>
                <w:rFonts w:ascii="Tahoma" w:hAnsi="Tahoma" w:cs="Tahoma"/>
                <w:sz w:val="13"/>
              </w:rPr>
            </w:pPr>
            <w:r w:rsidRPr="003410C7">
              <w:rPr>
                <w:rFonts w:ascii="Tahoma" w:hAnsi="Tahoma" w:cs="Tahoma"/>
                <w:sz w:val="13"/>
              </w:rPr>
              <w:t>A,S,D</w:t>
            </w: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3410C7" w:rsidRDefault="001A63C6" w:rsidP="001A63C6">
            <w:pPr>
              <w:pStyle w:val="TableText"/>
              <w:widowControl w:val="0"/>
              <w:rPr>
                <w:rFonts w:ascii="Tahoma" w:hAnsi="Tahoma" w:cs="Tahoma"/>
                <w:sz w:val="13"/>
              </w:rPr>
            </w:pPr>
            <w:r w:rsidRPr="003410C7">
              <w:rPr>
                <w:rFonts w:ascii="Tahoma" w:hAnsi="Tahoma" w:cs="Tahoma"/>
                <w:sz w:val="13"/>
              </w:rPr>
              <w:t>P</w:t>
            </w:r>
          </w:p>
        </w:tc>
        <w:tc>
          <w:tcPr>
            <w:tcW w:w="450" w:type="dxa"/>
            <w:tcBorders>
              <w:bottom w:val="single" w:sz="4" w:space="0" w:color="auto"/>
            </w:tcBorders>
            <w:shd w:val="clear" w:color="auto" w:fill="FABF8F"/>
            <w:vAlign w:val="center"/>
          </w:tcPr>
          <w:p w:rsidR="001A63C6" w:rsidRPr="003410C7" w:rsidRDefault="001A63C6" w:rsidP="001A63C6">
            <w:pPr>
              <w:pStyle w:val="TableText"/>
              <w:widowControl w:val="0"/>
              <w:rPr>
                <w:rFonts w:ascii="Tahoma" w:hAnsi="Tahoma" w:cs="Tahoma"/>
                <w:color w:val="000000"/>
                <w:sz w:val="13"/>
              </w:rPr>
            </w:pPr>
            <w:r w:rsidRPr="003410C7">
              <w:rPr>
                <w:rFonts w:ascii="Tahoma" w:hAnsi="Tahoma" w:cs="Tahoma"/>
                <w:sz w:val="13"/>
              </w:rPr>
              <w:t>A</w:t>
            </w:r>
          </w:p>
        </w:tc>
        <w:tc>
          <w:tcPr>
            <w:tcW w:w="540" w:type="dxa"/>
            <w:tcBorders>
              <w:bottom w:val="single" w:sz="4" w:space="0" w:color="auto"/>
            </w:tcBorders>
            <w:shd w:val="clear" w:color="auto" w:fill="FABF8F"/>
            <w:vAlign w:val="center"/>
          </w:tcPr>
          <w:p w:rsidR="001A63C6" w:rsidRPr="003410C7" w:rsidRDefault="001A63C6" w:rsidP="001A63C6">
            <w:pPr>
              <w:pStyle w:val="TableText"/>
              <w:widowControl w:val="0"/>
              <w:rPr>
                <w:rFonts w:ascii="Tahoma" w:hAnsi="Tahoma" w:cs="Tahoma"/>
                <w:color w:val="000000"/>
                <w:sz w:val="13"/>
              </w:rPr>
            </w:pPr>
            <w:r w:rsidRPr="003410C7">
              <w:rPr>
                <w:rFonts w:ascii="Tahoma" w:hAnsi="Tahoma" w:cs="Tahoma"/>
                <w:color w:val="000000"/>
                <w:sz w:val="13"/>
              </w:rPr>
              <w:t>OL/OV</w:t>
            </w:r>
          </w:p>
        </w:tc>
      </w:tr>
      <w:tr w:rsidR="001A63C6" w:rsidRPr="003410C7" w:rsidTr="00136585">
        <w:trPr>
          <w:trHeight w:val="145"/>
        </w:trPr>
        <w:tc>
          <w:tcPr>
            <w:tcW w:w="2734" w:type="dxa"/>
            <w:gridSpan w:val="2"/>
            <w:tcBorders>
              <w:bottom w:val="single" w:sz="4" w:space="0" w:color="auto"/>
            </w:tcBorders>
            <w:shd w:val="clear" w:color="auto" w:fill="auto"/>
            <w:vAlign w:val="center"/>
          </w:tcPr>
          <w:p w:rsidR="001A63C6" w:rsidRPr="003410C7" w:rsidRDefault="001A63C6" w:rsidP="003410C7">
            <w:pPr>
              <w:pStyle w:val="ProductNames"/>
              <w:spacing w:beforeLines="20" w:before="48" w:afterLines="20" w:after="48"/>
              <w:rPr>
                <w:rFonts w:ascii="Tahoma" w:hAnsi="Tahoma" w:cs="Tahoma"/>
                <w:sz w:val="14"/>
              </w:rPr>
            </w:pPr>
            <w:bookmarkStart w:id="183" w:name="_Toc336337920"/>
            <w:bookmarkStart w:id="184" w:name="_Toc352234546"/>
            <w:r w:rsidRPr="003410C7">
              <w:rPr>
                <w:rFonts w:ascii="Tahoma" w:hAnsi="Tahoma" w:cs="Tahoma"/>
                <w:sz w:val="14"/>
              </w:rPr>
              <w:t>BizTalk</w:t>
            </w:r>
            <w:r w:rsidR="003410C7" w:rsidRPr="003410C7">
              <w:rPr>
                <w:rFonts w:cs="Tahoma"/>
                <w:szCs w:val="18"/>
                <w:vertAlign w:val="superscript"/>
              </w:rPr>
              <w:t>®</w:t>
            </w:r>
            <w:r w:rsidRPr="003410C7">
              <w:rPr>
                <w:rFonts w:ascii="Tahoma" w:hAnsi="Tahoma" w:cs="Tahoma"/>
                <w:sz w:val="14"/>
              </w:rPr>
              <w:t xml:space="preserve"> Server 2013 Enterprise Edition</w:t>
            </w:r>
            <w:bookmarkEnd w:id="183"/>
            <w:bookmarkEnd w:id="184"/>
          </w:p>
        </w:tc>
        <w:tc>
          <w:tcPr>
            <w:tcW w:w="450" w:type="dxa"/>
            <w:tcBorders>
              <w:bottom w:val="single" w:sz="4" w:space="0" w:color="auto"/>
            </w:tcBorders>
            <w:shd w:val="clear" w:color="auto" w:fill="auto"/>
            <w:vAlign w:val="center"/>
          </w:tcPr>
          <w:p w:rsidR="001A63C6" w:rsidRPr="009F17FF" w:rsidRDefault="00FC1A4D" w:rsidP="00136585">
            <w:pPr>
              <w:pStyle w:val="TableText"/>
              <w:widowControl w:val="0"/>
              <w:rPr>
                <w:rStyle w:val="EndnoteReference"/>
                <w:rFonts w:cs="Tahoma"/>
                <w:b w:val="0"/>
                <w:color w:val="0000FF"/>
                <w:sz w:val="13"/>
                <w:szCs w:val="13"/>
                <w:u w:val="single"/>
              </w:rPr>
            </w:pPr>
            <w:hyperlink w:anchor="_32_BizTalk_Server®" w:history="1">
              <w:r w:rsidR="00136585" w:rsidRPr="009F17FF">
                <w:rPr>
                  <w:rStyle w:val="Hyperlink"/>
                  <w:rFonts w:cs="Tahoma"/>
                  <w:b/>
                  <w:sz w:val="13"/>
                  <w:szCs w:val="13"/>
                </w:rPr>
                <w:t>32</w:t>
              </w:r>
            </w:hyperlink>
          </w:p>
        </w:tc>
        <w:tc>
          <w:tcPr>
            <w:tcW w:w="450" w:type="dxa"/>
            <w:tcBorders>
              <w:bottom w:val="single" w:sz="4" w:space="0" w:color="auto"/>
            </w:tcBorders>
            <w:shd w:val="clear" w:color="auto" w:fill="auto"/>
            <w:vAlign w:val="center"/>
          </w:tcPr>
          <w:p w:rsidR="001A63C6" w:rsidRPr="003410C7" w:rsidRDefault="004D199A" w:rsidP="001A63C6">
            <w:pPr>
              <w:pStyle w:val="TableText"/>
              <w:widowControl w:val="0"/>
              <w:rPr>
                <w:rFonts w:ascii="Tahoma" w:hAnsi="Tahoma" w:cs="Tahoma"/>
                <w:color w:val="000000"/>
                <w:sz w:val="13"/>
              </w:rPr>
            </w:pPr>
            <w:r w:rsidRPr="003410C7">
              <w:rPr>
                <w:rFonts w:ascii="Tahoma" w:hAnsi="Tahoma" w:cs="Tahoma"/>
                <w:color w:val="000000"/>
                <w:sz w:val="13"/>
              </w:rPr>
              <w:t>4/13</w:t>
            </w:r>
          </w:p>
        </w:tc>
        <w:tc>
          <w:tcPr>
            <w:tcW w:w="360" w:type="dxa"/>
            <w:tcBorders>
              <w:bottom w:val="single" w:sz="4" w:space="0" w:color="auto"/>
              <w:right w:val="single" w:sz="18" w:space="0" w:color="auto"/>
            </w:tcBorders>
            <w:shd w:val="clear" w:color="auto" w:fill="auto"/>
            <w:vAlign w:val="center"/>
          </w:tcPr>
          <w:p w:rsidR="001A63C6" w:rsidRPr="003410C7" w:rsidRDefault="001A63C6" w:rsidP="001A63C6">
            <w:pPr>
              <w:pStyle w:val="TableText"/>
              <w:widowControl w:val="0"/>
              <w:rPr>
                <w:rFonts w:ascii="Tahoma" w:hAnsi="Tahoma" w:cs="Tahoma"/>
                <w:color w:val="000000"/>
                <w:sz w:val="13"/>
              </w:rPr>
            </w:pPr>
            <w:r w:rsidRPr="003410C7">
              <w:rPr>
                <w:rFonts w:ascii="Tahoma" w:hAnsi="Tahoma" w:cs="Tahoma"/>
                <w:color w:val="000000"/>
                <w:sz w:val="13"/>
              </w:rPr>
              <w:t>SRV</w:t>
            </w:r>
          </w:p>
        </w:tc>
        <w:tc>
          <w:tcPr>
            <w:tcW w:w="360" w:type="dxa"/>
            <w:tcBorders>
              <w:left w:val="single" w:sz="18" w:space="0" w:color="auto"/>
              <w:bottom w:val="single" w:sz="4" w:space="0" w:color="auto"/>
            </w:tcBorders>
            <w:shd w:val="clear" w:color="auto" w:fill="auto"/>
            <w:vAlign w:val="center"/>
          </w:tcPr>
          <w:p w:rsidR="001A63C6" w:rsidRPr="003410C7" w:rsidRDefault="001A63C6" w:rsidP="001A63C6">
            <w:pPr>
              <w:pStyle w:val="TableText"/>
              <w:widowControl w:val="0"/>
              <w:rPr>
                <w:rFonts w:ascii="Tahoma" w:hAnsi="Tahoma" w:cs="Tahoma"/>
                <w:sz w:val="13"/>
              </w:rPr>
            </w:pPr>
            <w:r w:rsidRPr="003410C7">
              <w:rPr>
                <w:rFonts w:ascii="Tahoma" w:hAnsi="Tahoma" w:cs="Tahoma"/>
                <w:sz w:val="13"/>
              </w:rPr>
              <w:t>200</w:t>
            </w:r>
          </w:p>
        </w:tc>
        <w:tc>
          <w:tcPr>
            <w:tcW w:w="450" w:type="dxa"/>
            <w:tcBorders>
              <w:bottom w:val="single" w:sz="4" w:space="0" w:color="auto"/>
            </w:tcBorders>
            <w:shd w:val="clear" w:color="auto" w:fill="auto"/>
            <w:vAlign w:val="center"/>
          </w:tcPr>
          <w:p w:rsidR="001A63C6" w:rsidRPr="003410C7" w:rsidRDefault="001A63C6" w:rsidP="001A63C6">
            <w:pPr>
              <w:pStyle w:val="TableText"/>
              <w:widowControl w:val="0"/>
              <w:rPr>
                <w:rFonts w:ascii="Tahoma" w:hAnsi="Tahoma" w:cs="Tahoma"/>
                <w:sz w:val="13"/>
              </w:rPr>
            </w:pPr>
            <w:r w:rsidRPr="003410C7">
              <w:rPr>
                <w:rFonts w:ascii="Tahoma" w:hAnsi="Tahoma" w:cs="Tahoma"/>
                <w:sz w:val="13"/>
              </w:rPr>
              <w:t>500</w:t>
            </w:r>
          </w:p>
        </w:tc>
        <w:tc>
          <w:tcPr>
            <w:tcW w:w="450" w:type="dxa"/>
            <w:tcBorders>
              <w:bottom w:val="single" w:sz="4" w:space="0" w:color="auto"/>
            </w:tcBorders>
            <w:shd w:val="clear" w:color="auto" w:fill="auto"/>
            <w:vAlign w:val="center"/>
          </w:tcPr>
          <w:p w:rsidR="001A63C6" w:rsidRPr="003410C7" w:rsidRDefault="001A63C6" w:rsidP="001A63C6">
            <w:pPr>
              <w:pStyle w:val="TableText"/>
              <w:widowControl w:val="0"/>
              <w:rPr>
                <w:rFonts w:ascii="Tahoma" w:hAnsi="Tahoma" w:cs="Tahoma"/>
                <w:sz w:val="13"/>
              </w:rPr>
            </w:pPr>
            <w:r w:rsidRPr="003410C7">
              <w:rPr>
                <w:rFonts w:ascii="Tahoma" w:hAnsi="Tahoma" w:cs="Tahoma"/>
                <w:sz w:val="13"/>
              </w:rPr>
              <w:t>400</w:t>
            </w:r>
          </w:p>
        </w:tc>
        <w:tc>
          <w:tcPr>
            <w:tcW w:w="450" w:type="dxa"/>
            <w:tcBorders>
              <w:bottom w:val="single" w:sz="4" w:space="0" w:color="auto"/>
            </w:tcBorders>
            <w:shd w:val="clear" w:color="auto" w:fill="auto"/>
            <w:vAlign w:val="center"/>
          </w:tcPr>
          <w:p w:rsidR="001A63C6" w:rsidRPr="003410C7" w:rsidRDefault="001A63C6" w:rsidP="001A63C6">
            <w:pPr>
              <w:pStyle w:val="TableText"/>
              <w:widowControl w:val="0"/>
              <w:rPr>
                <w:rFonts w:ascii="Tahoma" w:hAnsi="Tahoma" w:cs="Tahoma"/>
                <w:sz w:val="13"/>
              </w:rPr>
            </w:pPr>
            <w:r w:rsidRPr="003410C7">
              <w:rPr>
                <w:rFonts w:ascii="Tahoma" w:hAnsi="Tahoma" w:cs="Tahoma"/>
                <w:sz w:val="13"/>
              </w:rPr>
              <w:t>300</w:t>
            </w:r>
          </w:p>
        </w:tc>
        <w:tc>
          <w:tcPr>
            <w:tcW w:w="450" w:type="dxa"/>
            <w:tcBorders>
              <w:bottom w:val="single" w:sz="4" w:space="0" w:color="auto"/>
            </w:tcBorders>
            <w:shd w:val="clear" w:color="auto" w:fill="auto"/>
            <w:vAlign w:val="center"/>
          </w:tcPr>
          <w:p w:rsidR="001A63C6" w:rsidRPr="003410C7" w:rsidRDefault="001A63C6" w:rsidP="001A63C6">
            <w:pPr>
              <w:pStyle w:val="TableText"/>
              <w:widowControl w:val="0"/>
              <w:rPr>
                <w:rFonts w:ascii="Tahoma" w:hAnsi="Tahoma" w:cs="Tahoma"/>
                <w:sz w:val="13"/>
              </w:rPr>
            </w:pPr>
            <w:r w:rsidRPr="003410C7">
              <w:rPr>
                <w:rFonts w:ascii="Tahoma" w:hAnsi="Tahoma" w:cs="Tahoma"/>
                <w:sz w:val="13"/>
              </w:rPr>
              <w:t>300</w:t>
            </w:r>
          </w:p>
        </w:tc>
        <w:tc>
          <w:tcPr>
            <w:tcW w:w="450" w:type="dxa"/>
            <w:tcBorders>
              <w:bottom w:val="single" w:sz="4" w:space="0" w:color="auto"/>
            </w:tcBorders>
            <w:shd w:val="clear" w:color="auto" w:fill="auto"/>
            <w:vAlign w:val="center"/>
          </w:tcPr>
          <w:p w:rsidR="001A63C6" w:rsidRPr="003410C7" w:rsidRDefault="001A63C6" w:rsidP="001A63C6">
            <w:pPr>
              <w:pStyle w:val="TableText"/>
              <w:widowControl w:val="0"/>
              <w:rPr>
                <w:rFonts w:ascii="Tahoma" w:hAnsi="Tahoma" w:cs="Tahoma"/>
                <w:sz w:val="13"/>
              </w:rPr>
            </w:pPr>
            <w:r w:rsidRPr="003410C7">
              <w:rPr>
                <w:rFonts w:ascii="Tahoma" w:hAnsi="Tahoma" w:cs="Tahoma"/>
                <w:sz w:val="13"/>
              </w:rPr>
              <w:t>200</w:t>
            </w:r>
          </w:p>
        </w:tc>
        <w:tc>
          <w:tcPr>
            <w:tcW w:w="360" w:type="dxa"/>
            <w:tcBorders>
              <w:bottom w:val="single" w:sz="4" w:space="0" w:color="auto"/>
              <w:right w:val="single" w:sz="18" w:space="0" w:color="auto"/>
            </w:tcBorders>
            <w:shd w:val="clear" w:color="auto" w:fill="auto"/>
            <w:vAlign w:val="center"/>
          </w:tcPr>
          <w:p w:rsidR="001A63C6" w:rsidRPr="003410C7" w:rsidRDefault="001A63C6" w:rsidP="001A63C6">
            <w:pPr>
              <w:pStyle w:val="TableText"/>
              <w:widowControl w:val="0"/>
              <w:rPr>
                <w:rFonts w:ascii="Tahoma" w:hAnsi="Tahoma" w:cs="Tahoma"/>
                <w:sz w:val="13"/>
              </w:rPr>
            </w:pPr>
            <w:r w:rsidRPr="003410C7">
              <w:rPr>
                <w:rFonts w:ascii="Tahoma" w:hAnsi="Tahoma" w:cs="Tahoma"/>
                <w:sz w:val="13"/>
              </w:rPr>
              <w:t>100</w:t>
            </w:r>
          </w:p>
        </w:tc>
        <w:tc>
          <w:tcPr>
            <w:tcW w:w="450" w:type="dxa"/>
            <w:tcBorders>
              <w:left w:val="single" w:sz="18" w:space="0" w:color="auto"/>
              <w:bottom w:val="single" w:sz="4" w:space="0" w:color="auto"/>
            </w:tcBorders>
            <w:shd w:val="clear" w:color="auto" w:fill="auto"/>
            <w:vAlign w:val="center"/>
          </w:tcPr>
          <w:p w:rsidR="001A63C6" w:rsidRPr="003410C7" w:rsidRDefault="001A63C6" w:rsidP="001A63C6">
            <w:pPr>
              <w:pStyle w:val="TableText"/>
              <w:widowControl w:val="0"/>
              <w:rPr>
                <w:rFonts w:ascii="Tahoma" w:hAnsi="Tahoma" w:cs="Tahoma"/>
                <w:sz w:val="13"/>
              </w:rPr>
            </w:pPr>
            <w:r w:rsidRPr="003410C7">
              <w:rPr>
                <w:rFonts w:ascii="Tahoma" w:hAnsi="Tahoma" w:cs="Tahoma"/>
                <w:sz w:val="13"/>
              </w:rPr>
              <w:t>200</w:t>
            </w:r>
          </w:p>
        </w:tc>
        <w:tc>
          <w:tcPr>
            <w:tcW w:w="450" w:type="dxa"/>
            <w:tcBorders>
              <w:bottom w:val="single" w:sz="4" w:space="0" w:color="auto"/>
            </w:tcBorders>
            <w:shd w:val="clear" w:color="auto" w:fill="auto"/>
            <w:vAlign w:val="center"/>
          </w:tcPr>
          <w:p w:rsidR="001A63C6" w:rsidRPr="003410C7" w:rsidRDefault="001A63C6" w:rsidP="001A63C6">
            <w:pPr>
              <w:pStyle w:val="TableText"/>
              <w:widowControl w:val="0"/>
              <w:rPr>
                <w:rFonts w:ascii="Tahoma" w:hAnsi="Tahoma" w:cs="Tahoma"/>
                <w:sz w:val="13"/>
              </w:rPr>
            </w:pPr>
            <w:r w:rsidRPr="003410C7">
              <w:rPr>
                <w:rFonts w:ascii="Tahoma" w:hAnsi="Tahoma" w:cs="Tahoma"/>
                <w:sz w:val="13"/>
              </w:rPr>
              <w:t>400</w:t>
            </w:r>
          </w:p>
        </w:tc>
        <w:tc>
          <w:tcPr>
            <w:tcW w:w="450" w:type="dxa"/>
            <w:tcBorders>
              <w:bottom w:val="single" w:sz="4" w:space="0" w:color="auto"/>
              <w:right w:val="single" w:sz="18" w:space="0" w:color="auto"/>
            </w:tcBorders>
            <w:shd w:val="clear" w:color="auto" w:fill="auto"/>
            <w:vAlign w:val="center"/>
          </w:tcPr>
          <w:p w:rsidR="001A63C6" w:rsidRPr="003410C7" w:rsidRDefault="001A63C6" w:rsidP="001A63C6">
            <w:pPr>
              <w:pStyle w:val="TableText"/>
              <w:widowControl w:val="0"/>
              <w:rPr>
                <w:rFonts w:ascii="Tahoma" w:hAnsi="Tahoma" w:cs="Tahoma"/>
                <w:sz w:val="13"/>
              </w:rPr>
            </w:pPr>
            <w:r w:rsidRPr="003410C7">
              <w:rPr>
                <w:rFonts w:ascii="Tahoma" w:hAnsi="Tahoma" w:cs="Tahoma"/>
                <w:sz w:val="13"/>
              </w:rPr>
              <w:t>200</w:t>
            </w:r>
          </w:p>
        </w:tc>
        <w:tc>
          <w:tcPr>
            <w:tcW w:w="450" w:type="dxa"/>
            <w:tcBorders>
              <w:left w:val="single" w:sz="18" w:space="0" w:color="auto"/>
              <w:bottom w:val="single" w:sz="4" w:space="0" w:color="auto"/>
            </w:tcBorders>
            <w:shd w:val="clear" w:color="auto" w:fill="auto"/>
            <w:vAlign w:val="center"/>
          </w:tcPr>
          <w:p w:rsidR="001A63C6" w:rsidRPr="003410C7" w:rsidRDefault="001A63C6" w:rsidP="001A63C6">
            <w:pPr>
              <w:pStyle w:val="TableText"/>
              <w:widowControl w:val="0"/>
              <w:rPr>
                <w:rFonts w:ascii="Tahoma" w:hAnsi="Tahoma" w:cs="Tahoma"/>
                <w:sz w:val="13"/>
              </w:rPr>
            </w:pPr>
            <w:r w:rsidRPr="003410C7">
              <w:rPr>
                <w:rFonts w:ascii="Tahoma" w:hAnsi="Tahoma" w:cs="Tahoma"/>
                <w:sz w:val="13"/>
              </w:rPr>
              <w:t>200</w:t>
            </w:r>
          </w:p>
        </w:tc>
        <w:tc>
          <w:tcPr>
            <w:tcW w:w="450" w:type="dxa"/>
            <w:tcBorders>
              <w:bottom w:val="single" w:sz="4" w:space="0" w:color="auto"/>
              <w:right w:val="single" w:sz="18" w:space="0" w:color="auto"/>
            </w:tcBorders>
            <w:shd w:val="clear" w:color="auto" w:fill="auto"/>
            <w:vAlign w:val="center"/>
          </w:tcPr>
          <w:p w:rsidR="001A63C6" w:rsidRPr="003410C7" w:rsidRDefault="001A63C6" w:rsidP="001A63C6">
            <w:pPr>
              <w:pStyle w:val="TableText"/>
              <w:widowControl w:val="0"/>
              <w:rPr>
                <w:rFonts w:ascii="Tahoma" w:hAnsi="Tahoma" w:cs="Tahoma"/>
                <w:sz w:val="13"/>
              </w:rPr>
            </w:pPr>
            <w:r w:rsidRPr="003410C7">
              <w:rPr>
                <w:rFonts w:ascii="Tahoma" w:hAnsi="Tahoma" w:cs="Tahoma"/>
                <w:sz w:val="13"/>
              </w:rPr>
              <w:t>A,S</w:t>
            </w:r>
          </w:p>
        </w:tc>
        <w:tc>
          <w:tcPr>
            <w:tcW w:w="450" w:type="dxa"/>
            <w:tcBorders>
              <w:left w:val="single" w:sz="18" w:space="0" w:color="auto"/>
              <w:bottom w:val="single" w:sz="4" w:space="0" w:color="auto"/>
              <w:right w:val="single" w:sz="18" w:space="0" w:color="auto"/>
            </w:tcBorders>
            <w:shd w:val="clear" w:color="auto" w:fill="auto"/>
            <w:vAlign w:val="center"/>
          </w:tcPr>
          <w:p w:rsidR="001A63C6" w:rsidRPr="003410C7" w:rsidRDefault="001A63C6" w:rsidP="001A63C6">
            <w:pPr>
              <w:pStyle w:val="TableText"/>
              <w:widowControl w:val="0"/>
              <w:rPr>
                <w:rFonts w:ascii="Tahoma" w:hAnsi="Tahoma" w:cs="Tahoma"/>
                <w:sz w:val="13"/>
              </w:rPr>
            </w:pPr>
            <w:r w:rsidRPr="003410C7">
              <w:rPr>
                <w:rFonts w:ascii="Tahoma" w:hAnsi="Tahoma" w:cs="Tahoma"/>
                <w:sz w:val="13"/>
              </w:rPr>
              <w:t>P</w:t>
            </w:r>
          </w:p>
        </w:tc>
        <w:tc>
          <w:tcPr>
            <w:tcW w:w="450" w:type="dxa"/>
            <w:tcBorders>
              <w:bottom w:val="single" w:sz="4" w:space="0" w:color="auto"/>
            </w:tcBorders>
            <w:shd w:val="clear" w:color="auto" w:fill="auto"/>
            <w:vAlign w:val="center"/>
          </w:tcPr>
          <w:p w:rsidR="001A63C6" w:rsidRPr="003410C7" w:rsidRDefault="001A63C6" w:rsidP="001A63C6">
            <w:pPr>
              <w:pStyle w:val="TableText"/>
              <w:widowControl w:val="0"/>
              <w:rPr>
                <w:rFonts w:ascii="Tahoma" w:hAnsi="Tahoma" w:cs="Tahoma"/>
                <w:color w:val="000000"/>
                <w:sz w:val="13"/>
              </w:rPr>
            </w:pPr>
            <w:r w:rsidRPr="003410C7">
              <w:rPr>
                <w:rFonts w:ascii="Tahoma" w:hAnsi="Tahoma" w:cs="Tahoma"/>
                <w:sz w:val="13"/>
              </w:rPr>
              <w:t>A</w:t>
            </w:r>
          </w:p>
        </w:tc>
        <w:tc>
          <w:tcPr>
            <w:tcW w:w="540" w:type="dxa"/>
            <w:tcBorders>
              <w:bottom w:val="single" w:sz="4" w:space="0" w:color="auto"/>
            </w:tcBorders>
            <w:shd w:val="clear" w:color="auto" w:fill="auto"/>
            <w:vAlign w:val="center"/>
          </w:tcPr>
          <w:p w:rsidR="001A63C6" w:rsidRPr="003410C7" w:rsidRDefault="001A63C6" w:rsidP="001A63C6">
            <w:pPr>
              <w:pStyle w:val="TableText"/>
              <w:widowControl w:val="0"/>
              <w:rPr>
                <w:rFonts w:ascii="Tahoma" w:hAnsi="Tahoma" w:cs="Tahoma"/>
                <w:color w:val="000000"/>
                <w:sz w:val="13"/>
              </w:rPr>
            </w:pPr>
            <w:r w:rsidRPr="003410C7">
              <w:rPr>
                <w:rFonts w:ascii="Tahoma" w:hAnsi="Tahoma" w:cs="Tahoma"/>
                <w:color w:val="000000"/>
                <w:sz w:val="13"/>
              </w:rPr>
              <w:t>OL/OV</w:t>
            </w:r>
          </w:p>
        </w:tc>
      </w:tr>
      <w:tr w:rsidR="002B327C" w:rsidRPr="003410C7" w:rsidTr="006B1F3F">
        <w:trPr>
          <w:trHeight w:val="145"/>
        </w:trPr>
        <w:tc>
          <w:tcPr>
            <w:tcW w:w="2734" w:type="dxa"/>
            <w:gridSpan w:val="2"/>
            <w:tcBorders>
              <w:bottom w:val="single" w:sz="4" w:space="0" w:color="auto"/>
            </w:tcBorders>
            <w:shd w:val="clear" w:color="auto" w:fill="FABF8F"/>
            <w:vAlign w:val="center"/>
          </w:tcPr>
          <w:p w:rsidR="002B327C" w:rsidRPr="003410C7" w:rsidRDefault="002B327C" w:rsidP="003410C7">
            <w:pPr>
              <w:pStyle w:val="ProductNames"/>
              <w:spacing w:beforeLines="20" w:before="48" w:afterLines="20" w:after="48"/>
              <w:rPr>
                <w:rFonts w:ascii="Tahoma" w:hAnsi="Tahoma" w:cs="Tahoma"/>
                <w:sz w:val="14"/>
              </w:rPr>
            </w:pPr>
            <w:bookmarkStart w:id="185" w:name="_Toc352234547"/>
            <w:r w:rsidRPr="003410C7">
              <w:rPr>
                <w:rFonts w:ascii="Tahoma" w:hAnsi="Tahoma" w:cs="Tahoma"/>
                <w:sz w:val="14"/>
              </w:rPr>
              <w:t>BizTalk</w:t>
            </w:r>
            <w:r w:rsidR="003410C7" w:rsidRPr="003410C7">
              <w:rPr>
                <w:rFonts w:cs="Tahoma"/>
                <w:szCs w:val="18"/>
                <w:vertAlign w:val="superscript"/>
              </w:rPr>
              <w:t>®</w:t>
            </w:r>
            <w:r w:rsidRPr="003410C7">
              <w:rPr>
                <w:rFonts w:ascii="Tahoma" w:hAnsi="Tahoma" w:cs="Tahoma"/>
                <w:sz w:val="14"/>
              </w:rPr>
              <w:t xml:space="preserve"> Server 2013 Branch IDC</w:t>
            </w:r>
            <w:bookmarkEnd w:id="185"/>
          </w:p>
        </w:tc>
        <w:tc>
          <w:tcPr>
            <w:tcW w:w="450" w:type="dxa"/>
            <w:tcBorders>
              <w:bottom w:val="single" w:sz="4" w:space="0" w:color="auto"/>
            </w:tcBorders>
            <w:shd w:val="clear" w:color="auto" w:fill="FABF8F"/>
            <w:vAlign w:val="center"/>
          </w:tcPr>
          <w:p w:rsidR="002B327C" w:rsidRPr="009F17FF" w:rsidRDefault="002B327C" w:rsidP="001A63C6">
            <w:pPr>
              <w:pStyle w:val="TableText"/>
              <w:widowControl w:val="0"/>
              <w:rPr>
                <w:sz w:val="13"/>
                <w:szCs w:val="13"/>
              </w:rPr>
            </w:pPr>
          </w:p>
        </w:tc>
        <w:tc>
          <w:tcPr>
            <w:tcW w:w="450" w:type="dxa"/>
            <w:tcBorders>
              <w:bottom w:val="single" w:sz="4" w:space="0" w:color="auto"/>
            </w:tcBorders>
            <w:shd w:val="clear" w:color="auto" w:fill="FABF8F"/>
            <w:vAlign w:val="center"/>
          </w:tcPr>
          <w:p w:rsidR="002B327C" w:rsidRPr="003410C7" w:rsidDel="004D199A" w:rsidRDefault="002B327C" w:rsidP="001A63C6">
            <w:pPr>
              <w:pStyle w:val="TableText"/>
              <w:widowControl w:val="0"/>
              <w:rPr>
                <w:rFonts w:ascii="Tahoma" w:hAnsi="Tahoma" w:cs="Tahoma"/>
                <w:color w:val="000000"/>
                <w:sz w:val="13"/>
              </w:rPr>
            </w:pPr>
            <w:r w:rsidRPr="003410C7">
              <w:rPr>
                <w:rFonts w:ascii="Tahoma" w:hAnsi="Tahoma" w:cs="Tahoma"/>
                <w:color w:val="000000"/>
                <w:sz w:val="13"/>
              </w:rPr>
              <w:t>4/13</w:t>
            </w:r>
          </w:p>
        </w:tc>
        <w:tc>
          <w:tcPr>
            <w:tcW w:w="360" w:type="dxa"/>
            <w:tcBorders>
              <w:bottom w:val="single" w:sz="4" w:space="0" w:color="auto"/>
              <w:right w:val="single" w:sz="18" w:space="0" w:color="auto"/>
            </w:tcBorders>
            <w:shd w:val="clear" w:color="auto" w:fill="FABF8F"/>
            <w:vAlign w:val="center"/>
          </w:tcPr>
          <w:p w:rsidR="002B327C" w:rsidRPr="003410C7" w:rsidRDefault="002B327C" w:rsidP="001A63C6">
            <w:pPr>
              <w:pStyle w:val="TableText"/>
              <w:widowControl w:val="0"/>
              <w:rPr>
                <w:rFonts w:ascii="Tahoma" w:hAnsi="Tahoma" w:cs="Tahoma"/>
                <w:color w:val="000000"/>
                <w:sz w:val="13"/>
              </w:rPr>
            </w:pPr>
          </w:p>
        </w:tc>
        <w:tc>
          <w:tcPr>
            <w:tcW w:w="360" w:type="dxa"/>
            <w:tcBorders>
              <w:left w:val="single" w:sz="18" w:space="0" w:color="auto"/>
              <w:bottom w:val="single" w:sz="4" w:space="0" w:color="auto"/>
            </w:tcBorders>
            <w:shd w:val="clear" w:color="auto" w:fill="FABF8F"/>
            <w:vAlign w:val="center"/>
          </w:tcPr>
          <w:p w:rsidR="002B327C" w:rsidRPr="003410C7" w:rsidRDefault="002B327C"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2B327C" w:rsidRPr="003410C7" w:rsidRDefault="002B327C"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2B327C" w:rsidRPr="003410C7" w:rsidRDefault="002B327C"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2B327C" w:rsidRPr="003410C7" w:rsidRDefault="002B327C"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2B327C" w:rsidRPr="003410C7" w:rsidRDefault="002B327C"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2B327C" w:rsidRPr="003410C7" w:rsidRDefault="002B327C" w:rsidP="001A63C6">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rsidR="002B327C" w:rsidRPr="003410C7" w:rsidRDefault="002B327C"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2B327C" w:rsidRPr="003410C7" w:rsidRDefault="002B327C"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2B327C" w:rsidRPr="003410C7" w:rsidRDefault="002B327C"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2B327C" w:rsidRPr="003410C7" w:rsidRDefault="002B327C"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2B327C" w:rsidRPr="003410C7" w:rsidRDefault="002B327C"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2B327C" w:rsidRPr="003410C7" w:rsidRDefault="002B327C" w:rsidP="001A63C6">
            <w:pPr>
              <w:pStyle w:val="TableText"/>
              <w:widowControl w:val="0"/>
              <w:rPr>
                <w:rFonts w:ascii="Tahoma" w:hAnsi="Tahoma" w:cs="Tahoma"/>
                <w:sz w:val="13"/>
              </w:rPr>
            </w:pPr>
            <w:r w:rsidRPr="003410C7">
              <w:rPr>
                <w:rFonts w:ascii="Tahoma" w:hAnsi="Tahoma" w:cs="Tahoma"/>
                <w:sz w:val="13"/>
              </w:rPr>
              <w:t>D</w:t>
            </w:r>
          </w:p>
        </w:tc>
        <w:tc>
          <w:tcPr>
            <w:tcW w:w="450" w:type="dxa"/>
            <w:tcBorders>
              <w:left w:val="single" w:sz="18" w:space="0" w:color="auto"/>
              <w:bottom w:val="single" w:sz="4" w:space="0" w:color="auto"/>
              <w:right w:val="single" w:sz="18" w:space="0" w:color="auto"/>
            </w:tcBorders>
            <w:shd w:val="clear" w:color="auto" w:fill="FABF8F"/>
            <w:vAlign w:val="center"/>
          </w:tcPr>
          <w:p w:rsidR="002B327C" w:rsidRPr="003410C7" w:rsidRDefault="002B327C"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2B327C" w:rsidRPr="003410C7" w:rsidRDefault="002B327C" w:rsidP="001A63C6">
            <w:pPr>
              <w:pStyle w:val="TableText"/>
              <w:widowControl w:val="0"/>
              <w:rPr>
                <w:rFonts w:ascii="Tahoma" w:hAnsi="Tahoma" w:cs="Tahoma"/>
                <w:sz w:val="13"/>
              </w:rPr>
            </w:pPr>
          </w:p>
        </w:tc>
        <w:tc>
          <w:tcPr>
            <w:tcW w:w="540" w:type="dxa"/>
            <w:tcBorders>
              <w:bottom w:val="single" w:sz="4" w:space="0" w:color="auto"/>
            </w:tcBorders>
            <w:shd w:val="clear" w:color="auto" w:fill="FABF8F"/>
            <w:vAlign w:val="center"/>
          </w:tcPr>
          <w:p w:rsidR="002B327C" w:rsidRPr="003410C7" w:rsidRDefault="002B327C" w:rsidP="001A63C6">
            <w:pPr>
              <w:pStyle w:val="TableText"/>
              <w:widowControl w:val="0"/>
              <w:rPr>
                <w:rFonts w:ascii="Tahoma" w:hAnsi="Tahoma" w:cs="Tahoma"/>
                <w:color w:val="000000"/>
                <w:sz w:val="13"/>
              </w:rPr>
            </w:pPr>
          </w:p>
        </w:tc>
      </w:tr>
      <w:tr w:rsidR="001A63C6" w:rsidRPr="003410C7" w:rsidTr="007E466C">
        <w:trPr>
          <w:trHeight w:val="145"/>
        </w:trPr>
        <w:tc>
          <w:tcPr>
            <w:tcW w:w="2734" w:type="dxa"/>
            <w:gridSpan w:val="2"/>
            <w:tcBorders>
              <w:bottom w:val="single" w:sz="4" w:space="0" w:color="auto"/>
            </w:tcBorders>
            <w:shd w:val="clear" w:color="auto" w:fill="auto"/>
            <w:vAlign w:val="center"/>
          </w:tcPr>
          <w:p w:rsidR="001A63C6" w:rsidRPr="003410C7" w:rsidRDefault="001A63C6" w:rsidP="003410C7">
            <w:pPr>
              <w:pStyle w:val="ProductNames"/>
              <w:spacing w:beforeLines="20" w:before="48" w:afterLines="20" w:after="48"/>
              <w:rPr>
                <w:rFonts w:ascii="Tahoma" w:hAnsi="Tahoma" w:cs="Tahoma"/>
                <w:sz w:val="14"/>
              </w:rPr>
            </w:pPr>
            <w:bookmarkStart w:id="186" w:name="_Toc336337922"/>
            <w:bookmarkStart w:id="187" w:name="_Toc352234548"/>
            <w:r w:rsidRPr="003410C7">
              <w:rPr>
                <w:rFonts w:ascii="Tahoma" w:hAnsi="Tahoma" w:cs="Tahoma"/>
                <w:sz w:val="14"/>
              </w:rPr>
              <w:t>BizTalk</w:t>
            </w:r>
            <w:r w:rsidR="003410C7" w:rsidRPr="003410C7">
              <w:rPr>
                <w:rFonts w:cs="Tahoma"/>
                <w:szCs w:val="18"/>
                <w:vertAlign w:val="superscript"/>
              </w:rPr>
              <w:t>®</w:t>
            </w:r>
            <w:r w:rsidRPr="003410C7">
              <w:rPr>
                <w:rFonts w:ascii="Tahoma" w:hAnsi="Tahoma" w:cs="Tahoma"/>
                <w:sz w:val="14"/>
              </w:rPr>
              <w:t xml:space="preserve"> Server 2013 Standard Edition</w:t>
            </w:r>
            <w:bookmarkEnd w:id="186"/>
            <w:bookmarkEnd w:id="187"/>
            <w:r w:rsidRPr="003410C7">
              <w:rPr>
                <w:rFonts w:ascii="Tahoma" w:hAnsi="Tahoma" w:cs="Tahoma"/>
                <w:sz w:val="14"/>
              </w:rPr>
              <w:t xml:space="preserve"> </w:t>
            </w:r>
          </w:p>
        </w:tc>
        <w:tc>
          <w:tcPr>
            <w:tcW w:w="450" w:type="dxa"/>
            <w:tcBorders>
              <w:bottom w:val="single" w:sz="4" w:space="0" w:color="auto"/>
            </w:tcBorders>
            <w:shd w:val="clear" w:color="auto" w:fill="auto"/>
            <w:vAlign w:val="center"/>
          </w:tcPr>
          <w:p w:rsidR="001A63C6" w:rsidRPr="009F17FF" w:rsidRDefault="00FC1A4D" w:rsidP="00136585">
            <w:pPr>
              <w:pStyle w:val="TableText"/>
              <w:widowControl w:val="0"/>
              <w:rPr>
                <w:rStyle w:val="EndnoteReference"/>
                <w:rFonts w:cs="Tahoma"/>
                <w:b w:val="0"/>
                <w:color w:val="0000FF"/>
                <w:sz w:val="13"/>
                <w:szCs w:val="13"/>
                <w:u w:val="single"/>
              </w:rPr>
            </w:pPr>
            <w:hyperlink w:anchor="_33_BizTalk_Server®" w:history="1">
              <w:r w:rsidR="00136585" w:rsidRPr="009F17FF">
                <w:rPr>
                  <w:rStyle w:val="Hyperlink"/>
                  <w:rFonts w:cs="Tahoma"/>
                  <w:b/>
                  <w:sz w:val="13"/>
                  <w:szCs w:val="13"/>
                </w:rPr>
                <w:t>33</w:t>
              </w:r>
            </w:hyperlink>
          </w:p>
        </w:tc>
        <w:tc>
          <w:tcPr>
            <w:tcW w:w="450" w:type="dxa"/>
            <w:tcBorders>
              <w:bottom w:val="single" w:sz="4" w:space="0" w:color="auto"/>
            </w:tcBorders>
            <w:shd w:val="clear" w:color="auto" w:fill="auto"/>
            <w:vAlign w:val="center"/>
          </w:tcPr>
          <w:p w:rsidR="001A63C6" w:rsidRPr="003410C7" w:rsidRDefault="004D199A" w:rsidP="001A63C6">
            <w:pPr>
              <w:pStyle w:val="TableText"/>
              <w:widowControl w:val="0"/>
              <w:rPr>
                <w:rFonts w:ascii="Tahoma" w:hAnsi="Tahoma" w:cs="Tahoma"/>
                <w:color w:val="000000"/>
                <w:sz w:val="13"/>
              </w:rPr>
            </w:pPr>
            <w:r w:rsidRPr="003410C7">
              <w:rPr>
                <w:rFonts w:ascii="Tahoma" w:hAnsi="Tahoma" w:cs="Tahoma"/>
                <w:color w:val="000000"/>
                <w:sz w:val="13"/>
              </w:rPr>
              <w:t>4/13</w:t>
            </w:r>
          </w:p>
        </w:tc>
        <w:tc>
          <w:tcPr>
            <w:tcW w:w="360" w:type="dxa"/>
            <w:tcBorders>
              <w:bottom w:val="single" w:sz="4" w:space="0" w:color="auto"/>
              <w:right w:val="single" w:sz="18" w:space="0" w:color="auto"/>
            </w:tcBorders>
            <w:shd w:val="clear" w:color="auto" w:fill="auto"/>
            <w:vAlign w:val="center"/>
          </w:tcPr>
          <w:p w:rsidR="001A63C6" w:rsidRPr="003410C7" w:rsidRDefault="001A63C6" w:rsidP="001A63C6">
            <w:pPr>
              <w:pStyle w:val="TableText"/>
              <w:widowControl w:val="0"/>
              <w:rPr>
                <w:rFonts w:ascii="Tahoma" w:hAnsi="Tahoma" w:cs="Tahoma"/>
                <w:color w:val="000000"/>
                <w:sz w:val="13"/>
              </w:rPr>
            </w:pPr>
            <w:r w:rsidRPr="003410C7">
              <w:rPr>
                <w:rFonts w:ascii="Tahoma" w:hAnsi="Tahoma" w:cs="Tahoma"/>
                <w:color w:val="000000"/>
                <w:sz w:val="13"/>
              </w:rPr>
              <w:t>SRV</w:t>
            </w:r>
          </w:p>
        </w:tc>
        <w:tc>
          <w:tcPr>
            <w:tcW w:w="360" w:type="dxa"/>
            <w:tcBorders>
              <w:left w:val="single" w:sz="18" w:space="0" w:color="auto"/>
              <w:bottom w:val="single" w:sz="4" w:space="0" w:color="auto"/>
            </w:tcBorders>
            <w:shd w:val="clear" w:color="auto" w:fill="auto"/>
            <w:vAlign w:val="center"/>
          </w:tcPr>
          <w:p w:rsidR="001A63C6" w:rsidRPr="003410C7" w:rsidRDefault="004D199A" w:rsidP="001A63C6">
            <w:pPr>
              <w:pStyle w:val="TableText"/>
              <w:widowControl w:val="0"/>
              <w:rPr>
                <w:rFonts w:ascii="Tahoma" w:hAnsi="Tahoma" w:cs="Tahoma"/>
                <w:sz w:val="13"/>
              </w:rPr>
            </w:pPr>
            <w:r w:rsidRPr="003410C7">
              <w:rPr>
                <w:rFonts w:ascii="Tahoma" w:hAnsi="Tahoma" w:cs="Tahoma"/>
                <w:sz w:val="13"/>
              </w:rPr>
              <w:t>50</w:t>
            </w:r>
          </w:p>
        </w:tc>
        <w:tc>
          <w:tcPr>
            <w:tcW w:w="450" w:type="dxa"/>
            <w:tcBorders>
              <w:bottom w:val="single" w:sz="4" w:space="0" w:color="auto"/>
            </w:tcBorders>
            <w:shd w:val="clear" w:color="auto" w:fill="auto"/>
            <w:vAlign w:val="center"/>
          </w:tcPr>
          <w:p w:rsidR="001A63C6" w:rsidRPr="003410C7" w:rsidRDefault="004D199A" w:rsidP="001A63C6">
            <w:pPr>
              <w:pStyle w:val="TableText"/>
              <w:widowControl w:val="0"/>
              <w:rPr>
                <w:rFonts w:ascii="Tahoma" w:hAnsi="Tahoma" w:cs="Tahoma"/>
                <w:sz w:val="13"/>
              </w:rPr>
            </w:pPr>
            <w:r w:rsidRPr="003410C7">
              <w:rPr>
                <w:rFonts w:ascii="Tahoma" w:hAnsi="Tahoma" w:cs="Tahoma"/>
                <w:sz w:val="13"/>
              </w:rPr>
              <w:t>125</w:t>
            </w:r>
          </w:p>
        </w:tc>
        <w:tc>
          <w:tcPr>
            <w:tcW w:w="450" w:type="dxa"/>
            <w:tcBorders>
              <w:bottom w:val="single" w:sz="4" w:space="0" w:color="auto"/>
            </w:tcBorders>
            <w:shd w:val="clear" w:color="auto" w:fill="auto"/>
            <w:vAlign w:val="center"/>
          </w:tcPr>
          <w:p w:rsidR="001A63C6" w:rsidRPr="003410C7" w:rsidRDefault="004D199A" w:rsidP="001A63C6">
            <w:pPr>
              <w:pStyle w:val="TableText"/>
              <w:widowControl w:val="0"/>
              <w:rPr>
                <w:rFonts w:ascii="Tahoma" w:hAnsi="Tahoma" w:cs="Tahoma"/>
                <w:sz w:val="13"/>
              </w:rPr>
            </w:pPr>
            <w:r w:rsidRPr="003410C7">
              <w:rPr>
                <w:rFonts w:ascii="Tahoma" w:hAnsi="Tahoma" w:cs="Tahoma"/>
                <w:sz w:val="13"/>
              </w:rPr>
              <w:t>100</w:t>
            </w:r>
          </w:p>
        </w:tc>
        <w:tc>
          <w:tcPr>
            <w:tcW w:w="450" w:type="dxa"/>
            <w:tcBorders>
              <w:bottom w:val="single" w:sz="4" w:space="0" w:color="auto"/>
            </w:tcBorders>
            <w:shd w:val="clear" w:color="auto" w:fill="auto"/>
            <w:vAlign w:val="center"/>
          </w:tcPr>
          <w:p w:rsidR="001A63C6" w:rsidRPr="003410C7" w:rsidRDefault="004D199A" w:rsidP="001A63C6">
            <w:pPr>
              <w:pStyle w:val="TableText"/>
              <w:widowControl w:val="0"/>
              <w:rPr>
                <w:rFonts w:ascii="Tahoma" w:hAnsi="Tahoma" w:cs="Tahoma"/>
                <w:sz w:val="13"/>
              </w:rPr>
            </w:pPr>
            <w:r w:rsidRPr="003410C7">
              <w:rPr>
                <w:rFonts w:ascii="Tahoma" w:hAnsi="Tahoma" w:cs="Tahoma"/>
                <w:sz w:val="13"/>
              </w:rPr>
              <w:t>75</w:t>
            </w:r>
          </w:p>
        </w:tc>
        <w:tc>
          <w:tcPr>
            <w:tcW w:w="450" w:type="dxa"/>
            <w:tcBorders>
              <w:bottom w:val="single" w:sz="4" w:space="0" w:color="auto"/>
            </w:tcBorders>
            <w:shd w:val="clear" w:color="auto" w:fill="auto"/>
            <w:vAlign w:val="center"/>
          </w:tcPr>
          <w:p w:rsidR="001A63C6" w:rsidRPr="003410C7" w:rsidRDefault="004D199A" w:rsidP="001A63C6">
            <w:pPr>
              <w:pStyle w:val="TableText"/>
              <w:widowControl w:val="0"/>
              <w:rPr>
                <w:rFonts w:ascii="Tahoma" w:hAnsi="Tahoma" w:cs="Tahoma"/>
                <w:sz w:val="13"/>
              </w:rPr>
            </w:pPr>
            <w:r w:rsidRPr="003410C7">
              <w:rPr>
                <w:rFonts w:ascii="Tahoma" w:hAnsi="Tahoma" w:cs="Tahoma"/>
                <w:sz w:val="13"/>
              </w:rPr>
              <w:t>75</w:t>
            </w:r>
          </w:p>
        </w:tc>
        <w:tc>
          <w:tcPr>
            <w:tcW w:w="450" w:type="dxa"/>
            <w:tcBorders>
              <w:bottom w:val="single" w:sz="4" w:space="0" w:color="auto"/>
            </w:tcBorders>
            <w:shd w:val="clear" w:color="auto" w:fill="auto"/>
            <w:vAlign w:val="center"/>
          </w:tcPr>
          <w:p w:rsidR="001A63C6" w:rsidRPr="003410C7" w:rsidRDefault="004D199A" w:rsidP="001A63C6">
            <w:pPr>
              <w:pStyle w:val="TableText"/>
              <w:widowControl w:val="0"/>
              <w:rPr>
                <w:rFonts w:ascii="Tahoma" w:hAnsi="Tahoma" w:cs="Tahoma"/>
                <w:sz w:val="13"/>
              </w:rPr>
            </w:pPr>
            <w:r w:rsidRPr="003410C7">
              <w:rPr>
                <w:rFonts w:ascii="Tahoma" w:hAnsi="Tahoma" w:cs="Tahoma"/>
                <w:sz w:val="13"/>
              </w:rPr>
              <w:t>50</w:t>
            </w:r>
          </w:p>
        </w:tc>
        <w:tc>
          <w:tcPr>
            <w:tcW w:w="360" w:type="dxa"/>
            <w:tcBorders>
              <w:bottom w:val="single" w:sz="4" w:space="0" w:color="auto"/>
              <w:right w:val="single" w:sz="18" w:space="0" w:color="auto"/>
            </w:tcBorders>
            <w:shd w:val="clear" w:color="auto" w:fill="auto"/>
            <w:vAlign w:val="center"/>
          </w:tcPr>
          <w:p w:rsidR="001A63C6" w:rsidRPr="003410C7" w:rsidRDefault="004D199A" w:rsidP="001A63C6">
            <w:pPr>
              <w:pStyle w:val="TableText"/>
              <w:widowControl w:val="0"/>
              <w:rPr>
                <w:rFonts w:ascii="Tahoma" w:hAnsi="Tahoma" w:cs="Tahoma"/>
                <w:sz w:val="13"/>
              </w:rPr>
            </w:pPr>
            <w:r w:rsidRPr="003410C7">
              <w:rPr>
                <w:rFonts w:ascii="Tahoma" w:hAnsi="Tahoma" w:cs="Tahoma"/>
                <w:sz w:val="13"/>
              </w:rPr>
              <w:t>25</w:t>
            </w:r>
          </w:p>
        </w:tc>
        <w:tc>
          <w:tcPr>
            <w:tcW w:w="450" w:type="dxa"/>
            <w:tcBorders>
              <w:left w:val="single" w:sz="18" w:space="0" w:color="auto"/>
              <w:bottom w:val="single" w:sz="4" w:space="0" w:color="auto"/>
            </w:tcBorders>
            <w:shd w:val="clear" w:color="auto" w:fill="auto"/>
            <w:vAlign w:val="center"/>
          </w:tcPr>
          <w:p w:rsidR="001A63C6" w:rsidRPr="003410C7" w:rsidRDefault="004D199A" w:rsidP="001A63C6">
            <w:pPr>
              <w:pStyle w:val="TableText"/>
              <w:widowControl w:val="0"/>
              <w:rPr>
                <w:rFonts w:ascii="Tahoma" w:hAnsi="Tahoma" w:cs="Tahoma"/>
                <w:sz w:val="13"/>
              </w:rPr>
            </w:pPr>
            <w:r w:rsidRPr="003410C7">
              <w:rPr>
                <w:rFonts w:ascii="Tahoma" w:hAnsi="Tahoma" w:cs="Tahoma"/>
                <w:sz w:val="13"/>
              </w:rPr>
              <w:t>50</w:t>
            </w:r>
          </w:p>
        </w:tc>
        <w:tc>
          <w:tcPr>
            <w:tcW w:w="450" w:type="dxa"/>
            <w:tcBorders>
              <w:bottom w:val="single" w:sz="4" w:space="0" w:color="auto"/>
            </w:tcBorders>
            <w:shd w:val="clear" w:color="auto" w:fill="auto"/>
            <w:vAlign w:val="center"/>
          </w:tcPr>
          <w:p w:rsidR="001A63C6" w:rsidRPr="003410C7" w:rsidRDefault="004D199A" w:rsidP="001A63C6">
            <w:pPr>
              <w:pStyle w:val="TableText"/>
              <w:widowControl w:val="0"/>
              <w:rPr>
                <w:rFonts w:ascii="Tahoma" w:hAnsi="Tahoma" w:cs="Tahoma"/>
                <w:sz w:val="13"/>
              </w:rPr>
            </w:pPr>
            <w:r w:rsidRPr="003410C7">
              <w:rPr>
                <w:rFonts w:ascii="Tahoma" w:hAnsi="Tahoma" w:cs="Tahoma"/>
                <w:sz w:val="13"/>
              </w:rPr>
              <w:t>100</w:t>
            </w:r>
          </w:p>
        </w:tc>
        <w:tc>
          <w:tcPr>
            <w:tcW w:w="450" w:type="dxa"/>
            <w:tcBorders>
              <w:bottom w:val="single" w:sz="4" w:space="0" w:color="auto"/>
              <w:right w:val="single" w:sz="18" w:space="0" w:color="auto"/>
            </w:tcBorders>
            <w:shd w:val="clear" w:color="auto" w:fill="auto"/>
            <w:vAlign w:val="center"/>
          </w:tcPr>
          <w:p w:rsidR="001A63C6" w:rsidRPr="003410C7" w:rsidRDefault="004D199A" w:rsidP="001A63C6">
            <w:pPr>
              <w:pStyle w:val="TableText"/>
              <w:widowControl w:val="0"/>
              <w:rPr>
                <w:rFonts w:ascii="Tahoma" w:hAnsi="Tahoma" w:cs="Tahoma"/>
                <w:sz w:val="13"/>
              </w:rPr>
            </w:pPr>
            <w:r w:rsidRPr="003410C7">
              <w:rPr>
                <w:rFonts w:ascii="Tahoma" w:hAnsi="Tahoma" w:cs="Tahoma"/>
                <w:sz w:val="13"/>
              </w:rPr>
              <w:t>50</w:t>
            </w:r>
          </w:p>
        </w:tc>
        <w:tc>
          <w:tcPr>
            <w:tcW w:w="450" w:type="dxa"/>
            <w:tcBorders>
              <w:left w:val="single" w:sz="18" w:space="0" w:color="auto"/>
              <w:bottom w:val="single" w:sz="4" w:space="0" w:color="auto"/>
            </w:tcBorders>
            <w:shd w:val="clear" w:color="auto" w:fill="auto"/>
            <w:vAlign w:val="center"/>
          </w:tcPr>
          <w:p w:rsidR="001A63C6" w:rsidRPr="003410C7" w:rsidRDefault="004D199A" w:rsidP="001A63C6">
            <w:pPr>
              <w:pStyle w:val="TableText"/>
              <w:widowControl w:val="0"/>
              <w:rPr>
                <w:rFonts w:ascii="Tahoma" w:hAnsi="Tahoma" w:cs="Tahoma"/>
                <w:sz w:val="13"/>
              </w:rPr>
            </w:pPr>
            <w:r w:rsidRPr="003410C7">
              <w:rPr>
                <w:rFonts w:ascii="Tahoma" w:hAnsi="Tahoma" w:cs="Tahoma"/>
                <w:sz w:val="13"/>
              </w:rPr>
              <w:t>50</w:t>
            </w:r>
          </w:p>
        </w:tc>
        <w:tc>
          <w:tcPr>
            <w:tcW w:w="450" w:type="dxa"/>
            <w:tcBorders>
              <w:bottom w:val="single" w:sz="4" w:space="0" w:color="auto"/>
              <w:right w:val="single" w:sz="18" w:space="0" w:color="auto"/>
            </w:tcBorders>
            <w:shd w:val="clear" w:color="auto" w:fill="auto"/>
            <w:vAlign w:val="center"/>
          </w:tcPr>
          <w:p w:rsidR="001A63C6" w:rsidRPr="003410C7" w:rsidRDefault="001A63C6" w:rsidP="001A63C6">
            <w:pPr>
              <w:pStyle w:val="TableText"/>
              <w:widowControl w:val="0"/>
              <w:rPr>
                <w:rFonts w:ascii="Tahoma" w:hAnsi="Tahoma" w:cs="Tahoma"/>
                <w:sz w:val="13"/>
              </w:rPr>
            </w:pPr>
            <w:r w:rsidRPr="003410C7">
              <w:rPr>
                <w:rFonts w:ascii="Tahoma" w:hAnsi="Tahoma" w:cs="Tahoma"/>
                <w:sz w:val="13"/>
              </w:rPr>
              <w:t>A,S</w:t>
            </w:r>
          </w:p>
        </w:tc>
        <w:tc>
          <w:tcPr>
            <w:tcW w:w="450" w:type="dxa"/>
            <w:tcBorders>
              <w:left w:val="single" w:sz="18" w:space="0" w:color="auto"/>
              <w:bottom w:val="single" w:sz="4" w:space="0" w:color="auto"/>
              <w:right w:val="single" w:sz="18" w:space="0" w:color="auto"/>
            </w:tcBorders>
            <w:shd w:val="clear" w:color="auto" w:fill="auto"/>
            <w:vAlign w:val="center"/>
          </w:tcPr>
          <w:p w:rsidR="001A63C6" w:rsidRPr="003410C7" w:rsidRDefault="001A63C6" w:rsidP="001A63C6">
            <w:pPr>
              <w:pStyle w:val="TableText"/>
              <w:widowControl w:val="0"/>
              <w:rPr>
                <w:rFonts w:ascii="Tahoma" w:hAnsi="Tahoma" w:cs="Tahoma"/>
                <w:sz w:val="13"/>
              </w:rPr>
            </w:pPr>
            <w:r w:rsidRPr="003410C7">
              <w:rPr>
                <w:rFonts w:ascii="Tahoma" w:hAnsi="Tahoma" w:cs="Tahoma"/>
                <w:sz w:val="13"/>
              </w:rPr>
              <w:t>P</w:t>
            </w:r>
          </w:p>
        </w:tc>
        <w:tc>
          <w:tcPr>
            <w:tcW w:w="450" w:type="dxa"/>
            <w:tcBorders>
              <w:bottom w:val="single" w:sz="4" w:space="0" w:color="auto"/>
            </w:tcBorders>
            <w:shd w:val="clear" w:color="auto" w:fill="auto"/>
            <w:vAlign w:val="center"/>
          </w:tcPr>
          <w:p w:rsidR="001A63C6" w:rsidRPr="003410C7" w:rsidRDefault="001A63C6" w:rsidP="001A63C6">
            <w:pPr>
              <w:pStyle w:val="TableText"/>
              <w:widowControl w:val="0"/>
              <w:rPr>
                <w:rFonts w:ascii="Tahoma" w:hAnsi="Tahoma" w:cs="Tahoma"/>
                <w:color w:val="000000"/>
                <w:sz w:val="13"/>
              </w:rPr>
            </w:pPr>
            <w:r w:rsidRPr="003410C7">
              <w:rPr>
                <w:rFonts w:ascii="Tahoma" w:hAnsi="Tahoma" w:cs="Tahoma"/>
                <w:sz w:val="13"/>
              </w:rPr>
              <w:t>A</w:t>
            </w:r>
          </w:p>
        </w:tc>
        <w:tc>
          <w:tcPr>
            <w:tcW w:w="540" w:type="dxa"/>
            <w:tcBorders>
              <w:bottom w:val="single" w:sz="4" w:space="0" w:color="auto"/>
            </w:tcBorders>
            <w:shd w:val="clear" w:color="auto" w:fill="auto"/>
            <w:vAlign w:val="center"/>
          </w:tcPr>
          <w:p w:rsidR="001A63C6" w:rsidRPr="003410C7" w:rsidRDefault="001A63C6" w:rsidP="001A63C6">
            <w:pPr>
              <w:pStyle w:val="TableText"/>
              <w:widowControl w:val="0"/>
              <w:rPr>
                <w:rFonts w:ascii="Tahoma" w:hAnsi="Tahoma" w:cs="Tahoma"/>
                <w:color w:val="000000"/>
                <w:sz w:val="13"/>
              </w:rPr>
            </w:pPr>
            <w:r w:rsidRPr="003410C7">
              <w:rPr>
                <w:rFonts w:ascii="Tahoma" w:hAnsi="Tahoma" w:cs="Tahoma"/>
                <w:color w:val="000000"/>
                <w:sz w:val="13"/>
              </w:rPr>
              <w:t>OL/OV</w:t>
            </w:r>
          </w:p>
        </w:tc>
      </w:tr>
      <w:tr w:rsidR="00B33D0E" w:rsidRPr="003410C7" w:rsidDel="00E7100E" w:rsidTr="006B1F3F">
        <w:trPr>
          <w:trHeight w:val="145"/>
        </w:trPr>
        <w:tc>
          <w:tcPr>
            <w:tcW w:w="2734" w:type="dxa"/>
            <w:gridSpan w:val="2"/>
            <w:tcBorders>
              <w:bottom w:val="single" w:sz="4" w:space="0" w:color="auto"/>
            </w:tcBorders>
            <w:shd w:val="clear" w:color="auto" w:fill="FABF8F"/>
            <w:vAlign w:val="center"/>
          </w:tcPr>
          <w:p w:rsidR="002B327C" w:rsidRPr="003410C7" w:rsidDel="002B327C" w:rsidRDefault="002B327C" w:rsidP="003410C7">
            <w:pPr>
              <w:pStyle w:val="Heading2"/>
              <w:spacing w:beforeLines="20" w:before="48" w:afterLines="20" w:after="48"/>
              <w:ind w:left="0"/>
              <w:rPr>
                <w:rFonts w:ascii="Tahoma" w:hAnsi="Tahoma" w:cs="Tahoma"/>
                <w:b w:val="0"/>
                <w:sz w:val="14"/>
              </w:rPr>
            </w:pPr>
            <w:bookmarkStart w:id="188" w:name="_Toc352234549"/>
            <w:r w:rsidRPr="003410C7">
              <w:rPr>
                <w:rFonts w:ascii="Tahoma" w:hAnsi="Tahoma" w:cs="Tahoma"/>
                <w:b w:val="0"/>
                <w:sz w:val="14"/>
              </w:rPr>
              <w:t>BizTalk</w:t>
            </w:r>
            <w:r w:rsidR="003410C7" w:rsidRPr="003410C7">
              <w:rPr>
                <w:rFonts w:ascii="Tahoma" w:hAnsi="Tahoma" w:cs="Tahoma"/>
                <w:b w:val="0"/>
                <w:sz w:val="14"/>
                <w:vertAlign w:val="superscript"/>
              </w:rPr>
              <w:t>®</w:t>
            </w:r>
            <w:r w:rsidRPr="003410C7">
              <w:rPr>
                <w:rFonts w:ascii="Tahoma" w:hAnsi="Tahoma" w:cs="Tahoma"/>
                <w:b w:val="0"/>
                <w:sz w:val="14"/>
              </w:rPr>
              <w:t xml:space="preserve"> Server 2013 Standard Edition IDC</w:t>
            </w:r>
            <w:bookmarkEnd w:id="188"/>
          </w:p>
        </w:tc>
        <w:tc>
          <w:tcPr>
            <w:tcW w:w="450" w:type="dxa"/>
            <w:tcBorders>
              <w:bottom w:val="single" w:sz="4" w:space="0" w:color="auto"/>
            </w:tcBorders>
            <w:shd w:val="clear" w:color="auto" w:fill="FABF8F"/>
            <w:vAlign w:val="center"/>
          </w:tcPr>
          <w:p w:rsidR="002B327C" w:rsidRPr="009F17FF" w:rsidDel="00E7100E" w:rsidRDefault="002B327C" w:rsidP="002253A3">
            <w:pPr>
              <w:jc w:val="center"/>
              <w:rPr>
                <w:rFonts w:ascii="Trebuchet MS" w:hAnsi="Trebuchet MS"/>
                <w:sz w:val="13"/>
                <w:szCs w:val="13"/>
              </w:rPr>
            </w:pPr>
          </w:p>
        </w:tc>
        <w:tc>
          <w:tcPr>
            <w:tcW w:w="450" w:type="dxa"/>
            <w:tcBorders>
              <w:bottom w:val="single" w:sz="4" w:space="0" w:color="auto"/>
            </w:tcBorders>
            <w:shd w:val="clear" w:color="auto" w:fill="FABF8F"/>
            <w:vAlign w:val="center"/>
          </w:tcPr>
          <w:p w:rsidR="002B327C" w:rsidRPr="003410C7" w:rsidDel="00A53269" w:rsidRDefault="002B327C" w:rsidP="002253A3">
            <w:pPr>
              <w:jc w:val="center"/>
              <w:rPr>
                <w:rFonts w:cs="Tahoma"/>
                <w:color w:val="000000"/>
                <w:sz w:val="13"/>
                <w:szCs w:val="13"/>
              </w:rPr>
            </w:pPr>
            <w:r w:rsidRPr="003410C7">
              <w:rPr>
                <w:rFonts w:cs="Tahoma"/>
                <w:color w:val="000000"/>
                <w:sz w:val="13"/>
                <w:szCs w:val="13"/>
              </w:rPr>
              <w:t>4/13</w:t>
            </w:r>
          </w:p>
        </w:tc>
        <w:tc>
          <w:tcPr>
            <w:tcW w:w="360" w:type="dxa"/>
            <w:tcBorders>
              <w:bottom w:val="single" w:sz="4" w:space="0" w:color="auto"/>
              <w:right w:val="single" w:sz="18" w:space="0" w:color="auto"/>
            </w:tcBorders>
            <w:shd w:val="clear" w:color="auto" w:fill="FABF8F"/>
            <w:vAlign w:val="center"/>
          </w:tcPr>
          <w:p w:rsidR="002B327C" w:rsidRPr="003410C7" w:rsidDel="00E7100E" w:rsidRDefault="002B327C" w:rsidP="002253A3">
            <w:pPr>
              <w:jc w:val="center"/>
              <w:rPr>
                <w:rFonts w:cs="Tahoma"/>
                <w:color w:val="000000"/>
                <w:sz w:val="13"/>
                <w:szCs w:val="13"/>
              </w:rPr>
            </w:pPr>
          </w:p>
        </w:tc>
        <w:tc>
          <w:tcPr>
            <w:tcW w:w="360" w:type="dxa"/>
            <w:tcBorders>
              <w:left w:val="single" w:sz="18" w:space="0" w:color="auto"/>
              <w:bottom w:val="single" w:sz="4" w:space="0" w:color="auto"/>
            </w:tcBorders>
            <w:shd w:val="clear" w:color="auto" w:fill="FABF8F"/>
            <w:vAlign w:val="center"/>
          </w:tcPr>
          <w:p w:rsidR="002B327C" w:rsidRPr="003410C7" w:rsidDel="00E7100E" w:rsidRDefault="002B327C" w:rsidP="002253A3">
            <w:pPr>
              <w:jc w:val="center"/>
              <w:rPr>
                <w:rFonts w:cs="Tahoma"/>
                <w:sz w:val="13"/>
                <w:szCs w:val="13"/>
              </w:rPr>
            </w:pPr>
          </w:p>
        </w:tc>
        <w:tc>
          <w:tcPr>
            <w:tcW w:w="450" w:type="dxa"/>
            <w:tcBorders>
              <w:bottom w:val="single" w:sz="4" w:space="0" w:color="auto"/>
            </w:tcBorders>
            <w:shd w:val="clear" w:color="auto" w:fill="FABF8F"/>
            <w:vAlign w:val="center"/>
          </w:tcPr>
          <w:p w:rsidR="002B327C" w:rsidRPr="003410C7" w:rsidDel="00E7100E" w:rsidRDefault="002B327C" w:rsidP="002253A3">
            <w:pPr>
              <w:jc w:val="center"/>
              <w:rPr>
                <w:rFonts w:cs="Tahoma"/>
                <w:sz w:val="13"/>
                <w:szCs w:val="13"/>
              </w:rPr>
            </w:pPr>
          </w:p>
        </w:tc>
        <w:tc>
          <w:tcPr>
            <w:tcW w:w="450" w:type="dxa"/>
            <w:tcBorders>
              <w:bottom w:val="single" w:sz="4" w:space="0" w:color="auto"/>
            </w:tcBorders>
            <w:shd w:val="clear" w:color="auto" w:fill="FABF8F"/>
            <w:vAlign w:val="center"/>
          </w:tcPr>
          <w:p w:rsidR="002B327C" w:rsidRPr="003410C7" w:rsidDel="00E7100E" w:rsidRDefault="002B327C" w:rsidP="002253A3">
            <w:pPr>
              <w:jc w:val="center"/>
              <w:rPr>
                <w:rFonts w:cs="Tahoma"/>
                <w:sz w:val="13"/>
                <w:szCs w:val="13"/>
              </w:rPr>
            </w:pPr>
          </w:p>
        </w:tc>
        <w:tc>
          <w:tcPr>
            <w:tcW w:w="450" w:type="dxa"/>
            <w:tcBorders>
              <w:bottom w:val="single" w:sz="4" w:space="0" w:color="auto"/>
            </w:tcBorders>
            <w:shd w:val="clear" w:color="auto" w:fill="FABF8F"/>
            <w:vAlign w:val="center"/>
          </w:tcPr>
          <w:p w:rsidR="002B327C" w:rsidRPr="003410C7" w:rsidDel="00E7100E" w:rsidRDefault="002B327C" w:rsidP="002253A3">
            <w:pPr>
              <w:jc w:val="center"/>
              <w:rPr>
                <w:rFonts w:cs="Tahoma"/>
                <w:sz w:val="13"/>
                <w:szCs w:val="13"/>
              </w:rPr>
            </w:pPr>
          </w:p>
        </w:tc>
        <w:tc>
          <w:tcPr>
            <w:tcW w:w="450" w:type="dxa"/>
            <w:tcBorders>
              <w:bottom w:val="single" w:sz="4" w:space="0" w:color="auto"/>
            </w:tcBorders>
            <w:shd w:val="clear" w:color="auto" w:fill="FABF8F"/>
            <w:vAlign w:val="center"/>
          </w:tcPr>
          <w:p w:rsidR="002B327C" w:rsidRPr="003410C7" w:rsidDel="00E7100E" w:rsidRDefault="002B327C" w:rsidP="002253A3">
            <w:pPr>
              <w:jc w:val="center"/>
              <w:rPr>
                <w:rFonts w:cs="Tahoma"/>
                <w:sz w:val="13"/>
                <w:szCs w:val="13"/>
              </w:rPr>
            </w:pPr>
          </w:p>
        </w:tc>
        <w:tc>
          <w:tcPr>
            <w:tcW w:w="450" w:type="dxa"/>
            <w:tcBorders>
              <w:bottom w:val="single" w:sz="4" w:space="0" w:color="auto"/>
            </w:tcBorders>
            <w:shd w:val="clear" w:color="auto" w:fill="FABF8F"/>
            <w:vAlign w:val="center"/>
          </w:tcPr>
          <w:p w:rsidR="002B327C" w:rsidRPr="003410C7" w:rsidDel="00E7100E" w:rsidRDefault="002B327C" w:rsidP="002253A3">
            <w:pPr>
              <w:jc w:val="center"/>
              <w:rPr>
                <w:rFonts w:cs="Tahoma"/>
                <w:sz w:val="13"/>
                <w:szCs w:val="13"/>
              </w:rPr>
            </w:pPr>
          </w:p>
        </w:tc>
        <w:tc>
          <w:tcPr>
            <w:tcW w:w="360" w:type="dxa"/>
            <w:tcBorders>
              <w:bottom w:val="single" w:sz="4" w:space="0" w:color="auto"/>
              <w:right w:val="single" w:sz="18" w:space="0" w:color="auto"/>
            </w:tcBorders>
            <w:shd w:val="clear" w:color="auto" w:fill="FABF8F"/>
            <w:vAlign w:val="center"/>
          </w:tcPr>
          <w:p w:rsidR="002B327C" w:rsidRPr="003410C7" w:rsidDel="00E7100E" w:rsidRDefault="002B327C" w:rsidP="002253A3">
            <w:pPr>
              <w:jc w:val="center"/>
              <w:rPr>
                <w:rFonts w:cs="Tahoma"/>
                <w:sz w:val="13"/>
                <w:szCs w:val="13"/>
              </w:rPr>
            </w:pPr>
          </w:p>
        </w:tc>
        <w:tc>
          <w:tcPr>
            <w:tcW w:w="450" w:type="dxa"/>
            <w:tcBorders>
              <w:left w:val="single" w:sz="18" w:space="0" w:color="auto"/>
              <w:bottom w:val="single" w:sz="4" w:space="0" w:color="auto"/>
            </w:tcBorders>
            <w:shd w:val="clear" w:color="auto" w:fill="FABF8F"/>
            <w:vAlign w:val="center"/>
          </w:tcPr>
          <w:p w:rsidR="002B327C" w:rsidRPr="003410C7" w:rsidDel="00E7100E" w:rsidRDefault="002B327C" w:rsidP="002253A3">
            <w:pPr>
              <w:jc w:val="center"/>
              <w:rPr>
                <w:rFonts w:cs="Tahoma"/>
                <w:sz w:val="13"/>
                <w:szCs w:val="13"/>
              </w:rPr>
            </w:pPr>
          </w:p>
        </w:tc>
        <w:tc>
          <w:tcPr>
            <w:tcW w:w="450" w:type="dxa"/>
            <w:tcBorders>
              <w:bottom w:val="single" w:sz="4" w:space="0" w:color="auto"/>
            </w:tcBorders>
            <w:shd w:val="clear" w:color="auto" w:fill="FABF8F"/>
            <w:vAlign w:val="center"/>
          </w:tcPr>
          <w:p w:rsidR="002B327C" w:rsidRPr="003410C7" w:rsidDel="00E7100E" w:rsidRDefault="002B327C" w:rsidP="002253A3">
            <w:pPr>
              <w:jc w:val="center"/>
              <w:rPr>
                <w:rFonts w:cs="Tahoma"/>
                <w:sz w:val="13"/>
                <w:szCs w:val="13"/>
              </w:rPr>
            </w:pPr>
          </w:p>
        </w:tc>
        <w:tc>
          <w:tcPr>
            <w:tcW w:w="450" w:type="dxa"/>
            <w:tcBorders>
              <w:bottom w:val="single" w:sz="4" w:space="0" w:color="auto"/>
              <w:right w:val="single" w:sz="18" w:space="0" w:color="auto"/>
            </w:tcBorders>
            <w:shd w:val="clear" w:color="auto" w:fill="FABF8F"/>
            <w:vAlign w:val="center"/>
          </w:tcPr>
          <w:p w:rsidR="002B327C" w:rsidRPr="003410C7" w:rsidDel="00E7100E" w:rsidRDefault="002B327C" w:rsidP="002253A3">
            <w:pPr>
              <w:jc w:val="center"/>
              <w:rPr>
                <w:rFonts w:cs="Tahoma"/>
                <w:sz w:val="13"/>
                <w:szCs w:val="13"/>
              </w:rPr>
            </w:pPr>
          </w:p>
        </w:tc>
        <w:tc>
          <w:tcPr>
            <w:tcW w:w="450" w:type="dxa"/>
            <w:tcBorders>
              <w:left w:val="single" w:sz="18" w:space="0" w:color="auto"/>
              <w:bottom w:val="single" w:sz="4" w:space="0" w:color="auto"/>
            </w:tcBorders>
            <w:shd w:val="clear" w:color="auto" w:fill="FABF8F"/>
            <w:vAlign w:val="center"/>
          </w:tcPr>
          <w:p w:rsidR="002B327C" w:rsidRPr="003410C7" w:rsidDel="00E7100E" w:rsidRDefault="002B327C" w:rsidP="002253A3">
            <w:pPr>
              <w:jc w:val="center"/>
              <w:rPr>
                <w:rFonts w:cs="Tahoma"/>
                <w:sz w:val="13"/>
                <w:szCs w:val="13"/>
              </w:rPr>
            </w:pPr>
          </w:p>
        </w:tc>
        <w:tc>
          <w:tcPr>
            <w:tcW w:w="450" w:type="dxa"/>
            <w:tcBorders>
              <w:bottom w:val="single" w:sz="4" w:space="0" w:color="auto"/>
              <w:right w:val="single" w:sz="18" w:space="0" w:color="auto"/>
            </w:tcBorders>
            <w:shd w:val="clear" w:color="auto" w:fill="FABF8F"/>
            <w:vAlign w:val="center"/>
          </w:tcPr>
          <w:p w:rsidR="002B327C" w:rsidRPr="003410C7" w:rsidDel="00A53269" w:rsidRDefault="002253A3" w:rsidP="002253A3">
            <w:pPr>
              <w:jc w:val="center"/>
              <w:rPr>
                <w:rFonts w:cs="Tahoma"/>
                <w:sz w:val="13"/>
                <w:szCs w:val="13"/>
              </w:rPr>
            </w:pPr>
            <w:r w:rsidRPr="003410C7">
              <w:rPr>
                <w:rFonts w:cs="Tahoma"/>
                <w:sz w:val="13"/>
                <w:szCs w:val="13"/>
              </w:rPr>
              <w:t>D</w:t>
            </w:r>
          </w:p>
        </w:tc>
        <w:tc>
          <w:tcPr>
            <w:tcW w:w="450" w:type="dxa"/>
            <w:tcBorders>
              <w:left w:val="single" w:sz="18" w:space="0" w:color="auto"/>
              <w:bottom w:val="single" w:sz="4" w:space="0" w:color="auto"/>
              <w:right w:val="single" w:sz="18" w:space="0" w:color="auto"/>
            </w:tcBorders>
            <w:shd w:val="clear" w:color="auto" w:fill="FABF8F"/>
            <w:vAlign w:val="center"/>
          </w:tcPr>
          <w:p w:rsidR="002B327C" w:rsidRPr="003410C7" w:rsidDel="00E7100E" w:rsidRDefault="002B327C" w:rsidP="002253A3">
            <w:pPr>
              <w:jc w:val="center"/>
              <w:rPr>
                <w:rFonts w:cs="Tahoma"/>
                <w:sz w:val="13"/>
                <w:szCs w:val="13"/>
              </w:rPr>
            </w:pPr>
          </w:p>
        </w:tc>
        <w:tc>
          <w:tcPr>
            <w:tcW w:w="450" w:type="dxa"/>
            <w:tcBorders>
              <w:bottom w:val="single" w:sz="4" w:space="0" w:color="auto"/>
            </w:tcBorders>
            <w:shd w:val="clear" w:color="auto" w:fill="FABF8F"/>
            <w:vAlign w:val="center"/>
          </w:tcPr>
          <w:p w:rsidR="002B327C" w:rsidRPr="003410C7" w:rsidDel="00E7100E" w:rsidRDefault="002B327C" w:rsidP="002253A3">
            <w:pPr>
              <w:jc w:val="center"/>
              <w:rPr>
                <w:rFonts w:cs="Tahoma"/>
                <w:sz w:val="13"/>
                <w:szCs w:val="13"/>
              </w:rPr>
            </w:pPr>
          </w:p>
        </w:tc>
        <w:tc>
          <w:tcPr>
            <w:tcW w:w="540" w:type="dxa"/>
            <w:tcBorders>
              <w:bottom w:val="single" w:sz="4" w:space="0" w:color="auto"/>
            </w:tcBorders>
            <w:shd w:val="clear" w:color="auto" w:fill="FABF8F"/>
            <w:vAlign w:val="center"/>
          </w:tcPr>
          <w:p w:rsidR="002B327C" w:rsidRPr="003410C7" w:rsidDel="00E7100E" w:rsidRDefault="002B327C" w:rsidP="002253A3">
            <w:pPr>
              <w:jc w:val="center"/>
              <w:rPr>
                <w:rFonts w:cs="Tahoma"/>
                <w:color w:val="000000"/>
                <w:sz w:val="13"/>
                <w:szCs w:val="13"/>
              </w:rPr>
            </w:pPr>
          </w:p>
        </w:tc>
      </w:tr>
      <w:tr w:rsidR="00BE2E58" w:rsidRPr="003410C7" w:rsidTr="006B1F3F">
        <w:trPr>
          <w:trHeight w:val="145"/>
        </w:trPr>
        <w:tc>
          <w:tcPr>
            <w:tcW w:w="2734" w:type="dxa"/>
            <w:gridSpan w:val="2"/>
            <w:tcBorders>
              <w:bottom w:val="single" w:sz="4" w:space="0" w:color="auto"/>
            </w:tcBorders>
            <w:shd w:val="clear" w:color="auto" w:fill="auto"/>
            <w:vAlign w:val="center"/>
          </w:tcPr>
          <w:p w:rsidR="001A63C6" w:rsidRPr="003410C7" w:rsidRDefault="001A63C6" w:rsidP="003410C7">
            <w:pPr>
              <w:pStyle w:val="Heading2"/>
              <w:spacing w:beforeLines="20" w:before="48" w:afterLines="20" w:after="48"/>
              <w:ind w:left="0"/>
              <w:rPr>
                <w:rFonts w:ascii="Tahoma" w:hAnsi="Tahoma" w:cs="Tahoma"/>
                <w:b w:val="0"/>
                <w:sz w:val="16"/>
                <w:szCs w:val="16"/>
              </w:rPr>
            </w:pPr>
            <w:bookmarkStart w:id="189" w:name="_Toc336337925"/>
            <w:bookmarkStart w:id="190" w:name="_Toc352234550"/>
            <w:r w:rsidRPr="003410C7">
              <w:rPr>
                <w:rFonts w:ascii="Tahoma" w:hAnsi="Tahoma" w:cs="Tahoma"/>
                <w:b w:val="0"/>
                <w:sz w:val="14"/>
                <w:szCs w:val="16"/>
              </w:rPr>
              <w:t>Business Intelligence Appliance 2012</w:t>
            </w:r>
            <w:bookmarkEnd w:id="189"/>
            <w:bookmarkEnd w:id="190"/>
          </w:p>
        </w:tc>
        <w:tc>
          <w:tcPr>
            <w:tcW w:w="450" w:type="dxa"/>
            <w:tcBorders>
              <w:bottom w:val="single" w:sz="4" w:space="0" w:color="auto"/>
            </w:tcBorders>
            <w:shd w:val="clear" w:color="auto" w:fill="auto"/>
            <w:vAlign w:val="center"/>
          </w:tcPr>
          <w:p w:rsidR="001A63C6" w:rsidRPr="009F17FF" w:rsidRDefault="00FC1A4D" w:rsidP="002C5924">
            <w:pPr>
              <w:pStyle w:val="TableText"/>
              <w:widowControl w:val="0"/>
              <w:rPr>
                <w:rStyle w:val="EndnoteReference"/>
                <w:b w:val="0"/>
                <w:color w:val="0000FF"/>
                <w:sz w:val="13"/>
                <w:szCs w:val="13"/>
                <w:u w:val="single"/>
              </w:rPr>
            </w:pPr>
            <w:hyperlink w:anchor="Srv_35BusinessIntellApp2012" w:history="1">
              <w:r w:rsidR="000D77F6" w:rsidRPr="009F17FF">
                <w:rPr>
                  <w:rStyle w:val="Hyperlink"/>
                  <w:b/>
                  <w:sz w:val="13"/>
                  <w:szCs w:val="13"/>
                </w:rPr>
                <w:t>34</w:t>
              </w:r>
            </w:hyperlink>
          </w:p>
        </w:tc>
        <w:tc>
          <w:tcPr>
            <w:tcW w:w="450" w:type="dxa"/>
            <w:tcBorders>
              <w:bottom w:val="single" w:sz="4" w:space="0" w:color="auto"/>
            </w:tcBorders>
            <w:shd w:val="clear" w:color="auto" w:fill="auto"/>
            <w:vAlign w:val="center"/>
          </w:tcPr>
          <w:p w:rsidR="001A63C6" w:rsidRPr="003410C7" w:rsidRDefault="001A63C6" w:rsidP="001A63C6">
            <w:pPr>
              <w:pStyle w:val="TableText"/>
              <w:widowControl w:val="0"/>
              <w:rPr>
                <w:rFonts w:ascii="Tahoma" w:hAnsi="Tahoma" w:cs="Tahoma"/>
                <w:color w:val="000000"/>
                <w:sz w:val="13"/>
              </w:rPr>
            </w:pPr>
            <w:r w:rsidRPr="003410C7">
              <w:rPr>
                <w:rFonts w:ascii="Tahoma" w:hAnsi="Tahoma" w:cs="Tahoma"/>
                <w:color w:val="000000"/>
                <w:sz w:val="13"/>
              </w:rPr>
              <w:t>11/11</w:t>
            </w:r>
          </w:p>
        </w:tc>
        <w:tc>
          <w:tcPr>
            <w:tcW w:w="360" w:type="dxa"/>
            <w:tcBorders>
              <w:bottom w:val="single" w:sz="4" w:space="0" w:color="auto"/>
              <w:right w:val="single" w:sz="18" w:space="0" w:color="auto"/>
            </w:tcBorders>
            <w:shd w:val="clear" w:color="auto" w:fill="auto"/>
            <w:vAlign w:val="center"/>
          </w:tcPr>
          <w:p w:rsidR="001A63C6" w:rsidRPr="003410C7" w:rsidRDefault="001A63C6" w:rsidP="001A63C6">
            <w:pPr>
              <w:pStyle w:val="TableText"/>
              <w:widowControl w:val="0"/>
              <w:rPr>
                <w:rFonts w:ascii="Tahoma" w:hAnsi="Tahoma" w:cs="Tahoma"/>
                <w:color w:val="000000"/>
                <w:sz w:val="13"/>
              </w:rPr>
            </w:pPr>
            <w:r w:rsidRPr="003410C7">
              <w:rPr>
                <w:rFonts w:ascii="Tahoma" w:hAnsi="Tahoma" w:cs="Tahoma"/>
                <w:color w:val="000000"/>
                <w:sz w:val="13"/>
              </w:rPr>
              <w:t>SRV</w:t>
            </w:r>
          </w:p>
        </w:tc>
        <w:tc>
          <w:tcPr>
            <w:tcW w:w="360" w:type="dxa"/>
            <w:tcBorders>
              <w:left w:val="single" w:sz="18" w:space="0" w:color="auto"/>
              <w:bottom w:val="single" w:sz="4" w:space="0" w:color="auto"/>
            </w:tcBorders>
            <w:shd w:val="clear" w:color="auto" w:fill="auto"/>
            <w:vAlign w:val="center"/>
          </w:tcPr>
          <w:p w:rsidR="001A63C6" w:rsidRPr="003410C7" w:rsidRDefault="001A63C6" w:rsidP="001A63C6">
            <w:pPr>
              <w:pStyle w:val="TableText"/>
              <w:widowControl w:val="0"/>
              <w:rPr>
                <w:rFonts w:ascii="Tahoma" w:hAnsi="Tahoma" w:cs="Tahoma"/>
                <w:sz w:val="13"/>
              </w:rPr>
            </w:pPr>
            <w:r w:rsidRPr="003410C7">
              <w:rPr>
                <w:rFonts w:ascii="Tahoma" w:hAnsi="Tahoma" w:cs="Tahoma"/>
                <w:sz w:val="13"/>
              </w:rPr>
              <w:t>125</w:t>
            </w:r>
          </w:p>
        </w:tc>
        <w:tc>
          <w:tcPr>
            <w:tcW w:w="450" w:type="dxa"/>
            <w:tcBorders>
              <w:bottom w:val="single" w:sz="4" w:space="0" w:color="auto"/>
            </w:tcBorders>
            <w:shd w:val="clear" w:color="auto" w:fill="auto"/>
            <w:vAlign w:val="center"/>
          </w:tcPr>
          <w:p w:rsidR="001A63C6" w:rsidRPr="003410C7" w:rsidRDefault="001A63C6" w:rsidP="001A63C6">
            <w:pPr>
              <w:pStyle w:val="TableText"/>
              <w:widowControl w:val="0"/>
              <w:rPr>
                <w:rFonts w:ascii="Tahoma" w:hAnsi="Tahoma" w:cs="Tahoma"/>
                <w:sz w:val="13"/>
                <w:szCs w:val="13"/>
              </w:rPr>
            </w:pPr>
            <w:r w:rsidRPr="003410C7">
              <w:rPr>
                <w:rFonts w:ascii="Tahoma" w:hAnsi="Tahoma" w:cs="Tahoma"/>
                <w:sz w:val="13"/>
                <w:szCs w:val="13"/>
              </w:rPr>
              <w:t>313</w:t>
            </w:r>
          </w:p>
        </w:tc>
        <w:tc>
          <w:tcPr>
            <w:tcW w:w="450" w:type="dxa"/>
            <w:tcBorders>
              <w:bottom w:val="single" w:sz="4" w:space="0" w:color="auto"/>
            </w:tcBorders>
            <w:shd w:val="clear" w:color="auto" w:fill="auto"/>
            <w:vAlign w:val="center"/>
          </w:tcPr>
          <w:p w:rsidR="001A63C6" w:rsidRPr="003410C7" w:rsidRDefault="001A63C6" w:rsidP="001A63C6">
            <w:pPr>
              <w:pStyle w:val="TableText"/>
              <w:widowControl w:val="0"/>
              <w:rPr>
                <w:rFonts w:ascii="Tahoma" w:hAnsi="Tahoma" w:cs="Tahoma"/>
                <w:sz w:val="13"/>
                <w:szCs w:val="13"/>
              </w:rPr>
            </w:pPr>
            <w:r w:rsidRPr="003410C7">
              <w:rPr>
                <w:rFonts w:ascii="Tahoma" w:hAnsi="Tahoma" w:cs="Tahoma"/>
                <w:sz w:val="13"/>
                <w:szCs w:val="13"/>
              </w:rPr>
              <w:t>250</w:t>
            </w:r>
          </w:p>
        </w:tc>
        <w:tc>
          <w:tcPr>
            <w:tcW w:w="450" w:type="dxa"/>
            <w:tcBorders>
              <w:bottom w:val="single" w:sz="4" w:space="0" w:color="auto"/>
            </w:tcBorders>
            <w:shd w:val="clear" w:color="auto" w:fill="auto"/>
            <w:vAlign w:val="center"/>
          </w:tcPr>
          <w:p w:rsidR="001A63C6" w:rsidRPr="003410C7" w:rsidRDefault="001A63C6" w:rsidP="001A63C6">
            <w:pPr>
              <w:pStyle w:val="TableText"/>
              <w:widowControl w:val="0"/>
              <w:rPr>
                <w:rFonts w:ascii="Tahoma" w:hAnsi="Tahoma" w:cs="Tahoma"/>
                <w:sz w:val="13"/>
                <w:szCs w:val="13"/>
              </w:rPr>
            </w:pPr>
            <w:r w:rsidRPr="003410C7">
              <w:rPr>
                <w:rFonts w:ascii="Tahoma" w:hAnsi="Tahoma" w:cs="Tahoma"/>
                <w:sz w:val="13"/>
                <w:szCs w:val="13"/>
              </w:rPr>
              <w:t>188</w:t>
            </w:r>
          </w:p>
        </w:tc>
        <w:tc>
          <w:tcPr>
            <w:tcW w:w="450" w:type="dxa"/>
            <w:tcBorders>
              <w:bottom w:val="single" w:sz="4" w:space="0" w:color="auto"/>
            </w:tcBorders>
            <w:shd w:val="clear" w:color="auto" w:fill="auto"/>
            <w:vAlign w:val="center"/>
          </w:tcPr>
          <w:p w:rsidR="001A63C6" w:rsidRPr="003410C7" w:rsidRDefault="001A63C6" w:rsidP="001A63C6">
            <w:pPr>
              <w:pStyle w:val="TableText"/>
              <w:widowControl w:val="0"/>
              <w:rPr>
                <w:rFonts w:ascii="Tahoma" w:hAnsi="Tahoma" w:cs="Tahoma"/>
                <w:sz w:val="13"/>
                <w:szCs w:val="13"/>
              </w:rPr>
            </w:pPr>
            <w:r w:rsidRPr="003410C7">
              <w:rPr>
                <w:rFonts w:ascii="Tahoma" w:hAnsi="Tahoma" w:cs="Tahoma"/>
                <w:sz w:val="13"/>
                <w:szCs w:val="13"/>
              </w:rPr>
              <w:t>188</w:t>
            </w:r>
          </w:p>
        </w:tc>
        <w:tc>
          <w:tcPr>
            <w:tcW w:w="450" w:type="dxa"/>
            <w:tcBorders>
              <w:bottom w:val="single" w:sz="4" w:space="0" w:color="auto"/>
            </w:tcBorders>
            <w:shd w:val="clear" w:color="auto" w:fill="auto"/>
            <w:vAlign w:val="center"/>
          </w:tcPr>
          <w:p w:rsidR="001A63C6" w:rsidRPr="003410C7" w:rsidRDefault="001A63C6" w:rsidP="001A63C6">
            <w:pPr>
              <w:pStyle w:val="TableText"/>
              <w:widowControl w:val="0"/>
              <w:rPr>
                <w:rFonts w:ascii="Tahoma" w:hAnsi="Tahoma" w:cs="Tahoma"/>
                <w:sz w:val="13"/>
                <w:szCs w:val="13"/>
              </w:rPr>
            </w:pPr>
            <w:r w:rsidRPr="003410C7">
              <w:rPr>
                <w:rFonts w:ascii="Tahoma" w:hAnsi="Tahoma" w:cs="Tahoma"/>
                <w:sz w:val="13"/>
                <w:szCs w:val="13"/>
              </w:rPr>
              <w:t>125</w:t>
            </w:r>
          </w:p>
        </w:tc>
        <w:tc>
          <w:tcPr>
            <w:tcW w:w="360" w:type="dxa"/>
            <w:tcBorders>
              <w:bottom w:val="single" w:sz="4" w:space="0" w:color="auto"/>
              <w:right w:val="single" w:sz="18" w:space="0" w:color="auto"/>
            </w:tcBorders>
            <w:shd w:val="clear" w:color="auto" w:fill="auto"/>
            <w:vAlign w:val="center"/>
          </w:tcPr>
          <w:p w:rsidR="001A63C6" w:rsidRPr="003410C7" w:rsidRDefault="001A63C6" w:rsidP="001A63C6">
            <w:pPr>
              <w:pStyle w:val="TableText"/>
              <w:widowControl w:val="0"/>
              <w:rPr>
                <w:rFonts w:ascii="Tahoma" w:hAnsi="Tahoma" w:cs="Tahoma"/>
                <w:sz w:val="13"/>
                <w:szCs w:val="13"/>
              </w:rPr>
            </w:pPr>
            <w:r w:rsidRPr="003410C7">
              <w:rPr>
                <w:rFonts w:ascii="Tahoma" w:hAnsi="Tahoma" w:cs="Tahoma"/>
                <w:sz w:val="13"/>
                <w:szCs w:val="13"/>
              </w:rPr>
              <w:t>63</w:t>
            </w:r>
          </w:p>
        </w:tc>
        <w:tc>
          <w:tcPr>
            <w:tcW w:w="450" w:type="dxa"/>
            <w:tcBorders>
              <w:left w:val="single" w:sz="18" w:space="0" w:color="auto"/>
              <w:bottom w:val="single" w:sz="4" w:space="0" w:color="auto"/>
            </w:tcBorders>
            <w:shd w:val="clear" w:color="auto" w:fill="auto"/>
            <w:vAlign w:val="center"/>
          </w:tcPr>
          <w:p w:rsidR="001A63C6" w:rsidRPr="003410C7"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3410C7"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1A63C6" w:rsidRPr="003410C7"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1A63C6" w:rsidRPr="003410C7"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1A63C6" w:rsidRPr="003410C7" w:rsidRDefault="001A63C6" w:rsidP="001A63C6">
            <w:pPr>
              <w:pStyle w:val="TableText"/>
              <w:widowControl w:val="0"/>
              <w:rPr>
                <w:rFonts w:ascii="Tahoma" w:hAnsi="Tahoma" w:cs="Tahoma"/>
                <w:sz w:val="13"/>
              </w:rPr>
            </w:pPr>
            <w:r w:rsidRPr="003410C7">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rsidR="001A63C6" w:rsidRPr="003410C7"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3410C7" w:rsidRDefault="001A63C6" w:rsidP="001A63C6">
            <w:pPr>
              <w:pStyle w:val="TableText"/>
              <w:widowControl w:val="0"/>
              <w:rPr>
                <w:rFonts w:ascii="Tahoma" w:hAnsi="Tahoma" w:cs="Tahoma"/>
                <w:sz w:val="13"/>
              </w:rPr>
            </w:pPr>
          </w:p>
        </w:tc>
        <w:tc>
          <w:tcPr>
            <w:tcW w:w="540" w:type="dxa"/>
            <w:tcBorders>
              <w:bottom w:val="single" w:sz="4" w:space="0" w:color="auto"/>
            </w:tcBorders>
            <w:shd w:val="clear" w:color="auto" w:fill="auto"/>
            <w:vAlign w:val="center"/>
          </w:tcPr>
          <w:p w:rsidR="001A63C6" w:rsidRPr="003410C7" w:rsidRDefault="001A63C6" w:rsidP="001A63C6">
            <w:pPr>
              <w:pStyle w:val="TableText"/>
              <w:widowControl w:val="0"/>
              <w:rPr>
                <w:rFonts w:ascii="Tahoma" w:hAnsi="Tahoma" w:cs="Tahoma"/>
                <w:color w:val="000000"/>
                <w:sz w:val="13"/>
              </w:rPr>
            </w:pPr>
          </w:p>
        </w:tc>
      </w:tr>
      <w:tr w:rsidR="00EF228F" w:rsidRPr="003410C7" w:rsidTr="006B1F3F">
        <w:trPr>
          <w:trHeight w:val="145"/>
        </w:trPr>
        <w:tc>
          <w:tcPr>
            <w:tcW w:w="2734" w:type="dxa"/>
            <w:gridSpan w:val="2"/>
            <w:tcBorders>
              <w:bottom w:val="single" w:sz="4" w:space="0" w:color="auto"/>
            </w:tcBorders>
            <w:shd w:val="clear" w:color="auto" w:fill="FABF8F"/>
            <w:vAlign w:val="center"/>
          </w:tcPr>
          <w:p w:rsidR="001A63C6" w:rsidRPr="00451078" w:rsidRDefault="001A63C6" w:rsidP="003410C7">
            <w:pPr>
              <w:pStyle w:val="ProductNames"/>
              <w:spacing w:beforeLines="20" w:before="48" w:afterLines="20" w:after="48"/>
              <w:rPr>
                <w:rFonts w:ascii="Tahoma" w:hAnsi="Tahoma" w:cs="Tahoma"/>
                <w:sz w:val="14"/>
                <w:lang w:val="it-IT"/>
              </w:rPr>
            </w:pPr>
            <w:bookmarkStart w:id="191" w:name="_Toc336337926"/>
            <w:bookmarkStart w:id="192" w:name="_Toc352234551"/>
            <w:r w:rsidRPr="00451078">
              <w:rPr>
                <w:rFonts w:ascii="Tahoma" w:hAnsi="Tahoma" w:cs="Tahoma"/>
                <w:sz w:val="14"/>
                <w:lang w:val="it-IT"/>
              </w:rPr>
              <w:t>Core CAL Suite Bridge per Office 365 (Utente e Dispositivo)</w:t>
            </w:r>
            <w:bookmarkEnd w:id="191"/>
            <w:bookmarkEnd w:id="192"/>
          </w:p>
        </w:tc>
        <w:tc>
          <w:tcPr>
            <w:tcW w:w="450" w:type="dxa"/>
            <w:tcBorders>
              <w:bottom w:val="single" w:sz="4" w:space="0" w:color="auto"/>
            </w:tcBorders>
            <w:shd w:val="clear" w:color="auto" w:fill="FABF8F"/>
            <w:vAlign w:val="center"/>
          </w:tcPr>
          <w:p w:rsidR="001A63C6" w:rsidRPr="009F17FF" w:rsidRDefault="00FC1A4D" w:rsidP="002C5924">
            <w:pPr>
              <w:pStyle w:val="TableText"/>
              <w:widowControl w:val="0"/>
              <w:rPr>
                <w:b/>
                <w:color w:val="0000FF"/>
                <w:sz w:val="13"/>
                <w:szCs w:val="13"/>
                <w:u w:val="single"/>
              </w:rPr>
            </w:pPr>
            <w:hyperlink w:anchor="_35_Core_CAL" w:history="1">
              <w:r w:rsidR="000D77F6" w:rsidRPr="009F17FF">
                <w:rPr>
                  <w:rStyle w:val="Hyperlink"/>
                  <w:b/>
                  <w:sz w:val="13"/>
                  <w:szCs w:val="13"/>
                </w:rPr>
                <w:t>35</w:t>
              </w:r>
            </w:hyperlink>
          </w:p>
        </w:tc>
        <w:tc>
          <w:tcPr>
            <w:tcW w:w="450" w:type="dxa"/>
            <w:tcBorders>
              <w:bottom w:val="single" w:sz="4" w:space="0" w:color="auto"/>
            </w:tcBorders>
            <w:shd w:val="clear" w:color="auto" w:fill="FABF8F"/>
            <w:vAlign w:val="center"/>
          </w:tcPr>
          <w:p w:rsidR="001A63C6" w:rsidRPr="003410C7" w:rsidRDefault="001A63C6" w:rsidP="001A63C6">
            <w:pPr>
              <w:pStyle w:val="TableText"/>
              <w:widowControl w:val="0"/>
              <w:rPr>
                <w:rFonts w:ascii="Tahoma" w:hAnsi="Tahoma" w:cs="Tahoma"/>
                <w:sz w:val="13"/>
              </w:rPr>
            </w:pPr>
            <w:r w:rsidRPr="003410C7">
              <w:rPr>
                <w:rFonts w:ascii="Tahoma" w:hAnsi="Tahoma" w:cs="Tahoma"/>
                <w:sz w:val="13"/>
              </w:rPr>
              <w:t>06/11</w:t>
            </w:r>
          </w:p>
        </w:tc>
        <w:tc>
          <w:tcPr>
            <w:tcW w:w="360" w:type="dxa"/>
            <w:tcBorders>
              <w:bottom w:val="single" w:sz="4" w:space="0" w:color="auto"/>
              <w:right w:val="single" w:sz="18" w:space="0" w:color="auto"/>
            </w:tcBorders>
            <w:shd w:val="clear" w:color="auto" w:fill="FABF8F"/>
            <w:vAlign w:val="center"/>
          </w:tcPr>
          <w:p w:rsidR="001A63C6" w:rsidRPr="003410C7" w:rsidRDefault="001A63C6" w:rsidP="001A63C6">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FABF8F"/>
            <w:vAlign w:val="center"/>
          </w:tcPr>
          <w:p w:rsidR="001A63C6" w:rsidRPr="003410C7" w:rsidRDefault="001A63C6" w:rsidP="001A63C6">
            <w:pPr>
              <w:pStyle w:val="TableText"/>
              <w:widowControl w:val="0"/>
              <w:rPr>
                <w:rFonts w:ascii="Tahoma" w:hAnsi="Tahoma" w:cs="Tahoma"/>
                <w:sz w:val="13"/>
                <w:szCs w:val="13"/>
              </w:rPr>
            </w:pPr>
          </w:p>
        </w:tc>
        <w:tc>
          <w:tcPr>
            <w:tcW w:w="450" w:type="dxa"/>
            <w:tcBorders>
              <w:bottom w:val="single" w:sz="4" w:space="0" w:color="auto"/>
            </w:tcBorders>
            <w:shd w:val="clear" w:color="auto" w:fill="FABF8F"/>
            <w:vAlign w:val="center"/>
          </w:tcPr>
          <w:p w:rsidR="001A63C6" w:rsidRPr="003410C7" w:rsidRDefault="001A63C6" w:rsidP="001A63C6">
            <w:pPr>
              <w:pStyle w:val="TableText"/>
              <w:widowControl w:val="0"/>
              <w:rPr>
                <w:rFonts w:ascii="Tahoma" w:hAnsi="Tahoma" w:cs="Tahoma"/>
                <w:sz w:val="13"/>
                <w:szCs w:val="13"/>
              </w:rPr>
            </w:pPr>
          </w:p>
        </w:tc>
        <w:tc>
          <w:tcPr>
            <w:tcW w:w="450" w:type="dxa"/>
            <w:tcBorders>
              <w:bottom w:val="single" w:sz="4" w:space="0" w:color="auto"/>
            </w:tcBorders>
            <w:shd w:val="clear" w:color="auto" w:fill="FABF8F"/>
            <w:vAlign w:val="center"/>
          </w:tcPr>
          <w:p w:rsidR="001A63C6" w:rsidRPr="003410C7" w:rsidRDefault="001A63C6" w:rsidP="001A63C6">
            <w:pPr>
              <w:pStyle w:val="TableText"/>
              <w:widowControl w:val="0"/>
              <w:rPr>
                <w:rFonts w:ascii="Tahoma" w:hAnsi="Tahoma" w:cs="Tahoma"/>
                <w:sz w:val="13"/>
                <w:szCs w:val="13"/>
              </w:rPr>
            </w:pPr>
          </w:p>
        </w:tc>
        <w:tc>
          <w:tcPr>
            <w:tcW w:w="450" w:type="dxa"/>
            <w:tcBorders>
              <w:bottom w:val="single" w:sz="4" w:space="0" w:color="auto"/>
            </w:tcBorders>
            <w:shd w:val="clear" w:color="auto" w:fill="FABF8F"/>
            <w:vAlign w:val="center"/>
          </w:tcPr>
          <w:p w:rsidR="001A63C6" w:rsidRPr="003410C7" w:rsidRDefault="001A63C6" w:rsidP="001A63C6">
            <w:pPr>
              <w:pStyle w:val="TableText"/>
              <w:widowControl w:val="0"/>
              <w:rPr>
                <w:rFonts w:ascii="Tahoma" w:hAnsi="Tahoma" w:cs="Tahoma"/>
                <w:sz w:val="13"/>
                <w:szCs w:val="13"/>
              </w:rPr>
            </w:pPr>
          </w:p>
        </w:tc>
        <w:tc>
          <w:tcPr>
            <w:tcW w:w="450" w:type="dxa"/>
            <w:tcBorders>
              <w:bottom w:val="single" w:sz="4" w:space="0" w:color="auto"/>
            </w:tcBorders>
            <w:shd w:val="clear" w:color="auto" w:fill="FABF8F"/>
            <w:vAlign w:val="center"/>
          </w:tcPr>
          <w:p w:rsidR="001A63C6" w:rsidRPr="003410C7" w:rsidRDefault="001A63C6" w:rsidP="001A63C6">
            <w:pPr>
              <w:pStyle w:val="TableText"/>
              <w:widowControl w:val="0"/>
              <w:rPr>
                <w:rFonts w:ascii="Tahoma" w:hAnsi="Tahoma" w:cs="Tahoma"/>
                <w:sz w:val="13"/>
                <w:szCs w:val="13"/>
              </w:rPr>
            </w:pPr>
          </w:p>
        </w:tc>
        <w:tc>
          <w:tcPr>
            <w:tcW w:w="450" w:type="dxa"/>
            <w:tcBorders>
              <w:bottom w:val="single" w:sz="4" w:space="0" w:color="auto"/>
            </w:tcBorders>
            <w:shd w:val="clear" w:color="auto" w:fill="FABF8F"/>
            <w:vAlign w:val="center"/>
          </w:tcPr>
          <w:p w:rsidR="001A63C6" w:rsidRPr="003410C7" w:rsidRDefault="001A63C6" w:rsidP="001A63C6">
            <w:pPr>
              <w:pStyle w:val="TableText"/>
              <w:widowControl w:val="0"/>
              <w:rPr>
                <w:rFonts w:ascii="Tahoma" w:hAnsi="Tahoma" w:cs="Tahoma"/>
                <w:sz w:val="13"/>
                <w:szCs w:val="13"/>
              </w:rPr>
            </w:pPr>
          </w:p>
        </w:tc>
        <w:tc>
          <w:tcPr>
            <w:tcW w:w="360" w:type="dxa"/>
            <w:tcBorders>
              <w:bottom w:val="single" w:sz="4" w:space="0" w:color="auto"/>
              <w:right w:val="single" w:sz="18" w:space="0" w:color="auto"/>
            </w:tcBorders>
            <w:shd w:val="clear" w:color="auto" w:fill="FABF8F"/>
            <w:vAlign w:val="center"/>
          </w:tcPr>
          <w:p w:rsidR="001A63C6" w:rsidRPr="003410C7" w:rsidRDefault="001A63C6" w:rsidP="001A63C6">
            <w:pPr>
              <w:pStyle w:val="TableText"/>
              <w:widowControl w:val="0"/>
              <w:rPr>
                <w:rFonts w:ascii="Tahoma" w:hAnsi="Tahoma" w:cs="Tahoma"/>
                <w:sz w:val="13"/>
                <w:szCs w:val="13"/>
              </w:rPr>
            </w:pPr>
          </w:p>
        </w:tc>
        <w:tc>
          <w:tcPr>
            <w:tcW w:w="450" w:type="dxa"/>
            <w:tcBorders>
              <w:left w:val="single" w:sz="18" w:space="0" w:color="auto"/>
              <w:bottom w:val="single" w:sz="4" w:space="0" w:color="auto"/>
            </w:tcBorders>
            <w:shd w:val="clear" w:color="auto" w:fill="FABF8F"/>
            <w:vAlign w:val="center"/>
          </w:tcPr>
          <w:p w:rsidR="001A63C6" w:rsidRPr="003410C7" w:rsidRDefault="001A63C6" w:rsidP="001A63C6">
            <w:pPr>
              <w:pStyle w:val="TableText"/>
              <w:widowControl w:val="0"/>
              <w:rPr>
                <w:rFonts w:ascii="Tahoma" w:hAnsi="Tahoma" w:cs="Tahoma"/>
                <w:sz w:val="13"/>
                <w:szCs w:val="13"/>
              </w:rPr>
            </w:pPr>
          </w:p>
        </w:tc>
        <w:tc>
          <w:tcPr>
            <w:tcW w:w="450" w:type="dxa"/>
            <w:tcBorders>
              <w:bottom w:val="single" w:sz="4" w:space="0" w:color="auto"/>
            </w:tcBorders>
            <w:shd w:val="clear" w:color="auto" w:fill="FABF8F"/>
            <w:vAlign w:val="center"/>
          </w:tcPr>
          <w:p w:rsidR="001A63C6" w:rsidRPr="003410C7" w:rsidRDefault="001A63C6" w:rsidP="001A63C6">
            <w:pPr>
              <w:pStyle w:val="TableText"/>
              <w:widowControl w:val="0"/>
              <w:rPr>
                <w:rFonts w:ascii="Tahoma" w:hAnsi="Tahoma" w:cs="Tahoma"/>
                <w:sz w:val="13"/>
                <w:szCs w:val="13"/>
              </w:rPr>
            </w:pPr>
          </w:p>
        </w:tc>
        <w:tc>
          <w:tcPr>
            <w:tcW w:w="450" w:type="dxa"/>
            <w:tcBorders>
              <w:bottom w:val="single" w:sz="4" w:space="0" w:color="auto"/>
              <w:right w:val="single" w:sz="18" w:space="0" w:color="auto"/>
            </w:tcBorders>
            <w:shd w:val="clear" w:color="auto" w:fill="FABF8F"/>
            <w:vAlign w:val="center"/>
          </w:tcPr>
          <w:p w:rsidR="001A63C6" w:rsidRPr="003410C7" w:rsidRDefault="001A63C6" w:rsidP="001A63C6">
            <w:pPr>
              <w:pStyle w:val="TableText"/>
              <w:widowControl w:val="0"/>
              <w:rPr>
                <w:rFonts w:ascii="Tahoma" w:hAnsi="Tahoma" w:cs="Tahoma"/>
                <w:sz w:val="13"/>
                <w:szCs w:val="13"/>
              </w:rPr>
            </w:pPr>
          </w:p>
        </w:tc>
        <w:tc>
          <w:tcPr>
            <w:tcW w:w="450" w:type="dxa"/>
            <w:tcBorders>
              <w:left w:val="single" w:sz="18" w:space="0" w:color="auto"/>
              <w:bottom w:val="single" w:sz="4" w:space="0" w:color="auto"/>
            </w:tcBorders>
            <w:shd w:val="clear" w:color="auto" w:fill="FABF8F"/>
            <w:vAlign w:val="center"/>
          </w:tcPr>
          <w:p w:rsidR="001A63C6" w:rsidRPr="003410C7" w:rsidRDefault="001A63C6" w:rsidP="001A63C6">
            <w:pPr>
              <w:pStyle w:val="TableText"/>
              <w:widowControl w:val="0"/>
              <w:rPr>
                <w:rFonts w:ascii="Tahoma" w:hAnsi="Tahoma" w:cs="Tahoma"/>
                <w:sz w:val="13"/>
                <w:szCs w:val="13"/>
              </w:rPr>
            </w:pPr>
          </w:p>
        </w:tc>
        <w:tc>
          <w:tcPr>
            <w:tcW w:w="450" w:type="dxa"/>
            <w:tcBorders>
              <w:bottom w:val="single" w:sz="4" w:space="0" w:color="auto"/>
              <w:right w:val="single" w:sz="18" w:space="0" w:color="auto"/>
            </w:tcBorders>
            <w:shd w:val="clear" w:color="auto" w:fill="FABF8F"/>
            <w:vAlign w:val="center"/>
          </w:tcPr>
          <w:p w:rsidR="001A63C6" w:rsidRPr="003410C7"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3410C7" w:rsidRDefault="001A63C6" w:rsidP="001A63C6">
            <w:pPr>
              <w:pStyle w:val="TableText"/>
              <w:widowControl w:val="0"/>
              <w:rPr>
                <w:rFonts w:ascii="Tahoma" w:hAnsi="Tahoma" w:cs="Tahoma"/>
                <w:sz w:val="13"/>
              </w:rPr>
            </w:pPr>
            <w:r w:rsidRPr="003410C7">
              <w:rPr>
                <w:rFonts w:ascii="Tahoma" w:hAnsi="Tahoma" w:cs="Tahoma"/>
                <w:sz w:val="13"/>
              </w:rPr>
              <w:t>E</w:t>
            </w:r>
          </w:p>
        </w:tc>
        <w:tc>
          <w:tcPr>
            <w:tcW w:w="450" w:type="dxa"/>
            <w:tcBorders>
              <w:bottom w:val="single" w:sz="4" w:space="0" w:color="auto"/>
            </w:tcBorders>
            <w:shd w:val="clear" w:color="auto" w:fill="FABF8F"/>
            <w:vAlign w:val="center"/>
          </w:tcPr>
          <w:p w:rsidR="001A63C6" w:rsidRPr="003410C7" w:rsidRDefault="001A63C6" w:rsidP="001A63C6">
            <w:pPr>
              <w:pStyle w:val="TableText"/>
              <w:widowControl w:val="0"/>
              <w:rPr>
                <w:rFonts w:ascii="Tahoma" w:hAnsi="Tahoma" w:cs="Tahoma"/>
                <w:sz w:val="13"/>
              </w:rPr>
            </w:pPr>
          </w:p>
        </w:tc>
        <w:tc>
          <w:tcPr>
            <w:tcW w:w="540" w:type="dxa"/>
            <w:tcBorders>
              <w:bottom w:val="single" w:sz="4" w:space="0" w:color="auto"/>
            </w:tcBorders>
            <w:shd w:val="clear" w:color="auto" w:fill="FABF8F"/>
            <w:vAlign w:val="center"/>
          </w:tcPr>
          <w:p w:rsidR="001A63C6" w:rsidRPr="003410C7" w:rsidRDefault="001A63C6" w:rsidP="001A63C6">
            <w:pPr>
              <w:pStyle w:val="TableText"/>
              <w:widowControl w:val="0"/>
              <w:rPr>
                <w:rFonts w:ascii="Tahoma" w:hAnsi="Tahoma" w:cs="Tahoma"/>
                <w:sz w:val="13"/>
              </w:rPr>
            </w:pPr>
          </w:p>
        </w:tc>
      </w:tr>
      <w:tr w:rsidR="00BE2E58" w:rsidRPr="003410C7" w:rsidTr="006B1F3F">
        <w:trPr>
          <w:trHeight w:val="145"/>
        </w:trPr>
        <w:tc>
          <w:tcPr>
            <w:tcW w:w="2734" w:type="dxa"/>
            <w:gridSpan w:val="2"/>
            <w:tcBorders>
              <w:bottom w:val="single" w:sz="4" w:space="0" w:color="auto"/>
            </w:tcBorders>
            <w:shd w:val="clear" w:color="auto" w:fill="auto"/>
            <w:vAlign w:val="center"/>
          </w:tcPr>
          <w:p w:rsidR="001A63C6" w:rsidRPr="00451078" w:rsidRDefault="001A63C6" w:rsidP="003410C7">
            <w:pPr>
              <w:pStyle w:val="ProductNames"/>
              <w:spacing w:beforeLines="20" w:before="48" w:afterLines="20" w:after="48"/>
              <w:rPr>
                <w:rFonts w:ascii="Tahoma" w:hAnsi="Tahoma" w:cs="Tahoma"/>
                <w:sz w:val="14"/>
                <w:lang w:val="it-IT"/>
              </w:rPr>
            </w:pPr>
            <w:bookmarkStart w:id="193" w:name="_Toc336337927"/>
            <w:bookmarkStart w:id="194" w:name="_Toc352234552"/>
            <w:r w:rsidRPr="00451078">
              <w:rPr>
                <w:rFonts w:ascii="Tahoma" w:hAnsi="Tahoma" w:cs="Tahoma"/>
                <w:sz w:val="14"/>
                <w:lang w:val="it-IT"/>
              </w:rPr>
              <w:t>Core CAL Suite Bridge per Office 365 e Windows</w:t>
            </w:r>
            <w:r w:rsidR="003410C7" w:rsidRPr="00451078">
              <w:rPr>
                <w:rFonts w:ascii="Tahoma" w:hAnsi="Tahoma" w:cs="Tahoma"/>
                <w:sz w:val="14"/>
                <w:vertAlign w:val="superscript"/>
                <w:lang w:val="it-IT"/>
              </w:rPr>
              <w:t>®</w:t>
            </w:r>
            <w:r w:rsidRPr="00451078">
              <w:rPr>
                <w:rFonts w:ascii="Tahoma" w:hAnsi="Tahoma" w:cs="Tahoma"/>
                <w:sz w:val="14"/>
                <w:lang w:val="it-IT"/>
              </w:rPr>
              <w:t xml:space="preserve"> Intune (Utente e Dispositivo)</w:t>
            </w:r>
            <w:bookmarkEnd w:id="193"/>
            <w:bookmarkEnd w:id="194"/>
          </w:p>
        </w:tc>
        <w:tc>
          <w:tcPr>
            <w:tcW w:w="450" w:type="dxa"/>
            <w:tcBorders>
              <w:bottom w:val="single" w:sz="4" w:space="0" w:color="auto"/>
            </w:tcBorders>
            <w:shd w:val="clear" w:color="auto" w:fill="auto"/>
            <w:vAlign w:val="center"/>
          </w:tcPr>
          <w:p w:rsidR="001A63C6" w:rsidRPr="009F17FF" w:rsidRDefault="00FC1A4D" w:rsidP="00AA19FE">
            <w:pPr>
              <w:pStyle w:val="TableText"/>
              <w:widowControl w:val="0"/>
              <w:rPr>
                <w:b/>
                <w:color w:val="0000FF"/>
                <w:sz w:val="13"/>
                <w:szCs w:val="13"/>
                <w:u w:val="single"/>
              </w:rPr>
            </w:pPr>
            <w:hyperlink w:anchor="_36_Core_CAL" w:history="1">
              <w:r w:rsidR="000D77F6" w:rsidRPr="009F17FF">
                <w:rPr>
                  <w:rStyle w:val="Hyperlink"/>
                  <w:b/>
                  <w:sz w:val="13"/>
                  <w:szCs w:val="13"/>
                </w:rPr>
                <w:t>36</w:t>
              </w:r>
            </w:hyperlink>
          </w:p>
        </w:tc>
        <w:tc>
          <w:tcPr>
            <w:tcW w:w="450" w:type="dxa"/>
            <w:tcBorders>
              <w:bottom w:val="single" w:sz="4" w:space="0" w:color="auto"/>
            </w:tcBorders>
            <w:shd w:val="clear" w:color="auto" w:fill="auto"/>
            <w:vAlign w:val="center"/>
          </w:tcPr>
          <w:p w:rsidR="001A63C6" w:rsidRPr="003410C7" w:rsidRDefault="001A63C6" w:rsidP="001A63C6">
            <w:pPr>
              <w:pStyle w:val="TableText"/>
              <w:widowControl w:val="0"/>
              <w:rPr>
                <w:rFonts w:ascii="Tahoma" w:hAnsi="Tahoma" w:cs="Tahoma"/>
                <w:sz w:val="13"/>
              </w:rPr>
            </w:pPr>
            <w:r w:rsidRPr="003410C7">
              <w:rPr>
                <w:rFonts w:ascii="Tahoma" w:hAnsi="Tahoma" w:cs="Tahoma"/>
                <w:sz w:val="13"/>
              </w:rPr>
              <w:t>06/11</w:t>
            </w:r>
          </w:p>
        </w:tc>
        <w:tc>
          <w:tcPr>
            <w:tcW w:w="360" w:type="dxa"/>
            <w:tcBorders>
              <w:bottom w:val="single" w:sz="4" w:space="0" w:color="auto"/>
              <w:right w:val="single" w:sz="18" w:space="0" w:color="auto"/>
            </w:tcBorders>
            <w:shd w:val="clear" w:color="auto" w:fill="auto"/>
            <w:vAlign w:val="center"/>
          </w:tcPr>
          <w:p w:rsidR="001A63C6" w:rsidRPr="003410C7" w:rsidRDefault="001A63C6" w:rsidP="001A63C6">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auto"/>
            <w:vAlign w:val="center"/>
          </w:tcPr>
          <w:p w:rsidR="001A63C6" w:rsidRPr="003410C7" w:rsidRDefault="001A63C6" w:rsidP="001A63C6">
            <w:pPr>
              <w:pStyle w:val="TableText"/>
              <w:widowControl w:val="0"/>
              <w:rPr>
                <w:rFonts w:ascii="Tahoma" w:hAnsi="Tahoma" w:cs="Tahoma"/>
                <w:sz w:val="13"/>
                <w:szCs w:val="13"/>
              </w:rPr>
            </w:pPr>
          </w:p>
        </w:tc>
        <w:tc>
          <w:tcPr>
            <w:tcW w:w="450" w:type="dxa"/>
            <w:tcBorders>
              <w:bottom w:val="single" w:sz="4" w:space="0" w:color="auto"/>
            </w:tcBorders>
            <w:shd w:val="clear" w:color="auto" w:fill="auto"/>
            <w:vAlign w:val="center"/>
          </w:tcPr>
          <w:p w:rsidR="001A63C6" w:rsidRPr="003410C7" w:rsidRDefault="001A63C6" w:rsidP="001A63C6">
            <w:pPr>
              <w:pStyle w:val="TableText"/>
              <w:widowControl w:val="0"/>
              <w:rPr>
                <w:rFonts w:ascii="Tahoma" w:hAnsi="Tahoma" w:cs="Tahoma"/>
                <w:sz w:val="13"/>
                <w:szCs w:val="13"/>
              </w:rPr>
            </w:pPr>
          </w:p>
        </w:tc>
        <w:tc>
          <w:tcPr>
            <w:tcW w:w="450" w:type="dxa"/>
            <w:tcBorders>
              <w:bottom w:val="single" w:sz="4" w:space="0" w:color="auto"/>
            </w:tcBorders>
            <w:shd w:val="clear" w:color="auto" w:fill="auto"/>
            <w:vAlign w:val="center"/>
          </w:tcPr>
          <w:p w:rsidR="001A63C6" w:rsidRPr="003410C7" w:rsidRDefault="001A63C6" w:rsidP="001A63C6">
            <w:pPr>
              <w:pStyle w:val="TableText"/>
              <w:widowControl w:val="0"/>
              <w:rPr>
                <w:rFonts w:ascii="Tahoma" w:hAnsi="Tahoma" w:cs="Tahoma"/>
                <w:sz w:val="13"/>
                <w:szCs w:val="13"/>
              </w:rPr>
            </w:pPr>
          </w:p>
        </w:tc>
        <w:tc>
          <w:tcPr>
            <w:tcW w:w="450" w:type="dxa"/>
            <w:tcBorders>
              <w:bottom w:val="single" w:sz="4" w:space="0" w:color="auto"/>
            </w:tcBorders>
            <w:shd w:val="clear" w:color="auto" w:fill="auto"/>
            <w:vAlign w:val="center"/>
          </w:tcPr>
          <w:p w:rsidR="001A63C6" w:rsidRPr="003410C7" w:rsidRDefault="001A63C6" w:rsidP="001A63C6">
            <w:pPr>
              <w:pStyle w:val="TableText"/>
              <w:widowControl w:val="0"/>
              <w:rPr>
                <w:rFonts w:ascii="Tahoma" w:hAnsi="Tahoma" w:cs="Tahoma"/>
                <w:sz w:val="13"/>
                <w:szCs w:val="13"/>
              </w:rPr>
            </w:pPr>
          </w:p>
        </w:tc>
        <w:tc>
          <w:tcPr>
            <w:tcW w:w="450" w:type="dxa"/>
            <w:tcBorders>
              <w:bottom w:val="single" w:sz="4" w:space="0" w:color="auto"/>
            </w:tcBorders>
            <w:shd w:val="clear" w:color="auto" w:fill="auto"/>
            <w:vAlign w:val="center"/>
          </w:tcPr>
          <w:p w:rsidR="001A63C6" w:rsidRPr="003410C7" w:rsidRDefault="001A63C6" w:rsidP="001A63C6">
            <w:pPr>
              <w:pStyle w:val="TableText"/>
              <w:widowControl w:val="0"/>
              <w:rPr>
                <w:rFonts w:ascii="Tahoma" w:hAnsi="Tahoma" w:cs="Tahoma"/>
                <w:sz w:val="13"/>
                <w:szCs w:val="13"/>
              </w:rPr>
            </w:pPr>
          </w:p>
        </w:tc>
        <w:tc>
          <w:tcPr>
            <w:tcW w:w="450" w:type="dxa"/>
            <w:tcBorders>
              <w:bottom w:val="single" w:sz="4" w:space="0" w:color="auto"/>
            </w:tcBorders>
            <w:shd w:val="clear" w:color="auto" w:fill="auto"/>
            <w:vAlign w:val="center"/>
          </w:tcPr>
          <w:p w:rsidR="001A63C6" w:rsidRPr="003410C7" w:rsidRDefault="001A63C6" w:rsidP="001A63C6">
            <w:pPr>
              <w:pStyle w:val="TableText"/>
              <w:widowControl w:val="0"/>
              <w:rPr>
                <w:rFonts w:ascii="Tahoma" w:hAnsi="Tahoma" w:cs="Tahoma"/>
                <w:sz w:val="13"/>
                <w:szCs w:val="13"/>
              </w:rPr>
            </w:pPr>
          </w:p>
        </w:tc>
        <w:tc>
          <w:tcPr>
            <w:tcW w:w="360" w:type="dxa"/>
            <w:tcBorders>
              <w:bottom w:val="single" w:sz="4" w:space="0" w:color="auto"/>
              <w:right w:val="single" w:sz="18" w:space="0" w:color="auto"/>
            </w:tcBorders>
            <w:shd w:val="clear" w:color="auto" w:fill="auto"/>
            <w:vAlign w:val="center"/>
          </w:tcPr>
          <w:p w:rsidR="001A63C6" w:rsidRPr="003410C7" w:rsidRDefault="001A63C6" w:rsidP="001A63C6">
            <w:pPr>
              <w:pStyle w:val="TableText"/>
              <w:widowControl w:val="0"/>
              <w:rPr>
                <w:rFonts w:ascii="Tahoma" w:hAnsi="Tahoma" w:cs="Tahoma"/>
                <w:sz w:val="13"/>
                <w:szCs w:val="13"/>
              </w:rPr>
            </w:pPr>
          </w:p>
        </w:tc>
        <w:tc>
          <w:tcPr>
            <w:tcW w:w="450" w:type="dxa"/>
            <w:tcBorders>
              <w:left w:val="single" w:sz="18" w:space="0" w:color="auto"/>
              <w:bottom w:val="single" w:sz="4" w:space="0" w:color="auto"/>
            </w:tcBorders>
            <w:shd w:val="clear" w:color="auto" w:fill="auto"/>
            <w:vAlign w:val="center"/>
          </w:tcPr>
          <w:p w:rsidR="001A63C6" w:rsidRPr="003410C7" w:rsidRDefault="001A63C6" w:rsidP="001A63C6">
            <w:pPr>
              <w:pStyle w:val="TableText"/>
              <w:widowControl w:val="0"/>
              <w:rPr>
                <w:rFonts w:ascii="Tahoma" w:hAnsi="Tahoma" w:cs="Tahoma"/>
                <w:sz w:val="13"/>
                <w:szCs w:val="13"/>
              </w:rPr>
            </w:pPr>
          </w:p>
        </w:tc>
        <w:tc>
          <w:tcPr>
            <w:tcW w:w="450" w:type="dxa"/>
            <w:tcBorders>
              <w:bottom w:val="single" w:sz="4" w:space="0" w:color="auto"/>
            </w:tcBorders>
            <w:shd w:val="clear" w:color="auto" w:fill="auto"/>
            <w:vAlign w:val="center"/>
          </w:tcPr>
          <w:p w:rsidR="001A63C6" w:rsidRPr="003410C7" w:rsidRDefault="001A63C6" w:rsidP="001A63C6">
            <w:pPr>
              <w:pStyle w:val="TableText"/>
              <w:widowControl w:val="0"/>
              <w:rPr>
                <w:rFonts w:ascii="Tahoma" w:hAnsi="Tahoma" w:cs="Tahoma"/>
                <w:sz w:val="13"/>
                <w:szCs w:val="13"/>
              </w:rPr>
            </w:pPr>
          </w:p>
        </w:tc>
        <w:tc>
          <w:tcPr>
            <w:tcW w:w="450" w:type="dxa"/>
            <w:tcBorders>
              <w:bottom w:val="single" w:sz="4" w:space="0" w:color="auto"/>
              <w:right w:val="single" w:sz="18" w:space="0" w:color="auto"/>
            </w:tcBorders>
            <w:shd w:val="clear" w:color="auto" w:fill="auto"/>
            <w:vAlign w:val="center"/>
          </w:tcPr>
          <w:p w:rsidR="001A63C6" w:rsidRPr="003410C7" w:rsidRDefault="001A63C6" w:rsidP="001A63C6">
            <w:pPr>
              <w:pStyle w:val="TableText"/>
              <w:widowControl w:val="0"/>
              <w:rPr>
                <w:rFonts w:ascii="Tahoma" w:hAnsi="Tahoma" w:cs="Tahoma"/>
                <w:sz w:val="13"/>
                <w:szCs w:val="13"/>
              </w:rPr>
            </w:pPr>
          </w:p>
        </w:tc>
        <w:tc>
          <w:tcPr>
            <w:tcW w:w="450" w:type="dxa"/>
            <w:tcBorders>
              <w:left w:val="single" w:sz="18" w:space="0" w:color="auto"/>
              <w:bottom w:val="single" w:sz="4" w:space="0" w:color="auto"/>
            </w:tcBorders>
            <w:shd w:val="clear" w:color="auto" w:fill="auto"/>
            <w:vAlign w:val="center"/>
          </w:tcPr>
          <w:p w:rsidR="001A63C6" w:rsidRPr="003410C7" w:rsidRDefault="001A63C6" w:rsidP="001A63C6">
            <w:pPr>
              <w:pStyle w:val="TableText"/>
              <w:widowControl w:val="0"/>
              <w:rPr>
                <w:rFonts w:ascii="Tahoma" w:hAnsi="Tahoma" w:cs="Tahoma"/>
                <w:sz w:val="13"/>
                <w:szCs w:val="13"/>
              </w:rPr>
            </w:pPr>
          </w:p>
        </w:tc>
        <w:tc>
          <w:tcPr>
            <w:tcW w:w="450" w:type="dxa"/>
            <w:tcBorders>
              <w:bottom w:val="single" w:sz="4" w:space="0" w:color="auto"/>
              <w:right w:val="single" w:sz="18" w:space="0" w:color="auto"/>
            </w:tcBorders>
            <w:shd w:val="clear" w:color="auto" w:fill="auto"/>
            <w:vAlign w:val="center"/>
          </w:tcPr>
          <w:p w:rsidR="001A63C6" w:rsidRPr="003410C7"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rsidR="001A63C6" w:rsidRPr="003410C7" w:rsidRDefault="001A63C6" w:rsidP="001A63C6">
            <w:pPr>
              <w:pStyle w:val="TableText"/>
              <w:widowControl w:val="0"/>
              <w:rPr>
                <w:rFonts w:ascii="Tahoma" w:hAnsi="Tahoma" w:cs="Tahoma"/>
                <w:sz w:val="13"/>
              </w:rPr>
            </w:pPr>
            <w:r w:rsidRPr="003410C7">
              <w:rPr>
                <w:rFonts w:ascii="Tahoma" w:hAnsi="Tahoma" w:cs="Tahoma"/>
                <w:sz w:val="13"/>
              </w:rPr>
              <w:t>E</w:t>
            </w:r>
          </w:p>
        </w:tc>
        <w:tc>
          <w:tcPr>
            <w:tcW w:w="450" w:type="dxa"/>
            <w:tcBorders>
              <w:bottom w:val="single" w:sz="4" w:space="0" w:color="auto"/>
            </w:tcBorders>
            <w:shd w:val="clear" w:color="auto" w:fill="auto"/>
            <w:vAlign w:val="center"/>
          </w:tcPr>
          <w:p w:rsidR="001A63C6" w:rsidRPr="003410C7" w:rsidRDefault="001A63C6" w:rsidP="001A63C6">
            <w:pPr>
              <w:pStyle w:val="TableText"/>
              <w:widowControl w:val="0"/>
              <w:rPr>
                <w:rFonts w:ascii="Tahoma" w:hAnsi="Tahoma" w:cs="Tahoma"/>
                <w:sz w:val="13"/>
              </w:rPr>
            </w:pPr>
          </w:p>
        </w:tc>
        <w:tc>
          <w:tcPr>
            <w:tcW w:w="540" w:type="dxa"/>
            <w:tcBorders>
              <w:bottom w:val="single" w:sz="4" w:space="0" w:color="auto"/>
            </w:tcBorders>
            <w:shd w:val="clear" w:color="auto" w:fill="auto"/>
            <w:vAlign w:val="center"/>
          </w:tcPr>
          <w:p w:rsidR="001A63C6" w:rsidRPr="003410C7" w:rsidRDefault="001A63C6" w:rsidP="001A63C6">
            <w:pPr>
              <w:pStyle w:val="TableText"/>
              <w:widowControl w:val="0"/>
              <w:rPr>
                <w:rFonts w:ascii="Tahoma" w:hAnsi="Tahoma" w:cs="Tahoma"/>
                <w:sz w:val="13"/>
              </w:rPr>
            </w:pPr>
          </w:p>
        </w:tc>
      </w:tr>
      <w:tr w:rsidR="00EF228F" w:rsidRPr="003410C7" w:rsidTr="006B1F3F">
        <w:trPr>
          <w:trHeight w:val="145"/>
        </w:trPr>
        <w:tc>
          <w:tcPr>
            <w:tcW w:w="2734" w:type="dxa"/>
            <w:gridSpan w:val="2"/>
            <w:tcBorders>
              <w:bottom w:val="single" w:sz="4" w:space="0" w:color="auto"/>
            </w:tcBorders>
            <w:shd w:val="clear" w:color="auto" w:fill="FABF8F"/>
            <w:vAlign w:val="center"/>
          </w:tcPr>
          <w:p w:rsidR="001A63C6" w:rsidRPr="00451078" w:rsidRDefault="001A63C6" w:rsidP="003410C7">
            <w:pPr>
              <w:pStyle w:val="ProductNames"/>
              <w:spacing w:beforeLines="20" w:before="48" w:afterLines="20" w:after="48"/>
              <w:rPr>
                <w:rFonts w:ascii="Tahoma" w:hAnsi="Tahoma" w:cs="Tahoma"/>
                <w:sz w:val="14"/>
                <w:lang w:val="it-IT"/>
              </w:rPr>
            </w:pPr>
            <w:bookmarkStart w:id="195" w:name="_Toc336337928"/>
            <w:bookmarkStart w:id="196" w:name="_Toc352234553"/>
            <w:r w:rsidRPr="00451078">
              <w:rPr>
                <w:rFonts w:ascii="Tahoma" w:hAnsi="Tahoma" w:cs="Tahoma"/>
                <w:sz w:val="14"/>
                <w:lang w:val="it-IT"/>
              </w:rPr>
              <w:t>Core CAL Bridge per Windows</w:t>
            </w:r>
            <w:r w:rsidR="003410C7" w:rsidRPr="00451078">
              <w:rPr>
                <w:rFonts w:ascii="Tahoma" w:hAnsi="Tahoma" w:cs="Tahoma"/>
                <w:sz w:val="14"/>
                <w:vertAlign w:val="superscript"/>
                <w:lang w:val="it-IT"/>
              </w:rPr>
              <w:t>®</w:t>
            </w:r>
            <w:r w:rsidRPr="00451078">
              <w:rPr>
                <w:rFonts w:ascii="Tahoma" w:hAnsi="Tahoma" w:cs="Tahoma"/>
                <w:sz w:val="14"/>
                <w:lang w:val="it-IT"/>
              </w:rPr>
              <w:t xml:space="preserve"> Intune (Utente e Dispositivo)</w:t>
            </w:r>
            <w:bookmarkEnd w:id="195"/>
            <w:bookmarkEnd w:id="196"/>
          </w:p>
        </w:tc>
        <w:tc>
          <w:tcPr>
            <w:tcW w:w="450" w:type="dxa"/>
            <w:tcBorders>
              <w:bottom w:val="single" w:sz="4" w:space="0" w:color="auto"/>
            </w:tcBorders>
            <w:shd w:val="clear" w:color="auto" w:fill="FABF8F"/>
            <w:vAlign w:val="center"/>
          </w:tcPr>
          <w:p w:rsidR="001A63C6" w:rsidRPr="009F17FF" w:rsidRDefault="00FC1A4D" w:rsidP="00AA19FE">
            <w:pPr>
              <w:pStyle w:val="TableText"/>
              <w:widowControl w:val="0"/>
              <w:rPr>
                <w:b/>
                <w:color w:val="0000FF"/>
                <w:sz w:val="13"/>
                <w:szCs w:val="13"/>
                <w:u w:val="single"/>
              </w:rPr>
            </w:pPr>
            <w:hyperlink w:anchor="_36_Core_CAL" w:history="1">
              <w:r w:rsidR="000D77F6" w:rsidRPr="009F17FF">
                <w:rPr>
                  <w:rStyle w:val="Hyperlink"/>
                  <w:b/>
                  <w:sz w:val="13"/>
                  <w:szCs w:val="13"/>
                </w:rPr>
                <w:t>36</w:t>
              </w:r>
            </w:hyperlink>
          </w:p>
        </w:tc>
        <w:tc>
          <w:tcPr>
            <w:tcW w:w="450" w:type="dxa"/>
            <w:tcBorders>
              <w:bottom w:val="single" w:sz="4" w:space="0" w:color="auto"/>
            </w:tcBorders>
            <w:shd w:val="clear" w:color="auto" w:fill="FABF8F"/>
            <w:vAlign w:val="center"/>
          </w:tcPr>
          <w:p w:rsidR="001A63C6" w:rsidRPr="003410C7" w:rsidRDefault="001A63C6" w:rsidP="001A63C6">
            <w:pPr>
              <w:pStyle w:val="TableText"/>
              <w:widowControl w:val="0"/>
              <w:rPr>
                <w:rFonts w:ascii="Tahoma" w:hAnsi="Tahoma" w:cs="Tahoma"/>
                <w:sz w:val="13"/>
              </w:rPr>
            </w:pPr>
            <w:r w:rsidRPr="003410C7">
              <w:rPr>
                <w:rFonts w:ascii="Tahoma" w:hAnsi="Tahoma" w:cs="Tahoma"/>
                <w:sz w:val="13"/>
              </w:rPr>
              <w:t>04/11</w:t>
            </w:r>
          </w:p>
        </w:tc>
        <w:tc>
          <w:tcPr>
            <w:tcW w:w="360" w:type="dxa"/>
            <w:tcBorders>
              <w:bottom w:val="single" w:sz="4" w:space="0" w:color="auto"/>
              <w:right w:val="single" w:sz="18" w:space="0" w:color="auto"/>
            </w:tcBorders>
            <w:shd w:val="clear" w:color="auto" w:fill="FABF8F"/>
            <w:vAlign w:val="center"/>
          </w:tcPr>
          <w:p w:rsidR="001A63C6" w:rsidRPr="003410C7" w:rsidRDefault="001A63C6" w:rsidP="001A63C6">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FABF8F"/>
            <w:vAlign w:val="center"/>
          </w:tcPr>
          <w:p w:rsidR="001A63C6" w:rsidRPr="003410C7" w:rsidRDefault="001A63C6" w:rsidP="001A63C6">
            <w:pPr>
              <w:pStyle w:val="TableText"/>
              <w:widowControl w:val="0"/>
              <w:rPr>
                <w:rFonts w:ascii="Tahoma" w:hAnsi="Tahoma" w:cs="Tahoma"/>
                <w:sz w:val="13"/>
                <w:szCs w:val="13"/>
              </w:rPr>
            </w:pPr>
          </w:p>
        </w:tc>
        <w:tc>
          <w:tcPr>
            <w:tcW w:w="450" w:type="dxa"/>
            <w:tcBorders>
              <w:bottom w:val="single" w:sz="4" w:space="0" w:color="auto"/>
            </w:tcBorders>
            <w:shd w:val="clear" w:color="auto" w:fill="FABF8F"/>
            <w:vAlign w:val="center"/>
          </w:tcPr>
          <w:p w:rsidR="001A63C6" w:rsidRPr="003410C7" w:rsidRDefault="001A63C6" w:rsidP="001A63C6">
            <w:pPr>
              <w:pStyle w:val="TableText"/>
              <w:widowControl w:val="0"/>
              <w:rPr>
                <w:rFonts w:ascii="Tahoma" w:hAnsi="Tahoma" w:cs="Tahoma"/>
                <w:sz w:val="13"/>
                <w:szCs w:val="13"/>
              </w:rPr>
            </w:pPr>
          </w:p>
        </w:tc>
        <w:tc>
          <w:tcPr>
            <w:tcW w:w="450" w:type="dxa"/>
            <w:tcBorders>
              <w:bottom w:val="single" w:sz="4" w:space="0" w:color="auto"/>
            </w:tcBorders>
            <w:shd w:val="clear" w:color="auto" w:fill="FABF8F"/>
            <w:vAlign w:val="center"/>
          </w:tcPr>
          <w:p w:rsidR="001A63C6" w:rsidRPr="003410C7" w:rsidRDefault="001A63C6" w:rsidP="001A63C6">
            <w:pPr>
              <w:pStyle w:val="TableText"/>
              <w:widowControl w:val="0"/>
              <w:rPr>
                <w:rFonts w:ascii="Tahoma" w:hAnsi="Tahoma" w:cs="Tahoma"/>
                <w:sz w:val="13"/>
                <w:szCs w:val="13"/>
              </w:rPr>
            </w:pPr>
          </w:p>
        </w:tc>
        <w:tc>
          <w:tcPr>
            <w:tcW w:w="450" w:type="dxa"/>
            <w:tcBorders>
              <w:bottom w:val="single" w:sz="4" w:space="0" w:color="auto"/>
            </w:tcBorders>
            <w:shd w:val="clear" w:color="auto" w:fill="FABF8F"/>
            <w:vAlign w:val="center"/>
          </w:tcPr>
          <w:p w:rsidR="001A63C6" w:rsidRPr="003410C7" w:rsidRDefault="001A63C6" w:rsidP="001A63C6">
            <w:pPr>
              <w:pStyle w:val="TableText"/>
              <w:widowControl w:val="0"/>
              <w:rPr>
                <w:rFonts w:ascii="Tahoma" w:hAnsi="Tahoma" w:cs="Tahoma"/>
                <w:sz w:val="13"/>
                <w:szCs w:val="13"/>
              </w:rPr>
            </w:pPr>
          </w:p>
        </w:tc>
        <w:tc>
          <w:tcPr>
            <w:tcW w:w="450" w:type="dxa"/>
            <w:tcBorders>
              <w:bottom w:val="single" w:sz="4" w:space="0" w:color="auto"/>
            </w:tcBorders>
            <w:shd w:val="clear" w:color="auto" w:fill="FABF8F"/>
            <w:vAlign w:val="center"/>
          </w:tcPr>
          <w:p w:rsidR="001A63C6" w:rsidRPr="003410C7" w:rsidRDefault="001A63C6" w:rsidP="001A63C6">
            <w:pPr>
              <w:pStyle w:val="TableText"/>
              <w:widowControl w:val="0"/>
              <w:rPr>
                <w:rFonts w:ascii="Tahoma" w:hAnsi="Tahoma" w:cs="Tahoma"/>
                <w:sz w:val="13"/>
                <w:szCs w:val="13"/>
              </w:rPr>
            </w:pPr>
          </w:p>
        </w:tc>
        <w:tc>
          <w:tcPr>
            <w:tcW w:w="450" w:type="dxa"/>
            <w:tcBorders>
              <w:bottom w:val="single" w:sz="4" w:space="0" w:color="auto"/>
            </w:tcBorders>
            <w:shd w:val="clear" w:color="auto" w:fill="FABF8F"/>
            <w:vAlign w:val="center"/>
          </w:tcPr>
          <w:p w:rsidR="001A63C6" w:rsidRPr="003410C7" w:rsidRDefault="001A63C6" w:rsidP="001A63C6">
            <w:pPr>
              <w:pStyle w:val="TableText"/>
              <w:widowControl w:val="0"/>
              <w:rPr>
                <w:rFonts w:ascii="Tahoma" w:hAnsi="Tahoma" w:cs="Tahoma"/>
                <w:sz w:val="13"/>
                <w:szCs w:val="13"/>
              </w:rPr>
            </w:pPr>
          </w:p>
        </w:tc>
        <w:tc>
          <w:tcPr>
            <w:tcW w:w="360" w:type="dxa"/>
            <w:tcBorders>
              <w:bottom w:val="single" w:sz="4" w:space="0" w:color="auto"/>
              <w:right w:val="single" w:sz="18" w:space="0" w:color="auto"/>
            </w:tcBorders>
            <w:shd w:val="clear" w:color="auto" w:fill="FABF8F"/>
            <w:vAlign w:val="center"/>
          </w:tcPr>
          <w:p w:rsidR="001A63C6" w:rsidRPr="003410C7" w:rsidRDefault="001A63C6" w:rsidP="001A63C6">
            <w:pPr>
              <w:pStyle w:val="TableText"/>
              <w:widowControl w:val="0"/>
              <w:rPr>
                <w:rFonts w:ascii="Tahoma" w:hAnsi="Tahoma" w:cs="Tahoma"/>
                <w:sz w:val="13"/>
                <w:szCs w:val="13"/>
              </w:rPr>
            </w:pPr>
          </w:p>
        </w:tc>
        <w:tc>
          <w:tcPr>
            <w:tcW w:w="450" w:type="dxa"/>
            <w:tcBorders>
              <w:left w:val="single" w:sz="18" w:space="0" w:color="auto"/>
              <w:bottom w:val="single" w:sz="4" w:space="0" w:color="auto"/>
            </w:tcBorders>
            <w:shd w:val="clear" w:color="auto" w:fill="FABF8F"/>
            <w:vAlign w:val="center"/>
          </w:tcPr>
          <w:p w:rsidR="001A63C6" w:rsidRPr="003410C7" w:rsidRDefault="001A63C6" w:rsidP="001A63C6">
            <w:pPr>
              <w:pStyle w:val="TableText"/>
              <w:widowControl w:val="0"/>
              <w:rPr>
                <w:rFonts w:ascii="Tahoma" w:hAnsi="Tahoma" w:cs="Tahoma"/>
                <w:sz w:val="13"/>
                <w:szCs w:val="13"/>
              </w:rPr>
            </w:pPr>
          </w:p>
        </w:tc>
        <w:tc>
          <w:tcPr>
            <w:tcW w:w="450" w:type="dxa"/>
            <w:tcBorders>
              <w:bottom w:val="single" w:sz="4" w:space="0" w:color="auto"/>
            </w:tcBorders>
            <w:shd w:val="clear" w:color="auto" w:fill="FABF8F"/>
            <w:vAlign w:val="center"/>
          </w:tcPr>
          <w:p w:rsidR="001A63C6" w:rsidRPr="003410C7" w:rsidRDefault="001A63C6" w:rsidP="001A63C6">
            <w:pPr>
              <w:pStyle w:val="TableText"/>
              <w:widowControl w:val="0"/>
              <w:rPr>
                <w:rFonts w:ascii="Tahoma" w:hAnsi="Tahoma" w:cs="Tahoma"/>
                <w:sz w:val="13"/>
                <w:szCs w:val="13"/>
              </w:rPr>
            </w:pPr>
          </w:p>
        </w:tc>
        <w:tc>
          <w:tcPr>
            <w:tcW w:w="450" w:type="dxa"/>
            <w:tcBorders>
              <w:bottom w:val="single" w:sz="4" w:space="0" w:color="auto"/>
              <w:right w:val="single" w:sz="18" w:space="0" w:color="auto"/>
            </w:tcBorders>
            <w:shd w:val="clear" w:color="auto" w:fill="FABF8F"/>
            <w:vAlign w:val="center"/>
          </w:tcPr>
          <w:p w:rsidR="001A63C6" w:rsidRPr="003410C7" w:rsidRDefault="001A63C6" w:rsidP="001A63C6">
            <w:pPr>
              <w:pStyle w:val="TableText"/>
              <w:widowControl w:val="0"/>
              <w:rPr>
                <w:rFonts w:ascii="Tahoma" w:hAnsi="Tahoma" w:cs="Tahoma"/>
                <w:sz w:val="13"/>
                <w:szCs w:val="13"/>
              </w:rPr>
            </w:pPr>
          </w:p>
        </w:tc>
        <w:tc>
          <w:tcPr>
            <w:tcW w:w="450" w:type="dxa"/>
            <w:tcBorders>
              <w:left w:val="single" w:sz="18" w:space="0" w:color="auto"/>
              <w:bottom w:val="single" w:sz="4" w:space="0" w:color="auto"/>
            </w:tcBorders>
            <w:shd w:val="clear" w:color="auto" w:fill="FABF8F"/>
            <w:vAlign w:val="center"/>
          </w:tcPr>
          <w:p w:rsidR="001A63C6" w:rsidRPr="003410C7" w:rsidRDefault="001A63C6" w:rsidP="001A63C6">
            <w:pPr>
              <w:pStyle w:val="TableText"/>
              <w:widowControl w:val="0"/>
              <w:rPr>
                <w:rFonts w:ascii="Tahoma" w:hAnsi="Tahoma" w:cs="Tahoma"/>
                <w:sz w:val="13"/>
                <w:szCs w:val="13"/>
              </w:rPr>
            </w:pPr>
          </w:p>
        </w:tc>
        <w:tc>
          <w:tcPr>
            <w:tcW w:w="450" w:type="dxa"/>
            <w:tcBorders>
              <w:bottom w:val="single" w:sz="4" w:space="0" w:color="auto"/>
              <w:right w:val="single" w:sz="18" w:space="0" w:color="auto"/>
            </w:tcBorders>
            <w:shd w:val="clear" w:color="auto" w:fill="FABF8F"/>
            <w:vAlign w:val="center"/>
          </w:tcPr>
          <w:p w:rsidR="001A63C6" w:rsidRPr="003410C7"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3410C7"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3410C7" w:rsidRDefault="001A63C6" w:rsidP="001A63C6">
            <w:pPr>
              <w:pStyle w:val="TableText"/>
              <w:widowControl w:val="0"/>
              <w:rPr>
                <w:rFonts w:ascii="Tahoma" w:hAnsi="Tahoma" w:cs="Tahoma"/>
                <w:sz w:val="13"/>
              </w:rPr>
            </w:pPr>
          </w:p>
        </w:tc>
        <w:tc>
          <w:tcPr>
            <w:tcW w:w="540" w:type="dxa"/>
            <w:tcBorders>
              <w:bottom w:val="single" w:sz="4" w:space="0" w:color="auto"/>
            </w:tcBorders>
            <w:shd w:val="clear" w:color="auto" w:fill="FABF8F"/>
            <w:vAlign w:val="center"/>
          </w:tcPr>
          <w:p w:rsidR="001A63C6" w:rsidRPr="003410C7" w:rsidRDefault="001A63C6" w:rsidP="001A63C6">
            <w:pPr>
              <w:pStyle w:val="TableText"/>
              <w:widowControl w:val="0"/>
              <w:rPr>
                <w:rFonts w:ascii="Tahoma" w:hAnsi="Tahoma" w:cs="Tahoma"/>
                <w:sz w:val="13"/>
              </w:rPr>
            </w:pPr>
          </w:p>
        </w:tc>
      </w:tr>
      <w:tr w:rsidR="00BE2E58" w:rsidRPr="003410C7" w:rsidTr="006B1F3F">
        <w:trPr>
          <w:trHeight w:val="145"/>
        </w:trPr>
        <w:tc>
          <w:tcPr>
            <w:tcW w:w="2734" w:type="dxa"/>
            <w:gridSpan w:val="2"/>
            <w:tcBorders>
              <w:bottom w:val="single" w:sz="4" w:space="0" w:color="auto"/>
            </w:tcBorders>
            <w:shd w:val="clear" w:color="auto" w:fill="auto"/>
            <w:vAlign w:val="center"/>
          </w:tcPr>
          <w:p w:rsidR="001A63C6" w:rsidRPr="00451078" w:rsidRDefault="001A63C6" w:rsidP="003410C7">
            <w:pPr>
              <w:pStyle w:val="ProductNames"/>
              <w:spacing w:beforeLines="20" w:before="48" w:afterLines="20" w:after="48"/>
              <w:rPr>
                <w:rFonts w:ascii="Tahoma" w:hAnsi="Tahoma" w:cs="Tahoma"/>
                <w:sz w:val="14"/>
                <w:lang w:val="it-IT"/>
              </w:rPr>
            </w:pPr>
            <w:bookmarkStart w:id="197" w:name="_Toc336337929"/>
            <w:bookmarkStart w:id="198" w:name="_Toc352234554"/>
            <w:r w:rsidRPr="00451078">
              <w:rPr>
                <w:rFonts w:ascii="Tahoma" w:hAnsi="Tahoma" w:cs="Tahoma"/>
                <w:sz w:val="14"/>
                <w:lang w:val="it-IT"/>
              </w:rPr>
              <w:t>Core CAL Suite (Utente e Dispositivo)</w:t>
            </w:r>
            <w:bookmarkEnd w:id="197"/>
            <w:bookmarkEnd w:id="198"/>
          </w:p>
        </w:tc>
        <w:tc>
          <w:tcPr>
            <w:tcW w:w="450" w:type="dxa"/>
            <w:tcBorders>
              <w:bottom w:val="single" w:sz="4" w:space="0" w:color="auto"/>
            </w:tcBorders>
            <w:shd w:val="clear" w:color="auto" w:fill="auto"/>
            <w:vAlign w:val="center"/>
          </w:tcPr>
          <w:p w:rsidR="001A63C6" w:rsidRPr="009F17FF" w:rsidRDefault="00FC1A4D" w:rsidP="002C5924">
            <w:pPr>
              <w:pStyle w:val="TableText"/>
              <w:widowControl w:val="0"/>
              <w:rPr>
                <w:rStyle w:val="EndnoteReference"/>
                <w:color w:val="0000FF"/>
                <w:sz w:val="13"/>
                <w:szCs w:val="13"/>
                <w:u w:val="single"/>
              </w:rPr>
            </w:pPr>
            <w:hyperlink w:anchor="_36_Core_CAL" w:history="1">
              <w:r w:rsidR="000D77F6" w:rsidRPr="009F17FF">
                <w:rPr>
                  <w:rStyle w:val="Hyperlink"/>
                  <w:b/>
                  <w:sz w:val="13"/>
                  <w:szCs w:val="13"/>
                </w:rPr>
                <w:t>36</w:t>
              </w:r>
            </w:hyperlink>
          </w:p>
        </w:tc>
        <w:tc>
          <w:tcPr>
            <w:tcW w:w="450" w:type="dxa"/>
            <w:tcBorders>
              <w:bottom w:val="single" w:sz="4" w:space="0" w:color="auto"/>
            </w:tcBorders>
            <w:shd w:val="clear" w:color="auto" w:fill="auto"/>
            <w:vAlign w:val="center"/>
          </w:tcPr>
          <w:p w:rsidR="001A63C6" w:rsidRPr="003410C7" w:rsidRDefault="001A63C6" w:rsidP="001A63C6">
            <w:pPr>
              <w:pStyle w:val="TableText"/>
              <w:widowControl w:val="0"/>
              <w:rPr>
                <w:rFonts w:ascii="Tahoma" w:hAnsi="Tahoma" w:cs="Tahoma"/>
                <w:color w:val="000000"/>
                <w:sz w:val="13"/>
              </w:rPr>
            </w:pPr>
            <w:r w:rsidRPr="003410C7">
              <w:rPr>
                <w:rFonts w:ascii="Tahoma" w:hAnsi="Tahoma" w:cs="Tahoma"/>
                <w:color w:val="000000"/>
                <w:sz w:val="13"/>
              </w:rPr>
              <w:t>10/06</w:t>
            </w:r>
          </w:p>
        </w:tc>
        <w:tc>
          <w:tcPr>
            <w:tcW w:w="360" w:type="dxa"/>
            <w:tcBorders>
              <w:bottom w:val="single" w:sz="4" w:space="0" w:color="auto"/>
              <w:right w:val="single" w:sz="18" w:space="0" w:color="auto"/>
            </w:tcBorders>
            <w:shd w:val="clear" w:color="auto" w:fill="auto"/>
            <w:vAlign w:val="center"/>
          </w:tcPr>
          <w:p w:rsidR="001A63C6" w:rsidRPr="003410C7" w:rsidRDefault="001A63C6" w:rsidP="001A63C6">
            <w:pPr>
              <w:pStyle w:val="TableText"/>
              <w:widowControl w:val="0"/>
              <w:rPr>
                <w:rFonts w:ascii="Tahoma" w:hAnsi="Tahoma" w:cs="Tahoma"/>
                <w:color w:val="000000"/>
                <w:sz w:val="13"/>
              </w:rPr>
            </w:pPr>
            <w:r w:rsidRPr="003410C7">
              <w:rPr>
                <w:rFonts w:ascii="Tahoma" w:hAnsi="Tahoma" w:cs="Tahoma"/>
                <w:color w:val="000000"/>
                <w:sz w:val="13"/>
              </w:rPr>
              <w:t>SRV</w:t>
            </w:r>
          </w:p>
        </w:tc>
        <w:tc>
          <w:tcPr>
            <w:tcW w:w="360" w:type="dxa"/>
            <w:tcBorders>
              <w:left w:val="single" w:sz="18" w:space="0" w:color="auto"/>
              <w:bottom w:val="single" w:sz="4" w:space="0" w:color="auto"/>
            </w:tcBorders>
            <w:shd w:val="clear" w:color="auto" w:fill="auto"/>
            <w:vAlign w:val="center"/>
          </w:tcPr>
          <w:p w:rsidR="001A63C6" w:rsidRPr="003410C7" w:rsidRDefault="001A63C6" w:rsidP="001A63C6">
            <w:pPr>
              <w:pStyle w:val="TableText"/>
              <w:widowControl w:val="0"/>
              <w:rPr>
                <w:rFonts w:ascii="Tahoma" w:hAnsi="Tahoma" w:cs="Tahoma"/>
                <w:sz w:val="13"/>
                <w:szCs w:val="13"/>
              </w:rPr>
            </w:pPr>
          </w:p>
        </w:tc>
        <w:tc>
          <w:tcPr>
            <w:tcW w:w="450" w:type="dxa"/>
            <w:tcBorders>
              <w:bottom w:val="single" w:sz="4" w:space="0" w:color="auto"/>
            </w:tcBorders>
            <w:shd w:val="clear" w:color="auto" w:fill="auto"/>
            <w:vAlign w:val="center"/>
          </w:tcPr>
          <w:p w:rsidR="001A63C6" w:rsidRPr="003410C7" w:rsidRDefault="001A63C6" w:rsidP="001A63C6">
            <w:pPr>
              <w:pStyle w:val="TableText"/>
              <w:widowControl w:val="0"/>
              <w:rPr>
                <w:rFonts w:ascii="Tahoma" w:hAnsi="Tahoma" w:cs="Tahoma"/>
                <w:sz w:val="13"/>
                <w:szCs w:val="13"/>
              </w:rPr>
            </w:pPr>
            <w:r w:rsidRPr="003410C7">
              <w:rPr>
                <w:rFonts w:ascii="Tahoma" w:hAnsi="Tahoma" w:cs="Tahoma"/>
                <w:sz w:val="13"/>
                <w:szCs w:val="13"/>
              </w:rPr>
              <w:t>3</w:t>
            </w:r>
          </w:p>
        </w:tc>
        <w:tc>
          <w:tcPr>
            <w:tcW w:w="450" w:type="dxa"/>
            <w:tcBorders>
              <w:bottom w:val="single" w:sz="4" w:space="0" w:color="auto"/>
            </w:tcBorders>
            <w:shd w:val="clear" w:color="auto" w:fill="auto"/>
            <w:vAlign w:val="center"/>
          </w:tcPr>
          <w:p w:rsidR="001A63C6" w:rsidRPr="003410C7" w:rsidRDefault="001A63C6" w:rsidP="001A63C6">
            <w:pPr>
              <w:pStyle w:val="TableText"/>
              <w:widowControl w:val="0"/>
              <w:rPr>
                <w:rFonts w:ascii="Tahoma" w:hAnsi="Tahoma" w:cs="Tahoma"/>
                <w:sz w:val="13"/>
                <w:szCs w:val="13"/>
              </w:rPr>
            </w:pPr>
            <w:r w:rsidRPr="003410C7">
              <w:rPr>
                <w:rFonts w:ascii="Tahoma" w:hAnsi="Tahoma" w:cs="Tahoma"/>
                <w:sz w:val="13"/>
                <w:szCs w:val="13"/>
              </w:rPr>
              <w:t>2</w:t>
            </w:r>
          </w:p>
        </w:tc>
        <w:tc>
          <w:tcPr>
            <w:tcW w:w="450" w:type="dxa"/>
            <w:tcBorders>
              <w:bottom w:val="single" w:sz="4" w:space="0" w:color="auto"/>
            </w:tcBorders>
            <w:shd w:val="clear" w:color="auto" w:fill="auto"/>
            <w:vAlign w:val="center"/>
          </w:tcPr>
          <w:p w:rsidR="001A63C6" w:rsidRPr="003410C7" w:rsidRDefault="001A63C6" w:rsidP="001A63C6">
            <w:pPr>
              <w:pStyle w:val="TableText"/>
              <w:widowControl w:val="0"/>
              <w:rPr>
                <w:rFonts w:ascii="Tahoma" w:hAnsi="Tahoma" w:cs="Tahoma"/>
                <w:sz w:val="13"/>
                <w:szCs w:val="13"/>
              </w:rPr>
            </w:pPr>
            <w:r w:rsidRPr="003410C7">
              <w:rPr>
                <w:rFonts w:ascii="Tahoma" w:hAnsi="Tahoma" w:cs="Tahoma"/>
                <w:sz w:val="13"/>
                <w:szCs w:val="13"/>
              </w:rPr>
              <w:t>2</w:t>
            </w:r>
          </w:p>
        </w:tc>
        <w:tc>
          <w:tcPr>
            <w:tcW w:w="450" w:type="dxa"/>
            <w:tcBorders>
              <w:bottom w:val="single" w:sz="4" w:space="0" w:color="auto"/>
            </w:tcBorders>
            <w:shd w:val="clear" w:color="auto" w:fill="auto"/>
            <w:vAlign w:val="center"/>
          </w:tcPr>
          <w:p w:rsidR="001A63C6" w:rsidRPr="003410C7" w:rsidRDefault="001A63C6" w:rsidP="001A63C6">
            <w:pPr>
              <w:pStyle w:val="TableText"/>
              <w:widowControl w:val="0"/>
              <w:rPr>
                <w:rFonts w:ascii="Tahoma" w:hAnsi="Tahoma" w:cs="Tahoma"/>
                <w:sz w:val="13"/>
                <w:szCs w:val="13"/>
              </w:rPr>
            </w:pPr>
            <w:r w:rsidRPr="003410C7">
              <w:rPr>
                <w:rFonts w:ascii="Tahoma" w:hAnsi="Tahoma" w:cs="Tahoma"/>
                <w:sz w:val="13"/>
                <w:szCs w:val="13"/>
              </w:rPr>
              <w:t>2</w:t>
            </w:r>
          </w:p>
        </w:tc>
        <w:tc>
          <w:tcPr>
            <w:tcW w:w="450" w:type="dxa"/>
            <w:tcBorders>
              <w:bottom w:val="single" w:sz="4" w:space="0" w:color="auto"/>
            </w:tcBorders>
            <w:shd w:val="clear" w:color="auto" w:fill="auto"/>
            <w:vAlign w:val="center"/>
          </w:tcPr>
          <w:p w:rsidR="001A63C6" w:rsidRPr="003410C7" w:rsidRDefault="001A63C6" w:rsidP="001A63C6">
            <w:pPr>
              <w:pStyle w:val="TableText"/>
              <w:widowControl w:val="0"/>
              <w:rPr>
                <w:rFonts w:ascii="Tahoma" w:hAnsi="Tahoma" w:cs="Tahoma"/>
                <w:sz w:val="13"/>
                <w:szCs w:val="13"/>
              </w:rPr>
            </w:pPr>
            <w:r w:rsidRPr="003410C7">
              <w:rPr>
                <w:rFonts w:ascii="Tahoma" w:hAnsi="Tahoma" w:cs="Tahoma"/>
                <w:sz w:val="13"/>
                <w:szCs w:val="13"/>
              </w:rPr>
              <w:t>1</w:t>
            </w:r>
          </w:p>
        </w:tc>
        <w:tc>
          <w:tcPr>
            <w:tcW w:w="360" w:type="dxa"/>
            <w:tcBorders>
              <w:bottom w:val="single" w:sz="4" w:space="0" w:color="auto"/>
              <w:right w:val="single" w:sz="18" w:space="0" w:color="auto"/>
            </w:tcBorders>
            <w:shd w:val="clear" w:color="auto" w:fill="auto"/>
            <w:vAlign w:val="center"/>
          </w:tcPr>
          <w:p w:rsidR="001A63C6" w:rsidRPr="003410C7" w:rsidRDefault="001A63C6" w:rsidP="001A63C6">
            <w:pPr>
              <w:pStyle w:val="TableText"/>
              <w:widowControl w:val="0"/>
              <w:rPr>
                <w:rFonts w:ascii="Tahoma" w:hAnsi="Tahoma" w:cs="Tahoma"/>
                <w:sz w:val="13"/>
                <w:szCs w:val="13"/>
              </w:rPr>
            </w:pPr>
            <w:r w:rsidRPr="003410C7">
              <w:rPr>
                <w:rFonts w:ascii="Tahoma" w:hAnsi="Tahoma" w:cs="Tahoma"/>
                <w:sz w:val="13"/>
                <w:szCs w:val="13"/>
              </w:rPr>
              <w:t>1</w:t>
            </w:r>
          </w:p>
        </w:tc>
        <w:tc>
          <w:tcPr>
            <w:tcW w:w="450" w:type="dxa"/>
            <w:tcBorders>
              <w:left w:val="single" w:sz="18" w:space="0" w:color="auto"/>
              <w:bottom w:val="single" w:sz="4" w:space="0" w:color="auto"/>
            </w:tcBorders>
            <w:shd w:val="clear" w:color="auto" w:fill="auto"/>
            <w:vAlign w:val="center"/>
          </w:tcPr>
          <w:p w:rsidR="001A63C6" w:rsidRPr="003410C7" w:rsidRDefault="001A63C6" w:rsidP="001A63C6">
            <w:pPr>
              <w:pStyle w:val="TableText"/>
              <w:widowControl w:val="0"/>
              <w:rPr>
                <w:rFonts w:ascii="Tahoma" w:hAnsi="Tahoma" w:cs="Tahoma"/>
                <w:sz w:val="13"/>
                <w:szCs w:val="13"/>
              </w:rPr>
            </w:pPr>
          </w:p>
        </w:tc>
        <w:tc>
          <w:tcPr>
            <w:tcW w:w="450" w:type="dxa"/>
            <w:tcBorders>
              <w:bottom w:val="single" w:sz="4" w:space="0" w:color="auto"/>
            </w:tcBorders>
            <w:shd w:val="clear" w:color="auto" w:fill="auto"/>
            <w:vAlign w:val="center"/>
          </w:tcPr>
          <w:p w:rsidR="001A63C6" w:rsidRPr="003410C7" w:rsidRDefault="001A63C6" w:rsidP="001A63C6">
            <w:pPr>
              <w:pStyle w:val="TableText"/>
              <w:widowControl w:val="0"/>
              <w:rPr>
                <w:rFonts w:ascii="Tahoma" w:hAnsi="Tahoma" w:cs="Tahoma"/>
                <w:sz w:val="13"/>
                <w:szCs w:val="13"/>
              </w:rPr>
            </w:pPr>
            <w:r w:rsidRPr="003410C7">
              <w:rPr>
                <w:rFonts w:ascii="Tahoma" w:hAnsi="Tahoma" w:cs="Tahoma"/>
                <w:sz w:val="13"/>
                <w:szCs w:val="13"/>
              </w:rPr>
              <w:t>2</w:t>
            </w:r>
          </w:p>
        </w:tc>
        <w:tc>
          <w:tcPr>
            <w:tcW w:w="450" w:type="dxa"/>
            <w:tcBorders>
              <w:bottom w:val="single" w:sz="4" w:space="0" w:color="auto"/>
              <w:right w:val="single" w:sz="18" w:space="0" w:color="auto"/>
            </w:tcBorders>
            <w:shd w:val="clear" w:color="auto" w:fill="auto"/>
            <w:vAlign w:val="center"/>
          </w:tcPr>
          <w:p w:rsidR="001A63C6" w:rsidRPr="003410C7" w:rsidRDefault="001A63C6" w:rsidP="001A63C6">
            <w:pPr>
              <w:pStyle w:val="TableText"/>
              <w:widowControl w:val="0"/>
              <w:rPr>
                <w:rFonts w:ascii="Tahoma" w:hAnsi="Tahoma" w:cs="Tahoma"/>
                <w:sz w:val="13"/>
                <w:szCs w:val="13"/>
              </w:rPr>
            </w:pPr>
            <w:r w:rsidRPr="003410C7">
              <w:rPr>
                <w:rFonts w:ascii="Tahoma" w:hAnsi="Tahoma" w:cs="Tahoma"/>
                <w:sz w:val="13"/>
                <w:szCs w:val="13"/>
              </w:rPr>
              <w:t>1</w:t>
            </w:r>
          </w:p>
        </w:tc>
        <w:tc>
          <w:tcPr>
            <w:tcW w:w="450" w:type="dxa"/>
            <w:tcBorders>
              <w:left w:val="single" w:sz="18" w:space="0" w:color="auto"/>
              <w:bottom w:val="single" w:sz="4" w:space="0" w:color="auto"/>
            </w:tcBorders>
            <w:shd w:val="clear" w:color="auto" w:fill="auto"/>
            <w:vAlign w:val="center"/>
          </w:tcPr>
          <w:p w:rsidR="001A63C6" w:rsidRPr="003410C7" w:rsidRDefault="001A63C6" w:rsidP="001A63C6">
            <w:pPr>
              <w:pStyle w:val="TableText"/>
              <w:widowControl w:val="0"/>
              <w:rPr>
                <w:rFonts w:ascii="Tahoma" w:hAnsi="Tahoma" w:cs="Tahoma"/>
                <w:sz w:val="13"/>
                <w:szCs w:val="13"/>
              </w:rPr>
            </w:pPr>
            <w:r w:rsidRPr="003410C7">
              <w:rPr>
                <w:rFonts w:ascii="Tahoma" w:hAnsi="Tahoma" w:cs="Tahoma"/>
                <w:sz w:val="13"/>
                <w:szCs w:val="13"/>
              </w:rPr>
              <w:t>1</w:t>
            </w:r>
          </w:p>
        </w:tc>
        <w:tc>
          <w:tcPr>
            <w:tcW w:w="450" w:type="dxa"/>
            <w:tcBorders>
              <w:bottom w:val="single" w:sz="4" w:space="0" w:color="auto"/>
              <w:right w:val="single" w:sz="18" w:space="0" w:color="auto"/>
            </w:tcBorders>
            <w:shd w:val="clear" w:color="auto" w:fill="auto"/>
            <w:vAlign w:val="center"/>
          </w:tcPr>
          <w:p w:rsidR="001A63C6" w:rsidRPr="003410C7" w:rsidRDefault="001A63C6" w:rsidP="001A63C6">
            <w:pPr>
              <w:pStyle w:val="TableText"/>
              <w:widowControl w:val="0"/>
              <w:rPr>
                <w:rFonts w:ascii="Tahoma" w:hAnsi="Tahoma" w:cs="Tahoma"/>
                <w:sz w:val="13"/>
              </w:rPr>
            </w:pPr>
            <w:r w:rsidRPr="003410C7">
              <w:rPr>
                <w:rFonts w:ascii="Tahoma" w:hAnsi="Tahoma" w:cs="Tahoma"/>
                <w:sz w:val="13"/>
              </w:rPr>
              <w:t>E</w:t>
            </w:r>
          </w:p>
        </w:tc>
        <w:tc>
          <w:tcPr>
            <w:tcW w:w="450" w:type="dxa"/>
            <w:tcBorders>
              <w:left w:val="single" w:sz="18" w:space="0" w:color="auto"/>
              <w:bottom w:val="single" w:sz="4" w:space="0" w:color="auto"/>
              <w:right w:val="single" w:sz="18" w:space="0" w:color="auto"/>
            </w:tcBorders>
            <w:shd w:val="clear" w:color="auto" w:fill="auto"/>
            <w:vAlign w:val="center"/>
          </w:tcPr>
          <w:p w:rsidR="001A63C6" w:rsidRPr="003410C7" w:rsidRDefault="001A63C6" w:rsidP="001A63C6">
            <w:pPr>
              <w:pStyle w:val="TableText"/>
              <w:widowControl w:val="0"/>
              <w:rPr>
                <w:rFonts w:ascii="Tahoma" w:hAnsi="Tahoma" w:cs="Tahoma"/>
                <w:sz w:val="13"/>
              </w:rPr>
            </w:pPr>
            <w:r w:rsidRPr="003410C7">
              <w:rPr>
                <w:rFonts w:ascii="Tahoma" w:hAnsi="Tahoma" w:cs="Tahoma"/>
                <w:sz w:val="13"/>
              </w:rPr>
              <w:t>E, P</w:t>
            </w:r>
          </w:p>
        </w:tc>
        <w:tc>
          <w:tcPr>
            <w:tcW w:w="450" w:type="dxa"/>
            <w:tcBorders>
              <w:bottom w:val="single" w:sz="4" w:space="0" w:color="auto"/>
            </w:tcBorders>
            <w:shd w:val="clear" w:color="auto" w:fill="auto"/>
            <w:vAlign w:val="center"/>
          </w:tcPr>
          <w:p w:rsidR="001A63C6" w:rsidRPr="003410C7" w:rsidRDefault="001A63C6" w:rsidP="001A63C6">
            <w:pPr>
              <w:pStyle w:val="TableText"/>
              <w:widowControl w:val="0"/>
              <w:rPr>
                <w:rFonts w:ascii="Tahoma" w:hAnsi="Tahoma" w:cs="Tahoma"/>
                <w:color w:val="000000"/>
                <w:sz w:val="13"/>
              </w:rPr>
            </w:pPr>
            <w:r w:rsidRPr="003410C7">
              <w:rPr>
                <w:rFonts w:ascii="Tahoma" w:hAnsi="Tahoma" w:cs="Tahoma"/>
                <w:sz w:val="13"/>
                <w:szCs w:val="13"/>
              </w:rPr>
              <w:t>E</w:t>
            </w:r>
            <w:r w:rsidRPr="003410C7">
              <w:rPr>
                <w:rFonts w:ascii="Tahoma" w:hAnsi="Tahoma" w:cs="Tahoma"/>
                <w:sz w:val="13"/>
              </w:rPr>
              <w:t>, ST</w:t>
            </w:r>
          </w:p>
        </w:tc>
        <w:tc>
          <w:tcPr>
            <w:tcW w:w="540" w:type="dxa"/>
            <w:tcBorders>
              <w:bottom w:val="single" w:sz="4" w:space="0" w:color="auto"/>
            </w:tcBorders>
            <w:shd w:val="clear" w:color="auto" w:fill="auto"/>
            <w:vAlign w:val="center"/>
          </w:tcPr>
          <w:p w:rsidR="001A63C6" w:rsidRPr="003410C7" w:rsidRDefault="001A63C6" w:rsidP="001A63C6">
            <w:pPr>
              <w:pStyle w:val="TableText"/>
              <w:widowControl w:val="0"/>
              <w:rPr>
                <w:rFonts w:ascii="Tahoma" w:hAnsi="Tahoma" w:cs="Tahoma"/>
                <w:color w:val="000000"/>
                <w:sz w:val="13"/>
              </w:rPr>
            </w:pPr>
          </w:p>
        </w:tc>
      </w:tr>
      <w:tr w:rsidR="00EF228F" w:rsidRPr="003410C7" w:rsidTr="006B1F3F">
        <w:trPr>
          <w:trHeight w:val="145"/>
        </w:trPr>
        <w:tc>
          <w:tcPr>
            <w:tcW w:w="2734" w:type="dxa"/>
            <w:gridSpan w:val="2"/>
            <w:tcBorders>
              <w:bottom w:val="single" w:sz="4" w:space="0" w:color="auto"/>
            </w:tcBorders>
            <w:shd w:val="clear" w:color="auto" w:fill="FABF8F"/>
            <w:vAlign w:val="center"/>
          </w:tcPr>
          <w:p w:rsidR="001A63C6" w:rsidRPr="00451078" w:rsidRDefault="001A63C6" w:rsidP="003410C7">
            <w:pPr>
              <w:pStyle w:val="ProductNames"/>
              <w:spacing w:beforeLines="20" w:before="48" w:afterLines="20" w:after="48"/>
              <w:rPr>
                <w:rFonts w:ascii="Tahoma" w:hAnsi="Tahoma" w:cs="Tahoma"/>
                <w:sz w:val="14"/>
                <w:lang w:val="fr-FR"/>
              </w:rPr>
            </w:pPr>
            <w:bookmarkStart w:id="199" w:name="_Toc336337930"/>
            <w:bookmarkStart w:id="200" w:name="_Toc352234555"/>
            <w:r w:rsidRPr="00451078">
              <w:rPr>
                <w:rFonts w:ascii="Tahoma" w:hAnsi="Tahoma" w:cs="Tahoma"/>
                <w:sz w:val="14"/>
                <w:lang w:val="fr-FR"/>
              </w:rPr>
              <w:t>Core Infrastructure Server Suite Standard</w:t>
            </w:r>
            <w:bookmarkEnd w:id="199"/>
            <w:bookmarkEnd w:id="200"/>
          </w:p>
        </w:tc>
        <w:tc>
          <w:tcPr>
            <w:tcW w:w="450" w:type="dxa"/>
            <w:tcBorders>
              <w:bottom w:val="single" w:sz="4" w:space="0" w:color="auto"/>
            </w:tcBorders>
            <w:shd w:val="clear" w:color="auto" w:fill="FABF8F"/>
            <w:vAlign w:val="center"/>
          </w:tcPr>
          <w:p w:rsidR="001A63C6" w:rsidRPr="009F17FF" w:rsidRDefault="00FC1A4D" w:rsidP="002C5924">
            <w:pPr>
              <w:pStyle w:val="TableText"/>
              <w:widowControl w:val="0"/>
              <w:rPr>
                <w:rStyle w:val="EndnoteReference"/>
                <w:color w:val="0000FF"/>
                <w:sz w:val="13"/>
                <w:szCs w:val="13"/>
                <w:u w:val="single"/>
              </w:rPr>
            </w:pPr>
            <w:hyperlink w:anchor="_37_Core_Infrastructure" w:history="1">
              <w:r w:rsidR="000D77F6" w:rsidRPr="009F17FF">
                <w:rPr>
                  <w:rStyle w:val="Hyperlink"/>
                  <w:b/>
                  <w:sz w:val="13"/>
                  <w:szCs w:val="13"/>
                </w:rPr>
                <w:t>37</w:t>
              </w:r>
            </w:hyperlink>
          </w:p>
        </w:tc>
        <w:tc>
          <w:tcPr>
            <w:tcW w:w="450" w:type="dxa"/>
            <w:tcBorders>
              <w:bottom w:val="single" w:sz="4" w:space="0" w:color="auto"/>
            </w:tcBorders>
            <w:shd w:val="clear" w:color="auto" w:fill="FABF8F"/>
            <w:vAlign w:val="center"/>
          </w:tcPr>
          <w:p w:rsidR="001A63C6" w:rsidRPr="003410C7" w:rsidRDefault="001A63C6" w:rsidP="001A63C6">
            <w:pPr>
              <w:pStyle w:val="TableText"/>
              <w:widowControl w:val="0"/>
              <w:rPr>
                <w:rFonts w:ascii="Tahoma" w:hAnsi="Tahoma" w:cs="Tahoma"/>
                <w:sz w:val="13"/>
              </w:rPr>
            </w:pPr>
            <w:r w:rsidRPr="003410C7">
              <w:rPr>
                <w:rFonts w:ascii="Tahoma" w:hAnsi="Tahoma" w:cs="Tahoma"/>
                <w:sz w:val="13"/>
              </w:rPr>
              <w:t>04/12</w:t>
            </w:r>
          </w:p>
        </w:tc>
        <w:tc>
          <w:tcPr>
            <w:tcW w:w="360" w:type="dxa"/>
            <w:tcBorders>
              <w:bottom w:val="single" w:sz="4" w:space="0" w:color="auto"/>
              <w:right w:val="single" w:sz="18" w:space="0" w:color="auto"/>
            </w:tcBorders>
            <w:shd w:val="clear" w:color="auto" w:fill="FABF8F"/>
            <w:vAlign w:val="center"/>
          </w:tcPr>
          <w:p w:rsidR="001A63C6" w:rsidRPr="003410C7" w:rsidRDefault="001A63C6" w:rsidP="001A63C6">
            <w:pPr>
              <w:pStyle w:val="TableText"/>
              <w:widowControl w:val="0"/>
              <w:rPr>
                <w:rFonts w:ascii="Tahoma" w:hAnsi="Tahoma" w:cs="Tahoma"/>
                <w:sz w:val="13"/>
              </w:rPr>
            </w:pPr>
            <w:r w:rsidRPr="003410C7">
              <w:rPr>
                <w:rFonts w:ascii="Tahoma" w:hAnsi="Tahoma" w:cs="Tahoma"/>
                <w:sz w:val="13"/>
              </w:rPr>
              <w:t>SRV</w:t>
            </w:r>
          </w:p>
        </w:tc>
        <w:tc>
          <w:tcPr>
            <w:tcW w:w="360" w:type="dxa"/>
            <w:tcBorders>
              <w:left w:val="single" w:sz="18" w:space="0" w:color="auto"/>
              <w:bottom w:val="single" w:sz="4" w:space="0" w:color="auto"/>
            </w:tcBorders>
            <w:shd w:val="clear" w:color="auto" w:fill="FABF8F"/>
            <w:vAlign w:val="center"/>
          </w:tcPr>
          <w:p w:rsidR="001A63C6" w:rsidRPr="003410C7" w:rsidRDefault="001A63C6" w:rsidP="001A63C6">
            <w:pPr>
              <w:pStyle w:val="TableText"/>
              <w:widowControl w:val="0"/>
              <w:rPr>
                <w:rFonts w:ascii="Tahoma" w:hAnsi="Tahoma" w:cs="Tahoma"/>
                <w:sz w:val="13"/>
                <w:szCs w:val="13"/>
              </w:rPr>
            </w:pPr>
            <w:r w:rsidRPr="003410C7">
              <w:rPr>
                <w:rFonts w:ascii="Tahoma" w:hAnsi="Tahoma" w:cs="Tahoma"/>
                <w:sz w:val="13"/>
                <w:szCs w:val="13"/>
              </w:rPr>
              <w:t>25</w:t>
            </w:r>
          </w:p>
        </w:tc>
        <w:tc>
          <w:tcPr>
            <w:tcW w:w="450" w:type="dxa"/>
            <w:tcBorders>
              <w:bottom w:val="single" w:sz="4" w:space="0" w:color="auto"/>
            </w:tcBorders>
            <w:shd w:val="clear" w:color="auto" w:fill="FABF8F"/>
            <w:vAlign w:val="center"/>
          </w:tcPr>
          <w:p w:rsidR="001A63C6" w:rsidRPr="003410C7" w:rsidRDefault="001A63C6" w:rsidP="001A63C6">
            <w:pPr>
              <w:pStyle w:val="TableText"/>
              <w:widowControl w:val="0"/>
              <w:rPr>
                <w:rFonts w:ascii="Tahoma" w:hAnsi="Tahoma" w:cs="Tahoma"/>
                <w:sz w:val="13"/>
                <w:szCs w:val="13"/>
              </w:rPr>
            </w:pPr>
            <w:r w:rsidRPr="003410C7">
              <w:rPr>
                <w:rFonts w:ascii="Tahoma" w:hAnsi="Tahoma" w:cs="Tahoma"/>
                <w:sz w:val="13"/>
                <w:szCs w:val="13"/>
              </w:rPr>
              <w:t>63</w:t>
            </w:r>
          </w:p>
        </w:tc>
        <w:tc>
          <w:tcPr>
            <w:tcW w:w="450" w:type="dxa"/>
            <w:tcBorders>
              <w:bottom w:val="single" w:sz="4" w:space="0" w:color="auto"/>
            </w:tcBorders>
            <w:shd w:val="clear" w:color="auto" w:fill="FABF8F"/>
            <w:vAlign w:val="center"/>
          </w:tcPr>
          <w:p w:rsidR="001A63C6" w:rsidRPr="003410C7" w:rsidRDefault="001A63C6" w:rsidP="001A63C6">
            <w:pPr>
              <w:pStyle w:val="TableText"/>
              <w:widowControl w:val="0"/>
              <w:rPr>
                <w:rFonts w:ascii="Tahoma" w:hAnsi="Tahoma" w:cs="Tahoma"/>
                <w:sz w:val="13"/>
                <w:szCs w:val="13"/>
              </w:rPr>
            </w:pPr>
            <w:r w:rsidRPr="003410C7">
              <w:rPr>
                <w:rFonts w:ascii="Tahoma" w:hAnsi="Tahoma" w:cs="Tahoma"/>
                <w:sz w:val="13"/>
                <w:szCs w:val="13"/>
              </w:rPr>
              <w:t>50</w:t>
            </w:r>
          </w:p>
        </w:tc>
        <w:tc>
          <w:tcPr>
            <w:tcW w:w="450" w:type="dxa"/>
            <w:tcBorders>
              <w:bottom w:val="single" w:sz="4" w:space="0" w:color="auto"/>
            </w:tcBorders>
            <w:shd w:val="clear" w:color="auto" w:fill="FABF8F"/>
            <w:vAlign w:val="center"/>
          </w:tcPr>
          <w:p w:rsidR="001A63C6" w:rsidRPr="003410C7" w:rsidRDefault="001A63C6" w:rsidP="001A63C6">
            <w:pPr>
              <w:pStyle w:val="TableText"/>
              <w:widowControl w:val="0"/>
              <w:rPr>
                <w:rFonts w:ascii="Tahoma" w:hAnsi="Tahoma" w:cs="Tahoma"/>
                <w:sz w:val="13"/>
                <w:szCs w:val="13"/>
              </w:rPr>
            </w:pPr>
            <w:r w:rsidRPr="003410C7">
              <w:rPr>
                <w:rFonts w:ascii="Tahoma" w:hAnsi="Tahoma" w:cs="Tahoma"/>
                <w:sz w:val="13"/>
                <w:szCs w:val="13"/>
              </w:rPr>
              <w:t>38</w:t>
            </w:r>
          </w:p>
        </w:tc>
        <w:tc>
          <w:tcPr>
            <w:tcW w:w="450" w:type="dxa"/>
            <w:tcBorders>
              <w:bottom w:val="single" w:sz="4" w:space="0" w:color="auto"/>
            </w:tcBorders>
            <w:shd w:val="clear" w:color="auto" w:fill="FABF8F"/>
            <w:vAlign w:val="center"/>
          </w:tcPr>
          <w:p w:rsidR="001A63C6" w:rsidRPr="003410C7" w:rsidRDefault="001A63C6" w:rsidP="001A63C6">
            <w:pPr>
              <w:pStyle w:val="TableText"/>
              <w:widowControl w:val="0"/>
              <w:rPr>
                <w:rFonts w:ascii="Tahoma" w:hAnsi="Tahoma" w:cs="Tahoma"/>
                <w:sz w:val="13"/>
                <w:szCs w:val="13"/>
              </w:rPr>
            </w:pPr>
            <w:r w:rsidRPr="003410C7">
              <w:rPr>
                <w:rFonts w:ascii="Tahoma" w:hAnsi="Tahoma" w:cs="Tahoma"/>
                <w:sz w:val="13"/>
                <w:szCs w:val="13"/>
              </w:rPr>
              <w:t>38</w:t>
            </w:r>
          </w:p>
        </w:tc>
        <w:tc>
          <w:tcPr>
            <w:tcW w:w="450" w:type="dxa"/>
            <w:tcBorders>
              <w:bottom w:val="single" w:sz="4" w:space="0" w:color="auto"/>
            </w:tcBorders>
            <w:shd w:val="clear" w:color="auto" w:fill="FABF8F"/>
            <w:vAlign w:val="center"/>
          </w:tcPr>
          <w:p w:rsidR="001A63C6" w:rsidRPr="003410C7" w:rsidRDefault="001A63C6" w:rsidP="001A63C6">
            <w:pPr>
              <w:pStyle w:val="TableText"/>
              <w:widowControl w:val="0"/>
              <w:rPr>
                <w:rFonts w:ascii="Tahoma" w:hAnsi="Tahoma" w:cs="Tahoma"/>
                <w:sz w:val="13"/>
                <w:szCs w:val="13"/>
              </w:rPr>
            </w:pPr>
            <w:r w:rsidRPr="003410C7">
              <w:rPr>
                <w:rFonts w:ascii="Tahoma" w:hAnsi="Tahoma" w:cs="Tahoma"/>
                <w:sz w:val="13"/>
                <w:szCs w:val="13"/>
              </w:rPr>
              <w:t>25</w:t>
            </w:r>
          </w:p>
        </w:tc>
        <w:tc>
          <w:tcPr>
            <w:tcW w:w="360" w:type="dxa"/>
            <w:tcBorders>
              <w:bottom w:val="single" w:sz="4" w:space="0" w:color="auto"/>
              <w:right w:val="single" w:sz="18" w:space="0" w:color="auto"/>
            </w:tcBorders>
            <w:shd w:val="clear" w:color="auto" w:fill="FABF8F"/>
            <w:vAlign w:val="center"/>
          </w:tcPr>
          <w:p w:rsidR="001A63C6" w:rsidRPr="003410C7" w:rsidRDefault="001A63C6" w:rsidP="001A63C6">
            <w:pPr>
              <w:pStyle w:val="TableText"/>
              <w:widowControl w:val="0"/>
              <w:rPr>
                <w:rFonts w:ascii="Tahoma" w:hAnsi="Tahoma" w:cs="Tahoma"/>
                <w:sz w:val="13"/>
                <w:szCs w:val="13"/>
              </w:rPr>
            </w:pPr>
            <w:r w:rsidRPr="003410C7">
              <w:rPr>
                <w:rFonts w:ascii="Tahoma" w:hAnsi="Tahoma" w:cs="Tahoma"/>
                <w:sz w:val="13"/>
                <w:szCs w:val="13"/>
              </w:rPr>
              <w:t>13</w:t>
            </w:r>
          </w:p>
        </w:tc>
        <w:tc>
          <w:tcPr>
            <w:tcW w:w="450" w:type="dxa"/>
            <w:tcBorders>
              <w:left w:val="single" w:sz="18" w:space="0" w:color="auto"/>
              <w:bottom w:val="single" w:sz="4" w:space="0" w:color="auto"/>
            </w:tcBorders>
            <w:shd w:val="clear" w:color="auto" w:fill="FABF8F"/>
            <w:vAlign w:val="center"/>
          </w:tcPr>
          <w:p w:rsidR="001A63C6" w:rsidRPr="003410C7" w:rsidRDefault="001A63C6" w:rsidP="001A63C6">
            <w:pPr>
              <w:pStyle w:val="TableText"/>
              <w:widowControl w:val="0"/>
              <w:rPr>
                <w:rFonts w:ascii="Tahoma" w:hAnsi="Tahoma" w:cs="Tahoma"/>
                <w:sz w:val="13"/>
                <w:szCs w:val="13"/>
              </w:rPr>
            </w:pPr>
            <w:r w:rsidRPr="003410C7">
              <w:rPr>
                <w:rFonts w:ascii="Tahoma" w:hAnsi="Tahoma" w:cs="Tahoma"/>
                <w:sz w:val="13"/>
                <w:szCs w:val="13"/>
              </w:rPr>
              <w:t>25</w:t>
            </w:r>
          </w:p>
        </w:tc>
        <w:tc>
          <w:tcPr>
            <w:tcW w:w="450" w:type="dxa"/>
            <w:tcBorders>
              <w:bottom w:val="single" w:sz="4" w:space="0" w:color="auto"/>
            </w:tcBorders>
            <w:shd w:val="clear" w:color="auto" w:fill="FABF8F"/>
            <w:vAlign w:val="center"/>
          </w:tcPr>
          <w:p w:rsidR="001A63C6" w:rsidRPr="003410C7" w:rsidRDefault="001A63C6" w:rsidP="001A63C6">
            <w:pPr>
              <w:pStyle w:val="TableText"/>
              <w:widowControl w:val="0"/>
              <w:rPr>
                <w:rFonts w:ascii="Tahoma" w:hAnsi="Tahoma" w:cs="Tahoma"/>
                <w:sz w:val="13"/>
                <w:szCs w:val="13"/>
              </w:rPr>
            </w:pPr>
            <w:r w:rsidRPr="003410C7">
              <w:rPr>
                <w:rFonts w:ascii="Tahoma" w:hAnsi="Tahoma" w:cs="Tahoma"/>
                <w:sz w:val="13"/>
                <w:szCs w:val="13"/>
              </w:rPr>
              <w:t>50</w:t>
            </w:r>
          </w:p>
        </w:tc>
        <w:tc>
          <w:tcPr>
            <w:tcW w:w="450" w:type="dxa"/>
            <w:tcBorders>
              <w:bottom w:val="single" w:sz="4" w:space="0" w:color="auto"/>
              <w:right w:val="single" w:sz="18" w:space="0" w:color="auto"/>
            </w:tcBorders>
            <w:shd w:val="clear" w:color="auto" w:fill="FABF8F"/>
            <w:vAlign w:val="center"/>
          </w:tcPr>
          <w:p w:rsidR="001A63C6" w:rsidRPr="003410C7" w:rsidRDefault="001A63C6" w:rsidP="001A63C6">
            <w:pPr>
              <w:pStyle w:val="TableText"/>
              <w:widowControl w:val="0"/>
              <w:rPr>
                <w:rFonts w:ascii="Tahoma" w:hAnsi="Tahoma" w:cs="Tahoma"/>
                <w:sz w:val="13"/>
                <w:szCs w:val="13"/>
              </w:rPr>
            </w:pPr>
            <w:r w:rsidRPr="003410C7">
              <w:rPr>
                <w:rFonts w:ascii="Tahoma" w:hAnsi="Tahoma" w:cs="Tahoma"/>
                <w:sz w:val="13"/>
                <w:szCs w:val="13"/>
              </w:rPr>
              <w:t>25</w:t>
            </w:r>
          </w:p>
        </w:tc>
        <w:tc>
          <w:tcPr>
            <w:tcW w:w="450" w:type="dxa"/>
            <w:tcBorders>
              <w:left w:val="single" w:sz="18" w:space="0" w:color="auto"/>
              <w:bottom w:val="single" w:sz="4" w:space="0" w:color="auto"/>
            </w:tcBorders>
            <w:shd w:val="clear" w:color="auto" w:fill="FABF8F"/>
            <w:vAlign w:val="center"/>
          </w:tcPr>
          <w:p w:rsidR="001A63C6" w:rsidRPr="003410C7" w:rsidRDefault="001A63C6" w:rsidP="001A63C6">
            <w:pPr>
              <w:pStyle w:val="TableText"/>
              <w:widowControl w:val="0"/>
              <w:rPr>
                <w:rFonts w:ascii="Tahoma" w:hAnsi="Tahoma" w:cs="Tahoma"/>
                <w:sz w:val="13"/>
                <w:szCs w:val="13"/>
              </w:rPr>
            </w:pPr>
            <w:r w:rsidRPr="003410C7">
              <w:rPr>
                <w:rFonts w:ascii="Tahoma" w:hAnsi="Tahoma" w:cs="Tahoma"/>
                <w:sz w:val="13"/>
                <w:szCs w:val="13"/>
              </w:rPr>
              <w:t>25</w:t>
            </w:r>
          </w:p>
        </w:tc>
        <w:tc>
          <w:tcPr>
            <w:tcW w:w="450" w:type="dxa"/>
            <w:tcBorders>
              <w:bottom w:val="single" w:sz="4" w:space="0" w:color="auto"/>
              <w:right w:val="single" w:sz="18" w:space="0" w:color="auto"/>
            </w:tcBorders>
            <w:shd w:val="clear" w:color="auto" w:fill="FABF8F"/>
            <w:vAlign w:val="center"/>
          </w:tcPr>
          <w:p w:rsidR="001A63C6" w:rsidRPr="003410C7" w:rsidRDefault="001A63C6" w:rsidP="001A63C6">
            <w:pPr>
              <w:pStyle w:val="TableText"/>
              <w:widowControl w:val="0"/>
              <w:rPr>
                <w:rFonts w:ascii="Tahoma" w:hAnsi="Tahoma" w:cs="Tahoma"/>
                <w:sz w:val="13"/>
              </w:rPr>
            </w:pPr>
            <w:r w:rsidRPr="003410C7">
              <w:rPr>
                <w:rFonts w:ascii="Tahoma" w:hAnsi="Tahoma" w:cs="Tahoma"/>
                <w:sz w:val="13"/>
              </w:rPr>
              <w:t>C</w:t>
            </w: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3410C7"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3410C7" w:rsidRDefault="001A63C6" w:rsidP="001A63C6">
            <w:pPr>
              <w:pStyle w:val="TableText"/>
              <w:widowControl w:val="0"/>
              <w:rPr>
                <w:rFonts w:ascii="Tahoma" w:hAnsi="Tahoma" w:cs="Tahoma"/>
                <w:sz w:val="13"/>
              </w:rPr>
            </w:pPr>
          </w:p>
        </w:tc>
        <w:tc>
          <w:tcPr>
            <w:tcW w:w="540" w:type="dxa"/>
            <w:tcBorders>
              <w:bottom w:val="single" w:sz="4" w:space="0" w:color="auto"/>
            </w:tcBorders>
            <w:shd w:val="clear" w:color="auto" w:fill="FABF8F"/>
            <w:vAlign w:val="center"/>
          </w:tcPr>
          <w:p w:rsidR="001A63C6" w:rsidRPr="003410C7" w:rsidRDefault="001A63C6" w:rsidP="001A63C6">
            <w:pPr>
              <w:pStyle w:val="TableText"/>
              <w:widowControl w:val="0"/>
              <w:rPr>
                <w:rFonts w:ascii="Tahoma" w:hAnsi="Tahoma" w:cs="Tahoma"/>
                <w:sz w:val="13"/>
              </w:rPr>
            </w:pPr>
            <w:r w:rsidRPr="003410C7">
              <w:rPr>
                <w:rFonts w:ascii="Tahoma" w:hAnsi="Tahoma" w:cs="Tahoma"/>
                <w:sz w:val="13"/>
              </w:rPr>
              <w:t>OL/OV</w:t>
            </w:r>
          </w:p>
        </w:tc>
      </w:tr>
      <w:tr w:rsidR="00B33D0E" w:rsidRPr="003410C7" w:rsidTr="006B1F3F">
        <w:trPr>
          <w:trHeight w:val="145"/>
        </w:trPr>
        <w:tc>
          <w:tcPr>
            <w:tcW w:w="2734" w:type="dxa"/>
            <w:gridSpan w:val="2"/>
            <w:tcBorders>
              <w:bottom w:val="single" w:sz="4" w:space="0" w:color="auto"/>
            </w:tcBorders>
            <w:shd w:val="clear" w:color="auto" w:fill="auto"/>
            <w:vAlign w:val="center"/>
          </w:tcPr>
          <w:p w:rsidR="001A63C6" w:rsidRPr="00451078" w:rsidRDefault="001A63C6" w:rsidP="003410C7">
            <w:pPr>
              <w:pStyle w:val="ProductNames"/>
              <w:spacing w:beforeLines="20" w:before="48" w:afterLines="20" w:after="48"/>
              <w:rPr>
                <w:rFonts w:ascii="Tahoma" w:hAnsi="Tahoma" w:cs="Tahoma"/>
                <w:sz w:val="14"/>
                <w:lang w:val="fr-FR"/>
              </w:rPr>
            </w:pPr>
            <w:bookmarkStart w:id="201" w:name="_Toc336337931"/>
            <w:bookmarkStart w:id="202" w:name="_Toc352234556"/>
            <w:r w:rsidRPr="00451078">
              <w:rPr>
                <w:rFonts w:ascii="Tahoma" w:hAnsi="Tahoma" w:cs="Tahoma"/>
                <w:sz w:val="14"/>
                <w:lang w:val="fr-FR"/>
              </w:rPr>
              <w:t>Core Infrastructure Server Suite Enterprise</w:t>
            </w:r>
            <w:bookmarkEnd w:id="201"/>
            <w:bookmarkEnd w:id="202"/>
          </w:p>
        </w:tc>
        <w:tc>
          <w:tcPr>
            <w:tcW w:w="450" w:type="dxa"/>
            <w:tcBorders>
              <w:bottom w:val="single" w:sz="4" w:space="0" w:color="auto"/>
            </w:tcBorders>
            <w:shd w:val="clear" w:color="auto" w:fill="auto"/>
            <w:vAlign w:val="center"/>
          </w:tcPr>
          <w:p w:rsidR="001A63C6" w:rsidRPr="009F17FF" w:rsidRDefault="00FC1A4D" w:rsidP="002C5924">
            <w:pPr>
              <w:pStyle w:val="TableText"/>
              <w:widowControl w:val="0"/>
              <w:rPr>
                <w:rStyle w:val="EndnoteReference"/>
                <w:color w:val="0000FF"/>
                <w:sz w:val="13"/>
                <w:szCs w:val="13"/>
                <w:u w:val="single"/>
              </w:rPr>
            </w:pPr>
            <w:hyperlink w:anchor="_38_Core_Infrastructure" w:history="1">
              <w:r w:rsidR="000D77F6" w:rsidRPr="009F17FF">
                <w:rPr>
                  <w:rStyle w:val="Hyperlink"/>
                  <w:b/>
                  <w:sz w:val="13"/>
                  <w:szCs w:val="13"/>
                </w:rPr>
                <w:t>38</w:t>
              </w:r>
            </w:hyperlink>
          </w:p>
        </w:tc>
        <w:tc>
          <w:tcPr>
            <w:tcW w:w="450" w:type="dxa"/>
            <w:tcBorders>
              <w:bottom w:val="single" w:sz="4" w:space="0" w:color="auto"/>
            </w:tcBorders>
            <w:shd w:val="clear" w:color="auto" w:fill="auto"/>
            <w:vAlign w:val="center"/>
          </w:tcPr>
          <w:p w:rsidR="001A63C6" w:rsidRPr="003410C7" w:rsidRDefault="001A63C6" w:rsidP="001A63C6">
            <w:pPr>
              <w:pStyle w:val="TableText"/>
              <w:widowControl w:val="0"/>
              <w:rPr>
                <w:rFonts w:ascii="Tahoma" w:hAnsi="Tahoma" w:cs="Tahoma"/>
                <w:sz w:val="13"/>
              </w:rPr>
            </w:pPr>
            <w:r w:rsidRPr="003410C7">
              <w:rPr>
                <w:rFonts w:ascii="Tahoma" w:hAnsi="Tahoma" w:cs="Tahoma"/>
                <w:sz w:val="13"/>
              </w:rPr>
              <w:t>04/12</w:t>
            </w:r>
          </w:p>
        </w:tc>
        <w:tc>
          <w:tcPr>
            <w:tcW w:w="360" w:type="dxa"/>
            <w:tcBorders>
              <w:bottom w:val="single" w:sz="4" w:space="0" w:color="auto"/>
              <w:right w:val="single" w:sz="18" w:space="0" w:color="auto"/>
            </w:tcBorders>
            <w:shd w:val="clear" w:color="auto" w:fill="auto"/>
            <w:vAlign w:val="center"/>
          </w:tcPr>
          <w:p w:rsidR="001A63C6" w:rsidRPr="003410C7" w:rsidRDefault="001A63C6" w:rsidP="001A63C6">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auto"/>
            <w:vAlign w:val="center"/>
          </w:tcPr>
          <w:p w:rsidR="001A63C6" w:rsidRPr="003410C7" w:rsidRDefault="001A63C6" w:rsidP="001A63C6">
            <w:pPr>
              <w:pStyle w:val="TableText"/>
              <w:widowControl w:val="0"/>
              <w:rPr>
                <w:rFonts w:ascii="Tahoma" w:hAnsi="Tahoma" w:cs="Tahoma"/>
                <w:sz w:val="13"/>
                <w:szCs w:val="13"/>
              </w:rPr>
            </w:pPr>
          </w:p>
        </w:tc>
        <w:tc>
          <w:tcPr>
            <w:tcW w:w="450" w:type="dxa"/>
            <w:tcBorders>
              <w:bottom w:val="single" w:sz="4" w:space="0" w:color="auto"/>
            </w:tcBorders>
            <w:shd w:val="clear" w:color="auto" w:fill="auto"/>
            <w:vAlign w:val="center"/>
          </w:tcPr>
          <w:p w:rsidR="001A63C6" w:rsidRPr="003410C7" w:rsidRDefault="001A63C6" w:rsidP="001A63C6">
            <w:pPr>
              <w:pStyle w:val="TableText"/>
              <w:widowControl w:val="0"/>
              <w:rPr>
                <w:rFonts w:ascii="Tahoma" w:hAnsi="Tahoma" w:cs="Tahoma"/>
                <w:sz w:val="13"/>
                <w:szCs w:val="13"/>
              </w:rPr>
            </w:pPr>
          </w:p>
        </w:tc>
        <w:tc>
          <w:tcPr>
            <w:tcW w:w="450" w:type="dxa"/>
            <w:tcBorders>
              <w:bottom w:val="single" w:sz="4" w:space="0" w:color="auto"/>
            </w:tcBorders>
            <w:shd w:val="clear" w:color="auto" w:fill="auto"/>
            <w:vAlign w:val="center"/>
          </w:tcPr>
          <w:p w:rsidR="001A63C6" w:rsidRPr="003410C7" w:rsidRDefault="001A63C6" w:rsidP="001A63C6">
            <w:pPr>
              <w:pStyle w:val="TableText"/>
              <w:widowControl w:val="0"/>
              <w:rPr>
                <w:rFonts w:ascii="Tahoma" w:hAnsi="Tahoma" w:cs="Tahoma"/>
                <w:sz w:val="13"/>
                <w:szCs w:val="13"/>
              </w:rPr>
            </w:pPr>
          </w:p>
        </w:tc>
        <w:tc>
          <w:tcPr>
            <w:tcW w:w="450" w:type="dxa"/>
            <w:tcBorders>
              <w:bottom w:val="single" w:sz="4" w:space="0" w:color="auto"/>
            </w:tcBorders>
            <w:shd w:val="clear" w:color="auto" w:fill="auto"/>
            <w:vAlign w:val="center"/>
          </w:tcPr>
          <w:p w:rsidR="001A63C6" w:rsidRPr="003410C7" w:rsidRDefault="001A63C6" w:rsidP="001A63C6">
            <w:pPr>
              <w:pStyle w:val="TableText"/>
              <w:widowControl w:val="0"/>
              <w:rPr>
                <w:rFonts w:ascii="Tahoma" w:hAnsi="Tahoma" w:cs="Tahoma"/>
                <w:sz w:val="13"/>
                <w:szCs w:val="13"/>
              </w:rPr>
            </w:pPr>
          </w:p>
        </w:tc>
        <w:tc>
          <w:tcPr>
            <w:tcW w:w="450" w:type="dxa"/>
            <w:tcBorders>
              <w:bottom w:val="single" w:sz="4" w:space="0" w:color="auto"/>
            </w:tcBorders>
            <w:shd w:val="clear" w:color="auto" w:fill="auto"/>
            <w:vAlign w:val="center"/>
          </w:tcPr>
          <w:p w:rsidR="001A63C6" w:rsidRPr="003410C7" w:rsidRDefault="001A63C6" w:rsidP="001A63C6">
            <w:pPr>
              <w:pStyle w:val="TableText"/>
              <w:widowControl w:val="0"/>
              <w:rPr>
                <w:rFonts w:ascii="Tahoma" w:hAnsi="Tahoma" w:cs="Tahoma"/>
                <w:sz w:val="13"/>
                <w:szCs w:val="13"/>
              </w:rPr>
            </w:pPr>
          </w:p>
        </w:tc>
        <w:tc>
          <w:tcPr>
            <w:tcW w:w="450" w:type="dxa"/>
            <w:tcBorders>
              <w:bottom w:val="single" w:sz="4" w:space="0" w:color="auto"/>
            </w:tcBorders>
            <w:shd w:val="clear" w:color="auto" w:fill="auto"/>
            <w:vAlign w:val="center"/>
          </w:tcPr>
          <w:p w:rsidR="001A63C6" w:rsidRPr="003410C7" w:rsidRDefault="001A63C6" w:rsidP="001A63C6">
            <w:pPr>
              <w:pStyle w:val="TableText"/>
              <w:widowControl w:val="0"/>
              <w:rPr>
                <w:rFonts w:ascii="Tahoma" w:hAnsi="Tahoma" w:cs="Tahoma"/>
                <w:sz w:val="13"/>
                <w:szCs w:val="13"/>
              </w:rPr>
            </w:pPr>
          </w:p>
        </w:tc>
        <w:tc>
          <w:tcPr>
            <w:tcW w:w="360" w:type="dxa"/>
            <w:tcBorders>
              <w:bottom w:val="single" w:sz="4" w:space="0" w:color="auto"/>
              <w:right w:val="single" w:sz="18" w:space="0" w:color="auto"/>
            </w:tcBorders>
            <w:shd w:val="clear" w:color="auto" w:fill="auto"/>
            <w:vAlign w:val="center"/>
          </w:tcPr>
          <w:p w:rsidR="001A63C6" w:rsidRPr="003410C7" w:rsidRDefault="001A63C6" w:rsidP="001A63C6">
            <w:pPr>
              <w:pStyle w:val="TableText"/>
              <w:widowControl w:val="0"/>
              <w:rPr>
                <w:rFonts w:ascii="Tahoma" w:hAnsi="Tahoma" w:cs="Tahoma"/>
                <w:sz w:val="13"/>
                <w:szCs w:val="13"/>
              </w:rPr>
            </w:pPr>
          </w:p>
        </w:tc>
        <w:tc>
          <w:tcPr>
            <w:tcW w:w="450" w:type="dxa"/>
            <w:tcBorders>
              <w:left w:val="single" w:sz="18" w:space="0" w:color="auto"/>
              <w:bottom w:val="single" w:sz="4" w:space="0" w:color="auto"/>
            </w:tcBorders>
            <w:shd w:val="clear" w:color="auto" w:fill="auto"/>
            <w:vAlign w:val="center"/>
          </w:tcPr>
          <w:p w:rsidR="001A63C6" w:rsidRPr="003410C7" w:rsidRDefault="001A63C6" w:rsidP="001A63C6">
            <w:pPr>
              <w:pStyle w:val="TableText"/>
              <w:widowControl w:val="0"/>
              <w:rPr>
                <w:rFonts w:ascii="Tahoma" w:hAnsi="Tahoma" w:cs="Tahoma"/>
                <w:sz w:val="13"/>
                <w:szCs w:val="13"/>
              </w:rPr>
            </w:pPr>
          </w:p>
        </w:tc>
        <w:tc>
          <w:tcPr>
            <w:tcW w:w="450" w:type="dxa"/>
            <w:tcBorders>
              <w:bottom w:val="single" w:sz="4" w:space="0" w:color="auto"/>
            </w:tcBorders>
            <w:shd w:val="clear" w:color="auto" w:fill="auto"/>
            <w:vAlign w:val="center"/>
          </w:tcPr>
          <w:p w:rsidR="001A63C6" w:rsidRPr="003410C7" w:rsidRDefault="001A63C6" w:rsidP="001A63C6">
            <w:pPr>
              <w:pStyle w:val="TableText"/>
              <w:widowControl w:val="0"/>
              <w:rPr>
                <w:rFonts w:ascii="Tahoma" w:hAnsi="Tahoma" w:cs="Tahoma"/>
                <w:sz w:val="13"/>
                <w:szCs w:val="13"/>
              </w:rPr>
            </w:pPr>
          </w:p>
        </w:tc>
        <w:tc>
          <w:tcPr>
            <w:tcW w:w="450" w:type="dxa"/>
            <w:tcBorders>
              <w:bottom w:val="single" w:sz="4" w:space="0" w:color="auto"/>
              <w:right w:val="single" w:sz="18" w:space="0" w:color="auto"/>
            </w:tcBorders>
            <w:shd w:val="clear" w:color="auto" w:fill="auto"/>
            <w:vAlign w:val="center"/>
          </w:tcPr>
          <w:p w:rsidR="001A63C6" w:rsidRPr="003410C7" w:rsidRDefault="001A63C6" w:rsidP="001A63C6">
            <w:pPr>
              <w:pStyle w:val="TableText"/>
              <w:widowControl w:val="0"/>
              <w:rPr>
                <w:rFonts w:ascii="Tahoma" w:hAnsi="Tahoma" w:cs="Tahoma"/>
                <w:sz w:val="13"/>
                <w:szCs w:val="13"/>
              </w:rPr>
            </w:pPr>
          </w:p>
        </w:tc>
        <w:tc>
          <w:tcPr>
            <w:tcW w:w="450" w:type="dxa"/>
            <w:tcBorders>
              <w:left w:val="single" w:sz="18" w:space="0" w:color="auto"/>
              <w:bottom w:val="single" w:sz="4" w:space="0" w:color="auto"/>
            </w:tcBorders>
            <w:shd w:val="clear" w:color="auto" w:fill="auto"/>
            <w:vAlign w:val="center"/>
          </w:tcPr>
          <w:p w:rsidR="001A63C6" w:rsidRPr="003410C7" w:rsidRDefault="001A63C6" w:rsidP="001A63C6">
            <w:pPr>
              <w:pStyle w:val="TableText"/>
              <w:widowControl w:val="0"/>
              <w:rPr>
                <w:rFonts w:ascii="Tahoma" w:hAnsi="Tahoma" w:cs="Tahoma"/>
                <w:sz w:val="13"/>
                <w:szCs w:val="13"/>
              </w:rPr>
            </w:pPr>
          </w:p>
        </w:tc>
        <w:tc>
          <w:tcPr>
            <w:tcW w:w="450" w:type="dxa"/>
            <w:tcBorders>
              <w:bottom w:val="single" w:sz="4" w:space="0" w:color="auto"/>
              <w:right w:val="single" w:sz="18" w:space="0" w:color="auto"/>
            </w:tcBorders>
            <w:shd w:val="clear" w:color="auto" w:fill="auto"/>
            <w:vAlign w:val="center"/>
          </w:tcPr>
          <w:p w:rsidR="001A63C6" w:rsidRPr="003410C7"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rsidR="001A63C6" w:rsidRPr="003410C7"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3410C7" w:rsidRDefault="001A63C6" w:rsidP="001A63C6">
            <w:pPr>
              <w:pStyle w:val="TableText"/>
              <w:widowControl w:val="0"/>
              <w:rPr>
                <w:rFonts w:ascii="Tahoma" w:hAnsi="Tahoma" w:cs="Tahoma"/>
                <w:sz w:val="13"/>
              </w:rPr>
            </w:pPr>
          </w:p>
        </w:tc>
        <w:tc>
          <w:tcPr>
            <w:tcW w:w="540" w:type="dxa"/>
            <w:tcBorders>
              <w:bottom w:val="single" w:sz="4" w:space="0" w:color="auto"/>
            </w:tcBorders>
            <w:shd w:val="clear" w:color="auto" w:fill="auto"/>
            <w:vAlign w:val="center"/>
          </w:tcPr>
          <w:p w:rsidR="001A63C6" w:rsidRPr="003410C7" w:rsidRDefault="001A63C6" w:rsidP="001A63C6">
            <w:pPr>
              <w:pStyle w:val="TableText"/>
              <w:widowControl w:val="0"/>
              <w:rPr>
                <w:rFonts w:ascii="Tahoma" w:hAnsi="Tahoma" w:cs="Tahoma"/>
                <w:sz w:val="13"/>
              </w:rPr>
            </w:pPr>
          </w:p>
        </w:tc>
      </w:tr>
      <w:tr w:rsidR="00B33D0E" w:rsidRPr="003410C7" w:rsidTr="006B1F3F">
        <w:trPr>
          <w:trHeight w:val="145"/>
        </w:trPr>
        <w:tc>
          <w:tcPr>
            <w:tcW w:w="2734" w:type="dxa"/>
            <w:gridSpan w:val="2"/>
            <w:tcBorders>
              <w:bottom w:val="single" w:sz="4" w:space="0" w:color="auto"/>
            </w:tcBorders>
            <w:shd w:val="clear" w:color="auto" w:fill="FABF8F"/>
            <w:vAlign w:val="center"/>
          </w:tcPr>
          <w:p w:rsidR="001A63C6" w:rsidRPr="00451078" w:rsidRDefault="001A63C6" w:rsidP="003410C7">
            <w:pPr>
              <w:pStyle w:val="ProductNames"/>
              <w:spacing w:beforeLines="20" w:before="48" w:afterLines="20" w:after="48"/>
              <w:rPr>
                <w:rFonts w:ascii="Tahoma" w:hAnsi="Tahoma" w:cs="Tahoma"/>
                <w:sz w:val="14"/>
                <w:lang w:val="fr-FR"/>
              </w:rPr>
            </w:pPr>
            <w:bookmarkStart w:id="203" w:name="_Toc336337932"/>
            <w:bookmarkStart w:id="204" w:name="_Toc352234557"/>
            <w:r w:rsidRPr="00451078">
              <w:rPr>
                <w:rFonts w:ascii="Tahoma" w:hAnsi="Tahoma" w:cs="Tahoma"/>
                <w:sz w:val="14"/>
                <w:lang w:val="fr-FR"/>
              </w:rPr>
              <w:t>Core Infrastructure Server Suite Datacenter</w:t>
            </w:r>
            <w:bookmarkEnd w:id="203"/>
            <w:bookmarkEnd w:id="204"/>
          </w:p>
        </w:tc>
        <w:tc>
          <w:tcPr>
            <w:tcW w:w="450" w:type="dxa"/>
            <w:tcBorders>
              <w:bottom w:val="single" w:sz="4" w:space="0" w:color="auto"/>
            </w:tcBorders>
            <w:shd w:val="clear" w:color="auto" w:fill="FABF8F"/>
            <w:vAlign w:val="center"/>
          </w:tcPr>
          <w:p w:rsidR="001A63C6" w:rsidRPr="009F17FF" w:rsidRDefault="00FC1A4D" w:rsidP="002C5924">
            <w:pPr>
              <w:pStyle w:val="TableText"/>
              <w:widowControl w:val="0"/>
              <w:rPr>
                <w:rStyle w:val="EndnoteReference"/>
                <w:color w:val="0000FF"/>
                <w:sz w:val="13"/>
                <w:szCs w:val="13"/>
                <w:u w:val="single"/>
              </w:rPr>
            </w:pPr>
            <w:hyperlink w:anchor="_39_Core_Infrastructure" w:history="1">
              <w:r w:rsidR="000D77F6" w:rsidRPr="009F17FF">
                <w:rPr>
                  <w:rStyle w:val="Hyperlink"/>
                  <w:b/>
                  <w:sz w:val="13"/>
                  <w:szCs w:val="13"/>
                </w:rPr>
                <w:t>39</w:t>
              </w:r>
            </w:hyperlink>
          </w:p>
        </w:tc>
        <w:tc>
          <w:tcPr>
            <w:tcW w:w="450" w:type="dxa"/>
            <w:tcBorders>
              <w:bottom w:val="single" w:sz="4" w:space="0" w:color="auto"/>
            </w:tcBorders>
            <w:shd w:val="clear" w:color="auto" w:fill="FABF8F"/>
            <w:vAlign w:val="center"/>
          </w:tcPr>
          <w:p w:rsidR="001A63C6" w:rsidRPr="003410C7" w:rsidRDefault="001A63C6" w:rsidP="001A63C6">
            <w:pPr>
              <w:pStyle w:val="TableText"/>
              <w:widowControl w:val="0"/>
              <w:rPr>
                <w:rFonts w:ascii="Tahoma" w:hAnsi="Tahoma" w:cs="Tahoma"/>
                <w:sz w:val="13"/>
              </w:rPr>
            </w:pPr>
            <w:r w:rsidRPr="003410C7">
              <w:rPr>
                <w:rFonts w:ascii="Tahoma" w:hAnsi="Tahoma" w:cs="Tahoma"/>
                <w:sz w:val="13"/>
              </w:rPr>
              <w:t>04/12</w:t>
            </w:r>
          </w:p>
        </w:tc>
        <w:tc>
          <w:tcPr>
            <w:tcW w:w="360" w:type="dxa"/>
            <w:tcBorders>
              <w:bottom w:val="single" w:sz="4" w:space="0" w:color="auto"/>
              <w:right w:val="single" w:sz="18" w:space="0" w:color="auto"/>
            </w:tcBorders>
            <w:shd w:val="clear" w:color="auto" w:fill="FABF8F"/>
            <w:vAlign w:val="center"/>
          </w:tcPr>
          <w:p w:rsidR="001A63C6" w:rsidRPr="003410C7" w:rsidRDefault="001A63C6" w:rsidP="001A63C6">
            <w:pPr>
              <w:pStyle w:val="TableText"/>
              <w:widowControl w:val="0"/>
              <w:rPr>
                <w:rFonts w:ascii="Tahoma" w:hAnsi="Tahoma" w:cs="Tahoma"/>
                <w:sz w:val="13"/>
              </w:rPr>
            </w:pPr>
            <w:r w:rsidRPr="003410C7">
              <w:rPr>
                <w:rFonts w:ascii="Tahoma" w:hAnsi="Tahoma" w:cs="Tahoma"/>
                <w:sz w:val="13"/>
              </w:rPr>
              <w:t>SRV</w:t>
            </w:r>
          </w:p>
        </w:tc>
        <w:tc>
          <w:tcPr>
            <w:tcW w:w="360" w:type="dxa"/>
            <w:tcBorders>
              <w:left w:val="single" w:sz="18" w:space="0" w:color="auto"/>
              <w:bottom w:val="single" w:sz="4" w:space="0" w:color="auto"/>
            </w:tcBorders>
            <w:shd w:val="clear" w:color="auto" w:fill="FABF8F"/>
            <w:vAlign w:val="center"/>
          </w:tcPr>
          <w:p w:rsidR="001A63C6" w:rsidRPr="003410C7" w:rsidRDefault="001A63C6" w:rsidP="001A63C6">
            <w:pPr>
              <w:pStyle w:val="TableText"/>
              <w:widowControl w:val="0"/>
              <w:rPr>
                <w:rFonts w:ascii="Tahoma" w:hAnsi="Tahoma" w:cs="Tahoma"/>
                <w:sz w:val="13"/>
                <w:szCs w:val="13"/>
              </w:rPr>
            </w:pPr>
            <w:r w:rsidRPr="003410C7">
              <w:rPr>
                <w:rFonts w:ascii="Tahoma" w:hAnsi="Tahoma" w:cs="Tahoma"/>
                <w:sz w:val="13"/>
                <w:szCs w:val="13"/>
              </w:rPr>
              <w:t>75</w:t>
            </w:r>
          </w:p>
        </w:tc>
        <w:tc>
          <w:tcPr>
            <w:tcW w:w="450" w:type="dxa"/>
            <w:tcBorders>
              <w:bottom w:val="single" w:sz="4" w:space="0" w:color="auto"/>
            </w:tcBorders>
            <w:shd w:val="clear" w:color="auto" w:fill="FABF8F"/>
            <w:vAlign w:val="center"/>
          </w:tcPr>
          <w:p w:rsidR="001A63C6" w:rsidRPr="003410C7" w:rsidRDefault="001A63C6" w:rsidP="001A63C6">
            <w:pPr>
              <w:pStyle w:val="TableText"/>
              <w:widowControl w:val="0"/>
              <w:rPr>
                <w:rFonts w:ascii="Tahoma" w:hAnsi="Tahoma" w:cs="Tahoma"/>
                <w:sz w:val="13"/>
                <w:szCs w:val="13"/>
              </w:rPr>
            </w:pPr>
            <w:r w:rsidRPr="003410C7">
              <w:rPr>
                <w:rFonts w:ascii="Tahoma" w:hAnsi="Tahoma" w:cs="Tahoma"/>
                <w:sz w:val="13"/>
                <w:szCs w:val="13"/>
              </w:rPr>
              <w:t>188</w:t>
            </w:r>
          </w:p>
        </w:tc>
        <w:tc>
          <w:tcPr>
            <w:tcW w:w="450" w:type="dxa"/>
            <w:tcBorders>
              <w:bottom w:val="single" w:sz="4" w:space="0" w:color="auto"/>
            </w:tcBorders>
            <w:shd w:val="clear" w:color="auto" w:fill="FABF8F"/>
            <w:vAlign w:val="center"/>
          </w:tcPr>
          <w:p w:rsidR="001A63C6" w:rsidRPr="003410C7" w:rsidRDefault="001A63C6" w:rsidP="001A63C6">
            <w:pPr>
              <w:pStyle w:val="TableText"/>
              <w:widowControl w:val="0"/>
              <w:rPr>
                <w:rFonts w:ascii="Tahoma" w:hAnsi="Tahoma" w:cs="Tahoma"/>
                <w:sz w:val="13"/>
                <w:szCs w:val="13"/>
              </w:rPr>
            </w:pPr>
            <w:r w:rsidRPr="003410C7">
              <w:rPr>
                <w:rFonts w:ascii="Tahoma" w:hAnsi="Tahoma" w:cs="Tahoma"/>
                <w:sz w:val="13"/>
                <w:szCs w:val="13"/>
              </w:rPr>
              <w:t>150</w:t>
            </w:r>
          </w:p>
        </w:tc>
        <w:tc>
          <w:tcPr>
            <w:tcW w:w="450" w:type="dxa"/>
            <w:tcBorders>
              <w:bottom w:val="single" w:sz="4" w:space="0" w:color="auto"/>
            </w:tcBorders>
            <w:shd w:val="clear" w:color="auto" w:fill="FABF8F"/>
            <w:vAlign w:val="center"/>
          </w:tcPr>
          <w:p w:rsidR="001A63C6" w:rsidRPr="003410C7" w:rsidRDefault="001A63C6" w:rsidP="001A63C6">
            <w:pPr>
              <w:pStyle w:val="TableText"/>
              <w:widowControl w:val="0"/>
              <w:rPr>
                <w:rFonts w:ascii="Tahoma" w:hAnsi="Tahoma" w:cs="Tahoma"/>
                <w:sz w:val="13"/>
                <w:szCs w:val="13"/>
              </w:rPr>
            </w:pPr>
            <w:r w:rsidRPr="003410C7">
              <w:rPr>
                <w:rFonts w:ascii="Tahoma" w:hAnsi="Tahoma" w:cs="Tahoma"/>
                <w:sz w:val="13"/>
                <w:szCs w:val="13"/>
              </w:rPr>
              <w:t>113</w:t>
            </w:r>
          </w:p>
        </w:tc>
        <w:tc>
          <w:tcPr>
            <w:tcW w:w="450" w:type="dxa"/>
            <w:tcBorders>
              <w:bottom w:val="single" w:sz="4" w:space="0" w:color="auto"/>
            </w:tcBorders>
            <w:shd w:val="clear" w:color="auto" w:fill="FABF8F"/>
            <w:vAlign w:val="center"/>
          </w:tcPr>
          <w:p w:rsidR="001A63C6" w:rsidRPr="003410C7" w:rsidRDefault="001A63C6" w:rsidP="001A63C6">
            <w:pPr>
              <w:pStyle w:val="TableText"/>
              <w:widowControl w:val="0"/>
              <w:rPr>
                <w:rFonts w:ascii="Tahoma" w:hAnsi="Tahoma" w:cs="Tahoma"/>
                <w:sz w:val="13"/>
                <w:szCs w:val="13"/>
                <w:lang w:eastAsia="ja-JP"/>
              </w:rPr>
            </w:pPr>
            <w:r w:rsidRPr="003410C7">
              <w:rPr>
                <w:rFonts w:ascii="Tahoma" w:hAnsi="Tahoma" w:cs="Tahoma"/>
                <w:sz w:val="13"/>
                <w:szCs w:val="13"/>
              </w:rPr>
              <w:t>113</w:t>
            </w:r>
          </w:p>
        </w:tc>
        <w:tc>
          <w:tcPr>
            <w:tcW w:w="450" w:type="dxa"/>
            <w:tcBorders>
              <w:bottom w:val="single" w:sz="4" w:space="0" w:color="auto"/>
            </w:tcBorders>
            <w:shd w:val="clear" w:color="auto" w:fill="FABF8F"/>
            <w:vAlign w:val="center"/>
          </w:tcPr>
          <w:p w:rsidR="001A63C6" w:rsidRPr="003410C7" w:rsidRDefault="001A63C6" w:rsidP="001A63C6">
            <w:pPr>
              <w:pStyle w:val="TableText"/>
              <w:widowControl w:val="0"/>
              <w:rPr>
                <w:rFonts w:ascii="Tahoma" w:hAnsi="Tahoma" w:cs="Tahoma"/>
                <w:sz w:val="13"/>
                <w:szCs w:val="13"/>
              </w:rPr>
            </w:pPr>
            <w:r w:rsidRPr="003410C7">
              <w:rPr>
                <w:rFonts w:ascii="Tahoma" w:hAnsi="Tahoma" w:cs="Tahoma"/>
                <w:sz w:val="13"/>
                <w:szCs w:val="13"/>
              </w:rPr>
              <w:t>75</w:t>
            </w:r>
          </w:p>
        </w:tc>
        <w:tc>
          <w:tcPr>
            <w:tcW w:w="360" w:type="dxa"/>
            <w:tcBorders>
              <w:bottom w:val="single" w:sz="4" w:space="0" w:color="auto"/>
              <w:right w:val="single" w:sz="18" w:space="0" w:color="auto"/>
            </w:tcBorders>
            <w:shd w:val="clear" w:color="auto" w:fill="FABF8F"/>
            <w:vAlign w:val="center"/>
          </w:tcPr>
          <w:p w:rsidR="001A63C6" w:rsidRPr="003410C7" w:rsidRDefault="001A63C6" w:rsidP="001A63C6">
            <w:pPr>
              <w:pStyle w:val="TableText"/>
              <w:widowControl w:val="0"/>
              <w:rPr>
                <w:rFonts w:ascii="Tahoma" w:hAnsi="Tahoma" w:cs="Tahoma"/>
                <w:sz w:val="13"/>
                <w:szCs w:val="13"/>
                <w:lang w:eastAsia="ja-JP"/>
              </w:rPr>
            </w:pPr>
            <w:r w:rsidRPr="003410C7">
              <w:rPr>
                <w:rFonts w:ascii="Tahoma" w:hAnsi="Tahoma" w:cs="Tahoma"/>
                <w:sz w:val="13"/>
                <w:szCs w:val="13"/>
              </w:rPr>
              <w:t>38</w:t>
            </w:r>
          </w:p>
        </w:tc>
        <w:tc>
          <w:tcPr>
            <w:tcW w:w="450" w:type="dxa"/>
            <w:tcBorders>
              <w:left w:val="single" w:sz="18" w:space="0" w:color="auto"/>
              <w:bottom w:val="single" w:sz="4" w:space="0" w:color="auto"/>
            </w:tcBorders>
            <w:shd w:val="clear" w:color="auto" w:fill="FABF8F"/>
            <w:vAlign w:val="center"/>
          </w:tcPr>
          <w:p w:rsidR="001A63C6" w:rsidRPr="003410C7" w:rsidRDefault="001A63C6" w:rsidP="001A63C6">
            <w:pPr>
              <w:pStyle w:val="TableText"/>
              <w:widowControl w:val="0"/>
              <w:rPr>
                <w:rFonts w:ascii="Tahoma" w:hAnsi="Tahoma" w:cs="Tahoma"/>
                <w:sz w:val="13"/>
                <w:szCs w:val="13"/>
                <w:lang w:eastAsia="ja-JP"/>
              </w:rPr>
            </w:pPr>
            <w:r w:rsidRPr="003410C7">
              <w:rPr>
                <w:rFonts w:ascii="Tahoma" w:hAnsi="Tahoma" w:cs="Tahoma"/>
                <w:sz w:val="13"/>
                <w:szCs w:val="13"/>
              </w:rPr>
              <w:t>75</w:t>
            </w:r>
          </w:p>
        </w:tc>
        <w:tc>
          <w:tcPr>
            <w:tcW w:w="450" w:type="dxa"/>
            <w:tcBorders>
              <w:bottom w:val="single" w:sz="4" w:space="0" w:color="auto"/>
            </w:tcBorders>
            <w:shd w:val="clear" w:color="auto" w:fill="FABF8F"/>
            <w:vAlign w:val="center"/>
          </w:tcPr>
          <w:p w:rsidR="001A63C6" w:rsidRPr="003410C7" w:rsidRDefault="001A63C6" w:rsidP="001A63C6">
            <w:pPr>
              <w:pStyle w:val="TableText"/>
              <w:widowControl w:val="0"/>
              <w:rPr>
                <w:rFonts w:ascii="Tahoma" w:hAnsi="Tahoma" w:cs="Tahoma"/>
                <w:sz w:val="13"/>
                <w:szCs w:val="13"/>
                <w:lang w:eastAsia="ja-JP"/>
              </w:rPr>
            </w:pPr>
            <w:r w:rsidRPr="003410C7">
              <w:rPr>
                <w:rFonts w:ascii="Tahoma" w:hAnsi="Tahoma" w:cs="Tahoma"/>
                <w:sz w:val="13"/>
                <w:szCs w:val="13"/>
              </w:rPr>
              <w:t>150</w:t>
            </w:r>
          </w:p>
        </w:tc>
        <w:tc>
          <w:tcPr>
            <w:tcW w:w="450" w:type="dxa"/>
            <w:tcBorders>
              <w:bottom w:val="single" w:sz="4" w:space="0" w:color="auto"/>
              <w:right w:val="single" w:sz="18" w:space="0" w:color="auto"/>
            </w:tcBorders>
            <w:shd w:val="clear" w:color="auto" w:fill="FABF8F"/>
            <w:vAlign w:val="center"/>
          </w:tcPr>
          <w:p w:rsidR="001A63C6" w:rsidRPr="003410C7" w:rsidRDefault="001A63C6" w:rsidP="001A63C6">
            <w:pPr>
              <w:pStyle w:val="TableText"/>
              <w:widowControl w:val="0"/>
              <w:rPr>
                <w:rFonts w:ascii="Tahoma" w:hAnsi="Tahoma" w:cs="Tahoma"/>
                <w:sz w:val="13"/>
                <w:szCs w:val="13"/>
                <w:lang w:eastAsia="ja-JP"/>
              </w:rPr>
            </w:pPr>
            <w:r w:rsidRPr="003410C7">
              <w:rPr>
                <w:rFonts w:ascii="Tahoma" w:hAnsi="Tahoma" w:cs="Tahoma"/>
                <w:sz w:val="13"/>
                <w:szCs w:val="13"/>
              </w:rPr>
              <w:t>75</w:t>
            </w:r>
          </w:p>
        </w:tc>
        <w:tc>
          <w:tcPr>
            <w:tcW w:w="450" w:type="dxa"/>
            <w:tcBorders>
              <w:left w:val="single" w:sz="18" w:space="0" w:color="auto"/>
              <w:bottom w:val="single" w:sz="4" w:space="0" w:color="auto"/>
            </w:tcBorders>
            <w:shd w:val="clear" w:color="auto" w:fill="FABF8F"/>
            <w:vAlign w:val="center"/>
          </w:tcPr>
          <w:p w:rsidR="001A63C6" w:rsidRPr="003410C7" w:rsidRDefault="001A63C6" w:rsidP="001A63C6">
            <w:pPr>
              <w:pStyle w:val="TableText"/>
              <w:widowControl w:val="0"/>
              <w:rPr>
                <w:rFonts w:ascii="Tahoma" w:hAnsi="Tahoma" w:cs="Tahoma"/>
                <w:sz w:val="13"/>
                <w:szCs w:val="13"/>
                <w:lang w:eastAsia="ja-JP"/>
              </w:rPr>
            </w:pPr>
            <w:r w:rsidRPr="003410C7">
              <w:rPr>
                <w:rFonts w:ascii="Tahoma" w:hAnsi="Tahoma" w:cs="Tahoma"/>
                <w:sz w:val="13"/>
                <w:szCs w:val="13"/>
              </w:rPr>
              <w:t>75</w:t>
            </w:r>
          </w:p>
        </w:tc>
        <w:tc>
          <w:tcPr>
            <w:tcW w:w="450" w:type="dxa"/>
            <w:tcBorders>
              <w:bottom w:val="single" w:sz="4" w:space="0" w:color="auto"/>
              <w:right w:val="single" w:sz="18" w:space="0" w:color="auto"/>
            </w:tcBorders>
            <w:shd w:val="clear" w:color="auto" w:fill="FABF8F"/>
            <w:vAlign w:val="center"/>
          </w:tcPr>
          <w:p w:rsidR="001A63C6" w:rsidRPr="003410C7" w:rsidRDefault="001A63C6" w:rsidP="001A63C6">
            <w:pPr>
              <w:pStyle w:val="TableText"/>
              <w:widowControl w:val="0"/>
              <w:rPr>
                <w:rFonts w:ascii="Tahoma" w:hAnsi="Tahoma" w:cs="Tahoma"/>
                <w:sz w:val="13"/>
              </w:rPr>
            </w:pPr>
            <w:r w:rsidRPr="003410C7">
              <w:rPr>
                <w:rFonts w:ascii="Tahoma" w:hAnsi="Tahoma" w:cs="Tahoma"/>
                <w:sz w:val="13"/>
              </w:rPr>
              <w:t>C</w:t>
            </w: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3410C7"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3410C7" w:rsidRDefault="001A63C6" w:rsidP="001A63C6">
            <w:pPr>
              <w:pStyle w:val="TableText"/>
              <w:widowControl w:val="0"/>
              <w:rPr>
                <w:rFonts w:ascii="Tahoma" w:hAnsi="Tahoma" w:cs="Tahoma"/>
                <w:sz w:val="13"/>
              </w:rPr>
            </w:pPr>
          </w:p>
        </w:tc>
        <w:tc>
          <w:tcPr>
            <w:tcW w:w="540" w:type="dxa"/>
            <w:tcBorders>
              <w:bottom w:val="single" w:sz="4" w:space="0" w:color="auto"/>
            </w:tcBorders>
            <w:shd w:val="clear" w:color="auto" w:fill="FABF8F"/>
            <w:vAlign w:val="center"/>
          </w:tcPr>
          <w:p w:rsidR="001A63C6" w:rsidRPr="003410C7" w:rsidRDefault="001A63C6" w:rsidP="001A63C6">
            <w:pPr>
              <w:pStyle w:val="TableText"/>
              <w:widowControl w:val="0"/>
              <w:rPr>
                <w:rFonts w:ascii="Tahoma" w:hAnsi="Tahoma" w:cs="Tahoma"/>
                <w:sz w:val="13"/>
              </w:rPr>
            </w:pPr>
            <w:r w:rsidRPr="003410C7">
              <w:rPr>
                <w:rFonts w:ascii="Tahoma" w:hAnsi="Tahoma" w:cs="Tahoma"/>
                <w:sz w:val="13"/>
              </w:rPr>
              <w:t>OL/OV</w:t>
            </w:r>
          </w:p>
        </w:tc>
      </w:tr>
      <w:tr w:rsidR="00B33D0E" w:rsidRPr="003410C7" w:rsidTr="006B1F3F">
        <w:trPr>
          <w:trHeight w:val="145"/>
        </w:trPr>
        <w:tc>
          <w:tcPr>
            <w:tcW w:w="2734" w:type="dxa"/>
            <w:gridSpan w:val="2"/>
            <w:tcBorders>
              <w:bottom w:val="single" w:sz="4" w:space="0" w:color="auto"/>
            </w:tcBorders>
            <w:shd w:val="clear" w:color="auto" w:fill="auto"/>
            <w:vAlign w:val="center"/>
          </w:tcPr>
          <w:p w:rsidR="001A63C6" w:rsidRPr="003410C7" w:rsidRDefault="001A63C6" w:rsidP="003410C7">
            <w:pPr>
              <w:pStyle w:val="ProductNames"/>
              <w:spacing w:beforeLines="20" w:before="48" w:afterLines="20" w:after="48"/>
              <w:rPr>
                <w:rFonts w:ascii="Tahoma" w:hAnsi="Tahoma" w:cs="Tahoma"/>
                <w:sz w:val="14"/>
                <w:szCs w:val="18"/>
              </w:rPr>
            </w:pPr>
            <w:bookmarkStart w:id="205" w:name="_Toc336337935"/>
            <w:bookmarkStart w:id="206" w:name="_Toc352234558"/>
            <w:r w:rsidRPr="003410C7">
              <w:rPr>
                <w:rFonts w:ascii="Tahoma" w:hAnsi="Tahoma" w:cs="Tahoma"/>
                <w:color w:val="000000"/>
                <w:sz w:val="14"/>
                <w:szCs w:val="18"/>
              </w:rPr>
              <w:t>Dynamics CRM Online Extra Storage</w:t>
            </w:r>
            <w:bookmarkEnd w:id="205"/>
            <w:bookmarkEnd w:id="206"/>
          </w:p>
        </w:tc>
        <w:tc>
          <w:tcPr>
            <w:tcW w:w="450" w:type="dxa"/>
            <w:tcBorders>
              <w:bottom w:val="single" w:sz="4" w:space="0" w:color="auto"/>
            </w:tcBorders>
            <w:shd w:val="clear" w:color="auto" w:fill="auto"/>
            <w:vAlign w:val="center"/>
          </w:tcPr>
          <w:p w:rsidR="001A63C6" w:rsidRPr="009F17FF" w:rsidRDefault="00FC1A4D" w:rsidP="002C5924">
            <w:pPr>
              <w:pStyle w:val="TableText"/>
              <w:widowControl w:val="0"/>
              <w:rPr>
                <w:rStyle w:val="EndnoteReference"/>
                <w:rFonts w:cs="Tahoma"/>
                <w:color w:val="0000FF"/>
                <w:sz w:val="13"/>
                <w:szCs w:val="13"/>
                <w:u w:val="single"/>
              </w:rPr>
            </w:pPr>
            <w:hyperlink w:anchor="_4240_Dynamics_CRM" w:history="1">
              <w:r w:rsidR="000D77F6" w:rsidRPr="009F17FF">
                <w:rPr>
                  <w:rStyle w:val="Hyperlink"/>
                  <w:b/>
                  <w:sz w:val="13"/>
                  <w:szCs w:val="13"/>
                </w:rPr>
                <w:t>40</w:t>
              </w:r>
            </w:hyperlink>
          </w:p>
        </w:tc>
        <w:tc>
          <w:tcPr>
            <w:tcW w:w="450" w:type="dxa"/>
            <w:tcBorders>
              <w:bottom w:val="single" w:sz="4" w:space="0" w:color="auto"/>
            </w:tcBorders>
            <w:shd w:val="clear" w:color="auto" w:fill="auto"/>
            <w:vAlign w:val="center"/>
          </w:tcPr>
          <w:p w:rsidR="001A63C6" w:rsidRPr="003410C7" w:rsidRDefault="001A63C6" w:rsidP="001A63C6">
            <w:pPr>
              <w:pStyle w:val="TableText"/>
              <w:widowControl w:val="0"/>
              <w:rPr>
                <w:rFonts w:ascii="Tahoma" w:hAnsi="Tahoma" w:cs="Tahoma"/>
                <w:sz w:val="13"/>
              </w:rPr>
            </w:pPr>
            <w:r w:rsidRPr="003410C7">
              <w:rPr>
                <w:rFonts w:ascii="Tahoma" w:hAnsi="Tahoma" w:cs="Tahoma"/>
                <w:sz w:val="13"/>
              </w:rPr>
              <w:t>12/09</w:t>
            </w:r>
          </w:p>
        </w:tc>
        <w:tc>
          <w:tcPr>
            <w:tcW w:w="360" w:type="dxa"/>
            <w:tcBorders>
              <w:bottom w:val="single" w:sz="4" w:space="0" w:color="auto"/>
              <w:right w:val="single" w:sz="18" w:space="0" w:color="auto"/>
            </w:tcBorders>
            <w:shd w:val="clear" w:color="auto" w:fill="auto"/>
            <w:vAlign w:val="center"/>
          </w:tcPr>
          <w:p w:rsidR="001A63C6" w:rsidRPr="003410C7" w:rsidRDefault="001A63C6" w:rsidP="001A63C6">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auto"/>
            <w:vAlign w:val="center"/>
          </w:tcPr>
          <w:p w:rsidR="001A63C6" w:rsidRPr="003410C7"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3410C7"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3410C7"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3410C7"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3410C7"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3410C7" w:rsidRDefault="001A63C6" w:rsidP="001A63C6">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auto"/>
            <w:vAlign w:val="center"/>
          </w:tcPr>
          <w:p w:rsidR="001A63C6" w:rsidRPr="003410C7"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1A63C6" w:rsidRPr="003410C7"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3410C7"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1A63C6" w:rsidRPr="003410C7"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1A63C6" w:rsidRPr="003410C7" w:rsidRDefault="001A63C6" w:rsidP="001A63C6">
            <w:pPr>
              <w:pStyle w:val="TableText"/>
              <w:widowControl w:val="0"/>
              <w:rPr>
                <w:rFonts w:ascii="Tahoma" w:hAnsi="Tahoma" w:cs="Tahoma"/>
                <w:sz w:val="13"/>
              </w:rPr>
            </w:pPr>
            <w:r w:rsidRPr="003410C7">
              <w:rPr>
                <w:rFonts w:ascii="Tahoma" w:hAnsi="Tahoma" w:cs="Tahoma"/>
                <w:sz w:val="13"/>
              </w:rPr>
              <w:t>1</w:t>
            </w:r>
          </w:p>
        </w:tc>
        <w:tc>
          <w:tcPr>
            <w:tcW w:w="450" w:type="dxa"/>
            <w:tcBorders>
              <w:bottom w:val="single" w:sz="4" w:space="0" w:color="auto"/>
              <w:right w:val="single" w:sz="18" w:space="0" w:color="auto"/>
            </w:tcBorders>
            <w:shd w:val="clear" w:color="auto" w:fill="auto"/>
            <w:vAlign w:val="center"/>
          </w:tcPr>
          <w:p w:rsidR="001A63C6" w:rsidRPr="003410C7" w:rsidRDefault="001A63C6" w:rsidP="001A63C6">
            <w:pPr>
              <w:pStyle w:val="TableText"/>
              <w:widowControl w:val="0"/>
              <w:rPr>
                <w:rFonts w:ascii="Tahoma" w:hAnsi="Tahoma" w:cs="Tahoma"/>
                <w:sz w:val="13"/>
              </w:rPr>
            </w:pPr>
            <w:r w:rsidRPr="003410C7">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rsidR="001A63C6" w:rsidRPr="003410C7"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tcPr>
          <w:p w:rsidR="001A63C6" w:rsidRPr="003410C7" w:rsidRDefault="001A63C6" w:rsidP="001A63C6">
            <w:pPr>
              <w:pStyle w:val="TableText"/>
              <w:widowControl w:val="0"/>
              <w:rPr>
                <w:rFonts w:ascii="Tahoma" w:hAnsi="Tahoma" w:cs="Tahoma"/>
                <w:sz w:val="13"/>
              </w:rPr>
            </w:pPr>
            <w:r w:rsidRPr="003410C7">
              <w:rPr>
                <w:rFonts w:ascii="Tahoma" w:hAnsi="Tahoma" w:cs="Tahoma"/>
                <w:sz w:val="13"/>
              </w:rPr>
              <w:t>A, ST</w:t>
            </w:r>
          </w:p>
        </w:tc>
        <w:tc>
          <w:tcPr>
            <w:tcW w:w="540" w:type="dxa"/>
            <w:tcBorders>
              <w:bottom w:val="single" w:sz="4" w:space="0" w:color="auto"/>
            </w:tcBorders>
            <w:shd w:val="clear" w:color="auto" w:fill="auto"/>
            <w:vAlign w:val="center"/>
          </w:tcPr>
          <w:p w:rsidR="001A63C6" w:rsidRPr="003410C7" w:rsidRDefault="001A63C6" w:rsidP="001A63C6">
            <w:pPr>
              <w:pStyle w:val="TableText"/>
              <w:widowControl w:val="0"/>
              <w:jc w:val="left"/>
              <w:rPr>
                <w:rFonts w:ascii="Tahoma" w:hAnsi="Tahoma" w:cs="Tahoma"/>
                <w:sz w:val="13"/>
              </w:rPr>
            </w:pPr>
          </w:p>
        </w:tc>
      </w:tr>
      <w:tr w:rsidR="00EF228F" w:rsidRPr="003410C7" w:rsidTr="006B1F3F">
        <w:trPr>
          <w:trHeight w:val="145"/>
        </w:trPr>
        <w:tc>
          <w:tcPr>
            <w:tcW w:w="2734" w:type="dxa"/>
            <w:gridSpan w:val="2"/>
            <w:tcBorders>
              <w:bottom w:val="single" w:sz="4" w:space="0" w:color="auto"/>
            </w:tcBorders>
            <w:shd w:val="clear" w:color="auto" w:fill="FABF8F"/>
            <w:vAlign w:val="center"/>
          </w:tcPr>
          <w:p w:rsidR="001A63C6" w:rsidRPr="00451078" w:rsidRDefault="001A63C6" w:rsidP="003410C7">
            <w:pPr>
              <w:pStyle w:val="ProductNames"/>
              <w:spacing w:beforeLines="20" w:before="48" w:afterLines="20" w:after="48"/>
              <w:rPr>
                <w:rFonts w:ascii="Tahoma" w:hAnsi="Tahoma" w:cs="Tahoma"/>
                <w:sz w:val="14"/>
                <w:szCs w:val="18"/>
                <w:lang w:val="it-IT"/>
              </w:rPr>
            </w:pPr>
            <w:bookmarkStart w:id="207" w:name="_Toc336337936"/>
            <w:bookmarkStart w:id="208" w:name="_Toc352234559"/>
            <w:r w:rsidRPr="00451078">
              <w:rPr>
                <w:rFonts w:ascii="Tahoma" w:hAnsi="Tahoma" w:cs="Tahoma"/>
                <w:color w:val="000000"/>
                <w:sz w:val="14"/>
                <w:szCs w:val="18"/>
                <w:lang w:val="it-IT"/>
              </w:rPr>
              <w:t>Dynamics CRM Online Per Utente</w:t>
            </w:r>
            <w:bookmarkEnd w:id="207"/>
            <w:bookmarkEnd w:id="208"/>
          </w:p>
        </w:tc>
        <w:tc>
          <w:tcPr>
            <w:tcW w:w="450" w:type="dxa"/>
            <w:tcBorders>
              <w:bottom w:val="single" w:sz="4" w:space="0" w:color="auto"/>
            </w:tcBorders>
            <w:shd w:val="clear" w:color="auto" w:fill="FABF8F"/>
            <w:vAlign w:val="center"/>
          </w:tcPr>
          <w:p w:rsidR="001A63C6" w:rsidRPr="009F17FF" w:rsidRDefault="00FC1A4D" w:rsidP="002C5924">
            <w:pPr>
              <w:pStyle w:val="TableText"/>
              <w:widowControl w:val="0"/>
              <w:rPr>
                <w:rStyle w:val="EndnoteReference"/>
                <w:rFonts w:cs="Tahoma"/>
                <w:color w:val="0000FF"/>
                <w:sz w:val="13"/>
                <w:szCs w:val="13"/>
                <w:u w:val="single"/>
              </w:rPr>
            </w:pPr>
            <w:hyperlink w:anchor="_40_Dynamics_CRM" w:history="1">
              <w:r w:rsidR="000D77F6" w:rsidRPr="009F17FF">
                <w:rPr>
                  <w:rStyle w:val="Hyperlink"/>
                  <w:b/>
                  <w:sz w:val="13"/>
                  <w:szCs w:val="13"/>
                </w:rPr>
                <w:t>40</w:t>
              </w:r>
            </w:hyperlink>
          </w:p>
        </w:tc>
        <w:tc>
          <w:tcPr>
            <w:tcW w:w="450" w:type="dxa"/>
            <w:tcBorders>
              <w:bottom w:val="single" w:sz="4" w:space="0" w:color="auto"/>
            </w:tcBorders>
            <w:shd w:val="clear" w:color="auto" w:fill="FABF8F"/>
            <w:vAlign w:val="center"/>
          </w:tcPr>
          <w:p w:rsidR="001A63C6" w:rsidRPr="003410C7" w:rsidRDefault="001A63C6" w:rsidP="001A63C6">
            <w:pPr>
              <w:pStyle w:val="TableText"/>
              <w:widowControl w:val="0"/>
              <w:rPr>
                <w:rFonts w:ascii="Tahoma" w:hAnsi="Tahoma" w:cs="Tahoma"/>
                <w:sz w:val="13"/>
              </w:rPr>
            </w:pPr>
            <w:r w:rsidRPr="003410C7">
              <w:rPr>
                <w:rFonts w:ascii="Tahoma" w:hAnsi="Tahoma" w:cs="Tahoma"/>
                <w:sz w:val="13"/>
              </w:rPr>
              <w:t>12/09</w:t>
            </w:r>
          </w:p>
        </w:tc>
        <w:tc>
          <w:tcPr>
            <w:tcW w:w="360" w:type="dxa"/>
            <w:tcBorders>
              <w:bottom w:val="single" w:sz="4" w:space="0" w:color="auto"/>
              <w:right w:val="single" w:sz="18" w:space="0" w:color="auto"/>
            </w:tcBorders>
            <w:shd w:val="clear" w:color="auto" w:fill="FABF8F"/>
            <w:vAlign w:val="center"/>
          </w:tcPr>
          <w:p w:rsidR="001A63C6" w:rsidRPr="003410C7" w:rsidRDefault="001A63C6" w:rsidP="001A63C6">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FABF8F"/>
            <w:vAlign w:val="center"/>
          </w:tcPr>
          <w:p w:rsidR="001A63C6" w:rsidRPr="003410C7"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3410C7"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3410C7"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3410C7"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3410C7"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3410C7" w:rsidRDefault="001A63C6" w:rsidP="001A63C6">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rsidR="001A63C6" w:rsidRPr="003410C7"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3410C7"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3410C7"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1A63C6" w:rsidRPr="003410C7"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3410C7" w:rsidRDefault="001A63C6" w:rsidP="001A63C6">
            <w:pPr>
              <w:pStyle w:val="TableText"/>
              <w:widowControl w:val="0"/>
              <w:rPr>
                <w:rFonts w:ascii="Tahoma" w:hAnsi="Tahoma" w:cs="Tahoma"/>
                <w:sz w:val="13"/>
              </w:rPr>
            </w:pPr>
            <w:r w:rsidRPr="003410C7">
              <w:rPr>
                <w:rFonts w:ascii="Tahoma" w:hAnsi="Tahoma" w:cs="Tahoma"/>
                <w:sz w:val="13"/>
              </w:rPr>
              <w:t>1</w:t>
            </w:r>
          </w:p>
        </w:tc>
        <w:tc>
          <w:tcPr>
            <w:tcW w:w="450" w:type="dxa"/>
            <w:tcBorders>
              <w:bottom w:val="single" w:sz="4" w:space="0" w:color="auto"/>
              <w:right w:val="single" w:sz="18" w:space="0" w:color="auto"/>
            </w:tcBorders>
            <w:shd w:val="clear" w:color="auto" w:fill="FABF8F"/>
            <w:vAlign w:val="center"/>
          </w:tcPr>
          <w:p w:rsidR="001A63C6" w:rsidRPr="003410C7" w:rsidRDefault="001A63C6" w:rsidP="001A63C6">
            <w:pPr>
              <w:pStyle w:val="TableText"/>
              <w:widowControl w:val="0"/>
              <w:rPr>
                <w:rFonts w:ascii="Tahoma" w:hAnsi="Tahoma" w:cs="Tahoma"/>
                <w:sz w:val="13"/>
              </w:rPr>
            </w:pPr>
            <w:r w:rsidRPr="003410C7">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3410C7"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tcPr>
          <w:p w:rsidR="001A63C6" w:rsidRPr="003410C7" w:rsidRDefault="001A63C6" w:rsidP="001A63C6">
            <w:pPr>
              <w:pStyle w:val="TableText"/>
              <w:widowControl w:val="0"/>
              <w:rPr>
                <w:rFonts w:ascii="Tahoma" w:hAnsi="Tahoma" w:cs="Tahoma"/>
                <w:sz w:val="13"/>
              </w:rPr>
            </w:pPr>
            <w:r w:rsidRPr="003410C7">
              <w:rPr>
                <w:rFonts w:ascii="Tahoma" w:hAnsi="Tahoma" w:cs="Tahoma"/>
                <w:sz w:val="13"/>
              </w:rPr>
              <w:t>A, ST</w:t>
            </w:r>
          </w:p>
        </w:tc>
        <w:tc>
          <w:tcPr>
            <w:tcW w:w="540" w:type="dxa"/>
            <w:tcBorders>
              <w:bottom w:val="single" w:sz="4" w:space="0" w:color="auto"/>
            </w:tcBorders>
            <w:shd w:val="clear" w:color="auto" w:fill="FABF8F"/>
            <w:vAlign w:val="center"/>
          </w:tcPr>
          <w:p w:rsidR="001A63C6" w:rsidRPr="003410C7" w:rsidRDefault="001A63C6" w:rsidP="001A63C6">
            <w:pPr>
              <w:pStyle w:val="TableText"/>
              <w:widowControl w:val="0"/>
              <w:jc w:val="left"/>
              <w:rPr>
                <w:rFonts w:ascii="Tahoma" w:hAnsi="Tahoma" w:cs="Tahoma"/>
                <w:sz w:val="13"/>
              </w:rPr>
            </w:pPr>
          </w:p>
        </w:tc>
      </w:tr>
      <w:tr w:rsidR="00B33D0E" w:rsidRPr="003410C7" w:rsidTr="006B1F3F">
        <w:trPr>
          <w:trHeight w:val="145"/>
        </w:trPr>
        <w:tc>
          <w:tcPr>
            <w:tcW w:w="2734" w:type="dxa"/>
            <w:gridSpan w:val="2"/>
            <w:tcBorders>
              <w:bottom w:val="single" w:sz="4" w:space="0" w:color="auto"/>
            </w:tcBorders>
            <w:shd w:val="clear" w:color="auto" w:fill="auto"/>
            <w:vAlign w:val="center"/>
          </w:tcPr>
          <w:p w:rsidR="001A63C6" w:rsidRPr="00451078" w:rsidRDefault="001A63C6" w:rsidP="003410C7">
            <w:pPr>
              <w:pStyle w:val="ProductNames"/>
              <w:spacing w:beforeLines="20" w:before="48" w:afterLines="20" w:after="48"/>
              <w:rPr>
                <w:rFonts w:ascii="Tahoma" w:hAnsi="Tahoma" w:cs="Tahoma"/>
                <w:sz w:val="14"/>
                <w:szCs w:val="18"/>
                <w:lang w:val="fr-FR"/>
              </w:rPr>
            </w:pPr>
            <w:bookmarkStart w:id="209" w:name="_Toc336337937"/>
            <w:bookmarkStart w:id="210" w:name="_Toc352234560"/>
            <w:r w:rsidRPr="00451078">
              <w:rPr>
                <w:rFonts w:ascii="Tahoma" w:hAnsi="Tahoma" w:cs="Tahoma"/>
                <w:color w:val="000000"/>
                <w:sz w:val="14"/>
                <w:szCs w:val="18"/>
                <w:lang w:val="fr-FR"/>
              </w:rPr>
              <w:t>Dynamics CRM Online per SA</w:t>
            </w:r>
            <w:bookmarkEnd w:id="209"/>
            <w:bookmarkEnd w:id="210"/>
          </w:p>
        </w:tc>
        <w:bookmarkStart w:id="211" w:name="_Hlt336250996"/>
        <w:tc>
          <w:tcPr>
            <w:tcW w:w="450" w:type="dxa"/>
            <w:tcBorders>
              <w:bottom w:val="single" w:sz="4" w:space="0" w:color="auto"/>
            </w:tcBorders>
            <w:shd w:val="clear" w:color="auto" w:fill="auto"/>
            <w:vAlign w:val="center"/>
          </w:tcPr>
          <w:p w:rsidR="001A63C6" w:rsidRPr="009F17FF" w:rsidRDefault="000D77F6" w:rsidP="002C5924">
            <w:pPr>
              <w:pStyle w:val="TableText"/>
              <w:widowControl w:val="0"/>
              <w:rPr>
                <w:rStyle w:val="EndnoteReference"/>
                <w:rFonts w:cs="Tahoma"/>
                <w:color w:val="0000FF"/>
                <w:sz w:val="13"/>
                <w:szCs w:val="13"/>
                <w:u w:val="single"/>
              </w:rPr>
            </w:pPr>
            <w:r w:rsidRPr="009F17FF">
              <w:rPr>
                <w:sz w:val="13"/>
                <w:szCs w:val="13"/>
              </w:rPr>
              <w:fldChar w:fldCharType="begin"/>
            </w:r>
            <w:r w:rsidRPr="009F17FF">
              <w:rPr>
                <w:sz w:val="13"/>
                <w:szCs w:val="13"/>
              </w:rPr>
              <w:instrText>HYPERLINK \l "_40_Dynamics_CRM"</w:instrText>
            </w:r>
            <w:r w:rsidRPr="009F17FF">
              <w:rPr>
                <w:sz w:val="13"/>
                <w:szCs w:val="13"/>
              </w:rPr>
              <w:fldChar w:fldCharType="separate"/>
            </w:r>
            <w:r w:rsidRPr="009F17FF">
              <w:rPr>
                <w:rStyle w:val="Hyperlink"/>
                <w:b/>
                <w:sz w:val="13"/>
                <w:szCs w:val="13"/>
              </w:rPr>
              <w:t>40</w:t>
            </w:r>
            <w:r w:rsidRPr="009F17FF">
              <w:rPr>
                <w:sz w:val="13"/>
                <w:szCs w:val="13"/>
              </w:rPr>
              <w:fldChar w:fldCharType="end"/>
            </w:r>
            <w:bookmarkEnd w:id="211"/>
          </w:p>
        </w:tc>
        <w:tc>
          <w:tcPr>
            <w:tcW w:w="450" w:type="dxa"/>
            <w:tcBorders>
              <w:bottom w:val="single" w:sz="4" w:space="0" w:color="auto"/>
            </w:tcBorders>
            <w:shd w:val="clear" w:color="auto" w:fill="auto"/>
            <w:vAlign w:val="center"/>
          </w:tcPr>
          <w:p w:rsidR="001A63C6" w:rsidRPr="003410C7" w:rsidRDefault="001A63C6" w:rsidP="001A63C6">
            <w:pPr>
              <w:pStyle w:val="TableText"/>
              <w:widowControl w:val="0"/>
              <w:rPr>
                <w:rFonts w:ascii="Tahoma" w:hAnsi="Tahoma" w:cs="Tahoma"/>
                <w:sz w:val="13"/>
              </w:rPr>
            </w:pPr>
            <w:r w:rsidRPr="003410C7">
              <w:rPr>
                <w:rFonts w:ascii="Tahoma" w:hAnsi="Tahoma" w:cs="Tahoma"/>
                <w:sz w:val="13"/>
              </w:rPr>
              <w:t>12/09</w:t>
            </w:r>
          </w:p>
        </w:tc>
        <w:tc>
          <w:tcPr>
            <w:tcW w:w="360" w:type="dxa"/>
            <w:tcBorders>
              <w:bottom w:val="single" w:sz="4" w:space="0" w:color="auto"/>
              <w:right w:val="single" w:sz="18" w:space="0" w:color="auto"/>
            </w:tcBorders>
            <w:shd w:val="clear" w:color="auto" w:fill="auto"/>
            <w:vAlign w:val="center"/>
          </w:tcPr>
          <w:p w:rsidR="001A63C6" w:rsidRPr="003410C7" w:rsidRDefault="001A63C6" w:rsidP="001A63C6">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auto"/>
            <w:vAlign w:val="center"/>
          </w:tcPr>
          <w:p w:rsidR="001A63C6" w:rsidRPr="003410C7"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3410C7"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3410C7"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3410C7"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3410C7"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3410C7" w:rsidRDefault="001A63C6" w:rsidP="001A63C6">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auto"/>
            <w:vAlign w:val="center"/>
          </w:tcPr>
          <w:p w:rsidR="001A63C6" w:rsidRPr="003410C7"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1A63C6" w:rsidRPr="003410C7"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3410C7"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1A63C6" w:rsidRPr="003410C7"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1A63C6" w:rsidRPr="003410C7" w:rsidRDefault="001A63C6" w:rsidP="001A63C6">
            <w:pPr>
              <w:pStyle w:val="TableText"/>
              <w:widowControl w:val="0"/>
              <w:rPr>
                <w:rFonts w:ascii="Tahoma" w:hAnsi="Tahoma" w:cs="Tahoma"/>
                <w:sz w:val="13"/>
              </w:rPr>
            </w:pPr>
            <w:r w:rsidRPr="003410C7">
              <w:rPr>
                <w:rFonts w:ascii="Tahoma" w:hAnsi="Tahoma" w:cs="Tahoma"/>
                <w:sz w:val="13"/>
              </w:rPr>
              <w:t>1</w:t>
            </w:r>
          </w:p>
        </w:tc>
        <w:tc>
          <w:tcPr>
            <w:tcW w:w="450" w:type="dxa"/>
            <w:tcBorders>
              <w:bottom w:val="single" w:sz="4" w:space="0" w:color="auto"/>
              <w:right w:val="single" w:sz="18" w:space="0" w:color="auto"/>
            </w:tcBorders>
            <w:shd w:val="clear" w:color="auto" w:fill="auto"/>
            <w:vAlign w:val="center"/>
          </w:tcPr>
          <w:p w:rsidR="001A63C6" w:rsidRPr="003410C7" w:rsidRDefault="001A63C6" w:rsidP="001A63C6">
            <w:pPr>
              <w:pStyle w:val="TableText"/>
              <w:widowControl w:val="0"/>
              <w:rPr>
                <w:rFonts w:ascii="Tahoma" w:hAnsi="Tahoma" w:cs="Tahoma"/>
                <w:sz w:val="13"/>
              </w:rPr>
            </w:pPr>
            <w:r w:rsidRPr="003410C7">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rsidR="001A63C6" w:rsidRPr="003410C7"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tcPr>
          <w:p w:rsidR="001A63C6" w:rsidRPr="003410C7" w:rsidRDefault="001A63C6" w:rsidP="001A63C6">
            <w:pPr>
              <w:pStyle w:val="TableText"/>
              <w:widowControl w:val="0"/>
              <w:rPr>
                <w:rFonts w:ascii="Tahoma" w:hAnsi="Tahoma" w:cs="Tahoma"/>
                <w:sz w:val="13"/>
              </w:rPr>
            </w:pPr>
            <w:r w:rsidRPr="003410C7">
              <w:rPr>
                <w:rFonts w:ascii="Tahoma" w:hAnsi="Tahoma" w:cs="Tahoma"/>
                <w:sz w:val="13"/>
              </w:rPr>
              <w:t>A, ST</w:t>
            </w:r>
          </w:p>
        </w:tc>
        <w:tc>
          <w:tcPr>
            <w:tcW w:w="540" w:type="dxa"/>
            <w:tcBorders>
              <w:bottom w:val="single" w:sz="4" w:space="0" w:color="auto"/>
            </w:tcBorders>
            <w:shd w:val="clear" w:color="auto" w:fill="auto"/>
            <w:vAlign w:val="center"/>
          </w:tcPr>
          <w:p w:rsidR="001A63C6" w:rsidRPr="003410C7" w:rsidRDefault="001A63C6" w:rsidP="001A63C6">
            <w:pPr>
              <w:pStyle w:val="TableText"/>
              <w:widowControl w:val="0"/>
              <w:jc w:val="left"/>
              <w:rPr>
                <w:rFonts w:ascii="Tahoma" w:hAnsi="Tahoma" w:cs="Tahoma"/>
                <w:sz w:val="13"/>
              </w:rPr>
            </w:pPr>
          </w:p>
        </w:tc>
      </w:tr>
      <w:tr w:rsidR="00EF228F" w:rsidRPr="003410C7" w:rsidTr="006B1F3F">
        <w:trPr>
          <w:trHeight w:val="145"/>
        </w:trPr>
        <w:tc>
          <w:tcPr>
            <w:tcW w:w="2734" w:type="dxa"/>
            <w:gridSpan w:val="2"/>
            <w:tcBorders>
              <w:bottom w:val="single" w:sz="4" w:space="0" w:color="auto"/>
            </w:tcBorders>
            <w:shd w:val="clear" w:color="auto" w:fill="FABF8F"/>
            <w:vAlign w:val="center"/>
          </w:tcPr>
          <w:p w:rsidR="001A63C6" w:rsidRPr="00451078" w:rsidRDefault="001A63C6" w:rsidP="003410C7">
            <w:pPr>
              <w:pStyle w:val="ProductNames"/>
              <w:spacing w:beforeLines="20" w:before="48" w:afterLines="20" w:after="48"/>
              <w:rPr>
                <w:rFonts w:ascii="Tahoma" w:hAnsi="Tahoma" w:cs="Tahoma"/>
                <w:sz w:val="14"/>
                <w:lang w:val="it-IT"/>
              </w:rPr>
            </w:pPr>
            <w:bookmarkStart w:id="212" w:name="_Toc336337942"/>
            <w:bookmarkStart w:id="213" w:name="_Toc352234561"/>
            <w:r w:rsidRPr="00451078">
              <w:rPr>
                <w:rFonts w:ascii="Tahoma" w:hAnsi="Tahoma" w:cs="Tahoma"/>
                <w:sz w:val="14"/>
                <w:lang w:val="it-IT"/>
              </w:rPr>
              <w:t>Enterprise CAL Suite Bridge per Office 365 (Utente e Dispositivo)</w:t>
            </w:r>
            <w:bookmarkEnd w:id="212"/>
            <w:bookmarkEnd w:id="213"/>
          </w:p>
        </w:tc>
        <w:tc>
          <w:tcPr>
            <w:tcW w:w="450" w:type="dxa"/>
            <w:tcBorders>
              <w:bottom w:val="single" w:sz="4" w:space="0" w:color="auto"/>
            </w:tcBorders>
            <w:shd w:val="clear" w:color="auto" w:fill="FABF8F"/>
            <w:vAlign w:val="center"/>
          </w:tcPr>
          <w:p w:rsidR="001A63C6" w:rsidRPr="009F17FF" w:rsidRDefault="00FC1A4D" w:rsidP="002C5924">
            <w:pPr>
              <w:pStyle w:val="TableText"/>
              <w:widowControl w:val="0"/>
              <w:rPr>
                <w:b/>
                <w:color w:val="0000FF"/>
                <w:sz w:val="13"/>
                <w:szCs w:val="13"/>
                <w:u w:val="single"/>
              </w:rPr>
            </w:pPr>
            <w:hyperlink w:anchor="_41_Enterprise_CAL" w:history="1">
              <w:r w:rsidR="000D77F6" w:rsidRPr="009F17FF">
                <w:rPr>
                  <w:rStyle w:val="Hyperlink"/>
                  <w:b/>
                  <w:sz w:val="13"/>
                  <w:szCs w:val="13"/>
                </w:rPr>
                <w:t>41</w:t>
              </w:r>
            </w:hyperlink>
          </w:p>
        </w:tc>
        <w:tc>
          <w:tcPr>
            <w:tcW w:w="450" w:type="dxa"/>
            <w:tcBorders>
              <w:bottom w:val="single" w:sz="4" w:space="0" w:color="auto"/>
            </w:tcBorders>
            <w:shd w:val="clear" w:color="auto" w:fill="FABF8F"/>
            <w:vAlign w:val="center"/>
          </w:tcPr>
          <w:p w:rsidR="001A63C6" w:rsidRPr="003410C7" w:rsidRDefault="001A63C6" w:rsidP="001A63C6">
            <w:pPr>
              <w:pStyle w:val="TableText"/>
              <w:widowControl w:val="0"/>
              <w:spacing w:before="40"/>
              <w:rPr>
                <w:rFonts w:ascii="Tahoma" w:hAnsi="Tahoma" w:cs="Tahoma"/>
                <w:sz w:val="13"/>
              </w:rPr>
            </w:pPr>
            <w:r w:rsidRPr="003410C7">
              <w:rPr>
                <w:rFonts w:ascii="Tahoma" w:hAnsi="Tahoma" w:cs="Tahoma"/>
                <w:sz w:val="13"/>
              </w:rPr>
              <w:t>06/11</w:t>
            </w:r>
          </w:p>
        </w:tc>
        <w:tc>
          <w:tcPr>
            <w:tcW w:w="360" w:type="dxa"/>
            <w:tcBorders>
              <w:bottom w:val="single" w:sz="4" w:space="0" w:color="auto"/>
              <w:right w:val="single" w:sz="18" w:space="0" w:color="auto"/>
            </w:tcBorders>
            <w:shd w:val="clear" w:color="auto" w:fill="FABF8F"/>
            <w:vAlign w:val="center"/>
          </w:tcPr>
          <w:p w:rsidR="001A63C6" w:rsidRPr="003410C7" w:rsidRDefault="001A63C6" w:rsidP="001A63C6">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FABF8F"/>
            <w:vAlign w:val="bottom"/>
          </w:tcPr>
          <w:p w:rsidR="001A63C6" w:rsidRPr="003410C7" w:rsidRDefault="001A63C6" w:rsidP="001A63C6">
            <w:pPr>
              <w:pStyle w:val="TableText"/>
              <w:widowControl w:val="0"/>
              <w:rPr>
                <w:rFonts w:ascii="Tahoma" w:hAnsi="Tahoma" w:cs="Tahoma"/>
                <w:sz w:val="13"/>
                <w:szCs w:val="13"/>
              </w:rPr>
            </w:pPr>
          </w:p>
        </w:tc>
        <w:tc>
          <w:tcPr>
            <w:tcW w:w="450" w:type="dxa"/>
            <w:tcBorders>
              <w:bottom w:val="single" w:sz="4" w:space="0" w:color="auto"/>
            </w:tcBorders>
            <w:shd w:val="clear" w:color="auto" w:fill="FABF8F"/>
            <w:vAlign w:val="bottom"/>
          </w:tcPr>
          <w:p w:rsidR="001A63C6" w:rsidRPr="003410C7" w:rsidRDefault="001A63C6" w:rsidP="001A63C6">
            <w:pPr>
              <w:pStyle w:val="TableText"/>
              <w:widowControl w:val="0"/>
              <w:rPr>
                <w:rFonts w:ascii="Tahoma" w:hAnsi="Tahoma" w:cs="Tahoma"/>
                <w:sz w:val="13"/>
                <w:szCs w:val="13"/>
              </w:rPr>
            </w:pPr>
          </w:p>
        </w:tc>
        <w:tc>
          <w:tcPr>
            <w:tcW w:w="450" w:type="dxa"/>
            <w:tcBorders>
              <w:bottom w:val="single" w:sz="4" w:space="0" w:color="auto"/>
            </w:tcBorders>
            <w:shd w:val="clear" w:color="auto" w:fill="FABF8F"/>
            <w:vAlign w:val="bottom"/>
          </w:tcPr>
          <w:p w:rsidR="001A63C6" w:rsidRPr="003410C7" w:rsidRDefault="001A63C6" w:rsidP="001A63C6">
            <w:pPr>
              <w:pStyle w:val="TableText"/>
              <w:widowControl w:val="0"/>
              <w:rPr>
                <w:rFonts w:ascii="Tahoma" w:hAnsi="Tahoma" w:cs="Tahoma"/>
                <w:sz w:val="13"/>
                <w:szCs w:val="13"/>
              </w:rPr>
            </w:pPr>
          </w:p>
        </w:tc>
        <w:tc>
          <w:tcPr>
            <w:tcW w:w="450" w:type="dxa"/>
            <w:tcBorders>
              <w:bottom w:val="single" w:sz="4" w:space="0" w:color="auto"/>
            </w:tcBorders>
            <w:shd w:val="clear" w:color="auto" w:fill="FABF8F"/>
            <w:vAlign w:val="bottom"/>
          </w:tcPr>
          <w:p w:rsidR="001A63C6" w:rsidRPr="003410C7" w:rsidRDefault="001A63C6" w:rsidP="001A63C6">
            <w:pPr>
              <w:pStyle w:val="TableText"/>
              <w:widowControl w:val="0"/>
              <w:rPr>
                <w:rFonts w:ascii="Tahoma" w:hAnsi="Tahoma" w:cs="Tahoma"/>
                <w:sz w:val="13"/>
                <w:szCs w:val="13"/>
              </w:rPr>
            </w:pPr>
          </w:p>
        </w:tc>
        <w:tc>
          <w:tcPr>
            <w:tcW w:w="450" w:type="dxa"/>
            <w:tcBorders>
              <w:bottom w:val="single" w:sz="4" w:space="0" w:color="auto"/>
            </w:tcBorders>
            <w:shd w:val="clear" w:color="auto" w:fill="FABF8F"/>
            <w:vAlign w:val="bottom"/>
          </w:tcPr>
          <w:p w:rsidR="001A63C6" w:rsidRPr="003410C7" w:rsidRDefault="001A63C6" w:rsidP="001A63C6">
            <w:pPr>
              <w:pStyle w:val="TableText"/>
              <w:widowControl w:val="0"/>
              <w:rPr>
                <w:rFonts w:ascii="Tahoma" w:hAnsi="Tahoma" w:cs="Tahoma"/>
                <w:sz w:val="13"/>
                <w:szCs w:val="13"/>
              </w:rPr>
            </w:pPr>
          </w:p>
        </w:tc>
        <w:tc>
          <w:tcPr>
            <w:tcW w:w="450" w:type="dxa"/>
            <w:tcBorders>
              <w:bottom w:val="single" w:sz="4" w:space="0" w:color="auto"/>
            </w:tcBorders>
            <w:shd w:val="clear" w:color="auto" w:fill="FABF8F"/>
            <w:vAlign w:val="bottom"/>
          </w:tcPr>
          <w:p w:rsidR="001A63C6" w:rsidRPr="003410C7" w:rsidRDefault="001A63C6" w:rsidP="001A63C6">
            <w:pPr>
              <w:pStyle w:val="TableText"/>
              <w:widowControl w:val="0"/>
              <w:rPr>
                <w:rFonts w:ascii="Tahoma" w:hAnsi="Tahoma" w:cs="Tahoma"/>
                <w:sz w:val="13"/>
                <w:szCs w:val="13"/>
              </w:rPr>
            </w:pPr>
          </w:p>
        </w:tc>
        <w:tc>
          <w:tcPr>
            <w:tcW w:w="360" w:type="dxa"/>
            <w:tcBorders>
              <w:bottom w:val="single" w:sz="4" w:space="0" w:color="auto"/>
              <w:right w:val="single" w:sz="18" w:space="0" w:color="auto"/>
            </w:tcBorders>
            <w:shd w:val="clear" w:color="auto" w:fill="FABF8F"/>
            <w:vAlign w:val="bottom"/>
          </w:tcPr>
          <w:p w:rsidR="001A63C6" w:rsidRPr="003410C7" w:rsidRDefault="001A63C6" w:rsidP="001A63C6">
            <w:pPr>
              <w:pStyle w:val="TableText"/>
              <w:widowControl w:val="0"/>
              <w:rPr>
                <w:rFonts w:ascii="Tahoma" w:hAnsi="Tahoma" w:cs="Tahoma"/>
                <w:sz w:val="13"/>
                <w:szCs w:val="13"/>
              </w:rPr>
            </w:pPr>
          </w:p>
        </w:tc>
        <w:tc>
          <w:tcPr>
            <w:tcW w:w="450" w:type="dxa"/>
            <w:tcBorders>
              <w:left w:val="single" w:sz="18" w:space="0" w:color="auto"/>
              <w:bottom w:val="single" w:sz="4" w:space="0" w:color="auto"/>
            </w:tcBorders>
            <w:shd w:val="clear" w:color="auto" w:fill="FABF8F"/>
            <w:vAlign w:val="bottom"/>
          </w:tcPr>
          <w:p w:rsidR="001A63C6" w:rsidRPr="003410C7" w:rsidRDefault="001A63C6" w:rsidP="001A63C6">
            <w:pPr>
              <w:pStyle w:val="TableText"/>
              <w:widowControl w:val="0"/>
              <w:rPr>
                <w:rFonts w:ascii="Tahoma" w:hAnsi="Tahoma" w:cs="Tahoma"/>
                <w:sz w:val="13"/>
                <w:szCs w:val="13"/>
              </w:rPr>
            </w:pPr>
          </w:p>
        </w:tc>
        <w:tc>
          <w:tcPr>
            <w:tcW w:w="450" w:type="dxa"/>
            <w:tcBorders>
              <w:bottom w:val="single" w:sz="4" w:space="0" w:color="auto"/>
            </w:tcBorders>
            <w:shd w:val="clear" w:color="auto" w:fill="FABF8F"/>
            <w:vAlign w:val="bottom"/>
          </w:tcPr>
          <w:p w:rsidR="001A63C6" w:rsidRPr="003410C7" w:rsidRDefault="001A63C6" w:rsidP="001A63C6">
            <w:pPr>
              <w:pStyle w:val="TableText"/>
              <w:widowControl w:val="0"/>
              <w:rPr>
                <w:rFonts w:ascii="Tahoma" w:hAnsi="Tahoma" w:cs="Tahoma"/>
                <w:sz w:val="13"/>
                <w:szCs w:val="13"/>
              </w:rPr>
            </w:pPr>
          </w:p>
        </w:tc>
        <w:tc>
          <w:tcPr>
            <w:tcW w:w="450" w:type="dxa"/>
            <w:tcBorders>
              <w:bottom w:val="single" w:sz="4" w:space="0" w:color="auto"/>
              <w:right w:val="single" w:sz="18" w:space="0" w:color="auto"/>
            </w:tcBorders>
            <w:shd w:val="clear" w:color="auto" w:fill="FABF8F"/>
            <w:vAlign w:val="bottom"/>
          </w:tcPr>
          <w:p w:rsidR="001A63C6" w:rsidRPr="003410C7" w:rsidRDefault="001A63C6" w:rsidP="001A63C6">
            <w:pPr>
              <w:pStyle w:val="TableText"/>
              <w:widowControl w:val="0"/>
              <w:rPr>
                <w:rFonts w:ascii="Tahoma" w:hAnsi="Tahoma" w:cs="Tahoma"/>
                <w:sz w:val="13"/>
                <w:szCs w:val="13"/>
              </w:rPr>
            </w:pPr>
          </w:p>
        </w:tc>
        <w:tc>
          <w:tcPr>
            <w:tcW w:w="450" w:type="dxa"/>
            <w:tcBorders>
              <w:left w:val="single" w:sz="18" w:space="0" w:color="auto"/>
              <w:bottom w:val="single" w:sz="4" w:space="0" w:color="auto"/>
            </w:tcBorders>
            <w:shd w:val="clear" w:color="auto" w:fill="FABF8F"/>
            <w:vAlign w:val="center"/>
          </w:tcPr>
          <w:p w:rsidR="001A63C6" w:rsidRPr="003410C7" w:rsidRDefault="001A63C6" w:rsidP="001A63C6">
            <w:pPr>
              <w:pStyle w:val="TableText"/>
              <w:widowControl w:val="0"/>
              <w:rPr>
                <w:rFonts w:ascii="Tahoma" w:hAnsi="Tahoma" w:cs="Tahoma"/>
                <w:sz w:val="13"/>
                <w:szCs w:val="13"/>
              </w:rPr>
            </w:pPr>
          </w:p>
        </w:tc>
        <w:tc>
          <w:tcPr>
            <w:tcW w:w="450" w:type="dxa"/>
            <w:tcBorders>
              <w:bottom w:val="single" w:sz="4" w:space="0" w:color="auto"/>
              <w:right w:val="single" w:sz="18" w:space="0" w:color="auto"/>
            </w:tcBorders>
            <w:shd w:val="clear" w:color="auto" w:fill="FABF8F"/>
            <w:vAlign w:val="center"/>
          </w:tcPr>
          <w:p w:rsidR="001A63C6" w:rsidRPr="003410C7"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3410C7" w:rsidRDefault="001A63C6" w:rsidP="001A63C6">
            <w:pPr>
              <w:pStyle w:val="TableText"/>
              <w:widowControl w:val="0"/>
              <w:rPr>
                <w:rFonts w:ascii="Tahoma" w:hAnsi="Tahoma" w:cs="Tahoma"/>
                <w:sz w:val="13"/>
              </w:rPr>
            </w:pPr>
            <w:r w:rsidRPr="003410C7">
              <w:rPr>
                <w:rFonts w:ascii="Tahoma" w:hAnsi="Tahoma" w:cs="Tahoma"/>
                <w:sz w:val="13"/>
              </w:rPr>
              <w:t>E</w:t>
            </w:r>
          </w:p>
        </w:tc>
        <w:tc>
          <w:tcPr>
            <w:tcW w:w="450" w:type="dxa"/>
            <w:tcBorders>
              <w:bottom w:val="single" w:sz="4" w:space="0" w:color="auto"/>
            </w:tcBorders>
            <w:shd w:val="clear" w:color="auto" w:fill="FABF8F"/>
          </w:tcPr>
          <w:p w:rsidR="001A63C6" w:rsidRPr="003410C7" w:rsidRDefault="001A63C6" w:rsidP="001A63C6">
            <w:pPr>
              <w:pStyle w:val="TableText"/>
              <w:widowControl w:val="0"/>
              <w:rPr>
                <w:rFonts w:ascii="Tahoma" w:hAnsi="Tahoma" w:cs="Tahoma"/>
                <w:sz w:val="13"/>
              </w:rPr>
            </w:pPr>
          </w:p>
        </w:tc>
        <w:tc>
          <w:tcPr>
            <w:tcW w:w="540" w:type="dxa"/>
            <w:tcBorders>
              <w:bottom w:val="single" w:sz="4" w:space="0" w:color="auto"/>
            </w:tcBorders>
            <w:shd w:val="clear" w:color="auto" w:fill="FABF8F"/>
            <w:vAlign w:val="center"/>
          </w:tcPr>
          <w:p w:rsidR="001A63C6" w:rsidRPr="003410C7" w:rsidRDefault="001A63C6" w:rsidP="001A63C6">
            <w:pPr>
              <w:pStyle w:val="TableText"/>
              <w:widowControl w:val="0"/>
              <w:rPr>
                <w:rFonts w:ascii="Tahoma" w:hAnsi="Tahoma" w:cs="Tahoma"/>
                <w:sz w:val="13"/>
              </w:rPr>
            </w:pPr>
          </w:p>
        </w:tc>
      </w:tr>
      <w:tr w:rsidR="00B33D0E" w:rsidRPr="003410C7" w:rsidTr="006B1F3F">
        <w:trPr>
          <w:trHeight w:val="145"/>
        </w:trPr>
        <w:tc>
          <w:tcPr>
            <w:tcW w:w="2734" w:type="dxa"/>
            <w:gridSpan w:val="2"/>
            <w:tcBorders>
              <w:bottom w:val="single" w:sz="4" w:space="0" w:color="auto"/>
            </w:tcBorders>
            <w:shd w:val="clear" w:color="auto" w:fill="auto"/>
            <w:vAlign w:val="center"/>
          </w:tcPr>
          <w:p w:rsidR="001A63C6" w:rsidRPr="00451078" w:rsidRDefault="001A63C6" w:rsidP="003410C7">
            <w:pPr>
              <w:pStyle w:val="ProductNames"/>
              <w:spacing w:beforeLines="20" w:before="48" w:afterLines="20" w:after="48"/>
              <w:rPr>
                <w:rFonts w:ascii="Tahoma" w:hAnsi="Tahoma" w:cs="Tahoma"/>
                <w:sz w:val="14"/>
                <w:lang w:val="it-IT"/>
              </w:rPr>
            </w:pPr>
            <w:bookmarkStart w:id="214" w:name="_Toc336337943"/>
            <w:bookmarkStart w:id="215" w:name="_Toc352234562"/>
            <w:r w:rsidRPr="00451078">
              <w:rPr>
                <w:rFonts w:ascii="Tahoma" w:hAnsi="Tahoma" w:cs="Tahoma"/>
                <w:sz w:val="14"/>
                <w:lang w:val="it-IT"/>
              </w:rPr>
              <w:t>Enterprise CAL Suite Bridge per Office 365 e Windows</w:t>
            </w:r>
            <w:r w:rsidR="003410C7" w:rsidRPr="00451078">
              <w:rPr>
                <w:rFonts w:ascii="Tahoma" w:hAnsi="Tahoma" w:cs="Tahoma"/>
                <w:sz w:val="14"/>
                <w:vertAlign w:val="superscript"/>
                <w:lang w:val="it-IT"/>
              </w:rPr>
              <w:t>®</w:t>
            </w:r>
            <w:r w:rsidRPr="00451078">
              <w:rPr>
                <w:rFonts w:ascii="Tahoma" w:hAnsi="Tahoma" w:cs="Tahoma"/>
                <w:sz w:val="14"/>
                <w:lang w:val="it-IT"/>
              </w:rPr>
              <w:t xml:space="preserve"> Intune (Utente e Dispositivo)</w:t>
            </w:r>
            <w:bookmarkEnd w:id="214"/>
            <w:bookmarkEnd w:id="215"/>
          </w:p>
        </w:tc>
        <w:tc>
          <w:tcPr>
            <w:tcW w:w="450" w:type="dxa"/>
            <w:tcBorders>
              <w:bottom w:val="single" w:sz="4" w:space="0" w:color="auto"/>
            </w:tcBorders>
            <w:shd w:val="clear" w:color="auto" w:fill="auto"/>
            <w:vAlign w:val="center"/>
          </w:tcPr>
          <w:p w:rsidR="001A63C6" w:rsidRPr="009F17FF" w:rsidRDefault="00FC1A4D" w:rsidP="001A63C6">
            <w:pPr>
              <w:pStyle w:val="TableText"/>
              <w:widowControl w:val="0"/>
              <w:rPr>
                <w:b/>
                <w:color w:val="0000FF"/>
                <w:sz w:val="13"/>
                <w:szCs w:val="13"/>
                <w:u w:val="single"/>
              </w:rPr>
            </w:pPr>
            <w:hyperlink w:anchor="_41_Enterprise_CAL" w:history="1">
              <w:r w:rsidR="000D77F6" w:rsidRPr="009F17FF">
                <w:rPr>
                  <w:rStyle w:val="Hyperlink"/>
                  <w:b/>
                  <w:sz w:val="13"/>
                  <w:szCs w:val="13"/>
                </w:rPr>
                <w:t>41</w:t>
              </w:r>
            </w:hyperlink>
          </w:p>
        </w:tc>
        <w:tc>
          <w:tcPr>
            <w:tcW w:w="450" w:type="dxa"/>
            <w:tcBorders>
              <w:bottom w:val="single" w:sz="4" w:space="0" w:color="auto"/>
            </w:tcBorders>
            <w:shd w:val="clear" w:color="auto" w:fill="auto"/>
            <w:vAlign w:val="center"/>
          </w:tcPr>
          <w:p w:rsidR="001A63C6" w:rsidRPr="003410C7" w:rsidRDefault="001A63C6" w:rsidP="001A63C6">
            <w:pPr>
              <w:pStyle w:val="TableText"/>
              <w:widowControl w:val="0"/>
              <w:spacing w:before="40"/>
              <w:rPr>
                <w:rFonts w:ascii="Tahoma" w:hAnsi="Tahoma" w:cs="Tahoma"/>
                <w:sz w:val="13"/>
              </w:rPr>
            </w:pPr>
            <w:r w:rsidRPr="003410C7">
              <w:rPr>
                <w:rFonts w:ascii="Tahoma" w:hAnsi="Tahoma" w:cs="Tahoma"/>
                <w:sz w:val="13"/>
              </w:rPr>
              <w:t>06/11</w:t>
            </w:r>
          </w:p>
        </w:tc>
        <w:tc>
          <w:tcPr>
            <w:tcW w:w="360" w:type="dxa"/>
            <w:tcBorders>
              <w:bottom w:val="single" w:sz="4" w:space="0" w:color="auto"/>
              <w:right w:val="single" w:sz="18" w:space="0" w:color="auto"/>
            </w:tcBorders>
            <w:shd w:val="clear" w:color="auto" w:fill="auto"/>
            <w:vAlign w:val="center"/>
          </w:tcPr>
          <w:p w:rsidR="001A63C6" w:rsidRPr="003410C7" w:rsidRDefault="001A63C6" w:rsidP="001A63C6">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auto"/>
            <w:vAlign w:val="bottom"/>
          </w:tcPr>
          <w:p w:rsidR="001A63C6" w:rsidRPr="003410C7" w:rsidRDefault="001A63C6" w:rsidP="001A63C6">
            <w:pPr>
              <w:pStyle w:val="TableText"/>
              <w:widowControl w:val="0"/>
              <w:rPr>
                <w:rFonts w:ascii="Tahoma" w:hAnsi="Tahoma" w:cs="Tahoma"/>
                <w:sz w:val="13"/>
                <w:szCs w:val="13"/>
              </w:rPr>
            </w:pPr>
          </w:p>
        </w:tc>
        <w:tc>
          <w:tcPr>
            <w:tcW w:w="450" w:type="dxa"/>
            <w:tcBorders>
              <w:bottom w:val="single" w:sz="4" w:space="0" w:color="auto"/>
            </w:tcBorders>
            <w:shd w:val="clear" w:color="auto" w:fill="auto"/>
            <w:vAlign w:val="bottom"/>
          </w:tcPr>
          <w:p w:rsidR="001A63C6" w:rsidRPr="003410C7" w:rsidRDefault="001A63C6" w:rsidP="001A63C6">
            <w:pPr>
              <w:pStyle w:val="TableText"/>
              <w:widowControl w:val="0"/>
              <w:rPr>
                <w:rFonts w:ascii="Tahoma" w:hAnsi="Tahoma" w:cs="Tahoma"/>
                <w:sz w:val="13"/>
                <w:szCs w:val="13"/>
              </w:rPr>
            </w:pPr>
          </w:p>
        </w:tc>
        <w:tc>
          <w:tcPr>
            <w:tcW w:w="450" w:type="dxa"/>
            <w:tcBorders>
              <w:bottom w:val="single" w:sz="4" w:space="0" w:color="auto"/>
            </w:tcBorders>
            <w:shd w:val="clear" w:color="auto" w:fill="auto"/>
            <w:vAlign w:val="bottom"/>
          </w:tcPr>
          <w:p w:rsidR="001A63C6" w:rsidRPr="003410C7" w:rsidRDefault="001A63C6" w:rsidP="001A63C6">
            <w:pPr>
              <w:pStyle w:val="TableText"/>
              <w:widowControl w:val="0"/>
              <w:rPr>
                <w:rFonts w:ascii="Tahoma" w:hAnsi="Tahoma" w:cs="Tahoma"/>
                <w:sz w:val="13"/>
                <w:szCs w:val="13"/>
              </w:rPr>
            </w:pPr>
          </w:p>
        </w:tc>
        <w:tc>
          <w:tcPr>
            <w:tcW w:w="450" w:type="dxa"/>
            <w:tcBorders>
              <w:bottom w:val="single" w:sz="4" w:space="0" w:color="auto"/>
            </w:tcBorders>
            <w:shd w:val="clear" w:color="auto" w:fill="auto"/>
            <w:vAlign w:val="bottom"/>
          </w:tcPr>
          <w:p w:rsidR="001A63C6" w:rsidRPr="003410C7" w:rsidRDefault="001A63C6" w:rsidP="001A63C6">
            <w:pPr>
              <w:pStyle w:val="TableText"/>
              <w:widowControl w:val="0"/>
              <w:rPr>
                <w:rFonts w:ascii="Tahoma" w:hAnsi="Tahoma" w:cs="Tahoma"/>
                <w:sz w:val="13"/>
                <w:szCs w:val="13"/>
              </w:rPr>
            </w:pPr>
          </w:p>
        </w:tc>
        <w:tc>
          <w:tcPr>
            <w:tcW w:w="450" w:type="dxa"/>
            <w:tcBorders>
              <w:bottom w:val="single" w:sz="4" w:space="0" w:color="auto"/>
            </w:tcBorders>
            <w:shd w:val="clear" w:color="auto" w:fill="auto"/>
            <w:vAlign w:val="bottom"/>
          </w:tcPr>
          <w:p w:rsidR="001A63C6" w:rsidRPr="003410C7" w:rsidRDefault="001A63C6" w:rsidP="001A63C6">
            <w:pPr>
              <w:pStyle w:val="TableText"/>
              <w:widowControl w:val="0"/>
              <w:rPr>
                <w:rFonts w:ascii="Tahoma" w:hAnsi="Tahoma" w:cs="Tahoma"/>
                <w:sz w:val="13"/>
                <w:szCs w:val="13"/>
              </w:rPr>
            </w:pPr>
          </w:p>
        </w:tc>
        <w:tc>
          <w:tcPr>
            <w:tcW w:w="450" w:type="dxa"/>
            <w:tcBorders>
              <w:bottom w:val="single" w:sz="4" w:space="0" w:color="auto"/>
            </w:tcBorders>
            <w:shd w:val="clear" w:color="auto" w:fill="auto"/>
            <w:vAlign w:val="bottom"/>
          </w:tcPr>
          <w:p w:rsidR="001A63C6" w:rsidRPr="003410C7" w:rsidRDefault="001A63C6" w:rsidP="001A63C6">
            <w:pPr>
              <w:pStyle w:val="TableText"/>
              <w:widowControl w:val="0"/>
              <w:rPr>
                <w:rFonts w:ascii="Tahoma" w:hAnsi="Tahoma" w:cs="Tahoma"/>
                <w:sz w:val="13"/>
                <w:szCs w:val="13"/>
              </w:rPr>
            </w:pPr>
          </w:p>
        </w:tc>
        <w:tc>
          <w:tcPr>
            <w:tcW w:w="360" w:type="dxa"/>
            <w:tcBorders>
              <w:bottom w:val="single" w:sz="4" w:space="0" w:color="auto"/>
              <w:right w:val="single" w:sz="18" w:space="0" w:color="auto"/>
            </w:tcBorders>
            <w:shd w:val="clear" w:color="auto" w:fill="auto"/>
            <w:vAlign w:val="bottom"/>
          </w:tcPr>
          <w:p w:rsidR="001A63C6" w:rsidRPr="003410C7" w:rsidRDefault="001A63C6" w:rsidP="001A63C6">
            <w:pPr>
              <w:pStyle w:val="TableText"/>
              <w:widowControl w:val="0"/>
              <w:rPr>
                <w:rFonts w:ascii="Tahoma" w:hAnsi="Tahoma" w:cs="Tahoma"/>
                <w:sz w:val="13"/>
                <w:szCs w:val="13"/>
              </w:rPr>
            </w:pPr>
          </w:p>
        </w:tc>
        <w:tc>
          <w:tcPr>
            <w:tcW w:w="450" w:type="dxa"/>
            <w:tcBorders>
              <w:left w:val="single" w:sz="18" w:space="0" w:color="auto"/>
              <w:bottom w:val="single" w:sz="4" w:space="0" w:color="auto"/>
            </w:tcBorders>
            <w:shd w:val="clear" w:color="auto" w:fill="auto"/>
            <w:vAlign w:val="bottom"/>
          </w:tcPr>
          <w:p w:rsidR="001A63C6" w:rsidRPr="003410C7" w:rsidRDefault="001A63C6" w:rsidP="001A63C6">
            <w:pPr>
              <w:pStyle w:val="TableText"/>
              <w:widowControl w:val="0"/>
              <w:rPr>
                <w:rFonts w:ascii="Tahoma" w:hAnsi="Tahoma" w:cs="Tahoma"/>
                <w:sz w:val="13"/>
                <w:szCs w:val="13"/>
              </w:rPr>
            </w:pPr>
          </w:p>
        </w:tc>
        <w:tc>
          <w:tcPr>
            <w:tcW w:w="450" w:type="dxa"/>
            <w:tcBorders>
              <w:bottom w:val="single" w:sz="4" w:space="0" w:color="auto"/>
            </w:tcBorders>
            <w:shd w:val="clear" w:color="auto" w:fill="auto"/>
            <w:vAlign w:val="bottom"/>
          </w:tcPr>
          <w:p w:rsidR="001A63C6" w:rsidRPr="003410C7" w:rsidRDefault="001A63C6" w:rsidP="001A63C6">
            <w:pPr>
              <w:pStyle w:val="TableText"/>
              <w:widowControl w:val="0"/>
              <w:rPr>
                <w:rFonts w:ascii="Tahoma" w:hAnsi="Tahoma" w:cs="Tahoma"/>
                <w:sz w:val="13"/>
                <w:szCs w:val="13"/>
              </w:rPr>
            </w:pPr>
          </w:p>
        </w:tc>
        <w:tc>
          <w:tcPr>
            <w:tcW w:w="450" w:type="dxa"/>
            <w:tcBorders>
              <w:bottom w:val="single" w:sz="4" w:space="0" w:color="auto"/>
              <w:right w:val="single" w:sz="18" w:space="0" w:color="auto"/>
            </w:tcBorders>
            <w:shd w:val="clear" w:color="auto" w:fill="auto"/>
            <w:vAlign w:val="bottom"/>
          </w:tcPr>
          <w:p w:rsidR="001A63C6" w:rsidRPr="003410C7" w:rsidRDefault="001A63C6" w:rsidP="001A63C6">
            <w:pPr>
              <w:pStyle w:val="TableText"/>
              <w:widowControl w:val="0"/>
              <w:rPr>
                <w:rFonts w:ascii="Tahoma" w:hAnsi="Tahoma" w:cs="Tahoma"/>
                <w:sz w:val="13"/>
                <w:szCs w:val="13"/>
              </w:rPr>
            </w:pPr>
          </w:p>
        </w:tc>
        <w:tc>
          <w:tcPr>
            <w:tcW w:w="450" w:type="dxa"/>
            <w:tcBorders>
              <w:left w:val="single" w:sz="18" w:space="0" w:color="auto"/>
              <w:bottom w:val="single" w:sz="4" w:space="0" w:color="auto"/>
            </w:tcBorders>
            <w:shd w:val="clear" w:color="auto" w:fill="auto"/>
            <w:vAlign w:val="center"/>
          </w:tcPr>
          <w:p w:rsidR="001A63C6" w:rsidRPr="003410C7" w:rsidRDefault="001A63C6" w:rsidP="001A63C6">
            <w:pPr>
              <w:pStyle w:val="TableText"/>
              <w:widowControl w:val="0"/>
              <w:rPr>
                <w:rFonts w:ascii="Tahoma" w:hAnsi="Tahoma" w:cs="Tahoma"/>
                <w:sz w:val="13"/>
                <w:szCs w:val="13"/>
              </w:rPr>
            </w:pPr>
          </w:p>
        </w:tc>
        <w:tc>
          <w:tcPr>
            <w:tcW w:w="450" w:type="dxa"/>
            <w:tcBorders>
              <w:bottom w:val="single" w:sz="4" w:space="0" w:color="auto"/>
              <w:right w:val="single" w:sz="18" w:space="0" w:color="auto"/>
            </w:tcBorders>
            <w:shd w:val="clear" w:color="auto" w:fill="auto"/>
            <w:vAlign w:val="center"/>
          </w:tcPr>
          <w:p w:rsidR="001A63C6" w:rsidRPr="003410C7"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rsidR="001A63C6" w:rsidRPr="003410C7" w:rsidRDefault="001A63C6" w:rsidP="001A63C6">
            <w:pPr>
              <w:pStyle w:val="TableText"/>
              <w:widowControl w:val="0"/>
              <w:rPr>
                <w:rFonts w:ascii="Tahoma" w:hAnsi="Tahoma" w:cs="Tahoma"/>
                <w:sz w:val="13"/>
              </w:rPr>
            </w:pPr>
            <w:r w:rsidRPr="003410C7">
              <w:rPr>
                <w:rFonts w:ascii="Tahoma" w:hAnsi="Tahoma" w:cs="Tahoma"/>
                <w:sz w:val="13"/>
              </w:rPr>
              <w:t>E</w:t>
            </w:r>
          </w:p>
        </w:tc>
        <w:tc>
          <w:tcPr>
            <w:tcW w:w="450" w:type="dxa"/>
            <w:tcBorders>
              <w:bottom w:val="single" w:sz="4" w:space="0" w:color="auto"/>
            </w:tcBorders>
            <w:shd w:val="clear" w:color="auto" w:fill="auto"/>
          </w:tcPr>
          <w:p w:rsidR="001A63C6" w:rsidRPr="003410C7" w:rsidRDefault="001A63C6" w:rsidP="001A63C6">
            <w:pPr>
              <w:pStyle w:val="TableText"/>
              <w:widowControl w:val="0"/>
              <w:rPr>
                <w:rFonts w:ascii="Tahoma" w:hAnsi="Tahoma" w:cs="Tahoma"/>
                <w:sz w:val="13"/>
              </w:rPr>
            </w:pPr>
          </w:p>
        </w:tc>
        <w:tc>
          <w:tcPr>
            <w:tcW w:w="540" w:type="dxa"/>
            <w:tcBorders>
              <w:bottom w:val="single" w:sz="4" w:space="0" w:color="auto"/>
            </w:tcBorders>
            <w:shd w:val="clear" w:color="auto" w:fill="auto"/>
            <w:vAlign w:val="center"/>
          </w:tcPr>
          <w:p w:rsidR="001A63C6" w:rsidRPr="003410C7" w:rsidRDefault="001A63C6" w:rsidP="001A63C6">
            <w:pPr>
              <w:pStyle w:val="TableText"/>
              <w:widowControl w:val="0"/>
              <w:rPr>
                <w:rFonts w:ascii="Tahoma" w:hAnsi="Tahoma" w:cs="Tahoma"/>
                <w:sz w:val="13"/>
              </w:rPr>
            </w:pPr>
          </w:p>
        </w:tc>
      </w:tr>
      <w:tr w:rsidR="00EF228F" w:rsidRPr="003410C7" w:rsidTr="006B1F3F">
        <w:trPr>
          <w:trHeight w:val="278"/>
        </w:trPr>
        <w:tc>
          <w:tcPr>
            <w:tcW w:w="2734" w:type="dxa"/>
            <w:gridSpan w:val="2"/>
            <w:tcBorders>
              <w:bottom w:val="single" w:sz="4" w:space="0" w:color="auto"/>
            </w:tcBorders>
            <w:shd w:val="clear" w:color="auto" w:fill="FABF8F"/>
            <w:vAlign w:val="center"/>
          </w:tcPr>
          <w:p w:rsidR="001A63C6" w:rsidRPr="00451078" w:rsidRDefault="001A63C6" w:rsidP="00FE2D13">
            <w:pPr>
              <w:pStyle w:val="ProductNames"/>
              <w:spacing w:beforeLines="20" w:before="48" w:afterLines="20" w:after="48"/>
              <w:rPr>
                <w:rFonts w:ascii="Tahoma" w:hAnsi="Tahoma" w:cs="Tahoma"/>
                <w:sz w:val="14"/>
                <w:lang w:val="it-IT"/>
              </w:rPr>
            </w:pPr>
            <w:bookmarkStart w:id="216" w:name="_Toc336337944"/>
            <w:bookmarkStart w:id="217" w:name="_Toc352234563"/>
            <w:r w:rsidRPr="00451078">
              <w:rPr>
                <w:rFonts w:ascii="Tahoma" w:hAnsi="Tahoma" w:cs="Tahoma"/>
                <w:sz w:val="14"/>
                <w:lang w:val="it-IT"/>
              </w:rPr>
              <w:t>Enterprise CAL Suite Bridge per Windows</w:t>
            </w:r>
            <w:r w:rsidR="003410C7" w:rsidRPr="00451078">
              <w:rPr>
                <w:rFonts w:ascii="Tahoma" w:hAnsi="Tahoma" w:cs="Tahoma"/>
                <w:sz w:val="14"/>
                <w:vertAlign w:val="superscript"/>
                <w:lang w:val="it-IT"/>
              </w:rPr>
              <w:t>®</w:t>
            </w:r>
            <w:r w:rsidR="00FE2D13" w:rsidRPr="00451078">
              <w:rPr>
                <w:rFonts w:ascii="Tahoma" w:hAnsi="Tahoma" w:cs="Tahoma"/>
                <w:sz w:val="14"/>
                <w:lang w:val="it-IT"/>
              </w:rPr>
              <w:t> </w:t>
            </w:r>
            <w:r w:rsidRPr="00451078">
              <w:rPr>
                <w:rFonts w:ascii="Tahoma" w:hAnsi="Tahoma" w:cs="Tahoma"/>
                <w:sz w:val="14"/>
                <w:lang w:val="it-IT"/>
              </w:rPr>
              <w:t>Intune (Utente e Dispositivo)</w:t>
            </w:r>
            <w:bookmarkEnd w:id="216"/>
            <w:bookmarkEnd w:id="217"/>
          </w:p>
        </w:tc>
        <w:tc>
          <w:tcPr>
            <w:tcW w:w="450" w:type="dxa"/>
            <w:tcBorders>
              <w:bottom w:val="single" w:sz="4" w:space="0" w:color="auto"/>
            </w:tcBorders>
            <w:shd w:val="clear" w:color="auto" w:fill="FABF8F"/>
            <w:vAlign w:val="center"/>
          </w:tcPr>
          <w:p w:rsidR="001A63C6" w:rsidRPr="009F17FF" w:rsidRDefault="00FC1A4D" w:rsidP="00AA19FE">
            <w:pPr>
              <w:pStyle w:val="TableText"/>
              <w:widowControl w:val="0"/>
              <w:rPr>
                <w:b/>
                <w:color w:val="0000FF"/>
                <w:sz w:val="13"/>
                <w:szCs w:val="13"/>
                <w:u w:val="single"/>
              </w:rPr>
            </w:pPr>
            <w:hyperlink w:anchor="_41_Enterprise_CAL" w:history="1">
              <w:r w:rsidR="000D77F6" w:rsidRPr="009F17FF">
                <w:rPr>
                  <w:rStyle w:val="Hyperlink"/>
                  <w:b/>
                  <w:sz w:val="13"/>
                  <w:szCs w:val="13"/>
                </w:rPr>
                <w:t>41</w:t>
              </w:r>
            </w:hyperlink>
            <w:hyperlink w:anchor="Srv_45EntCALBridgeWinIntune" w:history="1"/>
          </w:p>
        </w:tc>
        <w:tc>
          <w:tcPr>
            <w:tcW w:w="450" w:type="dxa"/>
            <w:tcBorders>
              <w:bottom w:val="single" w:sz="4" w:space="0" w:color="auto"/>
            </w:tcBorders>
            <w:shd w:val="clear" w:color="auto" w:fill="FABF8F"/>
            <w:vAlign w:val="center"/>
          </w:tcPr>
          <w:p w:rsidR="001A63C6" w:rsidRPr="003410C7" w:rsidRDefault="001A63C6" w:rsidP="001A63C6">
            <w:pPr>
              <w:pStyle w:val="TableText"/>
              <w:widowControl w:val="0"/>
              <w:spacing w:before="40"/>
              <w:rPr>
                <w:rFonts w:ascii="Tahoma" w:hAnsi="Tahoma" w:cs="Tahoma"/>
                <w:sz w:val="13"/>
              </w:rPr>
            </w:pPr>
            <w:r w:rsidRPr="003410C7">
              <w:rPr>
                <w:rFonts w:ascii="Tahoma" w:hAnsi="Tahoma" w:cs="Tahoma"/>
                <w:sz w:val="13"/>
              </w:rPr>
              <w:t>04/11</w:t>
            </w:r>
          </w:p>
        </w:tc>
        <w:tc>
          <w:tcPr>
            <w:tcW w:w="360" w:type="dxa"/>
            <w:tcBorders>
              <w:bottom w:val="single" w:sz="4" w:space="0" w:color="auto"/>
              <w:right w:val="single" w:sz="18" w:space="0" w:color="auto"/>
            </w:tcBorders>
            <w:shd w:val="clear" w:color="auto" w:fill="FABF8F"/>
            <w:vAlign w:val="center"/>
          </w:tcPr>
          <w:p w:rsidR="001A63C6" w:rsidRPr="003410C7" w:rsidRDefault="001A63C6" w:rsidP="001A63C6">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FABF8F"/>
            <w:vAlign w:val="center"/>
          </w:tcPr>
          <w:p w:rsidR="001A63C6" w:rsidRPr="003410C7"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3410C7" w:rsidRDefault="001A63C6" w:rsidP="001A63C6">
            <w:pPr>
              <w:pStyle w:val="TableText"/>
              <w:widowControl w:val="0"/>
              <w:rPr>
                <w:rFonts w:ascii="Tahoma" w:hAnsi="Tahoma" w:cs="Tahoma"/>
                <w:bCs/>
                <w:color w:val="000000"/>
                <w:sz w:val="13"/>
              </w:rPr>
            </w:pPr>
          </w:p>
        </w:tc>
        <w:tc>
          <w:tcPr>
            <w:tcW w:w="450" w:type="dxa"/>
            <w:tcBorders>
              <w:bottom w:val="single" w:sz="4" w:space="0" w:color="auto"/>
            </w:tcBorders>
            <w:shd w:val="clear" w:color="auto" w:fill="FABF8F"/>
            <w:vAlign w:val="center"/>
          </w:tcPr>
          <w:p w:rsidR="001A63C6" w:rsidRPr="003410C7" w:rsidRDefault="001A63C6" w:rsidP="001A63C6">
            <w:pPr>
              <w:pStyle w:val="TableText"/>
              <w:widowControl w:val="0"/>
              <w:rPr>
                <w:rFonts w:ascii="Tahoma" w:hAnsi="Tahoma" w:cs="Tahoma"/>
                <w:bCs/>
                <w:color w:val="000000"/>
                <w:sz w:val="13"/>
              </w:rPr>
            </w:pPr>
          </w:p>
        </w:tc>
        <w:tc>
          <w:tcPr>
            <w:tcW w:w="450" w:type="dxa"/>
            <w:tcBorders>
              <w:bottom w:val="single" w:sz="4" w:space="0" w:color="auto"/>
            </w:tcBorders>
            <w:shd w:val="clear" w:color="auto" w:fill="FABF8F"/>
            <w:vAlign w:val="center"/>
          </w:tcPr>
          <w:p w:rsidR="001A63C6" w:rsidRPr="003410C7" w:rsidRDefault="001A63C6" w:rsidP="001A63C6">
            <w:pPr>
              <w:pStyle w:val="TableText"/>
              <w:widowControl w:val="0"/>
              <w:rPr>
                <w:rFonts w:ascii="Tahoma" w:hAnsi="Tahoma" w:cs="Tahoma"/>
                <w:bCs/>
                <w:color w:val="000000"/>
                <w:sz w:val="13"/>
              </w:rPr>
            </w:pPr>
          </w:p>
        </w:tc>
        <w:tc>
          <w:tcPr>
            <w:tcW w:w="450" w:type="dxa"/>
            <w:tcBorders>
              <w:bottom w:val="single" w:sz="4" w:space="0" w:color="auto"/>
            </w:tcBorders>
            <w:shd w:val="clear" w:color="auto" w:fill="FABF8F"/>
            <w:vAlign w:val="center"/>
          </w:tcPr>
          <w:p w:rsidR="001A63C6" w:rsidRPr="003410C7" w:rsidRDefault="001A63C6" w:rsidP="001A63C6">
            <w:pPr>
              <w:pStyle w:val="TableText"/>
              <w:widowControl w:val="0"/>
              <w:rPr>
                <w:rFonts w:ascii="Tahoma" w:hAnsi="Tahoma" w:cs="Tahoma"/>
                <w:bCs/>
                <w:color w:val="000000"/>
                <w:sz w:val="13"/>
              </w:rPr>
            </w:pPr>
          </w:p>
        </w:tc>
        <w:tc>
          <w:tcPr>
            <w:tcW w:w="450" w:type="dxa"/>
            <w:tcBorders>
              <w:bottom w:val="single" w:sz="4" w:space="0" w:color="auto"/>
            </w:tcBorders>
            <w:shd w:val="clear" w:color="auto" w:fill="FABF8F"/>
            <w:vAlign w:val="center"/>
          </w:tcPr>
          <w:p w:rsidR="001A63C6" w:rsidRPr="003410C7" w:rsidRDefault="001A63C6" w:rsidP="001A63C6">
            <w:pPr>
              <w:pStyle w:val="TableText"/>
              <w:widowControl w:val="0"/>
              <w:rPr>
                <w:rFonts w:ascii="Tahoma" w:hAnsi="Tahoma" w:cs="Tahoma"/>
                <w:bCs/>
                <w:color w:val="000000"/>
                <w:sz w:val="13"/>
              </w:rPr>
            </w:pPr>
          </w:p>
        </w:tc>
        <w:tc>
          <w:tcPr>
            <w:tcW w:w="360" w:type="dxa"/>
            <w:tcBorders>
              <w:bottom w:val="single" w:sz="4" w:space="0" w:color="auto"/>
              <w:right w:val="single" w:sz="18" w:space="0" w:color="auto"/>
            </w:tcBorders>
            <w:shd w:val="clear" w:color="auto" w:fill="FABF8F"/>
            <w:vAlign w:val="center"/>
          </w:tcPr>
          <w:p w:rsidR="001A63C6" w:rsidRPr="003410C7" w:rsidRDefault="001A63C6" w:rsidP="001A63C6">
            <w:pPr>
              <w:pStyle w:val="TableText"/>
              <w:widowControl w:val="0"/>
              <w:rPr>
                <w:rFonts w:ascii="Tahoma" w:hAnsi="Tahoma" w:cs="Tahoma"/>
                <w:color w:val="000000"/>
                <w:sz w:val="13"/>
              </w:rPr>
            </w:pPr>
          </w:p>
        </w:tc>
        <w:tc>
          <w:tcPr>
            <w:tcW w:w="450" w:type="dxa"/>
            <w:tcBorders>
              <w:left w:val="single" w:sz="18" w:space="0" w:color="auto"/>
              <w:bottom w:val="single" w:sz="4" w:space="0" w:color="auto"/>
            </w:tcBorders>
            <w:shd w:val="clear" w:color="auto" w:fill="FABF8F"/>
            <w:vAlign w:val="center"/>
          </w:tcPr>
          <w:p w:rsidR="001A63C6" w:rsidRPr="003410C7"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3410C7"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1A63C6" w:rsidRPr="003410C7"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3410C7"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1A63C6" w:rsidRPr="003410C7"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3410C7"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3410C7" w:rsidRDefault="001A63C6" w:rsidP="001A63C6">
            <w:pPr>
              <w:pStyle w:val="TableText"/>
              <w:widowControl w:val="0"/>
              <w:rPr>
                <w:rFonts w:ascii="Tahoma" w:hAnsi="Tahoma" w:cs="Tahoma"/>
                <w:sz w:val="13"/>
              </w:rPr>
            </w:pPr>
          </w:p>
        </w:tc>
        <w:tc>
          <w:tcPr>
            <w:tcW w:w="540" w:type="dxa"/>
            <w:tcBorders>
              <w:bottom w:val="single" w:sz="4" w:space="0" w:color="auto"/>
            </w:tcBorders>
            <w:shd w:val="clear" w:color="auto" w:fill="FABF8F"/>
            <w:vAlign w:val="center"/>
          </w:tcPr>
          <w:p w:rsidR="001A63C6" w:rsidRPr="003410C7" w:rsidRDefault="001A63C6" w:rsidP="001A63C6">
            <w:pPr>
              <w:pStyle w:val="TableText"/>
              <w:widowControl w:val="0"/>
              <w:rPr>
                <w:rFonts w:ascii="Tahoma" w:hAnsi="Tahoma" w:cs="Tahoma"/>
                <w:sz w:val="13"/>
              </w:rPr>
            </w:pPr>
          </w:p>
        </w:tc>
      </w:tr>
      <w:tr w:rsidR="00B33D0E" w:rsidRPr="003410C7" w:rsidTr="006B1F3F">
        <w:trPr>
          <w:trHeight w:val="145"/>
        </w:trPr>
        <w:tc>
          <w:tcPr>
            <w:tcW w:w="2734" w:type="dxa"/>
            <w:gridSpan w:val="2"/>
            <w:tcBorders>
              <w:bottom w:val="single" w:sz="4" w:space="0" w:color="auto"/>
            </w:tcBorders>
            <w:shd w:val="clear" w:color="auto" w:fill="auto"/>
            <w:vAlign w:val="center"/>
          </w:tcPr>
          <w:p w:rsidR="001A63C6" w:rsidRPr="003410C7" w:rsidRDefault="001A63C6" w:rsidP="003410C7">
            <w:pPr>
              <w:pStyle w:val="ProductNames"/>
              <w:spacing w:beforeLines="20" w:before="48" w:afterLines="20" w:after="48"/>
              <w:rPr>
                <w:rFonts w:ascii="Tahoma" w:hAnsi="Tahoma" w:cs="Tahoma"/>
                <w:sz w:val="14"/>
              </w:rPr>
            </w:pPr>
            <w:bookmarkStart w:id="218" w:name="_Toc336337945"/>
            <w:bookmarkStart w:id="219" w:name="_Toc352234564"/>
            <w:r w:rsidRPr="003410C7">
              <w:rPr>
                <w:rFonts w:ascii="Tahoma" w:hAnsi="Tahoma" w:cs="Tahoma"/>
                <w:sz w:val="14"/>
              </w:rPr>
              <w:lastRenderedPageBreak/>
              <w:t>Enterprise CAL Suite (Utente e Dispositivo)</w:t>
            </w:r>
            <w:bookmarkEnd w:id="218"/>
            <w:bookmarkEnd w:id="219"/>
            <w:r w:rsidRPr="003410C7">
              <w:rPr>
                <w:rFonts w:ascii="Tahoma" w:hAnsi="Tahoma" w:cs="Tahoma"/>
                <w:sz w:val="14"/>
              </w:rPr>
              <w:t xml:space="preserve"> </w:t>
            </w:r>
          </w:p>
        </w:tc>
        <w:tc>
          <w:tcPr>
            <w:tcW w:w="450" w:type="dxa"/>
            <w:tcBorders>
              <w:bottom w:val="single" w:sz="4" w:space="0" w:color="auto"/>
            </w:tcBorders>
            <w:shd w:val="clear" w:color="auto" w:fill="auto"/>
            <w:vAlign w:val="center"/>
          </w:tcPr>
          <w:p w:rsidR="001A63C6" w:rsidRPr="009F17FF" w:rsidRDefault="00FC1A4D" w:rsidP="00D11241">
            <w:pPr>
              <w:pStyle w:val="TableText"/>
              <w:widowControl w:val="0"/>
              <w:rPr>
                <w:rStyle w:val="EndnoteReference"/>
                <w:color w:val="0000FF"/>
                <w:sz w:val="13"/>
                <w:szCs w:val="13"/>
                <w:u w:val="single"/>
              </w:rPr>
            </w:pPr>
            <w:hyperlink w:anchor="_42_Enterprise_CAL" w:history="1">
              <w:r w:rsidR="000D77F6" w:rsidRPr="009F17FF">
                <w:rPr>
                  <w:rStyle w:val="Hyperlink"/>
                  <w:b/>
                  <w:sz w:val="13"/>
                  <w:szCs w:val="13"/>
                </w:rPr>
                <w:t>42</w:t>
              </w:r>
            </w:hyperlink>
          </w:p>
        </w:tc>
        <w:tc>
          <w:tcPr>
            <w:tcW w:w="450" w:type="dxa"/>
            <w:tcBorders>
              <w:bottom w:val="single" w:sz="4" w:space="0" w:color="auto"/>
            </w:tcBorders>
            <w:shd w:val="clear" w:color="auto" w:fill="auto"/>
            <w:vAlign w:val="center"/>
          </w:tcPr>
          <w:p w:rsidR="001A63C6" w:rsidRPr="003410C7" w:rsidRDefault="001A63C6" w:rsidP="001A63C6">
            <w:pPr>
              <w:pStyle w:val="TableText"/>
              <w:widowControl w:val="0"/>
              <w:spacing w:before="40"/>
              <w:rPr>
                <w:rFonts w:ascii="Tahoma" w:hAnsi="Tahoma" w:cs="Tahoma"/>
                <w:sz w:val="13"/>
              </w:rPr>
            </w:pPr>
            <w:r w:rsidRPr="003410C7">
              <w:rPr>
                <w:rFonts w:ascii="Tahoma" w:hAnsi="Tahoma" w:cs="Tahoma"/>
                <w:sz w:val="13"/>
              </w:rPr>
              <w:t>10/06</w:t>
            </w:r>
          </w:p>
        </w:tc>
        <w:tc>
          <w:tcPr>
            <w:tcW w:w="360" w:type="dxa"/>
            <w:tcBorders>
              <w:bottom w:val="single" w:sz="4" w:space="0" w:color="auto"/>
              <w:right w:val="single" w:sz="18" w:space="0" w:color="auto"/>
            </w:tcBorders>
            <w:shd w:val="clear" w:color="auto" w:fill="auto"/>
            <w:vAlign w:val="center"/>
          </w:tcPr>
          <w:p w:rsidR="001A63C6" w:rsidRPr="003410C7" w:rsidRDefault="001A63C6" w:rsidP="001A63C6">
            <w:pPr>
              <w:pStyle w:val="TableText"/>
              <w:widowControl w:val="0"/>
              <w:rPr>
                <w:rFonts w:ascii="Tahoma" w:hAnsi="Tahoma" w:cs="Tahoma"/>
                <w:sz w:val="13"/>
              </w:rPr>
            </w:pPr>
            <w:r w:rsidRPr="003410C7">
              <w:rPr>
                <w:rFonts w:ascii="Tahoma" w:hAnsi="Tahoma" w:cs="Tahoma"/>
                <w:sz w:val="13"/>
              </w:rPr>
              <w:t>SRV</w:t>
            </w:r>
          </w:p>
        </w:tc>
        <w:tc>
          <w:tcPr>
            <w:tcW w:w="360" w:type="dxa"/>
            <w:tcBorders>
              <w:left w:val="single" w:sz="18" w:space="0" w:color="auto"/>
              <w:bottom w:val="single" w:sz="4" w:space="0" w:color="auto"/>
            </w:tcBorders>
            <w:shd w:val="clear" w:color="auto" w:fill="auto"/>
            <w:vAlign w:val="center"/>
          </w:tcPr>
          <w:p w:rsidR="001A63C6" w:rsidRPr="003410C7"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3410C7" w:rsidRDefault="001A63C6" w:rsidP="001A63C6">
            <w:pPr>
              <w:pStyle w:val="TableText"/>
              <w:widowControl w:val="0"/>
              <w:rPr>
                <w:rFonts w:ascii="Tahoma" w:hAnsi="Tahoma" w:cs="Tahoma"/>
                <w:sz w:val="13"/>
              </w:rPr>
            </w:pPr>
            <w:r w:rsidRPr="003410C7">
              <w:rPr>
                <w:rFonts w:ascii="Tahoma" w:hAnsi="Tahoma" w:cs="Tahoma"/>
                <w:bCs/>
                <w:color w:val="000000"/>
                <w:sz w:val="13"/>
              </w:rPr>
              <w:t>13</w:t>
            </w:r>
          </w:p>
        </w:tc>
        <w:tc>
          <w:tcPr>
            <w:tcW w:w="450" w:type="dxa"/>
            <w:tcBorders>
              <w:bottom w:val="single" w:sz="4" w:space="0" w:color="auto"/>
            </w:tcBorders>
            <w:shd w:val="clear" w:color="auto" w:fill="auto"/>
            <w:vAlign w:val="center"/>
          </w:tcPr>
          <w:p w:rsidR="001A63C6" w:rsidRPr="003410C7" w:rsidRDefault="001A63C6" w:rsidP="001A63C6">
            <w:pPr>
              <w:pStyle w:val="TableText"/>
              <w:widowControl w:val="0"/>
              <w:rPr>
                <w:rFonts w:ascii="Tahoma" w:hAnsi="Tahoma" w:cs="Tahoma"/>
                <w:sz w:val="13"/>
              </w:rPr>
            </w:pPr>
            <w:r w:rsidRPr="003410C7">
              <w:rPr>
                <w:rFonts w:ascii="Tahoma" w:hAnsi="Tahoma" w:cs="Tahoma"/>
                <w:bCs/>
                <w:color w:val="000000"/>
                <w:sz w:val="13"/>
              </w:rPr>
              <w:t>10</w:t>
            </w:r>
          </w:p>
        </w:tc>
        <w:tc>
          <w:tcPr>
            <w:tcW w:w="450" w:type="dxa"/>
            <w:tcBorders>
              <w:bottom w:val="single" w:sz="4" w:space="0" w:color="auto"/>
            </w:tcBorders>
            <w:shd w:val="clear" w:color="auto" w:fill="auto"/>
            <w:vAlign w:val="center"/>
          </w:tcPr>
          <w:p w:rsidR="001A63C6" w:rsidRPr="003410C7" w:rsidRDefault="001A63C6" w:rsidP="001A63C6">
            <w:pPr>
              <w:pStyle w:val="TableText"/>
              <w:widowControl w:val="0"/>
              <w:rPr>
                <w:rFonts w:ascii="Tahoma" w:hAnsi="Tahoma" w:cs="Tahoma"/>
                <w:sz w:val="13"/>
              </w:rPr>
            </w:pPr>
            <w:r w:rsidRPr="003410C7">
              <w:rPr>
                <w:rFonts w:ascii="Tahoma" w:hAnsi="Tahoma" w:cs="Tahoma"/>
                <w:bCs/>
                <w:color w:val="000000"/>
                <w:sz w:val="13"/>
              </w:rPr>
              <w:t>8</w:t>
            </w:r>
          </w:p>
        </w:tc>
        <w:tc>
          <w:tcPr>
            <w:tcW w:w="450" w:type="dxa"/>
            <w:tcBorders>
              <w:bottom w:val="single" w:sz="4" w:space="0" w:color="auto"/>
            </w:tcBorders>
            <w:shd w:val="clear" w:color="auto" w:fill="auto"/>
            <w:vAlign w:val="center"/>
          </w:tcPr>
          <w:p w:rsidR="001A63C6" w:rsidRPr="003410C7" w:rsidRDefault="001A63C6" w:rsidP="001A63C6">
            <w:pPr>
              <w:pStyle w:val="TableText"/>
              <w:widowControl w:val="0"/>
              <w:rPr>
                <w:rFonts w:ascii="Tahoma" w:hAnsi="Tahoma" w:cs="Tahoma"/>
                <w:sz w:val="13"/>
              </w:rPr>
            </w:pPr>
            <w:r w:rsidRPr="003410C7">
              <w:rPr>
                <w:rFonts w:ascii="Tahoma" w:hAnsi="Tahoma" w:cs="Tahoma"/>
                <w:bCs/>
                <w:color w:val="000000"/>
                <w:sz w:val="13"/>
              </w:rPr>
              <w:t>8</w:t>
            </w:r>
          </w:p>
        </w:tc>
        <w:tc>
          <w:tcPr>
            <w:tcW w:w="450" w:type="dxa"/>
            <w:tcBorders>
              <w:bottom w:val="single" w:sz="4" w:space="0" w:color="auto"/>
            </w:tcBorders>
            <w:shd w:val="clear" w:color="auto" w:fill="auto"/>
            <w:vAlign w:val="center"/>
          </w:tcPr>
          <w:p w:rsidR="001A63C6" w:rsidRPr="003410C7" w:rsidRDefault="001A63C6" w:rsidP="001A63C6">
            <w:pPr>
              <w:pStyle w:val="TableText"/>
              <w:widowControl w:val="0"/>
              <w:rPr>
                <w:rFonts w:ascii="Tahoma" w:hAnsi="Tahoma" w:cs="Tahoma"/>
                <w:sz w:val="13"/>
              </w:rPr>
            </w:pPr>
            <w:r w:rsidRPr="003410C7">
              <w:rPr>
                <w:rFonts w:ascii="Tahoma" w:hAnsi="Tahoma" w:cs="Tahoma"/>
                <w:bCs/>
                <w:color w:val="000000"/>
                <w:sz w:val="13"/>
              </w:rPr>
              <w:t>5</w:t>
            </w:r>
          </w:p>
        </w:tc>
        <w:tc>
          <w:tcPr>
            <w:tcW w:w="360" w:type="dxa"/>
            <w:tcBorders>
              <w:bottom w:val="single" w:sz="4" w:space="0" w:color="auto"/>
              <w:right w:val="single" w:sz="18" w:space="0" w:color="auto"/>
            </w:tcBorders>
            <w:shd w:val="clear" w:color="auto" w:fill="auto"/>
            <w:vAlign w:val="center"/>
          </w:tcPr>
          <w:p w:rsidR="001A63C6" w:rsidRPr="003410C7" w:rsidRDefault="001A63C6" w:rsidP="001A63C6">
            <w:pPr>
              <w:pStyle w:val="TableText"/>
              <w:widowControl w:val="0"/>
              <w:rPr>
                <w:rFonts w:ascii="Tahoma" w:hAnsi="Tahoma" w:cs="Tahoma"/>
                <w:sz w:val="13"/>
              </w:rPr>
            </w:pPr>
            <w:r w:rsidRPr="003410C7">
              <w:rPr>
                <w:rFonts w:ascii="Tahoma" w:hAnsi="Tahoma" w:cs="Tahoma"/>
                <w:color w:val="000000"/>
                <w:sz w:val="13"/>
              </w:rPr>
              <w:t>3</w:t>
            </w:r>
          </w:p>
        </w:tc>
        <w:tc>
          <w:tcPr>
            <w:tcW w:w="450" w:type="dxa"/>
            <w:tcBorders>
              <w:left w:val="single" w:sz="18" w:space="0" w:color="auto"/>
              <w:bottom w:val="single" w:sz="4" w:space="0" w:color="auto"/>
            </w:tcBorders>
            <w:shd w:val="clear" w:color="auto" w:fill="auto"/>
            <w:vAlign w:val="center"/>
          </w:tcPr>
          <w:p w:rsidR="001A63C6" w:rsidRPr="003410C7"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3410C7"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1A63C6" w:rsidRPr="003410C7"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1A63C6" w:rsidRPr="003410C7" w:rsidRDefault="001A63C6" w:rsidP="001A63C6">
            <w:pPr>
              <w:pStyle w:val="TableText"/>
              <w:widowControl w:val="0"/>
              <w:rPr>
                <w:rFonts w:ascii="Tahoma" w:hAnsi="Tahoma" w:cs="Tahoma"/>
                <w:sz w:val="13"/>
              </w:rPr>
            </w:pPr>
            <w:r w:rsidRPr="003410C7">
              <w:rPr>
                <w:rFonts w:ascii="Tahoma" w:hAnsi="Tahoma" w:cs="Tahoma"/>
                <w:sz w:val="13"/>
              </w:rPr>
              <w:t>2, E</w:t>
            </w:r>
          </w:p>
        </w:tc>
        <w:tc>
          <w:tcPr>
            <w:tcW w:w="450" w:type="dxa"/>
            <w:tcBorders>
              <w:bottom w:val="single" w:sz="4" w:space="0" w:color="auto"/>
              <w:right w:val="single" w:sz="18" w:space="0" w:color="auto"/>
            </w:tcBorders>
            <w:shd w:val="clear" w:color="auto" w:fill="auto"/>
            <w:vAlign w:val="center"/>
          </w:tcPr>
          <w:p w:rsidR="001A63C6" w:rsidRPr="003410C7" w:rsidRDefault="001A63C6" w:rsidP="001A63C6">
            <w:pPr>
              <w:pStyle w:val="TableText"/>
              <w:widowControl w:val="0"/>
              <w:rPr>
                <w:rFonts w:ascii="Tahoma" w:hAnsi="Tahoma" w:cs="Tahoma"/>
                <w:sz w:val="13"/>
              </w:rPr>
            </w:pPr>
            <w:r w:rsidRPr="003410C7">
              <w:rPr>
                <w:rFonts w:ascii="Tahoma" w:hAnsi="Tahoma" w:cs="Tahoma"/>
                <w:sz w:val="13"/>
              </w:rPr>
              <w:t>E</w:t>
            </w:r>
          </w:p>
        </w:tc>
        <w:tc>
          <w:tcPr>
            <w:tcW w:w="450" w:type="dxa"/>
            <w:tcBorders>
              <w:left w:val="single" w:sz="18" w:space="0" w:color="auto"/>
              <w:bottom w:val="single" w:sz="4" w:space="0" w:color="auto"/>
              <w:right w:val="single" w:sz="18" w:space="0" w:color="auto"/>
            </w:tcBorders>
            <w:shd w:val="clear" w:color="auto" w:fill="auto"/>
            <w:vAlign w:val="center"/>
          </w:tcPr>
          <w:p w:rsidR="001A63C6" w:rsidRPr="003410C7" w:rsidRDefault="001A63C6" w:rsidP="001A63C6">
            <w:pPr>
              <w:pStyle w:val="TableText"/>
              <w:widowControl w:val="0"/>
              <w:rPr>
                <w:rFonts w:ascii="Tahoma" w:hAnsi="Tahoma" w:cs="Tahoma"/>
                <w:sz w:val="13"/>
              </w:rPr>
            </w:pPr>
            <w:r w:rsidRPr="003410C7">
              <w:rPr>
                <w:rFonts w:ascii="Tahoma" w:hAnsi="Tahoma" w:cs="Tahoma"/>
                <w:sz w:val="13"/>
              </w:rPr>
              <w:t>E, P</w:t>
            </w:r>
          </w:p>
        </w:tc>
        <w:tc>
          <w:tcPr>
            <w:tcW w:w="450" w:type="dxa"/>
            <w:tcBorders>
              <w:bottom w:val="single" w:sz="4" w:space="0" w:color="auto"/>
            </w:tcBorders>
            <w:shd w:val="clear" w:color="auto" w:fill="auto"/>
            <w:vAlign w:val="center"/>
          </w:tcPr>
          <w:p w:rsidR="001A63C6" w:rsidRPr="003410C7" w:rsidRDefault="001A63C6" w:rsidP="001A63C6">
            <w:pPr>
              <w:pStyle w:val="TableText"/>
              <w:widowControl w:val="0"/>
              <w:rPr>
                <w:rFonts w:ascii="Tahoma" w:hAnsi="Tahoma" w:cs="Tahoma"/>
                <w:sz w:val="13"/>
              </w:rPr>
            </w:pPr>
            <w:r w:rsidRPr="003410C7">
              <w:rPr>
                <w:rFonts w:ascii="Tahoma" w:hAnsi="Tahoma" w:cs="Tahoma"/>
                <w:sz w:val="13"/>
              </w:rPr>
              <w:t>E, ST</w:t>
            </w:r>
          </w:p>
        </w:tc>
        <w:tc>
          <w:tcPr>
            <w:tcW w:w="540" w:type="dxa"/>
            <w:tcBorders>
              <w:bottom w:val="single" w:sz="4" w:space="0" w:color="auto"/>
            </w:tcBorders>
            <w:shd w:val="clear" w:color="auto" w:fill="auto"/>
            <w:vAlign w:val="center"/>
          </w:tcPr>
          <w:p w:rsidR="001A63C6" w:rsidRPr="003410C7" w:rsidRDefault="001A63C6" w:rsidP="001A63C6">
            <w:pPr>
              <w:pStyle w:val="TableText"/>
              <w:widowControl w:val="0"/>
              <w:rPr>
                <w:rFonts w:ascii="Tahoma" w:hAnsi="Tahoma" w:cs="Tahoma"/>
                <w:sz w:val="13"/>
              </w:rPr>
            </w:pPr>
          </w:p>
        </w:tc>
      </w:tr>
      <w:tr w:rsidR="00EF228F" w:rsidRPr="003410C7" w:rsidTr="006B1F3F">
        <w:trPr>
          <w:trHeight w:val="145"/>
        </w:trPr>
        <w:tc>
          <w:tcPr>
            <w:tcW w:w="2734" w:type="dxa"/>
            <w:gridSpan w:val="2"/>
            <w:tcBorders>
              <w:bottom w:val="single" w:sz="4" w:space="0" w:color="auto"/>
            </w:tcBorders>
            <w:shd w:val="clear" w:color="auto" w:fill="FABF8F"/>
            <w:vAlign w:val="center"/>
          </w:tcPr>
          <w:p w:rsidR="001A63C6" w:rsidRPr="00451078" w:rsidRDefault="001A63C6" w:rsidP="00281623">
            <w:pPr>
              <w:pStyle w:val="ProductNames"/>
              <w:rPr>
                <w:rFonts w:ascii="Tahoma" w:hAnsi="Tahoma" w:cs="Tahoma"/>
                <w:sz w:val="14"/>
                <w:lang w:val="it-IT"/>
              </w:rPr>
            </w:pPr>
            <w:bookmarkStart w:id="220" w:name="_Toc352234565"/>
            <w:r w:rsidRPr="00451078">
              <w:rPr>
                <w:rFonts w:ascii="Tahoma" w:hAnsi="Tahoma" w:cs="Tahoma"/>
                <w:sz w:val="14"/>
                <w:lang w:val="it-IT"/>
              </w:rPr>
              <w:t>Enterprise CAL per Exchange 2013 con</w:t>
            </w:r>
            <w:r w:rsidR="00281623" w:rsidRPr="00451078">
              <w:rPr>
                <w:rFonts w:ascii="Tahoma" w:hAnsi="Tahoma" w:cs="Tahoma"/>
                <w:sz w:val="14"/>
                <w:lang w:val="it-IT"/>
              </w:rPr>
              <w:t> </w:t>
            </w:r>
            <w:r w:rsidRPr="00451078">
              <w:rPr>
                <w:rFonts w:ascii="Tahoma" w:hAnsi="Tahoma" w:cs="Tahoma"/>
                <w:sz w:val="14"/>
                <w:lang w:val="it-IT"/>
              </w:rPr>
              <w:t>Servizi</w:t>
            </w:r>
            <w:bookmarkEnd w:id="220"/>
          </w:p>
        </w:tc>
        <w:tc>
          <w:tcPr>
            <w:tcW w:w="450" w:type="dxa"/>
            <w:tcBorders>
              <w:bottom w:val="single" w:sz="4" w:space="0" w:color="auto"/>
            </w:tcBorders>
            <w:shd w:val="clear" w:color="auto" w:fill="FABF8F"/>
            <w:vAlign w:val="center"/>
          </w:tcPr>
          <w:p w:rsidR="001A63C6" w:rsidRPr="009F17FF" w:rsidRDefault="00FC1A4D" w:rsidP="00D11241">
            <w:pPr>
              <w:pStyle w:val="TableText"/>
              <w:widowControl w:val="0"/>
              <w:rPr>
                <w:b/>
                <w:sz w:val="13"/>
                <w:szCs w:val="13"/>
                <w:u w:val="single"/>
              </w:rPr>
            </w:pPr>
            <w:hyperlink w:anchor="_43_Exchange_Enterprise" w:history="1">
              <w:r w:rsidR="000D77F6" w:rsidRPr="009F17FF">
                <w:rPr>
                  <w:rStyle w:val="Hyperlink"/>
                  <w:b/>
                  <w:sz w:val="13"/>
                  <w:szCs w:val="13"/>
                </w:rPr>
                <w:t>43</w:t>
              </w:r>
            </w:hyperlink>
          </w:p>
        </w:tc>
        <w:tc>
          <w:tcPr>
            <w:tcW w:w="450" w:type="dxa"/>
            <w:tcBorders>
              <w:bottom w:val="single" w:sz="4" w:space="0" w:color="auto"/>
            </w:tcBorders>
            <w:shd w:val="clear" w:color="auto" w:fill="FABF8F"/>
            <w:vAlign w:val="center"/>
          </w:tcPr>
          <w:p w:rsidR="001A63C6" w:rsidRPr="003410C7" w:rsidRDefault="001A63C6" w:rsidP="001A63C6">
            <w:pPr>
              <w:pStyle w:val="TableText"/>
              <w:widowControl w:val="0"/>
              <w:spacing w:before="40"/>
              <w:rPr>
                <w:rFonts w:ascii="Tahoma" w:hAnsi="Tahoma" w:cs="Tahoma"/>
                <w:sz w:val="13"/>
              </w:rPr>
            </w:pPr>
            <w:r w:rsidRPr="003410C7">
              <w:rPr>
                <w:rFonts w:ascii="Tahoma" w:hAnsi="Tahoma" w:cs="Tahoma"/>
                <w:sz w:val="13"/>
              </w:rPr>
              <w:t>10/12</w:t>
            </w:r>
          </w:p>
        </w:tc>
        <w:tc>
          <w:tcPr>
            <w:tcW w:w="360" w:type="dxa"/>
            <w:tcBorders>
              <w:bottom w:val="single" w:sz="4" w:space="0" w:color="auto"/>
              <w:right w:val="single" w:sz="18" w:space="0" w:color="auto"/>
            </w:tcBorders>
            <w:shd w:val="clear" w:color="auto" w:fill="FABF8F"/>
            <w:vAlign w:val="center"/>
          </w:tcPr>
          <w:p w:rsidR="001A63C6" w:rsidRPr="003410C7" w:rsidRDefault="001A63C6" w:rsidP="001A63C6">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FABF8F"/>
            <w:vAlign w:val="center"/>
          </w:tcPr>
          <w:p w:rsidR="001A63C6" w:rsidRPr="003410C7" w:rsidRDefault="001A63C6" w:rsidP="001A63C6">
            <w:pPr>
              <w:pStyle w:val="TableText"/>
              <w:widowControl w:val="0"/>
              <w:rPr>
                <w:rFonts w:ascii="Tahoma" w:hAnsi="Tahoma" w:cs="Tahoma"/>
                <w:sz w:val="13"/>
              </w:rPr>
            </w:pPr>
            <w:r w:rsidRPr="003410C7">
              <w:rPr>
                <w:rFonts w:ascii="Tahoma" w:hAnsi="Tahoma" w:cs="Tahoma"/>
                <w:sz w:val="13"/>
              </w:rPr>
              <w:t>1</w:t>
            </w:r>
          </w:p>
        </w:tc>
        <w:tc>
          <w:tcPr>
            <w:tcW w:w="450" w:type="dxa"/>
            <w:tcBorders>
              <w:bottom w:val="single" w:sz="4" w:space="0" w:color="auto"/>
            </w:tcBorders>
            <w:shd w:val="clear" w:color="auto" w:fill="FABF8F"/>
            <w:vAlign w:val="center"/>
          </w:tcPr>
          <w:p w:rsidR="001A63C6" w:rsidRPr="003410C7" w:rsidRDefault="001A63C6" w:rsidP="001A63C6">
            <w:pPr>
              <w:pStyle w:val="TableText"/>
              <w:widowControl w:val="0"/>
              <w:rPr>
                <w:rFonts w:ascii="Tahoma" w:hAnsi="Tahoma" w:cs="Tahoma"/>
                <w:bCs/>
                <w:color w:val="000000"/>
                <w:sz w:val="13"/>
              </w:rPr>
            </w:pPr>
            <w:r w:rsidRPr="003410C7">
              <w:rPr>
                <w:rFonts w:ascii="Tahoma" w:hAnsi="Tahoma" w:cs="Tahoma"/>
                <w:bCs/>
                <w:color w:val="000000"/>
                <w:sz w:val="13"/>
              </w:rPr>
              <w:t>3</w:t>
            </w:r>
          </w:p>
        </w:tc>
        <w:tc>
          <w:tcPr>
            <w:tcW w:w="450" w:type="dxa"/>
            <w:tcBorders>
              <w:bottom w:val="single" w:sz="4" w:space="0" w:color="auto"/>
            </w:tcBorders>
            <w:shd w:val="clear" w:color="auto" w:fill="FABF8F"/>
            <w:vAlign w:val="center"/>
          </w:tcPr>
          <w:p w:rsidR="001A63C6" w:rsidRPr="003410C7" w:rsidRDefault="001A63C6" w:rsidP="001A63C6">
            <w:pPr>
              <w:pStyle w:val="TableText"/>
              <w:widowControl w:val="0"/>
              <w:rPr>
                <w:rFonts w:ascii="Tahoma" w:hAnsi="Tahoma" w:cs="Tahoma"/>
                <w:bCs/>
                <w:color w:val="000000"/>
                <w:sz w:val="13"/>
              </w:rPr>
            </w:pPr>
            <w:r w:rsidRPr="003410C7">
              <w:rPr>
                <w:rFonts w:ascii="Tahoma" w:hAnsi="Tahoma" w:cs="Tahoma"/>
                <w:bCs/>
                <w:color w:val="000000"/>
                <w:sz w:val="13"/>
              </w:rPr>
              <w:t>2</w:t>
            </w:r>
          </w:p>
        </w:tc>
        <w:tc>
          <w:tcPr>
            <w:tcW w:w="450" w:type="dxa"/>
            <w:tcBorders>
              <w:bottom w:val="single" w:sz="4" w:space="0" w:color="auto"/>
            </w:tcBorders>
            <w:shd w:val="clear" w:color="auto" w:fill="FABF8F"/>
            <w:vAlign w:val="center"/>
          </w:tcPr>
          <w:p w:rsidR="001A63C6" w:rsidRPr="003410C7" w:rsidRDefault="001A63C6" w:rsidP="001A63C6">
            <w:pPr>
              <w:pStyle w:val="TableText"/>
              <w:widowControl w:val="0"/>
              <w:rPr>
                <w:rFonts w:ascii="Tahoma" w:hAnsi="Tahoma" w:cs="Tahoma"/>
                <w:bCs/>
                <w:color w:val="000000"/>
                <w:sz w:val="13"/>
              </w:rPr>
            </w:pPr>
            <w:r w:rsidRPr="003410C7">
              <w:rPr>
                <w:rFonts w:ascii="Tahoma" w:hAnsi="Tahoma" w:cs="Tahoma"/>
                <w:bCs/>
                <w:color w:val="000000"/>
                <w:sz w:val="13"/>
              </w:rPr>
              <w:t>2</w:t>
            </w:r>
          </w:p>
        </w:tc>
        <w:tc>
          <w:tcPr>
            <w:tcW w:w="450" w:type="dxa"/>
            <w:tcBorders>
              <w:bottom w:val="single" w:sz="4" w:space="0" w:color="auto"/>
            </w:tcBorders>
            <w:shd w:val="clear" w:color="auto" w:fill="FABF8F"/>
            <w:vAlign w:val="center"/>
          </w:tcPr>
          <w:p w:rsidR="001A63C6" w:rsidRPr="003410C7" w:rsidRDefault="001A63C6" w:rsidP="001A63C6">
            <w:pPr>
              <w:pStyle w:val="TableText"/>
              <w:widowControl w:val="0"/>
              <w:rPr>
                <w:rFonts w:ascii="Tahoma" w:hAnsi="Tahoma" w:cs="Tahoma"/>
                <w:bCs/>
                <w:color w:val="000000"/>
                <w:sz w:val="13"/>
              </w:rPr>
            </w:pPr>
            <w:r w:rsidRPr="003410C7">
              <w:rPr>
                <w:rFonts w:ascii="Tahoma" w:hAnsi="Tahoma" w:cs="Tahoma"/>
                <w:bCs/>
                <w:color w:val="000000"/>
                <w:sz w:val="13"/>
              </w:rPr>
              <w:t>2</w:t>
            </w:r>
          </w:p>
        </w:tc>
        <w:tc>
          <w:tcPr>
            <w:tcW w:w="450" w:type="dxa"/>
            <w:tcBorders>
              <w:bottom w:val="single" w:sz="4" w:space="0" w:color="auto"/>
            </w:tcBorders>
            <w:shd w:val="clear" w:color="auto" w:fill="FABF8F"/>
            <w:vAlign w:val="center"/>
          </w:tcPr>
          <w:p w:rsidR="001A63C6" w:rsidRPr="003410C7" w:rsidRDefault="001A63C6" w:rsidP="001A63C6">
            <w:pPr>
              <w:pStyle w:val="TableText"/>
              <w:widowControl w:val="0"/>
              <w:rPr>
                <w:rFonts w:ascii="Tahoma" w:hAnsi="Tahoma" w:cs="Tahoma"/>
                <w:bCs/>
                <w:color w:val="000000"/>
                <w:sz w:val="13"/>
              </w:rPr>
            </w:pPr>
            <w:r w:rsidRPr="003410C7">
              <w:rPr>
                <w:rFonts w:ascii="Tahoma" w:hAnsi="Tahoma" w:cs="Tahoma"/>
                <w:bCs/>
                <w:color w:val="000000"/>
                <w:sz w:val="13"/>
              </w:rPr>
              <w:t>1</w:t>
            </w:r>
          </w:p>
        </w:tc>
        <w:tc>
          <w:tcPr>
            <w:tcW w:w="360" w:type="dxa"/>
            <w:tcBorders>
              <w:bottom w:val="single" w:sz="4" w:space="0" w:color="auto"/>
              <w:right w:val="single" w:sz="18" w:space="0" w:color="auto"/>
            </w:tcBorders>
            <w:shd w:val="clear" w:color="auto" w:fill="FABF8F"/>
            <w:vAlign w:val="center"/>
          </w:tcPr>
          <w:p w:rsidR="001A63C6" w:rsidRPr="003410C7" w:rsidRDefault="001A63C6" w:rsidP="001A63C6">
            <w:pPr>
              <w:pStyle w:val="TableText"/>
              <w:widowControl w:val="0"/>
              <w:rPr>
                <w:rFonts w:ascii="Tahoma" w:hAnsi="Tahoma" w:cs="Tahoma"/>
                <w:color w:val="000000"/>
                <w:sz w:val="13"/>
              </w:rPr>
            </w:pPr>
            <w:r w:rsidRPr="003410C7">
              <w:rPr>
                <w:rFonts w:ascii="Tahoma" w:hAnsi="Tahoma" w:cs="Tahoma"/>
                <w:color w:val="000000"/>
                <w:sz w:val="13"/>
              </w:rPr>
              <w:t>1</w:t>
            </w:r>
          </w:p>
        </w:tc>
        <w:tc>
          <w:tcPr>
            <w:tcW w:w="450" w:type="dxa"/>
            <w:tcBorders>
              <w:left w:val="single" w:sz="18" w:space="0" w:color="auto"/>
              <w:bottom w:val="single" w:sz="4" w:space="0" w:color="auto"/>
            </w:tcBorders>
            <w:shd w:val="clear" w:color="auto" w:fill="FABF8F"/>
            <w:vAlign w:val="center"/>
          </w:tcPr>
          <w:p w:rsidR="001A63C6" w:rsidRPr="003410C7"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3410C7"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1A63C6" w:rsidRPr="003410C7"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3410C7" w:rsidRDefault="001A63C6" w:rsidP="001A63C6">
            <w:pPr>
              <w:pStyle w:val="TableText"/>
              <w:widowControl w:val="0"/>
              <w:rPr>
                <w:rFonts w:ascii="Tahoma" w:hAnsi="Tahoma" w:cs="Tahoma"/>
                <w:sz w:val="13"/>
              </w:rPr>
            </w:pPr>
            <w:r w:rsidRPr="003410C7">
              <w:rPr>
                <w:rFonts w:ascii="Tahoma" w:hAnsi="Tahoma" w:cs="Tahoma"/>
                <w:sz w:val="13"/>
              </w:rPr>
              <w:t>1</w:t>
            </w:r>
          </w:p>
        </w:tc>
        <w:tc>
          <w:tcPr>
            <w:tcW w:w="450" w:type="dxa"/>
            <w:tcBorders>
              <w:bottom w:val="single" w:sz="4" w:space="0" w:color="auto"/>
              <w:right w:val="single" w:sz="18" w:space="0" w:color="auto"/>
            </w:tcBorders>
            <w:shd w:val="clear" w:color="auto" w:fill="FABF8F"/>
            <w:vAlign w:val="center"/>
          </w:tcPr>
          <w:p w:rsidR="001A63C6" w:rsidRPr="003410C7" w:rsidRDefault="001A63C6" w:rsidP="001A63C6">
            <w:pPr>
              <w:pStyle w:val="TableText"/>
              <w:widowControl w:val="0"/>
              <w:rPr>
                <w:rFonts w:ascii="Tahoma" w:hAnsi="Tahoma" w:cs="Tahoma"/>
                <w:sz w:val="13"/>
              </w:rPr>
            </w:pPr>
            <w:r w:rsidRPr="003410C7">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3410C7" w:rsidRDefault="001A63C6" w:rsidP="001A63C6">
            <w:pPr>
              <w:pStyle w:val="TableText"/>
              <w:widowControl w:val="0"/>
              <w:rPr>
                <w:rFonts w:ascii="Tahoma" w:hAnsi="Tahoma" w:cs="Tahoma"/>
                <w:sz w:val="13"/>
              </w:rPr>
            </w:pPr>
            <w:r w:rsidRPr="003410C7">
              <w:rPr>
                <w:rFonts w:ascii="Tahoma" w:hAnsi="Tahoma" w:cs="Tahoma"/>
                <w:sz w:val="13"/>
              </w:rPr>
              <w:t>P</w:t>
            </w:r>
          </w:p>
        </w:tc>
        <w:tc>
          <w:tcPr>
            <w:tcW w:w="450" w:type="dxa"/>
            <w:tcBorders>
              <w:bottom w:val="single" w:sz="4" w:space="0" w:color="auto"/>
            </w:tcBorders>
            <w:shd w:val="clear" w:color="auto" w:fill="FABF8F"/>
            <w:vAlign w:val="center"/>
          </w:tcPr>
          <w:p w:rsidR="001A63C6" w:rsidRPr="003410C7" w:rsidRDefault="001A63C6" w:rsidP="001A63C6">
            <w:pPr>
              <w:pStyle w:val="TableText"/>
              <w:widowControl w:val="0"/>
              <w:rPr>
                <w:rFonts w:ascii="Tahoma" w:hAnsi="Tahoma" w:cs="Tahoma"/>
                <w:sz w:val="13"/>
              </w:rPr>
            </w:pPr>
            <w:r w:rsidRPr="003410C7">
              <w:rPr>
                <w:rFonts w:ascii="Tahoma" w:hAnsi="Tahoma" w:cs="Tahoma"/>
                <w:sz w:val="13"/>
              </w:rPr>
              <w:t>A</w:t>
            </w:r>
          </w:p>
        </w:tc>
        <w:tc>
          <w:tcPr>
            <w:tcW w:w="540" w:type="dxa"/>
            <w:tcBorders>
              <w:bottom w:val="single" w:sz="4" w:space="0" w:color="auto"/>
            </w:tcBorders>
            <w:shd w:val="clear" w:color="auto" w:fill="FABF8F"/>
            <w:vAlign w:val="center"/>
          </w:tcPr>
          <w:p w:rsidR="001A63C6" w:rsidRPr="003410C7" w:rsidRDefault="001A63C6" w:rsidP="001A63C6">
            <w:pPr>
              <w:pStyle w:val="TableText"/>
              <w:widowControl w:val="0"/>
              <w:rPr>
                <w:rFonts w:ascii="Tahoma" w:hAnsi="Tahoma" w:cs="Tahoma"/>
                <w:sz w:val="13"/>
              </w:rPr>
            </w:pPr>
          </w:p>
        </w:tc>
      </w:tr>
      <w:tr w:rsidR="00B33D0E" w:rsidRPr="003410C7" w:rsidTr="006B1F3F">
        <w:trPr>
          <w:trHeight w:val="145"/>
        </w:trPr>
        <w:tc>
          <w:tcPr>
            <w:tcW w:w="2734" w:type="dxa"/>
            <w:gridSpan w:val="2"/>
            <w:tcBorders>
              <w:bottom w:val="single" w:sz="4" w:space="0" w:color="auto"/>
            </w:tcBorders>
            <w:shd w:val="clear" w:color="auto" w:fill="auto"/>
          </w:tcPr>
          <w:p w:rsidR="001A63C6" w:rsidRPr="00451078" w:rsidRDefault="001A63C6" w:rsidP="00281623">
            <w:pPr>
              <w:pStyle w:val="Heading2"/>
              <w:ind w:left="0"/>
              <w:rPr>
                <w:rFonts w:ascii="Tahoma" w:hAnsi="Tahoma" w:cs="Tahoma"/>
                <w:b w:val="0"/>
                <w:sz w:val="14"/>
                <w:lang w:val="it-IT"/>
              </w:rPr>
            </w:pPr>
            <w:bookmarkStart w:id="221" w:name="_Toc352234566"/>
            <w:r w:rsidRPr="00451078">
              <w:rPr>
                <w:rFonts w:ascii="Tahoma" w:hAnsi="Tahoma" w:cs="Tahoma"/>
                <w:b w:val="0"/>
                <w:sz w:val="14"/>
                <w:lang w:val="it-IT"/>
              </w:rPr>
              <w:t>Enterprise CAL per Exchange 2013 senza</w:t>
            </w:r>
            <w:r w:rsidR="00281623" w:rsidRPr="00451078">
              <w:rPr>
                <w:rFonts w:ascii="Tahoma" w:hAnsi="Tahoma" w:cs="Tahoma"/>
                <w:b w:val="0"/>
                <w:sz w:val="14"/>
                <w:lang w:val="it-IT"/>
              </w:rPr>
              <w:t> </w:t>
            </w:r>
            <w:r w:rsidRPr="00451078">
              <w:rPr>
                <w:rFonts w:ascii="Tahoma" w:hAnsi="Tahoma" w:cs="Tahoma"/>
                <w:b w:val="0"/>
                <w:sz w:val="14"/>
                <w:lang w:val="it-IT"/>
              </w:rPr>
              <w:t>Servizi</w:t>
            </w:r>
            <w:bookmarkEnd w:id="221"/>
          </w:p>
        </w:tc>
        <w:tc>
          <w:tcPr>
            <w:tcW w:w="450" w:type="dxa"/>
            <w:tcBorders>
              <w:bottom w:val="single" w:sz="4" w:space="0" w:color="auto"/>
            </w:tcBorders>
            <w:shd w:val="clear" w:color="auto" w:fill="auto"/>
            <w:vAlign w:val="center"/>
          </w:tcPr>
          <w:p w:rsidR="001A63C6" w:rsidRPr="00451078" w:rsidRDefault="001A63C6" w:rsidP="001A63C6">
            <w:pPr>
              <w:pStyle w:val="TableText"/>
              <w:widowControl w:val="0"/>
              <w:rPr>
                <w:b/>
                <w:color w:val="0000FF"/>
                <w:sz w:val="13"/>
                <w:szCs w:val="13"/>
                <w:u w:val="single"/>
                <w:lang w:val="it-IT"/>
              </w:rPr>
            </w:pPr>
          </w:p>
        </w:tc>
        <w:tc>
          <w:tcPr>
            <w:tcW w:w="450" w:type="dxa"/>
            <w:tcBorders>
              <w:bottom w:val="single" w:sz="4" w:space="0" w:color="auto"/>
            </w:tcBorders>
            <w:shd w:val="clear" w:color="auto" w:fill="auto"/>
            <w:vAlign w:val="center"/>
          </w:tcPr>
          <w:p w:rsidR="001A63C6" w:rsidRPr="003410C7" w:rsidRDefault="001A63C6" w:rsidP="001A63C6">
            <w:pPr>
              <w:pStyle w:val="TableText"/>
              <w:widowControl w:val="0"/>
              <w:spacing w:before="80"/>
              <w:rPr>
                <w:rFonts w:ascii="Tahoma" w:hAnsi="Tahoma" w:cs="Tahoma"/>
                <w:sz w:val="13"/>
              </w:rPr>
            </w:pPr>
            <w:r w:rsidRPr="003410C7">
              <w:rPr>
                <w:rFonts w:ascii="Tahoma" w:hAnsi="Tahoma" w:cs="Tahoma"/>
                <w:sz w:val="13"/>
              </w:rPr>
              <w:t>10/12</w:t>
            </w:r>
          </w:p>
        </w:tc>
        <w:tc>
          <w:tcPr>
            <w:tcW w:w="360" w:type="dxa"/>
            <w:tcBorders>
              <w:bottom w:val="single" w:sz="4" w:space="0" w:color="auto"/>
              <w:right w:val="single" w:sz="18" w:space="0" w:color="auto"/>
            </w:tcBorders>
            <w:shd w:val="clear" w:color="auto" w:fill="auto"/>
            <w:vAlign w:val="center"/>
          </w:tcPr>
          <w:p w:rsidR="001A63C6" w:rsidRPr="003410C7" w:rsidRDefault="001A63C6" w:rsidP="001A63C6">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auto"/>
            <w:vAlign w:val="center"/>
          </w:tcPr>
          <w:p w:rsidR="001A63C6" w:rsidRPr="003410C7"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3410C7"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3410C7"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3410C7"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3410C7"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3410C7" w:rsidRDefault="001A63C6" w:rsidP="001A63C6">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auto"/>
            <w:vAlign w:val="center"/>
          </w:tcPr>
          <w:p w:rsidR="001A63C6" w:rsidRPr="003410C7"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1A63C6" w:rsidRPr="003410C7" w:rsidRDefault="001A63C6" w:rsidP="001A63C6">
            <w:pPr>
              <w:pStyle w:val="TableText"/>
              <w:widowControl w:val="0"/>
              <w:rPr>
                <w:rFonts w:ascii="Tahoma" w:hAnsi="Tahoma" w:cs="Tahoma"/>
                <w:sz w:val="13"/>
              </w:rPr>
            </w:pPr>
            <w:r w:rsidRPr="003410C7">
              <w:rPr>
                <w:rFonts w:ascii="Tahoma" w:hAnsi="Tahoma" w:cs="Tahoma"/>
                <w:sz w:val="13"/>
              </w:rPr>
              <w:t>1</w:t>
            </w:r>
          </w:p>
        </w:tc>
        <w:tc>
          <w:tcPr>
            <w:tcW w:w="450" w:type="dxa"/>
            <w:tcBorders>
              <w:bottom w:val="single" w:sz="4" w:space="0" w:color="auto"/>
            </w:tcBorders>
            <w:shd w:val="clear" w:color="auto" w:fill="auto"/>
            <w:vAlign w:val="center"/>
          </w:tcPr>
          <w:p w:rsidR="001A63C6" w:rsidRPr="003410C7" w:rsidRDefault="001A63C6" w:rsidP="001A63C6">
            <w:pPr>
              <w:pStyle w:val="TableText"/>
              <w:widowControl w:val="0"/>
              <w:rPr>
                <w:rFonts w:ascii="Tahoma" w:hAnsi="Tahoma" w:cs="Tahoma"/>
                <w:sz w:val="13"/>
              </w:rPr>
            </w:pPr>
            <w:r w:rsidRPr="003410C7">
              <w:rPr>
                <w:rFonts w:ascii="Tahoma" w:hAnsi="Tahoma" w:cs="Tahoma"/>
                <w:sz w:val="13"/>
              </w:rPr>
              <w:t>2</w:t>
            </w:r>
          </w:p>
        </w:tc>
        <w:tc>
          <w:tcPr>
            <w:tcW w:w="450" w:type="dxa"/>
            <w:tcBorders>
              <w:bottom w:val="single" w:sz="4" w:space="0" w:color="auto"/>
              <w:right w:val="single" w:sz="18" w:space="0" w:color="auto"/>
            </w:tcBorders>
            <w:shd w:val="clear" w:color="auto" w:fill="auto"/>
            <w:vAlign w:val="center"/>
          </w:tcPr>
          <w:p w:rsidR="001A63C6" w:rsidRPr="003410C7" w:rsidRDefault="001A63C6" w:rsidP="001A63C6">
            <w:pPr>
              <w:pStyle w:val="TableText"/>
              <w:widowControl w:val="0"/>
              <w:rPr>
                <w:rFonts w:ascii="Tahoma" w:hAnsi="Tahoma" w:cs="Tahoma"/>
                <w:sz w:val="13"/>
              </w:rPr>
            </w:pPr>
            <w:r w:rsidRPr="003410C7">
              <w:rPr>
                <w:rFonts w:ascii="Tahoma" w:hAnsi="Tahoma" w:cs="Tahoma"/>
                <w:sz w:val="13"/>
              </w:rPr>
              <w:t>1</w:t>
            </w:r>
          </w:p>
        </w:tc>
        <w:tc>
          <w:tcPr>
            <w:tcW w:w="450" w:type="dxa"/>
            <w:tcBorders>
              <w:left w:val="single" w:sz="18" w:space="0" w:color="auto"/>
              <w:bottom w:val="single" w:sz="4" w:space="0" w:color="auto"/>
            </w:tcBorders>
            <w:shd w:val="clear" w:color="auto" w:fill="auto"/>
            <w:vAlign w:val="center"/>
          </w:tcPr>
          <w:p w:rsidR="001A63C6" w:rsidRPr="003410C7" w:rsidRDefault="001A63C6" w:rsidP="001A63C6">
            <w:pPr>
              <w:pStyle w:val="TableText"/>
              <w:widowControl w:val="0"/>
              <w:rPr>
                <w:rFonts w:ascii="Tahoma" w:hAnsi="Tahoma" w:cs="Tahoma"/>
                <w:sz w:val="13"/>
              </w:rPr>
            </w:pPr>
            <w:r w:rsidRPr="003410C7">
              <w:rPr>
                <w:rFonts w:ascii="Tahoma" w:hAnsi="Tahoma" w:cs="Tahoma"/>
                <w:sz w:val="13"/>
              </w:rPr>
              <w:t>1</w:t>
            </w:r>
          </w:p>
        </w:tc>
        <w:tc>
          <w:tcPr>
            <w:tcW w:w="450" w:type="dxa"/>
            <w:tcBorders>
              <w:bottom w:val="single" w:sz="4" w:space="0" w:color="auto"/>
              <w:right w:val="single" w:sz="18" w:space="0" w:color="auto"/>
            </w:tcBorders>
            <w:shd w:val="clear" w:color="auto" w:fill="auto"/>
            <w:vAlign w:val="center"/>
          </w:tcPr>
          <w:p w:rsidR="001A63C6" w:rsidRPr="003410C7"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rsidR="001A63C6" w:rsidRPr="003410C7"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3410C7" w:rsidRDefault="001A63C6" w:rsidP="001A63C6">
            <w:pPr>
              <w:pStyle w:val="TableText"/>
              <w:widowControl w:val="0"/>
              <w:rPr>
                <w:rFonts w:ascii="Tahoma" w:hAnsi="Tahoma" w:cs="Tahoma"/>
                <w:sz w:val="13"/>
              </w:rPr>
            </w:pPr>
            <w:r w:rsidRPr="003410C7">
              <w:rPr>
                <w:rFonts w:ascii="Tahoma" w:hAnsi="Tahoma" w:cs="Tahoma"/>
                <w:sz w:val="13"/>
              </w:rPr>
              <w:t>AO, ST</w:t>
            </w:r>
          </w:p>
        </w:tc>
        <w:tc>
          <w:tcPr>
            <w:tcW w:w="540" w:type="dxa"/>
            <w:tcBorders>
              <w:bottom w:val="single" w:sz="4" w:space="0" w:color="auto"/>
            </w:tcBorders>
            <w:shd w:val="clear" w:color="auto" w:fill="auto"/>
            <w:vAlign w:val="center"/>
          </w:tcPr>
          <w:p w:rsidR="001A63C6" w:rsidRPr="003410C7" w:rsidRDefault="001A63C6" w:rsidP="001A63C6">
            <w:pPr>
              <w:pStyle w:val="TableText"/>
              <w:widowControl w:val="0"/>
              <w:rPr>
                <w:rFonts w:ascii="Tahoma" w:hAnsi="Tahoma" w:cs="Tahoma"/>
                <w:sz w:val="13"/>
              </w:rPr>
            </w:pPr>
          </w:p>
        </w:tc>
      </w:tr>
      <w:tr w:rsidR="00EF228F" w:rsidRPr="003410C7" w:rsidTr="006B1F3F">
        <w:trPr>
          <w:trHeight w:val="145"/>
        </w:trPr>
        <w:tc>
          <w:tcPr>
            <w:tcW w:w="2734" w:type="dxa"/>
            <w:gridSpan w:val="2"/>
            <w:tcBorders>
              <w:bottom w:val="single" w:sz="4" w:space="0" w:color="auto"/>
            </w:tcBorders>
            <w:shd w:val="clear" w:color="auto" w:fill="FABF8F"/>
          </w:tcPr>
          <w:p w:rsidR="001A63C6" w:rsidRPr="00451078" w:rsidRDefault="001A63C6" w:rsidP="001A63C6">
            <w:pPr>
              <w:pStyle w:val="Heading2"/>
              <w:ind w:left="0"/>
              <w:rPr>
                <w:rFonts w:ascii="Tahoma" w:hAnsi="Tahoma" w:cs="Tahoma"/>
                <w:b w:val="0"/>
                <w:sz w:val="14"/>
                <w:lang w:val="it-IT"/>
              </w:rPr>
            </w:pPr>
            <w:bookmarkStart w:id="222" w:name="_Toc336337946"/>
            <w:bookmarkStart w:id="223" w:name="_Toc352234567"/>
            <w:r w:rsidRPr="00451078">
              <w:rPr>
                <w:rFonts w:ascii="Tahoma" w:hAnsi="Tahoma" w:cs="Tahoma"/>
                <w:b w:val="0"/>
                <w:sz w:val="14"/>
                <w:lang w:val="it-IT"/>
              </w:rPr>
              <w:t>Archiviazione Exchange Online</w:t>
            </w:r>
            <w:bookmarkEnd w:id="222"/>
            <w:r w:rsidRPr="00451078">
              <w:rPr>
                <w:rFonts w:ascii="Tahoma" w:hAnsi="Tahoma" w:cs="Tahoma"/>
                <w:b w:val="0"/>
                <w:sz w:val="14"/>
                <w:lang w:val="it-IT"/>
              </w:rPr>
              <w:t xml:space="preserve"> per Exchange Server A (SL per Utente)</w:t>
            </w:r>
            <w:bookmarkEnd w:id="223"/>
          </w:p>
        </w:tc>
        <w:tc>
          <w:tcPr>
            <w:tcW w:w="450" w:type="dxa"/>
            <w:tcBorders>
              <w:bottom w:val="single" w:sz="4" w:space="0" w:color="auto"/>
            </w:tcBorders>
            <w:shd w:val="clear" w:color="auto" w:fill="FABF8F"/>
            <w:vAlign w:val="center"/>
          </w:tcPr>
          <w:p w:rsidR="001A63C6" w:rsidRPr="009F17FF" w:rsidRDefault="00FC1A4D" w:rsidP="00D11241">
            <w:pPr>
              <w:pStyle w:val="TableText"/>
              <w:widowControl w:val="0"/>
              <w:rPr>
                <w:b/>
                <w:color w:val="0000FF"/>
                <w:sz w:val="13"/>
                <w:szCs w:val="13"/>
                <w:u w:val="single"/>
              </w:rPr>
            </w:pPr>
            <w:hyperlink w:anchor="_44_Exchange_Online" w:history="1">
              <w:r w:rsidR="000D77F6" w:rsidRPr="009F17FF">
                <w:rPr>
                  <w:rStyle w:val="Hyperlink"/>
                  <w:b/>
                  <w:sz w:val="13"/>
                  <w:szCs w:val="13"/>
                </w:rPr>
                <w:t>44</w:t>
              </w:r>
            </w:hyperlink>
          </w:p>
        </w:tc>
        <w:tc>
          <w:tcPr>
            <w:tcW w:w="450" w:type="dxa"/>
            <w:tcBorders>
              <w:bottom w:val="single" w:sz="4" w:space="0" w:color="auto"/>
            </w:tcBorders>
            <w:shd w:val="clear" w:color="auto" w:fill="FABF8F"/>
            <w:vAlign w:val="center"/>
          </w:tcPr>
          <w:p w:rsidR="001A63C6" w:rsidRPr="003410C7" w:rsidDel="00876599" w:rsidRDefault="001A63C6" w:rsidP="001A63C6">
            <w:pPr>
              <w:pStyle w:val="TableText"/>
              <w:widowControl w:val="0"/>
              <w:spacing w:before="80"/>
              <w:rPr>
                <w:rFonts w:ascii="Tahoma" w:hAnsi="Tahoma" w:cs="Tahoma"/>
                <w:sz w:val="13"/>
              </w:rPr>
            </w:pPr>
            <w:r w:rsidRPr="003410C7">
              <w:rPr>
                <w:rFonts w:ascii="Tahoma" w:hAnsi="Tahoma" w:cs="Tahoma"/>
                <w:sz w:val="13"/>
              </w:rPr>
              <w:t>06/11</w:t>
            </w:r>
          </w:p>
        </w:tc>
        <w:tc>
          <w:tcPr>
            <w:tcW w:w="360" w:type="dxa"/>
            <w:tcBorders>
              <w:bottom w:val="single" w:sz="4" w:space="0" w:color="auto"/>
              <w:right w:val="single" w:sz="18" w:space="0" w:color="auto"/>
            </w:tcBorders>
            <w:shd w:val="clear" w:color="auto" w:fill="FABF8F"/>
            <w:vAlign w:val="center"/>
          </w:tcPr>
          <w:p w:rsidR="001A63C6" w:rsidRPr="003410C7" w:rsidRDefault="001A63C6" w:rsidP="001A63C6">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FABF8F"/>
            <w:vAlign w:val="center"/>
          </w:tcPr>
          <w:p w:rsidR="001A63C6" w:rsidRPr="003410C7"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3410C7"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3410C7"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3410C7"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3410C7"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3410C7" w:rsidRDefault="001A63C6" w:rsidP="001A63C6">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rsidR="001A63C6" w:rsidRPr="003410C7"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3410C7"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3410C7"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1A63C6" w:rsidRPr="003410C7"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3410C7" w:rsidRDefault="001A63C6" w:rsidP="001A63C6">
            <w:pPr>
              <w:pStyle w:val="TableText"/>
              <w:widowControl w:val="0"/>
              <w:rPr>
                <w:rFonts w:ascii="Tahoma" w:hAnsi="Tahoma" w:cs="Tahoma"/>
                <w:sz w:val="13"/>
              </w:rPr>
            </w:pPr>
            <w:r w:rsidRPr="003410C7">
              <w:rPr>
                <w:rFonts w:ascii="Tahoma" w:hAnsi="Tahoma" w:cs="Tahoma"/>
                <w:sz w:val="13"/>
              </w:rPr>
              <w:t>1</w:t>
            </w:r>
          </w:p>
        </w:tc>
        <w:tc>
          <w:tcPr>
            <w:tcW w:w="450" w:type="dxa"/>
            <w:tcBorders>
              <w:bottom w:val="single" w:sz="4" w:space="0" w:color="auto"/>
              <w:right w:val="single" w:sz="18" w:space="0" w:color="auto"/>
            </w:tcBorders>
            <w:shd w:val="clear" w:color="auto" w:fill="FABF8F"/>
            <w:vAlign w:val="center"/>
          </w:tcPr>
          <w:p w:rsidR="001A63C6" w:rsidRPr="003410C7" w:rsidRDefault="001A63C6" w:rsidP="001A63C6">
            <w:pPr>
              <w:pStyle w:val="TableText"/>
              <w:widowControl w:val="0"/>
              <w:rPr>
                <w:rFonts w:ascii="Tahoma" w:hAnsi="Tahoma" w:cs="Tahoma"/>
                <w:sz w:val="13"/>
              </w:rPr>
            </w:pPr>
            <w:r w:rsidRPr="003410C7">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3410C7"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3410C7" w:rsidRDefault="001A63C6" w:rsidP="001A63C6">
            <w:pPr>
              <w:pStyle w:val="TableText"/>
              <w:widowControl w:val="0"/>
              <w:rPr>
                <w:rFonts w:ascii="Tahoma" w:hAnsi="Tahoma" w:cs="Tahoma"/>
                <w:sz w:val="13"/>
              </w:rPr>
            </w:pPr>
            <w:r w:rsidRPr="003410C7">
              <w:rPr>
                <w:rFonts w:ascii="Tahoma" w:hAnsi="Tahoma" w:cs="Tahoma"/>
                <w:sz w:val="13"/>
              </w:rPr>
              <w:t>A, ST</w:t>
            </w:r>
          </w:p>
        </w:tc>
        <w:tc>
          <w:tcPr>
            <w:tcW w:w="540" w:type="dxa"/>
            <w:tcBorders>
              <w:bottom w:val="single" w:sz="4" w:space="0" w:color="auto"/>
            </w:tcBorders>
            <w:shd w:val="clear" w:color="auto" w:fill="FABF8F"/>
            <w:vAlign w:val="center"/>
          </w:tcPr>
          <w:p w:rsidR="001A63C6" w:rsidRPr="003410C7" w:rsidRDefault="001A63C6" w:rsidP="001A63C6">
            <w:pPr>
              <w:pStyle w:val="TableText"/>
              <w:widowControl w:val="0"/>
              <w:rPr>
                <w:rFonts w:ascii="Tahoma" w:hAnsi="Tahoma" w:cs="Tahoma"/>
                <w:sz w:val="13"/>
              </w:rPr>
            </w:pPr>
          </w:p>
        </w:tc>
      </w:tr>
      <w:tr w:rsidR="00B33D0E" w:rsidRPr="003410C7" w:rsidTr="006B1F3F">
        <w:trPr>
          <w:trHeight w:val="145"/>
        </w:trPr>
        <w:tc>
          <w:tcPr>
            <w:tcW w:w="2734" w:type="dxa"/>
            <w:gridSpan w:val="2"/>
            <w:tcBorders>
              <w:bottom w:val="single" w:sz="4" w:space="0" w:color="auto"/>
            </w:tcBorders>
            <w:shd w:val="clear" w:color="auto" w:fill="auto"/>
            <w:vAlign w:val="center"/>
          </w:tcPr>
          <w:p w:rsidR="001A63C6" w:rsidRPr="00451078" w:rsidRDefault="001A63C6" w:rsidP="00D66F68">
            <w:pPr>
              <w:pStyle w:val="Heading3"/>
              <w:rPr>
                <w:rFonts w:ascii="Tahoma" w:hAnsi="Tahoma" w:cs="Tahoma"/>
                <w:b w:val="0"/>
                <w:lang w:val="it-IT"/>
              </w:rPr>
            </w:pPr>
            <w:bookmarkStart w:id="224" w:name="_Toc336337947"/>
            <w:bookmarkStart w:id="225" w:name="_Toc352234568"/>
            <w:r w:rsidRPr="00451078">
              <w:rPr>
                <w:rFonts w:ascii="Tahoma" w:hAnsi="Tahoma" w:cs="Tahoma"/>
                <w:b w:val="0"/>
                <w:sz w:val="14"/>
                <w:lang w:val="it-IT"/>
              </w:rPr>
              <w:t>Archiviazione Exchange Online per Exchange Server A (SL per Utente)</w:t>
            </w:r>
            <w:bookmarkEnd w:id="224"/>
            <w:bookmarkEnd w:id="225"/>
          </w:p>
        </w:tc>
        <w:tc>
          <w:tcPr>
            <w:tcW w:w="450" w:type="dxa"/>
            <w:tcBorders>
              <w:bottom w:val="single" w:sz="4" w:space="0" w:color="auto"/>
            </w:tcBorders>
            <w:shd w:val="clear" w:color="auto" w:fill="auto"/>
            <w:vAlign w:val="center"/>
          </w:tcPr>
          <w:p w:rsidR="001A63C6" w:rsidRPr="00451078" w:rsidRDefault="001A63C6" w:rsidP="00D66F68">
            <w:pPr>
              <w:pStyle w:val="TableText"/>
              <w:widowControl w:val="0"/>
              <w:rPr>
                <w:b/>
                <w:color w:val="000000"/>
                <w:sz w:val="13"/>
                <w:szCs w:val="13"/>
                <w:u w:val="single"/>
                <w:lang w:val="it-IT"/>
              </w:rPr>
            </w:pPr>
          </w:p>
        </w:tc>
        <w:tc>
          <w:tcPr>
            <w:tcW w:w="450" w:type="dxa"/>
            <w:tcBorders>
              <w:bottom w:val="single" w:sz="4" w:space="0" w:color="auto"/>
            </w:tcBorders>
            <w:shd w:val="clear" w:color="auto" w:fill="auto"/>
            <w:vAlign w:val="center"/>
          </w:tcPr>
          <w:p w:rsidR="001A63C6" w:rsidRPr="003410C7" w:rsidRDefault="001A63C6" w:rsidP="007E466C">
            <w:pPr>
              <w:pStyle w:val="TableText"/>
              <w:widowControl w:val="0"/>
              <w:rPr>
                <w:rFonts w:ascii="Tahoma" w:hAnsi="Tahoma" w:cs="Tahoma"/>
                <w:sz w:val="13"/>
              </w:rPr>
            </w:pPr>
            <w:r w:rsidRPr="003410C7">
              <w:rPr>
                <w:rFonts w:ascii="Tahoma" w:hAnsi="Tahoma" w:cs="Tahoma"/>
                <w:sz w:val="13"/>
              </w:rPr>
              <w:t>06/12</w:t>
            </w:r>
          </w:p>
        </w:tc>
        <w:tc>
          <w:tcPr>
            <w:tcW w:w="360" w:type="dxa"/>
            <w:tcBorders>
              <w:bottom w:val="single" w:sz="4" w:space="0" w:color="auto"/>
              <w:right w:val="single" w:sz="18" w:space="0" w:color="auto"/>
            </w:tcBorders>
            <w:shd w:val="clear" w:color="auto" w:fill="auto"/>
            <w:vAlign w:val="center"/>
          </w:tcPr>
          <w:p w:rsidR="001A63C6" w:rsidRPr="003410C7" w:rsidRDefault="001A63C6" w:rsidP="00D66F68">
            <w:pPr>
              <w:pStyle w:val="TableText"/>
              <w:widowControl w:val="0"/>
              <w:rPr>
                <w:rFonts w:ascii="Tahoma" w:hAnsi="Tahoma" w:cs="Tahoma"/>
                <w:sz w:val="13"/>
              </w:rPr>
            </w:pPr>
          </w:p>
        </w:tc>
        <w:tc>
          <w:tcPr>
            <w:tcW w:w="2970" w:type="dxa"/>
            <w:gridSpan w:val="7"/>
            <w:tcBorders>
              <w:left w:val="single" w:sz="18" w:space="0" w:color="auto"/>
              <w:bottom w:val="single" w:sz="4" w:space="0" w:color="auto"/>
              <w:right w:val="single" w:sz="18" w:space="0" w:color="auto"/>
            </w:tcBorders>
            <w:shd w:val="clear" w:color="auto" w:fill="auto"/>
            <w:vAlign w:val="center"/>
          </w:tcPr>
          <w:p w:rsidR="001A63C6" w:rsidRPr="003410C7" w:rsidRDefault="001A63C6" w:rsidP="00D66F68">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1A63C6" w:rsidRPr="003410C7" w:rsidRDefault="001A63C6" w:rsidP="00D02D7A">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3410C7" w:rsidRDefault="001A63C6" w:rsidP="00D02D7A">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1A63C6" w:rsidRPr="003410C7" w:rsidRDefault="001A63C6" w:rsidP="00242B11">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1A63C6" w:rsidRPr="003410C7" w:rsidRDefault="001A63C6" w:rsidP="00242B11">
            <w:pPr>
              <w:pStyle w:val="TableText"/>
              <w:widowControl w:val="0"/>
              <w:rPr>
                <w:rFonts w:ascii="Tahoma" w:hAnsi="Tahoma" w:cs="Tahoma"/>
                <w:sz w:val="13"/>
              </w:rPr>
            </w:pPr>
            <w:r w:rsidRPr="003410C7">
              <w:rPr>
                <w:rFonts w:ascii="Tahoma" w:hAnsi="Tahoma" w:cs="Tahoma"/>
                <w:sz w:val="13"/>
              </w:rPr>
              <w:t>1</w:t>
            </w:r>
          </w:p>
        </w:tc>
        <w:tc>
          <w:tcPr>
            <w:tcW w:w="450" w:type="dxa"/>
            <w:tcBorders>
              <w:bottom w:val="single" w:sz="4" w:space="0" w:color="auto"/>
              <w:right w:val="single" w:sz="18" w:space="0" w:color="auto"/>
            </w:tcBorders>
            <w:shd w:val="clear" w:color="auto" w:fill="auto"/>
            <w:vAlign w:val="center"/>
          </w:tcPr>
          <w:p w:rsidR="001A63C6" w:rsidRPr="003410C7" w:rsidRDefault="001A63C6" w:rsidP="00EA31A6">
            <w:pPr>
              <w:pStyle w:val="TableText"/>
              <w:widowControl w:val="0"/>
              <w:rPr>
                <w:rFonts w:ascii="Tahoma" w:hAnsi="Tahoma" w:cs="Tahoma"/>
                <w:sz w:val="13"/>
              </w:rPr>
            </w:pPr>
            <w:r w:rsidRPr="003410C7">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rsidR="001A63C6" w:rsidRPr="003410C7" w:rsidRDefault="001A63C6" w:rsidP="00EA31A6">
            <w:pPr>
              <w:pStyle w:val="TableText"/>
              <w:widowControl w:val="0"/>
              <w:rPr>
                <w:rFonts w:ascii="Tahoma" w:hAnsi="Tahoma" w:cs="Tahoma"/>
                <w:sz w:val="13"/>
              </w:rPr>
            </w:pPr>
          </w:p>
        </w:tc>
        <w:tc>
          <w:tcPr>
            <w:tcW w:w="450" w:type="dxa"/>
            <w:tcBorders>
              <w:bottom w:val="single" w:sz="4" w:space="0" w:color="auto"/>
            </w:tcBorders>
            <w:shd w:val="clear" w:color="auto" w:fill="auto"/>
          </w:tcPr>
          <w:p w:rsidR="001A63C6" w:rsidRPr="003410C7" w:rsidRDefault="001A63C6" w:rsidP="007E466C">
            <w:pPr>
              <w:pStyle w:val="TableText"/>
              <w:widowControl w:val="0"/>
              <w:rPr>
                <w:rFonts w:ascii="Tahoma" w:hAnsi="Tahoma" w:cs="Tahoma"/>
                <w:sz w:val="13"/>
              </w:rPr>
            </w:pPr>
            <w:r w:rsidRPr="003410C7">
              <w:rPr>
                <w:rFonts w:ascii="Tahoma" w:hAnsi="Tahoma" w:cs="Tahoma"/>
                <w:sz w:val="13"/>
              </w:rPr>
              <w:t>A, ST (Solo EES)</w:t>
            </w:r>
          </w:p>
        </w:tc>
        <w:tc>
          <w:tcPr>
            <w:tcW w:w="540" w:type="dxa"/>
            <w:tcBorders>
              <w:bottom w:val="single" w:sz="4" w:space="0" w:color="auto"/>
            </w:tcBorders>
            <w:shd w:val="clear" w:color="auto" w:fill="auto"/>
            <w:vAlign w:val="center"/>
          </w:tcPr>
          <w:p w:rsidR="001A63C6" w:rsidRPr="003410C7" w:rsidRDefault="001A63C6" w:rsidP="00D66F68">
            <w:pPr>
              <w:pStyle w:val="TableText"/>
              <w:widowControl w:val="0"/>
              <w:rPr>
                <w:rFonts w:ascii="Tahoma" w:hAnsi="Tahoma" w:cs="Tahoma"/>
                <w:sz w:val="13"/>
              </w:rPr>
            </w:pPr>
          </w:p>
        </w:tc>
      </w:tr>
      <w:tr w:rsidR="00B33D0E" w:rsidRPr="003410C7" w:rsidTr="006B1F3F">
        <w:trPr>
          <w:trHeight w:val="145"/>
        </w:trPr>
        <w:tc>
          <w:tcPr>
            <w:tcW w:w="2734" w:type="dxa"/>
            <w:gridSpan w:val="2"/>
            <w:tcBorders>
              <w:bottom w:val="single" w:sz="4" w:space="0" w:color="auto"/>
            </w:tcBorders>
            <w:shd w:val="clear" w:color="auto" w:fill="FABF8F"/>
          </w:tcPr>
          <w:p w:rsidR="001A63C6" w:rsidRPr="003410C7" w:rsidRDefault="001A63C6" w:rsidP="001A63C6">
            <w:pPr>
              <w:pStyle w:val="ProductNames"/>
              <w:rPr>
                <w:rFonts w:ascii="Tahoma" w:hAnsi="Tahoma" w:cs="Tahoma"/>
                <w:sz w:val="14"/>
              </w:rPr>
            </w:pPr>
            <w:bookmarkStart w:id="226" w:name="_Toc336337948"/>
            <w:bookmarkStart w:id="227" w:name="_Toc352234569"/>
            <w:r w:rsidRPr="003410C7">
              <w:rPr>
                <w:rFonts w:ascii="Tahoma" w:hAnsi="Tahoma" w:cs="Tahoma"/>
                <w:sz w:val="14"/>
              </w:rPr>
              <w:t>Exchange Hosted Archive (SL per Utente)</w:t>
            </w:r>
            <w:bookmarkEnd w:id="226"/>
            <w:bookmarkEnd w:id="227"/>
          </w:p>
        </w:tc>
        <w:tc>
          <w:tcPr>
            <w:tcW w:w="450" w:type="dxa"/>
            <w:tcBorders>
              <w:bottom w:val="single" w:sz="4" w:space="0" w:color="auto"/>
            </w:tcBorders>
            <w:shd w:val="clear" w:color="auto" w:fill="FABF8F"/>
            <w:vAlign w:val="center"/>
          </w:tcPr>
          <w:p w:rsidR="001A63C6" w:rsidRPr="009F17FF" w:rsidRDefault="00FC1A4D" w:rsidP="00D11241">
            <w:pPr>
              <w:pStyle w:val="TableText"/>
              <w:widowControl w:val="0"/>
              <w:rPr>
                <w:b/>
                <w:color w:val="000000"/>
                <w:sz w:val="13"/>
                <w:szCs w:val="13"/>
                <w:u w:val="single"/>
              </w:rPr>
            </w:pPr>
            <w:hyperlink w:anchor="_45_Exchange_Hosted" w:history="1">
              <w:r w:rsidR="000D77F6" w:rsidRPr="009F17FF">
                <w:rPr>
                  <w:rStyle w:val="Hyperlink"/>
                  <w:b/>
                  <w:sz w:val="13"/>
                  <w:szCs w:val="13"/>
                </w:rPr>
                <w:t>45</w:t>
              </w:r>
            </w:hyperlink>
          </w:p>
        </w:tc>
        <w:tc>
          <w:tcPr>
            <w:tcW w:w="450" w:type="dxa"/>
            <w:tcBorders>
              <w:bottom w:val="single" w:sz="4" w:space="0" w:color="auto"/>
            </w:tcBorders>
            <w:shd w:val="clear" w:color="auto" w:fill="FABF8F"/>
            <w:vAlign w:val="center"/>
          </w:tcPr>
          <w:p w:rsidR="001A63C6" w:rsidRPr="003410C7" w:rsidRDefault="001A63C6" w:rsidP="001A63C6">
            <w:pPr>
              <w:pStyle w:val="TableText"/>
              <w:widowControl w:val="0"/>
              <w:spacing w:before="8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rsidR="001A63C6" w:rsidRPr="003410C7" w:rsidRDefault="001A63C6" w:rsidP="001A63C6">
            <w:pPr>
              <w:pStyle w:val="TableText"/>
              <w:widowControl w:val="0"/>
              <w:rPr>
                <w:rFonts w:ascii="Tahoma" w:hAnsi="Tahoma" w:cs="Tahoma"/>
                <w:sz w:val="13"/>
              </w:rPr>
            </w:pPr>
          </w:p>
        </w:tc>
        <w:tc>
          <w:tcPr>
            <w:tcW w:w="2970" w:type="dxa"/>
            <w:gridSpan w:val="7"/>
            <w:tcBorders>
              <w:left w:val="single" w:sz="18" w:space="0" w:color="auto"/>
              <w:bottom w:val="single" w:sz="4" w:space="0" w:color="auto"/>
              <w:right w:val="single" w:sz="18" w:space="0" w:color="auto"/>
            </w:tcBorders>
            <w:shd w:val="clear" w:color="auto" w:fill="FABF8F"/>
            <w:vAlign w:val="center"/>
          </w:tcPr>
          <w:p w:rsidR="001A63C6" w:rsidRPr="003410C7"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3410C7"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3410C7"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1A63C6" w:rsidRPr="003410C7"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3410C7"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1A63C6" w:rsidRPr="003410C7"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3410C7"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tcPr>
          <w:p w:rsidR="001A63C6" w:rsidRPr="003410C7" w:rsidRDefault="001A63C6" w:rsidP="001A63C6">
            <w:pPr>
              <w:pStyle w:val="TableText"/>
              <w:widowControl w:val="0"/>
              <w:rPr>
                <w:rFonts w:ascii="Tahoma" w:hAnsi="Tahoma" w:cs="Tahoma"/>
                <w:sz w:val="13"/>
              </w:rPr>
            </w:pPr>
          </w:p>
        </w:tc>
        <w:tc>
          <w:tcPr>
            <w:tcW w:w="540" w:type="dxa"/>
            <w:tcBorders>
              <w:bottom w:val="single" w:sz="4" w:space="0" w:color="auto"/>
            </w:tcBorders>
            <w:shd w:val="clear" w:color="auto" w:fill="FABF8F"/>
            <w:vAlign w:val="center"/>
          </w:tcPr>
          <w:p w:rsidR="001A63C6" w:rsidRPr="003410C7" w:rsidRDefault="001A63C6" w:rsidP="001A63C6">
            <w:pPr>
              <w:pStyle w:val="TableText"/>
              <w:widowControl w:val="0"/>
              <w:rPr>
                <w:rFonts w:ascii="Tahoma" w:hAnsi="Tahoma" w:cs="Tahoma"/>
                <w:sz w:val="13"/>
              </w:rPr>
            </w:pPr>
          </w:p>
        </w:tc>
      </w:tr>
      <w:tr w:rsidR="00B33D0E" w:rsidRPr="003410C7" w:rsidTr="006B1F3F">
        <w:trPr>
          <w:trHeight w:val="145"/>
        </w:trPr>
        <w:tc>
          <w:tcPr>
            <w:tcW w:w="2734" w:type="dxa"/>
            <w:gridSpan w:val="2"/>
            <w:tcBorders>
              <w:bottom w:val="single" w:sz="4" w:space="0" w:color="auto"/>
            </w:tcBorders>
            <w:shd w:val="clear" w:color="auto" w:fill="auto"/>
          </w:tcPr>
          <w:p w:rsidR="001A63C6" w:rsidRPr="003410C7" w:rsidRDefault="001A63C6" w:rsidP="001A63C6">
            <w:pPr>
              <w:pStyle w:val="ProductNames"/>
              <w:rPr>
                <w:rFonts w:ascii="Tahoma" w:hAnsi="Tahoma" w:cs="Tahoma"/>
                <w:sz w:val="14"/>
              </w:rPr>
            </w:pPr>
            <w:bookmarkStart w:id="228" w:name="_Toc336337949"/>
            <w:bookmarkStart w:id="229" w:name="_Toc352234570"/>
            <w:r w:rsidRPr="003410C7">
              <w:rPr>
                <w:rFonts w:ascii="Tahoma" w:hAnsi="Tahoma" w:cs="Tahoma"/>
                <w:sz w:val="14"/>
              </w:rPr>
              <w:t>Exchange Hosted Archive Extra Storage (SL per Utente)</w:t>
            </w:r>
            <w:bookmarkEnd w:id="228"/>
            <w:bookmarkEnd w:id="229"/>
          </w:p>
        </w:tc>
        <w:tc>
          <w:tcPr>
            <w:tcW w:w="450" w:type="dxa"/>
            <w:tcBorders>
              <w:bottom w:val="single" w:sz="4" w:space="0" w:color="auto"/>
            </w:tcBorders>
            <w:shd w:val="clear" w:color="auto" w:fill="auto"/>
            <w:vAlign w:val="center"/>
          </w:tcPr>
          <w:p w:rsidR="001A63C6" w:rsidRPr="009F17FF" w:rsidRDefault="00FC1A4D" w:rsidP="00D11241">
            <w:pPr>
              <w:pStyle w:val="TableText"/>
              <w:widowControl w:val="0"/>
              <w:rPr>
                <w:b/>
                <w:color w:val="000000"/>
                <w:sz w:val="13"/>
                <w:szCs w:val="13"/>
                <w:u w:val="single"/>
              </w:rPr>
            </w:pPr>
            <w:hyperlink w:anchor="_45_Exchange_Hosted" w:history="1">
              <w:r w:rsidR="000D77F6" w:rsidRPr="009F17FF">
                <w:rPr>
                  <w:rStyle w:val="Hyperlink"/>
                  <w:b/>
                  <w:sz w:val="13"/>
                  <w:szCs w:val="13"/>
                </w:rPr>
                <w:t>45</w:t>
              </w:r>
            </w:hyperlink>
          </w:p>
        </w:tc>
        <w:tc>
          <w:tcPr>
            <w:tcW w:w="450" w:type="dxa"/>
            <w:tcBorders>
              <w:bottom w:val="single" w:sz="4" w:space="0" w:color="auto"/>
            </w:tcBorders>
            <w:shd w:val="clear" w:color="auto" w:fill="auto"/>
            <w:vAlign w:val="center"/>
          </w:tcPr>
          <w:p w:rsidR="001A63C6" w:rsidRPr="003410C7" w:rsidRDefault="001A63C6" w:rsidP="001A63C6">
            <w:pPr>
              <w:pStyle w:val="TableText"/>
              <w:widowControl w:val="0"/>
              <w:spacing w:before="80"/>
              <w:rPr>
                <w:rFonts w:ascii="Tahoma" w:hAnsi="Tahoma" w:cs="Tahoma"/>
                <w:sz w:val="13"/>
              </w:rPr>
            </w:pPr>
          </w:p>
        </w:tc>
        <w:tc>
          <w:tcPr>
            <w:tcW w:w="360" w:type="dxa"/>
            <w:tcBorders>
              <w:bottom w:val="single" w:sz="4" w:space="0" w:color="auto"/>
              <w:right w:val="single" w:sz="18" w:space="0" w:color="auto"/>
            </w:tcBorders>
            <w:shd w:val="clear" w:color="auto" w:fill="auto"/>
            <w:vAlign w:val="center"/>
          </w:tcPr>
          <w:p w:rsidR="001A63C6" w:rsidRPr="003410C7" w:rsidRDefault="001A63C6" w:rsidP="001A63C6">
            <w:pPr>
              <w:pStyle w:val="TableText"/>
              <w:widowControl w:val="0"/>
              <w:rPr>
                <w:rFonts w:ascii="Tahoma" w:hAnsi="Tahoma" w:cs="Tahoma"/>
                <w:sz w:val="13"/>
              </w:rPr>
            </w:pPr>
          </w:p>
        </w:tc>
        <w:tc>
          <w:tcPr>
            <w:tcW w:w="2970" w:type="dxa"/>
            <w:gridSpan w:val="7"/>
            <w:tcBorders>
              <w:left w:val="single" w:sz="18" w:space="0" w:color="auto"/>
              <w:bottom w:val="single" w:sz="4" w:space="0" w:color="auto"/>
              <w:right w:val="single" w:sz="18" w:space="0" w:color="auto"/>
            </w:tcBorders>
            <w:shd w:val="clear" w:color="auto" w:fill="auto"/>
            <w:vAlign w:val="center"/>
          </w:tcPr>
          <w:p w:rsidR="001A63C6" w:rsidRPr="003410C7"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1A63C6" w:rsidRPr="003410C7"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3410C7"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1A63C6" w:rsidRPr="003410C7"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1A63C6" w:rsidRPr="003410C7"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1A63C6" w:rsidRPr="003410C7"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rsidR="001A63C6" w:rsidRPr="003410C7"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tcPr>
          <w:p w:rsidR="001A63C6" w:rsidRPr="003410C7" w:rsidRDefault="001A63C6" w:rsidP="001A63C6">
            <w:pPr>
              <w:pStyle w:val="TableText"/>
              <w:widowControl w:val="0"/>
              <w:rPr>
                <w:rFonts w:ascii="Tahoma" w:hAnsi="Tahoma" w:cs="Tahoma"/>
                <w:sz w:val="13"/>
              </w:rPr>
            </w:pPr>
          </w:p>
        </w:tc>
        <w:tc>
          <w:tcPr>
            <w:tcW w:w="540" w:type="dxa"/>
            <w:tcBorders>
              <w:bottom w:val="single" w:sz="4" w:space="0" w:color="auto"/>
            </w:tcBorders>
            <w:shd w:val="clear" w:color="auto" w:fill="auto"/>
            <w:vAlign w:val="center"/>
          </w:tcPr>
          <w:p w:rsidR="001A63C6" w:rsidRPr="003410C7" w:rsidRDefault="001A63C6" w:rsidP="001A63C6">
            <w:pPr>
              <w:pStyle w:val="TableText"/>
              <w:widowControl w:val="0"/>
              <w:rPr>
                <w:rFonts w:ascii="Tahoma" w:hAnsi="Tahoma" w:cs="Tahoma"/>
                <w:sz w:val="13"/>
              </w:rPr>
            </w:pPr>
          </w:p>
        </w:tc>
      </w:tr>
      <w:tr w:rsidR="00B33D0E" w:rsidRPr="003410C7" w:rsidTr="006B1F3F">
        <w:trPr>
          <w:trHeight w:val="145"/>
        </w:trPr>
        <w:tc>
          <w:tcPr>
            <w:tcW w:w="2734" w:type="dxa"/>
            <w:gridSpan w:val="2"/>
            <w:tcBorders>
              <w:bottom w:val="single" w:sz="4" w:space="0" w:color="auto"/>
            </w:tcBorders>
            <w:shd w:val="clear" w:color="auto" w:fill="FABF8F"/>
          </w:tcPr>
          <w:p w:rsidR="001A63C6" w:rsidRPr="00451078" w:rsidRDefault="001A63C6" w:rsidP="00FE2D13">
            <w:pPr>
              <w:pStyle w:val="ProductNames"/>
              <w:rPr>
                <w:rFonts w:ascii="Tahoma" w:hAnsi="Tahoma" w:cs="Tahoma"/>
                <w:sz w:val="14"/>
                <w:lang w:val="sv-SE"/>
              </w:rPr>
            </w:pPr>
            <w:bookmarkStart w:id="230" w:name="_Toc336337950"/>
            <w:bookmarkStart w:id="231" w:name="_Toc352234571"/>
            <w:r w:rsidRPr="00451078">
              <w:rPr>
                <w:rFonts w:ascii="Tahoma" w:hAnsi="Tahoma" w:cs="Tahoma"/>
                <w:sz w:val="14"/>
                <w:lang w:val="sv-SE"/>
              </w:rPr>
              <w:t>Exchange Hosted Encryption (SL</w:t>
            </w:r>
            <w:r w:rsidR="00FE2D13" w:rsidRPr="00451078">
              <w:rPr>
                <w:rFonts w:ascii="Tahoma" w:hAnsi="Tahoma" w:cs="Tahoma"/>
                <w:sz w:val="14"/>
                <w:lang w:val="sv-SE"/>
              </w:rPr>
              <w:t> </w:t>
            </w:r>
            <w:r w:rsidRPr="00451078">
              <w:rPr>
                <w:rFonts w:ascii="Tahoma" w:hAnsi="Tahoma" w:cs="Tahoma"/>
                <w:sz w:val="14"/>
                <w:lang w:val="sv-SE"/>
              </w:rPr>
              <w:t>per</w:t>
            </w:r>
            <w:r w:rsidR="00FE2D13" w:rsidRPr="00451078">
              <w:rPr>
                <w:rFonts w:ascii="Tahoma" w:hAnsi="Tahoma" w:cs="Tahoma"/>
                <w:sz w:val="14"/>
                <w:lang w:val="sv-SE"/>
              </w:rPr>
              <w:t> </w:t>
            </w:r>
            <w:r w:rsidRPr="00451078">
              <w:rPr>
                <w:rFonts w:ascii="Tahoma" w:hAnsi="Tahoma" w:cs="Tahoma"/>
                <w:sz w:val="14"/>
                <w:lang w:val="sv-SE"/>
              </w:rPr>
              <w:t>Utente)</w:t>
            </w:r>
            <w:bookmarkEnd w:id="230"/>
            <w:bookmarkEnd w:id="231"/>
          </w:p>
        </w:tc>
        <w:tc>
          <w:tcPr>
            <w:tcW w:w="450" w:type="dxa"/>
            <w:tcBorders>
              <w:bottom w:val="single" w:sz="4" w:space="0" w:color="auto"/>
            </w:tcBorders>
            <w:shd w:val="clear" w:color="auto" w:fill="FABF8F"/>
            <w:vAlign w:val="center"/>
          </w:tcPr>
          <w:p w:rsidR="001A63C6" w:rsidRPr="009F17FF" w:rsidRDefault="00FC1A4D" w:rsidP="00D11241">
            <w:pPr>
              <w:pStyle w:val="TableText"/>
              <w:widowControl w:val="0"/>
              <w:rPr>
                <w:rStyle w:val="EndnoteReference"/>
                <w:color w:val="000000"/>
                <w:sz w:val="13"/>
                <w:szCs w:val="13"/>
                <w:u w:val="single"/>
              </w:rPr>
            </w:pPr>
            <w:hyperlink w:anchor="_46_Exchange_Hosted" w:history="1">
              <w:r w:rsidR="000D77F6" w:rsidRPr="009F17FF">
                <w:rPr>
                  <w:rStyle w:val="Hyperlink"/>
                  <w:b/>
                  <w:sz w:val="13"/>
                  <w:szCs w:val="13"/>
                </w:rPr>
                <w:t>46</w:t>
              </w:r>
            </w:hyperlink>
          </w:p>
        </w:tc>
        <w:tc>
          <w:tcPr>
            <w:tcW w:w="450" w:type="dxa"/>
            <w:tcBorders>
              <w:bottom w:val="single" w:sz="4" w:space="0" w:color="auto"/>
            </w:tcBorders>
            <w:shd w:val="clear" w:color="auto" w:fill="FABF8F"/>
            <w:vAlign w:val="center"/>
          </w:tcPr>
          <w:p w:rsidR="001A63C6" w:rsidRPr="003410C7" w:rsidRDefault="001A63C6" w:rsidP="001A63C6">
            <w:pPr>
              <w:pStyle w:val="TableText"/>
              <w:widowControl w:val="0"/>
              <w:spacing w:before="80"/>
              <w:rPr>
                <w:rFonts w:ascii="Tahoma" w:hAnsi="Tahoma" w:cs="Tahoma"/>
                <w:sz w:val="13"/>
              </w:rPr>
            </w:pPr>
            <w:r w:rsidRPr="003410C7">
              <w:rPr>
                <w:rFonts w:ascii="Tahoma" w:hAnsi="Tahoma" w:cs="Tahoma"/>
                <w:sz w:val="13"/>
              </w:rPr>
              <w:t>04/06</w:t>
            </w:r>
          </w:p>
        </w:tc>
        <w:tc>
          <w:tcPr>
            <w:tcW w:w="360" w:type="dxa"/>
            <w:tcBorders>
              <w:bottom w:val="single" w:sz="4" w:space="0" w:color="auto"/>
              <w:right w:val="single" w:sz="18" w:space="0" w:color="auto"/>
            </w:tcBorders>
            <w:shd w:val="clear" w:color="auto" w:fill="FABF8F"/>
            <w:vAlign w:val="center"/>
          </w:tcPr>
          <w:p w:rsidR="001A63C6" w:rsidRPr="003410C7" w:rsidRDefault="001A63C6" w:rsidP="001A63C6">
            <w:pPr>
              <w:pStyle w:val="TableText"/>
              <w:widowControl w:val="0"/>
              <w:rPr>
                <w:rFonts w:ascii="Tahoma" w:hAnsi="Tahoma" w:cs="Tahoma"/>
                <w:sz w:val="13"/>
              </w:rPr>
            </w:pPr>
          </w:p>
        </w:tc>
        <w:tc>
          <w:tcPr>
            <w:tcW w:w="2970" w:type="dxa"/>
            <w:gridSpan w:val="7"/>
            <w:tcBorders>
              <w:left w:val="single" w:sz="18" w:space="0" w:color="auto"/>
              <w:bottom w:val="single" w:sz="4" w:space="0" w:color="auto"/>
              <w:right w:val="single" w:sz="18" w:space="0" w:color="auto"/>
            </w:tcBorders>
            <w:shd w:val="clear" w:color="auto" w:fill="FABF8F"/>
            <w:vAlign w:val="center"/>
          </w:tcPr>
          <w:p w:rsidR="001A63C6" w:rsidRPr="003410C7" w:rsidRDefault="001A63C6" w:rsidP="001A63C6">
            <w:pPr>
              <w:pStyle w:val="TableText"/>
              <w:widowControl w:val="0"/>
              <w:rPr>
                <w:rFonts w:ascii="Tahoma" w:hAnsi="Tahoma" w:cs="Tahoma"/>
                <w:sz w:val="13"/>
              </w:rPr>
            </w:pPr>
            <w:r w:rsidRPr="003410C7">
              <w:rPr>
                <w:rFonts w:ascii="Tahoma" w:hAnsi="Tahoma" w:cs="Tahoma"/>
                <w:sz w:val="13"/>
              </w:rPr>
              <w:t>1 punto</w:t>
            </w:r>
          </w:p>
        </w:tc>
        <w:tc>
          <w:tcPr>
            <w:tcW w:w="450" w:type="dxa"/>
            <w:tcBorders>
              <w:left w:val="single" w:sz="18" w:space="0" w:color="auto"/>
              <w:bottom w:val="single" w:sz="4" w:space="0" w:color="auto"/>
            </w:tcBorders>
            <w:shd w:val="clear" w:color="auto" w:fill="FABF8F"/>
            <w:vAlign w:val="center"/>
          </w:tcPr>
          <w:p w:rsidR="001A63C6" w:rsidRPr="003410C7"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3410C7"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1A63C6" w:rsidRPr="003410C7"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3410C7" w:rsidRDefault="001A63C6" w:rsidP="001A63C6">
            <w:pPr>
              <w:pStyle w:val="TableText"/>
              <w:widowControl w:val="0"/>
              <w:rPr>
                <w:rFonts w:ascii="Tahoma" w:hAnsi="Tahoma" w:cs="Tahoma"/>
                <w:sz w:val="13"/>
              </w:rPr>
            </w:pPr>
            <w:r w:rsidRPr="003410C7">
              <w:rPr>
                <w:rFonts w:ascii="Tahoma" w:hAnsi="Tahoma" w:cs="Tahoma"/>
                <w:sz w:val="13"/>
              </w:rPr>
              <w:t>1</w:t>
            </w:r>
          </w:p>
        </w:tc>
        <w:tc>
          <w:tcPr>
            <w:tcW w:w="450" w:type="dxa"/>
            <w:tcBorders>
              <w:bottom w:val="single" w:sz="4" w:space="0" w:color="auto"/>
              <w:right w:val="single" w:sz="18" w:space="0" w:color="auto"/>
            </w:tcBorders>
            <w:shd w:val="clear" w:color="auto" w:fill="FABF8F"/>
            <w:vAlign w:val="center"/>
          </w:tcPr>
          <w:p w:rsidR="001A63C6" w:rsidRPr="003410C7" w:rsidRDefault="001A63C6" w:rsidP="001A63C6">
            <w:pPr>
              <w:pStyle w:val="TableText"/>
              <w:widowControl w:val="0"/>
              <w:rPr>
                <w:rFonts w:ascii="Tahoma" w:hAnsi="Tahoma" w:cs="Tahoma"/>
                <w:sz w:val="13"/>
              </w:rPr>
            </w:pPr>
            <w:r w:rsidRPr="003410C7">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3410C7" w:rsidRDefault="001A63C6" w:rsidP="001A63C6">
            <w:pPr>
              <w:pStyle w:val="TableText"/>
              <w:widowControl w:val="0"/>
              <w:rPr>
                <w:rFonts w:ascii="Tahoma" w:hAnsi="Tahoma" w:cs="Tahoma"/>
                <w:sz w:val="13"/>
              </w:rPr>
            </w:pPr>
            <w:r w:rsidRPr="003410C7">
              <w:rPr>
                <w:rFonts w:ascii="Tahoma" w:hAnsi="Tahoma" w:cs="Tahoma"/>
                <w:sz w:val="13"/>
              </w:rPr>
              <w:t>P</w:t>
            </w:r>
          </w:p>
        </w:tc>
        <w:tc>
          <w:tcPr>
            <w:tcW w:w="450" w:type="dxa"/>
            <w:tcBorders>
              <w:bottom w:val="single" w:sz="4" w:space="0" w:color="auto"/>
            </w:tcBorders>
            <w:shd w:val="clear" w:color="auto" w:fill="FABF8F"/>
          </w:tcPr>
          <w:p w:rsidR="001A63C6" w:rsidRPr="003410C7" w:rsidRDefault="001A63C6" w:rsidP="001A63C6">
            <w:pPr>
              <w:pStyle w:val="TableText"/>
              <w:widowControl w:val="0"/>
              <w:rPr>
                <w:rFonts w:ascii="Tahoma" w:hAnsi="Tahoma" w:cs="Tahoma"/>
                <w:sz w:val="13"/>
              </w:rPr>
            </w:pPr>
          </w:p>
        </w:tc>
        <w:tc>
          <w:tcPr>
            <w:tcW w:w="540" w:type="dxa"/>
            <w:tcBorders>
              <w:bottom w:val="single" w:sz="4" w:space="0" w:color="auto"/>
            </w:tcBorders>
            <w:shd w:val="clear" w:color="auto" w:fill="FABF8F"/>
            <w:vAlign w:val="center"/>
          </w:tcPr>
          <w:p w:rsidR="001A63C6" w:rsidRPr="003410C7" w:rsidRDefault="001A63C6" w:rsidP="001A63C6">
            <w:pPr>
              <w:pStyle w:val="TableText"/>
              <w:widowControl w:val="0"/>
              <w:rPr>
                <w:rFonts w:ascii="Tahoma" w:hAnsi="Tahoma" w:cs="Tahoma"/>
                <w:sz w:val="13"/>
              </w:rPr>
            </w:pPr>
          </w:p>
        </w:tc>
      </w:tr>
      <w:tr w:rsidR="00B33D0E" w:rsidRPr="003410C7" w:rsidTr="006B1F3F">
        <w:trPr>
          <w:trHeight w:val="145"/>
        </w:trPr>
        <w:tc>
          <w:tcPr>
            <w:tcW w:w="2734" w:type="dxa"/>
            <w:gridSpan w:val="2"/>
            <w:tcBorders>
              <w:bottom w:val="single" w:sz="4" w:space="0" w:color="auto"/>
            </w:tcBorders>
            <w:shd w:val="clear" w:color="auto" w:fill="auto"/>
            <w:vAlign w:val="center"/>
          </w:tcPr>
          <w:p w:rsidR="001A63C6" w:rsidRPr="003410C7" w:rsidRDefault="001A63C6" w:rsidP="00D66F68">
            <w:pPr>
              <w:pStyle w:val="Heading2"/>
              <w:ind w:left="0"/>
              <w:rPr>
                <w:rFonts w:ascii="Tahoma" w:hAnsi="Tahoma" w:cs="Tahoma"/>
                <w:b w:val="0"/>
                <w:sz w:val="14"/>
              </w:rPr>
            </w:pPr>
            <w:bookmarkStart w:id="232" w:name="_Toc352234572"/>
            <w:r w:rsidRPr="003410C7">
              <w:rPr>
                <w:rFonts w:ascii="Tahoma" w:hAnsi="Tahoma" w:cs="Tahoma"/>
                <w:b w:val="0"/>
                <w:sz w:val="14"/>
              </w:rPr>
              <w:t>Archiviazione Exchange Online per Exchange Online A</w:t>
            </w:r>
            <w:bookmarkEnd w:id="232"/>
          </w:p>
        </w:tc>
        <w:tc>
          <w:tcPr>
            <w:tcW w:w="450" w:type="dxa"/>
            <w:tcBorders>
              <w:bottom w:val="single" w:sz="4" w:space="0" w:color="auto"/>
            </w:tcBorders>
            <w:shd w:val="clear" w:color="auto" w:fill="auto"/>
            <w:vAlign w:val="center"/>
          </w:tcPr>
          <w:p w:rsidR="001A63C6" w:rsidRPr="009F17FF" w:rsidRDefault="001A63C6" w:rsidP="001A63C6">
            <w:pPr>
              <w:pStyle w:val="TableText"/>
              <w:widowControl w:val="0"/>
              <w:rPr>
                <w:sz w:val="13"/>
                <w:szCs w:val="13"/>
              </w:rPr>
            </w:pPr>
          </w:p>
        </w:tc>
        <w:tc>
          <w:tcPr>
            <w:tcW w:w="450" w:type="dxa"/>
            <w:tcBorders>
              <w:bottom w:val="single" w:sz="4" w:space="0" w:color="auto"/>
            </w:tcBorders>
            <w:shd w:val="clear" w:color="auto" w:fill="auto"/>
            <w:vAlign w:val="center"/>
          </w:tcPr>
          <w:p w:rsidR="001A63C6" w:rsidRPr="003410C7" w:rsidRDefault="001A63C6" w:rsidP="001A63C6">
            <w:pPr>
              <w:pStyle w:val="TableText"/>
              <w:widowControl w:val="0"/>
              <w:spacing w:before="80"/>
              <w:rPr>
                <w:rFonts w:ascii="Tahoma" w:hAnsi="Tahoma" w:cs="Tahoma"/>
                <w:sz w:val="13"/>
              </w:rPr>
            </w:pPr>
            <w:r w:rsidRPr="003410C7">
              <w:rPr>
                <w:rFonts w:ascii="Tahoma" w:hAnsi="Tahoma" w:cs="Tahoma"/>
                <w:sz w:val="13"/>
              </w:rPr>
              <w:t>03/13</w:t>
            </w:r>
          </w:p>
        </w:tc>
        <w:tc>
          <w:tcPr>
            <w:tcW w:w="360" w:type="dxa"/>
            <w:tcBorders>
              <w:bottom w:val="single" w:sz="4" w:space="0" w:color="auto"/>
              <w:right w:val="single" w:sz="18" w:space="0" w:color="auto"/>
            </w:tcBorders>
            <w:shd w:val="clear" w:color="auto" w:fill="auto"/>
            <w:vAlign w:val="center"/>
          </w:tcPr>
          <w:p w:rsidR="001A63C6" w:rsidRPr="003410C7" w:rsidRDefault="001A63C6" w:rsidP="001A63C6">
            <w:pPr>
              <w:pStyle w:val="TableText"/>
              <w:widowControl w:val="0"/>
              <w:rPr>
                <w:rFonts w:ascii="Tahoma" w:hAnsi="Tahoma" w:cs="Tahoma"/>
                <w:sz w:val="13"/>
              </w:rPr>
            </w:pPr>
            <w:r w:rsidRPr="003410C7">
              <w:rPr>
                <w:rFonts w:ascii="Tahoma" w:hAnsi="Tahoma" w:cs="Tahoma"/>
                <w:sz w:val="13"/>
              </w:rPr>
              <w:t>SRV</w:t>
            </w:r>
          </w:p>
        </w:tc>
        <w:tc>
          <w:tcPr>
            <w:tcW w:w="360" w:type="dxa"/>
            <w:tcBorders>
              <w:left w:val="single" w:sz="18" w:space="0" w:color="auto"/>
              <w:bottom w:val="single" w:sz="4" w:space="0" w:color="auto"/>
            </w:tcBorders>
            <w:shd w:val="clear" w:color="auto" w:fill="auto"/>
            <w:vAlign w:val="center"/>
          </w:tcPr>
          <w:p w:rsidR="001A63C6" w:rsidRPr="003410C7"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3410C7"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3410C7"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3410C7"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3410C7"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3410C7" w:rsidRDefault="001A63C6" w:rsidP="001A63C6">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auto"/>
            <w:vAlign w:val="center"/>
          </w:tcPr>
          <w:p w:rsidR="001A63C6" w:rsidRPr="003410C7"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1A63C6" w:rsidRPr="003410C7"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3410C7"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1A63C6" w:rsidRPr="003410C7"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1A63C6" w:rsidRPr="003410C7" w:rsidRDefault="001A63C6" w:rsidP="001A63C6">
            <w:pPr>
              <w:pStyle w:val="TableText"/>
              <w:widowControl w:val="0"/>
              <w:rPr>
                <w:rFonts w:ascii="Tahoma" w:hAnsi="Tahoma" w:cs="Tahoma"/>
                <w:sz w:val="13"/>
              </w:rPr>
            </w:pPr>
            <w:r w:rsidRPr="003410C7">
              <w:rPr>
                <w:rFonts w:ascii="Tahoma" w:hAnsi="Tahoma" w:cs="Tahoma"/>
                <w:sz w:val="13"/>
              </w:rPr>
              <w:t>1</w:t>
            </w:r>
          </w:p>
        </w:tc>
        <w:tc>
          <w:tcPr>
            <w:tcW w:w="450" w:type="dxa"/>
            <w:tcBorders>
              <w:bottom w:val="single" w:sz="4" w:space="0" w:color="auto"/>
              <w:right w:val="single" w:sz="18" w:space="0" w:color="auto"/>
            </w:tcBorders>
            <w:shd w:val="clear" w:color="auto" w:fill="auto"/>
            <w:vAlign w:val="center"/>
          </w:tcPr>
          <w:p w:rsidR="001A63C6" w:rsidRPr="003410C7" w:rsidRDefault="001A63C6" w:rsidP="001A63C6">
            <w:pPr>
              <w:pStyle w:val="TableText"/>
              <w:widowControl w:val="0"/>
              <w:rPr>
                <w:rFonts w:ascii="Tahoma" w:hAnsi="Tahoma" w:cs="Tahoma"/>
                <w:sz w:val="13"/>
              </w:rPr>
            </w:pPr>
            <w:r w:rsidRPr="003410C7">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rsidR="001A63C6" w:rsidRPr="003410C7"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3410C7" w:rsidRDefault="001A63C6" w:rsidP="001A63C6">
            <w:pPr>
              <w:pStyle w:val="TableText"/>
              <w:widowControl w:val="0"/>
              <w:rPr>
                <w:rFonts w:ascii="Tahoma" w:hAnsi="Tahoma" w:cs="Tahoma"/>
                <w:sz w:val="13"/>
              </w:rPr>
            </w:pPr>
            <w:r w:rsidRPr="003410C7">
              <w:rPr>
                <w:rFonts w:ascii="Tahoma" w:hAnsi="Tahoma" w:cs="Tahoma"/>
                <w:sz w:val="13"/>
              </w:rPr>
              <w:t>A, ST (Solo EES)</w:t>
            </w:r>
          </w:p>
        </w:tc>
        <w:tc>
          <w:tcPr>
            <w:tcW w:w="540" w:type="dxa"/>
            <w:tcBorders>
              <w:bottom w:val="single" w:sz="4" w:space="0" w:color="auto"/>
            </w:tcBorders>
            <w:shd w:val="clear" w:color="auto" w:fill="auto"/>
            <w:vAlign w:val="center"/>
          </w:tcPr>
          <w:p w:rsidR="001A63C6" w:rsidRPr="003410C7" w:rsidRDefault="001A63C6" w:rsidP="001A63C6">
            <w:pPr>
              <w:pStyle w:val="TableText"/>
              <w:widowControl w:val="0"/>
              <w:rPr>
                <w:rFonts w:ascii="Tahoma" w:hAnsi="Tahoma" w:cs="Tahoma"/>
                <w:sz w:val="13"/>
              </w:rPr>
            </w:pPr>
          </w:p>
        </w:tc>
      </w:tr>
      <w:tr w:rsidR="00EF228F" w:rsidRPr="003410C7" w:rsidTr="006B1F3F">
        <w:trPr>
          <w:trHeight w:val="145"/>
        </w:trPr>
        <w:tc>
          <w:tcPr>
            <w:tcW w:w="2734" w:type="dxa"/>
            <w:gridSpan w:val="2"/>
            <w:tcBorders>
              <w:bottom w:val="single" w:sz="4" w:space="0" w:color="auto"/>
            </w:tcBorders>
            <w:shd w:val="clear" w:color="auto" w:fill="FABF8F"/>
          </w:tcPr>
          <w:p w:rsidR="001A63C6" w:rsidRPr="003410C7" w:rsidRDefault="001A63C6" w:rsidP="001A63C6">
            <w:pPr>
              <w:pStyle w:val="Heading2"/>
              <w:ind w:left="0"/>
              <w:rPr>
                <w:rFonts w:ascii="Tahoma" w:hAnsi="Tahoma" w:cs="Tahoma"/>
                <w:b w:val="0"/>
                <w:sz w:val="14"/>
              </w:rPr>
            </w:pPr>
            <w:bookmarkStart w:id="233" w:name="_Toc352234573"/>
            <w:r w:rsidRPr="003410C7">
              <w:rPr>
                <w:rFonts w:ascii="Tahoma" w:hAnsi="Tahoma" w:cs="Tahoma"/>
                <w:b w:val="0"/>
                <w:sz w:val="14"/>
              </w:rPr>
              <w:t>Archiviazione Exchange Online per Exchange Online</w:t>
            </w:r>
            <w:bookmarkEnd w:id="233"/>
          </w:p>
        </w:tc>
        <w:tc>
          <w:tcPr>
            <w:tcW w:w="450" w:type="dxa"/>
            <w:tcBorders>
              <w:bottom w:val="single" w:sz="4" w:space="0" w:color="auto"/>
            </w:tcBorders>
            <w:shd w:val="clear" w:color="auto" w:fill="FABF8F"/>
            <w:vAlign w:val="center"/>
          </w:tcPr>
          <w:p w:rsidR="001A63C6" w:rsidRPr="009F17FF" w:rsidRDefault="001A63C6" w:rsidP="001A63C6">
            <w:pPr>
              <w:pStyle w:val="TableText"/>
              <w:widowControl w:val="0"/>
              <w:rPr>
                <w:sz w:val="13"/>
                <w:szCs w:val="13"/>
              </w:rPr>
            </w:pPr>
          </w:p>
        </w:tc>
        <w:tc>
          <w:tcPr>
            <w:tcW w:w="450" w:type="dxa"/>
            <w:tcBorders>
              <w:bottom w:val="single" w:sz="4" w:space="0" w:color="auto"/>
            </w:tcBorders>
            <w:shd w:val="clear" w:color="auto" w:fill="FABF8F"/>
            <w:vAlign w:val="center"/>
          </w:tcPr>
          <w:p w:rsidR="001A63C6" w:rsidRPr="003410C7" w:rsidRDefault="001A63C6" w:rsidP="001A63C6">
            <w:pPr>
              <w:pStyle w:val="TableText"/>
              <w:widowControl w:val="0"/>
              <w:spacing w:before="80"/>
              <w:rPr>
                <w:rFonts w:ascii="Tahoma" w:hAnsi="Tahoma" w:cs="Tahoma"/>
                <w:sz w:val="13"/>
              </w:rPr>
            </w:pPr>
            <w:r w:rsidRPr="003410C7">
              <w:rPr>
                <w:rFonts w:ascii="Tahoma" w:hAnsi="Tahoma" w:cs="Tahoma"/>
                <w:sz w:val="13"/>
              </w:rPr>
              <w:t>03/13</w:t>
            </w:r>
          </w:p>
        </w:tc>
        <w:tc>
          <w:tcPr>
            <w:tcW w:w="360" w:type="dxa"/>
            <w:tcBorders>
              <w:bottom w:val="single" w:sz="4" w:space="0" w:color="auto"/>
              <w:right w:val="single" w:sz="18" w:space="0" w:color="auto"/>
            </w:tcBorders>
            <w:shd w:val="clear" w:color="auto" w:fill="FABF8F"/>
            <w:vAlign w:val="center"/>
          </w:tcPr>
          <w:p w:rsidR="001A63C6" w:rsidRPr="003410C7" w:rsidRDefault="001A63C6" w:rsidP="001A63C6">
            <w:pPr>
              <w:pStyle w:val="TableText"/>
              <w:widowControl w:val="0"/>
              <w:rPr>
                <w:rFonts w:ascii="Tahoma" w:hAnsi="Tahoma" w:cs="Tahoma"/>
                <w:sz w:val="13"/>
              </w:rPr>
            </w:pPr>
            <w:r w:rsidRPr="003410C7">
              <w:rPr>
                <w:rFonts w:ascii="Tahoma" w:hAnsi="Tahoma" w:cs="Tahoma"/>
                <w:sz w:val="13"/>
              </w:rPr>
              <w:t>SRV</w:t>
            </w:r>
          </w:p>
        </w:tc>
        <w:tc>
          <w:tcPr>
            <w:tcW w:w="360" w:type="dxa"/>
            <w:tcBorders>
              <w:left w:val="single" w:sz="18" w:space="0" w:color="auto"/>
              <w:bottom w:val="single" w:sz="4" w:space="0" w:color="auto"/>
            </w:tcBorders>
            <w:shd w:val="clear" w:color="auto" w:fill="FABF8F"/>
            <w:vAlign w:val="center"/>
          </w:tcPr>
          <w:p w:rsidR="001A63C6" w:rsidRPr="003410C7"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3410C7"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3410C7"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3410C7"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3410C7"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3410C7" w:rsidRDefault="001A63C6" w:rsidP="001A63C6">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rsidR="001A63C6" w:rsidRPr="003410C7"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3410C7"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3410C7"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1A63C6" w:rsidRPr="003410C7"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3410C7"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1A63C6" w:rsidRPr="003410C7" w:rsidRDefault="001A63C6" w:rsidP="001A63C6">
            <w:pPr>
              <w:pStyle w:val="TableText"/>
              <w:widowControl w:val="0"/>
              <w:rPr>
                <w:rFonts w:ascii="Tahoma" w:hAnsi="Tahoma" w:cs="Tahoma"/>
                <w:sz w:val="13"/>
              </w:rPr>
            </w:pPr>
            <w:r w:rsidRPr="003410C7">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3410C7"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3410C7" w:rsidRDefault="001A63C6" w:rsidP="001A63C6">
            <w:pPr>
              <w:pStyle w:val="TableText"/>
              <w:widowControl w:val="0"/>
              <w:rPr>
                <w:rFonts w:ascii="Tahoma" w:hAnsi="Tahoma" w:cs="Tahoma"/>
                <w:sz w:val="13"/>
              </w:rPr>
            </w:pPr>
          </w:p>
        </w:tc>
        <w:tc>
          <w:tcPr>
            <w:tcW w:w="540" w:type="dxa"/>
            <w:tcBorders>
              <w:bottom w:val="single" w:sz="4" w:space="0" w:color="auto"/>
            </w:tcBorders>
            <w:shd w:val="clear" w:color="auto" w:fill="FABF8F"/>
            <w:vAlign w:val="center"/>
          </w:tcPr>
          <w:p w:rsidR="001A63C6" w:rsidRPr="003410C7" w:rsidRDefault="001A63C6" w:rsidP="001A63C6">
            <w:pPr>
              <w:pStyle w:val="TableText"/>
              <w:widowControl w:val="0"/>
              <w:rPr>
                <w:rFonts w:ascii="Tahoma" w:hAnsi="Tahoma" w:cs="Tahoma"/>
                <w:sz w:val="13"/>
              </w:rPr>
            </w:pPr>
          </w:p>
        </w:tc>
      </w:tr>
      <w:tr w:rsidR="00B33D0E" w:rsidRPr="003410C7" w:rsidTr="006B1F3F">
        <w:trPr>
          <w:trHeight w:val="145"/>
        </w:trPr>
        <w:tc>
          <w:tcPr>
            <w:tcW w:w="2734" w:type="dxa"/>
            <w:gridSpan w:val="2"/>
            <w:tcBorders>
              <w:bottom w:val="single" w:sz="4" w:space="0" w:color="auto"/>
            </w:tcBorders>
            <w:shd w:val="clear" w:color="auto" w:fill="auto"/>
          </w:tcPr>
          <w:p w:rsidR="001A63C6" w:rsidRPr="00451078" w:rsidRDefault="001A63C6" w:rsidP="001A63C6">
            <w:pPr>
              <w:pStyle w:val="Heading2"/>
              <w:ind w:left="0"/>
              <w:rPr>
                <w:rFonts w:ascii="Tahoma" w:hAnsi="Tahoma" w:cs="Tahoma"/>
                <w:b w:val="0"/>
                <w:sz w:val="14"/>
                <w:lang w:val="it-IT"/>
              </w:rPr>
            </w:pPr>
            <w:bookmarkStart w:id="234" w:name="_Toc336337951"/>
            <w:bookmarkStart w:id="235" w:name="_Toc352234574"/>
            <w:r w:rsidRPr="00451078">
              <w:rPr>
                <w:rFonts w:ascii="Tahoma" w:hAnsi="Tahoma" w:cs="Tahoma"/>
                <w:b w:val="0"/>
                <w:sz w:val="14"/>
                <w:lang w:val="it-IT"/>
              </w:rPr>
              <w:t>Chiosco Exchange Online (SL per Utente)</w:t>
            </w:r>
            <w:bookmarkEnd w:id="234"/>
            <w:bookmarkEnd w:id="235"/>
          </w:p>
        </w:tc>
        <w:tc>
          <w:tcPr>
            <w:tcW w:w="450" w:type="dxa"/>
            <w:tcBorders>
              <w:bottom w:val="single" w:sz="4" w:space="0" w:color="auto"/>
            </w:tcBorders>
            <w:shd w:val="clear" w:color="auto" w:fill="auto"/>
            <w:vAlign w:val="center"/>
          </w:tcPr>
          <w:p w:rsidR="001A63C6" w:rsidRPr="009F17FF" w:rsidRDefault="00FC1A4D" w:rsidP="00D11241">
            <w:pPr>
              <w:pStyle w:val="TableText"/>
              <w:widowControl w:val="0"/>
              <w:rPr>
                <w:rStyle w:val="EndnoteReference"/>
                <w:rFonts w:cs="Tahoma"/>
                <w:color w:val="000000"/>
                <w:sz w:val="13"/>
                <w:szCs w:val="13"/>
                <w:u w:val="single"/>
              </w:rPr>
            </w:pPr>
            <w:hyperlink w:anchor="Srv_45ExchangeOnDeskWork" w:history="1">
              <w:r w:rsidR="000D77F6" w:rsidRPr="009F17FF">
                <w:rPr>
                  <w:rStyle w:val="Hyperlink"/>
                  <w:b/>
                  <w:sz w:val="13"/>
                  <w:szCs w:val="13"/>
                </w:rPr>
                <w:t>47</w:t>
              </w:r>
            </w:hyperlink>
          </w:p>
        </w:tc>
        <w:tc>
          <w:tcPr>
            <w:tcW w:w="450" w:type="dxa"/>
            <w:tcBorders>
              <w:bottom w:val="single" w:sz="4" w:space="0" w:color="auto"/>
            </w:tcBorders>
            <w:shd w:val="clear" w:color="auto" w:fill="auto"/>
            <w:vAlign w:val="center"/>
          </w:tcPr>
          <w:p w:rsidR="001A63C6" w:rsidRPr="003410C7" w:rsidRDefault="001A63C6" w:rsidP="001A63C6">
            <w:pPr>
              <w:pStyle w:val="TableText"/>
              <w:widowControl w:val="0"/>
              <w:spacing w:before="80"/>
              <w:rPr>
                <w:rFonts w:ascii="Tahoma" w:hAnsi="Tahoma" w:cs="Tahoma"/>
                <w:sz w:val="13"/>
              </w:rPr>
            </w:pPr>
            <w:r w:rsidRPr="003410C7">
              <w:rPr>
                <w:rFonts w:ascii="Tahoma" w:hAnsi="Tahoma" w:cs="Tahoma"/>
                <w:sz w:val="13"/>
              </w:rPr>
              <w:t>06/11</w:t>
            </w:r>
          </w:p>
        </w:tc>
        <w:tc>
          <w:tcPr>
            <w:tcW w:w="360" w:type="dxa"/>
            <w:tcBorders>
              <w:bottom w:val="single" w:sz="4" w:space="0" w:color="auto"/>
              <w:right w:val="single" w:sz="18" w:space="0" w:color="auto"/>
            </w:tcBorders>
            <w:shd w:val="clear" w:color="auto" w:fill="auto"/>
            <w:vAlign w:val="center"/>
          </w:tcPr>
          <w:p w:rsidR="001A63C6" w:rsidRPr="003410C7" w:rsidRDefault="001A63C6" w:rsidP="001A63C6">
            <w:pPr>
              <w:pStyle w:val="TableText"/>
              <w:widowControl w:val="0"/>
              <w:rPr>
                <w:rFonts w:ascii="Tahoma" w:hAnsi="Tahoma" w:cs="Tahoma"/>
                <w:sz w:val="13"/>
              </w:rPr>
            </w:pPr>
            <w:r w:rsidRPr="003410C7">
              <w:rPr>
                <w:rFonts w:ascii="Tahoma" w:hAnsi="Tahoma" w:cs="Tahoma"/>
                <w:sz w:val="13"/>
              </w:rPr>
              <w:t xml:space="preserve"> </w:t>
            </w:r>
          </w:p>
        </w:tc>
        <w:tc>
          <w:tcPr>
            <w:tcW w:w="360" w:type="dxa"/>
            <w:tcBorders>
              <w:left w:val="single" w:sz="18" w:space="0" w:color="auto"/>
              <w:bottom w:val="single" w:sz="4" w:space="0" w:color="auto"/>
            </w:tcBorders>
            <w:shd w:val="clear" w:color="auto" w:fill="auto"/>
            <w:vAlign w:val="center"/>
          </w:tcPr>
          <w:p w:rsidR="001A63C6" w:rsidRPr="003410C7"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3410C7"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3410C7"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3410C7"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3410C7"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3410C7" w:rsidRDefault="001A63C6" w:rsidP="001A63C6">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auto"/>
            <w:vAlign w:val="center"/>
          </w:tcPr>
          <w:p w:rsidR="001A63C6" w:rsidRPr="003410C7"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1A63C6" w:rsidRPr="003410C7"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3410C7"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1A63C6" w:rsidRPr="003410C7"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1A63C6" w:rsidRPr="003410C7"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1A63C6" w:rsidRPr="003410C7" w:rsidRDefault="001A63C6" w:rsidP="001A63C6">
            <w:pPr>
              <w:pStyle w:val="TableText"/>
              <w:widowControl w:val="0"/>
              <w:rPr>
                <w:rFonts w:ascii="Tahoma" w:hAnsi="Tahoma" w:cs="Tahoma"/>
                <w:sz w:val="13"/>
              </w:rPr>
            </w:pPr>
            <w:r w:rsidRPr="003410C7">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rsidR="001A63C6" w:rsidRPr="003410C7"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3410C7" w:rsidRDefault="001A63C6" w:rsidP="001A63C6">
            <w:pPr>
              <w:pStyle w:val="TableText"/>
              <w:widowControl w:val="0"/>
              <w:rPr>
                <w:rFonts w:ascii="Tahoma" w:hAnsi="Tahoma" w:cs="Tahoma"/>
                <w:sz w:val="13"/>
              </w:rPr>
            </w:pPr>
          </w:p>
        </w:tc>
        <w:tc>
          <w:tcPr>
            <w:tcW w:w="540" w:type="dxa"/>
            <w:tcBorders>
              <w:bottom w:val="single" w:sz="4" w:space="0" w:color="auto"/>
            </w:tcBorders>
            <w:shd w:val="clear" w:color="auto" w:fill="auto"/>
            <w:vAlign w:val="center"/>
          </w:tcPr>
          <w:p w:rsidR="001A63C6" w:rsidRPr="003410C7" w:rsidRDefault="001A63C6" w:rsidP="001A63C6">
            <w:pPr>
              <w:pStyle w:val="TableText"/>
              <w:widowControl w:val="0"/>
              <w:rPr>
                <w:rFonts w:ascii="Tahoma" w:hAnsi="Tahoma" w:cs="Tahoma"/>
                <w:sz w:val="13"/>
              </w:rPr>
            </w:pPr>
          </w:p>
        </w:tc>
      </w:tr>
      <w:tr w:rsidR="00B33D0E" w:rsidRPr="003410C7" w:rsidTr="006B1F3F">
        <w:trPr>
          <w:trHeight w:val="395"/>
        </w:trPr>
        <w:tc>
          <w:tcPr>
            <w:tcW w:w="2734" w:type="dxa"/>
            <w:gridSpan w:val="2"/>
            <w:tcBorders>
              <w:bottom w:val="single" w:sz="4" w:space="0" w:color="auto"/>
            </w:tcBorders>
            <w:shd w:val="clear" w:color="auto" w:fill="FABF8F"/>
            <w:vAlign w:val="center"/>
          </w:tcPr>
          <w:p w:rsidR="001A63C6" w:rsidRPr="00451078" w:rsidRDefault="001A63C6" w:rsidP="00D66F68">
            <w:pPr>
              <w:pStyle w:val="Heading2"/>
              <w:ind w:left="0"/>
              <w:rPr>
                <w:rFonts w:ascii="Tahoma" w:hAnsi="Tahoma" w:cs="Tahoma"/>
                <w:b w:val="0"/>
                <w:sz w:val="14"/>
                <w:lang w:val="it-IT"/>
              </w:rPr>
            </w:pPr>
            <w:bookmarkStart w:id="236" w:name="_Toc336337952"/>
            <w:bookmarkStart w:id="237" w:name="_Toc352234575"/>
            <w:r w:rsidRPr="00451078">
              <w:rPr>
                <w:rFonts w:ascii="Tahoma" w:hAnsi="Tahoma" w:cs="Tahoma"/>
                <w:b w:val="0"/>
                <w:sz w:val="14"/>
                <w:lang w:val="it-IT"/>
              </w:rPr>
              <w:t>Exchange Online Piano 1 (SL per Utente)</w:t>
            </w:r>
            <w:bookmarkEnd w:id="236"/>
            <w:bookmarkEnd w:id="237"/>
          </w:p>
        </w:tc>
        <w:tc>
          <w:tcPr>
            <w:tcW w:w="450" w:type="dxa"/>
            <w:tcBorders>
              <w:bottom w:val="single" w:sz="4" w:space="0" w:color="auto"/>
            </w:tcBorders>
            <w:shd w:val="clear" w:color="auto" w:fill="FABF8F"/>
            <w:vAlign w:val="center"/>
          </w:tcPr>
          <w:p w:rsidR="001A63C6" w:rsidRPr="009F17FF" w:rsidRDefault="00FC1A4D" w:rsidP="00B17EFB">
            <w:pPr>
              <w:pStyle w:val="TableText"/>
              <w:widowControl w:val="0"/>
              <w:rPr>
                <w:rStyle w:val="EndnoteReference"/>
                <w:rFonts w:cs="Tahoma"/>
                <w:color w:val="0000FF"/>
                <w:sz w:val="13"/>
                <w:szCs w:val="13"/>
                <w:u w:val="single"/>
              </w:rPr>
            </w:pPr>
            <w:hyperlink w:anchor="_48_Exchange_Online" w:history="1">
              <w:r w:rsidR="000D77F6" w:rsidRPr="009F17FF">
                <w:rPr>
                  <w:rStyle w:val="Hyperlink"/>
                  <w:b/>
                  <w:sz w:val="13"/>
                  <w:szCs w:val="13"/>
                </w:rPr>
                <w:t>48</w:t>
              </w:r>
            </w:hyperlink>
          </w:p>
        </w:tc>
        <w:tc>
          <w:tcPr>
            <w:tcW w:w="450" w:type="dxa"/>
            <w:tcBorders>
              <w:bottom w:val="single" w:sz="4" w:space="0" w:color="auto"/>
            </w:tcBorders>
            <w:shd w:val="clear" w:color="auto" w:fill="FABF8F"/>
            <w:vAlign w:val="center"/>
          </w:tcPr>
          <w:p w:rsidR="001A63C6" w:rsidRPr="003410C7" w:rsidRDefault="001A63C6" w:rsidP="001A63C6">
            <w:pPr>
              <w:pStyle w:val="TableText"/>
              <w:widowControl w:val="0"/>
              <w:spacing w:before="80"/>
              <w:rPr>
                <w:rFonts w:ascii="Tahoma" w:hAnsi="Tahoma" w:cs="Tahoma"/>
                <w:sz w:val="13"/>
              </w:rPr>
            </w:pPr>
            <w:r w:rsidRPr="003410C7">
              <w:rPr>
                <w:rFonts w:ascii="Tahoma" w:hAnsi="Tahoma" w:cs="Tahoma"/>
                <w:sz w:val="13"/>
              </w:rPr>
              <w:t>06/11</w:t>
            </w:r>
          </w:p>
        </w:tc>
        <w:tc>
          <w:tcPr>
            <w:tcW w:w="360" w:type="dxa"/>
            <w:tcBorders>
              <w:bottom w:val="single" w:sz="4" w:space="0" w:color="auto"/>
              <w:right w:val="single" w:sz="18" w:space="0" w:color="auto"/>
            </w:tcBorders>
            <w:shd w:val="clear" w:color="auto" w:fill="FABF8F"/>
            <w:vAlign w:val="center"/>
          </w:tcPr>
          <w:p w:rsidR="001A63C6" w:rsidRPr="003410C7" w:rsidRDefault="001A63C6" w:rsidP="001A63C6">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FABF8F"/>
            <w:vAlign w:val="center"/>
          </w:tcPr>
          <w:p w:rsidR="001A63C6" w:rsidRPr="003410C7"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3410C7"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3410C7"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3410C7"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3410C7"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3410C7" w:rsidRDefault="001A63C6" w:rsidP="001A63C6">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rsidR="001A63C6" w:rsidRPr="003410C7"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3410C7"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3410C7"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1A63C6" w:rsidRPr="003410C7"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3410C7"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1A63C6" w:rsidRPr="003410C7" w:rsidRDefault="001A63C6" w:rsidP="001A63C6">
            <w:pPr>
              <w:pStyle w:val="TableText"/>
              <w:widowControl w:val="0"/>
              <w:rPr>
                <w:rFonts w:ascii="Tahoma" w:hAnsi="Tahoma" w:cs="Tahoma"/>
                <w:sz w:val="13"/>
              </w:rPr>
            </w:pPr>
            <w:r w:rsidRPr="003410C7">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3410C7"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3410C7" w:rsidRDefault="001A63C6" w:rsidP="001A63C6">
            <w:pPr>
              <w:pStyle w:val="TableText"/>
              <w:widowControl w:val="0"/>
              <w:rPr>
                <w:rFonts w:ascii="Tahoma" w:hAnsi="Tahoma" w:cs="Tahoma"/>
                <w:sz w:val="13"/>
              </w:rPr>
            </w:pPr>
          </w:p>
        </w:tc>
        <w:tc>
          <w:tcPr>
            <w:tcW w:w="540" w:type="dxa"/>
            <w:tcBorders>
              <w:bottom w:val="single" w:sz="4" w:space="0" w:color="auto"/>
            </w:tcBorders>
            <w:shd w:val="clear" w:color="auto" w:fill="FABF8F"/>
            <w:vAlign w:val="center"/>
          </w:tcPr>
          <w:p w:rsidR="001A63C6" w:rsidRPr="003410C7" w:rsidRDefault="001A63C6" w:rsidP="001A63C6">
            <w:pPr>
              <w:pStyle w:val="TableText"/>
              <w:widowControl w:val="0"/>
              <w:rPr>
                <w:rFonts w:ascii="Tahoma" w:hAnsi="Tahoma" w:cs="Tahoma"/>
                <w:sz w:val="13"/>
              </w:rPr>
            </w:pPr>
          </w:p>
        </w:tc>
      </w:tr>
      <w:tr w:rsidR="00B33D0E" w:rsidRPr="003410C7" w:rsidTr="006B1F3F">
        <w:trPr>
          <w:trHeight w:val="145"/>
        </w:trPr>
        <w:tc>
          <w:tcPr>
            <w:tcW w:w="2734" w:type="dxa"/>
            <w:gridSpan w:val="2"/>
            <w:tcBorders>
              <w:bottom w:val="single" w:sz="4" w:space="0" w:color="auto"/>
            </w:tcBorders>
            <w:shd w:val="clear" w:color="auto" w:fill="auto"/>
          </w:tcPr>
          <w:p w:rsidR="001A63C6" w:rsidRPr="00451078" w:rsidRDefault="001A63C6" w:rsidP="001A63C6">
            <w:pPr>
              <w:pStyle w:val="Heading2"/>
              <w:ind w:left="0"/>
              <w:rPr>
                <w:rFonts w:ascii="Tahoma" w:hAnsi="Tahoma" w:cs="Tahoma"/>
                <w:b w:val="0"/>
                <w:sz w:val="14"/>
                <w:lang w:val="it-IT"/>
              </w:rPr>
            </w:pPr>
            <w:bookmarkStart w:id="238" w:name="_Toc336337953"/>
            <w:bookmarkStart w:id="239" w:name="_Toc352234576"/>
            <w:r w:rsidRPr="00451078">
              <w:rPr>
                <w:rFonts w:ascii="Tahoma" w:hAnsi="Tahoma" w:cs="Tahoma"/>
                <w:b w:val="0"/>
                <w:sz w:val="14"/>
                <w:lang w:val="it-IT"/>
              </w:rPr>
              <w:t>Exchange Online Piano 2 (SL per Utente)</w:t>
            </w:r>
            <w:bookmarkEnd w:id="238"/>
            <w:bookmarkEnd w:id="239"/>
          </w:p>
        </w:tc>
        <w:tc>
          <w:tcPr>
            <w:tcW w:w="450" w:type="dxa"/>
            <w:tcBorders>
              <w:bottom w:val="single" w:sz="4" w:space="0" w:color="auto"/>
            </w:tcBorders>
            <w:shd w:val="clear" w:color="auto" w:fill="auto"/>
            <w:vAlign w:val="center"/>
          </w:tcPr>
          <w:p w:rsidR="001A63C6" w:rsidRPr="009F17FF" w:rsidRDefault="00FC1A4D" w:rsidP="003D2CC8">
            <w:pPr>
              <w:pStyle w:val="TableText"/>
              <w:widowControl w:val="0"/>
              <w:rPr>
                <w:rStyle w:val="EndnoteReference"/>
                <w:color w:val="000000"/>
                <w:sz w:val="13"/>
                <w:szCs w:val="13"/>
                <w:u w:val="single"/>
              </w:rPr>
            </w:pPr>
            <w:hyperlink w:anchor="_49_Exchange_Online" w:history="1">
              <w:r w:rsidR="000D77F6" w:rsidRPr="009F17FF">
                <w:rPr>
                  <w:rStyle w:val="Hyperlink"/>
                  <w:b/>
                  <w:sz w:val="13"/>
                  <w:szCs w:val="13"/>
                </w:rPr>
                <w:t>49</w:t>
              </w:r>
            </w:hyperlink>
          </w:p>
        </w:tc>
        <w:tc>
          <w:tcPr>
            <w:tcW w:w="450" w:type="dxa"/>
            <w:tcBorders>
              <w:bottom w:val="single" w:sz="4" w:space="0" w:color="auto"/>
            </w:tcBorders>
            <w:shd w:val="clear" w:color="auto" w:fill="auto"/>
            <w:vAlign w:val="center"/>
          </w:tcPr>
          <w:p w:rsidR="001A63C6" w:rsidRPr="003410C7" w:rsidRDefault="001A63C6" w:rsidP="007E466C">
            <w:pPr>
              <w:pStyle w:val="TableText"/>
              <w:widowControl w:val="0"/>
              <w:spacing w:before="80"/>
              <w:rPr>
                <w:rFonts w:ascii="Tahoma" w:hAnsi="Tahoma" w:cs="Tahoma"/>
                <w:sz w:val="13"/>
              </w:rPr>
            </w:pPr>
            <w:r w:rsidRPr="003410C7">
              <w:rPr>
                <w:rFonts w:ascii="Tahoma" w:hAnsi="Tahoma" w:cs="Tahoma"/>
                <w:sz w:val="13"/>
              </w:rPr>
              <w:t>06/11</w:t>
            </w:r>
          </w:p>
        </w:tc>
        <w:tc>
          <w:tcPr>
            <w:tcW w:w="360" w:type="dxa"/>
            <w:tcBorders>
              <w:bottom w:val="single" w:sz="4" w:space="0" w:color="auto"/>
              <w:right w:val="single" w:sz="18" w:space="0" w:color="auto"/>
            </w:tcBorders>
            <w:shd w:val="clear" w:color="auto" w:fill="auto"/>
            <w:vAlign w:val="center"/>
          </w:tcPr>
          <w:p w:rsidR="001A63C6" w:rsidRPr="003410C7" w:rsidRDefault="001A63C6" w:rsidP="001A63C6">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auto"/>
            <w:vAlign w:val="center"/>
          </w:tcPr>
          <w:p w:rsidR="001A63C6" w:rsidRPr="003410C7"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3410C7"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3410C7"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3410C7"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3410C7"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3410C7" w:rsidRDefault="001A63C6" w:rsidP="001A63C6">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auto"/>
            <w:vAlign w:val="center"/>
          </w:tcPr>
          <w:p w:rsidR="001A63C6" w:rsidRPr="003410C7"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1A63C6" w:rsidRPr="003410C7"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3410C7"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1A63C6" w:rsidRPr="003410C7"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1A63C6" w:rsidRPr="003410C7"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1A63C6" w:rsidRPr="003410C7" w:rsidRDefault="001A63C6" w:rsidP="001A63C6">
            <w:pPr>
              <w:pStyle w:val="TableText"/>
              <w:widowControl w:val="0"/>
              <w:rPr>
                <w:rFonts w:ascii="Tahoma" w:hAnsi="Tahoma" w:cs="Tahoma"/>
                <w:sz w:val="13"/>
              </w:rPr>
            </w:pPr>
            <w:r w:rsidRPr="003410C7">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rsidR="001A63C6" w:rsidRPr="003410C7"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3410C7" w:rsidRDefault="001A63C6" w:rsidP="001A63C6">
            <w:pPr>
              <w:pStyle w:val="TableText"/>
              <w:widowControl w:val="0"/>
              <w:rPr>
                <w:rFonts w:ascii="Tahoma" w:hAnsi="Tahoma" w:cs="Tahoma"/>
                <w:sz w:val="13"/>
              </w:rPr>
            </w:pPr>
          </w:p>
        </w:tc>
        <w:tc>
          <w:tcPr>
            <w:tcW w:w="540" w:type="dxa"/>
            <w:tcBorders>
              <w:bottom w:val="single" w:sz="4" w:space="0" w:color="auto"/>
            </w:tcBorders>
            <w:shd w:val="clear" w:color="auto" w:fill="auto"/>
            <w:vAlign w:val="center"/>
          </w:tcPr>
          <w:p w:rsidR="001A63C6" w:rsidRPr="003410C7" w:rsidRDefault="001A63C6" w:rsidP="001A63C6">
            <w:pPr>
              <w:pStyle w:val="TableText"/>
              <w:widowControl w:val="0"/>
              <w:rPr>
                <w:rFonts w:ascii="Tahoma" w:hAnsi="Tahoma" w:cs="Tahoma"/>
                <w:sz w:val="13"/>
              </w:rPr>
            </w:pPr>
          </w:p>
        </w:tc>
      </w:tr>
      <w:tr w:rsidR="00B33D0E" w:rsidRPr="003410C7" w:rsidTr="006B1F3F">
        <w:trPr>
          <w:trHeight w:val="145"/>
        </w:trPr>
        <w:tc>
          <w:tcPr>
            <w:tcW w:w="2734" w:type="dxa"/>
            <w:gridSpan w:val="2"/>
            <w:tcBorders>
              <w:bottom w:val="single" w:sz="4" w:space="0" w:color="auto"/>
            </w:tcBorders>
            <w:shd w:val="clear" w:color="auto" w:fill="FABF8F"/>
          </w:tcPr>
          <w:p w:rsidR="001A63C6" w:rsidRPr="00451078" w:rsidRDefault="001A63C6" w:rsidP="001A63C6">
            <w:pPr>
              <w:pStyle w:val="Heading3"/>
              <w:rPr>
                <w:rFonts w:ascii="Tahoma" w:hAnsi="Tahoma" w:cs="Tahoma"/>
                <w:b w:val="0"/>
                <w:sz w:val="14"/>
                <w:lang w:val="it-IT"/>
              </w:rPr>
            </w:pPr>
            <w:bookmarkStart w:id="240" w:name="_Toc336337954"/>
            <w:bookmarkStart w:id="241" w:name="_Toc352234577"/>
            <w:r w:rsidRPr="00451078">
              <w:rPr>
                <w:rFonts w:ascii="Tahoma" w:hAnsi="Tahoma" w:cs="Tahoma"/>
                <w:b w:val="0"/>
                <w:sz w:val="14"/>
                <w:lang w:val="it-IT"/>
              </w:rPr>
              <w:t>Exchange Online Piano 1A per Ex Allievi (SL per Utente)</w:t>
            </w:r>
            <w:bookmarkEnd w:id="240"/>
            <w:bookmarkEnd w:id="241"/>
          </w:p>
        </w:tc>
        <w:tc>
          <w:tcPr>
            <w:tcW w:w="450" w:type="dxa"/>
            <w:tcBorders>
              <w:bottom w:val="single" w:sz="4" w:space="0" w:color="auto"/>
            </w:tcBorders>
            <w:shd w:val="clear" w:color="auto" w:fill="FABF8F"/>
            <w:vAlign w:val="center"/>
          </w:tcPr>
          <w:p w:rsidR="001A63C6" w:rsidRPr="00451078" w:rsidRDefault="001A63C6" w:rsidP="001A63C6">
            <w:pPr>
              <w:pStyle w:val="TableText"/>
              <w:widowControl w:val="0"/>
              <w:rPr>
                <w:b/>
                <w:color w:val="000000"/>
                <w:sz w:val="13"/>
                <w:szCs w:val="13"/>
                <w:u w:val="single"/>
                <w:lang w:val="it-IT"/>
              </w:rPr>
            </w:pPr>
          </w:p>
        </w:tc>
        <w:tc>
          <w:tcPr>
            <w:tcW w:w="450" w:type="dxa"/>
            <w:tcBorders>
              <w:bottom w:val="single" w:sz="4" w:space="0" w:color="auto"/>
            </w:tcBorders>
            <w:shd w:val="clear" w:color="auto" w:fill="FABF8F"/>
            <w:vAlign w:val="center"/>
          </w:tcPr>
          <w:p w:rsidR="001A63C6" w:rsidRPr="003410C7" w:rsidRDefault="001A63C6" w:rsidP="001A63C6">
            <w:pPr>
              <w:pStyle w:val="TableText"/>
              <w:widowControl w:val="0"/>
              <w:spacing w:before="80"/>
              <w:rPr>
                <w:rFonts w:ascii="Tahoma" w:hAnsi="Tahoma" w:cs="Tahoma"/>
                <w:sz w:val="13"/>
              </w:rPr>
            </w:pPr>
            <w:r w:rsidRPr="003410C7">
              <w:rPr>
                <w:rFonts w:ascii="Tahoma" w:hAnsi="Tahoma" w:cs="Tahoma"/>
                <w:sz w:val="13"/>
              </w:rPr>
              <w:t>06/12</w:t>
            </w:r>
          </w:p>
        </w:tc>
        <w:tc>
          <w:tcPr>
            <w:tcW w:w="360" w:type="dxa"/>
            <w:tcBorders>
              <w:bottom w:val="single" w:sz="4" w:space="0" w:color="auto"/>
              <w:right w:val="single" w:sz="18" w:space="0" w:color="auto"/>
            </w:tcBorders>
            <w:shd w:val="clear" w:color="auto" w:fill="FABF8F"/>
            <w:vAlign w:val="center"/>
          </w:tcPr>
          <w:p w:rsidR="001A63C6" w:rsidRPr="003410C7" w:rsidRDefault="001A63C6" w:rsidP="001A63C6">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FABF8F"/>
            <w:vAlign w:val="center"/>
          </w:tcPr>
          <w:p w:rsidR="001A63C6" w:rsidRPr="003410C7"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3410C7"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3410C7"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3410C7"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3410C7"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3410C7" w:rsidRDefault="001A63C6" w:rsidP="001A63C6">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rsidR="001A63C6" w:rsidRPr="003410C7"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3410C7"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3410C7"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1A63C6" w:rsidRPr="003410C7"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3410C7"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1A63C6" w:rsidRPr="003410C7"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3410C7"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3410C7" w:rsidRDefault="001A63C6" w:rsidP="001A63C6">
            <w:pPr>
              <w:pStyle w:val="TableText"/>
              <w:widowControl w:val="0"/>
              <w:rPr>
                <w:rFonts w:ascii="Tahoma" w:hAnsi="Tahoma" w:cs="Tahoma"/>
                <w:sz w:val="13"/>
              </w:rPr>
            </w:pPr>
            <w:r w:rsidRPr="003410C7">
              <w:rPr>
                <w:rFonts w:ascii="Tahoma" w:hAnsi="Tahoma" w:cs="Tahoma"/>
                <w:sz w:val="13"/>
              </w:rPr>
              <w:t>A (Solo EES)</w:t>
            </w:r>
          </w:p>
        </w:tc>
        <w:tc>
          <w:tcPr>
            <w:tcW w:w="540" w:type="dxa"/>
            <w:tcBorders>
              <w:bottom w:val="single" w:sz="4" w:space="0" w:color="auto"/>
            </w:tcBorders>
            <w:shd w:val="clear" w:color="auto" w:fill="FABF8F"/>
            <w:vAlign w:val="center"/>
          </w:tcPr>
          <w:p w:rsidR="001A63C6" w:rsidRPr="003410C7" w:rsidRDefault="001A63C6" w:rsidP="001A63C6">
            <w:pPr>
              <w:pStyle w:val="TableText"/>
              <w:widowControl w:val="0"/>
              <w:rPr>
                <w:rFonts w:ascii="Tahoma" w:hAnsi="Tahoma" w:cs="Tahoma"/>
                <w:sz w:val="13"/>
              </w:rPr>
            </w:pPr>
          </w:p>
        </w:tc>
      </w:tr>
      <w:tr w:rsidR="00B33D0E" w:rsidRPr="003410C7" w:rsidTr="006B1F3F">
        <w:trPr>
          <w:trHeight w:val="145"/>
        </w:trPr>
        <w:tc>
          <w:tcPr>
            <w:tcW w:w="2734" w:type="dxa"/>
            <w:gridSpan w:val="2"/>
            <w:tcBorders>
              <w:bottom w:val="single" w:sz="4" w:space="0" w:color="auto"/>
            </w:tcBorders>
            <w:shd w:val="clear" w:color="auto" w:fill="auto"/>
          </w:tcPr>
          <w:p w:rsidR="001A63C6" w:rsidRPr="00451078" w:rsidRDefault="001A63C6" w:rsidP="001A63C6">
            <w:pPr>
              <w:pStyle w:val="Heading3"/>
              <w:rPr>
                <w:rFonts w:ascii="Tahoma" w:hAnsi="Tahoma" w:cs="Tahoma"/>
                <w:b w:val="0"/>
                <w:sz w:val="14"/>
                <w:lang w:val="it-IT"/>
              </w:rPr>
            </w:pPr>
            <w:bookmarkStart w:id="242" w:name="_Toc336337955"/>
            <w:bookmarkStart w:id="243" w:name="_Toc352234578"/>
            <w:r w:rsidRPr="00451078">
              <w:rPr>
                <w:rFonts w:ascii="Tahoma" w:hAnsi="Tahoma" w:cs="Tahoma"/>
                <w:b w:val="0"/>
                <w:sz w:val="14"/>
                <w:lang w:val="it-IT"/>
              </w:rPr>
              <w:t>Exchange Online Piano 2A (SL per Utente)</w:t>
            </w:r>
            <w:bookmarkEnd w:id="242"/>
            <w:bookmarkEnd w:id="243"/>
          </w:p>
        </w:tc>
        <w:tc>
          <w:tcPr>
            <w:tcW w:w="450" w:type="dxa"/>
            <w:tcBorders>
              <w:bottom w:val="single" w:sz="4" w:space="0" w:color="auto"/>
            </w:tcBorders>
            <w:shd w:val="clear" w:color="auto" w:fill="auto"/>
            <w:vAlign w:val="center"/>
          </w:tcPr>
          <w:p w:rsidR="001A63C6" w:rsidRPr="00451078" w:rsidRDefault="001A63C6" w:rsidP="001A63C6">
            <w:pPr>
              <w:pStyle w:val="TableText"/>
              <w:widowControl w:val="0"/>
              <w:rPr>
                <w:b/>
                <w:color w:val="000000"/>
                <w:sz w:val="13"/>
                <w:szCs w:val="13"/>
                <w:u w:val="single"/>
                <w:lang w:val="it-IT"/>
              </w:rPr>
            </w:pPr>
          </w:p>
        </w:tc>
        <w:tc>
          <w:tcPr>
            <w:tcW w:w="450" w:type="dxa"/>
            <w:tcBorders>
              <w:bottom w:val="single" w:sz="4" w:space="0" w:color="auto"/>
            </w:tcBorders>
            <w:shd w:val="clear" w:color="auto" w:fill="auto"/>
            <w:vAlign w:val="center"/>
          </w:tcPr>
          <w:p w:rsidR="001A63C6" w:rsidRPr="003410C7" w:rsidRDefault="001A63C6" w:rsidP="001A63C6">
            <w:pPr>
              <w:pStyle w:val="TableText"/>
              <w:widowControl w:val="0"/>
              <w:spacing w:before="80"/>
              <w:rPr>
                <w:rFonts w:ascii="Tahoma" w:hAnsi="Tahoma" w:cs="Tahoma"/>
                <w:sz w:val="13"/>
              </w:rPr>
            </w:pPr>
            <w:r w:rsidRPr="003410C7">
              <w:rPr>
                <w:rFonts w:ascii="Tahoma" w:hAnsi="Tahoma" w:cs="Tahoma"/>
                <w:sz w:val="13"/>
              </w:rPr>
              <w:t>06/12</w:t>
            </w:r>
          </w:p>
        </w:tc>
        <w:tc>
          <w:tcPr>
            <w:tcW w:w="360" w:type="dxa"/>
            <w:tcBorders>
              <w:bottom w:val="single" w:sz="4" w:space="0" w:color="auto"/>
              <w:right w:val="single" w:sz="18" w:space="0" w:color="auto"/>
            </w:tcBorders>
            <w:shd w:val="clear" w:color="auto" w:fill="auto"/>
            <w:vAlign w:val="center"/>
          </w:tcPr>
          <w:p w:rsidR="001A63C6" w:rsidRPr="003410C7" w:rsidRDefault="001A63C6" w:rsidP="001A63C6">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auto"/>
            <w:vAlign w:val="center"/>
          </w:tcPr>
          <w:p w:rsidR="001A63C6" w:rsidRPr="003410C7"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3410C7"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3410C7"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3410C7"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3410C7"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3410C7" w:rsidRDefault="001A63C6" w:rsidP="001A63C6">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auto"/>
            <w:vAlign w:val="center"/>
          </w:tcPr>
          <w:p w:rsidR="001A63C6" w:rsidRPr="003410C7"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1A63C6" w:rsidRPr="003410C7"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3410C7"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1A63C6" w:rsidRPr="003410C7"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1A63C6" w:rsidRPr="003410C7" w:rsidRDefault="001A63C6" w:rsidP="001A63C6">
            <w:pPr>
              <w:pStyle w:val="TableText"/>
              <w:widowControl w:val="0"/>
              <w:rPr>
                <w:rFonts w:ascii="Tahoma" w:hAnsi="Tahoma" w:cs="Tahoma"/>
                <w:sz w:val="13"/>
              </w:rPr>
            </w:pPr>
            <w:r w:rsidRPr="003410C7">
              <w:rPr>
                <w:rFonts w:ascii="Tahoma" w:hAnsi="Tahoma" w:cs="Tahoma"/>
                <w:sz w:val="13"/>
              </w:rPr>
              <w:t>1</w:t>
            </w:r>
          </w:p>
        </w:tc>
        <w:tc>
          <w:tcPr>
            <w:tcW w:w="450" w:type="dxa"/>
            <w:tcBorders>
              <w:bottom w:val="single" w:sz="4" w:space="0" w:color="auto"/>
              <w:right w:val="single" w:sz="18" w:space="0" w:color="auto"/>
            </w:tcBorders>
            <w:shd w:val="clear" w:color="auto" w:fill="auto"/>
            <w:vAlign w:val="center"/>
          </w:tcPr>
          <w:p w:rsidR="001A63C6" w:rsidRPr="003410C7"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rsidR="001A63C6" w:rsidRPr="003410C7"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3410C7" w:rsidRDefault="001A63C6" w:rsidP="001A63C6">
            <w:pPr>
              <w:pStyle w:val="TableText"/>
              <w:widowControl w:val="0"/>
              <w:rPr>
                <w:rFonts w:ascii="Tahoma" w:hAnsi="Tahoma" w:cs="Tahoma"/>
                <w:sz w:val="13"/>
              </w:rPr>
            </w:pPr>
            <w:r w:rsidRPr="003410C7">
              <w:rPr>
                <w:rFonts w:ascii="Tahoma" w:hAnsi="Tahoma" w:cs="Tahoma"/>
                <w:sz w:val="13"/>
              </w:rPr>
              <w:t>A (Solo EES)</w:t>
            </w:r>
          </w:p>
        </w:tc>
        <w:tc>
          <w:tcPr>
            <w:tcW w:w="540" w:type="dxa"/>
            <w:tcBorders>
              <w:bottom w:val="single" w:sz="4" w:space="0" w:color="auto"/>
            </w:tcBorders>
            <w:shd w:val="clear" w:color="auto" w:fill="auto"/>
            <w:vAlign w:val="center"/>
          </w:tcPr>
          <w:p w:rsidR="001A63C6" w:rsidRPr="003410C7" w:rsidRDefault="001A63C6" w:rsidP="001A63C6">
            <w:pPr>
              <w:pStyle w:val="TableText"/>
              <w:widowControl w:val="0"/>
              <w:rPr>
                <w:rFonts w:ascii="Tahoma" w:hAnsi="Tahoma" w:cs="Tahoma"/>
                <w:sz w:val="13"/>
              </w:rPr>
            </w:pPr>
          </w:p>
        </w:tc>
      </w:tr>
      <w:tr w:rsidR="00B33D0E" w:rsidRPr="003410C7" w:rsidTr="006B1F3F">
        <w:trPr>
          <w:trHeight w:val="145"/>
        </w:trPr>
        <w:tc>
          <w:tcPr>
            <w:tcW w:w="2734" w:type="dxa"/>
            <w:gridSpan w:val="2"/>
            <w:tcBorders>
              <w:bottom w:val="single" w:sz="4" w:space="0" w:color="auto"/>
            </w:tcBorders>
            <w:shd w:val="clear" w:color="auto" w:fill="FABF8F"/>
          </w:tcPr>
          <w:p w:rsidR="001A63C6" w:rsidRPr="003410C7" w:rsidRDefault="001A63C6" w:rsidP="00FE2D13">
            <w:pPr>
              <w:pStyle w:val="ProductNames"/>
              <w:rPr>
                <w:rFonts w:ascii="Tahoma" w:hAnsi="Tahoma" w:cs="Tahoma"/>
                <w:sz w:val="14"/>
              </w:rPr>
            </w:pPr>
            <w:bookmarkStart w:id="244" w:name="_Toc352234579"/>
            <w:r w:rsidRPr="003410C7">
              <w:rPr>
                <w:rFonts w:ascii="Tahoma" w:hAnsi="Tahoma" w:cs="Tahoma"/>
                <w:sz w:val="14"/>
              </w:rPr>
              <w:t>Exchange Online Protection (SL</w:t>
            </w:r>
            <w:r w:rsidR="00FE2D13">
              <w:rPr>
                <w:rFonts w:ascii="Tahoma" w:hAnsi="Tahoma" w:cs="Tahoma"/>
                <w:sz w:val="14"/>
              </w:rPr>
              <w:t> </w:t>
            </w:r>
            <w:r w:rsidRPr="003410C7">
              <w:rPr>
                <w:rFonts w:ascii="Tahoma" w:hAnsi="Tahoma" w:cs="Tahoma"/>
                <w:sz w:val="14"/>
              </w:rPr>
              <w:t>per</w:t>
            </w:r>
            <w:r w:rsidR="00FE2D13">
              <w:rPr>
                <w:rFonts w:ascii="Tahoma" w:hAnsi="Tahoma" w:cs="Tahoma"/>
                <w:sz w:val="14"/>
              </w:rPr>
              <w:t> </w:t>
            </w:r>
            <w:r w:rsidRPr="003410C7">
              <w:rPr>
                <w:rFonts w:ascii="Tahoma" w:hAnsi="Tahoma" w:cs="Tahoma"/>
                <w:sz w:val="14"/>
              </w:rPr>
              <w:t>Utente)</w:t>
            </w:r>
            <w:bookmarkEnd w:id="244"/>
          </w:p>
        </w:tc>
        <w:tc>
          <w:tcPr>
            <w:tcW w:w="450" w:type="dxa"/>
            <w:tcBorders>
              <w:bottom w:val="single" w:sz="4" w:space="0" w:color="auto"/>
            </w:tcBorders>
            <w:shd w:val="clear" w:color="auto" w:fill="FABF8F"/>
            <w:vAlign w:val="center"/>
          </w:tcPr>
          <w:p w:rsidR="001A63C6" w:rsidRPr="009F17FF" w:rsidRDefault="00FC1A4D" w:rsidP="003D2CC8">
            <w:pPr>
              <w:pStyle w:val="TableText"/>
              <w:widowControl w:val="0"/>
              <w:rPr>
                <w:sz w:val="13"/>
                <w:szCs w:val="13"/>
              </w:rPr>
            </w:pPr>
            <w:hyperlink w:anchor="_51_50_Exchange" w:history="1">
              <w:r w:rsidR="000D77F6" w:rsidRPr="009F17FF">
                <w:rPr>
                  <w:rStyle w:val="Hyperlink"/>
                  <w:b/>
                  <w:sz w:val="13"/>
                  <w:szCs w:val="13"/>
                </w:rPr>
                <w:t>50</w:t>
              </w:r>
            </w:hyperlink>
            <w:hyperlink w:anchor="_49_Exchange_Server" w:history="1"/>
          </w:p>
        </w:tc>
        <w:tc>
          <w:tcPr>
            <w:tcW w:w="450" w:type="dxa"/>
            <w:tcBorders>
              <w:bottom w:val="single" w:sz="4" w:space="0" w:color="auto"/>
            </w:tcBorders>
            <w:shd w:val="clear" w:color="auto" w:fill="FABF8F"/>
            <w:vAlign w:val="center"/>
          </w:tcPr>
          <w:p w:rsidR="001A63C6" w:rsidRPr="003410C7" w:rsidRDefault="001A63C6" w:rsidP="001A63C6">
            <w:pPr>
              <w:pStyle w:val="TableText"/>
              <w:widowControl w:val="0"/>
              <w:spacing w:before="8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rsidR="001A63C6" w:rsidRPr="003410C7" w:rsidRDefault="001A63C6" w:rsidP="001A63C6">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FABF8F"/>
            <w:vAlign w:val="center"/>
          </w:tcPr>
          <w:p w:rsidR="001A63C6" w:rsidRPr="003410C7"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3410C7"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3410C7"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3410C7"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3410C7"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3410C7" w:rsidRDefault="001A63C6" w:rsidP="001A63C6">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rsidR="001A63C6" w:rsidRPr="003410C7"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3410C7"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3410C7"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1A63C6" w:rsidRPr="003410C7"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3410C7"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1A63C6" w:rsidRPr="003410C7" w:rsidRDefault="001A63C6" w:rsidP="001A63C6">
            <w:pPr>
              <w:pStyle w:val="TableText"/>
              <w:widowControl w:val="0"/>
              <w:rPr>
                <w:rFonts w:ascii="Tahoma" w:hAnsi="Tahoma" w:cs="Tahoma"/>
                <w:sz w:val="13"/>
              </w:rPr>
            </w:pPr>
            <w:r w:rsidRPr="003410C7">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3410C7"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tcPr>
          <w:p w:rsidR="001A63C6" w:rsidRPr="003410C7" w:rsidRDefault="001A63C6" w:rsidP="001A63C6">
            <w:pPr>
              <w:pStyle w:val="TableText"/>
              <w:widowControl w:val="0"/>
              <w:rPr>
                <w:rFonts w:ascii="Tahoma" w:hAnsi="Tahoma" w:cs="Tahoma"/>
                <w:sz w:val="13"/>
              </w:rPr>
            </w:pPr>
          </w:p>
        </w:tc>
        <w:tc>
          <w:tcPr>
            <w:tcW w:w="540" w:type="dxa"/>
            <w:tcBorders>
              <w:bottom w:val="single" w:sz="4" w:space="0" w:color="auto"/>
            </w:tcBorders>
            <w:shd w:val="clear" w:color="auto" w:fill="FABF8F"/>
            <w:vAlign w:val="center"/>
          </w:tcPr>
          <w:p w:rsidR="001A63C6" w:rsidRPr="003410C7" w:rsidRDefault="001A63C6" w:rsidP="001A63C6">
            <w:pPr>
              <w:pStyle w:val="TableText"/>
              <w:widowControl w:val="0"/>
              <w:rPr>
                <w:rFonts w:ascii="Tahoma" w:hAnsi="Tahoma" w:cs="Tahoma"/>
                <w:sz w:val="13"/>
              </w:rPr>
            </w:pPr>
          </w:p>
        </w:tc>
      </w:tr>
      <w:tr w:rsidR="00B33D0E" w:rsidRPr="003410C7" w:rsidTr="006B1F3F">
        <w:trPr>
          <w:trHeight w:val="145"/>
        </w:trPr>
        <w:tc>
          <w:tcPr>
            <w:tcW w:w="2734" w:type="dxa"/>
            <w:gridSpan w:val="2"/>
            <w:tcBorders>
              <w:bottom w:val="single" w:sz="4" w:space="0" w:color="auto"/>
            </w:tcBorders>
            <w:shd w:val="clear" w:color="auto" w:fill="auto"/>
          </w:tcPr>
          <w:p w:rsidR="001A63C6" w:rsidRPr="003410C7" w:rsidRDefault="001A63C6" w:rsidP="001A63C6">
            <w:pPr>
              <w:pStyle w:val="ProductNames"/>
              <w:rPr>
                <w:rFonts w:ascii="Tahoma" w:hAnsi="Tahoma" w:cs="Tahoma"/>
                <w:sz w:val="14"/>
              </w:rPr>
            </w:pPr>
            <w:bookmarkStart w:id="245" w:name="_Toc336337958"/>
            <w:bookmarkStart w:id="246" w:name="_Toc352234580"/>
            <w:r w:rsidRPr="003410C7">
              <w:rPr>
                <w:rFonts w:ascii="Tahoma" w:hAnsi="Tahoma" w:cs="Tahoma"/>
                <w:sz w:val="14"/>
              </w:rPr>
              <w:t>Exchange Server Enterprise</w:t>
            </w:r>
            <w:bookmarkEnd w:id="245"/>
            <w:r w:rsidRPr="003410C7">
              <w:rPr>
                <w:rFonts w:ascii="Tahoma" w:hAnsi="Tahoma" w:cs="Tahoma"/>
                <w:sz w:val="14"/>
              </w:rPr>
              <w:t xml:space="preserve"> 2013</w:t>
            </w:r>
            <w:bookmarkEnd w:id="246"/>
          </w:p>
        </w:tc>
        <w:tc>
          <w:tcPr>
            <w:tcW w:w="450" w:type="dxa"/>
            <w:tcBorders>
              <w:bottom w:val="single" w:sz="4" w:space="0" w:color="auto"/>
            </w:tcBorders>
            <w:shd w:val="clear" w:color="auto" w:fill="auto"/>
            <w:vAlign w:val="center"/>
          </w:tcPr>
          <w:p w:rsidR="001A63C6" w:rsidRPr="009F17FF" w:rsidRDefault="00FC1A4D" w:rsidP="003D2CC8">
            <w:pPr>
              <w:pStyle w:val="TableText"/>
              <w:widowControl w:val="0"/>
              <w:rPr>
                <w:b/>
                <w:color w:val="0000FF"/>
                <w:sz w:val="13"/>
                <w:szCs w:val="13"/>
                <w:u w:val="single"/>
              </w:rPr>
            </w:pPr>
            <w:hyperlink w:anchor="_52_51_Exchange" w:history="1">
              <w:r w:rsidR="000D77F6" w:rsidRPr="009F17FF">
                <w:rPr>
                  <w:rStyle w:val="Hyperlink"/>
                  <w:b/>
                  <w:sz w:val="13"/>
                  <w:szCs w:val="13"/>
                </w:rPr>
                <w:t>51</w:t>
              </w:r>
            </w:hyperlink>
            <w:hyperlink w:anchor="_49_Exchange_Server" w:history="1"/>
          </w:p>
        </w:tc>
        <w:tc>
          <w:tcPr>
            <w:tcW w:w="450" w:type="dxa"/>
            <w:tcBorders>
              <w:bottom w:val="single" w:sz="4" w:space="0" w:color="auto"/>
            </w:tcBorders>
            <w:shd w:val="clear" w:color="auto" w:fill="auto"/>
            <w:vAlign w:val="center"/>
          </w:tcPr>
          <w:p w:rsidR="001A63C6" w:rsidRPr="003410C7" w:rsidRDefault="001A63C6" w:rsidP="001A63C6">
            <w:pPr>
              <w:pStyle w:val="TableText"/>
              <w:widowControl w:val="0"/>
              <w:spacing w:before="80"/>
              <w:rPr>
                <w:rFonts w:ascii="Tahoma" w:hAnsi="Tahoma" w:cs="Tahoma"/>
                <w:sz w:val="13"/>
              </w:rPr>
            </w:pPr>
            <w:r w:rsidRPr="003410C7">
              <w:rPr>
                <w:rFonts w:ascii="Tahoma" w:hAnsi="Tahoma" w:cs="Tahoma"/>
                <w:sz w:val="13"/>
              </w:rPr>
              <w:t>10/12</w:t>
            </w:r>
          </w:p>
        </w:tc>
        <w:tc>
          <w:tcPr>
            <w:tcW w:w="360" w:type="dxa"/>
            <w:tcBorders>
              <w:bottom w:val="single" w:sz="4" w:space="0" w:color="auto"/>
              <w:right w:val="single" w:sz="18" w:space="0" w:color="auto"/>
            </w:tcBorders>
            <w:shd w:val="clear" w:color="auto" w:fill="auto"/>
            <w:vAlign w:val="center"/>
          </w:tcPr>
          <w:p w:rsidR="001A63C6" w:rsidRPr="003410C7" w:rsidRDefault="001A63C6" w:rsidP="001A63C6">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auto"/>
            <w:vAlign w:val="center"/>
          </w:tcPr>
          <w:p w:rsidR="001A63C6" w:rsidRPr="003410C7" w:rsidRDefault="001A63C6" w:rsidP="001A63C6">
            <w:pPr>
              <w:pStyle w:val="TableText"/>
              <w:widowControl w:val="0"/>
              <w:rPr>
                <w:rFonts w:ascii="Tahoma" w:hAnsi="Tahoma" w:cs="Tahoma"/>
                <w:sz w:val="13"/>
              </w:rPr>
            </w:pPr>
            <w:r w:rsidRPr="003410C7">
              <w:rPr>
                <w:rFonts w:ascii="Tahoma" w:hAnsi="Tahoma" w:cs="Tahoma"/>
                <w:sz w:val="13"/>
              </w:rPr>
              <w:t>50</w:t>
            </w:r>
          </w:p>
        </w:tc>
        <w:tc>
          <w:tcPr>
            <w:tcW w:w="450" w:type="dxa"/>
            <w:tcBorders>
              <w:bottom w:val="single" w:sz="4" w:space="0" w:color="auto"/>
            </w:tcBorders>
            <w:shd w:val="clear" w:color="auto" w:fill="auto"/>
            <w:vAlign w:val="center"/>
          </w:tcPr>
          <w:p w:rsidR="001A63C6" w:rsidRPr="003410C7" w:rsidRDefault="001A63C6" w:rsidP="001A63C6">
            <w:pPr>
              <w:pStyle w:val="TableText"/>
              <w:widowControl w:val="0"/>
              <w:rPr>
                <w:rFonts w:ascii="Tahoma" w:hAnsi="Tahoma" w:cs="Tahoma"/>
                <w:sz w:val="13"/>
              </w:rPr>
            </w:pPr>
            <w:r w:rsidRPr="003410C7">
              <w:rPr>
                <w:rFonts w:ascii="Tahoma" w:hAnsi="Tahoma" w:cs="Tahoma"/>
                <w:sz w:val="13"/>
              </w:rPr>
              <w:t>125</w:t>
            </w:r>
          </w:p>
        </w:tc>
        <w:tc>
          <w:tcPr>
            <w:tcW w:w="450" w:type="dxa"/>
            <w:tcBorders>
              <w:bottom w:val="single" w:sz="4" w:space="0" w:color="auto"/>
            </w:tcBorders>
            <w:shd w:val="clear" w:color="auto" w:fill="auto"/>
            <w:vAlign w:val="center"/>
          </w:tcPr>
          <w:p w:rsidR="001A63C6" w:rsidRPr="003410C7" w:rsidRDefault="001A63C6" w:rsidP="001A63C6">
            <w:pPr>
              <w:pStyle w:val="TableText"/>
              <w:widowControl w:val="0"/>
              <w:rPr>
                <w:rFonts w:ascii="Tahoma" w:hAnsi="Tahoma" w:cs="Tahoma"/>
                <w:sz w:val="13"/>
              </w:rPr>
            </w:pPr>
            <w:r w:rsidRPr="003410C7">
              <w:rPr>
                <w:rFonts w:ascii="Tahoma" w:hAnsi="Tahoma" w:cs="Tahoma"/>
                <w:sz w:val="13"/>
              </w:rPr>
              <w:t>100</w:t>
            </w:r>
          </w:p>
        </w:tc>
        <w:tc>
          <w:tcPr>
            <w:tcW w:w="450" w:type="dxa"/>
            <w:tcBorders>
              <w:bottom w:val="single" w:sz="4" w:space="0" w:color="auto"/>
            </w:tcBorders>
            <w:shd w:val="clear" w:color="auto" w:fill="auto"/>
            <w:vAlign w:val="center"/>
          </w:tcPr>
          <w:p w:rsidR="001A63C6" w:rsidRPr="003410C7" w:rsidRDefault="001A63C6" w:rsidP="001A63C6">
            <w:pPr>
              <w:pStyle w:val="TableText"/>
              <w:widowControl w:val="0"/>
              <w:rPr>
                <w:rFonts w:ascii="Tahoma" w:hAnsi="Tahoma" w:cs="Tahoma"/>
                <w:sz w:val="13"/>
              </w:rPr>
            </w:pPr>
            <w:r w:rsidRPr="003410C7">
              <w:rPr>
                <w:rFonts w:ascii="Tahoma" w:hAnsi="Tahoma" w:cs="Tahoma"/>
                <w:sz w:val="13"/>
              </w:rPr>
              <w:t>75</w:t>
            </w:r>
          </w:p>
        </w:tc>
        <w:tc>
          <w:tcPr>
            <w:tcW w:w="450" w:type="dxa"/>
            <w:tcBorders>
              <w:bottom w:val="single" w:sz="4" w:space="0" w:color="auto"/>
            </w:tcBorders>
            <w:shd w:val="clear" w:color="auto" w:fill="auto"/>
            <w:vAlign w:val="center"/>
          </w:tcPr>
          <w:p w:rsidR="001A63C6" w:rsidRPr="003410C7" w:rsidRDefault="001A63C6" w:rsidP="001A63C6">
            <w:pPr>
              <w:pStyle w:val="TableText"/>
              <w:widowControl w:val="0"/>
              <w:rPr>
                <w:rFonts w:ascii="Tahoma" w:hAnsi="Tahoma" w:cs="Tahoma"/>
                <w:sz w:val="13"/>
              </w:rPr>
            </w:pPr>
            <w:r w:rsidRPr="003410C7">
              <w:rPr>
                <w:rFonts w:ascii="Tahoma" w:hAnsi="Tahoma" w:cs="Tahoma"/>
                <w:sz w:val="13"/>
              </w:rPr>
              <w:t>75</w:t>
            </w:r>
          </w:p>
        </w:tc>
        <w:tc>
          <w:tcPr>
            <w:tcW w:w="450" w:type="dxa"/>
            <w:tcBorders>
              <w:bottom w:val="single" w:sz="4" w:space="0" w:color="auto"/>
            </w:tcBorders>
            <w:shd w:val="clear" w:color="auto" w:fill="auto"/>
            <w:vAlign w:val="center"/>
          </w:tcPr>
          <w:p w:rsidR="001A63C6" w:rsidRPr="003410C7" w:rsidRDefault="001A63C6" w:rsidP="001A63C6">
            <w:pPr>
              <w:pStyle w:val="TableText"/>
              <w:widowControl w:val="0"/>
              <w:rPr>
                <w:rFonts w:ascii="Tahoma" w:hAnsi="Tahoma" w:cs="Tahoma"/>
                <w:sz w:val="13"/>
              </w:rPr>
            </w:pPr>
            <w:r w:rsidRPr="003410C7">
              <w:rPr>
                <w:rFonts w:ascii="Tahoma" w:hAnsi="Tahoma" w:cs="Tahoma"/>
                <w:sz w:val="13"/>
              </w:rPr>
              <w:t>50</w:t>
            </w:r>
          </w:p>
        </w:tc>
        <w:tc>
          <w:tcPr>
            <w:tcW w:w="360" w:type="dxa"/>
            <w:tcBorders>
              <w:bottom w:val="single" w:sz="4" w:space="0" w:color="auto"/>
              <w:right w:val="single" w:sz="18" w:space="0" w:color="auto"/>
            </w:tcBorders>
            <w:shd w:val="clear" w:color="auto" w:fill="auto"/>
            <w:vAlign w:val="center"/>
          </w:tcPr>
          <w:p w:rsidR="001A63C6" w:rsidRPr="003410C7" w:rsidRDefault="001A63C6" w:rsidP="001A63C6">
            <w:pPr>
              <w:pStyle w:val="TableText"/>
              <w:widowControl w:val="0"/>
              <w:rPr>
                <w:rFonts w:ascii="Tahoma" w:hAnsi="Tahoma" w:cs="Tahoma"/>
                <w:sz w:val="13"/>
              </w:rPr>
            </w:pPr>
            <w:r w:rsidRPr="003410C7">
              <w:rPr>
                <w:rFonts w:ascii="Tahoma" w:hAnsi="Tahoma" w:cs="Tahoma"/>
                <w:sz w:val="13"/>
              </w:rPr>
              <w:t>25</w:t>
            </w:r>
          </w:p>
        </w:tc>
        <w:tc>
          <w:tcPr>
            <w:tcW w:w="450" w:type="dxa"/>
            <w:tcBorders>
              <w:left w:val="single" w:sz="18" w:space="0" w:color="auto"/>
              <w:bottom w:val="single" w:sz="4" w:space="0" w:color="auto"/>
            </w:tcBorders>
            <w:shd w:val="clear" w:color="auto" w:fill="auto"/>
            <w:vAlign w:val="center"/>
          </w:tcPr>
          <w:p w:rsidR="001A63C6" w:rsidRPr="003410C7" w:rsidRDefault="001A63C6" w:rsidP="001A63C6">
            <w:pPr>
              <w:pStyle w:val="TableText"/>
              <w:widowControl w:val="0"/>
              <w:rPr>
                <w:rFonts w:ascii="Tahoma" w:hAnsi="Tahoma" w:cs="Tahoma"/>
                <w:sz w:val="13"/>
              </w:rPr>
            </w:pPr>
            <w:r w:rsidRPr="003410C7">
              <w:rPr>
                <w:rFonts w:ascii="Tahoma" w:hAnsi="Tahoma" w:cs="Tahoma"/>
                <w:sz w:val="13"/>
              </w:rPr>
              <w:t>50</w:t>
            </w:r>
          </w:p>
        </w:tc>
        <w:tc>
          <w:tcPr>
            <w:tcW w:w="450" w:type="dxa"/>
            <w:tcBorders>
              <w:bottom w:val="single" w:sz="4" w:space="0" w:color="auto"/>
            </w:tcBorders>
            <w:shd w:val="clear" w:color="auto" w:fill="auto"/>
            <w:vAlign w:val="center"/>
          </w:tcPr>
          <w:p w:rsidR="001A63C6" w:rsidRPr="003410C7" w:rsidRDefault="001A63C6" w:rsidP="001A63C6">
            <w:pPr>
              <w:pStyle w:val="TableText"/>
              <w:widowControl w:val="0"/>
              <w:rPr>
                <w:rFonts w:ascii="Tahoma" w:hAnsi="Tahoma" w:cs="Tahoma"/>
                <w:sz w:val="13"/>
              </w:rPr>
            </w:pPr>
            <w:r w:rsidRPr="003410C7">
              <w:rPr>
                <w:rFonts w:ascii="Tahoma" w:hAnsi="Tahoma" w:cs="Tahoma"/>
                <w:sz w:val="13"/>
              </w:rPr>
              <w:t>100</w:t>
            </w:r>
          </w:p>
        </w:tc>
        <w:tc>
          <w:tcPr>
            <w:tcW w:w="450" w:type="dxa"/>
            <w:tcBorders>
              <w:bottom w:val="single" w:sz="4" w:space="0" w:color="auto"/>
              <w:right w:val="single" w:sz="18" w:space="0" w:color="auto"/>
            </w:tcBorders>
            <w:shd w:val="clear" w:color="auto" w:fill="auto"/>
            <w:vAlign w:val="center"/>
          </w:tcPr>
          <w:p w:rsidR="001A63C6" w:rsidRPr="003410C7" w:rsidRDefault="001A63C6" w:rsidP="001A63C6">
            <w:pPr>
              <w:pStyle w:val="TableText"/>
              <w:widowControl w:val="0"/>
              <w:rPr>
                <w:rFonts w:ascii="Tahoma" w:hAnsi="Tahoma" w:cs="Tahoma"/>
                <w:sz w:val="13"/>
              </w:rPr>
            </w:pPr>
            <w:r w:rsidRPr="003410C7">
              <w:rPr>
                <w:rFonts w:ascii="Tahoma" w:hAnsi="Tahoma" w:cs="Tahoma"/>
                <w:sz w:val="13"/>
              </w:rPr>
              <w:t>50</w:t>
            </w:r>
          </w:p>
        </w:tc>
        <w:tc>
          <w:tcPr>
            <w:tcW w:w="450" w:type="dxa"/>
            <w:tcBorders>
              <w:left w:val="single" w:sz="18" w:space="0" w:color="auto"/>
              <w:bottom w:val="single" w:sz="4" w:space="0" w:color="auto"/>
            </w:tcBorders>
            <w:shd w:val="clear" w:color="auto" w:fill="auto"/>
            <w:vAlign w:val="center"/>
          </w:tcPr>
          <w:p w:rsidR="001A63C6" w:rsidRPr="003410C7" w:rsidRDefault="001A63C6" w:rsidP="001A63C6">
            <w:pPr>
              <w:pStyle w:val="TableText"/>
              <w:widowControl w:val="0"/>
              <w:rPr>
                <w:rFonts w:ascii="Tahoma" w:hAnsi="Tahoma" w:cs="Tahoma"/>
                <w:sz w:val="13"/>
              </w:rPr>
            </w:pPr>
            <w:r w:rsidRPr="003410C7">
              <w:rPr>
                <w:rFonts w:ascii="Tahoma" w:hAnsi="Tahoma" w:cs="Tahoma"/>
                <w:sz w:val="13"/>
              </w:rPr>
              <w:t>50</w:t>
            </w:r>
          </w:p>
        </w:tc>
        <w:tc>
          <w:tcPr>
            <w:tcW w:w="450" w:type="dxa"/>
            <w:tcBorders>
              <w:bottom w:val="single" w:sz="4" w:space="0" w:color="auto"/>
              <w:right w:val="single" w:sz="18" w:space="0" w:color="auto"/>
            </w:tcBorders>
            <w:shd w:val="clear" w:color="auto" w:fill="auto"/>
            <w:vAlign w:val="center"/>
          </w:tcPr>
          <w:p w:rsidR="001A63C6" w:rsidRPr="003410C7" w:rsidRDefault="001A63C6" w:rsidP="001A63C6">
            <w:pPr>
              <w:pStyle w:val="TableText"/>
              <w:widowControl w:val="0"/>
              <w:rPr>
                <w:rFonts w:ascii="Tahoma" w:hAnsi="Tahoma" w:cs="Tahoma"/>
                <w:sz w:val="13"/>
              </w:rPr>
            </w:pPr>
            <w:r w:rsidRPr="003410C7">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rsidR="001A63C6" w:rsidRPr="003410C7" w:rsidRDefault="001A63C6" w:rsidP="001A63C6">
            <w:pPr>
              <w:pStyle w:val="TableText"/>
              <w:widowControl w:val="0"/>
              <w:rPr>
                <w:rFonts w:ascii="Tahoma" w:hAnsi="Tahoma" w:cs="Tahoma"/>
                <w:sz w:val="13"/>
              </w:rPr>
            </w:pPr>
            <w:r w:rsidRPr="003410C7">
              <w:rPr>
                <w:rFonts w:ascii="Tahoma" w:hAnsi="Tahoma" w:cs="Tahoma"/>
                <w:sz w:val="13"/>
              </w:rPr>
              <w:t>P</w:t>
            </w:r>
          </w:p>
        </w:tc>
        <w:tc>
          <w:tcPr>
            <w:tcW w:w="450" w:type="dxa"/>
            <w:tcBorders>
              <w:bottom w:val="single" w:sz="4" w:space="0" w:color="auto"/>
            </w:tcBorders>
            <w:shd w:val="clear" w:color="auto" w:fill="auto"/>
          </w:tcPr>
          <w:p w:rsidR="001A63C6" w:rsidRPr="003410C7" w:rsidRDefault="001A63C6" w:rsidP="001A63C6">
            <w:pPr>
              <w:pStyle w:val="TableText"/>
              <w:widowControl w:val="0"/>
              <w:rPr>
                <w:rFonts w:ascii="Tahoma" w:hAnsi="Tahoma" w:cs="Tahoma"/>
                <w:sz w:val="13"/>
              </w:rPr>
            </w:pPr>
            <w:r w:rsidRPr="003410C7">
              <w:rPr>
                <w:rFonts w:ascii="Tahoma" w:hAnsi="Tahoma" w:cs="Tahoma"/>
                <w:sz w:val="13"/>
              </w:rPr>
              <w:t>A</w:t>
            </w:r>
          </w:p>
        </w:tc>
        <w:tc>
          <w:tcPr>
            <w:tcW w:w="540" w:type="dxa"/>
            <w:tcBorders>
              <w:bottom w:val="single" w:sz="4" w:space="0" w:color="auto"/>
            </w:tcBorders>
            <w:shd w:val="clear" w:color="auto" w:fill="auto"/>
            <w:vAlign w:val="center"/>
          </w:tcPr>
          <w:p w:rsidR="001A63C6" w:rsidRPr="003410C7" w:rsidRDefault="001A63C6" w:rsidP="001A63C6">
            <w:pPr>
              <w:pStyle w:val="TableText"/>
              <w:widowControl w:val="0"/>
              <w:rPr>
                <w:rFonts w:ascii="Tahoma" w:hAnsi="Tahoma" w:cs="Tahoma"/>
                <w:sz w:val="13"/>
              </w:rPr>
            </w:pPr>
          </w:p>
        </w:tc>
      </w:tr>
      <w:tr w:rsidR="00EF228F" w:rsidRPr="003410C7" w:rsidTr="006B1F3F">
        <w:trPr>
          <w:trHeight w:val="145"/>
        </w:trPr>
        <w:tc>
          <w:tcPr>
            <w:tcW w:w="2734" w:type="dxa"/>
            <w:gridSpan w:val="2"/>
            <w:tcBorders>
              <w:bottom w:val="single" w:sz="4" w:space="0" w:color="auto"/>
            </w:tcBorders>
            <w:shd w:val="clear" w:color="auto" w:fill="FABF8F"/>
          </w:tcPr>
          <w:p w:rsidR="001A63C6" w:rsidRPr="003410C7" w:rsidRDefault="001A63C6" w:rsidP="001A63C6">
            <w:pPr>
              <w:pStyle w:val="ProductNames"/>
              <w:rPr>
                <w:rFonts w:ascii="Tahoma" w:hAnsi="Tahoma" w:cs="Tahoma"/>
                <w:sz w:val="14"/>
              </w:rPr>
            </w:pPr>
            <w:bookmarkStart w:id="247" w:name="_Toc336337959"/>
            <w:bookmarkStart w:id="248" w:name="_Toc352234581"/>
            <w:r w:rsidRPr="003410C7">
              <w:rPr>
                <w:rFonts w:ascii="Tahoma" w:hAnsi="Tahoma" w:cs="Tahoma"/>
                <w:sz w:val="14"/>
              </w:rPr>
              <w:t>Exchange Server Standard</w:t>
            </w:r>
            <w:bookmarkEnd w:id="247"/>
            <w:r w:rsidRPr="003410C7">
              <w:rPr>
                <w:rFonts w:ascii="Tahoma" w:hAnsi="Tahoma" w:cs="Tahoma"/>
                <w:sz w:val="14"/>
              </w:rPr>
              <w:t xml:space="preserve"> 2013</w:t>
            </w:r>
            <w:bookmarkEnd w:id="248"/>
          </w:p>
        </w:tc>
        <w:tc>
          <w:tcPr>
            <w:tcW w:w="450" w:type="dxa"/>
            <w:tcBorders>
              <w:bottom w:val="single" w:sz="4" w:space="0" w:color="auto"/>
            </w:tcBorders>
            <w:shd w:val="clear" w:color="auto" w:fill="FABF8F"/>
            <w:vAlign w:val="center"/>
          </w:tcPr>
          <w:p w:rsidR="001A63C6" w:rsidRPr="009F17FF" w:rsidRDefault="00FC1A4D" w:rsidP="003D2CC8">
            <w:pPr>
              <w:pStyle w:val="TableText"/>
              <w:widowControl w:val="0"/>
              <w:rPr>
                <w:b/>
                <w:color w:val="0000FF"/>
                <w:sz w:val="13"/>
                <w:szCs w:val="13"/>
                <w:u w:val="single"/>
              </w:rPr>
            </w:pPr>
            <w:hyperlink w:anchor="_52_51_Exchange" w:history="1">
              <w:r w:rsidR="000D77F6" w:rsidRPr="009F17FF">
                <w:rPr>
                  <w:rStyle w:val="Hyperlink"/>
                  <w:b/>
                  <w:sz w:val="13"/>
                  <w:szCs w:val="13"/>
                </w:rPr>
                <w:t>51</w:t>
              </w:r>
            </w:hyperlink>
            <w:hyperlink w:anchor="_49_Exchange_Server" w:history="1"/>
          </w:p>
        </w:tc>
        <w:tc>
          <w:tcPr>
            <w:tcW w:w="450" w:type="dxa"/>
            <w:tcBorders>
              <w:bottom w:val="single" w:sz="4" w:space="0" w:color="auto"/>
            </w:tcBorders>
            <w:shd w:val="clear" w:color="auto" w:fill="FABF8F"/>
            <w:vAlign w:val="center"/>
          </w:tcPr>
          <w:p w:rsidR="001A63C6" w:rsidRPr="003410C7" w:rsidRDefault="001A63C6" w:rsidP="001A63C6">
            <w:pPr>
              <w:pStyle w:val="TableText"/>
              <w:widowControl w:val="0"/>
              <w:spacing w:before="80"/>
              <w:rPr>
                <w:rFonts w:ascii="Tahoma" w:hAnsi="Tahoma" w:cs="Tahoma"/>
                <w:sz w:val="13"/>
              </w:rPr>
            </w:pPr>
            <w:r w:rsidRPr="003410C7">
              <w:rPr>
                <w:rFonts w:ascii="Tahoma" w:hAnsi="Tahoma" w:cs="Tahoma"/>
                <w:sz w:val="13"/>
              </w:rPr>
              <w:t>10/12</w:t>
            </w:r>
          </w:p>
        </w:tc>
        <w:tc>
          <w:tcPr>
            <w:tcW w:w="360" w:type="dxa"/>
            <w:tcBorders>
              <w:bottom w:val="single" w:sz="4" w:space="0" w:color="auto"/>
              <w:right w:val="single" w:sz="18" w:space="0" w:color="auto"/>
            </w:tcBorders>
            <w:shd w:val="clear" w:color="auto" w:fill="FABF8F"/>
            <w:vAlign w:val="center"/>
          </w:tcPr>
          <w:p w:rsidR="001A63C6" w:rsidRPr="003410C7" w:rsidRDefault="001A63C6" w:rsidP="001A63C6">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FABF8F"/>
            <w:vAlign w:val="center"/>
          </w:tcPr>
          <w:p w:rsidR="001A63C6" w:rsidRPr="003410C7" w:rsidRDefault="001A63C6" w:rsidP="001A63C6">
            <w:pPr>
              <w:pStyle w:val="TableText"/>
              <w:widowControl w:val="0"/>
              <w:rPr>
                <w:rFonts w:ascii="Tahoma" w:hAnsi="Tahoma" w:cs="Tahoma"/>
                <w:sz w:val="13"/>
              </w:rPr>
            </w:pPr>
            <w:r w:rsidRPr="003410C7">
              <w:rPr>
                <w:rFonts w:ascii="Tahoma" w:hAnsi="Tahoma" w:cs="Tahoma"/>
                <w:sz w:val="13"/>
              </w:rPr>
              <w:t>10</w:t>
            </w:r>
          </w:p>
        </w:tc>
        <w:tc>
          <w:tcPr>
            <w:tcW w:w="450" w:type="dxa"/>
            <w:tcBorders>
              <w:bottom w:val="single" w:sz="4" w:space="0" w:color="auto"/>
            </w:tcBorders>
            <w:shd w:val="clear" w:color="auto" w:fill="FABF8F"/>
            <w:vAlign w:val="center"/>
          </w:tcPr>
          <w:p w:rsidR="001A63C6" w:rsidRPr="003410C7" w:rsidRDefault="001A63C6" w:rsidP="001A63C6">
            <w:pPr>
              <w:pStyle w:val="TableText"/>
              <w:widowControl w:val="0"/>
              <w:rPr>
                <w:rFonts w:ascii="Tahoma" w:hAnsi="Tahoma" w:cs="Tahoma"/>
                <w:sz w:val="13"/>
              </w:rPr>
            </w:pPr>
            <w:r w:rsidRPr="003410C7">
              <w:rPr>
                <w:rFonts w:ascii="Tahoma" w:hAnsi="Tahoma" w:cs="Tahoma"/>
                <w:sz w:val="13"/>
              </w:rPr>
              <w:t>25</w:t>
            </w:r>
          </w:p>
        </w:tc>
        <w:tc>
          <w:tcPr>
            <w:tcW w:w="450" w:type="dxa"/>
            <w:tcBorders>
              <w:bottom w:val="single" w:sz="4" w:space="0" w:color="auto"/>
            </w:tcBorders>
            <w:shd w:val="clear" w:color="auto" w:fill="FABF8F"/>
            <w:vAlign w:val="center"/>
          </w:tcPr>
          <w:p w:rsidR="001A63C6" w:rsidRPr="003410C7" w:rsidRDefault="001A63C6" w:rsidP="001A63C6">
            <w:pPr>
              <w:pStyle w:val="TableText"/>
              <w:widowControl w:val="0"/>
              <w:rPr>
                <w:rFonts w:ascii="Tahoma" w:hAnsi="Tahoma" w:cs="Tahoma"/>
                <w:sz w:val="13"/>
              </w:rPr>
            </w:pPr>
            <w:r w:rsidRPr="003410C7">
              <w:rPr>
                <w:rFonts w:ascii="Tahoma" w:hAnsi="Tahoma" w:cs="Tahoma"/>
                <w:sz w:val="13"/>
              </w:rPr>
              <w:t>20</w:t>
            </w:r>
          </w:p>
        </w:tc>
        <w:tc>
          <w:tcPr>
            <w:tcW w:w="450" w:type="dxa"/>
            <w:tcBorders>
              <w:bottom w:val="single" w:sz="4" w:space="0" w:color="auto"/>
            </w:tcBorders>
            <w:shd w:val="clear" w:color="auto" w:fill="FABF8F"/>
            <w:vAlign w:val="center"/>
          </w:tcPr>
          <w:p w:rsidR="001A63C6" w:rsidRPr="003410C7" w:rsidRDefault="001A63C6" w:rsidP="001A63C6">
            <w:pPr>
              <w:pStyle w:val="TableText"/>
              <w:widowControl w:val="0"/>
              <w:rPr>
                <w:rFonts w:ascii="Tahoma" w:hAnsi="Tahoma" w:cs="Tahoma"/>
                <w:sz w:val="13"/>
              </w:rPr>
            </w:pPr>
            <w:r w:rsidRPr="003410C7">
              <w:rPr>
                <w:rFonts w:ascii="Tahoma" w:hAnsi="Tahoma" w:cs="Tahoma"/>
                <w:sz w:val="13"/>
              </w:rPr>
              <w:t>15</w:t>
            </w:r>
          </w:p>
        </w:tc>
        <w:tc>
          <w:tcPr>
            <w:tcW w:w="450" w:type="dxa"/>
            <w:tcBorders>
              <w:bottom w:val="single" w:sz="4" w:space="0" w:color="auto"/>
            </w:tcBorders>
            <w:shd w:val="clear" w:color="auto" w:fill="FABF8F"/>
            <w:vAlign w:val="center"/>
          </w:tcPr>
          <w:p w:rsidR="001A63C6" w:rsidRPr="003410C7" w:rsidRDefault="001A63C6" w:rsidP="001A63C6">
            <w:pPr>
              <w:pStyle w:val="TableText"/>
              <w:widowControl w:val="0"/>
              <w:rPr>
                <w:rFonts w:ascii="Tahoma" w:hAnsi="Tahoma" w:cs="Tahoma"/>
                <w:sz w:val="13"/>
              </w:rPr>
            </w:pPr>
            <w:r w:rsidRPr="003410C7">
              <w:rPr>
                <w:rFonts w:ascii="Tahoma" w:hAnsi="Tahoma" w:cs="Tahoma"/>
                <w:sz w:val="13"/>
              </w:rPr>
              <w:t>15</w:t>
            </w:r>
          </w:p>
        </w:tc>
        <w:tc>
          <w:tcPr>
            <w:tcW w:w="450" w:type="dxa"/>
            <w:tcBorders>
              <w:bottom w:val="single" w:sz="4" w:space="0" w:color="auto"/>
            </w:tcBorders>
            <w:shd w:val="clear" w:color="auto" w:fill="FABF8F"/>
            <w:vAlign w:val="center"/>
          </w:tcPr>
          <w:p w:rsidR="001A63C6" w:rsidRPr="003410C7" w:rsidRDefault="001A63C6" w:rsidP="001A63C6">
            <w:pPr>
              <w:pStyle w:val="TableText"/>
              <w:widowControl w:val="0"/>
              <w:rPr>
                <w:rFonts w:ascii="Tahoma" w:hAnsi="Tahoma" w:cs="Tahoma"/>
                <w:sz w:val="13"/>
              </w:rPr>
            </w:pPr>
            <w:r w:rsidRPr="003410C7">
              <w:rPr>
                <w:rFonts w:ascii="Tahoma" w:hAnsi="Tahoma" w:cs="Tahoma"/>
                <w:sz w:val="13"/>
              </w:rPr>
              <w:t>10</w:t>
            </w:r>
          </w:p>
        </w:tc>
        <w:tc>
          <w:tcPr>
            <w:tcW w:w="360" w:type="dxa"/>
            <w:tcBorders>
              <w:bottom w:val="single" w:sz="4" w:space="0" w:color="auto"/>
              <w:right w:val="single" w:sz="18" w:space="0" w:color="auto"/>
            </w:tcBorders>
            <w:shd w:val="clear" w:color="auto" w:fill="FABF8F"/>
            <w:vAlign w:val="center"/>
          </w:tcPr>
          <w:p w:rsidR="001A63C6" w:rsidRPr="003410C7" w:rsidRDefault="001A63C6" w:rsidP="001A63C6">
            <w:pPr>
              <w:pStyle w:val="TableText"/>
              <w:widowControl w:val="0"/>
              <w:rPr>
                <w:rFonts w:ascii="Tahoma" w:hAnsi="Tahoma" w:cs="Tahoma"/>
                <w:sz w:val="13"/>
              </w:rPr>
            </w:pPr>
            <w:r w:rsidRPr="003410C7">
              <w:rPr>
                <w:rFonts w:ascii="Tahoma" w:hAnsi="Tahoma" w:cs="Tahoma"/>
                <w:sz w:val="13"/>
              </w:rPr>
              <w:t>5</w:t>
            </w:r>
          </w:p>
        </w:tc>
        <w:tc>
          <w:tcPr>
            <w:tcW w:w="450" w:type="dxa"/>
            <w:tcBorders>
              <w:left w:val="single" w:sz="18" w:space="0" w:color="auto"/>
              <w:bottom w:val="single" w:sz="4" w:space="0" w:color="auto"/>
            </w:tcBorders>
            <w:shd w:val="clear" w:color="auto" w:fill="FABF8F"/>
            <w:vAlign w:val="center"/>
          </w:tcPr>
          <w:p w:rsidR="001A63C6" w:rsidRPr="003410C7" w:rsidRDefault="001A63C6" w:rsidP="001A63C6">
            <w:pPr>
              <w:pStyle w:val="TableText"/>
              <w:widowControl w:val="0"/>
              <w:rPr>
                <w:rFonts w:ascii="Tahoma" w:hAnsi="Tahoma" w:cs="Tahoma"/>
                <w:sz w:val="13"/>
              </w:rPr>
            </w:pPr>
            <w:r w:rsidRPr="003410C7">
              <w:rPr>
                <w:rFonts w:ascii="Tahoma" w:hAnsi="Tahoma" w:cs="Tahoma"/>
                <w:sz w:val="13"/>
              </w:rPr>
              <w:t>10</w:t>
            </w:r>
          </w:p>
        </w:tc>
        <w:tc>
          <w:tcPr>
            <w:tcW w:w="450" w:type="dxa"/>
            <w:tcBorders>
              <w:bottom w:val="single" w:sz="4" w:space="0" w:color="auto"/>
            </w:tcBorders>
            <w:shd w:val="clear" w:color="auto" w:fill="FABF8F"/>
            <w:vAlign w:val="center"/>
          </w:tcPr>
          <w:p w:rsidR="001A63C6" w:rsidRPr="003410C7" w:rsidRDefault="001A63C6" w:rsidP="001A63C6">
            <w:pPr>
              <w:pStyle w:val="TableText"/>
              <w:widowControl w:val="0"/>
              <w:rPr>
                <w:rFonts w:ascii="Tahoma" w:hAnsi="Tahoma" w:cs="Tahoma"/>
                <w:sz w:val="13"/>
              </w:rPr>
            </w:pPr>
            <w:r w:rsidRPr="003410C7">
              <w:rPr>
                <w:rFonts w:ascii="Tahoma" w:hAnsi="Tahoma" w:cs="Tahoma"/>
                <w:sz w:val="13"/>
              </w:rPr>
              <w:t>20</w:t>
            </w:r>
          </w:p>
        </w:tc>
        <w:tc>
          <w:tcPr>
            <w:tcW w:w="450" w:type="dxa"/>
            <w:tcBorders>
              <w:bottom w:val="single" w:sz="4" w:space="0" w:color="auto"/>
              <w:right w:val="single" w:sz="18" w:space="0" w:color="auto"/>
            </w:tcBorders>
            <w:shd w:val="clear" w:color="auto" w:fill="FABF8F"/>
            <w:vAlign w:val="center"/>
          </w:tcPr>
          <w:p w:rsidR="001A63C6" w:rsidRPr="003410C7" w:rsidRDefault="001A63C6" w:rsidP="001A63C6">
            <w:pPr>
              <w:pStyle w:val="TableText"/>
              <w:widowControl w:val="0"/>
              <w:rPr>
                <w:rFonts w:ascii="Tahoma" w:hAnsi="Tahoma" w:cs="Tahoma"/>
                <w:sz w:val="13"/>
              </w:rPr>
            </w:pPr>
            <w:r w:rsidRPr="003410C7">
              <w:rPr>
                <w:rFonts w:ascii="Tahoma" w:hAnsi="Tahoma" w:cs="Tahoma"/>
                <w:sz w:val="13"/>
              </w:rPr>
              <w:t>10</w:t>
            </w:r>
          </w:p>
        </w:tc>
        <w:tc>
          <w:tcPr>
            <w:tcW w:w="450" w:type="dxa"/>
            <w:tcBorders>
              <w:left w:val="single" w:sz="18" w:space="0" w:color="auto"/>
              <w:bottom w:val="single" w:sz="4" w:space="0" w:color="auto"/>
            </w:tcBorders>
            <w:shd w:val="clear" w:color="auto" w:fill="FABF8F"/>
            <w:vAlign w:val="center"/>
          </w:tcPr>
          <w:p w:rsidR="001A63C6" w:rsidRPr="003410C7" w:rsidRDefault="001A63C6" w:rsidP="001A63C6">
            <w:pPr>
              <w:pStyle w:val="TableText"/>
              <w:widowControl w:val="0"/>
              <w:rPr>
                <w:rFonts w:ascii="Tahoma" w:hAnsi="Tahoma" w:cs="Tahoma"/>
                <w:sz w:val="13"/>
              </w:rPr>
            </w:pPr>
            <w:r w:rsidRPr="003410C7">
              <w:rPr>
                <w:rFonts w:ascii="Tahoma" w:hAnsi="Tahoma" w:cs="Tahoma"/>
                <w:sz w:val="13"/>
              </w:rPr>
              <w:t>10</w:t>
            </w:r>
          </w:p>
        </w:tc>
        <w:tc>
          <w:tcPr>
            <w:tcW w:w="450" w:type="dxa"/>
            <w:tcBorders>
              <w:bottom w:val="single" w:sz="4" w:space="0" w:color="auto"/>
              <w:right w:val="single" w:sz="18" w:space="0" w:color="auto"/>
            </w:tcBorders>
            <w:shd w:val="clear" w:color="auto" w:fill="FABF8F"/>
            <w:vAlign w:val="center"/>
          </w:tcPr>
          <w:p w:rsidR="001A63C6" w:rsidRPr="003410C7" w:rsidRDefault="001A63C6" w:rsidP="001A63C6">
            <w:pPr>
              <w:pStyle w:val="TableText"/>
              <w:widowControl w:val="0"/>
              <w:rPr>
                <w:rFonts w:ascii="Tahoma" w:hAnsi="Tahoma" w:cs="Tahoma"/>
                <w:sz w:val="13"/>
              </w:rPr>
            </w:pPr>
            <w:r w:rsidRPr="003410C7">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3410C7" w:rsidRDefault="001A63C6" w:rsidP="001A63C6">
            <w:pPr>
              <w:pStyle w:val="TableText"/>
              <w:widowControl w:val="0"/>
              <w:rPr>
                <w:rFonts w:ascii="Tahoma" w:hAnsi="Tahoma" w:cs="Tahoma"/>
                <w:sz w:val="13"/>
              </w:rPr>
            </w:pPr>
            <w:r w:rsidRPr="003410C7">
              <w:rPr>
                <w:rFonts w:ascii="Tahoma" w:hAnsi="Tahoma" w:cs="Tahoma"/>
                <w:sz w:val="13"/>
              </w:rPr>
              <w:t>P</w:t>
            </w:r>
          </w:p>
        </w:tc>
        <w:tc>
          <w:tcPr>
            <w:tcW w:w="450" w:type="dxa"/>
            <w:tcBorders>
              <w:bottom w:val="single" w:sz="4" w:space="0" w:color="auto"/>
            </w:tcBorders>
            <w:shd w:val="clear" w:color="auto" w:fill="FABF8F"/>
          </w:tcPr>
          <w:p w:rsidR="001A63C6" w:rsidRPr="003410C7" w:rsidRDefault="001A63C6" w:rsidP="001A63C6">
            <w:pPr>
              <w:pStyle w:val="TableText"/>
              <w:widowControl w:val="0"/>
              <w:rPr>
                <w:rFonts w:ascii="Tahoma" w:hAnsi="Tahoma" w:cs="Tahoma"/>
                <w:sz w:val="13"/>
              </w:rPr>
            </w:pPr>
            <w:r w:rsidRPr="003410C7">
              <w:rPr>
                <w:rFonts w:ascii="Tahoma" w:hAnsi="Tahoma" w:cs="Tahoma"/>
                <w:sz w:val="13"/>
              </w:rPr>
              <w:t>A</w:t>
            </w:r>
          </w:p>
        </w:tc>
        <w:tc>
          <w:tcPr>
            <w:tcW w:w="540" w:type="dxa"/>
            <w:tcBorders>
              <w:bottom w:val="single" w:sz="4" w:space="0" w:color="auto"/>
            </w:tcBorders>
            <w:shd w:val="clear" w:color="auto" w:fill="FABF8F"/>
            <w:vAlign w:val="center"/>
          </w:tcPr>
          <w:p w:rsidR="001A63C6" w:rsidRPr="003410C7" w:rsidRDefault="001A63C6" w:rsidP="001A63C6">
            <w:pPr>
              <w:pStyle w:val="TableText"/>
              <w:widowControl w:val="0"/>
              <w:rPr>
                <w:rFonts w:ascii="Tahoma" w:hAnsi="Tahoma" w:cs="Tahoma"/>
                <w:sz w:val="13"/>
              </w:rPr>
            </w:pPr>
          </w:p>
        </w:tc>
      </w:tr>
      <w:tr w:rsidR="00B33D0E" w:rsidRPr="003410C7" w:rsidTr="006B1F3F">
        <w:trPr>
          <w:trHeight w:val="145"/>
        </w:trPr>
        <w:tc>
          <w:tcPr>
            <w:tcW w:w="2734" w:type="dxa"/>
            <w:gridSpan w:val="2"/>
            <w:tcBorders>
              <w:bottom w:val="single" w:sz="4" w:space="0" w:color="auto"/>
            </w:tcBorders>
            <w:shd w:val="clear" w:color="auto" w:fill="auto"/>
          </w:tcPr>
          <w:p w:rsidR="001A63C6" w:rsidRPr="003410C7" w:rsidRDefault="001A63C6" w:rsidP="00ED4EE4">
            <w:pPr>
              <w:pStyle w:val="ProductNames"/>
              <w:rPr>
                <w:rFonts w:ascii="Tahoma" w:hAnsi="Tahoma" w:cs="Tahoma"/>
                <w:sz w:val="14"/>
              </w:rPr>
            </w:pPr>
            <w:bookmarkStart w:id="249" w:name="_Toc336337960"/>
            <w:bookmarkStart w:id="250" w:name="_Toc352234582"/>
            <w:r w:rsidRPr="003410C7">
              <w:rPr>
                <w:rFonts w:ascii="Tahoma" w:hAnsi="Tahoma" w:cs="Tahoma"/>
                <w:sz w:val="14"/>
              </w:rPr>
              <w:t>Exchange Server 2007 Standard for Small</w:t>
            </w:r>
            <w:r w:rsidR="00ED4EE4">
              <w:rPr>
                <w:rFonts w:ascii="Tahoma" w:hAnsi="Tahoma" w:cs="Tahoma"/>
                <w:sz w:val="14"/>
              </w:rPr>
              <w:t> </w:t>
            </w:r>
            <w:r w:rsidRPr="003410C7">
              <w:rPr>
                <w:rFonts w:ascii="Tahoma" w:hAnsi="Tahoma" w:cs="Tahoma"/>
                <w:sz w:val="14"/>
              </w:rPr>
              <w:t>Business</w:t>
            </w:r>
            <w:bookmarkEnd w:id="249"/>
            <w:bookmarkEnd w:id="250"/>
          </w:p>
        </w:tc>
        <w:tc>
          <w:tcPr>
            <w:tcW w:w="450" w:type="dxa"/>
            <w:tcBorders>
              <w:bottom w:val="single" w:sz="4" w:space="0" w:color="auto"/>
            </w:tcBorders>
            <w:shd w:val="clear" w:color="auto" w:fill="auto"/>
            <w:vAlign w:val="center"/>
          </w:tcPr>
          <w:p w:rsidR="001A63C6" w:rsidRPr="009F17FF" w:rsidRDefault="001A63C6" w:rsidP="001A63C6">
            <w:pPr>
              <w:pStyle w:val="TableText"/>
              <w:widowControl w:val="0"/>
              <w:rPr>
                <w:rStyle w:val="EndnoteReference"/>
                <w:color w:val="000000"/>
                <w:sz w:val="13"/>
                <w:szCs w:val="13"/>
                <w:u w:val="single"/>
              </w:rPr>
            </w:pPr>
          </w:p>
        </w:tc>
        <w:tc>
          <w:tcPr>
            <w:tcW w:w="450" w:type="dxa"/>
            <w:tcBorders>
              <w:bottom w:val="single" w:sz="4" w:space="0" w:color="auto"/>
            </w:tcBorders>
            <w:shd w:val="clear" w:color="auto" w:fill="auto"/>
            <w:vAlign w:val="center"/>
          </w:tcPr>
          <w:p w:rsidR="001A63C6" w:rsidRPr="003410C7" w:rsidRDefault="001A63C6" w:rsidP="001A63C6">
            <w:pPr>
              <w:pStyle w:val="TableText"/>
              <w:widowControl w:val="0"/>
              <w:spacing w:before="120"/>
              <w:rPr>
                <w:rFonts w:ascii="Tahoma" w:hAnsi="Tahoma" w:cs="Tahoma"/>
                <w:sz w:val="13"/>
              </w:rPr>
            </w:pPr>
            <w:r w:rsidRPr="003410C7">
              <w:rPr>
                <w:rFonts w:ascii="Tahoma" w:hAnsi="Tahoma" w:cs="Tahoma"/>
                <w:sz w:val="13"/>
              </w:rPr>
              <w:t>10/09</w:t>
            </w:r>
          </w:p>
        </w:tc>
        <w:tc>
          <w:tcPr>
            <w:tcW w:w="360" w:type="dxa"/>
            <w:tcBorders>
              <w:bottom w:val="single" w:sz="4" w:space="0" w:color="auto"/>
              <w:right w:val="single" w:sz="18" w:space="0" w:color="auto"/>
            </w:tcBorders>
            <w:shd w:val="clear" w:color="auto" w:fill="auto"/>
            <w:vAlign w:val="center"/>
          </w:tcPr>
          <w:p w:rsidR="001A63C6" w:rsidRPr="003410C7" w:rsidRDefault="001A63C6" w:rsidP="001A63C6">
            <w:pPr>
              <w:pStyle w:val="TableText"/>
              <w:widowControl w:val="0"/>
              <w:rPr>
                <w:rFonts w:ascii="Tahoma" w:hAnsi="Tahoma" w:cs="Tahoma"/>
                <w:sz w:val="13"/>
              </w:rPr>
            </w:pPr>
            <w:r w:rsidRPr="003410C7">
              <w:rPr>
                <w:rFonts w:ascii="Tahoma" w:hAnsi="Tahoma" w:cs="Tahoma"/>
                <w:sz w:val="13"/>
              </w:rPr>
              <w:t>SRV</w:t>
            </w:r>
          </w:p>
        </w:tc>
        <w:tc>
          <w:tcPr>
            <w:tcW w:w="360" w:type="dxa"/>
            <w:tcBorders>
              <w:left w:val="single" w:sz="18" w:space="0" w:color="auto"/>
              <w:bottom w:val="single" w:sz="4" w:space="0" w:color="auto"/>
            </w:tcBorders>
            <w:shd w:val="clear" w:color="auto" w:fill="auto"/>
            <w:vAlign w:val="center"/>
          </w:tcPr>
          <w:p w:rsidR="001A63C6" w:rsidRPr="003410C7"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3410C7"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3410C7"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3410C7"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3410C7"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3410C7" w:rsidRDefault="001A63C6" w:rsidP="001A63C6">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auto"/>
            <w:vAlign w:val="center"/>
          </w:tcPr>
          <w:p w:rsidR="001A63C6" w:rsidRPr="003410C7"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1A63C6" w:rsidRPr="003410C7" w:rsidRDefault="001A63C6" w:rsidP="001A63C6">
            <w:pPr>
              <w:pStyle w:val="TableText"/>
              <w:widowControl w:val="0"/>
              <w:rPr>
                <w:rFonts w:ascii="Tahoma" w:hAnsi="Tahoma" w:cs="Tahoma"/>
                <w:sz w:val="13"/>
              </w:rPr>
            </w:pPr>
            <w:r w:rsidRPr="003410C7">
              <w:rPr>
                <w:rFonts w:ascii="Tahoma" w:hAnsi="Tahoma" w:cs="Tahoma"/>
                <w:sz w:val="13"/>
              </w:rPr>
              <w:t>10</w:t>
            </w:r>
          </w:p>
        </w:tc>
        <w:tc>
          <w:tcPr>
            <w:tcW w:w="450" w:type="dxa"/>
            <w:tcBorders>
              <w:bottom w:val="single" w:sz="4" w:space="0" w:color="auto"/>
            </w:tcBorders>
            <w:shd w:val="clear" w:color="auto" w:fill="auto"/>
            <w:vAlign w:val="center"/>
          </w:tcPr>
          <w:p w:rsidR="001A63C6" w:rsidRPr="003410C7" w:rsidRDefault="001A63C6" w:rsidP="001A63C6">
            <w:pPr>
              <w:pStyle w:val="TableText"/>
              <w:widowControl w:val="0"/>
              <w:rPr>
                <w:rFonts w:ascii="Tahoma" w:hAnsi="Tahoma" w:cs="Tahoma"/>
                <w:sz w:val="13"/>
              </w:rPr>
            </w:pPr>
            <w:r w:rsidRPr="003410C7">
              <w:rPr>
                <w:rFonts w:ascii="Tahoma" w:hAnsi="Tahoma" w:cs="Tahoma"/>
                <w:sz w:val="13"/>
              </w:rPr>
              <w:t>20</w:t>
            </w:r>
          </w:p>
        </w:tc>
        <w:tc>
          <w:tcPr>
            <w:tcW w:w="450" w:type="dxa"/>
            <w:tcBorders>
              <w:bottom w:val="single" w:sz="4" w:space="0" w:color="auto"/>
              <w:right w:val="single" w:sz="18" w:space="0" w:color="auto"/>
            </w:tcBorders>
            <w:shd w:val="clear" w:color="auto" w:fill="auto"/>
            <w:vAlign w:val="center"/>
          </w:tcPr>
          <w:p w:rsidR="001A63C6" w:rsidRPr="003410C7" w:rsidRDefault="001A63C6" w:rsidP="001A63C6">
            <w:pPr>
              <w:pStyle w:val="TableText"/>
              <w:widowControl w:val="0"/>
              <w:rPr>
                <w:rFonts w:ascii="Tahoma" w:hAnsi="Tahoma" w:cs="Tahoma"/>
                <w:sz w:val="13"/>
              </w:rPr>
            </w:pPr>
            <w:r w:rsidRPr="003410C7">
              <w:rPr>
                <w:rFonts w:ascii="Tahoma" w:hAnsi="Tahoma" w:cs="Tahoma"/>
                <w:sz w:val="13"/>
              </w:rPr>
              <w:t>10</w:t>
            </w:r>
          </w:p>
        </w:tc>
        <w:tc>
          <w:tcPr>
            <w:tcW w:w="450" w:type="dxa"/>
            <w:tcBorders>
              <w:left w:val="single" w:sz="18" w:space="0" w:color="auto"/>
              <w:bottom w:val="single" w:sz="4" w:space="0" w:color="auto"/>
            </w:tcBorders>
            <w:shd w:val="clear" w:color="auto" w:fill="auto"/>
            <w:vAlign w:val="center"/>
          </w:tcPr>
          <w:p w:rsidR="001A63C6" w:rsidRPr="003410C7"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1A63C6" w:rsidRPr="003410C7"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rsidR="001A63C6" w:rsidRPr="003410C7" w:rsidRDefault="001A63C6" w:rsidP="001A63C6">
            <w:pPr>
              <w:pStyle w:val="TableText"/>
              <w:widowControl w:val="0"/>
              <w:rPr>
                <w:rFonts w:ascii="Tahoma" w:hAnsi="Tahoma" w:cs="Tahoma"/>
                <w:sz w:val="13"/>
              </w:rPr>
            </w:pPr>
            <w:r w:rsidRPr="003410C7">
              <w:rPr>
                <w:rFonts w:ascii="Tahoma" w:hAnsi="Tahoma" w:cs="Tahoma"/>
                <w:sz w:val="13"/>
              </w:rPr>
              <w:t>P</w:t>
            </w:r>
          </w:p>
        </w:tc>
        <w:tc>
          <w:tcPr>
            <w:tcW w:w="450" w:type="dxa"/>
            <w:tcBorders>
              <w:bottom w:val="single" w:sz="4" w:space="0" w:color="auto"/>
            </w:tcBorders>
            <w:shd w:val="clear" w:color="auto" w:fill="auto"/>
          </w:tcPr>
          <w:p w:rsidR="001A63C6" w:rsidRPr="003410C7" w:rsidRDefault="001A63C6" w:rsidP="001A63C6">
            <w:pPr>
              <w:pStyle w:val="TableText"/>
              <w:widowControl w:val="0"/>
              <w:rPr>
                <w:rFonts w:ascii="Tahoma" w:hAnsi="Tahoma" w:cs="Tahoma"/>
                <w:sz w:val="13"/>
              </w:rPr>
            </w:pPr>
          </w:p>
        </w:tc>
        <w:tc>
          <w:tcPr>
            <w:tcW w:w="540" w:type="dxa"/>
            <w:tcBorders>
              <w:bottom w:val="single" w:sz="4" w:space="0" w:color="auto"/>
            </w:tcBorders>
            <w:shd w:val="clear" w:color="auto" w:fill="auto"/>
            <w:vAlign w:val="center"/>
          </w:tcPr>
          <w:p w:rsidR="001A63C6" w:rsidRPr="003410C7" w:rsidRDefault="001A63C6" w:rsidP="001A63C6">
            <w:pPr>
              <w:pStyle w:val="TableText"/>
              <w:widowControl w:val="0"/>
              <w:rPr>
                <w:rFonts w:ascii="Tahoma" w:hAnsi="Tahoma" w:cs="Tahoma"/>
                <w:sz w:val="13"/>
              </w:rPr>
            </w:pPr>
          </w:p>
        </w:tc>
      </w:tr>
      <w:tr w:rsidR="00EF228F" w:rsidRPr="003410C7" w:rsidTr="006B1F3F">
        <w:trPr>
          <w:trHeight w:val="145"/>
        </w:trPr>
        <w:tc>
          <w:tcPr>
            <w:tcW w:w="2734" w:type="dxa"/>
            <w:gridSpan w:val="2"/>
            <w:tcBorders>
              <w:bottom w:val="single" w:sz="4" w:space="0" w:color="auto"/>
            </w:tcBorders>
            <w:shd w:val="clear" w:color="auto" w:fill="FABF8F"/>
          </w:tcPr>
          <w:p w:rsidR="001A63C6" w:rsidRPr="003410C7" w:rsidRDefault="001A63C6" w:rsidP="00ED4EE4">
            <w:pPr>
              <w:pStyle w:val="ProductNames"/>
              <w:rPr>
                <w:rFonts w:ascii="Tahoma" w:hAnsi="Tahoma" w:cs="Tahoma"/>
                <w:sz w:val="14"/>
              </w:rPr>
            </w:pPr>
            <w:bookmarkStart w:id="251" w:name="_Toc336337961"/>
            <w:bookmarkStart w:id="252" w:name="_Toc352234583"/>
            <w:r w:rsidRPr="003410C7">
              <w:rPr>
                <w:rFonts w:ascii="Tahoma" w:hAnsi="Tahoma" w:cs="Tahoma"/>
                <w:sz w:val="14"/>
              </w:rPr>
              <w:t>CAL per Exchange Server 2007 Standard</w:t>
            </w:r>
            <w:r w:rsidR="00ED4EE4">
              <w:rPr>
                <w:rFonts w:ascii="Tahoma" w:hAnsi="Tahoma" w:cs="Tahoma"/>
                <w:sz w:val="14"/>
              </w:rPr>
              <w:t> </w:t>
            </w:r>
            <w:r w:rsidRPr="003410C7">
              <w:rPr>
                <w:rFonts w:ascii="Tahoma" w:hAnsi="Tahoma" w:cs="Tahoma"/>
                <w:sz w:val="14"/>
              </w:rPr>
              <w:t>for Small Business</w:t>
            </w:r>
            <w:bookmarkEnd w:id="251"/>
            <w:bookmarkEnd w:id="252"/>
          </w:p>
        </w:tc>
        <w:tc>
          <w:tcPr>
            <w:tcW w:w="450" w:type="dxa"/>
            <w:tcBorders>
              <w:bottom w:val="single" w:sz="4" w:space="0" w:color="auto"/>
            </w:tcBorders>
            <w:shd w:val="clear" w:color="auto" w:fill="FABF8F"/>
            <w:vAlign w:val="center"/>
          </w:tcPr>
          <w:p w:rsidR="001A63C6" w:rsidRPr="009F17FF" w:rsidRDefault="001A63C6" w:rsidP="001A63C6">
            <w:pPr>
              <w:pStyle w:val="TableText"/>
              <w:widowControl w:val="0"/>
              <w:rPr>
                <w:rStyle w:val="EndnoteReference"/>
                <w:color w:val="000000"/>
                <w:sz w:val="13"/>
                <w:szCs w:val="13"/>
                <w:u w:val="single"/>
              </w:rPr>
            </w:pPr>
          </w:p>
        </w:tc>
        <w:tc>
          <w:tcPr>
            <w:tcW w:w="450" w:type="dxa"/>
            <w:tcBorders>
              <w:bottom w:val="single" w:sz="4" w:space="0" w:color="auto"/>
            </w:tcBorders>
            <w:shd w:val="clear" w:color="auto" w:fill="FABF8F"/>
            <w:vAlign w:val="center"/>
          </w:tcPr>
          <w:p w:rsidR="001A63C6" w:rsidRPr="003410C7" w:rsidRDefault="001A63C6" w:rsidP="001A63C6">
            <w:pPr>
              <w:pStyle w:val="TableText"/>
              <w:widowControl w:val="0"/>
              <w:spacing w:before="120"/>
              <w:rPr>
                <w:rFonts w:ascii="Tahoma" w:hAnsi="Tahoma" w:cs="Tahoma"/>
                <w:sz w:val="13"/>
              </w:rPr>
            </w:pPr>
            <w:r w:rsidRPr="003410C7">
              <w:rPr>
                <w:rFonts w:ascii="Tahoma" w:hAnsi="Tahoma" w:cs="Tahoma"/>
                <w:sz w:val="13"/>
              </w:rPr>
              <w:t>11/09</w:t>
            </w:r>
          </w:p>
        </w:tc>
        <w:tc>
          <w:tcPr>
            <w:tcW w:w="360" w:type="dxa"/>
            <w:tcBorders>
              <w:bottom w:val="single" w:sz="4" w:space="0" w:color="auto"/>
              <w:right w:val="single" w:sz="18" w:space="0" w:color="auto"/>
            </w:tcBorders>
            <w:shd w:val="clear" w:color="auto" w:fill="FABF8F"/>
            <w:vAlign w:val="center"/>
          </w:tcPr>
          <w:p w:rsidR="001A63C6" w:rsidRPr="003410C7" w:rsidRDefault="001A63C6" w:rsidP="001A63C6">
            <w:pPr>
              <w:pStyle w:val="TableText"/>
              <w:widowControl w:val="0"/>
              <w:rPr>
                <w:rFonts w:ascii="Tahoma" w:hAnsi="Tahoma" w:cs="Tahoma"/>
                <w:sz w:val="13"/>
              </w:rPr>
            </w:pPr>
            <w:r w:rsidRPr="003410C7">
              <w:rPr>
                <w:rFonts w:ascii="Tahoma" w:hAnsi="Tahoma" w:cs="Tahoma"/>
                <w:sz w:val="13"/>
              </w:rPr>
              <w:t>SRV</w:t>
            </w:r>
          </w:p>
        </w:tc>
        <w:tc>
          <w:tcPr>
            <w:tcW w:w="360" w:type="dxa"/>
            <w:tcBorders>
              <w:left w:val="single" w:sz="18" w:space="0" w:color="auto"/>
              <w:bottom w:val="single" w:sz="4" w:space="0" w:color="auto"/>
            </w:tcBorders>
            <w:shd w:val="clear" w:color="auto" w:fill="FABF8F"/>
            <w:vAlign w:val="center"/>
          </w:tcPr>
          <w:p w:rsidR="001A63C6" w:rsidRPr="003410C7"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3410C7"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3410C7"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3410C7"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3410C7"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3410C7" w:rsidRDefault="001A63C6" w:rsidP="001A63C6">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rsidR="001A63C6" w:rsidRPr="003410C7"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3410C7" w:rsidRDefault="001A63C6" w:rsidP="001A63C6">
            <w:pPr>
              <w:pStyle w:val="TableText"/>
              <w:widowControl w:val="0"/>
              <w:rPr>
                <w:rFonts w:ascii="Tahoma" w:hAnsi="Tahoma" w:cs="Tahoma"/>
                <w:sz w:val="13"/>
              </w:rPr>
            </w:pPr>
            <w:r w:rsidRPr="003410C7">
              <w:rPr>
                <w:rFonts w:ascii="Tahoma" w:hAnsi="Tahoma" w:cs="Tahoma"/>
                <w:sz w:val="13"/>
              </w:rPr>
              <w:t>1</w:t>
            </w:r>
          </w:p>
        </w:tc>
        <w:tc>
          <w:tcPr>
            <w:tcW w:w="450" w:type="dxa"/>
            <w:tcBorders>
              <w:bottom w:val="single" w:sz="4" w:space="0" w:color="auto"/>
            </w:tcBorders>
            <w:shd w:val="clear" w:color="auto" w:fill="FABF8F"/>
            <w:vAlign w:val="center"/>
          </w:tcPr>
          <w:p w:rsidR="001A63C6" w:rsidRPr="003410C7" w:rsidRDefault="001A63C6" w:rsidP="001A63C6">
            <w:pPr>
              <w:pStyle w:val="TableText"/>
              <w:widowControl w:val="0"/>
              <w:rPr>
                <w:rFonts w:ascii="Tahoma" w:hAnsi="Tahoma" w:cs="Tahoma"/>
                <w:sz w:val="13"/>
              </w:rPr>
            </w:pPr>
            <w:r w:rsidRPr="003410C7">
              <w:rPr>
                <w:rFonts w:ascii="Tahoma" w:hAnsi="Tahoma" w:cs="Tahoma"/>
                <w:sz w:val="13"/>
              </w:rPr>
              <w:t>2</w:t>
            </w:r>
          </w:p>
        </w:tc>
        <w:tc>
          <w:tcPr>
            <w:tcW w:w="450" w:type="dxa"/>
            <w:tcBorders>
              <w:bottom w:val="single" w:sz="4" w:space="0" w:color="auto"/>
              <w:right w:val="single" w:sz="18" w:space="0" w:color="auto"/>
            </w:tcBorders>
            <w:shd w:val="clear" w:color="auto" w:fill="FABF8F"/>
            <w:vAlign w:val="center"/>
          </w:tcPr>
          <w:p w:rsidR="001A63C6" w:rsidRPr="003410C7" w:rsidRDefault="001A63C6" w:rsidP="001A63C6">
            <w:pPr>
              <w:pStyle w:val="TableText"/>
              <w:widowControl w:val="0"/>
              <w:rPr>
                <w:rFonts w:ascii="Tahoma" w:hAnsi="Tahoma" w:cs="Tahoma"/>
                <w:sz w:val="13"/>
              </w:rPr>
            </w:pPr>
            <w:r w:rsidRPr="003410C7">
              <w:rPr>
                <w:rFonts w:ascii="Tahoma" w:hAnsi="Tahoma" w:cs="Tahoma"/>
                <w:sz w:val="13"/>
              </w:rPr>
              <w:t>1</w:t>
            </w:r>
          </w:p>
        </w:tc>
        <w:tc>
          <w:tcPr>
            <w:tcW w:w="450" w:type="dxa"/>
            <w:tcBorders>
              <w:left w:val="single" w:sz="18" w:space="0" w:color="auto"/>
              <w:bottom w:val="single" w:sz="4" w:space="0" w:color="auto"/>
            </w:tcBorders>
            <w:shd w:val="clear" w:color="auto" w:fill="FABF8F"/>
            <w:vAlign w:val="center"/>
          </w:tcPr>
          <w:p w:rsidR="001A63C6" w:rsidRPr="003410C7"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1A63C6" w:rsidRPr="003410C7"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3410C7" w:rsidRDefault="001A63C6" w:rsidP="001A63C6">
            <w:pPr>
              <w:pStyle w:val="TableText"/>
              <w:widowControl w:val="0"/>
              <w:rPr>
                <w:rFonts w:ascii="Tahoma" w:hAnsi="Tahoma" w:cs="Tahoma"/>
                <w:sz w:val="13"/>
              </w:rPr>
            </w:pPr>
            <w:r w:rsidRPr="003410C7">
              <w:rPr>
                <w:rFonts w:ascii="Tahoma" w:hAnsi="Tahoma" w:cs="Tahoma"/>
                <w:sz w:val="13"/>
              </w:rPr>
              <w:t>P</w:t>
            </w:r>
          </w:p>
        </w:tc>
        <w:tc>
          <w:tcPr>
            <w:tcW w:w="450" w:type="dxa"/>
            <w:tcBorders>
              <w:bottom w:val="single" w:sz="4" w:space="0" w:color="auto"/>
            </w:tcBorders>
            <w:shd w:val="clear" w:color="auto" w:fill="FABF8F"/>
          </w:tcPr>
          <w:p w:rsidR="001A63C6" w:rsidRPr="003410C7" w:rsidRDefault="001A63C6" w:rsidP="001A63C6">
            <w:pPr>
              <w:pStyle w:val="TableText"/>
              <w:widowControl w:val="0"/>
              <w:rPr>
                <w:rFonts w:ascii="Tahoma" w:hAnsi="Tahoma" w:cs="Tahoma"/>
                <w:sz w:val="13"/>
              </w:rPr>
            </w:pPr>
          </w:p>
        </w:tc>
        <w:tc>
          <w:tcPr>
            <w:tcW w:w="540" w:type="dxa"/>
            <w:tcBorders>
              <w:bottom w:val="single" w:sz="4" w:space="0" w:color="auto"/>
            </w:tcBorders>
            <w:shd w:val="clear" w:color="auto" w:fill="FABF8F"/>
            <w:vAlign w:val="center"/>
          </w:tcPr>
          <w:p w:rsidR="001A63C6" w:rsidRPr="003410C7" w:rsidRDefault="001A63C6" w:rsidP="001A63C6">
            <w:pPr>
              <w:pStyle w:val="TableText"/>
              <w:widowControl w:val="0"/>
              <w:rPr>
                <w:rFonts w:ascii="Tahoma" w:hAnsi="Tahoma" w:cs="Tahoma"/>
                <w:sz w:val="13"/>
              </w:rPr>
            </w:pPr>
          </w:p>
        </w:tc>
      </w:tr>
      <w:tr w:rsidR="00B33D0E" w:rsidRPr="003410C7" w:rsidTr="006B1F3F">
        <w:trPr>
          <w:trHeight w:val="145"/>
        </w:trPr>
        <w:tc>
          <w:tcPr>
            <w:tcW w:w="2734" w:type="dxa"/>
            <w:gridSpan w:val="2"/>
            <w:tcBorders>
              <w:bottom w:val="single" w:sz="4" w:space="0" w:color="auto"/>
            </w:tcBorders>
            <w:shd w:val="clear" w:color="auto" w:fill="auto"/>
          </w:tcPr>
          <w:p w:rsidR="001A63C6" w:rsidRPr="003410C7" w:rsidRDefault="001A63C6" w:rsidP="001A63C6">
            <w:pPr>
              <w:pStyle w:val="ProductNames"/>
              <w:rPr>
                <w:rFonts w:ascii="Tahoma" w:hAnsi="Tahoma" w:cs="Tahoma"/>
                <w:sz w:val="14"/>
              </w:rPr>
            </w:pPr>
            <w:bookmarkStart w:id="253" w:name="_Toc336337963"/>
            <w:bookmarkStart w:id="254" w:name="_Toc352234584"/>
            <w:r w:rsidRPr="003410C7">
              <w:rPr>
                <w:rFonts w:ascii="Tahoma" w:hAnsi="Tahoma" w:cs="Tahoma"/>
                <w:sz w:val="14"/>
              </w:rPr>
              <w:t>Exchange Server 2010 Standard CAL (Dispositivo e Utente)</w:t>
            </w:r>
            <w:bookmarkEnd w:id="253"/>
            <w:bookmarkEnd w:id="254"/>
          </w:p>
        </w:tc>
        <w:tc>
          <w:tcPr>
            <w:tcW w:w="450" w:type="dxa"/>
            <w:tcBorders>
              <w:bottom w:val="single" w:sz="4" w:space="0" w:color="auto"/>
            </w:tcBorders>
            <w:shd w:val="clear" w:color="auto" w:fill="auto"/>
            <w:vAlign w:val="center"/>
          </w:tcPr>
          <w:p w:rsidR="001A63C6" w:rsidRPr="009F17FF" w:rsidRDefault="00FC1A4D" w:rsidP="003D2CC8">
            <w:pPr>
              <w:pStyle w:val="TableText"/>
              <w:widowControl w:val="0"/>
              <w:rPr>
                <w:rStyle w:val="EndnoteReference"/>
                <w:color w:val="0000FF"/>
                <w:sz w:val="13"/>
                <w:szCs w:val="13"/>
                <w:u w:val="single"/>
              </w:rPr>
            </w:pPr>
            <w:hyperlink w:anchor="_53_52_Exchange" w:history="1">
              <w:r w:rsidR="000D77F6" w:rsidRPr="009F17FF">
                <w:rPr>
                  <w:rStyle w:val="Hyperlink"/>
                  <w:b/>
                  <w:sz w:val="13"/>
                  <w:szCs w:val="13"/>
                </w:rPr>
                <w:t>52</w:t>
              </w:r>
            </w:hyperlink>
            <w:hyperlink w:anchor="_50_Exchange_Server" w:history="1"/>
          </w:p>
        </w:tc>
        <w:tc>
          <w:tcPr>
            <w:tcW w:w="450" w:type="dxa"/>
            <w:tcBorders>
              <w:bottom w:val="single" w:sz="4" w:space="0" w:color="auto"/>
            </w:tcBorders>
            <w:shd w:val="clear" w:color="auto" w:fill="auto"/>
            <w:vAlign w:val="center"/>
          </w:tcPr>
          <w:p w:rsidR="001A63C6" w:rsidRPr="003410C7" w:rsidRDefault="001A63C6" w:rsidP="001A63C6">
            <w:pPr>
              <w:pStyle w:val="TableText"/>
              <w:widowControl w:val="0"/>
              <w:spacing w:before="80"/>
              <w:rPr>
                <w:rFonts w:ascii="Tahoma" w:hAnsi="Tahoma" w:cs="Tahoma"/>
                <w:sz w:val="13"/>
              </w:rPr>
            </w:pPr>
            <w:r w:rsidRPr="003410C7">
              <w:rPr>
                <w:rFonts w:ascii="Tahoma" w:hAnsi="Tahoma" w:cs="Tahoma"/>
                <w:sz w:val="13"/>
              </w:rPr>
              <w:t>11/09</w:t>
            </w:r>
          </w:p>
        </w:tc>
        <w:tc>
          <w:tcPr>
            <w:tcW w:w="360" w:type="dxa"/>
            <w:tcBorders>
              <w:bottom w:val="single" w:sz="4" w:space="0" w:color="auto"/>
              <w:right w:val="single" w:sz="18" w:space="0" w:color="auto"/>
            </w:tcBorders>
            <w:shd w:val="clear" w:color="auto" w:fill="auto"/>
            <w:vAlign w:val="center"/>
          </w:tcPr>
          <w:p w:rsidR="001A63C6" w:rsidRPr="003410C7" w:rsidRDefault="001A63C6" w:rsidP="001A63C6">
            <w:pPr>
              <w:pStyle w:val="TableText"/>
              <w:widowControl w:val="0"/>
              <w:rPr>
                <w:rFonts w:ascii="Tahoma" w:hAnsi="Tahoma" w:cs="Tahoma"/>
                <w:sz w:val="13"/>
              </w:rPr>
            </w:pPr>
            <w:r w:rsidRPr="003410C7">
              <w:rPr>
                <w:rFonts w:ascii="Tahoma" w:hAnsi="Tahoma" w:cs="Tahoma"/>
                <w:sz w:val="13"/>
              </w:rPr>
              <w:t>SRV</w:t>
            </w:r>
          </w:p>
        </w:tc>
        <w:tc>
          <w:tcPr>
            <w:tcW w:w="360" w:type="dxa"/>
            <w:tcBorders>
              <w:left w:val="single" w:sz="18" w:space="0" w:color="auto"/>
              <w:bottom w:val="single" w:sz="4" w:space="0" w:color="auto"/>
            </w:tcBorders>
            <w:shd w:val="clear" w:color="auto" w:fill="auto"/>
            <w:vAlign w:val="center"/>
          </w:tcPr>
          <w:p w:rsidR="001A63C6" w:rsidRPr="003410C7" w:rsidRDefault="001A63C6" w:rsidP="001A63C6">
            <w:pPr>
              <w:pStyle w:val="TableText"/>
              <w:widowControl w:val="0"/>
              <w:rPr>
                <w:rFonts w:ascii="Tahoma" w:hAnsi="Tahoma" w:cs="Tahoma"/>
                <w:sz w:val="13"/>
              </w:rPr>
            </w:pPr>
            <w:r w:rsidRPr="003410C7">
              <w:rPr>
                <w:rFonts w:ascii="Tahoma" w:hAnsi="Tahoma" w:cs="Tahoma"/>
                <w:sz w:val="13"/>
              </w:rPr>
              <w:t>1</w:t>
            </w:r>
          </w:p>
        </w:tc>
        <w:tc>
          <w:tcPr>
            <w:tcW w:w="450" w:type="dxa"/>
            <w:tcBorders>
              <w:bottom w:val="single" w:sz="4" w:space="0" w:color="auto"/>
            </w:tcBorders>
            <w:shd w:val="clear" w:color="auto" w:fill="auto"/>
            <w:vAlign w:val="center"/>
          </w:tcPr>
          <w:p w:rsidR="001A63C6" w:rsidRPr="003410C7" w:rsidRDefault="001A63C6" w:rsidP="001A63C6">
            <w:pPr>
              <w:pStyle w:val="TableText"/>
              <w:widowControl w:val="0"/>
              <w:rPr>
                <w:rFonts w:ascii="Tahoma" w:hAnsi="Tahoma" w:cs="Tahoma"/>
                <w:sz w:val="13"/>
              </w:rPr>
            </w:pPr>
            <w:r w:rsidRPr="003410C7">
              <w:rPr>
                <w:rFonts w:ascii="Tahoma" w:hAnsi="Tahoma" w:cs="Tahoma"/>
                <w:sz w:val="13"/>
              </w:rPr>
              <w:t>3</w:t>
            </w:r>
          </w:p>
        </w:tc>
        <w:tc>
          <w:tcPr>
            <w:tcW w:w="450" w:type="dxa"/>
            <w:tcBorders>
              <w:bottom w:val="single" w:sz="4" w:space="0" w:color="auto"/>
            </w:tcBorders>
            <w:shd w:val="clear" w:color="auto" w:fill="auto"/>
            <w:vAlign w:val="center"/>
          </w:tcPr>
          <w:p w:rsidR="001A63C6" w:rsidRPr="003410C7" w:rsidRDefault="001A63C6" w:rsidP="001A63C6">
            <w:pPr>
              <w:pStyle w:val="TableText"/>
              <w:widowControl w:val="0"/>
              <w:rPr>
                <w:rFonts w:ascii="Tahoma" w:hAnsi="Tahoma" w:cs="Tahoma"/>
                <w:sz w:val="13"/>
              </w:rPr>
            </w:pPr>
            <w:r w:rsidRPr="003410C7">
              <w:rPr>
                <w:rFonts w:ascii="Tahoma" w:hAnsi="Tahoma" w:cs="Tahoma"/>
                <w:sz w:val="13"/>
              </w:rPr>
              <w:t>2</w:t>
            </w:r>
          </w:p>
        </w:tc>
        <w:tc>
          <w:tcPr>
            <w:tcW w:w="450" w:type="dxa"/>
            <w:tcBorders>
              <w:bottom w:val="single" w:sz="4" w:space="0" w:color="auto"/>
            </w:tcBorders>
            <w:shd w:val="clear" w:color="auto" w:fill="auto"/>
            <w:vAlign w:val="center"/>
          </w:tcPr>
          <w:p w:rsidR="001A63C6" w:rsidRPr="003410C7" w:rsidRDefault="001A63C6" w:rsidP="001A63C6">
            <w:pPr>
              <w:pStyle w:val="TableText"/>
              <w:widowControl w:val="0"/>
              <w:rPr>
                <w:rFonts w:ascii="Tahoma" w:hAnsi="Tahoma" w:cs="Tahoma"/>
                <w:sz w:val="13"/>
              </w:rPr>
            </w:pPr>
            <w:r w:rsidRPr="003410C7">
              <w:rPr>
                <w:rFonts w:ascii="Tahoma" w:hAnsi="Tahoma" w:cs="Tahoma"/>
                <w:sz w:val="13"/>
              </w:rPr>
              <w:t>2</w:t>
            </w:r>
          </w:p>
        </w:tc>
        <w:tc>
          <w:tcPr>
            <w:tcW w:w="450" w:type="dxa"/>
            <w:tcBorders>
              <w:bottom w:val="single" w:sz="4" w:space="0" w:color="auto"/>
            </w:tcBorders>
            <w:shd w:val="clear" w:color="auto" w:fill="auto"/>
            <w:vAlign w:val="center"/>
          </w:tcPr>
          <w:p w:rsidR="001A63C6" w:rsidRPr="003410C7" w:rsidRDefault="001A63C6" w:rsidP="001A63C6">
            <w:pPr>
              <w:pStyle w:val="TableText"/>
              <w:widowControl w:val="0"/>
              <w:rPr>
                <w:rFonts w:ascii="Tahoma" w:hAnsi="Tahoma" w:cs="Tahoma"/>
                <w:sz w:val="13"/>
              </w:rPr>
            </w:pPr>
            <w:r w:rsidRPr="003410C7">
              <w:rPr>
                <w:rFonts w:ascii="Tahoma" w:hAnsi="Tahoma" w:cs="Tahoma"/>
                <w:sz w:val="13"/>
              </w:rPr>
              <w:t>2</w:t>
            </w:r>
          </w:p>
        </w:tc>
        <w:tc>
          <w:tcPr>
            <w:tcW w:w="450" w:type="dxa"/>
            <w:tcBorders>
              <w:bottom w:val="single" w:sz="4" w:space="0" w:color="auto"/>
            </w:tcBorders>
            <w:shd w:val="clear" w:color="auto" w:fill="auto"/>
            <w:vAlign w:val="center"/>
          </w:tcPr>
          <w:p w:rsidR="001A63C6" w:rsidRPr="003410C7" w:rsidRDefault="001A63C6" w:rsidP="001A63C6">
            <w:pPr>
              <w:pStyle w:val="TableText"/>
              <w:widowControl w:val="0"/>
              <w:rPr>
                <w:rFonts w:ascii="Tahoma" w:hAnsi="Tahoma" w:cs="Tahoma"/>
                <w:sz w:val="13"/>
              </w:rPr>
            </w:pPr>
            <w:r w:rsidRPr="003410C7">
              <w:rPr>
                <w:rFonts w:ascii="Tahoma" w:hAnsi="Tahoma" w:cs="Tahoma"/>
                <w:sz w:val="13"/>
              </w:rPr>
              <w:t>1</w:t>
            </w:r>
          </w:p>
        </w:tc>
        <w:tc>
          <w:tcPr>
            <w:tcW w:w="360" w:type="dxa"/>
            <w:tcBorders>
              <w:bottom w:val="single" w:sz="4" w:space="0" w:color="auto"/>
              <w:right w:val="single" w:sz="18" w:space="0" w:color="auto"/>
            </w:tcBorders>
            <w:shd w:val="clear" w:color="auto" w:fill="auto"/>
            <w:vAlign w:val="center"/>
          </w:tcPr>
          <w:p w:rsidR="001A63C6" w:rsidRPr="003410C7" w:rsidRDefault="001A63C6" w:rsidP="001A63C6">
            <w:pPr>
              <w:pStyle w:val="TableText"/>
              <w:widowControl w:val="0"/>
              <w:rPr>
                <w:rFonts w:ascii="Tahoma" w:hAnsi="Tahoma" w:cs="Tahoma"/>
                <w:sz w:val="13"/>
              </w:rPr>
            </w:pPr>
            <w:r w:rsidRPr="003410C7">
              <w:rPr>
                <w:rFonts w:ascii="Tahoma" w:hAnsi="Tahoma" w:cs="Tahoma"/>
                <w:sz w:val="13"/>
              </w:rPr>
              <w:t>1</w:t>
            </w:r>
          </w:p>
        </w:tc>
        <w:tc>
          <w:tcPr>
            <w:tcW w:w="450" w:type="dxa"/>
            <w:tcBorders>
              <w:left w:val="single" w:sz="18" w:space="0" w:color="auto"/>
              <w:bottom w:val="single" w:sz="4" w:space="0" w:color="auto"/>
            </w:tcBorders>
            <w:shd w:val="clear" w:color="auto" w:fill="auto"/>
            <w:vAlign w:val="center"/>
          </w:tcPr>
          <w:p w:rsidR="001A63C6" w:rsidRPr="003410C7" w:rsidRDefault="001A63C6" w:rsidP="001A63C6">
            <w:pPr>
              <w:pStyle w:val="TableText"/>
              <w:widowControl w:val="0"/>
              <w:rPr>
                <w:rFonts w:ascii="Tahoma" w:hAnsi="Tahoma" w:cs="Tahoma"/>
                <w:sz w:val="13"/>
              </w:rPr>
            </w:pPr>
            <w:r w:rsidRPr="003410C7">
              <w:rPr>
                <w:rFonts w:ascii="Tahoma" w:hAnsi="Tahoma" w:cs="Tahoma"/>
                <w:sz w:val="13"/>
              </w:rPr>
              <w:t>1</w:t>
            </w:r>
          </w:p>
        </w:tc>
        <w:tc>
          <w:tcPr>
            <w:tcW w:w="450" w:type="dxa"/>
            <w:tcBorders>
              <w:bottom w:val="single" w:sz="4" w:space="0" w:color="auto"/>
            </w:tcBorders>
            <w:shd w:val="clear" w:color="auto" w:fill="auto"/>
            <w:vAlign w:val="center"/>
          </w:tcPr>
          <w:p w:rsidR="001A63C6" w:rsidRPr="003410C7" w:rsidRDefault="001A63C6" w:rsidP="001A63C6">
            <w:pPr>
              <w:pStyle w:val="TableText"/>
              <w:widowControl w:val="0"/>
              <w:rPr>
                <w:rFonts w:ascii="Tahoma" w:hAnsi="Tahoma" w:cs="Tahoma"/>
                <w:sz w:val="13"/>
              </w:rPr>
            </w:pPr>
            <w:r w:rsidRPr="003410C7">
              <w:rPr>
                <w:rFonts w:ascii="Tahoma" w:hAnsi="Tahoma" w:cs="Tahoma"/>
                <w:sz w:val="13"/>
              </w:rPr>
              <w:t>2</w:t>
            </w:r>
          </w:p>
        </w:tc>
        <w:tc>
          <w:tcPr>
            <w:tcW w:w="450" w:type="dxa"/>
            <w:tcBorders>
              <w:bottom w:val="single" w:sz="4" w:space="0" w:color="auto"/>
              <w:right w:val="single" w:sz="18" w:space="0" w:color="auto"/>
            </w:tcBorders>
            <w:shd w:val="clear" w:color="auto" w:fill="auto"/>
            <w:vAlign w:val="center"/>
          </w:tcPr>
          <w:p w:rsidR="001A63C6" w:rsidRPr="003410C7" w:rsidRDefault="001A63C6" w:rsidP="001A63C6">
            <w:pPr>
              <w:pStyle w:val="TableText"/>
              <w:widowControl w:val="0"/>
              <w:rPr>
                <w:rFonts w:ascii="Tahoma" w:hAnsi="Tahoma" w:cs="Tahoma"/>
                <w:sz w:val="13"/>
              </w:rPr>
            </w:pPr>
            <w:r w:rsidRPr="003410C7">
              <w:rPr>
                <w:rFonts w:ascii="Tahoma" w:hAnsi="Tahoma" w:cs="Tahoma"/>
                <w:sz w:val="13"/>
              </w:rPr>
              <w:t>1</w:t>
            </w:r>
          </w:p>
        </w:tc>
        <w:tc>
          <w:tcPr>
            <w:tcW w:w="450" w:type="dxa"/>
            <w:tcBorders>
              <w:left w:val="single" w:sz="18" w:space="0" w:color="auto"/>
              <w:bottom w:val="single" w:sz="4" w:space="0" w:color="auto"/>
            </w:tcBorders>
            <w:shd w:val="clear" w:color="auto" w:fill="auto"/>
            <w:vAlign w:val="center"/>
          </w:tcPr>
          <w:p w:rsidR="001A63C6" w:rsidRPr="003410C7" w:rsidRDefault="001A63C6" w:rsidP="001A63C6">
            <w:pPr>
              <w:pStyle w:val="TableText"/>
              <w:widowControl w:val="0"/>
              <w:rPr>
                <w:rFonts w:ascii="Tahoma" w:hAnsi="Tahoma" w:cs="Tahoma"/>
                <w:sz w:val="13"/>
              </w:rPr>
            </w:pPr>
            <w:r w:rsidRPr="003410C7">
              <w:rPr>
                <w:rFonts w:ascii="Tahoma" w:hAnsi="Tahoma" w:cs="Tahoma"/>
                <w:sz w:val="13"/>
              </w:rPr>
              <w:t>1</w:t>
            </w:r>
          </w:p>
        </w:tc>
        <w:tc>
          <w:tcPr>
            <w:tcW w:w="450" w:type="dxa"/>
            <w:tcBorders>
              <w:bottom w:val="single" w:sz="4" w:space="0" w:color="auto"/>
              <w:right w:val="single" w:sz="18" w:space="0" w:color="auto"/>
            </w:tcBorders>
            <w:shd w:val="clear" w:color="auto" w:fill="auto"/>
            <w:vAlign w:val="center"/>
          </w:tcPr>
          <w:p w:rsidR="001A63C6" w:rsidRPr="003410C7"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rsidR="001A63C6" w:rsidRPr="003410C7" w:rsidRDefault="001A63C6" w:rsidP="001A63C6">
            <w:pPr>
              <w:pStyle w:val="TableText"/>
              <w:widowControl w:val="0"/>
              <w:rPr>
                <w:rFonts w:ascii="Tahoma" w:hAnsi="Tahoma" w:cs="Tahoma"/>
                <w:sz w:val="13"/>
              </w:rPr>
            </w:pPr>
            <w:r w:rsidRPr="003410C7">
              <w:rPr>
                <w:rFonts w:ascii="Tahoma" w:hAnsi="Tahoma" w:cs="Tahoma"/>
                <w:sz w:val="13"/>
              </w:rPr>
              <w:t>P</w:t>
            </w:r>
          </w:p>
        </w:tc>
        <w:tc>
          <w:tcPr>
            <w:tcW w:w="450" w:type="dxa"/>
            <w:tcBorders>
              <w:bottom w:val="single" w:sz="4" w:space="0" w:color="auto"/>
            </w:tcBorders>
            <w:shd w:val="clear" w:color="auto" w:fill="auto"/>
          </w:tcPr>
          <w:p w:rsidR="001A63C6" w:rsidRPr="003410C7" w:rsidRDefault="001A63C6" w:rsidP="001A63C6">
            <w:pPr>
              <w:pStyle w:val="TableText"/>
              <w:widowControl w:val="0"/>
              <w:rPr>
                <w:rFonts w:ascii="Tahoma" w:hAnsi="Tahoma" w:cs="Tahoma"/>
                <w:sz w:val="13"/>
              </w:rPr>
            </w:pPr>
            <w:r w:rsidRPr="003410C7">
              <w:rPr>
                <w:rFonts w:ascii="Tahoma" w:hAnsi="Tahoma" w:cs="Tahoma"/>
                <w:sz w:val="13"/>
              </w:rPr>
              <w:t>AO, ST</w:t>
            </w:r>
          </w:p>
        </w:tc>
        <w:tc>
          <w:tcPr>
            <w:tcW w:w="540" w:type="dxa"/>
            <w:tcBorders>
              <w:bottom w:val="single" w:sz="4" w:space="0" w:color="auto"/>
            </w:tcBorders>
            <w:shd w:val="clear" w:color="auto" w:fill="auto"/>
            <w:vAlign w:val="center"/>
          </w:tcPr>
          <w:p w:rsidR="001A63C6" w:rsidRPr="003410C7" w:rsidRDefault="001A63C6" w:rsidP="001A63C6">
            <w:pPr>
              <w:pStyle w:val="TableText"/>
              <w:widowControl w:val="0"/>
              <w:rPr>
                <w:rFonts w:ascii="Tahoma" w:hAnsi="Tahoma" w:cs="Tahoma"/>
                <w:sz w:val="13"/>
              </w:rPr>
            </w:pPr>
          </w:p>
        </w:tc>
      </w:tr>
      <w:tr w:rsidR="00EF228F" w:rsidRPr="003410C7" w:rsidDel="00515A83" w:rsidTr="006B1F3F">
        <w:trPr>
          <w:trHeight w:val="145"/>
        </w:trPr>
        <w:tc>
          <w:tcPr>
            <w:tcW w:w="2734" w:type="dxa"/>
            <w:gridSpan w:val="2"/>
            <w:tcBorders>
              <w:bottom w:val="single" w:sz="4" w:space="0" w:color="auto"/>
            </w:tcBorders>
            <w:shd w:val="clear" w:color="auto" w:fill="FABF8F"/>
          </w:tcPr>
          <w:p w:rsidR="001A63C6" w:rsidRPr="003410C7" w:rsidDel="00515A83" w:rsidRDefault="001A63C6" w:rsidP="001A63C6">
            <w:pPr>
              <w:pStyle w:val="ProductNames"/>
              <w:rPr>
                <w:rFonts w:ascii="Tahoma" w:hAnsi="Tahoma" w:cs="Tahoma"/>
                <w:sz w:val="14"/>
              </w:rPr>
            </w:pPr>
            <w:bookmarkStart w:id="255" w:name="_Toc336337965"/>
            <w:bookmarkStart w:id="256" w:name="_Toc352234585"/>
            <w:r w:rsidRPr="003410C7">
              <w:rPr>
                <w:rFonts w:ascii="Tahoma" w:hAnsi="Tahoma" w:cs="Tahoma"/>
                <w:sz w:val="14"/>
              </w:rPr>
              <w:t>Forefront Endpoint Protection</w:t>
            </w:r>
            <w:bookmarkEnd w:id="255"/>
            <w:bookmarkEnd w:id="256"/>
          </w:p>
        </w:tc>
        <w:tc>
          <w:tcPr>
            <w:tcW w:w="450" w:type="dxa"/>
            <w:tcBorders>
              <w:bottom w:val="single" w:sz="4" w:space="0" w:color="auto"/>
            </w:tcBorders>
            <w:shd w:val="clear" w:color="auto" w:fill="FABF8F"/>
            <w:vAlign w:val="center"/>
          </w:tcPr>
          <w:p w:rsidR="001A63C6" w:rsidRPr="009F17FF" w:rsidDel="00515A83" w:rsidRDefault="00FC1A4D" w:rsidP="003D2CC8">
            <w:pPr>
              <w:pStyle w:val="TableText"/>
              <w:widowControl w:val="0"/>
              <w:rPr>
                <w:rStyle w:val="EndnoteReference"/>
                <w:color w:val="000000"/>
                <w:sz w:val="13"/>
                <w:szCs w:val="13"/>
                <w:u w:val="single"/>
              </w:rPr>
            </w:pPr>
            <w:hyperlink w:anchor="_53_Forefront_Endpoint" w:history="1">
              <w:r w:rsidR="000D77F6" w:rsidRPr="009F17FF">
                <w:rPr>
                  <w:rStyle w:val="Hyperlink"/>
                  <w:b/>
                  <w:sz w:val="13"/>
                  <w:szCs w:val="13"/>
                </w:rPr>
                <w:t>53</w:t>
              </w:r>
            </w:hyperlink>
          </w:p>
        </w:tc>
        <w:tc>
          <w:tcPr>
            <w:tcW w:w="450" w:type="dxa"/>
            <w:tcBorders>
              <w:bottom w:val="single" w:sz="4" w:space="0" w:color="auto"/>
            </w:tcBorders>
            <w:shd w:val="clear" w:color="auto" w:fill="FABF8F"/>
            <w:vAlign w:val="center"/>
          </w:tcPr>
          <w:p w:rsidR="001A63C6" w:rsidRPr="003410C7" w:rsidDel="00515A83" w:rsidRDefault="001A63C6" w:rsidP="001A63C6">
            <w:pPr>
              <w:pStyle w:val="TableText"/>
              <w:widowControl w:val="0"/>
              <w:spacing w:before="8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rsidR="001A63C6" w:rsidRPr="003410C7" w:rsidDel="00515A83" w:rsidRDefault="001A63C6" w:rsidP="001A63C6">
            <w:pPr>
              <w:pStyle w:val="TableText"/>
              <w:widowControl w:val="0"/>
              <w:rPr>
                <w:rFonts w:ascii="Tahoma" w:hAnsi="Tahoma" w:cs="Tahoma"/>
                <w:sz w:val="13"/>
              </w:rPr>
            </w:pPr>
          </w:p>
        </w:tc>
        <w:tc>
          <w:tcPr>
            <w:tcW w:w="2970" w:type="dxa"/>
            <w:gridSpan w:val="7"/>
            <w:tcBorders>
              <w:left w:val="single" w:sz="18" w:space="0" w:color="auto"/>
              <w:bottom w:val="single" w:sz="4" w:space="0" w:color="auto"/>
              <w:right w:val="single" w:sz="18" w:space="0" w:color="auto"/>
            </w:tcBorders>
            <w:shd w:val="clear" w:color="auto" w:fill="FABF8F"/>
            <w:vAlign w:val="center"/>
          </w:tcPr>
          <w:p w:rsidR="001A63C6" w:rsidRPr="003410C7" w:rsidDel="00515A83"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3410C7" w:rsidDel="00515A83"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3410C7" w:rsidDel="00515A83"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1A63C6" w:rsidRPr="003410C7" w:rsidDel="00515A83"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3410C7" w:rsidDel="00515A83"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1A63C6" w:rsidRPr="003410C7" w:rsidDel="00515A83"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3410C7" w:rsidDel="00515A83"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tcPr>
          <w:p w:rsidR="001A63C6" w:rsidRPr="003410C7" w:rsidDel="00515A83" w:rsidRDefault="001A63C6" w:rsidP="001A63C6">
            <w:pPr>
              <w:pStyle w:val="TableText"/>
              <w:widowControl w:val="0"/>
              <w:rPr>
                <w:rFonts w:ascii="Tahoma" w:hAnsi="Tahoma" w:cs="Tahoma"/>
                <w:sz w:val="13"/>
              </w:rPr>
            </w:pPr>
          </w:p>
        </w:tc>
        <w:tc>
          <w:tcPr>
            <w:tcW w:w="540" w:type="dxa"/>
            <w:tcBorders>
              <w:bottom w:val="single" w:sz="4" w:space="0" w:color="auto"/>
            </w:tcBorders>
            <w:shd w:val="clear" w:color="auto" w:fill="FABF8F"/>
            <w:vAlign w:val="center"/>
          </w:tcPr>
          <w:p w:rsidR="001A63C6" w:rsidRPr="003410C7" w:rsidDel="00515A83" w:rsidRDefault="001A63C6" w:rsidP="001A63C6">
            <w:pPr>
              <w:pStyle w:val="TableText"/>
              <w:widowControl w:val="0"/>
              <w:rPr>
                <w:rFonts w:ascii="Tahoma" w:hAnsi="Tahoma" w:cs="Tahoma"/>
                <w:sz w:val="13"/>
              </w:rPr>
            </w:pPr>
          </w:p>
        </w:tc>
      </w:tr>
      <w:tr w:rsidR="00B33D0E" w:rsidRPr="003410C7" w:rsidTr="006B1F3F">
        <w:trPr>
          <w:trHeight w:val="145"/>
        </w:trPr>
        <w:tc>
          <w:tcPr>
            <w:tcW w:w="2734" w:type="dxa"/>
            <w:gridSpan w:val="2"/>
            <w:tcBorders>
              <w:bottom w:val="single" w:sz="4" w:space="0" w:color="auto"/>
            </w:tcBorders>
            <w:shd w:val="clear" w:color="auto" w:fill="auto"/>
          </w:tcPr>
          <w:p w:rsidR="001A63C6" w:rsidRPr="00451078" w:rsidRDefault="001A63C6" w:rsidP="00FE2D13">
            <w:pPr>
              <w:pStyle w:val="ProductNames"/>
              <w:rPr>
                <w:rFonts w:ascii="Tahoma" w:hAnsi="Tahoma" w:cs="Tahoma"/>
                <w:sz w:val="14"/>
                <w:lang w:val="it-IT"/>
              </w:rPr>
            </w:pPr>
            <w:bookmarkStart w:id="257" w:name="_Toc336337966"/>
            <w:bookmarkStart w:id="258" w:name="_Toc352234586"/>
            <w:r w:rsidRPr="00451078">
              <w:rPr>
                <w:rFonts w:ascii="Tahoma" w:hAnsi="Tahoma" w:cs="Tahoma"/>
                <w:sz w:val="14"/>
                <w:lang w:val="it-IT"/>
              </w:rPr>
              <w:t>CAL per Forefront Identity Manager</w:t>
            </w:r>
            <w:r w:rsidR="00FE2D13" w:rsidRPr="00451078">
              <w:rPr>
                <w:rFonts w:ascii="Tahoma" w:hAnsi="Tahoma" w:cs="Tahoma"/>
                <w:sz w:val="14"/>
                <w:lang w:val="it-IT"/>
              </w:rPr>
              <w:t> </w:t>
            </w:r>
            <w:r w:rsidRPr="00451078">
              <w:rPr>
                <w:rFonts w:ascii="Tahoma" w:hAnsi="Tahoma" w:cs="Tahoma"/>
                <w:sz w:val="14"/>
                <w:lang w:val="it-IT"/>
              </w:rPr>
              <w:t>2010</w:t>
            </w:r>
            <w:r w:rsidR="00FE2D13" w:rsidRPr="00451078">
              <w:rPr>
                <w:rFonts w:ascii="Tahoma" w:hAnsi="Tahoma" w:cs="Tahoma"/>
                <w:sz w:val="14"/>
                <w:lang w:val="it-IT"/>
              </w:rPr>
              <w:t> </w:t>
            </w:r>
            <w:r w:rsidRPr="00451078">
              <w:rPr>
                <w:rFonts w:ascii="Tahoma" w:hAnsi="Tahoma" w:cs="Tahoma"/>
                <w:sz w:val="14"/>
                <w:lang w:val="it-IT"/>
              </w:rPr>
              <w:t>R2 (solo Utente)</w:t>
            </w:r>
            <w:bookmarkEnd w:id="257"/>
            <w:bookmarkEnd w:id="258"/>
          </w:p>
        </w:tc>
        <w:tc>
          <w:tcPr>
            <w:tcW w:w="450" w:type="dxa"/>
            <w:tcBorders>
              <w:bottom w:val="single" w:sz="4" w:space="0" w:color="auto"/>
            </w:tcBorders>
            <w:shd w:val="clear" w:color="auto" w:fill="auto"/>
            <w:vAlign w:val="center"/>
          </w:tcPr>
          <w:p w:rsidR="001A63C6" w:rsidRPr="009F17FF" w:rsidRDefault="00FC1A4D" w:rsidP="00C117E4">
            <w:pPr>
              <w:pStyle w:val="TableText"/>
              <w:widowControl w:val="0"/>
              <w:rPr>
                <w:rStyle w:val="EndnoteReference"/>
                <w:color w:val="0000FF"/>
                <w:sz w:val="13"/>
                <w:szCs w:val="13"/>
                <w:u w:val="single"/>
              </w:rPr>
            </w:pPr>
            <w:hyperlink w:anchor="_54_Forefront_Identity" w:history="1">
              <w:r w:rsidR="000D77F6" w:rsidRPr="009F17FF">
                <w:rPr>
                  <w:rStyle w:val="Hyperlink"/>
                  <w:b/>
                  <w:sz w:val="13"/>
                  <w:szCs w:val="13"/>
                </w:rPr>
                <w:t>54</w:t>
              </w:r>
            </w:hyperlink>
          </w:p>
        </w:tc>
        <w:tc>
          <w:tcPr>
            <w:tcW w:w="450" w:type="dxa"/>
            <w:tcBorders>
              <w:bottom w:val="single" w:sz="4" w:space="0" w:color="auto"/>
            </w:tcBorders>
            <w:shd w:val="clear" w:color="auto" w:fill="auto"/>
            <w:vAlign w:val="center"/>
          </w:tcPr>
          <w:p w:rsidR="001A63C6" w:rsidRPr="003410C7" w:rsidRDefault="001A63C6" w:rsidP="001A63C6">
            <w:pPr>
              <w:pStyle w:val="TableText"/>
              <w:widowControl w:val="0"/>
              <w:spacing w:before="80"/>
              <w:rPr>
                <w:rFonts w:ascii="Tahoma" w:hAnsi="Tahoma" w:cs="Tahoma"/>
                <w:sz w:val="13"/>
              </w:rPr>
            </w:pPr>
            <w:r w:rsidRPr="003410C7">
              <w:rPr>
                <w:rFonts w:ascii="Tahoma" w:hAnsi="Tahoma" w:cs="Tahoma"/>
                <w:sz w:val="13"/>
              </w:rPr>
              <w:t>07/10</w:t>
            </w:r>
          </w:p>
        </w:tc>
        <w:tc>
          <w:tcPr>
            <w:tcW w:w="360" w:type="dxa"/>
            <w:tcBorders>
              <w:bottom w:val="single" w:sz="4" w:space="0" w:color="auto"/>
              <w:right w:val="single" w:sz="18" w:space="0" w:color="auto"/>
            </w:tcBorders>
            <w:shd w:val="clear" w:color="auto" w:fill="auto"/>
            <w:vAlign w:val="center"/>
          </w:tcPr>
          <w:p w:rsidR="001A63C6" w:rsidRPr="003410C7" w:rsidRDefault="001A63C6" w:rsidP="001A63C6">
            <w:pPr>
              <w:pStyle w:val="TableText"/>
              <w:widowControl w:val="0"/>
              <w:rPr>
                <w:rFonts w:ascii="Tahoma" w:hAnsi="Tahoma" w:cs="Tahoma"/>
                <w:sz w:val="13"/>
              </w:rPr>
            </w:pPr>
            <w:r w:rsidRPr="003410C7">
              <w:rPr>
                <w:rFonts w:ascii="Tahoma" w:hAnsi="Tahoma" w:cs="Tahoma"/>
                <w:sz w:val="13"/>
              </w:rPr>
              <w:t>SRV</w:t>
            </w:r>
          </w:p>
        </w:tc>
        <w:tc>
          <w:tcPr>
            <w:tcW w:w="360" w:type="dxa"/>
            <w:tcBorders>
              <w:left w:val="single" w:sz="18" w:space="0" w:color="auto"/>
              <w:bottom w:val="single" w:sz="4" w:space="0" w:color="auto"/>
            </w:tcBorders>
            <w:shd w:val="clear" w:color="auto" w:fill="auto"/>
            <w:vAlign w:val="bottom"/>
          </w:tcPr>
          <w:p w:rsidR="001A63C6" w:rsidRPr="003410C7" w:rsidRDefault="001A63C6" w:rsidP="001A63C6">
            <w:pPr>
              <w:pStyle w:val="TableText"/>
              <w:widowControl w:val="0"/>
              <w:rPr>
                <w:rFonts w:ascii="Tahoma" w:hAnsi="Tahoma" w:cs="Tahoma"/>
                <w:color w:val="000000"/>
                <w:sz w:val="13"/>
              </w:rPr>
            </w:pPr>
            <w:r w:rsidRPr="003410C7">
              <w:rPr>
                <w:rFonts w:ascii="Tahoma" w:hAnsi="Tahoma" w:cs="Tahoma"/>
                <w:sz w:val="13"/>
                <w:szCs w:val="13"/>
              </w:rPr>
              <w:t>1</w:t>
            </w:r>
          </w:p>
        </w:tc>
        <w:tc>
          <w:tcPr>
            <w:tcW w:w="450" w:type="dxa"/>
            <w:tcBorders>
              <w:bottom w:val="single" w:sz="4" w:space="0" w:color="auto"/>
            </w:tcBorders>
            <w:shd w:val="clear" w:color="auto" w:fill="auto"/>
            <w:vAlign w:val="bottom"/>
          </w:tcPr>
          <w:p w:rsidR="001A63C6" w:rsidRPr="003410C7" w:rsidRDefault="001A63C6" w:rsidP="001A63C6">
            <w:pPr>
              <w:pStyle w:val="TableText"/>
              <w:widowControl w:val="0"/>
              <w:rPr>
                <w:rFonts w:ascii="Tahoma" w:hAnsi="Tahoma" w:cs="Tahoma"/>
                <w:color w:val="000000"/>
                <w:sz w:val="13"/>
              </w:rPr>
            </w:pPr>
            <w:r w:rsidRPr="003410C7">
              <w:rPr>
                <w:rFonts w:ascii="Tahoma" w:hAnsi="Tahoma" w:cs="Tahoma"/>
                <w:sz w:val="13"/>
                <w:szCs w:val="13"/>
              </w:rPr>
              <w:t>3</w:t>
            </w:r>
          </w:p>
        </w:tc>
        <w:tc>
          <w:tcPr>
            <w:tcW w:w="450" w:type="dxa"/>
            <w:tcBorders>
              <w:bottom w:val="single" w:sz="4" w:space="0" w:color="auto"/>
            </w:tcBorders>
            <w:shd w:val="clear" w:color="auto" w:fill="auto"/>
            <w:vAlign w:val="bottom"/>
          </w:tcPr>
          <w:p w:rsidR="001A63C6" w:rsidRPr="003410C7" w:rsidRDefault="001A63C6" w:rsidP="001A63C6">
            <w:pPr>
              <w:pStyle w:val="TableText"/>
              <w:widowControl w:val="0"/>
              <w:rPr>
                <w:rFonts w:ascii="Tahoma" w:hAnsi="Tahoma" w:cs="Tahoma"/>
                <w:color w:val="000000"/>
                <w:sz w:val="13"/>
              </w:rPr>
            </w:pPr>
            <w:r w:rsidRPr="003410C7">
              <w:rPr>
                <w:rFonts w:ascii="Tahoma" w:hAnsi="Tahoma" w:cs="Tahoma"/>
                <w:sz w:val="13"/>
                <w:szCs w:val="13"/>
              </w:rPr>
              <w:t>2</w:t>
            </w:r>
          </w:p>
        </w:tc>
        <w:tc>
          <w:tcPr>
            <w:tcW w:w="450" w:type="dxa"/>
            <w:tcBorders>
              <w:bottom w:val="single" w:sz="4" w:space="0" w:color="auto"/>
            </w:tcBorders>
            <w:shd w:val="clear" w:color="auto" w:fill="auto"/>
            <w:vAlign w:val="bottom"/>
          </w:tcPr>
          <w:p w:rsidR="001A63C6" w:rsidRPr="003410C7" w:rsidRDefault="001A63C6" w:rsidP="001A63C6">
            <w:pPr>
              <w:pStyle w:val="TableText"/>
              <w:widowControl w:val="0"/>
              <w:rPr>
                <w:rFonts w:ascii="Tahoma" w:hAnsi="Tahoma" w:cs="Tahoma"/>
                <w:color w:val="000000"/>
                <w:sz w:val="13"/>
              </w:rPr>
            </w:pPr>
            <w:r w:rsidRPr="003410C7">
              <w:rPr>
                <w:rFonts w:ascii="Tahoma" w:hAnsi="Tahoma" w:cs="Tahoma"/>
                <w:sz w:val="13"/>
                <w:szCs w:val="13"/>
              </w:rPr>
              <w:t>2</w:t>
            </w:r>
          </w:p>
        </w:tc>
        <w:tc>
          <w:tcPr>
            <w:tcW w:w="450" w:type="dxa"/>
            <w:tcBorders>
              <w:bottom w:val="single" w:sz="4" w:space="0" w:color="auto"/>
            </w:tcBorders>
            <w:shd w:val="clear" w:color="auto" w:fill="auto"/>
            <w:vAlign w:val="bottom"/>
          </w:tcPr>
          <w:p w:rsidR="001A63C6" w:rsidRPr="003410C7" w:rsidRDefault="001A63C6" w:rsidP="001A63C6">
            <w:pPr>
              <w:pStyle w:val="TableText"/>
              <w:widowControl w:val="0"/>
              <w:rPr>
                <w:rFonts w:ascii="Tahoma" w:hAnsi="Tahoma" w:cs="Tahoma"/>
                <w:color w:val="000000"/>
                <w:sz w:val="13"/>
              </w:rPr>
            </w:pPr>
            <w:r w:rsidRPr="003410C7">
              <w:rPr>
                <w:rFonts w:ascii="Tahoma" w:hAnsi="Tahoma" w:cs="Tahoma"/>
                <w:sz w:val="13"/>
                <w:szCs w:val="13"/>
              </w:rPr>
              <w:t>2</w:t>
            </w:r>
          </w:p>
        </w:tc>
        <w:tc>
          <w:tcPr>
            <w:tcW w:w="450" w:type="dxa"/>
            <w:tcBorders>
              <w:bottom w:val="single" w:sz="4" w:space="0" w:color="auto"/>
            </w:tcBorders>
            <w:shd w:val="clear" w:color="auto" w:fill="auto"/>
            <w:vAlign w:val="bottom"/>
          </w:tcPr>
          <w:p w:rsidR="001A63C6" w:rsidRPr="003410C7" w:rsidRDefault="001A63C6" w:rsidP="001A63C6">
            <w:pPr>
              <w:pStyle w:val="TableText"/>
              <w:widowControl w:val="0"/>
              <w:rPr>
                <w:rFonts w:ascii="Tahoma" w:hAnsi="Tahoma" w:cs="Tahoma"/>
                <w:color w:val="000000"/>
                <w:sz w:val="13"/>
              </w:rPr>
            </w:pPr>
            <w:r w:rsidRPr="003410C7">
              <w:rPr>
                <w:rFonts w:ascii="Tahoma" w:hAnsi="Tahoma" w:cs="Tahoma"/>
                <w:sz w:val="13"/>
                <w:szCs w:val="13"/>
              </w:rPr>
              <w:t>1</w:t>
            </w:r>
          </w:p>
        </w:tc>
        <w:tc>
          <w:tcPr>
            <w:tcW w:w="360" w:type="dxa"/>
            <w:tcBorders>
              <w:bottom w:val="single" w:sz="4" w:space="0" w:color="auto"/>
              <w:right w:val="single" w:sz="18" w:space="0" w:color="auto"/>
            </w:tcBorders>
            <w:shd w:val="clear" w:color="auto" w:fill="auto"/>
            <w:vAlign w:val="bottom"/>
          </w:tcPr>
          <w:p w:rsidR="001A63C6" w:rsidRPr="003410C7" w:rsidRDefault="001A63C6" w:rsidP="001A63C6">
            <w:pPr>
              <w:pStyle w:val="TableText"/>
              <w:widowControl w:val="0"/>
              <w:rPr>
                <w:rFonts w:ascii="Tahoma" w:hAnsi="Tahoma" w:cs="Tahoma"/>
                <w:color w:val="000000"/>
                <w:sz w:val="13"/>
              </w:rPr>
            </w:pPr>
            <w:r w:rsidRPr="003410C7">
              <w:rPr>
                <w:rFonts w:ascii="Tahoma" w:hAnsi="Tahoma" w:cs="Tahoma"/>
                <w:sz w:val="13"/>
                <w:szCs w:val="13"/>
              </w:rPr>
              <w:t>1</w:t>
            </w:r>
          </w:p>
        </w:tc>
        <w:tc>
          <w:tcPr>
            <w:tcW w:w="450" w:type="dxa"/>
            <w:tcBorders>
              <w:left w:val="single" w:sz="18" w:space="0" w:color="auto"/>
              <w:bottom w:val="single" w:sz="4" w:space="0" w:color="auto"/>
            </w:tcBorders>
            <w:shd w:val="clear" w:color="auto" w:fill="auto"/>
            <w:vAlign w:val="bottom"/>
          </w:tcPr>
          <w:p w:rsidR="001A63C6" w:rsidRPr="003410C7" w:rsidRDefault="001A63C6" w:rsidP="001A63C6">
            <w:pPr>
              <w:pStyle w:val="TableText"/>
              <w:widowControl w:val="0"/>
              <w:rPr>
                <w:rFonts w:ascii="Tahoma" w:hAnsi="Tahoma" w:cs="Tahoma"/>
                <w:color w:val="000000"/>
                <w:sz w:val="13"/>
              </w:rPr>
            </w:pPr>
            <w:r w:rsidRPr="003410C7">
              <w:rPr>
                <w:rFonts w:ascii="Tahoma" w:hAnsi="Tahoma" w:cs="Tahoma"/>
                <w:sz w:val="13"/>
                <w:szCs w:val="13"/>
              </w:rPr>
              <w:t>1</w:t>
            </w:r>
          </w:p>
        </w:tc>
        <w:tc>
          <w:tcPr>
            <w:tcW w:w="450" w:type="dxa"/>
            <w:tcBorders>
              <w:bottom w:val="single" w:sz="4" w:space="0" w:color="auto"/>
            </w:tcBorders>
            <w:shd w:val="clear" w:color="auto" w:fill="auto"/>
            <w:vAlign w:val="bottom"/>
          </w:tcPr>
          <w:p w:rsidR="001A63C6" w:rsidRPr="003410C7" w:rsidRDefault="001A63C6" w:rsidP="001A63C6">
            <w:pPr>
              <w:pStyle w:val="TableText"/>
              <w:widowControl w:val="0"/>
              <w:rPr>
                <w:rFonts w:ascii="Tahoma" w:hAnsi="Tahoma" w:cs="Tahoma"/>
                <w:color w:val="000000"/>
                <w:sz w:val="13"/>
              </w:rPr>
            </w:pPr>
            <w:r w:rsidRPr="003410C7">
              <w:rPr>
                <w:rFonts w:ascii="Tahoma" w:hAnsi="Tahoma" w:cs="Tahoma"/>
                <w:sz w:val="13"/>
                <w:szCs w:val="13"/>
              </w:rPr>
              <w:t>2</w:t>
            </w:r>
          </w:p>
        </w:tc>
        <w:tc>
          <w:tcPr>
            <w:tcW w:w="450" w:type="dxa"/>
            <w:tcBorders>
              <w:bottom w:val="single" w:sz="4" w:space="0" w:color="auto"/>
              <w:right w:val="single" w:sz="18" w:space="0" w:color="auto"/>
            </w:tcBorders>
            <w:shd w:val="clear" w:color="auto" w:fill="auto"/>
            <w:vAlign w:val="bottom"/>
          </w:tcPr>
          <w:p w:rsidR="001A63C6" w:rsidRPr="003410C7" w:rsidRDefault="001A63C6" w:rsidP="001A63C6">
            <w:pPr>
              <w:pStyle w:val="TableText"/>
              <w:widowControl w:val="0"/>
              <w:rPr>
                <w:rFonts w:ascii="Tahoma" w:hAnsi="Tahoma" w:cs="Tahoma"/>
                <w:color w:val="000000"/>
                <w:sz w:val="13"/>
              </w:rPr>
            </w:pPr>
            <w:r w:rsidRPr="003410C7">
              <w:rPr>
                <w:rFonts w:ascii="Tahoma" w:hAnsi="Tahoma" w:cs="Tahoma"/>
                <w:sz w:val="13"/>
                <w:szCs w:val="13"/>
              </w:rPr>
              <w:t>1</w:t>
            </w:r>
          </w:p>
        </w:tc>
        <w:tc>
          <w:tcPr>
            <w:tcW w:w="450" w:type="dxa"/>
            <w:tcBorders>
              <w:left w:val="single" w:sz="18" w:space="0" w:color="auto"/>
              <w:bottom w:val="single" w:sz="4" w:space="0" w:color="auto"/>
            </w:tcBorders>
            <w:shd w:val="clear" w:color="auto" w:fill="auto"/>
            <w:vAlign w:val="bottom"/>
          </w:tcPr>
          <w:p w:rsidR="001A63C6" w:rsidRPr="003410C7" w:rsidRDefault="001A63C6" w:rsidP="001A63C6">
            <w:pPr>
              <w:pStyle w:val="TableText"/>
              <w:widowControl w:val="0"/>
              <w:rPr>
                <w:rFonts w:ascii="Tahoma" w:hAnsi="Tahoma" w:cs="Tahoma"/>
                <w:color w:val="000000"/>
                <w:sz w:val="13"/>
              </w:rPr>
            </w:pPr>
            <w:r w:rsidRPr="003410C7">
              <w:rPr>
                <w:rFonts w:ascii="Tahoma" w:hAnsi="Tahoma" w:cs="Tahoma"/>
                <w:sz w:val="13"/>
                <w:szCs w:val="13"/>
              </w:rPr>
              <w:t>1</w:t>
            </w:r>
          </w:p>
        </w:tc>
        <w:tc>
          <w:tcPr>
            <w:tcW w:w="450" w:type="dxa"/>
            <w:tcBorders>
              <w:bottom w:val="single" w:sz="4" w:space="0" w:color="auto"/>
              <w:right w:val="single" w:sz="18" w:space="0" w:color="auto"/>
            </w:tcBorders>
            <w:shd w:val="clear" w:color="auto" w:fill="auto"/>
            <w:vAlign w:val="center"/>
          </w:tcPr>
          <w:p w:rsidR="001A63C6" w:rsidRPr="003410C7" w:rsidRDefault="001A63C6" w:rsidP="001A63C6">
            <w:pPr>
              <w:pStyle w:val="TableText"/>
              <w:widowControl w:val="0"/>
              <w:rPr>
                <w:rFonts w:ascii="Tahoma" w:hAnsi="Tahoma" w:cs="Tahoma"/>
                <w:color w:val="000000"/>
                <w:sz w:val="13"/>
              </w:rPr>
            </w:pPr>
            <w:r w:rsidRPr="003410C7">
              <w:rPr>
                <w:rFonts w:ascii="Tahoma" w:hAnsi="Tahoma" w:cs="Tahoma"/>
                <w:color w:val="000000"/>
                <w:sz w:val="13"/>
              </w:rPr>
              <w:t>A</w:t>
            </w:r>
          </w:p>
        </w:tc>
        <w:tc>
          <w:tcPr>
            <w:tcW w:w="450" w:type="dxa"/>
            <w:tcBorders>
              <w:left w:val="single" w:sz="18" w:space="0" w:color="auto"/>
              <w:bottom w:val="single" w:sz="4" w:space="0" w:color="auto"/>
              <w:right w:val="single" w:sz="18" w:space="0" w:color="auto"/>
            </w:tcBorders>
            <w:shd w:val="clear" w:color="auto" w:fill="auto"/>
            <w:vAlign w:val="center"/>
          </w:tcPr>
          <w:p w:rsidR="001A63C6" w:rsidRPr="003410C7"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tcPr>
          <w:p w:rsidR="001A63C6" w:rsidRPr="003410C7" w:rsidRDefault="001A63C6" w:rsidP="001A63C6">
            <w:pPr>
              <w:pStyle w:val="TableText"/>
              <w:widowControl w:val="0"/>
              <w:rPr>
                <w:rFonts w:ascii="Tahoma" w:hAnsi="Tahoma" w:cs="Tahoma"/>
                <w:sz w:val="13"/>
              </w:rPr>
            </w:pPr>
            <w:r w:rsidRPr="003410C7">
              <w:rPr>
                <w:rFonts w:ascii="Tahoma" w:hAnsi="Tahoma" w:cs="Tahoma"/>
                <w:sz w:val="13"/>
              </w:rPr>
              <w:t>A, ST</w:t>
            </w:r>
          </w:p>
        </w:tc>
        <w:tc>
          <w:tcPr>
            <w:tcW w:w="540" w:type="dxa"/>
            <w:tcBorders>
              <w:bottom w:val="single" w:sz="4" w:space="0" w:color="auto"/>
            </w:tcBorders>
            <w:shd w:val="clear" w:color="auto" w:fill="auto"/>
            <w:vAlign w:val="center"/>
          </w:tcPr>
          <w:p w:rsidR="001A63C6" w:rsidRPr="003410C7" w:rsidRDefault="001A63C6" w:rsidP="001A63C6">
            <w:pPr>
              <w:pStyle w:val="TableText"/>
              <w:widowControl w:val="0"/>
              <w:rPr>
                <w:rFonts w:ascii="Tahoma" w:hAnsi="Tahoma" w:cs="Tahoma"/>
                <w:sz w:val="13"/>
              </w:rPr>
            </w:pPr>
          </w:p>
        </w:tc>
      </w:tr>
      <w:tr w:rsidR="00EF228F" w:rsidRPr="003410C7" w:rsidTr="006B1F3F">
        <w:trPr>
          <w:trHeight w:val="145"/>
        </w:trPr>
        <w:tc>
          <w:tcPr>
            <w:tcW w:w="2734" w:type="dxa"/>
            <w:gridSpan w:val="2"/>
            <w:tcBorders>
              <w:bottom w:val="single" w:sz="4" w:space="0" w:color="auto"/>
            </w:tcBorders>
            <w:shd w:val="clear" w:color="auto" w:fill="FABF8F"/>
          </w:tcPr>
          <w:p w:rsidR="001A63C6" w:rsidRPr="003410C7" w:rsidRDefault="001A63C6" w:rsidP="001A63C6">
            <w:pPr>
              <w:pStyle w:val="ProductNames"/>
              <w:rPr>
                <w:rFonts w:ascii="Tahoma" w:hAnsi="Tahoma" w:cs="Tahoma"/>
                <w:sz w:val="14"/>
              </w:rPr>
            </w:pPr>
            <w:bookmarkStart w:id="259" w:name="_Toc336337967"/>
            <w:bookmarkStart w:id="260" w:name="_Toc352234587"/>
            <w:r w:rsidRPr="003410C7">
              <w:rPr>
                <w:rFonts w:ascii="Tahoma" w:hAnsi="Tahoma" w:cs="Tahoma"/>
                <w:sz w:val="14"/>
              </w:rPr>
              <w:t>External Connector per Forefront Identity Manager 2010 R2</w:t>
            </w:r>
            <w:bookmarkEnd w:id="259"/>
            <w:bookmarkEnd w:id="260"/>
          </w:p>
        </w:tc>
        <w:tc>
          <w:tcPr>
            <w:tcW w:w="450" w:type="dxa"/>
            <w:tcBorders>
              <w:bottom w:val="single" w:sz="4" w:space="0" w:color="auto"/>
            </w:tcBorders>
            <w:shd w:val="clear" w:color="auto" w:fill="FABF8F"/>
            <w:vAlign w:val="center"/>
          </w:tcPr>
          <w:p w:rsidR="001A63C6" w:rsidRPr="009F17FF" w:rsidRDefault="00FC1A4D" w:rsidP="004E5F2F">
            <w:pPr>
              <w:pStyle w:val="TableText"/>
              <w:widowControl w:val="0"/>
              <w:rPr>
                <w:rStyle w:val="EndnoteReference"/>
                <w:color w:val="000000"/>
                <w:sz w:val="13"/>
                <w:szCs w:val="13"/>
                <w:u w:val="single"/>
              </w:rPr>
            </w:pPr>
            <w:hyperlink w:anchor="_54_Forefront_Identity" w:history="1">
              <w:r w:rsidR="000D77F6" w:rsidRPr="009F17FF">
                <w:rPr>
                  <w:rStyle w:val="Hyperlink"/>
                  <w:b/>
                  <w:sz w:val="13"/>
                  <w:szCs w:val="13"/>
                </w:rPr>
                <w:t>54</w:t>
              </w:r>
            </w:hyperlink>
          </w:p>
        </w:tc>
        <w:tc>
          <w:tcPr>
            <w:tcW w:w="450" w:type="dxa"/>
            <w:tcBorders>
              <w:bottom w:val="single" w:sz="4" w:space="0" w:color="auto"/>
            </w:tcBorders>
            <w:shd w:val="clear" w:color="auto" w:fill="FABF8F"/>
            <w:vAlign w:val="center"/>
          </w:tcPr>
          <w:p w:rsidR="001A63C6" w:rsidRPr="003410C7" w:rsidRDefault="001A63C6" w:rsidP="001A63C6">
            <w:pPr>
              <w:pStyle w:val="TableText"/>
              <w:widowControl w:val="0"/>
              <w:spacing w:before="80"/>
              <w:rPr>
                <w:rFonts w:ascii="Tahoma" w:hAnsi="Tahoma" w:cs="Tahoma"/>
                <w:sz w:val="13"/>
              </w:rPr>
            </w:pPr>
            <w:r w:rsidRPr="003410C7">
              <w:rPr>
                <w:rFonts w:ascii="Tahoma" w:hAnsi="Tahoma" w:cs="Tahoma"/>
                <w:sz w:val="13"/>
              </w:rPr>
              <w:t>07/10</w:t>
            </w:r>
          </w:p>
        </w:tc>
        <w:tc>
          <w:tcPr>
            <w:tcW w:w="360" w:type="dxa"/>
            <w:tcBorders>
              <w:bottom w:val="single" w:sz="4" w:space="0" w:color="auto"/>
              <w:right w:val="single" w:sz="18" w:space="0" w:color="auto"/>
            </w:tcBorders>
            <w:shd w:val="clear" w:color="auto" w:fill="FABF8F"/>
            <w:vAlign w:val="center"/>
          </w:tcPr>
          <w:p w:rsidR="001A63C6" w:rsidRPr="003410C7" w:rsidRDefault="001A63C6" w:rsidP="001A63C6">
            <w:pPr>
              <w:pStyle w:val="TableText"/>
              <w:widowControl w:val="0"/>
              <w:rPr>
                <w:rFonts w:ascii="Tahoma" w:hAnsi="Tahoma" w:cs="Tahoma"/>
                <w:sz w:val="13"/>
              </w:rPr>
            </w:pPr>
            <w:r w:rsidRPr="003410C7">
              <w:rPr>
                <w:rFonts w:ascii="Tahoma" w:hAnsi="Tahoma" w:cs="Tahoma"/>
                <w:sz w:val="13"/>
              </w:rPr>
              <w:t>SRV</w:t>
            </w:r>
          </w:p>
        </w:tc>
        <w:tc>
          <w:tcPr>
            <w:tcW w:w="360" w:type="dxa"/>
            <w:tcBorders>
              <w:left w:val="single" w:sz="18" w:space="0" w:color="auto"/>
              <w:bottom w:val="single" w:sz="4" w:space="0" w:color="auto"/>
            </w:tcBorders>
            <w:shd w:val="clear" w:color="auto" w:fill="FABF8F"/>
            <w:vAlign w:val="bottom"/>
          </w:tcPr>
          <w:p w:rsidR="001A63C6" w:rsidRPr="003410C7" w:rsidRDefault="001A63C6" w:rsidP="001A63C6">
            <w:pPr>
              <w:pStyle w:val="TableText"/>
              <w:widowControl w:val="0"/>
              <w:rPr>
                <w:rFonts w:ascii="Tahoma" w:hAnsi="Tahoma" w:cs="Tahoma"/>
                <w:color w:val="000000"/>
                <w:sz w:val="13"/>
              </w:rPr>
            </w:pPr>
            <w:r w:rsidRPr="003410C7">
              <w:rPr>
                <w:rFonts w:ascii="Tahoma" w:hAnsi="Tahoma" w:cs="Tahoma"/>
                <w:sz w:val="13"/>
                <w:szCs w:val="13"/>
              </w:rPr>
              <w:t>125</w:t>
            </w:r>
          </w:p>
        </w:tc>
        <w:tc>
          <w:tcPr>
            <w:tcW w:w="450" w:type="dxa"/>
            <w:tcBorders>
              <w:bottom w:val="single" w:sz="4" w:space="0" w:color="auto"/>
            </w:tcBorders>
            <w:shd w:val="clear" w:color="auto" w:fill="FABF8F"/>
            <w:vAlign w:val="bottom"/>
          </w:tcPr>
          <w:p w:rsidR="001A63C6" w:rsidRPr="003410C7" w:rsidRDefault="001A63C6" w:rsidP="001A63C6">
            <w:pPr>
              <w:pStyle w:val="TableText"/>
              <w:widowControl w:val="0"/>
              <w:rPr>
                <w:rFonts w:ascii="Tahoma" w:hAnsi="Tahoma" w:cs="Tahoma"/>
                <w:color w:val="000000"/>
                <w:sz w:val="13"/>
              </w:rPr>
            </w:pPr>
            <w:r w:rsidRPr="003410C7">
              <w:rPr>
                <w:rFonts w:ascii="Tahoma" w:hAnsi="Tahoma" w:cs="Tahoma"/>
                <w:sz w:val="13"/>
                <w:szCs w:val="13"/>
              </w:rPr>
              <w:t>313</w:t>
            </w:r>
          </w:p>
        </w:tc>
        <w:tc>
          <w:tcPr>
            <w:tcW w:w="450" w:type="dxa"/>
            <w:tcBorders>
              <w:bottom w:val="single" w:sz="4" w:space="0" w:color="auto"/>
            </w:tcBorders>
            <w:shd w:val="clear" w:color="auto" w:fill="FABF8F"/>
            <w:vAlign w:val="bottom"/>
          </w:tcPr>
          <w:p w:rsidR="001A63C6" w:rsidRPr="003410C7" w:rsidRDefault="001A63C6" w:rsidP="001A63C6">
            <w:pPr>
              <w:pStyle w:val="TableText"/>
              <w:widowControl w:val="0"/>
              <w:rPr>
                <w:rFonts w:ascii="Tahoma" w:hAnsi="Tahoma" w:cs="Tahoma"/>
                <w:color w:val="000000"/>
                <w:sz w:val="13"/>
              </w:rPr>
            </w:pPr>
            <w:r w:rsidRPr="003410C7">
              <w:rPr>
                <w:rFonts w:ascii="Tahoma" w:hAnsi="Tahoma" w:cs="Tahoma"/>
                <w:sz w:val="13"/>
                <w:szCs w:val="13"/>
              </w:rPr>
              <w:t>250</w:t>
            </w:r>
          </w:p>
        </w:tc>
        <w:tc>
          <w:tcPr>
            <w:tcW w:w="450" w:type="dxa"/>
            <w:tcBorders>
              <w:bottom w:val="single" w:sz="4" w:space="0" w:color="auto"/>
            </w:tcBorders>
            <w:shd w:val="clear" w:color="auto" w:fill="FABF8F"/>
            <w:vAlign w:val="bottom"/>
          </w:tcPr>
          <w:p w:rsidR="001A63C6" w:rsidRPr="003410C7" w:rsidRDefault="001A63C6" w:rsidP="001A63C6">
            <w:pPr>
              <w:pStyle w:val="TableText"/>
              <w:widowControl w:val="0"/>
              <w:rPr>
                <w:rFonts w:ascii="Tahoma" w:hAnsi="Tahoma" w:cs="Tahoma"/>
                <w:color w:val="000000"/>
                <w:sz w:val="13"/>
              </w:rPr>
            </w:pPr>
            <w:r w:rsidRPr="003410C7">
              <w:rPr>
                <w:rFonts w:ascii="Tahoma" w:hAnsi="Tahoma" w:cs="Tahoma"/>
                <w:sz w:val="13"/>
                <w:szCs w:val="13"/>
              </w:rPr>
              <w:t>188</w:t>
            </w:r>
          </w:p>
        </w:tc>
        <w:tc>
          <w:tcPr>
            <w:tcW w:w="450" w:type="dxa"/>
            <w:tcBorders>
              <w:bottom w:val="single" w:sz="4" w:space="0" w:color="auto"/>
            </w:tcBorders>
            <w:shd w:val="clear" w:color="auto" w:fill="FABF8F"/>
            <w:vAlign w:val="bottom"/>
          </w:tcPr>
          <w:p w:rsidR="001A63C6" w:rsidRPr="003410C7" w:rsidRDefault="001A63C6" w:rsidP="001A63C6">
            <w:pPr>
              <w:pStyle w:val="TableText"/>
              <w:widowControl w:val="0"/>
              <w:rPr>
                <w:rFonts w:ascii="Tahoma" w:hAnsi="Tahoma" w:cs="Tahoma"/>
                <w:color w:val="000000"/>
                <w:sz w:val="13"/>
              </w:rPr>
            </w:pPr>
            <w:r w:rsidRPr="003410C7">
              <w:rPr>
                <w:rFonts w:ascii="Tahoma" w:hAnsi="Tahoma" w:cs="Tahoma"/>
                <w:sz w:val="13"/>
                <w:szCs w:val="13"/>
              </w:rPr>
              <w:t>188</w:t>
            </w:r>
          </w:p>
        </w:tc>
        <w:tc>
          <w:tcPr>
            <w:tcW w:w="450" w:type="dxa"/>
            <w:tcBorders>
              <w:bottom w:val="single" w:sz="4" w:space="0" w:color="auto"/>
            </w:tcBorders>
            <w:shd w:val="clear" w:color="auto" w:fill="FABF8F"/>
            <w:vAlign w:val="bottom"/>
          </w:tcPr>
          <w:p w:rsidR="001A63C6" w:rsidRPr="003410C7" w:rsidRDefault="001A63C6" w:rsidP="001A63C6">
            <w:pPr>
              <w:pStyle w:val="TableText"/>
              <w:widowControl w:val="0"/>
              <w:rPr>
                <w:rFonts w:ascii="Tahoma" w:hAnsi="Tahoma" w:cs="Tahoma"/>
                <w:color w:val="000000"/>
                <w:sz w:val="13"/>
              </w:rPr>
            </w:pPr>
            <w:r w:rsidRPr="003410C7">
              <w:rPr>
                <w:rFonts w:ascii="Tahoma" w:hAnsi="Tahoma" w:cs="Tahoma"/>
                <w:sz w:val="13"/>
                <w:szCs w:val="13"/>
              </w:rPr>
              <w:t>125</w:t>
            </w:r>
          </w:p>
        </w:tc>
        <w:tc>
          <w:tcPr>
            <w:tcW w:w="360" w:type="dxa"/>
            <w:tcBorders>
              <w:bottom w:val="single" w:sz="4" w:space="0" w:color="auto"/>
              <w:right w:val="single" w:sz="18" w:space="0" w:color="auto"/>
            </w:tcBorders>
            <w:shd w:val="clear" w:color="auto" w:fill="FABF8F"/>
            <w:vAlign w:val="bottom"/>
          </w:tcPr>
          <w:p w:rsidR="001A63C6" w:rsidRPr="003410C7" w:rsidRDefault="001A63C6" w:rsidP="001A63C6">
            <w:pPr>
              <w:pStyle w:val="TableText"/>
              <w:widowControl w:val="0"/>
              <w:rPr>
                <w:rFonts w:ascii="Tahoma" w:hAnsi="Tahoma" w:cs="Tahoma"/>
                <w:color w:val="000000"/>
                <w:sz w:val="13"/>
              </w:rPr>
            </w:pPr>
            <w:r w:rsidRPr="003410C7">
              <w:rPr>
                <w:rFonts w:ascii="Tahoma" w:hAnsi="Tahoma" w:cs="Tahoma"/>
                <w:sz w:val="13"/>
                <w:szCs w:val="13"/>
              </w:rPr>
              <w:t>63</w:t>
            </w:r>
          </w:p>
        </w:tc>
        <w:tc>
          <w:tcPr>
            <w:tcW w:w="450" w:type="dxa"/>
            <w:tcBorders>
              <w:left w:val="single" w:sz="18" w:space="0" w:color="auto"/>
              <w:bottom w:val="single" w:sz="4" w:space="0" w:color="auto"/>
            </w:tcBorders>
            <w:shd w:val="clear" w:color="auto" w:fill="FABF8F"/>
            <w:vAlign w:val="bottom"/>
          </w:tcPr>
          <w:p w:rsidR="001A63C6" w:rsidRPr="003410C7" w:rsidRDefault="001A63C6" w:rsidP="001A63C6">
            <w:pPr>
              <w:pStyle w:val="TableText"/>
              <w:widowControl w:val="0"/>
              <w:rPr>
                <w:rFonts w:ascii="Tahoma" w:hAnsi="Tahoma" w:cs="Tahoma"/>
                <w:color w:val="000000"/>
                <w:sz w:val="13"/>
              </w:rPr>
            </w:pPr>
            <w:r w:rsidRPr="003410C7">
              <w:rPr>
                <w:rFonts w:ascii="Tahoma" w:hAnsi="Tahoma" w:cs="Tahoma"/>
                <w:sz w:val="13"/>
                <w:szCs w:val="13"/>
              </w:rPr>
              <w:t>125</w:t>
            </w:r>
          </w:p>
        </w:tc>
        <w:tc>
          <w:tcPr>
            <w:tcW w:w="450" w:type="dxa"/>
            <w:tcBorders>
              <w:bottom w:val="single" w:sz="4" w:space="0" w:color="auto"/>
            </w:tcBorders>
            <w:shd w:val="clear" w:color="auto" w:fill="FABF8F"/>
            <w:vAlign w:val="bottom"/>
          </w:tcPr>
          <w:p w:rsidR="001A63C6" w:rsidRPr="003410C7" w:rsidRDefault="001A63C6" w:rsidP="001A63C6">
            <w:pPr>
              <w:pStyle w:val="TableText"/>
              <w:widowControl w:val="0"/>
              <w:rPr>
                <w:rFonts w:ascii="Tahoma" w:hAnsi="Tahoma" w:cs="Tahoma"/>
                <w:color w:val="000000"/>
                <w:sz w:val="13"/>
              </w:rPr>
            </w:pPr>
            <w:r w:rsidRPr="003410C7">
              <w:rPr>
                <w:rFonts w:ascii="Tahoma" w:hAnsi="Tahoma" w:cs="Tahoma"/>
                <w:sz w:val="13"/>
                <w:szCs w:val="13"/>
              </w:rPr>
              <w:t>250</w:t>
            </w:r>
          </w:p>
        </w:tc>
        <w:tc>
          <w:tcPr>
            <w:tcW w:w="450" w:type="dxa"/>
            <w:tcBorders>
              <w:bottom w:val="single" w:sz="4" w:space="0" w:color="auto"/>
              <w:right w:val="single" w:sz="18" w:space="0" w:color="auto"/>
            </w:tcBorders>
            <w:shd w:val="clear" w:color="auto" w:fill="FABF8F"/>
            <w:vAlign w:val="bottom"/>
          </w:tcPr>
          <w:p w:rsidR="001A63C6" w:rsidRPr="003410C7" w:rsidRDefault="001A63C6" w:rsidP="001A63C6">
            <w:pPr>
              <w:pStyle w:val="TableText"/>
              <w:widowControl w:val="0"/>
              <w:rPr>
                <w:rFonts w:ascii="Tahoma" w:hAnsi="Tahoma" w:cs="Tahoma"/>
                <w:color w:val="000000"/>
                <w:sz w:val="13"/>
              </w:rPr>
            </w:pPr>
            <w:r w:rsidRPr="003410C7">
              <w:rPr>
                <w:rFonts w:ascii="Tahoma" w:hAnsi="Tahoma" w:cs="Tahoma"/>
                <w:sz w:val="13"/>
                <w:szCs w:val="13"/>
              </w:rPr>
              <w:t>125</w:t>
            </w:r>
          </w:p>
        </w:tc>
        <w:tc>
          <w:tcPr>
            <w:tcW w:w="450" w:type="dxa"/>
            <w:tcBorders>
              <w:left w:val="single" w:sz="18" w:space="0" w:color="auto"/>
              <w:bottom w:val="single" w:sz="4" w:space="0" w:color="auto"/>
            </w:tcBorders>
            <w:shd w:val="clear" w:color="auto" w:fill="FABF8F"/>
            <w:vAlign w:val="bottom"/>
          </w:tcPr>
          <w:p w:rsidR="001A63C6" w:rsidRPr="003410C7" w:rsidRDefault="001A63C6" w:rsidP="001A63C6">
            <w:pPr>
              <w:pStyle w:val="TableText"/>
              <w:widowControl w:val="0"/>
              <w:rPr>
                <w:rFonts w:ascii="Tahoma" w:hAnsi="Tahoma" w:cs="Tahoma"/>
                <w:color w:val="000000"/>
                <w:sz w:val="13"/>
              </w:rPr>
            </w:pPr>
            <w:r w:rsidRPr="003410C7">
              <w:rPr>
                <w:rFonts w:ascii="Tahoma" w:hAnsi="Tahoma" w:cs="Tahoma"/>
                <w:sz w:val="13"/>
                <w:szCs w:val="13"/>
              </w:rPr>
              <w:t>125</w:t>
            </w:r>
          </w:p>
        </w:tc>
        <w:tc>
          <w:tcPr>
            <w:tcW w:w="450" w:type="dxa"/>
            <w:tcBorders>
              <w:bottom w:val="single" w:sz="4" w:space="0" w:color="auto"/>
              <w:right w:val="single" w:sz="18" w:space="0" w:color="auto"/>
            </w:tcBorders>
            <w:shd w:val="clear" w:color="auto" w:fill="FABF8F"/>
            <w:vAlign w:val="center"/>
          </w:tcPr>
          <w:p w:rsidR="001A63C6" w:rsidRPr="003410C7" w:rsidRDefault="001A63C6" w:rsidP="001A63C6">
            <w:pPr>
              <w:pStyle w:val="TableText"/>
              <w:widowControl w:val="0"/>
              <w:rPr>
                <w:rFonts w:ascii="Tahoma" w:hAnsi="Tahoma" w:cs="Tahoma"/>
                <w:color w:val="000000"/>
                <w:sz w:val="13"/>
              </w:rPr>
            </w:pPr>
            <w:r w:rsidRPr="003410C7">
              <w:rPr>
                <w:rFonts w:ascii="Tahoma" w:hAnsi="Tahoma" w:cs="Tahoma"/>
                <w:color w:val="000000"/>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3410C7" w:rsidRDefault="001A63C6" w:rsidP="001A63C6">
            <w:pPr>
              <w:pStyle w:val="TableText"/>
              <w:widowControl w:val="0"/>
              <w:rPr>
                <w:rFonts w:ascii="Tahoma" w:hAnsi="Tahoma" w:cs="Tahoma"/>
                <w:sz w:val="13"/>
              </w:rPr>
            </w:pPr>
            <w:r w:rsidRPr="003410C7">
              <w:rPr>
                <w:rFonts w:ascii="Tahoma" w:hAnsi="Tahoma" w:cs="Tahoma"/>
                <w:sz w:val="13"/>
              </w:rPr>
              <w:t>P</w:t>
            </w:r>
          </w:p>
        </w:tc>
        <w:tc>
          <w:tcPr>
            <w:tcW w:w="450" w:type="dxa"/>
            <w:tcBorders>
              <w:bottom w:val="single" w:sz="4" w:space="0" w:color="auto"/>
            </w:tcBorders>
            <w:shd w:val="clear" w:color="auto" w:fill="FABF8F"/>
          </w:tcPr>
          <w:p w:rsidR="001A63C6" w:rsidRPr="003410C7" w:rsidRDefault="001A63C6" w:rsidP="001A63C6">
            <w:pPr>
              <w:pStyle w:val="TableText"/>
              <w:widowControl w:val="0"/>
              <w:rPr>
                <w:rFonts w:ascii="Tahoma" w:hAnsi="Tahoma" w:cs="Tahoma"/>
                <w:sz w:val="13"/>
              </w:rPr>
            </w:pPr>
            <w:r w:rsidRPr="003410C7">
              <w:rPr>
                <w:rFonts w:ascii="Tahoma" w:hAnsi="Tahoma" w:cs="Tahoma"/>
                <w:sz w:val="13"/>
              </w:rPr>
              <w:t>A</w:t>
            </w:r>
          </w:p>
        </w:tc>
        <w:tc>
          <w:tcPr>
            <w:tcW w:w="540" w:type="dxa"/>
            <w:tcBorders>
              <w:bottom w:val="single" w:sz="4" w:space="0" w:color="auto"/>
            </w:tcBorders>
            <w:shd w:val="clear" w:color="auto" w:fill="FABF8F"/>
            <w:vAlign w:val="center"/>
          </w:tcPr>
          <w:p w:rsidR="001A63C6" w:rsidRPr="003410C7" w:rsidRDefault="001A63C6" w:rsidP="001A63C6">
            <w:pPr>
              <w:pStyle w:val="TableText"/>
              <w:widowControl w:val="0"/>
              <w:rPr>
                <w:rFonts w:ascii="Tahoma" w:hAnsi="Tahoma" w:cs="Tahoma"/>
                <w:sz w:val="13"/>
              </w:rPr>
            </w:pPr>
          </w:p>
        </w:tc>
      </w:tr>
      <w:tr w:rsidR="00B33D0E" w:rsidRPr="003410C7" w:rsidTr="006B1F3F">
        <w:trPr>
          <w:trHeight w:val="145"/>
        </w:trPr>
        <w:tc>
          <w:tcPr>
            <w:tcW w:w="2734" w:type="dxa"/>
            <w:gridSpan w:val="2"/>
            <w:tcBorders>
              <w:bottom w:val="single" w:sz="4" w:space="0" w:color="auto"/>
            </w:tcBorders>
            <w:shd w:val="clear" w:color="auto" w:fill="auto"/>
          </w:tcPr>
          <w:p w:rsidR="001A63C6" w:rsidRPr="003410C7" w:rsidRDefault="001A63C6" w:rsidP="001A63C6">
            <w:pPr>
              <w:pStyle w:val="ProductNames"/>
              <w:rPr>
                <w:rFonts w:ascii="Tahoma" w:hAnsi="Tahoma" w:cs="Tahoma"/>
                <w:sz w:val="14"/>
              </w:rPr>
            </w:pPr>
            <w:bookmarkStart w:id="261" w:name="_Toc336337968"/>
            <w:bookmarkStart w:id="262" w:name="_Toc352234588"/>
            <w:r w:rsidRPr="003410C7">
              <w:rPr>
                <w:rFonts w:ascii="Tahoma" w:hAnsi="Tahoma" w:cs="Tahoma"/>
                <w:sz w:val="14"/>
              </w:rPr>
              <w:t>Forefront Identity Manager 2010 R2 Server</w:t>
            </w:r>
            <w:bookmarkEnd w:id="261"/>
            <w:bookmarkEnd w:id="262"/>
            <w:r w:rsidRPr="003410C7">
              <w:rPr>
                <w:rFonts w:ascii="Tahoma" w:hAnsi="Tahoma" w:cs="Tahoma"/>
                <w:sz w:val="14"/>
              </w:rPr>
              <w:t xml:space="preserve"> </w:t>
            </w:r>
          </w:p>
        </w:tc>
        <w:tc>
          <w:tcPr>
            <w:tcW w:w="450" w:type="dxa"/>
            <w:tcBorders>
              <w:bottom w:val="single" w:sz="4" w:space="0" w:color="auto"/>
            </w:tcBorders>
            <w:shd w:val="clear" w:color="auto" w:fill="auto"/>
            <w:vAlign w:val="center"/>
          </w:tcPr>
          <w:p w:rsidR="001A63C6" w:rsidRPr="009F17FF" w:rsidRDefault="00FC1A4D" w:rsidP="004E5F2F">
            <w:pPr>
              <w:pStyle w:val="TableText"/>
              <w:widowControl w:val="0"/>
              <w:rPr>
                <w:rStyle w:val="EndnoteReference"/>
                <w:color w:val="000000"/>
                <w:sz w:val="13"/>
                <w:szCs w:val="13"/>
                <w:u w:val="single"/>
              </w:rPr>
            </w:pPr>
            <w:hyperlink w:anchor="_54_Forefront_Identity" w:history="1">
              <w:r w:rsidR="000D77F6" w:rsidRPr="009F17FF">
                <w:rPr>
                  <w:rStyle w:val="Hyperlink"/>
                  <w:b/>
                  <w:sz w:val="13"/>
                  <w:szCs w:val="13"/>
                </w:rPr>
                <w:t>54</w:t>
              </w:r>
            </w:hyperlink>
          </w:p>
        </w:tc>
        <w:tc>
          <w:tcPr>
            <w:tcW w:w="450" w:type="dxa"/>
            <w:tcBorders>
              <w:bottom w:val="single" w:sz="4" w:space="0" w:color="auto"/>
            </w:tcBorders>
            <w:shd w:val="clear" w:color="auto" w:fill="auto"/>
            <w:vAlign w:val="center"/>
          </w:tcPr>
          <w:p w:rsidR="001A63C6" w:rsidRPr="003410C7" w:rsidRDefault="001A63C6" w:rsidP="001A63C6">
            <w:pPr>
              <w:pStyle w:val="TableText"/>
              <w:widowControl w:val="0"/>
              <w:spacing w:before="80"/>
              <w:rPr>
                <w:rFonts w:ascii="Tahoma" w:hAnsi="Tahoma" w:cs="Tahoma"/>
                <w:sz w:val="13"/>
              </w:rPr>
            </w:pPr>
            <w:r w:rsidRPr="003410C7">
              <w:rPr>
                <w:rFonts w:ascii="Tahoma" w:hAnsi="Tahoma" w:cs="Tahoma"/>
                <w:sz w:val="13"/>
              </w:rPr>
              <w:t>07/10</w:t>
            </w:r>
          </w:p>
        </w:tc>
        <w:tc>
          <w:tcPr>
            <w:tcW w:w="360" w:type="dxa"/>
            <w:tcBorders>
              <w:bottom w:val="single" w:sz="4" w:space="0" w:color="auto"/>
              <w:right w:val="single" w:sz="18" w:space="0" w:color="auto"/>
            </w:tcBorders>
            <w:shd w:val="clear" w:color="auto" w:fill="auto"/>
            <w:vAlign w:val="center"/>
          </w:tcPr>
          <w:p w:rsidR="001A63C6" w:rsidRPr="003410C7" w:rsidRDefault="001A63C6" w:rsidP="001A63C6">
            <w:pPr>
              <w:pStyle w:val="TableText"/>
              <w:widowControl w:val="0"/>
              <w:rPr>
                <w:rFonts w:ascii="Tahoma" w:hAnsi="Tahoma" w:cs="Tahoma"/>
                <w:sz w:val="13"/>
              </w:rPr>
            </w:pPr>
            <w:r w:rsidRPr="003410C7">
              <w:rPr>
                <w:rFonts w:ascii="Tahoma" w:hAnsi="Tahoma" w:cs="Tahoma"/>
                <w:sz w:val="13"/>
              </w:rPr>
              <w:t>SRV</w:t>
            </w:r>
          </w:p>
        </w:tc>
        <w:tc>
          <w:tcPr>
            <w:tcW w:w="360" w:type="dxa"/>
            <w:tcBorders>
              <w:left w:val="single" w:sz="18" w:space="0" w:color="auto"/>
              <w:bottom w:val="single" w:sz="4" w:space="0" w:color="auto"/>
            </w:tcBorders>
            <w:shd w:val="clear" w:color="auto" w:fill="auto"/>
            <w:vAlign w:val="bottom"/>
          </w:tcPr>
          <w:p w:rsidR="001A63C6" w:rsidRPr="003410C7" w:rsidRDefault="001A63C6" w:rsidP="001A63C6">
            <w:pPr>
              <w:pStyle w:val="TableText"/>
              <w:widowControl w:val="0"/>
              <w:rPr>
                <w:rFonts w:ascii="Tahoma" w:hAnsi="Tahoma" w:cs="Tahoma"/>
                <w:color w:val="000000"/>
                <w:sz w:val="13"/>
              </w:rPr>
            </w:pPr>
            <w:r w:rsidRPr="003410C7">
              <w:rPr>
                <w:rFonts w:ascii="Tahoma" w:hAnsi="Tahoma" w:cs="Tahoma"/>
                <w:sz w:val="13"/>
                <w:szCs w:val="13"/>
              </w:rPr>
              <w:t>125</w:t>
            </w:r>
          </w:p>
        </w:tc>
        <w:tc>
          <w:tcPr>
            <w:tcW w:w="450" w:type="dxa"/>
            <w:tcBorders>
              <w:bottom w:val="single" w:sz="4" w:space="0" w:color="auto"/>
            </w:tcBorders>
            <w:shd w:val="clear" w:color="auto" w:fill="auto"/>
            <w:vAlign w:val="bottom"/>
          </w:tcPr>
          <w:p w:rsidR="001A63C6" w:rsidRPr="003410C7" w:rsidRDefault="001A63C6" w:rsidP="001A63C6">
            <w:pPr>
              <w:pStyle w:val="TableText"/>
              <w:widowControl w:val="0"/>
              <w:rPr>
                <w:rFonts w:ascii="Tahoma" w:hAnsi="Tahoma" w:cs="Tahoma"/>
                <w:color w:val="000000"/>
                <w:sz w:val="13"/>
              </w:rPr>
            </w:pPr>
            <w:r w:rsidRPr="003410C7">
              <w:rPr>
                <w:rFonts w:ascii="Tahoma" w:hAnsi="Tahoma" w:cs="Tahoma"/>
                <w:sz w:val="13"/>
                <w:szCs w:val="13"/>
              </w:rPr>
              <w:t>313</w:t>
            </w:r>
          </w:p>
        </w:tc>
        <w:tc>
          <w:tcPr>
            <w:tcW w:w="450" w:type="dxa"/>
            <w:tcBorders>
              <w:bottom w:val="single" w:sz="4" w:space="0" w:color="auto"/>
            </w:tcBorders>
            <w:shd w:val="clear" w:color="auto" w:fill="auto"/>
            <w:vAlign w:val="bottom"/>
          </w:tcPr>
          <w:p w:rsidR="001A63C6" w:rsidRPr="003410C7" w:rsidRDefault="001A63C6" w:rsidP="001A63C6">
            <w:pPr>
              <w:pStyle w:val="TableText"/>
              <w:widowControl w:val="0"/>
              <w:rPr>
                <w:rFonts w:ascii="Tahoma" w:hAnsi="Tahoma" w:cs="Tahoma"/>
                <w:color w:val="000000"/>
                <w:sz w:val="13"/>
              </w:rPr>
            </w:pPr>
            <w:r w:rsidRPr="003410C7">
              <w:rPr>
                <w:rFonts w:ascii="Tahoma" w:hAnsi="Tahoma" w:cs="Tahoma"/>
                <w:sz w:val="13"/>
                <w:szCs w:val="13"/>
              </w:rPr>
              <w:t>250</w:t>
            </w:r>
          </w:p>
        </w:tc>
        <w:tc>
          <w:tcPr>
            <w:tcW w:w="450" w:type="dxa"/>
            <w:tcBorders>
              <w:bottom w:val="single" w:sz="4" w:space="0" w:color="auto"/>
            </w:tcBorders>
            <w:shd w:val="clear" w:color="auto" w:fill="auto"/>
            <w:vAlign w:val="bottom"/>
          </w:tcPr>
          <w:p w:rsidR="001A63C6" w:rsidRPr="003410C7" w:rsidRDefault="001A63C6" w:rsidP="001A63C6">
            <w:pPr>
              <w:pStyle w:val="TableText"/>
              <w:widowControl w:val="0"/>
              <w:rPr>
                <w:rFonts w:ascii="Tahoma" w:hAnsi="Tahoma" w:cs="Tahoma"/>
                <w:color w:val="000000"/>
                <w:sz w:val="13"/>
              </w:rPr>
            </w:pPr>
            <w:r w:rsidRPr="003410C7">
              <w:rPr>
                <w:rFonts w:ascii="Tahoma" w:hAnsi="Tahoma" w:cs="Tahoma"/>
                <w:sz w:val="13"/>
                <w:szCs w:val="13"/>
              </w:rPr>
              <w:t>188</w:t>
            </w:r>
          </w:p>
        </w:tc>
        <w:tc>
          <w:tcPr>
            <w:tcW w:w="450" w:type="dxa"/>
            <w:tcBorders>
              <w:bottom w:val="single" w:sz="4" w:space="0" w:color="auto"/>
            </w:tcBorders>
            <w:shd w:val="clear" w:color="auto" w:fill="auto"/>
            <w:vAlign w:val="bottom"/>
          </w:tcPr>
          <w:p w:rsidR="001A63C6" w:rsidRPr="003410C7" w:rsidRDefault="001A63C6" w:rsidP="001A63C6">
            <w:pPr>
              <w:pStyle w:val="TableText"/>
              <w:widowControl w:val="0"/>
              <w:rPr>
                <w:rFonts w:ascii="Tahoma" w:hAnsi="Tahoma" w:cs="Tahoma"/>
                <w:color w:val="000000"/>
                <w:sz w:val="13"/>
              </w:rPr>
            </w:pPr>
            <w:r w:rsidRPr="003410C7">
              <w:rPr>
                <w:rFonts w:ascii="Tahoma" w:hAnsi="Tahoma" w:cs="Tahoma"/>
                <w:sz w:val="13"/>
                <w:szCs w:val="13"/>
              </w:rPr>
              <w:t>188</w:t>
            </w:r>
          </w:p>
        </w:tc>
        <w:tc>
          <w:tcPr>
            <w:tcW w:w="450" w:type="dxa"/>
            <w:tcBorders>
              <w:bottom w:val="single" w:sz="4" w:space="0" w:color="auto"/>
            </w:tcBorders>
            <w:shd w:val="clear" w:color="auto" w:fill="auto"/>
            <w:vAlign w:val="bottom"/>
          </w:tcPr>
          <w:p w:rsidR="001A63C6" w:rsidRPr="003410C7" w:rsidRDefault="001A63C6" w:rsidP="001A63C6">
            <w:pPr>
              <w:pStyle w:val="TableText"/>
              <w:widowControl w:val="0"/>
              <w:rPr>
                <w:rFonts w:ascii="Tahoma" w:hAnsi="Tahoma" w:cs="Tahoma"/>
                <w:color w:val="000000"/>
                <w:sz w:val="13"/>
              </w:rPr>
            </w:pPr>
            <w:r w:rsidRPr="003410C7">
              <w:rPr>
                <w:rFonts w:ascii="Tahoma" w:hAnsi="Tahoma" w:cs="Tahoma"/>
                <w:sz w:val="13"/>
                <w:szCs w:val="13"/>
              </w:rPr>
              <w:t>125</w:t>
            </w:r>
          </w:p>
        </w:tc>
        <w:tc>
          <w:tcPr>
            <w:tcW w:w="360" w:type="dxa"/>
            <w:tcBorders>
              <w:bottom w:val="single" w:sz="4" w:space="0" w:color="auto"/>
              <w:right w:val="single" w:sz="18" w:space="0" w:color="auto"/>
            </w:tcBorders>
            <w:shd w:val="clear" w:color="auto" w:fill="auto"/>
            <w:vAlign w:val="bottom"/>
          </w:tcPr>
          <w:p w:rsidR="001A63C6" w:rsidRPr="003410C7" w:rsidRDefault="001A63C6" w:rsidP="001A63C6">
            <w:pPr>
              <w:pStyle w:val="TableText"/>
              <w:widowControl w:val="0"/>
              <w:rPr>
                <w:rFonts w:ascii="Tahoma" w:hAnsi="Tahoma" w:cs="Tahoma"/>
                <w:color w:val="000000"/>
                <w:sz w:val="13"/>
              </w:rPr>
            </w:pPr>
            <w:r w:rsidRPr="003410C7">
              <w:rPr>
                <w:rFonts w:ascii="Tahoma" w:hAnsi="Tahoma" w:cs="Tahoma"/>
                <w:sz w:val="13"/>
                <w:szCs w:val="13"/>
              </w:rPr>
              <w:t>63</w:t>
            </w:r>
          </w:p>
        </w:tc>
        <w:tc>
          <w:tcPr>
            <w:tcW w:w="450" w:type="dxa"/>
            <w:tcBorders>
              <w:left w:val="single" w:sz="18" w:space="0" w:color="auto"/>
              <w:bottom w:val="single" w:sz="4" w:space="0" w:color="auto"/>
            </w:tcBorders>
            <w:shd w:val="clear" w:color="auto" w:fill="auto"/>
            <w:vAlign w:val="bottom"/>
          </w:tcPr>
          <w:p w:rsidR="001A63C6" w:rsidRPr="003410C7" w:rsidRDefault="001A63C6" w:rsidP="001A63C6">
            <w:pPr>
              <w:pStyle w:val="TableText"/>
              <w:widowControl w:val="0"/>
              <w:rPr>
                <w:rFonts w:ascii="Tahoma" w:hAnsi="Tahoma" w:cs="Tahoma"/>
                <w:color w:val="000000"/>
                <w:sz w:val="13"/>
              </w:rPr>
            </w:pPr>
            <w:r w:rsidRPr="003410C7">
              <w:rPr>
                <w:rFonts w:ascii="Tahoma" w:hAnsi="Tahoma" w:cs="Tahoma"/>
                <w:sz w:val="13"/>
                <w:szCs w:val="13"/>
              </w:rPr>
              <w:t>125</w:t>
            </w:r>
          </w:p>
        </w:tc>
        <w:tc>
          <w:tcPr>
            <w:tcW w:w="450" w:type="dxa"/>
            <w:tcBorders>
              <w:bottom w:val="single" w:sz="4" w:space="0" w:color="auto"/>
            </w:tcBorders>
            <w:shd w:val="clear" w:color="auto" w:fill="auto"/>
            <w:vAlign w:val="bottom"/>
          </w:tcPr>
          <w:p w:rsidR="001A63C6" w:rsidRPr="003410C7" w:rsidRDefault="001A63C6" w:rsidP="001A63C6">
            <w:pPr>
              <w:pStyle w:val="TableText"/>
              <w:widowControl w:val="0"/>
              <w:rPr>
                <w:rFonts w:ascii="Tahoma" w:hAnsi="Tahoma" w:cs="Tahoma"/>
                <w:color w:val="000000"/>
                <w:sz w:val="13"/>
              </w:rPr>
            </w:pPr>
            <w:r w:rsidRPr="003410C7">
              <w:rPr>
                <w:rFonts w:ascii="Tahoma" w:hAnsi="Tahoma" w:cs="Tahoma"/>
                <w:sz w:val="13"/>
                <w:szCs w:val="13"/>
              </w:rPr>
              <w:t>250</w:t>
            </w:r>
          </w:p>
        </w:tc>
        <w:tc>
          <w:tcPr>
            <w:tcW w:w="450" w:type="dxa"/>
            <w:tcBorders>
              <w:bottom w:val="single" w:sz="4" w:space="0" w:color="auto"/>
              <w:right w:val="single" w:sz="18" w:space="0" w:color="auto"/>
            </w:tcBorders>
            <w:shd w:val="clear" w:color="auto" w:fill="auto"/>
            <w:vAlign w:val="bottom"/>
          </w:tcPr>
          <w:p w:rsidR="001A63C6" w:rsidRPr="003410C7" w:rsidRDefault="001A63C6" w:rsidP="001A63C6">
            <w:pPr>
              <w:pStyle w:val="TableText"/>
              <w:widowControl w:val="0"/>
              <w:rPr>
                <w:rFonts w:ascii="Tahoma" w:hAnsi="Tahoma" w:cs="Tahoma"/>
                <w:color w:val="000000"/>
                <w:sz w:val="13"/>
              </w:rPr>
            </w:pPr>
            <w:r w:rsidRPr="003410C7">
              <w:rPr>
                <w:rFonts w:ascii="Tahoma" w:hAnsi="Tahoma" w:cs="Tahoma"/>
                <w:sz w:val="13"/>
                <w:szCs w:val="13"/>
              </w:rPr>
              <w:t>125</w:t>
            </w:r>
          </w:p>
        </w:tc>
        <w:tc>
          <w:tcPr>
            <w:tcW w:w="450" w:type="dxa"/>
            <w:tcBorders>
              <w:left w:val="single" w:sz="18" w:space="0" w:color="auto"/>
              <w:bottom w:val="single" w:sz="4" w:space="0" w:color="auto"/>
            </w:tcBorders>
            <w:shd w:val="clear" w:color="auto" w:fill="auto"/>
            <w:vAlign w:val="bottom"/>
          </w:tcPr>
          <w:p w:rsidR="001A63C6" w:rsidRPr="003410C7" w:rsidRDefault="001A63C6" w:rsidP="001A63C6">
            <w:pPr>
              <w:pStyle w:val="TableText"/>
              <w:widowControl w:val="0"/>
              <w:rPr>
                <w:rFonts w:ascii="Tahoma" w:hAnsi="Tahoma" w:cs="Tahoma"/>
                <w:color w:val="000000"/>
                <w:sz w:val="13"/>
              </w:rPr>
            </w:pPr>
            <w:r w:rsidRPr="003410C7">
              <w:rPr>
                <w:rFonts w:ascii="Tahoma" w:hAnsi="Tahoma" w:cs="Tahoma"/>
                <w:sz w:val="13"/>
                <w:szCs w:val="13"/>
              </w:rPr>
              <w:t>125</w:t>
            </w:r>
          </w:p>
        </w:tc>
        <w:tc>
          <w:tcPr>
            <w:tcW w:w="450" w:type="dxa"/>
            <w:tcBorders>
              <w:bottom w:val="single" w:sz="4" w:space="0" w:color="auto"/>
              <w:right w:val="single" w:sz="18" w:space="0" w:color="auto"/>
            </w:tcBorders>
            <w:shd w:val="clear" w:color="auto" w:fill="auto"/>
            <w:vAlign w:val="center"/>
          </w:tcPr>
          <w:p w:rsidR="001A63C6" w:rsidRPr="003410C7" w:rsidRDefault="001A63C6" w:rsidP="001A63C6">
            <w:pPr>
              <w:pStyle w:val="TableText"/>
              <w:widowControl w:val="0"/>
              <w:rPr>
                <w:rFonts w:ascii="Tahoma" w:hAnsi="Tahoma" w:cs="Tahoma"/>
                <w:color w:val="000000"/>
                <w:sz w:val="13"/>
              </w:rPr>
            </w:pPr>
            <w:r w:rsidRPr="003410C7">
              <w:rPr>
                <w:rFonts w:ascii="Tahoma" w:hAnsi="Tahoma" w:cs="Tahoma"/>
                <w:color w:val="000000"/>
                <w:sz w:val="13"/>
              </w:rPr>
              <w:t>A</w:t>
            </w:r>
          </w:p>
        </w:tc>
        <w:tc>
          <w:tcPr>
            <w:tcW w:w="450" w:type="dxa"/>
            <w:tcBorders>
              <w:left w:val="single" w:sz="18" w:space="0" w:color="auto"/>
              <w:bottom w:val="single" w:sz="4" w:space="0" w:color="auto"/>
              <w:right w:val="single" w:sz="18" w:space="0" w:color="auto"/>
            </w:tcBorders>
            <w:shd w:val="clear" w:color="auto" w:fill="auto"/>
            <w:vAlign w:val="center"/>
          </w:tcPr>
          <w:p w:rsidR="001A63C6" w:rsidRPr="003410C7" w:rsidRDefault="001A63C6" w:rsidP="001A63C6">
            <w:pPr>
              <w:pStyle w:val="TableText"/>
              <w:widowControl w:val="0"/>
              <w:rPr>
                <w:rFonts w:ascii="Tahoma" w:hAnsi="Tahoma" w:cs="Tahoma"/>
                <w:sz w:val="13"/>
              </w:rPr>
            </w:pPr>
            <w:r w:rsidRPr="003410C7">
              <w:rPr>
                <w:rFonts w:ascii="Tahoma" w:hAnsi="Tahoma" w:cs="Tahoma"/>
                <w:sz w:val="13"/>
              </w:rPr>
              <w:t>P</w:t>
            </w:r>
          </w:p>
        </w:tc>
        <w:tc>
          <w:tcPr>
            <w:tcW w:w="450" w:type="dxa"/>
            <w:tcBorders>
              <w:bottom w:val="single" w:sz="4" w:space="0" w:color="auto"/>
            </w:tcBorders>
            <w:shd w:val="clear" w:color="auto" w:fill="auto"/>
          </w:tcPr>
          <w:p w:rsidR="001A63C6" w:rsidRPr="003410C7" w:rsidRDefault="001A63C6" w:rsidP="001A63C6">
            <w:pPr>
              <w:pStyle w:val="TableText"/>
              <w:widowControl w:val="0"/>
              <w:spacing w:before="120"/>
              <w:rPr>
                <w:rFonts w:ascii="Tahoma" w:hAnsi="Tahoma" w:cs="Tahoma"/>
                <w:sz w:val="13"/>
              </w:rPr>
            </w:pPr>
            <w:r w:rsidRPr="003410C7">
              <w:rPr>
                <w:rFonts w:ascii="Tahoma" w:hAnsi="Tahoma" w:cs="Tahoma"/>
                <w:sz w:val="13"/>
              </w:rPr>
              <w:t>A</w:t>
            </w:r>
          </w:p>
        </w:tc>
        <w:tc>
          <w:tcPr>
            <w:tcW w:w="540" w:type="dxa"/>
            <w:tcBorders>
              <w:bottom w:val="single" w:sz="4" w:space="0" w:color="auto"/>
            </w:tcBorders>
            <w:shd w:val="clear" w:color="auto" w:fill="auto"/>
            <w:vAlign w:val="center"/>
          </w:tcPr>
          <w:p w:rsidR="001A63C6" w:rsidRPr="003410C7" w:rsidRDefault="001A63C6" w:rsidP="001A63C6">
            <w:pPr>
              <w:pStyle w:val="TableText"/>
              <w:widowControl w:val="0"/>
              <w:rPr>
                <w:rFonts w:ascii="Tahoma" w:hAnsi="Tahoma" w:cs="Tahoma"/>
                <w:sz w:val="13"/>
              </w:rPr>
            </w:pPr>
          </w:p>
        </w:tc>
      </w:tr>
      <w:tr w:rsidR="00EF228F" w:rsidRPr="003410C7" w:rsidTr="006B1F3F">
        <w:trPr>
          <w:trHeight w:val="145"/>
        </w:trPr>
        <w:tc>
          <w:tcPr>
            <w:tcW w:w="2734" w:type="dxa"/>
            <w:gridSpan w:val="2"/>
            <w:tcBorders>
              <w:bottom w:val="single" w:sz="4" w:space="0" w:color="auto"/>
            </w:tcBorders>
            <w:shd w:val="clear" w:color="auto" w:fill="FABF8F"/>
          </w:tcPr>
          <w:p w:rsidR="001A63C6" w:rsidRPr="003410C7" w:rsidRDefault="001A63C6" w:rsidP="001A63C6">
            <w:pPr>
              <w:pStyle w:val="Heading2"/>
              <w:ind w:left="0"/>
              <w:rPr>
                <w:rFonts w:ascii="Tahoma" w:hAnsi="Tahoma" w:cs="Tahoma"/>
                <w:b w:val="0"/>
              </w:rPr>
            </w:pPr>
            <w:bookmarkStart w:id="263" w:name="_Toc336337969"/>
            <w:bookmarkStart w:id="264" w:name="_Toc352234589"/>
            <w:r w:rsidRPr="003410C7">
              <w:rPr>
                <w:rFonts w:ascii="Tahoma" w:hAnsi="Tahoma" w:cs="Tahoma"/>
                <w:b w:val="0"/>
                <w:sz w:val="14"/>
              </w:rPr>
              <w:t>Forefront Identity Manager 2010 R2 - Windows Live Edition</w:t>
            </w:r>
            <w:bookmarkEnd w:id="263"/>
            <w:bookmarkEnd w:id="264"/>
          </w:p>
        </w:tc>
        <w:tc>
          <w:tcPr>
            <w:tcW w:w="450" w:type="dxa"/>
            <w:tcBorders>
              <w:bottom w:val="single" w:sz="4" w:space="0" w:color="auto"/>
            </w:tcBorders>
            <w:shd w:val="clear" w:color="auto" w:fill="FABF8F"/>
            <w:vAlign w:val="center"/>
          </w:tcPr>
          <w:p w:rsidR="001A63C6" w:rsidRPr="009F17FF" w:rsidRDefault="00FC1A4D" w:rsidP="00C117E4">
            <w:pPr>
              <w:pStyle w:val="TableText"/>
              <w:widowControl w:val="0"/>
              <w:rPr>
                <w:b/>
                <w:color w:val="0000FF"/>
                <w:sz w:val="13"/>
                <w:szCs w:val="13"/>
                <w:u w:val="single"/>
              </w:rPr>
            </w:pPr>
            <w:hyperlink w:anchor="_55_Forefront_Identity" w:history="1">
              <w:r w:rsidR="000D77F6" w:rsidRPr="009F17FF">
                <w:rPr>
                  <w:rStyle w:val="Hyperlink"/>
                  <w:b/>
                  <w:sz w:val="13"/>
                  <w:szCs w:val="13"/>
                </w:rPr>
                <w:t>55</w:t>
              </w:r>
            </w:hyperlink>
          </w:p>
        </w:tc>
        <w:tc>
          <w:tcPr>
            <w:tcW w:w="450" w:type="dxa"/>
            <w:tcBorders>
              <w:bottom w:val="single" w:sz="4" w:space="0" w:color="auto"/>
            </w:tcBorders>
            <w:shd w:val="clear" w:color="auto" w:fill="FABF8F"/>
            <w:vAlign w:val="center"/>
          </w:tcPr>
          <w:p w:rsidR="001A63C6" w:rsidRPr="003410C7" w:rsidRDefault="001A63C6" w:rsidP="001A63C6">
            <w:pPr>
              <w:pStyle w:val="TableText"/>
              <w:widowControl w:val="0"/>
              <w:spacing w:before="120"/>
              <w:rPr>
                <w:rFonts w:ascii="Tahoma" w:hAnsi="Tahoma" w:cs="Tahoma"/>
                <w:sz w:val="13"/>
              </w:rPr>
            </w:pPr>
            <w:r w:rsidRPr="003410C7">
              <w:rPr>
                <w:rFonts w:ascii="Tahoma" w:hAnsi="Tahoma" w:cs="Tahoma"/>
                <w:sz w:val="13"/>
              </w:rPr>
              <w:t>07/11</w:t>
            </w:r>
          </w:p>
        </w:tc>
        <w:tc>
          <w:tcPr>
            <w:tcW w:w="360" w:type="dxa"/>
            <w:tcBorders>
              <w:bottom w:val="single" w:sz="4" w:space="0" w:color="auto"/>
              <w:right w:val="single" w:sz="18" w:space="0" w:color="auto"/>
            </w:tcBorders>
            <w:shd w:val="clear" w:color="auto" w:fill="FABF8F"/>
            <w:vAlign w:val="center"/>
          </w:tcPr>
          <w:p w:rsidR="001A63C6" w:rsidRPr="003410C7" w:rsidRDefault="001A63C6" w:rsidP="001A63C6">
            <w:pPr>
              <w:pStyle w:val="TableText"/>
              <w:widowControl w:val="0"/>
              <w:rPr>
                <w:rFonts w:ascii="Tahoma" w:hAnsi="Tahoma" w:cs="Tahoma"/>
                <w:sz w:val="13"/>
              </w:rPr>
            </w:pPr>
            <w:r w:rsidRPr="003410C7">
              <w:rPr>
                <w:rFonts w:ascii="Tahoma" w:hAnsi="Tahoma" w:cs="Tahoma"/>
                <w:sz w:val="13"/>
              </w:rPr>
              <w:t>SRV</w:t>
            </w:r>
          </w:p>
        </w:tc>
        <w:tc>
          <w:tcPr>
            <w:tcW w:w="360" w:type="dxa"/>
            <w:tcBorders>
              <w:left w:val="single" w:sz="18" w:space="0" w:color="auto"/>
              <w:bottom w:val="single" w:sz="4" w:space="0" w:color="auto"/>
            </w:tcBorders>
            <w:shd w:val="clear" w:color="auto" w:fill="FABF8F"/>
            <w:vAlign w:val="bottom"/>
          </w:tcPr>
          <w:p w:rsidR="001A63C6" w:rsidRPr="003410C7" w:rsidRDefault="001A63C6" w:rsidP="001A63C6">
            <w:pPr>
              <w:pStyle w:val="TableText"/>
              <w:widowControl w:val="0"/>
              <w:spacing w:before="100" w:beforeAutospacing="1" w:after="120"/>
              <w:rPr>
                <w:rFonts w:ascii="Tahoma" w:hAnsi="Tahoma" w:cs="Tahoma"/>
                <w:color w:val="000000"/>
                <w:sz w:val="13"/>
                <w:szCs w:val="13"/>
              </w:rPr>
            </w:pPr>
            <w:r w:rsidRPr="003410C7">
              <w:rPr>
                <w:rFonts w:ascii="Tahoma" w:hAnsi="Tahoma" w:cs="Tahoma"/>
                <w:sz w:val="13"/>
                <w:szCs w:val="13"/>
              </w:rPr>
              <w:t>25</w:t>
            </w:r>
          </w:p>
        </w:tc>
        <w:tc>
          <w:tcPr>
            <w:tcW w:w="450" w:type="dxa"/>
            <w:tcBorders>
              <w:bottom w:val="single" w:sz="4" w:space="0" w:color="auto"/>
            </w:tcBorders>
            <w:shd w:val="clear" w:color="auto" w:fill="FABF8F"/>
            <w:vAlign w:val="bottom"/>
          </w:tcPr>
          <w:p w:rsidR="001A63C6" w:rsidRPr="003410C7" w:rsidRDefault="001A63C6" w:rsidP="001A63C6">
            <w:pPr>
              <w:pStyle w:val="TableText"/>
              <w:widowControl w:val="0"/>
              <w:spacing w:before="100" w:beforeAutospacing="1" w:after="120"/>
              <w:rPr>
                <w:rFonts w:ascii="Tahoma" w:hAnsi="Tahoma" w:cs="Tahoma"/>
                <w:color w:val="000000"/>
                <w:sz w:val="13"/>
                <w:szCs w:val="13"/>
              </w:rPr>
            </w:pPr>
            <w:r w:rsidRPr="003410C7">
              <w:rPr>
                <w:rFonts w:ascii="Tahoma" w:hAnsi="Tahoma" w:cs="Tahoma"/>
                <w:sz w:val="13"/>
                <w:szCs w:val="13"/>
              </w:rPr>
              <w:t>63</w:t>
            </w:r>
          </w:p>
        </w:tc>
        <w:tc>
          <w:tcPr>
            <w:tcW w:w="450" w:type="dxa"/>
            <w:tcBorders>
              <w:bottom w:val="single" w:sz="4" w:space="0" w:color="auto"/>
            </w:tcBorders>
            <w:shd w:val="clear" w:color="auto" w:fill="FABF8F"/>
            <w:vAlign w:val="bottom"/>
          </w:tcPr>
          <w:p w:rsidR="001A63C6" w:rsidRPr="003410C7" w:rsidRDefault="001A63C6" w:rsidP="001A63C6">
            <w:pPr>
              <w:pStyle w:val="TableText"/>
              <w:widowControl w:val="0"/>
              <w:spacing w:before="100" w:beforeAutospacing="1" w:after="120"/>
              <w:rPr>
                <w:rFonts w:ascii="Tahoma" w:hAnsi="Tahoma" w:cs="Tahoma"/>
                <w:color w:val="000000"/>
                <w:sz w:val="13"/>
                <w:szCs w:val="13"/>
              </w:rPr>
            </w:pPr>
            <w:r w:rsidRPr="003410C7">
              <w:rPr>
                <w:rFonts w:ascii="Tahoma" w:hAnsi="Tahoma" w:cs="Tahoma"/>
                <w:sz w:val="13"/>
                <w:szCs w:val="13"/>
              </w:rPr>
              <w:t>50</w:t>
            </w:r>
          </w:p>
        </w:tc>
        <w:tc>
          <w:tcPr>
            <w:tcW w:w="450" w:type="dxa"/>
            <w:tcBorders>
              <w:bottom w:val="single" w:sz="4" w:space="0" w:color="auto"/>
            </w:tcBorders>
            <w:shd w:val="clear" w:color="auto" w:fill="FABF8F"/>
            <w:vAlign w:val="bottom"/>
          </w:tcPr>
          <w:p w:rsidR="001A63C6" w:rsidRPr="003410C7" w:rsidRDefault="001A63C6" w:rsidP="001A63C6">
            <w:pPr>
              <w:pStyle w:val="TableText"/>
              <w:widowControl w:val="0"/>
              <w:spacing w:before="100" w:beforeAutospacing="1" w:after="120"/>
              <w:rPr>
                <w:rFonts w:ascii="Tahoma" w:hAnsi="Tahoma" w:cs="Tahoma"/>
                <w:color w:val="000000"/>
                <w:sz w:val="13"/>
                <w:szCs w:val="13"/>
              </w:rPr>
            </w:pPr>
            <w:r w:rsidRPr="003410C7">
              <w:rPr>
                <w:rFonts w:ascii="Tahoma" w:hAnsi="Tahoma" w:cs="Tahoma"/>
                <w:sz w:val="13"/>
                <w:szCs w:val="13"/>
              </w:rPr>
              <w:t>38</w:t>
            </w:r>
          </w:p>
        </w:tc>
        <w:tc>
          <w:tcPr>
            <w:tcW w:w="450" w:type="dxa"/>
            <w:tcBorders>
              <w:bottom w:val="single" w:sz="4" w:space="0" w:color="auto"/>
            </w:tcBorders>
            <w:shd w:val="clear" w:color="auto" w:fill="FABF8F"/>
            <w:vAlign w:val="bottom"/>
          </w:tcPr>
          <w:p w:rsidR="001A63C6" w:rsidRPr="003410C7" w:rsidRDefault="001A63C6" w:rsidP="001A63C6">
            <w:pPr>
              <w:pStyle w:val="TableText"/>
              <w:widowControl w:val="0"/>
              <w:spacing w:before="100" w:beforeAutospacing="1" w:after="120"/>
              <w:rPr>
                <w:rFonts w:ascii="Tahoma" w:hAnsi="Tahoma" w:cs="Tahoma"/>
                <w:color w:val="000000"/>
                <w:sz w:val="13"/>
                <w:szCs w:val="13"/>
              </w:rPr>
            </w:pPr>
            <w:r w:rsidRPr="003410C7">
              <w:rPr>
                <w:rFonts w:ascii="Tahoma" w:hAnsi="Tahoma" w:cs="Tahoma"/>
                <w:sz w:val="13"/>
                <w:szCs w:val="13"/>
              </w:rPr>
              <w:t>38</w:t>
            </w:r>
          </w:p>
        </w:tc>
        <w:tc>
          <w:tcPr>
            <w:tcW w:w="450" w:type="dxa"/>
            <w:tcBorders>
              <w:bottom w:val="single" w:sz="4" w:space="0" w:color="auto"/>
            </w:tcBorders>
            <w:shd w:val="clear" w:color="auto" w:fill="FABF8F"/>
            <w:vAlign w:val="bottom"/>
          </w:tcPr>
          <w:p w:rsidR="001A63C6" w:rsidRPr="003410C7" w:rsidRDefault="001A63C6" w:rsidP="001A63C6">
            <w:pPr>
              <w:pStyle w:val="TableText"/>
              <w:widowControl w:val="0"/>
              <w:spacing w:before="100" w:beforeAutospacing="1" w:after="120"/>
              <w:rPr>
                <w:rFonts w:ascii="Tahoma" w:hAnsi="Tahoma" w:cs="Tahoma"/>
                <w:color w:val="000000"/>
                <w:sz w:val="13"/>
                <w:szCs w:val="13"/>
              </w:rPr>
            </w:pPr>
            <w:r w:rsidRPr="003410C7">
              <w:rPr>
                <w:rFonts w:ascii="Tahoma" w:hAnsi="Tahoma" w:cs="Tahoma"/>
                <w:sz w:val="13"/>
                <w:szCs w:val="13"/>
              </w:rPr>
              <w:t>25</w:t>
            </w:r>
          </w:p>
        </w:tc>
        <w:tc>
          <w:tcPr>
            <w:tcW w:w="360" w:type="dxa"/>
            <w:tcBorders>
              <w:bottom w:val="single" w:sz="4" w:space="0" w:color="auto"/>
              <w:right w:val="single" w:sz="18" w:space="0" w:color="auto"/>
            </w:tcBorders>
            <w:shd w:val="clear" w:color="auto" w:fill="FABF8F"/>
            <w:vAlign w:val="bottom"/>
          </w:tcPr>
          <w:p w:rsidR="001A63C6" w:rsidRPr="003410C7" w:rsidRDefault="001A63C6" w:rsidP="001A63C6">
            <w:pPr>
              <w:pStyle w:val="TableText"/>
              <w:widowControl w:val="0"/>
              <w:spacing w:before="100" w:beforeAutospacing="1" w:after="120"/>
              <w:rPr>
                <w:rFonts w:ascii="Tahoma" w:hAnsi="Tahoma" w:cs="Tahoma"/>
                <w:color w:val="000000"/>
                <w:sz w:val="13"/>
                <w:szCs w:val="13"/>
              </w:rPr>
            </w:pPr>
            <w:r w:rsidRPr="003410C7">
              <w:rPr>
                <w:rFonts w:ascii="Tahoma" w:hAnsi="Tahoma" w:cs="Tahoma"/>
                <w:sz w:val="13"/>
                <w:szCs w:val="13"/>
              </w:rPr>
              <w:t>13</w:t>
            </w:r>
          </w:p>
        </w:tc>
        <w:tc>
          <w:tcPr>
            <w:tcW w:w="450" w:type="dxa"/>
            <w:tcBorders>
              <w:left w:val="single" w:sz="18" w:space="0" w:color="auto"/>
              <w:bottom w:val="single" w:sz="4" w:space="0" w:color="auto"/>
            </w:tcBorders>
            <w:shd w:val="clear" w:color="auto" w:fill="FABF8F"/>
            <w:vAlign w:val="bottom"/>
          </w:tcPr>
          <w:p w:rsidR="001A63C6" w:rsidRPr="003410C7" w:rsidRDefault="001A63C6" w:rsidP="001A63C6">
            <w:pPr>
              <w:pStyle w:val="TableText"/>
              <w:widowControl w:val="0"/>
              <w:spacing w:before="100" w:beforeAutospacing="1" w:after="120"/>
              <w:rPr>
                <w:rFonts w:ascii="Tahoma" w:hAnsi="Tahoma" w:cs="Tahoma"/>
                <w:color w:val="000000"/>
                <w:sz w:val="13"/>
                <w:szCs w:val="13"/>
              </w:rPr>
            </w:pPr>
            <w:r w:rsidRPr="003410C7">
              <w:rPr>
                <w:rFonts w:ascii="Tahoma" w:hAnsi="Tahoma" w:cs="Tahoma"/>
                <w:sz w:val="13"/>
                <w:szCs w:val="13"/>
              </w:rPr>
              <w:t>25</w:t>
            </w:r>
          </w:p>
        </w:tc>
        <w:tc>
          <w:tcPr>
            <w:tcW w:w="450" w:type="dxa"/>
            <w:tcBorders>
              <w:bottom w:val="single" w:sz="4" w:space="0" w:color="auto"/>
            </w:tcBorders>
            <w:shd w:val="clear" w:color="auto" w:fill="FABF8F"/>
            <w:vAlign w:val="bottom"/>
          </w:tcPr>
          <w:p w:rsidR="001A63C6" w:rsidRPr="003410C7" w:rsidRDefault="001A63C6" w:rsidP="001A63C6">
            <w:pPr>
              <w:pStyle w:val="TableText"/>
              <w:widowControl w:val="0"/>
              <w:spacing w:before="100" w:beforeAutospacing="1" w:after="120"/>
              <w:rPr>
                <w:rFonts w:ascii="Tahoma" w:hAnsi="Tahoma" w:cs="Tahoma"/>
                <w:color w:val="000000"/>
                <w:sz w:val="13"/>
                <w:szCs w:val="13"/>
              </w:rPr>
            </w:pPr>
            <w:r w:rsidRPr="003410C7">
              <w:rPr>
                <w:rFonts w:ascii="Tahoma" w:hAnsi="Tahoma" w:cs="Tahoma"/>
                <w:sz w:val="13"/>
                <w:szCs w:val="13"/>
              </w:rPr>
              <w:t>50</w:t>
            </w:r>
          </w:p>
        </w:tc>
        <w:tc>
          <w:tcPr>
            <w:tcW w:w="450" w:type="dxa"/>
            <w:tcBorders>
              <w:bottom w:val="single" w:sz="4" w:space="0" w:color="auto"/>
              <w:right w:val="single" w:sz="18" w:space="0" w:color="auto"/>
            </w:tcBorders>
            <w:shd w:val="clear" w:color="auto" w:fill="FABF8F"/>
            <w:vAlign w:val="bottom"/>
          </w:tcPr>
          <w:p w:rsidR="001A63C6" w:rsidRPr="003410C7" w:rsidRDefault="001A63C6" w:rsidP="001A63C6">
            <w:pPr>
              <w:pStyle w:val="TableText"/>
              <w:widowControl w:val="0"/>
              <w:spacing w:before="100" w:beforeAutospacing="1" w:after="120"/>
              <w:rPr>
                <w:rFonts w:ascii="Tahoma" w:hAnsi="Tahoma" w:cs="Tahoma"/>
                <w:color w:val="000000"/>
                <w:sz w:val="13"/>
                <w:szCs w:val="13"/>
              </w:rPr>
            </w:pPr>
            <w:r w:rsidRPr="003410C7">
              <w:rPr>
                <w:rFonts w:ascii="Tahoma" w:hAnsi="Tahoma" w:cs="Tahoma"/>
                <w:sz w:val="13"/>
                <w:szCs w:val="13"/>
              </w:rPr>
              <w:t>25</w:t>
            </w:r>
          </w:p>
        </w:tc>
        <w:tc>
          <w:tcPr>
            <w:tcW w:w="450" w:type="dxa"/>
            <w:tcBorders>
              <w:left w:val="single" w:sz="18" w:space="0" w:color="auto"/>
              <w:bottom w:val="single" w:sz="4" w:space="0" w:color="auto"/>
            </w:tcBorders>
            <w:shd w:val="clear" w:color="auto" w:fill="FABF8F"/>
            <w:vAlign w:val="bottom"/>
          </w:tcPr>
          <w:p w:rsidR="001A63C6" w:rsidRPr="003410C7" w:rsidRDefault="001A63C6" w:rsidP="001A63C6">
            <w:pPr>
              <w:pStyle w:val="TableText"/>
              <w:widowControl w:val="0"/>
              <w:spacing w:before="100" w:beforeAutospacing="1" w:after="120"/>
              <w:rPr>
                <w:rFonts w:ascii="Tahoma" w:hAnsi="Tahoma" w:cs="Tahoma"/>
                <w:color w:val="000000"/>
                <w:sz w:val="13"/>
                <w:szCs w:val="13"/>
              </w:rPr>
            </w:pPr>
            <w:r w:rsidRPr="003410C7">
              <w:rPr>
                <w:rFonts w:ascii="Tahoma" w:hAnsi="Tahoma" w:cs="Tahoma"/>
                <w:sz w:val="13"/>
                <w:szCs w:val="13"/>
              </w:rPr>
              <w:t>25</w:t>
            </w:r>
          </w:p>
        </w:tc>
        <w:tc>
          <w:tcPr>
            <w:tcW w:w="450" w:type="dxa"/>
            <w:tcBorders>
              <w:bottom w:val="single" w:sz="4" w:space="0" w:color="auto"/>
              <w:right w:val="single" w:sz="18" w:space="0" w:color="auto"/>
            </w:tcBorders>
            <w:shd w:val="clear" w:color="auto" w:fill="FABF8F"/>
            <w:vAlign w:val="center"/>
          </w:tcPr>
          <w:p w:rsidR="001A63C6" w:rsidRPr="003410C7" w:rsidRDefault="001A63C6" w:rsidP="001A63C6">
            <w:pPr>
              <w:pStyle w:val="TableText"/>
              <w:widowControl w:val="0"/>
              <w:rPr>
                <w:rFonts w:ascii="Tahoma" w:hAnsi="Tahoma" w:cs="Tahoma"/>
                <w:color w:val="000000"/>
                <w:sz w:val="13"/>
              </w:rPr>
            </w:pP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3410C7" w:rsidRDefault="001A63C6" w:rsidP="001A63C6">
            <w:pPr>
              <w:pStyle w:val="TableText"/>
              <w:widowControl w:val="0"/>
              <w:rPr>
                <w:rFonts w:ascii="Tahoma" w:hAnsi="Tahoma" w:cs="Tahoma"/>
                <w:sz w:val="13"/>
              </w:rPr>
            </w:pPr>
            <w:r w:rsidRPr="003410C7">
              <w:rPr>
                <w:rFonts w:ascii="Tahoma" w:hAnsi="Tahoma" w:cs="Tahoma"/>
                <w:sz w:val="13"/>
              </w:rPr>
              <w:t>P</w:t>
            </w:r>
          </w:p>
        </w:tc>
        <w:tc>
          <w:tcPr>
            <w:tcW w:w="450" w:type="dxa"/>
            <w:tcBorders>
              <w:bottom w:val="single" w:sz="4" w:space="0" w:color="auto"/>
            </w:tcBorders>
            <w:shd w:val="clear" w:color="auto" w:fill="FABF8F"/>
          </w:tcPr>
          <w:p w:rsidR="001A63C6" w:rsidRPr="003410C7" w:rsidRDefault="001A63C6" w:rsidP="001A63C6">
            <w:pPr>
              <w:pStyle w:val="TableText"/>
              <w:widowControl w:val="0"/>
              <w:spacing w:before="120"/>
              <w:rPr>
                <w:rFonts w:ascii="Tahoma" w:hAnsi="Tahoma" w:cs="Tahoma"/>
                <w:sz w:val="13"/>
              </w:rPr>
            </w:pPr>
          </w:p>
        </w:tc>
        <w:tc>
          <w:tcPr>
            <w:tcW w:w="540" w:type="dxa"/>
            <w:tcBorders>
              <w:bottom w:val="single" w:sz="4" w:space="0" w:color="auto"/>
            </w:tcBorders>
            <w:shd w:val="clear" w:color="auto" w:fill="FABF8F"/>
            <w:vAlign w:val="center"/>
          </w:tcPr>
          <w:p w:rsidR="001A63C6" w:rsidRPr="003410C7" w:rsidRDefault="001A63C6" w:rsidP="001A63C6">
            <w:pPr>
              <w:pStyle w:val="TableText"/>
              <w:widowControl w:val="0"/>
              <w:rPr>
                <w:rFonts w:ascii="Tahoma" w:hAnsi="Tahoma" w:cs="Tahoma"/>
                <w:sz w:val="13"/>
              </w:rPr>
            </w:pPr>
          </w:p>
        </w:tc>
      </w:tr>
      <w:tr w:rsidR="001A63C6" w:rsidRPr="003410C7" w:rsidTr="007E466C">
        <w:trPr>
          <w:trHeight w:val="145"/>
        </w:trPr>
        <w:tc>
          <w:tcPr>
            <w:tcW w:w="2734" w:type="dxa"/>
            <w:gridSpan w:val="2"/>
            <w:tcBorders>
              <w:bottom w:val="single" w:sz="4" w:space="0" w:color="auto"/>
            </w:tcBorders>
            <w:shd w:val="clear" w:color="auto" w:fill="auto"/>
          </w:tcPr>
          <w:p w:rsidR="001A63C6" w:rsidRPr="003410C7" w:rsidRDefault="001A63C6" w:rsidP="001A63C6">
            <w:pPr>
              <w:pStyle w:val="ProductNames"/>
              <w:rPr>
                <w:rFonts w:ascii="Tahoma" w:hAnsi="Tahoma" w:cs="Tahoma"/>
                <w:sz w:val="14"/>
              </w:rPr>
            </w:pPr>
            <w:bookmarkStart w:id="265" w:name="_Toc336337971"/>
            <w:bookmarkStart w:id="266" w:name="_Toc352234590"/>
            <w:r w:rsidRPr="003410C7">
              <w:rPr>
                <w:rFonts w:ascii="Tahoma" w:hAnsi="Tahoma" w:cs="Tahoma"/>
                <w:sz w:val="14"/>
              </w:rPr>
              <w:t>Forefront Protection 2010 for Exchange Server (SL per Dispositivo e Utente)</w:t>
            </w:r>
            <w:bookmarkEnd w:id="265"/>
            <w:bookmarkEnd w:id="266"/>
          </w:p>
        </w:tc>
        <w:tc>
          <w:tcPr>
            <w:tcW w:w="450" w:type="dxa"/>
            <w:tcBorders>
              <w:bottom w:val="single" w:sz="4" w:space="0" w:color="auto"/>
            </w:tcBorders>
            <w:shd w:val="clear" w:color="auto" w:fill="auto"/>
            <w:vAlign w:val="center"/>
          </w:tcPr>
          <w:p w:rsidR="001A63C6" w:rsidRPr="009F17FF" w:rsidRDefault="00FC1A4D" w:rsidP="00EF228F">
            <w:pPr>
              <w:pStyle w:val="TableText"/>
              <w:widowControl w:val="0"/>
              <w:rPr>
                <w:b/>
                <w:color w:val="000000"/>
                <w:sz w:val="13"/>
                <w:szCs w:val="13"/>
                <w:u w:val="single"/>
              </w:rPr>
            </w:pPr>
            <w:hyperlink w:anchor="_56_Forefront_Protection" w:history="1">
              <w:r w:rsidR="000D77F6" w:rsidRPr="009F17FF">
                <w:rPr>
                  <w:rStyle w:val="Hyperlink"/>
                  <w:b/>
                  <w:sz w:val="13"/>
                  <w:szCs w:val="13"/>
                </w:rPr>
                <w:t>56</w:t>
              </w:r>
            </w:hyperlink>
          </w:p>
        </w:tc>
        <w:tc>
          <w:tcPr>
            <w:tcW w:w="450" w:type="dxa"/>
            <w:tcBorders>
              <w:bottom w:val="single" w:sz="4" w:space="0" w:color="auto"/>
            </w:tcBorders>
            <w:shd w:val="clear" w:color="auto" w:fill="auto"/>
            <w:vAlign w:val="center"/>
          </w:tcPr>
          <w:p w:rsidR="001A63C6" w:rsidRPr="003410C7" w:rsidRDefault="001A63C6" w:rsidP="001A63C6">
            <w:pPr>
              <w:pStyle w:val="TableText"/>
              <w:widowControl w:val="0"/>
              <w:spacing w:before="80"/>
              <w:rPr>
                <w:rFonts w:ascii="Tahoma" w:hAnsi="Tahoma" w:cs="Tahoma"/>
                <w:sz w:val="13"/>
              </w:rPr>
            </w:pPr>
          </w:p>
        </w:tc>
        <w:tc>
          <w:tcPr>
            <w:tcW w:w="360" w:type="dxa"/>
            <w:tcBorders>
              <w:bottom w:val="single" w:sz="4" w:space="0" w:color="auto"/>
              <w:right w:val="single" w:sz="18" w:space="0" w:color="auto"/>
            </w:tcBorders>
            <w:shd w:val="clear" w:color="auto" w:fill="auto"/>
            <w:vAlign w:val="center"/>
          </w:tcPr>
          <w:p w:rsidR="001A63C6" w:rsidRPr="003410C7" w:rsidRDefault="001A63C6" w:rsidP="001A63C6">
            <w:pPr>
              <w:pStyle w:val="TableText"/>
              <w:widowControl w:val="0"/>
              <w:rPr>
                <w:rFonts w:ascii="Tahoma" w:hAnsi="Tahoma" w:cs="Tahoma"/>
                <w:sz w:val="13"/>
              </w:rPr>
            </w:pPr>
          </w:p>
        </w:tc>
        <w:tc>
          <w:tcPr>
            <w:tcW w:w="2970" w:type="dxa"/>
            <w:gridSpan w:val="7"/>
            <w:tcBorders>
              <w:left w:val="single" w:sz="18" w:space="0" w:color="auto"/>
              <w:bottom w:val="single" w:sz="4" w:space="0" w:color="auto"/>
              <w:right w:val="single" w:sz="18" w:space="0" w:color="auto"/>
            </w:tcBorders>
            <w:shd w:val="clear" w:color="auto" w:fill="auto"/>
            <w:vAlign w:val="center"/>
          </w:tcPr>
          <w:p w:rsidR="001A63C6" w:rsidRPr="003410C7"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1A63C6" w:rsidRPr="003410C7"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3410C7"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1A63C6" w:rsidRPr="003410C7"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1A63C6" w:rsidRPr="003410C7"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1A63C6" w:rsidRPr="003410C7"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rsidR="001A63C6" w:rsidRPr="003410C7"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3410C7" w:rsidRDefault="001A63C6" w:rsidP="001A63C6">
            <w:pPr>
              <w:pStyle w:val="TableText"/>
              <w:widowControl w:val="0"/>
              <w:spacing w:before="120"/>
              <w:rPr>
                <w:rFonts w:ascii="Tahoma" w:hAnsi="Tahoma" w:cs="Tahoma"/>
                <w:sz w:val="13"/>
              </w:rPr>
            </w:pPr>
          </w:p>
        </w:tc>
        <w:tc>
          <w:tcPr>
            <w:tcW w:w="540" w:type="dxa"/>
            <w:tcBorders>
              <w:bottom w:val="single" w:sz="4" w:space="0" w:color="auto"/>
            </w:tcBorders>
            <w:shd w:val="clear" w:color="auto" w:fill="auto"/>
            <w:vAlign w:val="center"/>
          </w:tcPr>
          <w:p w:rsidR="001A63C6" w:rsidRPr="003410C7" w:rsidRDefault="001A63C6" w:rsidP="001A63C6">
            <w:pPr>
              <w:pStyle w:val="TableText"/>
              <w:widowControl w:val="0"/>
              <w:rPr>
                <w:rFonts w:ascii="Tahoma" w:hAnsi="Tahoma" w:cs="Tahoma"/>
                <w:sz w:val="13"/>
              </w:rPr>
            </w:pPr>
          </w:p>
        </w:tc>
      </w:tr>
      <w:tr w:rsidR="00B33D0E" w:rsidRPr="003410C7" w:rsidTr="006B1F3F">
        <w:trPr>
          <w:trHeight w:val="145"/>
        </w:trPr>
        <w:tc>
          <w:tcPr>
            <w:tcW w:w="2734" w:type="dxa"/>
            <w:gridSpan w:val="2"/>
            <w:tcBorders>
              <w:bottom w:val="single" w:sz="4" w:space="0" w:color="auto"/>
            </w:tcBorders>
            <w:shd w:val="clear" w:color="auto" w:fill="FABF8F"/>
          </w:tcPr>
          <w:p w:rsidR="001A63C6" w:rsidRPr="003410C7" w:rsidRDefault="001A63C6" w:rsidP="00854AAB">
            <w:pPr>
              <w:pStyle w:val="ProductNames"/>
              <w:rPr>
                <w:rFonts w:ascii="Tahoma" w:hAnsi="Tahoma" w:cs="Tahoma"/>
                <w:sz w:val="14"/>
              </w:rPr>
            </w:pPr>
            <w:bookmarkStart w:id="267" w:name="_Toc336337973"/>
            <w:bookmarkStart w:id="268" w:name="_Toc352234591"/>
            <w:r w:rsidRPr="003410C7">
              <w:rPr>
                <w:rFonts w:ascii="Tahoma" w:hAnsi="Tahoma" w:cs="Tahoma"/>
                <w:sz w:val="14"/>
              </w:rPr>
              <w:t>Forefront Protection Suite (SL</w:t>
            </w:r>
            <w:r w:rsidR="00854AAB">
              <w:rPr>
                <w:rFonts w:ascii="Tahoma" w:hAnsi="Tahoma" w:cs="Tahoma"/>
                <w:sz w:val="14"/>
              </w:rPr>
              <w:t> </w:t>
            </w:r>
            <w:r w:rsidRPr="003410C7">
              <w:rPr>
                <w:rFonts w:ascii="Tahoma" w:hAnsi="Tahoma" w:cs="Tahoma"/>
                <w:sz w:val="14"/>
              </w:rPr>
              <w:t>per</w:t>
            </w:r>
            <w:r w:rsidR="00854AAB">
              <w:rPr>
                <w:rFonts w:ascii="Tahoma" w:hAnsi="Tahoma" w:cs="Tahoma"/>
                <w:sz w:val="14"/>
              </w:rPr>
              <w:t> </w:t>
            </w:r>
            <w:r w:rsidRPr="003410C7">
              <w:rPr>
                <w:rFonts w:ascii="Tahoma" w:hAnsi="Tahoma" w:cs="Tahoma"/>
                <w:sz w:val="14"/>
              </w:rPr>
              <w:t>Dispositivo e Utente)</w:t>
            </w:r>
            <w:bookmarkEnd w:id="267"/>
            <w:bookmarkEnd w:id="268"/>
          </w:p>
        </w:tc>
        <w:tc>
          <w:tcPr>
            <w:tcW w:w="450" w:type="dxa"/>
            <w:tcBorders>
              <w:bottom w:val="single" w:sz="4" w:space="0" w:color="auto"/>
            </w:tcBorders>
            <w:shd w:val="clear" w:color="auto" w:fill="FABF8F"/>
            <w:vAlign w:val="center"/>
          </w:tcPr>
          <w:p w:rsidR="001A63C6" w:rsidRPr="009F17FF" w:rsidRDefault="00FC1A4D" w:rsidP="00EF228F">
            <w:pPr>
              <w:pStyle w:val="TableText"/>
              <w:widowControl w:val="0"/>
              <w:rPr>
                <w:rStyle w:val="EndnoteReference"/>
                <w:color w:val="0000FF"/>
                <w:sz w:val="13"/>
                <w:szCs w:val="13"/>
                <w:u w:val="single"/>
              </w:rPr>
            </w:pPr>
            <w:hyperlink w:anchor="_57_Forefront_Protection" w:history="1">
              <w:r w:rsidR="000D77F6" w:rsidRPr="009F17FF">
                <w:rPr>
                  <w:rStyle w:val="Hyperlink"/>
                  <w:b/>
                  <w:sz w:val="13"/>
                  <w:szCs w:val="13"/>
                </w:rPr>
                <w:t>57</w:t>
              </w:r>
            </w:hyperlink>
          </w:p>
        </w:tc>
        <w:tc>
          <w:tcPr>
            <w:tcW w:w="450" w:type="dxa"/>
            <w:tcBorders>
              <w:bottom w:val="single" w:sz="4" w:space="0" w:color="auto"/>
            </w:tcBorders>
            <w:shd w:val="clear" w:color="auto" w:fill="FABF8F"/>
          </w:tcPr>
          <w:p w:rsidR="001A63C6" w:rsidRPr="003410C7" w:rsidRDefault="001A63C6" w:rsidP="001A63C6">
            <w:pPr>
              <w:pStyle w:val="TableText"/>
              <w:widowControl w:val="0"/>
              <w:spacing w:before="8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rsidR="001A63C6" w:rsidRPr="003410C7" w:rsidRDefault="001A63C6" w:rsidP="001A63C6">
            <w:pPr>
              <w:pStyle w:val="TableText"/>
              <w:widowControl w:val="0"/>
              <w:rPr>
                <w:rFonts w:ascii="Tahoma" w:hAnsi="Tahoma" w:cs="Tahoma"/>
                <w:sz w:val="13"/>
              </w:rPr>
            </w:pPr>
          </w:p>
        </w:tc>
        <w:tc>
          <w:tcPr>
            <w:tcW w:w="2970" w:type="dxa"/>
            <w:gridSpan w:val="7"/>
            <w:tcBorders>
              <w:left w:val="single" w:sz="18" w:space="0" w:color="auto"/>
              <w:bottom w:val="single" w:sz="4" w:space="0" w:color="auto"/>
              <w:right w:val="single" w:sz="18" w:space="0" w:color="auto"/>
            </w:tcBorders>
            <w:shd w:val="clear" w:color="auto" w:fill="FABF8F"/>
            <w:vAlign w:val="center"/>
          </w:tcPr>
          <w:p w:rsidR="001A63C6" w:rsidRPr="003410C7"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3410C7"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3410C7"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1A63C6" w:rsidRPr="003410C7"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3410C7"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1A63C6" w:rsidRPr="003410C7"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3410C7"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tcPr>
          <w:p w:rsidR="001A63C6" w:rsidRPr="003410C7" w:rsidRDefault="001A63C6" w:rsidP="001A63C6">
            <w:pPr>
              <w:pStyle w:val="TableText"/>
              <w:widowControl w:val="0"/>
              <w:spacing w:before="120"/>
              <w:rPr>
                <w:rFonts w:ascii="Tahoma" w:hAnsi="Tahoma" w:cs="Tahoma"/>
                <w:sz w:val="13"/>
              </w:rPr>
            </w:pPr>
          </w:p>
        </w:tc>
        <w:tc>
          <w:tcPr>
            <w:tcW w:w="540" w:type="dxa"/>
            <w:tcBorders>
              <w:bottom w:val="single" w:sz="4" w:space="0" w:color="auto"/>
            </w:tcBorders>
            <w:shd w:val="clear" w:color="auto" w:fill="FABF8F"/>
            <w:vAlign w:val="center"/>
          </w:tcPr>
          <w:p w:rsidR="001A63C6" w:rsidRPr="003410C7" w:rsidRDefault="001A63C6" w:rsidP="001A63C6">
            <w:pPr>
              <w:pStyle w:val="TableText"/>
              <w:widowControl w:val="0"/>
              <w:rPr>
                <w:rFonts w:ascii="Tahoma" w:hAnsi="Tahoma" w:cs="Tahoma"/>
                <w:sz w:val="13"/>
              </w:rPr>
            </w:pPr>
          </w:p>
        </w:tc>
      </w:tr>
      <w:tr w:rsidR="00B33D0E" w:rsidRPr="003410C7" w:rsidTr="006B1F3F">
        <w:trPr>
          <w:trHeight w:val="145"/>
        </w:trPr>
        <w:tc>
          <w:tcPr>
            <w:tcW w:w="2734" w:type="dxa"/>
            <w:gridSpan w:val="2"/>
            <w:tcBorders>
              <w:bottom w:val="single" w:sz="4" w:space="0" w:color="auto"/>
            </w:tcBorders>
            <w:shd w:val="clear" w:color="auto" w:fill="auto"/>
          </w:tcPr>
          <w:p w:rsidR="001A63C6" w:rsidRPr="003410C7" w:rsidRDefault="001A63C6" w:rsidP="001A63C6">
            <w:pPr>
              <w:pStyle w:val="ProductNames"/>
              <w:rPr>
                <w:rFonts w:ascii="Tahoma" w:hAnsi="Tahoma" w:cs="Tahoma"/>
                <w:sz w:val="14"/>
              </w:rPr>
            </w:pPr>
            <w:bookmarkStart w:id="269" w:name="_Toc336337974"/>
            <w:bookmarkStart w:id="270" w:name="_Toc352234592"/>
            <w:r w:rsidRPr="003410C7">
              <w:rPr>
                <w:rFonts w:ascii="Tahoma" w:hAnsi="Tahoma" w:cs="Tahoma"/>
                <w:sz w:val="14"/>
              </w:rPr>
              <w:t xml:space="preserve">Forefront Security for Office Communications Server </w:t>
            </w:r>
            <w:r w:rsidR="00ED4EE4">
              <w:rPr>
                <w:rFonts w:ascii="Tahoma" w:hAnsi="Tahoma" w:cs="Tahoma"/>
                <w:sz w:val="14"/>
              </w:rPr>
              <w:br/>
            </w:r>
            <w:r w:rsidRPr="003410C7">
              <w:rPr>
                <w:rFonts w:ascii="Tahoma" w:hAnsi="Tahoma" w:cs="Tahoma"/>
                <w:sz w:val="14"/>
              </w:rPr>
              <w:t>(SL per Dispositivo e Utente)</w:t>
            </w:r>
            <w:bookmarkEnd w:id="269"/>
            <w:bookmarkEnd w:id="270"/>
          </w:p>
        </w:tc>
        <w:tc>
          <w:tcPr>
            <w:tcW w:w="450" w:type="dxa"/>
            <w:tcBorders>
              <w:bottom w:val="single" w:sz="4" w:space="0" w:color="auto"/>
            </w:tcBorders>
            <w:shd w:val="clear" w:color="auto" w:fill="auto"/>
            <w:vAlign w:val="center"/>
          </w:tcPr>
          <w:p w:rsidR="001A63C6" w:rsidRPr="009F17FF" w:rsidRDefault="00FC1A4D" w:rsidP="00EF228F">
            <w:pPr>
              <w:pStyle w:val="TableText"/>
              <w:widowControl w:val="0"/>
              <w:rPr>
                <w:rStyle w:val="EndnoteReference"/>
                <w:rFonts w:cs="Tahoma"/>
                <w:color w:val="000000"/>
                <w:sz w:val="13"/>
                <w:szCs w:val="13"/>
                <w:u w:val="single"/>
              </w:rPr>
            </w:pPr>
            <w:hyperlink w:anchor="_58_Forefront_Security" w:history="1">
              <w:r w:rsidR="000D77F6" w:rsidRPr="009F17FF">
                <w:rPr>
                  <w:rStyle w:val="Hyperlink"/>
                  <w:b/>
                  <w:sz w:val="13"/>
                  <w:szCs w:val="13"/>
                </w:rPr>
                <w:t>58</w:t>
              </w:r>
            </w:hyperlink>
          </w:p>
        </w:tc>
        <w:tc>
          <w:tcPr>
            <w:tcW w:w="450" w:type="dxa"/>
            <w:tcBorders>
              <w:bottom w:val="single" w:sz="4" w:space="0" w:color="auto"/>
            </w:tcBorders>
            <w:shd w:val="clear" w:color="auto" w:fill="auto"/>
          </w:tcPr>
          <w:p w:rsidR="001A63C6" w:rsidRPr="003410C7" w:rsidRDefault="001A63C6" w:rsidP="001A63C6">
            <w:pPr>
              <w:pStyle w:val="TableText"/>
              <w:widowControl w:val="0"/>
              <w:spacing w:before="80"/>
              <w:rPr>
                <w:rFonts w:ascii="Tahoma" w:hAnsi="Tahoma" w:cs="Tahoma"/>
                <w:sz w:val="13"/>
              </w:rPr>
            </w:pPr>
          </w:p>
        </w:tc>
        <w:tc>
          <w:tcPr>
            <w:tcW w:w="360" w:type="dxa"/>
            <w:tcBorders>
              <w:bottom w:val="single" w:sz="4" w:space="0" w:color="auto"/>
              <w:right w:val="single" w:sz="18" w:space="0" w:color="auto"/>
            </w:tcBorders>
            <w:shd w:val="clear" w:color="auto" w:fill="auto"/>
            <w:vAlign w:val="center"/>
          </w:tcPr>
          <w:p w:rsidR="001A63C6" w:rsidRPr="003410C7" w:rsidRDefault="001A63C6" w:rsidP="001A63C6">
            <w:pPr>
              <w:pStyle w:val="TableText"/>
              <w:widowControl w:val="0"/>
              <w:rPr>
                <w:rFonts w:ascii="Tahoma" w:hAnsi="Tahoma" w:cs="Tahoma"/>
                <w:sz w:val="13"/>
              </w:rPr>
            </w:pPr>
          </w:p>
        </w:tc>
        <w:tc>
          <w:tcPr>
            <w:tcW w:w="2970" w:type="dxa"/>
            <w:gridSpan w:val="7"/>
            <w:tcBorders>
              <w:left w:val="single" w:sz="18" w:space="0" w:color="auto"/>
              <w:bottom w:val="single" w:sz="4" w:space="0" w:color="auto"/>
              <w:right w:val="single" w:sz="18" w:space="0" w:color="auto"/>
            </w:tcBorders>
            <w:shd w:val="clear" w:color="auto" w:fill="auto"/>
            <w:vAlign w:val="center"/>
          </w:tcPr>
          <w:p w:rsidR="001A63C6" w:rsidRPr="003410C7"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1A63C6" w:rsidRPr="003410C7"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3410C7"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1A63C6" w:rsidRPr="003410C7"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1A63C6" w:rsidRPr="003410C7"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1A63C6" w:rsidRPr="003410C7"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rsidR="001A63C6" w:rsidRPr="003410C7"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tcPr>
          <w:p w:rsidR="001A63C6" w:rsidRPr="003410C7" w:rsidRDefault="001A63C6" w:rsidP="001A63C6">
            <w:pPr>
              <w:pStyle w:val="TableText"/>
              <w:widowControl w:val="0"/>
              <w:spacing w:before="120"/>
              <w:rPr>
                <w:rFonts w:ascii="Tahoma" w:hAnsi="Tahoma" w:cs="Tahoma"/>
                <w:sz w:val="13"/>
              </w:rPr>
            </w:pPr>
          </w:p>
        </w:tc>
        <w:tc>
          <w:tcPr>
            <w:tcW w:w="540" w:type="dxa"/>
            <w:tcBorders>
              <w:bottom w:val="single" w:sz="4" w:space="0" w:color="auto"/>
            </w:tcBorders>
            <w:shd w:val="clear" w:color="auto" w:fill="auto"/>
            <w:vAlign w:val="center"/>
          </w:tcPr>
          <w:p w:rsidR="001A63C6" w:rsidRPr="003410C7" w:rsidRDefault="001A63C6" w:rsidP="001A63C6">
            <w:pPr>
              <w:pStyle w:val="TableText"/>
              <w:widowControl w:val="0"/>
              <w:rPr>
                <w:rFonts w:ascii="Tahoma" w:hAnsi="Tahoma" w:cs="Tahoma"/>
                <w:sz w:val="13"/>
              </w:rPr>
            </w:pPr>
          </w:p>
        </w:tc>
      </w:tr>
      <w:tr w:rsidR="00EF228F" w:rsidRPr="003410C7" w:rsidTr="006B1F3F">
        <w:trPr>
          <w:trHeight w:val="145"/>
        </w:trPr>
        <w:tc>
          <w:tcPr>
            <w:tcW w:w="2734" w:type="dxa"/>
            <w:gridSpan w:val="2"/>
            <w:tcBorders>
              <w:bottom w:val="single" w:sz="4" w:space="0" w:color="auto"/>
            </w:tcBorders>
            <w:shd w:val="clear" w:color="auto" w:fill="FABF8F"/>
          </w:tcPr>
          <w:p w:rsidR="001A63C6" w:rsidRPr="003410C7" w:rsidRDefault="001A63C6" w:rsidP="001A63C6">
            <w:pPr>
              <w:pStyle w:val="ProductNames"/>
              <w:rPr>
                <w:rFonts w:ascii="Tahoma" w:hAnsi="Tahoma" w:cs="Tahoma"/>
                <w:sz w:val="14"/>
              </w:rPr>
            </w:pPr>
            <w:bookmarkStart w:id="271" w:name="_Toc336337976"/>
            <w:bookmarkStart w:id="272" w:name="_Toc352234593"/>
            <w:r w:rsidRPr="003410C7">
              <w:rPr>
                <w:rFonts w:ascii="Tahoma" w:hAnsi="Tahoma" w:cs="Tahoma"/>
                <w:sz w:val="14"/>
              </w:rPr>
              <w:t>Forefront Protection 2010 for SharePoint (SL per Dispositivo e Utente)</w:t>
            </w:r>
            <w:bookmarkEnd w:id="271"/>
            <w:bookmarkEnd w:id="272"/>
          </w:p>
        </w:tc>
        <w:tc>
          <w:tcPr>
            <w:tcW w:w="450" w:type="dxa"/>
            <w:tcBorders>
              <w:bottom w:val="single" w:sz="4" w:space="0" w:color="auto"/>
            </w:tcBorders>
            <w:shd w:val="clear" w:color="auto" w:fill="FABF8F"/>
            <w:vAlign w:val="center"/>
          </w:tcPr>
          <w:p w:rsidR="001A63C6" w:rsidRPr="009F17FF" w:rsidRDefault="00FC1A4D" w:rsidP="004E5F2F">
            <w:pPr>
              <w:pStyle w:val="TableText"/>
              <w:widowControl w:val="0"/>
              <w:rPr>
                <w:rStyle w:val="EndnoteReference"/>
                <w:b w:val="0"/>
                <w:color w:val="000000"/>
                <w:sz w:val="13"/>
                <w:szCs w:val="13"/>
                <w:u w:val="single"/>
              </w:rPr>
            </w:pPr>
            <w:hyperlink w:anchor="_54_Forefront_Protection" w:history="1">
              <w:r w:rsidR="000D77F6" w:rsidRPr="009F17FF">
                <w:rPr>
                  <w:rStyle w:val="Hyperlink"/>
                  <w:b/>
                  <w:sz w:val="13"/>
                  <w:szCs w:val="13"/>
                </w:rPr>
                <w:t>56</w:t>
              </w:r>
            </w:hyperlink>
          </w:p>
        </w:tc>
        <w:tc>
          <w:tcPr>
            <w:tcW w:w="450" w:type="dxa"/>
            <w:tcBorders>
              <w:bottom w:val="single" w:sz="4" w:space="0" w:color="auto"/>
            </w:tcBorders>
            <w:shd w:val="clear" w:color="auto" w:fill="FABF8F"/>
          </w:tcPr>
          <w:p w:rsidR="001A63C6" w:rsidRPr="003410C7" w:rsidRDefault="001A63C6" w:rsidP="001A63C6">
            <w:pPr>
              <w:pStyle w:val="TableText"/>
              <w:widowControl w:val="0"/>
              <w:spacing w:before="8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rsidR="001A63C6" w:rsidRPr="003410C7" w:rsidRDefault="001A63C6" w:rsidP="001A63C6">
            <w:pPr>
              <w:pStyle w:val="TableText"/>
              <w:widowControl w:val="0"/>
              <w:rPr>
                <w:rFonts w:ascii="Tahoma" w:hAnsi="Tahoma" w:cs="Tahoma"/>
                <w:sz w:val="13"/>
              </w:rPr>
            </w:pPr>
          </w:p>
        </w:tc>
        <w:tc>
          <w:tcPr>
            <w:tcW w:w="2970" w:type="dxa"/>
            <w:gridSpan w:val="7"/>
            <w:tcBorders>
              <w:left w:val="single" w:sz="18" w:space="0" w:color="auto"/>
              <w:bottom w:val="single" w:sz="4" w:space="0" w:color="auto"/>
              <w:right w:val="single" w:sz="18" w:space="0" w:color="auto"/>
            </w:tcBorders>
            <w:shd w:val="clear" w:color="auto" w:fill="FABF8F"/>
            <w:vAlign w:val="center"/>
          </w:tcPr>
          <w:p w:rsidR="001A63C6" w:rsidRPr="003410C7"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3410C7"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3410C7"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1A63C6" w:rsidRPr="003410C7"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3410C7"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1A63C6" w:rsidRPr="003410C7"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3410C7"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tcPr>
          <w:p w:rsidR="001A63C6" w:rsidRPr="003410C7" w:rsidRDefault="001A63C6" w:rsidP="001A63C6">
            <w:pPr>
              <w:pStyle w:val="TableText"/>
              <w:widowControl w:val="0"/>
              <w:spacing w:before="120"/>
              <w:rPr>
                <w:rFonts w:ascii="Tahoma" w:hAnsi="Tahoma" w:cs="Tahoma"/>
                <w:sz w:val="13"/>
              </w:rPr>
            </w:pPr>
          </w:p>
        </w:tc>
        <w:tc>
          <w:tcPr>
            <w:tcW w:w="540" w:type="dxa"/>
            <w:tcBorders>
              <w:bottom w:val="single" w:sz="4" w:space="0" w:color="auto"/>
            </w:tcBorders>
            <w:shd w:val="clear" w:color="auto" w:fill="FABF8F"/>
            <w:vAlign w:val="center"/>
          </w:tcPr>
          <w:p w:rsidR="001A63C6" w:rsidRPr="003410C7" w:rsidRDefault="001A63C6" w:rsidP="001A63C6">
            <w:pPr>
              <w:pStyle w:val="TableText"/>
              <w:widowControl w:val="0"/>
              <w:rPr>
                <w:rFonts w:ascii="Tahoma" w:hAnsi="Tahoma" w:cs="Tahoma"/>
                <w:sz w:val="13"/>
              </w:rPr>
            </w:pPr>
          </w:p>
        </w:tc>
      </w:tr>
      <w:tr w:rsidR="00B33D0E" w:rsidRPr="003410C7" w:rsidTr="006B1F3F">
        <w:trPr>
          <w:trHeight w:val="145"/>
        </w:trPr>
        <w:tc>
          <w:tcPr>
            <w:tcW w:w="2734" w:type="dxa"/>
            <w:gridSpan w:val="2"/>
            <w:tcBorders>
              <w:bottom w:val="single" w:sz="4" w:space="0" w:color="auto"/>
            </w:tcBorders>
            <w:shd w:val="clear" w:color="auto" w:fill="auto"/>
          </w:tcPr>
          <w:p w:rsidR="001A63C6" w:rsidRPr="003410C7" w:rsidRDefault="001A63C6" w:rsidP="001A63C6">
            <w:pPr>
              <w:pStyle w:val="ProductNames"/>
              <w:rPr>
                <w:rFonts w:ascii="Tahoma" w:hAnsi="Tahoma" w:cs="Tahoma"/>
                <w:sz w:val="14"/>
              </w:rPr>
            </w:pPr>
            <w:bookmarkStart w:id="273" w:name="_Toc336337977"/>
            <w:bookmarkStart w:id="274" w:name="_Toc352234594"/>
            <w:r w:rsidRPr="003410C7">
              <w:rPr>
                <w:rFonts w:ascii="Tahoma" w:hAnsi="Tahoma" w:cs="Tahoma"/>
                <w:sz w:val="14"/>
              </w:rPr>
              <w:t>Forefront Protection 2010 for SharePoint per Siti Internet (SL Add-on)</w:t>
            </w:r>
            <w:bookmarkEnd w:id="273"/>
            <w:bookmarkEnd w:id="274"/>
          </w:p>
        </w:tc>
        <w:tc>
          <w:tcPr>
            <w:tcW w:w="450" w:type="dxa"/>
            <w:tcBorders>
              <w:bottom w:val="single" w:sz="4" w:space="0" w:color="auto"/>
            </w:tcBorders>
            <w:shd w:val="clear" w:color="auto" w:fill="auto"/>
            <w:vAlign w:val="center"/>
          </w:tcPr>
          <w:p w:rsidR="001A63C6" w:rsidRPr="009F17FF" w:rsidRDefault="00FC1A4D" w:rsidP="004E5F2F">
            <w:pPr>
              <w:pStyle w:val="TableText"/>
              <w:widowControl w:val="0"/>
              <w:rPr>
                <w:rStyle w:val="EndnoteReference"/>
                <w:b w:val="0"/>
                <w:color w:val="000000"/>
                <w:sz w:val="13"/>
                <w:szCs w:val="13"/>
                <w:u w:val="single"/>
              </w:rPr>
            </w:pPr>
            <w:hyperlink w:anchor="_54_Forefront_Protection" w:history="1">
              <w:r w:rsidR="000D77F6" w:rsidRPr="009F17FF">
                <w:rPr>
                  <w:rStyle w:val="Hyperlink"/>
                  <w:b/>
                  <w:sz w:val="13"/>
                  <w:szCs w:val="13"/>
                </w:rPr>
                <w:t>56</w:t>
              </w:r>
            </w:hyperlink>
          </w:p>
        </w:tc>
        <w:tc>
          <w:tcPr>
            <w:tcW w:w="450" w:type="dxa"/>
            <w:tcBorders>
              <w:bottom w:val="single" w:sz="4" w:space="0" w:color="auto"/>
            </w:tcBorders>
            <w:shd w:val="clear" w:color="auto" w:fill="auto"/>
          </w:tcPr>
          <w:p w:rsidR="001A63C6" w:rsidRPr="003410C7" w:rsidRDefault="001A63C6" w:rsidP="001A63C6">
            <w:pPr>
              <w:pStyle w:val="TableText"/>
              <w:widowControl w:val="0"/>
              <w:spacing w:before="80"/>
              <w:rPr>
                <w:rFonts w:ascii="Tahoma" w:hAnsi="Tahoma" w:cs="Tahoma"/>
                <w:sz w:val="13"/>
              </w:rPr>
            </w:pPr>
            <w:r w:rsidRPr="003410C7">
              <w:rPr>
                <w:rFonts w:ascii="Tahoma" w:hAnsi="Tahoma" w:cs="Tahoma"/>
                <w:sz w:val="13"/>
              </w:rPr>
              <w:t>04/10</w:t>
            </w:r>
          </w:p>
        </w:tc>
        <w:tc>
          <w:tcPr>
            <w:tcW w:w="360" w:type="dxa"/>
            <w:tcBorders>
              <w:bottom w:val="single" w:sz="4" w:space="0" w:color="auto"/>
              <w:right w:val="single" w:sz="18" w:space="0" w:color="auto"/>
            </w:tcBorders>
            <w:shd w:val="clear" w:color="auto" w:fill="auto"/>
            <w:vAlign w:val="center"/>
          </w:tcPr>
          <w:p w:rsidR="001A63C6" w:rsidRPr="003410C7" w:rsidRDefault="001A63C6" w:rsidP="001A63C6">
            <w:pPr>
              <w:pStyle w:val="TableText"/>
              <w:widowControl w:val="0"/>
              <w:rPr>
                <w:rFonts w:ascii="Tahoma" w:hAnsi="Tahoma" w:cs="Tahoma"/>
                <w:sz w:val="13"/>
              </w:rPr>
            </w:pPr>
            <w:r w:rsidRPr="003410C7">
              <w:rPr>
                <w:rFonts w:ascii="Tahoma" w:hAnsi="Tahoma" w:cs="Tahoma"/>
                <w:sz w:val="13"/>
              </w:rPr>
              <w:t>SRV</w:t>
            </w:r>
          </w:p>
        </w:tc>
        <w:tc>
          <w:tcPr>
            <w:tcW w:w="2970" w:type="dxa"/>
            <w:gridSpan w:val="7"/>
            <w:tcBorders>
              <w:left w:val="single" w:sz="18" w:space="0" w:color="auto"/>
              <w:bottom w:val="single" w:sz="4" w:space="0" w:color="auto"/>
              <w:right w:val="single" w:sz="18" w:space="0" w:color="auto"/>
            </w:tcBorders>
            <w:shd w:val="clear" w:color="auto" w:fill="auto"/>
            <w:vAlign w:val="center"/>
          </w:tcPr>
          <w:p w:rsidR="001A63C6" w:rsidRPr="003410C7" w:rsidRDefault="001A63C6" w:rsidP="001A63C6">
            <w:pPr>
              <w:pStyle w:val="TableText"/>
              <w:widowControl w:val="0"/>
              <w:rPr>
                <w:rFonts w:ascii="Tahoma" w:hAnsi="Tahoma" w:cs="Tahoma"/>
                <w:sz w:val="13"/>
              </w:rPr>
            </w:pPr>
            <w:r w:rsidRPr="003410C7">
              <w:rPr>
                <w:rFonts w:ascii="Tahoma" w:hAnsi="Tahoma" w:cs="Tahoma"/>
                <w:sz w:val="13"/>
              </w:rPr>
              <w:t>25 crediti</w:t>
            </w:r>
          </w:p>
        </w:tc>
        <w:tc>
          <w:tcPr>
            <w:tcW w:w="450" w:type="dxa"/>
            <w:tcBorders>
              <w:left w:val="single" w:sz="18" w:space="0" w:color="auto"/>
              <w:bottom w:val="single" w:sz="4" w:space="0" w:color="auto"/>
            </w:tcBorders>
            <w:shd w:val="clear" w:color="auto" w:fill="auto"/>
            <w:vAlign w:val="center"/>
          </w:tcPr>
          <w:p w:rsidR="001A63C6" w:rsidRPr="003410C7"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3410C7"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1A63C6" w:rsidRPr="003410C7"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1A63C6" w:rsidRPr="003410C7" w:rsidRDefault="001A63C6" w:rsidP="001A63C6">
            <w:pPr>
              <w:pStyle w:val="TableText"/>
              <w:widowControl w:val="0"/>
              <w:rPr>
                <w:rFonts w:ascii="Tahoma" w:hAnsi="Tahoma" w:cs="Tahoma"/>
                <w:sz w:val="13"/>
              </w:rPr>
            </w:pPr>
            <w:r w:rsidRPr="003410C7">
              <w:rPr>
                <w:rFonts w:ascii="Tahoma" w:hAnsi="Tahoma" w:cs="Tahoma"/>
                <w:sz w:val="13"/>
              </w:rPr>
              <w:t>25</w:t>
            </w:r>
          </w:p>
        </w:tc>
        <w:tc>
          <w:tcPr>
            <w:tcW w:w="450" w:type="dxa"/>
            <w:tcBorders>
              <w:bottom w:val="single" w:sz="4" w:space="0" w:color="auto"/>
              <w:right w:val="single" w:sz="18" w:space="0" w:color="auto"/>
            </w:tcBorders>
            <w:shd w:val="clear" w:color="auto" w:fill="auto"/>
            <w:vAlign w:val="center"/>
          </w:tcPr>
          <w:p w:rsidR="001A63C6" w:rsidRPr="003410C7" w:rsidRDefault="001A63C6" w:rsidP="001A63C6">
            <w:pPr>
              <w:pStyle w:val="TableText"/>
              <w:widowControl w:val="0"/>
              <w:rPr>
                <w:rFonts w:ascii="Tahoma" w:hAnsi="Tahoma" w:cs="Tahoma"/>
                <w:sz w:val="13"/>
              </w:rPr>
            </w:pPr>
            <w:r w:rsidRPr="003410C7">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rsidR="001A63C6" w:rsidRPr="003410C7" w:rsidRDefault="001A63C6" w:rsidP="001A63C6">
            <w:pPr>
              <w:pStyle w:val="TableText"/>
              <w:widowControl w:val="0"/>
              <w:rPr>
                <w:rFonts w:ascii="Tahoma" w:hAnsi="Tahoma" w:cs="Tahoma"/>
                <w:sz w:val="13"/>
              </w:rPr>
            </w:pPr>
            <w:r w:rsidRPr="003410C7">
              <w:rPr>
                <w:rFonts w:ascii="Tahoma" w:hAnsi="Tahoma" w:cs="Tahoma"/>
                <w:sz w:val="13"/>
              </w:rPr>
              <w:t>P</w:t>
            </w:r>
          </w:p>
        </w:tc>
        <w:tc>
          <w:tcPr>
            <w:tcW w:w="450" w:type="dxa"/>
            <w:tcBorders>
              <w:bottom w:val="single" w:sz="4" w:space="0" w:color="auto"/>
            </w:tcBorders>
            <w:shd w:val="clear" w:color="auto" w:fill="auto"/>
          </w:tcPr>
          <w:p w:rsidR="001A63C6" w:rsidRPr="003410C7" w:rsidRDefault="001A63C6" w:rsidP="001A63C6">
            <w:pPr>
              <w:pStyle w:val="TableText"/>
              <w:widowControl w:val="0"/>
              <w:spacing w:before="120"/>
              <w:rPr>
                <w:rFonts w:ascii="Tahoma" w:hAnsi="Tahoma" w:cs="Tahoma"/>
                <w:sz w:val="13"/>
              </w:rPr>
            </w:pPr>
            <w:r w:rsidRPr="003410C7">
              <w:rPr>
                <w:rFonts w:ascii="Tahoma" w:hAnsi="Tahoma" w:cs="Tahoma"/>
                <w:sz w:val="13"/>
              </w:rPr>
              <w:t>A</w:t>
            </w:r>
          </w:p>
        </w:tc>
        <w:tc>
          <w:tcPr>
            <w:tcW w:w="540" w:type="dxa"/>
            <w:tcBorders>
              <w:bottom w:val="single" w:sz="4" w:space="0" w:color="auto"/>
            </w:tcBorders>
            <w:shd w:val="clear" w:color="auto" w:fill="auto"/>
            <w:vAlign w:val="center"/>
          </w:tcPr>
          <w:p w:rsidR="001A63C6" w:rsidRPr="003410C7" w:rsidRDefault="001A63C6" w:rsidP="001A63C6">
            <w:pPr>
              <w:pStyle w:val="TableText"/>
              <w:widowControl w:val="0"/>
              <w:rPr>
                <w:rFonts w:ascii="Tahoma" w:hAnsi="Tahoma" w:cs="Tahoma"/>
                <w:sz w:val="13"/>
              </w:rPr>
            </w:pPr>
            <w:r w:rsidRPr="003410C7">
              <w:rPr>
                <w:rFonts w:ascii="Tahoma" w:hAnsi="Tahoma" w:cs="Tahoma"/>
                <w:sz w:val="13"/>
              </w:rPr>
              <w:t>OV</w:t>
            </w:r>
          </w:p>
        </w:tc>
      </w:tr>
      <w:tr w:rsidR="00EF228F" w:rsidRPr="003410C7" w:rsidTr="006B1F3F">
        <w:trPr>
          <w:trHeight w:val="145"/>
        </w:trPr>
        <w:tc>
          <w:tcPr>
            <w:tcW w:w="2734" w:type="dxa"/>
            <w:gridSpan w:val="2"/>
            <w:tcBorders>
              <w:bottom w:val="single" w:sz="4" w:space="0" w:color="auto"/>
            </w:tcBorders>
            <w:shd w:val="clear" w:color="auto" w:fill="FABF8F"/>
          </w:tcPr>
          <w:p w:rsidR="001A63C6" w:rsidRPr="003410C7" w:rsidRDefault="001A63C6" w:rsidP="00F57878">
            <w:pPr>
              <w:pStyle w:val="ProductNames"/>
              <w:rPr>
                <w:rFonts w:ascii="Tahoma" w:hAnsi="Tahoma" w:cs="Tahoma"/>
                <w:sz w:val="14"/>
              </w:rPr>
            </w:pPr>
            <w:bookmarkStart w:id="275" w:name="_Toc336337981"/>
            <w:bookmarkStart w:id="276" w:name="_Toc352234595"/>
            <w:r w:rsidRPr="003410C7">
              <w:rPr>
                <w:rFonts w:ascii="Tahoma" w:hAnsi="Tahoma" w:cs="Tahoma"/>
                <w:sz w:val="14"/>
              </w:rPr>
              <w:t>Forefront Threat Management Gateway</w:t>
            </w:r>
            <w:r w:rsidR="00F57878">
              <w:rPr>
                <w:rFonts w:ascii="Tahoma" w:hAnsi="Tahoma" w:cs="Tahoma"/>
                <w:sz w:val="14"/>
              </w:rPr>
              <w:t> </w:t>
            </w:r>
            <w:r w:rsidRPr="003410C7">
              <w:rPr>
                <w:rFonts w:ascii="Tahoma" w:hAnsi="Tahoma" w:cs="Tahoma"/>
                <w:sz w:val="14"/>
              </w:rPr>
              <w:t>Web Protection Services</w:t>
            </w:r>
            <w:bookmarkEnd w:id="275"/>
            <w:bookmarkEnd w:id="276"/>
            <w:r w:rsidRPr="003410C7">
              <w:rPr>
                <w:rFonts w:ascii="Tahoma" w:hAnsi="Tahoma" w:cs="Tahoma"/>
                <w:sz w:val="14"/>
              </w:rPr>
              <w:t xml:space="preserve"> </w:t>
            </w:r>
          </w:p>
        </w:tc>
        <w:tc>
          <w:tcPr>
            <w:tcW w:w="450" w:type="dxa"/>
            <w:tcBorders>
              <w:bottom w:val="single" w:sz="4" w:space="0" w:color="auto"/>
            </w:tcBorders>
            <w:shd w:val="clear" w:color="auto" w:fill="FABF8F"/>
            <w:vAlign w:val="center"/>
          </w:tcPr>
          <w:p w:rsidR="001A63C6" w:rsidRPr="009F17FF" w:rsidRDefault="00FC1A4D" w:rsidP="00EF228F">
            <w:pPr>
              <w:pStyle w:val="TableText"/>
              <w:widowControl w:val="0"/>
              <w:rPr>
                <w:rStyle w:val="EndnoteReference"/>
                <w:b w:val="0"/>
                <w:color w:val="0000FF"/>
                <w:sz w:val="13"/>
                <w:szCs w:val="13"/>
                <w:u w:val="single"/>
              </w:rPr>
            </w:pPr>
            <w:hyperlink w:anchor="_59_Forefront_Threat" w:history="1">
              <w:r w:rsidR="004E5F2F" w:rsidRPr="00854AAB">
                <w:rPr>
                  <w:rStyle w:val="Hyperlink"/>
                  <w:b/>
                  <w:sz w:val="13"/>
                  <w:szCs w:val="13"/>
                </w:rPr>
                <w:t>59</w:t>
              </w:r>
            </w:hyperlink>
          </w:p>
        </w:tc>
        <w:tc>
          <w:tcPr>
            <w:tcW w:w="450" w:type="dxa"/>
            <w:tcBorders>
              <w:bottom w:val="single" w:sz="4" w:space="0" w:color="auto"/>
            </w:tcBorders>
            <w:shd w:val="clear" w:color="auto" w:fill="FABF8F"/>
          </w:tcPr>
          <w:p w:rsidR="001A63C6" w:rsidRPr="003410C7" w:rsidRDefault="001A63C6" w:rsidP="001A63C6">
            <w:pPr>
              <w:pStyle w:val="TableText"/>
              <w:widowControl w:val="0"/>
              <w:spacing w:before="12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rsidR="001A63C6" w:rsidRPr="003410C7" w:rsidRDefault="001A63C6" w:rsidP="001A63C6">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FABF8F"/>
            <w:vAlign w:val="center"/>
          </w:tcPr>
          <w:p w:rsidR="001A63C6" w:rsidRPr="003410C7"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3410C7"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3410C7"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3410C7"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3410C7"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3410C7" w:rsidRDefault="001A63C6" w:rsidP="001A63C6">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rsidR="001A63C6" w:rsidRPr="003410C7"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3410C7"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3410C7"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1A63C6" w:rsidRPr="003410C7"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3410C7"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1A63C6" w:rsidRPr="003410C7"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3410C7"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tcPr>
          <w:p w:rsidR="001A63C6" w:rsidRPr="003410C7" w:rsidRDefault="001A63C6" w:rsidP="001A63C6">
            <w:pPr>
              <w:pStyle w:val="TableText"/>
              <w:widowControl w:val="0"/>
              <w:spacing w:before="120"/>
              <w:rPr>
                <w:rFonts w:ascii="Tahoma" w:hAnsi="Tahoma" w:cs="Tahoma"/>
                <w:sz w:val="13"/>
              </w:rPr>
            </w:pPr>
          </w:p>
        </w:tc>
        <w:tc>
          <w:tcPr>
            <w:tcW w:w="540" w:type="dxa"/>
            <w:tcBorders>
              <w:bottom w:val="single" w:sz="4" w:space="0" w:color="auto"/>
            </w:tcBorders>
            <w:shd w:val="clear" w:color="auto" w:fill="FABF8F"/>
            <w:vAlign w:val="center"/>
          </w:tcPr>
          <w:p w:rsidR="001A63C6" w:rsidRPr="003410C7" w:rsidRDefault="001A63C6" w:rsidP="001A63C6">
            <w:pPr>
              <w:pStyle w:val="TableText"/>
              <w:widowControl w:val="0"/>
              <w:rPr>
                <w:rFonts w:ascii="Tahoma" w:hAnsi="Tahoma" w:cs="Tahoma"/>
                <w:sz w:val="13"/>
              </w:rPr>
            </w:pPr>
          </w:p>
        </w:tc>
      </w:tr>
      <w:tr w:rsidR="00B33D0E" w:rsidRPr="003410C7" w:rsidTr="006B1F3F">
        <w:trPr>
          <w:trHeight w:val="145"/>
        </w:trPr>
        <w:tc>
          <w:tcPr>
            <w:tcW w:w="2734" w:type="dxa"/>
            <w:gridSpan w:val="2"/>
            <w:tcBorders>
              <w:bottom w:val="single" w:sz="4" w:space="0" w:color="auto"/>
            </w:tcBorders>
            <w:shd w:val="clear" w:color="auto" w:fill="auto"/>
          </w:tcPr>
          <w:p w:rsidR="001A63C6" w:rsidRPr="003410C7" w:rsidRDefault="001A63C6" w:rsidP="00F57878">
            <w:pPr>
              <w:pStyle w:val="ProductNames"/>
              <w:rPr>
                <w:rFonts w:ascii="Tahoma" w:hAnsi="Tahoma" w:cs="Tahoma"/>
                <w:sz w:val="14"/>
              </w:rPr>
            </w:pPr>
            <w:bookmarkStart w:id="277" w:name="_Toc336337982"/>
            <w:bookmarkStart w:id="278" w:name="_Toc352234596"/>
            <w:r w:rsidRPr="003410C7">
              <w:rPr>
                <w:rFonts w:ascii="Tahoma" w:hAnsi="Tahoma" w:cs="Tahoma"/>
                <w:sz w:val="14"/>
              </w:rPr>
              <w:t>Forefront Unified Access Gateway Server</w:t>
            </w:r>
            <w:r w:rsidR="00F57878">
              <w:rPr>
                <w:rFonts w:ascii="Tahoma" w:hAnsi="Tahoma" w:cs="Tahoma"/>
                <w:sz w:val="14"/>
              </w:rPr>
              <w:t> </w:t>
            </w:r>
            <w:r w:rsidRPr="003410C7">
              <w:rPr>
                <w:rFonts w:ascii="Tahoma" w:hAnsi="Tahoma" w:cs="Tahoma"/>
                <w:sz w:val="14"/>
              </w:rPr>
              <w:t>2010</w:t>
            </w:r>
            <w:bookmarkEnd w:id="277"/>
            <w:bookmarkEnd w:id="278"/>
          </w:p>
        </w:tc>
        <w:tc>
          <w:tcPr>
            <w:tcW w:w="450" w:type="dxa"/>
            <w:tcBorders>
              <w:bottom w:val="single" w:sz="4" w:space="0" w:color="auto"/>
            </w:tcBorders>
            <w:shd w:val="clear" w:color="auto" w:fill="auto"/>
            <w:vAlign w:val="center"/>
          </w:tcPr>
          <w:p w:rsidR="001A63C6" w:rsidRPr="009F17FF" w:rsidRDefault="00FC1A4D" w:rsidP="00EF228F">
            <w:pPr>
              <w:pStyle w:val="TableText"/>
              <w:widowControl w:val="0"/>
              <w:rPr>
                <w:b/>
                <w:color w:val="000000"/>
                <w:sz w:val="13"/>
                <w:szCs w:val="13"/>
                <w:u w:val="single"/>
              </w:rPr>
            </w:pPr>
            <w:hyperlink w:anchor="_60_Forefront_Unified" w:history="1">
              <w:r w:rsidR="00EF228F" w:rsidRPr="00854AAB">
                <w:rPr>
                  <w:rStyle w:val="Hyperlink"/>
                  <w:b/>
                  <w:sz w:val="13"/>
                  <w:szCs w:val="13"/>
                </w:rPr>
                <w:t>60</w:t>
              </w:r>
            </w:hyperlink>
            <w:hyperlink w:anchor="Srv_52ForefrontUnifiedAccessGtwy2010" w:history="1"/>
          </w:p>
        </w:tc>
        <w:tc>
          <w:tcPr>
            <w:tcW w:w="450" w:type="dxa"/>
            <w:tcBorders>
              <w:bottom w:val="single" w:sz="4" w:space="0" w:color="auto"/>
            </w:tcBorders>
            <w:shd w:val="clear" w:color="auto" w:fill="auto"/>
          </w:tcPr>
          <w:p w:rsidR="001A63C6" w:rsidRPr="003410C7" w:rsidRDefault="001A63C6" w:rsidP="001A63C6">
            <w:pPr>
              <w:pStyle w:val="TableText"/>
              <w:widowControl w:val="0"/>
              <w:spacing w:before="80"/>
              <w:rPr>
                <w:rFonts w:ascii="Tahoma" w:hAnsi="Tahoma" w:cs="Tahoma"/>
                <w:sz w:val="13"/>
              </w:rPr>
            </w:pPr>
            <w:r w:rsidRPr="003410C7">
              <w:rPr>
                <w:rFonts w:ascii="Tahoma" w:hAnsi="Tahoma" w:cs="Tahoma"/>
                <w:sz w:val="13"/>
              </w:rPr>
              <w:t>01/10</w:t>
            </w:r>
          </w:p>
        </w:tc>
        <w:tc>
          <w:tcPr>
            <w:tcW w:w="360" w:type="dxa"/>
            <w:tcBorders>
              <w:bottom w:val="single" w:sz="4" w:space="0" w:color="auto"/>
              <w:right w:val="single" w:sz="18" w:space="0" w:color="auto"/>
            </w:tcBorders>
            <w:shd w:val="clear" w:color="auto" w:fill="auto"/>
            <w:vAlign w:val="center"/>
          </w:tcPr>
          <w:p w:rsidR="001A63C6" w:rsidRPr="003410C7" w:rsidRDefault="001A63C6" w:rsidP="001A63C6">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auto"/>
            <w:vAlign w:val="center"/>
          </w:tcPr>
          <w:p w:rsidR="001A63C6" w:rsidRPr="003410C7" w:rsidRDefault="001A63C6" w:rsidP="001A63C6">
            <w:pPr>
              <w:pStyle w:val="TableText"/>
              <w:widowControl w:val="0"/>
              <w:rPr>
                <w:rFonts w:ascii="Tahoma" w:hAnsi="Tahoma" w:cs="Tahoma"/>
                <w:color w:val="000000"/>
                <w:sz w:val="13"/>
              </w:rPr>
            </w:pPr>
            <w:r w:rsidRPr="003410C7">
              <w:rPr>
                <w:rFonts w:ascii="Tahoma" w:hAnsi="Tahoma" w:cs="Tahoma"/>
                <w:color w:val="000000"/>
                <w:sz w:val="13"/>
              </w:rPr>
              <w:t>1</w:t>
            </w:r>
          </w:p>
        </w:tc>
        <w:tc>
          <w:tcPr>
            <w:tcW w:w="450" w:type="dxa"/>
            <w:tcBorders>
              <w:bottom w:val="single" w:sz="4" w:space="0" w:color="auto"/>
            </w:tcBorders>
            <w:shd w:val="clear" w:color="auto" w:fill="auto"/>
            <w:vAlign w:val="center"/>
          </w:tcPr>
          <w:p w:rsidR="001A63C6" w:rsidRPr="003410C7" w:rsidRDefault="001A63C6" w:rsidP="001A63C6">
            <w:pPr>
              <w:pStyle w:val="TableText"/>
              <w:widowControl w:val="0"/>
              <w:rPr>
                <w:rFonts w:ascii="Tahoma" w:hAnsi="Tahoma" w:cs="Tahoma"/>
                <w:color w:val="000000"/>
                <w:sz w:val="13"/>
              </w:rPr>
            </w:pPr>
            <w:r w:rsidRPr="003410C7">
              <w:rPr>
                <w:rFonts w:ascii="Tahoma" w:hAnsi="Tahoma" w:cs="Tahoma"/>
                <w:color w:val="000000"/>
                <w:sz w:val="13"/>
              </w:rPr>
              <w:t>3</w:t>
            </w:r>
          </w:p>
        </w:tc>
        <w:tc>
          <w:tcPr>
            <w:tcW w:w="450" w:type="dxa"/>
            <w:tcBorders>
              <w:bottom w:val="single" w:sz="4" w:space="0" w:color="auto"/>
            </w:tcBorders>
            <w:shd w:val="clear" w:color="auto" w:fill="auto"/>
            <w:vAlign w:val="center"/>
          </w:tcPr>
          <w:p w:rsidR="001A63C6" w:rsidRPr="003410C7" w:rsidRDefault="001A63C6" w:rsidP="001A63C6">
            <w:pPr>
              <w:pStyle w:val="TableText"/>
              <w:widowControl w:val="0"/>
              <w:rPr>
                <w:rFonts w:ascii="Tahoma" w:hAnsi="Tahoma" w:cs="Tahoma"/>
                <w:color w:val="000000"/>
                <w:sz w:val="13"/>
              </w:rPr>
            </w:pPr>
            <w:r w:rsidRPr="003410C7">
              <w:rPr>
                <w:rFonts w:ascii="Tahoma" w:hAnsi="Tahoma" w:cs="Tahoma"/>
                <w:color w:val="000000"/>
                <w:sz w:val="13"/>
              </w:rPr>
              <w:t>2</w:t>
            </w:r>
          </w:p>
        </w:tc>
        <w:tc>
          <w:tcPr>
            <w:tcW w:w="450" w:type="dxa"/>
            <w:tcBorders>
              <w:bottom w:val="single" w:sz="4" w:space="0" w:color="auto"/>
            </w:tcBorders>
            <w:shd w:val="clear" w:color="auto" w:fill="auto"/>
            <w:vAlign w:val="center"/>
          </w:tcPr>
          <w:p w:rsidR="001A63C6" w:rsidRPr="003410C7" w:rsidRDefault="001A63C6" w:rsidP="001A63C6">
            <w:pPr>
              <w:pStyle w:val="TableText"/>
              <w:widowControl w:val="0"/>
              <w:rPr>
                <w:rFonts w:ascii="Tahoma" w:hAnsi="Tahoma" w:cs="Tahoma"/>
                <w:color w:val="000000"/>
                <w:sz w:val="13"/>
              </w:rPr>
            </w:pPr>
            <w:r w:rsidRPr="003410C7">
              <w:rPr>
                <w:rFonts w:ascii="Tahoma" w:hAnsi="Tahoma" w:cs="Tahoma"/>
                <w:color w:val="000000"/>
                <w:sz w:val="13"/>
              </w:rPr>
              <w:t>2</w:t>
            </w:r>
          </w:p>
        </w:tc>
        <w:tc>
          <w:tcPr>
            <w:tcW w:w="450" w:type="dxa"/>
            <w:tcBorders>
              <w:bottom w:val="single" w:sz="4" w:space="0" w:color="auto"/>
            </w:tcBorders>
            <w:shd w:val="clear" w:color="auto" w:fill="auto"/>
            <w:vAlign w:val="center"/>
          </w:tcPr>
          <w:p w:rsidR="001A63C6" w:rsidRPr="003410C7" w:rsidRDefault="001A63C6" w:rsidP="001A63C6">
            <w:pPr>
              <w:pStyle w:val="TableText"/>
              <w:widowControl w:val="0"/>
              <w:rPr>
                <w:rFonts w:ascii="Tahoma" w:hAnsi="Tahoma" w:cs="Tahoma"/>
                <w:color w:val="000000"/>
                <w:sz w:val="13"/>
              </w:rPr>
            </w:pPr>
            <w:r w:rsidRPr="003410C7">
              <w:rPr>
                <w:rFonts w:ascii="Tahoma" w:hAnsi="Tahoma" w:cs="Tahoma"/>
                <w:color w:val="000000"/>
                <w:sz w:val="13"/>
              </w:rPr>
              <w:t>2</w:t>
            </w:r>
          </w:p>
        </w:tc>
        <w:tc>
          <w:tcPr>
            <w:tcW w:w="450" w:type="dxa"/>
            <w:tcBorders>
              <w:bottom w:val="single" w:sz="4" w:space="0" w:color="auto"/>
            </w:tcBorders>
            <w:shd w:val="clear" w:color="auto" w:fill="auto"/>
            <w:vAlign w:val="center"/>
          </w:tcPr>
          <w:p w:rsidR="001A63C6" w:rsidRPr="003410C7" w:rsidRDefault="001A63C6" w:rsidP="001A63C6">
            <w:pPr>
              <w:pStyle w:val="TableText"/>
              <w:widowControl w:val="0"/>
              <w:rPr>
                <w:rFonts w:ascii="Tahoma" w:hAnsi="Tahoma" w:cs="Tahoma"/>
                <w:color w:val="000000"/>
                <w:sz w:val="13"/>
              </w:rPr>
            </w:pPr>
            <w:r w:rsidRPr="003410C7">
              <w:rPr>
                <w:rFonts w:ascii="Tahoma" w:hAnsi="Tahoma" w:cs="Tahoma"/>
                <w:color w:val="000000"/>
                <w:sz w:val="13"/>
              </w:rPr>
              <w:t>1</w:t>
            </w:r>
          </w:p>
        </w:tc>
        <w:tc>
          <w:tcPr>
            <w:tcW w:w="360" w:type="dxa"/>
            <w:tcBorders>
              <w:bottom w:val="single" w:sz="4" w:space="0" w:color="auto"/>
              <w:right w:val="single" w:sz="18" w:space="0" w:color="auto"/>
            </w:tcBorders>
            <w:shd w:val="clear" w:color="auto" w:fill="auto"/>
            <w:vAlign w:val="center"/>
          </w:tcPr>
          <w:p w:rsidR="001A63C6" w:rsidRPr="003410C7" w:rsidRDefault="001A63C6" w:rsidP="001A63C6">
            <w:pPr>
              <w:pStyle w:val="TableText"/>
              <w:widowControl w:val="0"/>
              <w:rPr>
                <w:rFonts w:ascii="Tahoma" w:hAnsi="Tahoma" w:cs="Tahoma"/>
                <w:color w:val="000000"/>
                <w:sz w:val="13"/>
              </w:rPr>
            </w:pPr>
            <w:r w:rsidRPr="003410C7">
              <w:rPr>
                <w:rFonts w:ascii="Tahoma" w:hAnsi="Tahoma" w:cs="Tahoma"/>
                <w:color w:val="000000"/>
                <w:sz w:val="13"/>
              </w:rPr>
              <w:t>1</w:t>
            </w:r>
          </w:p>
        </w:tc>
        <w:tc>
          <w:tcPr>
            <w:tcW w:w="450" w:type="dxa"/>
            <w:tcBorders>
              <w:left w:val="single" w:sz="18" w:space="0" w:color="auto"/>
              <w:bottom w:val="single" w:sz="4" w:space="0" w:color="auto"/>
            </w:tcBorders>
            <w:shd w:val="clear" w:color="auto" w:fill="auto"/>
            <w:vAlign w:val="center"/>
          </w:tcPr>
          <w:p w:rsidR="001A63C6" w:rsidRPr="003410C7" w:rsidRDefault="001A63C6" w:rsidP="001A63C6">
            <w:pPr>
              <w:pStyle w:val="TableText"/>
              <w:widowControl w:val="0"/>
              <w:rPr>
                <w:rFonts w:ascii="Tahoma" w:hAnsi="Tahoma" w:cs="Tahoma"/>
                <w:color w:val="000000"/>
                <w:sz w:val="13"/>
              </w:rPr>
            </w:pPr>
            <w:r w:rsidRPr="003410C7">
              <w:rPr>
                <w:rFonts w:ascii="Tahoma" w:hAnsi="Tahoma" w:cs="Tahoma"/>
                <w:color w:val="000000"/>
                <w:sz w:val="13"/>
              </w:rPr>
              <w:t>1</w:t>
            </w:r>
          </w:p>
        </w:tc>
        <w:tc>
          <w:tcPr>
            <w:tcW w:w="450" w:type="dxa"/>
            <w:tcBorders>
              <w:bottom w:val="single" w:sz="4" w:space="0" w:color="auto"/>
            </w:tcBorders>
            <w:shd w:val="clear" w:color="auto" w:fill="auto"/>
            <w:vAlign w:val="center"/>
          </w:tcPr>
          <w:p w:rsidR="001A63C6" w:rsidRPr="003410C7" w:rsidRDefault="001A63C6" w:rsidP="001A63C6">
            <w:pPr>
              <w:pStyle w:val="TableText"/>
              <w:widowControl w:val="0"/>
              <w:rPr>
                <w:rFonts w:ascii="Tahoma" w:hAnsi="Tahoma" w:cs="Tahoma"/>
                <w:color w:val="000000"/>
                <w:sz w:val="13"/>
              </w:rPr>
            </w:pPr>
            <w:r w:rsidRPr="003410C7">
              <w:rPr>
                <w:rFonts w:ascii="Tahoma" w:hAnsi="Tahoma" w:cs="Tahoma"/>
                <w:color w:val="000000"/>
                <w:sz w:val="13"/>
              </w:rPr>
              <w:t>2</w:t>
            </w:r>
          </w:p>
        </w:tc>
        <w:tc>
          <w:tcPr>
            <w:tcW w:w="450" w:type="dxa"/>
            <w:tcBorders>
              <w:bottom w:val="single" w:sz="4" w:space="0" w:color="auto"/>
              <w:right w:val="single" w:sz="18" w:space="0" w:color="auto"/>
            </w:tcBorders>
            <w:shd w:val="clear" w:color="auto" w:fill="auto"/>
            <w:vAlign w:val="center"/>
          </w:tcPr>
          <w:p w:rsidR="001A63C6" w:rsidRPr="003410C7" w:rsidRDefault="001A63C6" w:rsidP="001A63C6">
            <w:pPr>
              <w:pStyle w:val="TableText"/>
              <w:widowControl w:val="0"/>
              <w:rPr>
                <w:rFonts w:ascii="Tahoma" w:hAnsi="Tahoma" w:cs="Tahoma"/>
                <w:color w:val="000000"/>
                <w:sz w:val="13"/>
              </w:rPr>
            </w:pPr>
            <w:r w:rsidRPr="003410C7">
              <w:rPr>
                <w:rFonts w:ascii="Tahoma" w:hAnsi="Tahoma" w:cs="Tahoma"/>
                <w:color w:val="000000"/>
                <w:sz w:val="13"/>
              </w:rPr>
              <w:t>1</w:t>
            </w:r>
          </w:p>
        </w:tc>
        <w:tc>
          <w:tcPr>
            <w:tcW w:w="450" w:type="dxa"/>
            <w:tcBorders>
              <w:left w:val="single" w:sz="18" w:space="0" w:color="auto"/>
              <w:bottom w:val="single" w:sz="4" w:space="0" w:color="auto"/>
            </w:tcBorders>
            <w:shd w:val="clear" w:color="auto" w:fill="auto"/>
            <w:vAlign w:val="center"/>
          </w:tcPr>
          <w:p w:rsidR="001A63C6" w:rsidRPr="003410C7" w:rsidRDefault="001A63C6" w:rsidP="001A63C6">
            <w:pPr>
              <w:pStyle w:val="TableText"/>
              <w:widowControl w:val="0"/>
              <w:rPr>
                <w:rFonts w:ascii="Tahoma" w:hAnsi="Tahoma" w:cs="Tahoma"/>
                <w:color w:val="000000"/>
                <w:sz w:val="13"/>
              </w:rPr>
            </w:pPr>
            <w:r w:rsidRPr="003410C7">
              <w:rPr>
                <w:rFonts w:ascii="Tahoma" w:hAnsi="Tahoma" w:cs="Tahoma"/>
                <w:color w:val="000000"/>
                <w:sz w:val="13"/>
              </w:rPr>
              <w:t>1</w:t>
            </w:r>
          </w:p>
        </w:tc>
        <w:tc>
          <w:tcPr>
            <w:tcW w:w="450" w:type="dxa"/>
            <w:tcBorders>
              <w:bottom w:val="single" w:sz="4" w:space="0" w:color="auto"/>
              <w:right w:val="single" w:sz="18" w:space="0" w:color="auto"/>
            </w:tcBorders>
            <w:shd w:val="clear" w:color="auto" w:fill="auto"/>
            <w:vAlign w:val="center"/>
          </w:tcPr>
          <w:p w:rsidR="001A63C6" w:rsidRPr="003410C7" w:rsidRDefault="001A63C6" w:rsidP="001A63C6">
            <w:pPr>
              <w:pStyle w:val="TableText"/>
              <w:widowControl w:val="0"/>
              <w:rPr>
                <w:rFonts w:ascii="Tahoma" w:hAnsi="Tahoma" w:cs="Tahoma"/>
                <w:color w:val="000000"/>
                <w:sz w:val="13"/>
              </w:rPr>
            </w:pPr>
            <w:r w:rsidRPr="003410C7">
              <w:rPr>
                <w:rFonts w:ascii="Tahoma" w:hAnsi="Tahoma" w:cs="Tahoma"/>
                <w:color w:val="000000"/>
                <w:sz w:val="13"/>
              </w:rPr>
              <w:t>A</w:t>
            </w:r>
          </w:p>
        </w:tc>
        <w:tc>
          <w:tcPr>
            <w:tcW w:w="450" w:type="dxa"/>
            <w:tcBorders>
              <w:left w:val="single" w:sz="18" w:space="0" w:color="auto"/>
              <w:bottom w:val="single" w:sz="4" w:space="0" w:color="auto"/>
              <w:right w:val="single" w:sz="18" w:space="0" w:color="auto"/>
            </w:tcBorders>
            <w:shd w:val="clear" w:color="auto" w:fill="auto"/>
            <w:vAlign w:val="center"/>
          </w:tcPr>
          <w:p w:rsidR="001A63C6" w:rsidRPr="003410C7" w:rsidRDefault="001A63C6" w:rsidP="001A63C6">
            <w:pPr>
              <w:pStyle w:val="TableText"/>
              <w:widowControl w:val="0"/>
              <w:rPr>
                <w:rFonts w:ascii="Tahoma" w:hAnsi="Tahoma" w:cs="Tahoma"/>
                <w:sz w:val="13"/>
              </w:rPr>
            </w:pPr>
            <w:r w:rsidRPr="003410C7">
              <w:rPr>
                <w:rFonts w:ascii="Tahoma" w:hAnsi="Tahoma" w:cs="Tahoma"/>
                <w:sz w:val="13"/>
              </w:rPr>
              <w:t>P</w:t>
            </w:r>
          </w:p>
        </w:tc>
        <w:tc>
          <w:tcPr>
            <w:tcW w:w="450" w:type="dxa"/>
            <w:tcBorders>
              <w:bottom w:val="single" w:sz="4" w:space="0" w:color="auto"/>
            </w:tcBorders>
            <w:shd w:val="clear" w:color="auto" w:fill="auto"/>
          </w:tcPr>
          <w:p w:rsidR="001A63C6" w:rsidRPr="003410C7" w:rsidRDefault="001A63C6" w:rsidP="001A63C6">
            <w:pPr>
              <w:pStyle w:val="TableText"/>
              <w:widowControl w:val="0"/>
              <w:spacing w:before="120"/>
              <w:rPr>
                <w:rFonts w:ascii="Tahoma" w:hAnsi="Tahoma" w:cs="Tahoma"/>
                <w:sz w:val="13"/>
              </w:rPr>
            </w:pPr>
            <w:r w:rsidRPr="003410C7">
              <w:rPr>
                <w:rFonts w:ascii="Tahoma" w:hAnsi="Tahoma" w:cs="Tahoma"/>
                <w:sz w:val="13"/>
              </w:rPr>
              <w:t>A</w:t>
            </w:r>
          </w:p>
        </w:tc>
        <w:tc>
          <w:tcPr>
            <w:tcW w:w="540" w:type="dxa"/>
            <w:tcBorders>
              <w:bottom w:val="single" w:sz="4" w:space="0" w:color="auto"/>
            </w:tcBorders>
            <w:shd w:val="clear" w:color="auto" w:fill="auto"/>
            <w:vAlign w:val="center"/>
          </w:tcPr>
          <w:p w:rsidR="001A63C6" w:rsidRPr="003410C7" w:rsidRDefault="001A63C6" w:rsidP="001A63C6">
            <w:pPr>
              <w:pStyle w:val="TableText"/>
              <w:widowControl w:val="0"/>
              <w:rPr>
                <w:rFonts w:ascii="Tahoma" w:hAnsi="Tahoma" w:cs="Tahoma"/>
                <w:sz w:val="13"/>
              </w:rPr>
            </w:pPr>
          </w:p>
        </w:tc>
      </w:tr>
      <w:tr w:rsidR="00EF228F" w:rsidRPr="003410C7" w:rsidTr="006B1F3F">
        <w:trPr>
          <w:trHeight w:val="145"/>
        </w:trPr>
        <w:tc>
          <w:tcPr>
            <w:tcW w:w="2734" w:type="dxa"/>
            <w:gridSpan w:val="2"/>
            <w:tcBorders>
              <w:bottom w:val="single" w:sz="4" w:space="0" w:color="auto"/>
            </w:tcBorders>
            <w:shd w:val="clear" w:color="auto" w:fill="FABF8F"/>
          </w:tcPr>
          <w:p w:rsidR="001A63C6" w:rsidRPr="003410C7" w:rsidRDefault="001A63C6" w:rsidP="00F57878">
            <w:pPr>
              <w:pStyle w:val="ProductNames"/>
              <w:rPr>
                <w:rFonts w:ascii="Tahoma" w:hAnsi="Tahoma" w:cs="Tahoma"/>
                <w:sz w:val="14"/>
              </w:rPr>
            </w:pPr>
            <w:bookmarkStart w:id="279" w:name="_Toc336337983"/>
            <w:bookmarkStart w:id="280" w:name="_Toc352234597"/>
            <w:r w:rsidRPr="003410C7">
              <w:rPr>
                <w:rFonts w:ascii="Tahoma" w:hAnsi="Tahoma" w:cs="Tahoma"/>
                <w:sz w:val="14"/>
              </w:rPr>
              <w:lastRenderedPageBreak/>
              <w:t>External Connector per Forefront</w:t>
            </w:r>
            <w:r w:rsidR="00F57878">
              <w:rPr>
                <w:rFonts w:ascii="Tahoma" w:hAnsi="Tahoma" w:cs="Tahoma"/>
                <w:sz w:val="14"/>
              </w:rPr>
              <w:t> </w:t>
            </w:r>
            <w:r w:rsidRPr="003410C7">
              <w:rPr>
                <w:rFonts w:ascii="Tahoma" w:hAnsi="Tahoma" w:cs="Tahoma"/>
                <w:sz w:val="14"/>
              </w:rPr>
              <w:t>Unified</w:t>
            </w:r>
            <w:r w:rsidR="00F57878">
              <w:rPr>
                <w:rFonts w:ascii="Tahoma" w:hAnsi="Tahoma" w:cs="Tahoma"/>
                <w:sz w:val="14"/>
              </w:rPr>
              <w:t> </w:t>
            </w:r>
            <w:r w:rsidRPr="003410C7">
              <w:rPr>
                <w:rFonts w:ascii="Tahoma" w:hAnsi="Tahoma" w:cs="Tahoma"/>
                <w:sz w:val="14"/>
              </w:rPr>
              <w:t>Access Gateway 2010</w:t>
            </w:r>
            <w:bookmarkEnd w:id="279"/>
            <w:bookmarkEnd w:id="280"/>
          </w:p>
        </w:tc>
        <w:tc>
          <w:tcPr>
            <w:tcW w:w="450" w:type="dxa"/>
            <w:tcBorders>
              <w:bottom w:val="single" w:sz="4" w:space="0" w:color="auto"/>
            </w:tcBorders>
            <w:shd w:val="clear" w:color="auto" w:fill="FABF8F"/>
            <w:vAlign w:val="center"/>
          </w:tcPr>
          <w:p w:rsidR="001A63C6" w:rsidRPr="009F17FF" w:rsidRDefault="00FC1A4D" w:rsidP="00EF228F">
            <w:pPr>
              <w:pStyle w:val="TableText"/>
              <w:widowControl w:val="0"/>
              <w:rPr>
                <w:b/>
                <w:color w:val="000000"/>
                <w:sz w:val="13"/>
                <w:szCs w:val="13"/>
                <w:u w:val="single"/>
              </w:rPr>
            </w:pPr>
            <w:hyperlink w:anchor="_60_Forefront_Unified" w:history="1">
              <w:r w:rsidR="00854AAB" w:rsidRPr="00854AAB">
                <w:rPr>
                  <w:rStyle w:val="Hyperlink"/>
                  <w:b/>
                  <w:sz w:val="13"/>
                  <w:szCs w:val="13"/>
                </w:rPr>
                <w:t>60</w:t>
              </w:r>
            </w:hyperlink>
            <w:hyperlink w:anchor="Srv_56ForefrontUnifiedAccessGtwy2010" w:history="1"/>
          </w:p>
        </w:tc>
        <w:tc>
          <w:tcPr>
            <w:tcW w:w="450" w:type="dxa"/>
            <w:tcBorders>
              <w:bottom w:val="single" w:sz="4" w:space="0" w:color="auto"/>
            </w:tcBorders>
            <w:shd w:val="clear" w:color="auto" w:fill="FABF8F"/>
          </w:tcPr>
          <w:p w:rsidR="001A63C6" w:rsidRPr="003410C7" w:rsidRDefault="001A63C6" w:rsidP="001A63C6">
            <w:pPr>
              <w:pStyle w:val="TableText"/>
              <w:widowControl w:val="0"/>
              <w:spacing w:before="80"/>
              <w:rPr>
                <w:rFonts w:ascii="Tahoma" w:hAnsi="Tahoma" w:cs="Tahoma"/>
                <w:sz w:val="13"/>
              </w:rPr>
            </w:pPr>
            <w:r w:rsidRPr="003410C7">
              <w:rPr>
                <w:rFonts w:ascii="Tahoma" w:hAnsi="Tahoma" w:cs="Tahoma"/>
                <w:sz w:val="13"/>
              </w:rPr>
              <w:t>01/10</w:t>
            </w:r>
          </w:p>
        </w:tc>
        <w:tc>
          <w:tcPr>
            <w:tcW w:w="360" w:type="dxa"/>
            <w:tcBorders>
              <w:bottom w:val="single" w:sz="4" w:space="0" w:color="auto"/>
              <w:right w:val="single" w:sz="18" w:space="0" w:color="auto"/>
            </w:tcBorders>
            <w:shd w:val="clear" w:color="auto" w:fill="FABF8F"/>
            <w:vAlign w:val="center"/>
          </w:tcPr>
          <w:p w:rsidR="001A63C6" w:rsidRPr="003410C7" w:rsidRDefault="001A63C6" w:rsidP="001A63C6">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FABF8F"/>
            <w:vAlign w:val="center"/>
          </w:tcPr>
          <w:p w:rsidR="001A63C6" w:rsidRPr="003410C7" w:rsidRDefault="001A63C6" w:rsidP="001A63C6">
            <w:pPr>
              <w:pStyle w:val="TableText"/>
              <w:widowControl w:val="0"/>
              <w:rPr>
                <w:rFonts w:ascii="Tahoma" w:hAnsi="Tahoma" w:cs="Tahoma"/>
                <w:color w:val="000000"/>
                <w:sz w:val="13"/>
              </w:rPr>
            </w:pPr>
            <w:r w:rsidRPr="003410C7">
              <w:rPr>
                <w:rFonts w:ascii="Tahoma" w:hAnsi="Tahoma" w:cs="Tahoma"/>
                <w:color w:val="000000"/>
                <w:sz w:val="13"/>
              </w:rPr>
              <w:t>200</w:t>
            </w:r>
          </w:p>
        </w:tc>
        <w:tc>
          <w:tcPr>
            <w:tcW w:w="450" w:type="dxa"/>
            <w:tcBorders>
              <w:bottom w:val="single" w:sz="4" w:space="0" w:color="auto"/>
            </w:tcBorders>
            <w:shd w:val="clear" w:color="auto" w:fill="FABF8F"/>
            <w:vAlign w:val="center"/>
          </w:tcPr>
          <w:p w:rsidR="001A63C6" w:rsidRPr="003410C7" w:rsidRDefault="001A63C6" w:rsidP="001A63C6">
            <w:pPr>
              <w:pStyle w:val="TableText"/>
              <w:widowControl w:val="0"/>
              <w:rPr>
                <w:rFonts w:ascii="Tahoma" w:hAnsi="Tahoma" w:cs="Tahoma"/>
                <w:color w:val="000000"/>
                <w:sz w:val="13"/>
              </w:rPr>
            </w:pPr>
            <w:r w:rsidRPr="003410C7">
              <w:rPr>
                <w:rFonts w:ascii="Tahoma" w:hAnsi="Tahoma" w:cs="Tahoma"/>
                <w:color w:val="000000"/>
                <w:sz w:val="13"/>
              </w:rPr>
              <w:t>500</w:t>
            </w:r>
          </w:p>
        </w:tc>
        <w:tc>
          <w:tcPr>
            <w:tcW w:w="450" w:type="dxa"/>
            <w:tcBorders>
              <w:bottom w:val="single" w:sz="4" w:space="0" w:color="auto"/>
            </w:tcBorders>
            <w:shd w:val="clear" w:color="auto" w:fill="FABF8F"/>
            <w:vAlign w:val="center"/>
          </w:tcPr>
          <w:p w:rsidR="001A63C6" w:rsidRPr="003410C7" w:rsidRDefault="001A63C6" w:rsidP="001A63C6">
            <w:pPr>
              <w:pStyle w:val="TableText"/>
              <w:widowControl w:val="0"/>
              <w:rPr>
                <w:rFonts w:ascii="Tahoma" w:hAnsi="Tahoma" w:cs="Tahoma"/>
                <w:color w:val="000000"/>
                <w:sz w:val="13"/>
              </w:rPr>
            </w:pPr>
            <w:r w:rsidRPr="003410C7">
              <w:rPr>
                <w:rFonts w:ascii="Tahoma" w:hAnsi="Tahoma" w:cs="Tahoma"/>
                <w:color w:val="000000"/>
                <w:sz w:val="13"/>
              </w:rPr>
              <w:t>400</w:t>
            </w:r>
          </w:p>
        </w:tc>
        <w:tc>
          <w:tcPr>
            <w:tcW w:w="450" w:type="dxa"/>
            <w:tcBorders>
              <w:bottom w:val="single" w:sz="4" w:space="0" w:color="auto"/>
            </w:tcBorders>
            <w:shd w:val="clear" w:color="auto" w:fill="FABF8F"/>
            <w:vAlign w:val="center"/>
          </w:tcPr>
          <w:p w:rsidR="001A63C6" w:rsidRPr="003410C7" w:rsidRDefault="001A63C6" w:rsidP="001A63C6">
            <w:pPr>
              <w:pStyle w:val="TableText"/>
              <w:widowControl w:val="0"/>
              <w:rPr>
                <w:rFonts w:ascii="Tahoma" w:hAnsi="Tahoma" w:cs="Tahoma"/>
                <w:color w:val="000000"/>
                <w:sz w:val="13"/>
              </w:rPr>
            </w:pPr>
            <w:r w:rsidRPr="003410C7">
              <w:rPr>
                <w:rFonts w:ascii="Tahoma" w:hAnsi="Tahoma" w:cs="Tahoma"/>
                <w:color w:val="000000"/>
                <w:sz w:val="13"/>
              </w:rPr>
              <w:t>300</w:t>
            </w:r>
          </w:p>
        </w:tc>
        <w:tc>
          <w:tcPr>
            <w:tcW w:w="450" w:type="dxa"/>
            <w:tcBorders>
              <w:bottom w:val="single" w:sz="4" w:space="0" w:color="auto"/>
            </w:tcBorders>
            <w:shd w:val="clear" w:color="auto" w:fill="FABF8F"/>
            <w:vAlign w:val="center"/>
          </w:tcPr>
          <w:p w:rsidR="001A63C6" w:rsidRPr="003410C7" w:rsidRDefault="001A63C6" w:rsidP="001A63C6">
            <w:pPr>
              <w:pStyle w:val="TableText"/>
              <w:widowControl w:val="0"/>
              <w:rPr>
                <w:rFonts w:ascii="Tahoma" w:hAnsi="Tahoma" w:cs="Tahoma"/>
                <w:color w:val="000000"/>
                <w:sz w:val="13"/>
              </w:rPr>
            </w:pPr>
            <w:r w:rsidRPr="003410C7">
              <w:rPr>
                <w:rFonts w:ascii="Tahoma" w:hAnsi="Tahoma" w:cs="Tahoma"/>
                <w:color w:val="000000"/>
                <w:sz w:val="13"/>
              </w:rPr>
              <w:t>300</w:t>
            </w:r>
          </w:p>
        </w:tc>
        <w:tc>
          <w:tcPr>
            <w:tcW w:w="450" w:type="dxa"/>
            <w:tcBorders>
              <w:bottom w:val="single" w:sz="4" w:space="0" w:color="auto"/>
            </w:tcBorders>
            <w:shd w:val="clear" w:color="auto" w:fill="FABF8F"/>
            <w:vAlign w:val="center"/>
          </w:tcPr>
          <w:p w:rsidR="001A63C6" w:rsidRPr="003410C7" w:rsidRDefault="001A63C6" w:rsidP="001A63C6">
            <w:pPr>
              <w:pStyle w:val="TableText"/>
              <w:widowControl w:val="0"/>
              <w:rPr>
                <w:rFonts w:ascii="Tahoma" w:hAnsi="Tahoma" w:cs="Tahoma"/>
                <w:color w:val="000000"/>
                <w:sz w:val="13"/>
              </w:rPr>
            </w:pPr>
            <w:r w:rsidRPr="003410C7">
              <w:rPr>
                <w:rFonts w:ascii="Tahoma" w:hAnsi="Tahoma" w:cs="Tahoma"/>
                <w:color w:val="000000"/>
                <w:sz w:val="13"/>
              </w:rPr>
              <w:t>200</w:t>
            </w:r>
          </w:p>
        </w:tc>
        <w:tc>
          <w:tcPr>
            <w:tcW w:w="360" w:type="dxa"/>
            <w:tcBorders>
              <w:bottom w:val="single" w:sz="4" w:space="0" w:color="auto"/>
              <w:right w:val="single" w:sz="18" w:space="0" w:color="auto"/>
            </w:tcBorders>
            <w:shd w:val="clear" w:color="auto" w:fill="FABF8F"/>
            <w:vAlign w:val="center"/>
          </w:tcPr>
          <w:p w:rsidR="001A63C6" w:rsidRPr="003410C7" w:rsidRDefault="001A63C6" w:rsidP="001A63C6">
            <w:pPr>
              <w:pStyle w:val="TableText"/>
              <w:widowControl w:val="0"/>
              <w:rPr>
                <w:rFonts w:ascii="Tahoma" w:hAnsi="Tahoma" w:cs="Tahoma"/>
                <w:color w:val="000000"/>
                <w:sz w:val="13"/>
              </w:rPr>
            </w:pPr>
            <w:r w:rsidRPr="003410C7">
              <w:rPr>
                <w:rFonts w:ascii="Tahoma" w:hAnsi="Tahoma" w:cs="Tahoma"/>
                <w:color w:val="000000"/>
                <w:sz w:val="13"/>
              </w:rPr>
              <w:t>100</w:t>
            </w:r>
          </w:p>
        </w:tc>
        <w:tc>
          <w:tcPr>
            <w:tcW w:w="450" w:type="dxa"/>
            <w:tcBorders>
              <w:left w:val="single" w:sz="18" w:space="0" w:color="auto"/>
              <w:bottom w:val="single" w:sz="4" w:space="0" w:color="auto"/>
            </w:tcBorders>
            <w:shd w:val="clear" w:color="auto" w:fill="FABF8F"/>
            <w:vAlign w:val="center"/>
          </w:tcPr>
          <w:p w:rsidR="001A63C6" w:rsidRPr="003410C7" w:rsidRDefault="001A63C6" w:rsidP="001A63C6">
            <w:pPr>
              <w:pStyle w:val="TableText"/>
              <w:widowControl w:val="0"/>
              <w:rPr>
                <w:rFonts w:ascii="Tahoma" w:hAnsi="Tahoma" w:cs="Tahoma"/>
                <w:color w:val="000000"/>
                <w:sz w:val="13"/>
              </w:rPr>
            </w:pPr>
            <w:r w:rsidRPr="003410C7">
              <w:rPr>
                <w:rFonts w:ascii="Tahoma" w:hAnsi="Tahoma" w:cs="Tahoma"/>
                <w:color w:val="000000"/>
                <w:sz w:val="13"/>
              </w:rPr>
              <w:t>200</w:t>
            </w:r>
          </w:p>
        </w:tc>
        <w:tc>
          <w:tcPr>
            <w:tcW w:w="450" w:type="dxa"/>
            <w:tcBorders>
              <w:bottom w:val="single" w:sz="4" w:space="0" w:color="auto"/>
            </w:tcBorders>
            <w:shd w:val="clear" w:color="auto" w:fill="FABF8F"/>
            <w:vAlign w:val="center"/>
          </w:tcPr>
          <w:p w:rsidR="001A63C6" w:rsidRPr="003410C7" w:rsidRDefault="001A63C6" w:rsidP="001A63C6">
            <w:pPr>
              <w:pStyle w:val="TableText"/>
              <w:widowControl w:val="0"/>
              <w:rPr>
                <w:rFonts w:ascii="Tahoma" w:hAnsi="Tahoma" w:cs="Tahoma"/>
                <w:color w:val="000000"/>
                <w:sz w:val="13"/>
              </w:rPr>
            </w:pPr>
            <w:r w:rsidRPr="003410C7">
              <w:rPr>
                <w:rFonts w:ascii="Tahoma" w:hAnsi="Tahoma" w:cs="Tahoma"/>
                <w:color w:val="000000"/>
                <w:sz w:val="13"/>
              </w:rPr>
              <w:t>400</w:t>
            </w:r>
          </w:p>
        </w:tc>
        <w:tc>
          <w:tcPr>
            <w:tcW w:w="450" w:type="dxa"/>
            <w:tcBorders>
              <w:bottom w:val="single" w:sz="4" w:space="0" w:color="auto"/>
              <w:right w:val="single" w:sz="18" w:space="0" w:color="auto"/>
            </w:tcBorders>
            <w:shd w:val="clear" w:color="auto" w:fill="FABF8F"/>
            <w:vAlign w:val="center"/>
          </w:tcPr>
          <w:p w:rsidR="001A63C6" w:rsidRPr="003410C7" w:rsidRDefault="001A63C6" w:rsidP="001A63C6">
            <w:pPr>
              <w:pStyle w:val="TableText"/>
              <w:widowControl w:val="0"/>
              <w:rPr>
                <w:rFonts w:ascii="Tahoma" w:hAnsi="Tahoma" w:cs="Tahoma"/>
                <w:color w:val="000000"/>
                <w:sz w:val="13"/>
              </w:rPr>
            </w:pPr>
            <w:r w:rsidRPr="003410C7">
              <w:rPr>
                <w:rFonts w:ascii="Tahoma" w:hAnsi="Tahoma" w:cs="Tahoma"/>
                <w:color w:val="000000"/>
                <w:sz w:val="13"/>
              </w:rPr>
              <w:t>200</w:t>
            </w:r>
          </w:p>
        </w:tc>
        <w:tc>
          <w:tcPr>
            <w:tcW w:w="450" w:type="dxa"/>
            <w:tcBorders>
              <w:left w:val="single" w:sz="18" w:space="0" w:color="auto"/>
              <w:bottom w:val="single" w:sz="4" w:space="0" w:color="auto"/>
            </w:tcBorders>
            <w:shd w:val="clear" w:color="auto" w:fill="FABF8F"/>
            <w:vAlign w:val="center"/>
          </w:tcPr>
          <w:p w:rsidR="001A63C6" w:rsidRPr="003410C7" w:rsidRDefault="001A63C6" w:rsidP="001A63C6">
            <w:pPr>
              <w:pStyle w:val="TableText"/>
              <w:widowControl w:val="0"/>
              <w:rPr>
                <w:rFonts w:ascii="Tahoma" w:hAnsi="Tahoma" w:cs="Tahoma"/>
                <w:color w:val="000000"/>
                <w:sz w:val="13"/>
              </w:rPr>
            </w:pPr>
            <w:r w:rsidRPr="003410C7">
              <w:rPr>
                <w:rFonts w:ascii="Tahoma" w:hAnsi="Tahoma" w:cs="Tahoma"/>
                <w:color w:val="000000"/>
                <w:sz w:val="13"/>
              </w:rPr>
              <w:t>200</w:t>
            </w:r>
          </w:p>
        </w:tc>
        <w:tc>
          <w:tcPr>
            <w:tcW w:w="450" w:type="dxa"/>
            <w:tcBorders>
              <w:bottom w:val="single" w:sz="4" w:space="0" w:color="auto"/>
              <w:right w:val="single" w:sz="18" w:space="0" w:color="auto"/>
            </w:tcBorders>
            <w:shd w:val="clear" w:color="auto" w:fill="FABF8F"/>
            <w:vAlign w:val="center"/>
          </w:tcPr>
          <w:p w:rsidR="001A63C6" w:rsidRPr="003410C7" w:rsidRDefault="001A63C6" w:rsidP="001A63C6">
            <w:pPr>
              <w:pStyle w:val="TableText"/>
              <w:widowControl w:val="0"/>
              <w:rPr>
                <w:rFonts w:ascii="Tahoma" w:hAnsi="Tahoma" w:cs="Tahoma"/>
                <w:color w:val="000000"/>
                <w:sz w:val="13"/>
              </w:rPr>
            </w:pPr>
            <w:r w:rsidRPr="003410C7">
              <w:rPr>
                <w:rFonts w:ascii="Tahoma" w:hAnsi="Tahoma" w:cs="Tahoma"/>
                <w:color w:val="000000"/>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3410C7" w:rsidRDefault="001A63C6" w:rsidP="001A63C6">
            <w:pPr>
              <w:pStyle w:val="TableText"/>
              <w:widowControl w:val="0"/>
              <w:rPr>
                <w:rFonts w:ascii="Tahoma" w:hAnsi="Tahoma" w:cs="Tahoma"/>
                <w:sz w:val="13"/>
              </w:rPr>
            </w:pPr>
            <w:r w:rsidRPr="003410C7">
              <w:rPr>
                <w:rFonts w:ascii="Tahoma" w:hAnsi="Tahoma" w:cs="Tahoma"/>
                <w:sz w:val="13"/>
              </w:rPr>
              <w:t>P</w:t>
            </w:r>
          </w:p>
        </w:tc>
        <w:tc>
          <w:tcPr>
            <w:tcW w:w="450" w:type="dxa"/>
            <w:tcBorders>
              <w:bottom w:val="single" w:sz="4" w:space="0" w:color="auto"/>
            </w:tcBorders>
            <w:shd w:val="clear" w:color="auto" w:fill="FABF8F"/>
          </w:tcPr>
          <w:p w:rsidR="001A63C6" w:rsidRPr="003410C7" w:rsidRDefault="001A63C6" w:rsidP="001A63C6">
            <w:pPr>
              <w:pStyle w:val="TableText"/>
              <w:widowControl w:val="0"/>
              <w:spacing w:before="120"/>
              <w:rPr>
                <w:rFonts w:ascii="Tahoma" w:hAnsi="Tahoma" w:cs="Tahoma"/>
                <w:sz w:val="13"/>
              </w:rPr>
            </w:pPr>
            <w:r w:rsidRPr="003410C7">
              <w:rPr>
                <w:rFonts w:ascii="Tahoma" w:hAnsi="Tahoma" w:cs="Tahoma"/>
                <w:sz w:val="13"/>
              </w:rPr>
              <w:t>A</w:t>
            </w:r>
          </w:p>
        </w:tc>
        <w:tc>
          <w:tcPr>
            <w:tcW w:w="540" w:type="dxa"/>
            <w:tcBorders>
              <w:bottom w:val="single" w:sz="4" w:space="0" w:color="auto"/>
            </w:tcBorders>
            <w:shd w:val="clear" w:color="auto" w:fill="FABF8F"/>
            <w:vAlign w:val="center"/>
          </w:tcPr>
          <w:p w:rsidR="001A63C6" w:rsidRPr="003410C7" w:rsidRDefault="001A63C6" w:rsidP="001A63C6">
            <w:pPr>
              <w:pStyle w:val="TableText"/>
              <w:widowControl w:val="0"/>
              <w:rPr>
                <w:rFonts w:ascii="Tahoma" w:hAnsi="Tahoma" w:cs="Tahoma"/>
                <w:sz w:val="13"/>
              </w:rPr>
            </w:pPr>
            <w:r w:rsidRPr="003410C7">
              <w:rPr>
                <w:rFonts w:ascii="Tahoma" w:hAnsi="Tahoma" w:cs="Tahoma"/>
                <w:sz w:val="13"/>
              </w:rPr>
              <w:t>OL/OV</w:t>
            </w:r>
          </w:p>
        </w:tc>
      </w:tr>
      <w:tr w:rsidR="00B33D0E" w:rsidRPr="003410C7" w:rsidTr="006B1F3F">
        <w:trPr>
          <w:trHeight w:val="145"/>
        </w:trPr>
        <w:tc>
          <w:tcPr>
            <w:tcW w:w="2734" w:type="dxa"/>
            <w:gridSpan w:val="2"/>
            <w:tcBorders>
              <w:bottom w:val="single" w:sz="4" w:space="0" w:color="auto"/>
            </w:tcBorders>
            <w:shd w:val="clear" w:color="auto" w:fill="auto"/>
          </w:tcPr>
          <w:p w:rsidR="001A63C6" w:rsidRPr="003410C7" w:rsidRDefault="001A63C6" w:rsidP="00F57878">
            <w:pPr>
              <w:pStyle w:val="ProductNames"/>
              <w:rPr>
                <w:rFonts w:ascii="Tahoma" w:hAnsi="Tahoma" w:cs="Tahoma"/>
                <w:sz w:val="14"/>
              </w:rPr>
            </w:pPr>
            <w:bookmarkStart w:id="281" w:name="_Toc336337984"/>
            <w:bookmarkStart w:id="282" w:name="_Toc352234598"/>
            <w:r w:rsidRPr="003410C7">
              <w:rPr>
                <w:rFonts w:ascii="Tahoma" w:hAnsi="Tahoma" w:cs="Tahoma"/>
                <w:sz w:val="14"/>
              </w:rPr>
              <w:t>CAL per Forefront Unified Access</w:t>
            </w:r>
            <w:r w:rsidR="00F57878">
              <w:rPr>
                <w:rFonts w:ascii="Tahoma" w:hAnsi="Tahoma" w:cs="Tahoma"/>
                <w:sz w:val="14"/>
              </w:rPr>
              <w:t> </w:t>
            </w:r>
            <w:r w:rsidRPr="003410C7">
              <w:rPr>
                <w:rFonts w:ascii="Tahoma" w:hAnsi="Tahoma" w:cs="Tahoma"/>
                <w:sz w:val="14"/>
              </w:rPr>
              <w:t>Gateway</w:t>
            </w:r>
            <w:r w:rsidR="00F57878">
              <w:rPr>
                <w:rFonts w:ascii="Tahoma" w:hAnsi="Tahoma" w:cs="Tahoma"/>
                <w:sz w:val="14"/>
              </w:rPr>
              <w:t> </w:t>
            </w:r>
            <w:r w:rsidRPr="003410C7">
              <w:rPr>
                <w:rFonts w:ascii="Tahoma" w:hAnsi="Tahoma" w:cs="Tahoma"/>
                <w:sz w:val="14"/>
              </w:rPr>
              <w:t>2010</w:t>
            </w:r>
            <w:bookmarkEnd w:id="281"/>
            <w:bookmarkEnd w:id="282"/>
            <w:r w:rsidRPr="003410C7">
              <w:rPr>
                <w:rFonts w:ascii="Tahoma" w:hAnsi="Tahoma" w:cs="Tahoma"/>
                <w:sz w:val="14"/>
              </w:rPr>
              <w:t xml:space="preserve"> </w:t>
            </w:r>
          </w:p>
        </w:tc>
        <w:tc>
          <w:tcPr>
            <w:tcW w:w="450" w:type="dxa"/>
            <w:tcBorders>
              <w:bottom w:val="single" w:sz="4" w:space="0" w:color="auto"/>
            </w:tcBorders>
            <w:shd w:val="clear" w:color="auto" w:fill="auto"/>
            <w:vAlign w:val="center"/>
          </w:tcPr>
          <w:p w:rsidR="001A63C6" w:rsidRPr="009F17FF" w:rsidRDefault="00FC1A4D" w:rsidP="00EF228F">
            <w:pPr>
              <w:pStyle w:val="TableText"/>
              <w:widowControl w:val="0"/>
              <w:rPr>
                <w:b/>
                <w:color w:val="000000"/>
                <w:sz w:val="13"/>
                <w:szCs w:val="13"/>
                <w:u w:val="single"/>
              </w:rPr>
            </w:pPr>
            <w:hyperlink w:anchor="_60_Forefront_Unified" w:history="1">
              <w:r w:rsidR="00854AAB" w:rsidRPr="00854AAB">
                <w:rPr>
                  <w:rStyle w:val="Hyperlink"/>
                  <w:b/>
                  <w:sz w:val="13"/>
                  <w:szCs w:val="13"/>
                </w:rPr>
                <w:t>60</w:t>
              </w:r>
            </w:hyperlink>
            <w:hyperlink w:anchor="Srv_52ForefrontUnifiedAccessGtwy2010" w:history="1"/>
          </w:p>
        </w:tc>
        <w:tc>
          <w:tcPr>
            <w:tcW w:w="450" w:type="dxa"/>
            <w:tcBorders>
              <w:bottom w:val="single" w:sz="4" w:space="0" w:color="auto"/>
            </w:tcBorders>
            <w:shd w:val="clear" w:color="auto" w:fill="auto"/>
          </w:tcPr>
          <w:p w:rsidR="001A63C6" w:rsidRPr="003410C7" w:rsidRDefault="001A63C6" w:rsidP="001A63C6">
            <w:pPr>
              <w:pStyle w:val="TableText"/>
              <w:widowControl w:val="0"/>
              <w:spacing w:before="80"/>
              <w:rPr>
                <w:rFonts w:ascii="Tahoma" w:hAnsi="Tahoma" w:cs="Tahoma"/>
                <w:sz w:val="13"/>
              </w:rPr>
            </w:pPr>
            <w:r w:rsidRPr="003410C7">
              <w:rPr>
                <w:rFonts w:ascii="Tahoma" w:hAnsi="Tahoma" w:cs="Tahoma"/>
                <w:sz w:val="13"/>
              </w:rPr>
              <w:t>01/10</w:t>
            </w:r>
          </w:p>
        </w:tc>
        <w:tc>
          <w:tcPr>
            <w:tcW w:w="360" w:type="dxa"/>
            <w:tcBorders>
              <w:bottom w:val="single" w:sz="4" w:space="0" w:color="auto"/>
              <w:right w:val="single" w:sz="18" w:space="0" w:color="auto"/>
            </w:tcBorders>
            <w:shd w:val="clear" w:color="auto" w:fill="auto"/>
            <w:vAlign w:val="center"/>
          </w:tcPr>
          <w:p w:rsidR="001A63C6" w:rsidRPr="003410C7" w:rsidRDefault="001A63C6" w:rsidP="001A63C6">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auto"/>
            <w:vAlign w:val="center"/>
          </w:tcPr>
          <w:p w:rsidR="001A63C6" w:rsidRPr="003410C7" w:rsidRDefault="001A63C6" w:rsidP="001A63C6">
            <w:pPr>
              <w:pStyle w:val="TableText"/>
              <w:widowControl w:val="0"/>
              <w:rPr>
                <w:rFonts w:ascii="Tahoma" w:hAnsi="Tahoma" w:cs="Tahoma"/>
                <w:color w:val="000000"/>
                <w:sz w:val="13"/>
              </w:rPr>
            </w:pPr>
            <w:r w:rsidRPr="003410C7">
              <w:rPr>
                <w:rFonts w:ascii="Tahoma" w:hAnsi="Tahoma" w:cs="Tahoma"/>
                <w:color w:val="000000"/>
                <w:sz w:val="13"/>
              </w:rPr>
              <w:t>1</w:t>
            </w:r>
          </w:p>
        </w:tc>
        <w:tc>
          <w:tcPr>
            <w:tcW w:w="450" w:type="dxa"/>
            <w:tcBorders>
              <w:bottom w:val="single" w:sz="4" w:space="0" w:color="auto"/>
            </w:tcBorders>
            <w:shd w:val="clear" w:color="auto" w:fill="auto"/>
            <w:vAlign w:val="center"/>
          </w:tcPr>
          <w:p w:rsidR="001A63C6" w:rsidRPr="003410C7" w:rsidRDefault="001A63C6" w:rsidP="001A63C6">
            <w:pPr>
              <w:pStyle w:val="TableText"/>
              <w:widowControl w:val="0"/>
              <w:rPr>
                <w:rFonts w:ascii="Tahoma" w:hAnsi="Tahoma" w:cs="Tahoma"/>
                <w:color w:val="000000"/>
                <w:sz w:val="13"/>
              </w:rPr>
            </w:pPr>
            <w:r w:rsidRPr="003410C7">
              <w:rPr>
                <w:rFonts w:ascii="Tahoma" w:hAnsi="Tahoma" w:cs="Tahoma"/>
                <w:color w:val="000000"/>
                <w:sz w:val="13"/>
              </w:rPr>
              <w:t>3</w:t>
            </w:r>
          </w:p>
        </w:tc>
        <w:tc>
          <w:tcPr>
            <w:tcW w:w="450" w:type="dxa"/>
            <w:tcBorders>
              <w:bottom w:val="single" w:sz="4" w:space="0" w:color="auto"/>
            </w:tcBorders>
            <w:shd w:val="clear" w:color="auto" w:fill="auto"/>
            <w:vAlign w:val="center"/>
          </w:tcPr>
          <w:p w:rsidR="001A63C6" w:rsidRPr="003410C7" w:rsidRDefault="001A63C6" w:rsidP="001A63C6">
            <w:pPr>
              <w:pStyle w:val="TableText"/>
              <w:widowControl w:val="0"/>
              <w:rPr>
                <w:rFonts w:ascii="Tahoma" w:hAnsi="Tahoma" w:cs="Tahoma"/>
                <w:color w:val="000000"/>
                <w:sz w:val="13"/>
              </w:rPr>
            </w:pPr>
            <w:r w:rsidRPr="003410C7">
              <w:rPr>
                <w:rFonts w:ascii="Tahoma" w:hAnsi="Tahoma" w:cs="Tahoma"/>
                <w:color w:val="000000"/>
                <w:sz w:val="13"/>
              </w:rPr>
              <w:t>2</w:t>
            </w:r>
          </w:p>
        </w:tc>
        <w:tc>
          <w:tcPr>
            <w:tcW w:w="450" w:type="dxa"/>
            <w:tcBorders>
              <w:bottom w:val="single" w:sz="4" w:space="0" w:color="auto"/>
            </w:tcBorders>
            <w:shd w:val="clear" w:color="auto" w:fill="auto"/>
            <w:vAlign w:val="center"/>
          </w:tcPr>
          <w:p w:rsidR="001A63C6" w:rsidRPr="003410C7" w:rsidRDefault="001A63C6" w:rsidP="001A63C6">
            <w:pPr>
              <w:pStyle w:val="TableText"/>
              <w:widowControl w:val="0"/>
              <w:rPr>
                <w:rFonts w:ascii="Tahoma" w:hAnsi="Tahoma" w:cs="Tahoma"/>
                <w:color w:val="000000"/>
                <w:sz w:val="13"/>
              </w:rPr>
            </w:pPr>
            <w:r w:rsidRPr="003410C7">
              <w:rPr>
                <w:rFonts w:ascii="Tahoma" w:hAnsi="Tahoma" w:cs="Tahoma"/>
                <w:color w:val="000000"/>
                <w:sz w:val="13"/>
              </w:rPr>
              <w:t>2</w:t>
            </w:r>
          </w:p>
        </w:tc>
        <w:tc>
          <w:tcPr>
            <w:tcW w:w="450" w:type="dxa"/>
            <w:tcBorders>
              <w:bottom w:val="single" w:sz="4" w:space="0" w:color="auto"/>
            </w:tcBorders>
            <w:shd w:val="clear" w:color="auto" w:fill="auto"/>
            <w:vAlign w:val="center"/>
          </w:tcPr>
          <w:p w:rsidR="001A63C6" w:rsidRPr="003410C7" w:rsidRDefault="001A63C6" w:rsidP="001A63C6">
            <w:pPr>
              <w:pStyle w:val="TableText"/>
              <w:widowControl w:val="0"/>
              <w:rPr>
                <w:rFonts w:ascii="Tahoma" w:hAnsi="Tahoma" w:cs="Tahoma"/>
                <w:color w:val="000000"/>
                <w:sz w:val="13"/>
              </w:rPr>
            </w:pPr>
            <w:r w:rsidRPr="003410C7">
              <w:rPr>
                <w:rFonts w:ascii="Tahoma" w:hAnsi="Tahoma" w:cs="Tahoma"/>
                <w:color w:val="000000"/>
                <w:sz w:val="13"/>
              </w:rPr>
              <w:t>2</w:t>
            </w:r>
          </w:p>
        </w:tc>
        <w:tc>
          <w:tcPr>
            <w:tcW w:w="450" w:type="dxa"/>
            <w:tcBorders>
              <w:bottom w:val="single" w:sz="4" w:space="0" w:color="auto"/>
            </w:tcBorders>
            <w:shd w:val="clear" w:color="auto" w:fill="auto"/>
            <w:vAlign w:val="center"/>
          </w:tcPr>
          <w:p w:rsidR="001A63C6" w:rsidRPr="003410C7" w:rsidRDefault="001A63C6" w:rsidP="001A63C6">
            <w:pPr>
              <w:pStyle w:val="TableText"/>
              <w:widowControl w:val="0"/>
              <w:rPr>
                <w:rFonts w:ascii="Tahoma" w:hAnsi="Tahoma" w:cs="Tahoma"/>
                <w:color w:val="000000"/>
                <w:sz w:val="13"/>
              </w:rPr>
            </w:pPr>
            <w:r w:rsidRPr="003410C7">
              <w:rPr>
                <w:rFonts w:ascii="Tahoma" w:hAnsi="Tahoma" w:cs="Tahoma"/>
                <w:color w:val="000000"/>
                <w:sz w:val="13"/>
              </w:rPr>
              <w:t>1</w:t>
            </w:r>
          </w:p>
        </w:tc>
        <w:tc>
          <w:tcPr>
            <w:tcW w:w="360" w:type="dxa"/>
            <w:tcBorders>
              <w:bottom w:val="single" w:sz="4" w:space="0" w:color="auto"/>
              <w:right w:val="single" w:sz="18" w:space="0" w:color="auto"/>
            </w:tcBorders>
            <w:shd w:val="clear" w:color="auto" w:fill="auto"/>
            <w:vAlign w:val="center"/>
          </w:tcPr>
          <w:p w:rsidR="001A63C6" w:rsidRPr="003410C7" w:rsidRDefault="001A63C6" w:rsidP="001A63C6">
            <w:pPr>
              <w:pStyle w:val="TableText"/>
              <w:widowControl w:val="0"/>
              <w:rPr>
                <w:rFonts w:ascii="Tahoma" w:hAnsi="Tahoma" w:cs="Tahoma"/>
                <w:color w:val="000000"/>
                <w:sz w:val="13"/>
              </w:rPr>
            </w:pPr>
            <w:r w:rsidRPr="003410C7">
              <w:rPr>
                <w:rFonts w:ascii="Tahoma" w:hAnsi="Tahoma" w:cs="Tahoma"/>
                <w:color w:val="000000"/>
                <w:sz w:val="13"/>
              </w:rPr>
              <w:t>1</w:t>
            </w:r>
          </w:p>
        </w:tc>
        <w:tc>
          <w:tcPr>
            <w:tcW w:w="450" w:type="dxa"/>
            <w:tcBorders>
              <w:left w:val="single" w:sz="18" w:space="0" w:color="auto"/>
              <w:bottom w:val="single" w:sz="4" w:space="0" w:color="auto"/>
            </w:tcBorders>
            <w:shd w:val="clear" w:color="auto" w:fill="auto"/>
            <w:vAlign w:val="center"/>
          </w:tcPr>
          <w:p w:rsidR="001A63C6" w:rsidRPr="003410C7" w:rsidRDefault="001A63C6" w:rsidP="001A63C6">
            <w:pPr>
              <w:pStyle w:val="TableText"/>
              <w:widowControl w:val="0"/>
              <w:rPr>
                <w:rFonts w:ascii="Tahoma" w:hAnsi="Tahoma" w:cs="Tahoma"/>
                <w:color w:val="000000"/>
                <w:sz w:val="13"/>
              </w:rPr>
            </w:pPr>
            <w:r w:rsidRPr="003410C7">
              <w:rPr>
                <w:rFonts w:ascii="Tahoma" w:hAnsi="Tahoma" w:cs="Tahoma"/>
                <w:color w:val="000000"/>
                <w:sz w:val="13"/>
              </w:rPr>
              <w:t>1</w:t>
            </w:r>
          </w:p>
        </w:tc>
        <w:tc>
          <w:tcPr>
            <w:tcW w:w="450" w:type="dxa"/>
            <w:tcBorders>
              <w:bottom w:val="single" w:sz="4" w:space="0" w:color="auto"/>
            </w:tcBorders>
            <w:shd w:val="clear" w:color="auto" w:fill="auto"/>
            <w:vAlign w:val="center"/>
          </w:tcPr>
          <w:p w:rsidR="001A63C6" w:rsidRPr="003410C7" w:rsidRDefault="001A63C6" w:rsidP="001A63C6">
            <w:pPr>
              <w:pStyle w:val="TableText"/>
              <w:widowControl w:val="0"/>
              <w:rPr>
                <w:rFonts w:ascii="Tahoma" w:hAnsi="Tahoma" w:cs="Tahoma"/>
                <w:color w:val="000000"/>
                <w:sz w:val="13"/>
              </w:rPr>
            </w:pPr>
            <w:r w:rsidRPr="003410C7">
              <w:rPr>
                <w:rFonts w:ascii="Tahoma" w:hAnsi="Tahoma" w:cs="Tahoma"/>
                <w:color w:val="000000"/>
                <w:sz w:val="13"/>
              </w:rPr>
              <w:t>2</w:t>
            </w:r>
          </w:p>
        </w:tc>
        <w:tc>
          <w:tcPr>
            <w:tcW w:w="450" w:type="dxa"/>
            <w:tcBorders>
              <w:bottom w:val="single" w:sz="4" w:space="0" w:color="auto"/>
              <w:right w:val="single" w:sz="18" w:space="0" w:color="auto"/>
            </w:tcBorders>
            <w:shd w:val="clear" w:color="auto" w:fill="auto"/>
            <w:vAlign w:val="center"/>
          </w:tcPr>
          <w:p w:rsidR="001A63C6" w:rsidRPr="003410C7" w:rsidRDefault="001A63C6" w:rsidP="001A63C6">
            <w:pPr>
              <w:pStyle w:val="TableText"/>
              <w:widowControl w:val="0"/>
              <w:rPr>
                <w:rFonts w:ascii="Tahoma" w:hAnsi="Tahoma" w:cs="Tahoma"/>
                <w:color w:val="000000"/>
                <w:sz w:val="13"/>
              </w:rPr>
            </w:pPr>
            <w:r w:rsidRPr="003410C7">
              <w:rPr>
                <w:rFonts w:ascii="Tahoma" w:hAnsi="Tahoma" w:cs="Tahoma"/>
                <w:color w:val="000000"/>
                <w:sz w:val="13"/>
              </w:rPr>
              <w:t>1</w:t>
            </w:r>
          </w:p>
        </w:tc>
        <w:tc>
          <w:tcPr>
            <w:tcW w:w="450" w:type="dxa"/>
            <w:tcBorders>
              <w:left w:val="single" w:sz="18" w:space="0" w:color="auto"/>
              <w:bottom w:val="single" w:sz="4" w:space="0" w:color="auto"/>
            </w:tcBorders>
            <w:shd w:val="clear" w:color="auto" w:fill="auto"/>
            <w:vAlign w:val="center"/>
          </w:tcPr>
          <w:p w:rsidR="001A63C6" w:rsidRPr="003410C7" w:rsidRDefault="001A63C6" w:rsidP="001A63C6">
            <w:pPr>
              <w:pStyle w:val="TableText"/>
              <w:widowControl w:val="0"/>
              <w:rPr>
                <w:rFonts w:ascii="Tahoma" w:hAnsi="Tahoma" w:cs="Tahoma"/>
                <w:color w:val="000000"/>
                <w:sz w:val="13"/>
              </w:rPr>
            </w:pPr>
            <w:r w:rsidRPr="003410C7">
              <w:rPr>
                <w:rFonts w:ascii="Tahoma" w:hAnsi="Tahoma" w:cs="Tahoma"/>
                <w:color w:val="000000"/>
                <w:sz w:val="13"/>
              </w:rPr>
              <w:t>1</w:t>
            </w:r>
          </w:p>
        </w:tc>
        <w:tc>
          <w:tcPr>
            <w:tcW w:w="450" w:type="dxa"/>
            <w:tcBorders>
              <w:bottom w:val="single" w:sz="4" w:space="0" w:color="auto"/>
              <w:right w:val="single" w:sz="18" w:space="0" w:color="auto"/>
            </w:tcBorders>
            <w:shd w:val="clear" w:color="auto" w:fill="auto"/>
            <w:vAlign w:val="center"/>
          </w:tcPr>
          <w:p w:rsidR="001A63C6" w:rsidRPr="003410C7" w:rsidRDefault="001A63C6" w:rsidP="001A63C6">
            <w:pPr>
              <w:pStyle w:val="TableText"/>
              <w:widowControl w:val="0"/>
              <w:rPr>
                <w:rFonts w:ascii="Tahoma" w:hAnsi="Tahoma" w:cs="Tahoma"/>
                <w:color w:val="000000"/>
                <w:sz w:val="13"/>
              </w:rPr>
            </w:pPr>
            <w:r w:rsidRPr="003410C7">
              <w:rPr>
                <w:rFonts w:ascii="Tahoma" w:hAnsi="Tahoma" w:cs="Tahoma"/>
                <w:color w:val="000000"/>
                <w:sz w:val="13"/>
              </w:rPr>
              <w:t>A</w:t>
            </w:r>
          </w:p>
        </w:tc>
        <w:tc>
          <w:tcPr>
            <w:tcW w:w="450" w:type="dxa"/>
            <w:tcBorders>
              <w:left w:val="single" w:sz="18" w:space="0" w:color="auto"/>
              <w:bottom w:val="single" w:sz="4" w:space="0" w:color="auto"/>
              <w:right w:val="single" w:sz="18" w:space="0" w:color="auto"/>
            </w:tcBorders>
            <w:shd w:val="clear" w:color="auto" w:fill="auto"/>
            <w:vAlign w:val="center"/>
          </w:tcPr>
          <w:p w:rsidR="001A63C6" w:rsidRPr="003410C7" w:rsidRDefault="001A63C6" w:rsidP="001A63C6">
            <w:pPr>
              <w:pStyle w:val="TableText"/>
              <w:widowControl w:val="0"/>
              <w:rPr>
                <w:rFonts w:ascii="Tahoma" w:hAnsi="Tahoma" w:cs="Tahoma"/>
                <w:sz w:val="13"/>
              </w:rPr>
            </w:pPr>
            <w:r w:rsidRPr="003410C7">
              <w:rPr>
                <w:rFonts w:ascii="Tahoma" w:hAnsi="Tahoma" w:cs="Tahoma"/>
                <w:sz w:val="13"/>
              </w:rPr>
              <w:t>P</w:t>
            </w:r>
          </w:p>
        </w:tc>
        <w:tc>
          <w:tcPr>
            <w:tcW w:w="450" w:type="dxa"/>
            <w:tcBorders>
              <w:bottom w:val="single" w:sz="4" w:space="0" w:color="auto"/>
            </w:tcBorders>
            <w:shd w:val="clear" w:color="auto" w:fill="auto"/>
          </w:tcPr>
          <w:p w:rsidR="001A63C6" w:rsidRPr="003410C7" w:rsidRDefault="001A63C6" w:rsidP="001A63C6">
            <w:pPr>
              <w:pStyle w:val="TableText"/>
              <w:widowControl w:val="0"/>
              <w:spacing w:before="120"/>
              <w:rPr>
                <w:rFonts w:ascii="Tahoma" w:hAnsi="Tahoma" w:cs="Tahoma"/>
                <w:sz w:val="13"/>
              </w:rPr>
            </w:pPr>
            <w:r w:rsidRPr="003410C7">
              <w:rPr>
                <w:rFonts w:ascii="Tahoma" w:hAnsi="Tahoma" w:cs="Tahoma"/>
                <w:sz w:val="13"/>
              </w:rPr>
              <w:t>AO, ST</w:t>
            </w:r>
          </w:p>
        </w:tc>
        <w:tc>
          <w:tcPr>
            <w:tcW w:w="540" w:type="dxa"/>
            <w:tcBorders>
              <w:bottom w:val="single" w:sz="4" w:space="0" w:color="auto"/>
            </w:tcBorders>
            <w:shd w:val="clear" w:color="auto" w:fill="auto"/>
            <w:vAlign w:val="center"/>
          </w:tcPr>
          <w:p w:rsidR="001A63C6" w:rsidRPr="003410C7" w:rsidRDefault="001A63C6" w:rsidP="001A63C6">
            <w:pPr>
              <w:pStyle w:val="TableText"/>
              <w:widowControl w:val="0"/>
              <w:rPr>
                <w:rFonts w:ascii="Tahoma" w:hAnsi="Tahoma" w:cs="Tahoma"/>
                <w:sz w:val="13"/>
              </w:rPr>
            </w:pPr>
          </w:p>
        </w:tc>
      </w:tr>
      <w:tr w:rsidR="00EF228F" w:rsidRPr="003410C7" w:rsidTr="006B1F3F">
        <w:trPr>
          <w:trHeight w:val="145"/>
        </w:trPr>
        <w:tc>
          <w:tcPr>
            <w:tcW w:w="2734" w:type="dxa"/>
            <w:gridSpan w:val="2"/>
            <w:tcBorders>
              <w:bottom w:val="single" w:sz="4" w:space="0" w:color="auto"/>
            </w:tcBorders>
            <w:shd w:val="clear" w:color="auto" w:fill="FABF8F"/>
          </w:tcPr>
          <w:p w:rsidR="001A63C6" w:rsidRPr="00451078" w:rsidRDefault="001A63C6" w:rsidP="001A63C6">
            <w:pPr>
              <w:pStyle w:val="ProductNames"/>
              <w:rPr>
                <w:rFonts w:ascii="Tahoma" w:hAnsi="Tahoma" w:cs="Tahoma"/>
                <w:sz w:val="14"/>
                <w:lang w:val="it-IT"/>
              </w:rPr>
            </w:pPr>
            <w:bookmarkStart w:id="283" w:name="_Toc336337985"/>
            <w:bookmarkStart w:id="284" w:name="_Toc352234599"/>
            <w:r w:rsidRPr="00451078">
              <w:rPr>
                <w:rFonts w:ascii="Tahoma" w:hAnsi="Tahoma" w:cs="Tahoma"/>
                <w:sz w:val="14"/>
                <w:lang w:val="it-IT"/>
              </w:rPr>
              <w:t>Pacchetto di 10.000 CAL per Forefront Unified Access Gateway 2010</w:t>
            </w:r>
            <w:bookmarkEnd w:id="283"/>
            <w:bookmarkEnd w:id="284"/>
          </w:p>
        </w:tc>
        <w:tc>
          <w:tcPr>
            <w:tcW w:w="450" w:type="dxa"/>
            <w:tcBorders>
              <w:bottom w:val="single" w:sz="4" w:space="0" w:color="auto"/>
            </w:tcBorders>
            <w:shd w:val="clear" w:color="auto" w:fill="FABF8F"/>
            <w:vAlign w:val="center"/>
          </w:tcPr>
          <w:p w:rsidR="001A63C6" w:rsidRPr="009F17FF" w:rsidRDefault="00FC1A4D" w:rsidP="00EF228F">
            <w:pPr>
              <w:pStyle w:val="TableText"/>
              <w:widowControl w:val="0"/>
              <w:rPr>
                <w:b/>
                <w:color w:val="000000"/>
                <w:sz w:val="13"/>
                <w:szCs w:val="13"/>
                <w:u w:val="single"/>
              </w:rPr>
            </w:pPr>
            <w:hyperlink w:anchor="_60_Forefront_Unified" w:history="1">
              <w:r w:rsidR="00854AAB" w:rsidRPr="00854AAB">
                <w:rPr>
                  <w:rStyle w:val="Hyperlink"/>
                  <w:b/>
                  <w:sz w:val="13"/>
                  <w:szCs w:val="13"/>
                </w:rPr>
                <w:t>60</w:t>
              </w:r>
            </w:hyperlink>
            <w:hyperlink w:anchor="Srv_52ForefrontUnifiedAccessGtwy2010" w:history="1"/>
          </w:p>
        </w:tc>
        <w:tc>
          <w:tcPr>
            <w:tcW w:w="450" w:type="dxa"/>
            <w:tcBorders>
              <w:bottom w:val="single" w:sz="4" w:space="0" w:color="auto"/>
            </w:tcBorders>
            <w:shd w:val="clear" w:color="auto" w:fill="FABF8F"/>
          </w:tcPr>
          <w:p w:rsidR="001A63C6" w:rsidRPr="003410C7" w:rsidRDefault="001A63C6" w:rsidP="001A63C6">
            <w:pPr>
              <w:pStyle w:val="TableText"/>
              <w:widowControl w:val="0"/>
              <w:spacing w:before="80"/>
              <w:rPr>
                <w:rFonts w:ascii="Tahoma" w:hAnsi="Tahoma" w:cs="Tahoma"/>
                <w:sz w:val="13"/>
              </w:rPr>
            </w:pPr>
            <w:r w:rsidRPr="003410C7">
              <w:rPr>
                <w:rFonts w:ascii="Tahoma" w:hAnsi="Tahoma" w:cs="Tahoma"/>
                <w:sz w:val="13"/>
              </w:rPr>
              <w:t>01/10</w:t>
            </w:r>
          </w:p>
        </w:tc>
        <w:tc>
          <w:tcPr>
            <w:tcW w:w="360" w:type="dxa"/>
            <w:tcBorders>
              <w:bottom w:val="single" w:sz="4" w:space="0" w:color="auto"/>
              <w:right w:val="single" w:sz="18" w:space="0" w:color="auto"/>
            </w:tcBorders>
            <w:shd w:val="clear" w:color="auto" w:fill="FABF8F"/>
            <w:vAlign w:val="center"/>
          </w:tcPr>
          <w:p w:rsidR="001A63C6" w:rsidRPr="003410C7" w:rsidRDefault="001A63C6" w:rsidP="001A63C6">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FABF8F"/>
            <w:vAlign w:val="center"/>
          </w:tcPr>
          <w:p w:rsidR="001A63C6" w:rsidRPr="003410C7" w:rsidRDefault="001A63C6" w:rsidP="001A63C6">
            <w:pPr>
              <w:pStyle w:val="TableText"/>
              <w:widowControl w:val="0"/>
              <w:rPr>
                <w:rFonts w:ascii="Tahoma" w:hAnsi="Tahoma" w:cs="Tahoma"/>
                <w:color w:val="000000"/>
                <w:sz w:val="13"/>
              </w:rPr>
            </w:pPr>
            <w:r w:rsidRPr="003410C7">
              <w:rPr>
                <w:rFonts w:ascii="Tahoma" w:hAnsi="Tahoma" w:cs="Tahoma"/>
                <w:color w:val="000000"/>
                <w:sz w:val="13"/>
              </w:rPr>
              <w:t>200</w:t>
            </w:r>
          </w:p>
        </w:tc>
        <w:tc>
          <w:tcPr>
            <w:tcW w:w="450" w:type="dxa"/>
            <w:tcBorders>
              <w:bottom w:val="single" w:sz="4" w:space="0" w:color="auto"/>
            </w:tcBorders>
            <w:shd w:val="clear" w:color="auto" w:fill="FABF8F"/>
            <w:vAlign w:val="center"/>
          </w:tcPr>
          <w:p w:rsidR="001A63C6" w:rsidRPr="003410C7" w:rsidRDefault="001A63C6" w:rsidP="001A63C6">
            <w:pPr>
              <w:pStyle w:val="TableText"/>
              <w:widowControl w:val="0"/>
              <w:rPr>
                <w:rFonts w:ascii="Tahoma" w:hAnsi="Tahoma" w:cs="Tahoma"/>
                <w:color w:val="000000"/>
                <w:sz w:val="13"/>
              </w:rPr>
            </w:pPr>
            <w:r w:rsidRPr="003410C7">
              <w:rPr>
                <w:rFonts w:ascii="Tahoma" w:hAnsi="Tahoma" w:cs="Tahoma"/>
                <w:color w:val="000000"/>
                <w:sz w:val="13"/>
              </w:rPr>
              <w:t>500</w:t>
            </w:r>
          </w:p>
        </w:tc>
        <w:tc>
          <w:tcPr>
            <w:tcW w:w="450" w:type="dxa"/>
            <w:tcBorders>
              <w:bottom w:val="single" w:sz="4" w:space="0" w:color="auto"/>
            </w:tcBorders>
            <w:shd w:val="clear" w:color="auto" w:fill="FABF8F"/>
            <w:vAlign w:val="center"/>
          </w:tcPr>
          <w:p w:rsidR="001A63C6" w:rsidRPr="003410C7" w:rsidRDefault="001A63C6" w:rsidP="001A63C6">
            <w:pPr>
              <w:pStyle w:val="TableText"/>
              <w:widowControl w:val="0"/>
              <w:rPr>
                <w:rFonts w:ascii="Tahoma" w:hAnsi="Tahoma" w:cs="Tahoma"/>
                <w:color w:val="000000"/>
                <w:sz w:val="13"/>
              </w:rPr>
            </w:pPr>
            <w:r w:rsidRPr="003410C7">
              <w:rPr>
                <w:rFonts w:ascii="Tahoma" w:hAnsi="Tahoma" w:cs="Tahoma"/>
                <w:color w:val="000000"/>
                <w:sz w:val="13"/>
              </w:rPr>
              <w:t>400</w:t>
            </w:r>
          </w:p>
        </w:tc>
        <w:tc>
          <w:tcPr>
            <w:tcW w:w="450" w:type="dxa"/>
            <w:tcBorders>
              <w:bottom w:val="single" w:sz="4" w:space="0" w:color="auto"/>
            </w:tcBorders>
            <w:shd w:val="clear" w:color="auto" w:fill="FABF8F"/>
            <w:vAlign w:val="center"/>
          </w:tcPr>
          <w:p w:rsidR="001A63C6" w:rsidRPr="003410C7" w:rsidRDefault="001A63C6" w:rsidP="001A63C6">
            <w:pPr>
              <w:pStyle w:val="TableText"/>
              <w:widowControl w:val="0"/>
              <w:rPr>
                <w:rFonts w:ascii="Tahoma" w:hAnsi="Tahoma" w:cs="Tahoma"/>
                <w:color w:val="000000"/>
                <w:sz w:val="13"/>
              </w:rPr>
            </w:pPr>
            <w:r w:rsidRPr="003410C7">
              <w:rPr>
                <w:rFonts w:ascii="Tahoma" w:hAnsi="Tahoma" w:cs="Tahoma"/>
                <w:color w:val="000000"/>
                <w:sz w:val="13"/>
              </w:rPr>
              <w:t>300</w:t>
            </w:r>
          </w:p>
        </w:tc>
        <w:tc>
          <w:tcPr>
            <w:tcW w:w="450" w:type="dxa"/>
            <w:tcBorders>
              <w:bottom w:val="single" w:sz="4" w:space="0" w:color="auto"/>
            </w:tcBorders>
            <w:shd w:val="clear" w:color="auto" w:fill="FABF8F"/>
            <w:vAlign w:val="center"/>
          </w:tcPr>
          <w:p w:rsidR="001A63C6" w:rsidRPr="003410C7" w:rsidRDefault="001A63C6" w:rsidP="001A63C6">
            <w:pPr>
              <w:pStyle w:val="TableText"/>
              <w:widowControl w:val="0"/>
              <w:rPr>
                <w:rFonts w:ascii="Tahoma" w:hAnsi="Tahoma" w:cs="Tahoma"/>
                <w:color w:val="000000"/>
                <w:sz w:val="13"/>
              </w:rPr>
            </w:pPr>
            <w:r w:rsidRPr="003410C7">
              <w:rPr>
                <w:rFonts w:ascii="Tahoma" w:hAnsi="Tahoma" w:cs="Tahoma"/>
                <w:color w:val="000000"/>
                <w:sz w:val="13"/>
              </w:rPr>
              <w:t>300</w:t>
            </w:r>
          </w:p>
        </w:tc>
        <w:tc>
          <w:tcPr>
            <w:tcW w:w="450" w:type="dxa"/>
            <w:tcBorders>
              <w:bottom w:val="single" w:sz="4" w:space="0" w:color="auto"/>
            </w:tcBorders>
            <w:shd w:val="clear" w:color="auto" w:fill="FABF8F"/>
            <w:vAlign w:val="center"/>
          </w:tcPr>
          <w:p w:rsidR="001A63C6" w:rsidRPr="003410C7" w:rsidRDefault="001A63C6" w:rsidP="001A63C6">
            <w:pPr>
              <w:pStyle w:val="TableText"/>
              <w:widowControl w:val="0"/>
              <w:rPr>
                <w:rFonts w:ascii="Tahoma" w:hAnsi="Tahoma" w:cs="Tahoma"/>
                <w:color w:val="000000"/>
                <w:sz w:val="13"/>
              </w:rPr>
            </w:pPr>
            <w:r w:rsidRPr="003410C7">
              <w:rPr>
                <w:rFonts w:ascii="Tahoma" w:hAnsi="Tahoma" w:cs="Tahoma"/>
                <w:color w:val="000000"/>
                <w:sz w:val="13"/>
              </w:rPr>
              <w:t>200</w:t>
            </w:r>
          </w:p>
        </w:tc>
        <w:tc>
          <w:tcPr>
            <w:tcW w:w="360" w:type="dxa"/>
            <w:tcBorders>
              <w:bottom w:val="single" w:sz="4" w:space="0" w:color="auto"/>
              <w:right w:val="single" w:sz="18" w:space="0" w:color="auto"/>
            </w:tcBorders>
            <w:shd w:val="clear" w:color="auto" w:fill="FABF8F"/>
            <w:vAlign w:val="center"/>
          </w:tcPr>
          <w:p w:rsidR="001A63C6" w:rsidRPr="003410C7" w:rsidRDefault="001A63C6" w:rsidP="001A63C6">
            <w:pPr>
              <w:pStyle w:val="TableText"/>
              <w:widowControl w:val="0"/>
              <w:rPr>
                <w:rFonts w:ascii="Tahoma" w:hAnsi="Tahoma" w:cs="Tahoma"/>
                <w:color w:val="000000"/>
                <w:sz w:val="13"/>
              </w:rPr>
            </w:pPr>
            <w:r w:rsidRPr="003410C7">
              <w:rPr>
                <w:rFonts w:ascii="Tahoma" w:hAnsi="Tahoma" w:cs="Tahoma"/>
                <w:color w:val="000000"/>
                <w:sz w:val="13"/>
              </w:rPr>
              <w:t>100</w:t>
            </w:r>
          </w:p>
        </w:tc>
        <w:tc>
          <w:tcPr>
            <w:tcW w:w="450" w:type="dxa"/>
            <w:tcBorders>
              <w:left w:val="single" w:sz="18" w:space="0" w:color="auto"/>
              <w:bottom w:val="single" w:sz="4" w:space="0" w:color="auto"/>
            </w:tcBorders>
            <w:shd w:val="clear" w:color="auto" w:fill="FABF8F"/>
            <w:vAlign w:val="center"/>
          </w:tcPr>
          <w:p w:rsidR="001A63C6" w:rsidRPr="003410C7" w:rsidRDefault="001A63C6" w:rsidP="001A63C6">
            <w:pPr>
              <w:pStyle w:val="TableText"/>
              <w:widowControl w:val="0"/>
              <w:rPr>
                <w:rFonts w:ascii="Tahoma" w:hAnsi="Tahoma" w:cs="Tahoma"/>
                <w:color w:val="000000"/>
                <w:sz w:val="13"/>
              </w:rPr>
            </w:pPr>
          </w:p>
        </w:tc>
        <w:tc>
          <w:tcPr>
            <w:tcW w:w="450" w:type="dxa"/>
            <w:tcBorders>
              <w:bottom w:val="single" w:sz="4" w:space="0" w:color="auto"/>
            </w:tcBorders>
            <w:shd w:val="clear" w:color="auto" w:fill="FABF8F"/>
            <w:vAlign w:val="center"/>
          </w:tcPr>
          <w:p w:rsidR="001A63C6" w:rsidRPr="003410C7" w:rsidRDefault="001A63C6" w:rsidP="001A63C6">
            <w:pPr>
              <w:pStyle w:val="TableText"/>
              <w:widowControl w:val="0"/>
              <w:rPr>
                <w:rFonts w:ascii="Tahoma" w:hAnsi="Tahoma" w:cs="Tahoma"/>
                <w:color w:val="000000"/>
                <w:sz w:val="13"/>
              </w:rPr>
            </w:pPr>
          </w:p>
        </w:tc>
        <w:tc>
          <w:tcPr>
            <w:tcW w:w="450" w:type="dxa"/>
            <w:tcBorders>
              <w:bottom w:val="single" w:sz="4" w:space="0" w:color="auto"/>
              <w:right w:val="single" w:sz="18" w:space="0" w:color="auto"/>
            </w:tcBorders>
            <w:shd w:val="clear" w:color="auto" w:fill="FABF8F"/>
            <w:vAlign w:val="center"/>
          </w:tcPr>
          <w:p w:rsidR="001A63C6" w:rsidRPr="003410C7" w:rsidRDefault="001A63C6" w:rsidP="001A63C6">
            <w:pPr>
              <w:pStyle w:val="TableText"/>
              <w:widowControl w:val="0"/>
              <w:rPr>
                <w:rFonts w:ascii="Tahoma" w:hAnsi="Tahoma" w:cs="Tahoma"/>
                <w:color w:val="000000"/>
                <w:sz w:val="13"/>
              </w:rPr>
            </w:pPr>
          </w:p>
        </w:tc>
        <w:tc>
          <w:tcPr>
            <w:tcW w:w="450" w:type="dxa"/>
            <w:tcBorders>
              <w:left w:val="single" w:sz="18" w:space="0" w:color="auto"/>
              <w:bottom w:val="single" w:sz="4" w:space="0" w:color="auto"/>
            </w:tcBorders>
            <w:shd w:val="clear" w:color="auto" w:fill="FABF8F"/>
            <w:vAlign w:val="center"/>
          </w:tcPr>
          <w:p w:rsidR="001A63C6" w:rsidRPr="003410C7" w:rsidRDefault="001A63C6" w:rsidP="001A63C6">
            <w:pPr>
              <w:pStyle w:val="TableText"/>
              <w:widowControl w:val="0"/>
              <w:rPr>
                <w:rFonts w:ascii="Tahoma" w:hAnsi="Tahoma" w:cs="Tahoma"/>
                <w:color w:val="000000"/>
                <w:sz w:val="13"/>
              </w:rPr>
            </w:pPr>
          </w:p>
        </w:tc>
        <w:tc>
          <w:tcPr>
            <w:tcW w:w="450" w:type="dxa"/>
            <w:tcBorders>
              <w:bottom w:val="single" w:sz="4" w:space="0" w:color="auto"/>
              <w:right w:val="single" w:sz="18" w:space="0" w:color="auto"/>
            </w:tcBorders>
            <w:shd w:val="clear" w:color="auto" w:fill="FABF8F"/>
            <w:vAlign w:val="center"/>
          </w:tcPr>
          <w:p w:rsidR="001A63C6" w:rsidRPr="003410C7" w:rsidRDefault="001A63C6" w:rsidP="001A63C6">
            <w:pPr>
              <w:pStyle w:val="TableText"/>
              <w:widowControl w:val="0"/>
              <w:rPr>
                <w:rFonts w:ascii="Tahoma" w:hAnsi="Tahoma" w:cs="Tahoma"/>
                <w:color w:val="000000"/>
                <w:sz w:val="13"/>
              </w:rPr>
            </w:pPr>
            <w:r w:rsidRPr="003410C7">
              <w:rPr>
                <w:rFonts w:ascii="Tahoma" w:hAnsi="Tahoma" w:cs="Tahoma"/>
                <w:color w:val="000000"/>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3410C7"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tcPr>
          <w:p w:rsidR="001A63C6" w:rsidRPr="003410C7" w:rsidRDefault="001A63C6" w:rsidP="001A63C6">
            <w:pPr>
              <w:pStyle w:val="TableText"/>
              <w:widowControl w:val="0"/>
              <w:spacing w:before="120"/>
              <w:rPr>
                <w:rFonts w:ascii="Tahoma" w:hAnsi="Tahoma" w:cs="Tahoma"/>
                <w:sz w:val="13"/>
              </w:rPr>
            </w:pPr>
          </w:p>
        </w:tc>
        <w:tc>
          <w:tcPr>
            <w:tcW w:w="540" w:type="dxa"/>
            <w:tcBorders>
              <w:bottom w:val="single" w:sz="4" w:space="0" w:color="auto"/>
            </w:tcBorders>
            <w:shd w:val="clear" w:color="auto" w:fill="FABF8F"/>
            <w:vAlign w:val="center"/>
          </w:tcPr>
          <w:p w:rsidR="001A63C6" w:rsidRPr="003410C7" w:rsidRDefault="001A63C6" w:rsidP="001A63C6">
            <w:pPr>
              <w:pStyle w:val="TableText"/>
              <w:widowControl w:val="0"/>
              <w:rPr>
                <w:rFonts w:ascii="Tahoma" w:hAnsi="Tahoma" w:cs="Tahoma"/>
                <w:sz w:val="13"/>
              </w:rPr>
            </w:pPr>
          </w:p>
        </w:tc>
      </w:tr>
      <w:tr w:rsidR="00B33D0E" w:rsidRPr="003410C7" w:rsidTr="006B1F3F">
        <w:trPr>
          <w:trHeight w:val="145"/>
        </w:trPr>
        <w:tc>
          <w:tcPr>
            <w:tcW w:w="2734" w:type="dxa"/>
            <w:gridSpan w:val="2"/>
            <w:tcBorders>
              <w:bottom w:val="single" w:sz="4" w:space="0" w:color="auto"/>
            </w:tcBorders>
            <w:shd w:val="clear" w:color="auto" w:fill="auto"/>
          </w:tcPr>
          <w:p w:rsidR="001A63C6" w:rsidRPr="003410C7" w:rsidRDefault="001A63C6" w:rsidP="001A63C6">
            <w:pPr>
              <w:pStyle w:val="ProductNames"/>
              <w:rPr>
                <w:rFonts w:ascii="Tahoma" w:hAnsi="Tahoma" w:cs="Tahoma"/>
                <w:sz w:val="14"/>
              </w:rPr>
            </w:pPr>
            <w:bookmarkStart w:id="285" w:name="_Toc336337986"/>
            <w:bookmarkStart w:id="286" w:name="_Toc352234600"/>
            <w:r w:rsidRPr="003410C7">
              <w:rPr>
                <w:rFonts w:ascii="Tahoma" w:hAnsi="Tahoma" w:cs="Tahoma"/>
                <w:sz w:val="14"/>
              </w:rPr>
              <w:t>GeoSynth Server</w:t>
            </w:r>
            <w:bookmarkEnd w:id="285"/>
            <w:bookmarkEnd w:id="286"/>
          </w:p>
        </w:tc>
        <w:tc>
          <w:tcPr>
            <w:tcW w:w="450" w:type="dxa"/>
            <w:tcBorders>
              <w:bottom w:val="single" w:sz="4" w:space="0" w:color="auto"/>
            </w:tcBorders>
            <w:shd w:val="clear" w:color="auto" w:fill="auto"/>
            <w:vAlign w:val="center"/>
          </w:tcPr>
          <w:p w:rsidR="001A63C6" w:rsidRPr="009F17FF" w:rsidRDefault="001A63C6" w:rsidP="001A63C6">
            <w:pPr>
              <w:pStyle w:val="TableText"/>
              <w:widowControl w:val="0"/>
              <w:rPr>
                <w:b/>
                <w:color w:val="000000"/>
                <w:sz w:val="13"/>
                <w:szCs w:val="13"/>
                <w:u w:val="single"/>
              </w:rPr>
            </w:pPr>
          </w:p>
        </w:tc>
        <w:tc>
          <w:tcPr>
            <w:tcW w:w="450" w:type="dxa"/>
            <w:tcBorders>
              <w:bottom w:val="single" w:sz="4" w:space="0" w:color="auto"/>
            </w:tcBorders>
            <w:shd w:val="clear" w:color="auto" w:fill="auto"/>
          </w:tcPr>
          <w:p w:rsidR="001A63C6" w:rsidRPr="003410C7" w:rsidRDefault="001A63C6" w:rsidP="001A63C6">
            <w:pPr>
              <w:pStyle w:val="TableText"/>
              <w:widowControl w:val="0"/>
              <w:spacing w:before="80"/>
              <w:rPr>
                <w:rFonts w:ascii="Tahoma" w:hAnsi="Tahoma" w:cs="Tahoma"/>
                <w:sz w:val="13"/>
              </w:rPr>
            </w:pPr>
            <w:r w:rsidRPr="003410C7">
              <w:rPr>
                <w:rFonts w:ascii="Tahoma" w:hAnsi="Tahoma" w:cs="Tahoma"/>
                <w:sz w:val="13"/>
              </w:rPr>
              <w:t>05/10</w:t>
            </w:r>
          </w:p>
        </w:tc>
        <w:tc>
          <w:tcPr>
            <w:tcW w:w="360" w:type="dxa"/>
            <w:tcBorders>
              <w:bottom w:val="single" w:sz="4" w:space="0" w:color="auto"/>
              <w:right w:val="single" w:sz="18" w:space="0" w:color="auto"/>
            </w:tcBorders>
            <w:shd w:val="clear" w:color="auto" w:fill="auto"/>
            <w:vAlign w:val="center"/>
          </w:tcPr>
          <w:p w:rsidR="001A63C6" w:rsidRPr="003410C7" w:rsidRDefault="001A63C6" w:rsidP="001A63C6">
            <w:pPr>
              <w:pStyle w:val="TableText"/>
              <w:widowControl w:val="0"/>
              <w:rPr>
                <w:rFonts w:ascii="Tahoma" w:hAnsi="Tahoma" w:cs="Tahoma"/>
                <w:sz w:val="13"/>
              </w:rPr>
            </w:pPr>
          </w:p>
        </w:tc>
        <w:tc>
          <w:tcPr>
            <w:tcW w:w="2970" w:type="dxa"/>
            <w:gridSpan w:val="7"/>
            <w:tcBorders>
              <w:left w:val="single" w:sz="18" w:space="0" w:color="auto"/>
              <w:bottom w:val="single" w:sz="4" w:space="0" w:color="auto"/>
              <w:right w:val="single" w:sz="18" w:space="0" w:color="auto"/>
            </w:tcBorders>
            <w:shd w:val="clear" w:color="auto" w:fill="auto"/>
            <w:vAlign w:val="center"/>
          </w:tcPr>
          <w:p w:rsidR="001A63C6" w:rsidRPr="003410C7" w:rsidRDefault="001A63C6" w:rsidP="001A63C6">
            <w:pPr>
              <w:pStyle w:val="TableText"/>
              <w:widowControl w:val="0"/>
              <w:rPr>
                <w:rFonts w:ascii="Tahoma" w:hAnsi="Tahoma" w:cs="Tahoma"/>
                <w:sz w:val="13"/>
              </w:rPr>
            </w:pPr>
            <w:r w:rsidRPr="003410C7">
              <w:rPr>
                <w:rFonts w:ascii="Tahoma" w:hAnsi="Tahoma" w:cs="Tahoma"/>
                <w:sz w:val="13"/>
              </w:rPr>
              <w:t>125 crediti</w:t>
            </w:r>
          </w:p>
        </w:tc>
        <w:tc>
          <w:tcPr>
            <w:tcW w:w="450" w:type="dxa"/>
            <w:tcBorders>
              <w:left w:val="single" w:sz="18" w:space="0" w:color="auto"/>
              <w:bottom w:val="single" w:sz="4" w:space="0" w:color="auto"/>
            </w:tcBorders>
            <w:shd w:val="clear" w:color="auto" w:fill="auto"/>
            <w:vAlign w:val="center"/>
          </w:tcPr>
          <w:p w:rsidR="001A63C6" w:rsidRPr="003410C7"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3410C7"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1A63C6" w:rsidRPr="003410C7"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1A63C6" w:rsidRPr="003410C7"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1A63C6" w:rsidRPr="003410C7" w:rsidRDefault="001A63C6" w:rsidP="001A63C6">
            <w:pPr>
              <w:pStyle w:val="TableText"/>
              <w:widowControl w:val="0"/>
              <w:rPr>
                <w:rFonts w:ascii="Tahoma" w:hAnsi="Tahoma" w:cs="Tahoma"/>
                <w:sz w:val="13"/>
              </w:rPr>
            </w:pPr>
            <w:r w:rsidRPr="003410C7">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rsidR="001A63C6" w:rsidRPr="003410C7" w:rsidRDefault="001A63C6" w:rsidP="001A63C6">
            <w:pPr>
              <w:pStyle w:val="TableText"/>
              <w:widowControl w:val="0"/>
              <w:rPr>
                <w:rFonts w:ascii="Tahoma" w:hAnsi="Tahoma" w:cs="Tahoma"/>
                <w:sz w:val="13"/>
              </w:rPr>
            </w:pPr>
            <w:r w:rsidRPr="003410C7">
              <w:rPr>
                <w:rFonts w:ascii="Tahoma" w:hAnsi="Tahoma" w:cs="Tahoma"/>
                <w:sz w:val="13"/>
              </w:rPr>
              <w:t>P</w:t>
            </w:r>
          </w:p>
        </w:tc>
        <w:tc>
          <w:tcPr>
            <w:tcW w:w="450" w:type="dxa"/>
            <w:tcBorders>
              <w:bottom w:val="single" w:sz="4" w:space="0" w:color="auto"/>
            </w:tcBorders>
            <w:shd w:val="clear" w:color="auto" w:fill="auto"/>
          </w:tcPr>
          <w:p w:rsidR="001A63C6" w:rsidRPr="003410C7" w:rsidRDefault="001A63C6" w:rsidP="001A63C6">
            <w:pPr>
              <w:pStyle w:val="TableText"/>
              <w:widowControl w:val="0"/>
              <w:spacing w:before="120"/>
              <w:rPr>
                <w:rFonts w:ascii="Tahoma" w:hAnsi="Tahoma" w:cs="Tahoma"/>
                <w:sz w:val="13"/>
              </w:rPr>
            </w:pPr>
            <w:r w:rsidRPr="003410C7">
              <w:rPr>
                <w:rFonts w:ascii="Tahoma" w:hAnsi="Tahoma" w:cs="Tahoma"/>
                <w:sz w:val="13"/>
              </w:rPr>
              <w:t>A</w:t>
            </w:r>
          </w:p>
        </w:tc>
        <w:tc>
          <w:tcPr>
            <w:tcW w:w="540" w:type="dxa"/>
            <w:tcBorders>
              <w:bottom w:val="single" w:sz="4" w:space="0" w:color="auto"/>
            </w:tcBorders>
            <w:shd w:val="clear" w:color="auto" w:fill="auto"/>
            <w:vAlign w:val="center"/>
          </w:tcPr>
          <w:p w:rsidR="001A63C6" w:rsidRPr="003410C7" w:rsidRDefault="001A63C6" w:rsidP="001A63C6">
            <w:pPr>
              <w:pStyle w:val="TableText"/>
              <w:widowControl w:val="0"/>
              <w:rPr>
                <w:rFonts w:ascii="Tahoma" w:hAnsi="Tahoma" w:cs="Tahoma"/>
                <w:sz w:val="13"/>
              </w:rPr>
            </w:pPr>
          </w:p>
        </w:tc>
      </w:tr>
      <w:tr w:rsidR="00EF228F" w:rsidRPr="003410C7" w:rsidTr="006B1F3F">
        <w:trPr>
          <w:trHeight w:val="145"/>
        </w:trPr>
        <w:tc>
          <w:tcPr>
            <w:tcW w:w="2734" w:type="dxa"/>
            <w:gridSpan w:val="2"/>
            <w:tcBorders>
              <w:bottom w:val="single" w:sz="4" w:space="0" w:color="auto"/>
            </w:tcBorders>
            <w:shd w:val="clear" w:color="auto" w:fill="FABF8F"/>
          </w:tcPr>
          <w:p w:rsidR="001A63C6" w:rsidRPr="003410C7" w:rsidRDefault="001A63C6" w:rsidP="001A63C6">
            <w:pPr>
              <w:pStyle w:val="ProductNames"/>
              <w:rPr>
                <w:rFonts w:ascii="Tahoma" w:hAnsi="Tahoma" w:cs="Tahoma"/>
                <w:sz w:val="14"/>
              </w:rPr>
            </w:pPr>
            <w:bookmarkStart w:id="287" w:name="_Toc336337990"/>
            <w:bookmarkStart w:id="288" w:name="_Toc352234601"/>
            <w:r w:rsidRPr="003410C7">
              <w:rPr>
                <w:rFonts w:ascii="Tahoma" w:hAnsi="Tahoma" w:cs="Tahoma"/>
                <w:sz w:val="14"/>
              </w:rPr>
              <w:t>HPC Pack 2008 R2 Enterprise</w:t>
            </w:r>
            <w:bookmarkEnd w:id="287"/>
            <w:bookmarkEnd w:id="288"/>
          </w:p>
        </w:tc>
        <w:tc>
          <w:tcPr>
            <w:tcW w:w="450" w:type="dxa"/>
            <w:tcBorders>
              <w:bottom w:val="single" w:sz="4" w:space="0" w:color="auto"/>
            </w:tcBorders>
            <w:shd w:val="clear" w:color="auto" w:fill="FABF8F"/>
            <w:vAlign w:val="center"/>
          </w:tcPr>
          <w:p w:rsidR="001A63C6" w:rsidRPr="009F17FF" w:rsidRDefault="00FC1A4D" w:rsidP="00EF228F">
            <w:pPr>
              <w:pStyle w:val="TableText"/>
              <w:widowControl w:val="0"/>
              <w:rPr>
                <w:rStyle w:val="EndnoteReference"/>
                <w:rFonts w:cs="Tahoma"/>
                <w:color w:val="000000"/>
                <w:sz w:val="13"/>
                <w:szCs w:val="13"/>
                <w:u w:val="single"/>
              </w:rPr>
            </w:pPr>
            <w:hyperlink w:anchor="_51_High_Performance" w:history="1">
              <w:r w:rsidR="000D77F6" w:rsidRPr="009F17FF">
                <w:rPr>
                  <w:rStyle w:val="Hyperlink"/>
                  <w:b/>
                  <w:sz w:val="13"/>
                  <w:szCs w:val="13"/>
                </w:rPr>
                <w:t>61</w:t>
              </w:r>
            </w:hyperlink>
            <w:hyperlink w:anchor="Srv_54HighPerfComputingPack" w:history="1"/>
          </w:p>
        </w:tc>
        <w:tc>
          <w:tcPr>
            <w:tcW w:w="450" w:type="dxa"/>
            <w:tcBorders>
              <w:bottom w:val="single" w:sz="4" w:space="0" w:color="auto"/>
            </w:tcBorders>
            <w:shd w:val="clear" w:color="auto" w:fill="FABF8F"/>
          </w:tcPr>
          <w:p w:rsidR="001A63C6" w:rsidRPr="003410C7" w:rsidRDefault="001A63C6" w:rsidP="001A63C6">
            <w:pPr>
              <w:pStyle w:val="TableText"/>
              <w:widowControl w:val="0"/>
              <w:spacing w:before="80"/>
              <w:rPr>
                <w:rFonts w:ascii="Tahoma" w:hAnsi="Tahoma" w:cs="Tahoma"/>
                <w:sz w:val="13"/>
              </w:rPr>
            </w:pPr>
            <w:r w:rsidRPr="003410C7">
              <w:rPr>
                <w:rFonts w:ascii="Tahoma" w:hAnsi="Tahoma" w:cs="Tahoma"/>
                <w:sz w:val="13"/>
              </w:rPr>
              <w:t>09/10</w:t>
            </w:r>
          </w:p>
        </w:tc>
        <w:tc>
          <w:tcPr>
            <w:tcW w:w="360" w:type="dxa"/>
            <w:tcBorders>
              <w:bottom w:val="single" w:sz="4" w:space="0" w:color="auto"/>
              <w:right w:val="single" w:sz="18" w:space="0" w:color="auto"/>
            </w:tcBorders>
            <w:shd w:val="clear" w:color="auto" w:fill="FABF8F"/>
            <w:vAlign w:val="center"/>
          </w:tcPr>
          <w:p w:rsidR="001A63C6" w:rsidRPr="003410C7" w:rsidRDefault="001A63C6" w:rsidP="001A63C6">
            <w:pPr>
              <w:pStyle w:val="TableText"/>
              <w:widowControl w:val="0"/>
              <w:rPr>
                <w:rFonts w:ascii="Tahoma" w:hAnsi="Tahoma" w:cs="Tahoma"/>
                <w:sz w:val="13"/>
              </w:rPr>
            </w:pPr>
            <w:r w:rsidRPr="003410C7">
              <w:rPr>
                <w:rFonts w:ascii="Tahoma" w:hAnsi="Tahoma" w:cs="Tahoma"/>
                <w:sz w:val="13"/>
              </w:rPr>
              <w:t>SRV</w:t>
            </w:r>
          </w:p>
        </w:tc>
        <w:tc>
          <w:tcPr>
            <w:tcW w:w="360" w:type="dxa"/>
            <w:tcBorders>
              <w:left w:val="single" w:sz="18" w:space="0" w:color="auto"/>
              <w:bottom w:val="single" w:sz="4" w:space="0" w:color="auto"/>
            </w:tcBorders>
            <w:shd w:val="clear" w:color="auto" w:fill="FABF8F"/>
            <w:vAlign w:val="center"/>
          </w:tcPr>
          <w:p w:rsidR="001A63C6" w:rsidRPr="003410C7" w:rsidRDefault="001A63C6" w:rsidP="001A63C6">
            <w:pPr>
              <w:pStyle w:val="TableText"/>
              <w:widowControl w:val="0"/>
              <w:rPr>
                <w:rFonts w:ascii="Tahoma" w:hAnsi="Tahoma" w:cs="Tahoma"/>
                <w:color w:val="000000"/>
                <w:sz w:val="13"/>
              </w:rPr>
            </w:pPr>
          </w:p>
        </w:tc>
        <w:tc>
          <w:tcPr>
            <w:tcW w:w="450" w:type="dxa"/>
            <w:tcBorders>
              <w:bottom w:val="single" w:sz="4" w:space="0" w:color="auto"/>
            </w:tcBorders>
            <w:shd w:val="clear" w:color="auto" w:fill="FABF8F"/>
            <w:vAlign w:val="center"/>
          </w:tcPr>
          <w:p w:rsidR="001A63C6" w:rsidRPr="003410C7" w:rsidRDefault="001A63C6" w:rsidP="001A63C6">
            <w:pPr>
              <w:pStyle w:val="TableText"/>
              <w:widowControl w:val="0"/>
              <w:rPr>
                <w:rFonts w:ascii="Tahoma" w:hAnsi="Tahoma" w:cs="Tahoma"/>
                <w:color w:val="000000"/>
                <w:sz w:val="13"/>
              </w:rPr>
            </w:pPr>
          </w:p>
        </w:tc>
        <w:tc>
          <w:tcPr>
            <w:tcW w:w="450" w:type="dxa"/>
            <w:tcBorders>
              <w:bottom w:val="single" w:sz="4" w:space="0" w:color="auto"/>
            </w:tcBorders>
            <w:shd w:val="clear" w:color="auto" w:fill="FABF8F"/>
            <w:vAlign w:val="center"/>
          </w:tcPr>
          <w:p w:rsidR="001A63C6" w:rsidRPr="003410C7" w:rsidRDefault="001A63C6" w:rsidP="001A63C6">
            <w:pPr>
              <w:pStyle w:val="TableText"/>
              <w:widowControl w:val="0"/>
              <w:rPr>
                <w:rFonts w:ascii="Tahoma" w:hAnsi="Tahoma" w:cs="Tahoma"/>
                <w:color w:val="000000"/>
                <w:sz w:val="13"/>
              </w:rPr>
            </w:pPr>
          </w:p>
        </w:tc>
        <w:tc>
          <w:tcPr>
            <w:tcW w:w="450" w:type="dxa"/>
            <w:tcBorders>
              <w:bottom w:val="single" w:sz="4" w:space="0" w:color="auto"/>
            </w:tcBorders>
            <w:shd w:val="clear" w:color="auto" w:fill="FABF8F"/>
            <w:vAlign w:val="center"/>
          </w:tcPr>
          <w:p w:rsidR="001A63C6" w:rsidRPr="003410C7" w:rsidRDefault="001A63C6" w:rsidP="001A63C6">
            <w:pPr>
              <w:pStyle w:val="TableText"/>
              <w:widowControl w:val="0"/>
              <w:rPr>
                <w:rFonts w:ascii="Tahoma" w:hAnsi="Tahoma" w:cs="Tahoma"/>
                <w:color w:val="000000"/>
                <w:sz w:val="13"/>
              </w:rPr>
            </w:pPr>
          </w:p>
        </w:tc>
        <w:tc>
          <w:tcPr>
            <w:tcW w:w="450" w:type="dxa"/>
            <w:tcBorders>
              <w:bottom w:val="single" w:sz="4" w:space="0" w:color="auto"/>
            </w:tcBorders>
            <w:shd w:val="clear" w:color="auto" w:fill="FABF8F"/>
            <w:vAlign w:val="center"/>
          </w:tcPr>
          <w:p w:rsidR="001A63C6" w:rsidRPr="003410C7" w:rsidRDefault="001A63C6" w:rsidP="001A63C6">
            <w:pPr>
              <w:pStyle w:val="TableText"/>
              <w:widowControl w:val="0"/>
              <w:rPr>
                <w:rFonts w:ascii="Tahoma" w:hAnsi="Tahoma" w:cs="Tahoma"/>
                <w:color w:val="000000"/>
                <w:sz w:val="13"/>
              </w:rPr>
            </w:pPr>
          </w:p>
        </w:tc>
        <w:tc>
          <w:tcPr>
            <w:tcW w:w="450" w:type="dxa"/>
            <w:tcBorders>
              <w:bottom w:val="single" w:sz="4" w:space="0" w:color="auto"/>
            </w:tcBorders>
            <w:shd w:val="clear" w:color="auto" w:fill="FABF8F"/>
            <w:vAlign w:val="center"/>
          </w:tcPr>
          <w:p w:rsidR="001A63C6" w:rsidRPr="003410C7" w:rsidRDefault="001A63C6" w:rsidP="001A63C6">
            <w:pPr>
              <w:pStyle w:val="TableText"/>
              <w:widowControl w:val="0"/>
              <w:rPr>
                <w:rFonts w:ascii="Tahoma" w:hAnsi="Tahoma" w:cs="Tahoma"/>
                <w:color w:val="000000"/>
                <w:sz w:val="13"/>
              </w:rPr>
            </w:pPr>
          </w:p>
        </w:tc>
        <w:tc>
          <w:tcPr>
            <w:tcW w:w="360" w:type="dxa"/>
            <w:tcBorders>
              <w:bottom w:val="single" w:sz="4" w:space="0" w:color="auto"/>
              <w:right w:val="single" w:sz="18" w:space="0" w:color="auto"/>
            </w:tcBorders>
            <w:shd w:val="clear" w:color="auto" w:fill="FABF8F"/>
            <w:vAlign w:val="center"/>
          </w:tcPr>
          <w:p w:rsidR="001A63C6" w:rsidRPr="003410C7" w:rsidRDefault="001A63C6" w:rsidP="001A63C6">
            <w:pPr>
              <w:pStyle w:val="TableText"/>
              <w:widowControl w:val="0"/>
              <w:rPr>
                <w:rFonts w:ascii="Tahoma" w:hAnsi="Tahoma" w:cs="Tahoma"/>
                <w:color w:val="000000"/>
                <w:sz w:val="13"/>
              </w:rPr>
            </w:pPr>
          </w:p>
        </w:tc>
        <w:tc>
          <w:tcPr>
            <w:tcW w:w="450" w:type="dxa"/>
            <w:tcBorders>
              <w:left w:val="single" w:sz="18" w:space="0" w:color="auto"/>
              <w:bottom w:val="single" w:sz="4" w:space="0" w:color="auto"/>
            </w:tcBorders>
            <w:shd w:val="clear" w:color="auto" w:fill="FABF8F"/>
            <w:vAlign w:val="center"/>
          </w:tcPr>
          <w:p w:rsidR="001A63C6" w:rsidRPr="003410C7" w:rsidRDefault="001A63C6" w:rsidP="001A63C6">
            <w:pPr>
              <w:pStyle w:val="TableText"/>
              <w:widowControl w:val="0"/>
              <w:rPr>
                <w:rFonts w:ascii="Tahoma" w:hAnsi="Tahoma" w:cs="Tahoma"/>
                <w:color w:val="000000"/>
                <w:sz w:val="13"/>
              </w:rPr>
            </w:pPr>
          </w:p>
        </w:tc>
        <w:tc>
          <w:tcPr>
            <w:tcW w:w="450" w:type="dxa"/>
            <w:tcBorders>
              <w:bottom w:val="single" w:sz="4" w:space="0" w:color="auto"/>
            </w:tcBorders>
            <w:shd w:val="clear" w:color="auto" w:fill="FABF8F"/>
            <w:vAlign w:val="center"/>
          </w:tcPr>
          <w:p w:rsidR="001A63C6" w:rsidRPr="003410C7" w:rsidRDefault="001A63C6" w:rsidP="001A63C6">
            <w:pPr>
              <w:pStyle w:val="TableText"/>
              <w:widowControl w:val="0"/>
              <w:rPr>
                <w:rFonts w:ascii="Tahoma" w:hAnsi="Tahoma" w:cs="Tahoma"/>
                <w:color w:val="000000"/>
                <w:sz w:val="13"/>
              </w:rPr>
            </w:pPr>
          </w:p>
        </w:tc>
        <w:tc>
          <w:tcPr>
            <w:tcW w:w="450" w:type="dxa"/>
            <w:tcBorders>
              <w:bottom w:val="single" w:sz="4" w:space="0" w:color="auto"/>
              <w:right w:val="single" w:sz="18" w:space="0" w:color="auto"/>
            </w:tcBorders>
            <w:shd w:val="clear" w:color="auto" w:fill="FABF8F"/>
            <w:vAlign w:val="center"/>
          </w:tcPr>
          <w:p w:rsidR="001A63C6" w:rsidRPr="003410C7" w:rsidRDefault="001A63C6" w:rsidP="001A63C6">
            <w:pPr>
              <w:pStyle w:val="TableText"/>
              <w:widowControl w:val="0"/>
              <w:rPr>
                <w:rFonts w:ascii="Tahoma" w:hAnsi="Tahoma" w:cs="Tahoma"/>
                <w:color w:val="000000"/>
                <w:sz w:val="13"/>
              </w:rPr>
            </w:pPr>
          </w:p>
        </w:tc>
        <w:tc>
          <w:tcPr>
            <w:tcW w:w="450" w:type="dxa"/>
            <w:tcBorders>
              <w:left w:val="single" w:sz="18" w:space="0" w:color="auto"/>
              <w:bottom w:val="single" w:sz="4" w:space="0" w:color="auto"/>
            </w:tcBorders>
            <w:shd w:val="clear" w:color="auto" w:fill="FABF8F"/>
            <w:vAlign w:val="center"/>
          </w:tcPr>
          <w:p w:rsidR="001A63C6" w:rsidRPr="003410C7" w:rsidRDefault="001A63C6" w:rsidP="001A63C6">
            <w:pPr>
              <w:pStyle w:val="TableText"/>
              <w:widowControl w:val="0"/>
              <w:rPr>
                <w:rFonts w:ascii="Tahoma" w:hAnsi="Tahoma" w:cs="Tahoma"/>
                <w:color w:val="000000"/>
                <w:sz w:val="13"/>
              </w:rPr>
            </w:pPr>
          </w:p>
        </w:tc>
        <w:tc>
          <w:tcPr>
            <w:tcW w:w="450" w:type="dxa"/>
            <w:tcBorders>
              <w:bottom w:val="single" w:sz="4" w:space="0" w:color="auto"/>
              <w:right w:val="single" w:sz="18" w:space="0" w:color="auto"/>
            </w:tcBorders>
            <w:shd w:val="clear" w:color="auto" w:fill="FABF8F"/>
            <w:vAlign w:val="center"/>
          </w:tcPr>
          <w:p w:rsidR="001A63C6" w:rsidRPr="003410C7" w:rsidRDefault="001A63C6" w:rsidP="001A63C6">
            <w:pPr>
              <w:pStyle w:val="TableText"/>
              <w:widowControl w:val="0"/>
              <w:rPr>
                <w:rFonts w:ascii="Tahoma" w:hAnsi="Tahoma" w:cs="Tahoma"/>
                <w:color w:val="000000"/>
                <w:sz w:val="13"/>
              </w:rPr>
            </w:pP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3410C7"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tcPr>
          <w:p w:rsidR="001A63C6" w:rsidRPr="003410C7" w:rsidRDefault="001A63C6" w:rsidP="001A63C6">
            <w:pPr>
              <w:pStyle w:val="TableText"/>
              <w:widowControl w:val="0"/>
              <w:spacing w:before="120"/>
              <w:rPr>
                <w:rFonts w:ascii="Tahoma" w:hAnsi="Tahoma" w:cs="Tahoma"/>
                <w:sz w:val="13"/>
              </w:rPr>
            </w:pPr>
          </w:p>
        </w:tc>
        <w:tc>
          <w:tcPr>
            <w:tcW w:w="540" w:type="dxa"/>
            <w:tcBorders>
              <w:bottom w:val="single" w:sz="4" w:space="0" w:color="auto"/>
            </w:tcBorders>
            <w:shd w:val="clear" w:color="auto" w:fill="FABF8F"/>
            <w:vAlign w:val="center"/>
          </w:tcPr>
          <w:p w:rsidR="001A63C6" w:rsidRPr="003410C7" w:rsidRDefault="001A63C6" w:rsidP="001A63C6">
            <w:pPr>
              <w:pStyle w:val="TableText"/>
              <w:widowControl w:val="0"/>
              <w:rPr>
                <w:rFonts w:ascii="Tahoma" w:hAnsi="Tahoma" w:cs="Tahoma"/>
                <w:sz w:val="13"/>
              </w:rPr>
            </w:pPr>
          </w:p>
        </w:tc>
      </w:tr>
      <w:tr w:rsidR="00B33D0E" w:rsidRPr="003410C7" w:rsidTr="006B1F3F">
        <w:trPr>
          <w:trHeight w:val="145"/>
        </w:trPr>
        <w:tc>
          <w:tcPr>
            <w:tcW w:w="2734" w:type="dxa"/>
            <w:gridSpan w:val="2"/>
            <w:tcBorders>
              <w:bottom w:val="single" w:sz="4" w:space="0" w:color="auto"/>
            </w:tcBorders>
            <w:shd w:val="clear" w:color="auto" w:fill="auto"/>
          </w:tcPr>
          <w:p w:rsidR="001A63C6" w:rsidRPr="003410C7" w:rsidRDefault="001A63C6" w:rsidP="001A63C6">
            <w:pPr>
              <w:pStyle w:val="ProductNames"/>
              <w:rPr>
                <w:rFonts w:ascii="Tahoma" w:hAnsi="Tahoma" w:cs="Tahoma"/>
                <w:sz w:val="14"/>
              </w:rPr>
            </w:pPr>
            <w:bookmarkStart w:id="289" w:name="_Toc336337991"/>
            <w:bookmarkStart w:id="290" w:name="_Toc352234602"/>
            <w:r w:rsidRPr="003410C7">
              <w:rPr>
                <w:rFonts w:ascii="Tahoma" w:hAnsi="Tahoma" w:cs="Tahoma"/>
                <w:sz w:val="14"/>
              </w:rPr>
              <w:t>HPC Pack 2008 R2 per Workstation</w:t>
            </w:r>
            <w:bookmarkEnd w:id="289"/>
            <w:bookmarkEnd w:id="290"/>
          </w:p>
        </w:tc>
        <w:tc>
          <w:tcPr>
            <w:tcW w:w="450" w:type="dxa"/>
            <w:tcBorders>
              <w:bottom w:val="single" w:sz="4" w:space="0" w:color="auto"/>
            </w:tcBorders>
            <w:shd w:val="clear" w:color="auto" w:fill="auto"/>
            <w:vAlign w:val="center"/>
          </w:tcPr>
          <w:p w:rsidR="001A63C6" w:rsidRPr="009F17FF" w:rsidRDefault="00FC1A4D" w:rsidP="00EF228F">
            <w:pPr>
              <w:pStyle w:val="TableText"/>
              <w:widowControl w:val="0"/>
              <w:rPr>
                <w:rStyle w:val="EndnoteReference"/>
                <w:rFonts w:cs="Tahoma"/>
                <w:color w:val="000000"/>
                <w:sz w:val="13"/>
                <w:szCs w:val="13"/>
                <w:u w:val="single"/>
              </w:rPr>
            </w:pPr>
            <w:hyperlink w:anchor="_63_61_HPC" w:history="1">
              <w:r w:rsidR="000D77F6" w:rsidRPr="009F17FF">
                <w:rPr>
                  <w:rStyle w:val="Hyperlink"/>
                  <w:b/>
                  <w:sz w:val="13"/>
                  <w:szCs w:val="13"/>
                </w:rPr>
                <w:t>61</w:t>
              </w:r>
            </w:hyperlink>
          </w:p>
        </w:tc>
        <w:tc>
          <w:tcPr>
            <w:tcW w:w="450" w:type="dxa"/>
            <w:tcBorders>
              <w:bottom w:val="single" w:sz="4" w:space="0" w:color="auto"/>
            </w:tcBorders>
            <w:shd w:val="clear" w:color="auto" w:fill="auto"/>
          </w:tcPr>
          <w:p w:rsidR="001A63C6" w:rsidRPr="003410C7" w:rsidRDefault="001A63C6" w:rsidP="001A63C6">
            <w:pPr>
              <w:pStyle w:val="TableText"/>
              <w:widowControl w:val="0"/>
              <w:spacing w:before="80"/>
              <w:rPr>
                <w:rFonts w:ascii="Tahoma" w:hAnsi="Tahoma" w:cs="Tahoma"/>
                <w:sz w:val="13"/>
              </w:rPr>
            </w:pPr>
            <w:r w:rsidRPr="003410C7">
              <w:rPr>
                <w:rFonts w:ascii="Tahoma" w:hAnsi="Tahoma" w:cs="Tahoma"/>
                <w:sz w:val="13"/>
              </w:rPr>
              <w:t>09/10</w:t>
            </w:r>
          </w:p>
        </w:tc>
        <w:tc>
          <w:tcPr>
            <w:tcW w:w="360" w:type="dxa"/>
            <w:tcBorders>
              <w:bottom w:val="single" w:sz="4" w:space="0" w:color="auto"/>
              <w:right w:val="single" w:sz="18" w:space="0" w:color="auto"/>
            </w:tcBorders>
            <w:shd w:val="clear" w:color="auto" w:fill="auto"/>
            <w:vAlign w:val="center"/>
          </w:tcPr>
          <w:p w:rsidR="001A63C6" w:rsidRPr="003410C7" w:rsidRDefault="001A63C6" w:rsidP="001A63C6">
            <w:pPr>
              <w:pStyle w:val="TableText"/>
              <w:widowControl w:val="0"/>
              <w:rPr>
                <w:rFonts w:ascii="Tahoma" w:hAnsi="Tahoma" w:cs="Tahoma"/>
                <w:sz w:val="13"/>
              </w:rPr>
            </w:pPr>
            <w:r w:rsidRPr="003410C7">
              <w:rPr>
                <w:rFonts w:ascii="Tahoma" w:hAnsi="Tahoma" w:cs="Tahoma"/>
                <w:sz w:val="13"/>
              </w:rPr>
              <w:t>SRV</w:t>
            </w:r>
          </w:p>
        </w:tc>
        <w:tc>
          <w:tcPr>
            <w:tcW w:w="360" w:type="dxa"/>
            <w:tcBorders>
              <w:left w:val="single" w:sz="18" w:space="0" w:color="auto"/>
              <w:bottom w:val="single" w:sz="4" w:space="0" w:color="auto"/>
            </w:tcBorders>
            <w:shd w:val="clear" w:color="auto" w:fill="auto"/>
            <w:vAlign w:val="center"/>
          </w:tcPr>
          <w:p w:rsidR="001A63C6" w:rsidRPr="003410C7" w:rsidRDefault="001A63C6" w:rsidP="001A63C6">
            <w:pPr>
              <w:pStyle w:val="TableText"/>
              <w:widowControl w:val="0"/>
              <w:rPr>
                <w:rFonts w:ascii="Tahoma" w:hAnsi="Tahoma" w:cs="Tahoma"/>
                <w:color w:val="000000"/>
                <w:sz w:val="13"/>
              </w:rPr>
            </w:pPr>
          </w:p>
        </w:tc>
        <w:tc>
          <w:tcPr>
            <w:tcW w:w="450" w:type="dxa"/>
            <w:tcBorders>
              <w:bottom w:val="single" w:sz="4" w:space="0" w:color="auto"/>
            </w:tcBorders>
            <w:shd w:val="clear" w:color="auto" w:fill="auto"/>
            <w:vAlign w:val="center"/>
          </w:tcPr>
          <w:p w:rsidR="001A63C6" w:rsidRPr="003410C7" w:rsidRDefault="001A63C6" w:rsidP="001A63C6">
            <w:pPr>
              <w:pStyle w:val="TableText"/>
              <w:widowControl w:val="0"/>
              <w:rPr>
                <w:rFonts w:ascii="Tahoma" w:hAnsi="Tahoma" w:cs="Tahoma"/>
                <w:color w:val="000000"/>
                <w:sz w:val="13"/>
              </w:rPr>
            </w:pPr>
          </w:p>
        </w:tc>
        <w:tc>
          <w:tcPr>
            <w:tcW w:w="450" w:type="dxa"/>
            <w:tcBorders>
              <w:bottom w:val="single" w:sz="4" w:space="0" w:color="auto"/>
            </w:tcBorders>
            <w:shd w:val="clear" w:color="auto" w:fill="auto"/>
            <w:vAlign w:val="center"/>
          </w:tcPr>
          <w:p w:rsidR="001A63C6" w:rsidRPr="003410C7" w:rsidRDefault="001A63C6" w:rsidP="001A63C6">
            <w:pPr>
              <w:pStyle w:val="TableText"/>
              <w:widowControl w:val="0"/>
              <w:rPr>
                <w:rFonts w:ascii="Tahoma" w:hAnsi="Tahoma" w:cs="Tahoma"/>
                <w:color w:val="000000"/>
                <w:sz w:val="13"/>
              </w:rPr>
            </w:pPr>
          </w:p>
        </w:tc>
        <w:tc>
          <w:tcPr>
            <w:tcW w:w="450" w:type="dxa"/>
            <w:tcBorders>
              <w:bottom w:val="single" w:sz="4" w:space="0" w:color="auto"/>
            </w:tcBorders>
            <w:shd w:val="clear" w:color="auto" w:fill="auto"/>
            <w:vAlign w:val="center"/>
          </w:tcPr>
          <w:p w:rsidR="001A63C6" w:rsidRPr="003410C7" w:rsidRDefault="001A63C6" w:rsidP="001A63C6">
            <w:pPr>
              <w:pStyle w:val="TableText"/>
              <w:widowControl w:val="0"/>
              <w:rPr>
                <w:rFonts w:ascii="Tahoma" w:hAnsi="Tahoma" w:cs="Tahoma"/>
                <w:color w:val="000000"/>
                <w:sz w:val="13"/>
              </w:rPr>
            </w:pPr>
          </w:p>
        </w:tc>
        <w:tc>
          <w:tcPr>
            <w:tcW w:w="450" w:type="dxa"/>
            <w:tcBorders>
              <w:bottom w:val="single" w:sz="4" w:space="0" w:color="auto"/>
            </w:tcBorders>
            <w:shd w:val="clear" w:color="auto" w:fill="auto"/>
            <w:vAlign w:val="center"/>
          </w:tcPr>
          <w:p w:rsidR="001A63C6" w:rsidRPr="003410C7" w:rsidRDefault="001A63C6" w:rsidP="001A63C6">
            <w:pPr>
              <w:pStyle w:val="TableText"/>
              <w:widowControl w:val="0"/>
              <w:rPr>
                <w:rFonts w:ascii="Tahoma" w:hAnsi="Tahoma" w:cs="Tahoma"/>
                <w:color w:val="000000"/>
                <w:sz w:val="13"/>
              </w:rPr>
            </w:pPr>
          </w:p>
        </w:tc>
        <w:tc>
          <w:tcPr>
            <w:tcW w:w="450" w:type="dxa"/>
            <w:tcBorders>
              <w:bottom w:val="single" w:sz="4" w:space="0" w:color="auto"/>
            </w:tcBorders>
            <w:shd w:val="clear" w:color="auto" w:fill="auto"/>
            <w:vAlign w:val="center"/>
          </w:tcPr>
          <w:p w:rsidR="001A63C6" w:rsidRPr="003410C7" w:rsidRDefault="001A63C6" w:rsidP="001A63C6">
            <w:pPr>
              <w:pStyle w:val="TableText"/>
              <w:widowControl w:val="0"/>
              <w:rPr>
                <w:rFonts w:ascii="Tahoma" w:hAnsi="Tahoma" w:cs="Tahoma"/>
                <w:color w:val="000000"/>
                <w:sz w:val="13"/>
              </w:rPr>
            </w:pPr>
          </w:p>
        </w:tc>
        <w:tc>
          <w:tcPr>
            <w:tcW w:w="360" w:type="dxa"/>
            <w:tcBorders>
              <w:bottom w:val="single" w:sz="4" w:space="0" w:color="auto"/>
              <w:right w:val="single" w:sz="18" w:space="0" w:color="auto"/>
            </w:tcBorders>
            <w:shd w:val="clear" w:color="auto" w:fill="auto"/>
            <w:vAlign w:val="center"/>
          </w:tcPr>
          <w:p w:rsidR="001A63C6" w:rsidRPr="003410C7" w:rsidRDefault="001A63C6" w:rsidP="001A63C6">
            <w:pPr>
              <w:pStyle w:val="TableText"/>
              <w:widowControl w:val="0"/>
              <w:rPr>
                <w:rFonts w:ascii="Tahoma" w:hAnsi="Tahoma" w:cs="Tahoma"/>
                <w:color w:val="000000"/>
                <w:sz w:val="13"/>
              </w:rPr>
            </w:pPr>
          </w:p>
        </w:tc>
        <w:tc>
          <w:tcPr>
            <w:tcW w:w="450" w:type="dxa"/>
            <w:tcBorders>
              <w:left w:val="single" w:sz="18" w:space="0" w:color="auto"/>
              <w:bottom w:val="single" w:sz="4" w:space="0" w:color="auto"/>
            </w:tcBorders>
            <w:shd w:val="clear" w:color="auto" w:fill="auto"/>
            <w:vAlign w:val="center"/>
          </w:tcPr>
          <w:p w:rsidR="001A63C6" w:rsidRPr="003410C7" w:rsidRDefault="001A63C6" w:rsidP="001A63C6">
            <w:pPr>
              <w:pStyle w:val="TableText"/>
              <w:widowControl w:val="0"/>
              <w:rPr>
                <w:rFonts w:ascii="Tahoma" w:hAnsi="Tahoma" w:cs="Tahoma"/>
                <w:color w:val="000000"/>
                <w:sz w:val="13"/>
              </w:rPr>
            </w:pPr>
          </w:p>
        </w:tc>
        <w:tc>
          <w:tcPr>
            <w:tcW w:w="450" w:type="dxa"/>
            <w:tcBorders>
              <w:bottom w:val="single" w:sz="4" w:space="0" w:color="auto"/>
            </w:tcBorders>
            <w:shd w:val="clear" w:color="auto" w:fill="auto"/>
            <w:vAlign w:val="center"/>
          </w:tcPr>
          <w:p w:rsidR="001A63C6" w:rsidRPr="003410C7" w:rsidRDefault="001A63C6" w:rsidP="001A63C6">
            <w:pPr>
              <w:pStyle w:val="TableText"/>
              <w:widowControl w:val="0"/>
              <w:rPr>
                <w:rFonts w:ascii="Tahoma" w:hAnsi="Tahoma" w:cs="Tahoma"/>
                <w:color w:val="000000"/>
                <w:sz w:val="13"/>
              </w:rPr>
            </w:pPr>
          </w:p>
        </w:tc>
        <w:tc>
          <w:tcPr>
            <w:tcW w:w="450" w:type="dxa"/>
            <w:tcBorders>
              <w:bottom w:val="single" w:sz="4" w:space="0" w:color="auto"/>
              <w:right w:val="single" w:sz="18" w:space="0" w:color="auto"/>
            </w:tcBorders>
            <w:shd w:val="clear" w:color="auto" w:fill="auto"/>
            <w:vAlign w:val="center"/>
          </w:tcPr>
          <w:p w:rsidR="001A63C6" w:rsidRPr="003410C7" w:rsidRDefault="001A63C6" w:rsidP="001A63C6">
            <w:pPr>
              <w:pStyle w:val="TableText"/>
              <w:widowControl w:val="0"/>
              <w:rPr>
                <w:rFonts w:ascii="Tahoma" w:hAnsi="Tahoma" w:cs="Tahoma"/>
                <w:color w:val="000000"/>
                <w:sz w:val="13"/>
              </w:rPr>
            </w:pPr>
          </w:p>
        </w:tc>
        <w:tc>
          <w:tcPr>
            <w:tcW w:w="450" w:type="dxa"/>
            <w:tcBorders>
              <w:left w:val="single" w:sz="18" w:space="0" w:color="auto"/>
              <w:bottom w:val="single" w:sz="4" w:space="0" w:color="auto"/>
            </w:tcBorders>
            <w:shd w:val="clear" w:color="auto" w:fill="auto"/>
            <w:vAlign w:val="center"/>
          </w:tcPr>
          <w:p w:rsidR="001A63C6" w:rsidRPr="003410C7" w:rsidRDefault="001A63C6" w:rsidP="001A63C6">
            <w:pPr>
              <w:pStyle w:val="TableText"/>
              <w:widowControl w:val="0"/>
              <w:rPr>
                <w:rFonts w:ascii="Tahoma" w:hAnsi="Tahoma" w:cs="Tahoma"/>
                <w:color w:val="000000"/>
                <w:sz w:val="13"/>
              </w:rPr>
            </w:pPr>
          </w:p>
        </w:tc>
        <w:tc>
          <w:tcPr>
            <w:tcW w:w="450" w:type="dxa"/>
            <w:tcBorders>
              <w:bottom w:val="single" w:sz="4" w:space="0" w:color="auto"/>
              <w:right w:val="single" w:sz="18" w:space="0" w:color="auto"/>
            </w:tcBorders>
            <w:shd w:val="clear" w:color="auto" w:fill="auto"/>
            <w:vAlign w:val="center"/>
          </w:tcPr>
          <w:p w:rsidR="001A63C6" w:rsidRPr="003410C7" w:rsidRDefault="001A63C6" w:rsidP="001A63C6">
            <w:pPr>
              <w:pStyle w:val="TableText"/>
              <w:widowControl w:val="0"/>
              <w:rPr>
                <w:rFonts w:ascii="Tahoma" w:hAnsi="Tahoma" w:cs="Tahoma"/>
                <w:color w:val="000000"/>
                <w:sz w:val="13"/>
              </w:rPr>
            </w:pPr>
          </w:p>
        </w:tc>
        <w:tc>
          <w:tcPr>
            <w:tcW w:w="450" w:type="dxa"/>
            <w:tcBorders>
              <w:left w:val="single" w:sz="18" w:space="0" w:color="auto"/>
              <w:bottom w:val="single" w:sz="4" w:space="0" w:color="auto"/>
              <w:right w:val="single" w:sz="18" w:space="0" w:color="auto"/>
            </w:tcBorders>
            <w:shd w:val="clear" w:color="auto" w:fill="auto"/>
            <w:vAlign w:val="center"/>
          </w:tcPr>
          <w:p w:rsidR="001A63C6" w:rsidRPr="003410C7"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tcPr>
          <w:p w:rsidR="001A63C6" w:rsidRPr="003410C7" w:rsidRDefault="001A63C6" w:rsidP="001A63C6">
            <w:pPr>
              <w:pStyle w:val="TableText"/>
              <w:widowControl w:val="0"/>
              <w:spacing w:before="120"/>
              <w:rPr>
                <w:rFonts w:ascii="Tahoma" w:hAnsi="Tahoma" w:cs="Tahoma"/>
                <w:sz w:val="13"/>
              </w:rPr>
            </w:pPr>
          </w:p>
        </w:tc>
        <w:tc>
          <w:tcPr>
            <w:tcW w:w="540" w:type="dxa"/>
            <w:tcBorders>
              <w:bottom w:val="single" w:sz="4" w:space="0" w:color="auto"/>
            </w:tcBorders>
            <w:shd w:val="clear" w:color="auto" w:fill="auto"/>
            <w:vAlign w:val="center"/>
          </w:tcPr>
          <w:p w:rsidR="001A63C6" w:rsidRPr="003410C7" w:rsidRDefault="001A63C6" w:rsidP="001A63C6">
            <w:pPr>
              <w:pStyle w:val="TableText"/>
              <w:widowControl w:val="0"/>
              <w:rPr>
                <w:rFonts w:ascii="Tahoma" w:hAnsi="Tahoma" w:cs="Tahoma"/>
                <w:sz w:val="13"/>
              </w:rPr>
            </w:pPr>
          </w:p>
        </w:tc>
      </w:tr>
      <w:tr w:rsidR="00EF228F" w:rsidRPr="003410C7" w:rsidTr="006B1F3F">
        <w:trPr>
          <w:trHeight w:val="145"/>
        </w:trPr>
        <w:tc>
          <w:tcPr>
            <w:tcW w:w="2734" w:type="dxa"/>
            <w:gridSpan w:val="2"/>
            <w:tcBorders>
              <w:bottom w:val="single" w:sz="4" w:space="0" w:color="auto"/>
            </w:tcBorders>
            <w:shd w:val="clear" w:color="auto" w:fill="FABF8F"/>
          </w:tcPr>
          <w:p w:rsidR="001A63C6" w:rsidRPr="003410C7" w:rsidRDefault="001A63C6" w:rsidP="00FE2D13">
            <w:pPr>
              <w:pStyle w:val="ProductNames"/>
              <w:rPr>
                <w:rFonts w:ascii="Tahoma" w:hAnsi="Tahoma" w:cs="Tahoma"/>
                <w:sz w:val="14"/>
              </w:rPr>
            </w:pPr>
            <w:bookmarkStart w:id="291" w:name="_Toc336337992"/>
            <w:bookmarkStart w:id="292" w:name="_Toc352234603"/>
            <w:r w:rsidRPr="003410C7">
              <w:rPr>
                <w:rFonts w:ascii="Tahoma" w:hAnsi="Tahoma" w:cs="Tahoma"/>
                <w:sz w:val="14"/>
              </w:rPr>
              <w:t xml:space="preserve">Learning Solutions Combination </w:t>
            </w:r>
            <w:r w:rsidR="00FE2D13">
              <w:rPr>
                <w:rFonts w:ascii="Tahoma" w:hAnsi="Tahoma" w:cs="Tahoma"/>
                <w:sz w:val="14"/>
              </w:rPr>
              <w:br/>
            </w:r>
            <w:r w:rsidRPr="003410C7">
              <w:rPr>
                <w:rFonts w:ascii="Tahoma" w:hAnsi="Tahoma" w:cs="Tahoma"/>
                <w:sz w:val="14"/>
              </w:rPr>
              <w:t>E-Reference Library (SL per Utente)</w:t>
            </w:r>
            <w:bookmarkEnd w:id="291"/>
            <w:bookmarkEnd w:id="292"/>
          </w:p>
        </w:tc>
        <w:tc>
          <w:tcPr>
            <w:tcW w:w="450" w:type="dxa"/>
            <w:tcBorders>
              <w:bottom w:val="single" w:sz="4" w:space="0" w:color="auto"/>
            </w:tcBorders>
            <w:shd w:val="clear" w:color="auto" w:fill="FABF8F"/>
            <w:vAlign w:val="center"/>
          </w:tcPr>
          <w:p w:rsidR="001A63C6" w:rsidRPr="009F17FF" w:rsidRDefault="001A63C6" w:rsidP="001A63C6">
            <w:pPr>
              <w:pStyle w:val="TableText"/>
              <w:widowControl w:val="0"/>
              <w:rPr>
                <w:rStyle w:val="EndnoteReference"/>
                <w:color w:val="000000"/>
                <w:sz w:val="13"/>
                <w:szCs w:val="13"/>
                <w:u w:val="single"/>
              </w:rPr>
            </w:pPr>
          </w:p>
        </w:tc>
        <w:tc>
          <w:tcPr>
            <w:tcW w:w="450" w:type="dxa"/>
            <w:tcBorders>
              <w:bottom w:val="single" w:sz="4" w:space="0" w:color="auto"/>
            </w:tcBorders>
            <w:shd w:val="clear" w:color="auto" w:fill="FABF8F"/>
          </w:tcPr>
          <w:p w:rsidR="001A63C6" w:rsidRPr="003410C7" w:rsidRDefault="001A63C6" w:rsidP="001A63C6">
            <w:pPr>
              <w:pStyle w:val="TableText"/>
              <w:widowControl w:val="0"/>
              <w:spacing w:before="80"/>
              <w:rPr>
                <w:rFonts w:ascii="Tahoma" w:hAnsi="Tahoma" w:cs="Tahoma"/>
                <w:sz w:val="13"/>
              </w:rPr>
            </w:pPr>
            <w:r w:rsidRPr="003410C7">
              <w:rPr>
                <w:rFonts w:ascii="Tahoma" w:hAnsi="Tahoma" w:cs="Tahoma"/>
                <w:sz w:val="13"/>
              </w:rPr>
              <w:t>12/07</w:t>
            </w:r>
          </w:p>
        </w:tc>
        <w:tc>
          <w:tcPr>
            <w:tcW w:w="360" w:type="dxa"/>
            <w:tcBorders>
              <w:bottom w:val="single" w:sz="4" w:space="0" w:color="auto"/>
              <w:right w:val="single" w:sz="18" w:space="0" w:color="auto"/>
            </w:tcBorders>
            <w:shd w:val="clear" w:color="auto" w:fill="FABF8F"/>
            <w:vAlign w:val="center"/>
          </w:tcPr>
          <w:p w:rsidR="001A63C6" w:rsidRPr="003410C7" w:rsidRDefault="001A63C6" w:rsidP="001A63C6">
            <w:pPr>
              <w:pStyle w:val="TableText"/>
              <w:widowControl w:val="0"/>
              <w:rPr>
                <w:rFonts w:ascii="Tahoma" w:hAnsi="Tahoma" w:cs="Tahoma"/>
                <w:sz w:val="13"/>
              </w:rPr>
            </w:pPr>
          </w:p>
        </w:tc>
        <w:tc>
          <w:tcPr>
            <w:tcW w:w="2970" w:type="dxa"/>
            <w:gridSpan w:val="7"/>
            <w:tcBorders>
              <w:left w:val="single" w:sz="18" w:space="0" w:color="auto"/>
              <w:bottom w:val="single" w:sz="4" w:space="0" w:color="auto"/>
              <w:right w:val="single" w:sz="18" w:space="0" w:color="auto"/>
            </w:tcBorders>
            <w:shd w:val="clear" w:color="auto" w:fill="FABF8F"/>
            <w:vAlign w:val="center"/>
          </w:tcPr>
          <w:p w:rsidR="001A63C6" w:rsidRPr="003410C7" w:rsidRDefault="001A63C6" w:rsidP="001A63C6">
            <w:pPr>
              <w:pStyle w:val="TableText"/>
              <w:widowControl w:val="0"/>
              <w:rPr>
                <w:rFonts w:ascii="Tahoma" w:hAnsi="Tahoma" w:cs="Tahoma"/>
                <w:sz w:val="13"/>
              </w:rPr>
            </w:pPr>
            <w:r w:rsidRPr="003410C7">
              <w:rPr>
                <w:rFonts w:ascii="Tahoma" w:hAnsi="Tahoma" w:cs="Tahoma"/>
                <w:sz w:val="13"/>
              </w:rPr>
              <w:t>1 punto</w:t>
            </w:r>
          </w:p>
        </w:tc>
        <w:tc>
          <w:tcPr>
            <w:tcW w:w="450" w:type="dxa"/>
            <w:tcBorders>
              <w:left w:val="single" w:sz="18" w:space="0" w:color="auto"/>
              <w:bottom w:val="single" w:sz="4" w:space="0" w:color="auto"/>
            </w:tcBorders>
            <w:shd w:val="clear" w:color="auto" w:fill="FABF8F"/>
            <w:vAlign w:val="center"/>
          </w:tcPr>
          <w:p w:rsidR="001A63C6" w:rsidRPr="003410C7"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3410C7"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1A63C6" w:rsidRPr="003410C7"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3410C7"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1A63C6" w:rsidRPr="003410C7" w:rsidRDefault="001A63C6" w:rsidP="001A63C6">
            <w:pPr>
              <w:pStyle w:val="TableText"/>
              <w:widowControl w:val="0"/>
              <w:rPr>
                <w:rFonts w:ascii="Tahoma" w:hAnsi="Tahoma" w:cs="Tahoma"/>
                <w:sz w:val="13"/>
              </w:rPr>
            </w:pPr>
            <w:r w:rsidRPr="003410C7">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3410C7"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tcPr>
          <w:p w:rsidR="001A63C6" w:rsidRPr="003410C7" w:rsidRDefault="001A63C6" w:rsidP="001A63C6">
            <w:pPr>
              <w:pStyle w:val="TableText"/>
              <w:widowControl w:val="0"/>
              <w:spacing w:before="120"/>
              <w:rPr>
                <w:rFonts w:ascii="Tahoma" w:hAnsi="Tahoma" w:cs="Tahoma"/>
                <w:sz w:val="13"/>
              </w:rPr>
            </w:pPr>
            <w:r w:rsidRPr="003410C7">
              <w:rPr>
                <w:rFonts w:ascii="Tahoma" w:hAnsi="Tahoma" w:cs="Tahoma"/>
                <w:sz w:val="13"/>
              </w:rPr>
              <w:t>A</w:t>
            </w:r>
          </w:p>
        </w:tc>
        <w:tc>
          <w:tcPr>
            <w:tcW w:w="540" w:type="dxa"/>
            <w:tcBorders>
              <w:bottom w:val="single" w:sz="4" w:space="0" w:color="auto"/>
            </w:tcBorders>
            <w:shd w:val="clear" w:color="auto" w:fill="FABF8F"/>
            <w:vAlign w:val="center"/>
          </w:tcPr>
          <w:p w:rsidR="001A63C6" w:rsidRPr="003410C7" w:rsidRDefault="001A63C6" w:rsidP="001A63C6">
            <w:pPr>
              <w:pStyle w:val="TableText"/>
              <w:widowControl w:val="0"/>
              <w:rPr>
                <w:rFonts w:ascii="Tahoma" w:hAnsi="Tahoma" w:cs="Tahoma"/>
                <w:sz w:val="13"/>
              </w:rPr>
            </w:pPr>
          </w:p>
        </w:tc>
      </w:tr>
      <w:tr w:rsidR="00B33D0E" w:rsidRPr="003410C7" w:rsidTr="006B1F3F">
        <w:trPr>
          <w:trHeight w:val="145"/>
        </w:trPr>
        <w:tc>
          <w:tcPr>
            <w:tcW w:w="2734" w:type="dxa"/>
            <w:gridSpan w:val="2"/>
            <w:tcBorders>
              <w:bottom w:val="single" w:sz="4" w:space="0" w:color="auto"/>
            </w:tcBorders>
            <w:shd w:val="clear" w:color="auto" w:fill="auto"/>
            <w:vAlign w:val="bottom"/>
          </w:tcPr>
          <w:p w:rsidR="001A63C6" w:rsidRPr="003410C7" w:rsidRDefault="001A63C6" w:rsidP="001A63C6">
            <w:pPr>
              <w:pStyle w:val="ProductNames"/>
              <w:rPr>
                <w:rFonts w:ascii="Tahoma" w:hAnsi="Tahoma" w:cs="Tahoma"/>
                <w:sz w:val="14"/>
              </w:rPr>
            </w:pPr>
            <w:bookmarkStart w:id="293" w:name="_Toc336337993"/>
            <w:bookmarkStart w:id="294" w:name="_Toc352234604"/>
            <w:r w:rsidRPr="003410C7">
              <w:rPr>
                <w:rFonts w:ascii="Tahoma" w:hAnsi="Tahoma" w:cs="Tahoma"/>
                <w:sz w:val="14"/>
              </w:rPr>
              <w:t>Learning Solutions IT Academy (SL Servizi)</w:t>
            </w:r>
            <w:bookmarkEnd w:id="293"/>
            <w:bookmarkEnd w:id="294"/>
          </w:p>
        </w:tc>
        <w:tc>
          <w:tcPr>
            <w:tcW w:w="450" w:type="dxa"/>
            <w:tcBorders>
              <w:bottom w:val="single" w:sz="4" w:space="0" w:color="auto"/>
            </w:tcBorders>
            <w:shd w:val="clear" w:color="auto" w:fill="auto"/>
            <w:vAlign w:val="center"/>
          </w:tcPr>
          <w:p w:rsidR="001A63C6" w:rsidRPr="009F17FF" w:rsidRDefault="001A63C6" w:rsidP="001A63C6">
            <w:pPr>
              <w:pStyle w:val="TableText"/>
              <w:widowControl w:val="0"/>
              <w:rPr>
                <w:b/>
                <w:color w:val="000000"/>
                <w:sz w:val="13"/>
                <w:szCs w:val="13"/>
                <w:u w:val="single"/>
              </w:rPr>
            </w:pPr>
          </w:p>
        </w:tc>
        <w:tc>
          <w:tcPr>
            <w:tcW w:w="450" w:type="dxa"/>
            <w:tcBorders>
              <w:bottom w:val="single" w:sz="4" w:space="0" w:color="auto"/>
            </w:tcBorders>
            <w:shd w:val="clear" w:color="auto" w:fill="auto"/>
          </w:tcPr>
          <w:p w:rsidR="001A63C6" w:rsidRPr="003410C7" w:rsidRDefault="001A63C6" w:rsidP="001A63C6">
            <w:pPr>
              <w:pStyle w:val="TableText"/>
              <w:widowControl w:val="0"/>
              <w:spacing w:before="80"/>
              <w:rPr>
                <w:rFonts w:ascii="Tahoma" w:hAnsi="Tahoma" w:cs="Tahoma"/>
                <w:sz w:val="13"/>
              </w:rPr>
            </w:pPr>
            <w:r w:rsidRPr="003410C7">
              <w:rPr>
                <w:rFonts w:ascii="Tahoma" w:hAnsi="Tahoma" w:cs="Tahoma"/>
                <w:sz w:val="13"/>
              </w:rPr>
              <w:t>01/10</w:t>
            </w:r>
          </w:p>
        </w:tc>
        <w:tc>
          <w:tcPr>
            <w:tcW w:w="360" w:type="dxa"/>
            <w:tcBorders>
              <w:bottom w:val="single" w:sz="4" w:space="0" w:color="auto"/>
              <w:right w:val="single" w:sz="18" w:space="0" w:color="auto"/>
            </w:tcBorders>
            <w:shd w:val="clear" w:color="auto" w:fill="auto"/>
            <w:vAlign w:val="center"/>
          </w:tcPr>
          <w:p w:rsidR="001A63C6" w:rsidRPr="003410C7" w:rsidRDefault="001A63C6" w:rsidP="001A63C6">
            <w:pPr>
              <w:pStyle w:val="TableText"/>
              <w:widowControl w:val="0"/>
              <w:rPr>
                <w:rFonts w:ascii="Tahoma" w:hAnsi="Tahoma" w:cs="Tahoma"/>
                <w:sz w:val="13"/>
              </w:rPr>
            </w:pPr>
          </w:p>
        </w:tc>
        <w:tc>
          <w:tcPr>
            <w:tcW w:w="2970" w:type="dxa"/>
            <w:gridSpan w:val="7"/>
            <w:tcBorders>
              <w:left w:val="single" w:sz="18" w:space="0" w:color="auto"/>
              <w:bottom w:val="single" w:sz="4" w:space="0" w:color="auto"/>
              <w:right w:val="single" w:sz="18" w:space="0" w:color="auto"/>
            </w:tcBorders>
            <w:shd w:val="clear" w:color="auto" w:fill="auto"/>
            <w:vAlign w:val="center"/>
          </w:tcPr>
          <w:p w:rsidR="001A63C6" w:rsidRPr="003410C7" w:rsidRDefault="001A63C6" w:rsidP="001A63C6">
            <w:pPr>
              <w:pStyle w:val="TableText"/>
              <w:widowControl w:val="0"/>
              <w:rPr>
                <w:rFonts w:ascii="Tahoma" w:hAnsi="Tahoma" w:cs="Tahoma"/>
                <w:sz w:val="13"/>
              </w:rPr>
            </w:pPr>
            <w:r w:rsidRPr="003410C7">
              <w:rPr>
                <w:rFonts w:ascii="Tahoma" w:hAnsi="Tahoma" w:cs="Tahoma"/>
                <w:sz w:val="13"/>
              </w:rPr>
              <w:t>75 crediti</w:t>
            </w:r>
          </w:p>
        </w:tc>
        <w:tc>
          <w:tcPr>
            <w:tcW w:w="450" w:type="dxa"/>
            <w:tcBorders>
              <w:left w:val="single" w:sz="18" w:space="0" w:color="auto"/>
              <w:bottom w:val="single" w:sz="4" w:space="0" w:color="auto"/>
            </w:tcBorders>
            <w:shd w:val="clear" w:color="auto" w:fill="auto"/>
            <w:vAlign w:val="center"/>
          </w:tcPr>
          <w:p w:rsidR="001A63C6" w:rsidRPr="003410C7"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3410C7"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1A63C6" w:rsidRPr="003410C7"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1A63C6" w:rsidRPr="003410C7" w:rsidRDefault="001A63C6" w:rsidP="001A63C6">
            <w:pPr>
              <w:pStyle w:val="TableText"/>
              <w:widowControl w:val="0"/>
              <w:rPr>
                <w:rFonts w:ascii="Tahoma" w:hAnsi="Tahoma" w:cs="Tahoma"/>
                <w:sz w:val="13"/>
              </w:rPr>
            </w:pPr>
            <w:r w:rsidRPr="003410C7">
              <w:rPr>
                <w:rFonts w:ascii="Tahoma" w:hAnsi="Tahoma" w:cs="Tahoma"/>
                <w:sz w:val="13"/>
              </w:rPr>
              <w:t>75</w:t>
            </w:r>
          </w:p>
        </w:tc>
        <w:tc>
          <w:tcPr>
            <w:tcW w:w="450" w:type="dxa"/>
            <w:tcBorders>
              <w:bottom w:val="single" w:sz="4" w:space="0" w:color="auto"/>
              <w:right w:val="single" w:sz="18" w:space="0" w:color="auto"/>
            </w:tcBorders>
            <w:shd w:val="clear" w:color="auto" w:fill="auto"/>
            <w:vAlign w:val="center"/>
          </w:tcPr>
          <w:p w:rsidR="001A63C6" w:rsidRPr="003410C7"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rsidR="001A63C6" w:rsidRPr="003410C7"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tcPr>
          <w:p w:rsidR="001A63C6" w:rsidRPr="003410C7" w:rsidRDefault="001A63C6" w:rsidP="001A63C6">
            <w:pPr>
              <w:pStyle w:val="TableText"/>
              <w:widowControl w:val="0"/>
              <w:spacing w:before="120"/>
              <w:rPr>
                <w:rFonts w:ascii="Tahoma" w:hAnsi="Tahoma" w:cs="Tahoma"/>
                <w:sz w:val="13"/>
              </w:rPr>
            </w:pPr>
            <w:r w:rsidRPr="003410C7">
              <w:rPr>
                <w:rFonts w:ascii="Tahoma" w:hAnsi="Tahoma" w:cs="Tahoma"/>
                <w:sz w:val="13"/>
              </w:rPr>
              <w:t>A</w:t>
            </w:r>
          </w:p>
        </w:tc>
        <w:tc>
          <w:tcPr>
            <w:tcW w:w="540" w:type="dxa"/>
            <w:tcBorders>
              <w:bottom w:val="single" w:sz="4" w:space="0" w:color="auto"/>
            </w:tcBorders>
            <w:shd w:val="clear" w:color="auto" w:fill="auto"/>
            <w:vAlign w:val="center"/>
          </w:tcPr>
          <w:p w:rsidR="001A63C6" w:rsidRPr="003410C7" w:rsidRDefault="001A63C6" w:rsidP="001A63C6">
            <w:pPr>
              <w:pStyle w:val="TableText"/>
              <w:widowControl w:val="0"/>
              <w:rPr>
                <w:rFonts w:ascii="Tahoma" w:hAnsi="Tahoma" w:cs="Tahoma"/>
                <w:sz w:val="13"/>
              </w:rPr>
            </w:pPr>
          </w:p>
        </w:tc>
      </w:tr>
      <w:tr w:rsidR="00B33D0E" w:rsidRPr="003410C7" w:rsidTr="006B1F3F">
        <w:trPr>
          <w:trHeight w:val="145"/>
        </w:trPr>
        <w:tc>
          <w:tcPr>
            <w:tcW w:w="2734" w:type="dxa"/>
            <w:gridSpan w:val="2"/>
            <w:tcBorders>
              <w:bottom w:val="single" w:sz="4" w:space="0" w:color="auto"/>
            </w:tcBorders>
            <w:shd w:val="clear" w:color="auto" w:fill="FABF8F"/>
            <w:vAlign w:val="bottom"/>
          </w:tcPr>
          <w:p w:rsidR="001A63C6" w:rsidRPr="003410C7" w:rsidRDefault="001A63C6" w:rsidP="00F57878">
            <w:pPr>
              <w:pStyle w:val="ProductNames"/>
              <w:rPr>
                <w:rFonts w:ascii="Tahoma" w:hAnsi="Tahoma" w:cs="Tahoma"/>
                <w:sz w:val="14"/>
              </w:rPr>
            </w:pPr>
            <w:bookmarkStart w:id="295" w:name="_Toc336337994"/>
            <w:bookmarkStart w:id="296" w:name="_Toc352234605"/>
            <w:r w:rsidRPr="003410C7">
              <w:rPr>
                <w:rFonts w:ascii="Tahoma" w:hAnsi="Tahoma" w:cs="Tahoma"/>
                <w:sz w:val="14"/>
              </w:rPr>
              <w:t>Learning Solutions MCP 1 Exam</w:t>
            </w:r>
            <w:r w:rsidR="00F57878">
              <w:rPr>
                <w:rFonts w:ascii="Tahoma" w:hAnsi="Tahoma" w:cs="Tahoma"/>
                <w:sz w:val="14"/>
              </w:rPr>
              <w:t> </w:t>
            </w:r>
            <w:r w:rsidRPr="003410C7">
              <w:rPr>
                <w:rFonts w:ascii="Tahoma" w:hAnsi="Tahoma" w:cs="Tahoma"/>
                <w:sz w:val="14"/>
              </w:rPr>
              <w:t>Vouchers/Month (SL Servizi)</w:t>
            </w:r>
            <w:bookmarkEnd w:id="295"/>
            <w:bookmarkEnd w:id="296"/>
          </w:p>
        </w:tc>
        <w:tc>
          <w:tcPr>
            <w:tcW w:w="450" w:type="dxa"/>
            <w:tcBorders>
              <w:bottom w:val="single" w:sz="4" w:space="0" w:color="auto"/>
            </w:tcBorders>
            <w:shd w:val="clear" w:color="auto" w:fill="FABF8F"/>
            <w:vAlign w:val="center"/>
          </w:tcPr>
          <w:p w:rsidR="001A63C6" w:rsidRPr="009F17FF" w:rsidRDefault="00FC1A4D" w:rsidP="001A63C6">
            <w:pPr>
              <w:pStyle w:val="TableText"/>
              <w:widowControl w:val="0"/>
              <w:rPr>
                <w:rStyle w:val="EndnoteReference"/>
                <w:color w:val="000000"/>
                <w:sz w:val="13"/>
                <w:szCs w:val="13"/>
                <w:u w:val="single"/>
              </w:rPr>
            </w:pPr>
            <w:hyperlink w:anchor="_64_62_Learning" w:history="1">
              <w:r w:rsidR="000D77F6" w:rsidRPr="009F17FF">
                <w:rPr>
                  <w:rStyle w:val="Hyperlink"/>
                  <w:sz w:val="13"/>
                  <w:szCs w:val="13"/>
                </w:rPr>
                <w:t>62</w:t>
              </w:r>
            </w:hyperlink>
          </w:p>
        </w:tc>
        <w:tc>
          <w:tcPr>
            <w:tcW w:w="450" w:type="dxa"/>
            <w:tcBorders>
              <w:bottom w:val="single" w:sz="4" w:space="0" w:color="auto"/>
            </w:tcBorders>
            <w:shd w:val="clear" w:color="auto" w:fill="FABF8F"/>
          </w:tcPr>
          <w:p w:rsidR="001A63C6" w:rsidRPr="003410C7" w:rsidRDefault="001A63C6" w:rsidP="001A63C6">
            <w:pPr>
              <w:pStyle w:val="TableText"/>
              <w:widowControl w:val="0"/>
              <w:spacing w:before="80"/>
              <w:rPr>
                <w:rFonts w:ascii="Tahoma" w:hAnsi="Tahoma" w:cs="Tahoma"/>
                <w:sz w:val="13"/>
              </w:rPr>
            </w:pPr>
            <w:r w:rsidRPr="003410C7">
              <w:rPr>
                <w:rFonts w:ascii="Tahoma" w:hAnsi="Tahoma" w:cs="Tahoma"/>
                <w:sz w:val="13"/>
              </w:rPr>
              <w:t>01/06</w:t>
            </w:r>
          </w:p>
        </w:tc>
        <w:tc>
          <w:tcPr>
            <w:tcW w:w="360" w:type="dxa"/>
            <w:tcBorders>
              <w:bottom w:val="single" w:sz="4" w:space="0" w:color="auto"/>
              <w:right w:val="single" w:sz="18" w:space="0" w:color="auto"/>
            </w:tcBorders>
            <w:shd w:val="clear" w:color="auto" w:fill="FABF8F"/>
            <w:vAlign w:val="center"/>
          </w:tcPr>
          <w:p w:rsidR="001A63C6" w:rsidRPr="003410C7" w:rsidRDefault="001A63C6" w:rsidP="001A63C6">
            <w:pPr>
              <w:pStyle w:val="TableText"/>
              <w:widowControl w:val="0"/>
              <w:rPr>
                <w:rFonts w:ascii="Tahoma" w:hAnsi="Tahoma" w:cs="Tahoma"/>
                <w:sz w:val="13"/>
              </w:rPr>
            </w:pPr>
          </w:p>
        </w:tc>
        <w:tc>
          <w:tcPr>
            <w:tcW w:w="2970" w:type="dxa"/>
            <w:gridSpan w:val="7"/>
            <w:tcBorders>
              <w:left w:val="single" w:sz="18" w:space="0" w:color="auto"/>
              <w:bottom w:val="single" w:sz="4" w:space="0" w:color="auto"/>
              <w:right w:val="single" w:sz="18" w:space="0" w:color="auto"/>
            </w:tcBorders>
            <w:shd w:val="clear" w:color="auto" w:fill="FABF8F"/>
            <w:vAlign w:val="center"/>
          </w:tcPr>
          <w:p w:rsidR="001A63C6" w:rsidRPr="003410C7" w:rsidRDefault="001A63C6" w:rsidP="001A63C6">
            <w:pPr>
              <w:pStyle w:val="TableText"/>
              <w:widowControl w:val="0"/>
              <w:rPr>
                <w:rFonts w:ascii="Tahoma" w:hAnsi="Tahoma" w:cs="Tahoma"/>
                <w:sz w:val="13"/>
              </w:rPr>
            </w:pPr>
            <w:r w:rsidRPr="003410C7">
              <w:rPr>
                <w:rFonts w:ascii="Tahoma" w:hAnsi="Tahoma" w:cs="Tahoma"/>
                <w:sz w:val="13"/>
              </w:rPr>
              <w:t>1 punto</w:t>
            </w:r>
          </w:p>
        </w:tc>
        <w:tc>
          <w:tcPr>
            <w:tcW w:w="450" w:type="dxa"/>
            <w:tcBorders>
              <w:left w:val="single" w:sz="18" w:space="0" w:color="auto"/>
              <w:bottom w:val="single" w:sz="4" w:space="0" w:color="auto"/>
            </w:tcBorders>
            <w:shd w:val="clear" w:color="auto" w:fill="FABF8F"/>
            <w:vAlign w:val="center"/>
          </w:tcPr>
          <w:p w:rsidR="001A63C6" w:rsidRPr="003410C7"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3410C7"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1A63C6" w:rsidRPr="003410C7"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3410C7"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1A63C6" w:rsidRPr="003410C7" w:rsidRDefault="001A63C6" w:rsidP="001A63C6">
            <w:pPr>
              <w:pStyle w:val="TableText"/>
              <w:widowControl w:val="0"/>
              <w:rPr>
                <w:rFonts w:ascii="Tahoma" w:hAnsi="Tahoma" w:cs="Tahoma"/>
                <w:sz w:val="13"/>
              </w:rPr>
            </w:pPr>
            <w:r w:rsidRPr="003410C7">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3410C7" w:rsidRDefault="001A63C6" w:rsidP="001A63C6">
            <w:pPr>
              <w:pStyle w:val="TableText"/>
              <w:widowControl w:val="0"/>
              <w:rPr>
                <w:rFonts w:ascii="Tahoma" w:hAnsi="Tahoma" w:cs="Tahoma"/>
                <w:sz w:val="13"/>
              </w:rPr>
            </w:pPr>
            <w:r w:rsidRPr="003410C7">
              <w:rPr>
                <w:rFonts w:ascii="Tahoma" w:hAnsi="Tahoma" w:cs="Tahoma"/>
                <w:sz w:val="13"/>
              </w:rPr>
              <w:t>P</w:t>
            </w:r>
          </w:p>
        </w:tc>
        <w:tc>
          <w:tcPr>
            <w:tcW w:w="450" w:type="dxa"/>
            <w:tcBorders>
              <w:bottom w:val="single" w:sz="4" w:space="0" w:color="auto"/>
            </w:tcBorders>
            <w:shd w:val="clear" w:color="auto" w:fill="FABF8F"/>
          </w:tcPr>
          <w:p w:rsidR="001A63C6" w:rsidRPr="003410C7" w:rsidRDefault="001A63C6" w:rsidP="001A63C6">
            <w:pPr>
              <w:pStyle w:val="TableText"/>
              <w:widowControl w:val="0"/>
              <w:spacing w:before="120"/>
              <w:rPr>
                <w:rFonts w:ascii="Tahoma" w:hAnsi="Tahoma" w:cs="Tahoma"/>
                <w:sz w:val="13"/>
              </w:rPr>
            </w:pPr>
          </w:p>
        </w:tc>
        <w:tc>
          <w:tcPr>
            <w:tcW w:w="540" w:type="dxa"/>
            <w:tcBorders>
              <w:bottom w:val="single" w:sz="4" w:space="0" w:color="auto"/>
            </w:tcBorders>
            <w:shd w:val="clear" w:color="auto" w:fill="FABF8F"/>
            <w:vAlign w:val="center"/>
          </w:tcPr>
          <w:p w:rsidR="001A63C6" w:rsidRPr="003410C7" w:rsidRDefault="001A63C6" w:rsidP="001A63C6">
            <w:pPr>
              <w:pStyle w:val="TableText"/>
              <w:widowControl w:val="0"/>
              <w:rPr>
                <w:rFonts w:ascii="Tahoma" w:hAnsi="Tahoma" w:cs="Tahoma"/>
                <w:sz w:val="13"/>
              </w:rPr>
            </w:pPr>
          </w:p>
        </w:tc>
      </w:tr>
      <w:tr w:rsidR="00B33D0E" w:rsidRPr="003410C7" w:rsidTr="006B1F3F">
        <w:trPr>
          <w:trHeight w:val="145"/>
        </w:trPr>
        <w:tc>
          <w:tcPr>
            <w:tcW w:w="2734" w:type="dxa"/>
            <w:gridSpan w:val="2"/>
            <w:tcBorders>
              <w:bottom w:val="single" w:sz="4" w:space="0" w:color="auto"/>
            </w:tcBorders>
            <w:shd w:val="clear" w:color="auto" w:fill="auto"/>
            <w:vAlign w:val="center"/>
          </w:tcPr>
          <w:p w:rsidR="001A63C6" w:rsidRPr="00451078" w:rsidRDefault="001A63C6" w:rsidP="001A63C6">
            <w:pPr>
              <w:pStyle w:val="Heading2"/>
              <w:ind w:left="0"/>
              <w:rPr>
                <w:rFonts w:ascii="Tahoma" w:hAnsi="Tahoma" w:cs="Tahoma"/>
                <w:b w:val="0"/>
                <w:sz w:val="14"/>
                <w:szCs w:val="16"/>
                <w:lang w:val="it-IT"/>
              </w:rPr>
            </w:pPr>
            <w:bookmarkStart w:id="297" w:name="_Toc336337995"/>
            <w:bookmarkStart w:id="298" w:name="_Toc352234606"/>
            <w:r w:rsidRPr="00451078">
              <w:rPr>
                <w:rFonts w:ascii="Tahoma" w:hAnsi="Tahoma" w:cs="Tahoma"/>
                <w:b w:val="0"/>
                <w:sz w:val="14"/>
                <w:szCs w:val="16"/>
                <w:lang w:val="it-IT"/>
              </w:rPr>
              <w:t>Lync Online Piano 1 (SL per Utente)</w:t>
            </w:r>
            <w:bookmarkEnd w:id="297"/>
            <w:bookmarkEnd w:id="298"/>
          </w:p>
        </w:tc>
        <w:tc>
          <w:tcPr>
            <w:tcW w:w="450" w:type="dxa"/>
            <w:tcBorders>
              <w:bottom w:val="single" w:sz="4" w:space="0" w:color="auto"/>
            </w:tcBorders>
            <w:shd w:val="clear" w:color="auto" w:fill="auto"/>
            <w:vAlign w:val="center"/>
          </w:tcPr>
          <w:p w:rsidR="001A63C6" w:rsidRPr="009F17FF" w:rsidRDefault="00FC1A4D" w:rsidP="003C5E74">
            <w:pPr>
              <w:pStyle w:val="TableText"/>
              <w:widowControl w:val="0"/>
              <w:rPr>
                <w:b/>
                <w:color w:val="0000FF"/>
                <w:sz w:val="13"/>
                <w:szCs w:val="13"/>
                <w:u w:val="single"/>
              </w:rPr>
            </w:pPr>
            <w:hyperlink w:anchor="_65_63_Lync" w:history="1">
              <w:hyperlink w:anchor="Srv_65LyncOnlinePlan1and2" w:history="1">
                <w:r w:rsidR="000D77F6" w:rsidRPr="009F17FF">
                  <w:rPr>
                    <w:rStyle w:val="Hyperlink"/>
                    <w:b/>
                    <w:sz w:val="13"/>
                    <w:szCs w:val="13"/>
                  </w:rPr>
                  <w:t>6</w:t>
                </w:r>
              </w:hyperlink>
              <w:r w:rsidR="000D77F6" w:rsidRPr="009F17FF">
                <w:rPr>
                  <w:rStyle w:val="Hyperlink"/>
                  <w:b/>
                  <w:sz w:val="13"/>
                  <w:szCs w:val="13"/>
                </w:rPr>
                <w:t>3</w:t>
              </w:r>
            </w:hyperlink>
          </w:p>
        </w:tc>
        <w:tc>
          <w:tcPr>
            <w:tcW w:w="450" w:type="dxa"/>
            <w:tcBorders>
              <w:bottom w:val="single" w:sz="4" w:space="0" w:color="auto"/>
            </w:tcBorders>
            <w:shd w:val="clear" w:color="auto" w:fill="auto"/>
          </w:tcPr>
          <w:p w:rsidR="001A63C6" w:rsidRPr="003410C7" w:rsidRDefault="001A63C6" w:rsidP="001A63C6">
            <w:pPr>
              <w:pStyle w:val="TableText"/>
              <w:widowControl w:val="0"/>
              <w:spacing w:before="120"/>
              <w:rPr>
                <w:rFonts w:ascii="Tahoma" w:hAnsi="Tahoma" w:cs="Tahoma"/>
                <w:color w:val="000000"/>
                <w:sz w:val="13"/>
              </w:rPr>
            </w:pPr>
            <w:r w:rsidRPr="003410C7">
              <w:rPr>
                <w:rFonts w:ascii="Tahoma" w:hAnsi="Tahoma" w:cs="Tahoma"/>
                <w:color w:val="000000"/>
                <w:sz w:val="13"/>
              </w:rPr>
              <w:t>06/11</w:t>
            </w:r>
          </w:p>
        </w:tc>
        <w:tc>
          <w:tcPr>
            <w:tcW w:w="360" w:type="dxa"/>
            <w:tcBorders>
              <w:bottom w:val="single" w:sz="4" w:space="0" w:color="auto"/>
              <w:right w:val="single" w:sz="18" w:space="0" w:color="auto"/>
            </w:tcBorders>
            <w:shd w:val="clear" w:color="auto" w:fill="auto"/>
            <w:vAlign w:val="center"/>
          </w:tcPr>
          <w:p w:rsidR="001A63C6" w:rsidRPr="003410C7" w:rsidRDefault="001A63C6" w:rsidP="001A63C6">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auto"/>
            <w:vAlign w:val="center"/>
          </w:tcPr>
          <w:p w:rsidR="001A63C6" w:rsidRPr="003410C7"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3410C7"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3410C7"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3410C7"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3410C7"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3410C7" w:rsidRDefault="001A63C6" w:rsidP="001A63C6">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auto"/>
            <w:vAlign w:val="center"/>
          </w:tcPr>
          <w:p w:rsidR="001A63C6" w:rsidRPr="003410C7"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1A63C6" w:rsidRPr="003410C7"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3410C7"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1A63C6" w:rsidRPr="003410C7"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1A63C6" w:rsidRPr="003410C7"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1A63C6" w:rsidRPr="003410C7" w:rsidRDefault="001A63C6" w:rsidP="001A63C6">
            <w:pPr>
              <w:pStyle w:val="TableText"/>
              <w:widowControl w:val="0"/>
              <w:rPr>
                <w:rFonts w:ascii="Tahoma" w:hAnsi="Tahoma" w:cs="Tahoma"/>
                <w:sz w:val="13"/>
              </w:rPr>
            </w:pPr>
            <w:r w:rsidRPr="003410C7">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rsidR="001A63C6" w:rsidRPr="003410C7"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tcPr>
          <w:p w:rsidR="001A63C6" w:rsidRPr="003410C7" w:rsidRDefault="001A63C6" w:rsidP="001A63C6">
            <w:pPr>
              <w:pStyle w:val="TableText"/>
              <w:widowControl w:val="0"/>
              <w:spacing w:before="120"/>
              <w:rPr>
                <w:rFonts w:ascii="Tahoma" w:hAnsi="Tahoma" w:cs="Tahoma"/>
                <w:sz w:val="13"/>
              </w:rPr>
            </w:pPr>
          </w:p>
        </w:tc>
        <w:tc>
          <w:tcPr>
            <w:tcW w:w="540" w:type="dxa"/>
            <w:tcBorders>
              <w:bottom w:val="single" w:sz="4" w:space="0" w:color="auto"/>
            </w:tcBorders>
            <w:shd w:val="clear" w:color="auto" w:fill="auto"/>
            <w:vAlign w:val="center"/>
          </w:tcPr>
          <w:p w:rsidR="001A63C6" w:rsidRPr="003410C7" w:rsidRDefault="001A63C6" w:rsidP="001A63C6">
            <w:pPr>
              <w:pStyle w:val="TableText"/>
              <w:widowControl w:val="0"/>
              <w:rPr>
                <w:rFonts w:ascii="Tahoma" w:hAnsi="Tahoma" w:cs="Tahoma"/>
                <w:sz w:val="13"/>
              </w:rPr>
            </w:pPr>
          </w:p>
        </w:tc>
      </w:tr>
      <w:tr w:rsidR="00BE2E58" w:rsidRPr="003410C7" w:rsidTr="006B1F3F">
        <w:trPr>
          <w:trHeight w:val="145"/>
        </w:trPr>
        <w:tc>
          <w:tcPr>
            <w:tcW w:w="2734" w:type="dxa"/>
            <w:gridSpan w:val="2"/>
            <w:tcBorders>
              <w:bottom w:val="single" w:sz="4" w:space="0" w:color="auto"/>
            </w:tcBorders>
            <w:shd w:val="clear" w:color="auto" w:fill="FABF8F"/>
            <w:vAlign w:val="center"/>
          </w:tcPr>
          <w:p w:rsidR="001A63C6" w:rsidRPr="00451078" w:rsidRDefault="001A63C6" w:rsidP="001A63C6">
            <w:pPr>
              <w:pStyle w:val="Heading2"/>
              <w:ind w:left="0"/>
              <w:rPr>
                <w:rFonts w:ascii="Tahoma" w:hAnsi="Tahoma" w:cs="Tahoma"/>
                <w:b w:val="0"/>
                <w:sz w:val="14"/>
                <w:szCs w:val="16"/>
                <w:lang w:val="it-IT"/>
              </w:rPr>
            </w:pPr>
            <w:bookmarkStart w:id="299" w:name="_Toc336337996"/>
            <w:bookmarkStart w:id="300" w:name="_Toc352234607"/>
            <w:r w:rsidRPr="00451078">
              <w:rPr>
                <w:rFonts w:ascii="Tahoma" w:hAnsi="Tahoma" w:cs="Tahoma"/>
                <w:b w:val="0"/>
                <w:sz w:val="14"/>
                <w:szCs w:val="16"/>
                <w:lang w:val="it-IT"/>
              </w:rPr>
              <w:t>Lync Online Piano 2 (SL per Utente)</w:t>
            </w:r>
            <w:bookmarkEnd w:id="299"/>
            <w:bookmarkEnd w:id="300"/>
          </w:p>
        </w:tc>
        <w:tc>
          <w:tcPr>
            <w:tcW w:w="450" w:type="dxa"/>
            <w:tcBorders>
              <w:bottom w:val="single" w:sz="4" w:space="0" w:color="auto"/>
            </w:tcBorders>
            <w:shd w:val="clear" w:color="auto" w:fill="FABF8F"/>
            <w:vAlign w:val="center"/>
          </w:tcPr>
          <w:p w:rsidR="001A63C6" w:rsidRPr="009F17FF" w:rsidRDefault="00FC1A4D" w:rsidP="004E5F2F">
            <w:pPr>
              <w:pStyle w:val="TableText"/>
              <w:widowControl w:val="0"/>
              <w:rPr>
                <w:b/>
                <w:color w:val="0000FF"/>
                <w:sz w:val="13"/>
                <w:szCs w:val="13"/>
                <w:u w:val="single"/>
              </w:rPr>
            </w:pPr>
            <w:hyperlink w:anchor="_65_63_Lync" w:history="1">
              <w:hyperlink w:anchor="Srv_65LyncOnlinePlan1and2" w:history="1">
                <w:r w:rsidR="000D77F6" w:rsidRPr="009F17FF">
                  <w:rPr>
                    <w:rStyle w:val="Hyperlink"/>
                    <w:b/>
                    <w:sz w:val="13"/>
                    <w:szCs w:val="13"/>
                  </w:rPr>
                  <w:t>6</w:t>
                </w:r>
              </w:hyperlink>
              <w:r w:rsidR="000D77F6" w:rsidRPr="009F17FF">
                <w:rPr>
                  <w:rStyle w:val="Hyperlink"/>
                  <w:b/>
                  <w:sz w:val="13"/>
                  <w:szCs w:val="13"/>
                </w:rPr>
                <w:t>3</w:t>
              </w:r>
            </w:hyperlink>
          </w:p>
        </w:tc>
        <w:tc>
          <w:tcPr>
            <w:tcW w:w="450" w:type="dxa"/>
            <w:tcBorders>
              <w:bottom w:val="single" w:sz="4" w:space="0" w:color="auto"/>
            </w:tcBorders>
            <w:shd w:val="clear" w:color="auto" w:fill="FABF8F"/>
          </w:tcPr>
          <w:p w:rsidR="001A63C6" w:rsidRPr="003410C7" w:rsidRDefault="001A63C6" w:rsidP="001A63C6">
            <w:pPr>
              <w:pStyle w:val="TableText"/>
              <w:widowControl w:val="0"/>
              <w:spacing w:before="120"/>
              <w:rPr>
                <w:rFonts w:ascii="Tahoma" w:hAnsi="Tahoma" w:cs="Tahoma"/>
                <w:color w:val="000000"/>
                <w:sz w:val="13"/>
              </w:rPr>
            </w:pPr>
            <w:r w:rsidRPr="003410C7">
              <w:rPr>
                <w:rFonts w:ascii="Tahoma" w:hAnsi="Tahoma" w:cs="Tahoma"/>
                <w:color w:val="000000"/>
                <w:sz w:val="13"/>
              </w:rPr>
              <w:t>06/11</w:t>
            </w:r>
          </w:p>
        </w:tc>
        <w:tc>
          <w:tcPr>
            <w:tcW w:w="360" w:type="dxa"/>
            <w:tcBorders>
              <w:bottom w:val="single" w:sz="4" w:space="0" w:color="auto"/>
              <w:right w:val="single" w:sz="18" w:space="0" w:color="auto"/>
            </w:tcBorders>
            <w:shd w:val="clear" w:color="auto" w:fill="FABF8F"/>
            <w:vAlign w:val="center"/>
          </w:tcPr>
          <w:p w:rsidR="001A63C6" w:rsidRPr="003410C7" w:rsidRDefault="001A63C6" w:rsidP="001A63C6">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FABF8F"/>
            <w:vAlign w:val="center"/>
          </w:tcPr>
          <w:p w:rsidR="001A63C6" w:rsidRPr="003410C7"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3410C7"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3410C7"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3410C7"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3410C7"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3410C7" w:rsidRDefault="001A63C6" w:rsidP="001A63C6">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rsidR="001A63C6" w:rsidRPr="003410C7"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3410C7"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3410C7"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1A63C6" w:rsidRPr="003410C7"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3410C7"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1A63C6" w:rsidRPr="003410C7" w:rsidRDefault="001A63C6" w:rsidP="001A63C6">
            <w:pPr>
              <w:pStyle w:val="TableText"/>
              <w:widowControl w:val="0"/>
              <w:rPr>
                <w:rFonts w:ascii="Tahoma" w:hAnsi="Tahoma" w:cs="Tahoma"/>
                <w:sz w:val="13"/>
              </w:rPr>
            </w:pPr>
            <w:r w:rsidRPr="003410C7">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3410C7"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tcPr>
          <w:p w:rsidR="001A63C6" w:rsidRPr="003410C7" w:rsidRDefault="001A63C6" w:rsidP="001A63C6">
            <w:pPr>
              <w:pStyle w:val="TableText"/>
              <w:widowControl w:val="0"/>
              <w:spacing w:before="120"/>
              <w:rPr>
                <w:rFonts w:ascii="Tahoma" w:hAnsi="Tahoma" w:cs="Tahoma"/>
                <w:sz w:val="13"/>
              </w:rPr>
            </w:pPr>
          </w:p>
        </w:tc>
        <w:tc>
          <w:tcPr>
            <w:tcW w:w="540" w:type="dxa"/>
            <w:tcBorders>
              <w:bottom w:val="single" w:sz="4" w:space="0" w:color="auto"/>
            </w:tcBorders>
            <w:shd w:val="clear" w:color="auto" w:fill="FABF8F"/>
            <w:vAlign w:val="center"/>
          </w:tcPr>
          <w:p w:rsidR="001A63C6" w:rsidRPr="003410C7" w:rsidRDefault="001A63C6" w:rsidP="001A63C6">
            <w:pPr>
              <w:pStyle w:val="TableText"/>
              <w:widowControl w:val="0"/>
              <w:rPr>
                <w:rFonts w:ascii="Tahoma" w:hAnsi="Tahoma" w:cs="Tahoma"/>
                <w:sz w:val="13"/>
              </w:rPr>
            </w:pPr>
          </w:p>
        </w:tc>
      </w:tr>
      <w:tr w:rsidR="00B33D0E" w:rsidRPr="003410C7" w:rsidTr="006B1F3F">
        <w:trPr>
          <w:trHeight w:val="145"/>
        </w:trPr>
        <w:tc>
          <w:tcPr>
            <w:tcW w:w="2734" w:type="dxa"/>
            <w:gridSpan w:val="2"/>
            <w:tcBorders>
              <w:bottom w:val="single" w:sz="4" w:space="0" w:color="auto"/>
            </w:tcBorders>
            <w:shd w:val="clear" w:color="auto" w:fill="auto"/>
            <w:vAlign w:val="center"/>
          </w:tcPr>
          <w:p w:rsidR="001A63C6" w:rsidRPr="00451078" w:rsidRDefault="001A63C6" w:rsidP="001A63C6">
            <w:pPr>
              <w:pStyle w:val="Heading2"/>
              <w:ind w:left="0"/>
              <w:rPr>
                <w:rFonts w:ascii="Tahoma" w:hAnsi="Tahoma" w:cs="Tahoma"/>
                <w:b w:val="0"/>
                <w:sz w:val="14"/>
                <w:szCs w:val="16"/>
                <w:lang w:val="it-IT"/>
              </w:rPr>
            </w:pPr>
            <w:bookmarkStart w:id="301" w:name="_Toc336337997"/>
            <w:bookmarkStart w:id="302" w:name="_Toc352234608"/>
            <w:r w:rsidRPr="00451078">
              <w:rPr>
                <w:rFonts w:ascii="Tahoma" w:hAnsi="Tahoma" w:cs="Tahoma"/>
                <w:b w:val="0"/>
                <w:sz w:val="14"/>
                <w:szCs w:val="16"/>
                <w:lang w:val="it-IT"/>
              </w:rPr>
              <w:t>Lync Online Piano 3 (SL per Utente)</w:t>
            </w:r>
            <w:bookmarkEnd w:id="301"/>
            <w:bookmarkEnd w:id="302"/>
          </w:p>
        </w:tc>
        <w:tc>
          <w:tcPr>
            <w:tcW w:w="450" w:type="dxa"/>
            <w:tcBorders>
              <w:bottom w:val="single" w:sz="4" w:space="0" w:color="auto"/>
            </w:tcBorders>
            <w:shd w:val="clear" w:color="auto" w:fill="auto"/>
            <w:vAlign w:val="center"/>
          </w:tcPr>
          <w:p w:rsidR="001A63C6" w:rsidRPr="009F17FF" w:rsidRDefault="00FC1A4D" w:rsidP="004E5F2F">
            <w:pPr>
              <w:pStyle w:val="TableText"/>
              <w:widowControl w:val="0"/>
              <w:rPr>
                <w:b/>
                <w:color w:val="0000FF"/>
                <w:sz w:val="13"/>
                <w:szCs w:val="13"/>
                <w:u w:val="single"/>
              </w:rPr>
            </w:pPr>
            <w:hyperlink w:anchor="_65_63_Lync" w:history="1">
              <w:hyperlink w:anchor="Srv_65LyncOnlinePlan1and2" w:history="1">
                <w:r w:rsidR="000D77F6" w:rsidRPr="009F17FF">
                  <w:rPr>
                    <w:rStyle w:val="Hyperlink"/>
                    <w:b/>
                    <w:sz w:val="13"/>
                    <w:szCs w:val="13"/>
                  </w:rPr>
                  <w:t>6</w:t>
                </w:r>
              </w:hyperlink>
              <w:r w:rsidR="000D77F6" w:rsidRPr="009F17FF">
                <w:rPr>
                  <w:rStyle w:val="Hyperlink"/>
                  <w:b/>
                  <w:sz w:val="13"/>
                  <w:szCs w:val="13"/>
                </w:rPr>
                <w:t>3</w:t>
              </w:r>
            </w:hyperlink>
          </w:p>
        </w:tc>
        <w:tc>
          <w:tcPr>
            <w:tcW w:w="450" w:type="dxa"/>
            <w:tcBorders>
              <w:bottom w:val="single" w:sz="4" w:space="0" w:color="auto"/>
            </w:tcBorders>
            <w:shd w:val="clear" w:color="auto" w:fill="auto"/>
          </w:tcPr>
          <w:p w:rsidR="001A63C6" w:rsidRPr="003410C7" w:rsidRDefault="001A63C6" w:rsidP="001A63C6">
            <w:pPr>
              <w:pStyle w:val="TableText"/>
              <w:widowControl w:val="0"/>
              <w:spacing w:before="120"/>
              <w:rPr>
                <w:rFonts w:ascii="Tahoma" w:hAnsi="Tahoma" w:cs="Tahoma"/>
                <w:color w:val="000000"/>
                <w:sz w:val="13"/>
              </w:rPr>
            </w:pPr>
            <w:r w:rsidRPr="003410C7">
              <w:rPr>
                <w:rFonts w:ascii="Tahoma" w:hAnsi="Tahoma" w:cs="Tahoma"/>
                <w:color w:val="000000"/>
                <w:sz w:val="13"/>
              </w:rPr>
              <w:t>07/12</w:t>
            </w:r>
          </w:p>
        </w:tc>
        <w:tc>
          <w:tcPr>
            <w:tcW w:w="360" w:type="dxa"/>
            <w:tcBorders>
              <w:bottom w:val="single" w:sz="4" w:space="0" w:color="auto"/>
              <w:right w:val="single" w:sz="18" w:space="0" w:color="auto"/>
            </w:tcBorders>
            <w:shd w:val="clear" w:color="auto" w:fill="auto"/>
            <w:vAlign w:val="center"/>
          </w:tcPr>
          <w:p w:rsidR="001A63C6" w:rsidRPr="003410C7" w:rsidRDefault="001A63C6" w:rsidP="001A63C6">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auto"/>
            <w:vAlign w:val="center"/>
          </w:tcPr>
          <w:p w:rsidR="001A63C6" w:rsidRPr="003410C7"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3410C7"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3410C7"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3410C7"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3410C7"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3410C7" w:rsidRDefault="001A63C6" w:rsidP="001A63C6">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auto"/>
            <w:vAlign w:val="center"/>
          </w:tcPr>
          <w:p w:rsidR="001A63C6" w:rsidRPr="003410C7"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1A63C6" w:rsidRPr="003410C7"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3410C7"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1A63C6" w:rsidRPr="003410C7"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1A63C6" w:rsidRPr="003410C7" w:rsidRDefault="001A63C6" w:rsidP="001A63C6">
            <w:pPr>
              <w:pStyle w:val="TableText"/>
              <w:widowControl w:val="0"/>
              <w:rPr>
                <w:rFonts w:ascii="Tahoma" w:hAnsi="Tahoma" w:cs="Tahoma"/>
                <w:sz w:val="13"/>
              </w:rPr>
            </w:pPr>
            <w:r w:rsidRPr="003410C7">
              <w:rPr>
                <w:rFonts w:ascii="Tahoma" w:hAnsi="Tahoma" w:cs="Tahoma"/>
                <w:sz w:val="13"/>
              </w:rPr>
              <w:t>1</w:t>
            </w:r>
          </w:p>
        </w:tc>
        <w:tc>
          <w:tcPr>
            <w:tcW w:w="450" w:type="dxa"/>
            <w:tcBorders>
              <w:bottom w:val="single" w:sz="4" w:space="0" w:color="auto"/>
              <w:right w:val="single" w:sz="18" w:space="0" w:color="auto"/>
            </w:tcBorders>
            <w:shd w:val="clear" w:color="auto" w:fill="auto"/>
            <w:vAlign w:val="center"/>
          </w:tcPr>
          <w:p w:rsidR="001A63C6" w:rsidRPr="003410C7" w:rsidRDefault="001A63C6" w:rsidP="001A63C6">
            <w:pPr>
              <w:pStyle w:val="TableText"/>
              <w:widowControl w:val="0"/>
              <w:rPr>
                <w:rFonts w:ascii="Tahoma" w:hAnsi="Tahoma" w:cs="Tahoma"/>
                <w:sz w:val="13"/>
              </w:rPr>
            </w:pPr>
            <w:r w:rsidRPr="003410C7">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rsidR="001A63C6" w:rsidRPr="003410C7"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tcPr>
          <w:p w:rsidR="001A63C6" w:rsidRPr="003410C7" w:rsidRDefault="001A63C6" w:rsidP="001A63C6">
            <w:pPr>
              <w:pStyle w:val="TableText"/>
              <w:widowControl w:val="0"/>
              <w:spacing w:before="120"/>
              <w:rPr>
                <w:rFonts w:ascii="Tahoma" w:hAnsi="Tahoma" w:cs="Tahoma"/>
                <w:sz w:val="13"/>
              </w:rPr>
            </w:pPr>
          </w:p>
        </w:tc>
        <w:tc>
          <w:tcPr>
            <w:tcW w:w="540" w:type="dxa"/>
            <w:tcBorders>
              <w:bottom w:val="single" w:sz="4" w:space="0" w:color="auto"/>
            </w:tcBorders>
            <w:shd w:val="clear" w:color="auto" w:fill="auto"/>
            <w:vAlign w:val="center"/>
          </w:tcPr>
          <w:p w:rsidR="001A63C6" w:rsidRPr="003410C7" w:rsidRDefault="001A63C6" w:rsidP="001A63C6">
            <w:pPr>
              <w:pStyle w:val="TableText"/>
              <w:widowControl w:val="0"/>
              <w:rPr>
                <w:rFonts w:ascii="Tahoma" w:hAnsi="Tahoma" w:cs="Tahoma"/>
                <w:sz w:val="13"/>
              </w:rPr>
            </w:pPr>
          </w:p>
        </w:tc>
      </w:tr>
      <w:tr w:rsidR="00BE2E58" w:rsidRPr="003410C7" w:rsidTr="006B1F3F">
        <w:trPr>
          <w:trHeight w:val="145"/>
        </w:trPr>
        <w:tc>
          <w:tcPr>
            <w:tcW w:w="2734" w:type="dxa"/>
            <w:gridSpan w:val="2"/>
            <w:tcBorders>
              <w:bottom w:val="single" w:sz="4" w:space="0" w:color="auto"/>
            </w:tcBorders>
            <w:shd w:val="clear" w:color="auto" w:fill="FABF8F"/>
            <w:vAlign w:val="center"/>
          </w:tcPr>
          <w:p w:rsidR="001A63C6" w:rsidRPr="00451078" w:rsidRDefault="001A63C6" w:rsidP="001A63C6">
            <w:pPr>
              <w:pStyle w:val="Heading2"/>
              <w:ind w:left="0"/>
              <w:rPr>
                <w:rFonts w:ascii="Tahoma" w:hAnsi="Tahoma" w:cs="Tahoma"/>
                <w:b w:val="0"/>
                <w:sz w:val="14"/>
                <w:szCs w:val="16"/>
                <w:lang w:val="it-IT"/>
              </w:rPr>
            </w:pPr>
            <w:bookmarkStart w:id="303" w:name="_Toc336337998"/>
            <w:bookmarkStart w:id="304" w:name="_Toc352234609"/>
            <w:r w:rsidRPr="00451078">
              <w:rPr>
                <w:rFonts w:ascii="Tahoma" w:hAnsi="Tahoma" w:cs="Tahoma"/>
                <w:b w:val="0"/>
                <w:sz w:val="14"/>
                <w:szCs w:val="16"/>
                <w:lang w:val="it-IT"/>
              </w:rPr>
              <w:t>Lync Online Piano 3A (SL per Utente)</w:t>
            </w:r>
            <w:bookmarkEnd w:id="303"/>
            <w:bookmarkEnd w:id="304"/>
          </w:p>
        </w:tc>
        <w:tc>
          <w:tcPr>
            <w:tcW w:w="450" w:type="dxa"/>
            <w:tcBorders>
              <w:bottom w:val="single" w:sz="4" w:space="0" w:color="auto"/>
            </w:tcBorders>
            <w:shd w:val="clear" w:color="auto" w:fill="FABF8F"/>
            <w:vAlign w:val="center"/>
          </w:tcPr>
          <w:p w:rsidR="001A63C6" w:rsidRPr="009F17FF" w:rsidRDefault="00FC1A4D" w:rsidP="004E5F2F">
            <w:pPr>
              <w:pStyle w:val="TableText"/>
              <w:widowControl w:val="0"/>
              <w:rPr>
                <w:b/>
                <w:color w:val="0000FF"/>
                <w:sz w:val="13"/>
                <w:szCs w:val="13"/>
                <w:u w:val="single"/>
              </w:rPr>
            </w:pPr>
            <w:hyperlink w:anchor="_65_63_Lync" w:history="1">
              <w:hyperlink w:anchor="Srv_65LyncOnlinePlan1and2" w:history="1">
                <w:r w:rsidR="000D77F6" w:rsidRPr="009F17FF">
                  <w:rPr>
                    <w:rStyle w:val="Hyperlink"/>
                    <w:b/>
                    <w:sz w:val="13"/>
                    <w:szCs w:val="13"/>
                  </w:rPr>
                  <w:t>6</w:t>
                </w:r>
              </w:hyperlink>
              <w:r w:rsidR="000D77F6" w:rsidRPr="009F17FF">
                <w:rPr>
                  <w:rStyle w:val="Hyperlink"/>
                  <w:b/>
                  <w:sz w:val="13"/>
                  <w:szCs w:val="13"/>
                </w:rPr>
                <w:t>3</w:t>
              </w:r>
            </w:hyperlink>
          </w:p>
        </w:tc>
        <w:tc>
          <w:tcPr>
            <w:tcW w:w="450" w:type="dxa"/>
            <w:tcBorders>
              <w:bottom w:val="single" w:sz="4" w:space="0" w:color="auto"/>
            </w:tcBorders>
            <w:shd w:val="clear" w:color="auto" w:fill="FABF8F"/>
            <w:vAlign w:val="center"/>
          </w:tcPr>
          <w:p w:rsidR="001A63C6" w:rsidRPr="003410C7" w:rsidRDefault="001A63C6" w:rsidP="001A63C6">
            <w:pPr>
              <w:pStyle w:val="TableText"/>
              <w:widowControl w:val="0"/>
              <w:rPr>
                <w:rFonts w:ascii="Tahoma" w:hAnsi="Tahoma" w:cs="Tahoma"/>
                <w:color w:val="000000"/>
                <w:sz w:val="13"/>
              </w:rPr>
            </w:pPr>
            <w:r w:rsidRPr="003410C7">
              <w:rPr>
                <w:rFonts w:ascii="Tahoma" w:hAnsi="Tahoma" w:cs="Tahoma"/>
                <w:color w:val="000000"/>
                <w:sz w:val="13"/>
              </w:rPr>
              <w:t>07/12</w:t>
            </w:r>
          </w:p>
        </w:tc>
        <w:tc>
          <w:tcPr>
            <w:tcW w:w="360" w:type="dxa"/>
            <w:tcBorders>
              <w:bottom w:val="single" w:sz="4" w:space="0" w:color="auto"/>
              <w:right w:val="single" w:sz="18" w:space="0" w:color="auto"/>
            </w:tcBorders>
            <w:shd w:val="clear" w:color="auto" w:fill="FABF8F"/>
            <w:vAlign w:val="center"/>
          </w:tcPr>
          <w:p w:rsidR="001A63C6" w:rsidRPr="003410C7" w:rsidRDefault="001A63C6" w:rsidP="001A63C6">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FABF8F"/>
            <w:vAlign w:val="center"/>
          </w:tcPr>
          <w:p w:rsidR="001A63C6" w:rsidRPr="003410C7"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3410C7"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3410C7"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3410C7"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3410C7"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3410C7" w:rsidRDefault="001A63C6" w:rsidP="001A63C6">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rsidR="001A63C6" w:rsidRPr="003410C7"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3410C7"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3410C7"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1A63C6" w:rsidRPr="003410C7"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3410C7" w:rsidRDefault="001A63C6" w:rsidP="001A63C6">
            <w:pPr>
              <w:pStyle w:val="TableText"/>
              <w:widowControl w:val="0"/>
              <w:rPr>
                <w:rFonts w:ascii="Tahoma" w:hAnsi="Tahoma" w:cs="Tahoma"/>
                <w:sz w:val="13"/>
              </w:rPr>
            </w:pPr>
            <w:r w:rsidRPr="003410C7">
              <w:rPr>
                <w:rFonts w:ascii="Tahoma" w:hAnsi="Tahoma" w:cs="Tahoma"/>
                <w:sz w:val="13"/>
              </w:rPr>
              <w:t>1</w:t>
            </w:r>
          </w:p>
        </w:tc>
        <w:tc>
          <w:tcPr>
            <w:tcW w:w="450" w:type="dxa"/>
            <w:tcBorders>
              <w:bottom w:val="single" w:sz="4" w:space="0" w:color="auto"/>
              <w:right w:val="single" w:sz="18" w:space="0" w:color="auto"/>
            </w:tcBorders>
            <w:shd w:val="clear" w:color="auto" w:fill="FABF8F"/>
            <w:vAlign w:val="center"/>
          </w:tcPr>
          <w:p w:rsidR="001A63C6" w:rsidRPr="003410C7" w:rsidRDefault="001A63C6" w:rsidP="001A63C6">
            <w:pPr>
              <w:pStyle w:val="TableText"/>
              <w:widowControl w:val="0"/>
              <w:rPr>
                <w:rFonts w:ascii="Tahoma" w:hAnsi="Tahoma" w:cs="Tahoma"/>
                <w:sz w:val="13"/>
              </w:rPr>
            </w:pPr>
            <w:r w:rsidRPr="003410C7">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3410C7"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3410C7" w:rsidRDefault="001A63C6" w:rsidP="001A63C6">
            <w:pPr>
              <w:pStyle w:val="TableText"/>
              <w:widowControl w:val="0"/>
              <w:rPr>
                <w:rFonts w:ascii="Tahoma" w:hAnsi="Tahoma" w:cs="Tahoma"/>
                <w:sz w:val="13"/>
              </w:rPr>
            </w:pPr>
            <w:r w:rsidRPr="003410C7">
              <w:rPr>
                <w:rFonts w:ascii="Tahoma" w:hAnsi="Tahoma" w:cs="Tahoma"/>
                <w:sz w:val="13"/>
              </w:rPr>
              <w:t>A, ST (Solo EES)</w:t>
            </w:r>
          </w:p>
        </w:tc>
        <w:tc>
          <w:tcPr>
            <w:tcW w:w="540" w:type="dxa"/>
            <w:tcBorders>
              <w:bottom w:val="single" w:sz="4" w:space="0" w:color="auto"/>
            </w:tcBorders>
            <w:shd w:val="clear" w:color="auto" w:fill="FABF8F"/>
            <w:vAlign w:val="center"/>
          </w:tcPr>
          <w:p w:rsidR="001A63C6" w:rsidRPr="003410C7" w:rsidRDefault="001A63C6" w:rsidP="001A63C6">
            <w:pPr>
              <w:pStyle w:val="TableText"/>
              <w:widowControl w:val="0"/>
              <w:rPr>
                <w:rFonts w:ascii="Tahoma" w:hAnsi="Tahoma" w:cs="Tahoma"/>
                <w:sz w:val="13"/>
              </w:rPr>
            </w:pPr>
          </w:p>
        </w:tc>
      </w:tr>
      <w:tr w:rsidR="00B33D0E" w:rsidRPr="003410C7" w:rsidTr="006B1F3F">
        <w:trPr>
          <w:trHeight w:val="145"/>
        </w:trPr>
        <w:tc>
          <w:tcPr>
            <w:tcW w:w="2734" w:type="dxa"/>
            <w:gridSpan w:val="2"/>
            <w:tcBorders>
              <w:bottom w:val="single" w:sz="4" w:space="0" w:color="auto"/>
            </w:tcBorders>
            <w:shd w:val="clear" w:color="auto" w:fill="auto"/>
            <w:vAlign w:val="center"/>
          </w:tcPr>
          <w:p w:rsidR="001A63C6" w:rsidRPr="003410C7" w:rsidRDefault="001A63C6" w:rsidP="001A63C6">
            <w:pPr>
              <w:pStyle w:val="Heading2"/>
              <w:ind w:left="0"/>
              <w:rPr>
                <w:rFonts w:ascii="Tahoma" w:hAnsi="Tahoma" w:cs="Tahoma"/>
                <w:b w:val="0"/>
                <w:sz w:val="14"/>
                <w:szCs w:val="16"/>
              </w:rPr>
            </w:pPr>
            <w:bookmarkStart w:id="305" w:name="_Toc336337999"/>
            <w:bookmarkStart w:id="306" w:name="_Toc352234610"/>
            <w:r w:rsidRPr="003410C7">
              <w:rPr>
                <w:rFonts w:ascii="Tahoma" w:hAnsi="Tahoma" w:cs="Tahoma"/>
                <w:b w:val="0"/>
                <w:sz w:val="14"/>
                <w:szCs w:val="16"/>
              </w:rPr>
              <w:t xml:space="preserve">Lync Server </w:t>
            </w:r>
            <w:bookmarkEnd w:id="305"/>
            <w:r w:rsidRPr="003410C7">
              <w:rPr>
                <w:rFonts w:ascii="Tahoma" w:hAnsi="Tahoma" w:cs="Tahoma"/>
                <w:b w:val="0"/>
                <w:sz w:val="14"/>
                <w:szCs w:val="16"/>
              </w:rPr>
              <w:t>2013</w:t>
            </w:r>
            <w:bookmarkEnd w:id="306"/>
          </w:p>
        </w:tc>
        <w:tc>
          <w:tcPr>
            <w:tcW w:w="450" w:type="dxa"/>
            <w:tcBorders>
              <w:bottom w:val="single" w:sz="4" w:space="0" w:color="auto"/>
            </w:tcBorders>
            <w:shd w:val="clear" w:color="auto" w:fill="auto"/>
            <w:vAlign w:val="center"/>
          </w:tcPr>
          <w:p w:rsidR="001A63C6" w:rsidRPr="009F17FF" w:rsidRDefault="00FC1A4D" w:rsidP="003C5E74">
            <w:pPr>
              <w:pStyle w:val="TableText"/>
              <w:widowControl w:val="0"/>
              <w:rPr>
                <w:b/>
                <w:color w:val="0000FF"/>
                <w:sz w:val="13"/>
                <w:szCs w:val="13"/>
                <w:u w:val="single"/>
              </w:rPr>
            </w:pPr>
            <w:hyperlink w:anchor="_62_Lync_Server" w:history="1">
              <w:r w:rsidR="000D77F6" w:rsidRPr="009F17FF">
                <w:rPr>
                  <w:rStyle w:val="Hyperlink"/>
                  <w:b/>
                  <w:sz w:val="13"/>
                  <w:szCs w:val="13"/>
                </w:rPr>
                <w:t>64</w:t>
              </w:r>
            </w:hyperlink>
          </w:p>
        </w:tc>
        <w:tc>
          <w:tcPr>
            <w:tcW w:w="450" w:type="dxa"/>
            <w:tcBorders>
              <w:bottom w:val="single" w:sz="4" w:space="0" w:color="auto"/>
            </w:tcBorders>
            <w:shd w:val="clear" w:color="auto" w:fill="auto"/>
          </w:tcPr>
          <w:p w:rsidR="001A63C6" w:rsidRPr="003410C7" w:rsidRDefault="001A63C6" w:rsidP="001A63C6">
            <w:pPr>
              <w:pStyle w:val="TableText"/>
              <w:widowControl w:val="0"/>
              <w:spacing w:before="120"/>
              <w:rPr>
                <w:rFonts w:ascii="Tahoma" w:hAnsi="Tahoma" w:cs="Tahoma"/>
                <w:color w:val="000000"/>
                <w:sz w:val="13"/>
              </w:rPr>
            </w:pPr>
            <w:r w:rsidRPr="003410C7">
              <w:rPr>
                <w:rFonts w:ascii="Tahoma" w:hAnsi="Tahoma" w:cs="Tahoma"/>
                <w:color w:val="000000"/>
                <w:sz w:val="13"/>
              </w:rPr>
              <w:t>10/12</w:t>
            </w:r>
          </w:p>
        </w:tc>
        <w:tc>
          <w:tcPr>
            <w:tcW w:w="360" w:type="dxa"/>
            <w:tcBorders>
              <w:bottom w:val="single" w:sz="4" w:space="0" w:color="auto"/>
              <w:right w:val="single" w:sz="18" w:space="0" w:color="auto"/>
            </w:tcBorders>
            <w:shd w:val="clear" w:color="auto" w:fill="auto"/>
            <w:vAlign w:val="center"/>
          </w:tcPr>
          <w:p w:rsidR="001A63C6" w:rsidRPr="003410C7" w:rsidRDefault="001A63C6" w:rsidP="001A63C6">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auto"/>
            <w:vAlign w:val="center"/>
          </w:tcPr>
          <w:p w:rsidR="001A63C6" w:rsidRPr="003410C7" w:rsidRDefault="001A63C6" w:rsidP="001A63C6">
            <w:pPr>
              <w:pStyle w:val="TableText"/>
              <w:widowControl w:val="0"/>
              <w:rPr>
                <w:rFonts w:ascii="Tahoma" w:hAnsi="Tahoma" w:cs="Tahoma"/>
                <w:sz w:val="13"/>
              </w:rPr>
            </w:pPr>
            <w:r w:rsidRPr="003410C7">
              <w:rPr>
                <w:rFonts w:ascii="Tahoma" w:hAnsi="Tahoma" w:cs="Tahoma"/>
                <w:sz w:val="13"/>
              </w:rPr>
              <w:t>50</w:t>
            </w:r>
          </w:p>
        </w:tc>
        <w:tc>
          <w:tcPr>
            <w:tcW w:w="450" w:type="dxa"/>
            <w:tcBorders>
              <w:bottom w:val="single" w:sz="4" w:space="0" w:color="auto"/>
            </w:tcBorders>
            <w:shd w:val="clear" w:color="auto" w:fill="auto"/>
            <w:vAlign w:val="center"/>
          </w:tcPr>
          <w:p w:rsidR="001A63C6" w:rsidRPr="003410C7" w:rsidRDefault="001A63C6" w:rsidP="001A63C6">
            <w:pPr>
              <w:pStyle w:val="TableText"/>
              <w:widowControl w:val="0"/>
              <w:rPr>
                <w:rFonts w:ascii="Tahoma" w:hAnsi="Tahoma" w:cs="Tahoma"/>
                <w:sz w:val="13"/>
              </w:rPr>
            </w:pPr>
            <w:r w:rsidRPr="003410C7">
              <w:rPr>
                <w:rFonts w:ascii="Tahoma" w:hAnsi="Tahoma" w:cs="Tahoma"/>
                <w:sz w:val="13"/>
              </w:rPr>
              <w:t>125</w:t>
            </w:r>
          </w:p>
        </w:tc>
        <w:tc>
          <w:tcPr>
            <w:tcW w:w="450" w:type="dxa"/>
            <w:tcBorders>
              <w:bottom w:val="single" w:sz="4" w:space="0" w:color="auto"/>
            </w:tcBorders>
            <w:shd w:val="clear" w:color="auto" w:fill="auto"/>
            <w:vAlign w:val="center"/>
          </w:tcPr>
          <w:p w:rsidR="001A63C6" w:rsidRPr="003410C7" w:rsidRDefault="001A63C6" w:rsidP="001A63C6">
            <w:pPr>
              <w:pStyle w:val="TableText"/>
              <w:widowControl w:val="0"/>
              <w:rPr>
                <w:rFonts w:ascii="Tahoma" w:hAnsi="Tahoma" w:cs="Tahoma"/>
                <w:sz w:val="13"/>
              </w:rPr>
            </w:pPr>
            <w:r w:rsidRPr="003410C7">
              <w:rPr>
                <w:rFonts w:ascii="Tahoma" w:hAnsi="Tahoma" w:cs="Tahoma"/>
                <w:sz w:val="13"/>
              </w:rPr>
              <w:t>100</w:t>
            </w:r>
          </w:p>
        </w:tc>
        <w:tc>
          <w:tcPr>
            <w:tcW w:w="450" w:type="dxa"/>
            <w:tcBorders>
              <w:bottom w:val="single" w:sz="4" w:space="0" w:color="auto"/>
            </w:tcBorders>
            <w:shd w:val="clear" w:color="auto" w:fill="auto"/>
            <w:vAlign w:val="center"/>
          </w:tcPr>
          <w:p w:rsidR="001A63C6" w:rsidRPr="003410C7" w:rsidRDefault="001A63C6" w:rsidP="001A63C6">
            <w:pPr>
              <w:pStyle w:val="TableText"/>
              <w:widowControl w:val="0"/>
              <w:rPr>
                <w:rFonts w:ascii="Tahoma" w:hAnsi="Tahoma" w:cs="Tahoma"/>
                <w:sz w:val="13"/>
              </w:rPr>
            </w:pPr>
            <w:r w:rsidRPr="003410C7">
              <w:rPr>
                <w:rFonts w:ascii="Tahoma" w:hAnsi="Tahoma" w:cs="Tahoma"/>
                <w:sz w:val="13"/>
              </w:rPr>
              <w:t>75</w:t>
            </w:r>
          </w:p>
        </w:tc>
        <w:tc>
          <w:tcPr>
            <w:tcW w:w="450" w:type="dxa"/>
            <w:tcBorders>
              <w:bottom w:val="single" w:sz="4" w:space="0" w:color="auto"/>
            </w:tcBorders>
            <w:shd w:val="clear" w:color="auto" w:fill="auto"/>
            <w:vAlign w:val="center"/>
          </w:tcPr>
          <w:p w:rsidR="001A63C6" w:rsidRPr="003410C7" w:rsidRDefault="001A63C6" w:rsidP="001A63C6">
            <w:pPr>
              <w:pStyle w:val="TableText"/>
              <w:widowControl w:val="0"/>
              <w:rPr>
                <w:rFonts w:ascii="Tahoma" w:hAnsi="Tahoma" w:cs="Tahoma"/>
                <w:sz w:val="13"/>
              </w:rPr>
            </w:pPr>
            <w:r w:rsidRPr="003410C7">
              <w:rPr>
                <w:rFonts w:ascii="Tahoma" w:hAnsi="Tahoma" w:cs="Tahoma"/>
                <w:sz w:val="13"/>
              </w:rPr>
              <w:t>75</w:t>
            </w:r>
          </w:p>
        </w:tc>
        <w:tc>
          <w:tcPr>
            <w:tcW w:w="450" w:type="dxa"/>
            <w:tcBorders>
              <w:bottom w:val="single" w:sz="4" w:space="0" w:color="auto"/>
            </w:tcBorders>
            <w:shd w:val="clear" w:color="auto" w:fill="auto"/>
            <w:vAlign w:val="center"/>
          </w:tcPr>
          <w:p w:rsidR="001A63C6" w:rsidRPr="003410C7" w:rsidRDefault="001A63C6" w:rsidP="001A63C6">
            <w:pPr>
              <w:pStyle w:val="TableText"/>
              <w:widowControl w:val="0"/>
              <w:rPr>
                <w:rFonts w:ascii="Tahoma" w:hAnsi="Tahoma" w:cs="Tahoma"/>
                <w:sz w:val="13"/>
              </w:rPr>
            </w:pPr>
            <w:r w:rsidRPr="003410C7">
              <w:rPr>
                <w:rFonts w:ascii="Tahoma" w:hAnsi="Tahoma" w:cs="Tahoma"/>
                <w:sz w:val="13"/>
              </w:rPr>
              <w:t>50</w:t>
            </w:r>
          </w:p>
        </w:tc>
        <w:tc>
          <w:tcPr>
            <w:tcW w:w="360" w:type="dxa"/>
            <w:tcBorders>
              <w:bottom w:val="single" w:sz="4" w:space="0" w:color="auto"/>
              <w:right w:val="single" w:sz="18" w:space="0" w:color="auto"/>
            </w:tcBorders>
            <w:shd w:val="clear" w:color="auto" w:fill="auto"/>
            <w:vAlign w:val="center"/>
          </w:tcPr>
          <w:p w:rsidR="001A63C6" w:rsidRPr="003410C7" w:rsidRDefault="001A63C6" w:rsidP="001A63C6">
            <w:pPr>
              <w:pStyle w:val="TableText"/>
              <w:widowControl w:val="0"/>
              <w:rPr>
                <w:rFonts w:ascii="Tahoma" w:hAnsi="Tahoma" w:cs="Tahoma"/>
                <w:sz w:val="13"/>
              </w:rPr>
            </w:pPr>
            <w:r w:rsidRPr="003410C7">
              <w:rPr>
                <w:rFonts w:ascii="Tahoma" w:hAnsi="Tahoma" w:cs="Tahoma"/>
                <w:sz w:val="13"/>
              </w:rPr>
              <w:t>25</w:t>
            </w:r>
          </w:p>
        </w:tc>
        <w:tc>
          <w:tcPr>
            <w:tcW w:w="450" w:type="dxa"/>
            <w:tcBorders>
              <w:left w:val="single" w:sz="18" w:space="0" w:color="auto"/>
              <w:bottom w:val="single" w:sz="4" w:space="0" w:color="auto"/>
            </w:tcBorders>
            <w:shd w:val="clear" w:color="auto" w:fill="auto"/>
            <w:vAlign w:val="center"/>
          </w:tcPr>
          <w:p w:rsidR="001A63C6" w:rsidRPr="003410C7" w:rsidRDefault="001A63C6" w:rsidP="001A63C6">
            <w:pPr>
              <w:pStyle w:val="TableText"/>
              <w:widowControl w:val="0"/>
              <w:rPr>
                <w:rFonts w:ascii="Tahoma" w:hAnsi="Tahoma" w:cs="Tahoma"/>
                <w:sz w:val="13"/>
              </w:rPr>
            </w:pPr>
            <w:r w:rsidRPr="003410C7">
              <w:rPr>
                <w:rFonts w:ascii="Tahoma" w:hAnsi="Tahoma" w:cs="Tahoma"/>
                <w:sz w:val="13"/>
              </w:rPr>
              <w:t>50</w:t>
            </w:r>
          </w:p>
        </w:tc>
        <w:tc>
          <w:tcPr>
            <w:tcW w:w="450" w:type="dxa"/>
            <w:tcBorders>
              <w:bottom w:val="single" w:sz="4" w:space="0" w:color="auto"/>
            </w:tcBorders>
            <w:shd w:val="clear" w:color="auto" w:fill="auto"/>
            <w:vAlign w:val="center"/>
          </w:tcPr>
          <w:p w:rsidR="001A63C6" w:rsidRPr="003410C7" w:rsidRDefault="001A63C6" w:rsidP="001A63C6">
            <w:pPr>
              <w:pStyle w:val="TableText"/>
              <w:widowControl w:val="0"/>
              <w:rPr>
                <w:rFonts w:ascii="Tahoma" w:hAnsi="Tahoma" w:cs="Tahoma"/>
                <w:sz w:val="13"/>
              </w:rPr>
            </w:pPr>
            <w:r w:rsidRPr="003410C7">
              <w:rPr>
                <w:rFonts w:ascii="Tahoma" w:hAnsi="Tahoma" w:cs="Tahoma"/>
                <w:sz w:val="13"/>
              </w:rPr>
              <w:t>100</w:t>
            </w:r>
          </w:p>
        </w:tc>
        <w:tc>
          <w:tcPr>
            <w:tcW w:w="450" w:type="dxa"/>
            <w:tcBorders>
              <w:bottom w:val="single" w:sz="4" w:space="0" w:color="auto"/>
              <w:right w:val="single" w:sz="18" w:space="0" w:color="auto"/>
            </w:tcBorders>
            <w:shd w:val="clear" w:color="auto" w:fill="auto"/>
            <w:vAlign w:val="center"/>
          </w:tcPr>
          <w:p w:rsidR="001A63C6" w:rsidRPr="003410C7" w:rsidRDefault="001A63C6" w:rsidP="001A63C6">
            <w:pPr>
              <w:pStyle w:val="TableText"/>
              <w:widowControl w:val="0"/>
              <w:rPr>
                <w:rFonts w:ascii="Tahoma" w:hAnsi="Tahoma" w:cs="Tahoma"/>
                <w:sz w:val="13"/>
              </w:rPr>
            </w:pPr>
            <w:r w:rsidRPr="003410C7">
              <w:rPr>
                <w:rFonts w:ascii="Tahoma" w:hAnsi="Tahoma" w:cs="Tahoma"/>
                <w:sz w:val="13"/>
              </w:rPr>
              <w:t>50</w:t>
            </w:r>
          </w:p>
        </w:tc>
        <w:tc>
          <w:tcPr>
            <w:tcW w:w="450" w:type="dxa"/>
            <w:tcBorders>
              <w:left w:val="single" w:sz="18" w:space="0" w:color="auto"/>
              <w:bottom w:val="single" w:sz="4" w:space="0" w:color="auto"/>
            </w:tcBorders>
            <w:shd w:val="clear" w:color="auto" w:fill="auto"/>
            <w:vAlign w:val="center"/>
          </w:tcPr>
          <w:p w:rsidR="001A63C6" w:rsidRPr="003410C7" w:rsidRDefault="001A63C6" w:rsidP="001A63C6">
            <w:pPr>
              <w:pStyle w:val="TableText"/>
              <w:widowControl w:val="0"/>
              <w:rPr>
                <w:rFonts w:ascii="Tahoma" w:hAnsi="Tahoma" w:cs="Tahoma"/>
                <w:sz w:val="13"/>
              </w:rPr>
            </w:pPr>
            <w:r w:rsidRPr="003410C7">
              <w:rPr>
                <w:rFonts w:ascii="Tahoma" w:hAnsi="Tahoma" w:cs="Tahoma"/>
                <w:sz w:val="13"/>
              </w:rPr>
              <w:t>50</w:t>
            </w:r>
          </w:p>
        </w:tc>
        <w:tc>
          <w:tcPr>
            <w:tcW w:w="450" w:type="dxa"/>
            <w:tcBorders>
              <w:bottom w:val="single" w:sz="4" w:space="0" w:color="auto"/>
              <w:right w:val="single" w:sz="18" w:space="0" w:color="auto"/>
            </w:tcBorders>
            <w:shd w:val="clear" w:color="auto" w:fill="auto"/>
            <w:vAlign w:val="center"/>
          </w:tcPr>
          <w:p w:rsidR="001A63C6" w:rsidRPr="003410C7" w:rsidRDefault="001A63C6" w:rsidP="001A63C6">
            <w:pPr>
              <w:pStyle w:val="TableText"/>
              <w:widowControl w:val="0"/>
              <w:rPr>
                <w:rFonts w:ascii="Tahoma" w:hAnsi="Tahoma" w:cs="Tahoma"/>
                <w:sz w:val="13"/>
              </w:rPr>
            </w:pPr>
            <w:r w:rsidRPr="003410C7">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rsidR="001A63C6" w:rsidRPr="003410C7" w:rsidRDefault="001A63C6" w:rsidP="001A63C6">
            <w:pPr>
              <w:pStyle w:val="TableText"/>
              <w:widowControl w:val="0"/>
              <w:rPr>
                <w:rFonts w:ascii="Tahoma" w:hAnsi="Tahoma" w:cs="Tahoma"/>
                <w:sz w:val="13"/>
              </w:rPr>
            </w:pPr>
            <w:r w:rsidRPr="003410C7">
              <w:rPr>
                <w:rFonts w:ascii="Tahoma" w:hAnsi="Tahoma" w:cs="Tahoma"/>
                <w:sz w:val="13"/>
              </w:rPr>
              <w:t>P</w:t>
            </w:r>
          </w:p>
        </w:tc>
        <w:tc>
          <w:tcPr>
            <w:tcW w:w="450" w:type="dxa"/>
            <w:tcBorders>
              <w:bottom w:val="single" w:sz="4" w:space="0" w:color="auto"/>
            </w:tcBorders>
            <w:shd w:val="clear" w:color="auto" w:fill="auto"/>
          </w:tcPr>
          <w:p w:rsidR="001A63C6" w:rsidRPr="003410C7" w:rsidRDefault="001A63C6" w:rsidP="001A63C6">
            <w:pPr>
              <w:pStyle w:val="TableText"/>
              <w:widowControl w:val="0"/>
              <w:spacing w:before="120"/>
              <w:rPr>
                <w:rFonts w:ascii="Tahoma" w:hAnsi="Tahoma" w:cs="Tahoma"/>
                <w:sz w:val="13"/>
              </w:rPr>
            </w:pPr>
            <w:r w:rsidRPr="003410C7">
              <w:rPr>
                <w:rFonts w:ascii="Tahoma" w:hAnsi="Tahoma" w:cs="Tahoma"/>
                <w:sz w:val="13"/>
              </w:rPr>
              <w:t>A</w:t>
            </w:r>
          </w:p>
        </w:tc>
        <w:tc>
          <w:tcPr>
            <w:tcW w:w="540" w:type="dxa"/>
            <w:tcBorders>
              <w:bottom w:val="single" w:sz="4" w:space="0" w:color="auto"/>
            </w:tcBorders>
            <w:shd w:val="clear" w:color="auto" w:fill="auto"/>
            <w:vAlign w:val="center"/>
          </w:tcPr>
          <w:p w:rsidR="001A63C6" w:rsidRPr="003410C7" w:rsidRDefault="001A63C6" w:rsidP="001A63C6">
            <w:pPr>
              <w:pStyle w:val="TableText"/>
              <w:widowControl w:val="0"/>
              <w:rPr>
                <w:rFonts w:ascii="Tahoma" w:hAnsi="Tahoma" w:cs="Tahoma"/>
                <w:sz w:val="13"/>
              </w:rPr>
            </w:pPr>
          </w:p>
        </w:tc>
      </w:tr>
      <w:tr w:rsidR="00EF228F" w:rsidRPr="003410C7" w:rsidTr="006B1F3F">
        <w:trPr>
          <w:trHeight w:val="145"/>
        </w:trPr>
        <w:tc>
          <w:tcPr>
            <w:tcW w:w="2734" w:type="dxa"/>
            <w:gridSpan w:val="2"/>
            <w:tcBorders>
              <w:bottom w:val="single" w:sz="4" w:space="0" w:color="auto"/>
            </w:tcBorders>
            <w:shd w:val="clear" w:color="auto" w:fill="FABF8F"/>
            <w:vAlign w:val="center"/>
          </w:tcPr>
          <w:p w:rsidR="001A63C6" w:rsidRPr="003410C7" w:rsidDel="006A2F66" w:rsidRDefault="001A63C6" w:rsidP="001A63C6">
            <w:pPr>
              <w:pStyle w:val="Heading2"/>
              <w:ind w:left="0"/>
              <w:rPr>
                <w:rFonts w:ascii="Tahoma" w:hAnsi="Tahoma" w:cs="Tahoma"/>
                <w:b w:val="0"/>
                <w:sz w:val="14"/>
                <w:szCs w:val="16"/>
              </w:rPr>
            </w:pPr>
            <w:bookmarkStart w:id="307" w:name="_Toc336338000"/>
            <w:bookmarkStart w:id="308" w:name="_Toc352234611"/>
            <w:r w:rsidRPr="003410C7">
              <w:rPr>
                <w:rFonts w:ascii="Tahoma" w:hAnsi="Tahoma" w:cs="Tahoma"/>
                <w:b w:val="0"/>
                <w:sz w:val="14"/>
                <w:szCs w:val="16"/>
              </w:rPr>
              <w:t>Enterprise CAL per Lync Server</w:t>
            </w:r>
            <w:bookmarkEnd w:id="307"/>
            <w:r w:rsidRPr="003410C7">
              <w:rPr>
                <w:rFonts w:ascii="Tahoma" w:hAnsi="Tahoma" w:cs="Tahoma"/>
                <w:b w:val="0"/>
                <w:sz w:val="14"/>
                <w:szCs w:val="16"/>
              </w:rPr>
              <w:t xml:space="preserve"> 2013</w:t>
            </w:r>
            <w:bookmarkEnd w:id="308"/>
          </w:p>
        </w:tc>
        <w:tc>
          <w:tcPr>
            <w:tcW w:w="450" w:type="dxa"/>
            <w:tcBorders>
              <w:bottom w:val="single" w:sz="4" w:space="0" w:color="auto"/>
            </w:tcBorders>
            <w:shd w:val="clear" w:color="auto" w:fill="FABF8F"/>
            <w:vAlign w:val="center"/>
          </w:tcPr>
          <w:p w:rsidR="001A63C6" w:rsidRPr="009F17FF" w:rsidDel="006A2F66" w:rsidRDefault="001A63C6" w:rsidP="001A63C6">
            <w:pPr>
              <w:pStyle w:val="TableText"/>
              <w:widowControl w:val="0"/>
              <w:rPr>
                <w:b/>
                <w:color w:val="0000FF"/>
                <w:sz w:val="13"/>
                <w:szCs w:val="13"/>
                <w:u w:val="single"/>
              </w:rPr>
            </w:pPr>
          </w:p>
        </w:tc>
        <w:tc>
          <w:tcPr>
            <w:tcW w:w="450" w:type="dxa"/>
            <w:tcBorders>
              <w:bottom w:val="single" w:sz="4" w:space="0" w:color="auto"/>
            </w:tcBorders>
            <w:shd w:val="clear" w:color="auto" w:fill="FABF8F"/>
          </w:tcPr>
          <w:p w:rsidR="001A63C6" w:rsidRPr="003410C7" w:rsidDel="006A2F66" w:rsidRDefault="001A63C6" w:rsidP="001A63C6">
            <w:pPr>
              <w:pStyle w:val="TableText"/>
              <w:widowControl w:val="0"/>
              <w:spacing w:before="120"/>
              <w:rPr>
                <w:rFonts w:ascii="Tahoma" w:hAnsi="Tahoma" w:cs="Tahoma"/>
                <w:color w:val="000000"/>
                <w:sz w:val="13"/>
              </w:rPr>
            </w:pPr>
            <w:r w:rsidRPr="003410C7">
              <w:rPr>
                <w:rFonts w:ascii="Tahoma" w:hAnsi="Tahoma" w:cs="Tahoma"/>
                <w:color w:val="000000"/>
                <w:sz w:val="13"/>
              </w:rPr>
              <w:t>10/12</w:t>
            </w:r>
          </w:p>
        </w:tc>
        <w:tc>
          <w:tcPr>
            <w:tcW w:w="360" w:type="dxa"/>
            <w:tcBorders>
              <w:bottom w:val="single" w:sz="4" w:space="0" w:color="auto"/>
              <w:right w:val="single" w:sz="18" w:space="0" w:color="auto"/>
            </w:tcBorders>
            <w:shd w:val="clear" w:color="auto" w:fill="FABF8F"/>
            <w:vAlign w:val="center"/>
          </w:tcPr>
          <w:p w:rsidR="001A63C6" w:rsidRPr="003410C7" w:rsidDel="006A2F66" w:rsidRDefault="001A63C6" w:rsidP="001A63C6">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FABF8F"/>
            <w:vAlign w:val="center"/>
          </w:tcPr>
          <w:p w:rsidR="001A63C6" w:rsidRPr="003410C7" w:rsidDel="006A2F66" w:rsidRDefault="001A63C6" w:rsidP="001A63C6">
            <w:pPr>
              <w:pStyle w:val="TableText"/>
              <w:widowControl w:val="0"/>
              <w:rPr>
                <w:rFonts w:ascii="Tahoma" w:hAnsi="Tahoma" w:cs="Tahoma"/>
                <w:sz w:val="13"/>
              </w:rPr>
            </w:pPr>
            <w:r w:rsidRPr="003410C7">
              <w:rPr>
                <w:rFonts w:ascii="Tahoma" w:hAnsi="Tahoma" w:cs="Tahoma"/>
                <w:sz w:val="13"/>
              </w:rPr>
              <w:t>1</w:t>
            </w:r>
          </w:p>
        </w:tc>
        <w:tc>
          <w:tcPr>
            <w:tcW w:w="450" w:type="dxa"/>
            <w:tcBorders>
              <w:bottom w:val="single" w:sz="4" w:space="0" w:color="auto"/>
            </w:tcBorders>
            <w:shd w:val="clear" w:color="auto" w:fill="FABF8F"/>
            <w:vAlign w:val="center"/>
          </w:tcPr>
          <w:p w:rsidR="001A63C6" w:rsidRPr="003410C7" w:rsidDel="006A2F66" w:rsidRDefault="001A63C6" w:rsidP="001A63C6">
            <w:pPr>
              <w:pStyle w:val="TableText"/>
              <w:widowControl w:val="0"/>
              <w:rPr>
                <w:rFonts w:ascii="Tahoma" w:hAnsi="Tahoma" w:cs="Tahoma"/>
                <w:sz w:val="13"/>
              </w:rPr>
            </w:pPr>
            <w:r w:rsidRPr="003410C7">
              <w:rPr>
                <w:rFonts w:ascii="Tahoma" w:hAnsi="Tahoma" w:cs="Tahoma"/>
                <w:sz w:val="13"/>
              </w:rPr>
              <w:t>3</w:t>
            </w:r>
          </w:p>
        </w:tc>
        <w:tc>
          <w:tcPr>
            <w:tcW w:w="450" w:type="dxa"/>
            <w:tcBorders>
              <w:bottom w:val="single" w:sz="4" w:space="0" w:color="auto"/>
            </w:tcBorders>
            <w:shd w:val="clear" w:color="auto" w:fill="FABF8F"/>
            <w:vAlign w:val="center"/>
          </w:tcPr>
          <w:p w:rsidR="001A63C6" w:rsidRPr="003410C7" w:rsidDel="006A2F66" w:rsidRDefault="001A63C6" w:rsidP="001A63C6">
            <w:pPr>
              <w:pStyle w:val="TableText"/>
              <w:widowControl w:val="0"/>
              <w:rPr>
                <w:rFonts w:ascii="Tahoma" w:hAnsi="Tahoma" w:cs="Tahoma"/>
                <w:sz w:val="13"/>
              </w:rPr>
            </w:pPr>
            <w:r w:rsidRPr="003410C7">
              <w:rPr>
                <w:rFonts w:ascii="Tahoma" w:hAnsi="Tahoma" w:cs="Tahoma"/>
                <w:sz w:val="13"/>
              </w:rPr>
              <w:t>2</w:t>
            </w:r>
          </w:p>
        </w:tc>
        <w:tc>
          <w:tcPr>
            <w:tcW w:w="450" w:type="dxa"/>
            <w:tcBorders>
              <w:bottom w:val="single" w:sz="4" w:space="0" w:color="auto"/>
            </w:tcBorders>
            <w:shd w:val="clear" w:color="auto" w:fill="FABF8F"/>
            <w:vAlign w:val="center"/>
          </w:tcPr>
          <w:p w:rsidR="001A63C6" w:rsidRPr="003410C7" w:rsidDel="006A2F66" w:rsidRDefault="001A63C6" w:rsidP="001A63C6">
            <w:pPr>
              <w:pStyle w:val="TableText"/>
              <w:widowControl w:val="0"/>
              <w:rPr>
                <w:rFonts w:ascii="Tahoma" w:hAnsi="Tahoma" w:cs="Tahoma"/>
                <w:sz w:val="13"/>
              </w:rPr>
            </w:pPr>
            <w:r w:rsidRPr="003410C7">
              <w:rPr>
                <w:rFonts w:ascii="Tahoma" w:hAnsi="Tahoma" w:cs="Tahoma"/>
                <w:sz w:val="13"/>
              </w:rPr>
              <w:t>2</w:t>
            </w:r>
          </w:p>
        </w:tc>
        <w:tc>
          <w:tcPr>
            <w:tcW w:w="450" w:type="dxa"/>
            <w:tcBorders>
              <w:bottom w:val="single" w:sz="4" w:space="0" w:color="auto"/>
            </w:tcBorders>
            <w:shd w:val="clear" w:color="auto" w:fill="FABF8F"/>
            <w:vAlign w:val="center"/>
          </w:tcPr>
          <w:p w:rsidR="001A63C6" w:rsidRPr="003410C7" w:rsidDel="006A2F66" w:rsidRDefault="001A63C6" w:rsidP="001A63C6">
            <w:pPr>
              <w:pStyle w:val="TableText"/>
              <w:widowControl w:val="0"/>
              <w:rPr>
                <w:rFonts w:ascii="Tahoma" w:hAnsi="Tahoma" w:cs="Tahoma"/>
                <w:sz w:val="13"/>
              </w:rPr>
            </w:pPr>
            <w:r w:rsidRPr="003410C7">
              <w:rPr>
                <w:rFonts w:ascii="Tahoma" w:hAnsi="Tahoma" w:cs="Tahoma"/>
                <w:sz w:val="13"/>
              </w:rPr>
              <w:t>2</w:t>
            </w:r>
          </w:p>
        </w:tc>
        <w:tc>
          <w:tcPr>
            <w:tcW w:w="450" w:type="dxa"/>
            <w:tcBorders>
              <w:bottom w:val="single" w:sz="4" w:space="0" w:color="auto"/>
            </w:tcBorders>
            <w:shd w:val="clear" w:color="auto" w:fill="FABF8F"/>
            <w:vAlign w:val="center"/>
          </w:tcPr>
          <w:p w:rsidR="001A63C6" w:rsidRPr="003410C7" w:rsidDel="006A2F66" w:rsidRDefault="001A63C6" w:rsidP="001A63C6">
            <w:pPr>
              <w:pStyle w:val="TableText"/>
              <w:widowControl w:val="0"/>
              <w:rPr>
                <w:rFonts w:ascii="Tahoma" w:hAnsi="Tahoma" w:cs="Tahoma"/>
                <w:sz w:val="13"/>
              </w:rPr>
            </w:pPr>
            <w:r w:rsidRPr="003410C7">
              <w:rPr>
                <w:rFonts w:ascii="Tahoma" w:hAnsi="Tahoma" w:cs="Tahoma"/>
                <w:sz w:val="13"/>
              </w:rPr>
              <w:t>1</w:t>
            </w:r>
          </w:p>
        </w:tc>
        <w:tc>
          <w:tcPr>
            <w:tcW w:w="360" w:type="dxa"/>
            <w:tcBorders>
              <w:bottom w:val="single" w:sz="4" w:space="0" w:color="auto"/>
              <w:right w:val="single" w:sz="18" w:space="0" w:color="auto"/>
            </w:tcBorders>
            <w:shd w:val="clear" w:color="auto" w:fill="FABF8F"/>
            <w:vAlign w:val="center"/>
          </w:tcPr>
          <w:p w:rsidR="001A63C6" w:rsidRPr="003410C7" w:rsidDel="006A2F66" w:rsidRDefault="001A63C6" w:rsidP="001A63C6">
            <w:pPr>
              <w:pStyle w:val="TableText"/>
              <w:widowControl w:val="0"/>
              <w:rPr>
                <w:rFonts w:ascii="Tahoma" w:hAnsi="Tahoma" w:cs="Tahoma"/>
                <w:sz w:val="13"/>
              </w:rPr>
            </w:pPr>
            <w:r w:rsidRPr="003410C7">
              <w:rPr>
                <w:rFonts w:ascii="Tahoma" w:hAnsi="Tahoma" w:cs="Tahoma"/>
                <w:sz w:val="13"/>
              </w:rPr>
              <w:t>1</w:t>
            </w:r>
          </w:p>
        </w:tc>
        <w:tc>
          <w:tcPr>
            <w:tcW w:w="450" w:type="dxa"/>
            <w:tcBorders>
              <w:left w:val="single" w:sz="18" w:space="0" w:color="auto"/>
              <w:bottom w:val="single" w:sz="4" w:space="0" w:color="auto"/>
            </w:tcBorders>
            <w:shd w:val="clear" w:color="auto" w:fill="FABF8F"/>
            <w:vAlign w:val="center"/>
          </w:tcPr>
          <w:p w:rsidR="001A63C6" w:rsidRPr="003410C7" w:rsidDel="006A2F66" w:rsidRDefault="001A63C6" w:rsidP="001A63C6">
            <w:pPr>
              <w:pStyle w:val="TableText"/>
              <w:widowControl w:val="0"/>
              <w:rPr>
                <w:rFonts w:ascii="Tahoma" w:hAnsi="Tahoma" w:cs="Tahoma"/>
                <w:sz w:val="13"/>
              </w:rPr>
            </w:pPr>
            <w:r w:rsidRPr="003410C7">
              <w:rPr>
                <w:rFonts w:ascii="Tahoma" w:hAnsi="Tahoma" w:cs="Tahoma"/>
                <w:sz w:val="13"/>
              </w:rPr>
              <w:t>1</w:t>
            </w:r>
          </w:p>
        </w:tc>
        <w:tc>
          <w:tcPr>
            <w:tcW w:w="450" w:type="dxa"/>
            <w:tcBorders>
              <w:bottom w:val="single" w:sz="4" w:space="0" w:color="auto"/>
            </w:tcBorders>
            <w:shd w:val="clear" w:color="auto" w:fill="FABF8F"/>
            <w:vAlign w:val="center"/>
          </w:tcPr>
          <w:p w:rsidR="001A63C6" w:rsidRPr="003410C7" w:rsidDel="006A2F66" w:rsidRDefault="001A63C6" w:rsidP="001A63C6">
            <w:pPr>
              <w:pStyle w:val="TableText"/>
              <w:widowControl w:val="0"/>
              <w:rPr>
                <w:rFonts w:ascii="Tahoma" w:hAnsi="Tahoma" w:cs="Tahoma"/>
                <w:sz w:val="13"/>
              </w:rPr>
            </w:pPr>
            <w:r w:rsidRPr="003410C7">
              <w:rPr>
                <w:rFonts w:ascii="Tahoma" w:hAnsi="Tahoma" w:cs="Tahoma"/>
                <w:sz w:val="13"/>
              </w:rPr>
              <w:t>2</w:t>
            </w:r>
          </w:p>
        </w:tc>
        <w:tc>
          <w:tcPr>
            <w:tcW w:w="450" w:type="dxa"/>
            <w:tcBorders>
              <w:bottom w:val="single" w:sz="4" w:space="0" w:color="auto"/>
              <w:right w:val="single" w:sz="18" w:space="0" w:color="auto"/>
            </w:tcBorders>
            <w:shd w:val="clear" w:color="auto" w:fill="FABF8F"/>
            <w:vAlign w:val="center"/>
          </w:tcPr>
          <w:p w:rsidR="001A63C6" w:rsidRPr="003410C7" w:rsidDel="006A2F66" w:rsidRDefault="001A63C6" w:rsidP="001A63C6">
            <w:pPr>
              <w:pStyle w:val="TableText"/>
              <w:widowControl w:val="0"/>
              <w:rPr>
                <w:rFonts w:ascii="Tahoma" w:hAnsi="Tahoma" w:cs="Tahoma"/>
                <w:sz w:val="13"/>
              </w:rPr>
            </w:pPr>
            <w:r w:rsidRPr="003410C7">
              <w:rPr>
                <w:rFonts w:ascii="Tahoma" w:hAnsi="Tahoma" w:cs="Tahoma"/>
                <w:sz w:val="13"/>
              </w:rPr>
              <w:t>1</w:t>
            </w:r>
          </w:p>
        </w:tc>
        <w:tc>
          <w:tcPr>
            <w:tcW w:w="450" w:type="dxa"/>
            <w:tcBorders>
              <w:left w:val="single" w:sz="18" w:space="0" w:color="auto"/>
              <w:bottom w:val="single" w:sz="4" w:space="0" w:color="auto"/>
            </w:tcBorders>
            <w:shd w:val="clear" w:color="auto" w:fill="FABF8F"/>
            <w:vAlign w:val="center"/>
          </w:tcPr>
          <w:p w:rsidR="001A63C6" w:rsidRPr="003410C7" w:rsidDel="006A2F66" w:rsidRDefault="001A63C6" w:rsidP="001A63C6">
            <w:pPr>
              <w:pStyle w:val="TableText"/>
              <w:widowControl w:val="0"/>
              <w:rPr>
                <w:rFonts w:ascii="Tahoma" w:hAnsi="Tahoma" w:cs="Tahoma"/>
                <w:sz w:val="13"/>
              </w:rPr>
            </w:pPr>
            <w:r w:rsidRPr="003410C7">
              <w:rPr>
                <w:rFonts w:ascii="Tahoma" w:hAnsi="Tahoma" w:cs="Tahoma"/>
                <w:sz w:val="13"/>
              </w:rPr>
              <w:t>1</w:t>
            </w:r>
          </w:p>
        </w:tc>
        <w:tc>
          <w:tcPr>
            <w:tcW w:w="450" w:type="dxa"/>
            <w:tcBorders>
              <w:bottom w:val="single" w:sz="4" w:space="0" w:color="auto"/>
              <w:right w:val="single" w:sz="18" w:space="0" w:color="auto"/>
            </w:tcBorders>
            <w:shd w:val="clear" w:color="auto" w:fill="FABF8F"/>
            <w:vAlign w:val="center"/>
          </w:tcPr>
          <w:p w:rsidR="001A63C6" w:rsidRPr="003410C7" w:rsidDel="006A2F66" w:rsidRDefault="001A63C6" w:rsidP="001A63C6">
            <w:pPr>
              <w:pStyle w:val="TableText"/>
              <w:widowControl w:val="0"/>
              <w:rPr>
                <w:rFonts w:ascii="Tahoma" w:hAnsi="Tahoma" w:cs="Tahoma"/>
                <w:sz w:val="13"/>
              </w:rPr>
            </w:pPr>
            <w:r w:rsidRPr="003410C7">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3410C7" w:rsidDel="006A2F66" w:rsidRDefault="001A63C6" w:rsidP="001A63C6">
            <w:pPr>
              <w:pStyle w:val="TableText"/>
              <w:widowControl w:val="0"/>
              <w:rPr>
                <w:rFonts w:ascii="Tahoma" w:hAnsi="Tahoma" w:cs="Tahoma"/>
                <w:sz w:val="13"/>
              </w:rPr>
            </w:pPr>
            <w:r w:rsidRPr="003410C7">
              <w:rPr>
                <w:rFonts w:ascii="Tahoma" w:hAnsi="Tahoma" w:cs="Tahoma"/>
                <w:sz w:val="13"/>
              </w:rPr>
              <w:t>P</w:t>
            </w:r>
          </w:p>
        </w:tc>
        <w:tc>
          <w:tcPr>
            <w:tcW w:w="450" w:type="dxa"/>
            <w:tcBorders>
              <w:bottom w:val="single" w:sz="4" w:space="0" w:color="auto"/>
            </w:tcBorders>
            <w:shd w:val="clear" w:color="auto" w:fill="FABF8F"/>
          </w:tcPr>
          <w:p w:rsidR="001A63C6" w:rsidRPr="003410C7" w:rsidDel="006A2F66" w:rsidRDefault="001A63C6" w:rsidP="001A63C6">
            <w:pPr>
              <w:pStyle w:val="TableText"/>
              <w:widowControl w:val="0"/>
              <w:spacing w:before="120"/>
              <w:rPr>
                <w:rFonts w:ascii="Tahoma" w:hAnsi="Tahoma" w:cs="Tahoma"/>
                <w:sz w:val="13"/>
              </w:rPr>
            </w:pPr>
            <w:r w:rsidRPr="003410C7">
              <w:rPr>
                <w:rFonts w:ascii="Tahoma" w:hAnsi="Tahoma" w:cs="Tahoma"/>
                <w:sz w:val="13"/>
              </w:rPr>
              <w:t>AO, ST</w:t>
            </w:r>
          </w:p>
        </w:tc>
        <w:tc>
          <w:tcPr>
            <w:tcW w:w="540" w:type="dxa"/>
            <w:tcBorders>
              <w:bottom w:val="single" w:sz="4" w:space="0" w:color="auto"/>
            </w:tcBorders>
            <w:shd w:val="clear" w:color="auto" w:fill="FABF8F"/>
            <w:vAlign w:val="center"/>
          </w:tcPr>
          <w:p w:rsidR="001A63C6" w:rsidRPr="003410C7" w:rsidRDefault="001A63C6" w:rsidP="001A63C6">
            <w:pPr>
              <w:pStyle w:val="TableText"/>
              <w:widowControl w:val="0"/>
              <w:rPr>
                <w:rFonts w:ascii="Tahoma" w:hAnsi="Tahoma" w:cs="Tahoma"/>
                <w:sz w:val="13"/>
              </w:rPr>
            </w:pPr>
          </w:p>
        </w:tc>
      </w:tr>
      <w:tr w:rsidR="00B33D0E" w:rsidRPr="003410C7" w:rsidTr="006B1F3F">
        <w:trPr>
          <w:trHeight w:val="145"/>
        </w:trPr>
        <w:tc>
          <w:tcPr>
            <w:tcW w:w="2734" w:type="dxa"/>
            <w:gridSpan w:val="2"/>
            <w:tcBorders>
              <w:bottom w:val="single" w:sz="4" w:space="0" w:color="auto"/>
            </w:tcBorders>
            <w:shd w:val="clear" w:color="auto" w:fill="auto"/>
            <w:vAlign w:val="center"/>
          </w:tcPr>
          <w:p w:rsidR="001A63C6" w:rsidRPr="00451078" w:rsidDel="006A2F66" w:rsidRDefault="001A63C6" w:rsidP="001A63C6">
            <w:pPr>
              <w:pStyle w:val="Heading2"/>
              <w:ind w:left="0"/>
              <w:rPr>
                <w:rFonts w:ascii="Tahoma" w:hAnsi="Tahoma" w:cs="Tahoma"/>
                <w:b w:val="0"/>
                <w:sz w:val="14"/>
                <w:szCs w:val="16"/>
                <w:lang w:val="fr-FR"/>
              </w:rPr>
            </w:pPr>
            <w:bookmarkStart w:id="309" w:name="_Toc336338002"/>
            <w:bookmarkStart w:id="310" w:name="_Toc352234612"/>
            <w:r w:rsidRPr="00451078">
              <w:rPr>
                <w:rFonts w:ascii="Tahoma" w:hAnsi="Tahoma" w:cs="Tahoma"/>
                <w:b w:val="0"/>
                <w:sz w:val="14"/>
                <w:szCs w:val="16"/>
                <w:lang w:val="fr-FR"/>
              </w:rPr>
              <w:t>Plus CAL per Lync Server</w:t>
            </w:r>
            <w:bookmarkEnd w:id="309"/>
            <w:r w:rsidRPr="00451078">
              <w:rPr>
                <w:rFonts w:ascii="Tahoma" w:hAnsi="Tahoma" w:cs="Tahoma"/>
                <w:b w:val="0"/>
                <w:sz w:val="14"/>
                <w:szCs w:val="16"/>
                <w:lang w:val="fr-FR"/>
              </w:rPr>
              <w:t xml:space="preserve"> 2013</w:t>
            </w:r>
            <w:bookmarkEnd w:id="310"/>
          </w:p>
        </w:tc>
        <w:tc>
          <w:tcPr>
            <w:tcW w:w="450" w:type="dxa"/>
            <w:tcBorders>
              <w:bottom w:val="single" w:sz="4" w:space="0" w:color="auto"/>
            </w:tcBorders>
            <w:shd w:val="clear" w:color="auto" w:fill="auto"/>
            <w:vAlign w:val="center"/>
          </w:tcPr>
          <w:p w:rsidR="001A63C6" w:rsidRPr="00451078" w:rsidDel="006A2F66" w:rsidRDefault="001A63C6" w:rsidP="001A63C6">
            <w:pPr>
              <w:pStyle w:val="TableText"/>
              <w:widowControl w:val="0"/>
              <w:rPr>
                <w:b/>
                <w:color w:val="0000FF"/>
                <w:sz w:val="13"/>
                <w:szCs w:val="13"/>
                <w:u w:val="single"/>
                <w:lang w:val="fr-FR"/>
              </w:rPr>
            </w:pPr>
            <w:bookmarkStart w:id="311" w:name="_Hlt335908886"/>
          </w:p>
        </w:tc>
        <w:bookmarkEnd w:id="311"/>
        <w:tc>
          <w:tcPr>
            <w:tcW w:w="450" w:type="dxa"/>
            <w:tcBorders>
              <w:bottom w:val="single" w:sz="4" w:space="0" w:color="auto"/>
            </w:tcBorders>
            <w:shd w:val="clear" w:color="auto" w:fill="auto"/>
          </w:tcPr>
          <w:p w:rsidR="001A63C6" w:rsidRPr="003410C7" w:rsidDel="006A2F66" w:rsidRDefault="001A63C6" w:rsidP="001A63C6">
            <w:pPr>
              <w:pStyle w:val="TableText"/>
              <w:widowControl w:val="0"/>
              <w:spacing w:before="120"/>
              <w:rPr>
                <w:rFonts w:ascii="Tahoma" w:hAnsi="Tahoma" w:cs="Tahoma"/>
                <w:color w:val="000000"/>
                <w:sz w:val="13"/>
              </w:rPr>
            </w:pPr>
            <w:r w:rsidRPr="003410C7">
              <w:rPr>
                <w:rFonts w:ascii="Tahoma" w:hAnsi="Tahoma" w:cs="Tahoma"/>
                <w:color w:val="000000"/>
                <w:sz w:val="13"/>
              </w:rPr>
              <w:t>10/12</w:t>
            </w:r>
          </w:p>
        </w:tc>
        <w:tc>
          <w:tcPr>
            <w:tcW w:w="360" w:type="dxa"/>
            <w:tcBorders>
              <w:bottom w:val="single" w:sz="4" w:space="0" w:color="auto"/>
              <w:right w:val="single" w:sz="18" w:space="0" w:color="auto"/>
            </w:tcBorders>
            <w:shd w:val="clear" w:color="auto" w:fill="auto"/>
            <w:vAlign w:val="center"/>
          </w:tcPr>
          <w:p w:rsidR="001A63C6" w:rsidRPr="003410C7" w:rsidDel="006A2F66" w:rsidRDefault="001A63C6" w:rsidP="001A63C6">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auto"/>
            <w:vAlign w:val="center"/>
          </w:tcPr>
          <w:p w:rsidR="001A63C6" w:rsidRPr="003410C7" w:rsidDel="006A2F66" w:rsidRDefault="001A63C6" w:rsidP="001A63C6">
            <w:pPr>
              <w:pStyle w:val="TableText"/>
              <w:widowControl w:val="0"/>
              <w:rPr>
                <w:rFonts w:ascii="Tahoma" w:hAnsi="Tahoma" w:cs="Tahoma"/>
                <w:sz w:val="13"/>
              </w:rPr>
            </w:pPr>
            <w:r w:rsidRPr="003410C7">
              <w:rPr>
                <w:rFonts w:ascii="Tahoma" w:hAnsi="Tahoma" w:cs="Tahoma"/>
                <w:sz w:val="13"/>
              </w:rPr>
              <w:t>1</w:t>
            </w:r>
          </w:p>
        </w:tc>
        <w:tc>
          <w:tcPr>
            <w:tcW w:w="450" w:type="dxa"/>
            <w:tcBorders>
              <w:bottom w:val="single" w:sz="4" w:space="0" w:color="auto"/>
            </w:tcBorders>
            <w:shd w:val="clear" w:color="auto" w:fill="auto"/>
            <w:vAlign w:val="center"/>
          </w:tcPr>
          <w:p w:rsidR="001A63C6" w:rsidRPr="003410C7" w:rsidDel="006A2F66" w:rsidRDefault="001A63C6" w:rsidP="001A63C6">
            <w:pPr>
              <w:pStyle w:val="TableText"/>
              <w:widowControl w:val="0"/>
              <w:rPr>
                <w:rFonts w:ascii="Tahoma" w:hAnsi="Tahoma" w:cs="Tahoma"/>
                <w:sz w:val="13"/>
              </w:rPr>
            </w:pPr>
            <w:r w:rsidRPr="003410C7">
              <w:rPr>
                <w:rFonts w:ascii="Tahoma" w:hAnsi="Tahoma" w:cs="Tahoma"/>
                <w:sz w:val="13"/>
              </w:rPr>
              <w:t>3</w:t>
            </w:r>
          </w:p>
        </w:tc>
        <w:tc>
          <w:tcPr>
            <w:tcW w:w="450" w:type="dxa"/>
            <w:tcBorders>
              <w:bottom w:val="single" w:sz="4" w:space="0" w:color="auto"/>
            </w:tcBorders>
            <w:shd w:val="clear" w:color="auto" w:fill="auto"/>
            <w:vAlign w:val="center"/>
          </w:tcPr>
          <w:p w:rsidR="001A63C6" w:rsidRPr="003410C7" w:rsidDel="006A2F66" w:rsidRDefault="001A63C6" w:rsidP="001A63C6">
            <w:pPr>
              <w:pStyle w:val="TableText"/>
              <w:widowControl w:val="0"/>
              <w:rPr>
                <w:rFonts w:ascii="Tahoma" w:hAnsi="Tahoma" w:cs="Tahoma"/>
                <w:sz w:val="13"/>
              </w:rPr>
            </w:pPr>
            <w:r w:rsidRPr="003410C7">
              <w:rPr>
                <w:rFonts w:ascii="Tahoma" w:hAnsi="Tahoma" w:cs="Tahoma"/>
                <w:sz w:val="13"/>
              </w:rPr>
              <w:t>2</w:t>
            </w:r>
          </w:p>
        </w:tc>
        <w:tc>
          <w:tcPr>
            <w:tcW w:w="450" w:type="dxa"/>
            <w:tcBorders>
              <w:bottom w:val="single" w:sz="4" w:space="0" w:color="auto"/>
            </w:tcBorders>
            <w:shd w:val="clear" w:color="auto" w:fill="auto"/>
            <w:vAlign w:val="center"/>
          </w:tcPr>
          <w:p w:rsidR="001A63C6" w:rsidRPr="003410C7" w:rsidDel="006A2F66" w:rsidRDefault="001A63C6" w:rsidP="001A63C6">
            <w:pPr>
              <w:pStyle w:val="TableText"/>
              <w:widowControl w:val="0"/>
              <w:rPr>
                <w:rFonts w:ascii="Tahoma" w:hAnsi="Tahoma" w:cs="Tahoma"/>
                <w:sz w:val="13"/>
              </w:rPr>
            </w:pPr>
            <w:r w:rsidRPr="003410C7">
              <w:rPr>
                <w:rFonts w:ascii="Tahoma" w:hAnsi="Tahoma" w:cs="Tahoma"/>
                <w:sz w:val="13"/>
              </w:rPr>
              <w:t>2</w:t>
            </w:r>
          </w:p>
        </w:tc>
        <w:tc>
          <w:tcPr>
            <w:tcW w:w="450" w:type="dxa"/>
            <w:tcBorders>
              <w:bottom w:val="single" w:sz="4" w:space="0" w:color="auto"/>
            </w:tcBorders>
            <w:shd w:val="clear" w:color="auto" w:fill="auto"/>
            <w:vAlign w:val="center"/>
          </w:tcPr>
          <w:p w:rsidR="001A63C6" w:rsidRPr="003410C7" w:rsidDel="006A2F66" w:rsidRDefault="001A63C6" w:rsidP="001A63C6">
            <w:pPr>
              <w:pStyle w:val="TableText"/>
              <w:widowControl w:val="0"/>
              <w:rPr>
                <w:rFonts w:ascii="Tahoma" w:hAnsi="Tahoma" w:cs="Tahoma"/>
                <w:sz w:val="13"/>
              </w:rPr>
            </w:pPr>
            <w:r w:rsidRPr="003410C7">
              <w:rPr>
                <w:rFonts w:ascii="Tahoma" w:hAnsi="Tahoma" w:cs="Tahoma"/>
                <w:sz w:val="13"/>
              </w:rPr>
              <w:t>2</w:t>
            </w:r>
          </w:p>
        </w:tc>
        <w:tc>
          <w:tcPr>
            <w:tcW w:w="450" w:type="dxa"/>
            <w:tcBorders>
              <w:bottom w:val="single" w:sz="4" w:space="0" w:color="auto"/>
            </w:tcBorders>
            <w:shd w:val="clear" w:color="auto" w:fill="auto"/>
            <w:vAlign w:val="center"/>
          </w:tcPr>
          <w:p w:rsidR="001A63C6" w:rsidRPr="003410C7" w:rsidDel="006A2F66" w:rsidRDefault="001A63C6" w:rsidP="001A63C6">
            <w:pPr>
              <w:pStyle w:val="TableText"/>
              <w:widowControl w:val="0"/>
              <w:rPr>
                <w:rFonts w:ascii="Tahoma" w:hAnsi="Tahoma" w:cs="Tahoma"/>
                <w:sz w:val="13"/>
              </w:rPr>
            </w:pPr>
            <w:r w:rsidRPr="003410C7">
              <w:rPr>
                <w:rFonts w:ascii="Tahoma" w:hAnsi="Tahoma" w:cs="Tahoma"/>
                <w:sz w:val="13"/>
              </w:rPr>
              <w:t>1</w:t>
            </w:r>
          </w:p>
        </w:tc>
        <w:tc>
          <w:tcPr>
            <w:tcW w:w="360" w:type="dxa"/>
            <w:tcBorders>
              <w:bottom w:val="single" w:sz="4" w:space="0" w:color="auto"/>
              <w:right w:val="single" w:sz="18" w:space="0" w:color="auto"/>
            </w:tcBorders>
            <w:shd w:val="clear" w:color="auto" w:fill="auto"/>
            <w:vAlign w:val="center"/>
          </w:tcPr>
          <w:p w:rsidR="001A63C6" w:rsidRPr="003410C7" w:rsidDel="006A2F66" w:rsidRDefault="001A63C6" w:rsidP="001A63C6">
            <w:pPr>
              <w:pStyle w:val="TableText"/>
              <w:widowControl w:val="0"/>
              <w:rPr>
                <w:rFonts w:ascii="Tahoma" w:hAnsi="Tahoma" w:cs="Tahoma"/>
                <w:sz w:val="13"/>
              </w:rPr>
            </w:pPr>
            <w:r w:rsidRPr="003410C7">
              <w:rPr>
                <w:rFonts w:ascii="Tahoma" w:hAnsi="Tahoma" w:cs="Tahoma"/>
                <w:sz w:val="13"/>
              </w:rPr>
              <w:t>1</w:t>
            </w:r>
          </w:p>
        </w:tc>
        <w:tc>
          <w:tcPr>
            <w:tcW w:w="450" w:type="dxa"/>
            <w:tcBorders>
              <w:left w:val="single" w:sz="18" w:space="0" w:color="auto"/>
              <w:bottom w:val="single" w:sz="4" w:space="0" w:color="auto"/>
            </w:tcBorders>
            <w:shd w:val="clear" w:color="auto" w:fill="auto"/>
            <w:vAlign w:val="center"/>
          </w:tcPr>
          <w:p w:rsidR="001A63C6" w:rsidRPr="003410C7" w:rsidDel="006A2F66" w:rsidRDefault="001A63C6" w:rsidP="001A63C6">
            <w:pPr>
              <w:pStyle w:val="TableText"/>
              <w:widowControl w:val="0"/>
              <w:rPr>
                <w:rFonts w:ascii="Tahoma" w:hAnsi="Tahoma" w:cs="Tahoma"/>
                <w:sz w:val="13"/>
              </w:rPr>
            </w:pPr>
            <w:r w:rsidRPr="003410C7">
              <w:rPr>
                <w:rFonts w:ascii="Tahoma" w:hAnsi="Tahoma" w:cs="Tahoma"/>
                <w:sz w:val="13"/>
              </w:rPr>
              <w:t>1</w:t>
            </w:r>
          </w:p>
        </w:tc>
        <w:tc>
          <w:tcPr>
            <w:tcW w:w="450" w:type="dxa"/>
            <w:tcBorders>
              <w:bottom w:val="single" w:sz="4" w:space="0" w:color="auto"/>
            </w:tcBorders>
            <w:shd w:val="clear" w:color="auto" w:fill="auto"/>
            <w:vAlign w:val="center"/>
          </w:tcPr>
          <w:p w:rsidR="001A63C6" w:rsidRPr="003410C7" w:rsidDel="006A2F66" w:rsidRDefault="001A63C6" w:rsidP="001A63C6">
            <w:pPr>
              <w:pStyle w:val="TableText"/>
              <w:widowControl w:val="0"/>
              <w:rPr>
                <w:rFonts w:ascii="Tahoma" w:hAnsi="Tahoma" w:cs="Tahoma"/>
                <w:sz w:val="13"/>
              </w:rPr>
            </w:pPr>
            <w:r w:rsidRPr="003410C7">
              <w:rPr>
                <w:rFonts w:ascii="Tahoma" w:hAnsi="Tahoma" w:cs="Tahoma"/>
                <w:sz w:val="13"/>
              </w:rPr>
              <w:t>2</w:t>
            </w:r>
          </w:p>
        </w:tc>
        <w:tc>
          <w:tcPr>
            <w:tcW w:w="450" w:type="dxa"/>
            <w:tcBorders>
              <w:bottom w:val="single" w:sz="4" w:space="0" w:color="auto"/>
              <w:right w:val="single" w:sz="18" w:space="0" w:color="auto"/>
            </w:tcBorders>
            <w:shd w:val="clear" w:color="auto" w:fill="auto"/>
            <w:vAlign w:val="center"/>
          </w:tcPr>
          <w:p w:rsidR="001A63C6" w:rsidRPr="003410C7" w:rsidDel="006A2F66" w:rsidRDefault="001A63C6" w:rsidP="001A63C6">
            <w:pPr>
              <w:pStyle w:val="TableText"/>
              <w:widowControl w:val="0"/>
              <w:rPr>
                <w:rFonts w:ascii="Tahoma" w:hAnsi="Tahoma" w:cs="Tahoma"/>
                <w:sz w:val="13"/>
              </w:rPr>
            </w:pPr>
            <w:r w:rsidRPr="003410C7">
              <w:rPr>
                <w:rFonts w:ascii="Tahoma" w:hAnsi="Tahoma" w:cs="Tahoma"/>
                <w:sz w:val="13"/>
              </w:rPr>
              <w:t>1</w:t>
            </w:r>
          </w:p>
        </w:tc>
        <w:tc>
          <w:tcPr>
            <w:tcW w:w="450" w:type="dxa"/>
            <w:tcBorders>
              <w:left w:val="single" w:sz="18" w:space="0" w:color="auto"/>
              <w:bottom w:val="single" w:sz="4" w:space="0" w:color="auto"/>
            </w:tcBorders>
            <w:shd w:val="clear" w:color="auto" w:fill="auto"/>
            <w:vAlign w:val="center"/>
          </w:tcPr>
          <w:p w:rsidR="001A63C6" w:rsidRPr="003410C7" w:rsidDel="006A2F66" w:rsidRDefault="001A63C6" w:rsidP="001A63C6">
            <w:pPr>
              <w:pStyle w:val="TableText"/>
              <w:widowControl w:val="0"/>
              <w:rPr>
                <w:rFonts w:ascii="Tahoma" w:hAnsi="Tahoma" w:cs="Tahoma"/>
                <w:sz w:val="13"/>
              </w:rPr>
            </w:pPr>
            <w:r w:rsidRPr="003410C7">
              <w:rPr>
                <w:rFonts w:ascii="Tahoma" w:hAnsi="Tahoma" w:cs="Tahoma"/>
                <w:sz w:val="13"/>
              </w:rPr>
              <w:t>1</w:t>
            </w:r>
          </w:p>
        </w:tc>
        <w:tc>
          <w:tcPr>
            <w:tcW w:w="450" w:type="dxa"/>
            <w:tcBorders>
              <w:bottom w:val="single" w:sz="4" w:space="0" w:color="auto"/>
              <w:right w:val="single" w:sz="18" w:space="0" w:color="auto"/>
            </w:tcBorders>
            <w:shd w:val="clear" w:color="auto" w:fill="auto"/>
            <w:vAlign w:val="center"/>
          </w:tcPr>
          <w:p w:rsidR="001A63C6" w:rsidRPr="003410C7" w:rsidDel="006A2F66" w:rsidRDefault="001A63C6" w:rsidP="001A63C6">
            <w:pPr>
              <w:pStyle w:val="TableText"/>
              <w:widowControl w:val="0"/>
              <w:rPr>
                <w:rFonts w:ascii="Tahoma" w:hAnsi="Tahoma" w:cs="Tahoma"/>
                <w:sz w:val="13"/>
              </w:rPr>
            </w:pPr>
            <w:r w:rsidRPr="003410C7">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rsidR="001A63C6" w:rsidRPr="003410C7" w:rsidDel="006A2F66" w:rsidRDefault="001A63C6" w:rsidP="001A63C6">
            <w:pPr>
              <w:pStyle w:val="TableText"/>
              <w:widowControl w:val="0"/>
              <w:rPr>
                <w:rFonts w:ascii="Tahoma" w:hAnsi="Tahoma" w:cs="Tahoma"/>
                <w:sz w:val="13"/>
              </w:rPr>
            </w:pPr>
            <w:r w:rsidRPr="003410C7">
              <w:rPr>
                <w:rFonts w:ascii="Tahoma" w:hAnsi="Tahoma" w:cs="Tahoma"/>
                <w:sz w:val="13"/>
              </w:rPr>
              <w:t>P</w:t>
            </w:r>
          </w:p>
        </w:tc>
        <w:tc>
          <w:tcPr>
            <w:tcW w:w="450" w:type="dxa"/>
            <w:tcBorders>
              <w:bottom w:val="single" w:sz="4" w:space="0" w:color="auto"/>
            </w:tcBorders>
            <w:shd w:val="clear" w:color="auto" w:fill="auto"/>
          </w:tcPr>
          <w:p w:rsidR="001A63C6" w:rsidRPr="003410C7" w:rsidDel="006A2F66" w:rsidRDefault="001A63C6" w:rsidP="001A63C6">
            <w:pPr>
              <w:pStyle w:val="TableText"/>
              <w:widowControl w:val="0"/>
              <w:spacing w:before="120"/>
              <w:rPr>
                <w:rFonts w:ascii="Tahoma" w:hAnsi="Tahoma" w:cs="Tahoma"/>
                <w:sz w:val="13"/>
              </w:rPr>
            </w:pPr>
            <w:r w:rsidRPr="003410C7">
              <w:rPr>
                <w:rFonts w:ascii="Tahoma" w:hAnsi="Tahoma" w:cs="Tahoma"/>
                <w:sz w:val="13"/>
              </w:rPr>
              <w:t>A, ST</w:t>
            </w:r>
          </w:p>
        </w:tc>
        <w:tc>
          <w:tcPr>
            <w:tcW w:w="540" w:type="dxa"/>
            <w:tcBorders>
              <w:bottom w:val="single" w:sz="4" w:space="0" w:color="auto"/>
            </w:tcBorders>
            <w:shd w:val="clear" w:color="auto" w:fill="auto"/>
            <w:vAlign w:val="center"/>
          </w:tcPr>
          <w:p w:rsidR="001A63C6" w:rsidRPr="003410C7" w:rsidRDefault="001A63C6" w:rsidP="001A63C6">
            <w:pPr>
              <w:pStyle w:val="TableText"/>
              <w:widowControl w:val="0"/>
              <w:rPr>
                <w:rFonts w:ascii="Tahoma" w:hAnsi="Tahoma" w:cs="Tahoma"/>
                <w:sz w:val="13"/>
              </w:rPr>
            </w:pPr>
          </w:p>
        </w:tc>
      </w:tr>
      <w:tr w:rsidR="00EF228F" w:rsidRPr="003410C7" w:rsidTr="006B1F3F">
        <w:trPr>
          <w:trHeight w:val="145"/>
        </w:trPr>
        <w:tc>
          <w:tcPr>
            <w:tcW w:w="2734" w:type="dxa"/>
            <w:gridSpan w:val="2"/>
            <w:tcBorders>
              <w:bottom w:val="single" w:sz="4" w:space="0" w:color="auto"/>
            </w:tcBorders>
            <w:shd w:val="clear" w:color="auto" w:fill="FABF8F"/>
            <w:vAlign w:val="center"/>
          </w:tcPr>
          <w:p w:rsidR="001A63C6" w:rsidRPr="003410C7" w:rsidDel="006A2F66" w:rsidRDefault="001A63C6" w:rsidP="001A63C6">
            <w:pPr>
              <w:pStyle w:val="Heading2"/>
              <w:ind w:left="0"/>
              <w:rPr>
                <w:rFonts w:ascii="Tahoma" w:hAnsi="Tahoma" w:cs="Tahoma"/>
                <w:b w:val="0"/>
                <w:sz w:val="14"/>
                <w:szCs w:val="16"/>
              </w:rPr>
            </w:pPr>
            <w:bookmarkStart w:id="312" w:name="_Toc336338005"/>
            <w:bookmarkStart w:id="313" w:name="_Toc352234613"/>
            <w:r w:rsidRPr="003410C7">
              <w:rPr>
                <w:rFonts w:ascii="Tahoma" w:hAnsi="Tahoma" w:cs="Tahoma"/>
                <w:b w:val="0"/>
                <w:sz w:val="14"/>
                <w:szCs w:val="16"/>
              </w:rPr>
              <w:t>Standard CAL per Lync Server</w:t>
            </w:r>
            <w:bookmarkEnd w:id="312"/>
            <w:r w:rsidRPr="003410C7">
              <w:rPr>
                <w:rFonts w:ascii="Tahoma" w:hAnsi="Tahoma" w:cs="Tahoma"/>
                <w:b w:val="0"/>
                <w:sz w:val="14"/>
                <w:szCs w:val="16"/>
              </w:rPr>
              <w:t xml:space="preserve"> 2013</w:t>
            </w:r>
            <w:bookmarkEnd w:id="313"/>
          </w:p>
        </w:tc>
        <w:tc>
          <w:tcPr>
            <w:tcW w:w="450" w:type="dxa"/>
            <w:tcBorders>
              <w:bottom w:val="single" w:sz="4" w:space="0" w:color="auto"/>
            </w:tcBorders>
            <w:shd w:val="clear" w:color="auto" w:fill="FABF8F"/>
            <w:vAlign w:val="center"/>
          </w:tcPr>
          <w:p w:rsidR="001A63C6" w:rsidRPr="009F17FF" w:rsidDel="006A2F66" w:rsidRDefault="001A63C6" w:rsidP="001A63C6">
            <w:pPr>
              <w:pStyle w:val="TableText"/>
              <w:widowControl w:val="0"/>
              <w:rPr>
                <w:b/>
                <w:color w:val="0000FF"/>
                <w:sz w:val="13"/>
                <w:szCs w:val="13"/>
                <w:u w:val="single"/>
              </w:rPr>
            </w:pPr>
          </w:p>
        </w:tc>
        <w:tc>
          <w:tcPr>
            <w:tcW w:w="450" w:type="dxa"/>
            <w:tcBorders>
              <w:bottom w:val="single" w:sz="4" w:space="0" w:color="auto"/>
            </w:tcBorders>
            <w:shd w:val="clear" w:color="auto" w:fill="FABF8F"/>
          </w:tcPr>
          <w:p w:rsidR="001A63C6" w:rsidRPr="003410C7" w:rsidDel="006A2F66" w:rsidRDefault="001A63C6" w:rsidP="001A63C6">
            <w:pPr>
              <w:pStyle w:val="TableText"/>
              <w:widowControl w:val="0"/>
              <w:spacing w:before="120"/>
              <w:rPr>
                <w:rFonts w:ascii="Tahoma" w:hAnsi="Tahoma" w:cs="Tahoma"/>
                <w:color w:val="000000"/>
                <w:sz w:val="13"/>
              </w:rPr>
            </w:pPr>
            <w:r w:rsidRPr="003410C7">
              <w:rPr>
                <w:rFonts w:ascii="Tahoma" w:hAnsi="Tahoma" w:cs="Tahoma"/>
                <w:color w:val="000000"/>
                <w:sz w:val="13"/>
              </w:rPr>
              <w:t>10/12</w:t>
            </w:r>
          </w:p>
        </w:tc>
        <w:tc>
          <w:tcPr>
            <w:tcW w:w="360" w:type="dxa"/>
            <w:tcBorders>
              <w:bottom w:val="single" w:sz="4" w:space="0" w:color="auto"/>
              <w:right w:val="single" w:sz="18" w:space="0" w:color="auto"/>
            </w:tcBorders>
            <w:shd w:val="clear" w:color="auto" w:fill="FABF8F"/>
            <w:vAlign w:val="center"/>
          </w:tcPr>
          <w:p w:rsidR="001A63C6" w:rsidRPr="003410C7" w:rsidDel="006A2F66" w:rsidRDefault="001A63C6" w:rsidP="001A63C6">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FABF8F"/>
            <w:vAlign w:val="center"/>
          </w:tcPr>
          <w:p w:rsidR="001A63C6" w:rsidRPr="003410C7" w:rsidDel="006A2F66" w:rsidRDefault="001A63C6" w:rsidP="001A63C6">
            <w:pPr>
              <w:pStyle w:val="TableText"/>
              <w:widowControl w:val="0"/>
              <w:rPr>
                <w:rFonts w:ascii="Tahoma" w:hAnsi="Tahoma" w:cs="Tahoma"/>
                <w:sz w:val="13"/>
              </w:rPr>
            </w:pPr>
            <w:r w:rsidRPr="003410C7">
              <w:rPr>
                <w:rFonts w:ascii="Tahoma" w:hAnsi="Tahoma" w:cs="Tahoma"/>
                <w:sz w:val="13"/>
              </w:rPr>
              <w:t>1</w:t>
            </w:r>
          </w:p>
        </w:tc>
        <w:tc>
          <w:tcPr>
            <w:tcW w:w="450" w:type="dxa"/>
            <w:tcBorders>
              <w:bottom w:val="single" w:sz="4" w:space="0" w:color="auto"/>
            </w:tcBorders>
            <w:shd w:val="clear" w:color="auto" w:fill="FABF8F"/>
            <w:vAlign w:val="center"/>
          </w:tcPr>
          <w:p w:rsidR="001A63C6" w:rsidRPr="003410C7" w:rsidDel="006A2F66" w:rsidRDefault="001A63C6" w:rsidP="001A63C6">
            <w:pPr>
              <w:pStyle w:val="TableText"/>
              <w:widowControl w:val="0"/>
              <w:rPr>
                <w:rFonts w:ascii="Tahoma" w:hAnsi="Tahoma" w:cs="Tahoma"/>
                <w:sz w:val="13"/>
              </w:rPr>
            </w:pPr>
            <w:r w:rsidRPr="003410C7">
              <w:rPr>
                <w:rFonts w:ascii="Tahoma" w:hAnsi="Tahoma" w:cs="Tahoma"/>
                <w:sz w:val="13"/>
              </w:rPr>
              <w:t>3</w:t>
            </w:r>
          </w:p>
        </w:tc>
        <w:tc>
          <w:tcPr>
            <w:tcW w:w="450" w:type="dxa"/>
            <w:tcBorders>
              <w:bottom w:val="single" w:sz="4" w:space="0" w:color="auto"/>
            </w:tcBorders>
            <w:shd w:val="clear" w:color="auto" w:fill="FABF8F"/>
            <w:vAlign w:val="center"/>
          </w:tcPr>
          <w:p w:rsidR="001A63C6" w:rsidRPr="003410C7" w:rsidDel="006A2F66" w:rsidRDefault="001A63C6" w:rsidP="001A63C6">
            <w:pPr>
              <w:pStyle w:val="TableText"/>
              <w:widowControl w:val="0"/>
              <w:rPr>
                <w:rFonts w:ascii="Tahoma" w:hAnsi="Tahoma" w:cs="Tahoma"/>
                <w:sz w:val="13"/>
              </w:rPr>
            </w:pPr>
            <w:r w:rsidRPr="003410C7">
              <w:rPr>
                <w:rFonts w:ascii="Tahoma" w:hAnsi="Tahoma" w:cs="Tahoma"/>
                <w:sz w:val="13"/>
              </w:rPr>
              <w:t>2</w:t>
            </w:r>
          </w:p>
        </w:tc>
        <w:tc>
          <w:tcPr>
            <w:tcW w:w="450" w:type="dxa"/>
            <w:tcBorders>
              <w:bottom w:val="single" w:sz="4" w:space="0" w:color="auto"/>
            </w:tcBorders>
            <w:shd w:val="clear" w:color="auto" w:fill="FABF8F"/>
            <w:vAlign w:val="center"/>
          </w:tcPr>
          <w:p w:rsidR="001A63C6" w:rsidRPr="003410C7" w:rsidDel="006A2F66" w:rsidRDefault="001A63C6" w:rsidP="001A63C6">
            <w:pPr>
              <w:pStyle w:val="TableText"/>
              <w:widowControl w:val="0"/>
              <w:rPr>
                <w:rFonts w:ascii="Tahoma" w:hAnsi="Tahoma" w:cs="Tahoma"/>
                <w:sz w:val="13"/>
              </w:rPr>
            </w:pPr>
            <w:r w:rsidRPr="003410C7">
              <w:rPr>
                <w:rFonts w:ascii="Tahoma" w:hAnsi="Tahoma" w:cs="Tahoma"/>
                <w:sz w:val="13"/>
              </w:rPr>
              <w:t>2</w:t>
            </w:r>
          </w:p>
        </w:tc>
        <w:tc>
          <w:tcPr>
            <w:tcW w:w="450" w:type="dxa"/>
            <w:tcBorders>
              <w:bottom w:val="single" w:sz="4" w:space="0" w:color="auto"/>
            </w:tcBorders>
            <w:shd w:val="clear" w:color="auto" w:fill="FABF8F"/>
            <w:vAlign w:val="center"/>
          </w:tcPr>
          <w:p w:rsidR="001A63C6" w:rsidRPr="003410C7" w:rsidDel="006A2F66" w:rsidRDefault="001A63C6" w:rsidP="001A63C6">
            <w:pPr>
              <w:pStyle w:val="TableText"/>
              <w:widowControl w:val="0"/>
              <w:rPr>
                <w:rFonts w:ascii="Tahoma" w:hAnsi="Tahoma" w:cs="Tahoma"/>
                <w:sz w:val="13"/>
              </w:rPr>
            </w:pPr>
            <w:r w:rsidRPr="003410C7">
              <w:rPr>
                <w:rFonts w:ascii="Tahoma" w:hAnsi="Tahoma" w:cs="Tahoma"/>
                <w:sz w:val="13"/>
              </w:rPr>
              <w:t>2</w:t>
            </w:r>
          </w:p>
        </w:tc>
        <w:tc>
          <w:tcPr>
            <w:tcW w:w="450" w:type="dxa"/>
            <w:tcBorders>
              <w:bottom w:val="single" w:sz="4" w:space="0" w:color="auto"/>
            </w:tcBorders>
            <w:shd w:val="clear" w:color="auto" w:fill="FABF8F"/>
            <w:vAlign w:val="center"/>
          </w:tcPr>
          <w:p w:rsidR="001A63C6" w:rsidRPr="003410C7" w:rsidDel="006A2F66" w:rsidRDefault="001A63C6" w:rsidP="001A63C6">
            <w:pPr>
              <w:pStyle w:val="TableText"/>
              <w:widowControl w:val="0"/>
              <w:rPr>
                <w:rFonts w:ascii="Tahoma" w:hAnsi="Tahoma" w:cs="Tahoma"/>
                <w:sz w:val="13"/>
              </w:rPr>
            </w:pPr>
            <w:r w:rsidRPr="003410C7">
              <w:rPr>
                <w:rFonts w:ascii="Tahoma" w:hAnsi="Tahoma" w:cs="Tahoma"/>
                <w:sz w:val="13"/>
              </w:rPr>
              <w:t>1</w:t>
            </w:r>
          </w:p>
        </w:tc>
        <w:tc>
          <w:tcPr>
            <w:tcW w:w="360" w:type="dxa"/>
            <w:tcBorders>
              <w:bottom w:val="single" w:sz="4" w:space="0" w:color="auto"/>
              <w:right w:val="single" w:sz="18" w:space="0" w:color="auto"/>
            </w:tcBorders>
            <w:shd w:val="clear" w:color="auto" w:fill="FABF8F"/>
            <w:vAlign w:val="center"/>
          </w:tcPr>
          <w:p w:rsidR="001A63C6" w:rsidRPr="003410C7" w:rsidDel="006A2F66" w:rsidRDefault="001A63C6" w:rsidP="001A63C6">
            <w:pPr>
              <w:pStyle w:val="TableText"/>
              <w:widowControl w:val="0"/>
              <w:rPr>
                <w:rFonts w:ascii="Tahoma" w:hAnsi="Tahoma" w:cs="Tahoma"/>
                <w:sz w:val="13"/>
              </w:rPr>
            </w:pPr>
            <w:r w:rsidRPr="003410C7">
              <w:rPr>
                <w:rFonts w:ascii="Tahoma" w:hAnsi="Tahoma" w:cs="Tahoma"/>
                <w:sz w:val="13"/>
              </w:rPr>
              <w:t>1</w:t>
            </w:r>
          </w:p>
        </w:tc>
        <w:tc>
          <w:tcPr>
            <w:tcW w:w="450" w:type="dxa"/>
            <w:tcBorders>
              <w:left w:val="single" w:sz="18" w:space="0" w:color="auto"/>
              <w:bottom w:val="single" w:sz="4" w:space="0" w:color="auto"/>
            </w:tcBorders>
            <w:shd w:val="clear" w:color="auto" w:fill="FABF8F"/>
            <w:vAlign w:val="center"/>
          </w:tcPr>
          <w:p w:rsidR="001A63C6" w:rsidRPr="003410C7" w:rsidDel="006A2F66" w:rsidRDefault="001A63C6" w:rsidP="001A63C6">
            <w:pPr>
              <w:pStyle w:val="TableText"/>
              <w:widowControl w:val="0"/>
              <w:rPr>
                <w:rFonts w:ascii="Tahoma" w:hAnsi="Tahoma" w:cs="Tahoma"/>
                <w:sz w:val="13"/>
              </w:rPr>
            </w:pPr>
            <w:r w:rsidRPr="003410C7">
              <w:rPr>
                <w:rFonts w:ascii="Tahoma" w:hAnsi="Tahoma" w:cs="Tahoma"/>
                <w:sz w:val="13"/>
              </w:rPr>
              <w:t>1</w:t>
            </w:r>
          </w:p>
        </w:tc>
        <w:tc>
          <w:tcPr>
            <w:tcW w:w="450" w:type="dxa"/>
            <w:tcBorders>
              <w:bottom w:val="single" w:sz="4" w:space="0" w:color="auto"/>
            </w:tcBorders>
            <w:shd w:val="clear" w:color="auto" w:fill="FABF8F"/>
            <w:vAlign w:val="center"/>
          </w:tcPr>
          <w:p w:rsidR="001A63C6" w:rsidRPr="003410C7" w:rsidDel="006A2F66" w:rsidRDefault="001A63C6" w:rsidP="001A63C6">
            <w:pPr>
              <w:pStyle w:val="TableText"/>
              <w:widowControl w:val="0"/>
              <w:rPr>
                <w:rFonts w:ascii="Tahoma" w:hAnsi="Tahoma" w:cs="Tahoma"/>
                <w:sz w:val="13"/>
              </w:rPr>
            </w:pPr>
            <w:r w:rsidRPr="003410C7">
              <w:rPr>
                <w:rFonts w:ascii="Tahoma" w:hAnsi="Tahoma" w:cs="Tahoma"/>
                <w:sz w:val="13"/>
              </w:rPr>
              <w:t>2</w:t>
            </w:r>
          </w:p>
        </w:tc>
        <w:tc>
          <w:tcPr>
            <w:tcW w:w="450" w:type="dxa"/>
            <w:tcBorders>
              <w:bottom w:val="single" w:sz="4" w:space="0" w:color="auto"/>
              <w:right w:val="single" w:sz="18" w:space="0" w:color="auto"/>
            </w:tcBorders>
            <w:shd w:val="clear" w:color="auto" w:fill="FABF8F"/>
            <w:vAlign w:val="center"/>
          </w:tcPr>
          <w:p w:rsidR="001A63C6" w:rsidRPr="003410C7" w:rsidDel="006A2F66" w:rsidRDefault="001A63C6" w:rsidP="001A63C6">
            <w:pPr>
              <w:pStyle w:val="TableText"/>
              <w:widowControl w:val="0"/>
              <w:rPr>
                <w:rFonts w:ascii="Tahoma" w:hAnsi="Tahoma" w:cs="Tahoma"/>
                <w:sz w:val="13"/>
              </w:rPr>
            </w:pPr>
            <w:r w:rsidRPr="003410C7">
              <w:rPr>
                <w:rFonts w:ascii="Tahoma" w:hAnsi="Tahoma" w:cs="Tahoma"/>
                <w:sz w:val="13"/>
              </w:rPr>
              <w:t>1</w:t>
            </w:r>
          </w:p>
        </w:tc>
        <w:tc>
          <w:tcPr>
            <w:tcW w:w="450" w:type="dxa"/>
            <w:tcBorders>
              <w:left w:val="single" w:sz="18" w:space="0" w:color="auto"/>
              <w:bottom w:val="single" w:sz="4" w:space="0" w:color="auto"/>
            </w:tcBorders>
            <w:shd w:val="clear" w:color="auto" w:fill="FABF8F"/>
            <w:vAlign w:val="center"/>
          </w:tcPr>
          <w:p w:rsidR="001A63C6" w:rsidRPr="003410C7" w:rsidDel="006A2F66" w:rsidRDefault="001A63C6" w:rsidP="001A63C6">
            <w:pPr>
              <w:pStyle w:val="TableText"/>
              <w:widowControl w:val="0"/>
              <w:rPr>
                <w:rFonts w:ascii="Tahoma" w:hAnsi="Tahoma" w:cs="Tahoma"/>
                <w:sz w:val="13"/>
              </w:rPr>
            </w:pPr>
            <w:r w:rsidRPr="003410C7">
              <w:rPr>
                <w:rFonts w:ascii="Tahoma" w:hAnsi="Tahoma" w:cs="Tahoma"/>
                <w:sz w:val="13"/>
              </w:rPr>
              <w:t>1</w:t>
            </w:r>
          </w:p>
        </w:tc>
        <w:tc>
          <w:tcPr>
            <w:tcW w:w="450" w:type="dxa"/>
            <w:tcBorders>
              <w:bottom w:val="single" w:sz="4" w:space="0" w:color="auto"/>
              <w:right w:val="single" w:sz="18" w:space="0" w:color="auto"/>
            </w:tcBorders>
            <w:shd w:val="clear" w:color="auto" w:fill="FABF8F"/>
            <w:vAlign w:val="center"/>
          </w:tcPr>
          <w:p w:rsidR="001A63C6" w:rsidRPr="003410C7" w:rsidDel="006A2F66"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3410C7" w:rsidDel="006A2F66" w:rsidRDefault="001A63C6" w:rsidP="001A63C6">
            <w:pPr>
              <w:pStyle w:val="TableText"/>
              <w:widowControl w:val="0"/>
              <w:rPr>
                <w:rFonts w:ascii="Tahoma" w:hAnsi="Tahoma" w:cs="Tahoma"/>
                <w:sz w:val="13"/>
              </w:rPr>
            </w:pPr>
            <w:r w:rsidRPr="003410C7">
              <w:rPr>
                <w:rFonts w:ascii="Tahoma" w:hAnsi="Tahoma" w:cs="Tahoma"/>
                <w:sz w:val="13"/>
              </w:rPr>
              <w:t>P</w:t>
            </w:r>
          </w:p>
        </w:tc>
        <w:tc>
          <w:tcPr>
            <w:tcW w:w="450" w:type="dxa"/>
            <w:tcBorders>
              <w:bottom w:val="single" w:sz="4" w:space="0" w:color="auto"/>
            </w:tcBorders>
            <w:shd w:val="clear" w:color="auto" w:fill="FABF8F"/>
          </w:tcPr>
          <w:p w:rsidR="001A63C6" w:rsidRPr="003410C7" w:rsidDel="006A2F66" w:rsidRDefault="001A63C6" w:rsidP="001A63C6">
            <w:pPr>
              <w:pStyle w:val="TableText"/>
              <w:widowControl w:val="0"/>
              <w:spacing w:before="120"/>
              <w:rPr>
                <w:rFonts w:ascii="Tahoma" w:hAnsi="Tahoma" w:cs="Tahoma"/>
                <w:sz w:val="13"/>
              </w:rPr>
            </w:pPr>
            <w:r w:rsidRPr="003410C7">
              <w:rPr>
                <w:rFonts w:ascii="Tahoma" w:hAnsi="Tahoma" w:cs="Tahoma"/>
                <w:sz w:val="13"/>
              </w:rPr>
              <w:t>A, ST</w:t>
            </w:r>
          </w:p>
        </w:tc>
        <w:tc>
          <w:tcPr>
            <w:tcW w:w="540" w:type="dxa"/>
            <w:tcBorders>
              <w:bottom w:val="single" w:sz="4" w:space="0" w:color="auto"/>
            </w:tcBorders>
            <w:shd w:val="clear" w:color="auto" w:fill="FABF8F"/>
            <w:vAlign w:val="center"/>
          </w:tcPr>
          <w:p w:rsidR="001A63C6" w:rsidRPr="003410C7" w:rsidRDefault="001A63C6" w:rsidP="001A63C6">
            <w:pPr>
              <w:pStyle w:val="TableText"/>
              <w:widowControl w:val="0"/>
              <w:rPr>
                <w:rFonts w:ascii="Tahoma" w:hAnsi="Tahoma" w:cs="Tahoma"/>
                <w:sz w:val="13"/>
              </w:rPr>
            </w:pPr>
          </w:p>
        </w:tc>
      </w:tr>
      <w:tr w:rsidR="00B33D0E" w:rsidRPr="003410C7" w:rsidTr="006B1F3F">
        <w:trPr>
          <w:trHeight w:val="70"/>
        </w:trPr>
        <w:tc>
          <w:tcPr>
            <w:tcW w:w="2734" w:type="dxa"/>
            <w:gridSpan w:val="2"/>
            <w:tcBorders>
              <w:bottom w:val="single" w:sz="4" w:space="0" w:color="auto"/>
            </w:tcBorders>
            <w:shd w:val="clear" w:color="auto" w:fill="auto"/>
            <w:vAlign w:val="center"/>
          </w:tcPr>
          <w:p w:rsidR="001A63C6" w:rsidRPr="00451078" w:rsidRDefault="001A63C6" w:rsidP="00FE2D13">
            <w:pPr>
              <w:pStyle w:val="Heading2"/>
              <w:ind w:left="0"/>
              <w:rPr>
                <w:rFonts w:ascii="Tahoma" w:hAnsi="Tahoma" w:cs="Tahoma"/>
                <w:b w:val="0"/>
                <w:sz w:val="14"/>
                <w:szCs w:val="14"/>
                <w:lang w:val="it-IT"/>
              </w:rPr>
            </w:pPr>
            <w:bookmarkStart w:id="314" w:name="_Toc336338007"/>
            <w:bookmarkStart w:id="315" w:name="_Toc352234614"/>
            <w:r w:rsidRPr="00451078">
              <w:rPr>
                <w:rFonts w:ascii="Tahoma" w:hAnsi="Tahoma" w:cs="Tahoma"/>
                <w:b w:val="0"/>
                <w:sz w:val="14"/>
                <w:szCs w:val="14"/>
                <w:lang w:val="it-IT"/>
              </w:rPr>
              <w:t>Enterprise Additive CAL per Microsoft</w:t>
            </w:r>
            <w:r w:rsidR="00F57878" w:rsidRPr="00451078">
              <w:rPr>
                <w:rFonts w:ascii="Tahoma" w:hAnsi="Tahoma" w:cs="Tahoma"/>
                <w:b w:val="0"/>
                <w:sz w:val="14"/>
                <w:szCs w:val="14"/>
                <w:lang w:val="it-IT"/>
              </w:rPr>
              <w:t> </w:t>
            </w:r>
            <w:r w:rsidRPr="00451078">
              <w:rPr>
                <w:rFonts w:ascii="Tahoma" w:hAnsi="Tahoma" w:cs="Tahoma"/>
                <w:b w:val="0"/>
                <w:sz w:val="14"/>
                <w:szCs w:val="14"/>
                <w:lang w:val="it-IT"/>
              </w:rPr>
              <w:t>Dynamics AX 2012 R2 (Utente</w:t>
            </w:r>
            <w:r w:rsidR="00FE2D13" w:rsidRPr="00451078">
              <w:rPr>
                <w:rFonts w:ascii="Tahoma" w:hAnsi="Tahoma" w:cs="Tahoma"/>
                <w:b w:val="0"/>
                <w:sz w:val="14"/>
                <w:szCs w:val="14"/>
                <w:lang w:val="it-IT"/>
              </w:rPr>
              <w:t> </w:t>
            </w:r>
            <w:r w:rsidRPr="00451078">
              <w:rPr>
                <w:rFonts w:ascii="Tahoma" w:hAnsi="Tahoma" w:cs="Tahoma"/>
                <w:b w:val="0"/>
                <w:sz w:val="14"/>
                <w:szCs w:val="14"/>
                <w:lang w:val="it-IT"/>
              </w:rPr>
              <w:t>e</w:t>
            </w:r>
            <w:r w:rsidR="00FE2D13" w:rsidRPr="00451078">
              <w:rPr>
                <w:rFonts w:ascii="Tahoma" w:hAnsi="Tahoma" w:cs="Tahoma"/>
                <w:b w:val="0"/>
                <w:sz w:val="14"/>
                <w:szCs w:val="14"/>
                <w:lang w:val="it-IT"/>
              </w:rPr>
              <w:t> </w:t>
            </w:r>
            <w:r w:rsidRPr="00451078">
              <w:rPr>
                <w:rFonts w:ascii="Tahoma" w:hAnsi="Tahoma" w:cs="Tahoma"/>
                <w:b w:val="0"/>
                <w:sz w:val="14"/>
                <w:szCs w:val="14"/>
                <w:lang w:val="it-IT"/>
              </w:rPr>
              <w:t>Dispositivo)</w:t>
            </w:r>
            <w:bookmarkEnd w:id="314"/>
            <w:bookmarkEnd w:id="315"/>
          </w:p>
        </w:tc>
        <w:tc>
          <w:tcPr>
            <w:tcW w:w="450" w:type="dxa"/>
            <w:tcBorders>
              <w:bottom w:val="single" w:sz="4" w:space="0" w:color="auto"/>
            </w:tcBorders>
            <w:shd w:val="clear" w:color="auto" w:fill="auto"/>
            <w:vAlign w:val="center"/>
          </w:tcPr>
          <w:p w:rsidR="001A63C6" w:rsidRPr="009F17FF" w:rsidRDefault="00FC1A4D" w:rsidP="003C5E74">
            <w:pPr>
              <w:pStyle w:val="TableText"/>
              <w:widowControl w:val="0"/>
              <w:rPr>
                <w:rFonts w:cs="Tahoma"/>
                <w:b/>
                <w:color w:val="0000FF"/>
                <w:sz w:val="13"/>
                <w:szCs w:val="13"/>
                <w:u w:val="single"/>
              </w:rPr>
            </w:pPr>
            <w:hyperlink w:anchor="_65_Microsoft_Dynamics" w:history="1">
              <w:r w:rsidR="000D77F6" w:rsidRPr="009F17FF">
                <w:rPr>
                  <w:rStyle w:val="Hyperlink"/>
                  <w:rFonts w:cs="Tahoma"/>
                  <w:b/>
                  <w:sz w:val="13"/>
                  <w:szCs w:val="13"/>
                </w:rPr>
                <w:t>65</w:t>
              </w:r>
            </w:hyperlink>
          </w:p>
        </w:tc>
        <w:tc>
          <w:tcPr>
            <w:tcW w:w="450" w:type="dxa"/>
            <w:tcBorders>
              <w:bottom w:val="single" w:sz="4" w:space="0" w:color="auto"/>
            </w:tcBorders>
            <w:shd w:val="clear" w:color="auto" w:fill="auto"/>
          </w:tcPr>
          <w:p w:rsidR="001A63C6" w:rsidRPr="003410C7" w:rsidRDefault="001A63C6" w:rsidP="001A63C6">
            <w:pPr>
              <w:pStyle w:val="TableText"/>
              <w:widowControl w:val="0"/>
              <w:rPr>
                <w:rFonts w:ascii="Tahoma" w:hAnsi="Tahoma" w:cs="Tahoma"/>
                <w:sz w:val="13"/>
              </w:rPr>
            </w:pPr>
            <w:r w:rsidRPr="003410C7">
              <w:rPr>
                <w:rFonts w:ascii="Tahoma" w:hAnsi="Tahoma" w:cs="Tahoma"/>
                <w:sz w:val="13"/>
              </w:rPr>
              <w:t>12/12</w:t>
            </w:r>
          </w:p>
        </w:tc>
        <w:tc>
          <w:tcPr>
            <w:tcW w:w="360" w:type="dxa"/>
            <w:tcBorders>
              <w:bottom w:val="single" w:sz="4" w:space="0" w:color="auto"/>
              <w:right w:val="single" w:sz="18" w:space="0" w:color="auto"/>
            </w:tcBorders>
            <w:shd w:val="clear" w:color="auto" w:fill="auto"/>
            <w:vAlign w:val="center"/>
          </w:tcPr>
          <w:p w:rsidR="001A63C6" w:rsidRPr="003410C7" w:rsidRDefault="001A63C6" w:rsidP="001A63C6">
            <w:pPr>
              <w:pStyle w:val="TableText"/>
              <w:widowControl w:val="0"/>
              <w:rPr>
                <w:rFonts w:ascii="Tahoma" w:hAnsi="Tahoma" w:cs="Tahoma"/>
                <w:sz w:val="13"/>
              </w:rPr>
            </w:pPr>
            <w:r w:rsidRPr="003410C7">
              <w:rPr>
                <w:rFonts w:ascii="Tahoma" w:hAnsi="Tahoma" w:cs="Tahoma"/>
                <w:sz w:val="13"/>
              </w:rPr>
              <w:t>SRV</w:t>
            </w:r>
          </w:p>
        </w:tc>
        <w:tc>
          <w:tcPr>
            <w:tcW w:w="360" w:type="dxa"/>
            <w:tcBorders>
              <w:left w:val="single" w:sz="18" w:space="0" w:color="auto"/>
              <w:bottom w:val="single" w:sz="4" w:space="0" w:color="auto"/>
            </w:tcBorders>
            <w:shd w:val="clear" w:color="auto" w:fill="auto"/>
            <w:vAlign w:val="center"/>
          </w:tcPr>
          <w:p w:rsidR="001A63C6" w:rsidRPr="003410C7"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3410C7"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3410C7"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3410C7"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3410C7"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3410C7" w:rsidRDefault="001A63C6" w:rsidP="001A63C6">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auto"/>
            <w:vAlign w:val="center"/>
          </w:tcPr>
          <w:p w:rsidR="001A63C6" w:rsidRPr="003410C7"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1A63C6" w:rsidRPr="003410C7"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3410C7"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1A63C6" w:rsidRPr="003410C7"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1A63C6" w:rsidRPr="003410C7" w:rsidRDefault="001A63C6" w:rsidP="001A63C6">
            <w:pPr>
              <w:pStyle w:val="TableText"/>
              <w:widowControl w:val="0"/>
              <w:rPr>
                <w:rFonts w:ascii="Tahoma" w:hAnsi="Tahoma" w:cs="Tahoma"/>
                <w:sz w:val="13"/>
              </w:rPr>
            </w:pPr>
            <w:r w:rsidRPr="003410C7">
              <w:rPr>
                <w:rFonts w:ascii="Tahoma" w:hAnsi="Tahoma" w:cs="Tahoma"/>
                <w:sz w:val="13"/>
              </w:rPr>
              <w:t>25</w:t>
            </w:r>
          </w:p>
        </w:tc>
        <w:tc>
          <w:tcPr>
            <w:tcW w:w="450" w:type="dxa"/>
            <w:tcBorders>
              <w:bottom w:val="single" w:sz="4" w:space="0" w:color="auto"/>
              <w:right w:val="single" w:sz="18" w:space="0" w:color="auto"/>
            </w:tcBorders>
            <w:shd w:val="clear" w:color="auto" w:fill="auto"/>
            <w:vAlign w:val="center"/>
          </w:tcPr>
          <w:p w:rsidR="001A63C6" w:rsidRPr="003410C7"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rsidR="001A63C6" w:rsidRPr="003410C7"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tcPr>
          <w:p w:rsidR="001A63C6" w:rsidRPr="003410C7" w:rsidRDefault="001A63C6" w:rsidP="001A63C6">
            <w:pPr>
              <w:pStyle w:val="TableText"/>
              <w:widowControl w:val="0"/>
              <w:rPr>
                <w:rFonts w:ascii="Tahoma" w:hAnsi="Tahoma" w:cs="Tahoma"/>
                <w:sz w:val="13"/>
              </w:rPr>
            </w:pPr>
          </w:p>
        </w:tc>
        <w:tc>
          <w:tcPr>
            <w:tcW w:w="540" w:type="dxa"/>
            <w:tcBorders>
              <w:bottom w:val="single" w:sz="4" w:space="0" w:color="auto"/>
            </w:tcBorders>
            <w:shd w:val="clear" w:color="auto" w:fill="auto"/>
            <w:vAlign w:val="center"/>
          </w:tcPr>
          <w:p w:rsidR="001A63C6" w:rsidRPr="003410C7" w:rsidRDefault="001A63C6" w:rsidP="001A63C6">
            <w:pPr>
              <w:pStyle w:val="TableText"/>
              <w:widowControl w:val="0"/>
              <w:jc w:val="left"/>
              <w:rPr>
                <w:rFonts w:ascii="Tahoma" w:hAnsi="Tahoma" w:cs="Tahoma"/>
                <w:sz w:val="13"/>
              </w:rPr>
            </w:pPr>
          </w:p>
        </w:tc>
      </w:tr>
      <w:tr w:rsidR="00BE2E58" w:rsidRPr="003410C7" w:rsidTr="006B1F3F">
        <w:trPr>
          <w:trHeight w:val="145"/>
        </w:trPr>
        <w:tc>
          <w:tcPr>
            <w:tcW w:w="2734" w:type="dxa"/>
            <w:gridSpan w:val="2"/>
            <w:tcBorders>
              <w:bottom w:val="single" w:sz="4" w:space="0" w:color="auto"/>
            </w:tcBorders>
            <w:shd w:val="clear" w:color="auto" w:fill="FABF8F"/>
            <w:vAlign w:val="center"/>
          </w:tcPr>
          <w:p w:rsidR="001A63C6" w:rsidRPr="003410C7" w:rsidRDefault="001A63C6" w:rsidP="00F57878">
            <w:pPr>
              <w:pStyle w:val="Heading2"/>
              <w:ind w:left="0"/>
              <w:rPr>
                <w:rFonts w:ascii="Tahoma" w:hAnsi="Tahoma" w:cs="Tahoma"/>
                <w:b w:val="0"/>
                <w:sz w:val="14"/>
                <w:szCs w:val="14"/>
              </w:rPr>
            </w:pPr>
            <w:bookmarkStart w:id="316" w:name="_Toc336338008"/>
            <w:bookmarkStart w:id="317" w:name="_Toc352234615"/>
            <w:r w:rsidRPr="003410C7">
              <w:rPr>
                <w:rFonts w:ascii="Tahoma" w:hAnsi="Tahoma" w:cs="Tahoma"/>
                <w:b w:val="0"/>
                <w:sz w:val="14"/>
                <w:szCs w:val="14"/>
              </w:rPr>
              <w:t>Enterprise CAL per Microsoft Dynamics AX</w:t>
            </w:r>
            <w:r w:rsidR="00F57878">
              <w:rPr>
                <w:rFonts w:ascii="Tahoma" w:hAnsi="Tahoma" w:cs="Tahoma"/>
                <w:b w:val="0"/>
                <w:sz w:val="14"/>
                <w:szCs w:val="14"/>
              </w:rPr>
              <w:t> </w:t>
            </w:r>
            <w:r w:rsidRPr="003410C7">
              <w:rPr>
                <w:rFonts w:ascii="Tahoma" w:hAnsi="Tahoma" w:cs="Tahoma"/>
                <w:b w:val="0"/>
                <w:sz w:val="14"/>
                <w:szCs w:val="14"/>
              </w:rPr>
              <w:t>2012 R2 (Utente e Dispositivo)</w:t>
            </w:r>
            <w:bookmarkEnd w:id="316"/>
            <w:bookmarkEnd w:id="317"/>
          </w:p>
        </w:tc>
        <w:tc>
          <w:tcPr>
            <w:tcW w:w="450" w:type="dxa"/>
            <w:tcBorders>
              <w:bottom w:val="single" w:sz="4" w:space="0" w:color="auto"/>
            </w:tcBorders>
            <w:shd w:val="clear" w:color="auto" w:fill="FABF8F"/>
            <w:vAlign w:val="center"/>
          </w:tcPr>
          <w:p w:rsidR="001A63C6" w:rsidRPr="009F17FF" w:rsidRDefault="00FC1A4D" w:rsidP="004E5F2F">
            <w:pPr>
              <w:pStyle w:val="TableText"/>
              <w:widowControl w:val="0"/>
              <w:rPr>
                <w:rFonts w:cs="Tahoma"/>
                <w:b/>
                <w:color w:val="0000FF"/>
                <w:sz w:val="13"/>
                <w:szCs w:val="13"/>
                <w:u w:val="single"/>
              </w:rPr>
            </w:pPr>
            <w:hyperlink w:anchor="_65_Microsoft_Dynamics" w:history="1">
              <w:r w:rsidR="00854AAB" w:rsidRPr="009F17FF">
                <w:rPr>
                  <w:rStyle w:val="Hyperlink"/>
                  <w:rFonts w:cs="Tahoma"/>
                  <w:b/>
                  <w:sz w:val="13"/>
                  <w:szCs w:val="13"/>
                </w:rPr>
                <w:t>65</w:t>
              </w:r>
            </w:hyperlink>
          </w:p>
        </w:tc>
        <w:tc>
          <w:tcPr>
            <w:tcW w:w="450" w:type="dxa"/>
            <w:tcBorders>
              <w:bottom w:val="single" w:sz="4" w:space="0" w:color="auto"/>
            </w:tcBorders>
            <w:shd w:val="clear" w:color="auto" w:fill="FABF8F"/>
          </w:tcPr>
          <w:p w:rsidR="001A63C6" w:rsidRPr="003410C7" w:rsidRDefault="001A63C6" w:rsidP="001A63C6">
            <w:pPr>
              <w:pStyle w:val="TableText"/>
              <w:widowControl w:val="0"/>
              <w:rPr>
                <w:rFonts w:ascii="Tahoma" w:hAnsi="Tahoma" w:cs="Tahoma"/>
                <w:sz w:val="13"/>
              </w:rPr>
            </w:pPr>
            <w:r w:rsidRPr="003410C7">
              <w:rPr>
                <w:rFonts w:ascii="Tahoma" w:hAnsi="Tahoma" w:cs="Tahoma"/>
                <w:sz w:val="13"/>
              </w:rPr>
              <w:t>12/12</w:t>
            </w:r>
          </w:p>
        </w:tc>
        <w:tc>
          <w:tcPr>
            <w:tcW w:w="360" w:type="dxa"/>
            <w:tcBorders>
              <w:bottom w:val="single" w:sz="4" w:space="0" w:color="auto"/>
              <w:right w:val="single" w:sz="18" w:space="0" w:color="auto"/>
            </w:tcBorders>
            <w:shd w:val="clear" w:color="auto" w:fill="FABF8F"/>
            <w:vAlign w:val="center"/>
          </w:tcPr>
          <w:p w:rsidR="001A63C6" w:rsidRPr="003410C7" w:rsidRDefault="001A63C6" w:rsidP="001A63C6">
            <w:pPr>
              <w:pStyle w:val="TableText"/>
              <w:widowControl w:val="0"/>
              <w:rPr>
                <w:rFonts w:ascii="Tahoma" w:hAnsi="Tahoma" w:cs="Tahoma"/>
                <w:sz w:val="13"/>
              </w:rPr>
            </w:pPr>
            <w:r w:rsidRPr="003410C7">
              <w:rPr>
                <w:rFonts w:ascii="Tahoma" w:hAnsi="Tahoma" w:cs="Tahoma"/>
                <w:sz w:val="13"/>
              </w:rPr>
              <w:t>SRV</w:t>
            </w:r>
          </w:p>
        </w:tc>
        <w:tc>
          <w:tcPr>
            <w:tcW w:w="360" w:type="dxa"/>
            <w:tcBorders>
              <w:left w:val="single" w:sz="18" w:space="0" w:color="auto"/>
              <w:bottom w:val="single" w:sz="4" w:space="0" w:color="auto"/>
            </w:tcBorders>
            <w:shd w:val="clear" w:color="auto" w:fill="FABF8F"/>
            <w:vAlign w:val="center"/>
          </w:tcPr>
          <w:p w:rsidR="001A63C6" w:rsidRPr="003410C7"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3410C7"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3410C7"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3410C7"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3410C7"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3410C7" w:rsidRDefault="001A63C6" w:rsidP="001A63C6">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rsidR="001A63C6" w:rsidRPr="003410C7"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3410C7"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3410C7"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1A63C6" w:rsidRPr="003410C7"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3410C7" w:rsidRDefault="001A63C6" w:rsidP="001A63C6">
            <w:pPr>
              <w:pStyle w:val="TableText"/>
              <w:widowControl w:val="0"/>
              <w:rPr>
                <w:rFonts w:ascii="Tahoma" w:hAnsi="Tahoma" w:cs="Tahoma"/>
                <w:sz w:val="13"/>
              </w:rPr>
            </w:pPr>
            <w:r w:rsidRPr="003410C7">
              <w:rPr>
                <w:rFonts w:ascii="Tahoma" w:hAnsi="Tahoma" w:cs="Tahoma"/>
                <w:sz w:val="13"/>
              </w:rPr>
              <w:t>50</w:t>
            </w:r>
          </w:p>
        </w:tc>
        <w:tc>
          <w:tcPr>
            <w:tcW w:w="450" w:type="dxa"/>
            <w:tcBorders>
              <w:bottom w:val="single" w:sz="4" w:space="0" w:color="auto"/>
              <w:right w:val="single" w:sz="18" w:space="0" w:color="auto"/>
            </w:tcBorders>
            <w:shd w:val="clear" w:color="auto" w:fill="FABF8F"/>
            <w:vAlign w:val="center"/>
          </w:tcPr>
          <w:p w:rsidR="001A63C6" w:rsidRPr="003410C7"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3410C7"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tcPr>
          <w:p w:rsidR="001A63C6" w:rsidRPr="003410C7" w:rsidRDefault="001A63C6" w:rsidP="001A63C6">
            <w:pPr>
              <w:pStyle w:val="TableText"/>
              <w:widowControl w:val="0"/>
              <w:rPr>
                <w:rFonts w:ascii="Tahoma" w:hAnsi="Tahoma" w:cs="Tahoma"/>
                <w:sz w:val="13"/>
              </w:rPr>
            </w:pPr>
          </w:p>
        </w:tc>
        <w:tc>
          <w:tcPr>
            <w:tcW w:w="540" w:type="dxa"/>
            <w:tcBorders>
              <w:bottom w:val="single" w:sz="4" w:space="0" w:color="auto"/>
            </w:tcBorders>
            <w:shd w:val="clear" w:color="auto" w:fill="FABF8F"/>
            <w:vAlign w:val="center"/>
          </w:tcPr>
          <w:p w:rsidR="001A63C6" w:rsidRPr="003410C7" w:rsidRDefault="001A63C6" w:rsidP="001A63C6">
            <w:pPr>
              <w:pStyle w:val="TableText"/>
              <w:widowControl w:val="0"/>
              <w:jc w:val="left"/>
              <w:rPr>
                <w:rFonts w:ascii="Tahoma" w:hAnsi="Tahoma" w:cs="Tahoma"/>
                <w:sz w:val="13"/>
              </w:rPr>
            </w:pPr>
          </w:p>
        </w:tc>
      </w:tr>
      <w:tr w:rsidR="00B33D0E" w:rsidRPr="003410C7" w:rsidTr="006B1F3F">
        <w:trPr>
          <w:trHeight w:val="145"/>
        </w:trPr>
        <w:tc>
          <w:tcPr>
            <w:tcW w:w="2734" w:type="dxa"/>
            <w:gridSpan w:val="2"/>
            <w:tcBorders>
              <w:bottom w:val="single" w:sz="4" w:space="0" w:color="auto"/>
            </w:tcBorders>
            <w:shd w:val="clear" w:color="auto" w:fill="auto"/>
            <w:vAlign w:val="center"/>
          </w:tcPr>
          <w:p w:rsidR="001A63C6" w:rsidRPr="003410C7" w:rsidRDefault="001A63C6" w:rsidP="001A63C6">
            <w:pPr>
              <w:pStyle w:val="Heading2"/>
              <w:ind w:left="0"/>
              <w:rPr>
                <w:rFonts w:ascii="Tahoma" w:hAnsi="Tahoma" w:cs="Tahoma"/>
                <w:b w:val="0"/>
                <w:sz w:val="14"/>
                <w:szCs w:val="14"/>
              </w:rPr>
            </w:pPr>
            <w:bookmarkStart w:id="318" w:name="_Toc336338009"/>
            <w:bookmarkStart w:id="319" w:name="_Toc352234616"/>
            <w:r w:rsidRPr="003410C7">
              <w:rPr>
                <w:rFonts w:ascii="Tahoma" w:hAnsi="Tahoma" w:cs="Tahoma"/>
                <w:b w:val="0"/>
                <w:sz w:val="14"/>
                <w:szCs w:val="14"/>
              </w:rPr>
              <w:t>Functional Additive CAL per Microsoft Dynamics AX 2012 R2 (Utente e Dispositivo)</w:t>
            </w:r>
            <w:bookmarkEnd w:id="318"/>
            <w:bookmarkEnd w:id="319"/>
          </w:p>
        </w:tc>
        <w:tc>
          <w:tcPr>
            <w:tcW w:w="450" w:type="dxa"/>
            <w:tcBorders>
              <w:bottom w:val="single" w:sz="4" w:space="0" w:color="auto"/>
            </w:tcBorders>
            <w:shd w:val="clear" w:color="auto" w:fill="auto"/>
            <w:vAlign w:val="center"/>
          </w:tcPr>
          <w:p w:rsidR="001A63C6" w:rsidRPr="009F17FF" w:rsidRDefault="00FC1A4D" w:rsidP="004E5F2F">
            <w:pPr>
              <w:pStyle w:val="TableText"/>
              <w:widowControl w:val="0"/>
              <w:rPr>
                <w:rFonts w:cs="Tahoma"/>
                <w:b/>
                <w:color w:val="0000FF"/>
                <w:sz w:val="13"/>
                <w:szCs w:val="13"/>
                <w:u w:val="single"/>
              </w:rPr>
            </w:pPr>
            <w:hyperlink w:anchor="_65_Microsoft_Dynamics" w:history="1">
              <w:r w:rsidR="00854AAB" w:rsidRPr="009F17FF">
                <w:rPr>
                  <w:rStyle w:val="Hyperlink"/>
                  <w:rFonts w:cs="Tahoma"/>
                  <w:b/>
                  <w:sz w:val="13"/>
                  <w:szCs w:val="13"/>
                </w:rPr>
                <w:t>65</w:t>
              </w:r>
            </w:hyperlink>
          </w:p>
        </w:tc>
        <w:tc>
          <w:tcPr>
            <w:tcW w:w="450" w:type="dxa"/>
            <w:tcBorders>
              <w:bottom w:val="single" w:sz="4" w:space="0" w:color="auto"/>
            </w:tcBorders>
            <w:shd w:val="clear" w:color="auto" w:fill="auto"/>
          </w:tcPr>
          <w:p w:rsidR="001A63C6" w:rsidRPr="003410C7" w:rsidRDefault="001A63C6" w:rsidP="001A63C6">
            <w:pPr>
              <w:pStyle w:val="TableText"/>
              <w:widowControl w:val="0"/>
              <w:rPr>
                <w:rFonts w:ascii="Tahoma" w:hAnsi="Tahoma" w:cs="Tahoma"/>
                <w:sz w:val="13"/>
              </w:rPr>
            </w:pPr>
            <w:r w:rsidRPr="003410C7">
              <w:rPr>
                <w:rFonts w:ascii="Tahoma" w:hAnsi="Tahoma" w:cs="Tahoma"/>
                <w:sz w:val="13"/>
              </w:rPr>
              <w:t>12/12</w:t>
            </w:r>
          </w:p>
        </w:tc>
        <w:tc>
          <w:tcPr>
            <w:tcW w:w="360" w:type="dxa"/>
            <w:tcBorders>
              <w:bottom w:val="single" w:sz="4" w:space="0" w:color="auto"/>
              <w:right w:val="single" w:sz="18" w:space="0" w:color="auto"/>
            </w:tcBorders>
            <w:shd w:val="clear" w:color="auto" w:fill="auto"/>
            <w:vAlign w:val="center"/>
          </w:tcPr>
          <w:p w:rsidR="001A63C6" w:rsidRPr="003410C7" w:rsidRDefault="001A63C6" w:rsidP="001A63C6">
            <w:pPr>
              <w:pStyle w:val="TableText"/>
              <w:widowControl w:val="0"/>
              <w:rPr>
                <w:rFonts w:ascii="Tahoma" w:hAnsi="Tahoma" w:cs="Tahoma"/>
                <w:sz w:val="13"/>
              </w:rPr>
            </w:pPr>
            <w:r w:rsidRPr="003410C7">
              <w:rPr>
                <w:rFonts w:ascii="Tahoma" w:hAnsi="Tahoma" w:cs="Tahoma"/>
                <w:sz w:val="13"/>
              </w:rPr>
              <w:t>SRV</w:t>
            </w:r>
          </w:p>
        </w:tc>
        <w:tc>
          <w:tcPr>
            <w:tcW w:w="360" w:type="dxa"/>
            <w:tcBorders>
              <w:left w:val="single" w:sz="18" w:space="0" w:color="auto"/>
              <w:bottom w:val="single" w:sz="4" w:space="0" w:color="auto"/>
            </w:tcBorders>
            <w:shd w:val="clear" w:color="auto" w:fill="auto"/>
            <w:vAlign w:val="center"/>
          </w:tcPr>
          <w:p w:rsidR="001A63C6" w:rsidRPr="003410C7"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3410C7"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3410C7"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3410C7"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3410C7"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3410C7" w:rsidRDefault="001A63C6" w:rsidP="001A63C6">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auto"/>
            <w:vAlign w:val="center"/>
          </w:tcPr>
          <w:p w:rsidR="001A63C6" w:rsidRPr="003410C7"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1A63C6" w:rsidRPr="003410C7"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3410C7"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1A63C6" w:rsidRPr="003410C7"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1A63C6" w:rsidRPr="003410C7" w:rsidRDefault="001A63C6" w:rsidP="001A63C6">
            <w:pPr>
              <w:pStyle w:val="TableText"/>
              <w:widowControl w:val="0"/>
              <w:rPr>
                <w:rFonts w:ascii="Tahoma" w:hAnsi="Tahoma" w:cs="Tahoma"/>
                <w:sz w:val="13"/>
              </w:rPr>
            </w:pPr>
            <w:r w:rsidRPr="003410C7">
              <w:rPr>
                <w:rFonts w:ascii="Tahoma" w:hAnsi="Tahoma" w:cs="Tahoma"/>
                <w:sz w:val="13"/>
              </w:rPr>
              <w:t>10</w:t>
            </w:r>
          </w:p>
        </w:tc>
        <w:tc>
          <w:tcPr>
            <w:tcW w:w="450" w:type="dxa"/>
            <w:tcBorders>
              <w:bottom w:val="single" w:sz="4" w:space="0" w:color="auto"/>
              <w:right w:val="single" w:sz="18" w:space="0" w:color="auto"/>
            </w:tcBorders>
            <w:shd w:val="clear" w:color="auto" w:fill="auto"/>
            <w:vAlign w:val="center"/>
          </w:tcPr>
          <w:p w:rsidR="001A63C6" w:rsidRPr="003410C7"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rsidR="001A63C6" w:rsidRPr="003410C7"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tcPr>
          <w:p w:rsidR="001A63C6" w:rsidRPr="003410C7" w:rsidRDefault="001A63C6" w:rsidP="001A63C6">
            <w:pPr>
              <w:pStyle w:val="TableText"/>
              <w:widowControl w:val="0"/>
              <w:rPr>
                <w:rFonts w:ascii="Tahoma" w:hAnsi="Tahoma" w:cs="Tahoma"/>
                <w:sz w:val="13"/>
              </w:rPr>
            </w:pPr>
          </w:p>
        </w:tc>
        <w:tc>
          <w:tcPr>
            <w:tcW w:w="540" w:type="dxa"/>
            <w:tcBorders>
              <w:bottom w:val="single" w:sz="4" w:space="0" w:color="auto"/>
            </w:tcBorders>
            <w:shd w:val="clear" w:color="auto" w:fill="auto"/>
            <w:vAlign w:val="center"/>
          </w:tcPr>
          <w:p w:rsidR="001A63C6" w:rsidRPr="003410C7" w:rsidRDefault="001A63C6" w:rsidP="001A63C6">
            <w:pPr>
              <w:pStyle w:val="TableText"/>
              <w:widowControl w:val="0"/>
              <w:jc w:val="left"/>
              <w:rPr>
                <w:rFonts w:ascii="Tahoma" w:hAnsi="Tahoma" w:cs="Tahoma"/>
                <w:sz w:val="13"/>
              </w:rPr>
            </w:pPr>
          </w:p>
        </w:tc>
      </w:tr>
      <w:tr w:rsidR="00BE2E58" w:rsidRPr="003410C7" w:rsidTr="006B1F3F">
        <w:trPr>
          <w:trHeight w:val="145"/>
        </w:trPr>
        <w:tc>
          <w:tcPr>
            <w:tcW w:w="2734" w:type="dxa"/>
            <w:gridSpan w:val="2"/>
            <w:tcBorders>
              <w:bottom w:val="single" w:sz="4" w:space="0" w:color="auto"/>
            </w:tcBorders>
            <w:shd w:val="clear" w:color="auto" w:fill="FABF8F"/>
            <w:vAlign w:val="center"/>
          </w:tcPr>
          <w:p w:rsidR="001A63C6" w:rsidRPr="003410C7" w:rsidRDefault="001A63C6" w:rsidP="00F57878">
            <w:pPr>
              <w:pStyle w:val="Heading2"/>
              <w:ind w:left="0"/>
              <w:rPr>
                <w:rFonts w:ascii="Tahoma" w:hAnsi="Tahoma" w:cs="Tahoma"/>
                <w:b w:val="0"/>
                <w:sz w:val="14"/>
                <w:szCs w:val="14"/>
              </w:rPr>
            </w:pPr>
            <w:bookmarkStart w:id="320" w:name="_Toc336338010"/>
            <w:bookmarkStart w:id="321" w:name="_Toc352234617"/>
            <w:r w:rsidRPr="003410C7">
              <w:rPr>
                <w:rFonts w:ascii="Tahoma" w:hAnsi="Tahoma" w:cs="Tahoma"/>
                <w:b w:val="0"/>
                <w:sz w:val="14"/>
                <w:szCs w:val="14"/>
              </w:rPr>
              <w:t>Functional CAL per Microsoft Dynamics AX</w:t>
            </w:r>
            <w:r w:rsidR="00F57878">
              <w:rPr>
                <w:rFonts w:ascii="Tahoma" w:hAnsi="Tahoma" w:cs="Tahoma"/>
                <w:b w:val="0"/>
                <w:sz w:val="14"/>
                <w:szCs w:val="14"/>
              </w:rPr>
              <w:t> </w:t>
            </w:r>
            <w:r w:rsidRPr="003410C7">
              <w:rPr>
                <w:rFonts w:ascii="Tahoma" w:hAnsi="Tahoma" w:cs="Tahoma"/>
                <w:b w:val="0"/>
                <w:sz w:val="14"/>
                <w:szCs w:val="14"/>
              </w:rPr>
              <w:t>2012 R2 (Utente e Dispositivo)</w:t>
            </w:r>
            <w:bookmarkEnd w:id="320"/>
            <w:bookmarkEnd w:id="321"/>
          </w:p>
        </w:tc>
        <w:tc>
          <w:tcPr>
            <w:tcW w:w="450" w:type="dxa"/>
            <w:tcBorders>
              <w:bottom w:val="single" w:sz="4" w:space="0" w:color="auto"/>
            </w:tcBorders>
            <w:shd w:val="clear" w:color="auto" w:fill="FABF8F"/>
            <w:vAlign w:val="center"/>
          </w:tcPr>
          <w:p w:rsidR="001A63C6" w:rsidRPr="009F17FF" w:rsidRDefault="00FC1A4D" w:rsidP="004E5F2F">
            <w:pPr>
              <w:pStyle w:val="TableText"/>
              <w:widowControl w:val="0"/>
              <w:rPr>
                <w:rFonts w:cs="Tahoma"/>
                <w:b/>
                <w:color w:val="0000FF"/>
                <w:sz w:val="13"/>
                <w:szCs w:val="13"/>
                <w:u w:val="single"/>
              </w:rPr>
            </w:pPr>
            <w:hyperlink w:anchor="_65_Microsoft_Dynamics" w:history="1">
              <w:r w:rsidR="00854AAB" w:rsidRPr="009F17FF">
                <w:rPr>
                  <w:rStyle w:val="Hyperlink"/>
                  <w:rFonts w:cs="Tahoma"/>
                  <w:b/>
                  <w:sz w:val="13"/>
                  <w:szCs w:val="13"/>
                </w:rPr>
                <w:t>65</w:t>
              </w:r>
            </w:hyperlink>
          </w:p>
        </w:tc>
        <w:tc>
          <w:tcPr>
            <w:tcW w:w="450" w:type="dxa"/>
            <w:tcBorders>
              <w:bottom w:val="single" w:sz="4" w:space="0" w:color="auto"/>
            </w:tcBorders>
            <w:shd w:val="clear" w:color="auto" w:fill="FABF8F"/>
          </w:tcPr>
          <w:p w:rsidR="001A63C6" w:rsidRPr="003410C7" w:rsidRDefault="001A63C6" w:rsidP="001A63C6">
            <w:pPr>
              <w:pStyle w:val="TableText"/>
              <w:widowControl w:val="0"/>
              <w:rPr>
                <w:rFonts w:ascii="Tahoma" w:hAnsi="Tahoma" w:cs="Tahoma"/>
                <w:sz w:val="13"/>
              </w:rPr>
            </w:pPr>
            <w:r w:rsidRPr="003410C7">
              <w:rPr>
                <w:rFonts w:ascii="Tahoma" w:hAnsi="Tahoma" w:cs="Tahoma"/>
                <w:sz w:val="13"/>
              </w:rPr>
              <w:t>12/12</w:t>
            </w:r>
          </w:p>
        </w:tc>
        <w:tc>
          <w:tcPr>
            <w:tcW w:w="360" w:type="dxa"/>
            <w:tcBorders>
              <w:bottom w:val="single" w:sz="4" w:space="0" w:color="auto"/>
              <w:right w:val="single" w:sz="18" w:space="0" w:color="auto"/>
            </w:tcBorders>
            <w:shd w:val="clear" w:color="auto" w:fill="FABF8F"/>
            <w:vAlign w:val="center"/>
          </w:tcPr>
          <w:p w:rsidR="001A63C6" w:rsidRPr="003410C7" w:rsidRDefault="001A63C6" w:rsidP="001A63C6">
            <w:pPr>
              <w:pStyle w:val="TableText"/>
              <w:widowControl w:val="0"/>
              <w:rPr>
                <w:rFonts w:ascii="Tahoma" w:hAnsi="Tahoma" w:cs="Tahoma"/>
                <w:sz w:val="13"/>
              </w:rPr>
            </w:pPr>
            <w:r w:rsidRPr="003410C7">
              <w:rPr>
                <w:rFonts w:ascii="Tahoma" w:hAnsi="Tahoma" w:cs="Tahoma"/>
                <w:sz w:val="13"/>
              </w:rPr>
              <w:t>SRV</w:t>
            </w:r>
          </w:p>
        </w:tc>
        <w:tc>
          <w:tcPr>
            <w:tcW w:w="360" w:type="dxa"/>
            <w:tcBorders>
              <w:left w:val="single" w:sz="18" w:space="0" w:color="auto"/>
              <w:bottom w:val="single" w:sz="4" w:space="0" w:color="auto"/>
            </w:tcBorders>
            <w:shd w:val="clear" w:color="auto" w:fill="FABF8F"/>
            <w:vAlign w:val="center"/>
          </w:tcPr>
          <w:p w:rsidR="001A63C6" w:rsidRPr="003410C7"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3410C7"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3410C7"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3410C7"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3410C7"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3410C7" w:rsidRDefault="001A63C6" w:rsidP="001A63C6">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rsidR="001A63C6" w:rsidRPr="003410C7"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3410C7"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3410C7"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1A63C6" w:rsidRPr="003410C7"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3410C7" w:rsidRDefault="001A63C6" w:rsidP="001A63C6">
            <w:pPr>
              <w:pStyle w:val="TableText"/>
              <w:widowControl w:val="0"/>
              <w:rPr>
                <w:rFonts w:ascii="Tahoma" w:hAnsi="Tahoma" w:cs="Tahoma"/>
                <w:sz w:val="13"/>
              </w:rPr>
            </w:pPr>
            <w:r w:rsidRPr="003410C7">
              <w:rPr>
                <w:rFonts w:ascii="Tahoma" w:hAnsi="Tahoma" w:cs="Tahoma"/>
                <w:sz w:val="13"/>
              </w:rPr>
              <w:t>15</w:t>
            </w:r>
          </w:p>
        </w:tc>
        <w:tc>
          <w:tcPr>
            <w:tcW w:w="450" w:type="dxa"/>
            <w:tcBorders>
              <w:bottom w:val="single" w:sz="4" w:space="0" w:color="auto"/>
              <w:right w:val="single" w:sz="18" w:space="0" w:color="auto"/>
            </w:tcBorders>
            <w:shd w:val="clear" w:color="auto" w:fill="FABF8F"/>
            <w:vAlign w:val="center"/>
          </w:tcPr>
          <w:p w:rsidR="001A63C6" w:rsidRPr="003410C7"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3410C7"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tcPr>
          <w:p w:rsidR="001A63C6" w:rsidRPr="003410C7" w:rsidRDefault="001A63C6" w:rsidP="001A63C6">
            <w:pPr>
              <w:pStyle w:val="TableText"/>
              <w:widowControl w:val="0"/>
              <w:rPr>
                <w:rFonts w:ascii="Tahoma" w:hAnsi="Tahoma" w:cs="Tahoma"/>
                <w:sz w:val="13"/>
              </w:rPr>
            </w:pPr>
          </w:p>
        </w:tc>
        <w:tc>
          <w:tcPr>
            <w:tcW w:w="540" w:type="dxa"/>
            <w:tcBorders>
              <w:bottom w:val="single" w:sz="4" w:space="0" w:color="auto"/>
            </w:tcBorders>
            <w:shd w:val="clear" w:color="auto" w:fill="FABF8F"/>
            <w:vAlign w:val="center"/>
          </w:tcPr>
          <w:p w:rsidR="001A63C6" w:rsidRPr="003410C7" w:rsidRDefault="001A63C6" w:rsidP="001A63C6">
            <w:pPr>
              <w:pStyle w:val="TableText"/>
              <w:widowControl w:val="0"/>
              <w:jc w:val="left"/>
              <w:rPr>
                <w:rFonts w:ascii="Tahoma" w:hAnsi="Tahoma" w:cs="Tahoma"/>
                <w:sz w:val="13"/>
              </w:rPr>
            </w:pPr>
          </w:p>
        </w:tc>
      </w:tr>
      <w:tr w:rsidR="00B33D0E" w:rsidRPr="003410C7" w:rsidTr="006B1F3F">
        <w:trPr>
          <w:trHeight w:val="233"/>
        </w:trPr>
        <w:tc>
          <w:tcPr>
            <w:tcW w:w="2734" w:type="dxa"/>
            <w:gridSpan w:val="2"/>
            <w:tcBorders>
              <w:bottom w:val="single" w:sz="4" w:space="0" w:color="auto"/>
            </w:tcBorders>
            <w:shd w:val="clear" w:color="auto" w:fill="auto"/>
            <w:vAlign w:val="center"/>
          </w:tcPr>
          <w:p w:rsidR="001A63C6" w:rsidRPr="003410C7" w:rsidRDefault="001A63C6" w:rsidP="00F57878">
            <w:pPr>
              <w:pStyle w:val="Heading2"/>
              <w:ind w:left="0"/>
              <w:rPr>
                <w:rFonts w:ascii="Tahoma" w:hAnsi="Tahoma" w:cs="Tahoma"/>
                <w:b w:val="0"/>
                <w:sz w:val="14"/>
                <w:szCs w:val="14"/>
              </w:rPr>
            </w:pPr>
            <w:bookmarkStart w:id="322" w:name="_Toc336338011"/>
            <w:bookmarkStart w:id="323" w:name="_Toc352234618"/>
            <w:r w:rsidRPr="003410C7">
              <w:rPr>
                <w:rFonts w:ascii="Tahoma" w:hAnsi="Tahoma" w:cs="Tahoma"/>
                <w:b w:val="0"/>
                <w:sz w:val="14"/>
                <w:szCs w:val="14"/>
              </w:rPr>
              <w:t>Self Serve CAL per Microsoft Dynamics AX</w:t>
            </w:r>
            <w:r w:rsidR="00F57878">
              <w:rPr>
                <w:rFonts w:ascii="Tahoma" w:hAnsi="Tahoma" w:cs="Tahoma"/>
                <w:b w:val="0"/>
                <w:sz w:val="14"/>
                <w:szCs w:val="14"/>
              </w:rPr>
              <w:t> </w:t>
            </w:r>
            <w:r w:rsidRPr="003410C7">
              <w:rPr>
                <w:rFonts w:ascii="Tahoma" w:hAnsi="Tahoma" w:cs="Tahoma"/>
                <w:b w:val="0"/>
                <w:sz w:val="14"/>
                <w:szCs w:val="14"/>
              </w:rPr>
              <w:t>2012 R2 (Utente e Dispositivo)</w:t>
            </w:r>
            <w:bookmarkEnd w:id="322"/>
            <w:bookmarkEnd w:id="323"/>
          </w:p>
        </w:tc>
        <w:tc>
          <w:tcPr>
            <w:tcW w:w="450" w:type="dxa"/>
            <w:tcBorders>
              <w:bottom w:val="single" w:sz="4" w:space="0" w:color="auto"/>
            </w:tcBorders>
            <w:shd w:val="clear" w:color="auto" w:fill="auto"/>
            <w:vAlign w:val="center"/>
          </w:tcPr>
          <w:p w:rsidR="001A63C6" w:rsidRPr="009F17FF" w:rsidRDefault="00FC1A4D" w:rsidP="004E5F2F">
            <w:pPr>
              <w:pStyle w:val="TableText"/>
              <w:widowControl w:val="0"/>
              <w:rPr>
                <w:rFonts w:cs="Tahoma"/>
                <w:b/>
                <w:color w:val="0000FF"/>
                <w:sz w:val="13"/>
                <w:szCs w:val="13"/>
                <w:u w:val="single"/>
              </w:rPr>
            </w:pPr>
            <w:hyperlink w:anchor="_65_Microsoft_Dynamics" w:history="1">
              <w:r w:rsidR="00854AAB" w:rsidRPr="009F17FF">
                <w:rPr>
                  <w:rStyle w:val="Hyperlink"/>
                  <w:rFonts w:cs="Tahoma"/>
                  <w:b/>
                  <w:sz w:val="13"/>
                  <w:szCs w:val="13"/>
                </w:rPr>
                <w:t>65</w:t>
              </w:r>
            </w:hyperlink>
          </w:p>
        </w:tc>
        <w:tc>
          <w:tcPr>
            <w:tcW w:w="450" w:type="dxa"/>
            <w:tcBorders>
              <w:bottom w:val="single" w:sz="4" w:space="0" w:color="auto"/>
            </w:tcBorders>
            <w:shd w:val="clear" w:color="auto" w:fill="auto"/>
          </w:tcPr>
          <w:p w:rsidR="001A63C6" w:rsidRPr="003410C7" w:rsidRDefault="001A63C6" w:rsidP="001A63C6">
            <w:pPr>
              <w:pStyle w:val="TableText"/>
              <w:widowControl w:val="0"/>
              <w:rPr>
                <w:rFonts w:ascii="Tahoma" w:hAnsi="Tahoma" w:cs="Tahoma"/>
                <w:sz w:val="13"/>
              </w:rPr>
            </w:pPr>
            <w:r w:rsidRPr="003410C7">
              <w:rPr>
                <w:rFonts w:ascii="Tahoma" w:hAnsi="Tahoma" w:cs="Tahoma"/>
                <w:sz w:val="13"/>
              </w:rPr>
              <w:t>12/12</w:t>
            </w:r>
          </w:p>
        </w:tc>
        <w:tc>
          <w:tcPr>
            <w:tcW w:w="360" w:type="dxa"/>
            <w:tcBorders>
              <w:bottom w:val="single" w:sz="4" w:space="0" w:color="auto"/>
              <w:right w:val="single" w:sz="18" w:space="0" w:color="auto"/>
            </w:tcBorders>
            <w:shd w:val="clear" w:color="auto" w:fill="auto"/>
            <w:vAlign w:val="center"/>
          </w:tcPr>
          <w:p w:rsidR="001A63C6" w:rsidRPr="003410C7" w:rsidRDefault="001A63C6" w:rsidP="001A63C6">
            <w:pPr>
              <w:pStyle w:val="TableText"/>
              <w:widowControl w:val="0"/>
              <w:rPr>
                <w:rFonts w:ascii="Tahoma" w:hAnsi="Tahoma" w:cs="Tahoma"/>
                <w:sz w:val="13"/>
              </w:rPr>
            </w:pPr>
            <w:r w:rsidRPr="003410C7">
              <w:rPr>
                <w:rFonts w:ascii="Tahoma" w:hAnsi="Tahoma" w:cs="Tahoma"/>
                <w:sz w:val="13"/>
              </w:rPr>
              <w:t>SRV</w:t>
            </w:r>
          </w:p>
        </w:tc>
        <w:tc>
          <w:tcPr>
            <w:tcW w:w="360" w:type="dxa"/>
            <w:tcBorders>
              <w:left w:val="single" w:sz="18" w:space="0" w:color="auto"/>
              <w:bottom w:val="single" w:sz="4" w:space="0" w:color="auto"/>
            </w:tcBorders>
            <w:shd w:val="clear" w:color="auto" w:fill="auto"/>
            <w:vAlign w:val="center"/>
          </w:tcPr>
          <w:p w:rsidR="001A63C6" w:rsidRPr="003410C7"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3410C7"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3410C7"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3410C7"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3410C7"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3410C7" w:rsidRDefault="001A63C6" w:rsidP="001A63C6">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auto"/>
            <w:vAlign w:val="center"/>
          </w:tcPr>
          <w:p w:rsidR="001A63C6" w:rsidRPr="003410C7"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1A63C6" w:rsidRPr="003410C7"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3410C7"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1A63C6" w:rsidRPr="003410C7"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1A63C6" w:rsidRPr="003410C7" w:rsidRDefault="001A63C6" w:rsidP="001A63C6">
            <w:pPr>
              <w:pStyle w:val="TableText"/>
              <w:widowControl w:val="0"/>
              <w:rPr>
                <w:rFonts w:ascii="Tahoma" w:hAnsi="Tahoma" w:cs="Tahoma"/>
                <w:sz w:val="13"/>
              </w:rPr>
            </w:pPr>
            <w:r w:rsidRPr="003410C7">
              <w:rPr>
                <w:rFonts w:ascii="Tahoma" w:hAnsi="Tahoma" w:cs="Tahoma"/>
                <w:sz w:val="13"/>
              </w:rPr>
              <w:t>1</w:t>
            </w:r>
          </w:p>
        </w:tc>
        <w:tc>
          <w:tcPr>
            <w:tcW w:w="450" w:type="dxa"/>
            <w:tcBorders>
              <w:bottom w:val="single" w:sz="4" w:space="0" w:color="auto"/>
              <w:right w:val="single" w:sz="18" w:space="0" w:color="auto"/>
            </w:tcBorders>
            <w:shd w:val="clear" w:color="auto" w:fill="auto"/>
            <w:vAlign w:val="center"/>
          </w:tcPr>
          <w:p w:rsidR="001A63C6" w:rsidRPr="003410C7"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rsidR="001A63C6" w:rsidRPr="003410C7"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tcPr>
          <w:p w:rsidR="001A63C6" w:rsidRPr="003410C7" w:rsidRDefault="001A63C6" w:rsidP="001A63C6">
            <w:pPr>
              <w:pStyle w:val="TableText"/>
              <w:widowControl w:val="0"/>
              <w:rPr>
                <w:rFonts w:ascii="Tahoma" w:hAnsi="Tahoma" w:cs="Tahoma"/>
                <w:sz w:val="13"/>
              </w:rPr>
            </w:pPr>
          </w:p>
        </w:tc>
        <w:tc>
          <w:tcPr>
            <w:tcW w:w="540" w:type="dxa"/>
            <w:tcBorders>
              <w:bottom w:val="single" w:sz="4" w:space="0" w:color="auto"/>
            </w:tcBorders>
            <w:shd w:val="clear" w:color="auto" w:fill="auto"/>
            <w:vAlign w:val="center"/>
          </w:tcPr>
          <w:p w:rsidR="001A63C6" w:rsidRPr="003410C7" w:rsidRDefault="001A63C6" w:rsidP="001A63C6">
            <w:pPr>
              <w:pStyle w:val="TableText"/>
              <w:widowControl w:val="0"/>
              <w:jc w:val="left"/>
              <w:rPr>
                <w:rFonts w:ascii="Tahoma" w:hAnsi="Tahoma" w:cs="Tahoma"/>
                <w:sz w:val="13"/>
              </w:rPr>
            </w:pPr>
          </w:p>
        </w:tc>
      </w:tr>
      <w:tr w:rsidR="00BE2E58" w:rsidRPr="003410C7" w:rsidTr="006B1F3F">
        <w:trPr>
          <w:trHeight w:val="242"/>
        </w:trPr>
        <w:tc>
          <w:tcPr>
            <w:tcW w:w="2734" w:type="dxa"/>
            <w:gridSpan w:val="2"/>
            <w:tcBorders>
              <w:bottom w:val="single" w:sz="4" w:space="0" w:color="auto"/>
            </w:tcBorders>
            <w:shd w:val="clear" w:color="auto" w:fill="FABF8F"/>
            <w:vAlign w:val="center"/>
          </w:tcPr>
          <w:p w:rsidR="001A63C6" w:rsidRPr="00451078" w:rsidRDefault="001A63C6" w:rsidP="001A63C6">
            <w:pPr>
              <w:pStyle w:val="Heading2"/>
              <w:ind w:left="0"/>
              <w:rPr>
                <w:rFonts w:ascii="Tahoma" w:hAnsi="Tahoma" w:cs="Tahoma"/>
                <w:b w:val="0"/>
                <w:sz w:val="14"/>
                <w:szCs w:val="14"/>
                <w:lang w:val="pt-BR"/>
              </w:rPr>
            </w:pPr>
            <w:bookmarkStart w:id="324" w:name="_Toc336338012"/>
            <w:bookmarkStart w:id="325" w:name="_Toc352234619"/>
            <w:r w:rsidRPr="00451078">
              <w:rPr>
                <w:rFonts w:ascii="Tahoma" w:hAnsi="Tahoma" w:cs="Tahoma"/>
                <w:b w:val="0"/>
                <w:sz w:val="14"/>
                <w:szCs w:val="14"/>
                <w:lang w:val="pt-BR"/>
              </w:rPr>
              <w:t>Microsoft Dynamics AX 2012 R2 Server</w:t>
            </w:r>
            <w:bookmarkEnd w:id="324"/>
            <w:bookmarkEnd w:id="325"/>
          </w:p>
        </w:tc>
        <w:tc>
          <w:tcPr>
            <w:tcW w:w="450" w:type="dxa"/>
            <w:tcBorders>
              <w:bottom w:val="single" w:sz="4" w:space="0" w:color="auto"/>
            </w:tcBorders>
            <w:shd w:val="clear" w:color="auto" w:fill="FABF8F"/>
            <w:vAlign w:val="center"/>
          </w:tcPr>
          <w:p w:rsidR="001A63C6" w:rsidRPr="009F17FF" w:rsidRDefault="00FC1A4D" w:rsidP="004E5F2F">
            <w:pPr>
              <w:pStyle w:val="TableText"/>
              <w:widowControl w:val="0"/>
              <w:rPr>
                <w:rFonts w:cs="Tahoma"/>
                <w:b/>
                <w:color w:val="0000FF"/>
                <w:sz w:val="13"/>
                <w:szCs w:val="13"/>
                <w:u w:val="single"/>
              </w:rPr>
            </w:pPr>
            <w:hyperlink w:anchor="_65_Microsoft_Dynamics" w:history="1">
              <w:r w:rsidR="00854AAB" w:rsidRPr="009F17FF">
                <w:rPr>
                  <w:rStyle w:val="Hyperlink"/>
                  <w:rFonts w:cs="Tahoma"/>
                  <w:b/>
                  <w:sz w:val="13"/>
                  <w:szCs w:val="13"/>
                </w:rPr>
                <w:t>65</w:t>
              </w:r>
            </w:hyperlink>
          </w:p>
        </w:tc>
        <w:tc>
          <w:tcPr>
            <w:tcW w:w="450" w:type="dxa"/>
            <w:tcBorders>
              <w:bottom w:val="single" w:sz="4" w:space="0" w:color="auto"/>
            </w:tcBorders>
            <w:shd w:val="clear" w:color="auto" w:fill="FABF8F"/>
          </w:tcPr>
          <w:p w:rsidR="001A63C6" w:rsidRPr="003410C7" w:rsidRDefault="001A63C6" w:rsidP="001A63C6">
            <w:pPr>
              <w:pStyle w:val="TableText"/>
              <w:widowControl w:val="0"/>
              <w:rPr>
                <w:rFonts w:ascii="Tahoma" w:hAnsi="Tahoma" w:cs="Tahoma"/>
                <w:sz w:val="13"/>
              </w:rPr>
            </w:pPr>
            <w:r w:rsidRPr="003410C7">
              <w:rPr>
                <w:rFonts w:ascii="Tahoma" w:hAnsi="Tahoma" w:cs="Tahoma"/>
                <w:sz w:val="13"/>
              </w:rPr>
              <w:t>12/12</w:t>
            </w:r>
          </w:p>
        </w:tc>
        <w:tc>
          <w:tcPr>
            <w:tcW w:w="360" w:type="dxa"/>
            <w:tcBorders>
              <w:bottom w:val="single" w:sz="4" w:space="0" w:color="auto"/>
              <w:right w:val="single" w:sz="18" w:space="0" w:color="auto"/>
            </w:tcBorders>
            <w:shd w:val="clear" w:color="auto" w:fill="FABF8F"/>
            <w:vAlign w:val="center"/>
          </w:tcPr>
          <w:p w:rsidR="001A63C6" w:rsidRPr="003410C7" w:rsidRDefault="001A63C6" w:rsidP="001A63C6">
            <w:pPr>
              <w:pStyle w:val="TableText"/>
              <w:widowControl w:val="0"/>
              <w:rPr>
                <w:rFonts w:ascii="Tahoma" w:hAnsi="Tahoma" w:cs="Tahoma"/>
                <w:sz w:val="13"/>
              </w:rPr>
            </w:pPr>
            <w:r w:rsidRPr="003410C7">
              <w:rPr>
                <w:rFonts w:ascii="Tahoma" w:hAnsi="Tahoma" w:cs="Tahoma"/>
                <w:sz w:val="13"/>
              </w:rPr>
              <w:t>SRV</w:t>
            </w:r>
          </w:p>
        </w:tc>
        <w:tc>
          <w:tcPr>
            <w:tcW w:w="360" w:type="dxa"/>
            <w:tcBorders>
              <w:left w:val="single" w:sz="18" w:space="0" w:color="auto"/>
              <w:bottom w:val="single" w:sz="4" w:space="0" w:color="auto"/>
            </w:tcBorders>
            <w:shd w:val="clear" w:color="auto" w:fill="FABF8F"/>
            <w:vAlign w:val="center"/>
          </w:tcPr>
          <w:p w:rsidR="001A63C6" w:rsidRPr="003410C7"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3410C7"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3410C7"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3410C7"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3410C7"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3410C7" w:rsidRDefault="001A63C6" w:rsidP="001A63C6">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rsidR="001A63C6" w:rsidRPr="003410C7"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3410C7"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3410C7"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1A63C6" w:rsidRPr="003410C7"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3410C7" w:rsidRDefault="001A63C6" w:rsidP="001A63C6">
            <w:pPr>
              <w:pStyle w:val="TableText"/>
              <w:widowControl w:val="0"/>
              <w:rPr>
                <w:rFonts w:ascii="Tahoma" w:hAnsi="Tahoma" w:cs="Tahoma"/>
                <w:sz w:val="13"/>
              </w:rPr>
            </w:pPr>
            <w:r w:rsidRPr="003410C7">
              <w:rPr>
                <w:rFonts w:ascii="Tahoma" w:hAnsi="Tahoma" w:cs="Tahoma"/>
                <w:sz w:val="13"/>
              </w:rPr>
              <w:t>50</w:t>
            </w:r>
          </w:p>
        </w:tc>
        <w:tc>
          <w:tcPr>
            <w:tcW w:w="450" w:type="dxa"/>
            <w:tcBorders>
              <w:bottom w:val="single" w:sz="4" w:space="0" w:color="auto"/>
              <w:right w:val="single" w:sz="18" w:space="0" w:color="auto"/>
            </w:tcBorders>
            <w:shd w:val="clear" w:color="auto" w:fill="FABF8F"/>
            <w:vAlign w:val="center"/>
          </w:tcPr>
          <w:p w:rsidR="001A63C6" w:rsidRPr="003410C7"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3410C7"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tcPr>
          <w:p w:rsidR="001A63C6" w:rsidRPr="003410C7" w:rsidRDefault="001A63C6" w:rsidP="001A63C6">
            <w:pPr>
              <w:pStyle w:val="TableText"/>
              <w:widowControl w:val="0"/>
              <w:rPr>
                <w:rFonts w:ascii="Tahoma" w:hAnsi="Tahoma" w:cs="Tahoma"/>
                <w:sz w:val="13"/>
              </w:rPr>
            </w:pPr>
          </w:p>
        </w:tc>
        <w:tc>
          <w:tcPr>
            <w:tcW w:w="540" w:type="dxa"/>
            <w:tcBorders>
              <w:bottom w:val="single" w:sz="4" w:space="0" w:color="auto"/>
            </w:tcBorders>
            <w:shd w:val="clear" w:color="auto" w:fill="FABF8F"/>
            <w:vAlign w:val="center"/>
          </w:tcPr>
          <w:p w:rsidR="001A63C6" w:rsidRPr="003410C7" w:rsidRDefault="001A63C6" w:rsidP="001A63C6">
            <w:pPr>
              <w:pStyle w:val="TableText"/>
              <w:widowControl w:val="0"/>
              <w:jc w:val="left"/>
              <w:rPr>
                <w:rFonts w:ascii="Tahoma" w:hAnsi="Tahoma" w:cs="Tahoma"/>
                <w:sz w:val="13"/>
              </w:rPr>
            </w:pPr>
          </w:p>
        </w:tc>
      </w:tr>
      <w:tr w:rsidR="00B33D0E" w:rsidRPr="003410C7" w:rsidTr="006B1F3F">
        <w:trPr>
          <w:trHeight w:val="278"/>
        </w:trPr>
        <w:tc>
          <w:tcPr>
            <w:tcW w:w="2734" w:type="dxa"/>
            <w:gridSpan w:val="2"/>
            <w:tcBorders>
              <w:bottom w:val="single" w:sz="4" w:space="0" w:color="auto"/>
            </w:tcBorders>
            <w:shd w:val="clear" w:color="auto" w:fill="auto"/>
            <w:vAlign w:val="center"/>
          </w:tcPr>
          <w:p w:rsidR="001A63C6" w:rsidRPr="00451078" w:rsidRDefault="001A63C6" w:rsidP="001A63C6">
            <w:pPr>
              <w:pStyle w:val="Heading2"/>
              <w:ind w:left="0"/>
              <w:rPr>
                <w:rFonts w:ascii="Tahoma" w:hAnsi="Tahoma" w:cs="Tahoma"/>
                <w:b w:val="0"/>
                <w:sz w:val="14"/>
                <w:szCs w:val="14"/>
                <w:lang w:val="it-IT"/>
              </w:rPr>
            </w:pPr>
            <w:bookmarkStart w:id="326" w:name="_Toc336338013"/>
            <w:bookmarkStart w:id="327" w:name="_Toc352234620"/>
            <w:r w:rsidRPr="00451078">
              <w:rPr>
                <w:rFonts w:ascii="Tahoma" w:hAnsi="Tahoma" w:cs="Tahoma"/>
                <w:b w:val="0"/>
                <w:sz w:val="14"/>
                <w:szCs w:val="14"/>
                <w:lang w:val="it-IT"/>
              </w:rPr>
              <w:t>Task Additive CAL per Microsoft Dynamics AX 2012 R2 (Utente e Dispositivo)</w:t>
            </w:r>
            <w:bookmarkEnd w:id="326"/>
            <w:bookmarkEnd w:id="327"/>
          </w:p>
        </w:tc>
        <w:tc>
          <w:tcPr>
            <w:tcW w:w="450" w:type="dxa"/>
            <w:tcBorders>
              <w:bottom w:val="single" w:sz="4" w:space="0" w:color="auto"/>
            </w:tcBorders>
            <w:shd w:val="clear" w:color="auto" w:fill="auto"/>
            <w:vAlign w:val="center"/>
          </w:tcPr>
          <w:p w:rsidR="001A63C6" w:rsidRPr="009F17FF" w:rsidRDefault="00FC1A4D" w:rsidP="004E5F2F">
            <w:pPr>
              <w:pStyle w:val="TableText"/>
              <w:widowControl w:val="0"/>
              <w:rPr>
                <w:rFonts w:cs="Tahoma"/>
                <w:b/>
                <w:color w:val="0000FF"/>
                <w:sz w:val="13"/>
                <w:szCs w:val="13"/>
                <w:u w:val="single"/>
              </w:rPr>
            </w:pPr>
            <w:hyperlink w:anchor="_65_Microsoft_Dynamics" w:history="1">
              <w:r w:rsidR="00854AAB" w:rsidRPr="009F17FF">
                <w:rPr>
                  <w:rStyle w:val="Hyperlink"/>
                  <w:rFonts w:cs="Tahoma"/>
                  <w:b/>
                  <w:sz w:val="13"/>
                  <w:szCs w:val="13"/>
                </w:rPr>
                <w:t>65</w:t>
              </w:r>
            </w:hyperlink>
          </w:p>
        </w:tc>
        <w:tc>
          <w:tcPr>
            <w:tcW w:w="450" w:type="dxa"/>
            <w:tcBorders>
              <w:bottom w:val="single" w:sz="4" w:space="0" w:color="auto"/>
            </w:tcBorders>
            <w:shd w:val="clear" w:color="auto" w:fill="auto"/>
          </w:tcPr>
          <w:p w:rsidR="001A63C6" w:rsidRPr="003410C7" w:rsidRDefault="001A63C6" w:rsidP="001A63C6">
            <w:pPr>
              <w:pStyle w:val="TableText"/>
              <w:widowControl w:val="0"/>
              <w:rPr>
                <w:rFonts w:ascii="Tahoma" w:hAnsi="Tahoma" w:cs="Tahoma"/>
                <w:sz w:val="13"/>
              </w:rPr>
            </w:pPr>
            <w:r w:rsidRPr="003410C7">
              <w:rPr>
                <w:rFonts w:ascii="Tahoma" w:hAnsi="Tahoma" w:cs="Tahoma"/>
                <w:sz w:val="13"/>
              </w:rPr>
              <w:t>12/12</w:t>
            </w:r>
          </w:p>
        </w:tc>
        <w:tc>
          <w:tcPr>
            <w:tcW w:w="360" w:type="dxa"/>
            <w:tcBorders>
              <w:bottom w:val="single" w:sz="4" w:space="0" w:color="auto"/>
              <w:right w:val="single" w:sz="18" w:space="0" w:color="auto"/>
            </w:tcBorders>
            <w:shd w:val="clear" w:color="auto" w:fill="auto"/>
            <w:vAlign w:val="center"/>
          </w:tcPr>
          <w:p w:rsidR="001A63C6" w:rsidRPr="003410C7" w:rsidRDefault="001A63C6" w:rsidP="001A63C6">
            <w:pPr>
              <w:pStyle w:val="TableText"/>
              <w:widowControl w:val="0"/>
              <w:rPr>
                <w:rFonts w:ascii="Tahoma" w:hAnsi="Tahoma" w:cs="Tahoma"/>
                <w:sz w:val="13"/>
              </w:rPr>
            </w:pPr>
            <w:r w:rsidRPr="003410C7">
              <w:rPr>
                <w:rFonts w:ascii="Tahoma" w:hAnsi="Tahoma" w:cs="Tahoma"/>
                <w:sz w:val="13"/>
              </w:rPr>
              <w:t>SRV</w:t>
            </w:r>
          </w:p>
        </w:tc>
        <w:tc>
          <w:tcPr>
            <w:tcW w:w="360" w:type="dxa"/>
            <w:tcBorders>
              <w:left w:val="single" w:sz="18" w:space="0" w:color="auto"/>
              <w:bottom w:val="single" w:sz="4" w:space="0" w:color="auto"/>
            </w:tcBorders>
            <w:shd w:val="clear" w:color="auto" w:fill="auto"/>
            <w:vAlign w:val="center"/>
          </w:tcPr>
          <w:p w:rsidR="001A63C6" w:rsidRPr="003410C7"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3410C7"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3410C7"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3410C7"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3410C7"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3410C7" w:rsidRDefault="001A63C6" w:rsidP="001A63C6">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auto"/>
            <w:vAlign w:val="center"/>
          </w:tcPr>
          <w:p w:rsidR="001A63C6" w:rsidRPr="003410C7"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1A63C6" w:rsidRPr="003410C7"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3410C7"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1A63C6" w:rsidRPr="003410C7"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1A63C6" w:rsidRPr="003410C7" w:rsidRDefault="001A63C6" w:rsidP="001A63C6">
            <w:pPr>
              <w:pStyle w:val="TableText"/>
              <w:widowControl w:val="0"/>
              <w:rPr>
                <w:rFonts w:ascii="Tahoma" w:hAnsi="Tahoma" w:cs="Tahoma"/>
                <w:sz w:val="13"/>
              </w:rPr>
            </w:pPr>
            <w:r w:rsidRPr="003410C7">
              <w:rPr>
                <w:rFonts w:ascii="Tahoma" w:hAnsi="Tahoma" w:cs="Tahoma"/>
                <w:sz w:val="13"/>
              </w:rPr>
              <w:t>1</w:t>
            </w:r>
          </w:p>
        </w:tc>
        <w:tc>
          <w:tcPr>
            <w:tcW w:w="450" w:type="dxa"/>
            <w:tcBorders>
              <w:bottom w:val="single" w:sz="4" w:space="0" w:color="auto"/>
              <w:right w:val="single" w:sz="18" w:space="0" w:color="auto"/>
            </w:tcBorders>
            <w:shd w:val="clear" w:color="auto" w:fill="auto"/>
            <w:vAlign w:val="center"/>
          </w:tcPr>
          <w:p w:rsidR="001A63C6" w:rsidRPr="003410C7"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rsidR="001A63C6" w:rsidRPr="003410C7"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tcPr>
          <w:p w:rsidR="001A63C6" w:rsidRPr="003410C7" w:rsidRDefault="001A63C6" w:rsidP="001A63C6">
            <w:pPr>
              <w:pStyle w:val="TableText"/>
              <w:widowControl w:val="0"/>
              <w:rPr>
                <w:rFonts w:ascii="Tahoma" w:hAnsi="Tahoma" w:cs="Tahoma"/>
                <w:sz w:val="13"/>
              </w:rPr>
            </w:pPr>
          </w:p>
        </w:tc>
        <w:tc>
          <w:tcPr>
            <w:tcW w:w="540" w:type="dxa"/>
            <w:tcBorders>
              <w:bottom w:val="single" w:sz="4" w:space="0" w:color="auto"/>
            </w:tcBorders>
            <w:shd w:val="clear" w:color="auto" w:fill="auto"/>
            <w:vAlign w:val="center"/>
          </w:tcPr>
          <w:p w:rsidR="001A63C6" w:rsidRPr="003410C7" w:rsidRDefault="001A63C6" w:rsidP="001A63C6">
            <w:pPr>
              <w:pStyle w:val="TableText"/>
              <w:widowControl w:val="0"/>
              <w:jc w:val="left"/>
              <w:rPr>
                <w:rFonts w:ascii="Tahoma" w:hAnsi="Tahoma" w:cs="Tahoma"/>
                <w:sz w:val="13"/>
              </w:rPr>
            </w:pPr>
          </w:p>
        </w:tc>
      </w:tr>
      <w:tr w:rsidR="00BE2E58" w:rsidRPr="003410C7" w:rsidTr="006B1F3F">
        <w:trPr>
          <w:trHeight w:val="145"/>
        </w:trPr>
        <w:tc>
          <w:tcPr>
            <w:tcW w:w="2734" w:type="dxa"/>
            <w:gridSpan w:val="2"/>
            <w:tcBorders>
              <w:bottom w:val="single" w:sz="4" w:space="0" w:color="auto"/>
            </w:tcBorders>
            <w:shd w:val="clear" w:color="auto" w:fill="FABF8F"/>
            <w:vAlign w:val="center"/>
          </w:tcPr>
          <w:p w:rsidR="001A63C6" w:rsidRPr="003410C7" w:rsidRDefault="001A63C6" w:rsidP="00FE2D13">
            <w:pPr>
              <w:pStyle w:val="Heading2"/>
              <w:ind w:left="0"/>
              <w:rPr>
                <w:rFonts w:ascii="Tahoma" w:hAnsi="Tahoma" w:cs="Tahoma"/>
                <w:b w:val="0"/>
                <w:sz w:val="14"/>
                <w:szCs w:val="14"/>
              </w:rPr>
            </w:pPr>
            <w:bookmarkStart w:id="328" w:name="_Toc336338014"/>
            <w:bookmarkStart w:id="329" w:name="_Toc352234621"/>
            <w:r w:rsidRPr="003410C7">
              <w:rPr>
                <w:rFonts w:ascii="Tahoma" w:hAnsi="Tahoma" w:cs="Tahoma"/>
                <w:b w:val="0"/>
                <w:sz w:val="14"/>
                <w:szCs w:val="14"/>
              </w:rPr>
              <w:t>Task CAL per Microsoft Dynamics AX</w:t>
            </w:r>
            <w:r w:rsidR="00FE2D13">
              <w:rPr>
                <w:rFonts w:ascii="Tahoma" w:hAnsi="Tahoma" w:cs="Tahoma"/>
                <w:b w:val="0"/>
                <w:sz w:val="14"/>
                <w:szCs w:val="14"/>
              </w:rPr>
              <w:t> </w:t>
            </w:r>
            <w:r w:rsidRPr="003410C7">
              <w:rPr>
                <w:rFonts w:ascii="Tahoma" w:hAnsi="Tahoma" w:cs="Tahoma"/>
                <w:b w:val="0"/>
                <w:sz w:val="14"/>
                <w:szCs w:val="14"/>
              </w:rPr>
              <w:t>2012</w:t>
            </w:r>
            <w:r w:rsidR="00FE2D13">
              <w:rPr>
                <w:rFonts w:ascii="Tahoma" w:hAnsi="Tahoma" w:cs="Tahoma"/>
                <w:b w:val="0"/>
                <w:sz w:val="14"/>
                <w:szCs w:val="14"/>
              </w:rPr>
              <w:t> </w:t>
            </w:r>
            <w:r w:rsidRPr="003410C7">
              <w:rPr>
                <w:rFonts w:ascii="Tahoma" w:hAnsi="Tahoma" w:cs="Tahoma"/>
                <w:b w:val="0"/>
                <w:sz w:val="14"/>
                <w:szCs w:val="14"/>
              </w:rPr>
              <w:t>R2 (Utente e Dispositivo)</w:t>
            </w:r>
            <w:bookmarkEnd w:id="328"/>
            <w:bookmarkEnd w:id="329"/>
          </w:p>
        </w:tc>
        <w:tc>
          <w:tcPr>
            <w:tcW w:w="450" w:type="dxa"/>
            <w:tcBorders>
              <w:bottom w:val="single" w:sz="4" w:space="0" w:color="auto"/>
            </w:tcBorders>
            <w:shd w:val="clear" w:color="auto" w:fill="FABF8F"/>
            <w:vAlign w:val="center"/>
          </w:tcPr>
          <w:p w:rsidR="001A63C6" w:rsidRPr="009F17FF" w:rsidRDefault="00FC1A4D" w:rsidP="004E5F2F">
            <w:pPr>
              <w:pStyle w:val="TableText"/>
              <w:widowControl w:val="0"/>
              <w:rPr>
                <w:rFonts w:cs="Tahoma"/>
                <w:b/>
                <w:color w:val="0000FF"/>
                <w:sz w:val="13"/>
                <w:szCs w:val="13"/>
                <w:u w:val="single"/>
              </w:rPr>
            </w:pPr>
            <w:hyperlink w:anchor="_65_Microsoft_Dynamics" w:history="1">
              <w:r w:rsidR="00854AAB" w:rsidRPr="009F17FF">
                <w:rPr>
                  <w:rStyle w:val="Hyperlink"/>
                  <w:rFonts w:cs="Tahoma"/>
                  <w:b/>
                  <w:sz w:val="13"/>
                  <w:szCs w:val="13"/>
                </w:rPr>
                <w:t>65</w:t>
              </w:r>
            </w:hyperlink>
          </w:p>
        </w:tc>
        <w:tc>
          <w:tcPr>
            <w:tcW w:w="450" w:type="dxa"/>
            <w:tcBorders>
              <w:bottom w:val="single" w:sz="4" w:space="0" w:color="auto"/>
            </w:tcBorders>
            <w:shd w:val="clear" w:color="auto" w:fill="FABF8F"/>
          </w:tcPr>
          <w:p w:rsidR="001A63C6" w:rsidRPr="003410C7" w:rsidRDefault="001A63C6" w:rsidP="001A63C6">
            <w:pPr>
              <w:pStyle w:val="TableText"/>
              <w:widowControl w:val="0"/>
              <w:rPr>
                <w:rFonts w:ascii="Tahoma" w:hAnsi="Tahoma" w:cs="Tahoma"/>
                <w:sz w:val="13"/>
              </w:rPr>
            </w:pPr>
            <w:r w:rsidRPr="003410C7">
              <w:rPr>
                <w:rFonts w:ascii="Tahoma" w:hAnsi="Tahoma" w:cs="Tahoma"/>
                <w:sz w:val="13"/>
              </w:rPr>
              <w:t>12/12</w:t>
            </w:r>
          </w:p>
        </w:tc>
        <w:tc>
          <w:tcPr>
            <w:tcW w:w="360" w:type="dxa"/>
            <w:tcBorders>
              <w:bottom w:val="single" w:sz="4" w:space="0" w:color="auto"/>
              <w:right w:val="single" w:sz="18" w:space="0" w:color="auto"/>
            </w:tcBorders>
            <w:shd w:val="clear" w:color="auto" w:fill="FABF8F"/>
            <w:vAlign w:val="center"/>
          </w:tcPr>
          <w:p w:rsidR="001A63C6" w:rsidRPr="003410C7" w:rsidRDefault="001A63C6" w:rsidP="001A63C6">
            <w:pPr>
              <w:pStyle w:val="TableText"/>
              <w:widowControl w:val="0"/>
              <w:rPr>
                <w:rFonts w:ascii="Tahoma" w:hAnsi="Tahoma" w:cs="Tahoma"/>
                <w:sz w:val="13"/>
              </w:rPr>
            </w:pPr>
            <w:r w:rsidRPr="003410C7">
              <w:rPr>
                <w:rFonts w:ascii="Tahoma" w:hAnsi="Tahoma" w:cs="Tahoma"/>
                <w:sz w:val="13"/>
              </w:rPr>
              <w:t>SRV</w:t>
            </w:r>
          </w:p>
        </w:tc>
        <w:tc>
          <w:tcPr>
            <w:tcW w:w="360" w:type="dxa"/>
            <w:tcBorders>
              <w:left w:val="single" w:sz="18" w:space="0" w:color="auto"/>
              <w:bottom w:val="single" w:sz="4" w:space="0" w:color="auto"/>
            </w:tcBorders>
            <w:shd w:val="clear" w:color="auto" w:fill="FABF8F"/>
            <w:vAlign w:val="center"/>
          </w:tcPr>
          <w:p w:rsidR="001A63C6" w:rsidRPr="003410C7"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3410C7"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3410C7"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3410C7"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3410C7"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3410C7" w:rsidRDefault="001A63C6" w:rsidP="001A63C6">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rsidR="001A63C6" w:rsidRPr="003410C7"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3410C7"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3410C7"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1A63C6" w:rsidRPr="003410C7"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3410C7" w:rsidRDefault="001A63C6" w:rsidP="001A63C6">
            <w:pPr>
              <w:pStyle w:val="TableText"/>
              <w:widowControl w:val="0"/>
              <w:rPr>
                <w:rFonts w:ascii="Tahoma" w:hAnsi="Tahoma" w:cs="Tahoma"/>
                <w:sz w:val="13"/>
              </w:rPr>
            </w:pPr>
            <w:r w:rsidRPr="003410C7">
              <w:rPr>
                <w:rFonts w:ascii="Tahoma" w:hAnsi="Tahoma" w:cs="Tahoma"/>
                <w:sz w:val="13"/>
              </w:rPr>
              <w:t>1</w:t>
            </w:r>
          </w:p>
        </w:tc>
        <w:tc>
          <w:tcPr>
            <w:tcW w:w="450" w:type="dxa"/>
            <w:tcBorders>
              <w:bottom w:val="single" w:sz="4" w:space="0" w:color="auto"/>
              <w:right w:val="single" w:sz="18" w:space="0" w:color="auto"/>
            </w:tcBorders>
            <w:shd w:val="clear" w:color="auto" w:fill="FABF8F"/>
            <w:vAlign w:val="center"/>
          </w:tcPr>
          <w:p w:rsidR="001A63C6" w:rsidRPr="003410C7"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3410C7"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tcPr>
          <w:p w:rsidR="001A63C6" w:rsidRPr="003410C7" w:rsidRDefault="001A63C6" w:rsidP="001A63C6">
            <w:pPr>
              <w:pStyle w:val="TableText"/>
              <w:widowControl w:val="0"/>
              <w:rPr>
                <w:rFonts w:ascii="Tahoma" w:hAnsi="Tahoma" w:cs="Tahoma"/>
                <w:sz w:val="13"/>
              </w:rPr>
            </w:pPr>
          </w:p>
        </w:tc>
        <w:tc>
          <w:tcPr>
            <w:tcW w:w="540" w:type="dxa"/>
            <w:tcBorders>
              <w:bottom w:val="single" w:sz="4" w:space="0" w:color="auto"/>
            </w:tcBorders>
            <w:shd w:val="clear" w:color="auto" w:fill="FABF8F"/>
            <w:vAlign w:val="center"/>
          </w:tcPr>
          <w:p w:rsidR="001A63C6" w:rsidRPr="003410C7" w:rsidRDefault="001A63C6" w:rsidP="001A63C6">
            <w:pPr>
              <w:pStyle w:val="TableText"/>
              <w:widowControl w:val="0"/>
              <w:jc w:val="left"/>
              <w:rPr>
                <w:rFonts w:ascii="Tahoma" w:hAnsi="Tahoma" w:cs="Tahoma"/>
                <w:sz w:val="13"/>
              </w:rPr>
            </w:pPr>
          </w:p>
        </w:tc>
      </w:tr>
      <w:tr w:rsidR="00B33D0E" w:rsidRPr="003410C7" w:rsidTr="006B1F3F">
        <w:trPr>
          <w:trHeight w:val="145"/>
        </w:trPr>
        <w:tc>
          <w:tcPr>
            <w:tcW w:w="2734" w:type="dxa"/>
            <w:gridSpan w:val="2"/>
            <w:tcBorders>
              <w:bottom w:val="single" w:sz="4" w:space="0" w:color="auto"/>
            </w:tcBorders>
            <w:shd w:val="clear" w:color="auto" w:fill="auto"/>
            <w:vAlign w:val="center"/>
          </w:tcPr>
          <w:p w:rsidR="001A63C6" w:rsidRPr="00451078" w:rsidRDefault="001A63C6" w:rsidP="001A63C6">
            <w:pPr>
              <w:pStyle w:val="Heading2"/>
              <w:ind w:left="0"/>
              <w:rPr>
                <w:rFonts w:ascii="Tahoma" w:hAnsi="Tahoma" w:cs="Tahoma"/>
                <w:b w:val="0"/>
                <w:sz w:val="14"/>
                <w:szCs w:val="14"/>
                <w:lang w:val="it-IT"/>
              </w:rPr>
            </w:pPr>
            <w:bookmarkStart w:id="330" w:name="_Toc336338015"/>
            <w:bookmarkStart w:id="331" w:name="_Toc352234622"/>
            <w:r w:rsidRPr="00451078">
              <w:rPr>
                <w:rFonts w:ascii="Tahoma" w:hAnsi="Tahoma" w:cs="Tahoma"/>
                <w:b w:val="0"/>
                <w:sz w:val="14"/>
                <w:szCs w:val="14"/>
                <w:lang w:val="it-IT"/>
              </w:rPr>
              <w:t>CAL per Microsoft Dynamics CRM 2011 (Utente e Dispositivo)</w:t>
            </w:r>
            <w:bookmarkEnd w:id="330"/>
            <w:bookmarkEnd w:id="331"/>
          </w:p>
        </w:tc>
        <w:tc>
          <w:tcPr>
            <w:tcW w:w="450" w:type="dxa"/>
            <w:tcBorders>
              <w:bottom w:val="single" w:sz="4" w:space="0" w:color="auto"/>
            </w:tcBorders>
            <w:shd w:val="clear" w:color="auto" w:fill="auto"/>
            <w:vAlign w:val="center"/>
          </w:tcPr>
          <w:p w:rsidR="001A63C6" w:rsidRPr="009F17FF" w:rsidRDefault="00FC1A4D" w:rsidP="00097C8C">
            <w:pPr>
              <w:pStyle w:val="TableText"/>
              <w:widowControl w:val="0"/>
              <w:rPr>
                <w:b/>
                <w:color w:val="0000FF"/>
                <w:sz w:val="13"/>
                <w:szCs w:val="13"/>
                <w:u w:val="single"/>
              </w:rPr>
            </w:pPr>
            <w:hyperlink w:anchor="_68_Microsoft_Dynamics" w:history="1">
              <w:r w:rsidR="001A63C6" w:rsidRPr="00854AAB">
                <w:rPr>
                  <w:rStyle w:val="Hyperlink"/>
                  <w:b/>
                  <w:sz w:val="13"/>
                  <w:szCs w:val="13"/>
                </w:rPr>
                <w:t>66</w:t>
              </w:r>
            </w:hyperlink>
          </w:p>
        </w:tc>
        <w:tc>
          <w:tcPr>
            <w:tcW w:w="450" w:type="dxa"/>
            <w:tcBorders>
              <w:bottom w:val="single" w:sz="4" w:space="0" w:color="auto"/>
            </w:tcBorders>
            <w:shd w:val="clear" w:color="auto" w:fill="auto"/>
          </w:tcPr>
          <w:p w:rsidR="001A63C6" w:rsidRPr="003410C7" w:rsidRDefault="001A63C6" w:rsidP="001A63C6">
            <w:pPr>
              <w:pStyle w:val="TableText"/>
              <w:widowControl w:val="0"/>
              <w:spacing w:before="120"/>
              <w:rPr>
                <w:rFonts w:ascii="Tahoma" w:hAnsi="Tahoma" w:cs="Tahoma"/>
                <w:color w:val="000000"/>
                <w:sz w:val="13"/>
              </w:rPr>
            </w:pPr>
            <w:r w:rsidRPr="003410C7">
              <w:rPr>
                <w:rFonts w:ascii="Tahoma" w:hAnsi="Tahoma" w:cs="Tahoma"/>
                <w:color w:val="000000"/>
                <w:sz w:val="13"/>
              </w:rPr>
              <w:t>04/01</w:t>
            </w:r>
          </w:p>
        </w:tc>
        <w:tc>
          <w:tcPr>
            <w:tcW w:w="360" w:type="dxa"/>
            <w:tcBorders>
              <w:bottom w:val="single" w:sz="4" w:space="0" w:color="auto"/>
              <w:right w:val="single" w:sz="18" w:space="0" w:color="auto"/>
            </w:tcBorders>
            <w:shd w:val="clear" w:color="auto" w:fill="auto"/>
            <w:vAlign w:val="center"/>
          </w:tcPr>
          <w:p w:rsidR="001A63C6" w:rsidRPr="003410C7" w:rsidRDefault="001A63C6" w:rsidP="001A63C6">
            <w:pPr>
              <w:pStyle w:val="TableText"/>
              <w:widowControl w:val="0"/>
              <w:rPr>
                <w:rFonts w:ascii="Tahoma" w:hAnsi="Tahoma" w:cs="Tahoma"/>
                <w:sz w:val="13"/>
              </w:rPr>
            </w:pPr>
            <w:r w:rsidRPr="003410C7">
              <w:rPr>
                <w:rFonts w:ascii="Tahoma" w:hAnsi="Tahoma" w:cs="Tahoma"/>
                <w:sz w:val="13"/>
              </w:rPr>
              <w:t>SRV</w:t>
            </w:r>
          </w:p>
        </w:tc>
        <w:tc>
          <w:tcPr>
            <w:tcW w:w="360" w:type="dxa"/>
            <w:tcBorders>
              <w:left w:val="single" w:sz="18" w:space="0" w:color="auto"/>
              <w:bottom w:val="single" w:sz="4" w:space="0" w:color="auto"/>
            </w:tcBorders>
            <w:shd w:val="clear" w:color="auto" w:fill="auto"/>
            <w:vAlign w:val="center"/>
          </w:tcPr>
          <w:p w:rsidR="001A63C6" w:rsidRPr="003410C7"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3410C7" w:rsidRDefault="001A63C6" w:rsidP="001A63C6">
            <w:pPr>
              <w:pStyle w:val="TableText"/>
              <w:widowControl w:val="0"/>
              <w:rPr>
                <w:rFonts w:ascii="Tahoma" w:hAnsi="Tahoma" w:cs="Tahoma"/>
                <w:sz w:val="13"/>
              </w:rPr>
            </w:pPr>
            <w:r w:rsidRPr="003410C7">
              <w:rPr>
                <w:rFonts w:ascii="Tahoma" w:hAnsi="Tahoma" w:cs="Tahoma"/>
                <w:sz w:val="13"/>
              </w:rPr>
              <w:t>25</w:t>
            </w:r>
          </w:p>
        </w:tc>
        <w:tc>
          <w:tcPr>
            <w:tcW w:w="450" w:type="dxa"/>
            <w:tcBorders>
              <w:bottom w:val="single" w:sz="4" w:space="0" w:color="auto"/>
            </w:tcBorders>
            <w:shd w:val="clear" w:color="auto" w:fill="auto"/>
            <w:vAlign w:val="center"/>
          </w:tcPr>
          <w:p w:rsidR="001A63C6" w:rsidRPr="003410C7" w:rsidRDefault="001A63C6" w:rsidP="001A63C6">
            <w:pPr>
              <w:pStyle w:val="TableText"/>
              <w:widowControl w:val="0"/>
              <w:rPr>
                <w:rFonts w:ascii="Tahoma" w:hAnsi="Tahoma" w:cs="Tahoma"/>
                <w:sz w:val="13"/>
              </w:rPr>
            </w:pPr>
            <w:r w:rsidRPr="003410C7">
              <w:rPr>
                <w:rFonts w:ascii="Tahoma" w:hAnsi="Tahoma" w:cs="Tahoma"/>
                <w:sz w:val="13"/>
              </w:rPr>
              <w:t>20</w:t>
            </w:r>
          </w:p>
        </w:tc>
        <w:tc>
          <w:tcPr>
            <w:tcW w:w="450" w:type="dxa"/>
            <w:tcBorders>
              <w:bottom w:val="single" w:sz="4" w:space="0" w:color="auto"/>
            </w:tcBorders>
            <w:shd w:val="clear" w:color="auto" w:fill="auto"/>
            <w:vAlign w:val="center"/>
          </w:tcPr>
          <w:p w:rsidR="001A63C6" w:rsidRPr="003410C7" w:rsidRDefault="001A63C6" w:rsidP="001A63C6">
            <w:pPr>
              <w:pStyle w:val="TableText"/>
              <w:widowControl w:val="0"/>
              <w:rPr>
                <w:rFonts w:ascii="Tahoma" w:hAnsi="Tahoma" w:cs="Tahoma"/>
                <w:sz w:val="13"/>
              </w:rPr>
            </w:pPr>
            <w:r w:rsidRPr="003410C7">
              <w:rPr>
                <w:rFonts w:ascii="Tahoma" w:hAnsi="Tahoma" w:cs="Tahoma"/>
                <w:sz w:val="13"/>
              </w:rPr>
              <w:t>15</w:t>
            </w:r>
          </w:p>
        </w:tc>
        <w:tc>
          <w:tcPr>
            <w:tcW w:w="450" w:type="dxa"/>
            <w:tcBorders>
              <w:bottom w:val="single" w:sz="4" w:space="0" w:color="auto"/>
            </w:tcBorders>
            <w:shd w:val="clear" w:color="auto" w:fill="auto"/>
            <w:vAlign w:val="center"/>
          </w:tcPr>
          <w:p w:rsidR="001A63C6" w:rsidRPr="003410C7" w:rsidRDefault="001A63C6" w:rsidP="001A63C6">
            <w:pPr>
              <w:pStyle w:val="TableText"/>
              <w:widowControl w:val="0"/>
              <w:rPr>
                <w:rFonts w:ascii="Tahoma" w:hAnsi="Tahoma" w:cs="Tahoma"/>
                <w:sz w:val="13"/>
              </w:rPr>
            </w:pPr>
            <w:r w:rsidRPr="003410C7">
              <w:rPr>
                <w:rFonts w:ascii="Tahoma" w:hAnsi="Tahoma" w:cs="Tahoma"/>
                <w:sz w:val="13"/>
              </w:rPr>
              <w:t>15</w:t>
            </w:r>
          </w:p>
        </w:tc>
        <w:tc>
          <w:tcPr>
            <w:tcW w:w="450" w:type="dxa"/>
            <w:tcBorders>
              <w:bottom w:val="single" w:sz="4" w:space="0" w:color="auto"/>
            </w:tcBorders>
            <w:shd w:val="clear" w:color="auto" w:fill="auto"/>
            <w:vAlign w:val="center"/>
          </w:tcPr>
          <w:p w:rsidR="001A63C6" w:rsidRPr="003410C7" w:rsidRDefault="001A63C6" w:rsidP="001A63C6">
            <w:pPr>
              <w:pStyle w:val="TableText"/>
              <w:widowControl w:val="0"/>
              <w:rPr>
                <w:rFonts w:ascii="Tahoma" w:hAnsi="Tahoma" w:cs="Tahoma"/>
                <w:sz w:val="13"/>
              </w:rPr>
            </w:pPr>
            <w:r w:rsidRPr="003410C7">
              <w:rPr>
                <w:rFonts w:ascii="Tahoma" w:hAnsi="Tahoma" w:cs="Tahoma"/>
                <w:sz w:val="13"/>
              </w:rPr>
              <w:t>10</w:t>
            </w:r>
          </w:p>
        </w:tc>
        <w:tc>
          <w:tcPr>
            <w:tcW w:w="360" w:type="dxa"/>
            <w:tcBorders>
              <w:bottom w:val="single" w:sz="4" w:space="0" w:color="auto"/>
              <w:right w:val="single" w:sz="18" w:space="0" w:color="auto"/>
            </w:tcBorders>
            <w:shd w:val="clear" w:color="auto" w:fill="auto"/>
            <w:vAlign w:val="center"/>
          </w:tcPr>
          <w:p w:rsidR="001A63C6" w:rsidRPr="003410C7" w:rsidRDefault="001A63C6" w:rsidP="001A63C6">
            <w:pPr>
              <w:pStyle w:val="TableText"/>
              <w:widowControl w:val="0"/>
              <w:rPr>
                <w:rFonts w:ascii="Tahoma" w:hAnsi="Tahoma" w:cs="Tahoma"/>
                <w:sz w:val="13"/>
              </w:rPr>
            </w:pPr>
            <w:r w:rsidRPr="003410C7">
              <w:rPr>
                <w:rFonts w:ascii="Tahoma" w:hAnsi="Tahoma" w:cs="Tahoma"/>
                <w:sz w:val="13"/>
              </w:rPr>
              <w:t>5</w:t>
            </w:r>
          </w:p>
        </w:tc>
        <w:tc>
          <w:tcPr>
            <w:tcW w:w="450" w:type="dxa"/>
            <w:tcBorders>
              <w:left w:val="single" w:sz="18" w:space="0" w:color="auto"/>
              <w:bottom w:val="single" w:sz="4" w:space="0" w:color="auto"/>
            </w:tcBorders>
            <w:shd w:val="clear" w:color="auto" w:fill="auto"/>
            <w:vAlign w:val="center"/>
          </w:tcPr>
          <w:p w:rsidR="001A63C6" w:rsidRPr="003410C7"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3410C7" w:rsidRDefault="001A63C6" w:rsidP="001A63C6">
            <w:pPr>
              <w:pStyle w:val="TableText"/>
              <w:widowControl w:val="0"/>
              <w:rPr>
                <w:rFonts w:ascii="Tahoma" w:hAnsi="Tahoma" w:cs="Tahoma"/>
                <w:sz w:val="13"/>
              </w:rPr>
            </w:pPr>
            <w:r w:rsidRPr="003410C7">
              <w:rPr>
                <w:rFonts w:ascii="Tahoma" w:hAnsi="Tahoma" w:cs="Tahoma"/>
                <w:sz w:val="13"/>
              </w:rPr>
              <w:t>20</w:t>
            </w:r>
          </w:p>
        </w:tc>
        <w:tc>
          <w:tcPr>
            <w:tcW w:w="450" w:type="dxa"/>
            <w:tcBorders>
              <w:bottom w:val="single" w:sz="4" w:space="0" w:color="auto"/>
              <w:right w:val="single" w:sz="18" w:space="0" w:color="auto"/>
            </w:tcBorders>
            <w:shd w:val="clear" w:color="auto" w:fill="auto"/>
            <w:vAlign w:val="center"/>
          </w:tcPr>
          <w:p w:rsidR="001A63C6" w:rsidRPr="003410C7" w:rsidRDefault="001A63C6" w:rsidP="001A63C6">
            <w:pPr>
              <w:pStyle w:val="TableText"/>
              <w:widowControl w:val="0"/>
              <w:rPr>
                <w:rFonts w:ascii="Tahoma" w:hAnsi="Tahoma" w:cs="Tahoma"/>
                <w:sz w:val="13"/>
              </w:rPr>
            </w:pPr>
            <w:r w:rsidRPr="003410C7">
              <w:rPr>
                <w:rFonts w:ascii="Tahoma" w:hAnsi="Tahoma" w:cs="Tahoma"/>
                <w:sz w:val="13"/>
              </w:rPr>
              <w:t>10</w:t>
            </w:r>
          </w:p>
        </w:tc>
        <w:tc>
          <w:tcPr>
            <w:tcW w:w="450" w:type="dxa"/>
            <w:tcBorders>
              <w:left w:val="single" w:sz="18" w:space="0" w:color="auto"/>
              <w:bottom w:val="single" w:sz="4" w:space="0" w:color="auto"/>
            </w:tcBorders>
            <w:shd w:val="clear" w:color="auto" w:fill="auto"/>
            <w:vAlign w:val="center"/>
          </w:tcPr>
          <w:p w:rsidR="001A63C6" w:rsidRPr="003410C7" w:rsidRDefault="001A63C6" w:rsidP="001A63C6">
            <w:pPr>
              <w:pStyle w:val="TableText"/>
              <w:widowControl w:val="0"/>
              <w:rPr>
                <w:rFonts w:ascii="Tahoma" w:hAnsi="Tahoma" w:cs="Tahoma"/>
                <w:sz w:val="13"/>
              </w:rPr>
            </w:pPr>
            <w:r w:rsidRPr="003410C7">
              <w:rPr>
                <w:rFonts w:ascii="Tahoma" w:hAnsi="Tahoma" w:cs="Tahoma"/>
                <w:sz w:val="13"/>
              </w:rPr>
              <w:t>10</w:t>
            </w:r>
          </w:p>
        </w:tc>
        <w:tc>
          <w:tcPr>
            <w:tcW w:w="450" w:type="dxa"/>
            <w:tcBorders>
              <w:bottom w:val="single" w:sz="4" w:space="0" w:color="auto"/>
              <w:right w:val="single" w:sz="18" w:space="0" w:color="auto"/>
            </w:tcBorders>
            <w:shd w:val="clear" w:color="auto" w:fill="auto"/>
            <w:vAlign w:val="center"/>
          </w:tcPr>
          <w:p w:rsidR="001A63C6" w:rsidRPr="003410C7" w:rsidRDefault="001A63C6" w:rsidP="001A63C6">
            <w:pPr>
              <w:pStyle w:val="TableText"/>
              <w:widowControl w:val="0"/>
              <w:rPr>
                <w:rFonts w:ascii="Tahoma" w:hAnsi="Tahoma" w:cs="Tahoma"/>
                <w:sz w:val="13"/>
              </w:rPr>
            </w:pPr>
            <w:r w:rsidRPr="003410C7">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rsidR="001A63C6" w:rsidRPr="003410C7" w:rsidRDefault="001A63C6" w:rsidP="001A63C6">
            <w:pPr>
              <w:pStyle w:val="TableText"/>
              <w:widowControl w:val="0"/>
              <w:rPr>
                <w:rFonts w:ascii="Tahoma" w:hAnsi="Tahoma" w:cs="Tahoma"/>
                <w:sz w:val="13"/>
              </w:rPr>
            </w:pPr>
            <w:r w:rsidRPr="003410C7">
              <w:rPr>
                <w:rFonts w:ascii="Tahoma" w:hAnsi="Tahoma" w:cs="Tahoma"/>
                <w:sz w:val="13"/>
              </w:rPr>
              <w:t>P</w:t>
            </w:r>
          </w:p>
        </w:tc>
        <w:tc>
          <w:tcPr>
            <w:tcW w:w="450" w:type="dxa"/>
            <w:tcBorders>
              <w:bottom w:val="single" w:sz="4" w:space="0" w:color="auto"/>
            </w:tcBorders>
            <w:shd w:val="clear" w:color="auto" w:fill="auto"/>
            <w:vAlign w:val="center"/>
          </w:tcPr>
          <w:p w:rsidR="001A63C6" w:rsidRPr="003410C7" w:rsidRDefault="001A63C6" w:rsidP="001A63C6">
            <w:pPr>
              <w:pStyle w:val="TableText"/>
              <w:widowControl w:val="0"/>
              <w:rPr>
                <w:rFonts w:ascii="Tahoma" w:hAnsi="Tahoma" w:cs="Tahoma"/>
                <w:sz w:val="13"/>
              </w:rPr>
            </w:pPr>
            <w:r w:rsidRPr="003410C7">
              <w:rPr>
                <w:rFonts w:ascii="Tahoma" w:hAnsi="Tahoma" w:cs="Tahoma"/>
                <w:sz w:val="13"/>
              </w:rPr>
              <w:t>A, ST</w:t>
            </w:r>
          </w:p>
        </w:tc>
        <w:tc>
          <w:tcPr>
            <w:tcW w:w="540" w:type="dxa"/>
            <w:tcBorders>
              <w:bottom w:val="single" w:sz="4" w:space="0" w:color="auto"/>
            </w:tcBorders>
            <w:shd w:val="clear" w:color="auto" w:fill="auto"/>
            <w:vAlign w:val="center"/>
          </w:tcPr>
          <w:p w:rsidR="001A63C6" w:rsidRPr="003410C7" w:rsidRDefault="001A63C6" w:rsidP="001A63C6">
            <w:pPr>
              <w:pStyle w:val="TableText"/>
              <w:widowControl w:val="0"/>
              <w:rPr>
                <w:rFonts w:ascii="Tahoma" w:hAnsi="Tahoma" w:cs="Tahoma"/>
                <w:sz w:val="13"/>
              </w:rPr>
            </w:pPr>
            <w:r w:rsidRPr="003410C7">
              <w:rPr>
                <w:rFonts w:ascii="Tahoma" w:hAnsi="Tahoma" w:cs="Tahoma"/>
                <w:sz w:val="13"/>
              </w:rPr>
              <w:t>OL/OV</w:t>
            </w:r>
          </w:p>
        </w:tc>
      </w:tr>
      <w:tr w:rsidR="00BE2E58" w:rsidRPr="003410C7" w:rsidTr="006B1F3F">
        <w:trPr>
          <w:trHeight w:val="145"/>
        </w:trPr>
        <w:tc>
          <w:tcPr>
            <w:tcW w:w="2734" w:type="dxa"/>
            <w:gridSpan w:val="2"/>
            <w:tcBorders>
              <w:bottom w:val="single" w:sz="4" w:space="0" w:color="auto"/>
            </w:tcBorders>
            <w:shd w:val="clear" w:color="auto" w:fill="FABF8F"/>
            <w:vAlign w:val="center"/>
          </w:tcPr>
          <w:p w:rsidR="001A63C6" w:rsidRPr="00451078" w:rsidRDefault="001A63C6" w:rsidP="001A63C6">
            <w:pPr>
              <w:pStyle w:val="Heading2"/>
              <w:ind w:left="0"/>
              <w:rPr>
                <w:rFonts w:ascii="Tahoma" w:hAnsi="Tahoma" w:cs="Tahoma"/>
                <w:b w:val="0"/>
                <w:sz w:val="14"/>
                <w:szCs w:val="14"/>
                <w:lang w:val="it-IT"/>
              </w:rPr>
            </w:pPr>
            <w:bookmarkStart w:id="332" w:name="_Toc336338016"/>
            <w:bookmarkStart w:id="333" w:name="_Toc352234623"/>
            <w:r w:rsidRPr="00451078">
              <w:rPr>
                <w:rFonts w:ascii="Tahoma" w:hAnsi="Tahoma" w:cs="Tahoma"/>
                <w:b w:val="0"/>
                <w:sz w:val="14"/>
                <w:szCs w:val="14"/>
                <w:lang w:val="it-IT"/>
              </w:rPr>
              <w:t>CAL per Employee Self Service di Microsoft Dynamics CRM 2011 (Utente e Dispositivo)</w:t>
            </w:r>
            <w:bookmarkEnd w:id="332"/>
            <w:bookmarkEnd w:id="333"/>
          </w:p>
        </w:tc>
        <w:tc>
          <w:tcPr>
            <w:tcW w:w="450" w:type="dxa"/>
            <w:tcBorders>
              <w:bottom w:val="single" w:sz="4" w:space="0" w:color="auto"/>
            </w:tcBorders>
            <w:shd w:val="clear" w:color="auto" w:fill="FABF8F"/>
            <w:vAlign w:val="center"/>
          </w:tcPr>
          <w:p w:rsidR="001A63C6" w:rsidRPr="009F17FF" w:rsidRDefault="00FC1A4D" w:rsidP="00097C8C">
            <w:pPr>
              <w:pStyle w:val="TableText"/>
              <w:widowControl w:val="0"/>
              <w:rPr>
                <w:b/>
                <w:color w:val="0000FF"/>
                <w:sz w:val="13"/>
                <w:szCs w:val="13"/>
                <w:u w:val="single"/>
              </w:rPr>
            </w:pPr>
            <w:hyperlink w:anchor="_68_Microsoft_Dynamics" w:history="1">
              <w:r w:rsidR="00854AAB" w:rsidRPr="00854AAB">
                <w:rPr>
                  <w:rStyle w:val="Hyperlink"/>
                  <w:b/>
                  <w:sz w:val="13"/>
                  <w:szCs w:val="13"/>
                </w:rPr>
                <w:t>66</w:t>
              </w:r>
            </w:hyperlink>
          </w:p>
        </w:tc>
        <w:tc>
          <w:tcPr>
            <w:tcW w:w="450" w:type="dxa"/>
            <w:tcBorders>
              <w:bottom w:val="single" w:sz="4" w:space="0" w:color="auto"/>
            </w:tcBorders>
            <w:shd w:val="clear" w:color="auto" w:fill="FABF8F"/>
          </w:tcPr>
          <w:p w:rsidR="001A63C6" w:rsidRPr="003410C7" w:rsidRDefault="001A63C6" w:rsidP="001A63C6">
            <w:pPr>
              <w:pStyle w:val="TableText"/>
              <w:widowControl w:val="0"/>
              <w:spacing w:before="120"/>
              <w:rPr>
                <w:rFonts w:ascii="Tahoma" w:hAnsi="Tahoma" w:cs="Tahoma"/>
                <w:color w:val="000000"/>
                <w:sz w:val="13"/>
              </w:rPr>
            </w:pPr>
            <w:r w:rsidRPr="003410C7">
              <w:rPr>
                <w:rFonts w:ascii="Tahoma" w:hAnsi="Tahoma" w:cs="Tahoma"/>
                <w:color w:val="000000"/>
                <w:sz w:val="13"/>
              </w:rPr>
              <w:t>04/01</w:t>
            </w:r>
          </w:p>
        </w:tc>
        <w:tc>
          <w:tcPr>
            <w:tcW w:w="360" w:type="dxa"/>
            <w:tcBorders>
              <w:bottom w:val="single" w:sz="4" w:space="0" w:color="auto"/>
              <w:right w:val="single" w:sz="18" w:space="0" w:color="auto"/>
            </w:tcBorders>
            <w:shd w:val="clear" w:color="auto" w:fill="FABF8F"/>
            <w:vAlign w:val="center"/>
          </w:tcPr>
          <w:p w:rsidR="001A63C6" w:rsidRPr="003410C7" w:rsidRDefault="001A63C6" w:rsidP="001A63C6">
            <w:pPr>
              <w:pStyle w:val="TableText"/>
              <w:widowControl w:val="0"/>
              <w:rPr>
                <w:rFonts w:ascii="Tahoma" w:hAnsi="Tahoma" w:cs="Tahoma"/>
                <w:sz w:val="13"/>
              </w:rPr>
            </w:pPr>
            <w:r w:rsidRPr="003410C7">
              <w:rPr>
                <w:rFonts w:ascii="Tahoma" w:hAnsi="Tahoma" w:cs="Tahoma"/>
                <w:sz w:val="13"/>
              </w:rPr>
              <w:t>SRV</w:t>
            </w:r>
          </w:p>
        </w:tc>
        <w:tc>
          <w:tcPr>
            <w:tcW w:w="360" w:type="dxa"/>
            <w:tcBorders>
              <w:left w:val="single" w:sz="18" w:space="0" w:color="auto"/>
              <w:bottom w:val="single" w:sz="4" w:space="0" w:color="auto"/>
            </w:tcBorders>
            <w:shd w:val="clear" w:color="auto" w:fill="FABF8F"/>
            <w:vAlign w:val="center"/>
          </w:tcPr>
          <w:p w:rsidR="001A63C6" w:rsidRPr="003410C7"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3410C7" w:rsidRDefault="001A63C6" w:rsidP="001A63C6">
            <w:pPr>
              <w:pStyle w:val="TableText"/>
              <w:widowControl w:val="0"/>
              <w:rPr>
                <w:rFonts w:ascii="Tahoma" w:hAnsi="Tahoma" w:cs="Tahoma"/>
                <w:sz w:val="13"/>
              </w:rPr>
            </w:pPr>
            <w:r w:rsidRPr="003410C7">
              <w:rPr>
                <w:rFonts w:ascii="Tahoma" w:hAnsi="Tahoma" w:cs="Tahoma"/>
                <w:sz w:val="13"/>
              </w:rPr>
              <w:t>3</w:t>
            </w:r>
          </w:p>
        </w:tc>
        <w:tc>
          <w:tcPr>
            <w:tcW w:w="450" w:type="dxa"/>
            <w:tcBorders>
              <w:bottom w:val="single" w:sz="4" w:space="0" w:color="auto"/>
            </w:tcBorders>
            <w:shd w:val="clear" w:color="auto" w:fill="FABF8F"/>
            <w:vAlign w:val="center"/>
          </w:tcPr>
          <w:p w:rsidR="001A63C6" w:rsidRPr="003410C7" w:rsidRDefault="001A63C6" w:rsidP="001A63C6">
            <w:pPr>
              <w:pStyle w:val="TableText"/>
              <w:widowControl w:val="0"/>
              <w:rPr>
                <w:rFonts w:ascii="Tahoma" w:hAnsi="Tahoma" w:cs="Tahoma"/>
                <w:sz w:val="13"/>
              </w:rPr>
            </w:pPr>
            <w:r w:rsidRPr="003410C7">
              <w:rPr>
                <w:rFonts w:ascii="Tahoma" w:hAnsi="Tahoma" w:cs="Tahoma"/>
                <w:sz w:val="13"/>
              </w:rPr>
              <w:t>2</w:t>
            </w:r>
          </w:p>
        </w:tc>
        <w:tc>
          <w:tcPr>
            <w:tcW w:w="450" w:type="dxa"/>
            <w:tcBorders>
              <w:bottom w:val="single" w:sz="4" w:space="0" w:color="auto"/>
            </w:tcBorders>
            <w:shd w:val="clear" w:color="auto" w:fill="FABF8F"/>
            <w:vAlign w:val="center"/>
          </w:tcPr>
          <w:p w:rsidR="001A63C6" w:rsidRPr="003410C7" w:rsidRDefault="001A63C6" w:rsidP="001A63C6">
            <w:pPr>
              <w:pStyle w:val="TableText"/>
              <w:widowControl w:val="0"/>
              <w:rPr>
                <w:rFonts w:ascii="Tahoma" w:hAnsi="Tahoma" w:cs="Tahoma"/>
                <w:sz w:val="13"/>
              </w:rPr>
            </w:pPr>
            <w:r w:rsidRPr="003410C7">
              <w:rPr>
                <w:rFonts w:ascii="Tahoma" w:hAnsi="Tahoma" w:cs="Tahoma"/>
                <w:sz w:val="13"/>
              </w:rPr>
              <w:t>2</w:t>
            </w:r>
          </w:p>
        </w:tc>
        <w:tc>
          <w:tcPr>
            <w:tcW w:w="450" w:type="dxa"/>
            <w:tcBorders>
              <w:bottom w:val="single" w:sz="4" w:space="0" w:color="auto"/>
            </w:tcBorders>
            <w:shd w:val="clear" w:color="auto" w:fill="FABF8F"/>
            <w:vAlign w:val="center"/>
          </w:tcPr>
          <w:p w:rsidR="001A63C6" w:rsidRPr="003410C7" w:rsidRDefault="001A63C6" w:rsidP="001A63C6">
            <w:pPr>
              <w:pStyle w:val="TableText"/>
              <w:widowControl w:val="0"/>
              <w:rPr>
                <w:rFonts w:ascii="Tahoma" w:hAnsi="Tahoma" w:cs="Tahoma"/>
                <w:sz w:val="13"/>
              </w:rPr>
            </w:pPr>
            <w:r w:rsidRPr="003410C7">
              <w:rPr>
                <w:rFonts w:ascii="Tahoma" w:hAnsi="Tahoma" w:cs="Tahoma"/>
                <w:sz w:val="13"/>
              </w:rPr>
              <w:t>2</w:t>
            </w:r>
          </w:p>
        </w:tc>
        <w:tc>
          <w:tcPr>
            <w:tcW w:w="450" w:type="dxa"/>
            <w:tcBorders>
              <w:bottom w:val="single" w:sz="4" w:space="0" w:color="auto"/>
            </w:tcBorders>
            <w:shd w:val="clear" w:color="auto" w:fill="FABF8F"/>
            <w:vAlign w:val="center"/>
          </w:tcPr>
          <w:p w:rsidR="001A63C6" w:rsidRPr="003410C7" w:rsidRDefault="001A63C6" w:rsidP="001A63C6">
            <w:pPr>
              <w:pStyle w:val="TableText"/>
              <w:widowControl w:val="0"/>
              <w:rPr>
                <w:rFonts w:ascii="Tahoma" w:hAnsi="Tahoma" w:cs="Tahoma"/>
                <w:sz w:val="13"/>
              </w:rPr>
            </w:pPr>
            <w:r w:rsidRPr="003410C7">
              <w:rPr>
                <w:rFonts w:ascii="Tahoma" w:hAnsi="Tahoma" w:cs="Tahoma"/>
                <w:sz w:val="13"/>
              </w:rPr>
              <w:t>1</w:t>
            </w:r>
          </w:p>
        </w:tc>
        <w:tc>
          <w:tcPr>
            <w:tcW w:w="360" w:type="dxa"/>
            <w:tcBorders>
              <w:bottom w:val="single" w:sz="4" w:space="0" w:color="auto"/>
              <w:right w:val="single" w:sz="18" w:space="0" w:color="auto"/>
            </w:tcBorders>
            <w:shd w:val="clear" w:color="auto" w:fill="FABF8F"/>
            <w:vAlign w:val="center"/>
          </w:tcPr>
          <w:p w:rsidR="001A63C6" w:rsidRPr="003410C7" w:rsidRDefault="001A63C6" w:rsidP="001A63C6">
            <w:pPr>
              <w:pStyle w:val="TableText"/>
              <w:widowControl w:val="0"/>
              <w:rPr>
                <w:rFonts w:ascii="Tahoma" w:hAnsi="Tahoma" w:cs="Tahoma"/>
                <w:sz w:val="13"/>
              </w:rPr>
            </w:pPr>
            <w:r w:rsidRPr="003410C7">
              <w:rPr>
                <w:rFonts w:ascii="Tahoma" w:hAnsi="Tahoma" w:cs="Tahoma"/>
                <w:sz w:val="13"/>
              </w:rPr>
              <w:t>1</w:t>
            </w:r>
          </w:p>
        </w:tc>
        <w:tc>
          <w:tcPr>
            <w:tcW w:w="450" w:type="dxa"/>
            <w:tcBorders>
              <w:left w:val="single" w:sz="18" w:space="0" w:color="auto"/>
              <w:bottom w:val="single" w:sz="4" w:space="0" w:color="auto"/>
            </w:tcBorders>
            <w:shd w:val="clear" w:color="auto" w:fill="FABF8F"/>
            <w:vAlign w:val="center"/>
          </w:tcPr>
          <w:p w:rsidR="001A63C6" w:rsidRPr="003410C7"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3410C7" w:rsidRDefault="001A63C6" w:rsidP="001A63C6">
            <w:pPr>
              <w:pStyle w:val="TableText"/>
              <w:widowControl w:val="0"/>
              <w:rPr>
                <w:rFonts w:ascii="Tahoma" w:hAnsi="Tahoma" w:cs="Tahoma"/>
                <w:sz w:val="13"/>
              </w:rPr>
            </w:pPr>
            <w:r w:rsidRPr="003410C7">
              <w:rPr>
                <w:rFonts w:ascii="Tahoma" w:hAnsi="Tahoma" w:cs="Tahoma"/>
                <w:sz w:val="13"/>
              </w:rPr>
              <w:t>2</w:t>
            </w:r>
          </w:p>
        </w:tc>
        <w:tc>
          <w:tcPr>
            <w:tcW w:w="450" w:type="dxa"/>
            <w:tcBorders>
              <w:bottom w:val="single" w:sz="4" w:space="0" w:color="auto"/>
              <w:right w:val="single" w:sz="18" w:space="0" w:color="auto"/>
            </w:tcBorders>
            <w:shd w:val="clear" w:color="auto" w:fill="FABF8F"/>
            <w:vAlign w:val="center"/>
          </w:tcPr>
          <w:p w:rsidR="001A63C6" w:rsidRPr="003410C7" w:rsidRDefault="001A63C6" w:rsidP="001A63C6">
            <w:pPr>
              <w:pStyle w:val="TableText"/>
              <w:widowControl w:val="0"/>
              <w:rPr>
                <w:rFonts w:ascii="Tahoma" w:hAnsi="Tahoma" w:cs="Tahoma"/>
                <w:sz w:val="13"/>
              </w:rPr>
            </w:pPr>
            <w:r w:rsidRPr="003410C7">
              <w:rPr>
                <w:rFonts w:ascii="Tahoma" w:hAnsi="Tahoma" w:cs="Tahoma"/>
                <w:sz w:val="13"/>
              </w:rPr>
              <w:t>1</w:t>
            </w:r>
          </w:p>
        </w:tc>
        <w:tc>
          <w:tcPr>
            <w:tcW w:w="450" w:type="dxa"/>
            <w:tcBorders>
              <w:left w:val="single" w:sz="18" w:space="0" w:color="auto"/>
              <w:bottom w:val="single" w:sz="4" w:space="0" w:color="auto"/>
            </w:tcBorders>
            <w:shd w:val="clear" w:color="auto" w:fill="FABF8F"/>
            <w:vAlign w:val="center"/>
          </w:tcPr>
          <w:p w:rsidR="001A63C6" w:rsidRPr="003410C7" w:rsidRDefault="001A63C6" w:rsidP="001A63C6">
            <w:pPr>
              <w:pStyle w:val="TableText"/>
              <w:widowControl w:val="0"/>
              <w:rPr>
                <w:rFonts w:ascii="Tahoma" w:hAnsi="Tahoma" w:cs="Tahoma"/>
                <w:sz w:val="13"/>
              </w:rPr>
            </w:pPr>
            <w:r w:rsidRPr="003410C7">
              <w:rPr>
                <w:rFonts w:ascii="Tahoma" w:hAnsi="Tahoma" w:cs="Tahoma"/>
                <w:sz w:val="13"/>
              </w:rPr>
              <w:t>1</w:t>
            </w:r>
          </w:p>
        </w:tc>
        <w:tc>
          <w:tcPr>
            <w:tcW w:w="450" w:type="dxa"/>
            <w:tcBorders>
              <w:bottom w:val="single" w:sz="4" w:space="0" w:color="auto"/>
              <w:right w:val="single" w:sz="18" w:space="0" w:color="auto"/>
            </w:tcBorders>
            <w:shd w:val="clear" w:color="auto" w:fill="FABF8F"/>
            <w:vAlign w:val="center"/>
          </w:tcPr>
          <w:p w:rsidR="001A63C6" w:rsidRPr="003410C7" w:rsidRDefault="001A63C6" w:rsidP="001A63C6">
            <w:pPr>
              <w:pStyle w:val="TableText"/>
              <w:widowControl w:val="0"/>
              <w:rPr>
                <w:rFonts w:ascii="Tahoma" w:hAnsi="Tahoma" w:cs="Tahoma"/>
                <w:sz w:val="13"/>
              </w:rPr>
            </w:pPr>
            <w:r w:rsidRPr="003410C7">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3410C7" w:rsidRDefault="001A63C6" w:rsidP="001A63C6">
            <w:pPr>
              <w:pStyle w:val="TableText"/>
              <w:widowControl w:val="0"/>
              <w:rPr>
                <w:rFonts w:ascii="Tahoma" w:hAnsi="Tahoma" w:cs="Tahoma"/>
                <w:sz w:val="13"/>
              </w:rPr>
            </w:pPr>
            <w:r w:rsidRPr="003410C7">
              <w:rPr>
                <w:rFonts w:ascii="Tahoma" w:hAnsi="Tahoma" w:cs="Tahoma"/>
                <w:sz w:val="13"/>
              </w:rPr>
              <w:t>P</w:t>
            </w:r>
          </w:p>
        </w:tc>
        <w:tc>
          <w:tcPr>
            <w:tcW w:w="450" w:type="dxa"/>
            <w:tcBorders>
              <w:bottom w:val="single" w:sz="4" w:space="0" w:color="auto"/>
            </w:tcBorders>
            <w:shd w:val="clear" w:color="auto" w:fill="FABF8F"/>
            <w:vAlign w:val="center"/>
          </w:tcPr>
          <w:p w:rsidR="001A63C6" w:rsidRPr="003410C7" w:rsidRDefault="001A63C6" w:rsidP="001A63C6">
            <w:pPr>
              <w:pStyle w:val="TableText"/>
              <w:widowControl w:val="0"/>
              <w:spacing w:before="120"/>
              <w:rPr>
                <w:rFonts w:ascii="Tahoma" w:hAnsi="Tahoma" w:cs="Tahoma"/>
                <w:sz w:val="13"/>
              </w:rPr>
            </w:pPr>
            <w:r w:rsidRPr="003410C7">
              <w:rPr>
                <w:rFonts w:ascii="Tahoma" w:hAnsi="Tahoma" w:cs="Tahoma"/>
                <w:sz w:val="13"/>
              </w:rPr>
              <w:t>A, ST</w:t>
            </w:r>
          </w:p>
        </w:tc>
        <w:tc>
          <w:tcPr>
            <w:tcW w:w="540" w:type="dxa"/>
            <w:tcBorders>
              <w:bottom w:val="single" w:sz="4" w:space="0" w:color="auto"/>
            </w:tcBorders>
            <w:shd w:val="clear" w:color="auto" w:fill="FABF8F"/>
            <w:vAlign w:val="center"/>
          </w:tcPr>
          <w:p w:rsidR="001A63C6" w:rsidRPr="003410C7" w:rsidRDefault="001A63C6" w:rsidP="001A63C6">
            <w:pPr>
              <w:pStyle w:val="TableText"/>
              <w:widowControl w:val="0"/>
              <w:rPr>
                <w:rFonts w:ascii="Tahoma" w:hAnsi="Tahoma" w:cs="Tahoma"/>
                <w:sz w:val="13"/>
              </w:rPr>
            </w:pPr>
            <w:r w:rsidRPr="003410C7">
              <w:rPr>
                <w:rFonts w:ascii="Tahoma" w:hAnsi="Tahoma" w:cs="Tahoma"/>
                <w:sz w:val="13"/>
              </w:rPr>
              <w:t>OL/OV</w:t>
            </w:r>
          </w:p>
        </w:tc>
      </w:tr>
      <w:tr w:rsidR="00B33D0E" w:rsidRPr="003410C7" w:rsidTr="006B1F3F">
        <w:trPr>
          <w:trHeight w:val="145"/>
        </w:trPr>
        <w:tc>
          <w:tcPr>
            <w:tcW w:w="2734" w:type="dxa"/>
            <w:gridSpan w:val="2"/>
            <w:tcBorders>
              <w:bottom w:val="single" w:sz="4" w:space="0" w:color="auto"/>
            </w:tcBorders>
            <w:shd w:val="clear" w:color="auto" w:fill="auto"/>
            <w:vAlign w:val="center"/>
          </w:tcPr>
          <w:p w:rsidR="001A63C6" w:rsidRPr="003410C7" w:rsidRDefault="001A63C6" w:rsidP="00F57878">
            <w:pPr>
              <w:pStyle w:val="Heading2"/>
              <w:ind w:left="0"/>
              <w:rPr>
                <w:rFonts w:ascii="Tahoma" w:hAnsi="Tahoma" w:cs="Tahoma"/>
                <w:b w:val="0"/>
                <w:sz w:val="14"/>
                <w:szCs w:val="14"/>
              </w:rPr>
            </w:pPr>
            <w:bookmarkStart w:id="334" w:name="_Toc336338017"/>
            <w:bookmarkStart w:id="335" w:name="_Toc352234624"/>
            <w:r w:rsidRPr="003410C7">
              <w:rPr>
                <w:rFonts w:ascii="Tahoma" w:hAnsi="Tahoma" w:cs="Tahoma"/>
                <w:b w:val="0"/>
                <w:sz w:val="14"/>
                <w:szCs w:val="14"/>
              </w:rPr>
              <w:t>Microsoft Dynamics CRM 2011 External</w:t>
            </w:r>
            <w:r w:rsidR="00F57878">
              <w:rPr>
                <w:rFonts w:ascii="Tahoma" w:hAnsi="Tahoma" w:cs="Tahoma"/>
                <w:b w:val="0"/>
                <w:sz w:val="14"/>
                <w:szCs w:val="14"/>
              </w:rPr>
              <w:t> </w:t>
            </w:r>
            <w:r w:rsidRPr="003410C7">
              <w:rPr>
                <w:rFonts w:ascii="Tahoma" w:hAnsi="Tahoma" w:cs="Tahoma"/>
                <w:b w:val="0"/>
                <w:sz w:val="14"/>
                <w:szCs w:val="14"/>
              </w:rPr>
              <w:t>Connector</w:t>
            </w:r>
            <w:bookmarkEnd w:id="334"/>
            <w:bookmarkEnd w:id="335"/>
          </w:p>
        </w:tc>
        <w:tc>
          <w:tcPr>
            <w:tcW w:w="450" w:type="dxa"/>
            <w:tcBorders>
              <w:bottom w:val="single" w:sz="4" w:space="0" w:color="auto"/>
            </w:tcBorders>
            <w:shd w:val="clear" w:color="auto" w:fill="auto"/>
            <w:vAlign w:val="center"/>
          </w:tcPr>
          <w:p w:rsidR="001A63C6" w:rsidRPr="009F17FF" w:rsidRDefault="00FC1A4D" w:rsidP="00097C8C">
            <w:pPr>
              <w:pStyle w:val="TableText"/>
              <w:widowControl w:val="0"/>
              <w:rPr>
                <w:b/>
                <w:color w:val="0000FF"/>
                <w:sz w:val="13"/>
                <w:szCs w:val="13"/>
                <w:u w:val="single"/>
              </w:rPr>
            </w:pPr>
            <w:hyperlink w:anchor="_68_Microsoft_Dynamics" w:history="1">
              <w:r w:rsidR="00854AAB" w:rsidRPr="00854AAB">
                <w:rPr>
                  <w:rStyle w:val="Hyperlink"/>
                  <w:b/>
                  <w:sz w:val="13"/>
                  <w:szCs w:val="13"/>
                </w:rPr>
                <w:t>66</w:t>
              </w:r>
            </w:hyperlink>
          </w:p>
        </w:tc>
        <w:tc>
          <w:tcPr>
            <w:tcW w:w="450" w:type="dxa"/>
            <w:tcBorders>
              <w:bottom w:val="single" w:sz="4" w:space="0" w:color="auto"/>
            </w:tcBorders>
            <w:shd w:val="clear" w:color="auto" w:fill="auto"/>
          </w:tcPr>
          <w:p w:rsidR="001A63C6" w:rsidRPr="003410C7" w:rsidRDefault="001A63C6" w:rsidP="001A63C6">
            <w:pPr>
              <w:pStyle w:val="TableText"/>
              <w:widowControl w:val="0"/>
              <w:spacing w:before="120"/>
              <w:rPr>
                <w:rFonts w:ascii="Tahoma" w:hAnsi="Tahoma" w:cs="Tahoma"/>
                <w:color w:val="000000"/>
                <w:sz w:val="13"/>
              </w:rPr>
            </w:pPr>
            <w:r w:rsidRPr="003410C7">
              <w:rPr>
                <w:rFonts w:ascii="Tahoma" w:hAnsi="Tahoma" w:cs="Tahoma"/>
                <w:color w:val="000000"/>
                <w:sz w:val="13"/>
              </w:rPr>
              <w:t>04/01</w:t>
            </w:r>
          </w:p>
        </w:tc>
        <w:tc>
          <w:tcPr>
            <w:tcW w:w="360" w:type="dxa"/>
            <w:tcBorders>
              <w:bottom w:val="single" w:sz="4" w:space="0" w:color="auto"/>
              <w:right w:val="single" w:sz="18" w:space="0" w:color="auto"/>
            </w:tcBorders>
            <w:shd w:val="clear" w:color="auto" w:fill="auto"/>
            <w:vAlign w:val="center"/>
          </w:tcPr>
          <w:p w:rsidR="001A63C6" w:rsidRPr="003410C7" w:rsidRDefault="001A63C6" w:rsidP="001A63C6">
            <w:pPr>
              <w:pStyle w:val="TableText"/>
              <w:widowControl w:val="0"/>
              <w:rPr>
                <w:rFonts w:ascii="Tahoma" w:hAnsi="Tahoma" w:cs="Tahoma"/>
                <w:sz w:val="13"/>
              </w:rPr>
            </w:pPr>
            <w:r w:rsidRPr="003410C7">
              <w:rPr>
                <w:rFonts w:ascii="Tahoma" w:hAnsi="Tahoma" w:cs="Tahoma"/>
                <w:sz w:val="13"/>
              </w:rPr>
              <w:t>SRV</w:t>
            </w:r>
          </w:p>
        </w:tc>
        <w:tc>
          <w:tcPr>
            <w:tcW w:w="360" w:type="dxa"/>
            <w:tcBorders>
              <w:left w:val="single" w:sz="18" w:space="0" w:color="auto"/>
              <w:bottom w:val="single" w:sz="4" w:space="0" w:color="auto"/>
            </w:tcBorders>
            <w:shd w:val="clear" w:color="auto" w:fill="auto"/>
            <w:vAlign w:val="center"/>
          </w:tcPr>
          <w:p w:rsidR="001A63C6" w:rsidRPr="003410C7"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3410C7" w:rsidRDefault="001A63C6" w:rsidP="001A63C6">
            <w:pPr>
              <w:pStyle w:val="TableText"/>
              <w:widowControl w:val="0"/>
              <w:rPr>
                <w:rFonts w:ascii="Tahoma" w:hAnsi="Tahoma" w:cs="Tahoma"/>
                <w:sz w:val="13"/>
              </w:rPr>
            </w:pPr>
            <w:r w:rsidRPr="003410C7">
              <w:rPr>
                <w:rFonts w:ascii="Tahoma" w:hAnsi="Tahoma" w:cs="Tahoma"/>
                <w:sz w:val="13"/>
              </w:rPr>
              <w:t>125</w:t>
            </w:r>
          </w:p>
        </w:tc>
        <w:tc>
          <w:tcPr>
            <w:tcW w:w="450" w:type="dxa"/>
            <w:tcBorders>
              <w:bottom w:val="single" w:sz="4" w:space="0" w:color="auto"/>
            </w:tcBorders>
            <w:shd w:val="clear" w:color="auto" w:fill="auto"/>
            <w:vAlign w:val="center"/>
          </w:tcPr>
          <w:p w:rsidR="001A63C6" w:rsidRPr="003410C7" w:rsidRDefault="001A63C6" w:rsidP="001A63C6">
            <w:pPr>
              <w:pStyle w:val="TableText"/>
              <w:widowControl w:val="0"/>
              <w:rPr>
                <w:rFonts w:ascii="Tahoma" w:hAnsi="Tahoma" w:cs="Tahoma"/>
                <w:sz w:val="13"/>
              </w:rPr>
            </w:pPr>
            <w:r w:rsidRPr="003410C7">
              <w:rPr>
                <w:rFonts w:ascii="Tahoma" w:hAnsi="Tahoma" w:cs="Tahoma"/>
                <w:sz w:val="13"/>
              </w:rPr>
              <w:t>100</w:t>
            </w:r>
          </w:p>
        </w:tc>
        <w:tc>
          <w:tcPr>
            <w:tcW w:w="450" w:type="dxa"/>
            <w:tcBorders>
              <w:bottom w:val="single" w:sz="4" w:space="0" w:color="auto"/>
            </w:tcBorders>
            <w:shd w:val="clear" w:color="auto" w:fill="auto"/>
            <w:vAlign w:val="center"/>
          </w:tcPr>
          <w:p w:rsidR="001A63C6" w:rsidRPr="003410C7" w:rsidRDefault="001A63C6" w:rsidP="001A63C6">
            <w:pPr>
              <w:pStyle w:val="TableText"/>
              <w:widowControl w:val="0"/>
              <w:rPr>
                <w:rFonts w:ascii="Tahoma" w:hAnsi="Tahoma" w:cs="Tahoma"/>
                <w:sz w:val="13"/>
              </w:rPr>
            </w:pPr>
            <w:r w:rsidRPr="003410C7">
              <w:rPr>
                <w:rFonts w:ascii="Tahoma" w:hAnsi="Tahoma" w:cs="Tahoma"/>
                <w:sz w:val="13"/>
              </w:rPr>
              <w:t>75</w:t>
            </w:r>
          </w:p>
        </w:tc>
        <w:tc>
          <w:tcPr>
            <w:tcW w:w="450" w:type="dxa"/>
            <w:tcBorders>
              <w:bottom w:val="single" w:sz="4" w:space="0" w:color="auto"/>
            </w:tcBorders>
            <w:shd w:val="clear" w:color="auto" w:fill="auto"/>
            <w:vAlign w:val="center"/>
          </w:tcPr>
          <w:p w:rsidR="001A63C6" w:rsidRPr="003410C7" w:rsidRDefault="001A63C6" w:rsidP="001A63C6">
            <w:pPr>
              <w:pStyle w:val="TableText"/>
              <w:widowControl w:val="0"/>
              <w:rPr>
                <w:rFonts w:ascii="Tahoma" w:hAnsi="Tahoma" w:cs="Tahoma"/>
                <w:sz w:val="13"/>
              </w:rPr>
            </w:pPr>
            <w:r w:rsidRPr="003410C7">
              <w:rPr>
                <w:rFonts w:ascii="Tahoma" w:hAnsi="Tahoma" w:cs="Tahoma"/>
                <w:sz w:val="13"/>
              </w:rPr>
              <w:t>75</w:t>
            </w:r>
          </w:p>
        </w:tc>
        <w:tc>
          <w:tcPr>
            <w:tcW w:w="450" w:type="dxa"/>
            <w:tcBorders>
              <w:bottom w:val="single" w:sz="4" w:space="0" w:color="auto"/>
            </w:tcBorders>
            <w:shd w:val="clear" w:color="auto" w:fill="auto"/>
            <w:vAlign w:val="center"/>
          </w:tcPr>
          <w:p w:rsidR="001A63C6" w:rsidRPr="003410C7" w:rsidRDefault="001A63C6" w:rsidP="001A63C6">
            <w:pPr>
              <w:pStyle w:val="TableText"/>
              <w:widowControl w:val="0"/>
              <w:rPr>
                <w:rFonts w:ascii="Tahoma" w:hAnsi="Tahoma" w:cs="Tahoma"/>
                <w:sz w:val="13"/>
              </w:rPr>
            </w:pPr>
            <w:r w:rsidRPr="003410C7">
              <w:rPr>
                <w:rFonts w:ascii="Tahoma" w:hAnsi="Tahoma" w:cs="Tahoma"/>
                <w:sz w:val="13"/>
              </w:rPr>
              <w:t>50</w:t>
            </w:r>
          </w:p>
        </w:tc>
        <w:tc>
          <w:tcPr>
            <w:tcW w:w="360" w:type="dxa"/>
            <w:tcBorders>
              <w:bottom w:val="single" w:sz="4" w:space="0" w:color="auto"/>
              <w:right w:val="single" w:sz="18" w:space="0" w:color="auto"/>
            </w:tcBorders>
            <w:shd w:val="clear" w:color="auto" w:fill="auto"/>
            <w:vAlign w:val="center"/>
          </w:tcPr>
          <w:p w:rsidR="001A63C6" w:rsidRPr="003410C7" w:rsidRDefault="001A63C6" w:rsidP="001A63C6">
            <w:pPr>
              <w:pStyle w:val="TableText"/>
              <w:widowControl w:val="0"/>
              <w:rPr>
                <w:rFonts w:ascii="Tahoma" w:hAnsi="Tahoma" w:cs="Tahoma"/>
                <w:sz w:val="13"/>
              </w:rPr>
            </w:pPr>
            <w:r w:rsidRPr="003410C7">
              <w:rPr>
                <w:rFonts w:ascii="Tahoma" w:hAnsi="Tahoma" w:cs="Tahoma"/>
                <w:sz w:val="13"/>
              </w:rPr>
              <w:t>25</w:t>
            </w:r>
          </w:p>
        </w:tc>
        <w:tc>
          <w:tcPr>
            <w:tcW w:w="450" w:type="dxa"/>
            <w:tcBorders>
              <w:left w:val="single" w:sz="18" w:space="0" w:color="auto"/>
              <w:bottom w:val="single" w:sz="4" w:space="0" w:color="auto"/>
            </w:tcBorders>
            <w:shd w:val="clear" w:color="auto" w:fill="auto"/>
            <w:vAlign w:val="center"/>
          </w:tcPr>
          <w:p w:rsidR="001A63C6" w:rsidRPr="003410C7"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3410C7" w:rsidRDefault="001A63C6" w:rsidP="001A63C6">
            <w:pPr>
              <w:pStyle w:val="TableText"/>
              <w:widowControl w:val="0"/>
              <w:rPr>
                <w:rFonts w:ascii="Tahoma" w:hAnsi="Tahoma" w:cs="Tahoma"/>
                <w:sz w:val="13"/>
              </w:rPr>
            </w:pPr>
            <w:r w:rsidRPr="003410C7">
              <w:rPr>
                <w:rFonts w:ascii="Tahoma" w:hAnsi="Tahoma" w:cs="Tahoma"/>
                <w:sz w:val="13"/>
              </w:rPr>
              <w:t>100</w:t>
            </w:r>
          </w:p>
        </w:tc>
        <w:tc>
          <w:tcPr>
            <w:tcW w:w="450" w:type="dxa"/>
            <w:tcBorders>
              <w:bottom w:val="single" w:sz="4" w:space="0" w:color="auto"/>
              <w:right w:val="single" w:sz="18" w:space="0" w:color="auto"/>
            </w:tcBorders>
            <w:shd w:val="clear" w:color="auto" w:fill="auto"/>
            <w:vAlign w:val="center"/>
          </w:tcPr>
          <w:p w:rsidR="001A63C6" w:rsidRPr="003410C7" w:rsidRDefault="001A63C6" w:rsidP="001A63C6">
            <w:pPr>
              <w:pStyle w:val="TableText"/>
              <w:widowControl w:val="0"/>
              <w:rPr>
                <w:rFonts w:ascii="Tahoma" w:hAnsi="Tahoma" w:cs="Tahoma"/>
                <w:sz w:val="13"/>
              </w:rPr>
            </w:pPr>
            <w:r w:rsidRPr="003410C7">
              <w:rPr>
                <w:rFonts w:ascii="Tahoma" w:hAnsi="Tahoma" w:cs="Tahoma"/>
                <w:sz w:val="13"/>
              </w:rPr>
              <w:t>50</w:t>
            </w:r>
          </w:p>
        </w:tc>
        <w:tc>
          <w:tcPr>
            <w:tcW w:w="450" w:type="dxa"/>
            <w:tcBorders>
              <w:left w:val="single" w:sz="18" w:space="0" w:color="auto"/>
              <w:bottom w:val="single" w:sz="4" w:space="0" w:color="auto"/>
            </w:tcBorders>
            <w:shd w:val="clear" w:color="auto" w:fill="auto"/>
            <w:vAlign w:val="center"/>
          </w:tcPr>
          <w:p w:rsidR="001A63C6" w:rsidRPr="003410C7" w:rsidRDefault="001A63C6" w:rsidP="001A63C6">
            <w:pPr>
              <w:pStyle w:val="TableText"/>
              <w:widowControl w:val="0"/>
              <w:rPr>
                <w:rFonts w:ascii="Tahoma" w:hAnsi="Tahoma" w:cs="Tahoma"/>
                <w:sz w:val="13"/>
              </w:rPr>
            </w:pPr>
            <w:r w:rsidRPr="003410C7">
              <w:rPr>
                <w:rFonts w:ascii="Tahoma" w:hAnsi="Tahoma" w:cs="Tahoma"/>
                <w:sz w:val="13"/>
              </w:rPr>
              <w:t>50</w:t>
            </w:r>
          </w:p>
        </w:tc>
        <w:tc>
          <w:tcPr>
            <w:tcW w:w="450" w:type="dxa"/>
            <w:tcBorders>
              <w:bottom w:val="single" w:sz="4" w:space="0" w:color="auto"/>
              <w:right w:val="single" w:sz="18" w:space="0" w:color="auto"/>
            </w:tcBorders>
            <w:shd w:val="clear" w:color="auto" w:fill="auto"/>
            <w:vAlign w:val="center"/>
          </w:tcPr>
          <w:p w:rsidR="001A63C6" w:rsidRPr="003410C7" w:rsidRDefault="001A63C6" w:rsidP="001A63C6">
            <w:pPr>
              <w:pStyle w:val="TableText"/>
              <w:widowControl w:val="0"/>
              <w:rPr>
                <w:rFonts w:ascii="Tahoma" w:hAnsi="Tahoma" w:cs="Tahoma"/>
                <w:sz w:val="13"/>
              </w:rPr>
            </w:pPr>
            <w:r w:rsidRPr="003410C7">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rsidR="001A63C6" w:rsidRPr="003410C7" w:rsidRDefault="001A63C6" w:rsidP="001A63C6">
            <w:pPr>
              <w:pStyle w:val="TableText"/>
              <w:widowControl w:val="0"/>
              <w:rPr>
                <w:rFonts w:ascii="Tahoma" w:hAnsi="Tahoma" w:cs="Tahoma"/>
                <w:sz w:val="13"/>
              </w:rPr>
            </w:pPr>
            <w:r w:rsidRPr="003410C7">
              <w:rPr>
                <w:rFonts w:ascii="Tahoma" w:hAnsi="Tahoma" w:cs="Tahoma"/>
                <w:sz w:val="13"/>
              </w:rPr>
              <w:t>P</w:t>
            </w:r>
          </w:p>
        </w:tc>
        <w:tc>
          <w:tcPr>
            <w:tcW w:w="450" w:type="dxa"/>
            <w:tcBorders>
              <w:bottom w:val="single" w:sz="4" w:space="0" w:color="auto"/>
            </w:tcBorders>
            <w:shd w:val="clear" w:color="auto" w:fill="auto"/>
            <w:vAlign w:val="center"/>
          </w:tcPr>
          <w:p w:rsidR="001A63C6" w:rsidRPr="003410C7" w:rsidRDefault="001A63C6" w:rsidP="001A63C6">
            <w:pPr>
              <w:pStyle w:val="TableText"/>
              <w:widowControl w:val="0"/>
              <w:spacing w:before="120"/>
              <w:rPr>
                <w:rFonts w:ascii="Tahoma" w:hAnsi="Tahoma" w:cs="Tahoma"/>
                <w:sz w:val="13"/>
              </w:rPr>
            </w:pPr>
            <w:r w:rsidRPr="003410C7">
              <w:rPr>
                <w:rFonts w:ascii="Tahoma" w:hAnsi="Tahoma" w:cs="Tahoma"/>
                <w:sz w:val="13"/>
              </w:rPr>
              <w:t>A</w:t>
            </w:r>
          </w:p>
        </w:tc>
        <w:tc>
          <w:tcPr>
            <w:tcW w:w="540" w:type="dxa"/>
            <w:tcBorders>
              <w:bottom w:val="single" w:sz="4" w:space="0" w:color="auto"/>
            </w:tcBorders>
            <w:shd w:val="clear" w:color="auto" w:fill="auto"/>
            <w:vAlign w:val="center"/>
          </w:tcPr>
          <w:p w:rsidR="001A63C6" w:rsidRPr="003410C7" w:rsidRDefault="001A63C6" w:rsidP="001A63C6">
            <w:pPr>
              <w:pStyle w:val="TableText"/>
              <w:widowControl w:val="0"/>
              <w:rPr>
                <w:rFonts w:ascii="Tahoma" w:hAnsi="Tahoma" w:cs="Tahoma"/>
                <w:sz w:val="13"/>
              </w:rPr>
            </w:pPr>
            <w:r w:rsidRPr="003410C7">
              <w:rPr>
                <w:rFonts w:ascii="Tahoma" w:hAnsi="Tahoma" w:cs="Tahoma"/>
                <w:sz w:val="13"/>
              </w:rPr>
              <w:t>OL/OV</w:t>
            </w:r>
          </w:p>
        </w:tc>
      </w:tr>
      <w:tr w:rsidR="00B33D0E" w:rsidRPr="003410C7" w:rsidTr="006B1F3F">
        <w:trPr>
          <w:trHeight w:val="145"/>
        </w:trPr>
        <w:tc>
          <w:tcPr>
            <w:tcW w:w="2734" w:type="dxa"/>
            <w:gridSpan w:val="2"/>
            <w:tcBorders>
              <w:bottom w:val="single" w:sz="4" w:space="0" w:color="auto"/>
            </w:tcBorders>
            <w:shd w:val="clear" w:color="auto" w:fill="FABF8F"/>
            <w:vAlign w:val="center"/>
          </w:tcPr>
          <w:p w:rsidR="001A63C6" w:rsidRPr="00451078" w:rsidRDefault="001A63C6" w:rsidP="00E904F3">
            <w:pPr>
              <w:pStyle w:val="Heading2"/>
              <w:ind w:left="0"/>
              <w:rPr>
                <w:rFonts w:ascii="Tahoma" w:hAnsi="Tahoma" w:cs="Tahoma"/>
                <w:b w:val="0"/>
                <w:sz w:val="14"/>
                <w:szCs w:val="14"/>
                <w:lang w:val="it-IT"/>
              </w:rPr>
            </w:pPr>
            <w:bookmarkStart w:id="336" w:name="_Toc336338018"/>
            <w:bookmarkStart w:id="337" w:name="_Toc352234625"/>
            <w:r w:rsidRPr="00451078">
              <w:rPr>
                <w:rFonts w:ascii="Tahoma" w:hAnsi="Tahoma" w:cs="Tahoma"/>
                <w:b w:val="0"/>
                <w:sz w:val="14"/>
                <w:szCs w:val="14"/>
                <w:lang w:val="it-IT"/>
              </w:rPr>
              <w:t>CAL Aggiuntiva per l</w:t>
            </w:r>
            <w:r w:rsidR="0073727D">
              <w:rPr>
                <w:rFonts w:ascii="Tahoma" w:hAnsi="Tahoma" w:cs="Tahoma"/>
                <w:b w:val="0"/>
                <w:sz w:val="14"/>
                <w:szCs w:val="14"/>
                <w:lang w:val="it-IT"/>
              </w:rPr>
              <w:t>’</w:t>
            </w:r>
            <w:r w:rsidRPr="00451078">
              <w:rPr>
                <w:rFonts w:ascii="Tahoma" w:hAnsi="Tahoma" w:cs="Tahoma"/>
                <w:b w:val="0"/>
                <w:sz w:val="14"/>
                <w:szCs w:val="14"/>
                <w:lang w:val="it-IT"/>
              </w:rPr>
              <w:t>Utilizzo Completo di</w:t>
            </w:r>
            <w:r w:rsidR="00F57878" w:rsidRPr="00451078">
              <w:rPr>
                <w:rFonts w:ascii="Tahoma" w:hAnsi="Tahoma" w:cs="Tahoma"/>
                <w:b w:val="0"/>
                <w:sz w:val="14"/>
                <w:szCs w:val="14"/>
                <w:lang w:val="it-IT"/>
              </w:rPr>
              <w:t> </w:t>
            </w:r>
            <w:r w:rsidRPr="00451078">
              <w:rPr>
                <w:rFonts w:ascii="Tahoma" w:hAnsi="Tahoma" w:cs="Tahoma"/>
                <w:b w:val="0"/>
                <w:sz w:val="14"/>
                <w:szCs w:val="14"/>
                <w:lang w:val="it-IT"/>
              </w:rPr>
              <w:t xml:space="preserve">Microsoft Dynamics CRM 2011 </w:t>
            </w:r>
            <w:r w:rsidR="00F57878" w:rsidRPr="00451078">
              <w:rPr>
                <w:rFonts w:ascii="Tahoma" w:hAnsi="Tahoma" w:cs="Tahoma"/>
                <w:b w:val="0"/>
                <w:sz w:val="14"/>
                <w:szCs w:val="14"/>
                <w:lang w:val="it-IT"/>
              </w:rPr>
              <w:br/>
            </w:r>
            <w:r w:rsidRPr="00451078">
              <w:rPr>
                <w:rFonts w:ascii="Tahoma" w:hAnsi="Tahoma" w:cs="Tahoma"/>
                <w:b w:val="0"/>
                <w:sz w:val="14"/>
                <w:szCs w:val="14"/>
                <w:lang w:val="it-IT"/>
              </w:rPr>
              <w:t>(Utente e Dispositivo)</w:t>
            </w:r>
            <w:bookmarkEnd w:id="336"/>
            <w:bookmarkEnd w:id="337"/>
          </w:p>
        </w:tc>
        <w:tc>
          <w:tcPr>
            <w:tcW w:w="450" w:type="dxa"/>
            <w:tcBorders>
              <w:bottom w:val="single" w:sz="4" w:space="0" w:color="auto"/>
            </w:tcBorders>
            <w:shd w:val="clear" w:color="auto" w:fill="FABF8F"/>
            <w:vAlign w:val="center"/>
          </w:tcPr>
          <w:p w:rsidR="001A63C6" w:rsidRPr="009F17FF" w:rsidRDefault="00FC1A4D" w:rsidP="00097C8C">
            <w:pPr>
              <w:pStyle w:val="TableText"/>
              <w:widowControl w:val="0"/>
              <w:rPr>
                <w:b/>
                <w:color w:val="0000FF"/>
                <w:sz w:val="13"/>
                <w:szCs w:val="13"/>
                <w:u w:val="single"/>
              </w:rPr>
            </w:pPr>
            <w:hyperlink w:anchor="_68_Microsoft_Dynamics" w:history="1">
              <w:r w:rsidR="00854AAB" w:rsidRPr="00854AAB">
                <w:rPr>
                  <w:rStyle w:val="Hyperlink"/>
                  <w:b/>
                  <w:sz w:val="13"/>
                  <w:szCs w:val="13"/>
                </w:rPr>
                <w:t>66</w:t>
              </w:r>
            </w:hyperlink>
          </w:p>
        </w:tc>
        <w:tc>
          <w:tcPr>
            <w:tcW w:w="450" w:type="dxa"/>
            <w:tcBorders>
              <w:bottom w:val="single" w:sz="4" w:space="0" w:color="auto"/>
            </w:tcBorders>
            <w:shd w:val="clear" w:color="auto" w:fill="FABF8F"/>
          </w:tcPr>
          <w:p w:rsidR="001A63C6" w:rsidRPr="003410C7" w:rsidRDefault="001A63C6" w:rsidP="001A63C6">
            <w:pPr>
              <w:pStyle w:val="TableText"/>
              <w:widowControl w:val="0"/>
              <w:spacing w:before="120"/>
              <w:rPr>
                <w:rFonts w:ascii="Tahoma" w:hAnsi="Tahoma" w:cs="Tahoma"/>
                <w:color w:val="000000"/>
                <w:sz w:val="13"/>
              </w:rPr>
            </w:pPr>
            <w:r w:rsidRPr="003410C7">
              <w:rPr>
                <w:rFonts w:ascii="Tahoma" w:hAnsi="Tahoma" w:cs="Tahoma"/>
                <w:color w:val="000000"/>
                <w:sz w:val="13"/>
              </w:rPr>
              <w:t>04/01</w:t>
            </w:r>
          </w:p>
        </w:tc>
        <w:tc>
          <w:tcPr>
            <w:tcW w:w="360" w:type="dxa"/>
            <w:tcBorders>
              <w:bottom w:val="single" w:sz="4" w:space="0" w:color="auto"/>
              <w:right w:val="single" w:sz="18" w:space="0" w:color="auto"/>
            </w:tcBorders>
            <w:shd w:val="clear" w:color="auto" w:fill="FABF8F"/>
            <w:vAlign w:val="center"/>
          </w:tcPr>
          <w:p w:rsidR="001A63C6" w:rsidRPr="003410C7" w:rsidRDefault="001A63C6" w:rsidP="001A63C6">
            <w:pPr>
              <w:pStyle w:val="TableText"/>
              <w:widowControl w:val="0"/>
              <w:rPr>
                <w:rFonts w:ascii="Tahoma" w:hAnsi="Tahoma" w:cs="Tahoma"/>
                <w:sz w:val="13"/>
              </w:rPr>
            </w:pPr>
            <w:r w:rsidRPr="003410C7">
              <w:rPr>
                <w:rFonts w:ascii="Tahoma" w:hAnsi="Tahoma" w:cs="Tahoma"/>
                <w:sz w:val="13"/>
              </w:rPr>
              <w:t>SRV</w:t>
            </w:r>
          </w:p>
        </w:tc>
        <w:tc>
          <w:tcPr>
            <w:tcW w:w="360" w:type="dxa"/>
            <w:tcBorders>
              <w:left w:val="single" w:sz="18" w:space="0" w:color="auto"/>
              <w:bottom w:val="single" w:sz="4" w:space="0" w:color="auto"/>
            </w:tcBorders>
            <w:shd w:val="clear" w:color="auto" w:fill="FABF8F"/>
            <w:vAlign w:val="center"/>
          </w:tcPr>
          <w:p w:rsidR="001A63C6" w:rsidRPr="003410C7"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3410C7" w:rsidRDefault="001A63C6" w:rsidP="001A63C6">
            <w:pPr>
              <w:pStyle w:val="TableText"/>
              <w:widowControl w:val="0"/>
              <w:rPr>
                <w:rFonts w:ascii="Tahoma" w:hAnsi="Tahoma" w:cs="Tahoma"/>
                <w:sz w:val="13"/>
              </w:rPr>
            </w:pPr>
            <w:r w:rsidRPr="003410C7">
              <w:rPr>
                <w:rFonts w:ascii="Tahoma" w:hAnsi="Tahoma" w:cs="Tahoma"/>
                <w:sz w:val="13"/>
              </w:rPr>
              <w:t>13</w:t>
            </w:r>
          </w:p>
        </w:tc>
        <w:tc>
          <w:tcPr>
            <w:tcW w:w="450" w:type="dxa"/>
            <w:tcBorders>
              <w:bottom w:val="single" w:sz="4" w:space="0" w:color="auto"/>
            </w:tcBorders>
            <w:shd w:val="clear" w:color="auto" w:fill="FABF8F"/>
            <w:vAlign w:val="center"/>
          </w:tcPr>
          <w:p w:rsidR="001A63C6" w:rsidRPr="003410C7" w:rsidRDefault="001A63C6" w:rsidP="001A63C6">
            <w:pPr>
              <w:pStyle w:val="TableText"/>
              <w:widowControl w:val="0"/>
              <w:rPr>
                <w:rFonts w:ascii="Tahoma" w:hAnsi="Tahoma" w:cs="Tahoma"/>
                <w:sz w:val="13"/>
              </w:rPr>
            </w:pPr>
            <w:r w:rsidRPr="003410C7">
              <w:rPr>
                <w:rFonts w:ascii="Tahoma" w:hAnsi="Tahoma" w:cs="Tahoma"/>
                <w:sz w:val="13"/>
              </w:rPr>
              <w:t>10</w:t>
            </w:r>
          </w:p>
        </w:tc>
        <w:tc>
          <w:tcPr>
            <w:tcW w:w="450" w:type="dxa"/>
            <w:tcBorders>
              <w:bottom w:val="single" w:sz="4" w:space="0" w:color="auto"/>
            </w:tcBorders>
            <w:shd w:val="clear" w:color="auto" w:fill="FABF8F"/>
            <w:vAlign w:val="center"/>
          </w:tcPr>
          <w:p w:rsidR="001A63C6" w:rsidRPr="003410C7" w:rsidRDefault="001A63C6" w:rsidP="001A63C6">
            <w:pPr>
              <w:pStyle w:val="TableText"/>
              <w:widowControl w:val="0"/>
              <w:rPr>
                <w:rFonts w:ascii="Tahoma" w:hAnsi="Tahoma" w:cs="Tahoma"/>
                <w:sz w:val="13"/>
              </w:rPr>
            </w:pPr>
            <w:r w:rsidRPr="003410C7">
              <w:rPr>
                <w:rFonts w:ascii="Tahoma" w:hAnsi="Tahoma" w:cs="Tahoma"/>
                <w:sz w:val="13"/>
              </w:rPr>
              <w:t>8</w:t>
            </w:r>
          </w:p>
        </w:tc>
        <w:tc>
          <w:tcPr>
            <w:tcW w:w="450" w:type="dxa"/>
            <w:tcBorders>
              <w:bottom w:val="single" w:sz="4" w:space="0" w:color="auto"/>
            </w:tcBorders>
            <w:shd w:val="clear" w:color="auto" w:fill="FABF8F"/>
            <w:vAlign w:val="center"/>
          </w:tcPr>
          <w:p w:rsidR="001A63C6" w:rsidRPr="003410C7" w:rsidRDefault="001A63C6" w:rsidP="001A63C6">
            <w:pPr>
              <w:pStyle w:val="TableText"/>
              <w:widowControl w:val="0"/>
              <w:rPr>
                <w:rFonts w:ascii="Tahoma" w:hAnsi="Tahoma" w:cs="Tahoma"/>
                <w:sz w:val="13"/>
              </w:rPr>
            </w:pPr>
            <w:r w:rsidRPr="003410C7">
              <w:rPr>
                <w:rFonts w:ascii="Tahoma" w:hAnsi="Tahoma" w:cs="Tahoma"/>
                <w:sz w:val="13"/>
              </w:rPr>
              <w:t>8</w:t>
            </w:r>
          </w:p>
        </w:tc>
        <w:tc>
          <w:tcPr>
            <w:tcW w:w="450" w:type="dxa"/>
            <w:tcBorders>
              <w:bottom w:val="single" w:sz="4" w:space="0" w:color="auto"/>
            </w:tcBorders>
            <w:shd w:val="clear" w:color="auto" w:fill="FABF8F"/>
            <w:vAlign w:val="center"/>
          </w:tcPr>
          <w:p w:rsidR="001A63C6" w:rsidRPr="003410C7" w:rsidRDefault="001A63C6" w:rsidP="001A63C6">
            <w:pPr>
              <w:pStyle w:val="TableText"/>
              <w:widowControl w:val="0"/>
              <w:rPr>
                <w:rFonts w:ascii="Tahoma" w:hAnsi="Tahoma" w:cs="Tahoma"/>
                <w:sz w:val="13"/>
              </w:rPr>
            </w:pPr>
            <w:r w:rsidRPr="003410C7">
              <w:rPr>
                <w:rFonts w:ascii="Tahoma" w:hAnsi="Tahoma" w:cs="Tahoma"/>
                <w:sz w:val="13"/>
              </w:rPr>
              <w:t>5</w:t>
            </w:r>
          </w:p>
        </w:tc>
        <w:tc>
          <w:tcPr>
            <w:tcW w:w="360" w:type="dxa"/>
            <w:tcBorders>
              <w:bottom w:val="single" w:sz="4" w:space="0" w:color="auto"/>
              <w:right w:val="single" w:sz="18" w:space="0" w:color="auto"/>
            </w:tcBorders>
            <w:shd w:val="clear" w:color="auto" w:fill="FABF8F"/>
            <w:vAlign w:val="center"/>
          </w:tcPr>
          <w:p w:rsidR="001A63C6" w:rsidRPr="003410C7" w:rsidRDefault="001A63C6" w:rsidP="001A63C6">
            <w:pPr>
              <w:pStyle w:val="TableText"/>
              <w:widowControl w:val="0"/>
              <w:rPr>
                <w:rFonts w:ascii="Tahoma" w:hAnsi="Tahoma" w:cs="Tahoma"/>
                <w:sz w:val="13"/>
              </w:rPr>
            </w:pPr>
            <w:r w:rsidRPr="003410C7">
              <w:rPr>
                <w:rFonts w:ascii="Tahoma" w:hAnsi="Tahoma" w:cs="Tahoma"/>
                <w:sz w:val="13"/>
              </w:rPr>
              <w:t>3</w:t>
            </w:r>
          </w:p>
        </w:tc>
        <w:tc>
          <w:tcPr>
            <w:tcW w:w="450" w:type="dxa"/>
            <w:tcBorders>
              <w:left w:val="single" w:sz="18" w:space="0" w:color="auto"/>
              <w:bottom w:val="single" w:sz="4" w:space="0" w:color="auto"/>
            </w:tcBorders>
            <w:shd w:val="clear" w:color="auto" w:fill="FABF8F"/>
            <w:vAlign w:val="center"/>
          </w:tcPr>
          <w:p w:rsidR="001A63C6" w:rsidRPr="003410C7"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3410C7" w:rsidRDefault="001A63C6" w:rsidP="001A63C6">
            <w:pPr>
              <w:pStyle w:val="TableText"/>
              <w:widowControl w:val="0"/>
              <w:rPr>
                <w:rFonts w:ascii="Tahoma" w:hAnsi="Tahoma" w:cs="Tahoma"/>
                <w:sz w:val="13"/>
              </w:rPr>
            </w:pPr>
            <w:r w:rsidRPr="003410C7">
              <w:rPr>
                <w:rFonts w:ascii="Tahoma" w:hAnsi="Tahoma" w:cs="Tahoma"/>
                <w:sz w:val="13"/>
              </w:rPr>
              <w:t>10</w:t>
            </w:r>
          </w:p>
        </w:tc>
        <w:tc>
          <w:tcPr>
            <w:tcW w:w="450" w:type="dxa"/>
            <w:tcBorders>
              <w:bottom w:val="single" w:sz="4" w:space="0" w:color="auto"/>
              <w:right w:val="single" w:sz="18" w:space="0" w:color="auto"/>
            </w:tcBorders>
            <w:shd w:val="clear" w:color="auto" w:fill="FABF8F"/>
            <w:vAlign w:val="center"/>
          </w:tcPr>
          <w:p w:rsidR="001A63C6" w:rsidRPr="003410C7" w:rsidRDefault="001A63C6" w:rsidP="001A63C6">
            <w:pPr>
              <w:pStyle w:val="TableText"/>
              <w:widowControl w:val="0"/>
              <w:rPr>
                <w:rFonts w:ascii="Tahoma" w:hAnsi="Tahoma" w:cs="Tahoma"/>
                <w:sz w:val="13"/>
              </w:rPr>
            </w:pPr>
            <w:r w:rsidRPr="003410C7">
              <w:rPr>
                <w:rFonts w:ascii="Tahoma" w:hAnsi="Tahoma" w:cs="Tahoma"/>
                <w:sz w:val="13"/>
              </w:rPr>
              <w:t>5</w:t>
            </w:r>
          </w:p>
        </w:tc>
        <w:tc>
          <w:tcPr>
            <w:tcW w:w="450" w:type="dxa"/>
            <w:tcBorders>
              <w:left w:val="single" w:sz="18" w:space="0" w:color="auto"/>
              <w:bottom w:val="single" w:sz="4" w:space="0" w:color="auto"/>
            </w:tcBorders>
            <w:shd w:val="clear" w:color="auto" w:fill="FABF8F"/>
            <w:vAlign w:val="center"/>
          </w:tcPr>
          <w:p w:rsidR="001A63C6" w:rsidRPr="003410C7" w:rsidRDefault="001A63C6" w:rsidP="001A63C6">
            <w:pPr>
              <w:pStyle w:val="TableText"/>
              <w:widowControl w:val="0"/>
              <w:rPr>
                <w:rFonts w:ascii="Tahoma" w:hAnsi="Tahoma" w:cs="Tahoma"/>
                <w:sz w:val="13"/>
              </w:rPr>
            </w:pPr>
            <w:r w:rsidRPr="003410C7">
              <w:rPr>
                <w:rFonts w:ascii="Tahoma" w:hAnsi="Tahoma" w:cs="Tahoma"/>
                <w:sz w:val="13"/>
              </w:rPr>
              <w:t>5</w:t>
            </w:r>
          </w:p>
        </w:tc>
        <w:tc>
          <w:tcPr>
            <w:tcW w:w="450" w:type="dxa"/>
            <w:tcBorders>
              <w:bottom w:val="single" w:sz="4" w:space="0" w:color="auto"/>
              <w:right w:val="single" w:sz="18" w:space="0" w:color="auto"/>
            </w:tcBorders>
            <w:shd w:val="clear" w:color="auto" w:fill="FABF8F"/>
            <w:vAlign w:val="center"/>
          </w:tcPr>
          <w:p w:rsidR="001A63C6" w:rsidRPr="003410C7" w:rsidRDefault="001A63C6" w:rsidP="001A63C6">
            <w:pPr>
              <w:pStyle w:val="TableText"/>
              <w:widowControl w:val="0"/>
              <w:rPr>
                <w:rFonts w:ascii="Tahoma" w:hAnsi="Tahoma" w:cs="Tahoma"/>
                <w:sz w:val="13"/>
              </w:rPr>
            </w:pPr>
            <w:r w:rsidRPr="003410C7">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3410C7" w:rsidRDefault="001A63C6" w:rsidP="001A63C6">
            <w:pPr>
              <w:pStyle w:val="TableText"/>
              <w:widowControl w:val="0"/>
              <w:rPr>
                <w:rFonts w:ascii="Tahoma" w:hAnsi="Tahoma" w:cs="Tahoma"/>
                <w:sz w:val="13"/>
              </w:rPr>
            </w:pPr>
            <w:r w:rsidRPr="003410C7">
              <w:rPr>
                <w:rFonts w:ascii="Tahoma" w:hAnsi="Tahoma" w:cs="Tahoma"/>
                <w:sz w:val="13"/>
              </w:rPr>
              <w:t>P</w:t>
            </w:r>
          </w:p>
        </w:tc>
        <w:tc>
          <w:tcPr>
            <w:tcW w:w="450" w:type="dxa"/>
            <w:tcBorders>
              <w:bottom w:val="single" w:sz="4" w:space="0" w:color="auto"/>
            </w:tcBorders>
            <w:shd w:val="clear" w:color="auto" w:fill="FABF8F"/>
            <w:vAlign w:val="center"/>
          </w:tcPr>
          <w:p w:rsidR="001A63C6" w:rsidRPr="003410C7" w:rsidRDefault="001A63C6" w:rsidP="001A63C6">
            <w:pPr>
              <w:pStyle w:val="TableText"/>
              <w:widowControl w:val="0"/>
              <w:spacing w:before="120"/>
              <w:rPr>
                <w:rFonts w:ascii="Tahoma" w:hAnsi="Tahoma" w:cs="Tahoma"/>
                <w:sz w:val="13"/>
              </w:rPr>
            </w:pPr>
            <w:r w:rsidRPr="003410C7">
              <w:rPr>
                <w:rFonts w:ascii="Tahoma" w:hAnsi="Tahoma" w:cs="Tahoma"/>
                <w:sz w:val="13"/>
              </w:rPr>
              <w:t>A, ST</w:t>
            </w:r>
          </w:p>
        </w:tc>
        <w:tc>
          <w:tcPr>
            <w:tcW w:w="540" w:type="dxa"/>
            <w:tcBorders>
              <w:bottom w:val="single" w:sz="4" w:space="0" w:color="auto"/>
            </w:tcBorders>
            <w:shd w:val="clear" w:color="auto" w:fill="FABF8F"/>
            <w:vAlign w:val="center"/>
          </w:tcPr>
          <w:p w:rsidR="001A63C6" w:rsidRPr="003410C7" w:rsidRDefault="001A63C6" w:rsidP="001A63C6">
            <w:pPr>
              <w:pStyle w:val="TableText"/>
              <w:widowControl w:val="0"/>
              <w:rPr>
                <w:rFonts w:ascii="Tahoma" w:hAnsi="Tahoma" w:cs="Tahoma"/>
                <w:sz w:val="13"/>
              </w:rPr>
            </w:pPr>
            <w:r w:rsidRPr="003410C7">
              <w:rPr>
                <w:rFonts w:ascii="Tahoma" w:hAnsi="Tahoma" w:cs="Tahoma"/>
                <w:sz w:val="13"/>
              </w:rPr>
              <w:t>OL/OV</w:t>
            </w:r>
          </w:p>
        </w:tc>
      </w:tr>
      <w:tr w:rsidR="001A63C6" w:rsidRPr="003410C7" w:rsidTr="007E466C">
        <w:trPr>
          <w:trHeight w:val="145"/>
        </w:trPr>
        <w:tc>
          <w:tcPr>
            <w:tcW w:w="2734" w:type="dxa"/>
            <w:gridSpan w:val="2"/>
            <w:tcBorders>
              <w:bottom w:val="single" w:sz="4" w:space="0" w:color="auto"/>
            </w:tcBorders>
            <w:shd w:val="clear" w:color="auto" w:fill="auto"/>
            <w:vAlign w:val="center"/>
          </w:tcPr>
          <w:p w:rsidR="001A63C6" w:rsidRPr="00451078" w:rsidRDefault="001A63C6" w:rsidP="001A63C6">
            <w:pPr>
              <w:pStyle w:val="Heading2"/>
              <w:ind w:left="0"/>
              <w:rPr>
                <w:rFonts w:ascii="Tahoma" w:hAnsi="Tahoma" w:cs="Tahoma"/>
                <w:b w:val="0"/>
                <w:sz w:val="14"/>
                <w:szCs w:val="14"/>
                <w:lang w:val="it-IT"/>
              </w:rPr>
            </w:pPr>
            <w:bookmarkStart w:id="338" w:name="_Toc336338019"/>
            <w:bookmarkStart w:id="339" w:name="_Toc352234626"/>
            <w:r w:rsidRPr="00451078">
              <w:rPr>
                <w:rFonts w:ascii="Tahoma" w:hAnsi="Tahoma" w:cs="Tahoma"/>
                <w:b w:val="0"/>
                <w:sz w:val="14"/>
                <w:szCs w:val="14"/>
                <w:lang w:val="it-IT"/>
              </w:rPr>
              <w:t>CAL per l</w:t>
            </w:r>
            <w:r w:rsidR="0073727D">
              <w:rPr>
                <w:rFonts w:ascii="Tahoma" w:hAnsi="Tahoma" w:cs="Tahoma"/>
                <w:b w:val="0"/>
                <w:sz w:val="14"/>
                <w:szCs w:val="14"/>
                <w:lang w:val="it-IT"/>
              </w:rPr>
              <w:t>’</w:t>
            </w:r>
            <w:r w:rsidRPr="00451078">
              <w:rPr>
                <w:rFonts w:ascii="Tahoma" w:hAnsi="Tahoma" w:cs="Tahoma"/>
                <w:b w:val="0"/>
                <w:sz w:val="14"/>
                <w:szCs w:val="14"/>
                <w:lang w:val="it-IT"/>
              </w:rPr>
              <w:t>Utilizzo Limitato di Microsoft Dynamics CRM 2011 (Utenti e Dispositivo)</w:t>
            </w:r>
            <w:bookmarkEnd w:id="338"/>
            <w:bookmarkEnd w:id="339"/>
          </w:p>
        </w:tc>
        <w:tc>
          <w:tcPr>
            <w:tcW w:w="450" w:type="dxa"/>
            <w:tcBorders>
              <w:bottom w:val="single" w:sz="4" w:space="0" w:color="auto"/>
            </w:tcBorders>
            <w:shd w:val="clear" w:color="auto" w:fill="auto"/>
            <w:vAlign w:val="center"/>
          </w:tcPr>
          <w:p w:rsidR="001A63C6" w:rsidRPr="009F17FF" w:rsidRDefault="00FC1A4D" w:rsidP="00097C8C">
            <w:pPr>
              <w:pStyle w:val="TableText"/>
              <w:widowControl w:val="0"/>
              <w:rPr>
                <w:b/>
                <w:color w:val="0000FF"/>
                <w:sz w:val="13"/>
                <w:szCs w:val="13"/>
                <w:u w:val="single"/>
              </w:rPr>
            </w:pPr>
            <w:hyperlink w:anchor="_68_Microsoft_Dynamics" w:history="1">
              <w:r w:rsidR="00854AAB" w:rsidRPr="00854AAB">
                <w:rPr>
                  <w:rStyle w:val="Hyperlink"/>
                  <w:b/>
                  <w:sz w:val="13"/>
                  <w:szCs w:val="13"/>
                </w:rPr>
                <w:t>66</w:t>
              </w:r>
            </w:hyperlink>
          </w:p>
        </w:tc>
        <w:tc>
          <w:tcPr>
            <w:tcW w:w="450" w:type="dxa"/>
            <w:tcBorders>
              <w:bottom w:val="single" w:sz="4" w:space="0" w:color="auto"/>
            </w:tcBorders>
            <w:shd w:val="clear" w:color="auto" w:fill="auto"/>
          </w:tcPr>
          <w:p w:rsidR="001A63C6" w:rsidRPr="003410C7" w:rsidRDefault="001A63C6" w:rsidP="001A63C6">
            <w:pPr>
              <w:pStyle w:val="TableText"/>
              <w:widowControl w:val="0"/>
              <w:spacing w:before="120"/>
              <w:rPr>
                <w:rFonts w:ascii="Tahoma" w:hAnsi="Tahoma" w:cs="Tahoma"/>
                <w:color w:val="000000"/>
                <w:sz w:val="13"/>
              </w:rPr>
            </w:pPr>
            <w:r w:rsidRPr="003410C7">
              <w:rPr>
                <w:rFonts w:ascii="Tahoma" w:hAnsi="Tahoma" w:cs="Tahoma"/>
                <w:color w:val="000000"/>
                <w:sz w:val="13"/>
              </w:rPr>
              <w:t>04/01</w:t>
            </w:r>
          </w:p>
        </w:tc>
        <w:tc>
          <w:tcPr>
            <w:tcW w:w="360" w:type="dxa"/>
            <w:tcBorders>
              <w:bottom w:val="single" w:sz="4" w:space="0" w:color="auto"/>
              <w:right w:val="single" w:sz="18" w:space="0" w:color="auto"/>
            </w:tcBorders>
            <w:shd w:val="clear" w:color="auto" w:fill="auto"/>
            <w:vAlign w:val="center"/>
          </w:tcPr>
          <w:p w:rsidR="001A63C6" w:rsidRPr="003410C7" w:rsidRDefault="001A63C6" w:rsidP="001A63C6">
            <w:pPr>
              <w:pStyle w:val="TableText"/>
              <w:widowControl w:val="0"/>
              <w:rPr>
                <w:rFonts w:ascii="Tahoma" w:hAnsi="Tahoma" w:cs="Tahoma"/>
                <w:sz w:val="13"/>
              </w:rPr>
            </w:pPr>
            <w:r w:rsidRPr="003410C7">
              <w:rPr>
                <w:rFonts w:ascii="Tahoma" w:hAnsi="Tahoma" w:cs="Tahoma"/>
                <w:sz w:val="13"/>
              </w:rPr>
              <w:t>SRV</w:t>
            </w:r>
          </w:p>
        </w:tc>
        <w:tc>
          <w:tcPr>
            <w:tcW w:w="360" w:type="dxa"/>
            <w:tcBorders>
              <w:left w:val="single" w:sz="18" w:space="0" w:color="auto"/>
              <w:bottom w:val="single" w:sz="4" w:space="0" w:color="auto"/>
            </w:tcBorders>
            <w:shd w:val="clear" w:color="auto" w:fill="auto"/>
            <w:vAlign w:val="center"/>
          </w:tcPr>
          <w:p w:rsidR="001A63C6" w:rsidRPr="003410C7"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3410C7" w:rsidRDefault="001A63C6" w:rsidP="001A63C6">
            <w:pPr>
              <w:pStyle w:val="TableText"/>
              <w:widowControl w:val="0"/>
              <w:rPr>
                <w:rFonts w:ascii="Tahoma" w:hAnsi="Tahoma" w:cs="Tahoma"/>
                <w:sz w:val="13"/>
              </w:rPr>
            </w:pPr>
            <w:r w:rsidRPr="003410C7">
              <w:rPr>
                <w:rFonts w:ascii="Tahoma" w:hAnsi="Tahoma" w:cs="Tahoma"/>
                <w:sz w:val="13"/>
              </w:rPr>
              <w:t>3</w:t>
            </w:r>
          </w:p>
        </w:tc>
        <w:tc>
          <w:tcPr>
            <w:tcW w:w="450" w:type="dxa"/>
            <w:tcBorders>
              <w:bottom w:val="single" w:sz="4" w:space="0" w:color="auto"/>
            </w:tcBorders>
            <w:shd w:val="clear" w:color="auto" w:fill="auto"/>
            <w:vAlign w:val="center"/>
          </w:tcPr>
          <w:p w:rsidR="001A63C6" w:rsidRPr="003410C7" w:rsidRDefault="001A63C6" w:rsidP="001A63C6">
            <w:pPr>
              <w:pStyle w:val="TableText"/>
              <w:widowControl w:val="0"/>
              <w:rPr>
                <w:rFonts w:ascii="Tahoma" w:hAnsi="Tahoma" w:cs="Tahoma"/>
                <w:sz w:val="13"/>
              </w:rPr>
            </w:pPr>
            <w:r w:rsidRPr="003410C7">
              <w:rPr>
                <w:rFonts w:ascii="Tahoma" w:hAnsi="Tahoma" w:cs="Tahoma"/>
                <w:sz w:val="13"/>
              </w:rPr>
              <w:t>2</w:t>
            </w:r>
          </w:p>
        </w:tc>
        <w:tc>
          <w:tcPr>
            <w:tcW w:w="450" w:type="dxa"/>
            <w:tcBorders>
              <w:bottom w:val="single" w:sz="4" w:space="0" w:color="auto"/>
            </w:tcBorders>
            <w:shd w:val="clear" w:color="auto" w:fill="auto"/>
            <w:vAlign w:val="center"/>
          </w:tcPr>
          <w:p w:rsidR="001A63C6" w:rsidRPr="003410C7" w:rsidRDefault="001A63C6" w:rsidP="001A63C6">
            <w:pPr>
              <w:pStyle w:val="TableText"/>
              <w:widowControl w:val="0"/>
              <w:rPr>
                <w:rFonts w:ascii="Tahoma" w:hAnsi="Tahoma" w:cs="Tahoma"/>
                <w:sz w:val="13"/>
              </w:rPr>
            </w:pPr>
            <w:r w:rsidRPr="003410C7">
              <w:rPr>
                <w:rFonts w:ascii="Tahoma" w:hAnsi="Tahoma" w:cs="Tahoma"/>
                <w:sz w:val="13"/>
              </w:rPr>
              <w:t>2</w:t>
            </w:r>
          </w:p>
        </w:tc>
        <w:tc>
          <w:tcPr>
            <w:tcW w:w="450" w:type="dxa"/>
            <w:tcBorders>
              <w:bottom w:val="single" w:sz="4" w:space="0" w:color="auto"/>
            </w:tcBorders>
            <w:shd w:val="clear" w:color="auto" w:fill="auto"/>
            <w:vAlign w:val="center"/>
          </w:tcPr>
          <w:p w:rsidR="001A63C6" w:rsidRPr="003410C7" w:rsidRDefault="001A63C6" w:rsidP="001A63C6">
            <w:pPr>
              <w:pStyle w:val="TableText"/>
              <w:widowControl w:val="0"/>
              <w:rPr>
                <w:rFonts w:ascii="Tahoma" w:hAnsi="Tahoma" w:cs="Tahoma"/>
                <w:sz w:val="13"/>
              </w:rPr>
            </w:pPr>
            <w:r w:rsidRPr="003410C7">
              <w:rPr>
                <w:rFonts w:ascii="Tahoma" w:hAnsi="Tahoma" w:cs="Tahoma"/>
                <w:sz w:val="13"/>
              </w:rPr>
              <w:t>2</w:t>
            </w:r>
          </w:p>
        </w:tc>
        <w:tc>
          <w:tcPr>
            <w:tcW w:w="450" w:type="dxa"/>
            <w:tcBorders>
              <w:bottom w:val="single" w:sz="4" w:space="0" w:color="auto"/>
            </w:tcBorders>
            <w:shd w:val="clear" w:color="auto" w:fill="auto"/>
            <w:vAlign w:val="center"/>
          </w:tcPr>
          <w:p w:rsidR="001A63C6" w:rsidRPr="003410C7" w:rsidRDefault="001A63C6" w:rsidP="001A63C6">
            <w:pPr>
              <w:pStyle w:val="TableText"/>
              <w:widowControl w:val="0"/>
              <w:rPr>
                <w:rFonts w:ascii="Tahoma" w:hAnsi="Tahoma" w:cs="Tahoma"/>
                <w:sz w:val="13"/>
              </w:rPr>
            </w:pPr>
            <w:r w:rsidRPr="003410C7">
              <w:rPr>
                <w:rFonts w:ascii="Tahoma" w:hAnsi="Tahoma" w:cs="Tahoma"/>
                <w:sz w:val="13"/>
              </w:rPr>
              <w:t>1</w:t>
            </w:r>
          </w:p>
        </w:tc>
        <w:tc>
          <w:tcPr>
            <w:tcW w:w="360" w:type="dxa"/>
            <w:tcBorders>
              <w:bottom w:val="single" w:sz="4" w:space="0" w:color="auto"/>
              <w:right w:val="single" w:sz="18" w:space="0" w:color="auto"/>
            </w:tcBorders>
            <w:shd w:val="clear" w:color="auto" w:fill="auto"/>
            <w:vAlign w:val="center"/>
          </w:tcPr>
          <w:p w:rsidR="001A63C6" w:rsidRPr="003410C7" w:rsidRDefault="001A63C6" w:rsidP="001A63C6">
            <w:pPr>
              <w:pStyle w:val="TableText"/>
              <w:widowControl w:val="0"/>
              <w:rPr>
                <w:rFonts w:ascii="Tahoma" w:hAnsi="Tahoma" w:cs="Tahoma"/>
                <w:sz w:val="13"/>
              </w:rPr>
            </w:pPr>
            <w:r w:rsidRPr="003410C7">
              <w:rPr>
                <w:rFonts w:ascii="Tahoma" w:hAnsi="Tahoma" w:cs="Tahoma"/>
                <w:sz w:val="13"/>
              </w:rPr>
              <w:t>1</w:t>
            </w:r>
          </w:p>
        </w:tc>
        <w:tc>
          <w:tcPr>
            <w:tcW w:w="450" w:type="dxa"/>
            <w:tcBorders>
              <w:left w:val="single" w:sz="18" w:space="0" w:color="auto"/>
              <w:bottom w:val="single" w:sz="4" w:space="0" w:color="auto"/>
            </w:tcBorders>
            <w:shd w:val="clear" w:color="auto" w:fill="auto"/>
            <w:vAlign w:val="center"/>
          </w:tcPr>
          <w:p w:rsidR="001A63C6" w:rsidRPr="003410C7"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3410C7" w:rsidRDefault="001A63C6" w:rsidP="001A63C6">
            <w:pPr>
              <w:pStyle w:val="TableText"/>
              <w:widowControl w:val="0"/>
              <w:rPr>
                <w:rFonts w:ascii="Tahoma" w:hAnsi="Tahoma" w:cs="Tahoma"/>
                <w:sz w:val="13"/>
              </w:rPr>
            </w:pPr>
            <w:r w:rsidRPr="003410C7">
              <w:rPr>
                <w:rFonts w:ascii="Tahoma" w:hAnsi="Tahoma" w:cs="Tahoma"/>
                <w:sz w:val="13"/>
              </w:rPr>
              <w:t>2</w:t>
            </w:r>
          </w:p>
        </w:tc>
        <w:tc>
          <w:tcPr>
            <w:tcW w:w="450" w:type="dxa"/>
            <w:tcBorders>
              <w:bottom w:val="single" w:sz="4" w:space="0" w:color="auto"/>
              <w:right w:val="single" w:sz="18" w:space="0" w:color="auto"/>
            </w:tcBorders>
            <w:shd w:val="clear" w:color="auto" w:fill="auto"/>
            <w:vAlign w:val="center"/>
          </w:tcPr>
          <w:p w:rsidR="001A63C6" w:rsidRPr="003410C7" w:rsidRDefault="001A63C6" w:rsidP="001A63C6">
            <w:pPr>
              <w:pStyle w:val="TableText"/>
              <w:widowControl w:val="0"/>
              <w:rPr>
                <w:rFonts w:ascii="Tahoma" w:hAnsi="Tahoma" w:cs="Tahoma"/>
                <w:sz w:val="13"/>
              </w:rPr>
            </w:pPr>
            <w:r w:rsidRPr="003410C7">
              <w:rPr>
                <w:rFonts w:ascii="Tahoma" w:hAnsi="Tahoma" w:cs="Tahoma"/>
                <w:sz w:val="13"/>
              </w:rPr>
              <w:t>1</w:t>
            </w:r>
          </w:p>
        </w:tc>
        <w:tc>
          <w:tcPr>
            <w:tcW w:w="450" w:type="dxa"/>
            <w:tcBorders>
              <w:left w:val="single" w:sz="18" w:space="0" w:color="auto"/>
              <w:bottom w:val="single" w:sz="4" w:space="0" w:color="auto"/>
            </w:tcBorders>
            <w:shd w:val="clear" w:color="auto" w:fill="auto"/>
            <w:vAlign w:val="center"/>
          </w:tcPr>
          <w:p w:rsidR="001A63C6" w:rsidRPr="003410C7" w:rsidRDefault="001A63C6" w:rsidP="001A63C6">
            <w:pPr>
              <w:pStyle w:val="TableText"/>
              <w:widowControl w:val="0"/>
              <w:rPr>
                <w:rFonts w:ascii="Tahoma" w:hAnsi="Tahoma" w:cs="Tahoma"/>
                <w:sz w:val="13"/>
              </w:rPr>
            </w:pPr>
            <w:r w:rsidRPr="003410C7">
              <w:rPr>
                <w:rFonts w:ascii="Tahoma" w:hAnsi="Tahoma" w:cs="Tahoma"/>
                <w:sz w:val="13"/>
              </w:rPr>
              <w:t>1</w:t>
            </w:r>
          </w:p>
        </w:tc>
        <w:tc>
          <w:tcPr>
            <w:tcW w:w="450" w:type="dxa"/>
            <w:tcBorders>
              <w:bottom w:val="single" w:sz="4" w:space="0" w:color="auto"/>
              <w:right w:val="single" w:sz="18" w:space="0" w:color="auto"/>
            </w:tcBorders>
            <w:shd w:val="clear" w:color="auto" w:fill="auto"/>
            <w:vAlign w:val="center"/>
          </w:tcPr>
          <w:p w:rsidR="001A63C6" w:rsidRPr="003410C7" w:rsidRDefault="001A63C6" w:rsidP="001A63C6">
            <w:pPr>
              <w:pStyle w:val="TableText"/>
              <w:widowControl w:val="0"/>
              <w:rPr>
                <w:rFonts w:ascii="Tahoma" w:hAnsi="Tahoma" w:cs="Tahoma"/>
                <w:sz w:val="13"/>
              </w:rPr>
            </w:pPr>
            <w:r w:rsidRPr="003410C7">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rsidR="001A63C6" w:rsidRPr="003410C7" w:rsidRDefault="001A63C6" w:rsidP="001A63C6">
            <w:pPr>
              <w:pStyle w:val="TableText"/>
              <w:widowControl w:val="0"/>
              <w:rPr>
                <w:rFonts w:ascii="Tahoma" w:hAnsi="Tahoma" w:cs="Tahoma"/>
                <w:sz w:val="13"/>
              </w:rPr>
            </w:pPr>
            <w:r w:rsidRPr="003410C7">
              <w:rPr>
                <w:rFonts w:ascii="Tahoma" w:hAnsi="Tahoma" w:cs="Tahoma"/>
                <w:sz w:val="13"/>
              </w:rPr>
              <w:t>P</w:t>
            </w:r>
          </w:p>
        </w:tc>
        <w:tc>
          <w:tcPr>
            <w:tcW w:w="450" w:type="dxa"/>
            <w:tcBorders>
              <w:bottom w:val="single" w:sz="4" w:space="0" w:color="auto"/>
            </w:tcBorders>
            <w:shd w:val="clear" w:color="auto" w:fill="auto"/>
            <w:vAlign w:val="center"/>
          </w:tcPr>
          <w:p w:rsidR="001A63C6" w:rsidRPr="003410C7" w:rsidRDefault="001A63C6" w:rsidP="001A63C6">
            <w:pPr>
              <w:pStyle w:val="TableText"/>
              <w:widowControl w:val="0"/>
              <w:spacing w:before="120"/>
              <w:rPr>
                <w:rFonts w:ascii="Tahoma" w:hAnsi="Tahoma" w:cs="Tahoma"/>
                <w:sz w:val="13"/>
              </w:rPr>
            </w:pPr>
            <w:r w:rsidRPr="003410C7">
              <w:rPr>
                <w:rFonts w:ascii="Tahoma" w:hAnsi="Tahoma" w:cs="Tahoma"/>
                <w:sz w:val="13"/>
              </w:rPr>
              <w:t>A, ST</w:t>
            </w:r>
          </w:p>
        </w:tc>
        <w:tc>
          <w:tcPr>
            <w:tcW w:w="540" w:type="dxa"/>
            <w:tcBorders>
              <w:bottom w:val="single" w:sz="4" w:space="0" w:color="auto"/>
            </w:tcBorders>
            <w:shd w:val="clear" w:color="auto" w:fill="auto"/>
            <w:vAlign w:val="center"/>
          </w:tcPr>
          <w:p w:rsidR="001A63C6" w:rsidRPr="003410C7" w:rsidRDefault="001A63C6" w:rsidP="001A63C6">
            <w:pPr>
              <w:pStyle w:val="TableText"/>
              <w:widowControl w:val="0"/>
              <w:rPr>
                <w:rFonts w:ascii="Tahoma" w:hAnsi="Tahoma" w:cs="Tahoma"/>
                <w:sz w:val="13"/>
              </w:rPr>
            </w:pPr>
            <w:r w:rsidRPr="003410C7">
              <w:rPr>
                <w:rFonts w:ascii="Tahoma" w:hAnsi="Tahoma" w:cs="Tahoma"/>
                <w:sz w:val="13"/>
              </w:rPr>
              <w:t>OL/OV</w:t>
            </w:r>
          </w:p>
        </w:tc>
      </w:tr>
      <w:tr w:rsidR="00B33D0E" w:rsidRPr="003410C7" w:rsidTr="00F57878">
        <w:trPr>
          <w:cantSplit/>
          <w:trHeight w:val="145"/>
        </w:trPr>
        <w:tc>
          <w:tcPr>
            <w:tcW w:w="2734" w:type="dxa"/>
            <w:gridSpan w:val="2"/>
            <w:tcBorders>
              <w:bottom w:val="single" w:sz="4" w:space="0" w:color="auto"/>
            </w:tcBorders>
            <w:shd w:val="clear" w:color="auto" w:fill="FABF8F"/>
            <w:vAlign w:val="center"/>
          </w:tcPr>
          <w:p w:rsidR="001A63C6" w:rsidRPr="00451078" w:rsidRDefault="001A63C6" w:rsidP="00FE2D13">
            <w:pPr>
              <w:pStyle w:val="Heading2"/>
              <w:ind w:left="0"/>
              <w:rPr>
                <w:rFonts w:ascii="Tahoma" w:hAnsi="Tahoma" w:cs="Tahoma"/>
                <w:b w:val="0"/>
                <w:sz w:val="14"/>
                <w:szCs w:val="14"/>
                <w:lang w:val="it-IT"/>
              </w:rPr>
            </w:pPr>
            <w:bookmarkStart w:id="340" w:name="_Toc336338020"/>
            <w:bookmarkStart w:id="341" w:name="_Toc352234627"/>
            <w:r w:rsidRPr="00451078">
              <w:rPr>
                <w:rFonts w:ascii="Tahoma" w:hAnsi="Tahoma" w:cs="Tahoma"/>
                <w:b w:val="0"/>
                <w:sz w:val="14"/>
                <w:szCs w:val="14"/>
                <w:lang w:val="it-IT"/>
              </w:rPr>
              <w:t>CAL Aggiuntiva per l</w:t>
            </w:r>
            <w:r w:rsidR="0073727D">
              <w:rPr>
                <w:rFonts w:ascii="Tahoma" w:hAnsi="Tahoma" w:cs="Tahoma"/>
                <w:b w:val="0"/>
                <w:sz w:val="14"/>
                <w:szCs w:val="14"/>
                <w:lang w:val="it-IT"/>
              </w:rPr>
              <w:t>’</w:t>
            </w:r>
            <w:r w:rsidRPr="00451078">
              <w:rPr>
                <w:rFonts w:ascii="Tahoma" w:hAnsi="Tahoma" w:cs="Tahoma"/>
                <w:b w:val="0"/>
                <w:sz w:val="14"/>
                <w:szCs w:val="14"/>
                <w:lang w:val="it-IT"/>
              </w:rPr>
              <w:t>Utilizzo Limitato di</w:t>
            </w:r>
            <w:r w:rsidR="00F57878" w:rsidRPr="00451078">
              <w:rPr>
                <w:rFonts w:ascii="Tahoma" w:hAnsi="Tahoma" w:cs="Tahoma"/>
                <w:b w:val="0"/>
                <w:sz w:val="14"/>
                <w:szCs w:val="14"/>
                <w:lang w:val="it-IT"/>
              </w:rPr>
              <w:t> </w:t>
            </w:r>
            <w:r w:rsidRPr="00451078">
              <w:rPr>
                <w:rFonts w:ascii="Tahoma" w:hAnsi="Tahoma" w:cs="Tahoma"/>
                <w:b w:val="0"/>
                <w:sz w:val="14"/>
                <w:szCs w:val="14"/>
                <w:lang w:val="it-IT"/>
              </w:rPr>
              <w:t>Microsoft Dynamics CRM 2011 (Utente</w:t>
            </w:r>
            <w:r w:rsidR="00FE2D13" w:rsidRPr="00451078">
              <w:rPr>
                <w:rFonts w:ascii="Tahoma" w:hAnsi="Tahoma" w:cs="Tahoma"/>
                <w:b w:val="0"/>
                <w:sz w:val="14"/>
                <w:szCs w:val="14"/>
                <w:lang w:val="it-IT"/>
              </w:rPr>
              <w:t> </w:t>
            </w:r>
            <w:r w:rsidRPr="00451078">
              <w:rPr>
                <w:rFonts w:ascii="Tahoma" w:hAnsi="Tahoma" w:cs="Tahoma"/>
                <w:b w:val="0"/>
                <w:sz w:val="14"/>
                <w:szCs w:val="14"/>
                <w:lang w:val="it-IT"/>
              </w:rPr>
              <w:t>e</w:t>
            </w:r>
            <w:r w:rsidR="00FE2D13" w:rsidRPr="00451078">
              <w:rPr>
                <w:rFonts w:ascii="Tahoma" w:hAnsi="Tahoma" w:cs="Tahoma"/>
                <w:b w:val="0"/>
                <w:sz w:val="14"/>
                <w:szCs w:val="14"/>
                <w:lang w:val="it-IT"/>
              </w:rPr>
              <w:t> </w:t>
            </w:r>
            <w:r w:rsidRPr="00451078">
              <w:rPr>
                <w:rFonts w:ascii="Tahoma" w:hAnsi="Tahoma" w:cs="Tahoma"/>
                <w:b w:val="0"/>
                <w:sz w:val="14"/>
                <w:szCs w:val="14"/>
                <w:lang w:val="it-IT"/>
              </w:rPr>
              <w:t>Dispositivo)</w:t>
            </w:r>
            <w:bookmarkEnd w:id="340"/>
            <w:bookmarkEnd w:id="341"/>
          </w:p>
        </w:tc>
        <w:tc>
          <w:tcPr>
            <w:tcW w:w="450" w:type="dxa"/>
            <w:tcBorders>
              <w:bottom w:val="single" w:sz="4" w:space="0" w:color="auto"/>
            </w:tcBorders>
            <w:shd w:val="clear" w:color="auto" w:fill="FABF8F"/>
            <w:vAlign w:val="center"/>
          </w:tcPr>
          <w:p w:rsidR="001A63C6" w:rsidRPr="009F17FF" w:rsidRDefault="00FC1A4D" w:rsidP="00097C8C">
            <w:pPr>
              <w:pStyle w:val="TableText"/>
              <w:widowControl w:val="0"/>
              <w:rPr>
                <w:b/>
                <w:color w:val="0000FF"/>
                <w:sz w:val="13"/>
                <w:szCs w:val="13"/>
                <w:u w:val="single"/>
              </w:rPr>
            </w:pPr>
            <w:hyperlink w:anchor="_68_Microsoft_Dynamics" w:history="1">
              <w:r w:rsidR="00854AAB" w:rsidRPr="00854AAB">
                <w:rPr>
                  <w:rStyle w:val="Hyperlink"/>
                  <w:b/>
                  <w:sz w:val="13"/>
                  <w:szCs w:val="13"/>
                </w:rPr>
                <w:t>66</w:t>
              </w:r>
            </w:hyperlink>
          </w:p>
        </w:tc>
        <w:tc>
          <w:tcPr>
            <w:tcW w:w="450" w:type="dxa"/>
            <w:tcBorders>
              <w:bottom w:val="single" w:sz="4" w:space="0" w:color="auto"/>
            </w:tcBorders>
            <w:shd w:val="clear" w:color="auto" w:fill="FABF8F"/>
          </w:tcPr>
          <w:p w:rsidR="001A63C6" w:rsidRPr="003410C7" w:rsidRDefault="001A63C6" w:rsidP="001A63C6">
            <w:pPr>
              <w:pStyle w:val="TableText"/>
              <w:widowControl w:val="0"/>
              <w:spacing w:before="120"/>
              <w:rPr>
                <w:rFonts w:ascii="Tahoma" w:hAnsi="Tahoma" w:cs="Tahoma"/>
                <w:color w:val="000000"/>
                <w:sz w:val="13"/>
              </w:rPr>
            </w:pPr>
            <w:r w:rsidRPr="003410C7">
              <w:rPr>
                <w:rFonts w:ascii="Tahoma" w:hAnsi="Tahoma" w:cs="Tahoma"/>
                <w:color w:val="000000"/>
                <w:sz w:val="13"/>
              </w:rPr>
              <w:t>04/01</w:t>
            </w:r>
          </w:p>
        </w:tc>
        <w:tc>
          <w:tcPr>
            <w:tcW w:w="360" w:type="dxa"/>
            <w:tcBorders>
              <w:bottom w:val="single" w:sz="4" w:space="0" w:color="auto"/>
              <w:right w:val="single" w:sz="18" w:space="0" w:color="auto"/>
            </w:tcBorders>
            <w:shd w:val="clear" w:color="auto" w:fill="FABF8F"/>
            <w:vAlign w:val="center"/>
          </w:tcPr>
          <w:p w:rsidR="001A63C6" w:rsidRPr="003410C7" w:rsidRDefault="001A63C6" w:rsidP="001A63C6">
            <w:pPr>
              <w:pStyle w:val="TableText"/>
              <w:widowControl w:val="0"/>
              <w:rPr>
                <w:rFonts w:ascii="Tahoma" w:hAnsi="Tahoma" w:cs="Tahoma"/>
                <w:sz w:val="13"/>
              </w:rPr>
            </w:pPr>
            <w:r w:rsidRPr="003410C7">
              <w:rPr>
                <w:rFonts w:ascii="Tahoma" w:hAnsi="Tahoma" w:cs="Tahoma"/>
                <w:sz w:val="13"/>
              </w:rPr>
              <w:t>SRV</w:t>
            </w:r>
          </w:p>
        </w:tc>
        <w:tc>
          <w:tcPr>
            <w:tcW w:w="360" w:type="dxa"/>
            <w:tcBorders>
              <w:left w:val="single" w:sz="18" w:space="0" w:color="auto"/>
              <w:bottom w:val="single" w:sz="4" w:space="0" w:color="auto"/>
            </w:tcBorders>
            <w:shd w:val="clear" w:color="auto" w:fill="FABF8F"/>
            <w:vAlign w:val="center"/>
          </w:tcPr>
          <w:p w:rsidR="001A63C6" w:rsidRPr="003410C7"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3410C7" w:rsidRDefault="001A63C6" w:rsidP="001A63C6">
            <w:pPr>
              <w:pStyle w:val="TableText"/>
              <w:widowControl w:val="0"/>
              <w:rPr>
                <w:rFonts w:ascii="Tahoma" w:hAnsi="Tahoma" w:cs="Tahoma"/>
                <w:sz w:val="13"/>
              </w:rPr>
            </w:pPr>
            <w:r w:rsidRPr="003410C7">
              <w:rPr>
                <w:rFonts w:ascii="Tahoma" w:hAnsi="Tahoma" w:cs="Tahoma"/>
                <w:sz w:val="13"/>
              </w:rPr>
              <w:t>3</w:t>
            </w:r>
          </w:p>
        </w:tc>
        <w:tc>
          <w:tcPr>
            <w:tcW w:w="450" w:type="dxa"/>
            <w:tcBorders>
              <w:bottom w:val="single" w:sz="4" w:space="0" w:color="auto"/>
            </w:tcBorders>
            <w:shd w:val="clear" w:color="auto" w:fill="FABF8F"/>
            <w:vAlign w:val="center"/>
          </w:tcPr>
          <w:p w:rsidR="001A63C6" w:rsidRPr="003410C7" w:rsidRDefault="001A63C6" w:rsidP="001A63C6">
            <w:pPr>
              <w:pStyle w:val="TableText"/>
              <w:widowControl w:val="0"/>
              <w:rPr>
                <w:rFonts w:ascii="Tahoma" w:hAnsi="Tahoma" w:cs="Tahoma"/>
                <w:sz w:val="13"/>
              </w:rPr>
            </w:pPr>
            <w:r w:rsidRPr="003410C7">
              <w:rPr>
                <w:rFonts w:ascii="Tahoma" w:hAnsi="Tahoma" w:cs="Tahoma"/>
                <w:sz w:val="13"/>
              </w:rPr>
              <w:t>2</w:t>
            </w:r>
          </w:p>
        </w:tc>
        <w:tc>
          <w:tcPr>
            <w:tcW w:w="450" w:type="dxa"/>
            <w:tcBorders>
              <w:bottom w:val="single" w:sz="4" w:space="0" w:color="auto"/>
            </w:tcBorders>
            <w:shd w:val="clear" w:color="auto" w:fill="FABF8F"/>
            <w:vAlign w:val="center"/>
          </w:tcPr>
          <w:p w:rsidR="001A63C6" w:rsidRPr="003410C7" w:rsidRDefault="001A63C6" w:rsidP="001A63C6">
            <w:pPr>
              <w:pStyle w:val="TableText"/>
              <w:widowControl w:val="0"/>
              <w:rPr>
                <w:rFonts w:ascii="Tahoma" w:hAnsi="Tahoma" w:cs="Tahoma"/>
                <w:sz w:val="13"/>
              </w:rPr>
            </w:pPr>
            <w:r w:rsidRPr="003410C7">
              <w:rPr>
                <w:rFonts w:ascii="Tahoma" w:hAnsi="Tahoma" w:cs="Tahoma"/>
                <w:sz w:val="13"/>
              </w:rPr>
              <w:t>2</w:t>
            </w:r>
          </w:p>
        </w:tc>
        <w:tc>
          <w:tcPr>
            <w:tcW w:w="450" w:type="dxa"/>
            <w:tcBorders>
              <w:bottom w:val="single" w:sz="4" w:space="0" w:color="auto"/>
            </w:tcBorders>
            <w:shd w:val="clear" w:color="auto" w:fill="FABF8F"/>
            <w:vAlign w:val="center"/>
          </w:tcPr>
          <w:p w:rsidR="001A63C6" w:rsidRPr="003410C7" w:rsidRDefault="001A63C6" w:rsidP="001A63C6">
            <w:pPr>
              <w:pStyle w:val="TableText"/>
              <w:widowControl w:val="0"/>
              <w:rPr>
                <w:rFonts w:ascii="Tahoma" w:hAnsi="Tahoma" w:cs="Tahoma"/>
                <w:sz w:val="13"/>
              </w:rPr>
            </w:pPr>
            <w:r w:rsidRPr="003410C7">
              <w:rPr>
                <w:rFonts w:ascii="Tahoma" w:hAnsi="Tahoma" w:cs="Tahoma"/>
                <w:sz w:val="13"/>
              </w:rPr>
              <w:t>2</w:t>
            </w:r>
          </w:p>
        </w:tc>
        <w:tc>
          <w:tcPr>
            <w:tcW w:w="450" w:type="dxa"/>
            <w:tcBorders>
              <w:bottom w:val="single" w:sz="4" w:space="0" w:color="auto"/>
            </w:tcBorders>
            <w:shd w:val="clear" w:color="auto" w:fill="FABF8F"/>
            <w:vAlign w:val="center"/>
          </w:tcPr>
          <w:p w:rsidR="001A63C6" w:rsidRPr="003410C7" w:rsidRDefault="001A63C6" w:rsidP="001A63C6">
            <w:pPr>
              <w:pStyle w:val="TableText"/>
              <w:widowControl w:val="0"/>
              <w:rPr>
                <w:rFonts w:ascii="Tahoma" w:hAnsi="Tahoma" w:cs="Tahoma"/>
                <w:sz w:val="13"/>
              </w:rPr>
            </w:pPr>
            <w:r w:rsidRPr="003410C7">
              <w:rPr>
                <w:rFonts w:ascii="Tahoma" w:hAnsi="Tahoma" w:cs="Tahoma"/>
                <w:sz w:val="13"/>
              </w:rPr>
              <w:t>1</w:t>
            </w:r>
          </w:p>
        </w:tc>
        <w:tc>
          <w:tcPr>
            <w:tcW w:w="360" w:type="dxa"/>
            <w:tcBorders>
              <w:bottom w:val="single" w:sz="4" w:space="0" w:color="auto"/>
              <w:right w:val="single" w:sz="18" w:space="0" w:color="auto"/>
            </w:tcBorders>
            <w:shd w:val="clear" w:color="auto" w:fill="FABF8F"/>
            <w:vAlign w:val="center"/>
          </w:tcPr>
          <w:p w:rsidR="001A63C6" w:rsidRPr="003410C7" w:rsidRDefault="001A63C6" w:rsidP="001A63C6">
            <w:pPr>
              <w:pStyle w:val="TableText"/>
              <w:widowControl w:val="0"/>
              <w:rPr>
                <w:rFonts w:ascii="Tahoma" w:hAnsi="Tahoma" w:cs="Tahoma"/>
                <w:sz w:val="13"/>
              </w:rPr>
            </w:pPr>
            <w:r w:rsidRPr="003410C7">
              <w:rPr>
                <w:rFonts w:ascii="Tahoma" w:hAnsi="Tahoma" w:cs="Tahoma"/>
                <w:sz w:val="13"/>
              </w:rPr>
              <w:t>1</w:t>
            </w:r>
          </w:p>
        </w:tc>
        <w:tc>
          <w:tcPr>
            <w:tcW w:w="450" w:type="dxa"/>
            <w:tcBorders>
              <w:left w:val="single" w:sz="18" w:space="0" w:color="auto"/>
              <w:bottom w:val="single" w:sz="4" w:space="0" w:color="auto"/>
            </w:tcBorders>
            <w:shd w:val="clear" w:color="auto" w:fill="FABF8F"/>
            <w:vAlign w:val="center"/>
          </w:tcPr>
          <w:p w:rsidR="001A63C6" w:rsidRPr="003410C7"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3410C7" w:rsidRDefault="001A63C6" w:rsidP="001A63C6">
            <w:pPr>
              <w:pStyle w:val="TableText"/>
              <w:widowControl w:val="0"/>
              <w:rPr>
                <w:rFonts w:ascii="Tahoma" w:hAnsi="Tahoma" w:cs="Tahoma"/>
                <w:sz w:val="13"/>
              </w:rPr>
            </w:pPr>
            <w:r w:rsidRPr="003410C7">
              <w:rPr>
                <w:rFonts w:ascii="Tahoma" w:hAnsi="Tahoma" w:cs="Tahoma"/>
                <w:sz w:val="13"/>
              </w:rPr>
              <w:t>2</w:t>
            </w:r>
          </w:p>
        </w:tc>
        <w:tc>
          <w:tcPr>
            <w:tcW w:w="450" w:type="dxa"/>
            <w:tcBorders>
              <w:bottom w:val="single" w:sz="4" w:space="0" w:color="auto"/>
              <w:right w:val="single" w:sz="18" w:space="0" w:color="auto"/>
            </w:tcBorders>
            <w:shd w:val="clear" w:color="auto" w:fill="FABF8F"/>
            <w:vAlign w:val="center"/>
          </w:tcPr>
          <w:p w:rsidR="001A63C6" w:rsidRPr="003410C7" w:rsidRDefault="001A63C6" w:rsidP="001A63C6">
            <w:pPr>
              <w:pStyle w:val="TableText"/>
              <w:widowControl w:val="0"/>
              <w:rPr>
                <w:rFonts w:ascii="Tahoma" w:hAnsi="Tahoma" w:cs="Tahoma"/>
                <w:sz w:val="13"/>
              </w:rPr>
            </w:pPr>
            <w:r w:rsidRPr="003410C7">
              <w:rPr>
                <w:rFonts w:ascii="Tahoma" w:hAnsi="Tahoma" w:cs="Tahoma"/>
                <w:sz w:val="13"/>
              </w:rPr>
              <w:t>1</w:t>
            </w:r>
          </w:p>
        </w:tc>
        <w:tc>
          <w:tcPr>
            <w:tcW w:w="450" w:type="dxa"/>
            <w:tcBorders>
              <w:left w:val="single" w:sz="18" w:space="0" w:color="auto"/>
              <w:bottom w:val="single" w:sz="4" w:space="0" w:color="auto"/>
            </w:tcBorders>
            <w:shd w:val="clear" w:color="auto" w:fill="FABF8F"/>
            <w:vAlign w:val="center"/>
          </w:tcPr>
          <w:p w:rsidR="001A63C6" w:rsidRPr="003410C7" w:rsidRDefault="001A63C6" w:rsidP="001A63C6">
            <w:pPr>
              <w:pStyle w:val="TableText"/>
              <w:widowControl w:val="0"/>
              <w:rPr>
                <w:rFonts w:ascii="Tahoma" w:hAnsi="Tahoma" w:cs="Tahoma"/>
                <w:sz w:val="13"/>
              </w:rPr>
            </w:pPr>
            <w:r w:rsidRPr="003410C7">
              <w:rPr>
                <w:rFonts w:ascii="Tahoma" w:hAnsi="Tahoma" w:cs="Tahoma"/>
                <w:sz w:val="13"/>
              </w:rPr>
              <w:t>1</w:t>
            </w:r>
          </w:p>
        </w:tc>
        <w:tc>
          <w:tcPr>
            <w:tcW w:w="450" w:type="dxa"/>
            <w:tcBorders>
              <w:bottom w:val="single" w:sz="4" w:space="0" w:color="auto"/>
              <w:right w:val="single" w:sz="18" w:space="0" w:color="auto"/>
            </w:tcBorders>
            <w:shd w:val="clear" w:color="auto" w:fill="FABF8F"/>
            <w:vAlign w:val="center"/>
          </w:tcPr>
          <w:p w:rsidR="001A63C6" w:rsidRPr="003410C7" w:rsidRDefault="001A63C6" w:rsidP="001A63C6">
            <w:pPr>
              <w:pStyle w:val="TableText"/>
              <w:widowControl w:val="0"/>
              <w:rPr>
                <w:rFonts w:ascii="Tahoma" w:hAnsi="Tahoma" w:cs="Tahoma"/>
                <w:sz w:val="13"/>
              </w:rPr>
            </w:pPr>
            <w:r w:rsidRPr="003410C7">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3410C7" w:rsidRDefault="001A63C6" w:rsidP="001A63C6">
            <w:pPr>
              <w:pStyle w:val="TableText"/>
              <w:widowControl w:val="0"/>
              <w:rPr>
                <w:rFonts w:ascii="Tahoma" w:hAnsi="Tahoma" w:cs="Tahoma"/>
                <w:sz w:val="13"/>
              </w:rPr>
            </w:pPr>
            <w:r w:rsidRPr="003410C7">
              <w:rPr>
                <w:rFonts w:ascii="Tahoma" w:hAnsi="Tahoma" w:cs="Tahoma"/>
                <w:sz w:val="13"/>
              </w:rPr>
              <w:t>P</w:t>
            </w:r>
          </w:p>
        </w:tc>
        <w:tc>
          <w:tcPr>
            <w:tcW w:w="450" w:type="dxa"/>
            <w:tcBorders>
              <w:bottom w:val="single" w:sz="4" w:space="0" w:color="auto"/>
            </w:tcBorders>
            <w:shd w:val="clear" w:color="auto" w:fill="FABF8F"/>
            <w:vAlign w:val="center"/>
          </w:tcPr>
          <w:p w:rsidR="001A63C6" w:rsidRPr="003410C7" w:rsidRDefault="001A63C6" w:rsidP="001A63C6">
            <w:pPr>
              <w:pStyle w:val="TableText"/>
              <w:widowControl w:val="0"/>
              <w:spacing w:before="120"/>
              <w:rPr>
                <w:rFonts w:ascii="Tahoma" w:hAnsi="Tahoma" w:cs="Tahoma"/>
                <w:sz w:val="13"/>
              </w:rPr>
            </w:pPr>
            <w:r w:rsidRPr="003410C7">
              <w:rPr>
                <w:rFonts w:ascii="Tahoma" w:hAnsi="Tahoma" w:cs="Tahoma"/>
                <w:sz w:val="13"/>
              </w:rPr>
              <w:t>A, ST</w:t>
            </w:r>
          </w:p>
        </w:tc>
        <w:tc>
          <w:tcPr>
            <w:tcW w:w="540" w:type="dxa"/>
            <w:tcBorders>
              <w:bottom w:val="single" w:sz="4" w:space="0" w:color="auto"/>
            </w:tcBorders>
            <w:shd w:val="clear" w:color="auto" w:fill="FABF8F"/>
            <w:vAlign w:val="center"/>
          </w:tcPr>
          <w:p w:rsidR="001A63C6" w:rsidRPr="003410C7" w:rsidRDefault="001A63C6" w:rsidP="001A63C6">
            <w:pPr>
              <w:pStyle w:val="TableText"/>
              <w:widowControl w:val="0"/>
              <w:rPr>
                <w:rFonts w:ascii="Tahoma" w:hAnsi="Tahoma" w:cs="Tahoma"/>
                <w:sz w:val="13"/>
              </w:rPr>
            </w:pPr>
            <w:r w:rsidRPr="003410C7">
              <w:rPr>
                <w:rFonts w:ascii="Tahoma" w:hAnsi="Tahoma" w:cs="Tahoma"/>
                <w:sz w:val="13"/>
              </w:rPr>
              <w:t>OL/OV</w:t>
            </w:r>
          </w:p>
        </w:tc>
      </w:tr>
      <w:tr w:rsidR="001A63C6" w:rsidRPr="003410C7" w:rsidTr="007E466C">
        <w:trPr>
          <w:trHeight w:val="145"/>
        </w:trPr>
        <w:tc>
          <w:tcPr>
            <w:tcW w:w="2734" w:type="dxa"/>
            <w:gridSpan w:val="2"/>
            <w:tcBorders>
              <w:bottom w:val="single" w:sz="4" w:space="0" w:color="auto"/>
            </w:tcBorders>
            <w:shd w:val="clear" w:color="auto" w:fill="auto"/>
            <w:vAlign w:val="center"/>
          </w:tcPr>
          <w:p w:rsidR="001A63C6" w:rsidRPr="003410C7" w:rsidRDefault="001A63C6" w:rsidP="001A63C6">
            <w:pPr>
              <w:pStyle w:val="Heading2"/>
              <w:ind w:left="0"/>
              <w:rPr>
                <w:rFonts w:ascii="Tahoma" w:hAnsi="Tahoma" w:cs="Tahoma"/>
                <w:b w:val="0"/>
                <w:sz w:val="14"/>
                <w:szCs w:val="14"/>
              </w:rPr>
            </w:pPr>
            <w:bookmarkStart w:id="342" w:name="_Toc336338021"/>
            <w:bookmarkStart w:id="343" w:name="_Toc352234628"/>
            <w:r w:rsidRPr="003410C7">
              <w:rPr>
                <w:rFonts w:ascii="Tahoma" w:hAnsi="Tahoma" w:cs="Tahoma"/>
                <w:b w:val="0"/>
                <w:sz w:val="14"/>
                <w:szCs w:val="14"/>
              </w:rPr>
              <w:t>Microsoft Dynamics CRM Server 2011</w:t>
            </w:r>
            <w:bookmarkEnd w:id="342"/>
            <w:bookmarkEnd w:id="343"/>
            <w:r w:rsidRPr="003410C7">
              <w:rPr>
                <w:rFonts w:ascii="Tahoma" w:hAnsi="Tahoma" w:cs="Tahoma"/>
                <w:b w:val="0"/>
                <w:sz w:val="14"/>
                <w:szCs w:val="14"/>
              </w:rPr>
              <w:t xml:space="preserve"> </w:t>
            </w:r>
          </w:p>
        </w:tc>
        <w:tc>
          <w:tcPr>
            <w:tcW w:w="450" w:type="dxa"/>
            <w:tcBorders>
              <w:bottom w:val="single" w:sz="4" w:space="0" w:color="auto"/>
            </w:tcBorders>
            <w:shd w:val="clear" w:color="auto" w:fill="auto"/>
            <w:vAlign w:val="center"/>
          </w:tcPr>
          <w:p w:rsidR="001A63C6" w:rsidRPr="009F17FF" w:rsidRDefault="00FC1A4D" w:rsidP="00097C8C">
            <w:pPr>
              <w:pStyle w:val="TableText"/>
              <w:widowControl w:val="0"/>
              <w:rPr>
                <w:b/>
                <w:color w:val="0000FF"/>
                <w:sz w:val="13"/>
                <w:szCs w:val="13"/>
                <w:u w:val="single"/>
              </w:rPr>
            </w:pPr>
            <w:hyperlink w:anchor="_66_Microsoft_Dynamics" w:history="1">
              <w:r w:rsidR="000D77F6" w:rsidRPr="009F17FF">
                <w:rPr>
                  <w:rStyle w:val="Hyperlink"/>
                  <w:b/>
                  <w:sz w:val="13"/>
                  <w:szCs w:val="13"/>
                </w:rPr>
                <w:t>67</w:t>
              </w:r>
            </w:hyperlink>
          </w:p>
        </w:tc>
        <w:tc>
          <w:tcPr>
            <w:tcW w:w="450" w:type="dxa"/>
            <w:tcBorders>
              <w:bottom w:val="single" w:sz="4" w:space="0" w:color="auto"/>
            </w:tcBorders>
            <w:shd w:val="clear" w:color="auto" w:fill="auto"/>
          </w:tcPr>
          <w:p w:rsidR="001A63C6" w:rsidRPr="003410C7" w:rsidRDefault="001A63C6" w:rsidP="001A63C6">
            <w:pPr>
              <w:pStyle w:val="TableText"/>
              <w:widowControl w:val="0"/>
              <w:spacing w:before="120"/>
              <w:rPr>
                <w:rFonts w:ascii="Tahoma" w:hAnsi="Tahoma" w:cs="Tahoma"/>
                <w:color w:val="000000"/>
                <w:sz w:val="13"/>
              </w:rPr>
            </w:pPr>
            <w:r w:rsidRPr="003410C7">
              <w:rPr>
                <w:rFonts w:ascii="Tahoma" w:hAnsi="Tahoma" w:cs="Tahoma"/>
                <w:color w:val="000000"/>
                <w:sz w:val="13"/>
              </w:rPr>
              <w:t>04/01</w:t>
            </w:r>
          </w:p>
        </w:tc>
        <w:tc>
          <w:tcPr>
            <w:tcW w:w="360" w:type="dxa"/>
            <w:tcBorders>
              <w:bottom w:val="single" w:sz="4" w:space="0" w:color="auto"/>
              <w:right w:val="single" w:sz="18" w:space="0" w:color="auto"/>
            </w:tcBorders>
            <w:shd w:val="clear" w:color="auto" w:fill="auto"/>
            <w:vAlign w:val="center"/>
          </w:tcPr>
          <w:p w:rsidR="001A63C6" w:rsidRPr="003410C7" w:rsidRDefault="001A63C6" w:rsidP="001A63C6">
            <w:pPr>
              <w:pStyle w:val="TableText"/>
              <w:widowControl w:val="0"/>
              <w:rPr>
                <w:rFonts w:ascii="Tahoma" w:hAnsi="Tahoma" w:cs="Tahoma"/>
                <w:sz w:val="13"/>
              </w:rPr>
            </w:pPr>
            <w:r w:rsidRPr="003410C7">
              <w:rPr>
                <w:rFonts w:ascii="Tahoma" w:hAnsi="Tahoma" w:cs="Tahoma"/>
                <w:sz w:val="13"/>
              </w:rPr>
              <w:t>SRV</w:t>
            </w:r>
          </w:p>
        </w:tc>
        <w:tc>
          <w:tcPr>
            <w:tcW w:w="360" w:type="dxa"/>
            <w:tcBorders>
              <w:left w:val="single" w:sz="18" w:space="0" w:color="auto"/>
              <w:bottom w:val="single" w:sz="4" w:space="0" w:color="auto"/>
            </w:tcBorders>
            <w:shd w:val="clear" w:color="auto" w:fill="auto"/>
            <w:vAlign w:val="center"/>
          </w:tcPr>
          <w:p w:rsidR="001A63C6" w:rsidRPr="003410C7"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3410C7" w:rsidRDefault="001A63C6" w:rsidP="001A63C6">
            <w:pPr>
              <w:pStyle w:val="TableText"/>
              <w:widowControl w:val="0"/>
              <w:rPr>
                <w:rFonts w:ascii="Tahoma" w:hAnsi="Tahoma" w:cs="Tahoma"/>
                <w:sz w:val="13"/>
              </w:rPr>
            </w:pPr>
            <w:r w:rsidRPr="003410C7">
              <w:rPr>
                <w:rFonts w:ascii="Tahoma" w:hAnsi="Tahoma" w:cs="Tahoma"/>
                <w:sz w:val="13"/>
              </w:rPr>
              <w:t>125</w:t>
            </w:r>
          </w:p>
        </w:tc>
        <w:tc>
          <w:tcPr>
            <w:tcW w:w="450" w:type="dxa"/>
            <w:tcBorders>
              <w:bottom w:val="single" w:sz="4" w:space="0" w:color="auto"/>
            </w:tcBorders>
            <w:shd w:val="clear" w:color="auto" w:fill="auto"/>
            <w:vAlign w:val="center"/>
          </w:tcPr>
          <w:p w:rsidR="001A63C6" w:rsidRPr="003410C7" w:rsidRDefault="001A63C6" w:rsidP="001A63C6">
            <w:pPr>
              <w:pStyle w:val="TableText"/>
              <w:widowControl w:val="0"/>
              <w:rPr>
                <w:rFonts w:ascii="Tahoma" w:hAnsi="Tahoma" w:cs="Tahoma"/>
                <w:sz w:val="13"/>
              </w:rPr>
            </w:pPr>
            <w:r w:rsidRPr="003410C7">
              <w:rPr>
                <w:rFonts w:ascii="Tahoma" w:hAnsi="Tahoma" w:cs="Tahoma"/>
                <w:sz w:val="13"/>
              </w:rPr>
              <w:t>100</w:t>
            </w:r>
          </w:p>
        </w:tc>
        <w:tc>
          <w:tcPr>
            <w:tcW w:w="450" w:type="dxa"/>
            <w:tcBorders>
              <w:bottom w:val="single" w:sz="4" w:space="0" w:color="auto"/>
            </w:tcBorders>
            <w:shd w:val="clear" w:color="auto" w:fill="auto"/>
            <w:vAlign w:val="center"/>
          </w:tcPr>
          <w:p w:rsidR="001A63C6" w:rsidRPr="003410C7" w:rsidRDefault="001A63C6" w:rsidP="001A63C6">
            <w:pPr>
              <w:pStyle w:val="TableText"/>
              <w:widowControl w:val="0"/>
              <w:rPr>
                <w:rFonts w:ascii="Tahoma" w:hAnsi="Tahoma" w:cs="Tahoma"/>
                <w:sz w:val="13"/>
              </w:rPr>
            </w:pPr>
            <w:r w:rsidRPr="003410C7">
              <w:rPr>
                <w:rFonts w:ascii="Tahoma" w:hAnsi="Tahoma" w:cs="Tahoma"/>
                <w:sz w:val="13"/>
              </w:rPr>
              <w:t>75</w:t>
            </w:r>
          </w:p>
        </w:tc>
        <w:tc>
          <w:tcPr>
            <w:tcW w:w="450" w:type="dxa"/>
            <w:tcBorders>
              <w:bottom w:val="single" w:sz="4" w:space="0" w:color="auto"/>
            </w:tcBorders>
            <w:shd w:val="clear" w:color="auto" w:fill="auto"/>
            <w:vAlign w:val="center"/>
          </w:tcPr>
          <w:p w:rsidR="001A63C6" w:rsidRPr="003410C7" w:rsidRDefault="001A63C6" w:rsidP="001A63C6">
            <w:pPr>
              <w:pStyle w:val="TableText"/>
              <w:widowControl w:val="0"/>
              <w:rPr>
                <w:rFonts w:ascii="Tahoma" w:hAnsi="Tahoma" w:cs="Tahoma"/>
                <w:sz w:val="13"/>
              </w:rPr>
            </w:pPr>
            <w:r w:rsidRPr="003410C7">
              <w:rPr>
                <w:rFonts w:ascii="Tahoma" w:hAnsi="Tahoma" w:cs="Tahoma"/>
                <w:sz w:val="13"/>
              </w:rPr>
              <w:t>75</w:t>
            </w:r>
          </w:p>
        </w:tc>
        <w:tc>
          <w:tcPr>
            <w:tcW w:w="450" w:type="dxa"/>
            <w:tcBorders>
              <w:bottom w:val="single" w:sz="4" w:space="0" w:color="auto"/>
            </w:tcBorders>
            <w:shd w:val="clear" w:color="auto" w:fill="auto"/>
            <w:vAlign w:val="center"/>
          </w:tcPr>
          <w:p w:rsidR="001A63C6" w:rsidRPr="003410C7" w:rsidRDefault="001A63C6" w:rsidP="001A63C6">
            <w:pPr>
              <w:pStyle w:val="TableText"/>
              <w:widowControl w:val="0"/>
              <w:rPr>
                <w:rFonts w:ascii="Tahoma" w:hAnsi="Tahoma" w:cs="Tahoma"/>
                <w:sz w:val="13"/>
              </w:rPr>
            </w:pPr>
            <w:r w:rsidRPr="003410C7">
              <w:rPr>
                <w:rFonts w:ascii="Tahoma" w:hAnsi="Tahoma" w:cs="Tahoma"/>
                <w:sz w:val="13"/>
              </w:rPr>
              <w:t>50</w:t>
            </w:r>
          </w:p>
        </w:tc>
        <w:tc>
          <w:tcPr>
            <w:tcW w:w="360" w:type="dxa"/>
            <w:tcBorders>
              <w:bottom w:val="single" w:sz="4" w:space="0" w:color="auto"/>
              <w:right w:val="single" w:sz="18" w:space="0" w:color="auto"/>
            </w:tcBorders>
            <w:shd w:val="clear" w:color="auto" w:fill="auto"/>
            <w:vAlign w:val="center"/>
          </w:tcPr>
          <w:p w:rsidR="001A63C6" w:rsidRPr="003410C7" w:rsidRDefault="001A63C6" w:rsidP="001A63C6">
            <w:pPr>
              <w:pStyle w:val="TableText"/>
              <w:widowControl w:val="0"/>
              <w:rPr>
                <w:rFonts w:ascii="Tahoma" w:hAnsi="Tahoma" w:cs="Tahoma"/>
                <w:sz w:val="13"/>
              </w:rPr>
            </w:pPr>
            <w:r w:rsidRPr="003410C7">
              <w:rPr>
                <w:rFonts w:ascii="Tahoma" w:hAnsi="Tahoma" w:cs="Tahoma"/>
                <w:sz w:val="13"/>
              </w:rPr>
              <w:t>25</w:t>
            </w:r>
          </w:p>
        </w:tc>
        <w:tc>
          <w:tcPr>
            <w:tcW w:w="450" w:type="dxa"/>
            <w:tcBorders>
              <w:left w:val="single" w:sz="18" w:space="0" w:color="auto"/>
              <w:bottom w:val="single" w:sz="4" w:space="0" w:color="auto"/>
            </w:tcBorders>
            <w:shd w:val="clear" w:color="auto" w:fill="auto"/>
            <w:vAlign w:val="center"/>
          </w:tcPr>
          <w:p w:rsidR="001A63C6" w:rsidRPr="003410C7"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3410C7" w:rsidRDefault="001A63C6" w:rsidP="001A63C6">
            <w:pPr>
              <w:pStyle w:val="TableText"/>
              <w:widowControl w:val="0"/>
              <w:rPr>
                <w:rFonts w:ascii="Tahoma" w:hAnsi="Tahoma" w:cs="Tahoma"/>
                <w:sz w:val="13"/>
              </w:rPr>
            </w:pPr>
            <w:r w:rsidRPr="003410C7">
              <w:rPr>
                <w:rFonts w:ascii="Tahoma" w:hAnsi="Tahoma" w:cs="Tahoma"/>
                <w:sz w:val="13"/>
              </w:rPr>
              <w:t>100</w:t>
            </w:r>
          </w:p>
        </w:tc>
        <w:tc>
          <w:tcPr>
            <w:tcW w:w="450" w:type="dxa"/>
            <w:tcBorders>
              <w:bottom w:val="single" w:sz="4" w:space="0" w:color="auto"/>
              <w:right w:val="single" w:sz="18" w:space="0" w:color="auto"/>
            </w:tcBorders>
            <w:shd w:val="clear" w:color="auto" w:fill="auto"/>
            <w:vAlign w:val="center"/>
          </w:tcPr>
          <w:p w:rsidR="001A63C6" w:rsidRPr="003410C7" w:rsidRDefault="001A63C6" w:rsidP="001A63C6">
            <w:pPr>
              <w:pStyle w:val="TableText"/>
              <w:widowControl w:val="0"/>
              <w:rPr>
                <w:rFonts w:ascii="Tahoma" w:hAnsi="Tahoma" w:cs="Tahoma"/>
                <w:sz w:val="13"/>
              </w:rPr>
            </w:pPr>
            <w:r w:rsidRPr="003410C7">
              <w:rPr>
                <w:rFonts w:ascii="Tahoma" w:hAnsi="Tahoma" w:cs="Tahoma"/>
                <w:sz w:val="13"/>
              </w:rPr>
              <w:t>50</w:t>
            </w:r>
          </w:p>
        </w:tc>
        <w:tc>
          <w:tcPr>
            <w:tcW w:w="450" w:type="dxa"/>
            <w:tcBorders>
              <w:left w:val="single" w:sz="18" w:space="0" w:color="auto"/>
              <w:bottom w:val="single" w:sz="4" w:space="0" w:color="auto"/>
            </w:tcBorders>
            <w:shd w:val="clear" w:color="auto" w:fill="auto"/>
            <w:vAlign w:val="center"/>
          </w:tcPr>
          <w:p w:rsidR="001A63C6" w:rsidRPr="003410C7" w:rsidRDefault="001A63C6" w:rsidP="001A63C6">
            <w:pPr>
              <w:pStyle w:val="TableText"/>
              <w:widowControl w:val="0"/>
              <w:rPr>
                <w:rFonts w:ascii="Tahoma" w:hAnsi="Tahoma" w:cs="Tahoma"/>
                <w:sz w:val="13"/>
              </w:rPr>
            </w:pPr>
            <w:r w:rsidRPr="003410C7">
              <w:rPr>
                <w:rFonts w:ascii="Tahoma" w:hAnsi="Tahoma" w:cs="Tahoma"/>
                <w:sz w:val="13"/>
              </w:rPr>
              <w:t>50</w:t>
            </w:r>
          </w:p>
        </w:tc>
        <w:tc>
          <w:tcPr>
            <w:tcW w:w="450" w:type="dxa"/>
            <w:tcBorders>
              <w:bottom w:val="single" w:sz="4" w:space="0" w:color="auto"/>
              <w:right w:val="single" w:sz="18" w:space="0" w:color="auto"/>
            </w:tcBorders>
            <w:shd w:val="clear" w:color="auto" w:fill="auto"/>
            <w:vAlign w:val="center"/>
          </w:tcPr>
          <w:p w:rsidR="001A63C6" w:rsidRPr="003410C7" w:rsidRDefault="001A63C6" w:rsidP="001A63C6">
            <w:pPr>
              <w:pStyle w:val="TableText"/>
              <w:widowControl w:val="0"/>
              <w:rPr>
                <w:rFonts w:ascii="Tahoma" w:hAnsi="Tahoma" w:cs="Tahoma"/>
                <w:sz w:val="13"/>
              </w:rPr>
            </w:pPr>
            <w:r w:rsidRPr="003410C7">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rsidR="001A63C6" w:rsidRPr="003410C7" w:rsidRDefault="001A63C6" w:rsidP="001A63C6">
            <w:pPr>
              <w:pStyle w:val="TableText"/>
              <w:widowControl w:val="0"/>
              <w:rPr>
                <w:rFonts w:ascii="Tahoma" w:hAnsi="Tahoma" w:cs="Tahoma"/>
                <w:sz w:val="13"/>
              </w:rPr>
            </w:pPr>
            <w:r w:rsidRPr="003410C7">
              <w:rPr>
                <w:rFonts w:ascii="Tahoma" w:hAnsi="Tahoma" w:cs="Tahoma"/>
                <w:sz w:val="13"/>
              </w:rPr>
              <w:t>P</w:t>
            </w:r>
          </w:p>
        </w:tc>
        <w:tc>
          <w:tcPr>
            <w:tcW w:w="450" w:type="dxa"/>
            <w:tcBorders>
              <w:bottom w:val="single" w:sz="4" w:space="0" w:color="auto"/>
            </w:tcBorders>
            <w:shd w:val="clear" w:color="auto" w:fill="auto"/>
            <w:vAlign w:val="center"/>
          </w:tcPr>
          <w:p w:rsidR="001A63C6" w:rsidRPr="003410C7" w:rsidRDefault="001A63C6" w:rsidP="001A63C6">
            <w:pPr>
              <w:pStyle w:val="TableText"/>
              <w:widowControl w:val="0"/>
              <w:spacing w:before="120"/>
              <w:rPr>
                <w:rFonts w:ascii="Tahoma" w:hAnsi="Tahoma" w:cs="Tahoma"/>
                <w:sz w:val="13"/>
              </w:rPr>
            </w:pPr>
            <w:r w:rsidRPr="003410C7">
              <w:rPr>
                <w:rFonts w:ascii="Tahoma" w:hAnsi="Tahoma" w:cs="Tahoma"/>
                <w:sz w:val="13"/>
              </w:rPr>
              <w:t>A</w:t>
            </w:r>
          </w:p>
        </w:tc>
        <w:tc>
          <w:tcPr>
            <w:tcW w:w="540" w:type="dxa"/>
            <w:tcBorders>
              <w:bottom w:val="single" w:sz="4" w:space="0" w:color="auto"/>
            </w:tcBorders>
            <w:shd w:val="clear" w:color="auto" w:fill="auto"/>
            <w:vAlign w:val="center"/>
          </w:tcPr>
          <w:p w:rsidR="001A63C6" w:rsidRPr="003410C7" w:rsidRDefault="001A63C6" w:rsidP="001A63C6">
            <w:pPr>
              <w:pStyle w:val="TableText"/>
              <w:widowControl w:val="0"/>
              <w:rPr>
                <w:rFonts w:ascii="Tahoma" w:hAnsi="Tahoma" w:cs="Tahoma"/>
                <w:sz w:val="13"/>
              </w:rPr>
            </w:pPr>
            <w:r w:rsidRPr="003410C7">
              <w:rPr>
                <w:rFonts w:ascii="Tahoma" w:hAnsi="Tahoma" w:cs="Tahoma"/>
                <w:sz w:val="13"/>
              </w:rPr>
              <w:t>OL/OV</w:t>
            </w:r>
          </w:p>
        </w:tc>
      </w:tr>
      <w:tr w:rsidR="00B33D0E" w:rsidRPr="003410C7" w:rsidTr="006B1F3F">
        <w:trPr>
          <w:trHeight w:val="145"/>
        </w:trPr>
        <w:tc>
          <w:tcPr>
            <w:tcW w:w="2734" w:type="dxa"/>
            <w:gridSpan w:val="2"/>
            <w:tcBorders>
              <w:bottom w:val="single" w:sz="4" w:space="0" w:color="auto"/>
            </w:tcBorders>
            <w:shd w:val="clear" w:color="auto" w:fill="FABF8F"/>
            <w:vAlign w:val="center"/>
          </w:tcPr>
          <w:p w:rsidR="001A63C6" w:rsidRPr="003410C7" w:rsidRDefault="001A63C6" w:rsidP="001A63C6">
            <w:pPr>
              <w:pStyle w:val="Heading2"/>
              <w:ind w:left="0"/>
              <w:rPr>
                <w:rFonts w:ascii="Tahoma" w:hAnsi="Tahoma" w:cs="Tahoma"/>
                <w:b w:val="0"/>
                <w:sz w:val="14"/>
                <w:szCs w:val="14"/>
              </w:rPr>
            </w:pPr>
            <w:bookmarkStart w:id="344" w:name="_Toc336338022"/>
            <w:bookmarkStart w:id="345" w:name="_Toc352234629"/>
            <w:r w:rsidRPr="003410C7">
              <w:rPr>
                <w:rFonts w:ascii="Tahoma" w:hAnsi="Tahoma" w:cs="Tahoma"/>
                <w:b w:val="0"/>
                <w:sz w:val="14"/>
                <w:szCs w:val="14"/>
              </w:rPr>
              <w:t>Microsoft Dynamics CRM Workgroup Server 2011</w:t>
            </w:r>
            <w:bookmarkEnd w:id="344"/>
            <w:bookmarkEnd w:id="345"/>
            <w:r w:rsidRPr="003410C7">
              <w:rPr>
                <w:rFonts w:ascii="Tahoma" w:hAnsi="Tahoma" w:cs="Tahoma"/>
                <w:b w:val="0"/>
                <w:sz w:val="14"/>
                <w:szCs w:val="14"/>
              </w:rPr>
              <w:t xml:space="preserve"> </w:t>
            </w:r>
          </w:p>
        </w:tc>
        <w:tc>
          <w:tcPr>
            <w:tcW w:w="450" w:type="dxa"/>
            <w:tcBorders>
              <w:bottom w:val="single" w:sz="4" w:space="0" w:color="auto"/>
            </w:tcBorders>
            <w:shd w:val="clear" w:color="auto" w:fill="FABF8F"/>
            <w:vAlign w:val="center"/>
          </w:tcPr>
          <w:p w:rsidR="001A63C6" w:rsidRPr="009F17FF" w:rsidRDefault="00FC1A4D" w:rsidP="00097C8C">
            <w:pPr>
              <w:pStyle w:val="TableText"/>
              <w:widowControl w:val="0"/>
              <w:rPr>
                <w:b/>
                <w:color w:val="0000FF"/>
                <w:sz w:val="13"/>
                <w:szCs w:val="13"/>
                <w:u w:val="single"/>
              </w:rPr>
            </w:pPr>
            <w:hyperlink w:anchor="_66_Microsoft_Dynamics" w:history="1">
              <w:r w:rsidR="000D77F6" w:rsidRPr="009F17FF">
                <w:rPr>
                  <w:rStyle w:val="Hyperlink"/>
                  <w:b/>
                  <w:sz w:val="13"/>
                  <w:szCs w:val="13"/>
                </w:rPr>
                <w:t>67</w:t>
              </w:r>
            </w:hyperlink>
          </w:p>
        </w:tc>
        <w:tc>
          <w:tcPr>
            <w:tcW w:w="450" w:type="dxa"/>
            <w:tcBorders>
              <w:bottom w:val="single" w:sz="4" w:space="0" w:color="auto"/>
            </w:tcBorders>
            <w:shd w:val="clear" w:color="auto" w:fill="FABF8F"/>
          </w:tcPr>
          <w:p w:rsidR="001A63C6" w:rsidRPr="003410C7" w:rsidRDefault="001A63C6" w:rsidP="001A63C6">
            <w:pPr>
              <w:pStyle w:val="TableText"/>
              <w:widowControl w:val="0"/>
              <w:spacing w:before="120"/>
              <w:rPr>
                <w:rFonts w:ascii="Tahoma" w:hAnsi="Tahoma" w:cs="Tahoma"/>
                <w:color w:val="000000"/>
                <w:sz w:val="13"/>
              </w:rPr>
            </w:pPr>
            <w:r w:rsidRPr="003410C7">
              <w:rPr>
                <w:rFonts w:ascii="Tahoma" w:hAnsi="Tahoma" w:cs="Tahoma"/>
                <w:color w:val="000000"/>
                <w:sz w:val="13"/>
              </w:rPr>
              <w:t>04/01</w:t>
            </w:r>
          </w:p>
        </w:tc>
        <w:tc>
          <w:tcPr>
            <w:tcW w:w="360" w:type="dxa"/>
            <w:tcBorders>
              <w:bottom w:val="single" w:sz="4" w:space="0" w:color="auto"/>
              <w:right w:val="single" w:sz="18" w:space="0" w:color="auto"/>
            </w:tcBorders>
            <w:shd w:val="clear" w:color="auto" w:fill="FABF8F"/>
            <w:vAlign w:val="center"/>
          </w:tcPr>
          <w:p w:rsidR="001A63C6" w:rsidRPr="003410C7" w:rsidRDefault="001A63C6" w:rsidP="001A63C6">
            <w:pPr>
              <w:pStyle w:val="TableText"/>
              <w:widowControl w:val="0"/>
              <w:rPr>
                <w:rFonts w:ascii="Tahoma" w:hAnsi="Tahoma" w:cs="Tahoma"/>
                <w:sz w:val="13"/>
              </w:rPr>
            </w:pPr>
            <w:r w:rsidRPr="003410C7">
              <w:rPr>
                <w:rFonts w:ascii="Tahoma" w:hAnsi="Tahoma" w:cs="Tahoma"/>
                <w:sz w:val="13"/>
              </w:rPr>
              <w:t>SRV</w:t>
            </w:r>
          </w:p>
        </w:tc>
        <w:tc>
          <w:tcPr>
            <w:tcW w:w="360" w:type="dxa"/>
            <w:tcBorders>
              <w:left w:val="single" w:sz="18" w:space="0" w:color="auto"/>
              <w:bottom w:val="single" w:sz="4" w:space="0" w:color="auto"/>
            </w:tcBorders>
            <w:shd w:val="clear" w:color="auto" w:fill="FABF8F"/>
            <w:vAlign w:val="center"/>
          </w:tcPr>
          <w:p w:rsidR="001A63C6" w:rsidRPr="003410C7"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3410C7" w:rsidRDefault="001A63C6" w:rsidP="001A63C6">
            <w:pPr>
              <w:pStyle w:val="TableText"/>
              <w:widowControl w:val="0"/>
              <w:rPr>
                <w:rFonts w:ascii="Tahoma" w:hAnsi="Tahoma" w:cs="Tahoma"/>
                <w:sz w:val="13"/>
              </w:rPr>
            </w:pPr>
            <w:r w:rsidRPr="003410C7">
              <w:rPr>
                <w:rFonts w:ascii="Tahoma" w:hAnsi="Tahoma" w:cs="Tahoma"/>
                <w:sz w:val="13"/>
              </w:rPr>
              <w:t>60</w:t>
            </w:r>
          </w:p>
        </w:tc>
        <w:tc>
          <w:tcPr>
            <w:tcW w:w="450" w:type="dxa"/>
            <w:tcBorders>
              <w:bottom w:val="single" w:sz="4" w:space="0" w:color="auto"/>
            </w:tcBorders>
            <w:shd w:val="clear" w:color="auto" w:fill="FABF8F"/>
            <w:vAlign w:val="center"/>
          </w:tcPr>
          <w:p w:rsidR="001A63C6" w:rsidRPr="003410C7" w:rsidRDefault="001A63C6" w:rsidP="001A63C6">
            <w:pPr>
              <w:pStyle w:val="TableText"/>
              <w:widowControl w:val="0"/>
              <w:rPr>
                <w:rFonts w:ascii="Tahoma" w:hAnsi="Tahoma" w:cs="Tahoma"/>
                <w:sz w:val="13"/>
              </w:rPr>
            </w:pPr>
            <w:r w:rsidRPr="003410C7">
              <w:rPr>
                <w:rFonts w:ascii="Tahoma" w:hAnsi="Tahoma" w:cs="Tahoma"/>
                <w:sz w:val="13"/>
              </w:rPr>
              <w:t>50</w:t>
            </w:r>
          </w:p>
        </w:tc>
        <w:tc>
          <w:tcPr>
            <w:tcW w:w="450" w:type="dxa"/>
            <w:tcBorders>
              <w:bottom w:val="single" w:sz="4" w:space="0" w:color="auto"/>
            </w:tcBorders>
            <w:shd w:val="clear" w:color="auto" w:fill="FABF8F"/>
            <w:vAlign w:val="center"/>
          </w:tcPr>
          <w:p w:rsidR="001A63C6" w:rsidRPr="003410C7" w:rsidRDefault="001A63C6" w:rsidP="001A63C6">
            <w:pPr>
              <w:pStyle w:val="TableText"/>
              <w:widowControl w:val="0"/>
              <w:rPr>
                <w:rFonts w:ascii="Tahoma" w:hAnsi="Tahoma" w:cs="Tahoma"/>
                <w:sz w:val="13"/>
              </w:rPr>
            </w:pPr>
            <w:r w:rsidRPr="003410C7">
              <w:rPr>
                <w:rFonts w:ascii="Tahoma" w:hAnsi="Tahoma" w:cs="Tahoma"/>
                <w:sz w:val="13"/>
              </w:rPr>
              <w:t>38</w:t>
            </w:r>
          </w:p>
        </w:tc>
        <w:tc>
          <w:tcPr>
            <w:tcW w:w="450" w:type="dxa"/>
            <w:tcBorders>
              <w:bottom w:val="single" w:sz="4" w:space="0" w:color="auto"/>
            </w:tcBorders>
            <w:shd w:val="clear" w:color="auto" w:fill="FABF8F"/>
            <w:vAlign w:val="center"/>
          </w:tcPr>
          <w:p w:rsidR="001A63C6" w:rsidRPr="003410C7" w:rsidRDefault="001A63C6" w:rsidP="001A63C6">
            <w:pPr>
              <w:pStyle w:val="TableText"/>
              <w:widowControl w:val="0"/>
              <w:rPr>
                <w:rFonts w:ascii="Tahoma" w:hAnsi="Tahoma" w:cs="Tahoma"/>
                <w:sz w:val="13"/>
              </w:rPr>
            </w:pPr>
            <w:r w:rsidRPr="003410C7">
              <w:rPr>
                <w:rFonts w:ascii="Tahoma" w:hAnsi="Tahoma" w:cs="Tahoma"/>
                <w:sz w:val="13"/>
              </w:rPr>
              <w:t>38</w:t>
            </w:r>
          </w:p>
        </w:tc>
        <w:tc>
          <w:tcPr>
            <w:tcW w:w="450" w:type="dxa"/>
            <w:tcBorders>
              <w:bottom w:val="single" w:sz="4" w:space="0" w:color="auto"/>
            </w:tcBorders>
            <w:shd w:val="clear" w:color="auto" w:fill="FABF8F"/>
            <w:vAlign w:val="center"/>
          </w:tcPr>
          <w:p w:rsidR="001A63C6" w:rsidRPr="003410C7" w:rsidRDefault="001A63C6" w:rsidP="001A63C6">
            <w:pPr>
              <w:pStyle w:val="TableText"/>
              <w:widowControl w:val="0"/>
              <w:rPr>
                <w:rFonts w:ascii="Tahoma" w:hAnsi="Tahoma" w:cs="Tahoma"/>
                <w:sz w:val="13"/>
              </w:rPr>
            </w:pPr>
            <w:r w:rsidRPr="003410C7">
              <w:rPr>
                <w:rFonts w:ascii="Tahoma" w:hAnsi="Tahoma" w:cs="Tahoma"/>
                <w:sz w:val="13"/>
              </w:rPr>
              <w:t>25</w:t>
            </w:r>
          </w:p>
        </w:tc>
        <w:tc>
          <w:tcPr>
            <w:tcW w:w="360" w:type="dxa"/>
            <w:tcBorders>
              <w:bottom w:val="single" w:sz="4" w:space="0" w:color="auto"/>
              <w:right w:val="single" w:sz="18" w:space="0" w:color="auto"/>
            </w:tcBorders>
            <w:shd w:val="clear" w:color="auto" w:fill="FABF8F"/>
            <w:vAlign w:val="center"/>
          </w:tcPr>
          <w:p w:rsidR="001A63C6" w:rsidRPr="003410C7" w:rsidRDefault="001A63C6" w:rsidP="001A63C6">
            <w:pPr>
              <w:pStyle w:val="TableText"/>
              <w:widowControl w:val="0"/>
              <w:rPr>
                <w:rFonts w:ascii="Tahoma" w:hAnsi="Tahoma" w:cs="Tahoma"/>
                <w:sz w:val="13"/>
              </w:rPr>
            </w:pPr>
            <w:r w:rsidRPr="003410C7">
              <w:rPr>
                <w:rFonts w:ascii="Tahoma" w:hAnsi="Tahoma" w:cs="Tahoma"/>
                <w:sz w:val="13"/>
              </w:rPr>
              <w:t>13</w:t>
            </w:r>
          </w:p>
        </w:tc>
        <w:tc>
          <w:tcPr>
            <w:tcW w:w="450" w:type="dxa"/>
            <w:tcBorders>
              <w:left w:val="single" w:sz="18" w:space="0" w:color="auto"/>
              <w:bottom w:val="single" w:sz="4" w:space="0" w:color="auto"/>
            </w:tcBorders>
            <w:shd w:val="clear" w:color="auto" w:fill="FABF8F"/>
            <w:vAlign w:val="center"/>
          </w:tcPr>
          <w:p w:rsidR="001A63C6" w:rsidRPr="003410C7"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3410C7" w:rsidRDefault="001A63C6" w:rsidP="001A63C6">
            <w:pPr>
              <w:pStyle w:val="TableText"/>
              <w:widowControl w:val="0"/>
              <w:rPr>
                <w:rFonts w:ascii="Tahoma" w:hAnsi="Tahoma" w:cs="Tahoma"/>
                <w:sz w:val="13"/>
              </w:rPr>
            </w:pPr>
            <w:r w:rsidRPr="003410C7">
              <w:rPr>
                <w:rFonts w:ascii="Tahoma" w:hAnsi="Tahoma" w:cs="Tahoma"/>
                <w:sz w:val="13"/>
              </w:rPr>
              <w:t>50</w:t>
            </w:r>
          </w:p>
        </w:tc>
        <w:tc>
          <w:tcPr>
            <w:tcW w:w="450" w:type="dxa"/>
            <w:tcBorders>
              <w:bottom w:val="single" w:sz="4" w:space="0" w:color="auto"/>
              <w:right w:val="single" w:sz="18" w:space="0" w:color="auto"/>
            </w:tcBorders>
            <w:shd w:val="clear" w:color="auto" w:fill="FABF8F"/>
            <w:vAlign w:val="center"/>
          </w:tcPr>
          <w:p w:rsidR="001A63C6" w:rsidRPr="003410C7" w:rsidRDefault="001A63C6" w:rsidP="001A63C6">
            <w:pPr>
              <w:pStyle w:val="TableText"/>
              <w:widowControl w:val="0"/>
              <w:rPr>
                <w:rFonts w:ascii="Tahoma" w:hAnsi="Tahoma" w:cs="Tahoma"/>
                <w:sz w:val="13"/>
              </w:rPr>
            </w:pPr>
            <w:r w:rsidRPr="003410C7">
              <w:rPr>
                <w:rFonts w:ascii="Tahoma" w:hAnsi="Tahoma" w:cs="Tahoma"/>
                <w:sz w:val="13"/>
              </w:rPr>
              <w:t>25</w:t>
            </w:r>
          </w:p>
        </w:tc>
        <w:tc>
          <w:tcPr>
            <w:tcW w:w="450" w:type="dxa"/>
            <w:tcBorders>
              <w:left w:val="single" w:sz="18" w:space="0" w:color="auto"/>
              <w:bottom w:val="single" w:sz="4" w:space="0" w:color="auto"/>
            </w:tcBorders>
            <w:shd w:val="clear" w:color="auto" w:fill="FABF8F"/>
            <w:vAlign w:val="center"/>
          </w:tcPr>
          <w:p w:rsidR="001A63C6" w:rsidRPr="003410C7"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1A63C6" w:rsidRPr="003410C7" w:rsidRDefault="001A63C6" w:rsidP="001A63C6">
            <w:pPr>
              <w:pStyle w:val="TableText"/>
              <w:widowControl w:val="0"/>
              <w:rPr>
                <w:rFonts w:ascii="Tahoma" w:hAnsi="Tahoma" w:cs="Tahoma"/>
                <w:sz w:val="13"/>
              </w:rPr>
            </w:pPr>
            <w:r w:rsidRPr="003410C7">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3410C7" w:rsidRDefault="001A63C6" w:rsidP="001A63C6">
            <w:pPr>
              <w:pStyle w:val="TableText"/>
              <w:widowControl w:val="0"/>
              <w:rPr>
                <w:rFonts w:ascii="Tahoma" w:hAnsi="Tahoma" w:cs="Tahoma"/>
                <w:sz w:val="13"/>
              </w:rPr>
            </w:pPr>
            <w:r w:rsidRPr="003410C7">
              <w:rPr>
                <w:rFonts w:ascii="Tahoma" w:hAnsi="Tahoma" w:cs="Tahoma"/>
                <w:sz w:val="13"/>
              </w:rPr>
              <w:t>P</w:t>
            </w:r>
          </w:p>
        </w:tc>
        <w:tc>
          <w:tcPr>
            <w:tcW w:w="450" w:type="dxa"/>
            <w:tcBorders>
              <w:bottom w:val="single" w:sz="4" w:space="0" w:color="auto"/>
            </w:tcBorders>
            <w:shd w:val="clear" w:color="auto" w:fill="FABF8F"/>
            <w:vAlign w:val="center"/>
          </w:tcPr>
          <w:p w:rsidR="001A63C6" w:rsidRPr="003410C7" w:rsidRDefault="001A63C6" w:rsidP="001A63C6">
            <w:pPr>
              <w:pStyle w:val="TableText"/>
              <w:widowControl w:val="0"/>
              <w:spacing w:before="120"/>
              <w:rPr>
                <w:rFonts w:ascii="Tahoma" w:hAnsi="Tahoma" w:cs="Tahoma"/>
                <w:sz w:val="13"/>
              </w:rPr>
            </w:pPr>
          </w:p>
        </w:tc>
        <w:tc>
          <w:tcPr>
            <w:tcW w:w="540" w:type="dxa"/>
            <w:tcBorders>
              <w:bottom w:val="single" w:sz="4" w:space="0" w:color="auto"/>
            </w:tcBorders>
            <w:shd w:val="clear" w:color="auto" w:fill="FABF8F"/>
            <w:vAlign w:val="center"/>
          </w:tcPr>
          <w:p w:rsidR="001A63C6" w:rsidRPr="003410C7" w:rsidRDefault="001A63C6" w:rsidP="001A63C6">
            <w:pPr>
              <w:pStyle w:val="TableText"/>
              <w:widowControl w:val="0"/>
              <w:rPr>
                <w:rFonts w:ascii="Tahoma" w:hAnsi="Tahoma" w:cs="Tahoma"/>
                <w:sz w:val="13"/>
              </w:rPr>
            </w:pPr>
            <w:r w:rsidRPr="003410C7">
              <w:rPr>
                <w:rFonts w:ascii="Tahoma" w:hAnsi="Tahoma" w:cs="Tahoma"/>
                <w:sz w:val="13"/>
              </w:rPr>
              <w:t>OL/OV</w:t>
            </w:r>
          </w:p>
        </w:tc>
      </w:tr>
      <w:tr w:rsidR="001A63C6" w:rsidRPr="003410C7" w:rsidDel="00436016" w:rsidTr="007E466C">
        <w:trPr>
          <w:trHeight w:val="145"/>
        </w:trPr>
        <w:tc>
          <w:tcPr>
            <w:tcW w:w="2734" w:type="dxa"/>
            <w:gridSpan w:val="2"/>
            <w:tcBorders>
              <w:bottom w:val="single" w:sz="4" w:space="0" w:color="auto"/>
            </w:tcBorders>
            <w:shd w:val="clear" w:color="auto" w:fill="auto"/>
            <w:vAlign w:val="center"/>
          </w:tcPr>
          <w:p w:rsidR="001A63C6" w:rsidRPr="003410C7" w:rsidRDefault="001A63C6" w:rsidP="001A63C6">
            <w:pPr>
              <w:pStyle w:val="Heading2"/>
              <w:ind w:left="-15" w:firstLine="15"/>
              <w:rPr>
                <w:rFonts w:ascii="Tahoma" w:hAnsi="Tahoma" w:cs="Tahoma"/>
                <w:b w:val="0"/>
                <w:sz w:val="14"/>
                <w:szCs w:val="16"/>
              </w:rPr>
            </w:pPr>
            <w:bookmarkStart w:id="346" w:name="_Toc336338023"/>
            <w:bookmarkStart w:id="347" w:name="_Toc352234630"/>
            <w:r w:rsidRPr="003410C7">
              <w:rPr>
                <w:rFonts w:ascii="Tahoma" w:hAnsi="Tahoma" w:cs="Tahoma"/>
                <w:b w:val="0"/>
                <w:sz w:val="14"/>
                <w:szCs w:val="14"/>
              </w:rPr>
              <w:lastRenderedPageBreak/>
              <w:t>Microsoft Translator API</w:t>
            </w:r>
            <w:bookmarkEnd w:id="346"/>
            <w:bookmarkEnd w:id="347"/>
          </w:p>
        </w:tc>
        <w:tc>
          <w:tcPr>
            <w:tcW w:w="450" w:type="dxa"/>
            <w:tcBorders>
              <w:bottom w:val="single" w:sz="4" w:space="0" w:color="auto"/>
            </w:tcBorders>
            <w:shd w:val="clear" w:color="auto" w:fill="auto"/>
            <w:vAlign w:val="center"/>
          </w:tcPr>
          <w:p w:rsidR="001A63C6" w:rsidRPr="009F17FF" w:rsidRDefault="001A63C6" w:rsidP="001A63C6">
            <w:pPr>
              <w:pStyle w:val="TableText"/>
              <w:widowControl w:val="0"/>
              <w:rPr>
                <w:b/>
                <w:color w:val="0000FF"/>
                <w:sz w:val="13"/>
                <w:szCs w:val="13"/>
                <w:u w:val="single"/>
              </w:rPr>
            </w:pPr>
          </w:p>
        </w:tc>
        <w:tc>
          <w:tcPr>
            <w:tcW w:w="450" w:type="dxa"/>
            <w:tcBorders>
              <w:bottom w:val="single" w:sz="4" w:space="0" w:color="auto"/>
            </w:tcBorders>
            <w:shd w:val="clear" w:color="auto" w:fill="auto"/>
          </w:tcPr>
          <w:p w:rsidR="001A63C6" w:rsidRPr="003410C7" w:rsidRDefault="001A63C6" w:rsidP="001A63C6">
            <w:pPr>
              <w:pStyle w:val="TableText"/>
              <w:widowControl w:val="0"/>
              <w:spacing w:before="120"/>
              <w:rPr>
                <w:rFonts w:ascii="Tahoma" w:hAnsi="Tahoma" w:cs="Tahoma"/>
                <w:color w:val="000000"/>
                <w:sz w:val="13"/>
              </w:rPr>
            </w:pPr>
            <w:r w:rsidRPr="003410C7">
              <w:rPr>
                <w:rFonts w:ascii="Tahoma" w:hAnsi="Tahoma" w:cs="Tahoma"/>
                <w:color w:val="000000"/>
                <w:sz w:val="13"/>
              </w:rPr>
              <w:t>08/12</w:t>
            </w:r>
          </w:p>
        </w:tc>
        <w:tc>
          <w:tcPr>
            <w:tcW w:w="360" w:type="dxa"/>
            <w:tcBorders>
              <w:bottom w:val="single" w:sz="4" w:space="0" w:color="auto"/>
              <w:right w:val="single" w:sz="18" w:space="0" w:color="auto"/>
            </w:tcBorders>
            <w:shd w:val="clear" w:color="auto" w:fill="auto"/>
            <w:vAlign w:val="center"/>
          </w:tcPr>
          <w:p w:rsidR="001A63C6" w:rsidRPr="003410C7" w:rsidRDefault="001A63C6" w:rsidP="001A63C6">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auto"/>
            <w:vAlign w:val="center"/>
          </w:tcPr>
          <w:p w:rsidR="001A63C6" w:rsidRPr="003410C7" w:rsidDel="00436016"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3410C7" w:rsidDel="00436016"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3410C7" w:rsidDel="00436016"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3410C7" w:rsidDel="00436016"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3410C7" w:rsidDel="00436016"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3410C7" w:rsidDel="00436016" w:rsidRDefault="001A63C6" w:rsidP="001A63C6">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auto"/>
            <w:vAlign w:val="center"/>
          </w:tcPr>
          <w:p w:rsidR="001A63C6" w:rsidRPr="003410C7" w:rsidDel="00436016"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1A63C6" w:rsidRPr="003410C7" w:rsidDel="00436016"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3410C7" w:rsidDel="00436016"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1A63C6" w:rsidRPr="003410C7" w:rsidDel="00436016"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1A63C6" w:rsidRPr="003410C7" w:rsidDel="00436016"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1A63C6" w:rsidRPr="003410C7" w:rsidRDefault="001A63C6" w:rsidP="001A63C6">
            <w:pPr>
              <w:pStyle w:val="TableText"/>
              <w:widowControl w:val="0"/>
              <w:rPr>
                <w:rFonts w:ascii="Tahoma" w:hAnsi="Tahoma" w:cs="Tahoma"/>
                <w:sz w:val="13"/>
              </w:rPr>
            </w:pPr>
            <w:r w:rsidRPr="003410C7">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rsidR="001A63C6" w:rsidRPr="003410C7" w:rsidDel="00436016"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3410C7" w:rsidRDefault="001A63C6" w:rsidP="001A63C6">
            <w:pPr>
              <w:pStyle w:val="TableText"/>
              <w:widowControl w:val="0"/>
              <w:spacing w:before="120"/>
              <w:rPr>
                <w:rFonts w:ascii="Tahoma" w:hAnsi="Tahoma" w:cs="Tahoma"/>
                <w:sz w:val="13"/>
              </w:rPr>
            </w:pPr>
          </w:p>
        </w:tc>
        <w:tc>
          <w:tcPr>
            <w:tcW w:w="540" w:type="dxa"/>
            <w:tcBorders>
              <w:bottom w:val="single" w:sz="4" w:space="0" w:color="auto"/>
            </w:tcBorders>
            <w:shd w:val="clear" w:color="auto" w:fill="auto"/>
            <w:vAlign w:val="center"/>
          </w:tcPr>
          <w:p w:rsidR="001A63C6" w:rsidRPr="003410C7" w:rsidDel="00436016" w:rsidRDefault="001A63C6" w:rsidP="001A63C6">
            <w:pPr>
              <w:pStyle w:val="TableText"/>
              <w:widowControl w:val="0"/>
              <w:rPr>
                <w:rFonts w:ascii="Tahoma" w:hAnsi="Tahoma" w:cs="Tahoma"/>
                <w:sz w:val="13"/>
              </w:rPr>
            </w:pPr>
          </w:p>
        </w:tc>
      </w:tr>
      <w:tr w:rsidR="006D1AA6" w:rsidRPr="003410C7" w:rsidDel="00436016" w:rsidTr="006B1F3F">
        <w:trPr>
          <w:trHeight w:val="145"/>
        </w:trPr>
        <w:tc>
          <w:tcPr>
            <w:tcW w:w="2734" w:type="dxa"/>
            <w:gridSpan w:val="2"/>
            <w:tcBorders>
              <w:bottom w:val="single" w:sz="4" w:space="0" w:color="auto"/>
            </w:tcBorders>
            <w:shd w:val="clear" w:color="auto" w:fill="FABF8F"/>
            <w:vAlign w:val="center"/>
          </w:tcPr>
          <w:p w:rsidR="006D1AA6" w:rsidRPr="003410C7" w:rsidRDefault="006D1AA6" w:rsidP="00FE2D13">
            <w:pPr>
              <w:pStyle w:val="Heading2"/>
              <w:ind w:left="-15" w:firstLine="15"/>
              <w:rPr>
                <w:rFonts w:ascii="Tahoma" w:hAnsi="Tahoma" w:cs="Tahoma"/>
                <w:b w:val="0"/>
                <w:sz w:val="14"/>
                <w:szCs w:val="14"/>
              </w:rPr>
            </w:pPr>
            <w:bookmarkStart w:id="348" w:name="_Toc352234631"/>
            <w:r w:rsidRPr="003410C7">
              <w:rPr>
                <w:rFonts w:ascii="Tahoma" w:hAnsi="Tahoma" w:cs="Tahoma"/>
                <w:b w:val="0"/>
                <w:sz w:val="14"/>
                <w:szCs w:val="14"/>
              </w:rPr>
              <w:t>Office 365 Midsize Business (SL</w:t>
            </w:r>
            <w:r w:rsidR="00FE2D13">
              <w:rPr>
                <w:rFonts w:ascii="Tahoma" w:hAnsi="Tahoma" w:cs="Tahoma"/>
                <w:b w:val="0"/>
                <w:sz w:val="14"/>
                <w:szCs w:val="14"/>
              </w:rPr>
              <w:t> </w:t>
            </w:r>
            <w:r w:rsidRPr="003410C7">
              <w:rPr>
                <w:rFonts w:ascii="Tahoma" w:hAnsi="Tahoma" w:cs="Tahoma"/>
                <w:b w:val="0"/>
                <w:sz w:val="14"/>
                <w:szCs w:val="14"/>
              </w:rPr>
              <w:t>per</w:t>
            </w:r>
            <w:r w:rsidR="00FE2D13">
              <w:rPr>
                <w:rFonts w:ascii="Tahoma" w:hAnsi="Tahoma" w:cs="Tahoma"/>
                <w:b w:val="0"/>
                <w:sz w:val="14"/>
                <w:szCs w:val="14"/>
              </w:rPr>
              <w:t> </w:t>
            </w:r>
            <w:r w:rsidRPr="003410C7">
              <w:rPr>
                <w:rFonts w:ascii="Tahoma" w:hAnsi="Tahoma" w:cs="Tahoma"/>
                <w:b w:val="0"/>
                <w:sz w:val="14"/>
                <w:szCs w:val="14"/>
              </w:rPr>
              <w:t>Utente)</w:t>
            </w:r>
            <w:bookmarkEnd w:id="348"/>
          </w:p>
        </w:tc>
        <w:tc>
          <w:tcPr>
            <w:tcW w:w="450" w:type="dxa"/>
            <w:tcBorders>
              <w:bottom w:val="single" w:sz="4" w:space="0" w:color="auto"/>
            </w:tcBorders>
            <w:shd w:val="clear" w:color="auto" w:fill="FABF8F"/>
            <w:vAlign w:val="center"/>
          </w:tcPr>
          <w:p w:rsidR="006D1AA6" w:rsidRPr="009F17FF" w:rsidRDefault="006D1AA6" w:rsidP="001A63C6">
            <w:pPr>
              <w:pStyle w:val="TableText"/>
              <w:widowControl w:val="0"/>
              <w:rPr>
                <w:b/>
                <w:color w:val="0000FF"/>
                <w:sz w:val="13"/>
                <w:szCs w:val="13"/>
                <w:u w:val="single"/>
              </w:rPr>
            </w:pPr>
          </w:p>
        </w:tc>
        <w:tc>
          <w:tcPr>
            <w:tcW w:w="450" w:type="dxa"/>
            <w:tcBorders>
              <w:bottom w:val="single" w:sz="4" w:space="0" w:color="auto"/>
            </w:tcBorders>
            <w:shd w:val="clear" w:color="auto" w:fill="FABF8F"/>
          </w:tcPr>
          <w:p w:rsidR="006D1AA6" w:rsidRPr="003410C7" w:rsidRDefault="006D1AA6" w:rsidP="001A63C6">
            <w:pPr>
              <w:pStyle w:val="TableText"/>
              <w:widowControl w:val="0"/>
              <w:spacing w:before="120"/>
              <w:rPr>
                <w:rFonts w:ascii="Tahoma" w:hAnsi="Tahoma" w:cs="Tahoma"/>
                <w:color w:val="000000"/>
                <w:sz w:val="13"/>
              </w:rPr>
            </w:pPr>
            <w:r w:rsidRPr="003410C7">
              <w:rPr>
                <w:rFonts w:ascii="Tahoma" w:hAnsi="Tahoma" w:cs="Tahoma"/>
                <w:color w:val="000000"/>
                <w:sz w:val="13"/>
              </w:rPr>
              <w:t>03/13</w:t>
            </w:r>
          </w:p>
        </w:tc>
        <w:tc>
          <w:tcPr>
            <w:tcW w:w="360" w:type="dxa"/>
            <w:tcBorders>
              <w:bottom w:val="single" w:sz="4" w:space="0" w:color="auto"/>
              <w:right w:val="single" w:sz="18" w:space="0" w:color="auto"/>
            </w:tcBorders>
            <w:shd w:val="clear" w:color="auto" w:fill="FABF8F"/>
            <w:vAlign w:val="center"/>
          </w:tcPr>
          <w:p w:rsidR="006D1AA6" w:rsidRPr="003410C7" w:rsidRDefault="006D1AA6" w:rsidP="001A63C6">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FABF8F"/>
            <w:vAlign w:val="center"/>
          </w:tcPr>
          <w:p w:rsidR="006D1AA6" w:rsidRPr="003410C7" w:rsidDel="00436016" w:rsidRDefault="006D1AA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6D1AA6" w:rsidRPr="003410C7" w:rsidDel="00436016" w:rsidRDefault="006D1AA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6D1AA6" w:rsidRPr="003410C7" w:rsidDel="00436016" w:rsidRDefault="006D1AA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6D1AA6" w:rsidRPr="003410C7" w:rsidDel="00436016" w:rsidRDefault="006D1AA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6D1AA6" w:rsidRPr="003410C7" w:rsidDel="00436016" w:rsidRDefault="006D1AA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6D1AA6" w:rsidRPr="003410C7" w:rsidDel="00436016" w:rsidRDefault="006D1AA6" w:rsidP="001A63C6">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rsidR="006D1AA6" w:rsidRPr="003410C7" w:rsidDel="00436016" w:rsidRDefault="006D1AA6" w:rsidP="001A63C6">
            <w:pPr>
              <w:pStyle w:val="TableText"/>
              <w:widowControl w:val="0"/>
              <w:rPr>
                <w:rFonts w:ascii="Tahoma" w:hAnsi="Tahoma" w:cs="Tahoma"/>
                <w:sz w:val="13"/>
              </w:rPr>
            </w:pPr>
          </w:p>
        </w:tc>
        <w:tc>
          <w:tcPr>
            <w:tcW w:w="1350" w:type="dxa"/>
            <w:gridSpan w:val="3"/>
            <w:tcBorders>
              <w:left w:val="single" w:sz="18" w:space="0" w:color="auto"/>
              <w:bottom w:val="single" w:sz="4" w:space="0" w:color="auto"/>
              <w:right w:val="single" w:sz="18" w:space="0" w:color="auto"/>
            </w:tcBorders>
            <w:shd w:val="clear" w:color="auto" w:fill="FABF8F"/>
            <w:vAlign w:val="center"/>
          </w:tcPr>
          <w:p w:rsidR="006D1AA6" w:rsidRPr="003410C7" w:rsidDel="00436016" w:rsidRDefault="006D1AA6" w:rsidP="001A63C6">
            <w:pPr>
              <w:pStyle w:val="TableText"/>
              <w:widowControl w:val="0"/>
              <w:rPr>
                <w:rFonts w:ascii="Tahoma" w:hAnsi="Tahoma" w:cs="Tahoma"/>
                <w:sz w:val="13"/>
              </w:rPr>
            </w:pPr>
            <w:r w:rsidRPr="003410C7">
              <w:rPr>
                <w:rFonts w:ascii="Tahoma" w:hAnsi="Tahoma" w:cs="Tahoma"/>
                <w:sz w:val="13"/>
              </w:rPr>
              <w:t>1</w:t>
            </w:r>
          </w:p>
        </w:tc>
        <w:tc>
          <w:tcPr>
            <w:tcW w:w="450" w:type="dxa"/>
            <w:tcBorders>
              <w:left w:val="single" w:sz="18" w:space="0" w:color="auto"/>
              <w:bottom w:val="single" w:sz="4" w:space="0" w:color="auto"/>
            </w:tcBorders>
            <w:shd w:val="clear" w:color="auto" w:fill="FABF8F"/>
            <w:vAlign w:val="center"/>
          </w:tcPr>
          <w:p w:rsidR="006D1AA6" w:rsidRPr="003410C7" w:rsidDel="00436016" w:rsidRDefault="006D1AA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6D1AA6" w:rsidRPr="003410C7" w:rsidRDefault="006D1AA6" w:rsidP="001A63C6">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rsidR="006D1AA6" w:rsidRPr="003410C7" w:rsidDel="00436016" w:rsidRDefault="006D1AA6" w:rsidP="001A63C6">
            <w:pPr>
              <w:pStyle w:val="TableText"/>
              <w:widowControl w:val="0"/>
              <w:rPr>
                <w:rFonts w:ascii="Tahoma" w:hAnsi="Tahoma" w:cs="Tahoma"/>
                <w:sz w:val="13"/>
              </w:rPr>
            </w:pPr>
            <w:r w:rsidRPr="003410C7">
              <w:rPr>
                <w:rFonts w:ascii="Tahoma" w:hAnsi="Tahoma" w:cs="Tahoma"/>
                <w:sz w:val="13"/>
              </w:rPr>
              <w:t>P</w:t>
            </w:r>
          </w:p>
        </w:tc>
        <w:tc>
          <w:tcPr>
            <w:tcW w:w="450" w:type="dxa"/>
            <w:tcBorders>
              <w:bottom w:val="single" w:sz="4" w:space="0" w:color="auto"/>
            </w:tcBorders>
            <w:shd w:val="clear" w:color="auto" w:fill="FABF8F"/>
            <w:vAlign w:val="center"/>
          </w:tcPr>
          <w:p w:rsidR="006D1AA6" w:rsidRPr="003410C7" w:rsidRDefault="006D1AA6" w:rsidP="001A63C6">
            <w:pPr>
              <w:pStyle w:val="TableText"/>
              <w:widowControl w:val="0"/>
              <w:spacing w:before="120"/>
              <w:rPr>
                <w:rFonts w:ascii="Tahoma" w:hAnsi="Tahoma" w:cs="Tahoma"/>
                <w:sz w:val="13"/>
              </w:rPr>
            </w:pPr>
          </w:p>
        </w:tc>
        <w:tc>
          <w:tcPr>
            <w:tcW w:w="540" w:type="dxa"/>
            <w:tcBorders>
              <w:bottom w:val="single" w:sz="4" w:space="0" w:color="auto"/>
            </w:tcBorders>
            <w:shd w:val="clear" w:color="auto" w:fill="FABF8F"/>
            <w:vAlign w:val="center"/>
          </w:tcPr>
          <w:p w:rsidR="006D1AA6" w:rsidRPr="003410C7" w:rsidDel="00436016" w:rsidRDefault="006D1AA6" w:rsidP="001A63C6">
            <w:pPr>
              <w:pStyle w:val="TableText"/>
              <w:widowControl w:val="0"/>
              <w:rPr>
                <w:rFonts w:ascii="Tahoma" w:hAnsi="Tahoma" w:cs="Tahoma"/>
                <w:sz w:val="13"/>
              </w:rPr>
            </w:pPr>
            <w:r w:rsidRPr="003410C7">
              <w:rPr>
                <w:rFonts w:ascii="Tahoma" w:hAnsi="Tahoma" w:cs="Tahoma"/>
                <w:sz w:val="13"/>
              </w:rPr>
              <w:t>OL/OV</w:t>
            </w:r>
          </w:p>
        </w:tc>
      </w:tr>
      <w:tr w:rsidR="00B33D0E" w:rsidRPr="003410C7" w:rsidDel="00436016" w:rsidTr="006B1F3F">
        <w:trPr>
          <w:trHeight w:val="145"/>
        </w:trPr>
        <w:tc>
          <w:tcPr>
            <w:tcW w:w="2734" w:type="dxa"/>
            <w:gridSpan w:val="2"/>
            <w:tcBorders>
              <w:bottom w:val="single" w:sz="4" w:space="0" w:color="auto"/>
            </w:tcBorders>
            <w:shd w:val="clear" w:color="auto" w:fill="FFFFFF"/>
            <w:vAlign w:val="center"/>
          </w:tcPr>
          <w:p w:rsidR="001A63C6" w:rsidRPr="003410C7" w:rsidRDefault="001A63C6" w:rsidP="001A63C6">
            <w:pPr>
              <w:pStyle w:val="Heading2"/>
              <w:ind w:left="-15" w:firstLine="15"/>
              <w:rPr>
                <w:rFonts w:ascii="Tahoma" w:hAnsi="Tahoma" w:cs="Tahoma"/>
                <w:b w:val="0"/>
                <w:sz w:val="14"/>
                <w:szCs w:val="16"/>
              </w:rPr>
            </w:pPr>
            <w:bookmarkStart w:id="349" w:name="_Toc336338024"/>
            <w:bookmarkStart w:id="350" w:name="_Toc352234632"/>
            <w:r w:rsidRPr="003410C7">
              <w:rPr>
                <w:rFonts w:ascii="Tahoma" w:hAnsi="Tahoma" w:cs="Tahoma"/>
                <w:b w:val="0"/>
                <w:sz w:val="14"/>
                <w:szCs w:val="16"/>
              </w:rPr>
              <w:t>Office 365 Education A2 (SL per Utente)</w:t>
            </w:r>
            <w:bookmarkEnd w:id="349"/>
            <w:bookmarkEnd w:id="350"/>
          </w:p>
        </w:tc>
        <w:tc>
          <w:tcPr>
            <w:tcW w:w="450" w:type="dxa"/>
            <w:tcBorders>
              <w:bottom w:val="single" w:sz="4" w:space="0" w:color="auto"/>
            </w:tcBorders>
            <w:shd w:val="clear" w:color="auto" w:fill="FFFFFF"/>
            <w:vAlign w:val="center"/>
          </w:tcPr>
          <w:p w:rsidR="001A63C6" w:rsidRPr="009F17FF" w:rsidRDefault="00FC1A4D" w:rsidP="001A63C6">
            <w:pPr>
              <w:pStyle w:val="TableText"/>
              <w:widowControl w:val="0"/>
              <w:rPr>
                <w:b/>
                <w:color w:val="0000FF"/>
                <w:sz w:val="13"/>
                <w:szCs w:val="13"/>
                <w:u w:val="single"/>
              </w:rPr>
            </w:pPr>
            <w:hyperlink w:anchor="_45_Office_365" w:history="1">
              <w:r w:rsidR="000D77F6" w:rsidRPr="009F17FF">
                <w:rPr>
                  <w:rStyle w:val="Hyperlink"/>
                  <w:sz w:val="13"/>
                  <w:szCs w:val="13"/>
                </w:rPr>
                <w:t>4</w:t>
              </w:r>
            </w:hyperlink>
          </w:p>
        </w:tc>
        <w:tc>
          <w:tcPr>
            <w:tcW w:w="450" w:type="dxa"/>
            <w:tcBorders>
              <w:bottom w:val="single" w:sz="4" w:space="0" w:color="auto"/>
            </w:tcBorders>
            <w:shd w:val="clear" w:color="auto" w:fill="FFFFFF"/>
            <w:vAlign w:val="center"/>
          </w:tcPr>
          <w:p w:rsidR="001A63C6" w:rsidRPr="003410C7" w:rsidRDefault="001A63C6" w:rsidP="001A63C6">
            <w:pPr>
              <w:pStyle w:val="TableText"/>
              <w:widowControl w:val="0"/>
              <w:rPr>
                <w:rFonts w:ascii="Tahoma" w:hAnsi="Tahoma" w:cs="Tahoma"/>
                <w:color w:val="000000"/>
                <w:sz w:val="13"/>
              </w:rPr>
            </w:pPr>
            <w:r w:rsidRPr="003410C7">
              <w:rPr>
                <w:rFonts w:ascii="Tahoma" w:hAnsi="Tahoma" w:cs="Tahoma"/>
                <w:color w:val="000000"/>
                <w:sz w:val="13"/>
              </w:rPr>
              <w:t>06/12</w:t>
            </w:r>
          </w:p>
        </w:tc>
        <w:tc>
          <w:tcPr>
            <w:tcW w:w="360" w:type="dxa"/>
            <w:tcBorders>
              <w:bottom w:val="single" w:sz="4" w:space="0" w:color="auto"/>
              <w:right w:val="single" w:sz="18" w:space="0" w:color="auto"/>
            </w:tcBorders>
            <w:shd w:val="clear" w:color="auto" w:fill="FFFFFF"/>
            <w:vAlign w:val="center"/>
          </w:tcPr>
          <w:p w:rsidR="001A63C6" w:rsidRPr="003410C7" w:rsidRDefault="001A63C6" w:rsidP="001A63C6">
            <w:pPr>
              <w:pStyle w:val="TableText"/>
              <w:widowControl w:val="0"/>
              <w:rPr>
                <w:rFonts w:ascii="Tahoma" w:hAnsi="Tahoma" w:cs="Tahoma"/>
                <w:sz w:val="13"/>
              </w:rPr>
            </w:pPr>
            <w:r w:rsidRPr="003410C7">
              <w:rPr>
                <w:rFonts w:ascii="Tahoma" w:hAnsi="Tahoma" w:cs="Tahoma"/>
                <w:sz w:val="13"/>
              </w:rPr>
              <w:t>OSB</w:t>
            </w:r>
          </w:p>
        </w:tc>
        <w:tc>
          <w:tcPr>
            <w:tcW w:w="360" w:type="dxa"/>
            <w:tcBorders>
              <w:left w:val="single" w:sz="18" w:space="0" w:color="auto"/>
              <w:bottom w:val="single" w:sz="4" w:space="0" w:color="auto"/>
            </w:tcBorders>
            <w:shd w:val="clear" w:color="auto" w:fill="FFFFFF"/>
            <w:vAlign w:val="center"/>
          </w:tcPr>
          <w:p w:rsidR="001A63C6" w:rsidRPr="003410C7" w:rsidDel="00436016"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FFFFF"/>
            <w:vAlign w:val="center"/>
          </w:tcPr>
          <w:p w:rsidR="001A63C6" w:rsidRPr="003410C7" w:rsidDel="00436016"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FFFFF"/>
            <w:vAlign w:val="center"/>
          </w:tcPr>
          <w:p w:rsidR="001A63C6" w:rsidRPr="003410C7" w:rsidDel="00436016"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FFFFF"/>
            <w:vAlign w:val="center"/>
          </w:tcPr>
          <w:p w:rsidR="001A63C6" w:rsidRPr="003410C7" w:rsidDel="00436016"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FFFFF"/>
            <w:vAlign w:val="center"/>
          </w:tcPr>
          <w:p w:rsidR="001A63C6" w:rsidRPr="003410C7" w:rsidDel="00436016"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FFFFF"/>
            <w:vAlign w:val="center"/>
          </w:tcPr>
          <w:p w:rsidR="001A63C6" w:rsidRPr="003410C7" w:rsidDel="00436016" w:rsidRDefault="001A63C6" w:rsidP="001A63C6">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FFFFFF"/>
            <w:vAlign w:val="center"/>
          </w:tcPr>
          <w:p w:rsidR="001A63C6" w:rsidRPr="003410C7" w:rsidDel="00436016"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FFFFF"/>
            <w:vAlign w:val="center"/>
          </w:tcPr>
          <w:p w:rsidR="001A63C6" w:rsidRPr="003410C7" w:rsidDel="00436016"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FFFFF"/>
            <w:vAlign w:val="center"/>
          </w:tcPr>
          <w:p w:rsidR="001A63C6" w:rsidRPr="003410C7" w:rsidDel="00436016"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FFFFF"/>
            <w:vAlign w:val="center"/>
          </w:tcPr>
          <w:p w:rsidR="001A63C6" w:rsidRPr="003410C7" w:rsidDel="00436016"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FFFFF"/>
            <w:vAlign w:val="center"/>
          </w:tcPr>
          <w:p w:rsidR="001A63C6" w:rsidRPr="003410C7" w:rsidDel="00436016"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FFFFF"/>
            <w:vAlign w:val="center"/>
          </w:tcPr>
          <w:p w:rsidR="001A63C6" w:rsidRPr="003410C7"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FFFFF"/>
            <w:vAlign w:val="center"/>
          </w:tcPr>
          <w:p w:rsidR="001A63C6" w:rsidRPr="003410C7" w:rsidDel="00436016"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FFFFF"/>
            <w:vAlign w:val="center"/>
          </w:tcPr>
          <w:p w:rsidR="001A63C6" w:rsidRPr="003410C7" w:rsidDel="00436016" w:rsidRDefault="001A63C6" w:rsidP="001A63C6">
            <w:pPr>
              <w:pStyle w:val="TableText"/>
              <w:widowControl w:val="0"/>
              <w:rPr>
                <w:rFonts w:ascii="Tahoma" w:hAnsi="Tahoma" w:cs="Tahoma"/>
                <w:sz w:val="13"/>
              </w:rPr>
            </w:pPr>
            <w:r w:rsidRPr="003410C7">
              <w:rPr>
                <w:rFonts w:ascii="Tahoma" w:hAnsi="Tahoma" w:cs="Tahoma"/>
                <w:sz w:val="13"/>
              </w:rPr>
              <w:t>A, ST (Solo EES)</w:t>
            </w:r>
          </w:p>
        </w:tc>
        <w:tc>
          <w:tcPr>
            <w:tcW w:w="540" w:type="dxa"/>
            <w:tcBorders>
              <w:bottom w:val="single" w:sz="4" w:space="0" w:color="auto"/>
            </w:tcBorders>
            <w:shd w:val="clear" w:color="auto" w:fill="FFFFFF"/>
            <w:vAlign w:val="center"/>
          </w:tcPr>
          <w:p w:rsidR="001A63C6" w:rsidRPr="003410C7" w:rsidDel="00436016" w:rsidRDefault="001A63C6" w:rsidP="001A63C6">
            <w:pPr>
              <w:pStyle w:val="TableText"/>
              <w:widowControl w:val="0"/>
              <w:rPr>
                <w:rFonts w:ascii="Tahoma" w:hAnsi="Tahoma" w:cs="Tahoma"/>
                <w:sz w:val="13"/>
              </w:rPr>
            </w:pPr>
          </w:p>
        </w:tc>
      </w:tr>
      <w:tr w:rsidR="00B33D0E" w:rsidRPr="003410C7" w:rsidDel="00436016" w:rsidTr="006B1F3F">
        <w:trPr>
          <w:trHeight w:val="145"/>
        </w:trPr>
        <w:tc>
          <w:tcPr>
            <w:tcW w:w="2734" w:type="dxa"/>
            <w:gridSpan w:val="2"/>
            <w:tcBorders>
              <w:bottom w:val="single" w:sz="4" w:space="0" w:color="auto"/>
            </w:tcBorders>
            <w:shd w:val="clear" w:color="auto" w:fill="FABF8F"/>
            <w:vAlign w:val="center"/>
          </w:tcPr>
          <w:p w:rsidR="001A63C6" w:rsidRPr="003410C7" w:rsidRDefault="001A63C6" w:rsidP="001A63C6">
            <w:pPr>
              <w:pStyle w:val="Heading2"/>
              <w:ind w:left="-15" w:firstLine="15"/>
              <w:rPr>
                <w:rFonts w:ascii="Tahoma" w:hAnsi="Tahoma" w:cs="Tahoma"/>
                <w:b w:val="0"/>
                <w:sz w:val="14"/>
                <w:szCs w:val="16"/>
              </w:rPr>
            </w:pPr>
            <w:bookmarkStart w:id="351" w:name="_Toc336338025"/>
            <w:bookmarkStart w:id="352" w:name="_Toc352234633"/>
            <w:r w:rsidRPr="003410C7">
              <w:rPr>
                <w:rFonts w:ascii="Tahoma" w:hAnsi="Tahoma" w:cs="Tahoma"/>
                <w:b w:val="0"/>
                <w:sz w:val="14"/>
                <w:szCs w:val="16"/>
              </w:rPr>
              <w:t>Office 365 Education A3 (SL per Utente)</w:t>
            </w:r>
            <w:bookmarkEnd w:id="351"/>
            <w:bookmarkEnd w:id="352"/>
          </w:p>
        </w:tc>
        <w:tc>
          <w:tcPr>
            <w:tcW w:w="450" w:type="dxa"/>
            <w:tcBorders>
              <w:bottom w:val="single" w:sz="4" w:space="0" w:color="auto"/>
            </w:tcBorders>
            <w:shd w:val="clear" w:color="auto" w:fill="FABF8F"/>
            <w:vAlign w:val="center"/>
          </w:tcPr>
          <w:p w:rsidR="001A63C6" w:rsidRPr="009F17FF" w:rsidRDefault="00FC1A4D" w:rsidP="001A63C6">
            <w:pPr>
              <w:pStyle w:val="TableText"/>
              <w:widowControl w:val="0"/>
              <w:rPr>
                <w:b/>
                <w:color w:val="0000FF"/>
                <w:sz w:val="13"/>
                <w:szCs w:val="13"/>
                <w:u w:val="single"/>
              </w:rPr>
            </w:pPr>
            <w:hyperlink w:anchor="_45_Office_365" w:history="1">
              <w:r w:rsidR="000D77F6" w:rsidRPr="009F17FF">
                <w:rPr>
                  <w:rStyle w:val="Hyperlink"/>
                  <w:sz w:val="13"/>
                  <w:szCs w:val="13"/>
                </w:rPr>
                <w:t>4</w:t>
              </w:r>
            </w:hyperlink>
          </w:p>
        </w:tc>
        <w:tc>
          <w:tcPr>
            <w:tcW w:w="450" w:type="dxa"/>
            <w:tcBorders>
              <w:bottom w:val="single" w:sz="4" w:space="0" w:color="auto"/>
            </w:tcBorders>
            <w:shd w:val="clear" w:color="auto" w:fill="FABF8F"/>
          </w:tcPr>
          <w:p w:rsidR="001A63C6" w:rsidRPr="003410C7" w:rsidRDefault="001A63C6" w:rsidP="001A63C6">
            <w:pPr>
              <w:pStyle w:val="TableText"/>
              <w:widowControl w:val="0"/>
              <w:spacing w:before="120"/>
              <w:rPr>
                <w:rFonts w:ascii="Tahoma" w:hAnsi="Tahoma" w:cs="Tahoma"/>
                <w:color w:val="000000"/>
                <w:sz w:val="13"/>
              </w:rPr>
            </w:pPr>
            <w:r w:rsidRPr="003410C7">
              <w:rPr>
                <w:rFonts w:ascii="Tahoma" w:hAnsi="Tahoma" w:cs="Tahoma"/>
                <w:color w:val="000000"/>
                <w:sz w:val="13"/>
              </w:rPr>
              <w:t>06/12</w:t>
            </w:r>
          </w:p>
        </w:tc>
        <w:tc>
          <w:tcPr>
            <w:tcW w:w="360" w:type="dxa"/>
            <w:tcBorders>
              <w:bottom w:val="single" w:sz="4" w:space="0" w:color="auto"/>
              <w:right w:val="single" w:sz="18" w:space="0" w:color="auto"/>
            </w:tcBorders>
            <w:shd w:val="clear" w:color="auto" w:fill="FABF8F"/>
            <w:vAlign w:val="center"/>
          </w:tcPr>
          <w:p w:rsidR="001A63C6" w:rsidRPr="003410C7" w:rsidRDefault="001A63C6" w:rsidP="001A63C6">
            <w:pPr>
              <w:pStyle w:val="TableText"/>
              <w:widowControl w:val="0"/>
              <w:rPr>
                <w:rFonts w:ascii="Tahoma" w:hAnsi="Tahoma" w:cs="Tahoma"/>
                <w:sz w:val="13"/>
              </w:rPr>
            </w:pPr>
            <w:r w:rsidRPr="003410C7">
              <w:rPr>
                <w:rFonts w:ascii="Tahoma" w:hAnsi="Tahoma" w:cs="Tahoma"/>
                <w:sz w:val="13"/>
              </w:rPr>
              <w:t>OSB</w:t>
            </w:r>
          </w:p>
        </w:tc>
        <w:tc>
          <w:tcPr>
            <w:tcW w:w="360" w:type="dxa"/>
            <w:tcBorders>
              <w:left w:val="single" w:sz="18" w:space="0" w:color="auto"/>
              <w:bottom w:val="single" w:sz="4" w:space="0" w:color="auto"/>
            </w:tcBorders>
            <w:shd w:val="clear" w:color="auto" w:fill="FABF8F"/>
            <w:vAlign w:val="center"/>
          </w:tcPr>
          <w:p w:rsidR="001A63C6" w:rsidRPr="003410C7" w:rsidDel="00436016"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3410C7" w:rsidDel="00436016"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3410C7" w:rsidDel="00436016"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3410C7" w:rsidDel="00436016"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3410C7" w:rsidDel="00436016"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3410C7" w:rsidDel="00436016" w:rsidRDefault="001A63C6" w:rsidP="001A63C6">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rsidR="001A63C6" w:rsidRPr="003410C7" w:rsidDel="00436016"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3410C7" w:rsidDel="00436016"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3410C7" w:rsidDel="00436016"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1A63C6" w:rsidRPr="003410C7" w:rsidDel="00436016"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3410C7" w:rsidDel="00436016" w:rsidRDefault="001A63C6" w:rsidP="001A63C6">
            <w:pPr>
              <w:pStyle w:val="TableText"/>
              <w:widowControl w:val="0"/>
              <w:rPr>
                <w:rFonts w:ascii="Tahoma" w:hAnsi="Tahoma" w:cs="Tahoma"/>
                <w:sz w:val="13"/>
              </w:rPr>
            </w:pPr>
            <w:r w:rsidRPr="003410C7">
              <w:rPr>
                <w:rFonts w:ascii="Tahoma" w:hAnsi="Tahoma" w:cs="Tahoma"/>
                <w:sz w:val="13"/>
              </w:rPr>
              <w:t>2</w:t>
            </w:r>
          </w:p>
        </w:tc>
        <w:tc>
          <w:tcPr>
            <w:tcW w:w="450" w:type="dxa"/>
            <w:tcBorders>
              <w:bottom w:val="single" w:sz="4" w:space="0" w:color="auto"/>
              <w:right w:val="single" w:sz="18" w:space="0" w:color="auto"/>
            </w:tcBorders>
            <w:shd w:val="clear" w:color="auto" w:fill="FABF8F"/>
            <w:vAlign w:val="center"/>
          </w:tcPr>
          <w:p w:rsidR="001A63C6" w:rsidRPr="003410C7"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3410C7" w:rsidDel="00436016"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3410C7" w:rsidDel="00436016" w:rsidRDefault="001A63C6" w:rsidP="001A63C6">
            <w:pPr>
              <w:pStyle w:val="TableText"/>
              <w:widowControl w:val="0"/>
              <w:spacing w:before="120"/>
              <w:rPr>
                <w:rFonts w:ascii="Tahoma" w:hAnsi="Tahoma" w:cs="Tahoma"/>
                <w:sz w:val="13"/>
              </w:rPr>
            </w:pPr>
            <w:r w:rsidRPr="003410C7">
              <w:rPr>
                <w:rFonts w:ascii="Tahoma" w:hAnsi="Tahoma" w:cs="Tahoma"/>
                <w:sz w:val="13"/>
              </w:rPr>
              <w:t>EOLS (Solo EES)</w:t>
            </w:r>
          </w:p>
        </w:tc>
        <w:tc>
          <w:tcPr>
            <w:tcW w:w="540" w:type="dxa"/>
            <w:tcBorders>
              <w:bottom w:val="single" w:sz="4" w:space="0" w:color="auto"/>
            </w:tcBorders>
            <w:shd w:val="clear" w:color="auto" w:fill="FABF8F"/>
            <w:vAlign w:val="center"/>
          </w:tcPr>
          <w:p w:rsidR="001A63C6" w:rsidRPr="003410C7" w:rsidDel="00436016" w:rsidRDefault="001A63C6" w:rsidP="001A63C6">
            <w:pPr>
              <w:pStyle w:val="TableText"/>
              <w:widowControl w:val="0"/>
              <w:rPr>
                <w:rFonts w:ascii="Tahoma" w:hAnsi="Tahoma" w:cs="Tahoma"/>
                <w:sz w:val="13"/>
              </w:rPr>
            </w:pPr>
          </w:p>
        </w:tc>
      </w:tr>
      <w:tr w:rsidR="00B33D0E" w:rsidRPr="003410C7" w:rsidDel="00436016" w:rsidTr="006B1F3F">
        <w:trPr>
          <w:trHeight w:val="145"/>
        </w:trPr>
        <w:tc>
          <w:tcPr>
            <w:tcW w:w="2734" w:type="dxa"/>
            <w:gridSpan w:val="2"/>
            <w:tcBorders>
              <w:bottom w:val="single" w:sz="4" w:space="0" w:color="auto"/>
            </w:tcBorders>
            <w:shd w:val="clear" w:color="auto" w:fill="FFFFFF"/>
            <w:vAlign w:val="center"/>
          </w:tcPr>
          <w:p w:rsidR="001A63C6" w:rsidRPr="003410C7" w:rsidRDefault="001A63C6" w:rsidP="003410C7">
            <w:pPr>
              <w:pStyle w:val="Heading2"/>
              <w:spacing w:beforeLines="20" w:before="48" w:afterLines="20" w:after="48"/>
              <w:ind w:left="0" w:firstLine="15"/>
              <w:rPr>
                <w:rFonts w:ascii="Tahoma" w:hAnsi="Tahoma" w:cs="Tahoma"/>
                <w:b w:val="0"/>
                <w:sz w:val="14"/>
                <w:szCs w:val="16"/>
              </w:rPr>
            </w:pPr>
            <w:bookmarkStart w:id="353" w:name="_Toc336338026"/>
            <w:bookmarkStart w:id="354" w:name="_Toc352234634"/>
            <w:r w:rsidRPr="003410C7">
              <w:rPr>
                <w:rFonts w:ascii="Tahoma" w:hAnsi="Tahoma" w:cs="Tahoma"/>
                <w:b w:val="0"/>
                <w:sz w:val="14"/>
                <w:szCs w:val="16"/>
              </w:rPr>
              <w:t>Office 365 Education A4 (SL per Utente)</w:t>
            </w:r>
            <w:bookmarkEnd w:id="353"/>
            <w:bookmarkEnd w:id="354"/>
          </w:p>
        </w:tc>
        <w:tc>
          <w:tcPr>
            <w:tcW w:w="450" w:type="dxa"/>
            <w:tcBorders>
              <w:bottom w:val="single" w:sz="4" w:space="0" w:color="auto"/>
            </w:tcBorders>
            <w:shd w:val="clear" w:color="auto" w:fill="FFFFFF"/>
            <w:vAlign w:val="center"/>
          </w:tcPr>
          <w:p w:rsidR="001A63C6" w:rsidRPr="009F17FF" w:rsidRDefault="00FC1A4D" w:rsidP="001A63C6">
            <w:pPr>
              <w:pStyle w:val="TableText"/>
              <w:widowControl w:val="0"/>
              <w:rPr>
                <w:b/>
                <w:color w:val="0000FF"/>
                <w:sz w:val="13"/>
                <w:szCs w:val="13"/>
                <w:u w:val="single"/>
              </w:rPr>
            </w:pPr>
            <w:hyperlink w:anchor="_45_Office_365" w:history="1">
              <w:r w:rsidR="000D77F6" w:rsidRPr="009F17FF">
                <w:rPr>
                  <w:rStyle w:val="Hyperlink"/>
                  <w:sz w:val="13"/>
                  <w:szCs w:val="13"/>
                </w:rPr>
                <w:t>4</w:t>
              </w:r>
            </w:hyperlink>
          </w:p>
        </w:tc>
        <w:tc>
          <w:tcPr>
            <w:tcW w:w="450" w:type="dxa"/>
            <w:tcBorders>
              <w:bottom w:val="single" w:sz="4" w:space="0" w:color="auto"/>
            </w:tcBorders>
            <w:shd w:val="clear" w:color="auto" w:fill="FFFFFF"/>
          </w:tcPr>
          <w:p w:rsidR="001A63C6" w:rsidRPr="003410C7" w:rsidRDefault="001A63C6" w:rsidP="001A63C6">
            <w:pPr>
              <w:pStyle w:val="TableText"/>
              <w:widowControl w:val="0"/>
              <w:spacing w:before="120"/>
              <w:rPr>
                <w:rFonts w:ascii="Tahoma" w:hAnsi="Tahoma" w:cs="Tahoma"/>
                <w:color w:val="000000"/>
                <w:sz w:val="13"/>
              </w:rPr>
            </w:pPr>
            <w:r w:rsidRPr="003410C7">
              <w:rPr>
                <w:rFonts w:ascii="Tahoma" w:hAnsi="Tahoma" w:cs="Tahoma"/>
                <w:color w:val="000000"/>
                <w:sz w:val="13"/>
              </w:rPr>
              <w:t>06/12</w:t>
            </w:r>
          </w:p>
        </w:tc>
        <w:tc>
          <w:tcPr>
            <w:tcW w:w="360" w:type="dxa"/>
            <w:tcBorders>
              <w:bottom w:val="single" w:sz="4" w:space="0" w:color="auto"/>
              <w:right w:val="single" w:sz="18" w:space="0" w:color="auto"/>
            </w:tcBorders>
            <w:shd w:val="clear" w:color="auto" w:fill="FFFFFF"/>
            <w:vAlign w:val="center"/>
          </w:tcPr>
          <w:p w:rsidR="001A63C6" w:rsidRPr="003410C7" w:rsidRDefault="001A63C6" w:rsidP="001A63C6">
            <w:pPr>
              <w:pStyle w:val="TableText"/>
              <w:widowControl w:val="0"/>
              <w:rPr>
                <w:rFonts w:ascii="Tahoma" w:hAnsi="Tahoma" w:cs="Tahoma"/>
                <w:sz w:val="13"/>
              </w:rPr>
            </w:pPr>
            <w:r w:rsidRPr="003410C7">
              <w:rPr>
                <w:rFonts w:ascii="Tahoma" w:hAnsi="Tahoma" w:cs="Tahoma"/>
                <w:sz w:val="13"/>
              </w:rPr>
              <w:t>OSB</w:t>
            </w:r>
          </w:p>
        </w:tc>
        <w:tc>
          <w:tcPr>
            <w:tcW w:w="360" w:type="dxa"/>
            <w:tcBorders>
              <w:left w:val="single" w:sz="18" w:space="0" w:color="auto"/>
              <w:bottom w:val="single" w:sz="4" w:space="0" w:color="auto"/>
            </w:tcBorders>
            <w:shd w:val="clear" w:color="auto" w:fill="FFFFFF"/>
            <w:vAlign w:val="center"/>
          </w:tcPr>
          <w:p w:rsidR="001A63C6" w:rsidRPr="003410C7" w:rsidDel="00436016"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FFFFF"/>
            <w:vAlign w:val="center"/>
          </w:tcPr>
          <w:p w:rsidR="001A63C6" w:rsidRPr="003410C7" w:rsidDel="00436016"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FFFFF"/>
            <w:vAlign w:val="center"/>
          </w:tcPr>
          <w:p w:rsidR="001A63C6" w:rsidRPr="003410C7" w:rsidDel="00436016"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FFFFF"/>
            <w:vAlign w:val="center"/>
          </w:tcPr>
          <w:p w:rsidR="001A63C6" w:rsidRPr="003410C7" w:rsidDel="00436016"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FFFFF"/>
            <w:vAlign w:val="center"/>
          </w:tcPr>
          <w:p w:rsidR="001A63C6" w:rsidRPr="003410C7" w:rsidDel="00436016"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FFFFF"/>
            <w:vAlign w:val="center"/>
          </w:tcPr>
          <w:p w:rsidR="001A63C6" w:rsidRPr="003410C7" w:rsidDel="00436016" w:rsidRDefault="001A63C6" w:rsidP="001A63C6">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FFFFFF"/>
            <w:vAlign w:val="center"/>
          </w:tcPr>
          <w:p w:rsidR="001A63C6" w:rsidRPr="003410C7" w:rsidDel="00436016"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FFFFF"/>
            <w:vAlign w:val="center"/>
          </w:tcPr>
          <w:p w:rsidR="001A63C6" w:rsidRPr="003410C7" w:rsidDel="00436016"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FFFFF"/>
            <w:vAlign w:val="center"/>
          </w:tcPr>
          <w:p w:rsidR="001A63C6" w:rsidRPr="003410C7" w:rsidDel="00436016"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FFFFF"/>
            <w:vAlign w:val="center"/>
          </w:tcPr>
          <w:p w:rsidR="001A63C6" w:rsidRPr="003410C7" w:rsidDel="00436016"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FFFFF"/>
            <w:vAlign w:val="center"/>
          </w:tcPr>
          <w:p w:rsidR="001A63C6" w:rsidRPr="003410C7" w:rsidDel="00436016" w:rsidRDefault="001A63C6" w:rsidP="001A63C6">
            <w:pPr>
              <w:pStyle w:val="TableText"/>
              <w:widowControl w:val="0"/>
              <w:rPr>
                <w:rFonts w:ascii="Tahoma" w:hAnsi="Tahoma" w:cs="Tahoma"/>
                <w:sz w:val="13"/>
              </w:rPr>
            </w:pPr>
            <w:r w:rsidRPr="003410C7">
              <w:rPr>
                <w:rFonts w:ascii="Tahoma" w:hAnsi="Tahoma" w:cs="Tahoma"/>
                <w:sz w:val="13"/>
              </w:rPr>
              <w:t>2</w:t>
            </w:r>
          </w:p>
        </w:tc>
        <w:tc>
          <w:tcPr>
            <w:tcW w:w="450" w:type="dxa"/>
            <w:tcBorders>
              <w:bottom w:val="single" w:sz="4" w:space="0" w:color="auto"/>
              <w:right w:val="single" w:sz="18" w:space="0" w:color="auto"/>
            </w:tcBorders>
            <w:shd w:val="clear" w:color="auto" w:fill="FFFFFF"/>
            <w:vAlign w:val="center"/>
          </w:tcPr>
          <w:p w:rsidR="001A63C6" w:rsidRPr="003410C7"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FFFFF"/>
            <w:vAlign w:val="center"/>
          </w:tcPr>
          <w:p w:rsidR="001A63C6" w:rsidRPr="003410C7" w:rsidDel="00436016"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FFFFF"/>
            <w:vAlign w:val="center"/>
          </w:tcPr>
          <w:p w:rsidR="001A63C6" w:rsidRPr="003410C7" w:rsidDel="00436016" w:rsidRDefault="001A63C6" w:rsidP="001A63C6">
            <w:pPr>
              <w:pStyle w:val="TableText"/>
              <w:widowControl w:val="0"/>
              <w:spacing w:before="120"/>
              <w:rPr>
                <w:rFonts w:ascii="Tahoma" w:hAnsi="Tahoma" w:cs="Tahoma"/>
                <w:sz w:val="13"/>
              </w:rPr>
            </w:pPr>
            <w:r w:rsidRPr="003410C7">
              <w:rPr>
                <w:rFonts w:ascii="Tahoma" w:hAnsi="Tahoma" w:cs="Tahoma"/>
                <w:sz w:val="13"/>
              </w:rPr>
              <w:t>EOLS (Solo EES)</w:t>
            </w:r>
          </w:p>
        </w:tc>
        <w:tc>
          <w:tcPr>
            <w:tcW w:w="540" w:type="dxa"/>
            <w:tcBorders>
              <w:bottom w:val="single" w:sz="4" w:space="0" w:color="auto"/>
            </w:tcBorders>
            <w:shd w:val="clear" w:color="auto" w:fill="FFFFFF"/>
            <w:vAlign w:val="center"/>
          </w:tcPr>
          <w:p w:rsidR="001A63C6" w:rsidRPr="003410C7" w:rsidDel="00436016" w:rsidRDefault="001A63C6" w:rsidP="001A63C6">
            <w:pPr>
              <w:pStyle w:val="TableText"/>
              <w:widowControl w:val="0"/>
              <w:rPr>
                <w:rFonts w:ascii="Tahoma" w:hAnsi="Tahoma" w:cs="Tahoma"/>
                <w:sz w:val="13"/>
              </w:rPr>
            </w:pPr>
          </w:p>
        </w:tc>
      </w:tr>
      <w:tr w:rsidR="00B33D0E" w:rsidRPr="003410C7" w:rsidDel="00436016" w:rsidTr="006B1F3F">
        <w:trPr>
          <w:trHeight w:val="145"/>
        </w:trPr>
        <w:tc>
          <w:tcPr>
            <w:tcW w:w="2734" w:type="dxa"/>
            <w:gridSpan w:val="2"/>
            <w:tcBorders>
              <w:bottom w:val="single" w:sz="4" w:space="0" w:color="auto"/>
            </w:tcBorders>
            <w:shd w:val="clear" w:color="auto" w:fill="FABF8F"/>
            <w:vAlign w:val="center"/>
          </w:tcPr>
          <w:p w:rsidR="001A63C6" w:rsidRPr="00451078" w:rsidDel="00436016" w:rsidRDefault="001A63C6" w:rsidP="003410C7">
            <w:pPr>
              <w:pStyle w:val="Heading2"/>
              <w:spacing w:beforeLines="20" w:before="48" w:afterLines="20" w:after="48"/>
              <w:ind w:left="0" w:firstLine="15"/>
              <w:rPr>
                <w:rFonts w:ascii="Tahoma" w:hAnsi="Tahoma" w:cs="Tahoma"/>
                <w:b w:val="0"/>
                <w:sz w:val="14"/>
                <w:szCs w:val="16"/>
                <w:lang w:val="it-IT"/>
              </w:rPr>
            </w:pPr>
            <w:bookmarkStart w:id="355" w:name="_Toc336338027"/>
            <w:bookmarkStart w:id="356" w:name="_Toc352234635"/>
            <w:r w:rsidRPr="00451078">
              <w:rPr>
                <w:rFonts w:ascii="Tahoma" w:hAnsi="Tahoma" w:cs="Tahoma"/>
                <w:b w:val="0"/>
                <w:sz w:val="14"/>
                <w:szCs w:val="16"/>
                <w:lang w:val="it-IT"/>
              </w:rPr>
              <w:t>Office 365 Enterprise E1 (SL per Utente)</w:t>
            </w:r>
            <w:bookmarkEnd w:id="355"/>
            <w:bookmarkEnd w:id="356"/>
          </w:p>
        </w:tc>
        <w:tc>
          <w:tcPr>
            <w:tcW w:w="450" w:type="dxa"/>
            <w:tcBorders>
              <w:bottom w:val="single" w:sz="4" w:space="0" w:color="auto"/>
            </w:tcBorders>
            <w:shd w:val="clear" w:color="auto" w:fill="FABF8F"/>
            <w:vAlign w:val="center"/>
          </w:tcPr>
          <w:p w:rsidR="001A63C6" w:rsidRPr="009F17FF" w:rsidDel="00436016" w:rsidRDefault="00FC1A4D" w:rsidP="009E3486">
            <w:pPr>
              <w:pStyle w:val="TableText"/>
              <w:widowControl w:val="0"/>
              <w:rPr>
                <w:b/>
                <w:color w:val="0000FF"/>
                <w:sz w:val="13"/>
                <w:szCs w:val="13"/>
                <w:u w:val="single"/>
              </w:rPr>
            </w:pPr>
            <w:hyperlink w:anchor="_70_68_Office" w:history="1">
              <w:r w:rsidR="000D77F6" w:rsidRPr="009F17FF">
                <w:rPr>
                  <w:rStyle w:val="Hyperlink"/>
                  <w:sz w:val="13"/>
                  <w:szCs w:val="13"/>
                </w:rPr>
                <w:t>68</w:t>
              </w:r>
            </w:hyperlink>
            <w:hyperlink w:anchor="_65_Office_365" w:history="1"/>
            <w:hyperlink w:anchor="_71_Office_365_1" w:history="1"/>
          </w:p>
        </w:tc>
        <w:tc>
          <w:tcPr>
            <w:tcW w:w="450" w:type="dxa"/>
            <w:tcBorders>
              <w:bottom w:val="single" w:sz="4" w:space="0" w:color="auto"/>
            </w:tcBorders>
            <w:shd w:val="clear" w:color="auto" w:fill="FABF8F"/>
          </w:tcPr>
          <w:p w:rsidR="001A63C6" w:rsidRPr="003410C7" w:rsidDel="00436016" w:rsidRDefault="001A63C6" w:rsidP="001A63C6">
            <w:pPr>
              <w:pStyle w:val="TableText"/>
              <w:widowControl w:val="0"/>
              <w:spacing w:before="120"/>
              <w:rPr>
                <w:rFonts w:ascii="Tahoma" w:hAnsi="Tahoma" w:cs="Tahoma"/>
                <w:color w:val="000000"/>
                <w:sz w:val="13"/>
              </w:rPr>
            </w:pPr>
            <w:r w:rsidRPr="003410C7">
              <w:rPr>
                <w:rFonts w:ascii="Tahoma" w:hAnsi="Tahoma" w:cs="Tahoma"/>
                <w:color w:val="000000"/>
                <w:sz w:val="13"/>
              </w:rPr>
              <w:t>06/11</w:t>
            </w:r>
          </w:p>
        </w:tc>
        <w:tc>
          <w:tcPr>
            <w:tcW w:w="360" w:type="dxa"/>
            <w:tcBorders>
              <w:bottom w:val="single" w:sz="4" w:space="0" w:color="auto"/>
              <w:right w:val="single" w:sz="18" w:space="0" w:color="auto"/>
            </w:tcBorders>
            <w:shd w:val="clear" w:color="auto" w:fill="FABF8F"/>
            <w:vAlign w:val="center"/>
          </w:tcPr>
          <w:p w:rsidR="001A63C6" w:rsidRPr="003410C7" w:rsidDel="00436016" w:rsidRDefault="001A63C6" w:rsidP="001A63C6">
            <w:pPr>
              <w:pStyle w:val="TableText"/>
              <w:widowControl w:val="0"/>
              <w:rPr>
                <w:rFonts w:ascii="Tahoma" w:hAnsi="Tahoma" w:cs="Tahoma"/>
                <w:sz w:val="13"/>
              </w:rPr>
            </w:pPr>
            <w:r w:rsidRPr="003410C7">
              <w:rPr>
                <w:rFonts w:ascii="Tahoma" w:hAnsi="Tahoma" w:cs="Tahoma"/>
                <w:sz w:val="13"/>
              </w:rPr>
              <w:t>OSB</w:t>
            </w:r>
          </w:p>
        </w:tc>
        <w:tc>
          <w:tcPr>
            <w:tcW w:w="360" w:type="dxa"/>
            <w:tcBorders>
              <w:left w:val="single" w:sz="18" w:space="0" w:color="auto"/>
              <w:bottom w:val="single" w:sz="4" w:space="0" w:color="auto"/>
            </w:tcBorders>
            <w:shd w:val="clear" w:color="auto" w:fill="FABF8F"/>
            <w:vAlign w:val="center"/>
          </w:tcPr>
          <w:p w:rsidR="001A63C6" w:rsidRPr="003410C7" w:rsidDel="00436016"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3410C7" w:rsidDel="00436016"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3410C7" w:rsidDel="00436016"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3410C7" w:rsidDel="00436016"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3410C7" w:rsidDel="00436016"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3410C7" w:rsidDel="00436016" w:rsidRDefault="001A63C6" w:rsidP="001A63C6">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rsidR="001A63C6" w:rsidRPr="003410C7" w:rsidDel="00436016"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3410C7" w:rsidDel="00436016"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3410C7" w:rsidDel="00436016"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1A63C6" w:rsidRPr="003410C7" w:rsidDel="00436016"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3410C7" w:rsidDel="00436016"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1A63C6" w:rsidRPr="003410C7" w:rsidDel="00436016" w:rsidRDefault="001A63C6" w:rsidP="001A63C6">
            <w:pPr>
              <w:pStyle w:val="TableText"/>
              <w:widowControl w:val="0"/>
              <w:rPr>
                <w:rFonts w:ascii="Tahoma" w:hAnsi="Tahoma" w:cs="Tahoma"/>
                <w:sz w:val="13"/>
              </w:rPr>
            </w:pPr>
            <w:r w:rsidRPr="003410C7">
              <w:rPr>
                <w:rFonts w:ascii="Tahoma" w:hAnsi="Tahoma" w:cs="Tahoma"/>
                <w:sz w:val="13"/>
              </w:rPr>
              <w:t>EOLS</w:t>
            </w: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3410C7" w:rsidDel="00436016"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tcPr>
          <w:p w:rsidR="001A63C6" w:rsidRPr="003410C7" w:rsidDel="00436016" w:rsidRDefault="001A63C6" w:rsidP="001A63C6">
            <w:pPr>
              <w:pStyle w:val="TableText"/>
              <w:widowControl w:val="0"/>
              <w:spacing w:before="120"/>
              <w:rPr>
                <w:rFonts w:ascii="Tahoma" w:hAnsi="Tahoma" w:cs="Tahoma"/>
                <w:sz w:val="13"/>
              </w:rPr>
            </w:pPr>
          </w:p>
        </w:tc>
        <w:tc>
          <w:tcPr>
            <w:tcW w:w="540" w:type="dxa"/>
            <w:tcBorders>
              <w:bottom w:val="single" w:sz="4" w:space="0" w:color="auto"/>
            </w:tcBorders>
            <w:shd w:val="clear" w:color="auto" w:fill="FABF8F"/>
            <w:vAlign w:val="center"/>
          </w:tcPr>
          <w:p w:rsidR="001A63C6" w:rsidRPr="003410C7" w:rsidDel="00436016" w:rsidRDefault="001A63C6" w:rsidP="001A63C6">
            <w:pPr>
              <w:pStyle w:val="TableText"/>
              <w:widowControl w:val="0"/>
              <w:rPr>
                <w:rFonts w:ascii="Tahoma" w:hAnsi="Tahoma" w:cs="Tahoma"/>
                <w:sz w:val="13"/>
              </w:rPr>
            </w:pPr>
          </w:p>
        </w:tc>
      </w:tr>
      <w:tr w:rsidR="00B33D0E" w:rsidRPr="003410C7" w:rsidDel="00436016" w:rsidTr="006B1F3F">
        <w:trPr>
          <w:trHeight w:val="145"/>
        </w:trPr>
        <w:tc>
          <w:tcPr>
            <w:tcW w:w="2734" w:type="dxa"/>
            <w:gridSpan w:val="2"/>
            <w:tcBorders>
              <w:bottom w:val="single" w:sz="4" w:space="0" w:color="auto"/>
            </w:tcBorders>
            <w:shd w:val="clear" w:color="auto" w:fill="FFFFFF"/>
            <w:vAlign w:val="center"/>
          </w:tcPr>
          <w:p w:rsidR="001A63C6" w:rsidRPr="00451078" w:rsidDel="00436016" w:rsidRDefault="001A63C6" w:rsidP="00FE2D13">
            <w:pPr>
              <w:pStyle w:val="Heading2"/>
              <w:spacing w:beforeLines="20" w:before="48" w:afterLines="20" w:after="48"/>
              <w:ind w:left="0" w:firstLine="15"/>
              <w:rPr>
                <w:rFonts w:ascii="Tahoma" w:hAnsi="Tahoma" w:cs="Tahoma"/>
                <w:b w:val="0"/>
                <w:sz w:val="14"/>
                <w:szCs w:val="16"/>
                <w:lang w:val="it-IT"/>
              </w:rPr>
            </w:pPr>
            <w:bookmarkStart w:id="357" w:name="_Toc336338028"/>
            <w:bookmarkStart w:id="358" w:name="_Toc352234636"/>
            <w:r w:rsidRPr="00451078">
              <w:rPr>
                <w:rFonts w:ascii="Tahoma" w:hAnsi="Tahoma" w:cs="Tahoma"/>
                <w:b w:val="0"/>
                <w:sz w:val="14"/>
                <w:szCs w:val="16"/>
                <w:lang w:val="it-IT"/>
              </w:rPr>
              <w:t>Office 365 Enterprise E2 - E4 (SL</w:t>
            </w:r>
            <w:r w:rsidR="00FE2D13" w:rsidRPr="00451078">
              <w:rPr>
                <w:rFonts w:ascii="Tahoma" w:hAnsi="Tahoma" w:cs="Tahoma"/>
                <w:b w:val="0"/>
                <w:sz w:val="14"/>
                <w:szCs w:val="16"/>
                <w:lang w:val="it-IT"/>
              </w:rPr>
              <w:t> </w:t>
            </w:r>
            <w:r w:rsidRPr="00451078">
              <w:rPr>
                <w:rFonts w:ascii="Tahoma" w:hAnsi="Tahoma" w:cs="Tahoma"/>
                <w:b w:val="0"/>
                <w:sz w:val="14"/>
                <w:szCs w:val="16"/>
                <w:lang w:val="it-IT"/>
              </w:rPr>
              <w:t>per</w:t>
            </w:r>
            <w:r w:rsidR="00FE2D13" w:rsidRPr="00451078">
              <w:rPr>
                <w:rFonts w:ascii="Tahoma" w:hAnsi="Tahoma" w:cs="Tahoma"/>
                <w:b w:val="0"/>
                <w:sz w:val="14"/>
                <w:szCs w:val="16"/>
                <w:lang w:val="it-IT"/>
              </w:rPr>
              <w:t> </w:t>
            </w:r>
            <w:r w:rsidRPr="00451078">
              <w:rPr>
                <w:rFonts w:ascii="Tahoma" w:hAnsi="Tahoma" w:cs="Tahoma"/>
                <w:b w:val="0"/>
                <w:sz w:val="14"/>
                <w:szCs w:val="16"/>
                <w:lang w:val="it-IT"/>
              </w:rPr>
              <w:t>Utente)</w:t>
            </w:r>
            <w:bookmarkEnd w:id="357"/>
            <w:bookmarkEnd w:id="358"/>
          </w:p>
        </w:tc>
        <w:tc>
          <w:tcPr>
            <w:tcW w:w="450" w:type="dxa"/>
            <w:tcBorders>
              <w:bottom w:val="single" w:sz="4" w:space="0" w:color="auto"/>
            </w:tcBorders>
            <w:shd w:val="clear" w:color="auto" w:fill="FFFFFF"/>
            <w:vAlign w:val="center"/>
          </w:tcPr>
          <w:p w:rsidR="001A63C6" w:rsidRPr="009F17FF" w:rsidDel="00436016" w:rsidRDefault="00FC1A4D" w:rsidP="00F57D44">
            <w:pPr>
              <w:pStyle w:val="TableText"/>
              <w:widowControl w:val="0"/>
              <w:rPr>
                <w:b/>
                <w:color w:val="0000FF"/>
                <w:sz w:val="13"/>
                <w:szCs w:val="13"/>
                <w:u w:val="single"/>
              </w:rPr>
            </w:pPr>
            <w:hyperlink w:anchor="_65_Office_365" w:history="1">
              <w:r w:rsidR="000D77F6" w:rsidRPr="009F17FF">
                <w:rPr>
                  <w:rStyle w:val="Hyperlink"/>
                  <w:sz w:val="13"/>
                  <w:szCs w:val="13"/>
                </w:rPr>
                <w:t>5</w:t>
              </w:r>
            </w:hyperlink>
          </w:p>
        </w:tc>
        <w:tc>
          <w:tcPr>
            <w:tcW w:w="450" w:type="dxa"/>
            <w:tcBorders>
              <w:bottom w:val="single" w:sz="4" w:space="0" w:color="auto"/>
            </w:tcBorders>
            <w:shd w:val="clear" w:color="auto" w:fill="FFFFFF"/>
          </w:tcPr>
          <w:p w:rsidR="001A63C6" w:rsidRPr="003410C7" w:rsidDel="00436016" w:rsidRDefault="001A63C6" w:rsidP="001A63C6">
            <w:pPr>
              <w:pStyle w:val="TableText"/>
              <w:widowControl w:val="0"/>
              <w:spacing w:before="120"/>
              <w:rPr>
                <w:rFonts w:ascii="Tahoma" w:hAnsi="Tahoma" w:cs="Tahoma"/>
                <w:color w:val="000000"/>
                <w:sz w:val="13"/>
              </w:rPr>
            </w:pPr>
            <w:r w:rsidRPr="003410C7">
              <w:rPr>
                <w:rFonts w:ascii="Tahoma" w:hAnsi="Tahoma" w:cs="Tahoma"/>
                <w:color w:val="000000"/>
                <w:sz w:val="13"/>
              </w:rPr>
              <w:t>06/11</w:t>
            </w:r>
          </w:p>
        </w:tc>
        <w:tc>
          <w:tcPr>
            <w:tcW w:w="360" w:type="dxa"/>
            <w:tcBorders>
              <w:bottom w:val="single" w:sz="4" w:space="0" w:color="auto"/>
              <w:right w:val="single" w:sz="18" w:space="0" w:color="auto"/>
            </w:tcBorders>
            <w:shd w:val="clear" w:color="auto" w:fill="FFFFFF"/>
            <w:vAlign w:val="center"/>
          </w:tcPr>
          <w:p w:rsidR="001A63C6" w:rsidRPr="003410C7" w:rsidDel="00436016" w:rsidRDefault="001A63C6" w:rsidP="001A63C6">
            <w:pPr>
              <w:pStyle w:val="TableText"/>
              <w:widowControl w:val="0"/>
              <w:rPr>
                <w:rFonts w:ascii="Tahoma" w:hAnsi="Tahoma" w:cs="Tahoma"/>
                <w:sz w:val="13"/>
              </w:rPr>
            </w:pPr>
            <w:r w:rsidRPr="003410C7">
              <w:rPr>
                <w:rFonts w:ascii="Tahoma" w:hAnsi="Tahoma" w:cs="Tahoma"/>
                <w:sz w:val="13"/>
              </w:rPr>
              <w:t>OSB</w:t>
            </w:r>
          </w:p>
        </w:tc>
        <w:tc>
          <w:tcPr>
            <w:tcW w:w="360" w:type="dxa"/>
            <w:tcBorders>
              <w:left w:val="single" w:sz="18" w:space="0" w:color="auto"/>
              <w:bottom w:val="single" w:sz="4" w:space="0" w:color="auto"/>
            </w:tcBorders>
            <w:shd w:val="clear" w:color="auto" w:fill="FFFFFF"/>
            <w:vAlign w:val="center"/>
          </w:tcPr>
          <w:p w:rsidR="001A63C6" w:rsidRPr="003410C7" w:rsidDel="00436016"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FFFFF"/>
            <w:vAlign w:val="center"/>
          </w:tcPr>
          <w:p w:rsidR="001A63C6" w:rsidRPr="003410C7" w:rsidDel="00436016"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FFFFF"/>
            <w:vAlign w:val="center"/>
          </w:tcPr>
          <w:p w:rsidR="001A63C6" w:rsidRPr="003410C7" w:rsidDel="00436016"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FFFFF"/>
            <w:vAlign w:val="center"/>
          </w:tcPr>
          <w:p w:rsidR="001A63C6" w:rsidRPr="003410C7" w:rsidDel="00436016"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FFFFF"/>
            <w:vAlign w:val="center"/>
          </w:tcPr>
          <w:p w:rsidR="001A63C6" w:rsidRPr="003410C7" w:rsidDel="00436016"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FFFFF"/>
            <w:vAlign w:val="center"/>
          </w:tcPr>
          <w:p w:rsidR="001A63C6" w:rsidRPr="003410C7" w:rsidDel="00436016" w:rsidRDefault="001A63C6" w:rsidP="001A63C6">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FFFFFF"/>
            <w:vAlign w:val="center"/>
          </w:tcPr>
          <w:p w:rsidR="001A63C6" w:rsidRPr="003410C7" w:rsidDel="00436016"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FFFFF"/>
            <w:vAlign w:val="center"/>
          </w:tcPr>
          <w:p w:rsidR="001A63C6" w:rsidRPr="003410C7" w:rsidDel="00436016"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FFFFF"/>
            <w:vAlign w:val="center"/>
          </w:tcPr>
          <w:p w:rsidR="001A63C6" w:rsidRPr="003410C7" w:rsidDel="00436016"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FFFFF"/>
            <w:vAlign w:val="center"/>
          </w:tcPr>
          <w:p w:rsidR="001A63C6" w:rsidRPr="003410C7" w:rsidDel="00436016"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FFFFF"/>
            <w:vAlign w:val="center"/>
          </w:tcPr>
          <w:p w:rsidR="001A63C6" w:rsidRPr="003410C7" w:rsidDel="00436016"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FFFFF"/>
            <w:vAlign w:val="center"/>
          </w:tcPr>
          <w:p w:rsidR="001A63C6" w:rsidRPr="003410C7" w:rsidDel="00436016" w:rsidRDefault="001A63C6" w:rsidP="001A63C6">
            <w:pPr>
              <w:pStyle w:val="TableText"/>
              <w:widowControl w:val="0"/>
              <w:rPr>
                <w:rFonts w:ascii="Tahoma" w:hAnsi="Tahoma" w:cs="Tahoma"/>
                <w:sz w:val="13"/>
              </w:rPr>
            </w:pPr>
            <w:r w:rsidRPr="003410C7">
              <w:rPr>
                <w:rFonts w:ascii="Tahoma" w:hAnsi="Tahoma" w:cs="Tahoma"/>
                <w:sz w:val="13"/>
              </w:rPr>
              <w:t>EOLS</w:t>
            </w:r>
          </w:p>
        </w:tc>
        <w:tc>
          <w:tcPr>
            <w:tcW w:w="450" w:type="dxa"/>
            <w:tcBorders>
              <w:left w:val="single" w:sz="18" w:space="0" w:color="auto"/>
              <w:bottom w:val="single" w:sz="4" w:space="0" w:color="auto"/>
              <w:right w:val="single" w:sz="18" w:space="0" w:color="auto"/>
            </w:tcBorders>
            <w:shd w:val="clear" w:color="auto" w:fill="FFFFFF"/>
            <w:vAlign w:val="center"/>
          </w:tcPr>
          <w:p w:rsidR="001A63C6" w:rsidRPr="003410C7" w:rsidDel="00436016"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FFFFF"/>
          </w:tcPr>
          <w:p w:rsidR="001A63C6" w:rsidRPr="003410C7" w:rsidDel="00436016" w:rsidRDefault="001A63C6" w:rsidP="001A63C6">
            <w:pPr>
              <w:pStyle w:val="TableText"/>
              <w:widowControl w:val="0"/>
              <w:spacing w:before="120"/>
              <w:rPr>
                <w:rFonts w:ascii="Tahoma" w:hAnsi="Tahoma" w:cs="Tahoma"/>
                <w:sz w:val="13"/>
              </w:rPr>
            </w:pPr>
          </w:p>
        </w:tc>
        <w:tc>
          <w:tcPr>
            <w:tcW w:w="540" w:type="dxa"/>
            <w:tcBorders>
              <w:bottom w:val="single" w:sz="4" w:space="0" w:color="auto"/>
            </w:tcBorders>
            <w:shd w:val="clear" w:color="auto" w:fill="FFFFFF"/>
            <w:vAlign w:val="center"/>
          </w:tcPr>
          <w:p w:rsidR="001A63C6" w:rsidRPr="003410C7" w:rsidDel="00436016" w:rsidRDefault="001A63C6" w:rsidP="001A63C6">
            <w:pPr>
              <w:pStyle w:val="TableText"/>
              <w:widowControl w:val="0"/>
              <w:rPr>
                <w:rFonts w:ascii="Tahoma" w:hAnsi="Tahoma" w:cs="Tahoma"/>
                <w:sz w:val="13"/>
              </w:rPr>
            </w:pPr>
          </w:p>
        </w:tc>
      </w:tr>
      <w:tr w:rsidR="00B33D0E" w:rsidRPr="003410C7" w:rsidDel="00436016" w:rsidTr="006B1F3F">
        <w:trPr>
          <w:trHeight w:val="145"/>
        </w:trPr>
        <w:tc>
          <w:tcPr>
            <w:tcW w:w="2734" w:type="dxa"/>
            <w:gridSpan w:val="2"/>
            <w:tcBorders>
              <w:bottom w:val="single" w:sz="4" w:space="0" w:color="auto"/>
            </w:tcBorders>
            <w:shd w:val="clear" w:color="auto" w:fill="FABF8F"/>
            <w:vAlign w:val="center"/>
          </w:tcPr>
          <w:p w:rsidR="001A63C6" w:rsidRPr="00451078" w:rsidDel="00436016" w:rsidRDefault="001A63C6" w:rsidP="003410C7">
            <w:pPr>
              <w:pStyle w:val="Heading2"/>
              <w:spacing w:beforeLines="20" w:before="48" w:afterLines="20" w:after="48"/>
              <w:ind w:left="0" w:firstLine="15"/>
              <w:rPr>
                <w:rFonts w:ascii="Tahoma" w:hAnsi="Tahoma" w:cs="Tahoma"/>
                <w:b w:val="0"/>
                <w:sz w:val="14"/>
                <w:szCs w:val="16"/>
                <w:lang w:val="it-IT"/>
              </w:rPr>
            </w:pPr>
            <w:bookmarkStart w:id="359" w:name="_Toc336338030"/>
            <w:bookmarkStart w:id="360" w:name="_Toc352234637"/>
            <w:r w:rsidRPr="00451078">
              <w:rPr>
                <w:rFonts w:ascii="Tahoma" w:hAnsi="Tahoma" w:cs="Tahoma"/>
                <w:b w:val="0"/>
                <w:sz w:val="14"/>
                <w:szCs w:val="16"/>
                <w:lang w:val="it-IT"/>
              </w:rPr>
              <w:t>Office 365 Enterprise K1 (SL per Utente)</w:t>
            </w:r>
            <w:bookmarkEnd w:id="359"/>
            <w:bookmarkEnd w:id="360"/>
          </w:p>
        </w:tc>
        <w:tc>
          <w:tcPr>
            <w:tcW w:w="450" w:type="dxa"/>
            <w:tcBorders>
              <w:bottom w:val="single" w:sz="4" w:space="0" w:color="auto"/>
            </w:tcBorders>
            <w:shd w:val="clear" w:color="auto" w:fill="FABF8F"/>
            <w:vAlign w:val="center"/>
          </w:tcPr>
          <w:p w:rsidR="001A63C6" w:rsidRPr="009F17FF" w:rsidDel="00436016" w:rsidRDefault="00FC1A4D" w:rsidP="001866F1">
            <w:pPr>
              <w:pStyle w:val="TableText"/>
              <w:widowControl w:val="0"/>
              <w:rPr>
                <w:b/>
                <w:color w:val="0000FF"/>
                <w:sz w:val="13"/>
                <w:szCs w:val="13"/>
                <w:u w:val="single"/>
              </w:rPr>
            </w:pPr>
            <w:hyperlink w:anchor="_69_Office_365_1" w:history="1">
              <w:r w:rsidR="000D77F6" w:rsidRPr="009F17FF">
                <w:rPr>
                  <w:rStyle w:val="Hyperlink"/>
                  <w:sz w:val="13"/>
                  <w:szCs w:val="13"/>
                </w:rPr>
                <w:t>69</w:t>
              </w:r>
            </w:hyperlink>
          </w:p>
        </w:tc>
        <w:tc>
          <w:tcPr>
            <w:tcW w:w="450" w:type="dxa"/>
            <w:tcBorders>
              <w:bottom w:val="single" w:sz="4" w:space="0" w:color="auto"/>
            </w:tcBorders>
            <w:shd w:val="clear" w:color="auto" w:fill="FABF8F"/>
          </w:tcPr>
          <w:p w:rsidR="001A63C6" w:rsidRPr="003410C7" w:rsidDel="00436016" w:rsidRDefault="001A63C6" w:rsidP="001A63C6">
            <w:pPr>
              <w:pStyle w:val="TableText"/>
              <w:widowControl w:val="0"/>
              <w:spacing w:before="120"/>
              <w:rPr>
                <w:rFonts w:ascii="Tahoma" w:hAnsi="Tahoma" w:cs="Tahoma"/>
                <w:color w:val="000000"/>
                <w:sz w:val="13"/>
              </w:rPr>
            </w:pPr>
            <w:r w:rsidRPr="003410C7">
              <w:rPr>
                <w:rFonts w:ascii="Tahoma" w:hAnsi="Tahoma" w:cs="Tahoma"/>
                <w:color w:val="000000"/>
                <w:sz w:val="13"/>
              </w:rPr>
              <w:t>06/11</w:t>
            </w:r>
          </w:p>
        </w:tc>
        <w:tc>
          <w:tcPr>
            <w:tcW w:w="360" w:type="dxa"/>
            <w:tcBorders>
              <w:bottom w:val="single" w:sz="4" w:space="0" w:color="auto"/>
              <w:right w:val="single" w:sz="18" w:space="0" w:color="auto"/>
            </w:tcBorders>
            <w:shd w:val="clear" w:color="auto" w:fill="FABF8F"/>
            <w:vAlign w:val="center"/>
          </w:tcPr>
          <w:p w:rsidR="001A63C6" w:rsidRPr="003410C7" w:rsidDel="00436016" w:rsidRDefault="001A63C6" w:rsidP="001A63C6">
            <w:pPr>
              <w:pStyle w:val="TableText"/>
              <w:widowControl w:val="0"/>
              <w:rPr>
                <w:rFonts w:ascii="Tahoma" w:hAnsi="Tahoma" w:cs="Tahoma"/>
                <w:sz w:val="13"/>
              </w:rPr>
            </w:pPr>
            <w:r w:rsidRPr="003410C7">
              <w:rPr>
                <w:rFonts w:ascii="Tahoma" w:hAnsi="Tahoma" w:cs="Tahoma"/>
                <w:sz w:val="13"/>
              </w:rPr>
              <w:t>OSB</w:t>
            </w:r>
          </w:p>
        </w:tc>
        <w:tc>
          <w:tcPr>
            <w:tcW w:w="360" w:type="dxa"/>
            <w:tcBorders>
              <w:left w:val="single" w:sz="18" w:space="0" w:color="auto"/>
              <w:bottom w:val="single" w:sz="4" w:space="0" w:color="auto"/>
            </w:tcBorders>
            <w:shd w:val="clear" w:color="auto" w:fill="FABF8F"/>
            <w:vAlign w:val="center"/>
          </w:tcPr>
          <w:p w:rsidR="001A63C6" w:rsidRPr="003410C7" w:rsidDel="00436016"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3410C7" w:rsidDel="00436016"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3410C7" w:rsidDel="00436016"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3410C7" w:rsidDel="00436016"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3410C7" w:rsidDel="00436016"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3410C7" w:rsidDel="00436016" w:rsidRDefault="001A63C6" w:rsidP="001A63C6">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rsidR="001A63C6" w:rsidRPr="003410C7" w:rsidDel="00436016"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3410C7" w:rsidDel="00436016"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3410C7" w:rsidDel="00436016"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1A63C6" w:rsidRPr="003410C7" w:rsidDel="00436016"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3410C7" w:rsidDel="00436016"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1A63C6" w:rsidRPr="003410C7" w:rsidDel="00436016" w:rsidRDefault="001A63C6" w:rsidP="001A63C6">
            <w:pPr>
              <w:pStyle w:val="TableText"/>
              <w:widowControl w:val="0"/>
              <w:rPr>
                <w:rFonts w:ascii="Tahoma" w:hAnsi="Tahoma" w:cs="Tahoma"/>
                <w:sz w:val="13"/>
              </w:rPr>
            </w:pPr>
            <w:r w:rsidRPr="003410C7">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3410C7" w:rsidDel="00436016"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tcPr>
          <w:p w:rsidR="001A63C6" w:rsidRPr="003410C7" w:rsidDel="00436016" w:rsidRDefault="001A63C6" w:rsidP="001A63C6">
            <w:pPr>
              <w:pStyle w:val="TableText"/>
              <w:widowControl w:val="0"/>
              <w:spacing w:before="120"/>
              <w:rPr>
                <w:rFonts w:ascii="Tahoma" w:hAnsi="Tahoma" w:cs="Tahoma"/>
                <w:sz w:val="13"/>
              </w:rPr>
            </w:pPr>
          </w:p>
        </w:tc>
        <w:tc>
          <w:tcPr>
            <w:tcW w:w="540" w:type="dxa"/>
            <w:tcBorders>
              <w:bottom w:val="single" w:sz="4" w:space="0" w:color="auto"/>
            </w:tcBorders>
            <w:shd w:val="clear" w:color="auto" w:fill="FABF8F"/>
            <w:vAlign w:val="center"/>
          </w:tcPr>
          <w:p w:rsidR="001A63C6" w:rsidRPr="003410C7" w:rsidDel="00436016" w:rsidRDefault="001A63C6" w:rsidP="001A63C6">
            <w:pPr>
              <w:pStyle w:val="TableText"/>
              <w:widowControl w:val="0"/>
              <w:rPr>
                <w:rFonts w:ascii="Tahoma" w:hAnsi="Tahoma" w:cs="Tahoma"/>
                <w:sz w:val="13"/>
              </w:rPr>
            </w:pPr>
          </w:p>
        </w:tc>
      </w:tr>
      <w:tr w:rsidR="00B33D0E" w:rsidRPr="003410C7" w:rsidDel="00436016" w:rsidTr="006B1F3F">
        <w:trPr>
          <w:trHeight w:val="145"/>
        </w:trPr>
        <w:tc>
          <w:tcPr>
            <w:tcW w:w="2734" w:type="dxa"/>
            <w:gridSpan w:val="2"/>
            <w:tcBorders>
              <w:bottom w:val="single" w:sz="4" w:space="0" w:color="auto"/>
            </w:tcBorders>
            <w:shd w:val="clear" w:color="auto" w:fill="auto"/>
            <w:vAlign w:val="center"/>
          </w:tcPr>
          <w:p w:rsidR="001A63C6" w:rsidRPr="00451078" w:rsidDel="00436016" w:rsidRDefault="001A63C6" w:rsidP="003410C7">
            <w:pPr>
              <w:pStyle w:val="Heading2"/>
              <w:spacing w:beforeLines="20" w:before="48" w:afterLines="20" w:after="48"/>
              <w:ind w:left="0" w:firstLine="15"/>
              <w:rPr>
                <w:rFonts w:ascii="Tahoma" w:hAnsi="Tahoma" w:cs="Tahoma"/>
                <w:b w:val="0"/>
                <w:sz w:val="14"/>
                <w:szCs w:val="16"/>
                <w:lang w:val="it-IT"/>
              </w:rPr>
            </w:pPr>
            <w:bookmarkStart w:id="361" w:name="_Toc336338031"/>
            <w:bookmarkStart w:id="362" w:name="_Toc352234638"/>
            <w:r w:rsidRPr="00451078">
              <w:rPr>
                <w:rFonts w:ascii="Tahoma" w:hAnsi="Tahoma" w:cs="Tahoma"/>
                <w:b w:val="0"/>
                <w:sz w:val="14"/>
                <w:szCs w:val="16"/>
                <w:lang w:val="it-IT"/>
              </w:rPr>
              <w:t>Office 365 Enterprise K2 (SL per Utente)</w:t>
            </w:r>
            <w:bookmarkEnd w:id="361"/>
            <w:bookmarkEnd w:id="362"/>
          </w:p>
        </w:tc>
        <w:tc>
          <w:tcPr>
            <w:tcW w:w="450" w:type="dxa"/>
            <w:tcBorders>
              <w:bottom w:val="single" w:sz="4" w:space="0" w:color="auto"/>
            </w:tcBorders>
            <w:shd w:val="clear" w:color="auto" w:fill="auto"/>
            <w:vAlign w:val="center"/>
          </w:tcPr>
          <w:p w:rsidR="001A63C6" w:rsidRPr="009F17FF" w:rsidDel="00436016" w:rsidRDefault="00FC1A4D" w:rsidP="00BE7AC3">
            <w:pPr>
              <w:pStyle w:val="TableText"/>
              <w:widowControl w:val="0"/>
              <w:rPr>
                <w:b/>
                <w:color w:val="0000FF"/>
                <w:sz w:val="13"/>
                <w:szCs w:val="13"/>
                <w:u w:val="single"/>
              </w:rPr>
            </w:pPr>
            <w:hyperlink w:anchor="_69_Office_365_1" w:history="1">
              <w:r w:rsidR="000D77F6" w:rsidRPr="009F17FF">
                <w:rPr>
                  <w:rStyle w:val="Hyperlink"/>
                  <w:sz w:val="13"/>
                  <w:szCs w:val="13"/>
                </w:rPr>
                <w:t>69</w:t>
              </w:r>
            </w:hyperlink>
            <w:hyperlink w:anchor="Srv_74Office365PlanK1K2" w:history="1"/>
          </w:p>
        </w:tc>
        <w:tc>
          <w:tcPr>
            <w:tcW w:w="450" w:type="dxa"/>
            <w:tcBorders>
              <w:bottom w:val="single" w:sz="4" w:space="0" w:color="auto"/>
            </w:tcBorders>
            <w:shd w:val="clear" w:color="auto" w:fill="auto"/>
          </w:tcPr>
          <w:p w:rsidR="001A63C6" w:rsidRPr="003410C7" w:rsidDel="00436016" w:rsidRDefault="001A63C6" w:rsidP="001A63C6">
            <w:pPr>
              <w:pStyle w:val="TableText"/>
              <w:widowControl w:val="0"/>
              <w:spacing w:before="120"/>
              <w:rPr>
                <w:rFonts w:ascii="Tahoma" w:hAnsi="Tahoma" w:cs="Tahoma"/>
                <w:color w:val="000000"/>
                <w:sz w:val="13"/>
              </w:rPr>
            </w:pPr>
            <w:r w:rsidRPr="003410C7">
              <w:rPr>
                <w:rFonts w:ascii="Tahoma" w:hAnsi="Tahoma" w:cs="Tahoma"/>
                <w:color w:val="000000"/>
                <w:sz w:val="13"/>
              </w:rPr>
              <w:t>06/11</w:t>
            </w:r>
          </w:p>
        </w:tc>
        <w:tc>
          <w:tcPr>
            <w:tcW w:w="360" w:type="dxa"/>
            <w:tcBorders>
              <w:bottom w:val="single" w:sz="4" w:space="0" w:color="auto"/>
              <w:right w:val="single" w:sz="18" w:space="0" w:color="auto"/>
            </w:tcBorders>
            <w:shd w:val="clear" w:color="auto" w:fill="auto"/>
            <w:vAlign w:val="center"/>
          </w:tcPr>
          <w:p w:rsidR="001A63C6" w:rsidRPr="003410C7" w:rsidDel="00436016" w:rsidRDefault="001A63C6" w:rsidP="001A63C6">
            <w:pPr>
              <w:pStyle w:val="TableText"/>
              <w:widowControl w:val="0"/>
              <w:rPr>
                <w:rFonts w:ascii="Tahoma" w:hAnsi="Tahoma" w:cs="Tahoma"/>
                <w:sz w:val="13"/>
              </w:rPr>
            </w:pPr>
            <w:r w:rsidRPr="003410C7">
              <w:rPr>
                <w:rFonts w:ascii="Tahoma" w:hAnsi="Tahoma" w:cs="Tahoma"/>
                <w:sz w:val="13"/>
              </w:rPr>
              <w:t>OSB</w:t>
            </w:r>
          </w:p>
        </w:tc>
        <w:tc>
          <w:tcPr>
            <w:tcW w:w="360" w:type="dxa"/>
            <w:tcBorders>
              <w:left w:val="single" w:sz="18" w:space="0" w:color="auto"/>
              <w:bottom w:val="single" w:sz="4" w:space="0" w:color="auto"/>
            </w:tcBorders>
            <w:shd w:val="clear" w:color="auto" w:fill="auto"/>
            <w:vAlign w:val="center"/>
          </w:tcPr>
          <w:p w:rsidR="001A63C6" w:rsidRPr="003410C7" w:rsidDel="00436016"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3410C7" w:rsidDel="00436016"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3410C7" w:rsidDel="00436016"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3410C7" w:rsidDel="00436016"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3410C7" w:rsidDel="00436016"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3410C7" w:rsidDel="00436016" w:rsidRDefault="001A63C6" w:rsidP="001A63C6">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auto"/>
            <w:vAlign w:val="center"/>
          </w:tcPr>
          <w:p w:rsidR="001A63C6" w:rsidRPr="003410C7" w:rsidDel="00436016"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1A63C6" w:rsidRPr="003410C7" w:rsidDel="00436016"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3410C7" w:rsidDel="00436016"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1A63C6" w:rsidRPr="003410C7" w:rsidDel="00436016"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1A63C6" w:rsidRPr="003410C7" w:rsidDel="00436016"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1A63C6" w:rsidRPr="003410C7" w:rsidDel="00436016" w:rsidRDefault="001A63C6" w:rsidP="001A63C6">
            <w:pPr>
              <w:pStyle w:val="TableText"/>
              <w:widowControl w:val="0"/>
              <w:rPr>
                <w:rFonts w:ascii="Tahoma" w:hAnsi="Tahoma" w:cs="Tahoma"/>
                <w:sz w:val="13"/>
              </w:rPr>
            </w:pPr>
            <w:r w:rsidRPr="003410C7">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rsidR="001A63C6" w:rsidRPr="003410C7" w:rsidDel="00436016"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tcPr>
          <w:p w:rsidR="001A63C6" w:rsidRPr="003410C7" w:rsidDel="00436016" w:rsidRDefault="001A63C6" w:rsidP="001A63C6">
            <w:pPr>
              <w:pStyle w:val="TableText"/>
              <w:widowControl w:val="0"/>
              <w:spacing w:before="120"/>
              <w:rPr>
                <w:rFonts w:ascii="Tahoma" w:hAnsi="Tahoma" w:cs="Tahoma"/>
                <w:sz w:val="13"/>
              </w:rPr>
            </w:pPr>
          </w:p>
        </w:tc>
        <w:tc>
          <w:tcPr>
            <w:tcW w:w="540" w:type="dxa"/>
            <w:tcBorders>
              <w:bottom w:val="single" w:sz="4" w:space="0" w:color="auto"/>
            </w:tcBorders>
            <w:shd w:val="clear" w:color="auto" w:fill="auto"/>
            <w:vAlign w:val="center"/>
          </w:tcPr>
          <w:p w:rsidR="001A63C6" w:rsidRPr="003410C7" w:rsidDel="00436016" w:rsidRDefault="001A63C6" w:rsidP="001A63C6">
            <w:pPr>
              <w:pStyle w:val="TableText"/>
              <w:widowControl w:val="0"/>
              <w:rPr>
                <w:rFonts w:ascii="Tahoma" w:hAnsi="Tahoma" w:cs="Tahoma"/>
                <w:sz w:val="13"/>
              </w:rPr>
            </w:pPr>
          </w:p>
        </w:tc>
      </w:tr>
      <w:tr w:rsidR="00871AE2" w:rsidRPr="003410C7" w:rsidDel="00436016" w:rsidTr="006B1F3F">
        <w:trPr>
          <w:trHeight w:val="145"/>
        </w:trPr>
        <w:tc>
          <w:tcPr>
            <w:tcW w:w="2734" w:type="dxa"/>
            <w:gridSpan w:val="2"/>
            <w:tcBorders>
              <w:top w:val="single" w:sz="4" w:space="0" w:color="auto"/>
              <w:left w:val="single" w:sz="4" w:space="0" w:color="auto"/>
              <w:bottom w:val="single" w:sz="4" w:space="0" w:color="auto"/>
              <w:right w:val="single" w:sz="4" w:space="0" w:color="auto"/>
            </w:tcBorders>
            <w:shd w:val="clear" w:color="auto" w:fill="FABF8F"/>
            <w:vAlign w:val="center"/>
          </w:tcPr>
          <w:p w:rsidR="00871AE2" w:rsidRPr="003410C7" w:rsidRDefault="00871AE2" w:rsidP="00FE2D13">
            <w:pPr>
              <w:pStyle w:val="Heading2"/>
              <w:spacing w:beforeLines="20" w:before="48" w:afterLines="20" w:after="48"/>
              <w:ind w:left="0" w:firstLine="15"/>
              <w:rPr>
                <w:rFonts w:ascii="Tahoma" w:hAnsi="Tahoma" w:cs="Tahoma"/>
                <w:b w:val="0"/>
                <w:sz w:val="14"/>
                <w:szCs w:val="16"/>
              </w:rPr>
            </w:pPr>
            <w:bookmarkStart w:id="363" w:name="_Toc352234639"/>
            <w:r w:rsidRPr="003410C7">
              <w:rPr>
                <w:rFonts w:ascii="Tahoma" w:hAnsi="Tahoma" w:cs="Tahoma"/>
                <w:b w:val="0"/>
                <w:sz w:val="14"/>
                <w:szCs w:val="16"/>
              </w:rPr>
              <w:t>Office 365 Government G1 - G4 (SL</w:t>
            </w:r>
            <w:r w:rsidR="00FE2D13">
              <w:rPr>
                <w:rFonts w:ascii="Tahoma" w:hAnsi="Tahoma" w:cs="Tahoma"/>
                <w:b w:val="0"/>
                <w:sz w:val="14"/>
                <w:szCs w:val="16"/>
              </w:rPr>
              <w:t> </w:t>
            </w:r>
            <w:r w:rsidRPr="003410C7">
              <w:rPr>
                <w:rFonts w:ascii="Tahoma" w:hAnsi="Tahoma" w:cs="Tahoma"/>
                <w:b w:val="0"/>
                <w:sz w:val="14"/>
                <w:szCs w:val="16"/>
              </w:rPr>
              <w:t>per</w:t>
            </w:r>
            <w:r w:rsidR="00FE2D13">
              <w:rPr>
                <w:rFonts w:ascii="Tahoma" w:hAnsi="Tahoma" w:cs="Tahoma"/>
                <w:b w:val="0"/>
                <w:sz w:val="14"/>
                <w:szCs w:val="16"/>
              </w:rPr>
              <w:t> </w:t>
            </w:r>
            <w:r w:rsidRPr="003410C7">
              <w:rPr>
                <w:rFonts w:ascii="Tahoma" w:hAnsi="Tahoma" w:cs="Tahoma"/>
                <w:b w:val="0"/>
                <w:sz w:val="14"/>
                <w:szCs w:val="16"/>
              </w:rPr>
              <w:t>Utente)</w:t>
            </w:r>
            <w:bookmarkEnd w:id="363"/>
          </w:p>
        </w:tc>
        <w:tc>
          <w:tcPr>
            <w:tcW w:w="450" w:type="dxa"/>
            <w:tcBorders>
              <w:top w:val="single" w:sz="4" w:space="0" w:color="auto"/>
              <w:left w:val="single" w:sz="4" w:space="0" w:color="auto"/>
              <w:bottom w:val="single" w:sz="4" w:space="0" w:color="auto"/>
              <w:right w:val="single" w:sz="4" w:space="0" w:color="auto"/>
            </w:tcBorders>
            <w:shd w:val="clear" w:color="auto" w:fill="FABF8F"/>
            <w:vAlign w:val="center"/>
          </w:tcPr>
          <w:p w:rsidR="00871AE2" w:rsidRPr="009F17FF" w:rsidRDefault="00FC1A4D" w:rsidP="00BE7AC3">
            <w:pPr>
              <w:pStyle w:val="TableText"/>
              <w:widowControl w:val="0"/>
              <w:rPr>
                <w:sz w:val="13"/>
                <w:szCs w:val="13"/>
              </w:rPr>
            </w:pPr>
            <w:hyperlink w:anchor="_70_Office_365" w:history="1">
              <w:r w:rsidR="000D77F6" w:rsidRPr="009F17FF">
                <w:rPr>
                  <w:rStyle w:val="Hyperlink"/>
                  <w:sz w:val="13"/>
                  <w:szCs w:val="13"/>
                </w:rPr>
                <w:t>70</w:t>
              </w:r>
            </w:hyperlink>
          </w:p>
        </w:tc>
        <w:tc>
          <w:tcPr>
            <w:tcW w:w="450" w:type="dxa"/>
            <w:tcBorders>
              <w:top w:val="single" w:sz="4" w:space="0" w:color="auto"/>
              <w:left w:val="single" w:sz="4" w:space="0" w:color="auto"/>
              <w:bottom w:val="single" w:sz="4" w:space="0" w:color="auto"/>
              <w:right w:val="single" w:sz="4" w:space="0" w:color="auto"/>
            </w:tcBorders>
            <w:shd w:val="clear" w:color="auto" w:fill="FABF8F"/>
          </w:tcPr>
          <w:p w:rsidR="00871AE2" w:rsidRPr="003410C7" w:rsidRDefault="00871AE2" w:rsidP="00871AE2">
            <w:pPr>
              <w:pStyle w:val="TableText"/>
              <w:widowControl w:val="0"/>
              <w:spacing w:before="120"/>
              <w:rPr>
                <w:rFonts w:ascii="Tahoma" w:hAnsi="Tahoma" w:cs="Tahoma"/>
                <w:color w:val="000000"/>
                <w:sz w:val="13"/>
              </w:rPr>
            </w:pPr>
            <w:r w:rsidRPr="003410C7">
              <w:rPr>
                <w:rFonts w:ascii="Tahoma" w:hAnsi="Tahoma" w:cs="Tahoma"/>
                <w:color w:val="000000"/>
                <w:sz w:val="13"/>
              </w:rPr>
              <w:t>08/12</w:t>
            </w:r>
          </w:p>
        </w:tc>
        <w:tc>
          <w:tcPr>
            <w:tcW w:w="360" w:type="dxa"/>
            <w:tcBorders>
              <w:top w:val="single" w:sz="4" w:space="0" w:color="auto"/>
              <w:left w:val="single" w:sz="4" w:space="0" w:color="auto"/>
              <w:bottom w:val="single" w:sz="4" w:space="0" w:color="auto"/>
              <w:right w:val="single" w:sz="18" w:space="0" w:color="auto"/>
            </w:tcBorders>
            <w:shd w:val="clear" w:color="auto" w:fill="FABF8F"/>
            <w:vAlign w:val="center"/>
          </w:tcPr>
          <w:p w:rsidR="00871AE2" w:rsidRPr="003410C7" w:rsidRDefault="00871AE2" w:rsidP="00871AE2">
            <w:pPr>
              <w:pStyle w:val="TableText"/>
              <w:widowControl w:val="0"/>
              <w:rPr>
                <w:rFonts w:ascii="Tahoma" w:hAnsi="Tahoma" w:cs="Tahoma"/>
                <w:sz w:val="13"/>
              </w:rPr>
            </w:pPr>
            <w:r w:rsidRPr="003410C7">
              <w:rPr>
                <w:rFonts w:ascii="Tahoma" w:hAnsi="Tahoma" w:cs="Tahoma"/>
                <w:sz w:val="13"/>
              </w:rPr>
              <w:t>OSB</w:t>
            </w:r>
          </w:p>
        </w:tc>
        <w:tc>
          <w:tcPr>
            <w:tcW w:w="360" w:type="dxa"/>
            <w:tcBorders>
              <w:top w:val="single" w:sz="4" w:space="0" w:color="auto"/>
              <w:left w:val="single" w:sz="18" w:space="0" w:color="auto"/>
              <w:bottom w:val="single" w:sz="4" w:space="0" w:color="auto"/>
              <w:right w:val="single" w:sz="4" w:space="0" w:color="auto"/>
            </w:tcBorders>
            <w:shd w:val="clear" w:color="auto" w:fill="FABF8F"/>
            <w:vAlign w:val="center"/>
          </w:tcPr>
          <w:p w:rsidR="00871AE2" w:rsidRPr="003410C7" w:rsidDel="00436016" w:rsidRDefault="00871AE2" w:rsidP="00871AE2">
            <w:pPr>
              <w:pStyle w:val="TableText"/>
              <w:widowControl w:val="0"/>
              <w:rPr>
                <w:rFonts w:ascii="Tahoma" w:hAnsi="Tahoma" w:cs="Tahoma"/>
                <w:sz w:val="13"/>
              </w:rPr>
            </w:pPr>
          </w:p>
        </w:tc>
        <w:tc>
          <w:tcPr>
            <w:tcW w:w="450" w:type="dxa"/>
            <w:tcBorders>
              <w:top w:val="single" w:sz="4" w:space="0" w:color="auto"/>
              <w:left w:val="single" w:sz="4" w:space="0" w:color="auto"/>
              <w:bottom w:val="single" w:sz="4" w:space="0" w:color="auto"/>
              <w:right w:val="single" w:sz="4" w:space="0" w:color="auto"/>
            </w:tcBorders>
            <w:shd w:val="clear" w:color="auto" w:fill="FABF8F"/>
            <w:vAlign w:val="center"/>
          </w:tcPr>
          <w:p w:rsidR="00871AE2" w:rsidRPr="003410C7" w:rsidDel="00436016" w:rsidRDefault="00871AE2" w:rsidP="00871AE2">
            <w:pPr>
              <w:pStyle w:val="TableText"/>
              <w:widowControl w:val="0"/>
              <w:rPr>
                <w:rFonts w:ascii="Tahoma" w:hAnsi="Tahoma" w:cs="Tahoma"/>
                <w:sz w:val="13"/>
              </w:rPr>
            </w:pPr>
          </w:p>
        </w:tc>
        <w:tc>
          <w:tcPr>
            <w:tcW w:w="450" w:type="dxa"/>
            <w:tcBorders>
              <w:top w:val="single" w:sz="4" w:space="0" w:color="auto"/>
              <w:left w:val="single" w:sz="4" w:space="0" w:color="auto"/>
              <w:bottom w:val="single" w:sz="4" w:space="0" w:color="auto"/>
              <w:right w:val="single" w:sz="4" w:space="0" w:color="auto"/>
            </w:tcBorders>
            <w:shd w:val="clear" w:color="auto" w:fill="FABF8F"/>
            <w:vAlign w:val="center"/>
          </w:tcPr>
          <w:p w:rsidR="00871AE2" w:rsidRPr="003410C7" w:rsidDel="00436016" w:rsidRDefault="00871AE2" w:rsidP="00871AE2">
            <w:pPr>
              <w:pStyle w:val="TableText"/>
              <w:widowControl w:val="0"/>
              <w:rPr>
                <w:rFonts w:ascii="Tahoma" w:hAnsi="Tahoma" w:cs="Tahoma"/>
                <w:sz w:val="13"/>
              </w:rPr>
            </w:pPr>
          </w:p>
        </w:tc>
        <w:tc>
          <w:tcPr>
            <w:tcW w:w="450" w:type="dxa"/>
            <w:tcBorders>
              <w:top w:val="single" w:sz="4" w:space="0" w:color="auto"/>
              <w:left w:val="single" w:sz="4" w:space="0" w:color="auto"/>
              <w:bottom w:val="single" w:sz="4" w:space="0" w:color="auto"/>
              <w:right w:val="single" w:sz="4" w:space="0" w:color="auto"/>
            </w:tcBorders>
            <w:shd w:val="clear" w:color="auto" w:fill="FABF8F"/>
            <w:vAlign w:val="center"/>
          </w:tcPr>
          <w:p w:rsidR="00871AE2" w:rsidRPr="003410C7" w:rsidDel="00436016" w:rsidRDefault="00871AE2" w:rsidP="00871AE2">
            <w:pPr>
              <w:pStyle w:val="TableText"/>
              <w:widowControl w:val="0"/>
              <w:rPr>
                <w:rFonts w:ascii="Tahoma" w:hAnsi="Tahoma" w:cs="Tahoma"/>
                <w:sz w:val="13"/>
              </w:rPr>
            </w:pPr>
          </w:p>
        </w:tc>
        <w:tc>
          <w:tcPr>
            <w:tcW w:w="450" w:type="dxa"/>
            <w:tcBorders>
              <w:top w:val="single" w:sz="4" w:space="0" w:color="auto"/>
              <w:left w:val="single" w:sz="4" w:space="0" w:color="auto"/>
              <w:bottom w:val="single" w:sz="4" w:space="0" w:color="auto"/>
              <w:right w:val="single" w:sz="4" w:space="0" w:color="auto"/>
            </w:tcBorders>
            <w:shd w:val="clear" w:color="auto" w:fill="FABF8F"/>
            <w:vAlign w:val="center"/>
          </w:tcPr>
          <w:p w:rsidR="00871AE2" w:rsidRPr="003410C7" w:rsidDel="00436016" w:rsidRDefault="00871AE2" w:rsidP="00871AE2">
            <w:pPr>
              <w:pStyle w:val="TableText"/>
              <w:widowControl w:val="0"/>
              <w:rPr>
                <w:rFonts w:ascii="Tahoma" w:hAnsi="Tahoma" w:cs="Tahoma"/>
                <w:sz w:val="13"/>
              </w:rPr>
            </w:pPr>
          </w:p>
        </w:tc>
        <w:tc>
          <w:tcPr>
            <w:tcW w:w="450" w:type="dxa"/>
            <w:tcBorders>
              <w:top w:val="single" w:sz="4" w:space="0" w:color="auto"/>
              <w:left w:val="single" w:sz="4" w:space="0" w:color="auto"/>
              <w:bottom w:val="single" w:sz="4" w:space="0" w:color="auto"/>
              <w:right w:val="single" w:sz="4" w:space="0" w:color="auto"/>
            </w:tcBorders>
            <w:shd w:val="clear" w:color="auto" w:fill="FABF8F"/>
            <w:vAlign w:val="center"/>
          </w:tcPr>
          <w:p w:rsidR="00871AE2" w:rsidRPr="003410C7" w:rsidDel="00436016" w:rsidRDefault="00871AE2" w:rsidP="00871AE2">
            <w:pPr>
              <w:pStyle w:val="TableText"/>
              <w:widowControl w:val="0"/>
              <w:rPr>
                <w:rFonts w:ascii="Tahoma" w:hAnsi="Tahoma" w:cs="Tahoma"/>
                <w:sz w:val="13"/>
              </w:rPr>
            </w:pPr>
          </w:p>
        </w:tc>
        <w:tc>
          <w:tcPr>
            <w:tcW w:w="360" w:type="dxa"/>
            <w:tcBorders>
              <w:top w:val="single" w:sz="4" w:space="0" w:color="auto"/>
              <w:left w:val="single" w:sz="4" w:space="0" w:color="auto"/>
              <w:bottom w:val="single" w:sz="4" w:space="0" w:color="auto"/>
              <w:right w:val="single" w:sz="18" w:space="0" w:color="auto"/>
            </w:tcBorders>
            <w:shd w:val="clear" w:color="auto" w:fill="FABF8F"/>
            <w:vAlign w:val="center"/>
          </w:tcPr>
          <w:p w:rsidR="00871AE2" w:rsidRPr="003410C7" w:rsidDel="00436016" w:rsidRDefault="00871AE2" w:rsidP="00871AE2">
            <w:pPr>
              <w:pStyle w:val="TableText"/>
              <w:widowControl w:val="0"/>
              <w:rPr>
                <w:rFonts w:ascii="Tahoma" w:hAnsi="Tahoma" w:cs="Tahoma"/>
                <w:sz w:val="13"/>
              </w:rPr>
            </w:pPr>
          </w:p>
        </w:tc>
        <w:tc>
          <w:tcPr>
            <w:tcW w:w="450" w:type="dxa"/>
            <w:tcBorders>
              <w:top w:val="single" w:sz="4" w:space="0" w:color="auto"/>
              <w:left w:val="single" w:sz="18" w:space="0" w:color="auto"/>
              <w:bottom w:val="single" w:sz="4" w:space="0" w:color="auto"/>
              <w:right w:val="single" w:sz="4" w:space="0" w:color="auto"/>
            </w:tcBorders>
            <w:shd w:val="clear" w:color="auto" w:fill="FABF8F"/>
            <w:vAlign w:val="center"/>
          </w:tcPr>
          <w:p w:rsidR="00871AE2" w:rsidRPr="003410C7" w:rsidDel="00436016" w:rsidRDefault="00871AE2" w:rsidP="00871AE2">
            <w:pPr>
              <w:pStyle w:val="TableText"/>
              <w:widowControl w:val="0"/>
              <w:rPr>
                <w:rFonts w:ascii="Tahoma" w:hAnsi="Tahoma" w:cs="Tahoma"/>
                <w:sz w:val="13"/>
              </w:rPr>
            </w:pPr>
          </w:p>
        </w:tc>
        <w:tc>
          <w:tcPr>
            <w:tcW w:w="450" w:type="dxa"/>
            <w:tcBorders>
              <w:top w:val="single" w:sz="4" w:space="0" w:color="auto"/>
              <w:left w:val="single" w:sz="4" w:space="0" w:color="auto"/>
              <w:bottom w:val="single" w:sz="4" w:space="0" w:color="auto"/>
              <w:right w:val="single" w:sz="4" w:space="0" w:color="auto"/>
            </w:tcBorders>
            <w:shd w:val="clear" w:color="auto" w:fill="FABF8F"/>
            <w:vAlign w:val="center"/>
          </w:tcPr>
          <w:p w:rsidR="00871AE2" w:rsidRPr="003410C7" w:rsidDel="00436016" w:rsidRDefault="00871AE2" w:rsidP="00871AE2">
            <w:pPr>
              <w:pStyle w:val="TableText"/>
              <w:widowControl w:val="0"/>
              <w:rPr>
                <w:rFonts w:ascii="Tahoma" w:hAnsi="Tahoma" w:cs="Tahoma"/>
                <w:sz w:val="13"/>
              </w:rPr>
            </w:pPr>
          </w:p>
        </w:tc>
        <w:tc>
          <w:tcPr>
            <w:tcW w:w="450" w:type="dxa"/>
            <w:tcBorders>
              <w:top w:val="single" w:sz="4" w:space="0" w:color="auto"/>
              <w:left w:val="single" w:sz="4" w:space="0" w:color="auto"/>
              <w:bottom w:val="single" w:sz="4" w:space="0" w:color="auto"/>
              <w:right w:val="single" w:sz="18" w:space="0" w:color="auto"/>
            </w:tcBorders>
            <w:shd w:val="clear" w:color="auto" w:fill="FABF8F"/>
            <w:vAlign w:val="center"/>
          </w:tcPr>
          <w:p w:rsidR="00871AE2" w:rsidRPr="003410C7" w:rsidDel="00436016" w:rsidRDefault="00871AE2" w:rsidP="00871AE2">
            <w:pPr>
              <w:pStyle w:val="TableText"/>
              <w:widowControl w:val="0"/>
              <w:rPr>
                <w:rFonts w:ascii="Tahoma" w:hAnsi="Tahoma" w:cs="Tahoma"/>
                <w:sz w:val="13"/>
              </w:rPr>
            </w:pPr>
          </w:p>
        </w:tc>
        <w:tc>
          <w:tcPr>
            <w:tcW w:w="450" w:type="dxa"/>
            <w:tcBorders>
              <w:top w:val="single" w:sz="4" w:space="0" w:color="auto"/>
              <w:left w:val="single" w:sz="18" w:space="0" w:color="auto"/>
              <w:bottom w:val="single" w:sz="4" w:space="0" w:color="auto"/>
              <w:right w:val="single" w:sz="4" w:space="0" w:color="auto"/>
            </w:tcBorders>
            <w:shd w:val="clear" w:color="auto" w:fill="FABF8F"/>
            <w:vAlign w:val="center"/>
          </w:tcPr>
          <w:p w:rsidR="00871AE2" w:rsidRPr="003410C7" w:rsidDel="00436016" w:rsidRDefault="00871AE2" w:rsidP="00871AE2">
            <w:pPr>
              <w:pStyle w:val="TableText"/>
              <w:widowControl w:val="0"/>
              <w:rPr>
                <w:rFonts w:ascii="Tahoma" w:hAnsi="Tahoma" w:cs="Tahoma"/>
                <w:sz w:val="13"/>
              </w:rPr>
            </w:pPr>
          </w:p>
        </w:tc>
        <w:tc>
          <w:tcPr>
            <w:tcW w:w="450" w:type="dxa"/>
            <w:tcBorders>
              <w:top w:val="single" w:sz="4" w:space="0" w:color="auto"/>
              <w:left w:val="single" w:sz="4" w:space="0" w:color="auto"/>
              <w:bottom w:val="single" w:sz="4" w:space="0" w:color="auto"/>
              <w:right w:val="single" w:sz="18" w:space="0" w:color="auto"/>
            </w:tcBorders>
            <w:shd w:val="clear" w:color="auto" w:fill="FABF8F"/>
            <w:vAlign w:val="center"/>
          </w:tcPr>
          <w:p w:rsidR="00871AE2" w:rsidRPr="003410C7" w:rsidRDefault="00871AE2" w:rsidP="00871AE2">
            <w:pPr>
              <w:pStyle w:val="TableText"/>
              <w:widowControl w:val="0"/>
              <w:rPr>
                <w:rFonts w:ascii="Tahoma" w:hAnsi="Tahoma" w:cs="Tahoma"/>
                <w:sz w:val="13"/>
              </w:rPr>
            </w:pPr>
            <w:r w:rsidRPr="003410C7">
              <w:rPr>
                <w:rFonts w:ascii="Tahoma" w:hAnsi="Tahoma" w:cs="Tahoma"/>
                <w:sz w:val="13"/>
              </w:rPr>
              <w:t>EOLS</w:t>
            </w:r>
          </w:p>
        </w:tc>
        <w:tc>
          <w:tcPr>
            <w:tcW w:w="450" w:type="dxa"/>
            <w:tcBorders>
              <w:top w:val="single" w:sz="4" w:space="0" w:color="auto"/>
              <w:left w:val="single" w:sz="18" w:space="0" w:color="auto"/>
              <w:bottom w:val="single" w:sz="4" w:space="0" w:color="auto"/>
              <w:right w:val="single" w:sz="18" w:space="0" w:color="auto"/>
            </w:tcBorders>
            <w:shd w:val="clear" w:color="auto" w:fill="FABF8F"/>
            <w:vAlign w:val="center"/>
          </w:tcPr>
          <w:p w:rsidR="00871AE2" w:rsidRPr="003410C7" w:rsidDel="00436016" w:rsidRDefault="00871AE2" w:rsidP="00871AE2">
            <w:pPr>
              <w:pStyle w:val="TableText"/>
              <w:widowControl w:val="0"/>
              <w:rPr>
                <w:rFonts w:ascii="Tahoma" w:hAnsi="Tahoma" w:cs="Tahoma"/>
                <w:sz w:val="13"/>
              </w:rPr>
            </w:pPr>
          </w:p>
        </w:tc>
        <w:tc>
          <w:tcPr>
            <w:tcW w:w="450" w:type="dxa"/>
            <w:tcBorders>
              <w:top w:val="single" w:sz="4" w:space="0" w:color="auto"/>
              <w:left w:val="single" w:sz="4" w:space="0" w:color="auto"/>
              <w:bottom w:val="single" w:sz="4" w:space="0" w:color="auto"/>
              <w:right w:val="single" w:sz="4" w:space="0" w:color="auto"/>
            </w:tcBorders>
            <w:shd w:val="clear" w:color="auto" w:fill="FABF8F"/>
          </w:tcPr>
          <w:p w:rsidR="00871AE2" w:rsidRPr="003410C7" w:rsidDel="00436016" w:rsidRDefault="00871AE2" w:rsidP="00871AE2">
            <w:pPr>
              <w:pStyle w:val="TableText"/>
              <w:widowControl w:val="0"/>
              <w:spacing w:before="120"/>
              <w:rPr>
                <w:rFonts w:ascii="Tahoma" w:hAnsi="Tahoma" w:cs="Tahoma"/>
                <w:sz w:val="13"/>
              </w:rPr>
            </w:pPr>
          </w:p>
        </w:tc>
        <w:tc>
          <w:tcPr>
            <w:tcW w:w="540" w:type="dxa"/>
            <w:tcBorders>
              <w:top w:val="single" w:sz="4" w:space="0" w:color="auto"/>
              <w:left w:val="single" w:sz="4" w:space="0" w:color="auto"/>
              <w:bottom w:val="single" w:sz="4" w:space="0" w:color="auto"/>
              <w:right w:val="single" w:sz="4" w:space="0" w:color="auto"/>
            </w:tcBorders>
            <w:shd w:val="clear" w:color="auto" w:fill="FABF8F"/>
            <w:vAlign w:val="center"/>
          </w:tcPr>
          <w:p w:rsidR="00871AE2" w:rsidRPr="003410C7" w:rsidDel="00436016" w:rsidRDefault="00871AE2" w:rsidP="00871AE2">
            <w:pPr>
              <w:pStyle w:val="TableText"/>
              <w:widowControl w:val="0"/>
              <w:rPr>
                <w:rFonts w:ascii="Tahoma" w:hAnsi="Tahoma" w:cs="Tahoma"/>
                <w:sz w:val="13"/>
              </w:rPr>
            </w:pPr>
          </w:p>
        </w:tc>
      </w:tr>
      <w:tr w:rsidR="00B33D0E" w:rsidRPr="003410C7" w:rsidTr="006B1F3F">
        <w:trPr>
          <w:trHeight w:val="145"/>
        </w:trPr>
        <w:tc>
          <w:tcPr>
            <w:tcW w:w="2734" w:type="dxa"/>
            <w:gridSpan w:val="2"/>
            <w:tcBorders>
              <w:bottom w:val="single" w:sz="4" w:space="0" w:color="auto"/>
            </w:tcBorders>
            <w:shd w:val="clear" w:color="auto" w:fill="FFFFFF"/>
            <w:vAlign w:val="center"/>
          </w:tcPr>
          <w:p w:rsidR="001A63C6" w:rsidRPr="003410C7" w:rsidRDefault="001A63C6" w:rsidP="006C465D">
            <w:pPr>
              <w:pStyle w:val="ProductNames"/>
              <w:spacing w:before="0" w:after="0"/>
              <w:rPr>
                <w:rFonts w:ascii="Tahoma" w:hAnsi="Tahoma" w:cs="Tahoma"/>
                <w:sz w:val="14"/>
              </w:rPr>
            </w:pPr>
            <w:bookmarkStart w:id="364" w:name="_Toc336338032"/>
            <w:bookmarkStart w:id="365" w:name="_Toc352234640"/>
            <w:r w:rsidRPr="003410C7">
              <w:rPr>
                <w:rFonts w:ascii="Tahoma" w:hAnsi="Tahoma" w:cs="Tahoma"/>
                <w:sz w:val="14"/>
              </w:rPr>
              <w:t>Office Web Applications con SharePoint Piano 2A (SL per utente)</w:t>
            </w:r>
            <w:bookmarkEnd w:id="364"/>
            <w:bookmarkEnd w:id="365"/>
          </w:p>
        </w:tc>
        <w:tc>
          <w:tcPr>
            <w:tcW w:w="450" w:type="dxa"/>
            <w:tcBorders>
              <w:bottom w:val="single" w:sz="4" w:space="0" w:color="auto"/>
            </w:tcBorders>
            <w:shd w:val="clear" w:color="auto" w:fill="FFFFFF"/>
            <w:vAlign w:val="center"/>
          </w:tcPr>
          <w:p w:rsidR="001A63C6" w:rsidRPr="009F17FF" w:rsidRDefault="001A63C6" w:rsidP="00D66F68">
            <w:pPr>
              <w:pStyle w:val="TableText"/>
              <w:widowControl w:val="0"/>
              <w:rPr>
                <w:b/>
                <w:color w:val="0000FF"/>
                <w:sz w:val="13"/>
                <w:szCs w:val="13"/>
                <w:u w:val="single"/>
              </w:rPr>
            </w:pPr>
          </w:p>
        </w:tc>
        <w:tc>
          <w:tcPr>
            <w:tcW w:w="450" w:type="dxa"/>
            <w:tcBorders>
              <w:bottom w:val="single" w:sz="4" w:space="0" w:color="auto"/>
            </w:tcBorders>
            <w:shd w:val="clear" w:color="auto" w:fill="FFFFFF"/>
            <w:vAlign w:val="center"/>
          </w:tcPr>
          <w:p w:rsidR="001A63C6" w:rsidRPr="003410C7" w:rsidRDefault="001A63C6" w:rsidP="006C465D">
            <w:pPr>
              <w:pStyle w:val="TableText"/>
              <w:widowControl w:val="0"/>
              <w:rPr>
                <w:rFonts w:ascii="Tahoma" w:hAnsi="Tahoma" w:cs="Tahoma"/>
                <w:color w:val="000000"/>
                <w:sz w:val="13"/>
              </w:rPr>
            </w:pPr>
            <w:r w:rsidRPr="003410C7">
              <w:rPr>
                <w:rFonts w:ascii="Tahoma" w:hAnsi="Tahoma" w:cs="Tahoma"/>
                <w:color w:val="000000"/>
                <w:sz w:val="13"/>
              </w:rPr>
              <w:t>07/12</w:t>
            </w:r>
          </w:p>
        </w:tc>
        <w:tc>
          <w:tcPr>
            <w:tcW w:w="360" w:type="dxa"/>
            <w:tcBorders>
              <w:bottom w:val="single" w:sz="4" w:space="0" w:color="auto"/>
              <w:right w:val="single" w:sz="18" w:space="0" w:color="auto"/>
            </w:tcBorders>
            <w:shd w:val="clear" w:color="auto" w:fill="FFFFFF"/>
            <w:vAlign w:val="center"/>
          </w:tcPr>
          <w:p w:rsidR="001A63C6" w:rsidRPr="003410C7" w:rsidRDefault="001A63C6" w:rsidP="00D66F68">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FFFFFF"/>
            <w:vAlign w:val="bottom"/>
          </w:tcPr>
          <w:p w:rsidR="001A63C6" w:rsidRPr="003410C7" w:rsidRDefault="001A63C6" w:rsidP="00D66F68">
            <w:pPr>
              <w:pStyle w:val="TableText"/>
              <w:widowControl w:val="0"/>
              <w:rPr>
                <w:rFonts w:ascii="Tahoma" w:hAnsi="Tahoma" w:cs="Tahoma"/>
                <w:sz w:val="14"/>
                <w:szCs w:val="14"/>
              </w:rPr>
            </w:pPr>
          </w:p>
        </w:tc>
        <w:tc>
          <w:tcPr>
            <w:tcW w:w="450" w:type="dxa"/>
            <w:tcBorders>
              <w:bottom w:val="single" w:sz="4" w:space="0" w:color="auto"/>
            </w:tcBorders>
            <w:shd w:val="clear" w:color="auto" w:fill="FFFFFF"/>
            <w:vAlign w:val="bottom"/>
          </w:tcPr>
          <w:p w:rsidR="001A63C6" w:rsidRPr="003410C7" w:rsidRDefault="001A63C6" w:rsidP="002A6E97">
            <w:pPr>
              <w:pStyle w:val="TableText"/>
              <w:widowControl w:val="0"/>
              <w:rPr>
                <w:rFonts w:ascii="Tahoma" w:hAnsi="Tahoma" w:cs="Tahoma"/>
                <w:sz w:val="14"/>
                <w:szCs w:val="14"/>
              </w:rPr>
            </w:pPr>
          </w:p>
        </w:tc>
        <w:tc>
          <w:tcPr>
            <w:tcW w:w="450" w:type="dxa"/>
            <w:tcBorders>
              <w:bottom w:val="single" w:sz="4" w:space="0" w:color="auto"/>
            </w:tcBorders>
            <w:shd w:val="clear" w:color="auto" w:fill="FFFFFF"/>
            <w:vAlign w:val="bottom"/>
          </w:tcPr>
          <w:p w:rsidR="001A63C6" w:rsidRPr="003410C7" w:rsidRDefault="001A63C6" w:rsidP="002A6E97">
            <w:pPr>
              <w:pStyle w:val="TableText"/>
              <w:widowControl w:val="0"/>
              <w:rPr>
                <w:rFonts w:ascii="Tahoma" w:hAnsi="Tahoma" w:cs="Tahoma"/>
                <w:sz w:val="14"/>
                <w:szCs w:val="14"/>
              </w:rPr>
            </w:pPr>
          </w:p>
        </w:tc>
        <w:tc>
          <w:tcPr>
            <w:tcW w:w="450" w:type="dxa"/>
            <w:tcBorders>
              <w:bottom w:val="single" w:sz="4" w:space="0" w:color="auto"/>
            </w:tcBorders>
            <w:shd w:val="clear" w:color="auto" w:fill="FFFFFF"/>
            <w:vAlign w:val="bottom"/>
          </w:tcPr>
          <w:p w:rsidR="001A63C6" w:rsidRPr="003410C7" w:rsidRDefault="001A63C6" w:rsidP="006C465D">
            <w:pPr>
              <w:pStyle w:val="TableText"/>
              <w:widowControl w:val="0"/>
              <w:rPr>
                <w:rFonts w:ascii="Tahoma" w:hAnsi="Tahoma" w:cs="Tahoma"/>
                <w:sz w:val="14"/>
                <w:szCs w:val="14"/>
              </w:rPr>
            </w:pPr>
          </w:p>
        </w:tc>
        <w:tc>
          <w:tcPr>
            <w:tcW w:w="450" w:type="dxa"/>
            <w:tcBorders>
              <w:bottom w:val="single" w:sz="4" w:space="0" w:color="auto"/>
            </w:tcBorders>
            <w:shd w:val="clear" w:color="auto" w:fill="FFFFFF"/>
            <w:vAlign w:val="bottom"/>
          </w:tcPr>
          <w:p w:rsidR="001A63C6" w:rsidRPr="003410C7" w:rsidRDefault="001A63C6" w:rsidP="006C465D">
            <w:pPr>
              <w:pStyle w:val="TableText"/>
              <w:widowControl w:val="0"/>
              <w:rPr>
                <w:rFonts w:ascii="Tahoma" w:hAnsi="Tahoma" w:cs="Tahoma"/>
                <w:sz w:val="14"/>
                <w:szCs w:val="14"/>
              </w:rPr>
            </w:pPr>
          </w:p>
        </w:tc>
        <w:tc>
          <w:tcPr>
            <w:tcW w:w="450" w:type="dxa"/>
            <w:tcBorders>
              <w:bottom w:val="single" w:sz="4" w:space="0" w:color="auto"/>
            </w:tcBorders>
            <w:shd w:val="clear" w:color="auto" w:fill="FFFFFF"/>
            <w:vAlign w:val="bottom"/>
          </w:tcPr>
          <w:p w:rsidR="001A63C6" w:rsidRPr="003410C7" w:rsidRDefault="001A63C6" w:rsidP="006C465D">
            <w:pPr>
              <w:pStyle w:val="TableText"/>
              <w:widowControl w:val="0"/>
              <w:rPr>
                <w:rFonts w:ascii="Tahoma" w:hAnsi="Tahoma" w:cs="Tahoma"/>
                <w:sz w:val="14"/>
                <w:szCs w:val="14"/>
              </w:rPr>
            </w:pPr>
          </w:p>
        </w:tc>
        <w:tc>
          <w:tcPr>
            <w:tcW w:w="360" w:type="dxa"/>
            <w:tcBorders>
              <w:bottom w:val="single" w:sz="4" w:space="0" w:color="auto"/>
              <w:right w:val="single" w:sz="18" w:space="0" w:color="auto"/>
            </w:tcBorders>
            <w:shd w:val="clear" w:color="auto" w:fill="FFFFFF"/>
            <w:vAlign w:val="bottom"/>
          </w:tcPr>
          <w:p w:rsidR="001A63C6" w:rsidRPr="003410C7" w:rsidRDefault="001A63C6" w:rsidP="006C465D">
            <w:pPr>
              <w:pStyle w:val="TableText"/>
              <w:widowControl w:val="0"/>
              <w:rPr>
                <w:rFonts w:ascii="Tahoma" w:hAnsi="Tahoma" w:cs="Tahoma"/>
                <w:sz w:val="14"/>
                <w:szCs w:val="14"/>
              </w:rPr>
            </w:pPr>
          </w:p>
        </w:tc>
        <w:tc>
          <w:tcPr>
            <w:tcW w:w="450" w:type="dxa"/>
            <w:tcBorders>
              <w:left w:val="single" w:sz="18" w:space="0" w:color="auto"/>
              <w:bottom w:val="single" w:sz="4" w:space="0" w:color="auto"/>
            </w:tcBorders>
            <w:shd w:val="clear" w:color="auto" w:fill="FFFFFF"/>
            <w:vAlign w:val="bottom"/>
          </w:tcPr>
          <w:p w:rsidR="001A63C6" w:rsidRPr="003410C7" w:rsidRDefault="001A63C6" w:rsidP="006C465D">
            <w:pPr>
              <w:pStyle w:val="TableText"/>
              <w:widowControl w:val="0"/>
              <w:rPr>
                <w:rFonts w:ascii="Tahoma" w:hAnsi="Tahoma" w:cs="Tahoma"/>
                <w:sz w:val="14"/>
                <w:szCs w:val="14"/>
              </w:rPr>
            </w:pPr>
          </w:p>
        </w:tc>
        <w:tc>
          <w:tcPr>
            <w:tcW w:w="450" w:type="dxa"/>
            <w:tcBorders>
              <w:bottom w:val="single" w:sz="4" w:space="0" w:color="auto"/>
            </w:tcBorders>
            <w:shd w:val="clear" w:color="auto" w:fill="FFFFFF"/>
            <w:vAlign w:val="bottom"/>
          </w:tcPr>
          <w:p w:rsidR="001A63C6" w:rsidRPr="003410C7" w:rsidRDefault="001A63C6" w:rsidP="006C465D">
            <w:pPr>
              <w:pStyle w:val="TableText"/>
              <w:widowControl w:val="0"/>
              <w:rPr>
                <w:rFonts w:ascii="Tahoma" w:hAnsi="Tahoma" w:cs="Tahoma"/>
                <w:sz w:val="14"/>
                <w:szCs w:val="14"/>
              </w:rPr>
            </w:pPr>
          </w:p>
        </w:tc>
        <w:tc>
          <w:tcPr>
            <w:tcW w:w="450" w:type="dxa"/>
            <w:tcBorders>
              <w:bottom w:val="single" w:sz="4" w:space="0" w:color="auto"/>
              <w:right w:val="single" w:sz="18" w:space="0" w:color="auto"/>
            </w:tcBorders>
            <w:shd w:val="clear" w:color="auto" w:fill="FFFFFF"/>
            <w:vAlign w:val="bottom"/>
          </w:tcPr>
          <w:p w:rsidR="001A63C6" w:rsidRPr="003410C7" w:rsidRDefault="001A63C6" w:rsidP="006C465D">
            <w:pPr>
              <w:pStyle w:val="TableText"/>
              <w:widowControl w:val="0"/>
              <w:rPr>
                <w:rFonts w:ascii="Tahoma" w:hAnsi="Tahoma" w:cs="Tahoma"/>
                <w:sz w:val="14"/>
                <w:szCs w:val="14"/>
              </w:rPr>
            </w:pPr>
          </w:p>
        </w:tc>
        <w:tc>
          <w:tcPr>
            <w:tcW w:w="450" w:type="dxa"/>
            <w:tcBorders>
              <w:left w:val="single" w:sz="18" w:space="0" w:color="auto"/>
              <w:bottom w:val="single" w:sz="4" w:space="0" w:color="auto"/>
            </w:tcBorders>
            <w:shd w:val="clear" w:color="auto" w:fill="FFFFFF"/>
            <w:vAlign w:val="center"/>
          </w:tcPr>
          <w:p w:rsidR="001A63C6" w:rsidRPr="003410C7" w:rsidRDefault="001A63C6" w:rsidP="006C465D">
            <w:pPr>
              <w:pStyle w:val="TableText"/>
              <w:widowControl w:val="0"/>
              <w:rPr>
                <w:rFonts w:ascii="Tahoma" w:hAnsi="Tahoma" w:cs="Tahoma"/>
                <w:sz w:val="13"/>
              </w:rPr>
            </w:pPr>
            <w:r w:rsidRPr="003410C7">
              <w:rPr>
                <w:rFonts w:ascii="Tahoma" w:hAnsi="Tahoma" w:cs="Tahoma"/>
                <w:sz w:val="13"/>
              </w:rPr>
              <w:t>1</w:t>
            </w:r>
          </w:p>
        </w:tc>
        <w:tc>
          <w:tcPr>
            <w:tcW w:w="450" w:type="dxa"/>
            <w:tcBorders>
              <w:bottom w:val="single" w:sz="4" w:space="0" w:color="auto"/>
              <w:right w:val="single" w:sz="18" w:space="0" w:color="auto"/>
            </w:tcBorders>
            <w:shd w:val="clear" w:color="auto" w:fill="FFFFFF"/>
            <w:vAlign w:val="center"/>
          </w:tcPr>
          <w:p w:rsidR="001A63C6" w:rsidRPr="003410C7" w:rsidRDefault="001A63C6" w:rsidP="00D02D7A">
            <w:pPr>
              <w:pStyle w:val="TableText"/>
              <w:widowControl w:val="0"/>
              <w:rPr>
                <w:rFonts w:ascii="Tahoma" w:hAnsi="Tahoma" w:cs="Tahoma"/>
                <w:sz w:val="13"/>
              </w:rPr>
            </w:pPr>
            <w:r w:rsidRPr="003410C7">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FFFFFF"/>
            <w:vAlign w:val="center"/>
          </w:tcPr>
          <w:p w:rsidR="001A63C6" w:rsidRPr="003410C7" w:rsidRDefault="001A63C6" w:rsidP="00D02D7A">
            <w:pPr>
              <w:pStyle w:val="TableText"/>
              <w:widowControl w:val="0"/>
              <w:rPr>
                <w:rFonts w:ascii="Tahoma" w:hAnsi="Tahoma" w:cs="Tahoma"/>
                <w:sz w:val="13"/>
              </w:rPr>
            </w:pPr>
          </w:p>
        </w:tc>
        <w:tc>
          <w:tcPr>
            <w:tcW w:w="450" w:type="dxa"/>
            <w:tcBorders>
              <w:bottom w:val="single" w:sz="4" w:space="0" w:color="auto"/>
            </w:tcBorders>
            <w:shd w:val="clear" w:color="auto" w:fill="FFFFFF"/>
          </w:tcPr>
          <w:p w:rsidR="001A63C6" w:rsidRPr="003410C7" w:rsidRDefault="001A63C6" w:rsidP="006C465D">
            <w:pPr>
              <w:pStyle w:val="TableText"/>
              <w:widowControl w:val="0"/>
              <w:rPr>
                <w:rFonts w:ascii="Tahoma" w:hAnsi="Tahoma" w:cs="Tahoma"/>
                <w:sz w:val="13"/>
              </w:rPr>
            </w:pPr>
            <w:r w:rsidRPr="003410C7">
              <w:rPr>
                <w:rFonts w:ascii="Tahoma" w:hAnsi="Tahoma" w:cs="Tahoma"/>
                <w:sz w:val="13"/>
              </w:rPr>
              <w:t>A, ST (Solo EES)</w:t>
            </w:r>
          </w:p>
        </w:tc>
        <w:tc>
          <w:tcPr>
            <w:tcW w:w="540" w:type="dxa"/>
            <w:tcBorders>
              <w:bottom w:val="single" w:sz="4" w:space="0" w:color="auto"/>
            </w:tcBorders>
            <w:shd w:val="clear" w:color="auto" w:fill="FFFFFF"/>
            <w:vAlign w:val="center"/>
          </w:tcPr>
          <w:p w:rsidR="001A63C6" w:rsidRPr="003410C7" w:rsidRDefault="001A63C6" w:rsidP="00D66F68">
            <w:pPr>
              <w:pStyle w:val="TableText"/>
              <w:widowControl w:val="0"/>
              <w:rPr>
                <w:rFonts w:ascii="Tahoma" w:hAnsi="Tahoma" w:cs="Tahoma"/>
                <w:sz w:val="13"/>
              </w:rPr>
            </w:pPr>
          </w:p>
        </w:tc>
      </w:tr>
      <w:tr w:rsidR="00B33D0E" w:rsidRPr="003410C7" w:rsidTr="006B1F3F">
        <w:trPr>
          <w:trHeight w:val="145"/>
        </w:trPr>
        <w:tc>
          <w:tcPr>
            <w:tcW w:w="2734" w:type="dxa"/>
            <w:gridSpan w:val="2"/>
            <w:tcBorders>
              <w:bottom w:val="single" w:sz="4" w:space="0" w:color="auto"/>
            </w:tcBorders>
            <w:shd w:val="clear" w:color="auto" w:fill="FABF8F"/>
            <w:vAlign w:val="center"/>
          </w:tcPr>
          <w:p w:rsidR="001A63C6" w:rsidRPr="003410C7" w:rsidRDefault="001A63C6" w:rsidP="003410C7">
            <w:pPr>
              <w:pStyle w:val="ProductNames"/>
              <w:spacing w:beforeLines="20" w:before="48" w:afterLines="20" w:after="48"/>
              <w:rPr>
                <w:rFonts w:ascii="Tahoma" w:hAnsi="Tahoma" w:cs="Tahoma"/>
                <w:sz w:val="14"/>
              </w:rPr>
            </w:pPr>
            <w:bookmarkStart w:id="366" w:name="_Toc352234641"/>
            <w:r w:rsidRPr="003410C7">
              <w:rPr>
                <w:rFonts w:ascii="Tahoma" w:hAnsi="Tahoma" w:cs="Tahoma"/>
                <w:sz w:val="14"/>
              </w:rPr>
              <w:t>Project Online</w:t>
            </w:r>
            <w:bookmarkEnd w:id="366"/>
            <w:r w:rsidR="001A3EC5">
              <w:rPr>
                <w:rFonts w:ascii="Tahoma" w:hAnsi="Tahoma" w:cs="Tahoma"/>
                <w:sz w:val="14"/>
              </w:rPr>
              <w:t xml:space="preserve"> </w:t>
            </w:r>
          </w:p>
        </w:tc>
        <w:tc>
          <w:tcPr>
            <w:tcW w:w="450" w:type="dxa"/>
            <w:tcBorders>
              <w:bottom w:val="single" w:sz="4" w:space="0" w:color="auto"/>
            </w:tcBorders>
            <w:shd w:val="clear" w:color="auto" w:fill="FABF8F"/>
            <w:vAlign w:val="center"/>
          </w:tcPr>
          <w:p w:rsidR="001A63C6" w:rsidRPr="009F17FF" w:rsidRDefault="001A63C6" w:rsidP="001A63C6">
            <w:pPr>
              <w:pStyle w:val="TableText"/>
              <w:widowControl w:val="0"/>
              <w:rPr>
                <w:rStyle w:val="EndnoteReference"/>
                <w:color w:val="0000FF"/>
                <w:sz w:val="13"/>
                <w:szCs w:val="13"/>
                <w:u w:val="single"/>
              </w:rPr>
            </w:pPr>
          </w:p>
        </w:tc>
        <w:tc>
          <w:tcPr>
            <w:tcW w:w="450" w:type="dxa"/>
            <w:tcBorders>
              <w:bottom w:val="single" w:sz="4" w:space="0" w:color="auto"/>
            </w:tcBorders>
            <w:shd w:val="clear" w:color="auto" w:fill="FABF8F"/>
          </w:tcPr>
          <w:p w:rsidR="001A63C6" w:rsidRPr="003410C7" w:rsidRDefault="001A63C6" w:rsidP="001A63C6">
            <w:pPr>
              <w:pStyle w:val="TableText"/>
              <w:widowControl w:val="0"/>
              <w:spacing w:before="40"/>
              <w:rPr>
                <w:rFonts w:ascii="Tahoma" w:hAnsi="Tahoma" w:cs="Tahoma"/>
                <w:color w:val="000000"/>
                <w:sz w:val="13"/>
              </w:rPr>
            </w:pPr>
            <w:r w:rsidRPr="003410C7">
              <w:rPr>
                <w:rFonts w:ascii="Tahoma" w:hAnsi="Tahoma" w:cs="Tahoma"/>
                <w:color w:val="000000"/>
                <w:sz w:val="13"/>
              </w:rPr>
              <w:t>03/13</w:t>
            </w:r>
          </w:p>
        </w:tc>
        <w:tc>
          <w:tcPr>
            <w:tcW w:w="360" w:type="dxa"/>
            <w:tcBorders>
              <w:bottom w:val="single" w:sz="4" w:space="0" w:color="auto"/>
              <w:right w:val="single" w:sz="18" w:space="0" w:color="auto"/>
            </w:tcBorders>
            <w:shd w:val="clear" w:color="auto" w:fill="FABF8F"/>
            <w:vAlign w:val="center"/>
          </w:tcPr>
          <w:p w:rsidR="001A63C6" w:rsidRPr="003410C7" w:rsidRDefault="001A63C6" w:rsidP="001A63C6">
            <w:pPr>
              <w:pStyle w:val="TableText"/>
              <w:widowControl w:val="0"/>
              <w:rPr>
                <w:rFonts w:ascii="Tahoma" w:hAnsi="Tahoma" w:cs="Tahoma"/>
                <w:sz w:val="13"/>
              </w:rPr>
            </w:pPr>
            <w:r w:rsidRPr="003410C7">
              <w:rPr>
                <w:rFonts w:ascii="Tahoma" w:hAnsi="Tahoma" w:cs="Tahoma"/>
                <w:sz w:val="13"/>
              </w:rPr>
              <w:t>SRV</w:t>
            </w:r>
          </w:p>
        </w:tc>
        <w:tc>
          <w:tcPr>
            <w:tcW w:w="360" w:type="dxa"/>
            <w:tcBorders>
              <w:left w:val="single" w:sz="18" w:space="0" w:color="auto"/>
              <w:bottom w:val="single" w:sz="4" w:space="0" w:color="auto"/>
            </w:tcBorders>
            <w:shd w:val="clear" w:color="auto" w:fill="FABF8F"/>
            <w:vAlign w:val="bottom"/>
          </w:tcPr>
          <w:p w:rsidR="001A63C6" w:rsidRPr="003410C7" w:rsidRDefault="001A63C6" w:rsidP="001A63C6">
            <w:pPr>
              <w:pStyle w:val="TableText"/>
              <w:widowControl w:val="0"/>
              <w:rPr>
                <w:rFonts w:ascii="Tahoma" w:hAnsi="Tahoma" w:cs="Tahoma"/>
                <w:sz w:val="14"/>
                <w:szCs w:val="14"/>
              </w:rPr>
            </w:pPr>
          </w:p>
        </w:tc>
        <w:tc>
          <w:tcPr>
            <w:tcW w:w="450" w:type="dxa"/>
            <w:tcBorders>
              <w:bottom w:val="single" w:sz="4" w:space="0" w:color="auto"/>
            </w:tcBorders>
            <w:shd w:val="clear" w:color="auto" w:fill="FABF8F"/>
            <w:vAlign w:val="bottom"/>
          </w:tcPr>
          <w:p w:rsidR="001A63C6" w:rsidRPr="003410C7" w:rsidRDefault="001A63C6" w:rsidP="001A63C6">
            <w:pPr>
              <w:pStyle w:val="TableText"/>
              <w:widowControl w:val="0"/>
              <w:rPr>
                <w:rFonts w:ascii="Tahoma" w:hAnsi="Tahoma" w:cs="Tahoma"/>
                <w:sz w:val="14"/>
                <w:szCs w:val="14"/>
              </w:rPr>
            </w:pPr>
          </w:p>
        </w:tc>
        <w:tc>
          <w:tcPr>
            <w:tcW w:w="450" w:type="dxa"/>
            <w:tcBorders>
              <w:bottom w:val="single" w:sz="4" w:space="0" w:color="auto"/>
            </w:tcBorders>
            <w:shd w:val="clear" w:color="auto" w:fill="FABF8F"/>
            <w:vAlign w:val="bottom"/>
          </w:tcPr>
          <w:p w:rsidR="001A63C6" w:rsidRPr="003410C7" w:rsidRDefault="001A63C6" w:rsidP="001A63C6">
            <w:pPr>
              <w:pStyle w:val="TableText"/>
              <w:widowControl w:val="0"/>
              <w:rPr>
                <w:rFonts w:ascii="Tahoma" w:hAnsi="Tahoma" w:cs="Tahoma"/>
                <w:sz w:val="14"/>
                <w:szCs w:val="14"/>
              </w:rPr>
            </w:pPr>
          </w:p>
        </w:tc>
        <w:tc>
          <w:tcPr>
            <w:tcW w:w="450" w:type="dxa"/>
            <w:tcBorders>
              <w:bottom w:val="single" w:sz="4" w:space="0" w:color="auto"/>
            </w:tcBorders>
            <w:shd w:val="clear" w:color="auto" w:fill="FABF8F"/>
            <w:vAlign w:val="bottom"/>
          </w:tcPr>
          <w:p w:rsidR="001A63C6" w:rsidRPr="003410C7" w:rsidRDefault="001A63C6" w:rsidP="001A63C6">
            <w:pPr>
              <w:pStyle w:val="TableText"/>
              <w:widowControl w:val="0"/>
              <w:rPr>
                <w:rFonts w:ascii="Tahoma" w:hAnsi="Tahoma" w:cs="Tahoma"/>
                <w:sz w:val="14"/>
                <w:szCs w:val="14"/>
              </w:rPr>
            </w:pPr>
          </w:p>
        </w:tc>
        <w:tc>
          <w:tcPr>
            <w:tcW w:w="450" w:type="dxa"/>
            <w:tcBorders>
              <w:bottom w:val="single" w:sz="4" w:space="0" w:color="auto"/>
            </w:tcBorders>
            <w:shd w:val="clear" w:color="auto" w:fill="FABF8F"/>
            <w:vAlign w:val="bottom"/>
          </w:tcPr>
          <w:p w:rsidR="001A63C6" w:rsidRPr="003410C7" w:rsidRDefault="001A63C6" w:rsidP="001A63C6">
            <w:pPr>
              <w:pStyle w:val="TableText"/>
              <w:widowControl w:val="0"/>
              <w:rPr>
                <w:rFonts w:ascii="Tahoma" w:hAnsi="Tahoma" w:cs="Tahoma"/>
                <w:sz w:val="14"/>
                <w:szCs w:val="14"/>
              </w:rPr>
            </w:pPr>
          </w:p>
        </w:tc>
        <w:tc>
          <w:tcPr>
            <w:tcW w:w="450" w:type="dxa"/>
            <w:tcBorders>
              <w:bottom w:val="single" w:sz="4" w:space="0" w:color="auto"/>
            </w:tcBorders>
            <w:shd w:val="clear" w:color="auto" w:fill="FABF8F"/>
            <w:vAlign w:val="bottom"/>
          </w:tcPr>
          <w:p w:rsidR="001A63C6" w:rsidRPr="003410C7" w:rsidRDefault="001A63C6" w:rsidP="001A63C6">
            <w:pPr>
              <w:pStyle w:val="TableText"/>
              <w:widowControl w:val="0"/>
              <w:rPr>
                <w:rFonts w:ascii="Tahoma" w:hAnsi="Tahoma" w:cs="Tahoma"/>
                <w:sz w:val="14"/>
                <w:szCs w:val="14"/>
              </w:rPr>
            </w:pPr>
          </w:p>
        </w:tc>
        <w:tc>
          <w:tcPr>
            <w:tcW w:w="360" w:type="dxa"/>
            <w:tcBorders>
              <w:bottom w:val="single" w:sz="4" w:space="0" w:color="auto"/>
              <w:right w:val="single" w:sz="18" w:space="0" w:color="auto"/>
            </w:tcBorders>
            <w:shd w:val="clear" w:color="auto" w:fill="FABF8F"/>
            <w:vAlign w:val="bottom"/>
          </w:tcPr>
          <w:p w:rsidR="001A63C6" w:rsidRPr="003410C7" w:rsidRDefault="001A63C6" w:rsidP="001A63C6">
            <w:pPr>
              <w:pStyle w:val="TableText"/>
              <w:widowControl w:val="0"/>
              <w:rPr>
                <w:rFonts w:ascii="Tahoma" w:hAnsi="Tahoma" w:cs="Tahoma"/>
                <w:sz w:val="14"/>
                <w:szCs w:val="14"/>
              </w:rPr>
            </w:pPr>
          </w:p>
        </w:tc>
        <w:tc>
          <w:tcPr>
            <w:tcW w:w="450" w:type="dxa"/>
            <w:tcBorders>
              <w:left w:val="single" w:sz="18" w:space="0" w:color="auto"/>
              <w:bottom w:val="single" w:sz="4" w:space="0" w:color="auto"/>
            </w:tcBorders>
            <w:shd w:val="clear" w:color="auto" w:fill="FABF8F"/>
            <w:vAlign w:val="bottom"/>
          </w:tcPr>
          <w:p w:rsidR="001A63C6" w:rsidRPr="003410C7" w:rsidRDefault="001A63C6" w:rsidP="001A63C6">
            <w:pPr>
              <w:pStyle w:val="TableText"/>
              <w:widowControl w:val="0"/>
              <w:rPr>
                <w:rFonts w:ascii="Tahoma" w:hAnsi="Tahoma" w:cs="Tahoma"/>
                <w:sz w:val="14"/>
                <w:szCs w:val="14"/>
              </w:rPr>
            </w:pPr>
          </w:p>
        </w:tc>
        <w:tc>
          <w:tcPr>
            <w:tcW w:w="450" w:type="dxa"/>
            <w:tcBorders>
              <w:bottom w:val="single" w:sz="4" w:space="0" w:color="auto"/>
            </w:tcBorders>
            <w:shd w:val="clear" w:color="auto" w:fill="FABF8F"/>
            <w:vAlign w:val="bottom"/>
          </w:tcPr>
          <w:p w:rsidR="001A63C6" w:rsidRPr="003410C7" w:rsidRDefault="001A63C6" w:rsidP="001A63C6">
            <w:pPr>
              <w:pStyle w:val="TableText"/>
              <w:widowControl w:val="0"/>
              <w:rPr>
                <w:rFonts w:ascii="Tahoma" w:hAnsi="Tahoma" w:cs="Tahoma"/>
                <w:sz w:val="14"/>
                <w:szCs w:val="14"/>
              </w:rPr>
            </w:pPr>
          </w:p>
        </w:tc>
        <w:tc>
          <w:tcPr>
            <w:tcW w:w="450" w:type="dxa"/>
            <w:tcBorders>
              <w:bottom w:val="single" w:sz="4" w:space="0" w:color="auto"/>
              <w:right w:val="single" w:sz="18" w:space="0" w:color="auto"/>
            </w:tcBorders>
            <w:shd w:val="clear" w:color="auto" w:fill="FABF8F"/>
            <w:vAlign w:val="bottom"/>
          </w:tcPr>
          <w:p w:rsidR="001A63C6" w:rsidRPr="003410C7" w:rsidRDefault="001A63C6" w:rsidP="001A63C6">
            <w:pPr>
              <w:pStyle w:val="TableText"/>
              <w:widowControl w:val="0"/>
              <w:rPr>
                <w:rFonts w:ascii="Tahoma" w:hAnsi="Tahoma" w:cs="Tahoma"/>
                <w:sz w:val="14"/>
                <w:szCs w:val="14"/>
              </w:rPr>
            </w:pPr>
          </w:p>
        </w:tc>
        <w:tc>
          <w:tcPr>
            <w:tcW w:w="450" w:type="dxa"/>
            <w:tcBorders>
              <w:left w:val="single" w:sz="18" w:space="0" w:color="auto"/>
              <w:bottom w:val="single" w:sz="4" w:space="0" w:color="auto"/>
            </w:tcBorders>
            <w:shd w:val="clear" w:color="auto" w:fill="FABF8F"/>
            <w:vAlign w:val="center"/>
          </w:tcPr>
          <w:p w:rsidR="001A63C6" w:rsidRPr="003410C7"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1A63C6" w:rsidRPr="003410C7" w:rsidRDefault="001A63C6" w:rsidP="001A63C6">
            <w:pPr>
              <w:pStyle w:val="TableText"/>
              <w:widowControl w:val="0"/>
              <w:rPr>
                <w:rFonts w:ascii="Tahoma" w:hAnsi="Tahoma" w:cs="Tahoma"/>
                <w:sz w:val="13"/>
              </w:rPr>
            </w:pPr>
            <w:r w:rsidRPr="003410C7">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3410C7"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tcPr>
          <w:p w:rsidR="001A63C6" w:rsidRPr="003410C7" w:rsidRDefault="001A63C6" w:rsidP="001A63C6">
            <w:pPr>
              <w:pStyle w:val="TableText"/>
              <w:widowControl w:val="0"/>
              <w:spacing w:before="120"/>
              <w:rPr>
                <w:rFonts w:ascii="Tahoma" w:hAnsi="Tahoma" w:cs="Tahoma"/>
                <w:sz w:val="13"/>
              </w:rPr>
            </w:pPr>
          </w:p>
        </w:tc>
        <w:tc>
          <w:tcPr>
            <w:tcW w:w="540" w:type="dxa"/>
            <w:tcBorders>
              <w:bottom w:val="single" w:sz="4" w:space="0" w:color="auto"/>
            </w:tcBorders>
            <w:shd w:val="clear" w:color="auto" w:fill="FABF8F"/>
            <w:vAlign w:val="center"/>
          </w:tcPr>
          <w:p w:rsidR="001A63C6" w:rsidRPr="003410C7" w:rsidRDefault="001A63C6" w:rsidP="001A63C6">
            <w:pPr>
              <w:pStyle w:val="TableText"/>
              <w:widowControl w:val="0"/>
              <w:rPr>
                <w:rFonts w:ascii="Tahoma" w:hAnsi="Tahoma" w:cs="Tahoma"/>
                <w:sz w:val="13"/>
              </w:rPr>
            </w:pPr>
          </w:p>
        </w:tc>
      </w:tr>
      <w:tr w:rsidR="001A63C6" w:rsidRPr="003410C7" w:rsidTr="007E466C">
        <w:trPr>
          <w:trHeight w:val="145"/>
        </w:trPr>
        <w:tc>
          <w:tcPr>
            <w:tcW w:w="2734" w:type="dxa"/>
            <w:gridSpan w:val="2"/>
            <w:tcBorders>
              <w:bottom w:val="single" w:sz="4" w:space="0" w:color="auto"/>
            </w:tcBorders>
            <w:shd w:val="clear" w:color="auto" w:fill="auto"/>
            <w:vAlign w:val="center"/>
          </w:tcPr>
          <w:p w:rsidR="001A63C6" w:rsidRPr="003410C7" w:rsidRDefault="001A63C6" w:rsidP="003410C7">
            <w:pPr>
              <w:pStyle w:val="ProductNames"/>
              <w:spacing w:beforeLines="20" w:before="48" w:afterLines="20" w:after="48"/>
              <w:rPr>
                <w:rFonts w:ascii="Tahoma" w:hAnsi="Tahoma" w:cs="Tahoma"/>
                <w:sz w:val="14"/>
              </w:rPr>
            </w:pPr>
            <w:bookmarkStart w:id="367" w:name="_Toc352234642"/>
            <w:r w:rsidRPr="003410C7">
              <w:rPr>
                <w:rFonts w:ascii="Tahoma" w:hAnsi="Tahoma" w:cs="Tahoma"/>
                <w:sz w:val="14"/>
              </w:rPr>
              <w:t>Project Online A</w:t>
            </w:r>
            <w:bookmarkEnd w:id="367"/>
          </w:p>
        </w:tc>
        <w:tc>
          <w:tcPr>
            <w:tcW w:w="450" w:type="dxa"/>
            <w:tcBorders>
              <w:bottom w:val="single" w:sz="4" w:space="0" w:color="auto"/>
            </w:tcBorders>
            <w:shd w:val="clear" w:color="auto" w:fill="auto"/>
            <w:vAlign w:val="center"/>
          </w:tcPr>
          <w:p w:rsidR="001A63C6" w:rsidRPr="009F17FF" w:rsidRDefault="001A63C6" w:rsidP="001A63C6">
            <w:pPr>
              <w:pStyle w:val="TableText"/>
              <w:widowControl w:val="0"/>
              <w:rPr>
                <w:rStyle w:val="EndnoteReference"/>
                <w:color w:val="0000FF"/>
                <w:sz w:val="13"/>
                <w:szCs w:val="13"/>
                <w:u w:val="single"/>
              </w:rPr>
            </w:pPr>
          </w:p>
        </w:tc>
        <w:tc>
          <w:tcPr>
            <w:tcW w:w="450" w:type="dxa"/>
            <w:tcBorders>
              <w:bottom w:val="single" w:sz="4" w:space="0" w:color="auto"/>
            </w:tcBorders>
            <w:shd w:val="clear" w:color="auto" w:fill="auto"/>
          </w:tcPr>
          <w:p w:rsidR="001A63C6" w:rsidRPr="003410C7" w:rsidRDefault="001A63C6" w:rsidP="001A63C6">
            <w:pPr>
              <w:pStyle w:val="TableText"/>
              <w:widowControl w:val="0"/>
              <w:spacing w:before="40"/>
              <w:rPr>
                <w:rFonts w:ascii="Tahoma" w:hAnsi="Tahoma" w:cs="Tahoma"/>
                <w:color w:val="000000"/>
                <w:sz w:val="13"/>
              </w:rPr>
            </w:pPr>
            <w:r w:rsidRPr="003410C7">
              <w:rPr>
                <w:rFonts w:ascii="Tahoma" w:hAnsi="Tahoma" w:cs="Tahoma"/>
                <w:color w:val="000000"/>
                <w:sz w:val="13"/>
              </w:rPr>
              <w:t>03/13</w:t>
            </w:r>
          </w:p>
        </w:tc>
        <w:tc>
          <w:tcPr>
            <w:tcW w:w="360" w:type="dxa"/>
            <w:tcBorders>
              <w:bottom w:val="single" w:sz="4" w:space="0" w:color="auto"/>
              <w:right w:val="single" w:sz="18" w:space="0" w:color="auto"/>
            </w:tcBorders>
            <w:shd w:val="clear" w:color="auto" w:fill="auto"/>
            <w:vAlign w:val="center"/>
          </w:tcPr>
          <w:p w:rsidR="001A63C6" w:rsidRPr="003410C7" w:rsidRDefault="001A63C6" w:rsidP="001A63C6">
            <w:pPr>
              <w:pStyle w:val="TableText"/>
              <w:widowControl w:val="0"/>
              <w:rPr>
                <w:rFonts w:ascii="Tahoma" w:hAnsi="Tahoma" w:cs="Tahoma"/>
                <w:sz w:val="13"/>
              </w:rPr>
            </w:pPr>
            <w:r w:rsidRPr="003410C7">
              <w:rPr>
                <w:rFonts w:ascii="Tahoma" w:hAnsi="Tahoma" w:cs="Tahoma"/>
                <w:sz w:val="13"/>
              </w:rPr>
              <w:t>SRV</w:t>
            </w:r>
          </w:p>
        </w:tc>
        <w:tc>
          <w:tcPr>
            <w:tcW w:w="360" w:type="dxa"/>
            <w:tcBorders>
              <w:left w:val="single" w:sz="18" w:space="0" w:color="auto"/>
              <w:bottom w:val="single" w:sz="4" w:space="0" w:color="auto"/>
            </w:tcBorders>
            <w:shd w:val="clear" w:color="auto" w:fill="auto"/>
            <w:vAlign w:val="bottom"/>
          </w:tcPr>
          <w:p w:rsidR="001A63C6" w:rsidRPr="003410C7" w:rsidRDefault="001A63C6" w:rsidP="001A63C6">
            <w:pPr>
              <w:pStyle w:val="TableText"/>
              <w:widowControl w:val="0"/>
              <w:rPr>
                <w:rFonts w:ascii="Tahoma" w:hAnsi="Tahoma" w:cs="Tahoma"/>
                <w:sz w:val="14"/>
                <w:szCs w:val="14"/>
              </w:rPr>
            </w:pPr>
          </w:p>
        </w:tc>
        <w:tc>
          <w:tcPr>
            <w:tcW w:w="450" w:type="dxa"/>
            <w:tcBorders>
              <w:bottom w:val="single" w:sz="4" w:space="0" w:color="auto"/>
            </w:tcBorders>
            <w:shd w:val="clear" w:color="auto" w:fill="auto"/>
            <w:vAlign w:val="bottom"/>
          </w:tcPr>
          <w:p w:rsidR="001A63C6" w:rsidRPr="003410C7" w:rsidRDefault="001A63C6" w:rsidP="001A63C6">
            <w:pPr>
              <w:pStyle w:val="TableText"/>
              <w:widowControl w:val="0"/>
              <w:rPr>
                <w:rFonts w:ascii="Tahoma" w:hAnsi="Tahoma" w:cs="Tahoma"/>
                <w:sz w:val="14"/>
                <w:szCs w:val="14"/>
              </w:rPr>
            </w:pPr>
          </w:p>
        </w:tc>
        <w:tc>
          <w:tcPr>
            <w:tcW w:w="450" w:type="dxa"/>
            <w:tcBorders>
              <w:bottom w:val="single" w:sz="4" w:space="0" w:color="auto"/>
            </w:tcBorders>
            <w:shd w:val="clear" w:color="auto" w:fill="auto"/>
            <w:vAlign w:val="bottom"/>
          </w:tcPr>
          <w:p w:rsidR="001A63C6" w:rsidRPr="003410C7" w:rsidRDefault="001A63C6" w:rsidP="001A63C6">
            <w:pPr>
              <w:pStyle w:val="TableText"/>
              <w:widowControl w:val="0"/>
              <w:rPr>
                <w:rFonts w:ascii="Tahoma" w:hAnsi="Tahoma" w:cs="Tahoma"/>
                <w:sz w:val="14"/>
                <w:szCs w:val="14"/>
              </w:rPr>
            </w:pPr>
          </w:p>
        </w:tc>
        <w:tc>
          <w:tcPr>
            <w:tcW w:w="450" w:type="dxa"/>
            <w:tcBorders>
              <w:bottom w:val="single" w:sz="4" w:space="0" w:color="auto"/>
            </w:tcBorders>
            <w:shd w:val="clear" w:color="auto" w:fill="auto"/>
            <w:vAlign w:val="bottom"/>
          </w:tcPr>
          <w:p w:rsidR="001A63C6" w:rsidRPr="003410C7" w:rsidRDefault="001A63C6" w:rsidP="001A63C6">
            <w:pPr>
              <w:pStyle w:val="TableText"/>
              <w:widowControl w:val="0"/>
              <w:rPr>
                <w:rFonts w:ascii="Tahoma" w:hAnsi="Tahoma" w:cs="Tahoma"/>
                <w:sz w:val="14"/>
                <w:szCs w:val="14"/>
              </w:rPr>
            </w:pPr>
          </w:p>
        </w:tc>
        <w:tc>
          <w:tcPr>
            <w:tcW w:w="450" w:type="dxa"/>
            <w:tcBorders>
              <w:bottom w:val="single" w:sz="4" w:space="0" w:color="auto"/>
            </w:tcBorders>
            <w:shd w:val="clear" w:color="auto" w:fill="auto"/>
            <w:vAlign w:val="bottom"/>
          </w:tcPr>
          <w:p w:rsidR="001A63C6" w:rsidRPr="003410C7" w:rsidRDefault="001A63C6" w:rsidP="001A63C6">
            <w:pPr>
              <w:pStyle w:val="TableText"/>
              <w:widowControl w:val="0"/>
              <w:rPr>
                <w:rFonts w:ascii="Tahoma" w:hAnsi="Tahoma" w:cs="Tahoma"/>
                <w:sz w:val="14"/>
                <w:szCs w:val="14"/>
              </w:rPr>
            </w:pPr>
          </w:p>
        </w:tc>
        <w:tc>
          <w:tcPr>
            <w:tcW w:w="450" w:type="dxa"/>
            <w:tcBorders>
              <w:bottom w:val="single" w:sz="4" w:space="0" w:color="auto"/>
            </w:tcBorders>
            <w:shd w:val="clear" w:color="auto" w:fill="auto"/>
            <w:vAlign w:val="bottom"/>
          </w:tcPr>
          <w:p w:rsidR="001A63C6" w:rsidRPr="003410C7" w:rsidRDefault="001A63C6" w:rsidP="001A63C6">
            <w:pPr>
              <w:pStyle w:val="TableText"/>
              <w:widowControl w:val="0"/>
              <w:rPr>
                <w:rFonts w:ascii="Tahoma" w:hAnsi="Tahoma" w:cs="Tahoma"/>
                <w:sz w:val="14"/>
                <w:szCs w:val="14"/>
              </w:rPr>
            </w:pPr>
          </w:p>
        </w:tc>
        <w:tc>
          <w:tcPr>
            <w:tcW w:w="360" w:type="dxa"/>
            <w:tcBorders>
              <w:bottom w:val="single" w:sz="4" w:space="0" w:color="auto"/>
              <w:right w:val="single" w:sz="18" w:space="0" w:color="auto"/>
            </w:tcBorders>
            <w:shd w:val="clear" w:color="auto" w:fill="auto"/>
            <w:vAlign w:val="bottom"/>
          </w:tcPr>
          <w:p w:rsidR="001A63C6" w:rsidRPr="003410C7" w:rsidRDefault="001A63C6" w:rsidP="001A63C6">
            <w:pPr>
              <w:pStyle w:val="TableText"/>
              <w:widowControl w:val="0"/>
              <w:rPr>
                <w:rFonts w:ascii="Tahoma" w:hAnsi="Tahoma" w:cs="Tahoma"/>
                <w:sz w:val="14"/>
                <w:szCs w:val="14"/>
              </w:rPr>
            </w:pPr>
          </w:p>
        </w:tc>
        <w:tc>
          <w:tcPr>
            <w:tcW w:w="450" w:type="dxa"/>
            <w:tcBorders>
              <w:left w:val="single" w:sz="18" w:space="0" w:color="auto"/>
              <w:bottom w:val="single" w:sz="4" w:space="0" w:color="auto"/>
            </w:tcBorders>
            <w:shd w:val="clear" w:color="auto" w:fill="auto"/>
            <w:vAlign w:val="bottom"/>
          </w:tcPr>
          <w:p w:rsidR="001A63C6" w:rsidRPr="003410C7" w:rsidRDefault="001A63C6" w:rsidP="001A63C6">
            <w:pPr>
              <w:pStyle w:val="TableText"/>
              <w:widowControl w:val="0"/>
              <w:rPr>
                <w:rFonts w:ascii="Tahoma" w:hAnsi="Tahoma" w:cs="Tahoma"/>
                <w:sz w:val="14"/>
                <w:szCs w:val="14"/>
              </w:rPr>
            </w:pPr>
          </w:p>
        </w:tc>
        <w:tc>
          <w:tcPr>
            <w:tcW w:w="450" w:type="dxa"/>
            <w:tcBorders>
              <w:bottom w:val="single" w:sz="4" w:space="0" w:color="auto"/>
            </w:tcBorders>
            <w:shd w:val="clear" w:color="auto" w:fill="auto"/>
            <w:vAlign w:val="bottom"/>
          </w:tcPr>
          <w:p w:rsidR="001A63C6" w:rsidRPr="003410C7" w:rsidRDefault="001A63C6" w:rsidP="001A63C6">
            <w:pPr>
              <w:pStyle w:val="TableText"/>
              <w:widowControl w:val="0"/>
              <w:rPr>
                <w:rFonts w:ascii="Tahoma" w:hAnsi="Tahoma" w:cs="Tahoma"/>
                <w:sz w:val="14"/>
                <w:szCs w:val="14"/>
              </w:rPr>
            </w:pPr>
          </w:p>
        </w:tc>
        <w:tc>
          <w:tcPr>
            <w:tcW w:w="450" w:type="dxa"/>
            <w:tcBorders>
              <w:bottom w:val="single" w:sz="4" w:space="0" w:color="auto"/>
              <w:right w:val="single" w:sz="18" w:space="0" w:color="auto"/>
            </w:tcBorders>
            <w:shd w:val="clear" w:color="auto" w:fill="auto"/>
            <w:vAlign w:val="bottom"/>
          </w:tcPr>
          <w:p w:rsidR="001A63C6" w:rsidRPr="003410C7" w:rsidRDefault="001A63C6" w:rsidP="001A63C6">
            <w:pPr>
              <w:pStyle w:val="TableText"/>
              <w:widowControl w:val="0"/>
              <w:rPr>
                <w:rFonts w:ascii="Tahoma" w:hAnsi="Tahoma" w:cs="Tahoma"/>
                <w:sz w:val="14"/>
                <w:szCs w:val="14"/>
              </w:rPr>
            </w:pPr>
          </w:p>
        </w:tc>
        <w:tc>
          <w:tcPr>
            <w:tcW w:w="450" w:type="dxa"/>
            <w:tcBorders>
              <w:left w:val="single" w:sz="18" w:space="0" w:color="auto"/>
              <w:bottom w:val="single" w:sz="4" w:space="0" w:color="auto"/>
            </w:tcBorders>
            <w:shd w:val="clear" w:color="auto" w:fill="auto"/>
            <w:vAlign w:val="center"/>
          </w:tcPr>
          <w:p w:rsidR="001A63C6" w:rsidRPr="003410C7" w:rsidRDefault="001A63C6" w:rsidP="001A63C6">
            <w:pPr>
              <w:pStyle w:val="TableText"/>
              <w:widowControl w:val="0"/>
              <w:rPr>
                <w:rFonts w:ascii="Tahoma" w:hAnsi="Tahoma" w:cs="Tahoma"/>
                <w:sz w:val="13"/>
              </w:rPr>
            </w:pPr>
            <w:r w:rsidRPr="003410C7">
              <w:rPr>
                <w:rFonts w:ascii="Tahoma" w:hAnsi="Tahoma" w:cs="Tahoma"/>
                <w:sz w:val="13"/>
              </w:rPr>
              <w:t>1</w:t>
            </w:r>
          </w:p>
        </w:tc>
        <w:tc>
          <w:tcPr>
            <w:tcW w:w="450" w:type="dxa"/>
            <w:tcBorders>
              <w:bottom w:val="single" w:sz="4" w:space="0" w:color="auto"/>
              <w:right w:val="single" w:sz="18" w:space="0" w:color="auto"/>
            </w:tcBorders>
            <w:shd w:val="clear" w:color="auto" w:fill="auto"/>
            <w:vAlign w:val="center"/>
          </w:tcPr>
          <w:p w:rsidR="001A63C6" w:rsidRPr="003410C7" w:rsidRDefault="001A63C6" w:rsidP="001A63C6">
            <w:pPr>
              <w:pStyle w:val="TableText"/>
              <w:widowControl w:val="0"/>
              <w:rPr>
                <w:rFonts w:ascii="Tahoma" w:hAnsi="Tahoma" w:cs="Tahoma"/>
                <w:sz w:val="13"/>
              </w:rPr>
            </w:pPr>
            <w:r w:rsidRPr="003410C7">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rsidR="001A63C6" w:rsidRPr="003410C7"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tcPr>
          <w:p w:rsidR="001A63C6" w:rsidRPr="003410C7" w:rsidRDefault="001A63C6" w:rsidP="001A63C6">
            <w:pPr>
              <w:pStyle w:val="TableText"/>
              <w:widowControl w:val="0"/>
              <w:spacing w:before="120"/>
              <w:rPr>
                <w:rFonts w:ascii="Tahoma" w:hAnsi="Tahoma" w:cs="Tahoma"/>
                <w:sz w:val="13"/>
              </w:rPr>
            </w:pPr>
          </w:p>
        </w:tc>
        <w:tc>
          <w:tcPr>
            <w:tcW w:w="540" w:type="dxa"/>
            <w:tcBorders>
              <w:bottom w:val="single" w:sz="4" w:space="0" w:color="auto"/>
            </w:tcBorders>
            <w:shd w:val="clear" w:color="auto" w:fill="auto"/>
            <w:vAlign w:val="center"/>
          </w:tcPr>
          <w:p w:rsidR="001A63C6" w:rsidRPr="003410C7" w:rsidRDefault="001A63C6" w:rsidP="001A63C6">
            <w:pPr>
              <w:pStyle w:val="TableText"/>
              <w:widowControl w:val="0"/>
              <w:rPr>
                <w:rFonts w:ascii="Tahoma" w:hAnsi="Tahoma" w:cs="Tahoma"/>
                <w:sz w:val="13"/>
              </w:rPr>
            </w:pPr>
          </w:p>
        </w:tc>
      </w:tr>
      <w:tr w:rsidR="00B33D0E" w:rsidRPr="003410C7" w:rsidTr="006B1F3F">
        <w:trPr>
          <w:trHeight w:val="145"/>
        </w:trPr>
        <w:tc>
          <w:tcPr>
            <w:tcW w:w="2734" w:type="dxa"/>
            <w:gridSpan w:val="2"/>
            <w:tcBorders>
              <w:bottom w:val="single" w:sz="4" w:space="0" w:color="auto"/>
            </w:tcBorders>
            <w:shd w:val="clear" w:color="auto" w:fill="FABF8F"/>
            <w:vAlign w:val="center"/>
          </w:tcPr>
          <w:p w:rsidR="001A63C6" w:rsidRPr="003410C7" w:rsidRDefault="001A63C6" w:rsidP="003410C7">
            <w:pPr>
              <w:pStyle w:val="ProductNames"/>
              <w:spacing w:beforeLines="20" w:before="48" w:afterLines="20" w:after="48"/>
              <w:rPr>
                <w:rFonts w:ascii="Tahoma" w:hAnsi="Tahoma" w:cs="Tahoma"/>
                <w:sz w:val="14"/>
              </w:rPr>
            </w:pPr>
            <w:bookmarkStart w:id="368" w:name="_Toc336338033"/>
            <w:bookmarkStart w:id="369" w:name="_Toc352234643"/>
            <w:r w:rsidRPr="003410C7">
              <w:rPr>
                <w:rFonts w:ascii="Tahoma" w:hAnsi="Tahoma" w:cs="Tahoma"/>
                <w:sz w:val="14"/>
              </w:rPr>
              <w:t xml:space="preserve">Project Server </w:t>
            </w:r>
            <w:bookmarkEnd w:id="368"/>
            <w:r w:rsidRPr="003410C7">
              <w:rPr>
                <w:rFonts w:ascii="Tahoma" w:hAnsi="Tahoma" w:cs="Tahoma"/>
                <w:sz w:val="14"/>
              </w:rPr>
              <w:t>2013</w:t>
            </w:r>
            <w:bookmarkEnd w:id="369"/>
          </w:p>
        </w:tc>
        <w:tc>
          <w:tcPr>
            <w:tcW w:w="450" w:type="dxa"/>
            <w:tcBorders>
              <w:bottom w:val="single" w:sz="4" w:space="0" w:color="auto"/>
            </w:tcBorders>
            <w:shd w:val="clear" w:color="auto" w:fill="FABF8F"/>
            <w:vAlign w:val="center"/>
          </w:tcPr>
          <w:p w:rsidR="001A63C6" w:rsidRPr="009F17FF" w:rsidRDefault="001A63C6" w:rsidP="001A63C6">
            <w:pPr>
              <w:pStyle w:val="TableText"/>
              <w:widowControl w:val="0"/>
              <w:rPr>
                <w:rStyle w:val="EndnoteReference"/>
                <w:color w:val="0000FF"/>
                <w:sz w:val="13"/>
                <w:szCs w:val="13"/>
                <w:u w:val="single"/>
              </w:rPr>
            </w:pPr>
            <w:bookmarkStart w:id="370" w:name="_Hlt336249768"/>
          </w:p>
        </w:tc>
        <w:bookmarkEnd w:id="370"/>
        <w:tc>
          <w:tcPr>
            <w:tcW w:w="450" w:type="dxa"/>
            <w:tcBorders>
              <w:bottom w:val="single" w:sz="4" w:space="0" w:color="auto"/>
            </w:tcBorders>
            <w:shd w:val="clear" w:color="auto" w:fill="FABF8F"/>
          </w:tcPr>
          <w:p w:rsidR="001A63C6" w:rsidRPr="003410C7" w:rsidRDefault="001A63C6" w:rsidP="001A63C6">
            <w:pPr>
              <w:pStyle w:val="TableText"/>
              <w:widowControl w:val="0"/>
              <w:spacing w:before="40"/>
              <w:rPr>
                <w:rFonts w:ascii="Tahoma" w:hAnsi="Tahoma" w:cs="Tahoma"/>
                <w:color w:val="000000"/>
                <w:sz w:val="13"/>
              </w:rPr>
            </w:pPr>
            <w:r w:rsidRPr="003410C7">
              <w:rPr>
                <w:rFonts w:ascii="Tahoma" w:hAnsi="Tahoma" w:cs="Tahoma"/>
                <w:color w:val="000000"/>
                <w:sz w:val="13"/>
              </w:rPr>
              <w:t>10/12</w:t>
            </w:r>
          </w:p>
        </w:tc>
        <w:tc>
          <w:tcPr>
            <w:tcW w:w="360" w:type="dxa"/>
            <w:tcBorders>
              <w:bottom w:val="single" w:sz="4" w:space="0" w:color="auto"/>
              <w:right w:val="single" w:sz="18" w:space="0" w:color="auto"/>
            </w:tcBorders>
            <w:shd w:val="clear" w:color="auto" w:fill="FABF8F"/>
            <w:vAlign w:val="center"/>
          </w:tcPr>
          <w:p w:rsidR="001A63C6" w:rsidRPr="003410C7" w:rsidRDefault="001A63C6" w:rsidP="001A63C6">
            <w:pPr>
              <w:pStyle w:val="TableText"/>
              <w:widowControl w:val="0"/>
              <w:rPr>
                <w:rFonts w:ascii="Tahoma" w:hAnsi="Tahoma" w:cs="Tahoma"/>
                <w:sz w:val="13"/>
              </w:rPr>
            </w:pPr>
            <w:r w:rsidRPr="003410C7">
              <w:rPr>
                <w:rFonts w:ascii="Tahoma" w:hAnsi="Tahoma" w:cs="Tahoma"/>
                <w:sz w:val="13"/>
              </w:rPr>
              <w:t>SRV</w:t>
            </w:r>
          </w:p>
        </w:tc>
        <w:tc>
          <w:tcPr>
            <w:tcW w:w="360" w:type="dxa"/>
            <w:tcBorders>
              <w:left w:val="single" w:sz="18" w:space="0" w:color="auto"/>
              <w:bottom w:val="single" w:sz="4" w:space="0" w:color="auto"/>
            </w:tcBorders>
            <w:shd w:val="clear" w:color="auto" w:fill="FABF8F"/>
            <w:vAlign w:val="center"/>
          </w:tcPr>
          <w:p w:rsidR="001A63C6" w:rsidRPr="003410C7" w:rsidRDefault="001A63C6" w:rsidP="002A6E97">
            <w:pPr>
              <w:pStyle w:val="TableText"/>
              <w:widowControl w:val="0"/>
              <w:rPr>
                <w:rFonts w:ascii="Tahoma" w:hAnsi="Tahoma" w:cs="Tahoma"/>
                <w:sz w:val="14"/>
                <w:szCs w:val="14"/>
              </w:rPr>
            </w:pPr>
            <w:r w:rsidRPr="003410C7">
              <w:rPr>
                <w:rFonts w:ascii="Tahoma" w:hAnsi="Tahoma" w:cs="Tahoma"/>
                <w:sz w:val="14"/>
                <w:szCs w:val="14"/>
              </w:rPr>
              <w:t>50</w:t>
            </w:r>
          </w:p>
        </w:tc>
        <w:tc>
          <w:tcPr>
            <w:tcW w:w="450" w:type="dxa"/>
            <w:tcBorders>
              <w:bottom w:val="single" w:sz="4" w:space="0" w:color="auto"/>
            </w:tcBorders>
            <w:shd w:val="clear" w:color="auto" w:fill="FABF8F"/>
            <w:vAlign w:val="center"/>
          </w:tcPr>
          <w:p w:rsidR="001A63C6" w:rsidRPr="003410C7" w:rsidRDefault="001A63C6" w:rsidP="002A6E97">
            <w:pPr>
              <w:pStyle w:val="TableText"/>
              <w:widowControl w:val="0"/>
              <w:rPr>
                <w:rFonts w:ascii="Tahoma" w:hAnsi="Tahoma" w:cs="Tahoma"/>
                <w:sz w:val="14"/>
                <w:szCs w:val="14"/>
              </w:rPr>
            </w:pPr>
            <w:r w:rsidRPr="003410C7">
              <w:rPr>
                <w:rFonts w:ascii="Tahoma" w:hAnsi="Tahoma" w:cs="Tahoma"/>
                <w:sz w:val="14"/>
                <w:szCs w:val="14"/>
              </w:rPr>
              <w:t>125</w:t>
            </w:r>
          </w:p>
        </w:tc>
        <w:tc>
          <w:tcPr>
            <w:tcW w:w="450" w:type="dxa"/>
            <w:tcBorders>
              <w:bottom w:val="single" w:sz="4" w:space="0" w:color="auto"/>
            </w:tcBorders>
            <w:shd w:val="clear" w:color="auto" w:fill="FABF8F"/>
            <w:vAlign w:val="center"/>
          </w:tcPr>
          <w:p w:rsidR="001A63C6" w:rsidRPr="003410C7" w:rsidRDefault="001A63C6" w:rsidP="00D02D7A">
            <w:pPr>
              <w:pStyle w:val="TableText"/>
              <w:widowControl w:val="0"/>
              <w:rPr>
                <w:rFonts w:ascii="Tahoma" w:hAnsi="Tahoma" w:cs="Tahoma"/>
                <w:sz w:val="14"/>
                <w:szCs w:val="14"/>
              </w:rPr>
            </w:pPr>
            <w:r w:rsidRPr="003410C7">
              <w:rPr>
                <w:rFonts w:ascii="Tahoma" w:hAnsi="Tahoma" w:cs="Tahoma"/>
                <w:sz w:val="14"/>
                <w:szCs w:val="14"/>
              </w:rPr>
              <w:t>100</w:t>
            </w:r>
          </w:p>
        </w:tc>
        <w:tc>
          <w:tcPr>
            <w:tcW w:w="450" w:type="dxa"/>
            <w:tcBorders>
              <w:bottom w:val="single" w:sz="4" w:space="0" w:color="auto"/>
            </w:tcBorders>
            <w:shd w:val="clear" w:color="auto" w:fill="FABF8F"/>
            <w:vAlign w:val="center"/>
          </w:tcPr>
          <w:p w:rsidR="001A63C6" w:rsidRPr="003410C7" w:rsidRDefault="001A63C6" w:rsidP="00D02D7A">
            <w:pPr>
              <w:pStyle w:val="TableText"/>
              <w:widowControl w:val="0"/>
              <w:rPr>
                <w:rFonts w:ascii="Tahoma" w:hAnsi="Tahoma" w:cs="Tahoma"/>
                <w:sz w:val="14"/>
                <w:szCs w:val="14"/>
              </w:rPr>
            </w:pPr>
            <w:r w:rsidRPr="003410C7">
              <w:rPr>
                <w:rFonts w:ascii="Tahoma" w:hAnsi="Tahoma" w:cs="Tahoma"/>
                <w:sz w:val="14"/>
                <w:szCs w:val="14"/>
              </w:rPr>
              <w:t>75</w:t>
            </w:r>
          </w:p>
        </w:tc>
        <w:tc>
          <w:tcPr>
            <w:tcW w:w="450" w:type="dxa"/>
            <w:tcBorders>
              <w:bottom w:val="single" w:sz="4" w:space="0" w:color="auto"/>
            </w:tcBorders>
            <w:shd w:val="clear" w:color="auto" w:fill="FABF8F"/>
            <w:vAlign w:val="center"/>
          </w:tcPr>
          <w:p w:rsidR="001A63C6" w:rsidRPr="003410C7" w:rsidRDefault="001A63C6" w:rsidP="00242B11">
            <w:pPr>
              <w:pStyle w:val="TableText"/>
              <w:widowControl w:val="0"/>
              <w:rPr>
                <w:rFonts w:ascii="Tahoma" w:hAnsi="Tahoma" w:cs="Tahoma"/>
                <w:sz w:val="14"/>
                <w:szCs w:val="14"/>
              </w:rPr>
            </w:pPr>
            <w:r w:rsidRPr="003410C7">
              <w:rPr>
                <w:rFonts w:ascii="Tahoma" w:hAnsi="Tahoma" w:cs="Tahoma"/>
                <w:sz w:val="14"/>
                <w:szCs w:val="14"/>
              </w:rPr>
              <w:t>75</w:t>
            </w:r>
          </w:p>
        </w:tc>
        <w:tc>
          <w:tcPr>
            <w:tcW w:w="450" w:type="dxa"/>
            <w:tcBorders>
              <w:bottom w:val="single" w:sz="4" w:space="0" w:color="auto"/>
            </w:tcBorders>
            <w:shd w:val="clear" w:color="auto" w:fill="FABF8F"/>
            <w:vAlign w:val="center"/>
          </w:tcPr>
          <w:p w:rsidR="001A63C6" w:rsidRPr="003410C7" w:rsidRDefault="001A63C6" w:rsidP="00242B11">
            <w:pPr>
              <w:pStyle w:val="TableText"/>
              <w:widowControl w:val="0"/>
              <w:rPr>
                <w:rFonts w:ascii="Tahoma" w:hAnsi="Tahoma" w:cs="Tahoma"/>
                <w:sz w:val="14"/>
                <w:szCs w:val="14"/>
              </w:rPr>
            </w:pPr>
            <w:r w:rsidRPr="003410C7">
              <w:rPr>
                <w:rFonts w:ascii="Tahoma" w:hAnsi="Tahoma" w:cs="Tahoma"/>
                <w:sz w:val="14"/>
                <w:szCs w:val="14"/>
              </w:rPr>
              <w:t>50</w:t>
            </w:r>
          </w:p>
        </w:tc>
        <w:tc>
          <w:tcPr>
            <w:tcW w:w="360" w:type="dxa"/>
            <w:tcBorders>
              <w:bottom w:val="single" w:sz="4" w:space="0" w:color="auto"/>
              <w:right w:val="single" w:sz="18" w:space="0" w:color="auto"/>
            </w:tcBorders>
            <w:shd w:val="clear" w:color="auto" w:fill="FABF8F"/>
            <w:vAlign w:val="center"/>
          </w:tcPr>
          <w:p w:rsidR="001A63C6" w:rsidRPr="003410C7" w:rsidRDefault="001A63C6" w:rsidP="00EA31A6">
            <w:pPr>
              <w:pStyle w:val="TableText"/>
              <w:widowControl w:val="0"/>
              <w:rPr>
                <w:rFonts w:ascii="Tahoma" w:hAnsi="Tahoma" w:cs="Tahoma"/>
                <w:sz w:val="14"/>
                <w:szCs w:val="14"/>
              </w:rPr>
            </w:pPr>
            <w:r w:rsidRPr="003410C7">
              <w:rPr>
                <w:rFonts w:ascii="Tahoma" w:hAnsi="Tahoma" w:cs="Tahoma"/>
                <w:sz w:val="14"/>
                <w:szCs w:val="14"/>
              </w:rPr>
              <w:t>25</w:t>
            </w:r>
          </w:p>
        </w:tc>
        <w:tc>
          <w:tcPr>
            <w:tcW w:w="450" w:type="dxa"/>
            <w:tcBorders>
              <w:left w:val="single" w:sz="18" w:space="0" w:color="auto"/>
              <w:bottom w:val="single" w:sz="4" w:space="0" w:color="auto"/>
            </w:tcBorders>
            <w:shd w:val="clear" w:color="auto" w:fill="FABF8F"/>
            <w:vAlign w:val="center"/>
          </w:tcPr>
          <w:p w:rsidR="001A63C6" w:rsidRPr="003410C7" w:rsidRDefault="001A63C6" w:rsidP="00EA31A6">
            <w:pPr>
              <w:pStyle w:val="TableText"/>
              <w:widowControl w:val="0"/>
              <w:rPr>
                <w:rFonts w:ascii="Tahoma" w:hAnsi="Tahoma" w:cs="Tahoma"/>
                <w:sz w:val="14"/>
                <w:szCs w:val="14"/>
              </w:rPr>
            </w:pPr>
            <w:r w:rsidRPr="003410C7">
              <w:rPr>
                <w:rFonts w:ascii="Tahoma" w:hAnsi="Tahoma" w:cs="Tahoma"/>
                <w:sz w:val="14"/>
                <w:szCs w:val="14"/>
              </w:rPr>
              <w:t>50</w:t>
            </w:r>
          </w:p>
        </w:tc>
        <w:tc>
          <w:tcPr>
            <w:tcW w:w="450" w:type="dxa"/>
            <w:tcBorders>
              <w:bottom w:val="single" w:sz="4" w:space="0" w:color="auto"/>
            </w:tcBorders>
            <w:shd w:val="clear" w:color="auto" w:fill="FABF8F"/>
            <w:vAlign w:val="center"/>
          </w:tcPr>
          <w:p w:rsidR="001A63C6" w:rsidRPr="003410C7" w:rsidRDefault="001A63C6" w:rsidP="00EA31A6">
            <w:pPr>
              <w:pStyle w:val="TableText"/>
              <w:widowControl w:val="0"/>
              <w:rPr>
                <w:rFonts w:ascii="Tahoma" w:hAnsi="Tahoma" w:cs="Tahoma"/>
                <w:sz w:val="14"/>
                <w:szCs w:val="14"/>
              </w:rPr>
            </w:pPr>
            <w:r w:rsidRPr="003410C7">
              <w:rPr>
                <w:rFonts w:ascii="Tahoma" w:hAnsi="Tahoma" w:cs="Tahoma"/>
                <w:sz w:val="14"/>
                <w:szCs w:val="14"/>
              </w:rPr>
              <w:t>100</w:t>
            </w:r>
          </w:p>
        </w:tc>
        <w:tc>
          <w:tcPr>
            <w:tcW w:w="450" w:type="dxa"/>
            <w:tcBorders>
              <w:bottom w:val="single" w:sz="4" w:space="0" w:color="auto"/>
              <w:right w:val="single" w:sz="18" w:space="0" w:color="auto"/>
            </w:tcBorders>
            <w:shd w:val="clear" w:color="auto" w:fill="FABF8F"/>
            <w:vAlign w:val="center"/>
          </w:tcPr>
          <w:p w:rsidR="001A63C6" w:rsidRPr="003410C7" w:rsidRDefault="001A63C6" w:rsidP="00EA31A6">
            <w:pPr>
              <w:pStyle w:val="TableText"/>
              <w:widowControl w:val="0"/>
              <w:rPr>
                <w:rFonts w:ascii="Tahoma" w:hAnsi="Tahoma" w:cs="Tahoma"/>
                <w:sz w:val="14"/>
                <w:szCs w:val="14"/>
              </w:rPr>
            </w:pPr>
            <w:r w:rsidRPr="003410C7">
              <w:rPr>
                <w:rFonts w:ascii="Tahoma" w:hAnsi="Tahoma" w:cs="Tahoma"/>
                <w:sz w:val="14"/>
                <w:szCs w:val="14"/>
              </w:rPr>
              <w:t>50</w:t>
            </w:r>
          </w:p>
        </w:tc>
        <w:tc>
          <w:tcPr>
            <w:tcW w:w="450" w:type="dxa"/>
            <w:tcBorders>
              <w:left w:val="single" w:sz="18" w:space="0" w:color="auto"/>
              <w:bottom w:val="single" w:sz="4" w:space="0" w:color="auto"/>
            </w:tcBorders>
            <w:shd w:val="clear" w:color="auto" w:fill="FABF8F"/>
            <w:vAlign w:val="center"/>
          </w:tcPr>
          <w:p w:rsidR="001A63C6" w:rsidRPr="003410C7" w:rsidRDefault="001A63C6" w:rsidP="003537B9">
            <w:pPr>
              <w:pStyle w:val="TableText"/>
              <w:widowControl w:val="0"/>
              <w:rPr>
                <w:rFonts w:ascii="Tahoma" w:hAnsi="Tahoma" w:cs="Tahoma"/>
                <w:sz w:val="13"/>
              </w:rPr>
            </w:pPr>
            <w:r w:rsidRPr="003410C7">
              <w:rPr>
                <w:rFonts w:ascii="Tahoma" w:hAnsi="Tahoma" w:cs="Tahoma"/>
                <w:sz w:val="13"/>
              </w:rPr>
              <w:t>50</w:t>
            </w:r>
          </w:p>
        </w:tc>
        <w:tc>
          <w:tcPr>
            <w:tcW w:w="450" w:type="dxa"/>
            <w:tcBorders>
              <w:bottom w:val="single" w:sz="4" w:space="0" w:color="auto"/>
              <w:right w:val="single" w:sz="18" w:space="0" w:color="auto"/>
            </w:tcBorders>
            <w:shd w:val="clear" w:color="auto" w:fill="FABF8F"/>
            <w:vAlign w:val="center"/>
          </w:tcPr>
          <w:p w:rsidR="001A63C6" w:rsidRPr="003410C7" w:rsidRDefault="001A63C6" w:rsidP="003537B9">
            <w:pPr>
              <w:pStyle w:val="TableText"/>
              <w:widowControl w:val="0"/>
              <w:rPr>
                <w:rFonts w:ascii="Tahoma" w:hAnsi="Tahoma" w:cs="Tahoma"/>
                <w:sz w:val="13"/>
              </w:rPr>
            </w:pPr>
            <w:r w:rsidRPr="003410C7">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3410C7" w:rsidRDefault="001A63C6" w:rsidP="003537B9">
            <w:pPr>
              <w:pStyle w:val="TableText"/>
              <w:widowControl w:val="0"/>
              <w:rPr>
                <w:rFonts w:ascii="Tahoma" w:hAnsi="Tahoma" w:cs="Tahoma"/>
                <w:sz w:val="13"/>
              </w:rPr>
            </w:pPr>
            <w:r w:rsidRPr="003410C7">
              <w:rPr>
                <w:rFonts w:ascii="Tahoma" w:hAnsi="Tahoma" w:cs="Tahoma"/>
                <w:sz w:val="13"/>
              </w:rPr>
              <w:t>P</w:t>
            </w:r>
          </w:p>
        </w:tc>
        <w:tc>
          <w:tcPr>
            <w:tcW w:w="450" w:type="dxa"/>
            <w:tcBorders>
              <w:bottom w:val="single" w:sz="4" w:space="0" w:color="auto"/>
            </w:tcBorders>
            <w:shd w:val="clear" w:color="auto" w:fill="FABF8F"/>
            <w:vAlign w:val="center"/>
          </w:tcPr>
          <w:p w:rsidR="001A63C6" w:rsidRPr="003410C7" w:rsidRDefault="001A63C6" w:rsidP="003537B9">
            <w:pPr>
              <w:pStyle w:val="TableText"/>
              <w:widowControl w:val="0"/>
              <w:spacing w:before="120"/>
              <w:rPr>
                <w:rFonts w:ascii="Tahoma" w:hAnsi="Tahoma" w:cs="Tahoma"/>
                <w:sz w:val="13"/>
              </w:rPr>
            </w:pPr>
            <w:r w:rsidRPr="003410C7">
              <w:rPr>
                <w:rFonts w:ascii="Tahoma" w:hAnsi="Tahoma" w:cs="Tahoma"/>
                <w:sz w:val="13"/>
              </w:rPr>
              <w:t>A</w:t>
            </w:r>
          </w:p>
        </w:tc>
        <w:tc>
          <w:tcPr>
            <w:tcW w:w="540" w:type="dxa"/>
            <w:tcBorders>
              <w:bottom w:val="single" w:sz="4" w:space="0" w:color="auto"/>
            </w:tcBorders>
            <w:shd w:val="clear" w:color="auto" w:fill="FABF8F"/>
            <w:vAlign w:val="center"/>
          </w:tcPr>
          <w:p w:rsidR="001A63C6" w:rsidRPr="003410C7" w:rsidRDefault="001A63C6" w:rsidP="00C778DB">
            <w:pPr>
              <w:pStyle w:val="TableText"/>
              <w:widowControl w:val="0"/>
              <w:rPr>
                <w:rFonts w:ascii="Tahoma" w:hAnsi="Tahoma" w:cs="Tahoma"/>
                <w:sz w:val="13"/>
              </w:rPr>
            </w:pPr>
          </w:p>
        </w:tc>
      </w:tr>
      <w:tr w:rsidR="001A63C6" w:rsidRPr="003410C7" w:rsidTr="007E466C">
        <w:trPr>
          <w:trHeight w:val="145"/>
        </w:trPr>
        <w:tc>
          <w:tcPr>
            <w:tcW w:w="2734" w:type="dxa"/>
            <w:gridSpan w:val="2"/>
            <w:tcBorders>
              <w:bottom w:val="single" w:sz="4" w:space="0" w:color="auto"/>
            </w:tcBorders>
            <w:shd w:val="clear" w:color="auto" w:fill="auto"/>
            <w:vAlign w:val="center"/>
          </w:tcPr>
          <w:p w:rsidR="001A63C6" w:rsidRPr="003410C7" w:rsidRDefault="001A63C6" w:rsidP="003410C7">
            <w:pPr>
              <w:pStyle w:val="ProductNames"/>
              <w:spacing w:beforeLines="20" w:before="48" w:afterLines="20" w:after="48"/>
              <w:rPr>
                <w:rFonts w:ascii="Tahoma" w:hAnsi="Tahoma" w:cs="Tahoma"/>
                <w:sz w:val="14"/>
              </w:rPr>
            </w:pPr>
            <w:bookmarkStart w:id="371" w:name="_Toc336338034"/>
            <w:bookmarkStart w:id="372" w:name="_Toc352234644"/>
            <w:r w:rsidRPr="003410C7">
              <w:rPr>
                <w:rFonts w:ascii="Tahoma" w:hAnsi="Tahoma" w:cs="Tahoma"/>
                <w:sz w:val="14"/>
              </w:rPr>
              <w:t>CAL per Project Server</w:t>
            </w:r>
            <w:bookmarkEnd w:id="371"/>
            <w:r w:rsidRPr="003410C7">
              <w:rPr>
                <w:rFonts w:ascii="Tahoma" w:hAnsi="Tahoma" w:cs="Tahoma"/>
                <w:sz w:val="14"/>
              </w:rPr>
              <w:t xml:space="preserve"> 2013</w:t>
            </w:r>
            <w:bookmarkEnd w:id="372"/>
            <w:r w:rsidRPr="003410C7">
              <w:rPr>
                <w:rFonts w:ascii="Tahoma" w:hAnsi="Tahoma" w:cs="Tahoma"/>
                <w:sz w:val="14"/>
              </w:rPr>
              <w:t xml:space="preserve"> </w:t>
            </w:r>
          </w:p>
        </w:tc>
        <w:tc>
          <w:tcPr>
            <w:tcW w:w="450" w:type="dxa"/>
            <w:tcBorders>
              <w:bottom w:val="single" w:sz="4" w:space="0" w:color="auto"/>
            </w:tcBorders>
            <w:shd w:val="clear" w:color="auto" w:fill="auto"/>
            <w:vAlign w:val="center"/>
          </w:tcPr>
          <w:p w:rsidR="001A63C6" w:rsidRPr="009F17FF" w:rsidRDefault="001A63C6" w:rsidP="001A63C6">
            <w:pPr>
              <w:pStyle w:val="TableText"/>
              <w:widowControl w:val="0"/>
              <w:rPr>
                <w:rStyle w:val="EndnoteReference"/>
                <w:rFonts w:cs="Tahoma"/>
                <w:color w:val="000000"/>
                <w:sz w:val="13"/>
                <w:szCs w:val="13"/>
                <w:u w:val="single"/>
              </w:rPr>
            </w:pPr>
          </w:p>
        </w:tc>
        <w:tc>
          <w:tcPr>
            <w:tcW w:w="450" w:type="dxa"/>
            <w:tcBorders>
              <w:bottom w:val="single" w:sz="4" w:space="0" w:color="auto"/>
            </w:tcBorders>
            <w:shd w:val="clear" w:color="auto" w:fill="auto"/>
            <w:vAlign w:val="center"/>
          </w:tcPr>
          <w:p w:rsidR="001A63C6" w:rsidRPr="003410C7" w:rsidRDefault="001A63C6" w:rsidP="001A63C6">
            <w:pPr>
              <w:pStyle w:val="TableText"/>
              <w:widowControl w:val="0"/>
              <w:spacing w:before="80"/>
              <w:rPr>
                <w:rFonts w:ascii="Tahoma" w:hAnsi="Tahoma" w:cs="Tahoma"/>
                <w:sz w:val="13"/>
              </w:rPr>
            </w:pPr>
            <w:r w:rsidRPr="003410C7">
              <w:rPr>
                <w:rFonts w:ascii="Tahoma" w:hAnsi="Tahoma" w:cs="Tahoma"/>
                <w:sz w:val="14"/>
                <w:szCs w:val="14"/>
              </w:rPr>
              <w:t>10/12</w:t>
            </w:r>
          </w:p>
        </w:tc>
        <w:tc>
          <w:tcPr>
            <w:tcW w:w="360" w:type="dxa"/>
            <w:tcBorders>
              <w:bottom w:val="single" w:sz="4" w:space="0" w:color="auto"/>
              <w:right w:val="single" w:sz="18" w:space="0" w:color="auto"/>
            </w:tcBorders>
            <w:shd w:val="clear" w:color="auto" w:fill="auto"/>
            <w:vAlign w:val="center"/>
          </w:tcPr>
          <w:p w:rsidR="001A63C6" w:rsidRPr="003410C7" w:rsidRDefault="001A63C6" w:rsidP="001A63C6">
            <w:pPr>
              <w:pStyle w:val="TableText"/>
              <w:widowControl w:val="0"/>
              <w:rPr>
                <w:rFonts w:ascii="Tahoma" w:hAnsi="Tahoma" w:cs="Tahoma"/>
                <w:sz w:val="13"/>
              </w:rPr>
            </w:pPr>
            <w:r w:rsidRPr="003410C7">
              <w:rPr>
                <w:rFonts w:ascii="Tahoma" w:hAnsi="Tahoma" w:cs="Tahoma"/>
                <w:sz w:val="13"/>
              </w:rPr>
              <w:t>SRV</w:t>
            </w:r>
          </w:p>
        </w:tc>
        <w:tc>
          <w:tcPr>
            <w:tcW w:w="360" w:type="dxa"/>
            <w:tcBorders>
              <w:left w:val="single" w:sz="18" w:space="0" w:color="auto"/>
              <w:bottom w:val="single" w:sz="4" w:space="0" w:color="auto"/>
            </w:tcBorders>
            <w:shd w:val="clear" w:color="auto" w:fill="auto"/>
            <w:vAlign w:val="center"/>
          </w:tcPr>
          <w:p w:rsidR="001A63C6" w:rsidRPr="003410C7" w:rsidRDefault="001A63C6" w:rsidP="001A63C6">
            <w:pPr>
              <w:pStyle w:val="TableText"/>
              <w:widowControl w:val="0"/>
              <w:rPr>
                <w:rFonts w:ascii="Tahoma" w:hAnsi="Tahoma" w:cs="Tahoma"/>
                <w:sz w:val="13"/>
              </w:rPr>
            </w:pPr>
            <w:r w:rsidRPr="003410C7">
              <w:rPr>
                <w:rFonts w:ascii="Tahoma" w:hAnsi="Tahoma" w:cs="Tahoma"/>
                <w:sz w:val="13"/>
              </w:rPr>
              <w:t>1</w:t>
            </w:r>
          </w:p>
        </w:tc>
        <w:tc>
          <w:tcPr>
            <w:tcW w:w="450" w:type="dxa"/>
            <w:tcBorders>
              <w:bottom w:val="single" w:sz="4" w:space="0" w:color="auto"/>
            </w:tcBorders>
            <w:shd w:val="clear" w:color="auto" w:fill="auto"/>
            <w:vAlign w:val="center"/>
          </w:tcPr>
          <w:p w:rsidR="001A63C6" w:rsidRPr="003410C7" w:rsidRDefault="001A63C6" w:rsidP="001A63C6">
            <w:pPr>
              <w:pStyle w:val="TableText"/>
              <w:widowControl w:val="0"/>
              <w:rPr>
                <w:rFonts w:ascii="Tahoma" w:hAnsi="Tahoma" w:cs="Tahoma"/>
                <w:sz w:val="13"/>
              </w:rPr>
            </w:pPr>
            <w:r w:rsidRPr="003410C7">
              <w:rPr>
                <w:rFonts w:ascii="Tahoma" w:hAnsi="Tahoma" w:cs="Tahoma"/>
                <w:sz w:val="13"/>
              </w:rPr>
              <w:t>3</w:t>
            </w:r>
          </w:p>
        </w:tc>
        <w:tc>
          <w:tcPr>
            <w:tcW w:w="450" w:type="dxa"/>
            <w:tcBorders>
              <w:bottom w:val="single" w:sz="4" w:space="0" w:color="auto"/>
            </w:tcBorders>
            <w:shd w:val="clear" w:color="auto" w:fill="auto"/>
            <w:vAlign w:val="center"/>
          </w:tcPr>
          <w:p w:rsidR="001A63C6" w:rsidRPr="003410C7" w:rsidRDefault="001A63C6" w:rsidP="001A63C6">
            <w:pPr>
              <w:pStyle w:val="TableText"/>
              <w:widowControl w:val="0"/>
              <w:rPr>
                <w:rFonts w:ascii="Tahoma" w:hAnsi="Tahoma" w:cs="Tahoma"/>
                <w:sz w:val="13"/>
              </w:rPr>
            </w:pPr>
            <w:r w:rsidRPr="003410C7">
              <w:rPr>
                <w:rFonts w:ascii="Tahoma" w:hAnsi="Tahoma" w:cs="Tahoma"/>
                <w:sz w:val="13"/>
              </w:rPr>
              <w:t>2</w:t>
            </w:r>
          </w:p>
        </w:tc>
        <w:tc>
          <w:tcPr>
            <w:tcW w:w="450" w:type="dxa"/>
            <w:tcBorders>
              <w:bottom w:val="single" w:sz="4" w:space="0" w:color="auto"/>
            </w:tcBorders>
            <w:shd w:val="clear" w:color="auto" w:fill="auto"/>
            <w:vAlign w:val="center"/>
          </w:tcPr>
          <w:p w:rsidR="001A63C6" w:rsidRPr="003410C7" w:rsidRDefault="001A63C6" w:rsidP="001A63C6">
            <w:pPr>
              <w:pStyle w:val="TableText"/>
              <w:widowControl w:val="0"/>
              <w:rPr>
                <w:rFonts w:ascii="Tahoma" w:hAnsi="Tahoma" w:cs="Tahoma"/>
                <w:sz w:val="13"/>
              </w:rPr>
            </w:pPr>
            <w:r w:rsidRPr="003410C7">
              <w:rPr>
                <w:rFonts w:ascii="Tahoma" w:hAnsi="Tahoma" w:cs="Tahoma"/>
                <w:sz w:val="13"/>
              </w:rPr>
              <w:t>2</w:t>
            </w:r>
          </w:p>
        </w:tc>
        <w:tc>
          <w:tcPr>
            <w:tcW w:w="450" w:type="dxa"/>
            <w:tcBorders>
              <w:bottom w:val="single" w:sz="4" w:space="0" w:color="auto"/>
            </w:tcBorders>
            <w:shd w:val="clear" w:color="auto" w:fill="auto"/>
            <w:vAlign w:val="center"/>
          </w:tcPr>
          <w:p w:rsidR="001A63C6" w:rsidRPr="003410C7" w:rsidRDefault="001A63C6" w:rsidP="001A63C6">
            <w:pPr>
              <w:pStyle w:val="TableText"/>
              <w:widowControl w:val="0"/>
              <w:rPr>
                <w:rFonts w:ascii="Tahoma" w:hAnsi="Tahoma" w:cs="Tahoma"/>
                <w:sz w:val="13"/>
              </w:rPr>
            </w:pPr>
            <w:r w:rsidRPr="003410C7">
              <w:rPr>
                <w:rFonts w:ascii="Tahoma" w:hAnsi="Tahoma" w:cs="Tahoma"/>
                <w:sz w:val="13"/>
              </w:rPr>
              <w:t>2</w:t>
            </w:r>
          </w:p>
        </w:tc>
        <w:tc>
          <w:tcPr>
            <w:tcW w:w="450" w:type="dxa"/>
            <w:tcBorders>
              <w:bottom w:val="single" w:sz="4" w:space="0" w:color="auto"/>
            </w:tcBorders>
            <w:shd w:val="clear" w:color="auto" w:fill="auto"/>
            <w:vAlign w:val="center"/>
          </w:tcPr>
          <w:p w:rsidR="001A63C6" w:rsidRPr="003410C7" w:rsidRDefault="001A63C6" w:rsidP="001A63C6">
            <w:pPr>
              <w:pStyle w:val="TableText"/>
              <w:widowControl w:val="0"/>
              <w:rPr>
                <w:rFonts w:ascii="Tahoma" w:hAnsi="Tahoma" w:cs="Tahoma"/>
                <w:sz w:val="13"/>
              </w:rPr>
            </w:pPr>
            <w:r w:rsidRPr="003410C7">
              <w:rPr>
                <w:rFonts w:ascii="Tahoma" w:hAnsi="Tahoma" w:cs="Tahoma"/>
                <w:sz w:val="13"/>
              </w:rPr>
              <w:t>1</w:t>
            </w:r>
          </w:p>
        </w:tc>
        <w:tc>
          <w:tcPr>
            <w:tcW w:w="360" w:type="dxa"/>
            <w:tcBorders>
              <w:bottom w:val="single" w:sz="4" w:space="0" w:color="auto"/>
              <w:right w:val="single" w:sz="18" w:space="0" w:color="auto"/>
            </w:tcBorders>
            <w:shd w:val="clear" w:color="auto" w:fill="auto"/>
            <w:vAlign w:val="center"/>
          </w:tcPr>
          <w:p w:rsidR="001A63C6" w:rsidRPr="003410C7" w:rsidRDefault="001A63C6" w:rsidP="001A63C6">
            <w:pPr>
              <w:pStyle w:val="TableText"/>
              <w:widowControl w:val="0"/>
              <w:rPr>
                <w:rFonts w:ascii="Tahoma" w:hAnsi="Tahoma" w:cs="Tahoma"/>
                <w:sz w:val="13"/>
              </w:rPr>
            </w:pPr>
            <w:r w:rsidRPr="003410C7">
              <w:rPr>
                <w:rFonts w:ascii="Tahoma" w:hAnsi="Tahoma" w:cs="Tahoma"/>
                <w:sz w:val="13"/>
              </w:rPr>
              <w:t>1</w:t>
            </w:r>
          </w:p>
        </w:tc>
        <w:tc>
          <w:tcPr>
            <w:tcW w:w="450" w:type="dxa"/>
            <w:tcBorders>
              <w:left w:val="single" w:sz="18" w:space="0" w:color="auto"/>
              <w:bottom w:val="single" w:sz="4" w:space="0" w:color="auto"/>
            </w:tcBorders>
            <w:shd w:val="clear" w:color="auto" w:fill="auto"/>
            <w:vAlign w:val="center"/>
          </w:tcPr>
          <w:p w:rsidR="001A63C6" w:rsidRPr="003410C7" w:rsidRDefault="001A63C6" w:rsidP="001A63C6">
            <w:pPr>
              <w:pStyle w:val="TableText"/>
              <w:widowControl w:val="0"/>
              <w:rPr>
                <w:rFonts w:ascii="Tahoma" w:hAnsi="Tahoma" w:cs="Tahoma"/>
                <w:sz w:val="13"/>
              </w:rPr>
            </w:pPr>
            <w:r w:rsidRPr="003410C7">
              <w:rPr>
                <w:rFonts w:ascii="Tahoma" w:hAnsi="Tahoma" w:cs="Tahoma"/>
                <w:sz w:val="13"/>
              </w:rPr>
              <w:t>1</w:t>
            </w:r>
          </w:p>
        </w:tc>
        <w:tc>
          <w:tcPr>
            <w:tcW w:w="450" w:type="dxa"/>
            <w:tcBorders>
              <w:bottom w:val="single" w:sz="4" w:space="0" w:color="auto"/>
            </w:tcBorders>
            <w:shd w:val="clear" w:color="auto" w:fill="auto"/>
            <w:vAlign w:val="center"/>
          </w:tcPr>
          <w:p w:rsidR="001A63C6" w:rsidRPr="003410C7" w:rsidRDefault="001A63C6" w:rsidP="001A63C6">
            <w:pPr>
              <w:pStyle w:val="TableText"/>
              <w:widowControl w:val="0"/>
              <w:rPr>
                <w:rFonts w:ascii="Tahoma" w:hAnsi="Tahoma" w:cs="Tahoma"/>
                <w:sz w:val="13"/>
              </w:rPr>
            </w:pPr>
            <w:r w:rsidRPr="003410C7">
              <w:rPr>
                <w:rFonts w:ascii="Tahoma" w:hAnsi="Tahoma" w:cs="Tahoma"/>
                <w:sz w:val="13"/>
              </w:rPr>
              <w:t>2</w:t>
            </w:r>
          </w:p>
        </w:tc>
        <w:tc>
          <w:tcPr>
            <w:tcW w:w="450" w:type="dxa"/>
            <w:tcBorders>
              <w:bottom w:val="single" w:sz="4" w:space="0" w:color="auto"/>
              <w:right w:val="single" w:sz="18" w:space="0" w:color="auto"/>
            </w:tcBorders>
            <w:shd w:val="clear" w:color="auto" w:fill="auto"/>
            <w:vAlign w:val="center"/>
          </w:tcPr>
          <w:p w:rsidR="001A63C6" w:rsidRPr="003410C7" w:rsidRDefault="001A63C6" w:rsidP="001A63C6">
            <w:pPr>
              <w:pStyle w:val="TableText"/>
              <w:widowControl w:val="0"/>
              <w:rPr>
                <w:rFonts w:ascii="Tahoma" w:hAnsi="Tahoma" w:cs="Tahoma"/>
                <w:sz w:val="13"/>
              </w:rPr>
            </w:pPr>
            <w:r w:rsidRPr="003410C7">
              <w:rPr>
                <w:rFonts w:ascii="Tahoma" w:hAnsi="Tahoma" w:cs="Tahoma"/>
                <w:sz w:val="13"/>
              </w:rPr>
              <w:t>1</w:t>
            </w:r>
          </w:p>
        </w:tc>
        <w:tc>
          <w:tcPr>
            <w:tcW w:w="450" w:type="dxa"/>
            <w:tcBorders>
              <w:left w:val="single" w:sz="18" w:space="0" w:color="auto"/>
              <w:bottom w:val="single" w:sz="4" w:space="0" w:color="auto"/>
            </w:tcBorders>
            <w:shd w:val="clear" w:color="auto" w:fill="auto"/>
            <w:vAlign w:val="center"/>
          </w:tcPr>
          <w:p w:rsidR="001A63C6" w:rsidRPr="003410C7"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1A63C6" w:rsidRPr="003410C7" w:rsidRDefault="001A63C6" w:rsidP="001A63C6">
            <w:pPr>
              <w:pStyle w:val="TableText"/>
              <w:widowControl w:val="0"/>
              <w:rPr>
                <w:rFonts w:ascii="Tahoma" w:hAnsi="Tahoma" w:cs="Tahoma"/>
                <w:sz w:val="13"/>
              </w:rPr>
            </w:pPr>
            <w:r w:rsidRPr="003410C7">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rsidR="001A63C6" w:rsidRPr="003410C7" w:rsidRDefault="001A63C6" w:rsidP="001A63C6">
            <w:pPr>
              <w:pStyle w:val="TableText"/>
              <w:widowControl w:val="0"/>
              <w:rPr>
                <w:rFonts w:ascii="Tahoma" w:hAnsi="Tahoma" w:cs="Tahoma"/>
                <w:sz w:val="13"/>
              </w:rPr>
            </w:pPr>
            <w:r w:rsidRPr="003410C7">
              <w:rPr>
                <w:rFonts w:ascii="Tahoma" w:hAnsi="Tahoma" w:cs="Tahoma"/>
                <w:sz w:val="13"/>
              </w:rPr>
              <w:t>P</w:t>
            </w:r>
          </w:p>
        </w:tc>
        <w:tc>
          <w:tcPr>
            <w:tcW w:w="450" w:type="dxa"/>
            <w:tcBorders>
              <w:bottom w:val="single" w:sz="4" w:space="0" w:color="auto"/>
            </w:tcBorders>
            <w:shd w:val="clear" w:color="auto" w:fill="auto"/>
          </w:tcPr>
          <w:p w:rsidR="001A63C6" w:rsidRPr="003410C7" w:rsidRDefault="001A63C6" w:rsidP="001A63C6">
            <w:pPr>
              <w:pStyle w:val="TableText"/>
              <w:widowControl w:val="0"/>
              <w:spacing w:before="120"/>
              <w:rPr>
                <w:rFonts w:ascii="Tahoma" w:hAnsi="Tahoma" w:cs="Tahoma"/>
                <w:sz w:val="13"/>
              </w:rPr>
            </w:pPr>
            <w:r w:rsidRPr="003410C7">
              <w:rPr>
                <w:rFonts w:ascii="Tahoma" w:hAnsi="Tahoma" w:cs="Tahoma"/>
                <w:sz w:val="13"/>
              </w:rPr>
              <w:t>A</w:t>
            </w:r>
          </w:p>
        </w:tc>
        <w:tc>
          <w:tcPr>
            <w:tcW w:w="540" w:type="dxa"/>
            <w:tcBorders>
              <w:bottom w:val="single" w:sz="4" w:space="0" w:color="auto"/>
            </w:tcBorders>
            <w:shd w:val="clear" w:color="auto" w:fill="auto"/>
            <w:vAlign w:val="center"/>
          </w:tcPr>
          <w:p w:rsidR="001A63C6" w:rsidRPr="003410C7" w:rsidRDefault="001A63C6" w:rsidP="001A63C6">
            <w:pPr>
              <w:pStyle w:val="TableText"/>
              <w:widowControl w:val="0"/>
              <w:rPr>
                <w:rFonts w:ascii="Tahoma" w:hAnsi="Tahoma" w:cs="Tahoma"/>
                <w:sz w:val="13"/>
              </w:rPr>
            </w:pPr>
          </w:p>
        </w:tc>
      </w:tr>
      <w:tr w:rsidR="00B33D0E" w:rsidRPr="003410C7" w:rsidTr="006B1F3F">
        <w:trPr>
          <w:trHeight w:val="145"/>
        </w:trPr>
        <w:tc>
          <w:tcPr>
            <w:tcW w:w="2734" w:type="dxa"/>
            <w:gridSpan w:val="2"/>
            <w:tcBorders>
              <w:bottom w:val="single" w:sz="4" w:space="0" w:color="auto"/>
            </w:tcBorders>
            <w:shd w:val="clear" w:color="auto" w:fill="FABF8F"/>
            <w:vAlign w:val="center"/>
          </w:tcPr>
          <w:p w:rsidR="001A63C6" w:rsidRPr="003410C7" w:rsidRDefault="001A63C6" w:rsidP="003410C7">
            <w:pPr>
              <w:pStyle w:val="Heading2"/>
              <w:spacing w:beforeLines="20" w:before="48" w:afterLines="20" w:after="48"/>
              <w:ind w:left="0" w:firstLine="15"/>
              <w:rPr>
                <w:rFonts w:ascii="Tahoma" w:hAnsi="Tahoma" w:cs="Tahoma"/>
                <w:b w:val="0"/>
                <w:sz w:val="14"/>
              </w:rPr>
            </w:pPr>
            <w:bookmarkStart w:id="373" w:name="_Toc336338036"/>
            <w:bookmarkStart w:id="374" w:name="_Toc352234645"/>
            <w:r w:rsidRPr="003410C7">
              <w:rPr>
                <w:rFonts w:ascii="Tahoma" w:hAnsi="Tahoma" w:cs="Tahoma"/>
                <w:b w:val="0"/>
                <w:sz w:val="14"/>
              </w:rPr>
              <w:t>SharePoint™ Online Extra Storage 1 GB (SL Add-on)</w:t>
            </w:r>
            <w:bookmarkEnd w:id="373"/>
            <w:bookmarkEnd w:id="374"/>
          </w:p>
        </w:tc>
        <w:tc>
          <w:tcPr>
            <w:tcW w:w="450" w:type="dxa"/>
            <w:tcBorders>
              <w:bottom w:val="single" w:sz="4" w:space="0" w:color="auto"/>
            </w:tcBorders>
            <w:shd w:val="clear" w:color="auto" w:fill="FABF8F"/>
            <w:vAlign w:val="center"/>
          </w:tcPr>
          <w:p w:rsidR="001A63C6" w:rsidRPr="009F17FF" w:rsidRDefault="001A63C6" w:rsidP="001A63C6">
            <w:pPr>
              <w:pStyle w:val="TableText"/>
              <w:widowControl w:val="0"/>
              <w:rPr>
                <w:b/>
                <w:color w:val="000000"/>
                <w:sz w:val="13"/>
                <w:szCs w:val="13"/>
                <w:u w:val="single"/>
              </w:rPr>
            </w:pPr>
          </w:p>
        </w:tc>
        <w:tc>
          <w:tcPr>
            <w:tcW w:w="450" w:type="dxa"/>
            <w:tcBorders>
              <w:bottom w:val="single" w:sz="4" w:space="0" w:color="auto"/>
            </w:tcBorders>
            <w:shd w:val="clear" w:color="auto" w:fill="FABF8F"/>
          </w:tcPr>
          <w:p w:rsidR="001A63C6" w:rsidRPr="003410C7" w:rsidDel="008F575D" w:rsidRDefault="001A63C6" w:rsidP="001A63C6">
            <w:pPr>
              <w:pStyle w:val="TableText"/>
              <w:widowControl w:val="0"/>
              <w:spacing w:before="80"/>
              <w:rPr>
                <w:rFonts w:ascii="Tahoma" w:hAnsi="Tahoma" w:cs="Tahoma"/>
                <w:sz w:val="13"/>
              </w:rPr>
            </w:pPr>
            <w:r w:rsidRPr="003410C7">
              <w:rPr>
                <w:rFonts w:ascii="Tahoma" w:hAnsi="Tahoma" w:cs="Tahoma"/>
                <w:sz w:val="13"/>
              </w:rPr>
              <w:t>06/11</w:t>
            </w:r>
          </w:p>
        </w:tc>
        <w:tc>
          <w:tcPr>
            <w:tcW w:w="360" w:type="dxa"/>
            <w:tcBorders>
              <w:bottom w:val="single" w:sz="4" w:space="0" w:color="auto"/>
              <w:right w:val="single" w:sz="18" w:space="0" w:color="auto"/>
            </w:tcBorders>
            <w:shd w:val="clear" w:color="auto" w:fill="FABF8F"/>
            <w:vAlign w:val="center"/>
          </w:tcPr>
          <w:p w:rsidR="001A63C6" w:rsidRPr="003410C7" w:rsidRDefault="001A63C6" w:rsidP="001A63C6">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FABF8F"/>
            <w:vAlign w:val="center"/>
          </w:tcPr>
          <w:p w:rsidR="001A63C6" w:rsidRPr="003410C7"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3410C7"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3410C7"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3410C7"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3410C7"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3410C7" w:rsidRDefault="001A63C6" w:rsidP="001A63C6">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rsidR="001A63C6" w:rsidRPr="003410C7"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3410C7"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3410C7"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1A63C6" w:rsidRPr="003410C7"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3410C7"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1A63C6" w:rsidRPr="003410C7" w:rsidRDefault="001A63C6" w:rsidP="001A63C6">
            <w:pPr>
              <w:pStyle w:val="TableText"/>
              <w:widowControl w:val="0"/>
              <w:rPr>
                <w:rFonts w:ascii="Tahoma" w:hAnsi="Tahoma" w:cs="Tahoma"/>
                <w:sz w:val="13"/>
              </w:rPr>
            </w:pPr>
            <w:r w:rsidRPr="003410C7">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3410C7"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tcPr>
          <w:p w:rsidR="001A63C6" w:rsidRPr="003410C7" w:rsidRDefault="001A63C6" w:rsidP="001A63C6">
            <w:pPr>
              <w:pStyle w:val="TableText"/>
              <w:widowControl w:val="0"/>
              <w:spacing w:before="120"/>
              <w:rPr>
                <w:rFonts w:ascii="Tahoma" w:hAnsi="Tahoma" w:cs="Tahoma"/>
                <w:sz w:val="13"/>
              </w:rPr>
            </w:pPr>
          </w:p>
        </w:tc>
        <w:tc>
          <w:tcPr>
            <w:tcW w:w="540" w:type="dxa"/>
            <w:tcBorders>
              <w:bottom w:val="single" w:sz="4" w:space="0" w:color="auto"/>
            </w:tcBorders>
            <w:shd w:val="clear" w:color="auto" w:fill="FABF8F"/>
            <w:vAlign w:val="center"/>
          </w:tcPr>
          <w:p w:rsidR="001A63C6" w:rsidRPr="003410C7" w:rsidRDefault="001A63C6" w:rsidP="001A63C6">
            <w:pPr>
              <w:pStyle w:val="TableText"/>
              <w:widowControl w:val="0"/>
              <w:rPr>
                <w:rFonts w:ascii="Tahoma" w:hAnsi="Tahoma" w:cs="Tahoma"/>
                <w:sz w:val="13"/>
              </w:rPr>
            </w:pPr>
          </w:p>
        </w:tc>
      </w:tr>
      <w:tr w:rsidR="001A63C6" w:rsidRPr="003410C7" w:rsidTr="007E466C">
        <w:trPr>
          <w:trHeight w:val="145"/>
        </w:trPr>
        <w:tc>
          <w:tcPr>
            <w:tcW w:w="2734" w:type="dxa"/>
            <w:gridSpan w:val="2"/>
            <w:tcBorders>
              <w:bottom w:val="single" w:sz="4" w:space="0" w:color="auto"/>
            </w:tcBorders>
            <w:shd w:val="clear" w:color="auto" w:fill="auto"/>
            <w:vAlign w:val="center"/>
          </w:tcPr>
          <w:p w:rsidR="001A63C6" w:rsidRPr="003410C7" w:rsidRDefault="001A63C6" w:rsidP="00FE2D13">
            <w:pPr>
              <w:pStyle w:val="Heading2"/>
              <w:ind w:left="0" w:firstLine="15"/>
              <w:rPr>
                <w:rFonts w:ascii="Tahoma" w:hAnsi="Tahoma" w:cs="Tahoma"/>
                <w:b w:val="0"/>
                <w:sz w:val="14"/>
              </w:rPr>
            </w:pPr>
            <w:bookmarkStart w:id="375" w:name="_Toc336338037"/>
            <w:bookmarkStart w:id="376" w:name="_Toc352234646"/>
            <w:r w:rsidRPr="003410C7">
              <w:rPr>
                <w:rFonts w:ascii="Tahoma" w:hAnsi="Tahoma" w:cs="Tahoma"/>
                <w:b w:val="0"/>
                <w:sz w:val="14"/>
              </w:rPr>
              <w:t>SharePoint™ Online Extra Storage 1 GB A (SL Add-on)</w:t>
            </w:r>
            <w:bookmarkEnd w:id="375"/>
            <w:bookmarkEnd w:id="376"/>
          </w:p>
        </w:tc>
        <w:tc>
          <w:tcPr>
            <w:tcW w:w="450" w:type="dxa"/>
            <w:tcBorders>
              <w:bottom w:val="single" w:sz="4" w:space="0" w:color="auto"/>
            </w:tcBorders>
            <w:shd w:val="clear" w:color="auto" w:fill="auto"/>
            <w:vAlign w:val="center"/>
          </w:tcPr>
          <w:p w:rsidR="001A63C6" w:rsidRPr="009F17FF" w:rsidRDefault="001A63C6" w:rsidP="00D66F68">
            <w:pPr>
              <w:pStyle w:val="TableText"/>
              <w:widowControl w:val="0"/>
              <w:rPr>
                <w:rFonts w:cs="Tahoma"/>
                <w:b/>
                <w:color w:val="0000FF"/>
                <w:sz w:val="13"/>
                <w:szCs w:val="13"/>
                <w:u w:val="single"/>
              </w:rPr>
            </w:pPr>
          </w:p>
        </w:tc>
        <w:tc>
          <w:tcPr>
            <w:tcW w:w="450" w:type="dxa"/>
            <w:tcBorders>
              <w:bottom w:val="single" w:sz="4" w:space="0" w:color="auto"/>
            </w:tcBorders>
            <w:shd w:val="clear" w:color="auto" w:fill="auto"/>
            <w:vAlign w:val="center"/>
          </w:tcPr>
          <w:p w:rsidR="001A63C6" w:rsidRPr="003410C7" w:rsidRDefault="001A63C6" w:rsidP="007E466C">
            <w:pPr>
              <w:pStyle w:val="TableText"/>
              <w:widowControl w:val="0"/>
              <w:rPr>
                <w:rFonts w:ascii="Tahoma" w:hAnsi="Tahoma" w:cs="Tahoma"/>
                <w:sz w:val="13"/>
              </w:rPr>
            </w:pPr>
            <w:r w:rsidRPr="003410C7">
              <w:rPr>
                <w:rFonts w:ascii="Tahoma" w:hAnsi="Tahoma" w:cs="Tahoma"/>
                <w:sz w:val="13"/>
              </w:rPr>
              <w:t>06/12</w:t>
            </w:r>
          </w:p>
        </w:tc>
        <w:tc>
          <w:tcPr>
            <w:tcW w:w="360" w:type="dxa"/>
            <w:tcBorders>
              <w:bottom w:val="single" w:sz="4" w:space="0" w:color="auto"/>
              <w:right w:val="single" w:sz="18" w:space="0" w:color="auto"/>
            </w:tcBorders>
            <w:shd w:val="clear" w:color="auto" w:fill="auto"/>
            <w:vAlign w:val="center"/>
          </w:tcPr>
          <w:p w:rsidR="001A63C6" w:rsidRPr="003410C7" w:rsidRDefault="001A63C6" w:rsidP="00D66F68">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auto"/>
            <w:vAlign w:val="center"/>
          </w:tcPr>
          <w:p w:rsidR="001A63C6" w:rsidRPr="003410C7" w:rsidRDefault="001A63C6" w:rsidP="00D66F68">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3410C7" w:rsidRDefault="001A63C6" w:rsidP="006C465D">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3410C7" w:rsidRDefault="001A63C6" w:rsidP="006C465D">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3410C7" w:rsidRDefault="001A63C6" w:rsidP="006C465D">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3410C7" w:rsidRDefault="001A63C6" w:rsidP="006C465D">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3410C7" w:rsidRDefault="001A63C6" w:rsidP="00D02D7A">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auto"/>
            <w:vAlign w:val="center"/>
          </w:tcPr>
          <w:p w:rsidR="001A63C6" w:rsidRPr="003410C7" w:rsidRDefault="001A63C6" w:rsidP="00D02D7A">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1A63C6" w:rsidRPr="003410C7" w:rsidRDefault="001A63C6" w:rsidP="00242B11">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3410C7" w:rsidRDefault="001A63C6" w:rsidP="00242B11">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1A63C6" w:rsidRPr="003410C7" w:rsidRDefault="001A63C6" w:rsidP="00EA31A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1A63C6" w:rsidRPr="003410C7" w:rsidRDefault="001A63C6" w:rsidP="00EA31A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1A63C6" w:rsidRPr="003410C7" w:rsidRDefault="001A63C6" w:rsidP="00EA31A6">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rsidR="001A63C6" w:rsidRPr="003410C7" w:rsidRDefault="001A63C6" w:rsidP="00EA31A6">
            <w:pPr>
              <w:pStyle w:val="TableText"/>
              <w:widowControl w:val="0"/>
              <w:rPr>
                <w:rFonts w:ascii="Tahoma" w:hAnsi="Tahoma" w:cs="Tahoma"/>
                <w:sz w:val="13"/>
              </w:rPr>
            </w:pPr>
          </w:p>
        </w:tc>
        <w:tc>
          <w:tcPr>
            <w:tcW w:w="450" w:type="dxa"/>
            <w:tcBorders>
              <w:bottom w:val="single" w:sz="4" w:space="0" w:color="auto"/>
            </w:tcBorders>
            <w:shd w:val="clear" w:color="auto" w:fill="auto"/>
          </w:tcPr>
          <w:p w:rsidR="001A63C6" w:rsidRPr="003410C7" w:rsidRDefault="001A63C6" w:rsidP="007E466C">
            <w:pPr>
              <w:pStyle w:val="TableText"/>
              <w:widowControl w:val="0"/>
              <w:rPr>
                <w:rFonts w:ascii="Tahoma" w:hAnsi="Tahoma" w:cs="Tahoma"/>
                <w:sz w:val="13"/>
              </w:rPr>
            </w:pPr>
            <w:r w:rsidRPr="003410C7">
              <w:rPr>
                <w:rFonts w:ascii="Tahoma" w:hAnsi="Tahoma" w:cs="Tahoma"/>
                <w:sz w:val="13"/>
              </w:rPr>
              <w:t>A, ST (Solo EES)</w:t>
            </w:r>
          </w:p>
        </w:tc>
        <w:tc>
          <w:tcPr>
            <w:tcW w:w="540" w:type="dxa"/>
            <w:tcBorders>
              <w:bottom w:val="single" w:sz="4" w:space="0" w:color="auto"/>
            </w:tcBorders>
            <w:shd w:val="clear" w:color="auto" w:fill="auto"/>
            <w:vAlign w:val="center"/>
          </w:tcPr>
          <w:p w:rsidR="001A63C6" w:rsidRPr="003410C7" w:rsidRDefault="001A63C6" w:rsidP="00D66F68">
            <w:pPr>
              <w:pStyle w:val="TableText"/>
              <w:widowControl w:val="0"/>
              <w:rPr>
                <w:rFonts w:ascii="Tahoma" w:hAnsi="Tahoma" w:cs="Tahoma"/>
                <w:sz w:val="13"/>
              </w:rPr>
            </w:pPr>
          </w:p>
        </w:tc>
      </w:tr>
      <w:tr w:rsidR="00B33D0E" w:rsidRPr="003410C7" w:rsidTr="006B1F3F">
        <w:trPr>
          <w:trHeight w:val="145"/>
        </w:trPr>
        <w:tc>
          <w:tcPr>
            <w:tcW w:w="2734" w:type="dxa"/>
            <w:gridSpan w:val="2"/>
            <w:tcBorders>
              <w:bottom w:val="single" w:sz="4" w:space="0" w:color="auto"/>
            </w:tcBorders>
            <w:shd w:val="clear" w:color="auto" w:fill="FABF8F"/>
            <w:vAlign w:val="center"/>
          </w:tcPr>
          <w:p w:rsidR="001A63C6" w:rsidRPr="00451078" w:rsidRDefault="001A63C6" w:rsidP="00FE2D13">
            <w:pPr>
              <w:pStyle w:val="Heading2"/>
              <w:spacing w:beforeLines="20" w:before="48" w:afterLines="20" w:after="48"/>
              <w:ind w:left="0" w:firstLine="15"/>
              <w:rPr>
                <w:rFonts w:ascii="Tahoma" w:hAnsi="Tahoma" w:cs="Tahoma"/>
                <w:b w:val="0"/>
                <w:lang w:val="it-IT"/>
              </w:rPr>
            </w:pPr>
            <w:bookmarkStart w:id="377" w:name="_Toc336338038"/>
            <w:bookmarkStart w:id="378" w:name="_Toc352234647"/>
            <w:r w:rsidRPr="00451078">
              <w:rPr>
                <w:rFonts w:ascii="Tahoma" w:hAnsi="Tahoma" w:cs="Tahoma"/>
                <w:b w:val="0"/>
                <w:sz w:val="14"/>
                <w:lang w:val="it-IT"/>
              </w:rPr>
              <w:t>SharePoint™ Online Piano 1 (SL</w:t>
            </w:r>
            <w:r w:rsidR="00FE2D13" w:rsidRPr="00451078">
              <w:rPr>
                <w:rFonts w:ascii="Tahoma" w:hAnsi="Tahoma" w:cs="Tahoma"/>
                <w:b w:val="0"/>
                <w:sz w:val="14"/>
                <w:lang w:val="it-IT"/>
              </w:rPr>
              <w:t> </w:t>
            </w:r>
            <w:r w:rsidRPr="00451078">
              <w:rPr>
                <w:rFonts w:ascii="Tahoma" w:hAnsi="Tahoma" w:cs="Tahoma"/>
                <w:b w:val="0"/>
                <w:sz w:val="14"/>
                <w:lang w:val="it-IT"/>
              </w:rPr>
              <w:t>per</w:t>
            </w:r>
            <w:r w:rsidR="00FE2D13" w:rsidRPr="00451078">
              <w:rPr>
                <w:rFonts w:ascii="Tahoma" w:hAnsi="Tahoma" w:cs="Tahoma"/>
                <w:b w:val="0"/>
                <w:sz w:val="14"/>
                <w:lang w:val="it-IT"/>
              </w:rPr>
              <w:t> </w:t>
            </w:r>
            <w:r w:rsidRPr="00451078">
              <w:rPr>
                <w:rFonts w:ascii="Tahoma" w:hAnsi="Tahoma" w:cs="Tahoma"/>
                <w:b w:val="0"/>
                <w:sz w:val="14"/>
                <w:lang w:val="it-IT"/>
              </w:rPr>
              <w:t>Utente)</w:t>
            </w:r>
            <w:bookmarkEnd w:id="377"/>
            <w:bookmarkEnd w:id="378"/>
          </w:p>
        </w:tc>
        <w:tc>
          <w:tcPr>
            <w:tcW w:w="450" w:type="dxa"/>
            <w:tcBorders>
              <w:bottom w:val="single" w:sz="4" w:space="0" w:color="auto"/>
            </w:tcBorders>
            <w:shd w:val="clear" w:color="auto" w:fill="FABF8F"/>
            <w:vAlign w:val="center"/>
          </w:tcPr>
          <w:p w:rsidR="001A63C6" w:rsidRPr="009F17FF" w:rsidRDefault="00FC1A4D" w:rsidP="001A63C6">
            <w:pPr>
              <w:pStyle w:val="TableText"/>
              <w:widowControl w:val="0"/>
              <w:rPr>
                <w:rStyle w:val="EndnoteReference"/>
                <w:rFonts w:cs="Tahoma"/>
                <w:color w:val="0000FF"/>
                <w:sz w:val="13"/>
                <w:szCs w:val="13"/>
                <w:u w:val="single"/>
              </w:rPr>
            </w:pPr>
            <w:hyperlink w:anchor="_71_SharePoint_Online" w:history="1">
              <w:r w:rsidR="000D77F6" w:rsidRPr="009F17FF">
                <w:rPr>
                  <w:rStyle w:val="Hyperlink"/>
                  <w:rFonts w:cs="Tahoma"/>
                  <w:b/>
                  <w:sz w:val="13"/>
                  <w:szCs w:val="13"/>
                </w:rPr>
                <w:t>71</w:t>
              </w:r>
            </w:hyperlink>
          </w:p>
        </w:tc>
        <w:tc>
          <w:tcPr>
            <w:tcW w:w="450" w:type="dxa"/>
            <w:tcBorders>
              <w:bottom w:val="single" w:sz="4" w:space="0" w:color="auto"/>
            </w:tcBorders>
            <w:shd w:val="clear" w:color="auto" w:fill="FABF8F"/>
          </w:tcPr>
          <w:p w:rsidR="001A63C6" w:rsidRPr="003410C7" w:rsidRDefault="001A63C6" w:rsidP="001A63C6">
            <w:pPr>
              <w:pStyle w:val="TableText"/>
              <w:widowControl w:val="0"/>
              <w:spacing w:before="80"/>
              <w:rPr>
                <w:rFonts w:ascii="Tahoma" w:hAnsi="Tahoma" w:cs="Tahoma"/>
                <w:sz w:val="13"/>
              </w:rPr>
            </w:pPr>
            <w:r w:rsidRPr="003410C7">
              <w:rPr>
                <w:rFonts w:ascii="Tahoma" w:hAnsi="Tahoma" w:cs="Tahoma"/>
                <w:sz w:val="13"/>
              </w:rPr>
              <w:t>06/11</w:t>
            </w:r>
          </w:p>
        </w:tc>
        <w:tc>
          <w:tcPr>
            <w:tcW w:w="360" w:type="dxa"/>
            <w:tcBorders>
              <w:bottom w:val="single" w:sz="4" w:space="0" w:color="auto"/>
              <w:right w:val="single" w:sz="18" w:space="0" w:color="auto"/>
            </w:tcBorders>
            <w:shd w:val="clear" w:color="auto" w:fill="FABF8F"/>
            <w:vAlign w:val="center"/>
          </w:tcPr>
          <w:p w:rsidR="001A63C6" w:rsidRPr="003410C7" w:rsidRDefault="001A63C6" w:rsidP="001A63C6">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FABF8F"/>
            <w:vAlign w:val="center"/>
          </w:tcPr>
          <w:p w:rsidR="001A63C6" w:rsidRPr="003410C7"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3410C7"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3410C7"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3410C7"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3410C7"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3410C7" w:rsidRDefault="001A63C6" w:rsidP="001A63C6">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rsidR="001A63C6" w:rsidRPr="003410C7"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3410C7"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3410C7"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1A63C6" w:rsidRPr="003410C7"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3410C7"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1A63C6" w:rsidRPr="003410C7" w:rsidRDefault="001A63C6" w:rsidP="001A63C6">
            <w:pPr>
              <w:pStyle w:val="TableText"/>
              <w:widowControl w:val="0"/>
              <w:rPr>
                <w:rFonts w:ascii="Tahoma" w:hAnsi="Tahoma" w:cs="Tahoma"/>
                <w:sz w:val="13"/>
              </w:rPr>
            </w:pPr>
            <w:r w:rsidRPr="003410C7">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3410C7"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tcPr>
          <w:p w:rsidR="001A63C6" w:rsidRPr="003410C7" w:rsidRDefault="001A63C6" w:rsidP="001A63C6">
            <w:pPr>
              <w:pStyle w:val="TableText"/>
              <w:widowControl w:val="0"/>
              <w:spacing w:before="120"/>
              <w:rPr>
                <w:rFonts w:ascii="Tahoma" w:hAnsi="Tahoma" w:cs="Tahoma"/>
                <w:sz w:val="13"/>
              </w:rPr>
            </w:pPr>
          </w:p>
        </w:tc>
        <w:tc>
          <w:tcPr>
            <w:tcW w:w="540" w:type="dxa"/>
            <w:tcBorders>
              <w:bottom w:val="single" w:sz="4" w:space="0" w:color="auto"/>
            </w:tcBorders>
            <w:shd w:val="clear" w:color="auto" w:fill="FABF8F"/>
            <w:vAlign w:val="center"/>
          </w:tcPr>
          <w:p w:rsidR="001A63C6" w:rsidRPr="003410C7" w:rsidRDefault="001A63C6" w:rsidP="001A63C6">
            <w:pPr>
              <w:pStyle w:val="TableText"/>
              <w:widowControl w:val="0"/>
              <w:rPr>
                <w:rFonts w:ascii="Tahoma" w:hAnsi="Tahoma" w:cs="Tahoma"/>
                <w:sz w:val="13"/>
              </w:rPr>
            </w:pPr>
          </w:p>
        </w:tc>
      </w:tr>
      <w:tr w:rsidR="001A63C6" w:rsidRPr="003410C7" w:rsidTr="007E466C">
        <w:trPr>
          <w:trHeight w:val="145"/>
        </w:trPr>
        <w:tc>
          <w:tcPr>
            <w:tcW w:w="2734" w:type="dxa"/>
            <w:gridSpan w:val="2"/>
            <w:tcBorders>
              <w:bottom w:val="single" w:sz="4" w:space="0" w:color="auto"/>
            </w:tcBorders>
            <w:shd w:val="clear" w:color="auto" w:fill="auto"/>
            <w:vAlign w:val="center"/>
          </w:tcPr>
          <w:p w:rsidR="001A63C6" w:rsidRPr="00451078" w:rsidRDefault="001A63C6" w:rsidP="00FE2D13">
            <w:pPr>
              <w:pStyle w:val="ProductNames"/>
              <w:spacing w:beforeLines="20" w:before="48" w:afterLines="20" w:after="48"/>
              <w:rPr>
                <w:rFonts w:ascii="Tahoma" w:hAnsi="Tahoma" w:cs="Tahoma"/>
                <w:sz w:val="14"/>
                <w:lang w:val="it-IT"/>
              </w:rPr>
            </w:pPr>
            <w:bookmarkStart w:id="379" w:name="_Toc336338039"/>
            <w:bookmarkStart w:id="380" w:name="_Toc352234648"/>
            <w:r w:rsidRPr="00451078">
              <w:rPr>
                <w:rFonts w:ascii="Tahoma" w:hAnsi="Tahoma" w:cs="Tahoma"/>
                <w:sz w:val="14"/>
                <w:lang w:val="it-IT"/>
              </w:rPr>
              <w:t>SharePoint™ Online Piano 2 (SL</w:t>
            </w:r>
            <w:r w:rsidR="00FE2D13" w:rsidRPr="00451078">
              <w:rPr>
                <w:rFonts w:ascii="Tahoma" w:hAnsi="Tahoma" w:cs="Tahoma"/>
                <w:sz w:val="14"/>
                <w:lang w:val="it-IT"/>
              </w:rPr>
              <w:t> </w:t>
            </w:r>
            <w:r w:rsidRPr="00451078">
              <w:rPr>
                <w:rFonts w:ascii="Tahoma" w:hAnsi="Tahoma" w:cs="Tahoma"/>
                <w:sz w:val="14"/>
                <w:lang w:val="it-IT"/>
              </w:rPr>
              <w:t>per</w:t>
            </w:r>
            <w:r w:rsidR="00FE2D13" w:rsidRPr="00451078">
              <w:rPr>
                <w:rFonts w:ascii="Tahoma" w:hAnsi="Tahoma" w:cs="Tahoma"/>
                <w:sz w:val="14"/>
                <w:lang w:val="it-IT"/>
              </w:rPr>
              <w:t> </w:t>
            </w:r>
            <w:r w:rsidRPr="00451078">
              <w:rPr>
                <w:rFonts w:ascii="Tahoma" w:hAnsi="Tahoma" w:cs="Tahoma"/>
                <w:sz w:val="14"/>
                <w:lang w:val="it-IT"/>
              </w:rPr>
              <w:t>Utente)</w:t>
            </w:r>
            <w:bookmarkEnd w:id="379"/>
            <w:bookmarkEnd w:id="380"/>
          </w:p>
        </w:tc>
        <w:tc>
          <w:tcPr>
            <w:tcW w:w="450" w:type="dxa"/>
            <w:tcBorders>
              <w:bottom w:val="single" w:sz="4" w:space="0" w:color="auto"/>
            </w:tcBorders>
            <w:shd w:val="clear" w:color="auto" w:fill="auto"/>
            <w:vAlign w:val="center"/>
          </w:tcPr>
          <w:p w:rsidR="001A63C6" w:rsidRPr="009F17FF" w:rsidRDefault="00FC1A4D" w:rsidP="001A63C6">
            <w:pPr>
              <w:pStyle w:val="TableText"/>
              <w:widowControl w:val="0"/>
              <w:rPr>
                <w:rStyle w:val="EndnoteReference"/>
                <w:color w:val="000000"/>
                <w:sz w:val="13"/>
                <w:szCs w:val="13"/>
                <w:u w:val="single"/>
              </w:rPr>
            </w:pPr>
            <w:hyperlink w:anchor="_71_SharePoint_Online" w:history="1">
              <w:r w:rsidR="000D77F6" w:rsidRPr="009F17FF">
                <w:rPr>
                  <w:rStyle w:val="Hyperlink"/>
                  <w:rFonts w:cs="Tahoma"/>
                  <w:b/>
                  <w:sz w:val="13"/>
                  <w:szCs w:val="13"/>
                </w:rPr>
                <w:t>71</w:t>
              </w:r>
            </w:hyperlink>
          </w:p>
        </w:tc>
        <w:tc>
          <w:tcPr>
            <w:tcW w:w="450" w:type="dxa"/>
            <w:tcBorders>
              <w:bottom w:val="single" w:sz="4" w:space="0" w:color="auto"/>
            </w:tcBorders>
            <w:shd w:val="clear" w:color="auto" w:fill="auto"/>
          </w:tcPr>
          <w:p w:rsidR="001A63C6" w:rsidRPr="003410C7" w:rsidRDefault="001A63C6" w:rsidP="001A63C6">
            <w:pPr>
              <w:pStyle w:val="TableText"/>
              <w:widowControl w:val="0"/>
              <w:spacing w:before="80"/>
              <w:rPr>
                <w:rFonts w:ascii="Tahoma" w:hAnsi="Tahoma" w:cs="Tahoma"/>
                <w:sz w:val="13"/>
              </w:rPr>
            </w:pPr>
            <w:r w:rsidRPr="003410C7">
              <w:rPr>
                <w:rFonts w:ascii="Tahoma" w:hAnsi="Tahoma" w:cs="Tahoma"/>
                <w:sz w:val="13"/>
              </w:rPr>
              <w:t>06/11</w:t>
            </w:r>
          </w:p>
        </w:tc>
        <w:tc>
          <w:tcPr>
            <w:tcW w:w="360" w:type="dxa"/>
            <w:tcBorders>
              <w:bottom w:val="single" w:sz="4" w:space="0" w:color="auto"/>
              <w:right w:val="single" w:sz="18" w:space="0" w:color="auto"/>
            </w:tcBorders>
            <w:shd w:val="clear" w:color="auto" w:fill="auto"/>
            <w:vAlign w:val="center"/>
          </w:tcPr>
          <w:p w:rsidR="001A63C6" w:rsidRPr="003410C7" w:rsidRDefault="001A63C6" w:rsidP="001A63C6">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auto"/>
            <w:vAlign w:val="center"/>
          </w:tcPr>
          <w:p w:rsidR="001A63C6" w:rsidRPr="003410C7"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3410C7"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3410C7"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3410C7"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3410C7"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3410C7" w:rsidRDefault="001A63C6" w:rsidP="001A63C6">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auto"/>
            <w:vAlign w:val="center"/>
          </w:tcPr>
          <w:p w:rsidR="001A63C6" w:rsidRPr="003410C7"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1A63C6" w:rsidRPr="003410C7"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3410C7"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1A63C6" w:rsidRPr="003410C7"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1A63C6" w:rsidRPr="003410C7"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1A63C6" w:rsidRPr="003410C7" w:rsidRDefault="001A63C6" w:rsidP="001A63C6">
            <w:pPr>
              <w:pStyle w:val="TableText"/>
              <w:widowControl w:val="0"/>
              <w:rPr>
                <w:rFonts w:ascii="Tahoma" w:hAnsi="Tahoma" w:cs="Tahoma"/>
                <w:sz w:val="13"/>
              </w:rPr>
            </w:pPr>
            <w:r w:rsidRPr="003410C7">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rsidR="001A63C6" w:rsidRPr="003410C7"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tcPr>
          <w:p w:rsidR="001A63C6" w:rsidRPr="003410C7" w:rsidRDefault="001A63C6" w:rsidP="001A63C6">
            <w:pPr>
              <w:pStyle w:val="TableText"/>
              <w:widowControl w:val="0"/>
              <w:spacing w:before="120"/>
              <w:rPr>
                <w:rFonts w:ascii="Tahoma" w:hAnsi="Tahoma" w:cs="Tahoma"/>
                <w:sz w:val="13"/>
              </w:rPr>
            </w:pPr>
          </w:p>
        </w:tc>
        <w:tc>
          <w:tcPr>
            <w:tcW w:w="540" w:type="dxa"/>
            <w:tcBorders>
              <w:bottom w:val="single" w:sz="4" w:space="0" w:color="auto"/>
            </w:tcBorders>
            <w:shd w:val="clear" w:color="auto" w:fill="auto"/>
            <w:vAlign w:val="center"/>
          </w:tcPr>
          <w:p w:rsidR="001A63C6" w:rsidRPr="003410C7" w:rsidRDefault="001A63C6" w:rsidP="001A63C6">
            <w:pPr>
              <w:pStyle w:val="TableText"/>
              <w:widowControl w:val="0"/>
              <w:rPr>
                <w:rFonts w:ascii="Tahoma" w:hAnsi="Tahoma" w:cs="Tahoma"/>
                <w:sz w:val="13"/>
              </w:rPr>
            </w:pPr>
          </w:p>
        </w:tc>
      </w:tr>
      <w:tr w:rsidR="00B33D0E" w:rsidRPr="003410C7" w:rsidTr="006B1F3F">
        <w:trPr>
          <w:trHeight w:val="145"/>
        </w:trPr>
        <w:tc>
          <w:tcPr>
            <w:tcW w:w="2734" w:type="dxa"/>
            <w:gridSpan w:val="2"/>
            <w:tcBorders>
              <w:bottom w:val="single" w:sz="4" w:space="0" w:color="auto"/>
            </w:tcBorders>
            <w:shd w:val="clear" w:color="auto" w:fill="FABF8F"/>
          </w:tcPr>
          <w:p w:rsidR="001A63C6" w:rsidRPr="003410C7" w:rsidRDefault="001A63C6" w:rsidP="003410C7">
            <w:pPr>
              <w:pStyle w:val="ProductNames"/>
              <w:spacing w:beforeLines="20" w:before="48" w:afterLines="20" w:after="48"/>
              <w:rPr>
                <w:rFonts w:ascii="Tahoma" w:hAnsi="Tahoma" w:cs="Tahoma"/>
                <w:sz w:val="14"/>
              </w:rPr>
            </w:pPr>
            <w:bookmarkStart w:id="381" w:name="_Toc336338040"/>
            <w:bookmarkStart w:id="382" w:name="_Toc352234649"/>
            <w:r w:rsidRPr="003410C7">
              <w:rPr>
                <w:rFonts w:ascii="Tahoma" w:hAnsi="Tahoma" w:cs="Tahoma"/>
                <w:sz w:val="14"/>
              </w:rPr>
              <w:t xml:space="preserve">SharePoint™ Server </w:t>
            </w:r>
            <w:bookmarkEnd w:id="381"/>
            <w:r w:rsidRPr="003410C7">
              <w:rPr>
                <w:rFonts w:ascii="Tahoma" w:hAnsi="Tahoma" w:cs="Tahoma"/>
                <w:sz w:val="14"/>
              </w:rPr>
              <w:t>2013</w:t>
            </w:r>
            <w:bookmarkEnd w:id="382"/>
            <w:r w:rsidRPr="003410C7">
              <w:rPr>
                <w:rFonts w:ascii="Tahoma" w:hAnsi="Tahoma" w:cs="Tahoma"/>
                <w:sz w:val="14"/>
              </w:rPr>
              <w:t xml:space="preserve"> </w:t>
            </w:r>
          </w:p>
        </w:tc>
        <w:tc>
          <w:tcPr>
            <w:tcW w:w="450" w:type="dxa"/>
            <w:tcBorders>
              <w:bottom w:val="single" w:sz="4" w:space="0" w:color="auto"/>
            </w:tcBorders>
            <w:shd w:val="clear" w:color="auto" w:fill="FABF8F"/>
            <w:vAlign w:val="center"/>
          </w:tcPr>
          <w:p w:rsidR="001A63C6" w:rsidRPr="009F17FF" w:rsidRDefault="00FC1A4D" w:rsidP="001A63C6">
            <w:pPr>
              <w:pStyle w:val="TableText"/>
              <w:widowControl w:val="0"/>
              <w:rPr>
                <w:rStyle w:val="EndnoteReference"/>
                <w:b w:val="0"/>
                <w:color w:val="000000"/>
                <w:sz w:val="13"/>
                <w:szCs w:val="13"/>
                <w:u w:val="single"/>
              </w:rPr>
            </w:pPr>
            <w:hyperlink w:anchor="_74_72_SharePoint" w:history="1">
              <w:r w:rsidR="000D77F6" w:rsidRPr="009F17FF">
                <w:rPr>
                  <w:rStyle w:val="Hyperlink"/>
                  <w:sz w:val="13"/>
                  <w:szCs w:val="13"/>
                </w:rPr>
                <w:t>72</w:t>
              </w:r>
            </w:hyperlink>
          </w:p>
        </w:tc>
        <w:tc>
          <w:tcPr>
            <w:tcW w:w="450" w:type="dxa"/>
            <w:tcBorders>
              <w:bottom w:val="single" w:sz="4" w:space="0" w:color="auto"/>
            </w:tcBorders>
            <w:shd w:val="clear" w:color="auto" w:fill="FABF8F"/>
          </w:tcPr>
          <w:p w:rsidR="001A63C6" w:rsidRPr="003410C7" w:rsidRDefault="001A63C6" w:rsidP="001A63C6">
            <w:pPr>
              <w:pStyle w:val="TableText"/>
              <w:widowControl w:val="0"/>
              <w:spacing w:before="120"/>
              <w:rPr>
                <w:rFonts w:ascii="Tahoma" w:hAnsi="Tahoma" w:cs="Tahoma"/>
                <w:color w:val="000000"/>
                <w:sz w:val="13"/>
              </w:rPr>
            </w:pPr>
            <w:r w:rsidRPr="003410C7">
              <w:rPr>
                <w:rFonts w:ascii="Tahoma" w:hAnsi="Tahoma" w:cs="Tahoma"/>
                <w:color w:val="000000"/>
                <w:sz w:val="13"/>
              </w:rPr>
              <w:t>10/12</w:t>
            </w:r>
          </w:p>
        </w:tc>
        <w:tc>
          <w:tcPr>
            <w:tcW w:w="360" w:type="dxa"/>
            <w:tcBorders>
              <w:bottom w:val="single" w:sz="4" w:space="0" w:color="auto"/>
              <w:right w:val="single" w:sz="18" w:space="0" w:color="auto"/>
            </w:tcBorders>
            <w:shd w:val="clear" w:color="auto" w:fill="FABF8F"/>
            <w:vAlign w:val="center"/>
          </w:tcPr>
          <w:p w:rsidR="001A63C6" w:rsidRPr="003410C7" w:rsidRDefault="001A63C6" w:rsidP="001A63C6">
            <w:pPr>
              <w:pStyle w:val="TableText"/>
              <w:widowControl w:val="0"/>
              <w:rPr>
                <w:rFonts w:ascii="Tahoma" w:hAnsi="Tahoma" w:cs="Tahoma"/>
                <w:sz w:val="13"/>
              </w:rPr>
            </w:pPr>
            <w:r w:rsidRPr="003410C7">
              <w:rPr>
                <w:rFonts w:ascii="Tahoma" w:hAnsi="Tahoma" w:cs="Tahoma"/>
                <w:sz w:val="13"/>
              </w:rPr>
              <w:t>SRV</w:t>
            </w:r>
          </w:p>
        </w:tc>
        <w:tc>
          <w:tcPr>
            <w:tcW w:w="360" w:type="dxa"/>
            <w:tcBorders>
              <w:left w:val="single" w:sz="18" w:space="0" w:color="auto"/>
              <w:bottom w:val="single" w:sz="4" w:space="0" w:color="auto"/>
            </w:tcBorders>
            <w:shd w:val="clear" w:color="auto" w:fill="FABF8F"/>
            <w:vAlign w:val="center"/>
          </w:tcPr>
          <w:p w:rsidR="001A63C6" w:rsidRPr="003410C7" w:rsidRDefault="001A63C6" w:rsidP="001A63C6">
            <w:pPr>
              <w:pStyle w:val="TableText"/>
              <w:widowControl w:val="0"/>
              <w:rPr>
                <w:rFonts w:ascii="Tahoma" w:hAnsi="Tahoma" w:cs="Tahoma"/>
                <w:sz w:val="13"/>
              </w:rPr>
            </w:pPr>
            <w:r w:rsidRPr="003410C7">
              <w:rPr>
                <w:rFonts w:ascii="Tahoma" w:hAnsi="Tahoma" w:cs="Tahoma"/>
                <w:sz w:val="13"/>
              </w:rPr>
              <w:t>50</w:t>
            </w:r>
          </w:p>
        </w:tc>
        <w:tc>
          <w:tcPr>
            <w:tcW w:w="450" w:type="dxa"/>
            <w:tcBorders>
              <w:bottom w:val="single" w:sz="4" w:space="0" w:color="auto"/>
            </w:tcBorders>
            <w:shd w:val="clear" w:color="auto" w:fill="FABF8F"/>
            <w:vAlign w:val="center"/>
          </w:tcPr>
          <w:p w:rsidR="001A63C6" w:rsidRPr="003410C7" w:rsidRDefault="001A63C6" w:rsidP="001A63C6">
            <w:pPr>
              <w:pStyle w:val="TableText"/>
              <w:widowControl w:val="0"/>
              <w:rPr>
                <w:rFonts w:ascii="Tahoma" w:hAnsi="Tahoma" w:cs="Tahoma"/>
                <w:sz w:val="13"/>
              </w:rPr>
            </w:pPr>
            <w:r w:rsidRPr="003410C7">
              <w:rPr>
                <w:rFonts w:ascii="Tahoma" w:hAnsi="Tahoma" w:cs="Tahoma"/>
                <w:sz w:val="13"/>
              </w:rPr>
              <w:t>125</w:t>
            </w:r>
          </w:p>
        </w:tc>
        <w:tc>
          <w:tcPr>
            <w:tcW w:w="450" w:type="dxa"/>
            <w:tcBorders>
              <w:bottom w:val="single" w:sz="4" w:space="0" w:color="auto"/>
            </w:tcBorders>
            <w:shd w:val="clear" w:color="auto" w:fill="FABF8F"/>
            <w:vAlign w:val="center"/>
          </w:tcPr>
          <w:p w:rsidR="001A63C6" w:rsidRPr="003410C7" w:rsidRDefault="001A63C6" w:rsidP="001A63C6">
            <w:pPr>
              <w:pStyle w:val="TableText"/>
              <w:widowControl w:val="0"/>
              <w:rPr>
                <w:rFonts w:ascii="Tahoma" w:hAnsi="Tahoma" w:cs="Tahoma"/>
                <w:sz w:val="13"/>
              </w:rPr>
            </w:pPr>
            <w:r w:rsidRPr="003410C7">
              <w:rPr>
                <w:rFonts w:ascii="Tahoma" w:hAnsi="Tahoma" w:cs="Tahoma"/>
                <w:sz w:val="13"/>
              </w:rPr>
              <w:t>100</w:t>
            </w:r>
          </w:p>
        </w:tc>
        <w:tc>
          <w:tcPr>
            <w:tcW w:w="450" w:type="dxa"/>
            <w:tcBorders>
              <w:bottom w:val="single" w:sz="4" w:space="0" w:color="auto"/>
            </w:tcBorders>
            <w:shd w:val="clear" w:color="auto" w:fill="FABF8F"/>
            <w:vAlign w:val="center"/>
          </w:tcPr>
          <w:p w:rsidR="001A63C6" w:rsidRPr="003410C7" w:rsidRDefault="001A63C6" w:rsidP="001A63C6">
            <w:pPr>
              <w:pStyle w:val="TableText"/>
              <w:widowControl w:val="0"/>
              <w:rPr>
                <w:rFonts w:ascii="Tahoma" w:hAnsi="Tahoma" w:cs="Tahoma"/>
                <w:sz w:val="13"/>
              </w:rPr>
            </w:pPr>
            <w:r w:rsidRPr="003410C7">
              <w:rPr>
                <w:rFonts w:ascii="Tahoma" w:hAnsi="Tahoma" w:cs="Tahoma"/>
                <w:sz w:val="13"/>
              </w:rPr>
              <w:t>75</w:t>
            </w:r>
          </w:p>
        </w:tc>
        <w:tc>
          <w:tcPr>
            <w:tcW w:w="450" w:type="dxa"/>
            <w:tcBorders>
              <w:bottom w:val="single" w:sz="4" w:space="0" w:color="auto"/>
            </w:tcBorders>
            <w:shd w:val="clear" w:color="auto" w:fill="FABF8F"/>
            <w:vAlign w:val="center"/>
          </w:tcPr>
          <w:p w:rsidR="001A63C6" w:rsidRPr="003410C7" w:rsidRDefault="001A63C6" w:rsidP="001A63C6">
            <w:pPr>
              <w:pStyle w:val="TableText"/>
              <w:widowControl w:val="0"/>
              <w:rPr>
                <w:rFonts w:ascii="Tahoma" w:hAnsi="Tahoma" w:cs="Tahoma"/>
                <w:sz w:val="13"/>
              </w:rPr>
            </w:pPr>
            <w:r w:rsidRPr="003410C7">
              <w:rPr>
                <w:rFonts w:ascii="Tahoma" w:hAnsi="Tahoma" w:cs="Tahoma"/>
                <w:sz w:val="13"/>
              </w:rPr>
              <w:t>75</w:t>
            </w:r>
          </w:p>
        </w:tc>
        <w:tc>
          <w:tcPr>
            <w:tcW w:w="450" w:type="dxa"/>
            <w:tcBorders>
              <w:bottom w:val="single" w:sz="4" w:space="0" w:color="auto"/>
            </w:tcBorders>
            <w:shd w:val="clear" w:color="auto" w:fill="FABF8F"/>
            <w:vAlign w:val="center"/>
          </w:tcPr>
          <w:p w:rsidR="001A63C6" w:rsidRPr="003410C7" w:rsidRDefault="001A63C6" w:rsidP="001A63C6">
            <w:pPr>
              <w:pStyle w:val="TableText"/>
              <w:widowControl w:val="0"/>
              <w:rPr>
                <w:rFonts w:ascii="Tahoma" w:hAnsi="Tahoma" w:cs="Tahoma"/>
                <w:sz w:val="13"/>
              </w:rPr>
            </w:pPr>
            <w:r w:rsidRPr="003410C7">
              <w:rPr>
                <w:rFonts w:ascii="Tahoma" w:hAnsi="Tahoma" w:cs="Tahoma"/>
                <w:sz w:val="13"/>
              </w:rPr>
              <w:t>50</w:t>
            </w:r>
          </w:p>
        </w:tc>
        <w:tc>
          <w:tcPr>
            <w:tcW w:w="360" w:type="dxa"/>
            <w:tcBorders>
              <w:bottom w:val="single" w:sz="4" w:space="0" w:color="auto"/>
              <w:right w:val="single" w:sz="18" w:space="0" w:color="auto"/>
            </w:tcBorders>
            <w:shd w:val="clear" w:color="auto" w:fill="FABF8F"/>
            <w:vAlign w:val="center"/>
          </w:tcPr>
          <w:p w:rsidR="001A63C6" w:rsidRPr="003410C7" w:rsidRDefault="001A63C6" w:rsidP="001A63C6">
            <w:pPr>
              <w:pStyle w:val="TableText"/>
              <w:widowControl w:val="0"/>
              <w:rPr>
                <w:rFonts w:ascii="Tahoma" w:hAnsi="Tahoma" w:cs="Tahoma"/>
                <w:sz w:val="13"/>
              </w:rPr>
            </w:pPr>
            <w:r w:rsidRPr="003410C7">
              <w:rPr>
                <w:rFonts w:ascii="Tahoma" w:hAnsi="Tahoma" w:cs="Tahoma"/>
                <w:sz w:val="13"/>
              </w:rPr>
              <w:t>25</w:t>
            </w:r>
          </w:p>
        </w:tc>
        <w:tc>
          <w:tcPr>
            <w:tcW w:w="450" w:type="dxa"/>
            <w:tcBorders>
              <w:left w:val="single" w:sz="18" w:space="0" w:color="auto"/>
              <w:bottom w:val="single" w:sz="4" w:space="0" w:color="auto"/>
            </w:tcBorders>
            <w:shd w:val="clear" w:color="auto" w:fill="FABF8F"/>
            <w:vAlign w:val="center"/>
          </w:tcPr>
          <w:p w:rsidR="001A63C6" w:rsidRPr="003410C7" w:rsidRDefault="001A63C6" w:rsidP="001A63C6">
            <w:pPr>
              <w:pStyle w:val="TableText"/>
              <w:widowControl w:val="0"/>
              <w:rPr>
                <w:rFonts w:ascii="Tahoma" w:hAnsi="Tahoma" w:cs="Tahoma"/>
                <w:sz w:val="13"/>
              </w:rPr>
            </w:pPr>
            <w:r w:rsidRPr="003410C7">
              <w:rPr>
                <w:rFonts w:ascii="Tahoma" w:hAnsi="Tahoma" w:cs="Tahoma"/>
                <w:sz w:val="13"/>
              </w:rPr>
              <w:t>50</w:t>
            </w:r>
          </w:p>
        </w:tc>
        <w:tc>
          <w:tcPr>
            <w:tcW w:w="450" w:type="dxa"/>
            <w:tcBorders>
              <w:bottom w:val="single" w:sz="4" w:space="0" w:color="auto"/>
            </w:tcBorders>
            <w:shd w:val="clear" w:color="auto" w:fill="FABF8F"/>
            <w:vAlign w:val="center"/>
          </w:tcPr>
          <w:p w:rsidR="001A63C6" w:rsidRPr="003410C7" w:rsidRDefault="001A63C6" w:rsidP="001A63C6">
            <w:pPr>
              <w:pStyle w:val="TableText"/>
              <w:widowControl w:val="0"/>
              <w:rPr>
                <w:rFonts w:ascii="Tahoma" w:hAnsi="Tahoma" w:cs="Tahoma"/>
                <w:sz w:val="13"/>
              </w:rPr>
            </w:pPr>
            <w:r w:rsidRPr="003410C7">
              <w:rPr>
                <w:rFonts w:ascii="Tahoma" w:hAnsi="Tahoma" w:cs="Tahoma"/>
                <w:sz w:val="13"/>
              </w:rPr>
              <w:t>100</w:t>
            </w:r>
          </w:p>
        </w:tc>
        <w:tc>
          <w:tcPr>
            <w:tcW w:w="450" w:type="dxa"/>
            <w:tcBorders>
              <w:bottom w:val="single" w:sz="4" w:space="0" w:color="auto"/>
              <w:right w:val="single" w:sz="18" w:space="0" w:color="auto"/>
            </w:tcBorders>
            <w:shd w:val="clear" w:color="auto" w:fill="FABF8F"/>
            <w:vAlign w:val="center"/>
          </w:tcPr>
          <w:p w:rsidR="001A63C6" w:rsidRPr="003410C7" w:rsidRDefault="001A63C6" w:rsidP="001A63C6">
            <w:pPr>
              <w:pStyle w:val="TableText"/>
              <w:widowControl w:val="0"/>
              <w:rPr>
                <w:rFonts w:ascii="Tahoma" w:hAnsi="Tahoma" w:cs="Tahoma"/>
                <w:sz w:val="13"/>
              </w:rPr>
            </w:pPr>
            <w:r w:rsidRPr="003410C7">
              <w:rPr>
                <w:rFonts w:ascii="Tahoma" w:hAnsi="Tahoma" w:cs="Tahoma"/>
                <w:sz w:val="13"/>
              </w:rPr>
              <w:t>50</w:t>
            </w:r>
          </w:p>
        </w:tc>
        <w:tc>
          <w:tcPr>
            <w:tcW w:w="450" w:type="dxa"/>
            <w:tcBorders>
              <w:left w:val="single" w:sz="18" w:space="0" w:color="auto"/>
              <w:bottom w:val="single" w:sz="4" w:space="0" w:color="auto"/>
            </w:tcBorders>
            <w:shd w:val="clear" w:color="auto" w:fill="FABF8F"/>
            <w:vAlign w:val="center"/>
          </w:tcPr>
          <w:p w:rsidR="001A63C6" w:rsidRPr="003410C7" w:rsidRDefault="001A63C6" w:rsidP="001A63C6">
            <w:pPr>
              <w:pStyle w:val="TableText"/>
              <w:widowControl w:val="0"/>
              <w:rPr>
                <w:rFonts w:ascii="Tahoma" w:hAnsi="Tahoma" w:cs="Tahoma"/>
                <w:sz w:val="13"/>
              </w:rPr>
            </w:pPr>
            <w:r w:rsidRPr="003410C7">
              <w:rPr>
                <w:rFonts w:ascii="Tahoma" w:hAnsi="Tahoma" w:cs="Tahoma"/>
                <w:sz w:val="13"/>
              </w:rPr>
              <w:t>50</w:t>
            </w:r>
          </w:p>
        </w:tc>
        <w:tc>
          <w:tcPr>
            <w:tcW w:w="450" w:type="dxa"/>
            <w:tcBorders>
              <w:bottom w:val="single" w:sz="4" w:space="0" w:color="auto"/>
              <w:right w:val="single" w:sz="18" w:space="0" w:color="auto"/>
            </w:tcBorders>
            <w:shd w:val="clear" w:color="auto" w:fill="FABF8F"/>
            <w:vAlign w:val="center"/>
          </w:tcPr>
          <w:p w:rsidR="001A63C6" w:rsidRPr="003410C7" w:rsidRDefault="001A63C6" w:rsidP="001A63C6">
            <w:pPr>
              <w:pStyle w:val="TableText"/>
              <w:widowControl w:val="0"/>
              <w:rPr>
                <w:rFonts w:ascii="Tahoma" w:hAnsi="Tahoma" w:cs="Tahoma"/>
                <w:sz w:val="13"/>
              </w:rPr>
            </w:pPr>
            <w:r w:rsidRPr="003410C7">
              <w:rPr>
                <w:rFonts w:ascii="Tahoma" w:hAnsi="Tahoma" w:cs="Tahoma"/>
                <w:sz w:val="13"/>
              </w:rPr>
              <w:t>A,S</w:t>
            </w: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3410C7" w:rsidRDefault="001A63C6" w:rsidP="001A63C6">
            <w:pPr>
              <w:pStyle w:val="TableText"/>
              <w:widowControl w:val="0"/>
              <w:rPr>
                <w:rFonts w:ascii="Tahoma" w:hAnsi="Tahoma" w:cs="Tahoma"/>
                <w:sz w:val="13"/>
              </w:rPr>
            </w:pPr>
            <w:r w:rsidRPr="003410C7">
              <w:rPr>
                <w:rFonts w:ascii="Tahoma" w:hAnsi="Tahoma" w:cs="Tahoma"/>
                <w:sz w:val="13"/>
              </w:rPr>
              <w:t>P</w:t>
            </w:r>
          </w:p>
        </w:tc>
        <w:tc>
          <w:tcPr>
            <w:tcW w:w="450" w:type="dxa"/>
            <w:tcBorders>
              <w:bottom w:val="single" w:sz="4" w:space="0" w:color="auto"/>
            </w:tcBorders>
            <w:shd w:val="clear" w:color="auto" w:fill="FABF8F"/>
            <w:vAlign w:val="center"/>
          </w:tcPr>
          <w:p w:rsidR="001A63C6" w:rsidRPr="003410C7" w:rsidRDefault="001A63C6" w:rsidP="006C465D">
            <w:pPr>
              <w:pStyle w:val="TableText"/>
              <w:widowControl w:val="0"/>
              <w:spacing w:before="120"/>
              <w:rPr>
                <w:rFonts w:ascii="Tahoma" w:hAnsi="Tahoma" w:cs="Tahoma"/>
                <w:sz w:val="13"/>
              </w:rPr>
            </w:pPr>
            <w:r w:rsidRPr="003410C7">
              <w:rPr>
                <w:rFonts w:ascii="Tahoma" w:hAnsi="Tahoma" w:cs="Tahoma"/>
                <w:sz w:val="13"/>
              </w:rPr>
              <w:t>A</w:t>
            </w:r>
          </w:p>
        </w:tc>
        <w:tc>
          <w:tcPr>
            <w:tcW w:w="540" w:type="dxa"/>
            <w:tcBorders>
              <w:bottom w:val="single" w:sz="4" w:space="0" w:color="auto"/>
            </w:tcBorders>
            <w:shd w:val="clear" w:color="auto" w:fill="FABF8F"/>
            <w:vAlign w:val="center"/>
          </w:tcPr>
          <w:p w:rsidR="001A63C6" w:rsidRPr="003410C7" w:rsidRDefault="001A63C6" w:rsidP="001A63C6">
            <w:pPr>
              <w:pStyle w:val="TableText"/>
              <w:widowControl w:val="0"/>
              <w:rPr>
                <w:rFonts w:ascii="Tahoma" w:hAnsi="Tahoma" w:cs="Tahoma"/>
                <w:sz w:val="13"/>
              </w:rPr>
            </w:pPr>
          </w:p>
        </w:tc>
      </w:tr>
      <w:tr w:rsidR="001A63C6" w:rsidRPr="003410C7" w:rsidTr="007E466C">
        <w:trPr>
          <w:trHeight w:val="145"/>
        </w:trPr>
        <w:tc>
          <w:tcPr>
            <w:tcW w:w="2734" w:type="dxa"/>
            <w:gridSpan w:val="2"/>
            <w:tcBorders>
              <w:bottom w:val="single" w:sz="4" w:space="0" w:color="auto"/>
            </w:tcBorders>
            <w:shd w:val="clear" w:color="auto" w:fill="auto"/>
          </w:tcPr>
          <w:p w:rsidR="001A63C6" w:rsidRPr="003410C7" w:rsidRDefault="001A63C6" w:rsidP="00F57878">
            <w:pPr>
              <w:pStyle w:val="ProductNames"/>
              <w:spacing w:beforeLines="20" w:before="48" w:afterLines="20" w:after="48"/>
              <w:rPr>
                <w:rFonts w:ascii="Tahoma" w:hAnsi="Tahoma" w:cs="Tahoma"/>
                <w:sz w:val="14"/>
              </w:rPr>
            </w:pPr>
            <w:bookmarkStart w:id="383" w:name="_Toc336338041"/>
            <w:bookmarkStart w:id="384" w:name="_Toc352234650"/>
            <w:r w:rsidRPr="003410C7">
              <w:rPr>
                <w:rFonts w:ascii="Tahoma" w:hAnsi="Tahoma" w:cs="Tahoma"/>
                <w:sz w:val="14"/>
              </w:rPr>
              <w:t>Enterprise CAL per SharePoint™</w:t>
            </w:r>
            <w:r w:rsidR="00F57878">
              <w:rPr>
                <w:rFonts w:ascii="Tahoma" w:hAnsi="Tahoma" w:cs="Tahoma"/>
                <w:sz w:val="14"/>
              </w:rPr>
              <w:t> </w:t>
            </w:r>
            <w:r w:rsidRPr="003410C7">
              <w:rPr>
                <w:rFonts w:ascii="Tahoma" w:hAnsi="Tahoma" w:cs="Tahoma"/>
                <w:sz w:val="14"/>
              </w:rPr>
              <w:t>Server</w:t>
            </w:r>
            <w:bookmarkEnd w:id="383"/>
            <w:r w:rsidR="00F57878">
              <w:rPr>
                <w:rFonts w:ascii="Tahoma" w:hAnsi="Tahoma" w:cs="Tahoma"/>
                <w:sz w:val="14"/>
              </w:rPr>
              <w:t> </w:t>
            </w:r>
            <w:r w:rsidRPr="003410C7">
              <w:rPr>
                <w:rFonts w:ascii="Tahoma" w:hAnsi="Tahoma" w:cs="Tahoma"/>
                <w:sz w:val="14"/>
              </w:rPr>
              <w:t>2013</w:t>
            </w:r>
            <w:bookmarkEnd w:id="384"/>
            <w:r w:rsidRPr="003410C7">
              <w:rPr>
                <w:rFonts w:ascii="Tahoma" w:hAnsi="Tahoma" w:cs="Tahoma"/>
                <w:sz w:val="14"/>
              </w:rPr>
              <w:t xml:space="preserve"> </w:t>
            </w:r>
          </w:p>
        </w:tc>
        <w:tc>
          <w:tcPr>
            <w:tcW w:w="450" w:type="dxa"/>
            <w:tcBorders>
              <w:bottom w:val="single" w:sz="4" w:space="0" w:color="auto"/>
            </w:tcBorders>
            <w:shd w:val="clear" w:color="auto" w:fill="auto"/>
            <w:vAlign w:val="center"/>
          </w:tcPr>
          <w:p w:rsidR="001A63C6" w:rsidRPr="009F17FF" w:rsidRDefault="001A63C6" w:rsidP="001A63C6">
            <w:pPr>
              <w:pStyle w:val="TableText"/>
              <w:widowControl w:val="0"/>
              <w:rPr>
                <w:rStyle w:val="EndnoteReference"/>
                <w:color w:val="000000"/>
                <w:sz w:val="13"/>
                <w:szCs w:val="13"/>
                <w:u w:val="single"/>
              </w:rPr>
            </w:pPr>
          </w:p>
        </w:tc>
        <w:tc>
          <w:tcPr>
            <w:tcW w:w="450" w:type="dxa"/>
            <w:tcBorders>
              <w:bottom w:val="single" w:sz="4" w:space="0" w:color="auto"/>
            </w:tcBorders>
            <w:shd w:val="clear" w:color="auto" w:fill="auto"/>
          </w:tcPr>
          <w:p w:rsidR="001A63C6" w:rsidRPr="003410C7" w:rsidRDefault="001A63C6" w:rsidP="001A63C6">
            <w:pPr>
              <w:pStyle w:val="TableText"/>
              <w:widowControl w:val="0"/>
              <w:spacing w:before="120"/>
              <w:rPr>
                <w:rFonts w:ascii="Tahoma" w:hAnsi="Tahoma" w:cs="Tahoma"/>
                <w:color w:val="000000"/>
                <w:sz w:val="13"/>
              </w:rPr>
            </w:pPr>
            <w:r w:rsidRPr="003410C7">
              <w:rPr>
                <w:rFonts w:ascii="Tahoma" w:hAnsi="Tahoma" w:cs="Tahoma"/>
                <w:color w:val="000000"/>
                <w:sz w:val="13"/>
              </w:rPr>
              <w:t>10/12</w:t>
            </w:r>
          </w:p>
        </w:tc>
        <w:tc>
          <w:tcPr>
            <w:tcW w:w="360" w:type="dxa"/>
            <w:tcBorders>
              <w:bottom w:val="single" w:sz="4" w:space="0" w:color="auto"/>
              <w:right w:val="single" w:sz="18" w:space="0" w:color="auto"/>
            </w:tcBorders>
            <w:shd w:val="clear" w:color="auto" w:fill="auto"/>
            <w:vAlign w:val="center"/>
          </w:tcPr>
          <w:p w:rsidR="001A63C6" w:rsidRPr="003410C7" w:rsidRDefault="001A63C6" w:rsidP="001A63C6">
            <w:pPr>
              <w:pStyle w:val="TableText"/>
              <w:widowControl w:val="0"/>
              <w:rPr>
                <w:rFonts w:ascii="Tahoma" w:hAnsi="Tahoma" w:cs="Tahoma"/>
                <w:sz w:val="13"/>
              </w:rPr>
            </w:pPr>
            <w:r w:rsidRPr="003410C7">
              <w:rPr>
                <w:rFonts w:ascii="Tahoma" w:hAnsi="Tahoma" w:cs="Tahoma"/>
                <w:sz w:val="13"/>
              </w:rPr>
              <w:t>SRV</w:t>
            </w:r>
          </w:p>
        </w:tc>
        <w:tc>
          <w:tcPr>
            <w:tcW w:w="360" w:type="dxa"/>
            <w:tcBorders>
              <w:left w:val="single" w:sz="18" w:space="0" w:color="auto"/>
              <w:bottom w:val="single" w:sz="4" w:space="0" w:color="auto"/>
            </w:tcBorders>
            <w:shd w:val="clear" w:color="auto" w:fill="auto"/>
            <w:vAlign w:val="center"/>
          </w:tcPr>
          <w:p w:rsidR="001A63C6" w:rsidRPr="003410C7" w:rsidRDefault="001A63C6" w:rsidP="001A63C6">
            <w:pPr>
              <w:pStyle w:val="TableText"/>
              <w:widowControl w:val="0"/>
              <w:rPr>
                <w:rFonts w:ascii="Tahoma" w:hAnsi="Tahoma" w:cs="Tahoma"/>
                <w:sz w:val="13"/>
              </w:rPr>
            </w:pPr>
            <w:r w:rsidRPr="003410C7">
              <w:rPr>
                <w:rFonts w:ascii="Tahoma" w:hAnsi="Tahoma" w:cs="Tahoma"/>
                <w:sz w:val="13"/>
              </w:rPr>
              <w:t>1</w:t>
            </w:r>
          </w:p>
        </w:tc>
        <w:tc>
          <w:tcPr>
            <w:tcW w:w="450" w:type="dxa"/>
            <w:tcBorders>
              <w:bottom w:val="single" w:sz="4" w:space="0" w:color="auto"/>
            </w:tcBorders>
            <w:shd w:val="clear" w:color="auto" w:fill="auto"/>
            <w:vAlign w:val="center"/>
          </w:tcPr>
          <w:p w:rsidR="001A63C6" w:rsidRPr="003410C7" w:rsidRDefault="001A63C6" w:rsidP="001A63C6">
            <w:pPr>
              <w:pStyle w:val="TableText"/>
              <w:widowControl w:val="0"/>
              <w:rPr>
                <w:rFonts w:ascii="Tahoma" w:hAnsi="Tahoma" w:cs="Tahoma"/>
                <w:sz w:val="13"/>
              </w:rPr>
            </w:pPr>
            <w:r w:rsidRPr="003410C7">
              <w:rPr>
                <w:rFonts w:ascii="Tahoma" w:hAnsi="Tahoma" w:cs="Tahoma"/>
                <w:sz w:val="13"/>
              </w:rPr>
              <w:t>3</w:t>
            </w:r>
          </w:p>
        </w:tc>
        <w:tc>
          <w:tcPr>
            <w:tcW w:w="450" w:type="dxa"/>
            <w:tcBorders>
              <w:bottom w:val="single" w:sz="4" w:space="0" w:color="auto"/>
            </w:tcBorders>
            <w:shd w:val="clear" w:color="auto" w:fill="auto"/>
            <w:vAlign w:val="center"/>
          </w:tcPr>
          <w:p w:rsidR="001A63C6" w:rsidRPr="003410C7" w:rsidRDefault="001A63C6" w:rsidP="001A63C6">
            <w:pPr>
              <w:pStyle w:val="TableText"/>
              <w:widowControl w:val="0"/>
              <w:rPr>
                <w:rFonts w:ascii="Tahoma" w:hAnsi="Tahoma" w:cs="Tahoma"/>
                <w:sz w:val="13"/>
              </w:rPr>
            </w:pPr>
            <w:r w:rsidRPr="003410C7">
              <w:rPr>
                <w:rFonts w:ascii="Tahoma" w:hAnsi="Tahoma" w:cs="Tahoma"/>
                <w:sz w:val="13"/>
              </w:rPr>
              <w:t>2</w:t>
            </w:r>
          </w:p>
        </w:tc>
        <w:tc>
          <w:tcPr>
            <w:tcW w:w="450" w:type="dxa"/>
            <w:tcBorders>
              <w:bottom w:val="single" w:sz="4" w:space="0" w:color="auto"/>
            </w:tcBorders>
            <w:shd w:val="clear" w:color="auto" w:fill="auto"/>
            <w:vAlign w:val="center"/>
          </w:tcPr>
          <w:p w:rsidR="001A63C6" w:rsidRPr="003410C7" w:rsidRDefault="001A63C6" w:rsidP="001A63C6">
            <w:pPr>
              <w:pStyle w:val="TableText"/>
              <w:widowControl w:val="0"/>
              <w:rPr>
                <w:rFonts w:ascii="Tahoma" w:hAnsi="Tahoma" w:cs="Tahoma"/>
                <w:sz w:val="13"/>
              </w:rPr>
            </w:pPr>
            <w:r w:rsidRPr="003410C7">
              <w:rPr>
                <w:rFonts w:ascii="Tahoma" w:hAnsi="Tahoma" w:cs="Tahoma"/>
                <w:sz w:val="13"/>
              </w:rPr>
              <w:t>2</w:t>
            </w:r>
          </w:p>
        </w:tc>
        <w:tc>
          <w:tcPr>
            <w:tcW w:w="450" w:type="dxa"/>
            <w:tcBorders>
              <w:bottom w:val="single" w:sz="4" w:space="0" w:color="auto"/>
            </w:tcBorders>
            <w:shd w:val="clear" w:color="auto" w:fill="auto"/>
            <w:vAlign w:val="center"/>
          </w:tcPr>
          <w:p w:rsidR="001A63C6" w:rsidRPr="003410C7" w:rsidRDefault="001A63C6" w:rsidP="001A63C6">
            <w:pPr>
              <w:pStyle w:val="TableText"/>
              <w:widowControl w:val="0"/>
              <w:rPr>
                <w:rFonts w:ascii="Tahoma" w:hAnsi="Tahoma" w:cs="Tahoma"/>
                <w:sz w:val="13"/>
              </w:rPr>
            </w:pPr>
            <w:r w:rsidRPr="003410C7">
              <w:rPr>
                <w:rFonts w:ascii="Tahoma" w:hAnsi="Tahoma" w:cs="Tahoma"/>
                <w:sz w:val="13"/>
              </w:rPr>
              <w:t>2</w:t>
            </w:r>
          </w:p>
        </w:tc>
        <w:tc>
          <w:tcPr>
            <w:tcW w:w="450" w:type="dxa"/>
            <w:tcBorders>
              <w:bottom w:val="single" w:sz="4" w:space="0" w:color="auto"/>
            </w:tcBorders>
            <w:shd w:val="clear" w:color="auto" w:fill="auto"/>
            <w:vAlign w:val="center"/>
          </w:tcPr>
          <w:p w:rsidR="001A63C6" w:rsidRPr="003410C7" w:rsidRDefault="001A63C6" w:rsidP="001A63C6">
            <w:pPr>
              <w:pStyle w:val="TableText"/>
              <w:widowControl w:val="0"/>
              <w:rPr>
                <w:rFonts w:ascii="Tahoma" w:hAnsi="Tahoma" w:cs="Tahoma"/>
                <w:sz w:val="13"/>
              </w:rPr>
            </w:pPr>
            <w:r w:rsidRPr="003410C7">
              <w:rPr>
                <w:rFonts w:ascii="Tahoma" w:hAnsi="Tahoma" w:cs="Tahoma"/>
                <w:sz w:val="13"/>
              </w:rPr>
              <w:t>1</w:t>
            </w:r>
          </w:p>
        </w:tc>
        <w:tc>
          <w:tcPr>
            <w:tcW w:w="360" w:type="dxa"/>
            <w:tcBorders>
              <w:bottom w:val="single" w:sz="4" w:space="0" w:color="auto"/>
              <w:right w:val="single" w:sz="18" w:space="0" w:color="auto"/>
            </w:tcBorders>
            <w:shd w:val="clear" w:color="auto" w:fill="auto"/>
            <w:vAlign w:val="center"/>
          </w:tcPr>
          <w:p w:rsidR="001A63C6" w:rsidRPr="003410C7" w:rsidRDefault="001A63C6" w:rsidP="001A63C6">
            <w:pPr>
              <w:pStyle w:val="TableText"/>
              <w:widowControl w:val="0"/>
              <w:rPr>
                <w:rFonts w:ascii="Tahoma" w:hAnsi="Tahoma" w:cs="Tahoma"/>
                <w:sz w:val="13"/>
              </w:rPr>
            </w:pPr>
            <w:r w:rsidRPr="003410C7">
              <w:rPr>
                <w:rFonts w:ascii="Tahoma" w:hAnsi="Tahoma" w:cs="Tahoma"/>
                <w:sz w:val="13"/>
              </w:rPr>
              <w:t>1</w:t>
            </w:r>
          </w:p>
        </w:tc>
        <w:tc>
          <w:tcPr>
            <w:tcW w:w="450" w:type="dxa"/>
            <w:tcBorders>
              <w:left w:val="single" w:sz="18" w:space="0" w:color="auto"/>
              <w:bottom w:val="single" w:sz="4" w:space="0" w:color="auto"/>
            </w:tcBorders>
            <w:shd w:val="clear" w:color="auto" w:fill="auto"/>
            <w:vAlign w:val="center"/>
          </w:tcPr>
          <w:p w:rsidR="001A63C6" w:rsidRPr="003410C7" w:rsidRDefault="001A63C6" w:rsidP="001A63C6">
            <w:pPr>
              <w:pStyle w:val="TableText"/>
              <w:widowControl w:val="0"/>
              <w:rPr>
                <w:rFonts w:ascii="Tahoma" w:hAnsi="Tahoma" w:cs="Tahoma"/>
                <w:sz w:val="13"/>
              </w:rPr>
            </w:pPr>
            <w:r w:rsidRPr="003410C7">
              <w:rPr>
                <w:rFonts w:ascii="Tahoma" w:hAnsi="Tahoma" w:cs="Tahoma"/>
                <w:sz w:val="13"/>
              </w:rPr>
              <w:t>1</w:t>
            </w:r>
          </w:p>
        </w:tc>
        <w:tc>
          <w:tcPr>
            <w:tcW w:w="450" w:type="dxa"/>
            <w:tcBorders>
              <w:bottom w:val="single" w:sz="4" w:space="0" w:color="auto"/>
            </w:tcBorders>
            <w:shd w:val="clear" w:color="auto" w:fill="auto"/>
            <w:vAlign w:val="center"/>
          </w:tcPr>
          <w:p w:rsidR="001A63C6" w:rsidRPr="003410C7" w:rsidRDefault="001A63C6" w:rsidP="001A63C6">
            <w:pPr>
              <w:pStyle w:val="TableText"/>
              <w:widowControl w:val="0"/>
              <w:rPr>
                <w:rFonts w:ascii="Tahoma" w:hAnsi="Tahoma" w:cs="Tahoma"/>
                <w:sz w:val="13"/>
              </w:rPr>
            </w:pPr>
            <w:r w:rsidRPr="003410C7">
              <w:rPr>
                <w:rFonts w:ascii="Tahoma" w:hAnsi="Tahoma" w:cs="Tahoma"/>
                <w:sz w:val="13"/>
              </w:rPr>
              <w:t>2</w:t>
            </w:r>
          </w:p>
        </w:tc>
        <w:tc>
          <w:tcPr>
            <w:tcW w:w="450" w:type="dxa"/>
            <w:tcBorders>
              <w:bottom w:val="single" w:sz="4" w:space="0" w:color="auto"/>
              <w:right w:val="single" w:sz="18" w:space="0" w:color="auto"/>
            </w:tcBorders>
            <w:shd w:val="clear" w:color="auto" w:fill="auto"/>
            <w:vAlign w:val="center"/>
          </w:tcPr>
          <w:p w:rsidR="001A63C6" w:rsidRPr="003410C7" w:rsidRDefault="001A63C6" w:rsidP="001A63C6">
            <w:pPr>
              <w:pStyle w:val="TableText"/>
              <w:widowControl w:val="0"/>
              <w:rPr>
                <w:rFonts w:ascii="Tahoma" w:hAnsi="Tahoma" w:cs="Tahoma"/>
                <w:sz w:val="13"/>
              </w:rPr>
            </w:pPr>
            <w:r w:rsidRPr="003410C7">
              <w:rPr>
                <w:rFonts w:ascii="Tahoma" w:hAnsi="Tahoma" w:cs="Tahoma"/>
                <w:sz w:val="13"/>
              </w:rPr>
              <w:t>1</w:t>
            </w:r>
          </w:p>
        </w:tc>
        <w:tc>
          <w:tcPr>
            <w:tcW w:w="450" w:type="dxa"/>
            <w:tcBorders>
              <w:left w:val="single" w:sz="18" w:space="0" w:color="auto"/>
              <w:bottom w:val="single" w:sz="4" w:space="0" w:color="auto"/>
            </w:tcBorders>
            <w:shd w:val="clear" w:color="auto" w:fill="auto"/>
            <w:vAlign w:val="center"/>
          </w:tcPr>
          <w:p w:rsidR="001A63C6" w:rsidRPr="003410C7" w:rsidRDefault="001A63C6" w:rsidP="001A63C6">
            <w:pPr>
              <w:pStyle w:val="TableText"/>
              <w:widowControl w:val="0"/>
              <w:rPr>
                <w:rFonts w:ascii="Tahoma" w:hAnsi="Tahoma" w:cs="Tahoma"/>
                <w:sz w:val="13"/>
              </w:rPr>
            </w:pPr>
            <w:r w:rsidRPr="003410C7">
              <w:rPr>
                <w:rFonts w:ascii="Tahoma" w:hAnsi="Tahoma" w:cs="Tahoma"/>
                <w:sz w:val="13"/>
              </w:rPr>
              <w:t>1</w:t>
            </w:r>
          </w:p>
        </w:tc>
        <w:tc>
          <w:tcPr>
            <w:tcW w:w="450" w:type="dxa"/>
            <w:tcBorders>
              <w:bottom w:val="single" w:sz="4" w:space="0" w:color="auto"/>
              <w:right w:val="single" w:sz="18" w:space="0" w:color="auto"/>
            </w:tcBorders>
            <w:shd w:val="clear" w:color="auto" w:fill="auto"/>
            <w:vAlign w:val="center"/>
          </w:tcPr>
          <w:p w:rsidR="001A63C6" w:rsidRPr="003410C7" w:rsidRDefault="001A63C6" w:rsidP="001A63C6">
            <w:pPr>
              <w:pStyle w:val="TableText"/>
              <w:widowControl w:val="0"/>
              <w:rPr>
                <w:rFonts w:ascii="Tahoma" w:hAnsi="Tahoma" w:cs="Tahoma"/>
                <w:sz w:val="13"/>
              </w:rPr>
            </w:pPr>
            <w:r w:rsidRPr="003410C7">
              <w:rPr>
                <w:rFonts w:ascii="Tahoma" w:hAnsi="Tahoma" w:cs="Tahoma"/>
                <w:sz w:val="13"/>
              </w:rPr>
              <w:t>A, D</w:t>
            </w:r>
          </w:p>
        </w:tc>
        <w:tc>
          <w:tcPr>
            <w:tcW w:w="450" w:type="dxa"/>
            <w:tcBorders>
              <w:left w:val="single" w:sz="18" w:space="0" w:color="auto"/>
              <w:bottom w:val="single" w:sz="4" w:space="0" w:color="auto"/>
              <w:right w:val="single" w:sz="18" w:space="0" w:color="auto"/>
            </w:tcBorders>
            <w:shd w:val="clear" w:color="auto" w:fill="auto"/>
            <w:vAlign w:val="center"/>
          </w:tcPr>
          <w:p w:rsidR="001A63C6" w:rsidRPr="003410C7" w:rsidRDefault="001A63C6" w:rsidP="001A63C6">
            <w:pPr>
              <w:pStyle w:val="TableText"/>
              <w:widowControl w:val="0"/>
              <w:rPr>
                <w:rFonts w:ascii="Tahoma" w:hAnsi="Tahoma" w:cs="Tahoma"/>
                <w:sz w:val="13"/>
              </w:rPr>
            </w:pPr>
            <w:r w:rsidRPr="003410C7">
              <w:rPr>
                <w:rFonts w:ascii="Tahoma" w:hAnsi="Tahoma" w:cs="Tahoma"/>
                <w:sz w:val="13"/>
              </w:rPr>
              <w:t>P</w:t>
            </w:r>
          </w:p>
        </w:tc>
        <w:tc>
          <w:tcPr>
            <w:tcW w:w="450" w:type="dxa"/>
            <w:tcBorders>
              <w:bottom w:val="single" w:sz="4" w:space="0" w:color="auto"/>
            </w:tcBorders>
            <w:shd w:val="clear" w:color="auto" w:fill="auto"/>
          </w:tcPr>
          <w:p w:rsidR="001A63C6" w:rsidRPr="003410C7" w:rsidRDefault="001A63C6" w:rsidP="001A63C6">
            <w:pPr>
              <w:pStyle w:val="TableText"/>
              <w:widowControl w:val="0"/>
              <w:spacing w:before="120"/>
              <w:rPr>
                <w:rFonts w:ascii="Tahoma" w:hAnsi="Tahoma" w:cs="Tahoma"/>
                <w:sz w:val="13"/>
              </w:rPr>
            </w:pPr>
            <w:r w:rsidRPr="003410C7">
              <w:rPr>
                <w:rFonts w:ascii="Tahoma" w:hAnsi="Tahoma" w:cs="Tahoma"/>
                <w:sz w:val="13"/>
              </w:rPr>
              <w:t>AO, ST</w:t>
            </w:r>
          </w:p>
        </w:tc>
        <w:tc>
          <w:tcPr>
            <w:tcW w:w="540" w:type="dxa"/>
            <w:tcBorders>
              <w:bottom w:val="single" w:sz="4" w:space="0" w:color="auto"/>
            </w:tcBorders>
            <w:shd w:val="clear" w:color="auto" w:fill="auto"/>
            <w:vAlign w:val="center"/>
          </w:tcPr>
          <w:p w:rsidR="001A63C6" w:rsidRPr="003410C7" w:rsidRDefault="001A63C6" w:rsidP="001A63C6">
            <w:pPr>
              <w:pStyle w:val="TableText"/>
              <w:widowControl w:val="0"/>
              <w:rPr>
                <w:rFonts w:ascii="Tahoma" w:hAnsi="Tahoma" w:cs="Tahoma"/>
                <w:sz w:val="13"/>
              </w:rPr>
            </w:pPr>
          </w:p>
        </w:tc>
      </w:tr>
      <w:tr w:rsidR="00B33D0E" w:rsidRPr="003410C7" w:rsidTr="006B1F3F">
        <w:trPr>
          <w:trHeight w:val="260"/>
        </w:trPr>
        <w:tc>
          <w:tcPr>
            <w:tcW w:w="2734" w:type="dxa"/>
            <w:gridSpan w:val="2"/>
            <w:tcBorders>
              <w:bottom w:val="single" w:sz="4" w:space="0" w:color="auto"/>
            </w:tcBorders>
            <w:shd w:val="clear" w:color="auto" w:fill="FABF8F"/>
          </w:tcPr>
          <w:p w:rsidR="001A63C6" w:rsidRPr="003410C7" w:rsidRDefault="001A63C6" w:rsidP="003410C7">
            <w:pPr>
              <w:pStyle w:val="ProductNames"/>
              <w:spacing w:beforeLines="20" w:before="48" w:afterLines="20" w:after="48"/>
              <w:rPr>
                <w:rFonts w:ascii="Tahoma" w:hAnsi="Tahoma" w:cs="Tahoma"/>
                <w:sz w:val="14"/>
              </w:rPr>
            </w:pPr>
            <w:bookmarkStart w:id="385" w:name="_Toc336338044"/>
            <w:bookmarkStart w:id="386" w:name="_Toc352234651"/>
            <w:r w:rsidRPr="003410C7">
              <w:rPr>
                <w:rFonts w:ascii="Tahoma" w:hAnsi="Tahoma" w:cs="Tahoma"/>
                <w:sz w:val="14"/>
              </w:rPr>
              <w:t xml:space="preserve">Standard CAL per </w:t>
            </w:r>
            <w:r w:rsidR="00F57878">
              <w:rPr>
                <w:rFonts w:ascii="Tahoma" w:hAnsi="Tahoma" w:cs="Tahoma"/>
                <w:sz w:val="14"/>
              </w:rPr>
              <w:br/>
            </w:r>
            <w:r w:rsidRPr="003410C7">
              <w:rPr>
                <w:rFonts w:ascii="Tahoma" w:hAnsi="Tahoma" w:cs="Tahoma"/>
                <w:sz w:val="14"/>
              </w:rPr>
              <w:t>SharePoint™ Server</w:t>
            </w:r>
            <w:bookmarkEnd w:id="385"/>
            <w:r w:rsidRPr="003410C7">
              <w:rPr>
                <w:rFonts w:ascii="Tahoma" w:hAnsi="Tahoma" w:cs="Tahoma"/>
                <w:sz w:val="14"/>
              </w:rPr>
              <w:t xml:space="preserve"> 2013</w:t>
            </w:r>
            <w:bookmarkEnd w:id="386"/>
          </w:p>
        </w:tc>
        <w:tc>
          <w:tcPr>
            <w:tcW w:w="450" w:type="dxa"/>
            <w:tcBorders>
              <w:bottom w:val="single" w:sz="4" w:space="0" w:color="auto"/>
            </w:tcBorders>
            <w:shd w:val="clear" w:color="auto" w:fill="FABF8F"/>
            <w:vAlign w:val="center"/>
          </w:tcPr>
          <w:p w:rsidR="001A63C6" w:rsidRPr="009F17FF" w:rsidRDefault="001A63C6" w:rsidP="003410C7">
            <w:pPr>
              <w:pStyle w:val="TableText"/>
              <w:widowControl w:val="0"/>
              <w:spacing w:beforeLines="20" w:before="48" w:afterLines="20" w:after="48"/>
              <w:rPr>
                <w:rStyle w:val="EndnoteReference"/>
                <w:rFonts w:cs="Tahoma"/>
                <w:color w:val="000000"/>
                <w:sz w:val="13"/>
                <w:szCs w:val="13"/>
                <w:u w:val="single"/>
              </w:rPr>
            </w:pPr>
          </w:p>
        </w:tc>
        <w:tc>
          <w:tcPr>
            <w:tcW w:w="450" w:type="dxa"/>
            <w:tcBorders>
              <w:bottom w:val="single" w:sz="4" w:space="0" w:color="auto"/>
            </w:tcBorders>
            <w:shd w:val="clear" w:color="auto" w:fill="FABF8F"/>
          </w:tcPr>
          <w:p w:rsidR="001A63C6" w:rsidRPr="003410C7" w:rsidRDefault="001A63C6" w:rsidP="003410C7">
            <w:pPr>
              <w:pStyle w:val="TableText"/>
              <w:widowControl w:val="0"/>
              <w:spacing w:beforeLines="20" w:before="48" w:afterLines="20" w:after="48"/>
              <w:rPr>
                <w:rFonts w:ascii="Tahoma" w:hAnsi="Tahoma" w:cs="Tahoma"/>
                <w:color w:val="000000"/>
                <w:sz w:val="13"/>
              </w:rPr>
            </w:pPr>
            <w:r w:rsidRPr="003410C7">
              <w:rPr>
                <w:rFonts w:ascii="Tahoma" w:hAnsi="Tahoma" w:cs="Tahoma"/>
                <w:color w:val="000000"/>
                <w:sz w:val="13"/>
              </w:rPr>
              <w:t>10/12</w:t>
            </w:r>
          </w:p>
        </w:tc>
        <w:tc>
          <w:tcPr>
            <w:tcW w:w="360" w:type="dxa"/>
            <w:tcBorders>
              <w:bottom w:val="single" w:sz="4" w:space="0" w:color="auto"/>
              <w:right w:val="single" w:sz="18" w:space="0" w:color="auto"/>
            </w:tcBorders>
            <w:shd w:val="clear" w:color="auto" w:fill="FABF8F"/>
            <w:vAlign w:val="center"/>
          </w:tcPr>
          <w:p w:rsidR="001A63C6" w:rsidRPr="003410C7" w:rsidRDefault="001A63C6" w:rsidP="003410C7">
            <w:pPr>
              <w:pStyle w:val="TableText"/>
              <w:widowControl w:val="0"/>
              <w:spacing w:beforeLines="20" w:before="48" w:afterLines="20" w:after="48"/>
              <w:rPr>
                <w:rFonts w:ascii="Tahoma" w:hAnsi="Tahoma" w:cs="Tahoma"/>
                <w:sz w:val="13"/>
              </w:rPr>
            </w:pPr>
            <w:r w:rsidRPr="003410C7">
              <w:rPr>
                <w:rFonts w:ascii="Tahoma" w:hAnsi="Tahoma" w:cs="Tahoma"/>
                <w:sz w:val="13"/>
              </w:rPr>
              <w:t>SRV</w:t>
            </w:r>
          </w:p>
        </w:tc>
        <w:tc>
          <w:tcPr>
            <w:tcW w:w="360" w:type="dxa"/>
            <w:tcBorders>
              <w:left w:val="single" w:sz="18" w:space="0" w:color="auto"/>
              <w:bottom w:val="single" w:sz="4" w:space="0" w:color="auto"/>
            </w:tcBorders>
            <w:shd w:val="clear" w:color="auto" w:fill="FABF8F"/>
            <w:vAlign w:val="center"/>
          </w:tcPr>
          <w:p w:rsidR="001A63C6" w:rsidRPr="003410C7" w:rsidRDefault="001A63C6" w:rsidP="003410C7">
            <w:pPr>
              <w:pStyle w:val="TableText"/>
              <w:widowControl w:val="0"/>
              <w:spacing w:beforeLines="20" w:before="48" w:afterLines="20" w:after="48"/>
              <w:rPr>
                <w:rFonts w:ascii="Tahoma" w:hAnsi="Tahoma" w:cs="Tahoma"/>
                <w:sz w:val="13"/>
              </w:rPr>
            </w:pPr>
            <w:r w:rsidRPr="003410C7">
              <w:rPr>
                <w:rFonts w:ascii="Tahoma" w:hAnsi="Tahoma" w:cs="Tahoma"/>
                <w:sz w:val="13"/>
              </w:rPr>
              <w:t>1</w:t>
            </w:r>
          </w:p>
        </w:tc>
        <w:tc>
          <w:tcPr>
            <w:tcW w:w="450" w:type="dxa"/>
            <w:tcBorders>
              <w:bottom w:val="single" w:sz="4" w:space="0" w:color="auto"/>
            </w:tcBorders>
            <w:shd w:val="clear" w:color="auto" w:fill="FABF8F"/>
            <w:vAlign w:val="center"/>
          </w:tcPr>
          <w:p w:rsidR="001A63C6" w:rsidRPr="003410C7" w:rsidRDefault="001A63C6" w:rsidP="003410C7">
            <w:pPr>
              <w:pStyle w:val="TableText"/>
              <w:widowControl w:val="0"/>
              <w:spacing w:beforeLines="20" w:before="48" w:afterLines="20" w:after="48"/>
              <w:rPr>
                <w:rFonts w:ascii="Tahoma" w:hAnsi="Tahoma" w:cs="Tahoma"/>
                <w:sz w:val="13"/>
              </w:rPr>
            </w:pPr>
            <w:r w:rsidRPr="003410C7">
              <w:rPr>
                <w:rFonts w:ascii="Tahoma" w:hAnsi="Tahoma" w:cs="Tahoma"/>
                <w:sz w:val="13"/>
              </w:rPr>
              <w:t>3</w:t>
            </w:r>
          </w:p>
        </w:tc>
        <w:tc>
          <w:tcPr>
            <w:tcW w:w="450" w:type="dxa"/>
            <w:tcBorders>
              <w:bottom w:val="single" w:sz="4" w:space="0" w:color="auto"/>
            </w:tcBorders>
            <w:shd w:val="clear" w:color="auto" w:fill="FABF8F"/>
            <w:vAlign w:val="center"/>
          </w:tcPr>
          <w:p w:rsidR="001A63C6" w:rsidRPr="003410C7" w:rsidRDefault="001A63C6" w:rsidP="003410C7">
            <w:pPr>
              <w:pStyle w:val="TableText"/>
              <w:widowControl w:val="0"/>
              <w:spacing w:beforeLines="20" w:before="48" w:afterLines="20" w:after="48"/>
              <w:rPr>
                <w:rFonts w:ascii="Tahoma" w:hAnsi="Tahoma" w:cs="Tahoma"/>
                <w:sz w:val="13"/>
              </w:rPr>
            </w:pPr>
            <w:r w:rsidRPr="003410C7">
              <w:rPr>
                <w:rFonts w:ascii="Tahoma" w:hAnsi="Tahoma" w:cs="Tahoma"/>
                <w:sz w:val="13"/>
              </w:rPr>
              <w:t>2</w:t>
            </w:r>
          </w:p>
        </w:tc>
        <w:tc>
          <w:tcPr>
            <w:tcW w:w="450" w:type="dxa"/>
            <w:tcBorders>
              <w:bottom w:val="single" w:sz="4" w:space="0" w:color="auto"/>
            </w:tcBorders>
            <w:shd w:val="clear" w:color="auto" w:fill="FABF8F"/>
            <w:vAlign w:val="center"/>
          </w:tcPr>
          <w:p w:rsidR="001A63C6" w:rsidRPr="003410C7" w:rsidRDefault="001A63C6" w:rsidP="003410C7">
            <w:pPr>
              <w:pStyle w:val="TableText"/>
              <w:widowControl w:val="0"/>
              <w:spacing w:beforeLines="20" w:before="48" w:afterLines="20" w:after="48"/>
              <w:rPr>
                <w:rFonts w:ascii="Tahoma" w:hAnsi="Tahoma" w:cs="Tahoma"/>
                <w:sz w:val="13"/>
              </w:rPr>
            </w:pPr>
            <w:r w:rsidRPr="003410C7">
              <w:rPr>
                <w:rFonts w:ascii="Tahoma" w:hAnsi="Tahoma" w:cs="Tahoma"/>
                <w:sz w:val="13"/>
              </w:rPr>
              <w:t>2</w:t>
            </w:r>
          </w:p>
        </w:tc>
        <w:tc>
          <w:tcPr>
            <w:tcW w:w="450" w:type="dxa"/>
            <w:tcBorders>
              <w:bottom w:val="single" w:sz="4" w:space="0" w:color="auto"/>
            </w:tcBorders>
            <w:shd w:val="clear" w:color="auto" w:fill="FABF8F"/>
            <w:vAlign w:val="center"/>
          </w:tcPr>
          <w:p w:rsidR="001A63C6" w:rsidRPr="003410C7" w:rsidRDefault="001A63C6" w:rsidP="003410C7">
            <w:pPr>
              <w:pStyle w:val="TableText"/>
              <w:widowControl w:val="0"/>
              <w:spacing w:beforeLines="20" w:before="48" w:afterLines="20" w:after="48"/>
              <w:rPr>
                <w:rFonts w:ascii="Tahoma" w:hAnsi="Tahoma" w:cs="Tahoma"/>
                <w:sz w:val="13"/>
              </w:rPr>
            </w:pPr>
            <w:r w:rsidRPr="003410C7">
              <w:rPr>
                <w:rFonts w:ascii="Tahoma" w:hAnsi="Tahoma" w:cs="Tahoma"/>
                <w:sz w:val="13"/>
              </w:rPr>
              <w:t>2</w:t>
            </w:r>
          </w:p>
        </w:tc>
        <w:tc>
          <w:tcPr>
            <w:tcW w:w="450" w:type="dxa"/>
            <w:tcBorders>
              <w:bottom w:val="single" w:sz="4" w:space="0" w:color="auto"/>
            </w:tcBorders>
            <w:shd w:val="clear" w:color="auto" w:fill="FABF8F"/>
            <w:vAlign w:val="center"/>
          </w:tcPr>
          <w:p w:rsidR="001A63C6" w:rsidRPr="003410C7" w:rsidRDefault="001A63C6" w:rsidP="003410C7">
            <w:pPr>
              <w:pStyle w:val="TableText"/>
              <w:widowControl w:val="0"/>
              <w:spacing w:beforeLines="20" w:before="48" w:afterLines="20" w:after="48"/>
              <w:rPr>
                <w:rFonts w:ascii="Tahoma" w:hAnsi="Tahoma" w:cs="Tahoma"/>
                <w:sz w:val="13"/>
              </w:rPr>
            </w:pPr>
            <w:r w:rsidRPr="003410C7">
              <w:rPr>
                <w:rFonts w:ascii="Tahoma" w:hAnsi="Tahoma" w:cs="Tahoma"/>
                <w:sz w:val="13"/>
              </w:rPr>
              <w:t>1</w:t>
            </w:r>
          </w:p>
        </w:tc>
        <w:tc>
          <w:tcPr>
            <w:tcW w:w="360" w:type="dxa"/>
            <w:tcBorders>
              <w:bottom w:val="single" w:sz="4" w:space="0" w:color="auto"/>
              <w:right w:val="single" w:sz="18" w:space="0" w:color="auto"/>
            </w:tcBorders>
            <w:shd w:val="clear" w:color="auto" w:fill="FABF8F"/>
            <w:vAlign w:val="center"/>
          </w:tcPr>
          <w:p w:rsidR="001A63C6" w:rsidRPr="003410C7" w:rsidRDefault="001A63C6" w:rsidP="003410C7">
            <w:pPr>
              <w:pStyle w:val="TableText"/>
              <w:widowControl w:val="0"/>
              <w:spacing w:beforeLines="20" w:before="48" w:afterLines="20" w:after="48"/>
              <w:rPr>
                <w:rFonts w:ascii="Tahoma" w:hAnsi="Tahoma" w:cs="Tahoma"/>
                <w:sz w:val="13"/>
              </w:rPr>
            </w:pPr>
            <w:r w:rsidRPr="003410C7">
              <w:rPr>
                <w:rFonts w:ascii="Tahoma" w:hAnsi="Tahoma" w:cs="Tahoma"/>
                <w:sz w:val="13"/>
              </w:rPr>
              <w:t>1</w:t>
            </w:r>
          </w:p>
        </w:tc>
        <w:tc>
          <w:tcPr>
            <w:tcW w:w="450" w:type="dxa"/>
            <w:tcBorders>
              <w:left w:val="single" w:sz="18" w:space="0" w:color="auto"/>
              <w:bottom w:val="single" w:sz="4" w:space="0" w:color="auto"/>
            </w:tcBorders>
            <w:shd w:val="clear" w:color="auto" w:fill="FABF8F"/>
            <w:vAlign w:val="center"/>
          </w:tcPr>
          <w:p w:rsidR="001A63C6" w:rsidRPr="003410C7" w:rsidRDefault="001A63C6" w:rsidP="003410C7">
            <w:pPr>
              <w:pStyle w:val="TableText"/>
              <w:widowControl w:val="0"/>
              <w:spacing w:beforeLines="20" w:before="48" w:afterLines="20" w:after="48"/>
              <w:rPr>
                <w:rFonts w:ascii="Tahoma" w:hAnsi="Tahoma" w:cs="Tahoma"/>
                <w:sz w:val="13"/>
              </w:rPr>
            </w:pPr>
            <w:r w:rsidRPr="003410C7">
              <w:rPr>
                <w:rFonts w:ascii="Tahoma" w:hAnsi="Tahoma" w:cs="Tahoma"/>
                <w:sz w:val="13"/>
              </w:rPr>
              <w:t>1</w:t>
            </w:r>
          </w:p>
        </w:tc>
        <w:tc>
          <w:tcPr>
            <w:tcW w:w="450" w:type="dxa"/>
            <w:tcBorders>
              <w:bottom w:val="single" w:sz="4" w:space="0" w:color="auto"/>
            </w:tcBorders>
            <w:shd w:val="clear" w:color="auto" w:fill="FABF8F"/>
            <w:vAlign w:val="center"/>
          </w:tcPr>
          <w:p w:rsidR="001A63C6" w:rsidRPr="003410C7" w:rsidRDefault="001A63C6" w:rsidP="003410C7">
            <w:pPr>
              <w:pStyle w:val="TableText"/>
              <w:widowControl w:val="0"/>
              <w:spacing w:beforeLines="20" w:before="48" w:afterLines="20" w:after="48"/>
              <w:rPr>
                <w:rFonts w:ascii="Tahoma" w:hAnsi="Tahoma" w:cs="Tahoma"/>
                <w:sz w:val="13"/>
              </w:rPr>
            </w:pPr>
            <w:r w:rsidRPr="003410C7">
              <w:rPr>
                <w:rFonts w:ascii="Tahoma" w:hAnsi="Tahoma" w:cs="Tahoma"/>
                <w:sz w:val="13"/>
              </w:rPr>
              <w:t>2</w:t>
            </w:r>
          </w:p>
        </w:tc>
        <w:tc>
          <w:tcPr>
            <w:tcW w:w="450" w:type="dxa"/>
            <w:tcBorders>
              <w:bottom w:val="single" w:sz="4" w:space="0" w:color="auto"/>
              <w:right w:val="single" w:sz="18" w:space="0" w:color="auto"/>
            </w:tcBorders>
            <w:shd w:val="clear" w:color="auto" w:fill="FABF8F"/>
            <w:vAlign w:val="center"/>
          </w:tcPr>
          <w:p w:rsidR="001A63C6" w:rsidRPr="003410C7" w:rsidRDefault="001A63C6" w:rsidP="003410C7">
            <w:pPr>
              <w:pStyle w:val="TableText"/>
              <w:widowControl w:val="0"/>
              <w:spacing w:beforeLines="20" w:before="48" w:afterLines="20" w:after="48"/>
              <w:rPr>
                <w:rFonts w:ascii="Tahoma" w:hAnsi="Tahoma" w:cs="Tahoma"/>
                <w:sz w:val="13"/>
              </w:rPr>
            </w:pPr>
            <w:r w:rsidRPr="003410C7">
              <w:rPr>
                <w:rFonts w:ascii="Tahoma" w:hAnsi="Tahoma" w:cs="Tahoma"/>
                <w:sz w:val="13"/>
              </w:rPr>
              <w:t>1</w:t>
            </w:r>
          </w:p>
        </w:tc>
        <w:tc>
          <w:tcPr>
            <w:tcW w:w="450" w:type="dxa"/>
            <w:tcBorders>
              <w:left w:val="single" w:sz="18" w:space="0" w:color="auto"/>
              <w:bottom w:val="single" w:sz="4" w:space="0" w:color="auto"/>
            </w:tcBorders>
            <w:shd w:val="clear" w:color="auto" w:fill="FABF8F"/>
            <w:vAlign w:val="center"/>
          </w:tcPr>
          <w:p w:rsidR="001A63C6" w:rsidRPr="003410C7" w:rsidRDefault="001A63C6" w:rsidP="003410C7">
            <w:pPr>
              <w:pStyle w:val="TableText"/>
              <w:widowControl w:val="0"/>
              <w:spacing w:beforeLines="20" w:before="48" w:afterLines="20" w:after="48"/>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1A63C6" w:rsidRPr="003410C7" w:rsidRDefault="001A63C6" w:rsidP="003410C7">
            <w:pPr>
              <w:pStyle w:val="TableText"/>
              <w:widowControl w:val="0"/>
              <w:spacing w:beforeLines="20" w:before="48" w:afterLines="20" w:after="48"/>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3410C7" w:rsidRDefault="001A63C6" w:rsidP="003410C7">
            <w:pPr>
              <w:pStyle w:val="TableText"/>
              <w:widowControl w:val="0"/>
              <w:spacing w:beforeLines="20" w:before="48" w:afterLines="20" w:after="48"/>
              <w:rPr>
                <w:rFonts w:ascii="Tahoma" w:hAnsi="Tahoma" w:cs="Tahoma"/>
                <w:sz w:val="13"/>
              </w:rPr>
            </w:pPr>
          </w:p>
        </w:tc>
        <w:tc>
          <w:tcPr>
            <w:tcW w:w="450" w:type="dxa"/>
            <w:tcBorders>
              <w:bottom w:val="single" w:sz="4" w:space="0" w:color="auto"/>
            </w:tcBorders>
            <w:shd w:val="clear" w:color="auto" w:fill="FABF8F"/>
          </w:tcPr>
          <w:p w:rsidR="001A63C6" w:rsidRPr="003410C7" w:rsidRDefault="001A63C6" w:rsidP="003410C7">
            <w:pPr>
              <w:pStyle w:val="TableText"/>
              <w:widowControl w:val="0"/>
              <w:spacing w:beforeLines="20" w:before="48" w:afterLines="20" w:after="48"/>
              <w:rPr>
                <w:rFonts w:ascii="Tahoma" w:hAnsi="Tahoma" w:cs="Tahoma"/>
                <w:sz w:val="13"/>
              </w:rPr>
            </w:pPr>
            <w:r w:rsidRPr="003410C7">
              <w:rPr>
                <w:rFonts w:ascii="Tahoma" w:hAnsi="Tahoma" w:cs="Tahoma"/>
                <w:sz w:val="13"/>
              </w:rPr>
              <w:t>AO, ST</w:t>
            </w:r>
          </w:p>
        </w:tc>
        <w:tc>
          <w:tcPr>
            <w:tcW w:w="540" w:type="dxa"/>
            <w:tcBorders>
              <w:bottom w:val="single" w:sz="4" w:space="0" w:color="auto"/>
            </w:tcBorders>
            <w:shd w:val="clear" w:color="auto" w:fill="FABF8F"/>
            <w:vAlign w:val="center"/>
          </w:tcPr>
          <w:p w:rsidR="001A63C6" w:rsidRPr="003410C7" w:rsidRDefault="001A63C6" w:rsidP="003410C7">
            <w:pPr>
              <w:pStyle w:val="TableText"/>
              <w:widowControl w:val="0"/>
              <w:spacing w:beforeLines="20" w:before="48" w:afterLines="20" w:after="48"/>
              <w:rPr>
                <w:rFonts w:ascii="Tahoma" w:hAnsi="Tahoma" w:cs="Tahoma"/>
                <w:sz w:val="13"/>
              </w:rPr>
            </w:pPr>
          </w:p>
        </w:tc>
      </w:tr>
      <w:tr w:rsidR="001A63C6" w:rsidRPr="003410C7" w:rsidTr="007E466C">
        <w:trPr>
          <w:trHeight w:val="145"/>
        </w:trPr>
        <w:tc>
          <w:tcPr>
            <w:tcW w:w="2734" w:type="dxa"/>
            <w:gridSpan w:val="2"/>
            <w:tcBorders>
              <w:bottom w:val="single" w:sz="4" w:space="0" w:color="auto"/>
            </w:tcBorders>
            <w:shd w:val="clear" w:color="auto" w:fill="auto"/>
            <w:vAlign w:val="center"/>
          </w:tcPr>
          <w:p w:rsidR="001A63C6" w:rsidRPr="00451078" w:rsidRDefault="001A63C6" w:rsidP="00FE2D13">
            <w:pPr>
              <w:pStyle w:val="ProductNames"/>
              <w:spacing w:beforeLines="20" w:before="48" w:afterLines="20" w:after="48"/>
              <w:rPr>
                <w:rFonts w:ascii="Tahoma" w:hAnsi="Tahoma" w:cs="Tahoma"/>
                <w:sz w:val="14"/>
                <w:lang w:val="it-IT"/>
              </w:rPr>
            </w:pPr>
            <w:bookmarkStart w:id="387" w:name="_Toc336338045"/>
            <w:bookmarkStart w:id="388" w:name="_Toc352234652"/>
            <w:r w:rsidRPr="00451078">
              <w:rPr>
                <w:rFonts w:ascii="Tahoma" w:hAnsi="Tahoma" w:cs="Tahoma"/>
                <w:sz w:val="14"/>
                <w:lang w:val="it-IT"/>
              </w:rPr>
              <w:t>1 Licenza per Processore per SQL</w:t>
            </w:r>
            <w:r w:rsidR="00FE2D13" w:rsidRPr="00451078">
              <w:rPr>
                <w:rFonts w:ascii="Tahoma" w:hAnsi="Tahoma" w:cs="Tahoma"/>
                <w:sz w:val="14"/>
                <w:lang w:val="it-IT"/>
              </w:rPr>
              <w:t> </w:t>
            </w:r>
            <w:r w:rsidRPr="00451078">
              <w:rPr>
                <w:rFonts w:ascii="Tahoma" w:hAnsi="Tahoma" w:cs="Tahoma"/>
                <w:sz w:val="14"/>
                <w:lang w:val="it-IT"/>
              </w:rPr>
              <w:t>Server</w:t>
            </w:r>
            <w:r w:rsidR="003410C7" w:rsidRPr="00451078">
              <w:rPr>
                <w:rFonts w:ascii="Tahoma" w:eastAsia="Times New Roman" w:hAnsi="Tahoma" w:cs="Tahoma"/>
                <w:color w:val="000000"/>
                <w:sz w:val="18"/>
                <w:szCs w:val="18"/>
                <w:vertAlign w:val="superscript"/>
                <w:lang w:val="it-IT"/>
              </w:rPr>
              <w:t>®</w:t>
            </w:r>
            <w:r w:rsidR="00FE2D13" w:rsidRPr="00451078">
              <w:rPr>
                <w:rFonts w:ascii="Tahoma" w:hAnsi="Tahoma" w:cs="Tahoma"/>
                <w:sz w:val="14"/>
                <w:lang w:val="it-IT"/>
              </w:rPr>
              <w:t> </w:t>
            </w:r>
            <w:r w:rsidRPr="00451078">
              <w:rPr>
                <w:rFonts w:ascii="Tahoma" w:hAnsi="Tahoma" w:cs="Tahoma"/>
                <w:sz w:val="14"/>
                <w:lang w:val="it-IT"/>
              </w:rPr>
              <w:t>2008 R2 Datacenter</w:t>
            </w:r>
            <w:bookmarkEnd w:id="387"/>
            <w:bookmarkEnd w:id="388"/>
          </w:p>
        </w:tc>
        <w:tc>
          <w:tcPr>
            <w:tcW w:w="450" w:type="dxa"/>
            <w:tcBorders>
              <w:bottom w:val="single" w:sz="4" w:space="0" w:color="auto"/>
            </w:tcBorders>
            <w:shd w:val="clear" w:color="auto" w:fill="auto"/>
            <w:vAlign w:val="center"/>
          </w:tcPr>
          <w:p w:rsidR="001A63C6" w:rsidRPr="009F17FF" w:rsidRDefault="00FC1A4D" w:rsidP="001A63C6">
            <w:pPr>
              <w:pStyle w:val="TableText"/>
              <w:widowControl w:val="0"/>
              <w:rPr>
                <w:b/>
                <w:color w:val="0000FF"/>
                <w:sz w:val="13"/>
                <w:szCs w:val="13"/>
                <w:u w:val="single"/>
              </w:rPr>
            </w:pPr>
            <w:hyperlink w:anchor="_75_73_SQL" w:history="1">
              <w:r w:rsidR="000D77F6" w:rsidRPr="009F17FF">
                <w:rPr>
                  <w:rStyle w:val="Hyperlink"/>
                  <w:b/>
                  <w:sz w:val="13"/>
                  <w:szCs w:val="13"/>
                </w:rPr>
                <w:t>73</w:t>
              </w:r>
            </w:hyperlink>
          </w:p>
        </w:tc>
        <w:tc>
          <w:tcPr>
            <w:tcW w:w="450" w:type="dxa"/>
            <w:tcBorders>
              <w:bottom w:val="single" w:sz="4" w:space="0" w:color="auto"/>
            </w:tcBorders>
            <w:shd w:val="clear" w:color="auto" w:fill="auto"/>
          </w:tcPr>
          <w:p w:rsidR="001A63C6" w:rsidRPr="003410C7" w:rsidRDefault="001A63C6" w:rsidP="001A63C6">
            <w:pPr>
              <w:pStyle w:val="TableText"/>
              <w:widowControl w:val="0"/>
              <w:spacing w:before="80"/>
              <w:rPr>
                <w:rFonts w:ascii="Tahoma" w:hAnsi="Tahoma" w:cs="Tahoma"/>
                <w:sz w:val="13"/>
              </w:rPr>
            </w:pPr>
          </w:p>
        </w:tc>
        <w:tc>
          <w:tcPr>
            <w:tcW w:w="360" w:type="dxa"/>
            <w:tcBorders>
              <w:bottom w:val="single" w:sz="4" w:space="0" w:color="auto"/>
              <w:right w:val="single" w:sz="18" w:space="0" w:color="auto"/>
            </w:tcBorders>
            <w:shd w:val="clear" w:color="auto" w:fill="auto"/>
            <w:vAlign w:val="center"/>
          </w:tcPr>
          <w:p w:rsidR="001A63C6" w:rsidRPr="003410C7" w:rsidRDefault="001A63C6" w:rsidP="001A63C6">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auto"/>
            <w:vAlign w:val="center"/>
          </w:tcPr>
          <w:p w:rsidR="001A63C6" w:rsidRPr="003410C7"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3410C7"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3410C7"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3410C7"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3410C7"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3410C7" w:rsidRDefault="001A63C6" w:rsidP="001A63C6">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auto"/>
            <w:vAlign w:val="center"/>
          </w:tcPr>
          <w:p w:rsidR="001A63C6" w:rsidRPr="003410C7"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1A63C6" w:rsidRPr="003410C7"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3410C7"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1A63C6" w:rsidRPr="003410C7"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1A63C6" w:rsidRPr="003410C7"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1A63C6" w:rsidRPr="003410C7"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rsidR="001A63C6" w:rsidRPr="003410C7"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tcPr>
          <w:p w:rsidR="001A63C6" w:rsidRPr="003410C7" w:rsidRDefault="001A63C6" w:rsidP="001A63C6">
            <w:pPr>
              <w:pStyle w:val="TableText"/>
              <w:widowControl w:val="0"/>
              <w:rPr>
                <w:rFonts w:ascii="Tahoma" w:hAnsi="Tahoma" w:cs="Tahoma"/>
                <w:sz w:val="13"/>
              </w:rPr>
            </w:pPr>
          </w:p>
        </w:tc>
        <w:tc>
          <w:tcPr>
            <w:tcW w:w="540" w:type="dxa"/>
            <w:tcBorders>
              <w:bottom w:val="single" w:sz="4" w:space="0" w:color="auto"/>
            </w:tcBorders>
            <w:shd w:val="clear" w:color="auto" w:fill="auto"/>
            <w:vAlign w:val="center"/>
          </w:tcPr>
          <w:p w:rsidR="001A63C6" w:rsidRPr="003410C7" w:rsidRDefault="001A63C6" w:rsidP="001A63C6">
            <w:pPr>
              <w:pStyle w:val="TableText"/>
              <w:widowControl w:val="0"/>
              <w:rPr>
                <w:rFonts w:ascii="Tahoma" w:hAnsi="Tahoma" w:cs="Tahoma"/>
                <w:sz w:val="13"/>
              </w:rPr>
            </w:pPr>
          </w:p>
        </w:tc>
      </w:tr>
      <w:tr w:rsidR="00B33D0E" w:rsidRPr="003410C7" w:rsidTr="006B1F3F">
        <w:trPr>
          <w:trHeight w:val="145"/>
        </w:trPr>
        <w:tc>
          <w:tcPr>
            <w:tcW w:w="2734" w:type="dxa"/>
            <w:gridSpan w:val="2"/>
            <w:tcBorders>
              <w:bottom w:val="single" w:sz="4" w:space="0" w:color="auto"/>
            </w:tcBorders>
            <w:shd w:val="clear" w:color="auto" w:fill="FABF8F"/>
            <w:vAlign w:val="center"/>
          </w:tcPr>
          <w:p w:rsidR="001A63C6" w:rsidRPr="003410C7" w:rsidRDefault="001A63C6" w:rsidP="003410C7">
            <w:pPr>
              <w:pStyle w:val="ProductNames"/>
              <w:spacing w:beforeLines="20" w:before="48" w:afterLines="20" w:after="48"/>
              <w:rPr>
                <w:rFonts w:ascii="Tahoma" w:hAnsi="Tahoma" w:cs="Tahoma"/>
                <w:sz w:val="14"/>
              </w:rPr>
            </w:pPr>
            <w:bookmarkStart w:id="389" w:name="_Toc336338048"/>
            <w:bookmarkStart w:id="390" w:name="_Toc352234653"/>
            <w:r w:rsidRPr="003410C7">
              <w:rPr>
                <w:rFonts w:ascii="Tahoma" w:hAnsi="Tahoma" w:cs="Tahoma"/>
                <w:sz w:val="14"/>
              </w:rPr>
              <w:t>SQL Server</w:t>
            </w:r>
            <w:r w:rsidR="003410C7" w:rsidRPr="003410C7">
              <w:rPr>
                <w:rFonts w:ascii="Tahoma" w:eastAsia="Times New Roman" w:hAnsi="Tahoma" w:cs="Tahoma"/>
                <w:color w:val="000000"/>
                <w:sz w:val="18"/>
                <w:szCs w:val="18"/>
                <w:vertAlign w:val="superscript"/>
              </w:rPr>
              <w:t>®</w:t>
            </w:r>
            <w:r w:rsidRPr="003410C7">
              <w:rPr>
                <w:rFonts w:ascii="Tahoma" w:hAnsi="Tahoma" w:cs="Tahoma"/>
                <w:sz w:val="14"/>
              </w:rPr>
              <w:t xml:space="preserve"> 2008 R2 Small Business</w:t>
            </w:r>
            <w:bookmarkEnd w:id="389"/>
            <w:bookmarkEnd w:id="390"/>
          </w:p>
        </w:tc>
        <w:tc>
          <w:tcPr>
            <w:tcW w:w="450" w:type="dxa"/>
            <w:tcBorders>
              <w:bottom w:val="single" w:sz="4" w:space="0" w:color="auto"/>
            </w:tcBorders>
            <w:shd w:val="clear" w:color="auto" w:fill="FABF8F"/>
            <w:vAlign w:val="center"/>
          </w:tcPr>
          <w:p w:rsidR="001A63C6" w:rsidRPr="009F17FF" w:rsidRDefault="00FC1A4D" w:rsidP="009E3486">
            <w:pPr>
              <w:pStyle w:val="TableText"/>
              <w:widowControl w:val="0"/>
              <w:rPr>
                <w:rStyle w:val="EndnoteReference"/>
                <w:rFonts w:cs="Tahoma"/>
                <w:color w:val="000000"/>
                <w:sz w:val="13"/>
                <w:szCs w:val="13"/>
                <w:u w:val="single"/>
              </w:rPr>
            </w:pPr>
            <w:hyperlink w:anchor="_76_74_SQL" w:history="1">
              <w:r w:rsidR="000D77F6" w:rsidRPr="009F17FF">
                <w:rPr>
                  <w:rStyle w:val="Hyperlink"/>
                  <w:sz w:val="13"/>
                  <w:szCs w:val="13"/>
                </w:rPr>
                <w:t>74</w:t>
              </w:r>
            </w:hyperlink>
          </w:p>
        </w:tc>
        <w:tc>
          <w:tcPr>
            <w:tcW w:w="450" w:type="dxa"/>
            <w:tcBorders>
              <w:bottom w:val="single" w:sz="4" w:space="0" w:color="auto"/>
            </w:tcBorders>
            <w:shd w:val="clear" w:color="auto" w:fill="FABF8F"/>
          </w:tcPr>
          <w:p w:rsidR="001A63C6" w:rsidRPr="003410C7" w:rsidRDefault="001A63C6" w:rsidP="001A63C6">
            <w:pPr>
              <w:pStyle w:val="TableText"/>
              <w:widowControl w:val="0"/>
              <w:spacing w:before="80"/>
              <w:rPr>
                <w:rFonts w:ascii="Tahoma" w:hAnsi="Tahoma" w:cs="Tahoma"/>
                <w:sz w:val="13"/>
              </w:rPr>
            </w:pPr>
            <w:r w:rsidRPr="003410C7">
              <w:rPr>
                <w:rFonts w:ascii="Tahoma" w:hAnsi="Tahoma" w:cs="Tahoma"/>
                <w:sz w:val="13"/>
              </w:rPr>
              <w:t>01/11</w:t>
            </w:r>
          </w:p>
        </w:tc>
        <w:tc>
          <w:tcPr>
            <w:tcW w:w="360" w:type="dxa"/>
            <w:tcBorders>
              <w:bottom w:val="single" w:sz="4" w:space="0" w:color="auto"/>
              <w:right w:val="single" w:sz="18" w:space="0" w:color="auto"/>
            </w:tcBorders>
            <w:shd w:val="clear" w:color="auto" w:fill="FABF8F"/>
            <w:vAlign w:val="center"/>
          </w:tcPr>
          <w:p w:rsidR="001A63C6" w:rsidRPr="003410C7" w:rsidRDefault="001A63C6" w:rsidP="001A63C6">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FABF8F"/>
            <w:vAlign w:val="center"/>
          </w:tcPr>
          <w:p w:rsidR="001A63C6" w:rsidRPr="003410C7"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3410C7"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3410C7"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3410C7"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3410C7"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3410C7" w:rsidRDefault="001A63C6" w:rsidP="001A63C6">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rsidR="001A63C6" w:rsidRPr="003410C7"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3410C7"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3410C7"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1A63C6" w:rsidRPr="003410C7"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3410C7"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1A63C6" w:rsidRPr="003410C7"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3410C7"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tcPr>
          <w:p w:rsidR="001A63C6" w:rsidRPr="003410C7" w:rsidRDefault="001A63C6" w:rsidP="001A63C6">
            <w:pPr>
              <w:pStyle w:val="TableText"/>
              <w:widowControl w:val="0"/>
              <w:rPr>
                <w:rFonts w:ascii="Tahoma" w:hAnsi="Tahoma" w:cs="Tahoma"/>
                <w:sz w:val="13"/>
              </w:rPr>
            </w:pPr>
          </w:p>
        </w:tc>
        <w:tc>
          <w:tcPr>
            <w:tcW w:w="540" w:type="dxa"/>
            <w:tcBorders>
              <w:bottom w:val="single" w:sz="4" w:space="0" w:color="auto"/>
            </w:tcBorders>
            <w:shd w:val="clear" w:color="auto" w:fill="FABF8F"/>
            <w:vAlign w:val="center"/>
          </w:tcPr>
          <w:p w:rsidR="001A63C6" w:rsidRPr="003410C7" w:rsidRDefault="001A63C6" w:rsidP="001A63C6">
            <w:pPr>
              <w:pStyle w:val="TableText"/>
              <w:widowControl w:val="0"/>
              <w:rPr>
                <w:rFonts w:ascii="Tahoma" w:hAnsi="Tahoma" w:cs="Tahoma"/>
                <w:sz w:val="13"/>
              </w:rPr>
            </w:pPr>
          </w:p>
        </w:tc>
      </w:tr>
      <w:tr w:rsidR="001A63C6" w:rsidRPr="003410C7" w:rsidTr="007E466C">
        <w:trPr>
          <w:trHeight w:val="145"/>
        </w:trPr>
        <w:tc>
          <w:tcPr>
            <w:tcW w:w="2734" w:type="dxa"/>
            <w:gridSpan w:val="2"/>
            <w:tcBorders>
              <w:bottom w:val="single" w:sz="4" w:space="0" w:color="auto"/>
            </w:tcBorders>
            <w:shd w:val="clear" w:color="auto" w:fill="auto"/>
            <w:vAlign w:val="center"/>
          </w:tcPr>
          <w:p w:rsidR="001A63C6" w:rsidRPr="003410C7" w:rsidRDefault="001A63C6" w:rsidP="00FE2D13">
            <w:pPr>
              <w:pStyle w:val="ProductNames"/>
              <w:spacing w:beforeLines="20" w:before="48" w:afterLines="20" w:after="48"/>
              <w:rPr>
                <w:rFonts w:ascii="Tahoma" w:hAnsi="Tahoma" w:cs="Tahoma"/>
                <w:sz w:val="14"/>
              </w:rPr>
            </w:pPr>
            <w:bookmarkStart w:id="391" w:name="_Toc336338049"/>
            <w:bookmarkStart w:id="392" w:name="_Toc352234654"/>
            <w:r w:rsidRPr="003410C7">
              <w:rPr>
                <w:rFonts w:ascii="Tahoma" w:hAnsi="Tahoma" w:cs="Tahoma"/>
                <w:sz w:val="14"/>
              </w:rPr>
              <w:t>Licenza CAL per SQL Server</w:t>
            </w:r>
            <w:r w:rsidR="003410C7" w:rsidRPr="003410C7">
              <w:rPr>
                <w:rFonts w:ascii="Tahoma" w:eastAsia="Times New Roman" w:hAnsi="Tahoma" w:cs="Tahoma"/>
                <w:color w:val="000000"/>
                <w:sz w:val="18"/>
                <w:szCs w:val="18"/>
                <w:vertAlign w:val="superscript"/>
              </w:rPr>
              <w:t>®</w:t>
            </w:r>
            <w:r w:rsidRPr="003410C7">
              <w:rPr>
                <w:rFonts w:ascii="Tahoma" w:hAnsi="Tahoma" w:cs="Tahoma"/>
                <w:sz w:val="14"/>
              </w:rPr>
              <w:t xml:space="preserve"> 2008 R2 Small Business</w:t>
            </w:r>
            <w:bookmarkEnd w:id="391"/>
            <w:bookmarkEnd w:id="392"/>
          </w:p>
        </w:tc>
        <w:tc>
          <w:tcPr>
            <w:tcW w:w="450" w:type="dxa"/>
            <w:tcBorders>
              <w:bottom w:val="single" w:sz="4" w:space="0" w:color="auto"/>
            </w:tcBorders>
            <w:shd w:val="clear" w:color="auto" w:fill="auto"/>
            <w:vAlign w:val="center"/>
          </w:tcPr>
          <w:p w:rsidR="001A63C6" w:rsidRPr="009F17FF" w:rsidRDefault="001A63C6" w:rsidP="001A63C6">
            <w:pPr>
              <w:pStyle w:val="TableText"/>
              <w:widowControl w:val="0"/>
              <w:rPr>
                <w:rStyle w:val="EndnoteReference"/>
                <w:rFonts w:cs="Tahoma"/>
                <w:color w:val="000000"/>
                <w:sz w:val="13"/>
                <w:szCs w:val="13"/>
                <w:u w:val="single"/>
              </w:rPr>
            </w:pPr>
          </w:p>
        </w:tc>
        <w:tc>
          <w:tcPr>
            <w:tcW w:w="450" w:type="dxa"/>
            <w:tcBorders>
              <w:bottom w:val="single" w:sz="4" w:space="0" w:color="auto"/>
            </w:tcBorders>
            <w:shd w:val="clear" w:color="auto" w:fill="auto"/>
          </w:tcPr>
          <w:p w:rsidR="001A63C6" w:rsidRPr="003410C7" w:rsidRDefault="001A63C6" w:rsidP="001A63C6">
            <w:pPr>
              <w:pStyle w:val="TableText"/>
              <w:widowControl w:val="0"/>
              <w:spacing w:before="80"/>
              <w:rPr>
                <w:rFonts w:ascii="Tahoma" w:hAnsi="Tahoma" w:cs="Tahoma"/>
                <w:sz w:val="13"/>
              </w:rPr>
            </w:pPr>
            <w:r w:rsidRPr="003410C7">
              <w:rPr>
                <w:rFonts w:ascii="Tahoma" w:hAnsi="Tahoma" w:cs="Tahoma"/>
                <w:sz w:val="13"/>
              </w:rPr>
              <w:t>01/11</w:t>
            </w:r>
          </w:p>
        </w:tc>
        <w:tc>
          <w:tcPr>
            <w:tcW w:w="360" w:type="dxa"/>
            <w:tcBorders>
              <w:bottom w:val="single" w:sz="4" w:space="0" w:color="auto"/>
              <w:right w:val="single" w:sz="18" w:space="0" w:color="auto"/>
            </w:tcBorders>
            <w:shd w:val="clear" w:color="auto" w:fill="auto"/>
            <w:vAlign w:val="center"/>
          </w:tcPr>
          <w:p w:rsidR="001A63C6" w:rsidRPr="003410C7" w:rsidRDefault="001A63C6" w:rsidP="001A63C6">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auto"/>
            <w:vAlign w:val="center"/>
          </w:tcPr>
          <w:p w:rsidR="001A63C6" w:rsidRPr="003410C7"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3410C7"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3410C7"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3410C7"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3410C7"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3410C7" w:rsidRDefault="001A63C6" w:rsidP="001A63C6">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auto"/>
            <w:vAlign w:val="center"/>
          </w:tcPr>
          <w:p w:rsidR="001A63C6" w:rsidRPr="003410C7"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1A63C6" w:rsidRPr="003410C7"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3410C7"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1A63C6" w:rsidRPr="003410C7"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1A63C6" w:rsidRPr="003410C7"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1A63C6" w:rsidRPr="003410C7"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rsidR="001A63C6" w:rsidRPr="003410C7"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tcPr>
          <w:p w:rsidR="001A63C6" w:rsidRPr="003410C7" w:rsidRDefault="001A63C6" w:rsidP="001A63C6">
            <w:pPr>
              <w:pStyle w:val="TableText"/>
              <w:widowControl w:val="0"/>
              <w:rPr>
                <w:rFonts w:ascii="Tahoma" w:hAnsi="Tahoma" w:cs="Tahoma"/>
                <w:sz w:val="13"/>
              </w:rPr>
            </w:pPr>
          </w:p>
        </w:tc>
        <w:tc>
          <w:tcPr>
            <w:tcW w:w="540" w:type="dxa"/>
            <w:tcBorders>
              <w:bottom w:val="single" w:sz="4" w:space="0" w:color="auto"/>
            </w:tcBorders>
            <w:shd w:val="clear" w:color="auto" w:fill="auto"/>
            <w:vAlign w:val="center"/>
          </w:tcPr>
          <w:p w:rsidR="001A63C6" w:rsidRPr="003410C7" w:rsidRDefault="001A63C6" w:rsidP="001A63C6">
            <w:pPr>
              <w:pStyle w:val="TableText"/>
              <w:widowControl w:val="0"/>
              <w:rPr>
                <w:rFonts w:ascii="Tahoma" w:hAnsi="Tahoma" w:cs="Tahoma"/>
                <w:sz w:val="13"/>
              </w:rPr>
            </w:pPr>
          </w:p>
        </w:tc>
      </w:tr>
      <w:tr w:rsidR="00B33D0E" w:rsidRPr="003410C7" w:rsidTr="006B1F3F">
        <w:trPr>
          <w:trHeight w:val="145"/>
        </w:trPr>
        <w:tc>
          <w:tcPr>
            <w:tcW w:w="2734" w:type="dxa"/>
            <w:gridSpan w:val="2"/>
            <w:tcBorders>
              <w:bottom w:val="single" w:sz="4" w:space="0" w:color="auto"/>
            </w:tcBorders>
            <w:shd w:val="clear" w:color="auto" w:fill="FABF8F"/>
            <w:vAlign w:val="center"/>
          </w:tcPr>
          <w:p w:rsidR="001A63C6" w:rsidRPr="00451078" w:rsidRDefault="001A63C6" w:rsidP="00FE2D13">
            <w:pPr>
              <w:pStyle w:val="ProductNames"/>
              <w:spacing w:beforeLines="20" w:before="48" w:afterLines="20" w:after="48"/>
              <w:rPr>
                <w:rFonts w:ascii="Tahoma" w:hAnsi="Tahoma" w:cs="Tahoma"/>
                <w:sz w:val="14"/>
                <w:lang w:val="it-IT"/>
              </w:rPr>
            </w:pPr>
            <w:bookmarkStart w:id="393" w:name="_Toc336338050"/>
            <w:bookmarkStart w:id="394" w:name="_Toc352234655"/>
            <w:r w:rsidRPr="00451078">
              <w:rPr>
                <w:rFonts w:ascii="Tahoma" w:hAnsi="Tahoma" w:cs="Tahoma"/>
                <w:sz w:val="14"/>
                <w:lang w:val="it-IT"/>
              </w:rPr>
              <w:t>Licenza Per Processore per SQL</w:t>
            </w:r>
            <w:r w:rsidR="00FE2D13" w:rsidRPr="00451078">
              <w:rPr>
                <w:rFonts w:ascii="Tahoma" w:hAnsi="Tahoma" w:cs="Tahoma"/>
                <w:sz w:val="14"/>
                <w:lang w:val="it-IT"/>
              </w:rPr>
              <w:t> </w:t>
            </w:r>
            <w:r w:rsidRPr="00451078">
              <w:rPr>
                <w:rFonts w:ascii="Tahoma" w:hAnsi="Tahoma" w:cs="Tahoma"/>
                <w:sz w:val="14"/>
                <w:lang w:val="it-IT"/>
              </w:rPr>
              <w:t>Server</w:t>
            </w:r>
            <w:r w:rsidR="003410C7" w:rsidRPr="00451078">
              <w:rPr>
                <w:rFonts w:ascii="Tahoma" w:eastAsia="Times New Roman" w:hAnsi="Tahoma" w:cs="Tahoma"/>
                <w:color w:val="000000"/>
                <w:sz w:val="18"/>
                <w:szCs w:val="18"/>
                <w:vertAlign w:val="superscript"/>
                <w:lang w:val="it-IT"/>
              </w:rPr>
              <w:t>®</w:t>
            </w:r>
            <w:r w:rsidR="00FE2D13" w:rsidRPr="00451078">
              <w:rPr>
                <w:rFonts w:ascii="Tahoma" w:hAnsi="Tahoma" w:cs="Tahoma"/>
                <w:sz w:val="14"/>
                <w:lang w:val="it-IT"/>
              </w:rPr>
              <w:t> </w:t>
            </w:r>
            <w:r w:rsidRPr="00451078">
              <w:rPr>
                <w:rFonts w:ascii="Tahoma" w:hAnsi="Tahoma" w:cs="Tahoma"/>
                <w:sz w:val="14"/>
                <w:lang w:val="it-IT"/>
              </w:rPr>
              <w:t>2008 R2 Web</w:t>
            </w:r>
            <w:bookmarkEnd w:id="393"/>
            <w:bookmarkEnd w:id="394"/>
          </w:p>
        </w:tc>
        <w:tc>
          <w:tcPr>
            <w:tcW w:w="450" w:type="dxa"/>
            <w:tcBorders>
              <w:bottom w:val="single" w:sz="4" w:space="0" w:color="auto"/>
            </w:tcBorders>
            <w:shd w:val="clear" w:color="auto" w:fill="FABF8F"/>
            <w:vAlign w:val="center"/>
          </w:tcPr>
          <w:p w:rsidR="001A63C6" w:rsidRPr="009F17FF" w:rsidRDefault="00FC1A4D" w:rsidP="009E3486">
            <w:pPr>
              <w:pStyle w:val="TableText"/>
              <w:widowControl w:val="0"/>
              <w:rPr>
                <w:rStyle w:val="EndnoteReference"/>
                <w:rFonts w:cs="Tahoma"/>
                <w:color w:val="000000"/>
                <w:sz w:val="13"/>
                <w:szCs w:val="13"/>
                <w:u w:val="single"/>
              </w:rPr>
            </w:pPr>
            <w:hyperlink w:anchor="_77_75_SQL" w:history="1">
              <w:r w:rsidR="000D77F6" w:rsidRPr="009F17FF">
                <w:rPr>
                  <w:rStyle w:val="Hyperlink"/>
                  <w:sz w:val="13"/>
                  <w:szCs w:val="13"/>
                </w:rPr>
                <w:t>75</w:t>
              </w:r>
            </w:hyperlink>
            <w:hyperlink w:anchor="Srv_84SQL2008R2Webproc" w:history="1"/>
          </w:p>
        </w:tc>
        <w:tc>
          <w:tcPr>
            <w:tcW w:w="450" w:type="dxa"/>
            <w:tcBorders>
              <w:bottom w:val="single" w:sz="4" w:space="0" w:color="auto"/>
            </w:tcBorders>
            <w:shd w:val="clear" w:color="auto" w:fill="FABF8F"/>
          </w:tcPr>
          <w:p w:rsidR="001A63C6" w:rsidRPr="003410C7" w:rsidRDefault="001A63C6" w:rsidP="001A63C6">
            <w:pPr>
              <w:pStyle w:val="TableText"/>
              <w:widowControl w:val="0"/>
              <w:spacing w:before="8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rsidR="001A63C6" w:rsidRPr="003410C7" w:rsidRDefault="001A63C6" w:rsidP="001A63C6">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FABF8F"/>
            <w:vAlign w:val="center"/>
          </w:tcPr>
          <w:p w:rsidR="001A63C6" w:rsidRPr="003410C7"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3410C7"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3410C7"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3410C7"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3410C7"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3410C7" w:rsidRDefault="001A63C6" w:rsidP="001A63C6">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rsidR="001A63C6" w:rsidRPr="003410C7"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3410C7"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3410C7"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1A63C6" w:rsidRPr="003410C7"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3410C7"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1A63C6" w:rsidRPr="003410C7"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3410C7"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tcPr>
          <w:p w:rsidR="001A63C6" w:rsidRPr="003410C7" w:rsidRDefault="001A63C6" w:rsidP="001A63C6">
            <w:pPr>
              <w:pStyle w:val="TableText"/>
              <w:widowControl w:val="0"/>
              <w:rPr>
                <w:rFonts w:ascii="Tahoma" w:hAnsi="Tahoma" w:cs="Tahoma"/>
                <w:sz w:val="13"/>
              </w:rPr>
            </w:pPr>
          </w:p>
        </w:tc>
        <w:tc>
          <w:tcPr>
            <w:tcW w:w="540" w:type="dxa"/>
            <w:tcBorders>
              <w:bottom w:val="single" w:sz="4" w:space="0" w:color="auto"/>
            </w:tcBorders>
            <w:shd w:val="clear" w:color="auto" w:fill="FABF8F"/>
            <w:vAlign w:val="center"/>
          </w:tcPr>
          <w:p w:rsidR="001A63C6" w:rsidRPr="003410C7" w:rsidRDefault="001A63C6" w:rsidP="001A63C6">
            <w:pPr>
              <w:pStyle w:val="TableText"/>
              <w:widowControl w:val="0"/>
              <w:rPr>
                <w:rFonts w:ascii="Tahoma" w:hAnsi="Tahoma" w:cs="Tahoma"/>
                <w:sz w:val="13"/>
              </w:rPr>
            </w:pPr>
          </w:p>
        </w:tc>
      </w:tr>
      <w:tr w:rsidR="001A63C6" w:rsidRPr="00DC1102" w:rsidTr="00F57878">
        <w:trPr>
          <w:cantSplit/>
          <w:trHeight w:val="145"/>
        </w:trPr>
        <w:tc>
          <w:tcPr>
            <w:tcW w:w="2734" w:type="dxa"/>
            <w:gridSpan w:val="2"/>
            <w:tcBorders>
              <w:bottom w:val="single" w:sz="4" w:space="0" w:color="auto"/>
            </w:tcBorders>
            <w:shd w:val="clear" w:color="auto" w:fill="auto"/>
            <w:vAlign w:val="center"/>
          </w:tcPr>
          <w:p w:rsidR="001A63C6" w:rsidRPr="00451078" w:rsidRDefault="001A63C6" w:rsidP="00F57878">
            <w:pPr>
              <w:pStyle w:val="ProductNames"/>
              <w:spacing w:beforeLines="20" w:before="48" w:afterLines="20" w:after="48"/>
              <w:rPr>
                <w:rFonts w:ascii="Tahoma" w:hAnsi="Tahoma" w:cs="Tahoma"/>
                <w:sz w:val="14"/>
                <w:lang w:val="it-IT"/>
              </w:rPr>
            </w:pPr>
            <w:bookmarkStart w:id="395" w:name="_Toc336338051"/>
            <w:bookmarkStart w:id="396" w:name="_Toc352234656"/>
            <w:r w:rsidRPr="00451078">
              <w:rPr>
                <w:rFonts w:ascii="Tahoma" w:hAnsi="Tahoma" w:cs="Tahoma"/>
                <w:sz w:val="14"/>
                <w:lang w:val="it-IT"/>
              </w:rPr>
              <w:t>Licenza CAL per SQL Server</w:t>
            </w:r>
            <w:r w:rsidR="003410C7" w:rsidRPr="00451078">
              <w:rPr>
                <w:rFonts w:ascii="Tahoma" w:eastAsia="Times New Roman" w:hAnsi="Tahoma" w:cs="Tahoma"/>
                <w:color w:val="000000"/>
                <w:sz w:val="18"/>
                <w:szCs w:val="18"/>
                <w:vertAlign w:val="superscript"/>
                <w:lang w:val="it-IT"/>
              </w:rPr>
              <w:t>®</w:t>
            </w:r>
            <w:r w:rsidRPr="00451078">
              <w:rPr>
                <w:rFonts w:ascii="Tahoma" w:hAnsi="Tahoma" w:cs="Tahoma"/>
                <w:sz w:val="14"/>
                <w:lang w:val="it-IT"/>
              </w:rPr>
              <w:t xml:space="preserve"> 2008 R2</w:t>
            </w:r>
            <w:r w:rsidR="00FE2D13" w:rsidRPr="00451078">
              <w:rPr>
                <w:rFonts w:ascii="Tahoma" w:hAnsi="Tahoma" w:cs="Tahoma"/>
                <w:sz w:val="14"/>
                <w:lang w:val="it-IT"/>
              </w:rPr>
              <w:t xml:space="preserve"> </w:t>
            </w:r>
            <w:r w:rsidRPr="00451078">
              <w:rPr>
                <w:rFonts w:ascii="Tahoma" w:hAnsi="Tahoma" w:cs="Tahoma"/>
                <w:sz w:val="14"/>
                <w:lang w:val="it-IT"/>
              </w:rPr>
              <w:t>Workgroup</w:t>
            </w:r>
            <w:bookmarkEnd w:id="395"/>
            <w:bookmarkEnd w:id="396"/>
          </w:p>
        </w:tc>
        <w:tc>
          <w:tcPr>
            <w:tcW w:w="450" w:type="dxa"/>
            <w:tcBorders>
              <w:bottom w:val="single" w:sz="4" w:space="0" w:color="auto"/>
            </w:tcBorders>
            <w:shd w:val="clear" w:color="auto" w:fill="auto"/>
            <w:vAlign w:val="center"/>
          </w:tcPr>
          <w:p w:rsidR="001A63C6" w:rsidRPr="00451078" w:rsidRDefault="001A63C6" w:rsidP="001A63C6">
            <w:pPr>
              <w:pStyle w:val="TableText"/>
              <w:widowControl w:val="0"/>
              <w:rPr>
                <w:rStyle w:val="EndnoteReference"/>
                <w:rFonts w:cs="Tahoma"/>
                <w:color w:val="000000"/>
                <w:sz w:val="13"/>
                <w:szCs w:val="13"/>
                <w:u w:val="single"/>
                <w:lang w:val="it-IT"/>
              </w:rPr>
            </w:pPr>
          </w:p>
        </w:tc>
        <w:tc>
          <w:tcPr>
            <w:tcW w:w="450" w:type="dxa"/>
            <w:tcBorders>
              <w:bottom w:val="single" w:sz="4" w:space="0" w:color="auto"/>
            </w:tcBorders>
            <w:shd w:val="clear" w:color="auto" w:fill="auto"/>
          </w:tcPr>
          <w:p w:rsidR="001A63C6" w:rsidRPr="00451078" w:rsidRDefault="001A63C6" w:rsidP="001A63C6">
            <w:pPr>
              <w:pStyle w:val="TableText"/>
              <w:widowControl w:val="0"/>
              <w:spacing w:before="80"/>
              <w:rPr>
                <w:rFonts w:ascii="Tahoma" w:hAnsi="Tahoma" w:cs="Tahoma"/>
                <w:sz w:val="13"/>
                <w:lang w:val="it-IT"/>
              </w:rPr>
            </w:pPr>
          </w:p>
        </w:tc>
        <w:tc>
          <w:tcPr>
            <w:tcW w:w="360" w:type="dxa"/>
            <w:tcBorders>
              <w:bottom w:val="single" w:sz="4" w:space="0" w:color="auto"/>
              <w:right w:val="single" w:sz="18" w:space="0" w:color="auto"/>
            </w:tcBorders>
            <w:shd w:val="clear" w:color="auto" w:fill="auto"/>
            <w:vAlign w:val="center"/>
          </w:tcPr>
          <w:p w:rsidR="001A63C6" w:rsidRPr="00451078" w:rsidRDefault="001A63C6" w:rsidP="001A63C6">
            <w:pPr>
              <w:pStyle w:val="TableText"/>
              <w:widowControl w:val="0"/>
              <w:rPr>
                <w:rFonts w:ascii="Tahoma" w:hAnsi="Tahoma" w:cs="Tahoma"/>
                <w:sz w:val="13"/>
                <w:lang w:val="it-IT"/>
              </w:rPr>
            </w:pPr>
          </w:p>
        </w:tc>
        <w:tc>
          <w:tcPr>
            <w:tcW w:w="360" w:type="dxa"/>
            <w:tcBorders>
              <w:left w:val="single" w:sz="18" w:space="0" w:color="auto"/>
              <w:bottom w:val="single" w:sz="4" w:space="0" w:color="auto"/>
            </w:tcBorders>
            <w:shd w:val="clear" w:color="auto" w:fill="auto"/>
            <w:vAlign w:val="center"/>
          </w:tcPr>
          <w:p w:rsidR="001A63C6" w:rsidRPr="00451078" w:rsidRDefault="001A63C6" w:rsidP="001A63C6">
            <w:pPr>
              <w:pStyle w:val="TableText"/>
              <w:widowControl w:val="0"/>
              <w:rPr>
                <w:rFonts w:ascii="Tahoma" w:hAnsi="Tahoma" w:cs="Tahoma"/>
                <w:sz w:val="13"/>
                <w:lang w:val="it-IT"/>
              </w:rPr>
            </w:pPr>
          </w:p>
        </w:tc>
        <w:tc>
          <w:tcPr>
            <w:tcW w:w="450" w:type="dxa"/>
            <w:tcBorders>
              <w:bottom w:val="single" w:sz="4" w:space="0" w:color="auto"/>
            </w:tcBorders>
            <w:shd w:val="clear" w:color="auto" w:fill="auto"/>
            <w:vAlign w:val="center"/>
          </w:tcPr>
          <w:p w:rsidR="001A63C6" w:rsidRPr="00451078" w:rsidRDefault="001A63C6" w:rsidP="001A63C6">
            <w:pPr>
              <w:pStyle w:val="TableText"/>
              <w:widowControl w:val="0"/>
              <w:rPr>
                <w:rFonts w:ascii="Tahoma" w:hAnsi="Tahoma" w:cs="Tahoma"/>
                <w:sz w:val="13"/>
                <w:lang w:val="it-IT"/>
              </w:rPr>
            </w:pPr>
          </w:p>
        </w:tc>
        <w:tc>
          <w:tcPr>
            <w:tcW w:w="450" w:type="dxa"/>
            <w:tcBorders>
              <w:bottom w:val="single" w:sz="4" w:space="0" w:color="auto"/>
            </w:tcBorders>
            <w:shd w:val="clear" w:color="auto" w:fill="auto"/>
            <w:vAlign w:val="center"/>
          </w:tcPr>
          <w:p w:rsidR="001A63C6" w:rsidRPr="00451078" w:rsidRDefault="001A63C6" w:rsidP="001A63C6">
            <w:pPr>
              <w:pStyle w:val="TableText"/>
              <w:widowControl w:val="0"/>
              <w:rPr>
                <w:rFonts w:ascii="Tahoma" w:hAnsi="Tahoma" w:cs="Tahoma"/>
                <w:sz w:val="13"/>
                <w:lang w:val="it-IT"/>
              </w:rPr>
            </w:pPr>
          </w:p>
        </w:tc>
        <w:tc>
          <w:tcPr>
            <w:tcW w:w="450" w:type="dxa"/>
            <w:tcBorders>
              <w:bottom w:val="single" w:sz="4" w:space="0" w:color="auto"/>
            </w:tcBorders>
            <w:shd w:val="clear" w:color="auto" w:fill="auto"/>
            <w:vAlign w:val="center"/>
          </w:tcPr>
          <w:p w:rsidR="001A63C6" w:rsidRPr="00451078" w:rsidRDefault="001A63C6" w:rsidP="001A63C6">
            <w:pPr>
              <w:pStyle w:val="TableText"/>
              <w:widowControl w:val="0"/>
              <w:rPr>
                <w:rFonts w:ascii="Tahoma" w:hAnsi="Tahoma" w:cs="Tahoma"/>
                <w:sz w:val="13"/>
                <w:lang w:val="it-IT"/>
              </w:rPr>
            </w:pPr>
          </w:p>
        </w:tc>
        <w:tc>
          <w:tcPr>
            <w:tcW w:w="450" w:type="dxa"/>
            <w:tcBorders>
              <w:bottom w:val="single" w:sz="4" w:space="0" w:color="auto"/>
            </w:tcBorders>
            <w:shd w:val="clear" w:color="auto" w:fill="auto"/>
            <w:vAlign w:val="center"/>
          </w:tcPr>
          <w:p w:rsidR="001A63C6" w:rsidRPr="00451078" w:rsidRDefault="001A63C6" w:rsidP="001A63C6">
            <w:pPr>
              <w:pStyle w:val="TableText"/>
              <w:widowControl w:val="0"/>
              <w:rPr>
                <w:rFonts w:ascii="Tahoma" w:hAnsi="Tahoma" w:cs="Tahoma"/>
                <w:sz w:val="13"/>
                <w:lang w:val="it-IT"/>
              </w:rPr>
            </w:pPr>
          </w:p>
        </w:tc>
        <w:tc>
          <w:tcPr>
            <w:tcW w:w="450" w:type="dxa"/>
            <w:tcBorders>
              <w:bottom w:val="single" w:sz="4" w:space="0" w:color="auto"/>
            </w:tcBorders>
            <w:shd w:val="clear" w:color="auto" w:fill="auto"/>
            <w:vAlign w:val="center"/>
          </w:tcPr>
          <w:p w:rsidR="001A63C6" w:rsidRPr="00451078" w:rsidRDefault="001A63C6" w:rsidP="001A63C6">
            <w:pPr>
              <w:pStyle w:val="TableText"/>
              <w:widowControl w:val="0"/>
              <w:rPr>
                <w:rFonts w:ascii="Tahoma" w:hAnsi="Tahoma" w:cs="Tahoma"/>
                <w:sz w:val="13"/>
                <w:lang w:val="it-IT"/>
              </w:rPr>
            </w:pPr>
          </w:p>
        </w:tc>
        <w:tc>
          <w:tcPr>
            <w:tcW w:w="360" w:type="dxa"/>
            <w:tcBorders>
              <w:bottom w:val="single" w:sz="4" w:space="0" w:color="auto"/>
              <w:right w:val="single" w:sz="18" w:space="0" w:color="auto"/>
            </w:tcBorders>
            <w:shd w:val="clear" w:color="auto" w:fill="auto"/>
            <w:vAlign w:val="center"/>
          </w:tcPr>
          <w:p w:rsidR="001A63C6" w:rsidRPr="00451078" w:rsidRDefault="001A63C6" w:rsidP="001A63C6">
            <w:pPr>
              <w:pStyle w:val="TableText"/>
              <w:widowControl w:val="0"/>
              <w:rPr>
                <w:rFonts w:ascii="Tahoma" w:hAnsi="Tahoma" w:cs="Tahoma"/>
                <w:sz w:val="13"/>
                <w:lang w:val="it-IT"/>
              </w:rPr>
            </w:pPr>
          </w:p>
        </w:tc>
        <w:tc>
          <w:tcPr>
            <w:tcW w:w="450" w:type="dxa"/>
            <w:tcBorders>
              <w:left w:val="single" w:sz="18" w:space="0" w:color="auto"/>
              <w:bottom w:val="single" w:sz="4" w:space="0" w:color="auto"/>
            </w:tcBorders>
            <w:shd w:val="clear" w:color="auto" w:fill="auto"/>
            <w:vAlign w:val="center"/>
          </w:tcPr>
          <w:p w:rsidR="001A63C6" w:rsidRPr="00451078" w:rsidRDefault="001A63C6" w:rsidP="001A63C6">
            <w:pPr>
              <w:pStyle w:val="TableText"/>
              <w:widowControl w:val="0"/>
              <w:rPr>
                <w:rFonts w:ascii="Tahoma" w:hAnsi="Tahoma" w:cs="Tahoma"/>
                <w:sz w:val="13"/>
                <w:lang w:val="it-IT"/>
              </w:rPr>
            </w:pPr>
          </w:p>
        </w:tc>
        <w:tc>
          <w:tcPr>
            <w:tcW w:w="450" w:type="dxa"/>
            <w:tcBorders>
              <w:bottom w:val="single" w:sz="4" w:space="0" w:color="auto"/>
            </w:tcBorders>
            <w:shd w:val="clear" w:color="auto" w:fill="auto"/>
            <w:vAlign w:val="center"/>
          </w:tcPr>
          <w:p w:rsidR="001A63C6" w:rsidRPr="00451078" w:rsidRDefault="001A63C6" w:rsidP="001A63C6">
            <w:pPr>
              <w:pStyle w:val="TableText"/>
              <w:widowControl w:val="0"/>
              <w:rPr>
                <w:rFonts w:ascii="Tahoma" w:hAnsi="Tahoma" w:cs="Tahoma"/>
                <w:sz w:val="13"/>
                <w:lang w:val="it-IT"/>
              </w:rPr>
            </w:pPr>
          </w:p>
        </w:tc>
        <w:tc>
          <w:tcPr>
            <w:tcW w:w="450" w:type="dxa"/>
            <w:tcBorders>
              <w:bottom w:val="single" w:sz="4" w:space="0" w:color="auto"/>
              <w:right w:val="single" w:sz="18" w:space="0" w:color="auto"/>
            </w:tcBorders>
            <w:shd w:val="clear" w:color="auto" w:fill="auto"/>
            <w:vAlign w:val="center"/>
          </w:tcPr>
          <w:p w:rsidR="001A63C6" w:rsidRPr="00451078" w:rsidRDefault="001A63C6" w:rsidP="001A63C6">
            <w:pPr>
              <w:pStyle w:val="TableText"/>
              <w:widowControl w:val="0"/>
              <w:rPr>
                <w:rFonts w:ascii="Tahoma" w:hAnsi="Tahoma" w:cs="Tahoma"/>
                <w:sz w:val="13"/>
                <w:lang w:val="it-IT"/>
              </w:rPr>
            </w:pPr>
          </w:p>
        </w:tc>
        <w:tc>
          <w:tcPr>
            <w:tcW w:w="450" w:type="dxa"/>
            <w:tcBorders>
              <w:left w:val="single" w:sz="18" w:space="0" w:color="auto"/>
              <w:bottom w:val="single" w:sz="4" w:space="0" w:color="auto"/>
            </w:tcBorders>
            <w:shd w:val="clear" w:color="auto" w:fill="auto"/>
            <w:vAlign w:val="center"/>
          </w:tcPr>
          <w:p w:rsidR="001A63C6" w:rsidRPr="00451078" w:rsidRDefault="001A63C6" w:rsidP="001A63C6">
            <w:pPr>
              <w:pStyle w:val="TableText"/>
              <w:widowControl w:val="0"/>
              <w:rPr>
                <w:rFonts w:ascii="Tahoma" w:hAnsi="Tahoma" w:cs="Tahoma"/>
                <w:sz w:val="13"/>
                <w:lang w:val="it-IT"/>
              </w:rPr>
            </w:pPr>
          </w:p>
        </w:tc>
        <w:tc>
          <w:tcPr>
            <w:tcW w:w="450" w:type="dxa"/>
            <w:tcBorders>
              <w:bottom w:val="single" w:sz="4" w:space="0" w:color="auto"/>
              <w:right w:val="single" w:sz="18" w:space="0" w:color="auto"/>
            </w:tcBorders>
            <w:shd w:val="clear" w:color="auto" w:fill="auto"/>
            <w:vAlign w:val="center"/>
          </w:tcPr>
          <w:p w:rsidR="001A63C6" w:rsidRPr="00451078" w:rsidRDefault="001A63C6" w:rsidP="001A63C6">
            <w:pPr>
              <w:pStyle w:val="TableText"/>
              <w:widowControl w:val="0"/>
              <w:rPr>
                <w:rFonts w:ascii="Tahoma" w:hAnsi="Tahoma" w:cs="Tahoma"/>
                <w:sz w:val="13"/>
                <w:lang w:val="it-IT"/>
              </w:rPr>
            </w:pPr>
          </w:p>
        </w:tc>
        <w:tc>
          <w:tcPr>
            <w:tcW w:w="450" w:type="dxa"/>
            <w:tcBorders>
              <w:left w:val="single" w:sz="18" w:space="0" w:color="auto"/>
              <w:bottom w:val="single" w:sz="4" w:space="0" w:color="auto"/>
              <w:right w:val="single" w:sz="18" w:space="0" w:color="auto"/>
            </w:tcBorders>
            <w:shd w:val="clear" w:color="auto" w:fill="auto"/>
            <w:vAlign w:val="center"/>
          </w:tcPr>
          <w:p w:rsidR="001A63C6" w:rsidRPr="00451078" w:rsidRDefault="001A63C6" w:rsidP="001A63C6">
            <w:pPr>
              <w:pStyle w:val="TableText"/>
              <w:widowControl w:val="0"/>
              <w:rPr>
                <w:rFonts w:ascii="Tahoma" w:hAnsi="Tahoma" w:cs="Tahoma"/>
                <w:sz w:val="13"/>
                <w:lang w:val="it-IT"/>
              </w:rPr>
            </w:pPr>
          </w:p>
        </w:tc>
        <w:tc>
          <w:tcPr>
            <w:tcW w:w="450" w:type="dxa"/>
            <w:tcBorders>
              <w:bottom w:val="single" w:sz="4" w:space="0" w:color="auto"/>
            </w:tcBorders>
            <w:shd w:val="clear" w:color="auto" w:fill="auto"/>
          </w:tcPr>
          <w:p w:rsidR="001A63C6" w:rsidRPr="00451078" w:rsidRDefault="001A63C6" w:rsidP="001A63C6">
            <w:pPr>
              <w:pStyle w:val="TableText"/>
              <w:widowControl w:val="0"/>
              <w:rPr>
                <w:rFonts w:ascii="Tahoma" w:hAnsi="Tahoma" w:cs="Tahoma"/>
                <w:sz w:val="13"/>
                <w:lang w:val="it-IT"/>
              </w:rPr>
            </w:pPr>
          </w:p>
        </w:tc>
        <w:tc>
          <w:tcPr>
            <w:tcW w:w="540" w:type="dxa"/>
            <w:tcBorders>
              <w:bottom w:val="single" w:sz="4" w:space="0" w:color="auto"/>
            </w:tcBorders>
            <w:shd w:val="clear" w:color="auto" w:fill="auto"/>
            <w:vAlign w:val="center"/>
          </w:tcPr>
          <w:p w:rsidR="001A63C6" w:rsidRPr="00451078" w:rsidRDefault="001A63C6" w:rsidP="001A63C6">
            <w:pPr>
              <w:pStyle w:val="TableText"/>
              <w:widowControl w:val="0"/>
              <w:rPr>
                <w:rFonts w:ascii="Tahoma" w:hAnsi="Tahoma" w:cs="Tahoma"/>
                <w:sz w:val="13"/>
                <w:lang w:val="it-IT"/>
              </w:rPr>
            </w:pPr>
          </w:p>
        </w:tc>
      </w:tr>
      <w:tr w:rsidR="00B33D0E" w:rsidRPr="003410C7" w:rsidTr="006B1F3F">
        <w:trPr>
          <w:trHeight w:val="145"/>
        </w:trPr>
        <w:tc>
          <w:tcPr>
            <w:tcW w:w="2734" w:type="dxa"/>
            <w:gridSpan w:val="2"/>
            <w:tcBorders>
              <w:bottom w:val="single" w:sz="4" w:space="0" w:color="auto"/>
            </w:tcBorders>
            <w:shd w:val="clear" w:color="auto" w:fill="FABF8F"/>
            <w:vAlign w:val="center"/>
          </w:tcPr>
          <w:p w:rsidR="001A63C6" w:rsidRPr="003410C7" w:rsidRDefault="001A63C6" w:rsidP="00FE2D13">
            <w:pPr>
              <w:pStyle w:val="ProductNames"/>
              <w:spacing w:beforeLines="20" w:before="48" w:afterLines="20" w:after="48"/>
              <w:rPr>
                <w:rFonts w:ascii="Tahoma" w:hAnsi="Tahoma" w:cs="Tahoma"/>
                <w:sz w:val="14"/>
              </w:rPr>
            </w:pPr>
            <w:bookmarkStart w:id="397" w:name="_Toc336338053"/>
            <w:bookmarkStart w:id="398" w:name="_Toc352234657"/>
            <w:r w:rsidRPr="003410C7">
              <w:rPr>
                <w:rFonts w:ascii="Tahoma" w:hAnsi="Tahoma" w:cs="Tahoma"/>
                <w:sz w:val="14"/>
                <w:szCs w:val="18"/>
              </w:rPr>
              <w:t>SQL Server</w:t>
            </w:r>
            <w:r w:rsidR="003410C7" w:rsidRPr="003410C7">
              <w:rPr>
                <w:rFonts w:ascii="Tahoma" w:eastAsia="Times New Roman" w:hAnsi="Tahoma" w:cs="Tahoma"/>
                <w:color w:val="000000"/>
                <w:sz w:val="14"/>
                <w:szCs w:val="18"/>
                <w:vertAlign w:val="superscript"/>
              </w:rPr>
              <w:t>®</w:t>
            </w:r>
            <w:r w:rsidRPr="003410C7">
              <w:rPr>
                <w:rFonts w:ascii="Tahoma" w:hAnsi="Tahoma" w:cs="Tahoma"/>
                <w:sz w:val="14"/>
                <w:szCs w:val="18"/>
              </w:rPr>
              <w:t xml:space="preserve"> 2008 R2 Workgroup (5</w:t>
            </w:r>
            <w:r w:rsidR="00FE2D13">
              <w:rPr>
                <w:rFonts w:ascii="Tahoma" w:hAnsi="Tahoma" w:cs="Tahoma"/>
                <w:sz w:val="14"/>
                <w:szCs w:val="18"/>
              </w:rPr>
              <w:t> </w:t>
            </w:r>
            <w:r w:rsidRPr="003410C7">
              <w:rPr>
                <w:rFonts w:ascii="Tahoma" w:hAnsi="Tahoma" w:cs="Tahoma"/>
                <w:sz w:val="14"/>
                <w:szCs w:val="18"/>
              </w:rPr>
              <w:t>Add</w:t>
            </w:r>
            <w:r w:rsidR="00FE2D13">
              <w:rPr>
                <w:rFonts w:ascii="Tahoma" w:hAnsi="Tahoma" w:cs="Tahoma"/>
                <w:sz w:val="14"/>
                <w:szCs w:val="18"/>
              </w:rPr>
              <w:t> </w:t>
            </w:r>
            <w:r w:rsidRPr="003410C7">
              <w:rPr>
                <w:rFonts w:ascii="Tahoma" w:hAnsi="Tahoma" w:cs="Tahoma"/>
                <w:sz w:val="14"/>
                <w:szCs w:val="18"/>
              </w:rPr>
              <w:t>On Client)</w:t>
            </w:r>
            <w:bookmarkEnd w:id="397"/>
            <w:bookmarkEnd w:id="398"/>
          </w:p>
        </w:tc>
        <w:tc>
          <w:tcPr>
            <w:tcW w:w="450" w:type="dxa"/>
            <w:tcBorders>
              <w:bottom w:val="single" w:sz="4" w:space="0" w:color="auto"/>
            </w:tcBorders>
            <w:shd w:val="clear" w:color="auto" w:fill="FABF8F"/>
            <w:vAlign w:val="center"/>
          </w:tcPr>
          <w:p w:rsidR="001A63C6" w:rsidRPr="009F17FF" w:rsidRDefault="00FC1A4D" w:rsidP="009E3486">
            <w:pPr>
              <w:pStyle w:val="TableText"/>
              <w:widowControl w:val="0"/>
              <w:rPr>
                <w:rStyle w:val="EndnoteReference"/>
                <w:color w:val="000000"/>
                <w:sz w:val="13"/>
                <w:szCs w:val="13"/>
                <w:u w:val="single"/>
              </w:rPr>
            </w:pPr>
            <w:hyperlink w:anchor="_78_76_SQL" w:history="1">
              <w:r w:rsidR="000D77F6" w:rsidRPr="009F17FF">
                <w:rPr>
                  <w:rStyle w:val="Hyperlink"/>
                  <w:b/>
                  <w:sz w:val="13"/>
                  <w:szCs w:val="13"/>
                </w:rPr>
                <w:t>76</w:t>
              </w:r>
            </w:hyperlink>
          </w:p>
        </w:tc>
        <w:tc>
          <w:tcPr>
            <w:tcW w:w="450" w:type="dxa"/>
            <w:tcBorders>
              <w:bottom w:val="single" w:sz="4" w:space="0" w:color="auto"/>
            </w:tcBorders>
            <w:shd w:val="clear" w:color="auto" w:fill="FABF8F"/>
          </w:tcPr>
          <w:p w:rsidR="001A63C6" w:rsidRPr="003410C7" w:rsidRDefault="001A63C6" w:rsidP="001A63C6">
            <w:pPr>
              <w:pStyle w:val="TableText"/>
              <w:widowControl w:val="0"/>
              <w:spacing w:before="12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rsidR="001A63C6" w:rsidRPr="003410C7" w:rsidRDefault="001A63C6" w:rsidP="001A63C6">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FABF8F"/>
            <w:vAlign w:val="center"/>
          </w:tcPr>
          <w:p w:rsidR="001A63C6" w:rsidRPr="003410C7"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3410C7"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3410C7"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3410C7"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3410C7"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3410C7" w:rsidRDefault="001A63C6" w:rsidP="001A63C6">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rsidR="001A63C6" w:rsidRPr="003410C7"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3410C7"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3410C7"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1A63C6" w:rsidRPr="003410C7"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3410C7"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1A63C6" w:rsidRPr="003410C7"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3410C7"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tcPr>
          <w:p w:rsidR="001A63C6" w:rsidRPr="003410C7" w:rsidRDefault="001A63C6" w:rsidP="001A63C6">
            <w:pPr>
              <w:pStyle w:val="TableText"/>
              <w:widowControl w:val="0"/>
              <w:rPr>
                <w:rFonts w:ascii="Tahoma" w:hAnsi="Tahoma" w:cs="Tahoma"/>
                <w:sz w:val="13"/>
              </w:rPr>
            </w:pPr>
          </w:p>
        </w:tc>
        <w:tc>
          <w:tcPr>
            <w:tcW w:w="540" w:type="dxa"/>
            <w:tcBorders>
              <w:bottom w:val="single" w:sz="4" w:space="0" w:color="auto"/>
            </w:tcBorders>
            <w:shd w:val="clear" w:color="auto" w:fill="FABF8F"/>
            <w:vAlign w:val="center"/>
          </w:tcPr>
          <w:p w:rsidR="001A63C6" w:rsidRPr="003410C7" w:rsidRDefault="001A63C6" w:rsidP="001A63C6">
            <w:pPr>
              <w:pStyle w:val="TableText"/>
              <w:widowControl w:val="0"/>
              <w:rPr>
                <w:rFonts w:ascii="Tahoma" w:hAnsi="Tahoma" w:cs="Tahoma"/>
                <w:sz w:val="13"/>
              </w:rPr>
            </w:pPr>
          </w:p>
        </w:tc>
      </w:tr>
      <w:tr w:rsidR="001A63C6" w:rsidRPr="003410C7" w:rsidTr="007E466C">
        <w:trPr>
          <w:trHeight w:val="145"/>
        </w:trPr>
        <w:tc>
          <w:tcPr>
            <w:tcW w:w="2734" w:type="dxa"/>
            <w:gridSpan w:val="2"/>
            <w:tcBorders>
              <w:bottom w:val="single" w:sz="4" w:space="0" w:color="auto"/>
            </w:tcBorders>
            <w:shd w:val="clear" w:color="auto" w:fill="auto"/>
            <w:vAlign w:val="center"/>
          </w:tcPr>
          <w:p w:rsidR="001A63C6" w:rsidRPr="00451078" w:rsidRDefault="001A63C6" w:rsidP="00FE2D13">
            <w:pPr>
              <w:pStyle w:val="ProductNames"/>
              <w:spacing w:beforeLines="20" w:before="48" w:afterLines="20" w:after="48"/>
              <w:rPr>
                <w:rFonts w:ascii="Tahoma" w:hAnsi="Tahoma" w:cs="Tahoma"/>
                <w:sz w:val="14"/>
                <w:szCs w:val="18"/>
                <w:lang w:val="it-IT"/>
              </w:rPr>
            </w:pPr>
            <w:bookmarkStart w:id="399" w:name="_Toc336338052"/>
            <w:bookmarkStart w:id="400" w:name="_Toc352234658"/>
            <w:r w:rsidRPr="00451078">
              <w:rPr>
                <w:rFonts w:ascii="Tahoma" w:hAnsi="Tahoma" w:cs="Tahoma"/>
                <w:sz w:val="14"/>
                <w:lang w:val="it-IT"/>
              </w:rPr>
              <w:t>1 Licenza per Processore per SQL</w:t>
            </w:r>
            <w:r w:rsidR="00FE2D13" w:rsidRPr="00451078">
              <w:rPr>
                <w:rFonts w:ascii="Tahoma" w:hAnsi="Tahoma" w:cs="Tahoma"/>
                <w:sz w:val="14"/>
                <w:lang w:val="it-IT"/>
              </w:rPr>
              <w:t> </w:t>
            </w:r>
            <w:r w:rsidRPr="00451078">
              <w:rPr>
                <w:rFonts w:ascii="Tahoma" w:hAnsi="Tahoma" w:cs="Tahoma"/>
                <w:sz w:val="14"/>
                <w:lang w:val="it-IT"/>
              </w:rPr>
              <w:t>Server</w:t>
            </w:r>
            <w:r w:rsidR="003410C7" w:rsidRPr="00451078">
              <w:rPr>
                <w:rFonts w:ascii="Tahoma" w:eastAsia="Times New Roman" w:hAnsi="Tahoma" w:cs="Tahoma"/>
                <w:color w:val="000000"/>
                <w:sz w:val="18"/>
                <w:szCs w:val="18"/>
                <w:vertAlign w:val="superscript"/>
                <w:lang w:val="it-IT"/>
              </w:rPr>
              <w:t>®</w:t>
            </w:r>
            <w:r w:rsidR="00FE2D13" w:rsidRPr="00451078">
              <w:rPr>
                <w:rFonts w:ascii="Tahoma" w:hAnsi="Tahoma" w:cs="Tahoma"/>
                <w:sz w:val="14"/>
                <w:lang w:val="it-IT"/>
              </w:rPr>
              <w:t> </w:t>
            </w:r>
            <w:r w:rsidRPr="00451078">
              <w:rPr>
                <w:rFonts w:ascii="Tahoma" w:hAnsi="Tahoma" w:cs="Tahoma"/>
                <w:sz w:val="14"/>
                <w:lang w:val="it-IT"/>
              </w:rPr>
              <w:t>2008 R2 Workgroup</w:t>
            </w:r>
            <w:bookmarkEnd w:id="399"/>
            <w:bookmarkEnd w:id="400"/>
          </w:p>
        </w:tc>
        <w:tc>
          <w:tcPr>
            <w:tcW w:w="450" w:type="dxa"/>
            <w:tcBorders>
              <w:bottom w:val="single" w:sz="4" w:space="0" w:color="auto"/>
            </w:tcBorders>
            <w:shd w:val="clear" w:color="auto" w:fill="auto"/>
            <w:vAlign w:val="center"/>
          </w:tcPr>
          <w:p w:rsidR="001A63C6" w:rsidRPr="009F17FF" w:rsidRDefault="00FC1A4D" w:rsidP="009E3486">
            <w:pPr>
              <w:pStyle w:val="TableText"/>
              <w:widowControl w:val="0"/>
              <w:rPr>
                <w:rStyle w:val="EndnoteReference"/>
                <w:color w:val="000000"/>
                <w:sz w:val="13"/>
                <w:szCs w:val="13"/>
              </w:rPr>
            </w:pPr>
            <w:hyperlink w:anchor="_79_77_SQL" w:history="1">
              <w:r w:rsidR="000D77F6" w:rsidRPr="009F17FF">
                <w:rPr>
                  <w:rStyle w:val="Hyperlink"/>
                  <w:b/>
                  <w:sz w:val="13"/>
                  <w:szCs w:val="13"/>
                </w:rPr>
                <w:t>77</w:t>
              </w:r>
            </w:hyperlink>
          </w:p>
        </w:tc>
        <w:tc>
          <w:tcPr>
            <w:tcW w:w="450" w:type="dxa"/>
            <w:tcBorders>
              <w:bottom w:val="single" w:sz="4" w:space="0" w:color="auto"/>
            </w:tcBorders>
            <w:shd w:val="clear" w:color="auto" w:fill="auto"/>
          </w:tcPr>
          <w:p w:rsidR="001A63C6" w:rsidRPr="003410C7" w:rsidRDefault="001A63C6" w:rsidP="001A63C6">
            <w:pPr>
              <w:pStyle w:val="TableText"/>
              <w:widowControl w:val="0"/>
              <w:spacing w:before="120"/>
              <w:rPr>
                <w:rFonts w:ascii="Tahoma" w:hAnsi="Tahoma" w:cs="Tahoma"/>
                <w:sz w:val="13"/>
              </w:rPr>
            </w:pPr>
          </w:p>
        </w:tc>
        <w:tc>
          <w:tcPr>
            <w:tcW w:w="360" w:type="dxa"/>
            <w:tcBorders>
              <w:bottom w:val="single" w:sz="4" w:space="0" w:color="auto"/>
              <w:right w:val="single" w:sz="18" w:space="0" w:color="auto"/>
            </w:tcBorders>
            <w:shd w:val="clear" w:color="auto" w:fill="auto"/>
            <w:vAlign w:val="center"/>
          </w:tcPr>
          <w:p w:rsidR="001A63C6" w:rsidRPr="003410C7" w:rsidRDefault="001A63C6" w:rsidP="001A63C6">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auto"/>
            <w:vAlign w:val="center"/>
          </w:tcPr>
          <w:p w:rsidR="001A63C6" w:rsidRPr="003410C7"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3410C7"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3410C7"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3410C7"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3410C7"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3410C7" w:rsidRDefault="001A63C6" w:rsidP="001A63C6">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auto"/>
            <w:vAlign w:val="center"/>
          </w:tcPr>
          <w:p w:rsidR="001A63C6" w:rsidRPr="003410C7"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1A63C6" w:rsidRPr="003410C7"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3410C7"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1A63C6" w:rsidRPr="003410C7"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1A63C6" w:rsidRPr="003410C7"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1A63C6" w:rsidRPr="003410C7"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rsidR="001A63C6" w:rsidRPr="003410C7"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tcPr>
          <w:p w:rsidR="001A63C6" w:rsidRPr="003410C7" w:rsidRDefault="001A63C6" w:rsidP="001A63C6">
            <w:pPr>
              <w:pStyle w:val="TableText"/>
              <w:widowControl w:val="0"/>
              <w:rPr>
                <w:rFonts w:ascii="Tahoma" w:hAnsi="Tahoma" w:cs="Tahoma"/>
                <w:sz w:val="13"/>
              </w:rPr>
            </w:pPr>
          </w:p>
        </w:tc>
        <w:tc>
          <w:tcPr>
            <w:tcW w:w="540" w:type="dxa"/>
            <w:tcBorders>
              <w:bottom w:val="single" w:sz="4" w:space="0" w:color="auto"/>
            </w:tcBorders>
            <w:shd w:val="clear" w:color="auto" w:fill="auto"/>
            <w:vAlign w:val="center"/>
          </w:tcPr>
          <w:p w:rsidR="001A63C6" w:rsidRPr="003410C7" w:rsidRDefault="001A63C6" w:rsidP="001A63C6">
            <w:pPr>
              <w:pStyle w:val="TableText"/>
              <w:widowControl w:val="0"/>
              <w:rPr>
                <w:rFonts w:ascii="Tahoma" w:hAnsi="Tahoma" w:cs="Tahoma"/>
                <w:sz w:val="13"/>
              </w:rPr>
            </w:pPr>
          </w:p>
        </w:tc>
      </w:tr>
      <w:tr w:rsidR="00B33D0E" w:rsidRPr="003410C7" w:rsidTr="006B1F3F">
        <w:trPr>
          <w:trHeight w:val="145"/>
        </w:trPr>
        <w:tc>
          <w:tcPr>
            <w:tcW w:w="2734" w:type="dxa"/>
            <w:gridSpan w:val="2"/>
            <w:tcBorders>
              <w:bottom w:val="single" w:sz="4" w:space="0" w:color="auto"/>
            </w:tcBorders>
            <w:shd w:val="clear" w:color="auto" w:fill="FABF8F"/>
            <w:vAlign w:val="center"/>
          </w:tcPr>
          <w:p w:rsidR="001A63C6" w:rsidRPr="003410C7" w:rsidRDefault="001A63C6" w:rsidP="003410C7">
            <w:pPr>
              <w:pStyle w:val="ProductNames"/>
              <w:spacing w:beforeLines="20" w:before="48" w:afterLines="20" w:after="48"/>
              <w:rPr>
                <w:rFonts w:ascii="Tahoma" w:hAnsi="Tahoma" w:cs="Tahoma"/>
                <w:sz w:val="14"/>
              </w:rPr>
            </w:pPr>
            <w:bookmarkStart w:id="401" w:name="_Toc336338054"/>
            <w:bookmarkStart w:id="402" w:name="_Toc352234659"/>
            <w:r w:rsidRPr="003410C7">
              <w:rPr>
                <w:rFonts w:ascii="Tahoma" w:hAnsi="Tahoma" w:cs="Tahoma"/>
                <w:sz w:val="14"/>
              </w:rPr>
              <w:lastRenderedPageBreak/>
              <w:t>SQL Server</w:t>
            </w:r>
            <w:r w:rsidR="003410C7" w:rsidRPr="003410C7">
              <w:rPr>
                <w:rFonts w:ascii="Tahoma" w:eastAsia="Times New Roman" w:hAnsi="Tahoma" w:cs="Tahoma"/>
                <w:color w:val="000000"/>
                <w:sz w:val="18"/>
                <w:szCs w:val="18"/>
                <w:vertAlign w:val="superscript"/>
              </w:rPr>
              <w:t>®</w:t>
            </w:r>
            <w:r w:rsidRPr="003410C7">
              <w:rPr>
                <w:rFonts w:ascii="Tahoma" w:hAnsi="Tahoma" w:cs="Tahoma"/>
                <w:sz w:val="14"/>
              </w:rPr>
              <w:t xml:space="preserve"> 2012 Business Intelligence</w:t>
            </w:r>
            <w:bookmarkEnd w:id="401"/>
            <w:bookmarkEnd w:id="402"/>
          </w:p>
        </w:tc>
        <w:tc>
          <w:tcPr>
            <w:tcW w:w="450" w:type="dxa"/>
            <w:tcBorders>
              <w:bottom w:val="single" w:sz="4" w:space="0" w:color="auto"/>
            </w:tcBorders>
            <w:shd w:val="clear" w:color="auto" w:fill="FABF8F"/>
            <w:vAlign w:val="center"/>
          </w:tcPr>
          <w:p w:rsidR="001A63C6" w:rsidRPr="009F17FF" w:rsidRDefault="001A63C6" w:rsidP="001A63C6">
            <w:pPr>
              <w:pStyle w:val="TableText"/>
              <w:widowControl w:val="0"/>
              <w:rPr>
                <w:rStyle w:val="EndnoteReference"/>
                <w:color w:val="000000"/>
                <w:sz w:val="13"/>
                <w:szCs w:val="13"/>
                <w:u w:val="single"/>
              </w:rPr>
            </w:pPr>
          </w:p>
        </w:tc>
        <w:tc>
          <w:tcPr>
            <w:tcW w:w="450" w:type="dxa"/>
            <w:tcBorders>
              <w:bottom w:val="single" w:sz="4" w:space="0" w:color="auto"/>
            </w:tcBorders>
            <w:shd w:val="clear" w:color="auto" w:fill="FABF8F"/>
          </w:tcPr>
          <w:p w:rsidR="001A63C6" w:rsidRPr="003410C7" w:rsidRDefault="001A63C6" w:rsidP="001A63C6">
            <w:pPr>
              <w:pStyle w:val="TableText"/>
              <w:widowControl w:val="0"/>
              <w:spacing w:before="80"/>
              <w:rPr>
                <w:rFonts w:ascii="Tahoma" w:hAnsi="Tahoma" w:cs="Tahoma"/>
                <w:sz w:val="13"/>
              </w:rPr>
            </w:pPr>
            <w:r w:rsidRPr="003410C7">
              <w:rPr>
                <w:rFonts w:ascii="Tahoma" w:hAnsi="Tahoma" w:cs="Tahoma"/>
                <w:sz w:val="13"/>
              </w:rPr>
              <w:t>04/12</w:t>
            </w:r>
          </w:p>
        </w:tc>
        <w:tc>
          <w:tcPr>
            <w:tcW w:w="360" w:type="dxa"/>
            <w:tcBorders>
              <w:bottom w:val="single" w:sz="4" w:space="0" w:color="auto"/>
              <w:right w:val="single" w:sz="18" w:space="0" w:color="auto"/>
            </w:tcBorders>
            <w:shd w:val="clear" w:color="auto" w:fill="FABF8F"/>
            <w:vAlign w:val="center"/>
          </w:tcPr>
          <w:p w:rsidR="001A63C6" w:rsidRPr="003410C7" w:rsidRDefault="001A63C6" w:rsidP="001A63C6">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FABF8F"/>
            <w:vAlign w:val="bottom"/>
          </w:tcPr>
          <w:p w:rsidR="001A63C6" w:rsidRPr="003410C7" w:rsidRDefault="001A63C6" w:rsidP="001A63C6">
            <w:pPr>
              <w:pStyle w:val="TableText"/>
              <w:widowControl w:val="0"/>
              <w:rPr>
                <w:rFonts w:ascii="Tahoma" w:hAnsi="Tahoma" w:cs="Tahoma"/>
                <w:sz w:val="13"/>
                <w:szCs w:val="13"/>
              </w:rPr>
            </w:pPr>
            <w:r w:rsidRPr="003410C7">
              <w:rPr>
                <w:rFonts w:ascii="Tahoma" w:hAnsi="Tahoma" w:cs="Tahoma"/>
                <w:sz w:val="13"/>
                <w:szCs w:val="13"/>
                <w:u w:val="single"/>
              </w:rPr>
              <w:t>75</w:t>
            </w:r>
          </w:p>
        </w:tc>
        <w:tc>
          <w:tcPr>
            <w:tcW w:w="450" w:type="dxa"/>
            <w:tcBorders>
              <w:bottom w:val="single" w:sz="4" w:space="0" w:color="auto"/>
            </w:tcBorders>
            <w:shd w:val="clear" w:color="auto" w:fill="FABF8F"/>
            <w:vAlign w:val="bottom"/>
          </w:tcPr>
          <w:p w:rsidR="001A63C6" w:rsidRPr="003410C7" w:rsidRDefault="001A63C6" w:rsidP="001A63C6">
            <w:pPr>
              <w:pStyle w:val="TableText"/>
              <w:widowControl w:val="0"/>
              <w:rPr>
                <w:rFonts w:ascii="Tahoma" w:hAnsi="Tahoma" w:cs="Tahoma"/>
                <w:sz w:val="13"/>
                <w:szCs w:val="13"/>
              </w:rPr>
            </w:pPr>
            <w:r w:rsidRPr="003410C7">
              <w:rPr>
                <w:rFonts w:ascii="Tahoma" w:hAnsi="Tahoma" w:cs="Tahoma"/>
                <w:sz w:val="13"/>
                <w:szCs w:val="13"/>
              </w:rPr>
              <w:t>188</w:t>
            </w:r>
          </w:p>
        </w:tc>
        <w:tc>
          <w:tcPr>
            <w:tcW w:w="450" w:type="dxa"/>
            <w:tcBorders>
              <w:bottom w:val="single" w:sz="4" w:space="0" w:color="auto"/>
            </w:tcBorders>
            <w:shd w:val="clear" w:color="auto" w:fill="FABF8F"/>
            <w:vAlign w:val="bottom"/>
          </w:tcPr>
          <w:p w:rsidR="001A63C6" w:rsidRPr="003410C7" w:rsidRDefault="001A63C6" w:rsidP="001A63C6">
            <w:pPr>
              <w:pStyle w:val="TableText"/>
              <w:widowControl w:val="0"/>
              <w:rPr>
                <w:rFonts w:ascii="Tahoma" w:hAnsi="Tahoma" w:cs="Tahoma"/>
                <w:sz w:val="13"/>
                <w:szCs w:val="13"/>
              </w:rPr>
            </w:pPr>
            <w:r w:rsidRPr="003410C7">
              <w:rPr>
                <w:rFonts w:ascii="Tahoma" w:hAnsi="Tahoma" w:cs="Tahoma"/>
                <w:sz w:val="13"/>
                <w:szCs w:val="13"/>
              </w:rPr>
              <w:t>150</w:t>
            </w:r>
          </w:p>
        </w:tc>
        <w:tc>
          <w:tcPr>
            <w:tcW w:w="450" w:type="dxa"/>
            <w:tcBorders>
              <w:bottom w:val="single" w:sz="4" w:space="0" w:color="auto"/>
            </w:tcBorders>
            <w:shd w:val="clear" w:color="auto" w:fill="FABF8F"/>
            <w:vAlign w:val="bottom"/>
          </w:tcPr>
          <w:p w:rsidR="001A63C6" w:rsidRPr="003410C7" w:rsidRDefault="001A63C6" w:rsidP="001A63C6">
            <w:pPr>
              <w:pStyle w:val="TableText"/>
              <w:widowControl w:val="0"/>
              <w:rPr>
                <w:rFonts w:ascii="Tahoma" w:hAnsi="Tahoma" w:cs="Tahoma"/>
                <w:sz w:val="13"/>
                <w:szCs w:val="13"/>
              </w:rPr>
            </w:pPr>
            <w:r w:rsidRPr="003410C7">
              <w:rPr>
                <w:rFonts w:ascii="Tahoma" w:hAnsi="Tahoma" w:cs="Tahoma"/>
                <w:sz w:val="13"/>
                <w:szCs w:val="13"/>
              </w:rPr>
              <w:t>113</w:t>
            </w:r>
          </w:p>
        </w:tc>
        <w:tc>
          <w:tcPr>
            <w:tcW w:w="450" w:type="dxa"/>
            <w:tcBorders>
              <w:bottom w:val="single" w:sz="4" w:space="0" w:color="auto"/>
            </w:tcBorders>
            <w:shd w:val="clear" w:color="auto" w:fill="FABF8F"/>
            <w:vAlign w:val="bottom"/>
          </w:tcPr>
          <w:p w:rsidR="001A63C6" w:rsidRPr="003410C7" w:rsidRDefault="001A63C6" w:rsidP="001A63C6">
            <w:pPr>
              <w:pStyle w:val="TableText"/>
              <w:widowControl w:val="0"/>
              <w:rPr>
                <w:rFonts w:ascii="Tahoma" w:hAnsi="Tahoma" w:cs="Tahoma"/>
                <w:sz w:val="13"/>
                <w:szCs w:val="13"/>
              </w:rPr>
            </w:pPr>
            <w:r w:rsidRPr="003410C7">
              <w:rPr>
                <w:rFonts w:ascii="Tahoma" w:hAnsi="Tahoma" w:cs="Tahoma"/>
                <w:sz w:val="13"/>
                <w:szCs w:val="13"/>
              </w:rPr>
              <w:t>113</w:t>
            </w:r>
          </w:p>
        </w:tc>
        <w:tc>
          <w:tcPr>
            <w:tcW w:w="450" w:type="dxa"/>
            <w:tcBorders>
              <w:bottom w:val="single" w:sz="4" w:space="0" w:color="auto"/>
            </w:tcBorders>
            <w:shd w:val="clear" w:color="auto" w:fill="FABF8F"/>
            <w:vAlign w:val="bottom"/>
          </w:tcPr>
          <w:p w:rsidR="001A63C6" w:rsidRPr="003410C7" w:rsidRDefault="001A63C6" w:rsidP="001A63C6">
            <w:pPr>
              <w:pStyle w:val="TableText"/>
              <w:widowControl w:val="0"/>
              <w:rPr>
                <w:rFonts w:ascii="Tahoma" w:hAnsi="Tahoma" w:cs="Tahoma"/>
                <w:sz w:val="13"/>
                <w:szCs w:val="13"/>
              </w:rPr>
            </w:pPr>
            <w:r w:rsidRPr="003410C7">
              <w:rPr>
                <w:rFonts w:ascii="Tahoma" w:hAnsi="Tahoma" w:cs="Tahoma"/>
                <w:sz w:val="13"/>
                <w:szCs w:val="13"/>
              </w:rPr>
              <w:t>75</w:t>
            </w:r>
          </w:p>
        </w:tc>
        <w:tc>
          <w:tcPr>
            <w:tcW w:w="360" w:type="dxa"/>
            <w:tcBorders>
              <w:bottom w:val="single" w:sz="4" w:space="0" w:color="auto"/>
              <w:right w:val="single" w:sz="18" w:space="0" w:color="auto"/>
            </w:tcBorders>
            <w:shd w:val="clear" w:color="auto" w:fill="FABF8F"/>
            <w:vAlign w:val="bottom"/>
          </w:tcPr>
          <w:p w:rsidR="001A63C6" w:rsidRPr="003410C7" w:rsidRDefault="001A63C6" w:rsidP="001A63C6">
            <w:pPr>
              <w:pStyle w:val="TableText"/>
              <w:widowControl w:val="0"/>
              <w:rPr>
                <w:rFonts w:ascii="Tahoma" w:hAnsi="Tahoma" w:cs="Tahoma"/>
                <w:sz w:val="13"/>
                <w:szCs w:val="13"/>
              </w:rPr>
            </w:pPr>
            <w:r w:rsidRPr="003410C7">
              <w:rPr>
                <w:rFonts w:ascii="Tahoma" w:hAnsi="Tahoma" w:cs="Tahoma"/>
                <w:sz w:val="13"/>
                <w:szCs w:val="13"/>
              </w:rPr>
              <w:t>38</w:t>
            </w:r>
          </w:p>
        </w:tc>
        <w:tc>
          <w:tcPr>
            <w:tcW w:w="450" w:type="dxa"/>
            <w:tcBorders>
              <w:left w:val="single" w:sz="18" w:space="0" w:color="auto"/>
              <w:bottom w:val="single" w:sz="4" w:space="0" w:color="auto"/>
            </w:tcBorders>
            <w:shd w:val="clear" w:color="auto" w:fill="FABF8F"/>
            <w:vAlign w:val="bottom"/>
          </w:tcPr>
          <w:p w:rsidR="001A63C6" w:rsidRPr="003410C7" w:rsidRDefault="001A63C6" w:rsidP="001A63C6">
            <w:pPr>
              <w:pStyle w:val="TableText"/>
              <w:widowControl w:val="0"/>
              <w:rPr>
                <w:rFonts w:ascii="Tahoma" w:hAnsi="Tahoma" w:cs="Tahoma"/>
                <w:sz w:val="13"/>
                <w:szCs w:val="13"/>
              </w:rPr>
            </w:pPr>
            <w:r w:rsidRPr="003410C7">
              <w:rPr>
                <w:rFonts w:ascii="Tahoma" w:hAnsi="Tahoma" w:cs="Tahoma"/>
                <w:sz w:val="13"/>
                <w:szCs w:val="13"/>
              </w:rPr>
              <w:t>75</w:t>
            </w:r>
          </w:p>
        </w:tc>
        <w:tc>
          <w:tcPr>
            <w:tcW w:w="450" w:type="dxa"/>
            <w:tcBorders>
              <w:bottom w:val="single" w:sz="4" w:space="0" w:color="auto"/>
            </w:tcBorders>
            <w:shd w:val="clear" w:color="auto" w:fill="FABF8F"/>
            <w:vAlign w:val="bottom"/>
          </w:tcPr>
          <w:p w:rsidR="001A63C6" w:rsidRPr="003410C7" w:rsidRDefault="001A63C6" w:rsidP="001A63C6">
            <w:pPr>
              <w:pStyle w:val="TableText"/>
              <w:widowControl w:val="0"/>
              <w:rPr>
                <w:rFonts w:ascii="Tahoma" w:hAnsi="Tahoma" w:cs="Tahoma"/>
                <w:sz w:val="13"/>
                <w:szCs w:val="13"/>
              </w:rPr>
            </w:pPr>
            <w:r w:rsidRPr="003410C7">
              <w:rPr>
                <w:rFonts w:ascii="Tahoma" w:hAnsi="Tahoma" w:cs="Tahoma"/>
                <w:sz w:val="13"/>
                <w:szCs w:val="13"/>
              </w:rPr>
              <w:t>150</w:t>
            </w:r>
          </w:p>
        </w:tc>
        <w:tc>
          <w:tcPr>
            <w:tcW w:w="450" w:type="dxa"/>
            <w:tcBorders>
              <w:bottom w:val="single" w:sz="4" w:space="0" w:color="auto"/>
              <w:right w:val="single" w:sz="18" w:space="0" w:color="auto"/>
            </w:tcBorders>
            <w:shd w:val="clear" w:color="auto" w:fill="FABF8F"/>
            <w:vAlign w:val="bottom"/>
          </w:tcPr>
          <w:p w:rsidR="001A63C6" w:rsidRPr="003410C7" w:rsidRDefault="001A63C6" w:rsidP="001A63C6">
            <w:pPr>
              <w:pStyle w:val="TableText"/>
              <w:widowControl w:val="0"/>
              <w:rPr>
                <w:rFonts w:ascii="Tahoma" w:hAnsi="Tahoma" w:cs="Tahoma"/>
                <w:sz w:val="13"/>
                <w:szCs w:val="13"/>
              </w:rPr>
            </w:pPr>
            <w:r w:rsidRPr="003410C7">
              <w:rPr>
                <w:rFonts w:ascii="Tahoma" w:hAnsi="Tahoma" w:cs="Tahoma"/>
                <w:sz w:val="13"/>
                <w:szCs w:val="13"/>
              </w:rPr>
              <w:t>75</w:t>
            </w:r>
          </w:p>
        </w:tc>
        <w:tc>
          <w:tcPr>
            <w:tcW w:w="450" w:type="dxa"/>
            <w:tcBorders>
              <w:left w:val="single" w:sz="18" w:space="0" w:color="auto"/>
              <w:bottom w:val="single" w:sz="4" w:space="0" w:color="auto"/>
            </w:tcBorders>
            <w:shd w:val="clear" w:color="auto" w:fill="FABF8F"/>
            <w:vAlign w:val="bottom"/>
          </w:tcPr>
          <w:p w:rsidR="001A63C6" w:rsidRPr="003410C7" w:rsidRDefault="001A63C6" w:rsidP="001A63C6">
            <w:pPr>
              <w:pStyle w:val="TableText"/>
              <w:widowControl w:val="0"/>
              <w:rPr>
                <w:rFonts w:ascii="Tahoma" w:hAnsi="Tahoma" w:cs="Tahoma"/>
                <w:sz w:val="13"/>
                <w:szCs w:val="13"/>
              </w:rPr>
            </w:pPr>
            <w:r w:rsidRPr="003410C7">
              <w:rPr>
                <w:rFonts w:ascii="Tahoma" w:hAnsi="Tahoma" w:cs="Tahoma"/>
                <w:sz w:val="13"/>
                <w:szCs w:val="13"/>
              </w:rPr>
              <w:t>75</w:t>
            </w:r>
          </w:p>
        </w:tc>
        <w:tc>
          <w:tcPr>
            <w:tcW w:w="450" w:type="dxa"/>
            <w:tcBorders>
              <w:bottom w:val="single" w:sz="4" w:space="0" w:color="auto"/>
              <w:right w:val="single" w:sz="18" w:space="0" w:color="auto"/>
            </w:tcBorders>
            <w:shd w:val="clear" w:color="auto" w:fill="FABF8F"/>
            <w:vAlign w:val="center"/>
          </w:tcPr>
          <w:p w:rsidR="001A63C6" w:rsidRPr="003410C7" w:rsidRDefault="001A63C6" w:rsidP="001A63C6">
            <w:pPr>
              <w:pStyle w:val="TableText"/>
              <w:widowControl w:val="0"/>
              <w:rPr>
                <w:rFonts w:ascii="Tahoma" w:hAnsi="Tahoma" w:cs="Tahoma"/>
                <w:sz w:val="13"/>
                <w:szCs w:val="13"/>
              </w:rPr>
            </w:pPr>
            <w:r w:rsidRPr="003410C7">
              <w:rPr>
                <w:rFonts w:ascii="Tahoma" w:hAnsi="Tahoma" w:cs="Tahoma"/>
                <w:sz w:val="13"/>
                <w:szCs w:val="13"/>
              </w:rPr>
              <w:t>A</w:t>
            </w: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3410C7" w:rsidRDefault="001A63C6" w:rsidP="001A63C6">
            <w:pPr>
              <w:pStyle w:val="TableText"/>
              <w:widowControl w:val="0"/>
              <w:rPr>
                <w:rFonts w:ascii="Tahoma" w:hAnsi="Tahoma" w:cs="Tahoma"/>
                <w:sz w:val="13"/>
              </w:rPr>
            </w:pPr>
            <w:r w:rsidRPr="003410C7">
              <w:rPr>
                <w:rFonts w:ascii="Tahoma" w:hAnsi="Tahoma" w:cs="Tahoma"/>
                <w:sz w:val="13"/>
              </w:rPr>
              <w:t>P</w:t>
            </w:r>
          </w:p>
        </w:tc>
        <w:tc>
          <w:tcPr>
            <w:tcW w:w="450" w:type="dxa"/>
            <w:tcBorders>
              <w:bottom w:val="single" w:sz="4" w:space="0" w:color="auto"/>
            </w:tcBorders>
            <w:shd w:val="clear" w:color="auto" w:fill="FABF8F"/>
          </w:tcPr>
          <w:p w:rsidR="001A63C6" w:rsidRPr="003410C7" w:rsidRDefault="001A63C6" w:rsidP="001A63C6">
            <w:pPr>
              <w:pStyle w:val="TableText"/>
              <w:widowControl w:val="0"/>
              <w:rPr>
                <w:rFonts w:ascii="Tahoma" w:hAnsi="Tahoma" w:cs="Tahoma"/>
                <w:sz w:val="13"/>
              </w:rPr>
            </w:pPr>
            <w:r w:rsidRPr="003410C7">
              <w:rPr>
                <w:rFonts w:ascii="Tahoma" w:hAnsi="Tahoma" w:cs="Tahoma"/>
                <w:sz w:val="13"/>
              </w:rPr>
              <w:t>A</w:t>
            </w:r>
          </w:p>
        </w:tc>
        <w:tc>
          <w:tcPr>
            <w:tcW w:w="540" w:type="dxa"/>
            <w:tcBorders>
              <w:bottom w:val="single" w:sz="4" w:space="0" w:color="auto"/>
            </w:tcBorders>
            <w:shd w:val="clear" w:color="auto" w:fill="FABF8F"/>
            <w:vAlign w:val="center"/>
          </w:tcPr>
          <w:p w:rsidR="001A63C6" w:rsidRPr="003410C7" w:rsidRDefault="001A63C6" w:rsidP="001A63C6">
            <w:pPr>
              <w:pStyle w:val="TableText"/>
              <w:widowControl w:val="0"/>
              <w:rPr>
                <w:rFonts w:ascii="Tahoma" w:hAnsi="Tahoma" w:cs="Tahoma"/>
                <w:sz w:val="13"/>
              </w:rPr>
            </w:pPr>
          </w:p>
        </w:tc>
      </w:tr>
      <w:tr w:rsidR="001A63C6" w:rsidRPr="003410C7" w:rsidTr="007E466C">
        <w:trPr>
          <w:trHeight w:val="145"/>
        </w:trPr>
        <w:tc>
          <w:tcPr>
            <w:tcW w:w="2734" w:type="dxa"/>
            <w:gridSpan w:val="2"/>
            <w:tcBorders>
              <w:bottom w:val="single" w:sz="4" w:space="0" w:color="auto"/>
            </w:tcBorders>
            <w:shd w:val="clear" w:color="auto" w:fill="auto"/>
            <w:vAlign w:val="center"/>
          </w:tcPr>
          <w:p w:rsidR="001A63C6" w:rsidRPr="00451078" w:rsidRDefault="001A63C6" w:rsidP="00FE2D13">
            <w:pPr>
              <w:pStyle w:val="ProductNames"/>
              <w:spacing w:beforeLines="20" w:before="48" w:afterLines="20" w:after="48"/>
              <w:rPr>
                <w:rFonts w:ascii="Tahoma" w:hAnsi="Tahoma" w:cs="Tahoma"/>
                <w:sz w:val="14"/>
                <w:lang w:val="it-IT"/>
              </w:rPr>
            </w:pPr>
            <w:bookmarkStart w:id="403" w:name="_Toc336338055"/>
            <w:bookmarkStart w:id="404" w:name="_Toc352234660"/>
            <w:r w:rsidRPr="00451078">
              <w:rPr>
                <w:rFonts w:ascii="Tahoma" w:hAnsi="Tahoma" w:cs="Tahoma"/>
                <w:sz w:val="14"/>
                <w:lang w:val="it-IT"/>
              </w:rPr>
              <w:t>Licenza CAL per SQL Server</w:t>
            </w:r>
            <w:r w:rsidR="003410C7" w:rsidRPr="00451078">
              <w:rPr>
                <w:rFonts w:ascii="Tahoma" w:eastAsia="Times New Roman" w:hAnsi="Tahoma" w:cs="Tahoma"/>
                <w:color w:val="000000"/>
                <w:sz w:val="18"/>
                <w:szCs w:val="18"/>
                <w:vertAlign w:val="superscript"/>
                <w:lang w:val="it-IT"/>
              </w:rPr>
              <w:t>®</w:t>
            </w:r>
            <w:r w:rsidRPr="00451078">
              <w:rPr>
                <w:rFonts w:ascii="Tahoma" w:hAnsi="Tahoma" w:cs="Tahoma"/>
                <w:sz w:val="14"/>
                <w:lang w:val="it-IT"/>
              </w:rPr>
              <w:t xml:space="preserve"> 2012 (SL</w:t>
            </w:r>
            <w:r w:rsidR="00FE2D13" w:rsidRPr="00451078">
              <w:rPr>
                <w:rFonts w:ascii="Tahoma" w:hAnsi="Tahoma" w:cs="Tahoma"/>
                <w:sz w:val="14"/>
                <w:lang w:val="it-IT"/>
              </w:rPr>
              <w:t> </w:t>
            </w:r>
            <w:r w:rsidRPr="00451078">
              <w:rPr>
                <w:rFonts w:ascii="Tahoma" w:hAnsi="Tahoma" w:cs="Tahoma"/>
                <w:sz w:val="14"/>
                <w:lang w:val="it-IT"/>
              </w:rPr>
              <w:t>per</w:t>
            </w:r>
            <w:r w:rsidR="00FE2D13" w:rsidRPr="00451078">
              <w:rPr>
                <w:rFonts w:ascii="Tahoma" w:hAnsi="Tahoma" w:cs="Tahoma"/>
                <w:sz w:val="14"/>
                <w:lang w:val="it-IT"/>
              </w:rPr>
              <w:t> </w:t>
            </w:r>
            <w:r w:rsidRPr="00451078">
              <w:rPr>
                <w:rFonts w:ascii="Tahoma" w:hAnsi="Tahoma" w:cs="Tahoma"/>
                <w:sz w:val="14"/>
                <w:lang w:val="it-IT"/>
              </w:rPr>
              <w:t>Dispositivo e Utente)</w:t>
            </w:r>
            <w:bookmarkEnd w:id="403"/>
            <w:bookmarkEnd w:id="404"/>
          </w:p>
        </w:tc>
        <w:tc>
          <w:tcPr>
            <w:tcW w:w="450" w:type="dxa"/>
            <w:tcBorders>
              <w:bottom w:val="single" w:sz="4" w:space="0" w:color="auto"/>
            </w:tcBorders>
            <w:shd w:val="clear" w:color="auto" w:fill="auto"/>
            <w:vAlign w:val="center"/>
          </w:tcPr>
          <w:p w:rsidR="001A63C6" w:rsidRPr="00451078" w:rsidRDefault="001A63C6" w:rsidP="001A63C6">
            <w:pPr>
              <w:pStyle w:val="TableText"/>
              <w:widowControl w:val="0"/>
              <w:rPr>
                <w:rStyle w:val="EndnoteReference"/>
                <w:color w:val="000000"/>
                <w:sz w:val="13"/>
                <w:szCs w:val="13"/>
                <w:u w:val="single"/>
                <w:lang w:val="it-IT"/>
              </w:rPr>
            </w:pPr>
          </w:p>
        </w:tc>
        <w:tc>
          <w:tcPr>
            <w:tcW w:w="450" w:type="dxa"/>
            <w:tcBorders>
              <w:bottom w:val="single" w:sz="4" w:space="0" w:color="auto"/>
            </w:tcBorders>
            <w:shd w:val="clear" w:color="auto" w:fill="auto"/>
          </w:tcPr>
          <w:p w:rsidR="001A63C6" w:rsidRPr="003410C7" w:rsidRDefault="001A63C6" w:rsidP="001A63C6">
            <w:pPr>
              <w:pStyle w:val="TableText"/>
              <w:widowControl w:val="0"/>
              <w:spacing w:before="80"/>
              <w:rPr>
                <w:rFonts w:ascii="Tahoma" w:hAnsi="Tahoma" w:cs="Tahoma"/>
                <w:sz w:val="13"/>
              </w:rPr>
            </w:pPr>
            <w:r w:rsidRPr="003410C7">
              <w:rPr>
                <w:rFonts w:ascii="Tahoma" w:hAnsi="Tahoma" w:cs="Tahoma"/>
                <w:sz w:val="13"/>
              </w:rPr>
              <w:t>04/12</w:t>
            </w:r>
          </w:p>
        </w:tc>
        <w:tc>
          <w:tcPr>
            <w:tcW w:w="360" w:type="dxa"/>
            <w:tcBorders>
              <w:bottom w:val="single" w:sz="4" w:space="0" w:color="auto"/>
              <w:right w:val="single" w:sz="18" w:space="0" w:color="auto"/>
            </w:tcBorders>
            <w:shd w:val="clear" w:color="auto" w:fill="auto"/>
            <w:vAlign w:val="center"/>
          </w:tcPr>
          <w:p w:rsidR="001A63C6" w:rsidRPr="003410C7" w:rsidRDefault="001A63C6" w:rsidP="001A63C6">
            <w:pPr>
              <w:pStyle w:val="TableText"/>
              <w:widowControl w:val="0"/>
              <w:rPr>
                <w:rFonts w:ascii="Tahoma" w:hAnsi="Tahoma" w:cs="Tahoma"/>
                <w:sz w:val="13"/>
              </w:rPr>
            </w:pPr>
            <w:r w:rsidRPr="003410C7">
              <w:rPr>
                <w:rFonts w:ascii="Tahoma" w:hAnsi="Tahoma" w:cs="Tahoma"/>
                <w:sz w:val="13"/>
              </w:rPr>
              <w:t>SRV</w:t>
            </w:r>
          </w:p>
        </w:tc>
        <w:tc>
          <w:tcPr>
            <w:tcW w:w="360" w:type="dxa"/>
            <w:tcBorders>
              <w:left w:val="single" w:sz="18" w:space="0" w:color="auto"/>
              <w:bottom w:val="single" w:sz="4" w:space="0" w:color="auto"/>
            </w:tcBorders>
            <w:shd w:val="clear" w:color="auto" w:fill="auto"/>
            <w:vAlign w:val="center"/>
          </w:tcPr>
          <w:p w:rsidR="001A63C6" w:rsidRPr="003410C7" w:rsidRDefault="001A63C6" w:rsidP="001A63C6">
            <w:pPr>
              <w:pStyle w:val="TableText"/>
              <w:widowControl w:val="0"/>
              <w:rPr>
                <w:rFonts w:ascii="Tahoma" w:hAnsi="Tahoma" w:cs="Tahoma"/>
                <w:sz w:val="13"/>
              </w:rPr>
            </w:pPr>
            <w:r w:rsidRPr="003410C7">
              <w:rPr>
                <w:rFonts w:ascii="Tahoma" w:hAnsi="Tahoma" w:cs="Tahoma"/>
                <w:sz w:val="13"/>
              </w:rPr>
              <w:t>1</w:t>
            </w:r>
          </w:p>
        </w:tc>
        <w:tc>
          <w:tcPr>
            <w:tcW w:w="450" w:type="dxa"/>
            <w:tcBorders>
              <w:bottom w:val="single" w:sz="4" w:space="0" w:color="auto"/>
            </w:tcBorders>
            <w:shd w:val="clear" w:color="auto" w:fill="auto"/>
            <w:vAlign w:val="center"/>
          </w:tcPr>
          <w:p w:rsidR="001A63C6" w:rsidRPr="003410C7" w:rsidRDefault="001A63C6" w:rsidP="001A63C6">
            <w:pPr>
              <w:pStyle w:val="TableText"/>
              <w:widowControl w:val="0"/>
              <w:rPr>
                <w:rFonts w:ascii="Tahoma" w:hAnsi="Tahoma" w:cs="Tahoma"/>
                <w:sz w:val="13"/>
              </w:rPr>
            </w:pPr>
            <w:r w:rsidRPr="003410C7">
              <w:rPr>
                <w:rFonts w:ascii="Tahoma" w:hAnsi="Tahoma" w:cs="Tahoma"/>
                <w:sz w:val="13"/>
              </w:rPr>
              <w:t>3</w:t>
            </w:r>
          </w:p>
        </w:tc>
        <w:tc>
          <w:tcPr>
            <w:tcW w:w="450" w:type="dxa"/>
            <w:tcBorders>
              <w:bottom w:val="single" w:sz="4" w:space="0" w:color="auto"/>
            </w:tcBorders>
            <w:shd w:val="clear" w:color="auto" w:fill="auto"/>
            <w:vAlign w:val="center"/>
          </w:tcPr>
          <w:p w:rsidR="001A63C6" w:rsidRPr="003410C7" w:rsidRDefault="001A63C6" w:rsidP="001A63C6">
            <w:pPr>
              <w:pStyle w:val="TableText"/>
              <w:widowControl w:val="0"/>
              <w:rPr>
                <w:rFonts w:ascii="Tahoma" w:hAnsi="Tahoma" w:cs="Tahoma"/>
                <w:sz w:val="13"/>
              </w:rPr>
            </w:pPr>
            <w:r w:rsidRPr="003410C7">
              <w:rPr>
                <w:rFonts w:ascii="Tahoma" w:hAnsi="Tahoma" w:cs="Tahoma"/>
                <w:sz w:val="13"/>
              </w:rPr>
              <w:t>2</w:t>
            </w:r>
          </w:p>
        </w:tc>
        <w:tc>
          <w:tcPr>
            <w:tcW w:w="450" w:type="dxa"/>
            <w:tcBorders>
              <w:bottom w:val="single" w:sz="4" w:space="0" w:color="auto"/>
            </w:tcBorders>
            <w:shd w:val="clear" w:color="auto" w:fill="auto"/>
            <w:vAlign w:val="center"/>
          </w:tcPr>
          <w:p w:rsidR="001A63C6" w:rsidRPr="003410C7" w:rsidRDefault="001A63C6" w:rsidP="001A63C6">
            <w:pPr>
              <w:pStyle w:val="TableText"/>
              <w:widowControl w:val="0"/>
              <w:rPr>
                <w:rFonts w:ascii="Tahoma" w:hAnsi="Tahoma" w:cs="Tahoma"/>
                <w:sz w:val="13"/>
              </w:rPr>
            </w:pPr>
            <w:r w:rsidRPr="003410C7">
              <w:rPr>
                <w:rFonts w:ascii="Tahoma" w:hAnsi="Tahoma" w:cs="Tahoma"/>
                <w:sz w:val="13"/>
              </w:rPr>
              <w:t>2</w:t>
            </w:r>
          </w:p>
        </w:tc>
        <w:tc>
          <w:tcPr>
            <w:tcW w:w="450" w:type="dxa"/>
            <w:tcBorders>
              <w:bottom w:val="single" w:sz="4" w:space="0" w:color="auto"/>
            </w:tcBorders>
            <w:shd w:val="clear" w:color="auto" w:fill="auto"/>
            <w:vAlign w:val="center"/>
          </w:tcPr>
          <w:p w:rsidR="001A63C6" w:rsidRPr="003410C7" w:rsidRDefault="001A63C6" w:rsidP="001A63C6">
            <w:pPr>
              <w:pStyle w:val="TableText"/>
              <w:widowControl w:val="0"/>
              <w:rPr>
                <w:rFonts w:ascii="Tahoma" w:hAnsi="Tahoma" w:cs="Tahoma"/>
                <w:sz w:val="13"/>
              </w:rPr>
            </w:pPr>
            <w:r w:rsidRPr="003410C7">
              <w:rPr>
                <w:rFonts w:ascii="Tahoma" w:hAnsi="Tahoma" w:cs="Tahoma"/>
                <w:sz w:val="13"/>
              </w:rPr>
              <w:t>2</w:t>
            </w:r>
          </w:p>
        </w:tc>
        <w:tc>
          <w:tcPr>
            <w:tcW w:w="450" w:type="dxa"/>
            <w:tcBorders>
              <w:bottom w:val="single" w:sz="4" w:space="0" w:color="auto"/>
            </w:tcBorders>
            <w:shd w:val="clear" w:color="auto" w:fill="auto"/>
            <w:vAlign w:val="center"/>
          </w:tcPr>
          <w:p w:rsidR="001A63C6" w:rsidRPr="003410C7" w:rsidRDefault="001A63C6" w:rsidP="001A63C6">
            <w:pPr>
              <w:pStyle w:val="TableText"/>
              <w:widowControl w:val="0"/>
              <w:rPr>
                <w:rFonts w:ascii="Tahoma" w:hAnsi="Tahoma" w:cs="Tahoma"/>
                <w:sz w:val="13"/>
              </w:rPr>
            </w:pPr>
            <w:r w:rsidRPr="003410C7">
              <w:rPr>
                <w:rFonts w:ascii="Tahoma" w:hAnsi="Tahoma" w:cs="Tahoma"/>
                <w:sz w:val="13"/>
              </w:rPr>
              <w:t>1</w:t>
            </w:r>
          </w:p>
        </w:tc>
        <w:tc>
          <w:tcPr>
            <w:tcW w:w="360" w:type="dxa"/>
            <w:tcBorders>
              <w:bottom w:val="single" w:sz="4" w:space="0" w:color="auto"/>
              <w:right w:val="single" w:sz="18" w:space="0" w:color="auto"/>
            </w:tcBorders>
            <w:shd w:val="clear" w:color="auto" w:fill="auto"/>
            <w:vAlign w:val="center"/>
          </w:tcPr>
          <w:p w:rsidR="001A63C6" w:rsidRPr="003410C7" w:rsidRDefault="001A63C6" w:rsidP="001A63C6">
            <w:pPr>
              <w:pStyle w:val="TableText"/>
              <w:widowControl w:val="0"/>
              <w:rPr>
                <w:rFonts w:ascii="Tahoma" w:hAnsi="Tahoma" w:cs="Tahoma"/>
                <w:sz w:val="13"/>
              </w:rPr>
            </w:pPr>
            <w:r w:rsidRPr="003410C7">
              <w:rPr>
                <w:rFonts w:ascii="Tahoma" w:hAnsi="Tahoma" w:cs="Tahoma"/>
                <w:sz w:val="13"/>
              </w:rPr>
              <w:t>1</w:t>
            </w:r>
          </w:p>
        </w:tc>
        <w:tc>
          <w:tcPr>
            <w:tcW w:w="450" w:type="dxa"/>
            <w:tcBorders>
              <w:left w:val="single" w:sz="18" w:space="0" w:color="auto"/>
              <w:bottom w:val="single" w:sz="4" w:space="0" w:color="auto"/>
            </w:tcBorders>
            <w:shd w:val="clear" w:color="auto" w:fill="auto"/>
            <w:vAlign w:val="center"/>
          </w:tcPr>
          <w:p w:rsidR="001A63C6" w:rsidRPr="003410C7" w:rsidRDefault="001A63C6" w:rsidP="001A63C6">
            <w:pPr>
              <w:pStyle w:val="TableText"/>
              <w:widowControl w:val="0"/>
              <w:rPr>
                <w:rFonts w:ascii="Tahoma" w:hAnsi="Tahoma" w:cs="Tahoma"/>
                <w:sz w:val="13"/>
              </w:rPr>
            </w:pPr>
            <w:r w:rsidRPr="003410C7">
              <w:rPr>
                <w:rFonts w:ascii="Tahoma" w:hAnsi="Tahoma" w:cs="Tahoma"/>
                <w:sz w:val="13"/>
              </w:rPr>
              <w:t>1</w:t>
            </w:r>
          </w:p>
        </w:tc>
        <w:tc>
          <w:tcPr>
            <w:tcW w:w="450" w:type="dxa"/>
            <w:tcBorders>
              <w:bottom w:val="single" w:sz="4" w:space="0" w:color="auto"/>
            </w:tcBorders>
            <w:shd w:val="clear" w:color="auto" w:fill="auto"/>
            <w:vAlign w:val="center"/>
          </w:tcPr>
          <w:p w:rsidR="001A63C6" w:rsidRPr="003410C7" w:rsidRDefault="001A63C6" w:rsidP="001A63C6">
            <w:pPr>
              <w:pStyle w:val="TableText"/>
              <w:widowControl w:val="0"/>
              <w:rPr>
                <w:rFonts w:ascii="Tahoma" w:hAnsi="Tahoma" w:cs="Tahoma"/>
                <w:sz w:val="13"/>
              </w:rPr>
            </w:pPr>
            <w:r w:rsidRPr="003410C7">
              <w:rPr>
                <w:rFonts w:ascii="Tahoma" w:hAnsi="Tahoma" w:cs="Tahoma"/>
                <w:sz w:val="13"/>
              </w:rPr>
              <w:t>2</w:t>
            </w:r>
          </w:p>
        </w:tc>
        <w:tc>
          <w:tcPr>
            <w:tcW w:w="450" w:type="dxa"/>
            <w:tcBorders>
              <w:bottom w:val="single" w:sz="4" w:space="0" w:color="auto"/>
              <w:right w:val="single" w:sz="18" w:space="0" w:color="auto"/>
            </w:tcBorders>
            <w:shd w:val="clear" w:color="auto" w:fill="auto"/>
            <w:vAlign w:val="center"/>
          </w:tcPr>
          <w:p w:rsidR="001A63C6" w:rsidRPr="003410C7" w:rsidRDefault="001A63C6" w:rsidP="001A63C6">
            <w:pPr>
              <w:pStyle w:val="TableText"/>
              <w:widowControl w:val="0"/>
              <w:rPr>
                <w:rFonts w:ascii="Tahoma" w:hAnsi="Tahoma" w:cs="Tahoma"/>
                <w:sz w:val="13"/>
              </w:rPr>
            </w:pPr>
            <w:r w:rsidRPr="003410C7">
              <w:rPr>
                <w:rFonts w:ascii="Tahoma" w:hAnsi="Tahoma" w:cs="Tahoma"/>
                <w:sz w:val="13"/>
              </w:rPr>
              <w:t>1</w:t>
            </w:r>
          </w:p>
        </w:tc>
        <w:tc>
          <w:tcPr>
            <w:tcW w:w="450" w:type="dxa"/>
            <w:tcBorders>
              <w:left w:val="single" w:sz="18" w:space="0" w:color="auto"/>
              <w:bottom w:val="single" w:sz="4" w:space="0" w:color="auto"/>
            </w:tcBorders>
            <w:shd w:val="clear" w:color="auto" w:fill="auto"/>
            <w:vAlign w:val="center"/>
          </w:tcPr>
          <w:p w:rsidR="001A63C6" w:rsidRPr="003410C7" w:rsidRDefault="001A63C6" w:rsidP="001A63C6">
            <w:pPr>
              <w:pStyle w:val="TableText"/>
              <w:widowControl w:val="0"/>
              <w:rPr>
                <w:rFonts w:ascii="Tahoma" w:hAnsi="Tahoma" w:cs="Tahoma"/>
                <w:sz w:val="13"/>
              </w:rPr>
            </w:pPr>
            <w:r w:rsidRPr="003410C7">
              <w:rPr>
                <w:rFonts w:ascii="Tahoma" w:hAnsi="Tahoma" w:cs="Tahoma"/>
                <w:sz w:val="13"/>
              </w:rPr>
              <w:t>1</w:t>
            </w:r>
          </w:p>
        </w:tc>
        <w:tc>
          <w:tcPr>
            <w:tcW w:w="450" w:type="dxa"/>
            <w:tcBorders>
              <w:bottom w:val="single" w:sz="4" w:space="0" w:color="auto"/>
              <w:right w:val="single" w:sz="18" w:space="0" w:color="auto"/>
            </w:tcBorders>
            <w:shd w:val="clear" w:color="auto" w:fill="auto"/>
            <w:vAlign w:val="center"/>
          </w:tcPr>
          <w:p w:rsidR="001A63C6" w:rsidRPr="003410C7" w:rsidRDefault="001A63C6" w:rsidP="001A63C6">
            <w:pPr>
              <w:pStyle w:val="TableText"/>
              <w:widowControl w:val="0"/>
              <w:rPr>
                <w:rFonts w:ascii="Tahoma" w:hAnsi="Tahoma" w:cs="Tahoma"/>
                <w:sz w:val="13"/>
              </w:rPr>
            </w:pPr>
            <w:r w:rsidRPr="003410C7">
              <w:rPr>
                <w:rFonts w:ascii="Tahoma" w:hAnsi="Tahoma" w:cs="Tahoma"/>
                <w:sz w:val="13"/>
              </w:rPr>
              <w:t>A,S,D</w:t>
            </w:r>
          </w:p>
        </w:tc>
        <w:tc>
          <w:tcPr>
            <w:tcW w:w="450" w:type="dxa"/>
            <w:tcBorders>
              <w:left w:val="single" w:sz="18" w:space="0" w:color="auto"/>
              <w:bottom w:val="single" w:sz="4" w:space="0" w:color="auto"/>
              <w:right w:val="single" w:sz="18" w:space="0" w:color="auto"/>
            </w:tcBorders>
            <w:shd w:val="clear" w:color="auto" w:fill="auto"/>
            <w:vAlign w:val="center"/>
          </w:tcPr>
          <w:p w:rsidR="001A63C6" w:rsidRPr="003410C7" w:rsidRDefault="001A63C6" w:rsidP="001A63C6">
            <w:pPr>
              <w:pStyle w:val="TableText"/>
              <w:widowControl w:val="0"/>
              <w:rPr>
                <w:rFonts w:ascii="Tahoma" w:hAnsi="Tahoma" w:cs="Tahoma"/>
                <w:sz w:val="13"/>
              </w:rPr>
            </w:pPr>
            <w:r w:rsidRPr="003410C7">
              <w:rPr>
                <w:rFonts w:ascii="Tahoma" w:hAnsi="Tahoma" w:cs="Tahoma"/>
                <w:sz w:val="13"/>
              </w:rPr>
              <w:t>P</w:t>
            </w:r>
          </w:p>
        </w:tc>
        <w:tc>
          <w:tcPr>
            <w:tcW w:w="450" w:type="dxa"/>
            <w:tcBorders>
              <w:bottom w:val="single" w:sz="4" w:space="0" w:color="auto"/>
            </w:tcBorders>
            <w:shd w:val="clear" w:color="auto" w:fill="auto"/>
          </w:tcPr>
          <w:p w:rsidR="001A63C6" w:rsidRPr="003410C7" w:rsidRDefault="001A63C6" w:rsidP="001A63C6">
            <w:pPr>
              <w:pStyle w:val="TableText"/>
              <w:widowControl w:val="0"/>
              <w:rPr>
                <w:rFonts w:ascii="Tahoma" w:hAnsi="Tahoma" w:cs="Tahoma"/>
                <w:sz w:val="13"/>
              </w:rPr>
            </w:pPr>
            <w:r w:rsidRPr="003410C7">
              <w:rPr>
                <w:rFonts w:ascii="Tahoma" w:hAnsi="Tahoma" w:cs="Tahoma"/>
                <w:sz w:val="13"/>
              </w:rPr>
              <w:t>A, AO, ST</w:t>
            </w:r>
          </w:p>
        </w:tc>
        <w:tc>
          <w:tcPr>
            <w:tcW w:w="540" w:type="dxa"/>
            <w:tcBorders>
              <w:bottom w:val="single" w:sz="4" w:space="0" w:color="auto"/>
            </w:tcBorders>
            <w:shd w:val="clear" w:color="auto" w:fill="auto"/>
            <w:vAlign w:val="center"/>
          </w:tcPr>
          <w:p w:rsidR="001A63C6" w:rsidRPr="003410C7" w:rsidRDefault="001A63C6" w:rsidP="001A63C6">
            <w:pPr>
              <w:pStyle w:val="TableText"/>
              <w:widowControl w:val="0"/>
              <w:rPr>
                <w:rFonts w:ascii="Tahoma" w:hAnsi="Tahoma" w:cs="Tahoma"/>
                <w:sz w:val="13"/>
              </w:rPr>
            </w:pPr>
          </w:p>
        </w:tc>
      </w:tr>
      <w:tr w:rsidR="00B33D0E" w:rsidRPr="003410C7" w:rsidTr="006B1F3F">
        <w:trPr>
          <w:trHeight w:val="260"/>
        </w:trPr>
        <w:tc>
          <w:tcPr>
            <w:tcW w:w="2734" w:type="dxa"/>
            <w:gridSpan w:val="2"/>
            <w:tcBorders>
              <w:bottom w:val="single" w:sz="4" w:space="0" w:color="auto"/>
            </w:tcBorders>
            <w:shd w:val="clear" w:color="auto" w:fill="FABF8F"/>
            <w:vAlign w:val="center"/>
          </w:tcPr>
          <w:p w:rsidR="001A63C6" w:rsidRPr="003410C7" w:rsidRDefault="001A63C6" w:rsidP="003410C7">
            <w:pPr>
              <w:pStyle w:val="ProductNames"/>
              <w:spacing w:beforeLines="20" w:before="48" w:afterLines="20" w:after="48"/>
              <w:rPr>
                <w:rFonts w:ascii="Tahoma" w:hAnsi="Tahoma" w:cs="Tahoma"/>
                <w:sz w:val="14"/>
              </w:rPr>
            </w:pPr>
            <w:bookmarkStart w:id="405" w:name="_Toc336338056"/>
            <w:bookmarkStart w:id="406" w:name="_Toc352234661"/>
            <w:r w:rsidRPr="003410C7">
              <w:rPr>
                <w:rFonts w:ascii="Tahoma" w:hAnsi="Tahoma" w:cs="Tahoma"/>
                <w:sz w:val="14"/>
              </w:rPr>
              <w:t>SQL Server</w:t>
            </w:r>
            <w:r w:rsidR="003410C7" w:rsidRPr="003410C7">
              <w:rPr>
                <w:rFonts w:ascii="Tahoma" w:eastAsia="Times New Roman" w:hAnsi="Tahoma" w:cs="Tahoma"/>
                <w:color w:val="000000"/>
                <w:sz w:val="18"/>
                <w:szCs w:val="18"/>
                <w:vertAlign w:val="superscript"/>
              </w:rPr>
              <w:t>®</w:t>
            </w:r>
            <w:r w:rsidRPr="003410C7">
              <w:rPr>
                <w:rFonts w:ascii="Tahoma" w:hAnsi="Tahoma" w:cs="Tahoma"/>
                <w:sz w:val="14"/>
              </w:rPr>
              <w:t xml:space="preserve"> 2012 Developer</w:t>
            </w:r>
            <w:bookmarkEnd w:id="405"/>
            <w:bookmarkEnd w:id="406"/>
            <w:r w:rsidRPr="003410C7">
              <w:rPr>
                <w:rFonts w:ascii="Tahoma" w:hAnsi="Tahoma" w:cs="Tahoma"/>
                <w:sz w:val="14"/>
              </w:rPr>
              <w:t xml:space="preserve"> </w:t>
            </w:r>
          </w:p>
        </w:tc>
        <w:tc>
          <w:tcPr>
            <w:tcW w:w="450" w:type="dxa"/>
            <w:tcBorders>
              <w:bottom w:val="single" w:sz="4" w:space="0" w:color="auto"/>
            </w:tcBorders>
            <w:shd w:val="clear" w:color="auto" w:fill="FABF8F"/>
            <w:vAlign w:val="center"/>
          </w:tcPr>
          <w:p w:rsidR="001A63C6" w:rsidRPr="009F17FF" w:rsidRDefault="00FC1A4D" w:rsidP="001A63C6">
            <w:pPr>
              <w:pStyle w:val="TableText"/>
              <w:widowControl w:val="0"/>
              <w:rPr>
                <w:rStyle w:val="EndnoteReference"/>
                <w:color w:val="000000"/>
                <w:sz w:val="13"/>
                <w:szCs w:val="13"/>
              </w:rPr>
            </w:pPr>
            <w:hyperlink w:anchor="_80_78_SQL" w:history="1">
              <w:r w:rsidR="000D77F6" w:rsidRPr="009F17FF">
                <w:rPr>
                  <w:rStyle w:val="Hyperlink"/>
                  <w:sz w:val="13"/>
                  <w:szCs w:val="13"/>
                </w:rPr>
                <w:t>78</w:t>
              </w:r>
            </w:hyperlink>
          </w:p>
        </w:tc>
        <w:tc>
          <w:tcPr>
            <w:tcW w:w="450" w:type="dxa"/>
            <w:tcBorders>
              <w:bottom w:val="single" w:sz="4" w:space="0" w:color="auto"/>
            </w:tcBorders>
            <w:shd w:val="clear" w:color="auto" w:fill="FABF8F"/>
          </w:tcPr>
          <w:p w:rsidR="001A63C6" w:rsidRPr="003410C7" w:rsidRDefault="001A63C6" w:rsidP="001A63C6">
            <w:pPr>
              <w:pStyle w:val="TableText"/>
              <w:widowControl w:val="0"/>
              <w:spacing w:before="80"/>
              <w:rPr>
                <w:rFonts w:ascii="Tahoma" w:hAnsi="Tahoma" w:cs="Tahoma"/>
                <w:sz w:val="13"/>
              </w:rPr>
            </w:pPr>
            <w:r w:rsidRPr="003410C7">
              <w:rPr>
                <w:rFonts w:ascii="Tahoma" w:hAnsi="Tahoma" w:cs="Tahoma"/>
                <w:sz w:val="13"/>
              </w:rPr>
              <w:t>04/12</w:t>
            </w:r>
          </w:p>
        </w:tc>
        <w:tc>
          <w:tcPr>
            <w:tcW w:w="360" w:type="dxa"/>
            <w:tcBorders>
              <w:bottom w:val="single" w:sz="4" w:space="0" w:color="auto"/>
              <w:right w:val="single" w:sz="18" w:space="0" w:color="auto"/>
            </w:tcBorders>
            <w:shd w:val="clear" w:color="auto" w:fill="FABF8F"/>
            <w:vAlign w:val="center"/>
          </w:tcPr>
          <w:p w:rsidR="001A63C6" w:rsidRPr="003410C7" w:rsidRDefault="001A63C6" w:rsidP="001A63C6">
            <w:pPr>
              <w:pStyle w:val="TableText"/>
              <w:widowControl w:val="0"/>
              <w:rPr>
                <w:rFonts w:ascii="Tahoma" w:hAnsi="Tahoma" w:cs="Tahoma"/>
                <w:sz w:val="13"/>
              </w:rPr>
            </w:pPr>
            <w:r w:rsidRPr="003410C7">
              <w:rPr>
                <w:rFonts w:ascii="Tahoma" w:hAnsi="Tahoma" w:cs="Tahoma"/>
                <w:sz w:val="13"/>
              </w:rPr>
              <w:t>SRV</w:t>
            </w:r>
          </w:p>
        </w:tc>
        <w:tc>
          <w:tcPr>
            <w:tcW w:w="360" w:type="dxa"/>
            <w:tcBorders>
              <w:left w:val="single" w:sz="18" w:space="0" w:color="auto"/>
              <w:bottom w:val="single" w:sz="4" w:space="0" w:color="auto"/>
            </w:tcBorders>
            <w:shd w:val="clear" w:color="auto" w:fill="FABF8F"/>
            <w:vAlign w:val="center"/>
          </w:tcPr>
          <w:p w:rsidR="001A63C6" w:rsidRPr="003410C7" w:rsidRDefault="001A63C6" w:rsidP="001A63C6">
            <w:pPr>
              <w:pStyle w:val="TableText"/>
              <w:widowControl w:val="0"/>
              <w:rPr>
                <w:rFonts w:ascii="Tahoma" w:hAnsi="Tahoma" w:cs="Tahoma"/>
                <w:sz w:val="13"/>
              </w:rPr>
            </w:pPr>
            <w:r w:rsidRPr="003410C7">
              <w:rPr>
                <w:rFonts w:ascii="Tahoma" w:hAnsi="Tahoma" w:cs="Tahoma"/>
                <w:sz w:val="13"/>
              </w:rPr>
              <w:t>1</w:t>
            </w:r>
          </w:p>
        </w:tc>
        <w:tc>
          <w:tcPr>
            <w:tcW w:w="450" w:type="dxa"/>
            <w:tcBorders>
              <w:bottom w:val="single" w:sz="4" w:space="0" w:color="auto"/>
            </w:tcBorders>
            <w:shd w:val="clear" w:color="auto" w:fill="FABF8F"/>
            <w:vAlign w:val="center"/>
          </w:tcPr>
          <w:p w:rsidR="001A63C6" w:rsidRPr="003410C7"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3410C7"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3410C7"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3410C7"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3410C7" w:rsidRDefault="001A63C6" w:rsidP="001A63C6">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rsidR="001A63C6" w:rsidRPr="003410C7"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3410C7" w:rsidRDefault="001A63C6" w:rsidP="001A63C6">
            <w:pPr>
              <w:pStyle w:val="TableText"/>
              <w:widowControl w:val="0"/>
              <w:rPr>
                <w:rFonts w:ascii="Tahoma" w:hAnsi="Tahoma" w:cs="Tahoma"/>
                <w:sz w:val="13"/>
              </w:rPr>
            </w:pPr>
            <w:r w:rsidRPr="003410C7">
              <w:rPr>
                <w:rFonts w:ascii="Tahoma" w:hAnsi="Tahoma" w:cs="Tahoma"/>
                <w:sz w:val="13"/>
              </w:rPr>
              <w:t>1</w:t>
            </w:r>
          </w:p>
        </w:tc>
        <w:tc>
          <w:tcPr>
            <w:tcW w:w="450" w:type="dxa"/>
            <w:tcBorders>
              <w:bottom w:val="single" w:sz="4" w:space="0" w:color="auto"/>
            </w:tcBorders>
            <w:shd w:val="clear" w:color="auto" w:fill="FABF8F"/>
            <w:vAlign w:val="center"/>
          </w:tcPr>
          <w:p w:rsidR="001A63C6" w:rsidRPr="003410C7"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1A63C6" w:rsidRPr="003410C7"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3410C7"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1A63C6" w:rsidRPr="003410C7"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3410C7"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tcPr>
          <w:p w:rsidR="001A63C6" w:rsidRPr="003410C7" w:rsidRDefault="001A63C6" w:rsidP="001A63C6">
            <w:pPr>
              <w:pStyle w:val="TableText"/>
              <w:widowControl w:val="0"/>
              <w:rPr>
                <w:rFonts w:ascii="Tahoma" w:hAnsi="Tahoma" w:cs="Tahoma"/>
                <w:sz w:val="13"/>
              </w:rPr>
            </w:pPr>
          </w:p>
        </w:tc>
        <w:tc>
          <w:tcPr>
            <w:tcW w:w="540" w:type="dxa"/>
            <w:tcBorders>
              <w:bottom w:val="single" w:sz="4" w:space="0" w:color="auto"/>
            </w:tcBorders>
            <w:shd w:val="clear" w:color="auto" w:fill="FABF8F"/>
            <w:vAlign w:val="center"/>
          </w:tcPr>
          <w:p w:rsidR="001A63C6" w:rsidRPr="003410C7" w:rsidRDefault="001A63C6" w:rsidP="001A63C6">
            <w:pPr>
              <w:pStyle w:val="TableText"/>
              <w:widowControl w:val="0"/>
              <w:rPr>
                <w:rFonts w:ascii="Tahoma" w:hAnsi="Tahoma" w:cs="Tahoma"/>
                <w:sz w:val="13"/>
              </w:rPr>
            </w:pPr>
          </w:p>
        </w:tc>
      </w:tr>
      <w:tr w:rsidR="001A63C6" w:rsidRPr="003410C7" w:rsidTr="007E466C">
        <w:trPr>
          <w:trHeight w:val="145"/>
        </w:trPr>
        <w:tc>
          <w:tcPr>
            <w:tcW w:w="2734" w:type="dxa"/>
            <w:gridSpan w:val="2"/>
            <w:tcBorders>
              <w:bottom w:val="single" w:sz="4" w:space="0" w:color="auto"/>
            </w:tcBorders>
            <w:shd w:val="clear" w:color="auto" w:fill="auto"/>
            <w:vAlign w:val="center"/>
          </w:tcPr>
          <w:p w:rsidR="001A63C6" w:rsidRPr="003410C7" w:rsidRDefault="001A63C6" w:rsidP="003410C7">
            <w:pPr>
              <w:pStyle w:val="ProductNames"/>
              <w:spacing w:beforeLines="20" w:before="48" w:afterLines="20" w:after="48"/>
              <w:rPr>
                <w:rFonts w:ascii="Tahoma" w:hAnsi="Tahoma" w:cs="Tahoma"/>
                <w:sz w:val="14"/>
              </w:rPr>
            </w:pPr>
            <w:bookmarkStart w:id="407" w:name="_Toc336338057"/>
            <w:bookmarkStart w:id="408" w:name="_Toc352234662"/>
            <w:r w:rsidRPr="003410C7">
              <w:rPr>
                <w:rFonts w:ascii="Tahoma" w:hAnsi="Tahoma" w:cs="Tahoma"/>
                <w:sz w:val="14"/>
              </w:rPr>
              <w:t>SQL Server</w:t>
            </w:r>
            <w:r w:rsidR="003410C7" w:rsidRPr="003410C7">
              <w:rPr>
                <w:rFonts w:ascii="Tahoma" w:eastAsia="Times New Roman" w:hAnsi="Tahoma" w:cs="Tahoma"/>
                <w:color w:val="000000"/>
                <w:sz w:val="18"/>
                <w:szCs w:val="18"/>
                <w:vertAlign w:val="superscript"/>
              </w:rPr>
              <w:t>®</w:t>
            </w:r>
            <w:r w:rsidRPr="003410C7">
              <w:rPr>
                <w:rFonts w:ascii="Tahoma" w:hAnsi="Tahoma" w:cs="Tahoma"/>
                <w:sz w:val="14"/>
              </w:rPr>
              <w:t xml:space="preserve"> 2012 Enterprise</w:t>
            </w:r>
            <w:bookmarkEnd w:id="407"/>
            <w:bookmarkEnd w:id="408"/>
            <w:r w:rsidRPr="003410C7">
              <w:rPr>
                <w:rFonts w:ascii="Tahoma" w:hAnsi="Tahoma" w:cs="Tahoma"/>
                <w:sz w:val="14"/>
              </w:rPr>
              <w:t xml:space="preserve"> </w:t>
            </w:r>
          </w:p>
        </w:tc>
        <w:tc>
          <w:tcPr>
            <w:tcW w:w="450" w:type="dxa"/>
            <w:tcBorders>
              <w:bottom w:val="single" w:sz="4" w:space="0" w:color="auto"/>
            </w:tcBorders>
            <w:shd w:val="clear" w:color="auto" w:fill="auto"/>
            <w:vAlign w:val="center"/>
          </w:tcPr>
          <w:p w:rsidR="001A63C6" w:rsidRPr="009F17FF" w:rsidRDefault="00FC1A4D" w:rsidP="00BE7AC3">
            <w:pPr>
              <w:pStyle w:val="TableText"/>
              <w:widowControl w:val="0"/>
              <w:rPr>
                <w:rStyle w:val="EndnoteReference"/>
                <w:color w:val="000000"/>
                <w:sz w:val="13"/>
                <w:szCs w:val="13"/>
              </w:rPr>
            </w:pPr>
            <w:hyperlink w:anchor="_81_79_SQL" w:history="1">
              <w:r w:rsidR="000D77F6" w:rsidRPr="009F17FF">
                <w:rPr>
                  <w:rStyle w:val="Hyperlink"/>
                  <w:b/>
                  <w:sz w:val="13"/>
                  <w:szCs w:val="13"/>
                </w:rPr>
                <w:t>79</w:t>
              </w:r>
            </w:hyperlink>
            <w:hyperlink w:anchor="Srv_88SQLServer2012Enterprise" w:history="1"/>
          </w:p>
        </w:tc>
        <w:tc>
          <w:tcPr>
            <w:tcW w:w="450" w:type="dxa"/>
            <w:tcBorders>
              <w:bottom w:val="single" w:sz="4" w:space="0" w:color="auto"/>
            </w:tcBorders>
            <w:shd w:val="clear" w:color="auto" w:fill="auto"/>
          </w:tcPr>
          <w:p w:rsidR="001A63C6" w:rsidRPr="003410C7" w:rsidRDefault="001A63C6" w:rsidP="001A63C6">
            <w:pPr>
              <w:pStyle w:val="TableText"/>
              <w:widowControl w:val="0"/>
              <w:spacing w:before="80"/>
              <w:rPr>
                <w:rFonts w:ascii="Tahoma" w:hAnsi="Tahoma" w:cs="Tahoma"/>
                <w:sz w:val="13"/>
              </w:rPr>
            </w:pPr>
            <w:r w:rsidRPr="003410C7">
              <w:rPr>
                <w:rFonts w:ascii="Tahoma" w:hAnsi="Tahoma" w:cs="Tahoma"/>
                <w:sz w:val="13"/>
              </w:rPr>
              <w:t>04/12</w:t>
            </w:r>
          </w:p>
        </w:tc>
        <w:tc>
          <w:tcPr>
            <w:tcW w:w="360" w:type="dxa"/>
            <w:tcBorders>
              <w:bottom w:val="single" w:sz="4" w:space="0" w:color="auto"/>
              <w:right w:val="single" w:sz="18" w:space="0" w:color="auto"/>
            </w:tcBorders>
            <w:shd w:val="clear" w:color="auto" w:fill="auto"/>
            <w:vAlign w:val="center"/>
          </w:tcPr>
          <w:p w:rsidR="001A63C6" w:rsidRPr="003410C7" w:rsidRDefault="001A63C6" w:rsidP="001A63C6">
            <w:pPr>
              <w:pStyle w:val="TableText"/>
              <w:widowControl w:val="0"/>
              <w:rPr>
                <w:rFonts w:ascii="Tahoma" w:hAnsi="Tahoma" w:cs="Tahoma"/>
                <w:sz w:val="13"/>
              </w:rPr>
            </w:pPr>
            <w:r w:rsidRPr="003410C7">
              <w:rPr>
                <w:rFonts w:ascii="Tahoma" w:hAnsi="Tahoma" w:cs="Tahoma"/>
                <w:sz w:val="13"/>
              </w:rPr>
              <w:t>SRV</w:t>
            </w:r>
          </w:p>
        </w:tc>
        <w:tc>
          <w:tcPr>
            <w:tcW w:w="360" w:type="dxa"/>
            <w:tcBorders>
              <w:left w:val="single" w:sz="18" w:space="0" w:color="auto"/>
              <w:bottom w:val="single" w:sz="4" w:space="0" w:color="auto"/>
            </w:tcBorders>
            <w:shd w:val="clear" w:color="auto" w:fill="auto"/>
            <w:vAlign w:val="center"/>
          </w:tcPr>
          <w:p w:rsidR="001A63C6" w:rsidRPr="003410C7" w:rsidRDefault="001A63C6" w:rsidP="001A63C6">
            <w:pPr>
              <w:pStyle w:val="TableText"/>
              <w:widowControl w:val="0"/>
              <w:rPr>
                <w:rFonts w:ascii="Tahoma" w:hAnsi="Tahoma" w:cs="Tahoma"/>
                <w:sz w:val="13"/>
              </w:rPr>
            </w:pPr>
            <w:r w:rsidRPr="003410C7">
              <w:rPr>
                <w:rFonts w:ascii="Tahoma" w:hAnsi="Tahoma" w:cs="Tahoma"/>
                <w:sz w:val="13"/>
              </w:rPr>
              <w:t>75</w:t>
            </w:r>
          </w:p>
        </w:tc>
        <w:tc>
          <w:tcPr>
            <w:tcW w:w="450" w:type="dxa"/>
            <w:tcBorders>
              <w:bottom w:val="single" w:sz="4" w:space="0" w:color="auto"/>
            </w:tcBorders>
            <w:shd w:val="clear" w:color="auto" w:fill="auto"/>
            <w:vAlign w:val="center"/>
          </w:tcPr>
          <w:p w:rsidR="001A63C6" w:rsidRPr="003410C7" w:rsidRDefault="001A63C6" w:rsidP="001A63C6">
            <w:pPr>
              <w:pStyle w:val="TableText"/>
              <w:widowControl w:val="0"/>
              <w:rPr>
                <w:rFonts w:ascii="Tahoma" w:hAnsi="Tahoma" w:cs="Tahoma"/>
                <w:sz w:val="13"/>
              </w:rPr>
            </w:pPr>
            <w:r w:rsidRPr="003410C7">
              <w:rPr>
                <w:rFonts w:ascii="Tahoma" w:hAnsi="Tahoma" w:cs="Tahoma"/>
                <w:sz w:val="13"/>
              </w:rPr>
              <w:t>188</w:t>
            </w:r>
          </w:p>
        </w:tc>
        <w:tc>
          <w:tcPr>
            <w:tcW w:w="450" w:type="dxa"/>
            <w:tcBorders>
              <w:bottom w:val="single" w:sz="4" w:space="0" w:color="auto"/>
            </w:tcBorders>
            <w:shd w:val="clear" w:color="auto" w:fill="auto"/>
            <w:vAlign w:val="center"/>
          </w:tcPr>
          <w:p w:rsidR="001A63C6" w:rsidRPr="003410C7" w:rsidRDefault="001A63C6" w:rsidP="001A63C6">
            <w:pPr>
              <w:pStyle w:val="TableText"/>
              <w:widowControl w:val="0"/>
              <w:rPr>
                <w:rFonts w:ascii="Tahoma" w:hAnsi="Tahoma" w:cs="Tahoma"/>
                <w:sz w:val="13"/>
              </w:rPr>
            </w:pPr>
            <w:r w:rsidRPr="003410C7">
              <w:rPr>
                <w:rFonts w:ascii="Tahoma" w:hAnsi="Tahoma" w:cs="Tahoma"/>
                <w:sz w:val="13"/>
              </w:rPr>
              <w:t>150</w:t>
            </w:r>
          </w:p>
        </w:tc>
        <w:tc>
          <w:tcPr>
            <w:tcW w:w="450" w:type="dxa"/>
            <w:tcBorders>
              <w:bottom w:val="single" w:sz="4" w:space="0" w:color="auto"/>
            </w:tcBorders>
            <w:shd w:val="clear" w:color="auto" w:fill="auto"/>
            <w:vAlign w:val="center"/>
          </w:tcPr>
          <w:p w:rsidR="001A63C6" w:rsidRPr="003410C7" w:rsidRDefault="001A63C6" w:rsidP="001A63C6">
            <w:pPr>
              <w:pStyle w:val="TableText"/>
              <w:widowControl w:val="0"/>
              <w:rPr>
                <w:rFonts w:ascii="Tahoma" w:hAnsi="Tahoma" w:cs="Tahoma"/>
                <w:sz w:val="13"/>
              </w:rPr>
            </w:pPr>
            <w:r w:rsidRPr="003410C7">
              <w:rPr>
                <w:rFonts w:ascii="Tahoma" w:hAnsi="Tahoma" w:cs="Tahoma"/>
                <w:sz w:val="13"/>
              </w:rPr>
              <w:t>113</w:t>
            </w:r>
          </w:p>
        </w:tc>
        <w:tc>
          <w:tcPr>
            <w:tcW w:w="450" w:type="dxa"/>
            <w:tcBorders>
              <w:bottom w:val="single" w:sz="4" w:space="0" w:color="auto"/>
            </w:tcBorders>
            <w:shd w:val="clear" w:color="auto" w:fill="auto"/>
            <w:vAlign w:val="center"/>
          </w:tcPr>
          <w:p w:rsidR="001A63C6" w:rsidRPr="003410C7" w:rsidRDefault="001A63C6" w:rsidP="001A63C6">
            <w:pPr>
              <w:pStyle w:val="TableText"/>
              <w:widowControl w:val="0"/>
              <w:rPr>
                <w:rFonts w:ascii="Tahoma" w:hAnsi="Tahoma" w:cs="Tahoma"/>
                <w:sz w:val="13"/>
              </w:rPr>
            </w:pPr>
            <w:r w:rsidRPr="003410C7">
              <w:rPr>
                <w:rFonts w:ascii="Tahoma" w:hAnsi="Tahoma" w:cs="Tahoma"/>
                <w:sz w:val="13"/>
              </w:rPr>
              <w:t>113</w:t>
            </w:r>
          </w:p>
        </w:tc>
        <w:tc>
          <w:tcPr>
            <w:tcW w:w="450" w:type="dxa"/>
            <w:tcBorders>
              <w:bottom w:val="single" w:sz="4" w:space="0" w:color="auto"/>
            </w:tcBorders>
            <w:shd w:val="clear" w:color="auto" w:fill="auto"/>
            <w:vAlign w:val="center"/>
          </w:tcPr>
          <w:p w:rsidR="001A63C6" w:rsidRPr="003410C7" w:rsidRDefault="001A63C6" w:rsidP="001A63C6">
            <w:pPr>
              <w:pStyle w:val="TableText"/>
              <w:widowControl w:val="0"/>
              <w:rPr>
                <w:rFonts w:ascii="Tahoma" w:hAnsi="Tahoma" w:cs="Tahoma"/>
                <w:sz w:val="13"/>
              </w:rPr>
            </w:pPr>
            <w:r w:rsidRPr="003410C7">
              <w:rPr>
                <w:rFonts w:ascii="Tahoma" w:hAnsi="Tahoma" w:cs="Tahoma"/>
                <w:sz w:val="13"/>
              </w:rPr>
              <w:t>75</w:t>
            </w:r>
          </w:p>
        </w:tc>
        <w:tc>
          <w:tcPr>
            <w:tcW w:w="360" w:type="dxa"/>
            <w:tcBorders>
              <w:bottom w:val="single" w:sz="4" w:space="0" w:color="auto"/>
              <w:right w:val="single" w:sz="18" w:space="0" w:color="auto"/>
            </w:tcBorders>
            <w:shd w:val="clear" w:color="auto" w:fill="auto"/>
            <w:vAlign w:val="center"/>
          </w:tcPr>
          <w:p w:rsidR="001A63C6" w:rsidRPr="003410C7" w:rsidRDefault="001A63C6" w:rsidP="001A63C6">
            <w:pPr>
              <w:pStyle w:val="TableText"/>
              <w:widowControl w:val="0"/>
              <w:rPr>
                <w:rFonts w:ascii="Tahoma" w:hAnsi="Tahoma" w:cs="Tahoma"/>
                <w:sz w:val="13"/>
              </w:rPr>
            </w:pPr>
            <w:r w:rsidRPr="003410C7">
              <w:rPr>
                <w:rFonts w:ascii="Tahoma" w:hAnsi="Tahoma" w:cs="Tahoma"/>
                <w:sz w:val="13"/>
              </w:rPr>
              <w:t>38</w:t>
            </w:r>
          </w:p>
        </w:tc>
        <w:tc>
          <w:tcPr>
            <w:tcW w:w="450" w:type="dxa"/>
            <w:tcBorders>
              <w:left w:val="single" w:sz="18" w:space="0" w:color="auto"/>
              <w:bottom w:val="single" w:sz="4" w:space="0" w:color="auto"/>
            </w:tcBorders>
            <w:shd w:val="clear" w:color="auto" w:fill="auto"/>
            <w:vAlign w:val="center"/>
          </w:tcPr>
          <w:p w:rsidR="001A63C6" w:rsidRPr="003410C7" w:rsidRDefault="001A63C6" w:rsidP="001A63C6">
            <w:pPr>
              <w:pStyle w:val="TableText"/>
              <w:widowControl w:val="0"/>
              <w:rPr>
                <w:rFonts w:ascii="Tahoma" w:hAnsi="Tahoma" w:cs="Tahoma"/>
                <w:sz w:val="13"/>
              </w:rPr>
            </w:pPr>
            <w:r w:rsidRPr="003410C7">
              <w:rPr>
                <w:rFonts w:ascii="Tahoma" w:hAnsi="Tahoma" w:cs="Tahoma"/>
                <w:sz w:val="13"/>
              </w:rPr>
              <w:t>75</w:t>
            </w:r>
          </w:p>
        </w:tc>
        <w:tc>
          <w:tcPr>
            <w:tcW w:w="450" w:type="dxa"/>
            <w:tcBorders>
              <w:bottom w:val="single" w:sz="4" w:space="0" w:color="auto"/>
            </w:tcBorders>
            <w:shd w:val="clear" w:color="auto" w:fill="auto"/>
            <w:vAlign w:val="center"/>
          </w:tcPr>
          <w:p w:rsidR="001A63C6" w:rsidRPr="003410C7" w:rsidRDefault="001A63C6" w:rsidP="001A63C6">
            <w:pPr>
              <w:pStyle w:val="TableText"/>
              <w:widowControl w:val="0"/>
              <w:rPr>
                <w:rFonts w:ascii="Tahoma" w:hAnsi="Tahoma" w:cs="Tahoma"/>
                <w:sz w:val="13"/>
              </w:rPr>
            </w:pPr>
            <w:r w:rsidRPr="003410C7">
              <w:rPr>
                <w:rFonts w:ascii="Tahoma" w:hAnsi="Tahoma" w:cs="Tahoma"/>
                <w:sz w:val="13"/>
              </w:rPr>
              <w:t>150</w:t>
            </w:r>
          </w:p>
        </w:tc>
        <w:tc>
          <w:tcPr>
            <w:tcW w:w="450" w:type="dxa"/>
            <w:tcBorders>
              <w:bottom w:val="single" w:sz="4" w:space="0" w:color="auto"/>
              <w:right w:val="single" w:sz="18" w:space="0" w:color="auto"/>
            </w:tcBorders>
            <w:shd w:val="clear" w:color="auto" w:fill="auto"/>
            <w:vAlign w:val="center"/>
          </w:tcPr>
          <w:p w:rsidR="001A63C6" w:rsidRPr="003410C7" w:rsidRDefault="001A63C6" w:rsidP="001A63C6">
            <w:pPr>
              <w:pStyle w:val="TableText"/>
              <w:widowControl w:val="0"/>
              <w:rPr>
                <w:rFonts w:ascii="Tahoma" w:hAnsi="Tahoma" w:cs="Tahoma"/>
                <w:sz w:val="13"/>
              </w:rPr>
            </w:pPr>
            <w:r w:rsidRPr="003410C7">
              <w:rPr>
                <w:rFonts w:ascii="Tahoma" w:hAnsi="Tahoma" w:cs="Tahoma"/>
                <w:sz w:val="13"/>
              </w:rPr>
              <w:t>75</w:t>
            </w:r>
          </w:p>
        </w:tc>
        <w:tc>
          <w:tcPr>
            <w:tcW w:w="450" w:type="dxa"/>
            <w:tcBorders>
              <w:left w:val="single" w:sz="18" w:space="0" w:color="auto"/>
              <w:bottom w:val="single" w:sz="4" w:space="0" w:color="auto"/>
            </w:tcBorders>
            <w:shd w:val="clear" w:color="auto" w:fill="auto"/>
            <w:vAlign w:val="center"/>
          </w:tcPr>
          <w:p w:rsidR="001A63C6" w:rsidRPr="003410C7" w:rsidRDefault="001A63C6" w:rsidP="001A63C6">
            <w:pPr>
              <w:pStyle w:val="TableText"/>
              <w:widowControl w:val="0"/>
              <w:rPr>
                <w:rFonts w:ascii="Tahoma" w:hAnsi="Tahoma" w:cs="Tahoma"/>
                <w:sz w:val="13"/>
              </w:rPr>
            </w:pPr>
            <w:r w:rsidRPr="003410C7">
              <w:rPr>
                <w:rFonts w:ascii="Tahoma" w:hAnsi="Tahoma" w:cs="Tahoma"/>
                <w:sz w:val="13"/>
              </w:rPr>
              <w:t>75</w:t>
            </w:r>
          </w:p>
        </w:tc>
        <w:tc>
          <w:tcPr>
            <w:tcW w:w="450" w:type="dxa"/>
            <w:tcBorders>
              <w:bottom w:val="single" w:sz="4" w:space="0" w:color="auto"/>
              <w:right w:val="single" w:sz="18" w:space="0" w:color="auto"/>
            </w:tcBorders>
            <w:shd w:val="clear" w:color="auto" w:fill="auto"/>
            <w:vAlign w:val="center"/>
          </w:tcPr>
          <w:p w:rsidR="001A63C6" w:rsidRPr="003410C7" w:rsidRDefault="001A63C6" w:rsidP="001A63C6">
            <w:pPr>
              <w:pStyle w:val="TableText"/>
              <w:widowControl w:val="0"/>
              <w:rPr>
                <w:rFonts w:ascii="Tahoma" w:hAnsi="Tahoma" w:cs="Tahoma"/>
                <w:sz w:val="13"/>
              </w:rPr>
            </w:pPr>
            <w:r w:rsidRPr="003410C7">
              <w:rPr>
                <w:rFonts w:ascii="Tahoma" w:hAnsi="Tahoma" w:cs="Tahoma"/>
                <w:sz w:val="13"/>
              </w:rPr>
              <w:t xml:space="preserve">A </w:t>
            </w:r>
          </w:p>
        </w:tc>
        <w:tc>
          <w:tcPr>
            <w:tcW w:w="450" w:type="dxa"/>
            <w:tcBorders>
              <w:left w:val="single" w:sz="18" w:space="0" w:color="auto"/>
              <w:bottom w:val="single" w:sz="4" w:space="0" w:color="auto"/>
              <w:right w:val="single" w:sz="18" w:space="0" w:color="auto"/>
            </w:tcBorders>
            <w:shd w:val="clear" w:color="auto" w:fill="auto"/>
            <w:vAlign w:val="center"/>
          </w:tcPr>
          <w:p w:rsidR="001A63C6" w:rsidRPr="003410C7" w:rsidRDefault="001A63C6" w:rsidP="001A63C6">
            <w:pPr>
              <w:pStyle w:val="TableText"/>
              <w:widowControl w:val="0"/>
              <w:rPr>
                <w:rFonts w:ascii="Tahoma" w:hAnsi="Tahoma" w:cs="Tahoma"/>
                <w:sz w:val="13"/>
              </w:rPr>
            </w:pPr>
            <w:r w:rsidRPr="003410C7">
              <w:rPr>
                <w:rFonts w:ascii="Tahoma" w:hAnsi="Tahoma" w:cs="Tahoma"/>
                <w:sz w:val="13"/>
              </w:rPr>
              <w:t>P</w:t>
            </w:r>
          </w:p>
        </w:tc>
        <w:tc>
          <w:tcPr>
            <w:tcW w:w="450" w:type="dxa"/>
            <w:tcBorders>
              <w:bottom w:val="single" w:sz="4" w:space="0" w:color="auto"/>
            </w:tcBorders>
            <w:shd w:val="clear" w:color="auto" w:fill="auto"/>
          </w:tcPr>
          <w:p w:rsidR="001A63C6" w:rsidRPr="003410C7" w:rsidRDefault="001A63C6" w:rsidP="001A63C6">
            <w:pPr>
              <w:pStyle w:val="TableText"/>
              <w:widowControl w:val="0"/>
              <w:rPr>
                <w:rFonts w:ascii="Tahoma" w:hAnsi="Tahoma" w:cs="Tahoma"/>
                <w:sz w:val="13"/>
              </w:rPr>
            </w:pPr>
            <w:r w:rsidRPr="003410C7">
              <w:rPr>
                <w:rFonts w:ascii="Tahoma" w:hAnsi="Tahoma" w:cs="Tahoma"/>
                <w:sz w:val="13"/>
              </w:rPr>
              <w:t>A</w:t>
            </w:r>
          </w:p>
        </w:tc>
        <w:tc>
          <w:tcPr>
            <w:tcW w:w="540" w:type="dxa"/>
            <w:tcBorders>
              <w:bottom w:val="single" w:sz="4" w:space="0" w:color="auto"/>
            </w:tcBorders>
            <w:shd w:val="clear" w:color="auto" w:fill="auto"/>
            <w:vAlign w:val="center"/>
          </w:tcPr>
          <w:p w:rsidR="001A63C6" w:rsidRPr="003410C7" w:rsidRDefault="001A63C6" w:rsidP="001A63C6">
            <w:pPr>
              <w:pStyle w:val="TableText"/>
              <w:widowControl w:val="0"/>
              <w:rPr>
                <w:rFonts w:ascii="Tahoma" w:hAnsi="Tahoma" w:cs="Tahoma"/>
                <w:sz w:val="13"/>
              </w:rPr>
            </w:pPr>
          </w:p>
        </w:tc>
      </w:tr>
      <w:tr w:rsidR="00B33D0E" w:rsidRPr="003410C7" w:rsidTr="006B1F3F">
        <w:trPr>
          <w:trHeight w:val="145"/>
        </w:trPr>
        <w:tc>
          <w:tcPr>
            <w:tcW w:w="2734" w:type="dxa"/>
            <w:gridSpan w:val="2"/>
            <w:tcBorders>
              <w:bottom w:val="single" w:sz="4" w:space="0" w:color="auto"/>
            </w:tcBorders>
            <w:shd w:val="clear" w:color="auto" w:fill="FABF8F"/>
            <w:vAlign w:val="center"/>
          </w:tcPr>
          <w:p w:rsidR="001A63C6" w:rsidRPr="00451078" w:rsidRDefault="001A63C6" w:rsidP="00FE2D13">
            <w:pPr>
              <w:pStyle w:val="ProductNames"/>
              <w:spacing w:beforeLines="20" w:before="48" w:afterLines="20" w:after="48"/>
              <w:rPr>
                <w:rFonts w:ascii="Tahoma" w:hAnsi="Tahoma" w:cs="Tahoma"/>
                <w:sz w:val="14"/>
                <w:lang w:val="it-IT"/>
              </w:rPr>
            </w:pPr>
            <w:bookmarkStart w:id="409" w:name="_Toc336338058"/>
            <w:bookmarkStart w:id="410" w:name="_Toc352234663"/>
            <w:r w:rsidRPr="00451078">
              <w:rPr>
                <w:rFonts w:ascii="Tahoma" w:hAnsi="Tahoma" w:cs="Tahoma"/>
                <w:sz w:val="14"/>
                <w:lang w:val="it-IT"/>
              </w:rPr>
              <w:t>SQL Server</w:t>
            </w:r>
            <w:r w:rsidR="003410C7" w:rsidRPr="00451078">
              <w:rPr>
                <w:rFonts w:ascii="Tahoma" w:eastAsia="Times New Roman" w:hAnsi="Tahoma" w:cs="Tahoma"/>
                <w:color w:val="000000"/>
                <w:sz w:val="18"/>
                <w:szCs w:val="18"/>
                <w:vertAlign w:val="superscript"/>
                <w:lang w:val="it-IT"/>
              </w:rPr>
              <w:t>®</w:t>
            </w:r>
            <w:r w:rsidRPr="00451078">
              <w:rPr>
                <w:rFonts w:ascii="Tahoma" w:hAnsi="Tahoma" w:cs="Tahoma"/>
                <w:sz w:val="14"/>
                <w:lang w:val="it-IT"/>
              </w:rPr>
              <w:t xml:space="preserve"> 2012 Enterprise Core (2</w:t>
            </w:r>
            <w:r w:rsidR="00FE2D13" w:rsidRPr="00451078">
              <w:rPr>
                <w:rFonts w:ascii="Tahoma" w:hAnsi="Tahoma" w:cs="Tahoma"/>
                <w:sz w:val="14"/>
                <w:lang w:val="it-IT"/>
              </w:rPr>
              <w:t> </w:t>
            </w:r>
            <w:r w:rsidRPr="00451078">
              <w:rPr>
                <w:rFonts w:ascii="Tahoma" w:hAnsi="Tahoma" w:cs="Tahoma"/>
                <w:sz w:val="14"/>
                <w:lang w:val="it-IT"/>
              </w:rPr>
              <w:t>Licenze Core per confezione)</w:t>
            </w:r>
            <w:bookmarkEnd w:id="409"/>
            <w:bookmarkEnd w:id="410"/>
          </w:p>
        </w:tc>
        <w:tc>
          <w:tcPr>
            <w:tcW w:w="450" w:type="dxa"/>
            <w:tcBorders>
              <w:bottom w:val="single" w:sz="4" w:space="0" w:color="auto"/>
            </w:tcBorders>
            <w:shd w:val="clear" w:color="auto" w:fill="FABF8F"/>
            <w:vAlign w:val="center"/>
          </w:tcPr>
          <w:p w:rsidR="001A63C6" w:rsidRPr="009F17FF" w:rsidRDefault="00FC1A4D" w:rsidP="00BE7AC3">
            <w:pPr>
              <w:pStyle w:val="TableText"/>
              <w:widowControl w:val="0"/>
              <w:rPr>
                <w:rStyle w:val="EndnoteReference"/>
                <w:b w:val="0"/>
                <w:color w:val="0000FF"/>
                <w:sz w:val="13"/>
                <w:szCs w:val="13"/>
                <w:u w:val="single"/>
              </w:rPr>
            </w:pPr>
            <w:hyperlink w:anchor="_80_SQL_Server®" w:history="1">
              <w:r w:rsidR="000D77F6" w:rsidRPr="009F17FF">
                <w:rPr>
                  <w:rStyle w:val="Hyperlink"/>
                  <w:b/>
                  <w:sz w:val="13"/>
                  <w:szCs w:val="13"/>
                </w:rPr>
                <w:t>80</w:t>
              </w:r>
            </w:hyperlink>
            <w:hyperlink w:anchor="Srv_89SQLServer2012EnterpriseCore" w:history="1"/>
          </w:p>
        </w:tc>
        <w:tc>
          <w:tcPr>
            <w:tcW w:w="450" w:type="dxa"/>
            <w:tcBorders>
              <w:bottom w:val="single" w:sz="4" w:space="0" w:color="auto"/>
            </w:tcBorders>
            <w:shd w:val="clear" w:color="auto" w:fill="FABF8F"/>
          </w:tcPr>
          <w:p w:rsidR="001A63C6" w:rsidRPr="003410C7" w:rsidRDefault="001A63C6" w:rsidP="001A63C6">
            <w:pPr>
              <w:pStyle w:val="TableText"/>
              <w:widowControl w:val="0"/>
              <w:spacing w:before="80"/>
              <w:rPr>
                <w:rFonts w:ascii="Tahoma" w:hAnsi="Tahoma" w:cs="Tahoma"/>
                <w:sz w:val="13"/>
              </w:rPr>
            </w:pPr>
            <w:r w:rsidRPr="003410C7">
              <w:rPr>
                <w:rFonts w:ascii="Tahoma" w:hAnsi="Tahoma" w:cs="Tahoma"/>
                <w:sz w:val="13"/>
              </w:rPr>
              <w:t>04/12</w:t>
            </w:r>
          </w:p>
        </w:tc>
        <w:tc>
          <w:tcPr>
            <w:tcW w:w="360" w:type="dxa"/>
            <w:tcBorders>
              <w:bottom w:val="single" w:sz="4" w:space="0" w:color="auto"/>
              <w:right w:val="single" w:sz="18" w:space="0" w:color="auto"/>
            </w:tcBorders>
            <w:shd w:val="clear" w:color="auto" w:fill="FABF8F"/>
            <w:vAlign w:val="center"/>
          </w:tcPr>
          <w:p w:rsidR="001A63C6" w:rsidRPr="003410C7" w:rsidRDefault="001A63C6" w:rsidP="001A63C6">
            <w:pPr>
              <w:pStyle w:val="TableText"/>
              <w:widowControl w:val="0"/>
              <w:rPr>
                <w:rFonts w:ascii="Tahoma" w:hAnsi="Tahoma" w:cs="Tahoma"/>
                <w:sz w:val="13"/>
              </w:rPr>
            </w:pPr>
            <w:r w:rsidRPr="003410C7">
              <w:rPr>
                <w:rFonts w:ascii="Tahoma" w:hAnsi="Tahoma" w:cs="Tahoma"/>
                <w:sz w:val="13"/>
              </w:rPr>
              <w:t>SRV</w:t>
            </w:r>
          </w:p>
        </w:tc>
        <w:tc>
          <w:tcPr>
            <w:tcW w:w="360" w:type="dxa"/>
            <w:tcBorders>
              <w:left w:val="single" w:sz="18" w:space="0" w:color="auto"/>
              <w:bottom w:val="single" w:sz="4" w:space="0" w:color="auto"/>
            </w:tcBorders>
            <w:shd w:val="clear" w:color="auto" w:fill="FABF8F"/>
            <w:vAlign w:val="center"/>
          </w:tcPr>
          <w:p w:rsidR="001A63C6" w:rsidRPr="003410C7" w:rsidRDefault="001A63C6" w:rsidP="001A63C6">
            <w:pPr>
              <w:pStyle w:val="TableText"/>
              <w:widowControl w:val="0"/>
              <w:rPr>
                <w:rFonts w:ascii="Tahoma" w:hAnsi="Tahoma" w:cs="Tahoma"/>
                <w:sz w:val="13"/>
              </w:rPr>
            </w:pPr>
            <w:r w:rsidRPr="003410C7">
              <w:rPr>
                <w:rFonts w:ascii="Tahoma" w:hAnsi="Tahoma" w:cs="Tahoma"/>
                <w:sz w:val="13"/>
              </w:rPr>
              <w:t>125</w:t>
            </w:r>
          </w:p>
        </w:tc>
        <w:tc>
          <w:tcPr>
            <w:tcW w:w="450" w:type="dxa"/>
            <w:tcBorders>
              <w:bottom w:val="single" w:sz="4" w:space="0" w:color="auto"/>
            </w:tcBorders>
            <w:shd w:val="clear" w:color="auto" w:fill="FABF8F"/>
            <w:vAlign w:val="center"/>
          </w:tcPr>
          <w:p w:rsidR="001A63C6" w:rsidRPr="003410C7" w:rsidRDefault="001A63C6" w:rsidP="001A63C6">
            <w:pPr>
              <w:pStyle w:val="TableText"/>
              <w:widowControl w:val="0"/>
              <w:rPr>
                <w:rFonts w:ascii="Tahoma" w:hAnsi="Tahoma" w:cs="Tahoma"/>
                <w:sz w:val="13"/>
              </w:rPr>
            </w:pPr>
            <w:r w:rsidRPr="003410C7">
              <w:rPr>
                <w:rFonts w:ascii="Tahoma" w:hAnsi="Tahoma" w:cs="Tahoma"/>
                <w:sz w:val="13"/>
              </w:rPr>
              <w:t>313</w:t>
            </w:r>
          </w:p>
        </w:tc>
        <w:tc>
          <w:tcPr>
            <w:tcW w:w="450" w:type="dxa"/>
            <w:tcBorders>
              <w:bottom w:val="single" w:sz="4" w:space="0" w:color="auto"/>
            </w:tcBorders>
            <w:shd w:val="clear" w:color="auto" w:fill="FABF8F"/>
            <w:vAlign w:val="center"/>
          </w:tcPr>
          <w:p w:rsidR="001A63C6" w:rsidRPr="003410C7" w:rsidRDefault="001A63C6" w:rsidP="001A63C6">
            <w:pPr>
              <w:pStyle w:val="TableText"/>
              <w:widowControl w:val="0"/>
              <w:rPr>
                <w:rFonts w:ascii="Tahoma" w:hAnsi="Tahoma" w:cs="Tahoma"/>
                <w:sz w:val="13"/>
              </w:rPr>
            </w:pPr>
            <w:r w:rsidRPr="003410C7">
              <w:rPr>
                <w:rFonts w:ascii="Tahoma" w:hAnsi="Tahoma" w:cs="Tahoma"/>
                <w:sz w:val="13"/>
              </w:rPr>
              <w:t>250</w:t>
            </w:r>
          </w:p>
        </w:tc>
        <w:tc>
          <w:tcPr>
            <w:tcW w:w="450" w:type="dxa"/>
            <w:tcBorders>
              <w:bottom w:val="single" w:sz="4" w:space="0" w:color="auto"/>
            </w:tcBorders>
            <w:shd w:val="clear" w:color="auto" w:fill="FABF8F"/>
            <w:vAlign w:val="center"/>
          </w:tcPr>
          <w:p w:rsidR="001A63C6" w:rsidRPr="003410C7" w:rsidRDefault="001A63C6" w:rsidP="001A63C6">
            <w:pPr>
              <w:pStyle w:val="TableText"/>
              <w:widowControl w:val="0"/>
              <w:rPr>
                <w:rFonts w:ascii="Tahoma" w:hAnsi="Tahoma" w:cs="Tahoma"/>
                <w:sz w:val="13"/>
              </w:rPr>
            </w:pPr>
            <w:r w:rsidRPr="003410C7">
              <w:rPr>
                <w:rFonts w:ascii="Tahoma" w:hAnsi="Tahoma" w:cs="Tahoma"/>
                <w:sz w:val="13"/>
              </w:rPr>
              <w:t>188</w:t>
            </w:r>
          </w:p>
        </w:tc>
        <w:tc>
          <w:tcPr>
            <w:tcW w:w="450" w:type="dxa"/>
            <w:tcBorders>
              <w:bottom w:val="single" w:sz="4" w:space="0" w:color="auto"/>
            </w:tcBorders>
            <w:shd w:val="clear" w:color="auto" w:fill="FABF8F"/>
            <w:vAlign w:val="center"/>
          </w:tcPr>
          <w:p w:rsidR="001A63C6" w:rsidRPr="003410C7" w:rsidRDefault="001A63C6" w:rsidP="001A63C6">
            <w:pPr>
              <w:pStyle w:val="TableText"/>
              <w:widowControl w:val="0"/>
              <w:rPr>
                <w:rFonts w:ascii="Tahoma" w:hAnsi="Tahoma" w:cs="Tahoma"/>
                <w:sz w:val="13"/>
              </w:rPr>
            </w:pPr>
            <w:r w:rsidRPr="003410C7">
              <w:rPr>
                <w:rFonts w:ascii="Tahoma" w:hAnsi="Tahoma" w:cs="Tahoma"/>
                <w:sz w:val="13"/>
              </w:rPr>
              <w:t>188</w:t>
            </w:r>
          </w:p>
        </w:tc>
        <w:tc>
          <w:tcPr>
            <w:tcW w:w="450" w:type="dxa"/>
            <w:tcBorders>
              <w:bottom w:val="single" w:sz="4" w:space="0" w:color="auto"/>
            </w:tcBorders>
            <w:shd w:val="clear" w:color="auto" w:fill="FABF8F"/>
            <w:vAlign w:val="center"/>
          </w:tcPr>
          <w:p w:rsidR="001A63C6" w:rsidRPr="003410C7" w:rsidRDefault="001A63C6" w:rsidP="001A63C6">
            <w:pPr>
              <w:pStyle w:val="TableText"/>
              <w:widowControl w:val="0"/>
              <w:rPr>
                <w:rFonts w:ascii="Tahoma" w:hAnsi="Tahoma" w:cs="Tahoma"/>
                <w:sz w:val="13"/>
              </w:rPr>
            </w:pPr>
            <w:r w:rsidRPr="003410C7">
              <w:rPr>
                <w:rFonts w:ascii="Tahoma" w:hAnsi="Tahoma" w:cs="Tahoma"/>
                <w:sz w:val="13"/>
              </w:rPr>
              <w:t>125</w:t>
            </w:r>
          </w:p>
        </w:tc>
        <w:tc>
          <w:tcPr>
            <w:tcW w:w="360" w:type="dxa"/>
            <w:tcBorders>
              <w:bottom w:val="single" w:sz="4" w:space="0" w:color="auto"/>
              <w:right w:val="single" w:sz="18" w:space="0" w:color="auto"/>
            </w:tcBorders>
            <w:shd w:val="clear" w:color="auto" w:fill="FABF8F"/>
            <w:vAlign w:val="center"/>
          </w:tcPr>
          <w:p w:rsidR="001A63C6" w:rsidRPr="003410C7" w:rsidRDefault="001A63C6" w:rsidP="001A63C6">
            <w:pPr>
              <w:pStyle w:val="TableText"/>
              <w:widowControl w:val="0"/>
              <w:rPr>
                <w:rFonts w:ascii="Tahoma" w:hAnsi="Tahoma" w:cs="Tahoma"/>
                <w:sz w:val="13"/>
              </w:rPr>
            </w:pPr>
            <w:r w:rsidRPr="003410C7">
              <w:rPr>
                <w:rFonts w:ascii="Tahoma" w:hAnsi="Tahoma" w:cs="Tahoma"/>
                <w:sz w:val="13"/>
              </w:rPr>
              <w:t>63</w:t>
            </w:r>
          </w:p>
        </w:tc>
        <w:tc>
          <w:tcPr>
            <w:tcW w:w="450" w:type="dxa"/>
            <w:tcBorders>
              <w:left w:val="single" w:sz="18" w:space="0" w:color="auto"/>
              <w:bottom w:val="single" w:sz="4" w:space="0" w:color="auto"/>
            </w:tcBorders>
            <w:shd w:val="clear" w:color="auto" w:fill="FABF8F"/>
            <w:vAlign w:val="center"/>
          </w:tcPr>
          <w:p w:rsidR="001A63C6" w:rsidRPr="003410C7" w:rsidRDefault="001A63C6" w:rsidP="001A63C6">
            <w:pPr>
              <w:pStyle w:val="TableText"/>
              <w:widowControl w:val="0"/>
              <w:rPr>
                <w:rFonts w:ascii="Tahoma" w:hAnsi="Tahoma" w:cs="Tahoma"/>
                <w:sz w:val="13"/>
              </w:rPr>
            </w:pPr>
            <w:r w:rsidRPr="003410C7">
              <w:rPr>
                <w:rFonts w:ascii="Tahoma" w:hAnsi="Tahoma" w:cs="Tahoma"/>
                <w:sz w:val="13"/>
              </w:rPr>
              <w:t>125</w:t>
            </w:r>
          </w:p>
        </w:tc>
        <w:tc>
          <w:tcPr>
            <w:tcW w:w="450" w:type="dxa"/>
            <w:tcBorders>
              <w:bottom w:val="single" w:sz="4" w:space="0" w:color="auto"/>
            </w:tcBorders>
            <w:shd w:val="clear" w:color="auto" w:fill="FABF8F"/>
            <w:vAlign w:val="center"/>
          </w:tcPr>
          <w:p w:rsidR="001A63C6" w:rsidRPr="003410C7" w:rsidRDefault="001A63C6" w:rsidP="001A63C6">
            <w:pPr>
              <w:pStyle w:val="TableText"/>
              <w:widowControl w:val="0"/>
              <w:rPr>
                <w:rFonts w:ascii="Tahoma" w:hAnsi="Tahoma" w:cs="Tahoma"/>
                <w:sz w:val="13"/>
              </w:rPr>
            </w:pPr>
            <w:r w:rsidRPr="003410C7">
              <w:rPr>
                <w:rFonts w:ascii="Tahoma" w:hAnsi="Tahoma" w:cs="Tahoma"/>
                <w:sz w:val="13"/>
              </w:rPr>
              <w:t>250</w:t>
            </w:r>
          </w:p>
        </w:tc>
        <w:tc>
          <w:tcPr>
            <w:tcW w:w="450" w:type="dxa"/>
            <w:tcBorders>
              <w:bottom w:val="single" w:sz="4" w:space="0" w:color="auto"/>
              <w:right w:val="single" w:sz="18" w:space="0" w:color="auto"/>
            </w:tcBorders>
            <w:shd w:val="clear" w:color="auto" w:fill="FABF8F"/>
            <w:vAlign w:val="center"/>
          </w:tcPr>
          <w:p w:rsidR="001A63C6" w:rsidRPr="003410C7" w:rsidRDefault="001A63C6" w:rsidP="001A63C6">
            <w:pPr>
              <w:pStyle w:val="TableText"/>
              <w:widowControl w:val="0"/>
              <w:rPr>
                <w:rFonts w:ascii="Tahoma" w:hAnsi="Tahoma" w:cs="Tahoma"/>
                <w:sz w:val="13"/>
              </w:rPr>
            </w:pPr>
            <w:r w:rsidRPr="003410C7">
              <w:rPr>
                <w:rFonts w:ascii="Tahoma" w:hAnsi="Tahoma" w:cs="Tahoma"/>
                <w:sz w:val="13"/>
              </w:rPr>
              <w:t>125</w:t>
            </w:r>
          </w:p>
        </w:tc>
        <w:tc>
          <w:tcPr>
            <w:tcW w:w="450" w:type="dxa"/>
            <w:tcBorders>
              <w:left w:val="single" w:sz="18" w:space="0" w:color="auto"/>
              <w:bottom w:val="single" w:sz="4" w:space="0" w:color="auto"/>
            </w:tcBorders>
            <w:shd w:val="clear" w:color="auto" w:fill="FABF8F"/>
            <w:vAlign w:val="center"/>
          </w:tcPr>
          <w:p w:rsidR="001A63C6" w:rsidRPr="003410C7" w:rsidRDefault="001A63C6" w:rsidP="001A63C6">
            <w:pPr>
              <w:pStyle w:val="TableText"/>
              <w:widowControl w:val="0"/>
              <w:rPr>
                <w:rFonts w:ascii="Tahoma" w:hAnsi="Tahoma" w:cs="Tahoma"/>
                <w:sz w:val="13"/>
              </w:rPr>
            </w:pPr>
            <w:r w:rsidRPr="003410C7">
              <w:rPr>
                <w:rFonts w:ascii="Tahoma" w:hAnsi="Tahoma" w:cs="Tahoma"/>
                <w:sz w:val="13"/>
              </w:rPr>
              <w:t>125</w:t>
            </w:r>
          </w:p>
        </w:tc>
        <w:tc>
          <w:tcPr>
            <w:tcW w:w="450" w:type="dxa"/>
            <w:tcBorders>
              <w:bottom w:val="single" w:sz="4" w:space="0" w:color="auto"/>
              <w:right w:val="single" w:sz="18" w:space="0" w:color="auto"/>
            </w:tcBorders>
            <w:shd w:val="clear" w:color="auto" w:fill="FABF8F"/>
            <w:vAlign w:val="center"/>
          </w:tcPr>
          <w:p w:rsidR="001A63C6" w:rsidRPr="003410C7" w:rsidRDefault="001A63C6" w:rsidP="001A63C6">
            <w:pPr>
              <w:pStyle w:val="TableText"/>
              <w:widowControl w:val="0"/>
              <w:rPr>
                <w:rFonts w:ascii="Tahoma" w:hAnsi="Tahoma" w:cs="Tahoma"/>
                <w:sz w:val="13"/>
              </w:rPr>
            </w:pPr>
            <w:r w:rsidRPr="003410C7">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3410C7" w:rsidRDefault="001A63C6" w:rsidP="001A63C6">
            <w:pPr>
              <w:pStyle w:val="TableText"/>
              <w:widowControl w:val="0"/>
              <w:rPr>
                <w:rFonts w:ascii="Tahoma" w:hAnsi="Tahoma" w:cs="Tahoma"/>
                <w:sz w:val="13"/>
              </w:rPr>
            </w:pPr>
            <w:r w:rsidRPr="003410C7">
              <w:rPr>
                <w:rFonts w:ascii="Tahoma" w:hAnsi="Tahoma" w:cs="Tahoma"/>
                <w:sz w:val="13"/>
              </w:rPr>
              <w:t>P</w:t>
            </w:r>
          </w:p>
        </w:tc>
        <w:tc>
          <w:tcPr>
            <w:tcW w:w="450" w:type="dxa"/>
            <w:tcBorders>
              <w:bottom w:val="single" w:sz="4" w:space="0" w:color="auto"/>
            </w:tcBorders>
            <w:shd w:val="clear" w:color="auto" w:fill="FABF8F"/>
          </w:tcPr>
          <w:p w:rsidR="001A63C6" w:rsidRPr="003410C7" w:rsidRDefault="001A63C6" w:rsidP="001A63C6">
            <w:pPr>
              <w:pStyle w:val="TableText"/>
              <w:widowControl w:val="0"/>
              <w:rPr>
                <w:rFonts w:ascii="Tahoma" w:hAnsi="Tahoma" w:cs="Tahoma"/>
                <w:sz w:val="13"/>
              </w:rPr>
            </w:pPr>
            <w:r w:rsidRPr="003410C7">
              <w:rPr>
                <w:rFonts w:ascii="Tahoma" w:hAnsi="Tahoma" w:cs="Tahoma"/>
                <w:sz w:val="13"/>
              </w:rPr>
              <w:t>A</w:t>
            </w:r>
          </w:p>
        </w:tc>
        <w:tc>
          <w:tcPr>
            <w:tcW w:w="540" w:type="dxa"/>
            <w:tcBorders>
              <w:bottom w:val="single" w:sz="4" w:space="0" w:color="auto"/>
            </w:tcBorders>
            <w:shd w:val="clear" w:color="auto" w:fill="FABF8F"/>
            <w:vAlign w:val="center"/>
          </w:tcPr>
          <w:p w:rsidR="001A63C6" w:rsidRPr="003410C7" w:rsidRDefault="001A63C6" w:rsidP="001A63C6">
            <w:pPr>
              <w:pStyle w:val="TableText"/>
              <w:widowControl w:val="0"/>
              <w:rPr>
                <w:rFonts w:ascii="Tahoma" w:hAnsi="Tahoma" w:cs="Tahoma"/>
                <w:sz w:val="13"/>
              </w:rPr>
            </w:pPr>
            <w:r w:rsidRPr="003410C7">
              <w:rPr>
                <w:rFonts w:ascii="Tahoma" w:hAnsi="Tahoma" w:cs="Tahoma"/>
                <w:sz w:val="13"/>
              </w:rPr>
              <w:t>OL/OV</w:t>
            </w:r>
          </w:p>
        </w:tc>
      </w:tr>
      <w:tr w:rsidR="001A63C6" w:rsidRPr="003410C7" w:rsidTr="007E466C">
        <w:trPr>
          <w:trHeight w:val="145"/>
        </w:trPr>
        <w:tc>
          <w:tcPr>
            <w:tcW w:w="2734" w:type="dxa"/>
            <w:gridSpan w:val="2"/>
            <w:tcBorders>
              <w:bottom w:val="single" w:sz="4" w:space="0" w:color="auto"/>
            </w:tcBorders>
            <w:shd w:val="clear" w:color="auto" w:fill="auto"/>
            <w:vAlign w:val="center"/>
          </w:tcPr>
          <w:p w:rsidR="001A63C6" w:rsidRPr="003410C7" w:rsidRDefault="001A63C6" w:rsidP="00F57878">
            <w:pPr>
              <w:pStyle w:val="ProductNames"/>
              <w:spacing w:beforeLines="20" w:before="48" w:afterLines="20" w:after="48"/>
              <w:rPr>
                <w:rFonts w:ascii="Tahoma" w:hAnsi="Tahoma" w:cs="Tahoma"/>
                <w:sz w:val="14"/>
              </w:rPr>
            </w:pPr>
            <w:bookmarkStart w:id="411" w:name="_Toc336338046"/>
            <w:bookmarkStart w:id="412" w:name="_Toc352234664"/>
            <w:r w:rsidRPr="003410C7">
              <w:rPr>
                <w:rFonts w:ascii="Tahoma" w:hAnsi="Tahoma" w:cs="Tahoma"/>
                <w:sz w:val="14"/>
              </w:rPr>
              <w:t>SQL Server</w:t>
            </w:r>
            <w:r w:rsidR="003410C7" w:rsidRPr="003410C7">
              <w:rPr>
                <w:rFonts w:ascii="Tahoma" w:eastAsia="Times New Roman" w:hAnsi="Tahoma" w:cs="Tahoma"/>
                <w:color w:val="000000"/>
                <w:sz w:val="18"/>
                <w:szCs w:val="18"/>
                <w:vertAlign w:val="superscript"/>
              </w:rPr>
              <w:t>®</w:t>
            </w:r>
            <w:r w:rsidRPr="003410C7">
              <w:rPr>
                <w:rFonts w:ascii="Tahoma" w:hAnsi="Tahoma" w:cs="Tahoma"/>
                <w:sz w:val="14"/>
              </w:rPr>
              <w:t xml:space="preserve"> 2012 Parallel Data</w:t>
            </w:r>
            <w:r w:rsidR="00F57878">
              <w:rPr>
                <w:rFonts w:ascii="Tahoma" w:hAnsi="Tahoma" w:cs="Tahoma"/>
                <w:sz w:val="14"/>
              </w:rPr>
              <w:t> </w:t>
            </w:r>
            <w:r w:rsidRPr="003410C7">
              <w:rPr>
                <w:rFonts w:ascii="Tahoma" w:hAnsi="Tahoma" w:cs="Tahoma"/>
                <w:sz w:val="14"/>
              </w:rPr>
              <w:t>Warehouse</w:t>
            </w:r>
            <w:bookmarkEnd w:id="411"/>
            <w:bookmarkEnd w:id="412"/>
          </w:p>
        </w:tc>
        <w:tc>
          <w:tcPr>
            <w:tcW w:w="450" w:type="dxa"/>
            <w:tcBorders>
              <w:bottom w:val="single" w:sz="4" w:space="0" w:color="auto"/>
            </w:tcBorders>
            <w:shd w:val="clear" w:color="auto" w:fill="auto"/>
            <w:vAlign w:val="center"/>
          </w:tcPr>
          <w:p w:rsidR="001A63C6" w:rsidRPr="009F17FF" w:rsidRDefault="00FC1A4D" w:rsidP="00BE7AC3">
            <w:pPr>
              <w:pStyle w:val="TableText"/>
              <w:widowControl w:val="0"/>
              <w:rPr>
                <w:rStyle w:val="EndnoteReference"/>
                <w:rFonts w:cs="Tahoma"/>
                <w:color w:val="000000"/>
                <w:sz w:val="13"/>
                <w:szCs w:val="13"/>
                <w:u w:val="single"/>
              </w:rPr>
            </w:pPr>
            <w:hyperlink w:anchor="_81_SQL_Server" w:history="1">
              <w:r w:rsidR="000D77F6" w:rsidRPr="009F17FF">
                <w:rPr>
                  <w:rStyle w:val="Hyperlink"/>
                  <w:sz w:val="13"/>
                  <w:szCs w:val="13"/>
                </w:rPr>
                <w:t>81</w:t>
              </w:r>
            </w:hyperlink>
            <w:hyperlink w:anchor="_80_SQL_Server" w:history="1"/>
          </w:p>
        </w:tc>
        <w:tc>
          <w:tcPr>
            <w:tcW w:w="450" w:type="dxa"/>
            <w:tcBorders>
              <w:bottom w:val="single" w:sz="4" w:space="0" w:color="auto"/>
            </w:tcBorders>
            <w:shd w:val="clear" w:color="auto" w:fill="auto"/>
          </w:tcPr>
          <w:p w:rsidR="001A63C6" w:rsidRPr="003410C7" w:rsidRDefault="001A63C6" w:rsidP="001A63C6">
            <w:pPr>
              <w:pStyle w:val="TableText"/>
              <w:widowControl w:val="0"/>
              <w:spacing w:before="80"/>
              <w:rPr>
                <w:rFonts w:ascii="Tahoma" w:hAnsi="Tahoma" w:cs="Tahoma"/>
                <w:sz w:val="13"/>
              </w:rPr>
            </w:pPr>
            <w:r w:rsidRPr="003410C7">
              <w:rPr>
                <w:rFonts w:ascii="Tahoma" w:hAnsi="Tahoma" w:cs="Tahoma"/>
                <w:sz w:val="13"/>
              </w:rPr>
              <w:t>03/13</w:t>
            </w:r>
          </w:p>
        </w:tc>
        <w:tc>
          <w:tcPr>
            <w:tcW w:w="360" w:type="dxa"/>
            <w:tcBorders>
              <w:bottom w:val="single" w:sz="4" w:space="0" w:color="auto"/>
              <w:right w:val="single" w:sz="18" w:space="0" w:color="auto"/>
            </w:tcBorders>
            <w:shd w:val="clear" w:color="auto" w:fill="auto"/>
            <w:vAlign w:val="center"/>
          </w:tcPr>
          <w:p w:rsidR="001A63C6" w:rsidRPr="003410C7" w:rsidRDefault="001A63C6" w:rsidP="001A63C6">
            <w:pPr>
              <w:pStyle w:val="TableText"/>
              <w:widowControl w:val="0"/>
              <w:rPr>
                <w:rFonts w:ascii="Tahoma" w:hAnsi="Tahoma" w:cs="Tahoma"/>
                <w:sz w:val="13"/>
              </w:rPr>
            </w:pPr>
            <w:r w:rsidRPr="003410C7">
              <w:rPr>
                <w:rFonts w:ascii="Tahoma" w:hAnsi="Tahoma" w:cs="Tahoma"/>
                <w:sz w:val="13"/>
              </w:rPr>
              <w:t>SRV</w:t>
            </w:r>
          </w:p>
        </w:tc>
        <w:tc>
          <w:tcPr>
            <w:tcW w:w="360" w:type="dxa"/>
            <w:tcBorders>
              <w:left w:val="single" w:sz="18" w:space="0" w:color="auto"/>
              <w:bottom w:val="single" w:sz="4" w:space="0" w:color="auto"/>
            </w:tcBorders>
            <w:shd w:val="clear" w:color="auto" w:fill="auto"/>
            <w:vAlign w:val="center"/>
          </w:tcPr>
          <w:p w:rsidR="001A63C6" w:rsidRPr="003410C7" w:rsidRDefault="001A63C6" w:rsidP="001A63C6">
            <w:pPr>
              <w:pStyle w:val="TableText"/>
              <w:widowControl w:val="0"/>
              <w:rPr>
                <w:rFonts w:ascii="Tahoma" w:hAnsi="Tahoma" w:cs="Tahoma"/>
                <w:sz w:val="13"/>
              </w:rPr>
            </w:pPr>
            <w:r w:rsidRPr="003410C7">
              <w:rPr>
                <w:rFonts w:ascii="Tahoma" w:hAnsi="Tahoma" w:cs="Tahoma"/>
                <w:sz w:val="13"/>
              </w:rPr>
              <w:t>200</w:t>
            </w:r>
          </w:p>
        </w:tc>
        <w:tc>
          <w:tcPr>
            <w:tcW w:w="450" w:type="dxa"/>
            <w:tcBorders>
              <w:bottom w:val="single" w:sz="4" w:space="0" w:color="auto"/>
            </w:tcBorders>
            <w:shd w:val="clear" w:color="auto" w:fill="auto"/>
            <w:vAlign w:val="center"/>
          </w:tcPr>
          <w:p w:rsidR="001A63C6" w:rsidRPr="003410C7" w:rsidRDefault="001A63C6" w:rsidP="001A63C6">
            <w:pPr>
              <w:pStyle w:val="TableText"/>
              <w:widowControl w:val="0"/>
              <w:rPr>
                <w:rFonts w:ascii="Tahoma" w:hAnsi="Tahoma" w:cs="Tahoma"/>
                <w:sz w:val="13"/>
              </w:rPr>
            </w:pPr>
            <w:r w:rsidRPr="003410C7">
              <w:rPr>
                <w:rFonts w:ascii="Tahoma" w:hAnsi="Tahoma" w:cs="Tahoma"/>
                <w:sz w:val="13"/>
              </w:rPr>
              <w:t>500</w:t>
            </w:r>
          </w:p>
        </w:tc>
        <w:tc>
          <w:tcPr>
            <w:tcW w:w="450" w:type="dxa"/>
            <w:tcBorders>
              <w:bottom w:val="single" w:sz="4" w:space="0" w:color="auto"/>
            </w:tcBorders>
            <w:shd w:val="clear" w:color="auto" w:fill="auto"/>
            <w:vAlign w:val="center"/>
          </w:tcPr>
          <w:p w:rsidR="001A63C6" w:rsidRPr="003410C7" w:rsidRDefault="001A63C6" w:rsidP="001A63C6">
            <w:pPr>
              <w:pStyle w:val="TableText"/>
              <w:widowControl w:val="0"/>
              <w:rPr>
                <w:rFonts w:ascii="Tahoma" w:hAnsi="Tahoma" w:cs="Tahoma"/>
                <w:sz w:val="13"/>
              </w:rPr>
            </w:pPr>
            <w:r w:rsidRPr="003410C7">
              <w:rPr>
                <w:rFonts w:ascii="Tahoma" w:hAnsi="Tahoma" w:cs="Tahoma"/>
                <w:sz w:val="13"/>
              </w:rPr>
              <w:t>400</w:t>
            </w:r>
          </w:p>
        </w:tc>
        <w:tc>
          <w:tcPr>
            <w:tcW w:w="450" w:type="dxa"/>
            <w:tcBorders>
              <w:bottom w:val="single" w:sz="4" w:space="0" w:color="auto"/>
            </w:tcBorders>
            <w:shd w:val="clear" w:color="auto" w:fill="auto"/>
            <w:vAlign w:val="center"/>
          </w:tcPr>
          <w:p w:rsidR="001A63C6" w:rsidRPr="003410C7" w:rsidRDefault="001A63C6" w:rsidP="001A63C6">
            <w:pPr>
              <w:pStyle w:val="TableText"/>
              <w:widowControl w:val="0"/>
              <w:rPr>
                <w:rFonts w:ascii="Tahoma" w:hAnsi="Tahoma" w:cs="Tahoma"/>
                <w:sz w:val="13"/>
              </w:rPr>
            </w:pPr>
            <w:r w:rsidRPr="003410C7">
              <w:rPr>
                <w:rFonts w:ascii="Tahoma" w:hAnsi="Tahoma" w:cs="Tahoma"/>
                <w:sz w:val="13"/>
              </w:rPr>
              <w:t>300</w:t>
            </w:r>
          </w:p>
        </w:tc>
        <w:tc>
          <w:tcPr>
            <w:tcW w:w="450" w:type="dxa"/>
            <w:tcBorders>
              <w:bottom w:val="single" w:sz="4" w:space="0" w:color="auto"/>
            </w:tcBorders>
            <w:shd w:val="clear" w:color="auto" w:fill="auto"/>
            <w:vAlign w:val="center"/>
          </w:tcPr>
          <w:p w:rsidR="001A63C6" w:rsidRPr="003410C7" w:rsidRDefault="001A63C6" w:rsidP="001A63C6">
            <w:pPr>
              <w:pStyle w:val="TableText"/>
              <w:widowControl w:val="0"/>
              <w:rPr>
                <w:rFonts w:ascii="Tahoma" w:hAnsi="Tahoma" w:cs="Tahoma"/>
                <w:sz w:val="13"/>
              </w:rPr>
            </w:pPr>
            <w:r w:rsidRPr="003410C7">
              <w:rPr>
                <w:rFonts w:ascii="Tahoma" w:hAnsi="Tahoma" w:cs="Tahoma"/>
                <w:sz w:val="13"/>
              </w:rPr>
              <w:t>300</w:t>
            </w:r>
          </w:p>
        </w:tc>
        <w:tc>
          <w:tcPr>
            <w:tcW w:w="450" w:type="dxa"/>
            <w:tcBorders>
              <w:bottom w:val="single" w:sz="4" w:space="0" w:color="auto"/>
            </w:tcBorders>
            <w:shd w:val="clear" w:color="auto" w:fill="auto"/>
            <w:vAlign w:val="center"/>
          </w:tcPr>
          <w:p w:rsidR="001A63C6" w:rsidRPr="003410C7" w:rsidRDefault="001A63C6" w:rsidP="001A63C6">
            <w:pPr>
              <w:pStyle w:val="TableText"/>
              <w:widowControl w:val="0"/>
              <w:rPr>
                <w:rFonts w:ascii="Tahoma" w:hAnsi="Tahoma" w:cs="Tahoma"/>
                <w:sz w:val="13"/>
              </w:rPr>
            </w:pPr>
            <w:r w:rsidRPr="003410C7">
              <w:rPr>
                <w:rFonts w:ascii="Tahoma" w:hAnsi="Tahoma" w:cs="Tahoma"/>
                <w:sz w:val="13"/>
              </w:rPr>
              <w:t>200</w:t>
            </w:r>
          </w:p>
        </w:tc>
        <w:tc>
          <w:tcPr>
            <w:tcW w:w="360" w:type="dxa"/>
            <w:tcBorders>
              <w:bottom w:val="single" w:sz="4" w:space="0" w:color="auto"/>
              <w:right w:val="single" w:sz="18" w:space="0" w:color="auto"/>
            </w:tcBorders>
            <w:shd w:val="clear" w:color="auto" w:fill="auto"/>
            <w:vAlign w:val="center"/>
          </w:tcPr>
          <w:p w:rsidR="001A63C6" w:rsidRPr="003410C7" w:rsidRDefault="001A63C6" w:rsidP="001A63C6">
            <w:pPr>
              <w:pStyle w:val="TableText"/>
              <w:widowControl w:val="0"/>
              <w:rPr>
                <w:rFonts w:ascii="Tahoma" w:hAnsi="Tahoma" w:cs="Tahoma"/>
                <w:sz w:val="13"/>
              </w:rPr>
            </w:pPr>
            <w:r w:rsidRPr="003410C7">
              <w:rPr>
                <w:rFonts w:ascii="Tahoma" w:hAnsi="Tahoma" w:cs="Tahoma"/>
                <w:sz w:val="13"/>
              </w:rPr>
              <w:t>100</w:t>
            </w:r>
          </w:p>
        </w:tc>
        <w:tc>
          <w:tcPr>
            <w:tcW w:w="450" w:type="dxa"/>
            <w:tcBorders>
              <w:left w:val="single" w:sz="18" w:space="0" w:color="auto"/>
              <w:bottom w:val="single" w:sz="4" w:space="0" w:color="auto"/>
            </w:tcBorders>
            <w:shd w:val="clear" w:color="auto" w:fill="auto"/>
            <w:vAlign w:val="center"/>
          </w:tcPr>
          <w:p w:rsidR="001A63C6" w:rsidRPr="003410C7"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3410C7"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1A63C6" w:rsidRPr="003410C7"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1A63C6" w:rsidRPr="003410C7"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1A63C6" w:rsidRPr="003410C7" w:rsidRDefault="001A63C6" w:rsidP="001A63C6">
            <w:pPr>
              <w:pStyle w:val="TableText"/>
              <w:widowControl w:val="0"/>
              <w:rPr>
                <w:rFonts w:ascii="Tahoma" w:hAnsi="Tahoma" w:cs="Tahoma"/>
                <w:sz w:val="13"/>
              </w:rPr>
            </w:pPr>
            <w:r w:rsidRPr="003410C7">
              <w:rPr>
                <w:rFonts w:ascii="Tahoma" w:hAnsi="Tahoma" w:cs="Tahoma"/>
                <w:sz w:val="13"/>
              </w:rPr>
              <w:t>A,S</w:t>
            </w:r>
          </w:p>
        </w:tc>
        <w:tc>
          <w:tcPr>
            <w:tcW w:w="450" w:type="dxa"/>
            <w:tcBorders>
              <w:left w:val="single" w:sz="18" w:space="0" w:color="auto"/>
              <w:bottom w:val="single" w:sz="4" w:space="0" w:color="auto"/>
              <w:right w:val="single" w:sz="18" w:space="0" w:color="auto"/>
            </w:tcBorders>
            <w:shd w:val="clear" w:color="auto" w:fill="auto"/>
            <w:vAlign w:val="center"/>
          </w:tcPr>
          <w:p w:rsidR="001A63C6" w:rsidRPr="003410C7"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tcPr>
          <w:p w:rsidR="001A63C6" w:rsidRPr="003410C7" w:rsidRDefault="001A63C6" w:rsidP="001A63C6">
            <w:pPr>
              <w:pStyle w:val="TableText"/>
              <w:widowControl w:val="0"/>
              <w:rPr>
                <w:rFonts w:ascii="Tahoma" w:hAnsi="Tahoma" w:cs="Tahoma"/>
                <w:sz w:val="13"/>
              </w:rPr>
            </w:pPr>
          </w:p>
        </w:tc>
        <w:tc>
          <w:tcPr>
            <w:tcW w:w="540" w:type="dxa"/>
            <w:tcBorders>
              <w:bottom w:val="single" w:sz="4" w:space="0" w:color="auto"/>
            </w:tcBorders>
            <w:shd w:val="clear" w:color="auto" w:fill="auto"/>
            <w:vAlign w:val="center"/>
          </w:tcPr>
          <w:p w:rsidR="001A63C6" w:rsidRPr="003410C7" w:rsidRDefault="001A63C6" w:rsidP="001A63C6">
            <w:pPr>
              <w:pStyle w:val="TableText"/>
              <w:widowControl w:val="0"/>
              <w:rPr>
                <w:rFonts w:ascii="Tahoma" w:hAnsi="Tahoma" w:cs="Tahoma"/>
                <w:sz w:val="13"/>
              </w:rPr>
            </w:pPr>
          </w:p>
        </w:tc>
      </w:tr>
      <w:tr w:rsidR="00B33D0E" w:rsidRPr="003410C7" w:rsidTr="006B1F3F">
        <w:trPr>
          <w:trHeight w:val="145"/>
        </w:trPr>
        <w:tc>
          <w:tcPr>
            <w:tcW w:w="2734" w:type="dxa"/>
            <w:gridSpan w:val="2"/>
            <w:tcBorders>
              <w:bottom w:val="single" w:sz="4" w:space="0" w:color="auto"/>
            </w:tcBorders>
            <w:shd w:val="clear" w:color="auto" w:fill="FABF8F"/>
            <w:vAlign w:val="center"/>
          </w:tcPr>
          <w:p w:rsidR="001A63C6" w:rsidRPr="003410C7" w:rsidRDefault="001A63C6" w:rsidP="00F57878">
            <w:pPr>
              <w:pStyle w:val="ProductNames"/>
              <w:spacing w:beforeLines="20" w:before="48" w:afterLines="20" w:after="48"/>
              <w:rPr>
                <w:rFonts w:ascii="Tahoma" w:hAnsi="Tahoma" w:cs="Tahoma"/>
                <w:sz w:val="14"/>
              </w:rPr>
            </w:pPr>
            <w:bookmarkStart w:id="413" w:name="_Toc336338047"/>
            <w:bookmarkStart w:id="414" w:name="_Toc352234665"/>
            <w:r w:rsidRPr="003410C7">
              <w:rPr>
                <w:rFonts w:ascii="Tahoma" w:hAnsi="Tahoma" w:cs="Tahoma"/>
                <w:sz w:val="14"/>
              </w:rPr>
              <w:t>SQL Server</w:t>
            </w:r>
            <w:r w:rsidR="003410C7" w:rsidRPr="003410C7">
              <w:rPr>
                <w:rFonts w:ascii="Tahoma" w:eastAsia="Times New Roman" w:hAnsi="Tahoma" w:cs="Tahoma"/>
                <w:color w:val="000000"/>
                <w:sz w:val="18"/>
                <w:szCs w:val="18"/>
                <w:vertAlign w:val="superscript"/>
              </w:rPr>
              <w:t>®</w:t>
            </w:r>
            <w:r w:rsidRPr="003410C7">
              <w:rPr>
                <w:rFonts w:ascii="Tahoma" w:hAnsi="Tahoma" w:cs="Tahoma"/>
                <w:sz w:val="14"/>
              </w:rPr>
              <w:t xml:space="preserve"> 2012 Parallel Data</w:t>
            </w:r>
            <w:r w:rsidR="00F57878">
              <w:rPr>
                <w:rFonts w:ascii="Tahoma" w:hAnsi="Tahoma" w:cs="Tahoma"/>
                <w:sz w:val="14"/>
              </w:rPr>
              <w:t> </w:t>
            </w:r>
            <w:r w:rsidRPr="003410C7">
              <w:rPr>
                <w:rFonts w:ascii="Tahoma" w:hAnsi="Tahoma" w:cs="Tahoma"/>
                <w:sz w:val="14"/>
              </w:rPr>
              <w:t>Warehouse Developer</w:t>
            </w:r>
            <w:bookmarkEnd w:id="413"/>
            <w:bookmarkEnd w:id="414"/>
          </w:p>
        </w:tc>
        <w:tc>
          <w:tcPr>
            <w:tcW w:w="450" w:type="dxa"/>
            <w:tcBorders>
              <w:bottom w:val="single" w:sz="4" w:space="0" w:color="auto"/>
            </w:tcBorders>
            <w:shd w:val="clear" w:color="auto" w:fill="FABF8F"/>
            <w:vAlign w:val="center"/>
          </w:tcPr>
          <w:p w:rsidR="001A63C6" w:rsidRPr="009F17FF" w:rsidRDefault="001A63C6" w:rsidP="001A63C6">
            <w:pPr>
              <w:pStyle w:val="TableText"/>
              <w:widowControl w:val="0"/>
              <w:rPr>
                <w:rStyle w:val="EndnoteReference"/>
                <w:rFonts w:cs="Tahoma"/>
                <w:color w:val="000000"/>
                <w:sz w:val="13"/>
                <w:szCs w:val="13"/>
                <w:u w:val="single"/>
              </w:rPr>
            </w:pPr>
          </w:p>
        </w:tc>
        <w:tc>
          <w:tcPr>
            <w:tcW w:w="450" w:type="dxa"/>
            <w:tcBorders>
              <w:bottom w:val="single" w:sz="4" w:space="0" w:color="auto"/>
            </w:tcBorders>
            <w:shd w:val="clear" w:color="auto" w:fill="FABF8F"/>
          </w:tcPr>
          <w:p w:rsidR="001A63C6" w:rsidRPr="003410C7" w:rsidRDefault="001A63C6" w:rsidP="001A63C6">
            <w:pPr>
              <w:pStyle w:val="TableText"/>
              <w:widowControl w:val="0"/>
              <w:spacing w:before="80"/>
              <w:rPr>
                <w:rFonts w:ascii="Tahoma" w:hAnsi="Tahoma" w:cs="Tahoma"/>
                <w:sz w:val="13"/>
              </w:rPr>
            </w:pPr>
            <w:r w:rsidRPr="003410C7">
              <w:rPr>
                <w:rFonts w:ascii="Tahoma" w:hAnsi="Tahoma" w:cs="Tahoma"/>
                <w:sz w:val="13"/>
              </w:rPr>
              <w:t>11/10</w:t>
            </w:r>
          </w:p>
        </w:tc>
        <w:tc>
          <w:tcPr>
            <w:tcW w:w="360" w:type="dxa"/>
            <w:tcBorders>
              <w:bottom w:val="single" w:sz="4" w:space="0" w:color="auto"/>
              <w:right w:val="single" w:sz="18" w:space="0" w:color="auto"/>
            </w:tcBorders>
            <w:shd w:val="clear" w:color="auto" w:fill="FABF8F"/>
            <w:vAlign w:val="center"/>
          </w:tcPr>
          <w:p w:rsidR="001A63C6" w:rsidRPr="003410C7" w:rsidRDefault="001A63C6" w:rsidP="001A63C6">
            <w:pPr>
              <w:pStyle w:val="TableText"/>
              <w:widowControl w:val="0"/>
              <w:rPr>
                <w:rFonts w:ascii="Tahoma" w:hAnsi="Tahoma" w:cs="Tahoma"/>
                <w:sz w:val="13"/>
              </w:rPr>
            </w:pPr>
            <w:r w:rsidRPr="003410C7">
              <w:rPr>
                <w:rFonts w:ascii="Tahoma" w:hAnsi="Tahoma" w:cs="Tahoma"/>
                <w:sz w:val="13"/>
              </w:rPr>
              <w:t>SRV</w:t>
            </w:r>
          </w:p>
        </w:tc>
        <w:tc>
          <w:tcPr>
            <w:tcW w:w="360" w:type="dxa"/>
            <w:tcBorders>
              <w:left w:val="single" w:sz="18" w:space="0" w:color="auto"/>
              <w:bottom w:val="single" w:sz="4" w:space="0" w:color="auto"/>
            </w:tcBorders>
            <w:shd w:val="clear" w:color="auto" w:fill="FABF8F"/>
            <w:vAlign w:val="center"/>
          </w:tcPr>
          <w:p w:rsidR="001A63C6" w:rsidRPr="003410C7" w:rsidRDefault="001A63C6" w:rsidP="001A63C6">
            <w:pPr>
              <w:pStyle w:val="TableText"/>
              <w:widowControl w:val="0"/>
              <w:rPr>
                <w:rFonts w:ascii="Tahoma" w:hAnsi="Tahoma" w:cs="Tahoma"/>
                <w:sz w:val="13"/>
              </w:rPr>
            </w:pPr>
            <w:r w:rsidRPr="003410C7">
              <w:rPr>
                <w:rFonts w:ascii="Tahoma" w:hAnsi="Tahoma" w:cs="Tahoma"/>
                <w:sz w:val="13"/>
              </w:rPr>
              <w:t>1</w:t>
            </w:r>
          </w:p>
        </w:tc>
        <w:tc>
          <w:tcPr>
            <w:tcW w:w="450" w:type="dxa"/>
            <w:tcBorders>
              <w:bottom w:val="single" w:sz="4" w:space="0" w:color="auto"/>
            </w:tcBorders>
            <w:shd w:val="clear" w:color="auto" w:fill="FABF8F"/>
            <w:vAlign w:val="center"/>
          </w:tcPr>
          <w:p w:rsidR="001A63C6" w:rsidRPr="003410C7" w:rsidRDefault="001A63C6" w:rsidP="001A63C6">
            <w:pPr>
              <w:pStyle w:val="TableText"/>
              <w:widowControl w:val="0"/>
              <w:rPr>
                <w:rFonts w:ascii="Tahoma" w:hAnsi="Tahoma" w:cs="Tahoma"/>
                <w:sz w:val="13"/>
              </w:rPr>
            </w:pPr>
            <w:r w:rsidRPr="003410C7">
              <w:rPr>
                <w:rFonts w:ascii="Tahoma" w:hAnsi="Tahoma" w:cs="Tahoma"/>
                <w:sz w:val="13"/>
              </w:rPr>
              <w:t>3</w:t>
            </w:r>
          </w:p>
        </w:tc>
        <w:tc>
          <w:tcPr>
            <w:tcW w:w="450" w:type="dxa"/>
            <w:tcBorders>
              <w:bottom w:val="single" w:sz="4" w:space="0" w:color="auto"/>
            </w:tcBorders>
            <w:shd w:val="clear" w:color="auto" w:fill="FABF8F"/>
            <w:vAlign w:val="center"/>
          </w:tcPr>
          <w:p w:rsidR="001A63C6" w:rsidRPr="003410C7" w:rsidRDefault="001A63C6" w:rsidP="001A63C6">
            <w:pPr>
              <w:pStyle w:val="TableText"/>
              <w:widowControl w:val="0"/>
              <w:rPr>
                <w:rFonts w:ascii="Tahoma" w:hAnsi="Tahoma" w:cs="Tahoma"/>
                <w:sz w:val="13"/>
              </w:rPr>
            </w:pPr>
            <w:r w:rsidRPr="003410C7">
              <w:rPr>
                <w:rFonts w:ascii="Tahoma" w:hAnsi="Tahoma" w:cs="Tahoma"/>
                <w:sz w:val="13"/>
              </w:rPr>
              <w:t>2</w:t>
            </w:r>
          </w:p>
        </w:tc>
        <w:tc>
          <w:tcPr>
            <w:tcW w:w="450" w:type="dxa"/>
            <w:tcBorders>
              <w:bottom w:val="single" w:sz="4" w:space="0" w:color="auto"/>
            </w:tcBorders>
            <w:shd w:val="clear" w:color="auto" w:fill="FABF8F"/>
            <w:vAlign w:val="center"/>
          </w:tcPr>
          <w:p w:rsidR="001A63C6" w:rsidRPr="003410C7" w:rsidRDefault="001A63C6" w:rsidP="001A63C6">
            <w:pPr>
              <w:pStyle w:val="TableText"/>
              <w:widowControl w:val="0"/>
              <w:rPr>
                <w:rFonts w:ascii="Tahoma" w:hAnsi="Tahoma" w:cs="Tahoma"/>
                <w:sz w:val="13"/>
              </w:rPr>
            </w:pPr>
            <w:r w:rsidRPr="003410C7">
              <w:rPr>
                <w:rFonts w:ascii="Tahoma" w:hAnsi="Tahoma" w:cs="Tahoma"/>
                <w:sz w:val="13"/>
              </w:rPr>
              <w:t>2</w:t>
            </w:r>
          </w:p>
        </w:tc>
        <w:tc>
          <w:tcPr>
            <w:tcW w:w="450" w:type="dxa"/>
            <w:tcBorders>
              <w:bottom w:val="single" w:sz="4" w:space="0" w:color="auto"/>
            </w:tcBorders>
            <w:shd w:val="clear" w:color="auto" w:fill="FABF8F"/>
            <w:vAlign w:val="center"/>
          </w:tcPr>
          <w:p w:rsidR="001A63C6" w:rsidRPr="003410C7" w:rsidRDefault="001A63C6" w:rsidP="001A63C6">
            <w:pPr>
              <w:pStyle w:val="TableText"/>
              <w:widowControl w:val="0"/>
              <w:rPr>
                <w:rFonts w:ascii="Tahoma" w:hAnsi="Tahoma" w:cs="Tahoma"/>
                <w:sz w:val="13"/>
              </w:rPr>
            </w:pPr>
            <w:r w:rsidRPr="003410C7">
              <w:rPr>
                <w:rFonts w:ascii="Tahoma" w:hAnsi="Tahoma" w:cs="Tahoma"/>
                <w:sz w:val="13"/>
              </w:rPr>
              <w:t>2</w:t>
            </w:r>
          </w:p>
        </w:tc>
        <w:tc>
          <w:tcPr>
            <w:tcW w:w="450" w:type="dxa"/>
            <w:tcBorders>
              <w:bottom w:val="single" w:sz="4" w:space="0" w:color="auto"/>
            </w:tcBorders>
            <w:shd w:val="clear" w:color="auto" w:fill="FABF8F"/>
            <w:vAlign w:val="center"/>
          </w:tcPr>
          <w:p w:rsidR="001A63C6" w:rsidRPr="003410C7" w:rsidRDefault="001A63C6" w:rsidP="001A63C6">
            <w:pPr>
              <w:pStyle w:val="TableText"/>
              <w:widowControl w:val="0"/>
              <w:rPr>
                <w:rFonts w:ascii="Tahoma" w:hAnsi="Tahoma" w:cs="Tahoma"/>
                <w:sz w:val="13"/>
              </w:rPr>
            </w:pPr>
            <w:r w:rsidRPr="003410C7">
              <w:rPr>
                <w:rFonts w:ascii="Tahoma" w:hAnsi="Tahoma" w:cs="Tahoma"/>
                <w:sz w:val="13"/>
              </w:rPr>
              <w:t>1</w:t>
            </w:r>
          </w:p>
        </w:tc>
        <w:tc>
          <w:tcPr>
            <w:tcW w:w="360" w:type="dxa"/>
            <w:tcBorders>
              <w:bottom w:val="single" w:sz="4" w:space="0" w:color="auto"/>
              <w:right w:val="single" w:sz="18" w:space="0" w:color="auto"/>
            </w:tcBorders>
            <w:shd w:val="clear" w:color="auto" w:fill="FABF8F"/>
            <w:vAlign w:val="center"/>
          </w:tcPr>
          <w:p w:rsidR="001A63C6" w:rsidRPr="003410C7" w:rsidRDefault="001A63C6" w:rsidP="001A63C6">
            <w:pPr>
              <w:pStyle w:val="TableText"/>
              <w:widowControl w:val="0"/>
              <w:rPr>
                <w:rFonts w:ascii="Tahoma" w:hAnsi="Tahoma" w:cs="Tahoma"/>
                <w:sz w:val="13"/>
              </w:rPr>
            </w:pPr>
            <w:r w:rsidRPr="003410C7">
              <w:rPr>
                <w:rFonts w:ascii="Tahoma" w:hAnsi="Tahoma" w:cs="Tahoma"/>
                <w:sz w:val="13"/>
              </w:rPr>
              <w:t>1</w:t>
            </w:r>
          </w:p>
        </w:tc>
        <w:tc>
          <w:tcPr>
            <w:tcW w:w="450" w:type="dxa"/>
            <w:tcBorders>
              <w:left w:val="single" w:sz="18" w:space="0" w:color="auto"/>
              <w:bottom w:val="single" w:sz="4" w:space="0" w:color="auto"/>
            </w:tcBorders>
            <w:shd w:val="clear" w:color="auto" w:fill="FABF8F"/>
            <w:vAlign w:val="center"/>
          </w:tcPr>
          <w:p w:rsidR="001A63C6" w:rsidRPr="003410C7"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3410C7"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1A63C6" w:rsidRPr="003410C7"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3410C7"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1A63C6" w:rsidRPr="003410C7"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3410C7"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tcPr>
          <w:p w:rsidR="001A63C6" w:rsidRPr="003410C7" w:rsidRDefault="001A63C6" w:rsidP="001A63C6">
            <w:pPr>
              <w:pStyle w:val="TableText"/>
              <w:widowControl w:val="0"/>
              <w:rPr>
                <w:rFonts w:ascii="Tahoma" w:hAnsi="Tahoma" w:cs="Tahoma"/>
                <w:sz w:val="13"/>
              </w:rPr>
            </w:pPr>
          </w:p>
        </w:tc>
        <w:tc>
          <w:tcPr>
            <w:tcW w:w="540" w:type="dxa"/>
            <w:tcBorders>
              <w:bottom w:val="single" w:sz="4" w:space="0" w:color="auto"/>
            </w:tcBorders>
            <w:shd w:val="clear" w:color="auto" w:fill="FABF8F"/>
            <w:vAlign w:val="center"/>
          </w:tcPr>
          <w:p w:rsidR="001A63C6" w:rsidRPr="003410C7" w:rsidRDefault="001A63C6" w:rsidP="001A63C6">
            <w:pPr>
              <w:pStyle w:val="TableText"/>
              <w:widowControl w:val="0"/>
              <w:rPr>
                <w:rFonts w:ascii="Tahoma" w:hAnsi="Tahoma" w:cs="Tahoma"/>
                <w:sz w:val="13"/>
              </w:rPr>
            </w:pPr>
          </w:p>
        </w:tc>
      </w:tr>
      <w:tr w:rsidR="001A63C6" w:rsidRPr="003410C7" w:rsidTr="007E466C">
        <w:trPr>
          <w:trHeight w:val="145"/>
        </w:trPr>
        <w:tc>
          <w:tcPr>
            <w:tcW w:w="2734" w:type="dxa"/>
            <w:gridSpan w:val="2"/>
            <w:tcBorders>
              <w:bottom w:val="single" w:sz="4" w:space="0" w:color="auto"/>
            </w:tcBorders>
            <w:shd w:val="clear" w:color="auto" w:fill="auto"/>
            <w:vAlign w:val="center"/>
          </w:tcPr>
          <w:p w:rsidR="001A63C6" w:rsidRPr="003410C7" w:rsidRDefault="001A63C6" w:rsidP="003410C7">
            <w:pPr>
              <w:pStyle w:val="ProductNames"/>
              <w:spacing w:beforeLines="20" w:before="48" w:afterLines="20" w:after="48"/>
              <w:rPr>
                <w:rFonts w:ascii="Tahoma" w:hAnsi="Tahoma" w:cs="Tahoma"/>
                <w:sz w:val="14"/>
              </w:rPr>
            </w:pPr>
            <w:bookmarkStart w:id="415" w:name="_Toc336338059"/>
            <w:bookmarkStart w:id="416" w:name="_Toc352234666"/>
            <w:r w:rsidRPr="003410C7">
              <w:rPr>
                <w:rFonts w:ascii="Tahoma" w:hAnsi="Tahoma" w:cs="Tahoma"/>
                <w:sz w:val="14"/>
              </w:rPr>
              <w:t>SQL Server</w:t>
            </w:r>
            <w:r w:rsidR="003410C7" w:rsidRPr="003410C7">
              <w:rPr>
                <w:rFonts w:ascii="Tahoma" w:eastAsia="Times New Roman" w:hAnsi="Tahoma" w:cs="Tahoma"/>
                <w:color w:val="000000"/>
                <w:sz w:val="18"/>
                <w:szCs w:val="18"/>
                <w:vertAlign w:val="superscript"/>
              </w:rPr>
              <w:t>®</w:t>
            </w:r>
            <w:r w:rsidRPr="003410C7">
              <w:rPr>
                <w:rFonts w:ascii="Tahoma" w:hAnsi="Tahoma" w:cs="Tahoma"/>
                <w:sz w:val="14"/>
              </w:rPr>
              <w:t xml:space="preserve"> 2012 Standard</w:t>
            </w:r>
            <w:bookmarkEnd w:id="415"/>
            <w:bookmarkEnd w:id="416"/>
            <w:r w:rsidRPr="003410C7">
              <w:rPr>
                <w:rFonts w:ascii="Tahoma" w:hAnsi="Tahoma" w:cs="Tahoma"/>
                <w:sz w:val="14"/>
              </w:rPr>
              <w:t xml:space="preserve"> </w:t>
            </w:r>
          </w:p>
        </w:tc>
        <w:tc>
          <w:tcPr>
            <w:tcW w:w="450" w:type="dxa"/>
            <w:tcBorders>
              <w:bottom w:val="single" w:sz="4" w:space="0" w:color="auto"/>
            </w:tcBorders>
            <w:shd w:val="clear" w:color="auto" w:fill="auto"/>
            <w:vAlign w:val="center"/>
          </w:tcPr>
          <w:p w:rsidR="001A63C6" w:rsidRPr="009F17FF" w:rsidRDefault="00FC1A4D" w:rsidP="00BE7AC3">
            <w:pPr>
              <w:pStyle w:val="TableText"/>
              <w:widowControl w:val="0"/>
              <w:rPr>
                <w:rStyle w:val="EndnoteReference"/>
                <w:rFonts w:cs="Tahoma"/>
                <w:color w:val="0000FF"/>
                <w:sz w:val="13"/>
                <w:szCs w:val="13"/>
                <w:u w:val="single"/>
              </w:rPr>
            </w:pPr>
            <w:hyperlink w:anchor="_82_SQL_Server®" w:history="1">
              <w:r w:rsidR="000D77F6" w:rsidRPr="009F17FF">
                <w:rPr>
                  <w:rStyle w:val="Hyperlink"/>
                  <w:b/>
                  <w:sz w:val="13"/>
                  <w:szCs w:val="13"/>
                </w:rPr>
                <w:t>82</w:t>
              </w:r>
            </w:hyperlink>
            <w:hyperlink w:anchor="Srv_90SQLServer2012Standard" w:history="1"/>
          </w:p>
        </w:tc>
        <w:tc>
          <w:tcPr>
            <w:tcW w:w="450" w:type="dxa"/>
            <w:tcBorders>
              <w:bottom w:val="single" w:sz="4" w:space="0" w:color="auto"/>
            </w:tcBorders>
            <w:shd w:val="clear" w:color="auto" w:fill="auto"/>
          </w:tcPr>
          <w:p w:rsidR="001A63C6" w:rsidRPr="003410C7" w:rsidRDefault="001A63C6" w:rsidP="001A63C6">
            <w:pPr>
              <w:pStyle w:val="TableText"/>
              <w:widowControl w:val="0"/>
              <w:spacing w:before="80"/>
              <w:rPr>
                <w:rFonts w:ascii="Tahoma" w:hAnsi="Tahoma" w:cs="Tahoma"/>
                <w:sz w:val="13"/>
              </w:rPr>
            </w:pPr>
            <w:r w:rsidRPr="003410C7">
              <w:rPr>
                <w:rFonts w:ascii="Tahoma" w:hAnsi="Tahoma" w:cs="Tahoma"/>
                <w:sz w:val="13"/>
              </w:rPr>
              <w:t>04/12</w:t>
            </w:r>
          </w:p>
        </w:tc>
        <w:tc>
          <w:tcPr>
            <w:tcW w:w="360" w:type="dxa"/>
            <w:tcBorders>
              <w:bottom w:val="single" w:sz="4" w:space="0" w:color="auto"/>
              <w:right w:val="single" w:sz="18" w:space="0" w:color="auto"/>
            </w:tcBorders>
            <w:shd w:val="clear" w:color="auto" w:fill="auto"/>
            <w:vAlign w:val="center"/>
          </w:tcPr>
          <w:p w:rsidR="001A63C6" w:rsidRPr="003410C7" w:rsidRDefault="001A63C6" w:rsidP="001A63C6">
            <w:pPr>
              <w:pStyle w:val="TableText"/>
              <w:widowControl w:val="0"/>
              <w:rPr>
                <w:rFonts w:ascii="Tahoma" w:hAnsi="Tahoma" w:cs="Tahoma"/>
                <w:sz w:val="13"/>
              </w:rPr>
            </w:pPr>
            <w:r w:rsidRPr="003410C7">
              <w:rPr>
                <w:rFonts w:ascii="Tahoma" w:hAnsi="Tahoma" w:cs="Tahoma"/>
                <w:sz w:val="13"/>
              </w:rPr>
              <w:t>SRV</w:t>
            </w:r>
          </w:p>
        </w:tc>
        <w:tc>
          <w:tcPr>
            <w:tcW w:w="360" w:type="dxa"/>
            <w:tcBorders>
              <w:left w:val="single" w:sz="18" w:space="0" w:color="auto"/>
              <w:bottom w:val="single" w:sz="4" w:space="0" w:color="auto"/>
            </w:tcBorders>
            <w:shd w:val="clear" w:color="auto" w:fill="auto"/>
            <w:vAlign w:val="center"/>
          </w:tcPr>
          <w:p w:rsidR="001A63C6" w:rsidRPr="003410C7" w:rsidRDefault="001A63C6" w:rsidP="001A63C6">
            <w:pPr>
              <w:pStyle w:val="TableText"/>
              <w:widowControl w:val="0"/>
              <w:rPr>
                <w:rFonts w:ascii="Tahoma" w:hAnsi="Tahoma" w:cs="Tahoma"/>
                <w:sz w:val="13"/>
              </w:rPr>
            </w:pPr>
            <w:r w:rsidRPr="003410C7">
              <w:rPr>
                <w:rFonts w:ascii="Tahoma" w:hAnsi="Tahoma" w:cs="Tahoma"/>
                <w:sz w:val="13"/>
              </w:rPr>
              <w:t>15</w:t>
            </w:r>
          </w:p>
        </w:tc>
        <w:tc>
          <w:tcPr>
            <w:tcW w:w="450" w:type="dxa"/>
            <w:tcBorders>
              <w:bottom w:val="single" w:sz="4" w:space="0" w:color="auto"/>
            </w:tcBorders>
            <w:shd w:val="clear" w:color="auto" w:fill="auto"/>
            <w:vAlign w:val="center"/>
          </w:tcPr>
          <w:p w:rsidR="001A63C6" w:rsidRPr="003410C7" w:rsidRDefault="001A63C6" w:rsidP="001A63C6">
            <w:pPr>
              <w:pStyle w:val="TableText"/>
              <w:widowControl w:val="0"/>
              <w:rPr>
                <w:rFonts w:ascii="Tahoma" w:hAnsi="Tahoma" w:cs="Tahoma"/>
                <w:sz w:val="13"/>
              </w:rPr>
            </w:pPr>
            <w:r w:rsidRPr="003410C7">
              <w:rPr>
                <w:rFonts w:ascii="Tahoma" w:hAnsi="Tahoma" w:cs="Tahoma"/>
                <w:sz w:val="13"/>
              </w:rPr>
              <w:t>38</w:t>
            </w:r>
          </w:p>
        </w:tc>
        <w:tc>
          <w:tcPr>
            <w:tcW w:w="450" w:type="dxa"/>
            <w:tcBorders>
              <w:bottom w:val="single" w:sz="4" w:space="0" w:color="auto"/>
            </w:tcBorders>
            <w:shd w:val="clear" w:color="auto" w:fill="auto"/>
            <w:vAlign w:val="center"/>
          </w:tcPr>
          <w:p w:rsidR="001A63C6" w:rsidRPr="003410C7" w:rsidRDefault="001A63C6" w:rsidP="001A63C6">
            <w:pPr>
              <w:pStyle w:val="TableText"/>
              <w:widowControl w:val="0"/>
              <w:rPr>
                <w:rFonts w:ascii="Tahoma" w:hAnsi="Tahoma" w:cs="Tahoma"/>
                <w:sz w:val="13"/>
              </w:rPr>
            </w:pPr>
            <w:r w:rsidRPr="003410C7">
              <w:rPr>
                <w:rFonts w:ascii="Tahoma" w:hAnsi="Tahoma" w:cs="Tahoma"/>
                <w:sz w:val="13"/>
              </w:rPr>
              <w:t>30</w:t>
            </w:r>
          </w:p>
        </w:tc>
        <w:tc>
          <w:tcPr>
            <w:tcW w:w="450" w:type="dxa"/>
            <w:tcBorders>
              <w:bottom w:val="single" w:sz="4" w:space="0" w:color="auto"/>
            </w:tcBorders>
            <w:shd w:val="clear" w:color="auto" w:fill="auto"/>
            <w:vAlign w:val="center"/>
          </w:tcPr>
          <w:p w:rsidR="001A63C6" w:rsidRPr="003410C7" w:rsidRDefault="001A63C6" w:rsidP="001A63C6">
            <w:pPr>
              <w:pStyle w:val="TableText"/>
              <w:widowControl w:val="0"/>
              <w:rPr>
                <w:rFonts w:ascii="Tahoma" w:hAnsi="Tahoma" w:cs="Tahoma"/>
                <w:sz w:val="13"/>
              </w:rPr>
            </w:pPr>
            <w:r w:rsidRPr="003410C7">
              <w:rPr>
                <w:rFonts w:ascii="Tahoma" w:hAnsi="Tahoma" w:cs="Tahoma"/>
                <w:sz w:val="13"/>
              </w:rPr>
              <w:t>23</w:t>
            </w:r>
          </w:p>
        </w:tc>
        <w:tc>
          <w:tcPr>
            <w:tcW w:w="450" w:type="dxa"/>
            <w:tcBorders>
              <w:bottom w:val="single" w:sz="4" w:space="0" w:color="auto"/>
            </w:tcBorders>
            <w:shd w:val="clear" w:color="auto" w:fill="auto"/>
            <w:vAlign w:val="center"/>
          </w:tcPr>
          <w:p w:rsidR="001A63C6" w:rsidRPr="003410C7" w:rsidRDefault="001A63C6" w:rsidP="001A63C6">
            <w:pPr>
              <w:pStyle w:val="TableText"/>
              <w:widowControl w:val="0"/>
              <w:rPr>
                <w:rFonts w:ascii="Tahoma" w:hAnsi="Tahoma" w:cs="Tahoma"/>
                <w:sz w:val="13"/>
              </w:rPr>
            </w:pPr>
            <w:r w:rsidRPr="003410C7">
              <w:rPr>
                <w:rFonts w:ascii="Tahoma" w:hAnsi="Tahoma" w:cs="Tahoma"/>
                <w:sz w:val="13"/>
              </w:rPr>
              <w:t>23</w:t>
            </w:r>
          </w:p>
        </w:tc>
        <w:tc>
          <w:tcPr>
            <w:tcW w:w="450" w:type="dxa"/>
            <w:tcBorders>
              <w:bottom w:val="single" w:sz="4" w:space="0" w:color="auto"/>
            </w:tcBorders>
            <w:shd w:val="clear" w:color="auto" w:fill="auto"/>
            <w:vAlign w:val="center"/>
          </w:tcPr>
          <w:p w:rsidR="001A63C6" w:rsidRPr="003410C7" w:rsidRDefault="001A63C6" w:rsidP="001A63C6">
            <w:pPr>
              <w:pStyle w:val="TableText"/>
              <w:widowControl w:val="0"/>
              <w:rPr>
                <w:rFonts w:ascii="Tahoma" w:hAnsi="Tahoma" w:cs="Tahoma"/>
                <w:sz w:val="13"/>
              </w:rPr>
            </w:pPr>
            <w:r w:rsidRPr="003410C7">
              <w:rPr>
                <w:rFonts w:ascii="Tahoma" w:hAnsi="Tahoma" w:cs="Tahoma"/>
                <w:sz w:val="13"/>
              </w:rPr>
              <w:t>15</w:t>
            </w:r>
          </w:p>
        </w:tc>
        <w:tc>
          <w:tcPr>
            <w:tcW w:w="360" w:type="dxa"/>
            <w:tcBorders>
              <w:bottom w:val="single" w:sz="4" w:space="0" w:color="auto"/>
              <w:right w:val="single" w:sz="18" w:space="0" w:color="auto"/>
            </w:tcBorders>
            <w:shd w:val="clear" w:color="auto" w:fill="auto"/>
            <w:vAlign w:val="center"/>
          </w:tcPr>
          <w:p w:rsidR="001A63C6" w:rsidRPr="003410C7" w:rsidRDefault="001A63C6" w:rsidP="001A63C6">
            <w:pPr>
              <w:pStyle w:val="TableText"/>
              <w:widowControl w:val="0"/>
              <w:rPr>
                <w:rFonts w:ascii="Tahoma" w:hAnsi="Tahoma" w:cs="Tahoma"/>
                <w:sz w:val="13"/>
              </w:rPr>
            </w:pPr>
            <w:r w:rsidRPr="003410C7">
              <w:rPr>
                <w:rFonts w:ascii="Tahoma" w:hAnsi="Tahoma" w:cs="Tahoma"/>
                <w:sz w:val="13"/>
              </w:rPr>
              <w:t>8</w:t>
            </w:r>
          </w:p>
        </w:tc>
        <w:tc>
          <w:tcPr>
            <w:tcW w:w="450" w:type="dxa"/>
            <w:tcBorders>
              <w:left w:val="single" w:sz="18" w:space="0" w:color="auto"/>
              <w:bottom w:val="single" w:sz="4" w:space="0" w:color="auto"/>
            </w:tcBorders>
            <w:shd w:val="clear" w:color="auto" w:fill="auto"/>
            <w:vAlign w:val="center"/>
          </w:tcPr>
          <w:p w:rsidR="001A63C6" w:rsidRPr="003410C7" w:rsidRDefault="001A63C6" w:rsidP="001A63C6">
            <w:pPr>
              <w:pStyle w:val="TableText"/>
              <w:widowControl w:val="0"/>
              <w:rPr>
                <w:rFonts w:ascii="Tahoma" w:hAnsi="Tahoma" w:cs="Tahoma"/>
                <w:sz w:val="13"/>
              </w:rPr>
            </w:pPr>
            <w:r w:rsidRPr="003410C7">
              <w:rPr>
                <w:rFonts w:ascii="Tahoma" w:hAnsi="Tahoma" w:cs="Tahoma"/>
                <w:sz w:val="13"/>
              </w:rPr>
              <w:t>15</w:t>
            </w:r>
          </w:p>
        </w:tc>
        <w:tc>
          <w:tcPr>
            <w:tcW w:w="450" w:type="dxa"/>
            <w:tcBorders>
              <w:bottom w:val="single" w:sz="4" w:space="0" w:color="auto"/>
            </w:tcBorders>
            <w:shd w:val="clear" w:color="auto" w:fill="auto"/>
            <w:vAlign w:val="center"/>
          </w:tcPr>
          <w:p w:rsidR="001A63C6" w:rsidRPr="003410C7" w:rsidRDefault="001A63C6" w:rsidP="001A63C6">
            <w:pPr>
              <w:pStyle w:val="TableText"/>
              <w:widowControl w:val="0"/>
              <w:rPr>
                <w:rFonts w:ascii="Tahoma" w:hAnsi="Tahoma" w:cs="Tahoma"/>
                <w:sz w:val="13"/>
              </w:rPr>
            </w:pPr>
            <w:r w:rsidRPr="003410C7">
              <w:rPr>
                <w:rFonts w:ascii="Tahoma" w:hAnsi="Tahoma" w:cs="Tahoma"/>
                <w:sz w:val="13"/>
              </w:rPr>
              <w:t>30</w:t>
            </w:r>
          </w:p>
        </w:tc>
        <w:tc>
          <w:tcPr>
            <w:tcW w:w="450" w:type="dxa"/>
            <w:tcBorders>
              <w:bottom w:val="single" w:sz="4" w:space="0" w:color="auto"/>
              <w:right w:val="single" w:sz="18" w:space="0" w:color="auto"/>
            </w:tcBorders>
            <w:shd w:val="clear" w:color="auto" w:fill="auto"/>
            <w:vAlign w:val="center"/>
          </w:tcPr>
          <w:p w:rsidR="001A63C6" w:rsidRPr="003410C7" w:rsidRDefault="001A63C6" w:rsidP="001A63C6">
            <w:pPr>
              <w:pStyle w:val="TableText"/>
              <w:widowControl w:val="0"/>
              <w:rPr>
                <w:rFonts w:ascii="Tahoma" w:hAnsi="Tahoma" w:cs="Tahoma"/>
                <w:sz w:val="13"/>
              </w:rPr>
            </w:pPr>
            <w:r w:rsidRPr="003410C7">
              <w:rPr>
                <w:rFonts w:ascii="Tahoma" w:hAnsi="Tahoma" w:cs="Tahoma"/>
                <w:sz w:val="13"/>
              </w:rPr>
              <w:t>15</w:t>
            </w:r>
          </w:p>
        </w:tc>
        <w:tc>
          <w:tcPr>
            <w:tcW w:w="450" w:type="dxa"/>
            <w:tcBorders>
              <w:left w:val="single" w:sz="18" w:space="0" w:color="auto"/>
              <w:bottom w:val="single" w:sz="4" w:space="0" w:color="auto"/>
            </w:tcBorders>
            <w:shd w:val="clear" w:color="auto" w:fill="auto"/>
            <w:vAlign w:val="center"/>
          </w:tcPr>
          <w:p w:rsidR="001A63C6" w:rsidRPr="003410C7" w:rsidRDefault="001A63C6" w:rsidP="001A63C6">
            <w:pPr>
              <w:pStyle w:val="TableText"/>
              <w:widowControl w:val="0"/>
              <w:rPr>
                <w:rFonts w:ascii="Tahoma" w:hAnsi="Tahoma" w:cs="Tahoma"/>
                <w:sz w:val="13"/>
              </w:rPr>
            </w:pPr>
            <w:r w:rsidRPr="003410C7">
              <w:rPr>
                <w:rFonts w:ascii="Tahoma" w:hAnsi="Tahoma" w:cs="Tahoma"/>
                <w:sz w:val="13"/>
              </w:rPr>
              <w:t>15</w:t>
            </w:r>
          </w:p>
        </w:tc>
        <w:tc>
          <w:tcPr>
            <w:tcW w:w="450" w:type="dxa"/>
            <w:tcBorders>
              <w:bottom w:val="single" w:sz="4" w:space="0" w:color="auto"/>
              <w:right w:val="single" w:sz="18" w:space="0" w:color="auto"/>
            </w:tcBorders>
            <w:shd w:val="clear" w:color="auto" w:fill="auto"/>
            <w:vAlign w:val="center"/>
          </w:tcPr>
          <w:p w:rsidR="001A63C6" w:rsidRPr="003410C7" w:rsidRDefault="001A63C6" w:rsidP="001A63C6">
            <w:pPr>
              <w:pStyle w:val="TableText"/>
              <w:widowControl w:val="0"/>
              <w:rPr>
                <w:rFonts w:ascii="Tahoma" w:hAnsi="Tahoma" w:cs="Tahoma"/>
                <w:sz w:val="13"/>
              </w:rPr>
            </w:pPr>
            <w:r w:rsidRPr="003410C7">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rsidR="001A63C6" w:rsidRPr="003410C7" w:rsidRDefault="001A63C6" w:rsidP="001A63C6">
            <w:pPr>
              <w:pStyle w:val="TableText"/>
              <w:widowControl w:val="0"/>
              <w:rPr>
                <w:rFonts w:ascii="Tahoma" w:hAnsi="Tahoma" w:cs="Tahoma"/>
                <w:sz w:val="13"/>
              </w:rPr>
            </w:pPr>
            <w:r w:rsidRPr="003410C7">
              <w:rPr>
                <w:rFonts w:ascii="Tahoma" w:hAnsi="Tahoma" w:cs="Tahoma"/>
                <w:sz w:val="13"/>
              </w:rPr>
              <w:t>P</w:t>
            </w:r>
          </w:p>
        </w:tc>
        <w:tc>
          <w:tcPr>
            <w:tcW w:w="450" w:type="dxa"/>
            <w:tcBorders>
              <w:bottom w:val="single" w:sz="4" w:space="0" w:color="auto"/>
            </w:tcBorders>
            <w:shd w:val="clear" w:color="auto" w:fill="auto"/>
          </w:tcPr>
          <w:p w:rsidR="001A63C6" w:rsidRPr="003410C7" w:rsidRDefault="001A63C6" w:rsidP="001A63C6">
            <w:pPr>
              <w:pStyle w:val="TableText"/>
              <w:widowControl w:val="0"/>
              <w:rPr>
                <w:rFonts w:ascii="Tahoma" w:hAnsi="Tahoma" w:cs="Tahoma"/>
                <w:sz w:val="13"/>
              </w:rPr>
            </w:pPr>
            <w:r w:rsidRPr="003410C7">
              <w:rPr>
                <w:rFonts w:ascii="Tahoma" w:hAnsi="Tahoma" w:cs="Tahoma"/>
                <w:sz w:val="13"/>
              </w:rPr>
              <w:t>A</w:t>
            </w:r>
          </w:p>
        </w:tc>
        <w:tc>
          <w:tcPr>
            <w:tcW w:w="540" w:type="dxa"/>
            <w:tcBorders>
              <w:bottom w:val="single" w:sz="4" w:space="0" w:color="auto"/>
            </w:tcBorders>
            <w:shd w:val="clear" w:color="auto" w:fill="auto"/>
            <w:vAlign w:val="center"/>
          </w:tcPr>
          <w:p w:rsidR="001A63C6" w:rsidRPr="003410C7" w:rsidRDefault="001A63C6" w:rsidP="001A63C6">
            <w:pPr>
              <w:pStyle w:val="TableText"/>
              <w:widowControl w:val="0"/>
              <w:rPr>
                <w:rFonts w:ascii="Tahoma" w:hAnsi="Tahoma" w:cs="Tahoma"/>
                <w:sz w:val="13"/>
              </w:rPr>
            </w:pPr>
          </w:p>
        </w:tc>
      </w:tr>
      <w:tr w:rsidR="00B33D0E" w:rsidRPr="003410C7" w:rsidTr="006B1F3F">
        <w:trPr>
          <w:trHeight w:val="145"/>
        </w:trPr>
        <w:tc>
          <w:tcPr>
            <w:tcW w:w="2734" w:type="dxa"/>
            <w:gridSpan w:val="2"/>
            <w:tcBorders>
              <w:bottom w:val="single" w:sz="4" w:space="0" w:color="auto"/>
            </w:tcBorders>
            <w:shd w:val="clear" w:color="auto" w:fill="FABF8F"/>
            <w:vAlign w:val="center"/>
          </w:tcPr>
          <w:p w:rsidR="001A63C6" w:rsidRPr="00451078" w:rsidRDefault="001A63C6" w:rsidP="00F57878">
            <w:pPr>
              <w:pStyle w:val="ProductNames"/>
              <w:spacing w:beforeLines="20" w:before="48" w:afterLines="20" w:after="48"/>
              <w:rPr>
                <w:rFonts w:ascii="Tahoma" w:hAnsi="Tahoma" w:cs="Tahoma"/>
                <w:sz w:val="14"/>
                <w:lang w:val="it-IT"/>
              </w:rPr>
            </w:pPr>
            <w:bookmarkStart w:id="417" w:name="_Toc336338060"/>
            <w:bookmarkStart w:id="418" w:name="_Toc352234667"/>
            <w:r w:rsidRPr="00451078">
              <w:rPr>
                <w:rFonts w:ascii="Tahoma" w:hAnsi="Tahoma" w:cs="Tahoma"/>
                <w:sz w:val="14"/>
                <w:lang w:val="it-IT"/>
              </w:rPr>
              <w:t>SQL Server</w:t>
            </w:r>
            <w:r w:rsidR="003410C7" w:rsidRPr="00451078">
              <w:rPr>
                <w:rFonts w:ascii="Tahoma" w:eastAsia="Times New Roman" w:hAnsi="Tahoma" w:cs="Tahoma"/>
                <w:color w:val="000000"/>
                <w:sz w:val="18"/>
                <w:szCs w:val="18"/>
                <w:vertAlign w:val="superscript"/>
                <w:lang w:val="it-IT"/>
              </w:rPr>
              <w:t>®</w:t>
            </w:r>
            <w:r w:rsidRPr="00451078">
              <w:rPr>
                <w:rFonts w:ascii="Tahoma" w:hAnsi="Tahoma" w:cs="Tahoma"/>
                <w:sz w:val="14"/>
                <w:lang w:val="it-IT"/>
              </w:rPr>
              <w:t xml:space="preserve"> 2012 Standard Core (2</w:t>
            </w:r>
            <w:r w:rsidR="00F57878" w:rsidRPr="00451078">
              <w:rPr>
                <w:rFonts w:ascii="Tahoma" w:hAnsi="Tahoma" w:cs="Tahoma"/>
                <w:sz w:val="14"/>
                <w:lang w:val="it-IT"/>
              </w:rPr>
              <w:t> </w:t>
            </w:r>
            <w:r w:rsidRPr="00451078">
              <w:rPr>
                <w:rFonts w:ascii="Tahoma" w:hAnsi="Tahoma" w:cs="Tahoma"/>
                <w:sz w:val="14"/>
                <w:lang w:val="it-IT"/>
              </w:rPr>
              <w:t>Licenze Core per confezione)</w:t>
            </w:r>
            <w:bookmarkEnd w:id="417"/>
            <w:bookmarkEnd w:id="418"/>
          </w:p>
        </w:tc>
        <w:tc>
          <w:tcPr>
            <w:tcW w:w="450" w:type="dxa"/>
            <w:tcBorders>
              <w:bottom w:val="single" w:sz="4" w:space="0" w:color="auto"/>
            </w:tcBorders>
            <w:shd w:val="clear" w:color="auto" w:fill="FABF8F"/>
            <w:vAlign w:val="center"/>
          </w:tcPr>
          <w:p w:rsidR="001A63C6" w:rsidRPr="009F17FF" w:rsidRDefault="00FC1A4D" w:rsidP="00BE7AC3">
            <w:pPr>
              <w:pStyle w:val="TableText"/>
              <w:widowControl w:val="0"/>
              <w:rPr>
                <w:rStyle w:val="EndnoteReference"/>
                <w:rFonts w:cs="Tahoma"/>
                <w:color w:val="000000"/>
                <w:sz w:val="13"/>
                <w:szCs w:val="13"/>
                <w:u w:val="single"/>
              </w:rPr>
            </w:pPr>
            <w:hyperlink w:anchor="_85_83_SQL" w:history="1">
              <w:r w:rsidR="000D77F6" w:rsidRPr="009F17FF">
                <w:rPr>
                  <w:rStyle w:val="Hyperlink"/>
                  <w:sz w:val="13"/>
                  <w:szCs w:val="13"/>
                </w:rPr>
                <w:t>83</w:t>
              </w:r>
            </w:hyperlink>
            <w:hyperlink w:anchor="Srv_91SQLServer2012StandardCore" w:history="1"/>
          </w:p>
        </w:tc>
        <w:tc>
          <w:tcPr>
            <w:tcW w:w="450" w:type="dxa"/>
            <w:tcBorders>
              <w:bottom w:val="single" w:sz="4" w:space="0" w:color="auto"/>
            </w:tcBorders>
            <w:shd w:val="clear" w:color="auto" w:fill="FABF8F"/>
          </w:tcPr>
          <w:p w:rsidR="001A63C6" w:rsidRPr="003410C7" w:rsidRDefault="001A63C6" w:rsidP="001A63C6">
            <w:pPr>
              <w:pStyle w:val="TableText"/>
              <w:widowControl w:val="0"/>
              <w:spacing w:before="80"/>
              <w:rPr>
                <w:rFonts w:ascii="Tahoma" w:hAnsi="Tahoma" w:cs="Tahoma"/>
                <w:sz w:val="13"/>
              </w:rPr>
            </w:pPr>
            <w:r w:rsidRPr="003410C7">
              <w:rPr>
                <w:rFonts w:ascii="Tahoma" w:hAnsi="Tahoma" w:cs="Tahoma"/>
                <w:sz w:val="13"/>
              </w:rPr>
              <w:t>04/12</w:t>
            </w:r>
          </w:p>
        </w:tc>
        <w:tc>
          <w:tcPr>
            <w:tcW w:w="360" w:type="dxa"/>
            <w:tcBorders>
              <w:bottom w:val="single" w:sz="4" w:space="0" w:color="auto"/>
              <w:right w:val="single" w:sz="18" w:space="0" w:color="auto"/>
            </w:tcBorders>
            <w:shd w:val="clear" w:color="auto" w:fill="FABF8F"/>
            <w:vAlign w:val="center"/>
          </w:tcPr>
          <w:p w:rsidR="001A63C6" w:rsidRPr="003410C7" w:rsidRDefault="001A63C6" w:rsidP="001A63C6">
            <w:pPr>
              <w:pStyle w:val="TableText"/>
              <w:widowControl w:val="0"/>
              <w:rPr>
                <w:rFonts w:ascii="Tahoma" w:hAnsi="Tahoma" w:cs="Tahoma"/>
                <w:sz w:val="13"/>
              </w:rPr>
            </w:pPr>
            <w:r w:rsidRPr="003410C7">
              <w:rPr>
                <w:rFonts w:ascii="Tahoma" w:hAnsi="Tahoma" w:cs="Tahoma"/>
                <w:sz w:val="13"/>
              </w:rPr>
              <w:t>SRV</w:t>
            </w:r>
          </w:p>
        </w:tc>
        <w:tc>
          <w:tcPr>
            <w:tcW w:w="360" w:type="dxa"/>
            <w:tcBorders>
              <w:left w:val="single" w:sz="18" w:space="0" w:color="auto"/>
              <w:bottom w:val="single" w:sz="4" w:space="0" w:color="auto"/>
            </w:tcBorders>
            <w:shd w:val="clear" w:color="auto" w:fill="FABF8F"/>
            <w:vAlign w:val="center"/>
          </w:tcPr>
          <w:p w:rsidR="001A63C6" w:rsidRPr="003410C7" w:rsidRDefault="001A63C6" w:rsidP="001A63C6">
            <w:pPr>
              <w:pStyle w:val="TableText"/>
              <w:widowControl w:val="0"/>
              <w:rPr>
                <w:rFonts w:ascii="Tahoma" w:hAnsi="Tahoma" w:cs="Tahoma"/>
                <w:sz w:val="13"/>
              </w:rPr>
            </w:pPr>
            <w:r w:rsidRPr="003410C7">
              <w:rPr>
                <w:rFonts w:ascii="Tahoma" w:hAnsi="Tahoma" w:cs="Tahoma"/>
                <w:sz w:val="13"/>
              </w:rPr>
              <w:t>50</w:t>
            </w:r>
          </w:p>
        </w:tc>
        <w:tc>
          <w:tcPr>
            <w:tcW w:w="450" w:type="dxa"/>
            <w:tcBorders>
              <w:bottom w:val="single" w:sz="4" w:space="0" w:color="auto"/>
            </w:tcBorders>
            <w:shd w:val="clear" w:color="auto" w:fill="FABF8F"/>
            <w:vAlign w:val="center"/>
          </w:tcPr>
          <w:p w:rsidR="001A63C6" w:rsidRPr="003410C7" w:rsidRDefault="001A63C6" w:rsidP="001A63C6">
            <w:pPr>
              <w:pStyle w:val="TableText"/>
              <w:widowControl w:val="0"/>
              <w:rPr>
                <w:rFonts w:ascii="Tahoma" w:hAnsi="Tahoma" w:cs="Tahoma"/>
                <w:sz w:val="13"/>
              </w:rPr>
            </w:pPr>
            <w:r w:rsidRPr="003410C7">
              <w:rPr>
                <w:rFonts w:ascii="Tahoma" w:hAnsi="Tahoma" w:cs="Tahoma"/>
                <w:sz w:val="13"/>
              </w:rPr>
              <w:t>125</w:t>
            </w:r>
          </w:p>
        </w:tc>
        <w:tc>
          <w:tcPr>
            <w:tcW w:w="450" w:type="dxa"/>
            <w:tcBorders>
              <w:bottom w:val="single" w:sz="4" w:space="0" w:color="auto"/>
            </w:tcBorders>
            <w:shd w:val="clear" w:color="auto" w:fill="FABF8F"/>
            <w:vAlign w:val="center"/>
          </w:tcPr>
          <w:p w:rsidR="001A63C6" w:rsidRPr="003410C7" w:rsidRDefault="001A63C6" w:rsidP="001A63C6">
            <w:pPr>
              <w:pStyle w:val="TableText"/>
              <w:widowControl w:val="0"/>
              <w:rPr>
                <w:rFonts w:ascii="Tahoma" w:hAnsi="Tahoma" w:cs="Tahoma"/>
                <w:sz w:val="13"/>
              </w:rPr>
            </w:pPr>
            <w:r w:rsidRPr="003410C7">
              <w:rPr>
                <w:rFonts w:ascii="Tahoma" w:hAnsi="Tahoma" w:cs="Tahoma"/>
                <w:sz w:val="13"/>
              </w:rPr>
              <w:t>100</w:t>
            </w:r>
          </w:p>
        </w:tc>
        <w:tc>
          <w:tcPr>
            <w:tcW w:w="450" w:type="dxa"/>
            <w:tcBorders>
              <w:bottom w:val="single" w:sz="4" w:space="0" w:color="auto"/>
            </w:tcBorders>
            <w:shd w:val="clear" w:color="auto" w:fill="FABF8F"/>
            <w:vAlign w:val="center"/>
          </w:tcPr>
          <w:p w:rsidR="001A63C6" w:rsidRPr="003410C7" w:rsidRDefault="001A63C6" w:rsidP="001A63C6">
            <w:pPr>
              <w:pStyle w:val="TableText"/>
              <w:widowControl w:val="0"/>
              <w:rPr>
                <w:rFonts w:ascii="Tahoma" w:hAnsi="Tahoma" w:cs="Tahoma"/>
                <w:sz w:val="13"/>
              </w:rPr>
            </w:pPr>
            <w:r w:rsidRPr="003410C7">
              <w:rPr>
                <w:rFonts w:ascii="Tahoma" w:hAnsi="Tahoma" w:cs="Tahoma"/>
                <w:sz w:val="13"/>
              </w:rPr>
              <w:t>75</w:t>
            </w:r>
          </w:p>
        </w:tc>
        <w:tc>
          <w:tcPr>
            <w:tcW w:w="450" w:type="dxa"/>
            <w:tcBorders>
              <w:bottom w:val="single" w:sz="4" w:space="0" w:color="auto"/>
            </w:tcBorders>
            <w:shd w:val="clear" w:color="auto" w:fill="FABF8F"/>
            <w:vAlign w:val="center"/>
          </w:tcPr>
          <w:p w:rsidR="001A63C6" w:rsidRPr="003410C7" w:rsidRDefault="001A63C6" w:rsidP="001A63C6">
            <w:pPr>
              <w:pStyle w:val="TableText"/>
              <w:widowControl w:val="0"/>
              <w:rPr>
                <w:rFonts w:ascii="Tahoma" w:hAnsi="Tahoma" w:cs="Tahoma"/>
                <w:sz w:val="13"/>
              </w:rPr>
            </w:pPr>
            <w:r w:rsidRPr="003410C7">
              <w:rPr>
                <w:rFonts w:ascii="Tahoma" w:hAnsi="Tahoma" w:cs="Tahoma"/>
                <w:sz w:val="13"/>
              </w:rPr>
              <w:t>75</w:t>
            </w:r>
          </w:p>
        </w:tc>
        <w:tc>
          <w:tcPr>
            <w:tcW w:w="450" w:type="dxa"/>
            <w:tcBorders>
              <w:bottom w:val="single" w:sz="4" w:space="0" w:color="auto"/>
            </w:tcBorders>
            <w:shd w:val="clear" w:color="auto" w:fill="FABF8F"/>
            <w:vAlign w:val="center"/>
          </w:tcPr>
          <w:p w:rsidR="001A63C6" w:rsidRPr="003410C7" w:rsidRDefault="001A63C6" w:rsidP="001A63C6">
            <w:pPr>
              <w:pStyle w:val="TableText"/>
              <w:widowControl w:val="0"/>
              <w:rPr>
                <w:rFonts w:ascii="Tahoma" w:hAnsi="Tahoma" w:cs="Tahoma"/>
                <w:sz w:val="13"/>
              </w:rPr>
            </w:pPr>
            <w:r w:rsidRPr="003410C7">
              <w:rPr>
                <w:rFonts w:ascii="Tahoma" w:hAnsi="Tahoma" w:cs="Tahoma"/>
                <w:sz w:val="13"/>
              </w:rPr>
              <w:t>50</w:t>
            </w:r>
          </w:p>
        </w:tc>
        <w:tc>
          <w:tcPr>
            <w:tcW w:w="360" w:type="dxa"/>
            <w:tcBorders>
              <w:bottom w:val="single" w:sz="4" w:space="0" w:color="auto"/>
              <w:right w:val="single" w:sz="18" w:space="0" w:color="auto"/>
            </w:tcBorders>
            <w:shd w:val="clear" w:color="auto" w:fill="FABF8F"/>
            <w:vAlign w:val="center"/>
          </w:tcPr>
          <w:p w:rsidR="001A63C6" w:rsidRPr="003410C7" w:rsidRDefault="001A63C6" w:rsidP="001A63C6">
            <w:pPr>
              <w:pStyle w:val="TableText"/>
              <w:widowControl w:val="0"/>
              <w:rPr>
                <w:rFonts w:ascii="Tahoma" w:hAnsi="Tahoma" w:cs="Tahoma"/>
                <w:sz w:val="13"/>
              </w:rPr>
            </w:pPr>
            <w:r w:rsidRPr="003410C7">
              <w:rPr>
                <w:rFonts w:ascii="Tahoma" w:hAnsi="Tahoma" w:cs="Tahoma"/>
                <w:sz w:val="13"/>
              </w:rPr>
              <w:t>25</w:t>
            </w:r>
          </w:p>
        </w:tc>
        <w:tc>
          <w:tcPr>
            <w:tcW w:w="450" w:type="dxa"/>
            <w:tcBorders>
              <w:left w:val="single" w:sz="18" w:space="0" w:color="auto"/>
              <w:bottom w:val="single" w:sz="4" w:space="0" w:color="auto"/>
            </w:tcBorders>
            <w:shd w:val="clear" w:color="auto" w:fill="FABF8F"/>
            <w:vAlign w:val="center"/>
          </w:tcPr>
          <w:p w:rsidR="001A63C6" w:rsidRPr="003410C7" w:rsidRDefault="001A63C6" w:rsidP="001A63C6">
            <w:pPr>
              <w:pStyle w:val="TableText"/>
              <w:widowControl w:val="0"/>
              <w:rPr>
                <w:rFonts w:ascii="Tahoma" w:hAnsi="Tahoma" w:cs="Tahoma"/>
                <w:sz w:val="13"/>
              </w:rPr>
            </w:pPr>
            <w:r w:rsidRPr="003410C7">
              <w:rPr>
                <w:rFonts w:ascii="Tahoma" w:hAnsi="Tahoma" w:cs="Tahoma"/>
                <w:sz w:val="13"/>
              </w:rPr>
              <w:t>50</w:t>
            </w:r>
          </w:p>
        </w:tc>
        <w:tc>
          <w:tcPr>
            <w:tcW w:w="450" w:type="dxa"/>
            <w:tcBorders>
              <w:bottom w:val="single" w:sz="4" w:space="0" w:color="auto"/>
            </w:tcBorders>
            <w:shd w:val="clear" w:color="auto" w:fill="FABF8F"/>
            <w:vAlign w:val="center"/>
          </w:tcPr>
          <w:p w:rsidR="001A63C6" w:rsidRPr="003410C7" w:rsidRDefault="001A63C6" w:rsidP="001A63C6">
            <w:pPr>
              <w:pStyle w:val="TableText"/>
              <w:widowControl w:val="0"/>
              <w:rPr>
                <w:rFonts w:ascii="Tahoma" w:hAnsi="Tahoma" w:cs="Tahoma"/>
                <w:sz w:val="13"/>
              </w:rPr>
            </w:pPr>
            <w:r w:rsidRPr="003410C7">
              <w:rPr>
                <w:rFonts w:ascii="Tahoma" w:hAnsi="Tahoma" w:cs="Tahoma"/>
                <w:sz w:val="13"/>
              </w:rPr>
              <w:t>100</w:t>
            </w:r>
          </w:p>
        </w:tc>
        <w:tc>
          <w:tcPr>
            <w:tcW w:w="450" w:type="dxa"/>
            <w:tcBorders>
              <w:bottom w:val="single" w:sz="4" w:space="0" w:color="auto"/>
              <w:right w:val="single" w:sz="18" w:space="0" w:color="auto"/>
            </w:tcBorders>
            <w:shd w:val="clear" w:color="auto" w:fill="FABF8F"/>
            <w:vAlign w:val="center"/>
          </w:tcPr>
          <w:p w:rsidR="001A63C6" w:rsidRPr="003410C7" w:rsidRDefault="001A63C6" w:rsidP="001A63C6">
            <w:pPr>
              <w:pStyle w:val="TableText"/>
              <w:widowControl w:val="0"/>
              <w:rPr>
                <w:rFonts w:ascii="Tahoma" w:hAnsi="Tahoma" w:cs="Tahoma"/>
                <w:sz w:val="13"/>
              </w:rPr>
            </w:pPr>
            <w:r w:rsidRPr="003410C7">
              <w:rPr>
                <w:rFonts w:ascii="Tahoma" w:hAnsi="Tahoma" w:cs="Tahoma"/>
                <w:sz w:val="13"/>
              </w:rPr>
              <w:t>50</w:t>
            </w:r>
          </w:p>
        </w:tc>
        <w:tc>
          <w:tcPr>
            <w:tcW w:w="450" w:type="dxa"/>
            <w:tcBorders>
              <w:left w:val="single" w:sz="18" w:space="0" w:color="auto"/>
              <w:bottom w:val="single" w:sz="4" w:space="0" w:color="auto"/>
            </w:tcBorders>
            <w:shd w:val="clear" w:color="auto" w:fill="FABF8F"/>
            <w:vAlign w:val="center"/>
          </w:tcPr>
          <w:p w:rsidR="001A63C6" w:rsidRPr="003410C7" w:rsidRDefault="001A63C6" w:rsidP="001A63C6">
            <w:pPr>
              <w:pStyle w:val="TableText"/>
              <w:widowControl w:val="0"/>
              <w:rPr>
                <w:rFonts w:ascii="Tahoma" w:hAnsi="Tahoma" w:cs="Tahoma"/>
                <w:sz w:val="13"/>
              </w:rPr>
            </w:pPr>
            <w:r w:rsidRPr="003410C7">
              <w:rPr>
                <w:rFonts w:ascii="Tahoma" w:hAnsi="Tahoma" w:cs="Tahoma"/>
                <w:sz w:val="13"/>
              </w:rPr>
              <w:t>50</w:t>
            </w:r>
          </w:p>
        </w:tc>
        <w:tc>
          <w:tcPr>
            <w:tcW w:w="450" w:type="dxa"/>
            <w:tcBorders>
              <w:bottom w:val="single" w:sz="4" w:space="0" w:color="auto"/>
              <w:right w:val="single" w:sz="18" w:space="0" w:color="auto"/>
            </w:tcBorders>
            <w:shd w:val="clear" w:color="auto" w:fill="FABF8F"/>
            <w:vAlign w:val="center"/>
          </w:tcPr>
          <w:p w:rsidR="001A63C6" w:rsidRPr="003410C7" w:rsidRDefault="001A63C6" w:rsidP="001A63C6">
            <w:pPr>
              <w:pStyle w:val="TableText"/>
              <w:widowControl w:val="0"/>
              <w:rPr>
                <w:rFonts w:ascii="Tahoma" w:hAnsi="Tahoma" w:cs="Tahoma"/>
                <w:sz w:val="13"/>
              </w:rPr>
            </w:pPr>
            <w:r w:rsidRPr="003410C7">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3410C7" w:rsidRDefault="001A63C6" w:rsidP="001A63C6">
            <w:pPr>
              <w:pStyle w:val="TableText"/>
              <w:widowControl w:val="0"/>
              <w:rPr>
                <w:rFonts w:ascii="Tahoma" w:hAnsi="Tahoma" w:cs="Tahoma"/>
                <w:sz w:val="13"/>
              </w:rPr>
            </w:pPr>
            <w:r w:rsidRPr="003410C7">
              <w:rPr>
                <w:rFonts w:ascii="Tahoma" w:hAnsi="Tahoma" w:cs="Tahoma"/>
                <w:sz w:val="13"/>
              </w:rPr>
              <w:t>P</w:t>
            </w:r>
          </w:p>
        </w:tc>
        <w:tc>
          <w:tcPr>
            <w:tcW w:w="450" w:type="dxa"/>
            <w:tcBorders>
              <w:bottom w:val="single" w:sz="4" w:space="0" w:color="auto"/>
            </w:tcBorders>
            <w:shd w:val="clear" w:color="auto" w:fill="FABF8F"/>
          </w:tcPr>
          <w:p w:rsidR="001A63C6" w:rsidRPr="003410C7" w:rsidRDefault="001A63C6" w:rsidP="001A63C6">
            <w:pPr>
              <w:pStyle w:val="TableText"/>
              <w:widowControl w:val="0"/>
              <w:rPr>
                <w:rFonts w:ascii="Tahoma" w:hAnsi="Tahoma" w:cs="Tahoma"/>
                <w:sz w:val="13"/>
              </w:rPr>
            </w:pPr>
            <w:r w:rsidRPr="003410C7">
              <w:rPr>
                <w:rFonts w:ascii="Tahoma" w:hAnsi="Tahoma" w:cs="Tahoma"/>
                <w:sz w:val="13"/>
              </w:rPr>
              <w:t>A</w:t>
            </w:r>
          </w:p>
        </w:tc>
        <w:tc>
          <w:tcPr>
            <w:tcW w:w="540" w:type="dxa"/>
            <w:tcBorders>
              <w:bottom w:val="single" w:sz="4" w:space="0" w:color="auto"/>
            </w:tcBorders>
            <w:shd w:val="clear" w:color="auto" w:fill="FABF8F"/>
            <w:vAlign w:val="center"/>
          </w:tcPr>
          <w:p w:rsidR="001A63C6" w:rsidRPr="003410C7" w:rsidRDefault="001A63C6" w:rsidP="001A63C6">
            <w:pPr>
              <w:pStyle w:val="TableText"/>
              <w:widowControl w:val="0"/>
              <w:rPr>
                <w:rFonts w:ascii="Tahoma" w:hAnsi="Tahoma" w:cs="Tahoma"/>
                <w:sz w:val="13"/>
              </w:rPr>
            </w:pPr>
            <w:r w:rsidRPr="003410C7">
              <w:rPr>
                <w:rFonts w:ascii="Tahoma" w:hAnsi="Tahoma" w:cs="Tahoma"/>
                <w:sz w:val="13"/>
              </w:rPr>
              <w:t>OL/OV</w:t>
            </w:r>
          </w:p>
        </w:tc>
      </w:tr>
      <w:tr w:rsidR="001A63C6" w:rsidRPr="003410C7" w:rsidTr="007E466C">
        <w:trPr>
          <w:trHeight w:val="145"/>
        </w:trPr>
        <w:tc>
          <w:tcPr>
            <w:tcW w:w="2734" w:type="dxa"/>
            <w:gridSpan w:val="2"/>
            <w:tcBorders>
              <w:bottom w:val="single" w:sz="4" w:space="0" w:color="auto"/>
            </w:tcBorders>
            <w:shd w:val="clear" w:color="auto" w:fill="auto"/>
            <w:vAlign w:val="center"/>
          </w:tcPr>
          <w:p w:rsidR="001A63C6" w:rsidRPr="00451078" w:rsidRDefault="001A63C6" w:rsidP="00FE2D13">
            <w:pPr>
              <w:pStyle w:val="ProductNames"/>
              <w:spacing w:beforeLines="20" w:before="48" w:afterLines="20" w:after="48"/>
              <w:rPr>
                <w:rFonts w:ascii="Tahoma" w:hAnsi="Tahoma" w:cs="Tahoma"/>
                <w:sz w:val="14"/>
                <w:lang w:val="it-IT"/>
              </w:rPr>
            </w:pPr>
            <w:bookmarkStart w:id="419" w:name="_Toc336338062"/>
            <w:bookmarkStart w:id="420" w:name="_Toc352234668"/>
            <w:r w:rsidRPr="00451078">
              <w:rPr>
                <w:rFonts w:ascii="Tahoma" w:hAnsi="Tahoma" w:cs="Tahoma"/>
                <w:sz w:val="14"/>
                <w:lang w:val="it-IT"/>
              </w:rPr>
              <w:t>Licenza di Gestione Server Enterprise per</w:t>
            </w:r>
            <w:r w:rsidR="00FE2D13" w:rsidRPr="00451078">
              <w:rPr>
                <w:rFonts w:ascii="Tahoma" w:hAnsi="Tahoma" w:cs="Tahoma"/>
                <w:sz w:val="14"/>
                <w:lang w:val="it-IT"/>
              </w:rPr>
              <w:t> </w:t>
            </w:r>
            <w:r w:rsidRPr="00451078">
              <w:rPr>
                <w:rFonts w:ascii="Tahoma" w:hAnsi="Tahoma" w:cs="Tahoma"/>
                <w:sz w:val="14"/>
                <w:lang w:val="it-IT"/>
              </w:rPr>
              <w:t>System Center Configuration Manager</w:t>
            </w:r>
            <w:r w:rsidR="00FE2D13" w:rsidRPr="00451078">
              <w:rPr>
                <w:rFonts w:ascii="Tahoma" w:hAnsi="Tahoma" w:cs="Tahoma"/>
                <w:sz w:val="14"/>
                <w:lang w:val="it-IT"/>
              </w:rPr>
              <w:t> </w:t>
            </w:r>
            <w:r w:rsidRPr="00451078">
              <w:rPr>
                <w:rFonts w:ascii="Tahoma" w:hAnsi="Tahoma" w:cs="Tahoma"/>
                <w:sz w:val="14"/>
                <w:lang w:val="it-IT"/>
              </w:rPr>
              <w:t>2007 R3</w:t>
            </w:r>
            <w:bookmarkEnd w:id="419"/>
            <w:bookmarkEnd w:id="420"/>
            <w:r w:rsidRPr="00451078">
              <w:rPr>
                <w:rFonts w:ascii="Tahoma" w:hAnsi="Tahoma" w:cs="Tahoma"/>
                <w:sz w:val="14"/>
                <w:lang w:val="it-IT"/>
              </w:rPr>
              <w:t xml:space="preserve"> </w:t>
            </w:r>
          </w:p>
        </w:tc>
        <w:tc>
          <w:tcPr>
            <w:tcW w:w="450" w:type="dxa"/>
            <w:tcBorders>
              <w:bottom w:val="single" w:sz="4" w:space="0" w:color="auto"/>
            </w:tcBorders>
            <w:shd w:val="clear" w:color="auto" w:fill="auto"/>
            <w:vAlign w:val="center"/>
          </w:tcPr>
          <w:p w:rsidR="001A63C6" w:rsidRPr="00451078" w:rsidRDefault="001A63C6" w:rsidP="001A63C6">
            <w:pPr>
              <w:pStyle w:val="TableText"/>
              <w:widowControl w:val="0"/>
              <w:rPr>
                <w:rStyle w:val="EndnoteReference"/>
                <w:color w:val="0000FF"/>
                <w:sz w:val="13"/>
                <w:szCs w:val="13"/>
                <w:u w:val="single"/>
                <w:lang w:val="it-IT"/>
              </w:rPr>
            </w:pPr>
          </w:p>
        </w:tc>
        <w:tc>
          <w:tcPr>
            <w:tcW w:w="450" w:type="dxa"/>
            <w:tcBorders>
              <w:bottom w:val="single" w:sz="4" w:space="0" w:color="auto"/>
            </w:tcBorders>
            <w:shd w:val="clear" w:color="auto" w:fill="auto"/>
          </w:tcPr>
          <w:p w:rsidR="001A63C6" w:rsidRPr="003410C7" w:rsidRDefault="001A63C6" w:rsidP="001A63C6">
            <w:pPr>
              <w:pStyle w:val="TableText"/>
              <w:widowControl w:val="0"/>
              <w:spacing w:before="180"/>
              <w:rPr>
                <w:rFonts w:ascii="Tahoma" w:hAnsi="Tahoma" w:cs="Tahoma"/>
                <w:color w:val="000000"/>
                <w:sz w:val="13"/>
              </w:rPr>
            </w:pPr>
            <w:r w:rsidRPr="003410C7">
              <w:rPr>
                <w:rFonts w:ascii="Tahoma" w:hAnsi="Tahoma" w:cs="Tahoma"/>
                <w:color w:val="000000"/>
                <w:sz w:val="13"/>
              </w:rPr>
              <w:t>11/10</w:t>
            </w:r>
          </w:p>
        </w:tc>
        <w:tc>
          <w:tcPr>
            <w:tcW w:w="360" w:type="dxa"/>
            <w:tcBorders>
              <w:bottom w:val="single" w:sz="4" w:space="0" w:color="auto"/>
              <w:right w:val="single" w:sz="18" w:space="0" w:color="auto"/>
            </w:tcBorders>
            <w:shd w:val="clear" w:color="auto" w:fill="auto"/>
            <w:vAlign w:val="center"/>
          </w:tcPr>
          <w:p w:rsidR="001A63C6" w:rsidRPr="003410C7" w:rsidRDefault="001A63C6" w:rsidP="001A63C6">
            <w:pPr>
              <w:pStyle w:val="TableText"/>
              <w:widowControl w:val="0"/>
              <w:rPr>
                <w:rFonts w:ascii="Tahoma" w:hAnsi="Tahoma" w:cs="Tahoma"/>
                <w:color w:val="000000"/>
                <w:sz w:val="13"/>
              </w:rPr>
            </w:pPr>
            <w:r w:rsidRPr="003410C7">
              <w:rPr>
                <w:rFonts w:ascii="Tahoma" w:hAnsi="Tahoma" w:cs="Tahoma"/>
                <w:color w:val="000000"/>
                <w:sz w:val="13"/>
              </w:rPr>
              <w:t>SRV</w:t>
            </w:r>
          </w:p>
        </w:tc>
        <w:tc>
          <w:tcPr>
            <w:tcW w:w="360" w:type="dxa"/>
            <w:tcBorders>
              <w:left w:val="single" w:sz="18" w:space="0" w:color="auto"/>
              <w:bottom w:val="single" w:sz="4" w:space="0" w:color="auto"/>
            </w:tcBorders>
            <w:shd w:val="clear" w:color="auto" w:fill="auto"/>
            <w:vAlign w:val="center"/>
          </w:tcPr>
          <w:p w:rsidR="001A63C6" w:rsidRPr="003410C7" w:rsidRDefault="001A63C6" w:rsidP="001A63C6">
            <w:pPr>
              <w:pStyle w:val="TableText"/>
              <w:widowControl w:val="0"/>
              <w:rPr>
                <w:rFonts w:ascii="Tahoma" w:hAnsi="Tahoma" w:cs="Tahoma"/>
                <w:color w:val="000000"/>
                <w:sz w:val="13"/>
              </w:rPr>
            </w:pPr>
          </w:p>
        </w:tc>
        <w:tc>
          <w:tcPr>
            <w:tcW w:w="450" w:type="dxa"/>
            <w:tcBorders>
              <w:bottom w:val="single" w:sz="4" w:space="0" w:color="auto"/>
            </w:tcBorders>
            <w:shd w:val="clear" w:color="auto" w:fill="auto"/>
            <w:vAlign w:val="center"/>
          </w:tcPr>
          <w:p w:rsidR="001A63C6" w:rsidRPr="003410C7" w:rsidRDefault="001A63C6" w:rsidP="001A63C6">
            <w:pPr>
              <w:pStyle w:val="TableText"/>
              <w:widowControl w:val="0"/>
              <w:rPr>
                <w:rFonts w:ascii="Tahoma" w:hAnsi="Tahoma" w:cs="Tahoma"/>
                <w:color w:val="000000"/>
                <w:sz w:val="13"/>
              </w:rPr>
            </w:pPr>
          </w:p>
        </w:tc>
        <w:tc>
          <w:tcPr>
            <w:tcW w:w="450" w:type="dxa"/>
            <w:tcBorders>
              <w:bottom w:val="single" w:sz="4" w:space="0" w:color="auto"/>
            </w:tcBorders>
            <w:shd w:val="clear" w:color="auto" w:fill="auto"/>
            <w:vAlign w:val="center"/>
          </w:tcPr>
          <w:p w:rsidR="001A63C6" w:rsidRPr="003410C7" w:rsidRDefault="001A63C6" w:rsidP="001A63C6">
            <w:pPr>
              <w:pStyle w:val="TableText"/>
              <w:widowControl w:val="0"/>
              <w:rPr>
                <w:rFonts w:ascii="Tahoma" w:hAnsi="Tahoma" w:cs="Tahoma"/>
                <w:color w:val="000000"/>
                <w:sz w:val="13"/>
              </w:rPr>
            </w:pPr>
          </w:p>
        </w:tc>
        <w:tc>
          <w:tcPr>
            <w:tcW w:w="450" w:type="dxa"/>
            <w:tcBorders>
              <w:bottom w:val="single" w:sz="4" w:space="0" w:color="auto"/>
            </w:tcBorders>
            <w:shd w:val="clear" w:color="auto" w:fill="auto"/>
            <w:vAlign w:val="center"/>
          </w:tcPr>
          <w:p w:rsidR="001A63C6" w:rsidRPr="003410C7" w:rsidRDefault="001A63C6" w:rsidP="001A63C6">
            <w:pPr>
              <w:pStyle w:val="TableText"/>
              <w:widowControl w:val="0"/>
              <w:rPr>
                <w:rFonts w:ascii="Tahoma" w:hAnsi="Tahoma" w:cs="Tahoma"/>
                <w:color w:val="000000"/>
                <w:sz w:val="13"/>
              </w:rPr>
            </w:pPr>
          </w:p>
        </w:tc>
        <w:tc>
          <w:tcPr>
            <w:tcW w:w="450" w:type="dxa"/>
            <w:tcBorders>
              <w:bottom w:val="single" w:sz="4" w:space="0" w:color="auto"/>
            </w:tcBorders>
            <w:shd w:val="clear" w:color="auto" w:fill="auto"/>
            <w:vAlign w:val="center"/>
          </w:tcPr>
          <w:p w:rsidR="001A63C6" w:rsidRPr="003410C7" w:rsidRDefault="001A63C6" w:rsidP="001A63C6">
            <w:pPr>
              <w:pStyle w:val="TableText"/>
              <w:widowControl w:val="0"/>
              <w:rPr>
                <w:rFonts w:ascii="Tahoma" w:hAnsi="Tahoma" w:cs="Tahoma"/>
                <w:color w:val="000000"/>
                <w:sz w:val="13"/>
              </w:rPr>
            </w:pPr>
          </w:p>
        </w:tc>
        <w:tc>
          <w:tcPr>
            <w:tcW w:w="450" w:type="dxa"/>
            <w:tcBorders>
              <w:bottom w:val="single" w:sz="4" w:space="0" w:color="auto"/>
            </w:tcBorders>
            <w:shd w:val="clear" w:color="auto" w:fill="auto"/>
            <w:vAlign w:val="center"/>
          </w:tcPr>
          <w:p w:rsidR="001A63C6" w:rsidRPr="003410C7" w:rsidRDefault="001A63C6" w:rsidP="001A63C6">
            <w:pPr>
              <w:pStyle w:val="TableText"/>
              <w:widowControl w:val="0"/>
              <w:rPr>
                <w:rFonts w:ascii="Tahoma" w:hAnsi="Tahoma" w:cs="Tahoma"/>
                <w:color w:val="000000"/>
                <w:sz w:val="13"/>
              </w:rPr>
            </w:pPr>
          </w:p>
        </w:tc>
        <w:tc>
          <w:tcPr>
            <w:tcW w:w="360" w:type="dxa"/>
            <w:tcBorders>
              <w:bottom w:val="single" w:sz="4" w:space="0" w:color="auto"/>
              <w:right w:val="single" w:sz="18" w:space="0" w:color="auto"/>
            </w:tcBorders>
            <w:shd w:val="clear" w:color="auto" w:fill="auto"/>
            <w:vAlign w:val="center"/>
          </w:tcPr>
          <w:p w:rsidR="001A63C6" w:rsidRPr="003410C7" w:rsidRDefault="001A63C6" w:rsidP="001A63C6">
            <w:pPr>
              <w:pStyle w:val="TableText"/>
              <w:widowControl w:val="0"/>
              <w:rPr>
                <w:rFonts w:ascii="Tahoma" w:hAnsi="Tahoma" w:cs="Tahoma"/>
                <w:color w:val="000000"/>
                <w:sz w:val="13"/>
              </w:rPr>
            </w:pPr>
          </w:p>
        </w:tc>
        <w:tc>
          <w:tcPr>
            <w:tcW w:w="450" w:type="dxa"/>
            <w:tcBorders>
              <w:left w:val="single" w:sz="18" w:space="0" w:color="auto"/>
              <w:bottom w:val="single" w:sz="4" w:space="0" w:color="auto"/>
            </w:tcBorders>
            <w:shd w:val="clear" w:color="auto" w:fill="auto"/>
            <w:vAlign w:val="center"/>
          </w:tcPr>
          <w:p w:rsidR="001A63C6" w:rsidRPr="003410C7" w:rsidRDefault="001A63C6" w:rsidP="001A63C6">
            <w:pPr>
              <w:pStyle w:val="TableText"/>
              <w:widowControl w:val="0"/>
              <w:rPr>
                <w:rFonts w:ascii="Tahoma" w:hAnsi="Tahoma" w:cs="Tahoma"/>
                <w:color w:val="000000"/>
                <w:sz w:val="13"/>
              </w:rPr>
            </w:pPr>
          </w:p>
        </w:tc>
        <w:tc>
          <w:tcPr>
            <w:tcW w:w="450" w:type="dxa"/>
            <w:tcBorders>
              <w:bottom w:val="single" w:sz="4" w:space="0" w:color="auto"/>
            </w:tcBorders>
            <w:shd w:val="clear" w:color="auto" w:fill="auto"/>
            <w:vAlign w:val="center"/>
          </w:tcPr>
          <w:p w:rsidR="001A63C6" w:rsidRPr="003410C7" w:rsidRDefault="001A63C6" w:rsidP="001A63C6">
            <w:pPr>
              <w:pStyle w:val="TableText"/>
              <w:widowControl w:val="0"/>
              <w:rPr>
                <w:rFonts w:ascii="Tahoma" w:hAnsi="Tahoma" w:cs="Tahoma"/>
                <w:color w:val="000000"/>
                <w:sz w:val="13"/>
              </w:rPr>
            </w:pPr>
          </w:p>
        </w:tc>
        <w:tc>
          <w:tcPr>
            <w:tcW w:w="450" w:type="dxa"/>
            <w:tcBorders>
              <w:bottom w:val="single" w:sz="4" w:space="0" w:color="auto"/>
              <w:right w:val="single" w:sz="18" w:space="0" w:color="auto"/>
            </w:tcBorders>
            <w:shd w:val="clear" w:color="auto" w:fill="auto"/>
            <w:vAlign w:val="center"/>
          </w:tcPr>
          <w:p w:rsidR="001A63C6" w:rsidRPr="003410C7" w:rsidRDefault="001A63C6" w:rsidP="001A63C6">
            <w:pPr>
              <w:pStyle w:val="TableText"/>
              <w:widowControl w:val="0"/>
              <w:rPr>
                <w:rFonts w:ascii="Tahoma" w:hAnsi="Tahoma" w:cs="Tahoma"/>
                <w:color w:val="000000"/>
                <w:sz w:val="13"/>
              </w:rPr>
            </w:pPr>
          </w:p>
        </w:tc>
        <w:tc>
          <w:tcPr>
            <w:tcW w:w="450" w:type="dxa"/>
            <w:tcBorders>
              <w:left w:val="single" w:sz="18" w:space="0" w:color="auto"/>
              <w:bottom w:val="single" w:sz="4" w:space="0" w:color="auto"/>
            </w:tcBorders>
            <w:shd w:val="clear" w:color="auto" w:fill="auto"/>
            <w:vAlign w:val="center"/>
          </w:tcPr>
          <w:p w:rsidR="001A63C6" w:rsidRPr="003410C7" w:rsidRDefault="001A63C6" w:rsidP="001A63C6">
            <w:pPr>
              <w:pStyle w:val="TableText"/>
              <w:widowControl w:val="0"/>
              <w:rPr>
                <w:rFonts w:ascii="Tahoma" w:hAnsi="Tahoma" w:cs="Tahoma"/>
                <w:color w:val="000000"/>
                <w:sz w:val="13"/>
              </w:rPr>
            </w:pPr>
            <w:r w:rsidRPr="003410C7">
              <w:rPr>
                <w:rFonts w:ascii="Tahoma" w:hAnsi="Tahoma" w:cs="Tahoma"/>
                <w:color w:val="000000"/>
                <w:sz w:val="13"/>
              </w:rPr>
              <w:t>5</w:t>
            </w:r>
          </w:p>
        </w:tc>
        <w:tc>
          <w:tcPr>
            <w:tcW w:w="450" w:type="dxa"/>
            <w:tcBorders>
              <w:bottom w:val="single" w:sz="4" w:space="0" w:color="auto"/>
              <w:right w:val="single" w:sz="18" w:space="0" w:color="auto"/>
            </w:tcBorders>
            <w:shd w:val="clear" w:color="auto" w:fill="auto"/>
            <w:vAlign w:val="center"/>
          </w:tcPr>
          <w:p w:rsidR="001A63C6" w:rsidRPr="003410C7" w:rsidRDefault="001A63C6" w:rsidP="001A63C6">
            <w:pPr>
              <w:pStyle w:val="TableText"/>
              <w:widowControl w:val="0"/>
              <w:rPr>
                <w:rFonts w:ascii="Tahoma" w:hAnsi="Tahoma" w:cs="Tahoma"/>
                <w:color w:val="000000"/>
                <w:sz w:val="13"/>
              </w:rPr>
            </w:pPr>
          </w:p>
        </w:tc>
        <w:tc>
          <w:tcPr>
            <w:tcW w:w="450" w:type="dxa"/>
            <w:tcBorders>
              <w:left w:val="single" w:sz="18" w:space="0" w:color="auto"/>
              <w:bottom w:val="single" w:sz="4" w:space="0" w:color="auto"/>
              <w:right w:val="single" w:sz="18" w:space="0" w:color="auto"/>
            </w:tcBorders>
            <w:shd w:val="clear" w:color="auto" w:fill="auto"/>
            <w:vAlign w:val="center"/>
          </w:tcPr>
          <w:p w:rsidR="001A63C6" w:rsidRPr="003410C7" w:rsidRDefault="001A63C6" w:rsidP="001A63C6">
            <w:pPr>
              <w:pStyle w:val="TableText"/>
              <w:widowControl w:val="0"/>
              <w:rPr>
                <w:rFonts w:ascii="Tahoma" w:hAnsi="Tahoma" w:cs="Tahoma"/>
                <w:color w:val="000000"/>
                <w:sz w:val="13"/>
              </w:rPr>
            </w:pPr>
          </w:p>
        </w:tc>
        <w:tc>
          <w:tcPr>
            <w:tcW w:w="450" w:type="dxa"/>
            <w:tcBorders>
              <w:bottom w:val="single" w:sz="4" w:space="0" w:color="auto"/>
            </w:tcBorders>
            <w:shd w:val="clear" w:color="auto" w:fill="auto"/>
          </w:tcPr>
          <w:p w:rsidR="001A63C6" w:rsidRPr="003410C7" w:rsidRDefault="001A63C6" w:rsidP="001A63C6">
            <w:pPr>
              <w:pStyle w:val="TableText"/>
              <w:widowControl w:val="0"/>
              <w:rPr>
                <w:rFonts w:ascii="Tahoma" w:hAnsi="Tahoma" w:cs="Tahoma"/>
                <w:color w:val="000000"/>
                <w:sz w:val="13"/>
              </w:rPr>
            </w:pPr>
            <w:r w:rsidRPr="003410C7">
              <w:rPr>
                <w:rFonts w:ascii="Tahoma" w:hAnsi="Tahoma" w:cs="Tahoma"/>
                <w:color w:val="000000"/>
                <w:sz w:val="13"/>
              </w:rPr>
              <w:t>A</w:t>
            </w:r>
          </w:p>
        </w:tc>
        <w:tc>
          <w:tcPr>
            <w:tcW w:w="540" w:type="dxa"/>
            <w:tcBorders>
              <w:bottom w:val="single" w:sz="4" w:space="0" w:color="auto"/>
            </w:tcBorders>
            <w:shd w:val="clear" w:color="auto" w:fill="auto"/>
            <w:vAlign w:val="center"/>
          </w:tcPr>
          <w:p w:rsidR="001A63C6" w:rsidRPr="003410C7" w:rsidRDefault="001A63C6" w:rsidP="001A63C6">
            <w:pPr>
              <w:pStyle w:val="TableText"/>
              <w:widowControl w:val="0"/>
              <w:rPr>
                <w:rFonts w:ascii="Tahoma" w:hAnsi="Tahoma" w:cs="Tahoma"/>
                <w:color w:val="000000"/>
                <w:sz w:val="13"/>
              </w:rPr>
            </w:pPr>
          </w:p>
        </w:tc>
      </w:tr>
      <w:tr w:rsidR="00B33D0E" w:rsidRPr="003410C7" w:rsidTr="006B1F3F">
        <w:trPr>
          <w:trHeight w:val="145"/>
        </w:trPr>
        <w:tc>
          <w:tcPr>
            <w:tcW w:w="2734" w:type="dxa"/>
            <w:gridSpan w:val="2"/>
            <w:tcBorders>
              <w:bottom w:val="single" w:sz="4" w:space="0" w:color="auto"/>
            </w:tcBorders>
            <w:shd w:val="clear" w:color="auto" w:fill="FABF8F"/>
            <w:vAlign w:val="center"/>
          </w:tcPr>
          <w:p w:rsidR="001A63C6" w:rsidRPr="00451078" w:rsidRDefault="001A63C6" w:rsidP="003410C7">
            <w:pPr>
              <w:pStyle w:val="ProductNames"/>
              <w:spacing w:beforeLines="20" w:before="48" w:afterLines="20" w:after="48"/>
              <w:rPr>
                <w:rFonts w:ascii="Tahoma" w:hAnsi="Tahoma" w:cs="Tahoma"/>
                <w:sz w:val="14"/>
                <w:lang w:val="it-IT"/>
              </w:rPr>
            </w:pPr>
            <w:bookmarkStart w:id="421" w:name="_Toc336338063"/>
            <w:bookmarkStart w:id="422" w:name="_Toc352234669"/>
            <w:r w:rsidRPr="00451078">
              <w:rPr>
                <w:rFonts w:ascii="Tahoma" w:hAnsi="Tahoma" w:cs="Tahoma"/>
                <w:sz w:val="14"/>
                <w:lang w:val="it-IT"/>
              </w:rPr>
              <w:t>Licenza di Gestione Server Standard (Standard Server ML) per System Center Configuration Manager 2007 R3</w:t>
            </w:r>
            <w:bookmarkEnd w:id="421"/>
            <w:bookmarkEnd w:id="422"/>
          </w:p>
        </w:tc>
        <w:tc>
          <w:tcPr>
            <w:tcW w:w="450" w:type="dxa"/>
            <w:tcBorders>
              <w:bottom w:val="single" w:sz="4" w:space="0" w:color="auto"/>
            </w:tcBorders>
            <w:shd w:val="clear" w:color="auto" w:fill="FABF8F"/>
            <w:vAlign w:val="center"/>
          </w:tcPr>
          <w:p w:rsidR="001A63C6" w:rsidRPr="00451078" w:rsidRDefault="001A63C6" w:rsidP="001A63C6">
            <w:pPr>
              <w:pStyle w:val="TableText"/>
              <w:widowControl w:val="0"/>
              <w:rPr>
                <w:rStyle w:val="EndnoteReference"/>
                <w:color w:val="0000FF"/>
                <w:sz w:val="13"/>
                <w:szCs w:val="13"/>
                <w:u w:val="single"/>
                <w:lang w:val="it-IT"/>
              </w:rPr>
            </w:pPr>
          </w:p>
        </w:tc>
        <w:tc>
          <w:tcPr>
            <w:tcW w:w="450" w:type="dxa"/>
            <w:tcBorders>
              <w:bottom w:val="single" w:sz="4" w:space="0" w:color="auto"/>
            </w:tcBorders>
            <w:shd w:val="clear" w:color="auto" w:fill="FABF8F"/>
          </w:tcPr>
          <w:p w:rsidR="001A63C6" w:rsidRPr="003410C7" w:rsidRDefault="001A63C6" w:rsidP="001A63C6">
            <w:pPr>
              <w:pStyle w:val="TableText"/>
              <w:widowControl w:val="0"/>
              <w:spacing w:before="180"/>
              <w:rPr>
                <w:rFonts w:ascii="Tahoma" w:hAnsi="Tahoma" w:cs="Tahoma"/>
                <w:color w:val="000000"/>
                <w:sz w:val="13"/>
              </w:rPr>
            </w:pPr>
            <w:r w:rsidRPr="003410C7">
              <w:rPr>
                <w:rFonts w:ascii="Tahoma" w:hAnsi="Tahoma" w:cs="Tahoma"/>
                <w:color w:val="000000"/>
                <w:sz w:val="13"/>
              </w:rPr>
              <w:t>11/10</w:t>
            </w:r>
          </w:p>
        </w:tc>
        <w:tc>
          <w:tcPr>
            <w:tcW w:w="360" w:type="dxa"/>
            <w:tcBorders>
              <w:bottom w:val="single" w:sz="4" w:space="0" w:color="auto"/>
              <w:right w:val="single" w:sz="18" w:space="0" w:color="auto"/>
            </w:tcBorders>
            <w:shd w:val="clear" w:color="auto" w:fill="FABF8F"/>
            <w:vAlign w:val="center"/>
          </w:tcPr>
          <w:p w:rsidR="001A63C6" w:rsidRPr="003410C7" w:rsidRDefault="001A63C6" w:rsidP="001A63C6">
            <w:pPr>
              <w:pStyle w:val="TableText"/>
              <w:widowControl w:val="0"/>
              <w:rPr>
                <w:rFonts w:ascii="Tahoma" w:hAnsi="Tahoma" w:cs="Tahoma"/>
                <w:color w:val="000000"/>
                <w:sz w:val="13"/>
              </w:rPr>
            </w:pPr>
            <w:r w:rsidRPr="003410C7">
              <w:rPr>
                <w:rFonts w:ascii="Tahoma" w:hAnsi="Tahoma" w:cs="Tahoma"/>
                <w:color w:val="000000"/>
                <w:sz w:val="13"/>
              </w:rPr>
              <w:t>SRV</w:t>
            </w:r>
          </w:p>
        </w:tc>
        <w:tc>
          <w:tcPr>
            <w:tcW w:w="360" w:type="dxa"/>
            <w:tcBorders>
              <w:left w:val="single" w:sz="18" w:space="0" w:color="auto"/>
              <w:bottom w:val="single" w:sz="4" w:space="0" w:color="auto"/>
            </w:tcBorders>
            <w:shd w:val="clear" w:color="auto" w:fill="FABF8F"/>
            <w:vAlign w:val="center"/>
          </w:tcPr>
          <w:p w:rsidR="001A63C6" w:rsidRPr="003410C7" w:rsidRDefault="001A63C6" w:rsidP="001A63C6">
            <w:pPr>
              <w:pStyle w:val="TableText"/>
              <w:widowControl w:val="0"/>
              <w:rPr>
                <w:rFonts w:ascii="Tahoma" w:hAnsi="Tahoma" w:cs="Tahoma"/>
                <w:color w:val="000000"/>
                <w:sz w:val="13"/>
              </w:rPr>
            </w:pPr>
          </w:p>
        </w:tc>
        <w:tc>
          <w:tcPr>
            <w:tcW w:w="450" w:type="dxa"/>
            <w:tcBorders>
              <w:bottom w:val="single" w:sz="4" w:space="0" w:color="auto"/>
            </w:tcBorders>
            <w:shd w:val="clear" w:color="auto" w:fill="FABF8F"/>
            <w:vAlign w:val="center"/>
          </w:tcPr>
          <w:p w:rsidR="001A63C6" w:rsidRPr="003410C7" w:rsidRDefault="001A63C6" w:rsidP="001A63C6">
            <w:pPr>
              <w:pStyle w:val="TableText"/>
              <w:widowControl w:val="0"/>
              <w:rPr>
                <w:rFonts w:ascii="Tahoma" w:hAnsi="Tahoma" w:cs="Tahoma"/>
                <w:color w:val="000000"/>
                <w:sz w:val="13"/>
              </w:rPr>
            </w:pPr>
          </w:p>
        </w:tc>
        <w:tc>
          <w:tcPr>
            <w:tcW w:w="450" w:type="dxa"/>
            <w:tcBorders>
              <w:bottom w:val="single" w:sz="4" w:space="0" w:color="auto"/>
            </w:tcBorders>
            <w:shd w:val="clear" w:color="auto" w:fill="FABF8F"/>
            <w:vAlign w:val="center"/>
          </w:tcPr>
          <w:p w:rsidR="001A63C6" w:rsidRPr="003410C7" w:rsidRDefault="001A63C6" w:rsidP="001A63C6">
            <w:pPr>
              <w:pStyle w:val="TableText"/>
              <w:widowControl w:val="0"/>
              <w:rPr>
                <w:rFonts w:ascii="Tahoma" w:hAnsi="Tahoma" w:cs="Tahoma"/>
                <w:color w:val="000000"/>
                <w:sz w:val="13"/>
              </w:rPr>
            </w:pPr>
          </w:p>
        </w:tc>
        <w:tc>
          <w:tcPr>
            <w:tcW w:w="450" w:type="dxa"/>
            <w:tcBorders>
              <w:bottom w:val="single" w:sz="4" w:space="0" w:color="auto"/>
            </w:tcBorders>
            <w:shd w:val="clear" w:color="auto" w:fill="FABF8F"/>
            <w:vAlign w:val="center"/>
          </w:tcPr>
          <w:p w:rsidR="001A63C6" w:rsidRPr="003410C7" w:rsidRDefault="001A63C6" w:rsidP="001A63C6">
            <w:pPr>
              <w:pStyle w:val="TableText"/>
              <w:widowControl w:val="0"/>
              <w:rPr>
                <w:rFonts w:ascii="Tahoma" w:hAnsi="Tahoma" w:cs="Tahoma"/>
                <w:color w:val="000000"/>
                <w:sz w:val="13"/>
              </w:rPr>
            </w:pPr>
          </w:p>
        </w:tc>
        <w:tc>
          <w:tcPr>
            <w:tcW w:w="450" w:type="dxa"/>
            <w:tcBorders>
              <w:bottom w:val="single" w:sz="4" w:space="0" w:color="auto"/>
            </w:tcBorders>
            <w:shd w:val="clear" w:color="auto" w:fill="FABF8F"/>
            <w:vAlign w:val="center"/>
          </w:tcPr>
          <w:p w:rsidR="001A63C6" w:rsidRPr="003410C7" w:rsidRDefault="001A63C6" w:rsidP="001A63C6">
            <w:pPr>
              <w:pStyle w:val="TableText"/>
              <w:widowControl w:val="0"/>
              <w:rPr>
                <w:rFonts w:ascii="Tahoma" w:hAnsi="Tahoma" w:cs="Tahoma"/>
                <w:color w:val="000000"/>
                <w:sz w:val="13"/>
              </w:rPr>
            </w:pPr>
          </w:p>
        </w:tc>
        <w:tc>
          <w:tcPr>
            <w:tcW w:w="450" w:type="dxa"/>
            <w:tcBorders>
              <w:bottom w:val="single" w:sz="4" w:space="0" w:color="auto"/>
            </w:tcBorders>
            <w:shd w:val="clear" w:color="auto" w:fill="FABF8F"/>
            <w:vAlign w:val="center"/>
          </w:tcPr>
          <w:p w:rsidR="001A63C6" w:rsidRPr="003410C7" w:rsidRDefault="001A63C6" w:rsidP="001A63C6">
            <w:pPr>
              <w:pStyle w:val="TableText"/>
              <w:widowControl w:val="0"/>
              <w:rPr>
                <w:rFonts w:ascii="Tahoma" w:hAnsi="Tahoma" w:cs="Tahoma"/>
                <w:color w:val="000000"/>
                <w:sz w:val="13"/>
              </w:rPr>
            </w:pPr>
          </w:p>
        </w:tc>
        <w:tc>
          <w:tcPr>
            <w:tcW w:w="360" w:type="dxa"/>
            <w:tcBorders>
              <w:bottom w:val="single" w:sz="4" w:space="0" w:color="auto"/>
              <w:right w:val="single" w:sz="18" w:space="0" w:color="auto"/>
            </w:tcBorders>
            <w:shd w:val="clear" w:color="auto" w:fill="FABF8F"/>
            <w:vAlign w:val="center"/>
          </w:tcPr>
          <w:p w:rsidR="001A63C6" w:rsidRPr="003410C7" w:rsidRDefault="001A63C6" w:rsidP="001A63C6">
            <w:pPr>
              <w:pStyle w:val="TableText"/>
              <w:widowControl w:val="0"/>
              <w:rPr>
                <w:rFonts w:ascii="Tahoma" w:hAnsi="Tahoma" w:cs="Tahoma"/>
                <w:color w:val="000000"/>
                <w:sz w:val="13"/>
              </w:rPr>
            </w:pPr>
          </w:p>
        </w:tc>
        <w:tc>
          <w:tcPr>
            <w:tcW w:w="450" w:type="dxa"/>
            <w:tcBorders>
              <w:left w:val="single" w:sz="18" w:space="0" w:color="auto"/>
              <w:bottom w:val="single" w:sz="4" w:space="0" w:color="auto"/>
            </w:tcBorders>
            <w:shd w:val="clear" w:color="auto" w:fill="FABF8F"/>
            <w:vAlign w:val="center"/>
          </w:tcPr>
          <w:p w:rsidR="001A63C6" w:rsidRPr="003410C7" w:rsidRDefault="001A63C6" w:rsidP="001A63C6">
            <w:pPr>
              <w:pStyle w:val="TableText"/>
              <w:widowControl w:val="0"/>
              <w:rPr>
                <w:rFonts w:ascii="Tahoma" w:hAnsi="Tahoma" w:cs="Tahoma"/>
                <w:color w:val="000000"/>
                <w:sz w:val="13"/>
              </w:rPr>
            </w:pPr>
          </w:p>
        </w:tc>
        <w:tc>
          <w:tcPr>
            <w:tcW w:w="450" w:type="dxa"/>
            <w:tcBorders>
              <w:bottom w:val="single" w:sz="4" w:space="0" w:color="auto"/>
            </w:tcBorders>
            <w:shd w:val="clear" w:color="auto" w:fill="FABF8F"/>
            <w:vAlign w:val="center"/>
          </w:tcPr>
          <w:p w:rsidR="001A63C6" w:rsidRPr="003410C7" w:rsidRDefault="001A63C6" w:rsidP="001A63C6">
            <w:pPr>
              <w:pStyle w:val="TableText"/>
              <w:widowControl w:val="0"/>
              <w:rPr>
                <w:rFonts w:ascii="Tahoma" w:hAnsi="Tahoma" w:cs="Tahoma"/>
                <w:color w:val="000000"/>
                <w:sz w:val="13"/>
              </w:rPr>
            </w:pPr>
          </w:p>
        </w:tc>
        <w:tc>
          <w:tcPr>
            <w:tcW w:w="450" w:type="dxa"/>
            <w:tcBorders>
              <w:bottom w:val="single" w:sz="4" w:space="0" w:color="auto"/>
              <w:right w:val="single" w:sz="18" w:space="0" w:color="auto"/>
            </w:tcBorders>
            <w:shd w:val="clear" w:color="auto" w:fill="FABF8F"/>
            <w:vAlign w:val="center"/>
          </w:tcPr>
          <w:p w:rsidR="001A63C6" w:rsidRPr="003410C7" w:rsidRDefault="001A63C6" w:rsidP="001A63C6">
            <w:pPr>
              <w:pStyle w:val="TableText"/>
              <w:widowControl w:val="0"/>
              <w:rPr>
                <w:rFonts w:ascii="Tahoma" w:hAnsi="Tahoma" w:cs="Tahoma"/>
                <w:color w:val="000000"/>
                <w:sz w:val="13"/>
              </w:rPr>
            </w:pPr>
          </w:p>
        </w:tc>
        <w:tc>
          <w:tcPr>
            <w:tcW w:w="450" w:type="dxa"/>
            <w:tcBorders>
              <w:left w:val="single" w:sz="18" w:space="0" w:color="auto"/>
              <w:bottom w:val="single" w:sz="4" w:space="0" w:color="auto"/>
            </w:tcBorders>
            <w:shd w:val="clear" w:color="auto" w:fill="FABF8F"/>
            <w:vAlign w:val="center"/>
          </w:tcPr>
          <w:p w:rsidR="001A63C6" w:rsidRPr="003410C7" w:rsidRDefault="001A63C6" w:rsidP="001A63C6">
            <w:pPr>
              <w:pStyle w:val="TableText"/>
              <w:widowControl w:val="0"/>
              <w:rPr>
                <w:rFonts w:ascii="Tahoma" w:hAnsi="Tahoma" w:cs="Tahoma"/>
                <w:color w:val="000000"/>
                <w:sz w:val="13"/>
              </w:rPr>
            </w:pPr>
            <w:r w:rsidRPr="003410C7">
              <w:rPr>
                <w:rFonts w:ascii="Tahoma" w:hAnsi="Tahoma" w:cs="Tahoma"/>
                <w:color w:val="000000"/>
                <w:sz w:val="13"/>
              </w:rPr>
              <w:t>1</w:t>
            </w:r>
          </w:p>
        </w:tc>
        <w:tc>
          <w:tcPr>
            <w:tcW w:w="450" w:type="dxa"/>
            <w:tcBorders>
              <w:bottom w:val="single" w:sz="4" w:space="0" w:color="auto"/>
              <w:right w:val="single" w:sz="18" w:space="0" w:color="auto"/>
            </w:tcBorders>
            <w:shd w:val="clear" w:color="auto" w:fill="FABF8F"/>
            <w:vAlign w:val="center"/>
          </w:tcPr>
          <w:p w:rsidR="001A63C6" w:rsidRPr="003410C7" w:rsidRDefault="001A63C6" w:rsidP="001A63C6">
            <w:pPr>
              <w:pStyle w:val="TableText"/>
              <w:widowControl w:val="0"/>
              <w:rPr>
                <w:rFonts w:ascii="Tahoma" w:hAnsi="Tahoma" w:cs="Tahoma"/>
                <w:color w:val="000000"/>
                <w:sz w:val="13"/>
              </w:rPr>
            </w:pP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3410C7" w:rsidRDefault="001A63C6" w:rsidP="001A63C6">
            <w:pPr>
              <w:pStyle w:val="TableText"/>
              <w:widowControl w:val="0"/>
              <w:rPr>
                <w:rFonts w:ascii="Tahoma" w:hAnsi="Tahoma" w:cs="Tahoma"/>
                <w:color w:val="000000"/>
                <w:sz w:val="13"/>
              </w:rPr>
            </w:pPr>
          </w:p>
        </w:tc>
        <w:tc>
          <w:tcPr>
            <w:tcW w:w="450" w:type="dxa"/>
            <w:tcBorders>
              <w:bottom w:val="single" w:sz="4" w:space="0" w:color="auto"/>
            </w:tcBorders>
            <w:shd w:val="clear" w:color="auto" w:fill="FABF8F"/>
          </w:tcPr>
          <w:p w:rsidR="001A63C6" w:rsidRPr="003410C7" w:rsidRDefault="001A63C6" w:rsidP="001A63C6">
            <w:pPr>
              <w:pStyle w:val="TableText"/>
              <w:widowControl w:val="0"/>
              <w:rPr>
                <w:rFonts w:ascii="Tahoma" w:hAnsi="Tahoma" w:cs="Tahoma"/>
                <w:color w:val="000000"/>
                <w:sz w:val="13"/>
              </w:rPr>
            </w:pPr>
            <w:r w:rsidRPr="003410C7">
              <w:rPr>
                <w:rFonts w:ascii="Tahoma" w:hAnsi="Tahoma" w:cs="Tahoma"/>
                <w:sz w:val="13"/>
              </w:rPr>
              <w:t>A</w:t>
            </w:r>
          </w:p>
        </w:tc>
        <w:tc>
          <w:tcPr>
            <w:tcW w:w="540" w:type="dxa"/>
            <w:tcBorders>
              <w:bottom w:val="single" w:sz="4" w:space="0" w:color="auto"/>
            </w:tcBorders>
            <w:shd w:val="clear" w:color="auto" w:fill="FABF8F"/>
            <w:vAlign w:val="center"/>
          </w:tcPr>
          <w:p w:rsidR="001A63C6" w:rsidRPr="003410C7" w:rsidRDefault="001A63C6" w:rsidP="001A63C6">
            <w:pPr>
              <w:pStyle w:val="TableText"/>
              <w:widowControl w:val="0"/>
              <w:rPr>
                <w:rFonts w:ascii="Tahoma" w:hAnsi="Tahoma" w:cs="Tahoma"/>
                <w:color w:val="000000"/>
                <w:sz w:val="13"/>
              </w:rPr>
            </w:pPr>
          </w:p>
        </w:tc>
      </w:tr>
      <w:tr w:rsidR="001A63C6" w:rsidRPr="003410C7" w:rsidTr="007E466C">
        <w:trPr>
          <w:trHeight w:val="145"/>
        </w:trPr>
        <w:tc>
          <w:tcPr>
            <w:tcW w:w="2734" w:type="dxa"/>
            <w:gridSpan w:val="2"/>
            <w:tcBorders>
              <w:bottom w:val="single" w:sz="4" w:space="0" w:color="auto"/>
            </w:tcBorders>
            <w:shd w:val="clear" w:color="auto" w:fill="auto"/>
            <w:vAlign w:val="center"/>
          </w:tcPr>
          <w:p w:rsidR="001A63C6" w:rsidRPr="00451078" w:rsidRDefault="001A63C6" w:rsidP="00F57878">
            <w:pPr>
              <w:pStyle w:val="ProductNames"/>
              <w:spacing w:beforeLines="10" w:before="24" w:afterLines="10" w:after="24"/>
              <w:rPr>
                <w:rFonts w:ascii="Tahoma" w:hAnsi="Tahoma" w:cs="Tahoma"/>
                <w:sz w:val="14"/>
                <w:lang w:val="it-IT"/>
              </w:rPr>
            </w:pPr>
            <w:bookmarkStart w:id="423" w:name="_Toc257333903"/>
            <w:bookmarkStart w:id="424" w:name="_Toc336338067"/>
            <w:bookmarkStart w:id="425" w:name="_Toc352234670"/>
            <w:r w:rsidRPr="00451078">
              <w:rPr>
                <w:rFonts w:ascii="Tahoma" w:hAnsi="Tahoma" w:cs="Tahoma"/>
                <w:sz w:val="14"/>
                <w:lang w:val="it-IT"/>
              </w:rPr>
              <w:t>Licenza di Gestione Server Enterprise per</w:t>
            </w:r>
            <w:r w:rsidR="00F57878" w:rsidRPr="00451078">
              <w:rPr>
                <w:rFonts w:ascii="Tahoma" w:hAnsi="Tahoma" w:cs="Tahoma"/>
                <w:sz w:val="14"/>
                <w:lang w:val="it-IT"/>
              </w:rPr>
              <w:t> </w:t>
            </w:r>
            <w:r w:rsidRPr="00451078">
              <w:rPr>
                <w:rFonts w:ascii="Tahoma" w:hAnsi="Tahoma" w:cs="Tahoma"/>
                <w:sz w:val="14"/>
                <w:lang w:val="it-IT"/>
              </w:rPr>
              <w:t>System Center Data Protection Manager 2010</w:t>
            </w:r>
            <w:bookmarkEnd w:id="423"/>
            <w:bookmarkEnd w:id="424"/>
            <w:bookmarkEnd w:id="425"/>
            <w:r w:rsidRPr="00451078">
              <w:rPr>
                <w:rFonts w:ascii="Tahoma" w:hAnsi="Tahoma" w:cs="Tahoma"/>
                <w:sz w:val="14"/>
                <w:lang w:val="it-IT"/>
              </w:rPr>
              <w:t xml:space="preserve"> </w:t>
            </w:r>
          </w:p>
        </w:tc>
        <w:tc>
          <w:tcPr>
            <w:tcW w:w="450" w:type="dxa"/>
            <w:tcBorders>
              <w:bottom w:val="single" w:sz="4" w:space="0" w:color="auto"/>
            </w:tcBorders>
            <w:shd w:val="clear" w:color="auto" w:fill="auto"/>
            <w:vAlign w:val="center"/>
          </w:tcPr>
          <w:p w:rsidR="001A63C6" w:rsidRPr="00451078" w:rsidRDefault="001A63C6" w:rsidP="001A63C6">
            <w:pPr>
              <w:pStyle w:val="TableText"/>
              <w:widowControl w:val="0"/>
              <w:jc w:val="left"/>
              <w:rPr>
                <w:rStyle w:val="EndnoteReference"/>
                <w:sz w:val="13"/>
                <w:szCs w:val="13"/>
                <w:u w:val="single"/>
                <w:lang w:val="it-IT"/>
              </w:rPr>
            </w:pPr>
          </w:p>
        </w:tc>
        <w:tc>
          <w:tcPr>
            <w:tcW w:w="450" w:type="dxa"/>
            <w:tcBorders>
              <w:bottom w:val="single" w:sz="4" w:space="0" w:color="auto"/>
            </w:tcBorders>
            <w:shd w:val="clear" w:color="auto" w:fill="auto"/>
          </w:tcPr>
          <w:p w:rsidR="001A63C6" w:rsidRPr="003410C7" w:rsidRDefault="001A63C6" w:rsidP="001A63C6">
            <w:pPr>
              <w:pStyle w:val="TableText"/>
              <w:widowControl w:val="0"/>
              <w:spacing w:before="180"/>
              <w:rPr>
                <w:rFonts w:ascii="Tahoma" w:hAnsi="Tahoma" w:cs="Tahoma"/>
                <w:color w:val="000000"/>
                <w:sz w:val="13"/>
              </w:rPr>
            </w:pPr>
            <w:r w:rsidRPr="003410C7">
              <w:rPr>
                <w:rFonts w:ascii="Tahoma" w:hAnsi="Tahoma" w:cs="Tahoma"/>
                <w:sz w:val="13"/>
              </w:rPr>
              <w:t>06/10</w:t>
            </w:r>
          </w:p>
        </w:tc>
        <w:tc>
          <w:tcPr>
            <w:tcW w:w="360" w:type="dxa"/>
            <w:tcBorders>
              <w:bottom w:val="single" w:sz="4" w:space="0" w:color="auto"/>
              <w:right w:val="single" w:sz="18" w:space="0" w:color="auto"/>
            </w:tcBorders>
            <w:shd w:val="clear" w:color="auto" w:fill="auto"/>
            <w:vAlign w:val="center"/>
          </w:tcPr>
          <w:p w:rsidR="001A63C6" w:rsidRPr="003410C7" w:rsidRDefault="001A63C6" w:rsidP="001A63C6">
            <w:pPr>
              <w:pStyle w:val="TableText"/>
              <w:widowControl w:val="0"/>
              <w:rPr>
                <w:rFonts w:ascii="Tahoma" w:hAnsi="Tahoma" w:cs="Tahoma"/>
                <w:color w:val="000000"/>
                <w:sz w:val="13"/>
              </w:rPr>
            </w:pPr>
            <w:r w:rsidRPr="003410C7">
              <w:rPr>
                <w:rFonts w:ascii="Tahoma" w:hAnsi="Tahoma" w:cs="Tahoma"/>
                <w:color w:val="000000"/>
                <w:sz w:val="13"/>
              </w:rPr>
              <w:t>SRV</w:t>
            </w:r>
          </w:p>
        </w:tc>
        <w:tc>
          <w:tcPr>
            <w:tcW w:w="360" w:type="dxa"/>
            <w:tcBorders>
              <w:left w:val="single" w:sz="18" w:space="0" w:color="auto"/>
              <w:bottom w:val="single" w:sz="4" w:space="0" w:color="auto"/>
            </w:tcBorders>
            <w:shd w:val="clear" w:color="auto" w:fill="auto"/>
            <w:vAlign w:val="center"/>
          </w:tcPr>
          <w:p w:rsidR="001A63C6" w:rsidRPr="003410C7" w:rsidRDefault="001A63C6" w:rsidP="001A63C6">
            <w:pPr>
              <w:pStyle w:val="TableText"/>
              <w:widowControl w:val="0"/>
              <w:rPr>
                <w:rFonts w:ascii="Tahoma" w:hAnsi="Tahoma" w:cs="Tahoma"/>
                <w:color w:val="000000"/>
                <w:sz w:val="13"/>
              </w:rPr>
            </w:pPr>
          </w:p>
        </w:tc>
        <w:tc>
          <w:tcPr>
            <w:tcW w:w="450" w:type="dxa"/>
            <w:tcBorders>
              <w:bottom w:val="single" w:sz="4" w:space="0" w:color="auto"/>
            </w:tcBorders>
            <w:shd w:val="clear" w:color="auto" w:fill="auto"/>
            <w:vAlign w:val="center"/>
          </w:tcPr>
          <w:p w:rsidR="001A63C6" w:rsidRPr="003410C7" w:rsidRDefault="001A63C6" w:rsidP="001A63C6">
            <w:pPr>
              <w:pStyle w:val="TableText"/>
              <w:widowControl w:val="0"/>
              <w:rPr>
                <w:rFonts w:ascii="Tahoma" w:hAnsi="Tahoma" w:cs="Tahoma"/>
                <w:color w:val="000000"/>
                <w:sz w:val="13"/>
              </w:rPr>
            </w:pPr>
          </w:p>
        </w:tc>
        <w:tc>
          <w:tcPr>
            <w:tcW w:w="450" w:type="dxa"/>
            <w:tcBorders>
              <w:bottom w:val="single" w:sz="4" w:space="0" w:color="auto"/>
            </w:tcBorders>
            <w:shd w:val="clear" w:color="auto" w:fill="auto"/>
            <w:vAlign w:val="center"/>
          </w:tcPr>
          <w:p w:rsidR="001A63C6" w:rsidRPr="003410C7" w:rsidRDefault="001A63C6" w:rsidP="001A63C6">
            <w:pPr>
              <w:pStyle w:val="TableText"/>
              <w:widowControl w:val="0"/>
              <w:rPr>
                <w:rFonts w:ascii="Tahoma" w:hAnsi="Tahoma" w:cs="Tahoma"/>
                <w:color w:val="000000"/>
                <w:sz w:val="13"/>
              </w:rPr>
            </w:pPr>
          </w:p>
        </w:tc>
        <w:tc>
          <w:tcPr>
            <w:tcW w:w="450" w:type="dxa"/>
            <w:tcBorders>
              <w:bottom w:val="single" w:sz="4" w:space="0" w:color="auto"/>
            </w:tcBorders>
            <w:shd w:val="clear" w:color="auto" w:fill="auto"/>
            <w:vAlign w:val="center"/>
          </w:tcPr>
          <w:p w:rsidR="001A63C6" w:rsidRPr="003410C7" w:rsidRDefault="001A63C6" w:rsidP="001A63C6">
            <w:pPr>
              <w:pStyle w:val="TableText"/>
              <w:widowControl w:val="0"/>
              <w:rPr>
                <w:rFonts w:ascii="Tahoma" w:hAnsi="Tahoma" w:cs="Tahoma"/>
                <w:color w:val="000000"/>
                <w:sz w:val="13"/>
              </w:rPr>
            </w:pPr>
          </w:p>
        </w:tc>
        <w:tc>
          <w:tcPr>
            <w:tcW w:w="450" w:type="dxa"/>
            <w:tcBorders>
              <w:bottom w:val="single" w:sz="4" w:space="0" w:color="auto"/>
            </w:tcBorders>
            <w:shd w:val="clear" w:color="auto" w:fill="auto"/>
            <w:vAlign w:val="center"/>
          </w:tcPr>
          <w:p w:rsidR="001A63C6" w:rsidRPr="003410C7" w:rsidRDefault="001A63C6" w:rsidP="001A63C6">
            <w:pPr>
              <w:pStyle w:val="TableText"/>
              <w:widowControl w:val="0"/>
              <w:rPr>
                <w:rFonts w:ascii="Tahoma" w:hAnsi="Tahoma" w:cs="Tahoma"/>
                <w:color w:val="000000"/>
                <w:sz w:val="13"/>
              </w:rPr>
            </w:pPr>
          </w:p>
        </w:tc>
        <w:tc>
          <w:tcPr>
            <w:tcW w:w="450" w:type="dxa"/>
            <w:tcBorders>
              <w:bottom w:val="single" w:sz="4" w:space="0" w:color="auto"/>
            </w:tcBorders>
            <w:shd w:val="clear" w:color="auto" w:fill="auto"/>
            <w:vAlign w:val="center"/>
          </w:tcPr>
          <w:p w:rsidR="001A63C6" w:rsidRPr="003410C7" w:rsidRDefault="001A63C6" w:rsidP="001A63C6">
            <w:pPr>
              <w:pStyle w:val="TableText"/>
              <w:widowControl w:val="0"/>
              <w:rPr>
                <w:rFonts w:ascii="Tahoma" w:hAnsi="Tahoma" w:cs="Tahoma"/>
                <w:color w:val="000000"/>
                <w:sz w:val="13"/>
              </w:rPr>
            </w:pPr>
          </w:p>
        </w:tc>
        <w:tc>
          <w:tcPr>
            <w:tcW w:w="360" w:type="dxa"/>
            <w:tcBorders>
              <w:bottom w:val="single" w:sz="4" w:space="0" w:color="auto"/>
              <w:right w:val="single" w:sz="18" w:space="0" w:color="auto"/>
            </w:tcBorders>
            <w:shd w:val="clear" w:color="auto" w:fill="auto"/>
            <w:vAlign w:val="center"/>
          </w:tcPr>
          <w:p w:rsidR="001A63C6" w:rsidRPr="003410C7" w:rsidRDefault="001A63C6" w:rsidP="001A63C6">
            <w:pPr>
              <w:pStyle w:val="TableText"/>
              <w:widowControl w:val="0"/>
              <w:rPr>
                <w:rFonts w:ascii="Tahoma" w:hAnsi="Tahoma" w:cs="Tahoma"/>
                <w:color w:val="000000"/>
                <w:sz w:val="13"/>
              </w:rPr>
            </w:pPr>
          </w:p>
        </w:tc>
        <w:tc>
          <w:tcPr>
            <w:tcW w:w="450" w:type="dxa"/>
            <w:tcBorders>
              <w:left w:val="single" w:sz="18" w:space="0" w:color="auto"/>
              <w:bottom w:val="single" w:sz="4" w:space="0" w:color="auto"/>
            </w:tcBorders>
            <w:shd w:val="clear" w:color="auto" w:fill="auto"/>
            <w:vAlign w:val="center"/>
          </w:tcPr>
          <w:p w:rsidR="001A63C6" w:rsidRPr="003410C7" w:rsidRDefault="001A63C6" w:rsidP="001A63C6">
            <w:pPr>
              <w:pStyle w:val="TableText"/>
              <w:widowControl w:val="0"/>
              <w:rPr>
                <w:rFonts w:ascii="Tahoma" w:hAnsi="Tahoma" w:cs="Tahoma"/>
                <w:color w:val="000000"/>
                <w:sz w:val="13"/>
              </w:rPr>
            </w:pPr>
          </w:p>
        </w:tc>
        <w:tc>
          <w:tcPr>
            <w:tcW w:w="450" w:type="dxa"/>
            <w:tcBorders>
              <w:bottom w:val="single" w:sz="4" w:space="0" w:color="auto"/>
            </w:tcBorders>
            <w:shd w:val="clear" w:color="auto" w:fill="auto"/>
            <w:vAlign w:val="center"/>
          </w:tcPr>
          <w:p w:rsidR="001A63C6" w:rsidRPr="003410C7" w:rsidRDefault="001A63C6" w:rsidP="001A63C6">
            <w:pPr>
              <w:pStyle w:val="TableText"/>
              <w:widowControl w:val="0"/>
              <w:rPr>
                <w:rFonts w:ascii="Tahoma" w:hAnsi="Tahoma" w:cs="Tahoma"/>
                <w:color w:val="000000"/>
                <w:sz w:val="13"/>
              </w:rPr>
            </w:pPr>
          </w:p>
        </w:tc>
        <w:tc>
          <w:tcPr>
            <w:tcW w:w="450" w:type="dxa"/>
            <w:tcBorders>
              <w:bottom w:val="single" w:sz="4" w:space="0" w:color="auto"/>
              <w:right w:val="single" w:sz="18" w:space="0" w:color="auto"/>
            </w:tcBorders>
            <w:shd w:val="clear" w:color="auto" w:fill="auto"/>
            <w:vAlign w:val="center"/>
          </w:tcPr>
          <w:p w:rsidR="001A63C6" w:rsidRPr="003410C7" w:rsidRDefault="001A63C6" w:rsidP="001A63C6">
            <w:pPr>
              <w:pStyle w:val="TableText"/>
              <w:widowControl w:val="0"/>
              <w:rPr>
                <w:rFonts w:ascii="Tahoma" w:hAnsi="Tahoma" w:cs="Tahoma"/>
                <w:color w:val="000000"/>
                <w:sz w:val="13"/>
              </w:rPr>
            </w:pPr>
          </w:p>
        </w:tc>
        <w:tc>
          <w:tcPr>
            <w:tcW w:w="450" w:type="dxa"/>
            <w:tcBorders>
              <w:left w:val="single" w:sz="18" w:space="0" w:color="auto"/>
              <w:bottom w:val="single" w:sz="4" w:space="0" w:color="auto"/>
            </w:tcBorders>
            <w:shd w:val="clear" w:color="auto" w:fill="auto"/>
            <w:vAlign w:val="center"/>
          </w:tcPr>
          <w:p w:rsidR="001A63C6" w:rsidRPr="003410C7" w:rsidRDefault="001A63C6" w:rsidP="001A63C6">
            <w:pPr>
              <w:pStyle w:val="TableText"/>
              <w:widowControl w:val="0"/>
              <w:rPr>
                <w:rFonts w:ascii="Tahoma" w:hAnsi="Tahoma" w:cs="Tahoma"/>
                <w:color w:val="000000"/>
                <w:sz w:val="13"/>
              </w:rPr>
            </w:pPr>
            <w:r w:rsidRPr="003410C7">
              <w:rPr>
                <w:rFonts w:ascii="Tahoma" w:hAnsi="Tahoma" w:cs="Tahoma"/>
                <w:color w:val="000000"/>
                <w:sz w:val="13"/>
              </w:rPr>
              <w:t>5</w:t>
            </w:r>
          </w:p>
        </w:tc>
        <w:tc>
          <w:tcPr>
            <w:tcW w:w="450" w:type="dxa"/>
            <w:tcBorders>
              <w:bottom w:val="single" w:sz="4" w:space="0" w:color="auto"/>
              <w:right w:val="single" w:sz="18" w:space="0" w:color="auto"/>
            </w:tcBorders>
            <w:shd w:val="clear" w:color="auto" w:fill="auto"/>
            <w:vAlign w:val="center"/>
          </w:tcPr>
          <w:p w:rsidR="001A63C6" w:rsidRPr="003410C7" w:rsidRDefault="001A63C6" w:rsidP="001A63C6">
            <w:pPr>
              <w:pStyle w:val="TableText"/>
              <w:widowControl w:val="0"/>
              <w:rPr>
                <w:rFonts w:ascii="Tahoma" w:hAnsi="Tahoma" w:cs="Tahoma"/>
                <w:color w:val="000000"/>
                <w:sz w:val="13"/>
              </w:rPr>
            </w:pPr>
          </w:p>
        </w:tc>
        <w:tc>
          <w:tcPr>
            <w:tcW w:w="450" w:type="dxa"/>
            <w:tcBorders>
              <w:left w:val="single" w:sz="18" w:space="0" w:color="auto"/>
              <w:bottom w:val="single" w:sz="4" w:space="0" w:color="auto"/>
              <w:right w:val="single" w:sz="18" w:space="0" w:color="auto"/>
            </w:tcBorders>
            <w:shd w:val="clear" w:color="auto" w:fill="auto"/>
            <w:vAlign w:val="center"/>
          </w:tcPr>
          <w:p w:rsidR="001A63C6" w:rsidRPr="003410C7" w:rsidRDefault="001A63C6" w:rsidP="001A63C6">
            <w:pPr>
              <w:pStyle w:val="TableText"/>
              <w:widowControl w:val="0"/>
              <w:rPr>
                <w:rFonts w:ascii="Tahoma" w:hAnsi="Tahoma" w:cs="Tahoma"/>
                <w:color w:val="000000"/>
                <w:sz w:val="13"/>
              </w:rPr>
            </w:pPr>
          </w:p>
        </w:tc>
        <w:tc>
          <w:tcPr>
            <w:tcW w:w="450" w:type="dxa"/>
            <w:tcBorders>
              <w:bottom w:val="single" w:sz="4" w:space="0" w:color="auto"/>
            </w:tcBorders>
            <w:shd w:val="clear" w:color="auto" w:fill="auto"/>
          </w:tcPr>
          <w:p w:rsidR="001A63C6" w:rsidRPr="003410C7" w:rsidRDefault="001A63C6" w:rsidP="001A63C6">
            <w:pPr>
              <w:pStyle w:val="TableText"/>
              <w:widowControl w:val="0"/>
              <w:rPr>
                <w:rFonts w:ascii="Tahoma" w:hAnsi="Tahoma" w:cs="Tahoma"/>
                <w:color w:val="000000"/>
                <w:sz w:val="13"/>
              </w:rPr>
            </w:pPr>
            <w:r w:rsidRPr="003410C7">
              <w:rPr>
                <w:rFonts w:ascii="Tahoma" w:hAnsi="Tahoma" w:cs="Tahoma"/>
                <w:sz w:val="13"/>
              </w:rPr>
              <w:t>AO, ST</w:t>
            </w:r>
          </w:p>
        </w:tc>
        <w:tc>
          <w:tcPr>
            <w:tcW w:w="540" w:type="dxa"/>
            <w:tcBorders>
              <w:bottom w:val="single" w:sz="4" w:space="0" w:color="auto"/>
            </w:tcBorders>
            <w:shd w:val="clear" w:color="auto" w:fill="auto"/>
            <w:vAlign w:val="center"/>
          </w:tcPr>
          <w:p w:rsidR="001A63C6" w:rsidRPr="003410C7" w:rsidRDefault="001A63C6" w:rsidP="001A63C6">
            <w:pPr>
              <w:pStyle w:val="TableText"/>
              <w:widowControl w:val="0"/>
              <w:rPr>
                <w:rFonts w:ascii="Tahoma" w:hAnsi="Tahoma" w:cs="Tahoma"/>
                <w:color w:val="000000"/>
                <w:sz w:val="13"/>
              </w:rPr>
            </w:pPr>
          </w:p>
        </w:tc>
      </w:tr>
      <w:tr w:rsidR="00B33D0E" w:rsidRPr="003410C7" w:rsidTr="006B1F3F">
        <w:trPr>
          <w:trHeight w:val="145"/>
        </w:trPr>
        <w:tc>
          <w:tcPr>
            <w:tcW w:w="2734" w:type="dxa"/>
            <w:gridSpan w:val="2"/>
            <w:tcBorders>
              <w:bottom w:val="single" w:sz="4" w:space="0" w:color="auto"/>
            </w:tcBorders>
            <w:shd w:val="clear" w:color="auto" w:fill="FABF8F"/>
            <w:vAlign w:val="center"/>
          </w:tcPr>
          <w:p w:rsidR="001A63C6" w:rsidRPr="00451078" w:rsidRDefault="001A63C6" w:rsidP="00F57878">
            <w:pPr>
              <w:pStyle w:val="ProductNames"/>
              <w:spacing w:beforeLines="10" w:before="24" w:afterLines="10" w:after="24"/>
              <w:rPr>
                <w:rFonts w:ascii="Tahoma" w:hAnsi="Tahoma" w:cs="Tahoma"/>
                <w:sz w:val="14"/>
                <w:lang w:val="it-IT"/>
              </w:rPr>
            </w:pPr>
            <w:bookmarkStart w:id="426" w:name="_Toc257333904"/>
            <w:bookmarkStart w:id="427" w:name="_Toc336338068"/>
            <w:bookmarkStart w:id="428" w:name="_Toc352234671"/>
            <w:r w:rsidRPr="00451078">
              <w:rPr>
                <w:rFonts w:ascii="Tahoma" w:hAnsi="Tahoma" w:cs="Tahoma"/>
                <w:sz w:val="14"/>
                <w:lang w:val="it-IT"/>
              </w:rPr>
              <w:t>Licenza di Gestione Server Standard per</w:t>
            </w:r>
            <w:r w:rsidR="00F57878" w:rsidRPr="00451078">
              <w:rPr>
                <w:rFonts w:ascii="Tahoma" w:hAnsi="Tahoma" w:cs="Tahoma"/>
                <w:sz w:val="14"/>
                <w:lang w:val="it-IT"/>
              </w:rPr>
              <w:t> </w:t>
            </w:r>
            <w:r w:rsidRPr="00451078">
              <w:rPr>
                <w:rFonts w:ascii="Tahoma" w:hAnsi="Tahoma" w:cs="Tahoma"/>
                <w:sz w:val="14"/>
                <w:lang w:val="it-IT"/>
              </w:rPr>
              <w:t>System Center Data Protection Manager 2010</w:t>
            </w:r>
            <w:bookmarkEnd w:id="426"/>
            <w:bookmarkEnd w:id="427"/>
            <w:bookmarkEnd w:id="428"/>
            <w:r w:rsidRPr="00451078">
              <w:rPr>
                <w:rFonts w:ascii="Tahoma" w:hAnsi="Tahoma" w:cs="Tahoma"/>
                <w:sz w:val="14"/>
                <w:lang w:val="it-IT"/>
              </w:rPr>
              <w:t xml:space="preserve"> </w:t>
            </w:r>
          </w:p>
        </w:tc>
        <w:tc>
          <w:tcPr>
            <w:tcW w:w="450" w:type="dxa"/>
            <w:tcBorders>
              <w:bottom w:val="single" w:sz="4" w:space="0" w:color="auto"/>
            </w:tcBorders>
            <w:shd w:val="clear" w:color="auto" w:fill="FABF8F"/>
            <w:vAlign w:val="center"/>
          </w:tcPr>
          <w:p w:rsidR="001A63C6" w:rsidRPr="00451078" w:rsidRDefault="001A63C6" w:rsidP="001A63C6">
            <w:pPr>
              <w:pStyle w:val="TableText"/>
              <w:widowControl w:val="0"/>
              <w:rPr>
                <w:rStyle w:val="EndnoteReference"/>
                <w:color w:val="0000FF"/>
                <w:sz w:val="13"/>
                <w:szCs w:val="13"/>
                <w:u w:val="single"/>
                <w:lang w:val="it-IT"/>
              </w:rPr>
            </w:pPr>
          </w:p>
        </w:tc>
        <w:tc>
          <w:tcPr>
            <w:tcW w:w="450" w:type="dxa"/>
            <w:tcBorders>
              <w:bottom w:val="single" w:sz="4" w:space="0" w:color="auto"/>
            </w:tcBorders>
            <w:shd w:val="clear" w:color="auto" w:fill="FABF8F"/>
          </w:tcPr>
          <w:p w:rsidR="001A63C6" w:rsidRPr="003410C7" w:rsidRDefault="001A63C6" w:rsidP="001A63C6">
            <w:pPr>
              <w:pStyle w:val="TableText"/>
              <w:widowControl w:val="0"/>
              <w:spacing w:before="180"/>
              <w:rPr>
                <w:rFonts w:ascii="Tahoma" w:hAnsi="Tahoma" w:cs="Tahoma"/>
                <w:color w:val="000000"/>
                <w:sz w:val="13"/>
              </w:rPr>
            </w:pPr>
            <w:r w:rsidRPr="003410C7">
              <w:rPr>
                <w:rFonts w:ascii="Tahoma" w:hAnsi="Tahoma" w:cs="Tahoma"/>
                <w:sz w:val="13"/>
              </w:rPr>
              <w:t>06/10</w:t>
            </w:r>
          </w:p>
        </w:tc>
        <w:tc>
          <w:tcPr>
            <w:tcW w:w="360" w:type="dxa"/>
            <w:tcBorders>
              <w:bottom w:val="single" w:sz="4" w:space="0" w:color="auto"/>
              <w:right w:val="single" w:sz="18" w:space="0" w:color="auto"/>
            </w:tcBorders>
            <w:shd w:val="clear" w:color="auto" w:fill="FABF8F"/>
            <w:vAlign w:val="center"/>
          </w:tcPr>
          <w:p w:rsidR="001A63C6" w:rsidRPr="003410C7" w:rsidRDefault="001A63C6" w:rsidP="001A63C6">
            <w:pPr>
              <w:pStyle w:val="TableText"/>
              <w:widowControl w:val="0"/>
              <w:rPr>
                <w:rFonts w:ascii="Tahoma" w:hAnsi="Tahoma" w:cs="Tahoma"/>
                <w:color w:val="000000"/>
                <w:sz w:val="13"/>
              </w:rPr>
            </w:pPr>
            <w:r w:rsidRPr="003410C7">
              <w:rPr>
                <w:rFonts w:ascii="Tahoma" w:hAnsi="Tahoma" w:cs="Tahoma"/>
                <w:color w:val="000000"/>
                <w:sz w:val="13"/>
              </w:rPr>
              <w:t>SRV</w:t>
            </w:r>
          </w:p>
        </w:tc>
        <w:tc>
          <w:tcPr>
            <w:tcW w:w="360" w:type="dxa"/>
            <w:tcBorders>
              <w:left w:val="single" w:sz="18" w:space="0" w:color="auto"/>
              <w:bottom w:val="single" w:sz="4" w:space="0" w:color="auto"/>
            </w:tcBorders>
            <w:shd w:val="clear" w:color="auto" w:fill="FABF8F"/>
            <w:vAlign w:val="center"/>
          </w:tcPr>
          <w:p w:rsidR="001A63C6" w:rsidRPr="003410C7" w:rsidRDefault="001A63C6" w:rsidP="001A63C6">
            <w:pPr>
              <w:pStyle w:val="TableText"/>
              <w:widowControl w:val="0"/>
              <w:rPr>
                <w:rFonts w:ascii="Tahoma" w:hAnsi="Tahoma" w:cs="Tahoma"/>
                <w:color w:val="000000"/>
                <w:sz w:val="13"/>
              </w:rPr>
            </w:pPr>
          </w:p>
        </w:tc>
        <w:tc>
          <w:tcPr>
            <w:tcW w:w="450" w:type="dxa"/>
            <w:tcBorders>
              <w:bottom w:val="single" w:sz="4" w:space="0" w:color="auto"/>
            </w:tcBorders>
            <w:shd w:val="clear" w:color="auto" w:fill="FABF8F"/>
            <w:vAlign w:val="center"/>
          </w:tcPr>
          <w:p w:rsidR="001A63C6" w:rsidRPr="003410C7" w:rsidRDefault="001A63C6" w:rsidP="001A63C6">
            <w:pPr>
              <w:pStyle w:val="TableText"/>
              <w:widowControl w:val="0"/>
              <w:rPr>
                <w:rFonts w:ascii="Tahoma" w:hAnsi="Tahoma" w:cs="Tahoma"/>
                <w:color w:val="000000"/>
                <w:sz w:val="13"/>
              </w:rPr>
            </w:pPr>
          </w:p>
        </w:tc>
        <w:tc>
          <w:tcPr>
            <w:tcW w:w="450" w:type="dxa"/>
            <w:tcBorders>
              <w:bottom w:val="single" w:sz="4" w:space="0" w:color="auto"/>
            </w:tcBorders>
            <w:shd w:val="clear" w:color="auto" w:fill="FABF8F"/>
            <w:vAlign w:val="center"/>
          </w:tcPr>
          <w:p w:rsidR="001A63C6" w:rsidRPr="003410C7" w:rsidRDefault="001A63C6" w:rsidP="001A63C6">
            <w:pPr>
              <w:pStyle w:val="TableText"/>
              <w:widowControl w:val="0"/>
              <w:rPr>
                <w:rFonts w:ascii="Tahoma" w:hAnsi="Tahoma" w:cs="Tahoma"/>
                <w:color w:val="000000"/>
                <w:sz w:val="13"/>
              </w:rPr>
            </w:pPr>
          </w:p>
        </w:tc>
        <w:tc>
          <w:tcPr>
            <w:tcW w:w="450" w:type="dxa"/>
            <w:tcBorders>
              <w:bottom w:val="single" w:sz="4" w:space="0" w:color="auto"/>
            </w:tcBorders>
            <w:shd w:val="clear" w:color="auto" w:fill="FABF8F"/>
            <w:vAlign w:val="center"/>
          </w:tcPr>
          <w:p w:rsidR="001A63C6" w:rsidRPr="003410C7" w:rsidRDefault="001A63C6" w:rsidP="001A63C6">
            <w:pPr>
              <w:pStyle w:val="TableText"/>
              <w:widowControl w:val="0"/>
              <w:rPr>
                <w:rFonts w:ascii="Tahoma" w:hAnsi="Tahoma" w:cs="Tahoma"/>
                <w:color w:val="000000"/>
                <w:sz w:val="13"/>
              </w:rPr>
            </w:pPr>
          </w:p>
        </w:tc>
        <w:tc>
          <w:tcPr>
            <w:tcW w:w="450" w:type="dxa"/>
            <w:tcBorders>
              <w:bottom w:val="single" w:sz="4" w:space="0" w:color="auto"/>
            </w:tcBorders>
            <w:shd w:val="clear" w:color="auto" w:fill="FABF8F"/>
            <w:vAlign w:val="center"/>
          </w:tcPr>
          <w:p w:rsidR="001A63C6" w:rsidRPr="003410C7" w:rsidRDefault="001A63C6" w:rsidP="001A63C6">
            <w:pPr>
              <w:pStyle w:val="TableText"/>
              <w:widowControl w:val="0"/>
              <w:rPr>
                <w:rFonts w:ascii="Tahoma" w:hAnsi="Tahoma" w:cs="Tahoma"/>
                <w:color w:val="000000"/>
                <w:sz w:val="13"/>
              </w:rPr>
            </w:pPr>
          </w:p>
        </w:tc>
        <w:tc>
          <w:tcPr>
            <w:tcW w:w="450" w:type="dxa"/>
            <w:tcBorders>
              <w:bottom w:val="single" w:sz="4" w:space="0" w:color="auto"/>
            </w:tcBorders>
            <w:shd w:val="clear" w:color="auto" w:fill="FABF8F"/>
            <w:vAlign w:val="center"/>
          </w:tcPr>
          <w:p w:rsidR="001A63C6" w:rsidRPr="003410C7" w:rsidRDefault="001A63C6" w:rsidP="001A63C6">
            <w:pPr>
              <w:pStyle w:val="TableText"/>
              <w:widowControl w:val="0"/>
              <w:rPr>
                <w:rFonts w:ascii="Tahoma" w:hAnsi="Tahoma" w:cs="Tahoma"/>
                <w:color w:val="000000"/>
                <w:sz w:val="13"/>
              </w:rPr>
            </w:pPr>
          </w:p>
        </w:tc>
        <w:tc>
          <w:tcPr>
            <w:tcW w:w="360" w:type="dxa"/>
            <w:tcBorders>
              <w:bottom w:val="single" w:sz="4" w:space="0" w:color="auto"/>
              <w:right w:val="single" w:sz="18" w:space="0" w:color="auto"/>
            </w:tcBorders>
            <w:shd w:val="clear" w:color="auto" w:fill="FABF8F"/>
            <w:vAlign w:val="center"/>
          </w:tcPr>
          <w:p w:rsidR="001A63C6" w:rsidRPr="003410C7" w:rsidRDefault="001A63C6" w:rsidP="001A63C6">
            <w:pPr>
              <w:pStyle w:val="TableText"/>
              <w:widowControl w:val="0"/>
              <w:rPr>
                <w:rFonts w:ascii="Tahoma" w:hAnsi="Tahoma" w:cs="Tahoma"/>
                <w:color w:val="000000"/>
                <w:sz w:val="13"/>
              </w:rPr>
            </w:pPr>
          </w:p>
        </w:tc>
        <w:tc>
          <w:tcPr>
            <w:tcW w:w="450" w:type="dxa"/>
            <w:tcBorders>
              <w:left w:val="single" w:sz="18" w:space="0" w:color="auto"/>
              <w:bottom w:val="single" w:sz="4" w:space="0" w:color="auto"/>
            </w:tcBorders>
            <w:shd w:val="clear" w:color="auto" w:fill="FABF8F"/>
            <w:vAlign w:val="center"/>
          </w:tcPr>
          <w:p w:rsidR="001A63C6" w:rsidRPr="003410C7" w:rsidRDefault="001A63C6" w:rsidP="001A63C6">
            <w:pPr>
              <w:pStyle w:val="TableText"/>
              <w:widowControl w:val="0"/>
              <w:rPr>
                <w:rFonts w:ascii="Tahoma" w:hAnsi="Tahoma" w:cs="Tahoma"/>
                <w:color w:val="000000"/>
                <w:sz w:val="13"/>
              </w:rPr>
            </w:pPr>
          </w:p>
        </w:tc>
        <w:tc>
          <w:tcPr>
            <w:tcW w:w="450" w:type="dxa"/>
            <w:tcBorders>
              <w:bottom w:val="single" w:sz="4" w:space="0" w:color="auto"/>
            </w:tcBorders>
            <w:shd w:val="clear" w:color="auto" w:fill="FABF8F"/>
            <w:vAlign w:val="center"/>
          </w:tcPr>
          <w:p w:rsidR="001A63C6" w:rsidRPr="003410C7" w:rsidRDefault="001A63C6" w:rsidP="001A63C6">
            <w:pPr>
              <w:pStyle w:val="TableText"/>
              <w:widowControl w:val="0"/>
              <w:rPr>
                <w:rFonts w:ascii="Tahoma" w:hAnsi="Tahoma" w:cs="Tahoma"/>
                <w:color w:val="000000"/>
                <w:sz w:val="13"/>
              </w:rPr>
            </w:pPr>
          </w:p>
        </w:tc>
        <w:tc>
          <w:tcPr>
            <w:tcW w:w="450" w:type="dxa"/>
            <w:tcBorders>
              <w:bottom w:val="single" w:sz="4" w:space="0" w:color="auto"/>
              <w:right w:val="single" w:sz="18" w:space="0" w:color="auto"/>
            </w:tcBorders>
            <w:shd w:val="clear" w:color="auto" w:fill="FABF8F"/>
            <w:vAlign w:val="center"/>
          </w:tcPr>
          <w:p w:rsidR="001A63C6" w:rsidRPr="003410C7" w:rsidRDefault="001A63C6" w:rsidP="001A63C6">
            <w:pPr>
              <w:pStyle w:val="TableText"/>
              <w:widowControl w:val="0"/>
              <w:rPr>
                <w:rFonts w:ascii="Tahoma" w:hAnsi="Tahoma" w:cs="Tahoma"/>
                <w:color w:val="000000"/>
                <w:sz w:val="13"/>
              </w:rPr>
            </w:pPr>
          </w:p>
        </w:tc>
        <w:tc>
          <w:tcPr>
            <w:tcW w:w="450" w:type="dxa"/>
            <w:tcBorders>
              <w:left w:val="single" w:sz="18" w:space="0" w:color="auto"/>
              <w:bottom w:val="single" w:sz="4" w:space="0" w:color="auto"/>
            </w:tcBorders>
            <w:shd w:val="clear" w:color="auto" w:fill="FABF8F"/>
            <w:vAlign w:val="center"/>
          </w:tcPr>
          <w:p w:rsidR="001A63C6" w:rsidRPr="003410C7" w:rsidRDefault="001A63C6" w:rsidP="001A63C6">
            <w:pPr>
              <w:pStyle w:val="TableText"/>
              <w:widowControl w:val="0"/>
              <w:rPr>
                <w:rFonts w:ascii="Tahoma" w:hAnsi="Tahoma" w:cs="Tahoma"/>
                <w:color w:val="000000"/>
                <w:sz w:val="13"/>
              </w:rPr>
            </w:pPr>
            <w:r w:rsidRPr="003410C7">
              <w:rPr>
                <w:rFonts w:ascii="Tahoma" w:hAnsi="Tahoma" w:cs="Tahoma"/>
                <w:color w:val="000000"/>
                <w:sz w:val="13"/>
              </w:rPr>
              <w:t>1</w:t>
            </w:r>
          </w:p>
        </w:tc>
        <w:tc>
          <w:tcPr>
            <w:tcW w:w="450" w:type="dxa"/>
            <w:tcBorders>
              <w:bottom w:val="single" w:sz="4" w:space="0" w:color="auto"/>
              <w:right w:val="single" w:sz="18" w:space="0" w:color="auto"/>
            </w:tcBorders>
            <w:shd w:val="clear" w:color="auto" w:fill="FABF8F"/>
            <w:vAlign w:val="center"/>
          </w:tcPr>
          <w:p w:rsidR="001A63C6" w:rsidRPr="003410C7" w:rsidRDefault="001A63C6" w:rsidP="001A63C6">
            <w:pPr>
              <w:pStyle w:val="TableText"/>
              <w:widowControl w:val="0"/>
              <w:rPr>
                <w:rFonts w:ascii="Tahoma" w:hAnsi="Tahoma" w:cs="Tahoma"/>
                <w:color w:val="000000"/>
                <w:sz w:val="13"/>
              </w:rPr>
            </w:pP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3410C7" w:rsidRDefault="001A63C6" w:rsidP="001A63C6">
            <w:pPr>
              <w:pStyle w:val="TableText"/>
              <w:widowControl w:val="0"/>
              <w:rPr>
                <w:rFonts w:ascii="Tahoma" w:hAnsi="Tahoma" w:cs="Tahoma"/>
                <w:color w:val="000000"/>
                <w:sz w:val="13"/>
              </w:rPr>
            </w:pPr>
          </w:p>
        </w:tc>
        <w:tc>
          <w:tcPr>
            <w:tcW w:w="450" w:type="dxa"/>
            <w:tcBorders>
              <w:bottom w:val="single" w:sz="4" w:space="0" w:color="auto"/>
            </w:tcBorders>
            <w:shd w:val="clear" w:color="auto" w:fill="FABF8F"/>
          </w:tcPr>
          <w:p w:rsidR="001A63C6" w:rsidRPr="003410C7" w:rsidRDefault="001A63C6" w:rsidP="001A63C6">
            <w:pPr>
              <w:pStyle w:val="TableText"/>
              <w:widowControl w:val="0"/>
              <w:rPr>
                <w:rFonts w:ascii="Tahoma" w:hAnsi="Tahoma" w:cs="Tahoma"/>
                <w:color w:val="000000"/>
                <w:sz w:val="13"/>
              </w:rPr>
            </w:pPr>
            <w:r w:rsidRPr="003410C7">
              <w:rPr>
                <w:rFonts w:ascii="Tahoma" w:hAnsi="Tahoma" w:cs="Tahoma"/>
                <w:sz w:val="13"/>
              </w:rPr>
              <w:t>AO, ST</w:t>
            </w:r>
          </w:p>
        </w:tc>
        <w:tc>
          <w:tcPr>
            <w:tcW w:w="540" w:type="dxa"/>
            <w:tcBorders>
              <w:bottom w:val="single" w:sz="4" w:space="0" w:color="auto"/>
            </w:tcBorders>
            <w:shd w:val="clear" w:color="auto" w:fill="FABF8F"/>
            <w:vAlign w:val="center"/>
          </w:tcPr>
          <w:p w:rsidR="001A63C6" w:rsidRPr="003410C7" w:rsidRDefault="001A63C6" w:rsidP="001A63C6">
            <w:pPr>
              <w:pStyle w:val="TableText"/>
              <w:widowControl w:val="0"/>
              <w:rPr>
                <w:rFonts w:ascii="Tahoma" w:hAnsi="Tahoma" w:cs="Tahoma"/>
                <w:color w:val="000000"/>
                <w:sz w:val="13"/>
              </w:rPr>
            </w:pPr>
          </w:p>
        </w:tc>
      </w:tr>
      <w:tr w:rsidR="001A63C6" w:rsidRPr="003410C7" w:rsidTr="007E466C">
        <w:trPr>
          <w:trHeight w:val="145"/>
        </w:trPr>
        <w:tc>
          <w:tcPr>
            <w:tcW w:w="2734" w:type="dxa"/>
            <w:gridSpan w:val="2"/>
            <w:tcBorders>
              <w:bottom w:val="single" w:sz="4" w:space="0" w:color="auto"/>
            </w:tcBorders>
            <w:shd w:val="clear" w:color="auto" w:fill="auto"/>
            <w:vAlign w:val="center"/>
          </w:tcPr>
          <w:p w:rsidR="001A63C6" w:rsidRPr="003410C7" w:rsidRDefault="001A63C6" w:rsidP="003410C7">
            <w:pPr>
              <w:pStyle w:val="ProductNames"/>
              <w:spacing w:beforeLines="20" w:before="48" w:afterLines="20" w:after="48"/>
              <w:rPr>
                <w:rFonts w:ascii="Tahoma" w:hAnsi="Tahoma" w:cs="Tahoma"/>
                <w:sz w:val="14"/>
              </w:rPr>
            </w:pPr>
            <w:bookmarkStart w:id="429" w:name="_Toc336338069"/>
            <w:bookmarkStart w:id="430" w:name="_Toc352234672"/>
            <w:bookmarkStart w:id="431" w:name="_Toc257333905"/>
            <w:r w:rsidRPr="003410C7">
              <w:rPr>
                <w:rFonts w:ascii="Tahoma" w:hAnsi="Tahoma" w:cs="Tahoma"/>
                <w:sz w:val="14"/>
              </w:rPr>
              <w:t>System Center Essentials 2010</w:t>
            </w:r>
            <w:bookmarkEnd w:id="429"/>
            <w:bookmarkEnd w:id="430"/>
            <w:r w:rsidRPr="003410C7">
              <w:rPr>
                <w:rFonts w:ascii="Tahoma" w:hAnsi="Tahoma" w:cs="Tahoma"/>
                <w:sz w:val="14"/>
              </w:rPr>
              <w:t xml:space="preserve"> </w:t>
            </w:r>
            <w:bookmarkEnd w:id="431"/>
          </w:p>
        </w:tc>
        <w:tc>
          <w:tcPr>
            <w:tcW w:w="450" w:type="dxa"/>
            <w:tcBorders>
              <w:bottom w:val="single" w:sz="4" w:space="0" w:color="auto"/>
            </w:tcBorders>
            <w:shd w:val="clear" w:color="auto" w:fill="auto"/>
            <w:vAlign w:val="center"/>
          </w:tcPr>
          <w:p w:rsidR="001A63C6" w:rsidRPr="009F17FF" w:rsidRDefault="00FC1A4D" w:rsidP="00EC1C09">
            <w:pPr>
              <w:pStyle w:val="TableText"/>
              <w:widowControl w:val="0"/>
              <w:rPr>
                <w:rStyle w:val="EndnoteReference"/>
                <w:color w:val="0000FF"/>
                <w:sz w:val="13"/>
                <w:szCs w:val="13"/>
                <w:u w:val="single"/>
              </w:rPr>
            </w:pPr>
            <w:hyperlink w:anchor="_84_System_Center" w:history="1">
              <w:r w:rsidR="000D77F6" w:rsidRPr="009F17FF">
                <w:rPr>
                  <w:rStyle w:val="Hyperlink"/>
                  <w:sz w:val="13"/>
                  <w:szCs w:val="13"/>
                </w:rPr>
                <w:t>84</w:t>
              </w:r>
            </w:hyperlink>
          </w:p>
        </w:tc>
        <w:tc>
          <w:tcPr>
            <w:tcW w:w="450" w:type="dxa"/>
            <w:tcBorders>
              <w:bottom w:val="single" w:sz="4" w:space="0" w:color="auto"/>
            </w:tcBorders>
            <w:shd w:val="clear" w:color="auto" w:fill="auto"/>
          </w:tcPr>
          <w:p w:rsidR="001A63C6" w:rsidRPr="003410C7" w:rsidRDefault="001A63C6" w:rsidP="001A63C6">
            <w:pPr>
              <w:pStyle w:val="TableText"/>
              <w:widowControl w:val="0"/>
              <w:spacing w:before="120"/>
              <w:rPr>
                <w:rFonts w:ascii="Tahoma" w:hAnsi="Tahoma" w:cs="Tahoma"/>
                <w:color w:val="000000"/>
                <w:sz w:val="13"/>
              </w:rPr>
            </w:pPr>
          </w:p>
        </w:tc>
        <w:tc>
          <w:tcPr>
            <w:tcW w:w="360" w:type="dxa"/>
            <w:tcBorders>
              <w:bottom w:val="single" w:sz="4" w:space="0" w:color="auto"/>
              <w:right w:val="single" w:sz="18" w:space="0" w:color="auto"/>
            </w:tcBorders>
            <w:shd w:val="clear" w:color="auto" w:fill="auto"/>
            <w:vAlign w:val="center"/>
          </w:tcPr>
          <w:p w:rsidR="001A63C6" w:rsidRPr="003410C7" w:rsidRDefault="001A63C6" w:rsidP="001A63C6">
            <w:pPr>
              <w:pStyle w:val="TableText"/>
              <w:widowControl w:val="0"/>
              <w:rPr>
                <w:rFonts w:ascii="Tahoma" w:hAnsi="Tahoma" w:cs="Tahoma"/>
                <w:color w:val="000000"/>
                <w:sz w:val="13"/>
              </w:rPr>
            </w:pPr>
          </w:p>
        </w:tc>
        <w:tc>
          <w:tcPr>
            <w:tcW w:w="360" w:type="dxa"/>
            <w:tcBorders>
              <w:left w:val="single" w:sz="18" w:space="0" w:color="auto"/>
              <w:bottom w:val="single" w:sz="4" w:space="0" w:color="auto"/>
            </w:tcBorders>
            <w:shd w:val="clear" w:color="auto" w:fill="auto"/>
            <w:vAlign w:val="center"/>
          </w:tcPr>
          <w:p w:rsidR="001A63C6" w:rsidRPr="003410C7" w:rsidRDefault="001A63C6" w:rsidP="001A63C6">
            <w:pPr>
              <w:pStyle w:val="TableText"/>
              <w:widowControl w:val="0"/>
              <w:rPr>
                <w:rFonts w:ascii="Tahoma" w:hAnsi="Tahoma" w:cs="Tahoma"/>
                <w:color w:val="000000"/>
                <w:sz w:val="13"/>
              </w:rPr>
            </w:pPr>
          </w:p>
        </w:tc>
        <w:tc>
          <w:tcPr>
            <w:tcW w:w="450" w:type="dxa"/>
            <w:tcBorders>
              <w:bottom w:val="single" w:sz="4" w:space="0" w:color="auto"/>
            </w:tcBorders>
            <w:shd w:val="clear" w:color="auto" w:fill="auto"/>
            <w:vAlign w:val="center"/>
          </w:tcPr>
          <w:p w:rsidR="001A63C6" w:rsidRPr="003410C7" w:rsidRDefault="001A63C6" w:rsidP="001A63C6">
            <w:pPr>
              <w:pStyle w:val="TableText"/>
              <w:widowControl w:val="0"/>
              <w:rPr>
                <w:rFonts w:ascii="Tahoma" w:hAnsi="Tahoma" w:cs="Tahoma"/>
                <w:color w:val="000000"/>
                <w:sz w:val="13"/>
              </w:rPr>
            </w:pPr>
          </w:p>
        </w:tc>
        <w:tc>
          <w:tcPr>
            <w:tcW w:w="450" w:type="dxa"/>
            <w:tcBorders>
              <w:bottom w:val="single" w:sz="4" w:space="0" w:color="auto"/>
            </w:tcBorders>
            <w:shd w:val="clear" w:color="auto" w:fill="auto"/>
            <w:vAlign w:val="center"/>
          </w:tcPr>
          <w:p w:rsidR="001A63C6" w:rsidRPr="003410C7" w:rsidRDefault="001A63C6" w:rsidP="001A63C6">
            <w:pPr>
              <w:pStyle w:val="TableText"/>
              <w:widowControl w:val="0"/>
              <w:rPr>
                <w:rFonts w:ascii="Tahoma" w:hAnsi="Tahoma" w:cs="Tahoma"/>
                <w:color w:val="000000"/>
                <w:sz w:val="13"/>
              </w:rPr>
            </w:pPr>
          </w:p>
        </w:tc>
        <w:tc>
          <w:tcPr>
            <w:tcW w:w="450" w:type="dxa"/>
            <w:tcBorders>
              <w:bottom w:val="single" w:sz="4" w:space="0" w:color="auto"/>
            </w:tcBorders>
            <w:shd w:val="clear" w:color="auto" w:fill="auto"/>
            <w:vAlign w:val="center"/>
          </w:tcPr>
          <w:p w:rsidR="001A63C6" w:rsidRPr="003410C7" w:rsidRDefault="001A63C6" w:rsidP="001A63C6">
            <w:pPr>
              <w:pStyle w:val="TableText"/>
              <w:widowControl w:val="0"/>
              <w:rPr>
                <w:rFonts w:ascii="Tahoma" w:hAnsi="Tahoma" w:cs="Tahoma"/>
                <w:color w:val="000000"/>
                <w:sz w:val="13"/>
              </w:rPr>
            </w:pPr>
          </w:p>
        </w:tc>
        <w:tc>
          <w:tcPr>
            <w:tcW w:w="450" w:type="dxa"/>
            <w:tcBorders>
              <w:bottom w:val="single" w:sz="4" w:space="0" w:color="auto"/>
            </w:tcBorders>
            <w:shd w:val="clear" w:color="auto" w:fill="auto"/>
            <w:vAlign w:val="center"/>
          </w:tcPr>
          <w:p w:rsidR="001A63C6" w:rsidRPr="003410C7" w:rsidRDefault="001A63C6" w:rsidP="001A63C6">
            <w:pPr>
              <w:pStyle w:val="TableText"/>
              <w:widowControl w:val="0"/>
              <w:rPr>
                <w:rFonts w:ascii="Tahoma" w:hAnsi="Tahoma" w:cs="Tahoma"/>
                <w:color w:val="000000"/>
                <w:sz w:val="13"/>
              </w:rPr>
            </w:pPr>
          </w:p>
        </w:tc>
        <w:tc>
          <w:tcPr>
            <w:tcW w:w="450" w:type="dxa"/>
            <w:tcBorders>
              <w:bottom w:val="single" w:sz="4" w:space="0" w:color="auto"/>
            </w:tcBorders>
            <w:shd w:val="clear" w:color="auto" w:fill="auto"/>
            <w:vAlign w:val="center"/>
          </w:tcPr>
          <w:p w:rsidR="001A63C6" w:rsidRPr="003410C7" w:rsidRDefault="001A63C6" w:rsidP="001A63C6">
            <w:pPr>
              <w:pStyle w:val="TableText"/>
              <w:widowControl w:val="0"/>
              <w:rPr>
                <w:rFonts w:ascii="Tahoma" w:hAnsi="Tahoma" w:cs="Tahoma"/>
                <w:color w:val="000000"/>
                <w:sz w:val="13"/>
              </w:rPr>
            </w:pPr>
          </w:p>
        </w:tc>
        <w:tc>
          <w:tcPr>
            <w:tcW w:w="360" w:type="dxa"/>
            <w:tcBorders>
              <w:bottom w:val="single" w:sz="4" w:space="0" w:color="auto"/>
              <w:right w:val="single" w:sz="18" w:space="0" w:color="auto"/>
            </w:tcBorders>
            <w:shd w:val="clear" w:color="auto" w:fill="auto"/>
            <w:vAlign w:val="center"/>
          </w:tcPr>
          <w:p w:rsidR="001A63C6" w:rsidRPr="003410C7" w:rsidRDefault="001A63C6" w:rsidP="001A63C6">
            <w:pPr>
              <w:pStyle w:val="TableText"/>
              <w:widowControl w:val="0"/>
              <w:rPr>
                <w:rFonts w:ascii="Tahoma" w:hAnsi="Tahoma" w:cs="Tahoma"/>
                <w:color w:val="000000"/>
                <w:sz w:val="13"/>
              </w:rPr>
            </w:pPr>
          </w:p>
        </w:tc>
        <w:tc>
          <w:tcPr>
            <w:tcW w:w="450" w:type="dxa"/>
            <w:tcBorders>
              <w:left w:val="single" w:sz="18" w:space="0" w:color="auto"/>
              <w:bottom w:val="single" w:sz="4" w:space="0" w:color="auto"/>
            </w:tcBorders>
            <w:shd w:val="clear" w:color="auto" w:fill="auto"/>
            <w:vAlign w:val="center"/>
          </w:tcPr>
          <w:p w:rsidR="001A63C6" w:rsidRPr="003410C7" w:rsidRDefault="001A63C6" w:rsidP="001A63C6">
            <w:pPr>
              <w:pStyle w:val="TableText"/>
              <w:widowControl w:val="0"/>
              <w:rPr>
                <w:rFonts w:ascii="Tahoma" w:hAnsi="Tahoma" w:cs="Tahoma"/>
                <w:color w:val="000000"/>
                <w:sz w:val="13"/>
              </w:rPr>
            </w:pPr>
          </w:p>
        </w:tc>
        <w:tc>
          <w:tcPr>
            <w:tcW w:w="450" w:type="dxa"/>
            <w:tcBorders>
              <w:bottom w:val="single" w:sz="4" w:space="0" w:color="auto"/>
            </w:tcBorders>
            <w:shd w:val="clear" w:color="auto" w:fill="auto"/>
            <w:vAlign w:val="center"/>
          </w:tcPr>
          <w:p w:rsidR="001A63C6" w:rsidRPr="003410C7" w:rsidRDefault="001A63C6" w:rsidP="001A63C6">
            <w:pPr>
              <w:pStyle w:val="TableText"/>
              <w:widowControl w:val="0"/>
              <w:rPr>
                <w:rFonts w:ascii="Tahoma" w:hAnsi="Tahoma" w:cs="Tahoma"/>
                <w:color w:val="000000"/>
                <w:sz w:val="13"/>
              </w:rPr>
            </w:pPr>
          </w:p>
        </w:tc>
        <w:tc>
          <w:tcPr>
            <w:tcW w:w="450" w:type="dxa"/>
            <w:tcBorders>
              <w:bottom w:val="single" w:sz="4" w:space="0" w:color="auto"/>
              <w:right w:val="single" w:sz="18" w:space="0" w:color="auto"/>
            </w:tcBorders>
            <w:shd w:val="clear" w:color="auto" w:fill="auto"/>
            <w:vAlign w:val="center"/>
          </w:tcPr>
          <w:p w:rsidR="001A63C6" w:rsidRPr="003410C7" w:rsidRDefault="001A63C6" w:rsidP="001A63C6">
            <w:pPr>
              <w:pStyle w:val="TableText"/>
              <w:widowControl w:val="0"/>
              <w:rPr>
                <w:rFonts w:ascii="Tahoma" w:hAnsi="Tahoma" w:cs="Tahoma"/>
                <w:color w:val="000000"/>
                <w:sz w:val="13"/>
              </w:rPr>
            </w:pPr>
          </w:p>
        </w:tc>
        <w:tc>
          <w:tcPr>
            <w:tcW w:w="450" w:type="dxa"/>
            <w:tcBorders>
              <w:left w:val="single" w:sz="18" w:space="0" w:color="auto"/>
              <w:bottom w:val="single" w:sz="4" w:space="0" w:color="auto"/>
            </w:tcBorders>
            <w:shd w:val="clear" w:color="auto" w:fill="auto"/>
            <w:vAlign w:val="center"/>
          </w:tcPr>
          <w:p w:rsidR="001A63C6" w:rsidRPr="003410C7" w:rsidRDefault="001A63C6" w:rsidP="001A63C6">
            <w:pPr>
              <w:pStyle w:val="TableText"/>
              <w:widowControl w:val="0"/>
              <w:rPr>
                <w:rFonts w:ascii="Tahoma" w:hAnsi="Tahoma" w:cs="Tahoma"/>
                <w:color w:val="000000"/>
                <w:sz w:val="13"/>
              </w:rPr>
            </w:pPr>
          </w:p>
        </w:tc>
        <w:tc>
          <w:tcPr>
            <w:tcW w:w="450" w:type="dxa"/>
            <w:tcBorders>
              <w:bottom w:val="single" w:sz="4" w:space="0" w:color="auto"/>
              <w:right w:val="single" w:sz="18" w:space="0" w:color="auto"/>
            </w:tcBorders>
            <w:shd w:val="clear" w:color="auto" w:fill="auto"/>
            <w:vAlign w:val="center"/>
          </w:tcPr>
          <w:p w:rsidR="001A63C6" w:rsidRPr="003410C7" w:rsidRDefault="001A63C6" w:rsidP="001A63C6">
            <w:pPr>
              <w:pStyle w:val="TableText"/>
              <w:widowControl w:val="0"/>
              <w:rPr>
                <w:rFonts w:ascii="Tahoma" w:hAnsi="Tahoma" w:cs="Tahoma"/>
                <w:color w:val="000000"/>
                <w:sz w:val="13"/>
              </w:rPr>
            </w:pPr>
          </w:p>
        </w:tc>
        <w:tc>
          <w:tcPr>
            <w:tcW w:w="450" w:type="dxa"/>
            <w:tcBorders>
              <w:left w:val="single" w:sz="18" w:space="0" w:color="auto"/>
              <w:bottom w:val="single" w:sz="4" w:space="0" w:color="auto"/>
              <w:right w:val="single" w:sz="18" w:space="0" w:color="auto"/>
            </w:tcBorders>
            <w:shd w:val="clear" w:color="auto" w:fill="auto"/>
            <w:vAlign w:val="center"/>
          </w:tcPr>
          <w:p w:rsidR="001A63C6" w:rsidRPr="003410C7" w:rsidRDefault="001A63C6" w:rsidP="001A63C6">
            <w:pPr>
              <w:pStyle w:val="TableText"/>
              <w:widowControl w:val="0"/>
              <w:rPr>
                <w:rFonts w:ascii="Tahoma" w:hAnsi="Tahoma" w:cs="Tahoma"/>
                <w:color w:val="000000"/>
                <w:sz w:val="13"/>
              </w:rPr>
            </w:pPr>
          </w:p>
        </w:tc>
        <w:tc>
          <w:tcPr>
            <w:tcW w:w="450" w:type="dxa"/>
            <w:tcBorders>
              <w:bottom w:val="single" w:sz="4" w:space="0" w:color="auto"/>
            </w:tcBorders>
            <w:shd w:val="clear" w:color="auto" w:fill="auto"/>
          </w:tcPr>
          <w:p w:rsidR="001A63C6" w:rsidRPr="003410C7" w:rsidRDefault="001A63C6" w:rsidP="001A63C6">
            <w:pPr>
              <w:pStyle w:val="TableText"/>
              <w:widowControl w:val="0"/>
              <w:rPr>
                <w:rFonts w:ascii="Tahoma" w:hAnsi="Tahoma" w:cs="Tahoma"/>
                <w:color w:val="000000"/>
                <w:sz w:val="13"/>
              </w:rPr>
            </w:pPr>
          </w:p>
        </w:tc>
        <w:tc>
          <w:tcPr>
            <w:tcW w:w="540" w:type="dxa"/>
            <w:tcBorders>
              <w:bottom w:val="single" w:sz="4" w:space="0" w:color="auto"/>
            </w:tcBorders>
            <w:shd w:val="clear" w:color="auto" w:fill="auto"/>
            <w:vAlign w:val="center"/>
          </w:tcPr>
          <w:p w:rsidR="001A63C6" w:rsidRPr="003410C7" w:rsidRDefault="001A63C6" w:rsidP="001A63C6">
            <w:pPr>
              <w:pStyle w:val="TableText"/>
              <w:widowControl w:val="0"/>
              <w:rPr>
                <w:rFonts w:ascii="Tahoma" w:hAnsi="Tahoma" w:cs="Tahoma"/>
                <w:color w:val="000000"/>
                <w:sz w:val="13"/>
              </w:rPr>
            </w:pPr>
          </w:p>
        </w:tc>
      </w:tr>
      <w:tr w:rsidR="00B33D0E" w:rsidRPr="003410C7" w:rsidTr="006B1F3F">
        <w:trPr>
          <w:trHeight w:val="145"/>
        </w:trPr>
        <w:tc>
          <w:tcPr>
            <w:tcW w:w="2734" w:type="dxa"/>
            <w:gridSpan w:val="2"/>
            <w:tcBorders>
              <w:bottom w:val="single" w:sz="4" w:space="0" w:color="auto"/>
            </w:tcBorders>
            <w:shd w:val="clear" w:color="auto" w:fill="FABF8F"/>
            <w:vAlign w:val="center"/>
          </w:tcPr>
          <w:p w:rsidR="001A63C6" w:rsidRPr="003410C7" w:rsidRDefault="001A63C6" w:rsidP="00F57878">
            <w:pPr>
              <w:pStyle w:val="ProductNames"/>
              <w:spacing w:beforeLines="20" w:before="48" w:afterLines="20" w:after="48"/>
              <w:rPr>
                <w:rFonts w:ascii="Tahoma" w:hAnsi="Tahoma" w:cs="Tahoma"/>
                <w:sz w:val="14"/>
              </w:rPr>
            </w:pPr>
            <w:bookmarkStart w:id="432" w:name="_Toc257333906"/>
            <w:bookmarkStart w:id="433" w:name="_Toc336338070"/>
            <w:bookmarkStart w:id="434" w:name="_Toc352234673"/>
            <w:r w:rsidRPr="003410C7">
              <w:rPr>
                <w:rFonts w:ascii="Tahoma" w:hAnsi="Tahoma" w:cs="Tahoma"/>
                <w:sz w:val="14"/>
              </w:rPr>
              <w:t>Client ML per System Center Essentials</w:t>
            </w:r>
            <w:r w:rsidR="00F57878">
              <w:rPr>
                <w:rFonts w:ascii="Tahoma" w:hAnsi="Tahoma" w:cs="Tahoma"/>
                <w:sz w:val="14"/>
              </w:rPr>
              <w:t> </w:t>
            </w:r>
            <w:r w:rsidRPr="003410C7">
              <w:rPr>
                <w:rFonts w:ascii="Tahoma" w:hAnsi="Tahoma" w:cs="Tahoma"/>
                <w:sz w:val="14"/>
              </w:rPr>
              <w:t>2010</w:t>
            </w:r>
            <w:bookmarkEnd w:id="432"/>
            <w:bookmarkEnd w:id="433"/>
            <w:bookmarkEnd w:id="434"/>
          </w:p>
        </w:tc>
        <w:tc>
          <w:tcPr>
            <w:tcW w:w="450" w:type="dxa"/>
            <w:tcBorders>
              <w:bottom w:val="single" w:sz="4" w:space="0" w:color="auto"/>
            </w:tcBorders>
            <w:shd w:val="clear" w:color="auto" w:fill="FABF8F"/>
            <w:vAlign w:val="center"/>
          </w:tcPr>
          <w:p w:rsidR="001A63C6" w:rsidRPr="009F17FF" w:rsidRDefault="001A63C6" w:rsidP="001A63C6">
            <w:pPr>
              <w:pStyle w:val="TableText"/>
              <w:widowControl w:val="0"/>
              <w:rPr>
                <w:rStyle w:val="EndnoteReference"/>
                <w:sz w:val="13"/>
                <w:szCs w:val="13"/>
                <w:u w:val="single"/>
              </w:rPr>
            </w:pPr>
          </w:p>
        </w:tc>
        <w:tc>
          <w:tcPr>
            <w:tcW w:w="450" w:type="dxa"/>
            <w:tcBorders>
              <w:bottom w:val="single" w:sz="4" w:space="0" w:color="auto"/>
            </w:tcBorders>
            <w:shd w:val="clear" w:color="auto" w:fill="FABF8F"/>
          </w:tcPr>
          <w:p w:rsidR="001A63C6" w:rsidRPr="003410C7" w:rsidRDefault="001A63C6" w:rsidP="001A63C6">
            <w:pPr>
              <w:pStyle w:val="TableText"/>
              <w:widowControl w:val="0"/>
              <w:spacing w:before="100"/>
              <w:rPr>
                <w:rFonts w:ascii="Tahoma" w:hAnsi="Tahoma" w:cs="Tahoma"/>
                <w:color w:val="000000"/>
                <w:sz w:val="13"/>
              </w:rPr>
            </w:pPr>
          </w:p>
        </w:tc>
        <w:tc>
          <w:tcPr>
            <w:tcW w:w="360" w:type="dxa"/>
            <w:tcBorders>
              <w:bottom w:val="single" w:sz="4" w:space="0" w:color="auto"/>
              <w:right w:val="single" w:sz="18" w:space="0" w:color="auto"/>
            </w:tcBorders>
            <w:shd w:val="clear" w:color="auto" w:fill="FABF8F"/>
            <w:vAlign w:val="center"/>
          </w:tcPr>
          <w:p w:rsidR="001A63C6" w:rsidRPr="003410C7" w:rsidRDefault="001A63C6" w:rsidP="001A63C6">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FABF8F"/>
            <w:vAlign w:val="center"/>
          </w:tcPr>
          <w:p w:rsidR="001A63C6" w:rsidRPr="003410C7" w:rsidRDefault="001A63C6" w:rsidP="001A63C6">
            <w:pPr>
              <w:pStyle w:val="TableText"/>
              <w:widowControl w:val="0"/>
              <w:rPr>
                <w:rFonts w:ascii="Tahoma" w:hAnsi="Tahoma" w:cs="Tahoma"/>
                <w:color w:val="000000"/>
                <w:sz w:val="13"/>
              </w:rPr>
            </w:pPr>
            <w:r w:rsidRPr="003410C7">
              <w:rPr>
                <w:rFonts w:ascii="Tahoma" w:hAnsi="Tahoma" w:cs="Tahoma"/>
                <w:color w:val="000000"/>
                <w:sz w:val="13"/>
              </w:rPr>
              <w:t>1</w:t>
            </w:r>
          </w:p>
        </w:tc>
        <w:tc>
          <w:tcPr>
            <w:tcW w:w="450" w:type="dxa"/>
            <w:tcBorders>
              <w:bottom w:val="single" w:sz="4" w:space="0" w:color="auto"/>
            </w:tcBorders>
            <w:shd w:val="clear" w:color="auto" w:fill="FABF8F"/>
            <w:vAlign w:val="center"/>
          </w:tcPr>
          <w:p w:rsidR="001A63C6" w:rsidRPr="003410C7" w:rsidRDefault="001A63C6" w:rsidP="001A63C6">
            <w:pPr>
              <w:pStyle w:val="TableText"/>
              <w:widowControl w:val="0"/>
              <w:rPr>
                <w:rFonts w:ascii="Tahoma" w:hAnsi="Tahoma" w:cs="Tahoma"/>
                <w:color w:val="000000"/>
                <w:sz w:val="13"/>
              </w:rPr>
            </w:pPr>
          </w:p>
        </w:tc>
        <w:tc>
          <w:tcPr>
            <w:tcW w:w="450" w:type="dxa"/>
            <w:tcBorders>
              <w:bottom w:val="single" w:sz="4" w:space="0" w:color="auto"/>
            </w:tcBorders>
            <w:shd w:val="clear" w:color="auto" w:fill="FABF8F"/>
            <w:vAlign w:val="center"/>
          </w:tcPr>
          <w:p w:rsidR="001A63C6" w:rsidRPr="003410C7" w:rsidRDefault="001A63C6" w:rsidP="001A63C6">
            <w:pPr>
              <w:pStyle w:val="TableText"/>
              <w:widowControl w:val="0"/>
              <w:rPr>
                <w:rFonts w:ascii="Tahoma" w:hAnsi="Tahoma" w:cs="Tahoma"/>
                <w:color w:val="000000"/>
                <w:sz w:val="13"/>
              </w:rPr>
            </w:pPr>
          </w:p>
        </w:tc>
        <w:tc>
          <w:tcPr>
            <w:tcW w:w="450" w:type="dxa"/>
            <w:tcBorders>
              <w:bottom w:val="single" w:sz="4" w:space="0" w:color="auto"/>
            </w:tcBorders>
            <w:shd w:val="clear" w:color="auto" w:fill="FABF8F"/>
            <w:vAlign w:val="center"/>
          </w:tcPr>
          <w:p w:rsidR="001A63C6" w:rsidRPr="003410C7" w:rsidRDefault="001A63C6" w:rsidP="001A63C6">
            <w:pPr>
              <w:pStyle w:val="TableText"/>
              <w:widowControl w:val="0"/>
              <w:rPr>
                <w:rFonts w:ascii="Tahoma" w:hAnsi="Tahoma" w:cs="Tahoma"/>
                <w:color w:val="000000"/>
                <w:sz w:val="13"/>
              </w:rPr>
            </w:pPr>
          </w:p>
        </w:tc>
        <w:tc>
          <w:tcPr>
            <w:tcW w:w="450" w:type="dxa"/>
            <w:tcBorders>
              <w:bottom w:val="single" w:sz="4" w:space="0" w:color="auto"/>
            </w:tcBorders>
            <w:shd w:val="clear" w:color="auto" w:fill="FABF8F"/>
            <w:vAlign w:val="center"/>
          </w:tcPr>
          <w:p w:rsidR="001A63C6" w:rsidRPr="003410C7" w:rsidRDefault="001A63C6" w:rsidP="001A63C6">
            <w:pPr>
              <w:pStyle w:val="TableText"/>
              <w:widowControl w:val="0"/>
              <w:rPr>
                <w:rFonts w:ascii="Tahoma" w:hAnsi="Tahoma" w:cs="Tahoma"/>
                <w:color w:val="000000"/>
                <w:sz w:val="13"/>
              </w:rPr>
            </w:pPr>
          </w:p>
        </w:tc>
        <w:tc>
          <w:tcPr>
            <w:tcW w:w="450" w:type="dxa"/>
            <w:tcBorders>
              <w:bottom w:val="single" w:sz="4" w:space="0" w:color="auto"/>
            </w:tcBorders>
            <w:shd w:val="clear" w:color="auto" w:fill="FABF8F"/>
            <w:vAlign w:val="center"/>
          </w:tcPr>
          <w:p w:rsidR="001A63C6" w:rsidRPr="003410C7" w:rsidRDefault="001A63C6" w:rsidP="001A63C6">
            <w:pPr>
              <w:pStyle w:val="TableText"/>
              <w:widowControl w:val="0"/>
              <w:rPr>
                <w:rFonts w:ascii="Tahoma" w:hAnsi="Tahoma" w:cs="Tahoma"/>
                <w:color w:val="000000"/>
                <w:sz w:val="13"/>
              </w:rPr>
            </w:pPr>
          </w:p>
        </w:tc>
        <w:tc>
          <w:tcPr>
            <w:tcW w:w="360" w:type="dxa"/>
            <w:tcBorders>
              <w:bottom w:val="single" w:sz="4" w:space="0" w:color="auto"/>
              <w:right w:val="single" w:sz="18" w:space="0" w:color="auto"/>
            </w:tcBorders>
            <w:shd w:val="clear" w:color="auto" w:fill="FABF8F"/>
            <w:vAlign w:val="center"/>
          </w:tcPr>
          <w:p w:rsidR="001A63C6" w:rsidRPr="003410C7" w:rsidRDefault="001A63C6" w:rsidP="001A63C6">
            <w:pPr>
              <w:pStyle w:val="TableText"/>
              <w:widowControl w:val="0"/>
              <w:rPr>
                <w:rFonts w:ascii="Tahoma" w:hAnsi="Tahoma" w:cs="Tahoma"/>
                <w:color w:val="000000"/>
                <w:sz w:val="13"/>
              </w:rPr>
            </w:pPr>
          </w:p>
        </w:tc>
        <w:tc>
          <w:tcPr>
            <w:tcW w:w="450" w:type="dxa"/>
            <w:tcBorders>
              <w:left w:val="single" w:sz="18" w:space="0" w:color="auto"/>
              <w:bottom w:val="single" w:sz="4" w:space="0" w:color="auto"/>
            </w:tcBorders>
            <w:shd w:val="clear" w:color="auto" w:fill="FABF8F"/>
            <w:vAlign w:val="center"/>
          </w:tcPr>
          <w:p w:rsidR="001A63C6" w:rsidRPr="003410C7" w:rsidRDefault="001A63C6" w:rsidP="001A63C6">
            <w:pPr>
              <w:pStyle w:val="TableText"/>
              <w:widowControl w:val="0"/>
              <w:rPr>
                <w:rFonts w:ascii="Tahoma" w:hAnsi="Tahoma" w:cs="Tahoma"/>
                <w:color w:val="000000"/>
                <w:sz w:val="13"/>
              </w:rPr>
            </w:pPr>
            <w:r w:rsidRPr="003410C7">
              <w:rPr>
                <w:rFonts w:ascii="Tahoma" w:hAnsi="Tahoma" w:cs="Tahoma"/>
                <w:color w:val="000000"/>
                <w:sz w:val="13"/>
              </w:rPr>
              <w:t>1</w:t>
            </w:r>
          </w:p>
        </w:tc>
        <w:tc>
          <w:tcPr>
            <w:tcW w:w="450" w:type="dxa"/>
            <w:tcBorders>
              <w:bottom w:val="single" w:sz="4" w:space="0" w:color="auto"/>
            </w:tcBorders>
            <w:shd w:val="clear" w:color="auto" w:fill="FABF8F"/>
            <w:vAlign w:val="center"/>
          </w:tcPr>
          <w:p w:rsidR="001A63C6" w:rsidRPr="003410C7" w:rsidRDefault="001A63C6" w:rsidP="001A63C6">
            <w:pPr>
              <w:pStyle w:val="TableText"/>
              <w:widowControl w:val="0"/>
              <w:rPr>
                <w:rFonts w:ascii="Tahoma" w:hAnsi="Tahoma" w:cs="Tahoma"/>
                <w:color w:val="000000"/>
                <w:sz w:val="13"/>
              </w:rPr>
            </w:pPr>
          </w:p>
        </w:tc>
        <w:tc>
          <w:tcPr>
            <w:tcW w:w="450" w:type="dxa"/>
            <w:tcBorders>
              <w:bottom w:val="single" w:sz="4" w:space="0" w:color="auto"/>
              <w:right w:val="single" w:sz="18" w:space="0" w:color="auto"/>
            </w:tcBorders>
            <w:shd w:val="clear" w:color="auto" w:fill="FABF8F"/>
            <w:vAlign w:val="center"/>
          </w:tcPr>
          <w:p w:rsidR="001A63C6" w:rsidRPr="003410C7" w:rsidRDefault="001A63C6" w:rsidP="001A63C6">
            <w:pPr>
              <w:pStyle w:val="TableText"/>
              <w:widowControl w:val="0"/>
              <w:rPr>
                <w:rFonts w:ascii="Tahoma" w:hAnsi="Tahoma" w:cs="Tahoma"/>
                <w:color w:val="000000"/>
                <w:sz w:val="13"/>
              </w:rPr>
            </w:pPr>
          </w:p>
        </w:tc>
        <w:tc>
          <w:tcPr>
            <w:tcW w:w="450" w:type="dxa"/>
            <w:tcBorders>
              <w:left w:val="single" w:sz="18" w:space="0" w:color="auto"/>
              <w:bottom w:val="single" w:sz="4" w:space="0" w:color="auto"/>
            </w:tcBorders>
            <w:shd w:val="clear" w:color="auto" w:fill="FABF8F"/>
            <w:vAlign w:val="center"/>
          </w:tcPr>
          <w:p w:rsidR="001A63C6" w:rsidRPr="003410C7" w:rsidRDefault="001A63C6" w:rsidP="001A63C6">
            <w:pPr>
              <w:pStyle w:val="TableText"/>
              <w:widowControl w:val="0"/>
              <w:rPr>
                <w:rFonts w:ascii="Tahoma" w:hAnsi="Tahoma" w:cs="Tahoma"/>
                <w:color w:val="000000"/>
                <w:sz w:val="13"/>
              </w:rPr>
            </w:pPr>
          </w:p>
        </w:tc>
        <w:tc>
          <w:tcPr>
            <w:tcW w:w="450" w:type="dxa"/>
            <w:tcBorders>
              <w:bottom w:val="single" w:sz="4" w:space="0" w:color="auto"/>
              <w:right w:val="single" w:sz="18" w:space="0" w:color="auto"/>
            </w:tcBorders>
            <w:shd w:val="clear" w:color="auto" w:fill="FABF8F"/>
            <w:vAlign w:val="center"/>
          </w:tcPr>
          <w:p w:rsidR="001A63C6" w:rsidRPr="003410C7" w:rsidRDefault="001A63C6" w:rsidP="001A63C6">
            <w:pPr>
              <w:pStyle w:val="TableText"/>
              <w:widowControl w:val="0"/>
              <w:rPr>
                <w:rFonts w:ascii="Tahoma" w:hAnsi="Tahoma" w:cs="Tahoma"/>
                <w:color w:val="000000"/>
                <w:sz w:val="13"/>
              </w:rPr>
            </w:pP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3410C7" w:rsidRDefault="001A63C6" w:rsidP="001A63C6">
            <w:pPr>
              <w:pStyle w:val="TableText"/>
              <w:widowControl w:val="0"/>
              <w:rPr>
                <w:rFonts w:ascii="Tahoma" w:hAnsi="Tahoma" w:cs="Tahoma"/>
                <w:color w:val="000000"/>
                <w:sz w:val="13"/>
              </w:rPr>
            </w:pPr>
          </w:p>
        </w:tc>
        <w:tc>
          <w:tcPr>
            <w:tcW w:w="450" w:type="dxa"/>
            <w:tcBorders>
              <w:bottom w:val="single" w:sz="4" w:space="0" w:color="auto"/>
            </w:tcBorders>
            <w:shd w:val="clear" w:color="auto" w:fill="FABF8F"/>
          </w:tcPr>
          <w:p w:rsidR="001A63C6" w:rsidRPr="003410C7" w:rsidRDefault="001A63C6" w:rsidP="001A63C6">
            <w:pPr>
              <w:pStyle w:val="TableText"/>
              <w:widowControl w:val="0"/>
              <w:rPr>
                <w:rFonts w:ascii="Tahoma" w:hAnsi="Tahoma" w:cs="Tahoma"/>
                <w:color w:val="000000"/>
                <w:sz w:val="13"/>
              </w:rPr>
            </w:pPr>
          </w:p>
        </w:tc>
        <w:tc>
          <w:tcPr>
            <w:tcW w:w="540" w:type="dxa"/>
            <w:tcBorders>
              <w:bottom w:val="single" w:sz="4" w:space="0" w:color="auto"/>
            </w:tcBorders>
            <w:shd w:val="clear" w:color="auto" w:fill="FABF8F"/>
            <w:vAlign w:val="center"/>
          </w:tcPr>
          <w:p w:rsidR="001A63C6" w:rsidRPr="003410C7" w:rsidRDefault="001A63C6" w:rsidP="001A63C6">
            <w:pPr>
              <w:pStyle w:val="TableText"/>
              <w:widowControl w:val="0"/>
              <w:rPr>
                <w:rFonts w:ascii="Tahoma" w:hAnsi="Tahoma" w:cs="Tahoma"/>
                <w:color w:val="000000"/>
                <w:sz w:val="13"/>
              </w:rPr>
            </w:pPr>
          </w:p>
        </w:tc>
      </w:tr>
      <w:tr w:rsidR="001A63C6" w:rsidRPr="003410C7" w:rsidTr="007E466C">
        <w:trPr>
          <w:trHeight w:val="145"/>
        </w:trPr>
        <w:tc>
          <w:tcPr>
            <w:tcW w:w="2734" w:type="dxa"/>
            <w:gridSpan w:val="2"/>
            <w:tcBorders>
              <w:bottom w:val="single" w:sz="4" w:space="0" w:color="auto"/>
            </w:tcBorders>
            <w:shd w:val="clear" w:color="auto" w:fill="auto"/>
            <w:vAlign w:val="center"/>
          </w:tcPr>
          <w:p w:rsidR="001A63C6" w:rsidRPr="003410C7" w:rsidRDefault="001A63C6" w:rsidP="00F57878">
            <w:pPr>
              <w:pStyle w:val="ProductNames"/>
              <w:spacing w:beforeLines="20" w:before="48" w:afterLines="20" w:after="48"/>
              <w:rPr>
                <w:rFonts w:ascii="Tahoma" w:hAnsi="Tahoma" w:cs="Tahoma"/>
                <w:sz w:val="14"/>
              </w:rPr>
            </w:pPr>
            <w:bookmarkStart w:id="435" w:name="_Toc257333908"/>
            <w:bookmarkStart w:id="436" w:name="_Toc336338071"/>
            <w:bookmarkStart w:id="437" w:name="_Toc352234674"/>
            <w:r w:rsidRPr="003410C7">
              <w:rPr>
                <w:rFonts w:ascii="Tahoma" w:hAnsi="Tahoma" w:cs="Tahoma"/>
                <w:sz w:val="14"/>
              </w:rPr>
              <w:t>Server ML per System Center Essentials</w:t>
            </w:r>
            <w:r w:rsidR="00F57878">
              <w:rPr>
                <w:rFonts w:ascii="Tahoma" w:hAnsi="Tahoma" w:cs="Tahoma"/>
                <w:sz w:val="14"/>
              </w:rPr>
              <w:t> </w:t>
            </w:r>
            <w:r w:rsidRPr="003410C7">
              <w:rPr>
                <w:rFonts w:ascii="Tahoma" w:hAnsi="Tahoma" w:cs="Tahoma"/>
                <w:sz w:val="14"/>
              </w:rPr>
              <w:t>2010</w:t>
            </w:r>
            <w:bookmarkEnd w:id="435"/>
            <w:bookmarkEnd w:id="436"/>
            <w:bookmarkEnd w:id="437"/>
          </w:p>
        </w:tc>
        <w:tc>
          <w:tcPr>
            <w:tcW w:w="450" w:type="dxa"/>
            <w:tcBorders>
              <w:bottom w:val="single" w:sz="4" w:space="0" w:color="auto"/>
            </w:tcBorders>
            <w:shd w:val="clear" w:color="auto" w:fill="auto"/>
            <w:vAlign w:val="center"/>
          </w:tcPr>
          <w:p w:rsidR="001A63C6" w:rsidRPr="009F17FF" w:rsidRDefault="001A63C6" w:rsidP="001A63C6">
            <w:pPr>
              <w:pStyle w:val="TableText"/>
              <w:widowControl w:val="0"/>
              <w:rPr>
                <w:rStyle w:val="EndnoteReference"/>
                <w:sz w:val="13"/>
                <w:szCs w:val="13"/>
                <w:u w:val="single"/>
              </w:rPr>
            </w:pPr>
          </w:p>
        </w:tc>
        <w:tc>
          <w:tcPr>
            <w:tcW w:w="450" w:type="dxa"/>
            <w:tcBorders>
              <w:bottom w:val="single" w:sz="4" w:space="0" w:color="auto"/>
            </w:tcBorders>
            <w:shd w:val="clear" w:color="auto" w:fill="auto"/>
          </w:tcPr>
          <w:p w:rsidR="001A63C6" w:rsidRPr="003410C7" w:rsidRDefault="001A63C6" w:rsidP="001A63C6">
            <w:pPr>
              <w:pStyle w:val="TableText"/>
              <w:widowControl w:val="0"/>
              <w:spacing w:before="80"/>
              <w:rPr>
                <w:rFonts w:ascii="Tahoma" w:hAnsi="Tahoma" w:cs="Tahoma"/>
                <w:color w:val="000000"/>
                <w:sz w:val="13"/>
              </w:rPr>
            </w:pPr>
          </w:p>
        </w:tc>
        <w:tc>
          <w:tcPr>
            <w:tcW w:w="360" w:type="dxa"/>
            <w:tcBorders>
              <w:bottom w:val="single" w:sz="4" w:space="0" w:color="auto"/>
              <w:right w:val="single" w:sz="18" w:space="0" w:color="auto"/>
            </w:tcBorders>
            <w:shd w:val="clear" w:color="auto" w:fill="auto"/>
            <w:vAlign w:val="center"/>
          </w:tcPr>
          <w:p w:rsidR="001A63C6" w:rsidRPr="003410C7" w:rsidRDefault="001A63C6" w:rsidP="001A63C6">
            <w:pPr>
              <w:pStyle w:val="TableText"/>
              <w:widowControl w:val="0"/>
              <w:rPr>
                <w:rFonts w:ascii="Tahoma" w:hAnsi="Tahoma" w:cs="Tahoma"/>
                <w:color w:val="000000"/>
                <w:sz w:val="13"/>
              </w:rPr>
            </w:pPr>
          </w:p>
        </w:tc>
        <w:tc>
          <w:tcPr>
            <w:tcW w:w="360" w:type="dxa"/>
            <w:tcBorders>
              <w:left w:val="single" w:sz="18" w:space="0" w:color="auto"/>
              <w:bottom w:val="single" w:sz="4" w:space="0" w:color="auto"/>
            </w:tcBorders>
            <w:shd w:val="clear" w:color="auto" w:fill="auto"/>
            <w:vAlign w:val="center"/>
          </w:tcPr>
          <w:p w:rsidR="001A63C6" w:rsidRPr="003410C7" w:rsidRDefault="001A63C6" w:rsidP="001A63C6">
            <w:pPr>
              <w:pStyle w:val="TableText"/>
              <w:widowControl w:val="0"/>
              <w:rPr>
                <w:rFonts w:ascii="Tahoma" w:hAnsi="Tahoma" w:cs="Tahoma"/>
                <w:color w:val="000000"/>
                <w:sz w:val="13"/>
              </w:rPr>
            </w:pPr>
            <w:r w:rsidRPr="003410C7">
              <w:rPr>
                <w:rFonts w:ascii="Tahoma" w:hAnsi="Tahoma" w:cs="Tahoma"/>
                <w:color w:val="000000"/>
                <w:sz w:val="13"/>
              </w:rPr>
              <w:t>1</w:t>
            </w:r>
          </w:p>
        </w:tc>
        <w:tc>
          <w:tcPr>
            <w:tcW w:w="450" w:type="dxa"/>
            <w:tcBorders>
              <w:bottom w:val="single" w:sz="4" w:space="0" w:color="auto"/>
            </w:tcBorders>
            <w:shd w:val="clear" w:color="auto" w:fill="auto"/>
            <w:vAlign w:val="center"/>
          </w:tcPr>
          <w:p w:rsidR="001A63C6" w:rsidRPr="003410C7" w:rsidRDefault="001A63C6" w:rsidP="001A63C6">
            <w:pPr>
              <w:pStyle w:val="TableText"/>
              <w:widowControl w:val="0"/>
              <w:rPr>
                <w:rFonts w:ascii="Tahoma" w:hAnsi="Tahoma" w:cs="Tahoma"/>
                <w:color w:val="000000"/>
                <w:sz w:val="13"/>
              </w:rPr>
            </w:pPr>
          </w:p>
        </w:tc>
        <w:tc>
          <w:tcPr>
            <w:tcW w:w="450" w:type="dxa"/>
            <w:tcBorders>
              <w:bottom w:val="single" w:sz="4" w:space="0" w:color="auto"/>
            </w:tcBorders>
            <w:shd w:val="clear" w:color="auto" w:fill="auto"/>
            <w:vAlign w:val="center"/>
          </w:tcPr>
          <w:p w:rsidR="001A63C6" w:rsidRPr="003410C7" w:rsidRDefault="001A63C6" w:rsidP="001A63C6">
            <w:pPr>
              <w:pStyle w:val="TableText"/>
              <w:widowControl w:val="0"/>
              <w:rPr>
                <w:rFonts w:ascii="Tahoma" w:hAnsi="Tahoma" w:cs="Tahoma"/>
                <w:color w:val="000000"/>
                <w:sz w:val="13"/>
              </w:rPr>
            </w:pPr>
          </w:p>
        </w:tc>
        <w:tc>
          <w:tcPr>
            <w:tcW w:w="450" w:type="dxa"/>
            <w:tcBorders>
              <w:bottom w:val="single" w:sz="4" w:space="0" w:color="auto"/>
            </w:tcBorders>
            <w:shd w:val="clear" w:color="auto" w:fill="auto"/>
            <w:vAlign w:val="center"/>
          </w:tcPr>
          <w:p w:rsidR="001A63C6" w:rsidRPr="003410C7" w:rsidRDefault="001A63C6" w:rsidP="001A63C6">
            <w:pPr>
              <w:pStyle w:val="TableText"/>
              <w:widowControl w:val="0"/>
              <w:rPr>
                <w:rFonts w:ascii="Tahoma" w:hAnsi="Tahoma" w:cs="Tahoma"/>
                <w:color w:val="000000"/>
                <w:sz w:val="13"/>
              </w:rPr>
            </w:pPr>
          </w:p>
        </w:tc>
        <w:tc>
          <w:tcPr>
            <w:tcW w:w="450" w:type="dxa"/>
            <w:tcBorders>
              <w:bottom w:val="single" w:sz="4" w:space="0" w:color="auto"/>
            </w:tcBorders>
            <w:shd w:val="clear" w:color="auto" w:fill="auto"/>
            <w:vAlign w:val="center"/>
          </w:tcPr>
          <w:p w:rsidR="001A63C6" w:rsidRPr="003410C7" w:rsidRDefault="001A63C6" w:rsidP="001A63C6">
            <w:pPr>
              <w:pStyle w:val="TableText"/>
              <w:widowControl w:val="0"/>
              <w:rPr>
                <w:rFonts w:ascii="Tahoma" w:hAnsi="Tahoma" w:cs="Tahoma"/>
                <w:color w:val="000000"/>
                <w:sz w:val="13"/>
              </w:rPr>
            </w:pPr>
          </w:p>
        </w:tc>
        <w:tc>
          <w:tcPr>
            <w:tcW w:w="450" w:type="dxa"/>
            <w:tcBorders>
              <w:bottom w:val="single" w:sz="4" w:space="0" w:color="auto"/>
            </w:tcBorders>
            <w:shd w:val="clear" w:color="auto" w:fill="auto"/>
            <w:vAlign w:val="center"/>
          </w:tcPr>
          <w:p w:rsidR="001A63C6" w:rsidRPr="003410C7" w:rsidRDefault="001A63C6" w:rsidP="001A63C6">
            <w:pPr>
              <w:pStyle w:val="TableText"/>
              <w:widowControl w:val="0"/>
              <w:rPr>
                <w:rFonts w:ascii="Tahoma" w:hAnsi="Tahoma" w:cs="Tahoma"/>
                <w:color w:val="000000"/>
                <w:sz w:val="13"/>
              </w:rPr>
            </w:pPr>
          </w:p>
        </w:tc>
        <w:tc>
          <w:tcPr>
            <w:tcW w:w="360" w:type="dxa"/>
            <w:tcBorders>
              <w:bottom w:val="single" w:sz="4" w:space="0" w:color="auto"/>
              <w:right w:val="single" w:sz="18" w:space="0" w:color="auto"/>
            </w:tcBorders>
            <w:shd w:val="clear" w:color="auto" w:fill="auto"/>
            <w:vAlign w:val="center"/>
          </w:tcPr>
          <w:p w:rsidR="001A63C6" w:rsidRPr="003410C7" w:rsidRDefault="001A63C6" w:rsidP="001A63C6">
            <w:pPr>
              <w:pStyle w:val="TableText"/>
              <w:widowControl w:val="0"/>
              <w:rPr>
                <w:rFonts w:ascii="Tahoma" w:hAnsi="Tahoma" w:cs="Tahoma"/>
                <w:color w:val="000000"/>
                <w:sz w:val="13"/>
              </w:rPr>
            </w:pPr>
          </w:p>
        </w:tc>
        <w:tc>
          <w:tcPr>
            <w:tcW w:w="450" w:type="dxa"/>
            <w:tcBorders>
              <w:left w:val="single" w:sz="18" w:space="0" w:color="auto"/>
              <w:bottom w:val="single" w:sz="4" w:space="0" w:color="auto"/>
            </w:tcBorders>
            <w:shd w:val="clear" w:color="auto" w:fill="auto"/>
            <w:vAlign w:val="center"/>
          </w:tcPr>
          <w:p w:rsidR="001A63C6" w:rsidRPr="003410C7" w:rsidRDefault="001A63C6" w:rsidP="001A63C6">
            <w:pPr>
              <w:pStyle w:val="TableText"/>
              <w:widowControl w:val="0"/>
              <w:rPr>
                <w:rFonts w:ascii="Tahoma" w:hAnsi="Tahoma" w:cs="Tahoma"/>
                <w:color w:val="000000"/>
                <w:sz w:val="13"/>
              </w:rPr>
            </w:pPr>
            <w:r w:rsidRPr="003410C7">
              <w:rPr>
                <w:rFonts w:ascii="Tahoma" w:hAnsi="Tahoma" w:cs="Tahoma"/>
                <w:color w:val="000000"/>
                <w:sz w:val="13"/>
              </w:rPr>
              <w:t>1</w:t>
            </w:r>
          </w:p>
        </w:tc>
        <w:tc>
          <w:tcPr>
            <w:tcW w:w="450" w:type="dxa"/>
            <w:tcBorders>
              <w:bottom w:val="single" w:sz="4" w:space="0" w:color="auto"/>
            </w:tcBorders>
            <w:shd w:val="clear" w:color="auto" w:fill="auto"/>
            <w:vAlign w:val="center"/>
          </w:tcPr>
          <w:p w:rsidR="001A63C6" w:rsidRPr="003410C7" w:rsidRDefault="001A63C6" w:rsidP="001A63C6">
            <w:pPr>
              <w:pStyle w:val="TableText"/>
              <w:widowControl w:val="0"/>
              <w:rPr>
                <w:rFonts w:ascii="Tahoma" w:hAnsi="Tahoma" w:cs="Tahoma"/>
                <w:color w:val="000000"/>
                <w:sz w:val="13"/>
              </w:rPr>
            </w:pPr>
          </w:p>
        </w:tc>
        <w:tc>
          <w:tcPr>
            <w:tcW w:w="450" w:type="dxa"/>
            <w:tcBorders>
              <w:bottom w:val="single" w:sz="4" w:space="0" w:color="auto"/>
              <w:right w:val="single" w:sz="18" w:space="0" w:color="auto"/>
            </w:tcBorders>
            <w:shd w:val="clear" w:color="auto" w:fill="auto"/>
            <w:vAlign w:val="center"/>
          </w:tcPr>
          <w:p w:rsidR="001A63C6" w:rsidRPr="003410C7" w:rsidRDefault="001A63C6" w:rsidP="001A63C6">
            <w:pPr>
              <w:pStyle w:val="TableText"/>
              <w:widowControl w:val="0"/>
              <w:rPr>
                <w:rFonts w:ascii="Tahoma" w:hAnsi="Tahoma" w:cs="Tahoma"/>
                <w:color w:val="000000"/>
                <w:sz w:val="13"/>
              </w:rPr>
            </w:pPr>
          </w:p>
        </w:tc>
        <w:tc>
          <w:tcPr>
            <w:tcW w:w="450" w:type="dxa"/>
            <w:tcBorders>
              <w:left w:val="single" w:sz="18" w:space="0" w:color="auto"/>
              <w:bottom w:val="single" w:sz="4" w:space="0" w:color="auto"/>
            </w:tcBorders>
            <w:shd w:val="clear" w:color="auto" w:fill="auto"/>
            <w:vAlign w:val="center"/>
          </w:tcPr>
          <w:p w:rsidR="001A63C6" w:rsidRPr="003410C7" w:rsidRDefault="001A63C6" w:rsidP="001A63C6">
            <w:pPr>
              <w:pStyle w:val="TableText"/>
              <w:widowControl w:val="0"/>
              <w:rPr>
                <w:rFonts w:ascii="Tahoma" w:hAnsi="Tahoma" w:cs="Tahoma"/>
                <w:color w:val="000000"/>
                <w:sz w:val="13"/>
              </w:rPr>
            </w:pPr>
          </w:p>
        </w:tc>
        <w:tc>
          <w:tcPr>
            <w:tcW w:w="450" w:type="dxa"/>
            <w:tcBorders>
              <w:bottom w:val="single" w:sz="4" w:space="0" w:color="auto"/>
              <w:right w:val="single" w:sz="18" w:space="0" w:color="auto"/>
            </w:tcBorders>
            <w:shd w:val="clear" w:color="auto" w:fill="auto"/>
            <w:vAlign w:val="center"/>
          </w:tcPr>
          <w:p w:rsidR="001A63C6" w:rsidRPr="003410C7" w:rsidRDefault="001A63C6" w:rsidP="001A63C6">
            <w:pPr>
              <w:pStyle w:val="TableText"/>
              <w:widowControl w:val="0"/>
              <w:rPr>
                <w:rFonts w:ascii="Tahoma" w:hAnsi="Tahoma" w:cs="Tahoma"/>
                <w:color w:val="000000"/>
                <w:sz w:val="13"/>
              </w:rPr>
            </w:pPr>
          </w:p>
        </w:tc>
        <w:tc>
          <w:tcPr>
            <w:tcW w:w="450" w:type="dxa"/>
            <w:tcBorders>
              <w:left w:val="single" w:sz="18" w:space="0" w:color="auto"/>
              <w:bottom w:val="single" w:sz="4" w:space="0" w:color="auto"/>
              <w:right w:val="single" w:sz="18" w:space="0" w:color="auto"/>
            </w:tcBorders>
            <w:shd w:val="clear" w:color="auto" w:fill="auto"/>
            <w:vAlign w:val="center"/>
          </w:tcPr>
          <w:p w:rsidR="001A63C6" w:rsidRPr="003410C7" w:rsidRDefault="001A63C6" w:rsidP="001A63C6">
            <w:pPr>
              <w:pStyle w:val="TableText"/>
              <w:widowControl w:val="0"/>
              <w:rPr>
                <w:rFonts w:ascii="Tahoma" w:hAnsi="Tahoma" w:cs="Tahoma"/>
                <w:color w:val="000000"/>
                <w:sz w:val="13"/>
              </w:rPr>
            </w:pPr>
          </w:p>
        </w:tc>
        <w:tc>
          <w:tcPr>
            <w:tcW w:w="450" w:type="dxa"/>
            <w:tcBorders>
              <w:bottom w:val="single" w:sz="4" w:space="0" w:color="auto"/>
            </w:tcBorders>
            <w:shd w:val="clear" w:color="auto" w:fill="auto"/>
          </w:tcPr>
          <w:p w:rsidR="001A63C6" w:rsidRPr="003410C7" w:rsidRDefault="001A63C6" w:rsidP="001A63C6">
            <w:pPr>
              <w:pStyle w:val="TableText"/>
              <w:widowControl w:val="0"/>
              <w:rPr>
                <w:rFonts w:ascii="Tahoma" w:hAnsi="Tahoma" w:cs="Tahoma"/>
                <w:color w:val="000000"/>
                <w:sz w:val="13"/>
              </w:rPr>
            </w:pPr>
          </w:p>
        </w:tc>
        <w:tc>
          <w:tcPr>
            <w:tcW w:w="540" w:type="dxa"/>
            <w:tcBorders>
              <w:bottom w:val="single" w:sz="4" w:space="0" w:color="auto"/>
            </w:tcBorders>
            <w:shd w:val="clear" w:color="auto" w:fill="auto"/>
            <w:vAlign w:val="center"/>
          </w:tcPr>
          <w:p w:rsidR="001A63C6" w:rsidRPr="003410C7" w:rsidRDefault="001A63C6" w:rsidP="001A63C6">
            <w:pPr>
              <w:pStyle w:val="TableText"/>
              <w:widowControl w:val="0"/>
              <w:rPr>
                <w:rFonts w:ascii="Tahoma" w:hAnsi="Tahoma" w:cs="Tahoma"/>
                <w:color w:val="000000"/>
                <w:sz w:val="13"/>
              </w:rPr>
            </w:pPr>
          </w:p>
        </w:tc>
      </w:tr>
      <w:tr w:rsidR="00B33D0E" w:rsidRPr="003410C7" w:rsidTr="006B1F3F">
        <w:trPr>
          <w:trHeight w:val="145"/>
        </w:trPr>
        <w:tc>
          <w:tcPr>
            <w:tcW w:w="2734" w:type="dxa"/>
            <w:gridSpan w:val="2"/>
            <w:tcBorders>
              <w:bottom w:val="single" w:sz="4" w:space="0" w:color="auto"/>
            </w:tcBorders>
            <w:shd w:val="clear" w:color="auto" w:fill="FABF8F"/>
            <w:vAlign w:val="center"/>
          </w:tcPr>
          <w:p w:rsidR="001A63C6" w:rsidRPr="003410C7" w:rsidRDefault="001A63C6" w:rsidP="00854AAB">
            <w:pPr>
              <w:pStyle w:val="ProductNames"/>
              <w:spacing w:beforeLines="20" w:before="48" w:afterLines="20" w:after="48"/>
              <w:rPr>
                <w:rFonts w:ascii="Tahoma" w:hAnsi="Tahoma" w:cs="Tahoma"/>
                <w:sz w:val="14"/>
              </w:rPr>
            </w:pPr>
            <w:bookmarkStart w:id="438" w:name="_Toc336338072"/>
            <w:bookmarkStart w:id="439" w:name="_Toc352234675"/>
            <w:bookmarkStart w:id="440" w:name="_Toc257333910"/>
            <w:r w:rsidRPr="003410C7">
              <w:rPr>
                <w:rFonts w:ascii="Tahoma" w:hAnsi="Tahoma" w:cs="Tahoma"/>
                <w:sz w:val="14"/>
              </w:rPr>
              <w:t>System Center Essentials 2010 con</w:t>
            </w:r>
            <w:r w:rsidR="00854AAB">
              <w:rPr>
                <w:rFonts w:ascii="Tahoma" w:hAnsi="Tahoma" w:cs="Tahoma"/>
                <w:sz w:val="14"/>
              </w:rPr>
              <w:t> </w:t>
            </w:r>
            <w:r w:rsidRPr="003410C7">
              <w:rPr>
                <w:rFonts w:ascii="Tahoma" w:hAnsi="Tahoma" w:cs="Tahoma"/>
                <w:sz w:val="14"/>
              </w:rPr>
              <w:t>Tecnologia SQL Server 2008</w:t>
            </w:r>
            <w:bookmarkEnd w:id="438"/>
            <w:bookmarkEnd w:id="439"/>
            <w:r w:rsidRPr="003410C7">
              <w:rPr>
                <w:rFonts w:ascii="Tahoma" w:hAnsi="Tahoma" w:cs="Tahoma"/>
                <w:sz w:val="14"/>
              </w:rPr>
              <w:t xml:space="preserve"> </w:t>
            </w:r>
            <w:bookmarkEnd w:id="440"/>
          </w:p>
        </w:tc>
        <w:tc>
          <w:tcPr>
            <w:tcW w:w="450" w:type="dxa"/>
            <w:tcBorders>
              <w:bottom w:val="single" w:sz="4" w:space="0" w:color="auto"/>
            </w:tcBorders>
            <w:shd w:val="clear" w:color="auto" w:fill="FABF8F"/>
            <w:vAlign w:val="center"/>
          </w:tcPr>
          <w:p w:rsidR="001A63C6" w:rsidRPr="009F17FF" w:rsidRDefault="001A63C6" w:rsidP="001A63C6">
            <w:pPr>
              <w:pStyle w:val="TableText"/>
              <w:widowControl w:val="0"/>
              <w:rPr>
                <w:rStyle w:val="EndnoteReference"/>
                <w:sz w:val="13"/>
                <w:szCs w:val="13"/>
                <w:u w:val="single"/>
              </w:rPr>
            </w:pPr>
          </w:p>
        </w:tc>
        <w:tc>
          <w:tcPr>
            <w:tcW w:w="450" w:type="dxa"/>
            <w:tcBorders>
              <w:bottom w:val="single" w:sz="4" w:space="0" w:color="auto"/>
            </w:tcBorders>
            <w:shd w:val="clear" w:color="auto" w:fill="FABF8F"/>
          </w:tcPr>
          <w:p w:rsidR="001A63C6" w:rsidRPr="003410C7" w:rsidRDefault="001A63C6" w:rsidP="001A63C6">
            <w:pPr>
              <w:pStyle w:val="TableText"/>
              <w:widowControl w:val="0"/>
              <w:spacing w:before="200"/>
              <w:rPr>
                <w:rFonts w:ascii="Tahoma" w:hAnsi="Tahoma" w:cs="Tahoma"/>
                <w:color w:val="000000"/>
                <w:sz w:val="13"/>
              </w:rPr>
            </w:pPr>
          </w:p>
        </w:tc>
        <w:tc>
          <w:tcPr>
            <w:tcW w:w="360" w:type="dxa"/>
            <w:tcBorders>
              <w:bottom w:val="single" w:sz="4" w:space="0" w:color="auto"/>
              <w:right w:val="single" w:sz="18" w:space="0" w:color="auto"/>
            </w:tcBorders>
            <w:shd w:val="clear" w:color="auto" w:fill="FABF8F"/>
            <w:vAlign w:val="center"/>
          </w:tcPr>
          <w:p w:rsidR="001A63C6" w:rsidRPr="003410C7" w:rsidRDefault="001A63C6" w:rsidP="001A63C6">
            <w:pPr>
              <w:pStyle w:val="TableText"/>
              <w:widowControl w:val="0"/>
              <w:rPr>
                <w:rFonts w:ascii="Tahoma" w:hAnsi="Tahoma" w:cs="Tahoma"/>
                <w:color w:val="000000"/>
                <w:sz w:val="13"/>
              </w:rPr>
            </w:pPr>
          </w:p>
        </w:tc>
        <w:tc>
          <w:tcPr>
            <w:tcW w:w="360" w:type="dxa"/>
            <w:tcBorders>
              <w:left w:val="single" w:sz="18" w:space="0" w:color="auto"/>
              <w:bottom w:val="single" w:sz="4" w:space="0" w:color="auto"/>
            </w:tcBorders>
            <w:shd w:val="clear" w:color="auto" w:fill="FABF8F"/>
            <w:vAlign w:val="center"/>
          </w:tcPr>
          <w:p w:rsidR="001A63C6" w:rsidRPr="003410C7" w:rsidRDefault="001A63C6" w:rsidP="001A63C6">
            <w:pPr>
              <w:pStyle w:val="TableText"/>
              <w:widowControl w:val="0"/>
              <w:rPr>
                <w:rFonts w:ascii="Tahoma" w:hAnsi="Tahoma" w:cs="Tahoma"/>
                <w:color w:val="000000"/>
                <w:sz w:val="13"/>
              </w:rPr>
            </w:pPr>
            <w:r w:rsidRPr="003410C7">
              <w:rPr>
                <w:rFonts w:ascii="Tahoma" w:hAnsi="Tahoma" w:cs="Tahoma"/>
                <w:color w:val="000000"/>
                <w:sz w:val="13"/>
              </w:rPr>
              <w:t>10</w:t>
            </w:r>
          </w:p>
        </w:tc>
        <w:tc>
          <w:tcPr>
            <w:tcW w:w="450" w:type="dxa"/>
            <w:tcBorders>
              <w:bottom w:val="single" w:sz="4" w:space="0" w:color="auto"/>
            </w:tcBorders>
            <w:shd w:val="clear" w:color="auto" w:fill="FABF8F"/>
            <w:vAlign w:val="center"/>
          </w:tcPr>
          <w:p w:rsidR="001A63C6" w:rsidRPr="003410C7" w:rsidRDefault="001A63C6" w:rsidP="001A63C6">
            <w:pPr>
              <w:pStyle w:val="TableText"/>
              <w:widowControl w:val="0"/>
              <w:rPr>
                <w:rFonts w:ascii="Tahoma" w:hAnsi="Tahoma" w:cs="Tahoma"/>
                <w:color w:val="000000"/>
                <w:sz w:val="13"/>
              </w:rPr>
            </w:pPr>
          </w:p>
        </w:tc>
        <w:tc>
          <w:tcPr>
            <w:tcW w:w="450" w:type="dxa"/>
            <w:tcBorders>
              <w:bottom w:val="single" w:sz="4" w:space="0" w:color="auto"/>
            </w:tcBorders>
            <w:shd w:val="clear" w:color="auto" w:fill="FABF8F"/>
            <w:vAlign w:val="center"/>
          </w:tcPr>
          <w:p w:rsidR="001A63C6" w:rsidRPr="003410C7" w:rsidRDefault="001A63C6" w:rsidP="001A63C6">
            <w:pPr>
              <w:pStyle w:val="TableText"/>
              <w:widowControl w:val="0"/>
              <w:rPr>
                <w:rFonts w:ascii="Tahoma" w:hAnsi="Tahoma" w:cs="Tahoma"/>
                <w:color w:val="000000"/>
                <w:sz w:val="13"/>
              </w:rPr>
            </w:pPr>
          </w:p>
        </w:tc>
        <w:tc>
          <w:tcPr>
            <w:tcW w:w="450" w:type="dxa"/>
            <w:tcBorders>
              <w:bottom w:val="single" w:sz="4" w:space="0" w:color="auto"/>
            </w:tcBorders>
            <w:shd w:val="clear" w:color="auto" w:fill="FABF8F"/>
            <w:vAlign w:val="center"/>
          </w:tcPr>
          <w:p w:rsidR="001A63C6" w:rsidRPr="003410C7" w:rsidRDefault="001A63C6" w:rsidP="001A63C6">
            <w:pPr>
              <w:pStyle w:val="TableText"/>
              <w:widowControl w:val="0"/>
              <w:rPr>
                <w:rFonts w:ascii="Tahoma" w:hAnsi="Tahoma" w:cs="Tahoma"/>
                <w:color w:val="000000"/>
                <w:sz w:val="13"/>
              </w:rPr>
            </w:pPr>
          </w:p>
        </w:tc>
        <w:tc>
          <w:tcPr>
            <w:tcW w:w="450" w:type="dxa"/>
            <w:tcBorders>
              <w:bottom w:val="single" w:sz="4" w:space="0" w:color="auto"/>
            </w:tcBorders>
            <w:shd w:val="clear" w:color="auto" w:fill="FABF8F"/>
            <w:vAlign w:val="center"/>
          </w:tcPr>
          <w:p w:rsidR="001A63C6" w:rsidRPr="003410C7" w:rsidRDefault="001A63C6" w:rsidP="001A63C6">
            <w:pPr>
              <w:pStyle w:val="TableText"/>
              <w:widowControl w:val="0"/>
              <w:rPr>
                <w:rFonts w:ascii="Tahoma" w:hAnsi="Tahoma" w:cs="Tahoma"/>
                <w:color w:val="000000"/>
                <w:sz w:val="13"/>
              </w:rPr>
            </w:pPr>
          </w:p>
        </w:tc>
        <w:tc>
          <w:tcPr>
            <w:tcW w:w="450" w:type="dxa"/>
            <w:tcBorders>
              <w:bottom w:val="single" w:sz="4" w:space="0" w:color="auto"/>
            </w:tcBorders>
            <w:shd w:val="clear" w:color="auto" w:fill="FABF8F"/>
            <w:vAlign w:val="center"/>
          </w:tcPr>
          <w:p w:rsidR="001A63C6" w:rsidRPr="003410C7" w:rsidRDefault="001A63C6" w:rsidP="001A63C6">
            <w:pPr>
              <w:pStyle w:val="TableText"/>
              <w:widowControl w:val="0"/>
              <w:rPr>
                <w:rFonts w:ascii="Tahoma" w:hAnsi="Tahoma" w:cs="Tahoma"/>
                <w:color w:val="000000"/>
                <w:sz w:val="13"/>
              </w:rPr>
            </w:pPr>
          </w:p>
        </w:tc>
        <w:tc>
          <w:tcPr>
            <w:tcW w:w="360" w:type="dxa"/>
            <w:tcBorders>
              <w:bottom w:val="single" w:sz="4" w:space="0" w:color="auto"/>
              <w:right w:val="single" w:sz="18" w:space="0" w:color="auto"/>
            </w:tcBorders>
            <w:shd w:val="clear" w:color="auto" w:fill="FABF8F"/>
            <w:vAlign w:val="center"/>
          </w:tcPr>
          <w:p w:rsidR="001A63C6" w:rsidRPr="003410C7" w:rsidRDefault="001A63C6" w:rsidP="001A63C6">
            <w:pPr>
              <w:pStyle w:val="TableText"/>
              <w:widowControl w:val="0"/>
              <w:rPr>
                <w:rFonts w:ascii="Tahoma" w:hAnsi="Tahoma" w:cs="Tahoma"/>
                <w:color w:val="000000"/>
                <w:sz w:val="13"/>
              </w:rPr>
            </w:pPr>
          </w:p>
        </w:tc>
        <w:tc>
          <w:tcPr>
            <w:tcW w:w="450" w:type="dxa"/>
            <w:tcBorders>
              <w:left w:val="single" w:sz="18" w:space="0" w:color="auto"/>
              <w:bottom w:val="single" w:sz="4" w:space="0" w:color="auto"/>
            </w:tcBorders>
            <w:shd w:val="clear" w:color="auto" w:fill="FABF8F"/>
            <w:vAlign w:val="center"/>
          </w:tcPr>
          <w:p w:rsidR="001A63C6" w:rsidRPr="003410C7" w:rsidRDefault="001A63C6" w:rsidP="001A63C6">
            <w:pPr>
              <w:pStyle w:val="TableText"/>
              <w:widowControl w:val="0"/>
              <w:rPr>
                <w:rFonts w:ascii="Tahoma" w:hAnsi="Tahoma" w:cs="Tahoma"/>
                <w:color w:val="000000"/>
                <w:sz w:val="13"/>
              </w:rPr>
            </w:pPr>
          </w:p>
        </w:tc>
        <w:tc>
          <w:tcPr>
            <w:tcW w:w="450" w:type="dxa"/>
            <w:tcBorders>
              <w:bottom w:val="single" w:sz="4" w:space="0" w:color="auto"/>
            </w:tcBorders>
            <w:shd w:val="clear" w:color="auto" w:fill="FABF8F"/>
            <w:vAlign w:val="center"/>
          </w:tcPr>
          <w:p w:rsidR="001A63C6" w:rsidRPr="003410C7" w:rsidRDefault="001A63C6" w:rsidP="001A63C6">
            <w:pPr>
              <w:pStyle w:val="TableText"/>
              <w:widowControl w:val="0"/>
              <w:rPr>
                <w:rFonts w:ascii="Tahoma" w:hAnsi="Tahoma" w:cs="Tahoma"/>
                <w:color w:val="000000"/>
                <w:sz w:val="13"/>
              </w:rPr>
            </w:pPr>
          </w:p>
        </w:tc>
        <w:tc>
          <w:tcPr>
            <w:tcW w:w="450" w:type="dxa"/>
            <w:tcBorders>
              <w:bottom w:val="single" w:sz="4" w:space="0" w:color="auto"/>
              <w:right w:val="single" w:sz="18" w:space="0" w:color="auto"/>
            </w:tcBorders>
            <w:shd w:val="clear" w:color="auto" w:fill="FABF8F"/>
            <w:vAlign w:val="center"/>
          </w:tcPr>
          <w:p w:rsidR="001A63C6" w:rsidRPr="003410C7" w:rsidRDefault="001A63C6" w:rsidP="001A63C6">
            <w:pPr>
              <w:pStyle w:val="TableText"/>
              <w:widowControl w:val="0"/>
              <w:rPr>
                <w:rFonts w:ascii="Tahoma" w:hAnsi="Tahoma" w:cs="Tahoma"/>
                <w:color w:val="000000"/>
                <w:sz w:val="13"/>
              </w:rPr>
            </w:pPr>
          </w:p>
        </w:tc>
        <w:tc>
          <w:tcPr>
            <w:tcW w:w="450" w:type="dxa"/>
            <w:tcBorders>
              <w:left w:val="single" w:sz="18" w:space="0" w:color="auto"/>
              <w:bottom w:val="single" w:sz="4" w:space="0" w:color="auto"/>
            </w:tcBorders>
            <w:shd w:val="clear" w:color="auto" w:fill="FABF8F"/>
            <w:vAlign w:val="center"/>
          </w:tcPr>
          <w:p w:rsidR="001A63C6" w:rsidRPr="003410C7" w:rsidRDefault="001A63C6" w:rsidP="001A63C6">
            <w:pPr>
              <w:pStyle w:val="TableText"/>
              <w:widowControl w:val="0"/>
              <w:rPr>
                <w:rFonts w:ascii="Tahoma" w:hAnsi="Tahoma" w:cs="Tahoma"/>
                <w:color w:val="000000"/>
                <w:sz w:val="13"/>
              </w:rPr>
            </w:pPr>
          </w:p>
        </w:tc>
        <w:tc>
          <w:tcPr>
            <w:tcW w:w="450" w:type="dxa"/>
            <w:tcBorders>
              <w:bottom w:val="single" w:sz="4" w:space="0" w:color="auto"/>
              <w:right w:val="single" w:sz="18" w:space="0" w:color="auto"/>
            </w:tcBorders>
            <w:shd w:val="clear" w:color="auto" w:fill="FABF8F"/>
            <w:vAlign w:val="center"/>
          </w:tcPr>
          <w:p w:rsidR="001A63C6" w:rsidRPr="003410C7" w:rsidRDefault="001A63C6" w:rsidP="001A63C6">
            <w:pPr>
              <w:pStyle w:val="TableText"/>
              <w:widowControl w:val="0"/>
              <w:rPr>
                <w:rFonts w:ascii="Tahoma" w:hAnsi="Tahoma" w:cs="Tahoma"/>
                <w:color w:val="000000"/>
                <w:sz w:val="13"/>
              </w:rPr>
            </w:pP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3410C7" w:rsidRDefault="001A63C6" w:rsidP="001A63C6">
            <w:pPr>
              <w:pStyle w:val="TableText"/>
              <w:widowControl w:val="0"/>
              <w:rPr>
                <w:rFonts w:ascii="Tahoma" w:hAnsi="Tahoma" w:cs="Tahoma"/>
                <w:color w:val="000000"/>
                <w:sz w:val="13"/>
              </w:rPr>
            </w:pPr>
          </w:p>
        </w:tc>
        <w:tc>
          <w:tcPr>
            <w:tcW w:w="450" w:type="dxa"/>
            <w:tcBorders>
              <w:bottom w:val="single" w:sz="4" w:space="0" w:color="auto"/>
            </w:tcBorders>
            <w:shd w:val="clear" w:color="auto" w:fill="FABF8F"/>
          </w:tcPr>
          <w:p w:rsidR="001A63C6" w:rsidRPr="003410C7" w:rsidRDefault="001A63C6" w:rsidP="001A63C6">
            <w:pPr>
              <w:pStyle w:val="TableText"/>
              <w:widowControl w:val="0"/>
              <w:rPr>
                <w:rFonts w:ascii="Tahoma" w:hAnsi="Tahoma" w:cs="Tahoma"/>
                <w:color w:val="000000"/>
                <w:sz w:val="13"/>
              </w:rPr>
            </w:pPr>
          </w:p>
        </w:tc>
        <w:tc>
          <w:tcPr>
            <w:tcW w:w="540" w:type="dxa"/>
            <w:tcBorders>
              <w:bottom w:val="single" w:sz="4" w:space="0" w:color="auto"/>
            </w:tcBorders>
            <w:shd w:val="clear" w:color="auto" w:fill="FABF8F"/>
            <w:vAlign w:val="center"/>
          </w:tcPr>
          <w:p w:rsidR="001A63C6" w:rsidRPr="003410C7" w:rsidRDefault="001A63C6" w:rsidP="001A63C6">
            <w:pPr>
              <w:pStyle w:val="TableText"/>
              <w:widowControl w:val="0"/>
              <w:rPr>
                <w:rFonts w:ascii="Tahoma" w:hAnsi="Tahoma" w:cs="Tahoma"/>
                <w:color w:val="000000"/>
                <w:sz w:val="13"/>
              </w:rPr>
            </w:pPr>
          </w:p>
        </w:tc>
      </w:tr>
      <w:tr w:rsidR="001A63C6" w:rsidRPr="003410C7" w:rsidTr="007E466C">
        <w:trPr>
          <w:trHeight w:val="145"/>
        </w:trPr>
        <w:tc>
          <w:tcPr>
            <w:tcW w:w="2734" w:type="dxa"/>
            <w:gridSpan w:val="2"/>
            <w:tcBorders>
              <w:bottom w:val="single" w:sz="4" w:space="0" w:color="auto"/>
            </w:tcBorders>
            <w:shd w:val="clear" w:color="auto" w:fill="auto"/>
            <w:vAlign w:val="center"/>
          </w:tcPr>
          <w:p w:rsidR="001A63C6" w:rsidRPr="00451078" w:rsidRDefault="001A63C6" w:rsidP="003410C7">
            <w:pPr>
              <w:pStyle w:val="ProductNames"/>
              <w:spacing w:beforeLines="20" w:before="48" w:afterLines="20" w:after="48"/>
              <w:rPr>
                <w:rFonts w:ascii="Tahoma" w:hAnsi="Tahoma" w:cs="Tahoma"/>
                <w:sz w:val="14"/>
                <w:lang w:val="it-IT"/>
              </w:rPr>
            </w:pPr>
            <w:bookmarkStart w:id="441" w:name="_Toc336338073"/>
            <w:bookmarkStart w:id="442" w:name="_Toc352234676"/>
            <w:r w:rsidRPr="00451078">
              <w:rPr>
                <w:rFonts w:ascii="Tahoma" w:hAnsi="Tahoma" w:cs="Tahoma"/>
                <w:sz w:val="14"/>
                <w:lang w:val="it-IT"/>
              </w:rPr>
              <w:t>Suite di Licenza di Gestione Client per System Center Essentials Plus 2010</w:t>
            </w:r>
            <w:bookmarkEnd w:id="441"/>
            <w:bookmarkEnd w:id="442"/>
          </w:p>
        </w:tc>
        <w:tc>
          <w:tcPr>
            <w:tcW w:w="450" w:type="dxa"/>
            <w:tcBorders>
              <w:bottom w:val="single" w:sz="4" w:space="0" w:color="auto"/>
            </w:tcBorders>
            <w:shd w:val="clear" w:color="auto" w:fill="auto"/>
            <w:vAlign w:val="center"/>
          </w:tcPr>
          <w:p w:rsidR="001A63C6" w:rsidRPr="00451078" w:rsidRDefault="001A63C6" w:rsidP="001A63C6">
            <w:pPr>
              <w:pStyle w:val="TableText"/>
              <w:widowControl w:val="0"/>
              <w:rPr>
                <w:rStyle w:val="EndnoteReference"/>
                <w:sz w:val="13"/>
                <w:szCs w:val="13"/>
                <w:u w:val="single"/>
                <w:lang w:val="it-IT"/>
              </w:rPr>
            </w:pPr>
          </w:p>
        </w:tc>
        <w:tc>
          <w:tcPr>
            <w:tcW w:w="450" w:type="dxa"/>
            <w:tcBorders>
              <w:bottom w:val="single" w:sz="4" w:space="0" w:color="auto"/>
            </w:tcBorders>
            <w:shd w:val="clear" w:color="auto" w:fill="auto"/>
          </w:tcPr>
          <w:p w:rsidR="001A63C6" w:rsidRPr="003410C7" w:rsidRDefault="001A63C6" w:rsidP="001A63C6">
            <w:pPr>
              <w:pStyle w:val="TableText"/>
              <w:widowControl w:val="0"/>
              <w:spacing w:before="80"/>
              <w:rPr>
                <w:rFonts w:ascii="Tahoma" w:hAnsi="Tahoma" w:cs="Tahoma"/>
                <w:color w:val="000000"/>
                <w:sz w:val="13"/>
              </w:rPr>
            </w:pPr>
            <w:r w:rsidRPr="003410C7">
              <w:rPr>
                <w:rFonts w:ascii="Tahoma" w:hAnsi="Tahoma" w:cs="Tahoma"/>
                <w:color w:val="000000"/>
                <w:sz w:val="13"/>
              </w:rPr>
              <w:t>07/10</w:t>
            </w:r>
          </w:p>
        </w:tc>
        <w:tc>
          <w:tcPr>
            <w:tcW w:w="360" w:type="dxa"/>
            <w:tcBorders>
              <w:bottom w:val="single" w:sz="4" w:space="0" w:color="auto"/>
              <w:right w:val="single" w:sz="18" w:space="0" w:color="auto"/>
            </w:tcBorders>
            <w:shd w:val="clear" w:color="auto" w:fill="auto"/>
            <w:vAlign w:val="center"/>
          </w:tcPr>
          <w:p w:rsidR="001A63C6" w:rsidRPr="003410C7" w:rsidRDefault="001A63C6" w:rsidP="001A63C6">
            <w:pPr>
              <w:pStyle w:val="TableText"/>
              <w:widowControl w:val="0"/>
              <w:rPr>
                <w:rFonts w:ascii="Tahoma" w:hAnsi="Tahoma" w:cs="Tahoma"/>
                <w:color w:val="000000"/>
                <w:sz w:val="13"/>
              </w:rPr>
            </w:pPr>
            <w:r w:rsidRPr="003410C7">
              <w:rPr>
                <w:rFonts w:ascii="Tahoma" w:hAnsi="Tahoma" w:cs="Tahoma"/>
                <w:color w:val="000000"/>
                <w:sz w:val="13"/>
              </w:rPr>
              <w:t>SRV</w:t>
            </w:r>
          </w:p>
        </w:tc>
        <w:tc>
          <w:tcPr>
            <w:tcW w:w="360" w:type="dxa"/>
            <w:tcBorders>
              <w:left w:val="single" w:sz="18" w:space="0" w:color="auto"/>
              <w:bottom w:val="single" w:sz="4" w:space="0" w:color="auto"/>
            </w:tcBorders>
            <w:shd w:val="clear" w:color="auto" w:fill="auto"/>
            <w:vAlign w:val="center"/>
          </w:tcPr>
          <w:p w:rsidR="001A63C6" w:rsidRPr="003410C7" w:rsidRDefault="001A63C6" w:rsidP="001A63C6">
            <w:pPr>
              <w:pStyle w:val="TableText"/>
              <w:widowControl w:val="0"/>
              <w:rPr>
                <w:rFonts w:ascii="Tahoma" w:hAnsi="Tahoma" w:cs="Tahoma"/>
                <w:color w:val="000000"/>
                <w:sz w:val="13"/>
              </w:rPr>
            </w:pPr>
            <w:r w:rsidRPr="003410C7">
              <w:rPr>
                <w:rFonts w:ascii="Tahoma" w:hAnsi="Tahoma" w:cs="Tahoma"/>
                <w:color w:val="000000"/>
                <w:sz w:val="13"/>
              </w:rPr>
              <w:t>1</w:t>
            </w:r>
          </w:p>
        </w:tc>
        <w:tc>
          <w:tcPr>
            <w:tcW w:w="450" w:type="dxa"/>
            <w:tcBorders>
              <w:bottom w:val="single" w:sz="4" w:space="0" w:color="auto"/>
            </w:tcBorders>
            <w:shd w:val="clear" w:color="auto" w:fill="auto"/>
            <w:vAlign w:val="center"/>
          </w:tcPr>
          <w:p w:rsidR="001A63C6" w:rsidRPr="003410C7" w:rsidRDefault="001A63C6" w:rsidP="001A63C6">
            <w:pPr>
              <w:pStyle w:val="TableText"/>
              <w:widowControl w:val="0"/>
              <w:rPr>
                <w:rFonts w:ascii="Tahoma" w:hAnsi="Tahoma" w:cs="Tahoma"/>
                <w:color w:val="000000"/>
                <w:sz w:val="13"/>
              </w:rPr>
            </w:pPr>
          </w:p>
        </w:tc>
        <w:tc>
          <w:tcPr>
            <w:tcW w:w="450" w:type="dxa"/>
            <w:tcBorders>
              <w:bottom w:val="single" w:sz="4" w:space="0" w:color="auto"/>
            </w:tcBorders>
            <w:shd w:val="clear" w:color="auto" w:fill="auto"/>
            <w:vAlign w:val="center"/>
          </w:tcPr>
          <w:p w:rsidR="001A63C6" w:rsidRPr="003410C7" w:rsidRDefault="001A63C6" w:rsidP="001A63C6">
            <w:pPr>
              <w:pStyle w:val="TableText"/>
              <w:widowControl w:val="0"/>
              <w:rPr>
                <w:rFonts w:ascii="Tahoma" w:hAnsi="Tahoma" w:cs="Tahoma"/>
                <w:color w:val="000000"/>
                <w:sz w:val="13"/>
              </w:rPr>
            </w:pPr>
          </w:p>
        </w:tc>
        <w:tc>
          <w:tcPr>
            <w:tcW w:w="450" w:type="dxa"/>
            <w:tcBorders>
              <w:bottom w:val="single" w:sz="4" w:space="0" w:color="auto"/>
            </w:tcBorders>
            <w:shd w:val="clear" w:color="auto" w:fill="auto"/>
            <w:vAlign w:val="center"/>
          </w:tcPr>
          <w:p w:rsidR="001A63C6" w:rsidRPr="003410C7" w:rsidRDefault="001A63C6" w:rsidP="001A63C6">
            <w:pPr>
              <w:pStyle w:val="TableText"/>
              <w:widowControl w:val="0"/>
              <w:rPr>
                <w:rFonts w:ascii="Tahoma" w:hAnsi="Tahoma" w:cs="Tahoma"/>
                <w:color w:val="000000"/>
                <w:sz w:val="13"/>
              </w:rPr>
            </w:pPr>
          </w:p>
        </w:tc>
        <w:tc>
          <w:tcPr>
            <w:tcW w:w="450" w:type="dxa"/>
            <w:tcBorders>
              <w:bottom w:val="single" w:sz="4" w:space="0" w:color="auto"/>
            </w:tcBorders>
            <w:shd w:val="clear" w:color="auto" w:fill="auto"/>
            <w:vAlign w:val="center"/>
          </w:tcPr>
          <w:p w:rsidR="001A63C6" w:rsidRPr="003410C7" w:rsidRDefault="001A63C6" w:rsidP="001A63C6">
            <w:pPr>
              <w:pStyle w:val="TableText"/>
              <w:widowControl w:val="0"/>
              <w:rPr>
                <w:rFonts w:ascii="Tahoma" w:hAnsi="Tahoma" w:cs="Tahoma"/>
                <w:color w:val="000000"/>
                <w:sz w:val="13"/>
              </w:rPr>
            </w:pPr>
          </w:p>
        </w:tc>
        <w:tc>
          <w:tcPr>
            <w:tcW w:w="450" w:type="dxa"/>
            <w:tcBorders>
              <w:bottom w:val="single" w:sz="4" w:space="0" w:color="auto"/>
            </w:tcBorders>
            <w:shd w:val="clear" w:color="auto" w:fill="auto"/>
            <w:vAlign w:val="center"/>
          </w:tcPr>
          <w:p w:rsidR="001A63C6" w:rsidRPr="003410C7" w:rsidRDefault="001A63C6" w:rsidP="001A63C6">
            <w:pPr>
              <w:pStyle w:val="TableText"/>
              <w:widowControl w:val="0"/>
              <w:rPr>
                <w:rFonts w:ascii="Tahoma" w:hAnsi="Tahoma" w:cs="Tahoma"/>
                <w:color w:val="000000"/>
                <w:sz w:val="13"/>
              </w:rPr>
            </w:pPr>
          </w:p>
        </w:tc>
        <w:tc>
          <w:tcPr>
            <w:tcW w:w="360" w:type="dxa"/>
            <w:tcBorders>
              <w:bottom w:val="single" w:sz="4" w:space="0" w:color="auto"/>
              <w:right w:val="single" w:sz="18" w:space="0" w:color="auto"/>
            </w:tcBorders>
            <w:shd w:val="clear" w:color="auto" w:fill="auto"/>
            <w:vAlign w:val="center"/>
          </w:tcPr>
          <w:p w:rsidR="001A63C6" w:rsidRPr="003410C7" w:rsidRDefault="001A63C6" w:rsidP="001A63C6">
            <w:pPr>
              <w:pStyle w:val="TableText"/>
              <w:widowControl w:val="0"/>
              <w:rPr>
                <w:rFonts w:ascii="Tahoma" w:hAnsi="Tahoma" w:cs="Tahoma"/>
                <w:color w:val="000000"/>
                <w:sz w:val="13"/>
              </w:rPr>
            </w:pPr>
          </w:p>
        </w:tc>
        <w:tc>
          <w:tcPr>
            <w:tcW w:w="450" w:type="dxa"/>
            <w:tcBorders>
              <w:left w:val="single" w:sz="18" w:space="0" w:color="auto"/>
              <w:bottom w:val="single" w:sz="4" w:space="0" w:color="auto"/>
            </w:tcBorders>
            <w:shd w:val="clear" w:color="auto" w:fill="auto"/>
            <w:vAlign w:val="center"/>
          </w:tcPr>
          <w:p w:rsidR="001A63C6" w:rsidRPr="003410C7" w:rsidRDefault="001A63C6" w:rsidP="001A63C6">
            <w:pPr>
              <w:pStyle w:val="TableText"/>
              <w:widowControl w:val="0"/>
              <w:rPr>
                <w:rFonts w:ascii="Tahoma" w:hAnsi="Tahoma" w:cs="Tahoma"/>
                <w:color w:val="000000"/>
                <w:sz w:val="13"/>
              </w:rPr>
            </w:pPr>
            <w:r w:rsidRPr="003410C7">
              <w:rPr>
                <w:rFonts w:ascii="Tahoma" w:hAnsi="Tahoma" w:cs="Tahoma"/>
                <w:color w:val="000000"/>
                <w:sz w:val="13"/>
              </w:rPr>
              <w:t>1</w:t>
            </w:r>
          </w:p>
        </w:tc>
        <w:tc>
          <w:tcPr>
            <w:tcW w:w="450" w:type="dxa"/>
            <w:tcBorders>
              <w:bottom w:val="single" w:sz="4" w:space="0" w:color="auto"/>
            </w:tcBorders>
            <w:shd w:val="clear" w:color="auto" w:fill="auto"/>
            <w:vAlign w:val="center"/>
          </w:tcPr>
          <w:p w:rsidR="001A63C6" w:rsidRPr="003410C7" w:rsidRDefault="001A63C6" w:rsidP="001A63C6">
            <w:pPr>
              <w:pStyle w:val="TableText"/>
              <w:widowControl w:val="0"/>
              <w:rPr>
                <w:rFonts w:ascii="Tahoma" w:hAnsi="Tahoma" w:cs="Tahoma"/>
                <w:color w:val="000000"/>
                <w:sz w:val="13"/>
              </w:rPr>
            </w:pPr>
          </w:p>
        </w:tc>
        <w:tc>
          <w:tcPr>
            <w:tcW w:w="450" w:type="dxa"/>
            <w:tcBorders>
              <w:bottom w:val="single" w:sz="4" w:space="0" w:color="auto"/>
              <w:right w:val="single" w:sz="18" w:space="0" w:color="auto"/>
            </w:tcBorders>
            <w:shd w:val="clear" w:color="auto" w:fill="auto"/>
            <w:vAlign w:val="center"/>
          </w:tcPr>
          <w:p w:rsidR="001A63C6" w:rsidRPr="003410C7" w:rsidRDefault="001A63C6" w:rsidP="001A63C6">
            <w:pPr>
              <w:pStyle w:val="TableText"/>
              <w:widowControl w:val="0"/>
              <w:rPr>
                <w:rFonts w:ascii="Tahoma" w:hAnsi="Tahoma" w:cs="Tahoma"/>
                <w:color w:val="000000"/>
                <w:sz w:val="13"/>
              </w:rPr>
            </w:pPr>
          </w:p>
        </w:tc>
        <w:tc>
          <w:tcPr>
            <w:tcW w:w="450" w:type="dxa"/>
            <w:tcBorders>
              <w:left w:val="single" w:sz="18" w:space="0" w:color="auto"/>
              <w:bottom w:val="single" w:sz="4" w:space="0" w:color="auto"/>
            </w:tcBorders>
            <w:shd w:val="clear" w:color="auto" w:fill="auto"/>
            <w:vAlign w:val="center"/>
          </w:tcPr>
          <w:p w:rsidR="001A63C6" w:rsidRPr="003410C7" w:rsidRDefault="001A63C6" w:rsidP="001A63C6">
            <w:pPr>
              <w:pStyle w:val="TableText"/>
              <w:widowControl w:val="0"/>
              <w:rPr>
                <w:rFonts w:ascii="Tahoma" w:hAnsi="Tahoma" w:cs="Tahoma"/>
                <w:color w:val="000000"/>
                <w:sz w:val="13"/>
              </w:rPr>
            </w:pPr>
          </w:p>
        </w:tc>
        <w:tc>
          <w:tcPr>
            <w:tcW w:w="450" w:type="dxa"/>
            <w:tcBorders>
              <w:bottom w:val="single" w:sz="4" w:space="0" w:color="auto"/>
              <w:right w:val="single" w:sz="18" w:space="0" w:color="auto"/>
            </w:tcBorders>
            <w:shd w:val="clear" w:color="auto" w:fill="auto"/>
            <w:vAlign w:val="center"/>
          </w:tcPr>
          <w:p w:rsidR="001A63C6" w:rsidRPr="003410C7" w:rsidRDefault="001A63C6" w:rsidP="001A63C6">
            <w:pPr>
              <w:pStyle w:val="TableText"/>
              <w:widowControl w:val="0"/>
              <w:rPr>
                <w:rFonts w:ascii="Tahoma" w:hAnsi="Tahoma" w:cs="Tahoma"/>
                <w:color w:val="000000"/>
                <w:sz w:val="13"/>
              </w:rPr>
            </w:pPr>
          </w:p>
        </w:tc>
        <w:tc>
          <w:tcPr>
            <w:tcW w:w="450" w:type="dxa"/>
            <w:tcBorders>
              <w:left w:val="single" w:sz="18" w:space="0" w:color="auto"/>
              <w:bottom w:val="single" w:sz="4" w:space="0" w:color="auto"/>
              <w:right w:val="single" w:sz="18" w:space="0" w:color="auto"/>
            </w:tcBorders>
            <w:shd w:val="clear" w:color="auto" w:fill="auto"/>
            <w:vAlign w:val="center"/>
          </w:tcPr>
          <w:p w:rsidR="001A63C6" w:rsidRPr="003410C7" w:rsidRDefault="001A63C6" w:rsidP="001A63C6">
            <w:pPr>
              <w:pStyle w:val="TableText"/>
              <w:widowControl w:val="0"/>
              <w:rPr>
                <w:rFonts w:ascii="Tahoma" w:hAnsi="Tahoma" w:cs="Tahoma"/>
                <w:color w:val="000000"/>
                <w:sz w:val="13"/>
              </w:rPr>
            </w:pPr>
          </w:p>
        </w:tc>
        <w:tc>
          <w:tcPr>
            <w:tcW w:w="450" w:type="dxa"/>
            <w:tcBorders>
              <w:bottom w:val="single" w:sz="4" w:space="0" w:color="auto"/>
            </w:tcBorders>
            <w:shd w:val="clear" w:color="auto" w:fill="auto"/>
            <w:vAlign w:val="center"/>
          </w:tcPr>
          <w:p w:rsidR="001A63C6" w:rsidRPr="003410C7" w:rsidRDefault="001A63C6" w:rsidP="001A63C6">
            <w:pPr>
              <w:pStyle w:val="TableText"/>
              <w:widowControl w:val="0"/>
              <w:rPr>
                <w:rFonts w:ascii="Tahoma" w:hAnsi="Tahoma" w:cs="Tahoma"/>
                <w:color w:val="000000"/>
                <w:sz w:val="13"/>
              </w:rPr>
            </w:pPr>
          </w:p>
        </w:tc>
        <w:tc>
          <w:tcPr>
            <w:tcW w:w="540" w:type="dxa"/>
            <w:tcBorders>
              <w:bottom w:val="single" w:sz="4" w:space="0" w:color="auto"/>
            </w:tcBorders>
            <w:shd w:val="clear" w:color="auto" w:fill="auto"/>
            <w:vAlign w:val="center"/>
          </w:tcPr>
          <w:p w:rsidR="001A63C6" w:rsidRPr="003410C7" w:rsidRDefault="001A63C6" w:rsidP="001A63C6">
            <w:pPr>
              <w:pStyle w:val="TableText"/>
              <w:widowControl w:val="0"/>
              <w:rPr>
                <w:rFonts w:ascii="Tahoma" w:hAnsi="Tahoma" w:cs="Tahoma"/>
                <w:color w:val="000000"/>
                <w:sz w:val="13"/>
              </w:rPr>
            </w:pPr>
          </w:p>
        </w:tc>
      </w:tr>
      <w:tr w:rsidR="00B33D0E" w:rsidRPr="003410C7" w:rsidTr="006B1F3F">
        <w:trPr>
          <w:trHeight w:val="145"/>
        </w:trPr>
        <w:tc>
          <w:tcPr>
            <w:tcW w:w="2734" w:type="dxa"/>
            <w:gridSpan w:val="2"/>
            <w:tcBorders>
              <w:bottom w:val="single" w:sz="4" w:space="0" w:color="auto"/>
            </w:tcBorders>
            <w:shd w:val="clear" w:color="auto" w:fill="FABF8F"/>
            <w:vAlign w:val="center"/>
          </w:tcPr>
          <w:p w:rsidR="001A63C6" w:rsidRPr="00451078" w:rsidRDefault="001A63C6" w:rsidP="00F57878">
            <w:pPr>
              <w:pStyle w:val="ProductNames"/>
              <w:spacing w:beforeLines="20" w:before="48" w:afterLines="20" w:after="48"/>
              <w:rPr>
                <w:rFonts w:ascii="Tahoma" w:hAnsi="Tahoma" w:cs="Tahoma"/>
                <w:sz w:val="14"/>
                <w:lang w:val="it-IT"/>
              </w:rPr>
            </w:pPr>
            <w:bookmarkStart w:id="443" w:name="_Toc336338077"/>
            <w:bookmarkStart w:id="444" w:name="_Toc352234677"/>
            <w:r w:rsidRPr="00451078">
              <w:rPr>
                <w:rFonts w:ascii="Tahoma" w:hAnsi="Tahoma" w:cs="Tahoma"/>
                <w:sz w:val="14"/>
                <w:lang w:val="it-IT"/>
              </w:rPr>
              <w:t>Licenza di Gestione Server Standard per</w:t>
            </w:r>
            <w:r w:rsidR="00F57878" w:rsidRPr="00451078">
              <w:rPr>
                <w:rFonts w:ascii="Tahoma" w:hAnsi="Tahoma" w:cs="Tahoma"/>
                <w:sz w:val="14"/>
                <w:lang w:val="it-IT"/>
              </w:rPr>
              <w:t> </w:t>
            </w:r>
            <w:r w:rsidRPr="00451078">
              <w:rPr>
                <w:rFonts w:ascii="Tahoma" w:hAnsi="Tahoma" w:cs="Tahoma"/>
                <w:sz w:val="14"/>
                <w:lang w:val="it-IT"/>
              </w:rPr>
              <w:t>System Center Operations Manager</w:t>
            </w:r>
            <w:r w:rsidR="00F57878" w:rsidRPr="00451078">
              <w:rPr>
                <w:rFonts w:ascii="Tahoma" w:hAnsi="Tahoma" w:cs="Tahoma"/>
                <w:sz w:val="14"/>
                <w:lang w:val="it-IT"/>
              </w:rPr>
              <w:t> </w:t>
            </w:r>
            <w:r w:rsidRPr="00451078">
              <w:rPr>
                <w:rFonts w:ascii="Tahoma" w:hAnsi="Tahoma" w:cs="Tahoma"/>
                <w:sz w:val="14"/>
                <w:lang w:val="it-IT"/>
              </w:rPr>
              <w:t>2007 R2</w:t>
            </w:r>
            <w:bookmarkEnd w:id="443"/>
            <w:bookmarkEnd w:id="444"/>
            <w:r w:rsidRPr="00451078">
              <w:rPr>
                <w:rFonts w:ascii="Tahoma" w:hAnsi="Tahoma" w:cs="Tahoma"/>
                <w:sz w:val="14"/>
                <w:lang w:val="it-IT"/>
              </w:rPr>
              <w:t xml:space="preserve"> </w:t>
            </w:r>
          </w:p>
        </w:tc>
        <w:tc>
          <w:tcPr>
            <w:tcW w:w="450" w:type="dxa"/>
            <w:tcBorders>
              <w:bottom w:val="single" w:sz="4" w:space="0" w:color="auto"/>
            </w:tcBorders>
            <w:shd w:val="clear" w:color="auto" w:fill="FABF8F"/>
            <w:vAlign w:val="center"/>
          </w:tcPr>
          <w:p w:rsidR="001A63C6" w:rsidRPr="00451078" w:rsidRDefault="001A63C6" w:rsidP="001A63C6">
            <w:pPr>
              <w:pStyle w:val="TableText"/>
              <w:widowControl w:val="0"/>
              <w:rPr>
                <w:rStyle w:val="EndnoteReference"/>
                <w:b w:val="0"/>
                <w:color w:val="000000"/>
                <w:sz w:val="13"/>
                <w:szCs w:val="13"/>
                <w:u w:val="single"/>
                <w:lang w:val="it-IT"/>
              </w:rPr>
            </w:pPr>
          </w:p>
        </w:tc>
        <w:tc>
          <w:tcPr>
            <w:tcW w:w="450" w:type="dxa"/>
            <w:tcBorders>
              <w:bottom w:val="single" w:sz="4" w:space="0" w:color="auto"/>
            </w:tcBorders>
            <w:shd w:val="clear" w:color="auto" w:fill="FABF8F"/>
          </w:tcPr>
          <w:p w:rsidR="001A63C6" w:rsidRPr="003410C7" w:rsidRDefault="001A63C6" w:rsidP="001A63C6">
            <w:pPr>
              <w:pStyle w:val="TableText"/>
              <w:widowControl w:val="0"/>
              <w:spacing w:before="200"/>
              <w:rPr>
                <w:rFonts w:ascii="Tahoma" w:hAnsi="Tahoma" w:cs="Tahoma"/>
                <w:color w:val="000000"/>
                <w:sz w:val="13"/>
              </w:rPr>
            </w:pPr>
            <w:r w:rsidRPr="003410C7">
              <w:rPr>
                <w:rFonts w:ascii="Tahoma" w:hAnsi="Tahoma" w:cs="Tahoma"/>
                <w:color w:val="000000"/>
                <w:sz w:val="13"/>
              </w:rPr>
              <w:t>07/09</w:t>
            </w:r>
          </w:p>
        </w:tc>
        <w:tc>
          <w:tcPr>
            <w:tcW w:w="360" w:type="dxa"/>
            <w:tcBorders>
              <w:bottom w:val="single" w:sz="4" w:space="0" w:color="auto"/>
              <w:right w:val="single" w:sz="18" w:space="0" w:color="auto"/>
            </w:tcBorders>
            <w:shd w:val="clear" w:color="auto" w:fill="FABF8F"/>
            <w:vAlign w:val="center"/>
          </w:tcPr>
          <w:p w:rsidR="001A63C6" w:rsidRPr="003410C7" w:rsidRDefault="001A63C6" w:rsidP="001A63C6">
            <w:pPr>
              <w:pStyle w:val="TableText"/>
              <w:widowControl w:val="0"/>
              <w:rPr>
                <w:rFonts w:ascii="Tahoma" w:hAnsi="Tahoma" w:cs="Tahoma"/>
                <w:color w:val="000000"/>
                <w:sz w:val="13"/>
              </w:rPr>
            </w:pPr>
            <w:r w:rsidRPr="003410C7">
              <w:rPr>
                <w:rFonts w:ascii="Tahoma" w:hAnsi="Tahoma" w:cs="Tahoma"/>
                <w:color w:val="000000"/>
                <w:sz w:val="13"/>
              </w:rPr>
              <w:t>SRV</w:t>
            </w:r>
          </w:p>
        </w:tc>
        <w:tc>
          <w:tcPr>
            <w:tcW w:w="360" w:type="dxa"/>
            <w:tcBorders>
              <w:left w:val="single" w:sz="18" w:space="0" w:color="auto"/>
              <w:bottom w:val="single" w:sz="4" w:space="0" w:color="auto"/>
            </w:tcBorders>
            <w:shd w:val="clear" w:color="auto" w:fill="FABF8F"/>
            <w:vAlign w:val="center"/>
          </w:tcPr>
          <w:p w:rsidR="001A63C6" w:rsidRPr="003410C7" w:rsidRDefault="001A63C6" w:rsidP="001A63C6">
            <w:pPr>
              <w:pStyle w:val="TableText"/>
              <w:widowControl w:val="0"/>
              <w:rPr>
                <w:rFonts w:ascii="Tahoma" w:hAnsi="Tahoma" w:cs="Tahoma"/>
                <w:color w:val="000000"/>
                <w:sz w:val="13"/>
              </w:rPr>
            </w:pPr>
          </w:p>
        </w:tc>
        <w:tc>
          <w:tcPr>
            <w:tcW w:w="450" w:type="dxa"/>
            <w:tcBorders>
              <w:bottom w:val="single" w:sz="4" w:space="0" w:color="auto"/>
            </w:tcBorders>
            <w:shd w:val="clear" w:color="auto" w:fill="FABF8F"/>
            <w:vAlign w:val="center"/>
          </w:tcPr>
          <w:p w:rsidR="001A63C6" w:rsidRPr="003410C7" w:rsidRDefault="001A63C6" w:rsidP="001A63C6">
            <w:pPr>
              <w:pStyle w:val="TableText"/>
              <w:widowControl w:val="0"/>
              <w:rPr>
                <w:rFonts w:ascii="Tahoma" w:hAnsi="Tahoma" w:cs="Tahoma"/>
                <w:color w:val="000000"/>
                <w:sz w:val="13"/>
              </w:rPr>
            </w:pPr>
          </w:p>
        </w:tc>
        <w:tc>
          <w:tcPr>
            <w:tcW w:w="450" w:type="dxa"/>
            <w:tcBorders>
              <w:bottom w:val="single" w:sz="4" w:space="0" w:color="auto"/>
            </w:tcBorders>
            <w:shd w:val="clear" w:color="auto" w:fill="FABF8F"/>
            <w:vAlign w:val="center"/>
          </w:tcPr>
          <w:p w:rsidR="001A63C6" w:rsidRPr="003410C7" w:rsidRDefault="001A63C6" w:rsidP="001A63C6">
            <w:pPr>
              <w:pStyle w:val="TableText"/>
              <w:widowControl w:val="0"/>
              <w:rPr>
                <w:rFonts w:ascii="Tahoma" w:hAnsi="Tahoma" w:cs="Tahoma"/>
                <w:color w:val="000000"/>
                <w:sz w:val="13"/>
              </w:rPr>
            </w:pPr>
          </w:p>
        </w:tc>
        <w:tc>
          <w:tcPr>
            <w:tcW w:w="450" w:type="dxa"/>
            <w:tcBorders>
              <w:bottom w:val="single" w:sz="4" w:space="0" w:color="auto"/>
            </w:tcBorders>
            <w:shd w:val="clear" w:color="auto" w:fill="FABF8F"/>
            <w:vAlign w:val="center"/>
          </w:tcPr>
          <w:p w:rsidR="001A63C6" w:rsidRPr="003410C7" w:rsidRDefault="001A63C6" w:rsidP="001A63C6">
            <w:pPr>
              <w:pStyle w:val="TableText"/>
              <w:widowControl w:val="0"/>
              <w:rPr>
                <w:rFonts w:ascii="Tahoma" w:hAnsi="Tahoma" w:cs="Tahoma"/>
                <w:color w:val="000000"/>
                <w:sz w:val="13"/>
              </w:rPr>
            </w:pPr>
          </w:p>
        </w:tc>
        <w:tc>
          <w:tcPr>
            <w:tcW w:w="450" w:type="dxa"/>
            <w:tcBorders>
              <w:bottom w:val="single" w:sz="4" w:space="0" w:color="auto"/>
            </w:tcBorders>
            <w:shd w:val="clear" w:color="auto" w:fill="FABF8F"/>
            <w:vAlign w:val="center"/>
          </w:tcPr>
          <w:p w:rsidR="001A63C6" w:rsidRPr="003410C7" w:rsidRDefault="001A63C6" w:rsidP="001A63C6">
            <w:pPr>
              <w:pStyle w:val="TableText"/>
              <w:widowControl w:val="0"/>
              <w:rPr>
                <w:rFonts w:ascii="Tahoma" w:hAnsi="Tahoma" w:cs="Tahoma"/>
                <w:color w:val="000000"/>
                <w:sz w:val="13"/>
              </w:rPr>
            </w:pPr>
          </w:p>
        </w:tc>
        <w:tc>
          <w:tcPr>
            <w:tcW w:w="450" w:type="dxa"/>
            <w:tcBorders>
              <w:bottom w:val="single" w:sz="4" w:space="0" w:color="auto"/>
            </w:tcBorders>
            <w:shd w:val="clear" w:color="auto" w:fill="FABF8F"/>
            <w:vAlign w:val="center"/>
          </w:tcPr>
          <w:p w:rsidR="001A63C6" w:rsidRPr="003410C7" w:rsidRDefault="001A63C6" w:rsidP="001A63C6">
            <w:pPr>
              <w:pStyle w:val="TableText"/>
              <w:widowControl w:val="0"/>
              <w:rPr>
                <w:rFonts w:ascii="Tahoma" w:hAnsi="Tahoma" w:cs="Tahoma"/>
                <w:color w:val="000000"/>
                <w:sz w:val="13"/>
              </w:rPr>
            </w:pPr>
          </w:p>
        </w:tc>
        <w:tc>
          <w:tcPr>
            <w:tcW w:w="360" w:type="dxa"/>
            <w:tcBorders>
              <w:bottom w:val="single" w:sz="4" w:space="0" w:color="auto"/>
              <w:right w:val="single" w:sz="18" w:space="0" w:color="auto"/>
            </w:tcBorders>
            <w:shd w:val="clear" w:color="auto" w:fill="FABF8F"/>
            <w:vAlign w:val="center"/>
          </w:tcPr>
          <w:p w:rsidR="001A63C6" w:rsidRPr="003410C7" w:rsidRDefault="001A63C6" w:rsidP="001A63C6">
            <w:pPr>
              <w:pStyle w:val="TableText"/>
              <w:widowControl w:val="0"/>
              <w:rPr>
                <w:rFonts w:ascii="Tahoma" w:hAnsi="Tahoma" w:cs="Tahoma"/>
                <w:color w:val="000000"/>
                <w:sz w:val="13"/>
              </w:rPr>
            </w:pPr>
          </w:p>
        </w:tc>
        <w:tc>
          <w:tcPr>
            <w:tcW w:w="450" w:type="dxa"/>
            <w:tcBorders>
              <w:left w:val="single" w:sz="18" w:space="0" w:color="auto"/>
              <w:bottom w:val="single" w:sz="4" w:space="0" w:color="auto"/>
            </w:tcBorders>
            <w:shd w:val="clear" w:color="auto" w:fill="FABF8F"/>
            <w:vAlign w:val="center"/>
          </w:tcPr>
          <w:p w:rsidR="001A63C6" w:rsidRPr="003410C7" w:rsidRDefault="001A63C6" w:rsidP="001A63C6">
            <w:pPr>
              <w:pStyle w:val="TableText"/>
              <w:widowControl w:val="0"/>
              <w:rPr>
                <w:rFonts w:ascii="Tahoma" w:hAnsi="Tahoma" w:cs="Tahoma"/>
                <w:color w:val="000000"/>
                <w:sz w:val="13"/>
              </w:rPr>
            </w:pPr>
          </w:p>
        </w:tc>
        <w:tc>
          <w:tcPr>
            <w:tcW w:w="450" w:type="dxa"/>
            <w:tcBorders>
              <w:bottom w:val="single" w:sz="4" w:space="0" w:color="auto"/>
            </w:tcBorders>
            <w:shd w:val="clear" w:color="auto" w:fill="FABF8F"/>
            <w:vAlign w:val="center"/>
          </w:tcPr>
          <w:p w:rsidR="001A63C6" w:rsidRPr="003410C7" w:rsidRDefault="001A63C6" w:rsidP="001A63C6">
            <w:pPr>
              <w:pStyle w:val="TableText"/>
              <w:widowControl w:val="0"/>
              <w:rPr>
                <w:rFonts w:ascii="Tahoma" w:hAnsi="Tahoma" w:cs="Tahoma"/>
                <w:color w:val="000000"/>
                <w:sz w:val="13"/>
              </w:rPr>
            </w:pPr>
          </w:p>
        </w:tc>
        <w:tc>
          <w:tcPr>
            <w:tcW w:w="450" w:type="dxa"/>
            <w:tcBorders>
              <w:bottom w:val="single" w:sz="4" w:space="0" w:color="auto"/>
              <w:right w:val="single" w:sz="18" w:space="0" w:color="auto"/>
            </w:tcBorders>
            <w:shd w:val="clear" w:color="auto" w:fill="FABF8F"/>
            <w:vAlign w:val="center"/>
          </w:tcPr>
          <w:p w:rsidR="001A63C6" w:rsidRPr="003410C7" w:rsidRDefault="001A63C6" w:rsidP="001A63C6">
            <w:pPr>
              <w:pStyle w:val="TableText"/>
              <w:widowControl w:val="0"/>
              <w:rPr>
                <w:rFonts w:ascii="Tahoma" w:hAnsi="Tahoma" w:cs="Tahoma"/>
                <w:color w:val="000000"/>
                <w:sz w:val="13"/>
              </w:rPr>
            </w:pPr>
          </w:p>
        </w:tc>
        <w:tc>
          <w:tcPr>
            <w:tcW w:w="450" w:type="dxa"/>
            <w:tcBorders>
              <w:left w:val="single" w:sz="18" w:space="0" w:color="auto"/>
              <w:bottom w:val="single" w:sz="4" w:space="0" w:color="auto"/>
            </w:tcBorders>
            <w:shd w:val="clear" w:color="auto" w:fill="FABF8F"/>
            <w:vAlign w:val="center"/>
          </w:tcPr>
          <w:p w:rsidR="001A63C6" w:rsidRPr="003410C7" w:rsidRDefault="001A63C6" w:rsidP="001A63C6">
            <w:pPr>
              <w:pStyle w:val="TableText"/>
              <w:widowControl w:val="0"/>
              <w:rPr>
                <w:rFonts w:ascii="Tahoma" w:hAnsi="Tahoma" w:cs="Tahoma"/>
                <w:color w:val="000000"/>
                <w:sz w:val="13"/>
              </w:rPr>
            </w:pPr>
            <w:r w:rsidRPr="003410C7">
              <w:rPr>
                <w:rFonts w:ascii="Tahoma" w:hAnsi="Tahoma" w:cs="Tahoma"/>
                <w:color w:val="000000"/>
                <w:sz w:val="13"/>
              </w:rPr>
              <w:t>1</w:t>
            </w:r>
          </w:p>
        </w:tc>
        <w:tc>
          <w:tcPr>
            <w:tcW w:w="450" w:type="dxa"/>
            <w:tcBorders>
              <w:bottom w:val="single" w:sz="4" w:space="0" w:color="auto"/>
              <w:right w:val="single" w:sz="18" w:space="0" w:color="auto"/>
            </w:tcBorders>
            <w:shd w:val="clear" w:color="auto" w:fill="FABF8F"/>
            <w:vAlign w:val="center"/>
          </w:tcPr>
          <w:p w:rsidR="001A63C6" w:rsidRPr="003410C7" w:rsidRDefault="001A63C6" w:rsidP="001A63C6">
            <w:pPr>
              <w:pStyle w:val="TableText"/>
              <w:widowControl w:val="0"/>
              <w:rPr>
                <w:rFonts w:ascii="Tahoma" w:hAnsi="Tahoma" w:cs="Tahoma"/>
                <w:color w:val="000000"/>
                <w:sz w:val="13"/>
              </w:rPr>
            </w:pP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3410C7" w:rsidRDefault="001A63C6" w:rsidP="001A63C6">
            <w:pPr>
              <w:pStyle w:val="TableText"/>
              <w:widowControl w:val="0"/>
              <w:rPr>
                <w:rFonts w:ascii="Tahoma" w:hAnsi="Tahoma" w:cs="Tahoma"/>
                <w:color w:val="000000"/>
                <w:sz w:val="13"/>
              </w:rPr>
            </w:pPr>
          </w:p>
        </w:tc>
        <w:tc>
          <w:tcPr>
            <w:tcW w:w="450" w:type="dxa"/>
            <w:tcBorders>
              <w:bottom w:val="single" w:sz="4" w:space="0" w:color="auto"/>
            </w:tcBorders>
            <w:shd w:val="clear" w:color="auto" w:fill="FABF8F"/>
          </w:tcPr>
          <w:p w:rsidR="001A63C6" w:rsidRPr="003410C7" w:rsidRDefault="001A63C6" w:rsidP="001A63C6">
            <w:pPr>
              <w:pStyle w:val="TableText"/>
              <w:widowControl w:val="0"/>
              <w:spacing w:before="120"/>
              <w:rPr>
                <w:rFonts w:ascii="Tahoma" w:hAnsi="Tahoma" w:cs="Tahoma"/>
                <w:color w:val="000000"/>
                <w:sz w:val="13"/>
              </w:rPr>
            </w:pPr>
            <w:r w:rsidRPr="003410C7">
              <w:rPr>
                <w:rFonts w:ascii="Tahoma" w:hAnsi="Tahoma" w:cs="Tahoma"/>
                <w:sz w:val="13"/>
              </w:rPr>
              <w:t>A</w:t>
            </w:r>
          </w:p>
        </w:tc>
        <w:tc>
          <w:tcPr>
            <w:tcW w:w="540" w:type="dxa"/>
            <w:tcBorders>
              <w:bottom w:val="single" w:sz="4" w:space="0" w:color="auto"/>
            </w:tcBorders>
            <w:shd w:val="clear" w:color="auto" w:fill="FABF8F"/>
            <w:vAlign w:val="center"/>
          </w:tcPr>
          <w:p w:rsidR="001A63C6" w:rsidRPr="003410C7" w:rsidRDefault="001A63C6" w:rsidP="001A63C6">
            <w:pPr>
              <w:pStyle w:val="TableText"/>
              <w:widowControl w:val="0"/>
              <w:rPr>
                <w:rFonts w:ascii="Tahoma" w:hAnsi="Tahoma" w:cs="Tahoma"/>
                <w:color w:val="000000"/>
                <w:sz w:val="13"/>
              </w:rPr>
            </w:pPr>
          </w:p>
        </w:tc>
      </w:tr>
      <w:tr w:rsidR="001A63C6" w:rsidRPr="003410C7" w:rsidTr="007E466C">
        <w:trPr>
          <w:trHeight w:val="145"/>
        </w:trPr>
        <w:tc>
          <w:tcPr>
            <w:tcW w:w="2734" w:type="dxa"/>
            <w:gridSpan w:val="2"/>
            <w:tcBorders>
              <w:bottom w:val="single" w:sz="4" w:space="0" w:color="auto"/>
            </w:tcBorders>
            <w:shd w:val="clear" w:color="auto" w:fill="auto"/>
            <w:vAlign w:val="center"/>
          </w:tcPr>
          <w:p w:rsidR="001A63C6" w:rsidRPr="00451078" w:rsidRDefault="001A63C6" w:rsidP="00F57878">
            <w:pPr>
              <w:pStyle w:val="ProductNames"/>
              <w:spacing w:beforeLines="20" w:before="48" w:afterLines="20" w:after="48"/>
              <w:rPr>
                <w:rFonts w:ascii="Tahoma" w:hAnsi="Tahoma" w:cs="Tahoma"/>
                <w:sz w:val="14"/>
                <w:lang w:val="it-IT"/>
              </w:rPr>
            </w:pPr>
            <w:bookmarkStart w:id="445" w:name="_Toc336338078"/>
            <w:bookmarkStart w:id="446" w:name="_Toc352234678"/>
            <w:r w:rsidRPr="00451078">
              <w:rPr>
                <w:rFonts w:ascii="Tahoma" w:hAnsi="Tahoma" w:cs="Tahoma"/>
                <w:sz w:val="14"/>
                <w:lang w:val="it-IT"/>
              </w:rPr>
              <w:t>Licenza di Gestione Server Enterprise per</w:t>
            </w:r>
            <w:r w:rsidR="00F57878" w:rsidRPr="00451078">
              <w:rPr>
                <w:rFonts w:ascii="Tahoma" w:hAnsi="Tahoma" w:cs="Tahoma"/>
                <w:sz w:val="14"/>
                <w:lang w:val="it-IT"/>
              </w:rPr>
              <w:t> </w:t>
            </w:r>
            <w:r w:rsidRPr="00451078">
              <w:rPr>
                <w:rFonts w:ascii="Tahoma" w:hAnsi="Tahoma" w:cs="Tahoma"/>
                <w:sz w:val="14"/>
                <w:lang w:val="it-IT"/>
              </w:rPr>
              <w:t>System Center Operations Manager</w:t>
            </w:r>
            <w:r w:rsidR="00F57878" w:rsidRPr="00451078">
              <w:rPr>
                <w:rFonts w:ascii="Tahoma" w:hAnsi="Tahoma" w:cs="Tahoma"/>
                <w:sz w:val="14"/>
                <w:lang w:val="it-IT"/>
              </w:rPr>
              <w:t> </w:t>
            </w:r>
            <w:r w:rsidRPr="00451078">
              <w:rPr>
                <w:rFonts w:ascii="Tahoma" w:hAnsi="Tahoma" w:cs="Tahoma"/>
                <w:sz w:val="14"/>
                <w:lang w:val="it-IT"/>
              </w:rPr>
              <w:t>2007 R2</w:t>
            </w:r>
            <w:bookmarkEnd w:id="445"/>
            <w:bookmarkEnd w:id="446"/>
            <w:r w:rsidRPr="00451078">
              <w:rPr>
                <w:rFonts w:ascii="Tahoma" w:hAnsi="Tahoma" w:cs="Tahoma"/>
                <w:sz w:val="14"/>
                <w:lang w:val="it-IT"/>
              </w:rPr>
              <w:t xml:space="preserve"> </w:t>
            </w:r>
          </w:p>
        </w:tc>
        <w:tc>
          <w:tcPr>
            <w:tcW w:w="450" w:type="dxa"/>
            <w:tcBorders>
              <w:bottom w:val="single" w:sz="4" w:space="0" w:color="auto"/>
            </w:tcBorders>
            <w:shd w:val="clear" w:color="auto" w:fill="auto"/>
            <w:vAlign w:val="center"/>
          </w:tcPr>
          <w:p w:rsidR="001A63C6" w:rsidRPr="00451078" w:rsidRDefault="001A63C6" w:rsidP="001A63C6">
            <w:pPr>
              <w:pStyle w:val="TableText"/>
              <w:widowControl w:val="0"/>
              <w:rPr>
                <w:rStyle w:val="EndnoteReference"/>
                <w:color w:val="000000"/>
                <w:sz w:val="13"/>
                <w:szCs w:val="13"/>
                <w:u w:val="single"/>
                <w:lang w:val="it-IT"/>
              </w:rPr>
            </w:pPr>
          </w:p>
        </w:tc>
        <w:tc>
          <w:tcPr>
            <w:tcW w:w="450" w:type="dxa"/>
            <w:tcBorders>
              <w:bottom w:val="single" w:sz="4" w:space="0" w:color="auto"/>
            </w:tcBorders>
            <w:shd w:val="clear" w:color="auto" w:fill="auto"/>
          </w:tcPr>
          <w:p w:rsidR="001A63C6" w:rsidRPr="003410C7" w:rsidRDefault="001A63C6" w:rsidP="001A63C6">
            <w:pPr>
              <w:pStyle w:val="TableText"/>
              <w:widowControl w:val="0"/>
              <w:spacing w:before="200"/>
              <w:rPr>
                <w:rFonts w:ascii="Tahoma" w:hAnsi="Tahoma" w:cs="Tahoma"/>
                <w:color w:val="000000"/>
                <w:sz w:val="13"/>
              </w:rPr>
            </w:pPr>
            <w:r w:rsidRPr="003410C7">
              <w:rPr>
                <w:rFonts w:ascii="Tahoma" w:hAnsi="Tahoma" w:cs="Tahoma"/>
                <w:color w:val="000000"/>
                <w:sz w:val="13"/>
              </w:rPr>
              <w:t>07/09</w:t>
            </w:r>
          </w:p>
        </w:tc>
        <w:tc>
          <w:tcPr>
            <w:tcW w:w="360" w:type="dxa"/>
            <w:tcBorders>
              <w:bottom w:val="single" w:sz="4" w:space="0" w:color="auto"/>
              <w:right w:val="single" w:sz="18" w:space="0" w:color="auto"/>
            </w:tcBorders>
            <w:shd w:val="clear" w:color="auto" w:fill="auto"/>
            <w:vAlign w:val="center"/>
          </w:tcPr>
          <w:p w:rsidR="001A63C6" w:rsidRPr="003410C7" w:rsidRDefault="001A63C6" w:rsidP="001A63C6">
            <w:pPr>
              <w:pStyle w:val="TableText"/>
              <w:widowControl w:val="0"/>
              <w:rPr>
                <w:rFonts w:ascii="Tahoma" w:hAnsi="Tahoma" w:cs="Tahoma"/>
                <w:color w:val="000000"/>
                <w:sz w:val="13"/>
              </w:rPr>
            </w:pPr>
            <w:r w:rsidRPr="003410C7">
              <w:rPr>
                <w:rFonts w:ascii="Tahoma" w:hAnsi="Tahoma" w:cs="Tahoma"/>
                <w:color w:val="000000"/>
                <w:sz w:val="13"/>
              </w:rPr>
              <w:t>SRV</w:t>
            </w:r>
          </w:p>
        </w:tc>
        <w:tc>
          <w:tcPr>
            <w:tcW w:w="360" w:type="dxa"/>
            <w:tcBorders>
              <w:left w:val="single" w:sz="18" w:space="0" w:color="auto"/>
              <w:bottom w:val="single" w:sz="4" w:space="0" w:color="auto"/>
            </w:tcBorders>
            <w:shd w:val="clear" w:color="auto" w:fill="auto"/>
            <w:vAlign w:val="center"/>
          </w:tcPr>
          <w:p w:rsidR="001A63C6" w:rsidRPr="003410C7" w:rsidRDefault="001A63C6" w:rsidP="001A63C6">
            <w:pPr>
              <w:pStyle w:val="TableText"/>
              <w:widowControl w:val="0"/>
              <w:rPr>
                <w:rFonts w:ascii="Tahoma" w:hAnsi="Tahoma" w:cs="Tahoma"/>
                <w:color w:val="000000"/>
                <w:sz w:val="13"/>
              </w:rPr>
            </w:pPr>
          </w:p>
        </w:tc>
        <w:tc>
          <w:tcPr>
            <w:tcW w:w="450" w:type="dxa"/>
            <w:tcBorders>
              <w:bottom w:val="single" w:sz="4" w:space="0" w:color="auto"/>
            </w:tcBorders>
            <w:shd w:val="clear" w:color="auto" w:fill="auto"/>
            <w:vAlign w:val="center"/>
          </w:tcPr>
          <w:p w:rsidR="001A63C6" w:rsidRPr="003410C7" w:rsidRDefault="001A63C6" w:rsidP="001A63C6">
            <w:pPr>
              <w:pStyle w:val="TableText"/>
              <w:widowControl w:val="0"/>
              <w:rPr>
                <w:rFonts w:ascii="Tahoma" w:hAnsi="Tahoma" w:cs="Tahoma"/>
                <w:color w:val="000000"/>
                <w:sz w:val="13"/>
              </w:rPr>
            </w:pPr>
          </w:p>
        </w:tc>
        <w:tc>
          <w:tcPr>
            <w:tcW w:w="450" w:type="dxa"/>
            <w:tcBorders>
              <w:bottom w:val="single" w:sz="4" w:space="0" w:color="auto"/>
            </w:tcBorders>
            <w:shd w:val="clear" w:color="auto" w:fill="auto"/>
            <w:vAlign w:val="center"/>
          </w:tcPr>
          <w:p w:rsidR="001A63C6" w:rsidRPr="003410C7" w:rsidRDefault="001A63C6" w:rsidP="001A63C6">
            <w:pPr>
              <w:pStyle w:val="TableText"/>
              <w:widowControl w:val="0"/>
              <w:rPr>
                <w:rFonts w:ascii="Tahoma" w:hAnsi="Tahoma" w:cs="Tahoma"/>
                <w:color w:val="000000"/>
                <w:sz w:val="13"/>
              </w:rPr>
            </w:pPr>
          </w:p>
        </w:tc>
        <w:tc>
          <w:tcPr>
            <w:tcW w:w="450" w:type="dxa"/>
            <w:tcBorders>
              <w:bottom w:val="single" w:sz="4" w:space="0" w:color="auto"/>
            </w:tcBorders>
            <w:shd w:val="clear" w:color="auto" w:fill="auto"/>
            <w:vAlign w:val="center"/>
          </w:tcPr>
          <w:p w:rsidR="001A63C6" w:rsidRPr="003410C7" w:rsidRDefault="001A63C6" w:rsidP="001A63C6">
            <w:pPr>
              <w:pStyle w:val="TableText"/>
              <w:widowControl w:val="0"/>
              <w:rPr>
                <w:rFonts w:ascii="Tahoma" w:hAnsi="Tahoma" w:cs="Tahoma"/>
                <w:color w:val="000000"/>
                <w:sz w:val="13"/>
              </w:rPr>
            </w:pPr>
          </w:p>
        </w:tc>
        <w:tc>
          <w:tcPr>
            <w:tcW w:w="450" w:type="dxa"/>
            <w:tcBorders>
              <w:bottom w:val="single" w:sz="4" w:space="0" w:color="auto"/>
            </w:tcBorders>
            <w:shd w:val="clear" w:color="auto" w:fill="auto"/>
            <w:vAlign w:val="center"/>
          </w:tcPr>
          <w:p w:rsidR="001A63C6" w:rsidRPr="003410C7" w:rsidRDefault="001A63C6" w:rsidP="001A63C6">
            <w:pPr>
              <w:pStyle w:val="TableText"/>
              <w:widowControl w:val="0"/>
              <w:rPr>
                <w:rFonts w:ascii="Tahoma" w:hAnsi="Tahoma" w:cs="Tahoma"/>
                <w:color w:val="000000"/>
                <w:sz w:val="13"/>
              </w:rPr>
            </w:pPr>
          </w:p>
        </w:tc>
        <w:tc>
          <w:tcPr>
            <w:tcW w:w="450" w:type="dxa"/>
            <w:tcBorders>
              <w:bottom w:val="single" w:sz="4" w:space="0" w:color="auto"/>
            </w:tcBorders>
            <w:shd w:val="clear" w:color="auto" w:fill="auto"/>
            <w:vAlign w:val="center"/>
          </w:tcPr>
          <w:p w:rsidR="001A63C6" w:rsidRPr="003410C7" w:rsidRDefault="001A63C6" w:rsidP="001A63C6">
            <w:pPr>
              <w:pStyle w:val="TableText"/>
              <w:widowControl w:val="0"/>
              <w:rPr>
                <w:rFonts w:ascii="Tahoma" w:hAnsi="Tahoma" w:cs="Tahoma"/>
                <w:color w:val="000000"/>
                <w:sz w:val="13"/>
              </w:rPr>
            </w:pPr>
          </w:p>
        </w:tc>
        <w:tc>
          <w:tcPr>
            <w:tcW w:w="360" w:type="dxa"/>
            <w:tcBorders>
              <w:bottom w:val="single" w:sz="4" w:space="0" w:color="auto"/>
              <w:right w:val="single" w:sz="18" w:space="0" w:color="auto"/>
            </w:tcBorders>
            <w:shd w:val="clear" w:color="auto" w:fill="auto"/>
            <w:vAlign w:val="center"/>
          </w:tcPr>
          <w:p w:rsidR="001A63C6" w:rsidRPr="003410C7" w:rsidRDefault="001A63C6" w:rsidP="001A63C6">
            <w:pPr>
              <w:pStyle w:val="TableText"/>
              <w:widowControl w:val="0"/>
              <w:rPr>
                <w:rFonts w:ascii="Tahoma" w:hAnsi="Tahoma" w:cs="Tahoma"/>
                <w:color w:val="000000"/>
                <w:sz w:val="13"/>
              </w:rPr>
            </w:pPr>
          </w:p>
        </w:tc>
        <w:tc>
          <w:tcPr>
            <w:tcW w:w="450" w:type="dxa"/>
            <w:tcBorders>
              <w:left w:val="single" w:sz="18" w:space="0" w:color="auto"/>
              <w:bottom w:val="single" w:sz="4" w:space="0" w:color="auto"/>
            </w:tcBorders>
            <w:shd w:val="clear" w:color="auto" w:fill="auto"/>
            <w:vAlign w:val="center"/>
          </w:tcPr>
          <w:p w:rsidR="001A63C6" w:rsidRPr="003410C7" w:rsidRDefault="001A63C6" w:rsidP="001A63C6">
            <w:pPr>
              <w:pStyle w:val="TableText"/>
              <w:widowControl w:val="0"/>
              <w:rPr>
                <w:rFonts w:ascii="Tahoma" w:hAnsi="Tahoma" w:cs="Tahoma"/>
                <w:color w:val="000000"/>
                <w:sz w:val="13"/>
              </w:rPr>
            </w:pPr>
          </w:p>
        </w:tc>
        <w:tc>
          <w:tcPr>
            <w:tcW w:w="450" w:type="dxa"/>
            <w:tcBorders>
              <w:bottom w:val="single" w:sz="4" w:space="0" w:color="auto"/>
            </w:tcBorders>
            <w:shd w:val="clear" w:color="auto" w:fill="auto"/>
            <w:vAlign w:val="center"/>
          </w:tcPr>
          <w:p w:rsidR="001A63C6" w:rsidRPr="003410C7" w:rsidRDefault="001A63C6" w:rsidP="001A63C6">
            <w:pPr>
              <w:pStyle w:val="TableText"/>
              <w:widowControl w:val="0"/>
              <w:rPr>
                <w:rFonts w:ascii="Tahoma" w:hAnsi="Tahoma" w:cs="Tahoma"/>
                <w:color w:val="000000"/>
                <w:sz w:val="13"/>
              </w:rPr>
            </w:pPr>
          </w:p>
        </w:tc>
        <w:tc>
          <w:tcPr>
            <w:tcW w:w="450" w:type="dxa"/>
            <w:tcBorders>
              <w:bottom w:val="single" w:sz="4" w:space="0" w:color="auto"/>
              <w:right w:val="single" w:sz="18" w:space="0" w:color="auto"/>
            </w:tcBorders>
            <w:shd w:val="clear" w:color="auto" w:fill="auto"/>
            <w:vAlign w:val="center"/>
          </w:tcPr>
          <w:p w:rsidR="001A63C6" w:rsidRPr="003410C7" w:rsidRDefault="001A63C6" w:rsidP="001A63C6">
            <w:pPr>
              <w:pStyle w:val="TableText"/>
              <w:widowControl w:val="0"/>
              <w:rPr>
                <w:rFonts w:ascii="Tahoma" w:hAnsi="Tahoma" w:cs="Tahoma"/>
                <w:color w:val="000000"/>
                <w:sz w:val="13"/>
              </w:rPr>
            </w:pPr>
          </w:p>
        </w:tc>
        <w:tc>
          <w:tcPr>
            <w:tcW w:w="450" w:type="dxa"/>
            <w:tcBorders>
              <w:left w:val="single" w:sz="18" w:space="0" w:color="auto"/>
              <w:bottom w:val="single" w:sz="4" w:space="0" w:color="auto"/>
            </w:tcBorders>
            <w:shd w:val="clear" w:color="auto" w:fill="auto"/>
            <w:vAlign w:val="center"/>
          </w:tcPr>
          <w:p w:rsidR="001A63C6" w:rsidRPr="003410C7" w:rsidRDefault="001A63C6" w:rsidP="001A63C6">
            <w:pPr>
              <w:pStyle w:val="TableText"/>
              <w:widowControl w:val="0"/>
              <w:rPr>
                <w:rFonts w:ascii="Tahoma" w:hAnsi="Tahoma" w:cs="Tahoma"/>
                <w:color w:val="000000"/>
                <w:sz w:val="13"/>
              </w:rPr>
            </w:pPr>
            <w:r w:rsidRPr="003410C7">
              <w:rPr>
                <w:rFonts w:ascii="Tahoma" w:hAnsi="Tahoma" w:cs="Tahoma"/>
                <w:color w:val="000000"/>
                <w:sz w:val="13"/>
              </w:rPr>
              <w:t>5</w:t>
            </w:r>
          </w:p>
        </w:tc>
        <w:tc>
          <w:tcPr>
            <w:tcW w:w="450" w:type="dxa"/>
            <w:tcBorders>
              <w:bottom w:val="single" w:sz="4" w:space="0" w:color="auto"/>
              <w:right w:val="single" w:sz="18" w:space="0" w:color="auto"/>
            </w:tcBorders>
            <w:shd w:val="clear" w:color="auto" w:fill="auto"/>
            <w:vAlign w:val="center"/>
          </w:tcPr>
          <w:p w:rsidR="001A63C6" w:rsidRPr="003410C7" w:rsidRDefault="001A63C6" w:rsidP="001A63C6">
            <w:pPr>
              <w:pStyle w:val="TableText"/>
              <w:widowControl w:val="0"/>
              <w:rPr>
                <w:rFonts w:ascii="Tahoma" w:hAnsi="Tahoma" w:cs="Tahoma"/>
                <w:color w:val="000000"/>
                <w:sz w:val="13"/>
              </w:rPr>
            </w:pPr>
          </w:p>
        </w:tc>
        <w:tc>
          <w:tcPr>
            <w:tcW w:w="450" w:type="dxa"/>
            <w:tcBorders>
              <w:left w:val="single" w:sz="18" w:space="0" w:color="auto"/>
              <w:bottom w:val="single" w:sz="4" w:space="0" w:color="auto"/>
              <w:right w:val="single" w:sz="18" w:space="0" w:color="auto"/>
            </w:tcBorders>
            <w:shd w:val="clear" w:color="auto" w:fill="auto"/>
            <w:vAlign w:val="center"/>
          </w:tcPr>
          <w:p w:rsidR="001A63C6" w:rsidRPr="003410C7" w:rsidRDefault="001A63C6" w:rsidP="001A63C6">
            <w:pPr>
              <w:pStyle w:val="TableText"/>
              <w:widowControl w:val="0"/>
              <w:rPr>
                <w:rFonts w:ascii="Tahoma" w:hAnsi="Tahoma" w:cs="Tahoma"/>
                <w:color w:val="000000"/>
                <w:sz w:val="13"/>
              </w:rPr>
            </w:pPr>
          </w:p>
        </w:tc>
        <w:tc>
          <w:tcPr>
            <w:tcW w:w="450" w:type="dxa"/>
            <w:tcBorders>
              <w:bottom w:val="single" w:sz="4" w:space="0" w:color="auto"/>
            </w:tcBorders>
            <w:shd w:val="clear" w:color="auto" w:fill="auto"/>
          </w:tcPr>
          <w:p w:rsidR="001A63C6" w:rsidRPr="003410C7" w:rsidRDefault="001A63C6" w:rsidP="001A63C6">
            <w:pPr>
              <w:pStyle w:val="TableText"/>
              <w:widowControl w:val="0"/>
              <w:spacing w:before="120"/>
              <w:rPr>
                <w:rFonts w:ascii="Tahoma" w:hAnsi="Tahoma" w:cs="Tahoma"/>
                <w:color w:val="000000"/>
                <w:sz w:val="13"/>
              </w:rPr>
            </w:pPr>
            <w:r w:rsidRPr="003410C7">
              <w:rPr>
                <w:rFonts w:ascii="Tahoma" w:hAnsi="Tahoma" w:cs="Tahoma"/>
                <w:sz w:val="13"/>
              </w:rPr>
              <w:t>A</w:t>
            </w:r>
          </w:p>
        </w:tc>
        <w:tc>
          <w:tcPr>
            <w:tcW w:w="540" w:type="dxa"/>
            <w:tcBorders>
              <w:bottom w:val="single" w:sz="4" w:space="0" w:color="auto"/>
            </w:tcBorders>
            <w:shd w:val="clear" w:color="auto" w:fill="auto"/>
            <w:vAlign w:val="center"/>
          </w:tcPr>
          <w:p w:rsidR="001A63C6" w:rsidRPr="003410C7" w:rsidRDefault="001A63C6" w:rsidP="001A63C6">
            <w:pPr>
              <w:pStyle w:val="TableText"/>
              <w:widowControl w:val="0"/>
              <w:rPr>
                <w:rFonts w:ascii="Tahoma" w:hAnsi="Tahoma" w:cs="Tahoma"/>
                <w:color w:val="000000"/>
                <w:sz w:val="13"/>
              </w:rPr>
            </w:pPr>
          </w:p>
        </w:tc>
      </w:tr>
      <w:tr w:rsidR="00B33D0E" w:rsidRPr="003410C7" w:rsidTr="006B1F3F">
        <w:trPr>
          <w:trHeight w:val="145"/>
        </w:trPr>
        <w:tc>
          <w:tcPr>
            <w:tcW w:w="2734" w:type="dxa"/>
            <w:gridSpan w:val="2"/>
            <w:tcBorders>
              <w:bottom w:val="single" w:sz="4" w:space="0" w:color="auto"/>
            </w:tcBorders>
            <w:shd w:val="clear" w:color="auto" w:fill="FABF8F"/>
            <w:vAlign w:val="center"/>
          </w:tcPr>
          <w:p w:rsidR="001A63C6" w:rsidRPr="00451078" w:rsidRDefault="001A63C6" w:rsidP="00FE2D13">
            <w:pPr>
              <w:pStyle w:val="ProductNames"/>
              <w:spacing w:beforeLines="20" w:before="48" w:afterLines="20" w:after="48"/>
              <w:rPr>
                <w:rFonts w:ascii="Tahoma" w:hAnsi="Tahoma" w:cs="Tahoma"/>
                <w:sz w:val="14"/>
                <w:lang w:val="it-IT"/>
              </w:rPr>
            </w:pPr>
            <w:bookmarkStart w:id="447" w:name="_Toc336338079"/>
            <w:bookmarkStart w:id="448" w:name="_Toc352234679"/>
            <w:r w:rsidRPr="00451078">
              <w:rPr>
                <w:rFonts w:ascii="Tahoma" w:hAnsi="Tahoma" w:cs="Tahoma"/>
                <w:sz w:val="14"/>
                <w:lang w:val="it-IT"/>
              </w:rPr>
              <w:t>Licenza di Gestione Client per OSE</w:t>
            </w:r>
            <w:r w:rsidR="00FE2D13" w:rsidRPr="00451078">
              <w:rPr>
                <w:rFonts w:ascii="Tahoma" w:hAnsi="Tahoma" w:cs="Tahoma"/>
                <w:sz w:val="14"/>
                <w:lang w:val="it-IT"/>
              </w:rPr>
              <w:t> </w:t>
            </w:r>
            <w:r w:rsidRPr="00451078">
              <w:rPr>
                <w:rFonts w:ascii="Tahoma" w:hAnsi="Tahoma" w:cs="Tahoma"/>
                <w:sz w:val="14"/>
                <w:lang w:val="it-IT"/>
              </w:rPr>
              <w:t>per</w:t>
            </w:r>
            <w:r w:rsidR="00F57878" w:rsidRPr="00451078">
              <w:rPr>
                <w:rFonts w:ascii="Tahoma" w:hAnsi="Tahoma" w:cs="Tahoma"/>
                <w:sz w:val="14"/>
                <w:lang w:val="it-IT"/>
              </w:rPr>
              <w:t> </w:t>
            </w:r>
            <w:r w:rsidRPr="00451078">
              <w:rPr>
                <w:rFonts w:ascii="Tahoma" w:hAnsi="Tahoma" w:cs="Tahoma"/>
                <w:sz w:val="14"/>
                <w:lang w:val="it-IT"/>
              </w:rPr>
              <w:t>System Center Operations Manager</w:t>
            </w:r>
            <w:r w:rsidR="00F57878" w:rsidRPr="00451078">
              <w:rPr>
                <w:rFonts w:ascii="Tahoma" w:hAnsi="Tahoma" w:cs="Tahoma"/>
                <w:sz w:val="14"/>
                <w:lang w:val="it-IT"/>
              </w:rPr>
              <w:t> </w:t>
            </w:r>
            <w:r w:rsidRPr="00451078">
              <w:rPr>
                <w:rFonts w:ascii="Tahoma" w:hAnsi="Tahoma" w:cs="Tahoma"/>
                <w:sz w:val="14"/>
                <w:lang w:val="it-IT"/>
              </w:rPr>
              <w:t>2007 R2</w:t>
            </w:r>
            <w:bookmarkEnd w:id="447"/>
            <w:bookmarkEnd w:id="448"/>
          </w:p>
        </w:tc>
        <w:tc>
          <w:tcPr>
            <w:tcW w:w="450" w:type="dxa"/>
            <w:tcBorders>
              <w:bottom w:val="single" w:sz="4" w:space="0" w:color="auto"/>
            </w:tcBorders>
            <w:shd w:val="clear" w:color="auto" w:fill="FABF8F"/>
            <w:vAlign w:val="center"/>
          </w:tcPr>
          <w:p w:rsidR="001A63C6" w:rsidRPr="00451078" w:rsidRDefault="001A63C6" w:rsidP="001A63C6">
            <w:pPr>
              <w:pStyle w:val="TableText"/>
              <w:widowControl w:val="0"/>
              <w:rPr>
                <w:rStyle w:val="EndnoteReference"/>
                <w:color w:val="000000"/>
                <w:sz w:val="13"/>
                <w:szCs w:val="13"/>
                <w:u w:val="single"/>
                <w:lang w:val="it-IT"/>
              </w:rPr>
            </w:pPr>
          </w:p>
        </w:tc>
        <w:tc>
          <w:tcPr>
            <w:tcW w:w="450" w:type="dxa"/>
            <w:tcBorders>
              <w:bottom w:val="single" w:sz="4" w:space="0" w:color="auto"/>
            </w:tcBorders>
            <w:shd w:val="clear" w:color="auto" w:fill="FABF8F"/>
          </w:tcPr>
          <w:p w:rsidR="001A63C6" w:rsidRPr="003410C7" w:rsidRDefault="001A63C6" w:rsidP="001A63C6">
            <w:pPr>
              <w:pStyle w:val="TableText"/>
              <w:widowControl w:val="0"/>
              <w:spacing w:before="200"/>
              <w:rPr>
                <w:rFonts w:ascii="Tahoma" w:hAnsi="Tahoma" w:cs="Tahoma"/>
                <w:color w:val="000000"/>
                <w:sz w:val="13"/>
              </w:rPr>
            </w:pPr>
            <w:r w:rsidRPr="003410C7">
              <w:rPr>
                <w:rFonts w:ascii="Tahoma" w:hAnsi="Tahoma" w:cs="Tahoma"/>
                <w:color w:val="000000"/>
                <w:sz w:val="13"/>
              </w:rPr>
              <w:t>07/09</w:t>
            </w:r>
          </w:p>
        </w:tc>
        <w:tc>
          <w:tcPr>
            <w:tcW w:w="360" w:type="dxa"/>
            <w:tcBorders>
              <w:bottom w:val="single" w:sz="4" w:space="0" w:color="auto"/>
              <w:right w:val="single" w:sz="18" w:space="0" w:color="auto"/>
            </w:tcBorders>
            <w:shd w:val="clear" w:color="auto" w:fill="FABF8F"/>
            <w:vAlign w:val="center"/>
          </w:tcPr>
          <w:p w:rsidR="001A63C6" w:rsidRPr="003410C7" w:rsidRDefault="001A63C6" w:rsidP="001A63C6">
            <w:pPr>
              <w:pStyle w:val="TableText"/>
              <w:widowControl w:val="0"/>
              <w:rPr>
                <w:rFonts w:ascii="Tahoma" w:hAnsi="Tahoma" w:cs="Tahoma"/>
                <w:color w:val="000000"/>
                <w:sz w:val="13"/>
              </w:rPr>
            </w:pPr>
            <w:r w:rsidRPr="003410C7">
              <w:rPr>
                <w:rFonts w:ascii="Tahoma" w:hAnsi="Tahoma" w:cs="Tahoma"/>
                <w:color w:val="000000"/>
                <w:sz w:val="13"/>
              </w:rPr>
              <w:t>SRV</w:t>
            </w:r>
          </w:p>
        </w:tc>
        <w:tc>
          <w:tcPr>
            <w:tcW w:w="360" w:type="dxa"/>
            <w:tcBorders>
              <w:left w:val="single" w:sz="18" w:space="0" w:color="auto"/>
              <w:bottom w:val="single" w:sz="4" w:space="0" w:color="auto"/>
            </w:tcBorders>
            <w:shd w:val="clear" w:color="auto" w:fill="FABF8F"/>
            <w:vAlign w:val="center"/>
          </w:tcPr>
          <w:p w:rsidR="001A63C6" w:rsidRPr="003410C7" w:rsidRDefault="001A63C6" w:rsidP="001A63C6">
            <w:pPr>
              <w:pStyle w:val="TableText"/>
              <w:widowControl w:val="0"/>
              <w:rPr>
                <w:rFonts w:ascii="Tahoma" w:hAnsi="Tahoma" w:cs="Tahoma"/>
                <w:color w:val="000000"/>
                <w:sz w:val="13"/>
              </w:rPr>
            </w:pPr>
          </w:p>
        </w:tc>
        <w:tc>
          <w:tcPr>
            <w:tcW w:w="450" w:type="dxa"/>
            <w:tcBorders>
              <w:bottom w:val="single" w:sz="4" w:space="0" w:color="auto"/>
            </w:tcBorders>
            <w:shd w:val="clear" w:color="auto" w:fill="FABF8F"/>
            <w:vAlign w:val="center"/>
          </w:tcPr>
          <w:p w:rsidR="001A63C6" w:rsidRPr="003410C7" w:rsidRDefault="001A63C6" w:rsidP="001A63C6">
            <w:pPr>
              <w:pStyle w:val="TableText"/>
              <w:widowControl w:val="0"/>
              <w:rPr>
                <w:rFonts w:ascii="Tahoma" w:hAnsi="Tahoma" w:cs="Tahoma"/>
                <w:color w:val="000000"/>
                <w:sz w:val="13"/>
              </w:rPr>
            </w:pPr>
          </w:p>
        </w:tc>
        <w:tc>
          <w:tcPr>
            <w:tcW w:w="450" w:type="dxa"/>
            <w:tcBorders>
              <w:bottom w:val="single" w:sz="4" w:space="0" w:color="auto"/>
            </w:tcBorders>
            <w:shd w:val="clear" w:color="auto" w:fill="FABF8F"/>
            <w:vAlign w:val="center"/>
          </w:tcPr>
          <w:p w:rsidR="001A63C6" w:rsidRPr="003410C7" w:rsidRDefault="001A63C6" w:rsidP="001A63C6">
            <w:pPr>
              <w:pStyle w:val="TableText"/>
              <w:widowControl w:val="0"/>
              <w:rPr>
                <w:rFonts w:ascii="Tahoma" w:hAnsi="Tahoma" w:cs="Tahoma"/>
                <w:color w:val="000000"/>
                <w:sz w:val="13"/>
              </w:rPr>
            </w:pPr>
          </w:p>
        </w:tc>
        <w:tc>
          <w:tcPr>
            <w:tcW w:w="450" w:type="dxa"/>
            <w:tcBorders>
              <w:bottom w:val="single" w:sz="4" w:space="0" w:color="auto"/>
            </w:tcBorders>
            <w:shd w:val="clear" w:color="auto" w:fill="FABF8F"/>
            <w:vAlign w:val="center"/>
          </w:tcPr>
          <w:p w:rsidR="001A63C6" w:rsidRPr="003410C7" w:rsidRDefault="001A63C6" w:rsidP="001A63C6">
            <w:pPr>
              <w:pStyle w:val="TableText"/>
              <w:widowControl w:val="0"/>
              <w:rPr>
                <w:rFonts w:ascii="Tahoma" w:hAnsi="Tahoma" w:cs="Tahoma"/>
                <w:color w:val="000000"/>
                <w:sz w:val="13"/>
              </w:rPr>
            </w:pPr>
          </w:p>
        </w:tc>
        <w:tc>
          <w:tcPr>
            <w:tcW w:w="450" w:type="dxa"/>
            <w:tcBorders>
              <w:bottom w:val="single" w:sz="4" w:space="0" w:color="auto"/>
            </w:tcBorders>
            <w:shd w:val="clear" w:color="auto" w:fill="FABF8F"/>
            <w:vAlign w:val="center"/>
          </w:tcPr>
          <w:p w:rsidR="001A63C6" w:rsidRPr="003410C7" w:rsidRDefault="001A63C6" w:rsidP="001A63C6">
            <w:pPr>
              <w:pStyle w:val="TableText"/>
              <w:widowControl w:val="0"/>
              <w:rPr>
                <w:rFonts w:ascii="Tahoma" w:hAnsi="Tahoma" w:cs="Tahoma"/>
                <w:color w:val="000000"/>
                <w:sz w:val="13"/>
              </w:rPr>
            </w:pPr>
          </w:p>
        </w:tc>
        <w:tc>
          <w:tcPr>
            <w:tcW w:w="450" w:type="dxa"/>
            <w:tcBorders>
              <w:bottom w:val="single" w:sz="4" w:space="0" w:color="auto"/>
            </w:tcBorders>
            <w:shd w:val="clear" w:color="auto" w:fill="FABF8F"/>
            <w:vAlign w:val="center"/>
          </w:tcPr>
          <w:p w:rsidR="001A63C6" w:rsidRPr="003410C7" w:rsidRDefault="001A63C6" w:rsidP="001A63C6">
            <w:pPr>
              <w:pStyle w:val="TableText"/>
              <w:widowControl w:val="0"/>
              <w:rPr>
                <w:rFonts w:ascii="Tahoma" w:hAnsi="Tahoma" w:cs="Tahoma"/>
                <w:color w:val="000000"/>
                <w:sz w:val="13"/>
              </w:rPr>
            </w:pPr>
          </w:p>
        </w:tc>
        <w:tc>
          <w:tcPr>
            <w:tcW w:w="360" w:type="dxa"/>
            <w:tcBorders>
              <w:bottom w:val="single" w:sz="4" w:space="0" w:color="auto"/>
              <w:right w:val="single" w:sz="18" w:space="0" w:color="auto"/>
            </w:tcBorders>
            <w:shd w:val="clear" w:color="auto" w:fill="FABF8F"/>
            <w:vAlign w:val="center"/>
          </w:tcPr>
          <w:p w:rsidR="001A63C6" w:rsidRPr="003410C7" w:rsidRDefault="001A63C6" w:rsidP="001A63C6">
            <w:pPr>
              <w:pStyle w:val="TableText"/>
              <w:widowControl w:val="0"/>
              <w:rPr>
                <w:rFonts w:ascii="Tahoma" w:hAnsi="Tahoma" w:cs="Tahoma"/>
                <w:color w:val="000000"/>
                <w:sz w:val="13"/>
              </w:rPr>
            </w:pPr>
          </w:p>
        </w:tc>
        <w:tc>
          <w:tcPr>
            <w:tcW w:w="450" w:type="dxa"/>
            <w:tcBorders>
              <w:left w:val="single" w:sz="18" w:space="0" w:color="auto"/>
              <w:bottom w:val="single" w:sz="4" w:space="0" w:color="auto"/>
            </w:tcBorders>
            <w:shd w:val="clear" w:color="auto" w:fill="FABF8F"/>
            <w:vAlign w:val="center"/>
          </w:tcPr>
          <w:p w:rsidR="001A63C6" w:rsidRPr="003410C7" w:rsidRDefault="001A63C6" w:rsidP="001A63C6">
            <w:pPr>
              <w:pStyle w:val="TableText"/>
              <w:widowControl w:val="0"/>
              <w:rPr>
                <w:rFonts w:ascii="Tahoma" w:hAnsi="Tahoma" w:cs="Tahoma"/>
                <w:color w:val="000000"/>
                <w:sz w:val="13"/>
              </w:rPr>
            </w:pPr>
          </w:p>
        </w:tc>
        <w:tc>
          <w:tcPr>
            <w:tcW w:w="450" w:type="dxa"/>
            <w:tcBorders>
              <w:bottom w:val="single" w:sz="4" w:space="0" w:color="auto"/>
            </w:tcBorders>
            <w:shd w:val="clear" w:color="auto" w:fill="FABF8F"/>
            <w:vAlign w:val="center"/>
          </w:tcPr>
          <w:p w:rsidR="001A63C6" w:rsidRPr="003410C7" w:rsidRDefault="001A63C6" w:rsidP="001A63C6">
            <w:pPr>
              <w:pStyle w:val="TableText"/>
              <w:widowControl w:val="0"/>
              <w:rPr>
                <w:rFonts w:ascii="Tahoma" w:hAnsi="Tahoma" w:cs="Tahoma"/>
                <w:color w:val="000000"/>
                <w:sz w:val="13"/>
              </w:rPr>
            </w:pPr>
          </w:p>
        </w:tc>
        <w:tc>
          <w:tcPr>
            <w:tcW w:w="450" w:type="dxa"/>
            <w:tcBorders>
              <w:bottom w:val="single" w:sz="4" w:space="0" w:color="auto"/>
              <w:right w:val="single" w:sz="18" w:space="0" w:color="auto"/>
            </w:tcBorders>
            <w:shd w:val="clear" w:color="auto" w:fill="FABF8F"/>
            <w:vAlign w:val="center"/>
          </w:tcPr>
          <w:p w:rsidR="001A63C6" w:rsidRPr="003410C7" w:rsidRDefault="001A63C6" w:rsidP="001A63C6">
            <w:pPr>
              <w:pStyle w:val="TableText"/>
              <w:widowControl w:val="0"/>
              <w:rPr>
                <w:rFonts w:ascii="Tahoma" w:hAnsi="Tahoma" w:cs="Tahoma"/>
                <w:color w:val="000000"/>
                <w:sz w:val="13"/>
              </w:rPr>
            </w:pPr>
          </w:p>
        </w:tc>
        <w:tc>
          <w:tcPr>
            <w:tcW w:w="450" w:type="dxa"/>
            <w:tcBorders>
              <w:left w:val="single" w:sz="18" w:space="0" w:color="auto"/>
              <w:bottom w:val="single" w:sz="4" w:space="0" w:color="auto"/>
            </w:tcBorders>
            <w:shd w:val="clear" w:color="auto" w:fill="FABF8F"/>
            <w:vAlign w:val="center"/>
          </w:tcPr>
          <w:p w:rsidR="001A63C6" w:rsidRPr="003410C7" w:rsidRDefault="001A63C6" w:rsidP="001A63C6">
            <w:pPr>
              <w:pStyle w:val="TableText"/>
              <w:widowControl w:val="0"/>
              <w:rPr>
                <w:rFonts w:ascii="Tahoma" w:hAnsi="Tahoma" w:cs="Tahoma"/>
                <w:color w:val="000000"/>
                <w:sz w:val="13"/>
              </w:rPr>
            </w:pPr>
            <w:r w:rsidRPr="003410C7">
              <w:rPr>
                <w:rFonts w:ascii="Tahoma" w:hAnsi="Tahoma" w:cs="Tahoma"/>
                <w:color w:val="000000"/>
                <w:sz w:val="13"/>
              </w:rPr>
              <w:t>1</w:t>
            </w:r>
          </w:p>
        </w:tc>
        <w:tc>
          <w:tcPr>
            <w:tcW w:w="450" w:type="dxa"/>
            <w:tcBorders>
              <w:bottom w:val="single" w:sz="4" w:space="0" w:color="auto"/>
              <w:right w:val="single" w:sz="18" w:space="0" w:color="auto"/>
            </w:tcBorders>
            <w:shd w:val="clear" w:color="auto" w:fill="FABF8F"/>
            <w:vAlign w:val="center"/>
          </w:tcPr>
          <w:p w:rsidR="001A63C6" w:rsidRPr="003410C7" w:rsidRDefault="001A63C6" w:rsidP="001A63C6">
            <w:pPr>
              <w:pStyle w:val="TableText"/>
              <w:widowControl w:val="0"/>
              <w:rPr>
                <w:rFonts w:ascii="Tahoma" w:hAnsi="Tahoma" w:cs="Tahoma"/>
                <w:color w:val="000000"/>
                <w:sz w:val="13"/>
              </w:rPr>
            </w:pP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3410C7" w:rsidRDefault="001A63C6" w:rsidP="001A63C6">
            <w:pPr>
              <w:pStyle w:val="TableText"/>
              <w:widowControl w:val="0"/>
              <w:rPr>
                <w:rFonts w:ascii="Tahoma" w:hAnsi="Tahoma" w:cs="Tahoma"/>
                <w:color w:val="000000"/>
                <w:sz w:val="13"/>
              </w:rPr>
            </w:pPr>
          </w:p>
        </w:tc>
        <w:tc>
          <w:tcPr>
            <w:tcW w:w="450" w:type="dxa"/>
            <w:tcBorders>
              <w:bottom w:val="single" w:sz="4" w:space="0" w:color="auto"/>
            </w:tcBorders>
            <w:shd w:val="clear" w:color="auto" w:fill="FABF8F"/>
          </w:tcPr>
          <w:p w:rsidR="001A63C6" w:rsidRPr="003410C7" w:rsidRDefault="001A63C6" w:rsidP="001A63C6">
            <w:pPr>
              <w:pStyle w:val="TableText"/>
              <w:widowControl w:val="0"/>
              <w:spacing w:before="120"/>
              <w:rPr>
                <w:rFonts w:ascii="Tahoma" w:hAnsi="Tahoma" w:cs="Tahoma"/>
                <w:color w:val="000000"/>
                <w:sz w:val="13"/>
              </w:rPr>
            </w:pPr>
            <w:r w:rsidRPr="003410C7">
              <w:rPr>
                <w:rFonts w:ascii="Tahoma" w:hAnsi="Tahoma" w:cs="Tahoma"/>
                <w:sz w:val="13"/>
              </w:rPr>
              <w:t>AO, ST</w:t>
            </w:r>
          </w:p>
        </w:tc>
        <w:tc>
          <w:tcPr>
            <w:tcW w:w="540" w:type="dxa"/>
            <w:tcBorders>
              <w:bottom w:val="single" w:sz="4" w:space="0" w:color="auto"/>
            </w:tcBorders>
            <w:shd w:val="clear" w:color="auto" w:fill="FABF8F"/>
            <w:vAlign w:val="center"/>
          </w:tcPr>
          <w:p w:rsidR="001A63C6" w:rsidRPr="003410C7" w:rsidRDefault="001A63C6" w:rsidP="001A63C6">
            <w:pPr>
              <w:pStyle w:val="TableText"/>
              <w:widowControl w:val="0"/>
              <w:rPr>
                <w:rFonts w:ascii="Tahoma" w:hAnsi="Tahoma" w:cs="Tahoma"/>
                <w:color w:val="000000"/>
                <w:sz w:val="13"/>
              </w:rPr>
            </w:pPr>
          </w:p>
        </w:tc>
      </w:tr>
      <w:tr w:rsidR="001A63C6" w:rsidRPr="003410C7" w:rsidTr="00F57878">
        <w:trPr>
          <w:cantSplit/>
          <w:trHeight w:val="145"/>
        </w:trPr>
        <w:tc>
          <w:tcPr>
            <w:tcW w:w="2734" w:type="dxa"/>
            <w:gridSpan w:val="2"/>
            <w:tcBorders>
              <w:bottom w:val="single" w:sz="4" w:space="0" w:color="auto"/>
            </w:tcBorders>
            <w:shd w:val="clear" w:color="auto" w:fill="auto"/>
            <w:vAlign w:val="center"/>
          </w:tcPr>
          <w:p w:rsidR="001A63C6" w:rsidRPr="00451078" w:rsidRDefault="001A63C6" w:rsidP="00FE2D13">
            <w:pPr>
              <w:pStyle w:val="ProductNames"/>
              <w:spacing w:beforeLines="20" w:before="48" w:afterLines="20" w:after="48"/>
              <w:rPr>
                <w:rFonts w:ascii="Tahoma" w:hAnsi="Tahoma" w:cs="Tahoma"/>
                <w:sz w:val="14"/>
                <w:lang w:val="it-IT"/>
              </w:rPr>
            </w:pPr>
            <w:bookmarkStart w:id="449" w:name="_Toc336338080"/>
            <w:bookmarkStart w:id="450" w:name="_Toc352234680"/>
            <w:r w:rsidRPr="00451078">
              <w:rPr>
                <w:rFonts w:ascii="Tahoma" w:hAnsi="Tahoma" w:cs="Tahoma"/>
                <w:sz w:val="14"/>
                <w:lang w:val="it-IT"/>
              </w:rPr>
              <w:t>Licenza di Gestione Client per Utente</w:t>
            </w:r>
            <w:r w:rsidR="00FE2D13" w:rsidRPr="00451078">
              <w:rPr>
                <w:rFonts w:ascii="Tahoma" w:hAnsi="Tahoma" w:cs="Tahoma"/>
                <w:sz w:val="14"/>
                <w:lang w:val="it-IT"/>
              </w:rPr>
              <w:t> </w:t>
            </w:r>
            <w:r w:rsidRPr="00451078">
              <w:rPr>
                <w:rFonts w:ascii="Tahoma" w:hAnsi="Tahoma" w:cs="Tahoma"/>
                <w:sz w:val="14"/>
                <w:lang w:val="it-IT"/>
              </w:rPr>
              <w:t>per</w:t>
            </w:r>
            <w:r w:rsidR="00F57878" w:rsidRPr="00451078">
              <w:rPr>
                <w:rFonts w:ascii="Tahoma" w:hAnsi="Tahoma" w:cs="Tahoma"/>
                <w:sz w:val="14"/>
                <w:lang w:val="it-IT"/>
              </w:rPr>
              <w:t> </w:t>
            </w:r>
            <w:r w:rsidRPr="00451078">
              <w:rPr>
                <w:rFonts w:ascii="Tahoma" w:hAnsi="Tahoma" w:cs="Tahoma"/>
                <w:sz w:val="14"/>
                <w:lang w:val="it-IT"/>
              </w:rPr>
              <w:t>System Center Operations</w:t>
            </w:r>
            <w:r w:rsidR="00FE2D13" w:rsidRPr="00451078">
              <w:rPr>
                <w:rFonts w:ascii="Tahoma" w:hAnsi="Tahoma" w:cs="Tahoma"/>
                <w:sz w:val="14"/>
                <w:lang w:val="it-IT"/>
              </w:rPr>
              <w:t> </w:t>
            </w:r>
            <w:r w:rsidRPr="00451078">
              <w:rPr>
                <w:rFonts w:ascii="Tahoma" w:hAnsi="Tahoma" w:cs="Tahoma"/>
                <w:sz w:val="14"/>
                <w:lang w:val="it-IT"/>
              </w:rPr>
              <w:t>Manager 2007 R2</w:t>
            </w:r>
            <w:bookmarkEnd w:id="449"/>
            <w:bookmarkEnd w:id="450"/>
          </w:p>
        </w:tc>
        <w:tc>
          <w:tcPr>
            <w:tcW w:w="450" w:type="dxa"/>
            <w:tcBorders>
              <w:bottom w:val="single" w:sz="4" w:space="0" w:color="auto"/>
            </w:tcBorders>
            <w:shd w:val="clear" w:color="auto" w:fill="auto"/>
            <w:vAlign w:val="center"/>
          </w:tcPr>
          <w:p w:rsidR="001A63C6" w:rsidRPr="00451078" w:rsidRDefault="001A63C6" w:rsidP="001A63C6">
            <w:pPr>
              <w:pStyle w:val="TableText"/>
              <w:widowControl w:val="0"/>
              <w:rPr>
                <w:rStyle w:val="EndnoteReference"/>
                <w:color w:val="000000"/>
                <w:sz w:val="13"/>
                <w:szCs w:val="13"/>
                <w:u w:val="single"/>
                <w:lang w:val="it-IT"/>
              </w:rPr>
            </w:pPr>
          </w:p>
        </w:tc>
        <w:tc>
          <w:tcPr>
            <w:tcW w:w="450" w:type="dxa"/>
            <w:tcBorders>
              <w:bottom w:val="single" w:sz="4" w:space="0" w:color="auto"/>
            </w:tcBorders>
            <w:shd w:val="clear" w:color="auto" w:fill="auto"/>
          </w:tcPr>
          <w:p w:rsidR="001A63C6" w:rsidRPr="003410C7" w:rsidRDefault="001A63C6" w:rsidP="001A63C6">
            <w:pPr>
              <w:pStyle w:val="TableText"/>
              <w:widowControl w:val="0"/>
              <w:spacing w:before="200"/>
              <w:rPr>
                <w:rFonts w:ascii="Tahoma" w:hAnsi="Tahoma" w:cs="Tahoma"/>
                <w:sz w:val="13"/>
              </w:rPr>
            </w:pPr>
            <w:r w:rsidRPr="003410C7">
              <w:rPr>
                <w:rFonts w:ascii="Tahoma" w:hAnsi="Tahoma" w:cs="Tahoma"/>
                <w:sz w:val="13"/>
              </w:rPr>
              <w:t>07/09</w:t>
            </w:r>
          </w:p>
        </w:tc>
        <w:tc>
          <w:tcPr>
            <w:tcW w:w="360" w:type="dxa"/>
            <w:tcBorders>
              <w:bottom w:val="single" w:sz="4" w:space="0" w:color="auto"/>
              <w:right w:val="single" w:sz="18" w:space="0" w:color="auto"/>
            </w:tcBorders>
            <w:shd w:val="clear" w:color="auto" w:fill="auto"/>
            <w:vAlign w:val="center"/>
          </w:tcPr>
          <w:p w:rsidR="001A63C6" w:rsidRPr="003410C7" w:rsidRDefault="001A63C6" w:rsidP="001A63C6">
            <w:pPr>
              <w:pStyle w:val="TableText"/>
              <w:widowControl w:val="0"/>
              <w:rPr>
                <w:rFonts w:ascii="Tahoma" w:hAnsi="Tahoma" w:cs="Tahoma"/>
                <w:sz w:val="13"/>
              </w:rPr>
            </w:pPr>
            <w:r w:rsidRPr="003410C7">
              <w:rPr>
                <w:rFonts w:ascii="Tahoma" w:hAnsi="Tahoma" w:cs="Tahoma"/>
                <w:sz w:val="13"/>
              </w:rPr>
              <w:t>SRV</w:t>
            </w:r>
          </w:p>
        </w:tc>
        <w:tc>
          <w:tcPr>
            <w:tcW w:w="360" w:type="dxa"/>
            <w:tcBorders>
              <w:left w:val="single" w:sz="18" w:space="0" w:color="auto"/>
              <w:bottom w:val="single" w:sz="4" w:space="0" w:color="auto"/>
            </w:tcBorders>
            <w:shd w:val="clear" w:color="auto" w:fill="auto"/>
            <w:vAlign w:val="center"/>
          </w:tcPr>
          <w:p w:rsidR="001A63C6" w:rsidRPr="003410C7"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3410C7"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3410C7"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3410C7"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3410C7"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3410C7" w:rsidRDefault="001A63C6" w:rsidP="001A63C6">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auto"/>
            <w:vAlign w:val="center"/>
          </w:tcPr>
          <w:p w:rsidR="001A63C6" w:rsidRPr="003410C7"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1A63C6" w:rsidRPr="003410C7"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3410C7"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1A63C6" w:rsidRPr="003410C7" w:rsidRDefault="001A63C6" w:rsidP="001A63C6">
            <w:pPr>
              <w:pStyle w:val="TableText"/>
              <w:widowControl w:val="0"/>
              <w:rPr>
                <w:rFonts w:ascii="Tahoma" w:hAnsi="Tahoma" w:cs="Tahoma"/>
                <w:sz w:val="13"/>
              </w:rPr>
            </w:pPr>
            <w:r w:rsidRPr="003410C7">
              <w:rPr>
                <w:rFonts w:ascii="Tahoma" w:hAnsi="Tahoma" w:cs="Tahoma"/>
                <w:sz w:val="13"/>
              </w:rPr>
              <w:t>1</w:t>
            </w:r>
          </w:p>
        </w:tc>
        <w:tc>
          <w:tcPr>
            <w:tcW w:w="450" w:type="dxa"/>
            <w:tcBorders>
              <w:left w:val="single" w:sz="18" w:space="0" w:color="auto"/>
              <w:bottom w:val="single" w:sz="4" w:space="0" w:color="auto"/>
            </w:tcBorders>
            <w:shd w:val="clear" w:color="auto" w:fill="auto"/>
            <w:vAlign w:val="center"/>
          </w:tcPr>
          <w:p w:rsidR="001A63C6" w:rsidRPr="003410C7" w:rsidRDefault="001A63C6" w:rsidP="001A63C6">
            <w:pPr>
              <w:pStyle w:val="TableText"/>
              <w:widowControl w:val="0"/>
              <w:rPr>
                <w:rFonts w:ascii="Tahoma" w:hAnsi="Tahoma" w:cs="Tahoma"/>
                <w:sz w:val="13"/>
              </w:rPr>
            </w:pPr>
            <w:r w:rsidRPr="003410C7">
              <w:rPr>
                <w:rFonts w:ascii="Tahoma" w:hAnsi="Tahoma" w:cs="Tahoma"/>
                <w:sz w:val="13"/>
              </w:rPr>
              <w:t>1</w:t>
            </w:r>
          </w:p>
        </w:tc>
        <w:tc>
          <w:tcPr>
            <w:tcW w:w="450" w:type="dxa"/>
            <w:tcBorders>
              <w:bottom w:val="single" w:sz="4" w:space="0" w:color="auto"/>
              <w:right w:val="single" w:sz="18" w:space="0" w:color="auto"/>
            </w:tcBorders>
            <w:shd w:val="clear" w:color="auto" w:fill="auto"/>
            <w:vAlign w:val="center"/>
          </w:tcPr>
          <w:p w:rsidR="001A63C6" w:rsidRPr="003410C7"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rsidR="001A63C6" w:rsidRPr="003410C7" w:rsidRDefault="001A63C6" w:rsidP="001A63C6">
            <w:pPr>
              <w:pStyle w:val="TableText"/>
              <w:widowControl w:val="0"/>
              <w:spacing w:before="120"/>
            </w:pPr>
          </w:p>
          <w:p w:rsidR="001A63C6" w:rsidRPr="003410C7"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tcPr>
          <w:p w:rsidR="001A63C6" w:rsidRPr="003410C7" w:rsidRDefault="001A63C6" w:rsidP="001A63C6">
            <w:pPr>
              <w:pStyle w:val="TableText"/>
              <w:widowControl w:val="0"/>
              <w:spacing w:before="120"/>
              <w:rPr>
                <w:rFonts w:ascii="Tahoma" w:hAnsi="Tahoma" w:cs="Tahoma"/>
                <w:sz w:val="13"/>
              </w:rPr>
            </w:pPr>
            <w:r w:rsidRPr="003410C7">
              <w:rPr>
                <w:rFonts w:ascii="Tahoma" w:hAnsi="Tahoma" w:cs="Tahoma"/>
                <w:sz w:val="13"/>
              </w:rPr>
              <w:t>AO, ST</w:t>
            </w:r>
          </w:p>
        </w:tc>
        <w:tc>
          <w:tcPr>
            <w:tcW w:w="540" w:type="dxa"/>
            <w:tcBorders>
              <w:bottom w:val="single" w:sz="4" w:space="0" w:color="auto"/>
            </w:tcBorders>
            <w:shd w:val="clear" w:color="auto" w:fill="auto"/>
            <w:vAlign w:val="center"/>
          </w:tcPr>
          <w:p w:rsidR="001A63C6" w:rsidRPr="003410C7" w:rsidRDefault="001A63C6" w:rsidP="001A63C6">
            <w:pPr>
              <w:pStyle w:val="TableText"/>
              <w:widowControl w:val="0"/>
              <w:rPr>
                <w:rFonts w:ascii="Tahoma" w:hAnsi="Tahoma" w:cs="Tahoma"/>
                <w:sz w:val="13"/>
              </w:rPr>
            </w:pPr>
          </w:p>
        </w:tc>
      </w:tr>
      <w:tr w:rsidR="00B33D0E" w:rsidRPr="003410C7" w:rsidTr="006B1F3F">
        <w:trPr>
          <w:trHeight w:val="145"/>
        </w:trPr>
        <w:tc>
          <w:tcPr>
            <w:tcW w:w="2734" w:type="dxa"/>
            <w:gridSpan w:val="2"/>
            <w:tcBorders>
              <w:bottom w:val="single" w:sz="4" w:space="0" w:color="auto"/>
            </w:tcBorders>
            <w:shd w:val="clear" w:color="auto" w:fill="FABF8F"/>
            <w:vAlign w:val="center"/>
          </w:tcPr>
          <w:p w:rsidR="001A63C6" w:rsidRPr="003410C7" w:rsidRDefault="001A63C6" w:rsidP="003410C7">
            <w:pPr>
              <w:pStyle w:val="ProductNames"/>
              <w:spacing w:beforeLines="20" w:before="48" w:afterLines="20" w:after="48"/>
              <w:rPr>
                <w:rFonts w:ascii="Tahoma" w:hAnsi="Tahoma" w:cs="Tahoma"/>
                <w:sz w:val="14"/>
              </w:rPr>
            </w:pPr>
            <w:bookmarkStart w:id="451" w:name="_Toc336338081"/>
            <w:bookmarkStart w:id="452" w:name="_Toc352234681"/>
            <w:r w:rsidRPr="003410C7">
              <w:rPr>
                <w:rFonts w:ascii="Tahoma" w:hAnsi="Tahoma" w:cs="Tahoma"/>
                <w:sz w:val="14"/>
              </w:rPr>
              <w:t>System Center Reporting Manager 2006</w:t>
            </w:r>
            <w:bookmarkEnd w:id="451"/>
            <w:bookmarkEnd w:id="452"/>
            <w:r w:rsidRPr="003410C7">
              <w:rPr>
                <w:rFonts w:ascii="Tahoma" w:hAnsi="Tahoma" w:cs="Tahoma"/>
                <w:sz w:val="14"/>
              </w:rPr>
              <w:t xml:space="preserve"> </w:t>
            </w:r>
          </w:p>
        </w:tc>
        <w:tc>
          <w:tcPr>
            <w:tcW w:w="450" w:type="dxa"/>
            <w:tcBorders>
              <w:bottom w:val="single" w:sz="4" w:space="0" w:color="auto"/>
            </w:tcBorders>
            <w:shd w:val="clear" w:color="auto" w:fill="FABF8F"/>
            <w:vAlign w:val="center"/>
          </w:tcPr>
          <w:p w:rsidR="001A63C6" w:rsidRPr="009F17FF" w:rsidRDefault="00FC1A4D" w:rsidP="00EC1C09">
            <w:pPr>
              <w:pStyle w:val="TableText"/>
              <w:widowControl w:val="0"/>
              <w:rPr>
                <w:rStyle w:val="EndnoteReference"/>
                <w:color w:val="0000FF"/>
                <w:sz w:val="13"/>
                <w:szCs w:val="13"/>
                <w:u w:val="single"/>
              </w:rPr>
            </w:pPr>
            <w:hyperlink w:anchor="_87_85_System" w:history="1">
              <w:r w:rsidR="000D77F6" w:rsidRPr="009F17FF">
                <w:rPr>
                  <w:rStyle w:val="Hyperlink"/>
                  <w:b/>
                  <w:sz w:val="13"/>
                  <w:szCs w:val="13"/>
                </w:rPr>
                <w:t>85</w:t>
              </w:r>
            </w:hyperlink>
          </w:p>
        </w:tc>
        <w:tc>
          <w:tcPr>
            <w:tcW w:w="450" w:type="dxa"/>
            <w:tcBorders>
              <w:bottom w:val="single" w:sz="4" w:space="0" w:color="auto"/>
            </w:tcBorders>
            <w:shd w:val="clear" w:color="auto" w:fill="FABF8F"/>
          </w:tcPr>
          <w:p w:rsidR="001A63C6" w:rsidRPr="003410C7" w:rsidRDefault="001A63C6" w:rsidP="001A63C6">
            <w:pPr>
              <w:pStyle w:val="TableText"/>
              <w:widowControl w:val="0"/>
              <w:spacing w:before="8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rsidR="001A63C6" w:rsidRPr="003410C7" w:rsidRDefault="001A63C6" w:rsidP="001A63C6">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FABF8F"/>
            <w:vAlign w:val="center"/>
          </w:tcPr>
          <w:p w:rsidR="001A63C6" w:rsidRPr="003410C7"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3410C7"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3410C7"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3410C7"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3410C7"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3410C7" w:rsidRDefault="001A63C6" w:rsidP="001A63C6">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rsidR="001A63C6" w:rsidRPr="003410C7"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3410C7"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3410C7"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1A63C6" w:rsidRPr="003410C7"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3410C7"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1A63C6" w:rsidRPr="003410C7"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3410C7"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tcPr>
          <w:p w:rsidR="001A63C6" w:rsidRPr="003410C7" w:rsidRDefault="001A63C6" w:rsidP="001A63C6">
            <w:pPr>
              <w:pStyle w:val="TableText"/>
              <w:widowControl w:val="0"/>
              <w:spacing w:before="120"/>
              <w:rPr>
                <w:rFonts w:ascii="Tahoma" w:hAnsi="Tahoma" w:cs="Tahoma"/>
                <w:sz w:val="13"/>
              </w:rPr>
            </w:pPr>
          </w:p>
        </w:tc>
        <w:tc>
          <w:tcPr>
            <w:tcW w:w="540" w:type="dxa"/>
            <w:tcBorders>
              <w:bottom w:val="single" w:sz="4" w:space="0" w:color="auto"/>
            </w:tcBorders>
            <w:shd w:val="clear" w:color="auto" w:fill="FABF8F"/>
            <w:vAlign w:val="center"/>
          </w:tcPr>
          <w:p w:rsidR="001A63C6" w:rsidRPr="003410C7" w:rsidRDefault="001A63C6" w:rsidP="001A63C6">
            <w:pPr>
              <w:pStyle w:val="TableText"/>
              <w:widowControl w:val="0"/>
              <w:rPr>
                <w:rFonts w:ascii="Tahoma" w:hAnsi="Tahoma" w:cs="Tahoma"/>
                <w:sz w:val="13"/>
              </w:rPr>
            </w:pPr>
          </w:p>
        </w:tc>
      </w:tr>
      <w:tr w:rsidR="001A63C6" w:rsidRPr="003410C7" w:rsidTr="007E466C">
        <w:trPr>
          <w:trHeight w:val="145"/>
        </w:trPr>
        <w:tc>
          <w:tcPr>
            <w:tcW w:w="2734" w:type="dxa"/>
            <w:gridSpan w:val="2"/>
            <w:tcBorders>
              <w:bottom w:val="single" w:sz="4" w:space="0" w:color="auto"/>
            </w:tcBorders>
            <w:shd w:val="clear" w:color="auto" w:fill="auto"/>
            <w:vAlign w:val="center"/>
          </w:tcPr>
          <w:p w:rsidR="001A63C6" w:rsidRPr="003410C7" w:rsidRDefault="001A63C6" w:rsidP="00F57878">
            <w:pPr>
              <w:pStyle w:val="ProductNames"/>
              <w:spacing w:beforeLines="20" w:before="48" w:afterLines="20" w:after="48"/>
              <w:rPr>
                <w:rFonts w:ascii="Tahoma" w:hAnsi="Tahoma" w:cs="Tahoma"/>
                <w:sz w:val="14"/>
              </w:rPr>
            </w:pPr>
            <w:bookmarkStart w:id="453" w:name="_Toc336338082"/>
            <w:bookmarkStart w:id="454" w:name="_Toc352234682"/>
            <w:r w:rsidRPr="003410C7">
              <w:rPr>
                <w:rFonts w:ascii="Tahoma" w:hAnsi="Tahoma" w:cs="Tahoma"/>
                <w:sz w:val="14"/>
              </w:rPr>
              <w:t>System Center Server Management Suite</w:t>
            </w:r>
            <w:r w:rsidR="00F57878">
              <w:rPr>
                <w:rFonts w:ascii="Tahoma" w:hAnsi="Tahoma" w:cs="Tahoma"/>
                <w:sz w:val="14"/>
              </w:rPr>
              <w:t> </w:t>
            </w:r>
            <w:r w:rsidRPr="003410C7">
              <w:rPr>
                <w:rFonts w:ascii="Tahoma" w:hAnsi="Tahoma" w:cs="Tahoma"/>
                <w:sz w:val="14"/>
              </w:rPr>
              <w:t>Enterprise</w:t>
            </w:r>
            <w:bookmarkEnd w:id="453"/>
            <w:bookmarkEnd w:id="454"/>
            <w:r w:rsidRPr="003410C7">
              <w:rPr>
                <w:rFonts w:ascii="Tahoma" w:hAnsi="Tahoma" w:cs="Tahoma"/>
                <w:sz w:val="14"/>
              </w:rPr>
              <w:t xml:space="preserve"> </w:t>
            </w:r>
          </w:p>
        </w:tc>
        <w:tc>
          <w:tcPr>
            <w:tcW w:w="450" w:type="dxa"/>
            <w:tcBorders>
              <w:bottom w:val="single" w:sz="4" w:space="0" w:color="auto"/>
            </w:tcBorders>
            <w:shd w:val="clear" w:color="auto" w:fill="auto"/>
            <w:vAlign w:val="center"/>
          </w:tcPr>
          <w:p w:rsidR="001A63C6" w:rsidRPr="009F17FF" w:rsidRDefault="00FC1A4D" w:rsidP="00EC1C09">
            <w:pPr>
              <w:pStyle w:val="TableText"/>
              <w:widowControl w:val="0"/>
              <w:rPr>
                <w:rStyle w:val="EndnoteReference"/>
                <w:color w:val="0000FF"/>
                <w:sz w:val="13"/>
                <w:szCs w:val="13"/>
                <w:u w:val="single"/>
              </w:rPr>
            </w:pPr>
            <w:hyperlink w:anchor="_98_System_Center" w:history="1">
              <w:r w:rsidR="000D77F6" w:rsidRPr="009F17FF">
                <w:rPr>
                  <w:rStyle w:val="Hyperlink"/>
                  <w:b/>
                  <w:sz w:val="13"/>
                  <w:szCs w:val="13"/>
                </w:rPr>
                <w:t>86</w:t>
              </w:r>
            </w:hyperlink>
          </w:p>
        </w:tc>
        <w:tc>
          <w:tcPr>
            <w:tcW w:w="450" w:type="dxa"/>
            <w:tcBorders>
              <w:bottom w:val="single" w:sz="4" w:space="0" w:color="auto"/>
            </w:tcBorders>
            <w:shd w:val="clear" w:color="auto" w:fill="auto"/>
          </w:tcPr>
          <w:p w:rsidR="001A63C6" w:rsidRPr="003410C7" w:rsidRDefault="001A63C6" w:rsidP="001A63C6">
            <w:pPr>
              <w:pStyle w:val="TableText"/>
              <w:widowControl w:val="0"/>
              <w:spacing w:before="80"/>
              <w:rPr>
                <w:rFonts w:ascii="Tahoma" w:hAnsi="Tahoma" w:cs="Tahoma"/>
                <w:sz w:val="13"/>
              </w:rPr>
            </w:pPr>
            <w:r w:rsidRPr="003410C7">
              <w:rPr>
                <w:rFonts w:ascii="Tahoma" w:hAnsi="Tahoma" w:cs="Tahoma"/>
                <w:sz w:val="13"/>
              </w:rPr>
              <w:t>10/07</w:t>
            </w:r>
          </w:p>
        </w:tc>
        <w:tc>
          <w:tcPr>
            <w:tcW w:w="360" w:type="dxa"/>
            <w:tcBorders>
              <w:bottom w:val="single" w:sz="4" w:space="0" w:color="auto"/>
              <w:right w:val="single" w:sz="18" w:space="0" w:color="auto"/>
            </w:tcBorders>
            <w:shd w:val="clear" w:color="auto" w:fill="auto"/>
            <w:vAlign w:val="center"/>
          </w:tcPr>
          <w:p w:rsidR="001A63C6" w:rsidRPr="003410C7" w:rsidRDefault="001A63C6" w:rsidP="001A63C6">
            <w:pPr>
              <w:pStyle w:val="TableText"/>
              <w:widowControl w:val="0"/>
              <w:rPr>
                <w:rFonts w:ascii="Tahoma" w:hAnsi="Tahoma" w:cs="Tahoma"/>
                <w:sz w:val="13"/>
              </w:rPr>
            </w:pPr>
            <w:r w:rsidRPr="003410C7">
              <w:rPr>
                <w:rFonts w:ascii="Tahoma" w:hAnsi="Tahoma" w:cs="Tahoma"/>
                <w:sz w:val="13"/>
              </w:rPr>
              <w:t>SRV</w:t>
            </w:r>
          </w:p>
        </w:tc>
        <w:tc>
          <w:tcPr>
            <w:tcW w:w="360" w:type="dxa"/>
            <w:tcBorders>
              <w:left w:val="single" w:sz="18" w:space="0" w:color="auto"/>
              <w:bottom w:val="single" w:sz="4" w:space="0" w:color="auto"/>
            </w:tcBorders>
            <w:shd w:val="clear" w:color="auto" w:fill="auto"/>
            <w:vAlign w:val="center"/>
          </w:tcPr>
          <w:p w:rsidR="001A63C6" w:rsidRPr="003410C7"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bottom"/>
          </w:tcPr>
          <w:p w:rsidR="001A63C6" w:rsidRPr="003410C7" w:rsidRDefault="001A63C6" w:rsidP="001A63C6">
            <w:pPr>
              <w:pStyle w:val="TableText"/>
              <w:widowControl w:val="0"/>
              <w:spacing w:after="60"/>
              <w:rPr>
                <w:rFonts w:ascii="Tahoma" w:hAnsi="Tahoma" w:cs="Tahoma"/>
                <w:sz w:val="13"/>
                <w:szCs w:val="13"/>
              </w:rPr>
            </w:pPr>
          </w:p>
        </w:tc>
        <w:tc>
          <w:tcPr>
            <w:tcW w:w="450" w:type="dxa"/>
            <w:tcBorders>
              <w:bottom w:val="single" w:sz="4" w:space="0" w:color="auto"/>
            </w:tcBorders>
            <w:shd w:val="clear" w:color="auto" w:fill="auto"/>
            <w:vAlign w:val="bottom"/>
          </w:tcPr>
          <w:p w:rsidR="001A63C6" w:rsidRPr="003410C7" w:rsidRDefault="001A63C6" w:rsidP="001A63C6">
            <w:pPr>
              <w:pStyle w:val="TableText"/>
              <w:widowControl w:val="0"/>
              <w:spacing w:after="60"/>
              <w:rPr>
                <w:rFonts w:ascii="Tahoma" w:hAnsi="Tahoma" w:cs="Tahoma"/>
                <w:sz w:val="13"/>
                <w:szCs w:val="13"/>
              </w:rPr>
            </w:pPr>
          </w:p>
        </w:tc>
        <w:tc>
          <w:tcPr>
            <w:tcW w:w="450" w:type="dxa"/>
            <w:tcBorders>
              <w:bottom w:val="single" w:sz="4" w:space="0" w:color="auto"/>
            </w:tcBorders>
            <w:shd w:val="clear" w:color="auto" w:fill="auto"/>
            <w:vAlign w:val="bottom"/>
          </w:tcPr>
          <w:p w:rsidR="001A63C6" w:rsidRPr="003410C7" w:rsidRDefault="001A63C6" w:rsidP="001A63C6">
            <w:pPr>
              <w:pStyle w:val="TableText"/>
              <w:widowControl w:val="0"/>
              <w:spacing w:after="60"/>
              <w:rPr>
                <w:rFonts w:ascii="Tahoma" w:hAnsi="Tahoma" w:cs="Tahoma"/>
                <w:sz w:val="13"/>
                <w:szCs w:val="13"/>
              </w:rPr>
            </w:pPr>
          </w:p>
        </w:tc>
        <w:tc>
          <w:tcPr>
            <w:tcW w:w="450" w:type="dxa"/>
            <w:tcBorders>
              <w:bottom w:val="single" w:sz="4" w:space="0" w:color="auto"/>
            </w:tcBorders>
            <w:shd w:val="clear" w:color="auto" w:fill="auto"/>
            <w:vAlign w:val="bottom"/>
          </w:tcPr>
          <w:p w:rsidR="001A63C6" w:rsidRPr="003410C7" w:rsidRDefault="001A63C6" w:rsidP="001A63C6">
            <w:pPr>
              <w:pStyle w:val="TableText"/>
              <w:widowControl w:val="0"/>
              <w:spacing w:after="60"/>
              <w:rPr>
                <w:rFonts w:ascii="Tahoma" w:hAnsi="Tahoma" w:cs="Tahoma"/>
                <w:sz w:val="13"/>
                <w:szCs w:val="13"/>
              </w:rPr>
            </w:pPr>
          </w:p>
        </w:tc>
        <w:tc>
          <w:tcPr>
            <w:tcW w:w="450" w:type="dxa"/>
            <w:tcBorders>
              <w:bottom w:val="single" w:sz="4" w:space="0" w:color="auto"/>
            </w:tcBorders>
            <w:shd w:val="clear" w:color="auto" w:fill="auto"/>
            <w:vAlign w:val="bottom"/>
          </w:tcPr>
          <w:p w:rsidR="001A63C6" w:rsidRPr="003410C7" w:rsidRDefault="001A63C6" w:rsidP="001A63C6">
            <w:pPr>
              <w:pStyle w:val="TableText"/>
              <w:widowControl w:val="0"/>
              <w:spacing w:after="60"/>
              <w:rPr>
                <w:rFonts w:ascii="Tahoma" w:hAnsi="Tahoma" w:cs="Tahoma"/>
                <w:sz w:val="13"/>
                <w:szCs w:val="13"/>
              </w:rPr>
            </w:pPr>
          </w:p>
        </w:tc>
        <w:tc>
          <w:tcPr>
            <w:tcW w:w="360" w:type="dxa"/>
            <w:tcBorders>
              <w:bottom w:val="single" w:sz="4" w:space="0" w:color="auto"/>
              <w:right w:val="single" w:sz="18" w:space="0" w:color="auto"/>
            </w:tcBorders>
            <w:shd w:val="clear" w:color="auto" w:fill="auto"/>
            <w:vAlign w:val="bottom"/>
          </w:tcPr>
          <w:p w:rsidR="001A63C6" w:rsidRPr="003410C7" w:rsidRDefault="001A63C6" w:rsidP="001A63C6">
            <w:pPr>
              <w:pStyle w:val="TableText"/>
              <w:widowControl w:val="0"/>
              <w:spacing w:after="60"/>
              <w:rPr>
                <w:rFonts w:ascii="Tahoma" w:hAnsi="Tahoma" w:cs="Tahoma"/>
                <w:sz w:val="13"/>
                <w:szCs w:val="13"/>
              </w:rPr>
            </w:pPr>
          </w:p>
        </w:tc>
        <w:tc>
          <w:tcPr>
            <w:tcW w:w="450" w:type="dxa"/>
            <w:tcBorders>
              <w:left w:val="single" w:sz="18" w:space="0" w:color="auto"/>
              <w:bottom w:val="single" w:sz="4" w:space="0" w:color="auto"/>
            </w:tcBorders>
            <w:shd w:val="clear" w:color="auto" w:fill="auto"/>
            <w:vAlign w:val="center"/>
          </w:tcPr>
          <w:p w:rsidR="001A63C6" w:rsidRPr="003410C7"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3410C7"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1A63C6" w:rsidRPr="003410C7"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1A63C6" w:rsidRPr="003410C7" w:rsidRDefault="001A63C6" w:rsidP="001A63C6">
            <w:pPr>
              <w:pStyle w:val="TableText"/>
              <w:widowControl w:val="0"/>
              <w:rPr>
                <w:rFonts w:ascii="Tahoma" w:hAnsi="Tahoma" w:cs="Tahoma"/>
                <w:sz w:val="13"/>
              </w:rPr>
            </w:pPr>
            <w:r w:rsidRPr="003410C7">
              <w:rPr>
                <w:rFonts w:ascii="Tahoma" w:hAnsi="Tahoma" w:cs="Tahoma"/>
                <w:sz w:val="13"/>
              </w:rPr>
              <w:t>15</w:t>
            </w:r>
          </w:p>
        </w:tc>
        <w:tc>
          <w:tcPr>
            <w:tcW w:w="450" w:type="dxa"/>
            <w:tcBorders>
              <w:bottom w:val="single" w:sz="4" w:space="0" w:color="auto"/>
              <w:right w:val="single" w:sz="18" w:space="0" w:color="auto"/>
            </w:tcBorders>
            <w:shd w:val="clear" w:color="auto" w:fill="auto"/>
            <w:vAlign w:val="center"/>
          </w:tcPr>
          <w:p w:rsidR="001A63C6" w:rsidRPr="003410C7"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rsidR="001A63C6" w:rsidRPr="003410C7"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tcPr>
          <w:p w:rsidR="001A63C6" w:rsidRPr="003410C7" w:rsidRDefault="001A63C6" w:rsidP="001A63C6">
            <w:pPr>
              <w:pStyle w:val="TableText"/>
              <w:widowControl w:val="0"/>
              <w:spacing w:before="120"/>
              <w:rPr>
                <w:rFonts w:ascii="Tahoma" w:hAnsi="Tahoma" w:cs="Tahoma"/>
                <w:sz w:val="13"/>
              </w:rPr>
            </w:pPr>
            <w:r w:rsidRPr="003410C7">
              <w:rPr>
                <w:rFonts w:ascii="Tahoma" w:hAnsi="Tahoma" w:cs="Tahoma"/>
                <w:sz w:val="13"/>
              </w:rPr>
              <w:t>A</w:t>
            </w:r>
          </w:p>
        </w:tc>
        <w:tc>
          <w:tcPr>
            <w:tcW w:w="540" w:type="dxa"/>
            <w:tcBorders>
              <w:bottom w:val="single" w:sz="4" w:space="0" w:color="auto"/>
            </w:tcBorders>
            <w:shd w:val="clear" w:color="auto" w:fill="auto"/>
            <w:vAlign w:val="center"/>
          </w:tcPr>
          <w:p w:rsidR="001A63C6" w:rsidRPr="003410C7" w:rsidRDefault="001A63C6" w:rsidP="001A63C6">
            <w:pPr>
              <w:pStyle w:val="TableText"/>
              <w:widowControl w:val="0"/>
              <w:rPr>
                <w:rFonts w:ascii="Tahoma" w:hAnsi="Tahoma" w:cs="Tahoma"/>
                <w:sz w:val="13"/>
              </w:rPr>
            </w:pPr>
          </w:p>
        </w:tc>
      </w:tr>
      <w:tr w:rsidR="00B33D0E" w:rsidRPr="003410C7" w:rsidTr="006B1F3F">
        <w:trPr>
          <w:trHeight w:val="145"/>
        </w:trPr>
        <w:tc>
          <w:tcPr>
            <w:tcW w:w="2734" w:type="dxa"/>
            <w:gridSpan w:val="2"/>
            <w:tcBorders>
              <w:bottom w:val="single" w:sz="4" w:space="0" w:color="auto"/>
            </w:tcBorders>
            <w:shd w:val="clear" w:color="auto" w:fill="FABF8F"/>
          </w:tcPr>
          <w:p w:rsidR="001A63C6" w:rsidRPr="003410C7" w:rsidRDefault="001A63C6" w:rsidP="00F57878">
            <w:pPr>
              <w:pStyle w:val="Heading4"/>
              <w:spacing w:beforeLines="20" w:before="48" w:afterLines="20" w:after="48"/>
              <w:ind w:left="0" w:firstLine="0"/>
              <w:rPr>
                <w:rFonts w:ascii="Tahoma" w:hAnsi="Tahoma" w:cs="Tahoma"/>
                <w:b w:val="0"/>
                <w:sz w:val="18"/>
                <w:szCs w:val="18"/>
              </w:rPr>
            </w:pPr>
            <w:bookmarkStart w:id="455" w:name="_Toc336338083"/>
            <w:bookmarkStart w:id="456" w:name="_Toc352234683"/>
            <w:r w:rsidRPr="003410C7">
              <w:rPr>
                <w:rFonts w:ascii="Tahoma" w:hAnsi="Tahoma" w:cs="Tahoma"/>
                <w:b w:val="0"/>
                <w:sz w:val="14"/>
                <w:szCs w:val="18"/>
              </w:rPr>
              <w:t>System Center Server Management Suite</w:t>
            </w:r>
            <w:r w:rsidR="00F57878">
              <w:rPr>
                <w:rFonts w:ascii="Tahoma" w:hAnsi="Tahoma" w:cs="Tahoma"/>
                <w:b w:val="0"/>
                <w:sz w:val="14"/>
                <w:szCs w:val="18"/>
              </w:rPr>
              <w:t> </w:t>
            </w:r>
            <w:r w:rsidRPr="003410C7">
              <w:rPr>
                <w:rFonts w:ascii="Tahoma" w:hAnsi="Tahoma" w:cs="Tahoma"/>
                <w:b w:val="0"/>
                <w:sz w:val="14"/>
                <w:szCs w:val="18"/>
              </w:rPr>
              <w:t>Datacenter</w:t>
            </w:r>
            <w:bookmarkEnd w:id="455"/>
            <w:bookmarkEnd w:id="456"/>
          </w:p>
        </w:tc>
        <w:tc>
          <w:tcPr>
            <w:tcW w:w="450" w:type="dxa"/>
            <w:tcBorders>
              <w:bottom w:val="single" w:sz="4" w:space="0" w:color="auto"/>
            </w:tcBorders>
            <w:shd w:val="clear" w:color="auto" w:fill="FABF8F"/>
          </w:tcPr>
          <w:p w:rsidR="001A63C6" w:rsidRPr="009F17FF" w:rsidRDefault="00FC1A4D" w:rsidP="00C012D7">
            <w:pPr>
              <w:pStyle w:val="TableText"/>
              <w:widowControl w:val="0"/>
              <w:spacing w:before="120"/>
              <w:rPr>
                <w:rStyle w:val="EndnoteReference"/>
                <w:sz w:val="13"/>
                <w:szCs w:val="13"/>
                <w:u w:val="single"/>
              </w:rPr>
            </w:pPr>
            <w:hyperlink w:anchor="Srv_90SysCtrSvrMgmtSuiteDatacenter" w:history="1">
              <w:r w:rsidR="000D77F6" w:rsidRPr="009F17FF">
                <w:rPr>
                  <w:rStyle w:val="Hyperlink"/>
                  <w:b/>
                  <w:sz w:val="13"/>
                  <w:szCs w:val="13"/>
                </w:rPr>
                <w:t>87</w:t>
              </w:r>
            </w:hyperlink>
          </w:p>
        </w:tc>
        <w:tc>
          <w:tcPr>
            <w:tcW w:w="450" w:type="dxa"/>
            <w:tcBorders>
              <w:bottom w:val="single" w:sz="4" w:space="0" w:color="auto"/>
            </w:tcBorders>
            <w:shd w:val="clear" w:color="auto" w:fill="FABF8F"/>
          </w:tcPr>
          <w:p w:rsidR="001A63C6" w:rsidRPr="003410C7" w:rsidRDefault="001A63C6" w:rsidP="001A63C6">
            <w:pPr>
              <w:pStyle w:val="TableText"/>
              <w:widowControl w:val="0"/>
              <w:spacing w:before="120"/>
              <w:rPr>
                <w:rFonts w:ascii="Tahoma" w:hAnsi="Tahoma" w:cs="Tahoma"/>
                <w:sz w:val="13"/>
              </w:rPr>
            </w:pPr>
            <w:r w:rsidRPr="003410C7">
              <w:rPr>
                <w:rFonts w:ascii="Tahoma" w:hAnsi="Tahoma" w:cs="Tahoma"/>
                <w:sz w:val="13"/>
              </w:rPr>
              <w:t>07/09</w:t>
            </w:r>
          </w:p>
        </w:tc>
        <w:tc>
          <w:tcPr>
            <w:tcW w:w="360" w:type="dxa"/>
            <w:tcBorders>
              <w:bottom w:val="single" w:sz="4" w:space="0" w:color="auto"/>
              <w:right w:val="single" w:sz="18" w:space="0" w:color="auto"/>
            </w:tcBorders>
            <w:shd w:val="clear" w:color="auto" w:fill="FABF8F"/>
          </w:tcPr>
          <w:p w:rsidR="001A63C6" w:rsidRPr="003410C7" w:rsidRDefault="001A63C6" w:rsidP="001A63C6">
            <w:pPr>
              <w:pStyle w:val="TableText"/>
              <w:widowControl w:val="0"/>
              <w:spacing w:before="120"/>
              <w:rPr>
                <w:rFonts w:ascii="Tahoma" w:hAnsi="Tahoma" w:cs="Tahoma"/>
                <w:sz w:val="13"/>
              </w:rPr>
            </w:pPr>
            <w:r w:rsidRPr="003410C7">
              <w:rPr>
                <w:rFonts w:ascii="Tahoma" w:hAnsi="Tahoma" w:cs="Tahoma"/>
                <w:sz w:val="13"/>
              </w:rPr>
              <w:t>SRV</w:t>
            </w:r>
          </w:p>
        </w:tc>
        <w:tc>
          <w:tcPr>
            <w:tcW w:w="360" w:type="dxa"/>
            <w:tcBorders>
              <w:left w:val="single" w:sz="18" w:space="0" w:color="auto"/>
              <w:bottom w:val="single" w:sz="4" w:space="0" w:color="auto"/>
            </w:tcBorders>
            <w:shd w:val="clear" w:color="auto" w:fill="FABF8F"/>
          </w:tcPr>
          <w:p w:rsidR="001A63C6" w:rsidRPr="003410C7" w:rsidRDefault="001A63C6" w:rsidP="001A63C6">
            <w:pPr>
              <w:pStyle w:val="TableText"/>
              <w:widowControl w:val="0"/>
              <w:spacing w:before="120"/>
              <w:rPr>
                <w:rFonts w:ascii="Tahoma" w:hAnsi="Tahoma" w:cs="Tahoma"/>
                <w:sz w:val="13"/>
              </w:rPr>
            </w:pPr>
          </w:p>
        </w:tc>
        <w:tc>
          <w:tcPr>
            <w:tcW w:w="450" w:type="dxa"/>
            <w:tcBorders>
              <w:bottom w:val="single" w:sz="4" w:space="0" w:color="auto"/>
            </w:tcBorders>
            <w:shd w:val="clear" w:color="auto" w:fill="FABF8F"/>
          </w:tcPr>
          <w:p w:rsidR="001A63C6" w:rsidRPr="003410C7" w:rsidRDefault="001A63C6" w:rsidP="001A63C6">
            <w:pPr>
              <w:pStyle w:val="TableText"/>
              <w:widowControl w:val="0"/>
              <w:spacing w:before="120"/>
              <w:rPr>
                <w:rFonts w:ascii="Tahoma" w:hAnsi="Tahoma" w:cs="Tahoma"/>
                <w:sz w:val="13"/>
              </w:rPr>
            </w:pPr>
          </w:p>
        </w:tc>
        <w:tc>
          <w:tcPr>
            <w:tcW w:w="450" w:type="dxa"/>
            <w:tcBorders>
              <w:bottom w:val="single" w:sz="4" w:space="0" w:color="auto"/>
            </w:tcBorders>
            <w:shd w:val="clear" w:color="auto" w:fill="FABF8F"/>
          </w:tcPr>
          <w:p w:rsidR="001A63C6" w:rsidRPr="003410C7" w:rsidRDefault="001A63C6" w:rsidP="001A63C6">
            <w:pPr>
              <w:pStyle w:val="TableText"/>
              <w:widowControl w:val="0"/>
              <w:spacing w:before="120"/>
              <w:rPr>
                <w:rFonts w:ascii="Tahoma" w:hAnsi="Tahoma" w:cs="Tahoma"/>
                <w:sz w:val="13"/>
              </w:rPr>
            </w:pPr>
          </w:p>
        </w:tc>
        <w:tc>
          <w:tcPr>
            <w:tcW w:w="450" w:type="dxa"/>
            <w:tcBorders>
              <w:bottom w:val="single" w:sz="4" w:space="0" w:color="auto"/>
            </w:tcBorders>
            <w:shd w:val="clear" w:color="auto" w:fill="FABF8F"/>
          </w:tcPr>
          <w:p w:rsidR="001A63C6" w:rsidRPr="003410C7" w:rsidRDefault="001A63C6" w:rsidP="001A63C6">
            <w:pPr>
              <w:pStyle w:val="TableText"/>
              <w:widowControl w:val="0"/>
              <w:spacing w:before="120"/>
              <w:rPr>
                <w:rFonts w:ascii="Tahoma" w:hAnsi="Tahoma" w:cs="Tahoma"/>
                <w:sz w:val="13"/>
              </w:rPr>
            </w:pPr>
          </w:p>
        </w:tc>
        <w:tc>
          <w:tcPr>
            <w:tcW w:w="450" w:type="dxa"/>
            <w:tcBorders>
              <w:bottom w:val="single" w:sz="4" w:space="0" w:color="auto"/>
            </w:tcBorders>
            <w:shd w:val="clear" w:color="auto" w:fill="FABF8F"/>
          </w:tcPr>
          <w:p w:rsidR="001A63C6" w:rsidRPr="003410C7" w:rsidRDefault="001A63C6" w:rsidP="001A63C6">
            <w:pPr>
              <w:pStyle w:val="TableText"/>
              <w:widowControl w:val="0"/>
              <w:spacing w:before="120"/>
              <w:rPr>
                <w:rFonts w:ascii="Tahoma" w:hAnsi="Tahoma" w:cs="Tahoma"/>
                <w:sz w:val="13"/>
              </w:rPr>
            </w:pPr>
          </w:p>
        </w:tc>
        <w:tc>
          <w:tcPr>
            <w:tcW w:w="450" w:type="dxa"/>
            <w:tcBorders>
              <w:bottom w:val="single" w:sz="4" w:space="0" w:color="auto"/>
            </w:tcBorders>
            <w:shd w:val="clear" w:color="auto" w:fill="FABF8F"/>
          </w:tcPr>
          <w:p w:rsidR="001A63C6" w:rsidRPr="003410C7" w:rsidRDefault="001A63C6" w:rsidP="001A63C6">
            <w:pPr>
              <w:pStyle w:val="TableText"/>
              <w:widowControl w:val="0"/>
              <w:spacing w:before="120"/>
              <w:rPr>
                <w:rFonts w:ascii="Tahoma" w:hAnsi="Tahoma" w:cs="Tahoma"/>
                <w:sz w:val="13"/>
              </w:rPr>
            </w:pPr>
          </w:p>
        </w:tc>
        <w:tc>
          <w:tcPr>
            <w:tcW w:w="360" w:type="dxa"/>
            <w:tcBorders>
              <w:bottom w:val="single" w:sz="4" w:space="0" w:color="auto"/>
              <w:right w:val="single" w:sz="18" w:space="0" w:color="auto"/>
            </w:tcBorders>
            <w:shd w:val="clear" w:color="auto" w:fill="FABF8F"/>
          </w:tcPr>
          <w:p w:rsidR="001A63C6" w:rsidRPr="003410C7" w:rsidRDefault="001A63C6" w:rsidP="001A63C6">
            <w:pPr>
              <w:pStyle w:val="TableText"/>
              <w:widowControl w:val="0"/>
              <w:spacing w:before="120"/>
              <w:rPr>
                <w:rFonts w:ascii="Tahoma" w:hAnsi="Tahoma" w:cs="Tahoma"/>
                <w:sz w:val="13"/>
              </w:rPr>
            </w:pPr>
          </w:p>
        </w:tc>
        <w:tc>
          <w:tcPr>
            <w:tcW w:w="450" w:type="dxa"/>
            <w:tcBorders>
              <w:left w:val="single" w:sz="18" w:space="0" w:color="auto"/>
              <w:bottom w:val="single" w:sz="4" w:space="0" w:color="auto"/>
            </w:tcBorders>
            <w:shd w:val="clear" w:color="auto" w:fill="FABF8F"/>
          </w:tcPr>
          <w:p w:rsidR="001A63C6" w:rsidRPr="003410C7" w:rsidRDefault="001A63C6" w:rsidP="001A63C6">
            <w:pPr>
              <w:pStyle w:val="TableText"/>
              <w:widowControl w:val="0"/>
              <w:spacing w:before="120"/>
              <w:rPr>
                <w:rFonts w:ascii="Tahoma" w:hAnsi="Tahoma" w:cs="Tahoma"/>
                <w:sz w:val="13"/>
              </w:rPr>
            </w:pPr>
          </w:p>
        </w:tc>
        <w:tc>
          <w:tcPr>
            <w:tcW w:w="450" w:type="dxa"/>
            <w:tcBorders>
              <w:bottom w:val="single" w:sz="4" w:space="0" w:color="auto"/>
            </w:tcBorders>
            <w:shd w:val="clear" w:color="auto" w:fill="FABF8F"/>
          </w:tcPr>
          <w:p w:rsidR="001A63C6" w:rsidRPr="003410C7" w:rsidRDefault="001A63C6" w:rsidP="001A63C6">
            <w:pPr>
              <w:pStyle w:val="TableText"/>
              <w:widowControl w:val="0"/>
              <w:spacing w:before="120"/>
              <w:rPr>
                <w:rFonts w:ascii="Tahoma" w:hAnsi="Tahoma" w:cs="Tahoma"/>
                <w:sz w:val="13"/>
              </w:rPr>
            </w:pPr>
          </w:p>
        </w:tc>
        <w:tc>
          <w:tcPr>
            <w:tcW w:w="450" w:type="dxa"/>
            <w:tcBorders>
              <w:bottom w:val="single" w:sz="4" w:space="0" w:color="auto"/>
              <w:right w:val="single" w:sz="18" w:space="0" w:color="auto"/>
            </w:tcBorders>
            <w:shd w:val="clear" w:color="auto" w:fill="FABF8F"/>
          </w:tcPr>
          <w:p w:rsidR="001A63C6" w:rsidRPr="003410C7" w:rsidRDefault="001A63C6" w:rsidP="001A63C6">
            <w:pPr>
              <w:pStyle w:val="TableText"/>
              <w:widowControl w:val="0"/>
              <w:spacing w:before="120"/>
              <w:rPr>
                <w:rFonts w:ascii="Tahoma" w:hAnsi="Tahoma" w:cs="Tahoma"/>
                <w:sz w:val="13"/>
              </w:rPr>
            </w:pPr>
          </w:p>
        </w:tc>
        <w:tc>
          <w:tcPr>
            <w:tcW w:w="450" w:type="dxa"/>
            <w:tcBorders>
              <w:left w:val="single" w:sz="18" w:space="0" w:color="auto"/>
              <w:bottom w:val="single" w:sz="4" w:space="0" w:color="auto"/>
            </w:tcBorders>
            <w:shd w:val="clear" w:color="auto" w:fill="FABF8F"/>
          </w:tcPr>
          <w:p w:rsidR="001A63C6" w:rsidRPr="003410C7" w:rsidRDefault="001A63C6" w:rsidP="001A63C6">
            <w:pPr>
              <w:pStyle w:val="TableText"/>
              <w:widowControl w:val="0"/>
              <w:spacing w:before="120"/>
              <w:rPr>
                <w:rFonts w:ascii="Tahoma" w:hAnsi="Tahoma" w:cs="Tahoma"/>
                <w:sz w:val="13"/>
              </w:rPr>
            </w:pPr>
            <w:r w:rsidRPr="003410C7">
              <w:rPr>
                <w:rFonts w:ascii="Tahoma" w:hAnsi="Tahoma" w:cs="Tahoma"/>
                <w:sz w:val="13"/>
              </w:rPr>
              <w:t>10</w:t>
            </w:r>
          </w:p>
        </w:tc>
        <w:tc>
          <w:tcPr>
            <w:tcW w:w="450" w:type="dxa"/>
            <w:tcBorders>
              <w:bottom w:val="single" w:sz="4" w:space="0" w:color="auto"/>
              <w:right w:val="single" w:sz="18" w:space="0" w:color="auto"/>
            </w:tcBorders>
            <w:shd w:val="clear" w:color="auto" w:fill="FABF8F"/>
          </w:tcPr>
          <w:p w:rsidR="001A63C6" w:rsidRPr="003410C7" w:rsidRDefault="001A63C6" w:rsidP="001A63C6">
            <w:pPr>
              <w:pStyle w:val="TableText"/>
              <w:widowControl w:val="0"/>
              <w:spacing w:before="12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tcPr>
          <w:p w:rsidR="001A63C6" w:rsidRPr="003410C7" w:rsidRDefault="001A63C6" w:rsidP="001A63C6">
            <w:pPr>
              <w:pStyle w:val="TableText"/>
              <w:widowControl w:val="0"/>
              <w:spacing w:before="120"/>
              <w:rPr>
                <w:rFonts w:ascii="Tahoma" w:hAnsi="Tahoma" w:cs="Tahoma"/>
                <w:sz w:val="13"/>
              </w:rPr>
            </w:pPr>
          </w:p>
        </w:tc>
        <w:tc>
          <w:tcPr>
            <w:tcW w:w="450" w:type="dxa"/>
            <w:tcBorders>
              <w:bottom w:val="single" w:sz="4" w:space="0" w:color="auto"/>
            </w:tcBorders>
            <w:shd w:val="clear" w:color="auto" w:fill="FABF8F"/>
          </w:tcPr>
          <w:p w:rsidR="001A63C6" w:rsidRPr="003410C7" w:rsidRDefault="001A63C6" w:rsidP="001A63C6">
            <w:pPr>
              <w:pStyle w:val="TableText"/>
              <w:widowControl w:val="0"/>
              <w:spacing w:before="120"/>
              <w:rPr>
                <w:rFonts w:ascii="Tahoma" w:hAnsi="Tahoma" w:cs="Tahoma"/>
                <w:sz w:val="13"/>
              </w:rPr>
            </w:pPr>
            <w:r w:rsidRPr="003410C7">
              <w:rPr>
                <w:rFonts w:ascii="Tahoma" w:hAnsi="Tahoma" w:cs="Tahoma"/>
                <w:sz w:val="13"/>
              </w:rPr>
              <w:t>A</w:t>
            </w:r>
          </w:p>
        </w:tc>
        <w:tc>
          <w:tcPr>
            <w:tcW w:w="540" w:type="dxa"/>
            <w:tcBorders>
              <w:bottom w:val="single" w:sz="4" w:space="0" w:color="auto"/>
            </w:tcBorders>
            <w:shd w:val="clear" w:color="auto" w:fill="FABF8F"/>
          </w:tcPr>
          <w:p w:rsidR="001A63C6" w:rsidRPr="003410C7" w:rsidRDefault="001A63C6" w:rsidP="001A63C6">
            <w:pPr>
              <w:pStyle w:val="TableText"/>
              <w:widowControl w:val="0"/>
              <w:rPr>
                <w:rFonts w:ascii="Tahoma" w:hAnsi="Tahoma" w:cs="Tahoma"/>
                <w:sz w:val="13"/>
              </w:rPr>
            </w:pPr>
          </w:p>
        </w:tc>
      </w:tr>
      <w:tr w:rsidR="001A63C6" w:rsidRPr="003410C7" w:rsidTr="007E466C">
        <w:trPr>
          <w:trHeight w:val="145"/>
        </w:trPr>
        <w:tc>
          <w:tcPr>
            <w:tcW w:w="2734" w:type="dxa"/>
            <w:gridSpan w:val="2"/>
            <w:tcBorders>
              <w:bottom w:val="single" w:sz="4" w:space="0" w:color="auto"/>
            </w:tcBorders>
            <w:shd w:val="clear" w:color="auto" w:fill="auto"/>
          </w:tcPr>
          <w:p w:rsidR="001A63C6" w:rsidRPr="00451078" w:rsidRDefault="001A63C6" w:rsidP="00F57878">
            <w:pPr>
              <w:pStyle w:val="ProductNames"/>
              <w:spacing w:beforeLines="10" w:before="24" w:afterLines="10" w:after="24"/>
              <w:rPr>
                <w:rFonts w:ascii="Tahoma" w:hAnsi="Tahoma" w:cs="Tahoma"/>
                <w:b/>
                <w:sz w:val="14"/>
                <w:lang w:val="it-IT"/>
              </w:rPr>
            </w:pPr>
            <w:bookmarkStart w:id="457" w:name="_Toc336338086"/>
            <w:bookmarkStart w:id="458" w:name="_Toc352234684"/>
            <w:r w:rsidRPr="00451078">
              <w:rPr>
                <w:rFonts w:ascii="Tahoma" w:hAnsi="Tahoma" w:cs="Tahoma"/>
                <w:sz w:val="14"/>
                <w:lang w:val="it-IT"/>
              </w:rPr>
              <w:t xml:space="preserve">Licenza di Gestione Client (Client ML) </w:t>
            </w:r>
            <w:r w:rsidRPr="00451078">
              <w:rPr>
                <w:rFonts w:ascii="Tahoma" w:hAnsi="Tahoma" w:cs="Tahoma"/>
                <w:sz w:val="14"/>
                <w:lang w:val="it-IT"/>
              </w:rPr>
              <w:lastRenderedPageBreak/>
              <w:t>per</w:t>
            </w:r>
            <w:r w:rsidR="00F57878" w:rsidRPr="00451078">
              <w:rPr>
                <w:rFonts w:ascii="Tahoma" w:hAnsi="Tahoma" w:cs="Tahoma"/>
                <w:sz w:val="14"/>
                <w:lang w:val="it-IT"/>
              </w:rPr>
              <w:t> </w:t>
            </w:r>
            <w:r w:rsidRPr="00451078">
              <w:rPr>
                <w:rFonts w:ascii="Tahoma" w:hAnsi="Tahoma" w:cs="Tahoma"/>
                <w:sz w:val="14"/>
                <w:lang w:val="it-IT"/>
              </w:rPr>
              <w:t>OSE per System Center Service Manager 2010</w:t>
            </w:r>
            <w:bookmarkEnd w:id="457"/>
            <w:bookmarkEnd w:id="458"/>
          </w:p>
        </w:tc>
        <w:tc>
          <w:tcPr>
            <w:tcW w:w="450" w:type="dxa"/>
            <w:tcBorders>
              <w:bottom w:val="single" w:sz="4" w:space="0" w:color="auto"/>
            </w:tcBorders>
            <w:shd w:val="clear" w:color="auto" w:fill="auto"/>
          </w:tcPr>
          <w:p w:rsidR="001A63C6" w:rsidRPr="00451078" w:rsidRDefault="001A63C6" w:rsidP="001A63C6">
            <w:pPr>
              <w:pStyle w:val="TableText"/>
              <w:widowControl w:val="0"/>
              <w:rPr>
                <w:rStyle w:val="EndnoteReference"/>
                <w:sz w:val="13"/>
                <w:szCs w:val="13"/>
                <w:u w:val="single"/>
                <w:lang w:val="it-IT"/>
              </w:rPr>
            </w:pPr>
          </w:p>
        </w:tc>
        <w:tc>
          <w:tcPr>
            <w:tcW w:w="450" w:type="dxa"/>
            <w:tcBorders>
              <w:bottom w:val="single" w:sz="4" w:space="0" w:color="auto"/>
            </w:tcBorders>
            <w:shd w:val="clear" w:color="auto" w:fill="auto"/>
          </w:tcPr>
          <w:p w:rsidR="001A63C6" w:rsidRPr="003410C7" w:rsidRDefault="001A63C6" w:rsidP="001A63C6">
            <w:pPr>
              <w:pStyle w:val="TableText"/>
              <w:widowControl w:val="0"/>
              <w:spacing w:before="120"/>
              <w:rPr>
                <w:rFonts w:ascii="Tahoma" w:hAnsi="Tahoma" w:cs="Tahoma"/>
                <w:sz w:val="13"/>
              </w:rPr>
            </w:pPr>
            <w:r w:rsidRPr="003410C7">
              <w:rPr>
                <w:rFonts w:ascii="Tahoma" w:hAnsi="Tahoma" w:cs="Tahoma"/>
                <w:sz w:val="13"/>
              </w:rPr>
              <w:t>04/10</w:t>
            </w:r>
          </w:p>
        </w:tc>
        <w:tc>
          <w:tcPr>
            <w:tcW w:w="360" w:type="dxa"/>
            <w:tcBorders>
              <w:bottom w:val="single" w:sz="4" w:space="0" w:color="auto"/>
              <w:right w:val="single" w:sz="18" w:space="0" w:color="auto"/>
            </w:tcBorders>
            <w:shd w:val="clear" w:color="auto" w:fill="auto"/>
          </w:tcPr>
          <w:p w:rsidR="001A63C6" w:rsidRPr="003410C7" w:rsidRDefault="001A63C6" w:rsidP="001A63C6">
            <w:pPr>
              <w:pStyle w:val="TableText"/>
              <w:widowControl w:val="0"/>
              <w:spacing w:before="120"/>
              <w:rPr>
                <w:rFonts w:ascii="Tahoma" w:hAnsi="Tahoma" w:cs="Tahoma"/>
                <w:sz w:val="13"/>
              </w:rPr>
            </w:pPr>
            <w:r w:rsidRPr="003410C7">
              <w:rPr>
                <w:rFonts w:ascii="Tahoma" w:hAnsi="Tahoma" w:cs="Tahoma"/>
                <w:sz w:val="13"/>
              </w:rPr>
              <w:t>SRV</w:t>
            </w:r>
          </w:p>
        </w:tc>
        <w:tc>
          <w:tcPr>
            <w:tcW w:w="360" w:type="dxa"/>
            <w:tcBorders>
              <w:left w:val="single" w:sz="18" w:space="0" w:color="auto"/>
              <w:bottom w:val="single" w:sz="4" w:space="0" w:color="auto"/>
            </w:tcBorders>
            <w:shd w:val="clear" w:color="auto" w:fill="auto"/>
            <w:vAlign w:val="center"/>
          </w:tcPr>
          <w:p w:rsidR="001A63C6" w:rsidRPr="003410C7" w:rsidRDefault="001A63C6" w:rsidP="001A63C6">
            <w:pPr>
              <w:pStyle w:val="TableText"/>
              <w:widowControl w:val="0"/>
              <w:spacing w:before="120"/>
              <w:rPr>
                <w:rFonts w:ascii="Tahoma" w:hAnsi="Tahoma" w:cs="Tahoma"/>
                <w:sz w:val="13"/>
              </w:rPr>
            </w:pPr>
          </w:p>
        </w:tc>
        <w:tc>
          <w:tcPr>
            <w:tcW w:w="450" w:type="dxa"/>
            <w:tcBorders>
              <w:bottom w:val="single" w:sz="4" w:space="0" w:color="auto"/>
            </w:tcBorders>
            <w:shd w:val="clear" w:color="auto" w:fill="auto"/>
            <w:vAlign w:val="center"/>
          </w:tcPr>
          <w:p w:rsidR="001A63C6" w:rsidRPr="003410C7" w:rsidRDefault="001A63C6" w:rsidP="001A63C6">
            <w:pPr>
              <w:pStyle w:val="TableText"/>
              <w:widowControl w:val="0"/>
              <w:spacing w:before="120"/>
              <w:rPr>
                <w:rFonts w:ascii="Tahoma" w:hAnsi="Tahoma" w:cs="Tahoma"/>
                <w:sz w:val="13"/>
              </w:rPr>
            </w:pPr>
          </w:p>
        </w:tc>
        <w:tc>
          <w:tcPr>
            <w:tcW w:w="450" w:type="dxa"/>
            <w:tcBorders>
              <w:bottom w:val="single" w:sz="4" w:space="0" w:color="auto"/>
            </w:tcBorders>
            <w:shd w:val="clear" w:color="auto" w:fill="auto"/>
            <w:vAlign w:val="center"/>
          </w:tcPr>
          <w:p w:rsidR="001A63C6" w:rsidRPr="003410C7" w:rsidRDefault="001A63C6" w:rsidP="001A63C6">
            <w:pPr>
              <w:pStyle w:val="TableText"/>
              <w:widowControl w:val="0"/>
              <w:spacing w:before="120"/>
              <w:rPr>
                <w:rFonts w:ascii="Tahoma" w:hAnsi="Tahoma" w:cs="Tahoma"/>
                <w:sz w:val="13"/>
              </w:rPr>
            </w:pPr>
          </w:p>
        </w:tc>
        <w:tc>
          <w:tcPr>
            <w:tcW w:w="450" w:type="dxa"/>
            <w:tcBorders>
              <w:bottom w:val="single" w:sz="4" w:space="0" w:color="auto"/>
            </w:tcBorders>
            <w:shd w:val="clear" w:color="auto" w:fill="auto"/>
            <w:vAlign w:val="center"/>
          </w:tcPr>
          <w:p w:rsidR="001A63C6" w:rsidRPr="003410C7" w:rsidRDefault="001A63C6" w:rsidP="001A63C6">
            <w:pPr>
              <w:pStyle w:val="TableText"/>
              <w:widowControl w:val="0"/>
              <w:spacing w:before="120"/>
              <w:rPr>
                <w:rFonts w:ascii="Tahoma" w:hAnsi="Tahoma" w:cs="Tahoma"/>
                <w:sz w:val="13"/>
              </w:rPr>
            </w:pPr>
          </w:p>
        </w:tc>
        <w:tc>
          <w:tcPr>
            <w:tcW w:w="450" w:type="dxa"/>
            <w:tcBorders>
              <w:bottom w:val="single" w:sz="4" w:space="0" w:color="auto"/>
            </w:tcBorders>
            <w:shd w:val="clear" w:color="auto" w:fill="auto"/>
            <w:vAlign w:val="center"/>
          </w:tcPr>
          <w:p w:rsidR="001A63C6" w:rsidRPr="003410C7" w:rsidRDefault="001A63C6" w:rsidP="001A63C6">
            <w:pPr>
              <w:pStyle w:val="TableText"/>
              <w:widowControl w:val="0"/>
              <w:spacing w:before="120"/>
              <w:rPr>
                <w:rFonts w:ascii="Tahoma" w:hAnsi="Tahoma" w:cs="Tahoma"/>
                <w:sz w:val="13"/>
              </w:rPr>
            </w:pPr>
          </w:p>
        </w:tc>
        <w:tc>
          <w:tcPr>
            <w:tcW w:w="450" w:type="dxa"/>
            <w:tcBorders>
              <w:bottom w:val="single" w:sz="4" w:space="0" w:color="auto"/>
            </w:tcBorders>
            <w:shd w:val="clear" w:color="auto" w:fill="auto"/>
            <w:vAlign w:val="center"/>
          </w:tcPr>
          <w:p w:rsidR="001A63C6" w:rsidRPr="003410C7" w:rsidRDefault="001A63C6" w:rsidP="001A63C6">
            <w:pPr>
              <w:pStyle w:val="TableText"/>
              <w:widowControl w:val="0"/>
              <w:spacing w:before="120"/>
              <w:rPr>
                <w:rFonts w:ascii="Tahoma" w:hAnsi="Tahoma" w:cs="Tahoma"/>
                <w:sz w:val="13"/>
              </w:rPr>
            </w:pPr>
          </w:p>
        </w:tc>
        <w:tc>
          <w:tcPr>
            <w:tcW w:w="360" w:type="dxa"/>
            <w:tcBorders>
              <w:bottom w:val="single" w:sz="4" w:space="0" w:color="auto"/>
              <w:right w:val="single" w:sz="18" w:space="0" w:color="auto"/>
            </w:tcBorders>
            <w:shd w:val="clear" w:color="auto" w:fill="auto"/>
            <w:vAlign w:val="center"/>
          </w:tcPr>
          <w:p w:rsidR="001A63C6" w:rsidRPr="003410C7" w:rsidRDefault="001A63C6" w:rsidP="001A63C6">
            <w:pPr>
              <w:pStyle w:val="TableText"/>
              <w:widowControl w:val="0"/>
              <w:spacing w:before="12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1A63C6" w:rsidRPr="003410C7" w:rsidRDefault="001A63C6" w:rsidP="001A63C6">
            <w:pPr>
              <w:pStyle w:val="TableText"/>
              <w:widowControl w:val="0"/>
              <w:spacing w:before="120"/>
              <w:rPr>
                <w:rFonts w:ascii="Tahoma" w:hAnsi="Tahoma" w:cs="Tahoma"/>
                <w:sz w:val="13"/>
              </w:rPr>
            </w:pPr>
          </w:p>
        </w:tc>
        <w:tc>
          <w:tcPr>
            <w:tcW w:w="450" w:type="dxa"/>
            <w:tcBorders>
              <w:bottom w:val="single" w:sz="4" w:space="0" w:color="auto"/>
            </w:tcBorders>
            <w:shd w:val="clear" w:color="auto" w:fill="auto"/>
            <w:vAlign w:val="center"/>
          </w:tcPr>
          <w:p w:rsidR="001A63C6" w:rsidRPr="003410C7" w:rsidRDefault="001A63C6" w:rsidP="001A63C6">
            <w:pPr>
              <w:pStyle w:val="TableText"/>
              <w:widowControl w:val="0"/>
              <w:spacing w:before="120"/>
              <w:jc w:val="left"/>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1A63C6" w:rsidRPr="003410C7" w:rsidRDefault="001A63C6" w:rsidP="001A63C6">
            <w:pPr>
              <w:pStyle w:val="TableText"/>
              <w:widowControl w:val="0"/>
              <w:spacing w:before="12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1A63C6" w:rsidRPr="003410C7" w:rsidRDefault="001A63C6" w:rsidP="001A63C6">
            <w:pPr>
              <w:pStyle w:val="TableText"/>
              <w:widowControl w:val="0"/>
              <w:spacing w:before="120"/>
              <w:rPr>
                <w:rFonts w:ascii="Tahoma" w:hAnsi="Tahoma" w:cs="Tahoma"/>
                <w:sz w:val="13"/>
              </w:rPr>
            </w:pPr>
            <w:r w:rsidRPr="003410C7">
              <w:rPr>
                <w:rFonts w:ascii="Tahoma" w:hAnsi="Tahoma" w:cs="Tahoma"/>
                <w:sz w:val="13"/>
              </w:rPr>
              <w:t>1</w:t>
            </w:r>
          </w:p>
        </w:tc>
        <w:tc>
          <w:tcPr>
            <w:tcW w:w="450" w:type="dxa"/>
            <w:tcBorders>
              <w:bottom w:val="single" w:sz="4" w:space="0" w:color="auto"/>
              <w:right w:val="single" w:sz="18" w:space="0" w:color="auto"/>
            </w:tcBorders>
            <w:shd w:val="clear" w:color="auto" w:fill="auto"/>
            <w:vAlign w:val="center"/>
          </w:tcPr>
          <w:p w:rsidR="001A63C6" w:rsidRPr="003410C7" w:rsidRDefault="001A63C6" w:rsidP="001A63C6">
            <w:pPr>
              <w:pStyle w:val="TableText"/>
              <w:widowControl w:val="0"/>
              <w:spacing w:before="12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rsidR="001A63C6" w:rsidRPr="003410C7" w:rsidRDefault="001A63C6" w:rsidP="001A63C6">
            <w:pPr>
              <w:pStyle w:val="TableText"/>
              <w:widowControl w:val="0"/>
              <w:spacing w:before="120"/>
            </w:pPr>
          </w:p>
          <w:p w:rsidR="001A63C6" w:rsidRPr="003410C7" w:rsidRDefault="001A63C6" w:rsidP="001A63C6">
            <w:pPr>
              <w:pStyle w:val="TableText"/>
              <w:widowControl w:val="0"/>
              <w:spacing w:before="120"/>
              <w:rPr>
                <w:rFonts w:ascii="Tahoma" w:hAnsi="Tahoma" w:cs="Tahoma"/>
                <w:sz w:val="13"/>
              </w:rPr>
            </w:pPr>
          </w:p>
        </w:tc>
        <w:tc>
          <w:tcPr>
            <w:tcW w:w="450" w:type="dxa"/>
            <w:tcBorders>
              <w:bottom w:val="single" w:sz="4" w:space="0" w:color="auto"/>
            </w:tcBorders>
            <w:shd w:val="clear" w:color="auto" w:fill="auto"/>
          </w:tcPr>
          <w:p w:rsidR="001A63C6" w:rsidRPr="003410C7" w:rsidRDefault="001A63C6" w:rsidP="001A63C6">
            <w:pPr>
              <w:pStyle w:val="TableText"/>
              <w:widowControl w:val="0"/>
              <w:spacing w:before="120"/>
              <w:rPr>
                <w:rFonts w:ascii="Tahoma" w:hAnsi="Tahoma" w:cs="Tahoma"/>
                <w:sz w:val="13"/>
              </w:rPr>
            </w:pPr>
            <w:r w:rsidRPr="003410C7">
              <w:rPr>
                <w:rFonts w:ascii="Tahoma" w:hAnsi="Tahoma" w:cs="Tahoma"/>
                <w:sz w:val="13"/>
              </w:rPr>
              <w:lastRenderedPageBreak/>
              <w:t xml:space="preserve">AO, </w:t>
            </w:r>
            <w:r w:rsidRPr="003410C7">
              <w:rPr>
                <w:rFonts w:ascii="Tahoma" w:hAnsi="Tahoma" w:cs="Tahoma"/>
                <w:sz w:val="13"/>
              </w:rPr>
              <w:lastRenderedPageBreak/>
              <w:t>ST</w:t>
            </w:r>
          </w:p>
        </w:tc>
        <w:tc>
          <w:tcPr>
            <w:tcW w:w="540" w:type="dxa"/>
            <w:tcBorders>
              <w:bottom w:val="single" w:sz="4" w:space="0" w:color="auto"/>
            </w:tcBorders>
            <w:shd w:val="clear" w:color="auto" w:fill="auto"/>
          </w:tcPr>
          <w:p w:rsidR="001A63C6" w:rsidRPr="003410C7" w:rsidRDefault="001A63C6" w:rsidP="001A63C6">
            <w:pPr>
              <w:pStyle w:val="TableText"/>
              <w:widowControl w:val="0"/>
              <w:rPr>
                <w:rFonts w:ascii="Tahoma" w:hAnsi="Tahoma" w:cs="Tahoma"/>
                <w:sz w:val="13"/>
              </w:rPr>
            </w:pPr>
          </w:p>
        </w:tc>
      </w:tr>
      <w:tr w:rsidR="00B33D0E" w:rsidRPr="003410C7" w:rsidTr="006B1F3F">
        <w:trPr>
          <w:trHeight w:val="145"/>
        </w:trPr>
        <w:tc>
          <w:tcPr>
            <w:tcW w:w="2734" w:type="dxa"/>
            <w:gridSpan w:val="2"/>
            <w:tcBorders>
              <w:bottom w:val="single" w:sz="4" w:space="0" w:color="auto"/>
            </w:tcBorders>
            <w:shd w:val="clear" w:color="auto" w:fill="FABF8F"/>
          </w:tcPr>
          <w:p w:rsidR="001A63C6" w:rsidRPr="00451078" w:rsidRDefault="001A63C6" w:rsidP="00F57878">
            <w:pPr>
              <w:pStyle w:val="ProductNames"/>
              <w:spacing w:beforeLines="10" w:before="24" w:afterLines="10" w:after="24"/>
              <w:rPr>
                <w:rFonts w:ascii="Tahoma" w:hAnsi="Tahoma" w:cs="Tahoma"/>
                <w:b/>
                <w:sz w:val="14"/>
                <w:lang w:val="it-IT"/>
              </w:rPr>
            </w:pPr>
            <w:bookmarkStart w:id="459" w:name="_Toc336338087"/>
            <w:bookmarkStart w:id="460" w:name="_Toc352234685"/>
            <w:r w:rsidRPr="00451078">
              <w:rPr>
                <w:rFonts w:ascii="Tahoma" w:hAnsi="Tahoma" w:cs="Tahoma"/>
                <w:sz w:val="14"/>
                <w:lang w:val="it-IT"/>
              </w:rPr>
              <w:lastRenderedPageBreak/>
              <w:t>Licenza di Gestione Client (Client ML) per</w:t>
            </w:r>
            <w:r w:rsidR="00F57878" w:rsidRPr="00451078">
              <w:rPr>
                <w:rFonts w:ascii="Tahoma" w:hAnsi="Tahoma" w:cs="Tahoma"/>
                <w:sz w:val="14"/>
                <w:lang w:val="it-IT"/>
              </w:rPr>
              <w:t> </w:t>
            </w:r>
            <w:r w:rsidRPr="00451078">
              <w:rPr>
                <w:rFonts w:ascii="Tahoma" w:hAnsi="Tahoma" w:cs="Tahoma"/>
                <w:sz w:val="14"/>
                <w:lang w:val="it-IT"/>
              </w:rPr>
              <w:t>Utente per System Center Service Manager 2010</w:t>
            </w:r>
            <w:bookmarkEnd w:id="459"/>
            <w:bookmarkEnd w:id="460"/>
          </w:p>
        </w:tc>
        <w:tc>
          <w:tcPr>
            <w:tcW w:w="450" w:type="dxa"/>
            <w:tcBorders>
              <w:bottom w:val="single" w:sz="4" w:space="0" w:color="auto"/>
            </w:tcBorders>
            <w:shd w:val="clear" w:color="auto" w:fill="FABF8F"/>
          </w:tcPr>
          <w:p w:rsidR="001A63C6" w:rsidRPr="00451078" w:rsidRDefault="001A63C6" w:rsidP="001A63C6">
            <w:pPr>
              <w:pStyle w:val="TableText"/>
              <w:widowControl w:val="0"/>
              <w:rPr>
                <w:rStyle w:val="EndnoteReference"/>
                <w:sz w:val="13"/>
                <w:szCs w:val="13"/>
                <w:u w:val="single"/>
                <w:lang w:val="it-IT"/>
              </w:rPr>
            </w:pPr>
          </w:p>
        </w:tc>
        <w:tc>
          <w:tcPr>
            <w:tcW w:w="450" w:type="dxa"/>
            <w:tcBorders>
              <w:bottom w:val="single" w:sz="4" w:space="0" w:color="auto"/>
            </w:tcBorders>
            <w:shd w:val="clear" w:color="auto" w:fill="FABF8F"/>
          </w:tcPr>
          <w:p w:rsidR="001A63C6" w:rsidRPr="003410C7" w:rsidRDefault="001A63C6" w:rsidP="001A63C6">
            <w:pPr>
              <w:pStyle w:val="TableText"/>
              <w:widowControl w:val="0"/>
              <w:spacing w:before="120"/>
              <w:rPr>
                <w:rFonts w:ascii="Tahoma" w:hAnsi="Tahoma" w:cs="Tahoma"/>
                <w:sz w:val="13"/>
              </w:rPr>
            </w:pPr>
            <w:r w:rsidRPr="003410C7">
              <w:rPr>
                <w:rFonts w:ascii="Tahoma" w:hAnsi="Tahoma" w:cs="Tahoma"/>
                <w:sz w:val="13"/>
              </w:rPr>
              <w:t>04/10</w:t>
            </w:r>
          </w:p>
        </w:tc>
        <w:tc>
          <w:tcPr>
            <w:tcW w:w="360" w:type="dxa"/>
            <w:tcBorders>
              <w:bottom w:val="single" w:sz="4" w:space="0" w:color="auto"/>
              <w:right w:val="single" w:sz="18" w:space="0" w:color="auto"/>
            </w:tcBorders>
            <w:shd w:val="clear" w:color="auto" w:fill="FABF8F"/>
          </w:tcPr>
          <w:p w:rsidR="001A63C6" w:rsidRPr="003410C7" w:rsidRDefault="001A63C6" w:rsidP="001A63C6">
            <w:pPr>
              <w:pStyle w:val="TableText"/>
              <w:widowControl w:val="0"/>
              <w:spacing w:before="120"/>
              <w:rPr>
                <w:rFonts w:ascii="Tahoma" w:hAnsi="Tahoma" w:cs="Tahoma"/>
                <w:sz w:val="13"/>
              </w:rPr>
            </w:pPr>
            <w:r w:rsidRPr="003410C7">
              <w:rPr>
                <w:rFonts w:ascii="Tahoma" w:hAnsi="Tahoma" w:cs="Tahoma"/>
                <w:sz w:val="13"/>
              </w:rPr>
              <w:t>SRV</w:t>
            </w:r>
          </w:p>
        </w:tc>
        <w:tc>
          <w:tcPr>
            <w:tcW w:w="360" w:type="dxa"/>
            <w:tcBorders>
              <w:left w:val="single" w:sz="18" w:space="0" w:color="auto"/>
              <w:bottom w:val="single" w:sz="4" w:space="0" w:color="auto"/>
            </w:tcBorders>
            <w:shd w:val="clear" w:color="auto" w:fill="FABF8F"/>
            <w:vAlign w:val="center"/>
          </w:tcPr>
          <w:p w:rsidR="001A63C6" w:rsidRPr="003410C7" w:rsidRDefault="001A63C6" w:rsidP="001A63C6">
            <w:pPr>
              <w:pStyle w:val="TableText"/>
              <w:widowControl w:val="0"/>
              <w:spacing w:before="120"/>
              <w:rPr>
                <w:rFonts w:ascii="Tahoma" w:hAnsi="Tahoma" w:cs="Tahoma"/>
                <w:sz w:val="13"/>
              </w:rPr>
            </w:pPr>
          </w:p>
        </w:tc>
        <w:tc>
          <w:tcPr>
            <w:tcW w:w="450" w:type="dxa"/>
            <w:tcBorders>
              <w:bottom w:val="single" w:sz="4" w:space="0" w:color="auto"/>
            </w:tcBorders>
            <w:shd w:val="clear" w:color="auto" w:fill="FABF8F"/>
            <w:vAlign w:val="center"/>
          </w:tcPr>
          <w:p w:rsidR="001A63C6" w:rsidRPr="003410C7" w:rsidRDefault="001A63C6" w:rsidP="001A63C6">
            <w:pPr>
              <w:pStyle w:val="TableText"/>
              <w:widowControl w:val="0"/>
              <w:spacing w:before="120"/>
              <w:rPr>
                <w:rFonts w:ascii="Tahoma" w:hAnsi="Tahoma" w:cs="Tahoma"/>
                <w:sz w:val="13"/>
              </w:rPr>
            </w:pPr>
          </w:p>
        </w:tc>
        <w:tc>
          <w:tcPr>
            <w:tcW w:w="450" w:type="dxa"/>
            <w:tcBorders>
              <w:bottom w:val="single" w:sz="4" w:space="0" w:color="auto"/>
            </w:tcBorders>
            <w:shd w:val="clear" w:color="auto" w:fill="FABF8F"/>
            <w:vAlign w:val="center"/>
          </w:tcPr>
          <w:p w:rsidR="001A63C6" w:rsidRPr="003410C7" w:rsidRDefault="001A63C6" w:rsidP="001A63C6">
            <w:pPr>
              <w:pStyle w:val="TableText"/>
              <w:widowControl w:val="0"/>
              <w:spacing w:before="120"/>
              <w:rPr>
                <w:rFonts w:ascii="Tahoma" w:hAnsi="Tahoma" w:cs="Tahoma"/>
                <w:sz w:val="13"/>
              </w:rPr>
            </w:pPr>
          </w:p>
        </w:tc>
        <w:tc>
          <w:tcPr>
            <w:tcW w:w="450" w:type="dxa"/>
            <w:tcBorders>
              <w:bottom w:val="single" w:sz="4" w:space="0" w:color="auto"/>
            </w:tcBorders>
            <w:shd w:val="clear" w:color="auto" w:fill="FABF8F"/>
            <w:vAlign w:val="center"/>
          </w:tcPr>
          <w:p w:rsidR="001A63C6" w:rsidRPr="003410C7" w:rsidRDefault="001A63C6" w:rsidP="001A63C6">
            <w:pPr>
              <w:pStyle w:val="TableText"/>
              <w:widowControl w:val="0"/>
              <w:spacing w:before="120"/>
              <w:rPr>
                <w:rFonts w:ascii="Tahoma" w:hAnsi="Tahoma" w:cs="Tahoma"/>
                <w:sz w:val="13"/>
              </w:rPr>
            </w:pPr>
          </w:p>
        </w:tc>
        <w:tc>
          <w:tcPr>
            <w:tcW w:w="450" w:type="dxa"/>
            <w:tcBorders>
              <w:bottom w:val="single" w:sz="4" w:space="0" w:color="auto"/>
            </w:tcBorders>
            <w:shd w:val="clear" w:color="auto" w:fill="FABF8F"/>
            <w:vAlign w:val="center"/>
          </w:tcPr>
          <w:p w:rsidR="001A63C6" w:rsidRPr="003410C7" w:rsidRDefault="001A63C6" w:rsidP="001A63C6">
            <w:pPr>
              <w:pStyle w:val="TableText"/>
              <w:widowControl w:val="0"/>
              <w:spacing w:before="120"/>
              <w:rPr>
                <w:rFonts w:ascii="Tahoma" w:hAnsi="Tahoma" w:cs="Tahoma"/>
                <w:sz w:val="13"/>
              </w:rPr>
            </w:pPr>
          </w:p>
        </w:tc>
        <w:tc>
          <w:tcPr>
            <w:tcW w:w="450" w:type="dxa"/>
            <w:tcBorders>
              <w:bottom w:val="single" w:sz="4" w:space="0" w:color="auto"/>
            </w:tcBorders>
            <w:shd w:val="clear" w:color="auto" w:fill="FABF8F"/>
            <w:vAlign w:val="center"/>
          </w:tcPr>
          <w:p w:rsidR="001A63C6" w:rsidRPr="003410C7" w:rsidRDefault="001A63C6" w:rsidP="001A63C6">
            <w:pPr>
              <w:pStyle w:val="TableText"/>
              <w:widowControl w:val="0"/>
              <w:spacing w:before="12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rsidR="001A63C6" w:rsidRPr="003410C7" w:rsidRDefault="001A63C6" w:rsidP="001A63C6">
            <w:pPr>
              <w:pStyle w:val="TableText"/>
              <w:widowControl w:val="0"/>
              <w:spacing w:before="12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3410C7" w:rsidRDefault="001A63C6" w:rsidP="001A63C6">
            <w:pPr>
              <w:pStyle w:val="TableText"/>
              <w:widowControl w:val="0"/>
              <w:spacing w:before="120"/>
              <w:rPr>
                <w:rFonts w:ascii="Tahoma" w:hAnsi="Tahoma" w:cs="Tahoma"/>
                <w:sz w:val="13"/>
              </w:rPr>
            </w:pPr>
          </w:p>
        </w:tc>
        <w:tc>
          <w:tcPr>
            <w:tcW w:w="450" w:type="dxa"/>
            <w:tcBorders>
              <w:bottom w:val="single" w:sz="4" w:space="0" w:color="auto"/>
            </w:tcBorders>
            <w:shd w:val="clear" w:color="auto" w:fill="FABF8F"/>
            <w:vAlign w:val="center"/>
          </w:tcPr>
          <w:p w:rsidR="001A63C6" w:rsidRPr="003410C7" w:rsidRDefault="001A63C6" w:rsidP="001A63C6">
            <w:pPr>
              <w:pStyle w:val="TableText"/>
              <w:widowControl w:val="0"/>
              <w:spacing w:before="12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1A63C6" w:rsidRPr="003410C7" w:rsidRDefault="001A63C6" w:rsidP="001A63C6">
            <w:pPr>
              <w:pStyle w:val="TableText"/>
              <w:widowControl w:val="0"/>
              <w:spacing w:before="12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3410C7" w:rsidRDefault="001A63C6" w:rsidP="001A63C6">
            <w:pPr>
              <w:pStyle w:val="TableText"/>
              <w:widowControl w:val="0"/>
              <w:spacing w:before="120"/>
              <w:rPr>
                <w:rFonts w:ascii="Tahoma" w:hAnsi="Tahoma" w:cs="Tahoma"/>
                <w:sz w:val="13"/>
              </w:rPr>
            </w:pPr>
            <w:r w:rsidRPr="003410C7">
              <w:rPr>
                <w:rFonts w:ascii="Tahoma" w:hAnsi="Tahoma" w:cs="Tahoma"/>
                <w:sz w:val="13"/>
              </w:rPr>
              <w:t>1</w:t>
            </w:r>
          </w:p>
        </w:tc>
        <w:tc>
          <w:tcPr>
            <w:tcW w:w="450" w:type="dxa"/>
            <w:tcBorders>
              <w:bottom w:val="single" w:sz="4" w:space="0" w:color="auto"/>
              <w:right w:val="single" w:sz="18" w:space="0" w:color="auto"/>
            </w:tcBorders>
            <w:shd w:val="clear" w:color="auto" w:fill="FABF8F"/>
            <w:vAlign w:val="center"/>
          </w:tcPr>
          <w:p w:rsidR="001A63C6" w:rsidRPr="003410C7" w:rsidRDefault="001A63C6" w:rsidP="001A63C6">
            <w:pPr>
              <w:pStyle w:val="TableText"/>
              <w:widowControl w:val="0"/>
              <w:spacing w:before="12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3410C7" w:rsidRDefault="001A63C6" w:rsidP="001A63C6">
            <w:pPr>
              <w:pStyle w:val="TableText"/>
              <w:widowControl w:val="0"/>
              <w:spacing w:before="120"/>
            </w:pPr>
          </w:p>
          <w:p w:rsidR="001A63C6" w:rsidRPr="003410C7" w:rsidRDefault="001A63C6" w:rsidP="001A63C6">
            <w:pPr>
              <w:pStyle w:val="TableText"/>
              <w:widowControl w:val="0"/>
              <w:spacing w:before="120"/>
              <w:rPr>
                <w:rFonts w:ascii="Tahoma" w:hAnsi="Tahoma" w:cs="Tahoma"/>
                <w:sz w:val="13"/>
              </w:rPr>
            </w:pPr>
          </w:p>
        </w:tc>
        <w:tc>
          <w:tcPr>
            <w:tcW w:w="450" w:type="dxa"/>
            <w:tcBorders>
              <w:bottom w:val="single" w:sz="4" w:space="0" w:color="auto"/>
            </w:tcBorders>
            <w:shd w:val="clear" w:color="auto" w:fill="FABF8F"/>
          </w:tcPr>
          <w:p w:rsidR="001A63C6" w:rsidRPr="003410C7" w:rsidRDefault="001A63C6" w:rsidP="001A63C6">
            <w:pPr>
              <w:pStyle w:val="TableText"/>
              <w:widowControl w:val="0"/>
              <w:spacing w:before="120"/>
              <w:rPr>
                <w:rFonts w:ascii="Tahoma" w:hAnsi="Tahoma" w:cs="Tahoma"/>
                <w:sz w:val="13"/>
              </w:rPr>
            </w:pPr>
            <w:r w:rsidRPr="003410C7">
              <w:rPr>
                <w:rFonts w:ascii="Tahoma" w:hAnsi="Tahoma" w:cs="Tahoma"/>
                <w:sz w:val="13"/>
              </w:rPr>
              <w:t>AO, ST</w:t>
            </w:r>
          </w:p>
        </w:tc>
        <w:tc>
          <w:tcPr>
            <w:tcW w:w="540" w:type="dxa"/>
            <w:tcBorders>
              <w:bottom w:val="single" w:sz="4" w:space="0" w:color="auto"/>
            </w:tcBorders>
            <w:shd w:val="clear" w:color="auto" w:fill="FABF8F"/>
          </w:tcPr>
          <w:p w:rsidR="001A63C6" w:rsidRPr="003410C7" w:rsidRDefault="001A63C6" w:rsidP="001A63C6">
            <w:pPr>
              <w:pStyle w:val="TableText"/>
              <w:widowControl w:val="0"/>
              <w:rPr>
                <w:rFonts w:ascii="Tahoma" w:hAnsi="Tahoma" w:cs="Tahoma"/>
                <w:sz w:val="13"/>
              </w:rPr>
            </w:pPr>
          </w:p>
        </w:tc>
      </w:tr>
      <w:tr w:rsidR="00B33D0E" w:rsidRPr="003410C7" w:rsidTr="006B1F3F">
        <w:trPr>
          <w:trHeight w:val="145"/>
        </w:trPr>
        <w:tc>
          <w:tcPr>
            <w:tcW w:w="2734" w:type="dxa"/>
            <w:gridSpan w:val="2"/>
            <w:tcBorders>
              <w:bottom w:val="single" w:sz="4" w:space="0" w:color="auto"/>
            </w:tcBorders>
            <w:shd w:val="clear" w:color="auto" w:fill="auto"/>
          </w:tcPr>
          <w:p w:rsidR="001A63C6" w:rsidRPr="00451078" w:rsidRDefault="001A63C6" w:rsidP="00F57878">
            <w:pPr>
              <w:pStyle w:val="Heading3"/>
              <w:spacing w:beforeLines="20" w:before="48" w:afterLines="20" w:after="48"/>
              <w:rPr>
                <w:rFonts w:ascii="Tahoma" w:hAnsi="Tahoma" w:cs="Tahoma"/>
                <w:b w:val="0"/>
                <w:sz w:val="14"/>
                <w:szCs w:val="16"/>
                <w:lang w:val="it-IT"/>
              </w:rPr>
            </w:pPr>
            <w:bookmarkStart w:id="461" w:name="_Toc336338088"/>
            <w:bookmarkStart w:id="462" w:name="_Toc352234686"/>
            <w:r w:rsidRPr="00451078">
              <w:rPr>
                <w:rFonts w:ascii="Tahoma" w:hAnsi="Tahoma" w:cs="Tahoma"/>
                <w:b w:val="0"/>
                <w:sz w:val="14"/>
                <w:szCs w:val="16"/>
                <w:lang w:val="it-IT"/>
              </w:rPr>
              <w:t>Licenza di Gestione Server (Server ML) per</w:t>
            </w:r>
            <w:r w:rsidR="00F57878" w:rsidRPr="00451078">
              <w:rPr>
                <w:rFonts w:ascii="Tahoma" w:hAnsi="Tahoma" w:cs="Tahoma"/>
                <w:b w:val="0"/>
                <w:sz w:val="14"/>
                <w:szCs w:val="16"/>
                <w:lang w:val="it-IT"/>
              </w:rPr>
              <w:t> </w:t>
            </w:r>
            <w:r w:rsidRPr="00451078">
              <w:rPr>
                <w:rFonts w:ascii="Tahoma" w:hAnsi="Tahoma" w:cs="Tahoma"/>
                <w:b w:val="0"/>
                <w:sz w:val="14"/>
                <w:szCs w:val="16"/>
                <w:lang w:val="it-IT"/>
              </w:rPr>
              <w:t>OSE per System Center Service Manager 2010</w:t>
            </w:r>
            <w:bookmarkEnd w:id="461"/>
            <w:bookmarkEnd w:id="462"/>
          </w:p>
        </w:tc>
        <w:tc>
          <w:tcPr>
            <w:tcW w:w="450" w:type="dxa"/>
            <w:tcBorders>
              <w:bottom w:val="single" w:sz="4" w:space="0" w:color="auto"/>
            </w:tcBorders>
            <w:shd w:val="clear" w:color="auto" w:fill="auto"/>
          </w:tcPr>
          <w:p w:rsidR="001A63C6" w:rsidRPr="00451078" w:rsidRDefault="001A63C6" w:rsidP="001A63C6">
            <w:pPr>
              <w:pStyle w:val="TableText"/>
              <w:widowControl w:val="0"/>
              <w:spacing w:before="20" w:after="20"/>
              <w:rPr>
                <w:rStyle w:val="EndnoteReference"/>
                <w:sz w:val="13"/>
                <w:szCs w:val="13"/>
                <w:u w:val="single"/>
                <w:lang w:val="it-IT"/>
              </w:rPr>
            </w:pPr>
          </w:p>
        </w:tc>
        <w:tc>
          <w:tcPr>
            <w:tcW w:w="450" w:type="dxa"/>
            <w:tcBorders>
              <w:bottom w:val="single" w:sz="4" w:space="0" w:color="auto"/>
            </w:tcBorders>
            <w:shd w:val="clear" w:color="auto" w:fill="auto"/>
          </w:tcPr>
          <w:p w:rsidR="001A63C6" w:rsidRPr="003410C7" w:rsidRDefault="001A63C6" w:rsidP="001A63C6">
            <w:pPr>
              <w:pStyle w:val="TableText"/>
              <w:widowControl w:val="0"/>
              <w:spacing w:before="20" w:after="20"/>
              <w:rPr>
                <w:rFonts w:ascii="Tahoma" w:hAnsi="Tahoma" w:cs="Tahoma"/>
                <w:sz w:val="13"/>
              </w:rPr>
            </w:pPr>
            <w:r w:rsidRPr="003410C7">
              <w:rPr>
                <w:rFonts w:ascii="Tahoma" w:hAnsi="Tahoma" w:cs="Tahoma"/>
                <w:sz w:val="13"/>
              </w:rPr>
              <w:t>04/10</w:t>
            </w:r>
          </w:p>
        </w:tc>
        <w:tc>
          <w:tcPr>
            <w:tcW w:w="360" w:type="dxa"/>
            <w:tcBorders>
              <w:bottom w:val="single" w:sz="4" w:space="0" w:color="auto"/>
              <w:right w:val="single" w:sz="18" w:space="0" w:color="auto"/>
            </w:tcBorders>
            <w:shd w:val="clear" w:color="auto" w:fill="auto"/>
          </w:tcPr>
          <w:p w:rsidR="001A63C6" w:rsidRPr="003410C7" w:rsidRDefault="001A63C6" w:rsidP="001A63C6">
            <w:pPr>
              <w:pStyle w:val="TableText"/>
              <w:widowControl w:val="0"/>
              <w:spacing w:before="20" w:after="20"/>
              <w:rPr>
                <w:rFonts w:ascii="Tahoma" w:hAnsi="Tahoma" w:cs="Tahoma"/>
                <w:sz w:val="13"/>
              </w:rPr>
            </w:pPr>
            <w:r w:rsidRPr="003410C7">
              <w:rPr>
                <w:rFonts w:ascii="Tahoma" w:hAnsi="Tahoma" w:cs="Tahoma"/>
                <w:sz w:val="13"/>
              </w:rPr>
              <w:t>SRV</w:t>
            </w:r>
          </w:p>
        </w:tc>
        <w:tc>
          <w:tcPr>
            <w:tcW w:w="360" w:type="dxa"/>
            <w:tcBorders>
              <w:left w:val="single" w:sz="18" w:space="0" w:color="auto"/>
              <w:bottom w:val="single" w:sz="4" w:space="0" w:color="auto"/>
            </w:tcBorders>
            <w:shd w:val="clear" w:color="auto" w:fill="auto"/>
            <w:vAlign w:val="center"/>
          </w:tcPr>
          <w:p w:rsidR="001A63C6" w:rsidRPr="003410C7" w:rsidRDefault="001A63C6" w:rsidP="001A63C6">
            <w:pPr>
              <w:pStyle w:val="TableText"/>
              <w:widowControl w:val="0"/>
              <w:spacing w:before="20" w:after="20"/>
              <w:rPr>
                <w:rFonts w:ascii="Tahoma" w:hAnsi="Tahoma" w:cs="Tahoma"/>
                <w:sz w:val="13"/>
              </w:rPr>
            </w:pPr>
          </w:p>
        </w:tc>
        <w:tc>
          <w:tcPr>
            <w:tcW w:w="450" w:type="dxa"/>
            <w:tcBorders>
              <w:bottom w:val="single" w:sz="4" w:space="0" w:color="auto"/>
            </w:tcBorders>
            <w:shd w:val="clear" w:color="auto" w:fill="auto"/>
            <w:vAlign w:val="center"/>
          </w:tcPr>
          <w:p w:rsidR="001A63C6" w:rsidRPr="003410C7" w:rsidRDefault="001A63C6" w:rsidP="001A63C6">
            <w:pPr>
              <w:pStyle w:val="TableText"/>
              <w:widowControl w:val="0"/>
              <w:spacing w:before="20" w:after="20"/>
              <w:rPr>
                <w:rFonts w:ascii="Tahoma" w:hAnsi="Tahoma" w:cs="Tahoma"/>
                <w:sz w:val="13"/>
              </w:rPr>
            </w:pPr>
          </w:p>
        </w:tc>
        <w:tc>
          <w:tcPr>
            <w:tcW w:w="450" w:type="dxa"/>
            <w:tcBorders>
              <w:bottom w:val="single" w:sz="4" w:space="0" w:color="auto"/>
            </w:tcBorders>
            <w:shd w:val="clear" w:color="auto" w:fill="auto"/>
            <w:vAlign w:val="center"/>
          </w:tcPr>
          <w:p w:rsidR="001A63C6" w:rsidRPr="003410C7" w:rsidRDefault="001A63C6" w:rsidP="001A63C6">
            <w:pPr>
              <w:pStyle w:val="TableText"/>
              <w:widowControl w:val="0"/>
              <w:spacing w:before="20" w:after="20"/>
              <w:rPr>
                <w:rFonts w:ascii="Tahoma" w:hAnsi="Tahoma" w:cs="Tahoma"/>
                <w:sz w:val="13"/>
              </w:rPr>
            </w:pPr>
          </w:p>
        </w:tc>
        <w:tc>
          <w:tcPr>
            <w:tcW w:w="450" w:type="dxa"/>
            <w:tcBorders>
              <w:bottom w:val="single" w:sz="4" w:space="0" w:color="auto"/>
            </w:tcBorders>
            <w:shd w:val="clear" w:color="auto" w:fill="auto"/>
            <w:vAlign w:val="center"/>
          </w:tcPr>
          <w:p w:rsidR="001A63C6" w:rsidRPr="003410C7" w:rsidRDefault="001A63C6" w:rsidP="001A63C6">
            <w:pPr>
              <w:pStyle w:val="TableText"/>
              <w:widowControl w:val="0"/>
              <w:spacing w:before="20" w:after="20"/>
              <w:rPr>
                <w:rFonts w:ascii="Tahoma" w:hAnsi="Tahoma" w:cs="Tahoma"/>
                <w:sz w:val="13"/>
              </w:rPr>
            </w:pPr>
          </w:p>
        </w:tc>
        <w:tc>
          <w:tcPr>
            <w:tcW w:w="450" w:type="dxa"/>
            <w:tcBorders>
              <w:bottom w:val="single" w:sz="4" w:space="0" w:color="auto"/>
            </w:tcBorders>
            <w:shd w:val="clear" w:color="auto" w:fill="auto"/>
            <w:vAlign w:val="center"/>
          </w:tcPr>
          <w:p w:rsidR="001A63C6" w:rsidRPr="003410C7" w:rsidRDefault="001A63C6" w:rsidP="001A63C6">
            <w:pPr>
              <w:pStyle w:val="TableText"/>
              <w:widowControl w:val="0"/>
              <w:spacing w:before="20" w:after="20"/>
              <w:rPr>
                <w:rFonts w:ascii="Tahoma" w:hAnsi="Tahoma" w:cs="Tahoma"/>
                <w:sz w:val="13"/>
              </w:rPr>
            </w:pPr>
          </w:p>
        </w:tc>
        <w:tc>
          <w:tcPr>
            <w:tcW w:w="450" w:type="dxa"/>
            <w:tcBorders>
              <w:bottom w:val="single" w:sz="4" w:space="0" w:color="auto"/>
            </w:tcBorders>
            <w:shd w:val="clear" w:color="auto" w:fill="auto"/>
            <w:vAlign w:val="center"/>
          </w:tcPr>
          <w:p w:rsidR="001A63C6" w:rsidRPr="003410C7" w:rsidRDefault="001A63C6" w:rsidP="001A63C6">
            <w:pPr>
              <w:pStyle w:val="TableText"/>
              <w:widowControl w:val="0"/>
              <w:spacing w:before="20" w:after="20"/>
              <w:rPr>
                <w:rFonts w:ascii="Tahoma" w:hAnsi="Tahoma" w:cs="Tahoma"/>
                <w:sz w:val="13"/>
              </w:rPr>
            </w:pPr>
          </w:p>
        </w:tc>
        <w:tc>
          <w:tcPr>
            <w:tcW w:w="360" w:type="dxa"/>
            <w:tcBorders>
              <w:bottom w:val="single" w:sz="4" w:space="0" w:color="auto"/>
              <w:right w:val="single" w:sz="18" w:space="0" w:color="auto"/>
            </w:tcBorders>
            <w:shd w:val="clear" w:color="auto" w:fill="auto"/>
            <w:vAlign w:val="center"/>
          </w:tcPr>
          <w:p w:rsidR="001A63C6" w:rsidRPr="003410C7" w:rsidRDefault="001A63C6" w:rsidP="001A63C6">
            <w:pPr>
              <w:pStyle w:val="TableText"/>
              <w:widowControl w:val="0"/>
              <w:spacing w:before="20" w:after="2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1A63C6" w:rsidRPr="003410C7" w:rsidRDefault="001A63C6" w:rsidP="001A63C6">
            <w:pPr>
              <w:pStyle w:val="TableText"/>
              <w:widowControl w:val="0"/>
              <w:spacing w:before="20" w:after="20"/>
              <w:rPr>
                <w:rFonts w:ascii="Tahoma" w:hAnsi="Tahoma" w:cs="Tahoma"/>
                <w:sz w:val="13"/>
              </w:rPr>
            </w:pPr>
          </w:p>
        </w:tc>
        <w:tc>
          <w:tcPr>
            <w:tcW w:w="450" w:type="dxa"/>
            <w:tcBorders>
              <w:bottom w:val="single" w:sz="4" w:space="0" w:color="auto"/>
            </w:tcBorders>
            <w:shd w:val="clear" w:color="auto" w:fill="auto"/>
            <w:vAlign w:val="center"/>
          </w:tcPr>
          <w:p w:rsidR="001A63C6" w:rsidRPr="003410C7" w:rsidRDefault="001A63C6" w:rsidP="001A63C6">
            <w:pPr>
              <w:pStyle w:val="TableText"/>
              <w:widowControl w:val="0"/>
              <w:spacing w:before="20" w:after="2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1A63C6" w:rsidRPr="003410C7" w:rsidRDefault="001A63C6" w:rsidP="001A63C6">
            <w:pPr>
              <w:pStyle w:val="TableText"/>
              <w:widowControl w:val="0"/>
              <w:spacing w:before="20" w:after="2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1A63C6" w:rsidRPr="003410C7" w:rsidRDefault="001A63C6" w:rsidP="001A63C6">
            <w:pPr>
              <w:pStyle w:val="TableText"/>
              <w:widowControl w:val="0"/>
              <w:spacing w:before="20" w:after="20"/>
              <w:rPr>
                <w:rFonts w:ascii="Tahoma" w:hAnsi="Tahoma" w:cs="Tahoma"/>
                <w:sz w:val="13"/>
              </w:rPr>
            </w:pPr>
            <w:r w:rsidRPr="003410C7">
              <w:rPr>
                <w:rFonts w:ascii="Tahoma" w:hAnsi="Tahoma" w:cs="Tahoma"/>
                <w:sz w:val="13"/>
              </w:rPr>
              <w:t>1</w:t>
            </w:r>
          </w:p>
        </w:tc>
        <w:tc>
          <w:tcPr>
            <w:tcW w:w="450" w:type="dxa"/>
            <w:tcBorders>
              <w:bottom w:val="single" w:sz="4" w:space="0" w:color="auto"/>
              <w:right w:val="single" w:sz="18" w:space="0" w:color="auto"/>
            </w:tcBorders>
            <w:shd w:val="clear" w:color="auto" w:fill="auto"/>
            <w:vAlign w:val="center"/>
          </w:tcPr>
          <w:p w:rsidR="001A63C6" w:rsidRPr="003410C7" w:rsidRDefault="001A63C6" w:rsidP="001A63C6">
            <w:pPr>
              <w:pStyle w:val="TableText"/>
              <w:widowControl w:val="0"/>
              <w:spacing w:before="20" w:after="2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rsidR="001A63C6" w:rsidRPr="003410C7" w:rsidRDefault="001A63C6" w:rsidP="001A63C6">
            <w:pPr>
              <w:pStyle w:val="TableText"/>
              <w:widowControl w:val="0"/>
              <w:spacing w:before="20" w:after="20"/>
            </w:pPr>
          </w:p>
          <w:p w:rsidR="001A63C6" w:rsidRPr="003410C7" w:rsidRDefault="001A63C6" w:rsidP="001A63C6">
            <w:pPr>
              <w:pStyle w:val="TableText"/>
              <w:widowControl w:val="0"/>
              <w:spacing w:before="20" w:after="20"/>
              <w:rPr>
                <w:rFonts w:ascii="Tahoma" w:hAnsi="Tahoma" w:cs="Tahoma"/>
                <w:sz w:val="13"/>
              </w:rPr>
            </w:pPr>
          </w:p>
        </w:tc>
        <w:tc>
          <w:tcPr>
            <w:tcW w:w="450" w:type="dxa"/>
            <w:tcBorders>
              <w:bottom w:val="single" w:sz="4" w:space="0" w:color="auto"/>
            </w:tcBorders>
            <w:shd w:val="clear" w:color="auto" w:fill="auto"/>
            <w:vAlign w:val="center"/>
          </w:tcPr>
          <w:p w:rsidR="001A63C6" w:rsidRPr="003410C7" w:rsidRDefault="001A63C6" w:rsidP="001A63C6">
            <w:pPr>
              <w:pStyle w:val="TableText"/>
              <w:widowControl w:val="0"/>
              <w:spacing w:before="20" w:after="20"/>
              <w:rPr>
                <w:rFonts w:ascii="Tahoma" w:hAnsi="Tahoma" w:cs="Tahoma"/>
                <w:sz w:val="13"/>
              </w:rPr>
            </w:pPr>
            <w:r w:rsidRPr="003410C7">
              <w:rPr>
                <w:rFonts w:ascii="Tahoma" w:hAnsi="Tahoma" w:cs="Tahoma"/>
                <w:sz w:val="13"/>
              </w:rPr>
              <w:t>A, ST</w:t>
            </w:r>
          </w:p>
        </w:tc>
        <w:tc>
          <w:tcPr>
            <w:tcW w:w="540" w:type="dxa"/>
            <w:tcBorders>
              <w:bottom w:val="single" w:sz="4" w:space="0" w:color="auto"/>
            </w:tcBorders>
            <w:shd w:val="clear" w:color="auto" w:fill="auto"/>
          </w:tcPr>
          <w:p w:rsidR="001A63C6" w:rsidRPr="003410C7" w:rsidRDefault="001A63C6" w:rsidP="001A63C6">
            <w:pPr>
              <w:pStyle w:val="TableText"/>
              <w:widowControl w:val="0"/>
              <w:spacing w:before="20" w:after="20"/>
              <w:rPr>
                <w:rFonts w:ascii="Tahoma" w:hAnsi="Tahoma" w:cs="Tahoma"/>
                <w:sz w:val="13"/>
              </w:rPr>
            </w:pPr>
          </w:p>
        </w:tc>
      </w:tr>
      <w:tr w:rsidR="006864A1" w:rsidRPr="003410C7" w:rsidTr="006B1F3F">
        <w:tblPrEx>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tblCellMar>
            <w:left w:w="8" w:type="dxa"/>
            <w:right w:w="8" w:type="dxa"/>
          </w:tblCellMar>
        </w:tblPrEx>
        <w:trPr>
          <w:trHeight w:val="42"/>
        </w:trPr>
        <w:tc>
          <w:tcPr>
            <w:tcW w:w="2734" w:type="dxa"/>
            <w:gridSpan w:val="2"/>
            <w:tcBorders>
              <w:bottom w:val="single" w:sz="2" w:space="0" w:color="auto"/>
            </w:tcBorders>
            <w:shd w:val="clear" w:color="auto" w:fill="FABF8F"/>
          </w:tcPr>
          <w:p w:rsidR="001A63C6" w:rsidRPr="00451078" w:rsidRDefault="001A63C6" w:rsidP="00F57878">
            <w:pPr>
              <w:pStyle w:val="Heading2"/>
              <w:spacing w:beforeLines="20" w:before="48" w:afterLines="20" w:after="48"/>
              <w:ind w:left="0"/>
              <w:rPr>
                <w:rFonts w:ascii="Tahoma" w:hAnsi="Tahoma" w:cs="Tahoma"/>
                <w:b w:val="0"/>
                <w:sz w:val="14"/>
                <w:szCs w:val="14"/>
                <w:lang w:val="it-IT"/>
              </w:rPr>
            </w:pPr>
            <w:bookmarkStart w:id="463" w:name="_Toc336338089"/>
            <w:bookmarkStart w:id="464" w:name="_Toc352234687"/>
            <w:r w:rsidRPr="00451078">
              <w:rPr>
                <w:rFonts w:ascii="Tahoma" w:hAnsi="Tahoma" w:cs="Tahoma"/>
                <w:b w:val="0"/>
                <w:sz w:val="14"/>
                <w:szCs w:val="14"/>
                <w:lang w:val="it-IT"/>
              </w:rPr>
              <w:t>Licenza di Gestione Client per OSE per</w:t>
            </w:r>
            <w:r w:rsidR="00F57878" w:rsidRPr="00451078">
              <w:rPr>
                <w:rFonts w:ascii="Tahoma" w:hAnsi="Tahoma" w:cs="Tahoma"/>
                <w:b w:val="0"/>
                <w:sz w:val="14"/>
                <w:szCs w:val="14"/>
                <w:lang w:val="it-IT"/>
              </w:rPr>
              <w:t> </w:t>
            </w:r>
            <w:r w:rsidRPr="00451078">
              <w:rPr>
                <w:rFonts w:ascii="Tahoma" w:hAnsi="Tahoma" w:cs="Tahoma"/>
                <w:b w:val="0"/>
                <w:sz w:val="14"/>
                <w:szCs w:val="14"/>
                <w:lang w:val="it-IT"/>
              </w:rPr>
              <w:t>System Center Virtual Machine Manager</w:t>
            </w:r>
            <w:r w:rsidR="00F57878" w:rsidRPr="00451078">
              <w:rPr>
                <w:rFonts w:ascii="Tahoma" w:hAnsi="Tahoma" w:cs="Tahoma"/>
                <w:b w:val="0"/>
                <w:sz w:val="14"/>
                <w:szCs w:val="14"/>
                <w:lang w:val="it-IT"/>
              </w:rPr>
              <w:t> </w:t>
            </w:r>
            <w:r w:rsidRPr="00451078">
              <w:rPr>
                <w:rFonts w:ascii="Tahoma" w:hAnsi="Tahoma" w:cs="Tahoma"/>
                <w:b w:val="0"/>
                <w:sz w:val="14"/>
                <w:szCs w:val="14"/>
                <w:lang w:val="it-IT"/>
              </w:rPr>
              <w:t>2008 R2</w:t>
            </w:r>
            <w:bookmarkEnd w:id="463"/>
            <w:bookmarkEnd w:id="464"/>
          </w:p>
        </w:tc>
        <w:tc>
          <w:tcPr>
            <w:tcW w:w="450" w:type="dxa"/>
            <w:tcBorders>
              <w:bottom w:val="single" w:sz="2" w:space="0" w:color="auto"/>
            </w:tcBorders>
            <w:shd w:val="clear" w:color="auto" w:fill="FABF8F"/>
            <w:vAlign w:val="center"/>
          </w:tcPr>
          <w:p w:rsidR="001A63C6" w:rsidRPr="009F17FF" w:rsidRDefault="00FC1A4D" w:rsidP="005C06BC">
            <w:pPr>
              <w:pStyle w:val="TableText"/>
              <w:widowControl w:val="0"/>
              <w:spacing w:before="60"/>
              <w:rPr>
                <w:rStyle w:val="EndnoteReference"/>
                <w:rFonts w:cs="Tahoma"/>
                <w:color w:val="0000FF"/>
                <w:sz w:val="13"/>
                <w:szCs w:val="13"/>
                <w:u w:val="single"/>
              </w:rPr>
            </w:pPr>
            <w:hyperlink w:anchor="_88_System_Center" w:history="1">
              <w:r w:rsidR="000D77F6" w:rsidRPr="009F17FF">
                <w:rPr>
                  <w:rStyle w:val="Hyperlink"/>
                  <w:rFonts w:cs="Tahoma"/>
                  <w:sz w:val="13"/>
                  <w:szCs w:val="13"/>
                </w:rPr>
                <w:t>88</w:t>
              </w:r>
            </w:hyperlink>
          </w:p>
        </w:tc>
        <w:tc>
          <w:tcPr>
            <w:tcW w:w="450" w:type="dxa"/>
            <w:tcBorders>
              <w:bottom w:val="single" w:sz="2" w:space="0" w:color="auto"/>
            </w:tcBorders>
            <w:shd w:val="clear" w:color="auto" w:fill="FABF8F"/>
          </w:tcPr>
          <w:p w:rsidR="001A63C6" w:rsidRPr="003410C7" w:rsidRDefault="001A63C6" w:rsidP="001A63C6">
            <w:pPr>
              <w:pStyle w:val="TableText"/>
              <w:widowControl w:val="0"/>
              <w:spacing w:before="120"/>
              <w:rPr>
                <w:rFonts w:ascii="Tahoma" w:hAnsi="Tahoma" w:cs="Tahoma"/>
                <w:sz w:val="13"/>
                <w:szCs w:val="13"/>
              </w:rPr>
            </w:pPr>
            <w:r w:rsidRPr="003410C7">
              <w:rPr>
                <w:rFonts w:ascii="Tahoma" w:hAnsi="Tahoma" w:cs="Tahoma"/>
                <w:sz w:val="13"/>
                <w:szCs w:val="13"/>
              </w:rPr>
              <w:t>11/09</w:t>
            </w:r>
          </w:p>
        </w:tc>
        <w:tc>
          <w:tcPr>
            <w:tcW w:w="360" w:type="dxa"/>
            <w:tcBorders>
              <w:bottom w:val="single" w:sz="2" w:space="0" w:color="auto"/>
              <w:right w:val="single" w:sz="5" w:space="0" w:color="auto"/>
            </w:tcBorders>
            <w:shd w:val="clear" w:color="auto" w:fill="FABF8F"/>
          </w:tcPr>
          <w:p w:rsidR="001A63C6" w:rsidRPr="003410C7" w:rsidRDefault="001A63C6" w:rsidP="001A63C6">
            <w:pPr>
              <w:pStyle w:val="TableText"/>
              <w:widowControl w:val="0"/>
              <w:spacing w:before="120"/>
              <w:rPr>
                <w:rFonts w:ascii="Tahoma" w:hAnsi="Tahoma" w:cs="Tahoma"/>
                <w:sz w:val="14"/>
                <w:szCs w:val="14"/>
              </w:rPr>
            </w:pPr>
            <w:r w:rsidRPr="003410C7">
              <w:rPr>
                <w:rFonts w:ascii="Tahoma" w:hAnsi="Tahoma" w:cs="Tahoma"/>
                <w:sz w:val="14"/>
                <w:szCs w:val="14"/>
              </w:rPr>
              <w:t>SRV</w:t>
            </w:r>
          </w:p>
        </w:tc>
        <w:tc>
          <w:tcPr>
            <w:tcW w:w="360" w:type="dxa"/>
            <w:tcBorders>
              <w:left w:val="single" w:sz="5" w:space="0" w:color="auto"/>
              <w:bottom w:val="single" w:sz="2" w:space="0" w:color="auto"/>
            </w:tcBorders>
            <w:shd w:val="clear" w:color="auto" w:fill="FABF8F"/>
          </w:tcPr>
          <w:p w:rsidR="001A63C6" w:rsidRPr="003410C7" w:rsidRDefault="001A63C6" w:rsidP="001A63C6">
            <w:pPr>
              <w:pStyle w:val="TableText"/>
              <w:widowControl w:val="0"/>
              <w:spacing w:before="120"/>
              <w:rPr>
                <w:rFonts w:ascii="Tahoma" w:hAnsi="Tahoma" w:cs="Tahoma"/>
                <w:sz w:val="14"/>
                <w:szCs w:val="14"/>
              </w:rPr>
            </w:pPr>
          </w:p>
        </w:tc>
        <w:tc>
          <w:tcPr>
            <w:tcW w:w="450" w:type="dxa"/>
            <w:tcBorders>
              <w:bottom w:val="single" w:sz="2" w:space="0" w:color="auto"/>
            </w:tcBorders>
            <w:shd w:val="clear" w:color="auto" w:fill="FABF8F"/>
          </w:tcPr>
          <w:p w:rsidR="001A63C6" w:rsidRPr="003410C7" w:rsidRDefault="001A63C6" w:rsidP="001A63C6">
            <w:pPr>
              <w:pStyle w:val="TableText"/>
              <w:widowControl w:val="0"/>
              <w:spacing w:before="120"/>
              <w:rPr>
                <w:rFonts w:ascii="Tahoma" w:hAnsi="Tahoma" w:cs="Tahoma"/>
                <w:sz w:val="14"/>
                <w:szCs w:val="14"/>
              </w:rPr>
            </w:pPr>
          </w:p>
        </w:tc>
        <w:tc>
          <w:tcPr>
            <w:tcW w:w="450" w:type="dxa"/>
            <w:tcBorders>
              <w:bottom w:val="single" w:sz="2" w:space="0" w:color="auto"/>
            </w:tcBorders>
            <w:shd w:val="clear" w:color="auto" w:fill="FABF8F"/>
          </w:tcPr>
          <w:p w:rsidR="001A63C6" w:rsidRPr="003410C7" w:rsidRDefault="001A63C6" w:rsidP="001A63C6">
            <w:pPr>
              <w:pStyle w:val="TableText"/>
              <w:widowControl w:val="0"/>
              <w:spacing w:before="120"/>
              <w:rPr>
                <w:rFonts w:ascii="Tahoma" w:hAnsi="Tahoma" w:cs="Tahoma"/>
                <w:sz w:val="14"/>
                <w:szCs w:val="14"/>
              </w:rPr>
            </w:pPr>
          </w:p>
        </w:tc>
        <w:tc>
          <w:tcPr>
            <w:tcW w:w="450" w:type="dxa"/>
            <w:tcBorders>
              <w:bottom w:val="single" w:sz="2" w:space="0" w:color="auto"/>
            </w:tcBorders>
            <w:shd w:val="clear" w:color="auto" w:fill="FABF8F"/>
          </w:tcPr>
          <w:p w:rsidR="001A63C6" w:rsidRPr="003410C7" w:rsidRDefault="001A63C6" w:rsidP="001A63C6">
            <w:pPr>
              <w:pStyle w:val="TableText"/>
              <w:widowControl w:val="0"/>
              <w:spacing w:before="120"/>
              <w:rPr>
                <w:rFonts w:ascii="Tahoma" w:hAnsi="Tahoma" w:cs="Tahoma"/>
                <w:sz w:val="14"/>
                <w:szCs w:val="14"/>
              </w:rPr>
            </w:pPr>
          </w:p>
        </w:tc>
        <w:tc>
          <w:tcPr>
            <w:tcW w:w="450" w:type="dxa"/>
            <w:tcBorders>
              <w:bottom w:val="single" w:sz="2" w:space="0" w:color="auto"/>
            </w:tcBorders>
            <w:shd w:val="clear" w:color="auto" w:fill="FABF8F"/>
          </w:tcPr>
          <w:p w:rsidR="001A63C6" w:rsidRPr="003410C7" w:rsidRDefault="001A63C6" w:rsidP="001A63C6">
            <w:pPr>
              <w:pStyle w:val="TableText"/>
              <w:widowControl w:val="0"/>
              <w:spacing w:before="120"/>
              <w:rPr>
                <w:rFonts w:ascii="Tahoma" w:hAnsi="Tahoma" w:cs="Tahoma"/>
                <w:sz w:val="14"/>
                <w:szCs w:val="14"/>
              </w:rPr>
            </w:pPr>
          </w:p>
        </w:tc>
        <w:tc>
          <w:tcPr>
            <w:tcW w:w="450" w:type="dxa"/>
            <w:tcBorders>
              <w:bottom w:val="single" w:sz="2" w:space="0" w:color="auto"/>
            </w:tcBorders>
            <w:shd w:val="clear" w:color="auto" w:fill="FABF8F"/>
          </w:tcPr>
          <w:p w:rsidR="001A63C6" w:rsidRPr="003410C7" w:rsidRDefault="001A63C6" w:rsidP="001A63C6">
            <w:pPr>
              <w:pStyle w:val="TableText"/>
              <w:widowControl w:val="0"/>
              <w:spacing w:before="120"/>
              <w:rPr>
                <w:rFonts w:ascii="Tahoma" w:hAnsi="Tahoma" w:cs="Tahoma"/>
                <w:sz w:val="14"/>
                <w:szCs w:val="14"/>
              </w:rPr>
            </w:pPr>
          </w:p>
        </w:tc>
        <w:tc>
          <w:tcPr>
            <w:tcW w:w="360" w:type="dxa"/>
            <w:tcBorders>
              <w:bottom w:val="single" w:sz="2" w:space="0" w:color="auto"/>
              <w:right w:val="single" w:sz="5" w:space="0" w:color="auto"/>
            </w:tcBorders>
            <w:shd w:val="clear" w:color="auto" w:fill="FABF8F"/>
          </w:tcPr>
          <w:p w:rsidR="001A63C6" w:rsidRPr="003410C7" w:rsidRDefault="001A63C6" w:rsidP="001A63C6">
            <w:pPr>
              <w:pStyle w:val="TableText"/>
              <w:widowControl w:val="0"/>
              <w:spacing w:before="120"/>
              <w:rPr>
                <w:rFonts w:ascii="Tahoma" w:hAnsi="Tahoma" w:cs="Tahoma"/>
                <w:sz w:val="14"/>
                <w:szCs w:val="14"/>
              </w:rPr>
            </w:pPr>
          </w:p>
        </w:tc>
        <w:tc>
          <w:tcPr>
            <w:tcW w:w="450" w:type="dxa"/>
            <w:tcBorders>
              <w:left w:val="single" w:sz="5" w:space="0" w:color="auto"/>
              <w:bottom w:val="single" w:sz="2" w:space="0" w:color="auto"/>
            </w:tcBorders>
            <w:shd w:val="clear" w:color="auto" w:fill="FABF8F"/>
          </w:tcPr>
          <w:p w:rsidR="001A63C6" w:rsidRPr="003410C7" w:rsidRDefault="001A63C6" w:rsidP="001A63C6">
            <w:pPr>
              <w:pStyle w:val="TableText"/>
              <w:widowControl w:val="0"/>
              <w:spacing w:before="120"/>
              <w:rPr>
                <w:rFonts w:ascii="Tahoma" w:hAnsi="Tahoma" w:cs="Tahoma"/>
                <w:sz w:val="14"/>
                <w:szCs w:val="14"/>
              </w:rPr>
            </w:pPr>
          </w:p>
        </w:tc>
        <w:tc>
          <w:tcPr>
            <w:tcW w:w="450" w:type="dxa"/>
            <w:tcBorders>
              <w:bottom w:val="single" w:sz="2" w:space="0" w:color="auto"/>
            </w:tcBorders>
            <w:shd w:val="clear" w:color="auto" w:fill="FABF8F"/>
          </w:tcPr>
          <w:p w:rsidR="001A63C6" w:rsidRPr="003410C7" w:rsidRDefault="001A63C6" w:rsidP="001A63C6">
            <w:pPr>
              <w:pStyle w:val="TableText"/>
              <w:widowControl w:val="0"/>
              <w:spacing w:before="120"/>
              <w:rPr>
                <w:rFonts w:ascii="Tahoma" w:hAnsi="Tahoma" w:cs="Tahoma"/>
                <w:sz w:val="14"/>
                <w:szCs w:val="14"/>
              </w:rPr>
            </w:pPr>
          </w:p>
        </w:tc>
        <w:tc>
          <w:tcPr>
            <w:tcW w:w="450" w:type="dxa"/>
            <w:tcBorders>
              <w:bottom w:val="single" w:sz="2" w:space="0" w:color="auto"/>
              <w:right w:val="single" w:sz="5" w:space="0" w:color="auto"/>
            </w:tcBorders>
            <w:shd w:val="clear" w:color="auto" w:fill="FABF8F"/>
          </w:tcPr>
          <w:p w:rsidR="001A63C6" w:rsidRPr="003410C7" w:rsidRDefault="001A63C6" w:rsidP="001A63C6">
            <w:pPr>
              <w:pStyle w:val="TableText"/>
              <w:widowControl w:val="0"/>
              <w:spacing w:before="120"/>
              <w:rPr>
                <w:rFonts w:ascii="Tahoma" w:hAnsi="Tahoma" w:cs="Tahoma"/>
                <w:sz w:val="14"/>
                <w:szCs w:val="14"/>
              </w:rPr>
            </w:pPr>
          </w:p>
        </w:tc>
        <w:tc>
          <w:tcPr>
            <w:tcW w:w="450" w:type="dxa"/>
            <w:tcBorders>
              <w:left w:val="single" w:sz="5" w:space="0" w:color="auto"/>
              <w:bottom w:val="single" w:sz="2" w:space="0" w:color="auto"/>
            </w:tcBorders>
            <w:shd w:val="clear" w:color="auto" w:fill="FABF8F"/>
          </w:tcPr>
          <w:p w:rsidR="001A63C6" w:rsidRPr="003410C7" w:rsidRDefault="001A63C6" w:rsidP="001A63C6">
            <w:pPr>
              <w:pStyle w:val="TableText"/>
              <w:widowControl w:val="0"/>
              <w:spacing w:before="120"/>
              <w:rPr>
                <w:rFonts w:ascii="Tahoma" w:hAnsi="Tahoma" w:cs="Tahoma"/>
                <w:sz w:val="14"/>
                <w:szCs w:val="14"/>
              </w:rPr>
            </w:pPr>
            <w:r w:rsidRPr="003410C7">
              <w:rPr>
                <w:rFonts w:ascii="Tahoma" w:hAnsi="Tahoma" w:cs="Tahoma"/>
                <w:sz w:val="14"/>
                <w:szCs w:val="14"/>
              </w:rPr>
              <w:t>1</w:t>
            </w:r>
          </w:p>
        </w:tc>
        <w:tc>
          <w:tcPr>
            <w:tcW w:w="450" w:type="dxa"/>
            <w:tcBorders>
              <w:bottom w:val="single" w:sz="2" w:space="0" w:color="auto"/>
              <w:right w:val="single" w:sz="5" w:space="0" w:color="auto"/>
            </w:tcBorders>
            <w:shd w:val="clear" w:color="auto" w:fill="FABF8F"/>
          </w:tcPr>
          <w:p w:rsidR="001A63C6" w:rsidRPr="003410C7" w:rsidRDefault="001A63C6" w:rsidP="001A63C6">
            <w:pPr>
              <w:pStyle w:val="TableText"/>
              <w:widowControl w:val="0"/>
              <w:spacing w:before="120"/>
              <w:rPr>
                <w:rFonts w:ascii="Tahoma" w:hAnsi="Tahoma" w:cs="Tahoma"/>
                <w:sz w:val="14"/>
                <w:szCs w:val="14"/>
              </w:rPr>
            </w:pPr>
          </w:p>
        </w:tc>
        <w:tc>
          <w:tcPr>
            <w:tcW w:w="450" w:type="dxa"/>
            <w:tcBorders>
              <w:left w:val="single" w:sz="5" w:space="0" w:color="auto"/>
              <w:bottom w:val="single" w:sz="2" w:space="0" w:color="auto"/>
              <w:right w:val="single" w:sz="5" w:space="0" w:color="auto"/>
            </w:tcBorders>
            <w:shd w:val="clear" w:color="auto" w:fill="FABF8F"/>
          </w:tcPr>
          <w:p w:rsidR="001A63C6" w:rsidRPr="003410C7" w:rsidRDefault="001A63C6" w:rsidP="001A63C6">
            <w:pPr>
              <w:pStyle w:val="TableText"/>
              <w:widowControl w:val="0"/>
              <w:spacing w:before="120"/>
              <w:rPr>
                <w:rFonts w:ascii="Tahoma" w:hAnsi="Tahoma" w:cs="Tahoma"/>
                <w:sz w:val="14"/>
                <w:szCs w:val="14"/>
              </w:rPr>
            </w:pPr>
          </w:p>
        </w:tc>
        <w:tc>
          <w:tcPr>
            <w:tcW w:w="450" w:type="dxa"/>
            <w:tcBorders>
              <w:bottom w:val="single" w:sz="2" w:space="0" w:color="auto"/>
            </w:tcBorders>
            <w:shd w:val="clear" w:color="auto" w:fill="FABF8F"/>
          </w:tcPr>
          <w:p w:rsidR="001A63C6" w:rsidRPr="003410C7" w:rsidRDefault="001A63C6" w:rsidP="001A63C6">
            <w:pPr>
              <w:pStyle w:val="TableText"/>
              <w:widowControl w:val="0"/>
              <w:spacing w:before="120"/>
              <w:rPr>
                <w:rFonts w:ascii="Tahoma" w:hAnsi="Tahoma" w:cs="Tahoma"/>
                <w:sz w:val="14"/>
                <w:szCs w:val="14"/>
              </w:rPr>
            </w:pPr>
            <w:r w:rsidRPr="003410C7">
              <w:rPr>
                <w:rFonts w:ascii="Tahoma" w:hAnsi="Tahoma" w:cs="Tahoma"/>
                <w:sz w:val="13"/>
              </w:rPr>
              <w:t>A</w:t>
            </w:r>
          </w:p>
        </w:tc>
        <w:tc>
          <w:tcPr>
            <w:tcW w:w="540" w:type="dxa"/>
            <w:tcBorders>
              <w:bottom w:val="single" w:sz="2" w:space="0" w:color="auto"/>
            </w:tcBorders>
            <w:shd w:val="clear" w:color="auto" w:fill="FABF8F"/>
          </w:tcPr>
          <w:p w:rsidR="001A63C6" w:rsidRPr="003410C7" w:rsidRDefault="001A63C6" w:rsidP="001A63C6">
            <w:pPr>
              <w:pStyle w:val="TableText"/>
              <w:widowControl w:val="0"/>
              <w:rPr>
                <w:rFonts w:ascii="Tahoma" w:hAnsi="Tahoma" w:cs="Tahoma"/>
                <w:sz w:val="14"/>
                <w:szCs w:val="14"/>
              </w:rPr>
            </w:pPr>
          </w:p>
        </w:tc>
      </w:tr>
      <w:tr w:rsidR="006864A1" w:rsidRPr="003410C7" w:rsidTr="006B1F3F">
        <w:trPr>
          <w:trHeight w:val="145"/>
        </w:trPr>
        <w:tc>
          <w:tcPr>
            <w:tcW w:w="2734" w:type="dxa"/>
            <w:gridSpan w:val="2"/>
            <w:tcBorders>
              <w:bottom w:val="single" w:sz="4" w:space="0" w:color="auto"/>
            </w:tcBorders>
            <w:shd w:val="clear" w:color="auto" w:fill="auto"/>
          </w:tcPr>
          <w:p w:rsidR="001A63C6" w:rsidRPr="00451078" w:rsidRDefault="001A63C6" w:rsidP="00F57878">
            <w:pPr>
              <w:pStyle w:val="Heading2"/>
              <w:spacing w:beforeLines="20" w:before="48" w:afterLines="20" w:after="48"/>
              <w:ind w:left="0"/>
              <w:rPr>
                <w:rFonts w:ascii="Tahoma" w:hAnsi="Tahoma" w:cs="Tahoma"/>
                <w:b w:val="0"/>
                <w:sz w:val="14"/>
                <w:szCs w:val="14"/>
                <w:lang w:val="it-IT"/>
              </w:rPr>
            </w:pPr>
            <w:bookmarkStart w:id="465" w:name="_Toc336338090"/>
            <w:bookmarkStart w:id="466" w:name="_Toc352234688"/>
            <w:r w:rsidRPr="00451078">
              <w:rPr>
                <w:rFonts w:ascii="Tahoma" w:hAnsi="Tahoma" w:cs="Tahoma"/>
                <w:b w:val="0"/>
                <w:sz w:val="14"/>
                <w:szCs w:val="14"/>
                <w:lang w:val="it-IT"/>
              </w:rPr>
              <w:t>Licenza di Gestione Client per Utente per</w:t>
            </w:r>
            <w:r w:rsidR="00F57878" w:rsidRPr="00451078">
              <w:rPr>
                <w:rFonts w:ascii="Tahoma" w:hAnsi="Tahoma" w:cs="Tahoma"/>
                <w:b w:val="0"/>
                <w:sz w:val="14"/>
                <w:szCs w:val="14"/>
                <w:lang w:val="it-IT"/>
              </w:rPr>
              <w:t> </w:t>
            </w:r>
            <w:r w:rsidRPr="00451078">
              <w:rPr>
                <w:rFonts w:ascii="Tahoma" w:hAnsi="Tahoma" w:cs="Tahoma"/>
                <w:b w:val="0"/>
                <w:sz w:val="14"/>
                <w:szCs w:val="14"/>
                <w:lang w:val="it-IT"/>
              </w:rPr>
              <w:t>System Center Virtual Machine Manager 2008 R2</w:t>
            </w:r>
            <w:bookmarkEnd w:id="465"/>
            <w:bookmarkEnd w:id="466"/>
          </w:p>
        </w:tc>
        <w:tc>
          <w:tcPr>
            <w:tcW w:w="450" w:type="dxa"/>
            <w:tcBorders>
              <w:bottom w:val="single" w:sz="4" w:space="0" w:color="auto"/>
            </w:tcBorders>
            <w:shd w:val="clear" w:color="auto" w:fill="auto"/>
            <w:vAlign w:val="center"/>
          </w:tcPr>
          <w:p w:rsidR="001A63C6" w:rsidRPr="009F17FF" w:rsidRDefault="00FC1A4D" w:rsidP="005C06BC">
            <w:pPr>
              <w:pStyle w:val="TableText"/>
              <w:widowControl w:val="0"/>
              <w:spacing w:before="60"/>
              <w:rPr>
                <w:rStyle w:val="EndnoteReference"/>
                <w:rFonts w:cs="Tahoma"/>
                <w:sz w:val="13"/>
                <w:szCs w:val="13"/>
                <w:u w:val="single"/>
              </w:rPr>
            </w:pPr>
            <w:hyperlink w:anchor="_88_System_Center" w:history="1">
              <w:r w:rsidR="00854AAB" w:rsidRPr="009F17FF">
                <w:rPr>
                  <w:rStyle w:val="Hyperlink"/>
                  <w:rFonts w:cs="Tahoma"/>
                  <w:sz w:val="13"/>
                  <w:szCs w:val="13"/>
                </w:rPr>
                <w:t>88</w:t>
              </w:r>
            </w:hyperlink>
          </w:p>
        </w:tc>
        <w:tc>
          <w:tcPr>
            <w:tcW w:w="450" w:type="dxa"/>
            <w:tcBorders>
              <w:bottom w:val="single" w:sz="4" w:space="0" w:color="auto"/>
            </w:tcBorders>
            <w:shd w:val="clear" w:color="auto" w:fill="auto"/>
          </w:tcPr>
          <w:p w:rsidR="001A63C6" w:rsidRPr="003410C7" w:rsidRDefault="001A63C6" w:rsidP="001A63C6">
            <w:pPr>
              <w:pStyle w:val="TableText"/>
              <w:widowControl w:val="0"/>
              <w:spacing w:before="120"/>
              <w:rPr>
                <w:rFonts w:ascii="Tahoma" w:hAnsi="Tahoma" w:cs="Tahoma"/>
                <w:sz w:val="13"/>
                <w:szCs w:val="13"/>
              </w:rPr>
            </w:pPr>
            <w:r w:rsidRPr="003410C7">
              <w:rPr>
                <w:rFonts w:ascii="Tahoma" w:hAnsi="Tahoma" w:cs="Tahoma"/>
                <w:sz w:val="13"/>
                <w:szCs w:val="13"/>
              </w:rPr>
              <w:t>11/09</w:t>
            </w:r>
          </w:p>
        </w:tc>
        <w:tc>
          <w:tcPr>
            <w:tcW w:w="360" w:type="dxa"/>
            <w:tcBorders>
              <w:bottom w:val="single" w:sz="4" w:space="0" w:color="auto"/>
              <w:right w:val="single" w:sz="18" w:space="0" w:color="auto"/>
            </w:tcBorders>
            <w:shd w:val="clear" w:color="auto" w:fill="auto"/>
          </w:tcPr>
          <w:p w:rsidR="001A63C6" w:rsidRPr="003410C7" w:rsidRDefault="001A63C6" w:rsidP="001A63C6">
            <w:pPr>
              <w:pStyle w:val="TableText"/>
              <w:widowControl w:val="0"/>
              <w:spacing w:before="120"/>
              <w:rPr>
                <w:rFonts w:ascii="Tahoma" w:hAnsi="Tahoma" w:cs="Tahoma"/>
                <w:sz w:val="14"/>
                <w:szCs w:val="14"/>
              </w:rPr>
            </w:pPr>
            <w:r w:rsidRPr="003410C7">
              <w:rPr>
                <w:rFonts w:ascii="Tahoma" w:hAnsi="Tahoma" w:cs="Tahoma"/>
                <w:sz w:val="14"/>
                <w:szCs w:val="14"/>
              </w:rPr>
              <w:t>SRV</w:t>
            </w:r>
          </w:p>
        </w:tc>
        <w:tc>
          <w:tcPr>
            <w:tcW w:w="360" w:type="dxa"/>
            <w:tcBorders>
              <w:left w:val="single" w:sz="18" w:space="0" w:color="auto"/>
              <w:bottom w:val="single" w:sz="4" w:space="0" w:color="auto"/>
            </w:tcBorders>
            <w:shd w:val="clear" w:color="auto" w:fill="auto"/>
          </w:tcPr>
          <w:p w:rsidR="001A63C6" w:rsidRPr="003410C7" w:rsidRDefault="001A63C6" w:rsidP="001A63C6">
            <w:pPr>
              <w:pStyle w:val="TableText"/>
              <w:widowControl w:val="0"/>
              <w:spacing w:before="120"/>
              <w:rPr>
                <w:rFonts w:ascii="Tahoma" w:hAnsi="Tahoma" w:cs="Tahoma"/>
                <w:sz w:val="14"/>
                <w:szCs w:val="14"/>
              </w:rPr>
            </w:pPr>
          </w:p>
        </w:tc>
        <w:tc>
          <w:tcPr>
            <w:tcW w:w="450" w:type="dxa"/>
            <w:tcBorders>
              <w:bottom w:val="single" w:sz="4" w:space="0" w:color="auto"/>
            </w:tcBorders>
            <w:shd w:val="clear" w:color="auto" w:fill="auto"/>
          </w:tcPr>
          <w:p w:rsidR="001A63C6" w:rsidRPr="003410C7" w:rsidRDefault="001A63C6" w:rsidP="001A63C6">
            <w:pPr>
              <w:pStyle w:val="TableText"/>
              <w:widowControl w:val="0"/>
              <w:spacing w:before="120"/>
              <w:rPr>
                <w:rFonts w:ascii="Tahoma" w:hAnsi="Tahoma" w:cs="Tahoma"/>
                <w:sz w:val="14"/>
                <w:szCs w:val="14"/>
              </w:rPr>
            </w:pPr>
          </w:p>
        </w:tc>
        <w:tc>
          <w:tcPr>
            <w:tcW w:w="450" w:type="dxa"/>
            <w:tcBorders>
              <w:bottom w:val="single" w:sz="4" w:space="0" w:color="auto"/>
            </w:tcBorders>
            <w:shd w:val="clear" w:color="auto" w:fill="auto"/>
          </w:tcPr>
          <w:p w:rsidR="001A63C6" w:rsidRPr="003410C7" w:rsidRDefault="001A63C6" w:rsidP="001A63C6">
            <w:pPr>
              <w:pStyle w:val="TableText"/>
              <w:widowControl w:val="0"/>
              <w:spacing w:before="120"/>
              <w:rPr>
                <w:rFonts w:ascii="Tahoma" w:hAnsi="Tahoma" w:cs="Tahoma"/>
                <w:sz w:val="14"/>
                <w:szCs w:val="14"/>
              </w:rPr>
            </w:pPr>
          </w:p>
        </w:tc>
        <w:tc>
          <w:tcPr>
            <w:tcW w:w="450" w:type="dxa"/>
            <w:tcBorders>
              <w:bottom w:val="single" w:sz="4" w:space="0" w:color="auto"/>
            </w:tcBorders>
            <w:shd w:val="clear" w:color="auto" w:fill="auto"/>
          </w:tcPr>
          <w:p w:rsidR="001A63C6" w:rsidRPr="003410C7" w:rsidRDefault="001A63C6" w:rsidP="001A63C6">
            <w:pPr>
              <w:pStyle w:val="TableText"/>
              <w:widowControl w:val="0"/>
              <w:spacing w:before="120"/>
              <w:rPr>
                <w:rFonts w:ascii="Tahoma" w:hAnsi="Tahoma" w:cs="Tahoma"/>
                <w:sz w:val="14"/>
                <w:szCs w:val="14"/>
              </w:rPr>
            </w:pPr>
          </w:p>
        </w:tc>
        <w:tc>
          <w:tcPr>
            <w:tcW w:w="450" w:type="dxa"/>
            <w:tcBorders>
              <w:bottom w:val="single" w:sz="4" w:space="0" w:color="auto"/>
            </w:tcBorders>
            <w:shd w:val="clear" w:color="auto" w:fill="auto"/>
          </w:tcPr>
          <w:p w:rsidR="001A63C6" w:rsidRPr="003410C7" w:rsidRDefault="001A63C6" w:rsidP="001A63C6">
            <w:pPr>
              <w:pStyle w:val="TableText"/>
              <w:widowControl w:val="0"/>
              <w:spacing w:before="120"/>
              <w:rPr>
                <w:rFonts w:ascii="Tahoma" w:hAnsi="Tahoma" w:cs="Tahoma"/>
                <w:sz w:val="14"/>
                <w:szCs w:val="14"/>
              </w:rPr>
            </w:pPr>
          </w:p>
        </w:tc>
        <w:tc>
          <w:tcPr>
            <w:tcW w:w="450" w:type="dxa"/>
            <w:tcBorders>
              <w:bottom w:val="single" w:sz="4" w:space="0" w:color="auto"/>
            </w:tcBorders>
            <w:shd w:val="clear" w:color="auto" w:fill="auto"/>
          </w:tcPr>
          <w:p w:rsidR="001A63C6" w:rsidRPr="003410C7" w:rsidRDefault="001A63C6" w:rsidP="001A63C6">
            <w:pPr>
              <w:pStyle w:val="TableText"/>
              <w:widowControl w:val="0"/>
              <w:spacing w:before="120"/>
              <w:rPr>
                <w:rFonts w:ascii="Tahoma" w:hAnsi="Tahoma" w:cs="Tahoma"/>
                <w:sz w:val="14"/>
                <w:szCs w:val="14"/>
              </w:rPr>
            </w:pPr>
          </w:p>
        </w:tc>
        <w:tc>
          <w:tcPr>
            <w:tcW w:w="360" w:type="dxa"/>
            <w:tcBorders>
              <w:bottom w:val="single" w:sz="4" w:space="0" w:color="auto"/>
              <w:right w:val="single" w:sz="18" w:space="0" w:color="auto"/>
            </w:tcBorders>
            <w:shd w:val="clear" w:color="auto" w:fill="auto"/>
          </w:tcPr>
          <w:p w:rsidR="001A63C6" w:rsidRPr="003410C7" w:rsidRDefault="001A63C6" w:rsidP="001A63C6">
            <w:pPr>
              <w:pStyle w:val="TableText"/>
              <w:widowControl w:val="0"/>
              <w:spacing w:before="120"/>
              <w:rPr>
                <w:rFonts w:ascii="Tahoma" w:hAnsi="Tahoma" w:cs="Tahoma"/>
                <w:sz w:val="14"/>
                <w:szCs w:val="14"/>
              </w:rPr>
            </w:pPr>
          </w:p>
        </w:tc>
        <w:tc>
          <w:tcPr>
            <w:tcW w:w="450" w:type="dxa"/>
            <w:tcBorders>
              <w:left w:val="single" w:sz="18" w:space="0" w:color="auto"/>
              <w:bottom w:val="single" w:sz="4" w:space="0" w:color="auto"/>
            </w:tcBorders>
            <w:shd w:val="clear" w:color="auto" w:fill="auto"/>
          </w:tcPr>
          <w:p w:rsidR="001A63C6" w:rsidRPr="003410C7" w:rsidRDefault="001A63C6" w:rsidP="001A63C6">
            <w:pPr>
              <w:pStyle w:val="TableText"/>
              <w:widowControl w:val="0"/>
              <w:spacing w:before="120"/>
              <w:rPr>
                <w:rFonts w:ascii="Tahoma" w:hAnsi="Tahoma" w:cs="Tahoma"/>
                <w:sz w:val="14"/>
                <w:szCs w:val="14"/>
              </w:rPr>
            </w:pPr>
          </w:p>
        </w:tc>
        <w:tc>
          <w:tcPr>
            <w:tcW w:w="450" w:type="dxa"/>
            <w:tcBorders>
              <w:bottom w:val="single" w:sz="4" w:space="0" w:color="auto"/>
            </w:tcBorders>
            <w:shd w:val="clear" w:color="auto" w:fill="auto"/>
          </w:tcPr>
          <w:p w:rsidR="001A63C6" w:rsidRPr="003410C7" w:rsidRDefault="001A63C6" w:rsidP="001A63C6">
            <w:pPr>
              <w:pStyle w:val="TableText"/>
              <w:widowControl w:val="0"/>
              <w:spacing w:before="120"/>
              <w:rPr>
                <w:rFonts w:ascii="Tahoma" w:hAnsi="Tahoma" w:cs="Tahoma"/>
                <w:sz w:val="14"/>
                <w:szCs w:val="14"/>
              </w:rPr>
            </w:pPr>
          </w:p>
        </w:tc>
        <w:tc>
          <w:tcPr>
            <w:tcW w:w="450" w:type="dxa"/>
            <w:tcBorders>
              <w:bottom w:val="single" w:sz="4" w:space="0" w:color="auto"/>
              <w:right w:val="single" w:sz="18" w:space="0" w:color="auto"/>
            </w:tcBorders>
            <w:shd w:val="clear" w:color="auto" w:fill="auto"/>
          </w:tcPr>
          <w:p w:rsidR="001A63C6" w:rsidRPr="003410C7" w:rsidRDefault="001A63C6" w:rsidP="001A63C6">
            <w:pPr>
              <w:pStyle w:val="TableText"/>
              <w:widowControl w:val="0"/>
              <w:spacing w:before="120"/>
              <w:rPr>
                <w:rFonts w:ascii="Tahoma" w:hAnsi="Tahoma" w:cs="Tahoma"/>
                <w:sz w:val="14"/>
                <w:szCs w:val="14"/>
              </w:rPr>
            </w:pPr>
          </w:p>
        </w:tc>
        <w:tc>
          <w:tcPr>
            <w:tcW w:w="450" w:type="dxa"/>
            <w:tcBorders>
              <w:left w:val="single" w:sz="18" w:space="0" w:color="auto"/>
              <w:bottom w:val="single" w:sz="4" w:space="0" w:color="auto"/>
            </w:tcBorders>
            <w:shd w:val="clear" w:color="auto" w:fill="auto"/>
          </w:tcPr>
          <w:p w:rsidR="001A63C6" w:rsidRPr="003410C7" w:rsidRDefault="001A63C6" w:rsidP="001A63C6">
            <w:pPr>
              <w:pStyle w:val="TableText"/>
              <w:widowControl w:val="0"/>
              <w:spacing w:before="120"/>
              <w:rPr>
                <w:rFonts w:ascii="Tahoma" w:hAnsi="Tahoma" w:cs="Tahoma"/>
                <w:sz w:val="14"/>
                <w:szCs w:val="14"/>
              </w:rPr>
            </w:pPr>
            <w:r w:rsidRPr="003410C7">
              <w:rPr>
                <w:rFonts w:ascii="Tahoma" w:hAnsi="Tahoma" w:cs="Tahoma"/>
                <w:sz w:val="14"/>
                <w:szCs w:val="14"/>
              </w:rPr>
              <w:t>1</w:t>
            </w:r>
          </w:p>
        </w:tc>
        <w:tc>
          <w:tcPr>
            <w:tcW w:w="450" w:type="dxa"/>
            <w:tcBorders>
              <w:bottom w:val="single" w:sz="4" w:space="0" w:color="auto"/>
              <w:right w:val="single" w:sz="18" w:space="0" w:color="auto"/>
            </w:tcBorders>
            <w:shd w:val="clear" w:color="auto" w:fill="auto"/>
          </w:tcPr>
          <w:p w:rsidR="001A63C6" w:rsidRPr="003410C7" w:rsidRDefault="001A63C6" w:rsidP="001A63C6">
            <w:pPr>
              <w:pStyle w:val="TableText"/>
              <w:widowControl w:val="0"/>
              <w:spacing w:before="120"/>
              <w:rPr>
                <w:rFonts w:ascii="Tahoma" w:hAnsi="Tahoma" w:cs="Tahoma"/>
                <w:sz w:val="14"/>
                <w:szCs w:val="14"/>
              </w:rPr>
            </w:pPr>
          </w:p>
        </w:tc>
        <w:tc>
          <w:tcPr>
            <w:tcW w:w="450" w:type="dxa"/>
            <w:tcBorders>
              <w:left w:val="single" w:sz="18" w:space="0" w:color="auto"/>
              <w:bottom w:val="single" w:sz="4" w:space="0" w:color="auto"/>
              <w:right w:val="single" w:sz="18" w:space="0" w:color="auto"/>
            </w:tcBorders>
            <w:shd w:val="clear" w:color="auto" w:fill="auto"/>
          </w:tcPr>
          <w:p w:rsidR="001A63C6" w:rsidRPr="003410C7" w:rsidRDefault="001A63C6" w:rsidP="001A63C6">
            <w:pPr>
              <w:pStyle w:val="TableText"/>
              <w:widowControl w:val="0"/>
              <w:spacing w:before="120"/>
              <w:rPr>
                <w:rFonts w:ascii="Tahoma" w:hAnsi="Tahoma" w:cs="Tahoma"/>
                <w:sz w:val="14"/>
                <w:szCs w:val="14"/>
              </w:rPr>
            </w:pPr>
          </w:p>
        </w:tc>
        <w:tc>
          <w:tcPr>
            <w:tcW w:w="450" w:type="dxa"/>
            <w:tcBorders>
              <w:bottom w:val="single" w:sz="4" w:space="0" w:color="auto"/>
            </w:tcBorders>
            <w:shd w:val="clear" w:color="auto" w:fill="auto"/>
          </w:tcPr>
          <w:p w:rsidR="001A63C6" w:rsidRPr="003410C7" w:rsidRDefault="001A63C6" w:rsidP="001A63C6">
            <w:pPr>
              <w:pStyle w:val="TableText"/>
              <w:widowControl w:val="0"/>
              <w:spacing w:before="120"/>
              <w:rPr>
                <w:rFonts w:ascii="Tahoma" w:hAnsi="Tahoma" w:cs="Tahoma"/>
                <w:sz w:val="14"/>
                <w:szCs w:val="14"/>
              </w:rPr>
            </w:pPr>
            <w:r w:rsidRPr="003410C7">
              <w:rPr>
                <w:rFonts w:ascii="Tahoma" w:hAnsi="Tahoma" w:cs="Tahoma"/>
                <w:sz w:val="13"/>
              </w:rPr>
              <w:t>A</w:t>
            </w:r>
          </w:p>
        </w:tc>
        <w:tc>
          <w:tcPr>
            <w:tcW w:w="540" w:type="dxa"/>
            <w:tcBorders>
              <w:bottom w:val="single" w:sz="4" w:space="0" w:color="auto"/>
            </w:tcBorders>
            <w:shd w:val="clear" w:color="auto" w:fill="auto"/>
          </w:tcPr>
          <w:p w:rsidR="001A63C6" w:rsidRPr="003410C7" w:rsidRDefault="001A63C6" w:rsidP="001A63C6">
            <w:pPr>
              <w:pStyle w:val="TableText"/>
              <w:widowControl w:val="0"/>
              <w:rPr>
                <w:rFonts w:ascii="Tahoma" w:hAnsi="Tahoma" w:cs="Tahoma"/>
                <w:sz w:val="14"/>
                <w:szCs w:val="14"/>
              </w:rPr>
            </w:pPr>
          </w:p>
        </w:tc>
      </w:tr>
      <w:tr w:rsidR="006864A1" w:rsidRPr="003410C7" w:rsidTr="006B1F3F">
        <w:trPr>
          <w:trHeight w:val="145"/>
        </w:trPr>
        <w:tc>
          <w:tcPr>
            <w:tcW w:w="2734" w:type="dxa"/>
            <w:gridSpan w:val="2"/>
            <w:tcBorders>
              <w:bottom w:val="single" w:sz="4" w:space="0" w:color="auto"/>
            </w:tcBorders>
            <w:shd w:val="clear" w:color="auto" w:fill="FABF8F"/>
          </w:tcPr>
          <w:p w:rsidR="001A63C6" w:rsidRPr="00451078" w:rsidRDefault="001A63C6" w:rsidP="00F57878">
            <w:pPr>
              <w:pStyle w:val="ProductNames"/>
              <w:spacing w:beforeLines="20" w:before="48" w:afterLines="20" w:after="48"/>
              <w:rPr>
                <w:rFonts w:ascii="Tahoma" w:hAnsi="Tahoma" w:cs="Tahoma"/>
                <w:sz w:val="14"/>
                <w:szCs w:val="14"/>
                <w:lang w:val="it-IT"/>
              </w:rPr>
            </w:pPr>
            <w:bookmarkStart w:id="467" w:name="_Toc336338091"/>
            <w:bookmarkStart w:id="468" w:name="_Toc352234689"/>
            <w:r w:rsidRPr="00451078">
              <w:rPr>
                <w:rFonts w:ascii="Tahoma" w:hAnsi="Tahoma" w:cs="Tahoma"/>
                <w:color w:val="000000"/>
                <w:sz w:val="14"/>
                <w:szCs w:val="14"/>
                <w:lang w:val="it-IT"/>
              </w:rPr>
              <w:t>Licenza di Gestione Server per System Center Virtual Machine Manager 2008 R2</w:t>
            </w:r>
            <w:r w:rsidR="00F57878" w:rsidRPr="00451078">
              <w:rPr>
                <w:rFonts w:ascii="Tahoma" w:hAnsi="Tahoma" w:cs="Tahoma"/>
                <w:color w:val="000000"/>
                <w:sz w:val="14"/>
                <w:szCs w:val="14"/>
                <w:lang w:val="it-IT"/>
              </w:rPr>
              <w:t> </w:t>
            </w:r>
            <w:r w:rsidRPr="00451078">
              <w:rPr>
                <w:rFonts w:ascii="Tahoma" w:hAnsi="Tahoma" w:cs="Tahoma"/>
                <w:color w:val="000000"/>
                <w:sz w:val="14"/>
                <w:szCs w:val="14"/>
                <w:lang w:val="it-IT"/>
              </w:rPr>
              <w:t>Enterprise</w:t>
            </w:r>
            <w:bookmarkEnd w:id="467"/>
            <w:bookmarkEnd w:id="468"/>
          </w:p>
        </w:tc>
        <w:tc>
          <w:tcPr>
            <w:tcW w:w="450" w:type="dxa"/>
            <w:tcBorders>
              <w:bottom w:val="single" w:sz="4" w:space="0" w:color="auto"/>
            </w:tcBorders>
            <w:shd w:val="clear" w:color="auto" w:fill="FABF8F"/>
            <w:vAlign w:val="center"/>
          </w:tcPr>
          <w:p w:rsidR="001A63C6" w:rsidRPr="009F17FF" w:rsidRDefault="00FC1A4D" w:rsidP="005C06BC">
            <w:pPr>
              <w:pStyle w:val="TableText"/>
              <w:widowControl w:val="0"/>
              <w:spacing w:before="120"/>
              <w:rPr>
                <w:rStyle w:val="EndnoteReference"/>
                <w:rFonts w:cs="Tahoma"/>
                <w:sz w:val="13"/>
                <w:szCs w:val="13"/>
                <w:u w:val="single"/>
              </w:rPr>
            </w:pPr>
            <w:hyperlink w:anchor="_88_System_Center" w:history="1">
              <w:r w:rsidR="00854AAB" w:rsidRPr="009F17FF">
                <w:rPr>
                  <w:rStyle w:val="Hyperlink"/>
                  <w:rFonts w:cs="Tahoma"/>
                  <w:sz w:val="13"/>
                  <w:szCs w:val="13"/>
                </w:rPr>
                <w:t>88</w:t>
              </w:r>
            </w:hyperlink>
            <w:hyperlink w:anchor="Srv_100SysCenterVMM2008R2" w:history="1"/>
          </w:p>
        </w:tc>
        <w:tc>
          <w:tcPr>
            <w:tcW w:w="450" w:type="dxa"/>
            <w:tcBorders>
              <w:bottom w:val="single" w:sz="4" w:space="0" w:color="auto"/>
            </w:tcBorders>
            <w:shd w:val="clear" w:color="auto" w:fill="FABF8F"/>
          </w:tcPr>
          <w:p w:rsidR="001A63C6" w:rsidRPr="003410C7" w:rsidRDefault="001A63C6" w:rsidP="001A63C6">
            <w:pPr>
              <w:pStyle w:val="TableText"/>
              <w:widowControl w:val="0"/>
              <w:spacing w:before="120"/>
              <w:rPr>
                <w:rFonts w:ascii="Tahoma" w:hAnsi="Tahoma" w:cs="Tahoma"/>
                <w:sz w:val="13"/>
                <w:szCs w:val="13"/>
              </w:rPr>
            </w:pPr>
            <w:r w:rsidRPr="003410C7">
              <w:rPr>
                <w:rFonts w:ascii="Tahoma" w:hAnsi="Tahoma" w:cs="Tahoma"/>
                <w:sz w:val="13"/>
                <w:szCs w:val="13"/>
              </w:rPr>
              <w:t>10/08</w:t>
            </w:r>
          </w:p>
        </w:tc>
        <w:tc>
          <w:tcPr>
            <w:tcW w:w="360" w:type="dxa"/>
            <w:tcBorders>
              <w:bottom w:val="single" w:sz="4" w:space="0" w:color="auto"/>
              <w:right w:val="single" w:sz="18" w:space="0" w:color="auto"/>
            </w:tcBorders>
            <w:shd w:val="clear" w:color="auto" w:fill="FABF8F"/>
          </w:tcPr>
          <w:p w:rsidR="001A63C6" w:rsidRPr="003410C7" w:rsidRDefault="001A63C6" w:rsidP="001A63C6">
            <w:pPr>
              <w:pStyle w:val="TableText"/>
              <w:widowControl w:val="0"/>
              <w:spacing w:before="120"/>
              <w:rPr>
                <w:rFonts w:ascii="Tahoma" w:hAnsi="Tahoma" w:cs="Tahoma"/>
                <w:sz w:val="14"/>
                <w:szCs w:val="14"/>
              </w:rPr>
            </w:pPr>
            <w:r w:rsidRPr="003410C7">
              <w:rPr>
                <w:rFonts w:ascii="Tahoma" w:hAnsi="Tahoma" w:cs="Tahoma"/>
                <w:sz w:val="14"/>
                <w:szCs w:val="14"/>
              </w:rPr>
              <w:t>SRV</w:t>
            </w:r>
          </w:p>
        </w:tc>
        <w:tc>
          <w:tcPr>
            <w:tcW w:w="360" w:type="dxa"/>
            <w:tcBorders>
              <w:left w:val="single" w:sz="18" w:space="0" w:color="auto"/>
              <w:bottom w:val="single" w:sz="4" w:space="0" w:color="auto"/>
            </w:tcBorders>
            <w:shd w:val="clear" w:color="auto" w:fill="FABF8F"/>
          </w:tcPr>
          <w:p w:rsidR="001A63C6" w:rsidRPr="003410C7" w:rsidRDefault="001A63C6" w:rsidP="001A63C6">
            <w:pPr>
              <w:pStyle w:val="TableText"/>
              <w:widowControl w:val="0"/>
              <w:spacing w:before="120"/>
              <w:rPr>
                <w:rFonts w:ascii="Tahoma" w:hAnsi="Tahoma" w:cs="Tahoma"/>
                <w:sz w:val="14"/>
                <w:szCs w:val="14"/>
              </w:rPr>
            </w:pPr>
          </w:p>
        </w:tc>
        <w:tc>
          <w:tcPr>
            <w:tcW w:w="450" w:type="dxa"/>
            <w:tcBorders>
              <w:bottom w:val="single" w:sz="4" w:space="0" w:color="auto"/>
            </w:tcBorders>
            <w:shd w:val="clear" w:color="auto" w:fill="FABF8F"/>
          </w:tcPr>
          <w:p w:rsidR="001A63C6" w:rsidRPr="003410C7" w:rsidRDefault="001A63C6" w:rsidP="001A63C6">
            <w:pPr>
              <w:pStyle w:val="TableText"/>
              <w:widowControl w:val="0"/>
              <w:spacing w:before="120"/>
              <w:rPr>
                <w:rFonts w:ascii="Tahoma" w:hAnsi="Tahoma" w:cs="Tahoma"/>
                <w:sz w:val="14"/>
                <w:szCs w:val="14"/>
              </w:rPr>
            </w:pPr>
          </w:p>
        </w:tc>
        <w:tc>
          <w:tcPr>
            <w:tcW w:w="450" w:type="dxa"/>
            <w:tcBorders>
              <w:bottom w:val="single" w:sz="4" w:space="0" w:color="auto"/>
            </w:tcBorders>
            <w:shd w:val="clear" w:color="auto" w:fill="FABF8F"/>
          </w:tcPr>
          <w:p w:rsidR="001A63C6" w:rsidRPr="003410C7" w:rsidRDefault="001A63C6" w:rsidP="001A63C6">
            <w:pPr>
              <w:pStyle w:val="TableText"/>
              <w:widowControl w:val="0"/>
              <w:spacing w:before="120"/>
              <w:rPr>
                <w:rFonts w:ascii="Tahoma" w:hAnsi="Tahoma" w:cs="Tahoma"/>
                <w:sz w:val="14"/>
                <w:szCs w:val="14"/>
              </w:rPr>
            </w:pPr>
          </w:p>
        </w:tc>
        <w:tc>
          <w:tcPr>
            <w:tcW w:w="450" w:type="dxa"/>
            <w:tcBorders>
              <w:bottom w:val="single" w:sz="4" w:space="0" w:color="auto"/>
            </w:tcBorders>
            <w:shd w:val="clear" w:color="auto" w:fill="FABF8F"/>
          </w:tcPr>
          <w:p w:rsidR="001A63C6" w:rsidRPr="003410C7" w:rsidRDefault="001A63C6" w:rsidP="001A63C6">
            <w:pPr>
              <w:pStyle w:val="TableText"/>
              <w:widowControl w:val="0"/>
              <w:spacing w:before="120"/>
              <w:rPr>
                <w:rFonts w:ascii="Tahoma" w:hAnsi="Tahoma" w:cs="Tahoma"/>
                <w:sz w:val="14"/>
                <w:szCs w:val="14"/>
              </w:rPr>
            </w:pPr>
          </w:p>
        </w:tc>
        <w:tc>
          <w:tcPr>
            <w:tcW w:w="450" w:type="dxa"/>
            <w:tcBorders>
              <w:bottom w:val="single" w:sz="4" w:space="0" w:color="auto"/>
            </w:tcBorders>
            <w:shd w:val="clear" w:color="auto" w:fill="FABF8F"/>
          </w:tcPr>
          <w:p w:rsidR="001A63C6" w:rsidRPr="003410C7" w:rsidRDefault="001A63C6" w:rsidP="001A63C6">
            <w:pPr>
              <w:pStyle w:val="TableText"/>
              <w:widowControl w:val="0"/>
              <w:spacing w:before="120"/>
              <w:rPr>
                <w:rFonts w:ascii="Tahoma" w:hAnsi="Tahoma" w:cs="Tahoma"/>
                <w:sz w:val="14"/>
                <w:szCs w:val="14"/>
              </w:rPr>
            </w:pPr>
          </w:p>
        </w:tc>
        <w:tc>
          <w:tcPr>
            <w:tcW w:w="450" w:type="dxa"/>
            <w:tcBorders>
              <w:bottom w:val="single" w:sz="4" w:space="0" w:color="auto"/>
            </w:tcBorders>
            <w:shd w:val="clear" w:color="auto" w:fill="FABF8F"/>
          </w:tcPr>
          <w:p w:rsidR="001A63C6" w:rsidRPr="003410C7" w:rsidRDefault="001A63C6" w:rsidP="001A63C6">
            <w:pPr>
              <w:pStyle w:val="TableText"/>
              <w:widowControl w:val="0"/>
              <w:spacing w:before="120"/>
              <w:rPr>
                <w:rFonts w:ascii="Tahoma" w:hAnsi="Tahoma" w:cs="Tahoma"/>
                <w:sz w:val="14"/>
                <w:szCs w:val="14"/>
              </w:rPr>
            </w:pPr>
          </w:p>
        </w:tc>
        <w:tc>
          <w:tcPr>
            <w:tcW w:w="360" w:type="dxa"/>
            <w:tcBorders>
              <w:bottom w:val="single" w:sz="4" w:space="0" w:color="auto"/>
              <w:right w:val="single" w:sz="18" w:space="0" w:color="auto"/>
            </w:tcBorders>
            <w:shd w:val="clear" w:color="auto" w:fill="FABF8F"/>
          </w:tcPr>
          <w:p w:rsidR="001A63C6" w:rsidRPr="003410C7" w:rsidRDefault="001A63C6" w:rsidP="001A63C6">
            <w:pPr>
              <w:pStyle w:val="TableText"/>
              <w:widowControl w:val="0"/>
              <w:spacing w:before="120"/>
              <w:rPr>
                <w:rFonts w:ascii="Tahoma" w:hAnsi="Tahoma" w:cs="Tahoma"/>
                <w:sz w:val="14"/>
                <w:szCs w:val="14"/>
              </w:rPr>
            </w:pPr>
          </w:p>
        </w:tc>
        <w:tc>
          <w:tcPr>
            <w:tcW w:w="450" w:type="dxa"/>
            <w:tcBorders>
              <w:left w:val="single" w:sz="18" w:space="0" w:color="auto"/>
              <w:bottom w:val="single" w:sz="4" w:space="0" w:color="auto"/>
            </w:tcBorders>
            <w:shd w:val="clear" w:color="auto" w:fill="FABF8F"/>
          </w:tcPr>
          <w:p w:rsidR="001A63C6" w:rsidRPr="003410C7" w:rsidRDefault="001A63C6" w:rsidP="001A63C6">
            <w:pPr>
              <w:pStyle w:val="TableText"/>
              <w:widowControl w:val="0"/>
              <w:spacing w:before="120"/>
              <w:rPr>
                <w:rFonts w:ascii="Tahoma" w:hAnsi="Tahoma" w:cs="Tahoma"/>
                <w:sz w:val="14"/>
                <w:szCs w:val="14"/>
              </w:rPr>
            </w:pPr>
          </w:p>
        </w:tc>
        <w:tc>
          <w:tcPr>
            <w:tcW w:w="450" w:type="dxa"/>
            <w:tcBorders>
              <w:bottom w:val="single" w:sz="4" w:space="0" w:color="auto"/>
            </w:tcBorders>
            <w:shd w:val="clear" w:color="auto" w:fill="FABF8F"/>
          </w:tcPr>
          <w:p w:rsidR="001A63C6" w:rsidRPr="003410C7" w:rsidRDefault="001A63C6" w:rsidP="001A63C6">
            <w:pPr>
              <w:pStyle w:val="TableText"/>
              <w:widowControl w:val="0"/>
              <w:spacing w:before="120"/>
              <w:rPr>
                <w:rFonts w:ascii="Tahoma" w:hAnsi="Tahoma" w:cs="Tahoma"/>
                <w:sz w:val="14"/>
                <w:szCs w:val="14"/>
              </w:rPr>
            </w:pPr>
          </w:p>
        </w:tc>
        <w:tc>
          <w:tcPr>
            <w:tcW w:w="450" w:type="dxa"/>
            <w:tcBorders>
              <w:bottom w:val="single" w:sz="4" w:space="0" w:color="auto"/>
              <w:right w:val="single" w:sz="18" w:space="0" w:color="auto"/>
            </w:tcBorders>
            <w:shd w:val="clear" w:color="auto" w:fill="FABF8F"/>
          </w:tcPr>
          <w:p w:rsidR="001A63C6" w:rsidRPr="003410C7" w:rsidRDefault="001A63C6" w:rsidP="001A63C6">
            <w:pPr>
              <w:pStyle w:val="TableText"/>
              <w:widowControl w:val="0"/>
              <w:spacing w:before="120"/>
              <w:rPr>
                <w:rFonts w:ascii="Tahoma" w:hAnsi="Tahoma" w:cs="Tahoma"/>
                <w:sz w:val="14"/>
                <w:szCs w:val="14"/>
              </w:rPr>
            </w:pPr>
          </w:p>
        </w:tc>
        <w:tc>
          <w:tcPr>
            <w:tcW w:w="450" w:type="dxa"/>
            <w:tcBorders>
              <w:left w:val="single" w:sz="18" w:space="0" w:color="auto"/>
              <w:bottom w:val="single" w:sz="4" w:space="0" w:color="auto"/>
            </w:tcBorders>
            <w:shd w:val="clear" w:color="auto" w:fill="FABF8F"/>
          </w:tcPr>
          <w:p w:rsidR="001A63C6" w:rsidRPr="003410C7" w:rsidRDefault="001A63C6" w:rsidP="001A63C6">
            <w:pPr>
              <w:pStyle w:val="TableText"/>
              <w:widowControl w:val="0"/>
              <w:spacing w:before="120"/>
              <w:rPr>
                <w:rFonts w:ascii="Tahoma" w:hAnsi="Tahoma" w:cs="Tahoma"/>
                <w:sz w:val="14"/>
                <w:szCs w:val="14"/>
              </w:rPr>
            </w:pPr>
            <w:r w:rsidRPr="003410C7">
              <w:rPr>
                <w:rFonts w:ascii="Tahoma" w:hAnsi="Tahoma" w:cs="Tahoma"/>
                <w:sz w:val="14"/>
                <w:szCs w:val="14"/>
              </w:rPr>
              <w:t>10</w:t>
            </w:r>
          </w:p>
        </w:tc>
        <w:tc>
          <w:tcPr>
            <w:tcW w:w="450" w:type="dxa"/>
            <w:tcBorders>
              <w:bottom w:val="single" w:sz="4" w:space="0" w:color="auto"/>
              <w:right w:val="single" w:sz="18" w:space="0" w:color="auto"/>
            </w:tcBorders>
            <w:shd w:val="clear" w:color="auto" w:fill="FABF8F"/>
          </w:tcPr>
          <w:p w:rsidR="001A63C6" w:rsidRPr="003410C7" w:rsidRDefault="001A63C6" w:rsidP="001A63C6">
            <w:pPr>
              <w:pStyle w:val="TableText"/>
              <w:widowControl w:val="0"/>
              <w:spacing w:before="120"/>
              <w:rPr>
                <w:rFonts w:ascii="Tahoma" w:hAnsi="Tahoma" w:cs="Tahoma"/>
                <w:sz w:val="14"/>
                <w:szCs w:val="14"/>
              </w:rPr>
            </w:pPr>
          </w:p>
        </w:tc>
        <w:tc>
          <w:tcPr>
            <w:tcW w:w="450" w:type="dxa"/>
            <w:tcBorders>
              <w:left w:val="single" w:sz="18" w:space="0" w:color="auto"/>
              <w:bottom w:val="single" w:sz="4" w:space="0" w:color="auto"/>
              <w:right w:val="single" w:sz="18" w:space="0" w:color="auto"/>
            </w:tcBorders>
            <w:shd w:val="clear" w:color="auto" w:fill="FABF8F"/>
          </w:tcPr>
          <w:p w:rsidR="001A63C6" w:rsidRPr="003410C7" w:rsidRDefault="001A63C6" w:rsidP="001A63C6">
            <w:pPr>
              <w:pStyle w:val="TableText"/>
              <w:widowControl w:val="0"/>
              <w:spacing w:before="120"/>
              <w:rPr>
                <w:rFonts w:ascii="Tahoma" w:hAnsi="Tahoma" w:cs="Tahoma"/>
                <w:sz w:val="14"/>
                <w:szCs w:val="14"/>
              </w:rPr>
            </w:pPr>
          </w:p>
        </w:tc>
        <w:tc>
          <w:tcPr>
            <w:tcW w:w="450" w:type="dxa"/>
            <w:tcBorders>
              <w:bottom w:val="single" w:sz="4" w:space="0" w:color="auto"/>
            </w:tcBorders>
            <w:shd w:val="clear" w:color="auto" w:fill="FABF8F"/>
          </w:tcPr>
          <w:p w:rsidR="001A63C6" w:rsidRPr="003410C7" w:rsidRDefault="001A63C6" w:rsidP="001A63C6">
            <w:pPr>
              <w:pStyle w:val="TableText"/>
              <w:widowControl w:val="0"/>
              <w:spacing w:before="120"/>
              <w:rPr>
                <w:rFonts w:ascii="Tahoma" w:hAnsi="Tahoma" w:cs="Tahoma"/>
                <w:sz w:val="14"/>
                <w:szCs w:val="14"/>
              </w:rPr>
            </w:pPr>
            <w:r w:rsidRPr="003410C7">
              <w:rPr>
                <w:rFonts w:ascii="Tahoma" w:hAnsi="Tahoma" w:cs="Tahoma"/>
                <w:sz w:val="13"/>
              </w:rPr>
              <w:t>A</w:t>
            </w:r>
          </w:p>
        </w:tc>
        <w:tc>
          <w:tcPr>
            <w:tcW w:w="540" w:type="dxa"/>
            <w:tcBorders>
              <w:bottom w:val="single" w:sz="4" w:space="0" w:color="auto"/>
            </w:tcBorders>
            <w:shd w:val="clear" w:color="auto" w:fill="FABF8F"/>
          </w:tcPr>
          <w:p w:rsidR="001A63C6" w:rsidRPr="003410C7" w:rsidRDefault="001A63C6" w:rsidP="001A63C6">
            <w:pPr>
              <w:pStyle w:val="TableText"/>
              <w:widowControl w:val="0"/>
              <w:rPr>
                <w:rFonts w:ascii="Tahoma" w:hAnsi="Tahoma" w:cs="Tahoma"/>
                <w:sz w:val="14"/>
                <w:szCs w:val="14"/>
              </w:rPr>
            </w:pPr>
          </w:p>
        </w:tc>
      </w:tr>
      <w:tr w:rsidR="006864A1" w:rsidRPr="003410C7" w:rsidTr="006B1F3F">
        <w:trPr>
          <w:trHeight w:val="368"/>
        </w:trPr>
        <w:tc>
          <w:tcPr>
            <w:tcW w:w="2734" w:type="dxa"/>
            <w:gridSpan w:val="2"/>
            <w:tcBorders>
              <w:bottom w:val="single" w:sz="4" w:space="0" w:color="auto"/>
            </w:tcBorders>
            <w:shd w:val="clear" w:color="auto" w:fill="auto"/>
            <w:vAlign w:val="center"/>
          </w:tcPr>
          <w:p w:rsidR="001A63C6" w:rsidRPr="00451078" w:rsidRDefault="001A63C6" w:rsidP="003410C7">
            <w:pPr>
              <w:pStyle w:val="ProductNames"/>
              <w:spacing w:beforeLines="20" w:before="48" w:afterLines="20" w:after="48"/>
              <w:rPr>
                <w:rFonts w:ascii="Tahoma" w:hAnsi="Tahoma" w:cs="Tahoma"/>
                <w:sz w:val="14"/>
                <w:lang w:val="fr-FR"/>
              </w:rPr>
            </w:pPr>
            <w:bookmarkStart w:id="469" w:name="_Toc336338093"/>
            <w:bookmarkStart w:id="470" w:name="_Toc352234690"/>
            <w:r w:rsidRPr="00451078">
              <w:rPr>
                <w:rFonts w:ascii="Tahoma" w:hAnsi="Tahoma" w:cs="Tahoma"/>
                <w:sz w:val="14"/>
                <w:szCs w:val="18"/>
                <w:lang w:val="fr-FR"/>
              </w:rPr>
              <w:t>System Center 2012 Client Management Suite (Client ML) per OSE</w:t>
            </w:r>
            <w:bookmarkEnd w:id="469"/>
            <w:bookmarkEnd w:id="470"/>
          </w:p>
        </w:tc>
        <w:tc>
          <w:tcPr>
            <w:tcW w:w="450" w:type="dxa"/>
            <w:tcBorders>
              <w:bottom w:val="single" w:sz="4" w:space="0" w:color="auto"/>
            </w:tcBorders>
            <w:shd w:val="clear" w:color="auto" w:fill="auto"/>
            <w:vAlign w:val="center"/>
          </w:tcPr>
          <w:p w:rsidR="001A63C6" w:rsidRPr="009F17FF" w:rsidRDefault="00FC1A4D" w:rsidP="007E466C">
            <w:pPr>
              <w:pStyle w:val="TableText"/>
              <w:widowControl w:val="0"/>
              <w:rPr>
                <w:b/>
                <w:color w:val="000000"/>
                <w:sz w:val="13"/>
                <w:szCs w:val="13"/>
                <w:u w:val="single"/>
              </w:rPr>
            </w:pPr>
            <w:hyperlink w:anchor="_91_89_System" w:history="1">
              <w:r w:rsidR="000D77F6" w:rsidRPr="009F17FF">
                <w:rPr>
                  <w:rStyle w:val="Hyperlink"/>
                  <w:rFonts w:cs="Tahoma"/>
                  <w:sz w:val="13"/>
                  <w:szCs w:val="13"/>
                </w:rPr>
                <w:t>89</w:t>
              </w:r>
            </w:hyperlink>
            <w:hyperlink w:anchor="Srv_101SystemCenter2012" w:history="1"/>
          </w:p>
        </w:tc>
        <w:tc>
          <w:tcPr>
            <w:tcW w:w="450" w:type="dxa"/>
            <w:tcBorders>
              <w:bottom w:val="single" w:sz="4" w:space="0" w:color="auto"/>
            </w:tcBorders>
            <w:shd w:val="clear" w:color="auto" w:fill="auto"/>
          </w:tcPr>
          <w:p w:rsidR="001A63C6" w:rsidRPr="003410C7" w:rsidRDefault="001A63C6" w:rsidP="001A63C6">
            <w:pPr>
              <w:pStyle w:val="TableText"/>
              <w:widowControl w:val="0"/>
              <w:spacing w:before="240"/>
              <w:rPr>
                <w:rFonts w:ascii="Tahoma" w:hAnsi="Tahoma" w:cs="Tahoma"/>
                <w:sz w:val="13"/>
              </w:rPr>
            </w:pPr>
            <w:r w:rsidRPr="003410C7">
              <w:rPr>
                <w:rFonts w:ascii="Tahoma" w:hAnsi="Tahoma" w:cs="Tahoma"/>
                <w:sz w:val="13"/>
              </w:rPr>
              <w:t>04/12</w:t>
            </w:r>
          </w:p>
        </w:tc>
        <w:tc>
          <w:tcPr>
            <w:tcW w:w="360" w:type="dxa"/>
            <w:tcBorders>
              <w:bottom w:val="single" w:sz="4" w:space="0" w:color="auto"/>
              <w:right w:val="single" w:sz="18" w:space="0" w:color="auto"/>
            </w:tcBorders>
            <w:shd w:val="clear" w:color="auto" w:fill="auto"/>
            <w:vAlign w:val="center"/>
          </w:tcPr>
          <w:p w:rsidR="001A63C6" w:rsidRPr="003410C7" w:rsidRDefault="001A63C6" w:rsidP="001A63C6">
            <w:pPr>
              <w:pStyle w:val="TableText"/>
              <w:widowControl w:val="0"/>
              <w:rPr>
                <w:rFonts w:ascii="Tahoma" w:hAnsi="Tahoma" w:cs="Tahoma"/>
                <w:sz w:val="13"/>
              </w:rPr>
            </w:pPr>
            <w:r w:rsidRPr="003410C7">
              <w:rPr>
                <w:rFonts w:ascii="Tahoma" w:hAnsi="Tahoma" w:cs="Tahoma"/>
                <w:color w:val="000000"/>
                <w:sz w:val="13"/>
              </w:rPr>
              <w:t>SRV</w:t>
            </w:r>
          </w:p>
        </w:tc>
        <w:tc>
          <w:tcPr>
            <w:tcW w:w="360" w:type="dxa"/>
            <w:tcBorders>
              <w:left w:val="single" w:sz="18" w:space="0" w:color="auto"/>
              <w:bottom w:val="single" w:sz="4" w:space="0" w:color="auto"/>
            </w:tcBorders>
            <w:shd w:val="clear" w:color="auto" w:fill="auto"/>
            <w:vAlign w:val="bottom"/>
          </w:tcPr>
          <w:p w:rsidR="001A63C6" w:rsidRPr="003410C7" w:rsidRDefault="001A63C6" w:rsidP="001A63C6">
            <w:pPr>
              <w:pStyle w:val="TableText"/>
              <w:widowControl w:val="0"/>
              <w:spacing w:after="120"/>
              <w:rPr>
                <w:rFonts w:ascii="Tahoma" w:hAnsi="Tahoma" w:cs="Tahoma"/>
                <w:sz w:val="13"/>
                <w:szCs w:val="13"/>
              </w:rPr>
            </w:pPr>
          </w:p>
        </w:tc>
        <w:tc>
          <w:tcPr>
            <w:tcW w:w="450" w:type="dxa"/>
            <w:tcBorders>
              <w:bottom w:val="single" w:sz="4" w:space="0" w:color="auto"/>
            </w:tcBorders>
            <w:shd w:val="clear" w:color="auto" w:fill="auto"/>
            <w:vAlign w:val="bottom"/>
          </w:tcPr>
          <w:p w:rsidR="001A63C6" w:rsidRPr="003410C7" w:rsidRDefault="001A63C6" w:rsidP="001A63C6">
            <w:pPr>
              <w:pStyle w:val="TableText"/>
              <w:widowControl w:val="0"/>
              <w:spacing w:after="120"/>
              <w:rPr>
                <w:rFonts w:ascii="Tahoma" w:hAnsi="Tahoma" w:cs="Tahoma"/>
                <w:sz w:val="13"/>
                <w:szCs w:val="13"/>
              </w:rPr>
            </w:pPr>
            <w:r w:rsidRPr="003410C7">
              <w:rPr>
                <w:rFonts w:ascii="Tahoma" w:hAnsi="Tahoma" w:cs="Tahoma"/>
                <w:sz w:val="13"/>
                <w:szCs w:val="13"/>
              </w:rPr>
              <w:t>2</w:t>
            </w:r>
          </w:p>
        </w:tc>
        <w:tc>
          <w:tcPr>
            <w:tcW w:w="450" w:type="dxa"/>
            <w:tcBorders>
              <w:bottom w:val="single" w:sz="4" w:space="0" w:color="auto"/>
            </w:tcBorders>
            <w:shd w:val="clear" w:color="auto" w:fill="auto"/>
            <w:vAlign w:val="bottom"/>
          </w:tcPr>
          <w:p w:rsidR="001A63C6" w:rsidRPr="003410C7" w:rsidRDefault="001A63C6" w:rsidP="001A63C6">
            <w:pPr>
              <w:pStyle w:val="TableText"/>
              <w:widowControl w:val="0"/>
              <w:spacing w:after="120"/>
              <w:rPr>
                <w:rFonts w:ascii="Tahoma" w:hAnsi="Tahoma" w:cs="Tahoma"/>
                <w:sz w:val="13"/>
                <w:szCs w:val="13"/>
              </w:rPr>
            </w:pPr>
            <w:r w:rsidRPr="003410C7">
              <w:rPr>
                <w:rFonts w:ascii="Tahoma" w:hAnsi="Tahoma" w:cs="Tahoma"/>
                <w:sz w:val="13"/>
                <w:szCs w:val="13"/>
              </w:rPr>
              <w:t>2</w:t>
            </w:r>
          </w:p>
        </w:tc>
        <w:tc>
          <w:tcPr>
            <w:tcW w:w="450" w:type="dxa"/>
            <w:tcBorders>
              <w:bottom w:val="single" w:sz="4" w:space="0" w:color="auto"/>
            </w:tcBorders>
            <w:shd w:val="clear" w:color="auto" w:fill="auto"/>
            <w:vAlign w:val="bottom"/>
          </w:tcPr>
          <w:p w:rsidR="001A63C6" w:rsidRPr="003410C7" w:rsidRDefault="001A63C6" w:rsidP="001A63C6">
            <w:pPr>
              <w:pStyle w:val="TableText"/>
              <w:widowControl w:val="0"/>
              <w:spacing w:after="120"/>
              <w:rPr>
                <w:rFonts w:ascii="Tahoma" w:hAnsi="Tahoma" w:cs="Tahoma"/>
                <w:sz w:val="13"/>
                <w:szCs w:val="13"/>
              </w:rPr>
            </w:pPr>
            <w:r w:rsidRPr="003410C7">
              <w:rPr>
                <w:rFonts w:ascii="Tahoma" w:hAnsi="Tahoma" w:cs="Tahoma"/>
                <w:sz w:val="13"/>
                <w:szCs w:val="13"/>
              </w:rPr>
              <w:t>2</w:t>
            </w:r>
          </w:p>
        </w:tc>
        <w:tc>
          <w:tcPr>
            <w:tcW w:w="450" w:type="dxa"/>
            <w:tcBorders>
              <w:bottom w:val="single" w:sz="4" w:space="0" w:color="auto"/>
            </w:tcBorders>
            <w:shd w:val="clear" w:color="auto" w:fill="auto"/>
            <w:vAlign w:val="bottom"/>
          </w:tcPr>
          <w:p w:rsidR="001A63C6" w:rsidRPr="003410C7" w:rsidRDefault="001A63C6" w:rsidP="001A63C6">
            <w:pPr>
              <w:pStyle w:val="TableText"/>
              <w:widowControl w:val="0"/>
              <w:spacing w:after="120"/>
              <w:rPr>
                <w:rFonts w:ascii="Tahoma" w:hAnsi="Tahoma" w:cs="Tahoma"/>
                <w:sz w:val="13"/>
                <w:szCs w:val="13"/>
              </w:rPr>
            </w:pPr>
            <w:r w:rsidRPr="003410C7">
              <w:rPr>
                <w:rFonts w:ascii="Tahoma" w:hAnsi="Tahoma" w:cs="Tahoma"/>
                <w:sz w:val="13"/>
                <w:szCs w:val="13"/>
              </w:rPr>
              <w:t>1</w:t>
            </w:r>
          </w:p>
        </w:tc>
        <w:tc>
          <w:tcPr>
            <w:tcW w:w="450" w:type="dxa"/>
            <w:tcBorders>
              <w:bottom w:val="single" w:sz="4" w:space="0" w:color="auto"/>
            </w:tcBorders>
            <w:shd w:val="clear" w:color="auto" w:fill="auto"/>
            <w:vAlign w:val="bottom"/>
          </w:tcPr>
          <w:p w:rsidR="001A63C6" w:rsidRPr="003410C7" w:rsidRDefault="001A63C6" w:rsidP="001A63C6">
            <w:pPr>
              <w:pStyle w:val="TableText"/>
              <w:widowControl w:val="0"/>
              <w:spacing w:after="120"/>
              <w:rPr>
                <w:rFonts w:ascii="Tahoma" w:hAnsi="Tahoma" w:cs="Tahoma"/>
                <w:sz w:val="13"/>
                <w:szCs w:val="13"/>
              </w:rPr>
            </w:pPr>
            <w:r w:rsidRPr="003410C7">
              <w:rPr>
                <w:rFonts w:ascii="Tahoma" w:hAnsi="Tahoma" w:cs="Tahoma"/>
                <w:sz w:val="13"/>
                <w:szCs w:val="13"/>
              </w:rPr>
              <w:t>1</w:t>
            </w:r>
          </w:p>
        </w:tc>
        <w:tc>
          <w:tcPr>
            <w:tcW w:w="360" w:type="dxa"/>
            <w:tcBorders>
              <w:bottom w:val="single" w:sz="4" w:space="0" w:color="auto"/>
              <w:right w:val="single" w:sz="18" w:space="0" w:color="auto"/>
            </w:tcBorders>
            <w:shd w:val="clear" w:color="auto" w:fill="auto"/>
            <w:vAlign w:val="bottom"/>
          </w:tcPr>
          <w:p w:rsidR="001A63C6" w:rsidRPr="003410C7" w:rsidRDefault="001A63C6" w:rsidP="001A63C6">
            <w:pPr>
              <w:pStyle w:val="TableText"/>
              <w:widowControl w:val="0"/>
              <w:spacing w:after="120"/>
              <w:rPr>
                <w:rFonts w:ascii="Tahoma" w:hAnsi="Tahoma" w:cs="Tahoma"/>
                <w:sz w:val="13"/>
                <w:szCs w:val="13"/>
              </w:rPr>
            </w:pPr>
            <w:r w:rsidRPr="003410C7">
              <w:rPr>
                <w:rFonts w:ascii="Tahoma" w:hAnsi="Tahoma" w:cs="Tahoma"/>
                <w:sz w:val="13"/>
                <w:szCs w:val="13"/>
              </w:rPr>
              <w:t> </w:t>
            </w:r>
          </w:p>
        </w:tc>
        <w:tc>
          <w:tcPr>
            <w:tcW w:w="450" w:type="dxa"/>
            <w:tcBorders>
              <w:left w:val="single" w:sz="18" w:space="0" w:color="auto"/>
              <w:bottom w:val="single" w:sz="4" w:space="0" w:color="auto"/>
            </w:tcBorders>
            <w:shd w:val="clear" w:color="auto" w:fill="auto"/>
            <w:vAlign w:val="bottom"/>
          </w:tcPr>
          <w:p w:rsidR="001A63C6" w:rsidRPr="003410C7" w:rsidRDefault="001A63C6" w:rsidP="001A63C6">
            <w:pPr>
              <w:pStyle w:val="TableText"/>
              <w:widowControl w:val="0"/>
              <w:spacing w:after="120"/>
              <w:rPr>
                <w:rFonts w:ascii="Tahoma" w:hAnsi="Tahoma" w:cs="Tahoma"/>
                <w:sz w:val="13"/>
                <w:szCs w:val="13"/>
              </w:rPr>
            </w:pPr>
          </w:p>
        </w:tc>
        <w:tc>
          <w:tcPr>
            <w:tcW w:w="450" w:type="dxa"/>
            <w:tcBorders>
              <w:bottom w:val="single" w:sz="4" w:space="0" w:color="auto"/>
            </w:tcBorders>
            <w:shd w:val="clear" w:color="auto" w:fill="auto"/>
            <w:vAlign w:val="bottom"/>
          </w:tcPr>
          <w:p w:rsidR="001A63C6" w:rsidRPr="003410C7" w:rsidRDefault="001A63C6" w:rsidP="001A63C6">
            <w:pPr>
              <w:pStyle w:val="TableText"/>
              <w:widowControl w:val="0"/>
              <w:spacing w:after="120"/>
              <w:rPr>
                <w:rFonts w:ascii="Tahoma" w:hAnsi="Tahoma" w:cs="Tahoma"/>
                <w:sz w:val="13"/>
                <w:szCs w:val="13"/>
              </w:rPr>
            </w:pPr>
            <w:r w:rsidRPr="003410C7">
              <w:rPr>
                <w:rFonts w:ascii="Tahoma" w:hAnsi="Tahoma" w:cs="Tahoma"/>
                <w:sz w:val="13"/>
                <w:szCs w:val="13"/>
              </w:rPr>
              <w:t>1</w:t>
            </w:r>
          </w:p>
        </w:tc>
        <w:tc>
          <w:tcPr>
            <w:tcW w:w="450" w:type="dxa"/>
            <w:tcBorders>
              <w:bottom w:val="single" w:sz="4" w:space="0" w:color="auto"/>
              <w:right w:val="single" w:sz="18" w:space="0" w:color="auto"/>
            </w:tcBorders>
            <w:shd w:val="clear" w:color="auto" w:fill="auto"/>
            <w:vAlign w:val="bottom"/>
          </w:tcPr>
          <w:p w:rsidR="001A63C6" w:rsidRPr="003410C7" w:rsidRDefault="001A63C6" w:rsidP="001A63C6">
            <w:pPr>
              <w:pStyle w:val="TableText"/>
              <w:widowControl w:val="0"/>
              <w:spacing w:after="120"/>
              <w:rPr>
                <w:rFonts w:ascii="Tahoma" w:hAnsi="Tahoma" w:cs="Tahoma"/>
                <w:sz w:val="13"/>
                <w:szCs w:val="13"/>
              </w:rPr>
            </w:pPr>
            <w:r w:rsidRPr="003410C7">
              <w:rPr>
                <w:rFonts w:ascii="Tahoma" w:hAnsi="Tahoma" w:cs="Tahoma"/>
                <w:sz w:val="13"/>
                <w:szCs w:val="13"/>
              </w:rPr>
              <w:t>1</w:t>
            </w:r>
          </w:p>
        </w:tc>
        <w:tc>
          <w:tcPr>
            <w:tcW w:w="450" w:type="dxa"/>
            <w:tcBorders>
              <w:left w:val="single" w:sz="18" w:space="0" w:color="auto"/>
              <w:bottom w:val="single" w:sz="4" w:space="0" w:color="auto"/>
            </w:tcBorders>
            <w:shd w:val="clear" w:color="auto" w:fill="auto"/>
            <w:vAlign w:val="bottom"/>
          </w:tcPr>
          <w:p w:rsidR="001A63C6" w:rsidRPr="003410C7" w:rsidRDefault="001A63C6" w:rsidP="001A63C6">
            <w:pPr>
              <w:pStyle w:val="TableText"/>
              <w:widowControl w:val="0"/>
              <w:spacing w:after="120"/>
              <w:rPr>
                <w:rFonts w:ascii="Tahoma" w:hAnsi="Tahoma" w:cs="Tahoma"/>
                <w:sz w:val="13"/>
                <w:szCs w:val="13"/>
              </w:rPr>
            </w:pPr>
            <w:r w:rsidRPr="003410C7">
              <w:rPr>
                <w:rFonts w:ascii="Tahoma" w:hAnsi="Tahoma" w:cs="Tahoma"/>
                <w:sz w:val="13"/>
                <w:szCs w:val="13"/>
              </w:rPr>
              <w:t>1</w:t>
            </w:r>
          </w:p>
        </w:tc>
        <w:tc>
          <w:tcPr>
            <w:tcW w:w="450" w:type="dxa"/>
            <w:tcBorders>
              <w:bottom w:val="single" w:sz="4" w:space="0" w:color="auto"/>
              <w:right w:val="single" w:sz="18" w:space="0" w:color="auto"/>
            </w:tcBorders>
            <w:shd w:val="clear" w:color="auto" w:fill="auto"/>
            <w:vAlign w:val="bottom"/>
          </w:tcPr>
          <w:p w:rsidR="001A63C6" w:rsidRPr="003410C7" w:rsidRDefault="001A63C6" w:rsidP="001A63C6">
            <w:pPr>
              <w:pStyle w:val="TableText"/>
              <w:widowControl w:val="0"/>
              <w:spacing w:after="120"/>
              <w:rPr>
                <w:rFonts w:ascii="Tahoma" w:hAnsi="Tahoma" w:cs="Tahoma"/>
                <w:sz w:val="13"/>
                <w:szCs w:val="13"/>
              </w:rPr>
            </w:pPr>
            <w:r w:rsidRPr="003410C7">
              <w:rPr>
                <w:rFonts w:ascii="Arial" w:hAnsi="Arial" w:cs="Arial"/>
                <w:sz w:val="13"/>
                <w:szCs w:val="13"/>
              </w:rPr>
              <w:t>A, E</w:t>
            </w:r>
          </w:p>
        </w:tc>
        <w:tc>
          <w:tcPr>
            <w:tcW w:w="450" w:type="dxa"/>
            <w:tcBorders>
              <w:left w:val="single" w:sz="18" w:space="0" w:color="auto"/>
              <w:bottom w:val="single" w:sz="4" w:space="0" w:color="auto"/>
              <w:right w:val="single" w:sz="18" w:space="0" w:color="auto"/>
            </w:tcBorders>
            <w:shd w:val="clear" w:color="auto" w:fill="auto"/>
            <w:vAlign w:val="bottom"/>
          </w:tcPr>
          <w:p w:rsidR="001A63C6" w:rsidRPr="003410C7" w:rsidRDefault="001A63C6" w:rsidP="001A63C6">
            <w:pPr>
              <w:pStyle w:val="TableText"/>
              <w:widowControl w:val="0"/>
              <w:spacing w:after="120"/>
              <w:rPr>
                <w:rFonts w:ascii="Tahoma" w:hAnsi="Tahoma" w:cs="Tahoma"/>
                <w:sz w:val="13"/>
                <w:szCs w:val="13"/>
              </w:rPr>
            </w:pPr>
            <w:r w:rsidRPr="003410C7">
              <w:rPr>
                <w:rFonts w:ascii="Arial" w:hAnsi="Arial" w:cs="Arial"/>
                <w:sz w:val="13"/>
                <w:szCs w:val="13"/>
              </w:rPr>
              <w:t>P</w:t>
            </w:r>
          </w:p>
        </w:tc>
        <w:tc>
          <w:tcPr>
            <w:tcW w:w="450" w:type="dxa"/>
            <w:tcBorders>
              <w:bottom w:val="single" w:sz="4" w:space="0" w:color="auto"/>
            </w:tcBorders>
            <w:shd w:val="clear" w:color="auto" w:fill="auto"/>
          </w:tcPr>
          <w:p w:rsidR="001A63C6" w:rsidRPr="00FB25FF" w:rsidRDefault="001A63C6" w:rsidP="001A63C6">
            <w:pPr>
              <w:spacing w:before="240"/>
              <w:jc w:val="center"/>
              <w:rPr>
                <w:sz w:val="13"/>
                <w:szCs w:val="13"/>
              </w:rPr>
            </w:pPr>
            <w:r w:rsidRPr="00FB25FF">
              <w:rPr>
                <w:rFonts w:ascii="Arial" w:hAnsi="Arial" w:cs="Arial"/>
                <w:sz w:val="13"/>
                <w:szCs w:val="13"/>
              </w:rPr>
              <w:t>AO, ST</w:t>
            </w:r>
          </w:p>
          <w:p w:rsidR="001A63C6" w:rsidRPr="003410C7" w:rsidRDefault="001A63C6" w:rsidP="001A63C6">
            <w:pPr>
              <w:pStyle w:val="TableText"/>
              <w:widowControl w:val="0"/>
              <w:rPr>
                <w:rFonts w:ascii="Tahoma" w:hAnsi="Tahoma" w:cs="Tahoma"/>
                <w:sz w:val="13"/>
                <w:szCs w:val="13"/>
              </w:rPr>
            </w:pPr>
          </w:p>
        </w:tc>
        <w:tc>
          <w:tcPr>
            <w:tcW w:w="540" w:type="dxa"/>
            <w:tcBorders>
              <w:bottom w:val="single" w:sz="4" w:space="0" w:color="auto"/>
            </w:tcBorders>
            <w:shd w:val="clear" w:color="auto" w:fill="auto"/>
            <w:vAlign w:val="center"/>
          </w:tcPr>
          <w:p w:rsidR="001A63C6" w:rsidRPr="003410C7" w:rsidRDefault="001A63C6" w:rsidP="001A63C6">
            <w:pPr>
              <w:pStyle w:val="TableText"/>
              <w:widowControl w:val="0"/>
              <w:rPr>
                <w:rFonts w:ascii="Tahoma" w:hAnsi="Tahoma" w:cs="Tahoma"/>
                <w:sz w:val="13"/>
              </w:rPr>
            </w:pPr>
          </w:p>
        </w:tc>
      </w:tr>
      <w:tr w:rsidR="006864A1" w:rsidRPr="003410C7" w:rsidTr="006B1F3F">
        <w:trPr>
          <w:trHeight w:val="134"/>
        </w:trPr>
        <w:tc>
          <w:tcPr>
            <w:tcW w:w="2734" w:type="dxa"/>
            <w:gridSpan w:val="2"/>
            <w:tcBorders>
              <w:bottom w:val="single" w:sz="4" w:space="0" w:color="auto"/>
            </w:tcBorders>
            <w:shd w:val="clear" w:color="auto" w:fill="FABF8F"/>
            <w:vAlign w:val="center"/>
          </w:tcPr>
          <w:p w:rsidR="001A63C6" w:rsidRPr="00451078" w:rsidRDefault="001A63C6" w:rsidP="003410C7">
            <w:pPr>
              <w:pStyle w:val="ProductNames"/>
              <w:spacing w:beforeLines="20" w:before="48" w:afterLines="20" w:after="48"/>
              <w:rPr>
                <w:rFonts w:ascii="Tahoma" w:hAnsi="Tahoma" w:cs="Tahoma"/>
                <w:sz w:val="14"/>
                <w:lang w:val="fr-FR"/>
              </w:rPr>
            </w:pPr>
            <w:bookmarkStart w:id="471" w:name="_Toc336338094"/>
            <w:bookmarkStart w:id="472" w:name="_Toc352234691"/>
            <w:r w:rsidRPr="00451078">
              <w:rPr>
                <w:rFonts w:ascii="Tahoma" w:hAnsi="Tahoma" w:cs="Tahoma"/>
                <w:sz w:val="14"/>
                <w:szCs w:val="18"/>
                <w:lang w:val="fr-FR"/>
              </w:rPr>
              <w:t>System Center 2012 Client Management Suite (Client ML) per Utente</w:t>
            </w:r>
            <w:bookmarkEnd w:id="471"/>
            <w:bookmarkEnd w:id="472"/>
          </w:p>
        </w:tc>
        <w:tc>
          <w:tcPr>
            <w:tcW w:w="450" w:type="dxa"/>
            <w:tcBorders>
              <w:bottom w:val="single" w:sz="4" w:space="0" w:color="auto"/>
            </w:tcBorders>
            <w:shd w:val="clear" w:color="auto" w:fill="FABF8F"/>
            <w:vAlign w:val="center"/>
          </w:tcPr>
          <w:p w:rsidR="001A63C6" w:rsidRPr="009F17FF" w:rsidRDefault="00FC1A4D" w:rsidP="007E466C">
            <w:pPr>
              <w:pStyle w:val="TableText"/>
              <w:widowControl w:val="0"/>
              <w:rPr>
                <w:b/>
                <w:color w:val="000000"/>
                <w:sz w:val="13"/>
                <w:szCs w:val="13"/>
                <w:u w:val="single"/>
              </w:rPr>
            </w:pPr>
            <w:hyperlink w:anchor="_91_89_System" w:history="1">
              <w:r w:rsidR="000D77F6" w:rsidRPr="009F17FF">
                <w:rPr>
                  <w:rStyle w:val="Hyperlink"/>
                  <w:rFonts w:cs="Tahoma"/>
                  <w:sz w:val="13"/>
                  <w:szCs w:val="13"/>
                </w:rPr>
                <w:t>89</w:t>
              </w:r>
            </w:hyperlink>
            <w:hyperlink w:anchor="Srv_101SystemCenter2012" w:history="1"/>
          </w:p>
        </w:tc>
        <w:tc>
          <w:tcPr>
            <w:tcW w:w="450" w:type="dxa"/>
            <w:tcBorders>
              <w:bottom w:val="single" w:sz="4" w:space="0" w:color="auto"/>
            </w:tcBorders>
            <w:shd w:val="clear" w:color="auto" w:fill="FABF8F"/>
          </w:tcPr>
          <w:p w:rsidR="001A63C6" w:rsidRPr="003410C7" w:rsidRDefault="001A63C6" w:rsidP="001A63C6">
            <w:pPr>
              <w:pStyle w:val="TableText"/>
              <w:widowControl w:val="0"/>
              <w:spacing w:before="240"/>
              <w:rPr>
                <w:rFonts w:ascii="Tahoma" w:hAnsi="Tahoma" w:cs="Tahoma"/>
                <w:sz w:val="13"/>
              </w:rPr>
            </w:pPr>
            <w:r w:rsidRPr="003410C7">
              <w:rPr>
                <w:rFonts w:ascii="Tahoma" w:hAnsi="Tahoma" w:cs="Tahoma"/>
                <w:sz w:val="13"/>
              </w:rPr>
              <w:t>04/12</w:t>
            </w:r>
          </w:p>
        </w:tc>
        <w:tc>
          <w:tcPr>
            <w:tcW w:w="360" w:type="dxa"/>
            <w:tcBorders>
              <w:bottom w:val="single" w:sz="4" w:space="0" w:color="auto"/>
              <w:right w:val="single" w:sz="18" w:space="0" w:color="auto"/>
            </w:tcBorders>
            <w:shd w:val="clear" w:color="auto" w:fill="FABF8F"/>
            <w:vAlign w:val="center"/>
          </w:tcPr>
          <w:p w:rsidR="001A63C6" w:rsidRPr="003410C7" w:rsidRDefault="001A63C6" w:rsidP="001A63C6">
            <w:pPr>
              <w:pStyle w:val="TableText"/>
              <w:widowControl w:val="0"/>
              <w:rPr>
                <w:rFonts w:ascii="Tahoma" w:hAnsi="Tahoma" w:cs="Tahoma"/>
                <w:sz w:val="13"/>
              </w:rPr>
            </w:pPr>
            <w:r w:rsidRPr="003410C7">
              <w:rPr>
                <w:rFonts w:ascii="Tahoma" w:hAnsi="Tahoma" w:cs="Tahoma"/>
                <w:color w:val="000000"/>
                <w:sz w:val="13"/>
              </w:rPr>
              <w:t>SRV</w:t>
            </w:r>
          </w:p>
        </w:tc>
        <w:tc>
          <w:tcPr>
            <w:tcW w:w="360" w:type="dxa"/>
            <w:tcBorders>
              <w:left w:val="single" w:sz="18" w:space="0" w:color="auto"/>
              <w:bottom w:val="single" w:sz="4" w:space="0" w:color="auto"/>
            </w:tcBorders>
            <w:shd w:val="clear" w:color="auto" w:fill="FABF8F"/>
            <w:vAlign w:val="bottom"/>
          </w:tcPr>
          <w:p w:rsidR="001A63C6" w:rsidRPr="003410C7" w:rsidRDefault="001A63C6" w:rsidP="001A63C6">
            <w:pPr>
              <w:pStyle w:val="TableText"/>
              <w:widowControl w:val="0"/>
              <w:spacing w:after="120"/>
              <w:rPr>
                <w:rFonts w:ascii="Tahoma" w:hAnsi="Tahoma" w:cs="Tahoma"/>
                <w:sz w:val="13"/>
                <w:szCs w:val="13"/>
              </w:rPr>
            </w:pPr>
          </w:p>
        </w:tc>
        <w:tc>
          <w:tcPr>
            <w:tcW w:w="450" w:type="dxa"/>
            <w:tcBorders>
              <w:bottom w:val="single" w:sz="4" w:space="0" w:color="auto"/>
            </w:tcBorders>
            <w:shd w:val="clear" w:color="auto" w:fill="FABF8F"/>
            <w:vAlign w:val="bottom"/>
          </w:tcPr>
          <w:p w:rsidR="001A63C6" w:rsidRPr="003410C7" w:rsidRDefault="001A63C6" w:rsidP="001A63C6">
            <w:pPr>
              <w:pStyle w:val="TableText"/>
              <w:widowControl w:val="0"/>
              <w:spacing w:after="120"/>
              <w:rPr>
                <w:rFonts w:ascii="Tahoma" w:hAnsi="Tahoma" w:cs="Tahoma"/>
                <w:sz w:val="13"/>
                <w:szCs w:val="13"/>
              </w:rPr>
            </w:pPr>
            <w:r w:rsidRPr="003410C7">
              <w:rPr>
                <w:rFonts w:ascii="Tahoma" w:hAnsi="Tahoma" w:cs="Tahoma"/>
                <w:sz w:val="13"/>
                <w:szCs w:val="13"/>
              </w:rPr>
              <w:t>2</w:t>
            </w:r>
          </w:p>
        </w:tc>
        <w:tc>
          <w:tcPr>
            <w:tcW w:w="450" w:type="dxa"/>
            <w:tcBorders>
              <w:bottom w:val="single" w:sz="4" w:space="0" w:color="auto"/>
            </w:tcBorders>
            <w:shd w:val="clear" w:color="auto" w:fill="FABF8F"/>
            <w:vAlign w:val="bottom"/>
          </w:tcPr>
          <w:p w:rsidR="001A63C6" w:rsidRPr="003410C7" w:rsidRDefault="001A63C6" w:rsidP="001A63C6">
            <w:pPr>
              <w:pStyle w:val="TableText"/>
              <w:widowControl w:val="0"/>
              <w:spacing w:after="120"/>
              <w:rPr>
                <w:rFonts w:ascii="Tahoma" w:hAnsi="Tahoma" w:cs="Tahoma"/>
                <w:sz w:val="13"/>
                <w:szCs w:val="13"/>
              </w:rPr>
            </w:pPr>
            <w:r w:rsidRPr="003410C7">
              <w:rPr>
                <w:rFonts w:ascii="Tahoma" w:hAnsi="Tahoma" w:cs="Tahoma"/>
                <w:sz w:val="13"/>
                <w:szCs w:val="13"/>
              </w:rPr>
              <w:t>2</w:t>
            </w:r>
          </w:p>
        </w:tc>
        <w:tc>
          <w:tcPr>
            <w:tcW w:w="450" w:type="dxa"/>
            <w:tcBorders>
              <w:bottom w:val="single" w:sz="4" w:space="0" w:color="auto"/>
            </w:tcBorders>
            <w:shd w:val="clear" w:color="auto" w:fill="FABF8F"/>
            <w:vAlign w:val="bottom"/>
          </w:tcPr>
          <w:p w:rsidR="001A63C6" w:rsidRPr="003410C7" w:rsidRDefault="001A63C6" w:rsidP="001A63C6">
            <w:pPr>
              <w:pStyle w:val="TableText"/>
              <w:widowControl w:val="0"/>
              <w:spacing w:after="120"/>
              <w:rPr>
                <w:rFonts w:ascii="Tahoma" w:hAnsi="Tahoma" w:cs="Tahoma"/>
                <w:sz w:val="13"/>
                <w:szCs w:val="13"/>
              </w:rPr>
            </w:pPr>
            <w:r w:rsidRPr="003410C7">
              <w:rPr>
                <w:rFonts w:ascii="Tahoma" w:hAnsi="Tahoma" w:cs="Tahoma"/>
                <w:sz w:val="13"/>
                <w:szCs w:val="13"/>
              </w:rPr>
              <w:t>2</w:t>
            </w:r>
          </w:p>
        </w:tc>
        <w:tc>
          <w:tcPr>
            <w:tcW w:w="450" w:type="dxa"/>
            <w:tcBorders>
              <w:bottom w:val="single" w:sz="4" w:space="0" w:color="auto"/>
            </w:tcBorders>
            <w:shd w:val="clear" w:color="auto" w:fill="FABF8F"/>
            <w:vAlign w:val="bottom"/>
          </w:tcPr>
          <w:p w:rsidR="001A63C6" w:rsidRPr="003410C7" w:rsidRDefault="001A63C6" w:rsidP="001A63C6">
            <w:pPr>
              <w:pStyle w:val="TableText"/>
              <w:widowControl w:val="0"/>
              <w:spacing w:after="120"/>
              <w:rPr>
                <w:rFonts w:ascii="Tahoma" w:hAnsi="Tahoma" w:cs="Tahoma"/>
                <w:sz w:val="13"/>
                <w:szCs w:val="13"/>
              </w:rPr>
            </w:pPr>
            <w:r w:rsidRPr="003410C7">
              <w:rPr>
                <w:rFonts w:ascii="Tahoma" w:hAnsi="Tahoma" w:cs="Tahoma"/>
                <w:sz w:val="13"/>
                <w:szCs w:val="13"/>
              </w:rPr>
              <w:t>1</w:t>
            </w:r>
          </w:p>
        </w:tc>
        <w:tc>
          <w:tcPr>
            <w:tcW w:w="450" w:type="dxa"/>
            <w:tcBorders>
              <w:bottom w:val="single" w:sz="4" w:space="0" w:color="auto"/>
            </w:tcBorders>
            <w:shd w:val="clear" w:color="auto" w:fill="FABF8F"/>
            <w:vAlign w:val="bottom"/>
          </w:tcPr>
          <w:p w:rsidR="001A63C6" w:rsidRPr="003410C7" w:rsidRDefault="001A63C6" w:rsidP="001A63C6">
            <w:pPr>
              <w:pStyle w:val="TableText"/>
              <w:widowControl w:val="0"/>
              <w:spacing w:after="120"/>
              <w:rPr>
                <w:rFonts w:ascii="Tahoma" w:hAnsi="Tahoma" w:cs="Tahoma"/>
                <w:sz w:val="13"/>
                <w:szCs w:val="13"/>
              </w:rPr>
            </w:pPr>
            <w:r w:rsidRPr="003410C7">
              <w:rPr>
                <w:rFonts w:ascii="Tahoma" w:hAnsi="Tahoma" w:cs="Tahoma"/>
                <w:sz w:val="13"/>
                <w:szCs w:val="13"/>
              </w:rPr>
              <w:t>1</w:t>
            </w:r>
          </w:p>
        </w:tc>
        <w:tc>
          <w:tcPr>
            <w:tcW w:w="360" w:type="dxa"/>
            <w:tcBorders>
              <w:bottom w:val="single" w:sz="4" w:space="0" w:color="auto"/>
              <w:right w:val="single" w:sz="18" w:space="0" w:color="auto"/>
            </w:tcBorders>
            <w:shd w:val="clear" w:color="auto" w:fill="FABF8F"/>
            <w:vAlign w:val="bottom"/>
          </w:tcPr>
          <w:p w:rsidR="001A63C6" w:rsidRPr="003410C7" w:rsidRDefault="001A63C6" w:rsidP="001A63C6">
            <w:pPr>
              <w:pStyle w:val="TableText"/>
              <w:widowControl w:val="0"/>
              <w:spacing w:after="120"/>
              <w:rPr>
                <w:rFonts w:ascii="Tahoma" w:hAnsi="Tahoma" w:cs="Tahoma"/>
                <w:sz w:val="13"/>
                <w:szCs w:val="13"/>
              </w:rPr>
            </w:pPr>
            <w:r w:rsidRPr="003410C7">
              <w:rPr>
                <w:rFonts w:ascii="Tahoma" w:hAnsi="Tahoma" w:cs="Tahoma"/>
                <w:sz w:val="13"/>
                <w:szCs w:val="13"/>
              </w:rPr>
              <w:t> </w:t>
            </w:r>
          </w:p>
        </w:tc>
        <w:tc>
          <w:tcPr>
            <w:tcW w:w="450" w:type="dxa"/>
            <w:tcBorders>
              <w:left w:val="single" w:sz="18" w:space="0" w:color="auto"/>
              <w:bottom w:val="single" w:sz="4" w:space="0" w:color="auto"/>
            </w:tcBorders>
            <w:shd w:val="clear" w:color="auto" w:fill="FABF8F"/>
            <w:vAlign w:val="bottom"/>
          </w:tcPr>
          <w:p w:rsidR="001A63C6" w:rsidRPr="003410C7" w:rsidRDefault="001A63C6" w:rsidP="001A63C6">
            <w:pPr>
              <w:pStyle w:val="TableText"/>
              <w:widowControl w:val="0"/>
              <w:spacing w:after="120"/>
              <w:rPr>
                <w:rFonts w:ascii="Tahoma" w:hAnsi="Tahoma" w:cs="Tahoma"/>
                <w:sz w:val="13"/>
                <w:szCs w:val="13"/>
              </w:rPr>
            </w:pPr>
          </w:p>
        </w:tc>
        <w:tc>
          <w:tcPr>
            <w:tcW w:w="450" w:type="dxa"/>
            <w:tcBorders>
              <w:bottom w:val="single" w:sz="4" w:space="0" w:color="auto"/>
            </w:tcBorders>
            <w:shd w:val="clear" w:color="auto" w:fill="FABF8F"/>
            <w:vAlign w:val="bottom"/>
          </w:tcPr>
          <w:p w:rsidR="001A63C6" w:rsidRPr="003410C7" w:rsidRDefault="001A63C6" w:rsidP="001A63C6">
            <w:pPr>
              <w:pStyle w:val="TableText"/>
              <w:widowControl w:val="0"/>
              <w:spacing w:after="120"/>
              <w:rPr>
                <w:rFonts w:ascii="Tahoma" w:hAnsi="Tahoma" w:cs="Tahoma"/>
                <w:sz w:val="13"/>
                <w:szCs w:val="13"/>
              </w:rPr>
            </w:pPr>
            <w:r w:rsidRPr="003410C7">
              <w:rPr>
                <w:rFonts w:ascii="Tahoma" w:hAnsi="Tahoma" w:cs="Tahoma"/>
                <w:sz w:val="13"/>
                <w:szCs w:val="13"/>
              </w:rPr>
              <w:t>1</w:t>
            </w:r>
          </w:p>
        </w:tc>
        <w:tc>
          <w:tcPr>
            <w:tcW w:w="450" w:type="dxa"/>
            <w:tcBorders>
              <w:bottom w:val="single" w:sz="4" w:space="0" w:color="auto"/>
              <w:right w:val="single" w:sz="18" w:space="0" w:color="auto"/>
            </w:tcBorders>
            <w:shd w:val="clear" w:color="auto" w:fill="FABF8F"/>
            <w:vAlign w:val="bottom"/>
          </w:tcPr>
          <w:p w:rsidR="001A63C6" w:rsidRPr="003410C7" w:rsidRDefault="001A63C6" w:rsidP="001A63C6">
            <w:pPr>
              <w:pStyle w:val="TableText"/>
              <w:widowControl w:val="0"/>
              <w:spacing w:after="120"/>
              <w:rPr>
                <w:rFonts w:ascii="Tahoma" w:hAnsi="Tahoma" w:cs="Tahoma"/>
                <w:sz w:val="13"/>
                <w:szCs w:val="13"/>
              </w:rPr>
            </w:pPr>
            <w:r w:rsidRPr="003410C7">
              <w:rPr>
                <w:rFonts w:ascii="Tahoma" w:hAnsi="Tahoma" w:cs="Tahoma"/>
                <w:sz w:val="13"/>
                <w:szCs w:val="13"/>
              </w:rPr>
              <w:t>1</w:t>
            </w:r>
          </w:p>
        </w:tc>
        <w:tc>
          <w:tcPr>
            <w:tcW w:w="450" w:type="dxa"/>
            <w:tcBorders>
              <w:left w:val="single" w:sz="18" w:space="0" w:color="auto"/>
              <w:bottom w:val="single" w:sz="4" w:space="0" w:color="auto"/>
            </w:tcBorders>
            <w:shd w:val="clear" w:color="auto" w:fill="FABF8F"/>
            <w:vAlign w:val="bottom"/>
          </w:tcPr>
          <w:p w:rsidR="001A63C6" w:rsidRPr="003410C7" w:rsidRDefault="001A63C6" w:rsidP="001A63C6">
            <w:pPr>
              <w:pStyle w:val="TableText"/>
              <w:widowControl w:val="0"/>
              <w:spacing w:after="120"/>
              <w:rPr>
                <w:rFonts w:ascii="Tahoma" w:hAnsi="Tahoma" w:cs="Tahoma"/>
                <w:sz w:val="13"/>
                <w:szCs w:val="13"/>
              </w:rPr>
            </w:pPr>
            <w:r w:rsidRPr="003410C7">
              <w:rPr>
                <w:rFonts w:ascii="Tahoma" w:hAnsi="Tahoma" w:cs="Tahoma"/>
                <w:sz w:val="13"/>
                <w:szCs w:val="13"/>
              </w:rPr>
              <w:t>1</w:t>
            </w:r>
          </w:p>
        </w:tc>
        <w:tc>
          <w:tcPr>
            <w:tcW w:w="450" w:type="dxa"/>
            <w:tcBorders>
              <w:bottom w:val="single" w:sz="4" w:space="0" w:color="auto"/>
              <w:right w:val="single" w:sz="18" w:space="0" w:color="auto"/>
            </w:tcBorders>
            <w:shd w:val="clear" w:color="auto" w:fill="FABF8F"/>
            <w:vAlign w:val="center"/>
          </w:tcPr>
          <w:p w:rsidR="001A63C6" w:rsidRPr="003410C7"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3410C7"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tcPr>
          <w:p w:rsidR="001A63C6" w:rsidRPr="003410C7" w:rsidRDefault="001A63C6" w:rsidP="001A63C6">
            <w:pPr>
              <w:pStyle w:val="TableText"/>
              <w:widowControl w:val="0"/>
              <w:rPr>
                <w:rFonts w:ascii="Tahoma" w:hAnsi="Tahoma" w:cs="Tahoma"/>
                <w:sz w:val="13"/>
              </w:rPr>
            </w:pPr>
          </w:p>
        </w:tc>
        <w:tc>
          <w:tcPr>
            <w:tcW w:w="540" w:type="dxa"/>
            <w:tcBorders>
              <w:bottom w:val="single" w:sz="4" w:space="0" w:color="auto"/>
            </w:tcBorders>
            <w:shd w:val="clear" w:color="auto" w:fill="FABF8F"/>
            <w:vAlign w:val="center"/>
          </w:tcPr>
          <w:p w:rsidR="001A63C6" w:rsidRPr="003410C7" w:rsidRDefault="001A63C6" w:rsidP="001A63C6">
            <w:pPr>
              <w:pStyle w:val="TableText"/>
              <w:widowControl w:val="0"/>
              <w:rPr>
                <w:rFonts w:ascii="Tahoma" w:hAnsi="Tahoma" w:cs="Tahoma"/>
                <w:sz w:val="13"/>
              </w:rPr>
            </w:pPr>
          </w:p>
        </w:tc>
      </w:tr>
      <w:tr w:rsidR="006864A1" w:rsidRPr="003410C7" w:rsidTr="006B1F3F">
        <w:trPr>
          <w:trHeight w:val="134"/>
        </w:trPr>
        <w:tc>
          <w:tcPr>
            <w:tcW w:w="2734" w:type="dxa"/>
            <w:gridSpan w:val="2"/>
            <w:tcBorders>
              <w:bottom w:val="single" w:sz="4" w:space="0" w:color="auto"/>
            </w:tcBorders>
            <w:shd w:val="clear" w:color="auto" w:fill="auto"/>
            <w:vAlign w:val="center"/>
          </w:tcPr>
          <w:p w:rsidR="001A63C6" w:rsidRPr="00451078" w:rsidRDefault="001A63C6" w:rsidP="00F57878">
            <w:pPr>
              <w:pStyle w:val="ProductNames"/>
              <w:spacing w:beforeLines="20" w:before="48" w:afterLines="20" w:after="48"/>
              <w:rPr>
                <w:rFonts w:ascii="Tahoma" w:hAnsi="Tahoma" w:cs="Tahoma"/>
                <w:sz w:val="14"/>
                <w:lang w:val="it-IT"/>
              </w:rPr>
            </w:pPr>
            <w:bookmarkStart w:id="473" w:name="_Toc336338095"/>
            <w:bookmarkStart w:id="474" w:name="_Toc352234692"/>
            <w:r w:rsidRPr="00451078">
              <w:rPr>
                <w:rFonts w:ascii="Tahoma" w:hAnsi="Tahoma" w:cs="Tahoma"/>
                <w:sz w:val="14"/>
                <w:szCs w:val="14"/>
                <w:lang w:val="it-IT"/>
              </w:rPr>
              <w:t>Licenza di Gestione Client (Client ML) per</w:t>
            </w:r>
            <w:r w:rsidR="00F57878" w:rsidRPr="00451078">
              <w:rPr>
                <w:rFonts w:ascii="Tahoma" w:hAnsi="Tahoma" w:cs="Tahoma"/>
                <w:sz w:val="14"/>
                <w:szCs w:val="14"/>
                <w:lang w:val="it-IT"/>
              </w:rPr>
              <w:t> </w:t>
            </w:r>
            <w:r w:rsidRPr="00451078">
              <w:rPr>
                <w:rFonts w:ascii="Tahoma" w:hAnsi="Tahoma" w:cs="Tahoma"/>
                <w:sz w:val="14"/>
                <w:szCs w:val="14"/>
                <w:lang w:val="it-IT"/>
              </w:rPr>
              <w:t>System Center 2012 Configuration Manager (Solo Studenti)</w:t>
            </w:r>
            <w:bookmarkEnd w:id="473"/>
            <w:bookmarkEnd w:id="474"/>
          </w:p>
        </w:tc>
        <w:tc>
          <w:tcPr>
            <w:tcW w:w="450" w:type="dxa"/>
            <w:tcBorders>
              <w:bottom w:val="single" w:sz="4" w:space="0" w:color="auto"/>
            </w:tcBorders>
            <w:shd w:val="clear" w:color="auto" w:fill="auto"/>
            <w:vAlign w:val="center"/>
          </w:tcPr>
          <w:p w:rsidR="001A63C6" w:rsidRPr="009F17FF" w:rsidRDefault="00FC1A4D" w:rsidP="007E466C">
            <w:pPr>
              <w:pStyle w:val="TableText"/>
              <w:widowControl w:val="0"/>
              <w:rPr>
                <w:b/>
                <w:color w:val="000000"/>
                <w:sz w:val="13"/>
                <w:szCs w:val="13"/>
                <w:u w:val="single"/>
              </w:rPr>
            </w:pPr>
            <w:hyperlink w:anchor="_91_89_System" w:history="1">
              <w:r w:rsidR="000D77F6" w:rsidRPr="009F17FF">
                <w:rPr>
                  <w:rStyle w:val="Hyperlink"/>
                  <w:rFonts w:cs="Tahoma"/>
                  <w:sz w:val="13"/>
                  <w:szCs w:val="13"/>
                </w:rPr>
                <w:t>89</w:t>
              </w:r>
            </w:hyperlink>
            <w:hyperlink w:anchor="Srv_101SystemCenter2012" w:history="1"/>
          </w:p>
        </w:tc>
        <w:tc>
          <w:tcPr>
            <w:tcW w:w="450" w:type="dxa"/>
            <w:tcBorders>
              <w:bottom w:val="single" w:sz="4" w:space="0" w:color="auto"/>
            </w:tcBorders>
            <w:shd w:val="clear" w:color="auto" w:fill="auto"/>
          </w:tcPr>
          <w:p w:rsidR="001A63C6" w:rsidRPr="003410C7" w:rsidRDefault="001A63C6" w:rsidP="001A63C6">
            <w:pPr>
              <w:pStyle w:val="TableText"/>
              <w:widowControl w:val="0"/>
              <w:spacing w:before="240"/>
              <w:rPr>
                <w:rFonts w:ascii="Tahoma" w:hAnsi="Tahoma" w:cs="Tahoma"/>
                <w:sz w:val="13"/>
              </w:rPr>
            </w:pPr>
            <w:r w:rsidRPr="003410C7">
              <w:rPr>
                <w:rFonts w:ascii="Tahoma" w:hAnsi="Tahoma" w:cs="Tahoma"/>
                <w:sz w:val="13"/>
              </w:rPr>
              <w:t>04/12</w:t>
            </w:r>
          </w:p>
        </w:tc>
        <w:tc>
          <w:tcPr>
            <w:tcW w:w="360" w:type="dxa"/>
            <w:tcBorders>
              <w:bottom w:val="single" w:sz="4" w:space="0" w:color="auto"/>
              <w:right w:val="single" w:sz="18" w:space="0" w:color="auto"/>
            </w:tcBorders>
            <w:shd w:val="clear" w:color="auto" w:fill="auto"/>
            <w:vAlign w:val="center"/>
          </w:tcPr>
          <w:p w:rsidR="001A63C6" w:rsidRPr="003410C7" w:rsidRDefault="001A63C6" w:rsidP="001A63C6">
            <w:pPr>
              <w:pStyle w:val="TableText"/>
              <w:widowControl w:val="0"/>
              <w:rPr>
                <w:rFonts w:ascii="Tahoma" w:hAnsi="Tahoma" w:cs="Tahoma"/>
                <w:sz w:val="13"/>
              </w:rPr>
            </w:pPr>
            <w:r w:rsidRPr="003410C7">
              <w:rPr>
                <w:rFonts w:ascii="Tahoma" w:hAnsi="Tahoma" w:cs="Tahoma"/>
                <w:color w:val="000000"/>
                <w:sz w:val="13"/>
              </w:rPr>
              <w:t>SRV</w:t>
            </w:r>
          </w:p>
        </w:tc>
        <w:tc>
          <w:tcPr>
            <w:tcW w:w="360" w:type="dxa"/>
            <w:tcBorders>
              <w:left w:val="single" w:sz="18" w:space="0" w:color="auto"/>
              <w:bottom w:val="single" w:sz="4" w:space="0" w:color="auto"/>
            </w:tcBorders>
            <w:shd w:val="clear" w:color="auto" w:fill="auto"/>
            <w:vAlign w:val="bottom"/>
          </w:tcPr>
          <w:p w:rsidR="001A63C6" w:rsidRPr="003410C7" w:rsidRDefault="001A63C6" w:rsidP="001A63C6">
            <w:pPr>
              <w:pStyle w:val="TableText"/>
              <w:widowControl w:val="0"/>
              <w:spacing w:after="120"/>
              <w:rPr>
                <w:rFonts w:ascii="Tahoma" w:hAnsi="Tahoma" w:cs="Tahoma"/>
                <w:sz w:val="13"/>
                <w:szCs w:val="13"/>
              </w:rPr>
            </w:pPr>
          </w:p>
        </w:tc>
        <w:tc>
          <w:tcPr>
            <w:tcW w:w="450" w:type="dxa"/>
            <w:tcBorders>
              <w:bottom w:val="single" w:sz="4" w:space="0" w:color="auto"/>
            </w:tcBorders>
            <w:shd w:val="clear" w:color="auto" w:fill="auto"/>
            <w:vAlign w:val="bottom"/>
          </w:tcPr>
          <w:p w:rsidR="001A63C6" w:rsidRPr="003410C7" w:rsidRDefault="001A63C6" w:rsidP="001A63C6">
            <w:pPr>
              <w:pStyle w:val="TableText"/>
              <w:widowControl w:val="0"/>
              <w:spacing w:after="120"/>
              <w:rPr>
                <w:rFonts w:ascii="Tahoma" w:hAnsi="Tahoma" w:cs="Tahoma"/>
                <w:sz w:val="13"/>
                <w:szCs w:val="13"/>
              </w:rPr>
            </w:pPr>
            <w:r w:rsidRPr="003410C7">
              <w:rPr>
                <w:rFonts w:ascii="Tahoma" w:hAnsi="Tahoma" w:cs="Tahoma"/>
                <w:sz w:val="13"/>
                <w:szCs w:val="13"/>
              </w:rPr>
              <w:t>2</w:t>
            </w:r>
          </w:p>
        </w:tc>
        <w:tc>
          <w:tcPr>
            <w:tcW w:w="450" w:type="dxa"/>
            <w:tcBorders>
              <w:bottom w:val="single" w:sz="4" w:space="0" w:color="auto"/>
            </w:tcBorders>
            <w:shd w:val="clear" w:color="auto" w:fill="auto"/>
            <w:vAlign w:val="bottom"/>
          </w:tcPr>
          <w:p w:rsidR="001A63C6" w:rsidRPr="003410C7" w:rsidRDefault="001A63C6" w:rsidP="001A63C6">
            <w:pPr>
              <w:pStyle w:val="TableText"/>
              <w:widowControl w:val="0"/>
              <w:spacing w:after="120"/>
              <w:rPr>
                <w:rFonts w:ascii="Tahoma" w:hAnsi="Tahoma" w:cs="Tahoma"/>
                <w:sz w:val="13"/>
                <w:szCs w:val="13"/>
              </w:rPr>
            </w:pPr>
            <w:r w:rsidRPr="003410C7">
              <w:rPr>
                <w:rFonts w:ascii="Tahoma" w:hAnsi="Tahoma" w:cs="Tahoma"/>
                <w:sz w:val="13"/>
                <w:szCs w:val="13"/>
              </w:rPr>
              <w:t>2</w:t>
            </w:r>
          </w:p>
        </w:tc>
        <w:tc>
          <w:tcPr>
            <w:tcW w:w="450" w:type="dxa"/>
            <w:tcBorders>
              <w:bottom w:val="single" w:sz="4" w:space="0" w:color="auto"/>
            </w:tcBorders>
            <w:shd w:val="clear" w:color="auto" w:fill="auto"/>
            <w:vAlign w:val="bottom"/>
          </w:tcPr>
          <w:p w:rsidR="001A63C6" w:rsidRPr="003410C7" w:rsidRDefault="001A63C6" w:rsidP="001A63C6">
            <w:pPr>
              <w:pStyle w:val="TableText"/>
              <w:widowControl w:val="0"/>
              <w:spacing w:after="120"/>
              <w:rPr>
                <w:rFonts w:ascii="Tahoma" w:hAnsi="Tahoma" w:cs="Tahoma"/>
                <w:sz w:val="13"/>
                <w:szCs w:val="13"/>
              </w:rPr>
            </w:pPr>
            <w:r w:rsidRPr="003410C7">
              <w:rPr>
                <w:rFonts w:ascii="Tahoma" w:hAnsi="Tahoma" w:cs="Tahoma"/>
                <w:sz w:val="13"/>
                <w:szCs w:val="13"/>
              </w:rPr>
              <w:t>2</w:t>
            </w:r>
          </w:p>
        </w:tc>
        <w:tc>
          <w:tcPr>
            <w:tcW w:w="450" w:type="dxa"/>
            <w:tcBorders>
              <w:bottom w:val="single" w:sz="4" w:space="0" w:color="auto"/>
            </w:tcBorders>
            <w:shd w:val="clear" w:color="auto" w:fill="auto"/>
            <w:vAlign w:val="bottom"/>
          </w:tcPr>
          <w:p w:rsidR="001A63C6" w:rsidRPr="003410C7" w:rsidRDefault="001A63C6" w:rsidP="001A63C6">
            <w:pPr>
              <w:pStyle w:val="TableText"/>
              <w:widowControl w:val="0"/>
              <w:spacing w:after="120"/>
              <w:rPr>
                <w:rFonts w:ascii="Tahoma" w:hAnsi="Tahoma" w:cs="Tahoma"/>
                <w:sz w:val="13"/>
                <w:szCs w:val="13"/>
              </w:rPr>
            </w:pPr>
            <w:r w:rsidRPr="003410C7">
              <w:rPr>
                <w:rFonts w:ascii="Tahoma" w:hAnsi="Tahoma" w:cs="Tahoma"/>
                <w:sz w:val="13"/>
                <w:szCs w:val="13"/>
              </w:rPr>
              <w:t>1</w:t>
            </w:r>
          </w:p>
        </w:tc>
        <w:tc>
          <w:tcPr>
            <w:tcW w:w="450" w:type="dxa"/>
            <w:tcBorders>
              <w:bottom w:val="single" w:sz="4" w:space="0" w:color="auto"/>
            </w:tcBorders>
            <w:shd w:val="clear" w:color="auto" w:fill="auto"/>
            <w:vAlign w:val="bottom"/>
          </w:tcPr>
          <w:p w:rsidR="001A63C6" w:rsidRPr="003410C7" w:rsidRDefault="001A63C6" w:rsidP="001A63C6">
            <w:pPr>
              <w:pStyle w:val="TableText"/>
              <w:widowControl w:val="0"/>
              <w:spacing w:after="120"/>
              <w:rPr>
                <w:rFonts w:ascii="Tahoma" w:hAnsi="Tahoma" w:cs="Tahoma"/>
                <w:sz w:val="13"/>
                <w:szCs w:val="13"/>
              </w:rPr>
            </w:pPr>
            <w:r w:rsidRPr="003410C7">
              <w:rPr>
                <w:rFonts w:ascii="Tahoma" w:hAnsi="Tahoma" w:cs="Tahoma"/>
                <w:sz w:val="13"/>
                <w:szCs w:val="13"/>
              </w:rPr>
              <w:t>1</w:t>
            </w:r>
          </w:p>
        </w:tc>
        <w:tc>
          <w:tcPr>
            <w:tcW w:w="360" w:type="dxa"/>
            <w:tcBorders>
              <w:bottom w:val="single" w:sz="4" w:space="0" w:color="auto"/>
              <w:right w:val="single" w:sz="18" w:space="0" w:color="auto"/>
            </w:tcBorders>
            <w:shd w:val="clear" w:color="auto" w:fill="auto"/>
            <w:vAlign w:val="bottom"/>
          </w:tcPr>
          <w:p w:rsidR="001A63C6" w:rsidRPr="003410C7" w:rsidRDefault="001A63C6" w:rsidP="001A63C6">
            <w:pPr>
              <w:pStyle w:val="TableText"/>
              <w:widowControl w:val="0"/>
              <w:spacing w:after="120"/>
              <w:rPr>
                <w:rFonts w:ascii="Tahoma" w:hAnsi="Tahoma" w:cs="Tahoma"/>
                <w:sz w:val="13"/>
                <w:szCs w:val="13"/>
              </w:rPr>
            </w:pPr>
            <w:r w:rsidRPr="003410C7">
              <w:rPr>
                <w:rFonts w:ascii="Tahoma" w:hAnsi="Tahoma" w:cs="Tahoma"/>
                <w:sz w:val="13"/>
                <w:szCs w:val="13"/>
              </w:rPr>
              <w:t> </w:t>
            </w:r>
          </w:p>
        </w:tc>
        <w:tc>
          <w:tcPr>
            <w:tcW w:w="450" w:type="dxa"/>
            <w:tcBorders>
              <w:left w:val="single" w:sz="18" w:space="0" w:color="auto"/>
              <w:bottom w:val="single" w:sz="4" w:space="0" w:color="auto"/>
            </w:tcBorders>
            <w:shd w:val="clear" w:color="auto" w:fill="auto"/>
            <w:vAlign w:val="bottom"/>
          </w:tcPr>
          <w:p w:rsidR="001A63C6" w:rsidRPr="003410C7" w:rsidRDefault="001A63C6" w:rsidP="001A63C6">
            <w:pPr>
              <w:pStyle w:val="TableText"/>
              <w:widowControl w:val="0"/>
              <w:spacing w:after="120"/>
              <w:rPr>
                <w:rFonts w:ascii="Tahoma" w:hAnsi="Tahoma" w:cs="Tahoma"/>
                <w:sz w:val="13"/>
                <w:szCs w:val="13"/>
              </w:rPr>
            </w:pPr>
          </w:p>
        </w:tc>
        <w:tc>
          <w:tcPr>
            <w:tcW w:w="450" w:type="dxa"/>
            <w:tcBorders>
              <w:bottom w:val="single" w:sz="4" w:space="0" w:color="auto"/>
            </w:tcBorders>
            <w:shd w:val="clear" w:color="auto" w:fill="auto"/>
            <w:vAlign w:val="bottom"/>
          </w:tcPr>
          <w:p w:rsidR="001A63C6" w:rsidRPr="003410C7" w:rsidRDefault="001A63C6" w:rsidP="001A63C6">
            <w:pPr>
              <w:pStyle w:val="TableText"/>
              <w:widowControl w:val="0"/>
              <w:spacing w:after="120"/>
              <w:rPr>
                <w:rFonts w:ascii="Tahoma" w:hAnsi="Tahoma" w:cs="Tahoma"/>
                <w:sz w:val="13"/>
                <w:szCs w:val="13"/>
              </w:rPr>
            </w:pPr>
            <w:r w:rsidRPr="003410C7">
              <w:rPr>
                <w:rFonts w:ascii="Tahoma" w:hAnsi="Tahoma" w:cs="Tahoma"/>
                <w:sz w:val="13"/>
                <w:szCs w:val="13"/>
              </w:rPr>
              <w:t>1</w:t>
            </w:r>
          </w:p>
        </w:tc>
        <w:tc>
          <w:tcPr>
            <w:tcW w:w="450" w:type="dxa"/>
            <w:tcBorders>
              <w:bottom w:val="single" w:sz="4" w:space="0" w:color="auto"/>
              <w:right w:val="single" w:sz="18" w:space="0" w:color="auto"/>
            </w:tcBorders>
            <w:shd w:val="clear" w:color="auto" w:fill="auto"/>
            <w:vAlign w:val="bottom"/>
          </w:tcPr>
          <w:p w:rsidR="001A63C6" w:rsidRPr="003410C7" w:rsidRDefault="001A63C6" w:rsidP="001A63C6">
            <w:pPr>
              <w:pStyle w:val="TableText"/>
              <w:widowControl w:val="0"/>
              <w:spacing w:after="120"/>
              <w:rPr>
                <w:rFonts w:ascii="Tahoma" w:hAnsi="Tahoma" w:cs="Tahoma"/>
                <w:sz w:val="13"/>
                <w:szCs w:val="13"/>
              </w:rPr>
            </w:pPr>
            <w:r w:rsidRPr="003410C7">
              <w:rPr>
                <w:rFonts w:ascii="Tahoma" w:hAnsi="Tahoma" w:cs="Tahoma"/>
                <w:sz w:val="13"/>
                <w:szCs w:val="13"/>
              </w:rPr>
              <w:t>3</w:t>
            </w:r>
          </w:p>
        </w:tc>
        <w:tc>
          <w:tcPr>
            <w:tcW w:w="450" w:type="dxa"/>
            <w:tcBorders>
              <w:left w:val="single" w:sz="18" w:space="0" w:color="auto"/>
              <w:bottom w:val="single" w:sz="4" w:space="0" w:color="auto"/>
            </w:tcBorders>
            <w:shd w:val="clear" w:color="auto" w:fill="auto"/>
            <w:vAlign w:val="bottom"/>
          </w:tcPr>
          <w:p w:rsidR="001A63C6" w:rsidRPr="003410C7" w:rsidRDefault="001A63C6" w:rsidP="001A63C6">
            <w:pPr>
              <w:pStyle w:val="TableText"/>
              <w:widowControl w:val="0"/>
              <w:rPr>
                <w:rFonts w:ascii="Tahoma" w:hAnsi="Tahoma" w:cs="Tahoma"/>
                <w:sz w:val="13"/>
                <w:szCs w:val="13"/>
              </w:rPr>
            </w:pPr>
          </w:p>
        </w:tc>
        <w:tc>
          <w:tcPr>
            <w:tcW w:w="450" w:type="dxa"/>
            <w:tcBorders>
              <w:bottom w:val="single" w:sz="4" w:space="0" w:color="auto"/>
              <w:right w:val="single" w:sz="18" w:space="0" w:color="auto"/>
            </w:tcBorders>
            <w:shd w:val="clear" w:color="auto" w:fill="auto"/>
            <w:vAlign w:val="center"/>
          </w:tcPr>
          <w:p w:rsidR="001A63C6" w:rsidRPr="003410C7"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rsidR="001A63C6" w:rsidRPr="003410C7"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tcPr>
          <w:p w:rsidR="001A63C6" w:rsidRPr="003410C7" w:rsidRDefault="001A63C6" w:rsidP="001A63C6">
            <w:pPr>
              <w:pStyle w:val="TableText"/>
              <w:widowControl w:val="0"/>
              <w:rPr>
                <w:rFonts w:ascii="Tahoma" w:hAnsi="Tahoma" w:cs="Tahoma"/>
                <w:sz w:val="13"/>
              </w:rPr>
            </w:pPr>
          </w:p>
        </w:tc>
        <w:tc>
          <w:tcPr>
            <w:tcW w:w="540" w:type="dxa"/>
            <w:tcBorders>
              <w:bottom w:val="single" w:sz="4" w:space="0" w:color="auto"/>
            </w:tcBorders>
            <w:shd w:val="clear" w:color="auto" w:fill="auto"/>
            <w:vAlign w:val="center"/>
          </w:tcPr>
          <w:p w:rsidR="001A63C6" w:rsidRPr="003410C7" w:rsidRDefault="001A63C6" w:rsidP="001A63C6">
            <w:pPr>
              <w:pStyle w:val="TableText"/>
              <w:widowControl w:val="0"/>
              <w:rPr>
                <w:rFonts w:ascii="Tahoma" w:hAnsi="Tahoma" w:cs="Tahoma"/>
                <w:sz w:val="13"/>
              </w:rPr>
            </w:pPr>
          </w:p>
        </w:tc>
      </w:tr>
      <w:tr w:rsidR="006864A1" w:rsidRPr="003410C7" w:rsidTr="006B1F3F">
        <w:trPr>
          <w:trHeight w:val="134"/>
        </w:trPr>
        <w:tc>
          <w:tcPr>
            <w:tcW w:w="2734" w:type="dxa"/>
            <w:gridSpan w:val="2"/>
            <w:tcBorders>
              <w:bottom w:val="single" w:sz="4" w:space="0" w:color="auto"/>
            </w:tcBorders>
            <w:shd w:val="clear" w:color="auto" w:fill="FABF8F"/>
            <w:vAlign w:val="center"/>
          </w:tcPr>
          <w:p w:rsidR="001A63C6" w:rsidRPr="00451078" w:rsidRDefault="001A63C6" w:rsidP="00FE2D13">
            <w:pPr>
              <w:pStyle w:val="ProductNames"/>
              <w:spacing w:beforeLines="20" w:before="48" w:afterLines="20" w:after="48"/>
              <w:rPr>
                <w:rFonts w:ascii="Tahoma" w:hAnsi="Tahoma" w:cs="Tahoma"/>
                <w:sz w:val="14"/>
                <w:lang w:val="it-IT"/>
              </w:rPr>
            </w:pPr>
            <w:bookmarkStart w:id="475" w:name="_Toc336338096"/>
            <w:bookmarkStart w:id="476" w:name="_Toc352234693"/>
            <w:r w:rsidRPr="00451078">
              <w:rPr>
                <w:rFonts w:ascii="Tahoma" w:hAnsi="Tahoma" w:cs="Tahoma"/>
                <w:sz w:val="14"/>
                <w:lang w:val="it-IT"/>
              </w:rPr>
              <w:t>Licenza di Gestione Client per OSE</w:t>
            </w:r>
            <w:r w:rsidR="00FE2D13" w:rsidRPr="00451078">
              <w:rPr>
                <w:rFonts w:ascii="Tahoma" w:hAnsi="Tahoma" w:cs="Tahoma"/>
                <w:sz w:val="14"/>
                <w:lang w:val="it-IT"/>
              </w:rPr>
              <w:t> </w:t>
            </w:r>
            <w:r w:rsidRPr="00451078">
              <w:rPr>
                <w:rFonts w:ascii="Tahoma" w:hAnsi="Tahoma" w:cs="Tahoma"/>
                <w:sz w:val="14"/>
                <w:lang w:val="it-IT"/>
              </w:rPr>
              <w:t>per</w:t>
            </w:r>
            <w:r w:rsidR="00F57878" w:rsidRPr="00451078">
              <w:rPr>
                <w:rFonts w:ascii="Tahoma" w:hAnsi="Tahoma" w:cs="Tahoma"/>
                <w:sz w:val="14"/>
                <w:lang w:val="it-IT"/>
              </w:rPr>
              <w:t> </w:t>
            </w:r>
            <w:r w:rsidRPr="00451078">
              <w:rPr>
                <w:rFonts w:ascii="Tahoma" w:hAnsi="Tahoma" w:cs="Tahoma"/>
                <w:sz w:val="14"/>
                <w:lang w:val="it-IT"/>
              </w:rPr>
              <w:t>System Center 2012 Configuration</w:t>
            </w:r>
            <w:r w:rsidR="00FE2D13" w:rsidRPr="00451078">
              <w:rPr>
                <w:rFonts w:ascii="Tahoma" w:hAnsi="Tahoma" w:cs="Tahoma"/>
                <w:sz w:val="14"/>
                <w:lang w:val="it-IT"/>
              </w:rPr>
              <w:t> </w:t>
            </w:r>
            <w:r w:rsidRPr="00451078">
              <w:rPr>
                <w:rFonts w:ascii="Tahoma" w:hAnsi="Tahoma" w:cs="Tahoma"/>
                <w:sz w:val="14"/>
                <w:lang w:val="it-IT"/>
              </w:rPr>
              <w:t>Manager</w:t>
            </w:r>
            <w:bookmarkEnd w:id="475"/>
            <w:bookmarkEnd w:id="476"/>
          </w:p>
        </w:tc>
        <w:tc>
          <w:tcPr>
            <w:tcW w:w="450" w:type="dxa"/>
            <w:tcBorders>
              <w:bottom w:val="single" w:sz="4" w:space="0" w:color="auto"/>
            </w:tcBorders>
            <w:shd w:val="clear" w:color="auto" w:fill="FABF8F"/>
            <w:vAlign w:val="center"/>
          </w:tcPr>
          <w:p w:rsidR="001A63C6" w:rsidRPr="009F17FF" w:rsidRDefault="00FC1A4D" w:rsidP="007E466C">
            <w:pPr>
              <w:pStyle w:val="TableText"/>
              <w:widowControl w:val="0"/>
              <w:rPr>
                <w:b/>
                <w:color w:val="000000"/>
                <w:sz w:val="13"/>
                <w:szCs w:val="13"/>
                <w:u w:val="single"/>
              </w:rPr>
            </w:pPr>
            <w:hyperlink w:anchor="_91_89_System" w:history="1">
              <w:r w:rsidR="000D77F6" w:rsidRPr="009F17FF">
                <w:rPr>
                  <w:rStyle w:val="Hyperlink"/>
                  <w:rFonts w:cs="Tahoma"/>
                  <w:sz w:val="13"/>
                  <w:szCs w:val="13"/>
                </w:rPr>
                <w:t>89</w:t>
              </w:r>
            </w:hyperlink>
          </w:p>
        </w:tc>
        <w:tc>
          <w:tcPr>
            <w:tcW w:w="450" w:type="dxa"/>
            <w:tcBorders>
              <w:bottom w:val="single" w:sz="4" w:space="0" w:color="auto"/>
            </w:tcBorders>
            <w:shd w:val="clear" w:color="auto" w:fill="FABF8F"/>
          </w:tcPr>
          <w:p w:rsidR="001A63C6" w:rsidRPr="003410C7" w:rsidRDefault="001A63C6" w:rsidP="001A63C6">
            <w:pPr>
              <w:pStyle w:val="TableText"/>
              <w:widowControl w:val="0"/>
              <w:spacing w:before="240"/>
              <w:rPr>
                <w:rFonts w:ascii="Tahoma" w:hAnsi="Tahoma" w:cs="Tahoma"/>
                <w:sz w:val="13"/>
              </w:rPr>
            </w:pPr>
            <w:r w:rsidRPr="003410C7">
              <w:rPr>
                <w:rFonts w:ascii="Tahoma" w:hAnsi="Tahoma" w:cs="Tahoma"/>
                <w:sz w:val="13"/>
              </w:rPr>
              <w:t>04/12</w:t>
            </w:r>
          </w:p>
        </w:tc>
        <w:tc>
          <w:tcPr>
            <w:tcW w:w="360" w:type="dxa"/>
            <w:tcBorders>
              <w:bottom w:val="single" w:sz="4" w:space="0" w:color="auto"/>
              <w:right w:val="single" w:sz="18" w:space="0" w:color="auto"/>
            </w:tcBorders>
            <w:shd w:val="clear" w:color="auto" w:fill="FABF8F"/>
            <w:vAlign w:val="center"/>
          </w:tcPr>
          <w:p w:rsidR="001A63C6" w:rsidRPr="003410C7" w:rsidRDefault="001A63C6" w:rsidP="001A63C6">
            <w:pPr>
              <w:pStyle w:val="TableText"/>
              <w:widowControl w:val="0"/>
              <w:rPr>
                <w:rFonts w:ascii="Tahoma" w:hAnsi="Tahoma" w:cs="Tahoma"/>
                <w:sz w:val="13"/>
              </w:rPr>
            </w:pPr>
            <w:r w:rsidRPr="003410C7">
              <w:rPr>
                <w:rFonts w:ascii="Tahoma" w:hAnsi="Tahoma" w:cs="Tahoma"/>
                <w:color w:val="000000"/>
                <w:sz w:val="13"/>
              </w:rPr>
              <w:t>SRV</w:t>
            </w:r>
          </w:p>
        </w:tc>
        <w:tc>
          <w:tcPr>
            <w:tcW w:w="360" w:type="dxa"/>
            <w:tcBorders>
              <w:left w:val="single" w:sz="18" w:space="0" w:color="auto"/>
              <w:bottom w:val="single" w:sz="4" w:space="0" w:color="auto"/>
            </w:tcBorders>
            <w:shd w:val="clear" w:color="auto" w:fill="FABF8F"/>
            <w:vAlign w:val="bottom"/>
          </w:tcPr>
          <w:p w:rsidR="001A63C6" w:rsidRPr="003410C7" w:rsidRDefault="001A63C6" w:rsidP="001A63C6">
            <w:pPr>
              <w:pStyle w:val="TableText"/>
              <w:widowControl w:val="0"/>
              <w:spacing w:after="120"/>
              <w:rPr>
                <w:rFonts w:ascii="Tahoma" w:hAnsi="Tahoma" w:cs="Tahoma"/>
                <w:sz w:val="13"/>
                <w:szCs w:val="13"/>
              </w:rPr>
            </w:pPr>
          </w:p>
        </w:tc>
        <w:tc>
          <w:tcPr>
            <w:tcW w:w="450" w:type="dxa"/>
            <w:tcBorders>
              <w:bottom w:val="single" w:sz="4" w:space="0" w:color="auto"/>
            </w:tcBorders>
            <w:shd w:val="clear" w:color="auto" w:fill="FABF8F"/>
            <w:vAlign w:val="bottom"/>
          </w:tcPr>
          <w:p w:rsidR="001A63C6" w:rsidRPr="003410C7" w:rsidRDefault="001A63C6" w:rsidP="001A63C6">
            <w:pPr>
              <w:pStyle w:val="TableText"/>
              <w:widowControl w:val="0"/>
              <w:spacing w:after="120"/>
              <w:rPr>
                <w:rFonts w:ascii="Tahoma" w:hAnsi="Tahoma" w:cs="Tahoma"/>
                <w:sz w:val="13"/>
                <w:szCs w:val="13"/>
              </w:rPr>
            </w:pPr>
            <w:r w:rsidRPr="003410C7">
              <w:rPr>
                <w:rFonts w:ascii="Arial" w:hAnsi="Arial" w:cs="Arial"/>
                <w:sz w:val="13"/>
                <w:szCs w:val="13"/>
              </w:rPr>
              <w:t>3</w:t>
            </w:r>
          </w:p>
        </w:tc>
        <w:tc>
          <w:tcPr>
            <w:tcW w:w="450" w:type="dxa"/>
            <w:tcBorders>
              <w:bottom w:val="single" w:sz="4" w:space="0" w:color="auto"/>
            </w:tcBorders>
            <w:shd w:val="clear" w:color="auto" w:fill="FABF8F"/>
            <w:vAlign w:val="bottom"/>
          </w:tcPr>
          <w:p w:rsidR="001A63C6" w:rsidRPr="003410C7" w:rsidRDefault="001A63C6" w:rsidP="001A63C6">
            <w:pPr>
              <w:pStyle w:val="TableText"/>
              <w:widowControl w:val="0"/>
              <w:spacing w:after="120"/>
              <w:rPr>
                <w:rFonts w:ascii="Tahoma" w:hAnsi="Tahoma" w:cs="Tahoma"/>
                <w:sz w:val="13"/>
                <w:szCs w:val="13"/>
              </w:rPr>
            </w:pPr>
            <w:r w:rsidRPr="003410C7">
              <w:rPr>
                <w:rFonts w:ascii="Arial" w:hAnsi="Arial" w:cs="Arial"/>
                <w:sz w:val="13"/>
                <w:szCs w:val="13"/>
              </w:rPr>
              <w:t>2</w:t>
            </w:r>
          </w:p>
        </w:tc>
        <w:tc>
          <w:tcPr>
            <w:tcW w:w="450" w:type="dxa"/>
            <w:tcBorders>
              <w:bottom w:val="single" w:sz="4" w:space="0" w:color="auto"/>
            </w:tcBorders>
            <w:shd w:val="clear" w:color="auto" w:fill="FABF8F"/>
            <w:vAlign w:val="bottom"/>
          </w:tcPr>
          <w:p w:rsidR="001A63C6" w:rsidRPr="003410C7" w:rsidRDefault="001A63C6" w:rsidP="001A63C6">
            <w:pPr>
              <w:pStyle w:val="TableText"/>
              <w:widowControl w:val="0"/>
              <w:spacing w:after="120"/>
              <w:rPr>
                <w:rFonts w:ascii="Tahoma" w:hAnsi="Tahoma" w:cs="Tahoma"/>
                <w:sz w:val="13"/>
                <w:szCs w:val="13"/>
              </w:rPr>
            </w:pPr>
            <w:r w:rsidRPr="003410C7">
              <w:rPr>
                <w:rFonts w:ascii="Arial" w:hAnsi="Arial" w:cs="Arial"/>
                <w:sz w:val="13"/>
                <w:szCs w:val="13"/>
              </w:rPr>
              <w:t>2</w:t>
            </w:r>
          </w:p>
        </w:tc>
        <w:tc>
          <w:tcPr>
            <w:tcW w:w="450" w:type="dxa"/>
            <w:tcBorders>
              <w:bottom w:val="single" w:sz="4" w:space="0" w:color="auto"/>
            </w:tcBorders>
            <w:shd w:val="clear" w:color="auto" w:fill="FABF8F"/>
            <w:vAlign w:val="bottom"/>
          </w:tcPr>
          <w:p w:rsidR="001A63C6" w:rsidRPr="003410C7" w:rsidRDefault="001A63C6" w:rsidP="001A63C6">
            <w:pPr>
              <w:pStyle w:val="TableText"/>
              <w:widowControl w:val="0"/>
              <w:spacing w:after="120"/>
              <w:rPr>
                <w:rFonts w:ascii="Tahoma" w:hAnsi="Tahoma" w:cs="Tahoma"/>
                <w:sz w:val="13"/>
                <w:szCs w:val="13"/>
              </w:rPr>
            </w:pPr>
            <w:r w:rsidRPr="003410C7">
              <w:rPr>
                <w:rFonts w:ascii="Arial" w:hAnsi="Arial" w:cs="Arial"/>
                <w:sz w:val="13"/>
                <w:szCs w:val="13"/>
              </w:rPr>
              <w:t>2</w:t>
            </w:r>
          </w:p>
        </w:tc>
        <w:tc>
          <w:tcPr>
            <w:tcW w:w="450" w:type="dxa"/>
            <w:tcBorders>
              <w:bottom w:val="single" w:sz="4" w:space="0" w:color="auto"/>
            </w:tcBorders>
            <w:shd w:val="clear" w:color="auto" w:fill="FABF8F"/>
            <w:vAlign w:val="bottom"/>
          </w:tcPr>
          <w:p w:rsidR="001A63C6" w:rsidRPr="003410C7" w:rsidRDefault="001A63C6" w:rsidP="001A63C6">
            <w:pPr>
              <w:pStyle w:val="TableText"/>
              <w:widowControl w:val="0"/>
              <w:spacing w:after="120"/>
              <w:rPr>
                <w:rFonts w:ascii="Tahoma" w:hAnsi="Tahoma" w:cs="Tahoma"/>
                <w:sz w:val="13"/>
                <w:szCs w:val="13"/>
              </w:rPr>
            </w:pPr>
            <w:r w:rsidRPr="003410C7">
              <w:rPr>
                <w:rFonts w:ascii="Arial" w:hAnsi="Arial" w:cs="Arial"/>
                <w:sz w:val="13"/>
                <w:szCs w:val="13"/>
              </w:rPr>
              <w:t>1</w:t>
            </w:r>
          </w:p>
        </w:tc>
        <w:tc>
          <w:tcPr>
            <w:tcW w:w="360" w:type="dxa"/>
            <w:tcBorders>
              <w:bottom w:val="single" w:sz="4" w:space="0" w:color="auto"/>
              <w:right w:val="single" w:sz="18" w:space="0" w:color="auto"/>
            </w:tcBorders>
            <w:shd w:val="clear" w:color="auto" w:fill="FABF8F"/>
            <w:vAlign w:val="bottom"/>
          </w:tcPr>
          <w:p w:rsidR="001A63C6" w:rsidRPr="003410C7" w:rsidRDefault="001A63C6" w:rsidP="001A63C6">
            <w:pPr>
              <w:pStyle w:val="TableText"/>
              <w:widowControl w:val="0"/>
              <w:spacing w:after="120"/>
              <w:rPr>
                <w:rFonts w:ascii="Tahoma" w:hAnsi="Tahoma" w:cs="Tahoma"/>
                <w:sz w:val="13"/>
                <w:szCs w:val="13"/>
              </w:rPr>
            </w:pPr>
            <w:r w:rsidRPr="003410C7">
              <w:rPr>
                <w:rFonts w:ascii="Arial" w:hAnsi="Arial" w:cs="Arial"/>
                <w:sz w:val="13"/>
                <w:szCs w:val="13"/>
              </w:rPr>
              <w:t>1</w:t>
            </w:r>
          </w:p>
        </w:tc>
        <w:tc>
          <w:tcPr>
            <w:tcW w:w="450" w:type="dxa"/>
            <w:tcBorders>
              <w:left w:val="single" w:sz="18" w:space="0" w:color="auto"/>
              <w:bottom w:val="single" w:sz="4" w:space="0" w:color="auto"/>
            </w:tcBorders>
            <w:shd w:val="clear" w:color="auto" w:fill="FABF8F"/>
            <w:vAlign w:val="bottom"/>
          </w:tcPr>
          <w:p w:rsidR="001A63C6" w:rsidRPr="003410C7" w:rsidRDefault="001A63C6" w:rsidP="001A63C6">
            <w:pPr>
              <w:pStyle w:val="TableText"/>
              <w:widowControl w:val="0"/>
              <w:spacing w:after="120"/>
              <w:rPr>
                <w:rFonts w:ascii="Tahoma" w:hAnsi="Tahoma" w:cs="Tahoma"/>
                <w:sz w:val="13"/>
                <w:szCs w:val="13"/>
              </w:rPr>
            </w:pPr>
          </w:p>
        </w:tc>
        <w:tc>
          <w:tcPr>
            <w:tcW w:w="450" w:type="dxa"/>
            <w:tcBorders>
              <w:bottom w:val="single" w:sz="4" w:space="0" w:color="auto"/>
            </w:tcBorders>
            <w:shd w:val="clear" w:color="auto" w:fill="FABF8F"/>
            <w:vAlign w:val="bottom"/>
          </w:tcPr>
          <w:p w:rsidR="001A63C6" w:rsidRPr="003410C7" w:rsidRDefault="001A63C6" w:rsidP="001A63C6">
            <w:pPr>
              <w:pStyle w:val="TableText"/>
              <w:widowControl w:val="0"/>
              <w:spacing w:after="120"/>
              <w:rPr>
                <w:rFonts w:ascii="Tahoma" w:hAnsi="Tahoma" w:cs="Tahoma"/>
                <w:sz w:val="13"/>
                <w:szCs w:val="13"/>
              </w:rPr>
            </w:pPr>
            <w:r w:rsidRPr="003410C7">
              <w:rPr>
                <w:rFonts w:ascii="Arial" w:hAnsi="Arial" w:cs="Arial"/>
                <w:sz w:val="13"/>
                <w:szCs w:val="13"/>
              </w:rPr>
              <w:t>2</w:t>
            </w:r>
          </w:p>
        </w:tc>
        <w:tc>
          <w:tcPr>
            <w:tcW w:w="450" w:type="dxa"/>
            <w:tcBorders>
              <w:bottom w:val="single" w:sz="4" w:space="0" w:color="auto"/>
              <w:right w:val="single" w:sz="18" w:space="0" w:color="auto"/>
            </w:tcBorders>
            <w:shd w:val="clear" w:color="auto" w:fill="FABF8F"/>
            <w:vAlign w:val="bottom"/>
          </w:tcPr>
          <w:p w:rsidR="001A63C6" w:rsidRPr="003410C7" w:rsidRDefault="001A63C6" w:rsidP="001A63C6">
            <w:pPr>
              <w:pStyle w:val="TableText"/>
              <w:widowControl w:val="0"/>
              <w:spacing w:after="120"/>
              <w:rPr>
                <w:rFonts w:ascii="Tahoma" w:hAnsi="Tahoma" w:cs="Tahoma"/>
                <w:sz w:val="13"/>
                <w:szCs w:val="13"/>
              </w:rPr>
            </w:pPr>
            <w:r w:rsidRPr="003410C7">
              <w:rPr>
                <w:rFonts w:ascii="Arial" w:hAnsi="Arial" w:cs="Arial"/>
                <w:sz w:val="13"/>
                <w:szCs w:val="13"/>
              </w:rPr>
              <w:t>1</w:t>
            </w:r>
          </w:p>
        </w:tc>
        <w:tc>
          <w:tcPr>
            <w:tcW w:w="450" w:type="dxa"/>
            <w:tcBorders>
              <w:left w:val="single" w:sz="18" w:space="0" w:color="auto"/>
              <w:bottom w:val="single" w:sz="4" w:space="0" w:color="auto"/>
            </w:tcBorders>
            <w:shd w:val="clear" w:color="auto" w:fill="FABF8F"/>
            <w:vAlign w:val="center"/>
          </w:tcPr>
          <w:p w:rsidR="001A63C6" w:rsidRPr="003410C7" w:rsidRDefault="001A63C6" w:rsidP="001A63C6">
            <w:pPr>
              <w:pStyle w:val="TableText"/>
              <w:widowControl w:val="0"/>
              <w:rPr>
                <w:rFonts w:ascii="Tahoma" w:hAnsi="Tahoma" w:cs="Tahoma"/>
                <w:sz w:val="13"/>
              </w:rPr>
            </w:pPr>
            <w:r w:rsidRPr="003410C7">
              <w:rPr>
                <w:rFonts w:ascii="Tahoma" w:hAnsi="Tahoma" w:cs="Tahoma"/>
                <w:sz w:val="13"/>
              </w:rPr>
              <w:t>1</w:t>
            </w:r>
          </w:p>
        </w:tc>
        <w:tc>
          <w:tcPr>
            <w:tcW w:w="450" w:type="dxa"/>
            <w:tcBorders>
              <w:bottom w:val="single" w:sz="4" w:space="0" w:color="auto"/>
              <w:right w:val="single" w:sz="18" w:space="0" w:color="auto"/>
            </w:tcBorders>
            <w:shd w:val="clear" w:color="auto" w:fill="FABF8F"/>
            <w:vAlign w:val="center"/>
          </w:tcPr>
          <w:p w:rsidR="001A63C6" w:rsidRPr="003410C7"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3410C7"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tcPr>
          <w:p w:rsidR="001A63C6" w:rsidRPr="003410C7" w:rsidRDefault="001A63C6" w:rsidP="001A63C6">
            <w:pPr>
              <w:pStyle w:val="TableText"/>
              <w:widowControl w:val="0"/>
              <w:spacing w:before="240"/>
              <w:rPr>
                <w:rFonts w:ascii="Tahoma" w:hAnsi="Tahoma" w:cs="Tahoma"/>
                <w:sz w:val="13"/>
              </w:rPr>
            </w:pPr>
          </w:p>
        </w:tc>
        <w:tc>
          <w:tcPr>
            <w:tcW w:w="540" w:type="dxa"/>
            <w:tcBorders>
              <w:bottom w:val="single" w:sz="4" w:space="0" w:color="auto"/>
            </w:tcBorders>
            <w:shd w:val="clear" w:color="auto" w:fill="FABF8F"/>
            <w:vAlign w:val="center"/>
          </w:tcPr>
          <w:p w:rsidR="001A63C6" w:rsidRPr="003410C7" w:rsidRDefault="001A63C6" w:rsidP="001A63C6">
            <w:pPr>
              <w:pStyle w:val="TableText"/>
              <w:widowControl w:val="0"/>
              <w:rPr>
                <w:rFonts w:ascii="Tahoma" w:hAnsi="Tahoma" w:cs="Tahoma"/>
                <w:sz w:val="13"/>
              </w:rPr>
            </w:pPr>
          </w:p>
        </w:tc>
      </w:tr>
      <w:tr w:rsidR="006864A1" w:rsidRPr="003410C7" w:rsidTr="006B1F3F">
        <w:trPr>
          <w:trHeight w:val="134"/>
        </w:trPr>
        <w:tc>
          <w:tcPr>
            <w:tcW w:w="2734" w:type="dxa"/>
            <w:gridSpan w:val="2"/>
            <w:tcBorders>
              <w:bottom w:val="single" w:sz="4" w:space="0" w:color="auto"/>
            </w:tcBorders>
            <w:shd w:val="clear" w:color="auto" w:fill="auto"/>
            <w:vAlign w:val="center"/>
          </w:tcPr>
          <w:p w:rsidR="001A63C6" w:rsidRPr="00451078" w:rsidRDefault="001A63C6" w:rsidP="00F57878">
            <w:pPr>
              <w:pStyle w:val="ProductNames"/>
              <w:spacing w:beforeLines="20" w:before="48" w:afterLines="20" w:after="48"/>
              <w:rPr>
                <w:rFonts w:ascii="Tahoma" w:hAnsi="Tahoma" w:cs="Tahoma"/>
                <w:sz w:val="14"/>
                <w:lang w:val="it-IT"/>
              </w:rPr>
            </w:pPr>
            <w:bookmarkStart w:id="477" w:name="_Toc336338097"/>
            <w:bookmarkStart w:id="478" w:name="_Toc352234694"/>
            <w:r w:rsidRPr="00451078">
              <w:rPr>
                <w:rFonts w:ascii="Tahoma" w:hAnsi="Tahoma" w:cs="Tahoma"/>
                <w:sz w:val="14"/>
                <w:lang w:val="it-IT"/>
              </w:rPr>
              <w:t>Licenza di Gestione Client per Utente per</w:t>
            </w:r>
            <w:r w:rsidR="00F57878" w:rsidRPr="00451078">
              <w:rPr>
                <w:rFonts w:ascii="Tahoma" w:hAnsi="Tahoma" w:cs="Tahoma"/>
                <w:sz w:val="14"/>
                <w:lang w:val="it-IT"/>
              </w:rPr>
              <w:t> </w:t>
            </w:r>
            <w:r w:rsidRPr="00451078">
              <w:rPr>
                <w:rFonts w:ascii="Tahoma" w:hAnsi="Tahoma" w:cs="Tahoma"/>
                <w:sz w:val="14"/>
                <w:lang w:val="it-IT"/>
              </w:rPr>
              <w:t>System Center 2012 Configuration Manager</w:t>
            </w:r>
            <w:bookmarkEnd w:id="477"/>
            <w:bookmarkEnd w:id="478"/>
          </w:p>
        </w:tc>
        <w:tc>
          <w:tcPr>
            <w:tcW w:w="450" w:type="dxa"/>
            <w:tcBorders>
              <w:bottom w:val="single" w:sz="4" w:space="0" w:color="auto"/>
            </w:tcBorders>
            <w:shd w:val="clear" w:color="auto" w:fill="auto"/>
            <w:vAlign w:val="center"/>
          </w:tcPr>
          <w:p w:rsidR="001A63C6" w:rsidRPr="009F17FF" w:rsidRDefault="00FC1A4D" w:rsidP="007E466C">
            <w:pPr>
              <w:pStyle w:val="TableText"/>
              <w:widowControl w:val="0"/>
              <w:rPr>
                <w:b/>
                <w:color w:val="000000"/>
                <w:sz w:val="13"/>
                <w:szCs w:val="13"/>
                <w:u w:val="single"/>
              </w:rPr>
            </w:pPr>
            <w:hyperlink w:anchor="_91_89_System" w:history="1">
              <w:r w:rsidR="000D77F6" w:rsidRPr="009F17FF">
                <w:rPr>
                  <w:rStyle w:val="Hyperlink"/>
                  <w:rFonts w:cs="Tahoma"/>
                  <w:sz w:val="13"/>
                  <w:szCs w:val="13"/>
                </w:rPr>
                <w:t>89</w:t>
              </w:r>
            </w:hyperlink>
            <w:hyperlink w:anchor="Srv_101SystemCenter2012" w:history="1"/>
          </w:p>
        </w:tc>
        <w:tc>
          <w:tcPr>
            <w:tcW w:w="450" w:type="dxa"/>
            <w:tcBorders>
              <w:bottom w:val="single" w:sz="4" w:space="0" w:color="auto"/>
            </w:tcBorders>
            <w:shd w:val="clear" w:color="auto" w:fill="auto"/>
          </w:tcPr>
          <w:p w:rsidR="001A63C6" w:rsidRPr="003410C7" w:rsidRDefault="001A63C6" w:rsidP="001A63C6">
            <w:pPr>
              <w:pStyle w:val="TableText"/>
              <w:widowControl w:val="0"/>
              <w:spacing w:before="240"/>
              <w:rPr>
                <w:rFonts w:ascii="Tahoma" w:hAnsi="Tahoma" w:cs="Tahoma"/>
                <w:sz w:val="13"/>
              </w:rPr>
            </w:pPr>
            <w:r w:rsidRPr="003410C7">
              <w:rPr>
                <w:rFonts w:ascii="Tahoma" w:hAnsi="Tahoma" w:cs="Tahoma"/>
                <w:sz w:val="13"/>
              </w:rPr>
              <w:t>04/12</w:t>
            </w:r>
          </w:p>
        </w:tc>
        <w:tc>
          <w:tcPr>
            <w:tcW w:w="360" w:type="dxa"/>
            <w:tcBorders>
              <w:bottom w:val="single" w:sz="4" w:space="0" w:color="auto"/>
              <w:right w:val="single" w:sz="18" w:space="0" w:color="auto"/>
            </w:tcBorders>
            <w:shd w:val="clear" w:color="auto" w:fill="auto"/>
            <w:vAlign w:val="center"/>
          </w:tcPr>
          <w:p w:rsidR="001A63C6" w:rsidRPr="003410C7" w:rsidRDefault="001A63C6" w:rsidP="001A63C6">
            <w:pPr>
              <w:pStyle w:val="TableText"/>
              <w:widowControl w:val="0"/>
              <w:rPr>
                <w:rFonts w:ascii="Tahoma" w:hAnsi="Tahoma" w:cs="Tahoma"/>
                <w:sz w:val="13"/>
              </w:rPr>
            </w:pPr>
            <w:r w:rsidRPr="003410C7">
              <w:rPr>
                <w:rFonts w:ascii="Tahoma" w:hAnsi="Tahoma" w:cs="Tahoma"/>
                <w:color w:val="000000"/>
                <w:sz w:val="13"/>
              </w:rPr>
              <w:t>SRV</w:t>
            </w:r>
          </w:p>
        </w:tc>
        <w:tc>
          <w:tcPr>
            <w:tcW w:w="360" w:type="dxa"/>
            <w:tcBorders>
              <w:left w:val="single" w:sz="18" w:space="0" w:color="auto"/>
              <w:bottom w:val="single" w:sz="4" w:space="0" w:color="auto"/>
            </w:tcBorders>
            <w:shd w:val="clear" w:color="auto" w:fill="auto"/>
            <w:vAlign w:val="bottom"/>
          </w:tcPr>
          <w:p w:rsidR="001A63C6" w:rsidRPr="003410C7" w:rsidRDefault="001A63C6" w:rsidP="001A63C6">
            <w:pPr>
              <w:pStyle w:val="TableText"/>
              <w:widowControl w:val="0"/>
              <w:spacing w:after="120"/>
              <w:rPr>
                <w:rFonts w:ascii="Tahoma" w:hAnsi="Tahoma" w:cs="Tahoma"/>
                <w:sz w:val="13"/>
                <w:szCs w:val="13"/>
              </w:rPr>
            </w:pPr>
          </w:p>
        </w:tc>
        <w:tc>
          <w:tcPr>
            <w:tcW w:w="450" w:type="dxa"/>
            <w:tcBorders>
              <w:bottom w:val="single" w:sz="4" w:space="0" w:color="auto"/>
            </w:tcBorders>
            <w:shd w:val="clear" w:color="auto" w:fill="auto"/>
            <w:vAlign w:val="bottom"/>
          </w:tcPr>
          <w:p w:rsidR="001A63C6" w:rsidRPr="003410C7" w:rsidRDefault="001A63C6" w:rsidP="001A63C6">
            <w:pPr>
              <w:pStyle w:val="TableText"/>
              <w:widowControl w:val="0"/>
              <w:spacing w:after="120"/>
              <w:rPr>
                <w:rFonts w:ascii="Tahoma" w:hAnsi="Tahoma" w:cs="Tahoma"/>
                <w:sz w:val="13"/>
                <w:szCs w:val="13"/>
              </w:rPr>
            </w:pPr>
            <w:r w:rsidRPr="003410C7">
              <w:rPr>
                <w:rFonts w:ascii="Tahoma" w:hAnsi="Tahoma" w:cs="Tahoma"/>
                <w:sz w:val="13"/>
                <w:szCs w:val="13"/>
              </w:rPr>
              <w:t>3</w:t>
            </w:r>
          </w:p>
        </w:tc>
        <w:tc>
          <w:tcPr>
            <w:tcW w:w="450" w:type="dxa"/>
            <w:tcBorders>
              <w:bottom w:val="single" w:sz="4" w:space="0" w:color="auto"/>
            </w:tcBorders>
            <w:shd w:val="clear" w:color="auto" w:fill="auto"/>
            <w:vAlign w:val="bottom"/>
          </w:tcPr>
          <w:p w:rsidR="001A63C6" w:rsidRPr="003410C7" w:rsidRDefault="001A63C6" w:rsidP="001A63C6">
            <w:pPr>
              <w:pStyle w:val="TableText"/>
              <w:widowControl w:val="0"/>
              <w:spacing w:after="120"/>
              <w:rPr>
                <w:rFonts w:ascii="Tahoma" w:hAnsi="Tahoma" w:cs="Tahoma"/>
                <w:sz w:val="13"/>
                <w:szCs w:val="13"/>
              </w:rPr>
            </w:pPr>
            <w:r w:rsidRPr="003410C7">
              <w:rPr>
                <w:rFonts w:ascii="Tahoma" w:hAnsi="Tahoma" w:cs="Tahoma"/>
                <w:sz w:val="13"/>
                <w:szCs w:val="13"/>
              </w:rPr>
              <w:t>2</w:t>
            </w:r>
          </w:p>
        </w:tc>
        <w:tc>
          <w:tcPr>
            <w:tcW w:w="450" w:type="dxa"/>
            <w:tcBorders>
              <w:bottom w:val="single" w:sz="4" w:space="0" w:color="auto"/>
            </w:tcBorders>
            <w:shd w:val="clear" w:color="auto" w:fill="auto"/>
            <w:vAlign w:val="bottom"/>
          </w:tcPr>
          <w:p w:rsidR="001A63C6" w:rsidRPr="003410C7" w:rsidRDefault="001A63C6" w:rsidP="001A63C6">
            <w:pPr>
              <w:pStyle w:val="TableText"/>
              <w:widowControl w:val="0"/>
              <w:spacing w:after="120"/>
              <w:rPr>
                <w:rFonts w:ascii="Tahoma" w:hAnsi="Tahoma" w:cs="Tahoma"/>
                <w:sz w:val="13"/>
                <w:szCs w:val="13"/>
              </w:rPr>
            </w:pPr>
            <w:r w:rsidRPr="003410C7">
              <w:rPr>
                <w:rFonts w:ascii="Tahoma" w:hAnsi="Tahoma" w:cs="Tahoma"/>
                <w:sz w:val="13"/>
                <w:szCs w:val="13"/>
              </w:rPr>
              <w:t>2</w:t>
            </w:r>
          </w:p>
        </w:tc>
        <w:tc>
          <w:tcPr>
            <w:tcW w:w="450" w:type="dxa"/>
            <w:tcBorders>
              <w:bottom w:val="single" w:sz="4" w:space="0" w:color="auto"/>
            </w:tcBorders>
            <w:shd w:val="clear" w:color="auto" w:fill="auto"/>
            <w:vAlign w:val="bottom"/>
          </w:tcPr>
          <w:p w:rsidR="001A63C6" w:rsidRPr="003410C7" w:rsidRDefault="001A63C6" w:rsidP="001A63C6">
            <w:pPr>
              <w:pStyle w:val="TableText"/>
              <w:widowControl w:val="0"/>
              <w:spacing w:after="120"/>
              <w:rPr>
                <w:rFonts w:ascii="Tahoma" w:hAnsi="Tahoma" w:cs="Tahoma"/>
                <w:sz w:val="13"/>
                <w:szCs w:val="13"/>
              </w:rPr>
            </w:pPr>
            <w:r w:rsidRPr="003410C7">
              <w:rPr>
                <w:rFonts w:ascii="Tahoma" w:hAnsi="Tahoma" w:cs="Tahoma"/>
                <w:sz w:val="13"/>
                <w:szCs w:val="13"/>
              </w:rPr>
              <w:t>2</w:t>
            </w:r>
          </w:p>
        </w:tc>
        <w:tc>
          <w:tcPr>
            <w:tcW w:w="450" w:type="dxa"/>
            <w:tcBorders>
              <w:bottom w:val="single" w:sz="4" w:space="0" w:color="auto"/>
            </w:tcBorders>
            <w:shd w:val="clear" w:color="auto" w:fill="auto"/>
            <w:vAlign w:val="bottom"/>
          </w:tcPr>
          <w:p w:rsidR="001A63C6" w:rsidRPr="003410C7" w:rsidRDefault="001A63C6" w:rsidP="001A63C6">
            <w:pPr>
              <w:pStyle w:val="TableText"/>
              <w:widowControl w:val="0"/>
              <w:spacing w:after="120"/>
              <w:rPr>
                <w:rFonts w:ascii="Tahoma" w:hAnsi="Tahoma" w:cs="Tahoma"/>
                <w:sz w:val="13"/>
                <w:szCs w:val="13"/>
              </w:rPr>
            </w:pPr>
            <w:r w:rsidRPr="003410C7">
              <w:rPr>
                <w:rFonts w:ascii="Tahoma" w:hAnsi="Tahoma" w:cs="Tahoma"/>
                <w:sz w:val="13"/>
                <w:szCs w:val="13"/>
              </w:rPr>
              <w:t>1</w:t>
            </w:r>
          </w:p>
        </w:tc>
        <w:tc>
          <w:tcPr>
            <w:tcW w:w="360" w:type="dxa"/>
            <w:tcBorders>
              <w:bottom w:val="single" w:sz="4" w:space="0" w:color="auto"/>
              <w:right w:val="single" w:sz="18" w:space="0" w:color="auto"/>
            </w:tcBorders>
            <w:shd w:val="clear" w:color="auto" w:fill="auto"/>
            <w:vAlign w:val="bottom"/>
          </w:tcPr>
          <w:p w:rsidR="001A63C6" w:rsidRPr="003410C7" w:rsidRDefault="001A63C6" w:rsidP="001A63C6">
            <w:pPr>
              <w:pStyle w:val="TableText"/>
              <w:widowControl w:val="0"/>
              <w:spacing w:after="120"/>
              <w:rPr>
                <w:rFonts w:ascii="Tahoma" w:hAnsi="Tahoma" w:cs="Tahoma"/>
                <w:sz w:val="13"/>
                <w:szCs w:val="13"/>
              </w:rPr>
            </w:pPr>
            <w:r w:rsidRPr="003410C7">
              <w:rPr>
                <w:rFonts w:ascii="Tahoma" w:hAnsi="Tahoma" w:cs="Tahoma"/>
                <w:sz w:val="13"/>
                <w:szCs w:val="13"/>
              </w:rPr>
              <w:t>1</w:t>
            </w:r>
          </w:p>
        </w:tc>
        <w:tc>
          <w:tcPr>
            <w:tcW w:w="450" w:type="dxa"/>
            <w:tcBorders>
              <w:left w:val="single" w:sz="18" w:space="0" w:color="auto"/>
              <w:bottom w:val="single" w:sz="4" w:space="0" w:color="auto"/>
            </w:tcBorders>
            <w:shd w:val="clear" w:color="auto" w:fill="auto"/>
            <w:vAlign w:val="bottom"/>
          </w:tcPr>
          <w:p w:rsidR="001A63C6" w:rsidRPr="003410C7" w:rsidRDefault="001A63C6" w:rsidP="001A63C6">
            <w:pPr>
              <w:pStyle w:val="TableText"/>
              <w:widowControl w:val="0"/>
              <w:spacing w:after="120"/>
              <w:rPr>
                <w:rFonts w:ascii="Tahoma" w:hAnsi="Tahoma" w:cs="Tahoma"/>
                <w:sz w:val="13"/>
                <w:szCs w:val="13"/>
              </w:rPr>
            </w:pPr>
          </w:p>
        </w:tc>
        <w:tc>
          <w:tcPr>
            <w:tcW w:w="450" w:type="dxa"/>
            <w:tcBorders>
              <w:bottom w:val="single" w:sz="4" w:space="0" w:color="auto"/>
            </w:tcBorders>
            <w:shd w:val="clear" w:color="auto" w:fill="auto"/>
            <w:vAlign w:val="bottom"/>
          </w:tcPr>
          <w:p w:rsidR="001A63C6" w:rsidRPr="003410C7" w:rsidRDefault="001A63C6" w:rsidP="001A63C6">
            <w:pPr>
              <w:pStyle w:val="TableText"/>
              <w:widowControl w:val="0"/>
              <w:spacing w:after="120"/>
              <w:rPr>
                <w:rFonts w:ascii="Tahoma" w:hAnsi="Tahoma" w:cs="Tahoma"/>
                <w:sz w:val="13"/>
                <w:szCs w:val="13"/>
              </w:rPr>
            </w:pPr>
            <w:r w:rsidRPr="003410C7">
              <w:rPr>
                <w:rFonts w:ascii="Tahoma" w:hAnsi="Tahoma" w:cs="Tahoma"/>
                <w:sz w:val="13"/>
                <w:szCs w:val="13"/>
              </w:rPr>
              <w:t>2</w:t>
            </w:r>
          </w:p>
        </w:tc>
        <w:tc>
          <w:tcPr>
            <w:tcW w:w="450" w:type="dxa"/>
            <w:tcBorders>
              <w:bottom w:val="single" w:sz="4" w:space="0" w:color="auto"/>
              <w:right w:val="single" w:sz="18" w:space="0" w:color="auto"/>
            </w:tcBorders>
            <w:shd w:val="clear" w:color="auto" w:fill="auto"/>
            <w:vAlign w:val="bottom"/>
          </w:tcPr>
          <w:p w:rsidR="001A63C6" w:rsidRPr="003410C7" w:rsidRDefault="001A63C6" w:rsidP="001A63C6">
            <w:pPr>
              <w:pStyle w:val="TableText"/>
              <w:widowControl w:val="0"/>
              <w:spacing w:after="120"/>
              <w:rPr>
                <w:rFonts w:ascii="Tahoma" w:hAnsi="Tahoma" w:cs="Tahoma"/>
                <w:sz w:val="13"/>
                <w:szCs w:val="13"/>
              </w:rPr>
            </w:pPr>
            <w:r w:rsidRPr="003410C7">
              <w:rPr>
                <w:rFonts w:ascii="Tahoma" w:hAnsi="Tahoma" w:cs="Tahoma"/>
                <w:sz w:val="13"/>
                <w:szCs w:val="13"/>
              </w:rPr>
              <w:t>1</w:t>
            </w:r>
          </w:p>
        </w:tc>
        <w:tc>
          <w:tcPr>
            <w:tcW w:w="450" w:type="dxa"/>
            <w:tcBorders>
              <w:left w:val="single" w:sz="18" w:space="0" w:color="auto"/>
              <w:bottom w:val="single" w:sz="4" w:space="0" w:color="auto"/>
            </w:tcBorders>
            <w:shd w:val="clear" w:color="auto" w:fill="auto"/>
            <w:vAlign w:val="center"/>
          </w:tcPr>
          <w:p w:rsidR="001A63C6" w:rsidRPr="003410C7" w:rsidRDefault="001A63C6" w:rsidP="001A63C6">
            <w:pPr>
              <w:pStyle w:val="TableText"/>
              <w:widowControl w:val="0"/>
              <w:rPr>
                <w:rFonts w:ascii="Tahoma" w:hAnsi="Tahoma" w:cs="Tahoma"/>
                <w:sz w:val="13"/>
              </w:rPr>
            </w:pPr>
            <w:r w:rsidRPr="003410C7">
              <w:rPr>
                <w:rFonts w:ascii="Tahoma" w:hAnsi="Tahoma" w:cs="Tahoma"/>
                <w:sz w:val="13"/>
              </w:rPr>
              <w:t>1</w:t>
            </w:r>
          </w:p>
        </w:tc>
        <w:tc>
          <w:tcPr>
            <w:tcW w:w="450" w:type="dxa"/>
            <w:tcBorders>
              <w:bottom w:val="single" w:sz="4" w:space="0" w:color="auto"/>
              <w:right w:val="single" w:sz="18" w:space="0" w:color="auto"/>
            </w:tcBorders>
            <w:shd w:val="clear" w:color="auto" w:fill="auto"/>
            <w:vAlign w:val="center"/>
          </w:tcPr>
          <w:p w:rsidR="001A63C6" w:rsidRPr="003410C7" w:rsidRDefault="001A63C6" w:rsidP="001A63C6">
            <w:pPr>
              <w:pStyle w:val="TableText"/>
              <w:widowControl w:val="0"/>
              <w:rPr>
                <w:rFonts w:ascii="Tahoma" w:hAnsi="Tahoma" w:cs="Tahoma"/>
                <w:sz w:val="13"/>
              </w:rPr>
            </w:pPr>
            <w:r w:rsidRPr="003410C7">
              <w:rPr>
                <w:rFonts w:ascii="Tahoma" w:hAnsi="Tahoma" w:cs="Tahoma"/>
                <w:sz w:val="13"/>
              </w:rPr>
              <w:t>A, E</w:t>
            </w:r>
          </w:p>
        </w:tc>
        <w:tc>
          <w:tcPr>
            <w:tcW w:w="450" w:type="dxa"/>
            <w:tcBorders>
              <w:left w:val="single" w:sz="18" w:space="0" w:color="auto"/>
              <w:bottom w:val="single" w:sz="4" w:space="0" w:color="auto"/>
              <w:right w:val="single" w:sz="18" w:space="0" w:color="auto"/>
            </w:tcBorders>
            <w:shd w:val="clear" w:color="auto" w:fill="auto"/>
            <w:vAlign w:val="center"/>
          </w:tcPr>
          <w:p w:rsidR="001A63C6" w:rsidRPr="003410C7" w:rsidRDefault="001A63C6" w:rsidP="001A63C6">
            <w:pPr>
              <w:pStyle w:val="TableText"/>
              <w:widowControl w:val="0"/>
              <w:rPr>
                <w:rFonts w:ascii="Tahoma" w:hAnsi="Tahoma" w:cs="Tahoma"/>
                <w:sz w:val="13"/>
              </w:rPr>
            </w:pPr>
            <w:r w:rsidRPr="003410C7">
              <w:rPr>
                <w:rFonts w:ascii="Tahoma" w:hAnsi="Tahoma" w:cs="Tahoma"/>
                <w:sz w:val="13"/>
              </w:rPr>
              <w:t>P</w:t>
            </w:r>
          </w:p>
        </w:tc>
        <w:tc>
          <w:tcPr>
            <w:tcW w:w="450" w:type="dxa"/>
            <w:tcBorders>
              <w:bottom w:val="single" w:sz="4" w:space="0" w:color="auto"/>
            </w:tcBorders>
            <w:shd w:val="clear" w:color="auto" w:fill="auto"/>
          </w:tcPr>
          <w:p w:rsidR="001A63C6" w:rsidRPr="003410C7" w:rsidRDefault="001A63C6" w:rsidP="001A63C6">
            <w:pPr>
              <w:pStyle w:val="TableText"/>
              <w:widowControl w:val="0"/>
              <w:spacing w:before="240"/>
              <w:rPr>
                <w:rFonts w:ascii="Tahoma" w:hAnsi="Tahoma" w:cs="Tahoma"/>
                <w:sz w:val="13"/>
              </w:rPr>
            </w:pPr>
            <w:r w:rsidRPr="003410C7">
              <w:rPr>
                <w:rFonts w:ascii="Tahoma" w:hAnsi="Tahoma" w:cs="Tahoma"/>
                <w:sz w:val="13"/>
              </w:rPr>
              <w:t>AO, ST</w:t>
            </w:r>
          </w:p>
        </w:tc>
        <w:tc>
          <w:tcPr>
            <w:tcW w:w="540" w:type="dxa"/>
            <w:tcBorders>
              <w:bottom w:val="single" w:sz="4" w:space="0" w:color="auto"/>
            </w:tcBorders>
            <w:shd w:val="clear" w:color="auto" w:fill="auto"/>
            <w:vAlign w:val="center"/>
          </w:tcPr>
          <w:p w:rsidR="001A63C6" w:rsidRPr="003410C7" w:rsidRDefault="001A63C6" w:rsidP="001A63C6">
            <w:pPr>
              <w:pStyle w:val="TableText"/>
              <w:widowControl w:val="0"/>
              <w:rPr>
                <w:rFonts w:ascii="Tahoma" w:hAnsi="Tahoma" w:cs="Tahoma"/>
                <w:sz w:val="13"/>
              </w:rPr>
            </w:pPr>
          </w:p>
        </w:tc>
      </w:tr>
      <w:tr w:rsidR="006864A1" w:rsidRPr="003410C7" w:rsidTr="006B1F3F">
        <w:trPr>
          <w:trHeight w:val="134"/>
        </w:trPr>
        <w:tc>
          <w:tcPr>
            <w:tcW w:w="2734" w:type="dxa"/>
            <w:gridSpan w:val="2"/>
            <w:tcBorders>
              <w:bottom w:val="single" w:sz="4" w:space="0" w:color="auto"/>
            </w:tcBorders>
            <w:shd w:val="clear" w:color="auto" w:fill="FABF8F"/>
          </w:tcPr>
          <w:p w:rsidR="001A63C6" w:rsidRPr="00451078" w:rsidRDefault="001A63C6" w:rsidP="003410C7">
            <w:pPr>
              <w:pStyle w:val="ProductNames"/>
              <w:spacing w:beforeLines="20" w:before="48" w:afterLines="20" w:after="48"/>
              <w:rPr>
                <w:rFonts w:ascii="Tahoma" w:hAnsi="Tahoma" w:cs="Tahoma"/>
                <w:sz w:val="14"/>
                <w:lang w:val="it-IT"/>
              </w:rPr>
            </w:pPr>
            <w:bookmarkStart w:id="479" w:name="_Toc336338098"/>
            <w:bookmarkStart w:id="480" w:name="_Toc352234695"/>
            <w:r w:rsidRPr="00451078">
              <w:rPr>
                <w:rFonts w:ascii="Tahoma" w:hAnsi="Tahoma" w:cs="Tahoma"/>
                <w:sz w:val="14"/>
                <w:lang w:val="it-IT"/>
              </w:rPr>
              <w:t>Licenza di Gestione Server per System Center 2012 Datacenter (2 processori)</w:t>
            </w:r>
            <w:bookmarkEnd w:id="479"/>
            <w:bookmarkEnd w:id="480"/>
          </w:p>
        </w:tc>
        <w:tc>
          <w:tcPr>
            <w:tcW w:w="450" w:type="dxa"/>
            <w:tcBorders>
              <w:bottom w:val="single" w:sz="4" w:space="0" w:color="auto"/>
            </w:tcBorders>
            <w:shd w:val="clear" w:color="auto" w:fill="FABF8F"/>
            <w:vAlign w:val="center"/>
          </w:tcPr>
          <w:p w:rsidR="001A63C6" w:rsidRPr="009F17FF" w:rsidRDefault="00FC1A4D" w:rsidP="007E466C">
            <w:pPr>
              <w:pStyle w:val="TableText"/>
              <w:widowControl w:val="0"/>
              <w:rPr>
                <w:b/>
                <w:color w:val="000000"/>
                <w:sz w:val="13"/>
                <w:szCs w:val="13"/>
                <w:u w:val="single"/>
              </w:rPr>
            </w:pPr>
            <w:hyperlink w:anchor="_91_89_System" w:history="1">
              <w:r w:rsidR="000D77F6" w:rsidRPr="009F17FF">
                <w:rPr>
                  <w:rStyle w:val="Hyperlink"/>
                  <w:rFonts w:cs="Tahoma"/>
                  <w:sz w:val="13"/>
                  <w:szCs w:val="13"/>
                </w:rPr>
                <w:t>89</w:t>
              </w:r>
            </w:hyperlink>
            <w:hyperlink w:anchor="Srv_101SystemCenter2012" w:history="1"/>
          </w:p>
        </w:tc>
        <w:tc>
          <w:tcPr>
            <w:tcW w:w="450" w:type="dxa"/>
            <w:tcBorders>
              <w:bottom w:val="single" w:sz="4" w:space="0" w:color="auto"/>
            </w:tcBorders>
            <w:shd w:val="clear" w:color="auto" w:fill="FABF8F"/>
          </w:tcPr>
          <w:p w:rsidR="001A63C6" w:rsidRPr="003410C7" w:rsidRDefault="001A63C6" w:rsidP="001A63C6">
            <w:pPr>
              <w:pStyle w:val="TableText"/>
              <w:widowControl w:val="0"/>
              <w:spacing w:before="120"/>
              <w:rPr>
                <w:rFonts w:ascii="Tahoma" w:hAnsi="Tahoma" w:cs="Tahoma"/>
                <w:sz w:val="13"/>
              </w:rPr>
            </w:pPr>
            <w:r w:rsidRPr="003410C7">
              <w:rPr>
                <w:rFonts w:ascii="Tahoma" w:hAnsi="Tahoma" w:cs="Tahoma"/>
                <w:sz w:val="13"/>
              </w:rPr>
              <w:t>04/12</w:t>
            </w:r>
          </w:p>
        </w:tc>
        <w:tc>
          <w:tcPr>
            <w:tcW w:w="360" w:type="dxa"/>
            <w:tcBorders>
              <w:bottom w:val="single" w:sz="4" w:space="0" w:color="auto"/>
              <w:right w:val="single" w:sz="18" w:space="0" w:color="auto"/>
            </w:tcBorders>
            <w:shd w:val="clear" w:color="auto" w:fill="FABF8F"/>
            <w:vAlign w:val="center"/>
          </w:tcPr>
          <w:p w:rsidR="001A63C6" w:rsidRPr="003410C7" w:rsidRDefault="001A63C6" w:rsidP="001A63C6">
            <w:pPr>
              <w:pStyle w:val="TableText"/>
              <w:widowControl w:val="0"/>
              <w:rPr>
                <w:rFonts w:ascii="Tahoma" w:hAnsi="Tahoma" w:cs="Tahoma"/>
                <w:sz w:val="13"/>
              </w:rPr>
            </w:pPr>
            <w:r w:rsidRPr="003410C7">
              <w:rPr>
                <w:rFonts w:ascii="Tahoma" w:hAnsi="Tahoma" w:cs="Tahoma"/>
                <w:color w:val="000000"/>
                <w:sz w:val="13"/>
              </w:rPr>
              <w:t>SRV</w:t>
            </w:r>
          </w:p>
        </w:tc>
        <w:tc>
          <w:tcPr>
            <w:tcW w:w="360" w:type="dxa"/>
            <w:tcBorders>
              <w:left w:val="single" w:sz="18" w:space="0" w:color="auto"/>
              <w:bottom w:val="single" w:sz="4" w:space="0" w:color="auto"/>
            </w:tcBorders>
            <w:shd w:val="clear" w:color="auto" w:fill="FABF8F"/>
            <w:vAlign w:val="bottom"/>
          </w:tcPr>
          <w:p w:rsidR="001A63C6" w:rsidRPr="003410C7" w:rsidRDefault="001A63C6" w:rsidP="001A63C6">
            <w:pPr>
              <w:pStyle w:val="TableText"/>
              <w:widowControl w:val="0"/>
              <w:spacing w:after="120"/>
              <w:rPr>
                <w:rFonts w:ascii="Tahoma" w:hAnsi="Tahoma" w:cs="Tahoma"/>
                <w:sz w:val="13"/>
                <w:szCs w:val="13"/>
              </w:rPr>
            </w:pPr>
          </w:p>
        </w:tc>
        <w:tc>
          <w:tcPr>
            <w:tcW w:w="450" w:type="dxa"/>
            <w:tcBorders>
              <w:bottom w:val="single" w:sz="4" w:space="0" w:color="auto"/>
            </w:tcBorders>
            <w:shd w:val="clear" w:color="auto" w:fill="FABF8F"/>
            <w:vAlign w:val="bottom"/>
          </w:tcPr>
          <w:p w:rsidR="001A63C6" w:rsidRPr="003410C7" w:rsidRDefault="001A63C6" w:rsidP="001A63C6">
            <w:pPr>
              <w:pStyle w:val="TableText"/>
              <w:widowControl w:val="0"/>
              <w:spacing w:after="120"/>
              <w:rPr>
                <w:rFonts w:ascii="Tahoma" w:hAnsi="Tahoma" w:cs="Tahoma"/>
                <w:sz w:val="13"/>
                <w:szCs w:val="13"/>
              </w:rPr>
            </w:pPr>
            <w:r w:rsidRPr="003410C7">
              <w:rPr>
                <w:rFonts w:ascii="Tahoma" w:hAnsi="Tahoma" w:cs="Tahoma"/>
                <w:sz w:val="13"/>
                <w:szCs w:val="13"/>
              </w:rPr>
              <w:t>63</w:t>
            </w:r>
          </w:p>
        </w:tc>
        <w:tc>
          <w:tcPr>
            <w:tcW w:w="450" w:type="dxa"/>
            <w:tcBorders>
              <w:bottom w:val="single" w:sz="4" w:space="0" w:color="auto"/>
            </w:tcBorders>
            <w:shd w:val="clear" w:color="auto" w:fill="FABF8F"/>
            <w:vAlign w:val="bottom"/>
          </w:tcPr>
          <w:p w:rsidR="001A63C6" w:rsidRPr="003410C7" w:rsidRDefault="001A63C6" w:rsidP="001A63C6">
            <w:pPr>
              <w:pStyle w:val="TableText"/>
              <w:widowControl w:val="0"/>
              <w:spacing w:after="120"/>
              <w:rPr>
                <w:rFonts w:ascii="Tahoma" w:hAnsi="Tahoma" w:cs="Tahoma"/>
                <w:sz w:val="13"/>
                <w:szCs w:val="13"/>
              </w:rPr>
            </w:pPr>
            <w:r w:rsidRPr="003410C7">
              <w:rPr>
                <w:rFonts w:ascii="Tahoma" w:hAnsi="Tahoma" w:cs="Tahoma"/>
                <w:sz w:val="13"/>
                <w:szCs w:val="13"/>
              </w:rPr>
              <w:t>50</w:t>
            </w:r>
          </w:p>
        </w:tc>
        <w:tc>
          <w:tcPr>
            <w:tcW w:w="450" w:type="dxa"/>
            <w:tcBorders>
              <w:bottom w:val="single" w:sz="4" w:space="0" w:color="auto"/>
            </w:tcBorders>
            <w:shd w:val="clear" w:color="auto" w:fill="FABF8F"/>
            <w:vAlign w:val="bottom"/>
          </w:tcPr>
          <w:p w:rsidR="001A63C6" w:rsidRPr="003410C7" w:rsidRDefault="001A63C6" w:rsidP="001A63C6">
            <w:pPr>
              <w:pStyle w:val="TableText"/>
              <w:widowControl w:val="0"/>
              <w:spacing w:after="120"/>
              <w:rPr>
                <w:rFonts w:ascii="Tahoma" w:hAnsi="Tahoma" w:cs="Tahoma"/>
                <w:sz w:val="13"/>
                <w:szCs w:val="13"/>
              </w:rPr>
            </w:pPr>
            <w:r w:rsidRPr="003410C7">
              <w:rPr>
                <w:rFonts w:ascii="Tahoma" w:hAnsi="Tahoma" w:cs="Tahoma"/>
                <w:sz w:val="13"/>
                <w:szCs w:val="13"/>
              </w:rPr>
              <w:t>38</w:t>
            </w:r>
          </w:p>
        </w:tc>
        <w:tc>
          <w:tcPr>
            <w:tcW w:w="450" w:type="dxa"/>
            <w:tcBorders>
              <w:bottom w:val="single" w:sz="4" w:space="0" w:color="auto"/>
            </w:tcBorders>
            <w:shd w:val="clear" w:color="auto" w:fill="FABF8F"/>
            <w:vAlign w:val="bottom"/>
          </w:tcPr>
          <w:p w:rsidR="001A63C6" w:rsidRPr="003410C7" w:rsidRDefault="001A63C6" w:rsidP="001A63C6">
            <w:pPr>
              <w:pStyle w:val="TableText"/>
              <w:widowControl w:val="0"/>
              <w:spacing w:after="120"/>
              <w:rPr>
                <w:rFonts w:ascii="Tahoma" w:hAnsi="Tahoma" w:cs="Tahoma"/>
                <w:sz w:val="13"/>
                <w:szCs w:val="13"/>
              </w:rPr>
            </w:pPr>
            <w:r w:rsidRPr="003410C7">
              <w:rPr>
                <w:rFonts w:ascii="Tahoma" w:hAnsi="Tahoma" w:cs="Tahoma"/>
                <w:sz w:val="13"/>
                <w:szCs w:val="13"/>
              </w:rPr>
              <w:t>38</w:t>
            </w:r>
          </w:p>
        </w:tc>
        <w:tc>
          <w:tcPr>
            <w:tcW w:w="450" w:type="dxa"/>
            <w:tcBorders>
              <w:bottom w:val="single" w:sz="4" w:space="0" w:color="auto"/>
            </w:tcBorders>
            <w:shd w:val="clear" w:color="auto" w:fill="FABF8F"/>
            <w:vAlign w:val="bottom"/>
          </w:tcPr>
          <w:p w:rsidR="001A63C6" w:rsidRPr="003410C7" w:rsidRDefault="001A63C6" w:rsidP="001A63C6">
            <w:pPr>
              <w:pStyle w:val="TableText"/>
              <w:widowControl w:val="0"/>
              <w:spacing w:after="120"/>
              <w:rPr>
                <w:rFonts w:ascii="Tahoma" w:hAnsi="Tahoma" w:cs="Tahoma"/>
                <w:sz w:val="13"/>
                <w:szCs w:val="13"/>
              </w:rPr>
            </w:pPr>
            <w:r w:rsidRPr="003410C7">
              <w:rPr>
                <w:rFonts w:ascii="Tahoma" w:hAnsi="Tahoma" w:cs="Tahoma"/>
                <w:sz w:val="13"/>
                <w:szCs w:val="13"/>
              </w:rPr>
              <w:t>25</w:t>
            </w:r>
          </w:p>
        </w:tc>
        <w:tc>
          <w:tcPr>
            <w:tcW w:w="360" w:type="dxa"/>
            <w:tcBorders>
              <w:bottom w:val="single" w:sz="4" w:space="0" w:color="auto"/>
              <w:right w:val="single" w:sz="18" w:space="0" w:color="auto"/>
            </w:tcBorders>
            <w:shd w:val="clear" w:color="auto" w:fill="FABF8F"/>
            <w:vAlign w:val="bottom"/>
          </w:tcPr>
          <w:p w:rsidR="001A63C6" w:rsidRPr="003410C7" w:rsidRDefault="001A63C6" w:rsidP="001A63C6">
            <w:pPr>
              <w:pStyle w:val="TableText"/>
              <w:widowControl w:val="0"/>
              <w:spacing w:after="120"/>
              <w:rPr>
                <w:rFonts w:ascii="Tahoma" w:hAnsi="Tahoma" w:cs="Tahoma"/>
                <w:sz w:val="13"/>
                <w:szCs w:val="13"/>
              </w:rPr>
            </w:pPr>
            <w:r w:rsidRPr="003410C7">
              <w:rPr>
                <w:rFonts w:ascii="Tahoma" w:hAnsi="Tahoma" w:cs="Tahoma"/>
                <w:sz w:val="13"/>
                <w:szCs w:val="13"/>
              </w:rPr>
              <w:t>13</w:t>
            </w:r>
          </w:p>
        </w:tc>
        <w:tc>
          <w:tcPr>
            <w:tcW w:w="450" w:type="dxa"/>
            <w:tcBorders>
              <w:left w:val="single" w:sz="18" w:space="0" w:color="auto"/>
              <w:bottom w:val="single" w:sz="4" w:space="0" w:color="auto"/>
            </w:tcBorders>
            <w:shd w:val="clear" w:color="auto" w:fill="FABF8F"/>
            <w:vAlign w:val="bottom"/>
          </w:tcPr>
          <w:p w:rsidR="001A63C6" w:rsidRPr="003410C7" w:rsidRDefault="001A63C6" w:rsidP="001A63C6">
            <w:pPr>
              <w:pStyle w:val="TableText"/>
              <w:widowControl w:val="0"/>
              <w:spacing w:after="120"/>
              <w:rPr>
                <w:rFonts w:ascii="Tahoma" w:hAnsi="Tahoma" w:cs="Tahoma"/>
                <w:sz w:val="13"/>
                <w:szCs w:val="13"/>
              </w:rPr>
            </w:pPr>
          </w:p>
        </w:tc>
        <w:tc>
          <w:tcPr>
            <w:tcW w:w="450" w:type="dxa"/>
            <w:tcBorders>
              <w:bottom w:val="single" w:sz="4" w:space="0" w:color="auto"/>
            </w:tcBorders>
            <w:shd w:val="clear" w:color="auto" w:fill="FABF8F"/>
            <w:vAlign w:val="bottom"/>
          </w:tcPr>
          <w:p w:rsidR="001A63C6" w:rsidRPr="003410C7" w:rsidRDefault="001A63C6" w:rsidP="001A63C6">
            <w:pPr>
              <w:pStyle w:val="TableText"/>
              <w:widowControl w:val="0"/>
              <w:spacing w:after="120"/>
              <w:rPr>
                <w:rFonts w:ascii="Tahoma" w:hAnsi="Tahoma" w:cs="Tahoma"/>
                <w:sz w:val="13"/>
                <w:szCs w:val="13"/>
              </w:rPr>
            </w:pPr>
            <w:r w:rsidRPr="003410C7">
              <w:rPr>
                <w:rFonts w:ascii="Tahoma" w:hAnsi="Tahoma" w:cs="Tahoma"/>
                <w:sz w:val="13"/>
                <w:szCs w:val="13"/>
              </w:rPr>
              <w:t>50</w:t>
            </w:r>
          </w:p>
        </w:tc>
        <w:tc>
          <w:tcPr>
            <w:tcW w:w="450" w:type="dxa"/>
            <w:tcBorders>
              <w:bottom w:val="single" w:sz="4" w:space="0" w:color="auto"/>
              <w:right w:val="single" w:sz="18" w:space="0" w:color="auto"/>
            </w:tcBorders>
            <w:shd w:val="clear" w:color="auto" w:fill="FABF8F"/>
            <w:vAlign w:val="bottom"/>
          </w:tcPr>
          <w:p w:rsidR="001A63C6" w:rsidRPr="003410C7" w:rsidRDefault="001A63C6" w:rsidP="001A63C6">
            <w:pPr>
              <w:pStyle w:val="TableText"/>
              <w:widowControl w:val="0"/>
              <w:spacing w:after="120"/>
              <w:rPr>
                <w:rFonts w:ascii="Tahoma" w:hAnsi="Tahoma" w:cs="Tahoma"/>
                <w:sz w:val="13"/>
                <w:szCs w:val="13"/>
              </w:rPr>
            </w:pPr>
            <w:r w:rsidRPr="003410C7">
              <w:rPr>
                <w:rFonts w:ascii="Tahoma" w:hAnsi="Tahoma" w:cs="Tahoma"/>
                <w:sz w:val="13"/>
                <w:szCs w:val="13"/>
              </w:rPr>
              <w:t>25</w:t>
            </w:r>
          </w:p>
        </w:tc>
        <w:tc>
          <w:tcPr>
            <w:tcW w:w="450" w:type="dxa"/>
            <w:tcBorders>
              <w:left w:val="single" w:sz="18" w:space="0" w:color="auto"/>
              <w:bottom w:val="single" w:sz="4" w:space="0" w:color="auto"/>
            </w:tcBorders>
            <w:shd w:val="clear" w:color="auto" w:fill="FABF8F"/>
            <w:vAlign w:val="bottom"/>
          </w:tcPr>
          <w:p w:rsidR="001A63C6" w:rsidRPr="003410C7" w:rsidRDefault="001A63C6" w:rsidP="001A63C6">
            <w:pPr>
              <w:pStyle w:val="TableText"/>
              <w:widowControl w:val="0"/>
              <w:spacing w:after="120"/>
              <w:rPr>
                <w:rFonts w:ascii="Tahoma" w:hAnsi="Tahoma" w:cs="Tahoma"/>
                <w:sz w:val="13"/>
                <w:szCs w:val="13"/>
              </w:rPr>
            </w:pPr>
            <w:r w:rsidRPr="003410C7">
              <w:rPr>
                <w:rFonts w:ascii="Tahoma" w:hAnsi="Tahoma" w:cs="Tahoma"/>
                <w:sz w:val="13"/>
                <w:szCs w:val="13"/>
              </w:rPr>
              <w:t>25</w:t>
            </w:r>
          </w:p>
        </w:tc>
        <w:tc>
          <w:tcPr>
            <w:tcW w:w="450" w:type="dxa"/>
            <w:tcBorders>
              <w:bottom w:val="single" w:sz="4" w:space="0" w:color="auto"/>
              <w:right w:val="single" w:sz="18" w:space="0" w:color="auto"/>
            </w:tcBorders>
            <w:shd w:val="clear" w:color="auto" w:fill="FABF8F"/>
            <w:vAlign w:val="center"/>
          </w:tcPr>
          <w:p w:rsidR="001A63C6" w:rsidRPr="003410C7" w:rsidRDefault="001A63C6" w:rsidP="001A63C6">
            <w:pPr>
              <w:pStyle w:val="TableText"/>
              <w:widowControl w:val="0"/>
              <w:rPr>
                <w:rFonts w:ascii="Tahoma" w:hAnsi="Tahoma" w:cs="Tahoma"/>
                <w:sz w:val="13"/>
              </w:rPr>
            </w:pPr>
            <w:r w:rsidRPr="003410C7">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3410C7" w:rsidRDefault="001A63C6" w:rsidP="001A63C6">
            <w:pPr>
              <w:pStyle w:val="TableText"/>
              <w:widowControl w:val="0"/>
              <w:rPr>
                <w:rFonts w:ascii="Tahoma" w:hAnsi="Tahoma" w:cs="Tahoma"/>
                <w:sz w:val="13"/>
              </w:rPr>
            </w:pPr>
            <w:r w:rsidRPr="003410C7">
              <w:rPr>
                <w:rFonts w:ascii="Tahoma" w:hAnsi="Tahoma" w:cs="Tahoma"/>
                <w:sz w:val="13"/>
              </w:rPr>
              <w:t>P</w:t>
            </w:r>
          </w:p>
        </w:tc>
        <w:tc>
          <w:tcPr>
            <w:tcW w:w="450" w:type="dxa"/>
            <w:tcBorders>
              <w:bottom w:val="single" w:sz="4" w:space="0" w:color="auto"/>
            </w:tcBorders>
            <w:shd w:val="clear" w:color="auto" w:fill="FABF8F"/>
          </w:tcPr>
          <w:p w:rsidR="001A63C6" w:rsidRPr="003410C7" w:rsidRDefault="001A63C6" w:rsidP="001A63C6">
            <w:pPr>
              <w:pStyle w:val="TableText"/>
              <w:widowControl w:val="0"/>
              <w:spacing w:before="120"/>
              <w:rPr>
                <w:rFonts w:ascii="Tahoma" w:hAnsi="Tahoma" w:cs="Tahoma"/>
                <w:sz w:val="13"/>
              </w:rPr>
            </w:pPr>
            <w:r w:rsidRPr="003410C7">
              <w:rPr>
                <w:rFonts w:ascii="Tahoma" w:hAnsi="Tahoma" w:cs="Tahoma"/>
                <w:sz w:val="13"/>
              </w:rPr>
              <w:t>A</w:t>
            </w:r>
          </w:p>
        </w:tc>
        <w:tc>
          <w:tcPr>
            <w:tcW w:w="540" w:type="dxa"/>
            <w:tcBorders>
              <w:bottom w:val="single" w:sz="4" w:space="0" w:color="auto"/>
            </w:tcBorders>
            <w:shd w:val="clear" w:color="auto" w:fill="FABF8F"/>
            <w:vAlign w:val="center"/>
          </w:tcPr>
          <w:p w:rsidR="001A63C6" w:rsidRPr="003410C7" w:rsidRDefault="001A63C6" w:rsidP="001A63C6">
            <w:pPr>
              <w:pStyle w:val="TableText"/>
              <w:widowControl w:val="0"/>
              <w:rPr>
                <w:rFonts w:ascii="Tahoma" w:hAnsi="Tahoma" w:cs="Tahoma"/>
                <w:sz w:val="13"/>
              </w:rPr>
            </w:pPr>
            <w:r w:rsidRPr="003410C7">
              <w:rPr>
                <w:rFonts w:ascii="Tahoma" w:hAnsi="Tahoma" w:cs="Tahoma"/>
                <w:sz w:val="13"/>
              </w:rPr>
              <w:t>OL/OV</w:t>
            </w:r>
          </w:p>
        </w:tc>
      </w:tr>
      <w:tr w:rsidR="006864A1" w:rsidRPr="003410C7" w:rsidTr="006B1F3F">
        <w:trPr>
          <w:trHeight w:val="134"/>
        </w:trPr>
        <w:tc>
          <w:tcPr>
            <w:tcW w:w="2734" w:type="dxa"/>
            <w:gridSpan w:val="2"/>
            <w:tcBorders>
              <w:bottom w:val="single" w:sz="4" w:space="0" w:color="auto"/>
            </w:tcBorders>
            <w:shd w:val="clear" w:color="auto" w:fill="auto"/>
            <w:vAlign w:val="center"/>
          </w:tcPr>
          <w:p w:rsidR="001A63C6" w:rsidRPr="003410C7" w:rsidRDefault="001A63C6" w:rsidP="007E466C">
            <w:pPr>
              <w:pStyle w:val="ProductNames"/>
              <w:spacing w:before="60" w:after="60"/>
              <w:rPr>
                <w:rFonts w:ascii="Tahoma" w:hAnsi="Tahoma" w:cs="Tahoma"/>
                <w:sz w:val="14"/>
              </w:rPr>
            </w:pPr>
            <w:bookmarkStart w:id="481" w:name="_Toc352234696"/>
            <w:r w:rsidRPr="003410C7">
              <w:rPr>
                <w:rFonts w:ascii="Tahoma" w:hAnsi="Tahoma" w:cs="Tahoma"/>
                <w:sz w:val="14"/>
              </w:rPr>
              <w:t>System Center 2012 Endpoint Protection</w:t>
            </w:r>
            <w:bookmarkEnd w:id="481"/>
          </w:p>
        </w:tc>
        <w:tc>
          <w:tcPr>
            <w:tcW w:w="450" w:type="dxa"/>
            <w:tcBorders>
              <w:bottom w:val="single" w:sz="4" w:space="0" w:color="auto"/>
            </w:tcBorders>
            <w:shd w:val="clear" w:color="auto" w:fill="auto"/>
            <w:vAlign w:val="center"/>
          </w:tcPr>
          <w:p w:rsidR="001A63C6" w:rsidRPr="009F17FF" w:rsidRDefault="00FC1A4D" w:rsidP="005C06BC">
            <w:pPr>
              <w:pStyle w:val="TableText"/>
              <w:widowControl w:val="0"/>
              <w:rPr>
                <w:b/>
                <w:color w:val="000000"/>
                <w:sz w:val="13"/>
                <w:szCs w:val="13"/>
                <w:u w:val="single"/>
              </w:rPr>
            </w:pPr>
            <w:hyperlink w:anchor="_103_System_Center" w:history="1">
              <w:r w:rsidR="000D77F6" w:rsidRPr="009F17FF">
                <w:rPr>
                  <w:rStyle w:val="Hyperlink"/>
                  <w:sz w:val="13"/>
                  <w:szCs w:val="13"/>
                </w:rPr>
                <w:t>90</w:t>
              </w:r>
            </w:hyperlink>
            <w:hyperlink w:anchor="Srv_102SysCtr2012EndpointProt" w:history="1"/>
          </w:p>
        </w:tc>
        <w:tc>
          <w:tcPr>
            <w:tcW w:w="450" w:type="dxa"/>
            <w:tcBorders>
              <w:bottom w:val="single" w:sz="4" w:space="0" w:color="auto"/>
            </w:tcBorders>
            <w:shd w:val="clear" w:color="auto" w:fill="auto"/>
            <w:vAlign w:val="center"/>
          </w:tcPr>
          <w:p w:rsidR="001A63C6" w:rsidRPr="003410C7" w:rsidRDefault="001A63C6" w:rsidP="001A63C6">
            <w:pPr>
              <w:pStyle w:val="TableText"/>
              <w:widowControl w:val="0"/>
              <w:rPr>
                <w:rFonts w:ascii="Tahoma" w:hAnsi="Tahoma" w:cs="Tahoma"/>
                <w:sz w:val="13"/>
              </w:rPr>
            </w:pPr>
            <w:r w:rsidRPr="003410C7">
              <w:rPr>
                <w:rFonts w:ascii="Tahoma" w:hAnsi="Tahoma" w:cs="Tahoma"/>
                <w:sz w:val="13"/>
              </w:rPr>
              <w:t>04/12</w:t>
            </w:r>
          </w:p>
        </w:tc>
        <w:tc>
          <w:tcPr>
            <w:tcW w:w="360" w:type="dxa"/>
            <w:tcBorders>
              <w:bottom w:val="single" w:sz="4" w:space="0" w:color="auto"/>
              <w:right w:val="single" w:sz="18" w:space="0" w:color="auto"/>
            </w:tcBorders>
            <w:shd w:val="clear" w:color="auto" w:fill="auto"/>
            <w:vAlign w:val="center"/>
          </w:tcPr>
          <w:p w:rsidR="001A63C6" w:rsidRPr="003410C7" w:rsidRDefault="001A63C6" w:rsidP="001A63C6">
            <w:pPr>
              <w:pStyle w:val="TableText"/>
              <w:widowControl w:val="0"/>
              <w:rPr>
                <w:rFonts w:ascii="Tahoma" w:hAnsi="Tahoma" w:cs="Tahoma"/>
                <w:color w:val="000000"/>
                <w:sz w:val="13"/>
              </w:rPr>
            </w:pPr>
            <w:r w:rsidRPr="003410C7">
              <w:rPr>
                <w:rFonts w:ascii="Tahoma" w:hAnsi="Tahoma" w:cs="Tahoma"/>
                <w:color w:val="000000"/>
                <w:sz w:val="13"/>
              </w:rPr>
              <w:t>SRV</w:t>
            </w:r>
          </w:p>
        </w:tc>
        <w:tc>
          <w:tcPr>
            <w:tcW w:w="360" w:type="dxa"/>
            <w:tcBorders>
              <w:left w:val="single" w:sz="18" w:space="0" w:color="auto"/>
              <w:bottom w:val="single" w:sz="4" w:space="0" w:color="auto"/>
            </w:tcBorders>
            <w:shd w:val="clear" w:color="auto" w:fill="auto"/>
            <w:vAlign w:val="center"/>
          </w:tcPr>
          <w:p w:rsidR="001A63C6" w:rsidRPr="003410C7" w:rsidRDefault="001A63C6" w:rsidP="007E466C">
            <w:pPr>
              <w:pStyle w:val="TableText"/>
              <w:widowControl w:val="0"/>
              <w:rPr>
                <w:rFonts w:ascii="Tahoma" w:hAnsi="Tahoma" w:cs="Tahoma"/>
                <w:sz w:val="13"/>
                <w:szCs w:val="13"/>
              </w:rPr>
            </w:pPr>
          </w:p>
        </w:tc>
        <w:tc>
          <w:tcPr>
            <w:tcW w:w="450" w:type="dxa"/>
            <w:tcBorders>
              <w:bottom w:val="single" w:sz="4" w:space="0" w:color="auto"/>
            </w:tcBorders>
            <w:shd w:val="clear" w:color="auto" w:fill="auto"/>
            <w:vAlign w:val="center"/>
          </w:tcPr>
          <w:p w:rsidR="001A63C6" w:rsidRPr="003410C7" w:rsidRDefault="001A63C6" w:rsidP="007E466C">
            <w:pPr>
              <w:pStyle w:val="TableText"/>
              <w:widowControl w:val="0"/>
              <w:rPr>
                <w:rFonts w:ascii="Tahoma" w:hAnsi="Tahoma" w:cs="Tahoma"/>
                <w:sz w:val="13"/>
                <w:szCs w:val="13"/>
              </w:rPr>
            </w:pPr>
          </w:p>
        </w:tc>
        <w:tc>
          <w:tcPr>
            <w:tcW w:w="450" w:type="dxa"/>
            <w:tcBorders>
              <w:bottom w:val="single" w:sz="4" w:space="0" w:color="auto"/>
            </w:tcBorders>
            <w:shd w:val="clear" w:color="auto" w:fill="auto"/>
            <w:vAlign w:val="center"/>
          </w:tcPr>
          <w:p w:rsidR="001A63C6" w:rsidRPr="003410C7" w:rsidRDefault="001A63C6" w:rsidP="007E466C">
            <w:pPr>
              <w:pStyle w:val="TableText"/>
              <w:widowControl w:val="0"/>
              <w:rPr>
                <w:rFonts w:ascii="Tahoma" w:hAnsi="Tahoma" w:cs="Tahoma"/>
                <w:sz w:val="13"/>
                <w:szCs w:val="13"/>
              </w:rPr>
            </w:pPr>
          </w:p>
        </w:tc>
        <w:tc>
          <w:tcPr>
            <w:tcW w:w="450" w:type="dxa"/>
            <w:tcBorders>
              <w:bottom w:val="single" w:sz="4" w:space="0" w:color="auto"/>
            </w:tcBorders>
            <w:shd w:val="clear" w:color="auto" w:fill="auto"/>
            <w:vAlign w:val="center"/>
          </w:tcPr>
          <w:p w:rsidR="001A63C6" w:rsidRPr="003410C7" w:rsidRDefault="001A63C6" w:rsidP="007E466C">
            <w:pPr>
              <w:pStyle w:val="TableText"/>
              <w:widowControl w:val="0"/>
              <w:rPr>
                <w:rFonts w:ascii="Tahoma" w:hAnsi="Tahoma" w:cs="Tahoma"/>
                <w:sz w:val="13"/>
                <w:szCs w:val="13"/>
              </w:rPr>
            </w:pPr>
          </w:p>
        </w:tc>
        <w:tc>
          <w:tcPr>
            <w:tcW w:w="450" w:type="dxa"/>
            <w:tcBorders>
              <w:bottom w:val="single" w:sz="4" w:space="0" w:color="auto"/>
            </w:tcBorders>
            <w:shd w:val="clear" w:color="auto" w:fill="auto"/>
            <w:vAlign w:val="center"/>
          </w:tcPr>
          <w:p w:rsidR="001A63C6" w:rsidRPr="003410C7" w:rsidRDefault="001A63C6" w:rsidP="007E466C">
            <w:pPr>
              <w:pStyle w:val="TableText"/>
              <w:widowControl w:val="0"/>
              <w:rPr>
                <w:rFonts w:ascii="Tahoma" w:hAnsi="Tahoma" w:cs="Tahoma"/>
                <w:sz w:val="13"/>
                <w:szCs w:val="13"/>
              </w:rPr>
            </w:pPr>
          </w:p>
        </w:tc>
        <w:tc>
          <w:tcPr>
            <w:tcW w:w="450" w:type="dxa"/>
            <w:tcBorders>
              <w:bottom w:val="single" w:sz="4" w:space="0" w:color="auto"/>
            </w:tcBorders>
            <w:shd w:val="clear" w:color="auto" w:fill="auto"/>
            <w:vAlign w:val="center"/>
          </w:tcPr>
          <w:p w:rsidR="001A63C6" w:rsidRPr="003410C7" w:rsidRDefault="001A63C6" w:rsidP="007E466C">
            <w:pPr>
              <w:pStyle w:val="TableText"/>
              <w:widowControl w:val="0"/>
              <w:rPr>
                <w:rFonts w:ascii="Tahoma" w:hAnsi="Tahoma" w:cs="Tahoma"/>
                <w:sz w:val="13"/>
                <w:szCs w:val="13"/>
              </w:rPr>
            </w:pPr>
          </w:p>
        </w:tc>
        <w:tc>
          <w:tcPr>
            <w:tcW w:w="360" w:type="dxa"/>
            <w:tcBorders>
              <w:bottom w:val="single" w:sz="4" w:space="0" w:color="auto"/>
              <w:right w:val="single" w:sz="18" w:space="0" w:color="auto"/>
            </w:tcBorders>
            <w:shd w:val="clear" w:color="auto" w:fill="auto"/>
            <w:vAlign w:val="center"/>
          </w:tcPr>
          <w:p w:rsidR="001A63C6" w:rsidRPr="003410C7" w:rsidRDefault="001A63C6" w:rsidP="007E466C">
            <w:pPr>
              <w:pStyle w:val="TableText"/>
              <w:widowControl w:val="0"/>
              <w:rPr>
                <w:rFonts w:ascii="Tahoma" w:hAnsi="Tahoma" w:cs="Tahoma"/>
                <w:sz w:val="13"/>
                <w:szCs w:val="13"/>
              </w:rPr>
            </w:pPr>
          </w:p>
        </w:tc>
        <w:tc>
          <w:tcPr>
            <w:tcW w:w="450" w:type="dxa"/>
            <w:tcBorders>
              <w:left w:val="single" w:sz="18" w:space="0" w:color="auto"/>
              <w:bottom w:val="single" w:sz="4" w:space="0" w:color="auto"/>
            </w:tcBorders>
            <w:shd w:val="clear" w:color="auto" w:fill="auto"/>
            <w:vAlign w:val="center"/>
          </w:tcPr>
          <w:p w:rsidR="001A63C6" w:rsidRPr="003410C7" w:rsidRDefault="001A63C6" w:rsidP="007E466C">
            <w:pPr>
              <w:pStyle w:val="TableText"/>
              <w:widowControl w:val="0"/>
              <w:rPr>
                <w:rFonts w:ascii="Tahoma" w:hAnsi="Tahoma" w:cs="Tahoma"/>
                <w:sz w:val="13"/>
                <w:szCs w:val="13"/>
              </w:rPr>
            </w:pPr>
          </w:p>
        </w:tc>
        <w:tc>
          <w:tcPr>
            <w:tcW w:w="450" w:type="dxa"/>
            <w:tcBorders>
              <w:bottom w:val="single" w:sz="4" w:space="0" w:color="auto"/>
            </w:tcBorders>
            <w:shd w:val="clear" w:color="auto" w:fill="auto"/>
            <w:vAlign w:val="center"/>
          </w:tcPr>
          <w:p w:rsidR="001A63C6" w:rsidRPr="003410C7" w:rsidRDefault="001A63C6" w:rsidP="007E466C">
            <w:pPr>
              <w:pStyle w:val="TableText"/>
              <w:widowControl w:val="0"/>
              <w:rPr>
                <w:rFonts w:ascii="Tahoma" w:hAnsi="Tahoma" w:cs="Tahoma"/>
                <w:sz w:val="13"/>
                <w:szCs w:val="13"/>
              </w:rPr>
            </w:pPr>
          </w:p>
        </w:tc>
        <w:tc>
          <w:tcPr>
            <w:tcW w:w="450" w:type="dxa"/>
            <w:tcBorders>
              <w:bottom w:val="single" w:sz="4" w:space="0" w:color="auto"/>
              <w:right w:val="single" w:sz="18" w:space="0" w:color="auto"/>
            </w:tcBorders>
            <w:shd w:val="clear" w:color="auto" w:fill="auto"/>
            <w:vAlign w:val="center"/>
          </w:tcPr>
          <w:p w:rsidR="001A63C6" w:rsidRPr="003410C7" w:rsidRDefault="001A63C6" w:rsidP="007E466C">
            <w:pPr>
              <w:pStyle w:val="TableText"/>
              <w:widowControl w:val="0"/>
              <w:rPr>
                <w:rFonts w:ascii="Tahoma" w:hAnsi="Tahoma" w:cs="Tahoma"/>
                <w:sz w:val="13"/>
                <w:szCs w:val="13"/>
              </w:rPr>
            </w:pPr>
          </w:p>
        </w:tc>
        <w:tc>
          <w:tcPr>
            <w:tcW w:w="450" w:type="dxa"/>
            <w:tcBorders>
              <w:left w:val="single" w:sz="18" w:space="0" w:color="auto"/>
              <w:bottom w:val="single" w:sz="4" w:space="0" w:color="auto"/>
            </w:tcBorders>
            <w:shd w:val="clear" w:color="auto" w:fill="auto"/>
            <w:vAlign w:val="center"/>
          </w:tcPr>
          <w:p w:rsidR="001A63C6" w:rsidRPr="003410C7" w:rsidRDefault="001A63C6" w:rsidP="007E466C">
            <w:pPr>
              <w:pStyle w:val="TableText"/>
              <w:widowControl w:val="0"/>
              <w:rPr>
                <w:rFonts w:ascii="Tahoma" w:hAnsi="Tahoma" w:cs="Tahoma"/>
                <w:sz w:val="13"/>
                <w:szCs w:val="13"/>
              </w:rPr>
            </w:pPr>
            <w:r w:rsidRPr="003410C7">
              <w:rPr>
                <w:rFonts w:ascii="Tahoma" w:hAnsi="Tahoma" w:cs="Tahoma"/>
                <w:sz w:val="13"/>
                <w:szCs w:val="13"/>
              </w:rPr>
              <w:t>1</w:t>
            </w:r>
          </w:p>
        </w:tc>
        <w:tc>
          <w:tcPr>
            <w:tcW w:w="450" w:type="dxa"/>
            <w:tcBorders>
              <w:bottom w:val="single" w:sz="4" w:space="0" w:color="auto"/>
              <w:right w:val="single" w:sz="18" w:space="0" w:color="auto"/>
            </w:tcBorders>
            <w:shd w:val="clear" w:color="auto" w:fill="auto"/>
            <w:vAlign w:val="center"/>
          </w:tcPr>
          <w:p w:rsidR="001A63C6" w:rsidRPr="003410C7"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rsidR="001A63C6" w:rsidRPr="003410C7" w:rsidRDefault="001A63C6" w:rsidP="001A63C6">
            <w:pPr>
              <w:pStyle w:val="TableText"/>
              <w:widowControl w:val="0"/>
              <w:rPr>
                <w:rFonts w:ascii="Tahoma" w:hAnsi="Tahoma" w:cs="Tahoma"/>
                <w:sz w:val="13"/>
              </w:rPr>
            </w:pPr>
            <w:r w:rsidRPr="003410C7">
              <w:rPr>
                <w:rFonts w:ascii="Tahoma" w:hAnsi="Tahoma" w:cs="Tahoma"/>
                <w:sz w:val="13"/>
              </w:rPr>
              <w:t>P</w:t>
            </w:r>
          </w:p>
        </w:tc>
        <w:tc>
          <w:tcPr>
            <w:tcW w:w="450" w:type="dxa"/>
            <w:tcBorders>
              <w:bottom w:val="single" w:sz="4" w:space="0" w:color="auto"/>
            </w:tcBorders>
            <w:shd w:val="clear" w:color="auto" w:fill="auto"/>
            <w:vAlign w:val="center"/>
          </w:tcPr>
          <w:p w:rsidR="001A63C6" w:rsidRPr="003410C7" w:rsidRDefault="001A63C6" w:rsidP="007E466C">
            <w:pPr>
              <w:pStyle w:val="TableText"/>
              <w:widowControl w:val="0"/>
              <w:rPr>
                <w:rFonts w:ascii="Tahoma" w:hAnsi="Tahoma" w:cs="Tahoma"/>
                <w:sz w:val="13"/>
              </w:rPr>
            </w:pPr>
            <w:r w:rsidRPr="003410C7">
              <w:rPr>
                <w:rFonts w:ascii="Tahoma" w:hAnsi="Tahoma" w:cs="Tahoma"/>
                <w:sz w:val="13"/>
              </w:rPr>
              <w:t>AO, ST</w:t>
            </w:r>
          </w:p>
        </w:tc>
        <w:tc>
          <w:tcPr>
            <w:tcW w:w="540" w:type="dxa"/>
            <w:tcBorders>
              <w:bottom w:val="single" w:sz="4" w:space="0" w:color="auto"/>
            </w:tcBorders>
            <w:shd w:val="clear" w:color="auto" w:fill="auto"/>
            <w:vAlign w:val="center"/>
          </w:tcPr>
          <w:p w:rsidR="001A63C6" w:rsidRPr="003410C7" w:rsidRDefault="001A63C6" w:rsidP="001A63C6">
            <w:pPr>
              <w:pStyle w:val="TableText"/>
              <w:widowControl w:val="0"/>
              <w:rPr>
                <w:rFonts w:ascii="Tahoma" w:hAnsi="Tahoma" w:cs="Tahoma"/>
                <w:sz w:val="13"/>
              </w:rPr>
            </w:pPr>
          </w:p>
        </w:tc>
      </w:tr>
      <w:tr w:rsidR="00EF228F" w:rsidRPr="003410C7" w:rsidTr="006B1F3F">
        <w:trPr>
          <w:trHeight w:val="134"/>
        </w:trPr>
        <w:tc>
          <w:tcPr>
            <w:tcW w:w="2734" w:type="dxa"/>
            <w:gridSpan w:val="2"/>
            <w:tcBorders>
              <w:bottom w:val="single" w:sz="4" w:space="0" w:color="auto"/>
            </w:tcBorders>
            <w:shd w:val="clear" w:color="auto" w:fill="FABF8F"/>
          </w:tcPr>
          <w:p w:rsidR="001A63C6" w:rsidRPr="00451078" w:rsidRDefault="001A63C6" w:rsidP="00FE2D13">
            <w:pPr>
              <w:pStyle w:val="ProductNames"/>
              <w:spacing w:beforeLines="20" w:before="48" w:afterLines="20" w:after="48"/>
              <w:rPr>
                <w:rFonts w:ascii="Tahoma" w:hAnsi="Tahoma" w:cs="Tahoma"/>
                <w:sz w:val="14"/>
                <w:lang w:val="it-IT"/>
              </w:rPr>
            </w:pPr>
            <w:bookmarkStart w:id="482" w:name="_Toc336338100"/>
            <w:bookmarkStart w:id="483" w:name="_Toc352234697"/>
            <w:r w:rsidRPr="00451078">
              <w:rPr>
                <w:rFonts w:ascii="Tahoma" w:hAnsi="Tahoma" w:cs="Tahoma"/>
                <w:sz w:val="14"/>
                <w:lang w:val="it-IT"/>
              </w:rPr>
              <w:t>Licenza di Gestione Server Standard per</w:t>
            </w:r>
            <w:r w:rsidR="00FE2D13" w:rsidRPr="00451078">
              <w:rPr>
                <w:rFonts w:ascii="Tahoma" w:hAnsi="Tahoma" w:cs="Tahoma"/>
                <w:sz w:val="14"/>
                <w:lang w:val="it-IT"/>
              </w:rPr>
              <w:t> </w:t>
            </w:r>
            <w:r w:rsidRPr="00451078">
              <w:rPr>
                <w:rFonts w:ascii="Tahoma" w:hAnsi="Tahoma" w:cs="Tahoma"/>
                <w:sz w:val="14"/>
                <w:lang w:val="it-IT"/>
              </w:rPr>
              <w:t>System Center 2012 (2 processori)</w:t>
            </w:r>
            <w:bookmarkEnd w:id="482"/>
            <w:bookmarkEnd w:id="483"/>
          </w:p>
        </w:tc>
        <w:tc>
          <w:tcPr>
            <w:tcW w:w="450" w:type="dxa"/>
            <w:tcBorders>
              <w:bottom w:val="single" w:sz="4" w:space="0" w:color="auto"/>
            </w:tcBorders>
            <w:shd w:val="clear" w:color="auto" w:fill="FABF8F"/>
            <w:vAlign w:val="center"/>
          </w:tcPr>
          <w:p w:rsidR="001A63C6" w:rsidRPr="00451078" w:rsidRDefault="001A63C6" w:rsidP="001A63C6">
            <w:pPr>
              <w:pStyle w:val="TableText"/>
              <w:widowControl w:val="0"/>
              <w:spacing w:before="240"/>
              <w:rPr>
                <w:b/>
                <w:color w:val="000000"/>
                <w:sz w:val="13"/>
                <w:szCs w:val="13"/>
                <w:u w:val="single"/>
                <w:lang w:val="it-IT"/>
              </w:rPr>
            </w:pPr>
          </w:p>
        </w:tc>
        <w:tc>
          <w:tcPr>
            <w:tcW w:w="450" w:type="dxa"/>
            <w:tcBorders>
              <w:bottom w:val="single" w:sz="4" w:space="0" w:color="auto"/>
            </w:tcBorders>
            <w:shd w:val="clear" w:color="auto" w:fill="FABF8F"/>
          </w:tcPr>
          <w:p w:rsidR="001A63C6" w:rsidRPr="003410C7" w:rsidRDefault="001A63C6" w:rsidP="001A63C6">
            <w:pPr>
              <w:pStyle w:val="TableText"/>
              <w:widowControl w:val="0"/>
              <w:spacing w:before="120"/>
              <w:rPr>
                <w:rFonts w:ascii="Tahoma" w:hAnsi="Tahoma" w:cs="Tahoma"/>
                <w:sz w:val="13"/>
              </w:rPr>
            </w:pPr>
            <w:r w:rsidRPr="003410C7">
              <w:rPr>
                <w:rFonts w:ascii="Tahoma" w:hAnsi="Tahoma" w:cs="Tahoma"/>
                <w:sz w:val="13"/>
              </w:rPr>
              <w:t>04/12</w:t>
            </w:r>
          </w:p>
        </w:tc>
        <w:tc>
          <w:tcPr>
            <w:tcW w:w="360" w:type="dxa"/>
            <w:tcBorders>
              <w:bottom w:val="single" w:sz="4" w:space="0" w:color="auto"/>
              <w:right w:val="single" w:sz="18" w:space="0" w:color="auto"/>
            </w:tcBorders>
            <w:shd w:val="clear" w:color="auto" w:fill="FABF8F"/>
            <w:vAlign w:val="center"/>
          </w:tcPr>
          <w:p w:rsidR="001A63C6" w:rsidRPr="003410C7" w:rsidRDefault="001A63C6" w:rsidP="001A63C6">
            <w:pPr>
              <w:pStyle w:val="TableText"/>
              <w:widowControl w:val="0"/>
              <w:rPr>
                <w:rFonts w:ascii="Tahoma" w:hAnsi="Tahoma" w:cs="Tahoma"/>
                <w:sz w:val="13"/>
              </w:rPr>
            </w:pPr>
            <w:r w:rsidRPr="003410C7">
              <w:rPr>
                <w:rFonts w:ascii="Tahoma" w:hAnsi="Tahoma" w:cs="Tahoma"/>
                <w:color w:val="000000"/>
                <w:sz w:val="13"/>
              </w:rPr>
              <w:t>SRV</w:t>
            </w:r>
          </w:p>
        </w:tc>
        <w:tc>
          <w:tcPr>
            <w:tcW w:w="360" w:type="dxa"/>
            <w:tcBorders>
              <w:left w:val="single" w:sz="18" w:space="0" w:color="auto"/>
              <w:bottom w:val="single" w:sz="4" w:space="0" w:color="auto"/>
            </w:tcBorders>
            <w:shd w:val="clear" w:color="auto" w:fill="FABF8F"/>
            <w:vAlign w:val="bottom"/>
          </w:tcPr>
          <w:p w:rsidR="001A63C6" w:rsidRPr="003410C7" w:rsidRDefault="001A63C6" w:rsidP="001A63C6">
            <w:pPr>
              <w:pStyle w:val="TableText"/>
              <w:widowControl w:val="0"/>
              <w:spacing w:after="120"/>
              <w:rPr>
                <w:rFonts w:ascii="Tahoma" w:hAnsi="Tahoma" w:cs="Tahoma"/>
                <w:sz w:val="13"/>
                <w:szCs w:val="13"/>
              </w:rPr>
            </w:pPr>
          </w:p>
        </w:tc>
        <w:tc>
          <w:tcPr>
            <w:tcW w:w="450" w:type="dxa"/>
            <w:tcBorders>
              <w:bottom w:val="single" w:sz="4" w:space="0" w:color="auto"/>
            </w:tcBorders>
            <w:shd w:val="clear" w:color="auto" w:fill="FABF8F"/>
            <w:vAlign w:val="bottom"/>
          </w:tcPr>
          <w:p w:rsidR="001A63C6" w:rsidRPr="003410C7" w:rsidRDefault="001A63C6" w:rsidP="001A63C6">
            <w:pPr>
              <w:pStyle w:val="TableText"/>
              <w:widowControl w:val="0"/>
              <w:spacing w:after="120"/>
              <w:rPr>
                <w:rFonts w:ascii="Tahoma" w:hAnsi="Tahoma" w:cs="Tahoma"/>
                <w:sz w:val="13"/>
                <w:szCs w:val="13"/>
              </w:rPr>
            </w:pPr>
            <w:r w:rsidRPr="003410C7">
              <w:rPr>
                <w:rFonts w:ascii="Tahoma" w:hAnsi="Tahoma" w:cs="Tahoma"/>
                <w:sz w:val="13"/>
                <w:szCs w:val="13"/>
              </w:rPr>
              <w:t>38</w:t>
            </w:r>
          </w:p>
        </w:tc>
        <w:tc>
          <w:tcPr>
            <w:tcW w:w="450" w:type="dxa"/>
            <w:tcBorders>
              <w:bottom w:val="single" w:sz="4" w:space="0" w:color="auto"/>
            </w:tcBorders>
            <w:shd w:val="clear" w:color="auto" w:fill="FABF8F"/>
            <w:vAlign w:val="bottom"/>
          </w:tcPr>
          <w:p w:rsidR="001A63C6" w:rsidRPr="003410C7" w:rsidRDefault="001A63C6" w:rsidP="001A63C6">
            <w:pPr>
              <w:pStyle w:val="TableText"/>
              <w:widowControl w:val="0"/>
              <w:spacing w:after="120"/>
              <w:rPr>
                <w:rFonts w:ascii="Tahoma" w:hAnsi="Tahoma" w:cs="Tahoma"/>
                <w:sz w:val="13"/>
                <w:szCs w:val="13"/>
              </w:rPr>
            </w:pPr>
            <w:r w:rsidRPr="003410C7">
              <w:rPr>
                <w:rFonts w:ascii="Tahoma" w:hAnsi="Tahoma" w:cs="Tahoma"/>
                <w:sz w:val="13"/>
                <w:szCs w:val="13"/>
              </w:rPr>
              <w:t>30</w:t>
            </w:r>
          </w:p>
        </w:tc>
        <w:tc>
          <w:tcPr>
            <w:tcW w:w="450" w:type="dxa"/>
            <w:tcBorders>
              <w:bottom w:val="single" w:sz="4" w:space="0" w:color="auto"/>
            </w:tcBorders>
            <w:shd w:val="clear" w:color="auto" w:fill="FABF8F"/>
            <w:vAlign w:val="bottom"/>
          </w:tcPr>
          <w:p w:rsidR="001A63C6" w:rsidRPr="003410C7" w:rsidRDefault="001A63C6" w:rsidP="001A63C6">
            <w:pPr>
              <w:pStyle w:val="TableText"/>
              <w:widowControl w:val="0"/>
              <w:spacing w:after="120"/>
              <w:rPr>
                <w:rFonts w:ascii="Tahoma" w:hAnsi="Tahoma" w:cs="Tahoma"/>
                <w:sz w:val="13"/>
                <w:szCs w:val="13"/>
              </w:rPr>
            </w:pPr>
            <w:r w:rsidRPr="003410C7">
              <w:rPr>
                <w:rFonts w:ascii="Tahoma" w:hAnsi="Tahoma" w:cs="Tahoma"/>
                <w:sz w:val="13"/>
                <w:szCs w:val="13"/>
              </w:rPr>
              <w:t>23</w:t>
            </w:r>
          </w:p>
        </w:tc>
        <w:tc>
          <w:tcPr>
            <w:tcW w:w="450" w:type="dxa"/>
            <w:tcBorders>
              <w:bottom w:val="single" w:sz="4" w:space="0" w:color="auto"/>
            </w:tcBorders>
            <w:shd w:val="clear" w:color="auto" w:fill="FABF8F"/>
            <w:vAlign w:val="bottom"/>
          </w:tcPr>
          <w:p w:rsidR="001A63C6" w:rsidRPr="003410C7" w:rsidRDefault="001A63C6" w:rsidP="001A63C6">
            <w:pPr>
              <w:pStyle w:val="TableText"/>
              <w:widowControl w:val="0"/>
              <w:spacing w:after="120"/>
              <w:rPr>
                <w:rFonts w:ascii="Tahoma" w:hAnsi="Tahoma" w:cs="Tahoma"/>
                <w:sz w:val="13"/>
                <w:szCs w:val="13"/>
              </w:rPr>
            </w:pPr>
            <w:r w:rsidRPr="003410C7">
              <w:rPr>
                <w:rFonts w:ascii="Tahoma" w:hAnsi="Tahoma" w:cs="Tahoma"/>
                <w:sz w:val="13"/>
                <w:szCs w:val="13"/>
              </w:rPr>
              <w:t>23</w:t>
            </w:r>
          </w:p>
        </w:tc>
        <w:tc>
          <w:tcPr>
            <w:tcW w:w="450" w:type="dxa"/>
            <w:tcBorders>
              <w:bottom w:val="single" w:sz="4" w:space="0" w:color="auto"/>
            </w:tcBorders>
            <w:shd w:val="clear" w:color="auto" w:fill="FABF8F"/>
            <w:vAlign w:val="bottom"/>
          </w:tcPr>
          <w:p w:rsidR="001A63C6" w:rsidRPr="003410C7" w:rsidRDefault="001A63C6" w:rsidP="001A63C6">
            <w:pPr>
              <w:pStyle w:val="TableText"/>
              <w:widowControl w:val="0"/>
              <w:spacing w:after="120"/>
              <w:rPr>
                <w:rFonts w:ascii="Tahoma" w:hAnsi="Tahoma" w:cs="Tahoma"/>
                <w:sz w:val="13"/>
                <w:szCs w:val="13"/>
              </w:rPr>
            </w:pPr>
            <w:r w:rsidRPr="003410C7">
              <w:rPr>
                <w:rFonts w:ascii="Tahoma" w:hAnsi="Tahoma" w:cs="Tahoma"/>
                <w:sz w:val="13"/>
                <w:szCs w:val="13"/>
              </w:rPr>
              <w:t>15</w:t>
            </w:r>
          </w:p>
        </w:tc>
        <w:tc>
          <w:tcPr>
            <w:tcW w:w="360" w:type="dxa"/>
            <w:tcBorders>
              <w:bottom w:val="single" w:sz="4" w:space="0" w:color="auto"/>
              <w:right w:val="single" w:sz="18" w:space="0" w:color="auto"/>
            </w:tcBorders>
            <w:shd w:val="clear" w:color="auto" w:fill="FABF8F"/>
            <w:vAlign w:val="bottom"/>
          </w:tcPr>
          <w:p w:rsidR="001A63C6" w:rsidRPr="003410C7" w:rsidRDefault="001A63C6" w:rsidP="001A63C6">
            <w:pPr>
              <w:pStyle w:val="TableText"/>
              <w:widowControl w:val="0"/>
              <w:spacing w:after="120"/>
              <w:rPr>
                <w:rFonts w:ascii="Tahoma" w:hAnsi="Tahoma" w:cs="Tahoma"/>
                <w:sz w:val="13"/>
                <w:szCs w:val="13"/>
              </w:rPr>
            </w:pPr>
            <w:r w:rsidRPr="003410C7">
              <w:rPr>
                <w:rFonts w:ascii="Tahoma" w:hAnsi="Tahoma" w:cs="Tahoma"/>
                <w:sz w:val="13"/>
                <w:szCs w:val="13"/>
              </w:rPr>
              <w:t>8</w:t>
            </w:r>
          </w:p>
        </w:tc>
        <w:tc>
          <w:tcPr>
            <w:tcW w:w="450" w:type="dxa"/>
            <w:tcBorders>
              <w:left w:val="single" w:sz="18" w:space="0" w:color="auto"/>
              <w:bottom w:val="single" w:sz="4" w:space="0" w:color="auto"/>
            </w:tcBorders>
            <w:shd w:val="clear" w:color="auto" w:fill="FABF8F"/>
            <w:vAlign w:val="bottom"/>
          </w:tcPr>
          <w:p w:rsidR="001A63C6" w:rsidRPr="003410C7" w:rsidRDefault="001A63C6" w:rsidP="001A63C6">
            <w:pPr>
              <w:pStyle w:val="TableText"/>
              <w:widowControl w:val="0"/>
              <w:spacing w:after="120"/>
              <w:rPr>
                <w:rFonts w:ascii="Tahoma" w:hAnsi="Tahoma" w:cs="Tahoma"/>
                <w:sz w:val="13"/>
                <w:szCs w:val="13"/>
              </w:rPr>
            </w:pPr>
          </w:p>
        </w:tc>
        <w:tc>
          <w:tcPr>
            <w:tcW w:w="450" w:type="dxa"/>
            <w:tcBorders>
              <w:bottom w:val="single" w:sz="4" w:space="0" w:color="auto"/>
            </w:tcBorders>
            <w:shd w:val="clear" w:color="auto" w:fill="FABF8F"/>
            <w:vAlign w:val="bottom"/>
          </w:tcPr>
          <w:p w:rsidR="001A63C6" w:rsidRPr="003410C7" w:rsidRDefault="001A63C6" w:rsidP="001A63C6">
            <w:pPr>
              <w:pStyle w:val="TableText"/>
              <w:widowControl w:val="0"/>
              <w:spacing w:after="120"/>
              <w:rPr>
                <w:rFonts w:ascii="Tahoma" w:hAnsi="Tahoma" w:cs="Tahoma"/>
                <w:sz w:val="13"/>
                <w:szCs w:val="13"/>
              </w:rPr>
            </w:pPr>
            <w:r w:rsidRPr="003410C7">
              <w:rPr>
                <w:rFonts w:ascii="Tahoma" w:hAnsi="Tahoma" w:cs="Tahoma"/>
                <w:sz w:val="13"/>
                <w:szCs w:val="13"/>
              </w:rPr>
              <w:t>30</w:t>
            </w:r>
          </w:p>
        </w:tc>
        <w:tc>
          <w:tcPr>
            <w:tcW w:w="450" w:type="dxa"/>
            <w:tcBorders>
              <w:bottom w:val="single" w:sz="4" w:space="0" w:color="auto"/>
              <w:right w:val="single" w:sz="18" w:space="0" w:color="auto"/>
            </w:tcBorders>
            <w:shd w:val="clear" w:color="auto" w:fill="FABF8F"/>
            <w:vAlign w:val="bottom"/>
          </w:tcPr>
          <w:p w:rsidR="001A63C6" w:rsidRPr="003410C7" w:rsidRDefault="001A63C6" w:rsidP="001A63C6">
            <w:pPr>
              <w:pStyle w:val="TableText"/>
              <w:widowControl w:val="0"/>
              <w:spacing w:after="120"/>
              <w:rPr>
                <w:rFonts w:ascii="Tahoma" w:hAnsi="Tahoma" w:cs="Tahoma"/>
                <w:sz w:val="13"/>
                <w:szCs w:val="13"/>
              </w:rPr>
            </w:pPr>
            <w:r w:rsidRPr="003410C7">
              <w:rPr>
                <w:rFonts w:ascii="Tahoma" w:hAnsi="Tahoma" w:cs="Tahoma"/>
                <w:sz w:val="13"/>
                <w:szCs w:val="13"/>
              </w:rPr>
              <w:t>15</w:t>
            </w:r>
          </w:p>
        </w:tc>
        <w:tc>
          <w:tcPr>
            <w:tcW w:w="450" w:type="dxa"/>
            <w:tcBorders>
              <w:left w:val="single" w:sz="18" w:space="0" w:color="auto"/>
              <w:bottom w:val="single" w:sz="4" w:space="0" w:color="auto"/>
            </w:tcBorders>
            <w:shd w:val="clear" w:color="auto" w:fill="FABF8F"/>
            <w:vAlign w:val="bottom"/>
          </w:tcPr>
          <w:p w:rsidR="001A63C6" w:rsidRPr="003410C7" w:rsidRDefault="001A63C6" w:rsidP="001A63C6">
            <w:pPr>
              <w:pStyle w:val="TableText"/>
              <w:widowControl w:val="0"/>
              <w:spacing w:after="120"/>
              <w:rPr>
                <w:rFonts w:ascii="Tahoma" w:hAnsi="Tahoma" w:cs="Tahoma"/>
                <w:sz w:val="13"/>
                <w:szCs w:val="13"/>
              </w:rPr>
            </w:pPr>
            <w:r w:rsidRPr="003410C7">
              <w:rPr>
                <w:rFonts w:ascii="Tahoma" w:hAnsi="Tahoma" w:cs="Tahoma"/>
                <w:sz w:val="13"/>
                <w:szCs w:val="13"/>
              </w:rPr>
              <w:t>15</w:t>
            </w:r>
          </w:p>
        </w:tc>
        <w:tc>
          <w:tcPr>
            <w:tcW w:w="450" w:type="dxa"/>
            <w:tcBorders>
              <w:bottom w:val="single" w:sz="4" w:space="0" w:color="auto"/>
              <w:right w:val="single" w:sz="18" w:space="0" w:color="auto"/>
            </w:tcBorders>
            <w:shd w:val="clear" w:color="auto" w:fill="FABF8F"/>
            <w:vAlign w:val="center"/>
          </w:tcPr>
          <w:p w:rsidR="001A63C6" w:rsidRPr="003410C7" w:rsidRDefault="001A63C6" w:rsidP="001A63C6">
            <w:pPr>
              <w:pStyle w:val="TableText"/>
              <w:widowControl w:val="0"/>
              <w:rPr>
                <w:rFonts w:ascii="Tahoma" w:hAnsi="Tahoma" w:cs="Tahoma"/>
                <w:sz w:val="13"/>
              </w:rPr>
            </w:pPr>
            <w:r w:rsidRPr="003410C7">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3410C7" w:rsidRDefault="001A63C6" w:rsidP="001A63C6">
            <w:pPr>
              <w:pStyle w:val="TableText"/>
              <w:widowControl w:val="0"/>
              <w:rPr>
                <w:rFonts w:ascii="Tahoma" w:hAnsi="Tahoma" w:cs="Tahoma"/>
                <w:sz w:val="13"/>
              </w:rPr>
            </w:pPr>
            <w:r w:rsidRPr="003410C7">
              <w:rPr>
                <w:rFonts w:ascii="Tahoma" w:hAnsi="Tahoma" w:cs="Tahoma"/>
                <w:sz w:val="13"/>
              </w:rPr>
              <w:t>P</w:t>
            </w:r>
          </w:p>
        </w:tc>
        <w:tc>
          <w:tcPr>
            <w:tcW w:w="450" w:type="dxa"/>
            <w:tcBorders>
              <w:bottom w:val="single" w:sz="4" w:space="0" w:color="auto"/>
            </w:tcBorders>
            <w:shd w:val="clear" w:color="auto" w:fill="FABF8F"/>
          </w:tcPr>
          <w:p w:rsidR="001A63C6" w:rsidRPr="003410C7" w:rsidRDefault="001A63C6" w:rsidP="001A63C6">
            <w:pPr>
              <w:pStyle w:val="TableText"/>
              <w:widowControl w:val="0"/>
              <w:spacing w:before="120"/>
              <w:rPr>
                <w:rFonts w:ascii="Tahoma" w:hAnsi="Tahoma" w:cs="Tahoma"/>
                <w:sz w:val="13"/>
              </w:rPr>
            </w:pPr>
            <w:r w:rsidRPr="003410C7">
              <w:rPr>
                <w:rFonts w:ascii="Tahoma" w:hAnsi="Tahoma" w:cs="Tahoma"/>
                <w:sz w:val="13"/>
              </w:rPr>
              <w:t>A</w:t>
            </w:r>
          </w:p>
        </w:tc>
        <w:tc>
          <w:tcPr>
            <w:tcW w:w="540" w:type="dxa"/>
            <w:tcBorders>
              <w:bottom w:val="single" w:sz="4" w:space="0" w:color="auto"/>
            </w:tcBorders>
            <w:shd w:val="clear" w:color="auto" w:fill="FABF8F"/>
            <w:vAlign w:val="center"/>
          </w:tcPr>
          <w:p w:rsidR="001A63C6" w:rsidRPr="003410C7" w:rsidRDefault="001A63C6" w:rsidP="001A63C6">
            <w:pPr>
              <w:pStyle w:val="TableText"/>
              <w:widowControl w:val="0"/>
              <w:rPr>
                <w:rFonts w:ascii="Tahoma" w:hAnsi="Tahoma" w:cs="Tahoma"/>
                <w:sz w:val="13"/>
              </w:rPr>
            </w:pPr>
            <w:r w:rsidRPr="003410C7">
              <w:rPr>
                <w:rFonts w:ascii="Tahoma" w:hAnsi="Tahoma" w:cs="Tahoma"/>
                <w:sz w:val="13"/>
              </w:rPr>
              <w:t>OL/OV</w:t>
            </w:r>
          </w:p>
        </w:tc>
      </w:tr>
      <w:tr w:rsidR="009E5BF9" w:rsidRPr="003410C7" w:rsidTr="006B1F3F">
        <w:trPr>
          <w:trHeight w:val="134"/>
        </w:trPr>
        <w:tc>
          <w:tcPr>
            <w:tcW w:w="2734" w:type="dxa"/>
            <w:gridSpan w:val="2"/>
            <w:tcBorders>
              <w:bottom w:val="single" w:sz="4" w:space="0" w:color="auto"/>
            </w:tcBorders>
            <w:shd w:val="clear" w:color="auto" w:fill="auto"/>
            <w:vAlign w:val="center"/>
          </w:tcPr>
          <w:p w:rsidR="001A63C6" w:rsidRPr="003410C7" w:rsidRDefault="001A63C6" w:rsidP="003410C7">
            <w:pPr>
              <w:pStyle w:val="ProductNames"/>
              <w:spacing w:beforeLines="20" w:before="48" w:afterLines="20" w:after="48"/>
              <w:rPr>
                <w:rFonts w:ascii="Tahoma" w:hAnsi="Tahoma" w:cs="Tahoma"/>
                <w:sz w:val="14"/>
              </w:rPr>
            </w:pPr>
            <w:bookmarkStart w:id="484" w:name="_Toc336338101"/>
            <w:bookmarkStart w:id="485" w:name="_Toc352234698"/>
            <w:r w:rsidRPr="003410C7">
              <w:rPr>
                <w:rFonts w:ascii="Tahoma" w:hAnsi="Tahoma" w:cs="Tahoma"/>
                <w:sz w:val="14"/>
              </w:rPr>
              <w:t>TechNet Plus Single User</w:t>
            </w:r>
            <w:bookmarkEnd w:id="484"/>
            <w:bookmarkEnd w:id="485"/>
          </w:p>
        </w:tc>
        <w:tc>
          <w:tcPr>
            <w:tcW w:w="450" w:type="dxa"/>
            <w:tcBorders>
              <w:bottom w:val="single" w:sz="4" w:space="0" w:color="auto"/>
            </w:tcBorders>
            <w:shd w:val="clear" w:color="auto" w:fill="auto"/>
            <w:vAlign w:val="center"/>
          </w:tcPr>
          <w:p w:rsidR="001A63C6" w:rsidRPr="009F17FF" w:rsidRDefault="00FC1A4D" w:rsidP="007E466C">
            <w:pPr>
              <w:pStyle w:val="TableText"/>
              <w:widowControl w:val="0"/>
              <w:rPr>
                <w:rStyle w:val="EndnoteReference"/>
                <w:rFonts w:cs="Tahoma"/>
                <w:b w:val="0"/>
                <w:color w:val="000000"/>
                <w:position w:val="-11"/>
                <w:sz w:val="13"/>
                <w:szCs w:val="13"/>
                <w:u w:val="single"/>
              </w:rPr>
            </w:pPr>
            <w:hyperlink w:anchor="_91_TechNet_Plus" w:history="1">
              <w:r w:rsidR="000D77F6" w:rsidRPr="009F17FF">
                <w:rPr>
                  <w:rStyle w:val="Hyperlink"/>
                  <w:sz w:val="13"/>
                  <w:szCs w:val="13"/>
                </w:rPr>
                <w:t>91</w:t>
              </w:r>
            </w:hyperlink>
            <w:hyperlink w:anchor="Srv_103TechNetPlusSingleUser" w:history="1"/>
          </w:p>
        </w:tc>
        <w:tc>
          <w:tcPr>
            <w:tcW w:w="450" w:type="dxa"/>
            <w:tcBorders>
              <w:bottom w:val="single" w:sz="4" w:space="0" w:color="auto"/>
            </w:tcBorders>
            <w:shd w:val="clear" w:color="auto" w:fill="auto"/>
          </w:tcPr>
          <w:p w:rsidR="001A63C6" w:rsidRPr="003410C7" w:rsidRDefault="001A63C6" w:rsidP="001A63C6">
            <w:pPr>
              <w:pStyle w:val="TableText"/>
              <w:widowControl w:val="0"/>
              <w:spacing w:before="80"/>
              <w:rPr>
                <w:rFonts w:ascii="Tahoma" w:hAnsi="Tahoma" w:cs="Tahoma"/>
                <w:sz w:val="13"/>
              </w:rPr>
            </w:pPr>
          </w:p>
        </w:tc>
        <w:tc>
          <w:tcPr>
            <w:tcW w:w="360" w:type="dxa"/>
            <w:tcBorders>
              <w:bottom w:val="single" w:sz="4" w:space="0" w:color="auto"/>
              <w:right w:val="single" w:sz="18" w:space="0" w:color="auto"/>
            </w:tcBorders>
            <w:shd w:val="clear" w:color="auto" w:fill="auto"/>
            <w:vAlign w:val="center"/>
          </w:tcPr>
          <w:p w:rsidR="001A63C6" w:rsidRPr="003410C7" w:rsidRDefault="001A63C6" w:rsidP="001A63C6">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auto"/>
            <w:vAlign w:val="center"/>
          </w:tcPr>
          <w:p w:rsidR="001A63C6" w:rsidRPr="003410C7"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3410C7" w:rsidRDefault="001A63C6" w:rsidP="001A63C6">
            <w:pPr>
              <w:pStyle w:val="TableText"/>
              <w:widowControl w:val="0"/>
              <w:rPr>
                <w:rFonts w:ascii="Tahoma" w:hAnsi="Tahoma" w:cs="Tahoma"/>
                <w:sz w:val="13"/>
              </w:rPr>
            </w:pPr>
            <w:r w:rsidRPr="003410C7">
              <w:rPr>
                <w:rFonts w:ascii="Tahoma" w:hAnsi="Tahoma" w:cs="Tahoma"/>
                <w:sz w:val="13"/>
              </w:rPr>
              <w:t>3</w:t>
            </w:r>
          </w:p>
        </w:tc>
        <w:tc>
          <w:tcPr>
            <w:tcW w:w="450" w:type="dxa"/>
            <w:tcBorders>
              <w:bottom w:val="single" w:sz="4" w:space="0" w:color="auto"/>
            </w:tcBorders>
            <w:shd w:val="clear" w:color="auto" w:fill="auto"/>
            <w:vAlign w:val="center"/>
          </w:tcPr>
          <w:p w:rsidR="001A63C6" w:rsidRPr="003410C7" w:rsidRDefault="001A63C6" w:rsidP="001A63C6">
            <w:pPr>
              <w:pStyle w:val="TableText"/>
              <w:widowControl w:val="0"/>
              <w:rPr>
                <w:rFonts w:ascii="Tahoma" w:hAnsi="Tahoma" w:cs="Tahoma"/>
                <w:sz w:val="13"/>
              </w:rPr>
            </w:pPr>
            <w:r w:rsidRPr="003410C7">
              <w:rPr>
                <w:rFonts w:ascii="Tahoma" w:hAnsi="Tahoma" w:cs="Tahoma"/>
                <w:sz w:val="13"/>
              </w:rPr>
              <w:t>2</w:t>
            </w:r>
          </w:p>
        </w:tc>
        <w:tc>
          <w:tcPr>
            <w:tcW w:w="450" w:type="dxa"/>
            <w:tcBorders>
              <w:bottom w:val="single" w:sz="4" w:space="0" w:color="auto"/>
            </w:tcBorders>
            <w:shd w:val="clear" w:color="auto" w:fill="auto"/>
            <w:vAlign w:val="center"/>
          </w:tcPr>
          <w:p w:rsidR="001A63C6" w:rsidRPr="003410C7" w:rsidRDefault="001A63C6" w:rsidP="001A63C6">
            <w:pPr>
              <w:pStyle w:val="TableText"/>
              <w:widowControl w:val="0"/>
              <w:rPr>
                <w:rFonts w:ascii="Tahoma" w:hAnsi="Tahoma" w:cs="Tahoma"/>
                <w:sz w:val="13"/>
              </w:rPr>
            </w:pPr>
            <w:r w:rsidRPr="003410C7">
              <w:rPr>
                <w:rFonts w:ascii="Tahoma" w:hAnsi="Tahoma" w:cs="Tahoma"/>
                <w:sz w:val="13"/>
              </w:rPr>
              <w:t>2</w:t>
            </w:r>
          </w:p>
        </w:tc>
        <w:tc>
          <w:tcPr>
            <w:tcW w:w="450" w:type="dxa"/>
            <w:tcBorders>
              <w:bottom w:val="single" w:sz="4" w:space="0" w:color="auto"/>
            </w:tcBorders>
            <w:shd w:val="clear" w:color="auto" w:fill="auto"/>
            <w:vAlign w:val="center"/>
          </w:tcPr>
          <w:p w:rsidR="001A63C6" w:rsidRPr="003410C7" w:rsidRDefault="001A63C6" w:rsidP="001A63C6">
            <w:pPr>
              <w:pStyle w:val="TableText"/>
              <w:widowControl w:val="0"/>
              <w:rPr>
                <w:rFonts w:ascii="Tahoma" w:hAnsi="Tahoma" w:cs="Tahoma"/>
                <w:sz w:val="13"/>
              </w:rPr>
            </w:pPr>
            <w:r w:rsidRPr="003410C7">
              <w:rPr>
                <w:rFonts w:ascii="Tahoma" w:hAnsi="Tahoma" w:cs="Tahoma"/>
                <w:sz w:val="13"/>
              </w:rPr>
              <w:t>2</w:t>
            </w:r>
          </w:p>
        </w:tc>
        <w:tc>
          <w:tcPr>
            <w:tcW w:w="450" w:type="dxa"/>
            <w:tcBorders>
              <w:bottom w:val="single" w:sz="4" w:space="0" w:color="auto"/>
            </w:tcBorders>
            <w:shd w:val="clear" w:color="auto" w:fill="auto"/>
            <w:vAlign w:val="center"/>
          </w:tcPr>
          <w:p w:rsidR="001A63C6" w:rsidRPr="003410C7" w:rsidRDefault="001A63C6" w:rsidP="001A63C6">
            <w:pPr>
              <w:pStyle w:val="TableText"/>
              <w:widowControl w:val="0"/>
              <w:rPr>
                <w:rFonts w:ascii="Tahoma" w:hAnsi="Tahoma" w:cs="Tahoma"/>
                <w:sz w:val="13"/>
              </w:rPr>
            </w:pPr>
            <w:r w:rsidRPr="003410C7">
              <w:rPr>
                <w:rFonts w:ascii="Tahoma" w:hAnsi="Tahoma" w:cs="Tahoma"/>
                <w:sz w:val="13"/>
              </w:rPr>
              <w:t>1</w:t>
            </w:r>
          </w:p>
        </w:tc>
        <w:tc>
          <w:tcPr>
            <w:tcW w:w="360" w:type="dxa"/>
            <w:tcBorders>
              <w:bottom w:val="single" w:sz="4" w:space="0" w:color="auto"/>
              <w:right w:val="single" w:sz="18" w:space="0" w:color="auto"/>
            </w:tcBorders>
            <w:shd w:val="clear" w:color="auto" w:fill="auto"/>
            <w:vAlign w:val="center"/>
          </w:tcPr>
          <w:p w:rsidR="001A63C6" w:rsidRPr="003410C7" w:rsidRDefault="001A63C6" w:rsidP="001A63C6">
            <w:pPr>
              <w:pStyle w:val="TableText"/>
              <w:widowControl w:val="0"/>
              <w:rPr>
                <w:rFonts w:ascii="Tahoma" w:hAnsi="Tahoma" w:cs="Tahoma"/>
                <w:sz w:val="13"/>
              </w:rPr>
            </w:pPr>
            <w:r w:rsidRPr="003410C7">
              <w:rPr>
                <w:rFonts w:ascii="Tahoma" w:hAnsi="Tahoma" w:cs="Tahoma"/>
                <w:sz w:val="13"/>
              </w:rPr>
              <w:t>1</w:t>
            </w:r>
          </w:p>
        </w:tc>
        <w:tc>
          <w:tcPr>
            <w:tcW w:w="450" w:type="dxa"/>
            <w:tcBorders>
              <w:left w:val="single" w:sz="18" w:space="0" w:color="auto"/>
              <w:bottom w:val="single" w:sz="4" w:space="0" w:color="auto"/>
            </w:tcBorders>
            <w:shd w:val="clear" w:color="auto" w:fill="auto"/>
            <w:vAlign w:val="center"/>
          </w:tcPr>
          <w:p w:rsidR="001A63C6" w:rsidRPr="003410C7"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3410C7" w:rsidRDefault="001A63C6" w:rsidP="001A63C6">
            <w:pPr>
              <w:pStyle w:val="TableText"/>
              <w:widowControl w:val="0"/>
              <w:rPr>
                <w:rFonts w:ascii="Tahoma" w:hAnsi="Tahoma" w:cs="Tahoma"/>
                <w:sz w:val="13"/>
              </w:rPr>
            </w:pPr>
            <w:r w:rsidRPr="003410C7">
              <w:rPr>
                <w:rFonts w:ascii="Tahoma" w:hAnsi="Tahoma" w:cs="Tahoma"/>
                <w:sz w:val="13"/>
              </w:rPr>
              <w:t>2</w:t>
            </w:r>
          </w:p>
        </w:tc>
        <w:tc>
          <w:tcPr>
            <w:tcW w:w="450" w:type="dxa"/>
            <w:tcBorders>
              <w:bottom w:val="single" w:sz="4" w:space="0" w:color="auto"/>
              <w:right w:val="single" w:sz="18" w:space="0" w:color="auto"/>
            </w:tcBorders>
            <w:shd w:val="clear" w:color="auto" w:fill="auto"/>
            <w:vAlign w:val="center"/>
          </w:tcPr>
          <w:p w:rsidR="001A63C6" w:rsidRPr="003410C7" w:rsidRDefault="001A63C6" w:rsidP="001A63C6">
            <w:pPr>
              <w:pStyle w:val="TableText"/>
              <w:widowControl w:val="0"/>
              <w:rPr>
                <w:rFonts w:ascii="Tahoma" w:hAnsi="Tahoma" w:cs="Tahoma"/>
                <w:sz w:val="13"/>
              </w:rPr>
            </w:pPr>
            <w:r w:rsidRPr="003410C7">
              <w:rPr>
                <w:rFonts w:ascii="Tahoma" w:hAnsi="Tahoma" w:cs="Tahoma"/>
                <w:sz w:val="13"/>
              </w:rPr>
              <w:t>1</w:t>
            </w:r>
          </w:p>
        </w:tc>
        <w:tc>
          <w:tcPr>
            <w:tcW w:w="450" w:type="dxa"/>
            <w:tcBorders>
              <w:left w:val="single" w:sz="18" w:space="0" w:color="auto"/>
              <w:bottom w:val="single" w:sz="4" w:space="0" w:color="auto"/>
            </w:tcBorders>
            <w:shd w:val="clear" w:color="auto" w:fill="auto"/>
            <w:vAlign w:val="center"/>
          </w:tcPr>
          <w:p w:rsidR="001A63C6" w:rsidRPr="003410C7"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1A63C6" w:rsidRPr="003410C7" w:rsidRDefault="001A63C6" w:rsidP="001A63C6">
            <w:pPr>
              <w:pStyle w:val="TableText"/>
              <w:widowControl w:val="0"/>
              <w:rPr>
                <w:rFonts w:ascii="Tahoma" w:hAnsi="Tahoma" w:cs="Tahoma"/>
                <w:sz w:val="13"/>
              </w:rPr>
            </w:pPr>
            <w:r w:rsidRPr="003410C7">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rsidR="001A63C6" w:rsidRPr="003410C7" w:rsidRDefault="001A63C6" w:rsidP="001A63C6">
            <w:pPr>
              <w:pStyle w:val="TableText"/>
              <w:widowControl w:val="0"/>
              <w:rPr>
                <w:rFonts w:ascii="Tahoma" w:hAnsi="Tahoma" w:cs="Tahoma"/>
                <w:sz w:val="13"/>
              </w:rPr>
            </w:pPr>
            <w:r w:rsidRPr="003410C7">
              <w:rPr>
                <w:rFonts w:ascii="Tahoma" w:hAnsi="Tahoma" w:cs="Tahoma"/>
                <w:sz w:val="13"/>
              </w:rPr>
              <w:t>P</w:t>
            </w:r>
          </w:p>
        </w:tc>
        <w:tc>
          <w:tcPr>
            <w:tcW w:w="450" w:type="dxa"/>
            <w:tcBorders>
              <w:bottom w:val="single" w:sz="4" w:space="0" w:color="auto"/>
            </w:tcBorders>
            <w:shd w:val="clear" w:color="auto" w:fill="auto"/>
          </w:tcPr>
          <w:p w:rsidR="001A63C6" w:rsidRPr="003410C7" w:rsidRDefault="001A63C6" w:rsidP="001A63C6">
            <w:pPr>
              <w:pStyle w:val="TableText"/>
              <w:widowControl w:val="0"/>
              <w:spacing w:before="120"/>
              <w:rPr>
                <w:rFonts w:ascii="Tahoma" w:hAnsi="Tahoma" w:cs="Tahoma"/>
                <w:sz w:val="13"/>
              </w:rPr>
            </w:pPr>
            <w:r w:rsidRPr="003410C7">
              <w:rPr>
                <w:rFonts w:ascii="Tahoma" w:hAnsi="Tahoma" w:cs="Tahoma"/>
                <w:sz w:val="13"/>
              </w:rPr>
              <w:t>A</w:t>
            </w:r>
          </w:p>
        </w:tc>
        <w:tc>
          <w:tcPr>
            <w:tcW w:w="540" w:type="dxa"/>
            <w:tcBorders>
              <w:bottom w:val="single" w:sz="4" w:space="0" w:color="auto"/>
            </w:tcBorders>
            <w:shd w:val="clear" w:color="auto" w:fill="auto"/>
            <w:vAlign w:val="center"/>
          </w:tcPr>
          <w:p w:rsidR="001A63C6" w:rsidRPr="003410C7" w:rsidRDefault="001A63C6" w:rsidP="001A63C6">
            <w:pPr>
              <w:pStyle w:val="TableText"/>
              <w:widowControl w:val="0"/>
              <w:rPr>
                <w:rFonts w:ascii="Tahoma" w:hAnsi="Tahoma" w:cs="Tahoma"/>
                <w:sz w:val="13"/>
              </w:rPr>
            </w:pPr>
            <w:r w:rsidRPr="003410C7">
              <w:rPr>
                <w:rFonts w:ascii="Tahoma" w:hAnsi="Tahoma" w:cs="Tahoma"/>
                <w:sz w:val="13"/>
              </w:rPr>
              <w:t>OL</w:t>
            </w:r>
          </w:p>
        </w:tc>
      </w:tr>
      <w:tr w:rsidR="00EF228F" w:rsidRPr="003410C7" w:rsidTr="006B1F3F">
        <w:trPr>
          <w:trHeight w:val="145"/>
        </w:trPr>
        <w:tc>
          <w:tcPr>
            <w:tcW w:w="2734" w:type="dxa"/>
            <w:gridSpan w:val="2"/>
            <w:tcBorders>
              <w:bottom w:val="single" w:sz="4" w:space="0" w:color="auto"/>
            </w:tcBorders>
            <w:shd w:val="clear" w:color="auto" w:fill="FABF8F"/>
          </w:tcPr>
          <w:p w:rsidR="001A63C6" w:rsidRPr="003410C7" w:rsidRDefault="001A63C6" w:rsidP="003410C7">
            <w:pPr>
              <w:pStyle w:val="Heading2"/>
              <w:spacing w:beforeLines="20" w:before="48" w:afterLines="20" w:after="48"/>
              <w:ind w:left="0"/>
              <w:rPr>
                <w:rFonts w:ascii="Tahoma" w:hAnsi="Tahoma" w:cs="Tahoma"/>
                <w:b w:val="0"/>
                <w:sz w:val="14"/>
                <w:szCs w:val="14"/>
              </w:rPr>
            </w:pPr>
            <w:bookmarkStart w:id="486" w:name="_Toc336338102"/>
            <w:bookmarkStart w:id="487" w:name="_Toc352234699"/>
            <w:r w:rsidRPr="003410C7">
              <w:rPr>
                <w:rFonts w:ascii="Tahoma" w:hAnsi="Tahoma" w:cs="Tahoma"/>
                <w:b w:val="0"/>
                <w:sz w:val="14"/>
                <w:szCs w:val="14"/>
              </w:rPr>
              <w:t>VDI Suite</w:t>
            </w:r>
            <w:bookmarkEnd w:id="486"/>
            <w:bookmarkEnd w:id="487"/>
          </w:p>
        </w:tc>
        <w:tc>
          <w:tcPr>
            <w:tcW w:w="450" w:type="dxa"/>
            <w:tcBorders>
              <w:bottom w:val="single" w:sz="4" w:space="0" w:color="auto"/>
            </w:tcBorders>
            <w:shd w:val="clear" w:color="auto" w:fill="FABF8F"/>
            <w:vAlign w:val="center"/>
          </w:tcPr>
          <w:p w:rsidR="001A63C6" w:rsidRPr="009F17FF" w:rsidRDefault="001A63C6" w:rsidP="001A63C6">
            <w:pPr>
              <w:pStyle w:val="TableText"/>
              <w:widowControl w:val="0"/>
              <w:rPr>
                <w:b/>
                <w:sz w:val="13"/>
                <w:szCs w:val="13"/>
                <w:u w:val="single"/>
              </w:rPr>
            </w:pPr>
          </w:p>
        </w:tc>
        <w:tc>
          <w:tcPr>
            <w:tcW w:w="450" w:type="dxa"/>
            <w:tcBorders>
              <w:bottom w:val="single" w:sz="4" w:space="0" w:color="auto"/>
            </w:tcBorders>
            <w:shd w:val="clear" w:color="auto" w:fill="FABF8F"/>
          </w:tcPr>
          <w:p w:rsidR="001A63C6" w:rsidRPr="003410C7" w:rsidRDefault="001A63C6" w:rsidP="001A63C6">
            <w:pPr>
              <w:pStyle w:val="TableText"/>
              <w:widowControl w:val="0"/>
              <w:rPr>
                <w:rFonts w:ascii="Tahoma" w:hAnsi="Tahoma" w:cs="Tahoma"/>
                <w:sz w:val="13"/>
              </w:rPr>
            </w:pPr>
            <w:r w:rsidRPr="003410C7">
              <w:rPr>
                <w:rFonts w:ascii="Tahoma" w:hAnsi="Tahoma" w:cs="Tahoma"/>
                <w:sz w:val="13"/>
              </w:rPr>
              <w:t>04/12</w:t>
            </w:r>
          </w:p>
        </w:tc>
        <w:tc>
          <w:tcPr>
            <w:tcW w:w="360" w:type="dxa"/>
            <w:tcBorders>
              <w:bottom w:val="single" w:sz="4" w:space="0" w:color="auto"/>
              <w:right w:val="single" w:sz="18" w:space="0" w:color="auto"/>
            </w:tcBorders>
            <w:shd w:val="clear" w:color="auto" w:fill="FABF8F"/>
            <w:vAlign w:val="center"/>
          </w:tcPr>
          <w:p w:rsidR="001A63C6" w:rsidRPr="003410C7" w:rsidRDefault="001A63C6" w:rsidP="001A63C6">
            <w:pPr>
              <w:pStyle w:val="TableText"/>
              <w:widowControl w:val="0"/>
              <w:rPr>
                <w:rFonts w:ascii="Tahoma" w:hAnsi="Tahoma" w:cs="Tahoma"/>
                <w:sz w:val="13"/>
              </w:rPr>
            </w:pPr>
            <w:r w:rsidRPr="003410C7">
              <w:rPr>
                <w:rFonts w:ascii="Tahoma" w:hAnsi="Tahoma" w:cs="Tahoma"/>
                <w:sz w:val="13"/>
              </w:rPr>
              <w:t>SRV</w:t>
            </w:r>
          </w:p>
        </w:tc>
        <w:tc>
          <w:tcPr>
            <w:tcW w:w="2970" w:type="dxa"/>
            <w:gridSpan w:val="7"/>
            <w:tcBorders>
              <w:left w:val="single" w:sz="18" w:space="0" w:color="auto"/>
              <w:bottom w:val="single" w:sz="4" w:space="0" w:color="auto"/>
              <w:right w:val="single" w:sz="18" w:space="0" w:color="auto"/>
            </w:tcBorders>
            <w:shd w:val="clear" w:color="auto" w:fill="FABF8F"/>
            <w:vAlign w:val="center"/>
          </w:tcPr>
          <w:p w:rsidR="001A63C6" w:rsidRPr="003410C7" w:rsidRDefault="001A63C6" w:rsidP="001A63C6">
            <w:pPr>
              <w:pStyle w:val="TableText"/>
              <w:rPr>
                <w:rFonts w:ascii="Tahoma" w:hAnsi="Tahoma" w:cs="Tahoma"/>
                <w:sz w:val="13"/>
                <w:szCs w:val="13"/>
              </w:rPr>
            </w:pPr>
            <w:r w:rsidRPr="003410C7">
              <w:rPr>
                <w:rFonts w:ascii="Tahoma" w:hAnsi="Tahoma" w:cs="Tahoma"/>
                <w:sz w:val="13"/>
                <w:szCs w:val="13"/>
              </w:rPr>
              <w:t>1 punto</w:t>
            </w:r>
          </w:p>
        </w:tc>
        <w:tc>
          <w:tcPr>
            <w:tcW w:w="450" w:type="dxa"/>
            <w:tcBorders>
              <w:left w:val="single" w:sz="18" w:space="0" w:color="auto"/>
              <w:bottom w:val="single" w:sz="4" w:space="0" w:color="auto"/>
            </w:tcBorders>
            <w:shd w:val="clear" w:color="auto" w:fill="FABF8F"/>
            <w:vAlign w:val="center"/>
          </w:tcPr>
          <w:p w:rsidR="001A63C6" w:rsidRPr="003410C7" w:rsidRDefault="001A63C6" w:rsidP="001A63C6">
            <w:pPr>
              <w:pStyle w:val="TableText"/>
              <w:rPr>
                <w:rFonts w:ascii="Tahoma" w:hAnsi="Tahoma" w:cs="Tahoma"/>
                <w:sz w:val="13"/>
                <w:szCs w:val="13"/>
              </w:rPr>
            </w:pPr>
          </w:p>
        </w:tc>
        <w:tc>
          <w:tcPr>
            <w:tcW w:w="450" w:type="dxa"/>
            <w:tcBorders>
              <w:bottom w:val="single" w:sz="4" w:space="0" w:color="auto"/>
            </w:tcBorders>
            <w:shd w:val="clear" w:color="auto" w:fill="FABF8F"/>
            <w:vAlign w:val="center"/>
          </w:tcPr>
          <w:p w:rsidR="001A63C6" w:rsidRPr="003410C7" w:rsidRDefault="001A63C6" w:rsidP="001A63C6">
            <w:pPr>
              <w:pStyle w:val="TableText"/>
              <w:rPr>
                <w:rFonts w:ascii="Tahoma" w:hAnsi="Tahoma" w:cs="Tahoma"/>
                <w:sz w:val="13"/>
                <w:szCs w:val="13"/>
              </w:rPr>
            </w:pPr>
          </w:p>
        </w:tc>
        <w:tc>
          <w:tcPr>
            <w:tcW w:w="450" w:type="dxa"/>
            <w:tcBorders>
              <w:bottom w:val="single" w:sz="4" w:space="0" w:color="auto"/>
              <w:right w:val="single" w:sz="18" w:space="0" w:color="auto"/>
            </w:tcBorders>
            <w:shd w:val="clear" w:color="auto" w:fill="FABF8F"/>
            <w:vAlign w:val="center"/>
          </w:tcPr>
          <w:p w:rsidR="001A63C6" w:rsidRPr="003410C7" w:rsidRDefault="001A63C6" w:rsidP="001A63C6">
            <w:pPr>
              <w:pStyle w:val="TableText"/>
              <w:rPr>
                <w:rFonts w:ascii="Tahoma" w:hAnsi="Tahoma" w:cs="Tahoma"/>
                <w:sz w:val="13"/>
                <w:szCs w:val="13"/>
              </w:rPr>
            </w:pPr>
          </w:p>
        </w:tc>
        <w:tc>
          <w:tcPr>
            <w:tcW w:w="450" w:type="dxa"/>
            <w:tcBorders>
              <w:left w:val="single" w:sz="18" w:space="0" w:color="auto"/>
              <w:bottom w:val="single" w:sz="4" w:space="0" w:color="auto"/>
            </w:tcBorders>
            <w:shd w:val="clear" w:color="auto" w:fill="FABF8F"/>
            <w:vAlign w:val="center"/>
          </w:tcPr>
          <w:p w:rsidR="001A63C6" w:rsidRPr="003410C7" w:rsidRDefault="001A63C6" w:rsidP="001A63C6">
            <w:pPr>
              <w:pStyle w:val="TableText"/>
              <w:rPr>
                <w:rFonts w:ascii="Tahoma" w:hAnsi="Tahoma" w:cs="Tahoma"/>
                <w:sz w:val="13"/>
                <w:szCs w:val="13"/>
              </w:rPr>
            </w:pPr>
            <w:r w:rsidRPr="003410C7">
              <w:rPr>
                <w:rFonts w:ascii="Tahoma" w:hAnsi="Tahoma" w:cs="Tahoma"/>
                <w:sz w:val="13"/>
                <w:szCs w:val="13"/>
              </w:rPr>
              <w:t>1</w:t>
            </w:r>
          </w:p>
        </w:tc>
        <w:tc>
          <w:tcPr>
            <w:tcW w:w="450" w:type="dxa"/>
            <w:tcBorders>
              <w:bottom w:val="single" w:sz="4" w:space="0" w:color="auto"/>
              <w:right w:val="single" w:sz="18" w:space="0" w:color="auto"/>
            </w:tcBorders>
            <w:shd w:val="clear" w:color="auto" w:fill="FABF8F"/>
            <w:vAlign w:val="center"/>
          </w:tcPr>
          <w:p w:rsidR="001A63C6" w:rsidRPr="003410C7" w:rsidRDefault="001A63C6" w:rsidP="001A63C6">
            <w:pPr>
              <w:pStyle w:val="TableText"/>
              <w:rPr>
                <w:rFonts w:ascii="Tahoma" w:hAnsi="Tahoma" w:cs="Tahoma"/>
                <w:sz w:val="13"/>
                <w:szCs w:val="13"/>
              </w:rPr>
            </w:pPr>
            <w:r w:rsidRPr="003410C7">
              <w:rPr>
                <w:rFonts w:ascii="Tahoma" w:hAnsi="Tahoma" w:cs="Tahoma"/>
                <w:sz w:val="13"/>
                <w:szCs w:val="13"/>
              </w:rPr>
              <w:t>A</w:t>
            </w: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3410C7" w:rsidRDefault="001A63C6" w:rsidP="001A63C6">
            <w:pPr>
              <w:pStyle w:val="TableText"/>
              <w:rPr>
                <w:rFonts w:ascii="Tahoma" w:hAnsi="Tahoma" w:cs="Tahoma"/>
                <w:sz w:val="13"/>
                <w:szCs w:val="13"/>
              </w:rPr>
            </w:pPr>
            <w:r w:rsidRPr="003410C7">
              <w:rPr>
                <w:rFonts w:ascii="Tahoma" w:hAnsi="Tahoma" w:cs="Tahoma"/>
                <w:sz w:val="13"/>
                <w:szCs w:val="13"/>
              </w:rPr>
              <w:t>P</w:t>
            </w:r>
          </w:p>
        </w:tc>
        <w:tc>
          <w:tcPr>
            <w:tcW w:w="450" w:type="dxa"/>
            <w:tcBorders>
              <w:bottom w:val="single" w:sz="4" w:space="0" w:color="auto"/>
            </w:tcBorders>
            <w:shd w:val="clear" w:color="auto" w:fill="FABF8F"/>
          </w:tcPr>
          <w:p w:rsidR="001A63C6" w:rsidRPr="003410C7" w:rsidRDefault="001A63C6" w:rsidP="001A63C6">
            <w:pPr>
              <w:pStyle w:val="TableText"/>
              <w:rPr>
                <w:rFonts w:ascii="Tahoma" w:hAnsi="Tahoma" w:cs="Tahoma"/>
                <w:sz w:val="13"/>
                <w:szCs w:val="13"/>
              </w:rPr>
            </w:pPr>
            <w:r w:rsidRPr="003410C7">
              <w:rPr>
                <w:rFonts w:ascii="Tahoma" w:hAnsi="Tahoma" w:cs="Tahoma"/>
                <w:sz w:val="13"/>
                <w:szCs w:val="13"/>
              </w:rPr>
              <w:t>A, ST</w:t>
            </w:r>
          </w:p>
        </w:tc>
        <w:tc>
          <w:tcPr>
            <w:tcW w:w="540" w:type="dxa"/>
            <w:tcBorders>
              <w:bottom w:val="single" w:sz="4" w:space="0" w:color="auto"/>
            </w:tcBorders>
            <w:shd w:val="clear" w:color="auto" w:fill="FABF8F"/>
            <w:vAlign w:val="center"/>
          </w:tcPr>
          <w:p w:rsidR="001A63C6" w:rsidRPr="003410C7" w:rsidRDefault="001A63C6" w:rsidP="001A63C6">
            <w:pPr>
              <w:pStyle w:val="TableText"/>
              <w:widowControl w:val="0"/>
              <w:rPr>
                <w:rFonts w:ascii="Tahoma" w:hAnsi="Tahoma" w:cs="Tahoma"/>
                <w:sz w:val="13"/>
              </w:rPr>
            </w:pPr>
          </w:p>
        </w:tc>
      </w:tr>
      <w:tr w:rsidR="00B33D0E" w:rsidRPr="003410C7" w:rsidTr="006B1F3F">
        <w:trPr>
          <w:trHeight w:val="215"/>
        </w:trPr>
        <w:tc>
          <w:tcPr>
            <w:tcW w:w="2734" w:type="dxa"/>
            <w:gridSpan w:val="2"/>
            <w:tcBorders>
              <w:bottom w:val="single" w:sz="4" w:space="0" w:color="auto"/>
            </w:tcBorders>
            <w:shd w:val="clear" w:color="auto" w:fill="auto"/>
          </w:tcPr>
          <w:p w:rsidR="001A63C6" w:rsidRPr="003410C7" w:rsidRDefault="001A63C6" w:rsidP="003410C7">
            <w:pPr>
              <w:pStyle w:val="Heading2"/>
              <w:spacing w:beforeLines="20" w:before="48" w:afterLines="20" w:after="48"/>
              <w:ind w:left="0"/>
              <w:rPr>
                <w:rFonts w:ascii="Tahoma" w:hAnsi="Tahoma" w:cs="Tahoma"/>
                <w:b w:val="0"/>
                <w:sz w:val="14"/>
                <w:szCs w:val="14"/>
              </w:rPr>
            </w:pPr>
            <w:bookmarkStart w:id="488" w:name="_Toc336338103"/>
            <w:bookmarkStart w:id="489" w:name="_Toc352234700"/>
            <w:r w:rsidRPr="003410C7">
              <w:rPr>
                <w:rFonts w:ascii="Tahoma" w:hAnsi="Tahoma" w:cs="Tahoma"/>
                <w:b w:val="0"/>
                <w:sz w:val="14"/>
                <w:szCs w:val="14"/>
              </w:rPr>
              <w:t>VDI Suite con MDOP</w:t>
            </w:r>
            <w:bookmarkEnd w:id="488"/>
            <w:bookmarkEnd w:id="489"/>
          </w:p>
        </w:tc>
        <w:tc>
          <w:tcPr>
            <w:tcW w:w="450" w:type="dxa"/>
            <w:tcBorders>
              <w:bottom w:val="single" w:sz="4" w:space="0" w:color="auto"/>
            </w:tcBorders>
            <w:shd w:val="clear" w:color="auto" w:fill="auto"/>
            <w:vAlign w:val="center"/>
          </w:tcPr>
          <w:p w:rsidR="001A63C6" w:rsidRPr="009F17FF" w:rsidRDefault="001A63C6" w:rsidP="001A63C6">
            <w:pPr>
              <w:pStyle w:val="TableText"/>
              <w:widowControl w:val="0"/>
              <w:rPr>
                <w:b/>
                <w:sz w:val="13"/>
                <w:szCs w:val="13"/>
                <w:u w:val="single"/>
              </w:rPr>
            </w:pPr>
          </w:p>
        </w:tc>
        <w:tc>
          <w:tcPr>
            <w:tcW w:w="450" w:type="dxa"/>
            <w:tcBorders>
              <w:bottom w:val="single" w:sz="4" w:space="0" w:color="auto"/>
            </w:tcBorders>
            <w:shd w:val="clear" w:color="auto" w:fill="auto"/>
          </w:tcPr>
          <w:p w:rsidR="001A63C6" w:rsidRPr="003410C7" w:rsidRDefault="001A63C6" w:rsidP="001A63C6">
            <w:pPr>
              <w:pStyle w:val="TableText"/>
              <w:widowControl w:val="0"/>
              <w:rPr>
                <w:rFonts w:ascii="Tahoma" w:hAnsi="Tahoma" w:cs="Tahoma"/>
                <w:sz w:val="13"/>
              </w:rPr>
            </w:pPr>
            <w:r w:rsidRPr="003410C7">
              <w:rPr>
                <w:rFonts w:ascii="Tahoma" w:hAnsi="Tahoma" w:cs="Tahoma"/>
                <w:sz w:val="13"/>
              </w:rPr>
              <w:t>04/12</w:t>
            </w:r>
          </w:p>
        </w:tc>
        <w:tc>
          <w:tcPr>
            <w:tcW w:w="360" w:type="dxa"/>
            <w:tcBorders>
              <w:bottom w:val="single" w:sz="4" w:space="0" w:color="auto"/>
              <w:right w:val="single" w:sz="18" w:space="0" w:color="auto"/>
            </w:tcBorders>
            <w:shd w:val="clear" w:color="auto" w:fill="auto"/>
            <w:vAlign w:val="center"/>
          </w:tcPr>
          <w:p w:rsidR="001A63C6" w:rsidRPr="003410C7" w:rsidRDefault="001A63C6" w:rsidP="001A63C6">
            <w:pPr>
              <w:pStyle w:val="TableText"/>
              <w:widowControl w:val="0"/>
              <w:rPr>
                <w:rFonts w:ascii="Tahoma" w:hAnsi="Tahoma" w:cs="Tahoma"/>
                <w:sz w:val="13"/>
              </w:rPr>
            </w:pPr>
            <w:r w:rsidRPr="003410C7">
              <w:rPr>
                <w:rFonts w:ascii="Tahoma" w:hAnsi="Tahoma" w:cs="Tahoma"/>
                <w:sz w:val="13"/>
              </w:rPr>
              <w:t>SRV</w:t>
            </w:r>
          </w:p>
        </w:tc>
        <w:tc>
          <w:tcPr>
            <w:tcW w:w="2970" w:type="dxa"/>
            <w:gridSpan w:val="7"/>
            <w:tcBorders>
              <w:left w:val="single" w:sz="18" w:space="0" w:color="auto"/>
              <w:bottom w:val="single" w:sz="4" w:space="0" w:color="auto"/>
              <w:right w:val="single" w:sz="18" w:space="0" w:color="auto"/>
            </w:tcBorders>
            <w:shd w:val="clear" w:color="auto" w:fill="auto"/>
            <w:vAlign w:val="center"/>
          </w:tcPr>
          <w:p w:rsidR="001A63C6" w:rsidRPr="003410C7" w:rsidRDefault="001A63C6" w:rsidP="001A63C6">
            <w:pPr>
              <w:pStyle w:val="TableText"/>
              <w:rPr>
                <w:rFonts w:ascii="Tahoma" w:hAnsi="Tahoma" w:cs="Tahoma"/>
                <w:sz w:val="13"/>
                <w:szCs w:val="13"/>
              </w:rPr>
            </w:pPr>
            <w:r w:rsidRPr="003410C7">
              <w:rPr>
                <w:rFonts w:ascii="Tahoma" w:hAnsi="Tahoma" w:cs="Tahoma"/>
                <w:sz w:val="13"/>
                <w:szCs w:val="13"/>
              </w:rPr>
              <w:t>1 punto</w:t>
            </w:r>
          </w:p>
        </w:tc>
        <w:tc>
          <w:tcPr>
            <w:tcW w:w="450" w:type="dxa"/>
            <w:tcBorders>
              <w:left w:val="single" w:sz="18" w:space="0" w:color="auto"/>
              <w:bottom w:val="single" w:sz="4" w:space="0" w:color="auto"/>
            </w:tcBorders>
            <w:shd w:val="clear" w:color="auto" w:fill="auto"/>
            <w:vAlign w:val="center"/>
          </w:tcPr>
          <w:p w:rsidR="001A63C6" w:rsidRPr="003410C7" w:rsidRDefault="001A63C6" w:rsidP="001A63C6">
            <w:pPr>
              <w:pStyle w:val="TableText"/>
              <w:rPr>
                <w:rFonts w:ascii="Tahoma" w:hAnsi="Tahoma" w:cs="Tahoma"/>
                <w:sz w:val="13"/>
                <w:szCs w:val="13"/>
              </w:rPr>
            </w:pPr>
          </w:p>
        </w:tc>
        <w:tc>
          <w:tcPr>
            <w:tcW w:w="450" w:type="dxa"/>
            <w:tcBorders>
              <w:bottom w:val="single" w:sz="4" w:space="0" w:color="auto"/>
            </w:tcBorders>
            <w:shd w:val="clear" w:color="auto" w:fill="auto"/>
            <w:vAlign w:val="center"/>
          </w:tcPr>
          <w:p w:rsidR="001A63C6" w:rsidRPr="003410C7" w:rsidRDefault="001A63C6" w:rsidP="001A63C6">
            <w:pPr>
              <w:pStyle w:val="TableText"/>
              <w:rPr>
                <w:rFonts w:ascii="Tahoma" w:hAnsi="Tahoma" w:cs="Tahoma"/>
                <w:sz w:val="13"/>
                <w:szCs w:val="13"/>
              </w:rPr>
            </w:pPr>
          </w:p>
        </w:tc>
        <w:tc>
          <w:tcPr>
            <w:tcW w:w="450" w:type="dxa"/>
            <w:tcBorders>
              <w:bottom w:val="single" w:sz="4" w:space="0" w:color="auto"/>
              <w:right w:val="single" w:sz="18" w:space="0" w:color="auto"/>
            </w:tcBorders>
            <w:shd w:val="clear" w:color="auto" w:fill="auto"/>
            <w:vAlign w:val="center"/>
          </w:tcPr>
          <w:p w:rsidR="001A63C6" w:rsidRPr="003410C7" w:rsidRDefault="001A63C6" w:rsidP="001A63C6">
            <w:pPr>
              <w:pStyle w:val="TableText"/>
              <w:rPr>
                <w:rFonts w:ascii="Tahoma" w:hAnsi="Tahoma" w:cs="Tahoma"/>
                <w:sz w:val="13"/>
                <w:szCs w:val="13"/>
              </w:rPr>
            </w:pPr>
          </w:p>
        </w:tc>
        <w:tc>
          <w:tcPr>
            <w:tcW w:w="450" w:type="dxa"/>
            <w:tcBorders>
              <w:left w:val="single" w:sz="18" w:space="0" w:color="auto"/>
              <w:bottom w:val="single" w:sz="4" w:space="0" w:color="auto"/>
            </w:tcBorders>
            <w:shd w:val="clear" w:color="auto" w:fill="auto"/>
            <w:vAlign w:val="center"/>
          </w:tcPr>
          <w:p w:rsidR="001A63C6" w:rsidRPr="003410C7" w:rsidRDefault="001A63C6" w:rsidP="001A63C6">
            <w:pPr>
              <w:pStyle w:val="TableText"/>
              <w:rPr>
                <w:rFonts w:ascii="Tahoma" w:hAnsi="Tahoma" w:cs="Tahoma"/>
                <w:sz w:val="13"/>
                <w:szCs w:val="13"/>
              </w:rPr>
            </w:pPr>
            <w:r w:rsidRPr="003410C7">
              <w:rPr>
                <w:rFonts w:ascii="Tahoma" w:hAnsi="Tahoma" w:cs="Tahoma"/>
                <w:sz w:val="13"/>
                <w:szCs w:val="13"/>
              </w:rPr>
              <w:t>1</w:t>
            </w:r>
          </w:p>
        </w:tc>
        <w:tc>
          <w:tcPr>
            <w:tcW w:w="450" w:type="dxa"/>
            <w:tcBorders>
              <w:bottom w:val="single" w:sz="4" w:space="0" w:color="auto"/>
              <w:right w:val="single" w:sz="18" w:space="0" w:color="auto"/>
            </w:tcBorders>
            <w:shd w:val="clear" w:color="auto" w:fill="auto"/>
            <w:vAlign w:val="center"/>
          </w:tcPr>
          <w:p w:rsidR="001A63C6" w:rsidRPr="003410C7" w:rsidRDefault="001A63C6" w:rsidP="001A63C6">
            <w:pPr>
              <w:pStyle w:val="TableText"/>
              <w:rPr>
                <w:rFonts w:ascii="Tahoma" w:hAnsi="Tahoma" w:cs="Tahoma"/>
                <w:sz w:val="13"/>
                <w:szCs w:val="13"/>
              </w:rPr>
            </w:pPr>
            <w:r w:rsidRPr="003410C7">
              <w:rPr>
                <w:rFonts w:ascii="Tahoma" w:hAnsi="Tahoma" w:cs="Tahoma"/>
                <w:sz w:val="13"/>
                <w:szCs w:val="13"/>
              </w:rPr>
              <w:t>A</w:t>
            </w:r>
          </w:p>
        </w:tc>
        <w:tc>
          <w:tcPr>
            <w:tcW w:w="450" w:type="dxa"/>
            <w:tcBorders>
              <w:left w:val="single" w:sz="18" w:space="0" w:color="auto"/>
              <w:bottom w:val="single" w:sz="4" w:space="0" w:color="auto"/>
              <w:right w:val="single" w:sz="18" w:space="0" w:color="auto"/>
            </w:tcBorders>
            <w:shd w:val="clear" w:color="auto" w:fill="auto"/>
            <w:vAlign w:val="center"/>
          </w:tcPr>
          <w:p w:rsidR="001A63C6" w:rsidRPr="003410C7" w:rsidRDefault="001A63C6" w:rsidP="001A63C6">
            <w:pPr>
              <w:pStyle w:val="TableText"/>
              <w:rPr>
                <w:rFonts w:ascii="Tahoma" w:hAnsi="Tahoma" w:cs="Tahoma"/>
                <w:sz w:val="13"/>
                <w:szCs w:val="13"/>
              </w:rPr>
            </w:pPr>
            <w:r w:rsidRPr="003410C7">
              <w:rPr>
                <w:rFonts w:ascii="Tahoma" w:hAnsi="Tahoma" w:cs="Tahoma"/>
                <w:sz w:val="13"/>
                <w:szCs w:val="13"/>
              </w:rPr>
              <w:t>E, P</w:t>
            </w:r>
          </w:p>
        </w:tc>
        <w:tc>
          <w:tcPr>
            <w:tcW w:w="450" w:type="dxa"/>
            <w:tcBorders>
              <w:bottom w:val="single" w:sz="4" w:space="0" w:color="auto"/>
            </w:tcBorders>
            <w:shd w:val="clear" w:color="auto" w:fill="auto"/>
          </w:tcPr>
          <w:p w:rsidR="001A63C6" w:rsidRPr="003410C7" w:rsidRDefault="001A63C6" w:rsidP="001A63C6">
            <w:pPr>
              <w:pStyle w:val="TableText"/>
              <w:rPr>
                <w:rFonts w:ascii="Tahoma" w:hAnsi="Tahoma" w:cs="Tahoma"/>
                <w:sz w:val="13"/>
                <w:szCs w:val="13"/>
              </w:rPr>
            </w:pPr>
            <w:r w:rsidRPr="003410C7">
              <w:rPr>
                <w:rFonts w:ascii="Tahoma" w:hAnsi="Tahoma" w:cs="Tahoma"/>
                <w:sz w:val="13"/>
                <w:szCs w:val="13"/>
              </w:rPr>
              <w:t>A, ST</w:t>
            </w:r>
          </w:p>
        </w:tc>
        <w:tc>
          <w:tcPr>
            <w:tcW w:w="540" w:type="dxa"/>
            <w:tcBorders>
              <w:bottom w:val="single" w:sz="4" w:space="0" w:color="auto"/>
            </w:tcBorders>
            <w:shd w:val="clear" w:color="auto" w:fill="auto"/>
            <w:vAlign w:val="center"/>
          </w:tcPr>
          <w:p w:rsidR="001A63C6" w:rsidRPr="003410C7" w:rsidRDefault="001A63C6" w:rsidP="001A63C6">
            <w:pPr>
              <w:pStyle w:val="TableText"/>
              <w:widowControl w:val="0"/>
              <w:rPr>
                <w:rFonts w:ascii="Tahoma" w:hAnsi="Tahoma" w:cs="Tahoma"/>
                <w:sz w:val="13"/>
              </w:rPr>
            </w:pPr>
          </w:p>
        </w:tc>
      </w:tr>
      <w:tr w:rsidR="00EF228F" w:rsidRPr="003410C7" w:rsidTr="006B1F3F">
        <w:trPr>
          <w:trHeight w:val="260"/>
        </w:trPr>
        <w:tc>
          <w:tcPr>
            <w:tcW w:w="2734" w:type="dxa"/>
            <w:gridSpan w:val="2"/>
            <w:tcBorders>
              <w:bottom w:val="single" w:sz="4" w:space="0" w:color="auto"/>
            </w:tcBorders>
            <w:shd w:val="clear" w:color="auto" w:fill="FABF8F"/>
          </w:tcPr>
          <w:p w:rsidR="001A63C6" w:rsidRPr="003410C7" w:rsidRDefault="001A63C6" w:rsidP="003410C7">
            <w:pPr>
              <w:pStyle w:val="Heading2"/>
              <w:spacing w:beforeLines="20" w:before="48" w:afterLines="20" w:after="48"/>
              <w:ind w:left="0"/>
              <w:rPr>
                <w:rFonts w:ascii="Tahoma" w:hAnsi="Tahoma" w:cs="Tahoma"/>
                <w:b w:val="0"/>
                <w:sz w:val="14"/>
                <w:szCs w:val="14"/>
              </w:rPr>
            </w:pPr>
            <w:bookmarkStart w:id="490" w:name="_Toc336338104"/>
            <w:bookmarkStart w:id="491" w:name="_Toc352234701"/>
            <w:r w:rsidRPr="003410C7">
              <w:rPr>
                <w:rFonts w:ascii="Tahoma" w:hAnsi="Tahoma" w:cs="Tahoma"/>
                <w:b w:val="0"/>
                <w:sz w:val="14"/>
                <w:szCs w:val="14"/>
              </w:rPr>
              <w:t>VDI Standard Suite</w:t>
            </w:r>
            <w:bookmarkEnd w:id="490"/>
            <w:bookmarkEnd w:id="491"/>
          </w:p>
        </w:tc>
        <w:tc>
          <w:tcPr>
            <w:tcW w:w="450" w:type="dxa"/>
            <w:tcBorders>
              <w:bottom w:val="single" w:sz="4" w:space="0" w:color="auto"/>
            </w:tcBorders>
            <w:shd w:val="clear" w:color="auto" w:fill="FABF8F"/>
            <w:vAlign w:val="center"/>
          </w:tcPr>
          <w:p w:rsidR="001A63C6" w:rsidRPr="009F17FF" w:rsidRDefault="00FC1A4D" w:rsidP="001A63C6">
            <w:pPr>
              <w:pStyle w:val="TableText"/>
              <w:widowControl w:val="0"/>
              <w:rPr>
                <w:rStyle w:val="EndnoteReference"/>
                <w:sz w:val="13"/>
                <w:szCs w:val="13"/>
              </w:rPr>
            </w:pPr>
            <w:hyperlink w:anchor="_90_VDI_Standard" w:history="1">
              <w:r w:rsidR="000D77F6" w:rsidRPr="009F17FF">
                <w:rPr>
                  <w:rStyle w:val="Hyperlink"/>
                  <w:sz w:val="13"/>
                  <w:szCs w:val="13"/>
                </w:rPr>
                <w:t>92</w:t>
              </w:r>
            </w:hyperlink>
          </w:p>
        </w:tc>
        <w:tc>
          <w:tcPr>
            <w:tcW w:w="450" w:type="dxa"/>
            <w:tcBorders>
              <w:bottom w:val="single" w:sz="4" w:space="0" w:color="auto"/>
            </w:tcBorders>
            <w:shd w:val="clear" w:color="auto" w:fill="FABF8F"/>
          </w:tcPr>
          <w:p w:rsidR="001A63C6" w:rsidRPr="003410C7" w:rsidRDefault="001A63C6" w:rsidP="001A63C6">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rsidR="001A63C6" w:rsidRPr="003410C7" w:rsidRDefault="001A63C6" w:rsidP="001A63C6">
            <w:pPr>
              <w:pStyle w:val="TableText"/>
              <w:widowControl w:val="0"/>
              <w:rPr>
                <w:rFonts w:ascii="Tahoma" w:hAnsi="Tahoma" w:cs="Tahoma"/>
                <w:sz w:val="13"/>
              </w:rPr>
            </w:pPr>
          </w:p>
        </w:tc>
        <w:tc>
          <w:tcPr>
            <w:tcW w:w="2970" w:type="dxa"/>
            <w:gridSpan w:val="7"/>
            <w:tcBorders>
              <w:left w:val="single" w:sz="18" w:space="0" w:color="auto"/>
              <w:bottom w:val="single" w:sz="4" w:space="0" w:color="auto"/>
              <w:right w:val="single" w:sz="18" w:space="0" w:color="auto"/>
            </w:tcBorders>
            <w:shd w:val="clear" w:color="auto" w:fill="FABF8F"/>
            <w:vAlign w:val="center"/>
          </w:tcPr>
          <w:p w:rsidR="001A63C6" w:rsidRPr="003410C7"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3410C7"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3410C7"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1A63C6" w:rsidRPr="003410C7"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3410C7"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1A63C6" w:rsidRPr="003410C7"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3410C7"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tcPr>
          <w:p w:rsidR="001A63C6" w:rsidRPr="003410C7" w:rsidRDefault="001A63C6" w:rsidP="001A63C6">
            <w:pPr>
              <w:pStyle w:val="TableText"/>
              <w:widowControl w:val="0"/>
              <w:rPr>
                <w:rFonts w:ascii="Tahoma" w:hAnsi="Tahoma" w:cs="Tahoma"/>
                <w:sz w:val="13"/>
              </w:rPr>
            </w:pPr>
          </w:p>
        </w:tc>
        <w:tc>
          <w:tcPr>
            <w:tcW w:w="540" w:type="dxa"/>
            <w:tcBorders>
              <w:bottom w:val="single" w:sz="4" w:space="0" w:color="auto"/>
            </w:tcBorders>
            <w:shd w:val="clear" w:color="auto" w:fill="FABF8F"/>
            <w:vAlign w:val="center"/>
          </w:tcPr>
          <w:p w:rsidR="001A63C6" w:rsidRPr="003410C7" w:rsidRDefault="001A63C6" w:rsidP="001A63C6">
            <w:pPr>
              <w:pStyle w:val="TableText"/>
              <w:widowControl w:val="0"/>
              <w:rPr>
                <w:rFonts w:ascii="Tahoma" w:hAnsi="Tahoma" w:cs="Tahoma"/>
                <w:sz w:val="13"/>
              </w:rPr>
            </w:pPr>
          </w:p>
        </w:tc>
      </w:tr>
      <w:tr w:rsidR="00B33D0E" w:rsidRPr="003410C7" w:rsidTr="006B1F3F">
        <w:trPr>
          <w:trHeight w:val="260"/>
        </w:trPr>
        <w:tc>
          <w:tcPr>
            <w:tcW w:w="2734" w:type="dxa"/>
            <w:gridSpan w:val="2"/>
            <w:tcBorders>
              <w:bottom w:val="single" w:sz="4" w:space="0" w:color="auto"/>
            </w:tcBorders>
            <w:shd w:val="clear" w:color="auto" w:fill="auto"/>
          </w:tcPr>
          <w:p w:rsidR="001A63C6" w:rsidRPr="003410C7" w:rsidRDefault="001A63C6" w:rsidP="003410C7">
            <w:pPr>
              <w:pStyle w:val="Heading2"/>
              <w:spacing w:beforeLines="20" w:before="48" w:afterLines="20" w:after="48"/>
              <w:ind w:left="0"/>
              <w:rPr>
                <w:rFonts w:ascii="Tahoma" w:hAnsi="Tahoma" w:cs="Tahoma"/>
                <w:b w:val="0"/>
                <w:sz w:val="14"/>
                <w:szCs w:val="14"/>
              </w:rPr>
            </w:pPr>
            <w:bookmarkStart w:id="492" w:name="_Toc336338105"/>
            <w:bookmarkStart w:id="493" w:name="_Toc352234702"/>
            <w:r w:rsidRPr="003410C7">
              <w:rPr>
                <w:rFonts w:ascii="Tahoma" w:hAnsi="Tahoma" w:cs="Tahoma"/>
                <w:b w:val="0"/>
                <w:sz w:val="14"/>
                <w:szCs w:val="14"/>
              </w:rPr>
              <w:t>VDI Standard Suite con MDOP</w:t>
            </w:r>
            <w:bookmarkEnd w:id="492"/>
            <w:bookmarkEnd w:id="493"/>
          </w:p>
        </w:tc>
        <w:tc>
          <w:tcPr>
            <w:tcW w:w="450" w:type="dxa"/>
            <w:tcBorders>
              <w:bottom w:val="single" w:sz="4" w:space="0" w:color="auto"/>
            </w:tcBorders>
            <w:shd w:val="clear" w:color="auto" w:fill="auto"/>
            <w:vAlign w:val="center"/>
          </w:tcPr>
          <w:p w:rsidR="001A63C6" w:rsidRPr="009F17FF" w:rsidRDefault="00FC1A4D" w:rsidP="005C06BC">
            <w:pPr>
              <w:pStyle w:val="TableText"/>
              <w:widowControl w:val="0"/>
              <w:rPr>
                <w:rStyle w:val="EndnoteReference"/>
                <w:sz w:val="13"/>
                <w:szCs w:val="13"/>
                <w:u w:val="single"/>
              </w:rPr>
            </w:pPr>
            <w:hyperlink w:anchor="_90_VDI_Standard" w:history="1">
              <w:r w:rsidR="000D77F6" w:rsidRPr="009F17FF">
                <w:rPr>
                  <w:rStyle w:val="Hyperlink"/>
                  <w:sz w:val="13"/>
                  <w:szCs w:val="13"/>
                </w:rPr>
                <w:t>92</w:t>
              </w:r>
            </w:hyperlink>
            <w:hyperlink w:anchor="Srv_105VDIStandardandPremiumSuites" w:history="1"/>
          </w:p>
        </w:tc>
        <w:tc>
          <w:tcPr>
            <w:tcW w:w="450" w:type="dxa"/>
            <w:tcBorders>
              <w:bottom w:val="single" w:sz="4" w:space="0" w:color="auto"/>
            </w:tcBorders>
            <w:shd w:val="clear" w:color="auto" w:fill="auto"/>
          </w:tcPr>
          <w:p w:rsidR="001A63C6" w:rsidRPr="003410C7" w:rsidRDefault="001A63C6" w:rsidP="001A63C6">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auto"/>
            <w:vAlign w:val="center"/>
          </w:tcPr>
          <w:p w:rsidR="001A63C6" w:rsidRPr="003410C7" w:rsidRDefault="001A63C6" w:rsidP="001A63C6">
            <w:pPr>
              <w:pStyle w:val="TableText"/>
              <w:widowControl w:val="0"/>
              <w:rPr>
                <w:rFonts w:ascii="Tahoma" w:hAnsi="Tahoma" w:cs="Tahoma"/>
                <w:sz w:val="13"/>
              </w:rPr>
            </w:pPr>
          </w:p>
        </w:tc>
        <w:tc>
          <w:tcPr>
            <w:tcW w:w="2970" w:type="dxa"/>
            <w:gridSpan w:val="7"/>
            <w:tcBorders>
              <w:left w:val="single" w:sz="18" w:space="0" w:color="auto"/>
              <w:bottom w:val="single" w:sz="4" w:space="0" w:color="auto"/>
              <w:right w:val="single" w:sz="18" w:space="0" w:color="auto"/>
            </w:tcBorders>
            <w:shd w:val="clear" w:color="auto" w:fill="auto"/>
            <w:vAlign w:val="center"/>
          </w:tcPr>
          <w:p w:rsidR="001A63C6" w:rsidRPr="003410C7"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1A63C6" w:rsidRPr="003410C7"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3410C7"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1A63C6" w:rsidRPr="003410C7"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1A63C6" w:rsidRPr="003410C7"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1A63C6" w:rsidRPr="003410C7"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rsidR="001A63C6" w:rsidRPr="003410C7"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tcPr>
          <w:p w:rsidR="001A63C6" w:rsidRPr="003410C7" w:rsidRDefault="001A63C6" w:rsidP="001A63C6">
            <w:pPr>
              <w:pStyle w:val="TableText"/>
              <w:widowControl w:val="0"/>
              <w:rPr>
                <w:rFonts w:ascii="Tahoma" w:hAnsi="Tahoma" w:cs="Tahoma"/>
                <w:sz w:val="13"/>
              </w:rPr>
            </w:pPr>
          </w:p>
        </w:tc>
        <w:tc>
          <w:tcPr>
            <w:tcW w:w="540" w:type="dxa"/>
            <w:tcBorders>
              <w:bottom w:val="single" w:sz="4" w:space="0" w:color="auto"/>
            </w:tcBorders>
            <w:shd w:val="clear" w:color="auto" w:fill="auto"/>
            <w:vAlign w:val="center"/>
          </w:tcPr>
          <w:p w:rsidR="001A63C6" w:rsidRPr="003410C7" w:rsidRDefault="001A63C6" w:rsidP="001A63C6">
            <w:pPr>
              <w:pStyle w:val="TableText"/>
              <w:widowControl w:val="0"/>
              <w:rPr>
                <w:rFonts w:ascii="Tahoma" w:hAnsi="Tahoma" w:cs="Tahoma"/>
                <w:sz w:val="13"/>
              </w:rPr>
            </w:pPr>
          </w:p>
        </w:tc>
      </w:tr>
      <w:tr w:rsidR="00EF228F" w:rsidRPr="003410C7" w:rsidTr="006B1F3F">
        <w:trPr>
          <w:trHeight w:val="260"/>
        </w:trPr>
        <w:tc>
          <w:tcPr>
            <w:tcW w:w="2734" w:type="dxa"/>
            <w:gridSpan w:val="2"/>
            <w:tcBorders>
              <w:bottom w:val="single" w:sz="4" w:space="0" w:color="auto"/>
            </w:tcBorders>
            <w:shd w:val="clear" w:color="auto" w:fill="FABF8F"/>
          </w:tcPr>
          <w:p w:rsidR="001A63C6" w:rsidRPr="003410C7" w:rsidRDefault="001A63C6" w:rsidP="003410C7">
            <w:pPr>
              <w:pStyle w:val="Heading2"/>
              <w:spacing w:beforeLines="20" w:before="48" w:afterLines="20" w:after="48"/>
              <w:ind w:left="0"/>
              <w:rPr>
                <w:rFonts w:ascii="Tahoma" w:hAnsi="Tahoma" w:cs="Tahoma"/>
                <w:b w:val="0"/>
                <w:sz w:val="14"/>
                <w:szCs w:val="14"/>
              </w:rPr>
            </w:pPr>
            <w:bookmarkStart w:id="494" w:name="_Toc336338106"/>
            <w:bookmarkStart w:id="495" w:name="_Toc352234703"/>
            <w:r w:rsidRPr="003410C7">
              <w:rPr>
                <w:rFonts w:ascii="Tahoma" w:hAnsi="Tahoma" w:cs="Tahoma"/>
                <w:b w:val="0"/>
                <w:sz w:val="14"/>
                <w:szCs w:val="14"/>
              </w:rPr>
              <w:t>VDI Premium Suite</w:t>
            </w:r>
            <w:bookmarkEnd w:id="494"/>
            <w:bookmarkEnd w:id="495"/>
          </w:p>
        </w:tc>
        <w:tc>
          <w:tcPr>
            <w:tcW w:w="450" w:type="dxa"/>
            <w:tcBorders>
              <w:bottom w:val="single" w:sz="4" w:space="0" w:color="auto"/>
            </w:tcBorders>
            <w:shd w:val="clear" w:color="auto" w:fill="FABF8F"/>
            <w:vAlign w:val="center"/>
          </w:tcPr>
          <w:p w:rsidR="001A63C6" w:rsidRPr="009F17FF" w:rsidRDefault="00FC1A4D" w:rsidP="005C06BC">
            <w:pPr>
              <w:pStyle w:val="TableText"/>
              <w:widowControl w:val="0"/>
              <w:rPr>
                <w:rStyle w:val="EndnoteReference"/>
                <w:sz w:val="13"/>
                <w:szCs w:val="13"/>
                <w:u w:val="single"/>
              </w:rPr>
            </w:pPr>
            <w:hyperlink w:anchor="_90_VDI_Standard" w:history="1">
              <w:r w:rsidR="000D77F6" w:rsidRPr="009F17FF">
                <w:rPr>
                  <w:rStyle w:val="Hyperlink"/>
                  <w:sz w:val="13"/>
                  <w:szCs w:val="13"/>
                </w:rPr>
                <w:t>92</w:t>
              </w:r>
            </w:hyperlink>
            <w:hyperlink w:anchor="Srv_105VDIStandardandPremiumSuites" w:history="1"/>
          </w:p>
        </w:tc>
        <w:tc>
          <w:tcPr>
            <w:tcW w:w="450" w:type="dxa"/>
            <w:tcBorders>
              <w:bottom w:val="single" w:sz="4" w:space="0" w:color="auto"/>
            </w:tcBorders>
            <w:shd w:val="clear" w:color="auto" w:fill="FABF8F"/>
          </w:tcPr>
          <w:p w:rsidR="001A63C6" w:rsidRPr="003410C7" w:rsidRDefault="001A63C6" w:rsidP="001A63C6">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rsidR="001A63C6" w:rsidRPr="003410C7" w:rsidRDefault="001A63C6" w:rsidP="001A63C6">
            <w:pPr>
              <w:pStyle w:val="TableText"/>
              <w:widowControl w:val="0"/>
              <w:rPr>
                <w:rFonts w:ascii="Tahoma" w:hAnsi="Tahoma" w:cs="Tahoma"/>
                <w:sz w:val="13"/>
              </w:rPr>
            </w:pPr>
          </w:p>
        </w:tc>
        <w:tc>
          <w:tcPr>
            <w:tcW w:w="2970" w:type="dxa"/>
            <w:gridSpan w:val="7"/>
            <w:tcBorders>
              <w:left w:val="single" w:sz="18" w:space="0" w:color="auto"/>
              <w:bottom w:val="single" w:sz="4" w:space="0" w:color="auto"/>
              <w:right w:val="single" w:sz="18" w:space="0" w:color="auto"/>
            </w:tcBorders>
            <w:shd w:val="clear" w:color="auto" w:fill="FABF8F"/>
            <w:vAlign w:val="center"/>
          </w:tcPr>
          <w:p w:rsidR="001A63C6" w:rsidRPr="003410C7"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3410C7"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3410C7"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1A63C6" w:rsidRPr="003410C7"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3410C7"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1A63C6" w:rsidRPr="003410C7"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3410C7"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tcPr>
          <w:p w:rsidR="001A63C6" w:rsidRPr="003410C7" w:rsidRDefault="001A63C6" w:rsidP="001A63C6">
            <w:pPr>
              <w:pStyle w:val="TableText"/>
              <w:widowControl w:val="0"/>
              <w:rPr>
                <w:rFonts w:ascii="Tahoma" w:hAnsi="Tahoma" w:cs="Tahoma"/>
                <w:sz w:val="13"/>
              </w:rPr>
            </w:pPr>
          </w:p>
        </w:tc>
        <w:tc>
          <w:tcPr>
            <w:tcW w:w="540" w:type="dxa"/>
            <w:tcBorders>
              <w:bottom w:val="single" w:sz="4" w:space="0" w:color="auto"/>
            </w:tcBorders>
            <w:shd w:val="clear" w:color="auto" w:fill="FABF8F"/>
            <w:vAlign w:val="center"/>
          </w:tcPr>
          <w:p w:rsidR="001A63C6" w:rsidRPr="003410C7" w:rsidRDefault="001A63C6" w:rsidP="001A63C6">
            <w:pPr>
              <w:pStyle w:val="TableText"/>
              <w:widowControl w:val="0"/>
              <w:rPr>
                <w:rFonts w:ascii="Tahoma" w:hAnsi="Tahoma" w:cs="Tahoma"/>
                <w:sz w:val="13"/>
              </w:rPr>
            </w:pPr>
          </w:p>
        </w:tc>
      </w:tr>
      <w:tr w:rsidR="00B33D0E" w:rsidRPr="003410C7" w:rsidTr="006B1F3F">
        <w:trPr>
          <w:trHeight w:val="260"/>
        </w:trPr>
        <w:tc>
          <w:tcPr>
            <w:tcW w:w="2734" w:type="dxa"/>
            <w:gridSpan w:val="2"/>
            <w:tcBorders>
              <w:bottom w:val="single" w:sz="4" w:space="0" w:color="auto"/>
            </w:tcBorders>
            <w:shd w:val="clear" w:color="auto" w:fill="auto"/>
          </w:tcPr>
          <w:p w:rsidR="001A63C6" w:rsidRPr="00451078" w:rsidRDefault="001A63C6" w:rsidP="003410C7">
            <w:pPr>
              <w:pStyle w:val="Heading2"/>
              <w:spacing w:beforeLines="20" w:before="48" w:afterLines="20" w:after="48"/>
              <w:ind w:left="0"/>
              <w:rPr>
                <w:rFonts w:ascii="Tahoma" w:hAnsi="Tahoma" w:cs="Tahoma"/>
                <w:b w:val="0"/>
                <w:sz w:val="14"/>
                <w:szCs w:val="14"/>
                <w:lang w:val="it-IT"/>
              </w:rPr>
            </w:pPr>
            <w:bookmarkStart w:id="496" w:name="_Toc336338107"/>
            <w:bookmarkStart w:id="497" w:name="_Toc352234704"/>
            <w:r w:rsidRPr="00451078">
              <w:rPr>
                <w:rFonts w:ascii="Tahoma" w:hAnsi="Tahoma" w:cs="Tahoma"/>
                <w:b w:val="0"/>
                <w:sz w:val="14"/>
                <w:szCs w:val="14"/>
                <w:lang w:val="it-IT"/>
              </w:rPr>
              <w:t>VDI Premium Suite con MDOP</w:t>
            </w:r>
            <w:bookmarkEnd w:id="496"/>
            <w:bookmarkEnd w:id="497"/>
          </w:p>
        </w:tc>
        <w:tc>
          <w:tcPr>
            <w:tcW w:w="450" w:type="dxa"/>
            <w:tcBorders>
              <w:bottom w:val="single" w:sz="4" w:space="0" w:color="auto"/>
            </w:tcBorders>
            <w:shd w:val="clear" w:color="auto" w:fill="auto"/>
            <w:vAlign w:val="center"/>
          </w:tcPr>
          <w:p w:rsidR="001A63C6" w:rsidRPr="009F17FF" w:rsidRDefault="00FC1A4D" w:rsidP="005C06BC">
            <w:pPr>
              <w:pStyle w:val="TableText"/>
              <w:widowControl w:val="0"/>
              <w:rPr>
                <w:rStyle w:val="EndnoteReference"/>
                <w:sz w:val="13"/>
                <w:szCs w:val="13"/>
                <w:u w:val="single"/>
              </w:rPr>
            </w:pPr>
            <w:hyperlink w:anchor="_90_VDI_Standard" w:history="1">
              <w:r w:rsidR="000D77F6" w:rsidRPr="009F17FF">
                <w:rPr>
                  <w:rStyle w:val="Hyperlink"/>
                  <w:sz w:val="13"/>
                  <w:szCs w:val="13"/>
                </w:rPr>
                <w:t>92</w:t>
              </w:r>
            </w:hyperlink>
          </w:p>
        </w:tc>
        <w:tc>
          <w:tcPr>
            <w:tcW w:w="450" w:type="dxa"/>
            <w:tcBorders>
              <w:bottom w:val="single" w:sz="4" w:space="0" w:color="auto"/>
            </w:tcBorders>
            <w:shd w:val="clear" w:color="auto" w:fill="auto"/>
          </w:tcPr>
          <w:p w:rsidR="001A63C6" w:rsidRPr="003410C7" w:rsidRDefault="001A63C6" w:rsidP="001A63C6">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auto"/>
            <w:vAlign w:val="center"/>
          </w:tcPr>
          <w:p w:rsidR="001A63C6" w:rsidRPr="003410C7" w:rsidRDefault="001A63C6" w:rsidP="001A63C6">
            <w:pPr>
              <w:pStyle w:val="TableText"/>
              <w:widowControl w:val="0"/>
              <w:rPr>
                <w:rFonts w:ascii="Tahoma" w:hAnsi="Tahoma" w:cs="Tahoma"/>
                <w:sz w:val="13"/>
              </w:rPr>
            </w:pPr>
          </w:p>
        </w:tc>
        <w:tc>
          <w:tcPr>
            <w:tcW w:w="2970" w:type="dxa"/>
            <w:gridSpan w:val="7"/>
            <w:tcBorders>
              <w:left w:val="single" w:sz="18" w:space="0" w:color="auto"/>
              <w:bottom w:val="single" w:sz="4" w:space="0" w:color="auto"/>
              <w:right w:val="single" w:sz="18" w:space="0" w:color="auto"/>
            </w:tcBorders>
            <w:shd w:val="clear" w:color="auto" w:fill="auto"/>
            <w:vAlign w:val="center"/>
          </w:tcPr>
          <w:p w:rsidR="001A63C6" w:rsidRPr="003410C7"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1A63C6" w:rsidRPr="003410C7"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3410C7"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1A63C6" w:rsidRPr="003410C7"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1A63C6" w:rsidRPr="003410C7"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1A63C6" w:rsidRPr="003410C7"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rsidR="001A63C6" w:rsidRPr="003410C7"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tcPr>
          <w:p w:rsidR="001A63C6" w:rsidRPr="003410C7" w:rsidRDefault="001A63C6" w:rsidP="001A63C6">
            <w:pPr>
              <w:pStyle w:val="TableText"/>
              <w:widowControl w:val="0"/>
              <w:rPr>
                <w:rFonts w:ascii="Tahoma" w:hAnsi="Tahoma" w:cs="Tahoma"/>
                <w:sz w:val="13"/>
              </w:rPr>
            </w:pPr>
          </w:p>
        </w:tc>
        <w:tc>
          <w:tcPr>
            <w:tcW w:w="540" w:type="dxa"/>
            <w:tcBorders>
              <w:bottom w:val="single" w:sz="4" w:space="0" w:color="auto"/>
            </w:tcBorders>
            <w:shd w:val="clear" w:color="auto" w:fill="auto"/>
            <w:vAlign w:val="center"/>
          </w:tcPr>
          <w:p w:rsidR="001A63C6" w:rsidRPr="003410C7" w:rsidRDefault="001A63C6" w:rsidP="001A63C6">
            <w:pPr>
              <w:pStyle w:val="TableText"/>
              <w:widowControl w:val="0"/>
              <w:rPr>
                <w:rFonts w:ascii="Tahoma" w:hAnsi="Tahoma" w:cs="Tahoma"/>
                <w:sz w:val="13"/>
              </w:rPr>
            </w:pPr>
          </w:p>
        </w:tc>
      </w:tr>
      <w:tr w:rsidR="00B33D0E" w:rsidRPr="003410C7" w:rsidTr="006B1F3F">
        <w:trPr>
          <w:trHeight w:val="145"/>
        </w:trPr>
        <w:tc>
          <w:tcPr>
            <w:tcW w:w="2734" w:type="dxa"/>
            <w:gridSpan w:val="2"/>
            <w:tcBorders>
              <w:bottom w:val="single" w:sz="4" w:space="0" w:color="auto"/>
            </w:tcBorders>
            <w:shd w:val="clear" w:color="auto" w:fill="FABF8F"/>
          </w:tcPr>
          <w:p w:rsidR="001A63C6" w:rsidRPr="003410C7" w:rsidRDefault="001A63C6" w:rsidP="003410C7">
            <w:pPr>
              <w:pStyle w:val="ProductNames"/>
              <w:spacing w:beforeLines="20" w:before="48" w:afterLines="20" w:after="48"/>
              <w:rPr>
                <w:rFonts w:ascii="Tahoma" w:hAnsi="Tahoma"/>
                <w:sz w:val="14"/>
              </w:rPr>
            </w:pPr>
            <w:bookmarkStart w:id="498" w:name="_Toc352234705"/>
            <w:r w:rsidRPr="003410C7">
              <w:rPr>
                <w:rFonts w:ascii="Tahoma" w:hAnsi="Tahoma" w:cs="Tahoma"/>
                <w:sz w:val="14"/>
              </w:rPr>
              <w:t>Vexcel Server</w:t>
            </w:r>
            <w:bookmarkEnd w:id="498"/>
          </w:p>
        </w:tc>
        <w:tc>
          <w:tcPr>
            <w:tcW w:w="450" w:type="dxa"/>
            <w:tcBorders>
              <w:bottom w:val="single" w:sz="4" w:space="0" w:color="auto"/>
            </w:tcBorders>
            <w:shd w:val="clear" w:color="auto" w:fill="FABF8F"/>
            <w:vAlign w:val="center"/>
          </w:tcPr>
          <w:p w:rsidR="001A63C6" w:rsidRPr="009F17FF" w:rsidRDefault="00FC1A4D" w:rsidP="005C06BC">
            <w:pPr>
              <w:pStyle w:val="TableText"/>
              <w:widowControl w:val="0"/>
              <w:rPr>
                <w:rStyle w:val="EndnoteReference"/>
                <w:b w:val="0"/>
                <w:sz w:val="13"/>
                <w:szCs w:val="13"/>
                <w:u w:val="single"/>
              </w:rPr>
            </w:pPr>
            <w:hyperlink w:anchor="_91_Vexcel_Server," w:history="1">
              <w:r w:rsidR="000D77F6" w:rsidRPr="009F17FF">
                <w:rPr>
                  <w:rStyle w:val="Hyperlink"/>
                  <w:sz w:val="13"/>
                  <w:szCs w:val="13"/>
                </w:rPr>
                <w:t>93</w:t>
              </w:r>
            </w:hyperlink>
            <w:hyperlink w:anchor="Srv_27BingMapsSvrandContentPack" w:history="1"/>
          </w:p>
        </w:tc>
        <w:tc>
          <w:tcPr>
            <w:tcW w:w="450" w:type="dxa"/>
            <w:tcBorders>
              <w:bottom w:val="single" w:sz="4" w:space="0" w:color="auto"/>
            </w:tcBorders>
            <w:shd w:val="clear" w:color="auto" w:fill="FABF8F"/>
          </w:tcPr>
          <w:p w:rsidR="001A63C6" w:rsidRPr="003410C7" w:rsidRDefault="001A63C6" w:rsidP="001A63C6">
            <w:pPr>
              <w:pStyle w:val="TableText"/>
              <w:widowControl w:val="0"/>
              <w:spacing w:before="80"/>
              <w:rPr>
                <w:rFonts w:ascii="Tahoma" w:hAnsi="Tahoma" w:cs="Tahoma"/>
                <w:sz w:val="13"/>
              </w:rPr>
            </w:pPr>
            <w:r w:rsidRPr="003410C7">
              <w:rPr>
                <w:rFonts w:ascii="Tahoma" w:hAnsi="Tahoma" w:cs="Tahoma"/>
                <w:sz w:val="13"/>
              </w:rPr>
              <w:t>08/09</w:t>
            </w:r>
          </w:p>
        </w:tc>
        <w:tc>
          <w:tcPr>
            <w:tcW w:w="360" w:type="dxa"/>
            <w:tcBorders>
              <w:bottom w:val="single" w:sz="4" w:space="0" w:color="auto"/>
              <w:right w:val="single" w:sz="18" w:space="0" w:color="auto"/>
            </w:tcBorders>
            <w:shd w:val="clear" w:color="auto" w:fill="FABF8F"/>
            <w:vAlign w:val="center"/>
          </w:tcPr>
          <w:p w:rsidR="001A63C6" w:rsidRPr="003410C7" w:rsidRDefault="001A63C6" w:rsidP="001A63C6">
            <w:pPr>
              <w:pStyle w:val="TableText"/>
              <w:widowControl w:val="0"/>
              <w:rPr>
                <w:rFonts w:ascii="Tahoma" w:hAnsi="Tahoma" w:cs="Tahoma"/>
                <w:sz w:val="13"/>
              </w:rPr>
            </w:pPr>
          </w:p>
        </w:tc>
        <w:tc>
          <w:tcPr>
            <w:tcW w:w="2970" w:type="dxa"/>
            <w:gridSpan w:val="7"/>
            <w:tcBorders>
              <w:left w:val="single" w:sz="18" w:space="0" w:color="auto"/>
              <w:bottom w:val="single" w:sz="4" w:space="0" w:color="auto"/>
              <w:right w:val="single" w:sz="18" w:space="0" w:color="auto"/>
            </w:tcBorders>
            <w:shd w:val="clear" w:color="auto" w:fill="FABF8F"/>
            <w:vAlign w:val="center"/>
          </w:tcPr>
          <w:p w:rsidR="001A63C6" w:rsidRPr="003410C7" w:rsidRDefault="001A63C6" w:rsidP="001A63C6">
            <w:pPr>
              <w:pStyle w:val="TableText"/>
              <w:widowControl w:val="0"/>
              <w:rPr>
                <w:rFonts w:ascii="Tahoma" w:hAnsi="Tahoma" w:cs="Tahoma"/>
                <w:sz w:val="13"/>
              </w:rPr>
            </w:pPr>
            <w:r w:rsidRPr="003410C7">
              <w:rPr>
                <w:rFonts w:ascii="Tahoma" w:hAnsi="Tahoma" w:cs="Tahoma"/>
                <w:sz w:val="13"/>
              </w:rPr>
              <w:t>200 crediti</w:t>
            </w:r>
          </w:p>
        </w:tc>
        <w:tc>
          <w:tcPr>
            <w:tcW w:w="450" w:type="dxa"/>
            <w:tcBorders>
              <w:left w:val="single" w:sz="18" w:space="0" w:color="auto"/>
              <w:bottom w:val="single" w:sz="4" w:space="0" w:color="auto"/>
            </w:tcBorders>
            <w:shd w:val="clear" w:color="auto" w:fill="FABF8F"/>
            <w:vAlign w:val="center"/>
          </w:tcPr>
          <w:p w:rsidR="001A63C6" w:rsidRPr="003410C7"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3410C7"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1A63C6" w:rsidRPr="003410C7"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3410C7" w:rsidRDefault="001A63C6" w:rsidP="001A63C6">
            <w:pPr>
              <w:pStyle w:val="TableText"/>
              <w:widowControl w:val="0"/>
              <w:rPr>
                <w:rFonts w:ascii="Tahoma" w:hAnsi="Tahoma" w:cs="Tahoma"/>
                <w:sz w:val="13"/>
              </w:rPr>
            </w:pPr>
            <w:r w:rsidRPr="003410C7">
              <w:rPr>
                <w:rFonts w:ascii="Tahoma" w:hAnsi="Tahoma" w:cs="Tahoma"/>
                <w:sz w:val="13"/>
              </w:rPr>
              <w:t>200</w:t>
            </w:r>
          </w:p>
        </w:tc>
        <w:tc>
          <w:tcPr>
            <w:tcW w:w="450" w:type="dxa"/>
            <w:tcBorders>
              <w:bottom w:val="single" w:sz="4" w:space="0" w:color="auto"/>
              <w:right w:val="single" w:sz="18" w:space="0" w:color="auto"/>
            </w:tcBorders>
            <w:shd w:val="clear" w:color="auto" w:fill="FABF8F"/>
            <w:vAlign w:val="center"/>
          </w:tcPr>
          <w:p w:rsidR="001A63C6" w:rsidRPr="003410C7" w:rsidRDefault="001A63C6" w:rsidP="001A63C6">
            <w:pPr>
              <w:pStyle w:val="TableText"/>
              <w:widowControl w:val="0"/>
              <w:rPr>
                <w:rFonts w:ascii="Tahoma" w:hAnsi="Tahoma" w:cs="Tahoma"/>
                <w:sz w:val="13"/>
              </w:rPr>
            </w:pPr>
            <w:r w:rsidRPr="003410C7">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3410C7" w:rsidRDefault="001A63C6" w:rsidP="001A63C6">
            <w:pPr>
              <w:pStyle w:val="TableText"/>
              <w:widowControl w:val="0"/>
              <w:rPr>
                <w:rFonts w:ascii="Tahoma" w:hAnsi="Tahoma" w:cs="Tahoma"/>
                <w:sz w:val="13"/>
              </w:rPr>
            </w:pPr>
            <w:r w:rsidRPr="003410C7">
              <w:rPr>
                <w:rFonts w:ascii="Tahoma" w:hAnsi="Tahoma" w:cs="Tahoma"/>
                <w:sz w:val="13"/>
              </w:rPr>
              <w:t>P</w:t>
            </w:r>
          </w:p>
        </w:tc>
        <w:tc>
          <w:tcPr>
            <w:tcW w:w="450" w:type="dxa"/>
            <w:tcBorders>
              <w:bottom w:val="single" w:sz="4" w:space="0" w:color="auto"/>
            </w:tcBorders>
            <w:shd w:val="clear" w:color="auto" w:fill="FABF8F"/>
            <w:vAlign w:val="center"/>
          </w:tcPr>
          <w:p w:rsidR="001A63C6" w:rsidRPr="003410C7" w:rsidRDefault="001A63C6" w:rsidP="001A63C6">
            <w:pPr>
              <w:pStyle w:val="TableText"/>
              <w:widowControl w:val="0"/>
              <w:rPr>
                <w:rFonts w:ascii="Tahoma" w:hAnsi="Tahoma" w:cs="Tahoma"/>
                <w:sz w:val="13"/>
              </w:rPr>
            </w:pPr>
            <w:r w:rsidRPr="003410C7">
              <w:rPr>
                <w:rFonts w:ascii="Tahoma" w:hAnsi="Tahoma" w:cs="Tahoma"/>
                <w:sz w:val="13"/>
              </w:rPr>
              <w:t>A</w:t>
            </w:r>
          </w:p>
        </w:tc>
        <w:tc>
          <w:tcPr>
            <w:tcW w:w="540" w:type="dxa"/>
            <w:tcBorders>
              <w:bottom w:val="single" w:sz="4" w:space="0" w:color="auto"/>
            </w:tcBorders>
            <w:shd w:val="clear" w:color="auto" w:fill="FABF8F"/>
            <w:vAlign w:val="center"/>
          </w:tcPr>
          <w:p w:rsidR="001A63C6" w:rsidRPr="003410C7" w:rsidRDefault="001A63C6" w:rsidP="001A63C6">
            <w:pPr>
              <w:pStyle w:val="TableText"/>
              <w:widowControl w:val="0"/>
              <w:rPr>
                <w:rFonts w:ascii="Tahoma" w:hAnsi="Tahoma" w:cs="Tahoma"/>
                <w:sz w:val="13"/>
              </w:rPr>
            </w:pPr>
          </w:p>
        </w:tc>
      </w:tr>
      <w:tr w:rsidR="00B33D0E" w:rsidRPr="003410C7" w:rsidTr="006B1F3F">
        <w:trPr>
          <w:trHeight w:val="145"/>
        </w:trPr>
        <w:tc>
          <w:tcPr>
            <w:tcW w:w="2734" w:type="dxa"/>
            <w:gridSpan w:val="2"/>
            <w:tcBorders>
              <w:bottom w:val="single" w:sz="4" w:space="0" w:color="auto"/>
            </w:tcBorders>
            <w:shd w:val="clear" w:color="auto" w:fill="auto"/>
          </w:tcPr>
          <w:p w:rsidR="001A63C6" w:rsidRPr="003410C7" w:rsidRDefault="001A63C6" w:rsidP="003410C7">
            <w:pPr>
              <w:pStyle w:val="ProductNames"/>
              <w:spacing w:beforeLines="20" w:before="48" w:afterLines="20" w:after="48"/>
              <w:rPr>
                <w:rFonts w:ascii="Tahoma" w:hAnsi="Tahoma"/>
                <w:sz w:val="14"/>
              </w:rPr>
            </w:pPr>
            <w:bookmarkStart w:id="499" w:name="_Toc352234706"/>
            <w:r w:rsidRPr="003410C7">
              <w:rPr>
                <w:rFonts w:ascii="Tahoma" w:hAnsi="Tahoma" w:cs="Tahoma"/>
                <w:sz w:val="14"/>
              </w:rPr>
              <w:t>Vexcel Server con Enhanced Content Pack</w:t>
            </w:r>
            <w:bookmarkEnd w:id="499"/>
            <w:r w:rsidRPr="003410C7">
              <w:rPr>
                <w:rFonts w:ascii="Tahoma" w:hAnsi="Tahoma" w:cs="Tahoma"/>
                <w:sz w:val="14"/>
              </w:rPr>
              <w:t xml:space="preserve"> </w:t>
            </w:r>
          </w:p>
        </w:tc>
        <w:tc>
          <w:tcPr>
            <w:tcW w:w="450" w:type="dxa"/>
            <w:tcBorders>
              <w:bottom w:val="single" w:sz="4" w:space="0" w:color="auto"/>
            </w:tcBorders>
            <w:shd w:val="clear" w:color="auto" w:fill="auto"/>
            <w:vAlign w:val="center"/>
          </w:tcPr>
          <w:p w:rsidR="001A63C6" w:rsidRPr="009F17FF" w:rsidRDefault="00FC1A4D" w:rsidP="001A63C6">
            <w:pPr>
              <w:pStyle w:val="TableText"/>
              <w:widowControl w:val="0"/>
              <w:rPr>
                <w:rStyle w:val="EndnoteReference"/>
                <w:b w:val="0"/>
                <w:sz w:val="13"/>
                <w:szCs w:val="13"/>
                <w:u w:val="single"/>
              </w:rPr>
            </w:pPr>
            <w:hyperlink w:anchor="_91_Vexcel_Server," w:history="1">
              <w:r w:rsidR="000D77F6" w:rsidRPr="009F17FF">
                <w:rPr>
                  <w:rStyle w:val="Hyperlink"/>
                  <w:sz w:val="13"/>
                  <w:szCs w:val="13"/>
                </w:rPr>
                <w:t>93</w:t>
              </w:r>
            </w:hyperlink>
          </w:p>
        </w:tc>
        <w:tc>
          <w:tcPr>
            <w:tcW w:w="450" w:type="dxa"/>
            <w:tcBorders>
              <w:bottom w:val="single" w:sz="4" w:space="0" w:color="auto"/>
            </w:tcBorders>
            <w:shd w:val="clear" w:color="auto" w:fill="auto"/>
          </w:tcPr>
          <w:p w:rsidR="001A63C6" w:rsidRPr="003410C7" w:rsidRDefault="001A63C6" w:rsidP="001A63C6">
            <w:pPr>
              <w:pStyle w:val="TableText"/>
              <w:widowControl w:val="0"/>
              <w:spacing w:before="80"/>
              <w:rPr>
                <w:rFonts w:ascii="Tahoma" w:hAnsi="Tahoma" w:cs="Tahoma"/>
                <w:sz w:val="13"/>
              </w:rPr>
            </w:pPr>
            <w:r w:rsidRPr="003410C7">
              <w:rPr>
                <w:rFonts w:ascii="Tahoma" w:hAnsi="Tahoma" w:cs="Tahoma"/>
                <w:sz w:val="13"/>
              </w:rPr>
              <w:t>08/09</w:t>
            </w:r>
          </w:p>
        </w:tc>
        <w:tc>
          <w:tcPr>
            <w:tcW w:w="360" w:type="dxa"/>
            <w:tcBorders>
              <w:bottom w:val="single" w:sz="4" w:space="0" w:color="auto"/>
              <w:right w:val="single" w:sz="18" w:space="0" w:color="auto"/>
            </w:tcBorders>
            <w:shd w:val="clear" w:color="auto" w:fill="auto"/>
            <w:vAlign w:val="center"/>
          </w:tcPr>
          <w:p w:rsidR="001A63C6" w:rsidRPr="003410C7" w:rsidRDefault="001A63C6" w:rsidP="001A63C6">
            <w:pPr>
              <w:pStyle w:val="TableText"/>
              <w:widowControl w:val="0"/>
              <w:rPr>
                <w:rFonts w:ascii="Tahoma" w:hAnsi="Tahoma" w:cs="Tahoma"/>
                <w:sz w:val="13"/>
              </w:rPr>
            </w:pPr>
          </w:p>
        </w:tc>
        <w:tc>
          <w:tcPr>
            <w:tcW w:w="2970" w:type="dxa"/>
            <w:gridSpan w:val="7"/>
            <w:tcBorders>
              <w:left w:val="single" w:sz="18" w:space="0" w:color="auto"/>
              <w:bottom w:val="single" w:sz="4" w:space="0" w:color="auto"/>
              <w:right w:val="single" w:sz="18" w:space="0" w:color="auto"/>
            </w:tcBorders>
            <w:shd w:val="clear" w:color="auto" w:fill="auto"/>
            <w:vAlign w:val="center"/>
          </w:tcPr>
          <w:p w:rsidR="001A63C6" w:rsidRPr="003410C7" w:rsidRDefault="001A63C6" w:rsidP="001A63C6">
            <w:pPr>
              <w:pStyle w:val="TableText"/>
              <w:widowControl w:val="0"/>
              <w:rPr>
                <w:rFonts w:ascii="Tahoma" w:hAnsi="Tahoma" w:cs="Tahoma"/>
                <w:sz w:val="13"/>
              </w:rPr>
            </w:pPr>
            <w:r w:rsidRPr="003410C7">
              <w:rPr>
                <w:rFonts w:ascii="Tahoma" w:hAnsi="Tahoma" w:cs="Tahoma"/>
                <w:sz w:val="13"/>
              </w:rPr>
              <w:t>200 crediti</w:t>
            </w:r>
          </w:p>
        </w:tc>
        <w:tc>
          <w:tcPr>
            <w:tcW w:w="450" w:type="dxa"/>
            <w:tcBorders>
              <w:left w:val="single" w:sz="18" w:space="0" w:color="auto"/>
              <w:bottom w:val="single" w:sz="4" w:space="0" w:color="auto"/>
            </w:tcBorders>
            <w:shd w:val="clear" w:color="auto" w:fill="auto"/>
            <w:vAlign w:val="center"/>
          </w:tcPr>
          <w:p w:rsidR="001A63C6" w:rsidRPr="003410C7"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3410C7"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1A63C6" w:rsidRPr="003410C7"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1A63C6" w:rsidRPr="003410C7" w:rsidRDefault="001A63C6" w:rsidP="001A63C6">
            <w:pPr>
              <w:pStyle w:val="TableText"/>
              <w:widowControl w:val="0"/>
              <w:rPr>
                <w:rFonts w:ascii="Tahoma" w:hAnsi="Tahoma" w:cs="Tahoma"/>
                <w:sz w:val="13"/>
              </w:rPr>
            </w:pPr>
            <w:r w:rsidRPr="003410C7">
              <w:rPr>
                <w:rFonts w:ascii="Tahoma" w:hAnsi="Tahoma" w:cs="Tahoma"/>
                <w:sz w:val="13"/>
              </w:rPr>
              <w:t>200</w:t>
            </w:r>
          </w:p>
        </w:tc>
        <w:tc>
          <w:tcPr>
            <w:tcW w:w="450" w:type="dxa"/>
            <w:tcBorders>
              <w:bottom w:val="single" w:sz="4" w:space="0" w:color="auto"/>
              <w:right w:val="single" w:sz="18" w:space="0" w:color="auto"/>
            </w:tcBorders>
            <w:shd w:val="clear" w:color="auto" w:fill="auto"/>
            <w:vAlign w:val="center"/>
          </w:tcPr>
          <w:p w:rsidR="001A63C6" w:rsidRPr="003410C7" w:rsidRDefault="001A63C6" w:rsidP="001A63C6">
            <w:pPr>
              <w:pStyle w:val="TableText"/>
              <w:widowControl w:val="0"/>
              <w:rPr>
                <w:rFonts w:ascii="Tahoma" w:hAnsi="Tahoma" w:cs="Tahoma"/>
                <w:sz w:val="13"/>
              </w:rPr>
            </w:pPr>
            <w:r w:rsidRPr="003410C7">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rsidR="001A63C6" w:rsidRPr="003410C7" w:rsidRDefault="001A63C6" w:rsidP="001A63C6">
            <w:pPr>
              <w:pStyle w:val="TableText"/>
              <w:widowControl w:val="0"/>
              <w:rPr>
                <w:rFonts w:ascii="Tahoma" w:hAnsi="Tahoma" w:cs="Tahoma"/>
                <w:sz w:val="13"/>
              </w:rPr>
            </w:pPr>
            <w:r w:rsidRPr="003410C7">
              <w:rPr>
                <w:rFonts w:ascii="Tahoma" w:hAnsi="Tahoma" w:cs="Tahoma"/>
                <w:sz w:val="13"/>
              </w:rPr>
              <w:t>P</w:t>
            </w:r>
          </w:p>
        </w:tc>
        <w:tc>
          <w:tcPr>
            <w:tcW w:w="450" w:type="dxa"/>
            <w:tcBorders>
              <w:bottom w:val="single" w:sz="4" w:space="0" w:color="auto"/>
            </w:tcBorders>
            <w:shd w:val="clear" w:color="auto" w:fill="auto"/>
            <w:vAlign w:val="center"/>
          </w:tcPr>
          <w:p w:rsidR="001A63C6" w:rsidRPr="003410C7" w:rsidRDefault="001A63C6" w:rsidP="001A63C6">
            <w:pPr>
              <w:pStyle w:val="TableText"/>
              <w:widowControl w:val="0"/>
              <w:rPr>
                <w:rFonts w:ascii="Tahoma" w:hAnsi="Tahoma" w:cs="Tahoma"/>
                <w:sz w:val="13"/>
              </w:rPr>
            </w:pPr>
            <w:r w:rsidRPr="003410C7">
              <w:rPr>
                <w:rFonts w:ascii="Tahoma" w:hAnsi="Tahoma" w:cs="Tahoma"/>
                <w:sz w:val="13"/>
              </w:rPr>
              <w:t>A</w:t>
            </w:r>
          </w:p>
        </w:tc>
        <w:tc>
          <w:tcPr>
            <w:tcW w:w="540" w:type="dxa"/>
            <w:tcBorders>
              <w:bottom w:val="single" w:sz="4" w:space="0" w:color="auto"/>
            </w:tcBorders>
            <w:shd w:val="clear" w:color="auto" w:fill="auto"/>
            <w:vAlign w:val="center"/>
          </w:tcPr>
          <w:p w:rsidR="001A63C6" w:rsidRPr="003410C7" w:rsidRDefault="001A63C6" w:rsidP="001A63C6">
            <w:pPr>
              <w:pStyle w:val="TableText"/>
              <w:widowControl w:val="0"/>
              <w:rPr>
                <w:rFonts w:ascii="Tahoma" w:hAnsi="Tahoma" w:cs="Tahoma"/>
                <w:sz w:val="13"/>
              </w:rPr>
            </w:pPr>
          </w:p>
        </w:tc>
      </w:tr>
      <w:tr w:rsidR="001A63C6" w:rsidRPr="003410C7" w:rsidTr="007E466C">
        <w:trPr>
          <w:trHeight w:val="145"/>
        </w:trPr>
        <w:tc>
          <w:tcPr>
            <w:tcW w:w="2734" w:type="dxa"/>
            <w:gridSpan w:val="2"/>
            <w:tcBorders>
              <w:bottom w:val="single" w:sz="4" w:space="0" w:color="auto"/>
            </w:tcBorders>
            <w:shd w:val="clear" w:color="auto" w:fill="auto"/>
          </w:tcPr>
          <w:p w:rsidR="001A63C6" w:rsidRPr="00451078" w:rsidRDefault="001A63C6" w:rsidP="003410C7">
            <w:pPr>
              <w:pStyle w:val="Heading2"/>
              <w:spacing w:beforeLines="20" w:before="48" w:afterLines="20" w:after="48"/>
              <w:ind w:left="0"/>
              <w:rPr>
                <w:rFonts w:ascii="Tahoma" w:hAnsi="Tahoma" w:cs="Tahoma"/>
                <w:b w:val="0"/>
                <w:sz w:val="14"/>
                <w:szCs w:val="14"/>
                <w:lang w:val="pt-BR"/>
              </w:rPr>
            </w:pPr>
            <w:bookmarkStart w:id="500" w:name="_Toc336338108"/>
            <w:bookmarkStart w:id="501" w:name="_Toc352234707"/>
            <w:r w:rsidRPr="00451078">
              <w:rPr>
                <w:rFonts w:ascii="Tahoma" w:hAnsi="Tahoma" w:cs="Tahoma"/>
                <w:b w:val="0"/>
                <w:sz w:val="14"/>
                <w:szCs w:val="14"/>
                <w:lang w:val="pt-BR"/>
              </w:rPr>
              <w:t>Virtual Server 2005 R2 Enterprise Edition</w:t>
            </w:r>
            <w:bookmarkEnd w:id="500"/>
            <w:bookmarkEnd w:id="501"/>
          </w:p>
        </w:tc>
        <w:tc>
          <w:tcPr>
            <w:tcW w:w="450" w:type="dxa"/>
            <w:tcBorders>
              <w:bottom w:val="single" w:sz="4" w:space="0" w:color="auto"/>
            </w:tcBorders>
            <w:shd w:val="clear" w:color="auto" w:fill="auto"/>
            <w:vAlign w:val="center"/>
          </w:tcPr>
          <w:p w:rsidR="001A63C6" w:rsidRPr="00451078" w:rsidRDefault="001A63C6" w:rsidP="001A63C6">
            <w:pPr>
              <w:pStyle w:val="TableText"/>
              <w:widowControl w:val="0"/>
              <w:rPr>
                <w:rStyle w:val="EndnoteReference"/>
                <w:sz w:val="13"/>
                <w:szCs w:val="13"/>
                <w:u w:val="single"/>
                <w:lang w:val="pt-BR"/>
              </w:rPr>
            </w:pPr>
          </w:p>
        </w:tc>
        <w:tc>
          <w:tcPr>
            <w:tcW w:w="450" w:type="dxa"/>
            <w:tcBorders>
              <w:bottom w:val="single" w:sz="4" w:space="0" w:color="auto"/>
            </w:tcBorders>
            <w:shd w:val="clear" w:color="auto" w:fill="auto"/>
            <w:vAlign w:val="center"/>
          </w:tcPr>
          <w:p w:rsidR="001A63C6" w:rsidRPr="003410C7" w:rsidRDefault="001A63C6" w:rsidP="001A63C6">
            <w:pPr>
              <w:pStyle w:val="TableText"/>
              <w:widowControl w:val="0"/>
              <w:spacing w:before="80"/>
              <w:rPr>
                <w:rFonts w:ascii="Tahoma" w:hAnsi="Tahoma" w:cs="Tahoma"/>
                <w:sz w:val="13"/>
              </w:rPr>
            </w:pPr>
            <w:r w:rsidRPr="003410C7">
              <w:rPr>
                <w:rFonts w:ascii="Tahoma" w:hAnsi="Tahoma" w:cs="Tahoma"/>
                <w:sz w:val="13"/>
              </w:rPr>
              <w:t>12/05</w:t>
            </w:r>
          </w:p>
        </w:tc>
        <w:tc>
          <w:tcPr>
            <w:tcW w:w="360" w:type="dxa"/>
            <w:tcBorders>
              <w:bottom w:val="single" w:sz="4" w:space="0" w:color="auto"/>
              <w:right w:val="single" w:sz="18" w:space="0" w:color="auto"/>
            </w:tcBorders>
            <w:shd w:val="clear" w:color="auto" w:fill="auto"/>
            <w:vAlign w:val="center"/>
          </w:tcPr>
          <w:p w:rsidR="001A63C6" w:rsidRPr="003410C7" w:rsidRDefault="001A63C6" w:rsidP="001A63C6">
            <w:pPr>
              <w:pStyle w:val="TableText"/>
              <w:widowControl w:val="0"/>
              <w:rPr>
                <w:rFonts w:ascii="Tahoma" w:hAnsi="Tahoma" w:cs="Tahoma"/>
                <w:sz w:val="13"/>
              </w:rPr>
            </w:pPr>
            <w:r w:rsidRPr="003410C7">
              <w:rPr>
                <w:rFonts w:ascii="Tahoma" w:hAnsi="Tahoma" w:cs="Tahoma"/>
                <w:sz w:val="13"/>
              </w:rPr>
              <w:t>SRV</w:t>
            </w:r>
          </w:p>
        </w:tc>
        <w:tc>
          <w:tcPr>
            <w:tcW w:w="360" w:type="dxa"/>
            <w:tcBorders>
              <w:left w:val="single" w:sz="18" w:space="0" w:color="auto"/>
              <w:bottom w:val="single" w:sz="4" w:space="0" w:color="auto"/>
            </w:tcBorders>
            <w:shd w:val="clear" w:color="auto" w:fill="auto"/>
            <w:vAlign w:val="center"/>
          </w:tcPr>
          <w:p w:rsidR="001A63C6" w:rsidRPr="003410C7"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3410C7"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3410C7"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3410C7"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3410C7"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3410C7" w:rsidRDefault="001A63C6" w:rsidP="001A63C6">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auto"/>
            <w:vAlign w:val="center"/>
          </w:tcPr>
          <w:p w:rsidR="001A63C6" w:rsidRPr="003410C7"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1A63C6" w:rsidRPr="003410C7"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3410C7"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1A63C6" w:rsidRPr="003410C7"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1A63C6" w:rsidRPr="003410C7"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1A63C6" w:rsidRPr="003410C7"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rsidR="001A63C6" w:rsidRPr="003410C7"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tcPr>
          <w:p w:rsidR="001A63C6" w:rsidRPr="003410C7" w:rsidRDefault="001A63C6" w:rsidP="001A63C6">
            <w:pPr>
              <w:pStyle w:val="TableText"/>
              <w:widowControl w:val="0"/>
              <w:rPr>
                <w:rFonts w:ascii="Tahoma" w:hAnsi="Tahoma" w:cs="Tahoma"/>
                <w:sz w:val="13"/>
              </w:rPr>
            </w:pPr>
          </w:p>
        </w:tc>
        <w:tc>
          <w:tcPr>
            <w:tcW w:w="540" w:type="dxa"/>
            <w:tcBorders>
              <w:bottom w:val="single" w:sz="4" w:space="0" w:color="auto"/>
            </w:tcBorders>
            <w:shd w:val="clear" w:color="auto" w:fill="auto"/>
            <w:vAlign w:val="center"/>
          </w:tcPr>
          <w:p w:rsidR="001A63C6" w:rsidRPr="003410C7" w:rsidRDefault="001A63C6" w:rsidP="001A63C6">
            <w:pPr>
              <w:pStyle w:val="TableText"/>
              <w:widowControl w:val="0"/>
              <w:rPr>
                <w:rFonts w:ascii="Tahoma" w:hAnsi="Tahoma" w:cs="Tahoma"/>
                <w:sz w:val="13"/>
              </w:rPr>
            </w:pPr>
          </w:p>
        </w:tc>
      </w:tr>
      <w:tr w:rsidR="006B1F3F" w:rsidRPr="003410C7" w:rsidTr="006B1F3F">
        <w:trPr>
          <w:trHeight w:val="145"/>
        </w:trPr>
        <w:tc>
          <w:tcPr>
            <w:tcW w:w="2734" w:type="dxa"/>
            <w:gridSpan w:val="2"/>
            <w:tcBorders>
              <w:bottom w:val="single" w:sz="4" w:space="0" w:color="auto"/>
            </w:tcBorders>
            <w:shd w:val="clear" w:color="auto" w:fill="FABF8F"/>
            <w:vAlign w:val="center"/>
          </w:tcPr>
          <w:p w:rsidR="001A63C6" w:rsidRPr="003410C7" w:rsidRDefault="001A63C6" w:rsidP="003410C7">
            <w:pPr>
              <w:pStyle w:val="Heading2"/>
              <w:spacing w:beforeLines="20" w:before="48" w:afterLines="20" w:after="48"/>
              <w:ind w:left="0"/>
              <w:rPr>
                <w:rFonts w:ascii="Tahoma" w:hAnsi="Tahoma" w:cs="Tahoma"/>
                <w:b w:val="0"/>
                <w:sz w:val="14"/>
                <w:szCs w:val="14"/>
              </w:rPr>
            </w:pPr>
            <w:bookmarkStart w:id="502" w:name="_Toc336338109"/>
            <w:bookmarkStart w:id="503" w:name="_Toc352234708"/>
            <w:r w:rsidRPr="003410C7">
              <w:rPr>
                <w:rFonts w:ascii="Tahoma" w:hAnsi="Tahoma" w:cs="Tahoma"/>
                <w:b w:val="0"/>
                <w:sz w:val="14"/>
                <w:szCs w:val="14"/>
              </w:rPr>
              <w:t>Visual Studio</w:t>
            </w:r>
            <w:r w:rsidR="003410C7" w:rsidRPr="003410C7">
              <w:rPr>
                <w:rFonts w:ascii="Tahoma" w:eastAsia="Times New Roman" w:hAnsi="Tahoma" w:cs="Tahoma"/>
                <w:b w:val="0"/>
                <w:color w:val="000000"/>
                <w:sz w:val="14"/>
                <w:szCs w:val="14"/>
                <w:vertAlign w:val="superscript"/>
              </w:rPr>
              <w:t>®</w:t>
            </w:r>
            <w:r w:rsidRPr="003410C7">
              <w:rPr>
                <w:rFonts w:ascii="Tahoma" w:hAnsi="Tahoma" w:cs="Tahoma"/>
                <w:b w:val="0"/>
                <w:sz w:val="14"/>
                <w:szCs w:val="14"/>
              </w:rPr>
              <w:t xml:space="preserve"> Team Foundation Server 2012 con Tecnologia SQL Server 2012</w:t>
            </w:r>
            <w:bookmarkEnd w:id="502"/>
            <w:bookmarkEnd w:id="503"/>
          </w:p>
        </w:tc>
        <w:tc>
          <w:tcPr>
            <w:tcW w:w="450" w:type="dxa"/>
            <w:tcBorders>
              <w:bottom w:val="single" w:sz="4" w:space="0" w:color="auto"/>
            </w:tcBorders>
            <w:shd w:val="clear" w:color="auto" w:fill="FABF8F"/>
            <w:vAlign w:val="center"/>
          </w:tcPr>
          <w:p w:rsidR="001A63C6" w:rsidRPr="009F17FF" w:rsidRDefault="001A63C6" w:rsidP="001A63C6">
            <w:pPr>
              <w:pStyle w:val="TableText"/>
              <w:widowControl w:val="0"/>
              <w:rPr>
                <w:rStyle w:val="EndnoteReference"/>
                <w:sz w:val="13"/>
                <w:szCs w:val="13"/>
              </w:rPr>
            </w:pPr>
          </w:p>
        </w:tc>
        <w:tc>
          <w:tcPr>
            <w:tcW w:w="450" w:type="dxa"/>
            <w:tcBorders>
              <w:bottom w:val="single" w:sz="4" w:space="0" w:color="auto"/>
            </w:tcBorders>
            <w:shd w:val="clear" w:color="auto" w:fill="FABF8F"/>
            <w:vAlign w:val="center"/>
          </w:tcPr>
          <w:p w:rsidR="001A63C6" w:rsidRPr="003410C7" w:rsidRDefault="001A63C6" w:rsidP="001A63C6">
            <w:pPr>
              <w:pStyle w:val="TableText"/>
              <w:widowControl w:val="0"/>
              <w:spacing w:before="80"/>
              <w:rPr>
                <w:rFonts w:ascii="Tahoma" w:hAnsi="Tahoma" w:cs="Tahoma"/>
                <w:sz w:val="13"/>
              </w:rPr>
            </w:pPr>
            <w:r w:rsidRPr="003410C7">
              <w:rPr>
                <w:rFonts w:ascii="Tahoma" w:hAnsi="Tahoma" w:cs="Tahoma"/>
                <w:sz w:val="13"/>
              </w:rPr>
              <w:t>09/12</w:t>
            </w:r>
          </w:p>
        </w:tc>
        <w:tc>
          <w:tcPr>
            <w:tcW w:w="360" w:type="dxa"/>
            <w:tcBorders>
              <w:bottom w:val="single" w:sz="4" w:space="0" w:color="auto"/>
              <w:right w:val="single" w:sz="18" w:space="0" w:color="auto"/>
            </w:tcBorders>
            <w:shd w:val="clear" w:color="auto" w:fill="FABF8F"/>
            <w:vAlign w:val="center"/>
          </w:tcPr>
          <w:p w:rsidR="001A63C6" w:rsidRPr="003410C7" w:rsidRDefault="001A63C6" w:rsidP="001A63C6">
            <w:pPr>
              <w:pStyle w:val="TableText"/>
              <w:widowControl w:val="0"/>
              <w:rPr>
                <w:rFonts w:ascii="Tahoma" w:hAnsi="Tahoma" w:cs="Tahoma"/>
                <w:sz w:val="13"/>
              </w:rPr>
            </w:pPr>
            <w:r w:rsidRPr="003410C7">
              <w:rPr>
                <w:rFonts w:ascii="Tahoma" w:hAnsi="Tahoma" w:cs="Tahoma"/>
                <w:sz w:val="13"/>
              </w:rPr>
              <w:t>SRV</w:t>
            </w:r>
          </w:p>
        </w:tc>
        <w:tc>
          <w:tcPr>
            <w:tcW w:w="360" w:type="dxa"/>
            <w:tcBorders>
              <w:left w:val="single" w:sz="18" w:space="0" w:color="auto"/>
              <w:bottom w:val="single" w:sz="4" w:space="0" w:color="auto"/>
            </w:tcBorders>
            <w:shd w:val="clear" w:color="auto" w:fill="FABF8F"/>
            <w:vAlign w:val="center"/>
          </w:tcPr>
          <w:p w:rsidR="001A63C6" w:rsidRPr="003410C7" w:rsidRDefault="001A63C6" w:rsidP="001A63C6">
            <w:pPr>
              <w:pStyle w:val="TableText"/>
              <w:widowControl w:val="0"/>
              <w:spacing w:after="120"/>
              <w:rPr>
                <w:rFonts w:ascii="Tahoma" w:hAnsi="Tahoma" w:cs="Tahoma"/>
                <w:sz w:val="13"/>
                <w:szCs w:val="13"/>
              </w:rPr>
            </w:pPr>
            <w:r w:rsidRPr="003410C7">
              <w:rPr>
                <w:rFonts w:ascii="Tahoma" w:hAnsi="Tahoma" w:cs="Tahoma"/>
                <w:sz w:val="13"/>
                <w:szCs w:val="13"/>
              </w:rPr>
              <w:t>5</w:t>
            </w:r>
          </w:p>
        </w:tc>
        <w:tc>
          <w:tcPr>
            <w:tcW w:w="450" w:type="dxa"/>
            <w:tcBorders>
              <w:bottom w:val="single" w:sz="4" w:space="0" w:color="auto"/>
            </w:tcBorders>
            <w:shd w:val="clear" w:color="auto" w:fill="FABF8F"/>
            <w:vAlign w:val="center"/>
          </w:tcPr>
          <w:p w:rsidR="001A63C6" w:rsidRPr="003410C7" w:rsidRDefault="001A63C6" w:rsidP="001A63C6">
            <w:pPr>
              <w:pStyle w:val="TableText"/>
              <w:widowControl w:val="0"/>
              <w:spacing w:after="120"/>
              <w:rPr>
                <w:rFonts w:ascii="Tahoma" w:hAnsi="Tahoma" w:cs="Tahoma"/>
                <w:sz w:val="13"/>
                <w:szCs w:val="13"/>
              </w:rPr>
            </w:pPr>
            <w:r w:rsidRPr="003410C7">
              <w:rPr>
                <w:rFonts w:ascii="Tahoma" w:hAnsi="Tahoma" w:cs="Tahoma"/>
                <w:sz w:val="13"/>
                <w:szCs w:val="13"/>
              </w:rPr>
              <w:t>13</w:t>
            </w:r>
          </w:p>
        </w:tc>
        <w:tc>
          <w:tcPr>
            <w:tcW w:w="450" w:type="dxa"/>
            <w:tcBorders>
              <w:bottom w:val="single" w:sz="4" w:space="0" w:color="auto"/>
            </w:tcBorders>
            <w:shd w:val="clear" w:color="auto" w:fill="FABF8F"/>
            <w:vAlign w:val="center"/>
          </w:tcPr>
          <w:p w:rsidR="001A63C6" w:rsidRPr="003410C7" w:rsidRDefault="001A63C6" w:rsidP="001A63C6">
            <w:pPr>
              <w:pStyle w:val="TableText"/>
              <w:widowControl w:val="0"/>
              <w:spacing w:after="120"/>
              <w:rPr>
                <w:rFonts w:ascii="Tahoma" w:hAnsi="Tahoma" w:cs="Tahoma"/>
                <w:sz w:val="13"/>
                <w:szCs w:val="13"/>
              </w:rPr>
            </w:pPr>
            <w:r w:rsidRPr="003410C7">
              <w:rPr>
                <w:rFonts w:ascii="Tahoma" w:hAnsi="Tahoma" w:cs="Tahoma"/>
                <w:sz w:val="13"/>
                <w:szCs w:val="13"/>
              </w:rPr>
              <w:t>10</w:t>
            </w:r>
          </w:p>
        </w:tc>
        <w:tc>
          <w:tcPr>
            <w:tcW w:w="450" w:type="dxa"/>
            <w:tcBorders>
              <w:bottom w:val="single" w:sz="4" w:space="0" w:color="auto"/>
            </w:tcBorders>
            <w:shd w:val="clear" w:color="auto" w:fill="FABF8F"/>
            <w:vAlign w:val="center"/>
          </w:tcPr>
          <w:p w:rsidR="001A63C6" w:rsidRPr="003410C7" w:rsidRDefault="001A63C6" w:rsidP="001A63C6">
            <w:pPr>
              <w:pStyle w:val="TableText"/>
              <w:widowControl w:val="0"/>
              <w:spacing w:after="120"/>
              <w:rPr>
                <w:rFonts w:ascii="Tahoma" w:hAnsi="Tahoma" w:cs="Tahoma"/>
                <w:sz w:val="13"/>
                <w:szCs w:val="13"/>
              </w:rPr>
            </w:pPr>
            <w:r w:rsidRPr="003410C7">
              <w:rPr>
                <w:rFonts w:ascii="Tahoma" w:hAnsi="Tahoma" w:cs="Tahoma"/>
                <w:sz w:val="13"/>
                <w:szCs w:val="13"/>
              </w:rPr>
              <w:t>8</w:t>
            </w:r>
          </w:p>
        </w:tc>
        <w:tc>
          <w:tcPr>
            <w:tcW w:w="450" w:type="dxa"/>
            <w:tcBorders>
              <w:bottom w:val="single" w:sz="4" w:space="0" w:color="auto"/>
            </w:tcBorders>
            <w:shd w:val="clear" w:color="auto" w:fill="FABF8F"/>
            <w:vAlign w:val="center"/>
          </w:tcPr>
          <w:p w:rsidR="001A63C6" w:rsidRPr="003410C7" w:rsidRDefault="001A63C6" w:rsidP="001A63C6">
            <w:pPr>
              <w:pStyle w:val="TableText"/>
              <w:widowControl w:val="0"/>
              <w:spacing w:after="120"/>
              <w:rPr>
                <w:rFonts w:ascii="Tahoma" w:hAnsi="Tahoma" w:cs="Tahoma"/>
                <w:sz w:val="13"/>
                <w:szCs w:val="13"/>
              </w:rPr>
            </w:pPr>
            <w:r w:rsidRPr="003410C7">
              <w:rPr>
                <w:rFonts w:ascii="Tahoma" w:hAnsi="Tahoma" w:cs="Tahoma"/>
                <w:sz w:val="13"/>
                <w:szCs w:val="13"/>
              </w:rPr>
              <w:t>8</w:t>
            </w:r>
          </w:p>
        </w:tc>
        <w:tc>
          <w:tcPr>
            <w:tcW w:w="450" w:type="dxa"/>
            <w:tcBorders>
              <w:bottom w:val="single" w:sz="4" w:space="0" w:color="auto"/>
            </w:tcBorders>
            <w:shd w:val="clear" w:color="auto" w:fill="FABF8F"/>
            <w:vAlign w:val="center"/>
          </w:tcPr>
          <w:p w:rsidR="001A63C6" w:rsidRPr="003410C7" w:rsidRDefault="001A63C6" w:rsidP="001A63C6">
            <w:pPr>
              <w:pStyle w:val="TableText"/>
              <w:widowControl w:val="0"/>
              <w:spacing w:after="120"/>
              <w:rPr>
                <w:rFonts w:ascii="Tahoma" w:hAnsi="Tahoma" w:cs="Tahoma"/>
                <w:sz w:val="13"/>
                <w:szCs w:val="13"/>
              </w:rPr>
            </w:pPr>
            <w:r w:rsidRPr="003410C7">
              <w:rPr>
                <w:rFonts w:ascii="Tahoma" w:hAnsi="Tahoma" w:cs="Tahoma"/>
                <w:sz w:val="13"/>
                <w:szCs w:val="13"/>
              </w:rPr>
              <w:t>5</w:t>
            </w:r>
          </w:p>
        </w:tc>
        <w:tc>
          <w:tcPr>
            <w:tcW w:w="360" w:type="dxa"/>
            <w:tcBorders>
              <w:bottom w:val="single" w:sz="4" w:space="0" w:color="auto"/>
              <w:right w:val="single" w:sz="18" w:space="0" w:color="auto"/>
            </w:tcBorders>
            <w:shd w:val="clear" w:color="auto" w:fill="FABF8F"/>
            <w:vAlign w:val="center"/>
          </w:tcPr>
          <w:p w:rsidR="001A63C6" w:rsidRPr="003410C7" w:rsidRDefault="001A63C6" w:rsidP="001A63C6">
            <w:pPr>
              <w:pStyle w:val="TableText"/>
              <w:widowControl w:val="0"/>
              <w:spacing w:after="120"/>
              <w:rPr>
                <w:rFonts w:ascii="Tahoma" w:hAnsi="Tahoma" w:cs="Tahoma"/>
                <w:sz w:val="13"/>
                <w:szCs w:val="13"/>
              </w:rPr>
            </w:pPr>
            <w:r w:rsidRPr="003410C7">
              <w:rPr>
                <w:rFonts w:ascii="Tahoma" w:hAnsi="Tahoma" w:cs="Tahoma"/>
                <w:sz w:val="13"/>
                <w:szCs w:val="13"/>
              </w:rPr>
              <w:t>3</w:t>
            </w:r>
          </w:p>
        </w:tc>
        <w:tc>
          <w:tcPr>
            <w:tcW w:w="450" w:type="dxa"/>
            <w:tcBorders>
              <w:left w:val="single" w:sz="18" w:space="0" w:color="auto"/>
              <w:bottom w:val="single" w:sz="4" w:space="0" w:color="auto"/>
            </w:tcBorders>
            <w:shd w:val="clear" w:color="auto" w:fill="FABF8F"/>
            <w:vAlign w:val="center"/>
          </w:tcPr>
          <w:p w:rsidR="001A63C6" w:rsidRPr="003410C7" w:rsidRDefault="001A63C6" w:rsidP="001A63C6">
            <w:pPr>
              <w:pStyle w:val="TableText"/>
              <w:widowControl w:val="0"/>
              <w:spacing w:after="120"/>
              <w:rPr>
                <w:rFonts w:ascii="Tahoma" w:hAnsi="Tahoma" w:cs="Tahoma"/>
                <w:sz w:val="13"/>
                <w:szCs w:val="13"/>
              </w:rPr>
            </w:pPr>
            <w:r w:rsidRPr="003410C7">
              <w:rPr>
                <w:rFonts w:ascii="Tahoma" w:hAnsi="Tahoma" w:cs="Tahoma"/>
                <w:sz w:val="13"/>
                <w:szCs w:val="13"/>
              </w:rPr>
              <w:t>5</w:t>
            </w:r>
          </w:p>
        </w:tc>
        <w:tc>
          <w:tcPr>
            <w:tcW w:w="450" w:type="dxa"/>
            <w:tcBorders>
              <w:bottom w:val="single" w:sz="4" w:space="0" w:color="auto"/>
            </w:tcBorders>
            <w:shd w:val="clear" w:color="auto" w:fill="FABF8F"/>
            <w:vAlign w:val="center"/>
          </w:tcPr>
          <w:p w:rsidR="001A63C6" w:rsidRPr="003410C7" w:rsidRDefault="001A63C6" w:rsidP="001A63C6">
            <w:pPr>
              <w:pStyle w:val="TableText"/>
              <w:widowControl w:val="0"/>
              <w:spacing w:after="120"/>
              <w:rPr>
                <w:rFonts w:ascii="Tahoma" w:hAnsi="Tahoma" w:cs="Tahoma"/>
                <w:sz w:val="13"/>
                <w:szCs w:val="13"/>
              </w:rPr>
            </w:pPr>
            <w:r w:rsidRPr="003410C7">
              <w:rPr>
                <w:rFonts w:ascii="Tahoma" w:hAnsi="Tahoma" w:cs="Tahoma"/>
                <w:sz w:val="13"/>
                <w:szCs w:val="13"/>
              </w:rPr>
              <w:t>10</w:t>
            </w:r>
          </w:p>
        </w:tc>
        <w:tc>
          <w:tcPr>
            <w:tcW w:w="450" w:type="dxa"/>
            <w:tcBorders>
              <w:bottom w:val="single" w:sz="4" w:space="0" w:color="auto"/>
              <w:right w:val="single" w:sz="18" w:space="0" w:color="auto"/>
            </w:tcBorders>
            <w:shd w:val="clear" w:color="auto" w:fill="FABF8F"/>
            <w:vAlign w:val="center"/>
          </w:tcPr>
          <w:p w:rsidR="001A63C6" w:rsidRPr="003410C7" w:rsidRDefault="001A63C6" w:rsidP="001A63C6">
            <w:pPr>
              <w:pStyle w:val="TableText"/>
              <w:widowControl w:val="0"/>
              <w:spacing w:after="120"/>
              <w:rPr>
                <w:rFonts w:ascii="Tahoma" w:hAnsi="Tahoma" w:cs="Tahoma"/>
                <w:sz w:val="13"/>
                <w:szCs w:val="13"/>
              </w:rPr>
            </w:pPr>
            <w:r w:rsidRPr="003410C7">
              <w:rPr>
                <w:rFonts w:ascii="Tahoma" w:hAnsi="Tahoma" w:cs="Tahoma"/>
                <w:sz w:val="13"/>
                <w:szCs w:val="13"/>
              </w:rPr>
              <w:t>5</w:t>
            </w:r>
          </w:p>
        </w:tc>
        <w:tc>
          <w:tcPr>
            <w:tcW w:w="450" w:type="dxa"/>
            <w:tcBorders>
              <w:left w:val="single" w:sz="18" w:space="0" w:color="auto"/>
              <w:bottom w:val="single" w:sz="4" w:space="0" w:color="auto"/>
            </w:tcBorders>
            <w:shd w:val="clear" w:color="auto" w:fill="FABF8F"/>
            <w:vAlign w:val="center"/>
          </w:tcPr>
          <w:p w:rsidR="001A63C6" w:rsidRPr="003410C7" w:rsidRDefault="001A63C6" w:rsidP="001A63C6">
            <w:pPr>
              <w:pStyle w:val="TableText"/>
              <w:widowControl w:val="0"/>
              <w:rPr>
                <w:rFonts w:ascii="Tahoma" w:hAnsi="Tahoma" w:cs="Tahoma"/>
                <w:sz w:val="13"/>
              </w:rPr>
            </w:pPr>
            <w:r w:rsidRPr="003410C7">
              <w:rPr>
                <w:rFonts w:ascii="Tahoma" w:hAnsi="Tahoma" w:cs="Tahoma"/>
                <w:sz w:val="13"/>
              </w:rPr>
              <w:t>5</w:t>
            </w:r>
          </w:p>
        </w:tc>
        <w:tc>
          <w:tcPr>
            <w:tcW w:w="450" w:type="dxa"/>
            <w:tcBorders>
              <w:bottom w:val="single" w:sz="4" w:space="0" w:color="auto"/>
              <w:right w:val="single" w:sz="18" w:space="0" w:color="auto"/>
            </w:tcBorders>
            <w:shd w:val="clear" w:color="auto" w:fill="FABF8F"/>
            <w:vAlign w:val="center"/>
          </w:tcPr>
          <w:p w:rsidR="001A63C6" w:rsidRPr="003410C7" w:rsidRDefault="001A63C6" w:rsidP="001A63C6">
            <w:pPr>
              <w:pStyle w:val="TableText"/>
              <w:widowControl w:val="0"/>
              <w:rPr>
                <w:rFonts w:ascii="Tahoma" w:hAnsi="Tahoma" w:cs="Tahoma"/>
                <w:sz w:val="13"/>
              </w:rPr>
            </w:pPr>
            <w:r w:rsidRPr="003410C7">
              <w:rPr>
                <w:rFonts w:ascii="Tahoma" w:hAnsi="Tahoma" w:cs="Tahoma"/>
                <w:sz w:val="13"/>
              </w:rPr>
              <w:t>A,S</w:t>
            </w: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3410C7" w:rsidRDefault="001A63C6" w:rsidP="001A63C6">
            <w:pPr>
              <w:pStyle w:val="TableText"/>
              <w:widowControl w:val="0"/>
              <w:rPr>
                <w:rFonts w:ascii="Tahoma" w:hAnsi="Tahoma" w:cs="Tahoma"/>
                <w:sz w:val="13"/>
              </w:rPr>
            </w:pPr>
            <w:r w:rsidRPr="003410C7">
              <w:rPr>
                <w:rFonts w:ascii="Tahoma" w:hAnsi="Tahoma" w:cs="Tahoma"/>
                <w:sz w:val="13"/>
              </w:rPr>
              <w:t>P</w:t>
            </w:r>
          </w:p>
        </w:tc>
        <w:tc>
          <w:tcPr>
            <w:tcW w:w="450" w:type="dxa"/>
            <w:tcBorders>
              <w:bottom w:val="single" w:sz="4" w:space="0" w:color="auto"/>
            </w:tcBorders>
            <w:shd w:val="clear" w:color="auto" w:fill="FABF8F"/>
            <w:vAlign w:val="center"/>
          </w:tcPr>
          <w:p w:rsidR="001A63C6" w:rsidRPr="003410C7" w:rsidRDefault="001A63C6" w:rsidP="001A63C6">
            <w:pPr>
              <w:pStyle w:val="TableText"/>
              <w:widowControl w:val="0"/>
              <w:rPr>
                <w:rFonts w:ascii="Tahoma" w:hAnsi="Tahoma" w:cs="Tahoma"/>
                <w:sz w:val="13"/>
              </w:rPr>
            </w:pPr>
            <w:r w:rsidRPr="003410C7">
              <w:rPr>
                <w:rFonts w:ascii="Tahoma" w:hAnsi="Tahoma" w:cs="Tahoma"/>
                <w:sz w:val="13"/>
              </w:rPr>
              <w:t>A</w:t>
            </w:r>
          </w:p>
        </w:tc>
        <w:tc>
          <w:tcPr>
            <w:tcW w:w="540" w:type="dxa"/>
            <w:tcBorders>
              <w:bottom w:val="single" w:sz="4" w:space="0" w:color="auto"/>
            </w:tcBorders>
            <w:shd w:val="clear" w:color="auto" w:fill="FABF8F"/>
            <w:vAlign w:val="center"/>
          </w:tcPr>
          <w:p w:rsidR="001A63C6" w:rsidRPr="003410C7" w:rsidRDefault="001A63C6" w:rsidP="001A63C6">
            <w:pPr>
              <w:pStyle w:val="TableText"/>
              <w:widowControl w:val="0"/>
              <w:rPr>
                <w:rFonts w:ascii="Tahoma" w:hAnsi="Tahoma" w:cs="Tahoma"/>
                <w:sz w:val="13"/>
              </w:rPr>
            </w:pPr>
          </w:p>
        </w:tc>
      </w:tr>
      <w:tr w:rsidR="001A63C6" w:rsidRPr="003410C7" w:rsidTr="007E466C">
        <w:trPr>
          <w:trHeight w:val="145"/>
        </w:trPr>
        <w:tc>
          <w:tcPr>
            <w:tcW w:w="2734" w:type="dxa"/>
            <w:gridSpan w:val="2"/>
            <w:tcBorders>
              <w:bottom w:val="single" w:sz="4" w:space="0" w:color="auto"/>
            </w:tcBorders>
            <w:shd w:val="clear" w:color="auto" w:fill="auto"/>
            <w:vAlign w:val="center"/>
          </w:tcPr>
          <w:p w:rsidR="001A63C6" w:rsidRPr="00451078" w:rsidRDefault="001A63C6" w:rsidP="003410C7">
            <w:pPr>
              <w:pStyle w:val="Heading2"/>
              <w:spacing w:beforeLines="20" w:before="48" w:afterLines="20" w:after="48"/>
              <w:ind w:left="0"/>
              <w:rPr>
                <w:rFonts w:ascii="Tahoma" w:hAnsi="Tahoma" w:cs="Tahoma"/>
                <w:b w:val="0"/>
                <w:sz w:val="14"/>
                <w:szCs w:val="14"/>
                <w:lang w:val="it-IT"/>
              </w:rPr>
            </w:pPr>
            <w:bookmarkStart w:id="504" w:name="_Toc254805933"/>
            <w:bookmarkStart w:id="505" w:name="_Toc336338110"/>
            <w:bookmarkStart w:id="506" w:name="_Toc352234709"/>
            <w:r w:rsidRPr="00451078">
              <w:rPr>
                <w:rFonts w:ascii="Tahoma" w:hAnsi="Tahoma" w:cs="Tahoma"/>
                <w:b w:val="0"/>
                <w:sz w:val="14"/>
                <w:szCs w:val="14"/>
                <w:lang w:val="it-IT"/>
              </w:rPr>
              <w:t>CAL per Dispositivo per Visual Studio</w:t>
            </w:r>
            <w:r w:rsidR="003410C7" w:rsidRPr="00451078">
              <w:rPr>
                <w:rFonts w:ascii="Tahoma" w:hAnsi="Tahoma" w:cs="Tahoma"/>
                <w:b w:val="0"/>
                <w:sz w:val="14"/>
                <w:szCs w:val="14"/>
                <w:vertAlign w:val="superscript"/>
                <w:lang w:val="it-IT"/>
              </w:rPr>
              <w:t>®</w:t>
            </w:r>
            <w:r w:rsidRPr="00451078">
              <w:rPr>
                <w:rFonts w:ascii="Tahoma" w:hAnsi="Tahoma" w:cs="Tahoma"/>
                <w:b w:val="0"/>
                <w:sz w:val="14"/>
                <w:szCs w:val="14"/>
                <w:lang w:val="it-IT"/>
              </w:rPr>
              <w:t xml:space="preserve"> Team Foundation Server 2012</w:t>
            </w:r>
            <w:bookmarkEnd w:id="504"/>
            <w:bookmarkEnd w:id="505"/>
            <w:bookmarkEnd w:id="506"/>
          </w:p>
        </w:tc>
        <w:tc>
          <w:tcPr>
            <w:tcW w:w="450" w:type="dxa"/>
            <w:tcBorders>
              <w:bottom w:val="single" w:sz="4" w:space="0" w:color="auto"/>
            </w:tcBorders>
            <w:shd w:val="clear" w:color="auto" w:fill="auto"/>
            <w:vAlign w:val="center"/>
          </w:tcPr>
          <w:p w:rsidR="001A63C6" w:rsidRPr="00451078" w:rsidRDefault="001A63C6" w:rsidP="001A63C6">
            <w:pPr>
              <w:pStyle w:val="TableText"/>
              <w:widowControl w:val="0"/>
              <w:rPr>
                <w:rStyle w:val="EndnoteReference"/>
                <w:sz w:val="13"/>
                <w:szCs w:val="13"/>
                <w:lang w:val="it-IT"/>
              </w:rPr>
            </w:pPr>
          </w:p>
        </w:tc>
        <w:tc>
          <w:tcPr>
            <w:tcW w:w="450" w:type="dxa"/>
            <w:tcBorders>
              <w:bottom w:val="single" w:sz="4" w:space="0" w:color="auto"/>
            </w:tcBorders>
            <w:shd w:val="clear" w:color="auto" w:fill="auto"/>
            <w:vAlign w:val="center"/>
          </w:tcPr>
          <w:p w:rsidR="001A63C6" w:rsidRPr="003410C7" w:rsidRDefault="001A63C6" w:rsidP="001A63C6">
            <w:pPr>
              <w:pStyle w:val="TableText"/>
              <w:widowControl w:val="0"/>
              <w:spacing w:before="80"/>
              <w:rPr>
                <w:rFonts w:ascii="Tahoma" w:hAnsi="Tahoma" w:cs="Tahoma"/>
                <w:sz w:val="13"/>
              </w:rPr>
            </w:pPr>
            <w:r w:rsidRPr="003410C7">
              <w:rPr>
                <w:rFonts w:ascii="Tahoma" w:hAnsi="Tahoma" w:cs="Tahoma"/>
                <w:sz w:val="13"/>
              </w:rPr>
              <w:t>09/12</w:t>
            </w:r>
          </w:p>
        </w:tc>
        <w:tc>
          <w:tcPr>
            <w:tcW w:w="360" w:type="dxa"/>
            <w:tcBorders>
              <w:bottom w:val="single" w:sz="4" w:space="0" w:color="auto"/>
              <w:right w:val="single" w:sz="18" w:space="0" w:color="auto"/>
            </w:tcBorders>
            <w:shd w:val="clear" w:color="auto" w:fill="auto"/>
            <w:vAlign w:val="center"/>
          </w:tcPr>
          <w:p w:rsidR="001A63C6" w:rsidRPr="003410C7" w:rsidRDefault="001A63C6" w:rsidP="001A63C6">
            <w:pPr>
              <w:pStyle w:val="TableText"/>
              <w:widowControl w:val="0"/>
              <w:rPr>
                <w:rFonts w:ascii="Tahoma" w:hAnsi="Tahoma" w:cs="Tahoma"/>
                <w:sz w:val="13"/>
              </w:rPr>
            </w:pPr>
            <w:r w:rsidRPr="003410C7">
              <w:rPr>
                <w:rFonts w:ascii="Tahoma" w:hAnsi="Tahoma" w:cs="Tahoma"/>
                <w:sz w:val="13"/>
              </w:rPr>
              <w:t>SRV</w:t>
            </w:r>
          </w:p>
        </w:tc>
        <w:tc>
          <w:tcPr>
            <w:tcW w:w="360" w:type="dxa"/>
            <w:tcBorders>
              <w:left w:val="single" w:sz="18" w:space="0" w:color="auto"/>
              <w:bottom w:val="single" w:sz="4" w:space="0" w:color="auto"/>
            </w:tcBorders>
            <w:shd w:val="clear" w:color="auto" w:fill="auto"/>
            <w:vAlign w:val="center"/>
          </w:tcPr>
          <w:p w:rsidR="001A63C6" w:rsidRPr="003410C7" w:rsidRDefault="001A63C6" w:rsidP="001A63C6">
            <w:pPr>
              <w:pStyle w:val="TableText"/>
              <w:widowControl w:val="0"/>
              <w:spacing w:after="120"/>
              <w:rPr>
                <w:rFonts w:ascii="Tahoma" w:hAnsi="Tahoma" w:cs="Tahoma"/>
                <w:sz w:val="13"/>
                <w:szCs w:val="13"/>
              </w:rPr>
            </w:pPr>
            <w:r w:rsidRPr="003410C7">
              <w:rPr>
                <w:rFonts w:ascii="Tahoma" w:hAnsi="Tahoma" w:cs="Tahoma"/>
                <w:sz w:val="13"/>
                <w:szCs w:val="13"/>
              </w:rPr>
              <w:t>5</w:t>
            </w:r>
          </w:p>
        </w:tc>
        <w:tc>
          <w:tcPr>
            <w:tcW w:w="450" w:type="dxa"/>
            <w:tcBorders>
              <w:bottom w:val="single" w:sz="4" w:space="0" w:color="auto"/>
            </w:tcBorders>
            <w:shd w:val="clear" w:color="auto" w:fill="auto"/>
            <w:vAlign w:val="center"/>
          </w:tcPr>
          <w:p w:rsidR="001A63C6" w:rsidRPr="003410C7" w:rsidRDefault="001A63C6" w:rsidP="001A63C6">
            <w:pPr>
              <w:pStyle w:val="TableText"/>
              <w:widowControl w:val="0"/>
              <w:spacing w:after="120"/>
              <w:rPr>
                <w:rFonts w:ascii="Tahoma" w:hAnsi="Tahoma" w:cs="Tahoma"/>
                <w:sz w:val="13"/>
                <w:szCs w:val="13"/>
              </w:rPr>
            </w:pPr>
            <w:r w:rsidRPr="003410C7">
              <w:rPr>
                <w:rFonts w:ascii="Tahoma" w:hAnsi="Tahoma" w:cs="Tahoma"/>
                <w:sz w:val="13"/>
                <w:szCs w:val="13"/>
              </w:rPr>
              <w:t>13</w:t>
            </w:r>
          </w:p>
        </w:tc>
        <w:tc>
          <w:tcPr>
            <w:tcW w:w="450" w:type="dxa"/>
            <w:tcBorders>
              <w:bottom w:val="single" w:sz="4" w:space="0" w:color="auto"/>
            </w:tcBorders>
            <w:shd w:val="clear" w:color="auto" w:fill="auto"/>
            <w:vAlign w:val="center"/>
          </w:tcPr>
          <w:p w:rsidR="001A63C6" w:rsidRPr="003410C7" w:rsidRDefault="001A63C6" w:rsidP="001A63C6">
            <w:pPr>
              <w:pStyle w:val="TableText"/>
              <w:widowControl w:val="0"/>
              <w:spacing w:after="120"/>
              <w:rPr>
                <w:rFonts w:ascii="Tahoma" w:hAnsi="Tahoma" w:cs="Tahoma"/>
                <w:sz w:val="13"/>
                <w:szCs w:val="13"/>
              </w:rPr>
            </w:pPr>
            <w:r w:rsidRPr="003410C7">
              <w:rPr>
                <w:rFonts w:ascii="Tahoma" w:hAnsi="Tahoma" w:cs="Tahoma"/>
                <w:sz w:val="13"/>
                <w:szCs w:val="13"/>
              </w:rPr>
              <w:t>10</w:t>
            </w:r>
          </w:p>
        </w:tc>
        <w:tc>
          <w:tcPr>
            <w:tcW w:w="450" w:type="dxa"/>
            <w:tcBorders>
              <w:bottom w:val="single" w:sz="4" w:space="0" w:color="auto"/>
            </w:tcBorders>
            <w:shd w:val="clear" w:color="auto" w:fill="auto"/>
            <w:vAlign w:val="center"/>
          </w:tcPr>
          <w:p w:rsidR="001A63C6" w:rsidRPr="003410C7" w:rsidRDefault="001A63C6" w:rsidP="001A63C6">
            <w:pPr>
              <w:pStyle w:val="TableText"/>
              <w:widowControl w:val="0"/>
              <w:spacing w:after="120"/>
              <w:rPr>
                <w:rFonts w:ascii="Tahoma" w:hAnsi="Tahoma" w:cs="Tahoma"/>
                <w:sz w:val="13"/>
                <w:szCs w:val="13"/>
              </w:rPr>
            </w:pPr>
            <w:r w:rsidRPr="003410C7">
              <w:rPr>
                <w:rFonts w:ascii="Tahoma" w:hAnsi="Tahoma" w:cs="Tahoma"/>
                <w:sz w:val="13"/>
                <w:szCs w:val="13"/>
              </w:rPr>
              <w:t>8</w:t>
            </w:r>
          </w:p>
        </w:tc>
        <w:tc>
          <w:tcPr>
            <w:tcW w:w="450" w:type="dxa"/>
            <w:tcBorders>
              <w:bottom w:val="single" w:sz="4" w:space="0" w:color="auto"/>
            </w:tcBorders>
            <w:shd w:val="clear" w:color="auto" w:fill="auto"/>
            <w:vAlign w:val="center"/>
          </w:tcPr>
          <w:p w:rsidR="001A63C6" w:rsidRPr="003410C7" w:rsidRDefault="001A63C6" w:rsidP="001A63C6">
            <w:pPr>
              <w:pStyle w:val="TableText"/>
              <w:widowControl w:val="0"/>
              <w:spacing w:after="120"/>
              <w:rPr>
                <w:rFonts w:ascii="Tahoma" w:hAnsi="Tahoma" w:cs="Tahoma"/>
                <w:sz w:val="13"/>
                <w:szCs w:val="13"/>
              </w:rPr>
            </w:pPr>
            <w:r w:rsidRPr="003410C7">
              <w:rPr>
                <w:rFonts w:ascii="Tahoma" w:hAnsi="Tahoma" w:cs="Tahoma"/>
                <w:sz w:val="13"/>
                <w:szCs w:val="13"/>
              </w:rPr>
              <w:t>8</w:t>
            </w:r>
          </w:p>
        </w:tc>
        <w:tc>
          <w:tcPr>
            <w:tcW w:w="450" w:type="dxa"/>
            <w:tcBorders>
              <w:bottom w:val="single" w:sz="4" w:space="0" w:color="auto"/>
            </w:tcBorders>
            <w:shd w:val="clear" w:color="auto" w:fill="auto"/>
            <w:vAlign w:val="center"/>
          </w:tcPr>
          <w:p w:rsidR="001A63C6" w:rsidRPr="003410C7" w:rsidRDefault="001A63C6" w:rsidP="001A63C6">
            <w:pPr>
              <w:pStyle w:val="TableText"/>
              <w:widowControl w:val="0"/>
              <w:spacing w:after="120"/>
              <w:rPr>
                <w:rFonts w:ascii="Tahoma" w:hAnsi="Tahoma" w:cs="Tahoma"/>
                <w:sz w:val="13"/>
                <w:szCs w:val="13"/>
              </w:rPr>
            </w:pPr>
            <w:r w:rsidRPr="003410C7">
              <w:rPr>
                <w:rFonts w:ascii="Tahoma" w:hAnsi="Tahoma" w:cs="Tahoma"/>
                <w:sz w:val="13"/>
                <w:szCs w:val="13"/>
              </w:rPr>
              <w:t>5</w:t>
            </w:r>
          </w:p>
        </w:tc>
        <w:tc>
          <w:tcPr>
            <w:tcW w:w="360" w:type="dxa"/>
            <w:tcBorders>
              <w:bottom w:val="single" w:sz="4" w:space="0" w:color="auto"/>
              <w:right w:val="single" w:sz="18" w:space="0" w:color="auto"/>
            </w:tcBorders>
            <w:shd w:val="clear" w:color="auto" w:fill="auto"/>
            <w:vAlign w:val="center"/>
          </w:tcPr>
          <w:p w:rsidR="001A63C6" w:rsidRPr="003410C7" w:rsidRDefault="001A63C6" w:rsidP="001A63C6">
            <w:pPr>
              <w:pStyle w:val="TableText"/>
              <w:widowControl w:val="0"/>
              <w:spacing w:after="120"/>
              <w:rPr>
                <w:rFonts w:ascii="Tahoma" w:hAnsi="Tahoma" w:cs="Tahoma"/>
                <w:sz w:val="13"/>
                <w:szCs w:val="13"/>
              </w:rPr>
            </w:pPr>
            <w:r w:rsidRPr="003410C7">
              <w:rPr>
                <w:rFonts w:ascii="Tahoma" w:hAnsi="Tahoma" w:cs="Tahoma"/>
                <w:sz w:val="13"/>
                <w:szCs w:val="13"/>
              </w:rPr>
              <w:t>3</w:t>
            </w:r>
          </w:p>
        </w:tc>
        <w:tc>
          <w:tcPr>
            <w:tcW w:w="450" w:type="dxa"/>
            <w:tcBorders>
              <w:left w:val="single" w:sz="18" w:space="0" w:color="auto"/>
              <w:bottom w:val="single" w:sz="4" w:space="0" w:color="auto"/>
            </w:tcBorders>
            <w:shd w:val="clear" w:color="auto" w:fill="auto"/>
            <w:vAlign w:val="center"/>
          </w:tcPr>
          <w:p w:rsidR="001A63C6" w:rsidRPr="003410C7" w:rsidRDefault="001A63C6" w:rsidP="001A63C6">
            <w:pPr>
              <w:pStyle w:val="TableText"/>
              <w:widowControl w:val="0"/>
              <w:spacing w:after="120"/>
              <w:rPr>
                <w:rFonts w:ascii="Tahoma" w:hAnsi="Tahoma" w:cs="Tahoma"/>
                <w:sz w:val="13"/>
                <w:szCs w:val="13"/>
              </w:rPr>
            </w:pPr>
            <w:r w:rsidRPr="003410C7">
              <w:rPr>
                <w:rFonts w:ascii="Tahoma" w:hAnsi="Tahoma" w:cs="Tahoma"/>
                <w:sz w:val="13"/>
                <w:szCs w:val="13"/>
              </w:rPr>
              <w:t>5</w:t>
            </w:r>
          </w:p>
        </w:tc>
        <w:tc>
          <w:tcPr>
            <w:tcW w:w="450" w:type="dxa"/>
            <w:tcBorders>
              <w:bottom w:val="single" w:sz="4" w:space="0" w:color="auto"/>
            </w:tcBorders>
            <w:shd w:val="clear" w:color="auto" w:fill="auto"/>
            <w:vAlign w:val="center"/>
          </w:tcPr>
          <w:p w:rsidR="001A63C6" w:rsidRPr="003410C7" w:rsidRDefault="001A63C6" w:rsidP="001A63C6">
            <w:pPr>
              <w:pStyle w:val="TableText"/>
              <w:widowControl w:val="0"/>
              <w:spacing w:after="120"/>
              <w:rPr>
                <w:rFonts w:ascii="Tahoma" w:hAnsi="Tahoma" w:cs="Tahoma"/>
                <w:sz w:val="13"/>
                <w:szCs w:val="13"/>
              </w:rPr>
            </w:pPr>
            <w:r w:rsidRPr="003410C7">
              <w:rPr>
                <w:rFonts w:ascii="Tahoma" w:hAnsi="Tahoma" w:cs="Tahoma"/>
                <w:sz w:val="13"/>
                <w:szCs w:val="13"/>
              </w:rPr>
              <w:t>10</w:t>
            </w:r>
          </w:p>
        </w:tc>
        <w:tc>
          <w:tcPr>
            <w:tcW w:w="450" w:type="dxa"/>
            <w:tcBorders>
              <w:bottom w:val="single" w:sz="4" w:space="0" w:color="auto"/>
              <w:right w:val="single" w:sz="18" w:space="0" w:color="auto"/>
            </w:tcBorders>
            <w:shd w:val="clear" w:color="auto" w:fill="auto"/>
            <w:vAlign w:val="center"/>
          </w:tcPr>
          <w:p w:rsidR="001A63C6" w:rsidRPr="003410C7" w:rsidRDefault="001A63C6" w:rsidP="001A63C6">
            <w:pPr>
              <w:pStyle w:val="TableText"/>
              <w:widowControl w:val="0"/>
              <w:spacing w:after="120"/>
              <w:rPr>
                <w:rFonts w:ascii="Tahoma" w:hAnsi="Tahoma" w:cs="Tahoma"/>
                <w:sz w:val="13"/>
                <w:szCs w:val="13"/>
              </w:rPr>
            </w:pPr>
            <w:r w:rsidRPr="003410C7">
              <w:rPr>
                <w:rFonts w:ascii="Tahoma" w:hAnsi="Tahoma" w:cs="Tahoma"/>
                <w:sz w:val="13"/>
                <w:szCs w:val="13"/>
              </w:rPr>
              <w:t>5</w:t>
            </w:r>
          </w:p>
        </w:tc>
        <w:tc>
          <w:tcPr>
            <w:tcW w:w="450" w:type="dxa"/>
            <w:tcBorders>
              <w:left w:val="single" w:sz="18" w:space="0" w:color="auto"/>
              <w:bottom w:val="single" w:sz="4" w:space="0" w:color="auto"/>
            </w:tcBorders>
            <w:shd w:val="clear" w:color="auto" w:fill="auto"/>
            <w:vAlign w:val="center"/>
          </w:tcPr>
          <w:p w:rsidR="001A63C6" w:rsidRPr="003410C7" w:rsidRDefault="001A63C6" w:rsidP="001A63C6">
            <w:pPr>
              <w:pStyle w:val="TableText"/>
              <w:widowControl w:val="0"/>
              <w:rPr>
                <w:rFonts w:ascii="Tahoma" w:hAnsi="Tahoma" w:cs="Tahoma"/>
                <w:sz w:val="13"/>
              </w:rPr>
            </w:pPr>
            <w:r w:rsidRPr="003410C7">
              <w:rPr>
                <w:rFonts w:ascii="Tahoma" w:hAnsi="Tahoma" w:cs="Tahoma"/>
                <w:sz w:val="13"/>
              </w:rPr>
              <w:t>5</w:t>
            </w:r>
          </w:p>
        </w:tc>
        <w:tc>
          <w:tcPr>
            <w:tcW w:w="450" w:type="dxa"/>
            <w:tcBorders>
              <w:bottom w:val="single" w:sz="4" w:space="0" w:color="auto"/>
              <w:right w:val="single" w:sz="18" w:space="0" w:color="auto"/>
            </w:tcBorders>
            <w:shd w:val="clear" w:color="auto" w:fill="auto"/>
            <w:vAlign w:val="center"/>
          </w:tcPr>
          <w:p w:rsidR="001A63C6" w:rsidRPr="003410C7" w:rsidRDefault="001A63C6" w:rsidP="001A63C6">
            <w:pPr>
              <w:pStyle w:val="TableText"/>
              <w:widowControl w:val="0"/>
              <w:rPr>
                <w:rFonts w:ascii="Tahoma" w:hAnsi="Tahoma" w:cs="Tahoma"/>
                <w:sz w:val="13"/>
              </w:rPr>
            </w:pPr>
            <w:r w:rsidRPr="003410C7">
              <w:rPr>
                <w:rFonts w:ascii="Tahoma" w:hAnsi="Tahoma" w:cs="Tahoma"/>
                <w:sz w:val="13"/>
              </w:rPr>
              <w:t>A,S</w:t>
            </w:r>
          </w:p>
        </w:tc>
        <w:tc>
          <w:tcPr>
            <w:tcW w:w="450" w:type="dxa"/>
            <w:tcBorders>
              <w:left w:val="single" w:sz="18" w:space="0" w:color="auto"/>
              <w:bottom w:val="single" w:sz="4" w:space="0" w:color="auto"/>
              <w:right w:val="single" w:sz="18" w:space="0" w:color="auto"/>
            </w:tcBorders>
            <w:shd w:val="clear" w:color="auto" w:fill="auto"/>
            <w:vAlign w:val="center"/>
          </w:tcPr>
          <w:p w:rsidR="001A63C6" w:rsidRPr="003410C7" w:rsidRDefault="001A63C6" w:rsidP="001A63C6">
            <w:pPr>
              <w:pStyle w:val="TableText"/>
              <w:widowControl w:val="0"/>
              <w:rPr>
                <w:rFonts w:ascii="Tahoma" w:hAnsi="Tahoma" w:cs="Tahoma"/>
                <w:sz w:val="13"/>
              </w:rPr>
            </w:pPr>
            <w:r w:rsidRPr="003410C7">
              <w:rPr>
                <w:rFonts w:ascii="Tahoma" w:hAnsi="Tahoma" w:cs="Tahoma"/>
                <w:sz w:val="13"/>
              </w:rPr>
              <w:t>P</w:t>
            </w:r>
          </w:p>
        </w:tc>
        <w:tc>
          <w:tcPr>
            <w:tcW w:w="450" w:type="dxa"/>
            <w:tcBorders>
              <w:bottom w:val="single" w:sz="4" w:space="0" w:color="auto"/>
            </w:tcBorders>
            <w:shd w:val="clear" w:color="auto" w:fill="auto"/>
            <w:vAlign w:val="center"/>
          </w:tcPr>
          <w:p w:rsidR="001A63C6" w:rsidRPr="003410C7" w:rsidRDefault="001A63C6" w:rsidP="001A63C6">
            <w:pPr>
              <w:pStyle w:val="TableText"/>
              <w:widowControl w:val="0"/>
              <w:rPr>
                <w:rFonts w:ascii="Tahoma" w:hAnsi="Tahoma" w:cs="Tahoma"/>
                <w:sz w:val="13"/>
              </w:rPr>
            </w:pPr>
            <w:r w:rsidRPr="003410C7">
              <w:rPr>
                <w:rFonts w:ascii="Tahoma" w:hAnsi="Tahoma" w:cs="Tahoma"/>
                <w:sz w:val="13"/>
              </w:rPr>
              <w:t>A</w:t>
            </w:r>
          </w:p>
        </w:tc>
        <w:tc>
          <w:tcPr>
            <w:tcW w:w="540" w:type="dxa"/>
            <w:tcBorders>
              <w:bottom w:val="single" w:sz="4" w:space="0" w:color="auto"/>
            </w:tcBorders>
            <w:shd w:val="clear" w:color="auto" w:fill="auto"/>
            <w:vAlign w:val="center"/>
          </w:tcPr>
          <w:p w:rsidR="001A63C6" w:rsidRPr="003410C7" w:rsidRDefault="001A63C6" w:rsidP="001A63C6">
            <w:pPr>
              <w:pStyle w:val="TableText"/>
              <w:widowControl w:val="0"/>
              <w:rPr>
                <w:rFonts w:ascii="Tahoma" w:hAnsi="Tahoma" w:cs="Tahoma"/>
                <w:sz w:val="13"/>
              </w:rPr>
            </w:pPr>
          </w:p>
        </w:tc>
      </w:tr>
      <w:tr w:rsidR="006B1F3F" w:rsidRPr="003410C7" w:rsidTr="006B1F3F">
        <w:trPr>
          <w:trHeight w:val="145"/>
        </w:trPr>
        <w:tc>
          <w:tcPr>
            <w:tcW w:w="2734" w:type="dxa"/>
            <w:gridSpan w:val="2"/>
            <w:tcBorders>
              <w:bottom w:val="single" w:sz="4" w:space="0" w:color="auto"/>
            </w:tcBorders>
            <w:shd w:val="clear" w:color="auto" w:fill="FABF8F"/>
            <w:vAlign w:val="center"/>
          </w:tcPr>
          <w:p w:rsidR="001A63C6" w:rsidRPr="003410C7" w:rsidRDefault="001A63C6" w:rsidP="003410C7">
            <w:pPr>
              <w:pStyle w:val="Heading2"/>
              <w:spacing w:beforeLines="20" w:before="48" w:afterLines="20" w:after="48"/>
              <w:ind w:left="0"/>
              <w:rPr>
                <w:rFonts w:ascii="Tahoma" w:hAnsi="Tahoma" w:cs="Tahoma"/>
                <w:b w:val="0"/>
                <w:sz w:val="14"/>
                <w:szCs w:val="14"/>
              </w:rPr>
            </w:pPr>
            <w:bookmarkStart w:id="507" w:name="_Toc254805934"/>
            <w:bookmarkStart w:id="508" w:name="_Toc336338111"/>
            <w:bookmarkStart w:id="509" w:name="_Toc352234710"/>
            <w:r w:rsidRPr="003410C7">
              <w:rPr>
                <w:rFonts w:ascii="Tahoma" w:hAnsi="Tahoma" w:cs="Tahoma"/>
                <w:b w:val="0"/>
                <w:sz w:val="14"/>
                <w:szCs w:val="14"/>
              </w:rPr>
              <w:t>User CAL per Visual Studio</w:t>
            </w:r>
            <w:r w:rsidR="003410C7" w:rsidRPr="003410C7">
              <w:rPr>
                <w:rFonts w:ascii="Tahoma" w:hAnsi="Tahoma" w:cs="Tahoma"/>
                <w:b w:val="0"/>
                <w:sz w:val="14"/>
                <w:szCs w:val="14"/>
                <w:vertAlign w:val="superscript"/>
              </w:rPr>
              <w:t>®</w:t>
            </w:r>
            <w:r w:rsidRPr="003410C7">
              <w:rPr>
                <w:rFonts w:ascii="Tahoma" w:hAnsi="Tahoma" w:cs="Tahoma"/>
                <w:b w:val="0"/>
                <w:sz w:val="14"/>
                <w:szCs w:val="14"/>
              </w:rPr>
              <w:t xml:space="preserve"> Team Foundation Server 2012</w:t>
            </w:r>
            <w:bookmarkEnd w:id="507"/>
            <w:bookmarkEnd w:id="508"/>
            <w:bookmarkEnd w:id="509"/>
          </w:p>
        </w:tc>
        <w:tc>
          <w:tcPr>
            <w:tcW w:w="450" w:type="dxa"/>
            <w:tcBorders>
              <w:bottom w:val="single" w:sz="4" w:space="0" w:color="auto"/>
            </w:tcBorders>
            <w:shd w:val="clear" w:color="auto" w:fill="FABF8F"/>
            <w:vAlign w:val="center"/>
          </w:tcPr>
          <w:p w:rsidR="001A63C6" w:rsidRPr="009F17FF" w:rsidRDefault="001A63C6" w:rsidP="001A63C6">
            <w:pPr>
              <w:pStyle w:val="TableText"/>
              <w:widowControl w:val="0"/>
              <w:rPr>
                <w:rStyle w:val="EndnoteReference"/>
                <w:sz w:val="13"/>
                <w:szCs w:val="13"/>
              </w:rPr>
            </w:pPr>
          </w:p>
        </w:tc>
        <w:tc>
          <w:tcPr>
            <w:tcW w:w="450" w:type="dxa"/>
            <w:tcBorders>
              <w:bottom w:val="single" w:sz="4" w:space="0" w:color="auto"/>
            </w:tcBorders>
            <w:shd w:val="clear" w:color="auto" w:fill="FABF8F"/>
            <w:vAlign w:val="center"/>
          </w:tcPr>
          <w:p w:rsidR="001A63C6" w:rsidRPr="003410C7" w:rsidRDefault="001A63C6" w:rsidP="001A63C6">
            <w:pPr>
              <w:pStyle w:val="TableText"/>
              <w:widowControl w:val="0"/>
              <w:spacing w:before="80"/>
              <w:rPr>
                <w:rFonts w:ascii="Tahoma" w:hAnsi="Tahoma" w:cs="Tahoma"/>
                <w:sz w:val="13"/>
              </w:rPr>
            </w:pPr>
            <w:r w:rsidRPr="003410C7">
              <w:rPr>
                <w:rFonts w:ascii="Tahoma" w:hAnsi="Tahoma" w:cs="Tahoma"/>
                <w:sz w:val="13"/>
              </w:rPr>
              <w:t>09/12</w:t>
            </w:r>
          </w:p>
        </w:tc>
        <w:tc>
          <w:tcPr>
            <w:tcW w:w="360" w:type="dxa"/>
            <w:tcBorders>
              <w:bottom w:val="single" w:sz="4" w:space="0" w:color="auto"/>
              <w:right w:val="single" w:sz="18" w:space="0" w:color="auto"/>
            </w:tcBorders>
            <w:shd w:val="clear" w:color="auto" w:fill="FABF8F"/>
            <w:vAlign w:val="center"/>
          </w:tcPr>
          <w:p w:rsidR="001A63C6" w:rsidRPr="003410C7" w:rsidRDefault="001A63C6" w:rsidP="001A63C6">
            <w:pPr>
              <w:pStyle w:val="TableText"/>
              <w:widowControl w:val="0"/>
              <w:rPr>
                <w:rFonts w:ascii="Tahoma" w:hAnsi="Tahoma" w:cs="Tahoma"/>
                <w:sz w:val="13"/>
              </w:rPr>
            </w:pPr>
            <w:r w:rsidRPr="003410C7">
              <w:rPr>
                <w:rFonts w:ascii="Tahoma" w:hAnsi="Tahoma" w:cs="Tahoma"/>
                <w:sz w:val="13"/>
              </w:rPr>
              <w:t>SRV</w:t>
            </w:r>
          </w:p>
        </w:tc>
        <w:tc>
          <w:tcPr>
            <w:tcW w:w="360" w:type="dxa"/>
            <w:tcBorders>
              <w:left w:val="single" w:sz="18" w:space="0" w:color="auto"/>
              <w:bottom w:val="single" w:sz="4" w:space="0" w:color="auto"/>
            </w:tcBorders>
            <w:shd w:val="clear" w:color="auto" w:fill="FABF8F"/>
            <w:vAlign w:val="center"/>
          </w:tcPr>
          <w:p w:rsidR="001A63C6" w:rsidRPr="003410C7" w:rsidRDefault="001A63C6" w:rsidP="001A63C6">
            <w:pPr>
              <w:pStyle w:val="TableText"/>
              <w:widowControl w:val="0"/>
              <w:spacing w:after="120"/>
              <w:rPr>
                <w:rFonts w:ascii="Tahoma" w:hAnsi="Tahoma" w:cs="Tahoma"/>
                <w:sz w:val="13"/>
                <w:szCs w:val="13"/>
              </w:rPr>
            </w:pPr>
            <w:r w:rsidRPr="003410C7">
              <w:rPr>
                <w:rFonts w:ascii="Tahoma" w:hAnsi="Tahoma" w:cs="Tahoma"/>
                <w:sz w:val="13"/>
                <w:szCs w:val="13"/>
              </w:rPr>
              <w:t>5</w:t>
            </w:r>
          </w:p>
        </w:tc>
        <w:tc>
          <w:tcPr>
            <w:tcW w:w="450" w:type="dxa"/>
            <w:tcBorders>
              <w:bottom w:val="single" w:sz="4" w:space="0" w:color="auto"/>
            </w:tcBorders>
            <w:shd w:val="clear" w:color="auto" w:fill="FABF8F"/>
            <w:vAlign w:val="center"/>
          </w:tcPr>
          <w:p w:rsidR="001A63C6" w:rsidRPr="003410C7" w:rsidRDefault="001A63C6" w:rsidP="001A63C6">
            <w:pPr>
              <w:pStyle w:val="TableText"/>
              <w:widowControl w:val="0"/>
              <w:spacing w:after="120"/>
              <w:rPr>
                <w:rFonts w:ascii="Tahoma" w:hAnsi="Tahoma" w:cs="Tahoma"/>
                <w:sz w:val="13"/>
                <w:szCs w:val="13"/>
              </w:rPr>
            </w:pPr>
            <w:r w:rsidRPr="003410C7">
              <w:rPr>
                <w:rFonts w:ascii="Tahoma" w:hAnsi="Tahoma" w:cs="Tahoma"/>
                <w:sz w:val="13"/>
                <w:szCs w:val="13"/>
              </w:rPr>
              <w:t>13</w:t>
            </w:r>
          </w:p>
        </w:tc>
        <w:tc>
          <w:tcPr>
            <w:tcW w:w="450" w:type="dxa"/>
            <w:tcBorders>
              <w:bottom w:val="single" w:sz="4" w:space="0" w:color="auto"/>
            </w:tcBorders>
            <w:shd w:val="clear" w:color="auto" w:fill="FABF8F"/>
            <w:vAlign w:val="center"/>
          </w:tcPr>
          <w:p w:rsidR="001A63C6" w:rsidRPr="003410C7" w:rsidRDefault="001A63C6" w:rsidP="001A63C6">
            <w:pPr>
              <w:pStyle w:val="TableText"/>
              <w:widowControl w:val="0"/>
              <w:spacing w:after="120"/>
              <w:rPr>
                <w:rFonts w:ascii="Tahoma" w:hAnsi="Tahoma" w:cs="Tahoma"/>
                <w:sz w:val="13"/>
                <w:szCs w:val="13"/>
              </w:rPr>
            </w:pPr>
            <w:r w:rsidRPr="003410C7">
              <w:rPr>
                <w:rFonts w:ascii="Tahoma" w:hAnsi="Tahoma" w:cs="Tahoma"/>
                <w:sz w:val="13"/>
                <w:szCs w:val="13"/>
              </w:rPr>
              <w:t>10</w:t>
            </w:r>
          </w:p>
        </w:tc>
        <w:tc>
          <w:tcPr>
            <w:tcW w:w="450" w:type="dxa"/>
            <w:tcBorders>
              <w:bottom w:val="single" w:sz="4" w:space="0" w:color="auto"/>
            </w:tcBorders>
            <w:shd w:val="clear" w:color="auto" w:fill="FABF8F"/>
            <w:vAlign w:val="center"/>
          </w:tcPr>
          <w:p w:rsidR="001A63C6" w:rsidRPr="003410C7" w:rsidRDefault="001A63C6" w:rsidP="001A63C6">
            <w:pPr>
              <w:pStyle w:val="TableText"/>
              <w:widowControl w:val="0"/>
              <w:spacing w:after="120"/>
              <w:rPr>
                <w:rFonts w:ascii="Tahoma" w:hAnsi="Tahoma" w:cs="Tahoma"/>
                <w:sz w:val="13"/>
                <w:szCs w:val="13"/>
              </w:rPr>
            </w:pPr>
            <w:r w:rsidRPr="003410C7">
              <w:rPr>
                <w:rFonts w:ascii="Tahoma" w:hAnsi="Tahoma" w:cs="Tahoma"/>
                <w:sz w:val="13"/>
                <w:szCs w:val="13"/>
              </w:rPr>
              <w:t>8</w:t>
            </w:r>
          </w:p>
        </w:tc>
        <w:tc>
          <w:tcPr>
            <w:tcW w:w="450" w:type="dxa"/>
            <w:tcBorders>
              <w:bottom w:val="single" w:sz="4" w:space="0" w:color="auto"/>
            </w:tcBorders>
            <w:shd w:val="clear" w:color="auto" w:fill="FABF8F"/>
            <w:vAlign w:val="center"/>
          </w:tcPr>
          <w:p w:rsidR="001A63C6" w:rsidRPr="003410C7" w:rsidRDefault="001A63C6" w:rsidP="001A63C6">
            <w:pPr>
              <w:pStyle w:val="TableText"/>
              <w:widowControl w:val="0"/>
              <w:spacing w:after="120"/>
              <w:rPr>
                <w:rFonts w:ascii="Tahoma" w:hAnsi="Tahoma" w:cs="Tahoma"/>
                <w:sz w:val="13"/>
                <w:szCs w:val="13"/>
              </w:rPr>
            </w:pPr>
            <w:r w:rsidRPr="003410C7">
              <w:rPr>
                <w:rFonts w:ascii="Tahoma" w:hAnsi="Tahoma" w:cs="Tahoma"/>
                <w:sz w:val="13"/>
                <w:szCs w:val="13"/>
              </w:rPr>
              <w:t>8</w:t>
            </w:r>
          </w:p>
        </w:tc>
        <w:tc>
          <w:tcPr>
            <w:tcW w:w="450" w:type="dxa"/>
            <w:tcBorders>
              <w:bottom w:val="single" w:sz="4" w:space="0" w:color="auto"/>
            </w:tcBorders>
            <w:shd w:val="clear" w:color="auto" w:fill="FABF8F"/>
            <w:vAlign w:val="center"/>
          </w:tcPr>
          <w:p w:rsidR="001A63C6" w:rsidRPr="003410C7" w:rsidRDefault="001A63C6" w:rsidP="001A63C6">
            <w:pPr>
              <w:pStyle w:val="TableText"/>
              <w:widowControl w:val="0"/>
              <w:spacing w:after="120"/>
              <w:rPr>
                <w:rFonts w:ascii="Tahoma" w:hAnsi="Tahoma" w:cs="Tahoma"/>
                <w:sz w:val="13"/>
                <w:szCs w:val="13"/>
              </w:rPr>
            </w:pPr>
            <w:r w:rsidRPr="003410C7">
              <w:rPr>
                <w:rFonts w:ascii="Tahoma" w:hAnsi="Tahoma" w:cs="Tahoma"/>
                <w:sz w:val="13"/>
                <w:szCs w:val="13"/>
              </w:rPr>
              <w:t>5</w:t>
            </w:r>
          </w:p>
        </w:tc>
        <w:tc>
          <w:tcPr>
            <w:tcW w:w="360" w:type="dxa"/>
            <w:tcBorders>
              <w:bottom w:val="single" w:sz="4" w:space="0" w:color="auto"/>
              <w:right w:val="single" w:sz="18" w:space="0" w:color="auto"/>
            </w:tcBorders>
            <w:shd w:val="clear" w:color="auto" w:fill="FABF8F"/>
            <w:vAlign w:val="center"/>
          </w:tcPr>
          <w:p w:rsidR="001A63C6" w:rsidRPr="003410C7" w:rsidRDefault="001A63C6" w:rsidP="001A63C6">
            <w:pPr>
              <w:pStyle w:val="TableText"/>
              <w:widowControl w:val="0"/>
              <w:spacing w:after="120"/>
              <w:rPr>
                <w:rFonts w:ascii="Tahoma" w:hAnsi="Tahoma" w:cs="Tahoma"/>
                <w:sz w:val="13"/>
                <w:szCs w:val="13"/>
              </w:rPr>
            </w:pPr>
            <w:r w:rsidRPr="003410C7">
              <w:rPr>
                <w:rFonts w:ascii="Tahoma" w:hAnsi="Tahoma" w:cs="Tahoma"/>
                <w:sz w:val="13"/>
                <w:szCs w:val="13"/>
              </w:rPr>
              <w:t>3</w:t>
            </w:r>
          </w:p>
        </w:tc>
        <w:tc>
          <w:tcPr>
            <w:tcW w:w="450" w:type="dxa"/>
            <w:tcBorders>
              <w:left w:val="single" w:sz="18" w:space="0" w:color="auto"/>
              <w:bottom w:val="single" w:sz="4" w:space="0" w:color="auto"/>
            </w:tcBorders>
            <w:shd w:val="clear" w:color="auto" w:fill="FABF8F"/>
            <w:vAlign w:val="center"/>
          </w:tcPr>
          <w:p w:rsidR="001A63C6" w:rsidRPr="003410C7" w:rsidRDefault="001A63C6" w:rsidP="001A63C6">
            <w:pPr>
              <w:pStyle w:val="TableText"/>
              <w:widowControl w:val="0"/>
              <w:spacing w:after="120"/>
              <w:rPr>
                <w:rFonts w:ascii="Tahoma" w:hAnsi="Tahoma" w:cs="Tahoma"/>
                <w:sz w:val="13"/>
                <w:szCs w:val="13"/>
              </w:rPr>
            </w:pPr>
            <w:r w:rsidRPr="003410C7">
              <w:rPr>
                <w:rFonts w:ascii="Tahoma" w:hAnsi="Tahoma" w:cs="Tahoma"/>
                <w:sz w:val="13"/>
                <w:szCs w:val="13"/>
              </w:rPr>
              <w:t>5</w:t>
            </w:r>
          </w:p>
        </w:tc>
        <w:tc>
          <w:tcPr>
            <w:tcW w:w="450" w:type="dxa"/>
            <w:tcBorders>
              <w:bottom w:val="single" w:sz="4" w:space="0" w:color="auto"/>
            </w:tcBorders>
            <w:shd w:val="clear" w:color="auto" w:fill="FABF8F"/>
            <w:vAlign w:val="center"/>
          </w:tcPr>
          <w:p w:rsidR="001A63C6" w:rsidRPr="003410C7" w:rsidRDefault="001A63C6" w:rsidP="001A63C6">
            <w:pPr>
              <w:pStyle w:val="TableText"/>
              <w:widowControl w:val="0"/>
              <w:spacing w:after="120"/>
              <w:rPr>
                <w:rFonts w:ascii="Tahoma" w:hAnsi="Tahoma" w:cs="Tahoma"/>
                <w:sz w:val="13"/>
                <w:szCs w:val="13"/>
              </w:rPr>
            </w:pPr>
            <w:r w:rsidRPr="003410C7">
              <w:rPr>
                <w:rFonts w:ascii="Tahoma" w:hAnsi="Tahoma" w:cs="Tahoma"/>
                <w:sz w:val="13"/>
                <w:szCs w:val="13"/>
              </w:rPr>
              <w:t>10</w:t>
            </w:r>
          </w:p>
        </w:tc>
        <w:tc>
          <w:tcPr>
            <w:tcW w:w="450" w:type="dxa"/>
            <w:tcBorders>
              <w:bottom w:val="single" w:sz="4" w:space="0" w:color="auto"/>
              <w:right w:val="single" w:sz="18" w:space="0" w:color="auto"/>
            </w:tcBorders>
            <w:shd w:val="clear" w:color="auto" w:fill="FABF8F"/>
            <w:vAlign w:val="center"/>
          </w:tcPr>
          <w:p w:rsidR="001A63C6" w:rsidRPr="003410C7" w:rsidRDefault="001A63C6" w:rsidP="001A63C6">
            <w:pPr>
              <w:pStyle w:val="TableText"/>
              <w:widowControl w:val="0"/>
              <w:spacing w:after="120"/>
              <w:rPr>
                <w:rFonts w:ascii="Tahoma" w:hAnsi="Tahoma" w:cs="Tahoma"/>
                <w:sz w:val="13"/>
                <w:szCs w:val="13"/>
              </w:rPr>
            </w:pPr>
            <w:r w:rsidRPr="003410C7">
              <w:rPr>
                <w:rFonts w:ascii="Tahoma" w:hAnsi="Tahoma" w:cs="Tahoma"/>
                <w:sz w:val="13"/>
                <w:szCs w:val="13"/>
              </w:rPr>
              <w:t>5</w:t>
            </w:r>
          </w:p>
        </w:tc>
        <w:tc>
          <w:tcPr>
            <w:tcW w:w="450" w:type="dxa"/>
            <w:tcBorders>
              <w:left w:val="single" w:sz="18" w:space="0" w:color="auto"/>
              <w:bottom w:val="single" w:sz="4" w:space="0" w:color="auto"/>
            </w:tcBorders>
            <w:shd w:val="clear" w:color="auto" w:fill="FABF8F"/>
            <w:vAlign w:val="center"/>
          </w:tcPr>
          <w:p w:rsidR="001A63C6" w:rsidRPr="003410C7" w:rsidRDefault="001A63C6" w:rsidP="001A63C6">
            <w:pPr>
              <w:pStyle w:val="TableText"/>
              <w:widowControl w:val="0"/>
              <w:rPr>
                <w:rFonts w:ascii="Tahoma" w:hAnsi="Tahoma" w:cs="Tahoma"/>
                <w:sz w:val="13"/>
              </w:rPr>
            </w:pPr>
            <w:r w:rsidRPr="003410C7">
              <w:rPr>
                <w:rFonts w:ascii="Tahoma" w:hAnsi="Tahoma" w:cs="Tahoma"/>
                <w:sz w:val="13"/>
              </w:rPr>
              <w:t>5</w:t>
            </w:r>
          </w:p>
        </w:tc>
        <w:tc>
          <w:tcPr>
            <w:tcW w:w="450" w:type="dxa"/>
            <w:tcBorders>
              <w:bottom w:val="single" w:sz="4" w:space="0" w:color="auto"/>
              <w:right w:val="single" w:sz="18" w:space="0" w:color="auto"/>
            </w:tcBorders>
            <w:shd w:val="clear" w:color="auto" w:fill="FABF8F"/>
            <w:vAlign w:val="center"/>
          </w:tcPr>
          <w:p w:rsidR="001A63C6" w:rsidRPr="003410C7" w:rsidRDefault="001A63C6" w:rsidP="001A63C6">
            <w:pPr>
              <w:pStyle w:val="TableText"/>
              <w:widowControl w:val="0"/>
              <w:rPr>
                <w:rFonts w:ascii="Tahoma" w:hAnsi="Tahoma" w:cs="Tahoma"/>
                <w:sz w:val="13"/>
              </w:rPr>
            </w:pPr>
            <w:r w:rsidRPr="003410C7">
              <w:rPr>
                <w:rFonts w:ascii="Tahoma" w:hAnsi="Tahoma" w:cs="Tahoma"/>
                <w:sz w:val="13"/>
              </w:rPr>
              <w:t>A,S</w:t>
            </w: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3410C7" w:rsidRDefault="001A63C6" w:rsidP="001A63C6">
            <w:pPr>
              <w:pStyle w:val="TableText"/>
              <w:widowControl w:val="0"/>
              <w:rPr>
                <w:rFonts w:ascii="Tahoma" w:hAnsi="Tahoma" w:cs="Tahoma"/>
                <w:sz w:val="13"/>
              </w:rPr>
            </w:pPr>
            <w:r w:rsidRPr="003410C7">
              <w:rPr>
                <w:rFonts w:ascii="Tahoma" w:hAnsi="Tahoma" w:cs="Tahoma"/>
                <w:sz w:val="13"/>
              </w:rPr>
              <w:t>P</w:t>
            </w:r>
          </w:p>
        </w:tc>
        <w:tc>
          <w:tcPr>
            <w:tcW w:w="450" w:type="dxa"/>
            <w:tcBorders>
              <w:bottom w:val="single" w:sz="4" w:space="0" w:color="auto"/>
            </w:tcBorders>
            <w:shd w:val="clear" w:color="auto" w:fill="FABF8F"/>
            <w:vAlign w:val="center"/>
          </w:tcPr>
          <w:p w:rsidR="001A63C6" w:rsidRPr="003410C7" w:rsidRDefault="001A63C6" w:rsidP="001A63C6">
            <w:pPr>
              <w:pStyle w:val="TableText"/>
              <w:widowControl w:val="0"/>
              <w:rPr>
                <w:rFonts w:ascii="Tahoma" w:hAnsi="Tahoma" w:cs="Tahoma"/>
                <w:sz w:val="13"/>
              </w:rPr>
            </w:pPr>
            <w:r w:rsidRPr="003410C7">
              <w:rPr>
                <w:rFonts w:ascii="Tahoma" w:hAnsi="Tahoma" w:cs="Tahoma"/>
                <w:sz w:val="13"/>
              </w:rPr>
              <w:t>A</w:t>
            </w:r>
          </w:p>
        </w:tc>
        <w:tc>
          <w:tcPr>
            <w:tcW w:w="540" w:type="dxa"/>
            <w:tcBorders>
              <w:bottom w:val="single" w:sz="4" w:space="0" w:color="auto"/>
            </w:tcBorders>
            <w:shd w:val="clear" w:color="auto" w:fill="FABF8F"/>
            <w:vAlign w:val="center"/>
          </w:tcPr>
          <w:p w:rsidR="001A63C6" w:rsidRPr="003410C7" w:rsidRDefault="001A63C6" w:rsidP="001A63C6">
            <w:pPr>
              <w:pStyle w:val="TableText"/>
              <w:widowControl w:val="0"/>
              <w:rPr>
                <w:rFonts w:ascii="Tahoma" w:hAnsi="Tahoma" w:cs="Tahoma"/>
                <w:sz w:val="13"/>
              </w:rPr>
            </w:pPr>
          </w:p>
        </w:tc>
      </w:tr>
      <w:tr w:rsidR="001A63C6" w:rsidRPr="003410C7" w:rsidTr="007E466C">
        <w:trPr>
          <w:trHeight w:val="494"/>
        </w:trPr>
        <w:tc>
          <w:tcPr>
            <w:tcW w:w="2734" w:type="dxa"/>
            <w:gridSpan w:val="2"/>
            <w:tcBorders>
              <w:bottom w:val="single" w:sz="4" w:space="0" w:color="auto"/>
            </w:tcBorders>
            <w:shd w:val="clear" w:color="auto" w:fill="auto"/>
          </w:tcPr>
          <w:p w:rsidR="001A63C6" w:rsidRPr="003410C7" w:rsidRDefault="001A63C6" w:rsidP="00F57878">
            <w:pPr>
              <w:pStyle w:val="Heading2"/>
              <w:spacing w:beforeLines="20" w:before="48" w:afterLines="20" w:after="48"/>
              <w:ind w:left="0"/>
              <w:rPr>
                <w:rFonts w:ascii="Tahoma" w:hAnsi="Tahoma" w:cs="Tahoma"/>
                <w:b w:val="0"/>
                <w:sz w:val="14"/>
                <w:szCs w:val="14"/>
              </w:rPr>
            </w:pPr>
            <w:bookmarkStart w:id="510" w:name="_Toc336338113"/>
            <w:bookmarkStart w:id="511" w:name="_Toc352234711"/>
            <w:r w:rsidRPr="003410C7">
              <w:rPr>
                <w:rFonts w:ascii="Tahoma" w:hAnsi="Tahoma" w:cs="Tahoma"/>
                <w:b w:val="0"/>
                <w:sz w:val="14"/>
                <w:szCs w:val="14"/>
              </w:rPr>
              <w:lastRenderedPageBreak/>
              <w:t>Web Antimalware Subscription per Forefront Threat Management Gateway</w:t>
            </w:r>
            <w:r w:rsidR="00F57878">
              <w:rPr>
                <w:rFonts w:ascii="Tahoma" w:hAnsi="Tahoma" w:cs="Tahoma"/>
                <w:b w:val="0"/>
                <w:sz w:val="14"/>
                <w:szCs w:val="14"/>
              </w:rPr>
              <w:t> </w:t>
            </w:r>
            <w:r w:rsidRPr="003410C7">
              <w:rPr>
                <w:rFonts w:ascii="Tahoma" w:hAnsi="Tahoma" w:cs="Tahoma"/>
                <w:b w:val="0"/>
                <w:sz w:val="14"/>
                <w:szCs w:val="14"/>
              </w:rPr>
              <w:t>Medium Business Edition (Dispositivo e Utente)</w:t>
            </w:r>
            <w:bookmarkEnd w:id="510"/>
            <w:bookmarkEnd w:id="511"/>
          </w:p>
        </w:tc>
        <w:tc>
          <w:tcPr>
            <w:tcW w:w="450" w:type="dxa"/>
            <w:tcBorders>
              <w:bottom w:val="single" w:sz="4" w:space="0" w:color="auto"/>
            </w:tcBorders>
            <w:shd w:val="clear" w:color="auto" w:fill="auto"/>
            <w:vAlign w:val="center"/>
          </w:tcPr>
          <w:p w:rsidR="001A63C6" w:rsidRPr="009F17FF" w:rsidRDefault="001A63C6" w:rsidP="001A63C6">
            <w:pPr>
              <w:pStyle w:val="TableText"/>
              <w:widowControl w:val="0"/>
              <w:rPr>
                <w:rStyle w:val="EndnoteReference"/>
                <w:rFonts w:cs="Tahoma"/>
                <w:sz w:val="13"/>
                <w:szCs w:val="13"/>
              </w:rPr>
            </w:pPr>
          </w:p>
        </w:tc>
        <w:tc>
          <w:tcPr>
            <w:tcW w:w="450" w:type="dxa"/>
            <w:tcBorders>
              <w:bottom w:val="single" w:sz="4" w:space="0" w:color="auto"/>
            </w:tcBorders>
            <w:shd w:val="clear" w:color="auto" w:fill="auto"/>
            <w:vAlign w:val="center"/>
          </w:tcPr>
          <w:p w:rsidR="001A63C6" w:rsidRPr="003410C7" w:rsidRDefault="001A63C6" w:rsidP="001A63C6">
            <w:pPr>
              <w:pStyle w:val="TableText"/>
              <w:widowControl w:val="0"/>
              <w:spacing w:before="160"/>
              <w:rPr>
                <w:rFonts w:ascii="Tahoma" w:hAnsi="Tahoma" w:cs="Tahoma"/>
                <w:sz w:val="13"/>
              </w:rPr>
            </w:pPr>
            <w:r w:rsidRPr="003410C7">
              <w:rPr>
                <w:rFonts w:ascii="Tahoma" w:hAnsi="Tahoma" w:cs="Tahoma"/>
                <w:sz w:val="13"/>
              </w:rPr>
              <w:t>11/08</w:t>
            </w:r>
          </w:p>
        </w:tc>
        <w:tc>
          <w:tcPr>
            <w:tcW w:w="360" w:type="dxa"/>
            <w:tcBorders>
              <w:bottom w:val="single" w:sz="4" w:space="0" w:color="auto"/>
              <w:right w:val="single" w:sz="18" w:space="0" w:color="auto"/>
            </w:tcBorders>
            <w:shd w:val="clear" w:color="auto" w:fill="auto"/>
            <w:vAlign w:val="center"/>
          </w:tcPr>
          <w:p w:rsidR="001A63C6" w:rsidRPr="003410C7" w:rsidRDefault="001A63C6" w:rsidP="001A63C6">
            <w:pPr>
              <w:pStyle w:val="TableText"/>
              <w:widowControl w:val="0"/>
              <w:rPr>
                <w:rFonts w:ascii="Tahoma" w:hAnsi="Tahoma" w:cs="Tahoma"/>
                <w:sz w:val="13"/>
              </w:rPr>
            </w:pPr>
            <w:r w:rsidRPr="003410C7">
              <w:rPr>
                <w:rFonts w:ascii="Tahoma" w:hAnsi="Tahoma" w:cs="Tahoma"/>
                <w:sz w:val="13"/>
              </w:rPr>
              <w:t>SRV</w:t>
            </w:r>
          </w:p>
        </w:tc>
        <w:tc>
          <w:tcPr>
            <w:tcW w:w="360" w:type="dxa"/>
            <w:tcBorders>
              <w:left w:val="single" w:sz="18" w:space="0" w:color="auto"/>
              <w:bottom w:val="single" w:sz="4" w:space="0" w:color="auto"/>
            </w:tcBorders>
            <w:shd w:val="clear" w:color="auto" w:fill="auto"/>
            <w:vAlign w:val="center"/>
          </w:tcPr>
          <w:p w:rsidR="001A63C6" w:rsidRPr="003410C7"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3410C7"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3410C7"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3410C7"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3410C7"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3410C7" w:rsidRDefault="001A63C6" w:rsidP="001A63C6">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auto"/>
            <w:vAlign w:val="center"/>
          </w:tcPr>
          <w:p w:rsidR="001A63C6" w:rsidRPr="003410C7"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1A63C6" w:rsidRPr="003410C7" w:rsidRDefault="001A63C6" w:rsidP="001A63C6">
            <w:pPr>
              <w:pStyle w:val="TableText"/>
              <w:widowControl w:val="0"/>
              <w:rPr>
                <w:rFonts w:ascii="Tahoma" w:hAnsi="Tahoma" w:cs="Tahoma"/>
                <w:sz w:val="13"/>
              </w:rPr>
            </w:pPr>
            <w:r w:rsidRPr="003410C7">
              <w:rPr>
                <w:rFonts w:ascii="Tahoma" w:hAnsi="Tahoma" w:cs="Tahoma"/>
                <w:sz w:val="13"/>
              </w:rPr>
              <w:t>25</w:t>
            </w:r>
          </w:p>
        </w:tc>
        <w:tc>
          <w:tcPr>
            <w:tcW w:w="450" w:type="dxa"/>
            <w:tcBorders>
              <w:bottom w:val="single" w:sz="4" w:space="0" w:color="auto"/>
            </w:tcBorders>
            <w:shd w:val="clear" w:color="auto" w:fill="auto"/>
            <w:vAlign w:val="center"/>
          </w:tcPr>
          <w:p w:rsidR="001A63C6" w:rsidRPr="003410C7" w:rsidRDefault="001A63C6" w:rsidP="001A63C6">
            <w:pPr>
              <w:pStyle w:val="TableText"/>
              <w:widowControl w:val="0"/>
              <w:rPr>
                <w:rFonts w:ascii="Tahoma" w:hAnsi="Tahoma" w:cs="Tahoma"/>
                <w:sz w:val="13"/>
              </w:rPr>
            </w:pPr>
            <w:r w:rsidRPr="003410C7">
              <w:rPr>
                <w:rFonts w:ascii="Tahoma" w:hAnsi="Tahoma" w:cs="Tahoma"/>
                <w:sz w:val="13"/>
              </w:rPr>
              <w:t>50</w:t>
            </w:r>
          </w:p>
        </w:tc>
        <w:tc>
          <w:tcPr>
            <w:tcW w:w="450" w:type="dxa"/>
            <w:tcBorders>
              <w:bottom w:val="single" w:sz="4" w:space="0" w:color="auto"/>
              <w:right w:val="single" w:sz="18" w:space="0" w:color="auto"/>
            </w:tcBorders>
            <w:shd w:val="clear" w:color="auto" w:fill="auto"/>
            <w:vAlign w:val="center"/>
          </w:tcPr>
          <w:p w:rsidR="001A63C6" w:rsidRPr="003410C7" w:rsidRDefault="001A63C6" w:rsidP="001A63C6">
            <w:pPr>
              <w:pStyle w:val="TableText"/>
              <w:widowControl w:val="0"/>
              <w:rPr>
                <w:rFonts w:ascii="Tahoma" w:hAnsi="Tahoma" w:cs="Tahoma"/>
                <w:sz w:val="13"/>
              </w:rPr>
            </w:pPr>
            <w:r w:rsidRPr="003410C7">
              <w:rPr>
                <w:rFonts w:ascii="Tahoma" w:hAnsi="Tahoma" w:cs="Tahoma"/>
                <w:sz w:val="13"/>
              </w:rPr>
              <w:t>25</w:t>
            </w:r>
          </w:p>
        </w:tc>
        <w:tc>
          <w:tcPr>
            <w:tcW w:w="450" w:type="dxa"/>
            <w:tcBorders>
              <w:left w:val="single" w:sz="18" w:space="0" w:color="auto"/>
              <w:bottom w:val="single" w:sz="4" w:space="0" w:color="auto"/>
            </w:tcBorders>
            <w:shd w:val="clear" w:color="auto" w:fill="auto"/>
            <w:vAlign w:val="center"/>
          </w:tcPr>
          <w:p w:rsidR="001A63C6" w:rsidRPr="003410C7"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1A63C6" w:rsidRPr="003410C7"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rsidR="001A63C6" w:rsidRPr="003410C7" w:rsidRDefault="001A63C6" w:rsidP="001A63C6">
            <w:pPr>
              <w:pStyle w:val="TableText"/>
              <w:widowControl w:val="0"/>
              <w:rPr>
                <w:rFonts w:ascii="Tahoma" w:hAnsi="Tahoma" w:cs="Tahoma"/>
                <w:sz w:val="13"/>
              </w:rPr>
            </w:pPr>
            <w:r w:rsidRPr="003410C7">
              <w:rPr>
                <w:rFonts w:ascii="Tahoma" w:hAnsi="Tahoma" w:cs="Tahoma"/>
                <w:sz w:val="13"/>
              </w:rPr>
              <w:t>P</w:t>
            </w:r>
          </w:p>
        </w:tc>
        <w:tc>
          <w:tcPr>
            <w:tcW w:w="450" w:type="dxa"/>
            <w:tcBorders>
              <w:bottom w:val="single" w:sz="4" w:space="0" w:color="auto"/>
            </w:tcBorders>
            <w:shd w:val="clear" w:color="auto" w:fill="auto"/>
          </w:tcPr>
          <w:p w:rsidR="001A63C6" w:rsidRPr="003410C7" w:rsidRDefault="001A63C6" w:rsidP="001A63C6">
            <w:pPr>
              <w:pStyle w:val="TableText"/>
              <w:widowControl w:val="0"/>
              <w:rPr>
                <w:rFonts w:ascii="Tahoma" w:hAnsi="Tahoma" w:cs="Tahoma"/>
                <w:sz w:val="13"/>
              </w:rPr>
            </w:pPr>
          </w:p>
        </w:tc>
        <w:tc>
          <w:tcPr>
            <w:tcW w:w="540" w:type="dxa"/>
            <w:tcBorders>
              <w:bottom w:val="single" w:sz="4" w:space="0" w:color="auto"/>
            </w:tcBorders>
            <w:shd w:val="clear" w:color="auto" w:fill="auto"/>
            <w:vAlign w:val="center"/>
          </w:tcPr>
          <w:p w:rsidR="001A63C6" w:rsidRPr="003410C7" w:rsidRDefault="001A63C6" w:rsidP="001A63C6">
            <w:pPr>
              <w:pStyle w:val="TableText"/>
              <w:widowControl w:val="0"/>
              <w:rPr>
                <w:rFonts w:ascii="Tahoma" w:hAnsi="Tahoma" w:cs="Tahoma"/>
                <w:sz w:val="13"/>
              </w:rPr>
            </w:pPr>
          </w:p>
        </w:tc>
      </w:tr>
      <w:tr w:rsidR="00B33D0E" w:rsidRPr="003410C7" w:rsidTr="006B1F3F">
        <w:trPr>
          <w:trHeight w:val="287"/>
        </w:trPr>
        <w:tc>
          <w:tcPr>
            <w:tcW w:w="2734" w:type="dxa"/>
            <w:gridSpan w:val="2"/>
            <w:tcBorders>
              <w:bottom w:val="single" w:sz="4" w:space="0" w:color="auto"/>
            </w:tcBorders>
            <w:shd w:val="clear" w:color="auto" w:fill="FABF8F"/>
            <w:vAlign w:val="center"/>
          </w:tcPr>
          <w:p w:rsidR="001A63C6" w:rsidRPr="003410C7" w:rsidRDefault="001A63C6" w:rsidP="003410C7">
            <w:pPr>
              <w:pStyle w:val="Heading2"/>
              <w:spacing w:beforeLines="20" w:before="48" w:afterLines="20" w:after="48"/>
              <w:ind w:left="0"/>
              <w:rPr>
                <w:rFonts w:ascii="Tahoma" w:hAnsi="Tahoma" w:cs="Tahoma"/>
                <w:b w:val="0"/>
                <w:sz w:val="14"/>
              </w:rPr>
            </w:pPr>
            <w:bookmarkStart w:id="512" w:name="_Toc336338114"/>
            <w:bookmarkStart w:id="513" w:name="_Toc352234712"/>
            <w:r w:rsidRPr="003410C7">
              <w:rPr>
                <w:rFonts w:ascii="Tahoma" w:hAnsi="Tahoma" w:cs="Tahoma"/>
                <w:b w:val="0"/>
                <w:sz w:val="14"/>
              </w:rPr>
              <w:t>Servizi di Windows Azure</w:t>
            </w:r>
            <w:bookmarkEnd w:id="512"/>
            <w:bookmarkEnd w:id="513"/>
          </w:p>
        </w:tc>
        <w:tc>
          <w:tcPr>
            <w:tcW w:w="450" w:type="dxa"/>
            <w:tcBorders>
              <w:bottom w:val="single" w:sz="4" w:space="0" w:color="auto"/>
            </w:tcBorders>
            <w:shd w:val="clear" w:color="auto" w:fill="FABF8F"/>
            <w:vAlign w:val="center"/>
          </w:tcPr>
          <w:p w:rsidR="001A63C6" w:rsidRPr="009F17FF" w:rsidRDefault="00FC1A4D" w:rsidP="0005221F">
            <w:pPr>
              <w:pStyle w:val="TableText"/>
              <w:widowControl w:val="0"/>
              <w:spacing w:before="100" w:beforeAutospacing="1"/>
              <w:rPr>
                <w:rFonts w:cs="Tahoma"/>
                <w:b/>
                <w:color w:val="0000FF"/>
                <w:sz w:val="13"/>
                <w:szCs w:val="13"/>
                <w:u w:val="single"/>
              </w:rPr>
            </w:pPr>
            <w:hyperlink w:anchor="_105_Windows_Azure" w:history="1">
              <w:r w:rsidR="000D77F6" w:rsidRPr="009F17FF">
                <w:rPr>
                  <w:rStyle w:val="Hyperlink"/>
                  <w:rFonts w:cs="Tahoma"/>
                  <w:b/>
                  <w:sz w:val="13"/>
                  <w:szCs w:val="13"/>
                </w:rPr>
                <w:t>94</w:t>
              </w:r>
            </w:hyperlink>
          </w:p>
        </w:tc>
        <w:tc>
          <w:tcPr>
            <w:tcW w:w="450" w:type="dxa"/>
            <w:tcBorders>
              <w:bottom w:val="single" w:sz="4" w:space="0" w:color="auto"/>
            </w:tcBorders>
            <w:shd w:val="clear" w:color="auto" w:fill="FABF8F"/>
            <w:vAlign w:val="center"/>
          </w:tcPr>
          <w:p w:rsidR="001A63C6" w:rsidRPr="003410C7" w:rsidRDefault="001A63C6" w:rsidP="001A63C6">
            <w:pPr>
              <w:pStyle w:val="TableText"/>
              <w:widowControl w:val="0"/>
              <w:spacing w:before="80"/>
              <w:rPr>
                <w:rFonts w:ascii="Tahoma" w:hAnsi="Tahoma" w:cs="Tahoma"/>
                <w:sz w:val="13"/>
              </w:rPr>
            </w:pPr>
            <w:r w:rsidRPr="003410C7">
              <w:rPr>
                <w:rFonts w:ascii="Tahoma" w:hAnsi="Tahoma" w:cs="Tahoma"/>
                <w:sz w:val="13"/>
              </w:rPr>
              <w:t>11/11</w:t>
            </w:r>
          </w:p>
        </w:tc>
        <w:tc>
          <w:tcPr>
            <w:tcW w:w="360" w:type="dxa"/>
            <w:tcBorders>
              <w:bottom w:val="single" w:sz="4" w:space="0" w:color="auto"/>
              <w:right w:val="single" w:sz="18" w:space="0" w:color="auto"/>
            </w:tcBorders>
            <w:shd w:val="clear" w:color="auto" w:fill="FABF8F"/>
            <w:vAlign w:val="center"/>
          </w:tcPr>
          <w:p w:rsidR="001A63C6" w:rsidRPr="003410C7" w:rsidRDefault="001A63C6" w:rsidP="001A63C6">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FABF8F"/>
            <w:vAlign w:val="center"/>
          </w:tcPr>
          <w:p w:rsidR="001A63C6" w:rsidRPr="003410C7"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3410C7"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3410C7"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3410C7"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3410C7"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3410C7" w:rsidRDefault="001A63C6" w:rsidP="001A63C6">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rsidR="001A63C6" w:rsidRPr="003410C7"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3410C7"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3410C7"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1A63C6" w:rsidRPr="003410C7"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3410C7"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1A63C6" w:rsidRPr="003410C7" w:rsidRDefault="001A63C6" w:rsidP="001A63C6">
            <w:pPr>
              <w:pStyle w:val="TableText"/>
              <w:widowControl w:val="0"/>
              <w:rPr>
                <w:rFonts w:ascii="Tahoma" w:hAnsi="Tahoma" w:cs="Tahoma"/>
                <w:sz w:val="13"/>
              </w:rPr>
            </w:pPr>
            <w:r w:rsidRPr="003410C7">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3410C7"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tcPr>
          <w:p w:rsidR="001A63C6" w:rsidRPr="003410C7" w:rsidRDefault="001A63C6" w:rsidP="001A63C6">
            <w:pPr>
              <w:pStyle w:val="TableText"/>
              <w:widowControl w:val="0"/>
              <w:rPr>
                <w:rFonts w:ascii="Tahoma" w:hAnsi="Tahoma" w:cs="Tahoma"/>
                <w:sz w:val="13"/>
              </w:rPr>
            </w:pPr>
            <w:r w:rsidRPr="003410C7">
              <w:rPr>
                <w:rFonts w:ascii="Tahoma" w:hAnsi="Tahoma" w:cs="Tahoma"/>
                <w:sz w:val="13"/>
              </w:rPr>
              <w:t>A</w:t>
            </w:r>
          </w:p>
        </w:tc>
        <w:tc>
          <w:tcPr>
            <w:tcW w:w="540" w:type="dxa"/>
            <w:tcBorders>
              <w:bottom w:val="single" w:sz="4" w:space="0" w:color="auto"/>
            </w:tcBorders>
            <w:shd w:val="clear" w:color="auto" w:fill="FABF8F"/>
            <w:vAlign w:val="center"/>
          </w:tcPr>
          <w:p w:rsidR="001A63C6" w:rsidRPr="003410C7" w:rsidRDefault="001A63C6" w:rsidP="001A63C6">
            <w:pPr>
              <w:pStyle w:val="TableText"/>
              <w:widowControl w:val="0"/>
              <w:rPr>
                <w:rFonts w:ascii="Tahoma" w:hAnsi="Tahoma" w:cs="Tahoma"/>
                <w:sz w:val="13"/>
              </w:rPr>
            </w:pPr>
          </w:p>
        </w:tc>
      </w:tr>
      <w:tr w:rsidR="001A63C6" w:rsidRPr="003410C7" w:rsidTr="007E466C">
        <w:trPr>
          <w:trHeight w:val="152"/>
        </w:trPr>
        <w:tc>
          <w:tcPr>
            <w:tcW w:w="2734" w:type="dxa"/>
            <w:gridSpan w:val="2"/>
            <w:tcBorders>
              <w:bottom w:val="single" w:sz="4" w:space="0" w:color="auto"/>
            </w:tcBorders>
            <w:shd w:val="clear" w:color="auto" w:fill="auto"/>
            <w:vAlign w:val="center"/>
          </w:tcPr>
          <w:p w:rsidR="001A63C6" w:rsidRPr="003410C7" w:rsidRDefault="001A63C6" w:rsidP="00F57878">
            <w:pPr>
              <w:pStyle w:val="Heading2"/>
              <w:spacing w:before="20" w:after="20"/>
              <w:ind w:left="0"/>
              <w:rPr>
                <w:rFonts w:ascii="Tahoma" w:hAnsi="Tahoma" w:cs="Tahoma"/>
                <w:b w:val="0"/>
                <w:sz w:val="14"/>
                <w:szCs w:val="14"/>
              </w:rPr>
            </w:pPr>
            <w:bookmarkStart w:id="514" w:name="_Toc336338115"/>
            <w:bookmarkStart w:id="515" w:name="_Toc352234713"/>
            <w:r w:rsidRPr="003410C7">
              <w:rPr>
                <w:rFonts w:ascii="Tahoma" w:hAnsi="Tahoma" w:cs="Tahoma"/>
                <w:b w:val="0"/>
                <w:sz w:val="14"/>
              </w:rPr>
              <w:t>Windows</w:t>
            </w:r>
            <w:r w:rsidR="003410C7" w:rsidRPr="003410C7">
              <w:rPr>
                <w:rFonts w:ascii="Tahoma" w:hAnsi="Tahoma" w:cs="Tahoma"/>
                <w:b w:val="0"/>
                <w:sz w:val="14"/>
                <w:vertAlign w:val="superscript"/>
              </w:rPr>
              <w:t>®</w:t>
            </w:r>
            <w:r w:rsidRPr="003410C7">
              <w:rPr>
                <w:rFonts w:ascii="Tahoma" w:hAnsi="Tahoma" w:cs="Tahoma"/>
                <w:b w:val="0"/>
                <w:sz w:val="14"/>
              </w:rPr>
              <w:t xml:space="preserve"> Embedded Device Manager</w:t>
            </w:r>
            <w:r w:rsidR="00F57878">
              <w:rPr>
                <w:rFonts w:ascii="Tahoma" w:hAnsi="Tahoma" w:cs="Tahoma"/>
                <w:b w:val="0"/>
                <w:sz w:val="14"/>
              </w:rPr>
              <w:t> </w:t>
            </w:r>
            <w:r w:rsidRPr="003410C7">
              <w:rPr>
                <w:rFonts w:ascii="Tahoma" w:hAnsi="Tahoma" w:cs="Tahoma"/>
                <w:b w:val="0"/>
                <w:sz w:val="14"/>
              </w:rPr>
              <w:t>2011</w:t>
            </w:r>
            <w:bookmarkEnd w:id="514"/>
            <w:bookmarkEnd w:id="515"/>
          </w:p>
        </w:tc>
        <w:tc>
          <w:tcPr>
            <w:tcW w:w="450" w:type="dxa"/>
            <w:tcBorders>
              <w:bottom w:val="single" w:sz="4" w:space="0" w:color="auto"/>
            </w:tcBorders>
            <w:shd w:val="clear" w:color="auto" w:fill="auto"/>
            <w:vAlign w:val="center"/>
          </w:tcPr>
          <w:p w:rsidR="001A63C6" w:rsidRPr="009F17FF" w:rsidRDefault="00FC1A4D" w:rsidP="006615A9">
            <w:pPr>
              <w:pStyle w:val="TableText"/>
              <w:widowControl w:val="0"/>
              <w:spacing w:before="100" w:beforeAutospacing="1"/>
              <w:rPr>
                <w:rFonts w:cs="Tahoma"/>
                <w:b/>
                <w:color w:val="0000FF"/>
                <w:sz w:val="13"/>
                <w:szCs w:val="13"/>
                <w:u w:val="single"/>
              </w:rPr>
            </w:pPr>
            <w:hyperlink w:anchor="Srv_107WindowsEmbeddedDeviceMgr2011" w:history="1">
              <w:r w:rsidR="000D77F6" w:rsidRPr="009F17FF">
                <w:rPr>
                  <w:rStyle w:val="Hyperlink"/>
                  <w:rFonts w:cs="Tahoma"/>
                  <w:b/>
                  <w:sz w:val="13"/>
                  <w:szCs w:val="13"/>
                </w:rPr>
                <w:t>95</w:t>
              </w:r>
            </w:hyperlink>
          </w:p>
        </w:tc>
        <w:tc>
          <w:tcPr>
            <w:tcW w:w="450" w:type="dxa"/>
            <w:tcBorders>
              <w:bottom w:val="single" w:sz="4" w:space="0" w:color="auto"/>
            </w:tcBorders>
            <w:shd w:val="clear" w:color="auto" w:fill="auto"/>
            <w:vAlign w:val="center"/>
          </w:tcPr>
          <w:p w:rsidR="001A63C6" w:rsidRPr="003410C7" w:rsidRDefault="001A63C6" w:rsidP="001A63C6">
            <w:pPr>
              <w:pStyle w:val="TableText"/>
              <w:widowControl w:val="0"/>
              <w:spacing w:before="80"/>
              <w:rPr>
                <w:rFonts w:ascii="Tahoma" w:hAnsi="Tahoma" w:cs="Tahoma"/>
                <w:sz w:val="13"/>
              </w:rPr>
            </w:pPr>
          </w:p>
        </w:tc>
        <w:tc>
          <w:tcPr>
            <w:tcW w:w="360" w:type="dxa"/>
            <w:tcBorders>
              <w:bottom w:val="single" w:sz="4" w:space="0" w:color="auto"/>
              <w:right w:val="single" w:sz="18" w:space="0" w:color="auto"/>
            </w:tcBorders>
            <w:shd w:val="clear" w:color="auto" w:fill="auto"/>
            <w:vAlign w:val="center"/>
          </w:tcPr>
          <w:p w:rsidR="001A63C6" w:rsidRPr="003410C7" w:rsidRDefault="001A63C6" w:rsidP="001A63C6">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auto"/>
            <w:vAlign w:val="center"/>
          </w:tcPr>
          <w:p w:rsidR="001A63C6" w:rsidRPr="003410C7"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3410C7"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3410C7"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3410C7"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3410C7"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3410C7" w:rsidRDefault="001A63C6" w:rsidP="001A63C6">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auto"/>
            <w:vAlign w:val="center"/>
          </w:tcPr>
          <w:p w:rsidR="001A63C6" w:rsidRPr="003410C7"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1A63C6" w:rsidRPr="003410C7"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3410C7"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1A63C6" w:rsidRPr="003410C7"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1A63C6" w:rsidRPr="003410C7"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1A63C6" w:rsidRPr="003410C7"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rsidR="001A63C6" w:rsidRPr="003410C7"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tcPr>
          <w:p w:rsidR="001A63C6" w:rsidRPr="003410C7" w:rsidRDefault="001A63C6" w:rsidP="001A63C6">
            <w:pPr>
              <w:pStyle w:val="TableText"/>
              <w:widowControl w:val="0"/>
              <w:rPr>
                <w:rFonts w:ascii="Tahoma" w:hAnsi="Tahoma" w:cs="Tahoma"/>
                <w:sz w:val="13"/>
              </w:rPr>
            </w:pPr>
          </w:p>
        </w:tc>
        <w:tc>
          <w:tcPr>
            <w:tcW w:w="540" w:type="dxa"/>
            <w:tcBorders>
              <w:bottom w:val="single" w:sz="4" w:space="0" w:color="auto"/>
            </w:tcBorders>
            <w:shd w:val="clear" w:color="auto" w:fill="auto"/>
            <w:vAlign w:val="center"/>
          </w:tcPr>
          <w:p w:rsidR="001A63C6" w:rsidRPr="003410C7" w:rsidRDefault="001A63C6" w:rsidP="001A63C6">
            <w:pPr>
              <w:pStyle w:val="TableText"/>
              <w:widowControl w:val="0"/>
              <w:rPr>
                <w:rFonts w:ascii="Tahoma" w:hAnsi="Tahoma" w:cs="Tahoma"/>
                <w:sz w:val="13"/>
              </w:rPr>
            </w:pPr>
          </w:p>
        </w:tc>
      </w:tr>
      <w:tr w:rsidR="00B33D0E" w:rsidRPr="00DC1102" w:rsidTr="006B1F3F">
        <w:trPr>
          <w:trHeight w:val="287"/>
        </w:trPr>
        <w:tc>
          <w:tcPr>
            <w:tcW w:w="2734" w:type="dxa"/>
            <w:gridSpan w:val="2"/>
            <w:tcBorders>
              <w:bottom w:val="single" w:sz="4" w:space="0" w:color="auto"/>
            </w:tcBorders>
            <w:shd w:val="clear" w:color="auto" w:fill="FABF8F"/>
            <w:vAlign w:val="center"/>
          </w:tcPr>
          <w:p w:rsidR="001A63C6" w:rsidRPr="00451078" w:rsidRDefault="001A63C6" w:rsidP="00FE2D13">
            <w:pPr>
              <w:pStyle w:val="Heading2"/>
              <w:spacing w:before="20" w:after="20"/>
              <w:ind w:left="0"/>
              <w:rPr>
                <w:rFonts w:ascii="Tahoma" w:hAnsi="Tahoma" w:cs="Tahoma"/>
                <w:b w:val="0"/>
                <w:sz w:val="14"/>
                <w:szCs w:val="14"/>
                <w:lang w:val="it-IT"/>
              </w:rPr>
            </w:pPr>
            <w:bookmarkStart w:id="516" w:name="_Toc336338116"/>
            <w:bookmarkStart w:id="517" w:name="_Toc352234714"/>
            <w:r w:rsidRPr="00451078">
              <w:rPr>
                <w:rFonts w:ascii="Tahoma" w:hAnsi="Tahoma" w:cs="Tahoma"/>
                <w:b w:val="0"/>
                <w:sz w:val="14"/>
                <w:lang w:val="it-IT"/>
              </w:rPr>
              <w:t>Licenza di Gestione Client per OSE</w:t>
            </w:r>
            <w:r w:rsidR="00FE2D13" w:rsidRPr="00451078">
              <w:rPr>
                <w:rFonts w:ascii="Tahoma" w:hAnsi="Tahoma" w:cs="Tahoma"/>
                <w:b w:val="0"/>
                <w:sz w:val="14"/>
                <w:lang w:val="it-IT"/>
              </w:rPr>
              <w:t> </w:t>
            </w:r>
            <w:r w:rsidRPr="00451078">
              <w:rPr>
                <w:rFonts w:ascii="Tahoma" w:hAnsi="Tahoma" w:cs="Tahoma"/>
                <w:b w:val="0"/>
                <w:sz w:val="14"/>
                <w:lang w:val="it-IT"/>
              </w:rPr>
              <w:t>per</w:t>
            </w:r>
            <w:r w:rsidR="00FE2D13" w:rsidRPr="00451078">
              <w:rPr>
                <w:rFonts w:ascii="Tahoma" w:hAnsi="Tahoma" w:cs="Tahoma"/>
                <w:b w:val="0"/>
                <w:sz w:val="14"/>
                <w:lang w:val="it-IT"/>
              </w:rPr>
              <w:t> </w:t>
            </w:r>
            <w:r w:rsidRPr="00451078">
              <w:rPr>
                <w:rFonts w:ascii="Tahoma" w:hAnsi="Tahoma" w:cs="Tahoma"/>
                <w:b w:val="0"/>
                <w:sz w:val="14"/>
                <w:lang w:val="it-IT"/>
              </w:rPr>
              <w:t>Windows</w:t>
            </w:r>
            <w:r w:rsidR="003410C7" w:rsidRPr="00451078">
              <w:rPr>
                <w:rFonts w:ascii="Tahoma" w:hAnsi="Tahoma" w:cs="Tahoma"/>
                <w:b w:val="0"/>
                <w:sz w:val="14"/>
                <w:vertAlign w:val="superscript"/>
                <w:lang w:val="it-IT"/>
              </w:rPr>
              <w:t>®</w:t>
            </w:r>
            <w:r w:rsidRPr="00451078">
              <w:rPr>
                <w:rFonts w:ascii="Tahoma" w:hAnsi="Tahoma" w:cs="Tahoma"/>
                <w:b w:val="0"/>
                <w:sz w:val="14"/>
                <w:lang w:val="it-IT"/>
              </w:rPr>
              <w:t xml:space="preserve"> Embedded Device</w:t>
            </w:r>
            <w:r w:rsidR="00FE2D13" w:rsidRPr="00451078">
              <w:rPr>
                <w:rFonts w:ascii="Tahoma" w:hAnsi="Tahoma" w:cs="Tahoma"/>
                <w:b w:val="0"/>
                <w:sz w:val="14"/>
                <w:lang w:val="it-IT"/>
              </w:rPr>
              <w:t> </w:t>
            </w:r>
            <w:r w:rsidRPr="00451078">
              <w:rPr>
                <w:rFonts w:ascii="Tahoma" w:hAnsi="Tahoma" w:cs="Tahoma"/>
                <w:b w:val="0"/>
                <w:sz w:val="14"/>
                <w:lang w:val="it-IT"/>
              </w:rPr>
              <w:t>Manager 2011</w:t>
            </w:r>
            <w:bookmarkEnd w:id="516"/>
            <w:bookmarkEnd w:id="517"/>
          </w:p>
        </w:tc>
        <w:tc>
          <w:tcPr>
            <w:tcW w:w="450" w:type="dxa"/>
            <w:tcBorders>
              <w:bottom w:val="single" w:sz="4" w:space="0" w:color="auto"/>
            </w:tcBorders>
            <w:shd w:val="clear" w:color="auto" w:fill="FABF8F"/>
            <w:vAlign w:val="center"/>
          </w:tcPr>
          <w:p w:rsidR="001A63C6" w:rsidRPr="00451078" w:rsidRDefault="001A63C6" w:rsidP="001A63C6">
            <w:pPr>
              <w:pStyle w:val="TableText"/>
              <w:widowControl w:val="0"/>
              <w:spacing w:before="100" w:beforeAutospacing="1"/>
              <w:rPr>
                <w:rFonts w:cs="Tahoma"/>
                <w:color w:val="0000FF"/>
                <w:sz w:val="13"/>
                <w:szCs w:val="13"/>
                <w:lang w:val="it-IT"/>
              </w:rPr>
            </w:pPr>
          </w:p>
        </w:tc>
        <w:tc>
          <w:tcPr>
            <w:tcW w:w="450" w:type="dxa"/>
            <w:tcBorders>
              <w:bottom w:val="single" w:sz="4" w:space="0" w:color="auto"/>
            </w:tcBorders>
            <w:shd w:val="clear" w:color="auto" w:fill="FABF8F"/>
            <w:vAlign w:val="center"/>
          </w:tcPr>
          <w:p w:rsidR="001A63C6" w:rsidRPr="00451078" w:rsidRDefault="001A63C6" w:rsidP="001A63C6">
            <w:pPr>
              <w:pStyle w:val="TableText"/>
              <w:widowControl w:val="0"/>
              <w:spacing w:before="80"/>
              <w:rPr>
                <w:rFonts w:ascii="Tahoma" w:hAnsi="Tahoma" w:cs="Tahoma"/>
                <w:sz w:val="13"/>
                <w:lang w:val="it-IT"/>
              </w:rPr>
            </w:pPr>
          </w:p>
        </w:tc>
        <w:tc>
          <w:tcPr>
            <w:tcW w:w="360" w:type="dxa"/>
            <w:tcBorders>
              <w:bottom w:val="single" w:sz="4" w:space="0" w:color="auto"/>
              <w:right w:val="single" w:sz="18" w:space="0" w:color="auto"/>
            </w:tcBorders>
            <w:shd w:val="clear" w:color="auto" w:fill="FABF8F"/>
            <w:vAlign w:val="center"/>
          </w:tcPr>
          <w:p w:rsidR="001A63C6" w:rsidRPr="00451078" w:rsidRDefault="001A63C6" w:rsidP="001A63C6">
            <w:pPr>
              <w:pStyle w:val="TableText"/>
              <w:widowControl w:val="0"/>
              <w:rPr>
                <w:rFonts w:ascii="Tahoma" w:hAnsi="Tahoma" w:cs="Tahoma"/>
                <w:sz w:val="13"/>
                <w:lang w:val="it-IT"/>
              </w:rPr>
            </w:pPr>
          </w:p>
        </w:tc>
        <w:tc>
          <w:tcPr>
            <w:tcW w:w="360" w:type="dxa"/>
            <w:tcBorders>
              <w:left w:val="single" w:sz="18" w:space="0" w:color="auto"/>
              <w:bottom w:val="single" w:sz="4" w:space="0" w:color="auto"/>
            </w:tcBorders>
            <w:shd w:val="clear" w:color="auto" w:fill="FABF8F"/>
            <w:vAlign w:val="center"/>
          </w:tcPr>
          <w:p w:rsidR="001A63C6" w:rsidRPr="00451078" w:rsidRDefault="001A63C6" w:rsidP="001A63C6">
            <w:pPr>
              <w:pStyle w:val="TableText"/>
              <w:widowControl w:val="0"/>
              <w:rPr>
                <w:rFonts w:ascii="Tahoma" w:hAnsi="Tahoma" w:cs="Tahoma"/>
                <w:sz w:val="13"/>
                <w:lang w:val="it-IT"/>
              </w:rPr>
            </w:pPr>
          </w:p>
        </w:tc>
        <w:tc>
          <w:tcPr>
            <w:tcW w:w="450" w:type="dxa"/>
            <w:tcBorders>
              <w:bottom w:val="single" w:sz="4" w:space="0" w:color="auto"/>
            </w:tcBorders>
            <w:shd w:val="clear" w:color="auto" w:fill="FABF8F"/>
            <w:vAlign w:val="center"/>
          </w:tcPr>
          <w:p w:rsidR="001A63C6" w:rsidRPr="00451078" w:rsidRDefault="001A63C6" w:rsidP="001A63C6">
            <w:pPr>
              <w:pStyle w:val="TableText"/>
              <w:widowControl w:val="0"/>
              <w:rPr>
                <w:rFonts w:ascii="Tahoma" w:hAnsi="Tahoma" w:cs="Tahoma"/>
                <w:sz w:val="13"/>
                <w:lang w:val="it-IT"/>
              </w:rPr>
            </w:pPr>
          </w:p>
        </w:tc>
        <w:tc>
          <w:tcPr>
            <w:tcW w:w="450" w:type="dxa"/>
            <w:tcBorders>
              <w:bottom w:val="single" w:sz="4" w:space="0" w:color="auto"/>
            </w:tcBorders>
            <w:shd w:val="clear" w:color="auto" w:fill="FABF8F"/>
            <w:vAlign w:val="center"/>
          </w:tcPr>
          <w:p w:rsidR="001A63C6" w:rsidRPr="00451078" w:rsidRDefault="001A63C6" w:rsidP="001A63C6">
            <w:pPr>
              <w:pStyle w:val="TableText"/>
              <w:widowControl w:val="0"/>
              <w:rPr>
                <w:rFonts w:ascii="Tahoma" w:hAnsi="Tahoma" w:cs="Tahoma"/>
                <w:sz w:val="13"/>
                <w:lang w:val="it-IT"/>
              </w:rPr>
            </w:pPr>
          </w:p>
        </w:tc>
        <w:tc>
          <w:tcPr>
            <w:tcW w:w="450" w:type="dxa"/>
            <w:tcBorders>
              <w:bottom w:val="single" w:sz="4" w:space="0" w:color="auto"/>
            </w:tcBorders>
            <w:shd w:val="clear" w:color="auto" w:fill="FABF8F"/>
            <w:vAlign w:val="center"/>
          </w:tcPr>
          <w:p w:rsidR="001A63C6" w:rsidRPr="00451078" w:rsidRDefault="001A63C6" w:rsidP="001A63C6">
            <w:pPr>
              <w:pStyle w:val="TableText"/>
              <w:widowControl w:val="0"/>
              <w:rPr>
                <w:rFonts w:ascii="Tahoma" w:hAnsi="Tahoma" w:cs="Tahoma"/>
                <w:sz w:val="13"/>
                <w:lang w:val="it-IT"/>
              </w:rPr>
            </w:pPr>
          </w:p>
        </w:tc>
        <w:tc>
          <w:tcPr>
            <w:tcW w:w="450" w:type="dxa"/>
            <w:tcBorders>
              <w:bottom w:val="single" w:sz="4" w:space="0" w:color="auto"/>
            </w:tcBorders>
            <w:shd w:val="clear" w:color="auto" w:fill="FABF8F"/>
            <w:vAlign w:val="center"/>
          </w:tcPr>
          <w:p w:rsidR="001A63C6" w:rsidRPr="00451078" w:rsidRDefault="001A63C6" w:rsidP="001A63C6">
            <w:pPr>
              <w:pStyle w:val="TableText"/>
              <w:widowControl w:val="0"/>
              <w:rPr>
                <w:rFonts w:ascii="Tahoma" w:hAnsi="Tahoma" w:cs="Tahoma"/>
                <w:sz w:val="13"/>
                <w:lang w:val="it-IT"/>
              </w:rPr>
            </w:pPr>
          </w:p>
        </w:tc>
        <w:tc>
          <w:tcPr>
            <w:tcW w:w="450" w:type="dxa"/>
            <w:tcBorders>
              <w:bottom w:val="single" w:sz="4" w:space="0" w:color="auto"/>
            </w:tcBorders>
            <w:shd w:val="clear" w:color="auto" w:fill="FABF8F"/>
            <w:vAlign w:val="center"/>
          </w:tcPr>
          <w:p w:rsidR="001A63C6" w:rsidRPr="00451078" w:rsidRDefault="001A63C6" w:rsidP="001A63C6">
            <w:pPr>
              <w:pStyle w:val="TableText"/>
              <w:widowControl w:val="0"/>
              <w:rPr>
                <w:rFonts w:ascii="Tahoma" w:hAnsi="Tahoma" w:cs="Tahoma"/>
                <w:sz w:val="13"/>
                <w:lang w:val="it-IT"/>
              </w:rPr>
            </w:pPr>
          </w:p>
        </w:tc>
        <w:tc>
          <w:tcPr>
            <w:tcW w:w="360" w:type="dxa"/>
            <w:tcBorders>
              <w:bottom w:val="single" w:sz="4" w:space="0" w:color="auto"/>
              <w:right w:val="single" w:sz="18" w:space="0" w:color="auto"/>
            </w:tcBorders>
            <w:shd w:val="clear" w:color="auto" w:fill="FABF8F"/>
            <w:vAlign w:val="center"/>
          </w:tcPr>
          <w:p w:rsidR="001A63C6" w:rsidRPr="00451078" w:rsidRDefault="001A63C6" w:rsidP="001A63C6">
            <w:pPr>
              <w:pStyle w:val="TableText"/>
              <w:widowControl w:val="0"/>
              <w:rPr>
                <w:rFonts w:ascii="Tahoma" w:hAnsi="Tahoma" w:cs="Tahoma"/>
                <w:sz w:val="13"/>
                <w:lang w:val="it-IT"/>
              </w:rPr>
            </w:pPr>
          </w:p>
        </w:tc>
        <w:tc>
          <w:tcPr>
            <w:tcW w:w="450" w:type="dxa"/>
            <w:tcBorders>
              <w:left w:val="single" w:sz="18" w:space="0" w:color="auto"/>
              <w:bottom w:val="single" w:sz="4" w:space="0" w:color="auto"/>
            </w:tcBorders>
            <w:shd w:val="clear" w:color="auto" w:fill="FABF8F"/>
            <w:vAlign w:val="center"/>
          </w:tcPr>
          <w:p w:rsidR="001A63C6" w:rsidRPr="00451078" w:rsidRDefault="001A63C6" w:rsidP="001A63C6">
            <w:pPr>
              <w:pStyle w:val="TableText"/>
              <w:widowControl w:val="0"/>
              <w:rPr>
                <w:rFonts w:ascii="Tahoma" w:hAnsi="Tahoma" w:cs="Tahoma"/>
                <w:sz w:val="13"/>
                <w:lang w:val="it-IT"/>
              </w:rPr>
            </w:pPr>
          </w:p>
        </w:tc>
        <w:tc>
          <w:tcPr>
            <w:tcW w:w="450" w:type="dxa"/>
            <w:tcBorders>
              <w:bottom w:val="single" w:sz="4" w:space="0" w:color="auto"/>
            </w:tcBorders>
            <w:shd w:val="clear" w:color="auto" w:fill="FABF8F"/>
            <w:vAlign w:val="center"/>
          </w:tcPr>
          <w:p w:rsidR="001A63C6" w:rsidRPr="00451078" w:rsidRDefault="001A63C6" w:rsidP="001A63C6">
            <w:pPr>
              <w:pStyle w:val="TableText"/>
              <w:widowControl w:val="0"/>
              <w:rPr>
                <w:rFonts w:ascii="Tahoma" w:hAnsi="Tahoma" w:cs="Tahoma"/>
                <w:sz w:val="13"/>
                <w:lang w:val="it-IT"/>
              </w:rPr>
            </w:pPr>
          </w:p>
        </w:tc>
        <w:tc>
          <w:tcPr>
            <w:tcW w:w="450" w:type="dxa"/>
            <w:tcBorders>
              <w:bottom w:val="single" w:sz="4" w:space="0" w:color="auto"/>
              <w:right w:val="single" w:sz="18" w:space="0" w:color="auto"/>
            </w:tcBorders>
            <w:shd w:val="clear" w:color="auto" w:fill="FABF8F"/>
            <w:vAlign w:val="center"/>
          </w:tcPr>
          <w:p w:rsidR="001A63C6" w:rsidRPr="00451078" w:rsidRDefault="001A63C6" w:rsidP="001A63C6">
            <w:pPr>
              <w:pStyle w:val="TableText"/>
              <w:widowControl w:val="0"/>
              <w:rPr>
                <w:rFonts w:ascii="Tahoma" w:hAnsi="Tahoma" w:cs="Tahoma"/>
                <w:sz w:val="13"/>
                <w:lang w:val="it-IT"/>
              </w:rPr>
            </w:pPr>
          </w:p>
        </w:tc>
        <w:tc>
          <w:tcPr>
            <w:tcW w:w="450" w:type="dxa"/>
            <w:tcBorders>
              <w:left w:val="single" w:sz="18" w:space="0" w:color="auto"/>
              <w:bottom w:val="single" w:sz="4" w:space="0" w:color="auto"/>
            </w:tcBorders>
            <w:shd w:val="clear" w:color="auto" w:fill="FABF8F"/>
            <w:vAlign w:val="center"/>
          </w:tcPr>
          <w:p w:rsidR="001A63C6" w:rsidRPr="00451078" w:rsidRDefault="001A63C6" w:rsidP="001A63C6">
            <w:pPr>
              <w:pStyle w:val="TableText"/>
              <w:widowControl w:val="0"/>
              <w:rPr>
                <w:rFonts w:ascii="Tahoma" w:hAnsi="Tahoma" w:cs="Tahoma"/>
                <w:sz w:val="13"/>
                <w:lang w:val="it-IT"/>
              </w:rPr>
            </w:pPr>
          </w:p>
        </w:tc>
        <w:tc>
          <w:tcPr>
            <w:tcW w:w="450" w:type="dxa"/>
            <w:tcBorders>
              <w:bottom w:val="single" w:sz="4" w:space="0" w:color="auto"/>
              <w:right w:val="single" w:sz="18" w:space="0" w:color="auto"/>
            </w:tcBorders>
            <w:shd w:val="clear" w:color="auto" w:fill="FABF8F"/>
            <w:vAlign w:val="center"/>
          </w:tcPr>
          <w:p w:rsidR="001A63C6" w:rsidRPr="00451078" w:rsidRDefault="001A63C6" w:rsidP="001A63C6">
            <w:pPr>
              <w:pStyle w:val="TableText"/>
              <w:widowControl w:val="0"/>
              <w:rPr>
                <w:rFonts w:ascii="Tahoma" w:hAnsi="Tahoma" w:cs="Tahoma"/>
                <w:sz w:val="13"/>
                <w:lang w:val="it-IT"/>
              </w:rPr>
            </w:pP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451078" w:rsidRDefault="001A63C6" w:rsidP="001A63C6">
            <w:pPr>
              <w:pStyle w:val="TableText"/>
              <w:widowControl w:val="0"/>
              <w:rPr>
                <w:rFonts w:ascii="Tahoma" w:hAnsi="Tahoma" w:cs="Tahoma"/>
                <w:sz w:val="13"/>
                <w:lang w:val="it-IT"/>
              </w:rPr>
            </w:pPr>
          </w:p>
        </w:tc>
        <w:tc>
          <w:tcPr>
            <w:tcW w:w="450" w:type="dxa"/>
            <w:tcBorders>
              <w:bottom w:val="single" w:sz="4" w:space="0" w:color="auto"/>
            </w:tcBorders>
            <w:shd w:val="clear" w:color="auto" w:fill="FABF8F"/>
          </w:tcPr>
          <w:p w:rsidR="001A63C6" w:rsidRPr="00451078" w:rsidRDefault="001A63C6" w:rsidP="001A63C6">
            <w:pPr>
              <w:pStyle w:val="TableText"/>
              <w:widowControl w:val="0"/>
              <w:rPr>
                <w:rFonts w:ascii="Tahoma" w:hAnsi="Tahoma" w:cs="Tahoma"/>
                <w:sz w:val="13"/>
                <w:lang w:val="it-IT"/>
              </w:rPr>
            </w:pPr>
          </w:p>
        </w:tc>
        <w:tc>
          <w:tcPr>
            <w:tcW w:w="540" w:type="dxa"/>
            <w:tcBorders>
              <w:bottom w:val="single" w:sz="4" w:space="0" w:color="auto"/>
            </w:tcBorders>
            <w:shd w:val="clear" w:color="auto" w:fill="FABF8F"/>
            <w:vAlign w:val="center"/>
          </w:tcPr>
          <w:p w:rsidR="001A63C6" w:rsidRPr="00451078" w:rsidRDefault="001A63C6" w:rsidP="001A63C6">
            <w:pPr>
              <w:pStyle w:val="TableText"/>
              <w:widowControl w:val="0"/>
              <w:rPr>
                <w:rFonts w:ascii="Tahoma" w:hAnsi="Tahoma" w:cs="Tahoma"/>
                <w:sz w:val="13"/>
                <w:lang w:val="it-IT"/>
              </w:rPr>
            </w:pPr>
          </w:p>
        </w:tc>
      </w:tr>
      <w:tr w:rsidR="001A63C6" w:rsidRPr="003410C7" w:rsidTr="007E466C">
        <w:trPr>
          <w:trHeight w:val="287"/>
        </w:trPr>
        <w:tc>
          <w:tcPr>
            <w:tcW w:w="2734" w:type="dxa"/>
            <w:gridSpan w:val="2"/>
            <w:tcBorders>
              <w:bottom w:val="single" w:sz="4" w:space="0" w:color="auto"/>
            </w:tcBorders>
            <w:shd w:val="clear" w:color="auto" w:fill="auto"/>
            <w:vAlign w:val="center"/>
          </w:tcPr>
          <w:p w:rsidR="001A63C6" w:rsidRPr="00451078" w:rsidRDefault="001A63C6" w:rsidP="00F57878">
            <w:pPr>
              <w:pStyle w:val="Heading2"/>
              <w:spacing w:before="20" w:after="20"/>
              <w:ind w:left="0"/>
              <w:rPr>
                <w:rFonts w:ascii="Tahoma" w:hAnsi="Tahoma" w:cs="Tahoma"/>
                <w:b w:val="0"/>
                <w:sz w:val="14"/>
                <w:szCs w:val="14"/>
                <w:lang w:val="it-IT"/>
              </w:rPr>
            </w:pPr>
            <w:bookmarkStart w:id="518" w:name="_Toc336338117"/>
            <w:bookmarkStart w:id="519" w:name="_Toc352234715"/>
            <w:r w:rsidRPr="00451078">
              <w:rPr>
                <w:rFonts w:ascii="Tahoma" w:hAnsi="Tahoma" w:cs="Tahoma"/>
                <w:b w:val="0"/>
                <w:sz w:val="14"/>
                <w:lang w:val="it-IT"/>
              </w:rPr>
              <w:t>Licenza di Gestione Client per Utente per</w:t>
            </w:r>
            <w:r w:rsidR="00F57878" w:rsidRPr="00451078">
              <w:rPr>
                <w:rFonts w:ascii="Tahoma" w:hAnsi="Tahoma" w:cs="Tahoma"/>
                <w:b w:val="0"/>
                <w:sz w:val="14"/>
                <w:lang w:val="it-IT"/>
              </w:rPr>
              <w:t> </w:t>
            </w:r>
            <w:r w:rsidRPr="00451078">
              <w:rPr>
                <w:rFonts w:ascii="Tahoma" w:hAnsi="Tahoma" w:cs="Tahoma"/>
                <w:b w:val="0"/>
                <w:sz w:val="14"/>
                <w:lang w:val="it-IT"/>
              </w:rPr>
              <w:t>Windows</w:t>
            </w:r>
            <w:r w:rsidR="003410C7" w:rsidRPr="00451078">
              <w:rPr>
                <w:rFonts w:ascii="Tahoma" w:hAnsi="Tahoma" w:cs="Tahoma"/>
                <w:b w:val="0"/>
                <w:sz w:val="14"/>
                <w:vertAlign w:val="superscript"/>
                <w:lang w:val="it-IT"/>
              </w:rPr>
              <w:t>®</w:t>
            </w:r>
            <w:r w:rsidRPr="00451078">
              <w:rPr>
                <w:rFonts w:ascii="Tahoma" w:hAnsi="Tahoma" w:cs="Tahoma"/>
                <w:b w:val="0"/>
                <w:sz w:val="14"/>
                <w:lang w:val="it-IT"/>
              </w:rPr>
              <w:t xml:space="preserve"> Embedded Device Manager</w:t>
            </w:r>
            <w:r w:rsidR="00F57878" w:rsidRPr="00451078">
              <w:rPr>
                <w:rFonts w:ascii="Tahoma" w:hAnsi="Tahoma" w:cs="Tahoma"/>
                <w:b w:val="0"/>
                <w:sz w:val="14"/>
                <w:lang w:val="it-IT"/>
              </w:rPr>
              <w:t> </w:t>
            </w:r>
            <w:r w:rsidRPr="00451078">
              <w:rPr>
                <w:rFonts w:ascii="Tahoma" w:hAnsi="Tahoma" w:cs="Tahoma"/>
                <w:b w:val="0"/>
                <w:sz w:val="14"/>
                <w:lang w:val="it-IT"/>
              </w:rPr>
              <w:t>2011</w:t>
            </w:r>
            <w:bookmarkEnd w:id="518"/>
            <w:bookmarkEnd w:id="519"/>
          </w:p>
        </w:tc>
        <w:tc>
          <w:tcPr>
            <w:tcW w:w="450" w:type="dxa"/>
            <w:tcBorders>
              <w:bottom w:val="single" w:sz="4" w:space="0" w:color="auto"/>
            </w:tcBorders>
            <w:shd w:val="clear" w:color="auto" w:fill="auto"/>
            <w:vAlign w:val="center"/>
          </w:tcPr>
          <w:p w:rsidR="001A63C6" w:rsidRPr="009F17FF" w:rsidRDefault="00FC1A4D" w:rsidP="006615A9">
            <w:pPr>
              <w:pStyle w:val="TableText"/>
              <w:widowControl w:val="0"/>
              <w:spacing w:before="100" w:beforeAutospacing="1"/>
              <w:rPr>
                <w:rFonts w:cs="Tahoma"/>
                <w:b/>
                <w:color w:val="0000FF"/>
                <w:sz w:val="13"/>
                <w:szCs w:val="13"/>
              </w:rPr>
            </w:pPr>
            <w:hyperlink w:anchor="_96_Licenze_di" w:history="1">
              <w:r w:rsidR="000D77F6" w:rsidRPr="00854AAB">
                <w:rPr>
                  <w:rStyle w:val="Hyperlink"/>
                  <w:rFonts w:cs="Tahoma"/>
                  <w:b/>
                  <w:sz w:val="13"/>
                  <w:szCs w:val="13"/>
                </w:rPr>
                <w:t>96</w:t>
              </w:r>
            </w:hyperlink>
          </w:p>
        </w:tc>
        <w:tc>
          <w:tcPr>
            <w:tcW w:w="450" w:type="dxa"/>
            <w:tcBorders>
              <w:bottom w:val="single" w:sz="4" w:space="0" w:color="auto"/>
            </w:tcBorders>
            <w:shd w:val="clear" w:color="auto" w:fill="auto"/>
            <w:vAlign w:val="center"/>
          </w:tcPr>
          <w:p w:rsidR="001A63C6" w:rsidRPr="003410C7" w:rsidRDefault="001A63C6" w:rsidP="001A63C6">
            <w:pPr>
              <w:pStyle w:val="TableText"/>
              <w:widowControl w:val="0"/>
              <w:spacing w:before="80"/>
              <w:rPr>
                <w:rFonts w:ascii="Tahoma" w:hAnsi="Tahoma" w:cs="Tahoma"/>
                <w:sz w:val="13"/>
              </w:rPr>
            </w:pPr>
          </w:p>
        </w:tc>
        <w:tc>
          <w:tcPr>
            <w:tcW w:w="360" w:type="dxa"/>
            <w:tcBorders>
              <w:bottom w:val="single" w:sz="4" w:space="0" w:color="auto"/>
              <w:right w:val="single" w:sz="18" w:space="0" w:color="auto"/>
            </w:tcBorders>
            <w:shd w:val="clear" w:color="auto" w:fill="auto"/>
            <w:vAlign w:val="center"/>
          </w:tcPr>
          <w:p w:rsidR="001A63C6" w:rsidRPr="003410C7" w:rsidRDefault="001A63C6" w:rsidP="001A63C6">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auto"/>
            <w:vAlign w:val="center"/>
          </w:tcPr>
          <w:p w:rsidR="001A63C6" w:rsidRPr="003410C7"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3410C7"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3410C7"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3410C7"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3410C7"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3410C7" w:rsidRDefault="001A63C6" w:rsidP="001A63C6">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auto"/>
            <w:vAlign w:val="center"/>
          </w:tcPr>
          <w:p w:rsidR="001A63C6" w:rsidRPr="003410C7"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1A63C6" w:rsidRPr="003410C7"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3410C7"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1A63C6" w:rsidRPr="003410C7"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1A63C6" w:rsidRPr="003410C7"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1A63C6" w:rsidRPr="003410C7"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rsidR="001A63C6" w:rsidRPr="003410C7"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tcPr>
          <w:p w:rsidR="001A63C6" w:rsidRPr="003410C7" w:rsidRDefault="001A63C6" w:rsidP="001A63C6">
            <w:pPr>
              <w:pStyle w:val="TableText"/>
              <w:widowControl w:val="0"/>
              <w:rPr>
                <w:rFonts w:ascii="Tahoma" w:hAnsi="Tahoma" w:cs="Tahoma"/>
                <w:sz w:val="13"/>
              </w:rPr>
            </w:pPr>
          </w:p>
        </w:tc>
        <w:tc>
          <w:tcPr>
            <w:tcW w:w="540" w:type="dxa"/>
            <w:tcBorders>
              <w:bottom w:val="single" w:sz="4" w:space="0" w:color="auto"/>
            </w:tcBorders>
            <w:shd w:val="clear" w:color="auto" w:fill="auto"/>
            <w:vAlign w:val="center"/>
          </w:tcPr>
          <w:p w:rsidR="001A63C6" w:rsidRPr="003410C7" w:rsidRDefault="001A63C6" w:rsidP="001A63C6">
            <w:pPr>
              <w:pStyle w:val="TableText"/>
              <w:widowControl w:val="0"/>
              <w:rPr>
                <w:rFonts w:ascii="Tahoma" w:hAnsi="Tahoma" w:cs="Tahoma"/>
                <w:sz w:val="13"/>
              </w:rPr>
            </w:pPr>
          </w:p>
        </w:tc>
      </w:tr>
      <w:tr w:rsidR="00B33D0E" w:rsidRPr="003410C7" w:rsidTr="006B1F3F">
        <w:trPr>
          <w:trHeight w:val="287"/>
        </w:trPr>
        <w:tc>
          <w:tcPr>
            <w:tcW w:w="2734" w:type="dxa"/>
            <w:gridSpan w:val="2"/>
            <w:tcBorders>
              <w:bottom w:val="single" w:sz="4" w:space="0" w:color="auto"/>
            </w:tcBorders>
            <w:shd w:val="clear" w:color="auto" w:fill="FABF8F"/>
            <w:vAlign w:val="center"/>
          </w:tcPr>
          <w:p w:rsidR="001A63C6" w:rsidRPr="003410C7" w:rsidRDefault="001A63C6" w:rsidP="001A63C6">
            <w:pPr>
              <w:pStyle w:val="Heading2"/>
              <w:spacing w:before="20" w:after="20"/>
              <w:ind w:left="0"/>
              <w:rPr>
                <w:rFonts w:ascii="Tahoma" w:hAnsi="Tahoma" w:cs="Tahoma"/>
                <w:b w:val="0"/>
                <w:sz w:val="14"/>
                <w:szCs w:val="14"/>
              </w:rPr>
            </w:pPr>
            <w:bookmarkStart w:id="520" w:name="_Toc336338118"/>
            <w:bookmarkStart w:id="521" w:name="_Toc352234716"/>
            <w:r w:rsidRPr="003410C7">
              <w:rPr>
                <w:rFonts w:ascii="Tahoma" w:hAnsi="Tahoma" w:cs="Tahoma"/>
                <w:b w:val="0"/>
                <w:sz w:val="14"/>
              </w:rPr>
              <w:t>Windows</w:t>
            </w:r>
            <w:r w:rsidR="003410C7" w:rsidRPr="003410C7">
              <w:rPr>
                <w:rFonts w:ascii="Tahoma" w:hAnsi="Tahoma" w:cs="Tahoma"/>
                <w:b w:val="0"/>
                <w:sz w:val="14"/>
                <w:vertAlign w:val="superscript"/>
              </w:rPr>
              <w:t>®</w:t>
            </w:r>
            <w:r w:rsidRPr="003410C7">
              <w:rPr>
                <w:rFonts w:ascii="Tahoma" w:hAnsi="Tahoma" w:cs="Tahoma"/>
                <w:b w:val="0"/>
                <w:sz w:val="14"/>
              </w:rPr>
              <w:t xml:space="preserve"> Embedded Device Manager 2011 con Tecnologia SQL Server</w:t>
            </w:r>
            <w:r w:rsidR="003410C7" w:rsidRPr="003410C7">
              <w:rPr>
                <w:rFonts w:ascii="Tahoma" w:hAnsi="Tahoma" w:cs="Tahoma"/>
                <w:b w:val="0"/>
                <w:sz w:val="14"/>
                <w:vertAlign w:val="superscript"/>
              </w:rPr>
              <w:t>®</w:t>
            </w:r>
            <w:r w:rsidRPr="003410C7">
              <w:rPr>
                <w:rFonts w:ascii="Tahoma" w:hAnsi="Tahoma" w:cs="Tahoma"/>
                <w:b w:val="0"/>
                <w:sz w:val="14"/>
              </w:rPr>
              <w:t xml:space="preserve"> 2008</w:t>
            </w:r>
            <w:bookmarkEnd w:id="520"/>
            <w:bookmarkEnd w:id="521"/>
          </w:p>
        </w:tc>
        <w:tc>
          <w:tcPr>
            <w:tcW w:w="450" w:type="dxa"/>
            <w:tcBorders>
              <w:bottom w:val="single" w:sz="4" w:space="0" w:color="auto"/>
            </w:tcBorders>
            <w:shd w:val="clear" w:color="auto" w:fill="FABF8F"/>
            <w:vAlign w:val="center"/>
          </w:tcPr>
          <w:p w:rsidR="001A63C6" w:rsidRPr="009F17FF" w:rsidRDefault="00FC1A4D" w:rsidP="006615A9">
            <w:pPr>
              <w:pStyle w:val="TableText"/>
              <w:widowControl w:val="0"/>
              <w:spacing w:before="100" w:beforeAutospacing="1"/>
              <w:rPr>
                <w:rFonts w:cs="Tahoma"/>
                <w:b/>
                <w:color w:val="0000FF"/>
                <w:sz w:val="13"/>
                <w:szCs w:val="13"/>
                <w:u w:val="single"/>
              </w:rPr>
            </w:pPr>
            <w:hyperlink w:anchor="_96_Licenze_di" w:history="1">
              <w:r w:rsidR="00854AAB" w:rsidRPr="00854AAB">
                <w:rPr>
                  <w:rStyle w:val="Hyperlink"/>
                  <w:rFonts w:cs="Tahoma"/>
                  <w:b/>
                  <w:sz w:val="13"/>
                  <w:szCs w:val="13"/>
                </w:rPr>
                <w:t>96</w:t>
              </w:r>
            </w:hyperlink>
          </w:p>
        </w:tc>
        <w:tc>
          <w:tcPr>
            <w:tcW w:w="450" w:type="dxa"/>
            <w:tcBorders>
              <w:bottom w:val="single" w:sz="4" w:space="0" w:color="auto"/>
            </w:tcBorders>
            <w:shd w:val="clear" w:color="auto" w:fill="FABF8F"/>
            <w:vAlign w:val="center"/>
          </w:tcPr>
          <w:p w:rsidR="001A63C6" w:rsidRPr="003410C7" w:rsidRDefault="001A63C6" w:rsidP="001A63C6">
            <w:pPr>
              <w:pStyle w:val="TableText"/>
              <w:widowControl w:val="0"/>
              <w:spacing w:before="8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rsidR="001A63C6" w:rsidRPr="003410C7" w:rsidRDefault="001A63C6" w:rsidP="001A63C6">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FABF8F"/>
            <w:vAlign w:val="center"/>
          </w:tcPr>
          <w:p w:rsidR="001A63C6" w:rsidRPr="003410C7"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3410C7"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3410C7"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3410C7"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3410C7"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3410C7" w:rsidRDefault="001A63C6" w:rsidP="001A63C6">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rsidR="001A63C6" w:rsidRPr="003410C7"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3410C7"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3410C7"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1A63C6" w:rsidRPr="003410C7"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3410C7"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1A63C6" w:rsidRPr="003410C7"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3410C7"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tcPr>
          <w:p w:rsidR="001A63C6" w:rsidRPr="003410C7" w:rsidRDefault="001A63C6" w:rsidP="001A63C6">
            <w:pPr>
              <w:pStyle w:val="TableText"/>
              <w:widowControl w:val="0"/>
              <w:rPr>
                <w:rFonts w:ascii="Tahoma" w:hAnsi="Tahoma" w:cs="Tahoma"/>
                <w:sz w:val="13"/>
              </w:rPr>
            </w:pPr>
          </w:p>
        </w:tc>
        <w:tc>
          <w:tcPr>
            <w:tcW w:w="540" w:type="dxa"/>
            <w:tcBorders>
              <w:bottom w:val="single" w:sz="4" w:space="0" w:color="auto"/>
            </w:tcBorders>
            <w:shd w:val="clear" w:color="auto" w:fill="FABF8F"/>
            <w:vAlign w:val="center"/>
          </w:tcPr>
          <w:p w:rsidR="001A63C6" w:rsidRPr="003410C7" w:rsidRDefault="001A63C6" w:rsidP="001A63C6">
            <w:pPr>
              <w:pStyle w:val="TableText"/>
              <w:widowControl w:val="0"/>
              <w:rPr>
                <w:rFonts w:ascii="Tahoma" w:hAnsi="Tahoma" w:cs="Tahoma"/>
                <w:sz w:val="13"/>
              </w:rPr>
            </w:pPr>
          </w:p>
        </w:tc>
      </w:tr>
      <w:tr w:rsidR="001A63C6" w:rsidRPr="003410C7" w:rsidTr="007E466C">
        <w:trPr>
          <w:trHeight w:val="287"/>
        </w:trPr>
        <w:tc>
          <w:tcPr>
            <w:tcW w:w="2734" w:type="dxa"/>
            <w:gridSpan w:val="2"/>
            <w:tcBorders>
              <w:bottom w:val="single" w:sz="4" w:space="0" w:color="auto"/>
            </w:tcBorders>
            <w:shd w:val="clear" w:color="auto" w:fill="auto"/>
            <w:vAlign w:val="center"/>
          </w:tcPr>
          <w:p w:rsidR="001A63C6" w:rsidRPr="003410C7" w:rsidRDefault="001A63C6" w:rsidP="00FE2D13">
            <w:pPr>
              <w:pStyle w:val="Heading2"/>
              <w:spacing w:before="20" w:after="20"/>
              <w:ind w:left="0"/>
              <w:rPr>
                <w:rFonts w:ascii="Tahoma" w:hAnsi="Tahoma" w:cs="Tahoma"/>
                <w:b w:val="0"/>
                <w:sz w:val="14"/>
                <w:szCs w:val="14"/>
              </w:rPr>
            </w:pPr>
            <w:bookmarkStart w:id="522" w:name="_Toc336338119"/>
            <w:bookmarkStart w:id="523" w:name="_Toc352234717"/>
            <w:r w:rsidRPr="003410C7">
              <w:rPr>
                <w:rFonts w:ascii="Tahoma" w:hAnsi="Tahoma" w:cs="Tahoma"/>
                <w:b w:val="0"/>
                <w:sz w:val="14"/>
                <w:szCs w:val="14"/>
              </w:rPr>
              <w:t>Windows Essential Business Server</w:t>
            </w:r>
            <w:r w:rsidR="00FE2D13">
              <w:rPr>
                <w:rFonts w:ascii="Tahoma" w:hAnsi="Tahoma" w:cs="Tahoma"/>
                <w:b w:val="0"/>
                <w:sz w:val="14"/>
                <w:szCs w:val="14"/>
              </w:rPr>
              <w:t> </w:t>
            </w:r>
            <w:r w:rsidRPr="003410C7">
              <w:rPr>
                <w:rFonts w:ascii="Tahoma" w:hAnsi="Tahoma" w:cs="Tahoma"/>
                <w:b w:val="0"/>
                <w:sz w:val="14"/>
                <w:szCs w:val="14"/>
              </w:rPr>
              <w:t>2008</w:t>
            </w:r>
            <w:r w:rsidR="00F57878">
              <w:rPr>
                <w:rFonts w:ascii="Tahoma" w:hAnsi="Tahoma" w:cs="Tahoma"/>
                <w:b w:val="0"/>
                <w:sz w:val="14"/>
                <w:szCs w:val="14"/>
              </w:rPr>
              <w:t> </w:t>
            </w:r>
            <w:r w:rsidRPr="003410C7">
              <w:rPr>
                <w:rFonts w:ascii="Tahoma" w:hAnsi="Tahoma" w:cs="Tahoma"/>
                <w:b w:val="0"/>
                <w:sz w:val="14"/>
                <w:szCs w:val="14"/>
              </w:rPr>
              <w:t>Standard</w:t>
            </w:r>
            <w:bookmarkEnd w:id="522"/>
            <w:bookmarkEnd w:id="523"/>
          </w:p>
        </w:tc>
        <w:tc>
          <w:tcPr>
            <w:tcW w:w="450" w:type="dxa"/>
            <w:tcBorders>
              <w:bottom w:val="single" w:sz="4" w:space="0" w:color="auto"/>
            </w:tcBorders>
            <w:shd w:val="clear" w:color="auto" w:fill="auto"/>
            <w:vAlign w:val="center"/>
          </w:tcPr>
          <w:p w:rsidR="001A63C6" w:rsidRPr="009F17FF" w:rsidRDefault="00FC1A4D" w:rsidP="006615A9">
            <w:pPr>
              <w:pStyle w:val="TableText"/>
              <w:widowControl w:val="0"/>
              <w:spacing w:before="100" w:beforeAutospacing="1"/>
              <w:rPr>
                <w:rStyle w:val="EndnoteReference"/>
                <w:rFonts w:cs="Tahoma"/>
                <w:b w:val="0"/>
                <w:color w:val="0000FF"/>
                <w:sz w:val="13"/>
                <w:szCs w:val="13"/>
                <w:u w:val="single"/>
              </w:rPr>
            </w:pPr>
            <w:hyperlink w:anchor="_97_Windows_EBS" w:history="1">
              <w:r w:rsidR="000D77F6" w:rsidRPr="00854AAB">
                <w:rPr>
                  <w:rStyle w:val="Hyperlink"/>
                  <w:rFonts w:cs="Tahoma"/>
                  <w:b/>
                  <w:sz w:val="13"/>
                  <w:szCs w:val="13"/>
                </w:rPr>
                <w:t>97</w:t>
              </w:r>
            </w:hyperlink>
          </w:p>
        </w:tc>
        <w:tc>
          <w:tcPr>
            <w:tcW w:w="450" w:type="dxa"/>
            <w:tcBorders>
              <w:bottom w:val="single" w:sz="4" w:space="0" w:color="auto"/>
            </w:tcBorders>
            <w:shd w:val="clear" w:color="auto" w:fill="auto"/>
            <w:vAlign w:val="center"/>
          </w:tcPr>
          <w:p w:rsidR="001A63C6" w:rsidRPr="003410C7" w:rsidRDefault="001A63C6" w:rsidP="001A63C6">
            <w:pPr>
              <w:pStyle w:val="TableText"/>
              <w:widowControl w:val="0"/>
              <w:spacing w:before="80"/>
              <w:rPr>
                <w:rFonts w:ascii="Tahoma" w:hAnsi="Tahoma" w:cs="Tahoma"/>
                <w:sz w:val="13"/>
              </w:rPr>
            </w:pPr>
          </w:p>
        </w:tc>
        <w:tc>
          <w:tcPr>
            <w:tcW w:w="360" w:type="dxa"/>
            <w:tcBorders>
              <w:bottom w:val="single" w:sz="4" w:space="0" w:color="auto"/>
              <w:right w:val="single" w:sz="18" w:space="0" w:color="auto"/>
            </w:tcBorders>
            <w:shd w:val="clear" w:color="auto" w:fill="auto"/>
            <w:vAlign w:val="center"/>
          </w:tcPr>
          <w:p w:rsidR="001A63C6" w:rsidRPr="003410C7" w:rsidRDefault="001A63C6" w:rsidP="001A63C6">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auto"/>
            <w:vAlign w:val="center"/>
          </w:tcPr>
          <w:p w:rsidR="001A63C6" w:rsidRPr="003410C7"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3410C7"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3410C7"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3410C7"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3410C7"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3410C7" w:rsidRDefault="001A63C6" w:rsidP="001A63C6">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auto"/>
            <w:vAlign w:val="center"/>
          </w:tcPr>
          <w:p w:rsidR="001A63C6" w:rsidRPr="003410C7"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1A63C6" w:rsidRPr="003410C7"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3410C7"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1A63C6" w:rsidRPr="003410C7"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1A63C6" w:rsidRPr="003410C7"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1A63C6" w:rsidRPr="003410C7"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rsidR="001A63C6" w:rsidRPr="003410C7"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tcPr>
          <w:p w:rsidR="001A63C6" w:rsidRPr="003410C7" w:rsidRDefault="001A63C6" w:rsidP="001A63C6">
            <w:pPr>
              <w:pStyle w:val="TableText"/>
              <w:widowControl w:val="0"/>
              <w:rPr>
                <w:rFonts w:ascii="Tahoma" w:hAnsi="Tahoma" w:cs="Tahoma"/>
                <w:sz w:val="13"/>
              </w:rPr>
            </w:pPr>
          </w:p>
        </w:tc>
        <w:tc>
          <w:tcPr>
            <w:tcW w:w="540" w:type="dxa"/>
            <w:tcBorders>
              <w:bottom w:val="single" w:sz="4" w:space="0" w:color="auto"/>
            </w:tcBorders>
            <w:shd w:val="clear" w:color="auto" w:fill="auto"/>
            <w:vAlign w:val="center"/>
          </w:tcPr>
          <w:p w:rsidR="001A63C6" w:rsidRPr="003410C7" w:rsidRDefault="001A63C6" w:rsidP="001A63C6">
            <w:pPr>
              <w:pStyle w:val="TableText"/>
              <w:widowControl w:val="0"/>
              <w:rPr>
                <w:rFonts w:ascii="Tahoma" w:hAnsi="Tahoma" w:cs="Tahoma"/>
                <w:sz w:val="13"/>
              </w:rPr>
            </w:pPr>
          </w:p>
        </w:tc>
      </w:tr>
      <w:tr w:rsidR="00B33D0E" w:rsidRPr="003410C7" w:rsidTr="006B1F3F">
        <w:trPr>
          <w:trHeight w:val="287"/>
        </w:trPr>
        <w:tc>
          <w:tcPr>
            <w:tcW w:w="2734" w:type="dxa"/>
            <w:gridSpan w:val="2"/>
            <w:tcBorders>
              <w:bottom w:val="single" w:sz="4" w:space="0" w:color="auto"/>
            </w:tcBorders>
            <w:shd w:val="clear" w:color="auto" w:fill="FABF8F"/>
            <w:vAlign w:val="center"/>
          </w:tcPr>
          <w:p w:rsidR="001A63C6" w:rsidRPr="003410C7" w:rsidRDefault="001A63C6" w:rsidP="00F57878">
            <w:pPr>
              <w:pStyle w:val="Heading2"/>
              <w:spacing w:before="20" w:after="20"/>
              <w:ind w:left="0"/>
              <w:rPr>
                <w:rFonts w:ascii="Tahoma" w:hAnsi="Tahoma" w:cs="Tahoma"/>
                <w:b w:val="0"/>
                <w:sz w:val="14"/>
                <w:szCs w:val="14"/>
              </w:rPr>
            </w:pPr>
            <w:bookmarkStart w:id="524" w:name="_Toc336338120"/>
            <w:bookmarkStart w:id="525" w:name="_Toc352234718"/>
            <w:r w:rsidRPr="003410C7">
              <w:rPr>
                <w:rFonts w:ascii="Tahoma" w:hAnsi="Tahoma" w:cs="Tahoma"/>
                <w:b w:val="0"/>
                <w:sz w:val="14"/>
                <w:szCs w:val="14"/>
              </w:rPr>
              <w:t>CAL Suite per Windows Essential Business</w:t>
            </w:r>
            <w:r w:rsidR="00F57878">
              <w:rPr>
                <w:rFonts w:ascii="Tahoma" w:hAnsi="Tahoma" w:cs="Tahoma"/>
                <w:b w:val="0"/>
                <w:sz w:val="14"/>
                <w:szCs w:val="14"/>
              </w:rPr>
              <w:t> </w:t>
            </w:r>
            <w:r w:rsidRPr="003410C7">
              <w:rPr>
                <w:rFonts w:ascii="Tahoma" w:hAnsi="Tahoma" w:cs="Tahoma"/>
                <w:b w:val="0"/>
                <w:sz w:val="14"/>
                <w:szCs w:val="14"/>
              </w:rPr>
              <w:t>Server 2008</w:t>
            </w:r>
            <w:bookmarkEnd w:id="524"/>
            <w:bookmarkEnd w:id="525"/>
          </w:p>
        </w:tc>
        <w:tc>
          <w:tcPr>
            <w:tcW w:w="450" w:type="dxa"/>
            <w:tcBorders>
              <w:bottom w:val="single" w:sz="4" w:space="0" w:color="auto"/>
            </w:tcBorders>
            <w:shd w:val="clear" w:color="auto" w:fill="FABF8F"/>
            <w:vAlign w:val="center"/>
          </w:tcPr>
          <w:p w:rsidR="001A63C6" w:rsidRPr="009F17FF" w:rsidRDefault="001A63C6" w:rsidP="001A63C6">
            <w:pPr>
              <w:pStyle w:val="TableText"/>
              <w:widowControl w:val="0"/>
              <w:spacing w:before="100" w:beforeAutospacing="1"/>
              <w:rPr>
                <w:rStyle w:val="EndnoteReference"/>
                <w:rFonts w:cs="Tahoma"/>
                <w:color w:val="0000FF"/>
                <w:sz w:val="13"/>
                <w:szCs w:val="13"/>
              </w:rPr>
            </w:pPr>
          </w:p>
        </w:tc>
        <w:tc>
          <w:tcPr>
            <w:tcW w:w="450" w:type="dxa"/>
            <w:tcBorders>
              <w:bottom w:val="single" w:sz="4" w:space="0" w:color="auto"/>
            </w:tcBorders>
            <w:shd w:val="clear" w:color="auto" w:fill="FABF8F"/>
            <w:vAlign w:val="center"/>
          </w:tcPr>
          <w:p w:rsidR="001A63C6" w:rsidRPr="003410C7" w:rsidRDefault="001A63C6" w:rsidP="001A63C6">
            <w:pPr>
              <w:pStyle w:val="TableText"/>
              <w:widowControl w:val="0"/>
              <w:spacing w:before="80"/>
              <w:rPr>
                <w:rFonts w:ascii="Tahoma" w:hAnsi="Tahoma" w:cs="Tahoma"/>
                <w:sz w:val="13"/>
              </w:rPr>
            </w:pPr>
            <w:r w:rsidRPr="003410C7">
              <w:rPr>
                <w:rFonts w:ascii="Tahoma" w:hAnsi="Tahoma" w:cs="Tahoma"/>
                <w:sz w:val="13"/>
              </w:rPr>
              <w:t>11/08</w:t>
            </w:r>
          </w:p>
        </w:tc>
        <w:tc>
          <w:tcPr>
            <w:tcW w:w="360" w:type="dxa"/>
            <w:tcBorders>
              <w:bottom w:val="single" w:sz="4" w:space="0" w:color="auto"/>
              <w:right w:val="single" w:sz="18" w:space="0" w:color="auto"/>
            </w:tcBorders>
            <w:shd w:val="clear" w:color="auto" w:fill="FABF8F"/>
            <w:vAlign w:val="center"/>
          </w:tcPr>
          <w:p w:rsidR="001A63C6" w:rsidRPr="003410C7" w:rsidRDefault="001A63C6" w:rsidP="001A63C6">
            <w:pPr>
              <w:pStyle w:val="TableText"/>
              <w:widowControl w:val="0"/>
              <w:rPr>
                <w:rFonts w:ascii="Tahoma" w:hAnsi="Tahoma" w:cs="Tahoma"/>
                <w:sz w:val="13"/>
              </w:rPr>
            </w:pPr>
            <w:r w:rsidRPr="003410C7">
              <w:rPr>
                <w:rFonts w:ascii="Tahoma" w:hAnsi="Tahoma" w:cs="Tahoma"/>
                <w:sz w:val="13"/>
              </w:rPr>
              <w:t>SRV</w:t>
            </w:r>
          </w:p>
        </w:tc>
        <w:tc>
          <w:tcPr>
            <w:tcW w:w="360" w:type="dxa"/>
            <w:tcBorders>
              <w:left w:val="single" w:sz="18" w:space="0" w:color="auto"/>
              <w:bottom w:val="single" w:sz="4" w:space="0" w:color="auto"/>
            </w:tcBorders>
            <w:shd w:val="clear" w:color="auto" w:fill="FABF8F"/>
            <w:vAlign w:val="center"/>
          </w:tcPr>
          <w:p w:rsidR="001A63C6" w:rsidRPr="003410C7"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3410C7"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3410C7"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3410C7"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3410C7"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3410C7" w:rsidRDefault="001A63C6" w:rsidP="001A63C6">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rsidR="001A63C6" w:rsidRPr="003410C7"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3410C7"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3410C7"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1A63C6" w:rsidRPr="003410C7"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3410C7"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1A63C6" w:rsidRPr="003410C7"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3410C7"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tcPr>
          <w:p w:rsidR="001A63C6" w:rsidRPr="003410C7" w:rsidRDefault="001A63C6" w:rsidP="001A63C6">
            <w:pPr>
              <w:pStyle w:val="TableText"/>
              <w:widowControl w:val="0"/>
              <w:rPr>
                <w:rFonts w:ascii="Tahoma" w:hAnsi="Tahoma" w:cs="Tahoma"/>
                <w:sz w:val="13"/>
              </w:rPr>
            </w:pPr>
          </w:p>
        </w:tc>
        <w:tc>
          <w:tcPr>
            <w:tcW w:w="540" w:type="dxa"/>
            <w:tcBorders>
              <w:bottom w:val="single" w:sz="4" w:space="0" w:color="auto"/>
            </w:tcBorders>
            <w:shd w:val="clear" w:color="auto" w:fill="FABF8F"/>
            <w:vAlign w:val="center"/>
          </w:tcPr>
          <w:p w:rsidR="001A63C6" w:rsidRPr="003410C7" w:rsidRDefault="001A63C6" w:rsidP="001A63C6">
            <w:pPr>
              <w:pStyle w:val="TableText"/>
              <w:widowControl w:val="0"/>
              <w:rPr>
                <w:rFonts w:ascii="Tahoma" w:hAnsi="Tahoma" w:cs="Tahoma"/>
                <w:sz w:val="13"/>
              </w:rPr>
            </w:pPr>
          </w:p>
        </w:tc>
      </w:tr>
      <w:tr w:rsidR="001A63C6" w:rsidRPr="003410C7" w:rsidTr="007E466C">
        <w:trPr>
          <w:trHeight w:val="287"/>
        </w:trPr>
        <w:tc>
          <w:tcPr>
            <w:tcW w:w="2734" w:type="dxa"/>
            <w:gridSpan w:val="2"/>
            <w:tcBorders>
              <w:bottom w:val="single" w:sz="4" w:space="0" w:color="auto"/>
            </w:tcBorders>
            <w:shd w:val="clear" w:color="auto" w:fill="auto"/>
            <w:vAlign w:val="center"/>
          </w:tcPr>
          <w:p w:rsidR="001A63C6" w:rsidRPr="003410C7" w:rsidRDefault="001A63C6" w:rsidP="00F57878">
            <w:pPr>
              <w:pStyle w:val="Heading2"/>
              <w:spacing w:before="20" w:after="20"/>
              <w:ind w:left="0"/>
              <w:rPr>
                <w:rFonts w:ascii="Tahoma" w:hAnsi="Tahoma" w:cs="Tahoma"/>
                <w:b w:val="0"/>
                <w:sz w:val="14"/>
                <w:szCs w:val="14"/>
              </w:rPr>
            </w:pPr>
            <w:bookmarkStart w:id="526" w:name="_Toc336338121"/>
            <w:bookmarkStart w:id="527" w:name="_Toc352234719"/>
            <w:r w:rsidRPr="003410C7">
              <w:rPr>
                <w:rFonts w:ascii="Tahoma" w:hAnsi="Tahoma" w:cs="Tahoma"/>
                <w:b w:val="0"/>
                <w:sz w:val="14"/>
                <w:szCs w:val="14"/>
              </w:rPr>
              <w:t>CAL Suite per Windows Essential Business</w:t>
            </w:r>
            <w:r w:rsidR="00F57878">
              <w:rPr>
                <w:rFonts w:ascii="Tahoma" w:hAnsi="Tahoma" w:cs="Tahoma"/>
                <w:b w:val="0"/>
                <w:sz w:val="14"/>
                <w:szCs w:val="14"/>
              </w:rPr>
              <w:t> </w:t>
            </w:r>
            <w:r w:rsidRPr="003410C7">
              <w:rPr>
                <w:rFonts w:ascii="Tahoma" w:hAnsi="Tahoma" w:cs="Tahoma"/>
                <w:b w:val="0"/>
                <w:sz w:val="14"/>
                <w:szCs w:val="14"/>
              </w:rPr>
              <w:t>Server 2008 (5 client)</w:t>
            </w:r>
            <w:bookmarkEnd w:id="526"/>
            <w:bookmarkEnd w:id="527"/>
          </w:p>
        </w:tc>
        <w:tc>
          <w:tcPr>
            <w:tcW w:w="450" w:type="dxa"/>
            <w:tcBorders>
              <w:bottom w:val="single" w:sz="4" w:space="0" w:color="auto"/>
            </w:tcBorders>
            <w:shd w:val="clear" w:color="auto" w:fill="auto"/>
            <w:vAlign w:val="center"/>
          </w:tcPr>
          <w:p w:rsidR="001A63C6" w:rsidRPr="009F17FF" w:rsidRDefault="001A63C6" w:rsidP="001A63C6">
            <w:pPr>
              <w:pStyle w:val="TableText"/>
              <w:widowControl w:val="0"/>
              <w:spacing w:before="100" w:beforeAutospacing="1"/>
              <w:rPr>
                <w:rStyle w:val="EndnoteReference"/>
                <w:rFonts w:cs="Tahoma"/>
                <w:color w:val="0000FF"/>
                <w:sz w:val="13"/>
                <w:szCs w:val="13"/>
              </w:rPr>
            </w:pPr>
          </w:p>
        </w:tc>
        <w:tc>
          <w:tcPr>
            <w:tcW w:w="450" w:type="dxa"/>
            <w:tcBorders>
              <w:bottom w:val="single" w:sz="4" w:space="0" w:color="auto"/>
            </w:tcBorders>
            <w:shd w:val="clear" w:color="auto" w:fill="auto"/>
            <w:vAlign w:val="center"/>
          </w:tcPr>
          <w:p w:rsidR="001A63C6" w:rsidRPr="003410C7" w:rsidRDefault="001A63C6" w:rsidP="001A63C6">
            <w:pPr>
              <w:pStyle w:val="TableText"/>
              <w:widowControl w:val="0"/>
              <w:spacing w:before="80"/>
              <w:rPr>
                <w:rFonts w:ascii="Tahoma" w:hAnsi="Tahoma" w:cs="Tahoma"/>
                <w:sz w:val="13"/>
              </w:rPr>
            </w:pPr>
            <w:r w:rsidRPr="003410C7">
              <w:rPr>
                <w:rFonts w:ascii="Tahoma" w:hAnsi="Tahoma" w:cs="Tahoma"/>
                <w:sz w:val="13"/>
              </w:rPr>
              <w:t>11/08</w:t>
            </w:r>
          </w:p>
        </w:tc>
        <w:tc>
          <w:tcPr>
            <w:tcW w:w="360" w:type="dxa"/>
            <w:tcBorders>
              <w:bottom w:val="single" w:sz="4" w:space="0" w:color="auto"/>
              <w:right w:val="single" w:sz="18" w:space="0" w:color="auto"/>
            </w:tcBorders>
            <w:shd w:val="clear" w:color="auto" w:fill="auto"/>
            <w:vAlign w:val="center"/>
          </w:tcPr>
          <w:p w:rsidR="001A63C6" w:rsidRPr="003410C7" w:rsidRDefault="001A63C6" w:rsidP="001A63C6">
            <w:pPr>
              <w:pStyle w:val="TableText"/>
              <w:widowControl w:val="0"/>
              <w:rPr>
                <w:rFonts w:ascii="Tahoma" w:hAnsi="Tahoma" w:cs="Tahoma"/>
                <w:sz w:val="13"/>
              </w:rPr>
            </w:pPr>
            <w:r w:rsidRPr="003410C7">
              <w:rPr>
                <w:rFonts w:ascii="Tahoma" w:hAnsi="Tahoma" w:cs="Tahoma"/>
                <w:sz w:val="13"/>
              </w:rPr>
              <w:t>SRV</w:t>
            </w:r>
          </w:p>
        </w:tc>
        <w:tc>
          <w:tcPr>
            <w:tcW w:w="360" w:type="dxa"/>
            <w:tcBorders>
              <w:left w:val="single" w:sz="18" w:space="0" w:color="auto"/>
              <w:bottom w:val="single" w:sz="4" w:space="0" w:color="auto"/>
            </w:tcBorders>
            <w:shd w:val="clear" w:color="auto" w:fill="auto"/>
            <w:vAlign w:val="center"/>
          </w:tcPr>
          <w:p w:rsidR="001A63C6" w:rsidRPr="003410C7"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3410C7"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3410C7"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3410C7"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3410C7"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3410C7" w:rsidRDefault="001A63C6" w:rsidP="001A63C6">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auto"/>
            <w:vAlign w:val="center"/>
          </w:tcPr>
          <w:p w:rsidR="001A63C6" w:rsidRPr="003410C7"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1A63C6" w:rsidRPr="003410C7" w:rsidRDefault="001A63C6" w:rsidP="001A63C6">
            <w:pPr>
              <w:pStyle w:val="TableText"/>
              <w:widowControl w:val="0"/>
              <w:rPr>
                <w:rFonts w:ascii="Tahoma" w:hAnsi="Tahoma" w:cs="Tahoma"/>
                <w:sz w:val="13"/>
              </w:rPr>
            </w:pPr>
            <w:r w:rsidRPr="003410C7">
              <w:rPr>
                <w:rFonts w:ascii="Tahoma" w:hAnsi="Tahoma" w:cs="Tahoma"/>
                <w:sz w:val="13"/>
              </w:rPr>
              <w:t>5</w:t>
            </w:r>
          </w:p>
        </w:tc>
        <w:tc>
          <w:tcPr>
            <w:tcW w:w="450" w:type="dxa"/>
            <w:tcBorders>
              <w:bottom w:val="single" w:sz="4" w:space="0" w:color="auto"/>
            </w:tcBorders>
            <w:shd w:val="clear" w:color="auto" w:fill="auto"/>
            <w:vAlign w:val="center"/>
          </w:tcPr>
          <w:p w:rsidR="001A63C6" w:rsidRPr="003410C7"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1A63C6" w:rsidRPr="003410C7"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1A63C6" w:rsidRPr="003410C7"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1A63C6" w:rsidRPr="003410C7"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rsidR="001A63C6" w:rsidRPr="003410C7" w:rsidRDefault="001A63C6" w:rsidP="001A63C6">
            <w:pPr>
              <w:pStyle w:val="TableText"/>
              <w:widowControl w:val="0"/>
              <w:rPr>
                <w:rFonts w:ascii="Tahoma" w:hAnsi="Tahoma" w:cs="Tahoma"/>
                <w:sz w:val="13"/>
              </w:rPr>
            </w:pPr>
            <w:r w:rsidRPr="003410C7">
              <w:rPr>
                <w:rFonts w:ascii="Tahoma" w:hAnsi="Tahoma" w:cs="Tahoma"/>
                <w:sz w:val="13"/>
              </w:rPr>
              <w:t>P</w:t>
            </w:r>
          </w:p>
        </w:tc>
        <w:tc>
          <w:tcPr>
            <w:tcW w:w="450" w:type="dxa"/>
            <w:tcBorders>
              <w:bottom w:val="single" w:sz="4" w:space="0" w:color="auto"/>
            </w:tcBorders>
            <w:shd w:val="clear" w:color="auto" w:fill="auto"/>
          </w:tcPr>
          <w:p w:rsidR="001A63C6" w:rsidRPr="003410C7" w:rsidRDefault="001A63C6" w:rsidP="001A63C6">
            <w:pPr>
              <w:pStyle w:val="TableText"/>
              <w:widowControl w:val="0"/>
              <w:rPr>
                <w:rFonts w:ascii="Tahoma" w:hAnsi="Tahoma" w:cs="Tahoma"/>
                <w:sz w:val="13"/>
              </w:rPr>
            </w:pPr>
          </w:p>
        </w:tc>
        <w:tc>
          <w:tcPr>
            <w:tcW w:w="540" w:type="dxa"/>
            <w:tcBorders>
              <w:bottom w:val="single" w:sz="4" w:space="0" w:color="auto"/>
            </w:tcBorders>
            <w:shd w:val="clear" w:color="auto" w:fill="auto"/>
            <w:vAlign w:val="center"/>
          </w:tcPr>
          <w:p w:rsidR="001A63C6" w:rsidRPr="003410C7" w:rsidRDefault="001A63C6" w:rsidP="001A63C6">
            <w:pPr>
              <w:pStyle w:val="TableText"/>
              <w:widowControl w:val="0"/>
              <w:rPr>
                <w:rFonts w:ascii="Tahoma" w:hAnsi="Tahoma" w:cs="Tahoma"/>
                <w:sz w:val="13"/>
              </w:rPr>
            </w:pPr>
            <w:r w:rsidRPr="003410C7">
              <w:rPr>
                <w:rFonts w:ascii="Tahoma" w:hAnsi="Tahoma" w:cs="Tahoma"/>
                <w:sz w:val="13"/>
              </w:rPr>
              <w:t>OL</w:t>
            </w:r>
          </w:p>
        </w:tc>
      </w:tr>
      <w:tr w:rsidR="00B33D0E" w:rsidRPr="003410C7" w:rsidTr="006B1F3F">
        <w:trPr>
          <w:trHeight w:val="287"/>
        </w:trPr>
        <w:tc>
          <w:tcPr>
            <w:tcW w:w="2734" w:type="dxa"/>
            <w:gridSpan w:val="2"/>
            <w:tcBorders>
              <w:bottom w:val="single" w:sz="4" w:space="0" w:color="auto"/>
            </w:tcBorders>
            <w:shd w:val="clear" w:color="auto" w:fill="FABF8F"/>
            <w:vAlign w:val="center"/>
          </w:tcPr>
          <w:p w:rsidR="001A63C6" w:rsidRPr="003410C7" w:rsidRDefault="001A63C6" w:rsidP="00F57878">
            <w:pPr>
              <w:pStyle w:val="Heading2"/>
              <w:spacing w:before="20" w:after="20"/>
              <w:ind w:left="0"/>
              <w:rPr>
                <w:rFonts w:ascii="Tahoma" w:hAnsi="Tahoma" w:cs="Tahoma"/>
                <w:b w:val="0"/>
                <w:sz w:val="14"/>
                <w:szCs w:val="14"/>
              </w:rPr>
            </w:pPr>
            <w:bookmarkStart w:id="528" w:name="_Toc336338122"/>
            <w:bookmarkStart w:id="529" w:name="_Toc352234720"/>
            <w:r w:rsidRPr="003410C7">
              <w:rPr>
                <w:rFonts w:ascii="Tahoma" w:hAnsi="Tahoma" w:cs="Tahoma"/>
                <w:b w:val="0"/>
                <w:color w:val="000000"/>
                <w:sz w:val="14"/>
                <w:szCs w:val="14"/>
              </w:rPr>
              <w:t>CAL Suite per Windows Essential Business</w:t>
            </w:r>
            <w:r w:rsidR="00F57878">
              <w:rPr>
                <w:rFonts w:ascii="Tahoma" w:hAnsi="Tahoma" w:cs="Tahoma"/>
                <w:b w:val="0"/>
                <w:color w:val="000000"/>
                <w:sz w:val="14"/>
                <w:szCs w:val="14"/>
              </w:rPr>
              <w:t> </w:t>
            </w:r>
            <w:r w:rsidRPr="003410C7">
              <w:rPr>
                <w:rFonts w:ascii="Tahoma" w:hAnsi="Tahoma" w:cs="Tahoma"/>
                <w:b w:val="0"/>
                <w:color w:val="000000"/>
                <w:sz w:val="14"/>
                <w:szCs w:val="14"/>
              </w:rPr>
              <w:t>Server 2008 (20 client)</w:t>
            </w:r>
            <w:bookmarkEnd w:id="528"/>
            <w:bookmarkEnd w:id="529"/>
          </w:p>
        </w:tc>
        <w:tc>
          <w:tcPr>
            <w:tcW w:w="450" w:type="dxa"/>
            <w:tcBorders>
              <w:bottom w:val="single" w:sz="4" w:space="0" w:color="auto"/>
            </w:tcBorders>
            <w:shd w:val="clear" w:color="auto" w:fill="FABF8F"/>
            <w:vAlign w:val="center"/>
          </w:tcPr>
          <w:p w:rsidR="001A63C6" w:rsidRPr="009F17FF" w:rsidRDefault="001A63C6" w:rsidP="001A63C6">
            <w:pPr>
              <w:pStyle w:val="TableText"/>
              <w:widowControl w:val="0"/>
              <w:spacing w:before="100" w:beforeAutospacing="1"/>
              <w:rPr>
                <w:rStyle w:val="EndnoteReference"/>
                <w:rFonts w:cs="Tahoma"/>
                <w:color w:val="0000FF"/>
                <w:sz w:val="13"/>
                <w:szCs w:val="13"/>
              </w:rPr>
            </w:pPr>
          </w:p>
        </w:tc>
        <w:tc>
          <w:tcPr>
            <w:tcW w:w="450" w:type="dxa"/>
            <w:tcBorders>
              <w:bottom w:val="single" w:sz="4" w:space="0" w:color="auto"/>
            </w:tcBorders>
            <w:shd w:val="clear" w:color="auto" w:fill="FABF8F"/>
            <w:vAlign w:val="center"/>
          </w:tcPr>
          <w:p w:rsidR="001A63C6" w:rsidRPr="003410C7" w:rsidRDefault="001A63C6" w:rsidP="001A63C6">
            <w:pPr>
              <w:pStyle w:val="TableText"/>
              <w:widowControl w:val="0"/>
              <w:spacing w:before="80"/>
              <w:rPr>
                <w:rFonts w:ascii="Tahoma" w:hAnsi="Tahoma" w:cs="Tahoma"/>
                <w:sz w:val="13"/>
              </w:rPr>
            </w:pPr>
            <w:r w:rsidRPr="003410C7">
              <w:rPr>
                <w:rFonts w:ascii="Tahoma" w:hAnsi="Tahoma" w:cs="Tahoma"/>
                <w:sz w:val="13"/>
              </w:rPr>
              <w:t>11/08</w:t>
            </w:r>
          </w:p>
        </w:tc>
        <w:tc>
          <w:tcPr>
            <w:tcW w:w="360" w:type="dxa"/>
            <w:tcBorders>
              <w:bottom w:val="single" w:sz="4" w:space="0" w:color="auto"/>
              <w:right w:val="single" w:sz="18" w:space="0" w:color="auto"/>
            </w:tcBorders>
            <w:shd w:val="clear" w:color="auto" w:fill="FABF8F"/>
            <w:vAlign w:val="center"/>
          </w:tcPr>
          <w:p w:rsidR="001A63C6" w:rsidRPr="003410C7" w:rsidRDefault="001A63C6" w:rsidP="001A63C6">
            <w:pPr>
              <w:pStyle w:val="TableText"/>
              <w:widowControl w:val="0"/>
              <w:rPr>
                <w:rFonts w:ascii="Tahoma" w:hAnsi="Tahoma" w:cs="Tahoma"/>
                <w:sz w:val="13"/>
              </w:rPr>
            </w:pPr>
            <w:r w:rsidRPr="003410C7">
              <w:rPr>
                <w:rFonts w:ascii="Tahoma" w:hAnsi="Tahoma" w:cs="Tahoma"/>
                <w:sz w:val="13"/>
              </w:rPr>
              <w:t>SRV</w:t>
            </w:r>
          </w:p>
        </w:tc>
        <w:tc>
          <w:tcPr>
            <w:tcW w:w="360" w:type="dxa"/>
            <w:tcBorders>
              <w:left w:val="single" w:sz="18" w:space="0" w:color="auto"/>
              <w:bottom w:val="single" w:sz="4" w:space="0" w:color="auto"/>
            </w:tcBorders>
            <w:shd w:val="clear" w:color="auto" w:fill="FABF8F"/>
            <w:vAlign w:val="center"/>
          </w:tcPr>
          <w:p w:rsidR="001A63C6" w:rsidRPr="003410C7"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3410C7"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3410C7"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3410C7"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3410C7"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3410C7" w:rsidRDefault="001A63C6" w:rsidP="001A63C6">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rsidR="001A63C6" w:rsidRPr="003410C7"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3410C7" w:rsidRDefault="001A63C6" w:rsidP="001A63C6">
            <w:pPr>
              <w:pStyle w:val="TableText"/>
              <w:widowControl w:val="0"/>
              <w:rPr>
                <w:rFonts w:ascii="Tahoma" w:hAnsi="Tahoma" w:cs="Tahoma"/>
                <w:sz w:val="13"/>
              </w:rPr>
            </w:pPr>
            <w:r w:rsidRPr="003410C7">
              <w:rPr>
                <w:rFonts w:ascii="Tahoma" w:hAnsi="Tahoma" w:cs="Tahoma"/>
                <w:sz w:val="13"/>
              </w:rPr>
              <w:t>25</w:t>
            </w:r>
          </w:p>
        </w:tc>
        <w:tc>
          <w:tcPr>
            <w:tcW w:w="450" w:type="dxa"/>
            <w:tcBorders>
              <w:bottom w:val="single" w:sz="4" w:space="0" w:color="auto"/>
            </w:tcBorders>
            <w:shd w:val="clear" w:color="auto" w:fill="FABF8F"/>
            <w:vAlign w:val="center"/>
          </w:tcPr>
          <w:p w:rsidR="001A63C6" w:rsidRPr="003410C7"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1A63C6" w:rsidRPr="003410C7"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3410C7"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1A63C6" w:rsidRPr="003410C7"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3410C7" w:rsidRDefault="001A63C6" w:rsidP="001A63C6">
            <w:pPr>
              <w:pStyle w:val="TableText"/>
              <w:widowControl w:val="0"/>
              <w:rPr>
                <w:rFonts w:ascii="Tahoma" w:hAnsi="Tahoma" w:cs="Tahoma"/>
                <w:sz w:val="13"/>
              </w:rPr>
            </w:pPr>
            <w:r w:rsidRPr="003410C7">
              <w:rPr>
                <w:rFonts w:ascii="Tahoma" w:hAnsi="Tahoma" w:cs="Tahoma"/>
                <w:sz w:val="13"/>
              </w:rPr>
              <w:t>P</w:t>
            </w:r>
          </w:p>
        </w:tc>
        <w:tc>
          <w:tcPr>
            <w:tcW w:w="450" w:type="dxa"/>
            <w:tcBorders>
              <w:bottom w:val="single" w:sz="4" w:space="0" w:color="auto"/>
            </w:tcBorders>
            <w:shd w:val="clear" w:color="auto" w:fill="FABF8F"/>
          </w:tcPr>
          <w:p w:rsidR="001A63C6" w:rsidRPr="003410C7" w:rsidRDefault="001A63C6" w:rsidP="001A63C6">
            <w:pPr>
              <w:pStyle w:val="TableText"/>
              <w:widowControl w:val="0"/>
              <w:rPr>
                <w:rFonts w:ascii="Tahoma" w:hAnsi="Tahoma" w:cs="Tahoma"/>
                <w:sz w:val="13"/>
              </w:rPr>
            </w:pPr>
          </w:p>
        </w:tc>
        <w:tc>
          <w:tcPr>
            <w:tcW w:w="540" w:type="dxa"/>
            <w:tcBorders>
              <w:bottom w:val="single" w:sz="4" w:space="0" w:color="auto"/>
            </w:tcBorders>
            <w:shd w:val="clear" w:color="auto" w:fill="FABF8F"/>
            <w:vAlign w:val="center"/>
          </w:tcPr>
          <w:p w:rsidR="001A63C6" w:rsidRPr="003410C7" w:rsidRDefault="001A63C6" w:rsidP="001A63C6">
            <w:pPr>
              <w:pStyle w:val="TableText"/>
              <w:widowControl w:val="0"/>
              <w:rPr>
                <w:rFonts w:ascii="Tahoma" w:hAnsi="Tahoma" w:cs="Tahoma"/>
                <w:sz w:val="13"/>
              </w:rPr>
            </w:pPr>
            <w:r w:rsidRPr="003410C7">
              <w:rPr>
                <w:rFonts w:ascii="Tahoma" w:hAnsi="Tahoma" w:cs="Tahoma"/>
                <w:sz w:val="13"/>
              </w:rPr>
              <w:t>OL</w:t>
            </w:r>
          </w:p>
        </w:tc>
      </w:tr>
      <w:tr w:rsidR="001A63C6" w:rsidRPr="003410C7" w:rsidTr="007E466C">
        <w:trPr>
          <w:trHeight w:val="287"/>
        </w:trPr>
        <w:tc>
          <w:tcPr>
            <w:tcW w:w="2734" w:type="dxa"/>
            <w:gridSpan w:val="2"/>
            <w:tcBorders>
              <w:bottom w:val="single" w:sz="4" w:space="0" w:color="auto"/>
            </w:tcBorders>
            <w:shd w:val="clear" w:color="auto" w:fill="auto"/>
            <w:vAlign w:val="center"/>
          </w:tcPr>
          <w:p w:rsidR="001A63C6" w:rsidRPr="003410C7" w:rsidRDefault="001A63C6" w:rsidP="00F57878">
            <w:pPr>
              <w:pStyle w:val="Heading2"/>
              <w:spacing w:before="20" w:after="20"/>
              <w:ind w:left="0"/>
              <w:rPr>
                <w:rFonts w:ascii="Tahoma" w:hAnsi="Tahoma" w:cs="Tahoma"/>
                <w:b w:val="0"/>
                <w:sz w:val="14"/>
                <w:szCs w:val="14"/>
              </w:rPr>
            </w:pPr>
            <w:bookmarkStart w:id="530" w:name="_Toc336338123"/>
            <w:bookmarkStart w:id="531" w:name="_Toc352234721"/>
            <w:r w:rsidRPr="003410C7">
              <w:rPr>
                <w:rFonts w:ascii="Tahoma" w:hAnsi="Tahoma" w:cs="Tahoma"/>
                <w:b w:val="0"/>
                <w:sz w:val="14"/>
                <w:szCs w:val="14"/>
              </w:rPr>
              <w:t>CAL Suite per Windows Essential Business</w:t>
            </w:r>
            <w:r w:rsidR="00F57878">
              <w:rPr>
                <w:rFonts w:ascii="Tahoma" w:hAnsi="Tahoma" w:cs="Tahoma"/>
                <w:b w:val="0"/>
                <w:sz w:val="14"/>
                <w:szCs w:val="14"/>
              </w:rPr>
              <w:t> </w:t>
            </w:r>
            <w:r w:rsidRPr="003410C7">
              <w:rPr>
                <w:rFonts w:ascii="Tahoma" w:hAnsi="Tahoma" w:cs="Tahoma"/>
                <w:b w:val="0"/>
                <w:sz w:val="14"/>
                <w:szCs w:val="14"/>
              </w:rPr>
              <w:t>Server 2008 (50 client)</w:t>
            </w:r>
            <w:bookmarkEnd w:id="530"/>
            <w:bookmarkEnd w:id="531"/>
          </w:p>
        </w:tc>
        <w:tc>
          <w:tcPr>
            <w:tcW w:w="450" w:type="dxa"/>
            <w:tcBorders>
              <w:bottom w:val="single" w:sz="4" w:space="0" w:color="auto"/>
            </w:tcBorders>
            <w:shd w:val="clear" w:color="auto" w:fill="auto"/>
            <w:vAlign w:val="center"/>
          </w:tcPr>
          <w:p w:rsidR="001A63C6" w:rsidRPr="009F17FF" w:rsidRDefault="001A63C6" w:rsidP="001A63C6">
            <w:pPr>
              <w:pStyle w:val="TableText"/>
              <w:widowControl w:val="0"/>
              <w:spacing w:before="100" w:beforeAutospacing="1"/>
              <w:rPr>
                <w:rStyle w:val="EndnoteReference"/>
                <w:rFonts w:cs="Tahoma"/>
                <w:color w:val="0000FF"/>
                <w:sz w:val="13"/>
                <w:szCs w:val="13"/>
              </w:rPr>
            </w:pPr>
          </w:p>
        </w:tc>
        <w:tc>
          <w:tcPr>
            <w:tcW w:w="450" w:type="dxa"/>
            <w:tcBorders>
              <w:bottom w:val="single" w:sz="4" w:space="0" w:color="auto"/>
            </w:tcBorders>
            <w:shd w:val="clear" w:color="auto" w:fill="auto"/>
            <w:vAlign w:val="center"/>
          </w:tcPr>
          <w:p w:rsidR="001A63C6" w:rsidRPr="003410C7" w:rsidRDefault="001A63C6" w:rsidP="001A63C6">
            <w:pPr>
              <w:pStyle w:val="TableText"/>
              <w:widowControl w:val="0"/>
              <w:spacing w:before="80"/>
              <w:rPr>
                <w:rFonts w:ascii="Tahoma" w:hAnsi="Tahoma" w:cs="Tahoma"/>
                <w:sz w:val="13"/>
              </w:rPr>
            </w:pPr>
            <w:r w:rsidRPr="003410C7">
              <w:rPr>
                <w:rFonts w:ascii="Tahoma" w:hAnsi="Tahoma" w:cs="Tahoma"/>
                <w:sz w:val="13"/>
              </w:rPr>
              <w:t>11/08</w:t>
            </w:r>
          </w:p>
        </w:tc>
        <w:tc>
          <w:tcPr>
            <w:tcW w:w="360" w:type="dxa"/>
            <w:tcBorders>
              <w:bottom w:val="single" w:sz="4" w:space="0" w:color="auto"/>
              <w:right w:val="single" w:sz="18" w:space="0" w:color="auto"/>
            </w:tcBorders>
            <w:shd w:val="clear" w:color="auto" w:fill="auto"/>
            <w:vAlign w:val="center"/>
          </w:tcPr>
          <w:p w:rsidR="001A63C6" w:rsidRPr="003410C7" w:rsidRDefault="001A63C6" w:rsidP="001A63C6">
            <w:pPr>
              <w:pStyle w:val="TableText"/>
              <w:widowControl w:val="0"/>
              <w:rPr>
                <w:rFonts w:ascii="Tahoma" w:hAnsi="Tahoma" w:cs="Tahoma"/>
                <w:sz w:val="13"/>
              </w:rPr>
            </w:pPr>
            <w:r w:rsidRPr="003410C7">
              <w:rPr>
                <w:rFonts w:ascii="Tahoma" w:hAnsi="Tahoma" w:cs="Tahoma"/>
                <w:sz w:val="13"/>
              </w:rPr>
              <w:t>SRV</w:t>
            </w:r>
          </w:p>
        </w:tc>
        <w:tc>
          <w:tcPr>
            <w:tcW w:w="360" w:type="dxa"/>
            <w:tcBorders>
              <w:left w:val="single" w:sz="18" w:space="0" w:color="auto"/>
              <w:bottom w:val="single" w:sz="4" w:space="0" w:color="auto"/>
            </w:tcBorders>
            <w:shd w:val="clear" w:color="auto" w:fill="auto"/>
            <w:vAlign w:val="center"/>
          </w:tcPr>
          <w:p w:rsidR="001A63C6" w:rsidRPr="003410C7"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3410C7"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3410C7"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3410C7"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3410C7"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3410C7" w:rsidRDefault="001A63C6" w:rsidP="001A63C6">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auto"/>
            <w:vAlign w:val="center"/>
          </w:tcPr>
          <w:p w:rsidR="001A63C6" w:rsidRPr="003410C7"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1A63C6" w:rsidRPr="003410C7" w:rsidRDefault="001A63C6" w:rsidP="001A63C6">
            <w:pPr>
              <w:pStyle w:val="TableText"/>
              <w:widowControl w:val="0"/>
              <w:rPr>
                <w:rFonts w:ascii="Tahoma" w:hAnsi="Tahoma" w:cs="Tahoma"/>
                <w:sz w:val="13"/>
              </w:rPr>
            </w:pPr>
            <w:r w:rsidRPr="003410C7">
              <w:rPr>
                <w:rFonts w:ascii="Tahoma" w:hAnsi="Tahoma" w:cs="Tahoma"/>
                <w:sz w:val="13"/>
              </w:rPr>
              <w:t>50</w:t>
            </w:r>
          </w:p>
        </w:tc>
        <w:tc>
          <w:tcPr>
            <w:tcW w:w="450" w:type="dxa"/>
            <w:tcBorders>
              <w:bottom w:val="single" w:sz="4" w:space="0" w:color="auto"/>
            </w:tcBorders>
            <w:shd w:val="clear" w:color="auto" w:fill="auto"/>
            <w:vAlign w:val="center"/>
          </w:tcPr>
          <w:p w:rsidR="001A63C6" w:rsidRPr="003410C7"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1A63C6" w:rsidRPr="003410C7"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1A63C6" w:rsidRPr="003410C7"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1A63C6" w:rsidRPr="003410C7"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rsidR="001A63C6" w:rsidRPr="003410C7" w:rsidRDefault="001A63C6" w:rsidP="001A63C6">
            <w:pPr>
              <w:pStyle w:val="TableText"/>
              <w:widowControl w:val="0"/>
              <w:rPr>
                <w:rFonts w:ascii="Tahoma" w:hAnsi="Tahoma" w:cs="Tahoma"/>
                <w:sz w:val="13"/>
              </w:rPr>
            </w:pPr>
            <w:r w:rsidRPr="003410C7">
              <w:rPr>
                <w:rFonts w:ascii="Tahoma" w:hAnsi="Tahoma" w:cs="Tahoma"/>
                <w:sz w:val="13"/>
              </w:rPr>
              <w:t>P</w:t>
            </w:r>
          </w:p>
        </w:tc>
        <w:tc>
          <w:tcPr>
            <w:tcW w:w="450" w:type="dxa"/>
            <w:tcBorders>
              <w:bottom w:val="single" w:sz="4" w:space="0" w:color="auto"/>
            </w:tcBorders>
            <w:shd w:val="clear" w:color="auto" w:fill="auto"/>
          </w:tcPr>
          <w:p w:rsidR="001A63C6" w:rsidRPr="003410C7" w:rsidRDefault="001A63C6" w:rsidP="001A63C6">
            <w:pPr>
              <w:pStyle w:val="TableText"/>
              <w:widowControl w:val="0"/>
              <w:rPr>
                <w:rFonts w:ascii="Tahoma" w:hAnsi="Tahoma" w:cs="Tahoma"/>
                <w:sz w:val="13"/>
              </w:rPr>
            </w:pPr>
          </w:p>
        </w:tc>
        <w:tc>
          <w:tcPr>
            <w:tcW w:w="540" w:type="dxa"/>
            <w:tcBorders>
              <w:bottom w:val="single" w:sz="4" w:space="0" w:color="auto"/>
            </w:tcBorders>
            <w:shd w:val="clear" w:color="auto" w:fill="auto"/>
            <w:vAlign w:val="center"/>
          </w:tcPr>
          <w:p w:rsidR="001A63C6" w:rsidRPr="003410C7" w:rsidRDefault="001A63C6" w:rsidP="001A63C6">
            <w:pPr>
              <w:pStyle w:val="TableText"/>
              <w:widowControl w:val="0"/>
              <w:rPr>
                <w:rFonts w:ascii="Tahoma" w:hAnsi="Tahoma" w:cs="Tahoma"/>
                <w:sz w:val="13"/>
              </w:rPr>
            </w:pPr>
            <w:r w:rsidRPr="003410C7">
              <w:rPr>
                <w:rFonts w:ascii="Tahoma" w:hAnsi="Tahoma" w:cs="Tahoma"/>
                <w:sz w:val="13"/>
              </w:rPr>
              <w:t>OL</w:t>
            </w:r>
          </w:p>
        </w:tc>
      </w:tr>
      <w:tr w:rsidR="00B33D0E" w:rsidRPr="003410C7" w:rsidTr="006B1F3F">
        <w:trPr>
          <w:trHeight w:val="287"/>
        </w:trPr>
        <w:tc>
          <w:tcPr>
            <w:tcW w:w="2734" w:type="dxa"/>
            <w:gridSpan w:val="2"/>
            <w:tcBorders>
              <w:bottom w:val="single" w:sz="4" w:space="0" w:color="auto"/>
            </w:tcBorders>
            <w:shd w:val="clear" w:color="auto" w:fill="FABF8F"/>
            <w:vAlign w:val="center"/>
          </w:tcPr>
          <w:p w:rsidR="001A63C6" w:rsidRPr="003410C7" w:rsidRDefault="001A63C6" w:rsidP="00F57878">
            <w:pPr>
              <w:pStyle w:val="Heading2"/>
              <w:spacing w:before="20" w:after="20"/>
              <w:ind w:left="0"/>
              <w:rPr>
                <w:rFonts w:ascii="Tahoma" w:hAnsi="Tahoma" w:cs="Tahoma"/>
                <w:b w:val="0"/>
                <w:sz w:val="14"/>
                <w:szCs w:val="14"/>
              </w:rPr>
            </w:pPr>
            <w:bookmarkStart w:id="532" w:name="_Toc336338124"/>
            <w:bookmarkStart w:id="533" w:name="_Toc352234722"/>
            <w:r w:rsidRPr="003410C7">
              <w:rPr>
                <w:rFonts w:ascii="Tahoma" w:hAnsi="Tahoma" w:cs="Tahoma"/>
                <w:b w:val="0"/>
                <w:sz w:val="14"/>
                <w:szCs w:val="14"/>
              </w:rPr>
              <w:t>Windows Essential Business Server 2008</w:t>
            </w:r>
            <w:r w:rsidR="00F57878">
              <w:rPr>
                <w:rFonts w:ascii="Tahoma" w:hAnsi="Tahoma" w:cs="Tahoma"/>
                <w:b w:val="0"/>
                <w:sz w:val="14"/>
                <w:szCs w:val="14"/>
              </w:rPr>
              <w:t> </w:t>
            </w:r>
            <w:r w:rsidRPr="003410C7">
              <w:rPr>
                <w:rFonts w:ascii="Tahoma" w:hAnsi="Tahoma" w:cs="Tahoma"/>
                <w:b w:val="0"/>
                <w:sz w:val="14"/>
                <w:szCs w:val="14"/>
              </w:rPr>
              <w:t>Premium</w:t>
            </w:r>
            <w:bookmarkEnd w:id="532"/>
            <w:bookmarkEnd w:id="533"/>
            <w:r w:rsidRPr="003410C7">
              <w:rPr>
                <w:rFonts w:ascii="Tahoma" w:hAnsi="Tahoma" w:cs="Tahoma"/>
                <w:b w:val="0"/>
                <w:sz w:val="14"/>
                <w:szCs w:val="14"/>
              </w:rPr>
              <w:t xml:space="preserve"> </w:t>
            </w:r>
          </w:p>
        </w:tc>
        <w:tc>
          <w:tcPr>
            <w:tcW w:w="450" w:type="dxa"/>
            <w:tcBorders>
              <w:bottom w:val="single" w:sz="4" w:space="0" w:color="auto"/>
            </w:tcBorders>
            <w:shd w:val="clear" w:color="auto" w:fill="FABF8F"/>
            <w:vAlign w:val="center"/>
          </w:tcPr>
          <w:p w:rsidR="001A63C6" w:rsidRPr="009F17FF" w:rsidRDefault="00FC1A4D" w:rsidP="006615A9">
            <w:pPr>
              <w:pStyle w:val="TableText"/>
              <w:widowControl w:val="0"/>
              <w:spacing w:before="100" w:beforeAutospacing="1"/>
              <w:rPr>
                <w:rStyle w:val="EndnoteReference"/>
                <w:rFonts w:cs="Tahoma"/>
                <w:b w:val="0"/>
                <w:color w:val="0000FF"/>
                <w:sz w:val="13"/>
                <w:szCs w:val="13"/>
                <w:u w:val="single"/>
              </w:rPr>
            </w:pPr>
            <w:hyperlink w:anchor="_95_EBS_2008" w:history="1">
              <w:r w:rsidR="000D77F6" w:rsidRPr="009F17FF">
                <w:rPr>
                  <w:rStyle w:val="Hyperlink"/>
                  <w:rFonts w:cs="Tahoma"/>
                  <w:b/>
                  <w:sz w:val="13"/>
                  <w:szCs w:val="13"/>
                </w:rPr>
                <w:t>97</w:t>
              </w:r>
            </w:hyperlink>
          </w:p>
        </w:tc>
        <w:tc>
          <w:tcPr>
            <w:tcW w:w="450" w:type="dxa"/>
            <w:tcBorders>
              <w:bottom w:val="single" w:sz="4" w:space="0" w:color="auto"/>
            </w:tcBorders>
            <w:shd w:val="clear" w:color="auto" w:fill="FABF8F"/>
            <w:vAlign w:val="center"/>
          </w:tcPr>
          <w:p w:rsidR="001A63C6" w:rsidRPr="003410C7" w:rsidRDefault="001A63C6" w:rsidP="001A63C6">
            <w:pPr>
              <w:pStyle w:val="TableText"/>
              <w:widowControl w:val="0"/>
              <w:spacing w:before="8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rsidR="001A63C6" w:rsidRPr="003410C7" w:rsidRDefault="001A63C6" w:rsidP="001A63C6">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FABF8F"/>
            <w:vAlign w:val="center"/>
          </w:tcPr>
          <w:p w:rsidR="001A63C6" w:rsidRPr="003410C7"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3410C7"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3410C7"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3410C7"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3410C7"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3410C7" w:rsidRDefault="001A63C6" w:rsidP="001A63C6">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rsidR="001A63C6" w:rsidRPr="003410C7"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3410C7"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3410C7"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1A63C6" w:rsidRPr="003410C7"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3410C7"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1A63C6" w:rsidRPr="003410C7"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3410C7"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tcPr>
          <w:p w:rsidR="001A63C6" w:rsidRPr="003410C7" w:rsidRDefault="001A63C6" w:rsidP="001A63C6">
            <w:pPr>
              <w:pStyle w:val="TableText"/>
              <w:widowControl w:val="0"/>
              <w:rPr>
                <w:rFonts w:ascii="Tahoma" w:hAnsi="Tahoma" w:cs="Tahoma"/>
                <w:sz w:val="13"/>
              </w:rPr>
            </w:pPr>
          </w:p>
        </w:tc>
        <w:tc>
          <w:tcPr>
            <w:tcW w:w="540" w:type="dxa"/>
            <w:tcBorders>
              <w:bottom w:val="single" w:sz="4" w:space="0" w:color="auto"/>
            </w:tcBorders>
            <w:shd w:val="clear" w:color="auto" w:fill="FABF8F"/>
            <w:vAlign w:val="center"/>
          </w:tcPr>
          <w:p w:rsidR="001A63C6" w:rsidRPr="003410C7" w:rsidRDefault="001A63C6" w:rsidP="001A63C6">
            <w:pPr>
              <w:pStyle w:val="TableText"/>
              <w:widowControl w:val="0"/>
              <w:rPr>
                <w:rFonts w:ascii="Tahoma" w:hAnsi="Tahoma" w:cs="Tahoma"/>
                <w:sz w:val="13"/>
              </w:rPr>
            </w:pPr>
          </w:p>
        </w:tc>
      </w:tr>
      <w:tr w:rsidR="00B33D0E" w:rsidRPr="003410C7" w:rsidTr="006B1F3F">
        <w:trPr>
          <w:trHeight w:val="287"/>
        </w:trPr>
        <w:tc>
          <w:tcPr>
            <w:tcW w:w="2734" w:type="dxa"/>
            <w:gridSpan w:val="2"/>
            <w:tcBorders>
              <w:bottom w:val="single" w:sz="4" w:space="0" w:color="auto"/>
            </w:tcBorders>
            <w:shd w:val="clear" w:color="auto" w:fill="FFFFFF"/>
            <w:vAlign w:val="center"/>
          </w:tcPr>
          <w:p w:rsidR="001A63C6" w:rsidRPr="00451078" w:rsidRDefault="001A63C6" w:rsidP="00F57878">
            <w:pPr>
              <w:pStyle w:val="Heading2"/>
              <w:spacing w:before="20" w:after="20"/>
              <w:ind w:left="0"/>
              <w:rPr>
                <w:rFonts w:ascii="Tahoma" w:hAnsi="Tahoma" w:cs="Tahoma"/>
                <w:b w:val="0"/>
                <w:sz w:val="14"/>
                <w:szCs w:val="14"/>
                <w:lang w:val="it-IT"/>
              </w:rPr>
            </w:pPr>
            <w:bookmarkStart w:id="534" w:name="_Toc336338125"/>
            <w:bookmarkStart w:id="535" w:name="_Toc352234723"/>
            <w:r w:rsidRPr="00451078">
              <w:rPr>
                <w:rFonts w:ascii="Tahoma" w:hAnsi="Tahoma" w:cs="Tahoma"/>
                <w:b w:val="0"/>
                <w:sz w:val="14"/>
                <w:szCs w:val="14"/>
                <w:lang w:val="it-IT"/>
              </w:rPr>
              <w:t>CAL Suite per Windows Essential Business</w:t>
            </w:r>
            <w:r w:rsidR="00F57878" w:rsidRPr="00451078">
              <w:rPr>
                <w:rFonts w:ascii="Tahoma" w:hAnsi="Tahoma" w:cs="Tahoma"/>
                <w:b w:val="0"/>
                <w:sz w:val="14"/>
                <w:szCs w:val="14"/>
                <w:lang w:val="it-IT"/>
              </w:rPr>
              <w:t> </w:t>
            </w:r>
            <w:r w:rsidRPr="00451078">
              <w:rPr>
                <w:rFonts w:ascii="Tahoma" w:hAnsi="Tahoma" w:cs="Tahoma"/>
                <w:b w:val="0"/>
                <w:sz w:val="14"/>
                <w:szCs w:val="14"/>
                <w:lang w:val="it-IT"/>
              </w:rPr>
              <w:t>Server 2008 per Utenti o</w:t>
            </w:r>
            <w:r w:rsidR="00F57878" w:rsidRPr="00451078">
              <w:rPr>
                <w:rFonts w:ascii="Tahoma" w:hAnsi="Tahoma" w:cs="Tahoma"/>
                <w:b w:val="0"/>
                <w:sz w:val="14"/>
                <w:szCs w:val="14"/>
                <w:lang w:val="it-IT"/>
              </w:rPr>
              <w:t> </w:t>
            </w:r>
            <w:r w:rsidRPr="00451078">
              <w:rPr>
                <w:rFonts w:ascii="Tahoma" w:hAnsi="Tahoma" w:cs="Tahoma"/>
                <w:b w:val="0"/>
                <w:sz w:val="14"/>
                <w:szCs w:val="14"/>
                <w:lang w:val="it-IT"/>
              </w:rPr>
              <w:t>Dispositivi Premium</w:t>
            </w:r>
            <w:bookmarkEnd w:id="534"/>
            <w:bookmarkEnd w:id="535"/>
            <w:r w:rsidRPr="00451078">
              <w:rPr>
                <w:rFonts w:ascii="Tahoma" w:hAnsi="Tahoma" w:cs="Tahoma"/>
                <w:b w:val="0"/>
                <w:sz w:val="14"/>
                <w:szCs w:val="14"/>
                <w:lang w:val="it-IT"/>
              </w:rPr>
              <w:t xml:space="preserve"> </w:t>
            </w:r>
          </w:p>
        </w:tc>
        <w:tc>
          <w:tcPr>
            <w:tcW w:w="450" w:type="dxa"/>
            <w:tcBorders>
              <w:bottom w:val="single" w:sz="4" w:space="0" w:color="auto"/>
            </w:tcBorders>
            <w:shd w:val="clear" w:color="auto" w:fill="FFFFFF"/>
            <w:vAlign w:val="center"/>
          </w:tcPr>
          <w:p w:rsidR="001A63C6" w:rsidRPr="00451078" w:rsidRDefault="001A63C6" w:rsidP="001A63C6">
            <w:pPr>
              <w:pStyle w:val="TableText"/>
              <w:widowControl w:val="0"/>
              <w:spacing w:before="100" w:beforeAutospacing="1"/>
              <w:rPr>
                <w:rStyle w:val="EndnoteReference"/>
                <w:rFonts w:cs="Tahoma"/>
                <w:sz w:val="13"/>
                <w:szCs w:val="13"/>
                <w:lang w:val="it-IT"/>
              </w:rPr>
            </w:pPr>
          </w:p>
        </w:tc>
        <w:tc>
          <w:tcPr>
            <w:tcW w:w="450" w:type="dxa"/>
            <w:tcBorders>
              <w:bottom w:val="single" w:sz="4" w:space="0" w:color="auto"/>
            </w:tcBorders>
            <w:shd w:val="clear" w:color="auto" w:fill="FFFFFF"/>
            <w:vAlign w:val="center"/>
          </w:tcPr>
          <w:p w:rsidR="001A63C6" w:rsidRPr="003410C7" w:rsidRDefault="001A63C6" w:rsidP="001A63C6">
            <w:pPr>
              <w:pStyle w:val="TableText"/>
              <w:widowControl w:val="0"/>
              <w:spacing w:before="80"/>
              <w:rPr>
                <w:rFonts w:ascii="Tahoma" w:hAnsi="Tahoma" w:cs="Tahoma"/>
                <w:sz w:val="13"/>
              </w:rPr>
            </w:pPr>
            <w:r w:rsidRPr="003410C7">
              <w:rPr>
                <w:rFonts w:ascii="Tahoma" w:hAnsi="Tahoma" w:cs="Tahoma"/>
                <w:sz w:val="13"/>
              </w:rPr>
              <w:t>11/08</w:t>
            </w:r>
          </w:p>
        </w:tc>
        <w:tc>
          <w:tcPr>
            <w:tcW w:w="360" w:type="dxa"/>
            <w:tcBorders>
              <w:bottom w:val="single" w:sz="4" w:space="0" w:color="auto"/>
              <w:right w:val="single" w:sz="18" w:space="0" w:color="auto"/>
            </w:tcBorders>
            <w:shd w:val="clear" w:color="auto" w:fill="FFFFFF"/>
            <w:vAlign w:val="center"/>
          </w:tcPr>
          <w:p w:rsidR="001A63C6" w:rsidRPr="003410C7" w:rsidRDefault="001A63C6" w:rsidP="001A63C6">
            <w:pPr>
              <w:pStyle w:val="TableText"/>
              <w:widowControl w:val="0"/>
              <w:rPr>
                <w:rFonts w:ascii="Tahoma" w:hAnsi="Tahoma" w:cs="Tahoma"/>
                <w:sz w:val="13"/>
              </w:rPr>
            </w:pPr>
            <w:r w:rsidRPr="003410C7">
              <w:rPr>
                <w:rFonts w:ascii="Tahoma" w:hAnsi="Tahoma" w:cs="Tahoma"/>
                <w:sz w:val="13"/>
              </w:rPr>
              <w:t>SRV</w:t>
            </w:r>
          </w:p>
        </w:tc>
        <w:tc>
          <w:tcPr>
            <w:tcW w:w="360" w:type="dxa"/>
            <w:tcBorders>
              <w:left w:val="single" w:sz="18" w:space="0" w:color="auto"/>
              <w:bottom w:val="single" w:sz="4" w:space="0" w:color="auto"/>
            </w:tcBorders>
            <w:shd w:val="clear" w:color="auto" w:fill="FFFFFF"/>
            <w:vAlign w:val="center"/>
          </w:tcPr>
          <w:p w:rsidR="001A63C6" w:rsidRPr="003410C7"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FFFFF"/>
            <w:vAlign w:val="center"/>
          </w:tcPr>
          <w:p w:rsidR="001A63C6" w:rsidRPr="003410C7"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FFFFF"/>
            <w:vAlign w:val="center"/>
          </w:tcPr>
          <w:p w:rsidR="001A63C6" w:rsidRPr="003410C7"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FFFFF"/>
            <w:vAlign w:val="center"/>
          </w:tcPr>
          <w:p w:rsidR="001A63C6" w:rsidRPr="003410C7"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FFFFF"/>
            <w:vAlign w:val="center"/>
          </w:tcPr>
          <w:p w:rsidR="001A63C6" w:rsidRPr="003410C7"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FFFFF"/>
            <w:vAlign w:val="center"/>
          </w:tcPr>
          <w:p w:rsidR="001A63C6" w:rsidRPr="003410C7" w:rsidRDefault="001A63C6" w:rsidP="001A63C6">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FFFFFF"/>
            <w:vAlign w:val="center"/>
          </w:tcPr>
          <w:p w:rsidR="001A63C6" w:rsidRPr="003410C7"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FFFFF"/>
            <w:vAlign w:val="center"/>
          </w:tcPr>
          <w:p w:rsidR="001A63C6" w:rsidRPr="003410C7"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FFFFF"/>
            <w:vAlign w:val="center"/>
          </w:tcPr>
          <w:p w:rsidR="001A63C6" w:rsidRPr="003410C7"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FFFFF"/>
            <w:vAlign w:val="center"/>
          </w:tcPr>
          <w:p w:rsidR="001A63C6" w:rsidRPr="003410C7"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FFFFF"/>
            <w:vAlign w:val="center"/>
          </w:tcPr>
          <w:p w:rsidR="001A63C6" w:rsidRPr="003410C7"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FFFFF"/>
            <w:vAlign w:val="center"/>
          </w:tcPr>
          <w:p w:rsidR="001A63C6" w:rsidRPr="003410C7"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FFFFF"/>
            <w:vAlign w:val="center"/>
          </w:tcPr>
          <w:p w:rsidR="001A63C6" w:rsidRPr="003410C7"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FFFFF"/>
          </w:tcPr>
          <w:p w:rsidR="001A63C6" w:rsidRPr="003410C7" w:rsidRDefault="001A63C6" w:rsidP="001A63C6">
            <w:pPr>
              <w:pStyle w:val="TableText"/>
              <w:widowControl w:val="0"/>
              <w:rPr>
                <w:rFonts w:ascii="Tahoma" w:hAnsi="Tahoma" w:cs="Tahoma"/>
                <w:sz w:val="13"/>
              </w:rPr>
            </w:pPr>
          </w:p>
        </w:tc>
        <w:tc>
          <w:tcPr>
            <w:tcW w:w="540" w:type="dxa"/>
            <w:tcBorders>
              <w:bottom w:val="single" w:sz="4" w:space="0" w:color="auto"/>
            </w:tcBorders>
            <w:shd w:val="clear" w:color="auto" w:fill="FFFFFF"/>
            <w:vAlign w:val="center"/>
          </w:tcPr>
          <w:p w:rsidR="001A63C6" w:rsidRPr="003410C7" w:rsidRDefault="001A63C6" w:rsidP="001A63C6">
            <w:pPr>
              <w:pStyle w:val="TableText"/>
              <w:widowControl w:val="0"/>
              <w:rPr>
                <w:rFonts w:ascii="Tahoma" w:hAnsi="Tahoma" w:cs="Tahoma"/>
                <w:sz w:val="13"/>
              </w:rPr>
            </w:pPr>
          </w:p>
        </w:tc>
      </w:tr>
      <w:tr w:rsidR="00B33D0E" w:rsidRPr="003410C7" w:rsidTr="006B1F3F">
        <w:trPr>
          <w:trHeight w:val="287"/>
        </w:trPr>
        <w:tc>
          <w:tcPr>
            <w:tcW w:w="2734" w:type="dxa"/>
            <w:gridSpan w:val="2"/>
            <w:tcBorders>
              <w:bottom w:val="single" w:sz="4" w:space="0" w:color="auto"/>
            </w:tcBorders>
            <w:shd w:val="clear" w:color="auto" w:fill="FABF8F"/>
            <w:vAlign w:val="center"/>
          </w:tcPr>
          <w:p w:rsidR="001A63C6" w:rsidRPr="00451078" w:rsidRDefault="001A63C6" w:rsidP="00F57878">
            <w:pPr>
              <w:pStyle w:val="Heading2"/>
              <w:spacing w:before="20" w:after="20"/>
              <w:ind w:left="0"/>
              <w:rPr>
                <w:rFonts w:ascii="Tahoma" w:hAnsi="Tahoma" w:cs="Tahoma"/>
                <w:b w:val="0"/>
                <w:sz w:val="14"/>
                <w:szCs w:val="14"/>
                <w:lang w:val="it-IT"/>
              </w:rPr>
            </w:pPr>
            <w:bookmarkStart w:id="536" w:name="_Toc336338126"/>
            <w:bookmarkStart w:id="537" w:name="_Toc352234724"/>
            <w:r w:rsidRPr="00451078">
              <w:rPr>
                <w:rFonts w:ascii="Tahoma" w:hAnsi="Tahoma" w:cs="Tahoma"/>
                <w:b w:val="0"/>
                <w:sz w:val="14"/>
                <w:szCs w:val="14"/>
                <w:lang w:val="it-IT"/>
              </w:rPr>
              <w:t>CAL Suite per Windows Essential Business</w:t>
            </w:r>
            <w:r w:rsidR="00F57878" w:rsidRPr="00451078">
              <w:rPr>
                <w:rFonts w:ascii="Tahoma" w:hAnsi="Tahoma" w:cs="Tahoma"/>
                <w:b w:val="0"/>
                <w:sz w:val="14"/>
                <w:szCs w:val="14"/>
                <w:lang w:val="it-IT"/>
              </w:rPr>
              <w:t> </w:t>
            </w:r>
            <w:r w:rsidRPr="00451078">
              <w:rPr>
                <w:rFonts w:ascii="Tahoma" w:hAnsi="Tahoma" w:cs="Tahoma"/>
                <w:b w:val="0"/>
                <w:sz w:val="14"/>
                <w:szCs w:val="14"/>
                <w:lang w:val="it-IT"/>
              </w:rPr>
              <w:t>Server 2008 per Utenti o</w:t>
            </w:r>
            <w:r w:rsidR="00F57878" w:rsidRPr="00451078">
              <w:rPr>
                <w:rFonts w:ascii="Tahoma" w:hAnsi="Tahoma" w:cs="Tahoma"/>
                <w:b w:val="0"/>
                <w:sz w:val="14"/>
                <w:szCs w:val="14"/>
                <w:lang w:val="it-IT"/>
              </w:rPr>
              <w:t> </w:t>
            </w:r>
            <w:r w:rsidRPr="00451078">
              <w:rPr>
                <w:rFonts w:ascii="Tahoma" w:hAnsi="Tahoma" w:cs="Tahoma"/>
                <w:b w:val="0"/>
                <w:sz w:val="14"/>
                <w:szCs w:val="14"/>
                <w:lang w:val="it-IT"/>
              </w:rPr>
              <w:t>Dispositivi Premium (5 client)</w:t>
            </w:r>
            <w:bookmarkEnd w:id="536"/>
            <w:bookmarkEnd w:id="537"/>
          </w:p>
        </w:tc>
        <w:tc>
          <w:tcPr>
            <w:tcW w:w="450" w:type="dxa"/>
            <w:tcBorders>
              <w:bottom w:val="single" w:sz="4" w:space="0" w:color="auto"/>
            </w:tcBorders>
            <w:shd w:val="clear" w:color="auto" w:fill="FABF8F"/>
            <w:vAlign w:val="center"/>
          </w:tcPr>
          <w:p w:rsidR="001A63C6" w:rsidRPr="00451078" w:rsidRDefault="001A63C6" w:rsidP="001A63C6">
            <w:pPr>
              <w:pStyle w:val="TableText"/>
              <w:widowControl w:val="0"/>
              <w:spacing w:before="100" w:beforeAutospacing="1"/>
              <w:rPr>
                <w:rStyle w:val="EndnoteReference"/>
                <w:rFonts w:cs="Tahoma"/>
                <w:sz w:val="13"/>
                <w:szCs w:val="13"/>
                <w:lang w:val="it-IT"/>
              </w:rPr>
            </w:pPr>
          </w:p>
        </w:tc>
        <w:tc>
          <w:tcPr>
            <w:tcW w:w="450" w:type="dxa"/>
            <w:tcBorders>
              <w:bottom w:val="single" w:sz="4" w:space="0" w:color="auto"/>
            </w:tcBorders>
            <w:shd w:val="clear" w:color="auto" w:fill="FABF8F"/>
            <w:vAlign w:val="center"/>
          </w:tcPr>
          <w:p w:rsidR="001A63C6" w:rsidRPr="003410C7" w:rsidRDefault="001A63C6" w:rsidP="001A63C6">
            <w:pPr>
              <w:pStyle w:val="TableText"/>
              <w:widowControl w:val="0"/>
              <w:spacing w:before="200"/>
              <w:rPr>
                <w:rFonts w:ascii="Tahoma" w:hAnsi="Tahoma" w:cs="Tahoma"/>
                <w:sz w:val="13"/>
              </w:rPr>
            </w:pPr>
            <w:r w:rsidRPr="003410C7">
              <w:rPr>
                <w:rFonts w:ascii="Tahoma" w:hAnsi="Tahoma" w:cs="Tahoma"/>
                <w:sz w:val="13"/>
              </w:rPr>
              <w:t>11/08</w:t>
            </w:r>
          </w:p>
        </w:tc>
        <w:tc>
          <w:tcPr>
            <w:tcW w:w="360" w:type="dxa"/>
            <w:tcBorders>
              <w:bottom w:val="single" w:sz="4" w:space="0" w:color="auto"/>
              <w:right w:val="single" w:sz="18" w:space="0" w:color="auto"/>
            </w:tcBorders>
            <w:shd w:val="clear" w:color="auto" w:fill="FABF8F"/>
            <w:vAlign w:val="center"/>
          </w:tcPr>
          <w:p w:rsidR="001A63C6" w:rsidRPr="003410C7" w:rsidRDefault="001A63C6" w:rsidP="001A63C6">
            <w:pPr>
              <w:pStyle w:val="TableText"/>
              <w:widowControl w:val="0"/>
              <w:rPr>
                <w:rFonts w:ascii="Tahoma" w:hAnsi="Tahoma" w:cs="Tahoma"/>
                <w:sz w:val="13"/>
              </w:rPr>
            </w:pPr>
            <w:r w:rsidRPr="003410C7">
              <w:rPr>
                <w:rFonts w:ascii="Tahoma" w:hAnsi="Tahoma" w:cs="Tahoma"/>
                <w:sz w:val="13"/>
              </w:rPr>
              <w:t>SRV</w:t>
            </w:r>
          </w:p>
        </w:tc>
        <w:tc>
          <w:tcPr>
            <w:tcW w:w="360" w:type="dxa"/>
            <w:tcBorders>
              <w:left w:val="single" w:sz="18" w:space="0" w:color="auto"/>
              <w:bottom w:val="single" w:sz="4" w:space="0" w:color="auto"/>
            </w:tcBorders>
            <w:shd w:val="clear" w:color="auto" w:fill="FABF8F"/>
            <w:vAlign w:val="center"/>
          </w:tcPr>
          <w:p w:rsidR="001A63C6" w:rsidRPr="003410C7"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3410C7"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3410C7"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3410C7"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3410C7"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3410C7" w:rsidRDefault="001A63C6" w:rsidP="001A63C6">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rsidR="001A63C6" w:rsidRPr="003410C7"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3410C7" w:rsidRDefault="001A63C6" w:rsidP="001A63C6">
            <w:pPr>
              <w:pStyle w:val="TableText"/>
              <w:widowControl w:val="0"/>
              <w:rPr>
                <w:rFonts w:ascii="Tahoma" w:hAnsi="Tahoma" w:cs="Tahoma"/>
                <w:sz w:val="13"/>
              </w:rPr>
            </w:pPr>
            <w:r w:rsidRPr="003410C7">
              <w:rPr>
                <w:rFonts w:ascii="Tahoma" w:hAnsi="Tahoma" w:cs="Tahoma"/>
                <w:sz w:val="13"/>
              </w:rPr>
              <w:t>15</w:t>
            </w:r>
          </w:p>
        </w:tc>
        <w:tc>
          <w:tcPr>
            <w:tcW w:w="450" w:type="dxa"/>
            <w:tcBorders>
              <w:bottom w:val="single" w:sz="4" w:space="0" w:color="auto"/>
            </w:tcBorders>
            <w:shd w:val="clear" w:color="auto" w:fill="FABF8F"/>
            <w:vAlign w:val="center"/>
          </w:tcPr>
          <w:p w:rsidR="001A63C6" w:rsidRPr="003410C7"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1A63C6" w:rsidRPr="003410C7"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3410C7"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1A63C6" w:rsidRPr="003410C7"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3410C7" w:rsidRDefault="001A63C6" w:rsidP="001A63C6">
            <w:pPr>
              <w:pStyle w:val="TableText"/>
              <w:widowControl w:val="0"/>
              <w:rPr>
                <w:rFonts w:ascii="Tahoma" w:hAnsi="Tahoma" w:cs="Tahoma"/>
                <w:sz w:val="13"/>
              </w:rPr>
            </w:pPr>
            <w:r w:rsidRPr="003410C7">
              <w:rPr>
                <w:rFonts w:ascii="Tahoma" w:hAnsi="Tahoma" w:cs="Tahoma"/>
                <w:sz w:val="13"/>
              </w:rPr>
              <w:t>P</w:t>
            </w:r>
          </w:p>
        </w:tc>
        <w:tc>
          <w:tcPr>
            <w:tcW w:w="450" w:type="dxa"/>
            <w:tcBorders>
              <w:bottom w:val="single" w:sz="4" w:space="0" w:color="auto"/>
            </w:tcBorders>
            <w:shd w:val="clear" w:color="auto" w:fill="FABF8F"/>
          </w:tcPr>
          <w:p w:rsidR="001A63C6" w:rsidRPr="003410C7" w:rsidRDefault="001A63C6" w:rsidP="001A63C6">
            <w:pPr>
              <w:pStyle w:val="TableText"/>
              <w:widowControl w:val="0"/>
              <w:rPr>
                <w:rFonts w:ascii="Tahoma" w:hAnsi="Tahoma" w:cs="Tahoma"/>
                <w:sz w:val="13"/>
              </w:rPr>
            </w:pPr>
          </w:p>
        </w:tc>
        <w:tc>
          <w:tcPr>
            <w:tcW w:w="540" w:type="dxa"/>
            <w:tcBorders>
              <w:bottom w:val="single" w:sz="4" w:space="0" w:color="auto"/>
            </w:tcBorders>
            <w:shd w:val="clear" w:color="auto" w:fill="FABF8F"/>
            <w:vAlign w:val="center"/>
          </w:tcPr>
          <w:p w:rsidR="001A63C6" w:rsidRPr="003410C7" w:rsidRDefault="001A63C6" w:rsidP="001A63C6">
            <w:pPr>
              <w:pStyle w:val="TableText"/>
              <w:widowControl w:val="0"/>
              <w:rPr>
                <w:rFonts w:ascii="Tahoma" w:hAnsi="Tahoma" w:cs="Tahoma"/>
                <w:sz w:val="13"/>
              </w:rPr>
            </w:pPr>
            <w:r w:rsidRPr="003410C7">
              <w:rPr>
                <w:rFonts w:ascii="Tahoma" w:hAnsi="Tahoma" w:cs="Tahoma"/>
                <w:sz w:val="13"/>
              </w:rPr>
              <w:t>OL</w:t>
            </w:r>
          </w:p>
        </w:tc>
      </w:tr>
      <w:tr w:rsidR="00B33D0E" w:rsidRPr="003410C7" w:rsidTr="006B1F3F">
        <w:trPr>
          <w:trHeight w:val="287"/>
        </w:trPr>
        <w:tc>
          <w:tcPr>
            <w:tcW w:w="2734" w:type="dxa"/>
            <w:gridSpan w:val="2"/>
            <w:tcBorders>
              <w:bottom w:val="single" w:sz="4" w:space="0" w:color="auto"/>
            </w:tcBorders>
            <w:shd w:val="clear" w:color="auto" w:fill="FFFFFF"/>
            <w:vAlign w:val="center"/>
          </w:tcPr>
          <w:p w:rsidR="001A63C6" w:rsidRPr="00451078" w:rsidRDefault="001A63C6" w:rsidP="001A63C6">
            <w:pPr>
              <w:pStyle w:val="Heading2"/>
              <w:spacing w:before="20" w:after="20"/>
              <w:ind w:left="0"/>
              <w:rPr>
                <w:rFonts w:ascii="Tahoma" w:hAnsi="Tahoma" w:cs="Tahoma"/>
                <w:b w:val="0"/>
                <w:sz w:val="14"/>
                <w:szCs w:val="14"/>
                <w:lang w:val="it-IT"/>
              </w:rPr>
            </w:pPr>
            <w:bookmarkStart w:id="538" w:name="_Toc336338127"/>
            <w:bookmarkStart w:id="539" w:name="_Toc352234725"/>
            <w:r w:rsidRPr="00451078">
              <w:rPr>
                <w:rFonts w:ascii="Tahoma" w:hAnsi="Tahoma" w:cs="Tahoma"/>
                <w:b w:val="0"/>
                <w:sz w:val="14"/>
                <w:szCs w:val="14"/>
                <w:lang w:val="it-IT"/>
              </w:rPr>
              <w:t>CAL Suite per Windows Essential Business Server 2008 per Utenti o Dispositivi Premium (20 client)</w:t>
            </w:r>
            <w:bookmarkEnd w:id="538"/>
            <w:bookmarkEnd w:id="539"/>
          </w:p>
        </w:tc>
        <w:tc>
          <w:tcPr>
            <w:tcW w:w="450" w:type="dxa"/>
            <w:tcBorders>
              <w:bottom w:val="single" w:sz="4" w:space="0" w:color="auto"/>
            </w:tcBorders>
            <w:shd w:val="clear" w:color="auto" w:fill="FFFFFF"/>
            <w:vAlign w:val="center"/>
          </w:tcPr>
          <w:p w:rsidR="001A63C6" w:rsidRPr="00451078" w:rsidRDefault="001A63C6" w:rsidP="001A63C6">
            <w:pPr>
              <w:pStyle w:val="TableText"/>
              <w:widowControl w:val="0"/>
              <w:spacing w:before="100" w:beforeAutospacing="1"/>
              <w:rPr>
                <w:rStyle w:val="EndnoteReference"/>
                <w:rFonts w:cs="Tahoma"/>
                <w:sz w:val="13"/>
                <w:szCs w:val="13"/>
                <w:lang w:val="it-IT"/>
              </w:rPr>
            </w:pPr>
          </w:p>
        </w:tc>
        <w:tc>
          <w:tcPr>
            <w:tcW w:w="450" w:type="dxa"/>
            <w:tcBorders>
              <w:bottom w:val="single" w:sz="4" w:space="0" w:color="auto"/>
            </w:tcBorders>
            <w:shd w:val="clear" w:color="auto" w:fill="FFFFFF"/>
            <w:vAlign w:val="center"/>
          </w:tcPr>
          <w:p w:rsidR="001A63C6" w:rsidRPr="003410C7" w:rsidRDefault="001A63C6" w:rsidP="001A63C6">
            <w:pPr>
              <w:pStyle w:val="TableText"/>
              <w:widowControl w:val="0"/>
              <w:spacing w:before="160"/>
              <w:rPr>
                <w:rFonts w:ascii="Tahoma" w:hAnsi="Tahoma" w:cs="Tahoma"/>
                <w:sz w:val="13"/>
              </w:rPr>
            </w:pPr>
            <w:r w:rsidRPr="003410C7">
              <w:rPr>
                <w:rFonts w:ascii="Tahoma" w:hAnsi="Tahoma" w:cs="Tahoma"/>
                <w:sz w:val="13"/>
              </w:rPr>
              <w:t>11/08</w:t>
            </w:r>
          </w:p>
        </w:tc>
        <w:tc>
          <w:tcPr>
            <w:tcW w:w="360" w:type="dxa"/>
            <w:tcBorders>
              <w:bottom w:val="single" w:sz="4" w:space="0" w:color="auto"/>
              <w:right w:val="single" w:sz="18" w:space="0" w:color="auto"/>
            </w:tcBorders>
            <w:shd w:val="clear" w:color="auto" w:fill="FFFFFF"/>
            <w:vAlign w:val="center"/>
          </w:tcPr>
          <w:p w:rsidR="001A63C6" w:rsidRPr="003410C7" w:rsidRDefault="001A63C6" w:rsidP="001A63C6">
            <w:pPr>
              <w:pStyle w:val="TableText"/>
              <w:widowControl w:val="0"/>
              <w:rPr>
                <w:rFonts w:ascii="Tahoma" w:hAnsi="Tahoma" w:cs="Tahoma"/>
                <w:sz w:val="13"/>
              </w:rPr>
            </w:pPr>
            <w:r w:rsidRPr="003410C7">
              <w:rPr>
                <w:rFonts w:ascii="Tahoma" w:hAnsi="Tahoma" w:cs="Tahoma"/>
                <w:sz w:val="13"/>
              </w:rPr>
              <w:t>SRV</w:t>
            </w:r>
          </w:p>
        </w:tc>
        <w:tc>
          <w:tcPr>
            <w:tcW w:w="360" w:type="dxa"/>
            <w:tcBorders>
              <w:left w:val="single" w:sz="18" w:space="0" w:color="auto"/>
              <w:bottom w:val="single" w:sz="4" w:space="0" w:color="auto"/>
            </w:tcBorders>
            <w:shd w:val="clear" w:color="auto" w:fill="FFFFFF"/>
            <w:vAlign w:val="center"/>
          </w:tcPr>
          <w:p w:rsidR="001A63C6" w:rsidRPr="003410C7"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FFFFF"/>
            <w:vAlign w:val="center"/>
          </w:tcPr>
          <w:p w:rsidR="001A63C6" w:rsidRPr="003410C7"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FFFFF"/>
            <w:vAlign w:val="center"/>
          </w:tcPr>
          <w:p w:rsidR="001A63C6" w:rsidRPr="003410C7"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FFFFF"/>
            <w:vAlign w:val="center"/>
          </w:tcPr>
          <w:p w:rsidR="001A63C6" w:rsidRPr="003410C7"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FFFFF"/>
            <w:vAlign w:val="center"/>
          </w:tcPr>
          <w:p w:rsidR="001A63C6" w:rsidRPr="003410C7"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FFFFF"/>
            <w:vAlign w:val="center"/>
          </w:tcPr>
          <w:p w:rsidR="001A63C6" w:rsidRPr="003410C7" w:rsidRDefault="001A63C6" w:rsidP="001A63C6">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FFFFFF"/>
            <w:vAlign w:val="center"/>
          </w:tcPr>
          <w:p w:rsidR="001A63C6" w:rsidRPr="003410C7"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FFFFF"/>
            <w:vAlign w:val="center"/>
          </w:tcPr>
          <w:p w:rsidR="001A63C6" w:rsidRPr="003410C7" w:rsidRDefault="001A63C6" w:rsidP="001A63C6">
            <w:pPr>
              <w:pStyle w:val="TableText"/>
              <w:widowControl w:val="0"/>
              <w:rPr>
                <w:rFonts w:ascii="Tahoma" w:hAnsi="Tahoma" w:cs="Tahoma"/>
                <w:sz w:val="13"/>
              </w:rPr>
            </w:pPr>
            <w:r w:rsidRPr="003410C7">
              <w:rPr>
                <w:rFonts w:ascii="Tahoma" w:hAnsi="Tahoma" w:cs="Tahoma"/>
                <w:sz w:val="13"/>
              </w:rPr>
              <w:t>50</w:t>
            </w:r>
          </w:p>
        </w:tc>
        <w:tc>
          <w:tcPr>
            <w:tcW w:w="450" w:type="dxa"/>
            <w:tcBorders>
              <w:bottom w:val="single" w:sz="4" w:space="0" w:color="auto"/>
            </w:tcBorders>
            <w:shd w:val="clear" w:color="auto" w:fill="FFFFFF"/>
            <w:vAlign w:val="center"/>
          </w:tcPr>
          <w:p w:rsidR="001A63C6" w:rsidRPr="003410C7"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FFFFF"/>
            <w:vAlign w:val="center"/>
          </w:tcPr>
          <w:p w:rsidR="001A63C6" w:rsidRPr="003410C7"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FFFFF"/>
            <w:vAlign w:val="center"/>
          </w:tcPr>
          <w:p w:rsidR="001A63C6" w:rsidRPr="003410C7"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FFFFF"/>
            <w:vAlign w:val="center"/>
          </w:tcPr>
          <w:p w:rsidR="001A63C6" w:rsidRPr="003410C7"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FFFFF"/>
            <w:vAlign w:val="center"/>
          </w:tcPr>
          <w:p w:rsidR="001A63C6" w:rsidRPr="003410C7" w:rsidRDefault="001A63C6" w:rsidP="001A63C6">
            <w:pPr>
              <w:pStyle w:val="TableText"/>
              <w:widowControl w:val="0"/>
              <w:rPr>
                <w:rFonts w:ascii="Tahoma" w:hAnsi="Tahoma" w:cs="Tahoma"/>
                <w:sz w:val="13"/>
              </w:rPr>
            </w:pPr>
            <w:r w:rsidRPr="003410C7">
              <w:rPr>
                <w:rFonts w:ascii="Tahoma" w:hAnsi="Tahoma" w:cs="Tahoma"/>
                <w:sz w:val="13"/>
              </w:rPr>
              <w:t>P</w:t>
            </w:r>
          </w:p>
        </w:tc>
        <w:tc>
          <w:tcPr>
            <w:tcW w:w="450" w:type="dxa"/>
            <w:tcBorders>
              <w:bottom w:val="single" w:sz="4" w:space="0" w:color="auto"/>
            </w:tcBorders>
            <w:shd w:val="clear" w:color="auto" w:fill="FFFFFF"/>
          </w:tcPr>
          <w:p w:rsidR="001A63C6" w:rsidRPr="003410C7" w:rsidRDefault="001A63C6" w:rsidP="001A63C6">
            <w:pPr>
              <w:pStyle w:val="TableText"/>
              <w:widowControl w:val="0"/>
              <w:rPr>
                <w:rFonts w:ascii="Tahoma" w:hAnsi="Tahoma" w:cs="Tahoma"/>
                <w:sz w:val="13"/>
              </w:rPr>
            </w:pPr>
          </w:p>
        </w:tc>
        <w:tc>
          <w:tcPr>
            <w:tcW w:w="540" w:type="dxa"/>
            <w:tcBorders>
              <w:bottom w:val="single" w:sz="4" w:space="0" w:color="auto"/>
            </w:tcBorders>
            <w:shd w:val="clear" w:color="auto" w:fill="FFFFFF"/>
            <w:vAlign w:val="center"/>
          </w:tcPr>
          <w:p w:rsidR="001A63C6" w:rsidRPr="003410C7" w:rsidRDefault="001A63C6" w:rsidP="001A63C6">
            <w:pPr>
              <w:pStyle w:val="TableText"/>
              <w:widowControl w:val="0"/>
              <w:rPr>
                <w:rFonts w:ascii="Tahoma" w:hAnsi="Tahoma" w:cs="Tahoma"/>
                <w:sz w:val="13"/>
              </w:rPr>
            </w:pPr>
            <w:r w:rsidRPr="003410C7">
              <w:rPr>
                <w:rFonts w:ascii="Tahoma" w:hAnsi="Tahoma" w:cs="Tahoma"/>
                <w:sz w:val="13"/>
              </w:rPr>
              <w:t>OL</w:t>
            </w:r>
          </w:p>
        </w:tc>
      </w:tr>
      <w:tr w:rsidR="00B33D0E" w:rsidRPr="003410C7" w:rsidTr="006B1F3F">
        <w:trPr>
          <w:trHeight w:val="287"/>
        </w:trPr>
        <w:tc>
          <w:tcPr>
            <w:tcW w:w="2734" w:type="dxa"/>
            <w:gridSpan w:val="2"/>
            <w:tcBorders>
              <w:bottom w:val="single" w:sz="4" w:space="0" w:color="auto"/>
            </w:tcBorders>
            <w:shd w:val="clear" w:color="auto" w:fill="FABF8F"/>
            <w:vAlign w:val="center"/>
          </w:tcPr>
          <w:p w:rsidR="001A63C6" w:rsidRPr="00451078" w:rsidRDefault="001A63C6" w:rsidP="00A442F1">
            <w:pPr>
              <w:pStyle w:val="Heading2"/>
              <w:spacing w:before="20" w:after="20"/>
              <w:ind w:left="0"/>
              <w:rPr>
                <w:rFonts w:ascii="Tahoma" w:hAnsi="Tahoma" w:cs="Tahoma"/>
                <w:b w:val="0"/>
                <w:sz w:val="14"/>
                <w:szCs w:val="14"/>
                <w:lang w:val="it-IT"/>
              </w:rPr>
            </w:pPr>
            <w:bookmarkStart w:id="540" w:name="_Toc336338128"/>
            <w:bookmarkStart w:id="541" w:name="_Toc352234726"/>
            <w:r w:rsidRPr="00451078">
              <w:rPr>
                <w:rFonts w:ascii="Tahoma" w:hAnsi="Tahoma" w:cs="Tahoma"/>
                <w:b w:val="0"/>
                <w:sz w:val="14"/>
                <w:szCs w:val="14"/>
                <w:lang w:val="it-IT"/>
              </w:rPr>
              <w:t>CAL Suite per Windows Essential Business</w:t>
            </w:r>
            <w:r w:rsidR="001A3EC5" w:rsidRPr="00451078">
              <w:rPr>
                <w:rFonts w:ascii="Tahoma" w:hAnsi="Tahoma" w:cs="Tahoma"/>
                <w:b w:val="0"/>
                <w:sz w:val="14"/>
                <w:szCs w:val="14"/>
                <w:lang w:val="it-IT"/>
              </w:rPr>
              <w:t xml:space="preserve"> </w:t>
            </w:r>
            <w:r w:rsidRPr="00451078">
              <w:rPr>
                <w:rFonts w:ascii="Tahoma" w:hAnsi="Tahoma" w:cs="Tahoma"/>
                <w:b w:val="0"/>
                <w:sz w:val="14"/>
                <w:szCs w:val="14"/>
                <w:lang w:val="it-IT"/>
              </w:rPr>
              <w:t>Server 2008 per Utenti o</w:t>
            </w:r>
            <w:r w:rsidR="00A442F1" w:rsidRPr="00451078">
              <w:rPr>
                <w:rFonts w:ascii="Tahoma" w:hAnsi="Tahoma" w:cs="Tahoma"/>
                <w:b w:val="0"/>
                <w:sz w:val="14"/>
                <w:szCs w:val="14"/>
                <w:lang w:val="it-IT"/>
              </w:rPr>
              <w:t> </w:t>
            </w:r>
            <w:r w:rsidRPr="00451078">
              <w:rPr>
                <w:rFonts w:ascii="Tahoma" w:hAnsi="Tahoma" w:cs="Tahoma"/>
                <w:b w:val="0"/>
                <w:sz w:val="14"/>
                <w:szCs w:val="14"/>
                <w:lang w:val="it-IT"/>
              </w:rPr>
              <w:t>Dispositivi Premium (50 client)</w:t>
            </w:r>
            <w:bookmarkEnd w:id="540"/>
            <w:bookmarkEnd w:id="541"/>
          </w:p>
        </w:tc>
        <w:tc>
          <w:tcPr>
            <w:tcW w:w="450" w:type="dxa"/>
            <w:tcBorders>
              <w:bottom w:val="single" w:sz="4" w:space="0" w:color="auto"/>
            </w:tcBorders>
            <w:shd w:val="clear" w:color="auto" w:fill="FABF8F"/>
            <w:vAlign w:val="center"/>
          </w:tcPr>
          <w:p w:rsidR="001A63C6" w:rsidRPr="00451078" w:rsidRDefault="001A63C6" w:rsidP="001A63C6">
            <w:pPr>
              <w:pStyle w:val="TableText"/>
              <w:widowControl w:val="0"/>
              <w:spacing w:before="100" w:beforeAutospacing="1"/>
              <w:rPr>
                <w:rStyle w:val="EndnoteReference"/>
                <w:rFonts w:cs="Tahoma"/>
                <w:color w:val="0000FF"/>
                <w:sz w:val="13"/>
                <w:szCs w:val="13"/>
                <w:lang w:val="it-IT"/>
              </w:rPr>
            </w:pPr>
          </w:p>
        </w:tc>
        <w:tc>
          <w:tcPr>
            <w:tcW w:w="450" w:type="dxa"/>
            <w:tcBorders>
              <w:bottom w:val="single" w:sz="4" w:space="0" w:color="auto"/>
            </w:tcBorders>
            <w:shd w:val="clear" w:color="auto" w:fill="FABF8F"/>
            <w:vAlign w:val="center"/>
          </w:tcPr>
          <w:p w:rsidR="001A63C6" w:rsidRPr="003410C7" w:rsidRDefault="001A63C6" w:rsidP="001A63C6">
            <w:pPr>
              <w:pStyle w:val="TableText"/>
              <w:widowControl w:val="0"/>
              <w:spacing w:before="180"/>
              <w:rPr>
                <w:rFonts w:ascii="Tahoma" w:hAnsi="Tahoma" w:cs="Tahoma"/>
                <w:sz w:val="13"/>
              </w:rPr>
            </w:pPr>
            <w:r w:rsidRPr="003410C7">
              <w:rPr>
                <w:rFonts w:ascii="Tahoma" w:hAnsi="Tahoma" w:cs="Tahoma"/>
                <w:sz w:val="13"/>
              </w:rPr>
              <w:t>11/08</w:t>
            </w:r>
          </w:p>
        </w:tc>
        <w:tc>
          <w:tcPr>
            <w:tcW w:w="360" w:type="dxa"/>
            <w:tcBorders>
              <w:bottom w:val="single" w:sz="4" w:space="0" w:color="auto"/>
              <w:right w:val="single" w:sz="18" w:space="0" w:color="auto"/>
            </w:tcBorders>
            <w:shd w:val="clear" w:color="auto" w:fill="FABF8F"/>
            <w:vAlign w:val="center"/>
          </w:tcPr>
          <w:p w:rsidR="001A63C6" w:rsidRPr="003410C7" w:rsidRDefault="001A63C6" w:rsidP="001A63C6">
            <w:pPr>
              <w:pStyle w:val="TableText"/>
              <w:widowControl w:val="0"/>
              <w:rPr>
                <w:rFonts w:ascii="Tahoma" w:hAnsi="Tahoma" w:cs="Tahoma"/>
                <w:sz w:val="13"/>
              </w:rPr>
            </w:pPr>
            <w:r w:rsidRPr="003410C7">
              <w:rPr>
                <w:rFonts w:ascii="Tahoma" w:hAnsi="Tahoma" w:cs="Tahoma"/>
                <w:sz w:val="13"/>
              </w:rPr>
              <w:t>SRV</w:t>
            </w:r>
          </w:p>
        </w:tc>
        <w:tc>
          <w:tcPr>
            <w:tcW w:w="360" w:type="dxa"/>
            <w:tcBorders>
              <w:left w:val="single" w:sz="18" w:space="0" w:color="auto"/>
              <w:bottom w:val="single" w:sz="4" w:space="0" w:color="auto"/>
            </w:tcBorders>
            <w:shd w:val="clear" w:color="auto" w:fill="FABF8F"/>
            <w:vAlign w:val="center"/>
          </w:tcPr>
          <w:p w:rsidR="001A63C6" w:rsidRPr="003410C7"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3410C7"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3410C7"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3410C7"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3410C7"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3410C7" w:rsidRDefault="001A63C6" w:rsidP="001A63C6">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rsidR="001A63C6" w:rsidRPr="003410C7"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3410C7" w:rsidRDefault="001A63C6" w:rsidP="001A63C6">
            <w:pPr>
              <w:pStyle w:val="TableText"/>
              <w:widowControl w:val="0"/>
              <w:rPr>
                <w:rFonts w:ascii="Tahoma" w:hAnsi="Tahoma" w:cs="Tahoma"/>
                <w:sz w:val="13"/>
              </w:rPr>
            </w:pPr>
            <w:r w:rsidRPr="003410C7">
              <w:rPr>
                <w:rFonts w:ascii="Tahoma" w:hAnsi="Tahoma" w:cs="Tahoma"/>
                <w:sz w:val="13"/>
              </w:rPr>
              <w:t>75</w:t>
            </w:r>
          </w:p>
        </w:tc>
        <w:tc>
          <w:tcPr>
            <w:tcW w:w="450" w:type="dxa"/>
            <w:tcBorders>
              <w:bottom w:val="single" w:sz="4" w:space="0" w:color="auto"/>
            </w:tcBorders>
            <w:shd w:val="clear" w:color="auto" w:fill="FABF8F"/>
            <w:vAlign w:val="center"/>
          </w:tcPr>
          <w:p w:rsidR="001A63C6" w:rsidRPr="003410C7"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1A63C6" w:rsidRPr="003410C7"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3410C7"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1A63C6" w:rsidRPr="003410C7"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3410C7" w:rsidRDefault="001A63C6" w:rsidP="001A63C6">
            <w:pPr>
              <w:pStyle w:val="TableText"/>
              <w:widowControl w:val="0"/>
              <w:rPr>
                <w:rFonts w:ascii="Tahoma" w:hAnsi="Tahoma" w:cs="Tahoma"/>
                <w:sz w:val="13"/>
              </w:rPr>
            </w:pPr>
            <w:r w:rsidRPr="003410C7">
              <w:rPr>
                <w:rFonts w:ascii="Tahoma" w:hAnsi="Tahoma" w:cs="Tahoma"/>
                <w:sz w:val="13"/>
              </w:rPr>
              <w:t>P</w:t>
            </w:r>
          </w:p>
        </w:tc>
        <w:tc>
          <w:tcPr>
            <w:tcW w:w="450" w:type="dxa"/>
            <w:tcBorders>
              <w:bottom w:val="single" w:sz="4" w:space="0" w:color="auto"/>
            </w:tcBorders>
            <w:shd w:val="clear" w:color="auto" w:fill="FABF8F"/>
          </w:tcPr>
          <w:p w:rsidR="001A63C6" w:rsidRPr="003410C7" w:rsidRDefault="001A63C6" w:rsidP="001A63C6">
            <w:pPr>
              <w:pStyle w:val="TableText"/>
              <w:widowControl w:val="0"/>
              <w:rPr>
                <w:rFonts w:ascii="Tahoma" w:hAnsi="Tahoma" w:cs="Tahoma"/>
                <w:sz w:val="13"/>
              </w:rPr>
            </w:pPr>
          </w:p>
        </w:tc>
        <w:tc>
          <w:tcPr>
            <w:tcW w:w="540" w:type="dxa"/>
            <w:tcBorders>
              <w:bottom w:val="single" w:sz="4" w:space="0" w:color="auto"/>
            </w:tcBorders>
            <w:shd w:val="clear" w:color="auto" w:fill="FABF8F"/>
            <w:vAlign w:val="center"/>
          </w:tcPr>
          <w:p w:rsidR="001A63C6" w:rsidRPr="003410C7" w:rsidRDefault="001A63C6" w:rsidP="001A63C6">
            <w:pPr>
              <w:pStyle w:val="TableText"/>
              <w:widowControl w:val="0"/>
              <w:rPr>
                <w:rFonts w:ascii="Tahoma" w:hAnsi="Tahoma" w:cs="Tahoma"/>
                <w:sz w:val="13"/>
              </w:rPr>
            </w:pPr>
            <w:r w:rsidRPr="003410C7">
              <w:rPr>
                <w:rFonts w:ascii="Tahoma" w:hAnsi="Tahoma" w:cs="Tahoma"/>
                <w:sz w:val="13"/>
              </w:rPr>
              <w:t>OL</w:t>
            </w:r>
          </w:p>
        </w:tc>
      </w:tr>
      <w:tr w:rsidR="00B33D0E" w:rsidRPr="003410C7" w:rsidTr="006B1F3F">
        <w:trPr>
          <w:trHeight w:val="145"/>
        </w:trPr>
        <w:tc>
          <w:tcPr>
            <w:tcW w:w="2734" w:type="dxa"/>
            <w:gridSpan w:val="2"/>
            <w:tcBorders>
              <w:bottom w:val="single" w:sz="4" w:space="0" w:color="auto"/>
            </w:tcBorders>
            <w:shd w:val="clear" w:color="auto" w:fill="FFFFFF"/>
            <w:vAlign w:val="center"/>
          </w:tcPr>
          <w:p w:rsidR="001A63C6" w:rsidRPr="003410C7" w:rsidRDefault="001A63C6" w:rsidP="001A63C6">
            <w:pPr>
              <w:pStyle w:val="Heading2"/>
              <w:spacing w:before="20" w:after="20"/>
              <w:ind w:left="0"/>
              <w:rPr>
                <w:rFonts w:ascii="Tahoma" w:hAnsi="Tahoma" w:cs="Tahoma"/>
                <w:b w:val="0"/>
                <w:sz w:val="14"/>
                <w:szCs w:val="14"/>
              </w:rPr>
            </w:pPr>
            <w:bookmarkStart w:id="542" w:name="_Toc336338129"/>
            <w:bookmarkStart w:id="543" w:name="_Toc352234727"/>
            <w:r w:rsidRPr="003410C7">
              <w:rPr>
                <w:rFonts w:ascii="Tahoma" w:hAnsi="Tahoma" w:cs="Tahoma"/>
                <w:b w:val="0"/>
                <w:sz w:val="14"/>
                <w:szCs w:val="14"/>
              </w:rPr>
              <w:t>Windows HPC Server 2008 R2 Suite</w:t>
            </w:r>
            <w:bookmarkEnd w:id="542"/>
            <w:bookmarkEnd w:id="543"/>
            <w:r w:rsidRPr="003410C7">
              <w:rPr>
                <w:rFonts w:ascii="Tahoma" w:hAnsi="Tahoma" w:cs="Tahoma"/>
                <w:b w:val="0"/>
                <w:sz w:val="14"/>
                <w:szCs w:val="14"/>
              </w:rPr>
              <w:t xml:space="preserve"> </w:t>
            </w:r>
          </w:p>
        </w:tc>
        <w:tc>
          <w:tcPr>
            <w:tcW w:w="450" w:type="dxa"/>
            <w:tcBorders>
              <w:bottom w:val="single" w:sz="4" w:space="0" w:color="auto"/>
            </w:tcBorders>
            <w:shd w:val="clear" w:color="auto" w:fill="FFFFFF"/>
            <w:vAlign w:val="center"/>
          </w:tcPr>
          <w:p w:rsidR="001A63C6" w:rsidRPr="009F17FF" w:rsidRDefault="00FC1A4D" w:rsidP="006615A9">
            <w:pPr>
              <w:pStyle w:val="TableText"/>
              <w:widowControl w:val="0"/>
              <w:rPr>
                <w:b/>
                <w:sz w:val="13"/>
                <w:szCs w:val="13"/>
                <w:u w:val="single"/>
              </w:rPr>
            </w:pPr>
            <w:hyperlink w:anchor="Srv_106HPCServer2008_R2Suite" w:history="1">
              <w:r w:rsidR="000D77F6" w:rsidRPr="009F17FF">
                <w:rPr>
                  <w:rStyle w:val="Hyperlink"/>
                  <w:b/>
                  <w:sz w:val="13"/>
                  <w:szCs w:val="13"/>
                </w:rPr>
                <w:t>98</w:t>
              </w:r>
            </w:hyperlink>
          </w:p>
        </w:tc>
        <w:tc>
          <w:tcPr>
            <w:tcW w:w="450" w:type="dxa"/>
            <w:tcBorders>
              <w:bottom w:val="single" w:sz="4" w:space="0" w:color="auto"/>
            </w:tcBorders>
            <w:shd w:val="clear" w:color="auto" w:fill="FFFFFF"/>
            <w:vAlign w:val="center"/>
          </w:tcPr>
          <w:p w:rsidR="001A63C6" w:rsidRPr="003410C7" w:rsidRDefault="001A63C6" w:rsidP="007E466C">
            <w:pPr>
              <w:pStyle w:val="TableText"/>
              <w:widowControl w:val="0"/>
              <w:rPr>
                <w:rFonts w:ascii="Tahoma" w:hAnsi="Tahoma" w:cs="Tahoma"/>
                <w:color w:val="000000"/>
                <w:sz w:val="13"/>
              </w:rPr>
            </w:pPr>
            <w:r w:rsidRPr="003410C7">
              <w:rPr>
                <w:rFonts w:ascii="Tahoma" w:hAnsi="Tahoma" w:cs="Tahoma"/>
                <w:color w:val="000000"/>
                <w:sz w:val="13"/>
              </w:rPr>
              <w:t>09/10</w:t>
            </w:r>
          </w:p>
        </w:tc>
        <w:tc>
          <w:tcPr>
            <w:tcW w:w="360" w:type="dxa"/>
            <w:tcBorders>
              <w:bottom w:val="single" w:sz="4" w:space="0" w:color="auto"/>
              <w:right w:val="single" w:sz="18" w:space="0" w:color="auto"/>
            </w:tcBorders>
            <w:shd w:val="clear" w:color="auto" w:fill="FFFFFF"/>
            <w:vAlign w:val="center"/>
          </w:tcPr>
          <w:p w:rsidR="001A63C6" w:rsidRPr="003410C7" w:rsidRDefault="001A63C6" w:rsidP="001A63C6">
            <w:pPr>
              <w:pStyle w:val="TableText"/>
              <w:widowControl w:val="0"/>
              <w:rPr>
                <w:rFonts w:ascii="Tahoma" w:hAnsi="Tahoma" w:cs="Tahoma"/>
                <w:color w:val="000000"/>
                <w:sz w:val="13"/>
              </w:rPr>
            </w:pPr>
            <w:r w:rsidRPr="003410C7">
              <w:rPr>
                <w:rFonts w:ascii="Tahoma" w:hAnsi="Tahoma" w:cs="Tahoma"/>
                <w:color w:val="000000"/>
                <w:sz w:val="13"/>
              </w:rPr>
              <w:t>SRV</w:t>
            </w:r>
          </w:p>
        </w:tc>
        <w:tc>
          <w:tcPr>
            <w:tcW w:w="360" w:type="dxa"/>
            <w:tcBorders>
              <w:left w:val="single" w:sz="18" w:space="0" w:color="auto"/>
              <w:bottom w:val="single" w:sz="4" w:space="0" w:color="auto"/>
            </w:tcBorders>
            <w:shd w:val="clear" w:color="auto" w:fill="FFFFFF"/>
            <w:vAlign w:val="center"/>
          </w:tcPr>
          <w:p w:rsidR="001A63C6" w:rsidRPr="003410C7"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FFFFF"/>
            <w:vAlign w:val="center"/>
          </w:tcPr>
          <w:p w:rsidR="001A63C6" w:rsidRPr="003410C7"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FFFFF"/>
            <w:vAlign w:val="center"/>
          </w:tcPr>
          <w:p w:rsidR="001A63C6" w:rsidRPr="003410C7"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FFFFF"/>
            <w:vAlign w:val="center"/>
          </w:tcPr>
          <w:p w:rsidR="001A63C6" w:rsidRPr="003410C7"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FFFFF"/>
            <w:vAlign w:val="center"/>
          </w:tcPr>
          <w:p w:rsidR="001A63C6" w:rsidRPr="003410C7"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FFFFF"/>
            <w:vAlign w:val="center"/>
          </w:tcPr>
          <w:p w:rsidR="001A63C6" w:rsidRPr="003410C7" w:rsidRDefault="001A63C6" w:rsidP="001A63C6">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FFFFFF"/>
            <w:vAlign w:val="center"/>
          </w:tcPr>
          <w:p w:rsidR="001A63C6" w:rsidRPr="003410C7"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FFFFF"/>
            <w:vAlign w:val="center"/>
          </w:tcPr>
          <w:p w:rsidR="001A63C6" w:rsidRPr="003410C7"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FFFFF"/>
            <w:vAlign w:val="center"/>
          </w:tcPr>
          <w:p w:rsidR="001A63C6" w:rsidRPr="003410C7"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FFFFF"/>
            <w:vAlign w:val="center"/>
          </w:tcPr>
          <w:p w:rsidR="001A63C6" w:rsidRPr="003410C7"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FFFFF"/>
            <w:vAlign w:val="center"/>
          </w:tcPr>
          <w:p w:rsidR="001A63C6" w:rsidRPr="003410C7"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FFFFF"/>
            <w:vAlign w:val="center"/>
          </w:tcPr>
          <w:p w:rsidR="001A63C6" w:rsidRPr="003410C7"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FFFFF"/>
            <w:vAlign w:val="center"/>
          </w:tcPr>
          <w:p w:rsidR="001A63C6" w:rsidRPr="003410C7"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FFFFF"/>
          </w:tcPr>
          <w:p w:rsidR="001A63C6" w:rsidRPr="003410C7" w:rsidRDefault="001A63C6" w:rsidP="001A63C6">
            <w:pPr>
              <w:pStyle w:val="TableText"/>
              <w:widowControl w:val="0"/>
              <w:rPr>
                <w:rFonts w:ascii="Tahoma" w:hAnsi="Tahoma" w:cs="Tahoma"/>
                <w:color w:val="000000"/>
                <w:sz w:val="13"/>
              </w:rPr>
            </w:pPr>
          </w:p>
        </w:tc>
        <w:tc>
          <w:tcPr>
            <w:tcW w:w="540" w:type="dxa"/>
            <w:tcBorders>
              <w:bottom w:val="single" w:sz="4" w:space="0" w:color="auto"/>
            </w:tcBorders>
            <w:shd w:val="clear" w:color="auto" w:fill="FFFFFF"/>
            <w:vAlign w:val="center"/>
          </w:tcPr>
          <w:p w:rsidR="001A63C6" w:rsidRPr="003410C7" w:rsidRDefault="001A63C6" w:rsidP="001A63C6">
            <w:pPr>
              <w:pStyle w:val="TableText"/>
              <w:widowControl w:val="0"/>
              <w:rPr>
                <w:rFonts w:ascii="Tahoma" w:hAnsi="Tahoma" w:cs="Tahoma"/>
                <w:color w:val="000000"/>
                <w:sz w:val="13"/>
              </w:rPr>
            </w:pPr>
          </w:p>
        </w:tc>
      </w:tr>
      <w:tr w:rsidR="00B33D0E" w:rsidRPr="003410C7" w:rsidTr="006B1F3F">
        <w:trPr>
          <w:trHeight w:val="145"/>
        </w:trPr>
        <w:tc>
          <w:tcPr>
            <w:tcW w:w="2734" w:type="dxa"/>
            <w:gridSpan w:val="2"/>
            <w:tcBorders>
              <w:bottom w:val="single" w:sz="4" w:space="0" w:color="auto"/>
            </w:tcBorders>
            <w:shd w:val="clear" w:color="auto" w:fill="FABF8F"/>
            <w:vAlign w:val="center"/>
          </w:tcPr>
          <w:p w:rsidR="001A63C6" w:rsidRPr="003410C7" w:rsidRDefault="001A63C6" w:rsidP="001A63C6">
            <w:pPr>
              <w:pStyle w:val="Heading2"/>
              <w:spacing w:before="20" w:after="20"/>
              <w:ind w:left="0"/>
              <w:rPr>
                <w:rFonts w:ascii="Tahoma" w:hAnsi="Tahoma" w:cs="Tahoma"/>
                <w:b w:val="0"/>
                <w:sz w:val="14"/>
                <w:szCs w:val="14"/>
              </w:rPr>
            </w:pPr>
            <w:bookmarkStart w:id="544" w:name="_Toc352234728"/>
            <w:r w:rsidRPr="003410C7">
              <w:rPr>
                <w:rFonts w:ascii="Tahoma" w:hAnsi="Tahoma" w:cs="Tahoma"/>
                <w:b w:val="0"/>
                <w:sz w:val="14"/>
              </w:rPr>
              <w:t>Componente Aggiuntivo per Windows Intune per System Center Configuration Manager e System Center EndPoint Protection (Per Utente)</w:t>
            </w:r>
            <w:bookmarkEnd w:id="544"/>
          </w:p>
        </w:tc>
        <w:tc>
          <w:tcPr>
            <w:tcW w:w="450" w:type="dxa"/>
            <w:tcBorders>
              <w:bottom w:val="single" w:sz="4" w:space="0" w:color="auto"/>
            </w:tcBorders>
            <w:shd w:val="clear" w:color="auto" w:fill="FABF8F"/>
            <w:vAlign w:val="center"/>
          </w:tcPr>
          <w:p w:rsidR="001A63C6" w:rsidRPr="009F17FF" w:rsidRDefault="001A63C6" w:rsidP="001A63C6">
            <w:pPr>
              <w:pStyle w:val="TableText"/>
              <w:widowControl w:val="0"/>
              <w:rPr>
                <w:sz w:val="13"/>
                <w:szCs w:val="13"/>
              </w:rPr>
            </w:pPr>
          </w:p>
        </w:tc>
        <w:tc>
          <w:tcPr>
            <w:tcW w:w="450" w:type="dxa"/>
            <w:tcBorders>
              <w:bottom w:val="single" w:sz="4" w:space="0" w:color="auto"/>
            </w:tcBorders>
            <w:shd w:val="clear" w:color="auto" w:fill="FABF8F"/>
            <w:vAlign w:val="center"/>
          </w:tcPr>
          <w:p w:rsidR="001A63C6" w:rsidRPr="003410C7" w:rsidRDefault="001A63C6" w:rsidP="001A63C6">
            <w:pPr>
              <w:pStyle w:val="TableText"/>
              <w:widowControl w:val="0"/>
              <w:spacing w:before="80"/>
              <w:rPr>
                <w:rFonts w:ascii="Tahoma" w:hAnsi="Tahoma" w:cs="Tahoma"/>
                <w:color w:val="000000"/>
                <w:sz w:val="13"/>
              </w:rPr>
            </w:pPr>
            <w:r w:rsidRPr="003410C7">
              <w:rPr>
                <w:rFonts w:ascii="Tahoma" w:hAnsi="Tahoma" w:cs="Tahoma"/>
                <w:color w:val="000000"/>
                <w:sz w:val="13"/>
              </w:rPr>
              <w:t>12/12</w:t>
            </w:r>
          </w:p>
        </w:tc>
        <w:tc>
          <w:tcPr>
            <w:tcW w:w="360" w:type="dxa"/>
            <w:tcBorders>
              <w:bottom w:val="single" w:sz="4" w:space="0" w:color="auto"/>
              <w:right w:val="single" w:sz="18" w:space="0" w:color="auto"/>
            </w:tcBorders>
            <w:shd w:val="clear" w:color="auto" w:fill="FABF8F"/>
            <w:vAlign w:val="center"/>
          </w:tcPr>
          <w:p w:rsidR="001A63C6" w:rsidRPr="003410C7" w:rsidRDefault="001A63C6" w:rsidP="001A63C6">
            <w:pPr>
              <w:pStyle w:val="TableText"/>
              <w:widowControl w:val="0"/>
              <w:rPr>
                <w:rFonts w:ascii="Tahoma" w:hAnsi="Tahoma" w:cs="Tahoma"/>
                <w:color w:val="000000"/>
                <w:sz w:val="13"/>
              </w:rPr>
            </w:pPr>
            <w:r w:rsidRPr="003410C7">
              <w:rPr>
                <w:rFonts w:ascii="Tahoma" w:hAnsi="Tahoma" w:cs="Tahoma"/>
                <w:color w:val="000000"/>
                <w:sz w:val="13"/>
              </w:rPr>
              <w:t>OSB</w:t>
            </w:r>
          </w:p>
        </w:tc>
        <w:tc>
          <w:tcPr>
            <w:tcW w:w="360" w:type="dxa"/>
            <w:tcBorders>
              <w:left w:val="single" w:sz="18" w:space="0" w:color="auto"/>
              <w:bottom w:val="single" w:sz="4" w:space="0" w:color="auto"/>
            </w:tcBorders>
            <w:shd w:val="clear" w:color="auto" w:fill="FABF8F"/>
            <w:vAlign w:val="center"/>
          </w:tcPr>
          <w:p w:rsidR="001A63C6" w:rsidRPr="003410C7"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3410C7"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3410C7"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3410C7"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3410C7"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3410C7" w:rsidRDefault="001A63C6" w:rsidP="001A63C6">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rsidR="001A63C6" w:rsidRPr="003410C7"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3410C7"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3410C7"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1A63C6" w:rsidRPr="003410C7"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3410C7"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1A63C6" w:rsidRPr="003410C7" w:rsidRDefault="001A63C6" w:rsidP="001A63C6">
            <w:pPr>
              <w:pStyle w:val="TableText"/>
              <w:widowControl w:val="0"/>
              <w:rPr>
                <w:rFonts w:ascii="Tahoma" w:hAnsi="Tahoma" w:cs="Tahoma"/>
                <w:sz w:val="13"/>
              </w:rPr>
            </w:pPr>
            <w:r w:rsidRPr="003410C7">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3410C7"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tcPr>
          <w:p w:rsidR="001A63C6" w:rsidRPr="003410C7" w:rsidRDefault="001A63C6" w:rsidP="001A63C6">
            <w:pPr>
              <w:pStyle w:val="TableText"/>
              <w:widowControl w:val="0"/>
              <w:rPr>
                <w:rFonts w:ascii="Tahoma" w:hAnsi="Tahoma" w:cs="Tahoma"/>
                <w:sz w:val="13"/>
              </w:rPr>
            </w:pPr>
            <w:r w:rsidRPr="003410C7">
              <w:rPr>
                <w:rFonts w:ascii="Tahoma" w:hAnsi="Tahoma" w:cs="Tahoma"/>
                <w:sz w:val="13"/>
              </w:rPr>
              <w:t>A, ST</w:t>
            </w:r>
          </w:p>
        </w:tc>
        <w:tc>
          <w:tcPr>
            <w:tcW w:w="540" w:type="dxa"/>
            <w:tcBorders>
              <w:bottom w:val="single" w:sz="4" w:space="0" w:color="auto"/>
            </w:tcBorders>
            <w:shd w:val="clear" w:color="auto" w:fill="FABF8F"/>
            <w:vAlign w:val="center"/>
          </w:tcPr>
          <w:p w:rsidR="001A63C6" w:rsidRPr="003410C7" w:rsidRDefault="001A63C6" w:rsidP="001A63C6">
            <w:pPr>
              <w:pStyle w:val="TableText"/>
              <w:widowControl w:val="0"/>
              <w:rPr>
                <w:rFonts w:ascii="Tahoma" w:hAnsi="Tahoma" w:cs="Tahoma"/>
                <w:color w:val="000000"/>
                <w:sz w:val="13"/>
              </w:rPr>
            </w:pPr>
          </w:p>
        </w:tc>
      </w:tr>
      <w:tr w:rsidR="001A63C6" w:rsidRPr="003410C7" w:rsidTr="007E466C">
        <w:trPr>
          <w:trHeight w:val="145"/>
        </w:trPr>
        <w:tc>
          <w:tcPr>
            <w:tcW w:w="2734" w:type="dxa"/>
            <w:gridSpan w:val="2"/>
            <w:tcBorders>
              <w:bottom w:val="single" w:sz="4" w:space="0" w:color="auto"/>
            </w:tcBorders>
            <w:shd w:val="clear" w:color="auto" w:fill="auto"/>
            <w:vAlign w:val="center"/>
          </w:tcPr>
          <w:p w:rsidR="001A63C6" w:rsidRPr="003410C7" w:rsidRDefault="001A63C6" w:rsidP="001A63C6">
            <w:pPr>
              <w:pStyle w:val="Heading2"/>
              <w:spacing w:before="20" w:after="20"/>
              <w:ind w:left="0"/>
              <w:rPr>
                <w:rFonts w:ascii="Tahoma" w:hAnsi="Tahoma" w:cs="Tahoma"/>
                <w:b w:val="0"/>
                <w:sz w:val="14"/>
                <w:szCs w:val="14"/>
              </w:rPr>
            </w:pPr>
            <w:bookmarkStart w:id="545" w:name="_Toc352234729"/>
            <w:r w:rsidRPr="003410C7">
              <w:rPr>
                <w:rFonts w:ascii="Tahoma" w:hAnsi="Tahoma" w:cs="Tahoma"/>
                <w:b w:val="0"/>
                <w:sz w:val="14"/>
                <w:szCs w:val="14"/>
              </w:rPr>
              <w:t>Windows Intune (Per Utente)</w:t>
            </w:r>
            <w:bookmarkEnd w:id="545"/>
          </w:p>
        </w:tc>
        <w:tc>
          <w:tcPr>
            <w:tcW w:w="450" w:type="dxa"/>
            <w:tcBorders>
              <w:bottom w:val="single" w:sz="4" w:space="0" w:color="auto"/>
            </w:tcBorders>
            <w:shd w:val="clear" w:color="auto" w:fill="auto"/>
            <w:vAlign w:val="center"/>
          </w:tcPr>
          <w:p w:rsidR="001A63C6" w:rsidRPr="009F17FF" w:rsidRDefault="001A63C6" w:rsidP="001A63C6">
            <w:pPr>
              <w:pStyle w:val="TableText"/>
              <w:widowControl w:val="0"/>
              <w:rPr>
                <w:sz w:val="13"/>
                <w:szCs w:val="13"/>
              </w:rPr>
            </w:pPr>
          </w:p>
        </w:tc>
        <w:tc>
          <w:tcPr>
            <w:tcW w:w="450" w:type="dxa"/>
            <w:tcBorders>
              <w:bottom w:val="single" w:sz="4" w:space="0" w:color="auto"/>
            </w:tcBorders>
            <w:shd w:val="clear" w:color="auto" w:fill="auto"/>
            <w:vAlign w:val="center"/>
          </w:tcPr>
          <w:p w:rsidR="001A63C6" w:rsidRPr="003410C7" w:rsidRDefault="001A63C6" w:rsidP="007E466C">
            <w:pPr>
              <w:pStyle w:val="TableText"/>
              <w:widowControl w:val="0"/>
              <w:rPr>
                <w:rFonts w:ascii="Tahoma" w:hAnsi="Tahoma" w:cs="Tahoma"/>
                <w:color w:val="000000"/>
                <w:sz w:val="13"/>
              </w:rPr>
            </w:pPr>
            <w:r w:rsidRPr="003410C7">
              <w:rPr>
                <w:rFonts w:ascii="Tahoma" w:hAnsi="Tahoma" w:cs="Tahoma"/>
                <w:color w:val="000000"/>
                <w:sz w:val="13"/>
              </w:rPr>
              <w:t>12/12</w:t>
            </w:r>
          </w:p>
        </w:tc>
        <w:tc>
          <w:tcPr>
            <w:tcW w:w="360" w:type="dxa"/>
            <w:tcBorders>
              <w:bottom w:val="single" w:sz="4" w:space="0" w:color="auto"/>
              <w:right w:val="single" w:sz="18" w:space="0" w:color="auto"/>
            </w:tcBorders>
            <w:shd w:val="clear" w:color="auto" w:fill="auto"/>
            <w:vAlign w:val="center"/>
          </w:tcPr>
          <w:p w:rsidR="001A63C6" w:rsidRPr="003410C7" w:rsidRDefault="001A63C6" w:rsidP="001A63C6">
            <w:pPr>
              <w:pStyle w:val="TableText"/>
              <w:widowControl w:val="0"/>
              <w:rPr>
                <w:rFonts w:ascii="Tahoma" w:hAnsi="Tahoma" w:cs="Tahoma"/>
                <w:color w:val="000000"/>
                <w:sz w:val="13"/>
              </w:rPr>
            </w:pPr>
            <w:r w:rsidRPr="003410C7">
              <w:rPr>
                <w:rFonts w:ascii="Tahoma" w:hAnsi="Tahoma" w:cs="Tahoma"/>
                <w:color w:val="000000"/>
                <w:sz w:val="13"/>
              </w:rPr>
              <w:t>OSB</w:t>
            </w:r>
          </w:p>
        </w:tc>
        <w:tc>
          <w:tcPr>
            <w:tcW w:w="360" w:type="dxa"/>
            <w:tcBorders>
              <w:left w:val="single" w:sz="18" w:space="0" w:color="auto"/>
              <w:bottom w:val="single" w:sz="4" w:space="0" w:color="auto"/>
            </w:tcBorders>
            <w:shd w:val="clear" w:color="auto" w:fill="auto"/>
            <w:vAlign w:val="center"/>
          </w:tcPr>
          <w:p w:rsidR="001A63C6" w:rsidRPr="003410C7"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3410C7"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3410C7"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3410C7"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3410C7"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3410C7" w:rsidRDefault="001A63C6" w:rsidP="001A63C6">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auto"/>
            <w:vAlign w:val="center"/>
          </w:tcPr>
          <w:p w:rsidR="001A63C6" w:rsidRPr="003410C7"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1A63C6" w:rsidRPr="003410C7"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3410C7"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1A63C6" w:rsidRPr="003410C7"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1A63C6" w:rsidRPr="003410C7"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1A63C6" w:rsidRPr="003410C7" w:rsidRDefault="001A63C6" w:rsidP="001A63C6">
            <w:pPr>
              <w:pStyle w:val="TableText"/>
              <w:widowControl w:val="0"/>
              <w:rPr>
                <w:rFonts w:ascii="Tahoma" w:hAnsi="Tahoma" w:cs="Tahoma"/>
                <w:sz w:val="13"/>
              </w:rPr>
            </w:pPr>
            <w:r w:rsidRPr="003410C7">
              <w:rPr>
                <w:rFonts w:ascii="Tahoma" w:hAnsi="Tahoma" w:cs="Tahoma"/>
                <w:sz w:val="13"/>
              </w:rPr>
              <w:t>EOLS</w:t>
            </w:r>
          </w:p>
        </w:tc>
        <w:tc>
          <w:tcPr>
            <w:tcW w:w="450" w:type="dxa"/>
            <w:tcBorders>
              <w:left w:val="single" w:sz="18" w:space="0" w:color="auto"/>
              <w:bottom w:val="single" w:sz="4" w:space="0" w:color="auto"/>
              <w:right w:val="single" w:sz="18" w:space="0" w:color="auto"/>
            </w:tcBorders>
            <w:shd w:val="clear" w:color="auto" w:fill="auto"/>
            <w:vAlign w:val="center"/>
          </w:tcPr>
          <w:p w:rsidR="001A63C6" w:rsidRPr="003410C7"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tcPr>
          <w:p w:rsidR="001A63C6" w:rsidRPr="003410C7" w:rsidRDefault="001A63C6" w:rsidP="001A63C6">
            <w:pPr>
              <w:pStyle w:val="TableText"/>
              <w:widowControl w:val="0"/>
              <w:rPr>
                <w:rFonts w:ascii="Tahoma" w:hAnsi="Tahoma" w:cs="Tahoma"/>
                <w:sz w:val="13"/>
              </w:rPr>
            </w:pPr>
          </w:p>
        </w:tc>
        <w:tc>
          <w:tcPr>
            <w:tcW w:w="540" w:type="dxa"/>
            <w:tcBorders>
              <w:bottom w:val="single" w:sz="4" w:space="0" w:color="auto"/>
            </w:tcBorders>
            <w:shd w:val="clear" w:color="auto" w:fill="auto"/>
            <w:vAlign w:val="center"/>
          </w:tcPr>
          <w:p w:rsidR="001A63C6" w:rsidRPr="003410C7" w:rsidRDefault="001A63C6" w:rsidP="001A63C6">
            <w:pPr>
              <w:pStyle w:val="TableText"/>
              <w:widowControl w:val="0"/>
              <w:rPr>
                <w:rFonts w:ascii="Tahoma" w:hAnsi="Tahoma" w:cs="Tahoma"/>
                <w:color w:val="000000"/>
                <w:sz w:val="13"/>
              </w:rPr>
            </w:pPr>
          </w:p>
        </w:tc>
      </w:tr>
      <w:tr w:rsidR="00B33D0E" w:rsidRPr="003410C7" w:rsidTr="006B1F3F">
        <w:trPr>
          <w:trHeight w:val="145"/>
        </w:trPr>
        <w:tc>
          <w:tcPr>
            <w:tcW w:w="2734" w:type="dxa"/>
            <w:gridSpan w:val="2"/>
            <w:tcBorders>
              <w:bottom w:val="single" w:sz="4" w:space="0" w:color="auto"/>
            </w:tcBorders>
            <w:shd w:val="clear" w:color="auto" w:fill="FABF8F"/>
            <w:vAlign w:val="center"/>
          </w:tcPr>
          <w:p w:rsidR="001A63C6" w:rsidRPr="003410C7" w:rsidRDefault="001A63C6" w:rsidP="00F57878">
            <w:pPr>
              <w:pStyle w:val="Heading2"/>
              <w:spacing w:before="20" w:after="20"/>
              <w:ind w:left="0"/>
              <w:rPr>
                <w:rFonts w:ascii="Tahoma" w:hAnsi="Tahoma" w:cs="Tahoma"/>
                <w:b w:val="0"/>
                <w:sz w:val="14"/>
                <w:szCs w:val="14"/>
              </w:rPr>
            </w:pPr>
            <w:bookmarkStart w:id="546" w:name="_Toc336338132"/>
            <w:bookmarkStart w:id="547" w:name="_Toc341193035"/>
            <w:bookmarkStart w:id="548" w:name="_Toc352234730"/>
            <w:r w:rsidRPr="003410C7">
              <w:rPr>
                <w:rFonts w:ascii="Tahoma" w:hAnsi="Tahoma" w:cs="Tahoma"/>
                <w:b w:val="0"/>
                <w:sz w:val="14"/>
                <w:szCs w:val="14"/>
              </w:rPr>
              <w:t>USL Add-On per Windows Intune Extra</w:t>
            </w:r>
            <w:r w:rsidR="00F57878">
              <w:rPr>
                <w:rFonts w:ascii="Tahoma" w:hAnsi="Tahoma" w:cs="Tahoma"/>
                <w:b w:val="0"/>
                <w:sz w:val="14"/>
                <w:szCs w:val="14"/>
              </w:rPr>
              <w:t> </w:t>
            </w:r>
            <w:r w:rsidRPr="003410C7">
              <w:rPr>
                <w:rFonts w:ascii="Tahoma" w:hAnsi="Tahoma" w:cs="Tahoma"/>
                <w:b w:val="0"/>
                <w:sz w:val="14"/>
                <w:szCs w:val="14"/>
              </w:rPr>
              <w:t>Storage 1 GB</w:t>
            </w:r>
            <w:bookmarkEnd w:id="546"/>
            <w:bookmarkEnd w:id="547"/>
            <w:bookmarkEnd w:id="548"/>
          </w:p>
        </w:tc>
        <w:tc>
          <w:tcPr>
            <w:tcW w:w="450" w:type="dxa"/>
            <w:tcBorders>
              <w:bottom w:val="single" w:sz="4" w:space="0" w:color="auto"/>
            </w:tcBorders>
            <w:shd w:val="clear" w:color="auto" w:fill="FABF8F"/>
            <w:vAlign w:val="center"/>
          </w:tcPr>
          <w:p w:rsidR="001A63C6" w:rsidRPr="009F17FF" w:rsidRDefault="001A63C6" w:rsidP="001A63C6">
            <w:pPr>
              <w:pStyle w:val="TableText"/>
              <w:widowControl w:val="0"/>
              <w:rPr>
                <w:sz w:val="13"/>
                <w:szCs w:val="13"/>
              </w:rPr>
            </w:pPr>
          </w:p>
        </w:tc>
        <w:tc>
          <w:tcPr>
            <w:tcW w:w="450" w:type="dxa"/>
            <w:tcBorders>
              <w:bottom w:val="single" w:sz="4" w:space="0" w:color="auto"/>
            </w:tcBorders>
            <w:shd w:val="clear" w:color="auto" w:fill="FABF8F"/>
            <w:vAlign w:val="center"/>
          </w:tcPr>
          <w:p w:rsidR="001A63C6" w:rsidRPr="003410C7" w:rsidRDefault="001A63C6" w:rsidP="001A63C6">
            <w:pPr>
              <w:pStyle w:val="TableText"/>
              <w:widowControl w:val="0"/>
              <w:spacing w:before="80"/>
              <w:rPr>
                <w:rFonts w:ascii="Tahoma" w:hAnsi="Tahoma" w:cs="Tahoma"/>
                <w:color w:val="000000"/>
                <w:sz w:val="13"/>
              </w:rPr>
            </w:pPr>
            <w:r w:rsidRPr="003410C7">
              <w:rPr>
                <w:rFonts w:ascii="Tahoma" w:hAnsi="Tahoma" w:cs="Tahoma"/>
                <w:color w:val="000000"/>
                <w:sz w:val="13"/>
              </w:rPr>
              <w:t>12/12</w:t>
            </w:r>
          </w:p>
        </w:tc>
        <w:tc>
          <w:tcPr>
            <w:tcW w:w="360" w:type="dxa"/>
            <w:tcBorders>
              <w:bottom w:val="single" w:sz="4" w:space="0" w:color="auto"/>
              <w:right w:val="single" w:sz="18" w:space="0" w:color="auto"/>
            </w:tcBorders>
            <w:shd w:val="clear" w:color="auto" w:fill="FABF8F"/>
            <w:vAlign w:val="center"/>
          </w:tcPr>
          <w:p w:rsidR="001A63C6" w:rsidRPr="003410C7" w:rsidRDefault="001A63C6" w:rsidP="001A63C6">
            <w:pPr>
              <w:pStyle w:val="TableText"/>
              <w:widowControl w:val="0"/>
              <w:rPr>
                <w:rFonts w:ascii="Tahoma" w:hAnsi="Tahoma" w:cs="Tahoma"/>
                <w:color w:val="000000"/>
                <w:sz w:val="13"/>
              </w:rPr>
            </w:pPr>
          </w:p>
        </w:tc>
        <w:tc>
          <w:tcPr>
            <w:tcW w:w="360" w:type="dxa"/>
            <w:tcBorders>
              <w:left w:val="single" w:sz="18" w:space="0" w:color="auto"/>
              <w:bottom w:val="single" w:sz="4" w:space="0" w:color="auto"/>
            </w:tcBorders>
            <w:shd w:val="clear" w:color="auto" w:fill="FABF8F"/>
            <w:vAlign w:val="center"/>
          </w:tcPr>
          <w:p w:rsidR="001A63C6" w:rsidRPr="003410C7"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3410C7"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3410C7"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3410C7"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3410C7"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3410C7" w:rsidRDefault="001A63C6" w:rsidP="001A63C6">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rsidR="001A63C6" w:rsidRPr="003410C7"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3410C7"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3410C7"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1A63C6" w:rsidRPr="003410C7"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3410C7"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1A63C6" w:rsidRPr="003410C7" w:rsidRDefault="001A63C6" w:rsidP="001A63C6">
            <w:pPr>
              <w:pStyle w:val="TableText"/>
              <w:widowControl w:val="0"/>
              <w:rPr>
                <w:rFonts w:ascii="Tahoma" w:hAnsi="Tahoma" w:cs="Tahoma"/>
                <w:sz w:val="13"/>
              </w:rPr>
            </w:pPr>
            <w:r w:rsidRPr="003410C7">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3410C7"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tcPr>
          <w:p w:rsidR="001A63C6" w:rsidRPr="003410C7" w:rsidRDefault="001A63C6" w:rsidP="001A63C6">
            <w:pPr>
              <w:pStyle w:val="TableText"/>
              <w:widowControl w:val="0"/>
              <w:rPr>
                <w:rFonts w:ascii="Tahoma" w:hAnsi="Tahoma" w:cs="Tahoma"/>
                <w:sz w:val="13"/>
              </w:rPr>
            </w:pPr>
            <w:r w:rsidRPr="003410C7">
              <w:rPr>
                <w:rFonts w:ascii="Tahoma" w:hAnsi="Tahoma" w:cs="Tahoma"/>
                <w:sz w:val="13"/>
              </w:rPr>
              <w:t>A, ST</w:t>
            </w:r>
          </w:p>
        </w:tc>
        <w:tc>
          <w:tcPr>
            <w:tcW w:w="540" w:type="dxa"/>
            <w:tcBorders>
              <w:bottom w:val="single" w:sz="4" w:space="0" w:color="auto"/>
            </w:tcBorders>
            <w:shd w:val="clear" w:color="auto" w:fill="FABF8F"/>
            <w:vAlign w:val="center"/>
          </w:tcPr>
          <w:p w:rsidR="001A63C6" w:rsidRPr="003410C7" w:rsidRDefault="001A63C6" w:rsidP="001A63C6">
            <w:pPr>
              <w:pStyle w:val="TableText"/>
              <w:widowControl w:val="0"/>
              <w:rPr>
                <w:rFonts w:ascii="Tahoma" w:hAnsi="Tahoma" w:cs="Tahoma"/>
                <w:color w:val="000000"/>
                <w:sz w:val="13"/>
              </w:rPr>
            </w:pPr>
          </w:p>
        </w:tc>
      </w:tr>
      <w:tr w:rsidR="001A63C6" w:rsidRPr="003410C7" w:rsidTr="007E466C">
        <w:trPr>
          <w:trHeight w:val="145"/>
        </w:trPr>
        <w:tc>
          <w:tcPr>
            <w:tcW w:w="2734" w:type="dxa"/>
            <w:gridSpan w:val="2"/>
            <w:tcBorders>
              <w:bottom w:val="single" w:sz="4" w:space="0" w:color="auto"/>
            </w:tcBorders>
            <w:shd w:val="clear" w:color="auto" w:fill="auto"/>
            <w:vAlign w:val="center"/>
          </w:tcPr>
          <w:p w:rsidR="001A63C6" w:rsidRPr="003410C7" w:rsidRDefault="001A63C6" w:rsidP="001A63C6">
            <w:pPr>
              <w:pStyle w:val="Heading2"/>
              <w:spacing w:before="20" w:after="20"/>
              <w:ind w:left="0"/>
              <w:rPr>
                <w:rFonts w:ascii="Tahoma" w:hAnsi="Tahoma" w:cs="Tahoma"/>
                <w:b w:val="0"/>
                <w:sz w:val="14"/>
                <w:szCs w:val="14"/>
              </w:rPr>
            </w:pPr>
            <w:bookmarkStart w:id="549" w:name="_Toc336338133"/>
            <w:bookmarkStart w:id="550" w:name="_Toc352234731"/>
            <w:r w:rsidRPr="003410C7">
              <w:rPr>
                <w:rFonts w:ascii="Tahoma" w:hAnsi="Tahoma" w:cs="Tahoma"/>
                <w:b w:val="0"/>
                <w:sz w:val="14"/>
                <w:szCs w:val="14"/>
              </w:rPr>
              <w:t>Windows MultiPoint Server 2012 Standard</w:t>
            </w:r>
            <w:bookmarkEnd w:id="549"/>
            <w:bookmarkEnd w:id="550"/>
          </w:p>
        </w:tc>
        <w:tc>
          <w:tcPr>
            <w:tcW w:w="450" w:type="dxa"/>
            <w:tcBorders>
              <w:bottom w:val="single" w:sz="4" w:space="0" w:color="auto"/>
            </w:tcBorders>
            <w:shd w:val="clear" w:color="auto" w:fill="auto"/>
            <w:vAlign w:val="center"/>
          </w:tcPr>
          <w:p w:rsidR="001A63C6" w:rsidRPr="009F17FF" w:rsidRDefault="00FC1A4D" w:rsidP="006615A9">
            <w:pPr>
              <w:pStyle w:val="TableText"/>
              <w:widowControl w:val="0"/>
              <w:rPr>
                <w:b/>
                <w:sz w:val="13"/>
                <w:szCs w:val="13"/>
                <w:u w:val="single"/>
              </w:rPr>
            </w:pPr>
            <w:hyperlink w:anchor="_99_Windows_Multipoint" w:history="1">
              <w:r w:rsidR="000D77F6" w:rsidRPr="009F17FF">
                <w:rPr>
                  <w:rStyle w:val="Hyperlink"/>
                  <w:b/>
                  <w:sz w:val="13"/>
                  <w:szCs w:val="13"/>
                </w:rPr>
                <w:t>99</w:t>
              </w:r>
            </w:hyperlink>
          </w:p>
        </w:tc>
        <w:tc>
          <w:tcPr>
            <w:tcW w:w="450" w:type="dxa"/>
            <w:tcBorders>
              <w:bottom w:val="single" w:sz="4" w:space="0" w:color="auto"/>
            </w:tcBorders>
            <w:shd w:val="clear" w:color="auto" w:fill="auto"/>
            <w:vAlign w:val="center"/>
          </w:tcPr>
          <w:p w:rsidR="001A63C6" w:rsidRPr="003410C7" w:rsidRDefault="001A63C6" w:rsidP="001A63C6">
            <w:pPr>
              <w:pStyle w:val="TableText"/>
              <w:widowControl w:val="0"/>
              <w:spacing w:before="80"/>
              <w:rPr>
                <w:rFonts w:ascii="Tahoma" w:hAnsi="Tahoma" w:cs="Tahoma"/>
                <w:color w:val="000000"/>
                <w:sz w:val="13"/>
              </w:rPr>
            </w:pPr>
            <w:r w:rsidRPr="003410C7">
              <w:rPr>
                <w:rFonts w:ascii="Tahoma" w:hAnsi="Tahoma" w:cs="Tahoma"/>
                <w:color w:val="000000"/>
                <w:sz w:val="13"/>
              </w:rPr>
              <w:t>12/12</w:t>
            </w:r>
          </w:p>
        </w:tc>
        <w:tc>
          <w:tcPr>
            <w:tcW w:w="360" w:type="dxa"/>
            <w:tcBorders>
              <w:bottom w:val="single" w:sz="4" w:space="0" w:color="auto"/>
              <w:right w:val="single" w:sz="18" w:space="0" w:color="auto"/>
            </w:tcBorders>
            <w:shd w:val="clear" w:color="auto" w:fill="auto"/>
            <w:vAlign w:val="center"/>
          </w:tcPr>
          <w:p w:rsidR="001A63C6" w:rsidRPr="003410C7" w:rsidRDefault="001A63C6" w:rsidP="001A63C6">
            <w:pPr>
              <w:pStyle w:val="TableText"/>
              <w:widowControl w:val="0"/>
              <w:rPr>
                <w:rFonts w:ascii="Tahoma" w:hAnsi="Tahoma" w:cs="Tahoma"/>
                <w:color w:val="000000"/>
                <w:sz w:val="13"/>
              </w:rPr>
            </w:pPr>
            <w:r w:rsidRPr="003410C7">
              <w:rPr>
                <w:rFonts w:ascii="Tahoma" w:hAnsi="Tahoma" w:cs="Tahoma"/>
                <w:color w:val="000000"/>
                <w:sz w:val="13"/>
              </w:rPr>
              <w:t>SRV</w:t>
            </w:r>
          </w:p>
        </w:tc>
        <w:tc>
          <w:tcPr>
            <w:tcW w:w="360" w:type="dxa"/>
            <w:tcBorders>
              <w:left w:val="single" w:sz="18" w:space="0" w:color="auto"/>
              <w:bottom w:val="single" w:sz="4" w:space="0" w:color="auto"/>
            </w:tcBorders>
            <w:shd w:val="clear" w:color="auto" w:fill="auto"/>
            <w:vAlign w:val="center"/>
          </w:tcPr>
          <w:p w:rsidR="001A63C6" w:rsidRPr="003410C7" w:rsidRDefault="001A63C6" w:rsidP="001A63C6">
            <w:pPr>
              <w:pStyle w:val="TableText"/>
              <w:widowControl w:val="0"/>
              <w:rPr>
                <w:rFonts w:ascii="Tahoma" w:hAnsi="Tahoma" w:cs="Tahoma"/>
                <w:sz w:val="13"/>
              </w:rPr>
            </w:pPr>
            <w:r w:rsidRPr="003410C7">
              <w:rPr>
                <w:rFonts w:ascii="Tahoma" w:hAnsi="Tahoma" w:cs="Tahoma"/>
                <w:sz w:val="13"/>
              </w:rPr>
              <w:t>5</w:t>
            </w:r>
          </w:p>
        </w:tc>
        <w:tc>
          <w:tcPr>
            <w:tcW w:w="450" w:type="dxa"/>
            <w:tcBorders>
              <w:bottom w:val="single" w:sz="4" w:space="0" w:color="auto"/>
            </w:tcBorders>
            <w:shd w:val="clear" w:color="auto" w:fill="auto"/>
            <w:vAlign w:val="center"/>
          </w:tcPr>
          <w:p w:rsidR="001A63C6" w:rsidRPr="003410C7" w:rsidRDefault="001A63C6" w:rsidP="001A63C6">
            <w:pPr>
              <w:pStyle w:val="TableText"/>
              <w:widowControl w:val="0"/>
              <w:rPr>
                <w:rFonts w:ascii="Tahoma" w:hAnsi="Tahoma" w:cs="Tahoma"/>
                <w:sz w:val="13"/>
              </w:rPr>
            </w:pPr>
            <w:r w:rsidRPr="003410C7">
              <w:rPr>
                <w:rFonts w:ascii="Tahoma" w:hAnsi="Tahoma" w:cs="Tahoma"/>
                <w:sz w:val="13"/>
              </w:rPr>
              <w:t>13</w:t>
            </w:r>
          </w:p>
        </w:tc>
        <w:tc>
          <w:tcPr>
            <w:tcW w:w="450" w:type="dxa"/>
            <w:tcBorders>
              <w:bottom w:val="single" w:sz="4" w:space="0" w:color="auto"/>
            </w:tcBorders>
            <w:shd w:val="clear" w:color="auto" w:fill="auto"/>
            <w:vAlign w:val="center"/>
          </w:tcPr>
          <w:p w:rsidR="001A63C6" w:rsidRPr="003410C7" w:rsidRDefault="001A63C6" w:rsidP="001A63C6">
            <w:pPr>
              <w:pStyle w:val="TableText"/>
              <w:widowControl w:val="0"/>
              <w:rPr>
                <w:rFonts w:ascii="Tahoma" w:hAnsi="Tahoma" w:cs="Tahoma"/>
                <w:sz w:val="13"/>
              </w:rPr>
            </w:pPr>
            <w:r w:rsidRPr="003410C7">
              <w:rPr>
                <w:rFonts w:ascii="Tahoma" w:hAnsi="Tahoma" w:cs="Tahoma"/>
                <w:sz w:val="13"/>
              </w:rPr>
              <w:t>10</w:t>
            </w:r>
          </w:p>
        </w:tc>
        <w:tc>
          <w:tcPr>
            <w:tcW w:w="450" w:type="dxa"/>
            <w:tcBorders>
              <w:bottom w:val="single" w:sz="4" w:space="0" w:color="auto"/>
            </w:tcBorders>
            <w:shd w:val="clear" w:color="auto" w:fill="auto"/>
            <w:vAlign w:val="center"/>
          </w:tcPr>
          <w:p w:rsidR="001A63C6" w:rsidRPr="003410C7" w:rsidRDefault="001A63C6" w:rsidP="001A63C6">
            <w:pPr>
              <w:pStyle w:val="TableText"/>
              <w:widowControl w:val="0"/>
              <w:rPr>
                <w:rFonts w:ascii="Tahoma" w:hAnsi="Tahoma" w:cs="Tahoma"/>
                <w:sz w:val="13"/>
              </w:rPr>
            </w:pPr>
            <w:r w:rsidRPr="003410C7">
              <w:rPr>
                <w:rFonts w:ascii="Tahoma" w:hAnsi="Tahoma" w:cs="Tahoma"/>
                <w:sz w:val="13"/>
              </w:rPr>
              <w:t>8</w:t>
            </w:r>
          </w:p>
        </w:tc>
        <w:tc>
          <w:tcPr>
            <w:tcW w:w="450" w:type="dxa"/>
            <w:tcBorders>
              <w:bottom w:val="single" w:sz="4" w:space="0" w:color="auto"/>
            </w:tcBorders>
            <w:shd w:val="clear" w:color="auto" w:fill="auto"/>
            <w:vAlign w:val="center"/>
          </w:tcPr>
          <w:p w:rsidR="001A63C6" w:rsidRPr="003410C7" w:rsidRDefault="001A63C6" w:rsidP="001A63C6">
            <w:pPr>
              <w:pStyle w:val="TableText"/>
              <w:widowControl w:val="0"/>
              <w:rPr>
                <w:rFonts w:ascii="Tahoma" w:hAnsi="Tahoma" w:cs="Tahoma"/>
                <w:sz w:val="13"/>
              </w:rPr>
            </w:pPr>
            <w:r w:rsidRPr="003410C7">
              <w:rPr>
                <w:rFonts w:ascii="Tahoma" w:hAnsi="Tahoma" w:cs="Tahoma"/>
                <w:sz w:val="13"/>
              </w:rPr>
              <w:t>8</w:t>
            </w:r>
          </w:p>
        </w:tc>
        <w:tc>
          <w:tcPr>
            <w:tcW w:w="450" w:type="dxa"/>
            <w:tcBorders>
              <w:bottom w:val="single" w:sz="4" w:space="0" w:color="auto"/>
            </w:tcBorders>
            <w:shd w:val="clear" w:color="auto" w:fill="auto"/>
            <w:vAlign w:val="center"/>
          </w:tcPr>
          <w:p w:rsidR="001A63C6" w:rsidRPr="003410C7" w:rsidRDefault="001A63C6" w:rsidP="001A63C6">
            <w:pPr>
              <w:pStyle w:val="TableText"/>
              <w:widowControl w:val="0"/>
              <w:rPr>
                <w:rFonts w:ascii="Tahoma" w:hAnsi="Tahoma" w:cs="Tahoma"/>
                <w:sz w:val="13"/>
              </w:rPr>
            </w:pPr>
            <w:r w:rsidRPr="003410C7">
              <w:rPr>
                <w:rFonts w:ascii="Tahoma" w:hAnsi="Tahoma" w:cs="Tahoma"/>
                <w:sz w:val="13"/>
              </w:rPr>
              <w:t>5</w:t>
            </w:r>
          </w:p>
        </w:tc>
        <w:tc>
          <w:tcPr>
            <w:tcW w:w="360" w:type="dxa"/>
            <w:tcBorders>
              <w:bottom w:val="single" w:sz="4" w:space="0" w:color="auto"/>
              <w:right w:val="single" w:sz="18" w:space="0" w:color="auto"/>
            </w:tcBorders>
            <w:shd w:val="clear" w:color="auto" w:fill="auto"/>
            <w:vAlign w:val="center"/>
          </w:tcPr>
          <w:p w:rsidR="001A63C6" w:rsidRPr="003410C7" w:rsidRDefault="001A63C6" w:rsidP="001A63C6">
            <w:pPr>
              <w:pStyle w:val="TableText"/>
              <w:widowControl w:val="0"/>
              <w:rPr>
                <w:rFonts w:ascii="Tahoma" w:hAnsi="Tahoma" w:cs="Tahoma"/>
                <w:sz w:val="13"/>
              </w:rPr>
            </w:pPr>
            <w:r w:rsidRPr="003410C7">
              <w:rPr>
                <w:rFonts w:ascii="Tahoma" w:hAnsi="Tahoma" w:cs="Tahoma"/>
                <w:sz w:val="13"/>
              </w:rPr>
              <w:t>3</w:t>
            </w:r>
          </w:p>
        </w:tc>
        <w:tc>
          <w:tcPr>
            <w:tcW w:w="450" w:type="dxa"/>
            <w:tcBorders>
              <w:left w:val="single" w:sz="18" w:space="0" w:color="auto"/>
              <w:bottom w:val="single" w:sz="4" w:space="0" w:color="auto"/>
            </w:tcBorders>
            <w:shd w:val="clear" w:color="auto" w:fill="auto"/>
            <w:vAlign w:val="center"/>
          </w:tcPr>
          <w:p w:rsidR="001A63C6" w:rsidRPr="003410C7" w:rsidRDefault="001A63C6" w:rsidP="001A63C6">
            <w:pPr>
              <w:pStyle w:val="TableText"/>
              <w:widowControl w:val="0"/>
              <w:rPr>
                <w:rFonts w:ascii="Tahoma" w:hAnsi="Tahoma" w:cs="Tahoma"/>
                <w:sz w:val="13"/>
              </w:rPr>
            </w:pPr>
            <w:r w:rsidRPr="003410C7">
              <w:rPr>
                <w:rFonts w:ascii="Tahoma" w:hAnsi="Tahoma" w:cs="Tahoma"/>
                <w:sz w:val="13"/>
              </w:rPr>
              <w:t>5</w:t>
            </w:r>
          </w:p>
        </w:tc>
        <w:tc>
          <w:tcPr>
            <w:tcW w:w="450" w:type="dxa"/>
            <w:tcBorders>
              <w:bottom w:val="single" w:sz="4" w:space="0" w:color="auto"/>
            </w:tcBorders>
            <w:shd w:val="clear" w:color="auto" w:fill="auto"/>
            <w:vAlign w:val="center"/>
          </w:tcPr>
          <w:p w:rsidR="001A63C6" w:rsidRPr="003410C7" w:rsidRDefault="001A63C6" w:rsidP="001A63C6">
            <w:pPr>
              <w:pStyle w:val="TableText"/>
              <w:widowControl w:val="0"/>
              <w:rPr>
                <w:rFonts w:ascii="Tahoma" w:hAnsi="Tahoma" w:cs="Tahoma"/>
                <w:sz w:val="13"/>
              </w:rPr>
            </w:pPr>
            <w:r w:rsidRPr="003410C7">
              <w:rPr>
                <w:rFonts w:ascii="Tahoma" w:hAnsi="Tahoma" w:cs="Tahoma"/>
                <w:sz w:val="13"/>
              </w:rPr>
              <w:t>10</w:t>
            </w:r>
          </w:p>
        </w:tc>
        <w:tc>
          <w:tcPr>
            <w:tcW w:w="450" w:type="dxa"/>
            <w:tcBorders>
              <w:bottom w:val="single" w:sz="4" w:space="0" w:color="auto"/>
              <w:right w:val="single" w:sz="18" w:space="0" w:color="auto"/>
            </w:tcBorders>
            <w:shd w:val="clear" w:color="auto" w:fill="auto"/>
            <w:vAlign w:val="center"/>
          </w:tcPr>
          <w:p w:rsidR="001A63C6" w:rsidRPr="003410C7" w:rsidRDefault="001A63C6" w:rsidP="001A63C6">
            <w:pPr>
              <w:pStyle w:val="TableText"/>
              <w:widowControl w:val="0"/>
              <w:rPr>
                <w:rFonts w:ascii="Tahoma" w:hAnsi="Tahoma" w:cs="Tahoma"/>
                <w:sz w:val="13"/>
              </w:rPr>
            </w:pPr>
            <w:r w:rsidRPr="003410C7">
              <w:rPr>
                <w:rFonts w:ascii="Tahoma" w:hAnsi="Tahoma" w:cs="Tahoma"/>
                <w:sz w:val="13"/>
              </w:rPr>
              <w:t>5</w:t>
            </w:r>
          </w:p>
        </w:tc>
        <w:tc>
          <w:tcPr>
            <w:tcW w:w="450" w:type="dxa"/>
            <w:tcBorders>
              <w:left w:val="single" w:sz="18" w:space="0" w:color="auto"/>
              <w:bottom w:val="single" w:sz="4" w:space="0" w:color="auto"/>
            </w:tcBorders>
            <w:shd w:val="clear" w:color="auto" w:fill="auto"/>
            <w:vAlign w:val="center"/>
          </w:tcPr>
          <w:p w:rsidR="001A63C6" w:rsidRPr="003410C7" w:rsidRDefault="001A63C6" w:rsidP="001A63C6">
            <w:pPr>
              <w:pStyle w:val="TableText"/>
              <w:widowControl w:val="0"/>
              <w:rPr>
                <w:rFonts w:ascii="Tahoma" w:hAnsi="Tahoma" w:cs="Tahoma"/>
                <w:sz w:val="13"/>
              </w:rPr>
            </w:pPr>
            <w:r w:rsidRPr="003410C7">
              <w:rPr>
                <w:rFonts w:ascii="Tahoma" w:hAnsi="Tahoma" w:cs="Tahoma"/>
                <w:sz w:val="13"/>
              </w:rPr>
              <w:t>5</w:t>
            </w:r>
          </w:p>
        </w:tc>
        <w:tc>
          <w:tcPr>
            <w:tcW w:w="450" w:type="dxa"/>
            <w:tcBorders>
              <w:bottom w:val="single" w:sz="4" w:space="0" w:color="auto"/>
              <w:right w:val="single" w:sz="18" w:space="0" w:color="auto"/>
            </w:tcBorders>
            <w:shd w:val="clear" w:color="auto" w:fill="auto"/>
            <w:vAlign w:val="center"/>
          </w:tcPr>
          <w:p w:rsidR="001A63C6" w:rsidRPr="003410C7"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rsidR="001A63C6" w:rsidRPr="003410C7"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tcPr>
          <w:p w:rsidR="001A63C6" w:rsidRPr="003410C7" w:rsidRDefault="001A63C6" w:rsidP="001A63C6">
            <w:pPr>
              <w:pStyle w:val="TableText"/>
              <w:widowControl w:val="0"/>
              <w:rPr>
                <w:rFonts w:ascii="Tahoma" w:hAnsi="Tahoma" w:cs="Tahoma"/>
                <w:color w:val="000000"/>
                <w:sz w:val="13"/>
              </w:rPr>
            </w:pPr>
            <w:r w:rsidRPr="003410C7">
              <w:rPr>
                <w:rFonts w:ascii="Tahoma" w:hAnsi="Tahoma" w:cs="Tahoma"/>
                <w:sz w:val="13"/>
              </w:rPr>
              <w:t>A</w:t>
            </w:r>
          </w:p>
        </w:tc>
        <w:tc>
          <w:tcPr>
            <w:tcW w:w="540" w:type="dxa"/>
            <w:tcBorders>
              <w:bottom w:val="single" w:sz="4" w:space="0" w:color="auto"/>
            </w:tcBorders>
            <w:shd w:val="clear" w:color="auto" w:fill="auto"/>
            <w:vAlign w:val="center"/>
          </w:tcPr>
          <w:p w:rsidR="001A63C6" w:rsidRPr="003410C7" w:rsidRDefault="001A63C6" w:rsidP="001A63C6">
            <w:pPr>
              <w:pStyle w:val="TableText"/>
              <w:widowControl w:val="0"/>
              <w:rPr>
                <w:rFonts w:ascii="Tahoma" w:hAnsi="Tahoma" w:cs="Tahoma"/>
                <w:color w:val="000000"/>
                <w:sz w:val="13"/>
              </w:rPr>
            </w:pPr>
          </w:p>
        </w:tc>
      </w:tr>
      <w:tr w:rsidR="00B33D0E" w:rsidRPr="003410C7" w:rsidTr="006B1F3F">
        <w:trPr>
          <w:trHeight w:val="145"/>
        </w:trPr>
        <w:tc>
          <w:tcPr>
            <w:tcW w:w="2734" w:type="dxa"/>
            <w:gridSpan w:val="2"/>
            <w:tcBorders>
              <w:bottom w:val="single" w:sz="4" w:space="0" w:color="auto"/>
            </w:tcBorders>
            <w:shd w:val="clear" w:color="auto" w:fill="F4B083" w:themeFill="accent2" w:themeFillTint="99"/>
            <w:vAlign w:val="center"/>
          </w:tcPr>
          <w:p w:rsidR="001A63C6" w:rsidRPr="003410C7" w:rsidRDefault="001A63C6" w:rsidP="00FE2D13">
            <w:pPr>
              <w:pStyle w:val="Heading2"/>
              <w:keepNext/>
              <w:keepLines/>
              <w:spacing w:before="20" w:after="20"/>
              <w:ind w:left="0"/>
              <w:rPr>
                <w:rFonts w:ascii="Tahoma" w:hAnsi="Tahoma" w:cs="Tahoma"/>
                <w:b w:val="0"/>
                <w:sz w:val="14"/>
                <w:szCs w:val="14"/>
              </w:rPr>
            </w:pPr>
            <w:bookmarkStart w:id="551" w:name="_Toc336338134"/>
            <w:bookmarkStart w:id="552" w:name="_Toc352234732"/>
            <w:r w:rsidRPr="003410C7">
              <w:rPr>
                <w:rFonts w:ascii="Tahoma" w:hAnsi="Tahoma" w:cs="Tahoma"/>
                <w:b w:val="0"/>
                <w:sz w:val="14"/>
                <w:szCs w:val="14"/>
              </w:rPr>
              <w:t>Windows MultiPoint Server 2012 Premium</w:t>
            </w:r>
            <w:bookmarkEnd w:id="551"/>
            <w:bookmarkEnd w:id="552"/>
          </w:p>
        </w:tc>
        <w:tc>
          <w:tcPr>
            <w:tcW w:w="450" w:type="dxa"/>
            <w:tcBorders>
              <w:bottom w:val="single" w:sz="4" w:space="0" w:color="auto"/>
            </w:tcBorders>
            <w:shd w:val="clear" w:color="auto" w:fill="F4B083" w:themeFill="accent2" w:themeFillTint="99"/>
            <w:vAlign w:val="center"/>
          </w:tcPr>
          <w:p w:rsidR="001A63C6" w:rsidRPr="009F17FF" w:rsidRDefault="00FC1A4D" w:rsidP="00FE2D13">
            <w:pPr>
              <w:pStyle w:val="TableText"/>
              <w:keepNext/>
              <w:keepLines/>
              <w:widowControl w:val="0"/>
              <w:rPr>
                <w:b/>
                <w:sz w:val="13"/>
                <w:szCs w:val="13"/>
                <w:u w:val="single"/>
              </w:rPr>
            </w:pPr>
            <w:hyperlink w:anchor="Srv_107WinMultipointSvr2011Premium" w:history="1">
              <w:r w:rsidR="000D77F6" w:rsidRPr="009F17FF">
                <w:rPr>
                  <w:rStyle w:val="Hyperlink"/>
                  <w:b/>
                  <w:sz w:val="13"/>
                  <w:szCs w:val="13"/>
                </w:rPr>
                <w:t>100</w:t>
              </w:r>
            </w:hyperlink>
          </w:p>
        </w:tc>
        <w:tc>
          <w:tcPr>
            <w:tcW w:w="450" w:type="dxa"/>
            <w:tcBorders>
              <w:bottom w:val="single" w:sz="4" w:space="0" w:color="auto"/>
            </w:tcBorders>
            <w:shd w:val="clear" w:color="auto" w:fill="F4B083" w:themeFill="accent2" w:themeFillTint="99"/>
            <w:vAlign w:val="center"/>
          </w:tcPr>
          <w:p w:rsidR="001A63C6" w:rsidRPr="003410C7" w:rsidRDefault="001A63C6" w:rsidP="00FE2D13">
            <w:pPr>
              <w:pStyle w:val="TableText"/>
              <w:keepNext/>
              <w:keepLines/>
              <w:widowControl w:val="0"/>
              <w:spacing w:before="80"/>
              <w:rPr>
                <w:rFonts w:ascii="Tahoma" w:hAnsi="Tahoma" w:cs="Tahoma"/>
                <w:color w:val="000000"/>
                <w:sz w:val="13"/>
              </w:rPr>
            </w:pPr>
            <w:r w:rsidRPr="003410C7">
              <w:rPr>
                <w:rFonts w:ascii="Tahoma" w:hAnsi="Tahoma" w:cs="Tahoma"/>
                <w:color w:val="000000"/>
                <w:sz w:val="13"/>
              </w:rPr>
              <w:t>12/12</w:t>
            </w:r>
          </w:p>
        </w:tc>
        <w:tc>
          <w:tcPr>
            <w:tcW w:w="360" w:type="dxa"/>
            <w:tcBorders>
              <w:bottom w:val="single" w:sz="4" w:space="0" w:color="auto"/>
              <w:right w:val="single" w:sz="18" w:space="0" w:color="auto"/>
            </w:tcBorders>
            <w:shd w:val="clear" w:color="auto" w:fill="F4B083" w:themeFill="accent2" w:themeFillTint="99"/>
            <w:vAlign w:val="center"/>
          </w:tcPr>
          <w:p w:rsidR="001A63C6" w:rsidRPr="003410C7" w:rsidRDefault="001A63C6" w:rsidP="00FE2D13">
            <w:pPr>
              <w:pStyle w:val="TableText"/>
              <w:keepNext/>
              <w:keepLines/>
              <w:widowControl w:val="0"/>
              <w:rPr>
                <w:rFonts w:ascii="Tahoma" w:hAnsi="Tahoma" w:cs="Tahoma"/>
                <w:color w:val="000000"/>
                <w:sz w:val="13"/>
              </w:rPr>
            </w:pPr>
            <w:r w:rsidRPr="003410C7">
              <w:rPr>
                <w:rFonts w:ascii="Tahoma" w:hAnsi="Tahoma" w:cs="Tahoma"/>
                <w:color w:val="000000"/>
                <w:sz w:val="13"/>
              </w:rPr>
              <w:t>SRV</w:t>
            </w:r>
          </w:p>
        </w:tc>
        <w:tc>
          <w:tcPr>
            <w:tcW w:w="360" w:type="dxa"/>
            <w:tcBorders>
              <w:left w:val="single" w:sz="18" w:space="0" w:color="auto"/>
              <w:bottom w:val="single" w:sz="4" w:space="0" w:color="auto"/>
            </w:tcBorders>
            <w:shd w:val="clear" w:color="auto" w:fill="F4B083" w:themeFill="accent2" w:themeFillTint="99"/>
            <w:vAlign w:val="center"/>
          </w:tcPr>
          <w:p w:rsidR="001A63C6" w:rsidRPr="003410C7" w:rsidRDefault="001A63C6" w:rsidP="00FE2D13">
            <w:pPr>
              <w:pStyle w:val="TableText"/>
              <w:keepNext/>
              <w:keepLines/>
              <w:widowControl w:val="0"/>
              <w:rPr>
                <w:rFonts w:ascii="Tahoma" w:hAnsi="Tahoma" w:cs="Tahoma"/>
                <w:sz w:val="13"/>
              </w:rPr>
            </w:pPr>
            <w:r w:rsidRPr="003410C7">
              <w:rPr>
                <w:rFonts w:ascii="Tahoma" w:hAnsi="Tahoma" w:cs="Tahoma"/>
                <w:sz w:val="13"/>
              </w:rPr>
              <w:t>10</w:t>
            </w:r>
          </w:p>
        </w:tc>
        <w:tc>
          <w:tcPr>
            <w:tcW w:w="450" w:type="dxa"/>
            <w:tcBorders>
              <w:bottom w:val="single" w:sz="4" w:space="0" w:color="auto"/>
            </w:tcBorders>
            <w:shd w:val="clear" w:color="auto" w:fill="F4B083" w:themeFill="accent2" w:themeFillTint="99"/>
            <w:vAlign w:val="center"/>
          </w:tcPr>
          <w:p w:rsidR="001A63C6" w:rsidRPr="003410C7" w:rsidRDefault="001A63C6" w:rsidP="00FE2D13">
            <w:pPr>
              <w:pStyle w:val="TableText"/>
              <w:keepNext/>
              <w:keepLines/>
              <w:widowControl w:val="0"/>
              <w:rPr>
                <w:rFonts w:ascii="Tahoma" w:hAnsi="Tahoma" w:cs="Tahoma"/>
                <w:sz w:val="13"/>
              </w:rPr>
            </w:pPr>
            <w:r w:rsidRPr="003410C7">
              <w:rPr>
                <w:rFonts w:ascii="Tahoma" w:hAnsi="Tahoma" w:cs="Tahoma"/>
                <w:sz w:val="13"/>
              </w:rPr>
              <w:t>25</w:t>
            </w:r>
          </w:p>
        </w:tc>
        <w:tc>
          <w:tcPr>
            <w:tcW w:w="450" w:type="dxa"/>
            <w:tcBorders>
              <w:bottom w:val="single" w:sz="4" w:space="0" w:color="auto"/>
            </w:tcBorders>
            <w:shd w:val="clear" w:color="auto" w:fill="F4B083" w:themeFill="accent2" w:themeFillTint="99"/>
            <w:vAlign w:val="center"/>
          </w:tcPr>
          <w:p w:rsidR="001A63C6" w:rsidRPr="003410C7" w:rsidRDefault="001A63C6" w:rsidP="00FE2D13">
            <w:pPr>
              <w:pStyle w:val="TableText"/>
              <w:keepNext/>
              <w:keepLines/>
              <w:widowControl w:val="0"/>
              <w:rPr>
                <w:rFonts w:ascii="Tahoma" w:hAnsi="Tahoma" w:cs="Tahoma"/>
                <w:sz w:val="13"/>
              </w:rPr>
            </w:pPr>
            <w:r w:rsidRPr="003410C7">
              <w:rPr>
                <w:rFonts w:ascii="Tahoma" w:hAnsi="Tahoma" w:cs="Tahoma"/>
                <w:sz w:val="13"/>
              </w:rPr>
              <w:t>20</w:t>
            </w:r>
          </w:p>
        </w:tc>
        <w:tc>
          <w:tcPr>
            <w:tcW w:w="450" w:type="dxa"/>
            <w:tcBorders>
              <w:bottom w:val="single" w:sz="4" w:space="0" w:color="auto"/>
            </w:tcBorders>
            <w:shd w:val="clear" w:color="auto" w:fill="F4B083" w:themeFill="accent2" w:themeFillTint="99"/>
            <w:vAlign w:val="center"/>
          </w:tcPr>
          <w:p w:rsidR="001A63C6" w:rsidRPr="003410C7" w:rsidRDefault="001A63C6" w:rsidP="00FE2D13">
            <w:pPr>
              <w:pStyle w:val="TableText"/>
              <w:keepNext/>
              <w:keepLines/>
              <w:widowControl w:val="0"/>
              <w:rPr>
                <w:rFonts w:ascii="Tahoma" w:hAnsi="Tahoma" w:cs="Tahoma"/>
                <w:sz w:val="13"/>
              </w:rPr>
            </w:pPr>
            <w:r w:rsidRPr="003410C7">
              <w:rPr>
                <w:rFonts w:ascii="Tahoma" w:hAnsi="Tahoma" w:cs="Tahoma"/>
                <w:sz w:val="13"/>
              </w:rPr>
              <w:t>15</w:t>
            </w:r>
          </w:p>
        </w:tc>
        <w:tc>
          <w:tcPr>
            <w:tcW w:w="450" w:type="dxa"/>
            <w:tcBorders>
              <w:bottom w:val="single" w:sz="4" w:space="0" w:color="auto"/>
            </w:tcBorders>
            <w:shd w:val="clear" w:color="auto" w:fill="F4B083" w:themeFill="accent2" w:themeFillTint="99"/>
            <w:vAlign w:val="center"/>
          </w:tcPr>
          <w:p w:rsidR="001A63C6" w:rsidRPr="003410C7" w:rsidRDefault="001A63C6" w:rsidP="00FE2D13">
            <w:pPr>
              <w:pStyle w:val="TableText"/>
              <w:keepNext/>
              <w:keepLines/>
              <w:widowControl w:val="0"/>
              <w:rPr>
                <w:rFonts w:ascii="Tahoma" w:hAnsi="Tahoma" w:cs="Tahoma"/>
                <w:sz w:val="13"/>
              </w:rPr>
            </w:pPr>
            <w:r w:rsidRPr="003410C7">
              <w:rPr>
                <w:rFonts w:ascii="Tahoma" w:hAnsi="Tahoma" w:cs="Tahoma"/>
                <w:sz w:val="13"/>
              </w:rPr>
              <w:t>15</w:t>
            </w:r>
          </w:p>
        </w:tc>
        <w:tc>
          <w:tcPr>
            <w:tcW w:w="450" w:type="dxa"/>
            <w:tcBorders>
              <w:bottom w:val="single" w:sz="4" w:space="0" w:color="auto"/>
            </w:tcBorders>
            <w:shd w:val="clear" w:color="auto" w:fill="F4B083" w:themeFill="accent2" w:themeFillTint="99"/>
            <w:vAlign w:val="center"/>
          </w:tcPr>
          <w:p w:rsidR="001A63C6" w:rsidRPr="003410C7" w:rsidRDefault="001A63C6" w:rsidP="00FE2D13">
            <w:pPr>
              <w:pStyle w:val="TableText"/>
              <w:keepNext/>
              <w:keepLines/>
              <w:widowControl w:val="0"/>
              <w:rPr>
                <w:rFonts w:ascii="Tahoma" w:hAnsi="Tahoma" w:cs="Tahoma"/>
                <w:sz w:val="13"/>
              </w:rPr>
            </w:pPr>
            <w:r w:rsidRPr="003410C7">
              <w:rPr>
                <w:rFonts w:ascii="Tahoma" w:hAnsi="Tahoma" w:cs="Tahoma"/>
                <w:sz w:val="13"/>
              </w:rPr>
              <w:t>10</w:t>
            </w:r>
          </w:p>
        </w:tc>
        <w:tc>
          <w:tcPr>
            <w:tcW w:w="360" w:type="dxa"/>
            <w:tcBorders>
              <w:bottom w:val="single" w:sz="4" w:space="0" w:color="auto"/>
              <w:right w:val="single" w:sz="18" w:space="0" w:color="auto"/>
            </w:tcBorders>
            <w:shd w:val="clear" w:color="auto" w:fill="F4B083" w:themeFill="accent2" w:themeFillTint="99"/>
            <w:vAlign w:val="center"/>
          </w:tcPr>
          <w:p w:rsidR="001A63C6" w:rsidRPr="003410C7" w:rsidRDefault="001A63C6" w:rsidP="00FE2D13">
            <w:pPr>
              <w:pStyle w:val="TableText"/>
              <w:keepNext/>
              <w:keepLines/>
              <w:widowControl w:val="0"/>
              <w:rPr>
                <w:rFonts w:ascii="Tahoma" w:hAnsi="Tahoma" w:cs="Tahoma"/>
                <w:sz w:val="13"/>
              </w:rPr>
            </w:pPr>
            <w:r w:rsidRPr="003410C7">
              <w:rPr>
                <w:rFonts w:ascii="Tahoma" w:hAnsi="Tahoma" w:cs="Tahoma"/>
                <w:sz w:val="13"/>
              </w:rPr>
              <w:t>5</w:t>
            </w:r>
          </w:p>
        </w:tc>
        <w:tc>
          <w:tcPr>
            <w:tcW w:w="450" w:type="dxa"/>
            <w:tcBorders>
              <w:left w:val="single" w:sz="18" w:space="0" w:color="auto"/>
              <w:bottom w:val="single" w:sz="4" w:space="0" w:color="auto"/>
            </w:tcBorders>
            <w:shd w:val="clear" w:color="auto" w:fill="F4B083" w:themeFill="accent2" w:themeFillTint="99"/>
            <w:vAlign w:val="center"/>
          </w:tcPr>
          <w:p w:rsidR="001A63C6" w:rsidRPr="003410C7" w:rsidRDefault="001A63C6" w:rsidP="00FE2D13">
            <w:pPr>
              <w:pStyle w:val="TableText"/>
              <w:keepNext/>
              <w:keepLines/>
              <w:widowControl w:val="0"/>
              <w:rPr>
                <w:rFonts w:ascii="Tahoma" w:hAnsi="Tahoma" w:cs="Tahoma"/>
                <w:sz w:val="13"/>
              </w:rPr>
            </w:pPr>
            <w:r w:rsidRPr="003410C7">
              <w:rPr>
                <w:rFonts w:ascii="Tahoma" w:hAnsi="Tahoma" w:cs="Tahoma"/>
                <w:sz w:val="13"/>
              </w:rPr>
              <w:t>10</w:t>
            </w:r>
          </w:p>
        </w:tc>
        <w:tc>
          <w:tcPr>
            <w:tcW w:w="450" w:type="dxa"/>
            <w:tcBorders>
              <w:bottom w:val="single" w:sz="4" w:space="0" w:color="auto"/>
            </w:tcBorders>
            <w:shd w:val="clear" w:color="auto" w:fill="F4B083" w:themeFill="accent2" w:themeFillTint="99"/>
            <w:vAlign w:val="center"/>
          </w:tcPr>
          <w:p w:rsidR="001A63C6" w:rsidRPr="003410C7" w:rsidRDefault="001A63C6" w:rsidP="00FE2D13">
            <w:pPr>
              <w:pStyle w:val="TableText"/>
              <w:keepNext/>
              <w:keepLines/>
              <w:widowControl w:val="0"/>
              <w:rPr>
                <w:rFonts w:ascii="Tahoma" w:hAnsi="Tahoma" w:cs="Tahoma"/>
                <w:sz w:val="13"/>
              </w:rPr>
            </w:pPr>
            <w:r w:rsidRPr="003410C7">
              <w:rPr>
                <w:rFonts w:ascii="Tahoma" w:hAnsi="Tahoma" w:cs="Tahoma"/>
                <w:sz w:val="13"/>
              </w:rPr>
              <w:t>20</w:t>
            </w:r>
          </w:p>
        </w:tc>
        <w:tc>
          <w:tcPr>
            <w:tcW w:w="450" w:type="dxa"/>
            <w:tcBorders>
              <w:bottom w:val="single" w:sz="4" w:space="0" w:color="auto"/>
              <w:right w:val="single" w:sz="18" w:space="0" w:color="auto"/>
            </w:tcBorders>
            <w:shd w:val="clear" w:color="auto" w:fill="F4B083" w:themeFill="accent2" w:themeFillTint="99"/>
            <w:vAlign w:val="center"/>
          </w:tcPr>
          <w:p w:rsidR="001A63C6" w:rsidRPr="003410C7" w:rsidRDefault="001A63C6" w:rsidP="00FE2D13">
            <w:pPr>
              <w:pStyle w:val="TableText"/>
              <w:keepNext/>
              <w:keepLines/>
              <w:widowControl w:val="0"/>
              <w:rPr>
                <w:rFonts w:ascii="Tahoma" w:hAnsi="Tahoma" w:cs="Tahoma"/>
                <w:sz w:val="13"/>
              </w:rPr>
            </w:pPr>
            <w:r w:rsidRPr="003410C7">
              <w:rPr>
                <w:rFonts w:ascii="Tahoma" w:hAnsi="Tahoma" w:cs="Tahoma"/>
                <w:sz w:val="13"/>
              </w:rPr>
              <w:t>10</w:t>
            </w:r>
          </w:p>
        </w:tc>
        <w:tc>
          <w:tcPr>
            <w:tcW w:w="450" w:type="dxa"/>
            <w:tcBorders>
              <w:left w:val="single" w:sz="18" w:space="0" w:color="auto"/>
              <w:bottom w:val="single" w:sz="4" w:space="0" w:color="auto"/>
            </w:tcBorders>
            <w:shd w:val="clear" w:color="auto" w:fill="F4B083" w:themeFill="accent2" w:themeFillTint="99"/>
            <w:vAlign w:val="center"/>
          </w:tcPr>
          <w:p w:rsidR="001A63C6" w:rsidRPr="003410C7" w:rsidRDefault="001A63C6" w:rsidP="00FE2D13">
            <w:pPr>
              <w:pStyle w:val="TableText"/>
              <w:keepNext/>
              <w:keepLines/>
              <w:widowControl w:val="0"/>
              <w:rPr>
                <w:rFonts w:ascii="Tahoma" w:hAnsi="Tahoma" w:cs="Tahoma"/>
                <w:sz w:val="13"/>
              </w:rPr>
            </w:pPr>
            <w:r w:rsidRPr="003410C7">
              <w:rPr>
                <w:rFonts w:ascii="Tahoma" w:hAnsi="Tahoma" w:cs="Tahoma"/>
                <w:sz w:val="13"/>
              </w:rPr>
              <w:t>10</w:t>
            </w:r>
          </w:p>
        </w:tc>
        <w:tc>
          <w:tcPr>
            <w:tcW w:w="450" w:type="dxa"/>
            <w:tcBorders>
              <w:bottom w:val="single" w:sz="4" w:space="0" w:color="auto"/>
              <w:right w:val="single" w:sz="18" w:space="0" w:color="auto"/>
            </w:tcBorders>
            <w:shd w:val="clear" w:color="auto" w:fill="F4B083" w:themeFill="accent2" w:themeFillTint="99"/>
            <w:vAlign w:val="center"/>
          </w:tcPr>
          <w:p w:rsidR="001A63C6" w:rsidRPr="003410C7" w:rsidRDefault="001A63C6" w:rsidP="00FE2D13">
            <w:pPr>
              <w:pStyle w:val="TableText"/>
              <w:keepNext/>
              <w:keepLines/>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4B083" w:themeFill="accent2" w:themeFillTint="99"/>
            <w:vAlign w:val="center"/>
          </w:tcPr>
          <w:p w:rsidR="001A63C6" w:rsidRPr="003410C7" w:rsidRDefault="001A63C6" w:rsidP="00FE2D13">
            <w:pPr>
              <w:pStyle w:val="TableText"/>
              <w:keepNext/>
              <w:keepLines/>
              <w:widowControl w:val="0"/>
              <w:rPr>
                <w:rFonts w:ascii="Tahoma" w:hAnsi="Tahoma" w:cs="Tahoma"/>
                <w:sz w:val="13"/>
              </w:rPr>
            </w:pPr>
          </w:p>
        </w:tc>
        <w:tc>
          <w:tcPr>
            <w:tcW w:w="450" w:type="dxa"/>
            <w:tcBorders>
              <w:bottom w:val="single" w:sz="4" w:space="0" w:color="auto"/>
            </w:tcBorders>
            <w:shd w:val="clear" w:color="auto" w:fill="F4B083" w:themeFill="accent2" w:themeFillTint="99"/>
          </w:tcPr>
          <w:p w:rsidR="001A63C6" w:rsidRPr="003410C7" w:rsidRDefault="001A63C6" w:rsidP="00FE2D13">
            <w:pPr>
              <w:pStyle w:val="TableText"/>
              <w:keepNext/>
              <w:keepLines/>
              <w:widowControl w:val="0"/>
              <w:rPr>
                <w:rFonts w:ascii="Tahoma" w:hAnsi="Tahoma" w:cs="Tahoma"/>
                <w:color w:val="000000"/>
                <w:sz w:val="13"/>
              </w:rPr>
            </w:pPr>
            <w:r w:rsidRPr="003410C7">
              <w:rPr>
                <w:rFonts w:ascii="Tahoma" w:hAnsi="Tahoma" w:cs="Tahoma"/>
                <w:sz w:val="13"/>
              </w:rPr>
              <w:t>A</w:t>
            </w:r>
          </w:p>
        </w:tc>
        <w:tc>
          <w:tcPr>
            <w:tcW w:w="540" w:type="dxa"/>
            <w:tcBorders>
              <w:bottom w:val="single" w:sz="4" w:space="0" w:color="auto"/>
            </w:tcBorders>
            <w:shd w:val="clear" w:color="auto" w:fill="F4B083" w:themeFill="accent2" w:themeFillTint="99"/>
            <w:vAlign w:val="center"/>
          </w:tcPr>
          <w:p w:rsidR="001A63C6" w:rsidRPr="003410C7" w:rsidRDefault="001A63C6" w:rsidP="00FE2D13">
            <w:pPr>
              <w:pStyle w:val="TableText"/>
              <w:keepNext/>
              <w:keepLines/>
              <w:widowControl w:val="0"/>
              <w:rPr>
                <w:rFonts w:ascii="Tahoma" w:hAnsi="Tahoma" w:cs="Tahoma"/>
                <w:color w:val="000000"/>
                <w:sz w:val="13"/>
              </w:rPr>
            </w:pPr>
          </w:p>
        </w:tc>
      </w:tr>
      <w:tr w:rsidR="001A63C6" w:rsidRPr="003410C7" w:rsidTr="007E466C">
        <w:trPr>
          <w:trHeight w:val="145"/>
        </w:trPr>
        <w:tc>
          <w:tcPr>
            <w:tcW w:w="2734" w:type="dxa"/>
            <w:gridSpan w:val="2"/>
            <w:tcBorders>
              <w:bottom w:val="single" w:sz="4" w:space="0" w:color="auto"/>
            </w:tcBorders>
            <w:shd w:val="clear" w:color="auto" w:fill="auto"/>
            <w:vAlign w:val="center"/>
          </w:tcPr>
          <w:p w:rsidR="001A63C6" w:rsidRPr="003410C7" w:rsidRDefault="001A63C6" w:rsidP="00FE2D13">
            <w:pPr>
              <w:pStyle w:val="Heading2"/>
              <w:keepNext/>
              <w:keepLines/>
              <w:spacing w:before="20" w:after="20"/>
              <w:ind w:left="0"/>
              <w:rPr>
                <w:rFonts w:ascii="Tahoma" w:hAnsi="Tahoma" w:cs="Tahoma"/>
                <w:b w:val="0"/>
                <w:sz w:val="14"/>
                <w:szCs w:val="14"/>
              </w:rPr>
            </w:pPr>
            <w:bookmarkStart w:id="553" w:name="_Toc336338135"/>
            <w:bookmarkStart w:id="554" w:name="_Toc352234733"/>
            <w:r w:rsidRPr="003410C7">
              <w:rPr>
                <w:rFonts w:ascii="Tahoma" w:hAnsi="Tahoma" w:cs="Tahoma"/>
                <w:b w:val="0"/>
                <w:sz w:val="14"/>
                <w:szCs w:val="14"/>
              </w:rPr>
              <w:t>CAL per Windows MultiPoint Server 2012</w:t>
            </w:r>
            <w:bookmarkEnd w:id="553"/>
            <w:bookmarkEnd w:id="554"/>
          </w:p>
        </w:tc>
        <w:tc>
          <w:tcPr>
            <w:tcW w:w="450" w:type="dxa"/>
            <w:tcBorders>
              <w:bottom w:val="single" w:sz="4" w:space="0" w:color="auto"/>
            </w:tcBorders>
            <w:shd w:val="clear" w:color="auto" w:fill="auto"/>
            <w:vAlign w:val="center"/>
          </w:tcPr>
          <w:p w:rsidR="001A63C6" w:rsidRPr="009F17FF" w:rsidRDefault="00FC1A4D" w:rsidP="00FE2D13">
            <w:pPr>
              <w:pStyle w:val="TableText"/>
              <w:keepNext/>
              <w:keepLines/>
              <w:widowControl w:val="0"/>
              <w:rPr>
                <w:b/>
                <w:sz w:val="13"/>
                <w:szCs w:val="13"/>
                <w:u w:val="single"/>
              </w:rPr>
            </w:pPr>
            <w:hyperlink w:anchor="Srv_108WinMultipointSvr2011CAL" w:history="1">
              <w:r w:rsidR="000D77F6" w:rsidRPr="009F17FF">
                <w:rPr>
                  <w:rStyle w:val="Hyperlink"/>
                  <w:b/>
                  <w:sz w:val="13"/>
                  <w:szCs w:val="13"/>
                </w:rPr>
                <w:t>101</w:t>
              </w:r>
            </w:hyperlink>
          </w:p>
        </w:tc>
        <w:tc>
          <w:tcPr>
            <w:tcW w:w="450" w:type="dxa"/>
            <w:tcBorders>
              <w:bottom w:val="single" w:sz="4" w:space="0" w:color="auto"/>
            </w:tcBorders>
            <w:shd w:val="clear" w:color="auto" w:fill="auto"/>
            <w:vAlign w:val="center"/>
          </w:tcPr>
          <w:p w:rsidR="001A63C6" w:rsidRPr="003410C7" w:rsidRDefault="001A63C6" w:rsidP="00FE2D13">
            <w:pPr>
              <w:pStyle w:val="TableText"/>
              <w:keepNext/>
              <w:keepLines/>
              <w:widowControl w:val="0"/>
              <w:spacing w:before="80"/>
              <w:rPr>
                <w:rFonts w:ascii="Tahoma" w:hAnsi="Tahoma" w:cs="Tahoma"/>
                <w:color w:val="000000"/>
                <w:sz w:val="13"/>
              </w:rPr>
            </w:pPr>
            <w:r w:rsidRPr="003410C7">
              <w:rPr>
                <w:rFonts w:ascii="Tahoma" w:hAnsi="Tahoma" w:cs="Tahoma"/>
                <w:color w:val="000000"/>
                <w:sz w:val="13"/>
              </w:rPr>
              <w:t>12/12</w:t>
            </w:r>
          </w:p>
        </w:tc>
        <w:tc>
          <w:tcPr>
            <w:tcW w:w="360" w:type="dxa"/>
            <w:tcBorders>
              <w:bottom w:val="single" w:sz="4" w:space="0" w:color="auto"/>
              <w:right w:val="single" w:sz="18" w:space="0" w:color="auto"/>
            </w:tcBorders>
            <w:shd w:val="clear" w:color="auto" w:fill="auto"/>
            <w:vAlign w:val="center"/>
          </w:tcPr>
          <w:p w:rsidR="001A63C6" w:rsidRPr="003410C7" w:rsidRDefault="001A63C6" w:rsidP="00FE2D13">
            <w:pPr>
              <w:pStyle w:val="TableText"/>
              <w:keepNext/>
              <w:keepLines/>
              <w:widowControl w:val="0"/>
              <w:rPr>
                <w:rFonts w:ascii="Tahoma" w:hAnsi="Tahoma" w:cs="Tahoma"/>
                <w:color w:val="000000"/>
                <w:sz w:val="13"/>
              </w:rPr>
            </w:pPr>
            <w:r w:rsidRPr="003410C7">
              <w:rPr>
                <w:rFonts w:ascii="Tahoma" w:hAnsi="Tahoma" w:cs="Tahoma"/>
                <w:color w:val="000000"/>
                <w:sz w:val="13"/>
              </w:rPr>
              <w:t>SRV</w:t>
            </w:r>
          </w:p>
        </w:tc>
        <w:tc>
          <w:tcPr>
            <w:tcW w:w="360" w:type="dxa"/>
            <w:tcBorders>
              <w:left w:val="single" w:sz="18" w:space="0" w:color="auto"/>
              <w:bottom w:val="single" w:sz="4" w:space="0" w:color="auto"/>
            </w:tcBorders>
            <w:shd w:val="clear" w:color="auto" w:fill="auto"/>
            <w:vAlign w:val="center"/>
          </w:tcPr>
          <w:p w:rsidR="001A63C6" w:rsidRPr="003410C7" w:rsidRDefault="001A63C6" w:rsidP="00FE2D13">
            <w:pPr>
              <w:pStyle w:val="TableText"/>
              <w:keepNext/>
              <w:keepLines/>
              <w:widowControl w:val="0"/>
              <w:rPr>
                <w:rFonts w:ascii="Tahoma" w:hAnsi="Tahoma" w:cs="Tahoma"/>
                <w:sz w:val="13"/>
              </w:rPr>
            </w:pPr>
            <w:r w:rsidRPr="003410C7">
              <w:rPr>
                <w:rFonts w:ascii="Tahoma" w:hAnsi="Tahoma" w:cs="Tahoma"/>
                <w:sz w:val="13"/>
              </w:rPr>
              <w:t>1</w:t>
            </w:r>
          </w:p>
        </w:tc>
        <w:tc>
          <w:tcPr>
            <w:tcW w:w="450" w:type="dxa"/>
            <w:tcBorders>
              <w:bottom w:val="single" w:sz="4" w:space="0" w:color="auto"/>
            </w:tcBorders>
            <w:shd w:val="clear" w:color="auto" w:fill="auto"/>
            <w:vAlign w:val="center"/>
          </w:tcPr>
          <w:p w:rsidR="001A63C6" w:rsidRPr="003410C7" w:rsidRDefault="001A63C6" w:rsidP="00FE2D13">
            <w:pPr>
              <w:pStyle w:val="TableText"/>
              <w:keepNext/>
              <w:keepLines/>
              <w:widowControl w:val="0"/>
              <w:rPr>
                <w:rFonts w:ascii="Tahoma" w:hAnsi="Tahoma" w:cs="Tahoma"/>
                <w:sz w:val="13"/>
              </w:rPr>
            </w:pPr>
            <w:r w:rsidRPr="003410C7">
              <w:rPr>
                <w:rFonts w:ascii="Tahoma" w:hAnsi="Tahoma" w:cs="Tahoma"/>
                <w:sz w:val="13"/>
              </w:rPr>
              <w:t>3</w:t>
            </w:r>
          </w:p>
        </w:tc>
        <w:tc>
          <w:tcPr>
            <w:tcW w:w="450" w:type="dxa"/>
            <w:tcBorders>
              <w:bottom w:val="single" w:sz="4" w:space="0" w:color="auto"/>
            </w:tcBorders>
            <w:shd w:val="clear" w:color="auto" w:fill="auto"/>
            <w:vAlign w:val="center"/>
          </w:tcPr>
          <w:p w:rsidR="001A63C6" w:rsidRPr="003410C7" w:rsidRDefault="001A63C6" w:rsidP="00FE2D13">
            <w:pPr>
              <w:pStyle w:val="TableText"/>
              <w:keepNext/>
              <w:keepLines/>
              <w:widowControl w:val="0"/>
              <w:rPr>
                <w:rFonts w:ascii="Tahoma" w:hAnsi="Tahoma" w:cs="Tahoma"/>
                <w:sz w:val="13"/>
              </w:rPr>
            </w:pPr>
            <w:r w:rsidRPr="003410C7">
              <w:rPr>
                <w:rFonts w:ascii="Tahoma" w:hAnsi="Tahoma" w:cs="Tahoma"/>
                <w:sz w:val="13"/>
              </w:rPr>
              <w:t>2</w:t>
            </w:r>
          </w:p>
        </w:tc>
        <w:tc>
          <w:tcPr>
            <w:tcW w:w="450" w:type="dxa"/>
            <w:tcBorders>
              <w:bottom w:val="single" w:sz="4" w:space="0" w:color="auto"/>
            </w:tcBorders>
            <w:shd w:val="clear" w:color="auto" w:fill="auto"/>
            <w:vAlign w:val="center"/>
          </w:tcPr>
          <w:p w:rsidR="001A63C6" w:rsidRPr="003410C7" w:rsidRDefault="001A63C6" w:rsidP="00FE2D13">
            <w:pPr>
              <w:pStyle w:val="TableText"/>
              <w:keepNext/>
              <w:keepLines/>
              <w:widowControl w:val="0"/>
              <w:rPr>
                <w:rFonts w:ascii="Tahoma" w:hAnsi="Tahoma" w:cs="Tahoma"/>
                <w:sz w:val="13"/>
              </w:rPr>
            </w:pPr>
            <w:r w:rsidRPr="003410C7">
              <w:rPr>
                <w:rFonts w:ascii="Tahoma" w:hAnsi="Tahoma" w:cs="Tahoma"/>
                <w:sz w:val="13"/>
              </w:rPr>
              <w:t>2</w:t>
            </w:r>
          </w:p>
        </w:tc>
        <w:tc>
          <w:tcPr>
            <w:tcW w:w="450" w:type="dxa"/>
            <w:tcBorders>
              <w:bottom w:val="single" w:sz="4" w:space="0" w:color="auto"/>
            </w:tcBorders>
            <w:shd w:val="clear" w:color="auto" w:fill="auto"/>
            <w:vAlign w:val="center"/>
          </w:tcPr>
          <w:p w:rsidR="001A63C6" w:rsidRPr="003410C7" w:rsidRDefault="001A63C6" w:rsidP="00FE2D13">
            <w:pPr>
              <w:pStyle w:val="TableText"/>
              <w:keepNext/>
              <w:keepLines/>
              <w:widowControl w:val="0"/>
              <w:rPr>
                <w:rFonts w:ascii="Tahoma" w:hAnsi="Tahoma" w:cs="Tahoma"/>
                <w:sz w:val="13"/>
              </w:rPr>
            </w:pPr>
            <w:r w:rsidRPr="003410C7">
              <w:rPr>
                <w:rFonts w:ascii="Tahoma" w:hAnsi="Tahoma" w:cs="Tahoma"/>
                <w:sz w:val="13"/>
              </w:rPr>
              <w:t>2</w:t>
            </w:r>
          </w:p>
        </w:tc>
        <w:tc>
          <w:tcPr>
            <w:tcW w:w="450" w:type="dxa"/>
            <w:tcBorders>
              <w:bottom w:val="single" w:sz="4" w:space="0" w:color="auto"/>
            </w:tcBorders>
            <w:shd w:val="clear" w:color="auto" w:fill="auto"/>
            <w:vAlign w:val="center"/>
          </w:tcPr>
          <w:p w:rsidR="001A63C6" w:rsidRPr="003410C7" w:rsidRDefault="001A63C6" w:rsidP="00FE2D13">
            <w:pPr>
              <w:pStyle w:val="TableText"/>
              <w:keepNext/>
              <w:keepLines/>
              <w:widowControl w:val="0"/>
              <w:rPr>
                <w:rFonts w:ascii="Tahoma" w:hAnsi="Tahoma" w:cs="Tahoma"/>
                <w:sz w:val="13"/>
              </w:rPr>
            </w:pPr>
            <w:r w:rsidRPr="003410C7">
              <w:rPr>
                <w:rFonts w:ascii="Tahoma" w:hAnsi="Tahoma" w:cs="Tahoma"/>
                <w:sz w:val="13"/>
              </w:rPr>
              <w:t>1</w:t>
            </w:r>
          </w:p>
        </w:tc>
        <w:tc>
          <w:tcPr>
            <w:tcW w:w="360" w:type="dxa"/>
            <w:tcBorders>
              <w:bottom w:val="single" w:sz="4" w:space="0" w:color="auto"/>
              <w:right w:val="single" w:sz="18" w:space="0" w:color="auto"/>
            </w:tcBorders>
            <w:shd w:val="clear" w:color="auto" w:fill="auto"/>
            <w:vAlign w:val="center"/>
          </w:tcPr>
          <w:p w:rsidR="001A63C6" w:rsidRPr="003410C7" w:rsidRDefault="001A63C6" w:rsidP="00FE2D13">
            <w:pPr>
              <w:pStyle w:val="TableText"/>
              <w:keepNext/>
              <w:keepLines/>
              <w:widowControl w:val="0"/>
              <w:rPr>
                <w:rFonts w:ascii="Tahoma" w:hAnsi="Tahoma" w:cs="Tahoma"/>
                <w:sz w:val="13"/>
              </w:rPr>
            </w:pPr>
            <w:r w:rsidRPr="003410C7">
              <w:rPr>
                <w:rFonts w:ascii="Tahoma" w:hAnsi="Tahoma" w:cs="Tahoma"/>
                <w:sz w:val="13"/>
              </w:rPr>
              <w:t>1</w:t>
            </w:r>
          </w:p>
        </w:tc>
        <w:tc>
          <w:tcPr>
            <w:tcW w:w="450" w:type="dxa"/>
            <w:tcBorders>
              <w:left w:val="single" w:sz="18" w:space="0" w:color="auto"/>
              <w:bottom w:val="single" w:sz="4" w:space="0" w:color="auto"/>
            </w:tcBorders>
            <w:shd w:val="clear" w:color="auto" w:fill="auto"/>
            <w:vAlign w:val="center"/>
          </w:tcPr>
          <w:p w:rsidR="001A63C6" w:rsidRPr="003410C7" w:rsidRDefault="001A63C6" w:rsidP="00FE2D13">
            <w:pPr>
              <w:pStyle w:val="TableText"/>
              <w:keepNext/>
              <w:keepLines/>
              <w:widowControl w:val="0"/>
              <w:rPr>
                <w:rFonts w:ascii="Tahoma" w:hAnsi="Tahoma" w:cs="Tahoma"/>
                <w:sz w:val="13"/>
              </w:rPr>
            </w:pPr>
            <w:r w:rsidRPr="003410C7">
              <w:rPr>
                <w:rFonts w:ascii="Tahoma" w:hAnsi="Tahoma" w:cs="Tahoma"/>
                <w:sz w:val="13"/>
              </w:rPr>
              <w:t>1</w:t>
            </w:r>
          </w:p>
        </w:tc>
        <w:tc>
          <w:tcPr>
            <w:tcW w:w="450" w:type="dxa"/>
            <w:tcBorders>
              <w:bottom w:val="single" w:sz="4" w:space="0" w:color="auto"/>
            </w:tcBorders>
            <w:shd w:val="clear" w:color="auto" w:fill="auto"/>
            <w:vAlign w:val="center"/>
          </w:tcPr>
          <w:p w:rsidR="001A63C6" w:rsidRPr="003410C7" w:rsidRDefault="001A63C6" w:rsidP="00FE2D13">
            <w:pPr>
              <w:pStyle w:val="TableText"/>
              <w:keepNext/>
              <w:keepLines/>
              <w:widowControl w:val="0"/>
              <w:rPr>
                <w:rFonts w:ascii="Tahoma" w:hAnsi="Tahoma" w:cs="Tahoma"/>
                <w:sz w:val="13"/>
              </w:rPr>
            </w:pPr>
            <w:r w:rsidRPr="003410C7">
              <w:rPr>
                <w:rFonts w:ascii="Tahoma" w:hAnsi="Tahoma" w:cs="Tahoma"/>
                <w:sz w:val="13"/>
              </w:rPr>
              <w:t>2</w:t>
            </w:r>
          </w:p>
        </w:tc>
        <w:tc>
          <w:tcPr>
            <w:tcW w:w="450" w:type="dxa"/>
            <w:tcBorders>
              <w:bottom w:val="single" w:sz="4" w:space="0" w:color="auto"/>
              <w:right w:val="single" w:sz="18" w:space="0" w:color="auto"/>
            </w:tcBorders>
            <w:shd w:val="clear" w:color="auto" w:fill="auto"/>
            <w:vAlign w:val="center"/>
          </w:tcPr>
          <w:p w:rsidR="001A63C6" w:rsidRPr="003410C7" w:rsidRDefault="001A63C6" w:rsidP="00FE2D13">
            <w:pPr>
              <w:pStyle w:val="TableText"/>
              <w:keepNext/>
              <w:keepLines/>
              <w:widowControl w:val="0"/>
              <w:rPr>
                <w:rFonts w:ascii="Tahoma" w:hAnsi="Tahoma" w:cs="Tahoma"/>
                <w:sz w:val="13"/>
              </w:rPr>
            </w:pPr>
            <w:r w:rsidRPr="003410C7">
              <w:rPr>
                <w:rFonts w:ascii="Tahoma" w:hAnsi="Tahoma" w:cs="Tahoma"/>
                <w:sz w:val="13"/>
              </w:rPr>
              <w:t>1</w:t>
            </w:r>
          </w:p>
        </w:tc>
        <w:tc>
          <w:tcPr>
            <w:tcW w:w="450" w:type="dxa"/>
            <w:tcBorders>
              <w:left w:val="single" w:sz="18" w:space="0" w:color="auto"/>
              <w:bottom w:val="single" w:sz="4" w:space="0" w:color="auto"/>
            </w:tcBorders>
            <w:shd w:val="clear" w:color="auto" w:fill="auto"/>
            <w:vAlign w:val="center"/>
          </w:tcPr>
          <w:p w:rsidR="001A63C6" w:rsidRPr="003410C7" w:rsidRDefault="001A63C6" w:rsidP="00FE2D13">
            <w:pPr>
              <w:pStyle w:val="TableText"/>
              <w:keepNext/>
              <w:keepLines/>
              <w:widowControl w:val="0"/>
              <w:rPr>
                <w:rFonts w:ascii="Tahoma" w:hAnsi="Tahoma" w:cs="Tahoma"/>
                <w:sz w:val="13"/>
              </w:rPr>
            </w:pPr>
            <w:r w:rsidRPr="003410C7">
              <w:rPr>
                <w:rFonts w:ascii="Tahoma" w:hAnsi="Tahoma" w:cs="Tahoma"/>
                <w:sz w:val="13"/>
              </w:rPr>
              <w:t>1</w:t>
            </w:r>
          </w:p>
        </w:tc>
        <w:tc>
          <w:tcPr>
            <w:tcW w:w="450" w:type="dxa"/>
            <w:tcBorders>
              <w:bottom w:val="single" w:sz="4" w:space="0" w:color="auto"/>
              <w:right w:val="single" w:sz="18" w:space="0" w:color="auto"/>
            </w:tcBorders>
            <w:shd w:val="clear" w:color="auto" w:fill="auto"/>
            <w:vAlign w:val="center"/>
          </w:tcPr>
          <w:p w:rsidR="001A63C6" w:rsidRPr="003410C7" w:rsidRDefault="001A63C6" w:rsidP="00FE2D13">
            <w:pPr>
              <w:pStyle w:val="TableText"/>
              <w:keepNext/>
              <w:keepLines/>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rsidR="001A63C6" w:rsidRPr="003410C7" w:rsidRDefault="001A63C6" w:rsidP="00FE2D13">
            <w:pPr>
              <w:pStyle w:val="TableText"/>
              <w:keepNext/>
              <w:keepLines/>
              <w:widowControl w:val="0"/>
              <w:rPr>
                <w:rFonts w:ascii="Tahoma" w:hAnsi="Tahoma" w:cs="Tahoma"/>
                <w:sz w:val="13"/>
              </w:rPr>
            </w:pPr>
          </w:p>
        </w:tc>
        <w:tc>
          <w:tcPr>
            <w:tcW w:w="450" w:type="dxa"/>
            <w:tcBorders>
              <w:bottom w:val="single" w:sz="4" w:space="0" w:color="auto"/>
            </w:tcBorders>
            <w:shd w:val="clear" w:color="auto" w:fill="auto"/>
          </w:tcPr>
          <w:p w:rsidR="001A63C6" w:rsidRPr="003410C7" w:rsidRDefault="001A63C6" w:rsidP="00FE2D13">
            <w:pPr>
              <w:pStyle w:val="TableText"/>
              <w:keepNext/>
              <w:keepLines/>
              <w:widowControl w:val="0"/>
              <w:rPr>
                <w:rFonts w:ascii="Tahoma" w:hAnsi="Tahoma" w:cs="Tahoma"/>
                <w:color w:val="000000"/>
                <w:sz w:val="13"/>
              </w:rPr>
            </w:pPr>
            <w:r w:rsidRPr="003410C7">
              <w:rPr>
                <w:rFonts w:ascii="Tahoma" w:hAnsi="Tahoma" w:cs="Tahoma"/>
                <w:sz w:val="13"/>
              </w:rPr>
              <w:t>A</w:t>
            </w:r>
          </w:p>
        </w:tc>
        <w:tc>
          <w:tcPr>
            <w:tcW w:w="540" w:type="dxa"/>
            <w:tcBorders>
              <w:bottom w:val="single" w:sz="4" w:space="0" w:color="auto"/>
            </w:tcBorders>
            <w:shd w:val="clear" w:color="auto" w:fill="auto"/>
            <w:vAlign w:val="center"/>
          </w:tcPr>
          <w:p w:rsidR="001A63C6" w:rsidRPr="003410C7" w:rsidRDefault="001A63C6" w:rsidP="00FE2D13">
            <w:pPr>
              <w:pStyle w:val="TableText"/>
              <w:keepNext/>
              <w:keepLines/>
              <w:widowControl w:val="0"/>
              <w:rPr>
                <w:rFonts w:ascii="Tahoma" w:hAnsi="Tahoma" w:cs="Tahoma"/>
                <w:color w:val="000000"/>
                <w:sz w:val="13"/>
              </w:rPr>
            </w:pPr>
          </w:p>
        </w:tc>
      </w:tr>
      <w:tr w:rsidR="00B33D0E" w:rsidRPr="003410C7" w:rsidTr="006B1F3F">
        <w:trPr>
          <w:trHeight w:val="145"/>
        </w:trPr>
        <w:tc>
          <w:tcPr>
            <w:tcW w:w="2734" w:type="dxa"/>
            <w:gridSpan w:val="2"/>
            <w:tcBorders>
              <w:bottom w:val="single" w:sz="4" w:space="0" w:color="auto"/>
            </w:tcBorders>
            <w:shd w:val="clear" w:color="auto" w:fill="F4B083" w:themeFill="accent2" w:themeFillTint="99"/>
            <w:vAlign w:val="center"/>
          </w:tcPr>
          <w:p w:rsidR="001A63C6" w:rsidRPr="003410C7" w:rsidRDefault="001A63C6" w:rsidP="001A63C6">
            <w:pPr>
              <w:pStyle w:val="Heading2"/>
              <w:spacing w:before="20" w:after="20"/>
              <w:ind w:left="0"/>
              <w:rPr>
                <w:rFonts w:ascii="Tahoma" w:hAnsi="Tahoma" w:cs="Tahoma"/>
                <w:b w:val="0"/>
                <w:sz w:val="14"/>
                <w:szCs w:val="14"/>
              </w:rPr>
            </w:pPr>
            <w:bookmarkStart w:id="555" w:name="_Toc336338136"/>
            <w:bookmarkStart w:id="556" w:name="_Toc352234734"/>
            <w:r w:rsidRPr="003410C7">
              <w:rPr>
                <w:rFonts w:ascii="Tahoma" w:hAnsi="Tahoma" w:cs="Tahoma"/>
                <w:b w:val="0"/>
                <w:sz w:val="14"/>
                <w:szCs w:val="14"/>
              </w:rPr>
              <w:t>CAL per Windows MultiPoint Server 2012 con CAL per Windows Server 2012</w:t>
            </w:r>
            <w:bookmarkEnd w:id="555"/>
            <w:bookmarkEnd w:id="556"/>
          </w:p>
        </w:tc>
        <w:tc>
          <w:tcPr>
            <w:tcW w:w="450" w:type="dxa"/>
            <w:tcBorders>
              <w:bottom w:val="single" w:sz="4" w:space="0" w:color="auto"/>
            </w:tcBorders>
            <w:shd w:val="clear" w:color="auto" w:fill="F4B083" w:themeFill="accent2" w:themeFillTint="99"/>
            <w:vAlign w:val="center"/>
          </w:tcPr>
          <w:p w:rsidR="001A63C6" w:rsidRPr="009F17FF" w:rsidRDefault="001A63C6" w:rsidP="001A63C6">
            <w:pPr>
              <w:pStyle w:val="TableText"/>
              <w:widowControl w:val="0"/>
              <w:rPr>
                <w:sz w:val="13"/>
                <w:szCs w:val="13"/>
              </w:rPr>
            </w:pPr>
          </w:p>
        </w:tc>
        <w:tc>
          <w:tcPr>
            <w:tcW w:w="450" w:type="dxa"/>
            <w:tcBorders>
              <w:bottom w:val="single" w:sz="4" w:space="0" w:color="auto"/>
            </w:tcBorders>
            <w:shd w:val="clear" w:color="auto" w:fill="F4B083" w:themeFill="accent2" w:themeFillTint="99"/>
            <w:vAlign w:val="center"/>
          </w:tcPr>
          <w:p w:rsidR="001A63C6" w:rsidRPr="003410C7" w:rsidRDefault="001A63C6" w:rsidP="001A63C6">
            <w:pPr>
              <w:pStyle w:val="TableText"/>
              <w:widowControl w:val="0"/>
              <w:spacing w:before="80"/>
              <w:rPr>
                <w:rFonts w:ascii="Tahoma" w:hAnsi="Tahoma" w:cs="Tahoma"/>
                <w:color w:val="000000"/>
                <w:sz w:val="13"/>
              </w:rPr>
            </w:pPr>
            <w:r w:rsidRPr="003410C7">
              <w:rPr>
                <w:rFonts w:ascii="Tahoma" w:hAnsi="Tahoma" w:cs="Tahoma"/>
                <w:color w:val="000000"/>
                <w:sz w:val="13"/>
              </w:rPr>
              <w:t>12/12</w:t>
            </w:r>
          </w:p>
        </w:tc>
        <w:tc>
          <w:tcPr>
            <w:tcW w:w="360" w:type="dxa"/>
            <w:tcBorders>
              <w:bottom w:val="single" w:sz="4" w:space="0" w:color="auto"/>
              <w:right w:val="single" w:sz="18" w:space="0" w:color="auto"/>
            </w:tcBorders>
            <w:shd w:val="clear" w:color="auto" w:fill="F4B083" w:themeFill="accent2" w:themeFillTint="99"/>
            <w:vAlign w:val="center"/>
          </w:tcPr>
          <w:p w:rsidR="001A63C6" w:rsidRPr="003410C7" w:rsidRDefault="001A63C6" w:rsidP="001A63C6">
            <w:pPr>
              <w:pStyle w:val="TableText"/>
              <w:widowControl w:val="0"/>
              <w:rPr>
                <w:rFonts w:ascii="Tahoma" w:hAnsi="Tahoma" w:cs="Tahoma"/>
                <w:color w:val="000000"/>
                <w:sz w:val="13"/>
              </w:rPr>
            </w:pPr>
            <w:r w:rsidRPr="003410C7">
              <w:rPr>
                <w:rFonts w:ascii="Tahoma" w:hAnsi="Tahoma" w:cs="Tahoma"/>
                <w:color w:val="000000"/>
                <w:sz w:val="13"/>
              </w:rPr>
              <w:t>SRV</w:t>
            </w:r>
          </w:p>
        </w:tc>
        <w:tc>
          <w:tcPr>
            <w:tcW w:w="360" w:type="dxa"/>
            <w:tcBorders>
              <w:left w:val="single" w:sz="18" w:space="0" w:color="auto"/>
              <w:bottom w:val="single" w:sz="4" w:space="0" w:color="auto"/>
            </w:tcBorders>
            <w:shd w:val="clear" w:color="auto" w:fill="F4B083" w:themeFill="accent2" w:themeFillTint="99"/>
            <w:vAlign w:val="center"/>
          </w:tcPr>
          <w:p w:rsidR="001A63C6" w:rsidRPr="003410C7" w:rsidRDefault="001A63C6" w:rsidP="001A63C6">
            <w:pPr>
              <w:pStyle w:val="TableText"/>
              <w:widowControl w:val="0"/>
              <w:rPr>
                <w:rFonts w:ascii="Tahoma" w:hAnsi="Tahoma" w:cs="Tahoma"/>
                <w:sz w:val="13"/>
              </w:rPr>
            </w:pPr>
            <w:r w:rsidRPr="003410C7">
              <w:rPr>
                <w:rFonts w:ascii="Tahoma" w:hAnsi="Tahoma" w:cs="Tahoma"/>
                <w:sz w:val="13"/>
              </w:rPr>
              <w:t>1</w:t>
            </w:r>
          </w:p>
        </w:tc>
        <w:tc>
          <w:tcPr>
            <w:tcW w:w="450" w:type="dxa"/>
            <w:tcBorders>
              <w:bottom w:val="single" w:sz="4" w:space="0" w:color="auto"/>
            </w:tcBorders>
            <w:shd w:val="clear" w:color="auto" w:fill="F4B083" w:themeFill="accent2" w:themeFillTint="99"/>
            <w:vAlign w:val="center"/>
          </w:tcPr>
          <w:p w:rsidR="001A63C6" w:rsidRPr="003410C7" w:rsidRDefault="001A63C6" w:rsidP="001A63C6">
            <w:pPr>
              <w:pStyle w:val="TableText"/>
              <w:widowControl w:val="0"/>
              <w:rPr>
                <w:rFonts w:ascii="Tahoma" w:hAnsi="Tahoma" w:cs="Tahoma"/>
                <w:sz w:val="13"/>
              </w:rPr>
            </w:pPr>
            <w:r w:rsidRPr="003410C7">
              <w:rPr>
                <w:rFonts w:ascii="Tahoma" w:hAnsi="Tahoma" w:cs="Tahoma"/>
                <w:sz w:val="13"/>
              </w:rPr>
              <w:t>3</w:t>
            </w:r>
          </w:p>
        </w:tc>
        <w:tc>
          <w:tcPr>
            <w:tcW w:w="450" w:type="dxa"/>
            <w:tcBorders>
              <w:bottom w:val="single" w:sz="4" w:space="0" w:color="auto"/>
            </w:tcBorders>
            <w:shd w:val="clear" w:color="auto" w:fill="F4B083" w:themeFill="accent2" w:themeFillTint="99"/>
            <w:vAlign w:val="center"/>
          </w:tcPr>
          <w:p w:rsidR="001A63C6" w:rsidRPr="003410C7" w:rsidRDefault="001A63C6" w:rsidP="001A63C6">
            <w:pPr>
              <w:pStyle w:val="TableText"/>
              <w:widowControl w:val="0"/>
              <w:rPr>
                <w:rFonts w:ascii="Tahoma" w:hAnsi="Tahoma" w:cs="Tahoma"/>
                <w:sz w:val="13"/>
              </w:rPr>
            </w:pPr>
            <w:r w:rsidRPr="003410C7">
              <w:rPr>
                <w:rFonts w:ascii="Tahoma" w:hAnsi="Tahoma" w:cs="Tahoma"/>
                <w:sz w:val="13"/>
              </w:rPr>
              <w:t>2</w:t>
            </w:r>
          </w:p>
        </w:tc>
        <w:tc>
          <w:tcPr>
            <w:tcW w:w="450" w:type="dxa"/>
            <w:tcBorders>
              <w:bottom w:val="single" w:sz="4" w:space="0" w:color="auto"/>
            </w:tcBorders>
            <w:shd w:val="clear" w:color="auto" w:fill="F4B083" w:themeFill="accent2" w:themeFillTint="99"/>
            <w:vAlign w:val="center"/>
          </w:tcPr>
          <w:p w:rsidR="001A63C6" w:rsidRPr="003410C7" w:rsidRDefault="001A63C6" w:rsidP="001A63C6">
            <w:pPr>
              <w:pStyle w:val="TableText"/>
              <w:widowControl w:val="0"/>
              <w:rPr>
                <w:rFonts w:ascii="Tahoma" w:hAnsi="Tahoma" w:cs="Tahoma"/>
                <w:sz w:val="13"/>
              </w:rPr>
            </w:pPr>
            <w:r w:rsidRPr="003410C7">
              <w:rPr>
                <w:rFonts w:ascii="Tahoma" w:hAnsi="Tahoma" w:cs="Tahoma"/>
                <w:sz w:val="13"/>
              </w:rPr>
              <w:t>2</w:t>
            </w:r>
          </w:p>
        </w:tc>
        <w:tc>
          <w:tcPr>
            <w:tcW w:w="450" w:type="dxa"/>
            <w:tcBorders>
              <w:bottom w:val="single" w:sz="4" w:space="0" w:color="auto"/>
            </w:tcBorders>
            <w:shd w:val="clear" w:color="auto" w:fill="F4B083" w:themeFill="accent2" w:themeFillTint="99"/>
            <w:vAlign w:val="center"/>
          </w:tcPr>
          <w:p w:rsidR="001A63C6" w:rsidRPr="003410C7" w:rsidRDefault="001A63C6" w:rsidP="001A63C6">
            <w:pPr>
              <w:pStyle w:val="TableText"/>
              <w:widowControl w:val="0"/>
              <w:rPr>
                <w:rFonts w:ascii="Tahoma" w:hAnsi="Tahoma" w:cs="Tahoma"/>
                <w:sz w:val="13"/>
              </w:rPr>
            </w:pPr>
            <w:r w:rsidRPr="003410C7">
              <w:rPr>
                <w:rFonts w:ascii="Tahoma" w:hAnsi="Tahoma" w:cs="Tahoma"/>
                <w:sz w:val="13"/>
              </w:rPr>
              <w:t>2</w:t>
            </w:r>
          </w:p>
        </w:tc>
        <w:tc>
          <w:tcPr>
            <w:tcW w:w="450" w:type="dxa"/>
            <w:tcBorders>
              <w:bottom w:val="single" w:sz="4" w:space="0" w:color="auto"/>
            </w:tcBorders>
            <w:shd w:val="clear" w:color="auto" w:fill="F4B083" w:themeFill="accent2" w:themeFillTint="99"/>
            <w:vAlign w:val="center"/>
          </w:tcPr>
          <w:p w:rsidR="001A63C6" w:rsidRPr="003410C7" w:rsidRDefault="001A63C6" w:rsidP="001A63C6">
            <w:pPr>
              <w:pStyle w:val="TableText"/>
              <w:widowControl w:val="0"/>
              <w:rPr>
                <w:rFonts w:ascii="Tahoma" w:hAnsi="Tahoma" w:cs="Tahoma"/>
                <w:sz w:val="13"/>
              </w:rPr>
            </w:pPr>
            <w:r w:rsidRPr="003410C7">
              <w:rPr>
                <w:rFonts w:ascii="Tahoma" w:hAnsi="Tahoma" w:cs="Tahoma"/>
                <w:sz w:val="13"/>
              </w:rPr>
              <w:t>1</w:t>
            </w:r>
          </w:p>
        </w:tc>
        <w:tc>
          <w:tcPr>
            <w:tcW w:w="360" w:type="dxa"/>
            <w:tcBorders>
              <w:bottom w:val="single" w:sz="4" w:space="0" w:color="auto"/>
              <w:right w:val="single" w:sz="18" w:space="0" w:color="auto"/>
            </w:tcBorders>
            <w:shd w:val="clear" w:color="auto" w:fill="F4B083" w:themeFill="accent2" w:themeFillTint="99"/>
            <w:vAlign w:val="center"/>
          </w:tcPr>
          <w:p w:rsidR="001A63C6" w:rsidRPr="003410C7" w:rsidRDefault="001A63C6" w:rsidP="001A63C6">
            <w:pPr>
              <w:pStyle w:val="TableText"/>
              <w:widowControl w:val="0"/>
              <w:rPr>
                <w:rFonts w:ascii="Tahoma" w:hAnsi="Tahoma" w:cs="Tahoma"/>
                <w:sz w:val="13"/>
              </w:rPr>
            </w:pPr>
            <w:r w:rsidRPr="003410C7">
              <w:rPr>
                <w:rFonts w:ascii="Tahoma" w:hAnsi="Tahoma" w:cs="Tahoma"/>
                <w:sz w:val="13"/>
              </w:rPr>
              <w:t>1</w:t>
            </w:r>
          </w:p>
        </w:tc>
        <w:tc>
          <w:tcPr>
            <w:tcW w:w="450" w:type="dxa"/>
            <w:tcBorders>
              <w:left w:val="single" w:sz="18" w:space="0" w:color="auto"/>
              <w:bottom w:val="single" w:sz="4" w:space="0" w:color="auto"/>
            </w:tcBorders>
            <w:shd w:val="clear" w:color="auto" w:fill="F4B083" w:themeFill="accent2" w:themeFillTint="99"/>
            <w:vAlign w:val="center"/>
          </w:tcPr>
          <w:p w:rsidR="001A63C6" w:rsidRPr="003410C7" w:rsidRDefault="001A63C6" w:rsidP="001A63C6">
            <w:pPr>
              <w:pStyle w:val="TableText"/>
              <w:widowControl w:val="0"/>
              <w:rPr>
                <w:rFonts w:ascii="Tahoma" w:hAnsi="Tahoma" w:cs="Tahoma"/>
                <w:sz w:val="13"/>
              </w:rPr>
            </w:pPr>
            <w:r w:rsidRPr="003410C7">
              <w:rPr>
                <w:rFonts w:ascii="Tahoma" w:hAnsi="Tahoma" w:cs="Tahoma"/>
                <w:sz w:val="13"/>
              </w:rPr>
              <w:t>1</w:t>
            </w:r>
          </w:p>
        </w:tc>
        <w:tc>
          <w:tcPr>
            <w:tcW w:w="450" w:type="dxa"/>
            <w:tcBorders>
              <w:bottom w:val="single" w:sz="4" w:space="0" w:color="auto"/>
            </w:tcBorders>
            <w:shd w:val="clear" w:color="auto" w:fill="F4B083" w:themeFill="accent2" w:themeFillTint="99"/>
            <w:vAlign w:val="center"/>
          </w:tcPr>
          <w:p w:rsidR="001A63C6" w:rsidRPr="003410C7" w:rsidRDefault="001A63C6" w:rsidP="001A63C6">
            <w:pPr>
              <w:pStyle w:val="TableText"/>
              <w:widowControl w:val="0"/>
              <w:rPr>
                <w:rFonts w:ascii="Tahoma" w:hAnsi="Tahoma" w:cs="Tahoma"/>
                <w:sz w:val="13"/>
              </w:rPr>
            </w:pPr>
            <w:r w:rsidRPr="003410C7">
              <w:rPr>
                <w:rFonts w:ascii="Tahoma" w:hAnsi="Tahoma" w:cs="Tahoma"/>
                <w:sz w:val="13"/>
              </w:rPr>
              <w:t>2</w:t>
            </w:r>
          </w:p>
        </w:tc>
        <w:tc>
          <w:tcPr>
            <w:tcW w:w="450" w:type="dxa"/>
            <w:tcBorders>
              <w:bottom w:val="single" w:sz="4" w:space="0" w:color="auto"/>
              <w:right w:val="single" w:sz="18" w:space="0" w:color="auto"/>
            </w:tcBorders>
            <w:shd w:val="clear" w:color="auto" w:fill="F4B083" w:themeFill="accent2" w:themeFillTint="99"/>
            <w:vAlign w:val="center"/>
          </w:tcPr>
          <w:p w:rsidR="001A63C6" w:rsidRPr="003410C7" w:rsidRDefault="001A63C6" w:rsidP="001A63C6">
            <w:pPr>
              <w:pStyle w:val="TableText"/>
              <w:widowControl w:val="0"/>
              <w:rPr>
                <w:rFonts w:ascii="Tahoma" w:hAnsi="Tahoma" w:cs="Tahoma"/>
                <w:sz w:val="13"/>
              </w:rPr>
            </w:pPr>
            <w:r w:rsidRPr="003410C7">
              <w:rPr>
                <w:rFonts w:ascii="Tahoma" w:hAnsi="Tahoma" w:cs="Tahoma"/>
                <w:sz w:val="13"/>
              </w:rPr>
              <w:t>1</w:t>
            </w:r>
          </w:p>
        </w:tc>
        <w:tc>
          <w:tcPr>
            <w:tcW w:w="450" w:type="dxa"/>
            <w:tcBorders>
              <w:left w:val="single" w:sz="18" w:space="0" w:color="auto"/>
              <w:bottom w:val="single" w:sz="4" w:space="0" w:color="auto"/>
            </w:tcBorders>
            <w:shd w:val="clear" w:color="auto" w:fill="F4B083" w:themeFill="accent2" w:themeFillTint="99"/>
            <w:vAlign w:val="center"/>
          </w:tcPr>
          <w:p w:rsidR="001A63C6" w:rsidRPr="003410C7" w:rsidRDefault="001A63C6" w:rsidP="001A63C6">
            <w:pPr>
              <w:pStyle w:val="TableText"/>
              <w:widowControl w:val="0"/>
              <w:rPr>
                <w:rFonts w:ascii="Tahoma" w:hAnsi="Tahoma" w:cs="Tahoma"/>
                <w:sz w:val="13"/>
              </w:rPr>
            </w:pPr>
            <w:r w:rsidRPr="003410C7">
              <w:rPr>
                <w:rFonts w:ascii="Tahoma" w:hAnsi="Tahoma" w:cs="Tahoma"/>
                <w:sz w:val="13"/>
              </w:rPr>
              <w:t>1</w:t>
            </w:r>
          </w:p>
        </w:tc>
        <w:tc>
          <w:tcPr>
            <w:tcW w:w="450" w:type="dxa"/>
            <w:tcBorders>
              <w:bottom w:val="single" w:sz="4" w:space="0" w:color="auto"/>
              <w:right w:val="single" w:sz="18" w:space="0" w:color="auto"/>
            </w:tcBorders>
            <w:shd w:val="clear" w:color="auto" w:fill="F4B083" w:themeFill="accent2" w:themeFillTint="99"/>
            <w:vAlign w:val="center"/>
          </w:tcPr>
          <w:p w:rsidR="001A63C6" w:rsidRPr="003410C7"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4B083" w:themeFill="accent2" w:themeFillTint="99"/>
            <w:vAlign w:val="center"/>
          </w:tcPr>
          <w:p w:rsidR="001A63C6" w:rsidRPr="003410C7"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4B083" w:themeFill="accent2" w:themeFillTint="99"/>
          </w:tcPr>
          <w:p w:rsidR="001A63C6" w:rsidRPr="003410C7" w:rsidRDefault="001A63C6" w:rsidP="001A63C6">
            <w:pPr>
              <w:pStyle w:val="TableText"/>
              <w:widowControl w:val="0"/>
              <w:rPr>
                <w:rFonts w:ascii="Tahoma" w:hAnsi="Tahoma" w:cs="Tahoma"/>
                <w:color w:val="000000"/>
                <w:sz w:val="13"/>
              </w:rPr>
            </w:pPr>
            <w:r w:rsidRPr="003410C7">
              <w:rPr>
                <w:rFonts w:ascii="Tahoma" w:hAnsi="Tahoma" w:cs="Tahoma"/>
                <w:sz w:val="13"/>
              </w:rPr>
              <w:t>A</w:t>
            </w:r>
          </w:p>
        </w:tc>
        <w:tc>
          <w:tcPr>
            <w:tcW w:w="540" w:type="dxa"/>
            <w:tcBorders>
              <w:bottom w:val="single" w:sz="4" w:space="0" w:color="auto"/>
            </w:tcBorders>
            <w:shd w:val="clear" w:color="auto" w:fill="F4B083" w:themeFill="accent2" w:themeFillTint="99"/>
            <w:vAlign w:val="center"/>
          </w:tcPr>
          <w:p w:rsidR="001A63C6" w:rsidRPr="003410C7" w:rsidRDefault="001A63C6" w:rsidP="001A63C6">
            <w:pPr>
              <w:pStyle w:val="TableText"/>
              <w:widowControl w:val="0"/>
              <w:rPr>
                <w:rFonts w:ascii="Tahoma" w:hAnsi="Tahoma" w:cs="Tahoma"/>
                <w:color w:val="000000"/>
                <w:sz w:val="13"/>
              </w:rPr>
            </w:pPr>
          </w:p>
        </w:tc>
      </w:tr>
      <w:tr w:rsidR="001A63C6" w:rsidRPr="003410C7" w:rsidTr="007E466C">
        <w:trPr>
          <w:trHeight w:val="145"/>
        </w:trPr>
        <w:tc>
          <w:tcPr>
            <w:tcW w:w="2734" w:type="dxa"/>
            <w:gridSpan w:val="2"/>
            <w:tcBorders>
              <w:bottom w:val="single" w:sz="4" w:space="0" w:color="auto"/>
            </w:tcBorders>
            <w:shd w:val="clear" w:color="auto" w:fill="auto"/>
            <w:vAlign w:val="center"/>
          </w:tcPr>
          <w:p w:rsidR="001A63C6" w:rsidRPr="003410C7" w:rsidRDefault="001A63C6" w:rsidP="001A63C6">
            <w:pPr>
              <w:pStyle w:val="Heading2"/>
              <w:spacing w:before="20" w:after="20"/>
              <w:ind w:left="0"/>
              <w:rPr>
                <w:rFonts w:ascii="Tahoma" w:hAnsi="Tahoma" w:cs="Tahoma"/>
                <w:b w:val="0"/>
                <w:sz w:val="14"/>
                <w:szCs w:val="14"/>
              </w:rPr>
            </w:pPr>
            <w:bookmarkStart w:id="557" w:name="_Toc336338137"/>
            <w:bookmarkStart w:id="558" w:name="_Toc352234735"/>
            <w:r w:rsidRPr="003410C7">
              <w:rPr>
                <w:rFonts w:ascii="Tahoma" w:hAnsi="Tahoma" w:cs="Tahoma"/>
                <w:b w:val="0"/>
                <w:sz w:val="14"/>
                <w:szCs w:val="14"/>
              </w:rPr>
              <w:t>Windows MultiPoint Server 2012 Premium con Windows MultiPoint Server 2012 (CAL) (5 Client)</w:t>
            </w:r>
            <w:bookmarkEnd w:id="557"/>
            <w:bookmarkEnd w:id="558"/>
          </w:p>
        </w:tc>
        <w:tc>
          <w:tcPr>
            <w:tcW w:w="450" w:type="dxa"/>
            <w:tcBorders>
              <w:bottom w:val="single" w:sz="4" w:space="0" w:color="auto"/>
            </w:tcBorders>
            <w:shd w:val="clear" w:color="auto" w:fill="auto"/>
            <w:vAlign w:val="center"/>
          </w:tcPr>
          <w:p w:rsidR="001A63C6" w:rsidRPr="009F17FF" w:rsidRDefault="001A63C6" w:rsidP="001A63C6">
            <w:pPr>
              <w:pStyle w:val="TableText"/>
              <w:widowControl w:val="0"/>
              <w:rPr>
                <w:sz w:val="13"/>
                <w:szCs w:val="13"/>
              </w:rPr>
            </w:pPr>
          </w:p>
        </w:tc>
        <w:tc>
          <w:tcPr>
            <w:tcW w:w="450" w:type="dxa"/>
            <w:tcBorders>
              <w:bottom w:val="single" w:sz="4" w:space="0" w:color="auto"/>
            </w:tcBorders>
            <w:shd w:val="clear" w:color="auto" w:fill="auto"/>
            <w:vAlign w:val="center"/>
          </w:tcPr>
          <w:p w:rsidR="001A63C6" w:rsidRPr="003410C7" w:rsidRDefault="001A63C6" w:rsidP="001A63C6">
            <w:pPr>
              <w:pStyle w:val="TableText"/>
              <w:widowControl w:val="0"/>
              <w:spacing w:before="80"/>
              <w:rPr>
                <w:rFonts w:ascii="Tahoma" w:hAnsi="Tahoma" w:cs="Tahoma"/>
                <w:color w:val="000000"/>
                <w:sz w:val="13"/>
              </w:rPr>
            </w:pPr>
            <w:r w:rsidRPr="003410C7">
              <w:rPr>
                <w:rFonts w:ascii="Tahoma" w:hAnsi="Tahoma" w:cs="Tahoma"/>
                <w:color w:val="000000"/>
                <w:sz w:val="13"/>
              </w:rPr>
              <w:t>01/13</w:t>
            </w:r>
          </w:p>
        </w:tc>
        <w:tc>
          <w:tcPr>
            <w:tcW w:w="360" w:type="dxa"/>
            <w:tcBorders>
              <w:bottom w:val="single" w:sz="4" w:space="0" w:color="auto"/>
              <w:right w:val="single" w:sz="18" w:space="0" w:color="auto"/>
            </w:tcBorders>
            <w:shd w:val="clear" w:color="auto" w:fill="auto"/>
            <w:vAlign w:val="center"/>
          </w:tcPr>
          <w:p w:rsidR="001A63C6" w:rsidRPr="003410C7" w:rsidRDefault="001A63C6" w:rsidP="001A63C6">
            <w:pPr>
              <w:pStyle w:val="TableText"/>
              <w:widowControl w:val="0"/>
              <w:rPr>
                <w:rFonts w:ascii="Tahoma" w:hAnsi="Tahoma" w:cs="Tahoma"/>
                <w:color w:val="000000"/>
                <w:sz w:val="13"/>
              </w:rPr>
            </w:pPr>
            <w:r w:rsidRPr="003410C7">
              <w:rPr>
                <w:rFonts w:ascii="Tahoma" w:hAnsi="Tahoma" w:cs="Tahoma"/>
                <w:color w:val="000000"/>
                <w:sz w:val="13"/>
              </w:rPr>
              <w:t>SRV</w:t>
            </w:r>
          </w:p>
        </w:tc>
        <w:tc>
          <w:tcPr>
            <w:tcW w:w="360" w:type="dxa"/>
            <w:tcBorders>
              <w:left w:val="single" w:sz="18" w:space="0" w:color="auto"/>
              <w:bottom w:val="single" w:sz="4" w:space="0" w:color="auto"/>
            </w:tcBorders>
            <w:shd w:val="clear" w:color="auto" w:fill="auto"/>
            <w:vAlign w:val="center"/>
          </w:tcPr>
          <w:p w:rsidR="001A63C6" w:rsidRPr="003410C7" w:rsidRDefault="001A63C6" w:rsidP="001A63C6">
            <w:pPr>
              <w:pStyle w:val="TableText"/>
              <w:widowControl w:val="0"/>
              <w:rPr>
                <w:rFonts w:ascii="Tahoma" w:hAnsi="Tahoma" w:cs="Tahoma"/>
                <w:sz w:val="13"/>
              </w:rPr>
            </w:pPr>
            <w:r w:rsidRPr="003410C7">
              <w:rPr>
                <w:rFonts w:ascii="Tahoma" w:hAnsi="Tahoma" w:cs="Tahoma"/>
                <w:sz w:val="13"/>
              </w:rPr>
              <w:t>25</w:t>
            </w:r>
          </w:p>
        </w:tc>
        <w:tc>
          <w:tcPr>
            <w:tcW w:w="450" w:type="dxa"/>
            <w:tcBorders>
              <w:bottom w:val="single" w:sz="4" w:space="0" w:color="auto"/>
            </w:tcBorders>
            <w:shd w:val="clear" w:color="auto" w:fill="auto"/>
            <w:vAlign w:val="center"/>
          </w:tcPr>
          <w:p w:rsidR="001A63C6" w:rsidRPr="003410C7" w:rsidRDefault="001A63C6" w:rsidP="001A63C6">
            <w:pPr>
              <w:pStyle w:val="TableText"/>
              <w:widowControl w:val="0"/>
              <w:rPr>
                <w:rFonts w:ascii="Tahoma" w:hAnsi="Tahoma" w:cs="Tahoma"/>
                <w:sz w:val="13"/>
              </w:rPr>
            </w:pPr>
            <w:r w:rsidRPr="003410C7">
              <w:rPr>
                <w:rFonts w:ascii="Tahoma" w:hAnsi="Tahoma" w:cs="Tahoma"/>
                <w:sz w:val="13"/>
              </w:rPr>
              <w:t>63</w:t>
            </w:r>
          </w:p>
        </w:tc>
        <w:tc>
          <w:tcPr>
            <w:tcW w:w="450" w:type="dxa"/>
            <w:tcBorders>
              <w:bottom w:val="single" w:sz="4" w:space="0" w:color="auto"/>
            </w:tcBorders>
            <w:shd w:val="clear" w:color="auto" w:fill="auto"/>
            <w:vAlign w:val="center"/>
          </w:tcPr>
          <w:p w:rsidR="001A63C6" w:rsidRPr="003410C7" w:rsidRDefault="001A63C6" w:rsidP="001A63C6">
            <w:pPr>
              <w:pStyle w:val="TableText"/>
              <w:widowControl w:val="0"/>
              <w:rPr>
                <w:rFonts w:ascii="Tahoma" w:hAnsi="Tahoma" w:cs="Tahoma"/>
                <w:sz w:val="13"/>
              </w:rPr>
            </w:pPr>
            <w:r w:rsidRPr="003410C7">
              <w:rPr>
                <w:rFonts w:ascii="Tahoma" w:hAnsi="Tahoma" w:cs="Tahoma"/>
                <w:sz w:val="13"/>
              </w:rPr>
              <w:t>50</w:t>
            </w:r>
          </w:p>
        </w:tc>
        <w:tc>
          <w:tcPr>
            <w:tcW w:w="450" w:type="dxa"/>
            <w:tcBorders>
              <w:bottom w:val="single" w:sz="4" w:space="0" w:color="auto"/>
            </w:tcBorders>
            <w:shd w:val="clear" w:color="auto" w:fill="auto"/>
            <w:vAlign w:val="center"/>
          </w:tcPr>
          <w:p w:rsidR="001A63C6" w:rsidRPr="003410C7" w:rsidRDefault="001A63C6" w:rsidP="001A63C6">
            <w:pPr>
              <w:pStyle w:val="TableText"/>
              <w:widowControl w:val="0"/>
              <w:rPr>
                <w:rFonts w:ascii="Tahoma" w:hAnsi="Tahoma" w:cs="Tahoma"/>
                <w:sz w:val="13"/>
              </w:rPr>
            </w:pPr>
            <w:r w:rsidRPr="003410C7">
              <w:rPr>
                <w:rFonts w:ascii="Tahoma" w:hAnsi="Tahoma" w:cs="Tahoma"/>
                <w:sz w:val="13"/>
              </w:rPr>
              <w:t>38</w:t>
            </w:r>
          </w:p>
        </w:tc>
        <w:tc>
          <w:tcPr>
            <w:tcW w:w="450" w:type="dxa"/>
            <w:tcBorders>
              <w:bottom w:val="single" w:sz="4" w:space="0" w:color="auto"/>
            </w:tcBorders>
            <w:shd w:val="clear" w:color="auto" w:fill="auto"/>
            <w:vAlign w:val="center"/>
          </w:tcPr>
          <w:p w:rsidR="001A63C6" w:rsidRPr="003410C7" w:rsidRDefault="001A63C6" w:rsidP="001A63C6">
            <w:pPr>
              <w:pStyle w:val="TableText"/>
              <w:widowControl w:val="0"/>
              <w:rPr>
                <w:rFonts w:ascii="Tahoma" w:hAnsi="Tahoma" w:cs="Tahoma"/>
                <w:sz w:val="13"/>
              </w:rPr>
            </w:pPr>
            <w:r w:rsidRPr="003410C7">
              <w:rPr>
                <w:rFonts w:ascii="Tahoma" w:hAnsi="Tahoma" w:cs="Tahoma"/>
                <w:sz w:val="13"/>
              </w:rPr>
              <w:t>38</w:t>
            </w:r>
          </w:p>
        </w:tc>
        <w:tc>
          <w:tcPr>
            <w:tcW w:w="450" w:type="dxa"/>
            <w:tcBorders>
              <w:bottom w:val="single" w:sz="4" w:space="0" w:color="auto"/>
            </w:tcBorders>
            <w:shd w:val="clear" w:color="auto" w:fill="auto"/>
            <w:vAlign w:val="center"/>
          </w:tcPr>
          <w:p w:rsidR="001A63C6" w:rsidRPr="003410C7" w:rsidRDefault="001A63C6" w:rsidP="001A63C6">
            <w:pPr>
              <w:pStyle w:val="TableText"/>
              <w:widowControl w:val="0"/>
              <w:rPr>
                <w:rFonts w:ascii="Tahoma" w:hAnsi="Tahoma" w:cs="Tahoma"/>
                <w:sz w:val="13"/>
              </w:rPr>
            </w:pPr>
            <w:r w:rsidRPr="003410C7">
              <w:rPr>
                <w:rFonts w:ascii="Tahoma" w:hAnsi="Tahoma" w:cs="Tahoma"/>
                <w:sz w:val="13"/>
              </w:rPr>
              <w:t>25</w:t>
            </w:r>
          </w:p>
        </w:tc>
        <w:tc>
          <w:tcPr>
            <w:tcW w:w="360" w:type="dxa"/>
            <w:tcBorders>
              <w:bottom w:val="single" w:sz="4" w:space="0" w:color="auto"/>
              <w:right w:val="single" w:sz="18" w:space="0" w:color="auto"/>
            </w:tcBorders>
            <w:shd w:val="clear" w:color="auto" w:fill="auto"/>
            <w:vAlign w:val="center"/>
          </w:tcPr>
          <w:p w:rsidR="001A63C6" w:rsidRPr="003410C7" w:rsidRDefault="001A63C6" w:rsidP="001A63C6">
            <w:pPr>
              <w:pStyle w:val="TableText"/>
              <w:widowControl w:val="0"/>
              <w:rPr>
                <w:rFonts w:ascii="Tahoma" w:hAnsi="Tahoma" w:cs="Tahoma"/>
                <w:sz w:val="13"/>
              </w:rPr>
            </w:pPr>
            <w:r w:rsidRPr="003410C7">
              <w:rPr>
                <w:rFonts w:ascii="Tahoma" w:hAnsi="Tahoma" w:cs="Tahoma"/>
                <w:sz w:val="13"/>
              </w:rPr>
              <w:t>13</w:t>
            </w:r>
          </w:p>
        </w:tc>
        <w:tc>
          <w:tcPr>
            <w:tcW w:w="450" w:type="dxa"/>
            <w:tcBorders>
              <w:left w:val="single" w:sz="18" w:space="0" w:color="auto"/>
              <w:bottom w:val="single" w:sz="4" w:space="0" w:color="auto"/>
            </w:tcBorders>
            <w:shd w:val="clear" w:color="auto" w:fill="auto"/>
            <w:vAlign w:val="center"/>
          </w:tcPr>
          <w:p w:rsidR="001A63C6" w:rsidRPr="003410C7" w:rsidRDefault="001A63C6" w:rsidP="001A63C6">
            <w:pPr>
              <w:pStyle w:val="TableText"/>
              <w:widowControl w:val="0"/>
              <w:rPr>
                <w:rFonts w:ascii="Tahoma" w:hAnsi="Tahoma" w:cs="Tahoma"/>
                <w:sz w:val="13"/>
              </w:rPr>
            </w:pPr>
            <w:r w:rsidRPr="003410C7">
              <w:rPr>
                <w:rFonts w:ascii="Tahoma" w:hAnsi="Tahoma" w:cs="Tahoma"/>
                <w:sz w:val="13"/>
              </w:rPr>
              <w:t>25</w:t>
            </w:r>
          </w:p>
        </w:tc>
        <w:tc>
          <w:tcPr>
            <w:tcW w:w="450" w:type="dxa"/>
            <w:tcBorders>
              <w:bottom w:val="single" w:sz="4" w:space="0" w:color="auto"/>
            </w:tcBorders>
            <w:shd w:val="clear" w:color="auto" w:fill="auto"/>
            <w:vAlign w:val="center"/>
          </w:tcPr>
          <w:p w:rsidR="001A63C6" w:rsidRPr="003410C7" w:rsidRDefault="001A63C6" w:rsidP="001A63C6">
            <w:pPr>
              <w:pStyle w:val="TableText"/>
              <w:widowControl w:val="0"/>
              <w:rPr>
                <w:rFonts w:ascii="Tahoma" w:hAnsi="Tahoma" w:cs="Tahoma"/>
                <w:sz w:val="13"/>
              </w:rPr>
            </w:pPr>
            <w:r w:rsidRPr="003410C7">
              <w:rPr>
                <w:rFonts w:ascii="Tahoma" w:hAnsi="Tahoma" w:cs="Tahoma"/>
                <w:sz w:val="13"/>
              </w:rPr>
              <w:t>50</w:t>
            </w:r>
          </w:p>
        </w:tc>
        <w:tc>
          <w:tcPr>
            <w:tcW w:w="450" w:type="dxa"/>
            <w:tcBorders>
              <w:bottom w:val="single" w:sz="4" w:space="0" w:color="auto"/>
              <w:right w:val="single" w:sz="18" w:space="0" w:color="auto"/>
            </w:tcBorders>
            <w:shd w:val="clear" w:color="auto" w:fill="auto"/>
            <w:vAlign w:val="center"/>
          </w:tcPr>
          <w:p w:rsidR="001A63C6" w:rsidRPr="003410C7" w:rsidRDefault="001A63C6" w:rsidP="001A63C6">
            <w:pPr>
              <w:pStyle w:val="TableText"/>
              <w:widowControl w:val="0"/>
              <w:rPr>
                <w:rFonts w:ascii="Tahoma" w:hAnsi="Tahoma" w:cs="Tahoma"/>
                <w:sz w:val="13"/>
              </w:rPr>
            </w:pPr>
            <w:r w:rsidRPr="003410C7">
              <w:rPr>
                <w:rFonts w:ascii="Tahoma" w:hAnsi="Tahoma" w:cs="Tahoma"/>
                <w:sz w:val="13"/>
              </w:rPr>
              <w:t>25</w:t>
            </w:r>
          </w:p>
        </w:tc>
        <w:tc>
          <w:tcPr>
            <w:tcW w:w="450" w:type="dxa"/>
            <w:tcBorders>
              <w:left w:val="single" w:sz="18" w:space="0" w:color="auto"/>
              <w:bottom w:val="single" w:sz="4" w:space="0" w:color="auto"/>
            </w:tcBorders>
            <w:shd w:val="clear" w:color="auto" w:fill="auto"/>
            <w:vAlign w:val="center"/>
          </w:tcPr>
          <w:p w:rsidR="001A63C6" w:rsidRPr="003410C7" w:rsidRDefault="001A63C6" w:rsidP="001A63C6">
            <w:pPr>
              <w:pStyle w:val="TableText"/>
              <w:widowControl w:val="0"/>
              <w:rPr>
                <w:rFonts w:ascii="Tahoma" w:hAnsi="Tahoma" w:cs="Tahoma"/>
                <w:sz w:val="13"/>
              </w:rPr>
            </w:pPr>
            <w:r w:rsidRPr="003410C7">
              <w:rPr>
                <w:rFonts w:ascii="Tahoma" w:hAnsi="Tahoma" w:cs="Tahoma"/>
                <w:sz w:val="13"/>
              </w:rPr>
              <w:t>25</w:t>
            </w:r>
          </w:p>
        </w:tc>
        <w:tc>
          <w:tcPr>
            <w:tcW w:w="450" w:type="dxa"/>
            <w:tcBorders>
              <w:bottom w:val="single" w:sz="4" w:space="0" w:color="auto"/>
              <w:right w:val="single" w:sz="18" w:space="0" w:color="auto"/>
            </w:tcBorders>
            <w:shd w:val="clear" w:color="auto" w:fill="auto"/>
            <w:vAlign w:val="center"/>
          </w:tcPr>
          <w:p w:rsidR="001A63C6" w:rsidRPr="003410C7"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rsidR="001A63C6" w:rsidRPr="003410C7"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tcPr>
          <w:p w:rsidR="001A63C6" w:rsidRPr="003410C7" w:rsidRDefault="001A63C6" w:rsidP="001A63C6">
            <w:pPr>
              <w:pStyle w:val="TableText"/>
              <w:widowControl w:val="0"/>
              <w:rPr>
                <w:rFonts w:ascii="Tahoma" w:hAnsi="Tahoma" w:cs="Tahoma"/>
                <w:color w:val="000000"/>
                <w:sz w:val="13"/>
              </w:rPr>
            </w:pPr>
            <w:r w:rsidRPr="003410C7">
              <w:rPr>
                <w:rFonts w:ascii="Tahoma" w:hAnsi="Tahoma" w:cs="Tahoma"/>
                <w:sz w:val="13"/>
              </w:rPr>
              <w:t>A</w:t>
            </w:r>
          </w:p>
        </w:tc>
        <w:tc>
          <w:tcPr>
            <w:tcW w:w="540" w:type="dxa"/>
            <w:tcBorders>
              <w:bottom w:val="single" w:sz="4" w:space="0" w:color="auto"/>
            </w:tcBorders>
            <w:shd w:val="clear" w:color="auto" w:fill="auto"/>
            <w:vAlign w:val="center"/>
          </w:tcPr>
          <w:p w:rsidR="001A63C6" w:rsidRPr="003410C7" w:rsidRDefault="001A63C6" w:rsidP="001A63C6">
            <w:pPr>
              <w:pStyle w:val="TableText"/>
              <w:widowControl w:val="0"/>
              <w:rPr>
                <w:rFonts w:ascii="Tahoma" w:hAnsi="Tahoma" w:cs="Tahoma"/>
                <w:color w:val="000000"/>
                <w:sz w:val="13"/>
              </w:rPr>
            </w:pPr>
            <w:r w:rsidRPr="003410C7">
              <w:rPr>
                <w:rFonts w:ascii="Tahoma" w:hAnsi="Tahoma" w:cs="Tahoma"/>
                <w:color w:val="000000"/>
                <w:sz w:val="13"/>
              </w:rPr>
              <w:t>OL/OV</w:t>
            </w:r>
          </w:p>
        </w:tc>
      </w:tr>
      <w:tr w:rsidR="00B33D0E" w:rsidRPr="003410C7" w:rsidTr="006B1F3F">
        <w:trPr>
          <w:trHeight w:val="145"/>
        </w:trPr>
        <w:tc>
          <w:tcPr>
            <w:tcW w:w="2734" w:type="dxa"/>
            <w:gridSpan w:val="2"/>
            <w:tcBorders>
              <w:bottom w:val="single" w:sz="4" w:space="0" w:color="auto"/>
            </w:tcBorders>
            <w:shd w:val="clear" w:color="auto" w:fill="F4B083" w:themeFill="accent2" w:themeFillTint="99"/>
            <w:vAlign w:val="center"/>
          </w:tcPr>
          <w:p w:rsidR="001A63C6" w:rsidRPr="003410C7" w:rsidRDefault="001A63C6" w:rsidP="001A63C6">
            <w:pPr>
              <w:pStyle w:val="Heading2"/>
              <w:spacing w:before="20" w:after="20"/>
              <w:ind w:left="0"/>
              <w:rPr>
                <w:rFonts w:ascii="Tahoma" w:hAnsi="Tahoma" w:cs="Tahoma"/>
                <w:b w:val="0"/>
                <w:sz w:val="14"/>
                <w:szCs w:val="14"/>
              </w:rPr>
            </w:pPr>
            <w:bookmarkStart w:id="559" w:name="_Toc336338138"/>
            <w:bookmarkStart w:id="560" w:name="_Toc352234736"/>
            <w:r w:rsidRPr="003410C7">
              <w:rPr>
                <w:rFonts w:ascii="Tahoma" w:hAnsi="Tahoma" w:cs="Tahoma"/>
                <w:b w:val="0"/>
                <w:sz w:val="14"/>
                <w:szCs w:val="14"/>
              </w:rPr>
              <w:t>Windows MultiPoint Server 2012 Premium con Windows MultiPoint Server 2012 (CAL) (5 Client) con Windows Server 2012 (CAL) (5 Client)</w:t>
            </w:r>
            <w:bookmarkEnd w:id="559"/>
            <w:bookmarkEnd w:id="560"/>
          </w:p>
        </w:tc>
        <w:tc>
          <w:tcPr>
            <w:tcW w:w="450" w:type="dxa"/>
            <w:tcBorders>
              <w:bottom w:val="single" w:sz="4" w:space="0" w:color="auto"/>
            </w:tcBorders>
            <w:shd w:val="clear" w:color="auto" w:fill="F4B083" w:themeFill="accent2" w:themeFillTint="99"/>
            <w:vAlign w:val="center"/>
          </w:tcPr>
          <w:p w:rsidR="001A63C6" w:rsidRPr="009F17FF" w:rsidRDefault="001A63C6" w:rsidP="001A63C6">
            <w:pPr>
              <w:pStyle w:val="TableText"/>
              <w:widowControl w:val="0"/>
              <w:rPr>
                <w:sz w:val="13"/>
                <w:szCs w:val="13"/>
              </w:rPr>
            </w:pPr>
          </w:p>
        </w:tc>
        <w:tc>
          <w:tcPr>
            <w:tcW w:w="450" w:type="dxa"/>
            <w:tcBorders>
              <w:bottom w:val="single" w:sz="4" w:space="0" w:color="auto"/>
            </w:tcBorders>
            <w:shd w:val="clear" w:color="auto" w:fill="F4B083" w:themeFill="accent2" w:themeFillTint="99"/>
            <w:vAlign w:val="center"/>
          </w:tcPr>
          <w:p w:rsidR="001A63C6" w:rsidRPr="003410C7" w:rsidRDefault="001A63C6" w:rsidP="001A63C6">
            <w:pPr>
              <w:pStyle w:val="TableText"/>
              <w:widowControl w:val="0"/>
              <w:spacing w:before="80"/>
              <w:rPr>
                <w:rFonts w:ascii="Tahoma" w:hAnsi="Tahoma" w:cs="Tahoma"/>
                <w:color w:val="000000"/>
                <w:sz w:val="13"/>
              </w:rPr>
            </w:pPr>
            <w:r w:rsidRPr="003410C7">
              <w:rPr>
                <w:rFonts w:ascii="Tahoma" w:hAnsi="Tahoma" w:cs="Tahoma"/>
                <w:color w:val="000000"/>
                <w:sz w:val="13"/>
              </w:rPr>
              <w:t>01/13</w:t>
            </w:r>
          </w:p>
        </w:tc>
        <w:tc>
          <w:tcPr>
            <w:tcW w:w="360" w:type="dxa"/>
            <w:tcBorders>
              <w:bottom w:val="single" w:sz="4" w:space="0" w:color="auto"/>
              <w:right w:val="single" w:sz="18" w:space="0" w:color="auto"/>
            </w:tcBorders>
            <w:shd w:val="clear" w:color="auto" w:fill="F4B083" w:themeFill="accent2" w:themeFillTint="99"/>
            <w:vAlign w:val="center"/>
          </w:tcPr>
          <w:p w:rsidR="001A63C6" w:rsidRPr="003410C7" w:rsidRDefault="001A63C6" w:rsidP="001A63C6">
            <w:pPr>
              <w:pStyle w:val="TableText"/>
              <w:widowControl w:val="0"/>
              <w:rPr>
                <w:rFonts w:ascii="Tahoma" w:hAnsi="Tahoma" w:cs="Tahoma"/>
                <w:color w:val="000000"/>
                <w:sz w:val="13"/>
              </w:rPr>
            </w:pPr>
            <w:r w:rsidRPr="003410C7">
              <w:rPr>
                <w:rFonts w:ascii="Tahoma" w:hAnsi="Tahoma" w:cs="Tahoma"/>
                <w:color w:val="000000"/>
                <w:sz w:val="13"/>
              </w:rPr>
              <w:t>SRV</w:t>
            </w:r>
          </w:p>
        </w:tc>
        <w:tc>
          <w:tcPr>
            <w:tcW w:w="360" w:type="dxa"/>
            <w:tcBorders>
              <w:left w:val="single" w:sz="18" w:space="0" w:color="auto"/>
              <w:bottom w:val="single" w:sz="4" w:space="0" w:color="auto"/>
            </w:tcBorders>
            <w:shd w:val="clear" w:color="auto" w:fill="F4B083" w:themeFill="accent2" w:themeFillTint="99"/>
            <w:vAlign w:val="center"/>
          </w:tcPr>
          <w:p w:rsidR="001A63C6" w:rsidRPr="003410C7" w:rsidRDefault="001A63C6" w:rsidP="001A63C6">
            <w:pPr>
              <w:pStyle w:val="TableText"/>
              <w:widowControl w:val="0"/>
              <w:rPr>
                <w:rFonts w:ascii="Tahoma" w:hAnsi="Tahoma" w:cs="Tahoma"/>
                <w:sz w:val="13"/>
              </w:rPr>
            </w:pPr>
            <w:r w:rsidRPr="003410C7">
              <w:rPr>
                <w:rFonts w:ascii="Tahoma" w:hAnsi="Tahoma" w:cs="Tahoma"/>
                <w:sz w:val="13"/>
              </w:rPr>
              <w:t>25</w:t>
            </w:r>
          </w:p>
        </w:tc>
        <w:tc>
          <w:tcPr>
            <w:tcW w:w="450" w:type="dxa"/>
            <w:tcBorders>
              <w:bottom w:val="single" w:sz="4" w:space="0" w:color="auto"/>
            </w:tcBorders>
            <w:shd w:val="clear" w:color="auto" w:fill="F4B083" w:themeFill="accent2" w:themeFillTint="99"/>
            <w:vAlign w:val="center"/>
          </w:tcPr>
          <w:p w:rsidR="001A63C6" w:rsidRPr="003410C7" w:rsidRDefault="001A63C6" w:rsidP="001A63C6">
            <w:pPr>
              <w:pStyle w:val="TableText"/>
              <w:widowControl w:val="0"/>
              <w:rPr>
                <w:rFonts w:ascii="Tahoma" w:hAnsi="Tahoma" w:cs="Tahoma"/>
                <w:sz w:val="13"/>
              </w:rPr>
            </w:pPr>
            <w:r w:rsidRPr="003410C7">
              <w:rPr>
                <w:rFonts w:ascii="Tahoma" w:hAnsi="Tahoma" w:cs="Tahoma"/>
                <w:sz w:val="13"/>
              </w:rPr>
              <w:t>63</w:t>
            </w:r>
          </w:p>
        </w:tc>
        <w:tc>
          <w:tcPr>
            <w:tcW w:w="450" w:type="dxa"/>
            <w:tcBorders>
              <w:bottom w:val="single" w:sz="4" w:space="0" w:color="auto"/>
            </w:tcBorders>
            <w:shd w:val="clear" w:color="auto" w:fill="F4B083" w:themeFill="accent2" w:themeFillTint="99"/>
            <w:vAlign w:val="center"/>
          </w:tcPr>
          <w:p w:rsidR="001A63C6" w:rsidRPr="003410C7" w:rsidRDefault="001A63C6" w:rsidP="001A63C6">
            <w:pPr>
              <w:pStyle w:val="TableText"/>
              <w:widowControl w:val="0"/>
              <w:rPr>
                <w:rFonts w:ascii="Tahoma" w:hAnsi="Tahoma" w:cs="Tahoma"/>
                <w:sz w:val="13"/>
              </w:rPr>
            </w:pPr>
            <w:r w:rsidRPr="003410C7">
              <w:rPr>
                <w:rFonts w:ascii="Tahoma" w:hAnsi="Tahoma" w:cs="Tahoma"/>
                <w:sz w:val="13"/>
              </w:rPr>
              <w:t>50</w:t>
            </w:r>
          </w:p>
        </w:tc>
        <w:tc>
          <w:tcPr>
            <w:tcW w:w="450" w:type="dxa"/>
            <w:tcBorders>
              <w:bottom w:val="single" w:sz="4" w:space="0" w:color="auto"/>
            </w:tcBorders>
            <w:shd w:val="clear" w:color="auto" w:fill="F4B083" w:themeFill="accent2" w:themeFillTint="99"/>
            <w:vAlign w:val="center"/>
          </w:tcPr>
          <w:p w:rsidR="001A63C6" w:rsidRPr="003410C7" w:rsidRDefault="001A63C6" w:rsidP="001A63C6">
            <w:pPr>
              <w:pStyle w:val="TableText"/>
              <w:widowControl w:val="0"/>
              <w:rPr>
                <w:rFonts w:ascii="Tahoma" w:hAnsi="Tahoma" w:cs="Tahoma"/>
                <w:sz w:val="13"/>
              </w:rPr>
            </w:pPr>
            <w:r w:rsidRPr="003410C7">
              <w:rPr>
                <w:rFonts w:ascii="Tahoma" w:hAnsi="Tahoma" w:cs="Tahoma"/>
                <w:sz w:val="13"/>
              </w:rPr>
              <w:t>38</w:t>
            </w:r>
          </w:p>
        </w:tc>
        <w:tc>
          <w:tcPr>
            <w:tcW w:w="450" w:type="dxa"/>
            <w:tcBorders>
              <w:bottom w:val="single" w:sz="4" w:space="0" w:color="auto"/>
            </w:tcBorders>
            <w:shd w:val="clear" w:color="auto" w:fill="F4B083" w:themeFill="accent2" w:themeFillTint="99"/>
            <w:vAlign w:val="center"/>
          </w:tcPr>
          <w:p w:rsidR="001A63C6" w:rsidRPr="003410C7" w:rsidRDefault="001A63C6" w:rsidP="001A63C6">
            <w:pPr>
              <w:pStyle w:val="TableText"/>
              <w:widowControl w:val="0"/>
              <w:rPr>
                <w:rFonts w:ascii="Tahoma" w:hAnsi="Tahoma" w:cs="Tahoma"/>
                <w:sz w:val="13"/>
              </w:rPr>
            </w:pPr>
            <w:r w:rsidRPr="003410C7">
              <w:rPr>
                <w:rFonts w:ascii="Tahoma" w:hAnsi="Tahoma" w:cs="Tahoma"/>
                <w:sz w:val="13"/>
              </w:rPr>
              <w:t>38</w:t>
            </w:r>
          </w:p>
        </w:tc>
        <w:tc>
          <w:tcPr>
            <w:tcW w:w="450" w:type="dxa"/>
            <w:tcBorders>
              <w:bottom w:val="single" w:sz="4" w:space="0" w:color="auto"/>
            </w:tcBorders>
            <w:shd w:val="clear" w:color="auto" w:fill="F4B083" w:themeFill="accent2" w:themeFillTint="99"/>
            <w:vAlign w:val="center"/>
          </w:tcPr>
          <w:p w:rsidR="001A63C6" w:rsidRPr="003410C7" w:rsidRDefault="001A63C6" w:rsidP="001A63C6">
            <w:pPr>
              <w:pStyle w:val="TableText"/>
              <w:widowControl w:val="0"/>
              <w:rPr>
                <w:rFonts w:ascii="Tahoma" w:hAnsi="Tahoma" w:cs="Tahoma"/>
                <w:sz w:val="13"/>
              </w:rPr>
            </w:pPr>
            <w:r w:rsidRPr="003410C7">
              <w:rPr>
                <w:rFonts w:ascii="Tahoma" w:hAnsi="Tahoma" w:cs="Tahoma"/>
                <w:sz w:val="13"/>
              </w:rPr>
              <w:t>25</w:t>
            </w:r>
          </w:p>
        </w:tc>
        <w:tc>
          <w:tcPr>
            <w:tcW w:w="360" w:type="dxa"/>
            <w:tcBorders>
              <w:bottom w:val="single" w:sz="4" w:space="0" w:color="auto"/>
              <w:right w:val="single" w:sz="18" w:space="0" w:color="auto"/>
            </w:tcBorders>
            <w:shd w:val="clear" w:color="auto" w:fill="F4B083" w:themeFill="accent2" w:themeFillTint="99"/>
            <w:vAlign w:val="center"/>
          </w:tcPr>
          <w:p w:rsidR="001A63C6" w:rsidRPr="003410C7" w:rsidRDefault="001A63C6" w:rsidP="001A63C6">
            <w:pPr>
              <w:pStyle w:val="TableText"/>
              <w:widowControl w:val="0"/>
              <w:rPr>
                <w:rFonts w:ascii="Tahoma" w:hAnsi="Tahoma" w:cs="Tahoma"/>
                <w:sz w:val="13"/>
              </w:rPr>
            </w:pPr>
            <w:r w:rsidRPr="003410C7">
              <w:rPr>
                <w:rFonts w:ascii="Tahoma" w:hAnsi="Tahoma" w:cs="Tahoma"/>
                <w:sz w:val="13"/>
              </w:rPr>
              <w:t>13</w:t>
            </w:r>
          </w:p>
        </w:tc>
        <w:tc>
          <w:tcPr>
            <w:tcW w:w="450" w:type="dxa"/>
            <w:tcBorders>
              <w:left w:val="single" w:sz="18" w:space="0" w:color="auto"/>
              <w:bottom w:val="single" w:sz="4" w:space="0" w:color="auto"/>
            </w:tcBorders>
            <w:shd w:val="clear" w:color="auto" w:fill="F4B083" w:themeFill="accent2" w:themeFillTint="99"/>
            <w:vAlign w:val="center"/>
          </w:tcPr>
          <w:p w:rsidR="001A63C6" w:rsidRPr="003410C7" w:rsidRDefault="001A63C6" w:rsidP="001A63C6">
            <w:pPr>
              <w:pStyle w:val="TableText"/>
              <w:widowControl w:val="0"/>
              <w:rPr>
                <w:rFonts w:ascii="Tahoma" w:hAnsi="Tahoma" w:cs="Tahoma"/>
                <w:sz w:val="13"/>
              </w:rPr>
            </w:pPr>
            <w:r w:rsidRPr="003410C7">
              <w:rPr>
                <w:rFonts w:ascii="Tahoma" w:hAnsi="Tahoma" w:cs="Tahoma"/>
                <w:sz w:val="13"/>
              </w:rPr>
              <w:t>25</w:t>
            </w:r>
          </w:p>
        </w:tc>
        <w:tc>
          <w:tcPr>
            <w:tcW w:w="450" w:type="dxa"/>
            <w:tcBorders>
              <w:bottom w:val="single" w:sz="4" w:space="0" w:color="auto"/>
            </w:tcBorders>
            <w:shd w:val="clear" w:color="auto" w:fill="F4B083" w:themeFill="accent2" w:themeFillTint="99"/>
            <w:vAlign w:val="center"/>
          </w:tcPr>
          <w:p w:rsidR="001A63C6" w:rsidRPr="003410C7" w:rsidRDefault="001A63C6" w:rsidP="001A63C6">
            <w:pPr>
              <w:pStyle w:val="TableText"/>
              <w:widowControl w:val="0"/>
              <w:rPr>
                <w:rFonts w:ascii="Tahoma" w:hAnsi="Tahoma" w:cs="Tahoma"/>
                <w:sz w:val="13"/>
              </w:rPr>
            </w:pPr>
            <w:r w:rsidRPr="003410C7">
              <w:rPr>
                <w:rFonts w:ascii="Tahoma" w:hAnsi="Tahoma" w:cs="Tahoma"/>
                <w:sz w:val="13"/>
              </w:rPr>
              <w:t>50</w:t>
            </w:r>
          </w:p>
        </w:tc>
        <w:tc>
          <w:tcPr>
            <w:tcW w:w="450" w:type="dxa"/>
            <w:tcBorders>
              <w:bottom w:val="single" w:sz="4" w:space="0" w:color="auto"/>
              <w:right w:val="single" w:sz="18" w:space="0" w:color="auto"/>
            </w:tcBorders>
            <w:shd w:val="clear" w:color="auto" w:fill="F4B083" w:themeFill="accent2" w:themeFillTint="99"/>
            <w:vAlign w:val="center"/>
          </w:tcPr>
          <w:p w:rsidR="001A63C6" w:rsidRPr="003410C7" w:rsidRDefault="001A63C6" w:rsidP="001A63C6">
            <w:pPr>
              <w:pStyle w:val="TableText"/>
              <w:widowControl w:val="0"/>
              <w:rPr>
                <w:rFonts w:ascii="Tahoma" w:hAnsi="Tahoma" w:cs="Tahoma"/>
                <w:sz w:val="13"/>
              </w:rPr>
            </w:pPr>
            <w:r w:rsidRPr="003410C7">
              <w:rPr>
                <w:rFonts w:ascii="Tahoma" w:hAnsi="Tahoma" w:cs="Tahoma"/>
                <w:sz w:val="13"/>
              </w:rPr>
              <w:t>25</w:t>
            </w:r>
          </w:p>
        </w:tc>
        <w:tc>
          <w:tcPr>
            <w:tcW w:w="450" w:type="dxa"/>
            <w:tcBorders>
              <w:left w:val="single" w:sz="18" w:space="0" w:color="auto"/>
              <w:bottom w:val="single" w:sz="4" w:space="0" w:color="auto"/>
            </w:tcBorders>
            <w:shd w:val="clear" w:color="auto" w:fill="F4B083" w:themeFill="accent2" w:themeFillTint="99"/>
            <w:vAlign w:val="center"/>
          </w:tcPr>
          <w:p w:rsidR="001A63C6" w:rsidRPr="003410C7" w:rsidRDefault="001A63C6" w:rsidP="001A63C6">
            <w:pPr>
              <w:pStyle w:val="TableText"/>
              <w:widowControl w:val="0"/>
              <w:rPr>
                <w:rFonts w:ascii="Tahoma" w:hAnsi="Tahoma" w:cs="Tahoma"/>
                <w:sz w:val="13"/>
              </w:rPr>
            </w:pPr>
            <w:r w:rsidRPr="003410C7">
              <w:rPr>
                <w:rFonts w:ascii="Tahoma" w:hAnsi="Tahoma" w:cs="Tahoma"/>
                <w:sz w:val="13"/>
              </w:rPr>
              <w:t>25</w:t>
            </w:r>
          </w:p>
        </w:tc>
        <w:tc>
          <w:tcPr>
            <w:tcW w:w="450" w:type="dxa"/>
            <w:tcBorders>
              <w:bottom w:val="single" w:sz="4" w:space="0" w:color="auto"/>
              <w:right w:val="single" w:sz="18" w:space="0" w:color="auto"/>
            </w:tcBorders>
            <w:shd w:val="clear" w:color="auto" w:fill="F4B083" w:themeFill="accent2" w:themeFillTint="99"/>
            <w:vAlign w:val="center"/>
          </w:tcPr>
          <w:p w:rsidR="001A63C6" w:rsidRPr="003410C7"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4B083" w:themeFill="accent2" w:themeFillTint="99"/>
            <w:vAlign w:val="center"/>
          </w:tcPr>
          <w:p w:rsidR="001A63C6" w:rsidRPr="003410C7"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4B083" w:themeFill="accent2" w:themeFillTint="99"/>
          </w:tcPr>
          <w:p w:rsidR="001A63C6" w:rsidRPr="003410C7" w:rsidRDefault="001A63C6" w:rsidP="001A63C6">
            <w:pPr>
              <w:pStyle w:val="TableText"/>
              <w:widowControl w:val="0"/>
              <w:rPr>
                <w:rFonts w:ascii="Tahoma" w:hAnsi="Tahoma" w:cs="Tahoma"/>
                <w:color w:val="000000"/>
                <w:sz w:val="13"/>
              </w:rPr>
            </w:pPr>
            <w:r w:rsidRPr="003410C7">
              <w:rPr>
                <w:rFonts w:ascii="Tahoma" w:hAnsi="Tahoma" w:cs="Tahoma"/>
                <w:sz w:val="13"/>
              </w:rPr>
              <w:t>A</w:t>
            </w:r>
          </w:p>
        </w:tc>
        <w:tc>
          <w:tcPr>
            <w:tcW w:w="540" w:type="dxa"/>
            <w:tcBorders>
              <w:bottom w:val="single" w:sz="4" w:space="0" w:color="auto"/>
            </w:tcBorders>
            <w:shd w:val="clear" w:color="auto" w:fill="F4B083" w:themeFill="accent2" w:themeFillTint="99"/>
            <w:vAlign w:val="center"/>
          </w:tcPr>
          <w:p w:rsidR="001A63C6" w:rsidRPr="003410C7" w:rsidRDefault="001A63C6" w:rsidP="001A63C6">
            <w:pPr>
              <w:pStyle w:val="TableText"/>
              <w:widowControl w:val="0"/>
              <w:rPr>
                <w:rFonts w:ascii="Tahoma" w:hAnsi="Tahoma" w:cs="Tahoma"/>
                <w:color w:val="000000"/>
                <w:sz w:val="13"/>
              </w:rPr>
            </w:pPr>
            <w:r w:rsidRPr="003410C7">
              <w:rPr>
                <w:rFonts w:ascii="Tahoma" w:hAnsi="Tahoma" w:cs="Tahoma"/>
                <w:color w:val="000000"/>
                <w:sz w:val="13"/>
              </w:rPr>
              <w:t>OL/OV</w:t>
            </w:r>
          </w:p>
        </w:tc>
      </w:tr>
      <w:tr w:rsidR="001A63C6" w:rsidRPr="003410C7" w:rsidTr="00502A0C">
        <w:trPr>
          <w:trHeight w:val="145"/>
        </w:trPr>
        <w:tc>
          <w:tcPr>
            <w:tcW w:w="2734" w:type="dxa"/>
            <w:gridSpan w:val="2"/>
            <w:tcBorders>
              <w:bottom w:val="single" w:sz="4" w:space="0" w:color="auto"/>
            </w:tcBorders>
            <w:shd w:val="clear" w:color="auto" w:fill="auto"/>
            <w:vAlign w:val="center"/>
          </w:tcPr>
          <w:p w:rsidR="001A63C6" w:rsidRPr="003410C7" w:rsidRDefault="001A63C6" w:rsidP="001A63C6">
            <w:pPr>
              <w:pStyle w:val="Heading2"/>
              <w:spacing w:before="20" w:after="20"/>
              <w:ind w:left="0"/>
              <w:rPr>
                <w:rFonts w:ascii="Tahoma" w:hAnsi="Tahoma" w:cs="Tahoma"/>
                <w:b w:val="0"/>
                <w:sz w:val="14"/>
                <w:szCs w:val="14"/>
              </w:rPr>
            </w:pPr>
            <w:bookmarkStart w:id="561" w:name="_Toc336338139"/>
            <w:bookmarkStart w:id="562" w:name="_Toc352234737"/>
            <w:r w:rsidRPr="003410C7">
              <w:rPr>
                <w:rFonts w:ascii="Tahoma" w:hAnsi="Tahoma" w:cs="Tahoma"/>
                <w:b w:val="0"/>
                <w:sz w:val="14"/>
                <w:szCs w:val="14"/>
              </w:rPr>
              <w:t>Windows Server™ 2008 R2 HPC Edition</w:t>
            </w:r>
            <w:bookmarkEnd w:id="561"/>
            <w:bookmarkEnd w:id="562"/>
          </w:p>
        </w:tc>
        <w:tc>
          <w:tcPr>
            <w:tcW w:w="450" w:type="dxa"/>
            <w:tcBorders>
              <w:bottom w:val="single" w:sz="4" w:space="0" w:color="auto"/>
            </w:tcBorders>
            <w:shd w:val="clear" w:color="auto" w:fill="auto"/>
            <w:vAlign w:val="center"/>
          </w:tcPr>
          <w:p w:rsidR="001A63C6" w:rsidRPr="009F17FF" w:rsidRDefault="00FC1A4D" w:rsidP="00502A0C">
            <w:pPr>
              <w:pStyle w:val="TableText"/>
              <w:widowControl w:val="0"/>
              <w:spacing w:before="120" w:after="120"/>
              <w:rPr>
                <w:rStyle w:val="EndnoteReference"/>
                <w:rFonts w:cs="Tahoma"/>
                <w:b w:val="0"/>
                <w:color w:val="0000FF"/>
                <w:sz w:val="13"/>
                <w:szCs w:val="13"/>
                <w:u w:val="single"/>
              </w:rPr>
            </w:pPr>
            <w:hyperlink w:anchor="Srv_110WinSvr08R2HPC" w:history="1">
              <w:r w:rsidR="000D77F6" w:rsidRPr="009F17FF">
                <w:rPr>
                  <w:rStyle w:val="Hyperlink"/>
                  <w:b/>
                  <w:sz w:val="13"/>
                  <w:szCs w:val="13"/>
                </w:rPr>
                <w:t>102</w:t>
              </w:r>
            </w:hyperlink>
          </w:p>
        </w:tc>
        <w:tc>
          <w:tcPr>
            <w:tcW w:w="450" w:type="dxa"/>
            <w:tcBorders>
              <w:bottom w:val="single" w:sz="4" w:space="0" w:color="auto"/>
            </w:tcBorders>
            <w:shd w:val="clear" w:color="auto" w:fill="auto"/>
          </w:tcPr>
          <w:p w:rsidR="001A63C6" w:rsidRPr="003410C7" w:rsidRDefault="001A63C6" w:rsidP="001A63C6">
            <w:pPr>
              <w:pStyle w:val="TableText"/>
              <w:widowControl w:val="0"/>
              <w:spacing w:before="120"/>
              <w:rPr>
                <w:rFonts w:ascii="Tahoma" w:hAnsi="Tahoma" w:cs="Tahoma"/>
                <w:color w:val="000000"/>
                <w:sz w:val="13"/>
              </w:rPr>
            </w:pPr>
            <w:r w:rsidRPr="003410C7">
              <w:rPr>
                <w:sz w:val="13"/>
              </w:rPr>
              <w:t>09/10</w:t>
            </w:r>
          </w:p>
        </w:tc>
        <w:tc>
          <w:tcPr>
            <w:tcW w:w="360" w:type="dxa"/>
            <w:tcBorders>
              <w:bottom w:val="single" w:sz="4" w:space="0" w:color="auto"/>
              <w:right w:val="single" w:sz="18" w:space="0" w:color="auto"/>
            </w:tcBorders>
            <w:shd w:val="clear" w:color="auto" w:fill="auto"/>
          </w:tcPr>
          <w:p w:rsidR="001A63C6" w:rsidRPr="003410C7" w:rsidRDefault="001A63C6" w:rsidP="001A63C6">
            <w:pPr>
              <w:pStyle w:val="TableText"/>
              <w:widowControl w:val="0"/>
              <w:spacing w:before="120"/>
              <w:rPr>
                <w:rFonts w:ascii="Tahoma" w:hAnsi="Tahoma" w:cs="Tahoma"/>
                <w:color w:val="000000"/>
                <w:sz w:val="13"/>
              </w:rPr>
            </w:pPr>
            <w:r w:rsidRPr="003410C7">
              <w:t>SRV</w:t>
            </w:r>
          </w:p>
        </w:tc>
        <w:tc>
          <w:tcPr>
            <w:tcW w:w="360" w:type="dxa"/>
            <w:tcBorders>
              <w:left w:val="single" w:sz="18" w:space="0" w:color="auto"/>
              <w:bottom w:val="single" w:sz="4" w:space="0" w:color="auto"/>
            </w:tcBorders>
            <w:shd w:val="clear" w:color="auto" w:fill="auto"/>
          </w:tcPr>
          <w:p w:rsidR="001A63C6" w:rsidRPr="003410C7" w:rsidRDefault="001A63C6" w:rsidP="001A63C6">
            <w:pPr>
              <w:pStyle w:val="TableText"/>
              <w:widowControl w:val="0"/>
              <w:spacing w:before="120"/>
              <w:rPr>
                <w:rFonts w:ascii="Tahoma" w:hAnsi="Tahoma" w:cs="Tahoma"/>
                <w:sz w:val="13"/>
              </w:rPr>
            </w:pPr>
          </w:p>
        </w:tc>
        <w:tc>
          <w:tcPr>
            <w:tcW w:w="450" w:type="dxa"/>
            <w:tcBorders>
              <w:bottom w:val="single" w:sz="4" w:space="0" w:color="auto"/>
            </w:tcBorders>
            <w:shd w:val="clear" w:color="auto" w:fill="auto"/>
          </w:tcPr>
          <w:p w:rsidR="001A63C6" w:rsidRPr="003410C7" w:rsidRDefault="001A63C6" w:rsidP="001A63C6">
            <w:pPr>
              <w:pStyle w:val="TableText"/>
              <w:widowControl w:val="0"/>
              <w:spacing w:before="120"/>
              <w:rPr>
                <w:rFonts w:ascii="Tahoma" w:hAnsi="Tahoma" w:cs="Tahoma"/>
                <w:sz w:val="13"/>
              </w:rPr>
            </w:pPr>
          </w:p>
        </w:tc>
        <w:tc>
          <w:tcPr>
            <w:tcW w:w="450" w:type="dxa"/>
            <w:tcBorders>
              <w:bottom w:val="single" w:sz="4" w:space="0" w:color="auto"/>
            </w:tcBorders>
            <w:shd w:val="clear" w:color="auto" w:fill="auto"/>
          </w:tcPr>
          <w:p w:rsidR="001A63C6" w:rsidRPr="003410C7" w:rsidRDefault="001A63C6" w:rsidP="001A63C6">
            <w:pPr>
              <w:pStyle w:val="TableText"/>
              <w:widowControl w:val="0"/>
              <w:spacing w:before="120"/>
              <w:rPr>
                <w:rFonts w:ascii="Tahoma" w:hAnsi="Tahoma" w:cs="Tahoma"/>
                <w:sz w:val="13"/>
              </w:rPr>
            </w:pPr>
          </w:p>
        </w:tc>
        <w:tc>
          <w:tcPr>
            <w:tcW w:w="450" w:type="dxa"/>
            <w:tcBorders>
              <w:bottom w:val="single" w:sz="4" w:space="0" w:color="auto"/>
            </w:tcBorders>
            <w:shd w:val="clear" w:color="auto" w:fill="auto"/>
          </w:tcPr>
          <w:p w:rsidR="001A63C6" w:rsidRPr="003410C7" w:rsidRDefault="001A63C6" w:rsidP="001A63C6">
            <w:pPr>
              <w:pStyle w:val="TableText"/>
              <w:widowControl w:val="0"/>
              <w:spacing w:before="120"/>
              <w:rPr>
                <w:rFonts w:ascii="Tahoma" w:hAnsi="Tahoma" w:cs="Tahoma"/>
                <w:sz w:val="13"/>
              </w:rPr>
            </w:pPr>
          </w:p>
        </w:tc>
        <w:tc>
          <w:tcPr>
            <w:tcW w:w="450" w:type="dxa"/>
            <w:tcBorders>
              <w:bottom w:val="single" w:sz="4" w:space="0" w:color="auto"/>
            </w:tcBorders>
            <w:shd w:val="clear" w:color="auto" w:fill="auto"/>
          </w:tcPr>
          <w:p w:rsidR="001A63C6" w:rsidRPr="003410C7" w:rsidRDefault="001A63C6" w:rsidP="001A63C6">
            <w:pPr>
              <w:pStyle w:val="TableText"/>
              <w:widowControl w:val="0"/>
              <w:spacing w:before="120"/>
              <w:rPr>
                <w:rFonts w:ascii="Tahoma" w:hAnsi="Tahoma" w:cs="Tahoma"/>
                <w:sz w:val="13"/>
              </w:rPr>
            </w:pPr>
          </w:p>
        </w:tc>
        <w:tc>
          <w:tcPr>
            <w:tcW w:w="450" w:type="dxa"/>
            <w:tcBorders>
              <w:bottom w:val="single" w:sz="4" w:space="0" w:color="auto"/>
            </w:tcBorders>
            <w:shd w:val="clear" w:color="auto" w:fill="auto"/>
          </w:tcPr>
          <w:p w:rsidR="001A63C6" w:rsidRPr="003410C7" w:rsidRDefault="001A63C6" w:rsidP="001A63C6">
            <w:pPr>
              <w:pStyle w:val="TableText"/>
              <w:widowControl w:val="0"/>
              <w:spacing w:before="120"/>
              <w:rPr>
                <w:rFonts w:ascii="Tahoma" w:hAnsi="Tahoma" w:cs="Tahoma"/>
                <w:sz w:val="13"/>
              </w:rPr>
            </w:pPr>
          </w:p>
        </w:tc>
        <w:tc>
          <w:tcPr>
            <w:tcW w:w="360" w:type="dxa"/>
            <w:tcBorders>
              <w:bottom w:val="single" w:sz="4" w:space="0" w:color="auto"/>
              <w:right w:val="single" w:sz="18" w:space="0" w:color="auto"/>
            </w:tcBorders>
            <w:shd w:val="clear" w:color="auto" w:fill="auto"/>
          </w:tcPr>
          <w:p w:rsidR="001A63C6" w:rsidRPr="003410C7" w:rsidRDefault="001A63C6" w:rsidP="001A63C6">
            <w:pPr>
              <w:pStyle w:val="TableText"/>
              <w:widowControl w:val="0"/>
              <w:spacing w:before="120"/>
              <w:rPr>
                <w:rFonts w:ascii="Tahoma" w:hAnsi="Tahoma" w:cs="Tahoma"/>
                <w:sz w:val="13"/>
              </w:rPr>
            </w:pPr>
          </w:p>
        </w:tc>
        <w:tc>
          <w:tcPr>
            <w:tcW w:w="450" w:type="dxa"/>
            <w:tcBorders>
              <w:left w:val="single" w:sz="18" w:space="0" w:color="auto"/>
              <w:bottom w:val="single" w:sz="4" w:space="0" w:color="auto"/>
            </w:tcBorders>
            <w:shd w:val="clear" w:color="auto" w:fill="auto"/>
          </w:tcPr>
          <w:p w:rsidR="001A63C6" w:rsidRPr="003410C7" w:rsidRDefault="001A63C6" w:rsidP="001A63C6">
            <w:pPr>
              <w:pStyle w:val="TableText"/>
              <w:widowControl w:val="0"/>
              <w:spacing w:before="120"/>
              <w:rPr>
                <w:rFonts w:ascii="Tahoma" w:hAnsi="Tahoma" w:cs="Tahoma"/>
                <w:sz w:val="13"/>
              </w:rPr>
            </w:pPr>
          </w:p>
        </w:tc>
        <w:tc>
          <w:tcPr>
            <w:tcW w:w="450" w:type="dxa"/>
            <w:tcBorders>
              <w:bottom w:val="single" w:sz="4" w:space="0" w:color="auto"/>
            </w:tcBorders>
            <w:shd w:val="clear" w:color="auto" w:fill="auto"/>
          </w:tcPr>
          <w:p w:rsidR="001A63C6" w:rsidRPr="003410C7" w:rsidRDefault="001A63C6" w:rsidP="001A63C6">
            <w:pPr>
              <w:pStyle w:val="TableText"/>
              <w:widowControl w:val="0"/>
              <w:spacing w:before="120"/>
              <w:rPr>
                <w:rFonts w:ascii="Tahoma" w:hAnsi="Tahoma" w:cs="Tahoma"/>
                <w:sz w:val="13"/>
              </w:rPr>
            </w:pPr>
          </w:p>
        </w:tc>
        <w:tc>
          <w:tcPr>
            <w:tcW w:w="450" w:type="dxa"/>
            <w:tcBorders>
              <w:bottom w:val="single" w:sz="4" w:space="0" w:color="auto"/>
              <w:right w:val="single" w:sz="18" w:space="0" w:color="auto"/>
            </w:tcBorders>
            <w:shd w:val="clear" w:color="auto" w:fill="auto"/>
          </w:tcPr>
          <w:p w:rsidR="001A63C6" w:rsidRPr="003410C7" w:rsidRDefault="001A63C6" w:rsidP="001A63C6">
            <w:pPr>
              <w:pStyle w:val="TableText"/>
              <w:widowControl w:val="0"/>
              <w:spacing w:before="120"/>
              <w:rPr>
                <w:rFonts w:ascii="Tahoma" w:hAnsi="Tahoma" w:cs="Tahoma"/>
                <w:sz w:val="13"/>
              </w:rPr>
            </w:pPr>
          </w:p>
        </w:tc>
        <w:tc>
          <w:tcPr>
            <w:tcW w:w="450" w:type="dxa"/>
            <w:tcBorders>
              <w:left w:val="single" w:sz="18" w:space="0" w:color="auto"/>
              <w:bottom w:val="single" w:sz="4" w:space="0" w:color="auto"/>
            </w:tcBorders>
            <w:shd w:val="clear" w:color="auto" w:fill="auto"/>
          </w:tcPr>
          <w:p w:rsidR="001A63C6" w:rsidRPr="003410C7" w:rsidRDefault="001A63C6" w:rsidP="001A63C6">
            <w:pPr>
              <w:pStyle w:val="TableText"/>
              <w:widowControl w:val="0"/>
              <w:spacing w:before="120"/>
              <w:rPr>
                <w:rFonts w:ascii="Tahoma" w:hAnsi="Tahoma" w:cs="Tahoma"/>
                <w:sz w:val="13"/>
              </w:rPr>
            </w:pPr>
          </w:p>
        </w:tc>
        <w:tc>
          <w:tcPr>
            <w:tcW w:w="450" w:type="dxa"/>
            <w:tcBorders>
              <w:bottom w:val="single" w:sz="4" w:space="0" w:color="auto"/>
              <w:right w:val="single" w:sz="18" w:space="0" w:color="auto"/>
            </w:tcBorders>
            <w:shd w:val="clear" w:color="auto" w:fill="auto"/>
          </w:tcPr>
          <w:p w:rsidR="001A63C6" w:rsidRPr="003410C7" w:rsidRDefault="001A63C6" w:rsidP="001A63C6">
            <w:pPr>
              <w:pStyle w:val="TableText"/>
              <w:widowControl w:val="0"/>
              <w:spacing w:before="12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auto"/>
          </w:tcPr>
          <w:p w:rsidR="001A63C6" w:rsidRPr="003410C7" w:rsidRDefault="001A63C6" w:rsidP="001A63C6">
            <w:pPr>
              <w:pStyle w:val="TableText"/>
              <w:widowControl w:val="0"/>
              <w:spacing w:before="120"/>
              <w:rPr>
                <w:rFonts w:ascii="Tahoma" w:hAnsi="Tahoma" w:cs="Tahoma"/>
                <w:sz w:val="13"/>
              </w:rPr>
            </w:pPr>
          </w:p>
        </w:tc>
        <w:tc>
          <w:tcPr>
            <w:tcW w:w="450" w:type="dxa"/>
            <w:tcBorders>
              <w:bottom w:val="single" w:sz="4" w:space="0" w:color="auto"/>
            </w:tcBorders>
            <w:shd w:val="clear" w:color="auto" w:fill="auto"/>
          </w:tcPr>
          <w:p w:rsidR="001A63C6" w:rsidRPr="003410C7" w:rsidRDefault="001A63C6" w:rsidP="001A63C6">
            <w:pPr>
              <w:pStyle w:val="TableText"/>
              <w:widowControl w:val="0"/>
              <w:rPr>
                <w:rFonts w:ascii="Tahoma" w:hAnsi="Tahoma" w:cs="Tahoma"/>
                <w:color w:val="000000"/>
                <w:sz w:val="13"/>
              </w:rPr>
            </w:pPr>
          </w:p>
        </w:tc>
        <w:tc>
          <w:tcPr>
            <w:tcW w:w="540" w:type="dxa"/>
            <w:tcBorders>
              <w:bottom w:val="single" w:sz="4" w:space="0" w:color="auto"/>
            </w:tcBorders>
            <w:shd w:val="clear" w:color="auto" w:fill="auto"/>
            <w:vAlign w:val="center"/>
          </w:tcPr>
          <w:p w:rsidR="001A63C6" w:rsidRPr="003410C7" w:rsidRDefault="001A63C6" w:rsidP="001A63C6">
            <w:pPr>
              <w:pStyle w:val="TableText"/>
              <w:widowControl w:val="0"/>
              <w:rPr>
                <w:rFonts w:ascii="Tahoma" w:hAnsi="Tahoma" w:cs="Tahoma"/>
                <w:color w:val="000000"/>
                <w:sz w:val="13"/>
              </w:rPr>
            </w:pPr>
          </w:p>
        </w:tc>
      </w:tr>
      <w:tr w:rsidR="00B33D0E" w:rsidRPr="003410C7" w:rsidTr="006B1F3F">
        <w:trPr>
          <w:trHeight w:val="145"/>
        </w:trPr>
        <w:tc>
          <w:tcPr>
            <w:tcW w:w="2734" w:type="dxa"/>
            <w:gridSpan w:val="2"/>
            <w:tcBorders>
              <w:bottom w:val="single" w:sz="4" w:space="0" w:color="auto"/>
            </w:tcBorders>
            <w:shd w:val="clear" w:color="auto" w:fill="F4B083" w:themeFill="accent2" w:themeFillTint="99"/>
            <w:vAlign w:val="center"/>
          </w:tcPr>
          <w:p w:rsidR="001A63C6" w:rsidRPr="003410C7" w:rsidRDefault="001A63C6" w:rsidP="001A63C6">
            <w:pPr>
              <w:pStyle w:val="Heading2"/>
              <w:spacing w:before="20" w:after="20"/>
              <w:ind w:left="0"/>
              <w:rPr>
                <w:rFonts w:ascii="Tahoma" w:hAnsi="Tahoma" w:cs="Tahoma"/>
                <w:b w:val="0"/>
                <w:sz w:val="14"/>
                <w:szCs w:val="14"/>
              </w:rPr>
            </w:pPr>
            <w:bookmarkStart w:id="563" w:name="_Toc336338140"/>
            <w:bookmarkStart w:id="564" w:name="_Toc352234738"/>
            <w:r w:rsidRPr="003410C7">
              <w:rPr>
                <w:rFonts w:ascii="Tahoma" w:hAnsi="Tahoma" w:cs="Tahoma"/>
                <w:b w:val="0"/>
                <w:sz w:val="14"/>
                <w:szCs w:val="14"/>
              </w:rPr>
              <w:t>Windows Server™ 2008 R2 Enterprise</w:t>
            </w:r>
            <w:bookmarkEnd w:id="563"/>
            <w:bookmarkEnd w:id="564"/>
          </w:p>
        </w:tc>
        <w:tc>
          <w:tcPr>
            <w:tcW w:w="450" w:type="dxa"/>
            <w:tcBorders>
              <w:bottom w:val="single" w:sz="4" w:space="0" w:color="auto"/>
            </w:tcBorders>
            <w:shd w:val="clear" w:color="auto" w:fill="F4B083" w:themeFill="accent2" w:themeFillTint="99"/>
            <w:vAlign w:val="center"/>
          </w:tcPr>
          <w:p w:rsidR="001A63C6" w:rsidRPr="009F17FF" w:rsidRDefault="00FC1A4D" w:rsidP="006615A9">
            <w:pPr>
              <w:pStyle w:val="TableText"/>
              <w:widowControl w:val="0"/>
              <w:rPr>
                <w:rStyle w:val="EndnoteReference"/>
                <w:rFonts w:cs="Tahoma"/>
                <w:b w:val="0"/>
                <w:color w:val="0000FF"/>
                <w:sz w:val="13"/>
                <w:szCs w:val="13"/>
                <w:u w:val="single"/>
              </w:rPr>
            </w:pPr>
            <w:hyperlink w:anchor="_103_Windows_Server" w:history="1">
              <w:r w:rsidR="000D77F6" w:rsidRPr="009F17FF">
                <w:rPr>
                  <w:rStyle w:val="Hyperlink"/>
                  <w:b/>
                  <w:sz w:val="13"/>
                  <w:szCs w:val="13"/>
                </w:rPr>
                <w:t>103</w:t>
              </w:r>
            </w:hyperlink>
          </w:p>
        </w:tc>
        <w:tc>
          <w:tcPr>
            <w:tcW w:w="450" w:type="dxa"/>
            <w:tcBorders>
              <w:bottom w:val="single" w:sz="4" w:space="0" w:color="auto"/>
            </w:tcBorders>
            <w:shd w:val="clear" w:color="auto" w:fill="F4B083" w:themeFill="accent2" w:themeFillTint="99"/>
            <w:vAlign w:val="center"/>
          </w:tcPr>
          <w:p w:rsidR="001A63C6" w:rsidRPr="003410C7" w:rsidRDefault="001A63C6" w:rsidP="001A63C6">
            <w:pPr>
              <w:pStyle w:val="TableText"/>
              <w:widowControl w:val="0"/>
              <w:spacing w:before="80"/>
              <w:rPr>
                <w:rFonts w:ascii="Tahoma" w:hAnsi="Tahoma" w:cs="Tahoma"/>
                <w:color w:val="000000"/>
                <w:sz w:val="13"/>
              </w:rPr>
            </w:pPr>
            <w:r w:rsidRPr="003410C7">
              <w:rPr>
                <w:rFonts w:ascii="Tahoma" w:hAnsi="Tahoma" w:cs="Tahoma"/>
                <w:color w:val="000000"/>
                <w:sz w:val="13"/>
              </w:rPr>
              <w:t>08/09</w:t>
            </w:r>
          </w:p>
        </w:tc>
        <w:tc>
          <w:tcPr>
            <w:tcW w:w="360" w:type="dxa"/>
            <w:tcBorders>
              <w:bottom w:val="single" w:sz="4" w:space="0" w:color="auto"/>
              <w:right w:val="single" w:sz="18" w:space="0" w:color="auto"/>
            </w:tcBorders>
            <w:shd w:val="clear" w:color="auto" w:fill="F4B083" w:themeFill="accent2" w:themeFillTint="99"/>
            <w:vAlign w:val="center"/>
          </w:tcPr>
          <w:p w:rsidR="001A63C6" w:rsidRPr="003410C7" w:rsidRDefault="001A63C6" w:rsidP="001A63C6">
            <w:pPr>
              <w:pStyle w:val="TableText"/>
              <w:widowControl w:val="0"/>
              <w:rPr>
                <w:rFonts w:ascii="Tahoma" w:hAnsi="Tahoma" w:cs="Tahoma"/>
                <w:color w:val="000000"/>
                <w:sz w:val="13"/>
              </w:rPr>
            </w:pPr>
            <w:r w:rsidRPr="003410C7">
              <w:rPr>
                <w:rFonts w:ascii="Tahoma" w:hAnsi="Tahoma" w:cs="Tahoma"/>
                <w:color w:val="000000"/>
                <w:sz w:val="13"/>
              </w:rPr>
              <w:t>SRV</w:t>
            </w:r>
          </w:p>
        </w:tc>
        <w:tc>
          <w:tcPr>
            <w:tcW w:w="360" w:type="dxa"/>
            <w:tcBorders>
              <w:left w:val="single" w:sz="18" w:space="0" w:color="auto"/>
              <w:bottom w:val="single" w:sz="4" w:space="0" w:color="auto"/>
            </w:tcBorders>
            <w:shd w:val="clear" w:color="auto" w:fill="F4B083" w:themeFill="accent2" w:themeFillTint="99"/>
            <w:vAlign w:val="center"/>
          </w:tcPr>
          <w:p w:rsidR="001A63C6" w:rsidRPr="003410C7"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4B083" w:themeFill="accent2" w:themeFillTint="99"/>
            <w:vAlign w:val="center"/>
          </w:tcPr>
          <w:p w:rsidR="001A63C6" w:rsidRPr="003410C7"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4B083" w:themeFill="accent2" w:themeFillTint="99"/>
            <w:vAlign w:val="center"/>
          </w:tcPr>
          <w:p w:rsidR="001A63C6" w:rsidRPr="003410C7"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4B083" w:themeFill="accent2" w:themeFillTint="99"/>
            <w:vAlign w:val="center"/>
          </w:tcPr>
          <w:p w:rsidR="001A63C6" w:rsidRPr="003410C7"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4B083" w:themeFill="accent2" w:themeFillTint="99"/>
            <w:vAlign w:val="center"/>
          </w:tcPr>
          <w:p w:rsidR="001A63C6" w:rsidRPr="003410C7"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4B083" w:themeFill="accent2" w:themeFillTint="99"/>
            <w:vAlign w:val="center"/>
          </w:tcPr>
          <w:p w:rsidR="001A63C6" w:rsidRPr="003410C7" w:rsidRDefault="001A63C6" w:rsidP="001A63C6">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F4B083" w:themeFill="accent2" w:themeFillTint="99"/>
            <w:vAlign w:val="center"/>
          </w:tcPr>
          <w:p w:rsidR="001A63C6" w:rsidRPr="003410C7"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4B083" w:themeFill="accent2" w:themeFillTint="99"/>
            <w:vAlign w:val="center"/>
          </w:tcPr>
          <w:p w:rsidR="001A63C6" w:rsidRPr="003410C7"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4B083" w:themeFill="accent2" w:themeFillTint="99"/>
            <w:vAlign w:val="center"/>
          </w:tcPr>
          <w:p w:rsidR="001A63C6" w:rsidRPr="003410C7"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4B083" w:themeFill="accent2" w:themeFillTint="99"/>
            <w:vAlign w:val="center"/>
          </w:tcPr>
          <w:p w:rsidR="001A63C6" w:rsidRPr="003410C7"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4B083" w:themeFill="accent2" w:themeFillTint="99"/>
            <w:vAlign w:val="center"/>
          </w:tcPr>
          <w:p w:rsidR="001A63C6" w:rsidRPr="003410C7"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4B083" w:themeFill="accent2" w:themeFillTint="99"/>
            <w:vAlign w:val="center"/>
          </w:tcPr>
          <w:p w:rsidR="001A63C6" w:rsidRPr="003410C7"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4B083" w:themeFill="accent2" w:themeFillTint="99"/>
            <w:vAlign w:val="center"/>
          </w:tcPr>
          <w:p w:rsidR="001A63C6" w:rsidRPr="003410C7"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4B083" w:themeFill="accent2" w:themeFillTint="99"/>
          </w:tcPr>
          <w:p w:rsidR="001A63C6" w:rsidRPr="003410C7" w:rsidRDefault="001A63C6" w:rsidP="001A63C6">
            <w:pPr>
              <w:pStyle w:val="TableText"/>
              <w:widowControl w:val="0"/>
              <w:rPr>
                <w:rFonts w:ascii="Tahoma" w:hAnsi="Tahoma" w:cs="Tahoma"/>
                <w:color w:val="000000"/>
                <w:sz w:val="13"/>
              </w:rPr>
            </w:pPr>
          </w:p>
        </w:tc>
        <w:tc>
          <w:tcPr>
            <w:tcW w:w="540" w:type="dxa"/>
            <w:tcBorders>
              <w:bottom w:val="single" w:sz="4" w:space="0" w:color="auto"/>
            </w:tcBorders>
            <w:shd w:val="clear" w:color="auto" w:fill="F4B083" w:themeFill="accent2" w:themeFillTint="99"/>
            <w:vAlign w:val="center"/>
          </w:tcPr>
          <w:p w:rsidR="001A63C6" w:rsidRPr="003410C7" w:rsidRDefault="001A63C6" w:rsidP="001A63C6">
            <w:pPr>
              <w:pStyle w:val="TableText"/>
              <w:widowControl w:val="0"/>
              <w:rPr>
                <w:rFonts w:ascii="Tahoma" w:hAnsi="Tahoma" w:cs="Tahoma"/>
                <w:color w:val="000000"/>
                <w:sz w:val="13"/>
              </w:rPr>
            </w:pPr>
          </w:p>
        </w:tc>
      </w:tr>
      <w:tr w:rsidR="001A63C6" w:rsidRPr="003410C7" w:rsidTr="007E466C">
        <w:trPr>
          <w:trHeight w:val="145"/>
        </w:trPr>
        <w:tc>
          <w:tcPr>
            <w:tcW w:w="2734" w:type="dxa"/>
            <w:gridSpan w:val="2"/>
            <w:tcBorders>
              <w:bottom w:val="single" w:sz="4" w:space="0" w:color="auto"/>
            </w:tcBorders>
            <w:shd w:val="clear" w:color="auto" w:fill="auto"/>
            <w:vAlign w:val="center"/>
          </w:tcPr>
          <w:p w:rsidR="001A63C6" w:rsidRPr="00451078" w:rsidRDefault="001A63C6" w:rsidP="001A63C6">
            <w:pPr>
              <w:pStyle w:val="Heading2"/>
              <w:spacing w:before="20" w:after="20"/>
              <w:ind w:left="0"/>
              <w:rPr>
                <w:rFonts w:ascii="Tahoma" w:hAnsi="Tahoma" w:cs="Tahoma"/>
                <w:b w:val="0"/>
                <w:sz w:val="14"/>
                <w:szCs w:val="14"/>
                <w:lang w:val="it-IT"/>
              </w:rPr>
            </w:pPr>
            <w:bookmarkStart w:id="565" w:name="_Toc336338141"/>
            <w:bookmarkStart w:id="566" w:name="_Toc352234739"/>
            <w:r w:rsidRPr="00451078">
              <w:rPr>
                <w:rFonts w:ascii="Tahoma" w:hAnsi="Tahoma" w:cs="Tahoma"/>
                <w:b w:val="0"/>
                <w:sz w:val="14"/>
                <w:szCs w:val="14"/>
                <w:lang w:val="it-IT"/>
              </w:rPr>
              <w:lastRenderedPageBreak/>
              <w:t>Windows Server™ 2008 R2 per Sistemi Basati su Itanium</w:t>
            </w:r>
            <w:bookmarkEnd w:id="565"/>
            <w:bookmarkEnd w:id="566"/>
          </w:p>
        </w:tc>
        <w:tc>
          <w:tcPr>
            <w:tcW w:w="450" w:type="dxa"/>
            <w:tcBorders>
              <w:bottom w:val="single" w:sz="4" w:space="0" w:color="auto"/>
            </w:tcBorders>
            <w:shd w:val="clear" w:color="auto" w:fill="auto"/>
            <w:vAlign w:val="center"/>
          </w:tcPr>
          <w:p w:rsidR="001A63C6" w:rsidRPr="009F17FF" w:rsidRDefault="00FC1A4D" w:rsidP="006615A9">
            <w:pPr>
              <w:pStyle w:val="TableText"/>
              <w:widowControl w:val="0"/>
              <w:rPr>
                <w:rStyle w:val="EndnoteReference"/>
                <w:b w:val="0"/>
                <w:sz w:val="13"/>
                <w:szCs w:val="13"/>
                <w:u w:val="single"/>
              </w:rPr>
            </w:pPr>
            <w:hyperlink w:anchor="Srv_1132WinSvr08R2Itanium" w:history="1">
              <w:r w:rsidR="000D77F6" w:rsidRPr="009F17FF">
                <w:rPr>
                  <w:rStyle w:val="Hyperlink"/>
                  <w:b/>
                  <w:sz w:val="13"/>
                  <w:szCs w:val="13"/>
                </w:rPr>
                <w:t>104</w:t>
              </w:r>
            </w:hyperlink>
          </w:p>
        </w:tc>
        <w:tc>
          <w:tcPr>
            <w:tcW w:w="450" w:type="dxa"/>
            <w:tcBorders>
              <w:bottom w:val="single" w:sz="4" w:space="0" w:color="auto"/>
            </w:tcBorders>
            <w:shd w:val="clear" w:color="auto" w:fill="auto"/>
            <w:vAlign w:val="center"/>
          </w:tcPr>
          <w:p w:rsidR="001A63C6" w:rsidRPr="003410C7" w:rsidRDefault="001A63C6" w:rsidP="001A63C6">
            <w:pPr>
              <w:pStyle w:val="TableText"/>
              <w:widowControl w:val="0"/>
              <w:spacing w:before="120"/>
              <w:rPr>
                <w:rFonts w:ascii="Tahoma" w:hAnsi="Tahoma" w:cs="Tahoma"/>
                <w:color w:val="000000"/>
                <w:sz w:val="13"/>
              </w:rPr>
            </w:pPr>
            <w:r w:rsidRPr="003410C7">
              <w:rPr>
                <w:rFonts w:ascii="Tahoma" w:hAnsi="Tahoma" w:cs="Tahoma"/>
                <w:color w:val="000000"/>
                <w:sz w:val="13"/>
              </w:rPr>
              <w:t>08/09</w:t>
            </w:r>
          </w:p>
        </w:tc>
        <w:tc>
          <w:tcPr>
            <w:tcW w:w="360" w:type="dxa"/>
            <w:tcBorders>
              <w:bottom w:val="single" w:sz="4" w:space="0" w:color="auto"/>
              <w:right w:val="single" w:sz="18" w:space="0" w:color="auto"/>
            </w:tcBorders>
            <w:shd w:val="clear" w:color="auto" w:fill="auto"/>
            <w:vAlign w:val="center"/>
          </w:tcPr>
          <w:p w:rsidR="001A63C6" w:rsidRPr="003410C7" w:rsidRDefault="001A63C6" w:rsidP="001A63C6">
            <w:pPr>
              <w:pStyle w:val="TableText"/>
              <w:widowControl w:val="0"/>
              <w:rPr>
                <w:rFonts w:ascii="Tahoma" w:hAnsi="Tahoma" w:cs="Tahoma"/>
                <w:color w:val="000000"/>
                <w:sz w:val="13"/>
              </w:rPr>
            </w:pPr>
            <w:r w:rsidRPr="003410C7">
              <w:rPr>
                <w:rFonts w:ascii="Tahoma" w:hAnsi="Tahoma" w:cs="Tahoma"/>
                <w:color w:val="000000"/>
                <w:sz w:val="13"/>
              </w:rPr>
              <w:t>SRV</w:t>
            </w:r>
          </w:p>
        </w:tc>
        <w:tc>
          <w:tcPr>
            <w:tcW w:w="360" w:type="dxa"/>
            <w:tcBorders>
              <w:left w:val="single" w:sz="18" w:space="0" w:color="auto"/>
              <w:bottom w:val="single" w:sz="4" w:space="0" w:color="auto"/>
            </w:tcBorders>
            <w:shd w:val="clear" w:color="auto" w:fill="auto"/>
            <w:vAlign w:val="center"/>
          </w:tcPr>
          <w:p w:rsidR="001A63C6" w:rsidRPr="003410C7"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3410C7"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3410C7"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3410C7"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3410C7"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3410C7" w:rsidRDefault="001A63C6" w:rsidP="001A63C6">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auto"/>
            <w:vAlign w:val="center"/>
          </w:tcPr>
          <w:p w:rsidR="001A63C6" w:rsidRPr="003410C7"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1A63C6" w:rsidRPr="003410C7"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3410C7"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1A63C6" w:rsidRPr="003410C7"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1A63C6" w:rsidRPr="003410C7"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1A63C6" w:rsidRPr="003410C7"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rsidR="001A63C6" w:rsidRPr="003410C7"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tcPr>
          <w:p w:rsidR="001A63C6" w:rsidRPr="003410C7" w:rsidRDefault="001A63C6" w:rsidP="001A63C6">
            <w:pPr>
              <w:pStyle w:val="TableText"/>
              <w:widowControl w:val="0"/>
              <w:rPr>
                <w:rFonts w:ascii="Tahoma" w:hAnsi="Tahoma" w:cs="Tahoma"/>
                <w:color w:val="000000"/>
                <w:sz w:val="13"/>
              </w:rPr>
            </w:pPr>
          </w:p>
        </w:tc>
        <w:tc>
          <w:tcPr>
            <w:tcW w:w="540" w:type="dxa"/>
            <w:tcBorders>
              <w:bottom w:val="single" w:sz="4" w:space="0" w:color="auto"/>
            </w:tcBorders>
            <w:shd w:val="clear" w:color="auto" w:fill="auto"/>
            <w:vAlign w:val="center"/>
          </w:tcPr>
          <w:p w:rsidR="001A63C6" w:rsidRPr="003410C7" w:rsidRDefault="001A63C6" w:rsidP="001A63C6">
            <w:pPr>
              <w:pStyle w:val="TableText"/>
              <w:widowControl w:val="0"/>
              <w:rPr>
                <w:rFonts w:ascii="Tahoma" w:hAnsi="Tahoma" w:cs="Tahoma"/>
                <w:color w:val="000000"/>
                <w:sz w:val="13"/>
              </w:rPr>
            </w:pPr>
          </w:p>
        </w:tc>
      </w:tr>
      <w:tr w:rsidR="00B33D0E" w:rsidRPr="003410C7" w:rsidTr="006B1F3F">
        <w:trPr>
          <w:trHeight w:val="145"/>
        </w:trPr>
        <w:tc>
          <w:tcPr>
            <w:tcW w:w="2734" w:type="dxa"/>
            <w:gridSpan w:val="2"/>
            <w:tcBorders>
              <w:bottom w:val="single" w:sz="4" w:space="0" w:color="auto"/>
            </w:tcBorders>
            <w:shd w:val="clear" w:color="auto" w:fill="F4B083" w:themeFill="accent2" w:themeFillTint="99"/>
            <w:vAlign w:val="center"/>
          </w:tcPr>
          <w:p w:rsidR="001A63C6" w:rsidRPr="003410C7" w:rsidRDefault="001A63C6" w:rsidP="001A63C6">
            <w:pPr>
              <w:pStyle w:val="Heading2"/>
              <w:spacing w:before="20" w:after="20"/>
              <w:ind w:left="0"/>
              <w:rPr>
                <w:rFonts w:ascii="Tahoma" w:hAnsi="Tahoma" w:cs="Tahoma"/>
                <w:b w:val="0"/>
                <w:sz w:val="14"/>
                <w:szCs w:val="14"/>
              </w:rPr>
            </w:pPr>
            <w:bookmarkStart w:id="567" w:name="_Toc336338142"/>
            <w:bookmarkStart w:id="568" w:name="_Toc352234740"/>
            <w:r w:rsidRPr="003410C7">
              <w:rPr>
                <w:rFonts w:ascii="Tahoma" w:hAnsi="Tahoma" w:cs="Tahoma"/>
                <w:b w:val="0"/>
                <w:sz w:val="14"/>
                <w:szCs w:val="14"/>
              </w:rPr>
              <w:t>CAL per Windows Server™ 2012 (Dispositivo e Utente)</w:t>
            </w:r>
            <w:bookmarkEnd w:id="567"/>
            <w:bookmarkEnd w:id="568"/>
          </w:p>
        </w:tc>
        <w:tc>
          <w:tcPr>
            <w:tcW w:w="450" w:type="dxa"/>
            <w:tcBorders>
              <w:bottom w:val="single" w:sz="4" w:space="0" w:color="auto"/>
            </w:tcBorders>
            <w:shd w:val="clear" w:color="auto" w:fill="F4B083" w:themeFill="accent2" w:themeFillTint="99"/>
            <w:vAlign w:val="center"/>
          </w:tcPr>
          <w:p w:rsidR="001A63C6" w:rsidRPr="009F17FF" w:rsidRDefault="00FC1A4D" w:rsidP="006615A9">
            <w:pPr>
              <w:pStyle w:val="TableText"/>
              <w:widowControl w:val="0"/>
              <w:rPr>
                <w:b/>
                <w:sz w:val="13"/>
                <w:szCs w:val="13"/>
                <w:u w:val="single"/>
              </w:rPr>
            </w:pPr>
            <w:hyperlink w:anchor="_116_Windows_Server" w:history="1">
              <w:r w:rsidR="000D77F6" w:rsidRPr="009F17FF">
                <w:rPr>
                  <w:rStyle w:val="Hyperlink"/>
                  <w:b/>
                  <w:sz w:val="13"/>
                  <w:szCs w:val="13"/>
                </w:rPr>
                <w:t>10</w:t>
              </w:r>
            </w:hyperlink>
            <w:r w:rsidR="000D77F6" w:rsidRPr="009F17FF">
              <w:rPr>
                <w:rStyle w:val="Hyperlink"/>
                <w:b/>
                <w:sz w:val="13"/>
                <w:szCs w:val="13"/>
              </w:rPr>
              <w:t>5</w:t>
            </w:r>
          </w:p>
        </w:tc>
        <w:tc>
          <w:tcPr>
            <w:tcW w:w="450" w:type="dxa"/>
            <w:tcBorders>
              <w:bottom w:val="single" w:sz="4" w:space="0" w:color="auto"/>
            </w:tcBorders>
            <w:shd w:val="clear" w:color="auto" w:fill="F4B083" w:themeFill="accent2" w:themeFillTint="99"/>
            <w:vAlign w:val="center"/>
          </w:tcPr>
          <w:p w:rsidR="001A63C6" w:rsidRPr="003410C7" w:rsidRDefault="001A63C6" w:rsidP="001A63C6">
            <w:pPr>
              <w:pStyle w:val="TableText"/>
              <w:widowControl w:val="0"/>
              <w:spacing w:before="120"/>
              <w:rPr>
                <w:rFonts w:ascii="Tahoma" w:hAnsi="Tahoma" w:cs="Tahoma"/>
                <w:color w:val="000000"/>
                <w:sz w:val="13"/>
              </w:rPr>
            </w:pPr>
            <w:r w:rsidRPr="003410C7">
              <w:rPr>
                <w:rFonts w:ascii="Tahoma" w:hAnsi="Tahoma" w:cs="Tahoma"/>
                <w:color w:val="000000"/>
                <w:sz w:val="13"/>
              </w:rPr>
              <w:t>09/12</w:t>
            </w:r>
          </w:p>
        </w:tc>
        <w:tc>
          <w:tcPr>
            <w:tcW w:w="360" w:type="dxa"/>
            <w:tcBorders>
              <w:bottom w:val="single" w:sz="4" w:space="0" w:color="auto"/>
              <w:right w:val="single" w:sz="18" w:space="0" w:color="auto"/>
            </w:tcBorders>
            <w:shd w:val="clear" w:color="auto" w:fill="F4B083" w:themeFill="accent2" w:themeFillTint="99"/>
            <w:vAlign w:val="center"/>
          </w:tcPr>
          <w:p w:rsidR="001A63C6" w:rsidRPr="003410C7" w:rsidRDefault="001A63C6" w:rsidP="001A63C6">
            <w:pPr>
              <w:pStyle w:val="TableText"/>
              <w:widowControl w:val="0"/>
              <w:rPr>
                <w:rFonts w:ascii="Tahoma" w:hAnsi="Tahoma" w:cs="Tahoma"/>
                <w:color w:val="000000"/>
                <w:sz w:val="13"/>
              </w:rPr>
            </w:pPr>
            <w:r w:rsidRPr="003410C7">
              <w:rPr>
                <w:rFonts w:ascii="Tahoma" w:hAnsi="Tahoma" w:cs="Tahoma"/>
                <w:color w:val="000000"/>
                <w:sz w:val="13"/>
              </w:rPr>
              <w:t>SRV</w:t>
            </w:r>
          </w:p>
        </w:tc>
        <w:tc>
          <w:tcPr>
            <w:tcW w:w="360" w:type="dxa"/>
            <w:tcBorders>
              <w:left w:val="single" w:sz="18" w:space="0" w:color="auto"/>
              <w:bottom w:val="single" w:sz="4" w:space="0" w:color="auto"/>
            </w:tcBorders>
            <w:shd w:val="clear" w:color="auto" w:fill="F4B083" w:themeFill="accent2" w:themeFillTint="99"/>
            <w:vAlign w:val="center"/>
          </w:tcPr>
          <w:p w:rsidR="001A63C6" w:rsidRPr="003410C7" w:rsidRDefault="001A63C6" w:rsidP="001A63C6">
            <w:pPr>
              <w:pStyle w:val="TableText"/>
              <w:widowControl w:val="0"/>
              <w:rPr>
                <w:rFonts w:ascii="Tahoma" w:hAnsi="Tahoma" w:cs="Tahoma"/>
                <w:sz w:val="13"/>
              </w:rPr>
            </w:pPr>
            <w:r w:rsidRPr="003410C7">
              <w:rPr>
                <w:rFonts w:ascii="Tahoma" w:hAnsi="Tahoma" w:cs="Tahoma"/>
                <w:sz w:val="13"/>
              </w:rPr>
              <w:t>1</w:t>
            </w:r>
          </w:p>
        </w:tc>
        <w:tc>
          <w:tcPr>
            <w:tcW w:w="450" w:type="dxa"/>
            <w:tcBorders>
              <w:bottom w:val="single" w:sz="4" w:space="0" w:color="auto"/>
            </w:tcBorders>
            <w:shd w:val="clear" w:color="auto" w:fill="F4B083" w:themeFill="accent2" w:themeFillTint="99"/>
            <w:vAlign w:val="center"/>
          </w:tcPr>
          <w:p w:rsidR="001A63C6" w:rsidRPr="003410C7" w:rsidRDefault="001A63C6" w:rsidP="001A63C6">
            <w:pPr>
              <w:pStyle w:val="TableText"/>
              <w:widowControl w:val="0"/>
              <w:rPr>
                <w:rFonts w:ascii="Tahoma" w:hAnsi="Tahoma" w:cs="Tahoma"/>
                <w:sz w:val="13"/>
              </w:rPr>
            </w:pPr>
            <w:r w:rsidRPr="003410C7">
              <w:rPr>
                <w:rFonts w:ascii="Tahoma" w:hAnsi="Tahoma" w:cs="Tahoma"/>
                <w:sz w:val="13"/>
              </w:rPr>
              <w:t>3</w:t>
            </w:r>
          </w:p>
        </w:tc>
        <w:tc>
          <w:tcPr>
            <w:tcW w:w="450" w:type="dxa"/>
            <w:tcBorders>
              <w:bottom w:val="single" w:sz="4" w:space="0" w:color="auto"/>
            </w:tcBorders>
            <w:shd w:val="clear" w:color="auto" w:fill="F4B083" w:themeFill="accent2" w:themeFillTint="99"/>
            <w:vAlign w:val="center"/>
          </w:tcPr>
          <w:p w:rsidR="001A63C6" w:rsidRPr="003410C7" w:rsidRDefault="001A63C6" w:rsidP="001A63C6">
            <w:pPr>
              <w:pStyle w:val="TableText"/>
              <w:widowControl w:val="0"/>
              <w:rPr>
                <w:rFonts w:ascii="Tahoma" w:hAnsi="Tahoma" w:cs="Tahoma"/>
                <w:sz w:val="13"/>
              </w:rPr>
            </w:pPr>
            <w:r w:rsidRPr="003410C7">
              <w:rPr>
                <w:rFonts w:ascii="Tahoma" w:hAnsi="Tahoma" w:cs="Tahoma"/>
                <w:sz w:val="13"/>
              </w:rPr>
              <w:t>2</w:t>
            </w:r>
          </w:p>
        </w:tc>
        <w:tc>
          <w:tcPr>
            <w:tcW w:w="450" w:type="dxa"/>
            <w:tcBorders>
              <w:bottom w:val="single" w:sz="4" w:space="0" w:color="auto"/>
            </w:tcBorders>
            <w:shd w:val="clear" w:color="auto" w:fill="F4B083" w:themeFill="accent2" w:themeFillTint="99"/>
            <w:vAlign w:val="center"/>
          </w:tcPr>
          <w:p w:rsidR="001A63C6" w:rsidRPr="003410C7" w:rsidRDefault="001A63C6" w:rsidP="001A63C6">
            <w:pPr>
              <w:pStyle w:val="TableText"/>
              <w:widowControl w:val="0"/>
              <w:rPr>
                <w:rFonts w:ascii="Tahoma" w:hAnsi="Tahoma" w:cs="Tahoma"/>
                <w:sz w:val="13"/>
              </w:rPr>
            </w:pPr>
            <w:r w:rsidRPr="003410C7">
              <w:rPr>
                <w:rFonts w:ascii="Tahoma" w:hAnsi="Tahoma" w:cs="Tahoma"/>
                <w:sz w:val="13"/>
              </w:rPr>
              <w:t>2</w:t>
            </w:r>
          </w:p>
        </w:tc>
        <w:tc>
          <w:tcPr>
            <w:tcW w:w="450" w:type="dxa"/>
            <w:tcBorders>
              <w:bottom w:val="single" w:sz="4" w:space="0" w:color="auto"/>
            </w:tcBorders>
            <w:shd w:val="clear" w:color="auto" w:fill="F4B083" w:themeFill="accent2" w:themeFillTint="99"/>
            <w:vAlign w:val="center"/>
          </w:tcPr>
          <w:p w:rsidR="001A63C6" w:rsidRPr="003410C7" w:rsidRDefault="001A63C6" w:rsidP="001A63C6">
            <w:pPr>
              <w:pStyle w:val="TableText"/>
              <w:widowControl w:val="0"/>
              <w:rPr>
                <w:rFonts w:ascii="Tahoma" w:hAnsi="Tahoma" w:cs="Tahoma"/>
                <w:sz w:val="13"/>
              </w:rPr>
            </w:pPr>
            <w:r w:rsidRPr="003410C7">
              <w:rPr>
                <w:rFonts w:ascii="Tahoma" w:hAnsi="Tahoma" w:cs="Tahoma"/>
                <w:sz w:val="13"/>
              </w:rPr>
              <w:t>2</w:t>
            </w:r>
          </w:p>
        </w:tc>
        <w:tc>
          <w:tcPr>
            <w:tcW w:w="450" w:type="dxa"/>
            <w:tcBorders>
              <w:bottom w:val="single" w:sz="4" w:space="0" w:color="auto"/>
            </w:tcBorders>
            <w:shd w:val="clear" w:color="auto" w:fill="F4B083" w:themeFill="accent2" w:themeFillTint="99"/>
            <w:vAlign w:val="center"/>
          </w:tcPr>
          <w:p w:rsidR="001A63C6" w:rsidRPr="003410C7" w:rsidRDefault="001A63C6" w:rsidP="001A63C6">
            <w:pPr>
              <w:pStyle w:val="TableText"/>
              <w:widowControl w:val="0"/>
              <w:rPr>
                <w:rFonts w:ascii="Tahoma" w:hAnsi="Tahoma" w:cs="Tahoma"/>
                <w:sz w:val="13"/>
              </w:rPr>
            </w:pPr>
            <w:r w:rsidRPr="003410C7">
              <w:rPr>
                <w:rFonts w:ascii="Tahoma" w:hAnsi="Tahoma" w:cs="Tahoma"/>
                <w:sz w:val="13"/>
              </w:rPr>
              <w:t>1</w:t>
            </w:r>
          </w:p>
        </w:tc>
        <w:tc>
          <w:tcPr>
            <w:tcW w:w="360" w:type="dxa"/>
            <w:tcBorders>
              <w:bottom w:val="single" w:sz="4" w:space="0" w:color="auto"/>
              <w:right w:val="single" w:sz="18" w:space="0" w:color="auto"/>
            </w:tcBorders>
            <w:shd w:val="clear" w:color="auto" w:fill="F4B083" w:themeFill="accent2" w:themeFillTint="99"/>
            <w:vAlign w:val="center"/>
          </w:tcPr>
          <w:p w:rsidR="001A63C6" w:rsidRPr="003410C7" w:rsidRDefault="001A63C6" w:rsidP="001A63C6">
            <w:pPr>
              <w:pStyle w:val="TableText"/>
              <w:widowControl w:val="0"/>
              <w:rPr>
                <w:rFonts w:ascii="Tahoma" w:hAnsi="Tahoma" w:cs="Tahoma"/>
                <w:sz w:val="13"/>
              </w:rPr>
            </w:pPr>
            <w:r w:rsidRPr="003410C7">
              <w:rPr>
                <w:rFonts w:ascii="Tahoma" w:hAnsi="Tahoma" w:cs="Tahoma"/>
                <w:sz w:val="13"/>
              </w:rPr>
              <w:t>1</w:t>
            </w:r>
          </w:p>
        </w:tc>
        <w:tc>
          <w:tcPr>
            <w:tcW w:w="450" w:type="dxa"/>
            <w:tcBorders>
              <w:left w:val="single" w:sz="18" w:space="0" w:color="auto"/>
              <w:bottom w:val="single" w:sz="4" w:space="0" w:color="auto"/>
            </w:tcBorders>
            <w:shd w:val="clear" w:color="auto" w:fill="F4B083" w:themeFill="accent2" w:themeFillTint="99"/>
            <w:vAlign w:val="center"/>
          </w:tcPr>
          <w:p w:rsidR="001A63C6" w:rsidRPr="003410C7" w:rsidRDefault="001A63C6" w:rsidP="001A63C6">
            <w:pPr>
              <w:pStyle w:val="TableText"/>
              <w:widowControl w:val="0"/>
              <w:rPr>
                <w:rFonts w:ascii="Tahoma" w:hAnsi="Tahoma" w:cs="Tahoma"/>
                <w:sz w:val="13"/>
              </w:rPr>
            </w:pPr>
            <w:r w:rsidRPr="003410C7">
              <w:rPr>
                <w:rFonts w:ascii="Tahoma" w:hAnsi="Tahoma" w:cs="Tahoma"/>
                <w:sz w:val="13"/>
              </w:rPr>
              <w:t>1</w:t>
            </w:r>
          </w:p>
        </w:tc>
        <w:tc>
          <w:tcPr>
            <w:tcW w:w="450" w:type="dxa"/>
            <w:tcBorders>
              <w:bottom w:val="single" w:sz="4" w:space="0" w:color="auto"/>
            </w:tcBorders>
            <w:shd w:val="clear" w:color="auto" w:fill="F4B083" w:themeFill="accent2" w:themeFillTint="99"/>
            <w:vAlign w:val="center"/>
          </w:tcPr>
          <w:p w:rsidR="001A63C6" w:rsidRPr="003410C7" w:rsidRDefault="001A63C6" w:rsidP="001A63C6">
            <w:pPr>
              <w:pStyle w:val="TableText"/>
              <w:widowControl w:val="0"/>
              <w:rPr>
                <w:rFonts w:ascii="Tahoma" w:hAnsi="Tahoma" w:cs="Tahoma"/>
                <w:sz w:val="13"/>
              </w:rPr>
            </w:pPr>
            <w:r w:rsidRPr="003410C7">
              <w:rPr>
                <w:rFonts w:ascii="Tahoma" w:hAnsi="Tahoma" w:cs="Tahoma"/>
                <w:sz w:val="13"/>
              </w:rPr>
              <w:t>2</w:t>
            </w:r>
          </w:p>
        </w:tc>
        <w:tc>
          <w:tcPr>
            <w:tcW w:w="450" w:type="dxa"/>
            <w:tcBorders>
              <w:bottom w:val="single" w:sz="4" w:space="0" w:color="auto"/>
              <w:right w:val="single" w:sz="18" w:space="0" w:color="auto"/>
            </w:tcBorders>
            <w:shd w:val="clear" w:color="auto" w:fill="F4B083" w:themeFill="accent2" w:themeFillTint="99"/>
            <w:vAlign w:val="center"/>
          </w:tcPr>
          <w:p w:rsidR="001A63C6" w:rsidRPr="003410C7" w:rsidRDefault="001A63C6" w:rsidP="001A63C6">
            <w:pPr>
              <w:pStyle w:val="TableText"/>
              <w:widowControl w:val="0"/>
              <w:rPr>
                <w:rFonts w:ascii="Tahoma" w:hAnsi="Tahoma" w:cs="Tahoma"/>
                <w:sz w:val="13"/>
              </w:rPr>
            </w:pPr>
            <w:r w:rsidRPr="003410C7">
              <w:rPr>
                <w:rFonts w:ascii="Tahoma" w:hAnsi="Tahoma" w:cs="Tahoma"/>
                <w:sz w:val="13"/>
              </w:rPr>
              <w:t>1</w:t>
            </w:r>
          </w:p>
        </w:tc>
        <w:tc>
          <w:tcPr>
            <w:tcW w:w="450" w:type="dxa"/>
            <w:tcBorders>
              <w:left w:val="single" w:sz="18" w:space="0" w:color="auto"/>
              <w:bottom w:val="single" w:sz="4" w:space="0" w:color="auto"/>
            </w:tcBorders>
            <w:shd w:val="clear" w:color="auto" w:fill="F4B083" w:themeFill="accent2" w:themeFillTint="99"/>
            <w:vAlign w:val="center"/>
          </w:tcPr>
          <w:p w:rsidR="001A63C6" w:rsidRPr="003410C7" w:rsidRDefault="001A63C6" w:rsidP="001A63C6">
            <w:pPr>
              <w:pStyle w:val="TableText"/>
              <w:widowControl w:val="0"/>
              <w:rPr>
                <w:rFonts w:ascii="Tahoma" w:hAnsi="Tahoma" w:cs="Tahoma"/>
                <w:sz w:val="13"/>
              </w:rPr>
            </w:pPr>
            <w:r w:rsidRPr="003410C7">
              <w:rPr>
                <w:rFonts w:ascii="Tahoma" w:hAnsi="Tahoma" w:cs="Tahoma"/>
                <w:sz w:val="13"/>
              </w:rPr>
              <w:t>1</w:t>
            </w:r>
          </w:p>
        </w:tc>
        <w:tc>
          <w:tcPr>
            <w:tcW w:w="450" w:type="dxa"/>
            <w:tcBorders>
              <w:bottom w:val="single" w:sz="4" w:space="0" w:color="auto"/>
              <w:right w:val="single" w:sz="18" w:space="0" w:color="auto"/>
            </w:tcBorders>
            <w:shd w:val="clear" w:color="auto" w:fill="F4B083" w:themeFill="accent2" w:themeFillTint="99"/>
            <w:vAlign w:val="center"/>
          </w:tcPr>
          <w:p w:rsidR="001A63C6" w:rsidRPr="003410C7" w:rsidRDefault="001A63C6" w:rsidP="001A63C6">
            <w:pPr>
              <w:pStyle w:val="TableText"/>
              <w:widowControl w:val="0"/>
              <w:rPr>
                <w:rFonts w:ascii="Tahoma" w:hAnsi="Tahoma" w:cs="Tahoma"/>
                <w:sz w:val="13"/>
              </w:rPr>
            </w:pPr>
            <w:r w:rsidRPr="003410C7">
              <w:rPr>
                <w:rFonts w:ascii="Tahoma" w:hAnsi="Tahoma" w:cs="Tahoma"/>
                <w:sz w:val="13"/>
              </w:rPr>
              <w:t>D</w:t>
            </w:r>
          </w:p>
        </w:tc>
        <w:tc>
          <w:tcPr>
            <w:tcW w:w="450" w:type="dxa"/>
            <w:tcBorders>
              <w:left w:val="single" w:sz="18" w:space="0" w:color="auto"/>
              <w:bottom w:val="single" w:sz="4" w:space="0" w:color="auto"/>
              <w:right w:val="single" w:sz="18" w:space="0" w:color="auto"/>
            </w:tcBorders>
            <w:shd w:val="clear" w:color="auto" w:fill="F4B083" w:themeFill="accent2" w:themeFillTint="99"/>
            <w:vAlign w:val="center"/>
          </w:tcPr>
          <w:p w:rsidR="001A63C6" w:rsidRPr="003410C7" w:rsidRDefault="001A63C6" w:rsidP="001A63C6">
            <w:pPr>
              <w:pStyle w:val="TableText"/>
              <w:widowControl w:val="0"/>
              <w:rPr>
                <w:rFonts w:ascii="Tahoma" w:hAnsi="Tahoma" w:cs="Tahoma"/>
                <w:sz w:val="13"/>
              </w:rPr>
            </w:pPr>
            <w:r w:rsidRPr="003410C7">
              <w:rPr>
                <w:rFonts w:ascii="Tahoma" w:hAnsi="Tahoma" w:cs="Tahoma"/>
                <w:sz w:val="13"/>
              </w:rPr>
              <w:t>P</w:t>
            </w:r>
          </w:p>
        </w:tc>
        <w:tc>
          <w:tcPr>
            <w:tcW w:w="450" w:type="dxa"/>
            <w:tcBorders>
              <w:bottom w:val="single" w:sz="4" w:space="0" w:color="auto"/>
            </w:tcBorders>
            <w:shd w:val="clear" w:color="auto" w:fill="F4B083" w:themeFill="accent2" w:themeFillTint="99"/>
          </w:tcPr>
          <w:p w:rsidR="001A63C6" w:rsidRPr="003410C7" w:rsidRDefault="001A63C6" w:rsidP="001A63C6">
            <w:pPr>
              <w:pStyle w:val="TableText"/>
              <w:widowControl w:val="0"/>
              <w:rPr>
                <w:rFonts w:ascii="Tahoma" w:hAnsi="Tahoma" w:cs="Tahoma"/>
                <w:sz w:val="13"/>
              </w:rPr>
            </w:pPr>
            <w:r w:rsidRPr="003410C7">
              <w:rPr>
                <w:rFonts w:ascii="Tahoma" w:hAnsi="Tahoma" w:cs="Tahoma"/>
                <w:sz w:val="13"/>
              </w:rPr>
              <w:t>A, ST</w:t>
            </w:r>
          </w:p>
        </w:tc>
        <w:tc>
          <w:tcPr>
            <w:tcW w:w="540" w:type="dxa"/>
            <w:tcBorders>
              <w:bottom w:val="single" w:sz="4" w:space="0" w:color="auto"/>
            </w:tcBorders>
            <w:shd w:val="clear" w:color="auto" w:fill="F4B083" w:themeFill="accent2" w:themeFillTint="99"/>
            <w:vAlign w:val="center"/>
          </w:tcPr>
          <w:p w:rsidR="001A63C6" w:rsidRPr="003410C7" w:rsidRDefault="001A63C6" w:rsidP="001A63C6">
            <w:pPr>
              <w:pStyle w:val="TableText"/>
              <w:widowControl w:val="0"/>
              <w:rPr>
                <w:rFonts w:ascii="Tahoma" w:hAnsi="Tahoma" w:cs="Tahoma"/>
                <w:color w:val="000000"/>
                <w:sz w:val="13"/>
              </w:rPr>
            </w:pPr>
          </w:p>
        </w:tc>
      </w:tr>
      <w:tr w:rsidR="001A63C6" w:rsidRPr="003410C7" w:rsidTr="007E466C">
        <w:trPr>
          <w:trHeight w:val="145"/>
        </w:trPr>
        <w:tc>
          <w:tcPr>
            <w:tcW w:w="2734" w:type="dxa"/>
            <w:gridSpan w:val="2"/>
            <w:tcBorders>
              <w:bottom w:val="single" w:sz="4" w:space="0" w:color="auto"/>
            </w:tcBorders>
            <w:shd w:val="clear" w:color="auto" w:fill="auto"/>
            <w:vAlign w:val="center"/>
          </w:tcPr>
          <w:p w:rsidR="001A63C6" w:rsidRPr="003410C7" w:rsidRDefault="001A63C6" w:rsidP="001A63C6">
            <w:pPr>
              <w:pStyle w:val="Heading2"/>
              <w:spacing w:before="20" w:after="20"/>
              <w:ind w:left="0"/>
              <w:rPr>
                <w:rFonts w:ascii="Tahoma" w:hAnsi="Tahoma" w:cs="Tahoma"/>
                <w:b w:val="0"/>
                <w:sz w:val="14"/>
                <w:szCs w:val="14"/>
              </w:rPr>
            </w:pPr>
            <w:bookmarkStart w:id="569" w:name="_Toc336338143"/>
            <w:bookmarkStart w:id="570" w:name="_Toc352234741"/>
            <w:r w:rsidRPr="003410C7">
              <w:rPr>
                <w:rFonts w:ascii="Tahoma" w:hAnsi="Tahoma" w:cs="Tahoma"/>
                <w:b w:val="0"/>
                <w:sz w:val="14"/>
                <w:szCs w:val="14"/>
              </w:rPr>
              <w:t>Windows Server™ 2012 Datacenter</w:t>
            </w:r>
            <w:bookmarkEnd w:id="569"/>
            <w:bookmarkEnd w:id="570"/>
          </w:p>
        </w:tc>
        <w:tc>
          <w:tcPr>
            <w:tcW w:w="450" w:type="dxa"/>
            <w:tcBorders>
              <w:bottom w:val="single" w:sz="4" w:space="0" w:color="auto"/>
            </w:tcBorders>
            <w:shd w:val="clear" w:color="auto" w:fill="auto"/>
            <w:vAlign w:val="center"/>
          </w:tcPr>
          <w:p w:rsidR="001A63C6" w:rsidRPr="009F17FF" w:rsidRDefault="00FC1A4D" w:rsidP="006615A9">
            <w:pPr>
              <w:pStyle w:val="TableText"/>
              <w:widowControl w:val="0"/>
              <w:rPr>
                <w:rStyle w:val="EndnoteReference"/>
                <w:b w:val="0"/>
                <w:color w:val="0070C0"/>
                <w:sz w:val="13"/>
                <w:szCs w:val="13"/>
                <w:u w:val="single"/>
              </w:rPr>
            </w:pPr>
            <w:hyperlink w:anchor="_114_Windows_Server" w:history="1">
              <w:r w:rsidR="000D77F6" w:rsidRPr="009F17FF">
                <w:rPr>
                  <w:rStyle w:val="Hyperlink"/>
                  <w:b/>
                  <w:sz w:val="13"/>
                  <w:szCs w:val="13"/>
                </w:rPr>
                <w:t>10</w:t>
              </w:r>
            </w:hyperlink>
            <w:r w:rsidR="000D77F6" w:rsidRPr="009F17FF">
              <w:rPr>
                <w:rStyle w:val="Hyperlink"/>
                <w:b/>
                <w:sz w:val="13"/>
                <w:szCs w:val="13"/>
              </w:rPr>
              <w:t>6</w:t>
            </w:r>
          </w:p>
        </w:tc>
        <w:tc>
          <w:tcPr>
            <w:tcW w:w="450" w:type="dxa"/>
            <w:tcBorders>
              <w:bottom w:val="single" w:sz="4" w:space="0" w:color="auto"/>
            </w:tcBorders>
            <w:shd w:val="clear" w:color="auto" w:fill="auto"/>
            <w:vAlign w:val="center"/>
          </w:tcPr>
          <w:p w:rsidR="001A63C6" w:rsidRPr="003410C7" w:rsidRDefault="001A63C6" w:rsidP="001A63C6">
            <w:pPr>
              <w:pStyle w:val="TableText"/>
              <w:widowControl w:val="0"/>
              <w:spacing w:before="120"/>
              <w:rPr>
                <w:rFonts w:ascii="Tahoma" w:hAnsi="Tahoma" w:cs="Tahoma"/>
                <w:color w:val="000000"/>
                <w:sz w:val="13"/>
              </w:rPr>
            </w:pPr>
            <w:r w:rsidRPr="003410C7">
              <w:rPr>
                <w:rFonts w:ascii="Tahoma" w:hAnsi="Tahoma" w:cs="Tahoma"/>
                <w:color w:val="000000"/>
                <w:sz w:val="13"/>
              </w:rPr>
              <w:t>08/12</w:t>
            </w:r>
          </w:p>
        </w:tc>
        <w:tc>
          <w:tcPr>
            <w:tcW w:w="360" w:type="dxa"/>
            <w:tcBorders>
              <w:bottom w:val="single" w:sz="4" w:space="0" w:color="auto"/>
              <w:right w:val="single" w:sz="18" w:space="0" w:color="auto"/>
            </w:tcBorders>
            <w:shd w:val="clear" w:color="auto" w:fill="auto"/>
            <w:vAlign w:val="center"/>
          </w:tcPr>
          <w:p w:rsidR="001A63C6" w:rsidRPr="003410C7" w:rsidRDefault="001A63C6" w:rsidP="001A63C6">
            <w:pPr>
              <w:pStyle w:val="TableText"/>
              <w:widowControl w:val="0"/>
              <w:rPr>
                <w:rFonts w:ascii="Tahoma" w:hAnsi="Tahoma" w:cs="Tahoma"/>
                <w:color w:val="000000"/>
                <w:sz w:val="13"/>
              </w:rPr>
            </w:pPr>
            <w:r w:rsidRPr="003410C7">
              <w:rPr>
                <w:rFonts w:ascii="Tahoma" w:hAnsi="Tahoma" w:cs="Tahoma"/>
                <w:color w:val="000000"/>
                <w:sz w:val="13"/>
              </w:rPr>
              <w:t>SRV</w:t>
            </w:r>
          </w:p>
        </w:tc>
        <w:tc>
          <w:tcPr>
            <w:tcW w:w="360" w:type="dxa"/>
            <w:tcBorders>
              <w:left w:val="single" w:sz="18" w:space="0" w:color="auto"/>
              <w:bottom w:val="single" w:sz="4" w:space="0" w:color="auto"/>
            </w:tcBorders>
            <w:shd w:val="clear" w:color="auto" w:fill="auto"/>
            <w:vAlign w:val="center"/>
          </w:tcPr>
          <w:p w:rsidR="001A63C6" w:rsidRPr="003410C7" w:rsidRDefault="001A63C6" w:rsidP="001A63C6">
            <w:pPr>
              <w:pStyle w:val="TableText"/>
              <w:widowControl w:val="0"/>
              <w:rPr>
                <w:rFonts w:ascii="Tahoma" w:hAnsi="Tahoma" w:cs="Tahoma"/>
                <w:sz w:val="13"/>
              </w:rPr>
            </w:pPr>
            <w:r w:rsidRPr="003410C7">
              <w:rPr>
                <w:rFonts w:ascii="Tahoma" w:hAnsi="Tahoma" w:cs="Tahoma"/>
                <w:sz w:val="13"/>
              </w:rPr>
              <w:t>50</w:t>
            </w:r>
          </w:p>
        </w:tc>
        <w:tc>
          <w:tcPr>
            <w:tcW w:w="450" w:type="dxa"/>
            <w:tcBorders>
              <w:bottom w:val="single" w:sz="4" w:space="0" w:color="auto"/>
            </w:tcBorders>
            <w:shd w:val="clear" w:color="auto" w:fill="auto"/>
            <w:vAlign w:val="center"/>
          </w:tcPr>
          <w:p w:rsidR="001A63C6" w:rsidRPr="003410C7" w:rsidRDefault="001A63C6" w:rsidP="001A63C6">
            <w:pPr>
              <w:pStyle w:val="TableText"/>
              <w:widowControl w:val="0"/>
              <w:rPr>
                <w:rFonts w:ascii="Tahoma" w:hAnsi="Tahoma" w:cs="Tahoma"/>
                <w:sz w:val="13"/>
              </w:rPr>
            </w:pPr>
            <w:r w:rsidRPr="003410C7">
              <w:rPr>
                <w:rFonts w:ascii="Tahoma" w:hAnsi="Tahoma" w:cs="Tahoma"/>
                <w:sz w:val="13"/>
              </w:rPr>
              <w:t>125</w:t>
            </w:r>
          </w:p>
        </w:tc>
        <w:tc>
          <w:tcPr>
            <w:tcW w:w="450" w:type="dxa"/>
            <w:tcBorders>
              <w:bottom w:val="single" w:sz="4" w:space="0" w:color="auto"/>
            </w:tcBorders>
            <w:shd w:val="clear" w:color="auto" w:fill="auto"/>
            <w:vAlign w:val="center"/>
          </w:tcPr>
          <w:p w:rsidR="001A63C6" w:rsidRPr="003410C7" w:rsidRDefault="001A63C6" w:rsidP="001A63C6">
            <w:pPr>
              <w:pStyle w:val="TableText"/>
              <w:widowControl w:val="0"/>
              <w:rPr>
                <w:rFonts w:ascii="Tahoma" w:hAnsi="Tahoma" w:cs="Tahoma"/>
                <w:sz w:val="13"/>
              </w:rPr>
            </w:pPr>
            <w:r w:rsidRPr="003410C7">
              <w:rPr>
                <w:rFonts w:ascii="Tahoma" w:hAnsi="Tahoma" w:cs="Tahoma"/>
                <w:sz w:val="13"/>
              </w:rPr>
              <w:t>100</w:t>
            </w:r>
          </w:p>
        </w:tc>
        <w:tc>
          <w:tcPr>
            <w:tcW w:w="450" w:type="dxa"/>
            <w:tcBorders>
              <w:bottom w:val="single" w:sz="4" w:space="0" w:color="auto"/>
            </w:tcBorders>
            <w:shd w:val="clear" w:color="auto" w:fill="auto"/>
            <w:vAlign w:val="center"/>
          </w:tcPr>
          <w:p w:rsidR="001A63C6" w:rsidRPr="003410C7" w:rsidRDefault="001A63C6" w:rsidP="001A63C6">
            <w:pPr>
              <w:pStyle w:val="TableText"/>
              <w:widowControl w:val="0"/>
              <w:rPr>
                <w:rFonts w:ascii="Tahoma" w:hAnsi="Tahoma" w:cs="Tahoma"/>
                <w:sz w:val="13"/>
              </w:rPr>
            </w:pPr>
            <w:r w:rsidRPr="003410C7">
              <w:rPr>
                <w:rFonts w:ascii="Tahoma" w:hAnsi="Tahoma" w:cs="Tahoma"/>
                <w:sz w:val="13"/>
              </w:rPr>
              <w:t>75</w:t>
            </w:r>
          </w:p>
        </w:tc>
        <w:tc>
          <w:tcPr>
            <w:tcW w:w="450" w:type="dxa"/>
            <w:tcBorders>
              <w:bottom w:val="single" w:sz="4" w:space="0" w:color="auto"/>
            </w:tcBorders>
            <w:shd w:val="clear" w:color="auto" w:fill="auto"/>
            <w:vAlign w:val="center"/>
          </w:tcPr>
          <w:p w:rsidR="001A63C6" w:rsidRPr="003410C7" w:rsidRDefault="001A63C6" w:rsidP="001A63C6">
            <w:pPr>
              <w:pStyle w:val="TableText"/>
              <w:widowControl w:val="0"/>
              <w:rPr>
                <w:rFonts w:ascii="Tahoma" w:hAnsi="Tahoma" w:cs="Tahoma"/>
                <w:sz w:val="13"/>
              </w:rPr>
            </w:pPr>
            <w:r w:rsidRPr="003410C7">
              <w:rPr>
                <w:rFonts w:ascii="Tahoma" w:hAnsi="Tahoma" w:cs="Tahoma"/>
                <w:sz w:val="13"/>
              </w:rPr>
              <w:t>75</w:t>
            </w:r>
          </w:p>
        </w:tc>
        <w:tc>
          <w:tcPr>
            <w:tcW w:w="450" w:type="dxa"/>
            <w:tcBorders>
              <w:bottom w:val="single" w:sz="4" w:space="0" w:color="auto"/>
            </w:tcBorders>
            <w:shd w:val="clear" w:color="auto" w:fill="auto"/>
            <w:vAlign w:val="center"/>
          </w:tcPr>
          <w:p w:rsidR="001A63C6" w:rsidRPr="003410C7" w:rsidRDefault="001A63C6" w:rsidP="001A63C6">
            <w:pPr>
              <w:pStyle w:val="TableText"/>
              <w:widowControl w:val="0"/>
              <w:rPr>
                <w:rFonts w:ascii="Tahoma" w:hAnsi="Tahoma" w:cs="Tahoma"/>
                <w:sz w:val="13"/>
              </w:rPr>
            </w:pPr>
            <w:r w:rsidRPr="003410C7">
              <w:rPr>
                <w:rFonts w:ascii="Tahoma" w:hAnsi="Tahoma" w:cs="Tahoma"/>
                <w:sz w:val="13"/>
              </w:rPr>
              <w:t>50</w:t>
            </w:r>
          </w:p>
        </w:tc>
        <w:tc>
          <w:tcPr>
            <w:tcW w:w="360" w:type="dxa"/>
            <w:tcBorders>
              <w:bottom w:val="single" w:sz="4" w:space="0" w:color="auto"/>
              <w:right w:val="single" w:sz="18" w:space="0" w:color="auto"/>
            </w:tcBorders>
            <w:shd w:val="clear" w:color="auto" w:fill="auto"/>
            <w:vAlign w:val="center"/>
          </w:tcPr>
          <w:p w:rsidR="001A63C6" w:rsidRPr="003410C7" w:rsidRDefault="001A63C6" w:rsidP="001A63C6">
            <w:pPr>
              <w:pStyle w:val="TableText"/>
              <w:widowControl w:val="0"/>
              <w:rPr>
                <w:rFonts w:ascii="Tahoma" w:hAnsi="Tahoma" w:cs="Tahoma"/>
                <w:sz w:val="13"/>
              </w:rPr>
            </w:pPr>
            <w:r w:rsidRPr="003410C7">
              <w:rPr>
                <w:rFonts w:ascii="Tahoma" w:hAnsi="Tahoma" w:cs="Tahoma"/>
                <w:sz w:val="13"/>
              </w:rPr>
              <w:t>25</w:t>
            </w:r>
          </w:p>
        </w:tc>
        <w:tc>
          <w:tcPr>
            <w:tcW w:w="450" w:type="dxa"/>
            <w:tcBorders>
              <w:left w:val="single" w:sz="18" w:space="0" w:color="auto"/>
              <w:bottom w:val="single" w:sz="4" w:space="0" w:color="auto"/>
            </w:tcBorders>
            <w:shd w:val="clear" w:color="auto" w:fill="auto"/>
            <w:vAlign w:val="center"/>
          </w:tcPr>
          <w:p w:rsidR="001A63C6" w:rsidRPr="003410C7" w:rsidRDefault="001A63C6" w:rsidP="001A63C6">
            <w:pPr>
              <w:pStyle w:val="TableText"/>
              <w:widowControl w:val="0"/>
              <w:rPr>
                <w:rFonts w:ascii="Tahoma" w:hAnsi="Tahoma" w:cs="Tahoma"/>
                <w:sz w:val="13"/>
              </w:rPr>
            </w:pPr>
            <w:r w:rsidRPr="003410C7">
              <w:rPr>
                <w:rFonts w:ascii="Tahoma" w:hAnsi="Tahoma" w:cs="Tahoma"/>
                <w:sz w:val="13"/>
              </w:rPr>
              <w:t>50</w:t>
            </w:r>
          </w:p>
        </w:tc>
        <w:tc>
          <w:tcPr>
            <w:tcW w:w="450" w:type="dxa"/>
            <w:tcBorders>
              <w:bottom w:val="single" w:sz="4" w:space="0" w:color="auto"/>
            </w:tcBorders>
            <w:shd w:val="clear" w:color="auto" w:fill="auto"/>
            <w:vAlign w:val="center"/>
          </w:tcPr>
          <w:p w:rsidR="001A63C6" w:rsidRPr="003410C7" w:rsidRDefault="001A63C6" w:rsidP="001A63C6">
            <w:pPr>
              <w:pStyle w:val="TableText"/>
              <w:widowControl w:val="0"/>
              <w:rPr>
                <w:rFonts w:ascii="Tahoma" w:hAnsi="Tahoma" w:cs="Tahoma"/>
                <w:sz w:val="13"/>
              </w:rPr>
            </w:pPr>
            <w:r w:rsidRPr="003410C7">
              <w:rPr>
                <w:rFonts w:ascii="Tahoma" w:hAnsi="Tahoma" w:cs="Tahoma"/>
                <w:sz w:val="13"/>
              </w:rPr>
              <w:t>100</w:t>
            </w:r>
          </w:p>
        </w:tc>
        <w:tc>
          <w:tcPr>
            <w:tcW w:w="450" w:type="dxa"/>
            <w:tcBorders>
              <w:bottom w:val="single" w:sz="4" w:space="0" w:color="auto"/>
              <w:right w:val="single" w:sz="18" w:space="0" w:color="auto"/>
            </w:tcBorders>
            <w:shd w:val="clear" w:color="auto" w:fill="auto"/>
            <w:vAlign w:val="center"/>
          </w:tcPr>
          <w:p w:rsidR="001A63C6" w:rsidRPr="003410C7" w:rsidRDefault="001A63C6" w:rsidP="001A63C6">
            <w:pPr>
              <w:pStyle w:val="TableText"/>
              <w:widowControl w:val="0"/>
              <w:rPr>
                <w:rFonts w:ascii="Tahoma" w:hAnsi="Tahoma" w:cs="Tahoma"/>
                <w:sz w:val="13"/>
              </w:rPr>
            </w:pPr>
            <w:r w:rsidRPr="003410C7">
              <w:rPr>
                <w:rFonts w:ascii="Tahoma" w:hAnsi="Tahoma" w:cs="Tahoma"/>
                <w:sz w:val="13"/>
              </w:rPr>
              <w:t>50</w:t>
            </w:r>
          </w:p>
        </w:tc>
        <w:tc>
          <w:tcPr>
            <w:tcW w:w="450" w:type="dxa"/>
            <w:tcBorders>
              <w:left w:val="single" w:sz="18" w:space="0" w:color="auto"/>
              <w:bottom w:val="single" w:sz="4" w:space="0" w:color="auto"/>
            </w:tcBorders>
            <w:shd w:val="clear" w:color="auto" w:fill="auto"/>
            <w:vAlign w:val="center"/>
          </w:tcPr>
          <w:p w:rsidR="001A63C6" w:rsidRPr="003410C7" w:rsidRDefault="001A63C6" w:rsidP="001A63C6">
            <w:pPr>
              <w:pStyle w:val="TableText"/>
              <w:widowControl w:val="0"/>
              <w:rPr>
                <w:rFonts w:ascii="Tahoma" w:hAnsi="Tahoma" w:cs="Tahoma"/>
                <w:sz w:val="13"/>
              </w:rPr>
            </w:pPr>
            <w:r w:rsidRPr="003410C7">
              <w:rPr>
                <w:rFonts w:ascii="Tahoma" w:hAnsi="Tahoma" w:cs="Tahoma"/>
                <w:sz w:val="13"/>
              </w:rPr>
              <w:t>50</w:t>
            </w:r>
          </w:p>
        </w:tc>
        <w:tc>
          <w:tcPr>
            <w:tcW w:w="450" w:type="dxa"/>
            <w:tcBorders>
              <w:bottom w:val="single" w:sz="4" w:space="0" w:color="auto"/>
              <w:right w:val="single" w:sz="18" w:space="0" w:color="auto"/>
            </w:tcBorders>
            <w:shd w:val="clear" w:color="auto" w:fill="auto"/>
            <w:vAlign w:val="center"/>
          </w:tcPr>
          <w:p w:rsidR="001A63C6" w:rsidRPr="003410C7" w:rsidRDefault="001A63C6" w:rsidP="001A63C6">
            <w:pPr>
              <w:pStyle w:val="TableText"/>
              <w:widowControl w:val="0"/>
              <w:rPr>
                <w:rFonts w:ascii="Tahoma" w:hAnsi="Tahoma" w:cs="Tahoma"/>
                <w:sz w:val="13"/>
              </w:rPr>
            </w:pPr>
            <w:r w:rsidRPr="003410C7">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rsidR="001A63C6" w:rsidRPr="003410C7" w:rsidRDefault="001A63C6" w:rsidP="001A63C6">
            <w:pPr>
              <w:pStyle w:val="TableText"/>
              <w:widowControl w:val="0"/>
              <w:rPr>
                <w:rFonts w:ascii="Tahoma" w:hAnsi="Tahoma" w:cs="Tahoma"/>
                <w:sz w:val="13"/>
              </w:rPr>
            </w:pPr>
            <w:r w:rsidRPr="003410C7">
              <w:rPr>
                <w:rFonts w:ascii="Tahoma" w:hAnsi="Tahoma" w:cs="Tahoma"/>
                <w:sz w:val="13"/>
              </w:rPr>
              <w:t>P</w:t>
            </w:r>
          </w:p>
        </w:tc>
        <w:tc>
          <w:tcPr>
            <w:tcW w:w="450" w:type="dxa"/>
            <w:tcBorders>
              <w:bottom w:val="single" w:sz="4" w:space="0" w:color="auto"/>
            </w:tcBorders>
            <w:shd w:val="clear" w:color="auto" w:fill="auto"/>
          </w:tcPr>
          <w:p w:rsidR="001A63C6" w:rsidRPr="003410C7" w:rsidRDefault="001A63C6" w:rsidP="001A63C6">
            <w:pPr>
              <w:pStyle w:val="TableText"/>
              <w:widowControl w:val="0"/>
              <w:rPr>
                <w:rFonts w:ascii="Tahoma" w:hAnsi="Tahoma" w:cs="Tahoma"/>
                <w:sz w:val="13"/>
              </w:rPr>
            </w:pPr>
            <w:r w:rsidRPr="003410C7">
              <w:rPr>
                <w:rFonts w:ascii="Tahoma" w:hAnsi="Tahoma" w:cs="Tahoma"/>
                <w:sz w:val="13"/>
              </w:rPr>
              <w:t>A</w:t>
            </w:r>
          </w:p>
        </w:tc>
        <w:tc>
          <w:tcPr>
            <w:tcW w:w="540" w:type="dxa"/>
            <w:tcBorders>
              <w:bottom w:val="single" w:sz="4" w:space="0" w:color="auto"/>
            </w:tcBorders>
            <w:shd w:val="clear" w:color="auto" w:fill="auto"/>
            <w:vAlign w:val="center"/>
          </w:tcPr>
          <w:p w:rsidR="001A63C6" w:rsidRPr="003410C7" w:rsidRDefault="001A63C6" w:rsidP="001A63C6">
            <w:pPr>
              <w:pStyle w:val="TableText"/>
              <w:widowControl w:val="0"/>
              <w:rPr>
                <w:rFonts w:ascii="Tahoma" w:hAnsi="Tahoma" w:cs="Tahoma"/>
                <w:color w:val="000000"/>
                <w:sz w:val="13"/>
              </w:rPr>
            </w:pPr>
            <w:r w:rsidRPr="003410C7">
              <w:rPr>
                <w:rFonts w:ascii="Tahoma" w:hAnsi="Tahoma" w:cs="Tahoma"/>
                <w:color w:val="000000"/>
                <w:sz w:val="13"/>
              </w:rPr>
              <w:t>OL/OV</w:t>
            </w:r>
          </w:p>
        </w:tc>
      </w:tr>
      <w:tr w:rsidR="00B33D0E" w:rsidRPr="003410C7" w:rsidTr="006B1F3F">
        <w:trPr>
          <w:trHeight w:val="145"/>
        </w:trPr>
        <w:tc>
          <w:tcPr>
            <w:tcW w:w="2734" w:type="dxa"/>
            <w:gridSpan w:val="2"/>
            <w:tcBorders>
              <w:bottom w:val="single" w:sz="4" w:space="0" w:color="auto"/>
            </w:tcBorders>
            <w:shd w:val="clear" w:color="auto" w:fill="F4B083" w:themeFill="accent2" w:themeFillTint="99"/>
            <w:vAlign w:val="center"/>
          </w:tcPr>
          <w:p w:rsidR="001A63C6" w:rsidRPr="003410C7" w:rsidRDefault="001A63C6" w:rsidP="001A63C6">
            <w:pPr>
              <w:pStyle w:val="Heading2"/>
              <w:spacing w:before="20" w:after="20"/>
              <w:ind w:left="0"/>
              <w:rPr>
                <w:rFonts w:ascii="Tahoma" w:hAnsi="Tahoma" w:cs="Tahoma"/>
                <w:b w:val="0"/>
                <w:sz w:val="14"/>
                <w:szCs w:val="14"/>
              </w:rPr>
            </w:pPr>
            <w:bookmarkStart w:id="571" w:name="_Toc336338144"/>
            <w:bookmarkStart w:id="572" w:name="_Toc352234742"/>
            <w:r w:rsidRPr="003410C7">
              <w:rPr>
                <w:rFonts w:ascii="Tahoma" w:hAnsi="Tahoma" w:cs="Tahoma"/>
                <w:b w:val="0"/>
                <w:sz w:val="14"/>
                <w:szCs w:val="14"/>
              </w:rPr>
              <w:t>Windows Server™ 2012 Standard</w:t>
            </w:r>
            <w:bookmarkEnd w:id="571"/>
            <w:bookmarkEnd w:id="572"/>
          </w:p>
        </w:tc>
        <w:tc>
          <w:tcPr>
            <w:tcW w:w="450" w:type="dxa"/>
            <w:tcBorders>
              <w:bottom w:val="single" w:sz="4" w:space="0" w:color="auto"/>
            </w:tcBorders>
            <w:shd w:val="clear" w:color="auto" w:fill="F4B083" w:themeFill="accent2" w:themeFillTint="99"/>
            <w:vAlign w:val="center"/>
          </w:tcPr>
          <w:p w:rsidR="001A63C6" w:rsidRPr="009F17FF" w:rsidRDefault="00FC1A4D" w:rsidP="006615A9">
            <w:pPr>
              <w:pStyle w:val="TableText"/>
              <w:widowControl w:val="0"/>
              <w:rPr>
                <w:rStyle w:val="EndnoteReference"/>
                <w:b w:val="0"/>
                <w:color w:val="0070C0"/>
                <w:sz w:val="13"/>
                <w:szCs w:val="13"/>
                <w:u w:val="single"/>
                <w:vertAlign w:val="baseline"/>
              </w:rPr>
            </w:pPr>
            <w:hyperlink w:anchor="_118_Windows_Server" w:history="1">
              <w:r w:rsidR="000D77F6" w:rsidRPr="009F17FF">
                <w:rPr>
                  <w:rStyle w:val="Hyperlink"/>
                  <w:b/>
                  <w:sz w:val="13"/>
                  <w:szCs w:val="13"/>
                </w:rPr>
                <w:t>107</w:t>
              </w:r>
            </w:hyperlink>
          </w:p>
        </w:tc>
        <w:tc>
          <w:tcPr>
            <w:tcW w:w="450" w:type="dxa"/>
            <w:tcBorders>
              <w:bottom w:val="single" w:sz="4" w:space="0" w:color="auto"/>
            </w:tcBorders>
            <w:shd w:val="clear" w:color="auto" w:fill="F4B083" w:themeFill="accent2" w:themeFillTint="99"/>
            <w:vAlign w:val="center"/>
          </w:tcPr>
          <w:p w:rsidR="001A63C6" w:rsidRPr="003410C7" w:rsidRDefault="001A63C6" w:rsidP="001A63C6">
            <w:pPr>
              <w:pStyle w:val="TableText"/>
              <w:widowControl w:val="0"/>
              <w:spacing w:before="120"/>
              <w:rPr>
                <w:rFonts w:ascii="Tahoma" w:hAnsi="Tahoma" w:cs="Tahoma"/>
                <w:color w:val="000000"/>
                <w:sz w:val="13"/>
              </w:rPr>
            </w:pPr>
            <w:r w:rsidRPr="003410C7">
              <w:rPr>
                <w:rFonts w:ascii="Tahoma" w:hAnsi="Tahoma" w:cs="Tahoma"/>
                <w:color w:val="000000"/>
                <w:sz w:val="13"/>
              </w:rPr>
              <w:t>08/12</w:t>
            </w:r>
          </w:p>
        </w:tc>
        <w:tc>
          <w:tcPr>
            <w:tcW w:w="360" w:type="dxa"/>
            <w:tcBorders>
              <w:bottom w:val="single" w:sz="4" w:space="0" w:color="auto"/>
              <w:right w:val="single" w:sz="18" w:space="0" w:color="auto"/>
            </w:tcBorders>
            <w:shd w:val="clear" w:color="auto" w:fill="F4B083" w:themeFill="accent2" w:themeFillTint="99"/>
            <w:vAlign w:val="center"/>
          </w:tcPr>
          <w:p w:rsidR="001A63C6" w:rsidRPr="003410C7" w:rsidRDefault="001A63C6" w:rsidP="001A63C6">
            <w:pPr>
              <w:pStyle w:val="TableText"/>
              <w:widowControl w:val="0"/>
              <w:rPr>
                <w:rFonts w:ascii="Tahoma" w:hAnsi="Tahoma" w:cs="Tahoma"/>
                <w:color w:val="000000"/>
                <w:sz w:val="13"/>
              </w:rPr>
            </w:pPr>
            <w:r w:rsidRPr="003410C7">
              <w:rPr>
                <w:rFonts w:ascii="Tahoma" w:hAnsi="Tahoma" w:cs="Tahoma"/>
                <w:color w:val="000000"/>
                <w:sz w:val="13"/>
              </w:rPr>
              <w:t>SRV</w:t>
            </w:r>
          </w:p>
        </w:tc>
        <w:tc>
          <w:tcPr>
            <w:tcW w:w="360" w:type="dxa"/>
            <w:tcBorders>
              <w:left w:val="single" w:sz="18" w:space="0" w:color="auto"/>
              <w:bottom w:val="single" w:sz="4" w:space="0" w:color="auto"/>
            </w:tcBorders>
            <w:shd w:val="clear" w:color="auto" w:fill="F4B083" w:themeFill="accent2" w:themeFillTint="99"/>
            <w:vAlign w:val="center"/>
          </w:tcPr>
          <w:p w:rsidR="001A63C6" w:rsidRPr="003410C7" w:rsidRDefault="001A63C6" w:rsidP="001A63C6">
            <w:pPr>
              <w:pStyle w:val="TableText"/>
              <w:widowControl w:val="0"/>
              <w:rPr>
                <w:rFonts w:ascii="Tahoma" w:hAnsi="Tahoma" w:cs="Tahoma"/>
                <w:sz w:val="13"/>
              </w:rPr>
            </w:pPr>
            <w:r w:rsidRPr="003410C7">
              <w:rPr>
                <w:rFonts w:ascii="Tahoma" w:hAnsi="Tahoma" w:cs="Tahoma"/>
                <w:sz w:val="13"/>
              </w:rPr>
              <w:t>15</w:t>
            </w:r>
          </w:p>
        </w:tc>
        <w:tc>
          <w:tcPr>
            <w:tcW w:w="450" w:type="dxa"/>
            <w:tcBorders>
              <w:bottom w:val="single" w:sz="4" w:space="0" w:color="auto"/>
            </w:tcBorders>
            <w:shd w:val="clear" w:color="auto" w:fill="F4B083" w:themeFill="accent2" w:themeFillTint="99"/>
            <w:vAlign w:val="center"/>
          </w:tcPr>
          <w:p w:rsidR="001A63C6" w:rsidRPr="003410C7" w:rsidRDefault="001A63C6" w:rsidP="001A63C6">
            <w:pPr>
              <w:pStyle w:val="TableText"/>
              <w:widowControl w:val="0"/>
              <w:rPr>
                <w:rFonts w:ascii="Tahoma" w:hAnsi="Tahoma" w:cs="Tahoma"/>
                <w:sz w:val="13"/>
              </w:rPr>
            </w:pPr>
            <w:r w:rsidRPr="003410C7">
              <w:rPr>
                <w:rFonts w:ascii="Tahoma" w:hAnsi="Tahoma" w:cs="Tahoma"/>
                <w:sz w:val="13"/>
              </w:rPr>
              <w:t>38</w:t>
            </w:r>
          </w:p>
        </w:tc>
        <w:tc>
          <w:tcPr>
            <w:tcW w:w="450" w:type="dxa"/>
            <w:tcBorders>
              <w:bottom w:val="single" w:sz="4" w:space="0" w:color="auto"/>
            </w:tcBorders>
            <w:shd w:val="clear" w:color="auto" w:fill="F4B083" w:themeFill="accent2" w:themeFillTint="99"/>
            <w:vAlign w:val="center"/>
          </w:tcPr>
          <w:p w:rsidR="001A63C6" w:rsidRPr="003410C7" w:rsidRDefault="001A63C6" w:rsidP="001A63C6">
            <w:pPr>
              <w:pStyle w:val="TableText"/>
              <w:widowControl w:val="0"/>
              <w:rPr>
                <w:rFonts w:ascii="Tahoma" w:hAnsi="Tahoma" w:cs="Tahoma"/>
                <w:sz w:val="13"/>
              </w:rPr>
            </w:pPr>
            <w:r w:rsidRPr="003410C7">
              <w:rPr>
                <w:rFonts w:ascii="Tahoma" w:hAnsi="Tahoma" w:cs="Tahoma"/>
                <w:sz w:val="13"/>
              </w:rPr>
              <w:t>30</w:t>
            </w:r>
          </w:p>
        </w:tc>
        <w:tc>
          <w:tcPr>
            <w:tcW w:w="450" w:type="dxa"/>
            <w:tcBorders>
              <w:bottom w:val="single" w:sz="4" w:space="0" w:color="auto"/>
            </w:tcBorders>
            <w:shd w:val="clear" w:color="auto" w:fill="F4B083" w:themeFill="accent2" w:themeFillTint="99"/>
            <w:vAlign w:val="center"/>
          </w:tcPr>
          <w:p w:rsidR="001A63C6" w:rsidRPr="003410C7" w:rsidRDefault="001A63C6" w:rsidP="001A63C6">
            <w:pPr>
              <w:pStyle w:val="TableText"/>
              <w:widowControl w:val="0"/>
              <w:rPr>
                <w:rFonts w:ascii="Tahoma" w:hAnsi="Tahoma" w:cs="Tahoma"/>
                <w:sz w:val="13"/>
              </w:rPr>
            </w:pPr>
            <w:r w:rsidRPr="003410C7">
              <w:rPr>
                <w:rFonts w:ascii="Tahoma" w:hAnsi="Tahoma" w:cs="Tahoma"/>
                <w:sz w:val="13"/>
              </w:rPr>
              <w:t>23</w:t>
            </w:r>
          </w:p>
        </w:tc>
        <w:tc>
          <w:tcPr>
            <w:tcW w:w="450" w:type="dxa"/>
            <w:tcBorders>
              <w:bottom w:val="single" w:sz="4" w:space="0" w:color="auto"/>
            </w:tcBorders>
            <w:shd w:val="clear" w:color="auto" w:fill="F4B083" w:themeFill="accent2" w:themeFillTint="99"/>
            <w:vAlign w:val="center"/>
          </w:tcPr>
          <w:p w:rsidR="001A63C6" w:rsidRPr="003410C7" w:rsidRDefault="001A63C6" w:rsidP="001A63C6">
            <w:pPr>
              <w:pStyle w:val="TableText"/>
              <w:widowControl w:val="0"/>
              <w:rPr>
                <w:rFonts w:ascii="Tahoma" w:hAnsi="Tahoma" w:cs="Tahoma"/>
                <w:sz w:val="13"/>
              </w:rPr>
            </w:pPr>
            <w:r w:rsidRPr="003410C7">
              <w:rPr>
                <w:rFonts w:ascii="Tahoma" w:hAnsi="Tahoma" w:cs="Tahoma"/>
                <w:sz w:val="13"/>
              </w:rPr>
              <w:t>23</w:t>
            </w:r>
          </w:p>
        </w:tc>
        <w:tc>
          <w:tcPr>
            <w:tcW w:w="450" w:type="dxa"/>
            <w:tcBorders>
              <w:bottom w:val="single" w:sz="4" w:space="0" w:color="auto"/>
            </w:tcBorders>
            <w:shd w:val="clear" w:color="auto" w:fill="F4B083" w:themeFill="accent2" w:themeFillTint="99"/>
            <w:vAlign w:val="center"/>
          </w:tcPr>
          <w:p w:rsidR="001A63C6" w:rsidRPr="003410C7" w:rsidRDefault="001A63C6" w:rsidP="001A63C6">
            <w:pPr>
              <w:pStyle w:val="TableText"/>
              <w:widowControl w:val="0"/>
              <w:rPr>
                <w:rFonts w:ascii="Tahoma" w:hAnsi="Tahoma" w:cs="Tahoma"/>
                <w:sz w:val="13"/>
              </w:rPr>
            </w:pPr>
            <w:r w:rsidRPr="003410C7">
              <w:rPr>
                <w:rFonts w:ascii="Tahoma" w:hAnsi="Tahoma" w:cs="Tahoma"/>
                <w:sz w:val="13"/>
              </w:rPr>
              <w:t>15</w:t>
            </w:r>
          </w:p>
        </w:tc>
        <w:tc>
          <w:tcPr>
            <w:tcW w:w="360" w:type="dxa"/>
            <w:tcBorders>
              <w:bottom w:val="single" w:sz="4" w:space="0" w:color="auto"/>
              <w:right w:val="single" w:sz="18" w:space="0" w:color="auto"/>
            </w:tcBorders>
            <w:shd w:val="clear" w:color="auto" w:fill="F4B083" w:themeFill="accent2" w:themeFillTint="99"/>
            <w:vAlign w:val="center"/>
          </w:tcPr>
          <w:p w:rsidR="001A63C6" w:rsidRPr="003410C7" w:rsidRDefault="001A63C6" w:rsidP="001A63C6">
            <w:pPr>
              <w:pStyle w:val="TableText"/>
              <w:widowControl w:val="0"/>
              <w:rPr>
                <w:rFonts w:ascii="Tahoma" w:hAnsi="Tahoma" w:cs="Tahoma"/>
                <w:sz w:val="13"/>
              </w:rPr>
            </w:pPr>
            <w:r w:rsidRPr="003410C7">
              <w:rPr>
                <w:rFonts w:ascii="Tahoma" w:hAnsi="Tahoma" w:cs="Tahoma"/>
                <w:sz w:val="13"/>
              </w:rPr>
              <w:t>8</w:t>
            </w:r>
          </w:p>
        </w:tc>
        <w:tc>
          <w:tcPr>
            <w:tcW w:w="450" w:type="dxa"/>
            <w:tcBorders>
              <w:left w:val="single" w:sz="18" w:space="0" w:color="auto"/>
              <w:bottom w:val="single" w:sz="4" w:space="0" w:color="auto"/>
            </w:tcBorders>
            <w:shd w:val="clear" w:color="auto" w:fill="F4B083" w:themeFill="accent2" w:themeFillTint="99"/>
            <w:vAlign w:val="center"/>
          </w:tcPr>
          <w:p w:rsidR="001A63C6" w:rsidRPr="003410C7" w:rsidRDefault="001A63C6" w:rsidP="001A63C6">
            <w:pPr>
              <w:pStyle w:val="TableText"/>
              <w:widowControl w:val="0"/>
              <w:rPr>
                <w:rFonts w:ascii="Tahoma" w:hAnsi="Tahoma" w:cs="Tahoma"/>
                <w:sz w:val="13"/>
              </w:rPr>
            </w:pPr>
            <w:r w:rsidRPr="003410C7">
              <w:rPr>
                <w:rFonts w:ascii="Tahoma" w:hAnsi="Tahoma" w:cs="Tahoma"/>
                <w:sz w:val="13"/>
              </w:rPr>
              <w:t>15</w:t>
            </w:r>
          </w:p>
        </w:tc>
        <w:tc>
          <w:tcPr>
            <w:tcW w:w="450" w:type="dxa"/>
            <w:tcBorders>
              <w:bottom w:val="single" w:sz="4" w:space="0" w:color="auto"/>
            </w:tcBorders>
            <w:shd w:val="clear" w:color="auto" w:fill="F4B083" w:themeFill="accent2" w:themeFillTint="99"/>
            <w:vAlign w:val="center"/>
          </w:tcPr>
          <w:p w:rsidR="001A63C6" w:rsidRPr="003410C7" w:rsidRDefault="001A63C6" w:rsidP="001A63C6">
            <w:pPr>
              <w:pStyle w:val="TableText"/>
              <w:widowControl w:val="0"/>
              <w:rPr>
                <w:rFonts w:ascii="Tahoma" w:hAnsi="Tahoma" w:cs="Tahoma"/>
                <w:sz w:val="13"/>
              </w:rPr>
            </w:pPr>
            <w:r w:rsidRPr="003410C7">
              <w:rPr>
                <w:rFonts w:ascii="Tahoma" w:hAnsi="Tahoma" w:cs="Tahoma"/>
                <w:sz w:val="13"/>
              </w:rPr>
              <w:t>30</w:t>
            </w:r>
          </w:p>
        </w:tc>
        <w:tc>
          <w:tcPr>
            <w:tcW w:w="450" w:type="dxa"/>
            <w:tcBorders>
              <w:bottom w:val="single" w:sz="4" w:space="0" w:color="auto"/>
              <w:right w:val="single" w:sz="18" w:space="0" w:color="auto"/>
            </w:tcBorders>
            <w:shd w:val="clear" w:color="auto" w:fill="F4B083" w:themeFill="accent2" w:themeFillTint="99"/>
            <w:vAlign w:val="center"/>
          </w:tcPr>
          <w:p w:rsidR="001A63C6" w:rsidRPr="003410C7" w:rsidRDefault="001A63C6" w:rsidP="001A63C6">
            <w:pPr>
              <w:pStyle w:val="TableText"/>
              <w:widowControl w:val="0"/>
              <w:rPr>
                <w:rFonts w:ascii="Tahoma" w:hAnsi="Tahoma" w:cs="Tahoma"/>
                <w:sz w:val="13"/>
              </w:rPr>
            </w:pPr>
            <w:r w:rsidRPr="003410C7">
              <w:rPr>
                <w:rFonts w:ascii="Tahoma" w:hAnsi="Tahoma" w:cs="Tahoma"/>
                <w:sz w:val="13"/>
              </w:rPr>
              <w:t>15</w:t>
            </w:r>
          </w:p>
        </w:tc>
        <w:tc>
          <w:tcPr>
            <w:tcW w:w="450" w:type="dxa"/>
            <w:tcBorders>
              <w:left w:val="single" w:sz="18" w:space="0" w:color="auto"/>
              <w:bottom w:val="single" w:sz="4" w:space="0" w:color="auto"/>
            </w:tcBorders>
            <w:shd w:val="clear" w:color="auto" w:fill="F4B083" w:themeFill="accent2" w:themeFillTint="99"/>
            <w:vAlign w:val="center"/>
          </w:tcPr>
          <w:p w:rsidR="001A63C6" w:rsidRPr="003410C7" w:rsidRDefault="001A63C6" w:rsidP="001A63C6">
            <w:pPr>
              <w:pStyle w:val="TableText"/>
              <w:widowControl w:val="0"/>
              <w:rPr>
                <w:rFonts w:ascii="Tahoma" w:hAnsi="Tahoma" w:cs="Tahoma"/>
                <w:sz w:val="13"/>
              </w:rPr>
            </w:pPr>
            <w:r w:rsidRPr="003410C7">
              <w:rPr>
                <w:rFonts w:ascii="Tahoma" w:hAnsi="Tahoma" w:cs="Tahoma"/>
                <w:sz w:val="13"/>
              </w:rPr>
              <w:t>15</w:t>
            </w:r>
          </w:p>
        </w:tc>
        <w:tc>
          <w:tcPr>
            <w:tcW w:w="450" w:type="dxa"/>
            <w:tcBorders>
              <w:bottom w:val="single" w:sz="4" w:space="0" w:color="auto"/>
              <w:right w:val="single" w:sz="18" w:space="0" w:color="auto"/>
            </w:tcBorders>
            <w:shd w:val="clear" w:color="auto" w:fill="F4B083" w:themeFill="accent2" w:themeFillTint="99"/>
            <w:vAlign w:val="center"/>
          </w:tcPr>
          <w:p w:rsidR="001A63C6" w:rsidRPr="003410C7" w:rsidRDefault="001A63C6" w:rsidP="001A63C6">
            <w:pPr>
              <w:pStyle w:val="TableText"/>
              <w:widowControl w:val="0"/>
              <w:rPr>
                <w:rFonts w:ascii="Tahoma" w:hAnsi="Tahoma" w:cs="Tahoma"/>
                <w:sz w:val="13"/>
              </w:rPr>
            </w:pPr>
            <w:r w:rsidRPr="003410C7">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F4B083" w:themeFill="accent2" w:themeFillTint="99"/>
            <w:vAlign w:val="center"/>
          </w:tcPr>
          <w:p w:rsidR="001A63C6" w:rsidRPr="003410C7" w:rsidRDefault="001A63C6" w:rsidP="001A63C6">
            <w:pPr>
              <w:pStyle w:val="TableText"/>
              <w:widowControl w:val="0"/>
              <w:rPr>
                <w:rFonts w:ascii="Tahoma" w:hAnsi="Tahoma" w:cs="Tahoma"/>
                <w:sz w:val="13"/>
              </w:rPr>
            </w:pPr>
            <w:r w:rsidRPr="003410C7">
              <w:rPr>
                <w:rFonts w:ascii="Tahoma" w:hAnsi="Tahoma" w:cs="Tahoma"/>
                <w:sz w:val="13"/>
              </w:rPr>
              <w:t>P</w:t>
            </w:r>
          </w:p>
        </w:tc>
        <w:tc>
          <w:tcPr>
            <w:tcW w:w="450" w:type="dxa"/>
            <w:tcBorders>
              <w:bottom w:val="single" w:sz="4" w:space="0" w:color="auto"/>
            </w:tcBorders>
            <w:shd w:val="clear" w:color="auto" w:fill="F4B083" w:themeFill="accent2" w:themeFillTint="99"/>
          </w:tcPr>
          <w:p w:rsidR="001A63C6" w:rsidRPr="003410C7" w:rsidRDefault="001A63C6" w:rsidP="001A63C6">
            <w:pPr>
              <w:pStyle w:val="TableText"/>
              <w:widowControl w:val="0"/>
              <w:rPr>
                <w:rFonts w:ascii="Tahoma" w:hAnsi="Tahoma" w:cs="Tahoma"/>
                <w:sz w:val="13"/>
              </w:rPr>
            </w:pPr>
            <w:r w:rsidRPr="003410C7">
              <w:rPr>
                <w:rFonts w:ascii="Tahoma" w:hAnsi="Tahoma" w:cs="Tahoma"/>
                <w:sz w:val="13"/>
              </w:rPr>
              <w:t>A</w:t>
            </w:r>
          </w:p>
        </w:tc>
        <w:tc>
          <w:tcPr>
            <w:tcW w:w="540" w:type="dxa"/>
            <w:tcBorders>
              <w:bottom w:val="single" w:sz="4" w:space="0" w:color="auto"/>
            </w:tcBorders>
            <w:shd w:val="clear" w:color="auto" w:fill="F4B083" w:themeFill="accent2" w:themeFillTint="99"/>
            <w:vAlign w:val="center"/>
          </w:tcPr>
          <w:p w:rsidR="001A63C6" w:rsidRPr="003410C7" w:rsidRDefault="001A63C6" w:rsidP="001A63C6">
            <w:pPr>
              <w:pStyle w:val="TableText"/>
              <w:widowControl w:val="0"/>
              <w:rPr>
                <w:rFonts w:ascii="Tahoma" w:hAnsi="Tahoma" w:cs="Tahoma"/>
                <w:color w:val="000000"/>
                <w:sz w:val="13"/>
              </w:rPr>
            </w:pPr>
          </w:p>
        </w:tc>
      </w:tr>
      <w:tr w:rsidR="001A63C6" w:rsidRPr="003410C7" w:rsidTr="007E466C">
        <w:trPr>
          <w:trHeight w:val="145"/>
        </w:trPr>
        <w:tc>
          <w:tcPr>
            <w:tcW w:w="2734" w:type="dxa"/>
            <w:gridSpan w:val="2"/>
            <w:tcBorders>
              <w:bottom w:val="single" w:sz="4" w:space="0" w:color="auto"/>
            </w:tcBorders>
            <w:shd w:val="clear" w:color="auto" w:fill="auto"/>
            <w:vAlign w:val="center"/>
          </w:tcPr>
          <w:p w:rsidR="001A63C6" w:rsidRPr="003410C7" w:rsidRDefault="001A63C6" w:rsidP="001A63C6">
            <w:pPr>
              <w:pStyle w:val="Heading2"/>
              <w:spacing w:before="20" w:after="20"/>
              <w:ind w:left="0"/>
              <w:rPr>
                <w:rFonts w:ascii="Tahoma" w:hAnsi="Tahoma" w:cs="Tahoma"/>
                <w:b w:val="0"/>
                <w:sz w:val="14"/>
                <w:szCs w:val="14"/>
              </w:rPr>
            </w:pPr>
            <w:bookmarkStart w:id="573" w:name="_Toc336338145"/>
            <w:bookmarkStart w:id="574" w:name="_Toc352234743"/>
            <w:r w:rsidRPr="003410C7">
              <w:rPr>
                <w:rFonts w:ascii="Tahoma" w:hAnsi="Tahoma" w:cs="Tahoma"/>
                <w:b w:val="0"/>
                <w:sz w:val="14"/>
                <w:szCs w:val="14"/>
              </w:rPr>
              <w:t>External Connector per Windows Server™</w:t>
            </w:r>
            <w:bookmarkEnd w:id="573"/>
            <w:bookmarkEnd w:id="574"/>
          </w:p>
        </w:tc>
        <w:tc>
          <w:tcPr>
            <w:tcW w:w="450" w:type="dxa"/>
            <w:tcBorders>
              <w:bottom w:val="single" w:sz="4" w:space="0" w:color="auto"/>
            </w:tcBorders>
            <w:shd w:val="clear" w:color="auto" w:fill="auto"/>
            <w:vAlign w:val="center"/>
          </w:tcPr>
          <w:p w:rsidR="001A63C6" w:rsidRPr="009F17FF" w:rsidRDefault="001A63C6" w:rsidP="001A63C6">
            <w:pPr>
              <w:pStyle w:val="TableText"/>
              <w:widowControl w:val="0"/>
              <w:rPr>
                <w:rStyle w:val="EndnoteReference"/>
                <w:sz w:val="13"/>
                <w:szCs w:val="13"/>
                <w:u w:val="single"/>
              </w:rPr>
            </w:pPr>
          </w:p>
        </w:tc>
        <w:tc>
          <w:tcPr>
            <w:tcW w:w="450" w:type="dxa"/>
            <w:tcBorders>
              <w:bottom w:val="single" w:sz="4" w:space="0" w:color="auto"/>
            </w:tcBorders>
            <w:shd w:val="clear" w:color="auto" w:fill="auto"/>
            <w:vAlign w:val="center"/>
          </w:tcPr>
          <w:p w:rsidR="001A63C6" w:rsidRPr="003410C7" w:rsidRDefault="001A63C6" w:rsidP="001A63C6">
            <w:pPr>
              <w:pStyle w:val="TableText"/>
              <w:widowControl w:val="0"/>
              <w:spacing w:before="160"/>
              <w:rPr>
                <w:rFonts w:ascii="Tahoma" w:hAnsi="Tahoma" w:cs="Tahoma"/>
                <w:color w:val="000000"/>
                <w:sz w:val="13"/>
              </w:rPr>
            </w:pPr>
            <w:r w:rsidRPr="003410C7">
              <w:rPr>
                <w:rFonts w:ascii="Tahoma" w:hAnsi="Tahoma" w:cs="Tahoma"/>
                <w:color w:val="000000"/>
                <w:sz w:val="13"/>
              </w:rPr>
              <w:t>09/12</w:t>
            </w:r>
          </w:p>
        </w:tc>
        <w:tc>
          <w:tcPr>
            <w:tcW w:w="360" w:type="dxa"/>
            <w:tcBorders>
              <w:bottom w:val="single" w:sz="4" w:space="0" w:color="auto"/>
              <w:right w:val="single" w:sz="18" w:space="0" w:color="auto"/>
            </w:tcBorders>
            <w:shd w:val="clear" w:color="auto" w:fill="auto"/>
            <w:vAlign w:val="center"/>
          </w:tcPr>
          <w:p w:rsidR="001A63C6" w:rsidRPr="003410C7" w:rsidRDefault="001A63C6" w:rsidP="001A63C6">
            <w:pPr>
              <w:pStyle w:val="TableText"/>
              <w:widowControl w:val="0"/>
              <w:rPr>
                <w:rFonts w:ascii="Tahoma" w:hAnsi="Tahoma" w:cs="Tahoma"/>
                <w:color w:val="000000"/>
                <w:sz w:val="13"/>
              </w:rPr>
            </w:pPr>
            <w:r w:rsidRPr="003410C7">
              <w:rPr>
                <w:rFonts w:ascii="Tahoma" w:hAnsi="Tahoma" w:cs="Tahoma"/>
                <w:color w:val="000000"/>
                <w:sz w:val="13"/>
              </w:rPr>
              <w:t>SRV</w:t>
            </w:r>
          </w:p>
        </w:tc>
        <w:tc>
          <w:tcPr>
            <w:tcW w:w="360" w:type="dxa"/>
            <w:tcBorders>
              <w:left w:val="single" w:sz="18" w:space="0" w:color="auto"/>
              <w:bottom w:val="single" w:sz="4" w:space="0" w:color="auto"/>
            </w:tcBorders>
            <w:shd w:val="clear" w:color="auto" w:fill="auto"/>
            <w:vAlign w:val="center"/>
          </w:tcPr>
          <w:p w:rsidR="001A63C6" w:rsidRPr="003410C7" w:rsidRDefault="001A63C6" w:rsidP="001A63C6">
            <w:pPr>
              <w:pStyle w:val="TableText"/>
              <w:widowControl w:val="0"/>
              <w:rPr>
                <w:rFonts w:ascii="Tahoma" w:hAnsi="Tahoma" w:cs="Tahoma"/>
                <w:sz w:val="13"/>
              </w:rPr>
            </w:pPr>
            <w:r w:rsidRPr="003410C7">
              <w:rPr>
                <w:rFonts w:ascii="Tahoma" w:hAnsi="Tahoma" w:cs="Tahoma"/>
                <w:sz w:val="13"/>
              </w:rPr>
              <w:t>25</w:t>
            </w:r>
          </w:p>
        </w:tc>
        <w:tc>
          <w:tcPr>
            <w:tcW w:w="450" w:type="dxa"/>
            <w:tcBorders>
              <w:bottom w:val="single" w:sz="4" w:space="0" w:color="auto"/>
            </w:tcBorders>
            <w:shd w:val="clear" w:color="auto" w:fill="auto"/>
            <w:vAlign w:val="center"/>
          </w:tcPr>
          <w:p w:rsidR="001A63C6" w:rsidRPr="003410C7" w:rsidRDefault="001A63C6" w:rsidP="001A63C6">
            <w:pPr>
              <w:pStyle w:val="TableText"/>
              <w:widowControl w:val="0"/>
              <w:rPr>
                <w:rFonts w:ascii="Tahoma" w:hAnsi="Tahoma" w:cs="Tahoma"/>
                <w:sz w:val="13"/>
              </w:rPr>
            </w:pPr>
            <w:r w:rsidRPr="003410C7">
              <w:rPr>
                <w:rFonts w:ascii="Tahoma" w:hAnsi="Tahoma" w:cs="Tahoma"/>
                <w:sz w:val="13"/>
              </w:rPr>
              <w:t>63</w:t>
            </w:r>
          </w:p>
        </w:tc>
        <w:tc>
          <w:tcPr>
            <w:tcW w:w="450" w:type="dxa"/>
            <w:tcBorders>
              <w:bottom w:val="single" w:sz="4" w:space="0" w:color="auto"/>
            </w:tcBorders>
            <w:shd w:val="clear" w:color="auto" w:fill="auto"/>
            <w:vAlign w:val="center"/>
          </w:tcPr>
          <w:p w:rsidR="001A63C6" w:rsidRPr="003410C7" w:rsidRDefault="001A63C6" w:rsidP="001A63C6">
            <w:pPr>
              <w:pStyle w:val="TableText"/>
              <w:widowControl w:val="0"/>
              <w:rPr>
                <w:rFonts w:ascii="Tahoma" w:hAnsi="Tahoma" w:cs="Tahoma"/>
                <w:sz w:val="13"/>
              </w:rPr>
            </w:pPr>
            <w:r w:rsidRPr="003410C7">
              <w:rPr>
                <w:rFonts w:ascii="Tahoma" w:hAnsi="Tahoma" w:cs="Tahoma"/>
                <w:sz w:val="13"/>
              </w:rPr>
              <w:t>50</w:t>
            </w:r>
          </w:p>
        </w:tc>
        <w:tc>
          <w:tcPr>
            <w:tcW w:w="450" w:type="dxa"/>
            <w:tcBorders>
              <w:bottom w:val="single" w:sz="4" w:space="0" w:color="auto"/>
            </w:tcBorders>
            <w:shd w:val="clear" w:color="auto" w:fill="auto"/>
            <w:vAlign w:val="center"/>
          </w:tcPr>
          <w:p w:rsidR="001A63C6" w:rsidRPr="003410C7" w:rsidRDefault="001A63C6" w:rsidP="001A63C6">
            <w:pPr>
              <w:pStyle w:val="TableText"/>
              <w:widowControl w:val="0"/>
              <w:rPr>
                <w:rFonts w:ascii="Tahoma" w:hAnsi="Tahoma" w:cs="Tahoma"/>
                <w:sz w:val="13"/>
              </w:rPr>
            </w:pPr>
            <w:r w:rsidRPr="003410C7">
              <w:rPr>
                <w:rFonts w:ascii="Tahoma" w:hAnsi="Tahoma" w:cs="Tahoma"/>
                <w:sz w:val="13"/>
              </w:rPr>
              <w:t>38</w:t>
            </w:r>
          </w:p>
        </w:tc>
        <w:tc>
          <w:tcPr>
            <w:tcW w:w="450" w:type="dxa"/>
            <w:tcBorders>
              <w:bottom w:val="single" w:sz="4" w:space="0" w:color="auto"/>
            </w:tcBorders>
            <w:shd w:val="clear" w:color="auto" w:fill="auto"/>
            <w:vAlign w:val="center"/>
          </w:tcPr>
          <w:p w:rsidR="001A63C6" w:rsidRPr="003410C7" w:rsidRDefault="001A63C6" w:rsidP="001A63C6">
            <w:pPr>
              <w:pStyle w:val="TableText"/>
              <w:widowControl w:val="0"/>
              <w:rPr>
                <w:rFonts w:ascii="Tahoma" w:hAnsi="Tahoma" w:cs="Tahoma"/>
                <w:sz w:val="13"/>
              </w:rPr>
            </w:pPr>
            <w:r w:rsidRPr="003410C7">
              <w:rPr>
                <w:rFonts w:ascii="Tahoma" w:hAnsi="Tahoma" w:cs="Tahoma"/>
                <w:sz w:val="13"/>
              </w:rPr>
              <w:t>38</w:t>
            </w:r>
          </w:p>
        </w:tc>
        <w:tc>
          <w:tcPr>
            <w:tcW w:w="450" w:type="dxa"/>
            <w:tcBorders>
              <w:bottom w:val="single" w:sz="4" w:space="0" w:color="auto"/>
            </w:tcBorders>
            <w:shd w:val="clear" w:color="auto" w:fill="auto"/>
            <w:vAlign w:val="center"/>
          </w:tcPr>
          <w:p w:rsidR="001A63C6" w:rsidRPr="003410C7" w:rsidRDefault="001A63C6" w:rsidP="001A63C6">
            <w:pPr>
              <w:pStyle w:val="TableText"/>
              <w:widowControl w:val="0"/>
              <w:rPr>
                <w:rFonts w:ascii="Tahoma" w:hAnsi="Tahoma" w:cs="Tahoma"/>
                <w:sz w:val="13"/>
              </w:rPr>
            </w:pPr>
            <w:r w:rsidRPr="003410C7">
              <w:rPr>
                <w:rFonts w:ascii="Tahoma" w:hAnsi="Tahoma" w:cs="Tahoma"/>
                <w:sz w:val="13"/>
              </w:rPr>
              <w:t>25</w:t>
            </w:r>
          </w:p>
        </w:tc>
        <w:tc>
          <w:tcPr>
            <w:tcW w:w="360" w:type="dxa"/>
            <w:tcBorders>
              <w:bottom w:val="single" w:sz="4" w:space="0" w:color="auto"/>
              <w:right w:val="single" w:sz="18" w:space="0" w:color="auto"/>
            </w:tcBorders>
            <w:shd w:val="clear" w:color="auto" w:fill="auto"/>
            <w:vAlign w:val="center"/>
          </w:tcPr>
          <w:p w:rsidR="001A63C6" w:rsidRPr="003410C7" w:rsidRDefault="001A63C6" w:rsidP="001A63C6">
            <w:pPr>
              <w:pStyle w:val="TableText"/>
              <w:widowControl w:val="0"/>
              <w:rPr>
                <w:rFonts w:ascii="Tahoma" w:hAnsi="Tahoma" w:cs="Tahoma"/>
                <w:sz w:val="13"/>
              </w:rPr>
            </w:pPr>
            <w:r w:rsidRPr="003410C7">
              <w:rPr>
                <w:rFonts w:ascii="Tahoma" w:hAnsi="Tahoma" w:cs="Tahoma"/>
                <w:sz w:val="13"/>
              </w:rPr>
              <w:t>13</w:t>
            </w:r>
          </w:p>
        </w:tc>
        <w:tc>
          <w:tcPr>
            <w:tcW w:w="450" w:type="dxa"/>
            <w:tcBorders>
              <w:left w:val="single" w:sz="18" w:space="0" w:color="auto"/>
              <w:bottom w:val="single" w:sz="4" w:space="0" w:color="auto"/>
            </w:tcBorders>
            <w:shd w:val="clear" w:color="auto" w:fill="auto"/>
            <w:vAlign w:val="center"/>
          </w:tcPr>
          <w:p w:rsidR="001A63C6" w:rsidRPr="003410C7" w:rsidRDefault="001A63C6" w:rsidP="001A63C6">
            <w:pPr>
              <w:pStyle w:val="TableText"/>
              <w:widowControl w:val="0"/>
              <w:rPr>
                <w:rFonts w:ascii="Tahoma" w:hAnsi="Tahoma" w:cs="Tahoma"/>
                <w:sz w:val="13"/>
              </w:rPr>
            </w:pPr>
            <w:r w:rsidRPr="003410C7">
              <w:rPr>
                <w:rFonts w:ascii="Tahoma" w:hAnsi="Tahoma" w:cs="Tahoma"/>
                <w:sz w:val="13"/>
              </w:rPr>
              <w:t>25</w:t>
            </w:r>
          </w:p>
        </w:tc>
        <w:tc>
          <w:tcPr>
            <w:tcW w:w="450" w:type="dxa"/>
            <w:tcBorders>
              <w:bottom w:val="single" w:sz="4" w:space="0" w:color="auto"/>
            </w:tcBorders>
            <w:shd w:val="clear" w:color="auto" w:fill="auto"/>
            <w:vAlign w:val="center"/>
          </w:tcPr>
          <w:p w:rsidR="001A63C6" w:rsidRPr="003410C7" w:rsidRDefault="001A63C6" w:rsidP="001A63C6">
            <w:pPr>
              <w:pStyle w:val="TableText"/>
              <w:widowControl w:val="0"/>
              <w:rPr>
                <w:rFonts w:ascii="Tahoma" w:hAnsi="Tahoma" w:cs="Tahoma"/>
                <w:sz w:val="13"/>
              </w:rPr>
            </w:pPr>
            <w:r w:rsidRPr="003410C7">
              <w:rPr>
                <w:rFonts w:ascii="Tahoma" w:hAnsi="Tahoma" w:cs="Tahoma"/>
                <w:sz w:val="13"/>
              </w:rPr>
              <w:t>50</w:t>
            </w:r>
          </w:p>
        </w:tc>
        <w:tc>
          <w:tcPr>
            <w:tcW w:w="450" w:type="dxa"/>
            <w:tcBorders>
              <w:bottom w:val="single" w:sz="4" w:space="0" w:color="auto"/>
              <w:right w:val="single" w:sz="18" w:space="0" w:color="auto"/>
            </w:tcBorders>
            <w:shd w:val="clear" w:color="auto" w:fill="auto"/>
            <w:vAlign w:val="center"/>
          </w:tcPr>
          <w:p w:rsidR="001A63C6" w:rsidRPr="003410C7" w:rsidRDefault="001A63C6" w:rsidP="001A63C6">
            <w:pPr>
              <w:pStyle w:val="TableText"/>
              <w:widowControl w:val="0"/>
              <w:rPr>
                <w:rFonts w:ascii="Tahoma" w:hAnsi="Tahoma" w:cs="Tahoma"/>
                <w:sz w:val="13"/>
              </w:rPr>
            </w:pPr>
            <w:r w:rsidRPr="003410C7">
              <w:rPr>
                <w:rFonts w:ascii="Tahoma" w:hAnsi="Tahoma" w:cs="Tahoma"/>
                <w:sz w:val="13"/>
              </w:rPr>
              <w:t>25</w:t>
            </w:r>
          </w:p>
        </w:tc>
        <w:tc>
          <w:tcPr>
            <w:tcW w:w="450" w:type="dxa"/>
            <w:tcBorders>
              <w:left w:val="single" w:sz="18" w:space="0" w:color="auto"/>
              <w:bottom w:val="single" w:sz="4" w:space="0" w:color="auto"/>
            </w:tcBorders>
            <w:shd w:val="clear" w:color="auto" w:fill="auto"/>
            <w:vAlign w:val="center"/>
          </w:tcPr>
          <w:p w:rsidR="001A63C6" w:rsidRPr="003410C7" w:rsidRDefault="001A63C6" w:rsidP="001A63C6">
            <w:pPr>
              <w:pStyle w:val="TableText"/>
              <w:widowControl w:val="0"/>
              <w:rPr>
                <w:rFonts w:ascii="Tahoma" w:hAnsi="Tahoma" w:cs="Tahoma"/>
                <w:sz w:val="13"/>
              </w:rPr>
            </w:pPr>
            <w:r w:rsidRPr="003410C7">
              <w:rPr>
                <w:rFonts w:ascii="Tahoma" w:hAnsi="Tahoma" w:cs="Tahoma"/>
                <w:sz w:val="13"/>
              </w:rPr>
              <w:t>25</w:t>
            </w:r>
          </w:p>
        </w:tc>
        <w:tc>
          <w:tcPr>
            <w:tcW w:w="450" w:type="dxa"/>
            <w:tcBorders>
              <w:bottom w:val="single" w:sz="4" w:space="0" w:color="auto"/>
              <w:right w:val="single" w:sz="18" w:space="0" w:color="auto"/>
            </w:tcBorders>
            <w:shd w:val="clear" w:color="auto" w:fill="auto"/>
            <w:vAlign w:val="center"/>
          </w:tcPr>
          <w:p w:rsidR="001A63C6" w:rsidRPr="003410C7" w:rsidRDefault="001A63C6" w:rsidP="001A63C6">
            <w:pPr>
              <w:pStyle w:val="TableText"/>
              <w:widowControl w:val="0"/>
              <w:rPr>
                <w:rFonts w:ascii="Tahoma" w:hAnsi="Tahoma" w:cs="Tahoma"/>
                <w:sz w:val="13"/>
              </w:rPr>
            </w:pPr>
            <w:r w:rsidRPr="003410C7">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rsidR="001A63C6" w:rsidRPr="003410C7" w:rsidRDefault="001A63C6" w:rsidP="001A63C6">
            <w:pPr>
              <w:pStyle w:val="TableText"/>
              <w:widowControl w:val="0"/>
              <w:rPr>
                <w:rFonts w:ascii="Tahoma" w:hAnsi="Tahoma" w:cs="Tahoma"/>
                <w:sz w:val="13"/>
              </w:rPr>
            </w:pPr>
            <w:r w:rsidRPr="003410C7">
              <w:rPr>
                <w:rFonts w:ascii="Tahoma" w:hAnsi="Tahoma" w:cs="Tahoma"/>
                <w:sz w:val="13"/>
              </w:rPr>
              <w:t>P</w:t>
            </w:r>
          </w:p>
        </w:tc>
        <w:tc>
          <w:tcPr>
            <w:tcW w:w="450" w:type="dxa"/>
            <w:tcBorders>
              <w:bottom w:val="single" w:sz="4" w:space="0" w:color="auto"/>
            </w:tcBorders>
            <w:shd w:val="clear" w:color="auto" w:fill="auto"/>
          </w:tcPr>
          <w:p w:rsidR="001A63C6" w:rsidRPr="003410C7" w:rsidRDefault="001A63C6" w:rsidP="001A63C6">
            <w:pPr>
              <w:pStyle w:val="TableText"/>
              <w:widowControl w:val="0"/>
              <w:rPr>
                <w:rFonts w:ascii="Tahoma" w:hAnsi="Tahoma" w:cs="Tahoma"/>
                <w:sz w:val="13"/>
              </w:rPr>
            </w:pPr>
            <w:r w:rsidRPr="003410C7">
              <w:rPr>
                <w:rFonts w:ascii="Tahoma" w:hAnsi="Tahoma" w:cs="Tahoma"/>
                <w:sz w:val="13"/>
              </w:rPr>
              <w:t>A</w:t>
            </w:r>
          </w:p>
        </w:tc>
        <w:tc>
          <w:tcPr>
            <w:tcW w:w="540" w:type="dxa"/>
            <w:tcBorders>
              <w:bottom w:val="single" w:sz="4" w:space="0" w:color="auto"/>
            </w:tcBorders>
            <w:shd w:val="clear" w:color="auto" w:fill="auto"/>
            <w:vAlign w:val="center"/>
          </w:tcPr>
          <w:p w:rsidR="001A63C6" w:rsidRPr="003410C7" w:rsidRDefault="001A63C6" w:rsidP="001A63C6">
            <w:pPr>
              <w:pStyle w:val="TableText"/>
              <w:widowControl w:val="0"/>
              <w:rPr>
                <w:rFonts w:ascii="Tahoma" w:hAnsi="Tahoma" w:cs="Tahoma"/>
                <w:color w:val="000000"/>
                <w:sz w:val="13"/>
              </w:rPr>
            </w:pPr>
            <w:r w:rsidRPr="003410C7">
              <w:rPr>
                <w:rFonts w:ascii="Tahoma" w:hAnsi="Tahoma" w:cs="Tahoma"/>
                <w:color w:val="000000"/>
                <w:sz w:val="13"/>
              </w:rPr>
              <w:t>OL/OV</w:t>
            </w:r>
          </w:p>
        </w:tc>
      </w:tr>
      <w:tr w:rsidR="00B33D0E" w:rsidRPr="003410C7" w:rsidTr="006B1F3F">
        <w:trPr>
          <w:trHeight w:val="145"/>
        </w:trPr>
        <w:tc>
          <w:tcPr>
            <w:tcW w:w="2734" w:type="dxa"/>
            <w:gridSpan w:val="2"/>
            <w:tcBorders>
              <w:bottom w:val="single" w:sz="4" w:space="0" w:color="auto"/>
            </w:tcBorders>
            <w:shd w:val="clear" w:color="auto" w:fill="F4B083" w:themeFill="accent2" w:themeFillTint="99"/>
            <w:vAlign w:val="center"/>
          </w:tcPr>
          <w:p w:rsidR="001A63C6" w:rsidRPr="00451078" w:rsidRDefault="001A63C6" w:rsidP="00F57878">
            <w:pPr>
              <w:pStyle w:val="Heading2"/>
              <w:spacing w:before="20" w:after="20"/>
              <w:ind w:left="0"/>
              <w:rPr>
                <w:rFonts w:ascii="Tahoma" w:hAnsi="Tahoma" w:cs="Tahoma"/>
                <w:b w:val="0"/>
                <w:sz w:val="14"/>
                <w:szCs w:val="14"/>
                <w:lang w:val="it-IT"/>
              </w:rPr>
            </w:pPr>
            <w:bookmarkStart w:id="575" w:name="_Toc336338146"/>
            <w:bookmarkStart w:id="576" w:name="_Toc352234744"/>
            <w:r w:rsidRPr="00451078">
              <w:rPr>
                <w:rFonts w:ascii="Tahoma" w:hAnsi="Tahoma" w:cs="Tahoma"/>
                <w:b w:val="0"/>
                <w:sz w:val="14"/>
                <w:szCs w:val="14"/>
                <w:lang w:val="it-IT"/>
              </w:rPr>
              <w:t>CAL per Servizi Desktop Remoto Windows</w:t>
            </w:r>
            <w:r w:rsidR="00F57878" w:rsidRPr="00451078">
              <w:rPr>
                <w:rFonts w:ascii="Tahoma" w:hAnsi="Tahoma" w:cs="Tahoma"/>
                <w:b w:val="0"/>
                <w:sz w:val="14"/>
                <w:szCs w:val="14"/>
                <w:lang w:val="it-IT"/>
              </w:rPr>
              <w:t> </w:t>
            </w:r>
            <w:r w:rsidRPr="00451078">
              <w:rPr>
                <w:rFonts w:ascii="Tahoma" w:hAnsi="Tahoma" w:cs="Tahoma"/>
                <w:b w:val="0"/>
                <w:sz w:val="14"/>
                <w:szCs w:val="14"/>
                <w:lang w:val="it-IT"/>
              </w:rPr>
              <w:t>Server™ 2012</w:t>
            </w:r>
            <w:bookmarkEnd w:id="575"/>
            <w:bookmarkEnd w:id="576"/>
          </w:p>
        </w:tc>
        <w:tc>
          <w:tcPr>
            <w:tcW w:w="450" w:type="dxa"/>
            <w:tcBorders>
              <w:bottom w:val="single" w:sz="4" w:space="0" w:color="auto"/>
            </w:tcBorders>
            <w:shd w:val="clear" w:color="auto" w:fill="F4B083" w:themeFill="accent2" w:themeFillTint="99"/>
            <w:vAlign w:val="center"/>
          </w:tcPr>
          <w:p w:rsidR="001A63C6" w:rsidRPr="00451078" w:rsidRDefault="001A63C6" w:rsidP="001A63C6">
            <w:pPr>
              <w:pStyle w:val="TableText"/>
              <w:widowControl w:val="0"/>
              <w:rPr>
                <w:rStyle w:val="EndnoteReference"/>
                <w:sz w:val="13"/>
                <w:szCs w:val="13"/>
                <w:u w:val="single"/>
                <w:lang w:val="it-IT"/>
              </w:rPr>
            </w:pPr>
          </w:p>
        </w:tc>
        <w:tc>
          <w:tcPr>
            <w:tcW w:w="450" w:type="dxa"/>
            <w:tcBorders>
              <w:bottom w:val="single" w:sz="4" w:space="0" w:color="auto"/>
            </w:tcBorders>
            <w:shd w:val="clear" w:color="auto" w:fill="F4B083" w:themeFill="accent2" w:themeFillTint="99"/>
            <w:vAlign w:val="center"/>
          </w:tcPr>
          <w:p w:rsidR="001A63C6" w:rsidRPr="003410C7" w:rsidRDefault="001A63C6" w:rsidP="001A63C6">
            <w:pPr>
              <w:pStyle w:val="TableText"/>
              <w:widowControl w:val="0"/>
              <w:spacing w:before="160"/>
              <w:rPr>
                <w:rFonts w:ascii="Tahoma" w:hAnsi="Tahoma" w:cs="Tahoma"/>
                <w:color w:val="000000"/>
                <w:sz w:val="13"/>
              </w:rPr>
            </w:pPr>
            <w:r w:rsidRPr="003410C7">
              <w:rPr>
                <w:rFonts w:ascii="Tahoma" w:hAnsi="Tahoma" w:cs="Tahoma"/>
                <w:color w:val="000000"/>
                <w:sz w:val="13"/>
              </w:rPr>
              <w:t>09/12</w:t>
            </w:r>
          </w:p>
        </w:tc>
        <w:tc>
          <w:tcPr>
            <w:tcW w:w="360" w:type="dxa"/>
            <w:tcBorders>
              <w:bottom w:val="single" w:sz="4" w:space="0" w:color="auto"/>
              <w:right w:val="single" w:sz="18" w:space="0" w:color="auto"/>
            </w:tcBorders>
            <w:shd w:val="clear" w:color="auto" w:fill="F4B083" w:themeFill="accent2" w:themeFillTint="99"/>
            <w:vAlign w:val="center"/>
          </w:tcPr>
          <w:p w:rsidR="001A63C6" w:rsidRPr="003410C7" w:rsidRDefault="001A63C6" w:rsidP="001A63C6">
            <w:pPr>
              <w:pStyle w:val="TableText"/>
              <w:widowControl w:val="0"/>
              <w:rPr>
                <w:rFonts w:ascii="Tahoma" w:hAnsi="Tahoma" w:cs="Tahoma"/>
                <w:color w:val="000000"/>
                <w:sz w:val="13"/>
              </w:rPr>
            </w:pPr>
            <w:r w:rsidRPr="003410C7">
              <w:rPr>
                <w:rFonts w:ascii="Tahoma" w:hAnsi="Tahoma" w:cs="Tahoma"/>
                <w:color w:val="000000"/>
                <w:sz w:val="13"/>
              </w:rPr>
              <w:t>SRV</w:t>
            </w:r>
          </w:p>
        </w:tc>
        <w:tc>
          <w:tcPr>
            <w:tcW w:w="360" w:type="dxa"/>
            <w:tcBorders>
              <w:left w:val="single" w:sz="18" w:space="0" w:color="auto"/>
              <w:bottom w:val="single" w:sz="4" w:space="0" w:color="auto"/>
            </w:tcBorders>
            <w:shd w:val="clear" w:color="auto" w:fill="F4B083" w:themeFill="accent2" w:themeFillTint="99"/>
            <w:vAlign w:val="center"/>
          </w:tcPr>
          <w:p w:rsidR="001A63C6" w:rsidRPr="003410C7" w:rsidRDefault="001A63C6" w:rsidP="001A63C6">
            <w:pPr>
              <w:pStyle w:val="TableText"/>
              <w:widowControl w:val="0"/>
              <w:rPr>
                <w:rFonts w:ascii="Tahoma" w:hAnsi="Tahoma" w:cs="Tahoma"/>
                <w:sz w:val="13"/>
              </w:rPr>
            </w:pPr>
            <w:r w:rsidRPr="003410C7">
              <w:rPr>
                <w:rFonts w:ascii="Tahoma" w:hAnsi="Tahoma" w:cs="Tahoma"/>
                <w:sz w:val="13"/>
              </w:rPr>
              <w:t>1</w:t>
            </w:r>
          </w:p>
        </w:tc>
        <w:tc>
          <w:tcPr>
            <w:tcW w:w="450" w:type="dxa"/>
            <w:tcBorders>
              <w:bottom w:val="single" w:sz="4" w:space="0" w:color="auto"/>
            </w:tcBorders>
            <w:shd w:val="clear" w:color="auto" w:fill="F4B083" w:themeFill="accent2" w:themeFillTint="99"/>
            <w:vAlign w:val="center"/>
          </w:tcPr>
          <w:p w:rsidR="001A63C6" w:rsidRPr="003410C7" w:rsidRDefault="001A63C6" w:rsidP="001A63C6">
            <w:pPr>
              <w:pStyle w:val="TableText"/>
              <w:widowControl w:val="0"/>
              <w:rPr>
                <w:rFonts w:ascii="Tahoma" w:hAnsi="Tahoma" w:cs="Tahoma"/>
                <w:sz w:val="13"/>
              </w:rPr>
            </w:pPr>
            <w:r w:rsidRPr="003410C7">
              <w:rPr>
                <w:rFonts w:ascii="Tahoma" w:hAnsi="Tahoma" w:cs="Tahoma"/>
                <w:sz w:val="13"/>
              </w:rPr>
              <w:t>3</w:t>
            </w:r>
          </w:p>
        </w:tc>
        <w:tc>
          <w:tcPr>
            <w:tcW w:w="450" w:type="dxa"/>
            <w:tcBorders>
              <w:bottom w:val="single" w:sz="4" w:space="0" w:color="auto"/>
            </w:tcBorders>
            <w:shd w:val="clear" w:color="auto" w:fill="F4B083" w:themeFill="accent2" w:themeFillTint="99"/>
            <w:vAlign w:val="center"/>
          </w:tcPr>
          <w:p w:rsidR="001A63C6" w:rsidRPr="003410C7" w:rsidRDefault="001A63C6" w:rsidP="001A63C6">
            <w:pPr>
              <w:pStyle w:val="TableText"/>
              <w:widowControl w:val="0"/>
              <w:rPr>
                <w:rFonts w:ascii="Tahoma" w:hAnsi="Tahoma" w:cs="Tahoma"/>
                <w:sz w:val="13"/>
              </w:rPr>
            </w:pPr>
            <w:r w:rsidRPr="003410C7">
              <w:rPr>
                <w:rFonts w:ascii="Tahoma" w:hAnsi="Tahoma" w:cs="Tahoma"/>
                <w:sz w:val="13"/>
              </w:rPr>
              <w:t>2</w:t>
            </w:r>
          </w:p>
        </w:tc>
        <w:tc>
          <w:tcPr>
            <w:tcW w:w="450" w:type="dxa"/>
            <w:tcBorders>
              <w:bottom w:val="single" w:sz="4" w:space="0" w:color="auto"/>
            </w:tcBorders>
            <w:shd w:val="clear" w:color="auto" w:fill="F4B083" w:themeFill="accent2" w:themeFillTint="99"/>
            <w:vAlign w:val="center"/>
          </w:tcPr>
          <w:p w:rsidR="001A63C6" w:rsidRPr="003410C7" w:rsidRDefault="001A63C6" w:rsidP="001A63C6">
            <w:pPr>
              <w:pStyle w:val="TableText"/>
              <w:widowControl w:val="0"/>
              <w:rPr>
                <w:rFonts w:ascii="Tahoma" w:hAnsi="Tahoma" w:cs="Tahoma"/>
                <w:sz w:val="13"/>
              </w:rPr>
            </w:pPr>
            <w:r w:rsidRPr="003410C7">
              <w:rPr>
                <w:rFonts w:ascii="Tahoma" w:hAnsi="Tahoma" w:cs="Tahoma"/>
                <w:sz w:val="13"/>
              </w:rPr>
              <w:t>2</w:t>
            </w:r>
          </w:p>
        </w:tc>
        <w:tc>
          <w:tcPr>
            <w:tcW w:w="450" w:type="dxa"/>
            <w:tcBorders>
              <w:bottom w:val="single" w:sz="4" w:space="0" w:color="auto"/>
            </w:tcBorders>
            <w:shd w:val="clear" w:color="auto" w:fill="F4B083" w:themeFill="accent2" w:themeFillTint="99"/>
            <w:vAlign w:val="center"/>
          </w:tcPr>
          <w:p w:rsidR="001A63C6" w:rsidRPr="003410C7" w:rsidRDefault="001A63C6" w:rsidP="001A63C6">
            <w:pPr>
              <w:pStyle w:val="TableText"/>
              <w:widowControl w:val="0"/>
              <w:rPr>
                <w:rFonts w:ascii="Tahoma" w:hAnsi="Tahoma" w:cs="Tahoma"/>
                <w:sz w:val="13"/>
              </w:rPr>
            </w:pPr>
            <w:r w:rsidRPr="003410C7">
              <w:rPr>
                <w:rFonts w:ascii="Tahoma" w:hAnsi="Tahoma" w:cs="Tahoma"/>
                <w:sz w:val="13"/>
              </w:rPr>
              <w:t>2</w:t>
            </w:r>
          </w:p>
        </w:tc>
        <w:tc>
          <w:tcPr>
            <w:tcW w:w="450" w:type="dxa"/>
            <w:tcBorders>
              <w:bottom w:val="single" w:sz="4" w:space="0" w:color="auto"/>
            </w:tcBorders>
            <w:shd w:val="clear" w:color="auto" w:fill="F4B083" w:themeFill="accent2" w:themeFillTint="99"/>
            <w:vAlign w:val="center"/>
          </w:tcPr>
          <w:p w:rsidR="001A63C6" w:rsidRPr="003410C7" w:rsidRDefault="001A63C6" w:rsidP="001A63C6">
            <w:pPr>
              <w:pStyle w:val="TableText"/>
              <w:widowControl w:val="0"/>
              <w:rPr>
                <w:rFonts w:ascii="Tahoma" w:hAnsi="Tahoma" w:cs="Tahoma"/>
                <w:sz w:val="13"/>
              </w:rPr>
            </w:pPr>
            <w:r w:rsidRPr="003410C7">
              <w:rPr>
                <w:rFonts w:ascii="Tahoma" w:hAnsi="Tahoma" w:cs="Tahoma"/>
                <w:sz w:val="13"/>
              </w:rPr>
              <w:t>1</w:t>
            </w:r>
          </w:p>
        </w:tc>
        <w:tc>
          <w:tcPr>
            <w:tcW w:w="360" w:type="dxa"/>
            <w:tcBorders>
              <w:bottom w:val="single" w:sz="4" w:space="0" w:color="auto"/>
              <w:right w:val="single" w:sz="18" w:space="0" w:color="auto"/>
            </w:tcBorders>
            <w:shd w:val="clear" w:color="auto" w:fill="F4B083" w:themeFill="accent2" w:themeFillTint="99"/>
            <w:vAlign w:val="center"/>
          </w:tcPr>
          <w:p w:rsidR="001A63C6" w:rsidRPr="003410C7" w:rsidRDefault="001A63C6" w:rsidP="001A63C6">
            <w:pPr>
              <w:pStyle w:val="TableText"/>
              <w:widowControl w:val="0"/>
              <w:rPr>
                <w:rFonts w:ascii="Tahoma" w:hAnsi="Tahoma" w:cs="Tahoma"/>
                <w:sz w:val="13"/>
              </w:rPr>
            </w:pPr>
            <w:r w:rsidRPr="003410C7">
              <w:rPr>
                <w:rFonts w:ascii="Tahoma" w:hAnsi="Tahoma" w:cs="Tahoma"/>
                <w:sz w:val="13"/>
              </w:rPr>
              <w:t>1</w:t>
            </w:r>
          </w:p>
        </w:tc>
        <w:tc>
          <w:tcPr>
            <w:tcW w:w="450" w:type="dxa"/>
            <w:tcBorders>
              <w:left w:val="single" w:sz="18" w:space="0" w:color="auto"/>
              <w:bottom w:val="single" w:sz="4" w:space="0" w:color="auto"/>
            </w:tcBorders>
            <w:shd w:val="clear" w:color="auto" w:fill="F4B083" w:themeFill="accent2" w:themeFillTint="99"/>
            <w:vAlign w:val="center"/>
          </w:tcPr>
          <w:p w:rsidR="001A63C6" w:rsidRPr="003410C7" w:rsidRDefault="001A63C6" w:rsidP="001A63C6">
            <w:pPr>
              <w:pStyle w:val="TableText"/>
              <w:widowControl w:val="0"/>
              <w:rPr>
                <w:rFonts w:ascii="Tahoma" w:hAnsi="Tahoma" w:cs="Tahoma"/>
                <w:sz w:val="13"/>
              </w:rPr>
            </w:pPr>
            <w:r w:rsidRPr="003410C7">
              <w:rPr>
                <w:rFonts w:ascii="Tahoma" w:hAnsi="Tahoma" w:cs="Tahoma"/>
                <w:sz w:val="13"/>
              </w:rPr>
              <w:t>1</w:t>
            </w:r>
          </w:p>
        </w:tc>
        <w:tc>
          <w:tcPr>
            <w:tcW w:w="450" w:type="dxa"/>
            <w:tcBorders>
              <w:bottom w:val="single" w:sz="4" w:space="0" w:color="auto"/>
            </w:tcBorders>
            <w:shd w:val="clear" w:color="auto" w:fill="F4B083" w:themeFill="accent2" w:themeFillTint="99"/>
            <w:vAlign w:val="center"/>
          </w:tcPr>
          <w:p w:rsidR="001A63C6" w:rsidRPr="003410C7" w:rsidRDefault="001A63C6" w:rsidP="001A63C6">
            <w:pPr>
              <w:pStyle w:val="TableText"/>
              <w:widowControl w:val="0"/>
              <w:rPr>
                <w:rFonts w:ascii="Tahoma" w:hAnsi="Tahoma" w:cs="Tahoma"/>
                <w:sz w:val="13"/>
              </w:rPr>
            </w:pPr>
            <w:r w:rsidRPr="003410C7">
              <w:rPr>
                <w:rFonts w:ascii="Tahoma" w:hAnsi="Tahoma" w:cs="Tahoma"/>
                <w:sz w:val="13"/>
              </w:rPr>
              <w:t>2</w:t>
            </w:r>
          </w:p>
        </w:tc>
        <w:tc>
          <w:tcPr>
            <w:tcW w:w="450" w:type="dxa"/>
            <w:tcBorders>
              <w:bottom w:val="single" w:sz="4" w:space="0" w:color="auto"/>
              <w:right w:val="single" w:sz="18" w:space="0" w:color="auto"/>
            </w:tcBorders>
            <w:shd w:val="clear" w:color="auto" w:fill="F4B083" w:themeFill="accent2" w:themeFillTint="99"/>
            <w:vAlign w:val="center"/>
          </w:tcPr>
          <w:p w:rsidR="001A63C6" w:rsidRPr="003410C7" w:rsidRDefault="001A63C6" w:rsidP="001A63C6">
            <w:pPr>
              <w:pStyle w:val="TableText"/>
              <w:widowControl w:val="0"/>
              <w:rPr>
                <w:rFonts w:ascii="Tahoma" w:hAnsi="Tahoma" w:cs="Tahoma"/>
                <w:sz w:val="13"/>
              </w:rPr>
            </w:pPr>
            <w:r w:rsidRPr="003410C7">
              <w:rPr>
                <w:rFonts w:ascii="Tahoma" w:hAnsi="Tahoma" w:cs="Tahoma"/>
                <w:sz w:val="13"/>
              </w:rPr>
              <w:t>1</w:t>
            </w:r>
          </w:p>
        </w:tc>
        <w:tc>
          <w:tcPr>
            <w:tcW w:w="450" w:type="dxa"/>
            <w:tcBorders>
              <w:left w:val="single" w:sz="18" w:space="0" w:color="auto"/>
              <w:bottom w:val="single" w:sz="4" w:space="0" w:color="auto"/>
            </w:tcBorders>
            <w:shd w:val="clear" w:color="auto" w:fill="F4B083" w:themeFill="accent2" w:themeFillTint="99"/>
            <w:vAlign w:val="center"/>
          </w:tcPr>
          <w:p w:rsidR="001A63C6" w:rsidRPr="003410C7" w:rsidRDefault="001A63C6" w:rsidP="001A63C6">
            <w:pPr>
              <w:pStyle w:val="TableText"/>
              <w:widowControl w:val="0"/>
              <w:rPr>
                <w:rFonts w:ascii="Tahoma" w:hAnsi="Tahoma" w:cs="Tahoma"/>
                <w:sz w:val="13"/>
              </w:rPr>
            </w:pPr>
            <w:r w:rsidRPr="003410C7">
              <w:rPr>
                <w:rFonts w:ascii="Tahoma" w:hAnsi="Tahoma" w:cs="Tahoma"/>
                <w:sz w:val="13"/>
              </w:rPr>
              <w:t>1</w:t>
            </w:r>
          </w:p>
        </w:tc>
        <w:tc>
          <w:tcPr>
            <w:tcW w:w="450" w:type="dxa"/>
            <w:tcBorders>
              <w:bottom w:val="single" w:sz="4" w:space="0" w:color="auto"/>
              <w:right w:val="single" w:sz="18" w:space="0" w:color="auto"/>
            </w:tcBorders>
            <w:shd w:val="clear" w:color="auto" w:fill="F4B083" w:themeFill="accent2" w:themeFillTint="99"/>
            <w:vAlign w:val="center"/>
          </w:tcPr>
          <w:p w:rsidR="001A63C6" w:rsidRPr="003410C7" w:rsidRDefault="001A63C6" w:rsidP="001A63C6">
            <w:pPr>
              <w:pStyle w:val="TableText"/>
              <w:widowControl w:val="0"/>
              <w:rPr>
                <w:rFonts w:ascii="Tahoma" w:hAnsi="Tahoma" w:cs="Tahoma"/>
                <w:sz w:val="13"/>
              </w:rPr>
            </w:pPr>
            <w:r w:rsidRPr="003410C7">
              <w:rPr>
                <w:rFonts w:ascii="Tahoma" w:hAnsi="Tahoma" w:cs="Tahoma"/>
                <w:sz w:val="13"/>
              </w:rPr>
              <w:t>A,D</w:t>
            </w:r>
          </w:p>
        </w:tc>
        <w:tc>
          <w:tcPr>
            <w:tcW w:w="450" w:type="dxa"/>
            <w:tcBorders>
              <w:left w:val="single" w:sz="18" w:space="0" w:color="auto"/>
              <w:bottom w:val="single" w:sz="4" w:space="0" w:color="auto"/>
              <w:right w:val="single" w:sz="18" w:space="0" w:color="auto"/>
            </w:tcBorders>
            <w:shd w:val="clear" w:color="auto" w:fill="F4B083" w:themeFill="accent2" w:themeFillTint="99"/>
            <w:vAlign w:val="center"/>
          </w:tcPr>
          <w:p w:rsidR="001A63C6" w:rsidRPr="003410C7" w:rsidRDefault="001A63C6" w:rsidP="001A63C6">
            <w:pPr>
              <w:pStyle w:val="TableText"/>
              <w:widowControl w:val="0"/>
              <w:rPr>
                <w:rFonts w:ascii="Tahoma" w:hAnsi="Tahoma" w:cs="Tahoma"/>
                <w:sz w:val="13"/>
              </w:rPr>
            </w:pPr>
            <w:r w:rsidRPr="003410C7">
              <w:rPr>
                <w:rFonts w:ascii="Tahoma" w:hAnsi="Tahoma" w:cs="Tahoma"/>
                <w:sz w:val="13"/>
              </w:rPr>
              <w:t>P</w:t>
            </w:r>
          </w:p>
        </w:tc>
        <w:tc>
          <w:tcPr>
            <w:tcW w:w="450" w:type="dxa"/>
            <w:tcBorders>
              <w:bottom w:val="single" w:sz="4" w:space="0" w:color="auto"/>
            </w:tcBorders>
            <w:shd w:val="clear" w:color="auto" w:fill="F4B083" w:themeFill="accent2" w:themeFillTint="99"/>
          </w:tcPr>
          <w:p w:rsidR="001A63C6" w:rsidRPr="003410C7" w:rsidRDefault="001A63C6" w:rsidP="001A63C6">
            <w:pPr>
              <w:pStyle w:val="TableText"/>
              <w:widowControl w:val="0"/>
              <w:rPr>
                <w:rFonts w:ascii="Tahoma" w:hAnsi="Tahoma" w:cs="Tahoma"/>
                <w:sz w:val="13"/>
              </w:rPr>
            </w:pPr>
            <w:r w:rsidRPr="003410C7">
              <w:rPr>
                <w:rFonts w:ascii="Tahoma" w:hAnsi="Tahoma" w:cs="Tahoma"/>
                <w:sz w:val="13"/>
              </w:rPr>
              <w:t>A, ST</w:t>
            </w:r>
          </w:p>
        </w:tc>
        <w:tc>
          <w:tcPr>
            <w:tcW w:w="540" w:type="dxa"/>
            <w:tcBorders>
              <w:bottom w:val="single" w:sz="4" w:space="0" w:color="auto"/>
            </w:tcBorders>
            <w:shd w:val="clear" w:color="auto" w:fill="F4B083" w:themeFill="accent2" w:themeFillTint="99"/>
            <w:vAlign w:val="center"/>
          </w:tcPr>
          <w:p w:rsidR="001A63C6" w:rsidRPr="003410C7" w:rsidRDefault="001A63C6" w:rsidP="001A63C6">
            <w:pPr>
              <w:pStyle w:val="TableText"/>
              <w:widowControl w:val="0"/>
              <w:rPr>
                <w:rFonts w:ascii="Tahoma" w:hAnsi="Tahoma" w:cs="Tahoma"/>
                <w:color w:val="000000"/>
                <w:sz w:val="13"/>
              </w:rPr>
            </w:pPr>
          </w:p>
        </w:tc>
      </w:tr>
      <w:tr w:rsidR="001A63C6" w:rsidRPr="003410C7" w:rsidTr="007E466C">
        <w:trPr>
          <w:trHeight w:val="431"/>
        </w:trPr>
        <w:tc>
          <w:tcPr>
            <w:tcW w:w="2734" w:type="dxa"/>
            <w:gridSpan w:val="2"/>
            <w:tcBorders>
              <w:bottom w:val="single" w:sz="4" w:space="0" w:color="auto"/>
            </w:tcBorders>
            <w:shd w:val="clear" w:color="auto" w:fill="auto"/>
            <w:vAlign w:val="center"/>
          </w:tcPr>
          <w:p w:rsidR="001A63C6" w:rsidRPr="003410C7" w:rsidRDefault="001A63C6" w:rsidP="001A63C6">
            <w:pPr>
              <w:pStyle w:val="Heading2"/>
              <w:spacing w:before="20" w:after="20"/>
              <w:ind w:left="0"/>
              <w:rPr>
                <w:rFonts w:ascii="Tahoma" w:hAnsi="Tahoma" w:cs="Tahoma"/>
                <w:b w:val="0"/>
                <w:sz w:val="14"/>
                <w:szCs w:val="14"/>
              </w:rPr>
            </w:pPr>
            <w:bookmarkStart w:id="577" w:name="_Toc336338147"/>
            <w:bookmarkStart w:id="578" w:name="_Toc352234745"/>
            <w:r w:rsidRPr="003410C7">
              <w:rPr>
                <w:rFonts w:ascii="Tahoma" w:hAnsi="Tahoma" w:cs="Tahoma"/>
                <w:b w:val="0"/>
                <w:sz w:val="14"/>
                <w:szCs w:val="14"/>
              </w:rPr>
              <w:t>External Connector per Servizi Desktop Remoto Windows Server™ 2012</w:t>
            </w:r>
            <w:bookmarkEnd w:id="577"/>
            <w:bookmarkEnd w:id="578"/>
          </w:p>
        </w:tc>
        <w:tc>
          <w:tcPr>
            <w:tcW w:w="450" w:type="dxa"/>
            <w:tcBorders>
              <w:bottom w:val="single" w:sz="4" w:space="0" w:color="auto"/>
            </w:tcBorders>
            <w:shd w:val="clear" w:color="auto" w:fill="auto"/>
            <w:vAlign w:val="center"/>
          </w:tcPr>
          <w:p w:rsidR="001A63C6" w:rsidRPr="009F17FF" w:rsidRDefault="001A63C6" w:rsidP="001A63C6">
            <w:pPr>
              <w:pStyle w:val="TableText"/>
              <w:widowControl w:val="0"/>
              <w:rPr>
                <w:rStyle w:val="EndnoteReference"/>
                <w:sz w:val="13"/>
                <w:szCs w:val="13"/>
                <w:u w:val="single"/>
              </w:rPr>
            </w:pPr>
          </w:p>
        </w:tc>
        <w:tc>
          <w:tcPr>
            <w:tcW w:w="450" w:type="dxa"/>
            <w:tcBorders>
              <w:bottom w:val="single" w:sz="4" w:space="0" w:color="auto"/>
            </w:tcBorders>
            <w:shd w:val="clear" w:color="auto" w:fill="auto"/>
            <w:vAlign w:val="center"/>
          </w:tcPr>
          <w:p w:rsidR="001A63C6" w:rsidRPr="003410C7" w:rsidRDefault="001A63C6" w:rsidP="001A63C6">
            <w:pPr>
              <w:pStyle w:val="TableText"/>
              <w:widowControl w:val="0"/>
              <w:spacing w:before="160"/>
              <w:rPr>
                <w:rFonts w:ascii="Tahoma" w:hAnsi="Tahoma" w:cs="Tahoma"/>
                <w:color w:val="000000"/>
                <w:sz w:val="13"/>
              </w:rPr>
            </w:pPr>
            <w:r w:rsidRPr="003410C7">
              <w:rPr>
                <w:rFonts w:ascii="Tahoma" w:hAnsi="Tahoma" w:cs="Tahoma"/>
                <w:color w:val="000000"/>
                <w:sz w:val="13"/>
              </w:rPr>
              <w:t>09/12</w:t>
            </w:r>
          </w:p>
        </w:tc>
        <w:tc>
          <w:tcPr>
            <w:tcW w:w="360" w:type="dxa"/>
            <w:tcBorders>
              <w:bottom w:val="single" w:sz="4" w:space="0" w:color="auto"/>
              <w:right w:val="single" w:sz="18" w:space="0" w:color="auto"/>
            </w:tcBorders>
            <w:shd w:val="clear" w:color="auto" w:fill="auto"/>
            <w:vAlign w:val="center"/>
          </w:tcPr>
          <w:p w:rsidR="001A63C6" w:rsidRPr="003410C7" w:rsidRDefault="001A63C6" w:rsidP="001A63C6">
            <w:pPr>
              <w:pStyle w:val="TableText"/>
              <w:widowControl w:val="0"/>
              <w:rPr>
                <w:rFonts w:ascii="Tahoma" w:hAnsi="Tahoma" w:cs="Tahoma"/>
                <w:color w:val="000000"/>
                <w:sz w:val="13"/>
              </w:rPr>
            </w:pPr>
            <w:r w:rsidRPr="003410C7">
              <w:rPr>
                <w:rFonts w:ascii="Tahoma" w:hAnsi="Tahoma" w:cs="Tahoma"/>
                <w:color w:val="000000"/>
                <w:sz w:val="13"/>
              </w:rPr>
              <w:t>SRV</w:t>
            </w:r>
          </w:p>
        </w:tc>
        <w:tc>
          <w:tcPr>
            <w:tcW w:w="360" w:type="dxa"/>
            <w:tcBorders>
              <w:left w:val="single" w:sz="18" w:space="0" w:color="auto"/>
              <w:bottom w:val="single" w:sz="4" w:space="0" w:color="auto"/>
            </w:tcBorders>
            <w:shd w:val="clear" w:color="auto" w:fill="auto"/>
            <w:vAlign w:val="center"/>
          </w:tcPr>
          <w:p w:rsidR="001A63C6" w:rsidRPr="003410C7" w:rsidRDefault="001A63C6" w:rsidP="001A63C6">
            <w:pPr>
              <w:pStyle w:val="TableText"/>
              <w:widowControl w:val="0"/>
              <w:rPr>
                <w:rFonts w:ascii="Tahoma" w:hAnsi="Tahoma" w:cs="Tahoma"/>
                <w:sz w:val="13"/>
              </w:rPr>
            </w:pPr>
            <w:r w:rsidRPr="003410C7">
              <w:rPr>
                <w:rFonts w:ascii="Tahoma" w:hAnsi="Tahoma" w:cs="Tahoma"/>
                <w:sz w:val="13"/>
              </w:rPr>
              <w:t>75</w:t>
            </w:r>
          </w:p>
        </w:tc>
        <w:tc>
          <w:tcPr>
            <w:tcW w:w="450" w:type="dxa"/>
            <w:tcBorders>
              <w:bottom w:val="single" w:sz="4" w:space="0" w:color="auto"/>
            </w:tcBorders>
            <w:shd w:val="clear" w:color="auto" w:fill="auto"/>
            <w:vAlign w:val="center"/>
          </w:tcPr>
          <w:p w:rsidR="001A63C6" w:rsidRPr="003410C7" w:rsidRDefault="001A63C6" w:rsidP="001A63C6">
            <w:pPr>
              <w:pStyle w:val="TableText"/>
              <w:widowControl w:val="0"/>
              <w:rPr>
                <w:rFonts w:ascii="Tahoma" w:hAnsi="Tahoma" w:cs="Tahoma"/>
                <w:sz w:val="13"/>
              </w:rPr>
            </w:pPr>
            <w:r w:rsidRPr="003410C7">
              <w:rPr>
                <w:rFonts w:ascii="Tahoma" w:hAnsi="Tahoma" w:cs="Tahoma"/>
                <w:sz w:val="13"/>
              </w:rPr>
              <w:t>188</w:t>
            </w:r>
          </w:p>
        </w:tc>
        <w:tc>
          <w:tcPr>
            <w:tcW w:w="450" w:type="dxa"/>
            <w:tcBorders>
              <w:bottom w:val="single" w:sz="4" w:space="0" w:color="auto"/>
            </w:tcBorders>
            <w:shd w:val="clear" w:color="auto" w:fill="auto"/>
            <w:vAlign w:val="center"/>
          </w:tcPr>
          <w:p w:rsidR="001A63C6" w:rsidRPr="003410C7" w:rsidRDefault="001A63C6" w:rsidP="001A63C6">
            <w:pPr>
              <w:pStyle w:val="TableText"/>
              <w:widowControl w:val="0"/>
              <w:rPr>
                <w:rFonts w:ascii="Tahoma" w:hAnsi="Tahoma" w:cs="Tahoma"/>
                <w:sz w:val="13"/>
              </w:rPr>
            </w:pPr>
            <w:r w:rsidRPr="003410C7">
              <w:rPr>
                <w:rFonts w:ascii="Tahoma" w:hAnsi="Tahoma" w:cs="Tahoma"/>
                <w:sz w:val="13"/>
              </w:rPr>
              <w:t>150</w:t>
            </w:r>
          </w:p>
        </w:tc>
        <w:tc>
          <w:tcPr>
            <w:tcW w:w="450" w:type="dxa"/>
            <w:tcBorders>
              <w:bottom w:val="single" w:sz="4" w:space="0" w:color="auto"/>
            </w:tcBorders>
            <w:shd w:val="clear" w:color="auto" w:fill="auto"/>
            <w:vAlign w:val="center"/>
          </w:tcPr>
          <w:p w:rsidR="001A63C6" w:rsidRPr="003410C7" w:rsidRDefault="001A63C6" w:rsidP="001A63C6">
            <w:pPr>
              <w:pStyle w:val="TableText"/>
              <w:widowControl w:val="0"/>
              <w:rPr>
                <w:rFonts w:ascii="Tahoma" w:hAnsi="Tahoma" w:cs="Tahoma"/>
                <w:sz w:val="13"/>
              </w:rPr>
            </w:pPr>
            <w:r w:rsidRPr="003410C7">
              <w:rPr>
                <w:rFonts w:ascii="Tahoma" w:hAnsi="Tahoma" w:cs="Tahoma"/>
                <w:sz w:val="13"/>
              </w:rPr>
              <w:t>113</w:t>
            </w:r>
          </w:p>
        </w:tc>
        <w:tc>
          <w:tcPr>
            <w:tcW w:w="450" w:type="dxa"/>
            <w:tcBorders>
              <w:bottom w:val="single" w:sz="4" w:space="0" w:color="auto"/>
            </w:tcBorders>
            <w:shd w:val="clear" w:color="auto" w:fill="auto"/>
            <w:vAlign w:val="center"/>
          </w:tcPr>
          <w:p w:rsidR="001A63C6" w:rsidRPr="003410C7" w:rsidRDefault="001A63C6" w:rsidP="001A63C6">
            <w:pPr>
              <w:pStyle w:val="TableText"/>
              <w:widowControl w:val="0"/>
              <w:rPr>
                <w:rFonts w:ascii="Tahoma" w:hAnsi="Tahoma" w:cs="Tahoma"/>
                <w:sz w:val="13"/>
              </w:rPr>
            </w:pPr>
            <w:r w:rsidRPr="003410C7">
              <w:rPr>
                <w:rFonts w:ascii="Tahoma" w:hAnsi="Tahoma" w:cs="Tahoma"/>
                <w:sz w:val="13"/>
              </w:rPr>
              <w:t>113</w:t>
            </w:r>
          </w:p>
        </w:tc>
        <w:tc>
          <w:tcPr>
            <w:tcW w:w="450" w:type="dxa"/>
            <w:tcBorders>
              <w:bottom w:val="single" w:sz="4" w:space="0" w:color="auto"/>
            </w:tcBorders>
            <w:shd w:val="clear" w:color="auto" w:fill="auto"/>
            <w:vAlign w:val="center"/>
          </w:tcPr>
          <w:p w:rsidR="001A63C6" w:rsidRPr="003410C7" w:rsidRDefault="001A63C6" w:rsidP="001A63C6">
            <w:pPr>
              <w:pStyle w:val="TableText"/>
              <w:widowControl w:val="0"/>
              <w:rPr>
                <w:rFonts w:ascii="Tahoma" w:hAnsi="Tahoma" w:cs="Tahoma"/>
                <w:sz w:val="13"/>
              </w:rPr>
            </w:pPr>
            <w:r w:rsidRPr="003410C7">
              <w:rPr>
                <w:rFonts w:ascii="Tahoma" w:hAnsi="Tahoma" w:cs="Tahoma"/>
                <w:sz w:val="13"/>
              </w:rPr>
              <w:t>75</w:t>
            </w:r>
          </w:p>
        </w:tc>
        <w:tc>
          <w:tcPr>
            <w:tcW w:w="360" w:type="dxa"/>
            <w:tcBorders>
              <w:bottom w:val="single" w:sz="4" w:space="0" w:color="auto"/>
              <w:right w:val="single" w:sz="18" w:space="0" w:color="auto"/>
            </w:tcBorders>
            <w:shd w:val="clear" w:color="auto" w:fill="auto"/>
            <w:vAlign w:val="center"/>
          </w:tcPr>
          <w:p w:rsidR="001A63C6" w:rsidRPr="003410C7" w:rsidRDefault="001A63C6" w:rsidP="001A63C6">
            <w:pPr>
              <w:pStyle w:val="TableText"/>
              <w:widowControl w:val="0"/>
              <w:rPr>
                <w:rFonts w:ascii="Tahoma" w:hAnsi="Tahoma" w:cs="Tahoma"/>
                <w:sz w:val="13"/>
              </w:rPr>
            </w:pPr>
            <w:r w:rsidRPr="003410C7">
              <w:rPr>
                <w:rFonts w:ascii="Tahoma" w:hAnsi="Tahoma" w:cs="Tahoma"/>
                <w:sz w:val="13"/>
              </w:rPr>
              <w:t>38</w:t>
            </w:r>
          </w:p>
        </w:tc>
        <w:tc>
          <w:tcPr>
            <w:tcW w:w="450" w:type="dxa"/>
            <w:tcBorders>
              <w:left w:val="single" w:sz="18" w:space="0" w:color="auto"/>
              <w:bottom w:val="single" w:sz="4" w:space="0" w:color="auto"/>
            </w:tcBorders>
            <w:shd w:val="clear" w:color="auto" w:fill="auto"/>
            <w:vAlign w:val="center"/>
          </w:tcPr>
          <w:p w:rsidR="001A63C6" w:rsidRPr="003410C7" w:rsidRDefault="001A63C6" w:rsidP="001A63C6">
            <w:pPr>
              <w:pStyle w:val="TableText"/>
              <w:widowControl w:val="0"/>
              <w:rPr>
                <w:rFonts w:ascii="Tahoma" w:hAnsi="Tahoma" w:cs="Tahoma"/>
                <w:sz w:val="13"/>
              </w:rPr>
            </w:pPr>
            <w:r w:rsidRPr="003410C7">
              <w:rPr>
                <w:rFonts w:ascii="Tahoma" w:hAnsi="Tahoma" w:cs="Tahoma"/>
                <w:sz w:val="13"/>
              </w:rPr>
              <w:t>75</w:t>
            </w:r>
          </w:p>
        </w:tc>
        <w:tc>
          <w:tcPr>
            <w:tcW w:w="450" w:type="dxa"/>
            <w:tcBorders>
              <w:bottom w:val="single" w:sz="4" w:space="0" w:color="auto"/>
            </w:tcBorders>
            <w:shd w:val="clear" w:color="auto" w:fill="auto"/>
            <w:vAlign w:val="center"/>
          </w:tcPr>
          <w:p w:rsidR="001A63C6" w:rsidRPr="003410C7" w:rsidRDefault="001A63C6" w:rsidP="001A63C6">
            <w:pPr>
              <w:pStyle w:val="TableText"/>
              <w:widowControl w:val="0"/>
              <w:rPr>
                <w:rFonts w:ascii="Tahoma" w:hAnsi="Tahoma" w:cs="Tahoma"/>
                <w:sz w:val="13"/>
              </w:rPr>
            </w:pPr>
            <w:r w:rsidRPr="003410C7">
              <w:rPr>
                <w:rFonts w:ascii="Tahoma" w:hAnsi="Tahoma" w:cs="Tahoma"/>
                <w:sz w:val="13"/>
              </w:rPr>
              <w:t>150</w:t>
            </w:r>
          </w:p>
        </w:tc>
        <w:tc>
          <w:tcPr>
            <w:tcW w:w="450" w:type="dxa"/>
            <w:tcBorders>
              <w:bottom w:val="single" w:sz="4" w:space="0" w:color="auto"/>
              <w:right w:val="single" w:sz="18" w:space="0" w:color="auto"/>
            </w:tcBorders>
            <w:shd w:val="clear" w:color="auto" w:fill="auto"/>
            <w:vAlign w:val="center"/>
          </w:tcPr>
          <w:p w:rsidR="001A63C6" w:rsidRPr="003410C7" w:rsidRDefault="001A63C6" w:rsidP="001A63C6">
            <w:pPr>
              <w:pStyle w:val="TableText"/>
              <w:widowControl w:val="0"/>
              <w:rPr>
                <w:rFonts w:ascii="Tahoma" w:hAnsi="Tahoma" w:cs="Tahoma"/>
                <w:sz w:val="13"/>
              </w:rPr>
            </w:pPr>
            <w:r w:rsidRPr="003410C7">
              <w:rPr>
                <w:rFonts w:ascii="Tahoma" w:hAnsi="Tahoma" w:cs="Tahoma"/>
                <w:sz w:val="13"/>
              </w:rPr>
              <w:t>75</w:t>
            </w:r>
          </w:p>
        </w:tc>
        <w:tc>
          <w:tcPr>
            <w:tcW w:w="450" w:type="dxa"/>
            <w:tcBorders>
              <w:left w:val="single" w:sz="18" w:space="0" w:color="auto"/>
              <w:bottom w:val="single" w:sz="4" w:space="0" w:color="auto"/>
            </w:tcBorders>
            <w:shd w:val="clear" w:color="auto" w:fill="auto"/>
            <w:vAlign w:val="center"/>
          </w:tcPr>
          <w:p w:rsidR="001A63C6" w:rsidRPr="003410C7" w:rsidRDefault="001A63C6" w:rsidP="001A63C6">
            <w:pPr>
              <w:pStyle w:val="TableText"/>
              <w:widowControl w:val="0"/>
              <w:rPr>
                <w:rFonts w:ascii="Tahoma" w:hAnsi="Tahoma" w:cs="Tahoma"/>
                <w:sz w:val="13"/>
              </w:rPr>
            </w:pPr>
            <w:r w:rsidRPr="003410C7">
              <w:rPr>
                <w:rFonts w:ascii="Tahoma" w:hAnsi="Tahoma" w:cs="Tahoma"/>
                <w:sz w:val="13"/>
              </w:rPr>
              <w:t>75</w:t>
            </w:r>
          </w:p>
        </w:tc>
        <w:tc>
          <w:tcPr>
            <w:tcW w:w="450" w:type="dxa"/>
            <w:tcBorders>
              <w:bottom w:val="single" w:sz="4" w:space="0" w:color="auto"/>
              <w:right w:val="single" w:sz="18" w:space="0" w:color="auto"/>
            </w:tcBorders>
            <w:shd w:val="clear" w:color="auto" w:fill="auto"/>
            <w:vAlign w:val="center"/>
          </w:tcPr>
          <w:p w:rsidR="001A63C6" w:rsidRPr="003410C7" w:rsidRDefault="001A63C6" w:rsidP="001A63C6">
            <w:pPr>
              <w:pStyle w:val="TableText"/>
              <w:widowControl w:val="0"/>
              <w:rPr>
                <w:rFonts w:ascii="Tahoma" w:hAnsi="Tahoma" w:cs="Tahoma"/>
                <w:sz w:val="13"/>
              </w:rPr>
            </w:pPr>
            <w:r w:rsidRPr="003410C7">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rsidR="001A63C6" w:rsidRPr="003410C7" w:rsidRDefault="001A63C6" w:rsidP="001A63C6">
            <w:pPr>
              <w:pStyle w:val="TableText"/>
              <w:widowControl w:val="0"/>
              <w:rPr>
                <w:rFonts w:ascii="Tahoma" w:hAnsi="Tahoma" w:cs="Tahoma"/>
                <w:sz w:val="13"/>
              </w:rPr>
            </w:pPr>
            <w:r w:rsidRPr="003410C7">
              <w:rPr>
                <w:rFonts w:ascii="Tahoma" w:hAnsi="Tahoma" w:cs="Tahoma"/>
                <w:sz w:val="13"/>
              </w:rPr>
              <w:t>P</w:t>
            </w:r>
          </w:p>
        </w:tc>
        <w:tc>
          <w:tcPr>
            <w:tcW w:w="450" w:type="dxa"/>
            <w:tcBorders>
              <w:bottom w:val="single" w:sz="4" w:space="0" w:color="auto"/>
            </w:tcBorders>
            <w:shd w:val="clear" w:color="auto" w:fill="auto"/>
          </w:tcPr>
          <w:p w:rsidR="001A63C6" w:rsidRPr="003410C7" w:rsidRDefault="001A63C6" w:rsidP="001A63C6">
            <w:pPr>
              <w:pStyle w:val="TableText"/>
              <w:widowControl w:val="0"/>
              <w:rPr>
                <w:rFonts w:ascii="Tahoma" w:hAnsi="Tahoma" w:cs="Tahoma"/>
                <w:sz w:val="13"/>
              </w:rPr>
            </w:pPr>
            <w:r w:rsidRPr="003410C7">
              <w:rPr>
                <w:rFonts w:ascii="Tahoma" w:hAnsi="Tahoma" w:cs="Tahoma"/>
                <w:sz w:val="13"/>
              </w:rPr>
              <w:t>A</w:t>
            </w:r>
          </w:p>
        </w:tc>
        <w:tc>
          <w:tcPr>
            <w:tcW w:w="540" w:type="dxa"/>
            <w:tcBorders>
              <w:bottom w:val="single" w:sz="4" w:space="0" w:color="auto"/>
            </w:tcBorders>
            <w:shd w:val="clear" w:color="auto" w:fill="auto"/>
            <w:vAlign w:val="center"/>
          </w:tcPr>
          <w:p w:rsidR="001A63C6" w:rsidRPr="003410C7" w:rsidRDefault="001A63C6" w:rsidP="001A63C6">
            <w:pPr>
              <w:pStyle w:val="TableText"/>
              <w:widowControl w:val="0"/>
              <w:rPr>
                <w:rFonts w:ascii="Tahoma" w:hAnsi="Tahoma" w:cs="Tahoma"/>
                <w:color w:val="000000"/>
                <w:sz w:val="13"/>
              </w:rPr>
            </w:pPr>
            <w:r w:rsidRPr="003410C7">
              <w:rPr>
                <w:rFonts w:ascii="Tahoma" w:hAnsi="Tahoma" w:cs="Tahoma"/>
                <w:color w:val="000000"/>
                <w:sz w:val="13"/>
              </w:rPr>
              <w:t>OL/OV</w:t>
            </w:r>
          </w:p>
        </w:tc>
      </w:tr>
      <w:tr w:rsidR="00B33D0E" w:rsidRPr="003410C7" w:rsidTr="006B1F3F">
        <w:trPr>
          <w:trHeight w:val="145"/>
        </w:trPr>
        <w:tc>
          <w:tcPr>
            <w:tcW w:w="2734" w:type="dxa"/>
            <w:gridSpan w:val="2"/>
            <w:tcBorders>
              <w:bottom w:val="single" w:sz="4" w:space="0" w:color="auto"/>
            </w:tcBorders>
            <w:shd w:val="clear" w:color="auto" w:fill="F4B083" w:themeFill="accent2" w:themeFillTint="99"/>
            <w:vAlign w:val="center"/>
          </w:tcPr>
          <w:p w:rsidR="001A63C6" w:rsidRPr="003410C7" w:rsidRDefault="001A63C6" w:rsidP="001A63C6">
            <w:pPr>
              <w:pStyle w:val="Heading2"/>
              <w:spacing w:before="20" w:after="20"/>
              <w:ind w:left="0"/>
              <w:rPr>
                <w:rFonts w:ascii="Tahoma" w:hAnsi="Tahoma" w:cs="Tahoma"/>
                <w:b w:val="0"/>
                <w:sz w:val="14"/>
                <w:szCs w:val="14"/>
              </w:rPr>
            </w:pPr>
            <w:bookmarkStart w:id="579" w:name="_Toc336338148"/>
            <w:bookmarkStart w:id="580" w:name="_Toc352234746"/>
            <w:r w:rsidRPr="003410C7">
              <w:rPr>
                <w:rFonts w:ascii="Tahoma" w:hAnsi="Tahoma" w:cs="Tahoma"/>
                <w:b w:val="0"/>
                <w:sz w:val="14"/>
                <w:szCs w:val="14"/>
              </w:rPr>
              <w:t>CAL per Windows Server™ 2012 Active Directory Rights Management Services</w:t>
            </w:r>
            <w:bookmarkEnd w:id="579"/>
            <w:bookmarkEnd w:id="580"/>
          </w:p>
        </w:tc>
        <w:tc>
          <w:tcPr>
            <w:tcW w:w="450" w:type="dxa"/>
            <w:tcBorders>
              <w:bottom w:val="single" w:sz="4" w:space="0" w:color="auto"/>
            </w:tcBorders>
            <w:shd w:val="clear" w:color="auto" w:fill="F4B083" w:themeFill="accent2" w:themeFillTint="99"/>
            <w:vAlign w:val="center"/>
          </w:tcPr>
          <w:p w:rsidR="001A63C6" w:rsidRPr="009F17FF" w:rsidRDefault="001A63C6" w:rsidP="001A63C6">
            <w:pPr>
              <w:pStyle w:val="TableText"/>
              <w:widowControl w:val="0"/>
              <w:rPr>
                <w:rStyle w:val="EndnoteReference"/>
                <w:sz w:val="13"/>
                <w:szCs w:val="13"/>
                <w:u w:val="single"/>
              </w:rPr>
            </w:pPr>
          </w:p>
        </w:tc>
        <w:tc>
          <w:tcPr>
            <w:tcW w:w="450" w:type="dxa"/>
            <w:tcBorders>
              <w:bottom w:val="single" w:sz="4" w:space="0" w:color="auto"/>
            </w:tcBorders>
            <w:shd w:val="clear" w:color="auto" w:fill="F4B083" w:themeFill="accent2" w:themeFillTint="99"/>
            <w:vAlign w:val="center"/>
          </w:tcPr>
          <w:p w:rsidR="001A63C6" w:rsidRPr="003410C7" w:rsidRDefault="001A63C6" w:rsidP="001A63C6">
            <w:pPr>
              <w:pStyle w:val="TableText"/>
              <w:widowControl w:val="0"/>
              <w:spacing w:before="160"/>
              <w:rPr>
                <w:rFonts w:ascii="Tahoma" w:hAnsi="Tahoma" w:cs="Tahoma"/>
                <w:color w:val="000000"/>
                <w:sz w:val="13"/>
              </w:rPr>
            </w:pPr>
            <w:r w:rsidRPr="003410C7">
              <w:rPr>
                <w:rFonts w:ascii="Tahoma" w:hAnsi="Tahoma" w:cs="Tahoma"/>
                <w:color w:val="000000"/>
                <w:sz w:val="13"/>
              </w:rPr>
              <w:t>09/12</w:t>
            </w:r>
          </w:p>
        </w:tc>
        <w:tc>
          <w:tcPr>
            <w:tcW w:w="360" w:type="dxa"/>
            <w:tcBorders>
              <w:bottom w:val="single" w:sz="4" w:space="0" w:color="auto"/>
              <w:right w:val="single" w:sz="18" w:space="0" w:color="auto"/>
            </w:tcBorders>
            <w:shd w:val="clear" w:color="auto" w:fill="F4B083" w:themeFill="accent2" w:themeFillTint="99"/>
            <w:vAlign w:val="center"/>
          </w:tcPr>
          <w:p w:rsidR="001A63C6" w:rsidRPr="003410C7" w:rsidRDefault="001A63C6" w:rsidP="001A63C6">
            <w:pPr>
              <w:pStyle w:val="TableText"/>
              <w:widowControl w:val="0"/>
              <w:rPr>
                <w:rFonts w:ascii="Tahoma" w:hAnsi="Tahoma" w:cs="Tahoma"/>
                <w:color w:val="000000"/>
                <w:sz w:val="13"/>
              </w:rPr>
            </w:pPr>
            <w:r w:rsidRPr="003410C7">
              <w:rPr>
                <w:rFonts w:ascii="Tahoma" w:hAnsi="Tahoma" w:cs="Tahoma"/>
                <w:color w:val="000000"/>
                <w:sz w:val="13"/>
              </w:rPr>
              <w:t>SRV</w:t>
            </w:r>
          </w:p>
        </w:tc>
        <w:tc>
          <w:tcPr>
            <w:tcW w:w="360" w:type="dxa"/>
            <w:tcBorders>
              <w:left w:val="single" w:sz="18" w:space="0" w:color="auto"/>
              <w:bottom w:val="single" w:sz="4" w:space="0" w:color="auto"/>
            </w:tcBorders>
            <w:shd w:val="clear" w:color="auto" w:fill="F4B083" w:themeFill="accent2" w:themeFillTint="99"/>
            <w:vAlign w:val="center"/>
          </w:tcPr>
          <w:p w:rsidR="001A63C6" w:rsidRPr="003410C7" w:rsidRDefault="001A63C6" w:rsidP="001A63C6">
            <w:pPr>
              <w:pStyle w:val="TableText"/>
              <w:widowControl w:val="0"/>
              <w:rPr>
                <w:rFonts w:ascii="Tahoma" w:hAnsi="Tahoma" w:cs="Tahoma"/>
                <w:sz w:val="13"/>
              </w:rPr>
            </w:pPr>
            <w:r w:rsidRPr="003410C7">
              <w:rPr>
                <w:rFonts w:ascii="Tahoma" w:hAnsi="Tahoma" w:cs="Tahoma"/>
                <w:sz w:val="13"/>
              </w:rPr>
              <w:t>1</w:t>
            </w:r>
          </w:p>
        </w:tc>
        <w:tc>
          <w:tcPr>
            <w:tcW w:w="450" w:type="dxa"/>
            <w:tcBorders>
              <w:bottom w:val="single" w:sz="4" w:space="0" w:color="auto"/>
            </w:tcBorders>
            <w:shd w:val="clear" w:color="auto" w:fill="F4B083" w:themeFill="accent2" w:themeFillTint="99"/>
            <w:vAlign w:val="center"/>
          </w:tcPr>
          <w:p w:rsidR="001A63C6" w:rsidRPr="003410C7" w:rsidRDefault="001A63C6" w:rsidP="001A63C6">
            <w:pPr>
              <w:pStyle w:val="TableText"/>
              <w:widowControl w:val="0"/>
              <w:rPr>
                <w:rFonts w:ascii="Tahoma" w:hAnsi="Tahoma" w:cs="Tahoma"/>
                <w:sz w:val="13"/>
              </w:rPr>
            </w:pPr>
            <w:r w:rsidRPr="003410C7">
              <w:rPr>
                <w:rFonts w:ascii="Tahoma" w:hAnsi="Tahoma" w:cs="Tahoma"/>
                <w:sz w:val="13"/>
              </w:rPr>
              <w:t>3</w:t>
            </w:r>
          </w:p>
        </w:tc>
        <w:tc>
          <w:tcPr>
            <w:tcW w:w="450" w:type="dxa"/>
            <w:tcBorders>
              <w:bottom w:val="single" w:sz="4" w:space="0" w:color="auto"/>
            </w:tcBorders>
            <w:shd w:val="clear" w:color="auto" w:fill="F4B083" w:themeFill="accent2" w:themeFillTint="99"/>
            <w:vAlign w:val="center"/>
          </w:tcPr>
          <w:p w:rsidR="001A63C6" w:rsidRPr="003410C7" w:rsidRDefault="001A63C6" w:rsidP="001A63C6">
            <w:pPr>
              <w:pStyle w:val="TableText"/>
              <w:widowControl w:val="0"/>
              <w:rPr>
                <w:rFonts w:ascii="Tahoma" w:hAnsi="Tahoma" w:cs="Tahoma"/>
                <w:sz w:val="13"/>
              </w:rPr>
            </w:pPr>
            <w:r w:rsidRPr="003410C7">
              <w:rPr>
                <w:rFonts w:ascii="Tahoma" w:hAnsi="Tahoma" w:cs="Tahoma"/>
                <w:sz w:val="13"/>
              </w:rPr>
              <w:t>2</w:t>
            </w:r>
          </w:p>
        </w:tc>
        <w:tc>
          <w:tcPr>
            <w:tcW w:w="450" w:type="dxa"/>
            <w:tcBorders>
              <w:bottom w:val="single" w:sz="4" w:space="0" w:color="auto"/>
            </w:tcBorders>
            <w:shd w:val="clear" w:color="auto" w:fill="F4B083" w:themeFill="accent2" w:themeFillTint="99"/>
            <w:vAlign w:val="center"/>
          </w:tcPr>
          <w:p w:rsidR="001A63C6" w:rsidRPr="003410C7" w:rsidRDefault="001A63C6" w:rsidP="001A63C6">
            <w:pPr>
              <w:pStyle w:val="TableText"/>
              <w:widowControl w:val="0"/>
              <w:rPr>
                <w:rFonts w:ascii="Tahoma" w:hAnsi="Tahoma" w:cs="Tahoma"/>
                <w:sz w:val="13"/>
              </w:rPr>
            </w:pPr>
            <w:r w:rsidRPr="003410C7">
              <w:rPr>
                <w:rFonts w:ascii="Tahoma" w:hAnsi="Tahoma" w:cs="Tahoma"/>
                <w:sz w:val="13"/>
              </w:rPr>
              <w:t>2</w:t>
            </w:r>
          </w:p>
        </w:tc>
        <w:tc>
          <w:tcPr>
            <w:tcW w:w="450" w:type="dxa"/>
            <w:tcBorders>
              <w:bottom w:val="single" w:sz="4" w:space="0" w:color="auto"/>
            </w:tcBorders>
            <w:shd w:val="clear" w:color="auto" w:fill="F4B083" w:themeFill="accent2" w:themeFillTint="99"/>
            <w:vAlign w:val="center"/>
          </w:tcPr>
          <w:p w:rsidR="001A63C6" w:rsidRPr="003410C7" w:rsidRDefault="001A63C6" w:rsidP="001A63C6">
            <w:pPr>
              <w:pStyle w:val="TableText"/>
              <w:widowControl w:val="0"/>
              <w:rPr>
                <w:rFonts w:ascii="Tahoma" w:hAnsi="Tahoma" w:cs="Tahoma"/>
                <w:sz w:val="13"/>
              </w:rPr>
            </w:pPr>
            <w:r w:rsidRPr="003410C7">
              <w:rPr>
                <w:rFonts w:ascii="Tahoma" w:hAnsi="Tahoma" w:cs="Tahoma"/>
                <w:sz w:val="13"/>
              </w:rPr>
              <w:t>2</w:t>
            </w:r>
          </w:p>
        </w:tc>
        <w:tc>
          <w:tcPr>
            <w:tcW w:w="450" w:type="dxa"/>
            <w:tcBorders>
              <w:bottom w:val="single" w:sz="4" w:space="0" w:color="auto"/>
            </w:tcBorders>
            <w:shd w:val="clear" w:color="auto" w:fill="F4B083" w:themeFill="accent2" w:themeFillTint="99"/>
            <w:vAlign w:val="center"/>
          </w:tcPr>
          <w:p w:rsidR="001A63C6" w:rsidRPr="003410C7" w:rsidRDefault="001A63C6" w:rsidP="001A63C6">
            <w:pPr>
              <w:pStyle w:val="TableText"/>
              <w:widowControl w:val="0"/>
              <w:rPr>
                <w:rFonts w:ascii="Tahoma" w:hAnsi="Tahoma" w:cs="Tahoma"/>
                <w:sz w:val="13"/>
              </w:rPr>
            </w:pPr>
            <w:r w:rsidRPr="003410C7">
              <w:rPr>
                <w:rFonts w:ascii="Tahoma" w:hAnsi="Tahoma" w:cs="Tahoma"/>
                <w:sz w:val="13"/>
              </w:rPr>
              <w:t>1</w:t>
            </w:r>
          </w:p>
        </w:tc>
        <w:tc>
          <w:tcPr>
            <w:tcW w:w="360" w:type="dxa"/>
            <w:tcBorders>
              <w:bottom w:val="single" w:sz="4" w:space="0" w:color="auto"/>
              <w:right w:val="single" w:sz="18" w:space="0" w:color="auto"/>
            </w:tcBorders>
            <w:shd w:val="clear" w:color="auto" w:fill="F4B083" w:themeFill="accent2" w:themeFillTint="99"/>
            <w:vAlign w:val="center"/>
          </w:tcPr>
          <w:p w:rsidR="001A63C6" w:rsidRPr="003410C7" w:rsidRDefault="001A63C6" w:rsidP="001A63C6">
            <w:pPr>
              <w:pStyle w:val="TableText"/>
              <w:widowControl w:val="0"/>
              <w:rPr>
                <w:rFonts w:ascii="Tahoma" w:hAnsi="Tahoma" w:cs="Tahoma"/>
                <w:sz w:val="13"/>
              </w:rPr>
            </w:pPr>
            <w:r w:rsidRPr="003410C7">
              <w:rPr>
                <w:rFonts w:ascii="Tahoma" w:hAnsi="Tahoma" w:cs="Tahoma"/>
                <w:sz w:val="13"/>
              </w:rPr>
              <w:t>1</w:t>
            </w:r>
          </w:p>
        </w:tc>
        <w:tc>
          <w:tcPr>
            <w:tcW w:w="450" w:type="dxa"/>
            <w:tcBorders>
              <w:left w:val="single" w:sz="18" w:space="0" w:color="auto"/>
              <w:bottom w:val="single" w:sz="4" w:space="0" w:color="auto"/>
            </w:tcBorders>
            <w:shd w:val="clear" w:color="auto" w:fill="F4B083" w:themeFill="accent2" w:themeFillTint="99"/>
            <w:vAlign w:val="center"/>
          </w:tcPr>
          <w:p w:rsidR="001A63C6" w:rsidRPr="003410C7" w:rsidRDefault="001A63C6" w:rsidP="001A63C6">
            <w:pPr>
              <w:pStyle w:val="TableText"/>
              <w:widowControl w:val="0"/>
              <w:rPr>
                <w:rFonts w:ascii="Tahoma" w:hAnsi="Tahoma" w:cs="Tahoma"/>
                <w:sz w:val="13"/>
              </w:rPr>
            </w:pPr>
            <w:r w:rsidRPr="003410C7">
              <w:rPr>
                <w:rFonts w:ascii="Tahoma" w:hAnsi="Tahoma" w:cs="Tahoma"/>
                <w:sz w:val="13"/>
              </w:rPr>
              <w:t>1</w:t>
            </w:r>
          </w:p>
        </w:tc>
        <w:tc>
          <w:tcPr>
            <w:tcW w:w="450" w:type="dxa"/>
            <w:tcBorders>
              <w:bottom w:val="single" w:sz="4" w:space="0" w:color="auto"/>
            </w:tcBorders>
            <w:shd w:val="clear" w:color="auto" w:fill="F4B083" w:themeFill="accent2" w:themeFillTint="99"/>
            <w:vAlign w:val="center"/>
          </w:tcPr>
          <w:p w:rsidR="001A63C6" w:rsidRPr="003410C7" w:rsidRDefault="001A63C6" w:rsidP="001A63C6">
            <w:pPr>
              <w:pStyle w:val="TableText"/>
              <w:widowControl w:val="0"/>
              <w:rPr>
                <w:rFonts w:ascii="Tahoma" w:hAnsi="Tahoma" w:cs="Tahoma"/>
                <w:sz w:val="13"/>
              </w:rPr>
            </w:pPr>
            <w:r w:rsidRPr="003410C7">
              <w:rPr>
                <w:rFonts w:ascii="Tahoma" w:hAnsi="Tahoma" w:cs="Tahoma"/>
                <w:sz w:val="13"/>
              </w:rPr>
              <w:t>2</w:t>
            </w:r>
          </w:p>
        </w:tc>
        <w:tc>
          <w:tcPr>
            <w:tcW w:w="450" w:type="dxa"/>
            <w:tcBorders>
              <w:bottom w:val="single" w:sz="4" w:space="0" w:color="auto"/>
              <w:right w:val="single" w:sz="18" w:space="0" w:color="auto"/>
            </w:tcBorders>
            <w:shd w:val="clear" w:color="auto" w:fill="F4B083" w:themeFill="accent2" w:themeFillTint="99"/>
            <w:vAlign w:val="center"/>
          </w:tcPr>
          <w:p w:rsidR="001A63C6" w:rsidRPr="003410C7" w:rsidRDefault="001A63C6" w:rsidP="001A63C6">
            <w:pPr>
              <w:pStyle w:val="TableText"/>
              <w:widowControl w:val="0"/>
              <w:rPr>
                <w:rFonts w:ascii="Tahoma" w:hAnsi="Tahoma" w:cs="Tahoma"/>
                <w:sz w:val="13"/>
              </w:rPr>
            </w:pPr>
            <w:r w:rsidRPr="003410C7">
              <w:rPr>
                <w:rFonts w:ascii="Tahoma" w:hAnsi="Tahoma" w:cs="Tahoma"/>
                <w:sz w:val="13"/>
              </w:rPr>
              <w:t>1</w:t>
            </w:r>
          </w:p>
        </w:tc>
        <w:tc>
          <w:tcPr>
            <w:tcW w:w="450" w:type="dxa"/>
            <w:tcBorders>
              <w:left w:val="single" w:sz="18" w:space="0" w:color="auto"/>
              <w:bottom w:val="single" w:sz="4" w:space="0" w:color="auto"/>
            </w:tcBorders>
            <w:shd w:val="clear" w:color="auto" w:fill="F4B083" w:themeFill="accent2" w:themeFillTint="99"/>
            <w:vAlign w:val="center"/>
          </w:tcPr>
          <w:p w:rsidR="001A63C6" w:rsidRPr="003410C7" w:rsidRDefault="001A63C6" w:rsidP="001A63C6">
            <w:pPr>
              <w:pStyle w:val="TableText"/>
              <w:widowControl w:val="0"/>
              <w:rPr>
                <w:rFonts w:ascii="Tahoma" w:hAnsi="Tahoma" w:cs="Tahoma"/>
                <w:sz w:val="13"/>
              </w:rPr>
            </w:pPr>
            <w:r w:rsidRPr="003410C7">
              <w:rPr>
                <w:rFonts w:ascii="Tahoma" w:hAnsi="Tahoma" w:cs="Tahoma"/>
                <w:sz w:val="13"/>
              </w:rPr>
              <w:t>1</w:t>
            </w:r>
          </w:p>
        </w:tc>
        <w:tc>
          <w:tcPr>
            <w:tcW w:w="450" w:type="dxa"/>
            <w:tcBorders>
              <w:bottom w:val="single" w:sz="4" w:space="0" w:color="auto"/>
              <w:right w:val="single" w:sz="18" w:space="0" w:color="auto"/>
            </w:tcBorders>
            <w:shd w:val="clear" w:color="auto" w:fill="F4B083" w:themeFill="accent2" w:themeFillTint="99"/>
            <w:vAlign w:val="center"/>
          </w:tcPr>
          <w:p w:rsidR="001A63C6" w:rsidRPr="003410C7" w:rsidRDefault="001A63C6" w:rsidP="001A63C6">
            <w:pPr>
              <w:pStyle w:val="TableText"/>
              <w:widowControl w:val="0"/>
              <w:rPr>
                <w:rFonts w:ascii="Tahoma" w:hAnsi="Tahoma" w:cs="Tahoma"/>
                <w:sz w:val="13"/>
              </w:rPr>
            </w:pPr>
            <w:r w:rsidRPr="003410C7">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F4B083" w:themeFill="accent2" w:themeFillTint="99"/>
            <w:vAlign w:val="center"/>
          </w:tcPr>
          <w:p w:rsidR="001A63C6" w:rsidRPr="003410C7" w:rsidRDefault="001A63C6" w:rsidP="001A63C6">
            <w:pPr>
              <w:pStyle w:val="TableText"/>
              <w:widowControl w:val="0"/>
              <w:rPr>
                <w:rFonts w:ascii="Tahoma" w:hAnsi="Tahoma" w:cs="Tahoma"/>
                <w:sz w:val="13"/>
              </w:rPr>
            </w:pPr>
            <w:r w:rsidRPr="003410C7">
              <w:rPr>
                <w:rFonts w:ascii="Tahoma" w:hAnsi="Tahoma" w:cs="Tahoma"/>
                <w:sz w:val="13"/>
              </w:rPr>
              <w:t>P</w:t>
            </w:r>
          </w:p>
        </w:tc>
        <w:tc>
          <w:tcPr>
            <w:tcW w:w="450" w:type="dxa"/>
            <w:tcBorders>
              <w:bottom w:val="single" w:sz="4" w:space="0" w:color="auto"/>
            </w:tcBorders>
            <w:shd w:val="clear" w:color="auto" w:fill="F4B083" w:themeFill="accent2" w:themeFillTint="99"/>
          </w:tcPr>
          <w:p w:rsidR="001A63C6" w:rsidRPr="003410C7" w:rsidRDefault="001A63C6" w:rsidP="001A63C6">
            <w:pPr>
              <w:pStyle w:val="TableText"/>
              <w:widowControl w:val="0"/>
              <w:rPr>
                <w:rFonts w:ascii="Tahoma" w:hAnsi="Tahoma" w:cs="Tahoma"/>
                <w:sz w:val="13"/>
              </w:rPr>
            </w:pPr>
            <w:r w:rsidRPr="003410C7">
              <w:rPr>
                <w:rFonts w:ascii="Tahoma" w:hAnsi="Tahoma" w:cs="Tahoma"/>
                <w:sz w:val="13"/>
              </w:rPr>
              <w:t>A, ST</w:t>
            </w:r>
          </w:p>
        </w:tc>
        <w:tc>
          <w:tcPr>
            <w:tcW w:w="540" w:type="dxa"/>
            <w:tcBorders>
              <w:bottom w:val="single" w:sz="4" w:space="0" w:color="auto"/>
            </w:tcBorders>
            <w:shd w:val="clear" w:color="auto" w:fill="F4B083" w:themeFill="accent2" w:themeFillTint="99"/>
            <w:vAlign w:val="center"/>
          </w:tcPr>
          <w:p w:rsidR="001A63C6" w:rsidRPr="003410C7" w:rsidRDefault="001A63C6" w:rsidP="001A63C6">
            <w:pPr>
              <w:pStyle w:val="TableText"/>
              <w:widowControl w:val="0"/>
              <w:rPr>
                <w:rFonts w:ascii="Tahoma" w:hAnsi="Tahoma" w:cs="Tahoma"/>
                <w:color w:val="000000"/>
                <w:sz w:val="13"/>
              </w:rPr>
            </w:pPr>
          </w:p>
        </w:tc>
      </w:tr>
      <w:tr w:rsidR="001A63C6" w:rsidRPr="003410C7" w:rsidTr="007E466C">
        <w:trPr>
          <w:trHeight w:val="467"/>
        </w:trPr>
        <w:tc>
          <w:tcPr>
            <w:tcW w:w="2734" w:type="dxa"/>
            <w:gridSpan w:val="2"/>
            <w:tcBorders>
              <w:bottom w:val="single" w:sz="4" w:space="0" w:color="auto"/>
            </w:tcBorders>
            <w:shd w:val="clear" w:color="auto" w:fill="auto"/>
            <w:vAlign w:val="center"/>
          </w:tcPr>
          <w:p w:rsidR="001A63C6" w:rsidRPr="003410C7" w:rsidRDefault="001A63C6" w:rsidP="007E466C">
            <w:pPr>
              <w:pStyle w:val="Heading2"/>
              <w:keepNext/>
              <w:keepLines/>
              <w:spacing w:before="20" w:after="20"/>
              <w:ind w:left="0"/>
              <w:rPr>
                <w:rFonts w:ascii="Tahoma" w:hAnsi="Tahoma" w:cs="Tahoma"/>
                <w:b w:val="0"/>
                <w:sz w:val="14"/>
                <w:szCs w:val="14"/>
              </w:rPr>
            </w:pPr>
            <w:bookmarkStart w:id="581" w:name="_Toc336338149"/>
            <w:bookmarkStart w:id="582" w:name="_Toc352234747"/>
            <w:r w:rsidRPr="003410C7">
              <w:rPr>
                <w:rFonts w:ascii="Tahoma" w:hAnsi="Tahoma" w:cs="Tahoma"/>
                <w:b w:val="0"/>
                <w:sz w:val="14"/>
                <w:szCs w:val="14"/>
              </w:rPr>
              <w:t>External Connector per Windows Server™ Active Directory Rights Management Services</w:t>
            </w:r>
            <w:bookmarkEnd w:id="581"/>
            <w:bookmarkEnd w:id="582"/>
          </w:p>
        </w:tc>
        <w:tc>
          <w:tcPr>
            <w:tcW w:w="450" w:type="dxa"/>
            <w:tcBorders>
              <w:bottom w:val="single" w:sz="4" w:space="0" w:color="auto"/>
            </w:tcBorders>
            <w:shd w:val="clear" w:color="auto" w:fill="auto"/>
            <w:vAlign w:val="center"/>
          </w:tcPr>
          <w:p w:rsidR="001A63C6" w:rsidRPr="009F17FF" w:rsidRDefault="001A63C6" w:rsidP="007E466C">
            <w:pPr>
              <w:pStyle w:val="TableText"/>
              <w:keepNext/>
              <w:keepLines/>
              <w:widowControl w:val="0"/>
              <w:rPr>
                <w:rStyle w:val="EndnoteReference"/>
                <w:b w:val="0"/>
                <w:sz w:val="13"/>
                <w:szCs w:val="13"/>
                <w:u w:val="single"/>
              </w:rPr>
            </w:pPr>
          </w:p>
        </w:tc>
        <w:tc>
          <w:tcPr>
            <w:tcW w:w="450" w:type="dxa"/>
            <w:tcBorders>
              <w:bottom w:val="single" w:sz="4" w:space="0" w:color="auto"/>
            </w:tcBorders>
            <w:shd w:val="clear" w:color="auto" w:fill="auto"/>
            <w:vAlign w:val="center"/>
          </w:tcPr>
          <w:p w:rsidR="001A63C6" w:rsidRPr="003410C7" w:rsidRDefault="001A63C6" w:rsidP="007E466C">
            <w:pPr>
              <w:pStyle w:val="TableText"/>
              <w:keepNext/>
              <w:keepLines/>
              <w:widowControl w:val="0"/>
              <w:spacing w:before="160"/>
              <w:rPr>
                <w:rFonts w:ascii="Tahoma" w:hAnsi="Tahoma" w:cs="Tahoma"/>
                <w:color w:val="000000"/>
                <w:sz w:val="13"/>
              </w:rPr>
            </w:pPr>
            <w:r w:rsidRPr="003410C7">
              <w:rPr>
                <w:rFonts w:ascii="Tahoma" w:hAnsi="Tahoma" w:cs="Tahoma"/>
                <w:color w:val="000000"/>
                <w:sz w:val="13"/>
              </w:rPr>
              <w:t>09/12</w:t>
            </w:r>
          </w:p>
        </w:tc>
        <w:tc>
          <w:tcPr>
            <w:tcW w:w="360" w:type="dxa"/>
            <w:tcBorders>
              <w:bottom w:val="single" w:sz="4" w:space="0" w:color="auto"/>
              <w:right w:val="single" w:sz="18" w:space="0" w:color="auto"/>
            </w:tcBorders>
            <w:shd w:val="clear" w:color="auto" w:fill="auto"/>
            <w:vAlign w:val="center"/>
          </w:tcPr>
          <w:p w:rsidR="001A63C6" w:rsidRPr="003410C7" w:rsidRDefault="001A63C6" w:rsidP="007E466C">
            <w:pPr>
              <w:pStyle w:val="TableText"/>
              <w:keepNext/>
              <w:keepLines/>
              <w:widowControl w:val="0"/>
              <w:rPr>
                <w:rFonts w:ascii="Tahoma" w:hAnsi="Tahoma" w:cs="Tahoma"/>
                <w:color w:val="000000"/>
                <w:sz w:val="13"/>
              </w:rPr>
            </w:pPr>
            <w:r w:rsidRPr="003410C7">
              <w:rPr>
                <w:rFonts w:ascii="Tahoma" w:hAnsi="Tahoma" w:cs="Tahoma"/>
                <w:color w:val="000000"/>
                <w:sz w:val="13"/>
              </w:rPr>
              <w:t>SRV</w:t>
            </w:r>
          </w:p>
        </w:tc>
        <w:tc>
          <w:tcPr>
            <w:tcW w:w="360" w:type="dxa"/>
            <w:tcBorders>
              <w:left w:val="single" w:sz="18" w:space="0" w:color="auto"/>
              <w:bottom w:val="single" w:sz="4" w:space="0" w:color="auto"/>
            </w:tcBorders>
            <w:shd w:val="clear" w:color="auto" w:fill="auto"/>
            <w:vAlign w:val="center"/>
          </w:tcPr>
          <w:p w:rsidR="001A63C6" w:rsidRPr="003410C7" w:rsidRDefault="001A63C6" w:rsidP="007E466C">
            <w:pPr>
              <w:pStyle w:val="TableText"/>
              <w:keepNext/>
              <w:keepLines/>
              <w:widowControl w:val="0"/>
              <w:rPr>
                <w:rFonts w:ascii="Tahoma" w:hAnsi="Tahoma" w:cs="Tahoma"/>
                <w:sz w:val="13"/>
              </w:rPr>
            </w:pPr>
            <w:r w:rsidRPr="003410C7">
              <w:rPr>
                <w:rFonts w:ascii="Tahoma" w:hAnsi="Tahoma" w:cs="Tahoma"/>
                <w:sz w:val="13"/>
              </w:rPr>
              <w:t>125</w:t>
            </w:r>
          </w:p>
        </w:tc>
        <w:tc>
          <w:tcPr>
            <w:tcW w:w="450" w:type="dxa"/>
            <w:tcBorders>
              <w:bottom w:val="single" w:sz="4" w:space="0" w:color="auto"/>
            </w:tcBorders>
            <w:shd w:val="clear" w:color="auto" w:fill="auto"/>
            <w:vAlign w:val="center"/>
          </w:tcPr>
          <w:p w:rsidR="001A63C6" w:rsidRPr="003410C7" w:rsidRDefault="001A63C6" w:rsidP="007E466C">
            <w:pPr>
              <w:pStyle w:val="TableText"/>
              <w:keepNext/>
              <w:keepLines/>
              <w:widowControl w:val="0"/>
              <w:rPr>
                <w:rFonts w:ascii="Tahoma" w:hAnsi="Tahoma" w:cs="Tahoma"/>
                <w:sz w:val="13"/>
              </w:rPr>
            </w:pPr>
            <w:r w:rsidRPr="003410C7">
              <w:rPr>
                <w:rFonts w:ascii="Tahoma" w:hAnsi="Tahoma" w:cs="Tahoma"/>
                <w:sz w:val="13"/>
              </w:rPr>
              <w:t>313</w:t>
            </w:r>
          </w:p>
        </w:tc>
        <w:tc>
          <w:tcPr>
            <w:tcW w:w="450" w:type="dxa"/>
            <w:tcBorders>
              <w:bottom w:val="single" w:sz="4" w:space="0" w:color="auto"/>
            </w:tcBorders>
            <w:shd w:val="clear" w:color="auto" w:fill="auto"/>
            <w:vAlign w:val="center"/>
          </w:tcPr>
          <w:p w:rsidR="001A63C6" w:rsidRPr="003410C7" w:rsidRDefault="001A63C6" w:rsidP="007E466C">
            <w:pPr>
              <w:pStyle w:val="TableText"/>
              <w:keepNext/>
              <w:keepLines/>
              <w:widowControl w:val="0"/>
              <w:rPr>
                <w:rFonts w:ascii="Tahoma" w:hAnsi="Tahoma" w:cs="Tahoma"/>
                <w:sz w:val="13"/>
              </w:rPr>
            </w:pPr>
            <w:r w:rsidRPr="003410C7">
              <w:rPr>
                <w:rFonts w:ascii="Tahoma" w:hAnsi="Tahoma" w:cs="Tahoma"/>
                <w:sz w:val="13"/>
              </w:rPr>
              <w:t>250</w:t>
            </w:r>
          </w:p>
        </w:tc>
        <w:tc>
          <w:tcPr>
            <w:tcW w:w="450" w:type="dxa"/>
            <w:tcBorders>
              <w:bottom w:val="single" w:sz="4" w:space="0" w:color="auto"/>
            </w:tcBorders>
            <w:shd w:val="clear" w:color="auto" w:fill="auto"/>
            <w:vAlign w:val="center"/>
          </w:tcPr>
          <w:p w:rsidR="001A63C6" w:rsidRPr="003410C7" w:rsidRDefault="001A63C6" w:rsidP="007E466C">
            <w:pPr>
              <w:pStyle w:val="TableText"/>
              <w:keepNext/>
              <w:keepLines/>
              <w:widowControl w:val="0"/>
              <w:rPr>
                <w:rFonts w:ascii="Tahoma" w:hAnsi="Tahoma" w:cs="Tahoma"/>
                <w:sz w:val="13"/>
              </w:rPr>
            </w:pPr>
            <w:r w:rsidRPr="003410C7">
              <w:rPr>
                <w:rFonts w:ascii="Tahoma" w:hAnsi="Tahoma" w:cs="Tahoma"/>
                <w:sz w:val="13"/>
              </w:rPr>
              <w:t>188</w:t>
            </w:r>
          </w:p>
        </w:tc>
        <w:tc>
          <w:tcPr>
            <w:tcW w:w="450" w:type="dxa"/>
            <w:tcBorders>
              <w:bottom w:val="single" w:sz="4" w:space="0" w:color="auto"/>
            </w:tcBorders>
            <w:shd w:val="clear" w:color="auto" w:fill="auto"/>
            <w:vAlign w:val="center"/>
          </w:tcPr>
          <w:p w:rsidR="001A63C6" w:rsidRPr="003410C7" w:rsidRDefault="001A63C6" w:rsidP="007E466C">
            <w:pPr>
              <w:pStyle w:val="TableText"/>
              <w:keepNext/>
              <w:keepLines/>
              <w:widowControl w:val="0"/>
              <w:rPr>
                <w:rFonts w:ascii="Tahoma" w:hAnsi="Tahoma" w:cs="Tahoma"/>
                <w:sz w:val="13"/>
              </w:rPr>
            </w:pPr>
            <w:r w:rsidRPr="003410C7">
              <w:rPr>
                <w:rFonts w:ascii="Tahoma" w:hAnsi="Tahoma" w:cs="Tahoma"/>
                <w:sz w:val="13"/>
              </w:rPr>
              <w:t>188</w:t>
            </w:r>
          </w:p>
        </w:tc>
        <w:tc>
          <w:tcPr>
            <w:tcW w:w="450" w:type="dxa"/>
            <w:tcBorders>
              <w:bottom w:val="single" w:sz="4" w:space="0" w:color="auto"/>
            </w:tcBorders>
            <w:shd w:val="clear" w:color="auto" w:fill="auto"/>
            <w:vAlign w:val="center"/>
          </w:tcPr>
          <w:p w:rsidR="001A63C6" w:rsidRPr="003410C7" w:rsidRDefault="001A63C6" w:rsidP="007E466C">
            <w:pPr>
              <w:pStyle w:val="TableText"/>
              <w:keepNext/>
              <w:keepLines/>
              <w:widowControl w:val="0"/>
              <w:rPr>
                <w:rFonts w:ascii="Tahoma" w:hAnsi="Tahoma" w:cs="Tahoma"/>
                <w:sz w:val="13"/>
              </w:rPr>
            </w:pPr>
            <w:r w:rsidRPr="003410C7">
              <w:rPr>
                <w:rFonts w:ascii="Tahoma" w:hAnsi="Tahoma" w:cs="Tahoma"/>
                <w:sz w:val="13"/>
              </w:rPr>
              <w:t>125</w:t>
            </w:r>
          </w:p>
        </w:tc>
        <w:tc>
          <w:tcPr>
            <w:tcW w:w="360" w:type="dxa"/>
            <w:tcBorders>
              <w:bottom w:val="single" w:sz="4" w:space="0" w:color="auto"/>
              <w:right w:val="single" w:sz="18" w:space="0" w:color="auto"/>
            </w:tcBorders>
            <w:shd w:val="clear" w:color="auto" w:fill="auto"/>
            <w:vAlign w:val="center"/>
          </w:tcPr>
          <w:p w:rsidR="001A63C6" w:rsidRPr="003410C7" w:rsidRDefault="001A63C6" w:rsidP="007E466C">
            <w:pPr>
              <w:pStyle w:val="TableText"/>
              <w:keepNext/>
              <w:keepLines/>
              <w:widowControl w:val="0"/>
              <w:rPr>
                <w:rFonts w:ascii="Tahoma" w:hAnsi="Tahoma" w:cs="Tahoma"/>
                <w:sz w:val="13"/>
              </w:rPr>
            </w:pPr>
            <w:r w:rsidRPr="003410C7">
              <w:rPr>
                <w:rFonts w:ascii="Tahoma" w:hAnsi="Tahoma" w:cs="Tahoma"/>
                <w:sz w:val="13"/>
              </w:rPr>
              <w:t>63</w:t>
            </w:r>
          </w:p>
        </w:tc>
        <w:tc>
          <w:tcPr>
            <w:tcW w:w="450" w:type="dxa"/>
            <w:tcBorders>
              <w:left w:val="single" w:sz="18" w:space="0" w:color="auto"/>
              <w:bottom w:val="single" w:sz="4" w:space="0" w:color="auto"/>
            </w:tcBorders>
            <w:shd w:val="clear" w:color="auto" w:fill="auto"/>
            <w:vAlign w:val="center"/>
          </w:tcPr>
          <w:p w:rsidR="001A63C6" w:rsidRPr="003410C7" w:rsidRDefault="001A63C6" w:rsidP="007E466C">
            <w:pPr>
              <w:pStyle w:val="TableText"/>
              <w:keepNext/>
              <w:keepLines/>
              <w:widowControl w:val="0"/>
              <w:rPr>
                <w:rFonts w:ascii="Tahoma" w:hAnsi="Tahoma" w:cs="Tahoma"/>
                <w:sz w:val="13"/>
              </w:rPr>
            </w:pPr>
            <w:r w:rsidRPr="003410C7">
              <w:rPr>
                <w:rFonts w:ascii="Tahoma" w:hAnsi="Tahoma" w:cs="Tahoma"/>
                <w:sz w:val="13"/>
              </w:rPr>
              <w:t>125</w:t>
            </w:r>
          </w:p>
        </w:tc>
        <w:tc>
          <w:tcPr>
            <w:tcW w:w="450" w:type="dxa"/>
            <w:tcBorders>
              <w:bottom w:val="single" w:sz="4" w:space="0" w:color="auto"/>
            </w:tcBorders>
            <w:shd w:val="clear" w:color="auto" w:fill="auto"/>
            <w:vAlign w:val="center"/>
          </w:tcPr>
          <w:p w:rsidR="001A63C6" w:rsidRPr="003410C7" w:rsidRDefault="001A63C6" w:rsidP="007E466C">
            <w:pPr>
              <w:pStyle w:val="TableText"/>
              <w:keepNext/>
              <w:keepLines/>
              <w:widowControl w:val="0"/>
              <w:rPr>
                <w:rFonts w:ascii="Tahoma" w:hAnsi="Tahoma" w:cs="Tahoma"/>
                <w:sz w:val="13"/>
              </w:rPr>
            </w:pPr>
            <w:r w:rsidRPr="003410C7">
              <w:rPr>
                <w:rFonts w:ascii="Tahoma" w:hAnsi="Tahoma" w:cs="Tahoma"/>
                <w:sz w:val="13"/>
              </w:rPr>
              <w:t>250</w:t>
            </w:r>
          </w:p>
        </w:tc>
        <w:tc>
          <w:tcPr>
            <w:tcW w:w="450" w:type="dxa"/>
            <w:tcBorders>
              <w:bottom w:val="single" w:sz="4" w:space="0" w:color="auto"/>
              <w:right w:val="single" w:sz="18" w:space="0" w:color="auto"/>
            </w:tcBorders>
            <w:shd w:val="clear" w:color="auto" w:fill="auto"/>
            <w:vAlign w:val="center"/>
          </w:tcPr>
          <w:p w:rsidR="001A63C6" w:rsidRPr="003410C7" w:rsidRDefault="001A63C6" w:rsidP="007E466C">
            <w:pPr>
              <w:pStyle w:val="TableText"/>
              <w:keepNext/>
              <w:keepLines/>
              <w:widowControl w:val="0"/>
              <w:rPr>
                <w:rFonts w:ascii="Tahoma" w:hAnsi="Tahoma" w:cs="Tahoma"/>
                <w:sz w:val="13"/>
              </w:rPr>
            </w:pPr>
            <w:r w:rsidRPr="003410C7">
              <w:rPr>
                <w:rFonts w:ascii="Tahoma" w:hAnsi="Tahoma" w:cs="Tahoma"/>
                <w:sz w:val="13"/>
              </w:rPr>
              <w:t>125</w:t>
            </w:r>
          </w:p>
        </w:tc>
        <w:tc>
          <w:tcPr>
            <w:tcW w:w="450" w:type="dxa"/>
            <w:tcBorders>
              <w:left w:val="single" w:sz="18" w:space="0" w:color="auto"/>
              <w:bottom w:val="single" w:sz="4" w:space="0" w:color="auto"/>
            </w:tcBorders>
            <w:shd w:val="clear" w:color="auto" w:fill="auto"/>
            <w:vAlign w:val="center"/>
          </w:tcPr>
          <w:p w:rsidR="001A63C6" w:rsidRPr="003410C7" w:rsidRDefault="001A63C6" w:rsidP="007E466C">
            <w:pPr>
              <w:pStyle w:val="TableText"/>
              <w:keepNext/>
              <w:keepLines/>
              <w:widowControl w:val="0"/>
              <w:rPr>
                <w:rFonts w:ascii="Tahoma" w:hAnsi="Tahoma" w:cs="Tahoma"/>
                <w:sz w:val="13"/>
              </w:rPr>
            </w:pPr>
            <w:r w:rsidRPr="003410C7">
              <w:rPr>
                <w:rFonts w:ascii="Tahoma" w:hAnsi="Tahoma" w:cs="Tahoma"/>
                <w:sz w:val="13"/>
              </w:rPr>
              <w:t>125</w:t>
            </w:r>
          </w:p>
        </w:tc>
        <w:tc>
          <w:tcPr>
            <w:tcW w:w="450" w:type="dxa"/>
            <w:tcBorders>
              <w:bottom w:val="single" w:sz="4" w:space="0" w:color="auto"/>
              <w:right w:val="single" w:sz="18" w:space="0" w:color="auto"/>
            </w:tcBorders>
            <w:shd w:val="clear" w:color="auto" w:fill="auto"/>
            <w:vAlign w:val="center"/>
          </w:tcPr>
          <w:p w:rsidR="001A63C6" w:rsidRPr="003410C7" w:rsidRDefault="001A63C6" w:rsidP="007E466C">
            <w:pPr>
              <w:pStyle w:val="TableText"/>
              <w:keepNext/>
              <w:keepLines/>
              <w:widowControl w:val="0"/>
              <w:rPr>
                <w:rFonts w:ascii="Tahoma" w:hAnsi="Tahoma" w:cs="Tahoma"/>
                <w:sz w:val="13"/>
              </w:rPr>
            </w:pPr>
            <w:r w:rsidRPr="003410C7">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rsidR="001A63C6" w:rsidRPr="003410C7" w:rsidRDefault="001A63C6" w:rsidP="007E466C">
            <w:pPr>
              <w:pStyle w:val="TableText"/>
              <w:keepNext/>
              <w:keepLines/>
              <w:widowControl w:val="0"/>
              <w:rPr>
                <w:rFonts w:ascii="Tahoma" w:hAnsi="Tahoma" w:cs="Tahoma"/>
                <w:sz w:val="13"/>
              </w:rPr>
            </w:pPr>
            <w:r w:rsidRPr="003410C7">
              <w:rPr>
                <w:rFonts w:ascii="Tahoma" w:hAnsi="Tahoma" w:cs="Tahoma"/>
                <w:sz w:val="13"/>
              </w:rPr>
              <w:t>P</w:t>
            </w:r>
          </w:p>
        </w:tc>
        <w:tc>
          <w:tcPr>
            <w:tcW w:w="450" w:type="dxa"/>
            <w:tcBorders>
              <w:bottom w:val="single" w:sz="4" w:space="0" w:color="auto"/>
            </w:tcBorders>
            <w:shd w:val="clear" w:color="auto" w:fill="auto"/>
          </w:tcPr>
          <w:p w:rsidR="001A63C6" w:rsidRPr="003410C7" w:rsidRDefault="001A63C6" w:rsidP="007E466C">
            <w:pPr>
              <w:pStyle w:val="TableText"/>
              <w:keepNext/>
              <w:keepLines/>
              <w:widowControl w:val="0"/>
              <w:rPr>
                <w:rFonts w:ascii="Tahoma" w:hAnsi="Tahoma" w:cs="Tahoma"/>
                <w:sz w:val="13"/>
              </w:rPr>
            </w:pPr>
            <w:r w:rsidRPr="003410C7">
              <w:rPr>
                <w:rFonts w:ascii="Tahoma" w:hAnsi="Tahoma" w:cs="Tahoma"/>
                <w:sz w:val="13"/>
              </w:rPr>
              <w:t>A, ST</w:t>
            </w:r>
          </w:p>
        </w:tc>
        <w:tc>
          <w:tcPr>
            <w:tcW w:w="540" w:type="dxa"/>
            <w:tcBorders>
              <w:bottom w:val="single" w:sz="4" w:space="0" w:color="auto"/>
            </w:tcBorders>
            <w:shd w:val="clear" w:color="auto" w:fill="auto"/>
            <w:vAlign w:val="center"/>
          </w:tcPr>
          <w:p w:rsidR="001A63C6" w:rsidRPr="003410C7" w:rsidRDefault="001A63C6" w:rsidP="007E466C">
            <w:pPr>
              <w:pStyle w:val="TableText"/>
              <w:keepNext/>
              <w:keepLines/>
              <w:widowControl w:val="0"/>
              <w:rPr>
                <w:rFonts w:ascii="Tahoma" w:hAnsi="Tahoma" w:cs="Tahoma"/>
                <w:color w:val="000000"/>
                <w:sz w:val="13"/>
              </w:rPr>
            </w:pPr>
            <w:r w:rsidRPr="003410C7">
              <w:rPr>
                <w:rFonts w:ascii="Tahoma" w:hAnsi="Tahoma" w:cs="Tahoma"/>
                <w:color w:val="000000"/>
                <w:sz w:val="13"/>
              </w:rPr>
              <w:t>OL/OV</w:t>
            </w:r>
          </w:p>
        </w:tc>
      </w:tr>
      <w:tr w:rsidR="00A5643F" w:rsidRPr="003410C7" w:rsidTr="006B1F3F">
        <w:trPr>
          <w:gridBefore w:val="1"/>
          <w:wBefore w:w="20" w:type="dxa"/>
          <w:trHeight w:val="145"/>
        </w:trPr>
        <w:tc>
          <w:tcPr>
            <w:tcW w:w="2714" w:type="dxa"/>
            <w:tcBorders>
              <w:bottom w:val="single" w:sz="4" w:space="0" w:color="auto"/>
            </w:tcBorders>
            <w:shd w:val="clear" w:color="auto" w:fill="FABF8F"/>
            <w:vAlign w:val="center"/>
          </w:tcPr>
          <w:p w:rsidR="00A5643F" w:rsidRPr="003410C7" w:rsidRDefault="00A5643F" w:rsidP="007E466C">
            <w:pPr>
              <w:pStyle w:val="Heading2"/>
              <w:keepNext/>
              <w:keepLines/>
              <w:spacing w:before="20" w:after="20"/>
              <w:ind w:left="0"/>
              <w:rPr>
                <w:rFonts w:ascii="Tahoma" w:hAnsi="Tahoma" w:cs="Tahoma"/>
                <w:b w:val="0"/>
                <w:sz w:val="14"/>
                <w:szCs w:val="14"/>
              </w:rPr>
            </w:pPr>
            <w:bookmarkStart w:id="583" w:name="_Toc352234748"/>
            <w:r w:rsidRPr="003410C7">
              <w:rPr>
                <w:rFonts w:ascii="Tahoma" w:hAnsi="Tahoma" w:cs="Tahoma"/>
                <w:b w:val="0"/>
                <w:sz w:val="14"/>
                <w:szCs w:val="14"/>
              </w:rPr>
              <w:t>Windows Small Business Server 2008 Premium</w:t>
            </w:r>
            <w:bookmarkEnd w:id="583"/>
            <w:r w:rsidRPr="003410C7">
              <w:rPr>
                <w:rFonts w:ascii="Tahoma" w:hAnsi="Tahoma" w:cs="Tahoma"/>
                <w:b w:val="0"/>
                <w:sz w:val="14"/>
                <w:szCs w:val="14"/>
              </w:rPr>
              <w:t xml:space="preserve"> </w:t>
            </w:r>
          </w:p>
        </w:tc>
        <w:tc>
          <w:tcPr>
            <w:tcW w:w="450" w:type="dxa"/>
            <w:tcBorders>
              <w:bottom w:val="single" w:sz="4" w:space="0" w:color="auto"/>
            </w:tcBorders>
            <w:shd w:val="clear" w:color="auto" w:fill="FABF8F"/>
            <w:vAlign w:val="center"/>
          </w:tcPr>
          <w:p w:rsidR="00A5643F" w:rsidRPr="009F17FF" w:rsidRDefault="00FC1A4D" w:rsidP="007E466C">
            <w:pPr>
              <w:pStyle w:val="TableText"/>
              <w:keepNext/>
              <w:keepLines/>
              <w:widowControl w:val="0"/>
              <w:rPr>
                <w:b/>
                <w:sz w:val="13"/>
                <w:szCs w:val="13"/>
                <w:u w:val="single"/>
              </w:rPr>
            </w:pPr>
            <w:hyperlink w:anchor="Srv_116WinSmallBizSVR2011Addon" w:history="1">
              <w:r w:rsidR="000D77F6" w:rsidRPr="009F17FF">
                <w:rPr>
                  <w:rStyle w:val="Hyperlink"/>
                  <w:b/>
                  <w:sz w:val="13"/>
                  <w:szCs w:val="13"/>
                </w:rPr>
                <w:t>108</w:t>
              </w:r>
            </w:hyperlink>
          </w:p>
        </w:tc>
        <w:tc>
          <w:tcPr>
            <w:tcW w:w="450" w:type="dxa"/>
            <w:tcBorders>
              <w:bottom w:val="single" w:sz="4" w:space="0" w:color="auto"/>
            </w:tcBorders>
            <w:shd w:val="clear" w:color="auto" w:fill="FABF8F"/>
          </w:tcPr>
          <w:p w:rsidR="00A5643F" w:rsidRPr="003410C7" w:rsidRDefault="00A5643F" w:rsidP="007E466C">
            <w:pPr>
              <w:pStyle w:val="TableText"/>
              <w:keepNext/>
              <w:keepLines/>
              <w:widowControl w:val="0"/>
              <w:spacing w:before="120"/>
              <w:rPr>
                <w:rFonts w:ascii="Tahoma" w:hAnsi="Tahoma" w:cs="Tahoma"/>
                <w:sz w:val="13"/>
              </w:rPr>
            </w:pPr>
            <w:r w:rsidRPr="003410C7">
              <w:rPr>
                <w:rFonts w:ascii="Tahoma" w:hAnsi="Tahoma" w:cs="Tahoma"/>
                <w:sz w:val="13"/>
              </w:rPr>
              <w:t>10/08</w:t>
            </w:r>
          </w:p>
        </w:tc>
        <w:tc>
          <w:tcPr>
            <w:tcW w:w="360" w:type="dxa"/>
            <w:tcBorders>
              <w:bottom w:val="single" w:sz="4" w:space="0" w:color="auto"/>
              <w:right w:val="single" w:sz="18" w:space="0" w:color="auto"/>
            </w:tcBorders>
            <w:shd w:val="clear" w:color="auto" w:fill="FABF8F"/>
            <w:vAlign w:val="center"/>
          </w:tcPr>
          <w:p w:rsidR="00A5643F" w:rsidRPr="003410C7" w:rsidRDefault="00A5643F" w:rsidP="007E466C">
            <w:pPr>
              <w:pStyle w:val="TableText"/>
              <w:keepNext/>
              <w:keepLines/>
              <w:widowControl w:val="0"/>
              <w:rPr>
                <w:rFonts w:ascii="Tahoma" w:hAnsi="Tahoma" w:cs="Tahoma"/>
                <w:sz w:val="13"/>
              </w:rPr>
            </w:pPr>
            <w:r w:rsidRPr="003410C7">
              <w:rPr>
                <w:rFonts w:ascii="Tahoma" w:hAnsi="Tahoma" w:cs="Tahoma"/>
                <w:sz w:val="13"/>
              </w:rPr>
              <w:t>SRV</w:t>
            </w:r>
          </w:p>
        </w:tc>
        <w:tc>
          <w:tcPr>
            <w:tcW w:w="360" w:type="dxa"/>
            <w:tcBorders>
              <w:left w:val="single" w:sz="18" w:space="0" w:color="auto"/>
              <w:bottom w:val="single" w:sz="4" w:space="0" w:color="auto"/>
            </w:tcBorders>
            <w:shd w:val="clear" w:color="auto" w:fill="FABF8F"/>
            <w:vAlign w:val="center"/>
          </w:tcPr>
          <w:p w:rsidR="00A5643F" w:rsidRPr="003410C7" w:rsidRDefault="00A5643F" w:rsidP="007E466C">
            <w:pPr>
              <w:pStyle w:val="TableText"/>
              <w:keepNext/>
              <w:keepLines/>
              <w:widowControl w:val="0"/>
              <w:rPr>
                <w:rFonts w:ascii="Tahoma" w:hAnsi="Tahoma" w:cs="Tahoma"/>
                <w:sz w:val="13"/>
              </w:rPr>
            </w:pPr>
          </w:p>
        </w:tc>
        <w:tc>
          <w:tcPr>
            <w:tcW w:w="450" w:type="dxa"/>
            <w:tcBorders>
              <w:bottom w:val="single" w:sz="4" w:space="0" w:color="auto"/>
            </w:tcBorders>
            <w:shd w:val="clear" w:color="auto" w:fill="FABF8F"/>
            <w:vAlign w:val="center"/>
          </w:tcPr>
          <w:p w:rsidR="00A5643F" w:rsidRPr="003410C7" w:rsidRDefault="00A5643F" w:rsidP="007E466C">
            <w:pPr>
              <w:pStyle w:val="TableText"/>
              <w:keepNext/>
              <w:keepLines/>
              <w:widowControl w:val="0"/>
              <w:rPr>
                <w:rFonts w:ascii="Tahoma" w:hAnsi="Tahoma" w:cs="Tahoma"/>
                <w:sz w:val="13"/>
              </w:rPr>
            </w:pPr>
          </w:p>
        </w:tc>
        <w:tc>
          <w:tcPr>
            <w:tcW w:w="450" w:type="dxa"/>
            <w:tcBorders>
              <w:bottom w:val="single" w:sz="4" w:space="0" w:color="auto"/>
            </w:tcBorders>
            <w:shd w:val="clear" w:color="auto" w:fill="FABF8F"/>
            <w:vAlign w:val="center"/>
          </w:tcPr>
          <w:p w:rsidR="00A5643F" w:rsidRPr="003410C7" w:rsidRDefault="00A5643F" w:rsidP="007E466C">
            <w:pPr>
              <w:pStyle w:val="TableText"/>
              <w:keepNext/>
              <w:keepLines/>
              <w:widowControl w:val="0"/>
              <w:rPr>
                <w:rFonts w:ascii="Tahoma" w:hAnsi="Tahoma" w:cs="Tahoma"/>
                <w:sz w:val="13"/>
              </w:rPr>
            </w:pPr>
          </w:p>
        </w:tc>
        <w:tc>
          <w:tcPr>
            <w:tcW w:w="450" w:type="dxa"/>
            <w:tcBorders>
              <w:bottom w:val="single" w:sz="4" w:space="0" w:color="auto"/>
            </w:tcBorders>
            <w:shd w:val="clear" w:color="auto" w:fill="FABF8F"/>
            <w:vAlign w:val="center"/>
          </w:tcPr>
          <w:p w:rsidR="00A5643F" w:rsidRPr="003410C7" w:rsidRDefault="00A5643F" w:rsidP="007E466C">
            <w:pPr>
              <w:pStyle w:val="TableText"/>
              <w:keepNext/>
              <w:keepLines/>
              <w:widowControl w:val="0"/>
              <w:rPr>
                <w:rFonts w:ascii="Tahoma" w:hAnsi="Tahoma" w:cs="Tahoma"/>
                <w:sz w:val="13"/>
              </w:rPr>
            </w:pPr>
          </w:p>
        </w:tc>
        <w:tc>
          <w:tcPr>
            <w:tcW w:w="450" w:type="dxa"/>
            <w:tcBorders>
              <w:bottom w:val="single" w:sz="4" w:space="0" w:color="auto"/>
            </w:tcBorders>
            <w:shd w:val="clear" w:color="auto" w:fill="FABF8F"/>
            <w:vAlign w:val="center"/>
          </w:tcPr>
          <w:p w:rsidR="00A5643F" w:rsidRPr="003410C7" w:rsidRDefault="00A5643F" w:rsidP="007E466C">
            <w:pPr>
              <w:pStyle w:val="TableText"/>
              <w:keepNext/>
              <w:keepLines/>
              <w:widowControl w:val="0"/>
              <w:rPr>
                <w:rFonts w:ascii="Tahoma" w:hAnsi="Tahoma" w:cs="Tahoma"/>
                <w:sz w:val="13"/>
              </w:rPr>
            </w:pPr>
          </w:p>
        </w:tc>
        <w:tc>
          <w:tcPr>
            <w:tcW w:w="450" w:type="dxa"/>
            <w:tcBorders>
              <w:bottom w:val="single" w:sz="4" w:space="0" w:color="auto"/>
            </w:tcBorders>
            <w:shd w:val="clear" w:color="auto" w:fill="FABF8F"/>
            <w:vAlign w:val="center"/>
          </w:tcPr>
          <w:p w:rsidR="00A5643F" w:rsidRPr="003410C7" w:rsidRDefault="00A5643F" w:rsidP="007E466C">
            <w:pPr>
              <w:pStyle w:val="TableText"/>
              <w:keepNext/>
              <w:keepLines/>
              <w:widowControl w:val="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rsidR="00A5643F" w:rsidRPr="003410C7" w:rsidRDefault="00A5643F" w:rsidP="007E466C">
            <w:pPr>
              <w:pStyle w:val="TableText"/>
              <w:keepNext/>
              <w:keepLines/>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A5643F" w:rsidRPr="003410C7" w:rsidRDefault="00A5643F" w:rsidP="007E466C">
            <w:pPr>
              <w:pStyle w:val="TableText"/>
              <w:keepNext/>
              <w:keepLines/>
              <w:widowControl w:val="0"/>
              <w:rPr>
                <w:rFonts w:ascii="Tahoma" w:hAnsi="Tahoma" w:cs="Tahoma"/>
                <w:sz w:val="13"/>
              </w:rPr>
            </w:pPr>
          </w:p>
        </w:tc>
        <w:tc>
          <w:tcPr>
            <w:tcW w:w="450" w:type="dxa"/>
            <w:tcBorders>
              <w:bottom w:val="single" w:sz="4" w:space="0" w:color="auto"/>
            </w:tcBorders>
            <w:shd w:val="clear" w:color="auto" w:fill="FABF8F"/>
            <w:vAlign w:val="center"/>
          </w:tcPr>
          <w:p w:rsidR="00A5643F" w:rsidRPr="003410C7" w:rsidDel="001265B4" w:rsidRDefault="00A5643F" w:rsidP="007E466C">
            <w:pPr>
              <w:pStyle w:val="TableText"/>
              <w:keepNext/>
              <w:keepLines/>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A5643F" w:rsidRPr="003410C7" w:rsidRDefault="00A5643F" w:rsidP="007E466C">
            <w:pPr>
              <w:pStyle w:val="TableText"/>
              <w:keepNext/>
              <w:keepLines/>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A5643F" w:rsidRPr="003410C7" w:rsidRDefault="00A5643F" w:rsidP="007E466C">
            <w:pPr>
              <w:pStyle w:val="TableText"/>
              <w:keepNext/>
              <w:keepLines/>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A5643F" w:rsidRPr="003410C7" w:rsidRDefault="00A5643F" w:rsidP="007E466C">
            <w:pPr>
              <w:pStyle w:val="TableText"/>
              <w:keepNext/>
              <w:keepLines/>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rsidR="00A5643F" w:rsidRPr="003410C7" w:rsidRDefault="00A5643F" w:rsidP="007E466C">
            <w:pPr>
              <w:pStyle w:val="TableText"/>
              <w:keepNext/>
              <w:keepLines/>
              <w:widowControl w:val="0"/>
              <w:rPr>
                <w:rFonts w:ascii="Tahoma" w:hAnsi="Tahoma" w:cs="Tahoma"/>
                <w:sz w:val="13"/>
              </w:rPr>
            </w:pPr>
          </w:p>
        </w:tc>
        <w:tc>
          <w:tcPr>
            <w:tcW w:w="450" w:type="dxa"/>
            <w:tcBorders>
              <w:bottom w:val="single" w:sz="4" w:space="0" w:color="auto"/>
            </w:tcBorders>
            <w:shd w:val="clear" w:color="auto" w:fill="FABF8F"/>
            <w:vAlign w:val="center"/>
          </w:tcPr>
          <w:p w:rsidR="00A5643F" w:rsidRPr="003410C7" w:rsidRDefault="00A5643F" w:rsidP="007E466C">
            <w:pPr>
              <w:pStyle w:val="TableText"/>
              <w:keepNext/>
              <w:keepLines/>
              <w:widowControl w:val="0"/>
              <w:rPr>
                <w:rFonts w:ascii="Tahoma" w:hAnsi="Tahoma" w:cs="Tahoma"/>
                <w:sz w:val="13"/>
              </w:rPr>
            </w:pPr>
          </w:p>
        </w:tc>
        <w:tc>
          <w:tcPr>
            <w:tcW w:w="540" w:type="dxa"/>
            <w:tcBorders>
              <w:bottom w:val="single" w:sz="4" w:space="0" w:color="auto"/>
            </w:tcBorders>
            <w:shd w:val="clear" w:color="auto" w:fill="FABF8F"/>
            <w:vAlign w:val="center"/>
          </w:tcPr>
          <w:p w:rsidR="00A5643F" w:rsidRPr="003410C7" w:rsidRDefault="00A5643F" w:rsidP="007E466C">
            <w:pPr>
              <w:pStyle w:val="TableText"/>
              <w:keepNext/>
              <w:keepLines/>
              <w:widowControl w:val="0"/>
              <w:rPr>
                <w:rFonts w:ascii="Tahoma" w:hAnsi="Tahoma" w:cs="Tahoma"/>
                <w:sz w:val="13"/>
              </w:rPr>
            </w:pPr>
          </w:p>
        </w:tc>
      </w:tr>
      <w:tr w:rsidR="00A5643F" w:rsidRPr="003410C7" w:rsidTr="006B1F3F">
        <w:trPr>
          <w:gridBefore w:val="1"/>
          <w:wBefore w:w="20" w:type="dxa"/>
          <w:trHeight w:val="145"/>
        </w:trPr>
        <w:tc>
          <w:tcPr>
            <w:tcW w:w="2714" w:type="dxa"/>
            <w:tcBorders>
              <w:bottom w:val="single" w:sz="4" w:space="0" w:color="auto"/>
            </w:tcBorders>
            <w:shd w:val="clear" w:color="auto" w:fill="auto"/>
            <w:vAlign w:val="center"/>
          </w:tcPr>
          <w:p w:rsidR="00A5643F" w:rsidRPr="003410C7" w:rsidRDefault="00A5643F" w:rsidP="002E5D03">
            <w:pPr>
              <w:pStyle w:val="Heading2"/>
              <w:spacing w:before="20" w:after="20"/>
              <w:ind w:left="0"/>
              <w:rPr>
                <w:rFonts w:ascii="Tahoma" w:hAnsi="Tahoma" w:cs="Tahoma"/>
                <w:b w:val="0"/>
              </w:rPr>
            </w:pPr>
            <w:bookmarkStart w:id="584" w:name="_Toc336338154"/>
            <w:bookmarkStart w:id="585" w:name="_Toc352234749"/>
            <w:r w:rsidRPr="003410C7">
              <w:rPr>
                <w:rFonts w:ascii="Tahoma" w:hAnsi="Tahoma" w:cs="Tahoma"/>
                <w:b w:val="0"/>
                <w:sz w:val="14"/>
              </w:rPr>
              <w:t>CAL Suite per Windows Small Business Server 2008 per Utenti o Dispositivi Premium</w:t>
            </w:r>
            <w:bookmarkEnd w:id="584"/>
            <w:bookmarkEnd w:id="585"/>
          </w:p>
        </w:tc>
        <w:tc>
          <w:tcPr>
            <w:tcW w:w="450" w:type="dxa"/>
            <w:tcBorders>
              <w:bottom w:val="single" w:sz="4" w:space="0" w:color="auto"/>
            </w:tcBorders>
            <w:shd w:val="clear" w:color="auto" w:fill="auto"/>
            <w:vAlign w:val="center"/>
          </w:tcPr>
          <w:p w:rsidR="00A5643F" w:rsidRPr="009F17FF" w:rsidRDefault="00A5643F" w:rsidP="00D63C1B">
            <w:pPr>
              <w:pStyle w:val="TableText"/>
              <w:widowControl w:val="0"/>
              <w:rPr>
                <w:sz w:val="13"/>
                <w:szCs w:val="13"/>
              </w:rPr>
            </w:pPr>
          </w:p>
        </w:tc>
        <w:tc>
          <w:tcPr>
            <w:tcW w:w="450" w:type="dxa"/>
            <w:tcBorders>
              <w:bottom w:val="single" w:sz="4" w:space="0" w:color="auto"/>
            </w:tcBorders>
            <w:shd w:val="clear" w:color="auto" w:fill="auto"/>
            <w:vAlign w:val="center"/>
          </w:tcPr>
          <w:p w:rsidR="00A5643F" w:rsidRPr="003410C7" w:rsidRDefault="00A5643F" w:rsidP="00886719">
            <w:pPr>
              <w:pStyle w:val="TableText"/>
              <w:widowControl w:val="0"/>
              <w:spacing w:before="120"/>
              <w:rPr>
                <w:rFonts w:ascii="Tahoma" w:hAnsi="Tahoma" w:cs="Tahoma"/>
                <w:sz w:val="13"/>
              </w:rPr>
            </w:pPr>
            <w:r w:rsidRPr="003410C7">
              <w:rPr>
                <w:rFonts w:ascii="Tahoma" w:hAnsi="Tahoma" w:cs="Tahoma"/>
                <w:sz w:val="13"/>
              </w:rPr>
              <w:t>01/11</w:t>
            </w:r>
          </w:p>
        </w:tc>
        <w:tc>
          <w:tcPr>
            <w:tcW w:w="360" w:type="dxa"/>
            <w:tcBorders>
              <w:bottom w:val="single" w:sz="4" w:space="0" w:color="auto"/>
              <w:right w:val="single" w:sz="18" w:space="0" w:color="auto"/>
            </w:tcBorders>
            <w:shd w:val="clear" w:color="auto" w:fill="auto"/>
            <w:vAlign w:val="center"/>
          </w:tcPr>
          <w:p w:rsidR="00A5643F" w:rsidRPr="003410C7" w:rsidRDefault="00A5643F" w:rsidP="00886719">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auto"/>
            <w:vAlign w:val="center"/>
          </w:tcPr>
          <w:p w:rsidR="00A5643F" w:rsidRPr="003410C7" w:rsidRDefault="00A5643F" w:rsidP="00886719">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A5643F" w:rsidRPr="003410C7" w:rsidRDefault="00A5643F" w:rsidP="00886719">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A5643F" w:rsidRPr="003410C7" w:rsidRDefault="00A5643F" w:rsidP="00886719">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A5643F" w:rsidRPr="003410C7" w:rsidRDefault="00A5643F" w:rsidP="00886719">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A5643F" w:rsidRPr="003410C7" w:rsidRDefault="00A5643F" w:rsidP="00886719">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A5643F" w:rsidRPr="003410C7" w:rsidRDefault="00A5643F" w:rsidP="00886719">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auto"/>
            <w:vAlign w:val="center"/>
          </w:tcPr>
          <w:p w:rsidR="00A5643F" w:rsidRPr="003410C7" w:rsidRDefault="00A5643F" w:rsidP="00886719">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A5643F" w:rsidRPr="003410C7" w:rsidRDefault="00A5643F" w:rsidP="00886719">
            <w:pPr>
              <w:pStyle w:val="TableText"/>
              <w:widowControl w:val="0"/>
              <w:rPr>
                <w:rFonts w:ascii="Tahoma" w:hAnsi="Tahoma" w:cs="Tahoma"/>
                <w:sz w:val="13"/>
              </w:rPr>
            </w:pPr>
            <w:r w:rsidRPr="003410C7">
              <w:rPr>
                <w:rFonts w:ascii="Tahoma" w:hAnsi="Tahoma" w:cs="Tahoma"/>
                <w:sz w:val="13"/>
              </w:rPr>
              <w:t>1</w:t>
            </w:r>
          </w:p>
        </w:tc>
        <w:tc>
          <w:tcPr>
            <w:tcW w:w="450" w:type="dxa"/>
            <w:tcBorders>
              <w:bottom w:val="single" w:sz="4" w:space="0" w:color="auto"/>
            </w:tcBorders>
            <w:shd w:val="clear" w:color="auto" w:fill="auto"/>
            <w:vAlign w:val="center"/>
          </w:tcPr>
          <w:p w:rsidR="00A5643F" w:rsidRPr="003410C7" w:rsidDel="001265B4" w:rsidRDefault="00A5643F" w:rsidP="00886719">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A5643F" w:rsidRPr="003410C7" w:rsidRDefault="00A5643F" w:rsidP="00886719">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A5643F" w:rsidRPr="003410C7" w:rsidRDefault="00A5643F" w:rsidP="00886719">
            <w:pPr>
              <w:pStyle w:val="TableText"/>
              <w:widowControl w:val="0"/>
              <w:rPr>
                <w:rFonts w:ascii="Tahoma" w:hAnsi="Tahoma" w:cs="Tahoma"/>
                <w:sz w:val="13"/>
              </w:rPr>
            </w:pPr>
            <w:r w:rsidRPr="003410C7">
              <w:rPr>
                <w:rFonts w:ascii="Tahoma" w:hAnsi="Tahoma" w:cs="Tahoma"/>
                <w:sz w:val="13"/>
              </w:rPr>
              <w:t>1</w:t>
            </w:r>
          </w:p>
        </w:tc>
        <w:tc>
          <w:tcPr>
            <w:tcW w:w="450" w:type="dxa"/>
            <w:tcBorders>
              <w:bottom w:val="single" w:sz="4" w:space="0" w:color="auto"/>
              <w:right w:val="single" w:sz="18" w:space="0" w:color="auto"/>
            </w:tcBorders>
            <w:shd w:val="clear" w:color="auto" w:fill="auto"/>
            <w:vAlign w:val="center"/>
          </w:tcPr>
          <w:p w:rsidR="00A5643F" w:rsidRPr="003410C7" w:rsidRDefault="00A5643F" w:rsidP="00886719">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rsidR="00A5643F" w:rsidRPr="003410C7" w:rsidRDefault="00A5643F" w:rsidP="00886719">
            <w:pPr>
              <w:pStyle w:val="TableText"/>
              <w:widowControl w:val="0"/>
              <w:rPr>
                <w:rFonts w:ascii="Tahoma" w:hAnsi="Tahoma" w:cs="Tahoma"/>
                <w:sz w:val="13"/>
              </w:rPr>
            </w:pPr>
            <w:r w:rsidRPr="003410C7">
              <w:rPr>
                <w:rFonts w:ascii="Tahoma" w:hAnsi="Tahoma" w:cs="Tahoma"/>
                <w:sz w:val="13"/>
              </w:rPr>
              <w:t>E, P</w:t>
            </w:r>
          </w:p>
        </w:tc>
        <w:tc>
          <w:tcPr>
            <w:tcW w:w="450" w:type="dxa"/>
            <w:tcBorders>
              <w:bottom w:val="single" w:sz="4" w:space="0" w:color="auto"/>
            </w:tcBorders>
            <w:shd w:val="clear" w:color="auto" w:fill="auto"/>
          </w:tcPr>
          <w:p w:rsidR="00A5643F" w:rsidRPr="003410C7" w:rsidRDefault="00A5643F" w:rsidP="00886719">
            <w:pPr>
              <w:pStyle w:val="TableText"/>
              <w:widowControl w:val="0"/>
              <w:rPr>
                <w:rFonts w:ascii="Tahoma" w:hAnsi="Tahoma" w:cs="Tahoma"/>
                <w:sz w:val="13"/>
              </w:rPr>
            </w:pPr>
            <w:r w:rsidRPr="003410C7">
              <w:rPr>
                <w:rFonts w:ascii="Tahoma" w:hAnsi="Tahoma" w:cs="Tahoma"/>
                <w:sz w:val="13"/>
              </w:rPr>
              <w:t>A</w:t>
            </w:r>
          </w:p>
        </w:tc>
        <w:tc>
          <w:tcPr>
            <w:tcW w:w="540" w:type="dxa"/>
            <w:tcBorders>
              <w:bottom w:val="single" w:sz="4" w:space="0" w:color="auto"/>
            </w:tcBorders>
            <w:shd w:val="clear" w:color="auto" w:fill="auto"/>
            <w:vAlign w:val="center"/>
          </w:tcPr>
          <w:p w:rsidR="00A5643F" w:rsidRPr="003410C7" w:rsidRDefault="00A5643F" w:rsidP="00886719">
            <w:pPr>
              <w:pStyle w:val="TableText"/>
              <w:widowControl w:val="0"/>
              <w:rPr>
                <w:rFonts w:ascii="Tahoma" w:hAnsi="Tahoma" w:cs="Tahoma"/>
                <w:sz w:val="13"/>
              </w:rPr>
            </w:pPr>
          </w:p>
        </w:tc>
      </w:tr>
      <w:tr w:rsidR="00A5643F" w:rsidRPr="003410C7" w:rsidTr="006B1F3F">
        <w:trPr>
          <w:gridBefore w:val="1"/>
          <w:wBefore w:w="20" w:type="dxa"/>
          <w:trHeight w:val="145"/>
        </w:trPr>
        <w:tc>
          <w:tcPr>
            <w:tcW w:w="2714" w:type="dxa"/>
            <w:tcBorders>
              <w:bottom w:val="single" w:sz="4" w:space="0" w:color="auto"/>
            </w:tcBorders>
            <w:shd w:val="clear" w:color="auto" w:fill="FABF8F"/>
            <w:vAlign w:val="center"/>
          </w:tcPr>
          <w:p w:rsidR="00A5643F" w:rsidRPr="003410C7" w:rsidRDefault="00A5643F" w:rsidP="002E5D03">
            <w:pPr>
              <w:pStyle w:val="Heading2"/>
              <w:spacing w:before="20" w:after="20"/>
              <w:ind w:left="0"/>
              <w:rPr>
                <w:rFonts w:ascii="Tahoma" w:hAnsi="Tahoma" w:cs="Tahoma"/>
                <w:b w:val="0"/>
                <w:sz w:val="14"/>
                <w:szCs w:val="14"/>
              </w:rPr>
            </w:pPr>
            <w:bookmarkStart w:id="586" w:name="_Toc336338155"/>
            <w:bookmarkStart w:id="587" w:name="_Toc352234750"/>
            <w:r w:rsidRPr="003410C7">
              <w:rPr>
                <w:rFonts w:ascii="Tahoma" w:hAnsi="Tahoma" w:cs="Tahoma"/>
                <w:b w:val="0"/>
                <w:sz w:val="14"/>
              </w:rPr>
              <w:t>CAL Suite per Windows Small Business Server 2008 per Utenti o Dispositivi Premium (5 Client)</w:t>
            </w:r>
            <w:bookmarkEnd w:id="586"/>
            <w:bookmarkEnd w:id="587"/>
          </w:p>
        </w:tc>
        <w:tc>
          <w:tcPr>
            <w:tcW w:w="450" w:type="dxa"/>
            <w:tcBorders>
              <w:bottom w:val="single" w:sz="4" w:space="0" w:color="auto"/>
            </w:tcBorders>
            <w:shd w:val="clear" w:color="auto" w:fill="FABF8F"/>
            <w:vAlign w:val="center"/>
          </w:tcPr>
          <w:p w:rsidR="00A5643F" w:rsidRPr="009F17FF" w:rsidRDefault="00A5643F" w:rsidP="00D63C1B">
            <w:pPr>
              <w:pStyle w:val="TableText"/>
              <w:widowControl w:val="0"/>
              <w:rPr>
                <w:sz w:val="13"/>
                <w:szCs w:val="13"/>
              </w:rPr>
            </w:pPr>
          </w:p>
        </w:tc>
        <w:tc>
          <w:tcPr>
            <w:tcW w:w="450" w:type="dxa"/>
            <w:tcBorders>
              <w:bottom w:val="single" w:sz="4" w:space="0" w:color="auto"/>
            </w:tcBorders>
            <w:shd w:val="clear" w:color="auto" w:fill="FABF8F"/>
            <w:vAlign w:val="center"/>
          </w:tcPr>
          <w:p w:rsidR="00A5643F" w:rsidRPr="003410C7" w:rsidRDefault="00A5643F" w:rsidP="00886719">
            <w:pPr>
              <w:pStyle w:val="TableText"/>
              <w:widowControl w:val="0"/>
              <w:spacing w:before="120"/>
              <w:rPr>
                <w:rFonts w:ascii="Tahoma" w:hAnsi="Tahoma" w:cs="Tahoma"/>
                <w:sz w:val="13"/>
              </w:rPr>
            </w:pPr>
            <w:r w:rsidRPr="003410C7">
              <w:rPr>
                <w:rFonts w:ascii="Tahoma" w:hAnsi="Tahoma" w:cs="Tahoma"/>
                <w:sz w:val="13"/>
              </w:rPr>
              <w:t>01/11</w:t>
            </w:r>
          </w:p>
        </w:tc>
        <w:tc>
          <w:tcPr>
            <w:tcW w:w="360" w:type="dxa"/>
            <w:tcBorders>
              <w:bottom w:val="single" w:sz="4" w:space="0" w:color="auto"/>
              <w:right w:val="single" w:sz="18" w:space="0" w:color="auto"/>
            </w:tcBorders>
            <w:shd w:val="clear" w:color="auto" w:fill="FABF8F"/>
            <w:vAlign w:val="center"/>
          </w:tcPr>
          <w:p w:rsidR="00A5643F" w:rsidRPr="003410C7" w:rsidRDefault="00A5643F" w:rsidP="00886719">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FABF8F"/>
            <w:vAlign w:val="center"/>
          </w:tcPr>
          <w:p w:rsidR="00A5643F" w:rsidRPr="003410C7" w:rsidRDefault="00A5643F" w:rsidP="00886719">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A5643F" w:rsidRPr="003410C7" w:rsidRDefault="00A5643F" w:rsidP="00886719">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A5643F" w:rsidRPr="003410C7" w:rsidRDefault="00A5643F" w:rsidP="00886719">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A5643F" w:rsidRPr="003410C7" w:rsidRDefault="00A5643F" w:rsidP="00886719">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A5643F" w:rsidRPr="003410C7" w:rsidRDefault="00A5643F" w:rsidP="00886719">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A5643F" w:rsidRPr="003410C7" w:rsidRDefault="00A5643F" w:rsidP="00886719">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rsidR="00A5643F" w:rsidRPr="003410C7" w:rsidRDefault="00A5643F" w:rsidP="00886719">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A5643F" w:rsidRPr="003410C7" w:rsidRDefault="00A5643F" w:rsidP="00886719">
            <w:pPr>
              <w:pStyle w:val="TableText"/>
              <w:widowControl w:val="0"/>
              <w:rPr>
                <w:rFonts w:ascii="Tahoma" w:hAnsi="Tahoma" w:cs="Tahoma"/>
                <w:sz w:val="13"/>
              </w:rPr>
            </w:pPr>
            <w:r w:rsidRPr="003410C7">
              <w:rPr>
                <w:rFonts w:ascii="Tahoma" w:hAnsi="Tahoma" w:cs="Tahoma"/>
                <w:sz w:val="13"/>
              </w:rPr>
              <w:t>5</w:t>
            </w:r>
          </w:p>
        </w:tc>
        <w:tc>
          <w:tcPr>
            <w:tcW w:w="450" w:type="dxa"/>
            <w:tcBorders>
              <w:bottom w:val="single" w:sz="4" w:space="0" w:color="auto"/>
            </w:tcBorders>
            <w:shd w:val="clear" w:color="auto" w:fill="FABF8F"/>
            <w:vAlign w:val="center"/>
          </w:tcPr>
          <w:p w:rsidR="00A5643F" w:rsidRPr="003410C7" w:rsidDel="001265B4" w:rsidRDefault="00A5643F" w:rsidP="00886719">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A5643F" w:rsidRPr="003410C7" w:rsidRDefault="00A5643F" w:rsidP="00886719">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A5643F" w:rsidRPr="003410C7" w:rsidRDefault="00A5643F" w:rsidP="00886719">
            <w:pPr>
              <w:pStyle w:val="TableText"/>
              <w:widowControl w:val="0"/>
              <w:rPr>
                <w:rFonts w:ascii="Tahoma" w:hAnsi="Tahoma" w:cs="Tahoma"/>
                <w:sz w:val="13"/>
              </w:rPr>
            </w:pPr>
            <w:r w:rsidRPr="003410C7">
              <w:rPr>
                <w:rFonts w:ascii="Tahoma" w:hAnsi="Tahoma" w:cs="Tahoma"/>
                <w:sz w:val="13"/>
              </w:rPr>
              <w:t>5</w:t>
            </w:r>
          </w:p>
        </w:tc>
        <w:tc>
          <w:tcPr>
            <w:tcW w:w="450" w:type="dxa"/>
            <w:tcBorders>
              <w:bottom w:val="single" w:sz="4" w:space="0" w:color="auto"/>
              <w:right w:val="single" w:sz="18" w:space="0" w:color="auto"/>
            </w:tcBorders>
            <w:shd w:val="clear" w:color="auto" w:fill="FABF8F"/>
            <w:vAlign w:val="center"/>
          </w:tcPr>
          <w:p w:rsidR="00A5643F" w:rsidRPr="003410C7" w:rsidRDefault="00A5643F" w:rsidP="00886719">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rsidR="00A5643F" w:rsidRPr="003410C7" w:rsidRDefault="00A5643F" w:rsidP="00886719">
            <w:pPr>
              <w:pStyle w:val="TableText"/>
              <w:widowControl w:val="0"/>
              <w:rPr>
                <w:rFonts w:ascii="Tahoma" w:hAnsi="Tahoma" w:cs="Tahoma"/>
                <w:sz w:val="13"/>
              </w:rPr>
            </w:pPr>
            <w:r w:rsidRPr="003410C7">
              <w:rPr>
                <w:rFonts w:ascii="Tahoma" w:hAnsi="Tahoma" w:cs="Tahoma"/>
                <w:sz w:val="13"/>
              </w:rPr>
              <w:t>P</w:t>
            </w:r>
          </w:p>
        </w:tc>
        <w:tc>
          <w:tcPr>
            <w:tcW w:w="450" w:type="dxa"/>
            <w:tcBorders>
              <w:bottom w:val="single" w:sz="4" w:space="0" w:color="auto"/>
            </w:tcBorders>
            <w:shd w:val="clear" w:color="auto" w:fill="FABF8F"/>
          </w:tcPr>
          <w:p w:rsidR="00A5643F" w:rsidRPr="003410C7" w:rsidRDefault="00A5643F" w:rsidP="00886719">
            <w:pPr>
              <w:pStyle w:val="TableText"/>
              <w:widowControl w:val="0"/>
              <w:rPr>
                <w:rFonts w:ascii="Tahoma" w:hAnsi="Tahoma" w:cs="Tahoma"/>
                <w:sz w:val="13"/>
              </w:rPr>
            </w:pPr>
            <w:r w:rsidRPr="003410C7">
              <w:rPr>
                <w:rFonts w:ascii="Tahoma" w:hAnsi="Tahoma" w:cs="Tahoma"/>
                <w:sz w:val="13"/>
              </w:rPr>
              <w:t>A</w:t>
            </w:r>
          </w:p>
        </w:tc>
        <w:tc>
          <w:tcPr>
            <w:tcW w:w="540" w:type="dxa"/>
            <w:tcBorders>
              <w:bottom w:val="single" w:sz="4" w:space="0" w:color="auto"/>
            </w:tcBorders>
            <w:shd w:val="clear" w:color="auto" w:fill="FABF8F"/>
            <w:vAlign w:val="center"/>
          </w:tcPr>
          <w:p w:rsidR="00A5643F" w:rsidRPr="003410C7" w:rsidRDefault="00A5643F" w:rsidP="00886719">
            <w:pPr>
              <w:pStyle w:val="TableText"/>
              <w:widowControl w:val="0"/>
              <w:rPr>
                <w:rFonts w:ascii="Tahoma" w:hAnsi="Tahoma" w:cs="Tahoma"/>
                <w:sz w:val="13"/>
              </w:rPr>
            </w:pPr>
            <w:r w:rsidRPr="003410C7">
              <w:rPr>
                <w:rFonts w:ascii="Tahoma" w:hAnsi="Tahoma" w:cs="Tahoma"/>
                <w:sz w:val="13"/>
              </w:rPr>
              <w:t>OL/OV</w:t>
            </w:r>
          </w:p>
        </w:tc>
      </w:tr>
      <w:tr w:rsidR="00F76ED4" w:rsidRPr="003410C7" w:rsidTr="006B1F3F">
        <w:trPr>
          <w:gridBefore w:val="1"/>
          <w:wBefore w:w="20" w:type="dxa"/>
          <w:trHeight w:val="145"/>
        </w:trPr>
        <w:tc>
          <w:tcPr>
            <w:tcW w:w="2714" w:type="dxa"/>
            <w:tcBorders>
              <w:bottom w:val="single" w:sz="4" w:space="0" w:color="auto"/>
            </w:tcBorders>
            <w:shd w:val="clear" w:color="auto" w:fill="auto"/>
            <w:vAlign w:val="center"/>
          </w:tcPr>
          <w:p w:rsidR="00A5643F" w:rsidRPr="003410C7" w:rsidRDefault="00A5643F" w:rsidP="002E5D03">
            <w:pPr>
              <w:pStyle w:val="Heading2"/>
              <w:spacing w:before="20" w:after="20"/>
              <w:ind w:left="0"/>
              <w:rPr>
                <w:rFonts w:ascii="Tahoma" w:hAnsi="Tahoma" w:cs="Tahoma"/>
                <w:b w:val="0"/>
                <w:sz w:val="14"/>
                <w:szCs w:val="14"/>
              </w:rPr>
            </w:pPr>
            <w:bookmarkStart w:id="588" w:name="_Toc336338156"/>
            <w:bookmarkStart w:id="589" w:name="_Toc352234751"/>
            <w:r w:rsidRPr="003410C7">
              <w:rPr>
                <w:rFonts w:ascii="Tahoma" w:hAnsi="Tahoma" w:cs="Tahoma"/>
                <w:b w:val="0"/>
                <w:sz w:val="14"/>
              </w:rPr>
              <w:t>CAL Suite per Windows Small Business Server 2008 per Utenti o Dispositivi Premium (20 Client)</w:t>
            </w:r>
            <w:bookmarkEnd w:id="588"/>
            <w:bookmarkEnd w:id="589"/>
          </w:p>
        </w:tc>
        <w:tc>
          <w:tcPr>
            <w:tcW w:w="450" w:type="dxa"/>
            <w:tcBorders>
              <w:bottom w:val="single" w:sz="4" w:space="0" w:color="auto"/>
            </w:tcBorders>
            <w:shd w:val="clear" w:color="auto" w:fill="auto"/>
            <w:vAlign w:val="center"/>
          </w:tcPr>
          <w:p w:rsidR="00A5643F" w:rsidRPr="009F17FF" w:rsidRDefault="00A5643F" w:rsidP="00D63C1B">
            <w:pPr>
              <w:pStyle w:val="TableText"/>
              <w:widowControl w:val="0"/>
              <w:rPr>
                <w:sz w:val="13"/>
                <w:szCs w:val="13"/>
              </w:rPr>
            </w:pPr>
          </w:p>
        </w:tc>
        <w:tc>
          <w:tcPr>
            <w:tcW w:w="450" w:type="dxa"/>
            <w:tcBorders>
              <w:bottom w:val="single" w:sz="4" w:space="0" w:color="auto"/>
            </w:tcBorders>
            <w:shd w:val="clear" w:color="auto" w:fill="auto"/>
            <w:vAlign w:val="center"/>
          </w:tcPr>
          <w:p w:rsidR="00A5643F" w:rsidRPr="003410C7" w:rsidRDefault="00A5643F" w:rsidP="00886719">
            <w:pPr>
              <w:pStyle w:val="TableText"/>
              <w:widowControl w:val="0"/>
              <w:spacing w:before="120"/>
              <w:rPr>
                <w:rFonts w:ascii="Tahoma" w:hAnsi="Tahoma" w:cs="Tahoma"/>
                <w:sz w:val="13"/>
              </w:rPr>
            </w:pPr>
            <w:r w:rsidRPr="003410C7">
              <w:rPr>
                <w:rFonts w:ascii="Tahoma" w:hAnsi="Tahoma" w:cs="Tahoma"/>
                <w:sz w:val="13"/>
              </w:rPr>
              <w:t>01/11</w:t>
            </w:r>
          </w:p>
        </w:tc>
        <w:tc>
          <w:tcPr>
            <w:tcW w:w="360" w:type="dxa"/>
            <w:tcBorders>
              <w:bottom w:val="single" w:sz="4" w:space="0" w:color="auto"/>
              <w:right w:val="single" w:sz="18" w:space="0" w:color="auto"/>
            </w:tcBorders>
            <w:shd w:val="clear" w:color="auto" w:fill="auto"/>
            <w:vAlign w:val="center"/>
          </w:tcPr>
          <w:p w:rsidR="00A5643F" w:rsidRPr="003410C7" w:rsidRDefault="00A5643F" w:rsidP="00886719">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auto"/>
            <w:vAlign w:val="center"/>
          </w:tcPr>
          <w:p w:rsidR="00A5643F" w:rsidRPr="003410C7" w:rsidRDefault="00A5643F" w:rsidP="00886719">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A5643F" w:rsidRPr="003410C7" w:rsidRDefault="00A5643F" w:rsidP="00886719">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A5643F" w:rsidRPr="003410C7" w:rsidRDefault="00A5643F" w:rsidP="00886719">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A5643F" w:rsidRPr="003410C7" w:rsidRDefault="00A5643F" w:rsidP="00886719">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A5643F" w:rsidRPr="003410C7" w:rsidRDefault="00A5643F" w:rsidP="00886719">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A5643F" w:rsidRPr="003410C7" w:rsidRDefault="00A5643F" w:rsidP="00886719">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auto"/>
            <w:vAlign w:val="center"/>
          </w:tcPr>
          <w:p w:rsidR="00A5643F" w:rsidRPr="003410C7" w:rsidRDefault="00A5643F" w:rsidP="00886719">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A5643F" w:rsidRPr="003410C7" w:rsidRDefault="00A5643F" w:rsidP="00886719">
            <w:pPr>
              <w:pStyle w:val="TableText"/>
              <w:widowControl w:val="0"/>
              <w:rPr>
                <w:rFonts w:ascii="Tahoma" w:hAnsi="Tahoma" w:cs="Tahoma"/>
                <w:sz w:val="13"/>
              </w:rPr>
            </w:pPr>
            <w:r w:rsidRPr="003410C7">
              <w:rPr>
                <w:rFonts w:ascii="Tahoma" w:hAnsi="Tahoma" w:cs="Tahoma"/>
                <w:sz w:val="13"/>
              </w:rPr>
              <w:t>25</w:t>
            </w:r>
          </w:p>
        </w:tc>
        <w:tc>
          <w:tcPr>
            <w:tcW w:w="450" w:type="dxa"/>
            <w:tcBorders>
              <w:bottom w:val="single" w:sz="4" w:space="0" w:color="auto"/>
            </w:tcBorders>
            <w:shd w:val="clear" w:color="auto" w:fill="auto"/>
            <w:vAlign w:val="center"/>
          </w:tcPr>
          <w:p w:rsidR="00A5643F" w:rsidRPr="003410C7" w:rsidDel="001265B4" w:rsidRDefault="00A5643F" w:rsidP="00886719">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A5643F" w:rsidRPr="003410C7" w:rsidRDefault="00A5643F" w:rsidP="00886719">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A5643F" w:rsidRPr="003410C7" w:rsidRDefault="00A5643F" w:rsidP="00886719">
            <w:pPr>
              <w:pStyle w:val="TableText"/>
              <w:widowControl w:val="0"/>
              <w:rPr>
                <w:rFonts w:ascii="Tahoma" w:hAnsi="Tahoma" w:cs="Tahoma"/>
                <w:sz w:val="13"/>
              </w:rPr>
            </w:pPr>
            <w:r w:rsidRPr="003410C7">
              <w:rPr>
                <w:rFonts w:ascii="Tahoma" w:hAnsi="Tahoma" w:cs="Tahoma"/>
                <w:sz w:val="13"/>
              </w:rPr>
              <w:t>25</w:t>
            </w:r>
          </w:p>
        </w:tc>
        <w:tc>
          <w:tcPr>
            <w:tcW w:w="450" w:type="dxa"/>
            <w:tcBorders>
              <w:bottom w:val="single" w:sz="4" w:space="0" w:color="auto"/>
              <w:right w:val="single" w:sz="18" w:space="0" w:color="auto"/>
            </w:tcBorders>
            <w:shd w:val="clear" w:color="auto" w:fill="auto"/>
            <w:vAlign w:val="center"/>
          </w:tcPr>
          <w:p w:rsidR="00A5643F" w:rsidRPr="003410C7" w:rsidRDefault="00A5643F" w:rsidP="00886719">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rsidR="00A5643F" w:rsidRPr="003410C7" w:rsidRDefault="00A5643F" w:rsidP="00886719">
            <w:pPr>
              <w:pStyle w:val="TableText"/>
              <w:widowControl w:val="0"/>
              <w:rPr>
                <w:rFonts w:ascii="Tahoma" w:hAnsi="Tahoma" w:cs="Tahoma"/>
                <w:sz w:val="13"/>
              </w:rPr>
            </w:pPr>
            <w:r w:rsidRPr="003410C7">
              <w:rPr>
                <w:rFonts w:ascii="Tahoma" w:hAnsi="Tahoma" w:cs="Tahoma"/>
                <w:sz w:val="13"/>
              </w:rPr>
              <w:t>P</w:t>
            </w:r>
          </w:p>
        </w:tc>
        <w:tc>
          <w:tcPr>
            <w:tcW w:w="450" w:type="dxa"/>
            <w:tcBorders>
              <w:bottom w:val="single" w:sz="4" w:space="0" w:color="auto"/>
            </w:tcBorders>
            <w:shd w:val="clear" w:color="auto" w:fill="auto"/>
          </w:tcPr>
          <w:p w:rsidR="00A5643F" w:rsidRPr="003410C7" w:rsidRDefault="00A5643F" w:rsidP="00886719">
            <w:pPr>
              <w:pStyle w:val="TableText"/>
              <w:widowControl w:val="0"/>
              <w:rPr>
                <w:rFonts w:ascii="Tahoma" w:hAnsi="Tahoma" w:cs="Tahoma"/>
                <w:sz w:val="13"/>
              </w:rPr>
            </w:pPr>
            <w:r w:rsidRPr="003410C7">
              <w:rPr>
                <w:rFonts w:ascii="Tahoma" w:hAnsi="Tahoma" w:cs="Tahoma"/>
                <w:sz w:val="13"/>
              </w:rPr>
              <w:t>A</w:t>
            </w:r>
          </w:p>
        </w:tc>
        <w:tc>
          <w:tcPr>
            <w:tcW w:w="540" w:type="dxa"/>
            <w:tcBorders>
              <w:bottom w:val="single" w:sz="4" w:space="0" w:color="auto"/>
            </w:tcBorders>
            <w:shd w:val="clear" w:color="auto" w:fill="auto"/>
            <w:vAlign w:val="center"/>
          </w:tcPr>
          <w:p w:rsidR="00A5643F" w:rsidRPr="003410C7" w:rsidRDefault="00A5643F" w:rsidP="00886719">
            <w:pPr>
              <w:pStyle w:val="TableText"/>
              <w:widowControl w:val="0"/>
              <w:rPr>
                <w:rFonts w:ascii="Tahoma" w:hAnsi="Tahoma" w:cs="Tahoma"/>
                <w:sz w:val="13"/>
              </w:rPr>
            </w:pPr>
            <w:r w:rsidRPr="003410C7">
              <w:rPr>
                <w:rFonts w:ascii="Tahoma" w:hAnsi="Tahoma" w:cs="Tahoma"/>
                <w:sz w:val="13"/>
              </w:rPr>
              <w:t>OL/OV</w:t>
            </w:r>
          </w:p>
        </w:tc>
      </w:tr>
      <w:tr w:rsidR="00F76ED4" w:rsidRPr="003410C7" w:rsidTr="006B1F3F">
        <w:trPr>
          <w:gridBefore w:val="1"/>
          <w:wBefore w:w="20" w:type="dxa"/>
          <w:trHeight w:val="145"/>
        </w:trPr>
        <w:tc>
          <w:tcPr>
            <w:tcW w:w="2714" w:type="dxa"/>
            <w:tcBorders>
              <w:bottom w:val="single" w:sz="4" w:space="0" w:color="auto"/>
            </w:tcBorders>
            <w:shd w:val="clear" w:color="auto" w:fill="FABF8F"/>
            <w:vAlign w:val="center"/>
          </w:tcPr>
          <w:p w:rsidR="00A5643F" w:rsidRPr="003410C7" w:rsidRDefault="00A5643F" w:rsidP="002E5D03">
            <w:pPr>
              <w:pStyle w:val="Heading2"/>
              <w:spacing w:before="20" w:after="20"/>
              <w:ind w:left="0"/>
              <w:rPr>
                <w:rFonts w:ascii="Tahoma" w:hAnsi="Tahoma" w:cs="Tahoma"/>
                <w:b w:val="0"/>
                <w:sz w:val="14"/>
                <w:szCs w:val="14"/>
              </w:rPr>
            </w:pPr>
            <w:bookmarkStart w:id="590" w:name="_Toc336338157"/>
            <w:bookmarkStart w:id="591" w:name="_Toc352234752"/>
            <w:r w:rsidRPr="003410C7">
              <w:rPr>
                <w:rFonts w:ascii="Tahoma" w:hAnsi="Tahoma" w:cs="Tahoma"/>
                <w:b w:val="0"/>
                <w:sz w:val="14"/>
                <w:szCs w:val="14"/>
              </w:rPr>
              <w:t>Windows Small Business Server 2011 Standard (5 client)</w:t>
            </w:r>
            <w:bookmarkEnd w:id="590"/>
            <w:bookmarkEnd w:id="591"/>
            <w:r w:rsidRPr="003410C7">
              <w:rPr>
                <w:rFonts w:ascii="Tahoma" w:eastAsia="Times New Roman" w:hAnsi="Tahoma" w:cs="Tahoma"/>
                <w:b w:val="0"/>
                <w:sz w:val="14"/>
                <w:szCs w:val="14"/>
              </w:rPr>
              <w:t xml:space="preserve"> </w:t>
            </w:r>
          </w:p>
        </w:tc>
        <w:tc>
          <w:tcPr>
            <w:tcW w:w="450" w:type="dxa"/>
            <w:tcBorders>
              <w:bottom w:val="single" w:sz="4" w:space="0" w:color="auto"/>
            </w:tcBorders>
            <w:shd w:val="clear" w:color="auto" w:fill="FABF8F"/>
            <w:vAlign w:val="center"/>
          </w:tcPr>
          <w:p w:rsidR="00A5643F" w:rsidRPr="009F17FF" w:rsidRDefault="00FC1A4D" w:rsidP="006615A9">
            <w:pPr>
              <w:pStyle w:val="TableText"/>
              <w:widowControl w:val="0"/>
              <w:rPr>
                <w:rStyle w:val="EndnoteReference"/>
                <w:b w:val="0"/>
                <w:color w:val="0000FF"/>
                <w:sz w:val="13"/>
                <w:szCs w:val="13"/>
                <w:u w:val="single"/>
              </w:rPr>
            </w:pPr>
            <w:hyperlink w:anchor="_109_Windows_Small" w:history="1">
              <w:r w:rsidR="000D77F6" w:rsidRPr="009F17FF">
                <w:rPr>
                  <w:rStyle w:val="Hyperlink"/>
                  <w:b/>
                  <w:sz w:val="13"/>
                  <w:szCs w:val="13"/>
                </w:rPr>
                <w:t>109</w:t>
              </w:r>
            </w:hyperlink>
          </w:p>
        </w:tc>
        <w:tc>
          <w:tcPr>
            <w:tcW w:w="450" w:type="dxa"/>
            <w:tcBorders>
              <w:bottom w:val="single" w:sz="4" w:space="0" w:color="auto"/>
            </w:tcBorders>
            <w:shd w:val="clear" w:color="auto" w:fill="FABF8F"/>
            <w:vAlign w:val="center"/>
          </w:tcPr>
          <w:p w:rsidR="00A5643F" w:rsidRPr="003410C7" w:rsidRDefault="00A5643F" w:rsidP="00886719">
            <w:pPr>
              <w:pStyle w:val="TableText"/>
              <w:widowControl w:val="0"/>
              <w:spacing w:before="120"/>
              <w:rPr>
                <w:rFonts w:ascii="Tahoma" w:hAnsi="Tahoma" w:cs="Tahoma"/>
                <w:sz w:val="13"/>
              </w:rPr>
            </w:pPr>
            <w:r w:rsidRPr="003410C7">
              <w:rPr>
                <w:rFonts w:ascii="Tahoma" w:hAnsi="Tahoma" w:cs="Tahoma"/>
                <w:sz w:val="13"/>
              </w:rPr>
              <w:t>01/11</w:t>
            </w:r>
          </w:p>
        </w:tc>
        <w:tc>
          <w:tcPr>
            <w:tcW w:w="360" w:type="dxa"/>
            <w:tcBorders>
              <w:bottom w:val="single" w:sz="4" w:space="0" w:color="auto"/>
              <w:right w:val="single" w:sz="18" w:space="0" w:color="auto"/>
            </w:tcBorders>
            <w:shd w:val="clear" w:color="auto" w:fill="FABF8F"/>
            <w:vAlign w:val="center"/>
          </w:tcPr>
          <w:p w:rsidR="00A5643F" w:rsidRPr="003410C7" w:rsidRDefault="00A5643F" w:rsidP="00886719">
            <w:pPr>
              <w:pStyle w:val="TableText"/>
              <w:widowControl w:val="0"/>
              <w:rPr>
                <w:rFonts w:ascii="Tahoma" w:hAnsi="Tahoma" w:cs="Tahoma"/>
                <w:sz w:val="13"/>
              </w:rPr>
            </w:pPr>
            <w:r w:rsidRPr="003410C7">
              <w:rPr>
                <w:rFonts w:ascii="Tahoma" w:hAnsi="Tahoma" w:cs="Tahoma"/>
                <w:sz w:val="13"/>
              </w:rPr>
              <w:t>SRV</w:t>
            </w:r>
          </w:p>
        </w:tc>
        <w:tc>
          <w:tcPr>
            <w:tcW w:w="360" w:type="dxa"/>
            <w:tcBorders>
              <w:left w:val="single" w:sz="18" w:space="0" w:color="auto"/>
              <w:bottom w:val="single" w:sz="4" w:space="0" w:color="auto"/>
            </w:tcBorders>
            <w:shd w:val="clear" w:color="auto" w:fill="FABF8F"/>
            <w:vAlign w:val="center"/>
          </w:tcPr>
          <w:p w:rsidR="00A5643F" w:rsidRPr="003410C7" w:rsidRDefault="00A5643F" w:rsidP="00886719">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A5643F" w:rsidRPr="003410C7" w:rsidRDefault="00A5643F" w:rsidP="00886719">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A5643F" w:rsidRPr="003410C7" w:rsidRDefault="00A5643F" w:rsidP="00886719">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A5643F" w:rsidRPr="003410C7" w:rsidRDefault="00A5643F" w:rsidP="00886719">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A5643F" w:rsidRPr="003410C7" w:rsidRDefault="00A5643F" w:rsidP="00886719">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A5643F" w:rsidRPr="003410C7" w:rsidRDefault="00A5643F" w:rsidP="00886719">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rsidR="00A5643F" w:rsidRPr="003410C7" w:rsidRDefault="00A5643F" w:rsidP="00886719">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A5643F" w:rsidRPr="003410C7" w:rsidRDefault="00A5643F" w:rsidP="00886719">
            <w:pPr>
              <w:pStyle w:val="TableText"/>
              <w:widowControl w:val="0"/>
              <w:rPr>
                <w:rFonts w:ascii="Tahoma" w:hAnsi="Tahoma" w:cs="Tahoma"/>
                <w:sz w:val="13"/>
              </w:rPr>
            </w:pPr>
            <w:r w:rsidRPr="003410C7">
              <w:rPr>
                <w:rFonts w:ascii="Tahoma" w:hAnsi="Tahoma" w:cs="Tahoma"/>
                <w:sz w:val="13"/>
              </w:rPr>
              <w:t>15</w:t>
            </w:r>
          </w:p>
        </w:tc>
        <w:tc>
          <w:tcPr>
            <w:tcW w:w="450" w:type="dxa"/>
            <w:tcBorders>
              <w:bottom w:val="single" w:sz="4" w:space="0" w:color="auto"/>
            </w:tcBorders>
            <w:shd w:val="clear" w:color="auto" w:fill="FABF8F"/>
            <w:vAlign w:val="center"/>
          </w:tcPr>
          <w:p w:rsidR="00A5643F" w:rsidRPr="003410C7" w:rsidRDefault="00A5643F" w:rsidP="00886719">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A5643F" w:rsidRPr="003410C7" w:rsidRDefault="00A5643F" w:rsidP="00886719">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A5643F" w:rsidRPr="003410C7" w:rsidRDefault="00A5643F" w:rsidP="00886719">
            <w:pPr>
              <w:pStyle w:val="TableText"/>
              <w:widowControl w:val="0"/>
              <w:rPr>
                <w:rFonts w:ascii="Tahoma" w:hAnsi="Tahoma" w:cs="Tahoma"/>
                <w:sz w:val="13"/>
              </w:rPr>
            </w:pPr>
            <w:r w:rsidRPr="003410C7">
              <w:rPr>
                <w:rFonts w:ascii="Tahoma" w:hAnsi="Tahoma" w:cs="Tahoma"/>
                <w:sz w:val="13"/>
              </w:rPr>
              <w:t>15</w:t>
            </w:r>
          </w:p>
        </w:tc>
        <w:tc>
          <w:tcPr>
            <w:tcW w:w="450" w:type="dxa"/>
            <w:tcBorders>
              <w:bottom w:val="single" w:sz="4" w:space="0" w:color="auto"/>
              <w:right w:val="single" w:sz="18" w:space="0" w:color="auto"/>
            </w:tcBorders>
            <w:shd w:val="clear" w:color="auto" w:fill="FABF8F"/>
            <w:vAlign w:val="center"/>
          </w:tcPr>
          <w:p w:rsidR="00A5643F" w:rsidRPr="003410C7" w:rsidRDefault="00A5643F" w:rsidP="00886719">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rsidR="00A5643F" w:rsidRPr="003410C7" w:rsidRDefault="00A5643F" w:rsidP="00886719">
            <w:pPr>
              <w:pStyle w:val="TableText"/>
              <w:widowControl w:val="0"/>
              <w:rPr>
                <w:rFonts w:ascii="Tahoma" w:hAnsi="Tahoma" w:cs="Tahoma"/>
                <w:sz w:val="13"/>
              </w:rPr>
            </w:pPr>
            <w:r w:rsidRPr="003410C7">
              <w:rPr>
                <w:rFonts w:ascii="Tahoma" w:hAnsi="Tahoma" w:cs="Tahoma"/>
                <w:sz w:val="13"/>
              </w:rPr>
              <w:t>P</w:t>
            </w:r>
          </w:p>
        </w:tc>
        <w:tc>
          <w:tcPr>
            <w:tcW w:w="450" w:type="dxa"/>
            <w:tcBorders>
              <w:bottom w:val="single" w:sz="4" w:space="0" w:color="auto"/>
            </w:tcBorders>
            <w:shd w:val="clear" w:color="auto" w:fill="FABF8F"/>
          </w:tcPr>
          <w:p w:rsidR="00A5643F" w:rsidRPr="003410C7" w:rsidRDefault="00A5643F" w:rsidP="00886719">
            <w:pPr>
              <w:pStyle w:val="TableText"/>
              <w:widowControl w:val="0"/>
              <w:rPr>
                <w:rFonts w:ascii="Tahoma" w:hAnsi="Tahoma" w:cs="Tahoma"/>
                <w:sz w:val="13"/>
              </w:rPr>
            </w:pPr>
            <w:r w:rsidRPr="003410C7">
              <w:rPr>
                <w:rFonts w:ascii="Tahoma" w:hAnsi="Tahoma" w:cs="Tahoma"/>
                <w:sz w:val="13"/>
              </w:rPr>
              <w:t>A</w:t>
            </w:r>
          </w:p>
        </w:tc>
        <w:tc>
          <w:tcPr>
            <w:tcW w:w="540" w:type="dxa"/>
            <w:tcBorders>
              <w:bottom w:val="single" w:sz="4" w:space="0" w:color="auto"/>
            </w:tcBorders>
            <w:shd w:val="clear" w:color="auto" w:fill="FABF8F"/>
            <w:vAlign w:val="center"/>
          </w:tcPr>
          <w:p w:rsidR="00A5643F" w:rsidRPr="003410C7" w:rsidRDefault="00A5643F" w:rsidP="00886719">
            <w:pPr>
              <w:pStyle w:val="TableText"/>
              <w:widowControl w:val="0"/>
              <w:rPr>
                <w:rFonts w:ascii="Tahoma" w:hAnsi="Tahoma" w:cs="Tahoma"/>
                <w:sz w:val="13"/>
              </w:rPr>
            </w:pPr>
            <w:r w:rsidRPr="003410C7">
              <w:rPr>
                <w:rFonts w:ascii="Tahoma" w:hAnsi="Tahoma" w:cs="Tahoma"/>
                <w:color w:val="000000"/>
                <w:sz w:val="13"/>
              </w:rPr>
              <w:t>OL/OV</w:t>
            </w:r>
          </w:p>
        </w:tc>
      </w:tr>
      <w:tr w:rsidR="00F76ED4" w:rsidRPr="003410C7" w:rsidTr="006B1F3F">
        <w:trPr>
          <w:gridBefore w:val="1"/>
          <w:wBefore w:w="20" w:type="dxa"/>
          <w:trHeight w:val="145"/>
        </w:trPr>
        <w:tc>
          <w:tcPr>
            <w:tcW w:w="2714" w:type="dxa"/>
            <w:tcBorders>
              <w:bottom w:val="single" w:sz="4" w:space="0" w:color="auto"/>
            </w:tcBorders>
            <w:shd w:val="clear" w:color="auto" w:fill="auto"/>
            <w:vAlign w:val="center"/>
          </w:tcPr>
          <w:p w:rsidR="00A5643F" w:rsidRPr="003410C7" w:rsidRDefault="00A5643F" w:rsidP="002E5D03">
            <w:pPr>
              <w:pStyle w:val="Heading2"/>
              <w:spacing w:before="20" w:after="20"/>
              <w:ind w:left="0"/>
              <w:rPr>
                <w:rFonts w:ascii="Tahoma" w:hAnsi="Tahoma" w:cs="Tahoma"/>
                <w:b w:val="0"/>
                <w:sz w:val="14"/>
                <w:szCs w:val="14"/>
              </w:rPr>
            </w:pPr>
            <w:bookmarkStart w:id="592" w:name="_Toc336338158"/>
            <w:bookmarkStart w:id="593" w:name="_Toc352234753"/>
            <w:r w:rsidRPr="003410C7">
              <w:rPr>
                <w:rFonts w:ascii="Tahoma" w:hAnsi="Tahoma" w:cs="Tahoma"/>
                <w:b w:val="0"/>
                <w:sz w:val="14"/>
                <w:szCs w:val="14"/>
              </w:rPr>
              <w:t>CAL Suite per Windows Small Business Server 2011 (1 client)</w:t>
            </w:r>
            <w:bookmarkEnd w:id="592"/>
            <w:bookmarkEnd w:id="593"/>
          </w:p>
        </w:tc>
        <w:tc>
          <w:tcPr>
            <w:tcW w:w="450" w:type="dxa"/>
            <w:tcBorders>
              <w:bottom w:val="single" w:sz="4" w:space="0" w:color="auto"/>
            </w:tcBorders>
            <w:shd w:val="clear" w:color="auto" w:fill="auto"/>
            <w:vAlign w:val="center"/>
          </w:tcPr>
          <w:p w:rsidR="00A5643F" w:rsidRPr="009F17FF" w:rsidRDefault="00FC1A4D" w:rsidP="006615A9">
            <w:pPr>
              <w:pStyle w:val="TableText"/>
              <w:widowControl w:val="0"/>
              <w:rPr>
                <w:rStyle w:val="EndnoteReference"/>
                <w:b w:val="0"/>
                <w:color w:val="0000FF"/>
                <w:sz w:val="13"/>
                <w:szCs w:val="13"/>
                <w:u w:val="single"/>
              </w:rPr>
            </w:pPr>
            <w:hyperlink w:anchor="_119_Windows_Small" w:history="1">
              <w:r w:rsidR="000D77F6" w:rsidRPr="009F17FF">
                <w:rPr>
                  <w:rStyle w:val="Hyperlink"/>
                  <w:b/>
                  <w:sz w:val="13"/>
                  <w:szCs w:val="13"/>
                </w:rPr>
                <w:t>110</w:t>
              </w:r>
            </w:hyperlink>
          </w:p>
        </w:tc>
        <w:tc>
          <w:tcPr>
            <w:tcW w:w="450" w:type="dxa"/>
            <w:tcBorders>
              <w:bottom w:val="single" w:sz="4" w:space="0" w:color="auto"/>
            </w:tcBorders>
            <w:shd w:val="clear" w:color="auto" w:fill="auto"/>
            <w:vAlign w:val="center"/>
          </w:tcPr>
          <w:p w:rsidR="00A5643F" w:rsidRPr="003410C7" w:rsidRDefault="00A5643F" w:rsidP="00886719">
            <w:pPr>
              <w:pStyle w:val="TableText"/>
              <w:widowControl w:val="0"/>
              <w:spacing w:before="120"/>
              <w:rPr>
                <w:rFonts w:ascii="Tahoma" w:hAnsi="Tahoma" w:cs="Tahoma"/>
                <w:sz w:val="13"/>
              </w:rPr>
            </w:pPr>
            <w:r w:rsidRPr="003410C7">
              <w:rPr>
                <w:rFonts w:ascii="Tahoma" w:hAnsi="Tahoma" w:cs="Tahoma"/>
                <w:sz w:val="13"/>
              </w:rPr>
              <w:t>01/11</w:t>
            </w:r>
          </w:p>
        </w:tc>
        <w:tc>
          <w:tcPr>
            <w:tcW w:w="360" w:type="dxa"/>
            <w:tcBorders>
              <w:bottom w:val="single" w:sz="4" w:space="0" w:color="auto"/>
              <w:right w:val="single" w:sz="18" w:space="0" w:color="auto"/>
            </w:tcBorders>
            <w:shd w:val="clear" w:color="auto" w:fill="auto"/>
            <w:vAlign w:val="center"/>
          </w:tcPr>
          <w:p w:rsidR="00A5643F" w:rsidRPr="003410C7" w:rsidRDefault="00A5643F" w:rsidP="00886719">
            <w:pPr>
              <w:pStyle w:val="TableText"/>
              <w:widowControl w:val="0"/>
              <w:rPr>
                <w:rFonts w:ascii="Tahoma" w:hAnsi="Tahoma" w:cs="Tahoma"/>
                <w:sz w:val="13"/>
              </w:rPr>
            </w:pPr>
            <w:r w:rsidRPr="003410C7">
              <w:rPr>
                <w:rFonts w:ascii="Tahoma" w:hAnsi="Tahoma" w:cs="Tahoma"/>
                <w:sz w:val="13"/>
              </w:rPr>
              <w:t>SRV</w:t>
            </w:r>
          </w:p>
        </w:tc>
        <w:tc>
          <w:tcPr>
            <w:tcW w:w="360" w:type="dxa"/>
            <w:tcBorders>
              <w:left w:val="single" w:sz="18" w:space="0" w:color="auto"/>
              <w:bottom w:val="single" w:sz="4" w:space="0" w:color="auto"/>
            </w:tcBorders>
            <w:shd w:val="clear" w:color="auto" w:fill="auto"/>
            <w:vAlign w:val="center"/>
          </w:tcPr>
          <w:p w:rsidR="00A5643F" w:rsidRPr="003410C7" w:rsidRDefault="00A5643F" w:rsidP="00886719">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A5643F" w:rsidRPr="003410C7" w:rsidRDefault="00A5643F" w:rsidP="00886719">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A5643F" w:rsidRPr="003410C7" w:rsidRDefault="00A5643F" w:rsidP="00886719">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A5643F" w:rsidRPr="003410C7" w:rsidRDefault="00A5643F" w:rsidP="00886719">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A5643F" w:rsidRPr="003410C7" w:rsidRDefault="00A5643F" w:rsidP="00886719">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A5643F" w:rsidRPr="003410C7" w:rsidRDefault="00A5643F" w:rsidP="00886719">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auto"/>
            <w:vAlign w:val="center"/>
          </w:tcPr>
          <w:p w:rsidR="00A5643F" w:rsidRPr="003410C7" w:rsidRDefault="00A5643F" w:rsidP="00886719">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A5643F" w:rsidRPr="003410C7" w:rsidRDefault="00A5643F" w:rsidP="00886719">
            <w:pPr>
              <w:pStyle w:val="TableText"/>
              <w:widowControl w:val="0"/>
              <w:rPr>
                <w:rFonts w:ascii="Tahoma" w:hAnsi="Tahoma" w:cs="Tahoma"/>
                <w:sz w:val="13"/>
              </w:rPr>
            </w:pPr>
            <w:r w:rsidRPr="003410C7">
              <w:rPr>
                <w:rFonts w:ascii="Tahoma" w:hAnsi="Tahoma" w:cs="Tahoma"/>
                <w:sz w:val="13"/>
              </w:rPr>
              <w:t>1</w:t>
            </w:r>
          </w:p>
        </w:tc>
        <w:tc>
          <w:tcPr>
            <w:tcW w:w="450" w:type="dxa"/>
            <w:tcBorders>
              <w:bottom w:val="single" w:sz="4" w:space="0" w:color="auto"/>
            </w:tcBorders>
            <w:shd w:val="clear" w:color="auto" w:fill="auto"/>
            <w:vAlign w:val="center"/>
          </w:tcPr>
          <w:p w:rsidR="00A5643F" w:rsidRPr="003410C7" w:rsidRDefault="00A5643F" w:rsidP="00886719">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A5643F" w:rsidRPr="003410C7" w:rsidRDefault="00A5643F" w:rsidP="00886719">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A5643F" w:rsidRPr="003410C7" w:rsidRDefault="00A5643F" w:rsidP="00886719">
            <w:pPr>
              <w:pStyle w:val="TableText"/>
              <w:widowControl w:val="0"/>
              <w:rPr>
                <w:rFonts w:ascii="Tahoma" w:hAnsi="Tahoma" w:cs="Tahoma"/>
                <w:sz w:val="13"/>
              </w:rPr>
            </w:pPr>
            <w:r w:rsidRPr="003410C7">
              <w:rPr>
                <w:rFonts w:ascii="Tahoma" w:hAnsi="Tahoma" w:cs="Tahoma"/>
                <w:sz w:val="13"/>
              </w:rPr>
              <w:t>1</w:t>
            </w:r>
          </w:p>
        </w:tc>
        <w:tc>
          <w:tcPr>
            <w:tcW w:w="450" w:type="dxa"/>
            <w:tcBorders>
              <w:bottom w:val="single" w:sz="4" w:space="0" w:color="auto"/>
              <w:right w:val="single" w:sz="18" w:space="0" w:color="auto"/>
            </w:tcBorders>
            <w:shd w:val="clear" w:color="auto" w:fill="auto"/>
            <w:vAlign w:val="center"/>
          </w:tcPr>
          <w:p w:rsidR="00A5643F" w:rsidRPr="003410C7" w:rsidRDefault="00A5643F" w:rsidP="00886719">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rsidR="00A5643F" w:rsidRPr="003410C7" w:rsidRDefault="00A5643F" w:rsidP="00886719">
            <w:pPr>
              <w:pStyle w:val="TableText"/>
              <w:widowControl w:val="0"/>
              <w:rPr>
                <w:rFonts w:ascii="Tahoma" w:hAnsi="Tahoma" w:cs="Tahoma"/>
                <w:sz w:val="13"/>
              </w:rPr>
            </w:pPr>
            <w:r w:rsidRPr="003410C7">
              <w:rPr>
                <w:rFonts w:ascii="Tahoma" w:hAnsi="Tahoma" w:cs="Tahoma"/>
                <w:sz w:val="13"/>
              </w:rPr>
              <w:t>E, P</w:t>
            </w:r>
          </w:p>
        </w:tc>
        <w:tc>
          <w:tcPr>
            <w:tcW w:w="450" w:type="dxa"/>
            <w:tcBorders>
              <w:bottom w:val="single" w:sz="4" w:space="0" w:color="auto"/>
            </w:tcBorders>
            <w:shd w:val="clear" w:color="auto" w:fill="auto"/>
          </w:tcPr>
          <w:p w:rsidR="00A5643F" w:rsidRPr="003410C7" w:rsidRDefault="00A5643F" w:rsidP="00886719">
            <w:pPr>
              <w:pStyle w:val="TableText"/>
              <w:widowControl w:val="0"/>
              <w:rPr>
                <w:rFonts w:ascii="Tahoma" w:hAnsi="Tahoma" w:cs="Tahoma"/>
                <w:sz w:val="13"/>
              </w:rPr>
            </w:pPr>
            <w:r w:rsidRPr="003410C7">
              <w:rPr>
                <w:rFonts w:ascii="Tahoma" w:hAnsi="Tahoma" w:cs="Tahoma"/>
                <w:sz w:val="13"/>
              </w:rPr>
              <w:t>A, ST</w:t>
            </w:r>
          </w:p>
        </w:tc>
        <w:tc>
          <w:tcPr>
            <w:tcW w:w="540" w:type="dxa"/>
            <w:tcBorders>
              <w:bottom w:val="single" w:sz="4" w:space="0" w:color="auto"/>
            </w:tcBorders>
            <w:shd w:val="clear" w:color="auto" w:fill="auto"/>
            <w:vAlign w:val="center"/>
          </w:tcPr>
          <w:p w:rsidR="00A5643F" w:rsidRPr="003410C7" w:rsidRDefault="00A5643F" w:rsidP="00886719">
            <w:pPr>
              <w:pStyle w:val="TableText"/>
              <w:widowControl w:val="0"/>
              <w:rPr>
                <w:rFonts w:ascii="Tahoma" w:hAnsi="Tahoma" w:cs="Tahoma"/>
                <w:sz w:val="13"/>
              </w:rPr>
            </w:pPr>
          </w:p>
        </w:tc>
      </w:tr>
      <w:tr w:rsidR="00F76ED4" w:rsidRPr="003410C7" w:rsidTr="006B1F3F">
        <w:trPr>
          <w:gridBefore w:val="1"/>
          <w:wBefore w:w="20" w:type="dxa"/>
          <w:trHeight w:val="145"/>
        </w:trPr>
        <w:tc>
          <w:tcPr>
            <w:tcW w:w="2714" w:type="dxa"/>
            <w:tcBorders>
              <w:bottom w:val="single" w:sz="4" w:space="0" w:color="auto"/>
            </w:tcBorders>
            <w:shd w:val="clear" w:color="auto" w:fill="FABF8F"/>
            <w:vAlign w:val="center"/>
          </w:tcPr>
          <w:p w:rsidR="00A5643F" w:rsidRPr="003410C7" w:rsidRDefault="00A5643F" w:rsidP="002E5D03">
            <w:pPr>
              <w:pStyle w:val="Heading2"/>
              <w:spacing w:before="20" w:after="20"/>
              <w:ind w:left="0"/>
              <w:rPr>
                <w:rFonts w:ascii="Tahoma" w:hAnsi="Tahoma" w:cs="Tahoma"/>
                <w:b w:val="0"/>
                <w:color w:val="000000"/>
                <w:sz w:val="14"/>
                <w:szCs w:val="14"/>
              </w:rPr>
            </w:pPr>
            <w:bookmarkStart w:id="594" w:name="_Toc336338159"/>
            <w:bookmarkStart w:id="595" w:name="_Toc352234754"/>
            <w:r w:rsidRPr="003410C7">
              <w:rPr>
                <w:rFonts w:ascii="Tahoma" w:hAnsi="Tahoma" w:cs="Tahoma"/>
                <w:b w:val="0"/>
                <w:sz w:val="14"/>
                <w:szCs w:val="14"/>
              </w:rPr>
              <w:t>CAL Suite per Windows Small Business Server 2011 (5 client)</w:t>
            </w:r>
            <w:bookmarkEnd w:id="594"/>
            <w:bookmarkEnd w:id="595"/>
          </w:p>
        </w:tc>
        <w:tc>
          <w:tcPr>
            <w:tcW w:w="450" w:type="dxa"/>
            <w:tcBorders>
              <w:bottom w:val="single" w:sz="4" w:space="0" w:color="auto"/>
            </w:tcBorders>
            <w:shd w:val="clear" w:color="auto" w:fill="FABF8F"/>
            <w:vAlign w:val="center"/>
          </w:tcPr>
          <w:p w:rsidR="00A5643F" w:rsidRPr="009F17FF" w:rsidRDefault="00FC1A4D" w:rsidP="006615A9">
            <w:pPr>
              <w:pStyle w:val="TableText"/>
              <w:widowControl w:val="0"/>
              <w:rPr>
                <w:rStyle w:val="EndnoteReference"/>
                <w:b w:val="0"/>
                <w:sz w:val="13"/>
                <w:szCs w:val="13"/>
                <w:u w:val="single"/>
              </w:rPr>
            </w:pPr>
            <w:hyperlink w:anchor="_119_Windows_Small" w:history="1">
              <w:r w:rsidR="00640DBE" w:rsidRPr="009F17FF">
                <w:rPr>
                  <w:rStyle w:val="Hyperlink"/>
                  <w:b/>
                  <w:sz w:val="13"/>
                  <w:szCs w:val="13"/>
                </w:rPr>
                <w:t>110</w:t>
              </w:r>
            </w:hyperlink>
          </w:p>
        </w:tc>
        <w:tc>
          <w:tcPr>
            <w:tcW w:w="450" w:type="dxa"/>
            <w:tcBorders>
              <w:bottom w:val="single" w:sz="4" w:space="0" w:color="auto"/>
            </w:tcBorders>
            <w:shd w:val="clear" w:color="auto" w:fill="FABF8F"/>
            <w:vAlign w:val="center"/>
          </w:tcPr>
          <w:p w:rsidR="00A5643F" w:rsidRPr="003410C7" w:rsidRDefault="00A5643F" w:rsidP="00886719">
            <w:pPr>
              <w:pStyle w:val="TableText"/>
              <w:widowControl w:val="0"/>
              <w:spacing w:before="120"/>
              <w:rPr>
                <w:rFonts w:ascii="Tahoma" w:hAnsi="Tahoma" w:cs="Tahoma"/>
                <w:sz w:val="13"/>
              </w:rPr>
            </w:pPr>
            <w:r w:rsidRPr="003410C7">
              <w:rPr>
                <w:rFonts w:ascii="Tahoma" w:hAnsi="Tahoma" w:cs="Tahoma"/>
                <w:sz w:val="13"/>
              </w:rPr>
              <w:t>01/11</w:t>
            </w:r>
          </w:p>
        </w:tc>
        <w:tc>
          <w:tcPr>
            <w:tcW w:w="360" w:type="dxa"/>
            <w:tcBorders>
              <w:bottom w:val="single" w:sz="4" w:space="0" w:color="auto"/>
              <w:right w:val="single" w:sz="18" w:space="0" w:color="auto"/>
            </w:tcBorders>
            <w:shd w:val="clear" w:color="auto" w:fill="FABF8F"/>
            <w:vAlign w:val="center"/>
          </w:tcPr>
          <w:p w:rsidR="00A5643F" w:rsidRPr="003410C7" w:rsidRDefault="00A5643F" w:rsidP="00886719">
            <w:pPr>
              <w:pStyle w:val="TableText"/>
              <w:widowControl w:val="0"/>
              <w:rPr>
                <w:rFonts w:ascii="Tahoma" w:hAnsi="Tahoma" w:cs="Tahoma"/>
                <w:sz w:val="13"/>
              </w:rPr>
            </w:pPr>
            <w:r w:rsidRPr="003410C7">
              <w:rPr>
                <w:rFonts w:ascii="Tahoma" w:hAnsi="Tahoma" w:cs="Tahoma"/>
                <w:sz w:val="13"/>
              </w:rPr>
              <w:t>SRV</w:t>
            </w:r>
          </w:p>
        </w:tc>
        <w:tc>
          <w:tcPr>
            <w:tcW w:w="360" w:type="dxa"/>
            <w:tcBorders>
              <w:left w:val="single" w:sz="18" w:space="0" w:color="auto"/>
              <w:bottom w:val="single" w:sz="4" w:space="0" w:color="auto"/>
            </w:tcBorders>
            <w:shd w:val="clear" w:color="auto" w:fill="FABF8F"/>
            <w:vAlign w:val="center"/>
          </w:tcPr>
          <w:p w:rsidR="00A5643F" w:rsidRPr="003410C7" w:rsidRDefault="00A5643F" w:rsidP="00886719">
            <w:pPr>
              <w:pStyle w:val="TableText"/>
              <w:widowControl w:val="0"/>
              <w:rPr>
                <w:rFonts w:ascii="Tahoma" w:hAnsi="Tahoma" w:cs="Tahoma"/>
                <w:b/>
                <w:color w:val="FF0000"/>
                <w:sz w:val="13"/>
              </w:rPr>
            </w:pPr>
          </w:p>
        </w:tc>
        <w:tc>
          <w:tcPr>
            <w:tcW w:w="450" w:type="dxa"/>
            <w:tcBorders>
              <w:bottom w:val="single" w:sz="4" w:space="0" w:color="auto"/>
            </w:tcBorders>
            <w:shd w:val="clear" w:color="auto" w:fill="FABF8F"/>
            <w:vAlign w:val="center"/>
          </w:tcPr>
          <w:p w:rsidR="00A5643F" w:rsidRPr="003410C7" w:rsidRDefault="00A5643F" w:rsidP="00886719">
            <w:pPr>
              <w:pStyle w:val="TableText"/>
              <w:widowControl w:val="0"/>
              <w:rPr>
                <w:rFonts w:ascii="Tahoma" w:hAnsi="Tahoma" w:cs="Tahoma"/>
                <w:b/>
                <w:color w:val="008000"/>
                <w:sz w:val="13"/>
              </w:rPr>
            </w:pPr>
          </w:p>
        </w:tc>
        <w:tc>
          <w:tcPr>
            <w:tcW w:w="450" w:type="dxa"/>
            <w:tcBorders>
              <w:bottom w:val="single" w:sz="4" w:space="0" w:color="auto"/>
            </w:tcBorders>
            <w:shd w:val="clear" w:color="auto" w:fill="FABF8F"/>
            <w:vAlign w:val="center"/>
          </w:tcPr>
          <w:p w:rsidR="00A5643F" w:rsidRPr="003410C7" w:rsidRDefault="00A5643F" w:rsidP="00886719">
            <w:pPr>
              <w:pStyle w:val="TableText"/>
              <w:widowControl w:val="0"/>
              <w:rPr>
                <w:rFonts w:ascii="Tahoma" w:hAnsi="Tahoma" w:cs="Tahoma"/>
                <w:b/>
                <w:color w:val="008000"/>
                <w:sz w:val="13"/>
              </w:rPr>
            </w:pPr>
          </w:p>
        </w:tc>
        <w:tc>
          <w:tcPr>
            <w:tcW w:w="450" w:type="dxa"/>
            <w:tcBorders>
              <w:bottom w:val="single" w:sz="4" w:space="0" w:color="auto"/>
            </w:tcBorders>
            <w:shd w:val="clear" w:color="auto" w:fill="FABF8F"/>
            <w:vAlign w:val="center"/>
          </w:tcPr>
          <w:p w:rsidR="00A5643F" w:rsidRPr="003410C7" w:rsidRDefault="00A5643F" w:rsidP="00886719">
            <w:pPr>
              <w:pStyle w:val="TableText"/>
              <w:widowControl w:val="0"/>
              <w:rPr>
                <w:rFonts w:ascii="Tahoma" w:hAnsi="Tahoma" w:cs="Tahoma"/>
                <w:b/>
                <w:color w:val="008000"/>
                <w:sz w:val="13"/>
              </w:rPr>
            </w:pPr>
          </w:p>
        </w:tc>
        <w:tc>
          <w:tcPr>
            <w:tcW w:w="450" w:type="dxa"/>
            <w:tcBorders>
              <w:bottom w:val="single" w:sz="4" w:space="0" w:color="auto"/>
            </w:tcBorders>
            <w:shd w:val="clear" w:color="auto" w:fill="FABF8F"/>
            <w:vAlign w:val="center"/>
          </w:tcPr>
          <w:p w:rsidR="00A5643F" w:rsidRPr="003410C7" w:rsidRDefault="00A5643F" w:rsidP="00886719">
            <w:pPr>
              <w:pStyle w:val="TableText"/>
              <w:widowControl w:val="0"/>
              <w:rPr>
                <w:rFonts w:ascii="Tahoma" w:hAnsi="Tahoma" w:cs="Tahoma"/>
                <w:b/>
                <w:color w:val="0000FF"/>
                <w:sz w:val="13"/>
              </w:rPr>
            </w:pPr>
          </w:p>
        </w:tc>
        <w:tc>
          <w:tcPr>
            <w:tcW w:w="450" w:type="dxa"/>
            <w:tcBorders>
              <w:bottom w:val="single" w:sz="4" w:space="0" w:color="auto"/>
            </w:tcBorders>
            <w:shd w:val="clear" w:color="auto" w:fill="FABF8F"/>
            <w:vAlign w:val="center"/>
          </w:tcPr>
          <w:p w:rsidR="00A5643F" w:rsidRPr="003410C7" w:rsidRDefault="00A5643F" w:rsidP="00886719">
            <w:pPr>
              <w:pStyle w:val="TableText"/>
              <w:widowControl w:val="0"/>
              <w:rPr>
                <w:rFonts w:ascii="Tahoma" w:hAnsi="Tahoma" w:cs="Tahoma"/>
                <w:b/>
                <w:color w:val="0000FF"/>
                <w:sz w:val="13"/>
              </w:rPr>
            </w:pPr>
          </w:p>
        </w:tc>
        <w:tc>
          <w:tcPr>
            <w:tcW w:w="360" w:type="dxa"/>
            <w:tcBorders>
              <w:bottom w:val="single" w:sz="4" w:space="0" w:color="auto"/>
              <w:right w:val="single" w:sz="18" w:space="0" w:color="auto"/>
            </w:tcBorders>
            <w:shd w:val="clear" w:color="auto" w:fill="FABF8F"/>
            <w:vAlign w:val="center"/>
          </w:tcPr>
          <w:p w:rsidR="00A5643F" w:rsidRPr="003410C7" w:rsidRDefault="00A5643F" w:rsidP="00886719">
            <w:pPr>
              <w:pStyle w:val="TableText"/>
              <w:widowControl w:val="0"/>
              <w:rPr>
                <w:rFonts w:ascii="Tahoma" w:hAnsi="Tahoma" w:cs="Tahoma"/>
                <w:b/>
                <w:color w:val="0000FF"/>
                <w:sz w:val="13"/>
              </w:rPr>
            </w:pPr>
          </w:p>
        </w:tc>
        <w:tc>
          <w:tcPr>
            <w:tcW w:w="450" w:type="dxa"/>
            <w:tcBorders>
              <w:left w:val="single" w:sz="18" w:space="0" w:color="auto"/>
              <w:bottom w:val="single" w:sz="4" w:space="0" w:color="auto"/>
            </w:tcBorders>
            <w:shd w:val="clear" w:color="auto" w:fill="FABF8F"/>
            <w:vAlign w:val="center"/>
          </w:tcPr>
          <w:p w:rsidR="00A5643F" w:rsidRPr="003410C7" w:rsidRDefault="00A5643F" w:rsidP="00886719">
            <w:pPr>
              <w:pStyle w:val="TableText"/>
              <w:widowControl w:val="0"/>
              <w:rPr>
                <w:rFonts w:ascii="Tahoma" w:hAnsi="Tahoma" w:cs="Tahoma"/>
                <w:sz w:val="13"/>
              </w:rPr>
            </w:pPr>
            <w:r w:rsidRPr="003410C7">
              <w:rPr>
                <w:rFonts w:ascii="Tahoma" w:hAnsi="Tahoma" w:cs="Tahoma"/>
                <w:sz w:val="13"/>
              </w:rPr>
              <w:t>5</w:t>
            </w:r>
          </w:p>
        </w:tc>
        <w:tc>
          <w:tcPr>
            <w:tcW w:w="450" w:type="dxa"/>
            <w:tcBorders>
              <w:bottom w:val="single" w:sz="4" w:space="0" w:color="auto"/>
            </w:tcBorders>
            <w:shd w:val="clear" w:color="auto" w:fill="FABF8F"/>
            <w:vAlign w:val="center"/>
          </w:tcPr>
          <w:p w:rsidR="00A5643F" w:rsidRPr="003410C7" w:rsidRDefault="00A5643F" w:rsidP="00886719">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A5643F" w:rsidRPr="003410C7" w:rsidRDefault="00A5643F" w:rsidP="00886719">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A5643F" w:rsidRPr="003410C7" w:rsidRDefault="00A5643F" w:rsidP="00886719">
            <w:pPr>
              <w:pStyle w:val="TableText"/>
              <w:widowControl w:val="0"/>
              <w:rPr>
                <w:rFonts w:ascii="Tahoma" w:hAnsi="Tahoma" w:cs="Tahoma"/>
                <w:sz w:val="13"/>
              </w:rPr>
            </w:pPr>
            <w:r w:rsidRPr="003410C7">
              <w:rPr>
                <w:rFonts w:ascii="Tahoma" w:hAnsi="Tahoma" w:cs="Tahoma"/>
                <w:sz w:val="13"/>
              </w:rPr>
              <w:t>5</w:t>
            </w:r>
          </w:p>
        </w:tc>
        <w:tc>
          <w:tcPr>
            <w:tcW w:w="450" w:type="dxa"/>
            <w:tcBorders>
              <w:bottom w:val="single" w:sz="4" w:space="0" w:color="auto"/>
              <w:right w:val="single" w:sz="18" w:space="0" w:color="auto"/>
            </w:tcBorders>
            <w:shd w:val="clear" w:color="auto" w:fill="FABF8F"/>
            <w:vAlign w:val="center"/>
          </w:tcPr>
          <w:p w:rsidR="00A5643F" w:rsidRPr="003410C7" w:rsidRDefault="00A5643F" w:rsidP="00886719">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rsidR="00A5643F" w:rsidRPr="003410C7" w:rsidRDefault="00A5643F" w:rsidP="00886719">
            <w:pPr>
              <w:pStyle w:val="TableText"/>
              <w:widowControl w:val="0"/>
              <w:rPr>
                <w:rFonts w:ascii="Tahoma" w:hAnsi="Tahoma" w:cs="Tahoma"/>
                <w:sz w:val="13"/>
              </w:rPr>
            </w:pPr>
            <w:r w:rsidRPr="003410C7">
              <w:rPr>
                <w:rFonts w:ascii="Tahoma" w:hAnsi="Tahoma" w:cs="Tahoma"/>
                <w:sz w:val="13"/>
              </w:rPr>
              <w:t>P</w:t>
            </w:r>
          </w:p>
        </w:tc>
        <w:tc>
          <w:tcPr>
            <w:tcW w:w="450" w:type="dxa"/>
            <w:tcBorders>
              <w:bottom w:val="single" w:sz="4" w:space="0" w:color="auto"/>
            </w:tcBorders>
            <w:shd w:val="clear" w:color="auto" w:fill="FABF8F"/>
          </w:tcPr>
          <w:p w:rsidR="00A5643F" w:rsidRPr="003410C7" w:rsidRDefault="00A5643F" w:rsidP="00886719">
            <w:pPr>
              <w:pStyle w:val="TableText"/>
              <w:widowControl w:val="0"/>
              <w:rPr>
                <w:rFonts w:ascii="Tahoma" w:hAnsi="Tahoma" w:cs="Tahoma"/>
                <w:sz w:val="13"/>
              </w:rPr>
            </w:pPr>
            <w:r w:rsidRPr="003410C7">
              <w:rPr>
                <w:rFonts w:ascii="Tahoma" w:hAnsi="Tahoma" w:cs="Tahoma"/>
                <w:sz w:val="13"/>
              </w:rPr>
              <w:t>A</w:t>
            </w:r>
          </w:p>
        </w:tc>
        <w:tc>
          <w:tcPr>
            <w:tcW w:w="540" w:type="dxa"/>
            <w:tcBorders>
              <w:bottom w:val="single" w:sz="4" w:space="0" w:color="auto"/>
            </w:tcBorders>
            <w:shd w:val="clear" w:color="auto" w:fill="FABF8F"/>
            <w:vAlign w:val="center"/>
          </w:tcPr>
          <w:p w:rsidR="00A5643F" w:rsidRPr="003410C7" w:rsidRDefault="00A5643F" w:rsidP="00886719">
            <w:pPr>
              <w:pStyle w:val="TableText"/>
              <w:widowControl w:val="0"/>
              <w:rPr>
                <w:rFonts w:ascii="Tahoma" w:hAnsi="Tahoma" w:cs="Tahoma"/>
                <w:sz w:val="13"/>
              </w:rPr>
            </w:pPr>
            <w:r w:rsidRPr="003410C7">
              <w:rPr>
                <w:rFonts w:ascii="Tahoma" w:hAnsi="Tahoma" w:cs="Tahoma"/>
                <w:color w:val="000000"/>
                <w:sz w:val="13"/>
              </w:rPr>
              <w:t>OL/OV</w:t>
            </w:r>
          </w:p>
        </w:tc>
      </w:tr>
      <w:tr w:rsidR="00F76ED4" w:rsidRPr="003410C7" w:rsidTr="006B1F3F">
        <w:trPr>
          <w:gridBefore w:val="1"/>
          <w:wBefore w:w="20" w:type="dxa"/>
          <w:trHeight w:val="145"/>
        </w:trPr>
        <w:tc>
          <w:tcPr>
            <w:tcW w:w="2714" w:type="dxa"/>
            <w:tcBorders>
              <w:bottom w:val="single" w:sz="4" w:space="0" w:color="auto"/>
            </w:tcBorders>
            <w:shd w:val="clear" w:color="auto" w:fill="auto"/>
          </w:tcPr>
          <w:p w:rsidR="00A5643F" w:rsidRPr="003410C7" w:rsidRDefault="00A5643F" w:rsidP="002E5D03">
            <w:pPr>
              <w:pStyle w:val="Heading2"/>
              <w:spacing w:before="20" w:after="20"/>
              <w:ind w:left="0"/>
              <w:rPr>
                <w:rFonts w:ascii="Tahoma" w:hAnsi="Tahoma" w:cs="Tahoma"/>
                <w:b w:val="0"/>
                <w:color w:val="000000"/>
                <w:sz w:val="14"/>
                <w:szCs w:val="14"/>
              </w:rPr>
            </w:pPr>
            <w:bookmarkStart w:id="596" w:name="_Toc336338160"/>
            <w:bookmarkStart w:id="597" w:name="_Toc352234755"/>
            <w:r w:rsidRPr="003410C7">
              <w:rPr>
                <w:rFonts w:ascii="Tahoma" w:hAnsi="Tahoma" w:cs="Tahoma"/>
                <w:b w:val="0"/>
                <w:sz w:val="14"/>
                <w:szCs w:val="14"/>
              </w:rPr>
              <w:t>CAL Suite per Windows Small Business Server 2011 (20 client)</w:t>
            </w:r>
            <w:bookmarkEnd w:id="596"/>
            <w:bookmarkEnd w:id="597"/>
            <w:r w:rsidRPr="003410C7">
              <w:rPr>
                <w:rFonts w:ascii="Tahoma" w:eastAsia="Times New Roman" w:hAnsi="Tahoma" w:cs="Tahoma"/>
                <w:b w:val="0"/>
                <w:sz w:val="14"/>
                <w:szCs w:val="14"/>
              </w:rPr>
              <w:t xml:space="preserve"> </w:t>
            </w:r>
          </w:p>
        </w:tc>
        <w:tc>
          <w:tcPr>
            <w:tcW w:w="450" w:type="dxa"/>
            <w:tcBorders>
              <w:bottom w:val="single" w:sz="4" w:space="0" w:color="auto"/>
            </w:tcBorders>
            <w:shd w:val="clear" w:color="auto" w:fill="auto"/>
            <w:vAlign w:val="center"/>
          </w:tcPr>
          <w:p w:rsidR="00A5643F" w:rsidRPr="009F17FF" w:rsidRDefault="00FC1A4D" w:rsidP="006615A9">
            <w:pPr>
              <w:pStyle w:val="TableText"/>
              <w:widowControl w:val="0"/>
              <w:rPr>
                <w:rStyle w:val="EndnoteReference"/>
                <w:b w:val="0"/>
                <w:sz w:val="13"/>
                <w:szCs w:val="13"/>
                <w:u w:val="single"/>
              </w:rPr>
            </w:pPr>
            <w:hyperlink w:anchor="_119_Windows_Small" w:history="1">
              <w:r w:rsidR="00640DBE" w:rsidRPr="009F17FF">
                <w:rPr>
                  <w:rStyle w:val="Hyperlink"/>
                  <w:b/>
                  <w:sz w:val="13"/>
                  <w:szCs w:val="13"/>
                </w:rPr>
                <w:t>110</w:t>
              </w:r>
            </w:hyperlink>
          </w:p>
        </w:tc>
        <w:tc>
          <w:tcPr>
            <w:tcW w:w="450" w:type="dxa"/>
            <w:tcBorders>
              <w:bottom w:val="single" w:sz="4" w:space="0" w:color="auto"/>
            </w:tcBorders>
            <w:shd w:val="clear" w:color="auto" w:fill="auto"/>
            <w:vAlign w:val="center"/>
          </w:tcPr>
          <w:p w:rsidR="00A5643F" w:rsidRPr="003410C7" w:rsidRDefault="00A5643F" w:rsidP="00886719">
            <w:pPr>
              <w:pStyle w:val="TableText"/>
              <w:widowControl w:val="0"/>
              <w:spacing w:before="120"/>
              <w:rPr>
                <w:rFonts w:ascii="Tahoma" w:hAnsi="Tahoma" w:cs="Tahoma"/>
                <w:sz w:val="13"/>
              </w:rPr>
            </w:pPr>
            <w:r w:rsidRPr="003410C7">
              <w:rPr>
                <w:rFonts w:ascii="Tahoma" w:hAnsi="Tahoma" w:cs="Tahoma"/>
                <w:sz w:val="13"/>
              </w:rPr>
              <w:t>01/11</w:t>
            </w:r>
          </w:p>
        </w:tc>
        <w:tc>
          <w:tcPr>
            <w:tcW w:w="360" w:type="dxa"/>
            <w:tcBorders>
              <w:bottom w:val="single" w:sz="4" w:space="0" w:color="auto"/>
              <w:right w:val="single" w:sz="18" w:space="0" w:color="auto"/>
            </w:tcBorders>
            <w:shd w:val="clear" w:color="auto" w:fill="auto"/>
            <w:vAlign w:val="center"/>
          </w:tcPr>
          <w:p w:rsidR="00A5643F" w:rsidRPr="003410C7" w:rsidRDefault="00A5643F" w:rsidP="00886719">
            <w:pPr>
              <w:pStyle w:val="TableText"/>
              <w:widowControl w:val="0"/>
              <w:rPr>
                <w:rFonts w:ascii="Tahoma" w:hAnsi="Tahoma" w:cs="Tahoma"/>
                <w:sz w:val="13"/>
              </w:rPr>
            </w:pPr>
            <w:r w:rsidRPr="003410C7">
              <w:rPr>
                <w:rFonts w:ascii="Tahoma" w:hAnsi="Tahoma" w:cs="Tahoma"/>
                <w:sz w:val="13"/>
              </w:rPr>
              <w:t>SRV</w:t>
            </w:r>
          </w:p>
        </w:tc>
        <w:tc>
          <w:tcPr>
            <w:tcW w:w="360" w:type="dxa"/>
            <w:tcBorders>
              <w:left w:val="single" w:sz="18" w:space="0" w:color="auto"/>
              <w:bottom w:val="single" w:sz="4" w:space="0" w:color="auto"/>
            </w:tcBorders>
            <w:shd w:val="clear" w:color="auto" w:fill="auto"/>
            <w:vAlign w:val="center"/>
          </w:tcPr>
          <w:p w:rsidR="00A5643F" w:rsidRPr="003410C7" w:rsidRDefault="00A5643F" w:rsidP="00886719">
            <w:pPr>
              <w:pStyle w:val="TableText"/>
              <w:widowControl w:val="0"/>
              <w:rPr>
                <w:rFonts w:ascii="Tahoma" w:hAnsi="Tahoma" w:cs="Tahoma"/>
                <w:b/>
                <w:color w:val="FF0000"/>
                <w:sz w:val="13"/>
              </w:rPr>
            </w:pPr>
          </w:p>
        </w:tc>
        <w:tc>
          <w:tcPr>
            <w:tcW w:w="450" w:type="dxa"/>
            <w:tcBorders>
              <w:bottom w:val="single" w:sz="4" w:space="0" w:color="auto"/>
            </w:tcBorders>
            <w:shd w:val="clear" w:color="auto" w:fill="auto"/>
            <w:vAlign w:val="center"/>
          </w:tcPr>
          <w:p w:rsidR="00A5643F" w:rsidRPr="003410C7" w:rsidRDefault="00A5643F" w:rsidP="00886719">
            <w:pPr>
              <w:pStyle w:val="TableText"/>
              <w:widowControl w:val="0"/>
              <w:rPr>
                <w:rFonts w:ascii="Tahoma" w:hAnsi="Tahoma" w:cs="Tahoma"/>
                <w:b/>
                <w:color w:val="008000"/>
                <w:sz w:val="13"/>
              </w:rPr>
            </w:pPr>
          </w:p>
        </w:tc>
        <w:tc>
          <w:tcPr>
            <w:tcW w:w="450" w:type="dxa"/>
            <w:tcBorders>
              <w:bottom w:val="single" w:sz="4" w:space="0" w:color="auto"/>
            </w:tcBorders>
            <w:shd w:val="clear" w:color="auto" w:fill="auto"/>
            <w:vAlign w:val="center"/>
          </w:tcPr>
          <w:p w:rsidR="00A5643F" w:rsidRPr="003410C7" w:rsidRDefault="00A5643F" w:rsidP="00886719">
            <w:pPr>
              <w:pStyle w:val="TableText"/>
              <w:widowControl w:val="0"/>
              <w:rPr>
                <w:rFonts w:ascii="Tahoma" w:hAnsi="Tahoma" w:cs="Tahoma"/>
                <w:b/>
                <w:color w:val="008000"/>
                <w:sz w:val="13"/>
              </w:rPr>
            </w:pPr>
          </w:p>
        </w:tc>
        <w:tc>
          <w:tcPr>
            <w:tcW w:w="450" w:type="dxa"/>
            <w:tcBorders>
              <w:bottom w:val="single" w:sz="4" w:space="0" w:color="auto"/>
            </w:tcBorders>
            <w:shd w:val="clear" w:color="auto" w:fill="auto"/>
            <w:vAlign w:val="center"/>
          </w:tcPr>
          <w:p w:rsidR="00A5643F" w:rsidRPr="003410C7" w:rsidRDefault="00A5643F" w:rsidP="00886719">
            <w:pPr>
              <w:pStyle w:val="TableText"/>
              <w:widowControl w:val="0"/>
              <w:rPr>
                <w:rFonts w:ascii="Tahoma" w:hAnsi="Tahoma" w:cs="Tahoma"/>
                <w:b/>
                <w:color w:val="008000"/>
                <w:sz w:val="13"/>
              </w:rPr>
            </w:pPr>
          </w:p>
        </w:tc>
        <w:tc>
          <w:tcPr>
            <w:tcW w:w="450" w:type="dxa"/>
            <w:tcBorders>
              <w:bottom w:val="single" w:sz="4" w:space="0" w:color="auto"/>
            </w:tcBorders>
            <w:shd w:val="clear" w:color="auto" w:fill="auto"/>
            <w:vAlign w:val="center"/>
          </w:tcPr>
          <w:p w:rsidR="00A5643F" w:rsidRPr="003410C7" w:rsidRDefault="00A5643F" w:rsidP="00886719">
            <w:pPr>
              <w:pStyle w:val="TableText"/>
              <w:widowControl w:val="0"/>
              <w:rPr>
                <w:rFonts w:ascii="Tahoma" w:hAnsi="Tahoma" w:cs="Tahoma"/>
                <w:b/>
                <w:color w:val="0000FF"/>
                <w:sz w:val="13"/>
              </w:rPr>
            </w:pPr>
          </w:p>
        </w:tc>
        <w:tc>
          <w:tcPr>
            <w:tcW w:w="450" w:type="dxa"/>
            <w:tcBorders>
              <w:bottom w:val="single" w:sz="4" w:space="0" w:color="auto"/>
            </w:tcBorders>
            <w:shd w:val="clear" w:color="auto" w:fill="auto"/>
            <w:vAlign w:val="center"/>
          </w:tcPr>
          <w:p w:rsidR="00A5643F" w:rsidRPr="003410C7" w:rsidRDefault="00A5643F" w:rsidP="00886719">
            <w:pPr>
              <w:pStyle w:val="TableText"/>
              <w:widowControl w:val="0"/>
              <w:rPr>
                <w:rFonts w:ascii="Tahoma" w:hAnsi="Tahoma" w:cs="Tahoma"/>
                <w:b/>
                <w:color w:val="0000FF"/>
                <w:sz w:val="13"/>
              </w:rPr>
            </w:pPr>
          </w:p>
        </w:tc>
        <w:tc>
          <w:tcPr>
            <w:tcW w:w="360" w:type="dxa"/>
            <w:tcBorders>
              <w:bottom w:val="single" w:sz="4" w:space="0" w:color="auto"/>
              <w:right w:val="single" w:sz="18" w:space="0" w:color="auto"/>
            </w:tcBorders>
            <w:shd w:val="clear" w:color="auto" w:fill="auto"/>
            <w:vAlign w:val="center"/>
          </w:tcPr>
          <w:p w:rsidR="00A5643F" w:rsidRPr="003410C7" w:rsidRDefault="00A5643F" w:rsidP="00886719">
            <w:pPr>
              <w:pStyle w:val="TableText"/>
              <w:widowControl w:val="0"/>
              <w:rPr>
                <w:rFonts w:ascii="Tahoma" w:hAnsi="Tahoma" w:cs="Tahoma"/>
                <w:b/>
                <w:color w:val="0000FF"/>
                <w:sz w:val="13"/>
              </w:rPr>
            </w:pPr>
          </w:p>
        </w:tc>
        <w:tc>
          <w:tcPr>
            <w:tcW w:w="450" w:type="dxa"/>
            <w:tcBorders>
              <w:left w:val="single" w:sz="18" w:space="0" w:color="auto"/>
              <w:bottom w:val="single" w:sz="4" w:space="0" w:color="auto"/>
            </w:tcBorders>
            <w:shd w:val="clear" w:color="auto" w:fill="auto"/>
            <w:vAlign w:val="center"/>
          </w:tcPr>
          <w:p w:rsidR="00A5643F" w:rsidRPr="003410C7" w:rsidRDefault="00A5643F" w:rsidP="00886719">
            <w:pPr>
              <w:pStyle w:val="TableText"/>
              <w:widowControl w:val="0"/>
              <w:rPr>
                <w:rFonts w:ascii="Tahoma" w:hAnsi="Tahoma" w:cs="Tahoma"/>
                <w:sz w:val="13"/>
              </w:rPr>
            </w:pPr>
            <w:r w:rsidRPr="003410C7">
              <w:rPr>
                <w:rFonts w:ascii="Tahoma" w:hAnsi="Tahoma" w:cs="Tahoma"/>
                <w:sz w:val="13"/>
              </w:rPr>
              <w:t>25</w:t>
            </w:r>
          </w:p>
        </w:tc>
        <w:tc>
          <w:tcPr>
            <w:tcW w:w="450" w:type="dxa"/>
            <w:tcBorders>
              <w:bottom w:val="single" w:sz="4" w:space="0" w:color="auto"/>
            </w:tcBorders>
            <w:shd w:val="clear" w:color="auto" w:fill="auto"/>
            <w:vAlign w:val="center"/>
          </w:tcPr>
          <w:p w:rsidR="00A5643F" w:rsidRPr="003410C7" w:rsidRDefault="00A5643F" w:rsidP="00886719">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A5643F" w:rsidRPr="003410C7" w:rsidRDefault="00A5643F" w:rsidP="00886719">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A5643F" w:rsidRPr="003410C7" w:rsidRDefault="00A5643F" w:rsidP="00886719">
            <w:pPr>
              <w:pStyle w:val="TableText"/>
              <w:widowControl w:val="0"/>
              <w:rPr>
                <w:rFonts w:ascii="Tahoma" w:hAnsi="Tahoma" w:cs="Tahoma"/>
                <w:sz w:val="13"/>
              </w:rPr>
            </w:pPr>
            <w:r w:rsidRPr="003410C7">
              <w:rPr>
                <w:rFonts w:ascii="Tahoma" w:hAnsi="Tahoma" w:cs="Tahoma"/>
                <w:sz w:val="13"/>
              </w:rPr>
              <w:t>25</w:t>
            </w:r>
          </w:p>
        </w:tc>
        <w:tc>
          <w:tcPr>
            <w:tcW w:w="450" w:type="dxa"/>
            <w:tcBorders>
              <w:bottom w:val="single" w:sz="4" w:space="0" w:color="auto"/>
              <w:right w:val="single" w:sz="18" w:space="0" w:color="auto"/>
            </w:tcBorders>
            <w:shd w:val="clear" w:color="auto" w:fill="auto"/>
            <w:vAlign w:val="center"/>
          </w:tcPr>
          <w:p w:rsidR="00A5643F" w:rsidRPr="003410C7" w:rsidRDefault="00A5643F" w:rsidP="00886719">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rsidR="00A5643F" w:rsidRPr="003410C7" w:rsidRDefault="00A5643F" w:rsidP="00886719">
            <w:pPr>
              <w:pStyle w:val="TableText"/>
              <w:widowControl w:val="0"/>
              <w:rPr>
                <w:rFonts w:ascii="Tahoma" w:hAnsi="Tahoma" w:cs="Tahoma"/>
                <w:sz w:val="13"/>
              </w:rPr>
            </w:pPr>
            <w:r w:rsidRPr="003410C7">
              <w:rPr>
                <w:rFonts w:ascii="Tahoma" w:hAnsi="Tahoma" w:cs="Tahoma"/>
                <w:sz w:val="13"/>
              </w:rPr>
              <w:t>P</w:t>
            </w:r>
          </w:p>
        </w:tc>
        <w:tc>
          <w:tcPr>
            <w:tcW w:w="450" w:type="dxa"/>
            <w:tcBorders>
              <w:bottom w:val="single" w:sz="4" w:space="0" w:color="auto"/>
            </w:tcBorders>
            <w:shd w:val="clear" w:color="auto" w:fill="auto"/>
          </w:tcPr>
          <w:p w:rsidR="00A5643F" w:rsidRPr="003410C7" w:rsidRDefault="00A5643F" w:rsidP="00886719">
            <w:pPr>
              <w:pStyle w:val="TableText"/>
              <w:widowControl w:val="0"/>
              <w:rPr>
                <w:rFonts w:ascii="Tahoma" w:hAnsi="Tahoma" w:cs="Tahoma"/>
                <w:sz w:val="13"/>
              </w:rPr>
            </w:pPr>
            <w:r w:rsidRPr="003410C7">
              <w:rPr>
                <w:rFonts w:ascii="Tahoma" w:hAnsi="Tahoma" w:cs="Tahoma"/>
                <w:sz w:val="13"/>
              </w:rPr>
              <w:t>A</w:t>
            </w:r>
          </w:p>
        </w:tc>
        <w:tc>
          <w:tcPr>
            <w:tcW w:w="540" w:type="dxa"/>
            <w:tcBorders>
              <w:bottom w:val="single" w:sz="4" w:space="0" w:color="auto"/>
            </w:tcBorders>
            <w:shd w:val="clear" w:color="auto" w:fill="auto"/>
            <w:vAlign w:val="center"/>
          </w:tcPr>
          <w:p w:rsidR="00A5643F" w:rsidRPr="003410C7" w:rsidRDefault="00A5643F" w:rsidP="00886719">
            <w:pPr>
              <w:pStyle w:val="TableText"/>
              <w:widowControl w:val="0"/>
              <w:rPr>
                <w:rFonts w:ascii="Tahoma" w:hAnsi="Tahoma" w:cs="Tahoma"/>
                <w:sz w:val="13"/>
              </w:rPr>
            </w:pPr>
            <w:r w:rsidRPr="003410C7">
              <w:rPr>
                <w:rFonts w:ascii="Tahoma" w:hAnsi="Tahoma" w:cs="Tahoma"/>
                <w:color w:val="000000"/>
                <w:sz w:val="13"/>
              </w:rPr>
              <w:t>OL/OV</w:t>
            </w:r>
          </w:p>
        </w:tc>
      </w:tr>
      <w:tr w:rsidR="00A5643F" w:rsidRPr="003410C7" w:rsidTr="006B1F3F">
        <w:trPr>
          <w:gridBefore w:val="1"/>
          <w:wBefore w:w="20" w:type="dxa"/>
          <w:trHeight w:val="145"/>
        </w:trPr>
        <w:tc>
          <w:tcPr>
            <w:tcW w:w="2714" w:type="dxa"/>
            <w:tcBorders>
              <w:bottom w:val="single" w:sz="4" w:space="0" w:color="auto"/>
            </w:tcBorders>
            <w:shd w:val="clear" w:color="auto" w:fill="FABF8F"/>
            <w:vAlign w:val="center"/>
          </w:tcPr>
          <w:p w:rsidR="00A5643F" w:rsidRPr="003410C7" w:rsidRDefault="00A5643F" w:rsidP="002E5D03">
            <w:pPr>
              <w:pStyle w:val="Heading2"/>
              <w:spacing w:before="20" w:after="20"/>
              <w:ind w:left="0"/>
              <w:rPr>
                <w:rFonts w:ascii="Tahoma" w:hAnsi="Tahoma" w:cs="Tahoma"/>
                <w:b w:val="0"/>
                <w:sz w:val="14"/>
                <w:szCs w:val="14"/>
              </w:rPr>
            </w:pPr>
            <w:bookmarkStart w:id="598" w:name="_Toc336338161"/>
            <w:bookmarkStart w:id="599" w:name="_Toc352234756"/>
            <w:r w:rsidRPr="003410C7">
              <w:rPr>
                <w:rFonts w:ascii="Tahoma" w:hAnsi="Tahoma" w:cs="Tahoma"/>
                <w:b w:val="0"/>
                <w:sz w:val="14"/>
                <w:szCs w:val="14"/>
              </w:rPr>
              <w:t>Premium Add-on per Windows Small Business Server 2011 (5 client)</w:t>
            </w:r>
            <w:bookmarkEnd w:id="598"/>
            <w:bookmarkEnd w:id="599"/>
          </w:p>
        </w:tc>
        <w:tc>
          <w:tcPr>
            <w:tcW w:w="450" w:type="dxa"/>
            <w:tcBorders>
              <w:bottom w:val="single" w:sz="4" w:space="0" w:color="auto"/>
            </w:tcBorders>
            <w:shd w:val="clear" w:color="auto" w:fill="FABF8F"/>
            <w:vAlign w:val="center"/>
          </w:tcPr>
          <w:p w:rsidR="00A5643F" w:rsidRPr="009F17FF" w:rsidRDefault="00FC1A4D" w:rsidP="006615A9">
            <w:pPr>
              <w:pStyle w:val="TableText"/>
              <w:widowControl w:val="0"/>
              <w:rPr>
                <w:rStyle w:val="EndnoteReference"/>
                <w:rFonts w:cs="Tahoma"/>
                <w:b w:val="0"/>
                <w:color w:val="0000FF"/>
                <w:sz w:val="13"/>
                <w:szCs w:val="13"/>
                <w:u w:val="single"/>
              </w:rPr>
            </w:pPr>
            <w:hyperlink w:anchor="_111_CAL_Suite" w:history="1">
              <w:r w:rsidR="000D77F6" w:rsidRPr="009F17FF">
                <w:rPr>
                  <w:rStyle w:val="Hyperlink"/>
                  <w:b/>
                  <w:sz w:val="13"/>
                  <w:szCs w:val="13"/>
                </w:rPr>
                <w:t>111</w:t>
              </w:r>
            </w:hyperlink>
          </w:p>
        </w:tc>
        <w:tc>
          <w:tcPr>
            <w:tcW w:w="450" w:type="dxa"/>
            <w:tcBorders>
              <w:bottom w:val="single" w:sz="4" w:space="0" w:color="auto"/>
            </w:tcBorders>
            <w:shd w:val="clear" w:color="auto" w:fill="FABF8F"/>
          </w:tcPr>
          <w:p w:rsidR="00A5643F" w:rsidRPr="003410C7" w:rsidRDefault="00A5643F" w:rsidP="00F97D54">
            <w:pPr>
              <w:pStyle w:val="TableText"/>
              <w:widowControl w:val="0"/>
              <w:spacing w:before="120"/>
              <w:rPr>
                <w:rFonts w:ascii="Tahoma" w:hAnsi="Tahoma" w:cs="Tahoma"/>
                <w:sz w:val="13"/>
              </w:rPr>
            </w:pPr>
            <w:r w:rsidRPr="003410C7">
              <w:rPr>
                <w:rFonts w:ascii="Tahoma" w:hAnsi="Tahoma" w:cs="Tahoma"/>
                <w:sz w:val="13"/>
              </w:rPr>
              <w:t>01/11</w:t>
            </w:r>
          </w:p>
        </w:tc>
        <w:tc>
          <w:tcPr>
            <w:tcW w:w="360" w:type="dxa"/>
            <w:tcBorders>
              <w:bottom w:val="single" w:sz="4" w:space="0" w:color="auto"/>
              <w:right w:val="single" w:sz="18" w:space="0" w:color="auto"/>
            </w:tcBorders>
            <w:shd w:val="clear" w:color="auto" w:fill="FABF8F"/>
            <w:vAlign w:val="center"/>
          </w:tcPr>
          <w:p w:rsidR="00A5643F" w:rsidRPr="003410C7" w:rsidRDefault="00A5643F" w:rsidP="00F97D54">
            <w:pPr>
              <w:pStyle w:val="TableText"/>
              <w:widowControl w:val="0"/>
              <w:rPr>
                <w:rFonts w:ascii="Tahoma" w:hAnsi="Tahoma" w:cs="Tahoma"/>
                <w:sz w:val="13"/>
              </w:rPr>
            </w:pPr>
            <w:r w:rsidRPr="003410C7">
              <w:rPr>
                <w:rFonts w:ascii="Tahoma" w:hAnsi="Tahoma" w:cs="Tahoma"/>
                <w:sz w:val="13"/>
              </w:rPr>
              <w:t>SRV</w:t>
            </w:r>
          </w:p>
        </w:tc>
        <w:tc>
          <w:tcPr>
            <w:tcW w:w="360" w:type="dxa"/>
            <w:tcBorders>
              <w:left w:val="single" w:sz="18" w:space="0" w:color="auto"/>
              <w:bottom w:val="single" w:sz="4" w:space="0" w:color="auto"/>
            </w:tcBorders>
            <w:shd w:val="clear" w:color="auto" w:fill="FABF8F"/>
            <w:vAlign w:val="center"/>
          </w:tcPr>
          <w:p w:rsidR="00A5643F" w:rsidRPr="003410C7" w:rsidRDefault="00A5643F" w:rsidP="00F97D54">
            <w:pPr>
              <w:pStyle w:val="TableText"/>
              <w:widowControl w:val="0"/>
              <w:rPr>
                <w:rFonts w:ascii="Tahoma" w:hAnsi="Tahoma" w:cs="Tahoma"/>
                <w:b/>
                <w:color w:val="FF0000"/>
                <w:sz w:val="13"/>
              </w:rPr>
            </w:pPr>
          </w:p>
        </w:tc>
        <w:tc>
          <w:tcPr>
            <w:tcW w:w="450" w:type="dxa"/>
            <w:tcBorders>
              <w:bottom w:val="single" w:sz="4" w:space="0" w:color="auto"/>
            </w:tcBorders>
            <w:shd w:val="clear" w:color="auto" w:fill="FABF8F"/>
            <w:vAlign w:val="center"/>
          </w:tcPr>
          <w:p w:rsidR="00A5643F" w:rsidRPr="003410C7" w:rsidRDefault="00A5643F" w:rsidP="00F97D54">
            <w:pPr>
              <w:pStyle w:val="TableText"/>
              <w:widowControl w:val="0"/>
              <w:rPr>
                <w:rFonts w:ascii="Tahoma" w:hAnsi="Tahoma" w:cs="Tahoma"/>
                <w:b/>
                <w:color w:val="008000"/>
                <w:sz w:val="13"/>
              </w:rPr>
            </w:pPr>
          </w:p>
        </w:tc>
        <w:tc>
          <w:tcPr>
            <w:tcW w:w="450" w:type="dxa"/>
            <w:tcBorders>
              <w:bottom w:val="single" w:sz="4" w:space="0" w:color="auto"/>
            </w:tcBorders>
            <w:shd w:val="clear" w:color="auto" w:fill="FABF8F"/>
            <w:vAlign w:val="center"/>
          </w:tcPr>
          <w:p w:rsidR="00A5643F" w:rsidRPr="003410C7" w:rsidRDefault="00A5643F" w:rsidP="00F97D54">
            <w:pPr>
              <w:pStyle w:val="TableText"/>
              <w:widowControl w:val="0"/>
              <w:rPr>
                <w:rFonts w:ascii="Tahoma" w:hAnsi="Tahoma" w:cs="Tahoma"/>
                <w:b/>
                <w:color w:val="008000"/>
                <w:sz w:val="13"/>
              </w:rPr>
            </w:pPr>
          </w:p>
        </w:tc>
        <w:tc>
          <w:tcPr>
            <w:tcW w:w="450" w:type="dxa"/>
            <w:tcBorders>
              <w:bottom w:val="single" w:sz="4" w:space="0" w:color="auto"/>
            </w:tcBorders>
            <w:shd w:val="clear" w:color="auto" w:fill="FABF8F"/>
            <w:vAlign w:val="center"/>
          </w:tcPr>
          <w:p w:rsidR="00A5643F" w:rsidRPr="003410C7" w:rsidRDefault="00A5643F" w:rsidP="00F97D54">
            <w:pPr>
              <w:pStyle w:val="TableText"/>
              <w:widowControl w:val="0"/>
              <w:rPr>
                <w:rFonts w:ascii="Tahoma" w:hAnsi="Tahoma" w:cs="Tahoma"/>
                <w:b/>
                <w:color w:val="008000"/>
                <w:sz w:val="13"/>
              </w:rPr>
            </w:pPr>
          </w:p>
        </w:tc>
        <w:tc>
          <w:tcPr>
            <w:tcW w:w="450" w:type="dxa"/>
            <w:tcBorders>
              <w:bottom w:val="single" w:sz="4" w:space="0" w:color="auto"/>
            </w:tcBorders>
            <w:shd w:val="clear" w:color="auto" w:fill="FABF8F"/>
            <w:vAlign w:val="center"/>
          </w:tcPr>
          <w:p w:rsidR="00A5643F" w:rsidRPr="003410C7" w:rsidRDefault="00A5643F" w:rsidP="00F97D54">
            <w:pPr>
              <w:pStyle w:val="TableText"/>
              <w:widowControl w:val="0"/>
              <w:rPr>
                <w:rFonts w:ascii="Tahoma" w:hAnsi="Tahoma" w:cs="Tahoma"/>
                <w:b/>
                <w:color w:val="0000FF"/>
                <w:sz w:val="13"/>
              </w:rPr>
            </w:pPr>
          </w:p>
        </w:tc>
        <w:tc>
          <w:tcPr>
            <w:tcW w:w="450" w:type="dxa"/>
            <w:tcBorders>
              <w:bottom w:val="single" w:sz="4" w:space="0" w:color="auto"/>
            </w:tcBorders>
            <w:shd w:val="clear" w:color="auto" w:fill="FABF8F"/>
            <w:vAlign w:val="center"/>
          </w:tcPr>
          <w:p w:rsidR="00A5643F" w:rsidRPr="003410C7" w:rsidRDefault="00A5643F" w:rsidP="00F97D54">
            <w:pPr>
              <w:pStyle w:val="TableText"/>
              <w:widowControl w:val="0"/>
              <w:rPr>
                <w:rFonts w:ascii="Tahoma" w:hAnsi="Tahoma" w:cs="Tahoma"/>
                <w:b/>
                <w:color w:val="0000FF"/>
                <w:sz w:val="13"/>
              </w:rPr>
            </w:pPr>
          </w:p>
        </w:tc>
        <w:tc>
          <w:tcPr>
            <w:tcW w:w="360" w:type="dxa"/>
            <w:tcBorders>
              <w:bottom w:val="single" w:sz="4" w:space="0" w:color="auto"/>
              <w:right w:val="single" w:sz="18" w:space="0" w:color="auto"/>
            </w:tcBorders>
            <w:shd w:val="clear" w:color="auto" w:fill="FABF8F"/>
            <w:vAlign w:val="center"/>
          </w:tcPr>
          <w:p w:rsidR="00A5643F" w:rsidRPr="003410C7" w:rsidRDefault="00A5643F" w:rsidP="00F97D54">
            <w:pPr>
              <w:pStyle w:val="TableText"/>
              <w:widowControl w:val="0"/>
              <w:rPr>
                <w:rFonts w:ascii="Tahoma" w:hAnsi="Tahoma" w:cs="Tahoma"/>
                <w:b/>
                <w:color w:val="0000FF"/>
                <w:sz w:val="13"/>
              </w:rPr>
            </w:pPr>
          </w:p>
        </w:tc>
        <w:tc>
          <w:tcPr>
            <w:tcW w:w="450" w:type="dxa"/>
            <w:tcBorders>
              <w:left w:val="single" w:sz="18" w:space="0" w:color="auto"/>
              <w:bottom w:val="single" w:sz="4" w:space="0" w:color="auto"/>
            </w:tcBorders>
            <w:shd w:val="clear" w:color="auto" w:fill="FABF8F"/>
            <w:vAlign w:val="center"/>
          </w:tcPr>
          <w:p w:rsidR="00A5643F" w:rsidRPr="003410C7" w:rsidRDefault="00A5643F" w:rsidP="00F97D54">
            <w:pPr>
              <w:pStyle w:val="TableText"/>
              <w:widowControl w:val="0"/>
              <w:rPr>
                <w:rFonts w:ascii="Tahoma" w:hAnsi="Tahoma" w:cs="Tahoma"/>
                <w:sz w:val="13"/>
              </w:rPr>
            </w:pPr>
            <w:r w:rsidRPr="003410C7">
              <w:rPr>
                <w:rFonts w:ascii="Tahoma" w:hAnsi="Tahoma" w:cs="Tahoma"/>
                <w:sz w:val="13"/>
              </w:rPr>
              <w:t>5</w:t>
            </w:r>
          </w:p>
        </w:tc>
        <w:tc>
          <w:tcPr>
            <w:tcW w:w="450" w:type="dxa"/>
            <w:tcBorders>
              <w:bottom w:val="single" w:sz="4" w:space="0" w:color="auto"/>
            </w:tcBorders>
            <w:shd w:val="clear" w:color="auto" w:fill="FABF8F"/>
            <w:vAlign w:val="center"/>
          </w:tcPr>
          <w:p w:rsidR="00A5643F" w:rsidRPr="003410C7" w:rsidRDefault="00A5643F" w:rsidP="00F97D54">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A5643F" w:rsidRPr="003410C7" w:rsidRDefault="00A5643F" w:rsidP="00F97D54">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A5643F" w:rsidRPr="003410C7" w:rsidRDefault="00A5643F" w:rsidP="00F97D54">
            <w:pPr>
              <w:pStyle w:val="TableText"/>
              <w:widowControl w:val="0"/>
              <w:rPr>
                <w:rFonts w:ascii="Tahoma" w:hAnsi="Tahoma" w:cs="Tahoma"/>
                <w:sz w:val="13"/>
              </w:rPr>
            </w:pPr>
            <w:r w:rsidRPr="003410C7">
              <w:rPr>
                <w:rFonts w:ascii="Tahoma" w:hAnsi="Tahoma" w:cs="Tahoma"/>
                <w:sz w:val="13"/>
              </w:rPr>
              <w:t>5</w:t>
            </w:r>
          </w:p>
        </w:tc>
        <w:tc>
          <w:tcPr>
            <w:tcW w:w="450" w:type="dxa"/>
            <w:tcBorders>
              <w:bottom w:val="single" w:sz="4" w:space="0" w:color="auto"/>
              <w:right w:val="single" w:sz="18" w:space="0" w:color="auto"/>
            </w:tcBorders>
            <w:shd w:val="clear" w:color="auto" w:fill="FABF8F"/>
            <w:vAlign w:val="center"/>
          </w:tcPr>
          <w:p w:rsidR="00A5643F" w:rsidRPr="003410C7" w:rsidRDefault="00A5643F" w:rsidP="00F97D54">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rsidR="00A5643F" w:rsidRPr="003410C7" w:rsidRDefault="00A5643F" w:rsidP="00F97D54">
            <w:pPr>
              <w:pStyle w:val="TableText"/>
              <w:widowControl w:val="0"/>
              <w:rPr>
                <w:rFonts w:ascii="Tahoma" w:hAnsi="Tahoma" w:cs="Tahoma"/>
                <w:sz w:val="13"/>
              </w:rPr>
            </w:pPr>
            <w:r w:rsidRPr="003410C7">
              <w:rPr>
                <w:rFonts w:ascii="Tahoma" w:hAnsi="Tahoma" w:cs="Tahoma"/>
                <w:sz w:val="13"/>
              </w:rPr>
              <w:t>P</w:t>
            </w:r>
          </w:p>
        </w:tc>
        <w:tc>
          <w:tcPr>
            <w:tcW w:w="450" w:type="dxa"/>
            <w:tcBorders>
              <w:bottom w:val="single" w:sz="4" w:space="0" w:color="auto"/>
            </w:tcBorders>
            <w:shd w:val="clear" w:color="auto" w:fill="FABF8F"/>
          </w:tcPr>
          <w:p w:rsidR="00A5643F" w:rsidRPr="003410C7" w:rsidRDefault="00A5643F" w:rsidP="00F97D54">
            <w:pPr>
              <w:pStyle w:val="TableText"/>
              <w:widowControl w:val="0"/>
              <w:rPr>
                <w:rFonts w:ascii="Tahoma" w:hAnsi="Tahoma" w:cs="Tahoma"/>
                <w:sz w:val="13"/>
              </w:rPr>
            </w:pPr>
            <w:r w:rsidRPr="003410C7">
              <w:rPr>
                <w:rFonts w:ascii="Tahoma" w:hAnsi="Tahoma" w:cs="Tahoma"/>
                <w:sz w:val="13"/>
              </w:rPr>
              <w:t>A</w:t>
            </w:r>
          </w:p>
        </w:tc>
        <w:tc>
          <w:tcPr>
            <w:tcW w:w="540" w:type="dxa"/>
            <w:tcBorders>
              <w:bottom w:val="single" w:sz="4" w:space="0" w:color="auto"/>
            </w:tcBorders>
            <w:shd w:val="clear" w:color="auto" w:fill="FABF8F"/>
            <w:vAlign w:val="center"/>
          </w:tcPr>
          <w:p w:rsidR="00A5643F" w:rsidRPr="003410C7" w:rsidRDefault="00A5643F" w:rsidP="00F97D54">
            <w:pPr>
              <w:pStyle w:val="TableText"/>
              <w:widowControl w:val="0"/>
              <w:rPr>
                <w:rFonts w:ascii="Tahoma" w:hAnsi="Tahoma" w:cs="Tahoma"/>
                <w:sz w:val="13"/>
              </w:rPr>
            </w:pPr>
            <w:r w:rsidRPr="003410C7">
              <w:rPr>
                <w:rFonts w:ascii="Tahoma" w:hAnsi="Tahoma" w:cs="Tahoma"/>
                <w:sz w:val="13"/>
              </w:rPr>
              <w:t>OL/OV</w:t>
            </w:r>
          </w:p>
        </w:tc>
      </w:tr>
      <w:tr w:rsidR="00A5643F" w:rsidRPr="003410C7" w:rsidTr="006B1F3F">
        <w:trPr>
          <w:gridBefore w:val="1"/>
          <w:wBefore w:w="20" w:type="dxa"/>
          <w:trHeight w:val="145"/>
        </w:trPr>
        <w:tc>
          <w:tcPr>
            <w:tcW w:w="2714" w:type="dxa"/>
            <w:tcBorders>
              <w:bottom w:val="single" w:sz="4" w:space="0" w:color="auto"/>
            </w:tcBorders>
            <w:shd w:val="clear" w:color="auto" w:fill="auto"/>
            <w:vAlign w:val="center"/>
          </w:tcPr>
          <w:p w:rsidR="00A5643F" w:rsidRPr="003410C7" w:rsidRDefault="00A5643F" w:rsidP="002E5D03">
            <w:pPr>
              <w:pStyle w:val="Heading2"/>
              <w:spacing w:before="20" w:after="20"/>
              <w:ind w:left="0"/>
              <w:rPr>
                <w:rFonts w:ascii="Tahoma" w:hAnsi="Tahoma" w:cs="Tahoma"/>
                <w:b w:val="0"/>
                <w:sz w:val="14"/>
                <w:szCs w:val="14"/>
              </w:rPr>
            </w:pPr>
            <w:bookmarkStart w:id="600" w:name="_Toc336338162"/>
            <w:bookmarkStart w:id="601" w:name="_Toc352234757"/>
            <w:r w:rsidRPr="003410C7">
              <w:rPr>
                <w:rFonts w:ascii="Tahoma" w:hAnsi="Tahoma" w:cs="Tahoma"/>
                <w:b w:val="0"/>
                <w:sz w:val="14"/>
                <w:szCs w:val="14"/>
              </w:rPr>
              <w:t>Premium Add-on CAL Suite per Windows Small Business Server 2011</w:t>
            </w:r>
            <w:bookmarkEnd w:id="600"/>
            <w:bookmarkEnd w:id="601"/>
            <w:r w:rsidRPr="003410C7">
              <w:rPr>
                <w:rFonts w:ascii="Tahoma" w:hAnsi="Tahoma" w:cs="Tahoma"/>
                <w:b w:val="0"/>
                <w:sz w:val="14"/>
                <w:szCs w:val="14"/>
              </w:rPr>
              <w:t xml:space="preserve"> </w:t>
            </w:r>
          </w:p>
        </w:tc>
        <w:tc>
          <w:tcPr>
            <w:tcW w:w="450" w:type="dxa"/>
            <w:tcBorders>
              <w:bottom w:val="single" w:sz="4" w:space="0" w:color="auto"/>
            </w:tcBorders>
            <w:shd w:val="clear" w:color="auto" w:fill="auto"/>
            <w:vAlign w:val="center"/>
          </w:tcPr>
          <w:p w:rsidR="00A5643F" w:rsidRPr="009F17FF" w:rsidRDefault="00FC1A4D" w:rsidP="006615A9">
            <w:pPr>
              <w:pStyle w:val="TableText"/>
              <w:widowControl w:val="0"/>
              <w:rPr>
                <w:b/>
                <w:sz w:val="13"/>
                <w:szCs w:val="13"/>
                <w:u w:val="single"/>
              </w:rPr>
            </w:pPr>
            <w:hyperlink w:anchor="_112_Premium_Add-on" w:history="1">
              <w:r w:rsidR="000D77F6" w:rsidRPr="009F17FF">
                <w:rPr>
                  <w:rStyle w:val="Hyperlink"/>
                  <w:b/>
                  <w:sz w:val="13"/>
                  <w:szCs w:val="13"/>
                </w:rPr>
                <w:t>112</w:t>
              </w:r>
            </w:hyperlink>
          </w:p>
        </w:tc>
        <w:tc>
          <w:tcPr>
            <w:tcW w:w="450" w:type="dxa"/>
            <w:tcBorders>
              <w:bottom w:val="single" w:sz="4" w:space="0" w:color="auto"/>
            </w:tcBorders>
            <w:shd w:val="clear" w:color="auto" w:fill="auto"/>
          </w:tcPr>
          <w:p w:rsidR="00A5643F" w:rsidRPr="003410C7" w:rsidRDefault="00A5643F">
            <w:pPr>
              <w:pStyle w:val="TableText"/>
              <w:widowControl w:val="0"/>
              <w:spacing w:before="120"/>
              <w:rPr>
                <w:rFonts w:ascii="Tahoma" w:hAnsi="Tahoma" w:cs="Tahoma"/>
                <w:sz w:val="13"/>
              </w:rPr>
            </w:pPr>
            <w:r w:rsidRPr="003410C7">
              <w:rPr>
                <w:rFonts w:ascii="Tahoma" w:hAnsi="Tahoma" w:cs="Tahoma"/>
                <w:sz w:val="13"/>
              </w:rPr>
              <w:t>01/11</w:t>
            </w:r>
          </w:p>
        </w:tc>
        <w:tc>
          <w:tcPr>
            <w:tcW w:w="360" w:type="dxa"/>
            <w:tcBorders>
              <w:bottom w:val="single" w:sz="4" w:space="0" w:color="auto"/>
              <w:right w:val="single" w:sz="18" w:space="0" w:color="auto"/>
            </w:tcBorders>
            <w:shd w:val="clear" w:color="auto" w:fill="auto"/>
            <w:vAlign w:val="center"/>
          </w:tcPr>
          <w:p w:rsidR="00A5643F" w:rsidRPr="003410C7" w:rsidRDefault="00A5643F">
            <w:pPr>
              <w:pStyle w:val="TableText"/>
              <w:widowControl w:val="0"/>
              <w:rPr>
                <w:rFonts w:ascii="Tahoma" w:hAnsi="Tahoma" w:cs="Tahoma"/>
                <w:sz w:val="13"/>
              </w:rPr>
            </w:pPr>
            <w:r w:rsidRPr="003410C7">
              <w:rPr>
                <w:rFonts w:ascii="Tahoma" w:hAnsi="Tahoma" w:cs="Tahoma"/>
                <w:sz w:val="13"/>
              </w:rPr>
              <w:t>SRV</w:t>
            </w:r>
          </w:p>
        </w:tc>
        <w:tc>
          <w:tcPr>
            <w:tcW w:w="360" w:type="dxa"/>
            <w:tcBorders>
              <w:left w:val="single" w:sz="18" w:space="0" w:color="auto"/>
              <w:bottom w:val="single" w:sz="4" w:space="0" w:color="auto"/>
            </w:tcBorders>
            <w:shd w:val="clear" w:color="auto" w:fill="auto"/>
            <w:vAlign w:val="center"/>
          </w:tcPr>
          <w:p w:rsidR="00A5643F" w:rsidRPr="003410C7" w:rsidRDefault="00A5643F">
            <w:pPr>
              <w:pStyle w:val="TableText"/>
              <w:widowControl w:val="0"/>
              <w:rPr>
                <w:rFonts w:ascii="Tahoma" w:hAnsi="Tahoma" w:cs="Tahoma"/>
                <w:b/>
                <w:color w:val="FF0000"/>
                <w:sz w:val="13"/>
              </w:rPr>
            </w:pPr>
          </w:p>
        </w:tc>
        <w:tc>
          <w:tcPr>
            <w:tcW w:w="450" w:type="dxa"/>
            <w:tcBorders>
              <w:bottom w:val="single" w:sz="4" w:space="0" w:color="auto"/>
            </w:tcBorders>
            <w:shd w:val="clear" w:color="auto" w:fill="auto"/>
            <w:vAlign w:val="center"/>
          </w:tcPr>
          <w:p w:rsidR="00A5643F" w:rsidRPr="003410C7" w:rsidRDefault="00A5643F">
            <w:pPr>
              <w:pStyle w:val="TableText"/>
              <w:widowControl w:val="0"/>
              <w:rPr>
                <w:rFonts w:ascii="Tahoma" w:hAnsi="Tahoma" w:cs="Tahoma"/>
                <w:b/>
                <w:color w:val="008000"/>
                <w:sz w:val="13"/>
              </w:rPr>
            </w:pPr>
          </w:p>
        </w:tc>
        <w:tc>
          <w:tcPr>
            <w:tcW w:w="450" w:type="dxa"/>
            <w:tcBorders>
              <w:bottom w:val="single" w:sz="4" w:space="0" w:color="auto"/>
            </w:tcBorders>
            <w:shd w:val="clear" w:color="auto" w:fill="auto"/>
            <w:vAlign w:val="center"/>
          </w:tcPr>
          <w:p w:rsidR="00A5643F" w:rsidRPr="003410C7" w:rsidRDefault="00A5643F">
            <w:pPr>
              <w:pStyle w:val="TableText"/>
              <w:widowControl w:val="0"/>
              <w:rPr>
                <w:rFonts w:ascii="Tahoma" w:hAnsi="Tahoma" w:cs="Tahoma"/>
                <w:b/>
                <w:color w:val="008000"/>
                <w:sz w:val="13"/>
              </w:rPr>
            </w:pPr>
          </w:p>
        </w:tc>
        <w:tc>
          <w:tcPr>
            <w:tcW w:w="450" w:type="dxa"/>
            <w:tcBorders>
              <w:bottom w:val="single" w:sz="4" w:space="0" w:color="auto"/>
            </w:tcBorders>
            <w:shd w:val="clear" w:color="auto" w:fill="auto"/>
            <w:vAlign w:val="center"/>
          </w:tcPr>
          <w:p w:rsidR="00A5643F" w:rsidRPr="003410C7" w:rsidRDefault="00A5643F">
            <w:pPr>
              <w:pStyle w:val="TableText"/>
              <w:widowControl w:val="0"/>
              <w:rPr>
                <w:rFonts w:ascii="Tahoma" w:hAnsi="Tahoma" w:cs="Tahoma"/>
                <w:b/>
                <w:color w:val="008000"/>
                <w:sz w:val="13"/>
              </w:rPr>
            </w:pPr>
          </w:p>
        </w:tc>
        <w:tc>
          <w:tcPr>
            <w:tcW w:w="450" w:type="dxa"/>
            <w:tcBorders>
              <w:bottom w:val="single" w:sz="4" w:space="0" w:color="auto"/>
            </w:tcBorders>
            <w:shd w:val="clear" w:color="auto" w:fill="auto"/>
            <w:vAlign w:val="center"/>
          </w:tcPr>
          <w:p w:rsidR="00A5643F" w:rsidRPr="003410C7" w:rsidRDefault="00A5643F">
            <w:pPr>
              <w:pStyle w:val="TableText"/>
              <w:widowControl w:val="0"/>
              <w:rPr>
                <w:rFonts w:ascii="Tahoma" w:hAnsi="Tahoma" w:cs="Tahoma"/>
                <w:b/>
                <w:color w:val="0000FF"/>
                <w:sz w:val="13"/>
              </w:rPr>
            </w:pPr>
          </w:p>
        </w:tc>
        <w:tc>
          <w:tcPr>
            <w:tcW w:w="450" w:type="dxa"/>
            <w:tcBorders>
              <w:bottom w:val="single" w:sz="4" w:space="0" w:color="auto"/>
            </w:tcBorders>
            <w:shd w:val="clear" w:color="auto" w:fill="auto"/>
            <w:vAlign w:val="center"/>
          </w:tcPr>
          <w:p w:rsidR="00A5643F" w:rsidRPr="003410C7" w:rsidRDefault="00A5643F">
            <w:pPr>
              <w:pStyle w:val="TableText"/>
              <w:widowControl w:val="0"/>
              <w:rPr>
                <w:rFonts w:ascii="Tahoma" w:hAnsi="Tahoma" w:cs="Tahoma"/>
                <w:b/>
                <w:color w:val="0000FF"/>
                <w:sz w:val="13"/>
              </w:rPr>
            </w:pPr>
          </w:p>
        </w:tc>
        <w:tc>
          <w:tcPr>
            <w:tcW w:w="360" w:type="dxa"/>
            <w:tcBorders>
              <w:bottom w:val="single" w:sz="4" w:space="0" w:color="auto"/>
              <w:right w:val="single" w:sz="18" w:space="0" w:color="auto"/>
            </w:tcBorders>
            <w:shd w:val="clear" w:color="auto" w:fill="auto"/>
            <w:vAlign w:val="center"/>
          </w:tcPr>
          <w:p w:rsidR="00A5643F" w:rsidRPr="003410C7" w:rsidRDefault="00A5643F">
            <w:pPr>
              <w:pStyle w:val="TableText"/>
              <w:widowControl w:val="0"/>
              <w:rPr>
                <w:rFonts w:ascii="Tahoma" w:hAnsi="Tahoma" w:cs="Tahoma"/>
                <w:b/>
                <w:color w:val="0000FF"/>
                <w:sz w:val="13"/>
              </w:rPr>
            </w:pPr>
          </w:p>
        </w:tc>
        <w:tc>
          <w:tcPr>
            <w:tcW w:w="450" w:type="dxa"/>
            <w:tcBorders>
              <w:left w:val="single" w:sz="18" w:space="0" w:color="auto"/>
              <w:bottom w:val="single" w:sz="4" w:space="0" w:color="auto"/>
            </w:tcBorders>
            <w:shd w:val="clear" w:color="auto" w:fill="auto"/>
            <w:vAlign w:val="center"/>
          </w:tcPr>
          <w:p w:rsidR="00A5643F" w:rsidRPr="003410C7" w:rsidRDefault="00A5643F">
            <w:pPr>
              <w:pStyle w:val="TableText"/>
              <w:widowControl w:val="0"/>
              <w:rPr>
                <w:rFonts w:ascii="Tahoma" w:hAnsi="Tahoma" w:cs="Tahoma"/>
                <w:sz w:val="13"/>
              </w:rPr>
            </w:pPr>
            <w:r w:rsidRPr="003410C7">
              <w:rPr>
                <w:rFonts w:ascii="Tahoma" w:hAnsi="Tahoma" w:cs="Tahoma"/>
                <w:sz w:val="13"/>
              </w:rPr>
              <w:t>1</w:t>
            </w:r>
          </w:p>
        </w:tc>
        <w:tc>
          <w:tcPr>
            <w:tcW w:w="450" w:type="dxa"/>
            <w:tcBorders>
              <w:bottom w:val="single" w:sz="4" w:space="0" w:color="auto"/>
            </w:tcBorders>
            <w:shd w:val="clear" w:color="auto" w:fill="auto"/>
            <w:vAlign w:val="center"/>
          </w:tcPr>
          <w:p w:rsidR="00A5643F" w:rsidRPr="003410C7" w:rsidRDefault="00A5643F">
            <w:pPr>
              <w:pStyle w:val="TableText"/>
              <w:widowControl w:val="0"/>
              <w:rPr>
                <w:rFonts w:ascii="Tahoma" w:hAnsi="Tahoma" w:cs="Tahoma"/>
                <w:sz w:val="13"/>
              </w:rPr>
            </w:pPr>
            <w:r w:rsidRPr="003410C7">
              <w:rPr>
                <w:rFonts w:ascii="Tahoma" w:hAnsi="Tahoma" w:cs="Tahoma"/>
                <w:sz w:val="13"/>
              </w:rPr>
              <w:t>2</w:t>
            </w:r>
          </w:p>
        </w:tc>
        <w:tc>
          <w:tcPr>
            <w:tcW w:w="450" w:type="dxa"/>
            <w:tcBorders>
              <w:bottom w:val="single" w:sz="4" w:space="0" w:color="auto"/>
              <w:right w:val="single" w:sz="18" w:space="0" w:color="auto"/>
            </w:tcBorders>
            <w:shd w:val="clear" w:color="auto" w:fill="auto"/>
            <w:vAlign w:val="center"/>
          </w:tcPr>
          <w:p w:rsidR="00A5643F" w:rsidRPr="003410C7" w:rsidRDefault="00A5643F">
            <w:pPr>
              <w:pStyle w:val="TableText"/>
              <w:widowControl w:val="0"/>
              <w:rPr>
                <w:rFonts w:ascii="Tahoma" w:hAnsi="Tahoma" w:cs="Tahoma"/>
                <w:sz w:val="13"/>
              </w:rPr>
            </w:pPr>
            <w:r w:rsidRPr="003410C7">
              <w:rPr>
                <w:rFonts w:ascii="Tahoma" w:hAnsi="Tahoma" w:cs="Tahoma"/>
                <w:sz w:val="13"/>
              </w:rPr>
              <w:t>1</w:t>
            </w:r>
          </w:p>
        </w:tc>
        <w:tc>
          <w:tcPr>
            <w:tcW w:w="450" w:type="dxa"/>
            <w:tcBorders>
              <w:left w:val="single" w:sz="18" w:space="0" w:color="auto"/>
              <w:bottom w:val="single" w:sz="4" w:space="0" w:color="auto"/>
            </w:tcBorders>
            <w:shd w:val="clear" w:color="auto" w:fill="auto"/>
            <w:vAlign w:val="center"/>
          </w:tcPr>
          <w:p w:rsidR="00A5643F" w:rsidRPr="003410C7" w:rsidRDefault="00A5643F">
            <w:pPr>
              <w:pStyle w:val="TableText"/>
              <w:widowControl w:val="0"/>
              <w:rPr>
                <w:rFonts w:ascii="Tahoma" w:hAnsi="Tahoma" w:cs="Tahoma"/>
                <w:sz w:val="13"/>
              </w:rPr>
            </w:pPr>
            <w:r w:rsidRPr="003410C7">
              <w:rPr>
                <w:rFonts w:ascii="Tahoma" w:hAnsi="Tahoma" w:cs="Tahoma"/>
                <w:sz w:val="13"/>
              </w:rPr>
              <w:t>1</w:t>
            </w:r>
          </w:p>
        </w:tc>
        <w:tc>
          <w:tcPr>
            <w:tcW w:w="450" w:type="dxa"/>
            <w:tcBorders>
              <w:bottom w:val="single" w:sz="4" w:space="0" w:color="auto"/>
              <w:right w:val="single" w:sz="18" w:space="0" w:color="auto"/>
            </w:tcBorders>
            <w:shd w:val="clear" w:color="auto" w:fill="auto"/>
            <w:vAlign w:val="center"/>
          </w:tcPr>
          <w:p w:rsidR="00A5643F" w:rsidRPr="003410C7" w:rsidRDefault="00A5643F">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rsidR="00A5643F" w:rsidRPr="003410C7" w:rsidRDefault="00A5643F">
            <w:pPr>
              <w:pStyle w:val="TableText"/>
              <w:widowControl w:val="0"/>
              <w:rPr>
                <w:rFonts w:ascii="Tahoma" w:hAnsi="Tahoma" w:cs="Tahoma"/>
                <w:sz w:val="13"/>
              </w:rPr>
            </w:pPr>
            <w:r w:rsidRPr="003410C7">
              <w:rPr>
                <w:rFonts w:ascii="Tahoma" w:hAnsi="Tahoma" w:cs="Tahoma"/>
                <w:sz w:val="13"/>
              </w:rPr>
              <w:t>E, P</w:t>
            </w:r>
          </w:p>
        </w:tc>
        <w:tc>
          <w:tcPr>
            <w:tcW w:w="450" w:type="dxa"/>
            <w:tcBorders>
              <w:bottom w:val="single" w:sz="4" w:space="0" w:color="auto"/>
            </w:tcBorders>
            <w:shd w:val="clear" w:color="auto" w:fill="auto"/>
          </w:tcPr>
          <w:p w:rsidR="00A5643F" w:rsidRPr="003410C7" w:rsidRDefault="00A5643F">
            <w:pPr>
              <w:pStyle w:val="TableText"/>
              <w:widowControl w:val="0"/>
              <w:rPr>
                <w:rFonts w:ascii="Tahoma" w:hAnsi="Tahoma" w:cs="Tahoma"/>
                <w:sz w:val="13"/>
              </w:rPr>
            </w:pPr>
            <w:r w:rsidRPr="003410C7">
              <w:rPr>
                <w:rFonts w:ascii="Tahoma" w:hAnsi="Tahoma" w:cs="Tahoma"/>
                <w:sz w:val="13"/>
              </w:rPr>
              <w:t>A, ST</w:t>
            </w:r>
          </w:p>
        </w:tc>
        <w:tc>
          <w:tcPr>
            <w:tcW w:w="540" w:type="dxa"/>
            <w:tcBorders>
              <w:bottom w:val="single" w:sz="4" w:space="0" w:color="auto"/>
            </w:tcBorders>
            <w:shd w:val="clear" w:color="auto" w:fill="auto"/>
            <w:vAlign w:val="center"/>
          </w:tcPr>
          <w:p w:rsidR="00A5643F" w:rsidRPr="003410C7" w:rsidRDefault="00A5643F">
            <w:pPr>
              <w:pStyle w:val="TableText"/>
              <w:widowControl w:val="0"/>
              <w:rPr>
                <w:rFonts w:ascii="Tahoma" w:hAnsi="Tahoma" w:cs="Tahoma"/>
                <w:sz w:val="13"/>
              </w:rPr>
            </w:pPr>
          </w:p>
        </w:tc>
      </w:tr>
      <w:tr w:rsidR="00A5643F" w:rsidRPr="003410C7" w:rsidTr="006B1F3F">
        <w:trPr>
          <w:gridBefore w:val="1"/>
          <w:wBefore w:w="20" w:type="dxa"/>
          <w:trHeight w:val="145"/>
        </w:trPr>
        <w:tc>
          <w:tcPr>
            <w:tcW w:w="2714" w:type="dxa"/>
            <w:tcBorders>
              <w:bottom w:val="single" w:sz="4" w:space="0" w:color="auto"/>
            </w:tcBorders>
            <w:shd w:val="clear" w:color="auto" w:fill="FABF8F"/>
            <w:vAlign w:val="center"/>
          </w:tcPr>
          <w:p w:rsidR="00A5643F" w:rsidRPr="003410C7" w:rsidRDefault="00A5643F" w:rsidP="002E5D03">
            <w:pPr>
              <w:pStyle w:val="Heading2"/>
              <w:spacing w:before="20" w:after="20"/>
              <w:ind w:left="0"/>
              <w:rPr>
                <w:rFonts w:ascii="Tahoma" w:hAnsi="Tahoma" w:cs="Tahoma"/>
                <w:b w:val="0"/>
                <w:sz w:val="14"/>
                <w:szCs w:val="14"/>
              </w:rPr>
            </w:pPr>
            <w:bookmarkStart w:id="602" w:name="_Toc336338163"/>
            <w:bookmarkStart w:id="603" w:name="_Toc352234758"/>
            <w:r w:rsidRPr="003410C7">
              <w:rPr>
                <w:rFonts w:ascii="Tahoma" w:hAnsi="Tahoma" w:cs="Tahoma"/>
                <w:b w:val="0"/>
                <w:sz w:val="14"/>
                <w:szCs w:val="14"/>
              </w:rPr>
              <w:t>Premium Add-on CAL Suite per Windows Small Business Server 2011 (5 client)</w:t>
            </w:r>
            <w:bookmarkEnd w:id="602"/>
            <w:bookmarkEnd w:id="603"/>
          </w:p>
        </w:tc>
        <w:tc>
          <w:tcPr>
            <w:tcW w:w="450" w:type="dxa"/>
            <w:tcBorders>
              <w:bottom w:val="single" w:sz="4" w:space="0" w:color="auto"/>
            </w:tcBorders>
            <w:shd w:val="clear" w:color="auto" w:fill="FABF8F"/>
            <w:vAlign w:val="center"/>
          </w:tcPr>
          <w:p w:rsidR="00A5643F" w:rsidRPr="009F17FF" w:rsidRDefault="00FC1A4D" w:rsidP="006615A9">
            <w:pPr>
              <w:pStyle w:val="TableText"/>
              <w:widowControl w:val="0"/>
              <w:rPr>
                <w:b/>
                <w:sz w:val="13"/>
                <w:szCs w:val="13"/>
                <w:u w:val="single"/>
              </w:rPr>
            </w:pPr>
            <w:hyperlink w:anchor="_112_Premium_Add-on" w:history="1">
              <w:r w:rsidR="00640DBE" w:rsidRPr="009F17FF">
                <w:rPr>
                  <w:rStyle w:val="Hyperlink"/>
                  <w:b/>
                  <w:sz w:val="13"/>
                  <w:szCs w:val="13"/>
                </w:rPr>
                <w:t>112</w:t>
              </w:r>
            </w:hyperlink>
          </w:p>
        </w:tc>
        <w:tc>
          <w:tcPr>
            <w:tcW w:w="450" w:type="dxa"/>
            <w:tcBorders>
              <w:bottom w:val="single" w:sz="4" w:space="0" w:color="auto"/>
            </w:tcBorders>
            <w:shd w:val="clear" w:color="auto" w:fill="FABF8F"/>
          </w:tcPr>
          <w:p w:rsidR="00A5643F" w:rsidRPr="003410C7" w:rsidRDefault="00A5643F" w:rsidP="00F97D54">
            <w:pPr>
              <w:pStyle w:val="TableText"/>
              <w:widowControl w:val="0"/>
              <w:spacing w:before="120"/>
              <w:rPr>
                <w:rFonts w:ascii="Tahoma" w:hAnsi="Tahoma" w:cs="Tahoma"/>
                <w:sz w:val="13"/>
              </w:rPr>
            </w:pPr>
            <w:r w:rsidRPr="003410C7">
              <w:rPr>
                <w:rFonts w:ascii="Tahoma" w:hAnsi="Tahoma" w:cs="Tahoma"/>
                <w:sz w:val="13"/>
              </w:rPr>
              <w:t>01/11</w:t>
            </w:r>
          </w:p>
        </w:tc>
        <w:tc>
          <w:tcPr>
            <w:tcW w:w="360" w:type="dxa"/>
            <w:tcBorders>
              <w:bottom w:val="single" w:sz="4" w:space="0" w:color="auto"/>
              <w:right w:val="single" w:sz="18" w:space="0" w:color="auto"/>
            </w:tcBorders>
            <w:shd w:val="clear" w:color="auto" w:fill="FABF8F"/>
            <w:vAlign w:val="center"/>
          </w:tcPr>
          <w:p w:rsidR="00A5643F" w:rsidRPr="003410C7" w:rsidRDefault="00A5643F" w:rsidP="00F97D54">
            <w:pPr>
              <w:pStyle w:val="TableText"/>
              <w:widowControl w:val="0"/>
              <w:rPr>
                <w:rFonts w:ascii="Tahoma" w:hAnsi="Tahoma" w:cs="Tahoma"/>
                <w:sz w:val="13"/>
              </w:rPr>
            </w:pPr>
            <w:r w:rsidRPr="003410C7">
              <w:rPr>
                <w:rFonts w:ascii="Tahoma" w:hAnsi="Tahoma" w:cs="Tahoma"/>
                <w:sz w:val="13"/>
              </w:rPr>
              <w:t>SRV</w:t>
            </w:r>
          </w:p>
        </w:tc>
        <w:tc>
          <w:tcPr>
            <w:tcW w:w="360" w:type="dxa"/>
            <w:tcBorders>
              <w:left w:val="single" w:sz="18" w:space="0" w:color="auto"/>
              <w:bottom w:val="single" w:sz="4" w:space="0" w:color="auto"/>
            </w:tcBorders>
            <w:shd w:val="clear" w:color="auto" w:fill="FABF8F"/>
            <w:vAlign w:val="center"/>
          </w:tcPr>
          <w:p w:rsidR="00A5643F" w:rsidRPr="003410C7" w:rsidRDefault="00A5643F" w:rsidP="00F97D54">
            <w:pPr>
              <w:pStyle w:val="TableText"/>
              <w:widowControl w:val="0"/>
              <w:rPr>
                <w:rFonts w:ascii="Tahoma" w:hAnsi="Tahoma" w:cs="Tahoma"/>
                <w:b/>
                <w:color w:val="FF0000"/>
                <w:sz w:val="13"/>
              </w:rPr>
            </w:pPr>
          </w:p>
        </w:tc>
        <w:tc>
          <w:tcPr>
            <w:tcW w:w="450" w:type="dxa"/>
            <w:tcBorders>
              <w:bottom w:val="single" w:sz="4" w:space="0" w:color="auto"/>
            </w:tcBorders>
            <w:shd w:val="clear" w:color="auto" w:fill="FABF8F"/>
            <w:vAlign w:val="center"/>
          </w:tcPr>
          <w:p w:rsidR="00A5643F" w:rsidRPr="003410C7" w:rsidRDefault="00A5643F" w:rsidP="00F97D54">
            <w:pPr>
              <w:pStyle w:val="TableText"/>
              <w:widowControl w:val="0"/>
              <w:rPr>
                <w:rFonts w:ascii="Tahoma" w:hAnsi="Tahoma" w:cs="Tahoma"/>
                <w:b/>
                <w:color w:val="008000"/>
                <w:sz w:val="13"/>
              </w:rPr>
            </w:pPr>
          </w:p>
        </w:tc>
        <w:tc>
          <w:tcPr>
            <w:tcW w:w="450" w:type="dxa"/>
            <w:tcBorders>
              <w:bottom w:val="single" w:sz="4" w:space="0" w:color="auto"/>
            </w:tcBorders>
            <w:shd w:val="clear" w:color="auto" w:fill="FABF8F"/>
            <w:vAlign w:val="center"/>
          </w:tcPr>
          <w:p w:rsidR="00A5643F" w:rsidRPr="003410C7" w:rsidRDefault="00A5643F" w:rsidP="00F97D54">
            <w:pPr>
              <w:pStyle w:val="TableText"/>
              <w:widowControl w:val="0"/>
              <w:rPr>
                <w:rFonts w:ascii="Tahoma" w:hAnsi="Tahoma" w:cs="Tahoma"/>
                <w:b/>
                <w:color w:val="008000"/>
                <w:sz w:val="13"/>
              </w:rPr>
            </w:pPr>
          </w:p>
        </w:tc>
        <w:tc>
          <w:tcPr>
            <w:tcW w:w="450" w:type="dxa"/>
            <w:tcBorders>
              <w:bottom w:val="single" w:sz="4" w:space="0" w:color="auto"/>
            </w:tcBorders>
            <w:shd w:val="clear" w:color="auto" w:fill="FABF8F"/>
            <w:vAlign w:val="center"/>
          </w:tcPr>
          <w:p w:rsidR="00A5643F" w:rsidRPr="003410C7" w:rsidRDefault="00A5643F" w:rsidP="00F97D54">
            <w:pPr>
              <w:pStyle w:val="TableText"/>
              <w:widowControl w:val="0"/>
              <w:rPr>
                <w:rFonts w:ascii="Tahoma" w:hAnsi="Tahoma" w:cs="Tahoma"/>
                <w:b/>
                <w:color w:val="008000"/>
                <w:sz w:val="13"/>
              </w:rPr>
            </w:pPr>
          </w:p>
        </w:tc>
        <w:tc>
          <w:tcPr>
            <w:tcW w:w="450" w:type="dxa"/>
            <w:tcBorders>
              <w:bottom w:val="single" w:sz="4" w:space="0" w:color="auto"/>
            </w:tcBorders>
            <w:shd w:val="clear" w:color="auto" w:fill="FABF8F"/>
            <w:vAlign w:val="center"/>
          </w:tcPr>
          <w:p w:rsidR="00A5643F" w:rsidRPr="003410C7" w:rsidRDefault="00A5643F" w:rsidP="00F97D54">
            <w:pPr>
              <w:pStyle w:val="TableText"/>
              <w:widowControl w:val="0"/>
              <w:rPr>
                <w:rFonts w:ascii="Tahoma" w:hAnsi="Tahoma" w:cs="Tahoma"/>
                <w:b/>
                <w:color w:val="0000FF"/>
                <w:sz w:val="13"/>
              </w:rPr>
            </w:pPr>
          </w:p>
        </w:tc>
        <w:tc>
          <w:tcPr>
            <w:tcW w:w="450" w:type="dxa"/>
            <w:tcBorders>
              <w:bottom w:val="single" w:sz="4" w:space="0" w:color="auto"/>
            </w:tcBorders>
            <w:shd w:val="clear" w:color="auto" w:fill="FABF8F"/>
            <w:vAlign w:val="center"/>
          </w:tcPr>
          <w:p w:rsidR="00A5643F" w:rsidRPr="003410C7" w:rsidRDefault="00A5643F" w:rsidP="00F97D54">
            <w:pPr>
              <w:pStyle w:val="TableText"/>
              <w:widowControl w:val="0"/>
              <w:rPr>
                <w:rFonts w:ascii="Tahoma" w:hAnsi="Tahoma" w:cs="Tahoma"/>
                <w:b/>
                <w:color w:val="0000FF"/>
                <w:sz w:val="13"/>
              </w:rPr>
            </w:pPr>
          </w:p>
        </w:tc>
        <w:tc>
          <w:tcPr>
            <w:tcW w:w="360" w:type="dxa"/>
            <w:tcBorders>
              <w:bottom w:val="single" w:sz="4" w:space="0" w:color="auto"/>
              <w:right w:val="single" w:sz="18" w:space="0" w:color="auto"/>
            </w:tcBorders>
            <w:shd w:val="clear" w:color="auto" w:fill="FABF8F"/>
            <w:vAlign w:val="center"/>
          </w:tcPr>
          <w:p w:rsidR="00A5643F" w:rsidRPr="003410C7" w:rsidRDefault="00A5643F" w:rsidP="00F97D54">
            <w:pPr>
              <w:pStyle w:val="TableText"/>
              <w:widowControl w:val="0"/>
              <w:rPr>
                <w:rFonts w:ascii="Tahoma" w:hAnsi="Tahoma" w:cs="Tahoma"/>
                <w:b/>
                <w:color w:val="0000FF"/>
                <w:sz w:val="13"/>
              </w:rPr>
            </w:pPr>
          </w:p>
        </w:tc>
        <w:tc>
          <w:tcPr>
            <w:tcW w:w="450" w:type="dxa"/>
            <w:tcBorders>
              <w:left w:val="single" w:sz="18" w:space="0" w:color="auto"/>
              <w:bottom w:val="single" w:sz="4" w:space="0" w:color="auto"/>
            </w:tcBorders>
            <w:shd w:val="clear" w:color="auto" w:fill="FABF8F"/>
            <w:vAlign w:val="center"/>
          </w:tcPr>
          <w:p w:rsidR="00A5643F" w:rsidRPr="003410C7" w:rsidRDefault="00A5643F" w:rsidP="00F97D54">
            <w:pPr>
              <w:pStyle w:val="TableText"/>
              <w:widowControl w:val="0"/>
              <w:rPr>
                <w:rFonts w:ascii="Tahoma" w:hAnsi="Tahoma" w:cs="Tahoma"/>
                <w:sz w:val="13"/>
              </w:rPr>
            </w:pPr>
            <w:r w:rsidRPr="003410C7">
              <w:rPr>
                <w:rFonts w:ascii="Tahoma" w:hAnsi="Tahoma" w:cs="Tahoma"/>
                <w:sz w:val="13"/>
              </w:rPr>
              <w:t>5</w:t>
            </w:r>
          </w:p>
        </w:tc>
        <w:tc>
          <w:tcPr>
            <w:tcW w:w="450" w:type="dxa"/>
            <w:tcBorders>
              <w:bottom w:val="single" w:sz="4" w:space="0" w:color="auto"/>
            </w:tcBorders>
            <w:shd w:val="clear" w:color="auto" w:fill="FABF8F"/>
            <w:vAlign w:val="center"/>
          </w:tcPr>
          <w:p w:rsidR="00A5643F" w:rsidRPr="003410C7" w:rsidRDefault="00A5643F" w:rsidP="00F97D54">
            <w:pPr>
              <w:pStyle w:val="TableText"/>
              <w:widowControl w:val="0"/>
              <w:rPr>
                <w:rFonts w:ascii="Tahoma" w:hAnsi="Tahoma" w:cs="Tahoma"/>
                <w:sz w:val="13"/>
              </w:rPr>
            </w:pPr>
            <w:r w:rsidRPr="003410C7">
              <w:rPr>
                <w:rFonts w:ascii="Tahoma" w:hAnsi="Tahoma" w:cs="Tahoma"/>
                <w:sz w:val="13"/>
              </w:rPr>
              <w:t>10</w:t>
            </w:r>
          </w:p>
        </w:tc>
        <w:tc>
          <w:tcPr>
            <w:tcW w:w="450" w:type="dxa"/>
            <w:tcBorders>
              <w:bottom w:val="single" w:sz="4" w:space="0" w:color="auto"/>
              <w:right w:val="single" w:sz="18" w:space="0" w:color="auto"/>
            </w:tcBorders>
            <w:shd w:val="clear" w:color="auto" w:fill="FABF8F"/>
            <w:vAlign w:val="center"/>
          </w:tcPr>
          <w:p w:rsidR="00A5643F" w:rsidRPr="003410C7" w:rsidRDefault="00A5643F" w:rsidP="00F97D54">
            <w:pPr>
              <w:pStyle w:val="TableText"/>
              <w:widowControl w:val="0"/>
              <w:rPr>
                <w:rFonts w:ascii="Tahoma" w:hAnsi="Tahoma" w:cs="Tahoma"/>
                <w:sz w:val="13"/>
              </w:rPr>
            </w:pPr>
            <w:r w:rsidRPr="003410C7">
              <w:rPr>
                <w:rFonts w:ascii="Tahoma" w:hAnsi="Tahoma" w:cs="Tahoma"/>
                <w:sz w:val="13"/>
              </w:rPr>
              <w:t>5</w:t>
            </w:r>
          </w:p>
        </w:tc>
        <w:tc>
          <w:tcPr>
            <w:tcW w:w="450" w:type="dxa"/>
            <w:tcBorders>
              <w:left w:val="single" w:sz="18" w:space="0" w:color="auto"/>
              <w:bottom w:val="single" w:sz="4" w:space="0" w:color="auto"/>
            </w:tcBorders>
            <w:shd w:val="clear" w:color="auto" w:fill="FABF8F"/>
            <w:vAlign w:val="center"/>
          </w:tcPr>
          <w:p w:rsidR="00A5643F" w:rsidRPr="003410C7" w:rsidRDefault="00A5643F" w:rsidP="00F97D54">
            <w:pPr>
              <w:pStyle w:val="TableText"/>
              <w:widowControl w:val="0"/>
              <w:rPr>
                <w:rFonts w:ascii="Tahoma" w:hAnsi="Tahoma" w:cs="Tahoma"/>
                <w:sz w:val="13"/>
              </w:rPr>
            </w:pPr>
            <w:r w:rsidRPr="003410C7">
              <w:rPr>
                <w:rFonts w:ascii="Tahoma" w:hAnsi="Tahoma" w:cs="Tahoma"/>
                <w:sz w:val="13"/>
              </w:rPr>
              <w:t>5</w:t>
            </w:r>
          </w:p>
        </w:tc>
        <w:tc>
          <w:tcPr>
            <w:tcW w:w="450" w:type="dxa"/>
            <w:tcBorders>
              <w:bottom w:val="single" w:sz="4" w:space="0" w:color="auto"/>
              <w:right w:val="single" w:sz="18" w:space="0" w:color="auto"/>
            </w:tcBorders>
            <w:shd w:val="clear" w:color="auto" w:fill="FABF8F"/>
            <w:vAlign w:val="center"/>
          </w:tcPr>
          <w:p w:rsidR="00A5643F" w:rsidRPr="003410C7" w:rsidRDefault="00A5643F" w:rsidP="00F97D54">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rsidR="00A5643F" w:rsidRPr="003410C7" w:rsidRDefault="00A5643F" w:rsidP="00F97D54">
            <w:pPr>
              <w:pStyle w:val="TableText"/>
              <w:widowControl w:val="0"/>
              <w:rPr>
                <w:rFonts w:ascii="Tahoma" w:hAnsi="Tahoma" w:cs="Tahoma"/>
                <w:sz w:val="13"/>
              </w:rPr>
            </w:pPr>
            <w:r w:rsidRPr="003410C7">
              <w:rPr>
                <w:rFonts w:ascii="Tahoma" w:hAnsi="Tahoma" w:cs="Tahoma"/>
                <w:sz w:val="13"/>
              </w:rPr>
              <w:t>P</w:t>
            </w:r>
          </w:p>
        </w:tc>
        <w:tc>
          <w:tcPr>
            <w:tcW w:w="450" w:type="dxa"/>
            <w:tcBorders>
              <w:bottom w:val="single" w:sz="4" w:space="0" w:color="auto"/>
            </w:tcBorders>
            <w:shd w:val="clear" w:color="auto" w:fill="FABF8F"/>
          </w:tcPr>
          <w:p w:rsidR="00A5643F" w:rsidRPr="003410C7" w:rsidRDefault="00A5643F" w:rsidP="00F97D54">
            <w:pPr>
              <w:pStyle w:val="TableText"/>
              <w:widowControl w:val="0"/>
              <w:rPr>
                <w:rFonts w:ascii="Tahoma" w:hAnsi="Tahoma" w:cs="Tahoma"/>
                <w:sz w:val="13"/>
              </w:rPr>
            </w:pPr>
            <w:r w:rsidRPr="003410C7">
              <w:rPr>
                <w:rFonts w:ascii="Tahoma" w:hAnsi="Tahoma" w:cs="Tahoma"/>
                <w:sz w:val="13"/>
              </w:rPr>
              <w:t>A</w:t>
            </w:r>
          </w:p>
        </w:tc>
        <w:tc>
          <w:tcPr>
            <w:tcW w:w="540" w:type="dxa"/>
            <w:tcBorders>
              <w:bottom w:val="single" w:sz="4" w:space="0" w:color="auto"/>
            </w:tcBorders>
            <w:shd w:val="clear" w:color="auto" w:fill="FABF8F"/>
            <w:vAlign w:val="center"/>
          </w:tcPr>
          <w:p w:rsidR="00A5643F" w:rsidRPr="003410C7" w:rsidRDefault="00A5643F" w:rsidP="00F97D54">
            <w:pPr>
              <w:pStyle w:val="TableText"/>
              <w:widowControl w:val="0"/>
              <w:rPr>
                <w:rFonts w:ascii="Tahoma" w:hAnsi="Tahoma" w:cs="Tahoma"/>
                <w:sz w:val="13"/>
              </w:rPr>
            </w:pPr>
            <w:r w:rsidRPr="003410C7">
              <w:rPr>
                <w:rFonts w:ascii="Tahoma" w:hAnsi="Tahoma" w:cs="Tahoma"/>
                <w:sz w:val="13"/>
              </w:rPr>
              <w:t>OL/OV</w:t>
            </w:r>
          </w:p>
        </w:tc>
      </w:tr>
      <w:tr w:rsidR="00A5643F" w:rsidRPr="003410C7" w:rsidTr="006B1F3F">
        <w:trPr>
          <w:gridBefore w:val="1"/>
          <w:wBefore w:w="20" w:type="dxa"/>
          <w:trHeight w:val="440"/>
        </w:trPr>
        <w:tc>
          <w:tcPr>
            <w:tcW w:w="2714" w:type="dxa"/>
            <w:tcBorders>
              <w:bottom w:val="single" w:sz="4" w:space="0" w:color="auto"/>
            </w:tcBorders>
            <w:shd w:val="clear" w:color="auto" w:fill="auto"/>
            <w:vAlign w:val="center"/>
          </w:tcPr>
          <w:p w:rsidR="00A5643F" w:rsidRPr="003410C7" w:rsidRDefault="00A5643F" w:rsidP="002E5D03">
            <w:pPr>
              <w:pStyle w:val="Heading2"/>
              <w:spacing w:before="20" w:after="20"/>
              <w:ind w:left="0"/>
              <w:rPr>
                <w:rFonts w:ascii="Tahoma" w:hAnsi="Tahoma" w:cs="Tahoma"/>
                <w:b w:val="0"/>
                <w:sz w:val="14"/>
                <w:szCs w:val="14"/>
              </w:rPr>
            </w:pPr>
            <w:bookmarkStart w:id="604" w:name="_Toc336338164"/>
            <w:bookmarkStart w:id="605" w:name="_Toc352234759"/>
            <w:r w:rsidRPr="003410C7">
              <w:rPr>
                <w:rFonts w:ascii="Tahoma" w:hAnsi="Tahoma" w:cs="Tahoma"/>
                <w:b w:val="0"/>
                <w:sz w:val="14"/>
                <w:szCs w:val="14"/>
              </w:rPr>
              <w:t>Premium Add-on CAL Suite per Windows Small Business Server 2011 (20 client)</w:t>
            </w:r>
            <w:bookmarkEnd w:id="604"/>
            <w:bookmarkEnd w:id="605"/>
          </w:p>
        </w:tc>
        <w:tc>
          <w:tcPr>
            <w:tcW w:w="450" w:type="dxa"/>
            <w:tcBorders>
              <w:bottom w:val="single" w:sz="4" w:space="0" w:color="auto"/>
            </w:tcBorders>
            <w:shd w:val="clear" w:color="auto" w:fill="auto"/>
            <w:vAlign w:val="center"/>
          </w:tcPr>
          <w:p w:rsidR="00A5643F" w:rsidRPr="009F17FF" w:rsidRDefault="00FC1A4D" w:rsidP="006615A9">
            <w:pPr>
              <w:pStyle w:val="TableText"/>
              <w:widowControl w:val="0"/>
              <w:rPr>
                <w:b/>
                <w:sz w:val="13"/>
                <w:szCs w:val="13"/>
                <w:u w:val="single"/>
              </w:rPr>
            </w:pPr>
            <w:hyperlink w:anchor="_112_Premium_Add-on" w:history="1">
              <w:r w:rsidR="00640DBE" w:rsidRPr="009F17FF">
                <w:rPr>
                  <w:rStyle w:val="Hyperlink"/>
                  <w:b/>
                  <w:sz w:val="13"/>
                  <w:szCs w:val="13"/>
                </w:rPr>
                <w:t>112</w:t>
              </w:r>
            </w:hyperlink>
          </w:p>
        </w:tc>
        <w:tc>
          <w:tcPr>
            <w:tcW w:w="450" w:type="dxa"/>
            <w:tcBorders>
              <w:bottom w:val="single" w:sz="4" w:space="0" w:color="auto"/>
            </w:tcBorders>
            <w:shd w:val="clear" w:color="auto" w:fill="auto"/>
          </w:tcPr>
          <w:p w:rsidR="00A5643F" w:rsidRPr="003410C7" w:rsidRDefault="00A5643F" w:rsidP="00F97D54">
            <w:pPr>
              <w:pStyle w:val="TableText"/>
              <w:widowControl w:val="0"/>
              <w:spacing w:before="120"/>
              <w:rPr>
                <w:rFonts w:ascii="Tahoma" w:hAnsi="Tahoma" w:cs="Tahoma"/>
                <w:sz w:val="13"/>
              </w:rPr>
            </w:pPr>
            <w:r w:rsidRPr="003410C7">
              <w:rPr>
                <w:rFonts w:ascii="Tahoma" w:hAnsi="Tahoma" w:cs="Tahoma"/>
                <w:sz w:val="13"/>
              </w:rPr>
              <w:t>01/11</w:t>
            </w:r>
          </w:p>
        </w:tc>
        <w:tc>
          <w:tcPr>
            <w:tcW w:w="360" w:type="dxa"/>
            <w:tcBorders>
              <w:bottom w:val="single" w:sz="4" w:space="0" w:color="auto"/>
              <w:right w:val="single" w:sz="18" w:space="0" w:color="auto"/>
            </w:tcBorders>
            <w:shd w:val="clear" w:color="auto" w:fill="auto"/>
            <w:vAlign w:val="center"/>
          </w:tcPr>
          <w:p w:rsidR="00A5643F" w:rsidRPr="003410C7" w:rsidRDefault="00A5643F" w:rsidP="00F97D54">
            <w:pPr>
              <w:pStyle w:val="TableText"/>
              <w:widowControl w:val="0"/>
              <w:rPr>
                <w:rFonts w:ascii="Tahoma" w:hAnsi="Tahoma" w:cs="Tahoma"/>
                <w:sz w:val="13"/>
              </w:rPr>
            </w:pPr>
            <w:r w:rsidRPr="003410C7">
              <w:rPr>
                <w:rFonts w:ascii="Tahoma" w:hAnsi="Tahoma" w:cs="Tahoma"/>
                <w:sz w:val="13"/>
              </w:rPr>
              <w:t>SRV</w:t>
            </w:r>
          </w:p>
        </w:tc>
        <w:tc>
          <w:tcPr>
            <w:tcW w:w="360" w:type="dxa"/>
            <w:tcBorders>
              <w:left w:val="single" w:sz="18" w:space="0" w:color="auto"/>
              <w:bottom w:val="single" w:sz="4" w:space="0" w:color="auto"/>
            </w:tcBorders>
            <w:shd w:val="clear" w:color="auto" w:fill="auto"/>
            <w:vAlign w:val="center"/>
          </w:tcPr>
          <w:p w:rsidR="00A5643F" w:rsidRPr="003410C7" w:rsidRDefault="00A5643F" w:rsidP="00F97D54">
            <w:pPr>
              <w:pStyle w:val="TableText"/>
              <w:widowControl w:val="0"/>
              <w:rPr>
                <w:rFonts w:ascii="Tahoma" w:hAnsi="Tahoma" w:cs="Tahoma"/>
                <w:b/>
                <w:color w:val="FF0000"/>
                <w:sz w:val="13"/>
              </w:rPr>
            </w:pPr>
          </w:p>
        </w:tc>
        <w:tc>
          <w:tcPr>
            <w:tcW w:w="450" w:type="dxa"/>
            <w:tcBorders>
              <w:bottom w:val="single" w:sz="4" w:space="0" w:color="auto"/>
            </w:tcBorders>
            <w:shd w:val="clear" w:color="auto" w:fill="auto"/>
            <w:vAlign w:val="center"/>
          </w:tcPr>
          <w:p w:rsidR="00A5643F" w:rsidRPr="003410C7" w:rsidRDefault="00A5643F" w:rsidP="00F97D54">
            <w:pPr>
              <w:pStyle w:val="TableText"/>
              <w:widowControl w:val="0"/>
              <w:rPr>
                <w:rFonts w:ascii="Tahoma" w:hAnsi="Tahoma" w:cs="Tahoma"/>
                <w:b/>
                <w:color w:val="008000"/>
                <w:sz w:val="13"/>
              </w:rPr>
            </w:pPr>
          </w:p>
        </w:tc>
        <w:tc>
          <w:tcPr>
            <w:tcW w:w="450" w:type="dxa"/>
            <w:tcBorders>
              <w:bottom w:val="single" w:sz="4" w:space="0" w:color="auto"/>
            </w:tcBorders>
            <w:shd w:val="clear" w:color="auto" w:fill="auto"/>
            <w:vAlign w:val="center"/>
          </w:tcPr>
          <w:p w:rsidR="00A5643F" w:rsidRPr="003410C7" w:rsidRDefault="00A5643F" w:rsidP="00F97D54">
            <w:pPr>
              <w:pStyle w:val="TableText"/>
              <w:widowControl w:val="0"/>
              <w:rPr>
                <w:rFonts w:ascii="Tahoma" w:hAnsi="Tahoma" w:cs="Tahoma"/>
                <w:b/>
                <w:color w:val="008000"/>
                <w:sz w:val="13"/>
              </w:rPr>
            </w:pPr>
          </w:p>
        </w:tc>
        <w:tc>
          <w:tcPr>
            <w:tcW w:w="450" w:type="dxa"/>
            <w:tcBorders>
              <w:bottom w:val="single" w:sz="4" w:space="0" w:color="auto"/>
            </w:tcBorders>
            <w:shd w:val="clear" w:color="auto" w:fill="auto"/>
            <w:vAlign w:val="center"/>
          </w:tcPr>
          <w:p w:rsidR="00A5643F" w:rsidRPr="003410C7" w:rsidRDefault="00A5643F" w:rsidP="00F97D54">
            <w:pPr>
              <w:pStyle w:val="TableText"/>
              <w:widowControl w:val="0"/>
              <w:rPr>
                <w:rFonts w:ascii="Tahoma" w:hAnsi="Tahoma" w:cs="Tahoma"/>
                <w:b/>
                <w:color w:val="008000"/>
                <w:sz w:val="13"/>
              </w:rPr>
            </w:pPr>
          </w:p>
        </w:tc>
        <w:tc>
          <w:tcPr>
            <w:tcW w:w="450" w:type="dxa"/>
            <w:tcBorders>
              <w:bottom w:val="single" w:sz="4" w:space="0" w:color="auto"/>
            </w:tcBorders>
            <w:shd w:val="clear" w:color="auto" w:fill="auto"/>
            <w:vAlign w:val="center"/>
          </w:tcPr>
          <w:p w:rsidR="00A5643F" w:rsidRPr="003410C7" w:rsidRDefault="00A5643F" w:rsidP="00F97D54">
            <w:pPr>
              <w:pStyle w:val="TableText"/>
              <w:widowControl w:val="0"/>
              <w:rPr>
                <w:rFonts w:ascii="Tahoma" w:hAnsi="Tahoma" w:cs="Tahoma"/>
                <w:b/>
                <w:color w:val="0000FF"/>
                <w:sz w:val="13"/>
              </w:rPr>
            </w:pPr>
          </w:p>
        </w:tc>
        <w:tc>
          <w:tcPr>
            <w:tcW w:w="450" w:type="dxa"/>
            <w:tcBorders>
              <w:bottom w:val="single" w:sz="4" w:space="0" w:color="auto"/>
            </w:tcBorders>
            <w:shd w:val="clear" w:color="auto" w:fill="auto"/>
            <w:vAlign w:val="center"/>
          </w:tcPr>
          <w:p w:rsidR="00A5643F" w:rsidRPr="003410C7" w:rsidRDefault="00A5643F" w:rsidP="00F97D54">
            <w:pPr>
              <w:pStyle w:val="TableText"/>
              <w:widowControl w:val="0"/>
              <w:rPr>
                <w:rFonts w:ascii="Tahoma" w:hAnsi="Tahoma" w:cs="Tahoma"/>
                <w:b/>
                <w:color w:val="0000FF"/>
                <w:sz w:val="13"/>
              </w:rPr>
            </w:pPr>
          </w:p>
        </w:tc>
        <w:tc>
          <w:tcPr>
            <w:tcW w:w="360" w:type="dxa"/>
            <w:tcBorders>
              <w:bottom w:val="single" w:sz="4" w:space="0" w:color="auto"/>
              <w:right w:val="single" w:sz="18" w:space="0" w:color="auto"/>
            </w:tcBorders>
            <w:shd w:val="clear" w:color="auto" w:fill="auto"/>
            <w:vAlign w:val="center"/>
          </w:tcPr>
          <w:p w:rsidR="00A5643F" w:rsidRPr="003410C7" w:rsidRDefault="00A5643F" w:rsidP="00F97D54">
            <w:pPr>
              <w:pStyle w:val="TableText"/>
              <w:widowControl w:val="0"/>
              <w:rPr>
                <w:rFonts w:ascii="Tahoma" w:hAnsi="Tahoma" w:cs="Tahoma"/>
                <w:b/>
                <w:color w:val="0000FF"/>
                <w:sz w:val="13"/>
              </w:rPr>
            </w:pPr>
          </w:p>
        </w:tc>
        <w:tc>
          <w:tcPr>
            <w:tcW w:w="450" w:type="dxa"/>
            <w:tcBorders>
              <w:left w:val="single" w:sz="18" w:space="0" w:color="auto"/>
              <w:bottom w:val="single" w:sz="4" w:space="0" w:color="auto"/>
            </w:tcBorders>
            <w:shd w:val="clear" w:color="auto" w:fill="auto"/>
            <w:vAlign w:val="center"/>
          </w:tcPr>
          <w:p w:rsidR="00A5643F" w:rsidRPr="003410C7" w:rsidRDefault="00A5643F" w:rsidP="00F97D54">
            <w:pPr>
              <w:pStyle w:val="TableText"/>
              <w:widowControl w:val="0"/>
              <w:rPr>
                <w:rFonts w:ascii="Tahoma" w:hAnsi="Tahoma" w:cs="Tahoma"/>
                <w:sz w:val="13"/>
              </w:rPr>
            </w:pPr>
            <w:r w:rsidRPr="003410C7">
              <w:rPr>
                <w:rFonts w:ascii="Tahoma" w:hAnsi="Tahoma" w:cs="Tahoma"/>
                <w:sz w:val="13"/>
              </w:rPr>
              <w:t>25</w:t>
            </w:r>
          </w:p>
        </w:tc>
        <w:tc>
          <w:tcPr>
            <w:tcW w:w="450" w:type="dxa"/>
            <w:tcBorders>
              <w:bottom w:val="single" w:sz="4" w:space="0" w:color="auto"/>
            </w:tcBorders>
            <w:shd w:val="clear" w:color="auto" w:fill="auto"/>
            <w:vAlign w:val="center"/>
          </w:tcPr>
          <w:p w:rsidR="00A5643F" w:rsidRPr="003410C7" w:rsidRDefault="00A5643F" w:rsidP="00F97D54">
            <w:pPr>
              <w:pStyle w:val="TableText"/>
              <w:widowControl w:val="0"/>
              <w:rPr>
                <w:rFonts w:ascii="Tahoma" w:hAnsi="Tahoma" w:cs="Tahoma"/>
                <w:sz w:val="13"/>
              </w:rPr>
            </w:pPr>
            <w:r w:rsidRPr="003410C7">
              <w:rPr>
                <w:rFonts w:ascii="Tahoma" w:hAnsi="Tahoma" w:cs="Tahoma"/>
                <w:sz w:val="13"/>
              </w:rPr>
              <w:t>50</w:t>
            </w:r>
          </w:p>
        </w:tc>
        <w:tc>
          <w:tcPr>
            <w:tcW w:w="450" w:type="dxa"/>
            <w:tcBorders>
              <w:bottom w:val="single" w:sz="4" w:space="0" w:color="auto"/>
              <w:right w:val="single" w:sz="18" w:space="0" w:color="auto"/>
            </w:tcBorders>
            <w:shd w:val="clear" w:color="auto" w:fill="auto"/>
            <w:vAlign w:val="center"/>
          </w:tcPr>
          <w:p w:rsidR="00A5643F" w:rsidRPr="003410C7" w:rsidRDefault="00A5643F" w:rsidP="00F97D54">
            <w:pPr>
              <w:pStyle w:val="TableText"/>
              <w:widowControl w:val="0"/>
              <w:rPr>
                <w:rFonts w:ascii="Tahoma" w:hAnsi="Tahoma" w:cs="Tahoma"/>
                <w:sz w:val="13"/>
              </w:rPr>
            </w:pPr>
            <w:r w:rsidRPr="003410C7">
              <w:rPr>
                <w:rFonts w:ascii="Tahoma" w:hAnsi="Tahoma" w:cs="Tahoma"/>
                <w:sz w:val="13"/>
              </w:rPr>
              <w:t>25</w:t>
            </w:r>
          </w:p>
        </w:tc>
        <w:tc>
          <w:tcPr>
            <w:tcW w:w="450" w:type="dxa"/>
            <w:tcBorders>
              <w:left w:val="single" w:sz="18" w:space="0" w:color="auto"/>
              <w:bottom w:val="single" w:sz="4" w:space="0" w:color="auto"/>
            </w:tcBorders>
            <w:shd w:val="clear" w:color="auto" w:fill="auto"/>
            <w:vAlign w:val="center"/>
          </w:tcPr>
          <w:p w:rsidR="00A5643F" w:rsidRPr="003410C7" w:rsidRDefault="00A5643F" w:rsidP="00F97D54">
            <w:pPr>
              <w:pStyle w:val="TableText"/>
              <w:widowControl w:val="0"/>
              <w:rPr>
                <w:rFonts w:ascii="Tahoma" w:hAnsi="Tahoma" w:cs="Tahoma"/>
                <w:sz w:val="13"/>
              </w:rPr>
            </w:pPr>
            <w:r w:rsidRPr="003410C7">
              <w:rPr>
                <w:rFonts w:ascii="Tahoma" w:hAnsi="Tahoma" w:cs="Tahoma"/>
                <w:sz w:val="13"/>
              </w:rPr>
              <w:t>25</w:t>
            </w:r>
          </w:p>
        </w:tc>
        <w:tc>
          <w:tcPr>
            <w:tcW w:w="450" w:type="dxa"/>
            <w:tcBorders>
              <w:bottom w:val="single" w:sz="4" w:space="0" w:color="auto"/>
              <w:right w:val="single" w:sz="18" w:space="0" w:color="auto"/>
            </w:tcBorders>
            <w:shd w:val="clear" w:color="auto" w:fill="auto"/>
            <w:vAlign w:val="center"/>
          </w:tcPr>
          <w:p w:rsidR="00A5643F" w:rsidRPr="003410C7" w:rsidRDefault="00A5643F" w:rsidP="00F97D54">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rsidR="00A5643F" w:rsidRPr="003410C7" w:rsidRDefault="00A5643F" w:rsidP="00F97D54">
            <w:pPr>
              <w:pStyle w:val="TableText"/>
              <w:widowControl w:val="0"/>
              <w:rPr>
                <w:rFonts w:ascii="Tahoma" w:hAnsi="Tahoma" w:cs="Tahoma"/>
                <w:sz w:val="13"/>
              </w:rPr>
            </w:pPr>
            <w:r w:rsidRPr="003410C7">
              <w:rPr>
                <w:rFonts w:ascii="Tahoma" w:hAnsi="Tahoma" w:cs="Tahoma"/>
                <w:sz w:val="13"/>
              </w:rPr>
              <w:t>P</w:t>
            </w:r>
          </w:p>
        </w:tc>
        <w:tc>
          <w:tcPr>
            <w:tcW w:w="450" w:type="dxa"/>
            <w:tcBorders>
              <w:bottom w:val="single" w:sz="4" w:space="0" w:color="auto"/>
            </w:tcBorders>
            <w:shd w:val="clear" w:color="auto" w:fill="auto"/>
          </w:tcPr>
          <w:p w:rsidR="00A5643F" w:rsidRPr="003410C7" w:rsidRDefault="00A5643F" w:rsidP="00F97D54">
            <w:pPr>
              <w:pStyle w:val="TableText"/>
              <w:widowControl w:val="0"/>
              <w:rPr>
                <w:rFonts w:ascii="Tahoma" w:hAnsi="Tahoma" w:cs="Tahoma"/>
                <w:sz w:val="13"/>
              </w:rPr>
            </w:pPr>
            <w:r w:rsidRPr="003410C7">
              <w:rPr>
                <w:rFonts w:ascii="Tahoma" w:hAnsi="Tahoma" w:cs="Tahoma"/>
                <w:sz w:val="13"/>
              </w:rPr>
              <w:t>A</w:t>
            </w:r>
          </w:p>
        </w:tc>
        <w:tc>
          <w:tcPr>
            <w:tcW w:w="540" w:type="dxa"/>
            <w:tcBorders>
              <w:bottom w:val="single" w:sz="4" w:space="0" w:color="auto"/>
            </w:tcBorders>
            <w:shd w:val="clear" w:color="auto" w:fill="auto"/>
            <w:vAlign w:val="center"/>
          </w:tcPr>
          <w:p w:rsidR="00A5643F" w:rsidRPr="003410C7" w:rsidRDefault="00A5643F" w:rsidP="00F97D54">
            <w:pPr>
              <w:pStyle w:val="TableText"/>
              <w:widowControl w:val="0"/>
              <w:rPr>
                <w:rFonts w:ascii="Tahoma" w:hAnsi="Tahoma" w:cs="Tahoma"/>
                <w:sz w:val="13"/>
              </w:rPr>
            </w:pPr>
            <w:r w:rsidRPr="003410C7">
              <w:rPr>
                <w:rFonts w:ascii="Tahoma" w:hAnsi="Tahoma" w:cs="Tahoma"/>
                <w:color w:val="000000"/>
                <w:sz w:val="13"/>
              </w:rPr>
              <w:t>OL/OV</w:t>
            </w:r>
          </w:p>
        </w:tc>
      </w:tr>
      <w:tr w:rsidR="00A5643F" w:rsidRPr="003410C7" w:rsidTr="006B1F3F">
        <w:trPr>
          <w:gridBefore w:val="1"/>
          <w:wBefore w:w="20" w:type="dxa"/>
          <w:trHeight w:val="440"/>
        </w:trPr>
        <w:tc>
          <w:tcPr>
            <w:tcW w:w="2714" w:type="dxa"/>
            <w:tcBorders>
              <w:bottom w:val="single" w:sz="4" w:space="0" w:color="auto"/>
            </w:tcBorders>
            <w:shd w:val="clear" w:color="auto" w:fill="FABF8F"/>
            <w:vAlign w:val="center"/>
          </w:tcPr>
          <w:p w:rsidR="00A5643F" w:rsidRPr="003410C7" w:rsidRDefault="00A5643F" w:rsidP="00FE2D13">
            <w:pPr>
              <w:pStyle w:val="Heading2"/>
              <w:pageBreakBefore/>
              <w:spacing w:before="20" w:after="20"/>
              <w:ind w:left="0"/>
              <w:rPr>
                <w:rFonts w:ascii="Tahoma" w:hAnsi="Tahoma" w:cs="Tahoma"/>
                <w:b w:val="0"/>
                <w:sz w:val="14"/>
                <w:szCs w:val="14"/>
              </w:rPr>
            </w:pPr>
            <w:bookmarkStart w:id="606" w:name="_Toc336338165"/>
            <w:bookmarkStart w:id="607" w:name="_Toc352234760"/>
            <w:r w:rsidRPr="003410C7">
              <w:rPr>
                <w:rFonts w:ascii="Tahoma" w:hAnsi="Tahoma" w:cs="Tahoma"/>
                <w:b w:val="0"/>
                <w:sz w:val="14"/>
                <w:szCs w:val="14"/>
              </w:rPr>
              <w:lastRenderedPageBreak/>
              <w:t>Windows Server Essentials 2012</w:t>
            </w:r>
            <w:bookmarkEnd w:id="606"/>
            <w:bookmarkEnd w:id="607"/>
          </w:p>
        </w:tc>
        <w:tc>
          <w:tcPr>
            <w:tcW w:w="450" w:type="dxa"/>
            <w:tcBorders>
              <w:bottom w:val="single" w:sz="4" w:space="0" w:color="auto"/>
            </w:tcBorders>
            <w:shd w:val="clear" w:color="auto" w:fill="FABF8F"/>
            <w:vAlign w:val="center"/>
          </w:tcPr>
          <w:p w:rsidR="00A5643F" w:rsidRPr="009F17FF" w:rsidRDefault="00A5643F" w:rsidP="00FE2D13">
            <w:pPr>
              <w:pStyle w:val="TableText"/>
              <w:pageBreakBefore/>
              <w:rPr>
                <w:b/>
                <w:sz w:val="13"/>
                <w:szCs w:val="13"/>
                <w:u w:val="single"/>
              </w:rPr>
            </w:pPr>
          </w:p>
        </w:tc>
        <w:tc>
          <w:tcPr>
            <w:tcW w:w="450" w:type="dxa"/>
            <w:tcBorders>
              <w:bottom w:val="single" w:sz="4" w:space="0" w:color="auto"/>
            </w:tcBorders>
            <w:shd w:val="clear" w:color="auto" w:fill="FABF8F"/>
          </w:tcPr>
          <w:p w:rsidR="00A5643F" w:rsidRPr="003410C7" w:rsidRDefault="00A5643F" w:rsidP="00FE2D13">
            <w:pPr>
              <w:pStyle w:val="TableText"/>
              <w:pageBreakBefore/>
              <w:spacing w:before="120"/>
              <w:rPr>
                <w:rFonts w:ascii="Tahoma" w:hAnsi="Tahoma" w:cs="Tahoma"/>
                <w:sz w:val="13"/>
              </w:rPr>
            </w:pPr>
            <w:r w:rsidRPr="003410C7">
              <w:rPr>
                <w:rFonts w:ascii="Tahoma" w:hAnsi="Tahoma" w:cs="Tahoma"/>
                <w:sz w:val="13"/>
              </w:rPr>
              <w:t>11/12</w:t>
            </w:r>
          </w:p>
        </w:tc>
        <w:tc>
          <w:tcPr>
            <w:tcW w:w="360" w:type="dxa"/>
            <w:tcBorders>
              <w:bottom w:val="single" w:sz="4" w:space="0" w:color="auto"/>
              <w:right w:val="single" w:sz="18" w:space="0" w:color="auto"/>
            </w:tcBorders>
            <w:shd w:val="clear" w:color="auto" w:fill="FABF8F"/>
            <w:vAlign w:val="center"/>
          </w:tcPr>
          <w:p w:rsidR="00A5643F" w:rsidRPr="003410C7" w:rsidRDefault="00A5643F" w:rsidP="00FE2D13">
            <w:pPr>
              <w:pStyle w:val="TableText"/>
              <w:pageBreakBefore/>
              <w:rPr>
                <w:rFonts w:ascii="Tahoma" w:hAnsi="Tahoma" w:cs="Tahoma"/>
                <w:sz w:val="13"/>
              </w:rPr>
            </w:pPr>
          </w:p>
        </w:tc>
        <w:tc>
          <w:tcPr>
            <w:tcW w:w="360" w:type="dxa"/>
            <w:tcBorders>
              <w:left w:val="single" w:sz="18" w:space="0" w:color="auto"/>
              <w:bottom w:val="single" w:sz="4" w:space="0" w:color="auto"/>
            </w:tcBorders>
            <w:shd w:val="clear" w:color="auto" w:fill="FABF8F"/>
            <w:vAlign w:val="center"/>
          </w:tcPr>
          <w:p w:rsidR="00A5643F" w:rsidRPr="003410C7" w:rsidRDefault="00A5643F" w:rsidP="00FE2D13">
            <w:pPr>
              <w:pStyle w:val="TableText"/>
              <w:pageBreakBefore/>
              <w:rPr>
                <w:rFonts w:ascii="Tahoma" w:hAnsi="Tahoma" w:cs="Tahoma"/>
                <w:b/>
                <w:color w:val="FF0000"/>
                <w:sz w:val="13"/>
              </w:rPr>
            </w:pPr>
          </w:p>
        </w:tc>
        <w:tc>
          <w:tcPr>
            <w:tcW w:w="450" w:type="dxa"/>
            <w:tcBorders>
              <w:bottom w:val="single" w:sz="4" w:space="0" w:color="auto"/>
            </w:tcBorders>
            <w:shd w:val="clear" w:color="auto" w:fill="FABF8F"/>
            <w:vAlign w:val="center"/>
          </w:tcPr>
          <w:p w:rsidR="00A5643F" w:rsidRPr="003410C7" w:rsidRDefault="00A5643F" w:rsidP="00FE2D13">
            <w:pPr>
              <w:pStyle w:val="TableText"/>
              <w:pageBreakBefore/>
              <w:rPr>
                <w:rFonts w:ascii="Tahoma" w:hAnsi="Tahoma" w:cs="Tahoma"/>
                <w:b/>
                <w:color w:val="008000"/>
                <w:sz w:val="13"/>
              </w:rPr>
            </w:pPr>
          </w:p>
        </w:tc>
        <w:tc>
          <w:tcPr>
            <w:tcW w:w="450" w:type="dxa"/>
            <w:tcBorders>
              <w:bottom w:val="single" w:sz="4" w:space="0" w:color="auto"/>
            </w:tcBorders>
            <w:shd w:val="clear" w:color="auto" w:fill="FABF8F"/>
            <w:vAlign w:val="center"/>
          </w:tcPr>
          <w:p w:rsidR="00A5643F" w:rsidRPr="003410C7" w:rsidRDefault="00A5643F" w:rsidP="00FE2D13">
            <w:pPr>
              <w:pStyle w:val="TableText"/>
              <w:pageBreakBefore/>
              <w:rPr>
                <w:rFonts w:ascii="Tahoma" w:hAnsi="Tahoma" w:cs="Tahoma"/>
                <w:b/>
                <w:color w:val="008000"/>
                <w:sz w:val="13"/>
              </w:rPr>
            </w:pPr>
          </w:p>
        </w:tc>
        <w:tc>
          <w:tcPr>
            <w:tcW w:w="450" w:type="dxa"/>
            <w:tcBorders>
              <w:bottom w:val="single" w:sz="4" w:space="0" w:color="auto"/>
            </w:tcBorders>
            <w:shd w:val="clear" w:color="auto" w:fill="FABF8F"/>
            <w:vAlign w:val="center"/>
          </w:tcPr>
          <w:p w:rsidR="00A5643F" w:rsidRPr="003410C7" w:rsidRDefault="00A5643F" w:rsidP="00FE2D13">
            <w:pPr>
              <w:pStyle w:val="TableText"/>
              <w:pageBreakBefore/>
              <w:rPr>
                <w:rFonts w:ascii="Tahoma" w:hAnsi="Tahoma" w:cs="Tahoma"/>
                <w:b/>
                <w:color w:val="008000"/>
                <w:sz w:val="13"/>
              </w:rPr>
            </w:pPr>
          </w:p>
        </w:tc>
        <w:tc>
          <w:tcPr>
            <w:tcW w:w="450" w:type="dxa"/>
            <w:tcBorders>
              <w:bottom w:val="single" w:sz="4" w:space="0" w:color="auto"/>
            </w:tcBorders>
            <w:shd w:val="clear" w:color="auto" w:fill="FABF8F"/>
            <w:vAlign w:val="center"/>
          </w:tcPr>
          <w:p w:rsidR="00A5643F" w:rsidRPr="003410C7" w:rsidRDefault="00A5643F" w:rsidP="00FE2D13">
            <w:pPr>
              <w:pStyle w:val="TableText"/>
              <w:pageBreakBefore/>
              <w:rPr>
                <w:rFonts w:ascii="Tahoma" w:hAnsi="Tahoma" w:cs="Tahoma"/>
                <w:b/>
                <w:color w:val="0000FF"/>
                <w:sz w:val="13"/>
              </w:rPr>
            </w:pPr>
          </w:p>
        </w:tc>
        <w:tc>
          <w:tcPr>
            <w:tcW w:w="450" w:type="dxa"/>
            <w:tcBorders>
              <w:bottom w:val="single" w:sz="4" w:space="0" w:color="auto"/>
            </w:tcBorders>
            <w:shd w:val="clear" w:color="auto" w:fill="FABF8F"/>
            <w:vAlign w:val="center"/>
          </w:tcPr>
          <w:p w:rsidR="00A5643F" w:rsidRPr="003410C7" w:rsidRDefault="00A5643F" w:rsidP="00FE2D13">
            <w:pPr>
              <w:pStyle w:val="TableText"/>
              <w:pageBreakBefore/>
              <w:rPr>
                <w:rFonts w:ascii="Tahoma" w:hAnsi="Tahoma" w:cs="Tahoma"/>
                <w:b/>
                <w:color w:val="0000FF"/>
                <w:sz w:val="13"/>
              </w:rPr>
            </w:pPr>
          </w:p>
        </w:tc>
        <w:tc>
          <w:tcPr>
            <w:tcW w:w="360" w:type="dxa"/>
            <w:tcBorders>
              <w:bottom w:val="single" w:sz="4" w:space="0" w:color="auto"/>
              <w:right w:val="single" w:sz="18" w:space="0" w:color="auto"/>
            </w:tcBorders>
            <w:shd w:val="clear" w:color="auto" w:fill="FABF8F"/>
            <w:vAlign w:val="center"/>
          </w:tcPr>
          <w:p w:rsidR="00A5643F" w:rsidRPr="003410C7" w:rsidRDefault="00A5643F" w:rsidP="00FE2D13">
            <w:pPr>
              <w:pStyle w:val="TableText"/>
              <w:pageBreakBefore/>
              <w:rPr>
                <w:rFonts w:ascii="Tahoma" w:hAnsi="Tahoma" w:cs="Tahoma"/>
                <w:b/>
                <w:color w:val="0000FF"/>
                <w:sz w:val="13"/>
              </w:rPr>
            </w:pPr>
          </w:p>
        </w:tc>
        <w:tc>
          <w:tcPr>
            <w:tcW w:w="450" w:type="dxa"/>
            <w:tcBorders>
              <w:left w:val="single" w:sz="18" w:space="0" w:color="auto"/>
              <w:bottom w:val="single" w:sz="4" w:space="0" w:color="auto"/>
            </w:tcBorders>
            <w:shd w:val="clear" w:color="auto" w:fill="FABF8F"/>
            <w:vAlign w:val="center"/>
          </w:tcPr>
          <w:p w:rsidR="00A5643F" w:rsidRPr="003410C7" w:rsidRDefault="00A5643F" w:rsidP="00FE2D13">
            <w:pPr>
              <w:pStyle w:val="TableText"/>
              <w:pageBreakBefore/>
              <w:rPr>
                <w:rFonts w:ascii="Tahoma" w:hAnsi="Tahoma" w:cs="Tahoma"/>
                <w:sz w:val="13"/>
              </w:rPr>
            </w:pPr>
            <w:r w:rsidRPr="003410C7">
              <w:rPr>
                <w:rFonts w:ascii="Tahoma" w:hAnsi="Tahoma" w:cs="Tahoma"/>
                <w:sz w:val="13"/>
              </w:rPr>
              <w:t>5</w:t>
            </w:r>
          </w:p>
        </w:tc>
        <w:tc>
          <w:tcPr>
            <w:tcW w:w="450" w:type="dxa"/>
            <w:tcBorders>
              <w:bottom w:val="single" w:sz="4" w:space="0" w:color="auto"/>
            </w:tcBorders>
            <w:shd w:val="clear" w:color="auto" w:fill="FABF8F"/>
            <w:vAlign w:val="center"/>
          </w:tcPr>
          <w:p w:rsidR="00A5643F" w:rsidRPr="003410C7" w:rsidRDefault="00A5643F" w:rsidP="00FE2D13">
            <w:pPr>
              <w:pStyle w:val="TableText"/>
              <w:pageBreakBefore/>
              <w:rPr>
                <w:rFonts w:ascii="Tahoma" w:hAnsi="Tahoma" w:cs="Tahoma"/>
                <w:sz w:val="13"/>
              </w:rPr>
            </w:pPr>
            <w:r w:rsidRPr="003410C7">
              <w:rPr>
                <w:rFonts w:ascii="Tahoma" w:hAnsi="Tahoma" w:cs="Tahoma"/>
                <w:sz w:val="13"/>
              </w:rPr>
              <w:t>10</w:t>
            </w:r>
          </w:p>
        </w:tc>
        <w:tc>
          <w:tcPr>
            <w:tcW w:w="450" w:type="dxa"/>
            <w:tcBorders>
              <w:bottom w:val="single" w:sz="4" w:space="0" w:color="auto"/>
              <w:right w:val="single" w:sz="18" w:space="0" w:color="auto"/>
            </w:tcBorders>
            <w:shd w:val="clear" w:color="auto" w:fill="FABF8F"/>
            <w:vAlign w:val="center"/>
          </w:tcPr>
          <w:p w:rsidR="00A5643F" w:rsidRPr="003410C7" w:rsidRDefault="00A5643F" w:rsidP="00FE2D13">
            <w:pPr>
              <w:pStyle w:val="TableText"/>
              <w:pageBreakBefore/>
              <w:rPr>
                <w:rFonts w:ascii="Tahoma" w:hAnsi="Tahoma" w:cs="Tahoma"/>
                <w:sz w:val="13"/>
              </w:rPr>
            </w:pPr>
            <w:r w:rsidRPr="003410C7">
              <w:rPr>
                <w:rFonts w:ascii="Tahoma" w:hAnsi="Tahoma" w:cs="Tahoma"/>
                <w:sz w:val="13"/>
              </w:rPr>
              <w:t>5</w:t>
            </w:r>
          </w:p>
        </w:tc>
        <w:tc>
          <w:tcPr>
            <w:tcW w:w="450" w:type="dxa"/>
            <w:tcBorders>
              <w:left w:val="single" w:sz="18" w:space="0" w:color="auto"/>
              <w:bottom w:val="single" w:sz="4" w:space="0" w:color="auto"/>
            </w:tcBorders>
            <w:shd w:val="clear" w:color="auto" w:fill="FABF8F"/>
            <w:vAlign w:val="center"/>
          </w:tcPr>
          <w:p w:rsidR="00A5643F" w:rsidRPr="003410C7" w:rsidRDefault="00A5643F" w:rsidP="00FE2D13">
            <w:pPr>
              <w:pStyle w:val="TableText"/>
              <w:pageBreakBefore/>
              <w:rPr>
                <w:rFonts w:ascii="Tahoma" w:hAnsi="Tahoma" w:cs="Tahoma"/>
                <w:sz w:val="13"/>
              </w:rPr>
            </w:pPr>
            <w:r w:rsidRPr="003410C7">
              <w:rPr>
                <w:rFonts w:ascii="Tahoma" w:hAnsi="Tahoma" w:cs="Tahoma"/>
                <w:sz w:val="13"/>
              </w:rPr>
              <w:t>5</w:t>
            </w:r>
          </w:p>
        </w:tc>
        <w:tc>
          <w:tcPr>
            <w:tcW w:w="450" w:type="dxa"/>
            <w:tcBorders>
              <w:bottom w:val="single" w:sz="4" w:space="0" w:color="auto"/>
              <w:right w:val="single" w:sz="18" w:space="0" w:color="auto"/>
            </w:tcBorders>
            <w:shd w:val="clear" w:color="auto" w:fill="FABF8F"/>
            <w:vAlign w:val="center"/>
          </w:tcPr>
          <w:p w:rsidR="00A5643F" w:rsidRPr="003410C7" w:rsidRDefault="00A5643F" w:rsidP="00FE2D13">
            <w:pPr>
              <w:pStyle w:val="TableText"/>
              <w:pageBreakBefore/>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rsidR="00A5643F" w:rsidRPr="003410C7" w:rsidRDefault="00A5643F" w:rsidP="00FE2D13">
            <w:pPr>
              <w:pStyle w:val="TableText"/>
              <w:pageBreakBefore/>
              <w:rPr>
                <w:rFonts w:ascii="Tahoma" w:hAnsi="Tahoma" w:cs="Tahoma"/>
                <w:sz w:val="13"/>
              </w:rPr>
            </w:pPr>
            <w:r w:rsidRPr="003410C7">
              <w:rPr>
                <w:rFonts w:ascii="Tahoma" w:hAnsi="Tahoma" w:cs="Tahoma"/>
                <w:sz w:val="13"/>
              </w:rPr>
              <w:t>P</w:t>
            </w:r>
          </w:p>
        </w:tc>
        <w:tc>
          <w:tcPr>
            <w:tcW w:w="450" w:type="dxa"/>
            <w:tcBorders>
              <w:bottom w:val="single" w:sz="4" w:space="0" w:color="auto"/>
            </w:tcBorders>
            <w:shd w:val="clear" w:color="auto" w:fill="FABF8F"/>
          </w:tcPr>
          <w:p w:rsidR="00A5643F" w:rsidRPr="003410C7" w:rsidRDefault="00A5643F" w:rsidP="00FE2D13">
            <w:pPr>
              <w:pStyle w:val="TableText"/>
              <w:pageBreakBefore/>
              <w:rPr>
                <w:rFonts w:ascii="Tahoma" w:hAnsi="Tahoma" w:cs="Tahoma"/>
                <w:sz w:val="13"/>
              </w:rPr>
            </w:pPr>
            <w:r w:rsidRPr="003410C7">
              <w:rPr>
                <w:rFonts w:ascii="Tahoma" w:hAnsi="Tahoma" w:cs="Tahoma"/>
                <w:sz w:val="13"/>
              </w:rPr>
              <w:t>A</w:t>
            </w:r>
          </w:p>
        </w:tc>
        <w:tc>
          <w:tcPr>
            <w:tcW w:w="540" w:type="dxa"/>
            <w:tcBorders>
              <w:bottom w:val="single" w:sz="4" w:space="0" w:color="auto"/>
            </w:tcBorders>
            <w:shd w:val="clear" w:color="auto" w:fill="FABF8F"/>
            <w:vAlign w:val="center"/>
          </w:tcPr>
          <w:p w:rsidR="00A5643F" w:rsidRPr="003410C7" w:rsidRDefault="00A5643F" w:rsidP="00FE2D13">
            <w:pPr>
              <w:pStyle w:val="TableText"/>
              <w:pageBreakBefore/>
              <w:rPr>
                <w:rFonts w:ascii="Tahoma" w:hAnsi="Tahoma" w:cs="Tahoma"/>
                <w:color w:val="000000"/>
                <w:sz w:val="13"/>
              </w:rPr>
            </w:pPr>
          </w:p>
        </w:tc>
      </w:tr>
      <w:tr w:rsidR="00A5643F" w:rsidRPr="003410C7" w:rsidTr="00A442F1">
        <w:trPr>
          <w:gridBefore w:val="1"/>
          <w:wBefore w:w="20" w:type="dxa"/>
          <w:cantSplit/>
          <w:trHeight w:val="145"/>
        </w:trPr>
        <w:tc>
          <w:tcPr>
            <w:tcW w:w="2714" w:type="dxa"/>
            <w:shd w:val="clear" w:color="auto" w:fill="auto"/>
            <w:vAlign w:val="center"/>
          </w:tcPr>
          <w:p w:rsidR="00A5643F" w:rsidRPr="003410C7" w:rsidRDefault="00A5643F" w:rsidP="00FE2D13">
            <w:pPr>
              <w:pStyle w:val="Heading2"/>
              <w:spacing w:before="20" w:after="20"/>
              <w:ind w:left="0"/>
              <w:rPr>
                <w:rFonts w:ascii="Tahoma" w:hAnsi="Tahoma" w:cs="Tahoma"/>
                <w:b w:val="0"/>
                <w:sz w:val="14"/>
                <w:szCs w:val="14"/>
              </w:rPr>
            </w:pPr>
            <w:bookmarkStart w:id="608" w:name="_Toc336338166"/>
            <w:bookmarkStart w:id="609" w:name="_Toc352234761"/>
            <w:r w:rsidRPr="003410C7">
              <w:rPr>
                <w:rFonts w:ascii="Tahoma" w:hAnsi="Tahoma" w:cs="Tahoma"/>
                <w:b w:val="0"/>
                <w:sz w:val="14"/>
                <w:szCs w:val="14"/>
              </w:rPr>
              <w:t>Windows Small Business Server 2011 Essentials</w:t>
            </w:r>
            <w:bookmarkEnd w:id="608"/>
            <w:bookmarkEnd w:id="609"/>
          </w:p>
        </w:tc>
        <w:tc>
          <w:tcPr>
            <w:tcW w:w="450" w:type="dxa"/>
            <w:shd w:val="clear" w:color="auto" w:fill="auto"/>
            <w:vAlign w:val="center"/>
          </w:tcPr>
          <w:p w:rsidR="00A5643F" w:rsidRPr="009F17FF" w:rsidRDefault="00FC1A4D" w:rsidP="00FE2D13">
            <w:pPr>
              <w:pStyle w:val="TableText"/>
              <w:widowControl w:val="0"/>
              <w:rPr>
                <w:b/>
                <w:sz w:val="13"/>
                <w:szCs w:val="13"/>
                <w:u w:val="single"/>
              </w:rPr>
            </w:pPr>
            <w:hyperlink w:anchor="_113_Premium_Add-on" w:history="1">
              <w:r w:rsidR="000D77F6" w:rsidRPr="00640DBE">
                <w:rPr>
                  <w:rStyle w:val="Hyperlink"/>
                  <w:b/>
                  <w:sz w:val="13"/>
                  <w:szCs w:val="13"/>
                </w:rPr>
                <w:t>113</w:t>
              </w:r>
            </w:hyperlink>
          </w:p>
        </w:tc>
        <w:tc>
          <w:tcPr>
            <w:tcW w:w="450" w:type="dxa"/>
            <w:shd w:val="clear" w:color="auto" w:fill="auto"/>
          </w:tcPr>
          <w:p w:rsidR="00A5643F" w:rsidRPr="003410C7" w:rsidRDefault="00A5643F" w:rsidP="00FE2D13">
            <w:pPr>
              <w:pStyle w:val="TableText"/>
              <w:widowControl w:val="0"/>
              <w:spacing w:before="120"/>
              <w:rPr>
                <w:rFonts w:ascii="Tahoma" w:hAnsi="Tahoma" w:cs="Tahoma"/>
                <w:sz w:val="13"/>
              </w:rPr>
            </w:pPr>
            <w:r w:rsidRPr="003410C7">
              <w:rPr>
                <w:rFonts w:ascii="Tahoma" w:hAnsi="Tahoma" w:cs="Tahoma"/>
                <w:sz w:val="13"/>
              </w:rPr>
              <w:t>05/11</w:t>
            </w:r>
          </w:p>
        </w:tc>
        <w:tc>
          <w:tcPr>
            <w:tcW w:w="360" w:type="dxa"/>
            <w:tcBorders>
              <w:right w:val="single" w:sz="18" w:space="0" w:color="auto"/>
            </w:tcBorders>
            <w:shd w:val="clear" w:color="auto" w:fill="auto"/>
            <w:vAlign w:val="center"/>
          </w:tcPr>
          <w:p w:rsidR="00A5643F" w:rsidRPr="003410C7" w:rsidRDefault="00A5643F" w:rsidP="00FE2D13">
            <w:pPr>
              <w:pStyle w:val="TableText"/>
              <w:widowControl w:val="0"/>
              <w:rPr>
                <w:rFonts w:ascii="Tahoma" w:hAnsi="Tahoma" w:cs="Tahoma"/>
                <w:sz w:val="13"/>
              </w:rPr>
            </w:pPr>
            <w:r w:rsidRPr="003410C7">
              <w:rPr>
                <w:rFonts w:ascii="Tahoma" w:hAnsi="Tahoma" w:cs="Tahoma"/>
                <w:sz w:val="13"/>
              </w:rPr>
              <w:t>SRV</w:t>
            </w:r>
          </w:p>
        </w:tc>
        <w:tc>
          <w:tcPr>
            <w:tcW w:w="360" w:type="dxa"/>
            <w:tcBorders>
              <w:left w:val="single" w:sz="18" w:space="0" w:color="auto"/>
            </w:tcBorders>
            <w:shd w:val="clear" w:color="auto" w:fill="auto"/>
            <w:vAlign w:val="center"/>
          </w:tcPr>
          <w:p w:rsidR="00A5643F" w:rsidRPr="003410C7" w:rsidRDefault="00A5643F" w:rsidP="00FE2D13">
            <w:pPr>
              <w:pStyle w:val="TableText"/>
              <w:widowControl w:val="0"/>
              <w:rPr>
                <w:rFonts w:ascii="Tahoma" w:hAnsi="Tahoma" w:cs="Tahoma"/>
                <w:color w:val="000000"/>
                <w:sz w:val="13"/>
              </w:rPr>
            </w:pPr>
          </w:p>
        </w:tc>
        <w:tc>
          <w:tcPr>
            <w:tcW w:w="450" w:type="dxa"/>
            <w:shd w:val="clear" w:color="auto" w:fill="auto"/>
            <w:vAlign w:val="center"/>
          </w:tcPr>
          <w:p w:rsidR="00A5643F" w:rsidRPr="003410C7" w:rsidRDefault="00A5643F" w:rsidP="00FE2D13">
            <w:pPr>
              <w:pStyle w:val="TableText"/>
              <w:widowControl w:val="0"/>
              <w:rPr>
                <w:rFonts w:ascii="Tahoma" w:hAnsi="Tahoma" w:cs="Tahoma"/>
                <w:color w:val="000000"/>
                <w:sz w:val="13"/>
              </w:rPr>
            </w:pPr>
          </w:p>
        </w:tc>
        <w:tc>
          <w:tcPr>
            <w:tcW w:w="450" w:type="dxa"/>
            <w:shd w:val="clear" w:color="auto" w:fill="auto"/>
            <w:vAlign w:val="center"/>
          </w:tcPr>
          <w:p w:rsidR="00A5643F" w:rsidRPr="003410C7" w:rsidRDefault="00A5643F" w:rsidP="00FE2D13">
            <w:pPr>
              <w:pStyle w:val="TableText"/>
              <w:widowControl w:val="0"/>
              <w:rPr>
                <w:rFonts w:ascii="Tahoma" w:hAnsi="Tahoma" w:cs="Tahoma"/>
                <w:color w:val="000000"/>
                <w:sz w:val="13"/>
              </w:rPr>
            </w:pPr>
          </w:p>
        </w:tc>
        <w:tc>
          <w:tcPr>
            <w:tcW w:w="450" w:type="dxa"/>
            <w:shd w:val="clear" w:color="auto" w:fill="auto"/>
            <w:vAlign w:val="center"/>
          </w:tcPr>
          <w:p w:rsidR="00A5643F" w:rsidRPr="003410C7" w:rsidRDefault="00A5643F" w:rsidP="00FE2D13">
            <w:pPr>
              <w:pStyle w:val="TableText"/>
              <w:widowControl w:val="0"/>
              <w:rPr>
                <w:rFonts w:ascii="Tahoma" w:hAnsi="Tahoma" w:cs="Tahoma"/>
                <w:color w:val="000000"/>
                <w:sz w:val="13"/>
              </w:rPr>
            </w:pPr>
          </w:p>
        </w:tc>
        <w:tc>
          <w:tcPr>
            <w:tcW w:w="450" w:type="dxa"/>
            <w:shd w:val="clear" w:color="auto" w:fill="auto"/>
            <w:vAlign w:val="center"/>
          </w:tcPr>
          <w:p w:rsidR="00A5643F" w:rsidRPr="003410C7" w:rsidRDefault="00A5643F" w:rsidP="00FE2D13">
            <w:pPr>
              <w:pStyle w:val="TableText"/>
              <w:widowControl w:val="0"/>
              <w:rPr>
                <w:rFonts w:ascii="Tahoma" w:hAnsi="Tahoma" w:cs="Tahoma"/>
                <w:color w:val="000000"/>
                <w:sz w:val="13"/>
              </w:rPr>
            </w:pPr>
          </w:p>
        </w:tc>
        <w:tc>
          <w:tcPr>
            <w:tcW w:w="450" w:type="dxa"/>
            <w:shd w:val="clear" w:color="auto" w:fill="auto"/>
            <w:vAlign w:val="center"/>
          </w:tcPr>
          <w:p w:rsidR="00A5643F" w:rsidRPr="003410C7" w:rsidRDefault="00A5643F" w:rsidP="00FE2D13">
            <w:pPr>
              <w:pStyle w:val="TableText"/>
              <w:widowControl w:val="0"/>
              <w:rPr>
                <w:rFonts w:ascii="Tahoma" w:hAnsi="Tahoma" w:cs="Tahoma"/>
                <w:color w:val="000000"/>
                <w:sz w:val="13"/>
              </w:rPr>
            </w:pPr>
          </w:p>
        </w:tc>
        <w:tc>
          <w:tcPr>
            <w:tcW w:w="360" w:type="dxa"/>
            <w:tcBorders>
              <w:right w:val="single" w:sz="18" w:space="0" w:color="auto"/>
            </w:tcBorders>
            <w:shd w:val="clear" w:color="auto" w:fill="auto"/>
            <w:vAlign w:val="center"/>
          </w:tcPr>
          <w:p w:rsidR="00A5643F" w:rsidRPr="003410C7" w:rsidRDefault="00A5643F" w:rsidP="00FE2D13">
            <w:pPr>
              <w:pStyle w:val="TableText"/>
              <w:widowControl w:val="0"/>
              <w:rPr>
                <w:rFonts w:ascii="Tahoma" w:hAnsi="Tahoma" w:cs="Tahoma"/>
                <w:color w:val="000000"/>
                <w:sz w:val="13"/>
              </w:rPr>
            </w:pPr>
          </w:p>
        </w:tc>
        <w:tc>
          <w:tcPr>
            <w:tcW w:w="450" w:type="dxa"/>
            <w:tcBorders>
              <w:left w:val="single" w:sz="18" w:space="0" w:color="auto"/>
            </w:tcBorders>
            <w:shd w:val="clear" w:color="auto" w:fill="auto"/>
            <w:vAlign w:val="center"/>
          </w:tcPr>
          <w:p w:rsidR="00A5643F" w:rsidRPr="003410C7" w:rsidRDefault="00A5643F" w:rsidP="00FE2D13">
            <w:pPr>
              <w:pStyle w:val="TableText"/>
              <w:widowControl w:val="0"/>
              <w:rPr>
                <w:rFonts w:ascii="Tahoma" w:hAnsi="Tahoma" w:cs="Tahoma"/>
                <w:color w:val="000000"/>
                <w:sz w:val="13"/>
              </w:rPr>
            </w:pPr>
          </w:p>
        </w:tc>
        <w:tc>
          <w:tcPr>
            <w:tcW w:w="450" w:type="dxa"/>
            <w:shd w:val="clear" w:color="auto" w:fill="auto"/>
            <w:vAlign w:val="center"/>
          </w:tcPr>
          <w:p w:rsidR="00A5643F" w:rsidRPr="003410C7" w:rsidRDefault="00A5643F" w:rsidP="00FE2D13">
            <w:pPr>
              <w:pStyle w:val="TableText"/>
              <w:widowControl w:val="0"/>
              <w:rPr>
                <w:rFonts w:ascii="Tahoma" w:hAnsi="Tahoma" w:cs="Tahoma"/>
                <w:sz w:val="13"/>
              </w:rPr>
            </w:pPr>
          </w:p>
        </w:tc>
        <w:tc>
          <w:tcPr>
            <w:tcW w:w="450" w:type="dxa"/>
            <w:tcBorders>
              <w:right w:val="single" w:sz="18" w:space="0" w:color="auto"/>
            </w:tcBorders>
            <w:shd w:val="clear" w:color="auto" w:fill="auto"/>
            <w:vAlign w:val="center"/>
          </w:tcPr>
          <w:p w:rsidR="00A5643F" w:rsidRPr="003410C7" w:rsidRDefault="00A5643F" w:rsidP="00FE2D13">
            <w:pPr>
              <w:pStyle w:val="TableText"/>
              <w:widowControl w:val="0"/>
              <w:rPr>
                <w:rFonts w:ascii="Tahoma" w:hAnsi="Tahoma" w:cs="Tahoma"/>
                <w:sz w:val="13"/>
              </w:rPr>
            </w:pPr>
          </w:p>
        </w:tc>
        <w:tc>
          <w:tcPr>
            <w:tcW w:w="450" w:type="dxa"/>
            <w:tcBorders>
              <w:left w:val="single" w:sz="18" w:space="0" w:color="auto"/>
            </w:tcBorders>
            <w:shd w:val="clear" w:color="auto" w:fill="auto"/>
            <w:vAlign w:val="center"/>
          </w:tcPr>
          <w:p w:rsidR="00A5643F" w:rsidRPr="003410C7" w:rsidRDefault="00A5643F" w:rsidP="00FE2D13">
            <w:pPr>
              <w:pStyle w:val="TableText"/>
              <w:widowControl w:val="0"/>
              <w:rPr>
                <w:rFonts w:ascii="Tahoma" w:hAnsi="Tahoma" w:cs="Tahoma"/>
                <w:sz w:val="13"/>
              </w:rPr>
            </w:pPr>
          </w:p>
        </w:tc>
        <w:tc>
          <w:tcPr>
            <w:tcW w:w="450" w:type="dxa"/>
            <w:tcBorders>
              <w:right w:val="single" w:sz="18" w:space="0" w:color="auto"/>
            </w:tcBorders>
            <w:shd w:val="clear" w:color="auto" w:fill="auto"/>
            <w:vAlign w:val="center"/>
          </w:tcPr>
          <w:p w:rsidR="00A5643F" w:rsidRPr="003410C7" w:rsidRDefault="00A5643F" w:rsidP="00FE2D13">
            <w:pPr>
              <w:pStyle w:val="TableText"/>
              <w:widowControl w:val="0"/>
              <w:rPr>
                <w:rFonts w:ascii="Tahoma" w:hAnsi="Tahoma" w:cs="Tahoma"/>
                <w:sz w:val="13"/>
              </w:rPr>
            </w:pPr>
          </w:p>
        </w:tc>
        <w:tc>
          <w:tcPr>
            <w:tcW w:w="450" w:type="dxa"/>
            <w:tcBorders>
              <w:left w:val="single" w:sz="18" w:space="0" w:color="auto"/>
              <w:right w:val="single" w:sz="18" w:space="0" w:color="auto"/>
            </w:tcBorders>
            <w:shd w:val="clear" w:color="auto" w:fill="auto"/>
            <w:vAlign w:val="center"/>
          </w:tcPr>
          <w:p w:rsidR="00A5643F" w:rsidRPr="003410C7" w:rsidRDefault="00A5643F" w:rsidP="00FE2D13">
            <w:pPr>
              <w:pStyle w:val="TableText"/>
              <w:widowControl w:val="0"/>
              <w:rPr>
                <w:rFonts w:ascii="Tahoma" w:hAnsi="Tahoma" w:cs="Tahoma"/>
                <w:sz w:val="13"/>
              </w:rPr>
            </w:pPr>
          </w:p>
        </w:tc>
        <w:tc>
          <w:tcPr>
            <w:tcW w:w="450" w:type="dxa"/>
            <w:shd w:val="clear" w:color="auto" w:fill="auto"/>
          </w:tcPr>
          <w:p w:rsidR="00A5643F" w:rsidRPr="003410C7" w:rsidRDefault="00A5643F" w:rsidP="00FE2D13">
            <w:pPr>
              <w:pStyle w:val="TableText"/>
              <w:widowControl w:val="0"/>
              <w:spacing w:before="60"/>
              <w:rPr>
                <w:rFonts w:ascii="Tahoma" w:hAnsi="Tahoma" w:cs="Tahoma"/>
                <w:sz w:val="13"/>
              </w:rPr>
            </w:pPr>
          </w:p>
        </w:tc>
        <w:tc>
          <w:tcPr>
            <w:tcW w:w="540" w:type="dxa"/>
            <w:shd w:val="clear" w:color="auto" w:fill="auto"/>
            <w:vAlign w:val="center"/>
          </w:tcPr>
          <w:p w:rsidR="00A5643F" w:rsidRPr="003410C7" w:rsidRDefault="00A5643F" w:rsidP="00FE2D13">
            <w:pPr>
              <w:pStyle w:val="TableText"/>
              <w:widowControl w:val="0"/>
              <w:rPr>
                <w:rFonts w:ascii="Tahoma" w:hAnsi="Tahoma" w:cs="Tahoma"/>
                <w:color w:val="000000"/>
                <w:sz w:val="13"/>
              </w:rPr>
            </w:pPr>
          </w:p>
        </w:tc>
      </w:tr>
      <w:tr w:rsidR="00CE1716" w:rsidRPr="003410C7" w:rsidTr="006B1F3F">
        <w:trPr>
          <w:gridBefore w:val="1"/>
          <w:wBefore w:w="20" w:type="dxa"/>
          <w:trHeight w:val="359"/>
        </w:trPr>
        <w:tc>
          <w:tcPr>
            <w:tcW w:w="2714" w:type="dxa"/>
            <w:tcBorders>
              <w:bottom w:val="single" w:sz="4" w:space="0" w:color="auto"/>
            </w:tcBorders>
            <w:shd w:val="clear" w:color="auto" w:fill="FABF8F"/>
            <w:vAlign w:val="center"/>
          </w:tcPr>
          <w:p w:rsidR="00CE1716" w:rsidRPr="003410C7" w:rsidRDefault="00CE1716" w:rsidP="00FE2D13">
            <w:pPr>
              <w:pStyle w:val="Heading2"/>
              <w:spacing w:before="20" w:after="20"/>
              <w:ind w:left="0"/>
              <w:rPr>
                <w:rFonts w:ascii="Tahoma" w:hAnsi="Tahoma" w:cs="Tahoma"/>
                <w:b w:val="0"/>
                <w:sz w:val="14"/>
                <w:szCs w:val="14"/>
              </w:rPr>
            </w:pPr>
            <w:bookmarkStart w:id="610" w:name="_Toc352234762"/>
            <w:r w:rsidRPr="003410C7">
              <w:rPr>
                <w:rFonts w:ascii="Tahoma" w:hAnsi="Tahoma" w:cs="Tahoma"/>
                <w:b w:val="0"/>
                <w:sz w:val="14"/>
                <w:szCs w:val="14"/>
              </w:rPr>
              <w:t>Windows Web Server 2008 R2</w:t>
            </w:r>
            <w:bookmarkEnd w:id="610"/>
          </w:p>
        </w:tc>
        <w:tc>
          <w:tcPr>
            <w:tcW w:w="450" w:type="dxa"/>
            <w:tcBorders>
              <w:bottom w:val="single" w:sz="4" w:space="0" w:color="auto"/>
            </w:tcBorders>
            <w:shd w:val="clear" w:color="auto" w:fill="FABF8F"/>
            <w:vAlign w:val="center"/>
          </w:tcPr>
          <w:p w:rsidR="00CE1716" w:rsidRPr="009F17FF" w:rsidRDefault="00FC1A4D" w:rsidP="00FE2D13">
            <w:pPr>
              <w:pStyle w:val="TableText"/>
              <w:widowControl w:val="0"/>
              <w:rPr>
                <w:rStyle w:val="EndnoteReference"/>
                <w:b w:val="0"/>
                <w:sz w:val="13"/>
                <w:szCs w:val="13"/>
                <w:u w:val="single"/>
              </w:rPr>
            </w:pPr>
            <w:hyperlink w:anchor="_114_Windows_Small" w:history="1">
              <w:r w:rsidR="000D77F6" w:rsidRPr="009F17FF">
                <w:rPr>
                  <w:rStyle w:val="Hyperlink"/>
                  <w:sz w:val="13"/>
                  <w:szCs w:val="13"/>
                </w:rPr>
                <w:t>114</w:t>
              </w:r>
            </w:hyperlink>
          </w:p>
        </w:tc>
        <w:tc>
          <w:tcPr>
            <w:tcW w:w="450" w:type="dxa"/>
            <w:tcBorders>
              <w:bottom w:val="single" w:sz="4" w:space="0" w:color="auto"/>
            </w:tcBorders>
            <w:shd w:val="clear" w:color="auto" w:fill="FABF8F"/>
            <w:vAlign w:val="center"/>
          </w:tcPr>
          <w:p w:rsidR="00CE1716" w:rsidRPr="003410C7" w:rsidRDefault="00CE1716" w:rsidP="00FE2D13">
            <w:pPr>
              <w:pStyle w:val="TableText"/>
              <w:widowControl w:val="0"/>
              <w:spacing w:before="120"/>
              <w:rPr>
                <w:rFonts w:ascii="Tahoma" w:hAnsi="Tahoma" w:cs="Tahoma"/>
                <w:color w:val="000000"/>
                <w:sz w:val="13"/>
              </w:rPr>
            </w:pPr>
            <w:r w:rsidRPr="003410C7">
              <w:rPr>
                <w:rFonts w:ascii="Tahoma" w:hAnsi="Tahoma" w:cs="Tahoma"/>
                <w:color w:val="000000"/>
                <w:sz w:val="13"/>
              </w:rPr>
              <w:t>08/09</w:t>
            </w:r>
          </w:p>
        </w:tc>
        <w:tc>
          <w:tcPr>
            <w:tcW w:w="360" w:type="dxa"/>
            <w:tcBorders>
              <w:bottom w:val="single" w:sz="4" w:space="0" w:color="auto"/>
              <w:right w:val="single" w:sz="18" w:space="0" w:color="auto"/>
            </w:tcBorders>
            <w:shd w:val="clear" w:color="auto" w:fill="FABF8F"/>
            <w:vAlign w:val="center"/>
          </w:tcPr>
          <w:p w:rsidR="00CE1716" w:rsidRPr="003410C7" w:rsidRDefault="00CE1716" w:rsidP="00FE2D13">
            <w:pPr>
              <w:pStyle w:val="TableText"/>
              <w:widowControl w:val="0"/>
              <w:rPr>
                <w:rFonts w:ascii="Tahoma" w:hAnsi="Tahoma" w:cs="Tahoma"/>
                <w:color w:val="000000"/>
                <w:sz w:val="13"/>
              </w:rPr>
            </w:pPr>
            <w:r w:rsidRPr="003410C7">
              <w:rPr>
                <w:rFonts w:ascii="Tahoma" w:hAnsi="Tahoma" w:cs="Tahoma"/>
                <w:color w:val="000000"/>
                <w:sz w:val="13"/>
              </w:rPr>
              <w:t>SRV</w:t>
            </w:r>
          </w:p>
        </w:tc>
        <w:tc>
          <w:tcPr>
            <w:tcW w:w="360" w:type="dxa"/>
            <w:tcBorders>
              <w:left w:val="single" w:sz="18" w:space="0" w:color="auto"/>
              <w:bottom w:val="single" w:sz="4" w:space="0" w:color="auto"/>
            </w:tcBorders>
            <w:shd w:val="clear" w:color="auto" w:fill="FABF8F"/>
            <w:vAlign w:val="center"/>
          </w:tcPr>
          <w:p w:rsidR="00CE1716" w:rsidRPr="003410C7" w:rsidRDefault="00CE1716" w:rsidP="00FE2D13">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CE1716" w:rsidRPr="003410C7" w:rsidRDefault="00CE1716" w:rsidP="00FE2D13">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CE1716" w:rsidRPr="003410C7" w:rsidRDefault="00CE1716" w:rsidP="00FE2D13">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CE1716" w:rsidRPr="003410C7" w:rsidRDefault="00CE1716" w:rsidP="00FE2D13">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CE1716" w:rsidRPr="003410C7" w:rsidRDefault="00CE1716" w:rsidP="00FE2D13">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CE1716" w:rsidRPr="003410C7" w:rsidRDefault="00CE1716" w:rsidP="00FE2D13">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rsidR="00CE1716" w:rsidRPr="003410C7" w:rsidRDefault="00CE1716" w:rsidP="00FE2D13">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CE1716" w:rsidRPr="003410C7" w:rsidRDefault="00CE1716" w:rsidP="00FE2D13">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CE1716" w:rsidRPr="003410C7" w:rsidRDefault="00CE1716" w:rsidP="00FE2D13">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CE1716" w:rsidRPr="003410C7" w:rsidRDefault="00CE1716" w:rsidP="00FE2D13">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CE1716" w:rsidRPr="003410C7" w:rsidRDefault="00CE1716" w:rsidP="00FE2D13">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CE1716" w:rsidRPr="003410C7" w:rsidRDefault="00CE1716" w:rsidP="00FE2D13">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rsidR="00CE1716" w:rsidRPr="003410C7" w:rsidRDefault="00CE1716" w:rsidP="00FE2D13">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CE1716" w:rsidRPr="003410C7" w:rsidRDefault="00CE1716" w:rsidP="00FE2D13">
            <w:pPr>
              <w:pStyle w:val="TableText"/>
              <w:widowControl w:val="0"/>
              <w:rPr>
                <w:rFonts w:ascii="Tahoma" w:hAnsi="Tahoma" w:cs="Tahoma"/>
                <w:color w:val="000000"/>
                <w:sz w:val="13"/>
              </w:rPr>
            </w:pPr>
          </w:p>
        </w:tc>
        <w:tc>
          <w:tcPr>
            <w:tcW w:w="540" w:type="dxa"/>
            <w:tcBorders>
              <w:bottom w:val="single" w:sz="4" w:space="0" w:color="auto"/>
            </w:tcBorders>
            <w:shd w:val="clear" w:color="auto" w:fill="FABF8F"/>
            <w:vAlign w:val="center"/>
          </w:tcPr>
          <w:p w:rsidR="00CE1716" w:rsidRPr="003410C7" w:rsidRDefault="00CE1716" w:rsidP="00FE2D13">
            <w:pPr>
              <w:pStyle w:val="TableText"/>
              <w:widowControl w:val="0"/>
              <w:rPr>
                <w:rFonts w:ascii="Tahoma" w:hAnsi="Tahoma" w:cs="Tahoma"/>
                <w:color w:val="000000"/>
                <w:sz w:val="13"/>
              </w:rPr>
            </w:pPr>
          </w:p>
        </w:tc>
      </w:tr>
      <w:tr w:rsidR="00A5643F" w:rsidRPr="003410C7" w:rsidTr="006B1F3F">
        <w:trPr>
          <w:gridBefore w:val="1"/>
          <w:wBefore w:w="20" w:type="dxa"/>
          <w:trHeight w:val="145"/>
        </w:trPr>
        <w:tc>
          <w:tcPr>
            <w:tcW w:w="2714" w:type="dxa"/>
            <w:tcBorders>
              <w:bottom w:val="single" w:sz="4" w:space="0" w:color="auto"/>
            </w:tcBorders>
            <w:shd w:val="clear" w:color="auto" w:fill="auto"/>
            <w:vAlign w:val="center"/>
          </w:tcPr>
          <w:p w:rsidR="00A5643F" w:rsidRPr="003410C7" w:rsidRDefault="00A5643F" w:rsidP="00FE2D13">
            <w:pPr>
              <w:pStyle w:val="Heading2"/>
              <w:spacing w:before="20" w:after="20"/>
              <w:ind w:left="0"/>
              <w:rPr>
                <w:rFonts w:ascii="Tahoma" w:hAnsi="Tahoma" w:cs="Tahoma"/>
                <w:b w:val="0"/>
                <w:sz w:val="14"/>
                <w:szCs w:val="14"/>
              </w:rPr>
            </w:pPr>
            <w:bookmarkStart w:id="611" w:name="_Toc352234763"/>
            <w:r w:rsidRPr="003410C7">
              <w:rPr>
                <w:rFonts w:ascii="Tahoma" w:hAnsi="Tahoma" w:cs="Tahoma"/>
                <w:b w:val="0"/>
                <w:sz w:val="14"/>
                <w:szCs w:val="14"/>
              </w:rPr>
              <w:t>Yammer Enterprise</w:t>
            </w:r>
            <w:bookmarkEnd w:id="611"/>
          </w:p>
        </w:tc>
        <w:tc>
          <w:tcPr>
            <w:tcW w:w="450" w:type="dxa"/>
            <w:tcBorders>
              <w:bottom w:val="single" w:sz="4" w:space="0" w:color="auto"/>
            </w:tcBorders>
            <w:shd w:val="clear" w:color="auto" w:fill="auto"/>
            <w:vAlign w:val="center"/>
          </w:tcPr>
          <w:p w:rsidR="00A5643F" w:rsidRPr="009F17FF" w:rsidRDefault="00A5643F" w:rsidP="00FE2D13">
            <w:pPr>
              <w:pStyle w:val="TableText"/>
              <w:widowControl w:val="0"/>
              <w:rPr>
                <w:sz w:val="13"/>
                <w:szCs w:val="13"/>
              </w:rPr>
            </w:pPr>
          </w:p>
        </w:tc>
        <w:tc>
          <w:tcPr>
            <w:tcW w:w="450" w:type="dxa"/>
            <w:tcBorders>
              <w:bottom w:val="single" w:sz="4" w:space="0" w:color="auto"/>
            </w:tcBorders>
            <w:shd w:val="clear" w:color="auto" w:fill="auto"/>
          </w:tcPr>
          <w:p w:rsidR="00A5643F" w:rsidRPr="003410C7" w:rsidRDefault="00A5643F" w:rsidP="00FE2D13">
            <w:pPr>
              <w:pStyle w:val="TableText"/>
              <w:widowControl w:val="0"/>
              <w:spacing w:before="120"/>
              <w:rPr>
                <w:rFonts w:ascii="Tahoma" w:hAnsi="Tahoma" w:cs="Tahoma"/>
                <w:sz w:val="13"/>
              </w:rPr>
            </w:pPr>
            <w:r w:rsidRPr="003410C7">
              <w:rPr>
                <w:rFonts w:ascii="Tahoma" w:hAnsi="Tahoma" w:cs="Tahoma"/>
                <w:sz w:val="13"/>
              </w:rPr>
              <w:t>03/13</w:t>
            </w:r>
          </w:p>
        </w:tc>
        <w:tc>
          <w:tcPr>
            <w:tcW w:w="360" w:type="dxa"/>
            <w:tcBorders>
              <w:bottom w:val="single" w:sz="4" w:space="0" w:color="auto"/>
              <w:right w:val="single" w:sz="18" w:space="0" w:color="auto"/>
            </w:tcBorders>
            <w:shd w:val="clear" w:color="auto" w:fill="auto"/>
            <w:vAlign w:val="center"/>
          </w:tcPr>
          <w:p w:rsidR="00A5643F" w:rsidRPr="003410C7" w:rsidRDefault="00A5643F" w:rsidP="00FE2D13">
            <w:pPr>
              <w:pStyle w:val="TableText"/>
              <w:widowControl w:val="0"/>
              <w:rPr>
                <w:rFonts w:ascii="Tahoma" w:hAnsi="Tahoma" w:cs="Tahoma"/>
                <w:sz w:val="13"/>
              </w:rPr>
            </w:pPr>
            <w:r w:rsidRPr="003410C7">
              <w:rPr>
                <w:rFonts w:ascii="Tahoma" w:hAnsi="Tahoma" w:cs="Tahoma"/>
                <w:sz w:val="13"/>
              </w:rPr>
              <w:t>SRV</w:t>
            </w:r>
          </w:p>
        </w:tc>
        <w:tc>
          <w:tcPr>
            <w:tcW w:w="360" w:type="dxa"/>
            <w:tcBorders>
              <w:left w:val="single" w:sz="18" w:space="0" w:color="auto"/>
              <w:bottom w:val="single" w:sz="4" w:space="0" w:color="auto"/>
            </w:tcBorders>
            <w:shd w:val="clear" w:color="auto" w:fill="auto"/>
            <w:vAlign w:val="center"/>
          </w:tcPr>
          <w:p w:rsidR="00A5643F" w:rsidRPr="003410C7" w:rsidRDefault="00A5643F" w:rsidP="00FE2D13">
            <w:pPr>
              <w:pStyle w:val="TableText"/>
              <w:widowControl w:val="0"/>
              <w:rPr>
                <w:rFonts w:ascii="Tahoma" w:hAnsi="Tahoma" w:cs="Tahoma"/>
                <w:color w:val="000000"/>
                <w:sz w:val="13"/>
              </w:rPr>
            </w:pPr>
          </w:p>
        </w:tc>
        <w:tc>
          <w:tcPr>
            <w:tcW w:w="450" w:type="dxa"/>
            <w:tcBorders>
              <w:bottom w:val="single" w:sz="4" w:space="0" w:color="auto"/>
            </w:tcBorders>
            <w:shd w:val="clear" w:color="auto" w:fill="auto"/>
            <w:vAlign w:val="center"/>
          </w:tcPr>
          <w:p w:rsidR="00A5643F" w:rsidRPr="003410C7" w:rsidRDefault="00A5643F" w:rsidP="00FE2D13">
            <w:pPr>
              <w:pStyle w:val="TableText"/>
              <w:widowControl w:val="0"/>
              <w:rPr>
                <w:rFonts w:ascii="Tahoma" w:hAnsi="Tahoma" w:cs="Tahoma"/>
                <w:color w:val="000000"/>
                <w:sz w:val="13"/>
              </w:rPr>
            </w:pPr>
          </w:p>
        </w:tc>
        <w:tc>
          <w:tcPr>
            <w:tcW w:w="450" w:type="dxa"/>
            <w:tcBorders>
              <w:bottom w:val="single" w:sz="4" w:space="0" w:color="auto"/>
            </w:tcBorders>
            <w:shd w:val="clear" w:color="auto" w:fill="auto"/>
            <w:vAlign w:val="center"/>
          </w:tcPr>
          <w:p w:rsidR="00A5643F" w:rsidRPr="003410C7" w:rsidRDefault="00A5643F" w:rsidP="00FE2D13">
            <w:pPr>
              <w:pStyle w:val="TableText"/>
              <w:widowControl w:val="0"/>
              <w:rPr>
                <w:rFonts w:ascii="Tahoma" w:hAnsi="Tahoma" w:cs="Tahoma"/>
                <w:color w:val="000000"/>
                <w:sz w:val="13"/>
              </w:rPr>
            </w:pPr>
          </w:p>
        </w:tc>
        <w:tc>
          <w:tcPr>
            <w:tcW w:w="450" w:type="dxa"/>
            <w:tcBorders>
              <w:bottom w:val="single" w:sz="4" w:space="0" w:color="auto"/>
            </w:tcBorders>
            <w:shd w:val="clear" w:color="auto" w:fill="auto"/>
            <w:vAlign w:val="center"/>
          </w:tcPr>
          <w:p w:rsidR="00A5643F" w:rsidRPr="003410C7" w:rsidRDefault="00A5643F" w:rsidP="00FE2D13">
            <w:pPr>
              <w:pStyle w:val="TableText"/>
              <w:widowControl w:val="0"/>
              <w:rPr>
                <w:rFonts w:ascii="Tahoma" w:hAnsi="Tahoma" w:cs="Tahoma"/>
                <w:color w:val="000000"/>
                <w:sz w:val="13"/>
              </w:rPr>
            </w:pPr>
          </w:p>
        </w:tc>
        <w:tc>
          <w:tcPr>
            <w:tcW w:w="450" w:type="dxa"/>
            <w:tcBorders>
              <w:bottom w:val="single" w:sz="4" w:space="0" w:color="auto"/>
            </w:tcBorders>
            <w:shd w:val="clear" w:color="auto" w:fill="auto"/>
            <w:vAlign w:val="center"/>
          </w:tcPr>
          <w:p w:rsidR="00A5643F" w:rsidRPr="003410C7" w:rsidRDefault="00A5643F" w:rsidP="00FE2D13">
            <w:pPr>
              <w:pStyle w:val="TableText"/>
              <w:widowControl w:val="0"/>
              <w:rPr>
                <w:rFonts w:ascii="Tahoma" w:hAnsi="Tahoma" w:cs="Tahoma"/>
                <w:color w:val="000000"/>
                <w:sz w:val="13"/>
              </w:rPr>
            </w:pPr>
          </w:p>
        </w:tc>
        <w:tc>
          <w:tcPr>
            <w:tcW w:w="450" w:type="dxa"/>
            <w:tcBorders>
              <w:bottom w:val="single" w:sz="4" w:space="0" w:color="auto"/>
            </w:tcBorders>
            <w:shd w:val="clear" w:color="auto" w:fill="auto"/>
            <w:vAlign w:val="center"/>
          </w:tcPr>
          <w:p w:rsidR="00A5643F" w:rsidRPr="003410C7" w:rsidRDefault="00A5643F" w:rsidP="00FE2D13">
            <w:pPr>
              <w:pStyle w:val="TableText"/>
              <w:widowControl w:val="0"/>
              <w:rPr>
                <w:rFonts w:ascii="Tahoma" w:hAnsi="Tahoma" w:cs="Tahoma"/>
                <w:color w:val="000000"/>
                <w:sz w:val="13"/>
              </w:rPr>
            </w:pPr>
          </w:p>
        </w:tc>
        <w:tc>
          <w:tcPr>
            <w:tcW w:w="360" w:type="dxa"/>
            <w:tcBorders>
              <w:bottom w:val="single" w:sz="4" w:space="0" w:color="auto"/>
              <w:right w:val="single" w:sz="18" w:space="0" w:color="auto"/>
            </w:tcBorders>
            <w:shd w:val="clear" w:color="auto" w:fill="auto"/>
            <w:vAlign w:val="center"/>
          </w:tcPr>
          <w:p w:rsidR="00A5643F" w:rsidRPr="003410C7" w:rsidRDefault="00A5643F" w:rsidP="00FE2D13">
            <w:pPr>
              <w:pStyle w:val="TableText"/>
              <w:widowControl w:val="0"/>
              <w:rPr>
                <w:rFonts w:ascii="Tahoma" w:hAnsi="Tahoma" w:cs="Tahoma"/>
                <w:color w:val="000000"/>
                <w:sz w:val="13"/>
              </w:rPr>
            </w:pPr>
          </w:p>
        </w:tc>
        <w:tc>
          <w:tcPr>
            <w:tcW w:w="450" w:type="dxa"/>
            <w:tcBorders>
              <w:left w:val="single" w:sz="18" w:space="0" w:color="auto"/>
              <w:bottom w:val="single" w:sz="4" w:space="0" w:color="auto"/>
            </w:tcBorders>
            <w:shd w:val="clear" w:color="auto" w:fill="auto"/>
            <w:vAlign w:val="center"/>
          </w:tcPr>
          <w:p w:rsidR="00A5643F" w:rsidRPr="003410C7" w:rsidRDefault="00A5643F" w:rsidP="00FE2D13">
            <w:pPr>
              <w:pStyle w:val="TableText"/>
              <w:widowControl w:val="0"/>
              <w:rPr>
                <w:rFonts w:ascii="Tahoma" w:hAnsi="Tahoma" w:cs="Tahoma"/>
                <w:color w:val="000000"/>
                <w:sz w:val="13"/>
              </w:rPr>
            </w:pPr>
          </w:p>
        </w:tc>
        <w:tc>
          <w:tcPr>
            <w:tcW w:w="450" w:type="dxa"/>
            <w:tcBorders>
              <w:bottom w:val="single" w:sz="4" w:space="0" w:color="auto"/>
            </w:tcBorders>
            <w:shd w:val="clear" w:color="auto" w:fill="auto"/>
            <w:vAlign w:val="center"/>
          </w:tcPr>
          <w:p w:rsidR="00A5643F" w:rsidRPr="003410C7" w:rsidRDefault="00A5643F" w:rsidP="00FE2D13">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A5643F" w:rsidRPr="003410C7" w:rsidRDefault="00A5643F" w:rsidP="00FE2D13">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A5643F" w:rsidRPr="003410C7" w:rsidRDefault="00A5643F" w:rsidP="00FE2D13">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A5643F" w:rsidRPr="003410C7" w:rsidRDefault="00A5643F" w:rsidP="00FE2D13">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rsidR="00A5643F" w:rsidRPr="003410C7" w:rsidRDefault="00A5643F" w:rsidP="00FE2D13">
            <w:pPr>
              <w:pStyle w:val="TableText"/>
              <w:widowControl w:val="0"/>
              <w:rPr>
                <w:rFonts w:ascii="Tahoma" w:hAnsi="Tahoma" w:cs="Tahoma"/>
                <w:sz w:val="13"/>
              </w:rPr>
            </w:pPr>
          </w:p>
        </w:tc>
        <w:tc>
          <w:tcPr>
            <w:tcW w:w="450" w:type="dxa"/>
            <w:tcBorders>
              <w:bottom w:val="single" w:sz="4" w:space="0" w:color="auto"/>
            </w:tcBorders>
            <w:shd w:val="clear" w:color="auto" w:fill="auto"/>
          </w:tcPr>
          <w:p w:rsidR="00A5643F" w:rsidRPr="003410C7" w:rsidRDefault="00A5643F" w:rsidP="00FE2D13">
            <w:pPr>
              <w:pStyle w:val="TableText"/>
              <w:widowControl w:val="0"/>
              <w:spacing w:before="60"/>
              <w:rPr>
                <w:rFonts w:ascii="Tahoma" w:hAnsi="Tahoma" w:cs="Tahoma"/>
                <w:sz w:val="13"/>
              </w:rPr>
            </w:pPr>
            <w:r w:rsidRPr="003410C7">
              <w:rPr>
                <w:rFonts w:ascii="Tahoma" w:hAnsi="Tahoma" w:cs="Tahoma"/>
                <w:sz w:val="13"/>
              </w:rPr>
              <w:t>A</w:t>
            </w:r>
          </w:p>
        </w:tc>
        <w:tc>
          <w:tcPr>
            <w:tcW w:w="540" w:type="dxa"/>
            <w:tcBorders>
              <w:bottom w:val="single" w:sz="4" w:space="0" w:color="auto"/>
            </w:tcBorders>
            <w:shd w:val="clear" w:color="auto" w:fill="auto"/>
            <w:vAlign w:val="center"/>
          </w:tcPr>
          <w:p w:rsidR="00A5643F" w:rsidRPr="003410C7" w:rsidRDefault="00A5643F" w:rsidP="00FE2D13">
            <w:pPr>
              <w:pStyle w:val="TableText"/>
              <w:widowControl w:val="0"/>
              <w:rPr>
                <w:rFonts w:ascii="Tahoma" w:hAnsi="Tahoma" w:cs="Tahoma"/>
                <w:color w:val="000000"/>
                <w:sz w:val="13"/>
              </w:rPr>
            </w:pPr>
          </w:p>
        </w:tc>
      </w:tr>
    </w:tbl>
    <w:bookmarkStart w:id="612" w:name="_Toc349586123"/>
    <w:bookmarkStart w:id="613" w:name="_Toc349586654"/>
    <w:bookmarkStart w:id="614" w:name="_Toc351113279"/>
    <w:bookmarkStart w:id="615" w:name="_Toc351362669"/>
    <w:bookmarkStart w:id="616" w:name="_Toc351378239"/>
    <w:bookmarkStart w:id="617" w:name="_Toc352234764"/>
    <w:bookmarkStart w:id="618" w:name="_Toc336338167"/>
    <w:p w:rsidR="00612FCC" w:rsidRPr="003410C7" w:rsidRDefault="00731840" w:rsidP="0037071B">
      <w:pPr>
        <w:pStyle w:val="Heading1"/>
      </w:pPr>
      <w:r>
        <w:rPr>
          <w:noProof/>
          <w:sz w:val="14"/>
          <w:lang w:val="en-US" w:eastAsia="en-US"/>
        </w:rPr>
        <mc:AlternateContent>
          <mc:Choice Requires="wps">
            <w:drawing>
              <wp:anchor distT="0" distB="0" distL="114300" distR="114300" simplePos="0" relativeHeight="251656704" behindDoc="0" locked="0" layoutInCell="1" allowOverlap="1">
                <wp:simplePos x="0" y="0"/>
                <wp:positionH relativeFrom="column">
                  <wp:posOffset>-331470</wp:posOffset>
                </wp:positionH>
                <wp:positionV relativeFrom="paragraph">
                  <wp:posOffset>117475</wp:posOffset>
                </wp:positionV>
                <wp:extent cx="6547485" cy="504190"/>
                <wp:effectExtent l="0" t="0" r="0" b="0"/>
                <wp:wrapTopAndBottom/>
                <wp:docPr id="8" name="Text Box 5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547485" cy="50419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F86FFF" w:rsidRPr="00451078" w:rsidRDefault="00F86FFF" w:rsidP="00C8780F">
                            <w:pPr>
                              <w:rPr>
                                <w:rFonts w:cs="Tahoma"/>
                                <w:i/>
                                <w:color w:val="000000"/>
                                <w:sz w:val="14"/>
                                <w:szCs w:val="14"/>
                                <w:lang w:val="it-IT"/>
                              </w:rPr>
                            </w:pPr>
                            <w:r w:rsidRPr="00451078">
                              <w:rPr>
                                <w:rFonts w:cs="Tahoma"/>
                                <w:i/>
                                <w:color w:val="000000"/>
                                <w:sz w:val="14"/>
                                <w:szCs w:val="14"/>
                                <w:lang w:val="it-IT"/>
                              </w:rPr>
                              <w:t>Nota: se la cella del prodotto è vuota significa che il prodotto non è attualmente offerto nel programma.</w:t>
                            </w:r>
                          </w:p>
                          <w:p w:rsidR="00F86FFF" w:rsidRPr="00451078" w:rsidRDefault="00F86FFF" w:rsidP="00C8780F">
                            <w:pPr>
                              <w:rPr>
                                <w:rFonts w:cs="Tahoma"/>
                                <w:i/>
                                <w:color w:val="000000"/>
                                <w:sz w:val="14"/>
                                <w:szCs w:val="14"/>
                                <w:lang w:val="it-IT"/>
                              </w:rPr>
                            </w:pPr>
                            <w:r w:rsidRPr="00451078">
                              <w:rPr>
                                <w:rFonts w:cs="Tahoma"/>
                                <w:i/>
                                <w:color w:val="000000"/>
                                <w:sz w:val="14"/>
                                <w:szCs w:val="14"/>
                                <w:lang w:val="it-IT"/>
                              </w:rPr>
                              <w:t>*Per quanto riguarda Select Plus verranno utilizzati solo i valori “L” e tre anni per “L&amp;SA” / “SA”.</w:t>
                            </w:r>
                          </w:p>
                          <w:p w:rsidR="00F86FFF" w:rsidRPr="00451078" w:rsidRDefault="00F86FFF" w:rsidP="00C8780F">
                            <w:pPr>
                              <w:rPr>
                                <w:lang w:val="it-IT"/>
                              </w:rPr>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xmlns:w15="http://schemas.microsoft.com/office/word/2012/wordml">
            <w:pict>
              <v:shape id="Text Box 59" o:spid="_x0000_s1029" type="#_x0000_t202" style="position:absolute;margin-left:-26.1pt;margin-top:9.25pt;width:515.55pt;height:39.7pt;z-index:2516567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wZnD3ugIAAMEFAAAOAAAAZHJzL2Uyb0RvYy54bWysVNtunDAQfa/Uf7D8TrjU7C4obJQsS1Up&#10;vUhJP8ALZrEKNrW9C2nVf+/Y7C3JS9WWB2R77DOXc2aub8auRXumNJciw+FVgBETpay42Gb462Ph&#10;LTDShoqKtlKwDD8xjW+Wb99cD33KItnItmIKAYjQ6dBnuDGmT31flw3rqL6SPRNgrKXqqIGt2vqV&#10;ogOgd60fBcHMH6SqeiVLpjWc5pMRLx1+XbPSfK5rzQxqMwyxGfdX7r+xf395TdOton3Dy0MY9C+i&#10;6CgX4PQElVND0U7xV1AdL5XUsjZXpex8Wde8ZC4HyCYMXmTz0NCeuVygOLo/lUn/P9jy0/6LQrzK&#10;MBAlaAcUPbLRoDs5ojix5Rl6ncKthx7umRHOgWaXqu7vZflNIyFXDRVbdquUHBpGKwgvtC/9i6cT&#10;jrYgm+GjrMAP3RnpgMZadbZ2UA0E6EDT04kaG0sJh7OYzMkixqgEWxyQMHHc+TQ9vu6VNu+Z7JBd&#10;ZFgB9Q6d7u+1sdHQ9HjFOhOy4G3r6G/FswO4OJ2Ab3hqbTYKx+bPJEjWi/WCeCSarT0S5Ll3W6yI&#10;NyvCeZy/y1erPPxl/YYkbXhVMWHdHJUVkj9j7qDxSRMnbWnZ8srC2ZC02m5WrUJ7Csou3OdqDpbz&#10;Nf95GK4IkMuLlMKIBHdR4hWzxdwjBYm9ZB4svCBM7pJZQBKSF89TuueC/XtKaMhwEkfxJKZz0C9y&#10;C9z3OjeadtzA7Gh5B+I9XaKpleBaVI5aQ3k7rS9KYcM/lwLoPhLtBGs1OqnVjJvRtca7Yx9sZPUE&#10;ClYSBAYyhbkHi0aqHxgNMEMyrL/vqGIYtR8EdEESEmKHjtuQeB7BRl1aNpcWKkqAyrDBaFquzDSo&#10;dr3i2wY8TX0n5C10Ts2dqG2LTVEd+g3mhMvtMNPsILrcu1vnybv8DQAA//8DAFBLAwQUAAYACAAA&#10;ACEAeoUxvt0AAAAJAQAADwAAAGRycy9kb3ducmV2LnhtbEyPwU7DMAyG70h7h8iTuG0JFWVtaToh&#10;EFcQYyBxyxqvrWicqsnW8vZ4J7jZ+j/9/lxuZ9eLM46h86ThZq1AINXedtRo2L8/rzIQIRqypveE&#10;Gn4wwLZaXJWmsH6iNzzvYiO4hEJhNLQxDoWUoW7RmbD2AxJnRz86E3kdG2lHM3G562Wi1J10piO+&#10;0JoBH1usv3cnp+Hj5fj1eatemyeXDpOflSSXS62vl/PDPYiIc/yD4aLP6lCx08GfyAbRa1ilScIo&#10;B1kKgoF8k+UgDpchB1mV8v8H1S8AAAD//wMAUEsBAi0AFAAGAAgAAAAhALaDOJL+AAAA4QEAABMA&#10;AAAAAAAAAAAAAAAAAAAAAFtDb250ZW50X1R5cGVzXS54bWxQSwECLQAUAAYACAAAACEAOP0h/9YA&#10;AACUAQAACwAAAAAAAAAAAAAAAAAvAQAAX3JlbHMvLnJlbHNQSwECLQAUAAYACAAAACEA8GZw97oC&#10;AADBBQAADgAAAAAAAAAAAAAAAAAuAgAAZHJzL2Uyb0RvYy54bWxQSwECLQAUAAYACAAAACEAeoUx&#10;vt0AAAAJAQAADwAAAAAAAAAAAAAAAAAUBQAAZHJzL2Rvd25yZXYueG1sUEsFBgAAAAAEAAQA8wAA&#10;AB4GAAAAAA==&#10;" filled="f" stroked="f">
                <v:textbox>
                  <w:txbxContent>
                    <w:p w:rsidR="00F86FFF" w:rsidRPr="00451078" w:rsidRDefault="00F86FFF" w:rsidP="00C8780F">
                      <w:pPr>
                        <w:rPr>
                          <w:rFonts w:cs="Tahoma"/>
                          <w:i/>
                          <w:color w:val="000000"/>
                          <w:sz w:val="14"/>
                          <w:szCs w:val="14"/>
                          <w:lang w:val="it-IT"/>
                        </w:rPr>
                      </w:pPr>
                      <w:r w:rsidRPr="00451078">
                        <w:rPr>
                          <w:rFonts w:cs="Tahoma"/>
                          <w:i/>
                          <w:color w:val="000000"/>
                          <w:sz w:val="14"/>
                          <w:szCs w:val="14"/>
                          <w:lang w:val="it-IT"/>
                        </w:rPr>
                        <w:t>Nota: se la cella del prodotto è vuota significa che il prodotto non è attualmente offerto nel programma.</w:t>
                      </w:r>
                    </w:p>
                    <w:p w:rsidR="00F86FFF" w:rsidRPr="00451078" w:rsidRDefault="00F86FFF" w:rsidP="00C8780F">
                      <w:pPr>
                        <w:rPr>
                          <w:rFonts w:cs="Tahoma"/>
                          <w:i/>
                          <w:color w:val="000000"/>
                          <w:sz w:val="14"/>
                          <w:szCs w:val="14"/>
                          <w:lang w:val="it-IT"/>
                        </w:rPr>
                      </w:pPr>
                      <w:r w:rsidRPr="00451078">
                        <w:rPr>
                          <w:rFonts w:cs="Tahoma"/>
                          <w:i/>
                          <w:color w:val="000000"/>
                          <w:sz w:val="14"/>
                          <w:szCs w:val="14"/>
                          <w:lang w:val="it-IT"/>
                        </w:rPr>
                        <w:t>*Per quanto riguarda Select Plus verranno utilizzati solo i valori “L” e tre anni per “L&amp;SA” / “SA”.</w:t>
                      </w:r>
                    </w:p>
                    <w:p w:rsidR="00F86FFF" w:rsidRPr="00451078" w:rsidRDefault="00F86FFF" w:rsidP="00C8780F">
                      <w:pPr>
                        <w:rPr>
                          <w:lang w:val="it-IT"/>
                        </w:rPr>
                      </w:pPr>
                    </w:p>
                  </w:txbxContent>
                </v:textbox>
                <w10:wrap type="topAndBottom"/>
              </v:shape>
            </w:pict>
          </mc:Fallback>
        </mc:AlternateContent>
      </w:r>
      <w:bookmarkEnd w:id="612"/>
      <w:bookmarkEnd w:id="613"/>
      <w:bookmarkEnd w:id="614"/>
      <w:bookmarkEnd w:id="615"/>
      <w:bookmarkEnd w:id="616"/>
      <w:bookmarkEnd w:id="617"/>
      <w:r w:rsidR="000D77F6" w:rsidRPr="003410C7">
        <w:br w:type="page"/>
      </w:r>
    </w:p>
    <w:p w:rsidR="00023FE7" w:rsidRPr="00451078" w:rsidRDefault="00A33112" w:rsidP="003F44D6">
      <w:pPr>
        <w:pStyle w:val="Heading1"/>
        <w:spacing w:before="0"/>
        <w:rPr>
          <w:lang w:val="it-IT"/>
        </w:rPr>
      </w:pPr>
      <w:bookmarkStart w:id="619" w:name="_Toc349586124"/>
      <w:bookmarkStart w:id="620" w:name="_Toc352234765"/>
      <w:r w:rsidRPr="00451078">
        <w:rPr>
          <w:lang w:val="it-IT"/>
        </w:rPr>
        <w:lastRenderedPageBreak/>
        <w:t>ARTICOLO 1 - Modifiche apportate alla LISTA DEI PRODOTTI</w:t>
      </w:r>
      <w:bookmarkEnd w:id="619"/>
      <w:r w:rsidRPr="00451078">
        <w:rPr>
          <w:lang w:val="it-IT"/>
        </w:rPr>
        <w:t xml:space="preserve"> negli ultimi 12 mesi</w:t>
      </w:r>
      <w:bookmarkEnd w:id="618"/>
      <w:bookmarkEnd w:id="620"/>
    </w:p>
    <w:p w:rsidR="0064651F" w:rsidRPr="002B01D6" w:rsidRDefault="0064651F" w:rsidP="004759C6">
      <w:pPr>
        <w:pStyle w:val="Heading2"/>
        <w:ind w:left="0"/>
        <w:jc w:val="both"/>
        <w:rPr>
          <w:rFonts w:ascii="Tahoma" w:hAnsi="Tahoma" w:cs="Tahoma"/>
          <w:b w:val="0"/>
          <w:bCs/>
          <w:sz w:val="18"/>
          <w:szCs w:val="18"/>
          <w:lang w:val="it-IT"/>
        </w:rPr>
      </w:pPr>
      <w:bookmarkStart w:id="621" w:name="_Toc336338168"/>
    </w:p>
    <w:p w:rsidR="00B65F35" w:rsidRPr="00451078" w:rsidRDefault="00B65F35" w:rsidP="00B65F35">
      <w:pPr>
        <w:pStyle w:val="Heading2"/>
        <w:ind w:left="0"/>
        <w:jc w:val="both"/>
        <w:rPr>
          <w:lang w:val="it-IT"/>
        </w:rPr>
      </w:pPr>
      <w:bookmarkStart w:id="622" w:name="_Toc352234766"/>
      <w:r w:rsidRPr="00451078">
        <w:rPr>
          <w:rFonts w:ascii="Tahoma" w:hAnsi="Tahoma" w:cs="Tahoma"/>
          <w:color w:val="FF6600"/>
          <w:lang w:val="it-IT"/>
        </w:rPr>
        <w:t>MODIFICHE APPORTATE NEL MESE DI APRILE 2013</w:t>
      </w:r>
      <w:bookmarkEnd w:id="622"/>
    </w:p>
    <w:p w:rsidR="00B65F35" w:rsidRPr="002B01D6" w:rsidRDefault="00B65F35" w:rsidP="004759C6">
      <w:pPr>
        <w:pStyle w:val="Heading2"/>
        <w:ind w:left="0"/>
        <w:jc w:val="both"/>
        <w:rPr>
          <w:rFonts w:ascii="Tahoma" w:hAnsi="Tahoma" w:cs="Tahoma"/>
          <w:b w:val="0"/>
          <w:bCs/>
          <w:sz w:val="18"/>
          <w:szCs w:val="18"/>
          <w:lang w:val="it-IT"/>
        </w:rPr>
      </w:pPr>
    </w:p>
    <w:p w:rsidR="00B65F35" w:rsidRPr="00451078" w:rsidRDefault="00B65F35" w:rsidP="00B65F35">
      <w:pPr>
        <w:spacing w:after="60"/>
        <w:rPr>
          <w:lang w:val="it-IT"/>
        </w:rPr>
      </w:pPr>
      <w:r w:rsidRPr="00451078">
        <w:rPr>
          <w:b/>
          <w:lang w:val="it-IT"/>
        </w:rPr>
        <w:t>Prodotti Aggiunti</w:t>
      </w:r>
    </w:p>
    <w:p w:rsidR="00D02D7A" w:rsidRPr="00451078" w:rsidRDefault="00D02D7A" w:rsidP="00D02D7A">
      <w:pPr>
        <w:rPr>
          <w:lang w:val="it-IT"/>
        </w:rPr>
      </w:pPr>
      <w:r w:rsidRPr="00451078">
        <w:rPr>
          <w:lang w:val="it-IT"/>
        </w:rPr>
        <w:t>Bing Maps Consumer Tracked Per Asset Monthly Sub</w:t>
      </w:r>
    </w:p>
    <w:p w:rsidR="00D02D7A" w:rsidRPr="00451078" w:rsidRDefault="00D02D7A" w:rsidP="00D02D7A">
      <w:pPr>
        <w:rPr>
          <w:lang w:val="it-IT"/>
        </w:rPr>
      </w:pPr>
      <w:r w:rsidRPr="00451078">
        <w:rPr>
          <w:lang w:val="it-IT"/>
        </w:rPr>
        <w:t>Bing Maps Desktop con Enhanced Content Pack</w:t>
      </w:r>
    </w:p>
    <w:p w:rsidR="00D02D7A" w:rsidRPr="003410C7" w:rsidRDefault="00D02D7A" w:rsidP="00D02D7A">
      <w:r w:rsidRPr="003410C7">
        <w:t>Bing Maps for Enterprise Platform Fee Monthly Sub</w:t>
      </w:r>
    </w:p>
    <w:p w:rsidR="00D02D7A" w:rsidRPr="003410C7" w:rsidRDefault="00D02D7A" w:rsidP="00D02D7A">
      <w:r w:rsidRPr="003410C7">
        <w:t>Bing Maps Public Website Usage 100K Transactions Monthly Sub</w:t>
      </w:r>
    </w:p>
    <w:p w:rsidR="00D02D7A" w:rsidRPr="003410C7" w:rsidRDefault="00D02D7A" w:rsidP="00D02D7A">
      <w:r w:rsidRPr="003410C7">
        <w:t>Bing Maps Public Website Usage 250K Transactions Monthly Sub</w:t>
      </w:r>
    </w:p>
    <w:p w:rsidR="00D02D7A" w:rsidRPr="003410C7" w:rsidRDefault="00D02D7A" w:rsidP="00D02D7A">
      <w:r w:rsidRPr="003410C7">
        <w:t>Bing Maps Public Website Usage 420K Transactions Monthly Sub</w:t>
      </w:r>
    </w:p>
    <w:p w:rsidR="00D02D7A" w:rsidRPr="003410C7" w:rsidRDefault="00D02D7A" w:rsidP="00D02D7A">
      <w:r w:rsidRPr="003410C7">
        <w:t>Bing Maps Public Website Usage 840K Transactions Monthly Sub</w:t>
      </w:r>
    </w:p>
    <w:p w:rsidR="00D02D7A" w:rsidRPr="003410C7" w:rsidRDefault="00D02D7A" w:rsidP="00D02D7A">
      <w:r w:rsidRPr="003410C7">
        <w:t>B</w:t>
      </w:r>
      <w:r w:rsidR="002D01D3">
        <w:t>ing Maps Public Website Usage 2,</w:t>
      </w:r>
      <w:r w:rsidRPr="003410C7">
        <w:t>5m Transactions Monthly Sub</w:t>
      </w:r>
    </w:p>
    <w:p w:rsidR="00D02D7A" w:rsidRPr="003410C7" w:rsidRDefault="00D02D7A" w:rsidP="00D02D7A">
      <w:r w:rsidRPr="003410C7">
        <w:t>B</w:t>
      </w:r>
      <w:r w:rsidR="002D01D3">
        <w:t>ing Maps Public Website Usage 4,</w:t>
      </w:r>
      <w:r w:rsidRPr="003410C7">
        <w:t>2m Transactions Monthly Sub</w:t>
      </w:r>
    </w:p>
    <w:p w:rsidR="00D02D7A" w:rsidRPr="003410C7" w:rsidRDefault="00D02D7A" w:rsidP="00D02D7A">
      <w:r w:rsidRPr="003410C7">
        <w:t>B</w:t>
      </w:r>
      <w:r w:rsidR="002D01D3">
        <w:t>ing Maps Public Website Usage 8,</w:t>
      </w:r>
      <w:r w:rsidRPr="003410C7">
        <w:t>4m Transactions Monthly Sub</w:t>
      </w:r>
    </w:p>
    <w:p w:rsidR="00D02D7A" w:rsidRPr="003410C7" w:rsidRDefault="00D02D7A" w:rsidP="00D02D7A">
      <w:r w:rsidRPr="003410C7">
        <w:t>Bing Maps Public Website Usage Unlimited Transactions Monthly Sub</w:t>
      </w:r>
    </w:p>
    <w:p w:rsidR="00D02D7A" w:rsidRPr="003410C7" w:rsidRDefault="00D02D7A" w:rsidP="00D02D7A">
      <w:r w:rsidRPr="003410C7">
        <w:t>Bing Maps Internal Website Usage 100K Transactions Monthly Sub</w:t>
      </w:r>
    </w:p>
    <w:p w:rsidR="00D02D7A" w:rsidRPr="003410C7" w:rsidRDefault="00D02D7A" w:rsidP="00D02D7A">
      <w:r w:rsidRPr="003410C7">
        <w:t>Bing Maps Internal Website Usage 250K Transactions Monthly Sub</w:t>
      </w:r>
    </w:p>
    <w:p w:rsidR="00D02D7A" w:rsidRPr="003410C7" w:rsidRDefault="00D02D7A" w:rsidP="00D02D7A">
      <w:r w:rsidRPr="003410C7">
        <w:t>Bing Maps Internal Website Usage 420K Transactions Monthly Sub</w:t>
      </w:r>
    </w:p>
    <w:p w:rsidR="00D02D7A" w:rsidRPr="003410C7" w:rsidRDefault="00D02D7A" w:rsidP="00D02D7A">
      <w:r w:rsidRPr="003410C7">
        <w:t>Bin</w:t>
      </w:r>
      <w:r w:rsidR="002D01D3">
        <w:t>g Maps Internal Website Usage 1,</w:t>
      </w:r>
      <w:r w:rsidRPr="003410C7">
        <w:t>25m Transactions Monthly Sub</w:t>
      </w:r>
    </w:p>
    <w:p w:rsidR="00D02D7A" w:rsidRPr="003410C7" w:rsidRDefault="00D02D7A" w:rsidP="00D02D7A">
      <w:r w:rsidRPr="003410C7">
        <w:t xml:space="preserve">Bing Maps </w:t>
      </w:r>
      <w:r w:rsidR="002D01D3">
        <w:t>Internal Website Usage 2,</w:t>
      </w:r>
      <w:r w:rsidRPr="003410C7">
        <w:t>1m Transactions Monthly Sub</w:t>
      </w:r>
    </w:p>
    <w:p w:rsidR="00D02D7A" w:rsidRPr="003410C7" w:rsidRDefault="00D02D7A" w:rsidP="00D02D7A">
      <w:r w:rsidRPr="003410C7">
        <w:t>Bing Maps Internal Website Usage Unlimited Transactions Monthly Sub</w:t>
      </w:r>
    </w:p>
    <w:p w:rsidR="00D02D7A" w:rsidRPr="00F86FFF" w:rsidRDefault="00CF3760" w:rsidP="00D02D7A">
      <w:pPr>
        <w:rPr>
          <w:highlight w:val="yellow"/>
        </w:rPr>
      </w:pPr>
      <w:r w:rsidRPr="00CF3760">
        <w:t>Bing Maps Per Known User Monthly Sub</w:t>
      </w:r>
    </w:p>
    <w:p w:rsidR="00D02D7A" w:rsidRPr="003410C7" w:rsidRDefault="007A5098" w:rsidP="00D02D7A">
      <w:r w:rsidRPr="007A5098">
        <w:t>Bing Maps Known User 5K Bundle Monthly Sub</w:t>
      </w:r>
    </w:p>
    <w:p w:rsidR="00D02D7A" w:rsidRPr="003410C7" w:rsidRDefault="00D02D7A" w:rsidP="00D02D7A">
      <w:r w:rsidRPr="003410C7">
        <w:t>Bing Maps Light Known Per User Monthly Sub</w:t>
      </w:r>
    </w:p>
    <w:p w:rsidR="00D02D7A" w:rsidRPr="003410C7" w:rsidRDefault="00D02D7A" w:rsidP="00D02D7A">
      <w:r w:rsidRPr="003410C7">
        <w:t>Bing Maps Light Known 5K User Bundle Monthly Sub</w:t>
      </w:r>
    </w:p>
    <w:p w:rsidR="00D02D7A" w:rsidRPr="003410C7" w:rsidRDefault="00D02D7A" w:rsidP="00D02D7A">
      <w:r w:rsidRPr="003410C7">
        <w:t>Bing Maps Mobile Asset Management Platform Fee Monthly Sub</w:t>
      </w:r>
    </w:p>
    <w:p w:rsidR="00D02D7A" w:rsidRPr="003410C7" w:rsidRDefault="00D02D7A" w:rsidP="00D02D7A">
      <w:r w:rsidRPr="003410C7">
        <w:t>Bing Maps Mobile Asset Management NA w routing Per Asset Monthly Sub</w:t>
      </w:r>
    </w:p>
    <w:p w:rsidR="00D02D7A" w:rsidRPr="003410C7" w:rsidRDefault="00D02D7A" w:rsidP="00D02D7A">
      <w:r w:rsidRPr="003410C7">
        <w:t>Bing Maps Mobile Asset Management NA w/o routing Per Asset Monthly Sub</w:t>
      </w:r>
    </w:p>
    <w:p w:rsidR="00D02D7A" w:rsidRPr="003410C7" w:rsidRDefault="00D02D7A" w:rsidP="00D02D7A">
      <w:r w:rsidRPr="003410C7">
        <w:t>Bing Maps Mobile Asset Management Europe w routing Per Asset Monthly Sub</w:t>
      </w:r>
    </w:p>
    <w:p w:rsidR="00D02D7A" w:rsidRPr="003410C7" w:rsidRDefault="00D02D7A" w:rsidP="00D02D7A">
      <w:r w:rsidRPr="003410C7">
        <w:t>Bing Maps Mobile Asset Management Europe w/o routing Per Asset Monthly Sub</w:t>
      </w:r>
    </w:p>
    <w:p w:rsidR="00D02D7A" w:rsidRPr="003410C7" w:rsidRDefault="00D02D7A" w:rsidP="00D02D7A">
      <w:r w:rsidRPr="003410C7">
        <w:t>Bing Maps Server</w:t>
      </w:r>
    </w:p>
    <w:p w:rsidR="00D02D7A" w:rsidRPr="003410C7" w:rsidRDefault="00D02D7A" w:rsidP="00D02D7A">
      <w:r w:rsidRPr="003410C7">
        <w:t>BizTalk</w:t>
      </w:r>
      <w:r w:rsidR="003410C7" w:rsidRPr="003410C7">
        <w:rPr>
          <w:vertAlign w:val="superscript"/>
        </w:rPr>
        <w:t>®</w:t>
      </w:r>
      <w:r w:rsidRPr="003410C7">
        <w:t xml:space="preserve"> Server 2013 Enterprise Edition </w:t>
      </w:r>
    </w:p>
    <w:p w:rsidR="00D02D7A" w:rsidRPr="003410C7" w:rsidRDefault="00D02D7A" w:rsidP="00D02D7A">
      <w:r w:rsidRPr="003410C7">
        <w:t>BizTalk</w:t>
      </w:r>
      <w:r w:rsidR="003410C7" w:rsidRPr="003410C7">
        <w:rPr>
          <w:vertAlign w:val="superscript"/>
        </w:rPr>
        <w:t>®</w:t>
      </w:r>
      <w:r w:rsidRPr="003410C7">
        <w:t xml:space="preserve"> Server 2013 Standard Edition </w:t>
      </w:r>
    </w:p>
    <w:p w:rsidR="00D02D7A" w:rsidRPr="003410C7" w:rsidRDefault="00D02D7A" w:rsidP="00D02D7A">
      <w:r w:rsidRPr="003410C7">
        <w:t>BizTalk</w:t>
      </w:r>
      <w:r w:rsidR="003410C7" w:rsidRPr="003410C7">
        <w:rPr>
          <w:vertAlign w:val="superscript"/>
        </w:rPr>
        <w:t>®</w:t>
      </w:r>
      <w:r w:rsidRPr="003410C7">
        <w:t xml:space="preserve"> Server 2013 Branch</w:t>
      </w:r>
    </w:p>
    <w:p w:rsidR="00D02D7A" w:rsidRPr="003410C7" w:rsidRDefault="00D02D7A" w:rsidP="00D02D7A">
      <w:r w:rsidRPr="003410C7">
        <w:t>BizTalk</w:t>
      </w:r>
      <w:r w:rsidR="003410C7" w:rsidRPr="003410C7">
        <w:rPr>
          <w:vertAlign w:val="superscript"/>
        </w:rPr>
        <w:t>®</w:t>
      </w:r>
      <w:r w:rsidRPr="003410C7">
        <w:t xml:space="preserve"> Server 2013 Branch IDC </w:t>
      </w:r>
    </w:p>
    <w:p w:rsidR="00D02D7A" w:rsidRPr="003410C7" w:rsidRDefault="00D02D7A" w:rsidP="00D02D7A">
      <w:r w:rsidRPr="003410C7">
        <w:t>BizTalk</w:t>
      </w:r>
      <w:r w:rsidR="003410C7" w:rsidRPr="003410C7">
        <w:rPr>
          <w:vertAlign w:val="superscript"/>
        </w:rPr>
        <w:t>®</w:t>
      </w:r>
      <w:r w:rsidRPr="003410C7">
        <w:t xml:space="preserve"> Server 2013 Standard Edition IDC </w:t>
      </w:r>
    </w:p>
    <w:p w:rsidR="00D02D7A" w:rsidRPr="00A348BF" w:rsidRDefault="00D02D7A" w:rsidP="00D02D7A">
      <w:pPr>
        <w:rPr>
          <w:lang w:val="it-IT"/>
        </w:rPr>
      </w:pPr>
      <w:r w:rsidRPr="00A348BF">
        <w:rPr>
          <w:lang w:val="it-IT"/>
        </w:rPr>
        <w:t>Office 365 Enterprise E1 (SL per Utente) (Pool di Applicazioni)</w:t>
      </w:r>
    </w:p>
    <w:p w:rsidR="00D02D7A" w:rsidRPr="00451078" w:rsidRDefault="00D02D7A" w:rsidP="00D02D7A">
      <w:pPr>
        <w:rPr>
          <w:lang w:val="it-IT"/>
        </w:rPr>
      </w:pPr>
      <w:r w:rsidRPr="00451078">
        <w:rPr>
          <w:lang w:val="it-IT"/>
        </w:rPr>
        <w:t>Office 365 Enterprise E2 (SL per Utente) (Pool di Applicazioni)</w:t>
      </w:r>
    </w:p>
    <w:p w:rsidR="00D02D7A" w:rsidRPr="00451078" w:rsidRDefault="00D02D7A" w:rsidP="00D02D7A">
      <w:pPr>
        <w:rPr>
          <w:lang w:val="it-IT"/>
        </w:rPr>
      </w:pPr>
      <w:r w:rsidRPr="00451078">
        <w:rPr>
          <w:lang w:val="it-IT"/>
        </w:rPr>
        <w:t>Office 365 Enterprise E3 (SL per Utente) (Pool di Applicazioni)</w:t>
      </w:r>
    </w:p>
    <w:p w:rsidR="00D02D7A" w:rsidRPr="00451078" w:rsidRDefault="00D02D7A" w:rsidP="00D02D7A">
      <w:pPr>
        <w:rPr>
          <w:lang w:val="it-IT"/>
        </w:rPr>
      </w:pPr>
      <w:r w:rsidRPr="00451078">
        <w:rPr>
          <w:lang w:val="it-IT"/>
        </w:rPr>
        <w:t>Office 365 Enterprise E4 (SL per Utente) (Pool di Applicazioni)</w:t>
      </w:r>
    </w:p>
    <w:p w:rsidR="00D02D7A" w:rsidRPr="00451078" w:rsidRDefault="00D02D7A" w:rsidP="00D02D7A">
      <w:pPr>
        <w:rPr>
          <w:lang w:val="it-IT"/>
        </w:rPr>
      </w:pPr>
      <w:r w:rsidRPr="00451078">
        <w:rPr>
          <w:lang w:val="it-IT"/>
        </w:rPr>
        <w:t>Office 365 Education A2 (SL per Utente) (Pool di Applicazioni)</w:t>
      </w:r>
    </w:p>
    <w:p w:rsidR="00D02D7A" w:rsidRPr="00451078" w:rsidRDefault="00D02D7A" w:rsidP="00D02D7A">
      <w:pPr>
        <w:rPr>
          <w:lang w:val="it-IT"/>
        </w:rPr>
      </w:pPr>
      <w:r w:rsidRPr="00451078">
        <w:rPr>
          <w:lang w:val="it-IT"/>
        </w:rPr>
        <w:t>Office 365 Education A3 (SL per Utente) (Pool di Applicazioni)</w:t>
      </w:r>
    </w:p>
    <w:p w:rsidR="00D02D7A" w:rsidRPr="00451078" w:rsidRDefault="00D02D7A" w:rsidP="00D02D7A">
      <w:pPr>
        <w:rPr>
          <w:lang w:val="it-IT"/>
        </w:rPr>
      </w:pPr>
      <w:r w:rsidRPr="00451078">
        <w:rPr>
          <w:lang w:val="it-IT"/>
        </w:rPr>
        <w:t>Office 365 Education A4 (SL per Utente) (Pool di Applicazioni)</w:t>
      </w:r>
    </w:p>
    <w:p w:rsidR="00D02D7A" w:rsidRPr="00451078" w:rsidRDefault="00D02D7A" w:rsidP="00D02D7A">
      <w:pPr>
        <w:rPr>
          <w:lang w:val="it-IT"/>
        </w:rPr>
      </w:pPr>
      <w:r w:rsidRPr="00451078">
        <w:rPr>
          <w:lang w:val="it-IT"/>
        </w:rPr>
        <w:t>Office 365 Enterprise E1 (SL per Utente) (Pool di Server)</w:t>
      </w:r>
    </w:p>
    <w:p w:rsidR="00D02D7A" w:rsidRPr="00451078" w:rsidRDefault="00D02D7A" w:rsidP="00D02D7A">
      <w:pPr>
        <w:rPr>
          <w:lang w:val="it-IT"/>
        </w:rPr>
      </w:pPr>
      <w:r w:rsidRPr="00451078">
        <w:rPr>
          <w:lang w:val="it-IT"/>
        </w:rPr>
        <w:t>Office 365 Enterprise E2 (SL per Utente) (Pool di Server)</w:t>
      </w:r>
    </w:p>
    <w:p w:rsidR="00D02D7A" w:rsidRPr="00451078" w:rsidRDefault="00D02D7A" w:rsidP="00D02D7A">
      <w:pPr>
        <w:rPr>
          <w:lang w:val="it-IT"/>
        </w:rPr>
      </w:pPr>
      <w:r w:rsidRPr="00451078">
        <w:rPr>
          <w:lang w:val="it-IT"/>
        </w:rPr>
        <w:t>Office 365 Enterprise E3 (SL per Utente) (Pool di Server)</w:t>
      </w:r>
    </w:p>
    <w:p w:rsidR="00D02D7A" w:rsidRPr="00451078" w:rsidRDefault="00D02D7A" w:rsidP="00D02D7A">
      <w:pPr>
        <w:rPr>
          <w:lang w:val="it-IT"/>
        </w:rPr>
      </w:pPr>
      <w:r w:rsidRPr="00451078">
        <w:rPr>
          <w:lang w:val="it-IT"/>
        </w:rPr>
        <w:t>Office 365 Enterprise E4 (SL per Utente) (Pool di Server)</w:t>
      </w:r>
    </w:p>
    <w:p w:rsidR="00D02D7A" w:rsidRPr="00451078" w:rsidRDefault="00D02D7A" w:rsidP="00D02D7A">
      <w:pPr>
        <w:rPr>
          <w:lang w:val="it-IT"/>
        </w:rPr>
      </w:pPr>
      <w:r w:rsidRPr="00451078">
        <w:rPr>
          <w:lang w:val="it-IT"/>
        </w:rPr>
        <w:t>Office 365 Government G1 (SL per Utente) (Pool di Server)</w:t>
      </w:r>
    </w:p>
    <w:p w:rsidR="00D02D7A" w:rsidRPr="00451078" w:rsidRDefault="00D02D7A" w:rsidP="00D02D7A">
      <w:pPr>
        <w:rPr>
          <w:lang w:val="it-IT"/>
        </w:rPr>
      </w:pPr>
      <w:r w:rsidRPr="00451078">
        <w:rPr>
          <w:lang w:val="it-IT"/>
        </w:rPr>
        <w:t>Office 365 Government G2 (SL per Utente) (Pool di Server)</w:t>
      </w:r>
    </w:p>
    <w:p w:rsidR="00D02D7A" w:rsidRPr="00451078" w:rsidRDefault="00D02D7A" w:rsidP="00D02D7A">
      <w:pPr>
        <w:rPr>
          <w:lang w:val="it-IT"/>
        </w:rPr>
      </w:pPr>
      <w:r w:rsidRPr="00451078">
        <w:rPr>
          <w:lang w:val="it-IT"/>
        </w:rPr>
        <w:t>Office 365 Government G3 (SL per Utente) (Pool di Server)</w:t>
      </w:r>
    </w:p>
    <w:p w:rsidR="00D02D7A" w:rsidRPr="00451078" w:rsidRDefault="00D02D7A" w:rsidP="00D02D7A">
      <w:pPr>
        <w:rPr>
          <w:lang w:val="it-IT"/>
        </w:rPr>
      </w:pPr>
      <w:r w:rsidRPr="00451078">
        <w:rPr>
          <w:lang w:val="it-IT"/>
        </w:rPr>
        <w:t>Office 365 Government G4 (SL per Utente) (Pool di Server)</w:t>
      </w:r>
    </w:p>
    <w:p w:rsidR="00D02D7A" w:rsidRPr="00451078" w:rsidRDefault="00D02D7A" w:rsidP="00D02D7A">
      <w:pPr>
        <w:rPr>
          <w:lang w:val="it-IT"/>
        </w:rPr>
      </w:pPr>
      <w:r w:rsidRPr="00451078">
        <w:rPr>
          <w:lang w:val="it-IT"/>
        </w:rPr>
        <w:t>Office 365 Enterprise K1 (SL per Utente) (Pool di Server)</w:t>
      </w:r>
    </w:p>
    <w:p w:rsidR="00D02D7A" w:rsidRPr="00451078" w:rsidRDefault="00D02D7A" w:rsidP="00D02D7A">
      <w:pPr>
        <w:rPr>
          <w:lang w:val="it-IT"/>
        </w:rPr>
      </w:pPr>
      <w:r w:rsidRPr="00451078">
        <w:rPr>
          <w:lang w:val="it-IT"/>
        </w:rPr>
        <w:t>Office 365 Enterprise K2 (SL per Utente) (Pool di Server)</w:t>
      </w:r>
    </w:p>
    <w:p w:rsidR="003418C5" w:rsidRPr="00451078" w:rsidRDefault="003418C5" w:rsidP="003418C5">
      <w:pPr>
        <w:rPr>
          <w:lang w:val="it-IT"/>
        </w:rPr>
      </w:pPr>
      <w:r w:rsidRPr="00451078">
        <w:rPr>
          <w:lang w:val="it-IT"/>
        </w:rPr>
        <w:t>Office 365 ProPlus SA Transition (SL per Utente) (Pool di Applicazioni)</w:t>
      </w:r>
    </w:p>
    <w:p w:rsidR="00D02D7A" w:rsidRPr="003410C7" w:rsidRDefault="00D02D7A">
      <w:r w:rsidRPr="003410C7">
        <w:t>Microsoft Desktop Optimization Pack 2013 per Software Assurance</w:t>
      </w:r>
    </w:p>
    <w:p w:rsidR="00D02D7A" w:rsidRPr="003410C7" w:rsidRDefault="00D02D7A" w:rsidP="007E466C">
      <w:r w:rsidRPr="003410C7">
        <w:lastRenderedPageBreak/>
        <w:t>System Center Global Service Monitor</w:t>
      </w:r>
    </w:p>
    <w:p w:rsidR="005F584F" w:rsidRPr="003410C7" w:rsidRDefault="005F584F" w:rsidP="005F584F">
      <w:r w:rsidRPr="003410C7">
        <w:t>Vexcel Desktop con Enhanced Content Pack</w:t>
      </w:r>
    </w:p>
    <w:p w:rsidR="009C779A" w:rsidRPr="003410C7" w:rsidRDefault="00242B11">
      <w:r w:rsidRPr="003410C7">
        <w:t>Vexcel Server</w:t>
      </w:r>
    </w:p>
    <w:p w:rsidR="00242B11" w:rsidRDefault="00242B11">
      <w:r w:rsidRPr="003410C7">
        <w:t>Vexcel Server con Enhanced Content Pack</w:t>
      </w:r>
    </w:p>
    <w:p w:rsidR="00FE2D13" w:rsidRPr="003410C7" w:rsidRDefault="00FE2D13"/>
    <w:p w:rsidR="00B65F35" w:rsidRPr="003410C7" w:rsidRDefault="00B65F35" w:rsidP="00B65F35">
      <w:pPr>
        <w:spacing w:after="60"/>
      </w:pPr>
      <w:r w:rsidRPr="003410C7">
        <w:rPr>
          <w:b/>
        </w:rPr>
        <w:t>Modifiche</w:t>
      </w:r>
    </w:p>
    <w:p w:rsidR="00B65F35" w:rsidRPr="00B24D90" w:rsidRDefault="009C779A" w:rsidP="009C779A">
      <w:pPr>
        <w:rPr>
          <w:szCs w:val="18"/>
        </w:rPr>
      </w:pPr>
      <w:r w:rsidRPr="00B24D90">
        <w:rPr>
          <w:szCs w:val="18"/>
        </w:rPr>
        <w:t>Bing Maps Standard (SL per Utente)</w:t>
      </w:r>
    </w:p>
    <w:p w:rsidR="009C779A" w:rsidRPr="00B24D90" w:rsidRDefault="009C779A" w:rsidP="00D66F68">
      <w:pPr>
        <w:rPr>
          <w:szCs w:val="18"/>
          <w:lang w:val="it-IT"/>
        </w:rPr>
      </w:pPr>
      <w:r w:rsidRPr="00B24D90">
        <w:rPr>
          <w:szCs w:val="18"/>
          <w:lang w:val="it-IT"/>
        </w:rPr>
        <w:t>Office 365 Piano E1 (SL per Utente) (Pool di Applicazioni)</w:t>
      </w:r>
    </w:p>
    <w:p w:rsidR="009C779A" w:rsidRPr="00B24D90" w:rsidRDefault="009C779A" w:rsidP="00D66F68">
      <w:pPr>
        <w:rPr>
          <w:szCs w:val="18"/>
          <w:lang w:val="it-IT"/>
        </w:rPr>
      </w:pPr>
      <w:r w:rsidRPr="00B24D90">
        <w:rPr>
          <w:szCs w:val="18"/>
          <w:lang w:val="it-IT"/>
        </w:rPr>
        <w:t>Office 365 Piano E2 (SL per Utente) (Pool di Applicazioni)</w:t>
      </w:r>
    </w:p>
    <w:p w:rsidR="009C779A" w:rsidRPr="00B24D90" w:rsidRDefault="009C779A" w:rsidP="00D02D7A">
      <w:pPr>
        <w:rPr>
          <w:szCs w:val="18"/>
          <w:lang w:val="it-IT"/>
        </w:rPr>
      </w:pPr>
      <w:r w:rsidRPr="00B24D90">
        <w:rPr>
          <w:szCs w:val="18"/>
          <w:lang w:val="it-IT"/>
        </w:rPr>
        <w:t>Office 365 Piano E3 (SL per Utente) (Pool di Applicazioni)</w:t>
      </w:r>
    </w:p>
    <w:p w:rsidR="009C779A" w:rsidRPr="00B24D90" w:rsidRDefault="009C779A" w:rsidP="00D02D7A">
      <w:pPr>
        <w:rPr>
          <w:szCs w:val="18"/>
          <w:lang w:val="it-IT"/>
        </w:rPr>
      </w:pPr>
      <w:r w:rsidRPr="00B24D90">
        <w:rPr>
          <w:szCs w:val="18"/>
          <w:lang w:val="it-IT"/>
        </w:rPr>
        <w:t>Office 365 Piano E4 (SL per Utente) (Pool di Applicazioni)</w:t>
      </w:r>
    </w:p>
    <w:p w:rsidR="009C779A" w:rsidRPr="00B24D90" w:rsidRDefault="009C779A" w:rsidP="00242B11">
      <w:pPr>
        <w:rPr>
          <w:szCs w:val="18"/>
          <w:lang w:val="it-IT"/>
        </w:rPr>
      </w:pPr>
      <w:r w:rsidRPr="00B24D90">
        <w:rPr>
          <w:szCs w:val="18"/>
          <w:lang w:val="it-IT"/>
        </w:rPr>
        <w:t>Office 365 Piano A2 (SL per Utente) (Pool di Applicazioni)</w:t>
      </w:r>
    </w:p>
    <w:p w:rsidR="009C779A" w:rsidRPr="00B24D90" w:rsidRDefault="009C779A" w:rsidP="00242B11">
      <w:pPr>
        <w:rPr>
          <w:szCs w:val="18"/>
          <w:lang w:val="it-IT"/>
        </w:rPr>
      </w:pPr>
      <w:r w:rsidRPr="00B24D90">
        <w:rPr>
          <w:szCs w:val="18"/>
          <w:lang w:val="it-IT"/>
        </w:rPr>
        <w:t>Office 365 Piano A3 (SL per Utente) (Pool di Applicazioni)</w:t>
      </w:r>
    </w:p>
    <w:p w:rsidR="009C779A" w:rsidRPr="00B24D90" w:rsidRDefault="009C779A" w:rsidP="00EA31A6">
      <w:pPr>
        <w:rPr>
          <w:szCs w:val="18"/>
          <w:lang w:val="it-IT"/>
        </w:rPr>
      </w:pPr>
      <w:r w:rsidRPr="00B24D90">
        <w:rPr>
          <w:szCs w:val="18"/>
          <w:lang w:val="it-IT"/>
        </w:rPr>
        <w:t>Office 365 Piano A4 (SL per Utente) (Pool di Applicazioni)</w:t>
      </w:r>
    </w:p>
    <w:p w:rsidR="009C779A" w:rsidRPr="00B24D90" w:rsidRDefault="009C779A" w:rsidP="00EA31A6">
      <w:pPr>
        <w:rPr>
          <w:szCs w:val="18"/>
          <w:lang w:val="it-IT"/>
        </w:rPr>
      </w:pPr>
      <w:r w:rsidRPr="00B24D90">
        <w:rPr>
          <w:szCs w:val="18"/>
          <w:lang w:val="it-IT"/>
        </w:rPr>
        <w:t>Office 365 Piano E1 (SL per Utente) (Pool di Server)</w:t>
      </w:r>
    </w:p>
    <w:p w:rsidR="009C779A" w:rsidRPr="00B24D90" w:rsidRDefault="009C779A" w:rsidP="00EA31A6">
      <w:pPr>
        <w:rPr>
          <w:szCs w:val="18"/>
          <w:lang w:val="it-IT"/>
        </w:rPr>
      </w:pPr>
      <w:r w:rsidRPr="00B24D90">
        <w:rPr>
          <w:szCs w:val="18"/>
          <w:lang w:val="it-IT"/>
        </w:rPr>
        <w:t>Office 365 Piano E2 - E4 (SL per Utente) (Pool di Server)</w:t>
      </w:r>
    </w:p>
    <w:p w:rsidR="009C779A" w:rsidRPr="00B24D90" w:rsidRDefault="009C779A" w:rsidP="00EA31A6">
      <w:pPr>
        <w:rPr>
          <w:szCs w:val="18"/>
          <w:lang w:val="it-IT"/>
        </w:rPr>
      </w:pPr>
      <w:r w:rsidRPr="00B24D90">
        <w:rPr>
          <w:szCs w:val="18"/>
          <w:lang w:val="it-IT"/>
        </w:rPr>
        <w:t>Office 365 Piano G1 - G4 (SL per Utente) (Pool di Server)</w:t>
      </w:r>
    </w:p>
    <w:p w:rsidR="009C779A" w:rsidRPr="00B24D90" w:rsidRDefault="009C779A" w:rsidP="003537B9">
      <w:pPr>
        <w:rPr>
          <w:szCs w:val="18"/>
          <w:lang w:val="it-IT"/>
        </w:rPr>
      </w:pPr>
      <w:r w:rsidRPr="00B24D90">
        <w:rPr>
          <w:szCs w:val="18"/>
          <w:lang w:val="it-IT"/>
        </w:rPr>
        <w:t>Office 365 Piano K1 (SL per Utente) (Pool di Server)</w:t>
      </w:r>
    </w:p>
    <w:p w:rsidR="009C779A" w:rsidRPr="00B24D90" w:rsidRDefault="009C779A" w:rsidP="003537B9">
      <w:pPr>
        <w:rPr>
          <w:szCs w:val="18"/>
          <w:lang w:val="it-IT"/>
        </w:rPr>
      </w:pPr>
      <w:r w:rsidRPr="00B24D90">
        <w:rPr>
          <w:szCs w:val="18"/>
          <w:lang w:val="it-IT"/>
        </w:rPr>
        <w:t>Office 365 Piano K2 (SL per Utente) (Pool di Server)</w:t>
      </w:r>
    </w:p>
    <w:p w:rsidR="003A31B1" w:rsidRPr="00B24D90" w:rsidRDefault="003A31B1" w:rsidP="003A31B1">
      <w:pPr>
        <w:rPr>
          <w:szCs w:val="18"/>
          <w:lang w:val="it-IT"/>
        </w:rPr>
      </w:pPr>
      <w:r w:rsidRPr="00B24D90">
        <w:rPr>
          <w:szCs w:val="18"/>
          <w:lang w:val="it-IT"/>
        </w:rPr>
        <w:t>System Center 2012 Endpoint Protection</w:t>
      </w:r>
    </w:p>
    <w:p w:rsidR="00242B11" w:rsidRPr="00B24D90" w:rsidRDefault="00242B11" w:rsidP="00242B11">
      <w:pPr>
        <w:rPr>
          <w:szCs w:val="18"/>
          <w:lang w:val="it-IT"/>
        </w:rPr>
      </w:pPr>
      <w:r w:rsidRPr="00B24D90">
        <w:rPr>
          <w:szCs w:val="18"/>
          <w:lang w:val="it-IT"/>
        </w:rPr>
        <w:t xml:space="preserve">BizTalk Server passa dal modello di licenza per </w:t>
      </w:r>
      <w:r w:rsidR="001A3EC5" w:rsidRPr="00B24D90">
        <w:rPr>
          <w:szCs w:val="18"/>
          <w:lang w:val="it-IT"/>
        </w:rPr>
        <w:t>“</w:t>
      </w:r>
      <w:r w:rsidRPr="00B24D90">
        <w:rPr>
          <w:szCs w:val="18"/>
          <w:lang w:val="it-IT"/>
        </w:rPr>
        <w:t>Processore</w:t>
      </w:r>
      <w:r w:rsidR="001A3EC5" w:rsidRPr="00B24D90">
        <w:rPr>
          <w:szCs w:val="18"/>
          <w:lang w:val="it-IT"/>
        </w:rPr>
        <w:t>”</w:t>
      </w:r>
      <w:r w:rsidRPr="00B24D90">
        <w:rPr>
          <w:szCs w:val="18"/>
          <w:lang w:val="it-IT"/>
        </w:rPr>
        <w:t xml:space="preserve"> al modello di licenza </w:t>
      </w:r>
      <w:r w:rsidR="001A3EC5" w:rsidRPr="00B24D90">
        <w:rPr>
          <w:szCs w:val="18"/>
          <w:lang w:val="it-IT"/>
        </w:rPr>
        <w:t>“</w:t>
      </w:r>
      <w:r w:rsidRPr="00B24D90">
        <w:rPr>
          <w:szCs w:val="18"/>
          <w:lang w:val="it-IT"/>
        </w:rPr>
        <w:t>Core</w:t>
      </w:r>
      <w:r w:rsidR="001A3EC5" w:rsidRPr="00B24D90">
        <w:rPr>
          <w:szCs w:val="18"/>
          <w:lang w:val="it-IT"/>
        </w:rPr>
        <w:t>”</w:t>
      </w:r>
      <w:r w:rsidRPr="00B24D90">
        <w:rPr>
          <w:szCs w:val="18"/>
          <w:lang w:val="it-IT"/>
        </w:rPr>
        <w:t xml:space="preserve"> per la versione 2013</w:t>
      </w:r>
    </w:p>
    <w:p w:rsidR="00242B11" w:rsidRPr="00B24D90" w:rsidRDefault="00242B11" w:rsidP="00242B11">
      <w:pPr>
        <w:rPr>
          <w:szCs w:val="18"/>
          <w:lang w:val="it-IT"/>
        </w:rPr>
      </w:pPr>
      <w:r w:rsidRPr="00B24D90">
        <w:rPr>
          <w:szCs w:val="18"/>
          <w:lang w:val="it-IT"/>
        </w:rPr>
        <w:t>Rimosso Prodotto Aggiuntivo (</w:t>
      </w:r>
      <w:r w:rsidR="001A3EC5" w:rsidRPr="00B24D90">
        <w:rPr>
          <w:szCs w:val="18"/>
          <w:lang w:val="it-IT"/>
        </w:rPr>
        <w:t>“</w:t>
      </w:r>
      <w:r w:rsidRPr="00B24D90">
        <w:rPr>
          <w:szCs w:val="18"/>
          <w:lang w:val="it-IT"/>
        </w:rPr>
        <w:t>A</w:t>
      </w:r>
      <w:r w:rsidR="001A3EC5" w:rsidRPr="00B24D90">
        <w:rPr>
          <w:szCs w:val="18"/>
          <w:lang w:val="it-IT"/>
        </w:rPr>
        <w:t>”</w:t>
      </w:r>
      <w:r w:rsidRPr="00B24D90">
        <w:rPr>
          <w:szCs w:val="18"/>
          <w:lang w:val="it-IT"/>
        </w:rPr>
        <w:t>) da Sys Ctr Endpoint Protection</w:t>
      </w:r>
    </w:p>
    <w:p w:rsidR="00242B11" w:rsidRPr="00451078" w:rsidRDefault="00242B11" w:rsidP="00242B11">
      <w:pPr>
        <w:rPr>
          <w:lang w:val="it-IT"/>
        </w:rPr>
      </w:pPr>
      <w:r w:rsidRPr="00B24D90">
        <w:rPr>
          <w:szCs w:val="18"/>
          <w:lang w:val="it-IT"/>
        </w:rPr>
        <w:t>Rimosso Professional dalla voce Bing Maps Standard (SL per Utente)</w:t>
      </w:r>
    </w:p>
    <w:p w:rsidR="009C779A" w:rsidRPr="00451078" w:rsidRDefault="009C779A" w:rsidP="009C779A">
      <w:pPr>
        <w:rPr>
          <w:lang w:val="it-IT"/>
        </w:rPr>
      </w:pPr>
    </w:p>
    <w:p w:rsidR="00B65F35" w:rsidRPr="00451078" w:rsidRDefault="00B65F35" w:rsidP="007E466C">
      <w:pPr>
        <w:spacing w:after="60"/>
        <w:rPr>
          <w:lang w:val="it-IT"/>
        </w:rPr>
      </w:pPr>
      <w:r w:rsidRPr="00451078">
        <w:rPr>
          <w:b/>
          <w:lang w:val="it-IT"/>
        </w:rPr>
        <w:t>Prodotti Eliminati</w:t>
      </w:r>
    </w:p>
    <w:p w:rsidR="00D02D7A" w:rsidRPr="00451078" w:rsidRDefault="00D02D7A" w:rsidP="00D02D7A">
      <w:pPr>
        <w:rPr>
          <w:lang w:val="it-IT"/>
        </w:rPr>
      </w:pPr>
      <w:r w:rsidRPr="00451078">
        <w:rPr>
          <w:lang w:val="it-IT"/>
        </w:rPr>
        <w:t>Bing Maps 25KTrx (SL Add-on)</w:t>
      </w:r>
    </w:p>
    <w:p w:rsidR="00D02D7A" w:rsidRPr="003410C7" w:rsidRDefault="00D02D7A" w:rsidP="00D02D7A">
      <w:r w:rsidRPr="003410C7">
        <w:t>Bing Maps 250KTrx (SL Add-on)</w:t>
      </w:r>
    </w:p>
    <w:p w:rsidR="00D02D7A" w:rsidRPr="003410C7" w:rsidRDefault="00D02D7A" w:rsidP="00D02D7A">
      <w:r w:rsidRPr="003410C7">
        <w:t>Bing Maps Professional (SL Servizi)</w:t>
      </w:r>
    </w:p>
    <w:p w:rsidR="005F584F" w:rsidRPr="003410C7" w:rsidRDefault="005F584F" w:rsidP="005F584F">
      <w:r w:rsidRPr="003410C7">
        <w:t>Bing Maps Desktop con Enhanced Content Pack</w:t>
      </w:r>
    </w:p>
    <w:p w:rsidR="005F584F" w:rsidRPr="003410C7" w:rsidRDefault="005F584F" w:rsidP="005F584F">
      <w:r w:rsidRPr="003410C7">
        <w:t>Bing Maps Server</w:t>
      </w:r>
    </w:p>
    <w:p w:rsidR="005F584F" w:rsidRPr="003410C7" w:rsidRDefault="005F584F" w:rsidP="005F584F">
      <w:r w:rsidRPr="003410C7">
        <w:t>Bing Maps con Enhanced Content Pack</w:t>
      </w:r>
    </w:p>
    <w:p w:rsidR="00D02D7A" w:rsidRPr="003410C7" w:rsidRDefault="00D02D7A" w:rsidP="00D02D7A">
      <w:r w:rsidRPr="003410C7">
        <w:t>Bing Maps Unlimited Trx (SL Add-on)</w:t>
      </w:r>
    </w:p>
    <w:p w:rsidR="00242B11" w:rsidRPr="003410C7" w:rsidRDefault="00242B11" w:rsidP="00D02D7A">
      <w:r w:rsidRPr="003410C7">
        <w:t>Bing Server</w:t>
      </w:r>
    </w:p>
    <w:p w:rsidR="00242B11" w:rsidRPr="003410C7" w:rsidRDefault="00242B11" w:rsidP="00D02D7A">
      <w:r w:rsidRPr="003410C7">
        <w:t>Bing Server con Enhanced Content Pack</w:t>
      </w:r>
    </w:p>
    <w:p w:rsidR="00D02D7A" w:rsidRPr="003410C7" w:rsidRDefault="00D02D7A" w:rsidP="00D02D7A">
      <w:r w:rsidRPr="003410C7">
        <w:t>BizTalk</w:t>
      </w:r>
      <w:r w:rsidR="003410C7" w:rsidRPr="003410C7">
        <w:rPr>
          <w:vertAlign w:val="superscript"/>
        </w:rPr>
        <w:t>®</w:t>
      </w:r>
      <w:r w:rsidRPr="003410C7">
        <w:t xml:space="preserve"> Server 2010 Branch Edition </w:t>
      </w:r>
    </w:p>
    <w:p w:rsidR="00D02D7A" w:rsidRPr="003410C7" w:rsidRDefault="00D02D7A" w:rsidP="00D02D7A">
      <w:r w:rsidRPr="003410C7">
        <w:t>BizTalk</w:t>
      </w:r>
      <w:r w:rsidR="003410C7" w:rsidRPr="003410C7">
        <w:rPr>
          <w:vertAlign w:val="superscript"/>
        </w:rPr>
        <w:t>®</w:t>
      </w:r>
      <w:r w:rsidRPr="003410C7">
        <w:t xml:space="preserve"> Server 2010 Enterprise Edition</w:t>
      </w:r>
    </w:p>
    <w:p w:rsidR="00D02D7A" w:rsidRPr="003410C7" w:rsidRDefault="00D02D7A" w:rsidP="00D02D7A">
      <w:r w:rsidRPr="003410C7">
        <w:t>BizTalk</w:t>
      </w:r>
      <w:r w:rsidR="003410C7" w:rsidRPr="003410C7">
        <w:rPr>
          <w:vertAlign w:val="superscript"/>
        </w:rPr>
        <w:t>®</w:t>
      </w:r>
      <w:r w:rsidRPr="003410C7">
        <w:t xml:space="preserve"> Server 2010 Enterprise RFID</w:t>
      </w:r>
    </w:p>
    <w:p w:rsidR="00D02D7A" w:rsidRPr="003410C7" w:rsidRDefault="00D02D7A" w:rsidP="00D02D7A">
      <w:r w:rsidRPr="003410C7">
        <w:t>BizTalk</w:t>
      </w:r>
      <w:r w:rsidR="003410C7" w:rsidRPr="003410C7">
        <w:rPr>
          <w:vertAlign w:val="superscript"/>
        </w:rPr>
        <w:t>®</w:t>
      </w:r>
      <w:r w:rsidRPr="003410C7">
        <w:t xml:space="preserve"> Server 2010 Standard Edition </w:t>
      </w:r>
    </w:p>
    <w:p w:rsidR="00D02D7A" w:rsidRPr="003410C7" w:rsidRDefault="00D02D7A" w:rsidP="00D02D7A">
      <w:r w:rsidRPr="003410C7">
        <w:t>BizTalk</w:t>
      </w:r>
      <w:r w:rsidR="003410C7" w:rsidRPr="003410C7">
        <w:rPr>
          <w:vertAlign w:val="superscript"/>
        </w:rPr>
        <w:t>®</w:t>
      </w:r>
      <w:r w:rsidRPr="003410C7">
        <w:t xml:space="preserve"> Server 2010 Developer IDC </w:t>
      </w:r>
    </w:p>
    <w:p w:rsidR="00D02D7A" w:rsidRPr="003410C7" w:rsidRDefault="00D02D7A" w:rsidP="00D02D7A">
      <w:r w:rsidRPr="003410C7">
        <w:t>BizTalk</w:t>
      </w:r>
      <w:r w:rsidR="003410C7" w:rsidRPr="003410C7">
        <w:rPr>
          <w:vertAlign w:val="superscript"/>
        </w:rPr>
        <w:t>®</w:t>
      </w:r>
      <w:r w:rsidRPr="003410C7">
        <w:t xml:space="preserve"> Server 2010 Branch IDC </w:t>
      </w:r>
    </w:p>
    <w:p w:rsidR="00D02D7A" w:rsidRPr="003410C7" w:rsidRDefault="00D02D7A" w:rsidP="00D02D7A">
      <w:r w:rsidRPr="003410C7">
        <w:t>Data Warehouse Appliance 2012</w:t>
      </w:r>
    </w:p>
    <w:p w:rsidR="00D02D7A" w:rsidRPr="00451078" w:rsidRDefault="00D02D7A" w:rsidP="00D02D7A">
      <w:pPr>
        <w:rPr>
          <w:lang w:val="it-IT"/>
        </w:rPr>
      </w:pPr>
      <w:r w:rsidRPr="00451078">
        <w:rPr>
          <w:lang w:val="it-IT"/>
        </w:rPr>
        <w:t>Office 365 Piano E1 (SL per Utente) (Pool di Applicazioni)</w:t>
      </w:r>
    </w:p>
    <w:p w:rsidR="00D02D7A" w:rsidRPr="00451078" w:rsidRDefault="00D02D7A" w:rsidP="00D02D7A">
      <w:pPr>
        <w:rPr>
          <w:lang w:val="it-IT"/>
        </w:rPr>
      </w:pPr>
      <w:r w:rsidRPr="00451078">
        <w:rPr>
          <w:lang w:val="it-IT"/>
        </w:rPr>
        <w:t>Office 365 Piano E2 (SL per Utente) (Pool di Applicazioni)</w:t>
      </w:r>
    </w:p>
    <w:p w:rsidR="00D02D7A" w:rsidRPr="00451078" w:rsidRDefault="00D02D7A" w:rsidP="00D02D7A">
      <w:pPr>
        <w:rPr>
          <w:lang w:val="it-IT"/>
        </w:rPr>
      </w:pPr>
      <w:r w:rsidRPr="00451078">
        <w:rPr>
          <w:lang w:val="it-IT"/>
        </w:rPr>
        <w:t>Office 365 Piano E3 (SL per Utente) (Pool di Applicazioni)</w:t>
      </w:r>
    </w:p>
    <w:p w:rsidR="00D02D7A" w:rsidRPr="00451078" w:rsidRDefault="00D02D7A" w:rsidP="00D02D7A">
      <w:pPr>
        <w:rPr>
          <w:lang w:val="it-IT"/>
        </w:rPr>
      </w:pPr>
      <w:r w:rsidRPr="00451078">
        <w:rPr>
          <w:lang w:val="it-IT"/>
        </w:rPr>
        <w:t>Office 365 Piano E4 (SL per Utente) (Pool di Applicazioni)</w:t>
      </w:r>
    </w:p>
    <w:p w:rsidR="00D02D7A" w:rsidRPr="00451078" w:rsidRDefault="00D02D7A" w:rsidP="00D02D7A">
      <w:pPr>
        <w:rPr>
          <w:lang w:val="it-IT"/>
        </w:rPr>
      </w:pPr>
      <w:r w:rsidRPr="00451078">
        <w:rPr>
          <w:lang w:val="it-IT"/>
        </w:rPr>
        <w:t>Office 365 Piano A2 (SL per Utente) (Pool di Applicazioni)</w:t>
      </w:r>
    </w:p>
    <w:p w:rsidR="00D02D7A" w:rsidRPr="00451078" w:rsidRDefault="00D02D7A" w:rsidP="00D02D7A">
      <w:pPr>
        <w:rPr>
          <w:lang w:val="it-IT"/>
        </w:rPr>
      </w:pPr>
      <w:r w:rsidRPr="00451078">
        <w:rPr>
          <w:lang w:val="it-IT"/>
        </w:rPr>
        <w:t>Office 365 Piano A3 (SL per Utente) (Pool di Applicazioni)</w:t>
      </w:r>
    </w:p>
    <w:p w:rsidR="00D02D7A" w:rsidRPr="00451078" w:rsidRDefault="00D02D7A" w:rsidP="00D02D7A">
      <w:pPr>
        <w:rPr>
          <w:lang w:val="it-IT"/>
        </w:rPr>
      </w:pPr>
      <w:r w:rsidRPr="00451078">
        <w:rPr>
          <w:lang w:val="it-IT"/>
        </w:rPr>
        <w:t>Office 365 Piano A4 (SL per Utente) (Pool di Applicazioni)</w:t>
      </w:r>
    </w:p>
    <w:p w:rsidR="00D02D7A" w:rsidRPr="00451078" w:rsidRDefault="00D02D7A" w:rsidP="00D02D7A">
      <w:pPr>
        <w:rPr>
          <w:lang w:val="it-IT"/>
        </w:rPr>
      </w:pPr>
      <w:r w:rsidRPr="00451078">
        <w:rPr>
          <w:lang w:val="it-IT"/>
        </w:rPr>
        <w:t>Office 365 Piano E1 (SL per Utente) (Pool di Server)</w:t>
      </w:r>
    </w:p>
    <w:p w:rsidR="00D02D7A" w:rsidRPr="00451078" w:rsidRDefault="00D02D7A" w:rsidP="00D02D7A">
      <w:pPr>
        <w:rPr>
          <w:lang w:val="it-IT"/>
        </w:rPr>
      </w:pPr>
      <w:r w:rsidRPr="00451078">
        <w:rPr>
          <w:lang w:val="it-IT"/>
        </w:rPr>
        <w:t>Office 365 Piano E2 (SL per Utente) (Pool di Server)</w:t>
      </w:r>
    </w:p>
    <w:p w:rsidR="00D02D7A" w:rsidRPr="00451078" w:rsidRDefault="00D02D7A" w:rsidP="00D02D7A">
      <w:pPr>
        <w:rPr>
          <w:lang w:val="it-IT"/>
        </w:rPr>
      </w:pPr>
      <w:r w:rsidRPr="00451078">
        <w:rPr>
          <w:lang w:val="it-IT"/>
        </w:rPr>
        <w:t>Office 365 Piano E3 (SL per Utente) (Pool di Server)</w:t>
      </w:r>
    </w:p>
    <w:p w:rsidR="00D02D7A" w:rsidRPr="00451078" w:rsidRDefault="00D02D7A" w:rsidP="00D02D7A">
      <w:pPr>
        <w:rPr>
          <w:lang w:val="it-IT"/>
        </w:rPr>
      </w:pPr>
      <w:r w:rsidRPr="00451078">
        <w:rPr>
          <w:lang w:val="it-IT"/>
        </w:rPr>
        <w:t>Office 365 Piano E4 (SL per Utente) (Pool di Server)</w:t>
      </w:r>
    </w:p>
    <w:p w:rsidR="00D02D7A" w:rsidRPr="00451078" w:rsidRDefault="00D02D7A" w:rsidP="00D02D7A">
      <w:pPr>
        <w:rPr>
          <w:lang w:val="it-IT"/>
        </w:rPr>
      </w:pPr>
      <w:r w:rsidRPr="00451078">
        <w:rPr>
          <w:lang w:val="it-IT"/>
        </w:rPr>
        <w:t>Office 365 Piano G1 (SL per Utente) (Pool di Server)</w:t>
      </w:r>
    </w:p>
    <w:p w:rsidR="00D02D7A" w:rsidRPr="00451078" w:rsidRDefault="00D02D7A" w:rsidP="00D02D7A">
      <w:pPr>
        <w:rPr>
          <w:lang w:val="it-IT"/>
        </w:rPr>
      </w:pPr>
      <w:r w:rsidRPr="00451078">
        <w:rPr>
          <w:lang w:val="it-IT"/>
        </w:rPr>
        <w:t>Office 365 Piano G2 (SL per Utente) (Pool di Server)</w:t>
      </w:r>
    </w:p>
    <w:p w:rsidR="00D02D7A" w:rsidRPr="00451078" w:rsidRDefault="00D02D7A" w:rsidP="00D02D7A">
      <w:pPr>
        <w:rPr>
          <w:lang w:val="it-IT"/>
        </w:rPr>
      </w:pPr>
      <w:r w:rsidRPr="00451078">
        <w:rPr>
          <w:lang w:val="it-IT"/>
        </w:rPr>
        <w:t>Office 365 Piano G3 (SL per Utente) (Pool di Server)</w:t>
      </w:r>
    </w:p>
    <w:p w:rsidR="00D02D7A" w:rsidRPr="00451078" w:rsidRDefault="00D02D7A" w:rsidP="00D02D7A">
      <w:pPr>
        <w:rPr>
          <w:lang w:val="it-IT"/>
        </w:rPr>
      </w:pPr>
      <w:r w:rsidRPr="00451078">
        <w:rPr>
          <w:lang w:val="it-IT"/>
        </w:rPr>
        <w:t>Office 365 Piano G4 (SL per Utente) (Pool di Server)</w:t>
      </w:r>
    </w:p>
    <w:p w:rsidR="00D02D7A" w:rsidRPr="00451078" w:rsidRDefault="00D02D7A" w:rsidP="00D02D7A">
      <w:pPr>
        <w:rPr>
          <w:lang w:val="it-IT"/>
        </w:rPr>
      </w:pPr>
      <w:r w:rsidRPr="00451078">
        <w:rPr>
          <w:lang w:val="it-IT"/>
        </w:rPr>
        <w:t>Office 365 Piano K1 (SL per Utente) (Pool di Server)</w:t>
      </w:r>
    </w:p>
    <w:p w:rsidR="00D02D7A" w:rsidRPr="00451078" w:rsidRDefault="00D02D7A" w:rsidP="00D02D7A">
      <w:pPr>
        <w:rPr>
          <w:lang w:val="it-IT"/>
        </w:rPr>
      </w:pPr>
      <w:r w:rsidRPr="00451078">
        <w:rPr>
          <w:lang w:val="it-IT"/>
        </w:rPr>
        <w:t>Office 365 Piano K2 (SL per Utente) (Pool di Server)</w:t>
      </w:r>
    </w:p>
    <w:p w:rsidR="00D02D7A" w:rsidRPr="003410C7" w:rsidRDefault="00D02D7A" w:rsidP="00D02D7A">
      <w:r w:rsidRPr="003410C7">
        <w:t>System Center 2012 Endpoint Protection</w:t>
      </w:r>
    </w:p>
    <w:p w:rsidR="00D02D7A" w:rsidRPr="003410C7" w:rsidRDefault="00D02D7A" w:rsidP="00D02D7A">
      <w:r w:rsidRPr="003410C7">
        <w:lastRenderedPageBreak/>
        <w:t>Forefront Online Protection for Exchange (SL per Dispositivo e Utente)</w:t>
      </w:r>
    </w:p>
    <w:p w:rsidR="00D02D7A" w:rsidRPr="003410C7" w:rsidRDefault="00D02D7A" w:rsidP="00D02D7A">
      <w:r w:rsidRPr="003410C7">
        <w:t>Microsoft Desktop Optimization Pack 2012 per Software Assurance</w:t>
      </w:r>
    </w:p>
    <w:p w:rsidR="00B65F35" w:rsidRPr="003410C7" w:rsidRDefault="00B65F35" w:rsidP="007E466C"/>
    <w:p w:rsidR="004759C6" w:rsidRPr="00451078" w:rsidRDefault="004759C6" w:rsidP="004759C6">
      <w:pPr>
        <w:pStyle w:val="Heading2"/>
        <w:ind w:left="0"/>
        <w:jc w:val="both"/>
        <w:rPr>
          <w:lang w:val="it-IT"/>
        </w:rPr>
      </w:pPr>
      <w:bookmarkStart w:id="623" w:name="_Toc352234767"/>
      <w:r w:rsidRPr="00451078">
        <w:rPr>
          <w:rFonts w:ascii="Tahoma" w:hAnsi="Tahoma" w:cs="Tahoma"/>
          <w:color w:val="FF6600"/>
          <w:lang w:val="it-IT"/>
        </w:rPr>
        <w:t>MODIFICHE APPORTATE NEL MESE DI MARZO 2013</w:t>
      </w:r>
      <w:bookmarkEnd w:id="623"/>
    </w:p>
    <w:p w:rsidR="004759C6" w:rsidRPr="00866192" w:rsidRDefault="004759C6" w:rsidP="004759C6">
      <w:pPr>
        <w:pStyle w:val="Heading2"/>
        <w:ind w:left="0"/>
        <w:jc w:val="both"/>
        <w:rPr>
          <w:sz w:val="18"/>
          <w:szCs w:val="18"/>
          <w:lang w:val="it-IT"/>
        </w:rPr>
      </w:pPr>
    </w:p>
    <w:p w:rsidR="0064651F" w:rsidRPr="00451078" w:rsidRDefault="004759C6" w:rsidP="0064651F">
      <w:pPr>
        <w:spacing w:after="60"/>
        <w:rPr>
          <w:lang w:val="it-IT"/>
        </w:rPr>
      </w:pPr>
      <w:r w:rsidRPr="00451078">
        <w:rPr>
          <w:b/>
          <w:lang w:val="it-IT"/>
        </w:rPr>
        <w:t>Prodotti Aggiunti</w:t>
      </w:r>
    </w:p>
    <w:p w:rsidR="006D5B20" w:rsidRPr="00451078" w:rsidRDefault="006D5B20" w:rsidP="006D5B20">
      <w:pPr>
        <w:rPr>
          <w:lang w:val="it-IT"/>
        </w:rPr>
      </w:pPr>
      <w:r w:rsidRPr="00451078">
        <w:rPr>
          <w:rFonts w:cs="Tahoma"/>
          <w:color w:val="000000"/>
          <w:szCs w:val="18"/>
          <w:lang w:val="it-IT"/>
        </w:rPr>
        <w:t>Archiviazione Exchange Online per Exchange Online</w:t>
      </w:r>
    </w:p>
    <w:p w:rsidR="006D5B20" w:rsidRPr="003410C7" w:rsidRDefault="006D5B20" w:rsidP="006D5B20">
      <w:r w:rsidRPr="003410C7">
        <w:rPr>
          <w:rFonts w:cs="Tahoma"/>
          <w:color w:val="000000"/>
          <w:szCs w:val="18"/>
        </w:rPr>
        <w:t xml:space="preserve">Archiviazione Exchange Online per Exchange Online A </w:t>
      </w:r>
    </w:p>
    <w:p w:rsidR="006D5B20" w:rsidRPr="003410C7" w:rsidRDefault="006D5B20" w:rsidP="006D5B20">
      <w:r w:rsidRPr="003410C7">
        <w:rPr>
          <w:rFonts w:cs="Tahoma"/>
          <w:color w:val="000000"/>
          <w:szCs w:val="18"/>
        </w:rPr>
        <w:t>Exchange Online Protection (SL per Utente)</w:t>
      </w:r>
    </w:p>
    <w:p w:rsidR="00140B67" w:rsidRPr="003410C7" w:rsidRDefault="00140B67" w:rsidP="006D6A83">
      <w:r w:rsidRPr="003410C7">
        <w:rPr>
          <w:rFonts w:cs="Tahoma"/>
          <w:color w:val="000000"/>
          <w:szCs w:val="18"/>
        </w:rPr>
        <w:t>Office 365 Midsize Business (SL per Utente)</w:t>
      </w:r>
    </w:p>
    <w:p w:rsidR="00707E03" w:rsidRDefault="006D5B20" w:rsidP="006D6A83">
      <w:pPr>
        <w:rPr>
          <w:rFonts w:cs="Tahoma"/>
          <w:color w:val="000000"/>
          <w:szCs w:val="18"/>
          <w:lang w:val="it-IT"/>
        </w:rPr>
      </w:pPr>
      <w:r w:rsidRPr="00451078">
        <w:rPr>
          <w:rFonts w:cs="Tahoma"/>
          <w:color w:val="000000"/>
          <w:szCs w:val="18"/>
          <w:lang w:val="it-IT"/>
        </w:rPr>
        <w:t xml:space="preserve">Office 365 Piano E1 (SL per Utente) </w:t>
      </w:r>
    </w:p>
    <w:p w:rsidR="00170CFB" w:rsidRPr="00451078" w:rsidRDefault="006D5B20" w:rsidP="006D6A83">
      <w:pPr>
        <w:rPr>
          <w:lang w:val="it-IT"/>
        </w:rPr>
      </w:pPr>
      <w:r w:rsidRPr="00451078">
        <w:rPr>
          <w:rFonts w:cs="Tahoma"/>
          <w:color w:val="000000"/>
          <w:szCs w:val="18"/>
          <w:lang w:val="it-IT"/>
        </w:rPr>
        <w:t>SQL Server</w:t>
      </w:r>
      <w:r w:rsidR="003410C7" w:rsidRPr="00451078">
        <w:rPr>
          <w:rFonts w:cs="Tahoma"/>
          <w:color w:val="000000"/>
          <w:szCs w:val="18"/>
          <w:vertAlign w:val="superscript"/>
          <w:lang w:val="it-IT"/>
        </w:rPr>
        <w:t>®</w:t>
      </w:r>
      <w:r w:rsidRPr="00451078">
        <w:rPr>
          <w:rFonts w:cs="Tahoma"/>
          <w:color w:val="000000"/>
          <w:szCs w:val="18"/>
          <w:lang w:val="it-IT"/>
        </w:rPr>
        <w:t xml:space="preserve"> 2012 Parallel Data Warehouse</w:t>
      </w:r>
    </w:p>
    <w:p w:rsidR="006D5B20" w:rsidRPr="003410C7" w:rsidRDefault="006D5B20" w:rsidP="006D5B20">
      <w:r w:rsidRPr="003410C7">
        <w:rPr>
          <w:rFonts w:cs="Tahoma"/>
          <w:color w:val="000000"/>
          <w:szCs w:val="18"/>
        </w:rPr>
        <w:t xml:space="preserve">Project Online </w:t>
      </w:r>
    </w:p>
    <w:p w:rsidR="006D5B20" w:rsidRPr="003410C7" w:rsidRDefault="006D5B20" w:rsidP="006D5B20">
      <w:r w:rsidRPr="003410C7">
        <w:rPr>
          <w:rFonts w:cs="Tahoma"/>
          <w:color w:val="000000"/>
          <w:szCs w:val="18"/>
        </w:rPr>
        <w:t>Project Online A</w:t>
      </w:r>
      <w:r w:rsidR="00082E1C">
        <w:rPr>
          <w:rFonts w:cs="Tahoma"/>
          <w:color w:val="000000"/>
          <w:szCs w:val="18"/>
        </w:rPr>
        <w:t xml:space="preserve"> </w:t>
      </w:r>
    </w:p>
    <w:p w:rsidR="006D5B20" w:rsidRPr="003410C7" w:rsidRDefault="006D5B20" w:rsidP="006D5B20">
      <w:r w:rsidRPr="003410C7">
        <w:rPr>
          <w:rFonts w:cs="Tahoma"/>
          <w:color w:val="000000"/>
          <w:szCs w:val="18"/>
        </w:rPr>
        <w:t xml:space="preserve">Project Pro per Office 365 </w:t>
      </w:r>
    </w:p>
    <w:p w:rsidR="006D5B20" w:rsidRPr="003410C7" w:rsidRDefault="006D5B20" w:rsidP="006D5B20">
      <w:r w:rsidRPr="003410C7">
        <w:rPr>
          <w:rFonts w:cs="Tahoma"/>
          <w:color w:val="000000"/>
          <w:szCs w:val="18"/>
        </w:rPr>
        <w:t>Project Pro per Office 365 A</w:t>
      </w:r>
      <w:r w:rsidR="00082E1C">
        <w:rPr>
          <w:rFonts w:cs="Tahoma"/>
          <w:color w:val="000000"/>
          <w:szCs w:val="18"/>
        </w:rPr>
        <w:t xml:space="preserve"> </w:t>
      </w:r>
    </w:p>
    <w:p w:rsidR="00170CFB" w:rsidRPr="003410C7" w:rsidRDefault="00170CFB" w:rsidP="006D6A83">
      <w:r w:rsidRPr="003410C7">
        <w:rPr>
          <w:rFonts w:cs="Tahoma"/>
          <w:color w:val="000000"/>
          <w:szCs w:val="18"/>
        </w:rPr>
        <w:t>SQL Server</w:t>
      </w:r>
      <w:r w:rsidR="003410C7" w:rsidRPr="003410C7">
        <w:rPr>
          <w:rFonts w:cs="Tahoma"/>
          <w:color w:val="000000"/>
          <w:szCs w:val="18"/>
          <w:vertAlign w:val="superscript"/>
        </w:rPr>
        <w:t>®</w:t>
      </w:r>
      <w:r w:rsidRPr="003410C7">
        <w:rPr>
          <w:rFonts w:cs="Tahoma"/>
          <w:color w:val="000000"/>
          <w:szCs w:val="18"/>
        </w:rPr>
        <w:t xml:space="preserve"> 2012 Parallel Data Warehouse Developer</w:t>
      </w:r>
    </w:p>
    <w:p w:rsidR="00170CFB" w:rsidRPr="00451078" w:rsidRDefault="00170CFB" w:rsidP="006D6A83">
      <w:pPr>
        <w:rPr>
          <w:lang w:val="it-IT"/>
        </w:rPr>
      </w:pPr>
      <w:r w:rsidRPr="00451078">
        <w:rPr>
          <w:rFonts w:cs="Tahoma"/>
          <w:color w:val="000000"/>
          <w:szCs w:val="18"/>
          <w:lang w:val="it-IT"/>
        </w:rPr>
        <w:t>Visio Pro per Office 365 A</w:t>
      </w:r>
      <w:r w:rsidR="00082E1C" w:rsidRPr="00451078">
        <w:rPr>
          <w:rFonts w:cs="Tahoma"/>
          <w:color w:val="000000"/>
          <w:szCs w:val="18"/>
          <w:lang w:val="it-IT"/>
        </w:rPr>
        <w:t xml:space="preserve"> </w:t>
      </w:r>
    </w:p>
    <w:p w:rsidR="00170CFB" w:rsidRPr="00451078" w:rsidRDefault="00170CFB" w:rsidP="006D6A83">
      <w:pPr>
        <w:rPr>
          <w:lang w:val="it-IT"/>
        </w:rPr>
      </w:pPr>
      <w:r w:rsidRPr="00451078">
        <w:rPr>
          <w:rFonts w:cs="Tahoma"/>
          <w:color w:val="000000"/>
          <w:szCs w:val="18"/>
          <w:lang w:val="it-IT"/>
        </w:rPr>
        <w:t xml:space="preserve">Visio Pro per Office 365 </w:t>
      </w:r>
    </w:p>
    <w:p w:rsidR="00170CFB" w:rsidRPr="00DC1102" w:rsidRDefault="00170CFB" w:rsidP="006D6A83">
      <w:pPr>
        <w:rPr>
          <w:lang w:val="fr-FR"/>
        </w:rPr>
      </w:pPr>
      <w:r w:rsidRPr="00DC1102">
        <w:rPr>
          <w:rFonts w:cs="Tahoma"/>
          <w:color w:val="000000"/>
          <w:szCs w:val="18"/>
          <w:lang w:val="fr-FR"/>
        </w:rPr>
        <w:t xml:space="preserve">Yammer Enterprise </w:t>
      </w:r>
    </w:p>
    <w:p w:rsidR="004759C6" w:rsidRPr="00DC1102" w:rsidRDefault="004759C6" w:rsidP="004759C6">
      <w:pPr>
        <w:keepNext/>
        <w:tabs>
          <w:tab w:val="num" w:pos="720"/>
        </w:tabs>
        <w:outlineLvl w:val="3"/>
        <w:rPr>
          <w:lang w:val="fr-FR"/>
        </w:rPr>
      </w:pPr>
    </w:p>
    <w:p w:rsidR="004759C6" w:rsidRPr="00DC1102" w:rsidRDefault="004759C6" w:rsidP="004759C6">
      <w:pPr>
        <w:spacing w:after="60"/>
        <w:rPr>
          <w:lang w:val="fr-FR"/>
        </w:rPr>
      </w:pPr>
      <w:r w:rsidRPr="00DC1102">
        <w:rPr>
          <w:b/>
          <w:lang w:val="fr-FR"/>
        </w:rPr>
        <w:t>Modifiche</w:t>
      </w:r>
    </w:p>
    <w:p w:rsidR="00497ADA" w:rsidRPr="00DC1102" w:rsidRDefault="00497ADA" w:rsidP="006D5B20">
      <w:pPr>
        <w:rPr>
          <w:lang w:val="fr-FR"/>
        </w:rPr>
      </w:pPr>
      <w:r w:rsidRPr="00DC1102">
        <w:rPr>
          <w:rFonts w:cs="Tahoma"/>
          <w:color w:val="000000"/>
          <w:szCs w:val="18"/>
          <w:lang w:val="fr-FR"/>
        </w:rPr>
        <w:t>Dynamics CRM Online</w:t>
      </w:r>
    </w:p>
    <w:p w:rsidR="006D5B20" w:rsidRPr="00451078" w:rsidRDefault="006D5B20" w:rsidP="006D5B20">
      <w:pPr>
        <w:rPr>
          <w:lang w:val="it-IT"/>
        </w:rPr>
      </w:pPr>
      <w:r w:rsidRPr="00451078">
        <w:rPr>
          <w:rFonts w:cs="Tahoma"/>
          <w:color w:val="000000"/>
          <w:szCs w:val="18"/>
          <w:lang w:val="it-IT"/>
        </w:rPr>
        <w:t>Archiviazione Exchange Online per Exchange Server</w:t>
      </w:r>
    </w:p>
    <w:p w:rsidR="006D5B20" w:rsidRPr="00451078" w:rsidRDefault="006D5B20" w:rsidP="006D5B20">
      <w:pPr>
        <w:rPr>
          <w:lang w:val="it-IT"/>
        </w:rPr>
      </w:pPr>
      <w:r w:rsidRPr="00451078">
        <w:rPr>
          <w:rFonts w:cs="Tahoma"/>
          <w:color w:val="000000"/>
          <w:szCs w:val="18"/>
          <w:lang w:val="it-IT"/>
        </w:rPr>
        <w:t>Exchange Online Piano 1 (SL per Utente)</w:t>
      </w:r>
    </w:p>
    <w:p w:rsidR="006D5B20" w:rsidRPr="00451078" w:rsidRDefault="006D5B20" w:rsidP="006D5B20">
      <w:pPr>
        <w:rPr>
          <w:lang w:val="it-IT"/>
        </w:rPr>
      </w:pPr>
      <w:r w:rsidRPr="00451078">
        <w:rPr>
          <w:rFonts w:cs="Tahoma"/>
          <w:color w:val="000000"/>
          <w:szCs w:val="18"/>
          <w:lang w:val="it-IT"/>
        </w:rPr>
        <w:t>Exchange Online Piano 2 (SL per Utente)</w:t>
      </w:r>
    </w:p>
    <w:p w:rsidR="006D5B20" w:rsidRPr="00451078" w:rsidRDefault="006D5B20" w:rsidP="006D5B20">
      <w:pPr>
        <w:rPr>
          <w:lang w:val="it-IT"/>
        </w:rPr>
      </w:pPr>
      <w:r w:rsidRPr="00451078">
        <w:rPr>
          <w:rFonts w:cs="Tahoma"/>
          <w:color w:val="000000"/>
          <w:szCs w:val="18"/>
          <w:lang w:val="it-IT"/>
        </w:rPr>
        <w:t>Exchange Online Piano 1A per Ex Allievi (SL per Utente)</w:t>
      </w:r>
    </w:p>
    <w:p w:rsidR="006D5B20" w:rsidRPr="00451078" w:rsidRDefault="006D5B20" w:rsidP="006D5B20">
      <w:pPr>
        <w:rPr>
          <w:lang w:val="it-IT"/>
        </w:rPr>
      </w:pPr>
      <w:r w:rsidRPr="00451078">
        <w:rPr>
          <w:rFonts w:cs="Tahoma"/>
          <w:color w:val="000000"/>
          <w:szCs w:val="18"/>
          <w:lang w:val="it-IT"/>
        </w:rPr>
        <w:t>Exchange Online Piano 2A (SL per Utente)</w:t>
      </w:r>
    </w:p>
    <w:p w:rsidR="006D5B20" w:rsidRPr="00451078" w:rsidRDefault="006D5B20" w:rsidP="006D5B20">
      <w:pPr>
        <w:rPr>
          <w:lang w:val="it-IT"/>
        </w:rPr>
      </w:pPr>
      <w:r w:rsidRPr="00451078">
        <w:rPr>
          <w:rFonts w:cs="Tahoma"/>
          <w:color w:val="000000"/>
          <w:szCs w:val="18"/>
          <w:lang w:val="it-IT"/>
        </w:rPr>
        <w:t>Lync Online Piano 3A (SL per Utente)</w:t>
      </w:r>
    </w:p>
    <w:p w:rsidR="00497ADA" w:rsidRPr="00451078" w:rsidRDefault="00497ADA" w:rsidP="006D5B20">
      <w:pPr>
        <w:rPr>
          <w:lang w:val="it-IT"/>
        </w:rPr>
      </w:pPr>
      <w:r w:rsidRPr="00451078">
        <w:rPr>
          <w:rFonts w:cs="Tahoma"/>
          <w:color w:val="000000"/>
          <w:szCs w:val="18"/>
          <w:lang w:val="it-IT"/>
        </w:rPr>
        <w:t>Microsoft Dynamics CRM 2011 Server</w:t>
      </w:r>
    </w:p>
    <w:p w:rsidR="006D5B20" w:rsidRPr="00451078" w:rsidRDefault="006D5B20" w:rsidP="006D5B20">
      <w:pPr>
        <w:rPr>
          <w:lang w:val="it-IT"/>
        </w:rPr>
      </w:pPr>
      <w:r w:rsidRPr="00451078">
        <w:rPr>
          <w:rFonts w:cs="Tahoma"/>
          <w:color w:val="000000"/>
          <w:szCs w:val="18"/>
          <w:lang w:val="it-IT"/>
        </w:rPr>
        <w:t>Offerte di Supporto per Microsoft Windows Azure</w:t>
      </w:r>
    </w:p>
    <w:p w:rsidR="006D5B20" w:rsidRPr="00451078" w:rsidRDefault="006D5B20" w:rsidP="006D5B20">
      <w:pPr>
        <w:rPr>
          <w:lang w:val="it-IT"/>
        </w:rPr>
      </w:pPr>
      <w:r w:rsidRPr="00451078">
        <w:rPr>
          <w:rFonts w:cs="Tahoma"/>
          <w:color w:val="000000"/>
          <w:szCs w:val="18"/>
          <w:lang w:val="it-IT"/>
        </w:rPr>
        <w:t>Office 365 A2 (SL per Utente)</w:t>
      </w:r>
    </w:p>
    <w:p w:rsidR="006D5B20" w:rsidRPr="00451078" w:rsidRDefault="006D5B20" w:rsidP="006D5B20">
      <w:pPr>
        <w:rPr>
          <w:lang w:val="it-IT"/>
        </w:rPr>
      </w:pPr>
      <w:r w:rsidRPr="00451078">
        <w:rPr>
          <w:rFonts w:cs="Tahoma"/>
          <w:color w:val="000000"/>
          <w:szCs w:val="18"/>
          <w:lang w:val="it-IT"/>
        </w:rPr>
        <w:t>Office 365 A3 (SL per Utente)</w:t>
      </w:r>
    </w:p>
    <w:p w:rsidR="006D5B20" w:rsidRPr="00451078" w:rsidRDefault="006D5B20" w:rsidP="006D5B20">
      <w:pPr>
        <w:rPr>
          <w:lang w:val="it-IT"/>
        </w:rPr>
      </w:pPr>
      <w:r w:rsidRPr="00451078">
        <w:rPr>
          <w:rFonts w:cs="Tahoma"/>
          <w:color w:val="000000"/>
          <w:szCs w:val="18"/>
          <w:lang w:val="it-IT"/>
        </w:rPr>
        <w:t>Office 365 A4 (SL per Utente)</w:t>
      </w:r>
    </w:p>
    <w:p w:rsidR="006D5B20" w:rsidRPr="00451078" w:rsidRDefault="006D5B20" w:rsidP="006D5B20">
      <w:pPr>
        <w:rPr>
          <w:lang w:val="it-IT"/>
        </w:rPr>
      </w:pPr>
      <w:r w:rsidRPr="00451078">
        <w:rPr>
          <w:rFonts w:cs="Tahoma"/>
          <w:color w:val="000000"/>
          <w:szCs w:val="18"/>
          <w:lang w:val="it-IT"/>
        </w:rPr>
        <w:t>Sottoscrizione Office Professional Plus A (SL per Utente)</w:t>
      </w:r>
    </w:p>
    <w:p w:rsidR="006D5B20" w:rsidRPr="003410C7" w:rsidRDefault="006D5B20" w:rsidP="006D5B20">
      <w:r w:rsidRPr="003410C7">
        <w:rPr>
          <w:rFonts w:cs="Tahoma"/>
          <w:color w:val="000000"/>
          <w:szCs w:val="18"/>
        </w:rPr>
        <w:t>Office Web Applications con SharePoint Piano 2A (SL per utente)</w:t>
      </w:r>
    </w:p>
    <w:p w:rsidR="006D5B20" w:rsidRPr="003410C7" w:rsidRDefault="006D5B20" w:rsidP="006D6A83">
      <w:r w:rsidRPr="003410C7">
        <w:rPr>
          <w:rFonts w:cs="Tahoma"/>
          <w:color w:val="000000"/>
          <w:szCs w:val="18"/>
        </w:rPr>
        <w:t>SharePoint™ Online Extra Storage 1 GB A (SL Add-on)</w:t>
      </w:r>
    </w:p>
    <w:p w:rsidR="00170CFB" w:rsidRPr="00451078" w:rsidRDefault="00170CFB" w:rsidP="006D6A83">
      <w:pPr>
        <w:rPr>
          <w:lang w:val="it-IT"/>
        </w:rPr>
      </w:pPr>
      <w:r w:rsidRPr="00451078">
        <w:rPr>
          <w:rFonts w:cs="Tahoma"/>
          <w:color w:val="000000"/>
          <w:szCs w:val="18"/>
          <w:lang w:val="it-IT"/>
        </w:rPr>
        <w:t>Licenza di Gestione Server Enterprise per System Center Configuration Manager 2007 R3</w:t>
      </w:r>
    </w:p>
    <w:p w:rsidR="00170CFB" w:rsidRPr="00451078" w:rsidRDefault="00170CFB" w:rsidP="006D6A83">
      <w:pPr>
        <w:rPr>
          <w:lang w:val="it-IT"/>
        </w:rPr>
      </w:pPr>
      <w:r w:rsidRPr="00451078">
        <w:rPr>
          <w:rFonts w:cs="Tahoma"/>
          <w:color w:val="000000"/>
          <w:szCs w:val="18"/>
          <w:lang w:val="it-IT"/>
        </w:rPr>
        <w:t>Licenza di Gestione Server Standard (Standard Server ML) per System Center Configuration Manager 2007 R3</w:t>
      </w:r>
    </w:p>
    <w:p w:rsidR="00170CFB" w:rsidRPr="00451078" w:rsidRDefault="00170CFB" w:rsidP="006D6A83">
      <w:pPr>
        <w:rPr>
          <w:lang w:val="it-IT"/>
        </w:rPr>
      </w:pPr>
      <w:r w:rsidRPr="00451078">
        <w:rPr>
          <w:rFonts w:cs="Tahoma"/>
          <w:color w:val="000000"/>
          <w:szCs w:val="18"/>
          <w:lang w:val="it-IT"/>
        </w:rPr>
        <w:t>Licenza di Gestione Server Enterprise per System Center Data Protection Manager 2010</w:t>
      </w:r>
    </w:p>
    <w:p w:rsidR="00170CFB" w:rsidRPr="00451078" w:rsidRDefault="00170CFB" w:rsidP="006D6A83">
      <w:pPr>
        <w:rPr>
          <w:lang w:val="it-IT"/>
        </w:rPr>
      </w:pPr>
      <w:r w:rsidRPr="00451078">
        <w:rPr>
          <w:rFonts w:cs="Tahoma"/>
          <w:color w:val="000000"/>
          <w:szCs w:val="18"/>
          <w:lang w:val="it-IT"/>
        </w:rPr>
        <w:t>Licenza di Gestione Server Standard per System Center Data Protection Manager 2010</w:t>
      </w:r>
    </w:p>
    <w:p w:rsidR="00170CFB" w:rsidRPr="00451078" w:rsidRDefault="00170CFB" w:rsidP="006D6A83">
      <w:pPr>
        <w:rPr>
          <w:lang w:val="it-IT"/>
        </w:rPr>
      </w:pPr>
      <w:r w:rsidRPr="00451078">
        <w:rPr>
          <w:rFonts w:cs="Tahoma"/>
          <w:color w:val="000000"/>
          <w:szCs w:val="18"/>
          <w:lang w:val="it-IT"/>
        </w:rPr>
        <w:t>Licenza di Gestione Client per Utente per System Center Operations Manager 2007 R2</w:t>
      </w:r>
    </w:p>
    <w:p w:rsidR="00170CFB" w:rsidRPr="00451078" w:rsidRDefault="00170CFB" w:rsidP="006D6A83">
      <w:pPr>
        <w:rPr>
          <w:lang w:val="it-IT"/>
        </w:rPr>
      </w:pPr>
      <w:r w:rsidRPr="00451078">
        <w:rPr>
          <w:rFonts w:cs="Tahoma"/>
          <w:color w:val="000000"/>
          <w:szCs w:val="18"/>
          <w:lang w:val="it-IT"/>
        </w:rPr>
        <w:t>Licenza di Gestione Client per OSE per System Center Operations Manager 2007 R2</w:t>
      </w:r>
    </w:p>
    <w:p w:rsidR="00170CFB" w:rsidRPr="00451078" w:rsidRDefault="00170CFB" w:rsidP="006D6A83">
      <w:pPr>
        <w:rPr>
          <w:lang w:val="it-IT"/>
        </w:rPr>
      </w:pPr>
      <w:r w:rsidRPr="00451078">
        <w:rPr>
          <w:rFonts w:cs="Tahoma"/>
          <w:color w:val="000000"/>
          <w:szCs w:val="18"/>
          <w:lang w:val="it-IT"/>
        </w:rPr>
        <w:t>Licenza di Gestione Server Enterprise per System Center Operations Manager 2007 R2</w:t>
      </w:r>
    </w:p>
    <w:p w:rsidR="00170CFB" w:rsidRPr="00451078" w:rsidRDefault="00170CFB" w:rsidP="006D6A83">
      <w:pPr>
        <w:rPr>
          <w:lang w:val="it-IT"/>
        </w:rPr>
      </w:pPr>
      <w:r w:rsidRPr="00451078">
        <w:rPr>
          <w:rFonts w:cs="Tahoma"/>
          <w:color w:val="000000"/>
          <w:szCs w:val="18"/>
          <w:lang w:val="it-IT"/>
        </w:rPr>
        <w:t>Licenza di Gestione Server Standard per System Center Operations Manager 2007 R2</w:t>
      </w:r>
    </w:p>
    <w:p w:rsidR="00170CFB" w:rsidRPr="00451078" w:rsidRDefault="00170CFB" w:rsidP="006D6A83">
      <w:pPr>
        <w:rPr>
          <w:lang w:val="it-IT"/>
        </w:rPr>
      </w:pPr>
      <w:r w:rsidRPr="00451078">
        <w:rPr>
          <w:rFonts w:cs="Tahoma"/>
          <w:color w:val="000000"/>
          <w:szCs w:val="18"/>
          <w:lang w:val="it-IT"/>
        </w:rPr>
        <w:t>Licenza di Gestione Client (Client ML) per Utente per System Center Service Manager 2010</w:t>
      </w:r>
    </w:p>
    <w:p w:rsidR="00170CFB" w:rsidRPr="00451078" w:rsidRDefault="00170CFB" w:rsidP="006D6A83">
      <w:pPr>
        <w:rPr>
          <w:lang w:val="it-IT"/>
        </w:rPr>
      </w:pPr>
      <w:r w:rsidRPr="00451078">
        <w:rPr>
          <w:rFonts w:cs="Tahoma"/>
          <w:color w:val="000000"/>
          <w:szCs w:val="18"/>
          <w:lang w:val="it-IT"/>
        </w:rPr>
        <w:t>Licenza di Gestione Client (Client ML) per OSE per System Center Service Manager 2010</w:t>
      </w:r>
    </w:p>
    <w:p w:rsidR="00170CFB" w:rsidRPr="00451078" w:rsidRDefault="00170CFB" w:rsidP="006D6A83">
      <w:pPr>
        <w:rPr>
          <w:lang w:val="it-IT"/>
        </w:rPr>
      </w:pPr>
      <w:r w:rsidRPr="00451078">
        <w:rPr>
          <w:rFonts w:cs="Tahoma"/>
          <w:color w:val="000000"/>
          <w:szCs w:val="18"/>
          <w:lang w:val="it-IT"/>
        </w:rPr>
        <w:t>Licenza di Gestione Server (Server ML) per OSE per System Center Service Manager 2010</w:t>
      </w:r>
    </w:p>
    <w:p w:rsidR="00170CFB" w:rsidRPr="00451078" w:rsidRDefault="00170CFB" w:rsidP="006D6A83">
      <w:pPr>
        <w:rPr>
          <w:lang w:val="it-IT"/>
        </w:rPr>
      </w:pPr>
      <w:r w:rsidRPr="00451078">
        <w:rPr>
          <w:rFonts w:cs="Tahoma"/>
          <w:color w:val="000000"/>
          <w:szCs w:val="18"/>
          <w:lang w:val="it-IT"/>
        </w:rPr>
        <w:t>Licenza di Gestione Client per Utente per System Center Virtual Machine Manager 2008 R2</w:t>
      </w:r>
    </w:p>
    <w:p w:rsidR="00170CFB" w:rsidRPr="00451078" w:rsidRDefault="00170CFB" w:rsidP="006D6A83">
      <w:pPr>
        <w:rPr>
          <w:lang w:val="it-IT"/>
        </w:rPr>
      </w:pPr>
      <w:r w:rsidRPr="00451078">
        <w:rPr>
          <w:rFonts w:cs="Tahoma"/>
          <w:color w:val="000000"/>
          <w:szCs w:val="18"/>
          <w:lang w:val="it-IT"/>
        </w:rPr>
        <w:t>Licenza di Gestione Client per OSE per System Center Virtual Machine Manager 2008 R2</w:t>
      </w:r>
    </w:p>
    <w:p w:rsidR="00170CFB" w:rsidRPr="00451078" w:rsidRDefault="00170CFB" w:rsidP="006D6A83">
      <w:pPr>
        <w:rPr>
          <w:lang w:val="it-IT"/>
        </w:rPr>
      </w:pPr>
      <w:r w:rsidRPr="00451078">
        <w:rPr>
          <w:rFonts w:cs="Tahoma"/>
          <w:color w:val="000000"/>
          <w:szCs w:val="18"/>
          <w:lang w:val="it-IT"/>
        </w:rPr>
        <w:t>Licenza di Gestione Server per System Center Virtual Machine Manager 2008 R2 Enterprise</w:t>
      </w:r>
    </w:p>
    <w:p w:rsidR="0064651F" w:rsidRPr="00451078" w:rsidRDefault="00497ADA">
      <w:pPr>
        <w:rPr>
          <w:lang w:val="it-IT"/>
        </w:rPr>
      </w:pPr>
      <w:r w:rsidRPr="00451078">
        <w:rPr>
          <w:rFonts w:cs="Tahoma"/>
          <w:color w:val="000000"/>
          <w:szCs w:val="18"/>
          <w:lang w:val="it-IT"/>
        </w:rPr>
        <w:t>Windows Intune USL</w:t>
      </w:r>
    </w:p>
    <w:p w:rsidR="00B708BF" w:rsidRPr="00451078" w:rsidRDefault="00B708BF">
      <w:pPr>
        <w:rPr>
          <w:lang w:val="it-IT"/>
        </w:rPr>
      </w:pPr>
    </w:p>
    <w:p w:rsidR="004759C6" w:rsidRPr="00451078" w:rsidRDefault="004759C6" w:rsidP="0064651F">
      <w:pPr>
        <w:keepNext/>
        <w:tabs>
          <w:tab w:val="num" w:pos="720"/>
        </w:tabs>
        <w:spacing w:after="60"/>
        <w:outlineLvl w:val="3"/>
        <w:rPr>
          <w:lang w:val="it-IT"/>
        </w:rPr>
      </w:pPr>
      <w:r w:rsidRPr="00451078">
        <w:rPr>
          <w:b/>
          <w:lang w:val="it-IT"/>
        </w:rPr>
        <w:t>Prodotti Eliminati</w:t>
      </w:r>
    </w:p>
    <w:p w:rsidR="006D5B20" w:rsidRPr="00451078" w:rsidRDefault="006D5B20" w:rsidP="006D5B20">
      <w:pPr>
        <w:rPr>
          <w:lang w:val="it-IT"/>
        </w:rPr>
      </w:pPr>
      <w:r w:rsidRPr="00451078">
        <w:rPr>
          <w:rFonts w:cs="Tahoma"/>
          <w:color w:val="000000"/>
          <w:szCs w:val="18"/>
          <w:lang w:val="it-IT"/>
        </w:rPr>
        <w:t>Expression Studio Professional 4</w:t>
      </w:r>
    </w:p>
    <w:p w:rsidR="006D5B20" w:rsidRPr="00451078" w:rsidRDefault="006D5B20" w:rsidP="006D5B20">
      <w:pPr>
        <w:rPr>
          <w:lang w:val="it-IT"/>
        </w:rPr>
      </w:pPr>
      <w:r w:rsidRPr="00451078">
        <w:rPr>
          <w:rFonts w:cs="Tahoma"/>
          <w:color w:val="000000"/>
          <w:szCs w:val="18"/>
          <w:lang w:val="it-IT"/>
        </w:rPr>
        <w:t>Expression Studio Ultimate 4</w:t>
      </w:r>
    </w:p>
    <w:p w:rsidR="006D5B20" w:rsidRPr="00DC1102" w:rsidRDefault="006D5B20" w:rsidP="006D5B20">
      <w:pPr>
        <w:rPr>
          <w:lang w:val="it-IT"/>
        </w:rPr>
      </w:pPr>
      <w:r w:rsidRPr="00DC1102">
        <w:rPr>
          <w:rFonts w:cs="Tahoma"/>
          <w:color w:val="000000"/>
          <w:szCs w:val="18"/>
          <w:lang w:val="it-IT"/>
        </w:rPr>
        <w:t>Office Web Applications A (SL per Utente)</w:t>
      </w:r>
    </w:p>
    <w:p w:rsidR="006D5B20" w:rsidRPr="00DC1102" w:rsidRDefault="006D5B20" w:rsidP="006D5B20">
      <w:pPr>
        <w:rPr>
          <w:lang w:val="it-IT"/>
        </w:rPr>
      </w:pPr>
      <w:r w:rsidRPr="00DC1102">
        <w:rPr>
          <w:rFonts w:cs="Tahoma"/>
          <w:color w:val="000000"/>
          <w:szCs w:val="18"/>
          <w:lang w:val="it-IT"/>
        </w:rPr>
        <w:t>SQL Server</w:t>
      </w:r>
      <w:r w:rsidR="003410C7" w:rsidRPr="00DC1102">
        <w:rPr>
          <w:rFonts w:cs="Tahoma"/>
          <w:color w:val="000000"/>
          <w:szCs w:val="18"/>
          <w:vertAlign w:val="superscript"/>
          <w:lang w:val="it-IT"/>
        </w:rPr>
        <w:t>®</w:t>
      </w:r>
      <w:r w:rsidRPr="00DC1102">
        <w:rPr>
          <w:rFonts w:cs="Tahoma"/>
          <w:color w:val="000000"/>
          <w:szCs w:val="18"/>
          <w:lang w:val="it-IT"/>
        </w:rPr>
        <w:t xml:space="preserve"> 2008 R2 Parallel Data Warehouse</w:t>
      </w:r>
    </w:p>
    <w:p w:rsidR="006D5B20" w:rsidRPr="00DC1102" w:rsidRDefault="006D5B20" w:rsidP="006D5B20">
      <w:pPr>
        <w:rPr>
          <w:lang w:val="it-IT"/>
        </w:rPr>
      </w:pPr>
      <w:r w:rsidRPr="00DC1102">
        <w:rPr>
          <w:rFonts w:cs="Tahoma"/>
          <w:color w:val="000000"/>
          <w:szCs w:val="18"/>
          <w:lang w:val="it-IT"/>
        </w:rPr>
        <w:t>SQL Server</w:t>
      </w:r>
      <w:r w:rsidR="003410C7" w:rsidRPr="00DC1102">
        <w:rPr>
          <w:rFonts w:cs="Tahoma"/>
          <w:color w:val="000000"/>
          <w:szCs w:val="18"/>
          <w:vertAlign w:val="superscript"/>
          <w:lang w:val="it-IT"/>
        </w:rPr>
        <w:t>®</w:t>
      </w:r>
      <w:r w:rsidRPr="00DC1102">
        <w:rPr>
          <w:rFonts w:cs="Tahoma"/>
          <w:color w:val="000000"/>
          <w:szCs w:val="18"/>
          <w:lang w:val="it-IT"/>
        </w:rPr>
        <w:t xml:space="preserve"> 2008 R2 Parallel Data Warehouse Developer</w:t>
      </w:r>
    </w:p>
    <w:p w:rsidR="00170CFB" w:rsidRPr="00DC1102" w:rsidRDefault="00170CFB" w:rsidP="006D6A83">
      <w:pPr>
        <w:rPr>
          <w:lang w:val="it-IT"/>
        </w:rPr>
      </w:pPr>
      <w:r w:rsidRPr="00DC1102">
        <w:rPr>
          <w:rFonts w:cs="Tahoma"/>
          <w:color w:val="000000"/>
          <w:szCs w:val="18"/>
          <w:lang w:val="it-IT"/>
        </w:rPr>
        <w:lastRenderedPageBreak/>
        <w:t>System Center Configuration Manager 2007 R3</w:t>
      </w:r>
    </w:p>
    <w:p w:rsidR="00170CFB" w:rsidRPr="00451078" w:rsidRDefault="00170CFB" w:rsidP="006D6A83">
      <w:pPr>
        <w:rPr>
          <w:lang w:val="it-IT"/>
        </w:rPr>
      </w:pPr>
      <w:r w:rsidRPr="00451078">
        <w:rPr>
          <w:rFonts w:cs="Tahoma"/>
          <w:color w:val="000000"/>
          <w:szCs w:val="18"/>
          <w:lang w:val="it-IT"/>
        </w:rPr>
        <w:t>System Center Configuration Manager 2007 R3 con Tecnologia SQL Server 2008</w:t>
      </w:r>
    </w:p>
    <w:p w:rsidR="00170CFB" w:rsidRPr="00451078" w:rsidRDefault="00170CFB" w:rsidP="006D6A83">
      <w:pPr>
        <w:rPr>
          <w:lang w:val="it-IT"/>
        </w:rPr>
      </w:pPr>
      <w:r w:rsidRPr="00451078">
        <w:rPr>
          <w:rFonts w:cs="Tahoma"/>
          <w:color w:val="000000"/>
          <w:szCs w:val="18"/>
          <w:lang w:val="it-IT"/>
        </w:rPr>
        <w:t>Licenza di Gestione Client per Utente per System Center Data Protection Manager 2010</w:t>
      </w:r>
    </w:p>
    <w:p w:rsidR="00170CFB" w:rsidRPr="00451078" w:rsidRDefault="00170CFB" w:rsidP="006D6A83">
      <w:pPr>
        <w:rPr>
          <w:lang w:val="it-IT"/>
        </w:rPr>
      </w:pPr>
      <w:r w:rsidRPr="00451078">
        <w:rPr>
          <w:rFonts w:cs="Tahoma"/>
          <w:color w:val="000000"/>
          <w:szCs w:val="18"/>
          <w:lang w:val="it-IT"/>
        </w:rPr>
        <w:t>Licenza di Gestione Client per OSE per System Center Data Protection Manager 2010</w:t>
      </w:r>
    </w:p>
    <w:p w:rsidR="00170CFB" w:rsidRPr="00451078" w:rsidRDefault="00170CFB" w:rsidP="006D6A83">
      <w:pPr>
        <w:rPr>
          <w:lang w:val="it-IT"/>
        </w:rPr>
      </w:pPr>
      <w:r w:rsidRPr="00451078">
        <w:rPr>
          <w:rFonts w:cs="Tahoma"/>
          <w:color w:val="000000"/>
          <w:szCs w:val="18"/>
          <w:lang w:val="it-IT"/>
        </w:rPr>
        <w:t>System Center Operations Manager 2007 R2</w:t>
      </w:r>
    </w:p>
    <w:p w:rsidR="00170CFB" w:rsidRPr="00451078" w:rsidRDefault="00170CFB" w:rsidP="006D6A83">
      <w:pPr>
        <w:rPr>
          <w:lang w:val="it-IT"/>
        </w:rPr>
      </w:pPr>
      <w:r w:rsidRPr="00451078">
        <w:rPr>
          <w:rFonts w:cs="Tahoma"/>
          <w:color w:val="000000"/>
          <w:szCs w:val="18"/>
          <w:lang w:val="it-IT"/>
        </w:rPr>
        <w:t>System Center Operations Manager 2007 R2 con Tecnologia SQL Server 2008</w:t>
      </w:r>
    </w:p>
    <w:p w:rsidR="00170CFB" w:rsidRPr="00451078" w:rsidRDefault="00170CFB" w:rsidP="006D6A83">
      <w:pPr>
        <w:rPr>
          <w:lang w:val="it-IT"/>
        </w:rPr>
      </w:pPr>
      <w:r w:rsidRPr="00451078">
        <w:rPr>
          <w:rFonts w:cs="Tahoma"/>
          <w:color w:val="000000"/>
          <w:szCs w:val="18"/>
          <w:lang w:val="it-IT"/>
        </w:rPr>
        <w:t>System Center Service Manager 2010</w:t>
      </w:r>
    </w:p>
    <w:p w:rsidR="00170CFB" w:rsidRPr="00451078" w:rsidRDefault="00170CFB" w:rsidP="006D6A83">
      <w:pPr>
        <w:rPr>
          <w:lang w:val="it-IT"/>
        </w:rPr>
      </w:pPr>
      <w:r w:rsidRPr="00451078">
        <w:rPr>
          <w:rFonts w:cs="Tahoma"/>
          <w:color w:val="000000"/>
          <w:szCs w:val="18"/>
          <w:lang w:val="it-IT"/>
        </w:rPr>
        <w:t>System Center Service Manager 2010 con Tecnologia SQL Server 2008</w:t>
      </w:r>
    </w:p>
    <w:p w:rsidR="00170CFB" w:rsidRPr="003410C7" w:rsidRDefault="00170CFB" w:rsidP="006D6A83">
      <w:r w:rsidRPr="003410C7">
        <w:rPr>
          <w:rFonts w:cs="Tahoma"/>
          <w:color w:val="000000"/>
          <w:szCs w:val="18"/>
        </w:rPr>
        <w:t>System Center Essentials 2010</w:t>
      </w:r>
    </w:p>
    <w:p w:rsidR="00170CFB" w:rsidRPr="003410C7" w:rsidRDefault="00170CFB" w:rsidP="006D6A83">
      <w:r w:rsidRPr="003410C7">
        <w:rPr>
          <w:rFonts w:cs="Tahoma"/>
          <w:color w:val="000000"/>
          <w:szCs w:val="18"/>
        </w:rPr>
        <w:t>Client ML per System Center Essentials 2010</w:t>
      </w:r>
    </w:p>
    <w:p w:rsidR="00170CFB" w:rsidRPr="003410C7" w:rsidRDefault="00170CFB" w:rsidP="006D6A83">
      <w:r w:rsidRPr="003410C7">
        <w:rPr>
          <w:rFonts w:cs="Tahoma"/>
          <w:color w:val="000000"/>
          <w:szCs w:val="18"/>
        </w:rPr>
        <w:t>Server ML per System Center Essentials 2010</w:t>
      </w:r>
    </w:p>
    <w:p w:rsidR="00170CFB" w:rsidRPr="003410C7" w:rsidRDefault="00170CFB" w:rsidP="006D6A83">
      <w:r w:rsidRPr="003410C7">
        <w:rPr>
          <w:rFonts w:cs="Tahoma"/>
          <w:color w:val="000000"/>
          <w:szCs w:val="18"/>
        </w:rPr>
        <w:t xml:space="preserve">System Center Essentials 2010 con Tecnologia SQL Server 2008 </w:t>
      </w:r>
    </w:p>
    <w:p w:rsidR="00170CFB" w:rsidRPr="003410C7" w:rsidRDefault="00170CFB" w:rsidP="006D6A83">
      <w:r w:rsidRPr="003410C7">
        <w:rPr>
          <w:rFonts w:cs="Tahoma"/>
          <w:color w:val="000000"/>
          <w:szCs w:val="18"/>
        </w:rPr>
        <w:t>Suite di Licenza di Gestione Client per System Center Essentials Plus 2010</w:t>
      </w:r>
    </w:p>
    <w:p w:rsidR="00170CFB" w:rsidRPr="00451078" w:rsidRDefault="00170CFB" w:rsidP="006D6A83">
      <w:pPr>
        <w:rPr>
          <w:lang w:val="it-IT"/>
        </w:rPr>
      </w:pPr>
      <w:r w:rsidRPr="00451078">
        <w:rPr>
          <w:rFonts w:cs="Tahoma"/>
          <w:color w:val="000000"/>
          <w:szCs w:val="18"/>
          <w:lang w:val="it-IT"/>
        </w:rPr>
        <w:t>Suite di Licenza di Gestione Server per System Center Essentials Plus 2010</w:t>
      </w:r>
    </w:p>
    <w:p w:rsidR="00170CFB" w:rsidRPr="003410C7" w:rsidRDefault="00170CFB" w:rsidP="006D6A83">
      <w:r w:rsidRPr="003410C7">
        <w:rPr>
          <w:rFonts w:cs="Tahoma"/>
          <w:color w:val="000000"/>
          <w:szCs w:val="18"/>
        </w:rPr>
        <w:t>System Center Virtual Machine Manager 2008 R2 Workgroup Edition</w:t>
      </w:r>
    </w:p>
    <w:p w:rsidR="00170CFB" w:rsidRPr="003410C7" w:rsidRDefault="00170CFB" w:rsidP="006D6A83">
      <w:r w:rsidRPr="003410C7">
        <w:rPr>
          <w:rFonts w:cs="Tahoma"/>
          <w:color w:val="000000"/>
          <w:szCs w:val="18"/>
        </w:rPr>
        <w:t>External Connector per Visual Studio</w:t>
      </w:r>
      <w:r w:rsidR="003410C7" w:rsidRPr="003410C7">
        <w:rPr>
          <w:rFonts w:cs="Tahoma"/>
          <w:color w:val="000000"/>
          <w:szCs w:val="18"/>
          <w:vertAlign w:val="superscript"/>
        </w:rPr>
        <w:t>®</w:t>
      </w:r>
      <w:r w:rsidRPr="003410C7">
        <w:rPr>
          <w:rFonts w:cs="Tahoma"/>
          <w:color w:val="000000"/>
          <w:szCs w:val="18"/>
        </w:rPr>
        <w:t xml:space="preserve"> Team Foundation Server 2012</w:t>
      </w:r>
    </w:p>
    <w:p w:rsidR="004759C6" w:rsidRPr="003410C7" w:rsidRDefault="004759C6" w:rsidP="007E466C"/>
    <w:p w:rsidR="0064651F" w:rsidRPr="003410C7" w:rsidRDefault="0064651F" w:rsidP="0064651F"/>
    <w:p w:rsidR="00243B33" w:rsidRPr="00451078" w:rsidRDefault="000225E7" w:rsidP="00243B33">
      <w:pPr>
        <w:pStyle w:val="Heading2"/>
        <w:ind w:left="0"/>
        <w:jc w:val="both"/>
        <w:rPr>
          <w:lang w:val="it-IT"/>
        </w:rPr>
      </w:pPr>
      <w:bookmarkStart w:id="624" w:name="_Toc352234768"/>
      <w:r w:rsidRPr="00451078">
        <w:rPr>
          <w:rFonts w:ascii="Tahoma" w:hAnsi="Tahoma" w:cs="Tahoma"/>
          <w:color w:val="FF6600"/>
          <w:lang w:val="it-IT"/>
        </w:rPr>
        <w:t>MODIFICHE APPORTATE NEL MESE DI FEBBRAIO 2013</w:t>
      </w:r>
      <w:bookmarkEnd w:id="624"/>
    </w:p>
    <w:p w:rsidR="00243B33" w:rsidRPr="00BC5929" w:rsidRDefault="00243B33" w:rsidP="00E06050">
      <w:pPr>
        <w:pStyle w:val="Heading2"/>
        <w:ind w:left="0"/>
        <w:jc w:val="both"/>
        <w:rPr>
          <w:sz w:val="18"/>
          <w:szCs w:val="18"/>
          <w:lang w:val="it-IT"/>
        </w:rPr>
      </w:pPr>
    </w:p>
    <w:p w:rsidR="00662A44" w:rsidRPr="00451078" w:rsidRDefault="00662A44" w:rsidP="00662A44">
      <w:pPr>
        <w:spacing w:after="60"/>
        <w:rPr>
          <w:lang w:val="it-IT"/>
        </w:rPr>
      </w:pPr>
      <w:r w:rsidRPr="00451078">
        <w:rPr>
          <w:b/>
          <w:lang w:val="it-IT"/>
        </w:rPr>
        <w:t>Prodotti Aggiunti</w:t>
      </w:r>
    </w:p>
    <w:p w:rsidR="00662A44" w:rsidRPr="00451078" w:rsidRDefault="00662A44" w:rsidP="00662A44">
      <w:pPr>
        <w:rPr>
          <w:lang w:val="it-IT"/>
        </w:rPr>
      </w:pPr>
      <w:r w:rsidRPr="00451078">
        <w:rPr>
          <w:rFonts w:cs="Tahoma"/>
          <w:color w:val="000000"/>
          <w:szCs w:val="18"/>
          <w:lang w:val="it-IT"/>
        </w:rPr>
        <w:t xml:space="preserve">Enterprise Additive CAL per Microsoft </w:t>
      </w:r>
      <w:r w:rsidRPr="00451078">
        <w:rPr>
          <w:rFonts w:cs="Tahoma"/>
          <w:color w:val="000000"/>
          <w:szCs w:val="20"/>
          <w:lang w:val="it-IT"/>
        </w:rPr>
        <w:t>Dynamics AX 2012 R2 (Utente e Dispositivo)</w:t>
      </w:r>
    </w:p>
    <w:p w:rsidR="00662A44" w:rsidRPr="00451078" w:rsidRDefault="00662A44" w:rsidP="00662A44">
      <w:pPr>
        <w:rPr>
          <w:lang w:val="it-IT"/>
        </w:rPr>
      </w:pPr>
      <w:r w:rsidRPr="00451078">
        <w:rPr>
          <w:rFonts w:cs="Tahoma"/>
          <w:color w:val="000000"/>
          <w:szCs w:val="18"/>
          <w:lang w:val="it-IT"/>
        </w:rPr>
        <w:t xml:space="preserve">Enterprise CAL per Microsoft </w:t>
      </w:r>
      <w:r w:rsidRPr="00451078">
        <w:rPr>
          <w:rFonts w:cs="Tahoma"/>
          <w:color w:val="000000"/>
          <w:szCs w:val="20"/>
          <w:lang w:val="it-IT"/>
        </w:rPr>
        <w:t>Dynamics AX 2012 R2 (Utente e Dispositivo)</w:t>
      </w:r>
    </w:p>
    <w:p w:rsidR="00662A44" w:rsidRPr="00451078" w:rsidRDefault="00662A44" w:rsidP="00662A44">
      <w:pPr>
        <w:rPr>
          <w:lang w:val="it-IT"/>
        </w:rPr>
      </w:pPr>
      <w:r w:rsidRPr="00451078">
        <w:rPr>
          <w:rFonts w:cs="Tahoma"/>
          <w:color w:val="000000"/>
          <w:szCs w:val="18"/>
          <w:lang w:val="it-IT"/>
        </w:rPr>
        <w:t xml:space="preserve">Functional Additive CAL per Microsoft </w:t>
      </w:r>
      <w:r w:rsidRPr="00451078">
        <w:rPr>
          <w:rFonts w:cs="Tahoma"/>
          <w:color w:val="000000"/>
          <w:szCs w:val="20"/>
          <w:lang w:val="it-IT"/>
        </w:rPr>
        <w:t>Dynamics AX 2012 R2 (Utente e Dispositivo)</w:t>
      </w:r>
    </w:p>
    <w:p w:rsidR="00662A44" w:rsidRPr="00451078" w:rsidRDefault="00662A44" w:rsidP="00662A44">
      <w:pPr>
        <w:rPr>
          <w:lang w:val="it-IT"/>
        </w:rPr>
      </w:pPr>
      <w:r w:rsidRPr="00451078">
        <w:rPr>
          <w:rFonts w:cs="Tahoma"/>
          <w:color w:val="000000"/>
          <w:szCs w:val="18"/>
          <w:lang w:val="it-IT"/>
        </w:rPr>
        <w:t xml:space="preserve">Functional CAL per Microsoft </w:t>
      </w:r>
      <w:r w:rsidRPr="00451078">
        <w:rPr>
          <w:rFonts w:cs="Tahoma"/>
          <w:color w:val="000000"/>
          <w:szCs w:val="20"/>
          <w:lang w:val="it-IT"/>
        </w:rPr>
        <w:t>Dynamics AX 2012 R2 (Utente e Dispositivo)</w:t>
      </w:r>
    </w:p>
    <w:p w:rsidR="00662A44" w:rsidRPr="00451078" w:rsidRDefault="00662A44" w:rsidP="00662A44">
      <w:pPr>
        <w:rPr>
          <w:lang w:val="it-IT"/>
        </w:rPr>
      </w:pPr>
      <w:r w:rsidRPr="00451078">
        <w:rPr>
          <w:rFonts w:cs="Tahoma"/>
          <w:color w:val="000000"/>
          <w:szCs w:val="18"/>
          <w:lang w:val="it-IT"/>
        </w:rPr>
        <w:t xml:space="preserve">Self Serve CAL per Microsoft </w:t>
      </w:r>
      <w:r w:rsidRPr="00451078">
        <w:rPr>
          <w:rFonts w:cs="Tahoma"/>
          <w:color w:val="000000"/>
          <w:szCs w:val="20"/>
          <w:lang w:val="it-IT"/>
        </w:rPr>
        <w:t>Dynamics AX 2012 R2 (Utente e Dispositivo)</w:t>
      </w:r>
    </w:p>
    <w:p w:rsidR="00662A44" w:rsidRPr="00451078" w:rsidRDefault="00662A44" w:rsidP="00662A44">
      <w:pPr>
        <w:rPr>
          <w:lang w:val="it-IT"/>
        </w:rPr>
      </w:pPr>
      <w:r w:rsidRPr="00451078">
        <w:rPr>
          <w:rFonts w:cs="Tahoma"/>
          <w:color w:val="000000"/>
          <w:szCs w:val="18"/>
          <w:lang w:val="it-IT"/>
        </w:rPr>
        <w:t xml:space="preserve">Microsoft </w:t>
      </w:r>
      <w:r w:rsidRPr="00451078">
        <w:rPr>
          <w:rFonts w:cs="Tahoma"/>
          <w:color w:val="000000"/>
          <w:szCs w:val="20"/>
          <w:lang w:val="it-IT"/>
        </w:rPr>
        <w:t>Dynamics AX 2012 R2 Server</w:t>
      </w:r>
    </w:p>
    <w:p w:rsidR="00662A44" w:rsidRPr="00451078" w:rsidRDefault="00662A44" w:rsidP="00662A44">
      <w:pPr>
        <w:rPr>
          <w:lang w:val="it-IT"/>
        </w:rPr>
      </w:pPr>
      <w:r w:rsidRPr="00451078">
        <w:rPr>
          <w:rFonts w:cs="Tahoma"/>
          <w:color w:val="000000"/>
          <w:szCs w:val="18"/>
          <w:lang w:val="it-IT"/>
        </w:rPr>
        <w:t xml:space="preserve">Task Additive CAL per Microsoft </w:t>
      </w:r>
      <w:r w:rsidRPr="00451078">
        <w:rPr>
          <w:rFonts w:cs="Tahoma"/>
          <w:color w:val="000000"/>
          <w:szCs w:val="20"/>
          <w:lang w:val="it-IT"/>
        </w:rPr>
        <w:t>Dynamics AX 2012 R2 (Utente e Dispositivo)</w:t>
      </w:r>
    </w:p>
    <w:p w:rsidR="00662A44" w:rsidRPr="00451078" w:rsidRDefault="00662A44" w:rsidP="00662A44">
      <w:pPr>
        <w:keepNext/>
        <w:tabs>
          <w:tab w:val="num" w:pos="720"/>
        </w:tabs>
        <w:outlineLvl w:val="3"/>
        <w:rPr>
          <w:lang w:val="it-IT"/>
        </w:rPr>
      </w:pPr>
      <w:r w:rsidRPr="00451078">
        <w:rPr>
          <w:rFonts w:cs="Tahoma"/>
          <w:color w:val="000000"/>
          <w:szCs w:val="18"/>
          <w:lang w:val="it-IT"/>
        </w:rPr>
        <w:t xml:space="preserve">Task CAL per Microsoft </w:t>
      </w:r>
      <w:r w:rsidRPr="00451078">
        <w:rPr>
          <w:rFonts w:cs="Tahoma"/>
          <w:color w:val="000000"/>
          <w:szCs w:val="20"/>
          <w:lang w:val="it-IT"/>
        </w:rPr>
        <w:t>Dynamics AX 2012 R2 (Utente e Dispositivo)</w:t>
      </w:r>
    </w:p>
    <w:p w:rsidR="00662A44" w:rsidRPr="00451078" w:rsidRDefault="00662A44" w:rsidP="00662A44">
      <w:pPr>
        <w:keepNext/>
        <w:tabs>
          <w:tab w:val="num" w:pos="720"/>
        </w:tabs>
        <w:outlineLvl w:val="3"/>
        <w:rPr>
          <w:lang w:val="it-IT"/>
        </w:rPr>
      </w:pPr>
    </w:p>
    <w:p w:rsidR="00662A44" w:rsidRPr="00451078" w:rsidRDefault="00662A44" w:rsidP="00662A44">
      <w:pPr>
        <w:spacing w:after="60"/>
        <w:rPr>
          <w:lang w:val="it-IT"/>
        </w:rPr>
      </w:pPr>
      <w:r w:rsidRPr="00451078">
        <w:rPr>
          <w:b/>
          <w:lang w:val="it-IT"/>
        </w:rPr>
        <w:t>Modifiche</w:t>
      </w:r>
    </w:p>
    <w:p w:rsidR="00662A44" w:rsidRPr="00451078" w:rsidRDefault="00662A44" w:rsidP="00662A44">
      <w:pPr>
        <w:keepNext/>
        <w:tabs>
          <w:tab w:val="num" w:pos="720"/>
        </w:tabs>
        <w:outlineLvl w:val="3"/>
        <w:rPr>
          <w:lang w:val="it-IT"/>
        </w:rPr>
      </w:pPr>
      <w:r w:rsidRPr="00451078">
        <w:rPr>
          <w:rFonts w:cs="Tahoma"/>
          <w:color w:val="000000"/>
          <w:szCs w:val="20"/>
          <w:lang w:val="it-IT"/>
        </w:rPr>
        <w:t>Visio 2013 Professional</w:t>
      </w:r>
    </w:p>
    <w:p w:rsidR="00662A44" w:rsidRPr="00451078" w:rsidRDefault="00662A44" w:rsidP="00662A44">
      <w:pPr>
        <w:keepNext/>
        <w:tabs>
          <w:tab w:val="num" w:pos="720"/>
        </w:tabs>
        <w:outlineLvl w:val="3"/>
        <w:rPr>
          <w:lang w:val="it-IT"/>
        </w:rPr>
      </w:pPr>
    </w:p>
    <w:p w:rsidR="00662A44" w:rsidRPr="00451078" w:rsidRDefault="00662A44" w:rsidP="0064651F">
      <w:pPr>
        <w:keepNext/>
        <w:tabs>
          <w:tab w:val="num" w:pos="720"/>
        </w:tabs>
        <w:spacing w:after="60"/>
        <w:outlineLvl w:val="3"/>
        <w:rPr>
          <w:lang w:val="it-IT"/>
        </w:rPr>
      </w:pPr>
      <w:r w:rsidRPr="00451078">
        <w:rPr>
          <w:b/>
          <w:lang w:val="it-IT"/>
        </w:rPr>
        <w:t>Prodotti Eliminati</w:t>
      </w:r>
    </w:p>
    <w:p w:rsidR="00662A44" w:rsidRPr="00451078" w:rsidRDefault="00662A44" w:rsidP="00662A44">
      <w:pPr>
        <w:rPr>
          <w:lang w:val="it-IT"/>
        </w:rPr>
      </w:pPr>
      <w:r w:rsidRPr="00451078">
        <w:rPr>
          <w:rFonts w:cs="Tahoma"/>
          <w:color w:val="000000"/>
          <w:szCs w:val="18"/>
          <w:lang w:val="it-IT"/>
        </w:rPr>
        <w:t xml:space="preserve">Enterprise Additive CAL per Microsoft </w:t>
      </w:r>
      <w:r w:rsidRPr="00451078">
        <w:rPr>
          <w:rFonts w:cs="Tahoma"/>
          <w:color w:val="000000"/>
          <w:szCs w:val="20"/>
          <w:lang w:val="it-IT"/>
        </w:rPr>
        <w:t>Dynamics AX 2012 (Utente e Dispositivo)</w:t>
      </w:r>
    </w:p>
    <w:p w:rsidR="00662A44" w:rsidRPr="00451078" w:rsidRDefault="00662A44" w:rsidP="00662A44">
      <w:pPr>
        <w:rPr>
          <w:lang w:val="it-IT"/>
        </w:rPr>
      </w:pPr>
      <w:r w:rsidRPr="00451078">
        <w:rPr>
          <w:rFonts w:cs="Tahoma"/>
          <w:color w:val="000000"/>
          <w:szCs w:val="18"/>
          <w:lang w:val="it-IT"/>
        </w:rPr>
        <w:t xml:space="preserve">Enterprise CAL per Microsoft </w:t>
      </w:r>
      <w:r w:rsidRPr="00451078">
        <w:rPr>
          <w:rFonts w:cs="Tahoma"/>
          <w:color w:val="000000"/>
          <w:szCs w:val="20"/>
          <w:lang w:val="it-IT"/>
        </w:rPr>
        <w:t>Dynamics AX 2012 (Utente e Dispositivo)</w:t>
      </w:r>
    </w:p>
    <w:p w:rsidR="00662A44" w:rsidRPr="00451078" w:rsidRDefault="00662A44" w:rsidP="00662A44">
      <w:pPr>
        <w:rPr>
          <w:lang w:val="it-IT"/>
        </w:rPr>
      </w:pPr>
      <w:r w:rsidRPr="00451078">
        <w:rPr>
          <w:rFonts w:cs="Tahoma"/>
          <w:color w:val="000000"/>
          <w:szCs w:val="18"/>
          <w:lang w:val="it-IT"/>
        </w:rPr>
        <w:t xml:space="preserve">Functional Additive CAL per Microsoft </w:t>
      </w:r>
      <w:r w:rsidRPr="00451078">
        <w:rPr>
          <w:rFonts w:cs="Tahoma"/>
          <w:color w:val="000000"/>
          <w:szCs w:val="20"/>
          <w:lang w:val="it-IT"/>
        </w:rPr>
        <w:t>Dynamics AX 2012 (Utente e Dispositivo)</w:t>
      </w:r>
    </w:p>
    <w:p w:rsidR="00662A44" w:rsidRPr="00451078" w:rsidRDefault="00662A44" w:rsidP="00662A44">
      <w:pPr>
        <w:rPr>
          <w:lang w:val="it-IT"/>
        </w:rPr>
      </w:pPr>
      <w:r w:rsidRPr="00451078">
        <w:rPr>
          <w:rFonts w:cs="Tahoma"/>
          <w:color w:val="000000"/>
          <w:szCs w:val="18"/>
          <w:lang w:val="it-IT"/>
        </w:rPr>
        <w:t xml:space="preserve">Functional CAL per Microsoft </w:t>
      </w:r>
      <w:r w:rsidRPr="00451078">
        <w:rPr>
          <w:rFonts w:cs="Tahoma"/>
          <w:color w:val="000000"/>
          <w:szCs w:val="20"/>
          <w:lang w:val="it-IT"/>
        </w:rPr>
        <w:t>Dynamics AX 2012 (Utente e Dispositivo)</w:t>
      </w:r>
    </w:p>
    <w:p w:rsidR="00662A44" w:rsidRPr="00451078" w:rsidRDefault="00662A44" w:rsidP="00662A44">
      <w:pPr>
        <w:rPr>
          <w:lang w:val="it-IT"/>
        </w:rPr>
      </w:pPr>
      <w:r w:rsidRPr="00451078">
        <w:rPr>
          <w:rFonts w:cs="Tahoma"/>
          <w:color w:val="000000"/>
          <w:szCs w:val="18"/>
          <w:lang w:val="it-IT"/>
        </w:rPr>
        <w:t xml:space="preserve">Self Serve CAL per Microsoft </w:t>
      </w:r>
      <w:r w:rsidRPr="00451078">
        <w:rPr>
          <w:rFonts w:cs="Tahoma"/>
          <w:color w:val="000000"/>
          <w:szCs w:val="20"/>
          <w:lang w:val="it-IT"/>
        </w:rPr>
        <w:t>Dynamics AX 2012 (Utente e Dispositivo)</w:t>
      </w:r>
    </w:p>
    <w:p w:rsidR="00662A44" w:rsidRPr="00451078" w:rsidRDefault="00662A44" w:rsidP="00662A44">
      <w:pPr>
        <w:rPr>
          <w:lang w:val="it-IT"/>
        </w:rPr>
      </w:pPr>
      <w:r w:rsidRPr="00451078">
        <w:rPr>
          <w:rFonts w:cs="Tahoma"/>
          <w:color w:val="000000"/>
          <w:szCs w:val="18"/>
          <w:lang w:val="it-IT"/>
        </w:rPr>
        <w:t xml:space="preserve">Microsoft </w:t>
      </w:r>
      <w:r w:rsidRPr="00451078">
        <w:rPr>
          <w:rFonts w:cs="Tahoma"/>
          <w:color w:val="000000"/>
          <w:szCs w:val="20"/>
          <w:lang w:val="it-IT"/>
        </w:rPr>
        <w:t>Dynamics AX 2012 Server</w:t>
      </w:r>
    </w:p>
    <w:p w:rsidR="00662A44" w:rsidRPr="00451078" w:rsidRDefault="00662A44" w:rsidP="00662A44">
      <w:pPr>
        <w:rPr>
          <w:lang w:val="it-IT"/>
        </w:rPr>
      </w:pPr>
      <w:r w:rsidRPr="00451078">
        <w:rPr>
          <w:rFonts w:cs="Tahoma"/>
          <w:color w:val="000000"/>
          <w:szCs w:val="18"/>
          <w:lang w:val="it-IT"/>
        </w:rPr>
        <w:t xml:space="preserve">Task Additive CAL per Microsoft </w:t>
      </w:r>
      <w:r w:rsidRPr="00451078">
        <w:rPr>
          <w:rFonts w:cs="Tahoma"/>
          <w:color w:val="000000"/>
          <w:szCs w:val="20"/>
          <w:lang w:val="it-IT"/>
        </w:rPr>
        <w:t>Dynamics AX 2012 (Utente e Dispositivo)</w:t>
      </w:r>
    </w:p>
    <w:p w:rsidR="00662A44" w:rsidRPr="00451078" w:rsidRDefault="00662A44" w:rsidP="00662A44">
      <w:pPr>
        <w:rPr>
          <w:lang w:val="it-IT"/>
        </w:rPr>
      </w:pPr>
      <w:r w:rsidRPr="00451078">
        <w:rPr>
          <w:rFonts w:cs="Tahoma"/>
          <w:color w:val="000000"/>
          <w:szCs w:val="18"/>
          <w:lang w:val="it-IT"/>
        </w:rPr>
        <w:t xml:space="preserve">Task CAL per Microsoft </w:t>
      </w:r>
      <w:r w:rsidRPr="00451078">
        <w:rPr>
          <w:rFonts w:cs="Tahoma"/>
          <w:color w:val="000000"/>
          <w:szCs w:val="20"/>
          <w:lang w:val="it-IT"/>
        </w:rPr>
        <w:t>Dynamics AX 2012 (Utente e Dispositivo)</w:t>
      </w:r>
    </w:p>
    <w:p w:rsidR="001C1727" w:rsidRDefault="001C1727" w:rsidP="00292088">
      <w:pPr>
        <w:rPr>
          <w:lang w:val="it-IT"/>
        </w:rPr>
      </w:pPr>
    </w:p>
    <w:p w:rsidR="002B01D6" w:rsidRPr="00451078" w:rsidRDefault="002B01D6" w:rsidP="00292088">
      <w:pPr>
        <w:rPr>
          <w:lang w:val="it-IT"/>
        </w:rPr>
      </w:pPr>
    </w:p>
    <w:p w:rsidR="00E06050" w:rsidRPr="00451078" w:rsidRDefault="00E06050" w:rsidP="00E06050">
      <w:pPr>
        <w:pStyle w:val="Heading2"/>
        <w:ind w:left="0"/>
        <w:jc w:val="both"/>
        <w:rPr>
          <w:lang w:val="it-IT"/>
        </w:rPr>
      </w:pPr>
      <w:bookmarkStart w:id="625" w:name="_Toc352234769"/>
      <w:r w:rsidRPr="00451078">
        <w:rPr>
          <w:rFonts w:ascii="Tahoma" w:hAnsi="Tahoma" w:cs="Tahoma"/>
          <w:color w:val="FF6600"/>
          <w:lang w:val="it-IT"/>
        </w:rPr>
        <w:t>MODIFICHE APPORTATE NEL MESE DI GENNAIO 2013</w:t>
      </w:r>
      <w:bookmarkEnd w:id="625"/>
    </w:p>
    <w:p w:rsidR="00E06050" w:rsidRPr="00451078" w:rsidRDefault="00E06050" w:rsidP="00E06050">
      <w:pPr>
        <w:rPr>
          <w:lang w:val="it-IT"/>
        </w:rPr>
      </w:pPr>
    </w:p>
    <w:p w:rsidR="00E06050" w:rsidRPr="003410C7" w:rsidRDefault="00E06050" w:rsidP="003E606C">
      <w:pPr>
        <w:spacing w:after="60"/>
      </w:pPr>
      <w:r w:rsidRPr="003410C7">
        <w:rPr>
          <w:b/>
        </w:rPr>
        <w:t>Prodotti Aggiunti</w:t>
      </w:r>
    </w:p>
    <w:p w:rsidR="00CC66A0" w:rsidRPr="003410C7" w:rsidRDefault="00CC66A0" w:rsidP="00737831">
      <w:pPr>
        <w:keepNext/>
        <w:tabs>
          <w:tab w:val="num" w:pos="720"/>
        </w:tabs>
        <w:outlineLvl w:val="3"/>
      </w:pPr>
      <w:r w:rsidRPr="003410C7">
        <w:rPr>
          <w:rFonts w:cs="Tahoma"/>
          <w:color w:val="000000"/>
          <w:szCs w:val="20"/>
        </w:rPr>
        <w:t>Windows MultiPoint Server 2012 Premium con Windows MultiPoint Server 2012 (CAL) (5 Client)</w:t>
      </w:r>
    </w:p>
    <w:p w:rsidR="00CC66A0" w:rsidRPr="003410C7" w:rsidRDefault="00CC66A0" w:rsidP="00737831">
      <w:pPr>
        <w:keepNext/>
        <w:tabs>
          <w:tab w:val="num" w:pos="720"/>
        </w:tabs>
        <w:outlineLvl w:val="3"/>
      </w:pPr>
      <w:r w:rsidRPr="003410C7">
        <w:rPr>
          <w:rFonts w:cs="Tahoma"/>
          <w:color w:val="000000"/>
          <w:szCs w:val="20"/>
        </w:rPr>
        <w:t>Windows MultiPoint Server 2012 Premium con Windows MultiPoint Server 2012 (CAL) (5 Client) con Windows</w:t>
      </w:r>
    </w:p>
    <w:p w:rsidR="00140B67" w:rsidRPr="003410C7" w:rsidRDefault="00140B67" w:rsidP="003E606C">
      <w:pPr>
        <w:spacing w:after="60"/>
      </w:pPr>
    </w:p>
    <w:p w:rsidR="001D63C2" w:rsidRPr="00451078" w:rsidRDefault="001D63C2" w:rsidP="003E606C">
      <w:pPr>
        <w:spacing w:after="60"/>
        <w:rPr>
          <w:lang w:val="it-IT"/>
        </w:rPr>
      </w:pPr>
      <w:r w:rsidRPr="00451078">
        <w:rPr>
          <w:b/>
          <w:lang w:val="it-IT"/>
        </w:rPr>
        <w:t>Modifiche</w:t>
      </w:r>
    </w:p>
    <w:p w:rsidR="001D63C2" w:rsidRPr="00451078" w:rsidRDefault="001D63C2" w:rsidP="00E06050">
      <w:pPr>
        <w:rPr>
          <w:lang w:val="it-IT"/>
        </w:rPr>
      </w:pPr>
      <w:r w:rsidRPr="00451078">
        <w:rPr>
          <w:color w:val="000000"/>
          <w:lang w:val="it-IT"/>
        </w:rPr>
        <w:t>CAL Suite per Windows Small Business Server 2008 per Utenti o Dispositivi Premium</w:t>
      </w:r>
    </w:p>
    <w:p w:rsidR="001D63C2" w:rsidRPr="00451078" w:rsidRDefault="001D63C2" w:rsidP="00E06050">
      <w:pPr>
        <w:rPr>
          <w:lang w:val="it-IT"/>
        </w:rPr>
      </w:pPr>
      <w:r w:rsidRPr="00451078">
        <w:rPr>
          <w:color w:val="000000"/>
          <w:lang w:val="it-IT"/>
        </w:rPr>
        <w:t>CAL Suite per Windows Small Business Server 2008 per Utenti o Dispositivi Premium (5 Client)</w:t>
      </w:r>
    </w:p>
    <w:p w:rsidR="001D63C2" w:rsidRPr="00DC1102" w:rsidRDefault="001D63C2" w:rsidP="00E06050">
      <w:pPr>
        <w:rPr>
          <w:lang w:val="it-IT"/>
        </w:rPr>
      </w:pPr>
      <w:r w:rsidRPr="00DC1102">
        <w:rPr>
          <w:color w:val="000000"/>
          <w:lang w:val="it-IT"/>
        </w:rPr>
        <w:t>CAL Suite per Windows Small Business Server 2008 per Utenti o Dispositivi Premium (20 Client)</w:t>
      </w:r>
    </w:p>
    <w:p w:rsidR="001D63C2" w:rsidRPr="003410C7" w:rsidRDefault="001D63C2" w:rsidP="00E06050">
      <w:r w:rsidRPr="003410C7">
        <w:rPr>
          <w:color w:val="000000"/>
        </w:rPr>
        <w:t>CAL Suite per Windows Small Business Server 2011 (1 Client)</w:t>
      </w:r>
    </w:p>
    <w:p w:rsidR="001D63C2" w:rsidRPr="003410C7" w:rsidRDefault="001D63C2" w:rsidP="001D63C2">
      <w:r w:rsidRPr="003410C7">
        <w:rPr>
          <w:color w:val="000000"/>
        </w:rPr>
        <w:t>CAL Suite per Windows Small Business Server 2011 (5 Client)</w:t>
      </w:r>
    </w:p>
    <w:p w:rsidR="001D63C2" w:rsidRPr="003410C7" w:rsidRDefault="001D63C2" w:rsidP="00E06050">
      <w:r w:rsidRPr="003410C7">
        <w:rPr>
          <w:color w:val="000000"/>
        </w:rPr>
        <w:t>CAL Suite per Windows Small Business Server 2011 (20 Client)</w:t>
      </w:r>
    </w:p>
    <w:p w:rsidR="001D63C2" w:rsidRPr="003410C7" w:rsidRDefault="001D63C2" w:rsidP="001D63C2">
      <w:r w:rsidRPr="003410C7">
        <w:rPr>
          <w:color w:val="000000"/>
        </w:rPr>
        <w:t>Windows Small Business Server 2011 Standard (5 Client)</w:t>
      </w:r>
    </w:p>
    <w:p w:rsidR="001D63C2" w:rsidRPr="003410C7" w:rsidRDefault="001D63C2" w:rsidP="00E06050">
      <w:r w:rsidRPr="003410C7">
        <w:rPr>
          <w:color w:val="000000"/>
        </w:rPr>
        <w:lastRenderedPageBreak/>
        <w:t>Premium Add-On per Windows Small Business Server 2011 (5 Client)</w:t>
      </w:r>
    </w:p>
    <w:p w:rsidR="00E06050" w:rsidRPr="00451078" w:rsidRDefault="00E06050" w:rsidP="003E606C">
      <w:pPr>
        <w:spacing w:after="60"/>
        <w:rPr>
          <w:lang w:val="it-IT"/>
        </w:rPr>
      </w:pPr>
      <w:r w:rsidRPr="00451078">
        <w:rPr>
          <w:b/>
          <w:lang w:val="it-IT"/>
        </w:rPr>
        <w:t>Prodotti Eliminati</w:t>
      </w:r>
    </w:p>
    <w:p w:rsidR="00E06050" w:rsidRPr="00451078" w:rsidRDefault="00E06050" w:rsidP="00E06050">
      <w:pPr>
        <w:rPr>
          <w:lang w:val="it-IT"/>
        </w:rPr>
      </w:pPr>
      <w:r w:rsidRPr="00451078">
        <w:rPr>
          <w:color w:val="000000"/>
          <w:lang w:val="it-IT"/>
        </w:rPr>
        <w:t>Licenza di Gestione Client per OSE per Windows Embedded Device Manager 2011</w:t>
      </w:r>
    </w:p>
    <w:p w:rsidR="00E06050" w:rsidRPr="00451078" w:rsidRDefault="00E06050" w:rsidP="00E06050">
      <w:pPr>
        <w:rPr>
          <w:lang w:val="it-IT"/>
        </w:rPr>
      </w:pPr>
      <w:r w:rsidRPr="00451078">
        <w:rPr>
          <w:color w:val="000000"/>
          <w:lang w:val="it-IT"/>
        </w:rPr>
        <w:t>Licenza di Gestione Client per Utente per Windows Embedded Device Manager 2011</w:t>
      </w:r>
    </w:p>
    <w:p w:rsidR="00844BAF" w:rsidRPr="00451078" w:rsidRDefault="00844BAF" w:rsidP="00E06050">
      <w:pPr>
        <w:rPr>
          <w:lang w:val="it-IT"/>
        </w:rPr>
      </w:pPr>
      <w:r w:rsidRPr="00451078">
        <w:rPr>
          <w:rFonts w:cs="Tahoma"/>
          <w:color w:val="000000"/>
          <w:szCs w:val="20"/>
          <w:lang w:val="it-IT"/>
        </w:rPr>
        <w:t>Licenza CAL per Dispositivo per Windows Server 2008 per Windows Essential Server Solutions (5 Client)</w:t>
      </w:r>
    </w:p>
    <w:p w:rsidR="00844BAF" w:rsidRPr="00451078" w:rsidRDefault="00844BAF" w:rsidP="00E06050">
      <w:pPr>
        <w:rPr>
          <w:lang w:val="it-IT"/>
        </w:rPr>
      </w:pPr>
      <w:r w:rsidRPr="00451078">
        <w:rPr>
          <w:rFonts w:cs="Tahoma"/>
          <w:color w:val="000000"/>
          <w:szCs w:val="20"/>
          <w:lang w:val="it-IT"/>
        </w:rPr>
        <w:t>User CAL per Windows Server 2008 per Windows Essential Server Solutions (5 Client)</w:t>
      </w:r>
    </w:p>
    <w:p w:rsidR="00844BAF" w:rsidRPr="003410C7" w:rsidRDefault="00844BAF" w:rsidP="00844BAF">
      <w:pPr>
        <w:keepNext/>
        <w:tabs>
          <w:tab w:val="num" w:pos="720"/>
        </w:tabs>
        <w:outlineLvl w:val="3"/>
      </w:pPr>
      <w:r w:rsidRPr="003410C7">
        <w:rPr>
          <w:rFonts w:cs="Tahoma"/>
          <w:color w:val="000000"/>
          <w:szCs w:val="20"/>
        </w:rPr>
        <w:t>Windows MultiPoint Server 2011 Premium con Windows MultiPoint Server 2011 (CAL) (5 Client)</w:t>
      </w:r>
    </w:p>
    <w:p w:rsidR="00E06050" w:rsidRPr="003410C7" w:rsidRDefault="00844BAF" w:rsidP="00E06050">
      <w:r w:rsidRPr="003410C7">
        <w:rPr>
          <w:rFonts w:cs="Tahoma"/>
          <w:color w:val="000000"/>
          <w:szCs w:val="20"/>
        </w:rPr>
        <w:t>Windows MultiPoint Server 2011 Premium con Windows MultiPoint Server 2011 (CAL) (5 Client) con Windows</w:t>
      </w:r>
    </w:p>
    <w:p w:rsidR="00A12176" w:rsidRPr="002B01D6" w:rsidRDefault="00A12176" w:rsidP="00BA756F">
      <w:pPr>
        <w:pStyle w:val="Heading2"/>
        <w:ind w:left="0"/>
        <w:jc w:val="both"/>
        <w:rPr>
          <w:rFonts w:ascii="Tahoma" w:hAnsi="Tahoma" w:cs="Tahoma"/>
          <w:b w:val="0"/>
          <w:bCs/>
          <w:sz w:val="18"/>
          <w:szCs w:val="18"/>
        </w:rPr>
      </w:pPr>
    </w:p>
    <w:p w:rsidR="001C1727" w:rsidRPr="003410C7" w:rsidRDefault="001C1727"/>
    <w:p w:rsidR="00173A20" w:rsidRPr="00451078" w:rsidRDefault="00173A20" w:rsidP="00BA756F">
      <w:pPr>
        <w:pStyle w:val="Heading2"/>
        <w:ind w:left="0"/>
        <w:jc w:val="both"/>
        <w:rPr>
          <w:lang w:val="it-IT"/>
        </w:rPr>
      </w:pPr>
      <w:bookmarkStart w:id="626" w:name="_Toc352234770"/>
      <w:r w:rsidRPr="00451078">
        <w:rPr>
          <w:rFonts w:ascii="Tahoma" w:hAnsi="Tahoma" w:cs="Tahoma"/>
          <w:color w:val="FF6600"/>
          <w:lang w:val="it-IT"/>
        </w:rPr>
        <w:t>MODIFICHE APPORTATE NEL MESE DI DICEMBRE 2012</w:t>
      </w:r>
      <w:bookmarkEnd w:id="621"/>
      <w:bookmarkEnd w:id="626"/>
    </w:p>
    <w:p w:rsidR="00173A20" w:rsidRPr="00451078" w:rsidRDefault="00173A20" w:rsidP="00173A20">
      <w:pPr>
        <w:jc w:val="both"/>
        <w:outlineLvl w:val="1"/>
        <w:rPr>
          <w:lang w:val="it-IT"/>
        </w:rPr>
      </w:pPr>
    </w:p>
    <w:p w:rsidR="00173A20" w:rsidRPr="00451078" w:rsidRDefault="00173A20" w:rsidP="003E606C">
      <w:pPr>
        <w:spacing w:after="60"/>
        <w:rPr>
          <w:lang w:val="it-IT"/>
        </w:rPr>
      </w:pPr>
      <w:r w:rsidRPr="00451078">
        <w:rPr>
          <w:b/>
          <w:lang w:val="it-IT"/>
        </w:rPr>
        <w:t>Prodotti Aggiunti</w:t>
      </w:r>
    </w:p>
    <w:p w:rsidR="00173A20" w:rsidRPr="00451078" w:rsidRDefault="00BA756F" w:rsidP="00173A20">
      <w:pPr>
        <w:rPr>
          <w:lang w:val="it-IT"/>
        </w:rPr>
      </w:pPr>
      <w:r w:rsidRPr="00451078">
        <w:rPr>
          <w:color w:val="000000"/>
          <w:lang w:val="it-IT"/>
        </w:rPr>
        <w:t>Access 2013</w:t>
      </w:r>
    </w:p>
    <w:p w:rsidR="00BA756F" w:rsidRPr="00451078" w:rsidRDefault="00BA756F" w:rsidP="00173A20">
      <w:pPr>
        <w:rPr>
          <w:lang w:val="it-IT"/>
        </w:rPr>
      </w:pPr>
      <w:r w:rsidRPr="00451078">
        <w:rPr>
          <w:color w:val="000000"/>
          <w:lang w:val="it-IT"/>
        </w:rPr>
        <w:t>Excel 2013</w:t>
      </w:r>
    </w:p>
    <w:p w:rsidR="00BA756F" w:rsidRPr="00451078" w:rsidRDefault="00BA756F" w:rsidP="00173A20">
      <w:pPr>
        <w:rPr>
          <w:lang w:val="it-IT"/>
        </w:rPr>
      </w:pPr>
      <w:r w:rsidRPr="00451078">
        <w:rPr>
          <w:color w:val="000000"/>
          <w:lang w:val="it-IT"/>
        </w:rPr>
        <w:t>Enterprise CAL per Exchange 2013 con Servizi</w:t>
      </w:r>
    </w:p>
    <w:p w:rsidR="00BA756F" w:rsidRPr="00451078" w:rsidRDefault="00BA756F" w:rsidP="00173A20">
      <w:pPr>
        <w:rPr>
          <w:lang w:val="it-IT"/>
        </w:rPr>
      </w:pPr>
      <w:r w:rsidRPr="00451078">
        <w:rPr>
          <w:color w:val="000000"/>
          <w:lang w:val="it-IT"/>
        </w:rPr>
        <w:t>Enterprise CAL per Exchange 2013 senza Servizi</w:t>
      </w:r>
    </w:p>
    <w:p w:rsidR="00BA756F" w:rsidRPr="00451078" w:rsidRDefault="00BA756F" w:rsidP="00173A20">
      <w:pPr>
        <w:rPr>
          <w:lang w:val="it-IT"/>
        </w:rPr>
      </w:pPr>
      <w:r w:rsidRPr="00451078">
        <w:rPr>
          <w:color w:val="000000"/>
          <w:lang w:val="it-IT"/>
        </w:rPr>
        <w:t>Exchange Server Enterprise 2013</w:t>
      </w:r>
    </w:p>
    <w:p w:rsidR="00BA756F" w:rsidRPr="00451078" w:rsidRDefault="00BA756F" w:rsidP="00173A20">
      <w:pPr>
        <w:rPr>
          <w:lang w:val="it-IT"/>
        </w:rPr>
      </w:pPr>
      <w:r w:rsidRPr="00451078">
        <w:rPr>
          <w:color w:val="000000"/>
          <w:lang w:val="it-IT"/>
        </w:rPr>
        <w:t>Exchange Server Standard 2013</w:t>
      </w:r>
    </w:p>
    <w:p w:rsidR="00BA756F" w:rsidRPr="00451078" w:rsidRDefault="00BA756F" w:rsidP="00173A20">
      <w:pPr>
        <w:rPr>
          <w:lang w:val="it-IT"/>
        </w:rPr>
      </w:pPr>
      <w:r w:rsidRPr="00451078">
        <w:rPr>
          <w:color w:val="000000"/>
          <w:lang w:val="it-IT"/>
        </w:rPr>
        <w:t>Standard CAL per Exchange 2013</w:t>
      </w:r>
    </w:p>
    <w:p w:rsidR="00BA756F" w:rsidRPr="00451078" w:rsidRDefault="00BA756F" w:rsidP="00173A20">
      <w:pPr>
        <w:rPr>
          <w:lang w:val="it-IT"/>
        </w:rPr>
      </w:pPr>
      <w:r w:rsidRPr="00451078">
        <w:rPr>
          <w:color w:val="000000"/>
          <w:lang w:val="it-IT"/>
        </w:rPr>
        <w:t>InfoPath 2013</w:t>
      </w:r>
    </w:p>
    <w:p w:rsidR="00BA756F" w:rsidRPr="00451078" w:rsidRDefault="00BA756F" w:rsidP="00173A20">
      <w:pPr>
        <w:rPr>
          <w:lang w:val="it-IT"/>
        </w:rPr>
      </w:pPr>
      <w:r w:rsidRPr="00451078">
        <w:rPr>
          <w:color w:val="000000"/>
          <w:lang w:val="it-IT"/>
        </w:rPr>
        <w:t>Lync 2013</w:t>
      </w:r>
    </w:p>
    <w:p w:rsidR="00BA756F" w:rsidRPr="00451078" w:rsidRDefault="00BA756F" w:rsidP="00173A20">
      <w:pPr>
        <w:rPr>
          <w:lang w:val="it-IT"/>
        </w:rPr>
      </w:pPr>
      <w:r w:rsidRPr="00451078">
        <w:rPr>
          <w:color w:val="000000"/>
          <w:lang w:val="it-IT"/>
        </w:rPr>
        <w:t>Lync Server 2013</w:t>
      </w:r>
    </w:p>
    <w:p w:rsidR="00BA756F" w:rsidRPr="00451078" w:rsidRDefault="00BA756F" w:rsidP="00173A20">
      <w:pPr>
        <w:rPr>
          <w:lang w:val="it-IT"/>
        </w:rPr>
      </w:pPr>
      <w:r w:rsidRPr="00451078">
        <w:rPr>
          <w:color w:val="000000"/>
          <w:lang w:val="it-IT"/>
        </w:rPr>
        <w:t>Enterprise CAL per Lync Server 2013</w:t>
      </w:r>
    </w:p>
    <w:p w:rsidR="00BA756F" w:rsidRPr="00451078" w:rsidRDefault="00BA756F" w:rsidP="00173A20">
      <w:pPr>
        <w:rPr>
          <w:lang w:val="it-IT"/>
        </w:rPr>
      </w:pPr>
      <w:r w:rsidRPr="00451078">
        <w:rPr>
          <w:color w:val="000000"/>
          <w:lang w:val="it-IT"/>
        </w:rPr>
        <w:t>Plus CAL per Lync Server 2013</w:t>
      </w:r>
    </w:p>
    <w:p w:rsidR="00BA756F" w:rsidRPr="003410C7" w:rsidRDefault="00BA756F" w:rsidP="00173A20">
      <w:r w:rsidRPr="003410C7">
        <w:rPr>
          <w:color w:val="000000"/>
        </w:rPr>
        <w:t>Standard CAL per Lync Server 2013</w:t>
      </w:r>
    </w:p>
    <w:p w:rsidR="00BA756F" w:rsidRPr="003410C7" w:rsidRDefault="00BA756F" w:rsidP="00173A20">
      <w:r w:rsidRPr="003410C7">
        <w:rPr>
          <w:color w:val="000000"/>
        </w:rPr>
        <w:t>Office Home and Student RT 2013</w:t>
      </w:r>
    </w:p>
    <w:p w:rsidR="00BA756F" w:rsidRPr="003410C7" w:rsidRDefault="00BA756F" w:rsidP="00173A20">
      <w:r w:rsidRPr="003410C7">
        <w:rPr>
          <w:color w:val="000000"/>
        </w:rPr>
        <w:t>Office Multi Language Pack 2013</w:t>
      </w:r>
    </w:p>
    <w:p w:rsidR="00BA756F" w:rsidRPr="003410C7" w:rsidRDefault="00BA756F" w:rsidP="00173A20">
      <w:r w:rsidRPr="003410C7">
        <w:rPr>
          <w:color w:val="000000"/>
        </w:rPr>
        <w:t>Office Professional Plus 2013</w:t>
      </w:r>
    </w:p>
    <w:p w:rsidR="00BA756F" w:rsidRPr="003410C7" w:rsidRDefault="00BA756F" w:rsidP="00173A20">
      <w:r w:rsidRPr="003410C7">
        <w:rPr>
          <w:color w:val="000000"/>
        </w:rPr>
        <w:t>Office Standard 2013</w:t>
      </w:r>
    </w:p>
    <w:p w:rsidR="00BA756F" w:rsidRPr="003410C7" w:rsidRDefault="00BA756F" w:rsidP="00173A20">
      <w:r w:rsidRPr="003410C7">
        <w:rPr>
          <w:color w:val="000000"/>
        </w:rPr>
        <w:t>OneNote 2013</w:t>
      </w:r>
    </w:p>
    <w:p w:rsidR="00BA756F" w:rsidRPr="003410C7" w:rsidRDefault="00BA756F" w:rsidP="00173A20">
      <w:r w:rsidRPr="003410C7">
        <w:rPr>
          <w:color w:val="000000"/>
        </w:rPr>
        <w:t>Outlook 2013</w:t>
      </w:r>
    </w:p>
    <w:p w:rsidR="00BA756F" w:rsidRPr="003410C7" w:rsidRDefault="00BA756F" w:rsidP="00173A20">
      <w:r w:rsidRPr="003410C7">
        <w:rPr>
          <w:color w:val="000000"/>
        </w:rPr>
        <w:t>PowerPoint 2013</w:t>
      </w:r>
    </w:p>
    <w:p w:rsidR="00BA756F" w:rsidRPr="003410C7" w:rsidRDefault="00BA756F" w:rsidP="00173A20">
      <w:r w:rsidRPr="003410C7">
        <w:rPr>
          <w:color w:val="000000"/>
        </w:rPr>
        <w:t>Project Standard 2013</w:t>
      </w:r>
    </w:p>
    <w:p w:rsidR="00BA756F" w:rsidRPr="003410C7" w:rsidRDefault="00BA756F" w:rsidP="00173A20">
      <w:r w:rsidRPr="003410C7">
        <w:rPr>
          <w:color w:val="000000"/>
        </w:rPr>
        <w:t>Project Professional 2013</w:t>
      </w:r>
    </w:p>
    <w:p w:rsidR="00BA756F" w:rsidRPr="003410C7" w:rsidRDefault="00BA756F" w:rsidP="00173A20">
      <w:r w:rsidRPr="003410C7">
        <w:rPr>
          <w:color w:val="000000"/>
        </w:rPr>
        <w:t>Project Server 2013</w:t>
      </w:r>
    </w:p>
    <w:p w:rsidR="00BA756F" w:rsidRPr="003410C7" w:rsidRDefault="00BA756F" w:rsidP="00173A20">
      <w:r w:rsidRPr="003410C7">
        <w:rPr>
          <w:color w:val="000000"/>
        </w:rPr>
        <w:t>CAL per Project Server 2013</w:t>
      </w:r>
    </w:p>
    <w:p w:rsidR="00BA756F" w:rsidRPr="003410C7" w:rsidRDefault="00FE3510" w:rsidP="00173A20">
      <w:r w:rsidRPr="003410C7">
        <w:rPr>
          <w:color w:val="000000"/>
        </w:rPr>
        <w:t>Publisher 2013</w:t>
      </w:r>
    </w:p>
    <w:p w:rsidR="00FE3510" w:rsidRPr="003410C7" w:rsidRDefault="00FE3510" w:rsidP="00173A20">
      <w:r w:rsidRPr="003410C7">
        <w:rPr>
          <w:color w:val="000000"/>
        </w:rPr>
        <w:t>Enterprise CAL per SharePoint 2013</w:t>
      </w:r>
    </w:p>
    <w:p w:rsidR="00FE3510" w:rsidRPr="003410C7" w:rsidRDefault="00FE3510" w:rsidP="00173A20">
      <w:r w:rsidRPr="003410C7">
        <w:rPr>
          <w:color w:val="000000"/>
        </w:rPr>
        <w:t>SharePoint Server 2013</w:t>
      </w:r>
    </w:p>
    <w:p w:rsidR="00FE3510" w:rsidRPr="003410C7" w:rsidRDefault="00FE3510" w:rsidP="00173A20">
      <w:r w:rsidRPr="003410C7">
        <w:rPr>
          <w:color w:val="000000"/>
        </w:rPr>
        <w:t>Standard CAL per SharePoint 2013</w:t>
      </w:r>
    </w:p>
    <w:p w:rsidR="00FE3510" w:rsidRPr="003410C7" w:rsidRDefault="00FE3510" w:rsidP="00173A20">
      <w:r w:rsidRPr="003410C7">
        <w:rPr>
          <w:color w:val="000000"/>
        </w:rPr>
        <w:t>Visio Professional 2013</w:t>
      </w:r>
    </w:p>
    <w:p w:rsidR="00FE3510" w:rsidRPr="003410C7" w:rsidRDefault="00FE3510" w:rsidP="00173A20">
      <w:r w:rsidRPr="003410C7">
        <w:rPr>
          <w:color w:val="000000"/>
        </w:rPr>
        <w:t>Visio Standard 2013</w:t>
      </w:r>
    </w:p>
    <w:p w:rsidR="00FE3510" w:rsidRPr="003410C7" w:rsidRDefault="00FE3510" w:rsidP="00173A20">
      <w:r w:rsidRPr="003410C7">
        <w:rPr>
          <w:color w:val="000000"/>
        </w:rPr>
        <w:t>Word 2013</w:t>
      </w:r>
    </w:p>
    <w:p w:rsidR="00FE3510" w:rsidRPr="003410C7" w:rsidRDefault="00FE3510" w:rsidP="00173A20">
      <w:r w:rsidRPr="003410C7">
        <w:rPr>
          <w:color w:val="000000"/>
        </w:rPr>
        <w:t>Windows MultiPoint Server Standard 2012</w:t>
      </w:r>
    </w:p>
    <w:p w:rsidR="00FE3510" w:rsidRPr="003410C7" w:rsidRDefault="00FE3510" w:rsidP="00173A20">
      <w:r w:rsidRPr="003410C7">
        <w:rPr>
          <w:color w:val="000000"/>
        </w:rPr>
        <w:t>Windows MultiPoint Server Premium 2012</w:t>
      </w:r>
    </w:p>
    <w:p w:rsidR="00FE3510" w:rsidRPr="003410C7" w:rsidRDefault="00FE3510" w:rsidP="00173A20">
      <w:r w:rsidRPr="003410C7">
        <w:rPr>
          <w:color w:val="000000"/>
        </w:rPr>
        <w:t>Licenza CAL per Windows MultiPoint Server 2012</w:t>
      </w:r>
    </w:p>
    <w:p w:rsidR="00FE3510" w:rsidRPr="00451078" w:rsidRDefault="00FE3510" w:rsidP="00173A20">
      <w:pPr>
        <w:rPr>
          <w:lang w:val="it-IT"/>
        </w:rPr>
      </w:pPr>
      <w:r w:rsidRPr="00451078">
        <w:rPr>
          <w:color w:val="000000"/>
          <w:lang w:val="it-IT"/>
        </w:rPr>
        <w:t>Licenza CAL per Windows MultiPoint Server con Licenza CAL per Windows Server 2012</w:t>
      </w:r>
    </w:p>
    <w:p w:rsidR="006F741C" w:rsidRPr="00451078" w:rsidRDefault="006F741C" w:rsidP="006F741C">
      <w:pPr>
        <w:rPr>
          <w:lang w:val="it-IT"/>
        </w:rPr>
      </w:pPr>
      <w:r w:rsidRPr="00451078">
        <w:rPr>
          <w:color w:val="000000"/>
          <w:lang w:val="it-IT"/>
        </w:rPr>
        <w:t>Windows Intune (Per Utente)</w:t>
      </w:r>
    </w:p>
    <w:p w:rsidR="006F741C" w:rsidRPr="00451078" w:rsidRDefault="006F741C" w:rsidP="006F741C">
      <w:pPr>
        <w:rPr>
          <w:lang w:val="it-IT"/>
        </w:rPr>
      </w:pPr>
      <w:r w:rsidRPr="00451078">
        <w:rPr>
          <w:color w:val="000000"/>
          <w:lang w:val="it-IT"/>
        </w:rPr>
        <w:t>Componente Aggiuntivo per Windows Intune per System Center Configuration Manager e System Center EndPoint Protection (Per Utente)</w:t>
      </w:r>
    </w:p>
    <w:p w:rsidR="00FE3510" w:rsidRPr="003410C7" w:rsidRDefault="00FE3510" w:rsidP="00173A20">
      <w:r w:rsidRPr="003410C7">
        <w:rPr>
          <w:color w:val="000000"/>
        </w:rPr>
        <w:t>Windows Intune USL</w:t>
      </w:r>
    </w:p>
    <w:p w:rsidR="00FE3510" w:rsidRPr="003410C7" w:rsidRDefault="00FE3510" w:rsidP="00173A20">
      <w:r w:rsidRPr="003410C7">
        <w:rPr>
          <w:color w:val="000000"/>
        </w:rPr>
        <w:t>USL Add-On per Windows Intune</w:t>
      </w:r>
    </w:p>
    <w:p w:rsidR="00FE3510" w:rsidRPr="003410C7" w:rsidRDefault="00FE3510" w:rsidP="00173A20">
      <w:r w:rsidRPr="003410C7">
        <w:rPr>
          <w:color w:val="000000"/>
        </w:rPr>
        <w:t>USL Add-On per Windows Intune Extra Storage 1 GB</w:t>
      </w:r>
    </w:p>
    <w:p w:rsidR="00FE3510" w:rsidRPr="00451078" w:rsidRDefault="00FE3510" w:rsidP="00173A20">
      <w:pPr>
        <w:rPr>
          <w:lang w:val="it-IT"/>
        </w:rPr>
      </w:pPr>
      <w:r w:rsidRPr="00451078">
        <w:rPr>
          <w:color w:val="000000"/>
          <w:lang w:val="it-IT"/>
        </w:rPr>
        <w:t>Win Pro con MDOP 8</w:t>
      </w:r>
    </w:p>
    <w:p w:rsidR="00173A20" w:rsidRPr="00451078" w:rsidRDefault="00173A20" w:rsidP="00173A20">
      <w:pPr>
        <w:keepNext/>
        <w:tabs>
          <w:tab w:val="num" w:pos="720"/>
        </w:tabs>
        <w:spacing w:before="60"/>
        <w:outlineLvl w:val="3"/>
        <w:rPr>
          <w:lang w:val="it-IT"/>
        </w:rPr>
      </w:pPr>
    </w:p>
    <w:p w:rsidR="00173A20" w:rsidRPr="00451078" w:rsidRDefault="00173A20" w:rsidP="003E606C">
      <w:pPr>
        <w:spacing w:after="60"/>
        <w:rPr>
          <w:lang w:val="it-IT"/>
        </w:rPr>
      </w:pPr>
      <w:r w:rsidRPr="00451078">
        <w:rPr>
          <w:b/>
          <w:lang w:val="it-IT"/>
        </w:rPr>
        <w:t xml:space="preserve">Promozioni </w:t>
      </w:r>
    </w:p>
    <w:p w:rsidR="00173A20" w:rsidRPr="00451078" w:rsidRDefault="00FE3510" w:rsidP="00173A20">
      <w:pPr>
        <w:outlineLvl w:val="1"/>
        <w:rPr>
          <w:lang w:val="it-IT"/>
        </w:rPr>
      </w:pPr>
      <w:r w:rsidRPr="00451078">
        <w:rPr>
          <w:rFonts w:cs="Tahoma"/>
          <w:color w:val="000000"/>
          <w:szCs w:val="18"/>
          <w:lang w:val="it-IT"/>
        </w:rPr>
        <w:t>Sono state aggiunte le seguenti promozioni:</w:t>
      </w:r>
    </w:p>
    <w:p w:rsidR="00FE3510" w:rsidRPr="00451078" w:rsidRDefault="00A4121E" w:rsidP="00173A20">
      <w:pPr>
        <w:outlineLvl w:val="1"/>
        <w:rPr>
          <w:lang w:val="it-IT"/>
        </w:rPr>
      </w:pPr>
      <w:r w:rsidRPr="00451078">
        <w:rPr>
          <w:rFonts w:cs="Tahoma"/>
          <w:color w:val="000000"/>
          <w:szCs w:val="18"/>
          <w:lang w:val="it-IT"/>
        </w:rPr>
        <w:t>Microsoft Dynamics AX 2012 R2 - Promozione: Acquista Una Enterprise CAL e Ricevi Una Functional CAL</w:t>
      </w:r>
    </w:p>
    <w:p w:rsidR="00A4121E" w:rsidRPr="00451078" w:rsidRDefault="00A4121E" w:rsidP="00173A20">
      <w:pPr>
        <w:outlineLvl w:val="1"/>
        <w:rPr>
          <w:lang w:val="it-IT"/>
        </w:rPr>
      </w:pPr>
      <w:r w:rsidRPr="00451078">
        <w:rPr>
          <w:rFonts w:cs="Tahoma"/>
          <w:color w:val="000000"/>
          <w:szCs w:val="18"/>
          <w:lang w:val="it-IT"/>
        </w:rPr>
        <w:lastRenderedPageBreak/>
        <w:t>Microsoft Dynamics AX 2012 R2 - Promozione EA Starter</w:t>
      </w:r>
    </w:p>
    <w:p w:rsidR="00A4121E" w:rsidRPr="00451078" w:rsidRDefault="00A4121E" w:rsidP="00173A20">
      <w:pPr>
        <w:outlineLvl w:val="1"/>
        <w:rPr>
          <w:lang w:val="it-IT"/>
        </w:rPr>
      </w:pPr>
      <w:r w:rsidRPr="00451078">
        <w:rPr>
          <w:rFonts w:cs="Tahoma"/>
          <w:color w:val="000000"/>
          <w:szCs w:val="18"/>
          <w:lang w:val="it-IT"/>
        </w:rPr>
        <w:t>Sconto Promozionale del 20% per PC Nuovi con Windows Intune</w:t>
      </w:r>
    </w:p>
    <w:p w:rsidR="00FE3510" w:rsidRPr="00451078" w:rsidRDefault="00FE3510" w:rsidP="00173A20">
      <w:pPr>
        <w:outlineLvl w:val="1"/>
        <w:rPr>
          <w:lang w:val="it-IT"/>
        </w:rPr>
      </w:pPr>
    </w:p>
    <w:p w:rsidR="00FE3510" w:rsidRPr="00451078" w:rsidRDefault="00FE3510" w:rsidP="00173A20">
      <w:pPr>
        <w:outlineLvl w:val="1"/>
        <w:rPr>
          <w:lang w:val="it-IT"/>
        </w:rPr>
      </w:pPr>
      <w:r w:rsidRPr="00451078">
        <w:rPr>
          <w:rFonts w:cs="Tahoma"/>
          <w:color w:val="000000"/>
          <w:szCs w:val="18"/>
          <w:lang w:val="it-IT"/>
        </w:rPr>
        <w:t>Sono state eliminate le seguenti promozioni:</w:t>
      </w:r>
    </w:p>
    <w:p w:rsidR="00FE3510" w:rsidRPr="00451078" w:rsidRDefault="00FE3510" w:rsidP="00173A20">
      <w:pPr>
        <w:outlineLvl w:val="1"/>
        <w:rPr>
          <w:lang w:val="it-IT"/>
        </w:rPr>
      </w:pPr>
      <w:r w:rsidRPr="00451078">
        <w:rPr>
          <w:lang w:val="it-IT"/>
        </w:rPr>
        <w:t>Sconto Promozionale del 20% per PC Nuovi con Windows Intune</w:t>
      </w:r>
    </w:p>
    <w:p w:rsidR="00173A20" w:rsidRPr="00451078" w:rsidRDefault="00173A20" w:rsidP="00173A20">
      <w:pPr>
        <w:outlineLvl w:val="1"/>
        <w:rPr>
          <w:lang w:val="it-IT"/>
        </w:rPr>
      </w:pPr>
    </w:p>
    <w:p w:rsidR="00CD7EA6" w:rsidRPr="00451078" w:rsidRDefault="00173A20" w:rsidP="003E606C">
      <w:pPr>
        <w:spacing w:after="60"/>
        <w:rPr>
          <w:lang w:val="it-IT"/>
        </w:rPr>
      </w:pPr>
      <w:r w:rsidRPr="00451078">
        <w:rPr>
          <w:b/>
          <w:lang w:val="it-IT"/>
        </w:rPr>
        <w:t>Prodotti Eliminati</w:t>
      </w:r>
    </w:p>
    <w:p w:rsidR="00685009" w:rsidRPr="00451078" w:rsidRDefault="00685009" w:rsidP="00685009">
      <w:pPr>
        <w:rPr>
          <w:lang w:val="it-IT"/>
        </w:rPr>
      </w:pPr>
      <w:r w:rsidRPr="00451078">
        <w:rPr>
          <w:color w:val="000000"/>
          <w:lang w:val="it-IT"/>
        </w:rPr>
        <w:t>Access 2010</w:t>
      </w:r>
    </w:p>
    <w:p w:rsidR="00685009" w:rsidRPr="00451078" w:rsidRDefault="00685009" w:rsidP="00685009">
      <w:pPr>
        <w:rPr>
          <w:lang w:val="it-IT"/>
        </w:rPr>
      </w:pPr>
      <w:r w:rsidRPr="00451078">
        <w:rPr>
          <w:color w:val="000000"/>
          <w:lang w:val="it-IT"/>
        </w:rPr>
        <w:t>Duet Enterprise per Microsoft SharePoint e SAP 1.0</w:t>
      </w:r>
    </w:p>
    <w:p w:rsidR="00685009" w:rsidRPr="00451078" w:rsidRDefault="00685009" w:rsidP="00685009">
      <w:pPr>
        <w:rPr>
          <w:lang w:val="it-IT"/>
        </w:rPr>
      </w:pPr>
      <w:r w:rsidRPr="00451078">
        <w:rPr>
          <w:color w:val="000000"/>
          <w:lang w:val="it-IT"/>
        </w:rPr>
        <w:t>Dynamics CRM Onprem Mobile</w:t>
      </w:r>
    </w:p>
    <w:p w:rsidR="00685009" w:rsidRPr="00451078" w:rsidRDefault="00685009" w:rsidP="00685009">
      <w:pPr>
        <w:rPr>
          <w:lang w:val="it-IT"/>
        </w:rPr>
      </w:pPr>
      <w:r w:rsidRPr="00451078">
        <w:rPr>
          <w:color w:val="000000"/>
          <w:lang w:val="it-IT"/>
        </w:rPr>
        <w:t>Dynamics CRM Mobile</w:t>
      </w:r>
    </w:p>
    <w:p w:rsidR="00685009" w:rsidRPr="003410C7" w:rsidRDefault="00685009" w:rsidP="00685009">
      <w:r w:rsidRPr="003410C7">
        <w:rPr>
          <w:color w:val="000000"/>
        </w:rPr>
        <w:t>Excel 2010</w:t>
      </w:r>
    </w:p>
    <w:p w:rsidR="00685009" w:rsidRPr="003410C7" w:rsidRDefault="00685009" w:rsidP="00685009">
      <w:r w:rsidRPr="003410C7">
        <w:rPr>
          <w:color w:val="000000"/>
        </w:rPr>
        <w:t>Exchange Server 2010 External Connector</w:t>
      </w:r>
    </w:p>
    <w:p w:rsidR="00685009" w:rsidRPr="003410C7" w:rsidRDefault="00685009" w:rsidP="00685009">
      <w:r w:rsidRPr="003410C7">
        <w:rPr>
          <w:color w:val="000000"/>
        </w:rPr>
        <w:t>FAST SearchServer per SharePoint</w:t>
      </w:r>
    </w:p>
    <w:p w:rsidR="00685009" w:rsidRPr="003410C7" w:rsidRDefault="00685009" w:rsidP="00685009">
      <w:r w:rsidRPr="003410C7">
        <w:rPr>
          <w:color w:val="000000"/>
        </w:rPr>
        <w:t>Forefront Protection Suite</w:t>
      </w:r>
    </w:p>
    <w:p w:rsidR="00685009" w:rsidRPr="003410C7" w:rsidRDefault="00685009" w:rsidP="00685009">
      <w:r w:rsidRPr="003410C7">
        <w:rPr>
          <w:color w:val="000000"/>
        </w:rPr>
        <w:t>Forefront Security Exchange Server</w:t>
      </w:r>
    </w:p>
    <w:p w:rsidR="00685009" w:rsidRPr="003410C7" w:rsidRDefault="00685009" w:rsidP="00685009">
      <w:r w:rsidRPr="003410C7">
        <w:rPr>
          <w:color w:val="000000"/>
        </w:rPr>
        <w:t>Forefront Security for Office Communications Server</w:t>
      </w:r>
    </w:p>
    <w:p w:rsidR="00685009" w:rsidRPr="003410C7" w:rsidRDefault="00685009" w:rsidP="00685009">
      <w:r w:rsidRPr="003410C7">
        <w:rPr>
          <w:color w:val="000000"/>
        </w:rPr>
        <w:t>Forefront Security per SharePoint</w:t>
      </w:r>
    </w:p>
    <w:p w:rsidR="00685009" w:rsidRPr="003410C7" w:rsidRDefault="00685009" w:rsidP="00685009">
      <w:r w:rsidRPr="003410C7">
        <w:rPr>
          <w:color w:val="000000"/>
        </w:rPr>
        <w:t>Forefront Security Server Management Console</w:t>
      </w:r>
    </w:p>
    <w:p w:rsidR="00685009" w:rsidRPr="003410C7" w:rsidRDefault="00685009" w:rsidP="00685009">
      <w:r w:rsidRPr="003410C7">
        <w:rPr>
          <w:color w:val="000000"/>
        </w:rPr>
        <w:t>Forefront Security Web</w:t>
      </w:r>
    </w:p>
    <w:p w:rsidR="00685009" w:rsidRPr="003410C7" w:rsidRDefault="00685009" w:rsidP="00685009">
      <w:r w:rsidRPr="003410C7">
        <w:rPr>
          <w:color w:val="000000"/>
        </w:rPr>
        <w:t>Forefront Threat Management Gateway Enterprise</w:t>
      </w:r>
    </w:p>
    <w:p w:rsidR="00685009" w:rsidRPr="003410C7" w:rsidRDefault="00685009" w:rsidP="00685009">
      <w:r w:rsidRPr="003410C7">
        <w:rPr>
          <w:color w:val="000000"/>
        </w:rPr>
        <w:t>Forefront Threat Management Gateway Medium Business</w:t>
      </w:r>
    </w:p>
    <w:p w:rsidR="00685009" w:rsidRPr="003410C7" w:rsidRDefault="00685009" w:rsidP="00685009">
      <w:r w:rsidRPr="003410C7">
        <w:rPr>
          <w:color w:val="000000"/>
        </w:rPr>
        <w:t>Forefront Threat Management Gateway Standard</w:t>
      </w:r>
    </w:p>
    <w:p w:rsidR="00685009" w:rsidRPr="003410C7" w:rsidRDefault="00685009" w:rsidP="00685009">
      <w:r w:rsidRPr="003410C7">
        <w:rPr>
          <w:color w:val="000000"/>
        </w:rPr>
        <w:t>Forefront Threat Management Gateway Web Protection Service</w:t>
      </w:r>
    </w:p>
    <w:p w:rsidR="00685009" w:rsidRPr="003410C7" w:rsidRDefault="00685009" w:rsidP="00685009">
      <w:r w:rsidRPr="003410C7">
        <w:rPr>
          <w:color w:val="000000"/>
        </w:rPr>
        <w:t>Forefront Protection 2010 for Exchange Server</w:t>
      </w:r>
    </w:p>
    <w:p w:rsidR="00685009" w:rsidRPr="003410C7" w:rsidRDefault="00685009" w:rsidP="00685009">
      <w:r w:rsidRPr="003410C7">
        <w:rPr>
          <w:color w:val="000000"/>
        </w:rPr>
        <w:t>External Connector per Forefront Protection 2010 for Exchange Server</w:t>
      </w:r>
    </w:p>
    <w:p w:rsidR="00685009" w:rsidRPr="003410C7" w:rsidRDefault="00685009" w:rsidP="00685009">
      <w:r w:rsidRPr="003410C7">
        <w:rPr>
          <w:color w:val="000000"/>
        </w:rPr>
        <w:t>Forefront Protection for SharePoint</w:t>
      </w:r>
    </w:p>
    <w:p w:rsidR="00685009" w:rsidRPr="003410C7" w:rsidRDefault="00685009" w:rsidP="00685009">
      <w:r w:rsidRPr="003410C7">
        <w:rPr>
          <w:color w:val="000000"/>
        </w:rPr>
        <w:t>Groove Enterprise Services</w:t>
      </w:r>
    </w:p>
    <w:p w:rsidR="00685009" w:rsidRPr="003410C7" w:rsidRDefault="00685009" w:rsidP="00685009">
      <w:r w:rsidRPr="003410C7">
        <w:rPr>
          <w:color w:val="000000"/>
        </w:rPr>
        <w:t>Groove Server</w:t>
      </w:r>
    </w:p>
    <w:p w:rsidR="00685009" w:rsidRPr="003410C7" w:rsidRDefault="00685009" w:rsidP="00685009">
      <w:r w:rsidRPr="003410C7">
        <w:rPr>
          <w:color w:val="000000"/>
        </w:rPr>
        <w:t>InfoPath 2010</w:t>
      </w:r>
    </w:p>
    <w:p w:rsidR="00685009" w:rsidRPr="003410C7" w:rsidRDefault="00685009" w:rsidP="00685009">
      <w:r w:rsidRPr="003410C7">
        <w:rPr>
          <w:color w:val="000000"/>
        </w:rPr>
        <w:t>Lync 2010</w:t>
      </w:r>
    </w:p>
    <w:p w:rsidR="00685009" w:rsidRPr="003410C7" w:rsidRDefault="00685009" w:rsidP="00685009">
      <w:r w:rsidRPr="003410C7">
        <w:rPr>
          <w:color w:val="000000"/>
        </w:rPr>
        <w:t>Lync Server 2010 Enterprise Edition</w:t>
      </w:r>
    </w:p>
    <w:p w:rsidR="00685009" w:rsidRPr="003410C7" w:rsidRDefault="00685009" w:rsidP="00685009">
      <w:r w:rsidRPr="003410C7">
        <w:rPr>
          <w:color w:val="000000"/>
        </w:rPr>
        <w:t>Enterprise External Connector per Lync Server 2010</w:t>
      </w:r>
    </w:p>
    <w:p w:rsidR="00685009" w:rsidRPr="003410C7" w:rsidRDefault="00685009" w:rsidP="00685009">
      <w:r w:rsidRPr="003410C7">
        <w:rPr>
          <w:color w:val="000000"/>
        </w:rPr>
        <w:t>Plus External Connector per Lync Server 2010</w:t>
      </w:r>
    </w:p>
    <w:p w:rsidR="00685009" w:rsidRPr="003410C7" w:rsidRDefault="00685009" w:rsidP="00685009">
      <w:r w:rsidRPr="003410C7">
        <w:rPr>
          <w:color w:val="000000"/>
        </w:rPr>
        <w:t>Standard External Connector per Lync Server 2010</w:t>
      </w:r>
    </w:p>
    <w:p w:rsidR="00685009" w:rsidRPr="003410C7" w:rsidRDefault="00685009" w:rsidP="00685009">
      <w:r w:rsidRPr="003410C7">
        <w:rPr>
          <w:color w:val="000000"/>
        </w:rPr>
        <w:t>Lync Server 2010 Standard Edition</w:t>
      </w:r>
    </w:p>
    <w:p w:rsidR="00685009" w:rsidRPr="003410C7" w:rsidRDefault="00685009" w:rsidP="00685009">
      <w:r w:rsidRPr="003410C7">
        <w:rPr>
          <w:color w:val="000000"/>
        </w:rPr>
        <w:t>Office Groove Enterprise Services</w:t>
      </w:r>
    </w:p>
    <w:p w:rsidR="00685009" w:rsidRPr="003410C7" w:rsidRDefault="00685009" w:rsidP="00685009">
      <w:r w:rsidRPr="003410C7">
        <w:rPr>
          <w:color w:val="000000"/>
        </w:rPr>
        <w:t>Office Multi-Language Pack 2010</w:t>
      </w:r>
    </w:p>
    <w:p w:rsidR="00685009" w:rsidRPr="003410C7" w:rsidRDefault="00685009" w:rsidP="00685009">
      <w:r w:rsidRPr="003410C7">
        <w:rPr>
          <w:color w:val="000000"/>
        </w:rPr>
        <w:t>Office Professional Plus 2010</w:t>
      </w:r>
    </w:p>
    <w:p w:rsidR="00685009" w:rsidRPr="003410C7" w:rsidRDefault="00685009" w:rsidP="00685009">
      <w:r w:rsidRPr="003410C7">
        <w:rPr>
          <w:color w:val="000000"/>
        </w:rPr>
        <w:t>Office Standard 2010</w:t>
      </w:r>
    </w:p>
    <w:p w:rsidR="00685009" w:rsidRPr="003410C7" w:rsidRDefault="00685009" w:rsidP="00685009">
      <w:r w:rsidRPr="003410C7">
        <w:rPr>
          <w:color w:val="000000"/>
        </w:rPr>
        <w:t>Office Small Business Get Genuine</w:t>
      </w:r>
    </w:p>
    <w:p w:rsidR="00685009" w:rsidRPr="003410C7" w:rsidRDefault="00685009" w:rsidP="00685009">
      <w:r w:rsidRPr="003410C7">
        <w:rPr>
          <w:color w:val="000000"/>
        </w:rPr>
        <w:t>OneNote 2010</w:t>
      </w:r>
    </w:p>
    <w:p w:rsidR="00685009" w:rsidRPr="003410C7" w:rsidRDefault="00685009" w:rsidP="00685009">
      <w:r w:rsidRPr="003410C7">
        <w:rPr>
          <w:color w:val="000000"/>
        </w:rPr>
        <w:t>Outlook 2010</w:t>
      </w:r>
    </w:p>
    <w:p w:rsidR="00685009" w:rsidRPr="003410C7" w:rsidRDefault="00685009" w:rsidP="00685009">
      <w:r w:rsidRPr="003410C7">
        <w:rPr>
          <w:color w:val="000000"/>
        </w:rPr>
        <w:t>Outlook con Business Contact Manager</w:t>
      </w:r>
    </w:p>
    <w:p w:rsidR="00685009" w:rsidRPr="003410C7" w:rsidRDefault="00685009" w:rsidP="00685009">
      <w:r w:rsidRPr="003410C7">
        <w:rPr>
          <w:color w:val="000000"/>
        </w:rPr>
        <w:t>PowerPoint 2010</w:t>
      </w:r>
    </w:p>
    <w:p w:rsidR="00685009" w:rsidRPr="003410C7" w:rsidRDefault="00685009" w:rsidP="00685009">
      <w:r w:rsidRPr="003410C7">
        <w:rPr>
          <w:color w:val="000000"/>
        </w:rPr>
        <w:t>Project 2010 Standard</w:t>
      </w:r>
    </w:p>
    <w:p w:rsidR="00685009" w:rsidRPr="003410C7" w:rsidRDefault="00685009" w:rsidP="00685009">
      <w:r w:rsidRPr="003410C7">
        <w:rPr>
          <w:color w:val="000000"/>
        </w:rPr>
        <w:t>Project 2010 Professional</w:t>
      </w:r>
    </w:p>
    <w:p w:rsidR="00685009" w:rsidRPr="003410C7" w:rsidRDefault="00685009" w:rsidP="00685009">
      <w:r w:rsidRPr="003410C7">
        <w:rPr>
          <w:color w:val="000000"/>
        </w:rPr>
        <w:t>Search Server 2010</w:t>
      </w:r>
    </w:p>
    <w:p w:rsidR="00685009" w:rsidRPr="003410C7" w:rsidRDefault="00685009" w:rsidP="00685009">
      <w:r w:rsidRPr="003410C7">
        <w:rPr>
          <w:color w:val="000000"/>
        </w:rPr>
        <w:t>SharePoint Server 2010 for Internet Sites Enterprise</w:t>
      </w:r>
    </w:p>
    <w:p w:rsidR="00685009" w:rsidRPr="003410C7" w:rsidRDefault="00685009" w:rsidP="00685009">
      <w:r w:rsidRPr="003410C7">
        <w:rPr>
          <w:color w:val="000000"/>
        </w:rPr>
        <w:t>SharePoint Server 2010 for Internet Sites Standard</w:t>
      </w:r>
    </w:p>
    <w:p w:rsidR="00685009" w:rsidRPr="003410C7" w:rsidRDefault="00685009" w:rsidP="00685009">
      <w:r w:rsidRPr="003410C7">
        <w:rPr>
          <w:color w:val="000000"/>
        </w:rPr>
        <w:t>SharePoint Workspace 2010</w:t>
      </w:r>
    </w:p>
    <w:p w:rsidR="00685009" w:rsidRPr="00451078" w:rsidRDefault="00685009" w:rsidP="00685009">
      <w:pPr>
        <w:rPr>
          <w:lang w:val="it-IT"/>
        </w:rPr>
      </w:pPr>
      <w:r w:rsidRPr="00451078">
        <w:rPr>
          <w:color w:val="000000"/>
          <w:lang w:val="it-IT"/>
        </w:rPr>
        <w:t>Visio 2010 Premium</w:t>
      </w:r>
    </w:p>
    <w:p w:rsidR="00685009" w:rsidRPr="00451078" w:rsidRDefault="00685009" w:rsidP="00685009">
      <w:pPr>
        <w:rPr>
          <w:lang w:val="it-IT"/>
        </w:rPr>
      </w:pPr>
      <w:r w:rsidRPr="00451078">
        <w:rPr>
          <w:color w:val="000000"/>
          <w:lang w:val="it-IT"/>
        </w:rPr>
        <w:t>Visio 2010 Standard</w:t>
      </w:r>
    </w:p>
    <w:p w:rsidR="00685009" w:rsidRPr="00451078" w:rsidRDefault="00685009" w:rsidP="00685009">
      <w:pPr>
        <w:rPr>
          <w:lang w:val="it-IT"/>
        </w:rPr>
      </w:pPr>
      <w:r w:rsidRPr="00451078">
        <w:rPr>
          <w:color w:val="000000"/>
          <w:lang w:val="it-IT"/>
        </w:rPr>
        <w:t>Windows Intune (Per Dispositivo)</w:t>
      </w:r>
    </w:p>
    <w:p w:rsidR="00685009" w:rsidRPr="00451078" w:rsidRDefault="00685009" w:rsidP="00685009">
      <w:pPr>
        <w:rPr>
          <w:lang w:val="it-IT"/>
        </w:rPr>
      </w:pPr>
      <w:r w:rsidRPr="00451078">
        <w:rPr>
          <w:color w:val="000000"/>
          <w:lang w:val="it-IT"/>
        </w:rPr>
        <w:t>Componente Aggiuntivo per Windows Intune (Per Dispositivo)</w:t>
      </w:r>
    </w:p>
    <w:p w:rsidR="00685009" w:rsidRPr="003410C7" w:rsidRDefault="00685009" w:rsidP="00685009">
      <w:r w:rsidRPr="003410C7">
        <w:rPr>
          <w:color w:val="000000"/>
        </w:rPr>
        <w:t>Windows MultiPoint Server 2011 Standard</w:t>
      </w:r>
    </w:p>
    <w:p w:rsidR="00685009" w:rsidRPr="003410C7" w:rsidRDefault="00685009" w:rsidP="00685009">
      <w:r w:rsidRPr="003410C7">
        <w:rPr>
          <w:color w:val="000000"/>
        </w:rPr>
        <w:t>Windows MultiPoint Server 2011 Premium</w:t>
      </w:r>
    </w:p>
    <w:p w:rsidR="00685009" w:rsidRPr="003410C7" w:rsidRDefault="00685009" w:rsidP="00685009">
      <w:r w:rsidRPr="003410C7">
        <w:rPr>
          <w:color w:val="000000"/>
        </w:rPr>
        <w:t>CAL per Windows MultiPoint Server 2011</w:t>
      </w:r>
    </w:p>
    <w:p w:rsidR="00685009" w:rsidRPr="003410C7" w:rsidRDefault="00685009" w:rsidP="00685009">
      <w:r w:rsidRPr="003410C7">
        <w:rPr>
          <w:color w:val="000000"/>
        </w:rPr>
        <w:t>CAL per Windows MultiPoint Server 2011 con CAL per Windows Server 2008</w:t>
      </w:r>
    </w:p>
    <w:p w:rsidR="00685009" w:rsidRPr="003410C7" w:rsidRDefault="00685009" w:rsidP="00685009">
      <w:r w:rsidRPr="003410C7">
        <w:rPr>
          <w:color w:val="000000"/>
        </w:rPr>
        <w:t>Licenza CAL per Windows MultiPoint Server 2011 Premium con Windows MultiPoint Server 2011 (5 Client)</w:t>
      </w:r>
    </w:p>
    <w:p w:rsidR="00685009" w:rsidRPr="003410C7" w:rsidRDefault="00685009" w:rsidP="00685009">
      <w:r w:rsidRPr="003410C7">
        <w:rPr>
          <w:color w:val="000000"/>
        </w:rPr>
        <w:lastRenderedPageBreak/>
        <w:t>Licenza CAL per Windows MultiPoint Server 2011 Premium con Windows MultiPoint Server 2011 (5 Client) con</w:t>
      </w:r>
      <w:r w:rsidR="00082E1C">
        <w:rPr>
          <w:color w:val="000000"/>
        </w:rPr>
        <w:t> </w:t>
      </w:r>
      <w:r w:rsidRPr="003410C7">
        <w:rPr>
          <w:color w:val="000000"/>
        </w:rPr>
        <w:t>Licenza CAL per Windows Server 2008 (5 Client)</w:t>
      </w:r>
    </w:p>
    <w:p w:rsidR="00685009" w:rsidRPr="00451078" w:rsidRDefault="00685009" w:rsidP="00685009">
      <w:pPr>
        <w:rPr>
          <w:lang w:val="it-IT"/>
        </w:rPr>
      </w:pPr>
      <w:r w:rsidRPr="00451078">
        <w:rPr>
          <w:color w:val="000000"/>
          <w:lang w:val="it-IT"/>
        </w:rPr>
        <w:t>Word 2010</w:t>
      </w:r>
    </w:p>
    <w:p w:rsidR="00173A20" w:rsidRPr="00451078" w:rsidRDefault="00173A20" w:rsidP="00173A20">
      <w:pPr>
        <w:rPr>
          <w:lang w:val="it-IT"/>
        </w:rPr>
      </w:pPr>
    </w:p>
    <w:p w:rsidR="00A33CF7" w:rsidRPr="00451078" w:rsidRDefault="00A33CF7" w:rsidP="00173A20">
      <w:pPr>
        <w:rPr>
          <w:lang w:val="it-IT"/>
        </w:rPr>
      </w:pPr>
    </w:p>
    <w:p w:rsidR="00E64830" w:rsidRPr="00451078" w:rsidRDefault="00E64830" w:rsidP="00E64830">
      <w:pPr>
        <w:pStyle w:val="Heading2"/>
        <w:ind w:left="0"/>
        <w:jc w:val="both"/>
        <w:rPr>
          <w:lang w:val="it-IT"/>
        </w:rPr>
      </w:pPr>
      <w:bookmarkStart w:id="627" w:name="_Toc352234771"/>
      <w:r w:rsidRPr="00451078">
        <w:rPr>
          <w:rFonts w:ascii="Tahoma" w:hAnsi="Tahoma" w:cs="Tahoma"/>
          <w:color w:val="FF6600"/>
          <w:lang w:val="it-IT"/>
        </w:rPr>
        <w:t>MODIFICHE APPORTATE NEL MESE DI NOVEMBRE 2012</w:t>
      </w:r>
      <w:bookmarkEnd w:id="627"/>
    </w:p>
    <w:p w:rsidR="00E64830" w:rsidRPr="00C21AC8" w:rsidRDefault="00E64830" w:rsidP="007B0DDA">
      <w:pPr>
        <w:pStyle w:val="Heading2"/>
        <w:ind w:left="0"/>
        <w:jc w:val="both"/>
        <w:rPr>
          <w:sz w:val="18"/>
          <w:szCs w:val="18"/>
          <w:lang w:val="it-IT"/>
        </w:rPr>
      </w:pPr>
    </w:p>
    <w:p w:rsidR="00E64830" w:rsidRPr="00451078" w:rsidRDefault="00E64830" w:rsidP="003E606C">
      <w:pPr>
        <w:spacing w:after="60"/>
        <w:rPr>
          <w:lang w:val="it-IT"/>
        </w:rPr>
      </w:pPr>
      <w:r w:rsidRPr="00451078">
        <w:rPr>
          <w:b/>
          <w:lang w:val="it-IT"/>
        </w:rPr>
        <w:t>Prodotti Aggiunti</w:t>
      </w:r>
    </w:p>
    <w:p w:rsidR="00E64830" w:rsidRPr="00451078" w:rsidRDefault="00E64830" w:rsidP="00C530A9">
      <w:pPr>
        <w:rPr>
          <w:lang w:val="it-IT"/>
        </w:rPr>
      </w:pPr>
      <w:r w:rsidRPr="00451078">
        <w:rPr>
          <w:lang w:val="it-IT"/>
        </w:rPr>
        <w:t>Microsoft Windows Server Essentials 2012</w:t>
      </w:r>
    </w:p>
    <w:p w:rsidR="00E64830" w:rsidRPr="00451078" w:rsidRDefault="00E64830" w:rsidP="00C530A9">
      <w:pPr>
        <w:rPr>
          <w:lang w:val="it-IT"/>
        </w:rPr>
      </w:pPr>
      <w:r w:rsidRPr="00451078">
        <w:rPr>
          <w:lang w:val="it-IT"/>
        </w:rPr>
        <w:t>Microsoft AutoRoute Euro 2013</w:t>
      </w:r>
    </w:p>
    <w:p w:rsidR="00E64830" w:rsidRPr="00451078" w:rsidRDefault="00E64830" w:rsidP="00C530A9">
      <w:pPr>
        <w:rPr>
          <w:lang w:val="it-IT"/>
        </w:rPr>
      </w:pPr>
      <w:r w:rsidRPr="00451078">
        <w:rPr>
          <w:lang w:val="it-IT"/>
        </w:rPr>
        <w:t>Microsoft Desktop Organization Pack 2012 per Software Assurance</w:t>
      </w:r>
    </w:p>
    <w:p w:rsidR="00E64830" w:rsidRPr="00451078" w:rsidRDefault="00E64830" w:rsidP="00C530A9">
      <w:pPr>
        <w:rPr>
          <w:lang w:val="it-IT"/>
        </w:rPr>
      </w:pPr>
    </w:p>
    <w:p w:rsidR="00D24E3C" w:rsidRPr="00451078" w:rsidRDefault="00D24E3C" w:rsidP="003E606C">
      <w:pPr>
        <w:spacing w:after="60"/>
        <w:rPr>
          <w:lang w:val="it-IT"/>
        </w:rPr>
      </w:pPr>
      <w:r w:rsidRPr="00451078">
        <w:rPr>
          <w:b/>
          <w:lang w:val="it-IT"/>
        </w:rPr>
        <w:t>Promozioni</w:t>
      </w:r>
    </w:p>
    <w:p w:rsidR="00D24E3C" w:rsidRPr="00451078" w:rsidRDefault="00D24E3C" w:rsidP="00E64830">
      <w:pPr>
        <w:rPr>
          <w:lang w:val="it-IT"/>
        </w:rPr>
      </w:pPr>
      <w:r w:rsidRPr="00451078">
        <w:rPr>
          <w:color w:val="000000"/>
          <w:lang w:val="it-IT"/>
        </w:rPr>
        <w:t>Sono state aggiunte le seguenti promozioni:</w:t>
      </w:r>
    </w:p>
    <w:p w:rsidR="00D24E3C" w:rsidRPr="00451078" w:rsidRDefault="00D24E3C" w:rsidP="00E904F3">
      <w:pPr>
        <w:rPr>
          <w:lang w:val="it-IT"/>
        </w:rPr>
      </w:pPr>
      <w:r w:rsidRPr="00451078">
        <w:rPr>
          <w:color w:val="000000"/>
          <w:lang w:val="it-IT"/>
        </w:rPr>
        <w:t>Sconto del 30% per l</w:t>
      </w:r>
      <w:r w:rsidR="0073727D">
        <w:rPr>
          <w:color w:val="000000"/>
          <w:lang w:val="it-IT"/>
        </w:rPr>
        <w:t>’</w:t>
      </w:r>
      <w:r w:rsidRPr="00451078">
        <w:rPr>
          <w:color w:val="000000"/>
          <w:lang w:val="it-IT"/>
        </w:rPr>
        <w:t>Aggiornamento a Visual Studio Premium con MSDN</w:t>
      </w:r>
    </w:p>
    <w:p w:rsidR="00D24E3C" w:rsidRPr="003410C7" w:rsidRDefault="00D24E3C" w:rsidP="00ED2410">
      <w:r w:rsidRPr="003410C7">
        <w:t>Step-Up a Windows 8 con SA</w:t>
      </w:r>
    </w:p>
    <w:p w:rsidR="00D24E3C" w:rsidRPr="00451078" w:rsidRDefault="00D24E3C" w:rsidP="00ED2410">
      <w:pPr>
        <w:rPr>
          <w:lang w:val="it-IT"/>
        </w:rPr>
      </w:pPr>
      <w:r w:rsidRPr="00451078">
        <w:rPr>
          <w:lang w:val="it-IT"/>
        </w:rPr>
        <w:t>Sconto Promozionale del 20% per PC Nuovi con Windows Intune</w:t>
      </w:r>
    </w:p>
    <w:p w:rsidR="00D24E3C" w:rsidRPr="00451078" w:rsidRDefault="00D24E3C" w:rsidP="00E64830">
      <w:pPr>
        <w:rPr>
          <w:lang w:val="it-IT"/>
        </w:rPr>
      </w:pPr>
    </w:p>
    <w:p w:rsidR="00E64830" w:rsidRPr="00451078" w:rsidRDefault="00E64830" w:rsidP="003E606C">
      <w:pPr>
        <w:spacing w:after="60"/>
        <w:rPr>
          <w:lang w:val="it-IT"/>
        </w:rPr>
      </w:pPr>
      <w:r w:rsidRPr="00451078">
        <w:rPr>
          <w:b/>
          <w:lang w:val="it-IT"/>
        </w:rPr>
        <w:t>Modifiche</w:t>
      </w:r>
    </w:p>
    <w:p w:rsidR="00D24E3C" w:rsidRPr="00451078" w:rsidRDefault="00D8428A" w:rsidP="00E64830">
      <w:pPr>
        <w:rPr>
          <w:lang w:val="it-IT"/>
        </w:rPr>
      </w:pPr>
      <w:r w:rsidRPr="00451078">
        <w:rPr>
          <w:color w:val="000000"/>
          <w:lang w:val="it-IT"/>
        </w:rPr>
        <w:t>Sono stati apportati aggiornamenti ai seguenti prodotti:</w:t>
      </w:r>
    </w:p>
    <w:p w:rsidR="003A5ABA" w:rsidRPr="00451078" w:rsidRDefault="00D8428A" w:rsidP="00E64830">
      <w:pPr>
        <w:rPr>
          <w:lang w:val="it-IT"/>
        </w:rPr>
      </w:pPr>
      <w:r w:rsidRPr="00451078">
        <w:rPr>
          <w:color w:val="000000"/>
          <w:lang w:val="it-IT"/>
        </w:rPr>
        <w:t>Microsoft Desktop Optimization Pack</w:t>
      </w:r>
    </w:p>
    <w:p w:rsidR="000225E7" w:rsidRPr="00451078" w:rsidRDefault="000225E7" w:rsidP="00C530A9">
      <w:pPr>
        <w:rPr>
          <w:lang w:val="it-IT"/>
        </w:rPr>
      </w:pPr>
    </w:p>
    <w:p w:rsidR="00E64830" w:rsidRPr="00451078" w:rsidRDefault="00E64830" w:rsidP="003E606C">
      <w:pPr>
        <w:spacing w:after="60"/>
        <w:rPr>
          <w:lang w:val="it-IT"/>
        </w:rPr>
      </w:pPr>
      <w:r w:rsidRPr="00451078">
        <w:rPr>
          <w:b/>
          <w:lang w:val="it-IT"/>
        </w:rPr>
        <w:t>Prodotti Eliminati</w:t>
      </w:r>
    </w:p>
    <w:p w:rsidR="00E64830" w:rsidRPr="003410C7" w:rsidRDefault="00E64830" w:rsidP="00C530A9">
      <w:r w:rsidRPr="003410C7">
        <w:t>Windows Small Business Server Essentials 2011</w:t>
      </w:r>
    </w:p>
    <w:p w:rsidR="00E64830" w:rsidRPr="003410C7" w:rsidRDefault="00E64830" w:rsidP="00C530A9">
      <w:r w:rsidRPr="003410C7">
        <w:t>AutoRoute 2011</w:t>
      </w:r>
    </w:p>
    <w:p w:rsidR="00E64830" w:rsidRPr="003410C7" w:rsidRDefault="00E64830" w:rsidP="00C530A9">
      <w:r w:rsidRPr="003410C7">
        <w:t>Microsoft Desktop Optimization Pack 2011 R2 per Software Assurance.</w:t>
      </w:r>
    </w:p>
    <w:p w:rsidR="00E64830" w:rsidRPr="006106E9" w:rsidRDefault="00E64830" w:rsidP="007B0DDA">
      <w:pPr>
        <w:pStyle w:val="Heading2"/>
        <w:ind w:left="0"/>
        <w:jc w:val="both"/>
        <w:rPr>
          <w:sz w:val="18"/>
          <w:szCs w:val="18"/>
        </w:rPr>
      </w:pPr>
    </w:p>
    <w:p w:rsidR="0021637C" w:rsidRPr="006106E9" w:rsidRDefault="0021637C" w:rsidP="007B0DDA">
      <w:pPr>
        <w:pStyle w:val="Heading2"/>
        <w:ind w:left="0"/>
        <w:jc w:val="both"/>
        <w:rPr>
          <w:sz w:val="18"/>
          <w:szCs w:val="18"/>
        </w:rPr>
      </w:pPr>
    </w:p>
    <w:p w:rsidR="007B0DDA" w:rsidRPr="00451078" w:rsidRDefault="007B0DDA" w:rsidP="007B0DDA">
      <w:pPr>
        <w:pStyle w:val="Heading2"/>
        <w:ind w:left="0"/>
        <w:jc w:val="both"/>
        <w:rPr>
          <w:lang w:val="it-IT"/>
        </w:rPr>
      </w:pPr>
      <w:bookmarkStart w:id="628" w:name="_Toc336338169"/>
      <w:bookmarkStart w:id="629" w:name="_Toc352234772"/>
      <w:r w:rsidRPr="00451078">
        <w:rPr>
          <w:rFonts w:ascii="Tahoma" w:hAnsi="Tahoma" w:cs="Tahoma"/>
          <w:color w:val="FF6600"/>
          <w:lang w:val="it-IT"/>
        </w:rPr>
        <w:t>MODIFICHE APPORTATE NEL MESE DI OTTOBRE 2012</w:t>
      </w:r>
      <w:bookmarkEnd w:id="628"/>
      <w:bookmarkEnd w:id="629"/>
    </w:p>
    <w:p w:rsidR="007B0DDA" w:rsidRPr="00451078" w:rsidRDefault="007B0DDA" w:rsidP="007B0DDA">
      <w:pPr>
        <w:rPr>
          <w:lang w:val="it-IT"/>
        </w:rPr>
      </w:pPr>
    </w:p>
    <w:p w:rsidR="007B0DDA" w:rsidRPr="00451078" w:rsidRDefault="007B0DDA" w:rsidP="003E606C">
      <w:pPr>
        <w:spacing w:after="60"/>
        <w:rPr>
          <w:lang w:val="it-IT"/>
        </w:rPr>
      </w:pPr>
      <w:r w:rsidRPr="00451078">
        <w:rPr>
          <w:b/>
          <w:lang w:val="it-IT"/>
        </w:rPr>
        <w:t>Prodotti Aggiunti</w:t>
      </w:r>
    </w:p>
    <w:p w:rsidR="007B0DDA" w:rsidRPr="00451078" w:rsidRDefault="00AD19DE" w:rsidP="007B0DDA">
      <w:pPr>
        <w:rPr>
          <w:lang w:val="it-IT"/>
        </w:rPr>
      </w:pPr>
      <w:r w:rsidRPr="00451078">
        <w:rPr>
          <w:rFonts w:cs="Tahoma"/>
          <w:color w:val="000000"/>
          <w:szCs w:val="20"/>
          <w:lang w:val="it-IT"/>
        </w:rPr>
        <w:t xml:space="preserve">Licenza </w:t>
      </w:r>
      <w:r w:rsidR="001A3EC5" w:rsidRPr="00451078">
        <w:rPr>
          <w:rFonts w:cs="Tahoma"/>
          <w:color w:val="000000"/>
          <w:szCs w:val="20"/>
          <w:lang w:val="it-IT"/>
        </w:rPr>
        <w:t>“</w:t>
      </w:r>
      <w:r w:rsidRPr="00451078">
        <w:rPr>
          <w:rFonts w:cs="Tahoma"/>
          <w:color w:val="000000"/>
          <w:szCs w:val="20"/>
          <w:lang w:val="it-IT"/>
        </w:rPr>
        <w:t>Subscription</w:t>
      </w:r>
      <w:r w:rsidR="001A3EC5" w:rsidRPr="00451078">
        <w:rPr>
          <w:rFonts w:cs="Tahoma"/>
          <w:color w:val="000000"/>
          <w:szCs w:val="20"/>
          <w:lang w:val="it-IT"/>
        </w:rPr>
        <w:t>”</w:t>
      </w:r>
      <w:r w:rsidRPr="00451078">
        <w:rPr>
          <w:rFonts w:cs="Tahoma"/>
          <w:color w:val="000000"/>
          <w:szCs w:val="20"/>
          <w:lang w:val="it-IT"/>
        </w:rPr>
        <w:t xml:space="preserve"> per Windows Companion</w:t>
      </w:r>
    </w:p>
    <w:p w:rsidR="007B0DDA" w:rsidRPr="00451078" w:rsidRDefault="007B0DDA" w:rsidP="007B0DDA">
      <w:pPr>
        <w:rPr>
          <w:lang w:val="it-IT"/>
        </w:rPr>
      </w:pPr>
    </w:p>
    <w:p w:rsidR="007B0DDA" w:rsidRPr="00451078" w:rsidRDefault="007B0DDA" w:rsidP="003E606C">
      <w:pPr>
        <w:spacing w:after="60"/>
        <w:rPr>
          <w:lang w:val="it-IT"/>
        </w:rPr>
      </w:pPr>
      <w:r w:rsidRPr="00451078">
        <w:rPr>
          <w:b/>
          <w:lang w:val="it-IT"/>
        </w:rPr>
        <w:t>Modifiche</w:t>
      </w:r>
    </w:p>
    <w:p w:rsidR="007B0DDA" w:rsidRPr="00451078" w:rsidRDefault="007B0DDA" w:rsidP="007B0DDA">
      <w:pPr>
        <w:rPr>
          <w:lang w:val="it-IT"/>
        </w:rPr>
      </w:pPr>
      <w:r w:rsidRPr="00451078">
        <w:rPr>
          <w:rFonts w:cs="Tahoma"/>
          <w:color w:val="000000"/>
          <w:szCs w:val="20"/>
          <w:lang w:val="it-IT"/>
        </w:rPr>
        <w:t>Il valore di punti è cambiato per i seguenti prodotti:</w:t>
      </w:r>
    </w:p>
    <w:p w:rsidR="007B0DDA" w:rsidRPr="00451078" w:rsidRDefault="007B0DDA" w:rsidP="007B0DDA">
      <w:pPr>
        <w:rPr>
          <w:lang w:val="fr-FR"/>
        </w:rPr>
      </w:pPr>
      <w:r w:rsidRPr="00451078">
        <w:rPr>
          <w:rFonts w:cs="Tahoma"/>
          <w:color w:val="000000"/>
          <w:szCs w:val="20"/>
          <w:lang w:val="fr-FR"/>
        </w:rPr>
        <w:t>Core Infrastructure Server Suite Datacenter</w:t>
      </w:r>
    </w:p>
    <w:p w:rsidR="007B0DDA" w:rsidRPr="00451078" w:rsidRDefault="007B0DDA" w:rsidP="007B0DDA">
      <w:pPr>
        <w:rPr>
          <w:lang w:val="fr-FR"/>
        </w:rPr>
      </w:pPr>
      <w:r w:rsidRPr="00451078">
        <w:rPr>
          <w:rFonts w:cs="Tahoma"/>
          <w:color w:val="000000"/>
          <w:szCs w:val="20"/>
          <w:lang w:val="fr-FR"/>
        </w:rPr>
        <w:t>Core Infrastructure Server Suite Standard</w:t>
      </w:r>
    </w:p>
    <w:p w:rsidR="007B0DDA" w:rsidRPr="00451078" w:rsidRDefault="007B0DDA" w:rsidP="007B0DDA">
      <w:pPr>
        <w:rPr>
          <w:lang w:val="it-IT"/>
        </w:rPr>
      </w:pPr>
      <w:r w:rsidRPr="00451078">
        <w:rPr>
          <w:rFonts w:cs="Tahoma"/>
          <w:color w:val="000000"/>
          <w:szCs w:val="20"/>
          <w:lang w:val="it-IT"/>
        </w:rPr>
        <w:t>Licenza di Gestione Server Standard per System Center 2012 (2 processori)</w:t>
      </w:r>
    </w:p>
    <w:p w:rsidR="007B0DDA" w:rsidRPr="00451078" w:rsidRDefault="007B0DDA" w:rsidP="007B0DDA">
      <w:pPr>
        <w:rPr>
          <w:lang w:val="it-IT"/>
        </w:rPr>
      </w:pPr>
      <w:r w:rsidRPr="00451078">
        <w:rPr>
          <w:rFonts w:cs="Tahoma"/>
          <w:color w:val="000000"/>
          <w:szCs w:val="20"/>
          <w:lang w:val="it-IT"/>
        </w:rPr>
        <w:t>Licenza di Gestione Server per System Center 2012 Datacenter (2 processori)</w:t>
      </w:r>
    </w:p>
    <w:p w:rsidR="007B0DDA" w:rsidRPr="00451078" w:rsidRDefault="007B0DDA" w:rsidP="007B0DDA">
      <w:pPr>
        <w:rPr>
          <w:lang w:val="it-IT"/>
        </w:rPr>
      </w:pPr>
      <w:r w:rsidRPr="00451078">
        <w:rPr>
          <w:rFonts w:cs="Tahoma"/>
          <w:color w:val="000000"/>
          <w:szCs w:val="20"/>
          <w:lang w:val="it-IT"/>
        </w:rPr>
        <w:t>System Center Configuration Manager 2007 R3</w:t>
      </w:r>
    </w:p>
    <w:p w:rsidR="007B0DDA" w:rsidRPr="00451078" w:rsidRDefault="007B0DDA" w:rsidP="007B0DDA">
      <w:pPr>
        <w:rPr>
          <w:lang w:val="it-IT"/>
        </w:rPr>
      </w:pPr>
      <w:r w:rsidRPr="00451078">
        <w:rPr>
          <w:rFonts w:cs="Tahoma"/>
          <w:color w:val="000000"/>
          <w:szCs w:val="20"/>
          <w:lang w:val="it-IT"/>
        </w:rPr>
        <w:t xml:space="preserve">Licenza di Gestione Server Enterprise per System Center Configuration Manager 2007 R3 </w:t>
      </w:r>
    </w:p>
    <w:p w:rsidR="007B0DDA" w:rsidRPr="00451078" w:rsidRDefault="007B0DDA" w:rsidP="007B0DDA">
      <w:pPr>
        <w:rPr>
          <w:lang w:val="it-IT"/>
        </w:rPr>
      </w:pPr>
      <w:r w:rsidRPr="00451078">
        <w:rPr>
          <w:rFonts w:cs="Tahoma"/>
          <w:color w:val="000000"/>
          <w:szCs w:val="20"/>
          <w:lang w:val="it-IT"/>
        </w:rPr>
        <w:t>Licenza di Gestione Server Standard (Standard Server ML) per System Center Configuration Manager 2007 R3</w:t>
      </w:r>
    </w:p>
    <w:p w:rsidR="007B0DDA" w:rsidRPr="00451078" w:rsidRDefault="007B0DDA" w:rsidP="007B0DDA">
      <w:pPr>
        <w:rPr>
          <w:lang w:val="it-IT"/>
        </w:rPr>
      </w:pPr>
      <w:r w:rsidRPr="00451078">
        <w:rPr>
          <w:rFonts w:cs="Tahoma"/>
          <w:color w:val="000000"/>
          <w:szCs w:val="20"/>
          <w:lang w:val="it-IT"/>
        </w:rPr>
        <w:t>System Center Configuration Manager 2007 R3 con Tecnologia SQL Server 2008</w:t>
      </w:r>
    </w:p>
    <w:p w:rsidR="007B0DDA" w:rsidRPr="00451078" w:rsidRDefault="007B0DDA" w:rsidP="007B0DDA">
      <w:pPr>
        <w:rPr>
          <w:lang w:val="it-IT"/>
        </w:rPr>
      </w:pPr>
      <w:r w:rsidRPr="00451078">
        <w:rPr>
          <w:rFonts w:cs="Tahoma"/>
          <w:color w:val="000000"/>
          <w:szCs w:val="20"/>
          <w:lang w:val="it-IT"/>
        </w:rPr>
        <w:t>Licenza di Gestione Client per Utente per System Center Data Protection Manager 2010</w:t>
      </w:r>
    </w:p>
    <w:p w:rsidR="007B0DDA" w:rsidRPr="00451078" w:rsidRDefault="007B0DDA" w:rsidP="007B0DDA">
      <w:pPr>
        <w:rPr>
          <w:lang w:val="it-IT"/>
        </w:rPr>
      </w:pPr>
      <w:r w:rsidRPr="00451078">
        <w:rPr>
          <w:rFonts w:cs="Tahoma"/>
          <w:color w:val="000000"/>
          <w:szCs w:val="20"/>
          <w:lang w:val="it-IT"/>
        </w:rPr>
        <w:t>Licenza di Gestione Client per OSE per System Center Data Protection Manager 2010</w:t>
      </w:r>
    </w:p>
    <w:p w:rsidR="007B0DDA" w:rsidRPr="00451078" w:rsidRDefault="007B0DDA" w:rsidP="007B0DDA">
      <w:pPr>
        <w:rPr>
          <w:lang w:val="it-IT"/>
        </w:rPr>
      </w:pPr>
      <w:r w:rsidRPr="00451078">
        <w:rPr>
          <w:rFonts w:cs="Tahoma"/>
          <w:color w:val="000000"/>
          <w:szCs w:val="20"/>
          <w:lang w:val="it-IT"/>
        </w:rPr>
        <w:t xml:space="preserve">Licenza di Gestione Server Enterprise per System Center Data Protection Manager 2010 </w:t>
      </w:r>
    </w:p>
    <w:p w:rsidR="007B0DDA" w:rsidRPr="00451078" w:rsidRDefault="007B0DDA" w:rsidP="007B0DDA">
      <w:pPr>
        <w:rPr>
          <w:lang w:val="it-IT"/>
        </w:rPr>
      </w:pPr>
      <w:r w:rsidRPr="00451078">
        <w:rPr>
          <w:rFonts w:cs="Tahoma"/>
          <w:color w:val="000000"/>
          <w:szCs w:val="20"/>
          <w:lang w:val="it-IT"/>
        </w:rPr>
        <w:t xml:space="preserve">Licenza di Gestione Server Standard per System Center Data Protection Manager 2010 </w:t>
      </w:r>
    </w:p>
    <w:p w:rsidR="007B0DDA" w:rsidRPr="00451078" w:rsidRDefault="007B0DDA" w:rsidP="007B0DDA">
      <w:pPr>
        <w:rPr>
          <w:lang w:val="it-IT"/>
        </w:rPr>
      </w:pPr>
      <w:r w:rsidRPr="00451078">
        <w:rPr>
          <w:rFonts w:cs="Tahoma"/>
          <w:color w:val="000000"/>
          <w:szCs w:val="20"/>
          <w:lang w:val="it-IT"/>
        </w:rPr>
        <w:t>System Center Operations Manager 2007 R2</w:t>
      </w:r>
    </w:p>
    <w:p w:rsidR="007B0DDA" w:rsidRPr="00451078" w:rsidRDefault="007B0DDA" w:rsidP="007B0DDA">
      <w:pPr>
        <w:rPr>
          <w:lang w:val="it-IT"/>
        </w:rPr>
      </w:pPr>
      <w:r w:rsidRPr="00451078">
        <w:rPr>
          <w:rFonts w:cs="Tahoma"/>
          <w:color w:val="000000"/>
          <w:szCs w:val="20"/>
          <w:lang w:val="it-IT"/>
        </w:rPr>
        <w:t>System Center Operations Manager 2007 R2 con Tecnologia SQL Server 2008</w:t>
      </w:r>
    </w:p>
    <w:p w:rsidR="007B0DDA" w:rsidRPr="00451078" w:rsidRDefault="007B0DDA" w:rsidP="007B0DDA">
      <w:pPr>
        <w:rPr>
          <w:lang w:val="it-IT"/>
        </w:rPr>
      </w:pPr>
      <w:r w:rsidRPr="00451078">
        <w:rPr>
          <w:rFonts w:cs="Tahoma"/>
          <w:color w:val="000000"/>
          <w:szCs w:val="20"/>
          <w:lang w:val="it-IT"/>
        </w:rPr>
        <w:t xml:space="preserve">Licenza di Gestione Server Standard per System Center Operations Manager 2007 R2 </w:t>
      </w:r>
    </w:p>
    <w:p w:rsidR="007B0DDA" w:rsidRPr="00451078" w:rsidRDefault="007B0DDA" w:rsidP="007B0DDA">
      <w:pPr>
        <w:rPr>
          <w:lang w:val="it-IT"/>
        </w:rPr>
      </w:pPr>
      <w:r w:rsidRPr="00451078">
        <w:rPr>
          <w:rFonts w:cs="Tahoma"/>
          <w:color w:val="000000"/>
          <w:szCs w:val="20"/>
          <w:lang w:val="it-IT"/>
        </w:rPr>
        <w:t xml:space="preserve">Licenza di Gestione Server Enterprise per System Center Operations Manager 2007 R2 </w:t>
      </w:r>
    </w:p>
    <w:p w:rsidR="007B0DDA" w:rsidRPr="00451078" w:rsidRDefault="007B0DDA" w:rsidP="007B0DDA">
      <w:pPr>
        <w:rPr>
          <w:lang w:val="it-IT"/>
        </w:rPr>
      </w:pPr>
      <w:r w:rsidRPr="00451078">
        <w:rPr>
          <w:rFonts w:cs="Tahoma"/>
          <w:color w:val="000000"/>
          <w:szCs w:val="20"/>
          <w:lang w:val="it-IT"/>
        </w:rPr>
        <w:t>Licenza di Gestione Client per OSE per System Center Operations Manager 2007 R2</w:t>
      </w:r>
    </w:p>
    <w:p w:rsidR="007B0DDA" w:rsidRPr="00451078" w:rsidRDefault="007B0DDA" w:rsidP="007B0DDA">
      <w:pPr>
        <w:rPr>
          <w:lang w:val="it-IT"/>
        </w:rPr>
      </w:pPr>
      <w:r w:rsidRPr="00451078">
        <w:rPr>
          <w:rFonts w:cs="Tahoma"/>
          <w:color w:val="000000"/>
          <w:szCs w:val="20"/>
          <w:lang w:val="it-IT"/>
        </w:rPr>
        <w:t>Licenza di Gestione Client per Utente per System Center Operations Manager 2007 R2</w:t>
      </w:r>
    </w:p>
    <w:p w:rsidR="007B0DDA" w:rsidRPr="00451078" w:rsidRDefault="007B0DDA" w:rsidP="007B0DDA">
      <w:pPr>
        <w:rPr>
          <w:lang w:val="it-IT"/>
        </w:rPr>
      </w:pPr>
      <w:r w:rsidRPr="00451078">
        <w:rPr>
          <w:rFonts w:cs="Tahoma"/>
          <w:color w:val="000000"/>
          <w:szCs w:val="20"/>
          <w:lang w:val="it-IT"/>
        </w:rPr>
        <w:t xml:space="preserve">System Center Server Management Suite Enterprise </w:t>
      </w:r>
    </w:p>
    <w:p w:rsidR="007B0DDA" w:rsidRPr="00451078" w:rsidRDefault="007B0DDA" w:rsidP="007B0DDA">
      <w:pPr>
        <w:rPr>
          <w:lang w:val="it-IT"/>
        </w:rPr>
      </w:pPr>
      <w:r w:rsidRPr="00451078">
        <w:rPr>
          <w:rFonts w:cs="Tahoma"/>
          <w:color w:val="000000"/>
          <w:szCs w:val="20"/>
          <w:lang w:val="it-IT"/>
        </w:rPr>
        <w:t>System Center Server Management Suite Datacenter</w:t>
      </w:r>
    </w:p>
    <w:p w:rsidR="007B0DDA" w:rsidRPr="00451078" w:rsidRDefault="007B0DDA" w:rsidP="007B0DDA">
      <w:pPr>
        <w:rPr>
          <w:lang w:val="it-IT"/>
        </w:rPr>
      </w:pPr>
      <w:r w:rsidRPr="00451078">
        <w:rPr>
          <w:rFonts w:cs="Tahoma"/>
          <w:color w:val="000000"/>
          <w:szCs w:val="20"/>
          <w:lang w:val="it-IT"/>
        </w:rPr>
        <w:t>System Center Service Manager 2010</w:t>
      </w:r>
    </w:p>
    <w:p w:rsidR="007B0DDA" w:rsidRPr="00451078" w:rsidRDefault="007B0DDA" w:rsidP="007B0DDA">
      <w:pPr>
        <w:rPr>
          <w:lang w:val="it-IT"/>
        </w:rPr>
      </w:pPr>
      <w:r w:rsidRPr="00451078">
        <w:rPr>
          <w:rFonts w:cs="Tahoma"/>
          <w:color w:val="000000"/>
          <w:szCs w:val="20"/>
          <w:lang w:val="it-IT"/>
        </w:rPr>
        <w:t>System Center Service Manager 2010 con Tecnologia SQL Server 2008</w:t>
      </w:r>
    </w:p>
    <w:p w:rsidR="007B0DDA" w:rsidRPr="00451078" w:rsidRDefault="007B0DDA" w:rsidP="007B0DDA">
      <w:pPr>
        <w:rPr>
          <w:lang w:val="it-IT"/>
        </w:rPr>
      </w:pPr>
      <w:r w:rsidRPr="00451078">
        <w:rPr>
          <w:rFonts w:cs="Tahoma"/>
          <w:color w:val="000000"/>
          <w:szCs w:val="20"/>
          <w:lang w:val="it-IT"/>
        </w:rPr>
        <w:t>Licenza di Gestione Client (Client ML) per OSE per System Center Service Manager 2010</w:t>
      </w:r>
    </w:p>
    <w:p w:rsidR="007B0DDA" w:rsidRPr="00451078" w:rsidRDefault="007B0DDA" w:rsidP="007B0DDA">
      <w:pPr>
        <w:rPr>
          <w:lang w:val="it-IT"/>
        </w:rPr>
      </w:pPr>
      <w:r w:rsidRPr="00451078">
        <w:rPr>
          <w:rFonts w:cs="Tahoma"/>
          <w:color w:val="000000"/>
          <w:szCs w:val="20"/>
          <w:lang w:val="it-IT"/>
        </w:rPr>
        <w:lastRenderedPageBreak/>
        <w:t>Licenza di Gestione Client (Client ML) per Utente per System Center Service Manager 2010</w:t>
      </w:r>
    </w:p>
    <w:p w:rsidR="007B0DDA" w:rsidRPr="00451078" w:rsidRDefault="007B0DDA" w:rsidP="007B0DDA">
      <w:pPr>
        <w:rPr>
          <w:lang w:val="it-IT"/>
        </w:rPr>
      </w:pPr>
      <w:r w:rsidRPr="00451078">
        <w:rPr>
          <w:rFonts w:cs="Tahoma"/>
          <w:color w:val="000000"/>
          <w:szCs w:val="20"/>
          <w:lang w:val="it-IT"/>
        </w:rPr>
        <w:t>Licenza di Gestione Server (Server ML) per OSE per System Center Service Manager 2010</w:t>
      </w:r>
    </w:p>
    <w:p w:rsidR="007B0DDA" w:rsidRPr="00451078" w:rsidRDefault="007B0DDA" w:rsidP="007B0DDA">
      <w:pPr>
        <w:rPr>
          <w:lang w:val="it-IT"/>
        </w:rPr>
      </w:pPr>
      <w:r w:rsidRPr="00451078">
        <w:rPr>
          <w:rFonts w:cs="Tahoma"/>
          <w:color w:val="000000"/>
          <w:szCs w:val="20"/>
          <w:lang w:val="it-IT"/>
        </w:rPr>
        <w:t>Licenza di Gestione Client per OSE per System Center Virtual Machine Manager 2008 R2</w:t>
      </w:r>
    </w:p>
    <w:p w:rsidR="007B0DDA" w:rsidRPr="00451078" w:rsidRDefault="007B0DDA" w:rsidP="007B0DDA">
      <w:pPr>
        <w:rPr>
          <w:lang w:val="it-IT"/>
        </w:rPr>
      </w:pPr>
      <w:r w:rsidRPr="00451078">
        <w:rPr>
          <w:rFonts w:cs="Tahoma"/>
          <w:color w:val="000000"/>
          <w:szCs w:val="20"/>
          <w:lang w:val="it-IT"/>
        </w:rPr>
        <w:t>Licenza di Gestione Client per Utente per System Center Virtual Machine Manager 2008 R2</w:t>
      </w:r>
    </w:p>
    <w:p w:rsidR="007B0DDA" w:rsidRPr="00451078" w:rsidRDefault="007B0DDA" w:rsidP="007B0DDA">
      <w:pPr>
        <w:rPr>
          <w:lang w:val="it-IT"/>
        </w:rPr>
      </w:pPr>
      <w:r w:rsidRPr="00451078">
        <w:rPr>
          <w:rFonts w:cs="Tahoma"/>
          <w:color w:val="000000"/>
          <w:szCs w:val="20"/>
          <w:lang w:val="it-IT"/>
        </w:rPr>
        <w:t>Licenza di Gestione Server per System Center Virtual Machine Manager 2008 R2 Enterprise</w:t>
      </w:r>
    </w:p>
    <w:p w:rsidR="007B0DDA" w:rsidRPr="00451078" w:rsidRDefault="007B0DDA" w:rsidP="007B0DDA">
      <w:pPr>
        <w:rPr>
          <w:lang w:val="it-IT"/>
        </w:rPr>
      </w:pPr>
    </w:p>
    <w:p w:rsidR="007B0DDA" w:rsidRPr="00451078" w:rsidRDefault="007B0DDA" w:rsidP="003E606C">
      <w:pPr>
        <w:spacing w:after="60"/>
        <w:rPr>
          <w:lang w:val="it-IT"/>
        </w:rPr>
      </w:pPr>
      <w:r w:rsidRPr="00451078">
        <w:rPr>
          <w:b/>
          <w:lang w:val="it-IT"/>
        </w:rPr>
        <w:t>Prodotti Eliminati</w:t>
      </w:r>
    </w:p>
    <w:p w:rsidR="007B0DDA" w:rsidRPr="00451078" w:rsidRDefault="007B0DDA" w:rsidP="007B0DDA">
      <w:pPr>
        <w:rPr>
          <w:lang w:val="it-IT"/>
        </w:rPr>
      </w:pPr>
      <w:r w:rsidRPr="00451078">
        <w:rPr>
          <w:color w:val="000000"/>
          <w:lang w:val="it-IT"/>
        </w:rPr>
        <w:t>System Center Mobile Device Manager 2008</w:t>
      </w:r>
    </w:p>
    <w:p w:rsidR="00B20EAC" w:rsidRPr="00451078" w:rsidRDefault="00B20EAC" w:rsidP="007B0DDA">
      <w:pPr>
        <w:rPr>
          <w:lang w:val="it-IT"/>
        </w:rPr>
      </w:pPr>
      <w:r w:rsidRPr="00451078">
        <w:rPr>
          <w:color w:val="000000"/>
          <w:lang w:val="it-IT"/>
        </w:rPr>
        <w:t>Database Consolidation Appliance 2012</w:t>
      </w:r>
    </w:p>
    <w:p w:rsidR="00593FBD" w:rsidRPr="00451078" w:rsidRDefault="00593FBD" w:rsidP="00593FBD">
      <w:pPr>
        <w:ind w:right="720"/>
        <w:rPr>
          <w:lang w:val="it-IT"/>
        </w:rPr>
      </w:pPr>
    </w:p>
    <w:p w:rsidR="00A31A6D" w:rsidRPr="00451078" w:rsidRDefault="00A31A6D" w:rsidP="00593FBD">
      <w:pPr>
        <w:ind w:right="720"/>
        <w:rPr>
          <w:lang w:val="it-IT"/>
        </w:rPr>
      </w:pPr>
    </w:p>
    <w:p w:rsidR="00593FBD" w:rsidRPr="00451078" w:rsidRDefault="003D1247" w:rsidP="00593FBD">
      <w:pPr>
        <w:pStyle w:val="Heading2"/>
        <w:ind w:left="0"/>
        <w:jc w:val="both"/>
        <w:rPr>
          <w:lang w:val="it-IT"/>
        </w:rPr>
      </w:pPr>
      <w:bookmarkStart w:id="630" w:name="_Toc336338170"/>
      <w:bookmarkStart w:id="631" w:name="_Toc352234773"/>
      <w:r w:rsidRPr="00451078">
        <w:rPr>
          <w:rFonts w:ascii="Tahoma" w:hAnsi="Tahoma" w:cs="Tahoma"/>
          <w:color w:val="FF6600"/>
          <w:lang w:val="it-IT"/>
        </w:rPr>
        <w:t>MODIFICHE APPORTATE NEL MESE DI SETTEMBRE 2012</w:t>
      </w:r>
      <w:bookmarkEnd w:id="630"/>
      <w:bookmarkEnd w:id="631"/>
    </w:p>
    <w:p w:rsidR="007B0DDA" w:rsidRPr="00451078" w:rsidRDefault="007B0DDA">
      <w:pPr>
        <w:ind w:right="720"/>
        <w:rPr>
          <w:lang w:val="it-IT"/>
        </w:rPr>
      </w:pPr>
    </w:p>
    <w:p w:rsidR="00593FBD" w:rsidRPr="00451078" w:rsidRDefault="00593FBD" w:rsidP="003E606C">
      <w:pPr>
        <w:spacing w:after="60"/>
        <w:rPr>
          <w:lang w:val="it-IT"/>
        </w:rPr>
      </w:pPr>
      <w:r w:rsidRPr="00451078">
        <w:rPr>
          <w:b/>
          <w:lang w:val="it-IT"/>
        </w:rPr>
        <w:t>Prodotti Aggiunti</w:t>
      </w:r>
    </w:p>
    <w:p w:rsidR="00593FBD" w:rsidRPr="00451078" w:rsidRDefault="00593FBD" w:rsidP="00EF4590">
      <w:pPr>
        <w:rPr>
          <w:lang w:val="it-IT"/>
        </w:rPr>
      </w:pPr>
      <w:r w:rsidRPr="00451078">
        <w:rPr>
          <w:rFonts w:cs="Tahoma"/>
          <w:color w:val="000000"/>
          <w:szCs w:val="20"/>
          <w:lang w:val="it-IT"/>
        </w:rPr>
        <w:t>Visual Studio</w:t>
      </w:r>
      <w:r w:rsidR="003410C7" w:rsidRPr="00451078">
        <w:rPr>
          <w:rFonts w:cs="Tahoma"/>
          <w:color w:val="000000"/>
          <w:szCs w:val="20"/>
          <w:vertAlign w:val="superscript"/>
          <w:lang w:val="it-IT"/>
        </w:rPr>
        <w:t>®</w:t>
      </w:r>
      <w:r w:rsidRPr="00451078">
        <w:rPr>
          <w:rFonts w:cs="Tahoma"/>
          <w:color w:val="000000"/>
          <w:szCs w:val="20"/>
          <w:lang w:val="it-IT"/>
        </w:rPr>
        <w:t xml:space="preserve"> Professional 2012</w:t>
      </w:r>
    </w:p>
    <w:p w:rsidR="00593FBD" w:rsidRPr="00451078" w:rsidRDefault="00593FBD" w:rsidP="00EF4590">
      <w:pPr>
        <w:rPr>
          <w:lang w:val="it-IT"/>
        </w:rPr>
      </w:pPr>
      <w:r w:rsidRPr="00451078">
        <w:rPr>
          <w:rFonts w:cs="Tahoma"/>
          <w:color w:val="000000"/>
          <w:szCs w:val="20"/>
          <w:lang w:val="it-IT"/>
        </w:rPr>
        <w:t>Visual Studio</w:t>
      </w:r>
      <w:r w:rsidR="003410C7" w:rsidRPr="00451078">
        <w:rPr>
          <w:rFonts w:cs="Tahoma"/>
          <w:color w:val="000000"/>
          <w:szCs w:val="20"/>
          <w:vertAlign w:val="superscript"/>
          <w:lang w:val="it-IT"/>
        </w:rPr>
        <w:t>®</w:t>
      </w:r>
      <w:r w:rsidRPr="00451078">
        <w:rPr>
          <w:rFonts w:cs="Tahoma"/>
          <w:color w:val="000000"/>
          <w:szCs w:val="20"/>
          <w:lang w:val="it-IT"/>
        </w:rPr>
        <w:t xml:space="preserve"> Professional 2012 con MSDN</w:t>
      </w:r>
    </w:p>
    <w:p w:rsidR="00593FBD" w:rsidRPr="00451078" w:rsidRDefault="00CB0262" w:rsidP="00EF4590">
      <w:pPr>
        <w:rPr>
          <w:lang w:val="it-IT"/>
        </w:rPr>
      </w:pPr>
      <w:r w:rsidRPr="00451078">
        <w:rPr>
          <w:rFonts w:cs="Tahoma"/>
          <w:color w:val="000000"/>
          <w:szCs w:val="20"/>
          <w:lang w:val="it-IT"/>
        </w:rPr>
        <w:t>Visual Studio</w:t>
      </w:r>
      <w:r w:rsidR="003410C7" w:rsidRPr="00451078">
        <w:rPr>
          <w:rFonts w:cs="Tahoma"/>
          <w:color w:val="000000"/>
          <w:szCs w:val="20"/>
          <w:vertAlign w:val="superscript"/>
          <w:lang w:val="it-IT"/>
        </w:rPr>
        <w:t>®</w:t>
      </w:r>
      <w:r w:rsidRPr="00451078">
        <w:rPr>
          <w:rFonts w:cs="Tahoma"/>
          <w:color w:val="000000"/>
          <w:szCs w:val="20"/>
          <w:lang w:val="it-IT"/>
        </w:rPr>
        <w:t xml:space="preserve"> Premium 2012 con MSDN</w:t>
      </w:r>
    </w:p>
    <w:p w:rsidR="00CB0262" w:rsidRPr="00451078" w:rsidRDefault="00CB0262" w:rsidP="00EF4590">
      <w:pPr>
        <w:rPr>
          <w:lang w:val="it-IT"/>
        </w:rPr>
      </w:pPr>
      <w:r w:rsidRPr="00451078">
        <w:rPr>
          <w:rFonts w:cs="Tahoma"/>
          <w:color w:val="000000"/>
          <w:szCs w:val="20"/>
          <w:lang w:val="it-IT"/>
        </w:rPr>
        <w:t>Visual Studio</w:t>
      </w:r>
      <w:r w:rsidR="003410C7" w:rsidRPr="00451078">
        <w:rPr>
          <w:rFonts w:cs="Tahoma"/>
          <w:color w:val="000000"/>
          <w:szCs w:val="20"/>
          <w:vertAlign w:val="superscript"/>
          <w:lang w:val="it-IT"/>
        </w:rPr>
        <w:t>®</w:t>
      </w:r>
      <w:r w:rsidRPr="00451078">
        <w:rPr>
          <w:rFonts w:cs="Tahoma"/>
          <w:color w:val="000000"/>
          <w:szCs w:val="20"/>
          <w:lang w:val="it-IT"/>
        </w:rPr>
        <w:t xml:space="preserve"> Ultimate 2012 con MSDN</w:t>
      </w:r>
    </w:p>
    <w:p w:rsidR="00593FBD" w:rsidRPr="00451078" w:rsidRDefault="00CB0262" w:rsidP="00EF4590">
      <w:pPr>
        <w:rPr>
          <w:lang w:val="it-IT"/>
        </w:rPr>
      </w:pPr>
      <w:r w:rsidRPr="00451078">
        <w:rPr>
          <w:rFonts w:cs="Tahoma"/>
          <w:color w:val="000000"/>
          <w:szCs w:val="20"/>
          <w:lang w:val="it-IT"/>
        </w:rPr>
        <w:t>Visual Studio</w:t>
      </w:r>
      <w:r w:rsidR="003410C7" w:rsidRPr="00451078">
        <w:rPr>
          <w:rFonts w:cs="Tahoma"/>
          <w:color w:val="000000"/>
          <w:szCs w:val="20"/>
          <w:vertAlign w:val="superscript"/>
          <w:lang w:val="it-IT"/>
        </w:rPr>
        <w:t>®</w:t>
      </w:r>
      <w:r w:rsidRPr="00451078">
        <w:rPr>
          <w:rFonts w:cs="Tahoma"/>
          <w:color w:val="000000"/>
          <w:szCs w:val="20"/>
          <w:lang w:val="it-IT"/>
        </w:rPr>
        <w:t xml:space="preserve"> Test Professional 2012 con MSDN</w:t>
      </w:r>
    </w:p>
    <w:p w:rsidR="00593FBD" w:rsidRPr="00451078" w:rsidRDefault="00CB0262" w:rsidP="00EF4590">
      <w:pPr>
        <w:rPr>
          <w:lang w:val="it-IT"/>
        </w:rPr>
      </w:pPr>
      <w:r w:rsidRPr="00451078">
        <w:rPr>
          <w:rFonts w:cs="Tahoma"/>
          <w:color w:val="000000"/>
          <w:szCs w:val="20"/>
          <w:lang w:val="it-IT"/>
        </w:rPr>
        <w:t>Visual Studio</w:t>
      </w:r>
      <w:r w:rsidR="003410C7" w:rsidRPr="00451078">
        <w:rPr>
          <w:rFonts w:cs="Tahoma"/>
          <w:color w:val="000000"/>
          <w:szCs w:val="20"/>
          <w:vertAlign w:val="superscript"/>
          <w:lang w:val="it-IT"/>
        </w:rPr>
        <w:t>®</w:t>
      </w:r>
      <w:r w:rsidRPr="00451078">
        <w:rPr>
          <w:rFonts w:cs="Tahoma"/>
          <w:color w:val="000000"/>
          <w:szCs w:val="20"/>
          <w:lang w:val="it-IT"/>
        </w:rPr>
        <w:t xml:space="preserve"> Team Foundation Server 2012 con Tecnologia SQL Server 2012</w:t>
      </w:r>
    </w:p>
    <w:p w:rsidR="00CB0262" w:rsidRPr="00451078" w:rsidRDefault="00CB0262" w:rsidP="00EF4590">
      <w:pPr>
        <w:rPr>
          <w:lang w:val="it-IT"/>
        </w:rPr>
      </w:pPr>
      <w:r w:rsidRPr="00451078">
        <w:rPr>
          <w:rFonts w:cs="Tahoma"/>
          <w:color w:val="000000"/>
          <w:szCs w:val="20"/>
          <w:lang w:val="it-IT"/>
        </w:rPr>
        <w:t>CAL per Dispositivo per Visual Studio</w:t>
      </w:r>
      <w:r w:rsidR="003410C7" w:rsidRPr="00451078">
        <w:rPr>
          <w:rFonts w:cs="Tahoma"/>
          <w:color w:val="000000"/>
          <w:szCs w:val="20"/>
          <w:vertAlign w:val="superscript"/>
          <w:lang w:val="it-IT"/>
        </w:rPr>
        <w:t>®</w:t>
      </w:r>
      <w:r w:rsidRPr="00451078">
        <w:rPr>
          <w:rFonts w:cs="Tahoma"/>
          <w:color w:val="000000"/>
          <w:szCs w:val="20"/>
          <w:lang w:val="it-IT"/>
        </w:rPr>
        <w:t xml:space="preserve"> Team Foundation Server 2012</w:t>
      </w:r>
    </w:p>
    <w:p w:rsidR="00CB0262" w:rsidRPr="003410C7" w:rsidRDefault="00CB0262" w:rsidP="00EF4590">
      <w:r w:rsidRPr="003410C7">
        <w:rPr>
          <w:rFonts w:cs="Tahoma"/>
          <w:color w:val="000000"/>
          <w:szCs w:val="20"/>
        </w:rPr>
        <w:t>User CAL per Visual Studio</w:t>
      </w:r>
      <w:r w:rsidR="003410C7" w:rsidRPr="003410C7">
        <w:rPr>
          <w:rFonts w:cs="Tahoma"/>
          <w:color w:val="000000"/>
          <w:szCs w:val="20"/>
          <w:vertAlign w:val="superscript"/>
        </w:rPr>
        <w:t>®</w:t>
      </w:r>
      <w:r w:rsidRPr="003410C7">
        <w:rPr>
          <w:rFonts w:cs="Tahoma"/>
          <w:color w:val="000000"/>
          <w:szCs w:val="20"/>
        </w:rPr>
        <w:t xml:space="preserve"> Team Foundation Server 2012</w:t>
      </w:r>
    </w:p>
    <w:p w:rsidR="00CB0262" w:rsidRPr="003410C7" w:rsidRDefault="00CB0262" w:rsidP="00EF4590">
      <w:r w:rsidRPr="003410C7">
        <w:rPr>
          <w:rFonts w:cs="Tahoma"/>
          <w:color w:val="000000"/>
          <w:szCs w:val="20"/>
        </w:rPr>
        <w:t>External Connector per Visual Studio</w:t>
      </w:r>
      <w:r w:rsidR="003410C7" w:rsidRPr="003410C7">
        <w:rPr>
          <w:rFonts w:cs="Tahoma"/>
          <w:color w:val="000000"/>
          <w:szCs w:val="20"/>
          <w:vertAlign w:val="superscript"/>
        </w:rPr>
        <w:t>®</w:t>
      </w:r>
      <w:r w:rsidRPr="003410C7">
        <w:rPr>
          <w:rFonts w:cs="Tahoma"/>
          <w:color w:val="000000"/>
          <w:szCs w:val="20"/>
        </w:rPr>
        <w:t xml:space="preserve"> Team Foundation Server 2012</w:t>
      </w:r>
    </w:p>
    <w:p w:rsidR="00CB0262" w:rsidRPr="003410C7" w:rsidRDefault="00CB0262" w:rsidP="00EF4590">
      <w:r w:rsidRPr="003410C7">
        <w:rPr>
          <w:rFonts w:cs="Tahoma"/>
          <w:color w:val="000000"/>
          <w:szCs w:val="20"/>
        </w:rPr>
        <w:t>CAL per Windows Server™ 2012 (Dispositivo e Utente)</w:t>
      </w:r>
    </w:p>
    <w:p w:rsidR="00CB0262" w:rsidRPr="003410C7" w:rsidRDefault="00CB0262" w:rsidP="00EF4590">
      <w:r w:rsidRPr="003410C7">
        <w:rPr>
          <w:rFonts w:cs="Tahoma"/>
          <w:color w:val="000000"/>
          <w:szCs w:val="20"/>
        </w:rPr>
        <w:t>Windows Server™ 2012 Datacenter</w:t>
      </w:r>
    </w:p>
    <w:p w:rsidR="00CB0262" w:rsidRPr="003410C7" w:rsidRDefault="00CB0262" w:rsidP="00EF4590">
      <w:r w:rsidRPr="003410C7">
        <w:rPr>
          <w:rFonts w:cs="Tahoma"/>
          <w:color w:val="000000"/>
          <w:szCs w:val="20"/>
        </w:rPr>
        <w:t>Windows Server™ 2012 Standard</w:t>
      </w:r>
    </w:p>
    <w:p w:rsidR="00CB0262" w:rsidRPr="003410C7" w:rsidRDefault="00CB0262" w:rsidP="00EF4590">
      <w:r w:rsidRPr="003410C7">
        <w:rPr>
          <w:rFonts w:cs="Tahoma"/>
          <w:color w:val="000000"/>
          <w:szCs w:val="20"/>
        </w:rPr>
        <w:t>External Connector per Windows Server™ 2012</w:t>
      </w:r>
    </w:p>
    <w:p w:rsidR="00CB0262" w:rsidRPr="00451078" w:rsidRDefault="00CB0262" w:rsidP="00EF4590">
      <w:pPr>
        <w:rPr>
          <w:lang w:val="it-IT"/>
        </w:rPr>
      </w:pPr>
      <w:r w:rsidRPr="00451078">
        <w:rPr>
          <w:rFonts w:cs="Tahoma"/>
          <w:color w:val="000000"/>
          <w:szCs w:val="20"/>
          <w:lang w:val="it-IT"/>
        </w:rPr>
        <w:t>CAL per Servizi Desktop Remoto Windows Server™ 2012</w:t>
      </w:r>
    </w:p>
    <w:p w:rsidR="00CB0262" w:rsidRPr="003410C7" w:rsidRDefault="00CB0262" w:rsidP="00EF4590">
      <w:r w:rsidRPr="003410C7">
        <w:rPr>
          <w:rFonts w:cs="Tahoma"/>
          <w:color w:val="000000"/>
          <w:szCs w:val="20"/>
        </w:rPr>
        <w:t>External Connector per Servizi Desktop Remoto Windows Server™ 2012</w:t>
      </w:r>
    </w:p>
    <w:p w:rsidR="00CB0262" w:rsidRPr="003410C7" w:rsidRDefault="00CB0262" w:rsidP="00EF4590">
      <w:r w:rsidRPr="003410C7">
        <w:rPr>
          <w:rFonts w:cs="Tahoma"/>
          <w:color w:val="000000"/>
          <w:szCs w:val="20"/>
        </w:rPr>
        <w:t>CAL per Windows Server™ 2012 Rights Management Services</w:t>
      </w:r>
    </w:p>
    <w:p w:rsidR="00CB0262" w:rsidRPr="003410C7" w:rsidRDefault="00CB0262" w:rsidP="00EF4590">
      <w:r w:rsidRPr="003410C7">
        <w:rPr>
          <w:rFonts w:cs="Tahoma"/>
          <w:color w:val="000000"/>
          <w:szCs w:val="20"/>
        </w:rPr>
        <w:t>External Connector per Windows Server™ 2012 Rights Management Services</w:t>
      </w:r>
    </w:p>
    <w:p w:rsidR="00CB0262" w:rsidRPr="00451078" w:rsidRDefault="0095607F" w:rsidP="00EF4590">
      <w:pPr>
        <w:rPr>
          <w:lang w:val="it-IT"/>
        </w:rPr>
      </w:pPr>
      <w:r w:rsidRPr="00451078">
        <w:rPr>
          <w:rFonts w:cs="Tahoma"/>
          <w:color w:val="000000"/>
          <w:szCs w:val="18"/>
          <w:lang w:val="it-IT"/>
        </w:rPr>
        <w:t xml:space="preserve">Enterprise Additive CAL per Microsoft </w:t>
      </w:r>
      <w:r w:rsidRPr="00451078">
        <w:rPr>
          <w:rFonts w:cs="Tahoma"/>
          <w:color w:val="000000"/>
          <w:szCs w:val="20"/>
          <w:lang w:val="it-IT"/>
        </w:rPr>
        <w:t>Dynamics AX 2012 (Utente e Dispositivo)</w:t>
      </w:r>
    </w:p>
    <w:p w:rsidR="00CB0262" w:rsidRPr="00451078" w:rsidRDefault="0095607F" w:rsidP="00EF4590">
      <w:pPr>
        <w:rPr>
          <w:lang w:val="it-IT"/>
        </w:rPr>
      </w:pPr>
      <w:r w:rsidRPr="00451078">
        <w:rPr>
          <w:rFonts w:cs="Tahoma"/>
          <w:color w:val="000000"/>
          <w:szCs w:val="18"/>
          <w:lang w:val="it-IT"/>
        </w:rPr>
        <w:t xml:space="preserve">Enterprise CAL per Microsoft </w:t>
      </w:r>
      <w:r w:rsidRPr="00451078">
        <w:rPr>
          <w:rFonts w:cs="Tahoma"/>
          <w:color w:val="000000"/>
          <w:szCs w:val="20"/>
          <w:lang w:val="it-IT"/>
        </w:rPr>
        <w:t>Dynamics AX 2012 (Utente e Dispositivo)</w:t>
      </w:r>
    </w:p>
    <w:p w:rsidR="00CB0262" w:rsidRPr="00451078" w:rsidRDefault="0095607F" w:rsidP="00EF4590">
      <w:pPr>
        <w:rPr>
          <w:lang w:val="it-IT"/>
        </w:rPr>
      </w:pPr>
      <w:r w:rsidRPr="00451078">
        <w:rPr>
          <w:rFonts w:cs="Tahoma"/>
          <w:color w:val="000000"/>
          <w:szCs w:val="18"/>
          <w:lang w:val="it-IT"/>
        </w:rPr>
        <w:t xml:space="preserve">Functional Additive CAL per Microsoft </w:t>
      </w:r>
      <w:r w:rsidRPr="00451078">
        <w:rPr>
          <w:rFonts w:cs="Tahoma"/>
          <w:color w:val="000000"/>
          <w:szCs w:val="20"/>
          <w:lang w:val="it-IT"/>
        </w:rPr>
        <w:t>Dynamics AX 2012 (Utente e Dispositivo)</w:t>
      </w:r>
    </w:p>
    <w:p w:rsidR="00CB0262" w:rsidRPr="00451078" w:rsidRDefault="0095607F" w:rsidP="00EF4590">
      <w:pPr>
        <w:rPr>
          <w:lang w:val="it-IT"/>
        </w:rPr>
      </w:pPr>
      <w:r w:rsidRPr="00451078">
        <w:rPr>
          <w:rFonts w:cs="Tahoma"/>
          <w:color w:val="000000"/>
          <w:szCs w:val="18"/>
          <w:lang w:val="it-IT"/>
        </w:rPr>
        <w:t xml:space="preserve">Functional CAL per Microsoft </w:t>
      </w:r>
      <w:r w:rsidRPr="00451078">
        <w:rPr>
          <w:rFonts w:cs="Tahoma"/>
          <w:color w:val="000000"/>
          <w:szCs w:val="20"/>
          <w:lang w:val="it-IT"/>
        </w:rPr>
        <w:t>Dynamics AX 2012 (Utente e Dispositivo)</w:t>
      </w:r>
    </w:p>
    <w:p w:rsidR="00CB0262" w:rsidRPr="00451078" w:rsidRDefault="0095607F" w:rsidP="00EF4590">
      <w:pPr>
        <w:rPr>
          <w:lang w:val="it-IT"/>
        </w:rPr>
      </w:pPr>
      <w:r w:rsidRPr="00451078">
        <w:rPr>
          <w:rFonts w:cs="Tahoma"/>
          <w:color w:val="000000"/>
          <w:szCs w:val="18"/>
          <w:lang w:val="it-IT"/>
        </w:rPr>
        <w:t xml:space="preserve">Self Serve CAL per Microsoft </w:t>
      </w:r>
      <w:r w:rsidRPr="00451078">
        <w:rPr>
          <w:rFonts w:cs="Tahoma"/>
          <w:color w:val="000000"/>
          <w:szCs w:val="20"/>
          <w:lang w:val="it-IT"/>
        </w:rPr>
        <w:t>Dynamics AX 2012 (Utente e Dispositivo)</w:t>
      </w:r>
    </w:p>
    <w:p w:rsidR="00CB0262" w:rsidRPr="00451078" w:rsidRDefault="0095607F" w:rsidP="00EF4590">
      <w:pPr>
        <w:rPr>
          <w:lang w:val="it-IT"/>
        </w:rPr>
      </w:pPr>
      <w:r w:rsidRPr="00451078">
        <w:rPr>
          <w:rFonts w:cs="Tahoma"/>
          <w:color w:val="000000"/>
          <w:szCs w:val="18"/>
          <w:lang w:val="it-IT"/>
        </w:rPr>
        <w:t xml:space="preserve">Microsoft </w:t>
      </w:r>
      <w:r w:rsidRPr="00451078">
        <w:rPr>
          <w:rFonts w:cs="Tahoma"/>
          <w:color w:val="000000"/>
          <w:szCs w:val="20"/>
          <w:lang w:val="it-IT"/>
        </w:rPr>
        <w:t>Dynamics AX 2012 Server</w:t>
      </w:r>
    </w:p>
    <w:p w:rsidR="00CB0262" w:rsidRPr="00451078" w:rsidRDefault="0095607F" w:rsidP="00EF4590">
      <w:pPr>
        <w:rPr>
          <w:lang w:val="it-IT"/>
        </w:rPr>
      </w:pPr>
      <w:r w:rsidRPr="00451078">
        <w:rPr>
          <w:rFonts w:cs="Tahoma"/>
          <w:color w:val="000000"/>
          <w:szCs w:val="18"/>
          <w:lang w:val="it-IT"/>
        </w:rPr>
        <w:t xml:space="preserve">Task Additive CAL per Microsoft </w:t>
      </w:r>
      <w:r w:rsidRPr="00451078">
        <w:rPr>
          <w:rFonts w:cs="Tahoma"/>
          <w:color w:val="000000"/>
          <w:szCs w:val="20"/>
          <w:lang w:val="it-IT"/>
        </w:rPr>
        <w:t>Dynamics AX 2012 (Utente e Dispositivo)</w:t>
      </w:r>
    </w:p>
    <w:p w:rsidR="00CB0262" w:rsidRPr="00451078" w:rsidRDefault="0095607F" w:rsidP="00EF4590">
      <w:pPr>
        <w:rPr>
          <w:lang w:val="it-IT"/>
        </w:rPr>
      </w:pPr>
      <w:r w:rsidRPr="00451078">
        <w:rPr>
          <w:rFonts w:cs="Tahoma"/>
          <w:color w:val="000000"/>
          <w:szCs w:val="18"/>
          <w:lang w:val="it-IT"/>
        </w:rPr>
        <w:t xml:space="preserve">Task CAL per Microsoft </w:t>
      </w:r>
      <w:r w:rsidRPr="00451078">
        <w:rPr>
          <w:rFonts w:cs="Tahoma"/>
          <w:color w:val="000000"/>
          <w:szCs w:val="20"/>
          <w:lang w:val="it-IT"/>
        </w:rPr>
        <w:t>Dynamics AX 2012 (Utente e Dispositivo)</w:t>
      </w:r>
    </w:p>
    <w:p w:rsidR="00CB0262" w:rsidRPr="003410C7" w:rsidRDefault="00CB0262" w:rsidP="00EF4590">
      <w:r w:rsidRPr="003410C7">
        <w:rPr>
          <w:rFonts w:cs="Tahoma"/>
          <w:color w:val="000000"/>
          <w:szCs w:val="20"/>
        </w:rPr>
        <w:t>Windows 8 Enterprise Sideloading</w:t>
      </w:r>
    </w:p>
    <w:p w:rsidR="00CB0262" w:rsidRPr="003410C7" w:rsidRDefault="00CB0262" w:rsidP="00EF4590">
      <w:r w:rsidRPr="003410C7">
        <w:rPr>
          <w:rFonts w:cs="Tahoma"/>
          <w:color w:val="000000"/>
          <w:szCs w:val="20"/>
        </w:rPr>
        <w:t>Aggiornamento per Windows 8 Pro</w:t>
      </w:r>
    </w:p>
    <w:p w:rsidR="00394D71" w:rsidRPr="00451078" w:rsidRDefault="00394D71" w:rsidP="00EF4590">
      <w:pPr>
        <w:rPr>
          <w:lang w:val="it-IT"/>
        </w:rPr>
      </w:pPr>
      <w:r w:rsidRPr="00451078">
        <w:rPr>
          <w:rFonts w:cs="Tahoma"/>
          <w:color w:val="000000"/>
          <w:szCs w:val="18"/>
          <w:lang w:val="it-IT"/>
        </w:rPr>
        <w:t>Windows 8 Pro con MDOP</w:t>
      </w:r>
    </w:p>
    <w:p w:rsidR="00CB0262" w:rsidRPr="00451078" w:rsidRDefault="00CB0262" w:rsidP="00EF4590">
      <w:pPr>
        <w:rPr>
          <w:lang w:val="it-IT"/>
        </w:rPr>
      </w:pPr>
      <w:r w:rsidRPr="00451078">
        <w:rPr>
          <w:rFonts w:cs="Tahoma"/>
          <w:color w:val="000000"/>
          <w:szCs w:val="20"/>
          <w:lang w:val="it-IT"/>
        </w:rPr>
        <w:t>Diritti di Noleggio per Windows</w:t>
      </w:r>
    </w:p>
    <w:p w:rsidR="00593FBD" w:rsidRPr="00451078" w:rsidRDefault="00593FBD" w:rsidP="00EF4590">
      <w:pPr>
        <w:rPr>
          <w:lang w:val="it-IT"/>
        </w:rPr>
      </w:pPr>
    </w:p>
    <w:p w:rsidR="00593FBD" w:rsidRPr="00451078" w:rsidRDefault="00593FBD" w:rsidP="003E606C">
      <w:pPr>
        <w:spacing w:after="60"/>
        <w:rPr>
          <w:lang w:val="it-IT"/>
        </w:rPr>
      </w:pPr>
      <w:r w:rsidRPr="00451078">
        <w:rPr>
          <w:b/>
          <w:lang w:val="it-IT"/>
        </w:rPr>
        <w:t>Promozioni</w:t>
      </w:r>
    </w:p>
    <w:p w:rsidR="00F84628" w:rsidRPr="00451078" w:rsidRDefault="00F84628" w:rsidP="00F84628">
      <w:pPr>
        <w:rPr>
          <w:lang w:val="it-IT"/>
        </w:rPr>
      </w:pPr>
      <w:r w:rsidRPr="00451078">
        <w:rPr>
          <w:color w:val="000000"/>
          <w:lang w:val="it-IT"/>
        </w:rPr>
        <w:t>Sono state aggiunte le seguenti promozioni:</w:t>
      </w:r>
    </w:p>
    <w:p w:rsidR="00F84628" w:rsidRPr="003410C7" w:rsidRDefault="00F84628" w:rsidP="00F84628">
      <w:r w:rsidRPr="003410C7">
        <w:rPr>
          <w:rFonts w:eastAsia="Times New Roman" w:cs="Tahoma"/>
          <w:color w:val="000000"/>
          <w:szCs w:val="18"/>
        </w:rPr>
        <w:t>Promozione Step-Up per Windows Server Datacenter</w:t>
      </w:r>
    </w:p>
    <w:p w:rsidR="00F84628" w:rsidRPr="00451078" w:rsidRDefault="00F84628" w:rsidP="00F84628">
      <w:pPr>
        <w:rPr>
          <w:lang w:val="it-IT"/>
        </w:rPr>
      </w:pPr>
      <w:r w:rsidRPr="00451078">
        <w:rPr>
          <w:rFonts w:eastAsia="Times New Roman" w:cs="Tahoma"/>
          <w:color w:val="000000"/>
          <w:szCs w:val="18"/>
          <w:lang w:val="it-IT"/>
        </w:rPr>
        <w:t xml:space="preserve">Forefront Online Protection for Exchange </w:t>
      </w:r>
    </w:p>
    <w:p w:rsidR="00F84628" w:rsidRPr="00451078" w:rsidRDefault="00F84628" w:rsidP="00F84628">
      <w:pPr>
        <w:rPr>
          <w:lang w:val="it-IT"/>
        </w:rPr>
      </w:pPr>
    </w:p>
    <w:p w:rsidR="00F84628" w:rsidRPr="00451078" w:rsidRDefault="00F84628" w:rsidP="00F84628">
      <w:pPr>
        <w:outlineLvl w:val="1"/>
        <w:rPr>
          <w:lang w:val="it-IT"/>
        </w:rPr>
      </w:pPr>
      <w:r w:rsidRPr="00451078">
        <w:rPr>
          <w:rFonts w:cs="Tahoma"/>
          <w:color w:val="000000"/>
          <w:szCs w:val="18"/>
          <w:lang w:val="it-IT"/>
        </w:rPr>
        <w:t>Sono state eliminate le seguenti promozioni</w:t>
      </w:r>
    </w:p>
    <w:p w:rsidR="00F84628" w:rsidRPr="00451078" w:rsidRDefault="00F84628" w:rsidP="00F84628">
      <w:pPr>
        <w:rPr>
          <w:lang w:val="it-IT"/>
        </w:rPr>
      </w:pPr>
      <w:r w:rsidRPr="00451078">
        <w:rPr>
          <w:color w:val="000000"/>
          <w:lang w:val="it-IT"/>
        </w:rPr>
        <w:t>Promozione di Enrollment for Core Infrastructure Standard Suite</w:t>
      </w:r>
    </w:p>
    <w:p w:rsidR="00F84628" w:rsidRPr="00451078" w:rsidRDefault="00F84628" w:rsidP="00F84628">
      <w:pPr>
        <w:outlineLvl w:val="1"/>
        <w:rPr>
          <w:lang w:val="it-IT"/>
        </w:rPr>
      </w:pPr>
    </w:p>
    <w:p w:rsidR="00593FBD" w:rsidRPr="00451078" w:rsidRDefault="00593FBD" w:rsidP="003E606C">
      <w:pPr>
        <w:spacing w:after="60"/>
        <w:rPr>
          <w:lang w:val="it-IT"/>
        </w:rPr>
      </w:pPr>
      <w:r w:rsidRPr="00451078">
        <w:rPr>
          <w:b/>
          <w:lang w:val="it-IT"/>
        </w:rPr>
        <w:t>Prodotti Eliminati</w:t>
      </w:r>
    </w:p>
    <w:p w:rsidR="00B07E07" w:rsidRPr="00451078" w:rsidRDefault="00B07E07" w:rsidP="00EF4590">
      <w:pPr>
        <w:rPr>
          <w:lang w:val="it-IT"/>
        </w:rPr>
      </w:pPr>
      <w:r w:rsidRPr="00451078">
        <w:rPr>
          <w:rFonts w:cs="Tahoma"/>
          <w:color w:val="000000"/>
          <w:szCs w:val="20"/>
          <w:lang w:val="it-IT"/>
        </w:rPr>
        <w:t>Tellme Basic (A pagamento)</w:t>
      </w:r>
    </w:p>
    <w:p w:rsidR="00B07E07" w:rsidRPr="00451078" w:rsidRDefault="00B07E07" w:rsidP="00EF4590">
      <w:pPr>
        <w:rPr>
          <w:lang w:val="it-IT"/>
        </w:rPr>
      </w:pPr>
      <w:r w:rsidRPr="00451078">
        <w:rPr>
          <w:rFonts w:cs="Tahoma"/>
          <w:color w:val="000000"/>
          <w:szCs w:val="20"/>
          <w:lang w:val="it-IT"/>
        </w:rPr>
        <w:t>Tellme Standard (A pagamento)</w:t>
      </w:r>
    </w:p>
    <w:p w:rsidR="00B07E07" w:rsidRPr="00451078" w:rsidRDefault="00B07E07" w:rsidP="00EF4590">
      <w:pPr>
        <w:rPr>
          <w:lang w:val="it-IT"/>
        </w:rPr>
      </w:pPr>
      <w:r w:rsidRPr="00451078">
        <w:rPr>
          <w:rFonts w:cs="Tahoma"/>
          <w:color w:val="000000"/>
          <w:szCs w:val="20"/>
          <w:lang w:val="it-IT"/>
        </w:rPr>
        <w:t>Tellme Premium (A pagamento)</w:t>
      </w:r>
    </w:p>
    <w:p w:rsidR="00B07E07" w:rsidRPr="00451078" w:rsidRDefault="00B07E07" w:rsidP="00EF4590">
      <w:pPr>
        <w:rPr>
          <w:lang w:val="it-IT"/>
        </w:rPr>
      </w:pPr>
      <w:r w:rsidRPr="00451078">
        <w:rPr>
          <w:rFonts w:cs="Tahoma"/>
          <w:color w:val="000000"/>
          <w:szCs w:val="20"/>
          <w:lang w:val="it-IT"/>
        </w:rPr>
        <w:t>Tellme Basic (SL Servizi)</w:t>
      </w:r>
    </w:p>
    <w:p w:rsidR="00B07E07" w:rsidRPr="00451078" w:rsidRDefault="00B07E07" w:rsidP="00EF4590">
      <w:pPr>
        <w:rPr>
          <w:lang w:val="it-IT"/>
        </w:rPr>
      </w:pPr>
      <w:r w:rsidRPr="00451078">
        <w:rPr>
          <w:rFonts w:cs="Tahoma"/>
          <w:color w:val="000000"/>
          <w:szCs w:val="20"/>
          <w:lang w:val="it-IT"/>
        </w:rPr>
        <w:t>Tellme Standard (SL Servizi)</w:t>
      </w:r>
    </w:p>
    <w:p w:rsidR="00B07E07" w:rsidRPr="00451078" w:rsidRDefault="00B07E07" w:rsidP="00EF4590">
      <w:pPr>
        <w:rPr>
          <w:lang w:val="it-IT"/>
        </w:rPr>
      </w:pPr>
      <w:r w:rsidRPr="00451078">
        <w:rPr>
          <w:rFonts w:cs="Tahoma"/>
          <w:color w:val="000000"/>
          <w:szCs w:val="20"/>
          <w:lang w:val="it-IT"/>
        </w:rPr>
        <w:t>Tellme Premium (SL Servizi)</w:t>
      </w:r>
    </w:p>
    <w:p w:rsidR="003F704E" w:rsidRPr="00451078" w:rsidRDefault="003F704E" w:rsidP="00EF4590">
      <w:pPr>
        <w:rPr>
          <w:lang w:val="pt-BR"/>
        </w:rPr>
      </w:pPr>
      <w:r w:rsidRPr="00451078">
        <w:rPr>
          <w:rFonts w:cs="Tahoma"/>
          <w:color w:val="000000"/>
          <w:szCs w:val="20"/>
          <w:lang w:val="pt-BR"/>
        </w:rPr>
        <w:lastRenderedPageBreak/>
        <w:t>Tellme Overage Minutes (A pagamento)</w:t>
      </w:r>
    </w:p>
    <w:p w:rsidR="00593FBD" w:rsidRPr="00451078" w:rsidRDefault="00CB0262" w:rsidP="00EF4590">
      <w:pPr>
        <w:rPr>
          <w:lang w:val="it-IT"/>
        </w:rPr>
      </w:pPr>
      <w:r w:rsidRPr="00451078">
        <w:rPr>
          <w:rFonts w:cs="Tahoma"/>
          <w:color w:val="000000"/>
          <w:szCs w:val="20"/>
          <w:lang w:val="it-IT"/>
        </w:rPr>
        <w:t>Visual Studio</w:t>
      </w:r>
      <w:r w:rsidR="003410C7" w:rsidRPr="00451078">
        <w:rPr>
          <w:rFonts w:cs="Tahoma"/>
          <w:color w:val="000000"/>
          <w:szCs w:val="20"/>
          <w:vertAlign w:val="superscript"/>
          <w:lang w:val="it-IT"/>
        </w:rPr>
        <w:t>®</w:t>
      </w:r>
      <w:r w:rsidRPr="00451078">
        <w:rPr>
          <w:rFonts w:cs="Tahoma"/>
          <w:color w:val="000000"/>
          <w:szCs w:val="20"/>
          <w:lang w:val="it-IT"/>
        </w:rPr>
        <w:t xml:space="preserve"> 2010 Professional</w:t>
      </w:r>
    </w:p>
    <w:p w:rsidR="00593FBD" w:rsidRPr="00451078" w:rsidRDefault="00CB0262" w:rsidP="00EF4590">
      <w:pPr>
        <w:rPr>
          <w:lang w:val="it-IT"/>
        </w:rPr>
      </w:pPr>
      <w:r w:rsidRPr="00451078">
        <w:rPr>
          <w:rFonts w:cs="Tahoma"/>
          <w:color w:val="000000"/>
          <w:szCs w:val="20"/>
          <w:lang w:val="it-IT"/>
        </w:rPr>
        <w:t>Visual Studio</w:t>
      </w:r>
      <w:r w:rsidR="003410C7" w:rsidRPr="00451078">
        <w:rPr>
          <w:rFonts w:cs="Tahoma"/>
          <w:color w:val="000000"/>
          <w:szCs w:val="20"/>
          <w:vertAlign w:val="superscript"/>
          <w:lang w:val="it-IT"/>
        </w:rPr>
        <w:t>®</w:t>
      </w:r>
      <w:r w:rsidRPr="00451078">
        <w:rPr>
          <w:rFonts w:cs="Tahoma"/>
          <w:color w:val="000000"/>
          <w:szCs w:val="20"/>
          <w:lang w:val="it-IT"/>
        </w:rPr>
        <w:t xml:space="preserve"> 2010 Professional con MSDN</w:t>
      </w:r>
    </w:p>
    <w:p w:rsidR="00CB0262" w:rsidRPr="00451078" w:rsidRDefault="00CB0262" w:rsidP="00EF4590">
      <w:pPr>
        <w:rPr>
          <w:lang w:val="it-IT"/>
        </w:rPr>
      </w:pPr>
      <w:r w:rsidRPr="00451078">
        <w:rPr>
          <w:rFonts w:cs="Tahoma"/>
          <w:color w:val="000000"/>
          <w:szCs w:val="20"/>
          <w:lang w:val="it-IT"/>
        </w:rPr>
        <w:t>Visual Studio</w:t>
      </w:r>
      <w:r w:rsidR="003410C7" w:rsidRPr="00451078">
        <w:rPr>
          <w:rFonts w:cs="Tahoma"/>
          <w:color w:val="000000"/>
          <w:szCs w:val="20"/>
          <w:vertAlign w:val="superscript"/>
          <w:lang w:val="it-IT"/>
        </w:rPr>
        <w:t>®</w:t>
      </w:r>
      <w:r w:rsidRPr="00451078">
        <w:rPr>
          <w:rFonts w:cs="Tahoma"/>
          <w:color w:val="000000"/>
          <w:szCs w:val="20"/>
          <w:lang w:val="it-IT"/>
        </w:rPr>
        <w:t xml:space="preserve"> 2010 Professional con MSDN Integrato</w:t>
      </w:r>
    </w:p>
    <w:p w:rsidR="00CB0262" w:rsidRPr="00451078" w:rsidRDefault="00CB0262" w:rsidP="00EF4590">
      <w:pPr>
        <w:rPr>
          <w:lang w:val="it-IT"/>
        </w:rPr>
      </w:pPr>
      <w:r w:rsidRPr="00451078">
        <w:rPr>
          <w:rFonts w:cs="Tahoma"/>
          <w:color w:val="000000"/>
          <w:szCs w:val="20"/>
          <w:lang w:val="it-IT"/>
        </w:rPr>
        <w:t>Visual Studio</w:t>
      </w:r>
      <w:r w:rsidR="003410C7" w:rsidRPr="00451078">
        <w:rPr>
          <w:rFonts w:cs="Tahoma"/>
          <w:color w:val="000000"/>
          <w:szCs w:val="20"/>
          <w:vertAlign w:val="superscript"/>
          <w:lang w:val="it-IT"/>
        </w:rPr>
        <w:t>®</w:t>
      </w:r>
      <w:r w:rsidRPr="00451078">
        <w:rPr>
          <w:rFonts w:cs="Tahoma"/>
          <w:color w:val="000000"/>
          <w:szCs w:val="20"/>
          <w:lang w:val="it-IT"/>
        </w:rPr>
        <w:t xml:space="preserve"> 2010 Premium</w:t>
      </w:r>
    </w:p>
    <w:p w:rsidR="00CB0262" w:rsidRPr="00451078" w:rsidRDefault="00CB0262" w:rsidP="00EF4590">
      <w:pPr>
        <w:rPr>
          <w:lang w:val="it-IT"/>
        </w:rPr>
      </w:pPr>
      <w:r w:rsidRPr="00451078">
        <w:rPr>
          <w:rFonts w:cs="Tahoma"/>
          <w:color w:val="000000"/>
          <w:szCs w:val="20"/>
          <w:lang w:val="it-IT"/>
        </w:rPr>
        <w:t>Visual Studio</w:t>
      </w:r>
      <w:r w:rsidR="003410C7" w:rsidRPr="00451078">
        <w:rPr>
          <w:rFonts w:cs="Tahoma"/>
          <w:color w:val="000000"/>
          <w:szCs w:val="20"/>
          <w:vertAlign w:val="superscript"/>
          <w:lang w:val="it-IT"/>
        </w:rPr>
        <w:t>®</w:t>
      </w:r>
      <w:r w:rsidRPr="00451078">
        <w:rPr>
          <w:rFonts w:cs="Tahoma"/>
          <w:color w:val="000000"/>
          <w:szCs w:val="20"/>
          <w:lang w:val="it-IT"/>
        </w:rPr>
        <w:t xml:space="preserve"> 2010 Premium con MSDN</w:t>
      </w:r>
    </w:p>
    <w:p w:rsidR="00CB0262" w:rsidRPr="00451078" w:rsidRDefault="00CB0262" w:rsidP="00EF4590">
      <w:pPr>
        <w:rPr>
          <w:lang w:val="it-IT"/>
        </w:rPr>
      </w:pPr>
      <w:r w:rsidRPr="00451078">
        <w:rPr>
          <w:rFonts w:cs="Tahoma"/>
          <w:color w:val="000000"/>
          <w:szCs w:val="20"/>
          <w:lang w:val="it-IT"/>
        </w:rPr>
        <w:t>Visual Studio</w:t>
      </w:r>
      <w:r w:rsidR="003410C7" w:rsidRPr="00451078">
        <w:rPr>
          <w:rFonts w:cs="Tahoma"/>
          <w:color w:val="000000"/>
          <w:szCs w:val="20"/>
          <w:vertAlign w:val="superscript"/>
          <w:lang w:val="it-IT"/>
        </w:rPr>
        <w:t>®</w:t>
      </w:r>
      <w:r w:rsidRPr="00451078">
        <w:rPr>
          <w:rFonts w:cs="Tahoma"/>
          <w:color w:val="000000"/>
          <w:szCs w:val="20"/>
          <w:lang w:val="it-IT"/>
        </w:rPr>
        <w:t xml:space="preserve"> 2010 Ultimate</w:t>
      </w:r>
    </w:p>
    <w:p w:rsidR="00CB0262" w:rsidRPr="00451078" w:rsidRDefault="00CB0262" w:rsidP="00EF4590">
      <w:pPr>
        <w:rPr>
          <w:lang w:val="it-IT"/>
        </w:rPr>
      </w:pPr>
      <w:r w:rsidRPr="00451078">
        <w:rPr>
          <w:rFonts w:cs="Tahoma"/>
          <w:color w:val="000000"/>
          <w:szCs w:val="20"/>
          <w:lang w:val="it-IT"/>
        </w:rPr>
        <w:t>Visual Studio</w:t>
      </w:r>
      <w:r w:rsidR="003410C7" w:rsidRPr="00451078">
        <w:rPr>
          <w:rFonts w:cs="Tahoma"/>
          <w:color w:val="000000"/>
          <w:szCs w:val="20"/>
          <w:vertAlign w:val="superscript"/>
          <w:lang w:val="it-IT"/>
        </w:rPr>
        <w:t>®</w:t>
      </w:r>
      <w:r w:rsidRPr="00451078">
        <w:rPr>
          <w:rFonts w:cs="Tahoma"/>
          <w:color w:val="000000"/>
          <w:szCs w:val="20"/>
          <w:lang w:val="it-IT"/>
        </w:rPr>
        <w:t xml:space="preserve"> 2010 Ultimate con MSDN</w:t>
      </w:r>
    </w:p>
    <w:p w:rsidR="00CB0262" w:rsidRPr="00451078" w:rsidRDefault="00CB0262" w:rsidP="00EF4590">
      <w:pPr>
        <w:rPr>
          <w:lang w:val="it-IT"/>
        </w:rPr>
      </w:pPr>
      <w:r w:rsidRPr="00451078">
        <w:rPr>
          <w:rFonts w:cs="Tahoma"/>
          <w:color w:val="000000"/>
          <w:szCs w:val="20"/>
          <w:lang w:val="it-IT"/>
        </w:rPr>
        <w:t>Visual Studio</w:t>
      </w:r>
      <w:r w:rsidR="003410C7" w:rsidRPr="00451078">
        <w:rPr>
          <w:rFonts w:cs="Tahoma"/>
          <w:color w:val="000000"/>
          <w:szCs w:val="20"/>
          <w:vertAlign w:val="superscript"/>
          <w:lang w:val="it-IT"/>
        </w:rPr>
        <w:t>®</w:t>
      </w:r>
      <w:r w:rsidRPr="00451078">
        <w:rPr>
          <w:rFonts w:cs="Tahoma"/>
          <w:color w:val="000000"/>
          <w:szCs w:val="20"/>
          <w:lang w:val="it-IT"/>
        </w:rPr>
        <w:t xml:space="preserve"> Test Professional 2010</w:t>
      </w:r>
    </w:p>
    <w:p w:rsidR="00CB0262" w:rsidRPr="003410C7" w:rsidRDefault="00101CDD" w:rsidP="00EF4590">
      <w:r w:rsidRPr="003410C7">
        <w:rPr>
          <w:rFonts w:cs="Tahoma"/>
          <w:color w:val="000000"/>
          <w:szCs w:val="20"/>
        </w:rPr>
        <w:t>Visual Studio</w:t>
      </w:r>
      <w:r w:rsidR="003410C7" w:rsidRPr="003410C7">
        <w:rPr>
          <w:rFonts w:cs="Tahoma"/>
          <w:color w:val="000000"/>
          <w:szCs w:val="20"/>
          <w:vertAlign w:val="superscript"/>
        </w:rPr>
        <w:t>®</w:t>
      </w:r>
      <w:r w:rsidRPr="003410C7">
        <w:rPr>
          <w:rFonts w:cs="Tahoma"/>
          <w:color w:val="000000"/>
          <w:szCs w:val="20"/>
        </w:rPr>
        <w:t xml:space="preserve"> Test Professional 2010 con MSDN</w:t>
      </w:r>
    </w:p>
    <w:p w:rsidR="00CB0262" w:rsidRPr="003410C7" w:rsidRDefault="00101CDD" w:rsidP="00EF4590">
      <w:r w:rsidRPr="003410C7">
        <w:rPr>
          <w:rFonts w:cs="Tahoma"/>
          <w:color w:val="000000"/>
          <w:szCs w:val="20"/>
        </w:rPr>
        <w:t>Visual Studio</w:t>
      </w:r>
      <w:r w:rsidR="003410C7" w:rsidRPr="003410C7">
        <w:rPr>
          <w:rFonts w:cs="Tahoma"/>
          <w:color w:val="000000"/>
          <w:szCs w:val="20"/>
          <w:vertAlign w:val="superscript"/>
        </w:rPr>
        <w:t>®</w:t>
      </w:r>
      <w:r w:rsidRPr="003410C7">
        <w:rPr>
          <w:rFonts w:cs="Tahoma"/>
          <w:color w:val="000000"/>
          <w:szCs w:val="20"/>
        </w:rPr>
        <w:t xml:space="preserve"> LightSwitch 2011</w:t>
      </w:r>
    </w:p>
    <w:p w:rsidR="00CB0262" w:rsidRPr="003410C7" w:rsidRDefault="00101CDD" w:rsidP="00EF4590">
      <w:r w:rsidRPr="003410C7">
        <w:rPr>
          <w:rFonts w:cs="Tahoma"/>
          <w:color w:val="000000"/>
          <w:szCs w:val="20"/>
        </w:rPr>
        <w:t>Visual Studio</w:t>
      </w:r>
      <w:r w:rsidR="003410C7" w:rsidRPr="003410C7">
        <w:rPr>
          <w:rFonts w:cs="Tahoma"/>
          <w:color w:val="000000"/>
          <w:szCs w:val="20"/>
          <w:vertAlign w:val="superscript"/>
        </w:rPr>
        <w:t>®</w:t>
      </w:r>
      <w:r w:rsidRPr="003410C7">
        <w:rPr>
          <w:rFonts w:cs="Tahoma"/>
          <w:color w:val="000000"/>
          <w:szCs w:val="20"/>
        </w:rPr>
        <w:t xml:space="preserve"> Load Test Virtual User Pack 2010</w:t>
      </w:r>
    </w:p>
    <w:p w:rsidR="00CB0262" w:rsidRPr="00451078" w:rsidRDefault="00101CDD" w:rsidP="00EF4590">
      <w:pPr>
        <w:rPr>
          <w:lang w:val="it-IT"/>
        </w:rPr>
      </w:pPr>
      <w:r w:rsidRPr="00451078">
        <w:rPr>
          <w:rFonts w:cs="Tahoma"/>
          <w:color w:val="000000"/>
          <w:szCs w:val="20"/>
          <w:lang w:val="it-IT"/>
        </w:rPr>
        <w:t>Visual Studio</w:t>
      </w:r>
      <w:r w:rsidR="003410C7" w:rsidRPr="00451078">
        <w:rPr>
          <w:rFonts w:cs="Tahoma"/>
          <w:color w:val="000000"/>
          <w:szCs w:val="20"/>
          <w:vertAlign w:val="superscript"/>
          <w:lang w:val="it-IT"/>
        </w:rPr>
        <w:t>®</w:t>
      </w:r>
      <w:r w:rsidRPr="00451078">
        <w:rPr>
          <w:rFonts w:cs="Tahoma"/>
          <w:color w:val="000000"/>
          <w:szCs w:val="20"/>
          <w:lang w:val="it-IT"/>
        </w:rPr>
        <w:t xml:space="preserve"> Team Foundation Server 2010 con Tecnologia SQL Server 2008</w:t>
      </w:r>
    </w:p>
    <w:p w:rsidR="00CB0262" w:rsidRPr="00451078" w:rsidRDefault="00101CDD" w:rsidP="00EF4590">
      <w:pPr>
        <w:rPr>
          <w:lang w:val="it-IT"/>
        </w:rPr>
      </w:pPr>
      <w:r w:rsidRPr="00451078">
        <w:rPr>
          <w:rFonts w:cs="Tahoma"/>
          <w:color w:val="000000"/>
          <w:szCs w:val="20"/>
          <w:lang w:val="it-IT"/>
        </w:rPr>
        <w:t>CAL per Dispositivo per Visual Studio</w:t>
      </w:r>
      <w:r w:rsidR="003410C7" w:rsidRPr="00451078">
        <w:rPr>
          <w:rFonts w:cs="Tahoma"/>
          <w:color w:val="000000"/>
          <w:szCs w:val="20"/>
          <w:vertAlign w:val="superscript"/>
          <w:lang w:val="it-IT"/>
        </w:rPr>
        <w:t>®</w:t>
      </w:r>
      <w:r w:rsidRPr="00451078">
        <w:rPr>
          <w:rFonts w:cs="Tahoma"/>
          <w:color w:val="000000"/>
          <w:szCs w:val="20"/>
          <w:lang w:val="it-IT"/>
        </w:rPr>
        <w:t xml:space="preserve"> Team Foundation Server 2010</w:t>
      </w:r>
    </w:p>
    <w:p w:rsidR="00CB0262" w:rsidRPr="003410C7" w:rsidRDefault="00101CDD" w:rsidP="00EF4590">
      <w:r w:rsidRPr="003410C7">
        <w:rPr>
          <w:rFonts w:cs="Tahoma"/>
          <w:color w:val="000000"/>
          <w:szCs w:val="20"/>
        </w:rPr>
        <w:t>User CAL per Visual Studio</w:t>
      </w:r>
      <w:r w:rsidR="003410C7" w:rsidRPr="003410C7">
        <w:rPr>
          <w:rFonts w:cs="Tahoma"/>
          <w:color w:val="000000"/>
          <w:szCs w:val="20"/>
          <w:vertAlign w:val="superscript"/>
        </w:rPr>
        <w:t>®</w:t>
      </w:r>
      <w:r w:rsidRPr="003410C7">
        <w:rPr>
          <w:rFonts w:cs="Tahoma"/>
          <w:color w:val="000000"/>
          <w:szCs w:val="20"/>
        </w:rPr>
        <w:t xml:space="preserve"> Team Foundation Server 2010</w:t>
      </w:r>
    </w:p>
    <w:p w:rsidR="00CB0262" w:rsidRPr="003410C7" w:rsidRDefault="00101CDD" w:rsidP="00EF4590">
      <w:r w:rsidRPr="003410C7">
        <w:rPr>
          <w:rFonts w:cs="Tahoma"/>
          <w:color w:val="000000"/>
          <w:szCs w:val="20"/>
        </w:rPr>
        <w:t>External Connector per Visual Studio</w:t>
      </w:r>
      <w:r w:rsidR="003410C7" w:rsidRPr="003410C7">
        <w:rPr>
          <w:rFonts w:cs="Tahoma"/>
          <w:color w:val="000000"/>
          <w:szCs w:val="20"/>
          <w:vertAlign w:val="superscript"/>
        </w:rPr>
        <w:t>®</w:t>
      </w:r>
      <w:r w:rsidRPr="003410C7">
        <w:rPr>
          <w:rFonts w:cs="Tahoma"/>
          <w:color w:val="000000"/>
          <w:szCs w:val="20"/>
        </w:rPr>
        <w:t xml:space="preserve"> Team Foundation Server 2010</w:t>
      </w:r>
    </w:p>
    <w:p w:rsidR="00101CDD" w:rsidRPr="003410C7" w:rsidRDefault="00101CDD" w:rsidP="00EF4590">
      <w:r w:rsidRPr="003410C7">
        <w:rPr>
          <w:rFonts w:cs="Tahoma"/>
          <w:color w:val="000000"/>
          <w:szCs w:val="20"/>
        </w:rPr>
        <w:t>CAL per Windows Server™ 2008 (Dispositivo e Utente)</w:t>
      </w:r>
    </w:p>
    <w:p w:rsidR="00CB0262" w:rsidRPr="003410C7" w:rsidRDefault="00101CDD" w:rsidP="00EF4590">
      <w:r w:rsidRPr="003410C7">
        <w:rPr>
          <w:rFonts w:cs="Tahoma"/>
          <w:color w:val="000000"/>
          <w:szCs w:val="20"/>
        </w:rPr>
        <w:t>Windows Server™ 2008 R2 HPC Edition</w:t>
      </w:r>
    </w:p>
    <w:p w:rsidR="00101CDD" w:rsidRPr="003410C7" w:rsidRDefault="00101CDD" w:rsidP="00EF4590">
      <w:r w:rsidRPr="003410C7">
        <w:rPr>
          <w:rFonts w:cs="Tahoma"/>
          <w:color w:val="000000"/>
          <w:szCs w:val="20"/>
        </w:rPr>
        <w:t>Windows Server™ 2008 R2 Datacenter</w:t>
      </w:r>
    </w:p>
    <w:p w:rsidR="00CB0262" w:rsidRPr="003410C7" w:rsidRDefault="00101CDD" w:rsidP="00EF4590">
      <w:r w:rsidRPr="003410C7">
        <w:rPr>
          <w:rFonts w:cs="Tahoma"/>
          <w:color w:val="000000"/>
          <w:szCs w:val="20"/>
        </w:rPr>
        <w:t>Windows Server™ 2008 R2 Enterprise</w:t>
      </w:r>
    </w:p>
    <w:p w:rsidR="00101CDD" w:rsidRPr="003410C7" w:rsidRDefault="00101CDD" w:rsidP="00EF4590">
      <w:r w:rsidRPr="003410C7">
        <w:rPr>
          <w:rFonts w:cs="Tahoma"/>
          <w:color w:val="000000"/>
          <w:szCs w:val="20"/>
        </w:rPr>
        <w:t>Windows Server™ 2008 R2 per Sistemi Basati su Itanium</w:t>
      </w:r>
    </w:p>
    <w:p w:rsidR="00101CDD" w:rsidRPr="003410C7" w:rsidRDefault="00101CDD" w:rsidP="00EF4590">
      <w:r w:rsidRPr="003410C7">
        <w:rPr>
          <w:rFonts w:cs="Tahoma"/>
          <w:color w:val="000000"/>
          <w:szCs w:val="20"/>
        </w:rPr>
        <w:t>Windows Server™ 2008 R2 Standard</w:t>
      </w:r>
    </w:p>
    <w:p w:rsidR="00CB0262" w:rsidRPr="003410C7" w:rsidRDefault="00101CDD" w:rsidP="00EF4590">
      <w:r w:rsidRPr="003410C7">
        <w:rPr>
          <w:rFonts w:cs="Tahoma"/>
          <w:color w:val="000000"/>
          <w:szCs w:val="20"/>
        </w:rPr>
        <w:t>External Connector per Windows Server™ 2008</w:t>
      </w:r>
    </w:p>
    <w:p w:rsidR="00CB0262" w:rsidRPr="00451078" w:rsidRDefault="00101CDD" w:rsidP="00EF4590">
      <w:pPr>
        <w:rPr>
          <w:lang w:val="it-IT"/>
        </w:rPr>
      </w:pPr>
      <w:r w:rsidRPr="00451078">
        <w:rPr>
          <w:rFonts w:cs="Tahoma"/>
          <w:color w:val="000000"/>
          <w:szCs w:val="20"/>
          <w:lang w:val="it-IT"/>
        </w:rPr>
        <w:t>CAL per Servizi Desktop Remoto Windows Server™ 2008</w:t>
      </w:r>
    </w:p>
    <w:p w:rsidR="00101CDD" w:rsidRPr="003410C7" w:rsidRDefault="00101CDD" w:rsidP="00EF4590">
      <w:r w:rsidRPr="003410C7">
        <w:rPr>
          <w:rFonts w:cs="Tahoma"/>
          <w:color w:val="000000"/>
          <w:szCs w:val="20"/>
        </w:rPr>
        <w:t>External Connector per Servizi Desktop Remoto Windows Server™ 2008</w:t>
      </w:r>
    </w:p>
    <w:p w:rsidR="00101CDD" w:rsidRPr="003410C7" w:rsidRDefault="00101CDD" w:rsidP="00EF4590">
      <w:r w:rsidRPr="003410C7">
        <w:rPr>
          <w:rFonts w:cs="Tahoma"/>
          <w:color w:val="000000"/>
          <w:szCs w:val="20"/>
        </w:rPr>
        <w:t>CAL per Windows Server™ 2008 Rights Management Services</w:t>
      </w:r>
    </w:p>
    <w:p w:rsidR="00101CDD" w:rsidRPr="003410C7" w:rsidRDefault="00101CDD" w:rsidP="00EF4590">
      <w:r w:rsidRPr="003410C7">
        <w:rPr>
          <w:rFonts w:cs="Tahoma"/>
          <w:color w:val="000000"/>
          <w:szCs w:val="20"/>
        </w:rPr>
        <w:t>External Connector per Windows Server™ 2008 Rights Management Services</w:t>
      </w:r>
    </w:p>
    <w:p w:rsidR="00101CDD" w:rsidRPr="003410C7" w:rsidRDefault="00101CDD" w:rsidP="00EF4590">
      <w:r w:rsidRPr="003410C7">
        <w:rPr>
          <w:rFonts w:cs="Tahoma"/>
          <w:color w:val="000000"/>
          <w:szCs w:val="20"/>
        </w:rPr>
        <w:t>Windows Web Server 2008 R2</w:t>
      </w:r>
    </w:p>
    <w:p w:rsidR="00101CDD" w:rsidRPr="003410C7" w:rsidRDefault="00101CDD" w:rsidP="00EF4590">
      <w:r w:rsidRPr="003410C7">
        <w:rPr>
          <w:rFonts w:cs="Tahoma"/>
          <w:color w:val="000000"/>
          <w:szCs w:val="20"/>
        </w:rPr>
        <w:t>HPC Pack 2008 R2 Enterprise</w:t>
      </w:r>
    </w:p>
    <w:p w:rsidR="00101CDD" w:rsidRPr="003410C7" w:rsidRDefault="00101CDD" w:rsidP="00EF4590">
      <w:r w:rsidRPr="003410C7">
        <w:rPr>
          <w:rFonts w:cs="Tahoma"/>
          <w:color w:val="000000"/>
          <w:szCs w:val="20"/>
        </w:rPr>
        <w:t>HPC Pack 2008 R2 per Workstation</w:t>
      </w:r>
    </w:p>
    <w:p w:rsidR="00101CDD" w:rsidRPr="003410C7" w:rsidRDefault="00101CDD" w:rsidP="00EF4590">
      <w:r w:rsidRPr="003410C7">
        <w:rPr>
          <w:rFonts w:cs="Tahoma"/>
          <w:color w:val="000000"/>
          <w:szCs w:val="20"/>
        </w:rPr>
        <w:t>Windows HPC Server 2008 R2 Suite</w:t>
      </w:r>
    </w:p>
    <w:p w:rsidR="00101CDD" w:rsidRPr="003410C7" w:rsidRDefault="00101CDD" w:rsidP="00EF4590">
      <w:r w:rsidRPr="003410C7">
        <w:rPr>
          <w:rFonts w:cs="Tahoma"/>
          <w:color w:val="000000"/>
          <w:szCs w:val="20"/>
        </w:rPr>
        <w:t>Win Starter 7</w:t>
      </w:r>
    </w:p>
    <w:p w:rsidR="00101CDD" w:rsidRPr="00451078" w:rsidRDefault="00101CDD" w:rsidP="00EF4590">
      <w:pPr>
        <w:rPr>
          <w:lang w:val="it-IT"/>
        </w:rPr>
      </w:pPr>
      <w:r w:rsidRPr="00451078">
        <w:rPr>
          <w:rFonts w:cs="Tahoma"/>
          <w:color w:val="000000"/>
          <w:szCs w:val="20"/>
          <w:lang w:val="it-IT"/>
        </w:rPr>
        <w:t>Win 7 Professional (aggiornamento)</w:t>
      </w:r>
    </w:p>
    <w:p w:rsidR="001253FF" w:rsidRPr="00451078" w:rsidRDefault="001253FF" w:rsidP="00EF4590">
      <w:pPr>
        <w:rPr>
          <w:lang w:val="it-IT"/>
        </w:rPr>
      </w:pPr>
      <w:r w:rsidRPr="00451078">
        <w:rPr>
          <w:rFonts w:cs="Tahoma"/>
          <w:color w:val="000000"/>
          <w:szCs w:val="18"/>
          <w:lang w:val="it-IT"/>
        </w:rPr>
        <w:t>Windows 7 Professional con MDOP</w:t>
      </w:r>
    </w:p>
    <w:p w:rsidR="00CB0262" w:rsidRDefault="00CB0262" w:rsidP="00EF4590">
      <w:pPr>
        <w:rPr>
          <w:lang w:val="it-IT"/>
        </w:rPr>
      </w:pPr>
    </w:p>
    <w:p w:rsidR="00936BE9" w:rsidRPr="00451078" w:rsidRDefault="00936BE9" w:rsidP="00EF4590">
      <w:pPr>
        <w:rPr>
          <w:lang w:val="it-IT"/>
        </w:rPr>
      </w:pPr>
    </w:p>
    <w:p w:rsidR="00EB4DA8" w:rsidRPr="00451078" w:rsidRDefault="00EB4DA8" w:rsidP="00EB4DA8">
      <w:pPr>
        <w:pStyle w:val="Heading2"/>
        <w:ind w:left="0"/>
        <w:jc w:val="both"/>
        <w:rPr>
          <w:lang w:val="it-IT"/>
        </w:rPr>
      </w:pPr>
      <w:bookmarkStart w:id="632" w:name="_Toc336338171"/>
      <w:bookmarkStart w:id="633" w:name="_Toc352234774"/>
      <w:r w:rsidRPr="00451078">
        <w:rPr>
          <w:rFonts w:ascii="Tahoma" w:hAnsi="Tahoma" w:cs="Tahoma"/>
          <w:color w:val="FF6600"/>
          <w:lang w:val="it-IT"/>
        </w:rPr>
        <w:t>MODIFICHE APPORTATE NEL MESE DI AGOSTO 2012</w:t>
      </w:r>
      <w:bookmarkEnd w:id="632"/>
      <w:bookmarkEnd w:id="633"/>
    </w:p>
    <w:p w:rsidR="00EB4DA8" w:rsidRPr="00451078" w:rsidRDefault="00EB4DA8" w:rsidP="00EB4DA8">
      <w:pPr>
        <w:rPr>
          <w:lang w:val="it-IT"/>
        </w:rPr>
      </w:pPr>
    </w:p>
    <w:p w:rsidR="00EB4DA8" w:rsidRPr="00451078" w:rsidRDefault="00EB4DA8" w:rsidP="003E606C">
      <w:pPr>
        <w:spacing w:after="60"/>
        <w:rPr>
          <w:lang w:val="it-IT"/>
        </w:rPr>
      </w:pPr>
      <w:r w:rsidRPr="00451078">
        <w:rPr>
          <w:b/>
          <w:lang w:val="it-IT"/>
        </w:rPr>
        <w:t>Prodotti Aggiunti</w:t>
      </w:r>
    </w:p>
    <w:p w:rsidR="00EB4DA8" w:rsidRPr="00451078" w:rsidRDefault="00EB4DA8" w:rsidP="00EB4DA8">
      <w:pPr>
        <w:rPr>
          <w:lang w:val="it-IT"/>
        </w:rPr>
      </w:pPr>
      <w:r w:rsidRPr="00451078">
        <w:rPr>
          <w:rFonts w:cs="Tahoma"/>
          <w:szCs w:val="18"/>
          <w:lang w:val="it-IT"/>
        </w:rPr>
        <w:t>MapPoint</w:t>
      </w:r>
      <w:r w:rsidR="003410C7" w:rsidRPr="00451078">
        <w:rPr>
          <w:rFonts w:cs="Tahoma"/>
          <w:szCs w:val="18"/>
          <w:vertAlign w:val="superscript"/>
          <w:lang w:val="it-IT"/>
        </w:rPr>
        <w:t>®</w:t>
      </w:r>
      <w:r w:rsidRPr="00451078">
        <w:rPr>
          <w:rFonts w:cs="Tahoma"/>
          <w:szCs w:val="18"/>
          <w:lang w:val="it-IT"/>
        </w:rPr>
        <w:t xml:space="preserve"> Fleet Edition 2013</w:t>
      </w:r>
    </w:p>
    <w:p w:rsidR="00EB4DA8" w:rsidRPr="003410C7" w:rsidRDefault="00EB4DA8" w:rsidP="00EB4DA8">
      <w:r w:rsidRPr="003410C7">
        <w:rPr>
          <w:rFonts w:cs="Tahoma"/>
          <w:szCs w:val="18"/>
        </w:rPr>
        <w:t>MapPoint</w:t>
      </w:r>
      <w:r w:rsidR="003410C7" w:rsidRPr="003410C7">
        <w:rPr>
          <w:rFonts w:cs="Tahoma"/>
          <w:szCs w:val="18"/>
          <w:vertAlign w:val="superscript"/>
        </w:rPr>
        <w:t>®</w:t>
      </w:r>
      <w:r w:rsidRPr="003410C7">
        <w:rPr>
          <w:rFonts w:cs="Tahoma"/>
          <w:szCs w:val="18"/>
        </w:rPr>
        <w:t xml:space="preserve"> 2013 per Windows </w:t>
      </w:r>
    </w:p>
    <w:p w:rsidR="00DA364B" w:rsidRPr="003410C7" w:rsidRDefault="00DA364B" w:rsidP="00EB4DA8">
      <w:r w:rsidRPr="003410C7">
        <w:rPr>
          <w:rFonts w:cs="Tahoma"/>
          <w:szCs w:val="18"/>
        </w:rPr>
        <w:t>Microsoft Translator API</w:t>
      </w:r>
    </w:p>
    <w:p w:rsidR="009E224B" w:rsidRPr="003410C7" w:rsidRDefault="009E224B" w:rsidP="00EB4DA8">
      <w:r w:rsidRPr="003410C7">
        <w:rPr>
          <w:rFonts w:cs="Tahoma"/>
          <w:szCs w:val="18"/>
        </w:rPr>
        <w:t>Office 365 Piano G1-G4</w:t>
      </w:r>
    </w:p>
    <w:p w:rsidR="00EB4DA8" w:rsidRDefault="00F5274A" w:rsidP="00EB4DA8">
      <w:pPr>
        <w:rPr>
          <w:rFonts w:cs="Tahoma"/>
          <w:szCs w:val="18"/>
        </w:rPr>
      </w:pPr>
      <w:r>
        <w:rPr>
          <w:rFonts w:cs="Tahoma"/>
          <w:szCs w:val="18"/>
        </w:rPr>
        <w:t>Streets and Trips 2013</w:t>
      </w:r>
    </w:p>
    <w:p w:rsidR="0003065A" w:rsidRPr="003410C7" w:rsidRDefault="0003065A" w:rsidP="00EB4DA8"/>
    <w:p w:rsidR="00EB4DA8" w:rsidRPr="00451078" w:rsidRDefault="00EB4DA8" w:rsidP="003E606C">
      <w:pPr>
        <w:spacing w:after="60"/>
        <w:rPr>
          <w:lang w:val="it-IT"/>
        </w:rPr>
      </w:pPr>
      <w:r w:rsidRPr="00451078">
        <w:rPr>
          <w:b/>
          <w:lang w:val="it-IT"/>
        </w:rPr>
        <w:t>Promozioni</w:t>
      </w:r>
    </w:p>
    <w:p w:rsidR="00EB4DA8" w:rsidRPr="00451078" w:rsidRDefault="00EB4DA8" w:rsidP="00EB4DA8">
      <w:pPr>
        <w:rPr>
          <w:lang w:val="it-IT"/>
        </w:rPr>
      </w:pPr>
      <w:r w:rsidRPr="00451078">
        <w:rPr>
          <w:rFonts w:cs="Tahoma"/>
          <w:color w:val="000000"/>
          <w:szCs w:val="18"/>
          <w:lang w:val="it-IT"/>
        </w:rPr>
        <w:t>Non sono state aggiunte, eliminate né sono scadute promozioni.</w:t>
      </w:r>
    </w:p>
    <w:p w:rsidR="00EB4DA8" w:rsidRPr="003410C7" w:rsidRDefault="00EB4DA8" w:rsidP="003E606C">
      <w:pPr>
        <w:spacing w:after="60"/>
      </w:pPr>
      <w:r w:rsidRPr="005E4903">
        <w:rPr>
          <w:rFonts w:cs="Tahoma"/>
          <w:szCs w:val="18"/>
        </w:rPr>
        <w:br/>
      </w:r>
      <w:r w:rsidRPr="003410C7">
        <w:rPr>
          <w:b/>
        </w:rPr>
        <w:t>Prodotti Eliminati</w:t>
      </w:r>
    </w:p>
    <w:p w:rsidR="00EB4DA8" w:rsidRPr="003410C7" w:rsidRDefault="00EB4DA8" w:rsidP="00EB4DA8">
      <w:r w:rsidRPr="003410C7">
        <w:rPr>
          <w:rFonts w:cs="Tahoma"/>
          <w:szCs w:val="18"/>
        </w:rPr>
        <w:t>MapPoint</w:t>
      </w:r>
      <w:r w:rsidR="003410C7" w:rsidRPr="003410C7">
        <w:rPr>
          <w:rFonts w:cs="Tahoma"/>
          <w:szCs w:val="18"/>
          <w:vertAlign w:val="superscript"/>
        </w:rPr>
        <w:t>®</w:t>
      </w:r>
      <w:r w:rsidRPr="003410C7">
        <w:rPr>
          <w:rFonts w:cs="Tahoma"/>
          <w:szCs w:val="18"/>
        </w:rPr>
        <w:t xml:space="preserve"> Fleet Edition 2011</w:t>
      </w:r>
    </w:p>
    <w:p w:rsidR="00EB4DA8" w:rsidRPr="003410C7" w:rsidRDefault="00EB4DA8" w:rsidP="00EB4DA8">
      <w:r w:rsidRPr="003410C7">
        <w:rPr>
          <w:rFonts w:cs="Tahoma"/>
          <w:szCs w:val="18"/>
        </w:rPr>
        <w:t>MapPoint</w:t>
      </w:r>
      <w:r w:rsidR="003410C7" w:rsidRPr="003410C7">
        <w:rPr>
          <w:rFonts w:cs="Tahoma"/>
          <w:szCs w:val="18"/>
          <w:vertAlign w:val="superscript"/>
        </w:rPr>
        <w:t>®</w:t>
      </w:r>
      <w:r w:rsidRPr="003410C7">
        <w:rPr>
          <w:rFonts w:cs="Tahoma"/>
          <w:szCs w:val="18"/>
        </w:rPr>
        <w:t xml:space="preserve"> 2011 per Windows </w:t>
      </w:r>
    </w:p>
    <w:p w:rsidR="00EB4DA8" w:rsidRPr="003410C7" w:rsidRDefault="00EB4DA8" w:rsidP="00EB4DA8">
      <w:r w:rsidRPr="003410C7">
        <w:rPr>
          <w:rFonts w:cs="Tahoma"/>
          <w:szCs w:val="18"/>
        </w:rPr>
        <w:t>Streets and Trips 2011</w:t>
      </w:r>
    </w:p>
    <w:p w:rsidR="00EB4DA8" w:rsidRPr="003410C7" w:rsidRDefault="00EB4DA8" w:rsidP="00EB4DA8"/>
    <w:p w:rsidR="00EB4DA8" w:rsidRPr="009F2CD9" w:rsidRDefault="00EB4DA8" w:rsidP="005A23F4">
      <w:pPr>
        <w:pStyle w:val="Heading2"/>
        <w:ind w:left="0"/>
        <w:jc w:val="both"/>
        <w:rPr>
          <w:sz w:val="18"/>
          <w:szCs w:val="18"/>
        </w:rPr>
      </w:pPr>
    </w:p>
    <w:p w:rsidR="005A23F4" w:rsidRPr="00451078" w:rsidRDefault="005A23F4" w:rsidP="005A23F4">
      <w:pPr>
        <w:pStyle w:val="Heading2"/>
        <w:ind w:left="0"/>
        <w:jc w:val="both"/>
        <w:rPr>
          <w:lang w:val="it-IT"/>
        </w:rPr>
      </w:pPr>
      <w:bookmarkStart w:id="634" w:name="_Toc336338172"/>
      <w:bookmarkStart w:id="635" w:name="_Toc352234775"/>
      <w:r w:rsidRPr="00451078">
        <w:rPr>
          <w:rFonts w:ascii="Tahoma" w:hAnsi="Tahoma" w:cs="Tahoma"/>
          <w:color w:val="FF6600"/>
          <w:lang w:val="it-IT"/>
        </w:rPr>
        <w:t>MODIFICHE APPORTATE NEL MESE DI LUGLIO 2012</w:t>
      </w:r>
      <w:bookmarkEnd w:id="634"/>
      <w:bookmarkEnd w:id="635"/>
    </w:p>
    <w:p w:rsidR="005A23F4" w:rsidRPr="00451078" w:rsidRDefault="005A23F4" w:rsidP="005A23F4">
      <w:pPr>
        <w:rPr>
          <w:lang w:val="it-IT"/>
        </w:rPr>
      </w:pPr>
    </w:p>
    <w:p w:rsidR="00172CBA" w:rsidRPr="00451078" w:rsidRDefault="00172CBA" w:rsidP="003E606C">
      <w:pPr>
        <w:spacing w:after="60"/>
        <w:rPr>
          <w:lang w:val="it-IT"/>
        </w:rPr>
      </w:pPr>
      <w:r w:rsidRPr="00451078">
        <w:rPr>
          <w:b/>
          <w:lang w:val="it-IT"/>
        </w:rPr>
        <w:t>Prodotti Aggiunti</w:t>
      </w:r>
    </w:p>
    <w:p w:rsidR="00856858" w:rsidRPr="00451078" w:rsidRDefault="00856858" w:rsidP="00FF73C5">
      <w:pPr>
        <w:rPr>
          <w:lang w:val="it-IT"/>
        </w:rPr>
      </w:pPr>
      <w:r w:rsidRPr="00451078">
        <w:rPr>
          <w:rFonts w:cs="Tahoma"/>
          <w:szCs w:val="18"/>
          <w:lang w:val="it-IT"/>
        </w:rPr>
        <w:t>Lync Online Piano 3</w:t>
      </w:r>
    </w:p>
    <w:p w:rsidR="00B1779F" w:rsidRPr="003410C7" w:rsidRDefault="00B1779F" w:rsidP="00492E6C">
      <w:r w:rsidRPr="003410C7">
        <w:rPr>
          <w:rFonts w:cs="Tahoma"/>
          <w:szCs w:val="18"/>
        </w:rPr>
        <w:lastRenderedPageBreak/>
        <w:t>Lync Online Piano 3A</w:t>
      </w:r>
    </w:p>
    <w:p w:rsidR="00856858" w:rsidRPr="003410C7" w:rsidRDefault="00856858" w:rsidP="00DA364B">
      <w:r w:rsidRPr="003410C7">
        <w:rPr>
          <w:rFonts w:cs="Tahoma"/>
          <w:szCs w:val="18"/>
        </w:rPr>
        <w:t>Office Web Applications con SharePoint Piano 2A</w:t>
      </w:r>
    </w:p>
    <w:p w:rsidR="00172CBA" w:rsidRPr="003410C7" w:rsidRDefault="00856858" w:rsidP="00543693">
      <w:r w:rsidRPr="003410C7">
        <w:rPr>
          <w:rFonts w:cs="Tahoma"/>
          <w:szCs w:val="18"/>
        </w:rPr>
        <w:t xml:space="preserve">Learning Solutions IT Academy (SL per Utente) </w:t>
      </w:r>
    </w:p>
    <w:p w:rsidR="00172CBA" w:rsidRPr="003410C7" w:rsidRDefault="00172CBA" w:rsidP="00546475"/>
    <w:p w:rsidR="00172CBA" w:rsidRPr="00451078" w:rsidRDefault="00172CBA" w:rsidP="003E606C">
      <w:pPr>
        <w:spacing w:after="60"/>
        <w:rPr>
          <w:lang w:val="it-IT"/>
        </w:rPr>
      </w:pPr>
      <w:r w:rsidRPr="00451078">
        <w:rPr>
          <w:b/>
          <w:lang w:val="it-IT"/>
        </w:rPr>
        <w:t>Promozioni</w:t>
      </w:r>
    </w:p>
    <w:p w:rsidR="00172CBA" w:rsidRPr="00451078" w:rsidRDefault="00172CBA" w:rsidP="002765CF">
      <w:pPr>
        <w:rPr>
          <w:lang w:val="it-IT"/>
        </w:rPr>
      </w:pPr>
      <w:bookmarkStart w:id="636" w:name="_Toc325609137"/>
      <w:r w:rsidRPr="00451078">
        <w:rPr>
          <w:rFonts w:cs="Tahoma"/>
          <w:color w:val="000000"/>
          <w:szCs w:val="18"/>
          <w:lang w:val="it-IT"/>
        </w:rPr>
        <w:t>Non sono state aggiunte, eliminate né sono scadute promozioni.</w:t>
      </w:r>
      <w:bookmarkEnd w:id="636"/>
    </w:p>
    <w:p w:rsidR="00172CBA" w:rsidRPr="00451078" w:rsidRDefault="00172CBA" w:rsidP="003E606C">
      <w:pPr>
        <w:spacing w:after="60"/>
        <w:rPr>
          <w:lang w:val="it-IT"/>
        </w:rPr>
      </w:pPr>
      <w:r w:rsidRPr="00451078">
        <w:rPr>
          <w:rFonts w:cs="Tahoma"/>
          <w:szCs w:val="18"/>
          <w:lang w:val="it-IT"/>
        </w:rPr>
        <w:br/>
      </w:r>
      <w:r w:rsidRPr="00451078">
        <w:rPr>
          <w:b/>
          <w:lang w:val="it-IT"/>
        </w:rPr>
        <w:t>Prodotti Eliminati</w:t>
      </w:r>
    </w:p>
    <w:p w:rsidR="00172CBA" w:rsidRPr="00451078" w:rsidRDefault="00172CBA" w:rsidP="00EB4DA8">
      <w:pPr>
        <w:rPr>
          <w:lang w:val="it-IT"/>
        </w:rPr>
      </w:pPr>
      <w:r w:rsidRPr="00451078">
        <w:rPr>
          <w:rFonts w:cs="Tahoma"/>
          <w:color w:val="000000"/>
          <w:szCs w:val="20"/>
          <w:lang w:val="it-IT"/>
        </w:rPr>
        <w:t>Non sono stati eliminati prodotti.</w:t>
      </w:r>
    </w:p>
    <w:p w:rsidR="00B1779F" w:rsidRPr="00451078" w:rsidRDefault="00B1779F" w:rsidP="00EB4DA8">
      <w:pPr>
        <w:rPr>
          <w:lang w:val="it-IT"/>
        </w:rPr>
      </w:pPr>
    </w:p>
    <w:p w:rsidR="00B1779F" w:rsidRPr="00451078" w:rsidRDefault="00B1779F" w:rsidP="003E606C">
      <w:pPr>
        <w:spacing w:after="60"/>
        <w:rPr>
          <w:lang w:val="it-IT"/>
        </w:rPr>
      </w:pPr>
      <w:r w:rsidRPr="00451078">
        <w:rPr>
          <w:b/>
          <w:lang w:val="it-IT"/>
        </w:rPr>
        <w:t>Altre Modifiche</w:t>
      </w:r>
    </w:p>
    <w:p w:rsidR="00B1779F" w:rsidRPr="00451078" w:rsidRDefault="00B1779F" w:rsidP="00EB4DA8">
      <w:pPr>
        <w:rPr>
          <w:lang w:val="it-IT"/>
        </w:rPr>
      </w:pPr>
      <w:r w:rsidRPr="00451078">
        <w:rPr>
          <w:rFonts w:cs="Tahoma"/>
          <w:color w:val="000000"/>
          <w:szCs w:val="20"/>
          <w:lang w:val="it-IT"/>
        </w:rPr>
        <w:t>Gli Articoli da 3 a 5 sono stati riorganizzati negli Articoli da 3 a 9 per miglioramenti dell</w:t>
      </w:r>
      <w:r w:rsidR="0073727D">
        <w:rPr>
          <w:color w:val="000000"/>
          <w:lang w:val="it-IT"/>
        </w:rPr>
        <w:t>’</w:t>
      </w:r>
      <w:r w:rsidRPr="00451078">
        <w:rPr>
          <w:rFonts w:cs="Tahoma"/>
          <w:color w:val="000000"/>
          <w:szCs w:val="20"/>
          <w:lang w:val="it-IT"/>
        </w:rPr>
        <w:t xml:space="preserve">usabilità. </w:t>
      </w:r>
    </w:p>
    <w:p w:rsidR="00B1779F" w:rsidRPr="00BE1B34" w:rsidRDefault="00B1779F" w:rsidP="00172CBA">
      <w:pPr>
        <w:ind w:right="720"/>
        <w:rPr>
          <w:szCs w:val="18"/>
          <w:lang w:val="it-IT"/>
        </w:rPr>
      </w:pPr>
    </w:p>
    <w:p w:rsidR="005A23F4" w:rsidRPr="00BE1B34" w:rsidRDefault="005A23F4" w:rsidP="00BB6A1F">
      <w:pPr>
        <w:pStyle w:val="Heading2"/>
        <w:ind w:left="0"/>
        <w:jc w:val="both"/>
        <w:rPr>
          <w:sz w:val="18"/>
          <w:szCs w:val="18"/>
          <w:lang w:val="it-IT"/>
        </w:rPr>
      </w:pPr>
    </w:p>
    <w:p w:rsidR="00BB6A1F" w:rsidRPr="00451078" w:rsidRDefault="00E702AC" w:rsidP="00BB6A1F">
      <w:pPr>
        <w:pStyle w:val="Heading2"/>
        <w:ind w:left="0"/>
        <w:jc w:val="both"/>
        <w:rPr>
          <w:lang w:val="it-IT"/>
        </w:rPr>
      </w:pPr>
      <w:bookmarkStart w:id="637" w:name="_Toc336338173"/>
      <w:bookmarkStart w:id="638" w:name="_Toc352234776"/>
      <w:r w:rsidRPr="00451078">
        <w:rPr>
          <w:rFonts w:ascii="Tahoma" w:hAnsi="Tahoma" w:cs="Tahoma"/>
          <w:color w:val="FF6600"/>
          <w:lang w:val="it-IT"/>
        </w:rPr>
        <w:t>MODIFICHE APPORTATE NEL MESE DI GIUGNO 2012</w:t>
      </w:r>
      <w:bookmarkEnd w:id="637"/>
      <w:bookmarkEnd w:id="638"/>
    </w:p>
    <w:p w:rsidR="00BB6A1F" w:rsidRPr="00451078" w:rsidRDefault="00BB6A1F" w:rsidP="00BB6A1F">
      <w:pPr>
        <w:rPr>
          <w:lang w:val="it-IT"/>
        </w:rPr>
      </w:pPr>
    </w:p>
    <w:p w:rsidR="00BB6A1F" w:rsidRPr="00451078" w:rsidRDefault="00BB6A1F" w:rsidP="003E606C">
      <w:pPr>
        <w:spacing w:after="60"/>
        <w:rPr>
          <w:lang w:val="it-IT"/>
        </w:rPr>
      </w:pPr>
      <w:r w:rsidRPr="00451078">
        <w:rPr>
          <w:b/>
          <w:lang w:val="it-IT"/>
        </w:rPr>
        <w:t>Prodotti Aggiunti</w:t>
      </w:r>
    </w:p>
    <w:p w:rsidR="00B435C3" w:rsidRPr="00451078" w:rsidRDefault="00B435C3" w:rsidP="00BA3004">
      <w:pPr>
        <w:rPr>
          <w:lang w:val="it-IT"/>
        </w:rPr>
      </w:pPr>
      <w:r w:rsidRPr="00451078">
        <w:rPr>
          <w:rFonts w:cs="Tahoma"/>
          <w:szCs w:val="18"/>
          <w:lang w:val="it-IT"/>
        </w:rPr>
        <w:t>Dynamics CRM Mobile (Online; Per Utente)</w:t>
      </w:r>
    </w:p>
    <w:p w:rsidR="00B435C3" w:rsidRPr="00451078" w:rsidRDefault="00B435C3" w:rsidP="00BA3004">
      <w:pPr>
        <w:rPr>
          <w:lang w:val="it-IT"/>
        </w:rPr>
      </w:pPr>
      <w:r w:rsidRPr="00451078">
        <w:rPr>
          <w:rFonts w:cs="Tahoma"/>
          <w:szCs w:val="18"/>
          <w:lang w:val="it-IT"/>
        </w:rPr>
        <w:t>Dynamics CRM Onprem Mobile</w:t>
      </w:r>
    </w:p>
    <w:p w:rsidR="004945FA" w:rsidRPr="00451078" w:rsidRDefault="004945FA" w:rsidP="00BA3004">
      <w:pPr>
        <w:rPr>
          <w:lang w:val="it-IT"/>
        </w:rPr>
      </w:pPr>
      <w:r w:rsidRPr="00451078">
        <w:rPr>
          <w:rFonts w:eastAsia="Calibri" w:cs="Tahoma"/>
          <w:color w:val="000000"/>
          <w:szCs w:val="18"/>
          <w:lang w:val="it-IT"/>
        </w:rPr>
        <w:t>Archiviazione Exchange Online per Exchange Server A (SL per Utente)</w:t>
      </w:r>
    </w:p>
    <w:p w:rsidR="00AD5DCD" w:rsidRPr="00451078" w:rsidRDefault="00AD5DCD" w:rsidP="00BA3004">
      <w:pPr>
        <w:rPr>
          <w:lang w:val="it-IT"/>
        </w:rPr>
      </w:pPr>
      <w:r w:rsidRPr="00451078">
        <w:rPr>
          <w:rFonts w:cs="Tahoma"/>
          <w:color w:val="000000"/>
          <w:szCs w:val="18"/>
          <w:lang w:val="it-IT"/>
        </w:rPr>
        <w:t>Exchange Online Piano 1A per Ex Allievi</w:t>
      </w:r>
    </w:p>
    <w:p w:rsidR="00AD5DCD" w:rsidRPr="00451078" w:rsidRDefault="00AD5DCD" w:rsidP="00BA3004">
      <w:pPr>
        <w:rPr>
          <w:lang w:val="it-IT"/>
        </w:rPr>
      </w:pPr>
      <w:r w:rsidRPr="00451078">
        <w:rPr>
          <w:rFonts w:cs="Tahoma"/>
          <w:color w:val="000000"/>
          <w:szCs w:val="18"/>
          <w:lang w:val="it-IT"/>
        </w:rPr>
        <w:t>Exchange Online Piano 2A</w:t>
      </w:r>
    </w:p>
    <w:p w:rsidR="007B4641" w:rsidRPr="00451078" w:rsidRDefault="007B4641" w:rsidP="00BA3004">
      <w:pPr>
        <w:rPr>
          <w:lang w:val="it-IT"/>
        </w:rPr>
      </w:pPr>
      <w:r w:rsidRPr="00451078">
        <w:rPr>
          <w:rFonts w:cs="Tahoma"/>
          <w:color w:val="000000"/>
          <w:szCs w:val="20"/>
          <w:lang w:val="it-IT"/>
        </w:rPr>
        <w:t>CAL per Forefront Identity Manager 2010 R2 (solo Utente)</w:t>
      </w:r>
    </w:p>
    <w:p w:rsidR="004945FA" w:rsidRPr="003410C7" w:rsidRDefault="004945FA" w:rsidP="00BA3004">
      <w:r w:rsidRPr="003410C7">
        <w:rPr>
          <w:rFonts w:cs="Tahoma"/>
          <w:color w:val="000000"/>
          <w:szCs w:val="20"/>
        </w:rPr>
        <w:t>External Connector per Forefront Identity Manager 2010 R2</w:t>
      </w:r>
    </w:p>
    <w:p w:rsidR="004945FA" w:rsidRPr="003410C7" w:rsidRDefault="004945FA" w:rsidP="00BA3004">
      <w:r w:rsidRPr="003410C7">
        <w:rPr>
          <w:rFonts w:cs="Tahoma"/>
          <w:color w:val="000000"/>
          <w:szCs w:val="20"/>
        </w:rPr>
        <w:t>Forefront Identity Manager 2010 R2 Server</w:t>
      </w:r>
    </w:p>
    <w:p w:rsidR="004945FA" w:rsidRPr="003410C7" w:rsidRDefault="004945FA" w:rsidP="00BA3004">
      <w:r w:rsidRPr="003410C7">
        <w:rPr>
          <w:rFonts w:cs="Tahoma"/>
          <w:color w:val="000000"/>
          <w:szCs w:val="20"/>
        </w:rPr>
        <w:t>Forefront Identity Manager 2010 R2 - Windows Live Edition</w:t>
      </w:r>
    </w:p>
    <w:p w:rsidR="00834000" w:rsidRPr="00451078" w:rsidRDefault="00834000" w:rsidP="00BA3004">
      <w:pPr>
        <w:rPr>
          <w:lang w:val="it-IT"/>
        </w:rPr>
      </w:pPr>
      <w:r w:rsidRPr="00451078">
        <w:rPr>
          <w:rFonts w:cs="Tahoma"/>
          <w:color w:val="000000"/>
          <w:szCs w:val="20"/>
          <w:lang w:val="it-IT"/>
        </w:rPr>
        <w:t>Office 365 A2-A4 (SL per Utente)</w:t>
      </w:r>
    </w:p>
    <w:p w:rsidR="00834000" w:rsidRPr="00451078" w:rsidRDefault="00834000" w:rsidP="00BA3004">
      <w:pPr>
        <w:rPr>
          <w:lang w:val="it-IT"/>
        </w:rPr>
      </w:pPr>
      <w:r w:rsidRPr="00451078">
        <w:rPr>
          <w:rFonts w:cs="Tahoma"/>
          <w:color w:val="000000"/>
          <w:szCs w:val="20"/>
          <w:lang w:val="it-IT"/>
        </w:rPr>
        <w:t xml:space="preserve">Sottoscrizione Office Professional Plus </w:t>
      </w:r>
      <w:r w:rsidRPr="00451078">
        <w:rPr>
          <w:rFonts w:cs="Tahoma"/>
          <w:color w:val="000000"/>
          <w:szCs w:val="18"/>
          <w:lang w:val="it-IT"/>
        </w:rPr>
        <w:t>A (SL per Utente)</w:t>
      </w:r>
    </w:p>
    <w:p w:rsidR="00834000" w:rsidRPr="003410C7" w:rsidRDefault="00834000" w:rsidP="00BA3004">
      <w:r w:rsidRPr="003410C7">
        <w:rPr>
          <w:rFonts w:cs="Tahoma"/>
          <w:color w:val="000000"/>
          <w:szCs w:val="18"/>
        </w:rPr>
        <w:t>Office Web Applications A (SL per Utente)</w:t>
      </w:r>
    </w:p>
    <w:p w:rsidR="00D82FA6" w:rsidRPr="003410C7" w:rsidRDefault="00A862BA" w:rsidP="00BA3004">
      <w:r w:rsidRPr="003410C7">
        <w:rPr>
          <w:rFonts w:cs="Tahoma"/>
          <w:color w:val="000000"/>
          <w:szCs w:val="18"/>
        </w:rPr>
        <w:t>SharePoint™ Online Extra Storage 1 GB A (SL Add-on)</w:t>
      </w:r>
    </w:p>
    <w:p w:rsidR="00A862BA" w:rsidRPr="003410C7" w:rsidRDefault="00A862BA" w:rsidP="00BA3004"/>
    <w:p w:rsidR="00BB6A1F" w:rsidRPr="00451078" w:rsidRDefault="00BB6A1F" w:rsidP="003E606C">
      <w:pPr>
        <w:spacing w:after="60"/>
        <w:rPr>
          <w:lang w:val="it-IT"/>
        </w:rPr>
      </w:pPr>
      <w:r w:rsidRPr="00451078">
        <w:rPr>
          <w:b/>
          <w:lang w:val="it-IT"/>
        </w:rPr>
        <w:t>Promozioni</w:t>
      </w:r>
    </w:p>
    <w:p w:rsidR="00BB6A1F" w:rsidRPr="00451078" w:rsidRDefault="00751573" w:rsidP="00BA3004">
      <w:pPr>
        <w:rPr>
          <w:lang w:val="it-IT"/>
        </w:rPr>
      </w:pPr>
      <w:bookmarkStart w:id="639" w:name="_Toc323034103"/>
      <w:bookmarkStart w:id="640" w:name="_Toc325609139"/>
      <w:bookmarkStart w:id="641" w:name="_Toc328145933"/>
      <w:r w:rsidRPr="00451078">
        <w:rPr>
          <w:rFonts w:cs="Tahoma"/>
          <w:color w:val="000000"/>
          <w:szCs w:val="18"/>
          <w:lang w:val="it-IT"/>
        </w:rPr>
        <w:t>Non sono state aggiunte, eliminate né sono scadute promozioni.</w:t>
      </w:r>
      <w:bookmarkEnd w:id="639"/>
      <w:bookmarkEnd w:id="640"/>
      <w:bookmarkEnd w:id="641"/>
    </w:p>
    <w:p w:rsidR="003D5DBD" w:rsidRDefault="003D5DBD" w:rsidP="003E606C">
      <w:pPr>
        <w:spacing w:after="60"/>
        <w:rPr>
          <w:b/>
          <w:lang w:val="it-IT"/>
        </w:rPr>
      </w:pPr>
    </w:p>
    <w:p w:rsidR="00BB6A1F" w:rsidRPr="00451078" w:rsidRDefault="00BB6A1F" w:rsidP="003E606C">
      <w:pPr>
        <w:spacing w:after="60"/>
        <w:rPr>
          <w:lang w:val="it-IT"/>
        </w:rPr>
      </w:pPr>
      <w:r w:rsidRPr="00451078">
        <w:rPr>
          <w:b/>
          <w:lang w:val="it-IT"/>
        </w:rPr>
        <w:t>Prodotti Eliminati</w:t>
      </w:r>
    </w:p>
    <w:p w:rsidR="00BB6A1F" w:rsidRPr="00451078" w:rsidRDefault="007B4641" w:rsidP="00BA3004">
      <w:pPr>
        <w:rPr>
          <w:lang w:val="it-IT"/>
        </w:rPr>
      </w:pPr>
      <w:r w:rsidRPr="00451078">
        <w:rPr>
          <w:rFonts w:cs="Tahoma"/>
          <w:color w:val="000000"/>
          <w:szCs w:val="20"/>
          <w:lang w:val="it-IT"/>
        </w:rPr>
        <w:t>CAL per Forefront Identity Manager 2010 (solo Utente)</w:t>
      </w:r>
    </w:p>
    <w:p w:rsidR="004945FA" w:rsidRPr="003410C7" w:rsidRDefault="004945FA" w:rsidP="00BA3004">
      <w:r w:rsidRPr="003410C7">
        <w:rPr>
          <w:rFonts w:cs="Tahoma"/>
          <w:color w:val="000000"/>
          <w:szCs w:val="20"/>
        </w:rPr>
        <w:t>External Connector per Forefront Identity Manager 2010</w:t>
      </w:r>
    </w:p>
    <w:p w:rsidR="004945FA" w:rsidRPr="003410C7" w:rsidRDefault="004945FA" w:rsidP="00BA3004">
      <w:r w:rsidRPr="003410C7">
        <w:rPr>
          <w:rFonts w:cs="Tahoma"/>
          <w:color w:val="000000"/>
          <w:szCs w:val="20"/>
        </w:rPr>
        <w:t>Forefront Identity Manager 2010 Server</w:t>
      </w:r>
    </w:p>
    <w:p w:rsidR="004945FA" w:rsidRPr="003410C7" w:rsidRDefault="004945FA" w:rsidP="00BA3004">
      <w:r w:rsidRPr="003410C7">
        <w:rPr>
          <w:rFonts w:cs="Tahoma"/>
          <w:color w:val="000000"/>
          <w:szCs w:val="20"/>
        </w:rPr>
        <w:t>Forefront Identity Manager 2010 - Windows Live Edition</w:t>
      </w:r>
    </w:p>
    <w:p w:rsidR="00BB6A1F" w:rsidRPr="001324EC" w:rsidRDefault="00BB6A1F" w:rsidP="00DD39C7">
      <w:pPr>
        <w:pStyle w:val="Heading2"/>
        <w:ind w:left="0"/>
        <w:jc w:val="both"/>
        <w:rPr>
          <w:sz w:val="18"/>
          <w:szCs w:val="18"/>
        </w:rPr>
      </w:pPr>
    </w:p>
    <w:p w:rsidR="00DD39C7" w:rsidRPr="00451078" w:rsidRDefault="00DD39C7" w:rsidP="00A31A6D">
      <w:pPr>
        <w:pStyle w:val="Heading2"/>
        <w:ind w:left="0"/>
        <w:jc w:val="both"/>
        <w:rPr>
          <w:lang w:val="it-IT"/>
        </w:rPr>
      </w:pPr>
      <w:bookmarkStart w:id="642" w:name="_Toc336338174"/>
      <w:bookmarkStart w:id="643" w:name="_Toc352234777"/>
      <w:r w:rsidRPr="00451078">
        <w:rPr>
          <w:rFonts w:ascii="Tahoma" w:hAnsi="Tahoma" w:cs="Tahoma"/>
          <w:color w:val="FF6600"/>
          <w:lang w:val="it-IT"/>
        </w:rPr>
        <w:t>MODIFICHE APPORTATE NEL MESE DI MAGGIO 2012</w:t>
      </w:r>
      <w:bookmarkEnd w:id="642"/>
      <w:bookmarkEnd w:id="643"/>
    </w:p>
    <w:p w:rsidR="00DD39C7" w:rsidRPr="00451078" w:rsidRDefault="00DD39C7" w:rsidP="00DD39C7">
      <w:pPr>
        <w:rPr>
          <w:lang w:val="it-IT"/>
        </w:rPr>
      </w:pPr>
    </w:p>
    <w:p w:rsidR="00DD39C7" w:rsidRPr="00451078" w:rsidRDefault="00DD39C7" w:rsidP="003E606C">
      <w:pPr>
        <w:spacing w:after="60"/>
        <w:rPr>
          <w:lang w:val="it-IT"/>
        </w:rPr>
      </w:pPr>
      <w:r w:rsidRPr="00451078">
        <w:rPr>
          <w:b/>
          <w:lang w:val="it-IT"/>
        </w:rPr>
        <w:t>Prodotti Aggiunti</w:t>
      </w:r>
    </w:p>
    <w:p w:rsidR="00DD39C7" w:rsidRPr="00451078" w:rsidRDefault="00E702AC" w:rsidP="00BA3004">
      <w:pPr>
        <w:rPr>
          <w:lang w:val="it-IT"/>
        </w:rPr>
      </w:pPr>
      <w:r w:rsidRPr="00451078">
        <w:rPr>
          <w:rFonts w:cs="Tahoma"/>
          <w:szCs w:val="18"/>
          <w:lang w:val="it-IT"/>
        </w:rPr>
        <w:t xml:space="preserve">Non sono stati aggiunti prodotti. </w:t>
      </w:r>
    </w:p>
    <w:p w:rsidR="00E702AC" w:rsidRPr="00451078" w:rsidRDefault="00E702AC" w:rsidP="00BA3004">
      <w:pPr>
        <w:rPr>
          <w:lang w:val="it-IT"/>
        </w:rPr>
      </w:pPr>
    </w:p>
    <w:p w:rsidR="00DD39C7" w:rsidRPr="00451078" w:rsidRDefault="00DD39C7" w:rsidP="003E606C">
      <w:pPr>
        <w:spacing w:after="60"/>
        <w:rPr>
          <w:lang w:val="it-IT"/>
        </w:rPr>
      </w:pPr>
      <w:r w:rsidRPr="00451078">
        <w:rPr>
          <w:b/>
          <w:lang w:val="it-IT"/>
        </w:rPr>
        <w:t>Promozioni</w:t>
      </w:r>
    </w:p>
    <w:p w:rsidR="00DD39C7" w:rsidRPr="00451078" w:rsidRDefault="00DD39C7" w:rsidP="00BA3004">
      <w:pPr>
        <w:rPr>
          <w:lang w:val="it-IT"/>
        </w:rPr>
      </w:pPr>
      <w:r w:rsidRPr="00451078">
        <w:rPr>
          <w:rFonts w:cs="Tahoma"/>
          <w:color w:val="000000"/>
          <w:szCs w:val="18"/>
          <w:lang w:val="it-IT"/>
        </w:rPr>
        <w:t>Promozione Exchange Server Standard</w:t>
      </w:r>
    </w:p>
    <w:p w:rsidR="00DD39C7" w:rsidRPr="00451078" w:rsidRDefault="00DD39C7" w:rsidP="00BA3004">
      <w:pPr>
        <w:rPr>
          <w:lang w:val="it-IT"/>
        </w:rPr>
      </w:pPr>
      <w:bookmarkStart w:id="644" w:name="_Toc323034105"/>
      <w:bookmarkStart w:id="645" w:name="_Toc325609141"/>
      <w:bookmarkStart w:id="646" w:name="_Toc328145935"/>
      <w:r w:rsidRPr="00451078">
        <w:rPr>
          <w:rFonts w:cs="Tahoma"/>
          <w:color w:val="000000"/>
          <w:szCs w:val="18"/>
          <w:lang w:val="it-IT"/>
        </w:rPr>
        <w:t>Promozione Up-to-Date di Open Value Subscription Education Solution N-2</w:t>
      </w:r>
      <w:bookmarkEnd w:id="644"/>
      <w:bookmarkEnd w:id="645"/>
      <w:bookmarkEnd w:id="646"/>
      <w:r w:rsidRPr="00451078">
        <w:rPr>
          <w:rFonts w:cs="Tahoma"/>
          <w:color w:val="000000"/>
          <w:szCs w:val="18"/>
          <w:lang w:val="it-IT"/>
        </w:rPr>
        <w:t xml:space="preserve"> </w:t>
      </w:r>
    </w:p>
    <w:p w:rsidR="00DD39C7" w:rsidRPr="00451078" w:rsidRDefault="00DD39C7" w:rsidP="003E606C">
      <w:pPr>
        <w:spacing w:after="60"/>
        <w:rPr>
          <w:lang w:val="it-IT"/>
        </w:rPr>
      </w:pPr>
      <w:r w:rsidRPr="00451078">
        <w:rPr>
          <w:rFonts w:cs="Tahoma"/>
          <w:szCs w:val="18"/>
          <w:lang w:val="it-IT"/>
        </w:rPr>
        <w:br/>
      </w:r>
      <w:r w:rsidRPr="00451078">
        <w:rPr>
          <w:b/>
          <w:lang w:val="it-IT"/>
        </w:rPr>
        <w:t>Prodotti Eliminati</w:t>
      </w:r>
    </w:p>
    <w:p w:rsidR="00C10AE3" w:rsidRPr="00451078" w:rsidRDefault="00E702AC" w:rsidP="00541898">
      <w:pPr>
        <w:rPr>
          <w:lang w:val="it-IT"/>
        </w:rPr>
      </w:pPr>
      <w:r w:rsidRPr="00451078">
        <w:rPr>
          <w:rFonts w:cs="Tahoma"/>
          <w:color w:val="000000"/>
          <w:szCs w:val="20"/>
          <w:lang w:val="it-IT"/>
        </w:rPr>
        <w:t>Non sono stati eliminati prodotti.</w:t>
      </w:r>
    </w:p>
    <w:p w:rsidR="00541898" w:rsidRPr="00451078" w:rsidRDefault="00541898" w:rsidP="00541898">
      <w:pPr>
        <w:rPr>
          <w:lang w:val="it-IT"/>
        </w:rPr>
      </w:pPr>
    </w:p>
    <w:p w:rsidR="00541898" w:rsidRPr="00451078" w:rsidRDefault="00541898" w:rsidP="00541898">
      <w:pPr>
        <w:rPr>
          <w:lang w:val="it-IT"/>
        </w:rPr>
      </w:pPr>
    </w:p>
    <w:p w:rsidR="00E9432A" w:rsidRPr="00451078" w:rsidRDefault="00E9432A" w:rsidP="00842F32">
      <w:pPr>
        <w:pStyle w:val="Heading2"/>
        <w:ind w:left="0"/>
        <w:jc w:val="both"/>
        <w:rPr>
          <w:lang w:val="it-IT"/>
        </w:rPr>
      </w:pPr>
    </w:p>
    <w:p w:rsidR="00023FE7" w:rsidRPr="00451078" w:rsidRDefault="00EF4590" w:rsidP="00C74785">
      <w:pPr>
        <w:rPr>
          <w:lang w:val="it-IT"/>
        </w:rPr>
      </w:pPr>
      <w:r w:rsidRPr="00451078">
        <w:rPr>
          <w:lang w:val="it-IT"/>
        </w:rPr>
        <w:br w:type="page"/>
      </w:r>
      <w:bookmarkStart w:id="647" w:name="_Toc336338180"/>
      <w:bookmarkStart w:id="648" w:name="_Toc352234778"/>
      <w:r w:rsidRPr="00451078">
        <w:rPr>
          <w:rStyle w:val="Heading1Char"/>
          <w:lang w:val="it-IT"/>
        </w:rPr>
        <w:lastRenderedPageBreak/>
        <w:t>ARTICOLO 2 - PROMOZIONI DI PRODOTTI</w:t>
      </w:r>
      <w:bookmarkEnd w:id="647"/>
      <w:bookmarkEnd w:id="648"/>
    </w:p>
    <w:p w:rsidR="00023FE7" w:rsidRPr="00437C10" w:rsidRDefault="00023FE7" w:rsidP="00510F6B">
      <w:pPr>
        <w:ind w:right="720"/>
        <w:rPr>
          <w:sz w:val="24"/>
          <w:szCs w:val="24"/>
          <w:lang w:val="it-IT"/>
        </w:rPr>
      </w:pPr>
    </w:p>
    <w:p w:rsidR="00187499" w:rsidRPr="00451078" w:rsidRDefault="00187499" w:rsidP="00187499">
      <w:pPr>
        <w:pStyle w:val="Heading2"/>
        <w:ind w:left="0"/>
        <w:rPr>
          <w:lang w:val="it-IT"/>
        </w:rPr>
      </w:pPr>
      <w:bookmarkStart w:id="649" w:name="_Toc352234779"/>
      <w:bookmarkStart w:id="650" w:name="_Toc336338181"/>
      <w:r w:rsidRPr="00451078">
        <w:rPr>
          <w:rFonts w:ascii="Tahoma" w:hAnsi="Tahoma" w:cs="Tahoma"/>
          <w:color w:val="FF9429"/>
          <w:lang w:val="it-IT"/>
        </w:rPr>
        <w:t>Microsoft Dynamics AX 2012 R2 - Promozione: Acquista Una Enterprise CAL e</w:t>
      </w:r>
      <w:r w:rsidR="00082E1C" w:rsidRPr="00451078">
        <w:rPr>
          <w:rFonts w:ascii="Tahoma" w:hAnsi="Tahoma" w:cs="Tahoma"/>
          <w:color w:val="FF9429"/>
          <w:lang w:val="it-IT"/>
        </w:rPr>
        <w:t> </w:t>
      </w:r>
      <w:r w:rsidRPr="00451078">
        <w:rPr>
          <w:rFonts w:ascii="Tahoma" w:hAnsi="Tahoma" w:cs="Tahoma"/>
          <w:color w:val="FF9429"/>
          <w:lang w:val="it-IT"/>
        </w:rPr>
        <w:t>Ricevi Una Functional CAL</w:t>
      </w:r>
      <w:bookmarkEnd w:id="649"/>
    </w:p>
    <w:p w:rsidR="00B33F0B" w:rsidRPr="00451078" w:rsidRDefault="00B33F0B" w:rsidP="00B33F0B">
      <w:pPr>
        <w:rPr>
          <w:lang w:val="it-IT"/>
        </w:rPr>
      </w:pPr>
    </w:p>
    <w:bookmarkEnd w:id="650"/>
    <w:p w:rsidR="00187499" w:rsidRPr="00451078" w:rsidRDefault="007177A5" w:rsidP="0064651F">
      <w:pPr>
        <w:spacing w:after="200" w:line="276" w:lineRule="auto"/>
        <w:rPr>
          <w:lang w:val="it-IT"/>
        </w:rPr>
      </w:pPr>
      <w:r w:rsidRPr="00451078">
        <w:rPr>
          <w:lang w:val="it-IT"/>
        </w:rPr>
        <w:t>Grazie a un</w:t>
      </w:r>
      <w:r w:rsidR="0073727D">
        <w:rPr>
          <w:color w:val="000000"/>
          <w:lang w:val="it-IT"/>
        </w:rPr>
        <w:t>’</w:t>
      </w:r>
      <w:r w:rsidRPr="00451078">
        <w:rPr>
          <w:lang w:val="it-IT"/>
        </w:rPr>
        <w:t>offerta di durata limitata, che va dal 1 marzo 2013 al 28 giugno 2013, Microsoft offre una (1) Functional CAL per ogni Enterprise CAL acquistata durante il periodo promozionale. Questa promozione è disponibile ai sensi dei</w:t>
      </w:r>
      <w:r w:rsidR="00082E1C" w:rsidRPr="00451078">
        <w:rPr>
          <w:lang w:val="it-IT"/>
        </w:rPr>
        <w:t> </w:t>
      </w:r>
      <w:r w:rsidRPr="00451078">
        <w:rPr>
          <w:lang w:val="it-IT"/>
        </w:rPr>
        <w:t>seguenti programmi di licenza indicati nel listino prezzi: Contratto Enterprise, Contratto Microsoft Enterprise Subscription, Contratto Campus ed Enti Pubblici degli Stati Uniti e Contratto School per Enterprise Education Solutions. È richiesto un ordine minimo di 30 Enterprise CAL il cui acquisto deve essere effettuato tramite la SKU promozionale pubblicata. Tutte le licenze concesse ai sensi della presente offerta includeranno la copertura Software Assurance o la copertura Subscription. Tale copertura cesserà alla scadenza della copertura per le licenze qualificanti. Alla scadenza di tale copertura, le società potranno rinnovare l</w:t>
      </w:r>
      <w:r w:rsidR="0073727D">
        <w:rPr>
          <w:color w:val="000000"/>
          <w:lang w:val="it-IT"/>
        </w:rPr>
        <w:t>’</w:t>
      </w:r>
      <w:r w:rsidRPr="00451078">
        <w:rPr>
          <w:lang w:val="it-IT"/>
        </w:rPr>
        <w:t>una o l</w:t>
      </w:r>
      <w:r w:rsidR="0073727D">
        <w:rPr>
          <w:color w:val="000000"/>
          <w:lang w:val="it-IT"/>
        </w:rPr>
        <w:t>’</w:t>
      </w:r>
      <w:r w:rsidRPr="00451078">
        <w:rPr>
          <w:lang w:val="it-IT"/>
        </w:rPr>
        <w:t xml:space="preserve">altra. </w:t>
      </w:r>
      <w:bookmarkStart w:id="651" w:name="_Toc336338182"/>
    </w:p>
    <w:p w:rsidR="00187499" w:rsidRPr="00451078" w:rsidRDefault="00187499" w:rsidP="00187499">
      <w:pPr>
        <w:pStyle w:val="Heading2"/>
        <w:ind w:left="0"/>
        <w:rPr>
          <w:lang w:val="it-IT"/>
        </w:rPr>
      </w:pPr>
      <w:bookmarkStart w:id="652" w:name="_Toc352234780"/>
      <w:r w:rsidRPr="00451078">
        <w:rPr>
          <w:rFonts w:ascii="Tahoma" w:hAnsi="Tahoma" w:cs="Tahoma"/>
          <w:color w:val="FF9429"/>
          <w:lang w:val="it-IT"/>
        </w:rPr>
        <w:t>Microsoft Dynamics AX 2012 R2 - Promozione EA Starter</w:t>
      </w:r>
      <w:bookmarkEnd w:id="652"/>
    </w:p>
    <w:p w:rsidR="00B33F0B" w:rsidRPr="00451078" w:rsidRDefault="00B33F0B" w:rsidP="00B33F0B">
      <w:pPr>
        <w:rPr>
          <w:lang w:val="it-IT"/>
        </w:rPr>
      </w:pPr>
    </w:p>
    <w:bookmarkEnd w:id="651"/>
    <w:p w:rsidR="001D214E" w:rsidRPr="00451078" w:rsidRDefault="001D214E" w:rsidP="001D214E">
      <w:pPr>
        <w:spacing w:after="200" w:line="276" w:lineRule="auto"/>
        <w:rPr>
          <w:lang w:val="it-IT"/>
        </w:rPr>
      </w:pPr>
      <w:r w:rsidRPr="00451078">
        <w:rPr>
          <w:lang w:val="it-IT"/>
        </w:rPr>
        <w:t>Grazie a un</w:t>
      </w:r>
      <w:r w:rsidR="0073727D">
        <w:rPr>
          <w:lang w:val="it-IT"/>
        </w:rPr>
        <w:t>’</w:t>
      </w:r>
      <w:r w:rsidRPr="00451078">
        <w:rPr>
          <w:lang w:val="it-IT"/>
        </w:rPr>
        <w:t xml:space="preserve">offerta di durata limitata, che va dal </w:t>
      </w:r>
      <w:r w:rsidRPr="00451078">
        <w:rPr>
          <w:rFonts w:eastAsia="Calibri" w:cs="Tahoma"/>
          <w:szCs w:val="18"/>
          <w:lang w:val="it-IT"/>
        </w:rPr>
        <w:t>1 marzo 2013 al 28 giugno 2013, Microsoft offre 3 (tre) Enterprise CAL e 50 (cinquanta) Self Serve CAL con l</w:t>
      </w:r>
      <w:r w:rsidR="0073727D">
        <w:rPr>
          <w:color w:val="000000"/>
          <w:lang w:val="it-IT"/>
        </w:rPr>
        <w:t>’</w:t>
      </w:r>
      <w:r w:rsidRPr="00451078">
        <w:rPr>
          <w:rFonts w:eastAsia="Calibri" w:cs="Tahoma"/>
          <w:szCs w:val="18"/>
          <w:lang w:val="it-IT"/>
        </w:rPr>
        <w:t>acquisto della prima licenza Server per Microsoft Dynamics AX</w:t>
      </w:r>
      <w:r w:rsidRPr="00451078">
        <w:rPr>
          <w:lang w:val="it-IT"/>
        </w:rPr>
        <w:t xml:space="preserve"> 2012 </w:t>
      </w:r>
      <w:r w:rsidRPr="00451078">
        <w:rPr>
          <w:rFonts w:eastAsia="Calibri" w:cs="Tahoma"/>
          <w:szCs w:val="18"/>
          <w:lang w:val="it-IT"/>
        </w:rPr>
        <w:t>R2.</w:t>
      </w:r>
      <w:r w:rsidRPr="00451078">
        <w:rPr>
          <w:lang w:val="it-IT"/>
        </w:rPr>
        <w:t xml:space="preserve"> Questa promozione è disponibile </w:t>
      </w:r>
      <w:r w:rsidRPr="00451078">
        <w:rPr>
          <w:rFonts w:eastAsia="Calibri" w:cs="Tahoma"/>
          <w:szCs w:val="18"/>
          <w:lang w:val="it-IT"/>
        </w:rPr>
        <w:t xml:space="preserve">solo </w:t>
      </w:r>
      <w:r w:rsidRPr="00451078">
        <w:rPr>
          <w:lang w:val="it-IT"/>
        </w:rPr>
        <w:t>ai sensi del programma di licenze Contratto Microsoft Enterprise</w:t>
      </w:r>
      <w:r w:rsidRPr="00451078">
        <w:rPr>
          <w:rFonts w:eastAsia="Calibri" w:cs="Tahoma"/>
          <w:szCs w:val="18"/>
          <w:lang w:val="it-IT"/>
        </w:rPr>
        <w:t xml:space="preserve">. </w:t>
      </w:r>
    </w:p>
    <w:p w:rsidR="00D24E3C" w:rsidRPr="00451078" w:rsidRDefault="00187499" w:rsidP="00D24E3C">
      <w:pPr>
        <w:spacing w:after="200" w:line="276" w:lineRule="auto"/>
        <w:rPr>
          <w:lang w:val="it-IT"/>
        </w:rPr>
      </w:pPr>
      <w:r w:rsidRPr="00451078">
        <w:rPr>
          <w:rFonts w:eastAsia="Calibri" w:cs="Tahoma"/>
          <w:szCs w:val="18"/>
          <w:lang w:val="it-IT"/>
        </w:rPr>
        <w:t xml:space="preserve">Tutte le licenze concesse ai sensi della presente offerta includeranno la copertura Software Assurance. Tale copertura cesserà alla scadenza della copertura per le licenze qualificanti. Alla scadenza della copertura, le società potranno rinnovare Software Assurance sulle licenze concesse. </w:t>
      </w:r>
      <w:bookmarkStart w:id="653" w:name="_Toc336338183"/>
      <w:r w:rsidRPr="00451078">
        <w:rPr>
          <w:rFonts w:eastAsia="Calibri" w:cs="Tahoma"/>
          <w:szCs w:val="18"/>
          <w:lang w:val="it-IT"/>
        </w:rPr>
        <w:t>Il diritto di utilizzo del software in concessione scadrà alla scadenza del diritto di utilizzo del software ai sensi della licenza Server qualificante per Microsoft Dynamics AX 2012 R2. Questa Nota relativa al Prodotto insieme alla prova della licenza Server qualificante attesteranno il diritto della società di utilizzare le licenze per Microsoft Dynamics AX 2012 R2 ai sensi delle condizioni della presente offerta. Le</w:t>
      </w:r>
      <w:r w:rsidR="00095643" w:rsidRPr="00451078">
        <w:rPr>
          <w:rFonts w:eastAsia="Calibri" w:cs="Tahoma"/>
          <w:szCs w:val="18"/>
          <w:lang w:val="it-IT"/>
        </w:rPr>
        <w:t> </w:t>
      </w:r>
      <w:r w:rsidRPr="00451078">
        <w:rPr>
          <w:rFonts w:eastAsia="Calibri" w:cs="Tahoma"/>
          <w:szCs w:val="18"/>
          <w:lang w:val="it-IT"/>
        </w:rPr>
        <w:t>società non potranno trasferire le licenze concesse in virtù della presente offerta separatamente dalle licenze qualificanti corrispondenti.</w:t>
      </w:r>
      <w:bookmarkEnd w:id="653"/>
    </w:p>
    <w:p w:rsidR="00491DAC" w:rsidRPr="00451078" w:rsidRDefault="00491DAC" w:rsidP="007B1734">
      <w:pPr>
        <w:pStyle w:val="Heading2"/>
        <w:ind w:left="0"/>
        <w:rPr>
          <w:lang w:val="it-IT"/>
        </w:rPr>
      </w:pPr>
      <w:bookmarkStart w:id="654" w:name="_Toc352234781"/>
      <w:r w:rsidRPr="00451078">
        <w:rPr>
          <w:rFonts w:ascii="Tahoma" w:eastAsia="Times New Roman" w:hAnsi="Tahoma" w:cs="Tahoma"/>
          <w:color w:val="FF9429"/>
          <w:lang w:val="it-IT"/>
        </w:rPr>
        <w:t>15% di sconto sulle Licenze Step-up per Project/Visio</w:t>
      </w:r>
      <w:bookmarkEnd w:id="654"/>
      <w:r w:rsidRPr="00451078">
        <w:rPr>
          <w:rFonts w:ascii="Tahoma" w:eastAsia="Times New Roman" w:hAnsi="Tahoma" w:cs="Tahoma"/>
          <w:color w:val="FF9429"/>
          <w:lang w:val="it-IT"/>
        </w:rPr>
        <w:t xml:space="preserve"> </w:t>
      </w:r>
    </w:p>
    <w:p w:rsidR="00491DAC" w:rsidRPr="00451078" w:rsidRDefault="00491DAC" w:rsidP="00FE3510">
      <w:pPr>
        <w:tabs>
          <w:tab w:val="left" w:pos="2385"/>
        </w:tabs>
        <w:rPr>
          <w:lang w:val="it-IT"/>
        </w:rPr>
      </w:pPr>
    </w:p>
    <w:p w:rsidR="00491DAC" w:rsidRPr="00451078" w:rsidRDefault="00491DAC" w:rsidP="00E904F3">
      <w:pPr>
        <w:spacing w:after="200" w:line="276" w:lineRule="auto"/>
        <w:rPr>
          <w:lang w:val="it-IT"/>
        </w:rPr>
      </w:pPr>
      <w:r w:rsidRPr="00451078">
        <w:rPr>
          <w:color w:val="000000"/>
          <w:lang w:val="it-IT"/>
        </w:rPr>
        <w:t>Grazie a un</w:t>
      </w:r>
      <w:r w:rsidR="0073727D">
        <w:rPr>
          <w:color w:val="000000"/>
          <w:lang w:val="it-IT"/>
        </w:rPr>
        <w:t>’</w:t>
      </w:r>
      <w:r w:rsidRPr="00451078">
        <w:rPr>
          <w:color w:val="000000"/>
          <w:lang w:val="it-IT"/>
        </w:rPr>
        <w:t>offerta di durata limitata che va dal 1 dicembre 2012 al 30 giugno 2013, Microsoft offre uno sconto del</w:t>
      </w:r>
      <w:r w:rsidR="003D5478" w:rsidRPr="00451078">
        <w:rPr>
          <w:color w:val="000000"/>
          <w:lang w:val="it-IT"/>
        </w:rPr>
        <w:t> </w:t>
      </w:r>
      <w:r w:rsidRPr="00451078">
        <w:rPr>
          <w:color w:val="000000"/>
          <w:lang w:val="it-IT"/>
        </w:rPr>
        <w:t>15% sul prezzo delle licenze Step-up per il passaggio da Project Standard a Project Professional ai sensi della copertura Software Assurance e uno sconto del 15% sul prezzo delle licenze Step-up per il passaggio da Visio Standard a Visio Professional ai sensi della copertura Software Assurance. Questa promozione è disponibile ai</w:t>
      </w:r>
      <w:r w:rsidR="003D5478" w:rsidRPr="00451078">
        <w:rPr>
          <w:color w:val="000000"/>
          <w:lang w:val="it-IT"/>
        </w:rPr>
        <w:t> </w:t>
      </w:r>
      <w:r w:rsidRPr="00451078">
        <w:rPr>
          <w:color w:val="000000"/>
          <w:lang w:val="it-IT"/>
        </w:rPr>
        <w:t>sensi</w:t>
      </w:r>
      <w:r w:rsidR="003D5478" w:rsidRPr="00451078">
        <w:rPr>
          <w:color w:val="000000"/>
          <w:lang w:val="it-IT"/>
        </w:rPr>
        <w:t> </w:t>
      </w:r>
      <w:r w:rsidRPr="00451078">
        <w:rPr>
          <w:color w:val="000000"/>
          <w:lang w:val="it-IT"/>
        </w:rPr>
        <w:t>dei programmi Microsoft Enterprise, Enterprise Subscription, Select Plus, EAP, ECI e Open Value.</w:t>
      </w:r>
    </w:p>
    <w:p w:rsidR="00B7048F" w:rsidRPr="00451078" w:rsidRDefault="00B7048F" w:rsidP="007B1734">
      <w:pPr>
        <w:pStyle w:val="Heading2"/>
        <w:ind w:left="0"/>
        <w:rPr>
          <w:lang w:val="it-IT"/>
        </w:rPr>
      </w:pPr>
      <w:bookmarkStart w:id="655" w:name="_Toc352234782"/>
      <w:r w:rsidRPr="00451078">
        <w:rPr>
          <w:rFonts w:ascii="Tahoma" w:eastAsia="Times New Roman" w:hAnsi="Tahoma" w:cs="Tahoma"/>
          <w:color w:val="FF9429"/>
          <w:lang w:val="it-IT"/>
        </w:rPr>
        <w:t>55% di sconto sulle CAL per Project Server Acquistate a Livello Aziendale</w:t>
      </w:r>
      <w:bookmarkEnd w:id="655"/>
    </w:p>
    <w:p w:rsidR="00B7048F" w:rsidRPr="00451078" w:rsidRDefault="00B7048F" w:rsidP="007B1734">
      <w:pPr>
        <w:rPr>
          <w:lang w:val="it-IT"/>
        </w:rPr>
      </w:pPr>
    </w:p>
    <w:p w:rsidR="00B7048F" w:rsidRDefault="00B7048F" w:rsidP="00E904F3">
      <w:pPr>
        <w:spacing w:after="200" w:line="276" w:lineRule="auto"/>
        <w:rPr>
          <w:color w:val="000000"/>
          <w:lang w:val="it-IT"/>
        </w:rPr>
      </w:pPr>
      <w:r w:rsidRPr="00451078">
        <w:rPr>
          <w:color w:val="000000"/>
          <w:lang w:val="it-IT"/>
        </w:rPr>
        <w:t>Grazie a un</w:t>
      </w:r>
      <w:r w:rsidR="0073727D">
        <w:rPr>
          <w:color w:val="000000"/>
          <w:lang w:val="it-IT"/>
        </w:rPr>
        <w:t>’</w:t>
      </w:r>
      <w:r w:rsidRPr="00451078">
        <w:rPr>
          <w:color w:val="000000"/>
          <w:lang w:val="it-IT"/>
        </w:rPr>
        <w:t>offerta di durata limitata che va dal 1 dicembre 2012 al 30 giugno 2013, Microsoft offre uno sconto del</w:t>
      </w:r>
      <w:r w:rsidR="003D5478" w:rsidRPr="00451078">
        <w:rPr>
          <w:color w:val="000000"/>
          <w:lang w:val="it-IT"/>
        </w:rPr>
        <w:t> </w:t>
      </w:r>
      <w:r w:rsidRPr="00451078">
        <w:rPr>
          <w:color w:val="000000"/>
          <w:lang w:val="it-IT"/>
        </w:rPr>
        <w:t>55% sul prezzo delle licenze CAL acquistate a livello aziendale. Questa promozione è disponibile ai sensi dei</w:t>
      </w:r>
      <w:r w:rsidR="003D5478" w:rsidRPr="00451078">
        <w:rPr>
          <w:color w:val="000000"/>
          <w:lang w:val="it-IT"/>
        </w:rPr>
        <w:t> </w:t>
      </w:r>
      <w:r w:rsidRPr="00451078">
        <w:rPr>
          <w:color w:val="000000"/>
          <w:lang w:val="it-IT"/>
        </w:rPr>
        <w:t xml:space="preserve">programmi Microsoft Enterprise, </w:t>
      </w:r>
      <w:r w:rsidR="00F5274A" w:rsidRPr="00451078">
        <w:rPr>
          <w:color w:val="000000"/>
          <w:lang w:val="it-IT"/>
        </w:rPr>
        <w:t>Enterprise Subscription ed EAP.</w:t>
      </w:r>
    </w:p>
    <w:p w:rsidR="003526FB" w:rsidRDefault="003526FB">
      <w:pPr>
        <w:rPr>
          <w:color w:val="000000"/>
          <w:lang w:val="it-IT"/>
        </w:rPr>
      </w:pPr>
      <w:r>
        <w:rPr>
          <w:color w:val="000000"/>
          <w:lang w:val="it-IT"/>
        </w:rPr>
        <w:br w:type="page"/>
      </w:r>
    </w:p>
    <w:p w:rsidR="00023FE7" w:rsidRPr="00451078" w:rsidRDefault="00714962" w:rsidP="00261E60">
      <w:pPr>
        <w:pStyle w:val="Heading1"/>
        <w:rPr>
          <w:lang w:val="it-IT"/>
        </w:rPr>
      </w:pPr>
      <w:bookmarkStart w:id="656" w:name="_Toc336338188"/>
      <w:bookmarkStart w:id="657" w:name="_Toc352234783"/>
      <w:r w:rsidRPr="00451078">
        <w:rPr>
          <w:lang w:val="it-IT"/>
        </w:rPr>
        <w:lastRenderedPageBreak/>
        <w:t>ARTICOLO 3 - CONDIZIONI Dei Programmi Multilicenza</w:t>
      </w:r>
      <w:bookmarkEnd w:id="656"/>
      <w:bookmarkEnd w:id="657"/>
    </w:p>
    <w:p w:rsidR="00E64551" w:rsidRPr="00E171E7" w:rsidRDefault="00E64551" w:rsidP="00456002">
      <w:pPr>
        <w:pStyle w:val="Heading3"/>
        <w:ind w:right="720"/>
        <w:rPr>
          <w:rFonts w:ascii="Tahoma" w:hAnsi="Tahoma" w:cs="Tahoma"/>
          <w:sz w:val="24"/>
          <w:szCs w:val="24"/>
          <w:lang w:val="it-IT"/>
        </w:rPr>
      </w:pPr>
      <w:bookmarkStart w:id="658" w:name="_Toc323159724"/>
    </w:p>
    <w:p w:rsidR="00456002" w:rsidRPr="00451078" w:rsidRDefault="00456002" w:rsidP="003E606C">
      <w:pPr>
        <w:pStyle w:val="Heading3"/>
        <w:ind w:right="720"/>
        <w:rPr>
          <w:lang w:val="it-IT"/>
        </w:rPr>
      </w:pPr>
      <w:bookmarkStart w:id="659" w:name="_Toc336338189"/>
      <w:bookmarkStart w:id="660" w:name="_Toc352234784"/>
      <w:r w:rsidRPr="00451078">
        <w:rPr>
          <w:rFonts w:ascii="Tahoma" w:hAnsi="Tahoma" w:cs="Tahoma"/>
          <w:sz w:val="24"/>
          <w:szCs w:val="22"/>
          <w:lang w:val="it-IT"/>
        </w:rPr>
        <w:t>Programmi di Contratti Multilicenza Applicabili</w:t>
      </w:r>
      <w:bookmarkEnd w:id="659"/>
      <w:bookmarkEnd w:id="660"/>
      <w:r w:rsidRPr="00451078">
        <w:rPr>
          <w:sz w:val="22"/>
          <w:lang w:val="it-IT"/>
        </w:rPr>
        <w:t xml:space="preserve"> </w:t>
      </w:r>
      <w:bookmarkEnd w:id="658"/>
    </w:p>
    <w:p w:rsidR="00E64551" w:rsidRPr="00451078" w:rsidRDefault="00E64551" w:rsidP="003E606C">
      <w:pPr>
        <w:rPr>
          <w:lang w:val="it-IT"/>
        </w:rPr>
      </w:pPr>
    </w:p>
    <w:p w:rsidR="00456002" w:rsidRPr="00451078" w:rsidRDefault="00456002" w:rsidP="00456002">
      <w:pPr>
        <w:rPr>
          <w:lang w:val="it-IT"/>
        </w:rPr>
      </w:pPr>
      <w:r w:rsidRPr="00451078">
        <w:rPr>
          <w:rFonts w:cs="Tahoma"/>
          <w:lang w:val="it-IT"/>
        </w:rPr>
        <w:t>Il presente Articolo si applica ai seguenti programmi Multilicenza, incluse le versioni Academic, Charity e Government, ove applicabile.</w:t>
      </w:r>
    </w:p>
    <w:p w:rsidR="00510F6B" w:rsidRPr="00451078" w:rsidRDefault="00510F6B" w:rsidP="00456002">
      <w:pPr>
        <w:rPr>
          <w:lang w:val="it-IT"/>
        </w:rPr>
      </w:pPr>
    </w:p>
    <w:p w:rsidR="00456002" w:rsidRPr="003410C7" w:rsidRDefault="00456002" w:rsidP="00822871">
      <w:pPr>
        <w:numPr>
          <w:ilvl w:val="0"/>
          <w:numId w:val="19"/>
        </w:numPr>
        <w:spacing w:after="60"/>
      </w:pPr>
      <w:r w:rsidRPr="003410C7">
        <w:rPr>
          <w:rFonts w:cs="Tahoma"/>
        </w:rPr>
        <w:t>Licenza Open</w:t>
      </w:r>
    </w:p>
    <w:p w:rsidR="00456002" w:rsidRPr="003410C7" w:rsidRDefault="00456002" w:rsidP="00822871">
      <w:pPr>
        <w:numPr>
          <w:ilvl w:val="0"/>
          <w:numId w:val="19"/>
        </w:numPr>
        <w:spacing w:after="60"/>
      </w:pPr>
      <w:r w:rsidRPr="003410C7">
        <w:rPr>
          <w:rFonts w:cs="Tahoma"/>
        </w:rPr>
        <w:t xml:space="preserve">Open Value </w:t>
      </w:r>
    </w:p>
    <w:p w:rsidR="00456002" w:rsidRPr="003410C7" w:rsidRDefault="00456002" w:rsidP="00822871">
      <w:pPr>
        <w:numPr>
          <w:ilvl w:val="0"/>
          <w:numId w:val="19"/>
        </w:numPr>
        <w:spacing w:after="60"/>
      </w:pPr>
      <w:r w:rsidRPr="003410C7">
        <w:rPr>
          <w:rFonts w:cs="Tahoma"/>
        </w:rPr>
        <w:t xml:space="preserve">Open Value Subscription </w:t>
      </w:r>
    </w:p>
    <w:p w:rsidR="00456002" w:rsidRPr="003410C7" w:rsidRDefault="00456002" w:rsidP="00822871">
      <w:pPr>
        <w:numPr>
          <w:ilvl w:val="0"/>
          <w:numId w:val="19"/>
        </w:numPr>
        <w:spacing w:after="60"/>
      </w:pPr>
      <w:r w:rsidRPr="003410C7">
        <w:rPr>
          <w:rFonts w:cs="Tahoma"/>
        </w:rPr>
        <w:t xml:space="preserve">Select </w:t>
      </w:r>
    </w:p>
    <w:p w:rsidR="00456002" w:rsidRPr="003410C7" w:rsidRDefault="00456002" w:rsidP="00822871">
      <w:pPr>
        <w:numPr>
          <w:ilvl w:val="0"/>
          <w:numId w:val="19"/>
        </w:numPr>
        <w:spacing w:after="60"/>
      </w:pPr>
      <w:r w:rsidRPr="003410C7">
        <w:rPr>
          <w:rFonts w:cs="Tahoma"/>
        </w:rPr>
        <w:t xml:space="preserve">Select Plus </w:t>
      </w:r>
    </w:p>
    <w:p w:rsidR="0091793D" w:rsidRPr="003410C7" w:rsidRDefault="00F84FA6" w:rsidP="00822871">
      <w:pPr>
        <w:numPr>
          <w:ilvl w:val="0"/>
          <w:numId w:val="19"/>
        </w:numPr>
        <w:spacing w:after="60"/>
      </w:pPr>
      <w:r w:rsidRPr="003410C7">
        <w:rPr>
          <w:rFonts w:cs="Tahoma"/>
          <w:szCs w:val="18"/>
        </w:rPr>
        <w:t xml:space="preserve">Contratto Enterprise </w:t>
      </w:r>
    </w:p>
    <w:p w:rsidR="0091793D" w:rsidRPr="003410C7" w:rsidRDefault="00F84FA6" w:rsidP="00822871">
      <w:pPr>
        <w:numPr>
          <w:ilvl w:val="0"/>
          <w:numId w:val="19"/>
        </w:numPr>
        <w:spacing w:after="60"/>
      </w:pPr>
      <w:r w:rsidRPr="003410C7">
        <w:rPr>
          <w:rFonts w:cs="Tahoma"/>
          <w:szCs w:val="18"/>
        </w:rPr>
        <w:t>Contratto Enterprise Subscription</w:t>
      </w:r>
      <w:r w:rsidRPr="003410C7">
        <w:rPr>
          <w:rFonts w:cs="Tahoma"/>
          <w:color w:val="000000"/>
          <w:szCs w:val="18"/>
        </w:rPr>
        <w:t xml:space="preserve"> </w:t>
      </w:r>
    </w:p>
    <w:p w:rsidR="0091793D" w:rsidRPr="00FB25FF" w:rsidRDefault="0091793D" w:rsidP="0091793D">
      <w:pPr>
        <w:pStyle w:val="Heading3"/>
        <w:ind w:right="720"/>
        <w:rPr>
          <w:rFonts w:ascii="Tahoma" w:hAnsi="Tahoma" w:cs="Tahoma"/>
          <w:b w:val="0"/>
          <w:sz w:val="18"/>
          <w:szCs w:val="18"/>
        </w:rPr>
      </w:pPr>
    </w:p>
    <w:p w:rsidR="0091793D" w:rsidRPr="00451078" w:rsidRDefault="0091793D" w:rsidP="003E606C">
      <w:pPr>
        <w:pStyle w:val="Heading3"/>
        <w:ind w:right="720"/>
        <w:rPr>
          <w:lang w:val="it-IT"/>
        </w:rPr>
      </w:pPr>
      <w:bookmarkStart w:id="661" w:name="_Toc336338190"/>
      <w:bookmarkStart w:id="662" w:name="_Toc352234785"/>
      <w:r w:rsidRPr="00451078">
        <w:rPr>
          <w:rFonts w:ascii="Tahoma" w:hAnsi="Tahoma" w:cs="Tahoma"/>
          <w:sz w:val="24"/>
          <w:szCs w:val="22"/>
          <w:lang w:val="it-IT"/>
        </w:rPr>
        <w:t>Punti e Requisiti Minimi per gli Ordini</w:t>
      </w:r>
      <w:bookmarkEnd w:id="661"/>
      <w:bookmarkEnd w:id="662"/>
    </w:p>
    <w:p w:rsidR="00BA4C27" w:rsidRPr="00451078" w:rsidRDefault="00BA4C27" w:rsidP="003E606C">
      <w:pPr>
        <w:rPr>
          <w:lang w:val="it-IT"/>
        </w:rPr>
      </w:pPr>
    </w:p>
    <w:p w:rsidR="00BA4C27" w:rsidRPr="003410C7" w:rsidRDefault="00BA4C27" w:rsidP="00E904F3">
      <w:pPr>
        <w:pStyle w:val="AppendixBodyText"/>
        <w:ind w:right="720"/>
      </w:pPr>
      <w:r w:rsidRPr="00451078">
        <w:rPr>
          <w:rFonts w:ascii="Tahoma" w:hAnsi="Tahoma" w:cs="Tahoma"/>
          <w:sz w:val="18"/>
          <w:lang w:val="it-IT"/>
        </w:rPr>
        <w:t xml:space="preserve">Select, Select Plus e Open License sono accompagnati da un numero o </w:t>
      </w:r>
      <w:r w:rsidR="001A3EC5" w:rsidRPr="00451078">
        <w:rPr>
          <w:rFonts w:ascii="Tahoma" w:hAnsi="Tahoma" w:cs="Tahoma"/>
          <w:sz w:val="18"/>
          <w:lang w:val="it-IT"/>
        </w:rPr>
        <w:t>“</w:t>
      </w:r>
      <w:r w:rsidRPr="00451078">
        <w:rPr>
          <w:rFonts w:ascii="Tahoma" w:hAnsi="Tahoma" w:cs="Tahoma"/>
          <w:sz w:val="18"/>
          <w:lang w:val="it-IT"/>
        </w:rPr>
        <w:t>Punto</w:t>
      </w:r>
      <w:r w:rsidR="001A3EC5" w:rsidRPr="00451078">
        <w:rPr>
          <w:rFonts w:ascii="Tahoma" w:hAnsi="Tahoma" w:cs="Tahoma"/>
          <w:sz w:val="18"/>
          <w:lang w:val="it-IT"/>
        </w:rPr>
        <w:t>”</w:t>
      </w:r>
      <w:r w:rsidRPr="00451078">
        <w:rPr>
          <w:rFonts w:ascii="Tahoma" w:hAnsi="Tahoma" w:cs="Tahoma"/>
          <w:sz w:val="18"/>
          <w:lang w:val="it-IT"/>
        </w:rPr>
        <w:t xml:space="preserve"> che indica il valore di punti</w:t>
      </w:r>
      <w:r w:rsidR="003D5478" w:rsidRPr="00451078">
        <w:rPr>
          <w:rFonts w:ascii="Tahoma" w:hAnsi="Tahoma" w:cs="Tahoma"/>
          <w:sz w:val="18"/>
          <w:lang w:val="it-IT"/>
        </w:rPr>
        <w:t> </w:t>
      </w:r>
      <w:r w:rsidRPr="00451078">
        <w:rPr>
          <w:rFonts w:ascii="Tahoma" w:hAnsi="Tahoma" w:cs="Tahoma"/>
          <w:sz w:val="18"/>
          <w:lang w:val="it-IT"/>
        </w:rPr>
        <w:t xml:space="preserve">assegnato da Microsoft per ogni licenza. I punti consentono di calcolare il livello di prezzo per volume applicabile al contratto di una società. Quando a un determinato prodotto viene assegnato un punto </w:t>
      </w:r>
      <w:r w:rsidR="001A3EC5" w:rsidRPr="00451078">
        <w:rPr>
          <w:rFonts w:ascii="Tahoma" w:hAnsi="Tahoma" w:cs="Tahoma"/>
          <w:sz w:val="18"/>
          <w:lang w:val="it-IT"/>
        </w:rPr>
        <w:t>“</w:t>
      </w:r>
      <w:r w:rsidRPr="00451078">
        <w:rPr>
          <w:rFonts w:ascii="Tahoma" w:hAnsi="Tahoma" w:cs="Tahoma"/>
          <w:sz w:val="18"/>
          <w:lang w:val="it-IT"/>
        </w:rPr>
        <w:t>0</w:t>
      </w:r>
      <w:r w:rsidR="001A3EC5" w:rsidRPr="00451078">
        <w:rPr>
          <w:rFonts w:ascii="Tahoma" w:hAnsi="Tahoma" w:cs="Tahoma"/>
          <w:sz w:val="18"/>
          <w:lang w:val="it-IT"/>
        </w:rPr>
        <w:t>”</w:t>
      </w:r>
      <w:r w:rsidRPr="00451078">
        <w:rPr>
          <w:rFonts w:ascii="Tahoma" w:hAnsi="Tahoma" w:cs="Tahoma"/>
          <w:sz w:val="18"/>
          <w:lang w:val="it-IT"/>
        </w:rPr>
        <w:t>, ciò</w:t>
      </w:r>
      <w:r w:rsidR="003D5478" w:rsidRPr="00451078">
        <w:rPr>
          <w:rFonts w:ascii="Tahoma" w:hAnsi="Tahoma" w:cs="Tahoma"/>
          <w:sz w:val="18"/>
          <w:lang w:val="it-IT"/>
        </w:rPr>
        <w:t> </w:t>
      </w:r>
      <w:r w:rsidRPr="00451078">
        <w:rPr>
          <w:rFonts w:ascii="Tahoma" w:hAnsi="Tahoma" w:cs="Tahoma"/>
          <w:sz w:val="18"/>
          <w:lang w:val="it-IT"/>
        </w:rPr>
        <w:t>significa che il prodotto è offerto nel programma specificato, ma ha un valore di punti pari a zero.</w:t>
      </w:r>
      <w:r w:rsidR="00082E1C" w:rsidRPr="00451078">
        <w:rPr>
          <w:rFonts w:ascii="Tahoma" w:hAnsi="Tahoma" w:cs="Tahoma"/>
          <w:sz w:val="18"/>
          <w:lang w:val="it-IT"/>
        </w:rPr>
        <w:t xml:space="preserve"> </w:t>
      </w:r>
      <w:r w:rsidRPr="003410C7">
        <w:rPr>
          <w:rFonts w:ascii="Tahoma" w:hAnsi="Tahoma" w:cs="Tahoma"/>
          <w:sz w:val="18"/>
        </w:rPr>
        <w:t>Di</w:t>
      </w:r>
      <w:r w:rsidR="003D5478">
        <w:rPr>
          <w:rFonts w:ascii="Tahoma" w:hAnsi="Tahoma" w:cs="Tahoma"/>
          <w:sz w:val="18"/>
        </w:rPr>
        <w:t> </w:t>
      </w:r>
      <w:r w:rsidRPr="003410C7">
        <w:rPr>
          <w:rFonts w:ascii="Tahoma" w:hAnsi="Tahoma" w:cs="Tahoma"/>
          <w:sz w:val="18"/>
        </w:rPr>
        <w:t>seguito è riportata l</w:t>
      </w:r>
      <w:r w:rsidR="0073727D">
        <w:rPr>
          <w:rFonts w:ascii="Tahoma" w:hAnsi="Tahoma" w:cs="Tahoma"/>
          <w:sz w:val="18"/>
        </w:rPr>
        <w:t>’</w:t>
      </w:r>
      <w:r w:rsidRPr="003410C7">
        <w:rPr>
          <w:rFonts w:ascii="Tahoma" w:hAnsi="Tahoma" w:cs="Tahoma"/>
          <w:sz w:val="18"/>
        </w:rPr>
        <w:t>assegnazione delle unità alle licenze:</w:t>
      </w:r>
    </w:p>
    <w:p w:rsidR="00E64551" w:rsidRPr="00FB25FF" w:rsidRDefault="00E64551" w:rsidP="00E64551">
      <w:pPr>
        <w:pStyle w:val="AppendixBodyText"/>
        <w:ind w:right="720"/>
        <w:rPr>
          <w:rFonts w:ascii="Tahoma" w:hAnsi="Tahoma" w:cs="Tahoma"/>
          <w:sz w:val="18"/>
          <w:szCs w:val="18"/>
          <w:highlight w:val="yellow"/>
        </w:rPr>
      </w:pPr>
    </w:p>
    <w:p w:rsidR="00456002" w:rsidRPr="003410C7" w:rsidRDefault="00456002" w:rsidP="00822871">
      <w:pPr>
        <w:numPr>
          <w:ilvl w:val="0"/>
          <w:numId w:val="19"/>
        </w:numPr>
        <w:spacing w:after="60"/>
      </w:pPr>
      <w:r w:rsidRPr="003410C7">
        <w:rPr>
          <w:rFonts w:cs="Tahoma"/>
        </w:rPr>
        <w:t xml:space="preserve">Licenza Standard: 1 licenza </w:t>
      </w:r>
    </w:p>
    <w:p w:rsidR="00456002" w:rsidRPr="003410C7" w:rsidRDefault="00456002" w:rsidP="00822871">
      <w:pPr>
        <w:numPr>
          <w:ilvl w:val="0"/>
          <w:numId w:val="19"/>
        </w:numPr>
        <w:spacing w:after="60"/>
      </w:pPr>
      <w:r w:rsidRPr="003410C7">
        <w:rPr>
          <w:rFonts w:cs="Tahoma"/>
        </w:rPr>
        <w:t xml:space="preserve">Aggiornamento: 1 licenza </w:t>
      </w:r>
    </w:p>
    <w:p w:rsidR="00456002" w:rsidRPr="003410C7" w:rsidRDefault="00456002" w:rsidP="00822871">
      <w:pPr>
        <w:numPr>
          <w:ilvl w:val="0"/>
          <w:numId w:val="19"/>
        </w:numPr>
        <w:spacing w:after="60"/>
      </w:pPr>
      <w:r w:rsidRPr="003410C7">
        <w:rPr>
          <w:rFonts w:cs="Tahoma"/>
        </w:rPr>
        <w:t xml:space="preserve">Software Assurance: 1 licenza </w:t>
      </w:r>
    </w:p>
    <w:p w:rsidR="00456002" w:rsidRPr="003410C7" w:rsidRDefault="00456002" w:rsidP="00822871">
      <w:pPr>
        <w:numPr>
          <w:ilvl w:val="0"/>
          <w:numId w:val="19"/>
        </w:numPr>
        <w:spacing w:after="60"/>
      </w:pPr>
      <w:r w:rsidRPr="003410C7">
        <w:rPr>
          <w:rFonts w:cs="Tahoma"/>
        </w:rPr>
        <w:t xml:space="preserve">Licenza e Software Assurance: 2 licenze </w:t>
      </w:r>
    </w:p>
    <w:p w:rsidR="00456002" w:rsidRPr="003410C7" w:rsidRDefault="00456002" w:rsidP="00822871">
      <w:pPr>
        <w:numPr>
          <w:ilvl w:val="0"/>
          <w:numId w:val="19"/>
        </w:numPr>
        <w:spacing w:after="60"/>
      </w:pPr>
      <w:r w:rsidRPr="003410C7">
        <w:rPr>
          <w:rFonts w:cs="Tahoma"/>
        </w:rPr>
        <w:t>Aggiornamento e Software Assurance: 2 licenze</w:t>
      </w:r>
    </w:p>
    <w:p w:rsidR="00456002" w:rsidRPr="003410C7" w:rsidRDefault="00456002" w:rsidP="00822871">
      <w:pPr>
        <w:numPr>
          <w:ilvl w:val="0"/>
          <w:numId w:val="19"/>
        </w:numPr>
        <w:spacing w:after="60"/>
      </w:pPr>
      <w:r w:rsidRPr="003410C7">
        <w:rPr>
          <w:rFonts w:cs="Tahoma"/>
        </w:rPr>
        <w:t xml:space="preserve">Licenza Work at Home: 1 licenza </w:t>
      </w:r>
    </w:p>
    <w:p w:rsidR="00456002" w:rsidRPr="003410C7" w:rsidRDefault="00456002" w:rsidP="00822871">
      <w:pPr>
        <w:numPr>
          <w:ilvl w:val="0"/>
          <w:numId w:val="19"/>
        </w:numPr>
        <w:spacing w:after="60"/>
      </w:pPr>
      <w:r w:rsidRPr="003410C7">
        <w:rPr>
          <w:rFonts w:cs="Tahoma"/>
        </w:rPr>
        <w:t>Licenza Step-Up: 1 licenza</w:t>
      </w:r>
    </w:p>
    <w:p w:rsidR="00456002" w:rsidRPr="003410C7" w:rsidRDefault="00456002" w:rsidP="00822871">
      <w:pPr>
        <w:numPr>
          <w:ilvl w:val="0"/>
          <w:numId w:val="19"/>
        </w:numPr>
        <w:spacing w:after="60"/>
      </w:pPr>
      <w:r w:rsidRPr="003410C7">
        <w:rPr>
          <w:rFonts w:cs="Tahoma"/>
        </w:rPr>
        <w:t xml:space="preserve">Licenza: 1 licenza </w:t>
      </w:r>
    </w:p>
    <w:p w:rsidR="00456002" w:rsidRPr="003410C7" w:rsidRDefault="00456002" w:rsidP="00822871">
      <w:pPr>
        <w:numPr>
          <w:ilvl w:val="0"/>
          <w:numId w:val="19"/>
        </w:numPr>
        <w:spacing w:after="60"/>
      </w:pPr>
      <w:r w:rsidRPr="003410C7">
        <w:rPr>
          <w:rFonts w:cs="Tahoma"/>
        </w:rPr>
        <w:t xml:space="preserve">Licenza </w:t>
      </w:r>
      <w:r w:rsidR="001A3EC5">
        <w:rPr>
          <w:rFonts w:cs="Tahoma"/>
        </w:rPr>
        <w:t>“</w:t>
      </w:r>
      <w:r w:rsidRPr="003410C7">
        <w:rPr>
          <w:rFonts w:cs="Tahoma"/>
        </w:rPr>
        <w:t>Subscription</w:t>
      </w:r>
      <w:r w:rsidR="001A3EC5">
        <w:rPr>
          <w:rFonts w:cs="Tahoma"/>
        </w:rPr>
        <w:t>”</w:t>
      </w:r>
      <w:r w:rsidRPr="003410C7">
        <w:rPr>
          <w:rFonts w:cs="Tahoma"/>
        </w:rPr>
        <w:t>: 1 licenza</w:t>
      </w:r>
    </w:p>
    <w:p w:rsidR="00456002" w:rsidRPr="00FB25FF" w:rsidRDefault="00456002" w:rsidP="00E64551">
      <w:pPr>
        <w:pStyle w:val="Heading2"/>
        <w:ind w:left="0"/>
        <w:rPr>
          <w:rFonts w:ascii="Tahoma" w:hAnsi="Tahoma" w:cs="Tahoma"/>
          <w:sz w:val="18"/>
          <w:szCs w:val="18"/>
        </w:rPr>
      </w:pPr>
    </w:p>
    <w:p w:rsidR="00E64551" w:rsidRPr="003410C7" w:rsidRDefault="00456002" w:rsidP="00E904F3">
      <w:pPr>
        <w:pStyle w:val="Heading2"/>
        <w:ind w:left="0"/>
      </w:pPr>
      <w:bookmarkStart w:id="663" w:name="_Toc336338191"/>
      <w:bookmarkStart w:id="664" w:name="_Toc352234786"/>
      <w:bookmarkStart w:id="665" w:name="_Toc323159726"/>
      <w:r w:rsidRPr="003410C7">
        <w:rPr>
          <w:rFonts w:ascii="Tahoma" w:hAnsi="Tahoma" w:cs="Tahoma"/>
        </w:rPr>
        <w:t>Requisiti Minimi dell</w:t>
      </w:r>
      <w:r w:rsidR="0073727D">
        <w:rPr>
          <w:rFonts w:ascii="Tahoma" w:hAnsi="Tahoma" w:cs="Tahoma"/>
        </w:rPr>
        <w:t>’</w:t>
      </w:r>
      <w:r w:rsidRPr="003410C7">
        <w:rPr>
          <w:rFonts w:ascii="Tahoma" w:hAnsi="Tahoma" w:cs="Tahoma"/>
        </w:rPr>
        <w:t>Ordine</w:t>
      </w:r>
      <w:bookmarkEnd w:id="663"/>
      <w:bookmarkEnd w:id="664"/>
    </w:p>
    <w:bookmarkEnd w:id="665"/>
    <w:p w:rsidR="00456002" w:rsidRPr="003410C7" w:rsidRDefault="00456002" w:rsidP="00456002"/>
    <w:tbl>
      <w:tblPr>
        <w:tblW w:w="0" w:type="auto"/>
        <w:tblInd w:w="1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2268"/>
        <w:gridCol w:w="6939"/>
      </w:tblGrid>
      <w:tr w:rsidR="00456002" w:rsidRPr="003410C7" w:rsidTr="003526FB">
        <w:trPr>
          <w:cantSplit/>
          <w:tblHeader/>
        </w:trPr>
        <w:tc>
          <w:tcPr>
            <w:tcW w:w="2268" w:type="dxa"/>
            <w:shd w:val="clear" w:color="auto" w:fill="FABF8F"/>
          </w:tcPr>
          <w:p w:rsidR="00456002" w:rsidRPr="003410C7" w:rsidRDefault="00456002" w:rsidP="005C647E">
            <w:pPr>
              <w:pStyle w:val="AppendixBodyText"/>
              <w:ind w:right="720"/>
              <w:jc w:val="center"/>
              <w:rPr>
                <w:rFonts w:ascii="Tahoma" w:hAnsi="Tahoma" w:cs="Tahoma"/>
                <w:b/>
                <w:color w:val="000000"/>
                <w:sz w:val="22"/>
                <w:szCs w:val="18"/>
                <w:lang w:eastAsia="ja-JP"/>
              </w:rPr>
            </w:pPr>
            <w:r w:rsidRPr="003410C7">
              <w:rPr>
                <w:rFonts w:ascii="Tahoma" w:hAnsi="Tahoma" w:cs="Tahoma"/>
                <w:b/>
                <w:color w:val="000000"/>
                <w:sz w:val="22"/>
                <w:szCs w:val="18"/>
              </w:rPr>
              <w:t>Programmi</w:t>
            </w:r>
          </w:p>
        </w:tc>
        <w:tc>
          <w:tcPr>
            <w:tcW w:w="6939" w:type="dxa"/>
            <w:shd w:val="clear" w:color="auto" w:fill="FABF8F"/>
          </w:tcPr>
          <w:p w:rsidR="00456002" w:rsidRPr="003410C7" w:rsidRDefault="00456002" w:rsidP="00E904F3">
            <w:pPr>
              <w:pStyle w:val="AppendixBodyText"/>
              <w:ind w:right="720"/>
              <w:jc w:val="center"/>
              <w:rPr>
                <w:rFonts w:ascii="Tahoma" w:hAnsi="Tahoma" w:cs="Tahoma"/>
                <w:b/>
                <w:color w:val="000000"/>
                <w:sz w:val="22"/>
                <w:szCs w:val="18"/>
                <w:lang w:eastAsia="ja-JP"/>
              </w:rPr>
            </w:pPr>
            <w:r w:rsidRPr="003410C7">
              <w:rPr>
                <w:rFonts w:ascii="Tahoma" w:hAnsi="Tahoma" w:cs="Tahoma"/>
                <w:b/>
                <w:color w:val="000000"/>
                <w:sz w:val="22"/>
                <w:szCs w:val="18"/>
              </w:rPr>
              <w:t>Requisiti Minimi dell</w:t>
            </w:r>
            <w:r w:rsidR="0073727D">
              <w:rPr>
                <w:rFonts w:ascii="Tahoma" w:hAnsi="Tahoma" w:cs="Tahoma"/>
                <w:b/>
                <w:color w:val="000000"/>
                <w:sz w:val="22"/>
                <w:szCs w:val="18"/>
              </w:rPr>
              <w:t>’</w:t>
            </w:r>
            <w:r w:rsidRPr="003410C7">
              <w:rPr>
                <w:rFonts w:ascii="Tahoma" w:hAnsi="Tahoma" w:cs="Tahoma"/>
                <w:b/>
                <w:color w:val="000000"/>
                <w:sz w:val="22"/>
                <w:szCs w:val="18"/>
              </w:rPr>
              <w:t>Ordine</w:t>
            </w:r>
          </w:p>
        </w:tc>
      </w:tr>
      <w:tr w:rsidR="00456002" w:rsidRPr="00DC1102" w:rsidTr="00EC5321">
        <w:tc>
          <w:tcPr>
            <w:tcW w:w="2268" w:type="dxa"/>
            <w:shd w:val="clear" w:color="auto" w:fill="auto"/>
          </w:tcPr>
          <w:p w:rsidR="00456002" w:rsidRPr="00451078" w:rsidRDefault="00456002" w:rsidP="00F5274A">
            <w:pPr>
              <w:pStyle w:val="AppendixBodyText"/>
              <w:spacing w:before="60"/>
              <w:ind w:right="720"/>
              <w:rPr>
                <w:rFonts w:ascii="Tahoma" w:hAnsi="Tahoma" w:cs="Tahoma"/>
                <w:b/>
                <w:color w:val="000000"/>
                <w:sz w:val="18"/>
                <w:szCs w:val="18"/>
                <w:lang w:val="it-IT" w:eastAsia="ja-JP"/>
              </w:rPr>
            </w:pPr>
            <w:r w:rsidRPr="00451078">
              <w:rPr>
                <w:rFonts w:ascii="Tahoma" w:hAnsi="Tahoma" w:cs="Tahoma"/>
                <w:b/>
                <w:color w:val="000000"/>
                <w:szCs w:val="18"/>
                <w:lang w:val="it-IT"/>
              </w:rPr>
              <w:t>Open License, Open Value, e</w:t>
            </w:r>
            <w:r w:rsidR="00F5274A" w:rsidRPr="00451078">
              <w:rPr>
                <w:rFonts w:ascii="Tahoma" w:hAnsi="Tahoma" w:cs="Tahoma"/>
                <w:b/>
                <w:color w:val="000000"/>
                <w:szCs w:val="18"/>
                <w:lang w:val="it-IT"/>
              </w:rPr>
              <w:t> </w:t>
            </w:r>
            <w:r w:rsidRPr="00451078">
              <w:rPr>
                <w:rFonts w:ascii="Tahoma" w:hAnsi="Tahoma" w:cs="Tahoma"/>
                <w:b/>
                <w:color w:val="000000"/>
                <w:szCs w:val="18"/>
                <w:lang w:val="it-IT"/>
              </w:rPr>
              <w:t>Open Value Subscription (per Società Commerciali ed Enti Pubblici)</w:t>
            </w:r>
          </w:p>
        </w:tc>
        <w:tc>
          <w:tcPr>
            <w:tcW w:w="6939" w:type="dxa"/>
            <w:shd w:val="clear" w:color="auto" w:fill="auto"/>
          </w:tcPr>
          <w:p w:rsidR="00456002" w:rsidRPr="00451078" w:rsidRDefault="004B6D8C" w:rsidP="00A70464">
            <w:pPr>
              <w:pStyle w:val="AppendixBodyText"/>
              <w:spacing w:before="60"/>
              <w:ind w:right="720"/>
              <w:rPr>
                <w:lang w:val="it-IT"/>
              </w:rPr>
            </w:pPr>
            <w:r w:rsidRPr="00451078">
              <w:rPr>
                <w:rFonts w:ascii="Tahoma" w:hAnsi="Tahoma" w:cs="Tahoma"/>
                <w:b/>
                <w:sz w:val="18"/>
                <w:lang w:val="it-IT"/>
              </w:rPr>
              <w:t>Licenza Open</w:t>
            </w:r>
          </w:p>
          <w:p w:rsidR="00456002" w:rsidRPr="00451078" w:rsidRDefault="00456002" w:rsidP="00E904F3">
            <w:pPr>
              <w:pStyle w:val="AppendixBodyText"/>
              <w:ind w:right="720"/>
              <w:rPr>
                <w:lang w:val="it-IT"/>
              </w:rPr>
            </w:pPr>
            <w:r w:rsidRPr="00451078">
              <w:rPr>
                <w:rFonts w:ascii="Tahoma" w:hAnsi="Tahoma" w:cs="Tahoma"/>
                <w:sz w:val="18"/>
                <w:lang w:val="it-IT"/>
              </w:rPr>
              <w:t>Open License richiede un ordine minimo di 5 licenze, 5 SA o di qualsiasi combinazione per stabilire un Numero di Autorizzazione.</w:t>
            </w:r>
            <w:r w:rsidR="00082E1C" w:rsidRPr="00451078">
              <w:rPr>
                <w:rFonts w:ascii="Tahoma" w:hAnsi="Tahoma" w:cs="Tahoma"/>
                <w:sz w:val="18"/>
                <w:lang w:val="it-IT"/>
              </w:rPr>
              <w:t xml:space="preserve"> </w:t>
            </w:r>
            <w:r w:rsidRPr="00451078">
              <w:rPr>
                <w:rFonts w:ascii="Tahoma" w:hAnsi="Tahoma" w:cs="Tahoma"/>
                <w:sz w:val="18"/>
                <w:lang w:val="it-IT"/>
              </w:rPr>
              <w:t>Ad esempio, 2</w:t>
            </w:r>
            <w:r w:rsidR="003D5478" w:rsidRPr="00451078">
              <w:rPr>
                <w:rFonts w:ascii="Tahoma" w:hAnsi="Tahoma" w:cs="Tahoma"/>
                <w:sz w:val="18"/>
                <w:lang w:val="it-IT"/>
              </w:rPr>
              <w:t> </w:t>
            </w:r>
            <w:r w:rsidRPr="00451078">
              <w:rPr>
                <w:rFonts w:ascii="Tahoma" w:hAnsi="Tahoma" w:cs="Tahoma"/>
                <w:sz w:val="18"/>
                <w:lang w:val="it-IT"/>
              </w:rPr>
              <w:t>Licenza e Software Assurance e 1 Licenza Standard soddisferebbero l</w:t>
            </w:r>
            <w:r w:rsidR="0073727D">
              <w:rPr>
                <w:rFonts w:ascii="Tahoma" w:hAnsi="Tahoma" w:cs="Tahoma"/>
                <w:sz w:val="18"/>
                <w:lang w:val="it-IT"/>
              </w:rPr>
              <w:t>’</w:t>
            </w:r>
            <w:r w:rsidRPr="00451078">
              <w:rPr>
                <w:rFonts w:ascii="Tahoma" w:hAnsi="Tahoma" w:cs="Tahoma"/>
                <w:sz w:val="18"/>
                <w:lang w:val="it-IT"/>
              </w:rPr>
              <w:t>acquisto minimo di 5 licenze richiesto per partecipare a uno o all</w:t>
            </w:r>
            <w:r w:rsidR="0073727D">
              <w:rPr>
                <w:rFonts w:ascii="Tahoma" w:hAnsi="Tahoma" w:cs="Tahoma"/>
                <w:sz w:val="18"/>
                <w:lang w:val="it-IT"/>
              </w:rPr>
              <w:t>’</w:t>
            </w:r>
            <w:r w:rsidRPr="00451078">
              <w:rPr>
                <w:rFonts w:ascii="Tahoma" w:hAnsi="Tahoma" w:cs="Tahoma"/>
                <w:sz w:val="18"/>
                <w:lang w:val="it-IT"/>
              </w:rPr>
              <w:t xml:space="preserve">altro programma. </w:t>
            </w:r>
          </w:p>
          <w:p w:rsidR="00456002" w:rsidRPr="00451078" w:rsidRDefault="00456002" w:rsidP="003E606C">
            <w:pPr>
              <w:pStyle w:val="AppendixBodyText"/>
              <w:spacing w:after="0"/>
              <w:ind w:right="720"/>
              <w:rPr>
                <w:lang w:val="it-IT"/>
              </w:rPr>
            </w:pPr>
          </w:p>
          <w:p w:rsidR="004B6D8C" w:rsidRPr="003410C7" w:rsidRDefault="00456002" w:rsidP="005C647E">
            <w:pPr>
              <w:pStyle w:val="AppendixBodyText"/>
              <w:ind w:right="720"/>
            </w:pPr>
            <w:r w:rsidRPr="003410C7">
              <w:rPr>
                <w:rFonts w:ascii="Tahoma" w:hAnsi="Tahoma" w:cs="Tahoma"/>
                <w:b/>
                <w:sz w:val="18"/>
              </w:rPr>
              <w:t>Open Value e Open Value Subscription</w:t>
            </w:r>
          </w:p>
          <w:p w:rsidR="00456002" w:rsidRPr="00451078" w:rsidRDefault="00456002" w:rsidP="005C647E">
            <w:pPr>
              <w:pStyle w:val="AppendixBodyText"/>
              <w:ind w:right="720"/>
              <w:rPr>
                <w:lang w:val="it-IT"/>
              </w:rPr>
            </w:pPr>
            <w:r w:rsidRPr="00451078">
              <w:rPr>
                <w:rFonts w:ascii="Tahoma" w:hAnsi="Tahoma" w:cs="Tahoma"/>
                <w:sz w:val="18"/>
                <w:lang w:val="it-IT"/>
              </w:rPr>
              <w:t xml:space="preserve">Open Value richiede un ordine minimo di 5 U&amp;SA, 5 L&amp;SA, 5 SA, 5 Licenze </w:t>
            </w:r>
            <w:r w:rsidR="001A3EC5" w:rsidRPr="00451078">
              <w:rPr>
                <w:rFonts w:ascii="Tahoma" w:hAnsi="Tahoma" w:cs="Tahoma"/>
                <w:sz w:val="18"/>
                <w:lang w:val="it-IT"/>
              </w:rPr>
              <w:t>“</w:t>
            </w:r>
            <w:r w:rsidRPr="00451078">
              <w:rPr>
                <w:rFonts w:ascii="Tahoma" w:hAnsi="Tahoma" w:cs="Tahoma"/>
                <w:sz w:val="18"/>
                <w:lang w:val="it-IT"/>
              </w:rPr>
              <w:t>Subscription</w:t>
            </w:r>
            <w:r w:rsidR="001A3EC5" w:rsidRPr="00451078">
              <w:rPr>
                <w:rFonts w:ascii="Tahoma" w:hAnsi="Tahoma" w:cs="Tahoma"/>
                <w:sz w:val="18"/>
                <w:lang w:val="it-IT"/>
              </w:rPr>
              <w:t>”</w:t>
            </w:r>
            <w:r w:rsidRPr="00451078">
              <w:rPr>
                <w:rFonts w:ascii="Tahoma" w:hAnsi="Tahoma" w:cs="Tahoma"/>
                <w:sz w:val="18"/>
                <w:lang w:val="it-IT"/>
              </w:rPr>
              <w:t xml:space="preserve"> o di qualsiasi combinazione per stipulare un contratto. </w:t>
            </w:r>
          </w:p>
          <w:p w:rsidR="00456002" w:rsidRPr="00451078" w:rsidRDefault="00456002" w:rsidP="003E606C">
            <w:pPr>
              <w:pStyle w:val="AppendixBodyText"/>
              <w:spacing w:after="0"/>
              <w:ind w:right="720"/>
              <w:rPr>
                <w:lang w:val="it-IT"/>
              </w:rPr>
            </w:pPr>
          </w:p>
          <w:p w:rsidR="00456002" w:rsidRPr="00451078" w:rsidRDefault="00456002" w:rsidP="00A51838">
            <w:pPr>
              <w:pStyle w:val="AppendixBodyText"/>
              <w:spacing w:after="0"/>
              <w:ind w:right="720"/>
              <w:rPr>
                <w:lang w:val="it-IT"/>
              </w:rPr>
            </w:pPr>
            <w:r w:rsidRPr="00451078">
              <w:rPr>
                <w:rFonts w:ascii="Tahoma" w:hAnsi="Tahoma" w:cs="Tahoma"/>
                <w:b/>
                <w:sz w:val="18"/>
                <w:lang w:val="it-IT"/>
              </w:rPr>
              <w:lastRenderedPageBreak/>
              <w:t>Nota:</w:t>
            </w:r>
            <w:r w:rsidRPr="00451078">
              <w:rPr>
                <w:rFonts w:ascii="Tahoma" w:hAnsi="Tahoma" w:cs="Tahoma"/>
                <w:sz w:val="18"/>
                <w:lang w:val="it-IT"/>
              </w:rPr>
              <w:t xml:space="preserve"> una licenza singola per alcuni prodotti dei programmi Open e Open Value soddisfa il requisito minimo di 5 licenze.</w:t>
            </w:r>
            <w:r w:rsidR="00082E1C" w:rsidRPr="00451078">
              <w:rPr>
                <w:rFonts w:ascii="Tahoma" w:hAnsi="Tahoma" w:cs="Tahoma"/>
                <w:sz w:val="18"/>
                <w:lang w:val="it-IT"/>
              </w:rPr>
              <w:t xml:space="preserve"> </w:t>
            </w:r>
            <w:r w:rsidRPr="00451078">
              <w:rPr>
                <w:rFonts w:ascii="Tahoma" w:hAnsi="Tahoma" w:cs="Tahoma"/>
                <w:sz w:val="18"/>
                <w:lang w:val="it-IT"/>
              </w:rPr>
              <w:t>Fare riferimento alle singole note del prodotto per determinare quali prodotti si qualificano per questa eccezione.</w:t>
            </w:r>
          </w:p>
          <w:p w:rsidR="00A51838" w:rsidRPr="00451078" w:rsidRDefault="00A51838" w:rsidP="00A51838">
            <w:pPr>
              <w:pStyle w:val="AppendixBodyText"/>
              <w:spacing w:after="0"/>
              <w:ind w:right="720"/>
              <w:rPr>
                <w:rFonts w:ascii="Tahoma" w:hAnsi="Tahoma" w:cs="Tahoma"/>
                <w:sz w:val="18"/>
                <w:lang w:val="it-IT" w:eastAsia="ja-JP"/>
              </w:rPr>
            </w:pPr>
          </w:p>
        </w:tc>
      </w:tr>
      <w:tr w:rsidR="00456002" w:rsidRPr="00DC1102" w:rsidTr="00EC5321">
        <w:tc>
          <w:tcPr>
            <w:tcW w:w="2268" w:type="dxa"/>
            <w:shd w:val="clear" w:color="auto" w:fill="auto"/>
          </w:tcPr>
          <w:p w:rsidR="00456002" w:rsidRPr="003410C7" w:rsidRDefault="00456002" w:rsidP="003D5478">
            <w:pPr>
              <w:pStyle w:val="AppendixBodyText"/>
              <w:spacing w:before="60"/>
              <w:ind w:right="720"/>
              <w:rPr>
                <w:rFonts w:ascii="Tahoma" w:hAnsi="Tahoma" w:cs="Tahoma"/>
                <w:b/>
                <w:color w:val="000000"/>
                <w:szCs w:val="18"/>
                <w:lang w:eastAsia="ja-JP"/>
              </w:rPr>
            </w:pPr>
            <w:r w:rsidRPr="003410C7">
              <w:rPr>
                <w:rFonts w:ascii="Tahoma" w:hAnsi="Tahoma" w:cs="Tahoma"/>
                <w:b/>
                <w:color w:val="000000"/>
                <w:szCs w:val="18"/>
              </w:rPr>
              <w:lastRenderedPageBreak/>
              <w:t>Open Value Subscription</w:t>
            </w:r>
            <w:r w:rsidR="003D5478">
              <w:rPr>
                <w:rFonts w:ascii="Tahoma" w:hAnsi="Tahoma" w:cs="Tahoma"/>
                <w:b/>
                <w:color w:val="000000"/>
                <w:szCs w:val="18"/>
              </w:rPr>
              <w:t> </w:t>
            </w:r>
            <w:r w:rsidRPr="003410C7">
              <w:rPr>
                <w:rFonts w:ascii="Tahoma" w:hAnsi="Tahoma" w:cs="Tahoma"/>
                <w:b/>
                <w:color w:val="000000"/>
                <w:szCs w:val="18"/>
              </w:rPr>
              <w:t>- ES</w:t>
            </w:r>
          </w:p>
        </w:tc>
        <w:tc>
          <w:tcPr>
            <w:tcW w:w="6939" w:type="dxa"/>
            <w:shd w:val="clear" w:color="auto" w:fill="auto"/>
          </w:tcPr>
          <w:p w:rsidR="00456002" w:rsidRPr="00451078" w:rsidRDefault="00456002" w:rsidP="00E904F3">
            <w:pPr>
              <w:spacing w:before="60"/>
              <w:rPr>
                <w:lang w:val="it-IT"/>
              </w:rPr>
            </w:pPr>
            <w:r w:rsidRPr="00451078">
              <w:rPr>
                <w:rFonts w:cs="Tahoma"/>
                <w:szCs w:val="18"/>
                <w:lang w:val="it-IT"/>
              </w:rPr>
              <w:t>Open Value Subscription - ES richiede che vi sia almeno un Prodotto della Piattaforma Desktop ogni 5 dell</w:t>
            </w:r>
            <w:r w:rsidR="0073727D">
              <w:rPr>
                <w:rFonts w:cs="Tahoma"/>
                <w:szCs w:val="18"/>
                <w:lang w:val="it-IT"/>
              </w:rPr>
              <w:t>’</w:t>
            </w:r>
            <w:r w:rsidRPr="00451078">
              <w:rPr>
                <w:rFonts w:cs="Tahoma"/>
                <w:szCs w:val="18"/>
                <w:lang w:val="it-IT"/>
              </w:rPr>
              <w:t>intera organizzazione OPPURE almeno un</w:t>
            </w:r>
            <w:r w:rsidR="00F5274A" w:rsidRPr="00451078">
              <w:rPr>
                <w:rFonts w:cs="Tahoma"/>
                <w:szCs w:val="18"/>
                <w:lang w:val="it-IT"/>
              </w:rPr>
              <w:t> </w:t>
            </w:r>
            <w:r w:rsidRPr="00451078">
              <w:rPr>
                <w:rFonts w:cs="Tahoma"/>
                <w:szCs w:val="18"/>
                <w:lang w:val="it-IT"/>
              </w:rPr>
              <w:t>Prodotto</w:t>
            </w:r>
            <w:r w:rsidR="003D5478" w:rsidRPr="00451078">
              <w:rPr>
                <w:rFonts w:cs="Tahoma"/>
                <w:szCs w:val="18"/>
                <w:lang w:val="it-IT"/>
              </w:rPr>
              <w:t> </w:t>
            </w:r>
            <w:r w:rsidRPr="00451078">
              <w:rPr>
                <w:rFonts w:cs="Tahoma"/>
                <w:szCs w:val="18"/>
                <w:lang w:val="it-IT"/>
              </w:rPr>
              <w:t>della Piattaforma Desktop ogni 5 Studenti.</w:t>
            </w:r>
          </w:p>
          <w:p w:rsidR="00230E01" w:rsidRPr="00451078" w:rsidRDefault="00230E01" w:rsidP="00230E01">
            <w:pPr>
              <w:rPr>
                <w:rFonts w:cs="Tahoma"/>
                <w:szCs w:val="18"/>
                <w:lang w:val="it-IT"/>
              </w:rPr>
            </w:pPr>
          </w:p>
        </w:tc>
      </w:tr>
      <w:tr w:rsidR="00456002" w:rsidRPr="00DC1102" w:rsidTr="00EC5321">
        <w:tc>
          <w:tcPr>
            <w:tcW w:w="2268" w:type="dxa"/>
            <w:shd w:val="clear" w:color="auto" w:fill="auto"/>
          </w:tcPr>
          <w:p w:rsidR="00456002" w:rsidRPr="003410C7" w:rsidRDefault="00456002" w:rsidP="00A70464">
            <w:pPr>
              <w:pStyle w:val="AppendixBodyText"/>
              <w:spacing w:before="60"/>
              <w:ind w:right="720"/>
              <w:rPr>
                <w:rFonts w:ascii="Tahoma" w:hAnsi="Tahoma" w:cs="Tahoma"/>
                <w:b/>
                <w:color w:val="000000"/>
                <w:szCs w:val="18"/>
                <w:lang w:eastAsia="ja-JP"/>
              </w:rPr>
            </w:pPr>
            <w:r w:rsidRPr="003410C7">
              <w:rPr>
                <w:rFonts w:ascii="Tahoma" w:hAnsi="Tahoma" w:cs="Tahoma"/>
                <w:b/>
                <w:color w:val="000000"/>
                <w:szCs w:val="18"/>
              </w:rPr>
              <w:t>Select</w:t>
            </w:r>
          </w:p>
        </w:tc>
        <w:tc>
          <w:tcPr>
            <w:tcW w:w="6939" w:type="dxa"/>
            <w:shd w:val="clear" w:color="auto" w:fill="auto"/>
          </w:tcPr>
          <w:p w:rsidR="00456002" w:rsidRPr="00451078" w:rsidRDefault="00456002" w:rsidP="00E904F3">
            <w:pPr>
              <w:pStyle w:val="AppendixBodyText"/>
              <w:spacing w:before="60" w:after="0"/>
              <w:ind w:right="720"/>
              <w:rPr>
                <w:lang w:val="it-IT"/>
              </w:rPr>
            </w:pPr>
            <w:r w:rsidRPr="00451078">
              <w:rPr>
                <w:rFonts w:ascii="Tahoma" w:hAnsi="Tahoma" w:cs="Tahoma"/>
                <w:color w:val="000000"/>
                <w:sz w:val="18"/>
                <w:szCs w:val="18"/>
                <w:lang w:val="it-IT"/>
              </w:rPr>
              <w:t>Select richiede un ordine minimo di 1.500 punti per gruppo per il periodo di</w:t>
            </w:r>
            <w:r w:rsidR="00F5274A" w:rsidRPr="00451078">
              <w:rPr>
                <w:rFonts w:ascii="Tahoma" w:hAnsi="Tahoma" w:cs="Tahoma"/>
                <w:color w:val="000000"/>
                <w:sz w:val="18"/>
                <w:szCs w:val="18"/>
                <w:lang w:val="it-IT"/>
              </w:rPr>
              <w:t> </w:t>
            </w:r>
            <w:r w:rsidRPr="00451078">
              <w:rPr>
                <w:rFonts w:ascii="Tahoma" w:hAnsi="Tahoma" w:cs="Tahoma"/>
                <w:color w:val="000000"/>
                <w:sz w:val="18"/>
                <w:szCs w:val="18"/>
                <w:lang w:val="it-IT"/>
              </w:rPr>
              <w:t>validità del contratto.</w:t>
            </w:r>
            <w:r w:rsidR="00082E1C" w:rsidRPr="00451078">
              <w:rPr>
                <w:rFonts w:ascii="Tahoma" w:hAnsi="Tahoma" w:cs="Tahoma"/>
                <w:color w:val="000000"/>
                <w:sz w:val="18"/>
                <w:szCs w:val="18"/>
                <w:lang w:val="it-IT"/>
              </w:rPr>
              <w:t xml:space="preserve"> </w:t>
            </w:r>
            <w:r w:rsidRPr="00451078">
              <w:rPr>
                <w:rFonts w:ascii="Tahoma" w:hAnsi="Tahoma" w:cs="Tahoma"/>
                <w:color w:val="000000"/>
                <w:sz w:val="18"/>
                <w:szCs w:val="18"/>
                <w:lang w:val="it-IT"/>
              </w:rPr>
              <w:t>È possibile ignorare i requisiti di quantità minima per l</w:t>
            </w:r>
            <w:r w:rsidR="0073727D">
              <w:rPr>
                <w:rFonts w:ascii="Tahoma" w:hAnsi="Tahoma" w:cs="Tahoma"/>
                <w:color w:val="000000"/>
                <w:sz w:val="18"/>
                <w:szCs w:val="18"/>
                <w:lang w:val="it-IT"/>
              </w:rPr>
              <w:t>’</w:t>
            </w:r>
            <w:r w:rsidRPr="00451078">
              <w:rPr>
                <w:rFonts w:ascii="Tahoma" w:hAnsi="Tahoma" w:cs="Tahoma"/>
                <w:color w:val="000000"/>
                <w:sz w:val="18"/>
                <w:szCs w:val="18"/>
                <w:lang w:val="it-IT"/>
              </w:rPr>
              <w:t>ordine nel caso in cui venga fornito un contratto qualificante.</w:t>
            </w:r>
          </w:p>
          <w:p w:rsidR="00230E01" w:rsidRPr="00451078" w:rsidRDefault="00230E01" w:rsidP="00230E01">
            <w:pPr>
              <w:pStyle w:val="AppendixBodyText"/>
              <w:spacing w:after="0"/>
              <w:ind w:right="720"/>
              <w:rPr>
                <w:rFonts w:ascii="Tahoma" w:hAnsi="Tahoma" w:cs="Tahoma"/>
                <w:color w:val="000000"/>
                <w:sz w:val="18"/>
                <w:szCs w:val="18"/>
                <w:lang w:val="it-IT" w:eastAsia="ja-JP"/>
              </w:rPr>
            </w:pPr>
          </w:p>
        </w:tc>
      </w:tr>
      <w:tr w:rsidR="00456002" w:rsidRPr="00DC1102" w:rsidTr="00EC5321">
        <w:tc>
          <w:tcPr>
            <w:tcW w:w="2268" w:type="dxa"/>
            <w:shd w:val="clear" w:color="auto" w:fill="auto"/>
          </w:tcPr>
          <w:p w:rsidR="00456002" w:rsidRPr="003410C7" w:rsidRDefault="00456002" w:rsidP="00A70464">
            <w:pPr>
              <w:pStyle w:val="AppendixBodyText"/>
              <w:spacing w:before="60"/>
              <w:ind w:right="720"/>
              <w:rPr>
                <w:rFonts w:ascii="Tahoma" w:hAnsi="Tahoma" w:cs="Tahoma"/>
                <w:b/>
                <w:color w:val="000000"/>
                <w:szCs w:val="18"/>
                <w:lang w:eastAsia="ja-JP"/>
              </w:rPr>
            </w:pPr>
            <w:r w:rsidRPr="003410C7">
              <w:rPr>
                <w:rFonts w:ascii="Tahoma" w:hAnsi="Tahoma" w:cs="Tahoma"/>
                <w:b/>
                <w:color w:val="000000"/>
                <w:szCs w:val="18"/>
              </w:rPr>
              <w:t>Select Plus</w:t>
            </w:r>
          </w:p>
        </w:tc>
        <w:tc>
          <w:tcPr>
            <w:tcW w:w="6939" w:type="dxa"/>
            <w:shd w:val="clear" w:color="auto" w:fill="auto"/>
          </w:tcPr>
          <w:p w:rsidR="00456002" w:rsidRPr="00451078" w:rsidRDefault="00456002" w:rsidP="00E904F3">
            <w:pPr>
              <w:pStyle w:val="AppendixBodyText"/>
              <w:spacing w:before="60"/>
              <w:ind w:right="720"/>
              <w:rPr>
                <w:lang w:val="it-IT"/>
              </w:rPr>
            </w:pPr>
            <w:r w:rsidRPr="007C3E32">
              <w:rPr>
                <w:rFonts w:ascii="Tahoma" w:hAnsi="Tahoma" w:cs="Tahoma"/>
                <w:color w:val="000000"/>
                <w:sz w:val="18"/>
                <w:szCs w:val="18"/>
                <w:lang w:val="it-IT"/>
              </w:rPr>
              <w:t>Select Plus richiede un ordine minimo di 500 punti per gruppo nel corso del primo anno.</w:t>
            </w:r>
            <w:r w:rsidR="00082E1C" w:rsidRPr="007C3E32">
              <w:rPr>
                <w:rFonts w:ascii="Tahoma" w:hAnsi="Tahoma" w:cs="Tahoma"/>
                <w:color w:val="000000"/>
                <w:sz w:val="18"/>
                <w:szCs w:val="18"/>
                <w:lang w:val="it-IT"/>
              </w:rPr>
              <w:t xml:space="preserve"> </w:t>
            </w:r>
            <w:r w:rsidRPr="007C3E32">
              <w:rPr>
                <w:rFonts w:ascii="Tahoma" w:hAnsi="Tahoma" w:cs="Tahoma"/>
                <w:color w:val="000000"/>
                <w:sz w:val="18"/>
                <w:szCs w:val="18"/>
                <w:lang w:val="it-IT"/>
              </w:rPr>
              <w:t>È possibile ignorare il requisito di quantità per l</w:t>
            </w:r>
            <w:r w:rsidR="0073727D">
              <w:rPr>
                <w:rFonts w:ascii="Tahoma" w:hAnsi="Tahoma" w:cs="Tahoma"/>
                <w:color w:val="000000"/>
                <w:sz w:val="18"/>
                <w:szCs w:val="18"/>
                <w:lang w:val="it-IT"/>
              </w:rPr>
              <w:t>’</w:t>
            </w:r>
            <w:r w:rsidRPr="007C3E32">
              <w:rPr>
                <w:rFonts w:ascii="Tahoma" w:hAnsi="Tahoma" w:cs="Tahoma"/>
                <w:color w:val="000000"/>
                <w:sz w:val="18"/>
                <w:szCs w:val="18"/>
                <w:lang w:val="it-IT"/>
              </w:rPr>
              <w:t>ordine nel caso in cui venga fornito un contratto qualificante.</w:t>
            </w:r>
          </w:p>
          <w:p w:rsidR="00456002" w:rsidRPr="00451078" w:rsidRDefault="00456002" w:rsidP="00A70464">
            <w:pPr>
              <w:pStyle w:val="AppendixBodyText"/>
              <w:spacing w:after="0"/>
              <w:ind w:right="720"/>
              <w:rPr>
                <w:lang w:val="it-IT"/>
              </w:rPr>
            </w:pPr>
          </w:p>
          <w:p w:rsidR="00456002" w:rsidRPr="00451078" w:rsidRDefault="00456002" w:rsidP="004B6D8C">
            <w:pPr>
              <w:spacing w:after="60"/>
              <w:rPr>
                <w:lang w:val="it-IT"/>
              </w:rPr>
            </w:pPr>
            <w:bookmarkStart w:id="666" w:name="_Toc323159727"/>
            <w:r w:rsidRPr="00451078">
              <w:rPr>
                <w:b/>
                <w:lang w:val="it-IT"/>
              </w:rPr>
              <w:t>Livelli di Prezzo in Select Plus</w:t>
            </w:r>
            <w:bookmarkEnd w:id="666"/>
          </w:p>
          <w:p w:rsidR="00456002" w:rsidRPr="00451078" w:rsidRDefault="00456002" w:rsidP="005C647E">
            <w:pPr>
              <w:rPr>
                <w:lang w:val="it-IT"/>
              </w:rPr>
            </w:pPr>
            <w:r w:rsidRPr="00451078">
              <w:rPr>
                <w:rFonts w:cs="Tahoma"/>
                <w:szCs w:val="18"/>
                <w:lang w:val="it-IT"/>
              </w:rPr>
              <w:t>La società si qualifica per il Programma Select Plus se soddisfa uno dei tre seguenti</w:t>
            </w:r>
            <w:r w:rsidR="00F5274A" w:rsidRPr="00451078">
              <w:rPr>
                <w:rFonts w:cs="Tahoma"/>
                <w:szCs w:val="18"/>
                <w:lang w:val="it-IT"/>
              </w:rPr>
              <w:t> </w:t>
            </w:r>
            <w:r w:rsidRPr="00451078">
              <w:rPr>
                <w:rFonts w:cs="Tahoma"/>
                <w:szCs w:val="18"/>
                <w:lang w:val="it-IT"/>
              </w:rPr>
              <w:t xml:space="preserve">criteri: </w:t>
            </w:r>
          </w:p>
          <w:p w:rsidR="00406CB0" w:rsidRPr="00451078" w:rsidRDefault="00406CB0" w:rsidP="00A70464">
            <w:pPr>
              <w:rPr>
                <w:lang w:val="it-IT"/>
              </w:rPr>
            </w:pPr>
          </w:p>
          <w:p w:rsidR="00456002" w:rsidRPr="00451078" w:rsidRDefault="00456002" w:rsidP="00E904F3">
            <w:pPr>
              <w:numPr>
                <w:ilvl w:val="0"/>
                <w:numId w:val="63"/>
              </w:numPr>
              <w:spacing w:after="60"/>
              <w:rPr>
                <w:lang w:val="it-IT"/>
              </w:rPr>
            </w:pPr>
            <w:r w:rsidRPr="00451078">
              <w:rPr>
                <w:lang w:val="it-IT"/>
              </w:rPr>
              <w:t>Dispone di un</w:t>
            </w:r>
            <w:r w:rsidR="0073727D">
              <w:rPr>
                <w:lang w:val="it-IT"/>
              </w:rPr>
              <w:t>’</w:t>
            </w:r>
            <w:r w:rsidRPr="00451078">
              <w:rPr>
                <w:lang w:val="it-IT"/>
              </w:rPr>
              <w:t>Iscrizione Enterprise attiva ai sensi di un Contratto Enterprise separato o di un</w:t>
            </w:r>
            <w:r w:rsidR="0073727D">
              <w:rPr>
                <w:lang w:val="it-IT"/>
              </w:rPr>
              <w:t>’</w:t>
            </w:r>
            <w:r w:rsidRPr="00451078">
              <w:rPr>
                <w:lang w:val="it-IT"/>
              </w:rPr>
              <w:t>Iscrizione Enterprise Subscription ai sensi di un contratto Enterprise Subscription (gli istituti didattici possono utilizzare un Contratto Campus o School attivo oppure un Enrollment for Education Solutions attivo quale contratto qualificante);</w:t>
            </w:r>
          </w:p>
          <w:p w:rsidR="00456002" w:rsidRPr="00451078" w:rsidRDefault="00456002" w:rsidP="00745AB3">
            <w:pPr>
              <w:numPr>
                <w:ilvl w:val="0"/>
                <w:numId w:val="63"/>
              </w:numPr>
              <w:spacing w:after="60"/>
              <w:rPr>
                <w:lang w:val="it-IT"/>
              </w:rPr>
            </w:pPr>
            <w:r w:rsidRPr="00451078">
              <w:rPr>
                <w:lang w:val="it-IT"/>
              </w:rPr>
              <w:t xml:space="preserve">Effettua un ordine iniziale che raggiunge un minimo di 500 punti per ogni pool di prodotti che la Società seleziona durante il primo anno; </w:t>
            </w:r>
          </w:p>
          <w:p w:rsidR="00456002" w:rsidRPr="00451078" w:rsidRDefault="00456002" w:rsidP="00745AB3">
            <w:pPr>
              <w:numPr>
                <w:ilvl w:val="0"/>
                <w:numId w:val="63"/>
              </w:numPr>
              <w:spacing w:after="60"/>
              <w:rPr>
                <w:lang w:val="it-IT"/>
              </w:rPr>
            </w:pPr>
            <w:r w:rsidRPr="00451078">
              <w:rPr>
                <w:lang w:val="it-IT"/>
              </w:rPr>
              <w:t>Identifica un contratto in cui l</w:t>
            </w:r>
            <w:r w:rsidR="0073727D">
              <w:rPr>
                <w:lang w:val="it-IT"/>
              </w:rPr>
              <w:t>’</w:t>
            </w:r>
            <w:r w:rsidRPr="00451078">
              <w:rPr>
                <w:lang w:val="it-IT"/>
              </w:rPr>
              <w:t>ordine minimo è stato acquistato nei 12</w:t>
            </w:r>
            <w:r w:rsidR="003D5478" w:rsidRPr="00451078">
              <w:rPr>
                <w:lang w:val="it-IT"/>
              </w:rPr>
              <w:t> </w:t>
            </w:r>
            <w:r w:rsidRPr="00451078">
              <w:rPr>
                <w:lang w:val="it-IT"/>
              </w:rPr>
              <w:t>mesi</w:t>
            </w:r>
            <w:r w:rsidR="003D5478" w:rsidRPr="00451078">
              <w:rPr>
                <w:lang w:val="it-IT"/>
              </w:rPr>
              <w:t> </w:t>
            </w:r>
            <w:r w:rsidRPr="00451078">
              <w:rPr>
                <w:lang w:val="it-IT"/>
              </w:rPr>
              <w:t>precedenti alla data di entrata in vigore del Contratto Select Plus</w:t>
            </w:r>
            <w:r w:rsidR="003D5478" w:rsidRPr="00451078">
              <w:rPr>
                <w:lang w:val="it-IT"/>
              </w:rPr>
              <w:t> </w:t>
            </w:r>
            <w:r w:rsidRPr="00451078">
              <w:rPr>
                <w:lang w:val="it-IT"/>
              </w:rPr>
              <w:t xml:space="preserve">della Società e </w:t>
            </w:r>
          </w:p>
          <w:p w:rsidR="003D5478" w:rsidRPr="00451078" w:rsidRDefault="003D5478" w:rsidP="00A70464">
            <w:pPr>
              <w:rPr>
                <w:lang w:val="it-IT"/>
              </w:rPr>
            </w:pPr>
          </w:p>
          <w:p w:rsidR="00456002" w:rsidRPr="00451078" w:rsidRDefault="00456002" w:rsidP="00E904F3">
            <w:pPr>
              <w:rPr>
                <w:lang w:val="it-IT"/>
              </w:rPr>
            </w:pPr>
            <w:r w:rsidRPr="00451078">
              <w:rPr>
                <w:rFonts w:cs="Tahoma"/>
                <w:szCs w:val="18"/>
                <w:lang w:val="it-IT"/>
              </w:rPr>
              <w:t>Per le precedenti opzioni 2 e 3, la Società deve mantenere un minimo di 500 punti in ciascun pool di prodotti scelto dalla Società all</w:t>
            </w:r>
            <w:r w:rsidR="0073727D">
              <w:rPr>
                <w:rFonts w:cs="Tahoma"/>
                <w:szCs w:val="18"/>
                <w:lang w:val="it-IT"/>
              </w:rPr>
              <w:t>’</w:t>
            </w:r>
            <w:r w:rsidRPr="00451078">
              <w:rPr>
                <w:rFonts w:cs="Tahoma"/>
                <w:szCs w:val="18"/>
                <w:lang w:val="it-IT"/>
              </w:rPr>
              <w:t xml:space="preserve">epoca della revisione. </w:t>
            </w:r>
          </w:p>
          <w:p w:rsidR="00456002" w:rsidRPr="00451078" w:rsidRDefault="00456002" w:rsidP="005C647E">
            <w:pPr>
              <w:rPr>
                <w:rFonts w:cs="Tahoma"/>
                <w:szCs w:val="18"/>
                <w:lang w:val="it-IT"/>
              </w:rPr>
            </w:pPr>
            <w:r w:rsidRPr="00451078">
              <w:rPr>
                <w:rFonts w:cs="Tahoma"/>
                <w:szCs w:val="18"/>
                <w:lang w:val="it-IT"/>
              </w:rPr>
              <w:t>I prezzi della Società sono basati su un contratto concluso tra la Società e il</w:t>
            </w:r>
            <w:r w:rsidR="00F5274A" w:rsidRPr="00451078">
              <w:rPr>
                <w:rFonts w:cs="Tahoma"/>
                <w:szCs w:val="18"/>
                <w:lang w:val="it-IT"/>
              </w:rPr>
              <w:t> </w:t>
            </w:r>
            <w:r w:rsidRPr="00451078">
              <w:rPr>
                <w:rFonts w:cs="Tahoma"/>
                <w:szCs w:val="18"/>
                <w:lang w:val="it-IT"/>
              </w:rPr>
              <w:t>suo</w:t>
            </w:r>
            <w:r w:rsidR="003D5478" w:rsidRPr="00451078">
              <w:rPr>
                <w:rFonts w:cs="Tahoma"/>
                <w:szCs w:val="18"/>
                <w:lang w:val="it-IT"/>
              </w:rPr>
              <w:t> </w:t>
            </w:r>
            <w:r w:rsidRPr="00451078">
              <w:rPr>
                <w:rFonts w:cs="Tahoma"/>
                <w:szCs w:val="18"/>
                <w:lang w:val="it-IT"/>
              </w:rPr>
              <w:t xml:space="preserve">rivenditore. Tuttavia Microsoft fornisce al rivenditore i seguenti criteri </w:t>
            </w:r>
            <w:r w:rsidR="00F5274A" w:rsidRPr="00451078">
              <w:rPr>
                <w:rFonts w:cs="Tahoma"/>
                <w:szCs w:val="18"/>
                <w:lang w:val="it-IT"/>
              </w:rPr>
              <w:t>relative </w:t>
            </w:r>
            <w:r w:rsidRPr="00451078">
              <w:rPr>
                <w:rFonts w:cs="Tahoma"/>
                <w:szCs w:val="18"/>
                <w:lang w:val="it-IT"/>
              </w:rPr>
              <w:t>ai</w:t>
            </w:r>
            <w:r w:rsidR="003D5478" w:rsidRPr="00451078">
              <w:rPr>
                <w:rFonts w:cs="Tahoma"/>
                <w:szCs w:val="18"/>
                <w:lang w:val="it-IT"/>
              </w:rPr>
              <w:t> </w:t>
            </w:r>
            <w:r w:rsidRPr="00451078">
              <w:rPr>
                <w:rFonts w:cs="Tahoma"/>
                <w:szCs w:val="18"/>
                <w:lang w:val="it-IT"/>
              </w:rPr>
              <w:t>prezzi e ai punti per aiutarlo a definire i prezzi per il cliente finale:</w:t>
            </w:r>
            <w:r w:rsidR="00082E1C" w:rsidRPr="00451078">
              <w:rPr>
                <w:rFonts w:cs="Tahoma"/>
                <w:szCs w:val="18"/>
                <w:lang w:val="it-IT"/>
              </w:rPr>
              <w:t xml:space="preserve"> </w:t>
            </w:r>
          </w:p>
          <w:p w:rsidR="003D5478" w:rsidRPr="00451078" w:rsidRDefault="003D5478" w:rsidP="005C647E">
            <w:pPr>
              <w:rPr>
                <w:rFonts w:cs="Tahoma"/>
                <w:sz w:val="12"/>
                <w:szCs w:val="18"/>
                <w:lang w:val="it-IT"/>
              </w:rPr>
            </w:pPr>
          </w:p>
          <w:tbl>
            <w:tblPr>
              <w:tblW w:w="0" w:type="auto"/>
              <w:jc w:val="center"/>
              <w:tblLayout w:type="fixed"/>
              <w:tblCellMar>
                <w:left w:w="0" w:type="dxa"/>
                <w:right w:w="0" w:type="dxa"/>
              </w:tblCellMar>
              <w:tblLook w:val="04A0" w:firstRow="1" w:lastRow="0" w:firstColumn="1" w:lastColumn="0" w:noHBand="0" w:noVBand="1"/>
            </w:tblPr>
            <w:tblGrid>
              <w:gridCol w:w="2710"/>
              <w:gridCol w:w="2817"/>
            </w:tblGrid>
            <w:tr w:rsidR="003D5478" w:rsidRPr="00DC1102" w:rsidTr="00EC5321">
              <w:trPr>
                <w:trHeight w:val="844"/>
                <w:tblHeader/>
                <w:jc w:val="center"/>
              </w:trPr>
              <w:tc>
                <w:tcPr>
                  <w:tcW w:w="2710" w:type="dxa"/>
                  <w:tcBorders>
                    <w:top w:val="single" w:sz="8" w:space="0" w:color="auto"/>
                    <w:left w:val="single" w:sz="8" w:space="0" w:color="auto"/>
                    <w:bottom w:val="single" w:sz="8" w:space="0" w:color="auto"/>
                    <w:right w:val="single" w:sz="8" w:space="0" w:color="auto"/>
                  </w:tcBorders>
                  <w:shd w:val="clear" w:color="auto" w:fill="FABF8F"/>
                  <w:tcMar>
                    <w:top w:w="0" w:type="dxa"/>
                    <w:left w:w="108" w:type="dxa"/>
                    <w:bottom w:w="0" w:type="dxa"/>
                    <w:right w:w="108" w:type="dxa"/>
                  </w:tcMar>
                  <w:vAlign w:val="center"/>
                  <w:hideMark/>
                </w:tcPr>
                <w:p w:rsidR="003D5478" w:rsidRPr="00451078" w:rsidRDefault="003D5478" w:rsidP="001A3EC5">
                  <w:pPr>
                    <w:jc w:val="center"/>
                    <w:rPr>
                      <w:rFonts w:cs="Tahoma"/>
                      <w:b/>
                      <w:sz w:val="20"/>
                      <w:szCs w:val="18"/>
                      <w:lang w:val="it-IT"/>
                    </w:rPr>
                  </w:pPr>
                  <w:r w:rsidRPr="00451078">
                    <w:rPr>
                      <w:rFonts w:cs="Tahoma"/>
                      <w:b/>
                      <w:sz w:val="20"/>
                      <w:szCs w:val="18"/>
                      <w:lang w:val="it-IT"/>
                    </w:rPr>
                    <w:t>Livello di Prezzo in</w:t>
                  </w:r>
                  <w:r w:rsidR="001A3EC5" w:rsidRPr="00451078">
                    <w:rPr>
                      <w:rFonts w:cs="Tahoma"/>
                      <w:b/>
                      <w:sz w:val="20"/>
                      <w:szCs w:val="18"/>
                      <w:lang w:val="it-IT"/>
                    </w:rPr>
                    <w:t> </w:t>
                  </w:r>
                  <w:r w:rsidRPr="00451078">
                    <w:rPr>
                      <w:rFonts w:cs="Tahoma"/>
                      <w:b/>
                      <w:sz w:val="20"/>
                      <w:szCs w:val="18"/>
                      <w:lang w:val="it-IT"/>
                    </w:rPr>
                    <w:t>Select Plus - Commerciale</w:t>
                  </w:r>
                </w:p>
              </w:tc>
              <w:tc>
                <w:tcPr>
                  <w:tcW w:w="2817" w:type="dxa"/>
                  <w:tcBorders>
                    <w:top w:val="single" w:sz="8" w:space="0" w:color="auto"/>
                    <w:left w:val="nil"/>
                    <w:bottom w:val="single" w:sz="8" w:space="0" w:color="auto"/>
                    <w:right w:val="single" w:sz="8" w:space="0" w:color="auto"/>
                  </w:tcBorders>
                  <w:shd w:val="clear" w:color="auto" w:fill="FABF8F"/>
                  <w:tcMar>
                    <w:top w:w="0" w:type="dxa"/>
                    <w:left w:w="108" w:type="dxa"/>
                    <w:bottom w:w="0" w:type="dxa"/>
                    <w:right w:w="108" w:type="dxa"/>
                  </w:tcMar>
                  <w:vAlign w:val="center"/>
                  <w:hideMark/>
                </w:tcPr>
                <w:p w:rsidR="003D5478" w:rsidRPr="00451078" w:rsidRDefault="003D5478" w:rsidP="001A3EC5">
                  <w:pPr>
                    <w:jc w:val="center"/>
                    <w:rPr>
                      <w:rFonts w:cs="Tahoma"/>
                      <w:b/>
                      <w:sz w:val="20"/>
                      <w:szCs w:val="18"/>
                      <w:lang w:val="it-IT"/>
                    </w:rPr>
                  </w:pPr>
                  <w:r w:rsidRPr="00451078">
                    <w:rPr>
                      <w:rFonts w:cs="Tahoma"/>
                      <w:b/>
                      <w:sz w:val="20"/>
                      <w:szCs w:val="18"/>
                      <w:lang w:val="it-IT"/>
                    </w:rPr>
                    <w:t>Minimo Punti Annuali per</w:t>
                  </w:r>
                  <w:r w:rsidR="001A3EC5" w:rsidRPr="00451078">
                    <w:rPr>
                      <w:rFonts w:cs="Tahoma"/>
                      <w:b/>
                      <w:sz w:val="20"/>
                      <w:szCs w:val="18"/>
                      <w:lang w:val="it-IT"/>
                    </w:rPr>
                    <w:t> </w:t>
                  </w:r>
                  <w:r w:rsidRPr="00451078">
                    <w:rPr>
                      <w:rFonts w:cs="Tahoma"/>
                      <w:b/>
                      <w:sz w:val="20"/>
                      <w:szCs w:val="18"/>
                      <w:lang w:val="it-IT"/>
                    </w:rPr>
                    <w:t>Pool</w:t>
                  </w:r>
                </w:p>
              </w:tc>
            </w:tr>
            <w:tr w:rsidR="003D5478" w:rsidRPr="00DC1102" w:rsidTr="00EC5321">
              <w:trPr>
                <w:trHeight w:hRule="exact" w:val="389"/>
                <w:jc w:val="center"/>
              </w:trPr>
              <w:tc>
                <w:tcPr>
                  <w:tcW w:w="2710" w:type="dxa"/>
                  <w:tcBorders>
                    <w:top w:val="single" w:sz="8" w:space="0" w:color="auto"/>
                    <w:left w:val="single" w:sz="8" w:space="0" w:color="auto"/>
                    <w:bottom w:val="single" w:sz="8" w:space="0" w:color="auto"/>
                    <w:right w:val="single" w:sz="8" w:space="0" w:color="auto"/>
                  </w:tcBorders>
                  <w:shd w:val="clear" w:color="auto" w:fill="auto"/>
                  <w:tcMar>
                    <w:top w:w="0" w:type="dxa"/>
                    <w:left w:w="108" w:type="dxa"/>
                    <w:bottom w:w="0" w:type="dxa"/>
                    <w:right w:w="108" w:type="dxa"/>
                  </w:tcMar>
                  <w:vAlign w:val="center"/>
                  <w:hideMark/>
                </w:tcPr>
                <w:p w:rsidR="003D5478" w:rsidRPr="00451078" w:rsidRDefault="003D5478" w:rsidP="00446EC1">
                  <w:pPr>
                    <w:jc w:val="center"/>
                    <w:rPr>
                      <w:rFonts w:cs="Tahoma"/>
                      <w:szCs w:val="18"/>
                      <w:lang w:val="it-IT"/>
                    </w:rPr>
                  </w:pPr>
                  <w:r w:rsidRPr="00451078">
                    <w:rPr>
                      <w:rFonts w:cs="Tahoma"/>
                      <w:szCs w:val="18"/>
                      <w:lang w:val="it-IT"/>
                    </w:rPr>
                    <w:t>A</w:t>
                  </w:r>
                </w:p>
              </w:tc>
              <w:tc>
                <w:tcPr>
                  <w:tcW w:w="2817" w:type="dxa"/>
                  <w:tcBorders>
                    <w:top w:val="single" w:sz="8" w:space="0" w:color="auto"/>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rsidR="003D5478" w:rsidRPr="00451078" w:rsidRDefault="003D5478" w:rsidP="00446EC1">
                  <w:pPr>
                    <w:jc w:val="center"/>
                    <w:rPr>
                      <w:rFonts w:cs="Tahoma"/>
                      <w:szCs w:val="18"/>
                      <w:lang w:val="it-IT"/>
                    </w:rPr>
                  </w:pPr>
                  <w:r w:rsidRPr="00451078">
                    <w:rPr>
                      <w:rFonts w:cs="Tahoma"/>
                      <w:szCs w:val="18"/>
                      <w:lang w:val="it-IT"/>
                    </w:rPr>
                    <w:t>500</w:t>
                  </w:r>
                </w:p>
              </w:tc>
            </w:tr>
            <w:tr w:rsidR="003D5478" w:rsidRPr="00DC1102" w:rsidTr="00EC5321">
              <w:trPr>
                <w:trHeight w:hRule="exact" w:val="389"/>
                <w:jc w:val="center"/>
              </w:trPr>
              <w:tc>
                <w:tcPr>
                  <w:tcW w:w="2710" w:type="dxa"/>
                  <w:tcBorders>
                    <w:top w:val="single" w:sz="8" w:space="0" w:color="auto"/>
                    <w:left w:val="single" w:sz="8" w:space="0" w:color="auto"/>
                    <w:bottom w:val="single" w:sz="8" w:space="0" w:color="auto"/>
                    <w:right w:val="single" w:sz="8" w:space="0" w:color="auto"/>
                  </w:tcBorders>
                  <w:shd w:val="clear" w:color="auto" w:fill="auto"/>
                  <w:tcMar>
                    <w:top w:w="0" w:type="dxa"/>
                    <w:left w:w="108" w:type="dxa"/>
                    <w:bottom w:w="0" w:type="dxa"/>
                    <w:right w:w="108" w:type="dxa"/>
                  </w:tcMar>
                  <w:vAlign w:val="center"/>
                  <w:hideMark/>
                </w:tcPr>
                <w:p w:rsidR="003D5478" w:rsidRPr="00451078" w:rsidRDefault="003D5478" w:rsidP="00446EC1">
                  <w:pPr>
                    <w:jc w:val="center"/>
                    <w:rPr>
                      <w:rFonts w:cs="Tahoma"/>
                      <w:szCs w:val="18"/>
                      <w:lang w:val="it-IT"/>
                    </w:rPr>
                  </w:pPr>
                  <w:r w:rsidRPr="00451078">
                    <w:rPr>
                      <w:rFonts w:cs="Tahoma"/>
                      <w:szCs w:val="18"/>
                      <w:lang w:val="it-IT"/>
                    </w:rPr>
                    <w:t>B</w:t>
                  </w:r>
                </w:p>
              </w:tc>
              <w:tc>
                <w:tcPr>
                  <w:tcW w:w="2817" w:type="dxa"/>
                  <w:tcBorders>
                    <w:top w:val="single" w:sz="8" w:space="0" w:color="auto"/>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rsidR="003D5478" w:rsidRPr="00451078" w:rsidRDefault="00F5274A" w:rsidP="00446EC1">
                  <w:pPr>
                    <w:jc w:val="center"/>
                    <w:rPr>
                      <w:rFonts w:cs="Tahoma"/>
                      <w:szCs w:val="18"/>
                      <w:lang w:val="it-IT"/>
                    </w:rPr>
                  </w:pPr>
                  <w:r w:rsidRPr="00451078">
                    <w:rPr>
                      <w:rFonts w:cs="Tahoma"/>
                      <w:szCs w:val="18"/>
                      <w:lang w:val="it-IT"/>
                    </w:rPr>
                    <w:t>4.</w:t>
                  </w:r>
                  <w:r w:rsidR="003D5478" w:rsidRPr="00451078">
                    <w:rPr>
                      <w:rFonts w:cs="Tahoma"/>
                      <w:szCs w:val="18"/>
                      <w:lang w:val="it-IT"/>
                    </w:rPr>
                    <w:t>000</w:t>
                  </w:r>
                </w:p>
              </w:tc>
            </w:tr>
            <w:tr w:rsidR="003D5478" w:rsidRPr="00DC1102" w:rsidTr="00EC5321">
              <w:trPr>
                <w:trHeight w:hRule="exact" w:val="389"/>
                <w:jc w:val="center"/>
              </w:trPr>
              <w:tc>
                <w:tcPr>
                  <w:tcW w:w="2710" w:type="dxa"/>
                  <w:tcBorders>
                    <w:top w:val="single" w:sz="8" w:space="0" w:color="auto"/>
                    <w:left w:val="single" w:sz="8" w:space="0" w:color="auto"/>
                    <w:bottom w:val="single" w:sz="8" w:space="0" w:color="auto"/>
                    <w:right w:val="single" w:sz="8" w:space="0" w:color="auto"/>
                  </w:tcBorders>
                  <w:shd w:val="clear" w:color="auto" w:fill="auto"/>
                  <w:tcMar>
                    <w:top w:w="0" w:type="dxa"/>
                    <w:left w:w="108" w:type="dxa"/>
                    <w:bottom w:w="0" w:type="dxa"/>
                    <w:right w:w="108" w:type="dxa"/>
                  </w:tcMar>
                  <w:vAlign w:val="center"/>
                  <w:hideMark/>
                </w:tcPr>
                <w:p w:rsidR="003D5478" w:rsidRPr="00451078" w:rsidRDefault="003D5478" w:rsidP="00446EC1">
                  <w:pPr>
                    <w:jc w:val="center"/>
                    <w:rPr>
                      <w:rFonts w:cs="Tahoma"/>
                      <w:szCs w:val="18"/>
                      <w:lang w:val="it-IT"/>
                    </w:rPr>
                  </w:pPr>
                  <w:r w:rsidRPr="00451078">
                    <w:rPr>
                      <w:rFonts w:cs="Tahoma"/>
                      <w:szCs w:val="18"/>
                      <w:lang w:val="it-IT"/>
                    </w:rPr>
                    <w:t>C</w:t>
                  </w:r>
                </w:p>
              </w:tc>
              <w:tc>
                <w:tcPr>
                  <w:tcW w:w="2817" w:type="dxa"/>
                  <w:tcBorders>
                    <w:top w:val="single" w:sz="8" w:space="0" w:color="auto"/>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rsidR="003D5478" w:rsidRPr="00451078" w:rsidRDefault="00F5274A" w:rsidP="00446EC1">
                  <w:pPr>
                    <w:jc w:val="center"/>
                    <w:rPr>
                      <w:rFonts w:cs="Tahoma"/>
                      <w:szCs w:val="18"/>
                      <w:lang w:val="it-IT"/>
                    </w:rPr>
                  </w:pPr>
                  <w:r w:rsidRPr="00451078">
                    <w:rPr>
                      <w:rFonts w:cs="Tahoma"/>
                      <w:szCs w:val="18"/>
                      <w:lang w:val="it-IT"/>
                    </w:rPr>
                    <w:t>10.</w:t>
                  </w:r>
                  <w:r w:rsidR="003D5478" w:rsidRPr="00451078">
                    <w:rPr>
                      <w:rFonts w:cs="Tahoma"/>
                      <w:szCs w:val="18"/>
                      <w:lang w:val="it-IT"/>
                    </w:rPr>
                    <w:t>000</w:t>
                  </w:r>
                </w:p>
              </w:tc>
            </w:tr>
            <w:tr w:rsidR="003D5478" w:rsidRPr="00DC1102" w:rsidTr="00EC5321">
              <w:trPr>
                <w:trHeight w:hRule="exact" w:val="389"/>
                <w:jc w:val="center"/>
              </w:trPr>
              <w:tc>
                <w:tcPr>
                  <w:tcW w:w="2710" w:type="dxa"/>
                  <w:tcBorders>
                    <w:top w:val="single" w:sz="8" w:space="0" w:color="auto"/>
                    <w:left w:val="single" w:sz="8" w:space="0" w:color="auto"/>
                    <w:bottom w:val="single" w:sz="8" w:space="0" w:color="auto"/>
                    <w:right w:val="single" w:sz="8" w:space="0" w:color="auto"/>
                  </w:tcBorders>
                  <w:shd w:val="clear" w:color="auto" w:fill="auto"/>
                  <w:tcMar>
                    <w:top w:w="0" w:type="dxa"/>
                    <w:left w:w="108" w:type="dxa"/>
                    <w:bottom w:w="0" w:type="dxa"/>
                    <w:right w:w="108" w:type="dxa"/>
                  </w:tcMar>
                  <w:vAlign w:val="center"/>
                  <w:hideMark/>
                </w:tcPr>
                <w:p w:rsidR="003D5478" w:rsidRPr="00451078" w:rsidRDefault="003D5478" w:rsidP="00446EC1">
                  <w:pPr>
                    <w:jc w:val="center"/>
                    <w:rPr>
                      <w:rFonts w:cs="Tahoma"/>
                      <w:szCs w:val="18"/>
                      <w:lang w:val="it-IT"/>
                    </w:rPr>
                  </w:pPr>
                  <w:r w:rsidRPr="00451078">
                    <w:rPr>
                      <w:rFonts w:cs="Tahoma"/>
                      <w:szCs w:val="18"/>
                      <w:lang w:val="it-IT"/>
                    </w:rPr>
                    <w:t>D</w:t>
                  </w:r>
                </w:p>
              </w:tc>
              <w:tc>
                <w:tcPr>
                  <w:tcW w:w="2817" w:type="dxa"/>
                  <w:tcBorders>
                    <w:top w:val="single" w:sz="8" w:space="0" w:color="auto"/>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rsidR="003D5478" w:rsidRPr="00451078" w:rsidRDefault="00F5274A" w:rsidP="00446EC1">
                  <w:pPr>
                    <w:jc w:val="center"/>
                    <w:rPr>
                      <w:rFonts w:cs="Tahoma"/>
                      <w:szCs w:val="18"/>
                      <w:lang w:val="it-IT"/>
                    </w:rPr>
                  </w:pPr>
                  <w:r w:rsidRPr="00451078">
                    <w:rPr>
                      <w:rFonts w:cs="Tahoma"/>
                      <w:szCs w:val="18"/>
                      <w:lang w:val="it-IT"/>
                    </w:rPr>
                    <w:t>25.</w:t>
                  </w:r>
                  <w:r w:rsidR="003D5478" w:rsidRPr="00451078">
                    <w:rPr>
                      <w:rFonts w:cs="Tahoma"/>
                      <w:szCs w:val="18"/>
                      <w:lang w:val="it-IT"/>
                    </w:rPr>
                    <w:t>000</w:t>
                  </w:r>
                </w:p>
              </w:tc>
            </w:tr>
          </w:tbl>
          <w:p w:rsidR="00456002" w:rsidRPr="00451078" w:rsidRDefault="00AF68D4" w:rsidP="00E904F3">
            <w:pPr>
              <w:pStyle w:val="AppendixBodyText"/>
              <w:spacing w:after="0"/>
              <w:ind w:left="605" w:right="720"/>
              <w:rPr>
                <w:lang w:val="it-IT"/>
              </w:rPr>
            </w:pPr>
            <w:r w:rsidRPr="00451078">
              <w:rPr>
                <w:rFonts w:ascii="Tahoma" w:hAnsi="Tahoma" w:cs="Times New Roman"/>
                <w:i/>
                <w:sz w:val="16"/>
                <w:lang w:val="it-IT"/>
              </w:rPr>
              <w:t xml:space="preserve">Nota: qualsiasi punto </w:t>
            </w:r>
            <w:r w:rsidRPr="00451078">
              <w:rPr>
                <w:rFonts w:ascii="Tahoma" w:hAnsi="Tahoma" w:cs="Times New Roman"/>
                <w:i/>
                <w:sz w:val="16"/>
                <w:lang w:val="it-IT" w:eastAsia="x-none"/>
              </w:rPr>
              <w:t>che</w:t>
            </w:r>
            <w:r w:rsidRPr="00451078">
              <w:rPr>
                <w:rFonts w:ascii="Tahoma" w:hAnsi="Tahoma" w:cs="Times New Roman"/>
                <w:i/>
                <w:sz w:val="16"/>
                <w:lang w:val="it-IT"/>
              </w:rPr>
              <w:t xml:space="preserve"> la società ha in eccesso rispetto al livello minimo di prezzo verrà riportato all</w:t>
            </w:r>
            <w:r w:rsidR="0073727D">
              <w:rPr>
                <w:rFonts w:ascii="Tahoma" w:hAnsi="Tahoma" w:cs="Times New Roman"/>
                <w:i/>
                <w:sz w:val="16"/>
                <w:lang w:val="it-IT"/>
              </w:rPr>
              <w:t>’</w:t>
            </w:r>
            <w:r w:rsidRPr="00451078">
              <w:rPr>
                <w:rFonts w:ascii="Tahoma" w:hAnsi="Tahoma" w:cs="Times New Roman"/>
                <w:i/>
                <w:sz w:val="16"/>
                <w:lang w:val="it-IT"/>
              </w:rPr>
              <w:t>anno successivo per il controllo della conformità di tale anno. Ad esempio, qualora la società abbia 4.500 punti al momento del controllo annuale della conformità, 500 punti verranno riportati all</w:t>
            </w:r>
            <w:r w:rsidR="0073727D">
              <w:rPr>
                <w:rFonts w:ascii="Tahoma" w:hAnsi="Tahoma" w:cs="Times New Roman"/>
                <w:i/>
                <w:sz w:val="16"/>
                <w:lang w:val="it-IT"/>
              </w:rPr>
              <w:t>’</w:t>
            </w:r>
            <w:r w:rsidRPr="00451078">
              <w:rPr>
                <w:rFonts w:ascii="Tahoma" w:hAnsi="Tahoma" w:cs="Times New Roman"/>
                <w:i/>
                <w:sz w:val="16"/>
                <w:lang w:val="it-IT"/>
              </w:rPr>
              <w:t>anno successivo per essere utilizzati per la conformità di quell</w:t>
            </w:r>
            <w:r w:rsidR="0073727D">
              <w:rPr>
                <w:rFonts w:ascii="Tahoma" w:hAnsi="Tahoma" w:cs="Times New Roman"/>
                <w:i/>
                <w:sz w:val="16"/>
                <w:lang w:val="it-IT"/>
              </w:rPr>
              <w:t>’</w:t>
            </w:r>
            <w:r w:rsidRPr="00451078">
              <w:rPr>
                <w:rFonts w:ascii="Tahoma" w:hAnsi="Tahoma" w:cs="Times New Roman"/>
                <w:i/>
                <w:sz w:val="16"/>
                <w:lang w:val="it-IT"/>
              </w:rPr>
              <w:t>anno.</w:t>
            </w:r>
          </w:p>
          <w:p w:rsidR="00230E01" w:rsidRDefault="00230E01" w:rsidP="00230E01">
            <w:pPr>
              <w:pStyle w:val="AppendixBodyText"/>
              <w:spacing w:after="0"/>
              <w:ind w:left="605" w:right="720"/>
              <w:rPr>
                <w:rFonts w:ascii="Tahoma" w:hAnsi="Tahoma" w:cs="Tahoma"/>
                <w:color w:val="000000"/>
                <w:sz w:val="18"/>
                <w:szCs w:val="18"/>
                <w:lang w:val="it-IT" w:eastAsia="ja-JP"/>
              </w:rPr>
            </w:pPr>
          </w:p>
          <w:p w:rsidR="003526FB" w:rsidRPr="00451078" w:rsidRDefault="003526FB" w:rsidP="00230E01">
            <w:pPr>
              <w:pStyle w:val="AppendixBodyText"/>
              <w:spacing w:after="0"/>
              <w:ind w:left="605" w:right="720"/>
              <w:rPr>
                <w:rFonts w:ascii="Tahoma" w:hAnsi="Tahoma" w:cs="Tahoma"/>
                <w:color w:val="000000"/>
                <w:sz w:val="18"/>
                <w:szCs w:val="18"/>
                <w:lang w:val="it-IT" w:eastAsia="ja-JP"/>
              </w:rPr>
            </w:pPr>
          </w:p>
        </w:tc>
      </w:tr>
      <w:tr w:rsidR="00456002" w:rsidRPr="00DC1102" w:rsidTr="00EC5321">
        <w:tc>
          <w:tcPr>
            <w:tcW w:w="2268" w:type="dxa"/>
            <w:shd w:val="clear" w:color="auto" w:fill="auto"/>
          </w:tcPr>
          <w:p w:rsidR="00456002" w:rsidRPr="003410C7" w:rsidRDefault="00456002" w:rsidP="00A70464">
            <w:pPr>
              <w:pStyle w:val="AppendixBodyText"/>
              <w:spacing w:before="60"/>
              <w:ind w:right="720"/>
              <w:rPr>
                <w:rFonts w:ascii="Tahoma" w:hAnsi="Tahoma" w:cs="Tahoma"/>
                <w:b/>
                <w:color w:val="000000"/>
                <w:szCs w:val="18"/>
                <w:lang w:eastAsia="ja-JP"/>
              </w:rPr>
            </w:pPr>
            <w:r w:rsidRPr="003410C7">
              <w:rPr>
                <w:rFonts w:ascii="Tahoma" w:hAnsi="Tahoma" w:cs="Tahoma"/>
                <w:b/>
                <w:color w:val="000000"/>
                <w:szCs w:val="18"/>
              </w:rPr>
              <w:lastRenderedPageBreak/>
              <w:t>School</w:t>
            </w:r>
          </w:p>
        </w:tc>
        <w:tc>
          <w:tcPr>
            <w:tcW w:w="6939" w:type="dxa"/>
            <w:shd w:val="clear" w:color="auto" w:fill="auto"/>
          </w:tcPr>
          <w:p w:rsidR="00456002" w:rsidRPr="00451078" w:rsidRDefault="00456002" w:rsidP="00E904F3">
            <w:pPr>
              <w:pStyle w:val="AppendixBodyText"/>
              <w:spacing w:before="60"/>
              <w:ind w:right="18"/>
              <w:rPr>
                <w:lang w:val="it-IT"/>
              </w:rPr>
            </w:pPr>
            <w:r w:rsidRPr="00451078">
              <w:rPr>
                <w:rFonts w:ascii="Tahoma" w:hAnsi="Tahoma" w:cs="Tahoma"/>
                <w:sz w:val="18"/>
                <w:lang w:val="it-IT"/>
              </w:rPr>
              <w:t>Il Contratto School</w:t>
            </w:r>
            <w:r w:rsidRPr="00451078">
              <w:rPr>
                <w:rFonts w:ascii="Tahoma" w:hAnsi="Tahoma" w:cs="Tahoma"/>
                <w:b/>
                <w:sz w:val="18"/>
                <w:lang w:val="it-IT"/>
              </w:rPr>
              <w:t xml:space="preserve"> </w:t>
            </w:r>
            <w:r w:rsidRPr="00451078">
              <w:rPr>
                <w:rFonts w:ascii="Tahoma" w:hAnsi="Tahoma" w:cs="Tahoma"/>
                <w:sz w:val="18"/>
                <w:lang w:val="it-IT"/>
              </w:rPr>
              <w:t>richiede un ordine minimo di 300 unità.</w:t>
            </w:r>
            <w:r w:rsidR="00082E1C" w:rsidRPr="00451078">
              <w:rPr>
                <w:rFonts w:ascii="Tahoma" w:hAnsi="Tahoma" w:cs="Tahoma"/>
                <w:sz w:val="18"/>
                <w:lang w:val="it-IT"/>
              </w:rPr>
              <w:t xml:space="preserve"> </w:t>
            </w:r>
            <w:r w:rsidRPr="00451078">
              <w:rPr>
                <w:rFonts w:ascii="Tahoma" w:hAnsi="Tahoma" w:cs="Tahoma"/>
                <w:sz w:val="18"/>
                <w:lang w:val="it-IT"/>
              </w:rPr>
              <w:t>Le unità sono</w:t>
            </w:r>
            <w:r w:rsidR="003D5478" w:rsidRPr="00451078">
              <w:rPr>
                <w:rFonts w:ascii="Tahoma" w:hAnsi="Tahoma" w:cs="Tahoma"/>
                <w:sz w:val="18"/>
                <w:lang w:val="it-IT"/>
              </w:rPr>
              <w:t> </w:t>
            </w:r>
            <w:r w:rsidRPr="00451078">
              <w:rPr>
                <w:rFonts w:ascii="Tahoma" w:hAnsi="Tahoma" w:cs="Tahoma"/>
                <w:sz w:val="18"/>
                <w:lang w:val="it-IT"/>
              </w:rPr>
              <w:t>determinate moltiplicando il numero totale di applicazioni, sistemi e</w:t>
            </w:r>
            <w:r w:rsidR="003D5478" w:rsidRPr="00451078">
              <w:rPr>
                <w:rFonts w:ascii="Tahoma" w:hAnsi="Tahoma" w:cs="Tahoma"/>
                <w:sz w:val="18"/>
                <w:lang w:val="it-IT"/>
              </w:rPr>
              <w:t> </w:t>
            </w:r>
            <w:r w:rsidRPr="00451078">
              <w:rPr>
                <w:rFonts w:ascii="Tahoma" w:hAnsi="Tahoma" w:cs="Tahoma"/>
                <w:sz w:val="18"/>
                <w:lang w:val="it-IT"/>
              </w:rPr>
              <w:t>CAL</w:t>
            </w:r>
            <w:r w:rsidR="003D5478" w:rsidRPr="00451078">
              <w:rPr>
                <w:rFonts w:ascii="Tahoma" w:hAnsi="Tahoma" w:cs="Tahoma"/>
                <w:sz w:val="18"/>
                <w:lang w:val="it-IT"/>
              </w:rPr>
              <w:t> </w:t>
            </w:r>
            <w:r w:rsidRPr="00451078">
              <w:rPr>
                <w:rFonts w:ascii="Tahoma" w:hAnsi="Tahoma" w:cs="Tahoma"/>
                <w:sz w:val="18"/>
                <w:lang w:val="it-IT"/>
              </w:rPr>
              <w:t>selezionati per il numero totale di PC idonei o di Personale non docente/FTE idoneo. Il requisito minimo di ordine potrà variare in base</w:t>
            </w:r>
            <w:r w:rsidR="003D5478" w:rsidRPr="00451078">
              <w:rPr>
                <w:rFonts w:ascii="Tahoma" w:hAnsi="Tahoma" w:cs="Tahoma"/>
                <w:sz w:val="18"/>
                <w:lang w:val="it-IT"/>
              </w:rPr>
              <w:t> </w:t>
            </w:r>
            <w:r w:rsidRPr="00451078">
              <w:rPr>
                <w:rFonts w:ascii="Tahoma" w:hAnsi="Tahoma" w:cs="Tahoma"/>
                <w:sz w:val="18"/>
                <w:lang w:val="it-IT"/>
              </w:rPr>
              <w:t>all</w:t>
            </w:r>
            <w:r w:rsidR="0073727D">
              <w:rPr>
                <w:rFonts w:ascii="Tahoma" w:hAnsi="Tahoma" w:cs="Tahoma"/>
                <w:sz w:val="18"/>
                <w:lang w:val="it-IT"/>
              </w:rPr>
              <w:t>’</w:t>
            </w:r>
            <w:r w:rsidRPr="00451078">
              <w:rPr>
                <w:rFonts w:ascii="Tahoma" w:hAnsi="Tahoma" w:cs="Tahoma"/>
                <w:sz w:val="18"/>
                <w:lang w:val="it-IT"/>
              </w:rPr>
              <w:t>area geografica.</w:t>
            </w:r>
          </w:p>
          <w:p w:rsidR="00406CB0" w:rsidRPr="00451078" w:rsidRDefault="00406CB0" w:rsidP="00874016">
            <w:pPr>
              <w:pStyle w:val="AppendixBodyText"/>
              <w:spacing w:after="0" w:line="200" w:lineRule="exact"/>
              <w:ind w:right="720"/>
              <w:rPr>
                <w:lang w:val="it-IT"/>
              </w:rPr>
            </w:pPr>
          </w:p>
          <w:p w:rsidR="00456002" w:rsidRPr="00451078" w:rsidRDefault="00456002" w:rsidP="00230E01">
            <w:pPr>
              <w:tabs>
                <w:tab w:val="left" w:pos="8640"/>
              </w:tabs>
              <w:ind w:right="720"/>
              <w:rPr>
                <w:lang w:val="it-IT"/>
              </w:rPr>
            </w:pPr>
            <w:r w:rsidRPr="00451078">
              <w:rPr>
                <w:rFonts w:cs="Tahoma"/>
                <w:b/>
                <w:bCs/>
                <w:color w:val="000000"/>
                <w:szCs w:val="20"/>
                <w:lang w:val="it-IT"/>
              </w:rPr>
              <w:t>Nota:</w:t>
            </w:r>
            <w:r w:rsidRPr="00451078">
              <w:rPr>
                <w:rFonts w:cs="Tahoma"/>
                <w:color w:val="000000"/>
                <w:szCs w:val="20"/>
                <w:lang w:val="it-IT"/>
              </w:rPr>
              <w:t xml:space="preserve"> Le società in possesso del Contratto School non sono idonee a scegliere prodotti applicativi, di sistema, con Licenza </w:t>
            </w:r>
            <w:r w:rsidR="001A3EC5" w:rsidRPr="00451078">
              <w:rPr>
                <w:rFonts w:cs="Tahoma"/>
                <w:color w:val="000000"/>
                <w:szCs w:val="20"/>
                <w:lang w:val="it-IT"/>
              </w:rPr>
              <w:t>“</w:t>
            </w:r>
            <w:r w:rsidRPr="00451078">
              <w:rPr>
                <w:rFonts w:cs="Tahoma"/>
                <w:color w:val="000000"/>
                <w:szCs w:val="20"/>
                <w:lang w:val="it-IT"/>
              </w:rPr>
              <w:t>Subscription</w:t>
            </w:r>
            <w:r w:rsidR="001A3EC5" w:rsidRPr="00451078">
              <w:rPr>
                <w:rFonts w:cs="Tahoma"/>
                <w:color w:val="000000"/>
                <w:szCs w:val="20"/>
                <w:lang w:val="it-IT"/>
              </w:rPr>
              <w:t>”</w:t>
            </w:r>
            <w:r w:rsidRPr="00451078">
              <w:rPr>
                <w:rFonts w:cs="Tahoma"/>
                <w:color w:val="000000"/>
                <w:szCs w:val="20"/>
                <w:lang w:val="it-IT"/>
              </w:rPr>
              <w:t xml:space="preserve"> (utente/dispositivo) e CAL solo per una parte dei PC inclusi nella sottoscrizione, </w:t>
            </w:r>
            <w:r w:rsidRPr="00451078">
              <w:rPr>
                <w:rFonts w:cs="Tahoma"/>
                <w:color w:val="000000"/>
                <w:szCs w:val="18"/>
                <w:lang w:val="it-IT"/>
              </w:rPr>
              <w:t>se non dichiarato espressamente nelle Note relative alle Condizioni del Prodotto contenute nella Lista dei Prodotti</w:t>
            </w:r>
            <w:r w:rsidRPr="00451078">
              <w:rPr>
                <w:rFonts w:cs="Tahoma"/>
                <w:color w:val="000000"/>
                <w:szCs w:val="20"/>
                <w:lang w:val="it-IT"/>
              </w:rPr>
              <w:t xml:space="preserve">. Ad esempio, qualora la sottoscrizione comprenda la totalità dei PC, i prodotti applicativi, di sistema, con Licenza </w:t>
            </w:r>
            <w:r w:rsidR="001A3EC5" w:rsidRPr="00451078">
              <w:rPr>
                <w:rFonts w:cs="Tahoma"/>
                <w:color w:val="000000"/>
                <w:szCs w:val="20"/>
                <w:lang w:val="it-IT"/>
              </w:rPr>
              <w:t>“</w:t>
            </w:r>
            <w:r w:rsidRPr="00451078">
              <w:rPr>
                <w:rFonts w:cs="Tahoma"/>
                <w:color w:val="000000"/>
                <w:szCs w:val="20"/>
                <w:lang w:val="it-IT"/>
              </w:rPr>
              <w:t>Subscription</w:t>
            </w:r>
            <w:r w:rsidR="001A3EC5" w:rsidRPr="00451078">
              <w:rPr>
                <w:rFonts w:cs="Tahoma"/>
                <w:color w:val="000000"/>
                <w:szCs w:val="20"/>
                <w:lang w:val="it-IT"/>
              </w:rPr>
              <w:t>”</w:t>
            </w:r>
            <w:r w:rsidRPr="00451078">
              <w:rPr>
                <w:rFonts w:cs="Tahoma"/>
                <w:color w:val="000000"/>
                <w:szCs w:val="20"/>
                <w:lang w:val="it-IT"/>
              </w:rPr>
              <w:t xml:space="preserve"> (utente/dispositivo) e CAL selezionati riguarderanno tutti i PC, anche nel caso in cui un particolare prodotto venga eseguito su un solo componente di tali PC.</w:t>
            </w:r>
          </w:p>
          <w:p w:rsidR="00230E01" w:rsidRPr="00451078" w:rsidRDefault="00230E01" w:rsidP="00874016">
            <w:pPr>
              <w:tabs>
                <w:tab w:val="left" w:pos="8640"/>
              </w:tabs>
              <w:spacing w:line="200" w:lineRule="exact"/>
              <w:ind w:right="720"/>
              <w:rPr>
                <w:rFonts w:cs="Tahoma"/>
                <w:color w:val="000000"/>
                <w:szCs w:val="20"/>
                <w:lang w:val="it-IT" w:eastAsia="ja-JP"/>
              </w:rPr>
            </w:pPr>
          </w:p>
        </w:tc>
      </w:tr>
      <w:tr w:rsidR="00456002" w:rsidRPr="00DC1102" w:rsidTr="00EC2AC3">
        <w:trPr>
          <w:trHeight w:val="9216"/>
        </w:trPr>
        <w:tc>
          <w:tcPr>
            <w:tcW w:w="2268" w:type="dxa"/>
            <w:shd w:val="clear" w:color="auto" w:fill="auto"/>
          </w:tcPr>
          <w:p w:rsidR="00456002" w:rsidRPr="00451078" w:rsidRDefault="00456002" w:rsidP="00F5274A">
            <w:pPr>
              <w:pStyle w:val="AppendixBodyText"/>
              <w:spacing w:before="60"/>
              <w:ind w:right="720"/>
              <w:rPr>
                <w:rFonts w:ascii="Tahoma" w:hAnsi="Tahoma" w:cs="Tahoma"/>
                <w:b/>
                <w:color w:val="000000"/>
                <w:sz w:val="18"/>
                <w:szCs w:val="18"/>
                <w:lang w:val="it-IT" w:eastAsia="ja-JP"/>
              </w:rPr>
            </w:pPr>
            <w:r w:rsidRPr="00451078">
              <w:rPr>
                <w:rFonts w:ascii="Tahoma" w:hAnsi="Tahoma" w:cs="Tahoma"/>
                <w:b/>
                <w:lang w:val="it-IT"/>
              </w:rPr>
              <w:t>Contratto Enterprise e</w:t>
            </w:r>
            <w:r w:rsidR="00F5274A" w:rsidRPr="00451078">
              <w:rPr>
                <w:rFonts w:ascii="Tahoma" w:hAnsi="Tahoma" w:cs="Tahoma"/>
                <w:b/>
                <w:lang w:val="it-IT"/>
              </w:rPr>
              <w:t> </w:t>
            </w:r>
            <w:r w:rsidRPr="00451078">
              <w:rPr>
                <w:rFonts w:ascii="Tahoma" w:hAnsi="Tahoma" w:cs="Tahoma"/>
                <w:b/>
                <w:lang w:val="it-IT"/>
              </w:rPr>
              <w:t>Contratto Enterprise Subscription</w:t>
            </w:r>
          </w:p>
        </w:tc>
        <w:tc>
          <w:tcPr>
            <w:tcW w:w="6939" w:type="dxa"/>
            <w:shd w:val="clear" w:color="auto" w:fill="auto"/>
          </w:tcPr>
          <w:p w:rsidR="00456002" w:rsidRPr="00451078" w:rsidRDefault="00456002" w:rsidP="00A70464">
            <w:pPr>
              <w:spacing w:before="60"/>
              <w:rPr>
                <w:lang w:val="it-IT"/>
              </w:rPr>
            </w:pPr>
            <w:r w:rsidRPr="00451078">
              <w:rPr>
                <w:lang w:val="it-IT"/>
              </w:rPr>
              <w:t>Il Contratto Enterprise (EA) e il Contratto Enterprise Subscription (ESA) richiedono almeno 250 Dispositivi/Desktop Qualificati o Utenti Qualificati.</w:t>
            </w:r>
          </w:p>
          <w:p w:rsidR="00456002" w:rsidRPr="00451078" w:rsidRDefault="00456002" w:rsidP="00874016">
            <w:pPr>
              <w:spacing w:line="200" w:lineRule="exact"/>
              <w:ind w:right="720"/>
              <w:rPr>
                <w:lang w:val="it-IT"/>
              </w:rPr>
            </w:pPr>
          </w:p>
          <w:p w:rsidR="0091793D" w:rsidRPr="00451078" w:rsidRDefault="0091793D" w:rsidP="004B6D8C">
            <w:pPr>
              <w:spacing w:after="60"/>
              <w:rPr>
                <w:lang w:val="it-IT"/>
              </w:rPr>
            </w:pPr>
            <w:r w:rsidRPr="00451078">
              <w:rPr>
                <w:b/>
                <w:lang w:val="it-IT"/>
              </w:rPr>
              <w:t>Dispositivi/Desktop Qualificati</w:t>
            </w:r>
          </w:p>
          <w:p w:rsidR="0091793D" w:rsidRPr="00451078" w:rsidRDefault="0091793D" w:rsidP="00EC2AC3">
            <w:pPr>
              <w:rPr>
                <w:lang w:val="it-IT"/>
              </w:rPr>
            </w:pPr>
            <w:bookmarkStart w:id="667" w:name="_Toc323159729"/>
            <w:bookmarkStart w:id="668" w:name="_Toc325313134"/>
            <w:bookmarkStart w:id="669" w:name="_Toc325609169"/>
            <w:r w:rsidRPr="00451078">
              <w:rPr>
                <w:lang w:val="it-IT"/>
              </w:rPr>
              <w:t>Nonostante quanto diversamente stabilito nel Contratto Multilicenza, i</w:t>
            </w:r>
            <w:r w:rsidR="00EC2AC3">
              <w:rPr>
                <w:lang w:val="it-IT"/>
              </w:rPr>
              <w:t> </w:t>
            </w:r>
            <w:r w:rsidRPr="00451078">
              <w:rPr>
                <w:lang w:val="it-IT"/>
              </w:rPr>
              <w:t xml:space="preserve">Dispositivi/Desktop Qualificati non includono </w:t>
            </w:r>
            <w:r w:rsidRPr="00451078">
              <w:rPr>
                <w:iCs/>
                <w:lang w:val="it-IT"/>
              </w:rPr>
              <w:t>dispositivi di terzi qualificanti</w:t>
            </w:r>
            <w:r w:rsidR="00EC2AC3">
              <w:rPr>
                <w:lang w:val="it-IT"/>
              </w:rPr>
              <w:t> </w:t>
            </w:r>
            <w:r w:rsidRPr="00451078">
              <w:rPr>
                <w:lang w:val="it-IT"/>
              </w:rPr>
              <w:t>tramite</w:t>
            </w:r>
            <w:r w:rsidR="00EC2AC3">
              <w:rPr>
                <w:lang w:val="it-IT"/>
              </w:rPr>
              <w:t> </w:t>
            </w:r>
            <w:r w:rsidR="009A1EA6" w:rsidRPr="00451078">
              <w:rPr>
                <w:lang w:val="it-IT"/>
              </w:rPr>
              <w:t>I </w:t>
            </w:r>
            <w:r w:rsidRPr="00451078">
              <w:rPr>
                <w:lang w:val="it-IT"/>
              </w:rPr>
              <w:t>quali gli utenti possono accedere e utilizzare il software esclusivamente ai sensi dei</w:t>
            </w:r>
            <w:r w:rsidR="009A1EA6" w:rsidRPr="00451078">
              <w:rPr>
                <w:lang w:val="it-IT"/>
              </w:rPr>
              <w:t> </w:t>
            </w:r>
            <w:r w:rsidRPr="00451078">
              <w:rPr>
                <w:lang w:val="it-IT"/>
              </w:rPr>
              <w:t>Diritti di Utilizzo del Roaming applicabili a:</w:t>
            </w:r>
            <w:bookmarkEnd w:id="667"/>
            <w:bookmarkEnd w:id="668"/>
            <w:bookmarkEnd w:id="669"/>
          </w:p>
          <w:p w:rsidR="00456002" w:rsidRPr="00451078" w:rsidRDefault="00456002" w:rsidP="00874016">
            <w:pPr>
              <w:spacing w:line="200" w:lineRule="exact"/>
              <w:ind w:right="720"/>
              <w:rPr>
                <w:lang w:val="it-IT"/>
              </w:rPr>
            </w:pPr>
          </w:p>
          <w:p w:rsidR="00406CB0" w:rsidRPr="00FB25FF" w:rsidRDefault="00456002" w:rsidP="00745AB3">
            <w:pPr>
              <w:numPr>
                <w:ilvl w:val="0"/>
                <w:numId w:val="63"/>
              </w:numPr>
              <w:spacing w:after="60"/>
              <w:rPr>
                <w:szCs w:val="18"/>
              </w:rPr>
            </w:pPr>
            <w:r w:rsidRPr="00FB25FF">
              <w:rPr>
                <w:szCs w:val="18"/>
              </w:rPr>
              <w:t xml:space="preserve">Windows Software Assurance, </w:t>
            </w:r>
          </w:p>
          <w:p w:rsidR="00456002" w:rsidRPr="00FB25FF" w:rsidRDefault="00456002" w:rsidP="00745AB3">
            <w:pPr>
              <w:numPr>
                <w:ilvl w:val="0"/>
                <w:numId w:val="63"/>
              </w:numPr>
              <w:spacing w:after="60"/>
              <w:rPr>
                <w:szCs w:val="18"/>
              </w:rPr>
            </w:pPr>
            <w:r w:rsidRPr="00FB25FF">
              <w:rPr>
                <w:szCs w:val="18"/>
              </w:rPr>
              <w:t xml:space="preserve">Windows Virtual Desktop Access, </w:t>
            </w:r>
          </w:p>
          <w:p w:rsidR="00456002" w:rsidRPr="00FB25FF" w:rsidRDefault="00456002" w:rsidP="00745AB3">
            <w:pPr>
              <w:numPr>
                <w:ilvl w:val="0"/>
                <w:numId w:val="63"/>
              </w:numPr>
              <w:spacing w:after="60"/>
              <w:rPr>
                <w:szCs w:val="18"/>
              </w:rPr>
            </w:pPr>
            <w:r w:rsidRPr="00FB25FF">
              <w:rPr>
                <w:szCs w:val="18"/>
              </w:rPr>
              <w:t xml:space="preserve">Virtual Desktop Infrastructure Suite, </w:t>
            </w:r>
          </w:p>
          <w:p w:rsidR="00456002" w:rsidRPr="00FB25FF" w:rsidRDefault="00456002" w:rsidP="00745AB3">
            <w:pPr>
              <w:numPr>
                <w:ilvl w:val="0"/>
                <w:numId w:val="63"/>
              </w:numPr>
              <w:spacing w:after="60"/>
              <w:rPr>
                <w:szCs w:val="18"/>
              </w:rPr>
            </w:pPr>
            <w:r w:rsidRPr="00FB25FF">
              <w:rPr>
                <w:szCs w:val="18"/>
              </w:rPr>
              <w:t xml:space="preserve">MDOP per Software Assurance e </w:t>
            </w:r>
          </w:p>
          <w:p w:rsidR="00456002" w:rsidRPr="00451078" w:rsidRDefault="00456002" w:rsidP="00745AB3">
            <w:pPr>
              <w:numPr>
                <w:ilvl w:val="0"/>
                <w:numId w:val="63"/>
              </w:numPr>
              <w:spacing w:after="60"/>
              <w:rPr>
                <w:szCs w:val="18"/>
                <w:lang w:val="it-IT"/>
              </w:rPr>
            </w:pPr>
            <w:r w:rsidRPr="00451078">
              <w:rPr>
                <w:szCs w:val="18"/>
                <w:lang w:val="it-IT"/>
              </w:rPr>
              <w:t>Software Assurance per tutte le versioni di Office, Project e Visio che includono i Diritti di Utilizzo Roaming.</w:t>
            </w:r>
            <w:r w:rsidR="00082E1C" w:rsidRPr="00451078">
              <w:rPr>
                <w:szCs w:val="18"/>
                <w:lang w:val="it-IT"/>
              </w:rPr>
              <w:t xml:space="preserve"> </w:t>
            </w:r>
          </w:p>
          <w:p w:rsidR="00456002" w:rsidRPr="00451078" w:rsidRDefault="00456002" w:rsidP="00A70464">
            <w:pPr>
              <w:rPr>
                <w:lang w:val="it-IT"/>
              </w:rPr>
            </w:pPr>
          </w:p>
          <w:p w:rsidR="00456002" w:rsidRPr="00451078" w:rsidRDefault="00456002" w:rsidP="00003D41">
            <w:pPr>
              <w:rPr>
                <w:lang w:val="it-IT"/>
              </w:rPr>
            </w:pPr>
            <w:bookmarkStart w:id="670" w:name="_Toc323159730"/>
            <w:bookmarkStart w:id="671" w:name="_Toc325313135"/>
            <w:bookmarkStart w:id="672" w:name="_Toc325609170"/>
            <w:r w:rsidRPr="00451078">
              <w:rPr>
                <w:lang w:val="it-IT"/>
              </w:rPr>
              <w:t xml:space="preserve">Un </w:t>
            </w:r>
            <w:r w:rsidR="001A3EC5" w:rsidRPr="00451078">
              <w:rPr>
                <w:lang w:val="it-IT"/>
              </w:rPr>
              <w:t>“</w:t>
            </w:r>
            <w:r w:rsidRPr="00451078">
              <w:rPr>
                <w:lang w:val="it-IT"/>
              </w:rPr>
              <w:t>dispositivo di terzi qualificante</w:t>
            </w:r>
            <w:r w:rsidR="001A3EC5" w:rsidRPr="00451078">
              <w:rPr>
                <w:lang w:val="it-IT"/>
              </w:rPr>
              <w:t>”</w:t>
            </w:r>
            <w:r w:rsidRPr="00451078">
              <w:rPr>
                <w:lang w:val="it-IT"/>
              </w:rPr>
              <w:t xml:space="preserve"> è un dispositivo non controllato, direttamente o</w:t>
            </w:r>
            <w:r w:rsidR="009A1EA6" w:rsidRPr="00451078">
              <w:rPr>
                <w:lang w:val="it-IT"/>
              </w:rPr>
              <w:t> </w:t>
            </w:r>
            <w:r w:rsidRPr="00451078">
              <w:rPr>
                <w:lang w:val="it-IT"/>
              </w:rPr>
              <w:t>indirettamente, dal licenziatario o dalle sue consociate (ad esempio un chiosco pubblico di terzi). Per ulteriori informazioni, vedere i Diritti di Utilizzo del Prodotto.</w:t>
            </w:r>
            <w:bookmarkEnd w:id="670"/>
            <w:bookmarkEnd w:id="671"/>
            <w:bookmarkEnd w:id="672"/>
          </w:p>
          <w:p w:rsidR="00456002" w:rsidRPr="007C3E32" w:rsidRDefault="00456002" w:rsidP="00E64551">
            <w:pPr>
              <w:pStyle w:val="Heading3"/>
              <w:ind w:left="70"/>
              <w:rPr>
                <w:rFonts w:ascii="Tahoma" w:hAnsi="Tahoma" w:cs="Tahoma"/>
                <w:b w:val="0"/>
                <w:sz w:val="18"/>
                <w:szCs w:val="22"/>
                <w:lang w:val="it-IT" w:eastAsia="ja-JP"/>
              </w:rPr>
            </w:pPr>
          </w:p>
          <w:p w:rsidR="0091793D" w:rsidRPr="00451078" w:rsidRDefault="0091793D" w:rsidP="004B6D8C">
            <w:pPr>
              <w:spacing w:after="60"/>
              <w:rPr>
                <w:lang w:val="it-IT"/>
              </w:rPr>
            </w:pPr>
            <w:r w:rsidRPr="00451078">
              <w:rPr>
                <w:b/>
                <w:lang w:val="it-IT"/>
              </w:rPr>
              <w:t xml:space="preserve">Esenzioni degli Utenti Qualificati </w:t>
            </w:r>
          </w:p>
          <w:p w:rsidR="00456002" w:rsidRPr="00451078" w:rsidRDefault="00456002" w:rsidP="00E904F3">
            <w:pPr>
              <w:pStyle w:val="AppendixBodyText"/>
              <w:ind w:right="720"/>
              <w:rPr>
                <w:lang w:val="it-IT"/>
              </w:rPr>
            </w:pPr>
            <w:r w:rsidRPr="00451078">
              <w:rPr>
                <w:rFonts w:ascii="Tahoma" w:hAnsi="Tahoma" w:cs="Tahoma"/>
                <w:sz w:val="18"/>
                <w:lang w:val="it-IT"/>
              </w:rPr>
              <w:t>Una persona che accede al software server o ai servizi online unicamente con le licenze identificate nel seguente elenco viene esentata dall</w:t>
            </w:r>
            <w:r w:rsidR="0073727D">
              <w:rPr>
                <w:rFonts w:ascii="Tahoma" w:hAnsi="Tahoma" w:cs="Tahoma"/>
                <w:sz w:val="18"/>
                <w:lang w:val="it-IT"/>
              </w:rPr>
              <w:t>’</w:t>
            </w:r>
            <w:r w:rsidRPr="00451078">
              <w:rPr>
                <w:rFonts w:ascii="Tahoma" w:hAnsi="Tahoma" w:cs="Tahoma"/>
                <w:sz w:val="18"/>
                <w:lang w:val="it-IT"/>
              </w:rPr>
              <w:t>essere conteggiata come Utente Qualificato:</w:t>
            </w:r>
          </w:p>
          <w:p w:rsidR="00456002" w:rsidRPr="00451078" w:rsidRDefault="00456002" w:rsidP="00874016">
            <w:pPr>
              <w:pStyle w:val="AppendixBodyText"/>
              <w:spacing w:after="0" w:line="200" w:lineRule="exact"/>
              <w:ind w:right="720"/>
              <w:rPr>
                <w:lang w:val="it-IT"/>
              </w:rPr>
            </w:pPr>
          </w:p>
          <w:p w:rsidR="00456002" w:rsidRPr="00451078" w:rsidRDefault="00456002" w:rsidP="00745AB3">
            <w:pPr>
              <w:numPr>
                <w:ilvl w:val="0"/>
                <w:numId w:val="63"/>
              </w:numPr>
              <w:spacing w:after="60"/>
              <w:rPr>
                <w:lang w:val="it-IT"/>
              </w:rPr>
            </w:pPr>
            <w:r w:rsidRPr="00451078">
              <w:rPr>
                <w:lang w:val="it-IT"/>
              </w:rPr>
              <w:t xml:space="preserve">Licenza </w:t>
            </w:r>
            <w:r w:rsidR="001A3EC5" w:rsidRPr="00451078">
              <w:rPr>
                <w:lang w:val="it-IT"/>
              </w:rPr>
              <w:t>“</w:t>
            </w:r>
            <w:r w:rsidRPr="00451078">
              <w:rPr>
                <w:lang w:val="it-IT"/>
              </w:rPr>
              <w:t>Subscription</w:t>
            </w:r>
            <w:r w:rsidR="001A3EC5" w:rsidRPr="00451078">
              <w:rPr>
                <w:lang w:val="it-IT"/>
              </w:rPr>
              <w:t>”</w:t>
            </w:r>
            <w:r w:rsidRPr="00451078">
              <w:rPr>
                <w:lang w:val="it-IT"/>
              </w:rPr>
              <w:t xml:space="preserve"> Utente (USL) per Office 365 Enterprise K1 o K2</w:t>
            </w:r>
          </w:p>
          <w:p w:rsidR="00456002" w:rsidRPr="003410C7" w:rsidRDefault="00456002" w:rsidP="00745AB3">
            <w:pPr>
              <w:numPr>
                <w:ilvl w:val="0"/>
                <w:numId w:val="63"/>
              </w:numPr>
              <w:spacing w:after="60"/>
            </w:pPr>
            <w:r w:rsidRPr="003410C7">
              <w:t>USL Chiosco SharePoint</w:t>
            </w:r>
          </w:p>
          <w:p w:rsidR="00456002" w:rsidRPr="003410C7" w:rsidRDefault="00456002" w:rsidP="00745AB3">
            <w:pPr>
              <w:numPr>
                <w:ilvl w:val="0"/>
                <w:numId w:val="63"/>
              </w:numPr>
              <w:spacing w:after="60"/>
            </w:pPr>
            <w:r w:rsidRPr="003410C7">
              <w:t>USL Chiosco Exchange Online</w:t>
            </w:r>
          </w:p>
          <w:p w:rsidR="00456002" w:rsidRPr="00451078" w:rsidRDefault="00456002" w:rsidP="00745AB3">
            <w:pPr>
              <w:numPr>
                <w:ilvl w:val="0"/>
                <w:numId w:val="63"/>
              </w:numPr>
              <w:spacing w:after="60"/>
              <w:rPr>
                <w:lang w:val="it-IT"/>
              </w:rPr>
            </w:pPr>
            <w:r w:rsidRPr="00451078">
              <w:rPr>
                <w:lang w:val="it-IT"/>
              </w:rPr>
              <w:t>Le licenze per i prodotti software server o i servizi online che non richiedono licenze individuali per gli utenti o i dispositivi che accedono a</w:t>
            </w:r>
            <w:r w:rsidR="00874016" w:rsidRPr="00451078">
              <w:rPr>
                <w:lang w:val="it-IT"/>
              </w:rPr>
              <w:t> </w:t>
            </w:r>
            <w:r w:rsidRPr="00451078">
              <w:rPr>
                <w:lang w:val="it-IT"/>
              </w:rPr>
              <w:t>tali</w:t>
            </w:r>
            <w:r w:rsidR="00874016" w:rsidRPr="00451078">
              <w:rPr>
                <w:lang w:val="it-IT"/>
              </w:rPr>
              <w:t> </w:t>
            </w:r>
            <w:r w:rsidRPr="00451078">
              <w:rPr>
                <w:lang w:val="it-IT"/>
              </w:rPr>
              <w:t>prodotti o servizi online (come le Client Access License, le Licenze di</w:t>
            </w:r>
            <w:r w:rsidR="00874016" w:rsidRPr="00451078">
              <w:rPr>
                <w:lang w:val="it-IT"/>
              </w:rPr>
              <w:t> </w:t>
            </w:r>
            <w:r w:rsidRPr="00451078">
              <w:rPr>
                <w:lang w:val="it-IT"/>
              </w:rPr>
              <w:t>Gestione Client, nonché le licenze USL e DSL).</w:t>
            </w:r>
          </w:p>
          <w:p w:rsidR="00456002" w:rsidRPr="003410C7" w:rsidRDefault="00456002" w:rsidP="00745AB3">
            <w:pPr>
              <w:numPr>
                <w:ilvl w:val="0"/>
                <w:numId w:val="63"/>
              </w:numPr>
              <w:spacing w:after="60"/>
            </w:pPr>
            <w:r w:rsidRPr="003410C7">
              <w:t>Qualunque Licenza External Connector</w:t>
            </w:r>
          </w:p>
          <w:p w:rsidR="00456002" w:rsidRPr="003410C7" w:rsidRDefault="00456002" w:rsidP="00874016">
            <w:pPr>
              <w:pStyle w:val="AppendixBodyText"/>
              <w:spacing w:after="0" w:line="200" w:lineRule="exact"/>
              <w:ind w:right="720"/>
            </w:pPr>
          </w:p>
          <w:p w:rsidR="00230E01" w:rsidRPr="00451078" w:rsidRDefault="00456002" w:rsidP="00230E01">
            <w:pPr>
              <w:pStyle w:val="AppendixBodyText"/>
              <w:spacing w:after="0"/>
              <w:ind w:right="720"/>
              <w:rPr>
                <w:rFonts w:ascii="Tahoma" w:hAnsi="Tahoma" w:cs="Tahoma"/>
                <w:sz w:val="18"/>
                <w:lang w:val="it-IT"/>
              </w:rPr>
            </w:pPr>
            <w:r w:rsidRPr="00451078">
              <w:rPr>
                <w:rFonts w:ascii="Tahoma" w:hAnsi="Tahoma" w:cs="Tahoma"/>
                <w:sz w:val="18"/>
                <w:lang w:val="it-IT"/>
              </w:rPr>
              <w:t>Queste esenzioni per gli Utenti Qualificati si applicano a tutte le società che abbiano stipulato contratti EA ed ESA, indipendentemente dal fatto che le esenzioni per gli Utenti Qualificati siano contemplate o meno nelle condizioni dei contratti delle società.</w:t>
            </w:r>
          </w:p>
          <w:p w:rsidR="00874016" w:rsidRPr="00451078" w:rsidRDefault="00874016" w:rsidP="00874016">
            <w:pPr>
              <w:pStyle w:val="AppendixBodyText"/>
              <w:spacing w:after="0" w:line="180" w:lineRule="exact"/>
              <w:ind w:right="720"/>
              <w:rPr>
                <w:lang w:val="it-IT"/>
              </w:rPr>
            </w:pPr>
          </w:p>
        </w:tc>
      </w:tr>
      <w:tr w:rsidR="00456002" w:rsidRPr="00DC1102" w:rsidTr="002B01D6">
        <w:trPr>
          <w:cantSplit/>
        </w:trPr>
        <w:tc>
          <w:tcPr>
            <w:tcW w:w="2268" w:type="dxa"/>
            <w:shd w:val="clear" w:color="auto" w:fill="auto"/>
          </w:tcPr>
          <w:p w:rsidR="00456002" w:rsidRPr="003410C7" w:rsidRDefault="00456002" w:rsidP="00A70464">
            <w:pPr>
              <w:pStyle w:val="AppendixBodyText"/>
              <w:spacing w:before="60"/>
              <w:ind w:right="720"/>
              <w:rPr>
                <w:rFonts w:ascii="Tahoma" w:hAnsi="Tahoma" w:cs="Tahoma"/>
                <w:b/>
                <w:lang w:eastAsia="ja-JP"/>
              </w:rPr>
            </w:pPr>
            <w:r w:rsidRPr="003410C7">
              <w:rPr>
                <w:rFonts w:ascii="Tahoma" w:hAnsi="Tahoma" w:cs="Tahoma"/>
                <w:b/>
                <w:color w:val="000000"/>
                <w:szCs w:val="18"/>
              </w:rPr>
              <w:lastRenderedPageBreak/>
              <w:t>EES</w:t>
            </w:r>
          </w:p>
        </w:tc>
        <w:tc>
          <w:tcPr>
            <w:tcW w:w="6939" w:type="dxa"/>
            <w:shd w:val="clear" w:color="auto" w:fill="auto"/>
          </w:tcPr>
          <w:p w:rsidR="00456002" w:rsidRPr="00451078" w:rsidRDefault="00456002" w:rsidP="00A70464">
            <w:pPr>
              <w:pStyle w:val="ListParagraph"/>
              <w:spacing w:before="60"/>
              <w:ind w:left="0"/>
              <w:contextualSpacing w:val="0"/>
              <w:rPr>
                <w:lang w:val="it-IT"/>
              </w:rPr>
            </w:pPr>
            <w:r w:rsidRPr="00451078">
              <w:rPr>
                <w:rFonts w:ascii="Tahoma" w:hAnsi="Tahoma" w:cs="Tahoma"/>
                <w:sz w:val="18"/>
                <w:szCs w:val="18"/>
                <w:lang w:val="it-IT"/>
              </w:rPr>
              <w:t>EES richiede un ordine minimo, come specificato di seguito:</w:t>
            </w:r>
            <w:r w:rsidR="00082E1C" w:rsidRPr="00451078">
              <w:rPr>
                <w:rFonts w:ascii="Tahoma" w:hAnsi="Tahoma" w:cs="Tahoma"/>
                <w:sz w:val="18"/>
                <w:szCs w:val="18"/>
                <w:lang w:val="it-IT"/>
              </w:rPr>
              <w:t xml:space="preserve"> </w:t>
            </w:r>
          </w:p>
          <w:p w:rsidR="00406CB0" w:rsidRPr="007A37AD" w:rsidRDefault="00406CB0" w:rsidP="00A81908">
            <w:pPr>
              <w:pStyle w:val="ListParagraph"/>
              <w:ind w:left="0"/>
              <w:contextualSpacing w:val="0"/>
              <w:rPr>
                <w:sz w:val="18"/>
                <w:szCs w:val="18"/>
                <w:lang w:val="it-IT"/>
              </w:rPr>
            </w:pPr>
          </w:p>
          <w:p w:rsidR="00456002" w:rsidRPr="00451078" w:rsidRDefault="00456002" w:rsidP="00E904F3">
            <w:pPr>
              <w:numPr>
                <w:ilvl w:val="0"/>
                <w:numId w:val="63"/>
              </w:numPr>
              <w:spacing w:after="60"/>
              <w:rPr>
                <w:lang w:val="it-IT"/>
              </w:rPr>
            </w:pPr>
            <w:r w:rsidRPr="00451078">
              <w:rPr>
                <w:lang w:val="it-IT"/>
              </w:rPr>
              <w:t>almeno un Prodotto della Piattaforma Desktop per un Numero dell</w:t>
            </w:r>
            <w:r w:rsidR="0073727D">
              <w:rPr>
                <w:lang w:val="it-IT"/>
              </w:rPr>
              <w:t>’</w:t>
            </w:r>
            <w:r w:rsidRPr="00451078">
              <w:rPr>
                <w:lang w:val="it-IT"/>
              </w:rPr>
              <w:t>intera organizzazione di almeno 1000 O</w:t>
            </w:r>
          </w:p>
          <w:p w:rsidR="00456002" w:rsidRPr="00451078" w:rsidRDefault="00456002" w:rsidP="00745AB3">
            <w:pPr>
              <w:numPr>
                <w:ilvl w:val="0"/>
                <w:numId w:val="63"/>
              </w:numPr>
              <w:spacing w:after="60"/>
              <w:rPr>
                <w:lang w:val="it-IT"/>
              </w:rPr>
            </w:pPr>
            <w:r w:rsidRPr="00451078">
              <w:rPr>
                <w:lang w:val="it-IT"/>
              </w:rPr>
              <w:t>almeno un Servizio Online della Piattaforma per il Personale Docente/Non Docente su una quantità di 1000 O</w:t>
            </w:r>
          </w:p>
          <w:p w:rsidR="00456002" w:rsidRPr="00451078" w:rsidRDefault="00456002" w:rsidP="00745AB3">
            <w:pPr>
              <w:numPr>
                <w:ilvl w:val="0"/>
                <w:numId w:val="63"/>
              </w:numPr>
              <w:spacing w:after="60"/>
              <w:rPr>
                <w:lang w:val="it-IT"/>
              </w:rPr>
            </w:pPr>
            <w:r w:rsidRPr="00451078">
              <w:rPr>
                <w:lang w:val="it-IT"/>
              </w:rPr>
              <w:t>almeno un Prodotto della Piattaforma Desktop per un Numero degli Studenti di almeno 1000 O</w:t>
            </w:r>
          </w:p>
          <w:p w:rsidR="00456002" w:rsidRPr="00451078" w:rsidRDefault="00456002" w:rsidP="00745AB3">
            <w:pPr>
              <w:numPr>
                <w:ilvl w:val="0"/>
                <w:numId w:val="63"/>
              </w:numPr>
              <w:spacing w:after="60"/>
              <w:rPr>
                <w:lang w:val="it-IT"/>
              </w:rPr>
            </w:pPr>
            <w:r w:rsidRPr="00451078">
              <w:rPr>
                <w:lang w:val="it-IT"/>
              </w:rPr>
              <w:t xml:space="preserve">almeno un Servizio Online della Piattaforma per gli Studenti su una quantità di 1000 O </w:t>
            </w:r>
          </w:p>
          <w:p w:rsidR="00456002" w:rsidRPr="00782440" w:rsidRDefault="00456002" w:rsidP="00782440">
            <w:pPr>
              <w:rPr>
                <w:sz w:val="12"/>
                <w:szCs w:val="12"/>
                <w:lang w:val="it-IT"/>
              </w:rPr>
            </w:pPr>
          </w:p>
          <w:p w:rsidR="00A9013C" w:rsidRPr="00451078" w:rsidRDefault="00456002" w:rsidP="00E904F3">
            <w:pPr>
              <w:rPr>
                <w:lang w:val="it-IT"/>
              </w:rPr>
            </w:pPr>
            <w:r w:rsidRPr="00451078">
              <w:rPr>
                <w:rFonts w:cs="Tahoma"/>
                <w:b/>
                <w:color w:val="000000"/>
                <w:szCs w:val="18"/>
                <w:lang w:val="it-IT"/>
              </w:rPr>
              <w:t>Nota:</w:t>
            </w:r>
            <w:r w:rsidRPr="00451078">
              <w:rPr>
                <w:rFonts w:cs="Tahoma"/>
                <w:color w:val="000000"/>
                <w:szCs w:val="18"/>
                <w:lang w:val="it-IT"/>
              </w:rPr>
              <w:t xml:space="preserve"> è possibile ignorare il requisito di quantità per l</w:t>
            </w:r>
            <w:r w:rsidR="0073727D">
              <w:rPr>
                <w:rFonts w:cs="Tahoma"/>
                <w:color w:val="000000"/>
                <w:szCs w:val="18"/>
                <w:lang w:val="it-IT"/>
              </w:rPr>
              <w:t>’</w:t>
            </w:r>
            <w:r w:rsidRPr="00451078">
              <w:rPr>
                <w:rFonts w:cs="Tahoma"/>
                <w:color w:val="000000"/>
                <w:szCs w:val="18"/>
                <w:lang w:val="it-IT"/>
              </w:rPr>
              <w:t>ordine nel caso in cui venga fornita un</w:t>
            </w:r>
            <w:r w:rsidR="0073727D">
              <w:rPr>
                <w:rFonts w:cs="Tahoma"/>
                <w:color w:val="000000"/>
                <w:szCs w:val="18"/>
                <w:lang w:val="it-IT"/>
              </w:rPr>
              <w:t>’</w:t>
            </w:r>
            <w:r w:rsidRPr="00451078">
              <w:rPr>
                <w:rFonts w:cs="Tahoma"/>
                <w:color w:val="000000"/>
                <w:szCs w:val="18"/>
                <w:lang w:val="it-IT"/>
              </w:rPr>
              <w:t>iscrizione qualificante.</w:t>
            </w:r>
          </w:p>
          <w:p w:rsidR="00406CB0" w:rsidRPr="00782440" w:rsidRDefault="00406CB0" w:rsidP="004E045A">
            <w:pPr>
              <w:rPr>
                <w:sz w:val="12"/>
                <w:szCs w:val="12"/>
                <w:lang w:val="it-IT"/>
              </w:rPr>
            </w:pPr>
          </w:p>
          <w:p w:rsidR="00822871" w:rsidRPr="00451078" w:rsidRDefault="00A9013C" w:rsidP="00E904F3">
            <w:pPr>
              <w:rPr>
                <w:spacing w:val="-1"/>
                <w:lang w:val="it-IT"/>
              </w:rPr>
            </w:pPr>
            <w:r w:rsidRPr="00451078">
              <w:rPr>
                <w:rFonts w:cs="Tahoma"/>
                <w:b/>
                <w:color w:val="000000"/>
                <w:spacing w:val="-1"/>
                <w:szCs w:val="18"/>
                <w:lang w:val="it-IT"/>
              </w:rPr>
              <w:t xml:space="preserve">Nota: </w:t>
            </w:r>
            <w:r w:rsidRPr="00451078">
              <w:rPr>
                <w:rFonts w:cs="Tahoma"/>
                <w:color w:val="000000"/>
                <w:spacing w:val="-1"/>
                <w:szCs w:val="18"/>
                <w:lang w:val="it-IT"/>
              </w:rPr>
              <w:t>le licenze CAL (Client Access License) acquistate ai sensi del contratto Enrollment for Education Solutions (EES) nell</w:t>
            </w:r>
            <w:r w:rsidR="0073727D">
              <w:rPr>
                <w:rFonts w:cs="Tahoma"/>
                <w:color w:val="000000"/>
                <w:spacing w:val="-1"/>
                <w:szCs w:val="18"/>
                <w:lang w:val="it-IT"/>
              </w:rPr>
              <w:t>’</w:t>
            </w:r>
            <w:r w:rsidRPr="00451078">
              <w:rPr>
                <w:rFonts w:cs="Tahoma"/>
                <w:color w:val="000000"/>
                <w:spacing w:val="-1"/>
                <w:szCs w:val="18"/>
                <w:lang w:val="it-IT"/>
              </w:rPr>
              <w:t>opzione non per l</w:t>
            </w:r>
            <w:r w:rsidR="0073727D">
              <w:rPr>
                <w:rFonts w:cs="Tahoma"/>
                <w:color w:val="000000"/>
                <w:spacing w:val="-1"/>
                <w:szCs w:val="18"/>
                <w:lang w:val="it-IT"/>
              </w:rPr>
              <w:t>’</w:t>
            </w:r>
            <w:r w:rsidRPr="00451078">
              <w:rPr>
                <w:rFonts w:cs="Tahoma"/>
                <w:color w:val="000000"/>
                <w:spacing w:val="-1"/>
                <w:szCs w:val="18"/>
                <w:lang w:val="it-IT"/>
              </w:rPr>
              <w:t>intera Organizzazione potranno essere cedute e utilizzate come licenze CAL per dispositivo o user CAL, a</w:t>
            </w:r>
            <w:r w:rsidR="00867CDF" w:rsidRPr="00451078">
              <w:rPr>
                <w:rFonts w:cs="Tahoma"/>
                <w:color w:val="000000"/>
                <w:spacing w:val="-1"/>
                <w:szCs w:val="18"/>
                <w:lang w:val="it-IT"/>
              </w:rPr>
              <w:t> </w:t>
            </w:r>
            <w:r w:rsidRPr="00451078">
              <w:rPr>
                <w:rFonts w:cs="Tahoma"/>
                <w:color w:val="000000"/>
                <w:spacing w:val="-1"/>
                <w:szCs w:val="18"/>
                <w:lang w:val="it-IT"/>
              </w:rPr>
              <w:t>discrezione dell</w:t>
            </w:r>
            <w:r w:rsidR="0073727D">
              <w:rPr>
                <w:rFonts w:cs="Tahoma"/>
                <w:color w:val="000000"/>
                <w:spacing w:val="-1"/>
                <w:szCs w:val="18"/>
                <w:lang w:val="it-IT"/>
              </w:rPr>
              <w:t>’</w:t>
            </w:r>
            <w:r w:rsidRPr="00451078">
              <w:rPr>
                <w:rFonts w:cs="Tahoma"/>
                <w:color w:val="000000"/>
                <w:spacing w:val="-1"/>
                <w:szCs w:val="18"/>
                <w:lang w:val="it-IT"/>
              </w:rPr>
              <w:t>Istituto. Le user CAL non potranno essere cedute di</w:t>
            </w:r>
            <w:r w:rsidR="00874016" w:rsidRPr="00451078">
              <w:rPr>
                <w:rFonts w:cs="Tahoma"/>
                <w:color w:val="000000"/>
                <w:spacing w:val="-1"/>
                <w:szCs w:val="18"/>
                <w:lang w:val="it-IT"/>
              </w:rPr>
              <w:t> </w:t>
            </w:r>
            <w:r w:rsidRPr="00451078">
              <w:rPr>
                <w:rFonts w:cs="Tahoma"/>
                <w:color w:val="000000"/>
                <w:spacing w:val="-1"/>
                <w:szCs w:val="18"/>
                <w:lang w:val="it-IT"/>
              </w:rPr>
              <w:t>nuovo come licenze CAL per dispositivo e le licenze CAL per dispositivo non potranno essere cedute di nuovo come user CAL, tranne nel caso di seguito indicato. Qualsiasi licenza CAL ordinata in base all</w:t>
            </w:r>
            <w:r w:rsidR="0073727D">
              <w:rPr>
                <w:rFonts w:cs="Tahoma"/>
                <w:color w:val="000000"/>
                <w:spacing w:val="-1"/>
                <w:szCs w:val="18"/>
                <w:lang w:val="it-IT"/>
              </w:rPr>
              <w:t>’</w:t>
            </w:r>
            <w:r w:rsidRPr="00451078">
              <w:rPr>
                <w:rFonts w:cs="Tahoma"/>
                <w:color w:val="000000"/>
                <w:spacing w:val="-1"/>
                <w:szCs w:val="18"/>
                <w:lang w:val="it-IT"/>
              </w:rPr>
              <w:t>opzione non per l</w:t>
            </w:r>
            <w:r w:rsidR="0073727D">
              <w:rPr>
                <w:rFonts w:cs="Tahoma"/>
                <w:color w:val="000000"/>
                <w:spacing w:val="-1"/>
                <w:szCs w:val="18"/>
                <w:lang w:val="it-IT"/>
              </w:rPr>
              <w:t>’</w:t>
            </w:r>
            <w:r w:rsidRPr="00451078">
              <w:rPr>
                <w:rFonts w:cs="Tahoma"/>
                <w:color w:val="000000"/>
                <w:spacing w:val="-1"/>
                <w:szCs w:val="18"/>
                <w:lang w:val="it-IT"/>
              </w:rPr>
              <w:t>intera Organizzazione potrà essere ceduta di nuovo e utilizzata come licenza CAL per</w:t>
            </w:r>
            <w:r w:rsidR="00874016" w:rsidRPr="00451078">
              <w:rPr>
                <w:rFonts w:cs="Tahoma"/>
                <w:color w:val="000000"/>
                <w:spacing w:val="-1"/>
                <w:szCs w:val="18"/>
                <w:lang w:val="it-IT"/>
              </w:rPr>
              <w:t> </w:t>
            </w:r>
            <w:r w:rsidRPr="00451078">
              <w:rPr>
                <w:rFonts w:cs="Tahoma"/>
                <w:color w:val="000000"/>
                <w:spacing w:val="-1"/>
                <w:szCs w:val="18"/>
                <w:lang w:val="it-IT"/>
              </w:rPr>
              <w:t>dispositivo o user CAL in fase di</w:t>
            </w:r>
            <w:r w:rsidR="00FB25FF" w:rsidRPr="00451078">
              <w:rPr>
                <w:rFonts w:cs="Tahoma"/>
                <w:color w:val="000000"/>
                <w:spacing w:val="-1"/>
                <w:szCs w:val="18"/>
                <w:lang w:val="it-IT"/>
              </w:rPr>
              <w:t> </w:t>
            </w:r>
            <w:r w:rsidRPr="00451078">
              <w:rPr>
                <w:rFonts w:cs="Tahoma"/>
                <w:color w:val="000000"/>
                <w:spacing w:val="-1"/>
                <w:szCs w:val="18"/>
                <w:lang w:val="it-IT"/>
              </w:rPr>
              <w:t>rinnovo della</w:t>
            </w:r>
            <w:r w:rsidR="00867CDF" w:rsidRPr="00451078">
              <w:rPr>
                <w:rFonts w:cs="Tahoma"/>
                <w:color w:val="000000"/>
                <w:spacing w:val="-1"/>
                <w:szCs w:val="18"/>
                <w:lang w:val="it-IT"/>
              </w:rPr>
              <w:t> </w:t>
            </w:r>
            <w:r w:rsidRPr="00451078">
              <w:rPr>
                <w:rFonts w:cs="Tahoma"/>
                <w:color w:val="000000"/>
                <w:spacing w:val="-1"/>
                <w:szCs w:val="18"/>
                <w:lang w:val="it-IT"/>
              </w:rPr>
              <w:t>sottoscrizione attraverso un</w:t>
            </w:r>
            <w:r w:rsidR="00874016" w:rsidRPr="00451078">
              <w:rPr>
                <w:rFonts w:cs="Tahoma"/>
                <w:color w:val="000000"/>
                <w:spacing w:val="-1"/>
                <w:szCs w:val="18"/>
                <w:lang w:val="it-IT"/>
              </w:rPr>
              <w:t> </w:t>
            </w:r>
            <w:r w:rsidRPr="00451078">
              <w:rPr>
                <w:rFonts w:cs="Tahoma"/>
                <w:color w:val="000000"/>
                <w:spacing w:val="-1"/>
                <w:szCs w:val="18"/>
                <w:lang w:val="it-IT"/>
              </w:rPr>
              <w:t>nuovo</w:t>
            </w:r>
            <w:r w:rsidR="00874016" w:rsidRPr="00451078">
              <w:rPr>
                <w:rFonts w:cs="Tahoma"/>
                <w:color w:val="000000"/>
                <w:spacing w:val="-1"/>
                <w:szCs w:val="18"/>
                <w:lang w:val="it-IT"/>
              </w:rPr>
              <w:t> </w:t>
            </w:r>
            <w:r w:rsidRPr="00451078">
              <w:rPr>
                <w:rFonts w:cs="Tahoma"/>
                <w:color w:val="000000"/>
                <w:spacing w:val="-1"/>
                <w:szCs w:val="18"/>
                <w:lang w:val="it-IT"/>
              </w:rPr>
              <w:t>Contratto.</w:t>
            </w:r>
          </w:p>
          <w:p w:rsidR="00230E01" w:rsidRPr="00451078" w:rsidRDefault="00230E01" w:rsidP="00867CDF">
            <w:pPr>
              <w:spacing w:line="180" w:lineRule="exact"/>
              <w:rPr>
                <w:rFonts w:cs="Tahoma"/>
                <w:color w:val="000000"/>
                <w:szCs w:val="18"/>
                <w:lang w:val="it-IT"/>
              </w:rPr>
            </w:pPr>
          </w:p>
        </w:tc>
      </w:tr>
    </w:tbl>
    <w:p w:rsidR="00366502" w:rsidRPr="00FD62E4" w:rsidRDefault="00366502" w:rsidP="00FD62E4">
      <w:pPr>
        <w:pStyle w:val="Heading3"/>
        <w:rPr>
          <w:sz w:val="18"/>
          <w:szCs w:val="18"/>
          <w:lang w:val="it-IT"/>
        </w:rPr>
      </w:pPr>
      <w:bookmarkStart w:id="673" w:name="_Toc323159731"/>
      <w:bookmarkStart w:id="674" w:name="_Toc325609171"/>
      <w:bookmarkStart w:id="675" w:name="_Toc336338192"/>
    </w:p>
    <w:p w:rsidR="00456002" w:rsidRPr="00FB25FF" w:rsidRDefault="00456002" w:rsidP="00456002">
      <w:pPr>
        <w:pStyle w:val="Heading3"/>
        <w:ind w:right="720"/>
        <w:rPr>
          <w:sz w:val="24"/>
          <w:szCs w:val="24"/>
        </w:rPr>
      </w:pPr>
      <w:bookmarkStart w:id="676" w:name="_Toc352234787"/>
      <w:r w:rsidRPr="00FB25FF">
        <w:rPr>
          <w:rFonts w:ascii="Tahoma" w:hAnsi="Tahoma" w:cs="Tahoma"/>
          <w:sz w:val="24"/>
          <w:szCs w:val="24"/>
        </w:rPr>
        <w:t>Piattaforme</w:t>
      </w:r>
      <w:bookmarkEnd w:id="673"/>
      <w:bookmarkEnd w:id="674"/>
      <w:bookmarkEnd w:id="675"/>
      <w:bookmarkEnd w:id="676"/>
    </w:p>
    <w:p w:rsidR="00456002" w:rsidRPr="003410C7" w:rsidRDefault="00456002" w:rsidP="003157AE"/>
    <w:tbl>
      <w:tblPr>
        <w:tblW w:w="0" w:type="auto"/>
        <w:tblInd w:w="1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1890"/>
        <w:gridCol w:w="7308"/>
      </w:tblGrid>
      <w:tr w:rsidR="00456002" w:rsidRPr="003410C7" w:rsidTr="001A3EC5">
        <w:trPr>
          <w:tblHeader/>
        </w:trPr>
        <w:tc>
          <w:tcPr>
            <w:tcW w:w="1890" w:type="dxa"/>
            <w:shd w:val="clear" w:color="auto" w:fill="FABF8F"/>
          </w:tcPr>
          <w:p w:rsidR="00456002" w:rsidRPr="003410C7" w:rsidRDefault="00456002" w:rsidP="00E64551">
            <w:pPr>
              <w:rPr>
                <w:b/>
                <w:sz w:val="22"/>
                <w:lang w:eastAsia="ja-JP"/>
              </w:rPr>
            </w:pPr>
            <w:r w:rsidRPr="003410C7">
              <w:rPr>
                <w:b/>
                <w:sz w:val="22"/>
              </w:rPr>
              <w:t>Programmi</w:t>
            </w:r>
          </w:p>
        </w:tc>
        <w:tc>
          <w:tcPr>
            <w:tcW w:w="7308" w:type="dxa"/>
            <w:shd w:val="clear" w:color="auto" w:fill="FABF8F"/>
          </w:tcPr>
          <w:p w:rsidR="00456002" w:rsidRPr="003410C7" w:rsidRDefault="00456002" w:rsidP="005C647E">
            <w:pPr>
              <w:jc w:val="center"/>
              <w:rPr>
                <w:b/>
                <w:sz w:val="22"/>
                <w:lang w:eastAsia="ja-JP"/>
              </w:rPr>
            </w:pPr>
            <w:r w:rsidRPr="003410C7">
              <w:rPr>
                <w:b/>
                <w:sz w:val="22"/>
              </w:rPr>
              <w:t>Piattaforme</w:t>
            </w:r>
          </w:p>
        </w:tc>
      </w:tr>
      <w:tr w:rsidR="00456002" w:rsidRPr="00DC1102" w:rsidTr="00E72B9D">
        <w:tc>
          <w:tcPr>
            <w:tcW w:w="1890" w:type="dxa"/>
            <w:shd w:val="clear" w:color="auto" w:fill="auto"/>
          </w:tcPr>
          <w:p w:rsidR="00456002" w:rsidRPr="00451078" w:rsidRDefault="00DD367D" w:rsidP="00874016">
            <w:pPr>
              <w:spacing w:before="60"/>
              <w:rPr>
                <w:b/>
                <w:lang w:val="it-IT" w:eastAsia="ja-JP"/>
              </w:rPr>
            </w:pPr>
            <w:r w:rsidRPr="00451078">
              <w:rPr>
                <w:rFonts w:cs="Tahoma"/>
                <w:b/>
                <w:lang w:val="it-IT"/>
              </w:rPr>
              <w:t>Contratto Enterprise e</w:t>
            </w:r>
            <w:r w:rsidR="00874016" w:rsidRPr="00451078">
              <w:rPr>
                <w:rFonts w:cs="Tahoma"/>
                <w:b/>
                <w:lang w:val="it-IT"/>
              </w:rPr>
              <w:t> </w:t>
            </w:r>
            <w:r w:rsidRPr="00451078">
              <w:rPr>
                <w:rFonts w:cs="Tahoma"/>
                <w:b/>
                <w:lang w:val="it-IT"/>
              </w:rPr>
              <w:t>Contratto Enterprise Subscription</w:t>
            </w:r>
          </w:p>
        </w:tc>
        <w:tc>
          <w:tcPr>
            <w:tcW w:w="7308" w:type="dxa"/>
            <w:shd w:val="clear" w:color="auto" w:fill="auto"/>
          </w:tcPr>
          <w:p w:rsidR="00456002" w:rsidRPr="003410C7" w:rsidRDefault="00456002" w:rsidP="00BA3E14">
            <w:pPr>
              <w:pStyle w:val="ListParagraph"/>
              <w:numPr>
                <w:ilvl w:val="0"/>
                <w:numId w:val="122"/>
              </w:numPr>
              <w:spacing w:before="60" w:after="60"/>
              <w:ind w:left="245"/>
            </w:pPr>
            <w:r w:rsidRPr="003410C7">
              <w:rPr>
                <w:rFonts w:ascii="Tahoma" w:hAnsi="Tahoma" w:cs="Tahoma"/>
                <w:b/>
                <w:sz w:val="18"/>
              </w:rPr>
              <w:t>Prodotti della Piattaforma Enterprise Desktop</w:t>
            </w:r>
          </w:p>
          <w:p w:rsidR="00456002" w:rsidRPr="00451078" w:rsidRDefault="00456002" w:rsidP="00E904F3">
            <w:pPr>
              <w:rPr>
                <w:lang w:val="it-IT"/>
              </w:rPr>
            </w:pPr>
            <w:r w:rsidRPr="00451078">
              <w:rPr>
                <w:rFonts w:cs="Tahoma"/>
                <w:color w:val="000000"/>
                <w:szCs w:val="18"/>
                <w:lang w:val="it-IT"/>
              </w:rPr>
              <w:t>I prodotti della piattaforma Enterprise Desktop sono disponibili per le società con un</w:t>
            </w:r>
            <w:r w:rsidR="00874016" w:rsidRPr="00451078">
              <w:rPr>
                <w:rFonts w:cs="Tahoma"/>
                <w:color w:val="000000"/>
                <w:szCs w:val="18"/>
                <w:lang w:val="it-IT"/>
              </w:rPr>
              <w:t> </w:t>
            </w:r>
            <w:r w:rsidRPr="00451078">
              <w:rPr>
                <w:rFonts w:cs="Tahoma"/>
                <w:color w:val="000000"/>
                <w:szCs w:val="18"/>
                <w:lang w:val="it-IT"/>
              </w:rPr>
              <w:t xml:space="preserve">Contratto Enterprise. La Piattaforma Enterprise Desktop include la versione più aggiornata di Office </w:t>
            </w:r>
            <w:r w:rsidRPr="00451078">
              <w:rPr>
                <w:rFonts w:cs="Tahoma"/>
                <w:szCs w:val="18"/>
                <w:lang w:val="it-IT"/>
              </w:rPr>
              <w:t>Professional Plus</w:t>
            </w:r>
            <w:r w:rsidRPr="00451078">
              <w:rPr>
                <w:rFonts w:cs="Tahoma"/>
                <w:color w:val="000000"/>
                <w:szCs w:val="18"/>
                <w:lang w:val="it-IT"/>
              </w:rPr>
              <w:t>, dell</w:t>
            </w:r>
            <w:r w:rsidR="0073727D">
              <w:rPr>
                <w:rFonts w:cs="Tahoma"/>
                <w:color w:val="000000"/>
                <w:szCs w:val="18"/>
                <w:lang w:val="it-IT"/>
              </w:rPr>
              <w:t>’</w:t>
            </w:r>
            <w:r w:rsidRPr="00451078">
              <w:rPr>
                <w:rFonts w:cs="Tahoma"/>
                <w:color w:val="000000"/>
                <w:szCs w:val="18"/>
                <w:lang w:val="it-IT"/>
              </w:rPr>
              <w:t xml:space="preserve">Aggiornamento per il Sistema Operativo Windows 8 Pro o Windows Virtual Desktop Access (VDA) e la licenza Enterprise CAL Suite. I Prodotti della Piattaforma Enterprise Desktop sono indicati da una </w:t>
            </w:r>
            <w:r w:rsidR="001A3EC5" w:rsidRPr="00451078">
              <w:rPr>
                <w:rFonts w:cs="Tahoma"/>
                <w:color w:val="000000"/>
                <w:szCs w:val="18"/>
                <w:lang w:val="it-IT"/>
              </w:rPr>
              <w:t>“</w:t>
            </w:r>
            <w:r w:rsidRPr="00451078">
              <w:rPr>
                <w:rFonts w:cs="Tahoma"/>
                <w:color w:val="000000"/>
                <w:szCs w:val="18"/>
                <w:lang w:val="it-IT"/>
              </w:rPr>
              <w:t>E</w:t>
            </w:r>
            <w:r w:rsidR="001A3EC5" w:rsidRPr="00451078">
              <w:rPr>
                <w:rFonts w:cs="Tahoma"/>
                <w:color w:val="000000"/>
                <w:szCs w:val="18"/>
                <w:lang w:val="it-IT"/>
              </w:rPr>
              <w:t>”</w:t>
            </w:r>
            <w:r w:rsidRPr="00451078">
              <w:rPr>
                <w:rFonts w:cs="Tahoma"/>
                <w:color w:val="000000"/>
                <w:szCs w:val="18"/>
                <w:lang w:val="it-IT"/>
              </w:rPr>
              <w:t xml:space="preserve"> nelle colonne del Contratto Enterprise.</w:t>
            </w:r>
            <w:r w:rsidR="00082E1C" w:rsidRPr="00451078">
              <w:rPr>
                <w:rFonts w:cs="Tahoma"/>
                <w:color w:val="000000"/>
                <w:szCs w:val="18"/>
                <w:lang w:val="it-IT"/>
              </w:rPr>
              <w:t xml:space="preserve"> </w:t>
            </w:r>
            <w:r w:rsidRPr="00451078">
              <w:rPr>
                <w:rFonts w:cs="Tahoma"/>
                <w:color w:val="000000"/>
                <w:szCs w:val="18"/>
                <w:lang w:val="it-IT"/>
              </w:rPr>
              <w:t>Le società che hanno sottoscritto un Contratto Enterprise ed Enterprise Subscription possono anch</w:t>
            </w:r>
            <w:r w:rsidR="0073727D">
              <w:rPr>
                <w:rFonts w:cs="Tahoma"/>
                <w:color w:val="000000"/>
                <w:szCs w:val="18"/>
                <w:lang w:val="it-IT"/>
              </w:rPr>
              <w:t>’</w:t>
            </w:r>
            <w:r w:rsidRPr="00451078">
              <w:rPr>
                <w:rFonts w:cs="Tahoma"/>
                <w:color w:val="000000"/>
                <w:szCs w:val="18"/>
                <w:lang w:val="it-IT"/>
              </w:rPr>
              <w:t>esse acquistare la piattaforma Enterprise Desktop con MDOP.</w:t>
            </w:r>
          </w:p>
          <w:p w:rsidR="00456002" w:rsidRPr="00782440" w:rsidRDefault="00456002" w:rsidP="00BA3E14">
            <w:pPr>
              <w:rPr>
                <w:sz w:val="10"/>
                <w:szCs w:val="10"/>
                <w:lang w:val="it-IT"/>
              </w:rPr>
            </w:pPr>
          </w:p>
          <w:p w:rsidR="00456002" w:rsidRPr="003410C7" w:rsidRDefault="00456002" w:rsidP="00BA3E14">
            <w:pPr>
              <w:pStyle w:val="ListParagraph"/>
              <w:numPr>
                <w:ilvl w:val="0"/>
                <w:numId w:val="122"/>
              </w:numPr>
              <w:spacing w:after="60"/>
              <w:ind w:left="252"/>
            </w:pPr>
            <w:r w:rsidRPr="003410C7">
              <w:rPr>
                <w:rFonts w:ascii="Tahoma" w:hAnsi="Tahoma" w:cs="Tahoma"/>
                <w:b/>
                <w:sz w:val="18"/>
              </w:rPr>
              <w:t>Prodotti della Piattaforma Professional Desktop</w:t>
            </w:r>
          </w:p>
          <w:p w:rsidR="00456002" w:rsidRPr="00451078" w:rsidRDefault="00456002" w:rsidP="00E904F3">
            <w:pPr>
              <w:rPr>
                <w:lang w:val="it-IT"/>
              </w:rPr>
            </w:pPr>
            <w:r w:rsidRPr="00451078">
              <w:rPr>
                <w:rFonts w:cs="Tahoma"/>
                <w:color w:val="000000"/>
                <w:szCs w:val="18"/>
                <w:lang w:val="it-IT"/>
              </w:rPr>
              <w:t>I prodotti della piattaforma Professional Desktop sono disponibili per le società che hanno sottoscritto un Contratto Enterprise. La Piattaforma Professional Desktop include la versione più aggiornata di Office Professional Plus, l</w:t>
            </w:r>
            <w:r w:rsidR="0073727D">
              <w:rPr>
                <w:rFonts w:cs="Tahoma"/>
                <w:color w:val="000000"/>
                <w:szCs w:val="18"/>
                <w:lang w:val="it-IT"/>
              </w:rPr>
              <w:t>’</w:t>
            </w:r>
            <w:r w:rsidRPr="00451078">
              <w:rPr>
                <w:rFonts w:cs="Tahoma"/>
                <w:color w:val="000000"/>
                <w:szCs w:val="18"/>
                <w:lang w:val="it-IT"/>
              </w:rPr>
              <w:t>Aggiornamento per il Sistema Operativo Windows 8 Pro o Windows Virtual Enterprise Desktop Access (VDA) (solo per</w:t>
            </w:r>
            <w:r w:rsidR="00874016" w:rsidRPr="00451078">
              <w:rPr>
                <w:rFonts w:cs="Tahoma"/>
                <w:color w:val="000000"/>
                <w:szCs w:val="18"/>
                <w:lang w:val="it-IT"/>
              </w:rPr>
              <w:t> </w:t>
            </w:r>
            <w:r w:rsidRPr="00451078">
              <w:rPr>
                <w:rFonts w:cs="Tahoma"/>
                <w:color w:val="000000"/>
                <w:szCs w:val="18"/>
                <w:lang w:val="it-IT"/>
              </w:rPr>
              <w:t>i</w:t>
            </w:r>
            <w:r w:rsidR="00874016" w:rsidRPr="00451078">
              <w:rPr>
                <w:rFonts w:cs="Tahoma"/>
                <w:color w:val="000000"/>
                <w:szCs w:val="18"/>
                <w:lang w:val="it-IT"/>
              </w:rPr>
              <w:t> </w:t>
            </w:r>
            <w:r w:rsidRPr="00451078">
              <w:rPr>
                <w:rFonts w:cs="Tahoma"/>
                <w:color w:val="000000"/>
                <w:szCs w:val="18"/>
                <w:lang w:val="it-IT"/>
              </w:rPr>
              <w:t xml:space="preserve">Contratti EA) e la licenza Core CAL Suite. I prodotti della piattaforma Professional Desktop sono indicati da una </w:t>
            </w:r>
            <w:r w:rsidR="001A3EC5" w:rsidRPr="00451078">
              <w:rPr>
                <w:rFonts w:cs="Tahoma"/>
                <w:color w:val="000000"/>
                <w:szCs w:val="18"/>
                <w:lang w:val="it-IT"/>
              </w:rPr>
              <w:t>“</w:t>
            </w:r>
            <w:r w:rsidRPr="00451078">
              <w:rPr>
                <w:rFonts w:cs="Tahoma"/>
                <w:color w:val="000000"/>
                <w:szCs w:val="18"/>
                <w:lang w:val="it-IT"/>
              </w:rPr>
              <w:t>E</w:t>
            </w:r>
            <w:r w:rsidR="001A3EC5" w:rsidRPr="00451078">
              <w:rPr>
                <w:rFonts w:cs="Tahoma"/>
                <w:color w:val="000000"/>
                <w:szCs w:val="18"/>
                <w:lang w:val="it-IT"/>
              </w:rPr>
              <w:t>”</w:t>
            </w:r>
            <w:r w:rsidRPr="00451078">
              <w:rPr>
                <w:rFonts w:cs="Tahoma"/>
                <w:color w:val="000000"/>
                <w:szCs w:val="18"/>
                <w:lang w:val="it-IT"/>
              </w:rPr>
              <w:t xml:space="preserve"> nelle colonne del Contratto Enterprise. Le società che hanno sottoscritto un Contratto Enterprise ed Enterprise Subscription possono anch</w:t>
            </w:r>
            <w:r w:rsidR="0073727D">
              <w:rPr>
                <w:rFonts w:cs="Tahoma"/>
                <w:color w:val="000000"/>
                <w:szCs w:val="18"/>
                <w:lang w:val="it-IT"/>
              </w:rPr>
              <w:t>’</w:t>
            </w:r>
            <w:r w:rsidRPr="00451078">
              <w:rPr>
                <w:rFonts w:cs="Tahoma"/>
                <w:color w:val="000000"/>
                <w:szCs w:val="18"/>
                <w:lang w:val="it-IT"/>
              </w:rPr>
              <w:t>esse acquistare la piattaforma Professional Desktop con MDOP.</w:t>
            </w:r>
          </w:p>
          <w:p w:rsidR="00456002" w:rsidRPr="00451078" w:rsidRDefault="00456002" w:rsidP="00867CDF">
            <w:pPr>
              <w:spacing w:line="180" w:lineRule="exact"/>
              <w:rPr>
                <w:rFonts w:cs="Tahoma"/>
                <w:szCs w:val="18"/>
                <w:lang w:val="it-IT" w:eastAsia="ja-JP"/>
              </w:rPr>
            </w:pPr>
          </w:p>
        </w:tc>
      </w:tr>
      <w:tr w:rsidR="00456002" w:rsidRPr="00DC1102" w:rsidTr="00823454">
        <w:trPr>
          <w:trHeight w:val="1988"/>
        </w:trPr>
        <w:tc>
          <w:tcPr>
            <w:tcW w:w="1890" w:type="dxa"/>
            <w:shd w:val="clear" w:color="auto" w:fill="auto"/>
          </w:tcPr>
          <w:p w:rsidR="00456002" w:rsidRPr="00451078" w:rsidRDefault="00456002" w:rsidP="00867CDF">
            <w:pPr>
              <w:spacing w:before="60"/>
              <w:rPr>
                <w:b/>
                <w:lang w:val="it-IT" w:eastAsia="ja-JP"/>
              </w:rPr>
            </w:pPr>
            <w:r w:rsidRPr="00451078">
              <w:rPr>
                <w:b/>
                <w:sz w:val="20"/>
                <w:lang w:val="it-IT"/>
              </w:rPr>
              <w:t>Open Value e</w:t>
            </w:r>
            <w:r w:rsidR="00867CDF" w:rsidRPr="00451078">
              <w:rPr>
                <w:b/>
                <w:sz w:val="20"/>
                <w:lang w:val="it-IT"/>
              </w:rPr>
              <w:t> </w:t>
            </w:r>
            <w:r w:rsidRPr="00451078">
              <w:rPr>
                <w:b/>
                <w:sz w:val="20"/>
                <w:lang w:val="it-IT"/>
              </w:rPr>
              <w:t>Open Value Subscription (per Società Commerciali ed Enti Pubblici)</w:t>
            </w:r>
          </w:p>
        </w:tc>
        <w:tc>
          <w:tcPr>
            <w:tcW w:w="7308" w:type="dxa"/>
            <w:shd w:val="clear" w:color="auto" w:fill="auto"/>
          </w:tcPr>
          <w:p w:rsidR="00456002" w:rsidRPr="003410C7" w:rsidRDefault="00456002" w:rsidP="00745AB3">
            <w:pPr>
              <w:pStyle w:val="ListParagraph"/>
              <w:numPr>
                <w:ilvl w:val="0"/>
                <w:numId w:val="122"/>
              </w:numPr>
              <w:spacing w:before="60" w:after="60"/>
              <w:ind w:left="245"/>
            </w:pPr>
            <w:r w:rsidRPr="003410C7">
              <w:rPr>
                <w:rFonts w:ascii="Tahoma" w:hAnsi="Tahoma" w:cs="Tahoma"/>
                <w:b/>
                <w:sz w:val="18"/>
              </w:rPr>
              <w:t>Prodotti della Piattaforma Desktop Personalizzati</w:t>
            </w:r>
          </w:p>
          <w:p w:rsidR="00456002" w:rsidRPr="003526FB" w:rsidRDefault="00456002" w:rsidP="003526FB">
            <w:pPr>
              <w:rPr>
                <w:lang w:val="it-IT"/>
              </w:rPr>
            </w:pPr>
            <w:r w:rsidRPr="00451078">
              <w:rPr>
                <w:rFonts w:cs="Tahoma"/>
                <w:color w:val="000000"/>
                <w:szCs w:val="18"/>
                <w:lang w:val="it-IT"/>
              </w:rPr>
              <w:t>I Prodotti della Piattaforma Desktop Personalizzati sono disponibili per le società Open Value e Open Value Subscription quando scelgono l</w:t>
            </w:r>
            <w:r w:rsidR="0073727D">
              <w:rPr>
                <w:rFonts w:cs="Tahoma"/>
                <w:color w:val="000000"/>
                <w:szCs w:val="18"/>
                <w:lang w:val="it-IT"/>
              </w:rPr>
              <w:t>’</w:t>
            </w:r>
            <w:r w:rsidRPr="00451078">
              <w:rPr>
                <w:rFonts w:cs="Tahoma"/>
                <w:color w:val="000000"/>
                <w:szCs w:val="18"/>
                <w:lang w:val="it-IT"/>
              </w:rPr>
              <w:t>opzione per l</w:t>
            </w:r>
            <w:r w:rsidR="0073727D">
              <w:rPr>
                <w:rFonts w:cs="Tahoma"/>
                <w:color w:val="000000"/>
                <w:szCs w:val="18"/>
                <w:lang w:val="it-IT"/>
              </w:rPr>
              <w:t>’</w:t>
            </w:r>
            <w:r w:rsidRPr="00451078">
              <w:rPr>
                <w:rFonts w:cs="Tahoma"/>
                <w:szCs w:val="18"/>
                <w:lang w:val="it-IT"/>
              </w:rPr>
              <w:t>intera organizzazione/a livello aziendale</w:t>
            </w:r>
            <w:r w:rsidRPr="00451078">
              <w:rPr>
                <w:rFonts w:cs="Tahoma"/>
                <w:color w:val="000000"/>
                <w:szCs w:val="18"/>
                <w:lang w:val="it-IT"/>
              </w:rPr>
              <w:t>. La Piattaforma Desktop Personalizzata include le versioni correnti di Office Professional Plus, l</w:t>
            </w:r>
            <w:r w:rsidR="0073727D">
              <w:rPr>
                <w:rFonts w:cs="Tahoma"/>
                <w:color w:val="000000"/>
                <w:szCs w:val="18"/>
                <w:lang w:val="it-IT"/>
              </w:rPr>
              <w:t>’</w:t>
            </w:r>
            <w:r w:rsidRPr="00451078">
              <w:rPr>
                <w:rFonts w:cs="Tahoma"/>
                <w:color w:val="000000"/>
                <w:szCs w:val="18"/>
                <w:lang w:val="it-IT"/>
              </w:rPr>
              <w:t>Aggiornamento per il Sistema Operativo Windows 8 Pro*, la</w:t>
            </w:r>
            <w:r w:rsidR="00867CDF" w:rsidRPr="00451078">
              <w:rPr>
                <w:rFonts w:cs="Tahoma"/>
                <w:color w:val="000000"/>
                <w:szCs w:val="18"/>
                <w:lang w:val="it-IT"/>
              </w:rPr>
              <w:t> </w:t>
            </w:r>
            <w:r w:rsidRPr="00451078">
              <w:rPr>
                <w:rFonts w:cs="Tahoma"/>
                <w:color w:val="000000"/>
                <w:szCs w:val="18"/>
                <w:lang w:val="it-IT"/>
              </w:rPr>
              <w:t>licenza di accesso client per Enterprise CAL Suite, Core CAL Suite, Essential Business Server CAL Suite o Small Business Server CAL Suite. I Prodotti della Piattaforma Desktop</w:t>
            </w:r>
            <w:r w:rsidR="00867CDF" w:rsidRPr="00451078">
              <w:rPr>
                <w:rFonts w:cs="Tahoma"/>
                <w:color w:val="000000"/>
                <w:szCs w:val="18"/>
                <w:lang w:val="it-IT"/>
              </w:rPr>
              <w:t> </w:t>
            </w:r>
            <w:r w:rsidRPr="00451078">
              <w:rPr>
                <w:rFonts w:cs="Tahoma"/>
                <w:color w:val="000000"/>
                <w:szCs w:val="18"/>
                <w:lang w:val="it-IT"/>
              </w:rPr>
              <w:t xml:space="preserve">Personalizzati sono indicati da una </w:t>
            </w:r>
            <w:r w:rsidR="001A3EC5" w:rsidRPr="00451078">
              <w:rPr>
                <w:rFonts w:cs="Tahoma"/>
                <w:color w:val="000000"/>
                <w:szCs w:val="18"/>
                <w:lang w:val="it-IT"/>
              </w:rPr>
              <w:t>“</w:t>
            </w:r>
            <w:r w:rsidRPr="00451078">
              <w:rPr>
                <w:rFonts w:cs="Tahoma"/>
                <w:color w:val="000000"/>
                <w:szCs w:val="18"/>
                <w:lang w:val="it-IT"/>
              </w:rPr>
              <w:t>E</w:t>
            </w:r>
            <w:r w:rsidR="001A3EC5" w:rsidRPr="00451078">
              <w:rPr>
                <w:rFonts w:cs="Tahoma"/>
                <w:color w:val="000000"/>
                <w:szCs w:val="18"/>
                <w:lang w:val="it-IT"/>
              </w:rPr>
              <w:t>”</w:t>
            </w:r>
            <w:r w:rsidRPr="00451078">
              <w:rPr>
                <w:rFonts w:cs="Tahoma"/>
                <w:color w:val="000000"/>
                <w:szCs w:val="18"/>
                <w:lang w:val="it-IT"/>
              </w:rPr>
              <w:t xml:space="preserve"> nelle colonne Open Value.</w:t>
            </w:r>
            <w:r w:rsidR="00082E1C" w:rsidRPr="00451078">
              <w:rPr>
                <w:rFonts w:cs="Tahoma"/>
                <w:color w:val="000000"/>
                <w:szCs w:val="18"/>
                <w:lang w:val="it-IT"/>
              </w:rPr>
              <w:t xml:space="preserve"> </w:t>
            </w:r>
          </w:p>
        </w:tc>
      </w:tr>
      <w:tr w:rsidR="00456002" w:rsidRPr="00DC1102" w:rsidTr="00E72B9D">
        <w:trPr>
          <w:trHeight w:val="278"/>
        </w:trPr>
        <w:tc>
          <w:tcPr>
            <w:tcW w:w="1890" w:type="dxa"/>
            <w:shd w:val="clear" w:color="auto" w:fill="auto"/>
          </w:tcPr>
          <w:p w:rsidR="00456002" w:rsidRPr="00451078" w:rsidRDefault="00456002" w:rsidP="001A3EC5">
            <w:pPr>
              <w:spacing w:before="60"/>
              <w:rPr>
                <w:b/>
                <w:lang w:val="it-IT" w:eastAsia="ja-JP"/>
              </w:rPr>
            </w:pPr>
            <w:r w:rsidRPr="00451078">
              <w:rPr>
                <w:b/>
                <w:sz w:val="20"/>
                <w:lang w:val="it-IT"/>
              </w:rPr>
              <w:lastRenderedPageBreak/>
              <w:t>Piattaforme Academic (EES,</w:t>
            </w:r>
            <w:r w:rsidR="001A3EC5" w:rsidRPr="00451078">
              <w:rPr>
                <w:b/>
                <w:sz w:val="20"/>
                <w:lang w:val="it-IT"/>
              </w:rPr>
              <w:t> </w:t>
            </w:r>
            <w:r w:rsidRPr="00451078">
              <w:rPr>
                <w:b/>
                <w:sz w:val="20"/>
                <w:lang w:val="it-IT"/>
              </w:rPr>
              <w:t>OVS-ES e</w:t>
            </w:r>
            <w:r w:rsidR="001A3EC5" w:rsidRPr="00451078">
              <w:rPr>
                <w:b/>
                <w:sz w:val="20"/>
                <w:lang w:val="it-IT"/>
              </w:rPr>
              <w:t> </w:t>
            </w:r>
            <w:r w:rsidRPr="00451078">
              <w:rPr>
                <w:b/>
                <w:sz w:val="20"/>
                <w:lang w:val="it-IT"/>
              </w:rPr>
              <w:t>Contratto School)</w:t>
            </w:r>
          </w:p>
        </w:tc>
        <w:tc>
          <w:tcPr>
            <w:tcW w:w="7308" w:type="dxa"/>
            <w:shd w:val="clear" w:color="auto" w:fill="auto"/>
          </w:tcPr>
          <w:p w:rsidR="00821966" w:rsidRPr="00451078" w:rsidRDefault="00456002" w:rsidP="00745AB3">
            <w:pPr>
              <w:pStyle w:val="ListParagraph"/>
              <w:numPr>
                <w:ilvl w:val="0"/>
                <w:numId w:val="122"/>
              </w:numPr>
              <w:spacing w:before="60" w:after="60"/>
              <w:ind w:left="245"/>
              <w:contextualSpacing w:val="0"/>
              <w:rPr>
                <w:lang w:val="it-IT"/>
              </w:rPr>
            </w:pPr>
            <w:r w:rsidRPr="00451078">
              <w:rPr>
                <w:rFonts w:ascii="Tahoma" w:hAnsi="Tahoma" w:cs="Tahoma"/>
                <w:b/>
                <w:sz w:val="18"/>
                <w:lang w:val="it-IT"/>
              </w:rPr>
              <w:t>Prodotti della Piattaforma Desktop Education e Piattaforma Desktop School con Enterprise CAL Suite</w:t>
            </w:r>
          </w:p>
          <w:p w:rsidR="00456002" w:rsidRPr="00451078" w:rsidRDefault="00456002" w:rsidP="00745AB3">
            <w:pPr>
              <w:pStyle w:val="ListParagraph"/>
              <w:numPr>
                <w:ilvl w:val="0"/>
                <w:numId w:val="122"/>
              </w:numPr>
              <w:spacing w:after="60"/>
              <w:ind w:left="252"/>
              <w:rPr>
                <w:lang w:val="it-IT"/>
              </w:rPr>
            </w:pPr>
            <w:r w:rsidRPr="00451078">
              <w:rPr>
                <w:rFonts w:ascii="Tahoma" w:hAnsi="Tahoma" w:cs="Tahoma"/>
                <w:b/>
                <w:sz w:val="18"/>
                <w:lang w:val="it-IT"/>
              </w:rPr>
              <w:t>Prodotti della Piattaforma Desktop Education e Piattaforma Desktop School con Core CAL Suite</w:t>
            </w:r>
          </w:p>
          <w:p w:rsidR="00456002" w:rsidRPr="00451078" w:rsidRDefault="00456002" w:rsidP="004525CA">
            <w:pPr>
              <w:rPr>
                <w:lang w:val="it-IT"/>
              </w:rPr>
            </w:pPr>
            <w:r w:rsidRPr="00451078">
              <w:rPr>
                <w:rFonts w:cs="Tahoma"/>
                <w:szCs w:val="18"/>
                <w:lang w:val="it-IT"/>
              </w:rPr>
              <w:t>I Prodotti della Piattaforma Desktop Education sono disponibili per le società Enrollment for Education Solutions (EES) e Open Value Subscription - Education Solutions (OVS-ES). I Prodotti della Piattaforma Desktop School sono disponibili per le società che hanno sottoscritto un Contratto School. La Piattaforma Desktop Education con Enterprise CAL Suite e la Piattaforma Desktop School con Enterprise CAL Suite includono la versione più aggiornata di Office Professional Plus o Office per Mac, l</w:t>
            </w:r>
            <w:r w:rsidR="0073727D">
              <w:rPr>
                <w:rFonts w:cs="Tahoma"/>
                <w:szCs w:val="18"/>
                <w:lang w:val="it-IT"/>
              </w:rPr>
              <w:t>’</w:t>
            </w:r>
            <w:r w:rsidRPr="00451078">
              <w:rPr>
                <w:rFonts w:cs="Tahoma"/>
                <w:szCs w:val="18"/>
                <w:lang w:val="it-IT"/>
              </w:rPr>
              <w:t xml:space="preserve">Aggiornamento per il Sistema Operativo Windows 8 Pro e la licenza Enterprise CAL Suite. </w:t>
            </w:r>
          </w:p>
          <w:p w:rsidR="00456002" w:rsidRPr="00451078" w:rsidRDefault="00456002" w:rsidP="00FB25FF">
            <w:pPr>
              <w:rPr>
                <w:lang w:val="it-IT"/>
              </w:rPr>
            </w:pPr>
          </w:p>
          <w:p w:rsidR="00456002" w:rsidRPr="00451078" w:rsidRDefault="00456002" w:rsidP="00821966">
            <w:pPr>
              <w:rPr>
                <w:lang w:val="it-IT"/>
              </w:rPr>
            </w:pPr>
            <w:r w:rsidRPr="00451078">
              <w:rPr>
                <w:rFonts w:cs="Tahoma"/>
                <w:iCs/>
                <w:szCs w:val="18"/>
                <w:lang w:val="it-IT"/>
              </w:rPr>
              <w:t>Il Prodotto della Piattaforma Desktop School nel listino prezzi conta come 3 unità.</w:t>
            </w:r>
          </w:p>
          <w:p w:rsidR="00456002" w:rsidRPr="00451078" w:rsidRDefault="00456002" w:rsidP="00821966">
            <w:pPr>
              <w:rPr>
                <w:lang w:val="it-IT"/>
              </w:rPr>
            </w:pPr>
          </w:p>
          <w:p w:rsidR="00456002" w:rsidRPr="00451078" w:rsidRDefault="00456002" w:rsidP="004525CA">
            <w:pPr>
              <w:tabs>
                <w:tab w:val="left" w:pos="8640"/>
              </w:tabs>
              <w:ind w:right="720"/>
              <w:rPr>
                <w:lang w:val="it-IT"/>
              </w:rPr>
            </w:pPr>
            <w:r w:rsidRPr="00451078">
              <w:rPr>
                <w:rFonts w:cs="Tahoma"/>
                <w:b/>
                <w:bCs/>
                <w:color w:val="000000"/>
                <w:szCs w:val="18"/>
                <w:lang w:val="it-IT"/>
              </w:rPr>
              <w:t xml:space="preserve">Nota: </w:t>
            </w:r>
            <w:r w:rsidRPr="00451078">
              <w:rPr>
                <w:rFonts w:cs="Tahoma"/>
                <w:bCs/>
                <w:color w:val="000000"/>
                <w:szCs w:val="18"/>
                <w:lang w:val="it-IT"/>
              </w:rPr>
              <w:t>le società con contratti EES e OVS-ES non sono idonee a scegliere Prodotti della Piattaforma Desktop e singoli prodotti con CAL inclusi nella Core</w:t>
            </w:r>
            <w:r w:rsidR="00FB25FF" w:rsidRPr="00451078">
              <w:rPr>
                <w:rFonts w:cs="Tahoma"/>
                <w:bCs/>
                <w:color w:val="000000"/>
                <w:szCs w:val="18"/>
                <w:lang w:val="it-IT"/>
              </w:rPr>
              <w:t> </w:t>
            </w:r>
            <w:r w:rsidRPr="00451078">
              <w:rPr>
                <w:rFonts w:cs="Tahoma"/>
                <w:bCs/>
                <w:color w:val="000000"/>
                <w:szCs w:val="18"/>
                <w:lang w:val="it-IT"/>
              </w:rPr>
              <w:t>CAL Suite o nell</w:t>
            </w:r>
            <w:r w:rsidR="0073727D">
              <w:rPr>
                <w:rFonts w:cs="Tahoma"/>
                <w:bCs/>
                <w:color w:val="000000"/>
                <w:szCs w:val="18"/>
                <w:lang w:val="it-IT"/>
              </w:rPr>
              <w:t>’</w:t>
            </w:r>
            <w:r w:rsidRPr="00451078">
              <w:rPr>
                <w:rFonts w:cs="Tahoma"/>
                <w:bCs/>
                <w:color w:val="000000"/>
                <w:szCs w:val="18"/>
                <w:lang w:val="it-IT"/>
              </w:rPr>
              <w:t>Enterprise CAL Suite per un solo componente del Numero</w:t>
            </w:r>
            <w:r w:rsidR="00FB25FF" w:rsidRPr="00451078">
              <w:rPr>
                <w:rFonts w:cs="Tahoma"/>
                <w:bCs/>
                <w:color w:val="000000"/>
                <w:szCs w:val="18"/>
                <w:lang w:val="it-IT"/>
              </w:rPr>
              <w:t> </w:t>
            </w:r>
            <w:r w:rsidRPr="00451078">
              <w:rPr>
                <w:rFonts w:cs="Tahoma"/>
                <w:bCs/>
                <w:color w:val="000000"/>
                <w:szCs w:val="18"/>
                <w:lang w:val="it-IT"/>
              </w:rPr>
              <w:t>dell</w:t>
            </w:r>
            <w:r w:rsidR="0073727D">
              <w:rPr>
                <w:rFonts w:cs="Tahoma"/>
                <w:bCs/>
                <w:color w:val="000000"/>
                <w:szCs w:val="18"/>
                <w:lang w:val="it-IT"/>
              </w:rPr>
              <w:t>’</w:t>
            </w:r>
            <w:r w:rsidRPr="00451078">
              <w:rPr>
                <w:rFonts w:cs="Tahoma"/>
                <w:bCs/>
                <w:color w:val="000000"/>
                <w:szCs w:val="18"/>
                <w:lang w:val="it-IT"/>
              </w:rPr>
              <w:t>intera organizzazione e/o degli Studenti. Ad esempio, qualora la</w:t>
            </w:r>
            <w:r w:rsidR="00FB25FF" w:rsidRPr="00451078">
              <w:rPr>
                <w:rFonts w:cs="Tahoma"/>
                <w:bCs/>
                <w:color w:val="000000"/>
                <w:szCs w:val="18"/>
                <w:lang w:val="it-IT"/>
              </w:rPr>
              <w:t> </w:t>
            </w:r>
            <w:r w:rsidRPr="00451078">
              <w:rPr>
                <w:rFonts w:cs="Tahoma"/>
                <w:bCs/>
                <w:color w:val="000000"/>
                <w:szCs w:val="18"/>
                <w:lang w:val="it-IT"/>
              </w:rPr>
              <w:t>sottoscrizione sia applicabile a 1.200 dipendenti full time dell</w:t>
            </w:r>
            <w:r w:rsidR="0073727D">
              <w:rPr>
                <w:rFonts w:cs="Tahoma"/>
                <w:bCs/>
                <w:color w:val="000000"/>
                <w:szCs w:val="18"/>
                <w:lang w:val="it-IT"/>
              </w:rPr>
              <w:t>’</w:t>
            </w:r>
            <w:r w:rsidRPr="00451078">
              <w:rPr>
                <w:rFonts w:cs="Tahoma"/>
                <w:bCs/>
                <w:color w:val="000000"/>
                <w:szCs w:val="18"/>
                <w:lang w:val="it-IT"/>
              </w:rPr>
              <w:t>intera organizzazione, i Prodotti della Piattaforma Desktop e i prodotti dei componenti di CAL Suite selezionati saranno applicabili a 1.000 dipendenti dell</w:t>
            </w:r>
            <w:r w:rsidR="0073727D">
              <w:rPr>
                <w:rFonts w:cs="Tahoma"/>
                <w:bCs/>
                <w:color w:val="000000"/>
                <w:szCs w:val="18"/>
                <w:lang w:val="it-IT"/>
              </w:rPr>
              <w:t>’</w:t>
            </w:r>
            <w:r w:rsidRPr="00451078">
              <w:rPr>
                <w:rFonts w:cs="Tahoma"/>
                <w:bCs/>
                <w:color w:val="000000"/>
                <w:szCs w:val="18"/>
                <w:lang w:val="it-IT"/>
              </w:rPr>
              <w:t>intera organizzazione, anche nel caso in cui su un componente di tali PC venga eseguito un particolare prodotto della Piattaforma Desktop o un prodotto con</w:t>
            </w:r>
            <w:r w:rsidR="00F5274A" w:rsidRPr="00451078">
              <w:rPr>
                <w:rFonts w:cs="Tahoma"/>
                <w:bCs/>
                <w:color w:val="000000"/>
                <w:szCs w:val="18"/>
                <w:lang w:val="it-IT"/>
              </w:rPr>
              <w:t> </w:t>
            </w:r>
            <w:r w:rsidRPr="00451078">
              <w:rPr>
                <w:rFonts w:cs="Tahoma"/>
                <w:bCs/>
                <w:color w:val="000000"/>
                <w:szCs w:val="18"/>
                <w:lang w:val="it-IT"/>
              </w:rPr>
              <w:t>CAL del componente.</w:t>
            </w:r>
          </w:p>
          <w:p w:rsidR="00456002" w:rsidRPr="00451078" w:rsidRDefault="00456002" w:rsidP="005C647E">
            <w:pPr>
              <w:rPr>
                <w:rFonts w:cs="Tahoma"/>
                <w:szCs w:val="18"/>
                <w:lang w:val="it-IT" w:eastAsia="ja-JP"/>
              </w:rPr>
            </w:pPr>
          </w:p>
        </w:tc>
      </w:tr>
    </w:tbl>
    <w:p w:rsidR="00823454" w:rsidRPr="00823454" w:rsidRDefault="00823454" w:rsidP="002C46E7">
      <w:pPr>
        <w:rPr>
          <w:rFonts w:cs="Tahoma"/>
          <w:szCs w:val="18"/>
          <w:lang w:val="it-IT"/>
        </w:rPr>
      </w:pPr>
      <w:bookmarkStart w:id="677" w:name="_Toc336338193"/>
    </w:p>
    <w:p w:rsidR="004641FD" w:rsidRPr="00451078" w:rsidRDefault="00755633" w:rsidP="004641FD">
      <w:pPr>
        <w:pStyle w:val="Heading3"/>
        <w:ind w:right="720"/>
        <w:rPr>
          <w:lang w:val="it-IT"/>
        </w:rPr>
      </w:pPr>
      <w:bookmarkStart w:id="678" w:name="_Toc352234788"/>
      <w:r w:rsidRPr="00451078">
        <w:rPr>
          <w:rFonts w:ascii="Tahoma" w:hAnsi="Tahoma" w:cs="Tahoma"/>
          <w:sz w:val="24"/>
          <w:szCs w:val="22"/>
          <w:lang w:val="it-IT"/>
        </w:rPr>
        <w:t>Definizione di Gestione per i Dispositivi Qualificanti</w:t>
      </w:r>
      <w:bookmarkEnd w:id="677"/>
      <w:bookmarkEnd w:id="678"/>
    </w:p>
    <w:p w:rsidR="00406CB0" w:rsidRPr="00451078" w:rsidRDefault="00406CB0" w:rsidP="00406CB0">
      <w:pPr>
        <w:rPr>
          <w:lang w:val="it-IT"/>
        </w:rPr>
      </w:pPr>
    </w:p>
    <w:p w:rsidR="004641FD" w:rsidRPr="00451078" w:rsidRDefault="004641FD" w:rsidP="004641FD">
      <w:pPr>
        <w:rPr>
          <w:lang w:val="it-IT"/>
        </w:rPr>
      </w:pPr>
      <w:r w:rsidRPr="00451078">
        <w:rPr>
          <w:rFonts w:cs="Tahoma"/>
          <w:lang w:val="it-IT"/>
        </w:rPr>
        <w:t xml:space="preserve">Una società titolare di Contratti Multilicenza </w:t>
      </w:r>
      <w:r w:rsidR="001A3EC5" w:rsidRPr="00451078">
        <w:rPr>
          <w:rFonts w:cs="Tahoma"/>
          <w:lang w:val="it-IT"/>
        </w:rPr>
        <w:t>“</w:t>
      </w:r>
      <w:r w:rsidRPr="00451078">
        <w:rPr>
          <w:rFonts w:cs="Tahoma"/>
          <w:lang w:val="it-IT"/>
        </w:rPr>
        <w:t>gestisce</w:t>
      </w:r>
      <w:r w:rsidR="001A3EC5" w:rsidRPr="00451078">
        <w:rPr>
          <w:rFonts w:cs="Tahoma"/>
          <w:lang w:val="it-IT"/>
        </w:rPr>
        <w:t>”</w:t>
      </w:r>
      <w:r w:rsidRPr="00451078">
        <w:rPr>
          <w:rFonts w:cs="Tahoma"/>
          <w:lang w:val="it-IT"/>
        </w:rPr>
        <w:t xml:space="preserve"> qualsiasi dispositivo su cui controlla direttamente o</w:t>
      </w:r>
      <w:r w:rsidR="00867CDF" w:rsidRPr="00451078">
        <w:rPr>
          <w:rFonts w:cs="Tahoma"/>
          <w:lang w:val="it-IT"/>
        </w:rPr>
        <w:t> </w:t>
      </w:r>
      <w:r w:rsidRPr="00451078">
        <w:rPr>
          <w:rFonts w:cs="Tahoma"/>
          <w:lang w:val="it-IT"/>
        </w:rPr>
        <w:t>indirettamente uno o più ambienti del sistema operativo.</w:t>
      </w:r>
      <w:r w:rsidR="00082E1C" w:rsidRPr="00451078">
        <w:rPr>
          <w:rFonts w:cs="Tahoma"/>
          <w:lang w:val="it-IT"/>
        </w:rPr>
        <w:t xml:space="preserve"> </w:t>
      </w:r>
      <w:r w:rsidRPr="00451078">
        <w:rPr>
          <w:rFonts w:cs="Tahoma"/>
          <w:lang w:val="it-IT"/>
        </w:rPr>
        <w:t>Ad esempio, una società titolare di Contratti Multilicenza</w:t>
      </w:r>
      <w:r w:rsidR="00867CDF" w:rsidRPr="00451078">
        <w:rPr>
          <w:rFonts w:cs="Tahoma"/>
          <w:lang w:val="it-IT"/>
        </w:rPr>
        <w:t> </w:t>
      </w:r>
      <w:r w:rsidRPr="00451078">
        <w:rPr>
          <w:rFonts w:cs="Tahoma"/>
          <w:lang w:val="it-IT"/>
        </w:rPr>
        <w:t>gestisce qualsiasi dispositivo</w:t>
      </w:r>
    </w:p>
    <w:p w:rsidR="00406CB0" w:rsidRPr="00451078" w:rsidRDefault="00406CB0" w:rsidP="00822871">
      <w:pPr>
        <w:spacing w:after="60"/>
        <w:rPr>
          <w:lang w:val="it-IT"/>
        </w:rPr>
      </w:pPr>
    </w:p>
    <w:p w:rsidR="004641FD" w:rsidRPr="00451078" w:rsidRDefault="004641FD" w:rsidP="00822871">
      <w:pPr>
        <w:numPr>
          <w:ilvl w:val="0"/>
          <w:numId w:val="19"/>
        </w:numPr>
        <w:spacing w:after="60"/>
        <w:rPr>
          <w:lang w:val="it-IT"/>
        </w:rPr>
      </w:pPr>
      <w:r w:rsidRPr="00451078">
        <w:rPr>
          <w:rFonts w:cs="Tahoma"/>
          <w:lang w:val="it-IT"/>
        </w:rPr>
        <w:t>che autorizza a unirsi al suo dominio OPPURE</w:t>
      </w:r>
    </w:p>
    <w:p w:rsidR="004641FD" w:rsidRPr="00451078" w:rsidRDefault="004641FD" w:rsidP="00822871">
      <w:pPr>
        <w:numPr>
          <w:ilvl w:val="0"/>
          <w:numId w:val="19"/>
        </w:numPr>
        <w:spacing w:after="60"/>
        <w:rPr>
          <w:lang w:val="it-IT"/>
        </w:rPr>
      </w:pPr>
      <w:r w:rsidRPr="00451078">
        <w:rPr>
          <w:rFonts w:cs="Tahoma"/>
          <w:lang w:val="it-IT"/>
        </w:rPr>
        <w:t>che autentica come requisito per utilizzare le applicazioni mentre si trova in sede OPPURE</w:t>
      </w:r>
    </w:p>
    <w:p w:rsidR="004641FD" w:rsidRPr="00451078" w:rsidRDefault="004641FD" w:rsidP="00822871">
      <w:pPr>
        <w:numPr>
          <w:ilvl w:val="0"/>
          <w:numId w:val="19"/>
        </w:numPr>
        <w:spacing w:after="60"/>
        <w:rPr>
          <w:lang w:val="it-IT"/>
        </w:rPr>
      </w:pPr>
      <w:r w:rsidRPr="00451078">
        <w:rPr>
          <w:rFonts w:cs="Tahoma"/>
          <w:lang w:val="it-IT"/>
        </w:rPr>
        <w:t>su cui installa agenti (ad esempio, antivirus, antimalware o altri agenti imposti dai criteri della</w:t>
      </w:r>
      <w:r w:rsidR="00DC02DE" w:rsidRPr="00451078">
        <w:rPr>
          <w:rFonts w:cs="Tahoma"/>
          <w:lang w:val="it-IT"/>
        </w:rPr>
        <w:t> </w:t>
      </w:r>
      <w:r w:rsidRPr="00451078">
        <w:rPr>
          <w:rFonts w:cs="Tahoma"/>
          <w:lang w:val="it-IT"/>
        </w:rPr>
        <w:t>società) OPPURE</w:t>
      </w:r>
    </w:p>
    <w:p w:rsidR="004641FD" w:rsidRPr="00451078" w:rsidRDefault="004641FD" w:rsidP="00822871">
      <w:pPr>
        <w:numPr>
          <w:ilvl w:val="0"/>
          <w:numId w:val="19"/>
        </w:numPr>
        <w:spacing w:after="60"/>
        <w:rPr>
          <w:lang w:val="it-IT"/>
        </w:rPr>
      </w:pPr>
      <w:r w:rsidRPr="00451078">
        <w:rPr>
          <w:rFonts w:cs="Tahoma"/>
          <w:lang w:val="it-IT"/>
        </w:rPr>
        <w:t>al quale applica e per il quale rende attuabili* direttamente o indirettamente i criteri di gruppo OPPURE</w:t>
      </w:r>
    </w:p>
    <w:p w:rsidR="004641FD" w:rsidRPr="00451078" w:rsidRDefault="004641FD" w:rsidP="004525CA">
      <w:pPr>
        <w:numPr>
          <w:ilvl w:val="0"/>
          <w:numId w:val="19"/>
        </w:numPr>
        <w:spacing w:after="60"/>
        <w:rPr>
          <w:lang w:val="it-IT"/>
        </w:rPr>
      </w:pPr>
      <w:r w:rsidRPr="00451078">
        <w:rPr>
          <w:rFonts w:cs="Tahoma"/>
          <w:lang w:val="it-IT"/>
        </w:rPr>
        <w:t>tramite il quale richiede o riceve dati e configura o fornisce istruzioni all</w:t>
      </w:r>
      <w:r w:rsidR="0073727D">
        <w:rPr>
          <w:rFonts w:cs="Tahoma"/>
          <w:lang w:val="it-IT"/>
        </w:rPr>
        <w:t>’</w:t>
      </w:r>
      <w:r w:rsidRPr="00451078">
        <w:rPr>
          <w:rFonts w:cs="Tahoma"/>
          <w:lang w:val="it-IT"/>
        </w:rPr>
        <w:t>hardware o al software associato direttamente o indirettamente a un ambiente del sistema operativo OPPURE</w:t>
      </w:r>
    </w:p>
    <w:p w:rsidR="004641FD" w:rsidRPr="00451078" w:rsidRDefault="004641FD" w:rsidP="004525CA">
      <w:pPr>
        <w:numPr>
          <w:ilvl w:val="0"/>
          <w:numId w:val="19"/>
        </w:numPr>
        <w:spacing w:after="60"/>
        <w:rPr>
          <w:lang w:val="it-IT"/>
        </w:rPr>
      </w:pPr>
      <w:r w:rsidRPr="00451078">
        <w:rPr>
          <w:rFonts w:cs="Tahoma"/>
          <w:lang w:val="it-IT"/>
        </w:rPr>
        <w:t>che autorizza ad accedere a un</w:t>
      </w:r>
      <w:r w:rsidR="0073727D">
        <w:rPr>
          <w:rFonts w:cs="Tahoma"/>
          <w:lang w:val="it-IT"/>
        </w:rPr>
        <w:t>’</w:t>
      </w:r>
      <w:r w:rsidRPr="00451078">
        <w:rPr>
          <w:rFonts w:cs="Tahoma"/>
          <w:lang w:val="it-IT"/>
        </w:rPr>
        <w:t>infrastruttura desktop virtuale (Virtual Desktop Infrastructure o</w:t>
      </w:r>
      <w:r w:rsidR="00867CDF" w:rsidRPr="00451078">
        <w:rPr>
          <w:rFonts w:cs="Tahoma"/>
          <w:lang w:val="it-IT"/>
        </w:rPr>
        <w:t> </w:t>
      </w:r>
      <w:r w:rsidRPr="00451078">
        <w:rPr>
          <w:rFonts w:cs="Tahoma"/>
          <w:lang w:val="it-IT"/>
        </w:rPr>
        <w:t>VDI) esterna a Windows Software Assurance, Windows Intune (Per Dispositivo) o ai Diritti di</w:t>
      </w:r>
      <w:r w:rsidR="00867CDF" w:rsidRPr="00451078">
        <w:rPr>
          <w:rFonts w:cs="Tahoma"/>
          <w:lang w:val="it-IT"/>
        </w:rPr>
        <w:t> </w:t>
      </w:r>
      <w:r w:rsidRPr="00451078">
        <w:rPr>
          <w:rFonts w:cs="Tahoma"/>
          <w:lang w:val="it-IT"/>
        </w:rPr>
        <w:t>Roaming per Windows Virtual Desktop Access.</w:t>
      </w:r>
    </w:p>
    <w:p w:rsidR="00755633" w:rsidRPr="00451078" w:rsidRDefault="00755633" w:rsidP="00755633">
      <w:pPr>
        <w:ind w:left="1440"/>
        <w:rPr>
          <w:lang w:val="it-IT"/>
        </w:rPr>
      </w:pPr>
    </w:p>
    <w:p w:rsidR="004641FD" w:rsidRPr="00451078" w:rsidRDefault="004641FD" w:rsidP="004641FD">
      <w:pPr>
        <w:rPr>
          <w:lang w:val="it-IT"/>
        </w:rPr>
      </w:pPr>
      <w:r w:rsidRPr="00451078">
        <w:rPr>
          <w:rFonts w:cs="Tahoma"/>
          <w:lang w:val="it-IT"/>
        </w:rPr>
        <w:t>Un dispositivo che accede solo a un</w:t>
      </w:r>
      <w:r w:rsidR="0073727D">
        <w:rPr>
          <w:rFonts w:cs="Tahoma"/>
          <w:lang w:val="it-IT"/>
        </w:rPr>
        <w:t>’</w:t>
      </w:r>
      <w:r w:rsidRPr="00451078">
        <w:rPr>
          <w:rFonts w:cs="Tahoma"/>
          <w:lang w:val="it-IT"/>
        </w:rPr>
        <w:t>infrastruttura VDI ai sensi dei Diritti di Roaming o utilizza Windows To Go su</w:t>
      </w:r>
      <w:r w:rsidR="00867CDF" w:rsidRPr="00451078">
        <w:rPr>
          <w:rFonts w:cs="Tahoma"/>
          <w:lang w:val="it-IT"/>
        </w:rPr>
        <w:t> </w:t>
      </w:r>
      <w:r w:rsidRPr="00451078">
        <w:rPr>
          <w:rFonts w:cs="Tahoma"/>
          <w:lang w:val="it-IT"/>
        </w:rPr>
        <w:t>un</w:t>
      </w:r>
      <w:r w:rsidR="00867CDF" w:rsidRPr="00451078">
        <w:rPr>
          <w:rFonts w:cs="Tahoma"/>
          <w:lang w:val="it-IT"/>
        </w:rPr>
        <w:t> </w:t>
      </w:r>
      <w:r w:rsidRPr="00451078">
        <w:rPr>
          <w:rFonts w:cs="Tahoma"/>
          <w:lang w:val="it-IT"/>
        </w:rPr>
        <w:t>Dispositivo di Terzi Qualificante solo all</w:t>
      </w:r>
      <w:r w:rsidR="0073727D">
        <w:rPr>
          <w:rFonts w:cs="Tahoma"/>
          <w:lang w:val="it-IT"/>
        </w:rPr>
        <w:t>’</w:t>
      </w:r>
      <w:r w:rsidRPr="00451078">
        <w:rPr>
          <w:rFonts w:cs="Tahoma"/>
          <w:lang w:val="it-IT"/>
        </w:rPr>
        <w:t>esterno dei locali della società, e non viene gestito per altri scopi nella</w:t>
      </w:r>
      <w:r w:rsidR="00867CDF" w:rsidRPr="00451078">
        <w:rPr>
          <w:rFonts w:cs="Tahoma"/>
          <w:lang w:val="it-IT"/>
        </w:rPr>
        <w:t> </w:t>
      </w:r>
      <w:r w:rsidRPr="00451078">
        <w:rPr>
          <w:rFonts w:cs="Tahoma"/>
          <w:lang w:val="it-IT"/>
        </w:rPr>
        <w:t xml:space="preserve">modalità ivi descritta, non è considerato </w:t>
      </w:r>
      <w:r w:rsidR="001A3EC5" w:rsidRPr="00451078">
        <w:rPr>
          <w:rFonts w:cs="Tahoma"/>
          <w:lang w:val="it-IT"/>
        </w:rPr>
        <w:t>“</w:t>
      </w:r>
      <w:r w:rsidRPr="00451078">
        <w:rPr>
          <w:rFonts w:cs="Tahoma"/>
          <w:lang w:val="it-IT"/>
        </w:rPr>
        <w:t>gestito</w:t>
      </w:r>
      <w:r w:rsidR="001A3EC5" w:rsidRPr="00451078">
        <w:rPr>
          <w:rFonts w:cs="Tahoma"/>
          <w:lang w:val="it-IT"/>
        </w:rPr>
        <w:t>”</w:t>
      </w:r>
      <w:r w:rsidRPr="00451078">
        <w:rPr>
          <w:rFonts w:cs="Tahoma"/>
          <w:lang w:val="it-IT"/>
        </w:rPr>
        <w:t xml:space="preserve"> ai fini dell</w:t>
      </w:r>
      <w:r w:rsidR="0073727D">
        <w:rPr>
          <w:rFonts w:cs="Tahoma"/>
          <w:lang w:val="it-IT"/>
        </w:rPr>
        <w:t>’</w:t>
      </w:r>
      <w:r w:rsidRPr="00451078">
        <w:rPr>
          <w:rFonts w:cs="Tahoma"/>
          <w:lang w:val="it-IT"/>
        </w:rPr>
        <w:t>interpretazione della presente definizione.</w:t>
      </w:r>
    </w:p>
    <w:p w:rsidR="00755633" w:rsidRPr="00451078" w:rsidRDefault="00755633" w:rsidP="004641FD">
      <w:pPr>
        <w:rPr>
          <w:lang w:val="it-IT"/>
        </w:rPr>
      </w:pPr>
    </w:p>
    <w:p w:rsidR="00371299" w:rsidRPr="00451078" w:rsidRDefault="004641FD" w:rsidP="004525CA">
      <w:pPr>
        <w:rPr>
          <w:lang w:val="it-IT"/>
        </w:rPr>
      </w:pPr>
      <w:r w:rsidRPr="00451078">
        <w:rPr>
          <w:rFonts w:cs="Tahoma"/>
          <w:lang w:val="it-IT"/>
        </w:rPr>
        <w:t>*Una società titolare di Contratti Multilicenza che controlla la disponibilità di nuovi aggiornamenti per il software del</w:t>
      </w:r>
      <w:r w:rsidR="00867CDF" w:rsidRPr="00451078">
        <w:rPr>
          <w:rFonts w:cs="Tahoma"/>
          <w:lang w:val="it-IT"/>
        </w:rPr>
        <w:t> </w:t>
      </w:r>
      <w:r w:rsidRPr="00451078">
        <w:rPr>
          <w:rFonts w:cs="Tahoma"/>
          <w:lang w:val="it-IT"/>
        </w:rPr>
        <w:t>sistema operativo o la protezione/i virus, e che informa l</w:t>
      </w:r>
      <w:r w:rsidR="0073727D">
        <w:rPr>
          <w:rFonts w:cs="Tahoma"/>
          <w:lang w:val="it-IT"/>
        </w:rPr>
        <w:t>’</w:t>
      </w:r>
      <w:r w:rsidRPr="00451078">
        <w:rPr>
          <w:rFonts w:cs="Tahoma"/>
          <w:lang w:val="it-IT"/>
        </w:rPr>
        <w:t>utente solo nel caso in cui non siano aggiornati, non</w:t>
      </w:r>
      <w:r w:rsidR="00867CDF" w:rsidRPr="00451078">
        <w:rPr>
          <w:rFonts w:cs="Tahoma"/>
          <w:lang w:val="it-IT"/>
        </w:rPr>
        <w:t> </w:t>
      </w:r>
      <w:r w:rsidRPr="00451078">
        <w:rPr>
          <w:rFonts w:cs="Tahoma"/>
          <w:lang w:val="it-IT"/>
        </w:rPr>
        <w:t>sta</w:t>
      </w:r>
      <w:r w:rsidR="00867CDF" w:rsidRPr="00451078">
        <w:rPr>
          <w:rFonts w:cs="Tahoma"/>
          <w:lang w:val="it-IT"/>
        </w:rPr>
        <w:t> </w:t>
      </w:r>
      <w:r w:rsidR="00451078">
        <w:rPr>
          <w:rFonts w:cs="Tahoma"/>
          <w:lang w:val="it-IT"/>
        </w:rPr>
        <w:t>“</w:t>
      </w:r>
      <w:r w:rsidRPr="00451078">
        <w:rPr>
          <w:rFonts w:cs="Tahoma"/>
          <w:lang w:val="it-IT"/>
        </w:rPr>
        <w:t>attuando i criteri di gruppo</w:t>
      </w:r>
      <w:r w:rsidR="001A3EC5" w:rsidRPr="00451078">
        <w:rPr>
          <w:rFonts w:cs="Tahoma"/>
          <w:lang w:val="it-IT"/>
        </w:rPr>
        <w:t>”</w:t>
      </w:r>
      <w:r w:rsidRPr="00451078">
        <w:rPr>
          <w:rFonts w:cs="Tahoma"/>
          <w:lang w:val="it-IT"/>
        </w:rPr>
        <w:t xml:space="preserve"> per gli scopi previsti dal presente esempio.</w:t>
      </w:r>
      <w:r w:rsidR="00082E1C" w:rsidRPr="00451078">
        <w:rPr>
          <w:rFonts w:cs="Tahoma"/>
          <w:lang w:val="it-IT"/>
        </w:rPr>
        <w:t xml:space="preserve"> </w:t>
      </w:r>
    </w:p>
    <w:p w:rsidR="00867CDF" w:rsidRDefault="00867CDF" w:rsidP="00510F6B">
      <w:pPr>
        <w:rPr>
          <w:lang w:val="it-IT"/>
        </w:rPr>
      </w:pPr>
    </w:p>
    <w:p w:rsidR="002B01D6" w:rsidRPr="00451078" w:rsidRDefault="002B01D6" w:rsidP="00510F6B">
      <w:pPr>
        <w:rPr>
          <w:lang w:val="it-IT"/>
        </w:rPr>
      </w:pPr>
    </w:p>
    <w:p w:rsidR="00867CDF" w:rsidRDefault="00867CDF" w:rsidP="00510F6B">
      <w:pPr>
        <w:rPr>
          <w:lang w:val="it-IT"/>
        </w:rPr>
      </w:pPr>
    </w:p>
    <w:p w:rsidR="002C46E7" w:rsidRPr="00451078" w:rsidRDefault="002C46E7" w:rsidP="00510F6B">
      <w:pPr>
        <w:rPr>
          <w:lang w:val="it-IT"/>
        </w:rPr>
      </w:pPr>
    </w:p>
    <w:p w:rsidR="00406CB0" w:rsidRPr="00451078" w:rsidRDefault="00023FE7" w:rsidP="00406CB0">
      <w:pPr>
        <w:pStyle w:val="Heading3"/>
        <w:rPr>
          <w:lang w:val="it-IT"/>
        </w:rPr>
      </w:pPr>
      <w:bookmarkStart w:id="679" w:name="_Toc243157227"/>
      <w:bookmarkStart w:id="680" w:name="_Toc336338194"/>
      <w:bookmarkStart w:id="681" w:name="_Toc352234789"/>
      <w:r w:rsidRPr="00451078">
        <w:rPr>
          <w:rFonts w:ascii="Tahoma" w:hAnsi="Tahoma"/>
          <w:sz w:val="24"/>
          <w:lang w:val="it-IT"/>
        </w:rPr>
        <w:lastRenderedPageBreak/>
        <w:t>Prodotti Qualificati per lo Sconto Up-to-Date (UTD)</w:t>
      </w:r>
      <w:bookmarkEnd w:id="679"/>
      <w:bookmarkEnd w:id="680"/>
      <w:bookmarkEnd w:id="681"/>
    </w:p>
    <w:p w:rsidR="00406CB0" w:rsidRPr="00451078" w:rsidRDefault="00406CB0" w:rsidP="00406CB0">
      <w:pPr>
        <w:pStyle w:val="Heading3"/>
        <w:rPr>
          <w:lang w:val="it-IT"/>
        </w:rPr>
      </w:pPr>
    </w:p>
    <w:p w:rsidR="00023FE7" w:rsidRPr="00451078" w:rsidRDefault="00023FE7" w:rsidP="00477B4D">
      <w:pPr>
        <w:rPr>
          <w:lang w:val="it-IT"/>
        </w:rPr>
      </w:pPr>
      <w:r w:rsidRPr="00451078">
        <w:rPr>
          <w:lang w:val="it-IT"/>
        </w:rPr>
        <w:t xml:space="preserve">Le società Open Value Subscription sono idonee allo Sconto UTD durante il primo anno del contratto </w:t>
      </w:r>
      <w:r w:rsidR="001A3EC5" w:rsidRPr="00451078">
        <w:rPr>
          <w:lang w:val="it-IT"/>
        </w:rPr>
        <w:t>“</w:t>
      </w:r>
      <w:r w:rsidRPr="00451078">
        <w:rPr>
          <w:lang w:val="it-IT"/>
        </w:rPr>
        <w:t>subscription</w:t>
      </w:r>
      <w:r w:rsidR="001A3EC5" w:rsidRPr="00451078">
        <w:rPr>
          <w:lang w:val="it-IT"/>
        </w:rPr>
        <w:t>”</w:t>
      </w:r>
      <w:r w:rsidRPr="00451078">
        <w:rPr>
          <w:lang w:val="it-IT"/>
        </w:rPr>
        <w:t xml:space="preserve">. Le società qualificanti potranno acquistare le Licenze UTD indicate di seguito, qualora siano in possesso della licenza per una delle versioni qualificanti corrispondenti precedenti o correnti tramite OEM, FPP o Contratti Multilicenza. </w:t>
      </w:r>
      <w:r w:rsidRPr="00451078">
        <w:rPr>
          <w:color w:val="000000"/>
          <w:lang w:val="it-IT"/>
        </w:rPr>
        <w:t>A</w:t>
      </w:r>
      <w:r w:rsidR="00867CDF" w:rsidRPr="00451078">
        <w:rPr>
          <w:color w:val="000000"/>
          <w:lang w:val="it-IT"/>
        </w:rPr>
        <w:t> </w:t>
      </w:r>
      <w:r w:rsidRPr="00451078">
        <w:rPr>
          <w:color w:val="000000"/>
          <w:lang w:val="it-IT"/>
        </w:rPr>
        <w:t>livello generale, lo sconto viene concesso solo alla versione corrente del prodotto o alla versione immediatamente precedente. Lo Sconto UTD è indipendente dalla piattaforma, pertanto anche Mac avrà diritto allo sconto.</w:t>
      </w:r>
    </w:p>
    <w:p w:rsidR="00C353DE" w:rsidRPr="00451078" w:rsidRDefault="00C353DE">
      <w:pPr>
        <w:pStyle w:val="FootnoteBulletLevel1"/>
        <w:ind w:left="360" w:right="720" w:firstLine="0"/>
        <w:rPr>
          <w:lang w:val="it-IT"/>
        </w:rPr>
      </w:pPr>
    </w:p>
    <w:tbl>
      <w:tblPr>
        <w:tblW w:w="0" w:type="auto"/>
        <w:tblInd w:w="730" w:type="dxa"/>
        <w:tblCellMar>
          <w:left w:w="0" w:type="dxa"/>
          <w:right w:w="0" w:type="dxa"/>
        </w:tblCellMar>
        <w:tblLook w:val="04A0" w:firstRow="1" w:lastRow="0" w:firstColumn="1" w:lastColumn="0" w:noHBand="0" w:noVBand="1"/>
      </w:tblPr>
      <w:tblGrid>
        <w:gridCol w:w="3809"/>
        <w:gridCol w:w="4298"/>
      </w:tblGrid>
      <w:tr w:rsidR="00023FE7" w:rsidRPr="003410C7" w:rsidTr="0044720D">
        <w:trPr>
          <w:tblHeader/>
        </w:trPr>
        <w:tc>
          <w:tcPr>
            <w:tcW w:w="3809" w:type="dxa"/>
            <w:tcBorders>
              <w:top w:val="single" w:sz="8" w:space="0" w:color="auto"/>
              <w:left w:val="single" w:sz="8" w:space="0" w:color="auto"/>
              <w:bottom w:val="single" w:sz="8" w:space="0" w:color="auto"/>
              <w:right w:val="single" w:sz="8" w:space="0" w:color="auto"/>
            </w:tcBorders>
            <w:shd w:val="clear" w:color="auto" w:fill="FFCC99"/>
          </w:tcPr>
          <w:p w:rsidR="00023FE7" w:rsidRPr="003410C7" w:rsidRDefault="00023FE7">
            <w:pPr>
              <w:ind w:right="720"/>
              <w:jc w:val="center"/>
              <w:rPr>
                <w:rFonts w:eastAsia="Calibri" w:cs="Tahoma"/>
                <w:b/>
                <w:bCs/>
                <w:color w:val="404040"/>
              </w:rPr>
            </w:pPr>
            <w:r w:rsidRPr="003410C7">
              <w:rPr>
                <w:rFonts w:cs="Tahoma"/>
                <w:b/>
                <w:bCs/>
              </w:rPr>
              <w:t>Licenza UTD</w:t>
            </w:r>
          </w:p>
        </w:tc>
        <w:tc>
          <w:tcPr>
            <w:tcW w:w="4298" w:type="dxa"/>
            <w:tcBorders>
              <w:top w:val="single" w:sz="8" w:space="0" w:color="auto"/>
              <w:left w:val="nil"/>
              <w:bottom w:val="single" w:sz="8" w:space="0" w:color="auto"/>
              <w:right w:val="single" w:sz="8" w:space="0" w:color="auto"/>
            </w:tcBorders>
            <w:shd w:val="clear" w:color="auto" w:fill="FFCC99"/>
          </w:tcPr>
          <w:p w:rsidR="00023FE7" w:rsidRPr="003410C7" w:rsidRDefault="00023FE7">
            <w:pPr>
              <w:ind w:right="720"/>
              <w:jc w:val="center"/>
              <w:rPr>
                <w:rFonts w:eastAsia="Calibri" w:cs="Tahoma"/>
                <w:b/>
                <w:bCs/>
                <w:color w:val="404040"/>
              </w:rPr>
            </w:pPr>
            <w:r w:rsidRPr="003410C7">
              <w:rPr>
                <w:rFonts w:cs="Tahoma"/>
                <w:b/>
                <w:bCs/>
              </w:rPr>
              <w:t>Versione Qualificante</w:t>
            </w:r>
          </w:p>
        </w:tc>
      </w:tr>
      <w:tr w:rsidR="00023FE7" w:rsidRPr="003410C7" w:rsidTr="0044720D">
        <w:trPr>
          <w:trHeight w:val="576"/>
        </w:trPr>
        <w:tc>
          <w:tcPr>
            <w:tcW w:w="3809" w:type="dxa"/>
            <w:tcBorders>
              <w:top w:val="nil"/>
              <w:left w:val="single" w:sz="8" w:space="0" w:color="auto"/>
              <w:bottom w:val="single" w:sz="8" w:space="0" w:color="auto"/>
              <w:right w:val="single" w:sz="8" w:space="0" w:color="auto"/>
            </w:tcBorders>
          </w:tcPr>
          <w:p w:rsidR="00023FE7" w:rsidRPr="003410C7" w:rsidRDefault="00023FE7" w:rsidP="00230E01">
            <w:pPr>
              <w:spacing w:before="60"/>
              <w:ind w:left="360" w:right="720"/>
              <w:jc w:val="center"/>
              <w:rPr>
                <w:rFonts w:eastAsia="Calibri" w:cs="Tahoma"/>
                <w:szCs w:val="18"/>
              </w:rPr>
            </w:pPr>
            <w:r w:rsidRPr="003410C7">
              <w:rPr>
                <w:rFonts w:cs="Tahoma"/>
                <w:szCs w:val="18"/>
              </w:rPr>
              <w:t>Core CAL (Dispositivo o Utente)</w:t>
            </w:r>
          </w:p>
        </w:tc>
        <w:tc>
          <w:tcPr>
            <w:tcW w:w="4298" w:type="dxa"/>
            <w:tcBorders>
              <w:top w:val="nil"/>
              <w:left w:val="nil"/>
              <w:bottom w:val="single" w:sz="8" w:space="0" w:color="auto"/>
              <w:right w:val="single" w:sz="8" w:space="0" w:color="auto"/>
            </w:tcBorders>
          </w:tcPr>
          <w:p w:rsidR="00023FE7" w:rsidRPr="003410C7" w:rsidRDefault="00023FE7" w:rsidP="00230E01">
            <w:pPr>
              <w:pStyle w:val="Bulletedlistflush"/>
              <w:spacing w:before="60"/>
              <w:ind w:left="576" w:right="720" w:firstLine="0"/>
              <w:jc w:val="center"/>
            </w:pPr>
            <w:r w:rsidRPr="003410C7">
              <w:rPr>
                <w:rFonts w:ascii="Tahoma" w:hAnsi="Tahoma" w:cs="Tahoma"/>
                <w:sz w:val="18"/>
                <w:szCs w:val="18"/>
              </w:rPr>
              <w:t>Qualsiasi Core CAL</w:t>
            </w:r>
          </w:p>
          <w:p w:rsidR="00023FE7" w:rsidRPr="003410C7" w:rsidRDefault="00023FE7" w:rsidP="00230E01">
            <w:pPr>
              <w:pStyle w:val="Bulletedlistflush"/>
              <w:ind w:left="576" w:right="720" w:firstLine="0"/>
              <w:jc w:val="center"/>
              <w:rPr>
                <w:rFonts w:ascii="Tahoma" w:hAnsi="Tahoma" w:cs="Tahoma"/>
                <w:sz w:val="18"/>
                <w:szCs w:val="18"/>
              </w:rPr>
            </w:pPr>
          </w:p>
        </w:tc>
      </w:tr>
      <w:tr w:rsidR="00023FE7" w:rsidRPr="003410C7" w:rsidTr="0044720D">
        <w:trPr>
          <w:trHeight w:val="576"/>
        </w:trPr>
        <w:tc>
          <w:tcPr>
            <w:tcW w:w="3809" w:type="dxa"/>
            <w:tcBorders>
              <w:top w:val="nil"/>
              <w:left w:val="single" w:sz="8" w:space="0" w:color="auto"/>
              <w:bottom w:val="single" w:sz="8" w:space="0" w:color="auto"/>
              <w:right w:val="single" w:sz="8" w:space="0" w:color="auto"/>
            </w:tcBorders>
          </w:tcPr>
          <w:p w:rsidR="00023FE7" w:rsidRPr="003410C7" w:rsidRDefault="00023FE7" w:rsidP="00DC02DE">
            <w:pPr>
              <w:spacing w:before="60"/>
              <w:ind w:left="360" w:right="720"/>
              <w:jc w:val="center"/>
              <w:rPr>
                <w:rFonts w:eastAsia="Calibri" w:cs="Tahoma"/>
                <w:szCs w:val="18"/>
              </w:rPr>
            </w:pPr>
            <w:r w:rsidRPr="003410C7">
              <w:rPr>
                <w:rFonts w:cs="Tahoma"/>
                <w:szCs w:val="18"/>
              </w:rPr>
              <w:t>Enterprise CAL (Dispositivo</w:t>
            </w:r>
            <w:r w:rsidR="00DC02DE">
              <w:rPr>
                <w:rFonts w:cs="Tahoma"/>
                <w:szCs w:val="18"/>
              </w:rPr>
              <w:t> </w:t>
            </w:r>
            <w:r w:rsidRPr="003410C7">
              <w:rPr>
                <w:rFonts w:cs="Tahoma"/>
                <w:szCs w:val="18"/>
              </w:rPr>
              <w:t>o</w:t>
            </w:r>
            <w:r w:rsidR="00867CDF">
              <w:rPr>
                <w:rFonts w:cs="Tahoma"/>
                <w:szCs w:val="18"/>
              </w:rPr>
              <w:t> </w:t>
            </w:r>
            <w:r w:rsidRPr="003410C7">
              <w:rPr>
                <w:rFonts w:cs="Tahoma"/>
                <w:szCs w:val="18"/>
              </w:rPr>
              <w:t>Utente)</w:t>
            </w:r>
          </w:p>
        </w:tc>
        <w:tc>
          <w:tcPr>
            <w:tcW w:w="4298" w:type="dxa"/>
            <w:tcBorders>
              <w:top w:val="nil"/>
              <w:left w:val="nil"/>
              <w:bottom w:val="single" w:sz="8" w:space="0" w:color="auto"/>
              <w:right w:val="single" w:sz="8" w:space="0" w:color="auto"/>
            </w:tcBorders>
          </w:tcPr>
          <w:p w:rsidR="00023FE7" w:rsidRPr="003410C7" w:rsidRDefault="00023FE7" w:rsidP="00230E01">
            <w:pPr>
              <w:pStyle w:val="Bulletedlistflush"/>
              <w:spacing w:before="60"/>
              <w:ind w:left="576" w:right="720" w:firstLine="0"/>
              <w:jc w:val="center"/>
              <w:rPr>
                <w:rFonts w:ascii="Tahoma" w:hAnsi="Tahoma" w:cs="Tahoma"/>
                <w:sz w:val="18"/>
                <w:szCs w:val="18"/>
              </w:rPr>
            </w:pPr>
            <w:r w:rsidRPr="003410C7">
              <w:rPr>
                <w:rFonts w:ascii="Tahoma" w:hAnsi="Tahoma" w:cs="Tahoma"/>
                <w:sz w:val="18"/>
                <w:szCs w:val="18"/>
              </w:rPr>
              <w:t>Qualsiasi Enterprise CAL</w:t>
            </w:r>
          </w:p>
        </w:tc>
      </w:tr>
      <w:tr w:rsidR="0000615E" w:rsidRPr="003410C7" w:rsidTr="0044720D">
        <w:trPr>
          <w:trHeight w:val="576"/>
        </w:trPr>
        <w:tc>
          <w:tcPr>
            <w:tcW w:w="3809" w:type="dxa"/>
            <w:tcBorders>
              <w:top w:val="nil"/>
              <w:left w:val="single" w:sz="8" w:space="0" w:color="auto"/>
              <w:bottom w:val="single" w:sz="8" w:space="0" w:color="auto"/>
              <w:right w:val="single" w:sz="8" w:space="0" w:color="auto"/>
            </w:tcBorders>
          </w:tcPr>
          <w:p w:rsidR="0000615E" w:rsidRPr="003410C7" w:rsidRDefault="0000615E" w:rsidP="00230E01">
            <w:pPr>
              <w:spacing w:before="60"/>
              <w:ind w:left="360" w:right="720"/>
              <w:jc w:val="center"/>
              <w:rPr>
                <w:rFonts w:eastAsia="Calibri" w:cs="Tahoma"/>
                <w:szCs w:val="18"/>
              </w:rPr>
            </w:pPr>
            <w:r w:rsidRPr="003410C7">
              <w:rPr>
                <w:rFonts w:cs="Tahoma"/>
                <w:szCs w:val="18"/>
              </w:rPr>
              <w:t>Office Professional Plus 2013</w:t>
            </w:r>
          </w:p>
        </w:tc>
        <w:tc>
          <w:tcPr>
            <w:tcW w:w="4298" w:type="dxa"/>
            <w:tcBorders>
              <w:top w:val="nil"/>
              <w:left w:val="nil"/>
              <w:bottom w:val="single" w:sz="8" w:space="0" w:color="auto"/>
              <w:right w:val="single" w:sz="8" w:space="0" w:color="auto"/>
            </w:tcBorders>
          </w:tcPr>
          <w:p w:rsidR="008B2AA7" w:rsidRPr="00451078" w:rsidRDefault="008B2AA7" w:rsidP="00230E01">
            <w:pPr>
              <w:pStyle w:val="Bulletedlistflush"/>
              <w:spacing w:before="60"/>
              <w:ind w:left="576" w:right="720" w:firstLine="0"/>
              <w:jc w:val="center"/>
              <w:rPr>
                <w:lang w:val="fr-FR"/>
              </w:rPr>
            </w:pPr>
            <w:r w:rsidRPr="00451078">
              <w:rPr>
                <w:rFonts w:ascii="Tahoma" w:hAnsi="Tahoma" w:cs="Tahoma"/>
                <w:sz w:val="18"/>
                <w:szCs w:val="18"/>
                <w:lang w:val="fr-FR"/>
              </w:rPr>
              <w:t>Office Professional Plus 2013</w:t>
            </w:r>
          </w:p>
          <w:p w:rsidR="0000615E" w:rsidRPr="00451078" w:rsidRDefault="0000615E" w:rsidP="00230E01">
            <w:pPr>
              <w:pStyle w:val="Bulletedlistflush"/>
              <w:ind w:left="576" w:right="720" w:firstLine="0"/>
              <w:jc w:val="center"/>
              <w:rPr>
                <w:lang w:val="fr-FR"/>
              </w:rPr>
            </w:pPr>
            <w:r w:rsidRPr="00451078">
              <w:rPr>
                <w:rFonts w:ascii="Tahoma" w:hAnsi="Tahoma" w:cs="Tahoma"/>
                <w:sz w:val="18"/>
                <w:szCs w:val="18"/>
                <w:lang w:val="fr-FR"/>
              </w:rPr>
              <w:t>Office Professional Plus 2010</w:t>
            </w:r>
          </w:p>
          <w:p w:rsidR="002D0FAC" w:rsidRPr="003410C7" w:rsidRDefault="002D0FAC" w:rsidP="00230E01">
            <w:pPr>
              <w:pStyle w:val="Bulletedlistflush"/>
              <w:ind w:left="576" w:right="720" w:firstLine="0"/>
              <w:jc w:val="center"/>
            </w:pPr>
            <w:r w:rsidRPr="003410C7">
              <w:rPr>
                <w:rFonts w:ascii="Tahoma" w:hAnsi="Tahoma" w:cs="Tahoma"/>
                <w:sz w:val="18"/>
                <w:szCs w:val="18"/>
              </w:rPr>
              <w:t>Office 2013 Professional</w:t>
            </w:r>
          </w:p>
          <w:p w:rsidR="0000615E" w:rsidRPr="003410C7" w:rsidRDefault="0000615E" w:rsidP="00230E01">
            <w:pPr>
              <w:pStyle w:val="Bulletedlistflush"/>
              <w:ind w:left="576" w:right="720" w:firstLine="0"/>
              <w:jc w:val="center"/>
            </w:pPr>
            <w:r w:rsidRPr="003410C7">
              <w:rPr>
                <w:rFonts w:ascii="Tahoma" w:hAnsi="Tahoma" w:cs="Tahoma"/>
                <w:sz w:val="18"/>
                <w:szCs w:val="18"/>
              </w:rPr>
              <w:t>Office 2010 Professional</w:t>
            </w:r>
          </w:p>
          <w:p w:rsidR="0000615E" w:rsidRPr="003410C7" w:rsidRDefault="0000615E" w:rsidP="008B2AA7">
            <w:pPr>
              <w:pStyle w:val="Bulletedlistflush"/>
              <w:ind w:left="576" w:right="720" w:firstLine="0"/>
              <w:jc w:val="center"/>
              <w:rPr>
                <w:rFonts w:ascii="Tahoma" w:hAnsi="Tahoma" w:cs="Tahoma"/>
                <w:sz w:val="18"/>
                <w:szCs w:val="18"/>
              </w:rPr>
            </w:pPr>
          </w:p>
        </w:tc>
      </w:tr>
      <w:tr w:rsidR="00023FE7" w:rsidRPr="003410C7" w:rsidTr="0044720D">
        <w:trPr>
          <w:trHeight w:val="576"/>
        </w:trPr>
        <w:tc>
          <w:tcPr>
            <w:tcW w:w="3809" w:type="dxa"/>
            <w:tcBorders>
              <w:top w:val="nil"/>
              <w:left w:val="single" w:sz="8" w:space="0" w:color="auto"/>
              <w:bottom w:val="single" w:sz="8" w:space="0" w:color="auto"/>
              <w:right w:val="single" w:sz="8" w:space="0" w:color="auto"/>
            </w:tcBorders>
          </w:tcPr>
          <w:p w:rsidR="00023FE7" w:rsidRPr="003410C7" w:rsidRDefault="00023FE7" w:rsidP="00DC02DE">
            <w:pPr>
              <w:spacing w:before="60"/>
              <w:ind w:left="360" w:right="720"/>
              <w:jc w:val="center"/>
              <w:rPr>
                <w:rFonts w:eastAsia="Calibri" w:cs="Tahoma"/>
                <w:color w:val="000000"/>
                <w:szCs w:val="18"/>
              </w:rPr>
            </w:pPr>
            <w:r w:rsidRPr="003410C7">
              <w:rPr>
                <w:rFonts w:cs="Tahoma"/>
                <w:color w:val="000000"/>
                <w:szCs w:val="18"/>
              </w:rPr>
              <w:t>CAL per Small Business Server</w:t>
            </w:r>
            <w:r w:rsidR="00DC02DE">
              <w:rPr>
                <w:rFonts w:cs="Tahoma"/>
                <w:color w:val="000000"/>
                <w:szCs w:val="18"/>
              </w:rPr>
              <w:t> </w:t>
            </w:r>
            <w:r w:rsidRPr="003410C7">
              <w:rPr>
                <w:rFonts w:cs="Tahoma"/>
                <w:color w:val="000000"/>
                <w:szCs w:val="18"/>
              </w:rPr>
              <w:t>Standard 2011 (Dispositivo</w:t>
            </w:r>
            <w:r w:rsidR="00DC02DE">
              <w:rPr>
                <w:rFonts w:cs="Tahoma"/>
                <w:color w:val="000000"/>
                <w:szCs w:val="18"/>
              </w:rPr>
              <w:t> </w:t>
            </w:r>
            <w:r w:rsidRPr="003410C7">
              <w:rPr>
                <w:rFonts w:cs="Tahoma"/>
                <w:color w:val="000000"/>
                <w:szCs w:val="18"/>
              </w:rPr>
              <w:t>o Utente)</w:t>
            </w:r>
          </w:p>
        </w:tc>
        <w:tc>
          <w:tcPr>
            <w:tcW w:w="4298" w:type="dxa"/>
            <w:tcBorders>
              <w:top w:val="nil"/>
              <w:left w:val="nil"/>
              <w:bottom w:val="single" w:sz="8" w:space="0" w:color="auto"/>
              <w:right w:val="single" w:sz="8" w:space="0" w:color="auto"/>
            </w:tcBorders>
          </w:tcPr>
          <w:p w:rsidR="00684C4D" w:rsidRPr="003410C7" w:rsidRDefault="00684C4D" w:rsidP="00230E01">
            <w:pPr>
              <w:spacing w:before="60"/>
              <w:ind w:left="576" w:right="720"/>
              <w:jc w:val="center"/>
            </w:pPr>
            <w:r w:rsidRPr="003410C7">
              <w:rPr>
                <w:rFonts w:eastAsia="Calibri" w:cs="Tahoma"/>
                <w:color w:val="000000"/>
                <w:szCs w:val="18"/>
              </w:rPr>
              <w:t>CAL per Windows Small Business Server 2011</w:t>
            </w:r>
          </w:p>
          <w:p w:rsidR="00023FE7" w:rsidRPr="003410C7" w:rsidRDefault="00023FE7">
            <w:pPr>
              <w:pStyle w:val="Bulletedlistflush"/>
              <w:ind w:left="576" w:right="720" w:firstLine="0"/>
              <w:jc w:val="center"/>
            </w:pPr>
            <w:r w:rsidRPr="003410C7">
              <w:rPr>
                <w:rFonts w:ascii="Tahoma" w:hAnsi="Tahoma" w:cs="Tahoma"/>
                <w:color w:val="000000"/>
                <w:sz w:val="18"/>
                <w:szCs w:val="18"/>
              </w:rPr>
              <w:t>CAL per Windows Small Business Server Standard 2008</w:t>
            </w:r>
          </w:p>
          <w:p w:rsidR="00023FE7" w:rsidRPr="003410C7" w:rsidRDefault="00023FE7" w:rsidP="00230E01">
            <w:pPr>
              <w:pStyle w:val="Bulletedlistflush"/>
              <w:ind w:left="576" w:right="720" w:firstLine="0"/>
              <w:jc w:val="center"/>
              <w:rPr>
                <w:rFonts w:ascii="Tahoma" w:hAnsi="Tahoma" w:cs="Tahoma"/>
                <w:color w:val="000000"/>
                <w:sz w:val="18"/>
                <w:szCs w:val="18"/>
              </w:rPr>
            </w:pPr>
          </w:p>
        </w:tc>
      </w:tr>
      <w:tr w:rsidR="00023FE7" w:rsidRPr="003410C7" w:rsidTr="003F44D6">
        <w:trPr>
          <w:cantSplit/>
          <w:trHeight w:val="576"/>
        </w:trPr>
        <w:tc>
          <w:tcPr>
            <w:tcW w:w="3809" w:type="dxa"/>
            <w:tcBorders>
              <w:top w:val="nil"/>
              <w:left w:val="single" w:sz="8" w:space="0" w:color="auto"/>
              <w:bottom w:val="single" w:sz="8" w:space="0" w:color="auto"/>
              <w:right w:val="single" w:sz="8" w:space="0" w:color="auto"/>
            </w:tcBorders>
          </w:tcPr>
          <w:p w:rsidR="00023FE7" w:rsidRPr="003410C7" w:rsidRDefault="00023FE7" w:rsidP="00DC02DE">
            <w:pPr>
              <w:spacing w:before="60"/>
              <w:ind w:left="360" w:right="720"/>
              <w:jc w:val="center"/>
              <w:rPr>
                <w:rFonts w:eastAsia="Calibri" w:cs="Tahoma"/>
                <w:szCs w:val="18"/>
              </w:rPr>
            </w:pPr>
            <w:r w:rsidRPr="003410C7">
              <w:rPr>
                <w:rFonts w:cs="Tahoma"/>
                <w:szCs w:val="18"/>
              </w:rPr>
              <w:t>CAL per Small Business Server</w:t>
            </w:r>
            <w:r w:rsidR="00DC02DE">
              <w:rPr>
                <w:rFonts w:cs="Tahoma"/>
                <w:szCs w:val="18"/>
              </w:rPr>
              <w:t> </w:t>
            </w:r>
            <w:r w:rsidRPr="003410C7">
              <w:rPr>
                <w:rFonts w:cs="Tahoma"/>
                <w:szCs w:val="18"/>
              </w:rPr>
              <w:t>Premium 2011 (Dispositivo</w:t>
            </w:r>
            <w:r w:rsidR="00DC02DE">
              <w:rPr>
                <w:rFonts w:cs="Tahoma"/>
                <w:szCs w:val="18"/>
              </w:rPr>
              <w:t> </w:t>
            </w:r>
            <w:r w:rsidRPr="003410C7">
              <w:rPr>
                <w:rFonts w:cs="Tahoma"/>
                <w:szCs w:val="18"/>
              </w:rPr>
              <w:t>o Utente)</w:t>
            </w:r>
          </w:p>
        </w:tc>
        <w:tc>
          <w:tcPr>
            <w:tcW w:w="4298" w:type="dxa"/>
            <w:tcBorders>
              <w:top w:val="nil"/>
              <w:left w:val="nil"/>
              <w:bottom w:val="single" w:sz="8" w:space="0" w:color="auto"/>
              <w:right w:val="single" w:sz="8" w:space="0" w:color="auto"/>
            </w:tcBorders>
          </w:tcPr>
          <w:p w:rsidR="00684C4D" w:rsidRPr="003410C7" w:rsidRDefault="00684C4D" w:rsidP="00230E01">
            <w:pPr>
              <w:spacing w:before="60"/>
              <w:ind w:left="576" w:right="720"/>
              <w:jc w:val="center"/>
            </w:pPr>
            <w:r w:rsidRPr="003410C7">
              <w:rPr>
                <w:rFonts w:eastAsia="Calibri" w:cs="Tahoma"/>
                <w:color w:val="000000"/>
                <w:szCs w:val="18"/>
              </w:rPr>
              <w:t>CAL per Windows Small Business Server Premium 2011</w:t>
            </w:r>
          </w:p>
          <w:p w:rsidR="00023FE7" w:rsidRPr="003410C7" w:rsidRDefault="00023FE7">
            <w:pPr>
              <w:pStyle w:val="Bulletedlistflush"/>
              <w:ind w:left="576" w:right="720" w:firstLine="0"/>
              <w:jc w:val="center"/>
            </w:pPr>
            <w:r w:rsidRPr="003410C7">
              <w:rPr>
                <w:rFonts w:ascii="Tahoma" w:hAnsi="Tahoma" w:cs="Tahoma"/>
                <w:color w:val="000000"/>
                <w:sz w:val="18"/>
                <w:szCs w:val="18"/>
              </w:rPr>
              <w:t>CAL per Windows Small Business Server Premium 2008</w:t>
            </w:r>
          </w:p>
          <w:p w:rsidR="00023FE7" w:rsidRPr="003410C7" w:rsidRDefault="00023FE7" w:rsidP="00230E01">
            <w:pPr>
              <w:pStyle w:val="Bulletedlistflush"/>
              <w:ind w:left="576" w:right="720" w:firstLine="0"/>
              <w:jc w:val="center"/>
              <w:rPr>
                <w:rFonts w:ascii="Tahoma" w:hAnsi="Tahoma" w:cs="Tahoma"/>
                <w:sz w:val="18"/>
                <w:szCs w:val="18"/>
              </w:rPr>
            </w:pPr>
          </w:p>
        </w:tc>
      </w:tr>
      <w:tr w:rsidR="00023FE7" w:rsidRPr="003410C7" w:rsidTr="0044720D">
        <w:trPr>
          <w:trHeight w:val="576"/>
        </w:trPr>
        <w:tc>
          <w:tcPr>
            <w:tcW w:w="3809" w:type="dxa"/>
            <w:tcBorders>
              <w:top w:val="nil"/>
              <w:left w:val="single" w:sz="8" w:space="0" w:color="auto"/>
              <w:bottom w:val="single" w:sz="8" w:space="0" w:color="auto"/>
              <w:right w:val="single" w:sz="8" w:space="0" w:color="auto"/>
            </w:tcBorders>
          </w:tcPr>
          <w:p w:rsidR="00023FE7" w:rsidRPr="003410C7" w:rsidRDefault="00023FE7" w:rsidP="00230E01">
            <w:pPr>
              <w:spacing w:before="60"/>
              <w:ind w:left="360" w:right="720"/>
              <w:jc w:val="center"/>
            </w:pPr>
            <w:r w:rsidRPr="003410C7">
              <w:rPr>
                <w:rFonts w:cs="Tahoma"/>
                <w:szCs w:val="18"/>
              </w:rPr>
              <w:t>CAL per Essential Business Server</w:t>
            </w:r>
            <w:r w:rsidR="001A3EC5">
              <w:rPr>
                <w:rFonts w:cs="Tahoma"/>
                <w:szCs w:val="18"/>
              </w:rPr>
              <w:t> </w:t>
            </w:r>
            <w:r w:rsidRPr="003410C7">
              <w:rPr>
                <w:rFonts w:cs="Tahoma"/>
                <w:szCs w:val="18"/>
              </w:rPr>
              <w:t>Standard 2008 (Dispositivo</w:t>
            </w:r>
            <w:r w:rsidR="001A3EC5">
              <w:rPr>
                <w:rFonts w:cs="Tahoma"/>
                <w:szCs w:val="18"/>
              </w:rPr>
              <w:t> </w:t>
            </w:r>
            <w:r w:rsidRPr="003410C7">
              <w:rPr>
                <w:rFonts w:cs="Tahoma"/>
                <w:szCs w:val="18"/>
              </w:rPr>
              <w:t>o Utente)</w:t>
            </w:r>
          </w:p>
          <w:p w:rsidR="00230E01" w:rsidRPr="003410C7" w:rsidRDefault="00230E01" w:rsidP="00230E01">
            <w:pPr>
              <w:ind w:left="360" w:right="720"/>
              <w:jc w:val="center"/>
              <w:rPr>
                <w:rFonts w:eastAsia="Calibri" w:cs="Tahoma"/>
                <w:szCs w:val="18"/>
              </w:rPr>
            </w:pPr>
          </w:p>
        </w:tc>
        <w:tc>
          <w:tcPr>
            <w:tcW w:w="4298" w:type="dxa"/>
            <w:tcBorders>
              <w:top w:val="nil"/>
              <w:left w:val="nil"/>
              <w:bottom w:val="single" w:sz="8" w:space="0" w:color="auto"/>
              <w:right w:val="single" w:sz="8" w:space="0" w:color="auto"/>
            </w:tcBorders>
          </w:tcPr>
          <w:p w:rsidR="00023FE7" w:rsidRPr="003410C7" w:rsidRDefault="00023FE7" w:rsidP="00230E01">
            <w:pPr>
              <w:pStyle w:val="Bulletedlistflush"/>
              <w:spacing w:before="60"/>
              <w:ind w:left="576" w:right="720" w:firstLine="0"/>
              <w:jc w:val="center"/>
              <w:rPr>
                <w:rFonts w:ascii="Tahoma" w:hAnsi="Tahoma" w:cs="Tahoma"/>
                <w:sz w:val="18"/>
                <w:szCs w:val="18"/>
              </w:rPr>
            </w:pPr>
            <w:r w:rsidRPr="003410C7">
              <w:rPr>
                <w:rFonts w:ascii="Tahoma" w:hAnsi="Tahoma" w:cs="Tahoma"/>
                <w:sz w:val="18"/>
                <w:szCs w:val="18"/>
              </w:rPr>
              <w:t>CAL per Windows Essential Business Server Standard 2008</w:t>
            </w:r>
          </w:p>
        </w:tc>
      </w:tr>
      <w:tr w:rsidR="00023FE7" w:rsidRPr="003410C7" w:rsidTr="0044720D">
        <w:trPr>
          <w:trHeight w:val="576"/>
        </w:trPr>
        <w:tc>
          <w:tcPr>
            <w:tcW w:w="3809" w:type="dxa"/>
            <w:tcBorders>
              <w:top w:val="nil"/>
              <w:left w:val="single" w:sz="8" w:space="0" w:color="auto"/>
              <w:bottom w:val="single" w:sz="8" w:space="0" w:color="auto"/>
              <w:right w:val="single" w:sz="8" w:space="0" w:color="auto"/>
            </w:tcBorders>
          </w:tcPr>
          <w:p w:rsidR="00023FE7" w:rsidRPr="003410C7" w:rsidRDefault="00023FE7" w:rsidP="00230E01">
            <w:pPr>
              <w:spacing w:before="60"/>
              <w:ind w:left="360" w:right="720"/>
              <w:jc w:val="center"/>
            </w:pPr>
            <w:r w:rsidRPr="003410C7">
              <w:rPr>
                <w:rFonts w:cs="Tahoma"/>
                <w:szCs w:val="18"/>
              </w:rPr>
              <w:t>CAL per Essential Business Server</w:t>
            </w:r>
            <w:r w:rsidR="001A3EC5">
              <w:rPr>
                <w:rFonts w:cs="Tahoma"/>
                <w:szCs w:val="18"/>
              </w:rPr>
              <w:t> </w:t>
            </w:r>
            <w:r w:rsidRPr="003410C7">
              <w:rPr>
                <w:rFonts w:cs="Tahoma"/>
                <w:szCs w:val="18"/>
              </w:rPr>
              <w:t>Premium 2008 (Dispositivo</w:t>
            </w:r>
            <w:r w:rsidR="001A3EC5">
              <w:rPr>
                <w:rFonts w:cs="Tahoma"/>
                <w:szCs w:val="18"/>
              </w:rPr>
              <w:t> </w:t>
            </w:r>
            <w:r w:rsidRPr="003410C7">
              <w:rPr>
                <w:rFonts w:cs="Tahoma"/>
                <w:szCs w:val="18"/>
              </w:rPr>
              <w:t>o Utente)</w:t>
            </w:r>
          </w:p>
          <w:p w:rsidR="00230E01" w:rsidRPr="003410C7" w:rsidRDefault="00230E01" w:rsidP="00230E01">
            <w:pPr>
              <w:ind w:left="360" w:right="720"/>
              <w:jc w:val="center"/>
              <w:rPr>
                <w:rFonts w:eastAsia="Calibri" w:cs="Tahoma"/>
                <w:szCs w:val="18"/>
              </w:rPr>
            </w:pPr>
          </w:p>
        </w:tc>
        <w:tc>
          <w:tcPr>
            <w:tcW w:w="4298" w:type="dxa"/>
            <w:tcBorders>
              <w:top w:val="nil"/>
              <w:left w:val="nil"/>
              <w:bottom w:val="single" w:sz="8" w:space="0" w:color="auto"/>
              <w:right w:val="single" w:sz="8" w:space="0" w:color="auto"/>
            </w:tcBorders>
          </w:tcPr>
          <w:p w:rsidR="00023FE7" w:rsidRPr="003410C7" w:rsidRDefault="00023FE7" w:rsidP="00230E01">
            <w:pPr>
              <w:pStyle w:val="Bulletedlistflush"/>
              <w:spacing w:before="60"/>
              <w:ind w:left="576" w:right="720" w:firstLine="0"/>
              <w:jc w:val="center"/>
              <w:rPr>
                <w:rFonts w:ascii="Tahoma" w:hAnsi="Tahoma" w:cs="Tahoma"/>
                <w:sz w:val="18"/>
                <w:szCs w:val="18"/>
              </w:rPr>
            </w:pPr>
            <w:r w:rsidRPr="003410C7">
              <w:rPr>
                <w:rFonts w:ascii="Tahoma" w:hAnsi="Tahoma" w:cs="Tahoma"/>
                <w:sz w:val="18"/>
                <w:szCs w:val="18"/>
              </w:rPr>
              <w:t>CAL per Windows Essential Business Server Premium 2008</w:t>
            </w:r>
          </w:p>
        </w:tc>
      </w:tr>
      <w:tr w:rsidR="00023FE7" w:rsidRPr="003410C7" w:rsidTr="0044720D">
        <w:trPr>
          <w:trHeight w:val="576"/>
        </w:trPr>
        <w:tc>
          <w:tcPr>
            <w:tcW w:w="3809" w:type="dxa"/>
            <w:tcBorders>
              <w:top w:val="nil"/>
              <w:left w:val="single" w:sz="8" w:space="0" w:color="auto"/>
              <w:bottom w:val="single" w:sz="8" w:space="0" w:color="auto"/>
              <w:right w:val="single" w:sz="8" w:space="0" w:color="auto"/>
            </w:tcBorders>
          </w:tcPr>
          <w:p w:rsidR="00023FE7" w:rsidRPr="003410C7" w:rsidRDefault="00023FE7" w:rsidP="001A3EC5">
            <w:pPr>
              <w:spacing w:before="60"/>
              <w:ind w:left="360" w:right="720"/>
              <w:jc w:val="center"/>
              <w:rPr>
                <w:rFonts w:eastAsia="Calibri" w:cs="Tahoma"/>
                <w:szCs w:val="18"/>
              </w:rPr>
            </w:pPr>
            <w:r w:rsidRPr="003410C7">
              <w:rPr>
                <w:rFonts w:cs="Tahoma"/>
                <w:szCs w:val="18"/>
              </w:rPr>
              <w:t>Aggiornamento per Windows</w:t>
            </w:r>
            <w:r w:rsidR="001A3EC5">
              <w:rPr>
                <w:rFonts w:cs="Tahoma"/>
                <w:szCs w:val="18"/>
              </w:rPr>
              <w:t> </w:t>
            </w:r>
            <w:r w:rsidRPr="003410C7">
              <w:rPr>
                <w:rFonts w:cs="Tahoma"/>
                <w:szCs w:val="18"/>
              </w:rPr>
              <w:t>8</w:t>
            </w:r>
            <w:r w:rsidR="001A3EC5">
              <w:rPr>
                <w:rFonts w:cs="Tahoma"/>
                <w:szCs w:val="18"/>
              </w:rPr>
              <w:t> </w:t>
            </w:r>
            <w:r w:rsidRPr="003410C7">
              <w:rPr>
                <w:rFonts w:cs="Tahoma"/>
                <w:szCs w:val="18"/>
              </w:rPr>
              <w:t>Pro</w:t>
            </w:r>
          </w:p>
        </w:tc>
        <w:tc>
          <w:tcPr>
            <w:tcW w:w="4298" w:type="dxa"/>
            <w:tcBorders>
              <w:top w:val="nil"/>
              <w:left w:val="nil"/>
              <w:bottom w:val="single" w:sz="8" w:space="0" w:color="auto"/>
              <w:right w:val="single" w:sz="8" w:space="0" w:color="auto"/>
            </w:tcBorders>
          </w:tcPr>
          <w:p w:rsidR="008B6EDD" w:rsidRPr="003410C7" w:rsidRDefault="008B6EDD" w:rsidP="00230E01">
            <w:pPr>
              <w:pStyle w:val="Bulletedlistflush"/>
              <w:spacing w:before="60"/>
              <w:ind w:left="576" w:right="720" w:firstLine="0"/>
              <w:jc w:val="center"/>
            </w:pPr>
            <w:r w:rsidRPr="003410C7">
              <w:rPr>
                <w:rFonts w:ascii="Tahoma" w:hAnsi="Tahoma" w:cs="Tahoma"/>
                <w:sz w:val="18"/>
                <w:szCs w:val="18"/>
              </w:rPr>
              <w:t>Windows 8 Pro</w:t>
            </w:r>
          </w:p>
          <w:p w:rsidR="00023FE7" w:rsidRPr="003410C7" w:rsidRDefault="00023FE7" w:rsidP="008B6EDD">
            <w:pPr>
              <w:pStyle w:val="Bulletedlistflush"/>
              <w:ind w:left="576" w:right="720" w:firstLine="0"/>
              <w:jc w:val="center"/>
              <w:rPr>
                <w:rFonts w:ascii="Tahoma" w:hAnsi="Tahoma" w:cs="Tahoma"/>
                <w:sz w:val="18"/>
                <w:szCs w:val="18"/>
              </w:rPr>
            </w:pPr>
            <w:r w:rsidRPr="003410C7">
              <w:rPr>
                <w:rFonts w:ascii="Tahoma" w:hAnsi="Tahoma" w:cs="Tahoma"/>
                <w:sz w:val="18"/>
                <w:szCs w:val="18"/>
              </w:rPr>
              <w:t>Windows 7 Professional</w:t>
            </w:r>
          </w:p>
        </w:tc>
      </w:tr>
    </w:tbl>
    <w:p w:rsidR="00991DD4" w:rsidRPr="003410C7" w:rsidRDefault="00991DD4"/>
    <w:p w:rsidR="00456002" w:rsidRPr="00451078" w:rsidRDefault="00456002" w:rsidP="00456002">
      <w:pPr>
        <w:pStyle w:val="Heading2"/>
        <w:ind w:left="0"/>
        <w:rPr>
          <w:lang w:val="it-IT"/>
        </w:rPr>
      </w:pPr>
      <w:bookmarkStart w:id="682" w:name="_Toc336338195"/>
      <w:bookmarkStart w:id="683" w:name="_Toc352234790"/>
      <w:r w:rsidRPr="00451078">
        <w:rPr>
          <w:rFonts w:ascii="Tahoma" w:hAnsi="Tahoma" w:cs="Tahoma"/>
          <w:lang w:val="it-IT"/>
        </w:rPr>
        <w:t>Condizioni Aggiornate per i Programmi Contratto Enterprise e Contratto Subscription</w:t>
      </w:r>
      <w:bookmarkEnd w:id="682"/>
      <w:bookmarkEnd w:id="683"/>
    </w:p>
    <w:p w:rsidR="00456002" w:rsidRPr="00451078" w:rsidRDefault="00456002" w:rsidP="00456002">
      <w:pPr>
        <w:tabs>
          <w:tab w:val="left" w:pos="360"/>
        </w:tabs>
        <w:rPr>
          <w:lang w:val="it-IT"/>
        </w:rPr>
      </w:pPr>
    </w:p>
    <w:p w:rsidR="00456002" w:rsidRPr="00451078" w:rsidRDefault="00456002" w:rsidP="00F06EC5">
      <w:pPr>
        <w:keepNext/>
        <w:spacing w:after="60"/>
        <w:outlineLvl w:val="3"/>
        <w:rPr>
          <w:lang w:val="it-IT"/>
        </w:rPr>
      </w:pPr>
      <w:r w:rsidRPr="00451078">
        <w:rPr>
          <w:rFonts w:cs="Tahoma"/>
          <w:b/>
          <w:szCs w:val="20"/>
          <w:lang w:val="it-IT"/>
        </w:rPr>
        <w:t>Servizi Online Enterprise che soddisfano i requisiti dei Prodotti Enterprise</w:t>
      </w:r>
    </w:p>
    <w:p w:rsidR="00456002" w:rsidRPr="00451078" w:rsidRDefault="00456002" w:rsidP="00366502">
      <w:pPr>
        <w:tabs>
          <w:tab w:val="left" w:pos="360"/>
        </w:tabs>
        <w:rPr>
          <w:lang w:val="it-IT"/>
        </w:rPr>
      </w:pPr>
      <w:r w:rsidRPr="00451078">
        <w:rPr>
          <w:rFonts w:cs="Tahoma"/>
          <w:b/>
          <w:szCs w:val="20"/>
          <w:lang w:val="it-IT"/>
        </w:rPr>
        <w:t>Nota:</w:t>
      </w:r>
      <w:r w:rsidRPr="00451078">
        <w:rPr>
          <w:rFonts w:cs="Tahoma"/>
          <w:szCs w:val="20"/>
          <w:lang w:val="it-IT"/>
        </w:rPr>
        <w:t xml:space="preserve"> quanto segue si applica alle società in possesso delle Iscrizioni Enterprise ed Enterprise Subscription che sono</w:t>
      </w:r>
      <w:r w:rsidR="00867CDF" w:rsidRPr="00451078">
        <w:rPr>
          <w:rFonts w:cs="Tahoma"/>
          <w:szCs w:val="20"/>
          <w:lang w:val="it-IT"/>
        </w:rPr>
        <w:t> </w:t>
      </w:r>
      <w:r w:rsidRPr="00451078">
        <w:rPr>
          <w:rFonts w:cs="Tahoma"/>
          <w:szCs w:val="20"/>
          <w:lang w:val="it-IT"/>
        </w:rPr>
        <w:t xml:space="preserve">idonee ad acquistare i Servizi Online Enterprise. Le società che non sono certe della loro idoneità ad acquistare </w:t>
      </w:r>
      <w:r w:rsidR="00867CDF" w:rsidRPr="00451078">
        <w:rPr>
          <w:rFonts w:cs="Tahoma"/>
          <w:szCs w:val="20"/>
          <w:lang w:val="it-IT"/>
        </w:rPr>
        <w:t>I </w:t>
      </w:r>
      <w:r w:rsidRPr="00451078">
        <w:rPr>
          <w:rFonts w:cs="Tahoma"/>
          <w:szCs w:val="20"/>
          <w:lang w:val="it-IT"/>
        </w:rPr>
        <w:t>Servizi Online Enterprise dovranno contattare il loro Software Advisor, Rivenditore o Account Manager designato da</w:t>
      </w:r>
      <w:r w:rsidR="00867CDF" w:rsidRPr="00451078">
        <w:rPr>
          <w:rFonts w:cs="Tahoma"/>
          <w:szCs w:val="20"/>
          <w:lang w:val="it-IT"/>
        </w:rPr>
        <w:t> </w:t>
      </w:r>
      <w:r w:rsidRPr="00451078">
        <w:rPr>
          <w:rFonts w:cs="Tahoma"/>
          <w:szCs w:val="20"/>
          <w:lang w:val="it-IT"/>
        </w:rPr>
        <w:t>Microsoft per ulteriori informazioni.</w:t>
      </w:r>
      <w:r w:rsidR="00082E1C" w:rsidRPr="00451078">
        <w:rPr>
          <w:rFonts w:cs="Tahoma"/>
          <w:szCs w:val="20"/>
          <w:lang w:val="it-IT"/>
        </w:rPr>
        <w:t xml:space="preserve"> </w:t>
      </w:r>
    </w:p>
    <w:p w:rsidR="00456002" w:rsidRPr="00451078" w:rsidRDefault="00456002" w:rsidP="00366502">
      <w:pPr>
        <w:tabs>
          <w:tab w:val="left" w:pos="360"/>
        </w:tabs>
        <w:rPr>
          <w:lang w:val="it-IT"/>
        </w:rPr>
      </w:pPr>
    </w:p>
    <w:p w:rsidR="00456002" w:rsidRPr="00451078" w:rsidRDefault="00456002" w:rsidP="004525CA">
      <w:pPr>
        <w:tabs>
          <w:tab w:val="left" w:pos="360"/>
        </w:tabs>
        <w:rPr>
          <w:lang w:val="it-IT"/>
        </w:rPr>
      </w:pPr>
      <w:r w:rsidRPr="00451078">
        <w:rPr>
          <w:rFonts w:cs="Tahoma"/>
          <w:szCs w:val="20"/>
          <w:lang w:val="it-IT"/>
        </w:rPr>
        <w:t>Una combinazione di Prodotti Enterprise e di Servizi Online Enterprise potrà essere utilizzata per soddisfare i requisiti dell</w:t>
      </w:r>
      <w:r w:rsidR="0073727D">
        <w:rPr>
          <w:rFonts w:cs="Tahoma"/>
          <w:szCs w:val="20"/>
          <w:lang w:val="it-IT"/>
        </w:rPr>
        <w:t>’</w:t>
      </w:r>
      <w:r w:rsidRPr="00451078">
        <w:rPr>
          <w:rFonts w:cs="Tahoma"/>
          <w:szCs w:val="20"/>
          <w:lang w:val="it-IT"/>
        </w:rPr>
        <w:t>intera Organizzazione in un</w:t>
      </w:r>
      <w:r w:rsidR="0073727D">
        <w:rPr>
          <w:rFonts w:cs="Tahoma"/>
          <w:szCs w:val="20"/>
          <w:lang w:val="it-IT"/>
        </w:rPr>
        <w:t>’</w:t>
      </w:r>
      <w:r w:rsidRPr="00451078">
        <w:rPr>
          <w:rFonts w:cs="Tahoma"/>
          <w:szCs w:val="20"/>
          <w:lang w:val="it-IT"/>
        </w:rPr>
        <w:t>Iscrizione Enterprise o Enterprise Subscription.</w:t>
      </w:r>
    </w:p>
    <w:p w:rsidR="00456002" w:rsidRPr="00451078" w:rsidRDefault="00456002" w:rsidP="00366502">
      <w:pPr>
        <w:tabs>
          <w:tab w:val="left" w:pos="360"/>
        </w:tabs>
        <w:rPr>
          <w:lang w:val="it-IT"/>
        </w:rPr>
      </w:pPr>
    </w:p>
    <w:p w:rsidR="00456002" w:rsidRPr="00451078" w:rsidRDefault="00456002" w:rsidP="004525CA">
      <w:pPr>
        <w:tabs>
          <w:tab w:val="left" w:pos="360"/>
        </w:tabs>
        <w:rPr>
          <w:lang w:val="it-IT"/>
        </w:rPr>
      </w:pPr>
      <w:r w:rsidRPr="00451078">
        <w:rPr>
          <w:rFonts w:cs="Tahoma"/>
          <w:szCs w:val="20"/>
          <w:lang w:val="it-IT"/>
        </w:rPr>
        <w:t>Nella tabella che segue sono identificati i Servizi Online Enterprise e le eventuali CAL necessarie in grado di soddisfare il requisito per l</w:t>
      </w:r>
      <w:r w:rsidR="0073727D">
        <w:rPr>
          <w:rFonts w:cs="Tahoma"/>
          <w:szCs w:val="20"/>
          <w:lang w:val="it-IT"/>
        </w:rPr>
        <w:t>’</w:t>
      </w:r>
      <w:r w:rsidRPr="00451078">
        <w:rPr>
          <w:rFonts w:cs="Tahoma"/>
          <w:szCs w:val="20"/>
          <w:lang w:val="it-IT"/>
        </w:rPr>
        <w:t>intera Organizzazione per i Prodotti Enterprise.</w:t>
      </w:r>
      <w:r w:rsidR="00082E1C" w:rsidRPr="00451078">
        <w:rPr>
          <w:rFonts w:cs="Tahoma"/>
          <w:szCs w:val="20"/>
          <w:lang w:val="it-IT"/>
        </w:rPr>
        <w:t xml:space="preserve"> </w:t>
      </w:r>
    </w:p>
    <w:tbl>
      <w:tblPr>
        <w:tblW w:w="8049" w:type="dxa"/>
        <w:jc w:val="center"/>
        <w:tblCellMar>
          <w:left w:w="0" w:type="dxa"/>
          <w:right w:w="0" w:type="dxa"/>
        </w:tblCellMar>
        <w:tblLook w:val="04A0" w:firstRow="1" w:lastRow="0" w:firstColumn="1" w:lastColumn="0" w:noHBand="0" w:noVBand="1"/>
      </w:tblPr>
      <w:tblGrid>
        <w:gridCol w:w="3892"/>
        <w:gridCol w:w="4157"/>
      </w:tblGrid>
      <w:tr w:rsidR="00456002" w:rsidRPr="003410C7" w:rsidTr="0044720D">
        <w:trPr>
          <w:trHeight w:val="194"/>
          <w:tblHeader/>
          <w:jc w:val="center"/>
        </w:trPr>
        <w:tc>
          <w:tcPr>
            <w:tcW w:w="3892" w:type="dxa"/>
            <w:tcBorders>
              <w:top w:val="single" w:sz="8" w:space="0" w:color="auto"/>
              <w:left w:val="single" w:sz="8" w:space="0" w:color="auto"/>
              <w:bottom w:val="single" w:sz="8" w:space="0" w:color="auto"/>
              <w:right w:val="single" w:sz="8" w:space="0" w:color="auto"/>
            </w:tcBorders>
            <w:shd w:val="clear" w:color="auto" w:fill="FABF8F"/>
            <w:vAlign w:val="center"/>
            <w:hideMark/>
          </w:tcPr>
          <w:p w:rsidR="00456002" w:rsidRPr="003410C7" w:rsidRDefault="00456002" w:rsidP="005C647E">
            <w:pPr>
              <w:keepNext/>
              <w:jc w:val="center"/>
              <w:rPr>
                <w:rFonts w:cs="Tahoma"/>
                <w:b/>
              </w:rPr>
            </w:pPr>
            <w:r w:rsidRPr="003410C7">
              <w:rPr>
                <w:rFonts w:cs="Tahoma"/>
                <w:b/>
              </w:rPr>
              <w:lastRenderedPageBreak/>
              <w:t>Prodotto Enterprise</w:t>
            </w:r>
          </w:p>
        </w:tc>
        <w:tc>
          <w:tcPr>
            <w:tcW w:w="4157" w:type="dxa"/>
            <w:tcBorders>
              <w:top w:val="single" w:sz="8" w:space="0" w:color="auto"/>
              <w:left w:val="nil"/>
              <w:bottom w:val="single" w:sz="8" w:space="0" w:color="auto"/>
              <w:right w:val="single" w:sz="8" w:space="0" w:color="auto"/>
            </w:tcBorders>
            <w:shd w:val="clear" w:color="auto" w:fill="FABF8F"/>
            <w:vAlign w:val="center"/>
            <w:hideMark/>
          </w:tcPr>
          <w:p w:rsidR="00456002" w:rsidRPr="003410C7" w:rsidRDefault="00456002" w:rsidP="005C647E">
            <w:pPr>
              <w:keepNext/>
              <w:jc w:val="center"/>
              <w:rPr>
                <w:rFonts w:cs="Tahoma"/>
                <w:b/>
              </w:rPr>
            </w:pPr>
            <w:r w:rsidRPr="003410C7">
              <w:rPr>
                <w:rFonts w:cs="Tahoma"/>
                <w:b/>
                <w:bCs/>
              </w:rPr>
              <w:t>Servizi Online Enterprise***</w:t>
            </w:r>
          </w:p>
        </w:tc>
      </w:tr>
      <w:tr w:rsidR="00E71EB9" w:rsidRPr="003410C7" w:rsidTr="0044720D">
        <w:trPr>
          <w:trHeight w:val="497"/>
          <w:jc w:val="center"/>
        </w:trPr>
        <w:tc>
          <w:tcPr>
            <w:tcW w:w="3892" w:type="dxa"/>
            <w:tcBorders>
              <w:top w:val="nil"/>
              <w:left w:val="single" w:sz="8" w:space="0" w:color="auto"/>
              <w:bottom w:val="single" w:sz="4" w:space="0" w:color="auto"/>
              <w:right w:val="single" w:sz="8" w:space="0" w:color="auto"/>
            </w:tcBorders>
            <w:vAlign w:val="center"/>
          </w:tcPr>
          <w:p w:rsidR="00E71EB9" w:rsidRPr="003410C7" w:rsidRDefault="00E71EB9" w:rsidP="005C647E">
            <w:pPr>
              <w:ind w:left="144"/>
              <w:rPr>
                <w:rFonts w:cs="Tahoma"/>
                <w:szCs w:val="18"/>
              </w:rPr>
            </w:pPr>
            <w:r w:rsidRPr="003410C7">
              <w:rPr>
                <w:rFonts w:cs="Tahoma"/>
                <w:szCs w:val="18"/>
              </w:rPr>
              <w:t>Office Professional Plus**</w:t>
            </w:r>
          </w:p>
        </w:tc>
        <w:tc>
          <w:tcPr>
            <w:tcW w:w="4157" w:type="dxa"/>
            <w:tcBorders>
              <w:top w:val="nil"/>
              <w:left w:val="nil"/>
              <w:bottom w:val="single" w:sz="4" w:space="0" w:color="auto"/>
              <w:right w:val="single" w:sz="8" w:space="0" w:color="auto"/>
            </w:tcBorders>
            <w:vAlign w:val="center"/>
          </w:tcPr>
          <w:p w:rsidR="00E71EB9" w:rsidRPr="003410C7" w:rsidRDefault="00E71EB9" w:rsidP="00745AB3">
            <w:pPr>
              <w:numPr>
                <w:ilvl w:val="0"/>
                <w:numId w:val="35"/>
              </w:numPr>
              <w:spacing w:before="60" w:after="60"/>
              <w:ind w:left="907"/>
            </w:pPr>
            <w:r w:rsidRPr="003410C7">
              <w:rPr>
                <w:rFonts w:cs="Tahoma"/>
                <w:color w:val="000000"/>
                <w:szCs w:val="18"/>
              </w:rPr>
              <w:t>Office 365 (Enterprise E2)</w:t>
            </w:r>
          </w:p>
          <w:p w:rsidR="00E71EB9" w:rsidRPr="003410C7" w:rsidRDefault="00E71EB9" w:rsidP="00745AB3">
            <w:pPr>
              <w:numPr>
                <w:ilvl w:val="0"/>
                <w:numId w:val="35"/>
              </w:numPr>
              <w:spacing w:after="60"/>
              <w:ind w:left="907"/>
            </w:pPr>
            <w:r w:rsidRPr="003410C7">
              <w:rPr>
                <w:rFonts w:cs="Tahoma"/>
                <w:color w:val="000000"/>
                <w:szCs w:val="18"/>
              </w:rPr>
              <w:t>Office 365 (Enterprise E3)</w:t>
            </w:r>
          </w:p>
          <w:p w:rsidR="00E71EB9" w:rsidRPr="003410C7" w:rsidRDefault="00E71EB9" w:rsidP="00745AB3">
            <w:pPr>
              <w:numPr>
                <w:ilvl w:val="0"/>
                <w:numId w:val="35"/>
              </w:numPr>
              <w:spacing w:after="60"/>
              <w:ind w:left="907"/>
            </w:pPr>
            <w:r w:rsidRPr="003410C7">
              <w:rPr>
                <w:rFonts w:cs="Tahoma"/>
                <w:color w:val="000000"/>
                <w:szCs w:val="18"/>
              </w:rPr>
              <w:t xml:space="preserve">Office 365 (Enterprise E4) </w:t>
            </w:r>
          </w:p>
          <w:p w:rsidR="00E71EB9" w:rsidRPr="003410C7" w:rsidRDefault="00E71EB9" w:rsidP="00745AB3">
            <w:pPr>
              <w:numPr>
                <w:ilvl w:val="0"/>
                <w:numId w:val="35"/>
              </w:numPr>
              <w:spacing w:after="60"/>
              <w:ind w:left="907"/>
            </w:pPr>
            <w:r w:rsidRPr="003410C7">
              <w:rPr>
                <w:rFonts w:cs="Tahoma"/>
                <w:color w:val="000000"/>
                <w:szCs w:val="18"/>
              </w:rPr>
              <w:t>Office 365 (Government G2)</w:t>
            </w:r>
          </w:p>
          <w:p w:rsidR="00E71EB9" w:rsidRPr="003410C7" w:rsidRDefault="00E71EB9" w:rsidP="00745AB3">
            <w:pPr>
              <w:numPr>
                <w:ilvl w:val="0"/>
                <w:numId w:val="35"/>
              </w:numPr>
              <w:spacing w:after="60"/>
              <w:ind w:left="907"/>
            </w:pPr>
            <w:r w:rsidRPr="003410C7">
              <w:rPr>
                <w:rFonts w:cs="Tahoma"/>
                <w:color w:val="000000"/>
                <w:szCs w:val="18"/>
              </w:rPr>
              <w:t>Office 365 (Government G3)</w:t>
            </w:r>
          </w:p>
          <w:p w:rsidR="00E71EB9" w:rsidRPr="003410C7" w:rsidRDefault="00E71EB9" w:rsidP="00745AB3">
            <w:pPr>
              <w:numPr>
                <w:ilvl w:val="0"/>
                <w:numId w:val="35"/>
              </w:numPr>
              <w:spacing w:after="60"/>
              <w:ind w:left="907"/>
            </w:pPr>
            <w:r w:rsidRPr="003410C7">
              <w:rPr>
                <w:rFonts w:cs="Tahoma"/>
                <w:color w:val="000000"/>
                <w:szCs w:val="18"/>
              </w:rPr>
              <w:t>Office 365 (Government G4)</w:t>
            </w:r>
          </w:p>
          <w:p w:rsidR="00C571BD" w:rsidRPr="003410C7" w:rsidRDefault="00C571BD" w:rsidP="00F06EC5">
            <w:pPr>
              <w:ind w:left="907"/>
              <w:rPr>
                <w:rFonts w:cs="Tahoma"/>
                <w:color w:val="000000"/>
                <w:szCs w:val="18"/>
              </w:rPr>
            </w:pPr>
          </w:p>
        </w:tc>
      </w:tr>
      <w:tr w:rsidR="00E71EB9" w:rsidRPr="003410C7" w:rsidTr="0044720D">
        <w:trPr>
          <w:trHeight w:val="497"/>
          <w:jc w:val="center"/>
        </w:trPr>
        <w:tc>
          <w:tcPr>
            <w:tcW w:w="3892" w:type="dxa"/>
            <w:tcBorders>
              <w:top w:val="nil"/>
              <w:left w:val="single" w:sz="8" w:space="0" w:color="auto"/>
              <w:bottom w:val="single" w:sz="4" w:space="0" w:color="auto"/>
              <w:right w:val="single" w:sz="8" w:space="0" w:color="auto"/>
            </w:tcBorders>
            <w:vAlign w:val="center"/>
            <w:hideMark/>
          </w:tcPr>
          <w:p w:rsidR="00E71EB9" w:rsidRPr="003410C7" w:rsidRDefault="00E71EB9" w:rsidP="005C647E">
            <w:pPr>
              <w:ind w:left="144"/>
              <w:rPr>
                <w:rFonts w:cs="Tahoma"/>
                <w:szCs w:val="18"/>
              </w:rPr>
            </w:pPr>
            <w:r w:rsidRPr="003410C7">
              <w:rPr>
                <w:rFonts w:cs="Tahoma"/>
                <w:szCs w:val="18"/>
              </w:rPr>
              <w:t>Core CAL Suite</w:t>
            </w:r>
          </w:p>
        </w:tc>
        <w:tc>
          <w:tcPr>
            <w:tcW w:w="4157" w:type="dxa"/>
            <w:tcBorders>
              <w:top w:val="nil"/>
              <w:left w:val="nil"/>
              <w:bottom w:val="single" w:sz="4" w:space="0" w:color="auto"/>
              <w:right w:val="single" w:sz="8" w:space="0" w:color="auto"/>
            </w:tcBorders>
            <w:vAlign w:val="center"/>
          </w:tcPr>
          <w:p w:rsidR="008368B4" w:rsidRPr="003410C7" w:rsidRDefault="008368B4" w:rsidP="00745AB3">
            <w:pPr>
              <w:numPr>
                <w:ilvl w:val="0"/>
                <w:numId w:val="35"/>
              </w:numPr>
              <w:spacing w:before="60" w:after="60"/>
              <w:ind w:left="907"/>
            </w:pPr>
            <w:r w:rsidRPr="003410C7">
              <w:rPr>
                <w:rFonts w:cs="Tahoma"/>
                <w:color w:val="000000"/>
                <w:szCs w:val="18"/>
              </w:rPr>
              <w:t>Office 365 (Enterprise E1)*</w:t>
            </w:r>
          </w:p>
          <w:p w:rsidR="008368B4" w:rsidRPr="003410C7" w:rsidRDefault="008368B4" w:rsidP="00745AB3">
            <w:pPr>
              <w:numPr>
                <w:ilvl w:val="0"/>
                <w:numId w:val="35"/>
              </w:numPr>
              <w:spacing w:after="60"/>
            </w:pPr>
            <w:r w:rsidRPr="003410C7">
              <w:rPr>
                <w:rFonts w:cs="Tahoma"/>
                <w:color w:val="000000"/>
                <w:szCs w:val="18"/>
              </w:rPr>
              <w:t>Office 365 (Enterprise E2)*</w:t>
            </w:r>
          </w:p>
          <w:p w:rsidR="008368B4" w:rsidRPr="003410C7" w:rsidRDefault="008368B4" w:rsidP="00745AB3">
            <w:pPr>
              <w:numPr>
                <w:ilvl w:val="0"/>
                <w:numId w:val="35"/>
              </w:numPr>
              <w:spacing w:after="60"/>
            </w:pPr>
            <w:r w:rsidRPr="003410C7">
              <w:rPr>
                <w:rFonts w:cs="Tahoma"/>
                <w:color w:val="000000"/>
                <w:szCs w:val="18"/>
              </w:rPr>
              <w:t>Office 365 (Enterprise E3)*</w:t>
            </w:r>
          </w:p>
          <w:p w:rsidR="008368B4" w:rsidRPr="003410C7" w:rsidRDefault="008368B4" w:rsidP="00745AB3">
            <w:pPr>
              <w:numPr>
                <w:ilvl w:val="0"/>
                <w:numId w:val="35"/>
              </w:numPr>
              <w:spacing w:after="60"/>
            </w:pPr>
            <w:r w:rsidRPr="003410C7">
              <w:rPr>
                <w:rFonts w:cs="Tahoma"/>
                <w:color w:val="000000"/>
                <w:szCs w:val="18"/>
              </w:rPr>
              <w:t>Office 365 (Enterprise E4)*</w:t>
            </w:r>
          </w:p>
          <w:p w:rsidR="008368B4" w:rsidRPr="003410C7" w:rsidRDefault="008368B4" w:rsidP="00745AB3">
            <w:pPr>
              <w:numPr>
                <w:ilvl w:val="0"/>
                <w:numId w:val="35"/>
              </w:numPr>
              <w:spacing w:after="60"/>
            </w:pPr>
            <w:r w:rsidRPr="003410C7">
              <w:rPr>
                <w:rFonts w:cs="Tahoma"/>
                <w:color w:val="000000"/>
                <w:szCs w:val="18"/>
              </w:rPr>
              <w:t>Office 365 (Government G1)*</w:t>
            </w:r>
          </w:p>
          <w:p w:rsidR="008368B4" w:rsidRPr="003410C7" w:rsidRDefault="008368B4" w:rsidP="00745AB3">
            <w:pPr>
              <w:numPr>
                <w:ilvl w:val="0"/>
                <w:numId w:val="35"/>
              </w:numPr>
              <w:spacing w:after="60"/>
            </w:pPr>
            <w:r w:rsidRPr="003410C7">
              <w:rPr>
                <w:rFonts w:cs="Tahoma"/>
                <w:color w:val="000000"/>
                <w:szCs w:val="18"/>
              </w:rPr>
              <w:t>Office 365 (Government G2)*</w:t>
            </w:r>
          </w:p>
          <w:p w:rsidR="008368B4" w:rsidRPr="003410C7" w:rsidRDefault="004D2744" w:rsidP="00745AB3">
            <w:pPr>
              <w:numPr>
                <w:ilvl w:val="0"/>
                <w:numId w:val="35"/>
              </w:numPr>
              <w:spacing w:after="60"/>
            </w:pPr>
            <w:r w:rsidRPr="003410C7">
              <w:rPr>
                <w:rFonts w:cs="Tahoma"/>
                <w:color w:val="000000"/>
                <w:szCs w:val="18"/>
              </w:rPr>
              <w:t>Office 365(Government G3)*</w:t>
            </w:r>
          </w:p>
          <w:p w:rsidR="008368B4" w:rsidRPr="003410C7" w:rsidRDefault="008368B4" w:rsidP="00745AB3">
            <w:pPr>
              <w:numPr>
                <w:ilvl w:val="0"/>
                <w:numId w:val="35"/>
              </w:numPr>
              <w:spacing w:after="60"/>
            </w:pPr>
            <w:r w:rsidRPr="003410C7">
              <w:rPr>
                <w:rFonts w:cs="Tahoma"/>
                <w:color w:val="000000"/>
                <w:szCs w:val="18"/>
              </w:rPr>
              <w:t>Office 365 (Government G4)*</w:t>
            </w:r>
          </w:p>
          <w:p w:rsidR="00822871" w:rsidRPr="003410C7" w:rsidRDefault="00E71EB9" w:rsidP="00745AB3">
            <w:pPr>
              <w:numPr>
                <w:ilvl w:val="0"/>
                <w:numId w:val="35"/>
              </w:numPr>
              <w:spacing w:after="60"/>
            </w:pPr>
            <w:r w:rsidRPr="003410C7">
              <w:rPr>
                <w:rFonts w:cs="Tahoma"/>
                <w:color w:val="000000"/>
                <w:szCs w:val="18"/>
              </w:rPr>
              <w:t xml:space="preserve">Windows Intune* </w:t>
            </w:r>
          </w:p>
          <w:p w:rsidR="00822871" w:rsidRPr="003410C7" w:rsidRDefault="00822871" w:rsidP="00F06EC5">
            <w:pPr>
              <w:ind w:left="907"/>
              <w:rPr>
                <w:rFonts w:cs="Tahoma"/>
                <w:color w:val="000000"/>
                <w:szCs w:val="18"/>
              </w:rPr>
            </w:pPr>
          </w:p>
        </w:tc>
      </w:tr>
      <w:tr w:rsidR="00E71EB9" w:rsidRPr="003410C7" w:rsidTr="0044720D">
        <w:trPr>
          <w:trHeight w:val="497"/>
          <w:jc w:val="center"/>
        </w:trPr>
        <w:tc>
          <w:tcPr>
            <w:tcW w:w="3892" w:type="dxa"/>
            <w:tcBorders>
              <w:top w:val="single" w:sz="4" w:space="0" w:color="auto"/>
              <w:left w:val="single" w:sz="8" w:space="0" w:color="auto"/>
              <w:bottom w:val="single" w:sz="4" w:space="0" w:color="auto"/>
              <w:right w:val="single" w:sz="8" w:space="0" w:color="auto"/>
            </w:tcBorders>
            <w:vAlign w:val="center"/>
          </w:tcPr>
          <w:p w:rsidR="00E71EB9" w:rsidRPr="003410C7" w:rsidRDefault="00E71EB9" w:rsidP="005C647E">
            <w:pPr>
              <w:ind w:left="144"/>
              <w:rPr>
                <w:rFonts w:cs="Tahoma"/>
                <w:szCs w:val="18"/>
              </w:rPr>
            </w:pPr>
            <w:r w:rsidRPr="003410C7">
              <w:rPr>
                <w:rFonts w:cs="Tahoma"/>
                <w:szCs w:val="18"/>
              </w:rPr>
              <w:t>Enterprise CAL Suite</w:t>
            </w:r>
          </w:p>
        </w:tc>
        <w:tc>
          <w:tcPr>
            <w:tcW w:w="4157" w:type="dxa"/>
            <w:tcBorders>
              <w:top w:val="single" w:sz="4" w:space="0" w:color="auto"/>
              <w:left w:val="nil"/>
              <w:bottom w:val="single" w:sz="4" w:space="0" w:color="auto"/>
              <w:right w:val="single" w:sz="8" w:space="0" w:color="auto"/>
            </w:tcBorders>
            <w:vAlign w:val="center"/>
          </w:tcPr>
          <w:p w:rsidR="008368B4" w:rsidRPr="003410C7" w:rsidRDefault="008368B4" w:rsidP="00745AB3">
            <w:pPr>
              <w:numPr>
                <w:ilvl w:val="0"/>
                <w:numId w:val="36"/>
              </w:numPr>
              <w:spacing w:before="60" w:after="60"/>
              <w:ind w:left="907"/>
            </w:pPr>
            <w:r w:rsidRPr="003410C7">
              <w:rPr>
                <w:rFonts w:eastAsia="Calibri" w:cs="Tahoma"/>
                <w:color w:val="000000"/>
                <w:szCs w:val="18"/>
              </w:rPr>
              <w:t xml:space="preserve">Office 365 </w:t>
            </w:r>
            <w:r w:rsidRPr="003410C7">
              <w:rPr>
                <w:rFonts w:cs="Tahoma"/>
                <w:color w:val="000000"/>
                <w:szCs w:val="18"/>
              </w:rPr>
              <w:t>(Enterprise E3)*</w:t>
            </w:r>
          </w:p>
          <w:p w:rsidR="008368B4" w:rsidRPr="003410C7" w:rsidRDefault="008368B4" w:rsidP="00745AB3">
            <w:pPr>
              <w:numPr>
                <w:ilvl w:val="0"/>
                <w:numId w:val="36"/>
              </w:numPr>
              <w:spacing w:after="60"/>
            </w:pPr>
            <w:r w:rsidRPr="003410C7">
              <w:rPr>
                <w:rFonts w:eastAsia="Calibri" w:cs="Tahoma"/>
                <w:color w:val="000000"/>
                <w:szCs w:val="18"/>
              </w:rPr>
              <w:t xml:space="preserve">Office 365 </w:t>
            </w:r>
            <w:r w:rsidRPr="003410C7">
              <w:rPr>
                <w:rFonts w:cs="Tahoma"/>
                <w:color w:val="000000"/>
                <w:szCs w:val="18"/>
              </w:rPr>
              <w:t>(Enterprise E4)*</w:t>
            </w:r>
          </w:p>
          <w:p w:rsidR="008368B4" w:rsidRPr="003410C7" w:rsidRDefault="008368B4" w:rsidP="00745AB3">
            <w:pPr>
              <w:numPr>
                <w:ilvl w:val="0"/>
                <w:numId w:val="36"/>
              </w:numPr>
              <w:spacing w:after="60"/>
            </w:pPr>
            <w:r w:rsidRPr="003410C7">
              <w:rPr>
                <w:rFonts w:eastAsia="Calibri" w:cs="Tahoma"/>
                <w:color w:val="000000"/>
                <w:szCs w:val="18"/>
              </w:rPr>
              <w:t xml:space="preserve">Office 365 </w:t>
            </w:r>
            <w:r w:rsidRPr="003410C7">
              <w:rPr>
                <w:rFonts w:cs="Tahoma"/>
                <w:color w:val="000000"/>
                <w:szCs w:val="18"/>
              </w:rPr>
              <w:t>(Government G3)*</w:t>
            </w:r>
          </w:p>
          <w:p w:rsidR="008368B4" w:rsidRPr="003410C7" w:rsidRDefault="008368B4" w:rsidP="00745AB3">
            <w:pPr>
              <w:numPr>
                <w:ilvl w:val="0"/>
                <w:numId w:val="36"/>
              </w:numPr>
              <w:spacing w:after="60"/>
            </w:pPr>
            <w:r w:rsidRPr="003410C7">
              <w:rPr>
                <w:rFonts w:eastAsia="Calibri" w:cs="Tahoma"/>
                <w:color w:val="000000"/>
                <w:szCs w:val="18"/>
              </w:rPr>
              <w:t xml:space="preserve">Office 365 </w:t>
            </w:r>
            <w:r w:rsidRPr="003410C7">
              <w:rPr>
                <w:rFonts w:cs="Tahoma"/>
                <w:color w:val="000000"/>
                <w:szCs w:val="18"/>
              </w:rPr>
              <w:t>(Government G4)*</w:t>
            </w:r>
          </w:p>
          <w:p w:rsidR="00822871" w:rsidRPr="003410C7" w:rsidRDefault="00E71EB9" w:rsidP="00745AB3">
            <w:pPr>
              <w:numPr>
                <w:ilvl w:val="0"/>
                <w:numId w:val="36"/>
              </w:numPr>
              <w:spacing w:after="60"/>
            </w:pPr>
            <w:r w:rsidRPr="003410C7">
              <w:rPr>
                <w:rFonts w:cs="Tahoma"/>
                <w:color w:val="000000"/>
                <w:szCs w:val="18"/>
              </w:rPr>
              <w:t>Windows Intune*</w:t>
            </w:r>
          </w:p>
          <w:p w:rsidR="00E71EB9" w:rsidRPr="003410C7" w:rsidRDefault="00E71EB9" w:rsidP="0038120B">
            <w:pPr>
              <w:ind w:left="907"/>
              <w:rPr>
                <w:rFonts w:cs="Tahoma"/>
                <w:color w:val="000000"/>
                <w:szCs w:val="18"/>
              </w:rPr>
            </w:pPr>
          </w:p>
        </w:tc>
      </w:tr>
    </w:tbl>
    <w:p w:rsidR="00456002" w:rsidRPr="00451078" w:rsidRDefault="00456002" w:rsidP="004525CA">
      <w:pPr>
        <w:tabs>
          <w:tab w:val="left" w:pos="360"/>
        </w:tabs>
        <w:ind w:left="720"/>
        <w:rPr>
          <w:sz w:val="16"/>
          <w:szCs w:val="16"/>
          <w:lang w:val="it-IT"/>
        </w:rPr>
      </w:pPr>
      <w:r w:rsidRPr="00451078">
        <w:rPr>
          <w:rFonts w:cs="Tahoma"/>
          <w:i/>
          <w:sz w:val="16"/>
          <w:szCs w:val="16"/>
          <w:lang w:val="it-IT"/>
        </w:rPr>
        <w:t>* Richiede la CAL Suite Bridge appropriata. Per ulteriori informazioni sulla CAL Suite Bridge, fare riferimento all</w:t>
      </w:r>
      <w:r w:rsidR="0073727D">
        <w:rPr>
          <w:rFonts w:cs="Tahoma"/>
          <w:i/>
          <w:sz w:val="16"/>
          <w:szCs w:val="16"/>
          <w:lang w:val="it-IT"/>
        </w:rPr>
        <w:t>’</w:t>
      </w:r>
      <w:r w:rsidRPr="00451078">
        <w:rPr>
          <w:rFonts w:cs="Tahoma"/>
          <w:i/>
          <w:sz w:val="16"/>
          <w:szCs w:val="16"/>
          <w:lang w:val="it-IT"/>
        </w:rPr>
        <w:t>articolo relativo alle note del prodotto nel presente documento.</w:t>
      </w:r>
    </w:p>
    <w:p w:rsidR="00456002" w:rsidRPr="00451078" w:rsidRDefault="00456002" w:rsidP="004525CA">
      <w:pPr>
        <w:tabs>
          <w:tab w:val="left" w:pos="360"/>
        </w:tabs>
        <w:ind w:left="720"/>
        <w:rPr>
          <w:sz w:val="16"/>
          <w:szCs w:val="16"/>
          <w:lang w:val="it-IT"/>
        </w:rPr>
      </w:pPr>
      <w:r w:rsidRPr="00451078">
        <w:rPr>
          <w:rFonts w:cs="Tahoma"/>
          <w:i/>
          <w:sz w:val="16"/>
          <w:szCs w:val="16"/>
          <w:lang w:val="it-IT"/>
        </w:rPr>
        <w:t>**</w:t>
      </w:r>
      <w:r w:rsidR="00867CDF" w:rsidRPr="00451078">
        <w:rPr>
          <w:rFonts w:cs="Tahoma"/>
          <w:i/>
          <w:sz w:val="16"/>
          <w:szCs w:val="16"/>
          <w:lang w:val="it-IT"/>
        </w:rPr>
        <w:t xml:space="preserve"> </w:t>
      </w:r>
      <w:r w:rsidRPr="00451078">
        <w:rPr>
          <w:rFonts w:cs="Tahoma"/>
          <w:i/>
          <w:sz w:val="16"/>
          <w:szCs w:val="16"/>
          <w:lang w:val="it-IT"/>
        </w:rPr>
        <w:t>Office Professional Plus in Office 365 e Windows VDA sono Prodotti Enterprise e possono soddisfare i requisiti per</w:t>
      </w:r>
      <w:r w:rsidR="00C26F2C" w:rsidRPr="00451078">
        <w:rPr>
          <w:rFonts w:cs="Tahoma"/>
          <w:i/>
          <w:sz w:val="16"/>
          <w:szCs w:val="16"/>
          <w:lang w:val="it-IT"/>
        </w:rPr>
        <w:t> </w:t>
      </w:r>
      <w:r w:rsidRPr="00451078">
        <w:rPr>
          <w:rFonts w:cs="Tahoma"/>
          <w:i/>
          <w:sz w:val="16"/>
          <w:szCs w:val="16"/>
          <w:lang w:val="it-IT"/>
        </w:rPr>
        <w:t>l</w:t>
      </w:r>
      <w:r w:rsidR="0073727D">
        <w:rPr>
          <w:rFonts w:cs="Tahoma"/>
          <w:i/>
          <w:sz w:val="16"/>
          <w:szCs w:val="16"/>
          <w:lang w:val="it-IT"/>
        </w:rPr>
        <w:t>’</w:t>
      </w:r>
      <w:r w:rsidRPr="00451078">
        <w:rPr>
          <w:rFonts w:cs="Tahoma"/>
          <w:i/>
          <w:sz w:val="16"/>
          <w:szCs w:val="16"/>
          <w:lang w:val="it-IT"/>
        </w:rPr>
        <w:t>intera Organizzazione di Prodotti Enterprise.</w:t>
      </w:r>
    </w:p>
    <w:p w:rsidR="00456002" w:rsidRPr="00451078" w:rsidRDefault="00456002" w:rsidP="00366502">
      <w:pPr>
        <w:tabs>
          <w:tab w:val="left" w:pos="360"/>
        </w:tabs>
        <w:ind w:left="720"/>
        <w:rPr>
          <w:sz w:val="16"/>
          <w:szCs w:val="16"/>
          <w:lang w:val="it-IT"/>
        </w:rPr>
      </w:pPr>
      <w:r w:rsidRPr="00451078">
        <w:rPr>
          <w:rFonts w:cs="Tahoma"/>
          <w:i/>
          <w:sz w:val="16"/>
          <w:szCs w:val="16"/>
          <w:lang w:val="it-IT"/>
        </w:rPr>
        <w:t>***</w:t>
      </w:r>
      <w:r w:rsidR="00867CDF" w:rsidRPr="00451078">
        <w:rPr>
          <w:rFonts w:cs="Tahoma"/>
          <w:i/>
          <w:sz w:val="16"/>
          <w:szCs w:val="16"/>
          <w:lang w:val="it-IT"/>
        </w:rPr>
        <w:t xml:space="preserve"> </w:t>
      </w:r>
      <w:r w:rsidRPr="00451078">
        <w:rPr>
          <w:rFonts w:cs="Tahoma"/>
          <w:i/>
          <w:sz w:val="16"/>
          <w:szCs w:val="16"/>
          <w:lang w:val="it-IT"/>
        </w:rPr>
        <w:t>I Servizi Online Enterprise includono solo USL complete.</w:t>
      </w:r>
      <w:r w:rsidR="00082E1C" w:rsidRPr="00451078">
        <w:rPr>
          <w:rFonts w:cs="Tahoma"/>
          <w:i/>
          <w:sz w:val="16"/>
          <w:szCs w:val="16"/>
          <w:lang w:val="it-IT"/>
        </w:rPr>
        <w:t xml:space="preserve"> </w:t>
      </w:r>
      <w:r w:rsidRPr="00451078">
        <w:rPr>
          <w:rFonts w:cs="Tahoma"/>
          <w:i/>
          <w:sz w:val="16"/>
          <w:szCs w:val="16"/>
          <w:lang w:val="it-IT"/>
        </w:rPr>
        <w:t>Le USL per Software Assurance, il cui acquisto è</w:t>
      </w:r>
      <w:r w:rsidR="00C26F2C" w:rsidRPr="00451078">
        <w:rPr>
          <w:rFonts w:cs="Tahoma"/>
          <w:i/>
          <w:sz w:val="16"/>
          <w:szCs w:val="16"/>
          <w:lang w:val="it-IT"/>
        </w:rPr>
        <w:t> </w:t>
      </w:r>
      <w:r w:rsidRPr="00451078">
        <w:rPr>
          <w:rFonts w:cs="Tahoma"/>
          <w:i/>
          <w:sz w:val="16"/>
          <w:szCs w:val="16"/>
          <w:lang w:val="it-IT"/>
        </w:rPr>
        <w:t>subordinato</w:t>
      </w:r>
      <w:r w:rsidR="00867CDF" w:rsidRPr="00451078">
        <w:rPr>
          <w:rFonts w:cs="Tahoma"/>
          <w:i/>
          <w:sz w:val="16"/>
          <w:szCs w:val="16"/>
          <w:lang w:val="it-IT"/>
        </w:rPr>
        <w:t> </w:t>
      </w:r>
      <w:r w:rsidRPr="00451078">
        <w:rPr>
          <w:rFonts w:cs="Tahoma"/>
          <w:i/>
          <w:sz w:val="16"/>
          <w:szCs w:val="16"/>
          <w:lang w:val="it-IT"/>
        </w:rPr>
        <w:t>a Core CAL o Enterprise CAL, non costituiscono Servizi Online Enterprise.</w:t>
      </w:r>
    </w:p>
    <w:p w:rsidR="00366502" w:rsidRPr="00451078" w:rsidRDefault="00366502" w:rsidP="00456002">
      <w:pPr>
        <w:tabs>
          <w:tab w:val="left" w:pos="360"/>
        </w:tabs>
        <w:ind w:left="720"/>
        <w:rPr>
          <w:lang w:val="it-IT"/>
        </w:rPr>
      </w:pPr>
    </w:p>
    <w:p w:rsidR="00456002" w:rsidRPr="00451078" w:rsidRDefault="00456002" w:rsidP="0055442E">
      <w:pPr>
        <w:tabs>
          <w:tab w:val="left" w:pos="360"/>
        </w:tabs>
        <w:spacing w:after="60"/>
        <w:rPr>
          <w:lang w:val="it-IT"/>
        </w:rPr>
      </w:pPr>
      <w:r w:rsidRPr="00451078">
        <w:rPr>
          <w:rFonts w:cs="Tahoma"/>
          <w:b/>
          <w:szCs w:val="18"/>
          <w:lang w:val="it-IT"/>
        </w:rPr>
        <w:t>Transizioni Autorizzate</w:t>
      </w:r>
    </w:p>
    <w:p w:rsidR="00456002" w:rsidRPr="00451078" w:rsidRDefault="0014632E" w:rsidP="00366502">
      <w:pPr>
        <w:tabs>
          <w:tab w:val="left" w:pos="360"/>
        </w:tabs>
        <w:rPr>
          <w:lang w:val="it-IT"/>
        </w:rPr>
      </w:pPr>
      <w:r w:rsidRPr="00451078">
        <w:rPr>
          <w:rFonts w:cs="Tahoma"/>
          <w:b/>
          <w:szCs w:val="20"/>
          <w:lang w:val="it-IT"/>
        </w:rPr>
        <w:t xml:space="preserve">Nota: </w:t>
      </w:r>
      <w:r w:rsidRPr="00451078">
        <w:rPr>
          <w:rFonts w:cs="Tahoma"/>
          <w:szCs w:val="20"/>
          <w:lang w:val="it-IT"/>
        </w:rPr>
        <w:t>quanto segue si applica alle società in possesso delle Iscrizioni Enterprise ed Enterprise Subscription che hanno i diritti di Transizione. Le società che non sono certe di disporre dei diritti di Transizione ai sensi della loro iscrizione dovranno contattare il loro Software Advisor, Rivenditore o Account Manager designato da Microsoft per</w:t>
      </w:r>
      <w:r w:rsidR="00867CDF" w:rsidRPr="00451078">
        <w:rPr>
          <w:rFonts w:cs="Tahoma"/>
          <w:szCs w:val="20"/>
          <w:lang w:val="it-IT"/>
        </w:rPr>
        <w:t> </w:t>
      </w:r>
      <w:r w:rsidRPr="00451078">
        <w:rPr>
          <w:rFonts w:cs="Tahoma"/>
          <w:szCs w:val="20"/>
          <w:lang w:val="it-IT"/>
        </w:rPr>
        <w:t>ulteriori informazioni.</w:t>
      </w:r>
      <w:r w:rsidR="00082E1C" w:rsidRPr="00451078">
        <w:rPr>
          <w:rFonts w:cs="Tahoma"/>
          <w:szCs w:val="20"/>
          <w:lang w:val="it-IT"/>
        </w:rPr>
        <w:t xml:space="preserve"> </w:t>
      </w:r>
    </w:p>
    <w:p w:rsidR="00456002" w:rsidRPr="00451078" w:rsidRDefault="00456002" w:rsidP="00366502">
      <w:pPr>
        <w:tabs>
          <w:tab w:val="left" w:pos="360"/>
        </w:tabs>
        <w:rPr>
          <w:lang w:val="it-IT"/>
        </w:rPr>
      </w:pPr>
    </w:p>
    <w:p w:rsidR="00456002" w:rsidRPr="00451078" w:rsidRDefault="00456002" w:rsidP="004525CA">
      <w:pPr>
        <w:tabs>
          <w:tab w:val="left" w:pos="360"/>
        </w:tabs>
        <w:rPr>
          <w:lang w:val="it-IT"/>
        </w:rPr>
      </w:pPr>
      <w:r w:rsidRPr="00451078">
        <w:rPr>
          <w:rFonts w:cs="Tahoma"/>
          <w:szCs w:val="20"/>
          <w:lang w:val="it-IT"/>
        </w:rPr>
        <w:t>Nella tabella che segue sono identificati i prodotti idonei per la Transizione e le Transizioni autorizzate.</w:t>
      </w:r>
      <w:r w:rsidR="00082E1C" w:rsidRPr="00451078">
        <w:rPr>
          <w:rFonts w:cs="Tahoma"/>
          <w:szCs w:val="20"/>
          <w:lang w:val="it-IT"/>
        </w:rPr>
        <w:t xml:space="preserve"> </w:t>
      </w:r>
      <w:r w:rsidRPr="00451078">
        <w:rPr>
          <w:rFonts w:cs="Tahoma"/>
          <w:szCs w:val="20"/>
          <w:lang w:val="it-IT"/>
        </w:rPr>
        <w:t>Sono inclusi prodotti soggetti alla transizione al momento dell</w:t>
      </w:r>
      <w:r w:rsidR="0073727D">
        <w:rPr>
          <w:rFonts w:cs="Tahoma"/>
          <w:szCs w:val="20"/>
          <w:lang w:val="it-IT"/>
        </w:rPr>
        <w:t>’</w:t>
      </w:r>
      <w:r w:rsidRPr="00451078">
        <w:rPr>
          <w:rFonts w:cs="Tahoma"/>
          <w:szCs w:val="20"/>
          <w:lang w:val="it-IT"/>
        </w:rPr>
        <w:t>acquisto come parte di una desktop platform.</w:t>
      </w:r>
    </w:p>
    <w:p w:rsidR="00456002" w:rsidRPr="00451078" w:rsidRDefault="00456002" w:rsidP="00456002">
      <w:pPr>
        <w:tabs>
          <w:tab w:val="left" w:pos="360"/>
        </w:tabs>
        <w:ind w:left="720"/>
        <w:rPr>
          <w:lang w:val="it-IT"/>
        </w:rPr>
      </w:pPr>
    </w:p>
    <w:tbl>
      <w:tblPr>
        <w:tblW w:w="8021" w:type="dxa"/>
        <w:tblInd w:w="720" w:type="dxa"/>
        <w:tblCellMar>
          <w:left w:w="0" w:type="dxa"/>
          <w:right w:w="0" w:type="dxa"/>
        </w:tblCellMar>
        <w:tblLook w:val="04A0" w:firstRow="1" w:lastRow="0" w:firstColumn="1" w:lastColumn="0" w:noHBand="0" w:noVBand="1"/>
      </w:tblPr>
      <w:tblGrid>
        <w:gridCol w:w="4060"/>
        <w:gridCol w:w="3961"/>
      </w:tblGrid>
      <w:tr w:rsidR="00456002" w:rsidRPr="003410C7" w:rsidTr="00622ABE">
        <w:trPr>
          <w:cantSplit/>
          <w:trHeight w:val="189"/>
          <w:tblHeader/>
        </w:trPr>
        <w:tc>
          <w:tcPr>
            <w:tcW w:w="4060" w:type="dxa"/>
            <w:tcBorders>
              <w:top w:val="single" w:sz="8" w:space="0" w:color="auto"/>
              <w:left w:val="single" w:sz="8" w:space="0" w:color="auto"/>
              <w:bottom w:val="single" w:sz="8" w:space="0" w:color="auto"/>
              <w:right w:val="single" w:sz="8" w:space="0" w:color="auto"/>
            </w:tcBorders>
            <w:shd w:val="clear" w:color="auto" w:fill="FABF8F"/>
            <w:vAlign w:val="center"/>
            <w:hideMark/>
          </w:tcPr>
          <w:p w:rsidR="00456002" w:rsidRPr="00451078" w:rsidRDefault="00456002" w:rsidP="00867CDF">
            <w:pPr>
              <w:keepNext/>
              <w:jc w:val="center"/>
              <w:rPr>
                <w:rFonts w:cs="Tahoma"/>
                <w:b/>
                <w:lang w:val="it-IT"/>
              </w:rPr>
            </w:pPr>
            <w:r w:rsidRPr="00451078">
              <w:rPr>
                <w:rFonts w:cs="Tahoma"/>
                <w:b/>
                <w:lang w:val="it-IT"/>
              </w:rPr>
              <w:lastRenderedPageBreak/>
              <w:t>Prodotti Enterprise Soggetti alla</w:t>
            </w:r>
            <w:r w:rsidR="00867CDF" w:rsidRPr="00451078">
              <w:rPr>
                <w:rFonts w:cs="Tahoma"/>
                <w:b/>
                <w:lang w:val="it-IT"/>
              </w:rPr>
              <w:t> </w:t>
            </w:r>
            <w:r w:rsidRPr="00451078">
              <w:rPr>
                <w:rFonts w:cs="Tahoma"/>
                <w:b/>
                <w:lang w:val="it-IT"/>
              </w:rPr>
              <w:t>Transizione</w:t>
            </w:r>
          </w:p>
        </w:tc>
        <w:tc>
          <w:tcPr>
            <w:tcW w:w="3961" w:type="dxa"/>
            <w:tcBorders>
              <w:top w:val="single" w:sz="8" w:space="0" w:color="auto"/>
              <w:left w:val="nil"/>
              <w:bottom w:val="single" w:sz="8" w:space="0" w:color="auto"/>
              <w:right w:val="single" w:sz="8" w:space="0" w:color="auto"/>
            </w:tcBorders>
            <w:shd w:val="clear" w:color="auto" w:fill="FABF8F"/>
            <w:vAlign w:val="center"/>
            <w:hideMark/>
          </w:tcPr>
          <w:p w:rsidR="00456002" w:rsidRPr="003410C7" w:rsidRDefault="00456002" w:rsidP="005C647E">
            <w:pPr>
              <w:keepNext/>
              <w:jc w:val="center"/>
              <w:rPr>
                <w:rFonts w:cs="Tahoma"/>
                <w:b/>
              </w:rPr>
            </w:pPr>
            <w:r w:rsidRPr="003410C7">
              <w:rPr>
                <w:rFonts w:cs="Tahoma"/>
                <w:b/>
              </w:rPr>
              <w:t>Transizioni Autorizzate</w:t>
            </w:r>
          </w:p>
        </w:tc>
      </w:tr>
      <w:tr w:rsidR="00A32052" w:rsidRPr="003410C7" w:rsidTr="00622ABE">
        <w:trPr>
          <w:cantSplit/>
          <w:trHeight w:val="354"/>
        </w:trPr>
        <w:tc>
          <w:tcPr>
            <w:tcW w:w="4060" w:type="dxa"/>
            <w:tcBorders>
              <w:top w:val="nil"/>
              <w:left w:val="single" w:sz="8" w:space="0" w:color="auto"/>
              <w:bottom w:val="single" w:sz="8" w:space="0" w:color="auto"/>
              <w:right w:val="single" w:sz="8" w:space="0" w:color="auto"/>
            </w:tcBorders>
            <w:vAlign w:val="center"/>
          </w:tcPr>
          <w:p w:rsidR="00A32052" w:rsidRPr="003410C7" w:rsidRDefault="00A32052" w:rsidP="005C647E">
            <w:pPr>
              <w:spacing w:before="60" w:after="60"/>
              <w:ind w:left="144"/>
              <w:rPr>
                <w:rFonts w:cs="Tahoma"/>
              </w:rPr>
            </w:pPr>
            <w:r w:rsidRPr="003410C7">
              <w:rPr>
                <w:rFonts w:cs="Tahoma"/>
              </w:rPr>
              <w:t xml:space="preserve">Core CAL Suite </w:t>
            </w:r>
          </w:p>
        </w:tc>
        <w:tc>
          <w:tcPr>
            <w:tcW w:w="3961" w:type="dxa"/>
            <w:tcBorders>
              <w:top w:val="nil"/>
              <w:left w:val="nil"/>
              <w:bottom w:val="single" w:sz="8" w:space="0" w:color="auto"/>
              <w:right w:val="single" w:sz="8" w:space="0" w:color="auto"/>
            </w:tcBorders>
            <w:vAlign w:val="center"/>
          </w:tcPr>
          <w:p w:rsidR="008368B4" w:rsidRPr="003410C7" w:rsidRDefault="008368B4" w:rsidP="00745AB3">
            <w:pPr>
              <w:numPr>
                <w:ilvl w:val="0"/>
                <w:numId w:val="37"/>
              </w:numPr>
              <w:spacing w:before="60" w:after="60"/>
            </w:pPr>
            <w:r w:rsidRPr="003410C7">
              <w:rPr>
                <w:rFonts w:cs="Tahoma"/>
                <w:color w:val="000000"/>
                <w:szCs w:val="18"/>
              </w:rPr>
              <w:t>Office 365 (Enterprise E1)*</w:t>
            </w:r>
          </w:p>
          <w:p w:rsidR="008368B4" w:rsidRPr="003410C7" w:rsidRDefault="008368B4" w:rsidP="00745AB3">
            <w:pPr>
              <w:numPr>
                <w:ilvl w:val="0"/>
                <w:numId w:val="37"/>
              </w:numPr>
              <w:spacing w:after="60"/>
            </w:pPr>
            <w:r w:rsidRPr="003410C7">
              <w:rPr>
                <w:rFonts w:cs="Tahoma"/>
                <w:color w:val="000000"/>
                <w:szCs w:val="18"/>
              </w:rPr>
              <w:t>Office 365 (Enterprise E2)*</w:t>
            </w:r>
          </w:p>
          <w:p w:rsidR="008368B4" w:rsidRPr="003410C7" w:rsidRDefault="008368B4" w:rsidP="00745AB3">
            <w:pPr>
              <w:numPr>
                <w:ilvl w:val="0"/>
                <w:numId w:val="37"/>
              </w:numPr>
              <w:spacing w:after="60"/>
            </w:pPr>
            <w:r w:rsidRPr="003410C7">
              <w:rPr>
                <w:rFonts w:cs="Tahoma"/>
                <w:color w:val="000000"/>
                <w:szCs w:val="18"/>
              </w:rPr>
              <w:t>Office 365 (Enterprise E3)*</w:t>
            </w:r>
          </w:p>
          <w:p w:rsidR="008368B4" w:rsidRPr="003410C7" w:rsidRDefault="008368B4" w:rsidP="00745AB3">
            <w:pPr>
              <w:numPr>
                <w:ilvl w:val="0"/>
                <w:numId w:val="37"/>
              </w:numPr>
              <w:spacing w:after="60"/>
            </w:pPr>
            <w:r w:rsidRPr="003410C7">
              <w:rPr>
                <w:rFonts w:cs="Tahoma"/>
                <w:color w:val="000000"/>
                <w:szCs w:val="18"/>
              </w:rPr>
              <w:t>Office 365 (Enterprise E4)*</w:t>
            </w:r>
          </w:p>
          <w:p w:rsidR="008368B4" w:rsidRPr="003410C7" w:rsidRDefault="008368B4" w:rsidP="00745AB3">
            <w:pPr>
              <w:numPr>
                <w:ilvl w:val="0"/>
                <w:numId w:val="37"/>
              </w:numPr>
              <w:spacing w:after="60"/>
            </w:pPr>
            <w:r w:rsidRPr="003410C7">
              <w:rPr>
                <w:rFonts w:cs="Tahoma"/>
                <w:color w:val="000000"/>
                <w:szCs w:val="18"/>
              </w:rPr>
              <w:t>Office 365 (Government G1)*</w:t>
            </w:r>
          </w:p>
          <w:p w:rsidR="008368B4" w:rsidRPr="003410C7" w:rsidRDefault="008368B4" w:rsidP="00745AB3">
            <w:pPr>
              <w:numPr>
                <w:ilvl w:val="0"/>
                <w:numId w:val="37"/>
              </w:numPr>
              <w:spacing w:after="60"/>
            </w:pPr>
            <w:r w:rsidRPr="003410C7">
              <w:rPr>
                <w:rFonts w:cs="Tahoma"/>
                <w:color w:val="000000"/>
                <w:szCs w:val="18"/>
              </w:rPr>
              <w:t>Office 365 (Government G2)*</w:t>
            </w:r>
          </w:p>
          <w:p w:rsidR="008368B4" w:rsidRPr="003410C7" w:rsidRDefault="008368B4" w:rsidP="00745AB3">
            <w:pPr>
              <w:numPr>
                <w:ilvl w:val="0"/>
                <w:numId w:val="37"/>
              </w:numPr>
              <w:spacing w:after="60"/>
            </w:pPr>
            <w:r w:rsidRPr="003410C7">
              <w:rPr>
                <w:rFonts w:cs="Tahoma"/>
                <w:color w:val="000000"/>
                <w:szCs w:val="18"/>
              </w:rPr>
              <w:t>Office 365 (Government G3)*</w:t>
            </w:r>
          </w:p>
          <w:p w:rsidR="008368B4" w:rsidRPr="003410C7" w:rsidRDefault="008368B4" w:rsidP="00745AB3">
            <w:pPr>
              <w:numPr>
                <w:ilvl w:val="0"/>
                <w:numId w:val="37"/>
              </w:numPr>
              <w:spacing w:after="60"/>
            </w:pPr>
            <w:r w:rsidRPr="003410C7">
              <w:rPr>
                <w:rFonts w:cs="Tahoma"/>
                <w:color w:val="000000"/>
                <w:szCs w:val="18"/>
              </w:rPr>
              <w:t>Office 365 (Government G4)*</w:t>
            </w:r>
          </w:p>
          <w:p w:rsidR="00A32052" w:rsidRPr="003410C7" w:rsidRDefault="00A32052" w:rsidP="00745AB3">
            <w:pPr>
              <w:numPr>
                <w:ilvl w:val="0"/>
                <w:numId w:val="37"/>
              </w:numPr>
              <w:ind w:right="144"/>
            </w:pPr>
            <w:r w:rsidRPr="003410C7">
              <w:rPr>
                <w:rFonts w:cs="Tahoma"/>
                <w:color w:val="000000"/>
              </w:rPr>
              <w:t>Windows Intune*</w:t>
            </w:r>
          </w:p>
          <w:p w:rsidR="00A32052" w:rsidRPr="003410C7" w:rsidRDefault="00A32052" w:rsidP="0055442E">
            <w:pPr>
              <w:ind w:left="720" w:right="144"/>
              <w:rPr>
                <w:rFonts w:cs="Tahoma"/>
                <w:color w:val="000000"/>
              </w:rPr>
            </w:pPr>
          </w:p>
        </w:tc>
      </w:tr>
      <w:tr w:rsidR="00A32052" w:rsidRPr="003410C7" w:rsidTr="00622ABE">
        <w:trPr>
          <w:cantSplit/>
          <w:trHeight w:val="354"/>
        </w:trPr>
        <w:tc>
          <w:tcPr>
            <w:tcW w:w="4060" w:type="dxa"/>
            <w:tcBorders>
              <w:top w:val="nil"/>
              <w:left w:val="single" w:sz="8" w:space="0" w:color="auto"/>
              <w:bottom w:val="single" w:sz="8" w:space="0" w:color="auto"/>
              <w:right w:val="single" w:sz="8" w:space="0" w:color="auto"/>
            </w:tcBorders>
            <w:vAlign w:val="center"/>
          </w:tcPr>
          <w:p w:rsidR="00A32052" w:rsidRPr="003410C7" w:rsidRDefault="00A32052" w:rsidP="005C647E">
            <w:pPr>
              <w:spacing w:before="60" w:after="60"/>
              <w:ind w:left="144"/>
              <w:rPr>
                <w:rFonts w:cs="Tahoma"/>
              </w:rPr>
            </w:pPr>
            <w:r w:rsidRPr="003410C7">
              <w:rPr>
                <w:rFonts w:cs="Tahoma"/>
              </w:rPr>
              <w:t>Enterprise CAL Suite</w:t>
            </w:r>
          </w:p>
        </w:tc>
        <w:tc>
          <w:tcPr>
            <w:tcW w:w="3961" w:type="dxa"/>
            <w:tcBorders>
              <w:top w:val="nil"/>
              <w:left w:val="nil"/>
              <w:bottom w:val="single" w:sz="8" w:space="0" w:color="auto"/>
              <w:right w:val="single" w:sz="8" w:space="0" w:color="auto"/>
            </w:tcBorders>
            <w:vAlign w:val="center"/>
          </w:tcPr>
          <w:p w:rsidR="00A32052" w:rsidRPr="003410C7" w:rsidRDefault="00A32052" w:rsidP="00745AB3">
            <w:pPr>
              <w:numPr>
                <w:ilvl w:val="0"/>
                <w:numId w:val="37"/>
              </w:numPr>
              <w:spacing w:before="60" w:after="60"/>
            </w:pPr>
            <w:r w:rsidRPr="003410C7">
              <w:rPr>
                <w:rFonts w:cs="Tahoma"/>
                <w:color w:val="000000"/>
                <w:szCs w:val="18"/>
              </w:rPr>
              <w:t>Office 365 (Enterprise E3)*</w:t>
            </w:r>
          </w:p>
          <w:p w:rsidR="00A32052" w:rsidRPr="003410C7" w:rsidRDefault="00A32052" w:rsidP="00745AB3">
            <w:pPr>
              <w:numPr>
                <w:ilvl w:val="0"/>
                <w:numId w:val="37"/>
              </w:numPr>
              <w:spacing w:after="60"/>
            </w:pPr>
            <w:r w:rsidRPr="003410C7">
              <w:rPr>
                <w:rFonts w:cs="Tahoma"/>
                <w:color w:val="000000"/>
                <w:szCs w:val="18"/>
              </w:rPr>
              <w:t>Office 365 (Enterprise E4)*</w:t>
            </w:r>
          </w:p>
          <w:p w:rsidR="004D2744" w:rsidRPr="003410C7" w:rsidRDefault="004D2744" w:rsidP="00745AB3">
            <w:pPr>
              <w:numPr>
                <w:ilvl w:val="0"/>
                <w:numId w:val="37"/>
              </w:numPr>
              <w:spacing w:after="60"/>
            </w:pPr>
            <w:r w:rsidRPr="003410C7">
              <w:rPr>
                <w:rFonts w:cs="Tahoma"/>
                <w:color w:val="000000"/>
                <w:szCs w:val="18"/>
              </w:rPr>
              <w:t>Office 365 (Enterprise G3)*</w:t>
            </w:r>
          </w:p>
          <w:p w:rsidR="004D2744" w:rsidRPr="003410C7" w:rsidRDefault="004D2744" w:rsidP="00745AB3">
            <w:pPr>
              <w:numPr>
                <w:ilvl w:val="0"/>
                <w:numId w:val="37"/>
              </w:numPr>
              <w:spacing w:after="60"/>
            </w:pPr>
            <w:r w:rsidRPr="003410C7">
              <w:rPr>
                <w:rFonts w:cs="Tahoma"/>
                <w:color w:val="000000"/>
                <w:szCs w:val="18"/>
              </w:rPr>
              <w:t>Office 365 (Enterprise G4)*</w:t>
            </w:r>
          </w:p>
          <w:p w:rsidR="00A32052" w:rsidRPr="003410C7" w:rsidRDefault="00A32052" w:rsidP="00745AB3">
            <w:pPr>
              <w:numPr>
                <w:ilvl w:val="0"/>
                <w:numId w:val="37"/>
              </w:numPr>
              <w:ind w:right="144"/>
            </w:pPr>
            <w:r w:rsidRPr="003410C7">
              <w:rPr>
                <w:rFonts w:cs="Tahoma"/>
                <w:color w:val="000000"/>
              </w:rPr>
              <w:t>Windows</w:t>
            </w:r>
            <w:r w:rsidR="003410C7" w:rsidRPr="003410C7">
              <w:rPr>
                <w:rFonts w:cs="Tahoma"/>
                <w:color w:val="000000"/>
                <w:vertAlign w:val="superscript"/>
              </w:rPr>
              <w:t>®</w:t>
            </w:r>
            <w:r w:rsidRPr="003410C7">
              <w:rPr>
                <w:rFonts w:cs="Tahoma"/>
                <w:color w:val="000000"/>
              </w:rPr>
              <w:t xml:space="preserve"> Intune*</w:t>
            </w:r>
          </w:p>
          <w:p w:rsidR="00A32052" w:rsidRPr="003410C7" w:rsidRDefault="00A32052" w:rsidP="00BD6C2C">
            <w:pPr>
              <w:ind w:right="144"/>
              <w:rPr>
                <w:rFonts w:cs="Tahoma"/>
                <w:color w:val="000000"/>
              </w:rPr>
            </w:pPr>
          </w:p>
        </w:tc>
      </w:tr>
      <w:tr w:rsidR="00A32052" w:rsidRPr="003410C7" w:rsidTr="00622ABE">
        <w:trPr>
          <w:cantSplit/>
          <w:trHeight w:val="354"/>
        </w:trPr>
        <w:tc>
          <w:tcPr>
            <w:tcW w:w="4060" w:type="dxa"/>
            <w:tcBorders>
              <w:top w:val="single" w:sz="8" w:space="0" w:color="auto"/>
              <w:left w:val="single" w:sz="8" w:space="0" w:color="auto"/>
              <w:bottom w:val="single" w:sz="4" w:space="0" w:color="auto"/>
              <w:right w:val="single" w:sz="8" w:space="0" w:color="auto"/>
            </w:tcBorders>
            <w:vAlign w:val="center"/>
          </w:tcPr>
          <w:p w:rsidR="00A32052" w:rsidRPr="003410C7" w:rsidRDefault="00A32052" w:rsidP="005C647E">
            <w:pPr>
              <w:spacing w:before="60" w:after="60"/>
              <w:ind w:left="144"/>
              <w:rPr>
                <w:rFonts w:cs="Tahoma"/>
              </w:rPr>
            </w:pPr>
            <w:r w:rsidRPr="003410C7">
              <w:rPr>
                <w:rFonts w:cs="Tahoma"/>
              </w:rPr>
              <w:t>Office Professional Plus</w:t>
            </w:r>
          </w:p>
        </w:tc>
        <w:tc>
          <w:tcPr>
            <w:tcW w:w="3961" w:type="dxa"/>
            <w:tcBorders>
              <w:top w:val="single" w:sz="8" w:space="0" w:color="auto"/>
              <w:left w:val="nil"/>
              <w:bottom w:val="single" w:sz="4" w:space="0" w:color="auto"/>
              <w:right w:val="single" w:sz="8" w:space="0" w:color="auto"/>
            </w:tcBorders>
            <w:vAlign w:val="center"/>
          </w:tcPr>
          <w:p w:rsidR="004D2744" w:rsidRPr="003410C7" w:rsidRDefault="00A32052" w:rsidP="00745AB3">
            <w:pPr>
              <w:numPr>
                <w:ilvl w:val="0"/>
                <w:numId w:val="37"/>
              </w:numPr>
              <w:spacing w:after="60"/>
            </w:pPr>
            <w:r w:rsidRPr="003410C7">
              <w:rPr>
                <w:rFonts w:cs="Tahoma"/>
                <w:color w:val="000000"/>
                <w:szCs w:val="18"/>
              </w:rPr>
              <w:t>Office 365 (Enterprise E2)*</w:t>
            </w:r>
          </w:p>
          <w:p w:rsidR="00A32052" w:rsidRPr="003410C7" w:rsidRDefault="00A32052" w:rsidP="00745AB3">
            <w:pPr>
              <w:numPr>
                <w:ilvl w:val="0"/>
                <w:numId w:val="37"/>
              </w:numPr>
              <w:spacing w:after="60"/>
            </w:pPr>
            <w:r w:rsidRPr="003410C7">
              <w:rPr>
                <w:rFonts w:cs="Tahoma"/>
                <w:color w:val="000000"/>
                <w:szCs w:val="18"/>
              </w:rPr>
              <w:t>Office 365 (Enterprise E3)*</w:t>
            </w:r>
          </w:p>
          <w:p w:rsidR="00A32052" w:rsidRPr="003410C7" w:rsidRDefault="00A32052" w:rsidP="00745AB3">
            <w:pPr>
              <w:numPr>
                <w:ilvl w:val="0"/>
                <w:numId w:val="37"/>
              </w:numPr>
              <w:spacing w:after="60"/>
            </w:pPr>
            <w:r w:rsidRPr="003410C7">
              <w:rPr>
                <w:rFonts w:cs="Tahoma"/>
                <w:color w:val="000000"/>
                <w:szCs w:val="18"/>
              </w:rPr>
              <w:t>Office 365 (Enterprise E4)*</w:t>
            </w:r>
          </w:p>
          <w:p w:rsidR="00A32052" w:rsidRPr="003410C7" w:rsidRDefault="00A32052" w:rsidP="00745AB3">
            <w:pPr>
              <w:numPr>
                <w:ilvl w:val="0"/>
                <w:numId w:val="37"/>
              </w:numPr>
              <w:spacing w:after="60"/>
            </w:pPr>
            <w:r w:rsidRPr="003410C7">
              <w:rPr>
                <w:rFonts w:cs="Tahoma"/>
                <w:color w:val="000000"/>
                <w:szCs w:val="18"/>
              </w:rPr>
              <w:t xml:space="preserve">Office 365 (Government G2) </w:t>
            </w:r>
          </w:p>
          <w:p w:rsidR="00A32052" w:rsidRPr="003410C7" w:rsidRDefault="00A32052" w:rsidP="00745AB3">
            <w:pPr>
              <w:numPr>
                <w:ilvl w:val="0"/>
                <w:numId w:val="37"/>
              </w:numPr>
              <w:spacing w:after="60"/>
            </w:pPr>
            <w:r w:rsidRPr="003410C7">
              <w:rPr>
                <w:rFonts w:cs="Tahoma"/>
                <w:color w:val="000000"/>
                <w:szCs w:val="18"/>
              </w:rPr>
              <w:t>Office 365 (Government G3)</w:t>
            </w:r>
          </w:p>
          <w:p w:rsidR="00A32052" w:rsidRPr="003410C7" w:rsidRDefault="00A32052" w:rsidP="00745AB3">
            <w:pPr>
              <w:numPr>
                <w:ilvl w:val="0"/>
                <w:numId w:val="37"/>
              </w:numPr>
              <w:spacing w:after="60"/>
            </w:pPr>
            <w:r w:rsidRPr="003410C7">
              <w:rPr>
                <w:rFonts w:cs="Tahoma"/>
                <w:color w:val="000000"/>
                <w:szCs w:val="18"/>
              </w:rPr>
              <w:t>Office 365 (Government G4)</w:t>
            </w:r>
          </w:p>
          <w:p w:rsidR="002D25C8" w:rsidRPr="003410C7" w:rsidRDefault="00A32052" w:rsidP="00745AB3">
            <w:pPr>
              <w:numPr>
                <w:ilvl w:val="0"/>
                <w:numId w:val="37"/>
              </w:numPr>
              <w:spacing w:after="60"/>
              <w:rPr>
                <w:rFonts w:cs="Tahoma"/>
                <w:color w:val="000000"/>
              </w:rPr>
            </w:pPr>
            <w:r w:rsidRPr="003410C7">
              <w:rPr>
                <w:rFonts w:cs="Tahoma"/>
                <w:color w:val="000000"/>
                <w:szCs w:val="18"/>
              </w:rPr>
              <w:t>Office Professional Plus per Office 365</w:t>
            </w:r>
          </w:p>
        </w:tc>
      </w:tr>
      <w:tr w:rsidR="00A32052" w:rsidRPr="003410C7" w:rsidTr="00622ABE">
        <w:trPr>
          <w:cantSplit/>
          <w:trHeight w:val="354"/>
        </w:trPr>
        <w:tc>
          <w:tcPr>
            <w:tcW w:w="4060" w:type="dxa"/>
            <w:tcBorders>
              <w:top w:val="single" w:sz="4" w:space="0" w:color="auto"/>
              <w:left w:val="single" w:sz="8" w:space="0" w:color="auto"/>
              <w:bottom w:val="nil"/>
              <w:right w:val="single" w:sz="8" w:space="0" w:color="auto"/>
            </w:tcBorders>
            <w:vAlign w:val="center"/>
          </w:tcPr>
          <w:p w:rsidR="00A32052" w:rsidRPr="00451078" w:rsidRDefault="00A32052" w:rsidP="005C647E">
            <w:pPr>
              <w:spacing w:before="60" w:after="60"/>
              <w:ind w:left="144"/>
              <w:rPr>
                <w:rFonts w:cs="Tahoma"/>
                <w:lang w:val="fr-FR"/>
              </w:rPr>
            </w:pPr>
            <w:r w:rsidRPr="00451078">
              <w:rPr>
                <w:rFonts w:cs="Tahoma"/>
                <w:lang w:val="fr-FR"/>
              </w:rPr>
              <w:t>Office Professional Plus e Core CAL Suite</w:t>
            </w:r>
          </w:p>
        </w:tc>
        <w:tc>
          <w:tcPr>
            <w:tcW w:w="3961" w:type="dxa"/>
            <w:tcBorders>
              <w:top w:val="single" w:sz="4" w:space="0" w:color="auto"/>
              <w:left w:val="nil"/>
              <w:bottom w:val="nil"/>
              <w:right w:val="single" w:sz="8" w:space="0" w:color="auto"/>
            </w:tcBorders>
            <w:vAlign w:val="center"/>
          </w:tcPr>
          <w:p w:rsidR="008368B4" w:rsidRPr="003410C7" w:rsidRDefault="008368B4" w:rsidP="00745AB3">
            <w:pPr>
              <w:numPr>
                <w:ilvl w:val="0"/>
                <w:numId w:val="37"/>
              </w:numPr>
              <w:spacing w:before="60" w:after="60"/>
            </w:pPr>
            <w:r w:rsidRPr="003410C7">
              <w:rPr>
                <w:rFonts w:cs="Tahoma"/>
                <w:color w:val="000000"/>
                <w:szCs w:val="18"/>
              </w:rPr>
              <w:t>Office 365 (Enterprise E2)*</w:t>
            </w:r>
          </w:p>
          <w:p w:rsidR="008368B4" w:rsidRPr="003410C7" w:rsidRDefault="008368B4" w:rsidP="00745AB3">
            <w:pPr>
              <w:numPr>
                <w:ilvl w:val="0"/>
                <w:numId w:val="37"/>
              </w:numPr>
              <w:spacing w:after="60"/>
            </w:pPr>
            <w:r w:rsidRPr="003410C7">
              <w:rPr>
                <w:rFonts w:cs="Tahoma"/>
                <w:color w:val="000000"/>
                <w:szCs w:val="18"/>
              </w:rPr>
              <w:t>Office 365 (Enterprise E3)*</w:t>
            </w:r>
          </w:p>
          <w:p w:rsidR="008368B4" w:rsidRPr="003410C7" w:rsidRDefault="008368B4" w:rsidP="00745AB3">
            <w:pPr>
              <w:numPr>
                <w:ilvl w:val="0"/>
                <w:numId w:val="37"/>
              </w:numPr>
              <w:spacing w:after="60"/>
            </w:pPr>
            <w:r w:rsidRPr="003410C7">
              <w:rPr>
                <w:rFonts w:cs="Tahoma"/>
                <w:color w:val="000000"/>
                <w:szCs w:val="18"/>
              </w:rPr>
              <w:t>Office 365 (Enterprise E4)*</w:t>
            </w:r>
          </w:p>
          <w:p w:rsidR="008368B4" w:rsidRPr="003410C7" w:rsidRDefault="008368B4" w:rsidP="00745AB3">
            <w:pPr>
              <w:numPr>
                <w:ilvl w:val="0"/>
                <w:numId w:val="37"/>
              </w:numPr>
              <w:spacing w:after="60"/>
            </w:pPr>
            <w:r w:rsidRPr="003410C7">
              <w:rPr>
                <w:rFonts w:cs="Tahoma"/>
                <w:color w:val="000000"/>
                <w:szCs w:val="18"/>
              </w:rPr>
              <w:t>Office 365 (Government G2)*</w:t>
            </w:r>
          </w:p>
          <w:p w:rsidR="008368B4" w:rsidRPr="003410C7" w:rsidRDefault="008368B4" w:rsidP="00745AB3">
            <w:pPr>
              <w:numPr>
                <w:ilvl w:val="0"/>
                <w:numId w:val="37"/>
              </w:numPr>
              <w:spacing w:after="60"/>
            </w:pPr>
            <w:r w:rsidRPr="003410C7">
              <w:rPr>
                <w:rFonts w:cs="Tahoma"/>
                <w:color w:val="000000"/>
                <w:szCs w:val="18"/>
              </w:rPr>
              <w:t>Office 365 (Government G3)*</w:t>
            </w:r>
          </w:p>
          <w:p w:rsidR="008368B4" w:rsidRPr="003410C7" w:rsidRDefault="008368B4" w:rsidP="00745AB3">
            <w:pPr>
              <w:numPr>
                <w:ilvl w:val="0"/>
                <w:numId w:val="37"/>
              </w:numPr>
              <w:spacing w:after="60"/>
            </w:pPr>
            <w:r w:rsidRPr="003410C7">
              <w:rPr>
                <w:rFonts w:cs="Tahoma"/>
                <w:color w:val="000000"/>
                <w:szCs w:val="18"/>
              </w:rPr>
              <w:t>Office 365 (Government G4)*</w:t>
            </w:r>
          </w:p>
          <w:p w:rsidR="002D25C8" w:rsidRPr="003410C7" w:rsidRDefault="002D25C8" w:rsidP="0055442E">
            <w:pPr>
              <w:ind w:left="720"/>
              <w:rPr>
                <w:rFonts w:cs="Tahoma"/>
                <w:color w:val="000000"/>
              </w:rPr>
            </w:pPr>
          </w:p>
        </w:tc>
      </w:tr>
      <w:tr w:rsidR="00A32052" w:rsidRPr="003410C7" w:rsidTr="00622ABE">
        <w:trPr>
          <w:cantSplit/>
          <w:trHeight w:val="354"/>
        </w:trPr>
        <w:tc>
          <w:tcPr>
            <w:tcW w:w="4060" w:type="dxa"/>
            <w:tcBorders>
              <w:top w:val="single" w:sz="8" w:space="0" w:color="auto"/>
              <w:left w:val="single" w:sz="8" w:space="0" w:color="auto"/>
              <w:bottom w:val="single" w:sz="8" w:space="0" w:color="auto"/>
              <w:right w:val="single" w:sz="8" w:space="0" w:color="auto"/>
            </w:tcBorders>
            <w:vAlign w:val="center"/>
          </w:tcPr>
          <w:p w:rsidR="00A32052" w:rsidRPr="00451078" w:rsidRDefault="00A32052" w:rsidP="00867CDF">
            <w:pPr>
              <w:spacing w:before="60" w:after="60"/>
              <w:ind w:left="144"/>
              <w:rPr>
                <w:rFonts w:cs="Tahoma"/>
                <w:lang w:val="fr-FR"/>
              </w:rPr>
            </w:pPr>
            <w:r w:rsidRPr="00451078">
              <w:rPr>
                <w:rFonts w:cs="Tahoma"/>
                <w:lang w:val="fr-FR"/>
              </w:rPr>
              <w:t>Office Professional Plus ed Enterprise CAL</w:t>
            </w:r>
            <w:r w:rsidR="00867CDF" w:rsidRPr="00451078">
              <w:rPr>
                <w:rFonts w:cs="Tahoma"/>
                <w:lang w:val="fr-FR"/>
              </w:rPr>
              <w:t> </w:t>
            </w:r>
            <w:r w:rsidRPr="00451078">
              <w:rPr>
                <w:rFonts w:cs="Tahoma"/>
                <w:lang w:val="fr-FR"/>
              </w:rPr>
              <w:t>Suite</w:t>
            </w:r>
          </w:p>
        </w:tc>
        <w:tc>
          <w:tcPr>
            <w:tcW w:w="3961" w:type="dxa"/>
            <w:tcBorders>
              <w:top w:val="single" w:sz="8" w:space="0" w:color="auto"/>
              <w:left w:val="nil"/>
              <w:bottom w:val="single" w:sz="8" w:space="0" w:color="auto"/>
              <w:right w:val="single" w:sz="8" w:space="0" w:color="auto"/>
            </w:tcBorders>
            <w:vAlign w:val="center"/>
          </w:tcPr>
          <w:p w:rsidR="008368B4" w:rsidRPr="003410C7" w:rsidRDefault="008368B4" w:rsidP="00745AB3">
            <w:pPr>
              <w:numPr>
                <w:ilvl w:val="0"/>
                <w:numId w:val="37"/>
              </w:numPr>
              <w:spacing w:before="60" w:after="60"/>
            </w:pPr>
            <w:r w:rsidRPr="003410C7">
              <w:rPr>
                <w:rFonts w:cs="Tahoma"/>
                <w:color w:val="000000"/>
                <w:szCs w:val="18"/>
              </w:rPr>
              <w:t>Office 365 (Enterprise E3)*</w:t>
            </w:r>
          </w:p>
          <w:p w:rsidR="008368B4" w:rsidRPr="003410C7" w:rsidRDefault="008368B4" w:rsidP="00745AB3">
            <w:pPr>
              <w:numPr>
                <w:ilvl w:val="0"/>
                <w:numId w:val="37"/>
              </w:numPr>
              <w:spacing w:after="60"/>
            </w:pPr>
            <w:r w:rsidRPr="003410C7">
              <w:rPr>
                <w:rFonts w:cs="Tahoma"/>
                <w:color w:val="000000"/>
                <w:szCs w:val="18"/>
              </w:rPr>
              <w:t>Office 365 (Enterprise E4)*</w:t>
            </w:r>
          </w:p>
          <w:p w:rsidR="008368B4" w:rsidRPr="003410C7" w:rsidRDefault="008368B4" w:rsidP="00745AB3">
            <w:pPr>
              <w:numPr>
                <w:ilvl w:val="0"/>
                <w:numId w:val="37"/>
              </w:numPr>
              <w:spacing w:after="60"/>
            </w:pPr>
            <w:r w:rsidRPr="003410C7">
              <w:rPr>
                <w:rFonts w:cs="Tahoma"/>
                <w:color w:val="000000"/>
                <w:szCs w:val="18"/>
              </w:rPr>
              <w:t>Office 365 (Government G3)*</w:t>
            </w:r>
          </w:p>
          <w:p w:rsidR="008368B4" w:rsidRPr="003410C7" w:rsidRDefault="008368B4" w:rsidP="00745AB3">
            <w:pPr>
              <w:numPr>
                <w:ilvl w:val="0"/>
                <w:numId w:val="37"/>
              </w:numPr>
              <w:spacing w:after="60"/>
            </w:pPr>
            <w:r w:rsidRPr="003410C7">
              <w:rPr>
                <w:rFonts w:cs="Tahoma"/>
                <w:color w:val="000000"/>
                <w:szCs w:val="18"/>
              </w:rPr>
              <w:t>Office 365 (Government G4)*</w:t>
            </w:r>
          </w:p>
          <w:p w:rsidR="002D25C8" w:rsidRPr="003410C7" w:rsidRDefault="002D25C8" w:rsidP="0055442E">
            <w:pPr>
              <w:ind w:left="720"/>
              <w:rPr>
                <w:rFonts w:cs="Tahoma"/>
                <w:color w:val="000000"/>
              </w:rPr>
            </w:pPr>
          </w:p>
        </w:tc>
      </w:tr>
    </w:tbl>
    <w:p w:rsidR="00456002" w:rsidRPr="00451078" w:rsidRDefault="00456002" w:rsidP="004525CA">
      <w:pPr>
        <w:tabs>
          <w:tab w:val="left" w:pos="360"/>
        </w:tabs>
        <w:ind w:left="720"/>
        <w:rPr>
          <w:sz w:val="16"/>
          <w:szCs w:val="16"/>
          <w:lang w:val="it-IT"/>
        </w:rPr>
      </w:pPr>
      <w:r w:rsidRPr="00451078">
        <w:rPr>
          <w:rFonts w:cs="Tahoma"/>
          <w:i/>
          <w:sz w:val="16"/>
          <w:szCs w:val="16"/>
          <w:lang w:val="it-IT"/>
        </w:rPr>
        <w:t>* Richiede la CAL Suite Bridge appropriata. Per ulteriori informazioni sulla CAL Suite Bridge, fare riferimento all</w:t>
      </w:r>
      <w:r w:rsidR="0073727D">
        <w:rPr>
          <w:rFonts w:cs="Tahoma"/>
          <w:i/>
          <w:sz w:val="16"/>
          <w:szCs w:val="16"/>
          <w:lang w:val="it-IT"/>
        </w:rPr>
        <w:t>’</w:t>
      </w:r>
      <w:r w:rsidRPr="00451078">
        <w:rPr>
          <w:rFonts w:cs="Tahoma"/>
          <w:i/>
          <w:sz w:val="16"/>
          <w:szCs w:val="16"/>
          <w:lang w:val="it-IT"/>
        </w:rPr>
        <w:t>articolo relativo alle note del prodotto nel presente documento.</w:t>
      </w:r>
    </w:p>
    <w:p w:rsidR="00456002" w:rsidRPr="00451078" w:rsidRDefault="00456002" w:rsidP="00456002">
      <w:pPr>
        <w:tabs>
          <w:tab w:val="left" w:pos="360"/>
        </w:tabs>
        <w:ind w:left="720"/>
        <w:rPr>
          <w:lang w:val="it-IT"/>
        </w:rPr>
      </w:pPr>
    </w:p>
    <w:p w:rsidR="00456002" w:rsidRPr="00451078" w:rsidRDefault="00456002" w:rsidP="00366502">
      <w:pPr>
        <w:rPr>
          <w:lang w:val="it-IT"/>
        </w:rPr>
      </w:pPr>
      <w:r w:rsidRPr="00451078">
        <w:rPr>
          <w:rFonts w:cs="Tahoma"/>
          <w:szCs w:val="20"/>
          <w:lang w:val="it-IT"/>
        </w:rPr>
        <w:t>Altre Transizioni potranno essere aggiunte a discrezione di Microsoft.</w:t>
      </w:r>
      <w:r w:rsidR="00082E1C" w:rsidRPr="00451078">
        <w:rPr>
          <w:rFonts w:cs="Tahoma"/>
          <w:szCs w:val="20"/>
          <w:lang w:val="it-IT"/>
        </w:rPr>
        <w:t xml:space="preserve"> </w:t>
      </w:r>
      <w:r w:rsidRPr="00451078">
        <w:rPr>
          <w:rFonts w:cs="Tahoma"/>
          <w:szCs w:val="20"/>
          <w:lang w:val="it-IT"/>
        </w:rPr>
        <w:t>Potranno applicarsi requisiti relativi alla licenza e corrispettivi aggiuntivi.</w:t>
      </w:r>
      <w:r w:rsidR="00082E1C" w:rsidRPr="00451078">
        <w:rPr>
          <w:rFonts w:cs="Tahoma"/>
          <w:szCs w:val="20"/>
          <w:lang w:val="it-IT"/>
        </w:rPr>
        <w:t xml:space="preserve"> </w:t>
      </w:r>
    </w:p>
    <w:p w:rsidR="00456002" w:rsidRPr="00451078" w:rsidRDefault="00456002" w:rsidP="00366502">
      <w:pPr>
        <w:outlineLvl w:val="2"/>
        <w:rPr>
          <w:lang w:val="it-IT"/>
        </w:rPr>
      </w:pPr>
    </w:p>
    <w:p w:rsidR="00456002" w:rsidRPr="00451078" w:rsidRDefault="00456002" w:rsidP="0055442E">
      <w:pPr>
        <w:keepNext/>
        <w:tabs>
          <w:tab w:val="num" w:pos="720"/>
        </w:tabs>
        <w:spacing w:after="60"/>
        <w:outlineLvl w:val="3"/>
        <w:rPr>
          <w:lang w:val="it-IT"/>
        </w:rPr>
      </w:pPr>
      <w:r w:rsidRPr="00451078">
        <w:rPr>
          <w:rFonts w:cs="Tahoma"/>
          <w:b/>
          <w:szCs w:val="20"/>
          <w:lang w:val="it-IT"/>
        </w:rPr>
        <w:t>Ordini annuali o true-up di Servizi Online</w:t>
      </w:r>
      <w:r w:rsidRPr="00451078">
        <w:rPr>
          <w:rFonts w:eastAsia="Times New Roman" w:cs="Tahoma"/>
          <w:b/>
          <w:sz w:val="22"/>
          <w:szCs w:val="20"/>
          <w:lang w:val="it-IT"/>
        </w:rPr>
        <w:t xml:space="preserve"> </w:t>
      </w:r>
    </w:p>
    <w:p w:rsidR="00456002" w:rsidRPr="00451078" w:rsidRDefault="00456002" w:rsidP="00366502">
      <w:pPr>
        <w:rPr>
          <w:lang w:val="it-IT"/>
        </w:rPr>
      </w:pPr>
      <w:r w:rsidRPr="00451078">
        <w:rPr>
          <w:rFonts w:cs="Tahoma"/>
          <w:b/>
          <w:szCs w:val="20"/>
          <w:lang w:val="it-IT"/>
        </w:rPr>
        <w:t>Nota:</w:t>
      </w:r>
      <w:r w:rsidRPr="00451078">
        <w:rPr>
          <w:rFonts w:cs="Tahoma"/>
          <w:szCs w:val="20"/>
          <w:lang w:val="it-IT"/>
        </w:rPr>
        <w:t xml:space="preserve"> quanto segue si applica alle società in possesso delle Iscrizioni Enterprise ed Enterprise Subscription che sono</w:t>
      </w:r>
      <w:r w:rsidR="00867CDF" w:rsidRPr="00451078">
        <w:rPr>
          <w:rFonts w:cs="Tahoma"/>
          <w:szCs w:val="20"/>
          <w:lang w:val="it-IT"/>
        </w:rPr>
        <w:t> </w:t>
      </w:r>
      <w:r w:rsidRPr="00451078">
        <w:rPr>
          <w:rFonts w:cs="Tahoma"/>
          <w:szCs w:val="20"/>
          <w:lang w:val="it-IT"/>
        </w:rPr>
        <w:t>idonee a effettuare ordini annuali o true-up di servizi online. Le società che non sono certe della loro idoneità a</w:t>
      </w:r>
      <w:r w:rsidR="00867CDF" w:rsidRPr="00451078">
        <w:rPr>
          <w:rFonts w:cs="Tahoma"/>
          <w:szCs w:val="20"/>
          <w:lang w:val="it-IT"/>
        </w:rPr>
        <w:t> </w:t>
      </w:r>
      <w:r w:rsidRPr="00451078">
        <w:rPr>
          <w:rFonts w:cs="Tahoma"/>
          <w:szCs w:val="20"/>
          <w:lang w:val="it-IT"/>
        </w:rPr>
        <w:t>effettuare ordini annuali o true-up di servizi online dovranno contattare il loro Software Advisor, Rivenditore o</w:t>
      </w:r>
      <w:r w:rsidR="00867CDF" w:rsidRPr="00451078">
        <w:rPr>
          <w:rFonts w:cs="Tahoma"/>
          <w:szCs w:val="20"/>
          <w:lang w:val="it-IT"/>
        </w:rPr>
        <w:t> </w:t>
      </w:r>
      <w:r w:rsidRPr="00451078">
        <w:rPr>
          <w:rFonts w:cs="Tahoma"/>
          <w:szCs w:val="20"/>
          <w:lang w:val="it-IT"/>
        </w:rPr>
        <w:t>Account Manager designato da Microsoft per ulteriori informazioni.</w:t>
      </w:r>
    </w:p>
    <w:p w:rsidR="00456002" w:rsidRDefault="00456002" w:rsidP="00366502">
      <w:pPr>
        <w:rPr>
          <w:lang w:val="it-IT"/>
        </w:rPr>
      </w:pPr>
    </w:p>
    <w:p w:rsidR="002B01D6" w:rsidRPr="00451078" w:rsidRDefault="002B01D6" w:rsidP="00366502">
      <w:pPr>
        <w:rPr>
          <w:lang w:val="it-IT"/>
        </w:rPr>
      </w:pPr>
    </w:p>
    <w:p w:rsidR="00456002" w:rsidRPr="00451078" w:rsidRDefault="00456002" w:rsidP="004525CA">
      <w:pPr>
        <w:rPr>
          <w:lang w:val="it-IT"/>
        </w:rPr>
      </w:pPr>
      <w:r w:rsidRPr="00451078">
        <w:rPr>
          <w:rFonts w:cs="Tahoma"/>
          <w:szCs w:val="20"/>
          <w:lang w:val="it-IT"/>
        </w:rPr>
        <w:lastRenderedPageBreak/>
        <w:t>I seguenti Servizi Online sono idonei per l</w:t>
      </w:r>
      <w:r w:rsidR="0073727D">
        <w:rPr>
          <w:rFonts w:cs="Tahoma"/>
          <w:szCs w:val="20"/>
          <w:lang w:val="it-IT"/>
        </w:rPr>
        <w:t>’</w:t>
      </w:r>
      <w:r w:rsidRPr="00451078">
        <w:rPr>
          <w:rFonts w:cs="Tahoma"/>
          <w:szCs w:val="20"/>
          <w:lang w:val="it-IT"/>
        </w:rPr>
        <w:t xml:space="preserve">ordine annuale o true-up di Servizi Online: </w:t>
      </w:r>
    </w:p>
    <w:p w:rsidR="00456002" w:rsidRPr="00451078" w:rsidRDefault="00456002" w:rsidP="0055442E">
      <w:pPr>
        <w:ind w:left="720"/>
        <w:rPr>
          <w:lang w:val="it-IT"/>
        </w:rPr>
      </w:pPr>
    </w:p>
    <w:tbl>
      <w:tblPr>
        <w:tblW w:w="4277" w:type="pct"/>
        <w:tblInd w:w="72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4173"/>
        <w:gridCol w:w="3842"/>
      </w:tblGrid>
      <w:tr w:rsidR="00456002" w:rsidRPr="003410C7" w:rsidTr="005C647E">
        <w:trPr>
          <w:trHeight w:val="80"/>
          <w:tblHeader/>
        </w:trPr>
        <w:tc>
          <w:tcPr>
            <w:tcW w:w="5000" w:type="pct"/>
            <w:gridSpan w:val="2"/>
            <w:shd w:val="clear" w:color="auto" w:fill="FABF8F"/>
          </w:tcPr>
          <w:p w:rsidR="00456002" w:rsidRPr="003410C7" w:rsidRDefault="00456002" w:rsidP="005C647E">
            <w:pPr>
              <w:jc w:val="center"/>
              <w:rPr>
                <w:rFonts w:cs="Tahoma"/>
                <w:b/>
              </w:rPr>
            </w:pPr>
            <w:r w:rsidRPr="003410C7">
              <w:rPr>
                <w:rFonts w:cs="Tahoma"/>
                <w:b/>
              </w:rPr>
              <w:t>Servizi Online</w:t>
            </w:r>
          </w:p>
        </w:tc>
      </w:tr>
      <w:tr w:rsidR="00456002" w:rsidRPr="003410C7" w:rsidTr="005C647E">
        <w:trPr>
          <w:trHeight w:val="219"/>
        </w:trPr>
        <w:tc>
          <w:tcPr>
            <w:tcW w:w="2603" w:type="pct"/>
          </w:tcPr>
          <w:p w:rsidR="00456002" w:rsidRPr="003410C7" w:rsidRDefault="00456002" w:rsidP="00745AB3">
            <w:pPr>
              <w:numPr>
                <w:ilvl w:val="0"/>
                <w:numId w:val="38"/>
              </w:numPr>
              <w:spacing w:before="80"/>
              <w:ind w:left="878"/>
            </w:pPr>
            <w:r w:rsidRPr="003410C7">
              <w:rPr>
                <w:rFonts w:cs="Tahoma"/>
              </w:rPr>
              <w:t>Chiosco Exchange Online*</w:t>
            </w:r>
          </w:p>
          <w:p w:rsidR="00456002" w:rsidRPr="003410C7" w:rsidRDefault="00456002" w:rsidP="00745AB3">
            <w:pPr>
              <w:numPr>
                <w:ilvl w:val="0"/>
                <w:numId w:val="38"/>
              </w:numPr>
              <w:spacing w:before="80"/>
              <w:ind w:left="878"/>
            </w:pPr>
            <w:r w:rsidRPr="003410C7">
              <w:rPr>
                <w:rFonts w:cs="Tahoma"/>
              </w:rPr>
              <w:t>Exchange Online Piano 1*</w:t>
            </w:r>
          </w:p>
          <w:p w:rsidR="00456002" w:rsidRPr="003410C7" w:rsidRDefault="00456002" w:rsidP="00745AB3">
            <w:pPr>
              <w:numPr>
                <w:ilvl w:val="0"/>
                <w:numId w:val="38"/>
              </w:numPr>
              <w:spacing w:before="80"/>
              <w:ind w:left="878"/>
            </w:pPr>
            <w:r w:rsidRPr="003410C7">
              <w:rPr>
                <w:rFonts w:cs="Tahoma"/>
              </w:rPr>
              <w:t>Exchange Online Piano 2*</w:t>
            </w:r>
          </w:p>
          <w:p w:rsidR="00456002" w:rsidRPr="003410C7" w:rsidRDefault="00456002" w:rsidP="00745AB3">
            <w:pPr>
              <w:numPr>
                <w:ilvl w:val="0"/>
                <w:numId w:val="38"/>
              </w:numPr>
              <w:spacing w:before="80"/>
              <w:ind w:left="878"/>
            </w:pPr>
            <w:r w:rsidRPr="003410C7">
              <w:rPr>
                <w:rFonts w:cs="Tahoma"/>
              </w:rPr>
              <w:t>Lync Online Piano 1*</w:t>
            </w:r>
          </w:p>
          <w:p w:rsidR="00456002" w:rsidRPr="003410C7" w:rsidRDefault="00456002" w:rsidP="00745AB3">
            <w:pPr>
              <w:numPr>
                <w:ilvl w:val="0"/>
                <w:numId w:val="38"/>
              </w:numPr>
              <w:spacing w:before="80"/>
              <w:ind w:left="878"/>
            </w:pPr>
            <w:r w:rsidRPr="003410C7">
              <w:rPr>
                <w:rFonts w:cs="Tahoma"/>
              </w:rPr>
              <w:t>Lync Online Piano 2*</w:t>
            </w:r>
          </w:p>
          <w:p w:rsidR="00E77288" w:rsidRPr="003410C7" w:rsidRDefault="00E77288" w:rsidP="00745AB3">
            <w:pPr>
              <w:numPr>
                <w:ilvl w:val="0"/>
                <w:numId w:val="38"/>
              </w:numPr>
              <w:spacing w:before="80"/>
              <w:ind w:left="878"/>
            </w:pPr>
            <w:r w:rsidRPr="003410C7">
              <w:rPr>
                <w:rFonts w:cs="Tahoma"/>
              </w:rPr>
              <w:t>Lync Online Piano 3*</w:t>
            </w:r>
          </w:p>
          <w:p w:rsidR="00456002" w:rsidRPr="003410C7" w:rsidRDefault="00456002" w:rsidP="00745AB3">
            <w:pPr>
              <w:numPr>
                <w:ilvl w:val="0"/>
                <w:numId w:val="38"/>
              </w:numPr>
              <w:spacing w:before="80"/>
              <w:ind w:left="878"/>
            </w:pPr>
            <w:r w:rsidRPr="003410C7">
              <w:rPr>
                <w:rFonts w:cs="Tahoma"/>
              </w:rPr>
              <w:t>Office 365 (Enterprise K1)*</w:t>
            </w:r>
          </w:p>
          <w:p w:rsidR="00456002" w:rsidRPr="003410C7" w:rsidRDefault="00456002" w:rsidP="00745AB3">
            <w:pPr>
              <w:numPr>
                <w:ilvl w:val="0"/>
                <w:numId w:val="38"/>
              </w:numPr>
              <w:spacing w:before="80"/>
              <w:ind w:left="878"/>
            </w:pPr>
            <w:r w:rsidRPr="003410C7">
              <w:rPr>
                <w:rFonts w:cs="Tahoma"/>
              </w:rPr>
              <w:t>Office 365 (Enterprise K2)*</w:t>
            </w:r>
          </w:p>
          <w:p w:rsidR="00456002" w:rsidRPr="003410C7" w:rsidRDefault="00456002" w:rsidP="00745AB3">
            <w:pPr>
              <w:numPr>
                <w:ilvl w:val="0"/>
                <w:numId w:val="38"/>
              </w:numPr>
              <w:spacing w:before="80"/>
              <w:ind w:left="878"/>
            </w:pPr>
            <w:r w:rsidRPr="003410C7">
              <w:rPr>
                <w:rFonts w:cs="Tahoma"/>
              </w:rPr>
              <w:t>Office 365 (Enterprise E1)</w:t>
            </w:r>
          </w:p>
          <w:p w:rsidR="00456002" w:rsidRPr="003410C7" w:rsidRDefault="00456002" w:rsidP="00745AB3">
            <w:pPr>
              <w:numPr>
                <w:ilvl w:val="0"/>
                <w:numId w:val="38"/>
              </w:numPr>
              <w:spacing w:before="80"/>
              <w:ind w:left="878"/>
            </w:pPr>
            <w:r w:rsidRPr="003410C7">
              <w:rPr>
                <w:rFonts w:cs="Tahoma"/>
              </w:rPr>
              <w:t>Office 365 (Enterprise E2)</w:t>
            </w:r>
          </w:p>
          <w:p w:rsidR="00456002" w:rsidRPr="003410C7" w:rsidRDefault="00456002" w:rsidP="00745AB3">
            <w:pPr>
              <w:numPr>
                <w:ilvl w:val="0"/>
                <w:numId w:val="38"/>
              </w:numPr>
              <w:spacing w:before="80"/>
              <w:ind w:left="878"/>
            </w:pPr>
            <w:r w:rsidRPr="003410C7">
              <w:rPr>
                <w:rFonts w:cs="Tahoma"/>
              </w:rPr>
              <w:t>Office 365 (Enterprise E3)</w:t>
            </w:r>
          </w:p>
          <w:p w:rsidR="00456002" w:rsidRPr="003410C7" w:rsidRDefault="00456002" w:rsidP="00745AB3">
            <w:pPr>
              <w:numPr>
                <w:ilvl w:val="0"/>
                <w:numId w:val="38"/>
              </w:numPr>
              <w:spacing w:before="80"/>
              <w:ind w:left="878"/>
              <w:rPr>
                <w:rFonts w:cs="Tahoma"/>
              </w:rPr>
            </w:pPr>
            <w:r w:rsidRPr="003410C7">
              <w:rPr>
                <w:rFonts w:cs="Tahoma"/>
              </w:rPr>
              <w:t>Office 365 (Enterprise E4)</w:t>
            </w:r>
          </w:p>
        </w:tc>
        <w:tc>
          <w:tcPr>
            <w:tcW w:w="2397" w:type="pct"/>
          </w:tcPr>
          <w:p w:rsidR="00A32052" w:rsidRPr="003410C7" w:rsidRDefault="00A32052" w:rsidP="00745AB3">
            <w:pPr>
              <w:numPr>
                <w:ilvl w:val="0"/>
                <w:numId w:val="38"/>
              </w:numPr>
              <w:spacing w:before="80"/>
              <w:ind w:left="692"/>
              <w:jc w:val="both"/>
            </w:pPr>
            <w:r w:rsidRPr="003410C7">
              <w:rPr>
                <w:rFonts w:cs="Tahoma"/>
                <w:color w:val="000000"/>
              </w:rPr>
              <w:t>Office 365 (Government G1)</w:t>
            </w:r>
          </w:p>
          <w:p w:rsidR="00A32052" w:rsidRPr="003410C7" w:rsidRDefault="00A32052" w:rsidP="00745AB3">
            <w:pPr>
              <w:numPr>
                <w:ilvl w:val="0"/>
                <w:numId w:val="38"/>
              </w:numPr>
              <w:spacing w:before="80"/>
              <w:ind w:left="692"/>
              <w:jc w:val="both"/>
            </w:pPr>
            <w:r w:rsidRPr="003410C7">
              <w:rPr>
                <w:rFonts w:cs="Tahoma"/>
                <w:color w:val="000000"/>
              </w:rPr>
              <w:t>Office 365 (Government G2)</w:t>
            </w:r>
          </w:p>
          <w:p w:rsidR="00A32052" w:rsidRPr="003410C7" w:rsidRDefault="00A32052" w:rsidP="00745AB3">
            <w:pPr>
              <w:numPr>
                <w:ilvl w:val="0"/>
                <w:numId w:val="38"/>
              </w:numPr>
              <w:spacing w:before="80"/>
              <w:ind w:left="692"/>
              <w:jc w:val="both"/>
            </w:pPr>
            <w:r w:rsidRPr="003410C7">
              <w:rPr>
                <w:rFonts w:cs="Tahoma"/>
                <w:color w:val="000000"/>
              </w:rPr>
              <w:t>Office 365 (Government G3)</w:t>
            </w:r>
          </w:p>
          <w:p w:rsidR="00A32052" w:rsidRPr="003410C7" w:rsidRDefault="00A32052" w:rsidP="00745AB3">
            <w:pPr>
              <w:numPr>
                <w:ilvl w:val="0"/>
                <w:numId w:val="38"/>
              </w:numPr>
              <w:spacing w:before="80"/>
              <w:ind w:left="692"/>
              <w:jc w:val="both"/>
            </w:pPr>
            <w:r w:rsidRPr="003410C7">
              <w:rPr>
                <w:rFonts w:cs="Tahoma"/>
                <w:color w:val="000000"/>
              </w:rPr>
              <w:t>Office 365 (Government G4)</w:t>
            </w:r>
          </w:p>
          <w:p w:rsidR="00456002" w:rsidRPr="003410C7" w:rsidRDefault="00456002" w:rsidP="00745AB3">
            <w:pPr>
              <w:numPr>
                <w:ilvl w:val="0"/>
                <w:numId w:val="38"/>
              </w:numPr>
              <w:spacing w:before="80"/>
              <w:ind w:left="692"/>
              <w:jc w:val="both"/>
            </w:pPr>
            <w:r w:rsidRPr="003410C7">
              <w:rPr>
                <w:rFonts w:cs="Tahoma"/>
                <w:color w:val="000000"/>
              </w:rPr>
              <w:t>Office Web Applications*</w:t>
            </w:r>
          </w:p>
          <w:p w:rsidR="00456002" w:rsidRPr="003410C7" w:rsidRDefault="00456002" w:rsidP="00745AB3">
            <w:pPr>
              <w:numPr>
                <w:ilvl w:val="0"/>
                <w:numId w:val="38"/>
              </w:numPr>
              <w:spacing w:before="80"/>
              <w:ind w:left="692"/>
              <w:jc w:val="both"/>
            </w:pPr>
            <w:r w:rsidRPr="003410C7">
              <w:rPr>
                <w:rFonts w:cs="Tahoma"/>
                <w:color w:val="000000"/>
              </w:rPr>
              <w:t>SharePoint Online Piano 1*</w:t>
            </w:r>
          </w:p>
          <w:p w:rsidR="00456002" w:rsidRPr="003410C7" w:rsidRDefault="00456002" w:rsidP="00745AB3">
            <w:pPr>
              <w:numPr>
                <w:ilvl w:val="0"/>
                <w:numId w:val="38"/>
              </w:numPr>
              <w:spacing w:before="80"/>
              <w:ind w:left="692"/>
              <w:jc w:val="both"/>
            </w:pPr>
            <w:r w:rsidRPr="003410C7">
              <w:rPr>
                <w:rFonts w:cs="Tahoma"/>
                <w:color w:val="000000"/>
              </w:rPr>
              <w:t>SharePoint Online Piano 2*</w:t>
            </w:r>
          </w:p>
          <w:p w:rsidR="00456002" w:rsidRPr="003410C7" w:rsidRDefault="00456002" w:rsidP="00745AB3">
            <w:pPr>
              <w:numPr>
                <w:ilvl w:val="0"/>
                <w:numId w:val="38"/>
              </w:numPr>
              <w:spacing w:before="80"/>
              <w:ind w:left="692"/>
              <w:jc w:val="both"/>
            </w:pPr>
            <w:r w:rsidRPr="003410C7">
              <w:rPr>
                <w:rFonts w:cs="Tahoma"/>
                <w:color w:val="000000"/>
              </w:rPr>
              <w:t>Accesso partner SharePoint Online*</w:t>
            </w:r>
          </w:p>
          <w:p w:rsidR="00456002" w:rsidRPr="003410C7" w:rsidRDefault="00456002" w:rsidP="00745AB3">
            <w:pPr>
              <w:numPr>
                <w:ilvl w:val="0"/>
                <w:numId w:val="38"/>
              </w:numPr>
              <w:spacing w:before="80"/>
              <w:ind w:left="692"/>
              <w:jc w:val="both"/>
            </w:pPr>
            <w:r w:rsidRPr="003410C7">
              <w:rPr>
                <w:rFonts w:cs="Tahoma"/>
                <w:color w:val="000000"/>
              </w:rPr>
              <w:t>Windows Intune</w:t>
            </w:r>
          </w:p>
          <w:p w:rsidR="00456002" w:rsidRPr="00451078" w:rsidRDefault="00BD6C2C" w:rsidP="00745AB3">
            <w:pPr>
              <w:numPr>
                <w:ilvl w:val="0"/>
                <w:numId w:val="38"/>
              </w:numPr>
              <w:spacing w:before="80"/>
              <w:ind w:left="692"/>
              <w:jc w:val="both"/>
              <w:rPr>
                <w:lang w:val="it-IT"/>
              </w:rPr>
            </w:pPr>
            <w:r w:rsidRPr="00451078">
              <w:rPr>
                <w:rFonts w:cs="Tahoma"/>
                <w:color w:val="000000"/>
                <w:lang w:val="it-IT"/>
              </w:rPr>
              <w:t>Componente Aggiuntivo di Windows Intune*, **</w:t>
            </w:r>
          </w:p>
          <w:p w:rsidR="00F27B29" w:rsidRPr="003410C7" w:rsidRDefault="00F27B29" w:rsidP="00745AB3">
            <w:pPr>
              <w:numPr>
                <w:ilvl w:val="0"/>
                <w:numId w:val="38"/>
              </w:numPr>
              <w:spacing w:before="80"/>
              <w:ind w:left="692"/>
              <w:jc w:val="both"/>
              <w:rPr>
                <w:rFonts w:cs="Tahoma"/>
              </w:rPr>
            </w:pPr>
            <w:r w:rsidRPr="003410C7">
              <w:rPr>
                <w:rFonts w:cs="Tahoma"/>
                <w:color w:val="000000"/>
              </w:rPr>
              <w:t>Yammer Enterprise*</w:t>
            </w:r>
          </w:p>
        </w:tc>
      </w:tr>
    </w:tbl>
    <w:p w:rsidR="00456002" w:rsidRPr="00FB25FF" w:rsidRDefault="00456002" w:rsidP="00456002">
      <w:pPr>
        <w:tabs>
          <w:tab w:val="left" w:pos="360"/>
        </w:tabs>
        <w:ind w:left="720"/>
        <w:rPr>
          <w:sz w:val="16"/>
          <w:szCs w:val="16"/>
        </w:rPr>
      </w:pPr>
      <w:r w:rsidRPr="00FB25FF">
        <w:rPr>
          <w:rFonts w:cs="Tahoma"/>
          <w:i/>
          <w:sz w:val="16"/>
          <w:szCs w:val="16"/>
        </w:rPr>
        <w:t>* Prodotto aggiuntivo</w:t>
      </w:r>
    </w:p>
    <w:p w:rsidR="00456002" w:rsidRPr="00451078" w:rsidRDefault="003929D1" w:rsidP="004525CA">
      <w:pPr>
        <w:tabs>
          <w:tab w:val="left" w:pos="360"/>
        </w:tabs>
        <w:ind w:left="720"/>
        <w:rPr>
          <w:sz w:val="16"/>
          <w:szCs w:val="16"/>
          <w:lang w:val="it-IT"/>
        </w:rPr>
      </w:pPr>
      <w:r w:rsidRPr="00451078">
        <w:rPr>
          <w:rFonts w:cs="Tahoma"/>
          <w:i/>
          <w:sz w:val="16"/>
          <w:szCs w:val="16"/>
          <w:lang w:val="it-IT"/>
        </w:rPr>
        <w:t xml:space="preserve">** </w:t>
      </w:r>
      <w:r w:rsidR="00451078" w:rsidRPr="00B12331">
        <w:rPr>
          <w:rFonts w:cs="Tahoma"/>
          <w:i/>
          <w:iCs/>
          <w:sz w:val="16"/>
          <w:szCs w:val="16"/>
          <w:lang w:val="it-IT"/>
        </w:rPr>
        <w:t>“</w:t>
      </w:r>
      <w:r w:rsidRPr="00451078">
        <w:rPr>
          <w:rFonts w:cs="Tahoma"/>
          <w:i/>
          <w:sz w:val="16"/>
          <w:szCs w:val="16"/>
          <w:lang w:val="it-IT"/>
        </w:rPr>
        <w:t>Componente Aggiuntivo per Windows Intune</w:t>
      </w:r>
      <w:r w:rsidR="001A3EC5" w:rsidRPr="00451078">
        <w:rPr>
          <w:rFonts w:cs="Tahoma"/>
          <w:i/>
          <w:sz w:val="16"/>
          <w:szCs w:val="16"/>
          <w:lang w:val="it-IT"/>
        </w:rPr>
        <w:t>”</w:t>
      </w:r>
      <w:r w:rsidRPr="00451078">
        <w:rPr>
          <w:rFonts w:cs="Tahoma"/>
          <w:i/>
          <w:sz w:val="16"/>
          <w:szCs w:val="16"/>
          <w:lang w:val="it-IT"/>
        </w:rPr>
        <w:t xml:space="preserve"> è un</w:t>
      </w:r>
      <w:r w:rsidR="0073727D">
        <w:rPr>
          <w:rFonts w:cs="Tahoma"/>
          <w:i/>
          <w:sz w:val="16"/>
          <w:szCs w:val="16"/>
          <w:lang w:val="it-IT"/>
        </w:rPr>
        <w:t>’</w:t>
      </w:r>
      <w:r w:rsidRPr="00451078">
        <w:rPr>
          <w:rFonts w:cs="Tahoma"/>
          <w:i/>
          <w:sz w:val="16"/>
          <w:szCs w:val="16"/>
          <w:lang w:val="it-IT"/>
        </w:rPr>
        <w:t>abbreviazione di Componente Aggiuntivo per Windows Intune per</w:t>
      </w:r>
      <w:r w:rsidR="00C26F2C" w:rsidRPr="00451078">
        <w:rPr>
          <w:rFonts w:cs="Tahoma"/>
          <w:i/>
          <w:sz w:val="16"/>
          <w:szCs w:val="16"/>
          <w:lang w:val="it-IT"/>
        </w:rPr>
        <w:t> </w:t>
      </w:r>
      <w:r w:rsidRPr="00451078">
        <w:rPr>
          <w:rFonts w:cs="Tahoma"/>
          <w:i/>
          <w:sz w:val="16"/>
          <w:szCs w:val="16"/>
          <w:lang w:val="it-IT"/>
        </w:rPr>
        <w:t>System Center Configuration Manager e System Center EndPoint Protection (Per Utente)</w:t>
      </w:r>
    </w:p>
    <w:p w:rsidR="003929D1" w:rsidRPr="00451078" w:rsidRDefault="003929D1" w:rsidP="00A12176">
      <w:pPr>
        <w:tabs>
          <w:tab w:val="left" w:pos="360"/>
        </w:tabs>
        <w:rPr>
          <w:lang w:val="it-IT"/>
        </w:rPr>
      </w:pPr>
    </w:p>
    <w:p w:rsidR="00456002" w:rsidRPr="00451078" w:rsidRDefault="00456002" w:rsidP="001E7C5F">
      <w:pPr>
        <w:tabs>
          <w:tab w:val="left" w:pos="360"/>
        </w:tabs>
        <w:spacing w:after="60"/>
        <w:rPr>
          <w:lang w:val="it-IT"/>
        </w:rPr>
      </w:pPr>
      <w:r w:rsidRPr="00451078">
        <w:rPr>
          <w:rFonts w:cs="Tahoma"/>
          <w:b/>
          <w:szCs w:val="20"/>
          <w:lang w:val="it-IT"/>
        </w:rPr>
        <w:t xml:space="preserve">Riduzioni delle Licenze </w:t>
      </w:r>
      <w:r w:rsidR="001A3EC5" w:rsidRPr="00451078">
        <w:rPr>
          <w:rFonts w:cs="Tahoma"/>
          <w:b/>
          <w:szCs w:val="20"/>
          <w:lang w:val="it-IT"/>
        </w:rPr>
        <w:t>“</w:t>
      </w:r>
      <w:r w:rsidRPr="00451078">
        <w:rPr>
          <w:rFonts w:cs="Tahoma"/>
          <w:b/>
          <w:szCs w:val="20"/>
          <w:lang w:val="it-IT"/>
        </w:rPr>
        <w:t>Subscription</w:t>
      </w:r>
      <w:r w:rsidR="001A3EC5" w:rsidRPr="00451078">
        <w:rPr>
          <w:rFonts w:cs="Tahoma"/>
          <w:b/>
          <w:szCs w:val="20"/>
          <w:lang w:val="it-IT"/>
        </w:rPr>
        <w:t>”</w:t>
      </w:r>
    </w:p>
    <w:p w:rsidR="00456002" w:rsidRPr="00451078" w:rsidRDefault="00456002" w:rsidP="00366502">
      <w:pPr>
        <w:tabs>
          <w:tab w:val="left" w:pos="360"/>
        </w:tabs>
        <w:rPr>
          <w:rFonts w:cs="Tahoma"/>
          <w:szCs w:val="20"/>
          <w:lang w:val="it-IT"/>
        </w:rPr>
      </w:pPr>
      <w:r w:rsidRPr="00451078">
        <w:rPr>
          <w:rFonts w:cs="Tahoma"/>
          <w:b/>
          <w:szCs w:val="20"/>
          <w:lang w:val="it-IT"/>
        </w:rPr>
        <w:t>Nota:</w:t>
      </w:r>
      <w:r w:rsidRPr="00451078">
        <w:rPr>
          <w:rFonts w:cs="Tahoma"/>
          <w:szCs w:val="20"/>
          <w:lang w:val="it-IT"/>
        </w:rPr>
        <w:t xml:space="preserve"> quanto segue si applica alle società Enterprise che sono idonee a riportare riduzioni alle quantità di Licenze </w:t>
      </w:r>
      <w:r w:rsidR="001A3EC5" w:rsidRPr="00451078">
        <w:rPr>
          <w:rFonts w:cs="Tahoma"/>
          <w:szCs w:val="20"/>
          <w:lang w:val="it-IT"/>
        </w:rPr>
        <w:t>“</w:t>
      </w:r>
      <w:r w:rsidRPr="00451078">
        <w:rPr>
          <w:rFonts w:cs="Tahoma"/>
          <w:szCs w:val="20"/>
          <w:lang w:val="it-IT"/>
        </w:rPr>
        <w:t>Subscription</w:t>
      </w:r>
      <w:r w:rsidR="001A3EC5" w:rsidRPr="00451078">
        <w:rPr>
          <w:rFonts w:cs="Tahoma"/>
          <w:szCs w:val="20"/>
          <w:lang w:val="it-IT"/>
        </w:rPr>
        <w:t>”</w:t>
      </w:r>
      <w:r w:rsidRPr="00451078">
        <w:rPr>
          <w:rFonts w:cs="Tahoma"/>
          <w:szCs w:val="20"/>
          <w:lang w:val="it-IT"/>
        </w:rPr>
        <w:t xml:space="preserve">. Le società che non sono certe della loro idoneità a riportare riduzioni alle quantità di Licenze </w:t>
      </w:r>
      <w:r w:rsidR="001A3EC5" w:rsidRPr="00451078">
        <w:rPr>
          <w:rFonts w:cs="Tahoma"/>
          <w:szCs w:val="20"/>
          <w:lang w:val="it-IT"/>
        </w:rPr>
        <w:t>“</w:t>
      </w:r>
      <w:r w:rsidRPr="00451078">
        <w:rPr>
          <w:rFonts w:cs="Tahoma"/>
          <w:szCs w:val="20"/>
          <w:lang w:val="it-IT"/>
        </w:rPr>
        <w:t>Subscription</w:t>
      </w:r>
      <w:r w:rsidR="001A3EC5" w:rsidRPr="00451078">
        <w:rPr>
          <w:rFonts w:cs="Tahoma"/>
          <w:szCs w:val="20"/>
          <w:lang w:val="it-IT"/>
        </w:rPr>
        <w:t>”</w:t>
      </w:r>
      <w:r w:rsidRPr="00451078">
        <w:rPr>
          <w:rFonts w:cs="Tahoma"/>
          <w:szCs w:val="20"/>
          <w:lang w:val="it-IT"/>
        </w:rPr>
        <w:t xml:space="preserve"> dovranno contattare il loro Software Advisor, Rivenditore o Account Manager designato da Microsoft</w:t>
      </w:r>
      <w:r w:rsidR="00C26F2C" w:rsidRPr="00451078">
        <w:rPr>
          <w:rFonts w:cs="Tahoma"/>
          <w:szCs w:val="20"/>
          <w:lang w:val="it-IT"/>
        </w:rPr>
        <w:t> </w:t>
      </w:r>
      <w:r w:rsidRPr="00451078">
        <w:rPr>
          <w:rFonts w:cs="Tahoma"/>
          <w:szCs w:val="20"/>
          <w:lang w:val="it-IT"/>
        </w:rPr>
        <w:t>per ulteriori informazioni.</w:t>
      </w:r>
      <w:r w:rsidR="00082E1C" w:rsidRPr="00451078">
        <w:rPr>
          <w:rFonts w:cs="Tahoma"/>
          <w:szCs w:val="20"/>
          <w:lang w:val="it-IT"/>
        </w:rPr>
        <w:t xml:space="preserve"> </w:t>
      </w:r>
    </w:p>
    <w:p w:rsidR="00475774" w:rsidRPr="00451078" w:rsidRDefault="00475774" w:rsidP="00366502">
      <w:pPr>
        <w:tabs>
          <w:tab w:val="left" w:pos="360"/>
        </w:tabs>
        <w:rPr>
          <w:lang w:val="it-IT"/>
        </w:rPr>
      </w:pPr>
    </w:p>
    <w:p w:rsidR="00456002" w:rsidRPr="00451078" w:rsidRDefault="00456002" w:rsidP="00366502">
      <w:pPr>
        <w:tabs>
          <w:tab w:val="left" w:pos="360"/>
        </w:tabs>
        <w:rPr>
          <w:lang w:val="it-IT"/>
        </w:rPr>
      </w:pPr>
      <w:r w:rsidRPr="00451078">
        <w:rPr>
          <w:rFonts w:cs="Tahoma"/>
          <w:szCs w:val="20"/>
          <w:lang w:val="it-IT"/>
        </w:rPr>
        <w:t xml:space="preserve">Le seguenti Licenze </w:t>
      </w:r>
      <w:r w:rsidR="001A3EC5" w:rsidRPr="00451078">
        <w:rPr>
          <w:rFonts w:cs="Tahoma"/>
          <w:szCs w:val="20"/>
          <w:lang w:val="it-IT"/>
        </w:rPr>
        <w:t>“</w:t>
      </w:r>
      <w:r w:rsidRPr="00451078">
        <w:rPr>
          <w:rFonts w:cs="Tahoma"/>
          <w:szCs w:val="20"/>
          <w:lang w:val="it-IT"/>
        </w:rPr>
        <w:t>Subscription</w:t>
      </w:r>
      <w:r w:rsidR="001A3EC5" w:rsidRPr="00451078">
        <w:rPr>
          <w:rFonts w:cs="Tahoma"/>
          <w:szCs w:val="20"/>
          <w:lang w:val="it-IT"/>
        </w:rPr>
        <w:t>”</w:t>
      </w:r>
      <w:r w:rsidRPr="00451078">
        <w:rPr>
          <w:rFonts w:cs="Tahoma"/>
          <w:szCs w:val="20"/>
          <w:lang w:val="it-IT"/>
        </w:rPr>
        <w:t xml:space="preserve"> sono idonee a essere soggette a modifiche relative alle quantità:</w:t>
      </w:r>
    </w:p>
    <w:p w:rsidR="00456002" w:rsidRPr="00451078" w:rsidRDefault="00456002" w:rsidP="00456002">
      <w:pPr>
        <w:tabs>
          <w:tab w:val="left" w:pos="360"/>
        </w:tabs>
        <w:ind w:left="720"/>
        <w:rPr>
          <w:lang w:val="it-IT"/>
        </w:rPr>
      </w:pPr>
    </w:p>
    <w:tbl>
      <w:tblPr>
        <w:tblW w:w="4620" w:type="pct"/>
        <w:tblInd w:w="72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4329"/>
        <w:gridCol w:w="4329"/>
      </w:tblGrid>
      <w:tr w:rsidR="00456002" w:rsidRPr="003410C7" w:rsidTr="007E466C">
        <w:trPr>
          <w:trHeight w:val="80"/>
        </w:trPr>
        <w:tc>
          <w:tcPr>
            <w:tcW w:w="5000" w:type="pct"/>
            <w:gridSpan w:val="2"/>
            <w:shd w:val="clear" w:color="auto" w:fill="FABF8F"/>
          </w:tcPr>
          <w:p w:rsidR="00456002" w:rsidRPr="003410C7" w:rsidRDefault="00456002" w:rsidP="005C647E">
            <w:pPr>
              <w:jc w:val="center"/>
              <w:rPr>
                <w:rFonts w:cs="Tahoma"/>
                <w:b/>
              </w:rPr>
            </w:pPr>
            <w:r w:rsidRPr="003410C7">
              <w:rPr>
                <w:rFonts w:cs="Tahoma"/>
                <w:b/>
              </w:rPr>
              <w:t>Servizi Online</w:t>
            </w:r>
          </w:p>
        </w:tc>
      </w:tr>
      <w:tr w:rsidR="00456002" w:rsidRPr="003410C7" w:rsidTr="007E466C">
        <w:trPr>
          <w:trHeight w:val="219"/>
        </w:trPr>
        <w:tc>
          <w:tcPr>
            <w:tcW w:w="2500" w:type="pct"/>
          </w:tcPr>
          <w:p w:rsidR="00456002" w:rsidRPr="003410C7" w:rsidRDefault="00456002" w:rsidP="00745AB3">
            <w:pPr>
              <w:numPr>
                <w:ilvl w:val="0"/>
                <w:numId w:val="38"/>
              </w:numPr>
              <w:spacing w:before="80"/>
            </w:pPr>
            <w:r w:rsidRPr="003410C7">
              <w:rPr>
                <w:rFonts w:cs="Tahoma"/>
              </w:rPr>
              <w:t>Chiosco Exchange Online*</w:t>
            </w:r>
          </w:p>
          <w:p w:rsidR="00456002" w:rsidRPr="003410C7" w:rsidRDefault="00456002" w:rsidP="00745AB3">
            <w:pPr>
              <w:numPr>
                <w:ilvl w:val="0"/>
                <w:numId w:val="38"/>
              </w:numPr>
              <w:spacing w:before="80"/>
            </w:pPr>
            <w:r w:rsidRPr="003410C7">
              <w:rPr>
                <w:rFonts w:cs="Tahoma"/>
              </w:rPr>
              <w:t>Exchange Online Piano 1*</w:t>
            </w:r>
          </w:p>
          <w:p w:rsidR="00456002" w:rsidRPr="003410C7" w:rsidRDefault="00456002" w:rsidP="00745AB3">
            <w:pPr>
              <w:numPr>
                <w:ilvl w:val="0"/>
                <w:numId w:val="38"/>
              </w:numPr>
              <w:spacing w:before="80"/>
            </w:pPr>
            <w:r w:rsidRPr="003410C7">
              <w:rPr>
                <w:rFonts w:cs="Tahoma"/>
              </w:rPr>
              <w:t>Exchange Online Piano 2*</w:t>
            </w:r>
          </w:p>
          <w:p w:rsidR="00456002" w:rsidRPr="003410C7" w:rsidRDefault="00456002" w:rsidP="00745AB3">
            <w:pPr>
              <w:numPr>
                <w:ilvl w:val="0"/>
                <w:numId w:val="38"/>
              </w:numPr>
              <w:spacing w:before="80"/>
            </w:pPr>
            <w:r w:rsidRPr="003410C7">
              <w:rPr>
                <w:rFonts w:cs="Tahoma"/>
              </w:rPr>
              <w:t>Lync Online Piano 1*</w:t>
            </w:r>
          </w:p>
          <w:p w:rsidR="00456002" w:rsidRPr="003410C7" w:rsidRDefault="00456002" w:rsidP="00745AB3">
            <w:pPr>
              <w:numPr>
                <w:ilvl w:val="0"/>
                <w:numId w:val="38"/>
              </w:numPr>
              <w:spacing w:before="80"/>
            </w:pPr>
            <w:r w:rsidRPr="003410C7">
              <w:rPr>
                <w:rFonts w:cs="Tahoma"/>
              </w:rPr>
              <w:t>Lync Online Piano 2*</w:t>
            </w:r>
          </w:p>
          <w:p w:rsidR="00E77288" w:rsidRPr="003410C7" w:rsidRDefault="00E77288" w:rsidP="00745AB3">
            <w:pPr>
              <w:numPr>
                <w:ilvl w:val="0"/>
                <w:numId w:val="38"/>
              </w:numPr>
              <w:spacing w:before="80"/>
            </w:pPr>
            <w:r w:rsidRPr="003410C7">
              <w:rPr>
                <w:rFonts w:cs="Tahoma"/>
              </w:rPr>
              <w:t>Lync Online Piano 3*</w:t>
            </w:r>
          </w:p>
          <w:p w:rsidR="00456002" w:rsidRPr="003410C7" w:rsidRDefault="00456002" w:rsidP="00745AB3">
            <w:pPr>
              <w:numPr>
                <w:ilvl w:val="0"/>
                <w:numId w:val="38"/>
              </w:numPr>
              <w:spacing w:before="80"/>
            </w:pPr>
            <w:r w:rsidRPr="003410C7">
              <w:rPr>
                <w:rFonts w:cs="Tahoma"/>
              </w:rPr>
              <w:t>Office 365 (Enterprise K1)*</w:t>
            </w:r>
          </w:p>
          <w:p w:rsidR="00456002" w:rsidRPr="003410C7" w:rsidRDefault="00456002" w:rsidP="00745AB3">
            <w:pPr>
              <w:numPr>
                <w:ilvl w:val="0"/>
                <w:numId w:val="38"/>
              </w:numPr>
              <w:spacing w:before="80"/>
            </w:pPr>
            <w:r w:rsidRPr="003410C7">
              <w:rPr>
                <w:rFonts w:cs="Tahoma"/>
              </w:rPr>
              <w:t>Office 365 (Enterprise K2)*</w:t>
            </w:r>
          </w:p>
          <w:p w:rsidR="00456002" w:rsidRPr="003410C7" w:rsidRDefault="00456002" w:rsidP="00745AB3">
            <w:pPr>
              <w:numPr>
                <w:ilvl w:val="0"/>
                <w:numId w:val="38"/>
              </w:numPr>
              <w:spacing w:before="80"/>
            </w:pPr>
            <w:r w:rsidRPr="003410C7">
              <w:rPr>
                <w:rFonts w:cs="Tahoma"/>
              </w:rPr>
              <w:t>Office 365 (Enterprise E1)</w:t>
            </w:r>
          </w:p>
          <w:p w:rsidR="00456002" w:rsidRPr="003410C7" w:rsidRDefault="00456002" w:rsidP="00745AB3">
            <w:pPr>
              <w:numPr>
                <w:ilvl w:val="0"/>
                <w:numId w:val="38"/>
              </w:numPr>
              <w:spacing w:before="80"/>
            </w:pPr>
            <w:r w:rsidRPr="003410C7">
              <w:rPr>
                <w:rFonts w:cs="Tahoma"/>
              </w:rPr>
              <w:t>Office 365 (Enterprise E2)</w:t>
            </w:r>
          </w:p>
          <w:p w:rsidR="00456002" w:rsidRPr="003410C7" w:rsidRDefault="00456002" w:rsidP="00745AB3">
            <w:pPr>
              <w:numPr>
                <w:ilvl w:val="0"/>
                <w:numId w:val="38"/>
              </w:numPr>
              <w:spacing w:before="80"/>
            </w:pPr>
            <w:r w:rsidRPr="003410C7">
              <w:rPr>
                <w:rFonts w:cs="Tahoma"/>
              </w:rPr>
              <w:t>Office 365 (Enterprise E3)</w:t>
            </w:r>
          </w:p>
          <w:p w:rsidR="00456002" w:rsidRPr="003410C7" w:rsidRDefault="00456002" w:rsidP="00745AB3">
            <w:pPr>
              <w:numPr>
                <w:ilvl w:val="0"/>
                <w:numId w:val="38"/>
              </w:numPr>
              <w:spacing w:before="80"/>
            </w:pPr>
            <w:r w:rsidRPr="003410C7">
              <w:rPr>
                <w:rFonts w:cs="Tahoma"/>
              </w:rPr>
              <w:t>Office 365 (Enterprise E4)</w:t>
            </w:r>
          </w:p>
          <w:p w:rsidR="005272FA" w:rsidRPr="003410C7" w:rsidRDefault="005272FA" w:rsidP="00745AB3">
            <w:pPr>
              <w:numPr>
                <w:ilvl w:val="0"/>
                <w:numId w:val="38"/>
              </w:numPr>
              <w:spacing w:before="80"/>
              <w:jc w:val="both"/>
            </w:pPr>
            <w:r w:rsidRPr="003410C7">
              <w:rPr>
                <w:rFonts w:cs="Tahoma"/>
                <w:color w:val="000000"/>
              </w:rPr>
              <w:t>Office 365 (Government G1)</w:t>
            </w:r>
          </w:p>
          <w:p w:rsidR="005272FA" w:rsidRPr="003410C7" w:rsidRDefault="005272FA" w:rsidP="00745AB3">
            <w:pPr>
              <w:numPr>
                <w:ilvl w:val="0"/>
                <w:numId w:val="38"/>
              </w:numPr>
              <w:spacing w:before="80"/>
              <w:jc w:val="both"/>
            </w:pPr>
            <w:r w:rsidRPr="003410C7">
              <w:rPr>
                <w:rFonts w:cs="Tahoma"/>
                <w:color w:val="000000"/>
              </w:rPr>
              <w:t>Office 365 (Government G2)</w:t>
            </w:r>
          </w:p>
          <w:p w:rsidR="005272FA" w:rsidRPr="003410C7" w:rsidRDefault="005272FA" w:rsidP="00745AB3">
            <w:pPr>
              <w:numPr>
                <w:ilvl w:val="0"/>
                <w:numId w:val="38"/>
              </w:numPr>
              <w:spacing w:before="80"/>
              <w:jc w:val="both"/>
            </w:pPr>
            <w:r w:rsidRPr="003410C7">
              <w:rPr>
                <w:rFonts w:cs="Tahoma"/>
                <w:color w:val="000000"/>
              </w:rPr>
              <w:t>Office 365 (Government G3)</w:t>
            </w:r>
          </w:p>
          <w:p w:rsidR="005272FA" w:rsidRPr="003410C7" w:rsidRDefault="005272FA" w:rsidP="00745AB3">
            <w:pPr>
              <w:numPr>
                <w:ilvl w:val="0"/>
                <w:numId w:val="38"/>
              </w:numPr>
              <w:spacing w:before="80"/>
              <w:jc w:val="both"/>
            </w:pPr>
            <w:r w:rsidRPr="003410C7">
              <w:rPr>
                <w:rFonts w:cs="Tahoma"/>
                <w:color w:val="000000"/>
              </w:rPr>
              <w:t>Office 365 (Government G4)</w:t>
            </w:r>
          </w:p>
          <w:p w:rsidR="005272FA" w:rsidRPr="003410C7" w:rsidRDefault="005272FA" w:rsidP="007E466C">
            <w:pPr>
              <w:spacing w:before="80"/>
              <w:ind w:left="522"/>
              <w:rPr>
                <w:rFonts w:cs="Tahoma"/>
              </w:rPr>
            </w:pPr>
          </w:p>
        </w:tc>
        <w:tc>
          <w:tcPr>
            <w:tcW w:w="2500" w:type="pct"/>
          </w:tcPr>
          <w:p w:rsidR="00456002" w:rsidRPr="003410C7" w:rsidRDefault="00456002" w:rsidP="00745AB3">
            <w:pPr>
              <w:numPr>
                <w:ilvl w:val="0"/>
                <w:numId w:val="38"/>
              </w:numPr>
              <w:spacing w:before="80"/>
              <w:jc w:val="both"/>
            </w:pPr>
            <w:r w:rsidRPr="003410C7">
              <w:rPr>
                <w:rFonts w:cs="Tahoma"/>
                <w:color w:val="000000"/>
              </w:rPr>
              <w:t>Office Web Applications*</w:t>
            </w:r>
          </w:p>
          <w:p w:rsidR="00CE1716" w:rsidRPr="003410C7" w:rsidRDefault="00CE1716" w:rsidP="00745AB3">
            <w:pPr>
              <w:numPr>
                <w:ilvl w:val="0"/>
                <w:numId w:val="38"/>
              </w:numPr>
              <w:spacing w:before="80"/>
              <w:jc w:val="both"/>
            </w:pPr>
            <w:r w:rsidRPr="003410C7">
              <w:rPr>
                <w:rFonts w:cs="Tahoma"/>
                <w:color w:val="000000"/>
              </w:rPr>
              <w:t>Project Online</w:t>
            </w:r>
          </w:p>
          <w:p w:rsidR="005272FA" w:rsidRPr="003410C7" w:rsidRDefault="005272FA" w:rsidP="00745AB3">
            <w:pPr>
              <w:numPr>
                <w:ilvl w:val="0"/>
                <w:numId w:val="38"/>
              </w:numPr>
              <w:spacing w:before="80"/>
              <w:jc w:val="both"/>
            </w:pPr>
            <w:r w:rsidRPr="003410C7">
              <w:rPr>
                <w:rFonts w:cs="Tahoma"/>
                <w:color w:val="000000"/>
              </w:rPr>
              <w:t>Project Pro per Office 365*</w:t>
            </w:r>
          </w:p>
          <w:p w:rsidR="00456002" w:rsidRPr="003410C7" w:rsidRDefault="00456002" w:rsidP="00745AB3">
            <w:pPr>
              <w:numPr>
                <w:ilvl w:val="0"/>
                <w:numId w:val="38"/>
              </w:numPr>
              <w:spacing w:before="80"/>
              <w:jc w:val="both"/>
            </w:pPr>
            <w:r w:rsidRPr="003410C7">
              <w:rPr>
                <w:rFonts w:cs="Tahoma"/>
                <w:color w:val="000000"/>
              </w:rPr>
              <w:t>SharePoint Online Piano 1*</w:t>
            </w:r>
          </w:p>
          <w:p w:rsidR="00456002" w:rsidRPr="003410C7" w:rsidRDefault="00456002" w:rsidP="00745AB3">
            <w:pPr>
              <w:numPr>
                <w:ilvl w:val="0"/>
                <w:numId w:val="38"/>
              </w:numPr>
              <w:spacing w:before="80"/>
              <w:jc w:val="both"/>
            </w:pPr>
            <w:r w:rsidRPr="003410C7">
              <w:rPr>
                <w:rFonts w:cs="Tahoma"/>
                <w:color w:val="000000"/>
              </w:rPr>
              <w:t>SharePoint Online Piano 2*</w:t>
            </w:r>
          </w:p>
          <w:p w:rsidR="00456002" w:rsidRPr="003410C7" w:rsidRDefault="00456002" w:rsidP="00745AB3">
            <w:pPr>
              <w:numPr>
                <w:ilvl w:val="0"/>
                <w:numId w:val="38"/>
              </w:numPr>
              <w:spacing w:before="80"/>
              <w:ind w:right="270"/>
              <w:jc w:val="both"/>
            </w:pPr>
            <w:r w:rsidRPr="003410C7">
              <w:rPr>
                <w:rFonts w:cs="Tahoma"/>
                <w:color w:val="000000"/>
              </w:rPr>
              <w:t>Accesso partner SharePoint Online*</w:t>
            </w:r>
          </w:p>
          <w:p w:rsidR="00456002" w:rsidRPr="003410C7" w:rsidRDefault="00456002" w:rsidP="00745AB3">
            <w:pPr>
              <w:numPr>
                <w:ilvl w:val="0"/>
                <w:numId w:val="38"/>
              </w:numPr>
              <w:spacing w:before="80"/>
              <w:jc w:val="both"/>
            </w:pPr>
            <w:r w:rsidRPr="003410C7">
              <w:rPr>
                <w:rFonts w:cs="Tahoma"/>
                <w:color w:val="000000"/>
              </w:rPr>
              <w:t>Windows Intune</w:t>
            </w:r>
          </w:p>
          <w:p w:rsidR="00456002" w:rsidRPr="00451078" w:rsidRDefault="00456002" w:rsidP="00745AB3">
            <w:pPr>
              <w:numPr>
                <w:ilvl w:val="0"/>
                <w:numId w:val="38"/>
              </w:numPr>
              <w:spacing w:before="80"/>
              <w:rPr>
                <w:lang w:val="it-IT"/>
              </w:rPr>
            </w:pPr>
            <w:r w:rsidRPr="00451078">
              <w:rPr>
                <w:rFonts w:cs="Tahoma"/>
                <w:color w:val="000000"/>
                <w:lang w:val="it-IT"/>
              </w:rPr>
              <w:t>Componente aggiuntivo di Windows</w:t>
            </w:r>
            <w:r w:rsidR="00441A21" w:rsidRPr="00451078">
              <w:rPr>
                <w:rFonts w:cs="Tahoma"/>
                <w:color w:val="000000"/>
                <w:lang w:val="it-IT"/>
              </w:rPr>
              <w:t> </w:t>
            </w:r>
            <w:r w:rsidRPr="00451078">
              <w:rPr>
                <w:rFonts w:cs="Tahoma"/>
                <w:color w:val="000000"/>
                <w:lang w:val="it-IT"/>
              </w:rPr>
              <w:t>Intune*</w:t>
            </w:r>
          </w:p>
          <w:p w:rsidR="00A2058E" w:rsidRPr="003410C7" w:rsidRDefault="00A2058E" w:rsidP="00745AB3">
            <w:pPr>
              <w:numPr>
                <w:ilvl w:val="0"/>
                <w:numId w:val="38"/>
              </w:numPr>
              <w:spacing w:before="80"/>
              <w:jc w:val="both"/>
            </w:pPr>
            <w:r w:rsidRPr="003410C7">
              <w:rPr>
                <w:rFonts w:cs="Tahoma"/>
                <w:color w:val="000000"/>
              </w:rPr>
              <w:t>Microsoft Dynamics CRM Online*</w:t>
            </w:r>
          </w:p>
          <w:p w:rsidR="005272FA" w:rsidRPr="003410C7" w:rsidRDefault="005272FA" w:rsidP="00745AB3">
            <w:pPr>
              <w:numPr>
                <w:ilvl w:val="0"/>
                <w:numId w:val="38"/>
              </w:numPr>
              <w:spacing w:before="80"/>
              <w:jc w:val="both"/>
            </w:pPr>
            <w:r w:rsidRPr="003410C7">
              <w:rPr>
                <w:rFonts w:cs="Tahoma"/>
                <w:color w:val="000000"/>
              </w:rPr>
              <w:t>Visio Pro per Office 365*</w:t>
            </w:r>
          </w:p>
          <w:p w:rsidR="00F27B29" w:rsidRPr="003410C7" w:rsidRDefault="00F27B29" w:rsidP="00745AB3">
            <w:pPr>
              <w:numPr>
                <w:ilvl w:val="0"/>
                <w:numId w:val="38"/>
              </w:numPr>
              <w:spacing w:before="80" w:after="120"/>
              <w:jc w:val="both"/>
              <w:rPr>
                <w:rFonts w:cs="Tahoma"/>
              </w:rPr>
            </w:pPr>
            <w:r w:rsidRPr="003410C7">
              <w:rPr>
                <w:rFonts w:cs="Tahoma"/>
                <w:color w:val="000000"/>
              </w:rPr>
              <w:t>Yammer Enterprise</w:t>
            </w:r>
          </w:p>
        </w:tc>
      </w:tr>
    </w:tbl>
    <w:p w:rsidR="00A12176" w:rsidRPr="00856480" w:rsidRDefault="00456002" w:rsidP="001E7C5F">
      <w:pPr>
        <w:tabs>
          <w:tab w:val="left" w:pos="360"/>
        </w:tabs>
        <w:ind w:left="720"/>
        <w:rPr>
          <w:sz w:val="16"/>
          <w:szCs w:val="16"/>
        </w:rPr>
      </w:pPr>
      <w:r w:rsidRPr="00856480">
        <w:rPr>
          <w:rFonts w:cs="Tahoma"/>
          <w:i/>
          <w:sz w:val="16"/>
          <w:szCs w:val="16"/>
        </w:rPr>
        <w:t>* Prodotto aggiuntivo</w:t>
      </w:r>
      <w:bookmarkStart w:id="684" w:name="_Toc336338196"/>
    </w:p>
    <w:p w:rsidR="002B01D6" w:rsidRDefault="002B01D6" w:rsidP="00366502">
      <w:pPr>
        <w:pStyle w:val="Heading2"/>
        <w:ind w:left="0"/>
        <w:rPr>
          <w:rFonts w:ascii="Tahoma" w:hAnsi="Tahoma" w:cs="Tahoma"/>
          <w:lang w:val="it-IT"/>
        </w:rPr>
      </w:pPr>
    </w:p>
    <w:p w:rsidR="00456002" w:rsidRPr="00451078" w:rsidRDefault="00456002" w:rsidP="00366502">
      <w:pPr>
        <w:pStyle w:val="Heading2"/>
        <w:ind w:left="0"/>
        <w:rPr>
          <w:lang w:val="it-IT"/>
        </w:rPr>
      </w:pPr>
      <w:bookmarkStart w:id="685" w:name="_Toc352234791"/>
      <w:r w:rsidRPr="00451078">
        <w:rPr>
          <w:rFonts w:ascii="Tahoma" w:hAnsi="Tahoma" w:cs="Tahoma"/>
          <w:lang w:val="it-IT"/>
        </w:rPr>
        <w:lastRenderedPageBreak/>
        <w:t>Continuità del Servizio per Proroga del Periodo di Validità</w:t>
      </w:r>
      <w:bookmarkEnd w:id="684"/>
      <w:bookmarkEnd w:id="685"/>
      <w:r w:rsidRPr="00451078">
        <w:rPr>
          <w:rFonts w:ascii="Tahoma" w:eastAsia="Times New Roman" w:hAnsi="Tahoma" w:cs="Tahoma"/>
          <w:sz w:val="20"/>
          <w:lang w:val="it-IT"/>
        </w:rPr>
        <w:t xml:space="preserve"> </w:t>
      </w:r>
    </w:p>
    <w:p w:rsidR="00456002" w:rsidRPr="00451078" w:rsidRDefault="00456002" w:rsidP="00366502">
      <w:pPr>
        <w:tabs>
          <w:tab w:val="left" w:pos="360"/>
        </w:tabs>
        <w:rPr>
          <w:lang w:val="it-IT"/>
        </w:rPr>
      </w:pPr>
    </w:p>
    <w:p w:rsidR="00456002" w:rsidRPr="00451078" w:rsidRDefault="00456002" w:rsidP="00366502">
      <w:pPr>
        <w:tabs>
          <w:tab w:val="left" w:pos="360"/>
        </w:tabs>
        <w:rPr>
          <w:lang w:val="it-IT"/>
        </w:rPr>
      </w:pPr>
      <w:r w:rsidRPr="00451078">
        <w:rPr>
          <w:rFonts w:cs="Tahoma"/>
          <w:b/>
          <w:szCs w:val="20"/>
          <w:lang w:val="it-IT"/>
        </w:rPr>
        <w:t>Nota:</w:t>
      </w:r>
      <w:r w:rsidRPr="00451078">
        <w:rPr>
          <w:rFonts w:cs="Tahoma"/>
          <w:szCs w:val="20"/>
          <w:lang w:val="it-IT"/>
        </w:rPr>
        <w:t xml:space="preserve"> quanto segue si applica alle società in possesso delle Iscrizioni Enterprise ed Enterprise Subscription che sono idonee a continuare il servizio in seguito alla Proroga del Periodo di Validità. Le società che non sono certe della loro idoneità a continuare il servizio in seguito alla Proroga del Periodo di Validità dovranno contattare il loro Software Advisor, Rivenditore o Account Manager designato da Microsoft per ulteriori informazioni.</w:t>
      </w:r>
      <w:r w:rsidR="00082E1C" w:rsidRPr="00451078">
        <w:rPr>
          <w:rFonts w:cs="Tahoma"/>
          <w:szCs w:val="20"/>
          <w:lang w:val="it-IT"/>
        </w:rPr>
        <w:t xml:space="preserve"> </w:t>
      </w:r>
    </w:p>
    <w:p w:rsidR="00456002" w:rsidRPr="00451078" w:rsidRDefault="00456002" w:rsidP="00366502">
      <w:pPr>
        <w:tabs>
          <w:tab w:val="left" w:pos="360"/>
        </w:tabs>
        <w:rPr>
          <w:lang w:val="it-IT"/>
        </w:rPr>
      </w:pPr>
    </w:p>
    <w:p w:rsidR="00456002" w:rsidRPr="00451078" w:rsidRDefault="00456002" w:rsidP="00366502">
      <w:pPr>
        <w:tabs>
          <w:tab w:val="left" w:pos="360"/>
        </w:tabs>
        <w:rPr>
          <w:lang w:val="it-IT"/>
        </w:rPr>
      </w:pPr>
      <w:r w:rsidRPr="00451078">
        <w:rPr>
          <w:rFonts w:cs="Tahoma"/>
          <w:szCs w:val="20"/>
          <w:lang w:val="it-IT"/>
        </w:rPr>
        <w:t>I servizi online che seguono sono idonei per la Proroga del Periodo di Validità dei Servizi Online in conformità alle condizioni dei Contratti Volume License delle società. Il periodo di validità dell</w:t>
      </w:r>
      <w:r w:rsidR="0073727D">
        <w:rPr>
          <w:rFonts w:cs="Tahoma"/>
          <w:szCs w:val="20"/>
          <w:lang w:val="it-IT"/>
        </w:rPr>
        <w:t>’</w:t>
      </w:r>
      <w:r w:rsidRPr="00451078">
        <w:rPr>
          <w:rFonts w:cs="Tahoma"/>
          <w:szCs w:val="20"/>
          <w:lang w:val="it-IT"/>
        </w:rPr>
        <w:t>abbonamento di una società ai servizi online dovrà terminare alla data di scadenza del contratto della società (</w:t>
      </w:r>
      <w:r w:rsidR="001A3EC5" w:rsidRPr="00451078">
        <w:rPr>
          <w:rFonts w:cs="Tahoma"/>
          <w:szCs w:val="20"/>
          <w:lang w:val="it-IT"/>
        </w:rPr>
        <w:t>“</w:t>
      </w:r>
      <w:r w:rsidRPr="00451078">
        <w:rPr>
          <w:rFonts w:cs="Tahoma"/>
          <w:szCs w:val="20"/>
          <w:lang w:val="it-IT"/>
        </w:rPr>
        <w:t>scadenza identica</w:t>
      </w:r>
      <w:r w:rsidR="001A3EC5" w:rsidRPr="00451078">
        <w:rPr>
          <w:rFonts w:cs="Tahoma"/>
          <w:szCs w:val="20"/>
          <w:lang w:val="it-IT"/>
        </w:rPr>
        <w:t>”</w:t>
      </w:r>
      <w:r w:rsidRPr="00451078">
        <w:rPr>
          <w:rFonts w:cs="Tahoma"/>
          <w:szCs w:val="20"/>
          <w:lang w:val="it-IT"/>
        </w:rPr>
        <w:t>) per potersi qualificare per Continuità del Servizio per Proroga del Periodo di Validità:</w:t>
      </w:r>
    </w:p>
    <w:p w:rsidR="00441A21" w:rsidRPr="00451078" w:rsidRDefault="00441A21" w:rsidP="0014632E">
      <w:pPr>
        <w:ind w:left="720"/>
        <w:rPr>
          <w:lang w:val="it-IT"/>
        </w:rPr>
      </w:pPr>
    </w:p>
    <w:tbl>
      <w:tblPr>
        <w:tblW w:w="4277" w:type="pct"/>
        <w:tblInd w:w="72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4173"/>
        <w:gridCol w:w="3842"/>
      </w:tblGrid>
      <w:tr w:rsidR="00456002" w:rsidRPr="003410C7" w:rsidTr="005C647E">
        <w:trPr>
          <w:trHeight w:val="80"/>
          <w:tblHeader/>
        </w:trPr>
        <w:tc>
          <w:tcPr>
            <w:tcW w:w="5000" w:type="pct"/>
            <w:gridSpan w:val="2"/>
            <w:shd w:val="clear" w:color="auto" w:fill="FABF8F"/>
          </w:tcPr>
          <w:p w:rsidR="00456002" w:rsidRPr="003410C7" w:rsidRDefault="00456002" w:rsidP="005C647E">
            <w:pPr>
              <w:jc w:val="center"/>
              <w:rPr>
                <w:rFonts w:cs="Tahoma"/>
                <w:b/>
                <w:sz w:val="20"/>
              </w:rPr>
            </w:pPr>
            <w:r w:rsidRPr="003410C7">
              <w:rPr>
                <w:rFonts w:cs="Tahoma"/>
                <w:b/>
                <w:sz w:val="20"/>
              </w:rPr>
              <w:t>Servizi Online</w:t>
            </w:r>
          </w:p>
        </w:tc>
      </w:tr>
      <w:tr w:rsidR="00456002" w:rsidRPr="003410C7" w:rsidTr="005C647E">
        <w:trPr>
          <w:trHeight w:val="219"/>
        </w:trPr>
        <w:tc>
          <w:tcPr>
            <w:tcW w:w="2603" w:type="pct"/>
          </w:tcPr>
          <w:p w:rsidR="00456002" w:rsidRPr="003410C7" w:rsidRDefault="00456002" w:rsidP="00E92E22">
            <w:pPr>
              <w:keepNext/>
              <w:numPr>
                <w:ilvl w:val="0"/>
                <w:numId w:val="38"/>
              </w:numPr>
              <w:spacing w:before="80"/>
              <w:ind w:left="725"/>
              <w:jc w:val="both"/>
            </w:pPr>
            <w:r w:rsidRPr="003410C7">
              <w:rPr>
                <w:rFonts w:cs="Tahoma"/>
              </w:rPr>
              <w:t>Chiosco Exchange Online*</w:t>
            </w:r>
          </w:p>
          <w:p w:rsidR="00456002" w:rsidRPr="003410C7" w:rsidRDefault="00456002" w:rsidP="00E92E22">
            <w:pPr>
              <w:keepNext/>
              <w:numPr>
                <w:ilvl w:val="0"/>
                <w:numId w:val="38"/>
              </w:numPr>
              <w:spacing w:before="80"/>
              <w:ind w:left="725"/>
              <w:jc w:val="both"/>
            </w:pPr>
            <w:r w:rsidRPr="003410C7">
              <w:rPr>
                <w:rFonts w:cs="Tahoma"/>
              </w:rPr>
              <w:t>Exchange Online Piano 1*</w:t>
            </w:r>
          </w:p>
          <w:p w:rsidR="00456002" w:rsidRPr="003410C7" w:rsidRDefault="00456002" w:rsidP="00E92E22">
            <w:pPr>
              <w:keepNext/>
              <w:numPr>
                <w:ilvl w:val="0"/>
                <w:numId w:val="38"/>
              </w:numPr>
              <w:spacing w:before="80"/>
              <w:ind w:left="725"/>
              <w:jc w:val="both"/>
            </w:pPr>
            <w:r w:rsidRPr="003410C7">
              <w:rPr>
                <w:rFonts w:cs="Tahoma"/>
              </w:rPr>
              <w:t>Exchange Online Piano 2*</w:t>
            </w:r>
          </w:p>
          <w:p w:rsidR="00456002" w:rsidRPr="003410C7" w:rsidRDefault="00456002" w:rsidP="00E92E22">
            <w:pPr>
              <w:keepNext/>
              <w:numPr>
                <w:ilvl w:val="0"/>
                <w:numId w:val="38"/>
              </w:numPr>
              <w:spacing w:before="80"/>
              <w:ind w:left="725"/>
              <w:jc w:val="both"/>
            </w:pPr>
            <w:r w:rsidRPr="003410C7">
              <w:rPr>
                <w:rFonts w:cs="Tahoma"/>
              </w:rPr>
              <w:t>Lync Online Piano 1*</w:t>
            </w:r>
          </w:p>
          <w:p w:rsidR="00456002" w:rsidRPr="003410C7" w:rsidRDefault="00456002" w:rsidP="00E92E22">
            <w:pPr>
              <w:keepNext/>
              <w:numPr>
                <w:ilvl w:val="0"/>
                <w:numId w:val="38"/>
              </w:numPr>
              <w:spacing w:before="80"/>
              <w:ind w:left="725"/>
              <w:jc w:val="both"/>
            </w:pPr>
            <w:r w:rsidRPr="003410C7">
              <w:rPr>
                <w:rFonts w:cs="Tahoma"/>
              </w:rPr>
              <w:t>Lync Online Piano 2*</w:t>
            </w:r>
          </w:p>
          <w:p w:rsidR="00E77288" w:rsidRPr="003410C7" w:rsidRDefault="00E77288" w:rsidP="00E92E22">
            <w:pPr>
              <w:keepNext/>
              <w:numPr>
                <w:ilvl w:val="0"/>
                <w:numId w:val="38"/>
              </w:numPr>
              <w:spacing w:before="80"/>
              <w:ind w:left="725"/>
              <w:jc w:val="both"/>
            </w:pPr>
            <w:r w:rsidRPr="003410C7">
              <w:rPr>
                <w:rFonts w:cs="Tahoma"/>
              </w:rPr>
              <w:t>Lync Online Piano 3*</w:t>
            </w:r>
          </w:p>
          <w:p w:rsidR="00456002" w:rsidRPr="003410C7" w:rsidRDefault="00456002" w:rsidP="00E92E22">
            <w:pPr>
              <w:keepNext/>
              <w:numPr>
                <w:ilvl w:val="0"/>
                <w:numId w:val="38"/>
              </w:numPr>
              <w:spacing w:before="80"/>
              <w:ind w:left="725"/>
              <w:jc w:val="both"/>
            </w:pPr>
            <w:r w:rsidRPr="003410C7">
              <w:rPr>
                <w:rFonts w:cs="Tahoma"/>
              </w:rPr>
              <w:t>Office 365 (Enterprise K1)*</w:t>
            </w:r>
          </w:p>
          <w:p w:rsidR="00456002" w:rsidRPr="00E92E22" w:rsidRDefault="00456002" w:rsidP="00E92E22">
            <w:pPr>
              <w:keepNext/>
              <w:numPr>
                <w:ilvl w:val="0"/>
                <w:numId w:val="38"/>
              </w:numPr>
              <w:spacing w:before="80"/>
              <w:ind w:left="725"/>
              <w:jc w:val="both"/>
              <w:rPr>
                <w:rFonts w:cs="Tahoma"/>
              </w:rPr>
            </w:pPr>
            <w:r w:rsidRPr="003410C7">
              <w:rPr>
                <w:rFonts w:cs="Tahoma"/>
              </w:rPr>
              <w:t>Office 365 (Enterprise K2)*</w:t>
            </w:r>
          </w:p>
          <w:p w:rsidR="00456002" w:rsidRPr="003410C7" w:rsidRDefault="00456002" w:rsidP="00E92E22">
            <w:pPr>
              <w:keepNext/>
              <w:numPr>
                <w:ilvl w:val="0"/>
                <w:numId w:val="38"/>
              </w:numPr>
              <w:spacing w:before="80"/>
              <w:ind w:left="725"/>
              <w:jc w:val="both"/>
            </w:pPr>
            <w:r w:rsidRPr="003410C7">
              <w:rPr>
                <w:rFonts w:cs="Tahoma"/>
              </w:rPr>
              <w:t>Office 365 (Enterprise E1)</w:t>
            </w:r>
          </w:p>
          <w:p w:rsidR="00456002" w:rsidRPr="003410C7" w:rsidRDefault="00456002" w:rsidP="00E92E22">
            <w:pPr>
              <w:keepNext/>
              <w:numPr>
                <w:ilvl w:val="0"/>
                <w:numId w:val="38"/>
              </w:numPr>
              <w:spacing w:before="80"/>
              <w:ind w:left="725"/>
              <w:jc w:val="both"/>
            </w:pPr>
            <w:r w:rsidRPr="003410C7">
              <w:rPr>
                <w:rFonts w:cs="Tahoma"/>
              </w:rPr>
              <w:t>Office 365 (Enterprise E2)</w:t>
            </w:r>
          </w:p>
          <w:p w:rsidR="00456002" w:rsidRPr="003410C7" w:rsidRDefault="00456002" w:rsidP="00E92E22">
            <w:pPr>
              <w:keepNext/>
              <w:numPr>
                <w:ilvl w:val="0"/>
                <w:numId w:val="38"/>
              </w:numPr>
              <w:spacing w:before="80"/>
              <w:ind w:left="725"/>
              <w:jc w:val="both"/>
            </w:pPr>
            <w:r w:rsidRPr="003410C7">
              <w:rPr>
                <w:rFonts w:cs="Tahoma"/>
              </w:rPr>
              <w:t>Office 365 (Enterprise E3)</w:t>
            </w:r>
          </w:p>
          <w:p w:rsidR="00456002" w:rsidRPr="003410C7" w:rsidRDefault="00456002" w:rsidP="00E92E22">
            <w:pPr>
              <w:keepNext/>
              <w:numPr>
                <w:ilvl w:val="0"/>
                <w:numId w:val="38"/>
              </w:numPr>
              <w:spacing w:before="80"/>
              <w:ind w:left="725"/>
              <w:jc w:val="both"/>
              <w:rPr>
                <w:rFonts w:cs="Tahoma"/>
              </w:rPr>
            </w:pPr>
            <w:r w:rsidRPr="003410C7">
              <w:rPr>
                <w:rFonts w:cs="Tahoma"/>
              </w:rPr>
              <w:t>Office 365 (Enterprise E4)</w:t>
            </w:r>
          </w:p>
        </w:tc>
        <w:tc>
          <w:tcPr>
            <w:tcW w:w="2397" w:type="pct"/>
          </w:tcPr>
          <w:p w:rsidR="00C177EF" w:rsidRPr="003410C7" w:rsidRDefault="00C177EF" w:rsidP="00745AB3">
            <w:pPr>
              <w:keepNext/>
              <w:numPr>
                <w:ilvl w:val="0"/>
                <w:numId w:val="38"/>
              </w:numPr>
              <w:spacing w:before="80"/>
              <w:ind w:left="725"/>
              <w:jc w:val="both"/>
            </w:pPr>
            <w:r w:rsidRPr="003410C7">
              <w:rPr>
                <w:rFonts w:cs="Tahoma"/>
              </w:rPr>
              <w:t>Microsoft Dynamics CRM Online*</w:t>
            </w:r>
          </w:p>
          <w:p w:rsidR="009E224B" w:rsidRPr="003410C7" w:rsidRDefault="009E224B" w:rsidP="00745AB3">
            <w:pPr>
              <w:keepNext/>
              <w:numPr>
                <w:ilvl w:val="0"/>
                <w:numId w:val="38"/>
              </w:numPr>
              <w:spacing w:before="80"/>
              <w:ind w:left="725"/>
              <w:jc w:val="both"/>
            </w:pPr>
            <w:r w:rsidRPr="003410C7">
              <w:rPr>
                <w:rFonts w:cs="Tahoma"/>
              </w:rPr>
              <w:t>Office 365 (Government G1)</w:t>
            </w:r>
          </w:p>
          <w:p w:rsidR="009E224B" w:rsidRPr="003410C7" w:rsidRDefault="009E224B" w:rsidP="00745AB3">
            <w:pPr>
              <w:keepNext/>
              <w:numPr>
                <w:ilvl w:val="0"/>
                <w:numId w:val="38"/>
              </w:numPr>
              <w:spacing w:before="80"/>
              <w:ind w:left="725"/>
              <w:jc w:val="both"/>
            </w:pPr>
            <w:r w:rsidRPr="003410C7">
              <w:rPr>
                <w:rFonts w:cs="Tahoma"/>
              </w:rPr>
              <w:t>Office 365 (Government G2)</w:t>
            </w:r>
          </w:p>
          <w:p w:rsidR="009E224B" w:rsidRPr="003410C7" w:rsidRDefault="009E224B" w:rsidP="00745AB3">
            <w:pPr>
              <w:keepNext/>
              <w:numPr>
                <w:ilvl w:val="0"/>
                <w:numId w:val="38"/>
              </w:numPr>
              <w:spacing w:before="80"/>
              <w:ind w:left="725"/>
              <w:jc w:val="both"/>
            </w:pPr>
            <w:r w:rsidRPr="003410C7">
              <w:rPr>
                <w:rFonts w:cs="Tahoma"/>
              </w:rPr>
              <w:t>Office 365 (Government G3)</w:t>
            </w:r>
          </w:p>
          <w:p w:rsidR="009E224B" w:rsidRPr="003410C7" w:rsidRDefault="009E224B" w:rsidP="00745AB3">
            <w:pPr>
              <w:keepNext/>
              <w:numPr>
                <w:ilvl w:val="0"/>
                <w:numId w:val="38"/>
              </w:numPr>
              <w:spacing w:before="80"/>
              <w:ind w:left="725"/>
              <w:jc w:val="both"/>
            </w:pPr>
            <w:r w:rsidRPr="003410C7">
              <w:rPr>
                <w:rFonts w:cs="Tahoma"/>
              </w:rPr>
              <w:t>Office 365 (Government G4)</w:t>
            </w:r>
          </w:p>
          <w:p w:rsidR="00456002" w:rsidRPr="003410C7" w:rsidRDefault="00456002" w:rsidP="00745AB3">
            <w:pPr>
              <w:keepNext/>
              <w:numPr>
                <w:ilvl w:val="0"/>
                <w:numId w:val="38"/>
              </w:numPr>
              <w:spacing w:before="80"/>
              <w:ind w:left="725"/>
              <w:jc w:val="both"/>
            </w:pPr>
            <w:r w:rsidRPr="003410C7">
              <w:rPr>
                <w:rFonts w:cs="Tahoma"/>
              </w:rPr>
              <w:t>Office Web Applications*</w:t>
            </w:r>
          </w:p>
          <w:p w:rsidR="00C177EF" w:rsidRPr="003410C7" w:rsidRDefault="00C177EF" w:rsidP="00745AB3">
            <w:pPr>
              <w:keepNext/>
              <w:numPr>
                <w:ilvl w:val="0"/>
                <w:numId w:val="38"/>
              </w:numPr>
              <w:spacing w:before="80"/>
              <w:ind w:left="725"/>
              <w:jc w:val="both"/>
            </w:pPr>
            <w:r w:rsidRPr="003410C7">
              <w:rPr>
                <w:rFonts w:cs="Tahoma"/>
              </w:rPr>
              <w:t>Project Online*</w:t>
            </w:r>
          </w:p>
          <w:p w:rsidR="00C177EF" w:rsidRPr="003410C7" w:rsidRDefault="00C177EF" w:rsidP="00745AB3">
            <w:pPr>
              <w:keepNext/>
              <w:numPr>
                <w:ilvl w:val="0"/>
                <w:numId w:val="38"/>
              </w:numPr>
              <w:spacing w:before="80"/>
              <w:ind w:left="725"/>
              <w:jc w:val="both"/>
            </w:pPr>
            <w:r w:rsidRPr="003410C7">
              <w:rPr>
                <w:rFonts w:cs="Tahoma"/>
              </w:rPr>
              <w:t>Project Pro per Office 365*</w:t>
            </w:r>
          </w:p>
          <w:p w:rsidR="00456002" w:rsidRPr="003410C7" w:rsidRDefault="00456002" w:rsidP="00745AB3">
            <w:pPr>
              <w:keepNext/>
              <w:numPr>
                <w:ilvl w:val="0"/>
                <w:numId w:val="38"/>
              </w:numPr>
              <w:spacing w:before="80"/>
              <w:ind w:left="725"/>
              <w:jc w:val="both"/>
            </w:pPr>
            <w:r w:rsidRPr="003410C7">
              <w:rPr>
                <w:rFonts w:cs="Tahoma"/>
              </w:rPr>
              <w:t>SharePoint Online Piano 1*</w:t>
            </w:r>
          </w:p>
          <w:p w:rsidR="00456002" w:rsidRPr="003410C7" w:rsidRDefault="00456002" w:rsidP="00745AB3">
            <w:pPr>
              <w:keepNext/>
              <w:numPr>
                <w:ilvl w:val="0"/>
                <w:numId w:val="38"/>
              </w:numPr>
              <w:spacing w:before="80"/>
              <w:ind w:left="725"/>
              <w:jc w:val="both"/>
            </w:pPr>
            <w:r w:rsidRPr="003410C7">
              <w:rPr>
                <w:rFonts w:cs="Tahoma"/>
              </w:rPr>
              <w:t>SharePoint Online Piano 2*</w:t>
            </w:r>
          </w:p>
          <w:p w:rsidR="00456002" w:rsidRPr="003410C7" w:rsidRDefault="00456002" w:rsidP="00745AB3">
            <w:pPr>
              <w:keepNext/>
              <w:numPr>
                <w:ilvl w:val="0"/>
                <w:numId w:val="38"/>
              </w:numPr>
              <w:spacing w:before="80"/>
              <w:ind w:left="725"/>
              <w:jc w:val="both"/>
            </w:pPr>
            <w:r w:rsidRPr="003410C7">
              <w:rPr>
                <w:rFonts w:cs="Tahoma"/>
              </w:rPr>
              <w:t>Accesso partner SharePoint Online*</w:t>
            </w:r>
          </w:p>
          <w:p w:rsidR="00C177EF" w:rsidRPr="003410C7" w:rsidRDefault="00C177EF" w:rsidP="00745AB3">
            <w:pPr>
              <w:keepNext/>
              <w:numPr>
                <w:ilvl w:val="0"/>
                <w:numId w:val="38"/>
              </w:numPr>
              <w:spacing w:before="80"/>
              <w:ind w:left="725"/>
              <w:jc w:val="both"/>
            </w:pPr>
            <w:r w:rsidRPr="003410C7">
              <w:rPr>
                <w:rFonts w:cs="Tahoma"/>
              </w:rPr>
              <w:t>Visio Pro per Office 365*</w:t>
            </w:r>
          </w:p>
          <w:p w:rsidR="00776E3B" w:rsidRPr="003410C7" w:rsidRDefault="00776E3B" w:rsidP="00745AB3">
            <w:pPr>
              <w:keepNext/>
              <w:numPr>
                <w:ilvl w:val="0"/>
                <w:numId w:val="38"/>
              </w:numPr>
              <w:spacing w:before="80"/>
              <w:ind w:left="725"/>
              <w:jc w:val="both"/>
            </w:pPr>
            <w:r w:rsidRPr="003410C7">
              <w:rPr>
                <w:rFonts w:cs="Tahoma"/>
              </w:rPr>
              <w:t>Servizi di Windows Azure*</w:t>
            </w:r>
          </w:p>
          <w:p w:rsidR="00456002" w:rsidRPr="003410C7" w:rsidRDefault="00456002" w:rsidP="00745AB3">
            <w:pPr>
              <w:keepNext/>
              <w:numPr>
                <w:ilvl w:val="0"/>
                <w:numId w:val="38"/>
              </w:numPr>
              <w:spacing w:before="80"/>
              <w:ind w:left="720"/>
              <w:jc w:val="both"/>
            </w:pPr>
            <w:r w:rsidRPr="003410C7">
              <w:rPr>
                <w:rFonts w:cs="Tahoma"/>
              </w:rPr>
              <w:t>Windows Intune</w:t>
            </w:r>
          </w:p>
          <w:p w:rsidR="00456002" w:rsidRPr="00451078" w:rsidRDefault="00456002" w:rsidP="00745AB3">
            <w:pPr>
              <w:keepNext/>
              <w:numPr>
                <w:ilvl w:val="0"/>
                <w:numId w:val="38"/>
              </w:numPr>
              <w:spacing w:before="80"/>
              <w:ind w:left="725"/>
              <w:rPr>
                <w:lang w:val="it-IT"/>
              </w:rPr>
            </w:pPr>
            <w:r w:rsidRPr="00451078">
              <w:rPr>
                <w:rFonts w:cs="Tahoma"/>
                <w:lang w:val="it-IT"/>
              </w:rPr>
              <w:t>Componente aggiuntivo di</w:t>
            </w:r>
            <w:r w:rsidR="00441A21" w:rsidRPr="00451078">
              <w:rPr>
                <w:rFonts w:cs="Tahoma"/>
                <w:lang w:val="it-IT"/>
              </w:rPr>
              <w:t> </w:t>
            </w:r>
            <w:r w:rsidRPr="00451078">
              <w:rPr>
                <w:rFonts w:cs="Tahoma"/>
                <w:lang w:val="it-IT"/>
              </w:rPr>
              <w:t>Windows</w:t>
            </w:r>
            <w:r w:rsidR="00441A21" w:rsidRPr="00451078">
              <w:rPr>
                <w:rFonts w:cs="Tahoma"/>
                <w:lang w:val="it-IT"/>
              </w:rPr>
              <w:t> </w:t>
            </w:r>
            <w:r w:rsidRPr="00451078">
              <w:rPr>
                <w:rFonts w:cs="Tahoma"/>
                <w:lang w:val="it-IT"/>
              </w:rPr>
              <w:t>Intune*</w:t>
            </w:r>
          </w:p>
          <w:p w:rsidR="00F27B29" w:rsidRPr="003410C7" w:rsidRDefault="00F27B29" w:rsidP="00745AB3">
            <w:pPr>
              <w:keepNext/>
              <w:numPr>
                <w:ilvl w:val="0"/>
                <w:numId w:val="38"/>
              </w:numPr>
              <w:spacing w:before="80" w:after="120"/>
              <w:ind w:left="720"/>
              <w:jc w:val="both"/>
              <w:rPr>
                <w:rFonts w:cs="Tahoma"/>
              </w:rPr>
            </w:pPr>
            <w:r w:rsidRPr="003410C7">
              <w:rPr>
                <w:rFonts w:cs="Tahoma"/>
              </w:rPr>
              <w:t>Yammer Enterprise*</w:t>
            </w:r>
          </w:p>
        </w:tc>
      </w:tr>
    </w:tbl>
    <w:p w:rsidR="00776E3B" w:rsidRPr="003410C7" w:rsidRDefault="00776E3B" w:rsidP="00776E3B">
      <w:pPr>
        <w:tabs>
          <w:tab w:val="left" w:pos="360"/>
        </w:tabs>
        <w:ind w:left="720"/>
      </w:pPr>
      <w:r w:rsidRPr="003410C7">
        <w:rPr>
          <w:rFonts w:cs="Tahoma"/>
          <w:i/>
          <w:sz w:val="16"/>
          <w:szCs w:val="20"/>
        </w:rPr>
        <w:t>* Prodotto aggiuntivo</w:t>
      </w:r>
    </w:p>
    <w:p w:rsidR="00023FE7" w:rsidRPr="00451078" w:rsidRDefault="00023FE7" w:rsidP="00D26F7E">
      <w:pPr>
        <w:pStyle w:val="Heading1"/>
        <w:rPr>
          <w:lang w:val="it-IT"/>
        </w:rPr>
      </w:pPr>
      <w:r w:rsidRPr="00451078">
        <w:rPr>
          <w:lang w:val="it-IT"/>
        </w:rPr>
        <w:br w:type="page"/>
      </w:r>
      <w:bookmarkStart w:id="686" w:name="_Toc336338197"/>
      <w:bookmarkStart w:id="687" w:name="_Toc352234792"/>
      <w:r w:rsidRPr="00451078">
        <w:rPr>
          <w:lang w:val="it-IT"/>
        </w:rPr>
        <w:lastRenderedPageBreak/>
        <w:t>ARTICOLO 4 - Tipi di Licenze e Corrispettivi</w:t>
      </w:r>
      <w:bookmarkEnd w:id="686"/>
      <w:bookmarkEnd w:id="687"/>
      <w:r w:rsidRPr="00451078">
        <w:rPr>
          <w:lang w:val="it-IT"/>
        </w:rPr>
        <w:t xml:space="preserve"> </w:t>
      </w:r>
    </w:p>
    <w:p w:rsidR="00023FE7" w:rsidRPr="00451078" w:rsidRDefault="00023FE7">
      <w:pPr>
        <w:pStyle w:val="Heading2"/>
        <w:ind w:left="0" w:right="720"/>
        <w:rPr>
          <w:lang w:val="it-IT"/>
        </w:rPr>
      </w:pPr>
    </w:p>
    <w:p w:rsidR="00456002" w:rsidRPr="00451078" w:rsidRDefault="00456002" w:rsidP="00456002">
      <w:pPr>
        <w:pStyle w:val="Heading2"/>
        <w:tabs>
          <w:tab w:val="left" w:pos="90"/>
        </w:tabs>
        <w:ind w:left="0" w:right="720"/>
        <w:rPr>
          <w:lang w:val="it-IT"/>
        </w:rPr>
      </w:pPr>
      <w:bookmarkStart w:id="688" w:name="_Toc336338198"/>
      <w:bookmarkStart w:id="689" w:name="_Toc352234793"/>
      <w:r w:rsidRPr="00451078">
        <w:rPr>
          <w:rFonts w:ascii="Tahoma" w:hAnsi="Tahoma" w:cs="Tahoma"/>
          <w:lang w:val="it-IT"/>
        </w:rPr>
        <w:t>Corrispettivi</w:t>
      </w:r>
      <w:bookmarkEnd w:id="688"/>
      <w:bookmarkEnd w:id="689"/>
      <w:r w:rsidRPr="00451078">
        <w:rPr>
          <w:rFonts w:ascii="Tahoma" w:hAnsi="Tahoma" w:cs="Tahoma"/>
          <w:lang w:val="it-IT"/>
        </w:rPr>
        <w:t> </w:t>
      </w:r>
    </w:p>
    <w:p w:rsidR="00456002" w:rsidRPr="00451078" w:rsidRDefault="00456002" w:rsidP="00ED589D">
      <w:pPr>
        <w:ind w:right="720"/>
        <w:rPr>
          <w:lang w:val="it-IT"/>
        </w:rPr>
      </w:pPr>
    </w:p>
    <w:p w:rsidR="00456002" w:rsidRPr="00451078" w:rsidRDefault="00456002" w:rsidP="0014632E">
      <w:pPr>
        <w:pStyle w:val="AppendixBodyText"/>
        <w:spacing w:after="0"/>
        <w:ind w:right="720"/>
        <w:rPr>
          <w:lang w:val="it-IT"/>
        </w:rPr>
      </w:pPr>
      <w:r w:rsidRPr="00451078">
        <w:rPr>
          <w:rFonts w:ascii="Tahoma" w:hAnsi="Tahoma" w:cs="Tahoma"/>
          <w:sz w:val="18"/>
          <w:lang w:val="it-IT"/>
        </w:rPr>
        <w:t>Questo tipo di prodotto è disponibile per alcuni Servizi Online e prodotti software.</w:t>
      </w:r>
      <w:r w:rsidR="00082E1C" w:rsidRPr="00451078">
        <w:rPr>
          <w:rFonts w:ascii="Tahoma" w:hAnsi="Tahoma" w:cs="Tahoma"/>
          <w:sz w:val="18"/>
          <w:lang w:val="it-IT"/>
        </w:rPr>
        <w:t xml:space="preserve"> </w:t>
      </w:r>
      <w:r w:rsidRPr="00451078">
        <w:rPr>
          <w:rFonts w:ascii="Tahoma" w:hAnsi="Tahoma" w:cs="Tahoma"/>
          <w:sz w:val="18"/>
          <w:lang w:val="it-IT"/>
        </w:rPr>
        <w:t>Non dipende dalla versione, può essere associato a costi di configurazione o altre offerte, quali i pacchetti di attivazione.</w:t>
      </w:r>
      <w:r w:rsidR="00082E1C" w:rsidRPr="00451078">
        <w:rPr>
          <w:rFonts w:ascii="Tahoma" w:hAnsi="Tahoma" w:cs="Tahoma"/>
          <w:sz w:val="18"/>
          <w:lang w:val="it-IT"/>
        </w:rPr>
        <w:t xml:space="preserve"> </w:t>
      </w:r>
      <w:r w:rsidRPr="00451078">
        <w:rPr>
          <w:rFonts w:ascii="Tahoma" w:hAnsi="Tahoma" w:cs="Tahoma"/>
          <w:sz w:val="18"/>
          <w:lang w:val="it-IT"/>
        </w:rPr>
        <w:t>A</w:t>
      </w:r>
      <w:r w:rsidR="00441A21" w:rsidRPr="00451078">
        <w:rPr>
          <w:rFonts w:ascii="Tahoma" w:hAnsi="Tahoma" w:cs="Tahoma"/>
          <w:sz w:val="18"/>
          <w:lang w:val="it-IT"/>
        </w:rPr>
        <w:t> </w:t>
      </w:r>
      <w:r w:rsidRPr="00451078">
        <w:rPr>
          <w:rFonts w:ascii="Tahoma" w:hAnsi="Tahoma" w:cs="Tahoma"/>
          <w:sz w:val="18"/>
          <w:lang w:val="it-IT"/>
        </w:rPr>
        <w:t>livello generale non concede il diritto di utilizzare un prodotto o un servizio online.</w:t>
      </w:r>
      <w:r w:rsidR="00082E1C" w:rsidRPr="00451078">
        <w:rPr>
          <w:rFonts w:ascii="Tahoma" w:hAnsi="Tahoma" w:cs="Tahoma"/>
          <w:sz w:val="18"/>
          <w:lang w:val="it-IT"/>
        </w:rPr>
        <w:t xml:space="preserve"> </w:t>
      </w:r>
      <w:r w:rsidRPr="00451078">
        <w:rPr>
          <w:rFonts w:ascii="Tahoma" w:hAnsi="Tahoma" w:cs="Tahoma"/>
          <w:sz w:val="18"/>
          <w:lang w:val="it-IT"/>
        </w:rPr>
        <w:t>Analogamente, non</w:t>
      </w:r>
      <w:r w:rsidR="00441A21" w:rsidRPr="00451078">
        <w:rPr>
          <w:rFonts w:ascii="Tahoma" w:hAnsi="Tahoma" w:cs="Tahoma"/>
          <w:sz w:val="18"/>
          <w:lang w:val="it-IT"/>
        </w:rPr>
        <w:t> </w:t>
      </w:r>
      <w:r w:rsidRPr="00451078">
        <w:rPr>
          <w:rFonts w:ascii="Tahoma" w:hAnsi="Tahoma" w:cs="Tahoma"/>
          <w:sz w:val="18"/>
          <w:lang w:val="it-IT"/>
        </w:rPr>
        <w:t>offre alcun vantaggio o serve ad alcun scopo al di fuori del servizio o del software a cui corrisponde.</w:t>
      </w:r>
      <w:r w:rsidR="00082E1C" w:rsidRPr="00451078">
        <w:rPr>
          <w:rFonts w:ascii="Tahoma" w:hAnsi="Tahoma" w:cs="Tahoma"/>
          <w:sz w:val="18"/>
          <w:lang w:val="it-IT"/>
        </w:rPr>
        <w:t xml:space="preserve"> </w:t>
      </w:r>
      <w:r w:rsidRPr="00451078">
        <w:rPr>
          <w:rFonts w:ascii="Tahoma" w:hAnsi="Tahoma" w:cs="Tahoma"/>
          <w:sz w:val="18"/>
          <w:lang w:val="it-IT"/>
        </w:rPr>
        <w:t>Disponibile nei seguenti programmi: Open, Open Value, Open Value Subscription, Select e Select Plus.</w:t>
      </w:r>
    </w:p>
    <w:p w:rsidR="00255158" w:rsidRPr="00451078" w:rsidRDefault="00255158" w:rsidP="0014632E">
      <w:pPr>
        <w:ind w:right="720"/>
        <w:rPr>
          <w:lang w:val="it-IT"/>
        </w:rPr>
      </w:pPr>
    </w:p>
    <w:p w:rsidR="00456002" w:rsidRPr="00451078" w:rsidRDefault="00456002" w:rsidP="00456002">
      <w:pPr>
        <w:pStyle w:val="Heading2"/>
        <w:tabs>
          <w:tab w:val="left" w:pos="90"/>
        </w:tabs>
        <w:ind w:left="0" w:right="720"/>
        <w:rPr>
          <w:lang w:val="it-IT"/>
        </w:rPr>
      </w:pPr>
      <w:bookmarkStart w:id="690" w:name="_Toc323819648"/>
      <w:bookmarkStart w:id="691" w:name="_Toc336338199"/>
      <w:bookmarkStart w:id="692" w:name="_Toc352234794"/>
      <w:r w:rsidRPr="00451078">
        <w:rPr>
          <w:rFonts w:ascii="Tahoma" w:hAnsi="Tahoma" w:cs="Tahoma"/>
          <w:lang w:val="it-IT"/>
        </w:rPr>
        <w:t>Licenza</w:t>
      </w:r>
      <w:bookmarkEnd w:id="690"/>
      <w:bookmarkEnd w:id="691"/>
      <w:bookmarkEnd w:id="692"/>
    </w:p>
    <w:p w:rsidR="00456002" w:rsidRPr="00451078" w:rsidRDefault="00456002" w:rsidP="00ED589D">
      <w:pPr>
        <w:pStyle w:val="AppendixIndent"/>
        <w:tabs>
          <w:tab w:val="left" w:pos="90"/>
        </w:tabs>
        <w:spacing w:before="0"/>
        <w:ind w:left="0" w:right="720"/>
        <w:rPr>
          <w:lang w:val="it-IT"/>
        </w:rPr>
      </w:pPr>
    </w:p>
    <w:p w:rsidR="00456002" w:rsidRPr="003410C7" w:rsidRDefault="00456002" w:rsidP="0014632E">
      <w:pPr>
        <w:pStyle w:val="AppendixBodyText"/>
        <w:spacing w:after="0"/>
        <w:ind w:right="720"/>
      </w:pPr>
      <w:r w:rsidRPr="00451078">
        <w:rPr>
          <w:rFonts w:ascii="Tahoma" w:hAnsi="Tahoma" w:cs="Tahoma"/>
          <w:sz w:val="18"/>
          <w:lang w:val="it-IT"/>
        </w:rPr>
        <w:t xml:space="preserve">Questo tipo di prodotto dipende dalla versione e concede il diritto di eseguire il prodotto per il quale viene ordinato. </w:t>
      </w:r>
      <w:r w:rsidRPr="003410C7">
        <w:rPr>
          <w:rFonts w:ascii="Tahoma" w:hAnsi="Tahoma" w:cs="Tahoma"/>
          <w:sz w:val="18"/>
        </w:rPr>
        <w:t xml:space="preserve">Disponibile nei seguenti programmi: </w:t>
      </w:r>
    </w:p>
    <w:p w:rsidR="00456002" w:rsidRPr="003410C7" w:rsidRDefault="00456002" w:rsidP="0014632E">
      <w:pPr>
        <w:pStyle w:val="AppendixIndent"/>
        <w:tabs>
          <w:tab w:val="left" w:pos="90"/>
        </w:tabs>
        <w:spacing w:before="0"/>
        <w:ind w:left="0" w:right="720"/>
      </w:pPr>
    </w:p>
    <w:p w:rsidR="00456002" w:rsidRPr="003410C7" w:rsidRDefault="00456002" w:rsidP="00745AB3">
      <w:pPr>
        <w:pStyle w:val="AppendixBulletIndent"/>
        <w:numPr>
          <w:ilvl w:val="0"/>
          <w:numId w:val="58"/>
        </w:numPr>
        <w:tabs>
          <w:tab w:val="left" w:pos="90"/>
        </w:tabs>
        <w:spacing w:after="60"/>
        <w:ind w:left="1440" w:right="720"/>
      </w:pPr>
      <w:r w:rsidRPr="003410C7">
        <w:rPr>
          <w:rFonts w:ascii="Tahoma" w:hAnsi="Tahoma" w:cs="Tahoma"/>
          <w:sz w:val="18"/>
          <w:szCs w:val="18"/>
        </w:rPr>
        <w:t>Licenza Open</w:t>
      </w:r>
    </w:p>
    <w:p w:rsidR="00456002" w:rsidRPr="003410C7" w:rsidRDefault="00456002" w:rsidP="00745AB3">
      <w:pPr>
        <w:pStyle w:val="AppendixBulletIndent"/>
        <w:numPr>
          <w:ilvl w:val="0"/>
          <w:numId w:val="58"/>
        </w:numPr>
        <w:tabs>
          <w:tab w:val="left" w:pos="90"/>
        </w:tabs>
        <w:spacing w:after="60"/>
        <w:ind w:left="1440" w:right="720"/>
      </w:pPr>
      <w:r w:rsidRPr="003410C7">
        <w:rPr>
          <w:rFonts w:ascii="Tahoma" w:hAnsi="Tahoma" w:cs="Tahoma"/>
          <w:sz w:val="18"/>
          <w:szCs w:val="18"/>
        </w:rPr>
        <w:t xml:space="preserve">Open Value Subscription (solo per ordini buy-out) </w:t>
      </w:r>
    </w:p>
    <w:p w:rsidR="00456002" w:rsidRPr="003410C7" w:rsidRDefault="00456002" w:rsidP="00745AB3">
      <w:pPr>
        <w:pStyle w:val="AppendixBulletIndent"/>
        <w:numPr>
          <w:ilvl w:val="0"/>
          <w:numId w:val="58"/>
        </w:numPr>
        <w:tabs>
          <w:tab w:val="left" w:pos="90"/>
        </w:tabs>
        <w:spacing w:after="60"/>
        <w:ind w:left="1440" w:right="720"/>
      </w:pPr>
      <w:r w:rsidRPr="003410C7">
        <w:rPr>
          <w:rFonts w:ascii="Tahoma" w:hAnsi="Tahoma" w:cs="Tahoma"/>
          <w:sz w:val="18"/>
          <w:szCs w:val="18"/>
        </w:rPr>
        <w:t xml:space="preserve">Select </w:t>
      </w:r>
    </w:p>
    <w:p w:rsidR="00456002" w:rsidRPr="003410C7" w:rsidRDefault="00456002" w:rsidP="00745AB3">
      <w:pPr>
        <w:pStyle w:val="AppendixBulletIndent"/>
        <w:numPr>
          <w:ilvl w:val="0"/>
          <w:numId w:val="58"/>
        </w:numPr>
        <w:tabs>
          <w:tab w:val="left" w:pos="90"/>
        </w:tabs>
        <w:spacing w:after="60"/>
        <w:ind w:left="1440" w:right="720"/>
      </w:pPr>
      <w:r w:rsidRPr="003410C7">
        <w:rPr>
          <w:rFonts w:ascii="Tahoma" w:hAnsi="Tahoma" w:cs="Tahoma"/>
          <w:sz w:val="18"/>
          <w:szCs w:val="18"/>
        </w:rPr>
        <w:t>Select Plus</w:t>
      </w:r>
    </w:p>
    <w:p w:rsidR="00456002" w:rsidRPr="00451078" w:rsidRDefault="00456002" w:rsidP="00745AB3">
      <w:pPr>
        <w:pStyle w:val="AppendixBulletIndent"/>
        <w:numPr>
          <w:ilvl w:val="0"/>
          <w:numId w:val="58"/>
        </w:numPr>
        <w:tabs>
          <w:tab w:val="left" w:pos="90"/>
        </w:tabs>
        <w:spacing w:after="60"/>
        <w:ind w:left="1440" w:right="720"/>
        <w:rPr>
          <w:lang w:val="it-IT"/>
        </w:rPr>
      </w:pPr>
      <w:r w:rsidRPr="00451078">
        <w:rPr>
          <w:rFonts w:ascii="Tahoma" w:hAnsi="Tahoma" w:cs="Tahoma"/>
          <w:sz w:val="18"/>
          <w:szCs w:val="18"/>
          <w:lang w:val="it-IT"/>
        </w:rPr>
        <w:t>Contratto School (solo per ordini buy-out)</w:t>
      </w:r>
    </w:p>
    <w:p w:rsidR="00456002" w:rsidRPr="00451078" w:rsidRDefault="00456002" w:rsidP="00745AB3">
      <w:pPr>
        <w:pStyle w:val="AppendixBulletIndent"/>
        <w:numPr>
          <w:ilvl w:val="0"/>
          <w:numId w:val="58"/>
        </w:numPr>
        <w:tabs>
          <w:tab w:val="left" w:pos="90"/>
        </w:tabs>
        <w:spacing w:after="60"/>
        <w:ind w:left="1440" w:right="720"/>
        <w:rPr>
          <w:lang w:val="it-IT"/>
        </w:rPr>
      </w:pPr>
      <w:r w:rsidRPr="00451078">
        <w:rPr>
          <w:rFonts w:ascii="Tahoma" w:hAnsi="Tahoma" w:cs="Tahoma"/>
          <w:sz w:val="18"/>
          <w:szCs w:val="18"/>
          <w:lang w:val="it-IT"/>
        </w:rPr>
        <w:t>EES (solo per ordini buy-out)</w:t>
      </w:r>
    </w:p>
    <w:p w:rsidR="00456002" w:rsidRPr="00451078" w:rsidRDefault="00456002" w:rsidP="00745AB3">
      <w:pPr>
        <w:pStyle w:val="AppendixBulletIndent"/>
        <w:numPr>
          <w:ilvl w:val="0"/>
          <w:numId w:val="58"/>
        </w:numPr>
        <w:tabs>
          <w:tab w:val="left" w:pos="90"/>
        </w:tabs>
        <w:ind w:left="1440" w:right="720"/>
        <w:rPr>
          <w:lang w:val="it-IT"/>
        </w:rPr>
      </w:pPr>
      <w:r w:rsidRPr="00451078">
        <w:rPr>
          <w:rFonts w:ascii="Tahoma" w:hAnsi="Tahoma" w:cs="Tahoma"/>
          <w:sz w:val="18"/>
          <w:szCs w:val="18"/>
          <w:lang w:val="it-IT"/>
        </w:rPr>
        <w:t>Contratto Enterprise Subscription (solo per ordini buy-out)</w:t>
      </w:r>
    </w:p>
    <w:p w:rsidR="00456002" w:rsidRPr="00451078" w:rsidRDefault="00456002" w:rsidP="0014632E">
      <w:pPr>
        <w:pStyle w:val="AppendixIndent"/>
        <w:tabs>
          <w:tab w:val="left" w:pos="90"/>
        </w:tabs>
        <w:spacing w:before="0"/>
        <w:ind w:left="0" w:right="720"/>
        <w:rPr>
          <w:lang w:val="it-IT"/>
        </w:rPr>
      </w:pPr>
    </w:p>
    <w:p w:rsidR="00456002" w:rsidRPr="00451078" w:rsidRDefault="00456002" w:rsidP="004525CA">
      <w:pPr>
        <w:pStyle w:val="AppendixBodyText"/>
        <w:spacing w:after="0"/>
        <w:ind w:right="720"/>
        <w:rPr>
          <w:lang w:val="it-IT"/>
        </w:rPr>
      </w:pPr>
      <w:r w:rsidRPr="00451078">
        <w:rPr>
          <w:rFonts w:ascii="Tahoma" w:hAnsi="Tahoma" w:cs="Tahoma"/>
          <w:sz w:val="18"/>
          <w:lang w:val="it-IT"/>
        </w:rPr>
        <w:t>Non esistono prerequisiti per una società che desidera acquistare una Licenza dei programmi Open License, Select e Select Plus.</w:t>
      </w:r>
      <w:r w:rsidR="00082E1C" w:rsidRPr="00451078">
        <w:rPr>
          <w:rFonts w:ascii="Tahoma" w:hAnsi="Tahoma" w:cs="Tahoma"/>
          <w:sz w:val="18"/>
          <w:lang w:val="it-IT"/>
        </w:rPr>
        <w:t xml:space="preserve"> </w:t>
      </w:r>
      <w:r w:rsidRPr="00451078">
        <w:rPr>
          <w:rFonts w:ascii="Tahoma" w:hAnsi="Tahoma" w:cs="Tahoma"/>
          <w:sz w:val="18"/>
          <w:lang w:val="it-IT"/>
        </w:rPr>
        <w:t>Fare riferimento al contratto specifico per il programma per conoscere i criteri di idoneità per l</w:t>
      </w:r>
      <w:r w:rsidR="0073727D">
        <w:rPr>
          <w:rFonts w:ascii="Tahoma" w:hAnsi="Tahoma" w:cs="Tahoma"/>
          <w:sz w:val="18"/>
          <w:lang w:val="it-IT"/>
        </w:rPr>
        <w:t>’</w:t>
      </w:r>
      <w:r w:rsidRPr="00451078">
        <w:rPr>
          <w:rFonts w:ascii="Tahoma" w:hAnsi="Tahoma" w:cs="Tahoma"/>
          <w:sz w:val="18"/>
          <w:lang w:val="it-IT"/>
        </w:rPr>
        <w:t>acquisto di una licenza perpetua tramite ordini buy-out.</w:t>
      </w:r>
    </w:p>
    <w:p w:rsidR="00255158" w:rsidRPr="00451078" w:rsidRDefault="00255158" w:rsidP="0014632E">
      <w:pPr>
        <w:pStyle w:val="AppendixIndent"/>
        <w:tabs>
          <w:tab w:val="left" w:pos="90"/>
        </w:tabs>
        <w:spacing w:before="0"/>
        <w:ind w:left="0" w:right="720"/>
        <w:rPr>
          <w:lang w:val="it-IT"/>
        </w:rPr>
      </w:pPr>
    </w:p>
    <w:p w:rsidR="00456002" w:rsidRPr="00451078" w:rsidRDefault="00456002" w:rsidP="00456002">
      <w:pPr>
        <w:pStyle w:val="Heading2"/>
        <w:tabs>
          <w:tab w:val="left" w:pos="90"/>
        </w:tabs>
        <w:ind w:left="0" w:right="720"/>
        <w:rPr>
          <w:lang w:val="it-IT"/>
        </w:rPr>
      </w:pPr>
      <w:bookmarkStart w:id="693" w:name="_Toc323819649"/>
      <w:bookmarkStart w:id="694" w:name="_Toc336338200"/>
      <w:bookmarkStart w:id="695" w:name="_Toc352234795"/>
      <w:r w:rsidRPr="00451078">
        <w:rPr>
          <w:rFonts w:ascii="Tahoma" w:hAnsi="Tahoma" w:cs="Tahoma"/>
          <w:lang w:val="it-IT"/>
        </w:rPr>
        <w:t>Licenza e Software Assurance (L&amp;SA)</w:t>
      </w:r>
      <w:bookmarkEnd w:id="693"/>
      <w:bookmarkEnd w:id="694"/>
      <w:bookmarkEnd w:id="695"/>
      <w:r w:rsidRPr="00451078">
        <w:rPr>
          <w:rFonts w:ascii="Tahoma" w:hAnsi="Tahoma" w:cs="Tahoma"/>
          <w:lang w:val="it-IT"/>
        </w:rPr>
        <w:t xml:space="preserve"> </w:t>
      </w:r>
    </w:p>
    <w:p w:rsidR="00456002" w:rsidRPr="00451078" w:rsidRDefault="00456002" w:rsidP="00ED589D">
      <w:pPr>
        <w:pStyle w:val="AppendixIndent"/>
        <w:tabs>
          <w:tab w:val="left" w:pos="90"/>
        </w:tabs>
        <w:spacing w:before="0"/>
        <w:ind w:left="0" w:right="720"/>
        <w:rPr>
          <w:lang w:val="it-IT"/>
        </w:rPr>
      </w:pPr>
    </w:p>
    <w:p w:rsidR="00456002" w:rsidRPr="003410C7" w:rsidRDefault="00456002" w:rsidP="0014632E">
      <w:pPr>
        <w:pStyle w:val="AppendixBodyText"/>
        <w:spacing w:after="0"/>
        <w:ind w:right="720"/>
      </w:pPr>
      <w:r w:rsidRPr="00451078">
        <w:rPr>
          <w:rFonts w:ascii="Tahoma" w:hAnsi="Tahoma" w:cs="Tahoma"/>
          <w:sz w:val="18"/>
          <w:lang w:val="it-IT"/>
        </w:rPr>
        <w:t>Questo tipo di prodotto dipende dalla versione. Consente alle società di acquistare insieme la Licenza e</w:t>
      </w:r>
      <w:r w:rsidR="00441A21" w:rsidRPr="00451078">
        <w:rPr>
          <w:rFonts w:ascii="Tahoma" w:hAnsi="Tahoma" w:cs="Tahoma"/>
          <w:sz w:val="18"/>
          <w:lang w:val="it-IT"/>
        </w:rPr>
        <w:t> </w:t>
      </w:r>
      <w:r w:rsidRPr="00451078">
        <w:rPr>
          <w:rFonts w:ascii="Tahoma" w:hAnsi="Tahoma" w:cs="Tahoma"/>
          <w:sz w:val="18"/>
          <w:lang w:val="it-IT"/>
        </w:rPr>
        <w:t xml:space="preserve">Software Assurance. </w:t>
      </w:r>
      <w:r w:rsidRPr="003410C7">
        <w:rPr>
          <w:rFonts w:ascii="Tahoma" w:hAnsi="Tahoma" w:cs="Tahoma"/>
          <w:sz w:val="18"/>
        </w:rPr>
        <w:t>Disponibile nei seguenti programmi:</w:t>
      </w:r>
    </w:p>
    <w:p w:rsidR="00456002" w:rsidRPr="003410C7" w:rsidRDefault="00456002" w:rsidP="0014632E">
      <w:pPr>
        <w:pStyle w:val="AppendixIndent"/>
        <w:tabs>
          <w:tab w:val="left" w:pos="90"/>
        </w:tabs>
        <w:spacing w:before="0"/>
        <w:ind w:left="0" w:right="720"/>
      </w:pPr>
    </w:p>
    <w:p w:rsidR="00456002" w:rsidRPr="003410C7" w:rsidRDefault="00456002" w:rsidP="00745AB3">
      <w:pPr>
        <w:pStyle w:val="AppendixBulletIndent"/>
        <w:numPr>
          <w:ilvl w:val="0"/>
          <w:numId w:val="62"/>
        </w:numPr>
        <w:tabs>
          <w:tab w:val="left" w:pos="1440"/>
        </w:tabs>
        <w:spacing w:after="60"/>
        <w:ind w:left="1440" w:right="720"/>
      </w:pPr>
      <w:r w:rsidRPr="003410C7">
        <w:rPr>
          <w:rFonts w:ascii="Tahoma" w:hAnsi="Tahoma" w:cs="Tahoma"/>
          <w:sz w:val="18"/>
        </w:rPr>
        <w:t xml:space="preserve">Open License </w:t>
      </w:r>
    </w:p>
    <w:p w:rsidR="00456002" w:rsidRPr="003410C7" w:rsidRDefault="00456002" w:rsidP="00745AB3">
      <w:pPr>
        <w:pStyle w:val="AppendixBulletIndent"/>
        <w:numPr>
          <w:ilvl w:val="0"/>
          <w:numId w:val="62"/>
        </w:numPr>
        <w:tabs>
          <w:tab w:val="left" w:pos="1440"/>
        </w:tabs>
        <w:spacing w:after="60"/>
        <w:ind w:left="1440" w:right="720"/>
      </w:pPr>
      <w:r w:rsidRPr="003410C7">
        <w:rPr>
          <w:rFonts w:ascii="Tahoma" w:hAnsi="Tahoma" w:cs="Tahoma"/>
          <w:sz w:val="18"/>
        </w:rPr>
        <w:t>Open Value</w:t>
      </w:r>
    </w:p>
    <w:p w:rsidR="00456002" w:rsidRPr="003410C7" w:rsidRDefault="00385C82" w:rsidP="00745AB3">
      <w:pPr>
        <w:pStyle w:val="AppendixBulletIndent"/>
        <w:numPr>
          <w:ilvl w:val="0"/>
          <w:numId w:val="62"/>
        </w:numPr>
        <w:tabs>
          <w:tab w:val="left" w:pos="1440"/>
        </w:tabs>
        <w:spacing w:after="60"/>
        <w:ind w:left="1440" w:right="720"/>
      </w:pPr>
      <w:r w:rsidRPr="003410C7">
        <w:rPr>
          <w:rFonts w:ascii="Tahoma" w:hAnsi="Tahoma" w:cs="Tahoma"/>
          <w:sz w:val="18"/>
        </w:rPr>
        <w:t>Open Value Subscription</w:t>
      </w:r>
    </w:p>
    <w:p w:rsidR="00456002" w:rsidRPr="003410C7" w:rsidRDefault="00456002" w:rsidP="00745AB3">
      <w:pPr>
        <w:pStyle w:val="AppendixBulletIndent"/>
        <w:numPr>
          <w:ilvl w:val="0"/>
          <w:numId w:val="62"/>
        </w:numPr>
        <w:tabs>
          <w:tab w:val="left" w:pos="1440"/>
        </w:tabs>
        <w:spacing w:after="60"/>
        <w:ind w:left="1440" w:right="720"/>
      </w:pPr>
      <w:r w:rsidRPr="003410C7">
        <w:rPr>
          <w:rFonts w:ascii="Tahoma" w:hAnsi="Tahoma" w:cs="Tahoma"/>
          <w:sz w:val="18"/>
        </w:rPr>
        <w:t xml:space="preserve">Select </w:t>
      </w:r>
    </w:p>
    <w:p w:rsidR="00456002" w:rsidRPr="003410C7" w:rsidRDefault="00456002" w:rsidP="00745AB3">
      <w:pPr>
        <w:pStyle w:val="AppendixBulletIndent"/>
        <w:numPr>
          <w:ilvl w:val="0"/>
          <w:numId w:val="62"/>
        </w:numPr>
        <w:tabs>
          <w:tab w:val="left" w:pos="1440"/>
        </w:tabs>
        <w:spacing w:after="60"/>
        <w:ind w:left="1440" w:right="720"/>
      </w:pPr>
      <w:r w:rsidRPr="003410C7">
        <w:rPr>
          <w:rFonts w:ascii="Tahoma" w:hAnsi="Tahoma" w:cs="Tahoma"/>
          <w:sz w:val="18"/>
        </w:rPr>
        <w:t>Select Plus</w:t>
      </w:r>
    </w:p>
    <w:p w:rsidR="00456002" w:rsidRPr="003410C7" w:rsidRDefault="00456002" w:rsidP="00745AB3">
      <w:pPr>
        <w:pStyle w:val="AppendixBulletIndent"/>
        <w:numPr>
          <w:ilvl w:val="0"/>
          <w:numId w:val="62"/>
        </w:numPr>
        <w:tabs>
          <w:tab w:val="left" w:pos="1440"/>
        </w:tabs>
        <w:spacing w:after="60"/>
        <w:ind w:left="1440" w:right="720"/>
      </w:pPr>
      <w:r w:rsidRPr="003410C7">
        <w:rPr>
          <w:rFonts w:ascii="Tahoma" w:hAnsi="Tahoma" w:cs="Tahoma"/>
          <w:sz w:val="18"/>
        </w:rPr>
        <w:t>Contratto Enterprise</w:t>
      </w:r>
    </w:p>
    <w:p w:rsidR="00456002" w:rsidRPr="003410C7" w:rsidRDefault="00456002" w:rsidP="00745AB3">
      <w:pPr>
        <w:pStyle w:val="AppendixBulletIndent"/>
        <w:numPr>
          <w:ilvl w:val="0"/>
          <w:numId w:val="62"/>
        </w:numPr>
        <w:tabs>
          <w:tab w:val="left" w:pos="1440"/>
        </w:tabs>
        <w:ind w:left="1440" w:right="720"/>
      </w:pPr>
      <w:r w:rsidRPr="003410C7">
        <w:rPr>
          <w:rFonts w:ascii="Tahoma" w:hAnsi="Tahoma" w:cs="Tahoma"/>
          <w:sz w:val="18"/>
        </w:rPr>
        <w:t>Contratto Enterprise Subscription</w:t>
      </w:r>
    </w:p>
    <w:p w:rsidR="00456002" w:rsidRPr="003410C7" w:rsidRDefault="00456002" w:rsidP="00EF6A68">
      <w:pPr>
        <w:pStyle w:val="AppendixIndent"/>
        <w:tabs>
          <w:tab w:val="left" w:pos="90"/>
        </w:tabs>
        <w:spacing w:before="0"/>
        <w:ind w:left="0" w:right="720"/>
      </w:pPr>
    </w:p>
    <w:p w:rsidR="00456002" w:rsidRPr="00451078" w:rsidRDefault="00456002" w:rsidP="004525CA">
      <w:pPr>
        <w:pStyle w:val="AppendixBodyText"/>
        <w:spacing w:after="0"/>
        <w:ind w:right="720"/>
        <w:rPr>
          <w:lang w:val="it-IT"/>
        </w:rPr>
      </w:pPr>
      <w:r w:rsidRPr="00451078">
        <w:rPr>
          <w:rFonts w:ascii="Tahoma" w:hAnsi="Tahoma" w:cs="Tahoma"/>
          <w:sz w:val="18"/>
          <w:lang w:val="it-IT"/>
        </w:rPr>
        <w:t>Non esistono prerequisiti per l</w:t>
      </w:r>
      <w:r w:rsidR="0073727D">
        <w:rPr>
          <w:rFonts w:ascii="Tahoma" w:hAnsi="Tahoma" w:cs="Tahoma"/>
          <w:sz w:val="18"/>
          <w:lang w:val="it-IT"/>
        </w:rPr>
        <w:t>’</w:t>
      </w:r>
      <w:r w:rsidRPr="00451078">
        <w:rPr>
          <w:rFonts w:ascii="Tahoma" w:hAnsi="Tahoma" w:cs="Tahoma"/>
          <w:sz w:val="18"/>
          <w:lang w:val="it-IT"/>
        </w:rPr>
        <w:t>acquisto della Licenza. Software Assurance dovrà essere acquistata al momento dell</w:t>
      </w:r>
      <w:r w:rsidR="0073727D">
        <w:rPr>
          <w:rFonts w:ascii="Tahoma" w:hAnsi="Tahoma" w:cs="Tahoma"/>
          <w:sz w:val="18"/>
          <w:lang w:val="it-IT"/>
        </w:rPr>
        <w:t>’</w:t>
      </w:r>
      <w:r w:rsidRPr="00451078">
        <w:rPr>
          <w:rFonts w:ascii="Tahoma" w:hAnsi="Tahoma" w:cs="Tahoma"/>
          <w:sz w:val="18"/>
          <w:lang w:val="it-IT"/>
        </w:rPr>
        <w:t>acquisto della Licenza corrispondente o al rinnovo di un periodo di validità della copertura Software Assurance in essere.</w:t>
      </w:r>
      <w:r w:rsidR="00082E1C" w:rsidRPr="00451078">
        <w:rPr>
          <w:rFonts w:ascii="Tahoma" w:hAnsi="Tahoma" w:cs="Tahoma"/>
          <w:sz w:val="18"/>
          <w:lang w:val="it-IT"/>
        </w:rPr>
        <w:t xml:space="preserve"> </w:t>
      </w:r>
      <w:r w:rsidRPr="00451078">
        <w:rPr>
          <w:rFonts w:ascii="Tahoma" w:hAnsi="Tahoma" w:cs="Tahoma"/>
          <w:sz w:val="18"/>
          <w:lang w:val="it-IT"/>
        </w:rPr>
        <w:t>In tutti i programmi Volume Licensing, quando la società non soddisfa i criteri di idoneità per Software Assurance e desidera acquistare la copertura, dovrà acquistare l</w:t>
      </w:r>
      <w:r w:rsidR="0073727D">
        <w:rPr>
          <w:rFonts w:ascii="Tahoma" w:hAnsi="Tahoma" w:cs="Tahoma"/>
          <w:sz w:val="18"/>
          <w:lang w:val="it-IT"/>
        </w:rPr>
        <w:t>’</w:t>
      </w:r>
      <w:r w:rsidRPr="00451078">
        <w:rPr>
          <w:rFonts w:ascii="Tahoma" w:hAnsi="Tahoma" w:cs="Tahoma"/>
          <w:sz w:val="18"/>
          <w:lang w:val="it-IT"/>
        </w:rPr>
        <w:t>offerta Licenza e</w:t>
      </w:r>
      <w:r w:rsidR="00441A21" w:rsidRPr="00451078">
        <w:rPr>
          <w:rFonts w:ascii="Tahoma" w:hAnsi="Tahoma" w:cs="Tahoma"/>
          <w:sz w:val="18"/>
          <w:lang w:val="it-IT"/>
        </w:rPr>
        <w:t> </w:t>
      </w:r>
      <w:r w:rsidRPr="00451078">
        <w:rPr>
          <w:rFonts w:ascii="Tahoma" w:hAnsi="Tahoma" w:cs="Tahoma"/>
          <w:sz w:val="18"/>
          <w:lang w:val="it-IT"/>
        </w:rPr>
        <w:t>Software Assurance.</w:t>
      </w:r>
    </w:p>
    <w:p w:rsidR="00255158" w:rsidRPr="00451078" w:rsidRDefault="00255158" w:rsidP="00EF6A68">
      <w:pPr>
        <w:rPr>
          <w:lang w:val="it-IT"/>
        </w:rPr>
      </w:pPr>
    </w:p>
    <w:p w:rsidR="00456002" w:rsidRPr="00451078" w:rsidRDefault="00456002" w:rsidP="00456002">
      <w:pPr>
        <w:pStyle w:val="Heading2"/>
        <w:tabs>
          <w:tab w:val="left" w:pos="90"/>
        </w:tabs>
        <w:ind w:left="0" w:right="720"/>
        <w:rPr>
          <w:lang w:val="it-IT"/>
        </w:rPr>
      </w:pPr>
      <w:bookmarkStart w:id="696" w:name="_Toc323819650"/>
      <w:bookmarkStart w:id="697" w:name="_Toc336338201"/>
      <w:bookmarkStart w:id="698" w:name="_Toc352234796"/>
      <w:r w:rsidRPr="00451078">
        <w:rPr>
          <w:rFonts w:ascii="Tahoma" w:hAnsi="Tahoma" w:cs="Tahoma"/>
          <w:lang w:val="it-IT"/>
        </w:rPr>
        <w:t>Software Assurance</w:t>
      </w:r>
      <w:bookmarkEnd w:id="696"/>
      <w:bookmarkEnd w:id="697"/>
      <w:bookmarkEnd w:id="698"/>
    </w:p>
    <w:p w:rsidR="00456002" w:rsidRPr="00451078" w:rsidRDefault="00456002" w:rsidP="00EF6A68">
      <w:pPr>
        <w:pStyle w:val="AppendixBodyText"/>
        <w:tabs>
          <w:tab w:val="left" w:pos="90"/>
        </w:tabs>
        <w:spacing w:after="0"/>
        <w:ind w:right="720"/>
        <w:rPr>
          <w:lang w:val="it-IT"/>
        </w:rPr>
      </w:pPr>
    </w:p>
    <w:p w:rsidR="00456002" w:rsidRPr="00451078" w:rsidRDefault="00456002" w:rsidP="004525CA">
      <w:pPr>
        <w:pStyle w:val="AppendixBodyText"/>
        <w:spacing w:after="0"/>
        <w:ind w:right="720"/>
        <w:rPr>
          <w:lang w:val="it-IT"/>
        </w:rPr>
      </w:pPr>
      <w:r w:rsidRPr="00451078">
        <w:rPr>
          <w:rFonts w:ascii="Tahoma" w:hAnsi="Tahoma" w:cs="Tahoma"/>
          <w:sz w:val="18"/>
          <w:lang w:val="it-IT"/>
        </w:rPr>
        <w:t>Microsoft Software Assurance offre vantaggi che possono includere nuovi diritti sulle versioni e garantire l</w:t>
      </w:r>
      <w:r w:rsidR="0073727D">
        <w:rPr>
          <w:rFonts w:ascii="Tahoma" w:hAnsi="Tahoma" w:cs="Tahoma"/>
          <w:sz w:val="18"/>
          <w:lang w:val="it-IT"/>
        </w:rPr>
        <w:t>’</w:t>
      </w:r>
      <w:r w:rsidRPr="00451078">
        <w:rPr>
          <w:rFonts w:ascii="Tahoma" w:hAnsi="Tahoma" w:cs="Tahoma"/>
          <w:sz w:val="18"/>
          <w:lang w:val="it-IT"/>
        </w:rPr>
        <w:t>accesso a tecnologie differenziate, nonché diritti aggiuntivi sull</w:t>
      </w:r>
      <w:r w:rsidR="0073727D">
        <w:rPr>
          <w:rFonts w:ascii="Tahoma" w:hAnsi="Tahoma" w:cs="Tahoma"/>
          <w:sz w:val="18"/>
          <w:lang w:val="it-IT"/>
        </w:rPr>
        <w:t>’</w:t>
      </w:r>
      <w:r w:rsidRPr="00451078">
        <w:rPr>
          <w:rFonts w:ascii="Tahoma" w:hAnsi="Tahoma" w:cs="Tahoma"/>
          <w:sz w:val="18"/>
          <w:lang w:val="it-IT"/>
        </w:rPr>
        <w:t xml:space="preserve">utilizzo dei Prodotti per i quali viene acquistata. Altri vantaggi sono costituiti da pagamenti dilazionati, servizi di consulenza, formazione, </w:t>
      </w:r>
      <w:r w:rsidRPr="00451078">
        <w:rPr>
          <w:rFonts w:ascii="Tahoma" w:hAnsi="Tahoma" w:cs="Tahoma"/>
          <w:sz w:val="18"/>
          <w:lang w:val="it-IT"/>
        </w:rPr>
        <w:lastRenderedPageBreak/>
        <w:t>supporto tecnico e accesso a offerte esclusive. Per dettagli su ciascun vantaggio e criterio, fare riferimento all</w:t>
      </w:r>
      <w:r w:rsidR="0073727D">
        <w:rPr>
          <w:rFonts w:ascii="Tahoma" w:hAnsi="Tahoma" w:cs="Tahoma"/>
          <w:sz w:val="18"/>
          <w:lang w:val="it-IT"/>
        </w:rPr>
        <w:t>’</w:t>
      </w:r>
      <w:r w:rsidRPr="00451078">
        <w:rPr>
          <w:rFonts w:ascii="Tahoma" w:hAnsi="Tahoma" w:cs="Tahoma"/>
          <w:sz w:val="18"/>
          <w:lang w:val="it-IT"/>
        </w:rPr>
        <w:t>Articolo Vantaggi di Software Assurance (SA) più avanti nel presente documento.</w:t>
      </w:r>
    </w:p>
    <w:p w:rsidR="00456002" w:rsidRPr="00451078" w:rsidRDefault="00456002" w:rsidP="00EF6A68">
      <w:pPr>
        <w:pStyle w:val="AppendixIndent"/>
        <w:tabs>
          <w:tab w:val="left" w:pos="90"/>
        </w:tabs>
        <w:spacing w:before="0"/>
        <w:ind w:left="0" w:right="720"/>
        <w:rPr>
          <w:lang w:val="it-IT"/>
        </w:rPr>
      </w:pPr>
    </w:p>
    <w:p w:rsidR="00456002" w:rsidRPr="004525CA" w:rsidRDefault="00456002" w:rsidP="004525CA">
      <w:pPr>
        <w:pStyle w:val="AppendixBodyText"/>
        <w:spacing w:after="0"/>
        <w:ind w:right="720"/>
        <w:rPr>
          <w:lang w:val="it-IT"/>
        </w:rPr>
      </w:pPr>
      <w:r w:rsidRPr="00451078">
        <w:rPr>
          <w:rFonts w:ascii="Tahoma" w:hAnsi="Tahoma" w:cs="Tahoma"/>
          <w:sz w:val="18"/>
          <w:lang w:val="it-IT"/>
        </w:rPr>
        <w:t>Per dettagli sui diritti sull</w:t>
      </w:r>
      <w:r w:rsidR="0073727D">
        <w:rPr>
          <w:rFonts w:ascii="Tahoma" w:hAnsi="Tahoma" w:cs="Tahoma"/>
          <w:sz w:val="18"/>
          <w:lang w:val="it-IT"/>
        </w:rPr>
        <w:t>’</w:t>
      </w:r>
      <w:r w:rsidRPr="00451078">
        <w:rPr>
          <w:rFonts w:ascii="Tahoma" w:hAnsi="Tahoma" w:cs="Tahoma"/>
          <w:sz w:val="18"/>
          <w:lang w:val="it-IT"/>
        </w:rPr>
        <w:t xml:space="preserve">utilizzo relativi ai vantaggi, fare riferimento ai Diritti di Utilizzo del Prodotto per Volume License. </w:t>
      </w:r>
      <w:r w:rsidRPr="004525CA">
        <w:rPr>
          <w:rFonts w:ascii="Tahoma" w:hAnsi="Tahoma" w:cs="Tahoma"/>
          <w:sz w:val="18"/>
          <w:lang w:val="it-IT"/>
        </w:rPr>
        <w:t>Software Assurance è disponibile nei seguenti programmi:</w:t>
      </w:r>
    </w:p>
    <w:p w:rsidR="00456002" w:rsidRPr="004525CA" w:rsidRDefault="00456002" w:rsidP="00EF6A68">
      <w:pPr>
        <w:pStyle w:val="AppendixIndent"/>
        <w:tabs>
          <w:tab w:val="left" w:pos="90"/>
        </w:tabs>
        <w:spacing w:before="0"/>
        <w:ind w:left="0" w:right="720"/>
        <w:rPr>
          <w:lang w:val="it-IT"/>
        </w:rPr>
      </w:pPr>
    </w:p>
    <w:p w:rsidR="00456002" w:rsidRPr="003410C7" w:rsidRDefault="00456002" w:rsidP="00745AB3">
      <w:pPr>
        <w:pStyle w:val="AppendixBulletIndent"/>
        <w:numPr>
          <w:ilvl w:val="0"/>
          <w:numId w:val="63"/>
        </w:numPr>
        <w:tabs>
          <w:tab w:val="left" w:pos="1440"/>
        </w:tabs>
        <w:spacing w:after="60"/>
        <w:ind w:left="1440" w:right="720"/>
      </w:pPr>
      <w:r w:rsidRPr="003410C7">
        <w:rPr>
          <w:rFonts w:ascii="Tahoma" w:hAnsi="Tahoma" w:cs="Tahoma"/>
          <w:sz w:val="18"/>
        </w:rPr>
        <w:t xml:space="preserve">Open License </w:t>
      </w:r>
    </w:p>
    <w:p w:rsidR="00456002" w:rsidRPr="003410C7" w:rsidRDefault="00456002" w:rsidP="00745AB3">
      <w:pPr>
        <w:pStyle w:val="AppendixBulletIndent"/>
        <w:numPr>
          <w:ilvl w:val="0"/>
          <w:numId w:val="63"/>
        </w:numPr>
        <w:tabs>
          <w:tab w:val="left" w:pos="1440"/>
        </w:tabs>
        <w:spacing w:after="60"/>
        <w:ind w:left="1440" w:right="720"/>
      </w:pPr>
      <w:r w:rsidRPr="003410C7">
        <w:rPr>
          <w:rFonts w:ascii="Tahoma" w:hAnsi="Tahoma" w:cs="Tahoma"/>
          <w:sz w:val="18"/>
        </w:rPr>
        <w:t xml:space="preserve">Open Value </w:t>
      </w:r>
    </w:p>
    <w:p w:rsidR="00456002" w:rsidRPr="003410C7" w:rsidRDefault="00456002" w:rsidP="00745AB3">
      <w:pPr>
        <w:pStyle w:val="AppendixBulletIndent"/>
        <w:numPr>
          <w:ilvl w:val="0"/>
          <w:numId w:val="63"/>
        </w:numPr>
        <w:tabs>
          <w:tab w:val="left" w:pos="1440"/>
        </w:tabs>
        <w:spacing w:after="60"/>
        <w:ind w:left="1440" w:right="720"/>
      </w:pPr>
      <w:r w:rsidRPr="003410C7">
        <w:rPr>
          <w:rFonts w:ascii="Tahoma" w:hAnsi="Tahoma" w:cs="Tahoma"/>
          <w:sz w:val="18"/>
        </w:rPr>
        <w:t xml:space="preserve">Select </w:t>
      </w:r>
    </w:p>
    <w:p w:rsidR="00456002" w:rsidRPr="003410C7" w:rsidRDefault="00456002" w:rsidP="00745AB3">
      <w:pPr>
        <w:pStyle w:val="AppendixBulletIndent"/>
        <w:numPr>
          <w:ilvl w:val="0"/>
          <w:numId w:val="63"/>
        </w:numPr>
        <w:tabs>
          <w:tab w:val="left" w:pos="1440"/>
        </w:tabs>
        <w:spacing w:after="60"/>
        <w:ind w:left="1440" w:right="720"/>
      </w:pPr>
      <w:r w:rsidRPr="003410C7">
        <w:rPr>
          <w:rFonts w:ascii="Tahoma" w:hAnsi="Tahoma" w:cs="Tahoma"/>
          <w:sz w:val="18"/>
        </w:rPr>
        <w:t>Select Plus</w:t>
      </w:r>
    </w:p>
    <w:p w:rsidR="00456002" w:rsidRPr="003410C7" w:rsidRDefault="00456002" w:rsidP="00745AB3">
      <w:pPr>
        <w:pStyle w:val="AppendixBulletIndent"/>
        <w:numPr>
          <w:ilvl w:val="0"/>
          <w:numId w:val="63"/>
        </w:numPr>
        <w:tabs>
          <w:tab w:val="left" w:pos="1440"/>
        </w:tabs>
        <w:ind w:left="1440" w:right="720"/>
      </w:pPr>
      <w:r w:rsidRPr="003410C7">
        <w:rPr>
          <w:rFonts w:ascii="Tahoma" w:hAnsi="Tahoma" w:cs="Tahoma"/>
          <w:sz w:val="18"/>
        </w:rPr>
        <w:t>Contratto Enterprise</w:t>
      </w:r>
    </w:p>
    <w:p w:rsidR="00456002" w:rsidRPr="003410C7" w:rsidRDefault="00456002" w:rsidP="00B147AB">
      <w:pPr>
        <w:pStyle w:val="AppendixIndent"/>
        <w:spacing w:before="0"/>
        <w:ind w:left="0" w:right="720"/>
      </w:pPr>
    </w:p>
    <w:p w:rsidR="00456002" w:rsidRPr="004525CA" w:rsidRDefault="00456002" w:rsidP="004525CA">
      <w:pPr>
        <w:pStyle w:val="AppendixIndent"/>
        <w:spacing w:before="0"/>
        <w:ind w:left="0" w:right="720"/>
        <w:rPr>
          <w:lang w:val="it-IT"/>
        </w:rPr>
      </w:pPr>
      <w:r w:rsidRPr="00451078">
        <w:rPr>
          <w:rFonts w:ascii="Tahoma" w:hAnsi="Tahoma" w:cs="Tahoma"/>
          <w:sz w:val="18"/>
          <w:lang w:val="it-IT"/>
        </w:rPr>
        <w:t>Esistono tre diversi livelli di impegno per cui una società può scegliere Software Assurance.</w:t>
      </w:r>
      <w:r w:rsidR="00082E1C" w:rsidRPr="00451078">
        <w:rPr>
          <w:rFonts w:ascii="Tahoma" w:hAnsi="Tahoma" w:cs="Tahoma"/>
          <w:sz w:val="18"/>
          <w:lang w:val="it-IT"/>
        </w:rPr>
        <w:t xml:space="preserve"> </w:t>
      </w:r>
      <w:r w:rsidRPr="00451078">
        <w:rPr>
          <w:rFonts w:ascii="Tahoma" w:hAnsi="Tahoma" w:cs="Tahoma"/>
          <w:sz w:val="18"/>
          <w:lang w:val="it-IT"/>
        </w:rPr>
        <w:t>I livelli disponibili variano in base al programma.</w:t>
      </w:r>
      <w:r w:rsidR="00082E1C" w:rsidRPr="00451078">
        <w:rPr>
          <w:rFonts w:ascii="Tahoma" w:hAnsi="Tahoma" w:cs="Tahoma"/>
          <w:sz w:val="18"/>
          <w:lang w:val="it-IT"/>
        </w:rPr>
        <w:t xml:space="preserve"> </w:t>
      </w:r>
      <w:r w:rsidRPr="00451078">
        <w:rPr>
          <w:rFonts w:ascii="Tahoma" w:hAnsi="Tahoma" w:cs="Tahoma"/>
          <w:sz w:val="18"/>
          <w:lang w:val="it-IT"/>
        </w:rPr>
        <w:t>Il livello di impegno di una società rispetto a Software Assurance è uno dei molteplici fattori che possono determinare l</w:t>
      </w:r>
      <w:r w:rsidR="0073727D">
        <w:rPr>
          <w:rFonts w:ascii="Tahoma" w:hAnsi="Tahoma" w:cs="Tahoma"/>
          <w:sz w:val="18"/>
          <w:lang w:val="it-IT"/>
        </w:rPr>
        <w:t>’</w:t>
      </w:r>
      <w:r w:rsidRPr="00451078">
        <w:rPr>
          <w:rFonts w:ascii="Tahoma" w:hAnsi="Tahoma" w:cs="Tahoma"/>
          <w:sz w:val="18"/>
          <w:lang w:val="it-IT"/>
        </w:rPr>
        <w:t>idoneità della società a ottenere il vantaggio.</w:t>
      </w:r>
      <w:r w:rsidR="00082E1C" w:rsidRPr="00451078">
        <w:rPr>
          <w:rFonts w:ascii="Tahoma" w:hAnsi="Tahoma" w:cs="Tahoma"/>
          <w:sz w:val="18"/>
          <w:lang w:val="it-IT"/>
        </w:rPr>
        <w:t xml:space="preserve"> </w:t>
      </w:r>
      <w:r w:rsidRPr="004525CA">
        <w:rPr>
          <w:rFonts w:ascii="Tahoma" w:hAnsi="Tahoma" w:cs="Tahoma"/>
          <w:sz w:val="18"/>
          <w:lang w:val="it-IT"/>
        </w:rPr>
        <w:t>Una società può</w:t>
      </w:r>
    </w:p>
    <w:p w:rsidR="004C08A3" w:rsidRPr="004525CA" w:rsidRDefault="004C08A3" w:rsidP="00B147AB">
      <w:pPr>
        <w:pStyle w:val="AppendixIndent"/>
        <w:spacing w:before="0"/>
        <w:ind w:left="0" w:right="720"/>
        <w:rPr>
          <w:lang w:val="it-IT"/>
        </w:rPr>
      </w:pPr>
    </w:p>
    <w:p w:rsidR="00456002" w:rsidRPr="00451078" w:rsidRDefault="00456002" w:rsidP="007C3E32">
      <w:pPr>
        <w:pStyle w:val="AppendixIndent"/>
        <w:numPr>
          <w:ilvl w:val="0"/>
          <w:numId w:val="64"/>
        </w:numPr>
        <w:ind w:left="1440" w:right="720"/>
        <w:rPr>
          <w:lang w:val="it-IT"/>
        </w:rPr>
      </w:pPr>
      <w:r w:rsidRPr="00451078">
        <w:rPr>
          <w:rFonts w:ascii="Tahoma" w:hAnsi="Tahoma" w:cs="Tahoma"/>
          <w:sz w:val="18"/>
          <w:lang w:val="it-IT"/>
        </w:rPr>
        <w:t>Impegnarsi ad assegnare Software Assurance a tutti i prodotti della piattaforma.</w:t>
      </w:r>
      <w:r w:rsidR="00082E1C" w:rsidRPr="00451078">
        <w:rPr>
          <w:rFonts w:ascii="Tahoma" w:hAnsi="Tahoma" w:cs="Tahoma"/>
          <w:sz w:val="18"/>
          <w:lang w:val="it-IT"/>
        </w:rPr>
        <w:t xml:space="preserve"> </w:t>
      </w:r>
      <w:r w:rsidRPr="00451078">
        <w:rPr>
          <w:rFonts w:ascii="Tahoma" w:hAnsi="Tahoma" w:cs="Tahoma"/>
          <w:sz w:val="18"/>
          <w:lang w:val="it-IT"/>
        </w:rPr>
        <w:t>Ciò è</w:t>
      </w:r>
      <w:r w:rsidR="007C3E32">
        <w:rPr>
          <w:rFonts w:ascii="Tahoma" w:hAnsi="Tahoma" w:cs="Tahoma"/>
          <w:sz w:val="18"/>
          <w:lang w:val="it-IT"/>
        </w:rPr>
        <w:t> </w:t>
      </w:r>
      <w:r w:rsidRPr="00451078">
        <w:rPr>
          <w:rFonts w:ascii="Tahoma" w:hAnsi="Tahoma" w:cs="Tahoma"/>
          <w:sz w:val="18"/>
          <w:lang w:val="it-IT"/>
        </w:rPr>
        <w:t>più</w:t>
      </w:r>
      <w:r w:rsidR="002E2C37" w:rsidRPr="00451078">
        <w:rPr>
          <w:rFonts w:ascii="Tahoma" w:hAnsi="Tahoma" w:cs="Tahoma"/>
          <w:sz w:val="18"/>
          <w:lang w:val="it-IT"/>
        </w:rPr>
        <w:t> </w:t>
      </w:r>
      <w:r w:rsidRPr="00451078">
        <w:rPr>
          <w:rFonts w:ascii="Tahoma" w:hAnsi="Tahoma" w:cs="Tahoma"/>
          <w:sz w:val="18"/>
          <w:lang w:val="it-IT"/>
        </w:rPr>
        <w:t>comune nel Contratto Enterprise e in Open Value.</w:t>
      </w:r>
    </w:p>
    <w:p w:rsidR="00456002" w:rsidRPr="00451078" w:rsidRDefault="00456002" w:rsidP="00745AB3">
      <w:pPr>
        <w:pStyle w:val="AppendixIndent"/>
        <w:numPr>
          <w:ilvl w:val="0"/>
          <w:numId w:val="64"/>
        </w:numPr>
        <w:ind w:left="1440" w:right="720"/>
        <w:rPr>
          <w:lang w:val="it-IT"/>
        </w:rPr>
      </w:pPr>
      <w:r w:rsidRPr="00451078">
        <w:rPr>
          <w:rFonts w:ascii="Tahoma" w:hAnsi="Tahoma" w:cs="Tahoma"/>
          <w:sz w:val="18"/>
          <w:lang w:val="it-IT"/>
        </w:rPr>
        <w:t>Impegnarsi ad associare Software Assurance a tutti gli acquisti di un particolare pool di</w:t>
      </w:r>
      <w:r w:rsidR="002E2C37" w:rsidRPr="00451078">
        <w:rPr>
          <w:rFonts w:ascii="Tahoma" w:hAnsi="Tahoma" w:cs="Tahoma"/>
          <w:sz w:val="18"/>
          <w:lang w:val="it-IT"/>
        </w:rPr>
        <w:t> </w:t>
      </w:r>
      <w:r w:rsidRPr="00451078">
        <w:rPr>
          <w:rFonts w:ascii="Tahoma" w:hAnsi="Tahoma" w:cs="Tahoma"/>
          <w:sz w:val="18"/>
          <w:lang w:val="it-IT"/>
        </w:rPr>
        <w:t>prodotti (Applicazioni, Sistemi o Server).</w:t>
      </w:r>
      <w:r w:rsidR="00082E1C" w:rsidRPr="00451078">
        <w:rPr>
          <w:rFonts w:ascii="Tahoma" w:hAnsi="Tahoma" w:cs="Tahoma"/>
          <w:sz w:val="18"/>
          <w:lang w:val="it-IT"/>
        </w:rPr>
        <w:t xml:space="preserve"> </w:t>
      </w:r>
      <w:r w:rsidRPr="00451078">
        <w:rPr>
          <w:rFonts w:ascii="Tahoma" w:hAnsi="Tahoma" w:cs="Tahoma"/>
          <w:sz w:val="18"/>
          <w:lang w:val="it-IT"/>
        </w:rPr>
        <w:t>Questa modalità è nota come Partecipazione a</w:t>
      </w:r>
      <w:r w:rsidR="002E2C37" w:rsidRPr="00451078">
        <w:rPr>
          <w:rFonts w:ascii="Tahoma" w:hAnsi="Tahoma" w:cs="Tahoma"/>
          <w:sz w:val="18"/>
          <w:lang w:val="it-IT"/>
        </w:rPr>
        <w:t> </w:t>
      </w:r>
      <w:r w:rsidRPr="00451078">
        <w:rPr>
          <w:rFonts w:ascii="Tahoma" w:hAnsi="Tahoma" w:cs="Tahoma"/>
          <w:sz w:val="18"/>
          <w:lang w:val="it-IT"/>
        </w:rPr>
        <w:t>Software Assurance (Software Assurance Membership o SAM) Non richiede un impegno a livello aziendale per Software Assurance, impegno che è invece necessario nel programma Select.</w:t>
      </w:r>
    </w:p>
    <w:p w:rsidR="00456002" w:rsidRPr="00451078" w:rsidRDefault="00456002" w:rsidP="00745AB3">
      <w:pPr>
        <w:pStyle w:val="AppendixIndent"/>
        <w:numPr>
          <w:ilvl w:val="0"/>
          <w:numId w:val="64"/>
        </w:numPr>
        <w:ind w:left="1440" w:right="720"/>
        <w:rPr>
          <w:lang w:val="it-IT"/>
        </w:rPr>
      </w:pPr>
      <w:r w:rsidRPr="00451078">
        <w:rPr>
          <w:rFonts w:ascii="Tahoma" w:hAnsi="Tahoma" w:cs="Tahoma"/>
          <w:sz w:val="18"/>
          <w:lang w:val="it-IT"/>
        </w:rPr>
        <w:t>Acquistare Software Assurance per i singoli prodotti senza alcun impegno a estendere Software Assurance ad altri prodotti.</w:t>
      </w:r>
    </w:p>
    <w:p w:rsidR="0053106B" w:rsidRPr="00451078" w:rsidRDefault="0053106B" w:rsidP="00EF6A68">
      <w:pPr>
        <w:pStyle w:val="AppendixBodyText"/>
        <w:spacing w:after="0"/>
        <w:ind w:right="720"/>
        <w:rPr>
          <w:lang w:val="it-IT"/>
        </w:rPr>
      </w:pPr>
    </w:p>
    <w:p w:rsidR="00456002" w:rsidRPr="00451078" w:rsidRDefault="00456002" w:rsidP="004525CA">
      <w:pPr>
        <w:pStyle w:val="AppendixBodyText"/>
        <w:spacing w:after="0"/>
        <w:ind w:right="720"/>
        <w:rPr>
          <w:lang w:val="it-IT"/>
        </w:rPr>
      </w:pPr>
      <w:r w:rsidRPr="00451078">
        <w:rPr>
          <w:rFonts w:ascii="Tahoma" w:hAnsi="Tahoma" w:cs="Tahoma"/>
          <w:sz w:val="18"/>
          <w:lang w:val="it-IT"/>
        </w:rPr>
        <w:t>Software Assurance dovrà essere acquistata al momento dell</w:t>
      </w:r>
      <w:r w:rsidR="0073727D">
        <w:rPr>
          <w:rFonts w:ascii="Tahoma" w:hAnsi="Tahoma" w:cs="Tahoma"/>
          <w:sz w:val="18"/>
          <w:lang w:val="it-IT"/>
        </w:rPr>
        <w:t>’</w:t>
      </w:r>
      <w:r w:rsidRPr="00451078">
        <w:rPr>
          <w:rFonts w:ascii="Tahoma" w:hAnsi="Tahoma" w:cs="Tahoma"/>
          <w:sz w:val="18"/>
          <w:lang w:val="it-IT"/>
        </w:rPr>
        <w:t>acquisto della Licenza o al rinnovo di un periodo di validità della copertura Software Assurance in essere.</w:t>
      </w:r>
      <w:r w:rsidR="00082E1C" w:rsidRPr="00451078">
        <w:rPr>
          <w:rFonts w:ascii="Tahoma" w:hAnsi="Tahoma" w:cs="Tahoma"/>
          <w:sz w:val="18"/>
          <w:lang w:val="it-IT"/>
        </w:rPr>
        <w:t xml:space="preserve"> </w:t>
      </w:r>
      <w:r w:rsidRPr="00451078">
        <w:rPr>
          <w:rFonts w:ascii="Tahoma" w:hAnsi="Tahoma" w:cs="Tahoma"/>
          <w:sz w:val="18"/>
          <w:lang w:val="it-IT"/>
        </w:rPr>
        <w:t>Diversamente, si dovrà acquistare una nuova Licenza o Licenza e Software Assurance allo scopo di aggiornare la Licenza a una data successiva (per un Sistema Operativo Desktop di Windows, le opzioni sono Aggiorna e Software Assurance).</w:t>
      </w:r>
      <w:r w:rsidR="00082E1C" w:rsidRPr="00451078">
        <w:rPr>
          <w:rFonts w:ascii="Tahoma" w:hAnsi="Tahoma" w:cs="Tahoma"/>
          <w:sz w:val="18"/>
          <w:lang w:val="it-IT"/>
        </w:rPr>
        <w:t xml:space="preserve"> </w:t>
      </w:r>
      <w:r w:rsidRPr="00451078">
        <w:rPr>
          <w:rFonts w:ascii="Tahoma" w:hAnsi="Tahoma" w:cs="Tahoma"/>
          <w:sz w:val="18"/>
          <w:lang w:val="it-IT"/>
        </w:rPr>
        <w:t>Fare</w:t>
      </w:r>
      <w:r w:rsidR="002E2C37" w:rsidRPr="00451078">
        <w:rPr>
          <w:rFonts w:ascii="Tahoma" w:hAnsi="Tahoma" w:cs="Tahoma"/>
          <w:sz w:val="18"/>
          <w:lang w:val="it-IT"/>
        </w:rPr>
        <w:t> </w:t>
      </w:r>
      <w:r w:rsidRPr="00451078">
        <w:rPr>
          <w:rFonts w:ascii="Tahoma" w:hAnsi="Tahoma" w:cs="Tahoma"/>
          <w:sz w:val="18"/>
          <w:lang w:val="it-IT"/>
        </w:rPr>
        <w:t>riferimento all</w:t>
      </w:r>
      <w:r w:rsidR="0073727D">
        <w:rPr>
          <w:rFonts w:ascii="Tahoma" w:hAnsi="Tahoma" w:cs="Tahoma"/>
          <w:sz w:val="18"/>
          <w:lang w:val="it-IT"/>
        </w:rPr>
        <w:t>’</w:t>
      </w:r>
      <w:r w:rsidRPr="00451078">
        <w:rPr>
          <w:rFonts w:ascii="Tahoma" w:hAnsi="Tahoma" w:cs="Tahoma"/>
          <w:sz w:val="18"/>
          <w:lang w:val="it-IT"/>
        </w:rPr>
        <w:t>Articolo relativo alle regole per il rinnovo e al contratto specifico per il programma per</w:t>
      </w:r>
      <w:r w:rsidR="002E2C37" w:rsidRPr="00451078">
        <w:rPr>
          <w:rFonts w:ascii="Tahoma" w:hAnsi="Tahoma" w:cs="Tahoma"/>
          <w:sz w:val="18"/>
          <w:lang w:val="it-IT"/>
        </w:rPr>
        <w:t> </w:t>
      </w:r>
      <w:r w:rsidRPr="00451078">
        <w:rPr>
          <w:rFonts w:ascii="Tahoma" w:hAnsi="Tahoma" w:cs="Tahoma"/>
          <w:sz w:val="18"/>
          <w:lang w:val="it-IT"/>
        </w:rPr>
        <w:t>conoscere i criteri di idoneità per l</w:t>
      </w:r>
      <w:r w:rsidR="0073727D">
        <w:rPr>
          <w:rFonts w:ascii="Tahoma" w:hAnsi="Tahoma" w:cs="Tahoma"/>
          <w:sz w:val="18"/>
          <w:lang w:val="it-IT"/>
        </w:rPr>
        <w:t>’</w:t>
      </w:r>
      <w:r w:rsidRPr="00451078">
        <w:rPr>
          <w:rFonts w:ascii="Tahoma" w:hAnsi="Tahoma" w:cs="Tahoma"/>
          <w:sz w:val="18"/>
          <w:lang w:val="it-IT"/>
        </w:rPr>
        <w:t>acquisto di Software Assurance.</w:t>
      </w:r>
    </w:p>
    <w:p w:rsidR="004C08A3" w:rsidRPr="00451078" w:rsidRDefault="004C08A3" w:rsidP="00B147AB">
      <w:pPr>
        <w:pStyle w:val="AppendixBodyText"/>
        <w:spacing w:after="0"/>
        <w:ind w:right="720"/>
        <w:rPr>
          <w:lang w:val="it-IT"/>
        </w:rPr>
      </w:pPr>
    </w:p>
    <w:p w:rsidR="00456002" w:rsidRPr="00451078" w:rsidRDefault="00456002" w:rsidP="004525CA">
      <w:pPr>
        <w:pStyle w:val="AppendixBodyText"/>
        <w:spacing w:after="0"/>
        <w:ind w:right="720"/>
        <w:rPr>
          <w:lang w:val="it-IT"/>
        </w:rPr>
      </w:pPr>
      <w:r w:rsidRPr="00451078">
        <w:rPr>
          <w:rFonts w:ascii="Tahoma" w:hAnsi="Tahoma" w:cs="Tahoma"/>
          <w:sz w:val="18"/>
          <w:lang w:val="it-IT"/>
        </w:rPr>
        <w:t>Nell</w:t>
      </w:r>
      <w:r w:rsidR="0073727D">
        <w:rPr>
          <w:rFonts w:ascii="Tahoma" w:hAnsi="Tahoma" w:cs="Tahoma"/>
          <w:sz w:val="18"/>
          <w:lang w:val="it-IT"/>
        </w:rPr>
        <w:t>’</w:t>
      </w:r>
      <w:r w:rsidRPr="00451078">
        <w:rPr>
          <w:rFonts w:ascii="Tahoma" w:hAnsi="Tahoma" w:cs="Tahoma"/>
          <w:sz w:val="18"/>
          <w:lang w:val="it-IT"/>
        </w:rPr>
        <w:t xml:space="preserve">eventualità di un trasferimento di Licenze perpetue, il cessionario potrà acquistare Software Assurance per tali Licenze trasferite entro 30 giorni dalla data del trasferimento e a condizioni che le License trasferite abbiano una copertura Software Assurance attiva al momento del trasferimento. </w:t>
      </w:r>
    </w:p>
    <w:p w:rsidR="004C08A3" w:rsidRPr="00451078" w:rsidRDefault="004C08A3" w:rsidP="00B147AB">
      <w:pPr>
        <w:pStyle w:val="AppendixBodyText"/>
        <w:spacing w:after="0"/>
        <w:ind w:right="720"/>
        <w:rPr>
          <w:lang w:val="it-IT"/>
        </w:rPr>
      </w:pPr>
    </w:p>
    <w:p w:rsidR="00456002" w:rsidRPr="00451078" w:rsidRDefault="00456002" w:rsidP="004525CA">
      <w:pPr>
        <w:pStyle w:val="AppendixBodyText"/>
        <w:spacing w:after="0"/>
        <w:ind w:right="720"/>
        <w:rPr>
          <w:lang w:val="it-IT"/>
        </w:rPr>
      </w:pPr>
      <w:r w:rsidRPr="00451078">
        <w:rPr>
          <w:rFonts w:ascii="Tahoma" w:hAnsi="Tahoma" w:cs="Tahoma"/>
          <w:sz w:val="18"/>
          <w:lang w:val="it-IT"/>
        </w:rPr>
        <w:t>Le società potranno avere la possibilità di ottenere Software Assurance per alcune licenze acquistate tramite il canale Retail (Full Packaged Product) o tramite un OEM. L</w:t>
      </w:r>
      <w:r w:rsidR="0073727D">
        <w:rPr>
          <w:rFonts w:ascii="Tahoma" w:hAnsi="Tahoma" w:cs="Tahoma"/>
          <w:sz w:val="18"/>
          <w:lang w:val="it-IT"/>
        </w:rPr>
        <w:t>’</w:t>
      </w:r>
      <w:r w:rsidRPr="00451078">
        <w:rPr>
          <w:rFonts w:ascii="Tahoma" w:hAnsi="Tahoma" w:cs="Tahoma"/>
          <w:sz w:val="18"/>
          <w:lang w:val="it-IT"/>
        </w:rPr>
        <w:t>idoneità varia in base al programma, al pool di</w:t>
      </w:r>
      <w:r w:rsidR="002E2C37" w:rsidRPr="00451078">
        <w:rPr>
          <w:rFonts w:ascii="Tahoma" w:hAnsi="Tahoma" w:cs="Tahoma"/>
          <w:sz w:val="18"/>
          <w:lang w:val="it-IT"/>
        </w:rPr>
        <w:t> </w:t>
      </w:r>
      <w:r w:rsidRPr="00451078">
        <w:rPr>
          <w:rFonts w:ascii="Tahoma" w:hAnsi="Tahoma" w:cs="Tahoma"/>
          <w:sz w:val="18"/>
          <w:lang w:val="it-IT"/>
        </w:rPr>
        <w:t>prodotti e all</w:t>
      </w:r>
      <w:r w:rsidR="0073727D">
        <w:rPr>
          <w:rFonts w:ascii="Tahoma" w:hAnsi="Tahoma" w:cs="Tahoma"/>
          <w:sz w:val="18"/>
          <w:lang w:val="it-IT"/>
        </w:rPr>
        <w:t>’</w:t>
      </w:r>
      <w:r w:rsidRPr="00451078">
        <w:rPr>
          <w:rFonts w:ascii="Tahoma" w:hAnsi="Tahoma" w:cs="Tahoma"/>
          <w:sz w:val="18"/>
          <w:lang w:val="it-IT"/>
        </w:rPr>
        <w:t>origine della licenza (vedere di seguito).</w:t>
      </w:r>
      <w:r w:rsidR="00082E1C" w:rsidRPr="00451078">
        <w:rPr>
          <w:rFonts w:ascii="Tahoma" w:hAnsi="Tahoma" w:cs="Tahoma"/>
          <w:sz w:val="18"/>
          <w:lang w:val="it-IT"/>
        </w:rPr>
        <w:t xml:space="preserve"> </w:t>
      </w:r>
      <w:r w:rsidRPr="00451078">
        <w:rPr>
          <w:rFonts w:ascii="Tahoma" w:hAnsi="Tahoma" w:cs="Tahoma"/>
          <w:sz w:val="18"/>
          <w:lang w:val="it-IT"/>
        </w:rPr>
        <w:t>In tutti i casi, salvo quanto diversamente indicato, solo le licenze per l</w:t>
      </w:r>
      <w:r w:rsidR="0073727D">
        <w:rPr>
          <w:rFonts w:ascii="Tahoma" w:hAnsi="Tahoma" w:cs="Tahoma"/>
          <w:sz w:val="18"/>
          <w:lang w:val="it-IT"/>
        </w:rPr>
        <w:t>’</w:t>
      </w:r>
      <w:r w:rsidRPr="00451078">
        <w:rPr>
          <w:rFonts w:ascii="Tahoma" w:hAnsi="Tahoma" w:cs="Tahoma"/>
          <w:sz w:val="18"/>
          <w:lang w:val="it-IT"/>
        </w:rPr>
        <w:t>ultima versione di un prodotto sono idonee e la copertura Software Assurance dovrà essere acquistata entro 90 giorni dalla data in cui sono state acquistate le licenze. Ai sensi del programma Open Value, questa opzione si applica solo ai prodotti con l</w:t>
      </w:r>
      <w:r w:rsidR="0073727D">
        <w:rPr>
          <w:rFonts w:ascii="Tahoma" w:hAnsi="Tahoma" w:cs="Tahoma"/>
          <w:sz w:val="18"/>
          <w:lang w:val="it-IT"/>
        </w:rPr>
        <w:t>’</w:t>
      </w:r>
      <w:r w:rsidRPr="00451078">
        <w:rPr>
          <w:rFonts w:ascii="Tahoma" w:hAnsi="Tahoma" w:cs="Tahoma"/>
          <w:sz w:val="18"/>
          <w:lang w:val="it-IT"/>
        </w:rPr>
        <w:t>opzione non per l</w:t>
      </w:r>
      <w:r w:rsidR="0073727D">
        <w:rPr>
          <w:rFonts w:ascii="Tahoma" w:hAnsi="Tahoma" w:cs="Tahoma"/>
          <w:sz w:val="18"/>
          <w:lang w:val="it-IT"/>
        </w:rPr>
        <w:t>’</w:t>
      </w:r>
      <w:r w:rsidRPr="00451078">
        <w:rPr>
          <w:rFonts w:ascii="Tahoma" w:hAnsi="Tahoma" w:cs="Tahoma"/>
          <w:sz w:val="18"/>
          <w:lang w:val="it-IT"/>
        </w:rPr>
        <w:t>intera Organizzazione/non a</w:t>
      </w:r>
      <w:r w:rsidR="002E2C37" w:rsidRPr="00451078">
        <w:rPr>
          <w:rFonts w:ascii="Tahoma" w:hAnsi="Tahoma" w:cs="Tahoma"/>
          <w:sz w:val="18"/>
          <w:lang w:val="it-IT"/>
        </w:rPr>
        <w:t> </w:t>
      </w:r>
      <w:r w:rsidRPr="00451078">
        <w:rPr>
          <w:rFonts w:ascii="Tahoma" w:hAnsi="Tahoma" w:cs="Tahoma"/>
          <w:sz w:val="18"/>
          <w:lang w:val="it-IT"/>
        </w:rPr>
        <w:t>livello Aziendale. Ai sensi dei Contratti Enterprise, si applica solo ai Prodotti Aggiuntivi entro 90 giorni. Le</w:t>
      </w:r>
      <w:r w:rsidR="002E2C37" w:rsidRPr="00451078">
        <w:rPr>
          <w:rFonts w:ascii="Tahoma" w:hAnsi="Tahoma" w:cs="Tahoma"/>
          <w:sz w:val="18"/>
          <w:lang w:val="it-IT"/>
        </w:rPr>
        <w:t> </w:t>
      </w:r>
      <w:r w:rsidRPr="00451078">
        <w:rPr>
          <w:rFonts w:ascii="Tahoma" w:hAnsi="Tahoma" w:cs="Tahoma"/>
          <w:sz w:val="18"/>
          <w:lang w:val="it-IT"/>
        </w:rPr>
        <w:t>società che acquistano Software Assurance per OEM o licenze al dettaglio hanno la possibilità di installare e utilizzare software per Contratti Multilicenza per la versione corrente in qualsiasi momento.</w:t>
      </w:r>
      <w:r w:rsidR="00082E1C" w:rsidRPr="00451078">
        <w:rPr>
          <w:rFonts w:ascii="Tahoma" w:hAnsi="Tahoma" w:cs="Tahoma"/>
          <w:sz w:val="18"/>
          <w:lang w:val="it-IT"/>
        </w:rPr>
        <w:t xml:space="preserve"> </w:t>
      </w:r>
      <w:r w:rsidRPr="00451078">
        <w:rPr>
          <w:rFonts w:ascii="Tahoma" w:hAnsi="Tahoma" w:cs="Tahoma"/>
          <w:sz w:val="18"/>
          <w:lang w:val="it-IT"/>
        </w:rPr>
        <w:t>In questo caso, l</w:t>
      </w:r>
      <w:r w:rsidR="0073727D">
        <w:rPr>
          <w:rFonts w:ascii="Tahoma" w:hAnsi="Tahoma" w:cs="Tahoma"/>
          <w:sz w:val="18"/>
          <w:lang w:val="it-IT"/>
        </w:rPr>
        <w:t>’</w:t>
      </w:r>
      <w:r w:rsidRPr="00451078">
        <w:rPr>
          <w:rFonts w:ascii="Tahoma" w:hAnsi="Tahoma" w:cs="Tahoma"/>
          <w:sz w:val="18"/>
          <w:lang w:val="it-IT"/>
        </w:rPr>
        <w:t>utilizzo da parte della società del software è soggetto ai Diritti di Utilizzo del Prodotto per tale prodotto e</w:t>
      </w:r>
      <w:r w:rsidR="002E2C37" w:rsidRPr="00451078">
        <w:rPr>
          <w:rFonts w:ascii="Tahoma" w:hAnsi="Tahoma" w:cs="Tahoma"/>
          <w:sz w:val="18"/>
          <w:lang w:val="it-IT"/>
        </w:rPr>
        <w:t> </w:t>
      </w:r>
      <w:r w:rsidRPr="00451078">
        <w:rPr>
          <w:rFonts w:ascii="Tahoma" w:hAnsi="Tahoma" w:cs="Tahoma"/>
          <w:sz w:val="18"/>
          <w:lang w:val="it-IT"/>
        </w:rPr>
        <w:t>alle condizioni del Contratto Multilicenza (Volume Licensing) della società.</w:t>
      </w:r>
    </w:p>
    <w:p w:rsidR="00456002" w:rsidRPr="00451078" w:rsidRDefault="00456002" w:rsidP="00B147AB">
      <w:pPr>
        <w:pStyle w:val="AppendixIndent"/>
        <w:spacing w:before="0"/>
        <w:ind w:left="0" w:right="720"/>
        <w:rPr>
          <w:lang w:val="it-IT"/>
        </w:rPr>
      </w:pPr>
    </w:p>
    <w:tbl>
      <w:tblPr>
        <w:tblW w:w="8715"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1440"/>
        <w:gridCol w:w="1873"/>
        <w:gridCol w:w="2431"/>
        <w:gridCol w:w="2971"/>
      </w:tblGrid>
      <w:tr w:rsidR="00456002" w:rsidRPr="003410C7" w:rsidTr="00AA16F3">
        <w:trPr>
          <w:tblHeader/>
        </w:trPr>
        <w:tc>
          <w:tcPr>
            <w:tcW w:w="1440" w:type="dxa"/>
            <w:tcBorders>
              <w:top w:val="single" w:sz="4" w:space="0" w:color="auto"/>
              <w:left w:val="single" w:sz="4" w:space="0" w:color="auto"/>
              <w:bottom w:val="single" w:sz="4" w:space="0" w:color="auto"/>
              <w:right w:val="single" w:sz="4" w:space="0" w:color="auto"/>
            </w:tcBorders>
            <w:shd w:val="clear" w:color="auto" w:fill="FFCC99"/>
            <w:vAlign w:val="center"/>
          </w:tcPr>
          <w:p w:rsidR="00456002" w:rsidRPr="00451078" w:rsidRDefault="00456002" w:rsidP="005C647E">
            <w:pPr>
              <w:pStyle w:val="AppendixTableHeadings"/>
              <w:rPr>
                <w:rFonts w:ascii="Tahoma" w:hAnsi="Tahoma" w:cs="Tahoma"/>
                <w:sz w:val="20"/>
                <w:szCs w:val="20"/>
                <w:lang w:val="it-IT"/>
              </w:rPr>
            </w:pPr>
          </w:p>
        </w:tc>
        <w:tc>
          <w:tcPr>
            <w:tcW w:w="1873" w:type="dxa"/>
            <w:tcBorders>
              <w:top w:val="single" w:sz="4" w:space="0" w:color="auto"/>
              <w:left w:val="single" w:sz="4" w:space="0" w:color="auto"/>
              <w:bottom w:val="single" w:sz="4" w:space="0" w:color="auto"/>
              <w:right w:val="single" w:sz="4" w:space="0" w:color="auto"/>
            </w:tcBorders>
            <w:shd w:val="clear" w:color="auto" w:fill="FFCC99"/>
            <w:vAlign w:val="center"/>
            <w:hideMark/>
          </w:tcPr>
          <w:p w:rsidR="00456002" w:rsidRPr="003410C7" w:rsidRDefault="00456002" w:rsidP="005C647E">
            <w:pPr>
              <w:pStyle w:val="AppendixTableHeadings"/>
              <w:rPr>
                <w:rFonts w:ascii="Tahoma" w:hAnsi="Tahoma" w:cs="Tahoma"/>
                <w:sz w:val="20"/>
              </w:rPr>
            </w:pPr>
            <w:r w:rsidRPr="003410C7">
              <w:rPr>
                <w:rFonts w:ascii="Tahoma" w:hAnsi="Tahoma" w:cs="Tahoma"/>
                <w:sz w:val="20"/>
              </w:rPr>
              <w:t>Full Packaged Product</w:t>
            </w:r>
          </w:p>
        </w:tc>
        <w:tc>
          <w:tcPr>
            <w:tcW w:w="2431" w:type="dxa"/>
            <w:tcBorders>
              <w:top w:val="single" w:sz="4" w:space="0" w:color="auto"/>
              <w:left w:val="single" w:sz="4" w:space="0" w:color="auto"/>
              <w:bottom w:val="single" w:sz="4" w:space="0" w:color="auto"/>
              <w:right w:val="single" w:sz="4" w:space="0" w:color="auto"/>
            </w:tcBorders>
            <w:shd w:val="clear" w:color="auto" w:fill="FFCC99"/>
            <w:vAlign w:val="center"/>
            <w:hideMark/>
          </w:tcPr>
          <w:p w:rsidR="00456002" w:rsidRPr="003410C7" w:rsidRDefault="00456002" w:rsidP="005C647E">
            <w:pPr>
              <w:pStyle w:val="AppendixTableHeadings"/>
              <w:rPr>
                <w:rFonts w:ascii="Tahoma" w:hAnsi="Tahoma" w:cs="Tahoma"/>
                <w:sz w:val="20"/>
              </w:rPr>
            </w:pPr>
            <w:r w:rsidRPr="003410C7">
              <w:rPr>
                <w:rFonts w:ascii="Tahoma" w:hAnsi="Tahoma" w:cs="Tahoma"/>
                <w:sz w:val="20"/>
              </w:rPr>
              <w:t>OEM</w:t>
            </w:r>
          </w:p>
        </w:tc>
        <w:tc>
          <w:tcPr>
            <w:tcW w:w="2971" w:type="dxa"/>
            <w:tcBorders>
              <w:top w:val="single" w:sz="4" w:space="0" w:color="auto"/>
              <w:left w:val="single" w:sz="4" w:space="0" w:color="auto"/>
              <w:bottom w:val="single" w:sz="4" w:space="0" w:color="auto"/>
              <w:right w:val="single" w:sz="4" w:space="0" w:color="auto"/>
            </w:tcBorders>
            <w:shd w:val="clear" w:color="auto" w:fill="FFCC99"/>
            <w:hideMark/>
          </w:tcPr>
          <w:p w:rsidR="00456002" w:rsidRPr="003410C7" w:rsidRDefault="00456002" w:rsidP="005C647E">
            <w:pPr>
              <w:pStyle w:val="AppendixTableHeadings"/>
              <w:rPr>
                <w:rFonts w:ascii="Tahoma" w:hAnsi="Tahoma" w:cs="Tahoma"/>
                <w:sz w:val="20"/>
              </w:rPr>
            </w:pPr>
            <w:r w:rsidRPr="003410C7">
              <w:rPr>
                <w:rFonts w:ascii="Tahoma" w:hAnsi="Tahoma" w:cs="Tahoma"/>
                <w:sz w:val="20"/>
              </w:rPr>
              <w:t>Programmi</w:t>
            </w:r>
          </w:p>
        </w:tc>
      </w:tr>
      <w:tr w:rsidR="00456002" w:rsidRPr="00DC1102" w:rsidTr="002E2C37">
        <w:tc>
          <w:tcPr>
            <w:tcW w:w="1440" w:type="dxa"/>
            <w:tcBorders>
              <w:top w:val="single" w:sz="4" w:space="0" w:color="auto"/>
              <w:left w:val="single" w:sz="4" w:space="0" w:color="auto"/>
              <w:bottom w:val="single" w:sz="4" w:space="0" w:color="auto"/>
              <w:right w:val="single" w:sz="4" w:space="0" w:color="auto"/>
            </w:tcBorders>
            <w:vAlign w:val="center"/>
            <w:hideMark/>
          </w:tcPr>
          <w:p w:rsidR="00456002" w:rsidRPr="003410C7" w:rsidRDefault="00456002" w:rsidP="005C647E">
            <w:pPr>
              <w:pStyle w:val="AppendixTableText"/>
              <w:rPr>
                <w:rFonts w:ascii="Tahoma" w:hAnsi="Tahoma" w:cs="Tahoma"/>
                <w:b/>
                <w:color w:val="000000"/>
                <w:sz w:val="20"/>
                <w:szCs w:val="20"/>
              </w:rPr>
            </w:pPr>
            <w:r w:rsidRPr="003410C7">
              <w:rPr>
                <w:rFonts w:ascii="Tahoma" w:hAnsi="Tahoma" w:cs="Tahoma"/>
                <w:b/>
                <w:color w:val="000000"/>
                <w:sz w:val="20"/>
                <w:szCs w:val="20"/>
              </w:rPr>
              <w:t xml:space="preserve">Pool di Applicazioni </w:t>
            </w:r>
          </w:p>
        </w:tc>
        <w:tc>
          <w:tcPr>
            <w:tcW w:w="1873" w:type="dxa"/>
            <w:tcBorders>
              <w:top w:val="single" w:sz="4" w:space="0" w:color="auto"/>
              <w:left w:val="single" w:sz="4" w:space="0" w:color="auto"/>
              <w:bottom w:val="single" w:sz="4" w:space="0" w:color="auto"/>
              <w:right w:val="single" w:sz="4" w:space="0" w:color="auto"/>
            </w:tcBorders>
            <w:vAlign w:val="center"/>
            <w:hideMark/>
          </w:tcPr>
          <w:p w:rsidR="00456002" w:rsidRPr="003410C7" w:rsidRDefault="00456002" w:rsidP="005C647E">
            <w:pPr>
              <w:pStyle w:val="AppendixTableText"/>
              <w:rPr>
                <w:rFonts w:ascii="Tahoma" w:hAnsi="Tahoma" w:cs="Tahoma"/>
                <w:color w:val="000000"/>
              </w:rPr>
            </w:pPr>
            <w:r w:rsidRPr="003410C7">
              <w:rPr>
                <w:rFonts w:ascii="Tahoma" w:hAnsi="Tahoma" w:cs="Tahoma"/>
                <w:color w:val="000000"/>
              </w:rPr>
              <w:t xml:space="preserve">N/D </w:t>
            </w:r>
          </w:p>
        </w:tc>
        <w:tc>
          <w:tcPr>
            <w:tcW w:w="2431" w:type="dxa"/>
            <w:tcBorders>
              <w:top w:val="single" w:sz="4" w:space="0" w:color="auto"/>
              <w:left w:val="single" w:sz="4" w:space="0" w:color="auto"/>
              <w:bottom w:val="single" w:sz="4" w:space="0" w:color="auto"/>
              <w:right w:val="single" w:sz="4" w:space="0" w:color="auto"/>
            </w:tcBorders>
            <w:vAlign w:val="center"/>
            <w:hideMark/>
          </w:tcPr>
          <w:p w:rsidR="00456002" w:rsidRPr="00451078" w:rsidRDefault="00456002" w:rsidP="005C647E">
            <w:pPr>
              <w:pStyle w:val="AppendixTableText"/>
              <w:rPr>
                <w:rFonts w:ascii="Tahoma" w:hAnsi="Tahoma" w:cs="Tahoma"/>
                <w:color w:val="000000"/>
                <w:lang w:val="it-IT"/>
              </w:rPr>
            </w:pPr>
            <w:r w:rsidRPr="00451078">
              <w:rPr>
                <w:rFonts w:ascii="Tahoma" w:hAnsi="Tahoma" w:cs="Tahoma"/>
                <w:color w:val="000000"/>
                <w:lang w:val="it-IT"/>
              </w:rPr>
              <w:t>SA disponibile solo nella modalità delineata sotto</w:t>
            </w:r>
          </w:p>
        </w:tc>
        <w:tc>
          <w:tcPr>
            <w:tcW w:w="2971" w:type="dxa"/>
            <w:vMerge w:val="restart"/>
            <w:tcBorders>
              <w:top w:val="single" w:sz="4" w:space="0" w:color="auto"/>
              <w:left w:val="single" w:sz="4" w:space="0" w:color="auto"/>
              <w:bottom w:val="single" w:sz="4" w:space="0" w:color="auto"/>
              <w:right w:val="single" w:sz="4" w:space="0" w:color="auto"/>
            </w:tcBorders>
            <w:hideMark/>
          </w:tcPr>
          <w:p w:rsidR="00456002" w:rsidRPr="00451078" w:rsidRDefault="00456002" w:rsidP="004525CA">
            <w:pPr>
              <w:pStyle w:val="AppendixTableText"/>
              <w:jc w:val="left"/>
              <w:rPr>
                <w:rFonts w:ascii="Tahoma" w:hAnsi="Tahoma" w:cs="Tahoma"/>
                <w:color w:val="000000"/>
                <w:lang w:val="it-IT"/>
              </w:rPr>
            </w:pPr>
            <w:r w:rsidRPr="00451078">
              <w:rPr>
                <w:rFonts w:ascii="Tahoma" w:hAnsi="Tahoma" w:cs="Tahoma"/>
                <w:color w:val="000000"/>
                <w:lang w:val="it-IT"/>
              </w:rPr>
              <w:t>Si applica a Open License, Select, Select Plus, all</w:t>
            </w:r>
            <w:r w:rsidR="004525CA">
              <w:rPr>
                <w:rFonts w:ascii="Tahoma" w:hAnsi="Tahoma" w:cs="Tahoma"/>
                <w:color w:val="000000"/>
                <w:lang w:val="it-IT"/>
              </w:rPr>
              <w:t>’</w:t>
            </w:r>
            <w:r w:rsidRPr="00451078">
              <w:rPr>
                <w:rFonts w:ascii="Tahoma" w:hAnsi="Tahoma" w:cs="Tahoma"/>
                <w:color w:val="000000"/>
                <w:lang w:val="it-IT"/>
              </w:rPr>
              <w:t xml:space="preserve">opzione </w:t>
            </w:r>
            <w:r w:rsidRPr="00451078">
              <w:rPr>
                <w:rFonts w:ascii="Tahoma" w:hAnsi="Tahoma" w:cs="Tahoma"/>
                <w:lang w:val="it-IT"/>
              </w:rPr>
              <w:t>non per l</w:t>
            </w:r>
            <w:r w:rsidR="004525CA">
              <w:rPr>
                <w:rFonts w:ascii="Tahoma" w:hAnsi="Tahoma" w:cs="Tahoma"/>
                <w:lang w:val="it-IT"/>
              </w:rPr>
              <w:t>’</w:t>
            </w:r>
            <w:r w:rsidRPr="00451078">
              <w:rPr>
                <w:rFonts w:ascii="Tahoma" w:hAnsi="Tahoma" w:cs="Tahoma"/>
                <w:lang w:val="it-IT"/>
              </w:rPr>
              <w:t>intera organizzazione/non a</w:t>
            </w:r>
            <w:r w:rsidR="002E2C37" w:rsidRPr="00451078">
              <w:rPr>
                <w:rFonts w:ascii="Tahoma" w:hAnsi="Tahoma" w:cs="Tahoma"/>
                <w:lang w:val="it-IT"/>
              </w:rPr>
              <w:t> </w:t>
            </w:r>
            <w:r w:rsidRPr="00451078">
              <w:rPr>
                <w:rFonts w:ascii="Tahoma" w:hAnsi="Tahoma" w:cs="Tahoma"/>
                <w:lang w:val="it-IT"/>
              </w:rPr>
              <w:t>livello aziendale</w:t>
            </w:r>
            <w:r w:rsidRPr="00451078">
              <w:rPr>
                <w:rFonts w:ascii="Tahoma" w:hAnsi="Tahoma" w:cs="Tahoma"/>
                <w:color w:val="000000"/>
                <w:lang w:val="it-IT"/>
              </w:rPr>
              <w:t xml:space="preserve"> del programma Open Value e ai Prodotti </w:t>
            </w:r>
            <w:r w:rsidRPr="00451078">
              <w:rPr>
                <w:rFonts w:ascii="Tahoma" w:hAnsi="Tahoma" w:cs="Tahoma"/>
                <w:color w:val="000000"/>
                <w:lang w:val="it-IT"/>
              </w:rPr>
              <w:lastRenderedPageBreak/>
              <w:t>Aggiuntivi dei Contratti Enterprise. Non si applica ai Prodotti Enterprise del programma Open Value e dei Contratti Enterprise</w:t>
            </w:r>
          </w:p>
        </w:tc>
      </w:tr>
      <w:tr w:rsidR="00456002" w:rsidRPr="003410C7" w:rsidTr="00AA16F3">
        <w:trPr>
          <w:cantSplit/>
        </w:trPr>
        <w:tc>
          <w:tcPr>
            <w:tcW w:w="1440" w:type="dxa"/>
            <w:tcBorders>
              <w:top w:val="single" w:sz="4" w:space="0" w:color="auto"/>
              <w:left w:val="single" w:sz="4" w:space="0" w:color="auto"/>
              <w:bottom w:val="single" w:sz="4" w:space="0" w:color="auto"/>
              <w:right w:val="single" w:sz="4" w:space="0" w:color="auto"/>
            </w:tcBorders>
            <w:vAlign w:val="center"/>
            <w:hideMark/>
          </w:tcPr>
          <w:p w:rsidR="00456002" w:rsidRPr="003410C7" w:rsidRDefault="00456002" w:rsidP="005C647E">
            <w:pPr>
              <w:pStyle w:val="AppendixTableText"/>
              <w:rPr>
                <w:rFonts w:ascii="Tahoma" w:hAnsi="Tahoma" w:cs="Tahoma"/>
                <w:b/>
                <w:color w:val="000000"/>
                <w:sz w:val="20"/>
                <w:szCs w:val="20"/>
              </w:rPr>
            </w:pPr>
            <w:r w:rsidRPr="003410C7">
              <w:rPr>
                <w:rFonts w:ascii="Tahoma" w:hAnsi="Tahoma" w:cs="Tahoma"/>
                <w:b/>
                <w:color w:val="000000"/>
                <w:sz w:val="20"/>
                <w:szCs w:val="20"/>
              </w:rPr>
              <w:t xml:space="preserve">Pool di sistemi </w:t>
            </w:r>
          </w:p>
        </w:tc>
        <w:tc>
          <w:tcPr>
            <w:tcW w:w="1873" w:type="dxa"/>
            <w:tcBorders>
              <w:top w:val="single" w:sz="4" w:space="0" w:color="auto"/>
              <w:left w:val="single" w:sz="4" w:space="0" w:color="auto"/>
              <w:bottom w:val="single" w:sz="4" w:space="0" w:color="auto"/>
              <w:right w:val="single" w:sz="4" w:space="0" w:color="auto"/>
            </w:tcBorders>
            <w:vAlign w:val="center"/>
            <w:hideMark/>
          </w:tcPr>
          <w:p w:rsidR="00456002" w:rsidRPr="003410C7" w:rsidRDefault="00456002" w:rsidP="005C647E">
            <w:pPr>
              <w:pStyle w:val="AppendixTableText"/>
              <w:rPr>
                <w:rFonts w:ascii="Tahoma" w:hAnsi="Tahoma" w:cs="Tahoma"/>
                <w:color w:val="000000"/>
              </w:rPr>
            </w:pPr>
            <w:r w:rsidRPr="003410C7">
              <w:rPr>
                <w:rFonts w:ascii="Tahoma" w:hAnsi="Tahoma" w:cs="Tahoma"/>
                <w:color w:val="000000"/>
              </w:rPr>
              <w:t xml:space="preserve">SA disponibile </w:t>
            </w:r>
          </w:p>
        </w:tc>
        <w:tc>
          <w:tcPr>
            <w:tcW w:w="2431" w:type="dxa"/>
            <w:tcBorders>
              <w:top w:val="single" w:sz="4" w:space="0" w:color="auto"/>
              <w:left w:val="single" w:sz="4" w:space="0" w:color="auto"/>
              <w:bottom w:val="single" w:sz="4" w:space="0" w:color="auto"/>
              <w:right w:val="single" w:sz="4" w:space="0" w:color="auto"/>
            </w:tcBorders>
            <w:vAlign w:val="center"/>
            <w:hideMark/>
          </w:tcPr>
          <w:p w:rsidR="00456002" w:rsidRPr="003410C7" w:rsidRDefault="00456002" w:rsidP="005C647E">
            <w:pPr>
              <w:pStyle w:val="AppendixTableText"/>
              <w:rPr>
                <w:rFonts w:ascii="Tahoma" w:hAnsi="Tahoma" w:cs="Tahoma"/>
                <w:color w:val="000000"/>
              </w:rPr>
            </w:pPr>
            <w:r w:rsidRPr="003410C7">
              <w:rPr>
                <w:rFonts w:ascii="Tahoma" w:hAnsi="Tahoma" w:cs="Tahoma"/>
                <w:color w:val="000000"/>
              </w:rPr>
              <w:t xml:space="preserve">SA disponibile </w:t>
            </w:r>
          </w:p>
        </w:tc>
        <w:tc>
          <w:tcPr>
            <w:tcW w:w="2971" w:type="dxa"/>
            <w:vMerge/>
            <w:tcBorders>
              <w:top w:val="single" w:sz="4" w:space="0" w:color="auto"/>
              <w:left w:val="single" w:sz="4" w:space="0" w:color="auto"/>
              <w:bottom w:val="single" w:sz="4" w:space="0" w:color="auto"/>
              <w:right w:val="single" w:sz="4" w:space="0" w:color="auto"/>
            </w:tcBorders>
            <w:vAlign w:val="center"/>
            <w:hideMark/>
          </w:tcPr>
          <w:p w:rsidR="00456002" w:rsidRPr="003410C7" w:rsidRDefault="00456002" w:rsidP="005C647E">
            <w:pPr>
              <w:rPr>
                <w:rFonts w:cs="Tahoma"/>
                <w:color w:val="000000"/>
                <w:szCs w:val="18"/>
              </w:rPr>
            </w:pPr>
          </w:p>
        </w:tc>
      </w:tr>
      <w:tr w:rsidR="00456002" w:rsidRPr="003410C7" w:rsidTr="002E2C37">
        <w:tc>
          <w:tcPr>
            <w:tcW w:w="1440" w:type="dxa"/>
            <w:tcBorders>
              <w:top w:val="single" w:sz="4" w:space="0" w:color="auto"/>
              <w:left w:val="single" w:sz="4" w:space="0" w:color="auto"/>
              <w:bottom w:val="single" w:sz="4" w:space="0" w:color="auto"/>
              <w:right w:val="single" w:sz="4" w:space="0" w:color="auto"/>
            </w:tcBorders>
            <w:vAlign w:val="center"/>
            <w:hideMark/>
          </w:tcPr>
          <w:p w:rsidR="00456002" w:rsidRPr="003410C7" w:rsidRDefault="00456002" w:rsidP="005C647E">
            <w:pPr>
              <w:pStyle w:val="AppendixTableText"/>
              <w:rPr>
                <w:rFonts w:ascii="Tahoma" w:hAnsi="Tahoma" w:cs="Tahoma"/>
                <w:b/>
                <w:color w:val="000000"/>
                <w:sz w:val="20"/>
                <w:szCs w:val="20"/>
              </w:rPr>
            </w:pPr>
            <w:r w:rsidRPr="003410C7">
              <w:rPr>
                <w:rFonts w:ascii="Tahoma" w:hAnsi="Tahoma" w:cs="Tahoma"/>
                <w:b/>
                <w:color w:val="000000"/>
                <w:sz w:val="20"/>
                <w:szCs w:val="20"/>
              </w:rPr>
              <w:t xml:space="preserve">Pool di </w:t>
            </w:r>
            <w:r w:rsidRPr="003410C7">
              <w:rPr>
                <w:rFonts w:ascii="Tahoma" w:hAnsi="Tahoma" w:cs="Tahoma"/>
                <w:b/>
                <w:color w:val="000000"/>
                <w:sz w:val="20"/>
                <w:szCs w:val="20"/>
              </w:rPr>
              <w:lastRenderedPageBreak/>
              <w:t>Server</w:t>
            </w:r>
          </w:p>
        </w:tc>
        <w:tc>
          <w:tcPr>
            <w:tcW w:w="1873" w:type="dxa"/>
            <w:tcBorders>
              <w:top w:val="single" w:sz="4" w:space="0" w:color="auto"/>
              <w:left w:val="single" w:sz="4" w:space="0" w:color="auto"/>
              <w:bottom w:val="single" w:sz="4" w:space="0" w:color="auto"/>
              <w:right w:val="single" w:sz="4" w:space="0" w:color="auto"/>
            </w:tcBorders>
            <w:vAlign w:val="center"/>
            <w:hideMark/>
          </w:tcPr>
          <w:p w:rsidR="00456002" w:rsidRPr="003410C7" w:rsidRDefault="00456002" w:rsidP="005C647E">
            <w:pPr>
              <w:pStyle w:val="AppendixTableText"/>
              <w:rPr>
                <w:rFonts w:ascii="Tahoma" w:hAnsi="Tahoma" w:cs="Tahoma"/>
                <w:color w:val="000000"/>
              </w:rPr>
            </w:pPr>
            <w:r w:rsidRPr="003410C7">
              <w:rPr>
                <w:rFonts w:ascii="Tahoma" w:hAnsi="Tahoma" w:cs="Tahoma"/>
                <w:color w:val="000000"/>
              </w:rPr>
              <w:lastRenderedPageBreak/>
              <w:t xml:space="preserve">SA disponibile </w:t>
            </w:r>
          </w:p>
        </w:tc>
        <w:tc>
          <w:tcPr>
            <w:tcW w:w="2431" w:type="dxa"/>
            <w:tcBorders>
              <w:top w:val="single" w:sz="4" w:space="0" w:color="auto"/>
              <w:left w:val="single" w:sz="4" w:space="0" w:color="auto"/>
              <w:bottom w:val="single" w:sz="4" w:space="0" w:color="auto"/>
              <w:right w:val="single" w:sz="4" w:space="0" w:color="auto"/>
            </w:tcBorders>
            <w:vAlign w:val="center"/>
            <w:hideMark/>
          </w:tcPr>
          <w:p w:rsidR="00456002" w:rsidRPr="003410C7" w:rsidRDefault="00456002" w:rsidP="005C647E">
            <w:pPr>
              <w:pStyle w:val="AppendixTableText"/>
              <w:rPr>
                <w:rFonts w:ascii="Tahoma" w:hAnsi="Tahoma" w:cs="Tahoma"/>
                <w:color w:val="000000"/>
              </w:rPr>
            </w:pPr>
            <w:r w:rsidRPr="003410C7">
              <w:rPr>
                <w:rFonts w:ascii="Tahoma" w:hAnsi="Tahoma" w:cs="Tahoma"/>
                <w:color w:val="000000"/>
              </w:rPr>
              <w:t>SA disponibile</w:t>
            </w:r>
          </w:p>
        </w:tc>
        <w:tc>
          <w:tcPr>
            <w:tcW w:w="2971" w:type="dxa"/>
            <w:vMerge/>
            <w:tcBorders>
              <w:top w:val="single" w:sz="4" w:space="0" w:color="auto"/>
              <w:left w:val="single" w:sz="4" w:space="0" w:color="auto"/>
              <w:bottom w:val="single" w:sz="4" w:space="0" w:color="auto"/>
              <w:right w:val="single" w:sz="4" w:space="0" w:color="auto"/>
            </w:tcBorders>
            <w:vAlign w:val="center"/>
            <w:hideMark/>
          </w:tcPr>
          <w:p w:rsidR="00456002" w:rsidRPr="003410C7" w:rsidRDefault="00456002" w:rsidP="005C647E">
            <w:pPr>
              <w:rPr>
                <w:rFonts w:cs="Tahoma"/>
                <w:color w:val="000000"/>
                <w:szCs w:val="18"/>
              </w:rPr>
            </w:pPr>
          </w:p>
        </w:tc>
      </w:tr>
    </w:tbl>
    <w:p w:rsidR="00456002" w:rsidRPr="003410C7" w:rsidRDefault="00456002" w:rsidP="00456002">
      <w:pPr>
        <w:ind w:right="720"/>
      </w:pPr>
    </w:p>
    <w:p w:rsidR="00456002" w:rsidRPr="00451078" w:rsidRDefault="00456002" w:rsidP="004525CA">
      <w:pPr>
        <w:pStyle w:val="AppendixBodyText"/>
        <w:spacing w:after="0"/>
        <w:ind w:right="720"/>
        <w:rPr>
          <w:lang w:val="it-IT"/>
        </w:rPr>
      </w:pPr>
      <w:r w:rsidRPr="00451078">
        <w:rPr>
          <w:rFonts w:ascii="Tahoma" w:hAnsi="Tahoma" w:cs="Tahoma"/>
          <w:sz w:val="18"/>
          <w:szCs w:val="18"/>
          <w:lang w:val="it-IT"/>
        </w:rPr>
        <w:t>Le società che acquistano Microsoft Office Professional 2010 da un OEM potranno acquistare Software Assurance per Microsoft Office Standard 2010 nell</w:t>
      </w:r>
      <w:r w:rsidR="004525CA">
        <w:rPr>
          <w:rFonts w:ascii="Tahoma" w:hAnsi="Tahoma" w:cs="Tahoma"/>
          <w:sz w:val="18"/>
          <w:szCs w:val="18"/>
          <w:lang w:val="it-IT"/>
        </w:rPr>
        <w:t>’</w:t>
      </w:r>
      <w:r w:rsidRPr="00451078">
        <w:rPr>
          <w:rFonts w:ascii="Tahoma" w:hAnsi="Tahoma" w:cs="Tahoma"/>
          <w:sz w:val="18"/>
          <w:szCs w:val="18"/>
          <w:lang w:val="it-IT"/>
        </w:rPr>
        <w:t>ambito dei programmi Open License, Select e Select Plus e l</w:t>
      </w:r>
      <w:r w:rsidR="004525CA">
        <w:rPr>
          <w:rFonts w:ascii="Tahoma" w:hAnsi="Tahoma" w:cs="Tahoma"/>
          <w:sz w:val="18"/>
          <w:szCs w:val="18"/>
          <w:lang w:val="it-IT"/>
        </w:rPr>
        <w:t>’</w:t>
      </w:r>
      <w:r w:rsidRPr="00451078">
        <w:rPr>
          <w:rFonts w:ascii="Tahoma" w:hAnsi="Tahoma" w:cs="Tahoma"/>
          <w:sz w:val="18"/>
          <w:szCs w:val="18"/>
          <w:lang w:val="it-IT"/>
        </w:rPr>
        <w:t>opzione non a livello aziendale ai sensi del programma Open Value entro 90 giorni dalla data di acquisto presso l</w:t>
      </w:r>
      <w:r w:rsidR="004525CA">
        <w:rPr>
          <w:rFonts w:ascii="Tahoma" w:hAnsi="Tahoma" w:cs="Tahoma"/>
          <w:sz w:val="18"/>
          <w:szCs w:val="18"/>
          <w:lang w:val="it-IT"/>
        </w:rPr>
        <w:t>’</w:t>
      </w:r>
      <w:r w:rsidRPr="00451078">
        <w:rPr>
          <w:rFonts w:ascii="Tahoma" w:hAnsi="Tahoma" w:cs="Tahoma"/>
          <w:sz w:val="18"/>
          <w:szCs w:val="18"/>
          <w:lang w:val="it-IT"/>
        </w:rPr>
        <w:t>OEM. Le Product Key Card (PKC) Office sono considerate un</w:t>
      </w:r>
      <w:r w:rsidR="004525CA">
        <w:rPr>
          <w:rFonts w:ascii="Tahoma" w:hAnsi="Tahoma" w:cs="Tahoma"/>
          <w:sz w:val="18"/>
          <w:szCs w:val="18"/>
          <w:lang w:val="it-IT"/>
        </w:rPr>
        <w:t>’</w:t>
      </w:r>
      <w:r w:rsidRPr="00451078">
        <w:rPr>
          <w:rFonts w:ascii="Tahoma" w:hAnsi="Tahoma" w:cs="Tahoma"/>
          <w:sz w:val="18"/>
          <w:szCs w:val="18"/>
          <w:lang w:val="it-IT"/>
        </w:rPr>
        <w:t>offerta Full Packaged Product (Dettaglio) e pertanto non sono idonee a beneficiare dell</w:t>
      </w:r>
      <w:r w:rsidR="004525CA">
        <w:rPr>
          <w:rFonts w:ascii="Tahoma" w:hAnsi="Tahoma" w:cs="Tahoma"/>
          <w:sz w:val="18"/>
          <w:szCs w:val="18"/>
          <w:lang w:val="it-IT"/>
        </w:rPr>
        <w:t>’</w:t>
      </w:r>
      <w:r w:rsidRPr="00451078">
        <w:rPr>
          <w:rFonts w:ascii="Tahoma" w:hAnsi="Tahoma" w:cs="Tahoma"/>
          <w:sz w:val="18"/>
          <w:szCs w:val="18"/>
          <w:lang w:val="it-IT"/>
        </w:rPr>
        <w:t>opzione di acquisto di Software Assurance.</w:t>
      </w:r>
    </w:p>
    <w:p w:rsidR="00255158" w:rsidRPr="00451078" w:rsidRDefault="00255158" w:rsidP="00B147AB">
      <w:pPr>
        <w:pStyle w:val="AppendixBodyText"/>
        <w:spacing w:after="0"/>
        <w:ind w:right="720"/>
        <w:rPr>
          <w:lang w:val="it-IT"/>
        </w:rPr>
      </w:pPr>
    </w:p>
    <w:p w:rsidR="00456002" w:rsidRPr="00451078" w:rsidRDefault="00456002" w:rsidP="00456002">
      <w:pPr>
        <w:pStyle w:val="Heading2"/>
        <w:ind w:left="0" w:right="720"/>
        <w:rPr>
          <w:lang w:val="it-IT"/>
        </w:rPr>
      </w:pPr>
      <w:bookmarkStart w:id="699" w:name="_Toc323819651"/>
      <w:bookmarkStart w:id="700" w:name="_Toc336338202"/>
      <w:bookmarkStart w:id="701" w:name="_Toc352234797"/>
      <w:r w:rsidRPr="00451078">
        <w:rPr>
          <w:rFonts w:ascii="Tahoma" w:hAnsi="Tahoma" w:cs="Tahoma"/>
          <w:lang w:val="it-IT"/>
        </w:rPr>
        <w:t>Licenze Step-Up</w:t>
      </w:r>
      <w:bookmarkEnd w:id="699"/>
      <w:bookmarkEnd w:id="700"/>
      <w:bookmarkEnd w:id="701"/>
    </w:p>
    <w:p w:rsidR="00456002" w:rsidRPr="00451078" w:rsidRDefault="00456002" w:rsidP="00B147AB">
      <w:pPr>
        <w:ind w:right="720"/>
        <w:rPr>
          <w:lang w:val="it-IT"/>
        </w:rPr>
      </w:pPr>
    </w:p>
    <w:p w:rsidR="00456002" w:rsidRPr="000343AA" w:rsidRDefault="00456002" w:rsidP="004525CA">
      <w:pPr>
        <w:pStyle w:val="AppendixIndent"/>
        <w:ind w:left="0" w:right="720"/>
        <w:rPr>
          <w:rFonts w:ascii="Tahoma" w:hAnsi="Tahoma" w:cs="Tahoma"/>
          <w:sz w:val="18"/>
          <w:szCs w:val="18"/>
          <w:lang w:val="it-IT"/>
        </w:rPr>
      </w:pPr>
      <w:r w:rsidRPr="000343AA">
        <w:rPr>
          <w:rFonts w:ascii="Tahoma" w:hAnsi="Tahoma" w:cs="Tahoma"/>
          <w:sz w:val="18"/>
          <w:szCs w:val="18"/>
          <w:lang w:val="it-IT"/>
        </w:rPr>
        <w:t xml:space="preserve">Le società potranno migrare dall’edizione standard a un’edizione premium di determinati prodotti con una Licenza Step-Up. Le società dovranno disporre di una licenza con copertura Software </w:t>
      </w:r>
      <w:r w:rsidRPr="000343AA">
        <w:rPr>
          <w:rFonts w:ascii="Tahoma" w:hAnsi="Tahoma" w:cs="Tahoma"/>
          <w:color w:val="000000"/>
          <w:sz w:val="18"/>
          <w:szCs w:val="18"/>
          <w:lang w:val="it-IT"/>
        </w:rPr>
        <w:t>Assurance attiva per il</w:t>
      </w:r>
      <w:r w:rsidR="002E2C37" w:rsidRPr="000343AA">
        <w:rPr>
          <w:rFonts w:ascii="Tahoma" w:hAnsi="Tahoma" w:cs="Tahoma"/>
          <w:color w:val="000000"/>
          <w:sz w:val="18"/>
          <w:szCs w:val="18"/>
          <w:lang w:val="it-IT"/>
        </w:rPr>
        <w:t> </w:t>
      </w:r>
      <w:r w:rsidRPr="000343AA">
        <w:rPr>
          <w:rFonts w:ascii="Tahoma" w:hAnsi="Tahoma" w:cs="Tahoma"/>
          <w:color w:val="000000"/>
          <w:sz w:val="18"/>
          <w:szCs w:val="18"/>
          <w:lang w:val="it-IT"/>
        </w:rPr>
        <w:t>prodotto qualificante, al fine di acquistare una Licenza Step-Up. La Licenza Step-Up dovrà essere acquistata, e sarà valida unicamente dopo l’acquisto, nell’ambito del medesimo contratto del Programma di</w:t>
      </w:r>
      <w:r w:rsidR="002E2C37" w:rsidRPr="000343AA">
        <w:rPr>
          <w:rFonts w:ascii="Tahoma" w:hAnsi="Tahoma" w:cs="Tahoma"/>
          <w:color w:val="000000"/>
          <w:sz w:val="18"/>
          <w:szCs w:val="18"/>
          <w:lang w:val="it-IT"/>
        </w:rPr>
        <w:t> </w:t>
      </w:r>
      <w:r w:rsidRPr="000343AA">
        <w:rPr>
          <w:rFonts w:ascii="Tahoma" w:hAnsi="Tahoma" w:cs="Tahoma"/>
          <w:color w:val="000000"/>
          <w:sz w:val="18"/>
          <w:szCs w:val="18"/>
          <w:lang w:val="it-IT"/>
        </w:rPr>
        <w:t>Contratti Multilicenza e della medesima iscrizione, se disponibili, ai sensi dei quali è stata originariamente acquistata la copertura per la protezione dell’aggiornamento del prodotto qualificante. Il diritto di utilizzo del software da parte della società ai sensi della Licenza Step-Up è subordinato al possesso e al mantenimento di una Licenza per il</w:t>
      </w:r>
      <w:r w:rsidRPr="000343AA">
        <w:rPr>
          <w:rFonts w:ascii="Tahoma" w:hAnsi="Tahoma" w:cs="Tahoma"/>
          <w:sz w:val="18"/>
          <w:szCs w:val="18"/>
          <w:lang w:val="it-IT"/>
        </w:rPr>
        <w:t xml:space="preserve"> prodotto qualificante. Le società non possono trasferire la Licenza per il prodotto qualificante separatamente dalla Licenza Step-Up.</w:t>
      </w:r>
      <w:r w:rsidR="00082E1C" w:rsidRPr="000343AA">
        <w:rPr>
          <w:rFonts w:ascii="Tahoma" w:hAnsi="Tahoma" w:cs="Tahoma"/>
          <w:sz w:val="18"/>
          <w:szCs w:val="18"/>
          <w:lang w:val="it-IT"/>
        </w:rPr>
        <w:t xml:space="preserve"> </w:t>
      </w:r>
      <w:r w:rsidRPr="000343AA">
        <w:rPr>
          <w:rFonts w:ascii="Tahoma" w:hAnsi="Tahoma" w:cs="Tahoma"/>
          <w:sz w:val="18"/>
          <w:szCs w:val="18"/>
          <w:lang w:val="it-IT"/>
        </w:rPr>
        <w:t>Per ulteriori informazioni e per conoscere la disponibilità delle licenze, consultare il Documento relativo alla Licenza Step-up per Enterprise Edition nel quadro del Programma Volume License all</w:t>
      </w:r>
      <w:r w:rsidR="004525CA">
        <w:rPr>
          <w:rFonts w:ascii="Tahoma" w:hAnsi="Tahoma" w:cs="Tahoma"/>
          <w:sz w:val="18"/>
          <w:szCs w:val="18"/>
          <w:lang w:val="it-IT"/>
        </w:rPr>
        <w:t>’</w:t>
      </w:r>
      <w:r w:rsidRPr="000343AA">
        <w:rPr>
          <w:rFonts w:ascii="Tahoma" w:hAnsi="Tahoma" w:cs="Tahoma"/>
          <w:sz w:val="18"/>
          <w:szCs w:val="18"/>
          <w:lang w:val="it-IT"/>
        </w:rPr>
        <w:t>indirizzo: http://</w:t>
      </w:r>
      <w:hyperlink r:id="rId23" w:history="1">
        <w:r w:rsidRPr="000343AA">
          <w:rPr>
            <w:rStyle w:val="Hyperlink"/>
            <w:rFonts w:ascii="Tahoma" w:hAnsi="Tahoma" w:cs="Tahoma"/>
            <w:sz w:val="18"/>
            <w:szCs w:val="18"/>
            <w:lang w:val="it-IT"/>
          </w:rPr>
          <w:t>www.microsoft.com/licensing</w:t>
        </w:r>
      </w:hyperlink>
      <w:r w:rsidRPr="000343AA">
        <w:rPr>
          <w:rFonts w:ascii="Tahoma" w:hAnsi="Tahoma" w:cs="Tahoma"/>
          <w:sz w:val="18"/>
          <w:szCs w:val="18"/>
          <w:lang w:val="it-IT"/>
        </w:rPr>
        <w:t>.</w:t>
      </w:r>
    </w:p>
    <w:p w:rsidR="00ED589D" w:rsidRPr="00451078" w:rsidRDefault="00ED589D" w:rsidP="00ED589D">
      <w:pPr>
        <w:rPr>
          <w:lang w:val="it-IT"/>
        </w:rPr>
      </w:pPr>
    </w:p>
    <w:p w:rsidR="00456002" w:rsidRPr="00451078" w:rsidRDefault="00456002" w:rsidP="00456002">
      <w:pPr>
        <w:pStyle w:val="Heading2"/>
        <w:ind w:left="0" w:right="720"/>
        <w:rPr>
          <w:lang w:val="it-IT"/>
        </w:rPr>
      </w:pPr>
      <w:bookmarkStart w:id="702" w:name="_Toc323819652"/>
      <w:bookmarkStart w:id="703" w:name="_Toc336338203"/>
      <w:bookmarkStart w:id="704" w:name="_Toc352234798"/>
      <w:r w:rsidRPr="00451078">
        <w:rPr>
          <w:rFonts w:ascii="Tahoma" w:hAnsi="Tahoma" w:cs="Tahoma"/>
          <w:lang w:val="it-IT"/>
        </w:rPr>
        <w:t xml:space="preserve">Licenze </w:t>
      </w:r>
      <w:r w:rsidR="001A3EC5" w:rsidRPr="00451078">
        <w:rPr>
          <w:rFonts w:ascii="Tahoma" w:hAnsi="Tahoma" w:cs="Tahoma"/>
          <w:lang w:val="it-IT"/>
        </w:rPr>
        <w:t>“</w:t>
      </w:r>
      <w:r w:rsidRPr="00451078">
        <w:rPr>
          <w:rFonts w:ascii="Tahoma" w:hAnsi="Tahoma" w:cs="Tahoma"/>
          <w:lang w:val="it-IT"/>
        </w:rPr>
        <w:t>Subscription</w:t>
      </w:r>
      <w:r w:rsidR="001A3EC5" w:rsidRPr="00451078">
        <w:rPr>
          <w:rFonts w:ascii="Tahoma" w:hAnsi="Tahoma" w:cs="Tahoma"/>
          <w:lang w:val="it-IT"/>
        </w:rPr>
        <w:t>”</w:t>
      </w:r>
      <w:bookmarkEnd w:id="702"/>
      <w:bookmarkEnd w:id="703"/>
      <w:bookmarkEnd w:id="704"/>
      <w:r w:rsidRPr="00451078">
        <w:rPr>
          <w:rFonts w:ascii="Tahoma" w:hAnsi="Tahoma" w:cs="Tahoma"/>
          <w:lang w:val="it-IT"/>
        </w:rPr>
        <w:t xml:space="preserve"> </w:t>
      </w:r>
    </w:p>
    <w:p w:rsidR="00456002" w:rsidRPr="00451078" w:rsidRDefault="00456002" w:rsidP="007C05C1">
      <w:pPr>
        <w:ind w:right="720"/>
        <w:rPr>
          <w:lang w:val="it-IT"/>
        </w:rPr>
      </w:pPr>
    </w:p>
    <w:p w:rsidR="00456002" w:rsidRPr="004525CA" w:rsidRDefault="00456002" w:rsidP="004525CA">
      <w:pPr>
        <w:pStyle w:val="AppendixIndent"/>
        <w:spacing w:before="0"/>
        <w:ind w:left="0" w:right="720"/>
        <w:rPr>
          <w:lang w:val="it-IT"/>
        </w:rPr>
      </w:pPr>
      <w:r w:rsidRPr="00451078">
        <w:rPr>
          <w:rFonts w:ascii="Tahoma" w:hAnsi="Tahoma" w:cs="Tahoma"/>
          <w:sz w:val="18"/>
          <w:lang w:val="it-IT"/>
        </w:rPr>
        <w:t>Questo tipo di prodotto è disponibile per i Servizi Online e per alcuni prodotti software, non dipende dalla versione e consente alle società di utilizzare il software e, nel caso di un Servizio Online, il servizio durante il</w:t>
      </w:r>
      <w:r w:rsidR="002E2C37" w:rsidRPr="00451078">
        <w:rPr>
          <w:rFonts w:ascii="Tahoma" w:hAnsi="Tahoma" w:cs="Tahoma"/>
          <w:sz w:val="18"/>
          <w:lang w:val="it-IT"/>
        </w:rPr>
        <w:t> </w:t>
      </w:r>
      <w:r w:rsidRPr="00451078">
        <w:rPr>
          <w:rFonts w:ascii="Tahoma" w:hAnsi="Tahoma" w:cs="Tahoma"/>
          <w:sz w:val="18"/>
          <w:lang w:val="it-IT"/>
        </w:rPr>
        <w:t>periodo di validità dell</w:t>
      </w:r>
      <w:r w:rsidR="004525CA">
        <w:rPr>
          <w:rFonts w:ascii="Tahoma" w:hAnsi="Tahoma" w:cs="Tahoma"/>
          <w:sz w:val="18"/>
          <w:lang w:val="it-IT"/>
        </w:rPr>
        <w:t>’</w:t>
      </w:r>
      <w:r w:rsidRPr="00451078">
        <w:rPr>
          <w:rFonts w:ascii="Tahoma" w:hAnsi="Tahoma" w:cs="Tahoma"/>
          <w:sz w:val="18"/>
          <w:lang w:val="it-IT"/>
        </w:rPr>
        <w:t>iscrizione Select o Enterprise oppure del contratto Open ai sensi del quale viene acquistato.</w:t>
      </w:r>
      <w:r w:rsidR="00082E1C" w:rsidRPr="00451078">
        <w:rPr>
          <w:rFonts w:ascii="Tahoma" w:hAnsi="Tahoma" w:cs="Tahoma"/>
          <w:sz w:val="18"/>
          <w:lang w:val="it-IT"/>
        </w:rPr>
        <w:t xml:space="preserve"> </w:t>
      </w:r>
      <w:r w:rsidRPr="00451078">
        <w:rPr>
          <w:rFonts w:ascii="Tahoma" w:hAnsi="Tahoma" w:cs="Tahoma"/>
          <w:sz w:val="18"/>
          <w:lang w:val="it-IT"/>
        </w:rPr>
        <w:t xml:space="preserve">Le licenze </w:t>
      </w:r>
      <w:r w:rsidR="001A3EC5" w:rsidRPr="00451078">
        <w:rPr>
          <w:rFonts w:ascii="Tahoma" w:hAnsi="Tahoma" w:cs="Tahoma"/>
          <w:sz w:val="18"/>
          <w:lang w:val="it-IT"/>
        </w:rPr>
        <w:t>“</w:t>
      </w:r>
      <w:r w:rsidRPr="00451078">
        <w:rPr>
          <w:rFonts w:ascii="Tahoma" w:hAnsi="Tahoma" w:cs="Tahoma"/>
          <w:sz w:val="18"/>
          <w:lang w:val="it-IT"/>
        </w:rPr>
        <w:t>Subscription</w:t>
      </w:r>
      <w:r w:rsidR="001A3EC5" w:rsidRPr="00451078">
        <w:rPr>
          <w:rFonts w:ascii="Tahoma" w:hAnsi="Tahoma" w:cs="Tahoma"/>
          <w:sz w:val="18"/>
          <w:lang w:val="it-IT"/>
        </w:rPr>
        <w:t>”</w:t>
      </w:r>
      <w:r w:rsidRPr="00451078">
        <w:rPr>
          <w:rFonts w:ascii="Tahoma" w:hAnsi="Tahoma" w:cs="Tahoma"/>
          <w:sz w:val="18"/>
          <w:lang w:val="it-IT"/>
        </w:rPr>
        <w:t xml:space="preserve"> acquistate ai sensi di un Contratto Enterprise o Enterprise Subscription dovranno essere acquistate in occasione del primo accesso al servizio e verranno suddivise in misura proporzionale sulla base del numero di mesi che rimangono alla scadenza del periodo di validità del contratto o dell</w:t>
      </w:r>
      <w:r w:rsidR="004525CA">
        <w:rPr>
          <w:rFonts w:ascii="Tahoma" w:hAnsi="Tahoma" w:cs="Tahoma"/>
          <w:sz w:val="18"/>
          <w:lang w:val="it-IT"/>
        </w:rPr>
        <w:t>’</w:t>
      </w:r>
      <w:r w:rsidRPr="00451078">
        <w:rPr>
          <w:rFonts w:ascii="Tahoma" w:hAnsi="Tahoma" w:cs="Tahoma"/>
          <w:sz w:val="18"/>
          <w:lang w:val="it-IT"/>
        </w:rPr>
        <w:t xml:space="preserve">iscrizione. </w:t>
      </w:r>
      <w:r w:rsidRPr="004525CA">
        <w:rPr>
          <w:rFonts w:ascii="Tahoma" w:hAnsi="Tahoma" w:cs="Tahoma"/>
          <w:sz w:val="18"/>
          <w:lang w:val="it-IT"/>
        </w:rPr>
        <w:t xml:space="preserve">Disponibile nei seguenti programmi: </w:t>
      </w:r>
    </w:p>
    <w:p w:rsidR="00456002" w:rsidRPr="004525CA" w:rsidRDefault="00456002" w:rsidP="00B147AB">
      <w:pPr>
        <w:pStyle w:val="AppendixIndent"/>
        <w:spacing w:before="0"/>
        <w:ind w:left="0" w:right="720"/>
        <w:rPr>
          <w:lang w:val="it-IT"/>
        </w:rPr>
      </w:pPr>
    </w:p>
    <w:p w:rsidR="00456002" w:rsidRPr="003410C7" w:rsidRDefault="00456002" w:rsidP="00745AB3">
      <w:pPr>
        <w:pStyle w:val="AppendixBulletIndent"/>
        <w:numPr>
          <w:ilvl w:val="0"/>
          <w:numId w:val="65"/>
        </w:numPr>
        <w:tabs>
          <w:tab w:val="left" w:pos="1440"/>
        </w:tabs>
        <w:spacing w:after="60"/>
        <w:ind w:left="1440" w:right="720"/>
      </w:pPr>
      <w:r w:rsidRPr="003410C7">
        <w:rPr>
          <w:rFonts w:ascii="Tahoma" w:hAnsi="Tahoma" w:cs="Tahoma"/>
          <w:sz w:val="18"/>
        </w:rPr>
        <w:t>Open Value</w:t>
      </w:r>
    </w:p>
    <w:p w:rsidR="00456002" w:rsidRPr="003410C7" w:rsidRDefault="00456002" w:rsidP="00745AB3">
      <w:pPr>
        <w:pStyle w:val="AppendixBulletIndent"/>
        <w:numPr>
          <w:ilvl w:val="0"/>
          <w:numId w:val="65"/>
        </w:numPr>
        <w:tabs>
          <w:tab w:val="left" w:pos="1440"/>
        </w:tabs>
        <w:spacing w:after="60"/>
        <w:ind w:left="1440" w:right="720"/>
      </w:pPr>
      <w:r w:rsidRPr="003410C7">
        <w:rPr>
          <w:rFonts w:ascii="Tahoma" w:hAnsi="Tahoma" w:cs="Tahoma"/>
          <w:sz w:val="18"/>
        </w:rPr>
        <w:t xml:space="preserve">Open Value Subscription </w:t>
      </w:r>
    </w:p>
    <w:p w:rsidR="00456002" w:rsidRPr="003410C7" w:rsidRDefault="00456002" w:rsidP="00745AB3">
      <w:pPr>
        <w:pStyle w:val="AppendixBulletIndent"/>
        <w:numPr>
          <w:ilvl w:val="0"/>
          <w:numId w:val="65"/>
        </w:numPr>
        <w:tabs>
          <w:tab w:val="left" w:pos="1440"/>
        </w:tabs>
        <w:spacing w:after="60"/>
        <w:ind w:left="1440" w:right="720"/>
      </w:pPr>
      <w:r w:rsidRPr="003410C7">
        <w:rPr>
          <w:rFonts w:ascii="Tahoma" w:hAnsi="Tahoma" w:cs="Tahoma"/>
          <w:sz w:val="18"/>
        </w:rPr>
        <w:t xml:space="preserve">Select </w:t>
      </w:r>
    </w:p>
    <w:p w:rsidR="00456002" w:rsidRPr="003410C7" w:rsidRDefault="00456002" w:rsidP="00745AB3">
      <w:pPr>
        <w:pStyle w:val="AppendixBulletIndent"/>
        <w:numPr>
          <w:ilvl w:val="0"/>
          <w:numId w:val="65"/>
        </w:numPr>
        <w:tabs>
          <w:tab w:val="left" w:pos="1440"/>
        </w:tabs>
        <w:spacing w:after="60"/>
        <w:ind w:left="1440" w:right="720"/>
      </w:pPr>
      <w:r w:rsidRPr="003410C7">
        <w:rPr>
          <w:rFonts w:ascii="Tahoma" w:hAnsi="Tahoma" w:cs="Tahoma"/>
          <w:sz w:val="18"/>
        </w:rPr>
        <w:t>Select Plus</w:t>
      </w:r>
    </w:p>
    <w:p w:rsidR="00456002" w:rsidRPr="003410C7" w:rsidRDefault="00456002" w:rsidP="00745AB3">
      <w:pPr>
        <w:pStyle w:val="AppendixBulletIndent"/>
        <w:numPr>
          <w:ilvl w:val="0"/>
          <w:numId w:val="65"/>
        </w:numPr>
        <w:tabs>
          <w:tab w:val="left" w:pos="1440"/>
        </w:tabs>
        <w:spacing w:after="60"/>
        <w:ind w:left="1440" w:right="720"/>
      </w:pPr>
      <w:r w:rsidRPr="003410C7">
        <w:rPr>
          <w:rFonts w:ascii="Tahoma" w:hAnsi="Tahoma" w:cs="Tahoma"/>
          <w:sz w:val="18"/>
        </w:rPr>
        <w:t>School</w:t>
      </w:r>
    </w:p>
    <w:p w:rsidR="00456002" w:rsidRPr="003410C7" w:rsidRDefault="00456002" w:rsidP="00745AB3">
      <w:pPr>
        <w:pStyle w:val="AppendixBulletIndent"/>
        <w:numPr>
          <w:ilvl w:val="0"/>
          <w:numId w:val="65"/>
        </w:numPr>
        <w:tabs>
          <w:tab w:val="left" w:pos="1440"/>
        </w:tabs>
        <w:spacing w:after="60"/>
        <w:ind w:left="1440" w:right="720"/>
      </w:pPr>
      <w:r w:rsidRPr="003410C7">
        <w:rPr>
          <w:rFonts w:ascii="Tahoma" w:hAnsi="Tahoma" w:cs="Tahoma"/>
          <w:sz w:val="18"/>
        </w:rPr>
        <w:t>EES</w:t>
      </w:r>
    </w:p>
    <w:p w:rsidR="00456002" w:rsidRPr="003410C7" w:rsidRDefault="00456002" w:rsidP="00745AB3">
      <w:pPr>
        <w:pStyle w:val="AppendixBulletIndent"/>
        <w:numPr>
          <w:ilvl w:val="0"/>
          <w:numId w:val="65"/>
        </w:numPr>
        <w:tabs>
          <w:tab w:val="left" w:pos="1440"/>
        </w:tabs>
        <w:spacing w:after="60"/>
        <w:ind w:left="1440" w:right="720"/>
      </w:pPr>
      <w:r w:rsidRPr="003410C7">
        <w:rPr>
          <w:rFonts w:ascii="Tahoma" w:hAnsi="Tahoma" w:cs="Tahoma"/>
          <w:sz w:val="18"/>
        </w:rPr>
        <w:t>Contratto Enterprise</w:t>
      </w:r>
    </w:p>
    <w:p w:rsidR="00456002" w:rsidRPr="003410C7" w:rsidRDefault="00456002" w:rsidP="00745AB3">
      <w:pPr>
        <w:pStyle w:val="AppendixIndent"/>
        <w:numPr>
          <w:ilvl w:val="0"/>
          <w:numId w:val="65"/>
        </w:numPr>
        <w:tabs>
          <w:tab w:val="left" w:pos="1440"/>
        </w:tabs>
        <w:spacing w:before="0"/>
        <w:ind w:left="1440" w:right="720"/>
      </w:pPr>
      <w:r w:rsidRPr="003410C7">
        <w:rPr>
          <w:rFonts w:ascii="Tahoma" w:hAnsi="Tahoma" w:cs="Tahoma"/>
          <w:sz w:val="18"/>
        </w:rPr>
        <w:t>Contratto Enterprise Subscription</w:t>
      </w:r>
    </w:p>
    <w:p w:rsidR="002E2C37" w:rsidRDefault="002E2C37" w:rsidP="00B147AB"/>
    <w:p w:rsidR="002E2C37" w:rsidRPr="003410C7" w:rsidRDefault="002E2C37" w:rsidP="00B147AB"/>
    <w:p w:rsidR="00456002" w:rsidRPr="003410C7" w:rsidRDefault="00456002" w:rsidP="00456002">
      <w:pPr>
        <w:pStyle w:val="Heading2"/>
        <w:ind w:left="0" w:right="720"/>
      </w:pPr>
      <w:bookmarkStart w:id="705" w:name="_Toc323819653"/>
      <w:bookmarkStart w:id="706" w:name="_Toc336338204"/>
      <w:bookmarkStart w:id="707" w:name="_Toc352234799"/>
      <w:r w:rsidRPr="003410C7">
        <w:rPr>
          <w:rFonts w:ascii="Tahoma" w:hAnsi="Tahoma" w:cs="Tahoma"/>
        </w:rPr>
        <w:t>Aggiornamento</w:t>
      </w:r>
      <w:bookmarkEnd w:id="705"/>
      <w:bookmarkEnd w:id="706"/>
      <w:bookmarkEnd w:id="707"/>
    </w:p>
    <w:p w:rsidR="00456002" w:rsidRPr="003410C7" w:rsidRDefault="00456002" w:rsidP="00B147AB">
      <w:pPr>
        <w:pStyle w:val="AppendixIndent"/>
        <w:spacing w:before="0"/>
        <w:ind w:left="0" w:right="720"/>
      </w:pPr>
    </w:p>
    <w:p w:rsidR="00456002" w:rsidRPr="003410C7" w:rsidRDefault="00456002" w:rsidP="00475774">
      <w:pPr>
        <w:pStyle w:val="AppendixIndent"/>
        <w:spacing w:before="0"/>
        <w:ind w:left="0"/>
      </w:pPr>
      <w:r w:rsidRPr="00451078">
        <w:rPr>
          <w:rFonts w:ascii="Tahoma" w:hAnsi="Tahoma" w:cs="Tahoma"/>
          <w:sz w:val="18"/>
          <w:lang w:val="it-IT"/>
        </w:rPr>
        <w:t xml:space="preserve">Questo tipo di prodotto è disponibile solo per il </w:t>
      </w:r>
      <w:r w:rsidRPr="00451078">
        <w:rPr>
          <w:rFonts w:ascii="Tahoma" w:hAnsi="Tahoma" w:cs="Tahoma"/>
          <w:sz w:val="18"/>
          <w:u w:val="single"/>
          <w:lang w:val="it-IT"/>
        </w:rPr>
        <w:t>Sistema Operativo Desktop Windows</w:t>
      </w:r>
      <w:r w:rsidRPr="00451078">
        <w:rPr>
          <w:rFonts w:ascii="Tahoma" w:hAnsi="Tahoma" w:cs="Tahoma"/>
          <w:sz w:val="18"/>
          <w:lang w:val="it-IT"/>
        </w:rPr>
        <w:t>, dipende dalla versione e concede il diritto di eseguire la versione del prodotto per il quale viene ordinata.</w:t>
      </w:r>
      <w:r w:rsidR="00082E1C" w:rsidRPr="00451078">
        <w:rPr>
          <w:rFonts w:ascii="Tahoma" w:hAnsi="Tahoma" w:cs="Tahoma"/>
          <w:sz w:val="18"/>
          <w:lang w:val="it-IT"/>
        </w:rPr>
        <w:t xml:space="preserve"> </w:t>
      </w:r>
      <w:r w:rsidRPr="003410C7">
        <w:rPr>
          <w:rFonts w:ascii="Tahoma" w:hAnsi="Tahoma" w:cs="Tahoma"/>
          <w:sz w:val="18"/>
        </w:rPr>
        <w:t>Disponibile nei seguenti programmi:</w:t>
      </w:r>
    </w:p>
    <w:p w:rsidR="00456002" w:rsidRPr="003410C7" w:rsidRDefault="00456002" w:rsidP="00B147AB">
      <w:pPr>
        <w:pStyle w:val="AppendixIndent"/>
        <w:spacing w:before="0"/>
        <w:ind w:left="0" w:right="720"/>
      </w:pPr>
    </w:p>
    <w:p w:rsidR="00385C82" w:rsidRPr="003410C7" w:rsidRDefault="00385C82" w:rsidP="00745AB3">
      <w:pPr>
        <w:pStyle w:val="AppendixBulletIndent"/>
        <w:numPr>
          <w:ilvl w:val="0"/>
          <w:numId w:val="58"/>
        </w:numPr>
        <w:tabs>
          <w:tab w:val="left" w:pos="1440"/>
        </w:tabs>
        <w:spacing w:after="60"/>
        <w:ind w:left="1440" w:right="720"/>
      </w:pPr>
      <w:r w:rsidRPr="003410C7">
        <w:rPr>
          <w:rFonts w:ascii="Tahoma" w:hAnsi="Tahoma" w:cs="Tahoma"/>
          <w:sz w:val="18"/>
          <w:szCs w:val="18"/>
        </w:rPr>
        <w:t>Licenza Open</w:t>
      </w:r>
    </w:p>
    <w:p w:rsidR="00385C82" w:rsidRPr="003410C7" w:rsidRDefault="00385C82" w:rsidP="00745AB3">
      <w:pPr>
        <w:pStyle w:val="AppendixBulletIndent"/>
        <w:numPr>
          <w:ilvl w:val="0"/>
          <w:numId w:val="58"/>
        </w:numPr>
        <w:tabs>
          <w:tab w:val="left" w:pos="1440"/>
        </w:tabs>
        <w:spacing w:after="60"/>
        <w:ind w:left="1440" w:right="720"/>
      </w:pPr>
      <w:r w:rsidRPr="003410C7">
        <w:rPr>
          <w:rFonts w:ascii="Tahoma" w:hAnsi="Tahoma" w:cs="Tahoma"/>
          <w:sz w:val="18"/>
          <w:szCs w:val="18"/>
        </w:rPr>
        <w:t xml:space="preserve">Open Value Subscription (solo per ordini buy-out) </w:t>
      </w:r>
    </w:p>
    <w:p w:rsidR="00385C82" w:rsidRPr="003410C7" w:rsidRDefault="00385C82" w:rsidP="00745AB3">
      <w:pPr>
        <w:pStyle w:val="AppendixBulletIndent"/>
        <w:numPr>
          <w:ilvl w:val="0"/>
          <w:numId w:val="58"/>
        </w:numPr>
        <w:tabs>
          <w:tab w:val="left" w:pos="1440"/>
        </w:tabs>
        <w:spacing w:after="60"/>
        <w:ind w:left="1440" w:right="720"/>
      </w:pPr>
      <w:r w:rsidRPr="003410C7">
        <w:rPr>
          <w:rFonts w:ascii="Tahoma" w:hAnsi="Tahoma" w:cs="Tahoma"/>
          <w:sz w:val="18"/>
          <w:szCs w:val="18"/>
        </w:rPr>
        <w:t xml:space="preserve">Select </w:t>
      </w:r>
    </w:p>
    <w:p w:rsidR="00385C82" w:rsidRPr="003410C7" w:rsidRDefault="00385C82" w:rsidP="00745AB3">
      <w:pPr>
        <w:pStyle w:val="AppendixBulletIndent"/>
        <w:numPr>
          <w:ilvl w:val="0"/>
          <w:numId w:val="58"/>
        </w:numPr>
        <w:tabs>
          <w:tab w:val="left" w:pos="1440"/>
        </w:tabs>
        <w:spacing w:after="60"/>
        <w:ind w:left="1440" w:right="720"/>
      </w:pPr>
      <w:r w:rsidRPr="003410C7">
        <w:rPr>
          <w:rFonts w:ascii="Tahoma" w:hAnsi="Tahoma" w:cs="Tahoma"/>
          <w:sz w:val="18"/>
          <w:szCs w:val="18"/>
        </w:rPr>
        <w:lastRenderedPageBreak/>
        <w:t>Select Plus</w:t>
      </w:r>
    </w:p>
    <w:p w:rsidR="00385C82" w:rsidRPr="00451078" w:rsidRDefault="00385C82" w:rsidP="00745AB3">
      <w:pPr>
        <w:pStyle w:val="AppendixBulletIndent"/>
        <w:numPr>
          <w:ilvl w:val="0"/>
          <w:numId w:val="58"/>
        </w:numPr>
        <w:tabs>
          <w:tab w:val="left" w:pos="1440"/>
        </w:tabs>
        <w:spacing w:after="60"/>
        <w:ind w:left="1440" w:right="720"/>
        <w:rPr>
          <w:lang w:val="it-IT"/>
        </w:rPr>
      </w:pPr>
      <w:r w:rsidRPr="00451078">
        <w:rPr>
          <w:rFonts w:ascii="Tahoma" w:hAnsi="Tahoma" w:cs="Tahoma"/>
          <w:sz w:val="18"/>
          <w:szCs w:val="18"/>
          <w:lang w:val="it-IT"/>
        </w:rPr>
        <w:t>Contratto School (solo per ordini buy-out)</w:t>
      </w:r>
    </w:p>
    <w:p w:rsidR="00385C82" w:rsidRPr="00451078" w:rsidRDefault="00385C82" w:rsidP="00745AB3">
      <w:pPr>
        <w:pStyle w:val="AppendixBulletIndent"/>
        <w:numPr>
          <w:ilvl w:val="0"/>
          <w:numId w:val="58"/>
        </w:numPr>
        <w:tabs>
          <w:tab w:val="left" w:pos="1440"/>
        </w:tabs>
        <w:spacing w:after="60"/>
        <w:ind w:left="1440" w:right="720"/>
        <w:rPr>
          <w:lang w:val="it-IT"/>
        </w:rPr>
      </w:pPr>
      <w:r w:rsidRPr="00451078">
        <w:rPr>
          <w:rFonts w:ascii="Tahoma" w:hAnsi="Tahoma" w:cs="Tahoma"/>
          <w:sz w:val="18"/>
          <w:szCs w:val="18"/>
          <w:lang w:val="it-IT"/>
        </w:rPr>
        <w:t>EES (solo per ordini buy-out)</w:t>
      </w:r>
    </w:p>
    <w:p w:rsidR="00385C82" w:rsidRPr="00451078" w:rsidRDefault="00385C82" w:rsidP="00745AB3">
      <w:pPr>
        <w:pStyle w:val="AppendixBulletIndent"/>
        <w:numPr>
          <w:ilvl w:val="0"/>
          <w:numId w:val="58"/>
        </w:numPr>
        <w:tabs>
          <w:tab w:val="left" w:pos="1440"/>
        </w:tabs>
        <w:ind w:left="1440" w:right="720"/>
        <w:rPr>
          <w:lang w:val="it-IT"/>
        </w:rPr>
      </w:pPr>
      <w:r w:rsidRPr="00451078">
        <w:rPr>
          <w:rFonts w:ascii="Tahoma" w:hAnsi="Tahoma" w:cs="Tahoma"/>
          <w:sz w:val="18"/>
          <w:szCs w:val="18"/>
          <w:lang w:val="it-IT"/>
        </w:rPr>
        <w:t>Contratto Enterprise Subscription (solo per ordini buy-out)</w:t>
      </w:r>
    </w:p>
    <w:p w:rsidR="00456002" w:rsidRPr="00451078" w:rsidRDefault="00456002" w:rsidP="00B147AB">
      <w:pPr>
        <w:pStyle w:val="AppendixIndent"/>
        <w:spacing w:before="0"/>
        <w:ind w:left="0" w:right="720"/>
        <w:rPr>
          <w:lang w:val="it-IT"/>
        </w:rPr>
      </w:pPr>
    </w:p>
    <w:p w:rsidR="00456002" w:rsidRPr="00451078" w:rsidRDefault="00456002" w:rsidP="004525CA">
      <w:pPr>
        <w:pStyle w:val="AppendixIndent"/>
        <w:spacing w:before="0"/>
        <w:ind w:left="0" w:right="720"/>
        <w:rPr>
          <w:lang w:val="it-IT"/>
        </w:rPr>
      </w:pPr>
      <w:r w:rsidRPr="00451078">
        <w:rPr>
          <w:rFonts w:ascii="Tahoma" w:hAnsi="Tahoma" w:cs="Tahoma"/>
          <w:sz w:val="18"/>
          <w:lang w:val="it-IT"/>
        </w:rPr>
        <w:t>La Società dovrà disporre di una licenza qualificante per il sistema operativo del desktop prima di acquistare la licenza Windows Desktop Operating System Upgrade (Licenza di aggiornamento). Nella sezione dei Prodotti Sistemi è disponibile un elenco dei sistemi operativi qualificanti per desktop, che varia in base al</w:t>
      </w:r>
      <w:r w:rsidR="00E72309" w:rsidRPr="00451078">
        <w:rPr>
          <w:rFonts w:ascii="Tahoma" w:hAnsi="Tahoma" w:cs="Tahoma"/>
          <w:sz w:val="18"/>
          <w:lang w:val="it-IT"/>
        </w:rPr>
        <w:t> </w:t>
      </w:r>
      <w:r w:rsidRPr="00451078">
        <w:rPr>
          <w:rFonts w:ascii="Tahoma" w:hAnsi="Tahoma" w:cs="Tahoma"/>
          <w:sz w:val="18"/>
          <w:lang w:val="it-IT"/>
        </w:rPr>
        <w:t>programma e all</w:t>
      </w:r>
      <w:r w:rsidR="004525CA">
        <w:rPr>
          <w:rFonts w:ascii="Tahoma" w:hAnsi="Tahoma" w:cs="Tahoma"/>
          <w:sz w:val="18"/>
          <w:lang w:val="it-IT"/>
        </w:rPr>
        <w:t>’</w:t>
      </w:r>
      <w:r w:rsidRPr="00451078">
        <w:rPr>
          <w:rFonts w:ascii="Tahoma" w:hAnsi="Tahoma" w:cs="Tahoma"/>
          <w:sz w:val="18"/>
          <w:lang w:val="it-IT"/>
        </w:rPr>
        <w:t>ordine.</w:t>
      </w:r>
    </w:p>
    <w:p w:rsidR="00591D02" w:rsidRPr="00451078" w:rsidRDefault="00591D02" w:rsidP="00B147AB">
      <w:pPr>
        <w:pStyle w:val="Heading2"/>
        <w:ind w:left="0" w:right="720"/>
        <w:rPr>
          <w:lang w:val="it-IT"/>
        </w:rPr>
      </w:pPr>
      <w:bookmarkStart w:id="708" w:name="_Toc323819654"/>
    </w:p>
    <w:p w:rsidR="00456002" w:rsidRPr="00451078" w:rsidRDefault="00456002" w:rsidP="00456002">
      <w:pPr>
        <w:pStyle w:val="Heading2"/>
        <w:ind w:left="0" w:right="720"/>
        <w:rPr>
          <w:lang w:val="it-IT"/>
        </w:rPr>
      </w:pPr>
      <w:bookmarkStart w:id="709" w:name="_Toc336338205"/>
      <w:bookmarkStart w:id="710" w:name="_Toc352234800"/>
      <w:r w:rsidRPr="00451078">
        <w:rPr>
          <w:rFonts w:ascii="Tahoma" w:hAnsi="Tahoma" w:cs="Tahoma"/>
          <w:lang w:val="it-IT"/>
        </w:rPr>
        <w:t>Aggiornamento e Software Assurance</w:t>
      </w:r>
      <w:bookmarkEnd w:id="708"/>
      <w:bookmarkEnd w:id="709"/>
      <w:bookmarkEnd w:id="710"/>
      <w:r w:rsidRPr="00451078">
        <w:rPr>
          <w:rFonts w:ascii="Tahoma" w:hAnsi="Tahoma" w:cs="Tahoma"/>
          <w:lang w:val="it-IT"/>
        </w:rPr>
        <w:t xml:space="preserve"> </w:t>
      </w:r>
    </w:p>
    <w:p w:rsidR="00456002" w:rsidRPr="00451078" w:rsidRDefault="00456002" w:rsidP="00B147AB">
      <w:pPr>
        <w:ind w:right="720"/>
        <w:rPr>
          <w:lang w:val="it-IT"/>
        </w:rPr>
      </w:pPr>
    </w:p>
    <w:p w:rsidR="00456002" w:rsidRPr="004525CA" w:rsidRDefault="00456002" w:rsidP="004525CA">
      <w:pPr>
        <w:pStyle w:val="AppendixIndent"/>
        <w:spacing w:before="0"/>
        <w:ind w:left="0" w:right="720"/>
        <w:rPr>
          <w:lang w:val="it-IT"/>
        </w:rPr>
      </w:pPr>
      <w:r w:rsidRPr="00451078">
        <w:rPr>
          <w:rFonts w:ascii="Tahoma" w:hAnsi="Tahoma" w:cs="Tahoma"/>
          <w:sz w:val="18"/>
          <w:lang w:val="it-IT"/>
        </w:rPr>
        <w:t>Questo tipo di prodotto è disponibile solo per il Sistema Operativo Desktop Windows, non dipende dalla versione e consente contemporaneamente alle società di acquistare l</w:t>
      </w:r>
      <w:r w:rsidR="004525CA">
        <w:rPr>
          <w:rFonts w:ascii="Tahoma" w:hAnsi="Tahoma" w:cs="Tahoma"/>
          <w:sz w:val="18"/>
          <w:lang w:val="it-IT"/>
        </w:rPr>
        <w:t>’</w:t>
      </w:r>
      <w:r w:rsidRPr="00451078">
        <w:rPr>
          <w:rFonts w:ascii="Tahoma" w:hAnsi="Tahoma" w:cs="Tahoma"/>
          <w:sz w:val="18"/>
          <w:lang w:val="it-IT"/>
        </w:rPr>
        <w:t xml:space="preserve">Aggiornamento e Software Assurance per il sistema operativo desktop. </w:t>
      </w:r>
      <w:r w:rsidRPr="004525CA">
        <w:rPr>
          <w:rFonts w:ascii="Tahoma" w:hAnsi="Tahoma" w:cs="Tahoma"/>
          <w:sz w:val="18"/>
          <w:lang w:val="it-IT"/>
        </w:rPr>
        <w:t>Disponibile nei seguenti programmi:</w:t>
      </w:r>
    </w:p>
    <w:p w:rsidR="00116EDC" w:rsidRPr="004525CA" w:rsidRDefault="00116EDC" w:rsidP="00B147AB">
      <w:pPr>
        <w:pStyle w:val="AppendixIndent"/>
        <w:spacing w:before="0"/>
        <w:ind w:left="0" w:right="720"/>
        <w:rPr>
          <w:lang w:val="it-IT"/>
        </w:rPr>
      </w:pPr>
    </w:p>
    <w:p w:rsidR="00456002" w:rsidRPr="003410C7" w:rsidRDefault="00456002" w:rsidP="00745AB3">
      <w:pPr>
        <w:pStyle w:val="AppendixBulletIndent"/>
        <w:numPr>
          <w:ilvl w:val="0"/>
          <w:numId w:val="59"/>
        </w:numPr>
        <w:tabs>
          <w:tab w:val="clear" w:pos="360"/>
          <w:tab w:val="num" w:pos="1440"/>
        </w:tabs>
        <w:spacing w:after="60"/>
        <w:ind w:left="1440" w:right="720"/>
      </w:pPr>
      <w:r w:rsidRPr="003410C7">
        <w:rPr>
          <w:rFonts w:ascii="Tahoma" w:hAnsi="Tahoma" w:cs="Tahoma"/>
          <w:sz w:val="18"/>
        </w:rPr>
        <w:t>Licenza Open</w:t>
      </w:r>
    </w:p>
    <w:p w:rsidR="00456002" w:rsidRPr="003410C7" w:rsidRDefault="00456002" w:rsidP="00745AB3">
      <w:pPr>
        <w:pStyle w:val="AppendixBulletIndent"/>
        <w:numPr>
          <w:ilvl w:val="0"/>
          <w:numId w:val="59"/>
        </w:numPr>
        <w:tabs>
          <w:tab w:val="clear" w:pos="360"/>
          <w:tab w:val="num" w:pos="1440"/>
        </w:tabs>
        <w:spacing w:after="60"/>
        <w:ind w:left="1440" w:right="720"/>
      </w:pPr>
      <w:r w:rsidRPr="003410C7">
        <w:rPr>
          <w:rFonts w:ascii="Tahoma" w:hAnsi="Tahoma" w:cs="Tahoma"/>
          <w:sz w:val="18"/>
        </w:rPr>
        <w:t>Open Value</w:t>
      </w:r>
    </w:p>
    <w:p w:rsidR="00456002" w:rsidRPr="003410C7" w:rsidRDefault="00456002" w:rsidP="00745AB3">
      <w:pPr>
        <w:pStyle w:val="AppendixBulletIndent"/>
        <w:numPr>
          <w:ilvl w:val="0"/>
          <w:numId w:val="59"/>
        </w:numPr>
        <w:tabs>
          <w:tab w:val="clear" w:pos="360"/>
          <w:tab w:val="num" w:pos="1440"/>
        </w:tabs>
        <w:spacing w:after="60"/>
        <w:ind w:left="1440" w:right="720"/>
      </w:pPr>
      <w:r w:rsidRPr="003410C7">
        <w:rPr>
          <w:rFonts w:ascii="Tahoma" w:hAnsi="Tahoma" w:cs="Tahoma"/>
          <w:sz w:val="18"/>
        </w:rPr>
        <w:t>Open Value Subscription</w:t>
      </w:r>
    </w:p>
    <w:p w:rsidR="00456002" w:rsidRPr="003410C7" w:rsidRDefault="00456002" w:rsidP="00745AB3">
      <w:pPr>
        <w:pStyle w:val="AppendixBulletIndent"/>
        <w:numPr>
          <w:ilvl w:val="0"/>
          <w:numId w:val="59"/>
        </w:numPr>
        <w:tabs>
          <w:tab w:val="clear" w:pos="360"/>
          <w:tab w:val="num" w:pos="1440"/>
        </w:tabs>
        <w:spacing w:after="60"/>
        <w:ind w:left="1440" w:right="720"/>
      </w:pPr>
      <w:r w:rsidRPr="003410C7">
        <w:rPr>
          <w:rFonts w:ascii="Tahoma" w:hAnsi="Tahoma" w:cs="Tahoma"/>
          <w:sz w:val="18"/>
        </w:rPr>
        <w:t xml:space="preserve">Select </w:t>
      </w:r>
    </w:p>
    <w:p w:rsidR="00456002" w:rsidRPr="003410C7" w:rsidRDefault="00456002" w:rsidP="00745AB3">
      <w:pPr>
        <w:pStyle w:val="AppendixBulletIndent"/>
        <w:numPr>
          <w:ilvl w:val="0"/>
          <w:numId w:val="59"/>
        </w:numPr>
        <w:tabs>
          <w:tab w:val="clear" w:pos="360"/>
          <w:tab w:val="num" w:pos="1440"/>
        </w:tabs>
        <w:spacing w:after="60"/>
        <w:ind w:left="1440" w:right="720"/>
      </w:pPr>
      <w:r w:rsidRPr="003410C7">
        <w:rPr>
          <w:rFonts w:ascii="Tahoma" w:hAnsi="Tahoma" w:cs="Tahoma"/>
          <w:sz w:val="18"/>
        </w:rPr>
        <w:t>Select Plus</w:t>
      </w:r>
    </w:p>
    <w:p w:rsidR="00456002" w:rsidRPr="003410C7" w:rsidRDefault="00456002" w:rsidP="00745AB3">
      <w:pPr>
        <w:pStyle w:val="AppendixBulletIndent"/>
        <w:numPr>
          <w:ilvl w:val="0"/>
          <w:numId w:val="59"/>
        </w:numPr>
        <w:tabs>
          <w:tab w:val="clear" w:pos="360"/>
          <w:tab w:val="num" w:pos="1440"/>
        </w:tabs>
        <w:spacing w:after="60"/>
        <w:ind w:left="1440" w:right="720"/>
      </w:pPr>
      <w:r w:rsidRPr="003410C7">
        <w:rPr>
          <w:rFonts w:ascii="Tahoma" w:hAnsi="Tahoma" w:cs="Tahoma"/>
          <w:sz w:val="18"/>
        </w:rPr>
        <w:t>School</w:t>
      </w:r>
    </w:p>
    <w:p w:rsidR="00456002" w:rsidRPr="003410C7" w:rsidRDefault="00456002" w:rsidP="00745AB3">
      <w:pPr>
        <w:pStyle w:val="AppendixBulletIndent"/>
        <w:numPr>
          <w:ilvl w:val="0"/>
          <w:numId w:val="59"/>
        </w:numPr>
        <w:tabs>
          <w:tab w:val="clear" w:pos="360"/>
          <w:tab w:val="num" w:pos="1440"/>
        </w:tabs>
        <w:spacing w:after="60"/>
        <w:ind w:left="1440" w:right="720"/>
      </w:pPr>
      <w:r w:rsidRPr="003410C7">
        <w:rPr>
          <w:rFonts w:ascii="Tahoma" w:hAnsi="Tahoma" w:cs="Tahoma"/>
          <w:sz w:val="18"/>
        </w:rPr>
        <w:t>ESS</w:t>
      </w:r>
    </w:p>
    <w:p w:rsidR="00456002" w:rsidRPr="003410C7" w:rsidRDefault="00456002" w:rsidP="00745AB3">
      <w:pPr>
        <w:pStyle w:val="AppendixBulletIndent"/>
        <w:numPr>
          <w:ilvl w:val="0"/>
          <w:numId w:val="59"/>
        </w:numPr>
        <w:tabs>
          <w:tab w:val="clear" w:pos="360"/>
          <w:tab w:val="num" w:pos="1440"/>
        </w:tabs>
        <w:spacing w:after="60"/>
        <w:ind w:left="1440" w:right="720"/>
      </w:pPr>
      <w:r w:rsidRPr="003410C7">
        <w:rPr>
          <w:rFonts w:ascii="Tahoma" w:hAnsi="Tahoma" w:cs="Tahoma"/>
          <w:sz w:val="18"/>
        </w:rPr>
        <w:t>Contratto Enterprise</w:t>
      </w:r>
    </w:p>
    <w:p w:rsidR="00456002" w:rsidRPr="003410C7" w:rsidRDefault="00456002" w:rsidP="00745AB3">
      <w:pPr>
        <w:pStyle w:val="AppendixBulletIndent"/>
        <w:numPr>
          <w:ilvl w:val="0"/>
          <w:numId w:val="59"/>
        </w:numPr>
        <w:tabs>
          <w:tab w:val="clear" w:pos="360"/>
          <w:tab w:val="num" w:pos="1440"/>
        </w:tabs>
        <w:ind w:left="1440" w:right="720"/>
      </w:pPr>
      <w:r w:rsidRPr="003410C7">
        <w:rPr>
          <w:rFonts w:ascii="Tahoma" w:hAnsi="Tahoma" w:cs="Tahoma"/>
          <w:sz w:val="18"/>
        </w:rPr>
        <w:t>Contratto Enterprise Subscription</w:t>
      </w:r>
    </w:p>
    <w:p w:rsidR="00456002" w:rsidRPr="003410C7" w:rsidRDefault="00456002" w:rsidP="00B147AB">
      <w:pPr>
        <w:pStyle w:val="AppendixIndent"/>
        <w:spacing w:before="0"/>
        <w:ind w:left="0" w:right="720"/>
      </w:pPr>
    </w:p>
    <w:p w:rsidR="00456002" w:rsidRPr="00451078" w:rsidRDefault="00456002" w:rsidP="004525CA">
      <w:pPr>
        <w:pStyle w:val="AppendixIndent"/>
        <w:spacing w:before="0"/>
        <w:ind w:left="0" w:right="720"/>
        <w:rPr>
          <w:lang w:val="it-IT"/>
        </w:rPr>
      </w:pPr>
      <w:r w:rsidRPr="00451078">
        <w:rPr>
          <w:rFonts w:ascii="Tahoma" w:hAnsi="Tahoma" w:cs="Tahoma"/>
          <w:sz w:val="18"/>
          <w:lang w:val="it-IT"/>
        </w:rPr>
        <w:t>La Società dovrà disporre della licenza qualificante per il sistema operativo del desktop prima di acquistare l</w:t>
      </w:r>
      <w:r w:rsidR="004525CA">
        <w:rPr>
          <w:rFonts w:ascii="Tahoma" w:hAnsi="Tahoma" w:cs="Tahoma"/>
          <w:sz w:val="18"/>
          <w:lang w:val="it-IT"/>
        </w:rPr>
        <w:t>’</w:t>
      </w:r>
      <w:r w:rsidRPr="00451078">
        <w:rPr>
          <w:rFonts w:ascii="Tahoma" w:hAnsi="Tahoma" w:cs="Tahoma"/>
          <w:sz w:val="18"/>
          <w:lang w:val="it-IT"/>
        </w:rPr>
        <w:t>Aggiornamento. Software Assurance dovrà essere acquistata al momento dell</w:t>
      </w:r>
      <w:r w:rsidR="004525CA">
        <w:rPr>
          <w:rFonts w:ascii="Tahoma" w:hAnsi="Tahoma" w:cs="Tahoma"/>
          <w:sz w:val="18"/>
          <w:lang w:val="it-IT"/>
        </w:rPr>
        <w:t>’</w:t>
      </w:r>
      <w:r w:rsidRPr="00451078">
        <w:rPr>
          <w:rFonts w:ascii="Tahoma" w:hAnsi="Tahoma" w:cs="Tahoma"/>
          <w:sz w:val="18"/>
          <w:lang w:val="it-IT"/>
        </w:rPr>
        <w:t>acquisto dell</w:t>
      </w:r>
      <w:r w:rsidR="004525CA">
        <w:rPr>
          <w:rFonts w:ascii="Tahoma" w:hAnsi="Tahoma" w:cs="Tahoma"/>
          <w:sz w:val="18"/>
          <w:lang w:val="it-IT"/>
        </w:rPr>
        <w:t>’</w:t>
      </w:r>
      <w:r w:rsidRPr="00451078">
        <w:rPr>
          <w:rFonts w:ascii="Tahoma" w:hAnsi="Tahoma" w:cs="Tahoma"/>
          <w:sz w:val="18"/>
          <w:lang w:val="it-IT"/>
        </w:rPr>
        <w:t xml:space="preserve">Aggiornamento corrispondente, tranne nei programmi </w:t>
      </w:r>
      <w:r w:rsidR="001A3EC5" w:rsidRPr="00451078">
        <w:rPr>
          <w:rFonts w:ascii="Tahoma" w:hAnsi="Tahoma" w:cs="Tahoma"/>
          <w:sz w:val="18"/>
          <w:lang w:val="it-IT"/>
        </w:rPr>
        <w:t>“</w:t>
      </w:r>
      <w:r w:rsidRPr="00451078">
        <w:rPr>
          <w:rFonts w:ascii="Tahoma" w:hAnsi="Tahoma" w:cs="Tahoma"/>
          <w:sz w:val="18"/>
          <w:lang w:val="it-IT"/>
        </w:rPr>
        <w:t>Subscription</w:t>
      </w:r>
      <w:r w:rsidR="001A3EC5" w:rsidRPr="00451078">
        <w:rPr>
          <w:rFonts w:ascii="Tahoma" w:hAnsi="Tahoma" w:cs="Tahoma"/>
          <w:sz w:val="18"/>
          <w:lang w:val="it-IT"/>
        </w:rPr>
        <w:t>”</w:t>
      </w:r>
      <w:r w:rsidRPr="00451078">
        <w:rPr>
          <w:rFonts w:ascii="Tahoma" w:hAnsi="Tahoma" w:cs="Tahoma"/>
          <w:sz w:val="18"/>
          <w:lang w:val="it-IT"/>
        </w:rPr>
        <w:t xml:space="preserve"> che prevedono l</w:t>
      </w:r>
      <w:r w:rsidR="004525CA">
        <w:rPr>
          <w:rFonts w:ascii="Tahoma" w:hAnsi="Tahoma" w:cs="Tahoma"/>
          <w:sz w:val="18"/>
          <w:lang w:val="it-IT"/>
        </w:rPr>
        <w:t>’</w:t>
      </w:r>
      <w:r w:rsidRPr="00451078">
        <w:rPr>
          <w:rFonts w:ascii="Tahoma" w:hAnsi="Tahoma" w:cs="Tahoma"/>
          <w:sz w:val="18"/>
          <w:lang w:val="it-IT"/>
        </w:rPr>
        <w:t>acquisto dell</w:t>
      </w:r>
      <w:r w:rsidR="004525CA">
        <w:rPr>
          <w:rFonts w:ascii="Tahoma" w:hAnsi="Tahoma" w:cs="Tahoma"/>
          <w:sz w:val="18"/>
          <w:lang w:val="it-IT"/>
        </w:rPr>
        <w:t>’</w:t>
      </w:r>
      <w:r w:rsidRPr="00451078">
        <w:rPr>
          <w:rFonts w:ascii="Tahoma" w:hAnsi="Tahoma" w:cs="Tahoma"/>
          <w:sz w:val="18"/>
          <w:lang w:val="it-IT"/>
        </w:rPr>
        <w:t>aggiornamento al rinnovo di un periodo di validità della copertura Software Assurance in essere.</w:t>
      </w:r>
    </w:p>
    <w:p w:rsidR="00ED589D" w:rsidRPr="00451078" w:rsidRDefault="00ED589D" w:rsidP="00B147AB">
      <w:pPr>
        <w:pStyle w:val="AppendixIndent"/>
        <w:spacing w:before="0"/>
        <w:ind w:left="0" w:right="720"/>
        <w:rPr>
          <w:lang w:val="it-IT"/>
        </w:rPr>
      </w:pPr>
    </w:p>
    <w:p w:rsidR="00456002" w:rsidRPr="00451078" w:rsidRDefault="00456002" w:rsidP="00456002">
      <w:pPr>
        <w:pStyle w:val="Heading2"/>
        <w:ind w:left="0" w:right="720"/>
        <w:rPr>
          <w:lang w:val="it-IT"/>
        </w:rPr>
      </w:pPr>
      <w:bookmarkStart w:id="711" w:name="_Toc323819656"/>
      <w:bookmarkStart w:id="712" w:name="_Toc336338206"/>
      <w:bookmarkStart w:id="713" w:name="_Toc352234801"/>
      <w:r w:rsidRPr="00451078">
        <w:rPr>
          <w:rFonts w:ascii="Tahoma" w:hAnsi="Tahoma" w:cs="Tahoma"/>
          <w:lang w:val="it-IT"/>
        </w:rPr>
        <w:t>Licenze Work at Home</w:t>
      </w:r>
      <w:bookmarkEnd w:id="711"/>
      <w:bookmarkEnd w:id="712"/>
      <w:bookmarkEnd w:id="713"/>
    </w:p>
    <w:p w:rsidR="00456002" w:rsidRPr="00451078" w:rsidRDefault="00456002" w:rsidP="00B147AB">
      <w:pPr>
        <w:ind w:right="720"/>
        <w:rPr>
          <w:lang w:val="it-IT"/>
        </w:rPr>
      </w:pPr>
    </w:p>
    <w:p w:rsidR="00456002" w:rsidRPr="00451078" w:rsidRDefault="00456002" w:rsidP="00B147AB">
      <w:pPr>
        <w:pStyle w:val="AppendixIndent"/>
        <w:spacing w:before="0"/>
        <w:ind w:left="0" w:right="720"/>
        <w:rPr>
          <w:lang w:val="it-IT"/>
        </w:rPr>
      </w:pPr>
      <w:r w:rsidRPr="00451078">
        <w:rPr>
          <w:rFonts w:ascii="Tahoma" w:hAnsi="Tahoma" w:cs="Tahoma"/>
          <w:sz w:val="18"/>
          <w:lang w:val="it-IT"/>
        </w:rPr>
        <w:t>Disponibile nei seguenti programmi:</w:t>
      </w:r>
    </w:p>
    <w:p w:rsidR="00456002" w:rsidRPr="00451078" w:rsidRDefault="00456002" w:rsidP="00B147AB">
      <w:pPr>
        <w:pStyle w:val="AppendixBulletIndent"/>
        <w:ind w:left="0" w:right="720" w:firstLine="0"/>
        <w:rPr>
          <w:lang w:val="it-IT"/>
        </w:rPr>
      </w:pPr>
    </w:p>
    <w:p w:rsidR="00456002" w:rsidRPr="003410C7" w:rsidRDefault="00456002" w:rsidP="00745AB3">
      <w:pPr>
        <w:pStyle w:val="AppendixBulletIndent"/>
        <w:numPr>
          <w:ilvl w:val="0"/>
          <w:numId w:val="61"/>
        </w:numPr>
        <w:tabs>
          <w:tab w:val="clear" w:pos="360"/>
          <w:tab w:val="num" w:pos="1440"/>
        </w:tabs>
        <w:spacing w:after="60"/>
        <w:ind w:left="1440" w:right="720"/>
      </w:pPr>
      <w:r w:rsidRPr="003410C7">
        <w:rPr>
          <w:rFonts w:ascii="Tahoma" w:hAnsi="Tahoma" w:cs="Tahoma"/>
          <w:sz w:val="18"/>
        </w:rPr>
        <w:t xml:space="preserve">Select </w:t>
      </w:r>
    </w:p>
    <w:p w:rsidR="00456002" w:rsidRPr="003410C7" w:rsidRDefault="00456002" w:rsidP="00745AB3">
      <w:pPr>
        <w:pStyle w:val="AppendixBulletIndent"/>
        <w:numPr>
          <w:ilvl w:val="0"/>
          <w:numId w:val="61"/>
        </w:numPr>
        <w:tabs>
          <w:tab w:val="clear" w:pos="360"/>
          <w:tab w:val="num" w:pos="1440"/>
        </w:tabs>
        <w:spacing w:after="60"/>
        <w:ind w:left="1440" w:right="720"/>
      </w:pPr>
      <w:r w:rsidRPr="003410C7">
        <w:rPr>
          <w:rFonts w:ascii="Tahoma" w:hAnsi="Tahoma" w:cs="Tahoma"/>
          <w:sz w:val="18"/>
        </w:rPr>
        <w:t>Select Plus</w:t>
      </w:r>
    </w:p>
    <w:p w:rsidR="00456002" w:rsidRPr="003410C7" w:rsidRDefault="00456002" w:rsidP="00745AB3">
      <w:pPr>
        <w:pStyle w:val="AppendixBulletIndent"/>
        <w:numPr>
          <w:ilvl w:val="0"/>
          <w:numId w:val="61"/>
        </w:numPr>
        <w:tabs>
          <w:tab w:val="clear" w:pos="360"/>
          <w:tab w:val="num" w:pos="1440"/>
        </w:tabs>
        <w:ind w:left="1440" w:right="720"/>
      </w:pPr>
      <w:r w:rsidRPr="003410C7">
        <w:rPr>
          <w:rFonts w:ascii="Tahoma" w:hAnsi="Tahoma" w:cs="Tahoma"/>
          <w:sz w:val="18"/>
        </w:rPr>
        <w:t>Contratto Enterprise</w:t>
      </w:r>
    </w:p>
    <w:p w:rsidR="00456002" w:rsidRPr="003410C7" w:rsidRDefault="00456002" w:rsidP="00B147AB">
      <w:pPr>
        <w:pStyle w:val="AppendixBulletIndent"/>
        <w:ind w:left="0" w:right="720" w:firstLine="0"/>
      </w:pPr>
    </w:p>
    <w:p w:rsidR="00023FE7" w:rsidRPr="008C5CD9" w:rsidRDefault="00456002" w:rsidP="004525CA">
      <w:pPr>
        <w:rPr>
          <w:lang w:val="it-IT"/>
        </w:rPr>
      </w:pPr>
      <w:r w:rsidRPr="007B3AF6">
        <w:rPr>
          <w:lang w:val="it-IT"/>
        </w:rPr>
        <w:t>Una licenza Work at Home potrà essere acquistata solo insieme a un prodotto autorizzato a essere eseguito su un</w:t>
      </w:r>
      <w:r w:rsidR="00E72309" w:rsidRPr="007B3AF6">
        <w:rPr>
          <w:lang w:val="it-IT"/>
        </w:rPr>
        <w:t> </w:t>
      </w:r>
      <w:r w:rsidRPr="007B3AF6">
        <w:rPr>
          <w:lang w:val="it-IT"/>
        </w:rPr>
        <w:t>desktop At Work. L</w:t>
      </w:r>
      <w:r w:rsidR="004525CA">
        <w:rPr>
          <w:lang w:val="it-IT"/>
        </w:rPr>
        <w:t>’</w:t>
      </w:r>
      <w:r w:rsidRPr="007B3AF6">
        <w:rPr>
          <w:lang w:val="it-IT"/>
        </w:rPr>
        <w:t>offerta Work at Home non è un</w:t>
      </w:r>
      <w:r w:rsidR="004525CA">
        <w:rPr>
          <w:lang w:val="it-IT"/>
        </w:rPr>
        <w:t>’</w:t>
      </w:r>
      <w:r w:rsidRPr="007B3AF6">
        <w:rPr>
          <w:lang w:val="it-IT"/>
        </w:rPr>
        <w:t>offerta di un piano di acquisti per dipendenti. La società con</w:t>
      </w:r>
      <w:r w:rsidR="00E72309" w:rsidRPr="007B3AF6">
        <w:rPr>
          <w:lang w:val="it-IT"/>
        </w:rPr>
        <w:t> </w:t>
      </w:r>
      <w:r w:rsidRPr="007B3AF6">
        <w:rPr>
          <w:lang w:val="it-IT"/>
        </w:rPr>
        <w:t>licenza Select, Select Plus o con Contratto Enterprise (non il dipendente) mantiene i diritti sulla licenza Work at Home.</w:t>
      </w:r>
      <w:r w:rsidR="00082E1C" w:rsidRPr="007B3AF6">
        <w:rPr>
          <w:lang w:val="it-IT"/>
        </w:rPr>
        <w:t xml:space="preserve"> </w:t>
      </w:r>
      <w:r w:rsidRPr="008C5CD9">
        <w:rPr>
          <w:lang w:val="it-IT"/>
        </w:rPr>
        <w:t>Per i diritti relativi alla licenza Work at Home di cui dispongono gli istituti accademici idonei, fare riferimento al</w:t>
      </w:r>
      <w:r w:rsidR="00E72309" w:rsidRPr="008C5CD9">
        <w:rPr>
          <w:lang w:val="it-IT"/>
        </w:rPr>
        <w:t> </w:t>
      </w:r>
      <w:r w:rsidRPr="008C5CD9">
        <w:rPr>
          <w:lang w:val="it-IT"/>
        </w:rPr>
        <w:t>Contratto/iscrizione.</w:t>
      </w:r>
      <w:r w:rsidR="00082E1C" w:rsidRPr="008C5CD9">
        <w:rPr>
          <w:lang w:val="it-IT"/>
        </w:rPr>
        <w:t xml:space="preserve"> </w:t>
      </w:r>
    </w:p>
    <w:p w:rsidR="008C5CD9" w:rsidRPr="007B3AF6" w:rsidRDefault="008C5CD9" w:rsidP="008C5CD9">
      <w:pPr>
        <w:rPr>
          <w:lang w:val="it-IT"/>
        </w:rPr>
      </w:pPr>
    </w:p>
    <w:p w:rsidR="008C5CD9" w:rsidRPr="007B3AF6" w:rsidRDefault="008C5CD9" w:rsidP="008C5CD9">
      <w:pPr>
        <w:rPr>
          <w:lang w:val="it-IT"/>
        </w:rPr>
      </w:pPr>
    </w:p>
    <w:p w:rsidR="008C5CD9" w:rsidRPr="007B3AF6" w:rsidRDefault="008C5CD9" w:rsidP="008C5CD9">
      <w:pPr>
        <w:rPr>
          <w:lang w:val="it-IT"/>
        </w:rPr>
      </w:pPr>
    </w:p>
    <w:p w:rsidR="008C5CD9" w:rsidRPr="007B3AF6" w:rsidRDefault="008C5CD9" w:rsidP="008C5CD9">
      <w:pPr>
        <w:rPr>
          <w:lang w:val="it-IT"/>
        </w:rPr>
      </w:pPr>
    </w:p>
    <w:p w:rsidR="00456002" w:rsidRPr="00451078" w:rsidRDefault="00023FE7" w:rsidP="00A463B6">
      <w:pPr>
        <w:pStyle w:val="Heading1"/>
        <w:rPr>
          <w:lang w:val="it-IT"/>
        </w:rPr>
      </w:pPr>
      <w:bookmarkStart w:id="714" w:name="_Section_5_–"/>
      <w:bookmarkStart w:id="715" w:name="_Articolo_5_-"/>
      <w:bookmarkStart w:id="716" w:name="_Articolo_5_-_1"/>
      <w:bookmarkStart w:id="717" w:name="_Toc336338207"/>
      <w:bookmarkStart w:id="718" w:name="_Toc352234802"/>
      <w:bookmarkEnd w:id="714"/>
      <w:bookmarkEnd w:id="715"/>
      <w:bookmarkEnd w:id="716"/>
      <w:r w:rsidRPr="00451078">
        <w:rPr>
          <w:lang w:val="it-IT"/>
        </w:rPr>
        <w:lastRenderedPageBreak/>
        <w:t>Articolo 5 -</w:t>
      </w:r>
      <w:bookmarkStart w:id="719" w:name="Sect5_OnlineServices"/>
      <w:r w:rsidRPr="00451078">
        <w:rPr>
          <w:lang w:val="it-IT"/>
        </w:rPr>
        <w:t xml:space="preserve"> PREZZI DEI SERVIZI ONLINE E</w:t>
      </w:r>
      <w:r w:rsidR="00475774" w:rsidRPr="00451078">
        <w:rPr>
          <w:lang w:val="it-IT"/>
        </w:rPr>
        <w:t> </w:t>
      </w:r>
      <w:r w:rsidRPr="00451078">
        <w:rPr>
          <w:lang w:val="it-IT"/>
        </w:rPr>
        <w:t>CONDIZIONI DI PAGAMENTO</w:t>
      </w:r>
      <w:bookmarkEnd w:id="717"/>
      <w:bookmarkEnd w:id="718"/>
      <w:bookmarkEnd w:id="719"/>
    </w:p>
    <w:p w:rsidR="00456002" w:rsidRPr="00077B81" w:rsidRDefault="00456002" w:rsidP="00AD2FD7">
      <w:pPr>
        <w:outlineLvl w:val="2"/>
        <w:rPr>
          <w:sz w:val="24"/>
          <w:szCs w:val="24"/>
          <w:lang w:val="it-IT"/>
        </w:rPr>
      </w:pPr>
    </w:p>
    <w:p w:rsidR="00456002" w:rsidRPr="003410C7" w:rsidRDefault="00456002" w:rsidP="00E72309">
      <w:pPr>
        <w:spacing w:line="214" w:lineRule="exact"/>
        <w:outlineLvl w:val="2"/>
      </w:pPr>
      <w:r w:rsidRPr="00451078">
        <w:rPr>
          <w:rFonts w:cs="Tahoma"/>
          <w:szCs w:val="18"/>
          <w:lang w:val="it-IT"/>
        </w:rPr>
        <w:t xml:space="preserve">I Servizi Online sono prodotti, che includono software con servizi, disponibili con la formula cosiddetta </w:t>
      </w:r>
      <w:r w:rsidR="001A3EC5" w:rsidRPr="00451078">
        <w:rPr>
          <w:rFonts w:cs="Tahoma"/>
          <w:szCs w:val="18"/>
          <w:lang w:val="it-IT"/>
        </w:rPr>
        <w:t>“</w:t>
      </w:r>
      <w:r w:rsidRPr="00451078">
        <w:rPr>
          <w:rFonts w:cs="Tahoma"/>
          <w:szCs w:val="18"/>
          <w:lang w:val="it-IT"/>
        </w:rPr>
        <w:t>subscription</w:t>
      </w:r>
      <w:r w:rsidR="001A3EC5" w:rsidRPr="00451078">
        <w:rPr>
          <w:rFonts w:cs="Tahoma"/>
          <w:szCs w:val="18"/>
          <w:lang w:val="it-IT"/>
        </w:rPr>
        <w:t>”</w:t>
      </w:r>
      <w:r w:rsidRPr="00451078">
        <w:rPr>
          <w:rFonts w:cs="Tahoma"/>
          <w:szCs w:val="18"/>
          <w:lang w:val="it-IT"/>
        </w:rPr>
        <w:t xml:space="preserve"> nella modalità descritta nei Diritti di Utilizzo del Prodotto e forniti online.</w:t>
      </w:r>
      <w:r w:rsidR="00082E1C" w:rsidRPr="00451078">
        <w:rPr>
          <w:rFonts w:cs="Tahoma"/>
          <w:szCs w:val="18"/>
          <w:lang w:val="it-IT"/>
        </w:rPr>
        <w:t xml:space="preserve"> </w:t>
      </w:r>
      <w:r w:rsidRPr="00451078">
        <w:rPr>
          <w:rFonts w:cs="Tahoma"/>
          <w:szCs w:val="18"/>
          <w:lang w:val="it-IT"/>
        </w:rPr>
        <w:t>Alcuni contratti multilicenza indirizzano le</w:t>
      </w:r>
      <w:r w:rsidR="00E72309" w:rsidRPr="00451078">
        <w:rPr>
          <w:rFonts w:cs="Tahoma"/>
          <w:szCs w:val="18"/>
          <w:lang w:val="it-IT"/>
        </w:rPr>
        <w:t> </w:t>
      </w:r>
      <w:r w:rsidRPr="00451078">
        <w:rPr>
          <w:rFonts w:cs="Tahoma"/>
          <w:szCs w:val="18"/>
          <w:lang w:val="it-IT"/>
        </w:rPr>
        <w:t xml:space="preserve">società alla Lista dei Prodotti per un elenco di </w:t>
      </w:r>
      <w:r w:rsidR="001A3EC5" w:rsidRPr="00451078">
        <w:rPr>
          <w:rFonts w:cs="Tahoma"/>
          <w:szCs w:val="18"/>
          <w:lang w:val="it-IT"/>
        </w:rPr>
        <w:t>“</w:t>
      </w:r>
      <w:r w:rsidRPr="00451078">
        <w:rPr>
          <w:rFonts w:cs="Tahoma"/>
          <w:szCs w:val="18"/>
          <w:lang w:val="it-IT"/>
        </w:rPr>
        <w:t>Servizi Online</w:t>
      </w:r>
      <w:r w:rsidR="001A3EC5" w:rsidRPr="00451078">
        <w:rPr>
          <w:rFonts w:cs="Tahoma"/>
          <w:szCs w:val="18"/>
          <w:lang w:val="it-IT"/>
        </w:rPr>
        <w:t>”</w:t>
      </w:r>
      <w:r w:rsidRPr="00451078">
        <w:rPr>
          <w:rFonts w:cs="Tahoma"/>
          <w:szCs w:val="18"/>
          <w:lang w:val="it-IT"/>
        </w:rPr>
        <w:t xml:space="preserve"> disponibili. </w:t>
      </w:r>
      <w:r w:rsidRPr="003410C7">
        <w:rPr>
          <w:rFonts w:cs="Tahoma"/>
          <w:szCs w:val="18"/>
        </w:rPr>
        <w:t>Ai fini di tale riferimento, i Servizi Online</w:t>
      </w:r>
      <w:r w:rsidR="00E72309">
        <w:rPr>
          <w:rFonts w:cs="Tahoma"/>
          <w:szCs w:val="18"/>
        </w:rPr>
        <w:t> </w:t>
      </w:r>
      <w:r w:rsidRPr="003410C7">
        <w:rPr>
          <w:rFonts w:cs="Tahoma"/>
          <w:szCs w:val="18"/>
        </w:rPr>
        <w:t>includono:</w:t>
      </w:r>
    </w:p>
    <w:p w:rsidR="002D25C8" w:rsidRPr="003410C7" w:rsidRDefault="002D25C8" w:rsidP="00E72309">
      <w:pPr>
        <w:spacing w:line="180" w:lineRule="exact"/>
        <w:outlineLvl w:val="2"/>
      </w:pPr>
    </w:p>
    <w:p w:rsidR="00456002" w:rsidRPr="003410C7" w:rsidRDefault="00456002" w:rsidP="00E65789">
      <w:pPr>
        <w:numPr>
          <w:ilvl w:val="0"/>
          <w:numId w:val="66"/>
        </w:numPr>
        <w:spacing w:after="60"/>
      </w:pPr>
      <w:r w:rsidRPr="003410C7">
        <w:rPr>
          <w:rFonts w:eastAsia="Calibri" w:cs="Tahoma"/>
          <w:color w:val="000000"/>
          <w:szCs w:val="18"/>
        </w:rPr>
        <w:t>Dynamics CRM Online</w:t>
      </w:r>
    </w:p>
    <w:p w:rsidR="00456002" w:rsidRPr="00451078" w:rsidRDefault="00456002" w:rsidP="00E65789">
      <w:pPr>
        <w:numPr>
          <w:ilvl w:val="0"/>
          <w:numId w:val="66"/>
        </w:numPr>
        <w:spacing w:after="60"/>
        <w:rPr>
          <w:lang w:val="it-IT"/>
        </w:rPr>
      </w:pPr>
      <w:r w:rsidRPr="00451078">
        <w:rPr>
          <w:rFonts w:eastAsia="Calibri" w:cs="Tahoma"/>
          <w:color w:val="000000"/>
          <w:szCs w:val="18"/>
          <w:lang w:val="it-IT"/>
        </w:rPr>
        <w:t>Archiviazione Exchange Online per Exchange Server</w:t>
      </w:r>
    </w:p>
    <w:p w:rsidR="00456002" w:rsidRPr="00451078" w:rsidRDefault="00456002" w:rsidP="00E65789">
      <w:pPr>
        <w:numPr>
          <w:ilvl w:val="0"/>
          <w:numId w:val="66"/>
        </w:numPr>
        <w:spacing w:after="60"/>
        <w:rPr>
          <w:lang w:val="it-IT"/>
        </w:rPr>
      </w:pPr>
      <w:r w:rsidRPr="00451078">
        <w:rPr>
          <w:rFonts w:eastAsia="Calibri" w:cs="Tahoma"/>
          <w:color w:val="000000"/>
          <w:szCs w:val="18"/>
          <w:lang w:val="it-IT"/>
        </w:rPr>
        <w:t xml:space="preserve">Chiosco Exchange Online, Piano 1 e Piano 2 </w:t>
      </w:r>
    </w:p>
    <w:p w:rsidR="00456002" w:rsidRPr="003410C7" w:rsidRDefault="00456002" w:rsidP="00E65789">
      <w:pPr>
        <w:numPr>
          <w:ilvl w:val="0"/>
          <w:numId w:val="66"/>
        </w:numPr>
        <w:spacing w:after="60"/>
      </w:pPr>
      <w:r w:rsidRPr="003410C7">
        <w:rPr>
          <w:rFonts w:eastAsia="Calibri" w:cs="Tahoma"/>
          <w:color w:val="000000"/>
          <w:szCs w:val="18"/>
        </w:rPr>
        <w:t>Lync Online Piano 1, 2 e 3</w:t>
      </w:r>
    </w:p>
    <w:p w:rsidR="00456002" w:rsidRPr="003410C7" w:rsidRDefault="00456002" w:rsidP="00E65789">
      <w:pPr>
        <w:numPr>
          <w:ilvl w:val="0"/>
          <w:numId w:val="66"/>
        </w:numPr>
        <w:spacing w:after="60"/>
      </w:pPr>
      <w:r w:rsidRPr="003410C7">
        <w:rPr>
          <w:rFonts w:eastAsia="Calibri" w:cs="Tahoma"/>
          <w:color w:val="000000"/>
          <w:szCs w:val="18"/>
        </w:rPr>
        <w:t>Microsoft Exchange Hosted Continuity</w:t>
      </w:r>
    </w:p>
    <w:p w:rsidR="00456002" w:rsidRPr="003410C7" w:rsidRDefault="00456002" w:rsidP="00E65789">
      <w:pPr>
        <w:numPr>
          <w:ilvl w:val="0"/>
          <w:numId w:val="66"/>
        </w:numPr>
        <w:spacing w:after="60"/>
      </w:pPr>
      <w:r w:rsidRPr="003410C7">
        <w:rPr>
          <w:rFonts w:eastAsia="Calibri" w:cs="Tahoma"/>
          <w:color w:val="000000"/>
          <w:szCs w:val="18"/>
        </w:rPr>
        <w:t>Microsoft Exchange Hosted Encryption</w:t>
      </w:r>
      <w:r w:rsidR="00082E1C">
        <w:rPr>
          <w:rFonts w:eastAsia="Calibri" w:cs="Tahoma"/>
          <w:color w:val="000000"/>
          <w:szCs w:val="18"/>
        </w:rPr>
        <w:t xml:space="preserve"> </w:t>
      </w:r>
    </w:p>
    <w:p w:rsidR="00456002" w:rsidRPr="00451078" w:rsidRDefault="00456002" w:rsidP="00E65789">
      <w:pPr>
        <w:numPr>
          <w:ilvl w:val="0"/>
          <w:numId w:val="66"/>
        </w:numPr>
        <w:spacing w:after="60"/>
        <w:rPr>
          <w:lang w:val="it-IT"/>
        </w:rPr>
      </w:pPr>
      <w:r w:rsidRPr="00451078">
        <w:rPr>
          <w:rFonts w:eastAsia="Calibri" w:cs="Tahoma"/>
          <w:color w:val="000000"/>
          <w:szCs w:val="18"/>
          <w:lang w:val="it-IT"/>
        </w:rPr>
        <w:t>Office 365 Enterprise K1, E1, E2, E3 ed E4</w:t>
      </w:r>
    </w:p>
    <w:p w:rsidR="00456002" w:rsidRPr="003410C7" w:rsidRDefault="00456002" w:rsidP="00E65789">
      <w:pPr>
        <w:numPr>
          <w:ilvl w:val="0"/>
          <w:numId w:val="66"/>
        </w:numPr>
        <w:spacing w:after="60"/>
      </w:pPr>
      <w:r w:rsidRPr="003410C7">
        <w:rPr>
          <w:rFonts w:eastAsia="Calibri" w:cs="Tahoma"/>
          <w:color w:val="000000"/>
          <w:szCs w:val="18"/>
        </w:rPr>
        <w:t>Lync Server Public Instant Messaging Connectivity con America Online (AOL) Instant Messaging Service e Windows Live Messenger Service</w:t>
      </w:r>
    </w:p>
    <w:p w:rsidR="00456002" w:rsidRPr="003410C7" w:rsidRDefault="00456002" w:rsidP="00E65789">
      <w:pPr>
        <w:numPr>
          <w:ilvl w:val="0"/>
          <w:numId w:val="66"/>
        </w:numPr>
        <w:spacing w:after="60"/>
      </w:pPr>
      <w:r w:rsidRPr="003410C7">
        <w:rPr>
          <w:rFonts w:eastAsia="Calibri" w:cs="Tahoma"/>
          <w:color w:val="000000"/>
          <w:szCs w:val="18"/>
        </w:rPr>
        <w:t xml:space="preserve">Lync Server Public Instant Messaging Connectivity con il Servizio Yahoo Instant Messaging </w:t>
      </w:r>
    </w:p>
    <w:p w:rsidR="00456002" w:rsidRPr="003410C7" w:rsidRDefault="00456002" w:rsidP="00E65789">
      <w:pPr>
        <w:numPr>
          <w:ilvl w:val="0"/>
          <w:numId w:val="66"/>
        </w:numPr>
        <w:spacing w:after="60"/>
      </w:pPr>
      <w:r w:rsidRPr="003410C7">
        <w:rPr>
          <w:rFonts w:eastAsia="Calibri" w:cs="Tahoma"/>
          <w:color w:val="000000"/>
          <w:szCs w:val="18"/>
        </w:rPr>
        <w:t xml:space="preserve">Office Groove Enterprise Services </w:t>
      </w:r>
    </w:p>
    <w:p w:rsidR="00061A45" w:rsidRPr="003410C7" w:rsidRDefault="008368B4" w:rsidP="00E65789">
      <w:pPr>
        <w:numPr>
          <w:ilvl w:val="0"/>
          <w:numId w:val="66"/>
        </w:numPr>
        <w:spacing w:after="60"/>
      </w:pPr>
      <w:r w:rsidRPr="003410C7">
        <w:rPr>
          <w:rFonts w:eastAsia="Calibri" w:cs="Tahoma"/>
          <w:color w:val="000000"/>
          <w:szCs w:val="18"/>
        </w:rPr>
        <w:t>Office 365 ProPlus</w:t>
      </w:r>
    </w:p>
    <w:p w:rsidR="00456002" w:rsidRPr="003410C7" w:rsidRDefault="00456002" w:rsidP="00E65789">
      <w:pPr>
        <w:numPr>
          <w:ilvl w:val="0"/>
          <w:numId w:val="66"/>
        </w:numPr>
        <w:spacing w:after="60"/>
      </w:pPr>
      <w:r w:rsidRPr="003410C7">
        <w:rPr>
          <w:rFonts w:eastAsia="Calibri" w:cs="Tahoma"/>
          <w:color w:val="000000"/>
          <w:szCs w:val="18"/>
        </w:rPr>
        <w:t>Office Live Meeting, Edizioni Standard e Professional</w:t>
      </w:r>
    </w:p>
    <w:p w:rsidR="008368B4" w:rsidRPr="003410C7" w:rsidRDefault="008368B4" w:rsidP="00E65789">
      <w:pPr>
        <w:numPr>
          <w:ilvl w:val="0"/>
          <w:numId w:val="66"/>
        </w:numPr>
        <w:spacing w:after="60"/>
      </w:pPr>
      <w:r w:rsidRPr="003410C7">
        <w:rPr>
          <w:rFonts w:eastAsia="Calibri" w:cs="Tahoma"/>
          <w:color w:val="000000"/>
          <w:szCs w:val="18"/>
        </w:rPr>
        <w:t>Project Online</w:t>
      </w:r>
    </w:p>
    <w:p w:rsidR="008368B4" w:rsidRPr="003410C7" w:rsidRDefault="008368B4" w:rsidP="00E65789">
      <w:pPr>
        <w:numPr>
          <w:ilvl w:val="0"/>
          <w:numId w:val="66"/>
        </w:numPr>
        <w:spacing w:after="60"/>
      </w:pPr>
      <w:r w:rsidRPr="003410C7">
        <w:rPr>
          <w:rFonts w:eastAsia="Calibri" w:cs="Tahoma"/>
          <w:color w:val="000000"/>
          <w:szCs w:val="18"/>
        </w:rPr>
        <w:t>Project Pro per Office 365</w:t>
      </w:r>
    </w:p>
    <w:p w:rsidR="00456002" w:rsidRPr="00451078" w:rsidRDefault="00456002" w:rsidP="00E65789">
      <w:pPr>
        <w:numPr>
          <w:ilvl w:val="0"/>
          <w:numId w:val="66"/>
        </w:numPr>
        <w:spacing w:after="60"/>
        <w:rPr>
          <w:lang w:val="it-IT"/>
        </w:rPr>
      </w:pPr>
      <w:r w:rsidRPr="00451078">
        <w:rPr>
          <w:rFonts w:eastAsia="Calibri" w:cs="Tahoma"/>
          <w:color w:val="000000"/>
          <w:szCs w:val="18"/>
          <w:lang w:val="it-IT"/>
        </w:rPr>
        <w:t xml:space="preserve">SharePoint Online Piano 1 e Piano 2 </w:t>
      </w:r>
    </w:p>
    <w:p w:rsidR="00456002" w:rsidRPr="003410C7" w:rsidRDefault="00456002" w:rsidP="00E65789">
      <w:pPr>
        <w:numPr>
          <w:ilvl w:val="0"/>
          <w:numId w:val="66"/>
        </w:numPr>
        <w:spacing w:after="60"/>
      </w:pPr>
      <w:r w:rsidRPr="003410C7">
        <w:rPr>
          <w:rFonts w:eastAsia="Calibri" w:cs="Tahoma"/>
          <w:color w:val="000000"/>
          <w:szCs w:val="18"/>
        </w:rPr>
        <w:t>System Center Advisor</w:t>
      </w:r>
    </w:p>
    <w:p w:rsidR="008368B4" w:rsidRPr="003410C7" w:rsidRDefault="008368B4" w:rsidP="00E65789">
      <w:pPr>
        <w:numPr>
          <w:ilvl w:val="0"/>
          <w:numId w:val="66"/>
        </w:numPr>
        <w:spacing w:after="60"/>
      </w:pPr>
      <w:r w:rsidRPr="003410C7">
        <w:rPr>
          <w:rFonts w:eastAsia="Calibri" w:cs="Tahoma"/>
          <w:color w:val="000000"/>
          <w:szCs w:val="18"/>
        </w:rPr>
        <w:t>Visio Pro per Office 365</w:t>
      </w:r>
    </w:p>
    <w:p w:rsidR="00456002" w:rsidRPr="003410C7" w:rsidRDefault="00456002" w:rsidP="00E65789">
      <w:pPr>
        <w:numPr>
          <w:ilvl w:val="0"/>
          <w:numId w:val="66"/>
        </w:numPr>
        <w:spacing w:after="60"/>
      </w:pPr>
      <w:r w:rsidRPr="003410C7">
        <w:rPr>
          <w:rFonts w:eastAsia="Calibri" w:cs="Tahoma"/>
          <w:color w:val="000000"/>
          <w:szCs w:val="18"/>
        </w:rPr>
        <w:t>Servizi di Windows Azure</w:t>
      </w:r>
    </w:p>
    <w:p w:rsidR="00456002" w:rsidRPr="003410C7" w:rsidRDefault="00456002" w:rsidP="00E65789">
      <w:pPr>
        <w:numPr>
          <w:ilvl w:val="0"/>
          <w:numId w:val="66"/>
        </w:numPr>
        <w:spacing w:after="60"/>
      </w:pPr>
      <w:r w:rsidRPr="003410C7">
        <w:rPr>
          <w:rFonts w:eastAsia="Calibri" w:cs="Tahoma"/>
          <w:color w:val="000000"/>
          <w:szCs w:val="18"/>
        </w:rPr>
        <w:t>Windows Intune e Componente Aggiuntivo per Windows Intune per System Center Configuration Manager e System Center EndPoint Protection</w:t>
      </w:r>
    </w:p>
    <w:p w:rsidR="002D25C8" w:rsidRPr="003410C7" w:rsidRDefault="002D25C8" w:rsidP="00E72309">
      <w:pPr>
        <w:spacing w:line="180" w:lineRule="exact"/>
        <w:outlineLvl w:val="2"/>
      </w:pPr>
    </w:p>
    <w:p w:rsidR="00456002" w:rsidRPr="00451078" w:rsidRDefault="00456002" w:rsidP="00E72309">
      <w:pPr>
        <w:spacing w:line="214" w:lineRule="exact"/>
        <w:outlineLvl w:val="2"/>
        <w:rPr>
          <w:lang w:val="it-IT"/>
        </w:rPr>
      </w:pPr>
      <w:r w:rsidRPr="00451078">
        <w:rPr>
          <w:rFonts w:cs="Tahoma"/>
          <w:szCs w:val="18"/>
          <w:lang w:val="it-IT"/>
        </w:rPr>
        <w:t>Sono disponibili altre offerte oltre a queste che sono identificate nell’articolo Servizi Online dei Diritti di Utilizzo del</w:t>
      </w:r>
      <w:r w:rsidR="00E72309" w:rsidRPr="00451078">
        <w:rPr>
          <w:rFonts w:cs="Tahoma"/>
          <w:szCs w:val="18"/>
          <w:lang w:val="it-IT"/>
        </w:rPr>
        <w:t> </w:t>
      </w:r>
      <w:r w:rsidRPr="00451078">
        <w:rPr>
          <w:rFonts w:cs="Tahoma"/>
          <w:szCs w:val="18"/>
          <w:lang w:val="it-IT"/>
        </w:rPr>
        <w:t>Prodotto.</w:t>
      </w:r>
      <w:r w:rsidR="00082E1C" w:rsidRPr="00451078">
        <w:rPr>
          <w:rFonts w:cs="Tahoma"/>
          <w:szCs w:val="18"/>
          <w:lang w:val="it-IT"/>
        </w:rPr>
        <w:t xml:space="preserve"> </w:t>
      </w:r>
      <w:r w:rsidRPr="00451078">
        <w:rPr>
          <w:rFonts w:cs="Tahoma"/>
          <w:szCs w:val="18"/>
          <w:lang w:val="it-IT"/>
        </w:rPr>
        <w:t xml:space="preserve">Gli articoli restanti di </w:t>
      </w:r>
      <w:r w:rsidR="001A3EC5" w:rsidRPr="00451078">
        <w:rPr>
          <w:rFonts w:cs="Tahoma"/>
          <w:szCs w:val="18"/>
          <w:lang w:val="it-IT"/>
        </w:rPr>
        <w:t>“</w:t>
      </w:r>
      <w:r w:rsidRPr="00451078">
        <w:rPr>
          <w:rFonts w:cs="Tahoma"/>
          <w:szCs w:val="18"/>
          <w:lang w:val="it-IT"/>
        </w:rPr>
        <w:t>Prezzi dei Servizi Online e Condizioni di Pagamento</w:t>
      </w:r>
      <w:r w:rsidR="001A3EC5" w:rsidRPr="00451078">
        <w:rPr>
          <w:rFonts w:cs="Tahoma"/>
          <w:szCs w:val="18"/>
          <w:lang w:val="it-IT"/>
        </w:rPr>
        <w:t>”</w:t>
      </w:r>
      <w:r w:rsidRPr="00451078">
        <w:rPr>
          <w:rFonts w:cs="Tahoma"/>
          <w:szCs w:val="18"/>
          <w:lang w:val="it-IT"/>
        </w:rPr>
        <w:t xml:space="preserve"> si applicano sia ai Servizi</w:t>
      </w:r>
      <w:r w:rsidR="00E72309" w:rsidRPr="00451078">
        <w:rPr>
          <w:rFonts w:cs="Tahoma"/>
          <w:szCs w:val="18"/>
          <w:lang w:val="it-IT"/>
        </w:rPr>
        <w:t> </w:t>
      </w:r>
      <w:r w:rsidRPr="00451078">
        <w:rPr>
          <w:rFonts w:cs="Tahoma"/>
          <w:szCs w:val="18"/>
          <w:lang w:val="it-IT"/>
        </w:rPr>
        <w:t>Online identificati sopra per nome che a tali altre offerte.</w:t>
      </w:r>
    </w:p>
    <w:p w:rsidR="00116EDC" w:rsidRPr="00451078" w:rsidRDefault="00116EDC" w:rsidP="00E72309">
      <w:pPr>
        <w:spacing w:line="180" w:lineRule="exact"/>
        <w:outlineLvl w:val="2"/>
        <w:rPr>
          <w:lang w:val="it-IT"/>
        </w:rPr>
      </w:pPr>
    </w:p>
    <w:p w:rsidR="00456002" w:rsidRPr="00451078" w:rsidRDefault="00456002" w:rsidP="004525CA">
      <w:pPr>
        <w:pStyle w:val="Heading2"/>
        <w:ind w:left="0"/>
        <w:rPr>
          <w:lang w:val="it-IT"/>
        </w:rPr>
      </w:pPr>
      <w:bookmarkStart w:id="720" w:name="_Toc336338208"/>
      <w:bookmarkStart w:id="721" w:name="_Toc352234803"/>
      <w:r w:rsidRPr="00451078">
        <w:rPr>
          <w:rFonts w:ascii="Tahoma" w:hAnsi="Tahoma" w:cs="Tahoma"/>
          <w:lang w:val="it-IT"/>
        </w:rPr>
        <w:t>Periodo di Validità dell</w:t>
      </w:r>
      <w:r w:rsidR="004525CA">
        <w:rPr>
          <w:rFonts w:ascii="Tahoma" w:hAnsi="Tahoma" w:cs="Tahoma"/>
          <w:lang w:val="it-IT"/>
        </w:rPr>
        <w:t>’</w:t>
      </w:r>
      <w:r w:rsidRPr="00451078">
        <w:rPr>
          <w:rFonts w:ascii="Tahoma" w:hAnsi="Tahoma" w:cs="Tahoma"/>
          <w:lang w:val="it-IT"/>
        </w:rPr>
        <w:t>Abbonamento ai Servizi Online</w:t>
      </w:r>
      <w:bookmarkEnd w:id="720"/>
      <w:bookmarkEnd w:id="721"/>
    </w:p>
    <w:p w:rsidR="00456002" w:rsidRPr="00451078" w:rsidRDefault="00456002" w:rsidP="00E72309">
      <w:pPr>
        <w:spacing w:line="180" w:lineRule="exact"/>
        <w:outlineLvl w:val="2"/>
        <w:rPr>
          <w:lang w:val="it-IT"/>
        </w:rPr>
      </w:pPr>
    </w:p>
    <w:p w:rsidR="00456002" w:rsidRPr="00451078" w:rsidRDefault="00456002" w:rsidP="004525CA">
      <w:pPr>
        <w:outlineLvl w:val="2"/>
        <w:rPr>
          <w:lang w:val="it-IT"/>
        </w:rPr>
      </w:pPr>
      <w:r w:rsidRPr="00451078">
        <w:rPr>
          <w:rFonts w:cs="Tahoma"/>
          <w:szCs w:val="18"/>
          <w:lang w:val="it-IT"/>
        </w:rPr>
        <w:t>L</w:t>
      </w:r>
      <w:r w:rsidR="004525CA">
        <w:rPr>
          <w:rFonts w:cs="Tahoma"/>
          <w:szCs w:val="18"/>
          <w:lang w:val="it-IT"/>
        </w:rPr>
        <w:t>’</w:t>
      </w:r>
      <w:r w:rsidRPr="00451078">
        <w:rPr>
          <w:rFonts w:cs="Tahoma"/>
          <w:szCs w:val="18"/>
          <w:lang w:val="it-IT"/>
        </w:rPr>
        <w:t>acquisto iniziale di un nuovo abbonamento per i servizi online determinerà il periodo di validità dell</w:t>
      </w:r>
      <w:r w:rsidR="004525CA">
        <w:rPr>
          <w:rFonts w:cs="Tahoma"/>
          <w:szCs w:val="18"/>
          <w:lang w:val="it-IT"/>
        </w:rPr>
        <w:t>’</w:t>
      </w:r>
      <w:r w:rsidRPr="00451078">
        <w:rPr>
          <w:rFonts w:cs="Tahoma"/>
          <w:szCs w:val="18"/>
          <w:lang w:val="it-IT"/>
        </w:rPr>
        <w:t>abbonamento.</w:t>
      </w:r>
      <w:r w:rsidR="00082E1C" w:rsidRPr="00451078">
        <w:rPr>
          <w:rFonts w:cs="Tahoma"/>
          <w:szCs w:val="18"/>
          <w:lang w:val="it-IT"/>
        </w:rPr>
        <w:t xml:space="preserve"> </w:t>
      </w:r>
      <w:r w:rsidRPr="00451078">
        <w:rPr>
          <w:rFonts w:cs="Tahoma"/>
          <w:szCs w:val="18"/>
          <w:lang w:val="it-IT"/>
        </w:rPr>
        <w:t>Alcuni servizi consentono a una società di scegliere un periodo di abbonamento annuale o un abbonamento che termini il giorno stesso della scadenza del periodo di validità del contratto o dell</w:t>
      </w:r>
      <w:r w:rsidR="004525CA">
        <w:rPr>
          <w:rFonts w:cs="Tahoma"/>
          <w:szCs w:val="18"/>
          <w:lang w:val="it-IT"/>
        </w:rPr>
        <w:t>’</w:t>
      </w:r>
      <w:r w:rsidRPr="00451078">
        <w:rPr>
          <w:rFonts w:cs="Tahoma"/>
          <w:szCs w:val="18"/>
          <w:lang w:val="it-IT"/>
        </w:rPr>
        <w:t>iscrizione delle società (</w:t>
      </w:r>
      <w:r w:rsidR="001A3EC5" w:rsidRPr="00451078">
        <w:rPr>
          <w:rFonts w:cs="Tahoma"/>
          <w:szCs w:val="18"/>
          <w:lang w:val="it-IT"/>
        </w:rPr>
        <w:t>“</w:t>
      </w:r>
      <w:r w:rsidRPr="00451078">
        <w:rPr>
          <w:rFonts w:cs="Tahoma"/>
          <w:szCs w:val="18"/>
          <w:lang w:val="it-IT"/>
        </w:rPr>
        <w:t>scadenza identica</w:t>
      </w:r>
      <w:r w:rsidR="001A3EC5" w:rsidRPr="00451078">
        <w:rPr>
          <w:rFonts w:cs="Tahoma"/>
          <w:szCs w:val="18"/>
          <w:lang w:val="it-IT"/>
        </w:rPr>
        <w:t>”</w:t>
      </w:r>
      <w:r w:rsidRPr="00451078">
        <w:rPr>
          <w:rFonts w:cs="Tahoma"/>
          <w:szCs w:val="18"/>
          <w:lang w:val="it-IT"/>
        </w:rPr>
        <w:t>) come indicato nella seguente tabella.</w:t>
      </w:r>
      <w:r w:rsidR="00082E1C" w:rsidRPr="00451078">
        <w:rPr>
          <w:rFonts w:cs="Tahoma"/>
          <w:szCs w:val="18"/>
          <w:lang w:val="it-IT"/>
        </w:rPr>
        <w:t xml:space="preserve"> </w:t>
      </w:r>
      <w:r w:rsidRPr="00451078">
        <w:rPr>
          <w:rFonts w:cs="Tahoma"/>
          <w:szCs w:val="18"/>
          <w:lang w:val="it-IT"/>
        </w:rPr>
        <w:t>Select Plus non offre la possibilità di periodi di validità con scadenza identica, ma consente alla società di scegliere tra periodi di validità dell</w:t>
      </w:r>
      <w:r w:rsidR="004525CA">
        <w:rPr>
          <w:rFonts w:cs="Tahoma"/>
          <w:szCs w:val="18"/>
          <w:lang w:val="it-IT"/>
        </w:rPr>
        <w:t>’</w:t>
      </w:r>
      <w:r w:rsidRPr="00451078">
        <w:rPr>
          <w:rFonts w:cs="Tahoma"/>
          <w:szCs w:val="18"/>
          <w:lang w:val="it-IT"/>
        </w:rPr>
        <w:t>abbonamento della durata di 1 anno, 3 anni o</w:t>
      </w:r>
      <w:r w:rsidR="00E72309" w:rsidRPr="00451078">
        <w:rPr>
          <w:rFonts w:cs="Tahoma"/>
          <w:szCs w:val="18"/>
          <w:lang w:val="it-IT"/>
        </w:rPr>
        <w:t> </w:t>
      </w:r>
      <w:r w:rsidRPr="00451078">
        <w:rPr>
          <w:rFonts w:cs="Tahoma"/>
          <w:szCs w:val="18"/>
          <w:lang w:val="it-IT"/>
        </w:rPr>
        <w:t>di allineare il periodo di validità alla seconda ricorrenza a partire dalla data di inizio.</w:t>
      </w:r>
      <w:r w:rsidR="00082E1C" w:rsidRPr="00451078">
        <w:rPr>
          <w:rFonts w:cs="Tahoma"/>
          <w:szCs w:val="18"/>
          <w:lang w:val="it-IT"/>
        </w:rPr>
        <w:t xml:space="preserve"> </w:t>
      </w:r>
      <w:r w:rsidRPr="00451078">
        <w:rPr>
          <w:rFonts w:cs="Tahoma"/>
          <w:szCs w:val="18"/>
          <w:lang w:val="it-IT"/>
        </w:rPr>
        <w:t>Il periodo di validità annuale dell</w:t>
      </w:r>
      <w:r w:rsidR="004525CA">
        <w:rPr>
          <w:rFonts w:cs="Tahoma"/>
          <w:szCs w:val="18"/>
          <w:lang w:val="it-IT"/>
        </w:rPr>
        <w:t>’</w:t>
      </w:r>
      <w:r w:rsidRPr="00451078">
        <w:rPr>
          <w:rFonts w:cs="Tahoma"/>
          <w:szCs w:val="18"/>
          <w:lang w:val="it-IT"/>
        </w:rPr>
        <w:t>abbonamento potrebbe non allinearsi alla data di scadenza del contratto della società né terminare in tale data.</w:t>
      </w:r>
      <w:r w:rsidR="00082E1C" w:rsidRPr="00451078">
        <w:rPr>
          <w:rFonts w:cs="Tahoma"/>
          <w:szCs w:val="18"/>
          <w:lang w:val="it-IT"/>
        </w:rPr>
        <w:t xml:space="preserve"> </w:t>
      </w:r>
      <w:r w:rsidRPr="00451078">
        <w:rPr>
          <w:rFonts w:cs="Tahoma"/>
          <w:szCs w:val="18"/>
          <w:lang w:val="it-IT"/>
        </w:rPr>
        <w:t>Qualora il periodo di validità dell</w:t>
      </w:r>
      <w:r w:rsidR="004525CA">
        <w:rPr>
          <w:rFonts w:cs="Tahoma"/>
          <w:szCs w:val="18"/>
          <w:lang w:val="it-IT"/>
        </w:rPr>
        <w:t>’</w:t>
      </w:r>
      <w:r w:rsidRPr="00451078">
        <w:rPr>
          <w:rFonts w:cs="Tahoma"/>
          <w:szCs w:val="18"/>
          <w:lang w:val="it-IT"/>
        </w:rPr>
        <w:t>abbonamento annuale termini dopo il contratto, la società dovrà disporre di un contratto multilicenza (Volume Licensing) attivo per ordinare licenze aggiuntive o rinnovare il servizio.</w:t>
      </w:r>
      <w:r w:rsidR="00082E1C" w:rsidRPr="00451078">
        <w:rPr>
          <w:rFonts w:cs="Tahoma"/>
          <w:szCs w:val="18"/>
          <w:lang w:val="it-IT"/>
        </w:rPr>
        <w:t xml:space="preserve"> </w:t>
      </w:r>
      <w:r w:rsidRPr="00451078">
        <w:rPr>
          <w:rFonts w:cs="Tahoma"/>
          <w:szCs w:val="18"/>
          <w:lang w:val="it-IT"/>
        </w:rPr>
        <w:t>Qualora la società effettui acquisti aggiuntivi di un servizio, il periodo di validità dell</w:t>
      </w:r>
      <w:r w:rsidR="004525CA">
        <w:rPr>
          <w:rFonts w:cs="Tahoma"/>
          <w:szCs w:val="18"/>
          <w:lang w:val="it-IT"/>
        </w:rPr>
        <w:t>’</w:t>
      </w:r>
      <w:r w:rsidRPr="00451078">
        <w:rPr>
          <w:rFonts w:cs="Tahoma"/>
          <w:szCs w:val="18"/>
          <w:lang w:val="it-IT"/>
        </w:rPr>
        <w:t>abbonamento per l</w:t>
      </w:r>
      <w:r w:rsidR="004525CA">
        <w:rPr>
          <w:rFonts w:cs="Tahoma"/>
          <w:szCs w:val="18"/>
          <w:lang w:val="it-IT"/>
        </w:rPr>
        <w:t>’</w:t>
      </w:r>
      <w:r w:rsidRPr="00451078">
        <w:rPr>
          <w:rFonts w:cs="Tahoma"/>
          <w:szCs w:val="18"/>
          <w:lang w:val="it-IT"/>
        </w:rPr>
        <w:t>acquisto aggiuntivo dovrà allinearsi al periodo di validità dell</w:t>
      </w:r>
      <w:r w:rsidR="004525CA">
        <w:rPr>
          <w:rFonts w:cs="Tahoma"/>
          <w:szCs w:val="18"/>
          <w:lang w:val="it-IT"/>
        </w:rPr>
        <w:t>’</w:t>
      </w:r>
      <w:r w:rsidRPr="00451078">
        <w:rPr>
          <w:rFonts w:cs="Tahoma"/>
          <w:szCs w:val="18"/>
          <w:lang w:val="it-IT"/>
        </w:rPr>
        <w:t>abbonamento esistente della società per lo stesso servizio.</w:t>
      </w:r>
      <w:r w:rsidR="00082E1C" w:rsidRPr="00451078">
        <w:rPr>
          <w:rFonts w:cs="Tahoma"/>
          <w:szCs w:val="18"/>
          <w:lang w:val="it-IT"/>
        </w:rPr>
        <w:t xml:space="preserve"> </w:t>
      </w:r>
      <w:r w:rsidRPr="00451078">
        <w:rPr>
          <w:rFonts w:cs="Tahoma"/>
          <w:szCs w:val="18"/>
          <w:lang w:val="it-IT"/>
        </w:rPr>
        <w:t>Nel caso in cui i</w:t>
      </w:r>
      <w:r w:rsidR="00E72309" w:rsidRPr="00451078">
        <w:rPr>
          <w:rFonts w:cs="Tahoma"/>
          <w:szCs w:val="18"/>
          <w:lang w:val="it-IT"/>
        </w:rPr>
        <w:t> </w:t>
      </w:r>
      <w:r w:rsidRPr="00451078">
        <w:rPr>
          <w:rFonts w:cs="Tahoma"/>
          <w:szCs w:val="18"/>
          <w:lang w:val="it-IT"/>
        </w:rPr>
        <w:t>prezzi degli ordini aggiuntivi di prodotti o servizi non siano indicati nel contratto esistente della società, il prezzo addebitato alla parte che riceverà la fattura per le quantità di servizi aggiuntivi sarà identico al prezzo dell</w:t>
      </w:r>
      <w:r w:rsidR="004525CA">
        <w:rPr>
          <w:rFonts w:cs="Tahoma"/>
          <w:szCs w:val="18"/>
          <w:lang w:val="it-IT"/>
        </w:rPr>
        <w:t>’</w:t>
      </w:r>
      <w:r w:rsidRPr="00451078">
        <w:rPr>
          <w:rFonts w:cs="Tahoma"/>
          <w:szCs w:val="18"/>
          <w:lang w:val="it-IT"/>
        </w:rPr>
        <w:t>acquisto iniziale.</w:t>
      </w:r>
      <w:r w:rsidR="00082E1C" w:rsidRPr="00451078">
        <w:rPr>
          <w:rFonts w:cs="Tahoma"/>
          <w:szCs w:val="18"/>
          <w:lang w:val="it-IT"/>
        </w:rPr>
        <w:t xml:space="preserve"> </w:t>
      </w:r>
      <w:r w:rsidRPr="00451078">
        <w:rPr>
          <w:rFonts w:cs="Tahoma"/>
          <w:szCs w:val="18"/>
          <w:lang w:val="it-IT"/>
        </w:rPr>
        <w:t>Informazioni specifiche sui Servizi di Windows Azure sono disponibili nell</w:t>
      </w:r>
      <w:r w:rsidR="004525CA">
        <w:rPr>
          <w:rFonts w:cs="Tahoma"/>
          <w:szCs w:val="18"/>
          <w:lang w:val="it-IT"/>
        </w:rPr>
        <w:t>’</w:t>
      </w:r>
      <w:r w:rsidRPr="00451078">
        <w:rPr>
          <w:rFonts w:cs="Tahoma"/>
          <w:szCs w:val="18"/>
          <w:lang w:val="it-IT"/>
        </w:rPr>
        <w:t xml:space="preserve">Articolo corrispondente che segue. </w:t>
      </w:r>
    </w:p>
    <w:p w:rsidR="001C1727" w:rsidRPr="005D587A" w:rsidRDefault="001C1727">
      <w:pPr>
        <w:rPr>
          <w:sz w:val="10"/>
          <w:szCs w:val="10"/>
          <w:lang w:val="it-IT"/>
        </w:rPr>
      </w:pPr>
      <w:r w:rsidRPr="005D587A">
        <w:rPr>
          <w:sz w:val="10"/>
          <w:szCs w:val="10"/>
          <w:lang w:val="it-IT"/>
        </w:rPr>
        <w:br w:type="page"/>
      </w:r>
    </w:p>
    <w:tbl>
      <w:tblPr>
        <w:tblW w:w="0" w:type="auto"/>
        <w:tblInd w:w="108" w:type="dxa"/>
        <w:tblCellMar>
          <w:left w:w="0" w:type="dxa"/>
          <w:right w:w="0" w:type="dxa"/>
        </w:tblCellMar>
        <w:tblLook w:val="04A0" w:firstRow="1" w:lastRow="0" w:firstColumn="1" w:lastColumn="0" w:noHBand="0" w:noVBand="1"/>
      </w:tblPr>
      <w:tblGrid>
        <w:gridCol w:w="4469"/>
        <w:gridCol w:w="4387"/>
      </w:tblGrid>
      <w:tr w:rsidR="00456002" w:rsidRPr="00DC1102" w:rsidTr="00475774">
        <w:trPr>
          <w:trHeight w:val="763"/>
          <w:tblHeader/>
        </w:trPr>
        <w:tc>
          <w:tcPr>
            <w:tcW w:w="4469" w:type="dxa"/>
            <w:tcBorders>
              <w:top w:val="single" w:sz="8" w:space="0" w:color="auto"/>
              <w:left w:val="single" w:sz="8" w:space="0" w:color="auto"/>
              <w:bottom w:val="single" w:sz="8" w:space="0" w:color="auto"/>
              <w:right w:val="single" w:sz="8" w:space="0" w:color="auto"/>
            </w:tcBorders>
            <w:shd w:val="clear" w:color="auto" w:fill="FABF8F"/>
            <w:tcMar>
              <w:top w:w="0" w:type="dxa"/>
              <w:left w:w="108" w:type="dxa"/>
              <w:bottom w:w="0" w:type="dxa"/>
              <w:right w:w="108" w:type="dxa"/>
            </w:tcMar>
            <w:hideMark/>
          </w:tcPr>
          <w:p w:rsidR="00456002" w:rsidRPr="00451078" w:rsidRDefault="00456002" w:rsidP="00475774">
            <w:pPr>
              <w:jc w:val="center"/>
              <w:rPr>
                <w:rFonts w:eastAsia="Calibri" w:cs="Tahoma"/>
                <w:b/>
                <w:bCs/>
                <w:sz w:val="20"/>
                <w:szCs w:val="18"/>
                <w:lang w:val="it-IT"/>
              </w:rPr>
            </w:pPr>
            <w:r w:rsidRPr="00451078">
              <w:rPr>
                <w:rFonts w:eastAsia="Calibri" w:cs="Tahoma"/>
                <w:b/>
                <w:bCs/>
                <w:sz w:val="20"/>
                <w:szCs w:val="18"/>
                <w:lang w:val="it-IT"/>
              </w:rPr>
              <w:lastRenderedPageBreak/>
              <w:t>Servizi Online disponibili sia per Periodi di</w:t>
            </w:r>
            <w:r w:rsidR="00475774" w:rsidRPr="00451078">
              <w:rPr>
                <w:rFonts w:eastAsia="Calibri" w:cs="Tahoma"/>
                <w:b/>
                <w:bCs/>
                <w:sz w:val="20"/>
                <w:szCs w:val="18"/>
                <w:lang w:val="it-IT"/>
              </w:rPr>
              <w:t> </w:t>
            </w:r>
            <w:r w:rsidRPr="00451078">
              <w:rPr>
                <w:rFonts w:eastAsia="Calibri" w:cs="Tahoma"/>
                <w:b/>
                <w:bCs/>
                <w:sz w:val="20"/>
                <w:szCs w:val="18"/>
                <w:lang w:val="it-IT"/>
              </w:rPr>
              <w:t>Validità Abbonamento di 1 anno che quelli con Scadenze Identiche</w:t>
            </w:r>
          </w:p>
        </w:tc>
        <w:tc>
          <w:tcPr>
            <w:tcW w:w="4387" w:type="dxa"/>
            <w:tcBorders>
              <w:top w:val="single" w:sz="8" w:space="0" w:color="auto"/>
              <w:left w:val="nil"/>
              <w:bottom w:val="single" w:sz="8" w:space="0" w:color="auto"/>
              <w:right w:val="single" w:sz="8" w:space="0" w:color="auto"/>
            </w:tcBorders>
            <w:shd w:val="clear" w:color="auto" w:fill="FABF8F"/>
            <w:tcMar>
              <w:top w:w="0" w:type="dxa"/>
              <w:left w:w="108" w:type="dxa"/>
              <w:bottom w:w="0" w:type="dxa"/>
              <w:right w:w="108" w:type="dxa"/>
            </w:tcMar>
            <w:hideMark/>
          </w:tcPr>
          <w:p w:rsidR="00456002" w:rsidRPr="00451078" w:rsidRDefault="00456002" w:rsidP="00E72309">
            <w:pPr>
              <w:jc w:val="center"/>
              <w:rPr>
                <w:rFonts w:eastAsia="Calibri" w:cs="Tahoma"/>
                <w:b/>
                <w:bCs/>
                <w:sz w:val="20"/>
                <w:szCs w:val="18"/>
                <w:lang w:val="it-IT"/>
              </w:rPr>
            </w:pPr>
            <w:r w:rsidRPr="00451078">
              <w:rPr>
                <w:rFonts w:eastAsia="Calibri" w:cs="Tahoma"/>
                <w:b/>
                <w:bCs/>
                <w:sz w:val="20"/>
                <w:szCs w:val="18"/>
                <w:lang w:val="it-IT"/>
              </w:rPr>
              <w:t>Servizi Online disponibili solo per Periodi</w:t>
            </w:r>
            <w:r w:rsidR="00E72309" w:rsidRPr="00451078">
              <w:rPr>
                <w:rFonts w:eastAsia="Calibri" w:cs="Tahoma"/>
                <w:b/>
                <w:bCs/>
                <w:sz w:val="20"/>
                <w:szCs w:val="18"/>
                <w:lang w:val="it-IT"/>
              </w:rPr>
              <w:t> </w:t>
            </w:r>
            <w:r w:rsidRPr="00451078">
              <w:rPr>
                <w:rFonts w:eastAsia="Calibri" w:cs="Tahoma"/>
                <w:b/>
                <w:bCs/>
                <w:sz w:val="20"/>
                <w:szCs w:val="18"/>
                <w:lang w:val="it-IT"/>
              </w:rPr>
              <w:t>di Validità Abbonamento con</w:t>
            </w:r>
            <w:r w:rsidR="00E72309" w:rsidRPr="00451078">
              <w:rPr>
                <w:rFonts w:eastAsia="Calibri" w:cs="Tahoma"/>
                <w:b/>
                <w:bCs/>
                <w:sz w:val="20"/>
                <w:szCs w:val="18"/>
                <w:lang w:val="it-IT"/>
              </w:rPr>
              <w:t> </w:t>
            </w:r>
            <w:r w:rsidRPr="00451078">
              <w:rPr>
                <w:rFonts w:eastAsia="Calibri" w:cs="Tahoma"/>
                <w:b/>
                <w:bCs/>
                <w:sz w:val="20"/>
                <w:szCs w:val="18"/>
                <w:lang w:val="it-IT"/>
              </w:rPr>
              <w:t>Scadenze Identiche</w:t>
            </w:r>
          </w:p>
        </w:tc>
      </w:tr>
      <w:tr w:rsidR="00456002" w:rsidRPr="003410C7" w:rsidTr="0044720D">
        <w:trPr>
          <w:trHeight w:val="258"/>
        </w:trPr>
        <w:tc>
          <w:tcPr>
            <w:tcW w:w="4469" w:type="dxa"/>
            <w:tcBorders>
              <w:top w:val="nil"/>
              <w:left w:val="single" w:sz="8" w:space="0" w:color="auto"/>
              <w:bottom w:val="single" w:sz="8" w:space="0" w:color="auto"/>
              <w:right w:val="single" w:sz="8" w:space="0" w:color="auto"/>
            </w:tcBorders>
            <w:tcMar>
              <w:top w:w="0" w:type="dxa"/>
              <w:left w:w="108" w:type="dxa"/>
              <w:bottom w:w="0" w:type="dxa"/>
              <w:right w:w="108" w:type="dxa"/>
            </w:tcMar>
          </w:tcPr>
          <w:p w:rsidR="00456002" w:rsidRPr="003410C7" w:rsidRDefault="00456002" w:rsidP="00C45365">
            <w:pPr>
              <w:numPr>
                <w:ilvl w:val="0"/>
                <w:numId w:val="67"/>
              </w:numPr>
              <w:spacing w:after="60"/>
              <w:ind w:left="720" w:right="259"/>
            </w:pPr>
            <w:r w:rsidRPr="003410C7">
              <w:rPr>
                <w:rFonts w:eastAsia="Calibri" w:cs="Tahoma"/>
                <w:color w:val="000000"/>
                <w:szCs w:val="18"/>
              </w:rPr>
              <w:t>Bing Maps Professional</w:t>
            </w:r>
          </w:p>
          <w:p w:rsidR="00456002" w:rsidRPr="003410C7" w:rsidRDefault="00456002" w:rsidP="00C52680">
            <w:pPr>
              <w:numPr>
                <w:ilvl w:val="0"/>
                <w:numId w:val="67"/>
              </w:numPr>
              <w:spacing w:after="60"/>
              <w:ind w:left="720" w:right="259"/>
            </w:pPr>
            <w:r w:rsidRPr="003410C7">
              <w:rPr>
                <w:rFonts w:eastAsia="Calibri" w:cs="Tahoma"/>
                <w:color w:val="000000"/>
                <w:szCs w:val="18"/>
              </w:rPr>
              <w:t>Exchange Online Protection</w:t>
            </w:r>
          </w:p>
          <w:p w:rsidR="00456002" w:rsidRPr="003410C7" w:rsidRDefault="00456002" w:rsidP="00C52680">
            <w:pPr>
              <w:numPr>
                <w:ilvl w:val="0"/>
                <w:numId w:val="67"/>
              </w:numPr>
              <w:spacing w:after="60"/>
              <w:ind w:left="720" w:right="259"/>
            </w:pPr>
            <w:r w:rsidRPr="003410C7">
              <w:rPr>
                <w:rFonts w:eastAsia="Calibri" w:cs="Tahoma"/>
                <w:color w:val="000000"/>
                <w:szCs w:val="18"/>
              </w:rPr>
              <w:t>Forefront Protection 2010 for Exchange</w:t>
            </w:r>
            <w:r w:rsidR="00E72309">
              <w:rPr>
                <w:rFonts w:eastAsia="Calibri" w:cs="Tahoma"/>
                <w:color w:val="000000"/>
                <w:szCs w:val="18"/>
              </w:rPr>
              <w:t> </w:t>
            </w:r>
            <w:r w:rsidRPr="003410C7">
              <w:rPr>
                <w:rFonts w:eastAsia="Calibri" w:cs="Tahoma"/>
                <w:color w:val="000000"/>
                <w:szCs w:val="18"/>
              </w:rPr>
              <w:t>Server</w:t>
            </w:r>
          </w:p>
          <w:p w:rsidR="00456002" w:rsidRPr="003410C7" w:rsidRDefault="00456002" w:rsidP="00C52680">
            <w:pPr>
              <w:numPr>
                <w:ilvl w:val="0"/>
                <w:numId w:val="67"/>
              </w:numPr>
              <w:spacing w:after="60"/>
              <w:ind w:left="720" w:right="259"/>
            </w:pPr>
            <w:r w:rsidRPr="003410C7">
              <w:rPr>
                <w:rFonts w:eastAsia="Calibri" w:cs="Tahoma"/>
                <w:color w:val="000000"/>
                <w:szCs w:val="18"/>
              </w:rPr>
              <w:t xml:space="preserve">Forefront Protection 2010 for SharePoint </w:t>
            </w:r>
          </w:p>
          <w:p w:rsidR="00456002" w:rsidRPr="003410C7" w:rsidRDefault="00456002" w:rsidP="00C52680">
            <w:pPr>
              <w:numPr>
                <w:ilvl w:val="0"/>
                <w:numId w:val="67"/>
              </w:numPr>
              <w:spacing w:after="60"/>
              <w:ind w:left="720" w:right="259"/>
            </w:pPr>
            <w:r w:rsidRPr="003410C7">
              <w:rPr>
                <w:rFonts w:eastAsia="Calibri" w:cs="Tahoma"/>
                <w:color w:val="000000"/>
                <w:szCs w:val="18"/>
              </w:rPr>
              <w:t>Forefront Protection Suite</w:t>
            </w:r>
          </w:p>
          <w:p w:rsidR="00456002" w:rsidRPr="003410C7" w:rsidRDefault="00456002" w:rsidP="00C52680">
            <w:pPr>
              <w:numPr>
                <w:ilvl w:val="0"/>
                <w:numId w:val="67"/>
              </w:numPr>
              <w:spacing w:after="60"/>
              <w:ind w:left="720" w:right="259"/>
            </w:pPr>
            <w:r w:rsidRPr="003410C7">
              <w:rPr>
                <w:rFonts w:eastAsia="Calibri" w:cs="Tahoma"/>
                <w:color w:val="000000"/>
                <w:szCs w:val="18"/>
              </w:rPr>
              <w:t>Forefront Security for Office Communications Server</w:t>
            </w:r>
          </w:p>
          <w:p w:rsidR="00456002" w:rsidRPr="003410C7" w:rsidRDefault="00456002" w:rsidP="00C52680">
            <w:pPr>
              <w:numPr>
                <w:ilvl w:val="0"/>
                <w:numId w:val="67"/>
              </w:numPr>
              <w:spacing w:after="60"/>
              <w:ind w:left="720" w:right="259"/>
            </w:pPr>
            <w:r w:rsidRPr="003410C7">
              <w:rPr>
                <w:rFonts w:eastAsia="Calibri" w:cs="Tahoma"/>
                <w:color w:val="000000"/>
                <w:szCs w:val="18"/>
              </w:rPr>
              <w:t>Forefront Threat Management Gateway Web Protection Service</w:t>
            </w:r>
          </w:p>
          <w:p w:rsidR="00456002" w:rsidRPr="003410C7" w:rsidRDefault="00456002" w:rsidP="00C52680">
            <w:pPr>
              <w:numPr>
                <w:ilvl w:val="0"/>
                <w:numId w:val="67"/>
              </w:numPr>
              <w:spacing w:after="60"/>
              <w:ind w:left="720" w:right="259"/>
            </w:pPr>
            <w:r w:rsidRPr="003410C7">
              <w:rPr>
                <w:rFonts w:eastAsia="Calibri" w:cs="Tahoma"/>
                <w:color w:val="000000"/>
                <w:szCs w:val="18"/>
              </w:rPr>
              <w:t>Lync Server Public Instant Messaging Connectivity con America Online (AOL) Instant Messaging Service e Windows</w:t>
            </w:r>
            <w:r w:rsidR="00E72309">
              <w:rPr>
                <w:rFonts w:eastAsia="Calibri" w:cs="Tahoma"/>
                <w:color w:val="000000"/>
                <w:szCs w:val="18"/>
              </w:rPr>
              <w:t> </w:t>
            </w:r>
            <w:r w:rsidRPr="003410C7">
              <w:rPr>
                <w:rFonts w:eastAsia="Calibri" w:cs="Tahoma"/>
                <w:color w:val="000000"/>
                <w:szCs w:val="18"/>
              </w:rPr>
              <w:t>Live Messenger Service</w:t>
            </w:r>
          </w:p>
          <w:p w:rsidR="00456002" w:rsidRPr="003410C7" w:rsidRDefault="00456002" w:rsidP="00C52680">
            <w:pPr>
              <w:numPr>
                <w:ilvl w:val="0"/>
                <w:numId w:val="67"/>
              </w:numPr>
              <w:spacing w:after="60"/>
              <w:ind w:left="720" w:right="259"/>
            </w:pPr>
            <w:r w:rsidRPr="003410C7">
              <w:rPr>
                <w:rFonts w:eastAsia="Calibri" w:cs="Tahoma"/>
                <w:color w:val="000000"/>
                <w:szCs w:val="18"/>
              </w:rPr>
              <w:t xml:space="preserve">Lync Server Public Instant Messaging Connectivity con il Servizio Yahoo Instant Messaging </w:t>
            </w:r>
          </w:p>
          <w:p w:rsidR="00456002" w:rsidRPr="003410C7" w:rsidRDefault="00456002" w:rsidP="00C52680">
            <w:pPr>
              <w:numPr>
                <w:ilvl w:val="0"/>
                <w:numId w:val="67"/>
              </w:numPr>
              <w:spacing w:after="60"/>
              <w:ind w:left="720" w:right="259"/>
            </w:pPr>
            <w:r w:rsidRPr="003410C7">
              <w:rPr>
                <w:rFonts w:eastAsia="Calibri" w:cs="Tahoma"/>
                <w:color w:val="000000"/>
                <w:szCs w:val="18"/>
              </w:rPr>
              <w:t>Microsoft Exchange Hosted Encryption</w:t>
            </w:r>
            <w:r w:rsidR="00082E1C">
              <w:rPr>
                <w:rFonts w:eastAsia="Calibri" w:cs="Tahoma"/>
                <w:color w:val="000000"/>
                <w:szCs w:val="18"/>
              </w:rPr>
              <w:t xml:space="preserve"> </w:t>
            </w:r>
          </w:p>
          <w:p w:rsidR="00456002" w:rsidRPr="003410C7" w:rsidRDefault="00456002" w:rsidP="00C52680">
            <w:pPr>
              <w:numPr>
                <w:ilvl w:val="0"/>
                <w:numId w:val="67"/>
              </w:numPr>
              <w:spacing w:after="60"/>
              <w:ind w:left="720" w:right="259"/>
            </w:pPr>
            <w:r w:rsidRPr="003410C7">
              <w:rPr>
                <w:rFonts w:eastAsia="Calibri" w:cs="Tahoma"/>
                <w:color w:val="000000"/>
                <w:szCs w:val="18"/>
              </w:rPr>
              <w:t>Microsoft Learning Solutions</w:t>
            </w:r>
          </w:p>
          <w:p w:rsidR="00456002" w:rsidRPr="003410C7" w:rsidRDefault="00456002" w:rsidP="00C52680">
            <w:pPr>
              <w:numPr>
                <w:ilvl w:val="0"/>
                <w:numId w:val="67"/>
              </w:numPr>
              <w:spacing w:after="60"/>
              <w:ind w:left="720" w:right="259"/>
            </w:pPr>
            <w:r w:rsidRPr="003410C7">
              <w:rPr>
                <w:rFonts w:eastAsia="Calibri" w:cs="Tahoma"/>
                <w:color w:val="000000"/>
                <w:szCs w:val="18"/>
              </w:rPr>
              <w:t>Office Groove Enterprise Services</w:t>
            </w:r>
          </w:p>
          <w:p w:rsidR="00456002" w:rsidRPr="003410C7" w:rsidRDefault="00456002" w:rsidP="00C52680">
            <w:pPr>
              <w:numPr>
                <w:ilvl w:val="0"/>
                <w:numId w:val="67"/>
              </w:numPr>
              <w:spacing w:after="60"/>
              <w:ind w:left="720" w:right="259"/>
            </w:pPr>
            <w:r w:rsidRPr="003410C7">
              <w:rPr>
                <w:rFonts w:eastAsia="Calibri" w:cs="Tahoma"/>
                <w:color w:val="000000"/>
                <w:szCs w:val="18"/>
              </w:rPr>
              <w:t>System Center 2012 Endpoint Protection</w:t>
            </w:r>
          </w:p>
          <w:p w:rsidR="00456002" w:rsidRPr="003410C7" w:rsidRDefault="00456002" w:rsidP="00C52680">
            <w:pPr>
              <w:numPr>
                <w:ilvl w:val="0"/>
                <w:numId w:val="67"/>
              </w:numPr>
              <w:spacing w:after="60"/>
              <w:ind w:left="720" w:right="259"/>
            </w:pPr>
            <w:r w:rsidRPr="003410C7">
              <w:rPr>
                <w:rFonts w:eastAsia="Calibri" w:cs="Tahoma"/>
                <w:color w:val="000000"/>
                <w:szCs w:val="18"/>
              </w:rPr>
              <w:t>Web Antimalware Subscription per Forefront Threat Management Gateway</w:t>
            </w:r>
            <w:r w:rsidR="00E72309">
              <w:rPr>
                <w:rFonts w:eastAsia="Calibri" w:cs="Tahoma"/>
                <w:color w:val="000000"/>
                <w:szCs w:val="18"/>
              </w:rPr>
              <w:t> </w:t>
            </w:r>
            <w:r w:rsidRPr="003410C7">
              <w:rPr>
                <w:rFonts w:eastAsia="Calibri" w:cs="Tahoma"/>
                <w:color w:val="000000"/>
                <w:szCs w:val="18"/>
              </w:rPr>
              <w:t xml:space="preserve">Medium Business Edition </w:t>
            </w:r>
          </w:p>
          <w:p w:rsidR="00456002" w:rsidRPr="003410C7" w:rsidRDefault="00456002" w:rsidP="00C52680">
            <w:pPr>
              <w:numPr>
                <w:ilvl w:val="0"/>
                <w:numId w:val="67"/>
              </w:numPr>
              <w:spacing w:after="60"/>
              <w:ind w:left="720" w:right="259"/>
              <w:rPr>
                <w:rFonts w:eastAsia="Calibri" w:cs="Tahoma"/>
                <w:color w:val="000000"/>
                <w:szCs w:val="18"/>
              </w:rPr>
            </w:pPr>
            <w:r w:rsidRPr="003410C7">
              <w:rPr>
                <w:rFonts w:eastAsia="Calibri" w:cs="Tahoma"/>
                <w:color w:val="000000"/>
                <w:szCs w:val="18"/>
              </w:rPr>
              <w:t>Servizi di Windows Azure</w:t>
            </w:r>
          </w:p>
        </w:tc>
        <w:tc>
          <w:tcPr>
            <w:tcW w:w="4387" w:type="dxa"/>
            <w:tcBorders>
              <w:top w:val="nil"/>
              <w:left w:val="nil"/>
              <w:bottom w:val="single" w:sz="8" w:space="0" w:color="auto"/>
              <w:right w:val="single" w:sz="8" w:space="0" w:color="auto"/>
            </w:tcBorders>
            <w:tcMar>
              <w:top w:w="0" w:type="dxa"/>
              <w:left w:w="108" w:type="dxa"/>
              <w:bottom w:w="0" w:type="dxa"/>
              <w:right w:w="108" w:type="dxa"/>
            </w:tcMar>
          </w:tcPr>
          <w:p w:rsidR="00456002" w:rsidRPr="003410C7" w:rsidRDefault="00456002" w:rsidP="000210F7">
            <w:pPr>
              <w:numPr>
                <w:ilvl w:val="0"/>
                <w:numId w:val="67"/>
              </w:numPr>
              <w:spacing w:after="60"/>
              <w:ind w:left="576" w:right="187"/>
            </w:pPr>
            <w:r w:rsidRPr="003410C7">
              <w:rPr>
                <w:rFonts w:eastAsia="Calibri" w:cs="Tahoma"/>
                <w:color w:val="000000"/>
                <w:szCs w:val="18"/>
              </w:rPr>
              <w:t xml:space="preserve">Dynamics CRM Online </w:t>
            </w:r>
          </w:p>
          <w:p w:rsidR="00456002" w:rsidRPr="003410C7" w:rsidRDefault="00456002" w:rsidP="000210F7">
            <w:pPr>
              <w:numPr>
                <w:ilvl w:val="0"/>
                <w:numId w:val="67"/>
              </w:numPr>
              <w:spacing w:after="60"/>
              <w:ind w:left="576" w:right="187"/>
            </w:pPr>
            <w:r w:rsidRPr="003410C7">
              <w:rPr>
                <w:rFonts w:eastAsia="Calibri" w:cs="Tahoma"/>
                <w:color w:val="000000"/>
                <w:szCs w:val="18"/>
              </w:rPr>
              <w:t>Dynamics Mobile</w:t>
            </w:r>
          </w:p>
          <w:p w:rsidR="00456002" w:rsidRPr="003410C7" w:rsidRDefault="00456002" w:rsidP="000210F7">
            <w:pPr>
              <w:numPr>
                <w:ilvl w:val="0"/>
                <w:numId w:val="67"/>
              </w:numPr>
              <w:spacing w:after="60"/>
              <w:ind w:left="576" w:right="187"/>
            </w:pPr>
            <w:r w:rsidRPr="003410C7">
              <w:rPr>
                <w:rFonts w:eastAsia="Calibri" w:cs="Tahoma"/>
                <w:color w:val="000000"/>
                <w:szCs w:val="18"/>
              </w:rPr>
              <w:t>Dynamics Onprem Mobile</w:t>
            </w:r>
          </w:p>
          <w:p w:rsidR="009B3FA2" w:rsidRPr="003410C7" w:rsidRDefault="009B3FA2" w:rsidP="000210F7">
            <w:pPr>
              <w:numPr>
                <w:ilvl w:val="0"/>
                <w:numId w:val="67"/>
              </w:numPr>
              <w:spacing w:after="60"/>
              <w:ind w:left="576" w:right="187"/>
            </w:pPr>
            <w:r w:rsidRPr="003410C7">
              <w:rPr>
                <w:rFonts w:eastAsia="Calibri" w:cs="Tahoma"/>
                <w:color w:val="000000"/>
                <w:szCs w:val="18"/>
              </w:rPr>
              <w:t>Archiviazione Exchange Online per</w:t>
            </w:r>
            <w:r w:rsidR="00E72309">
              <w:rPr>
                <w:rFonts w:eastAsia="Calibri" w:cs="Tahoma"/>
                <w:color w:val="000000"/>
                <w:szCs w:val="18"/>
              </w:rPr>
              <w:t> </w:t>
            </w:r>
            <w:r w:rsidRPr="003410C7">
              <w:rPr>
                <w:rFonts w:eastAsia="Calibri" w:cs="Tahoma"/>
                <w:color w:val="000000"/>
                <w:szCs w:val="18"/>
              </w:rPr>
              <w:t>Exchange Online</w:t>
            </w:r>
          </w:p>
          <w:p w:rsidR="00456002" w:rsidRPr="00451078" w:rsidRDefault="00456002" w:rsidP="000210F7">
            <w:pPr>
              <w:numPr>
                <w:ilvl w:val="0"/>
                <w:numId w:val="67"/>
              </w:numPr>
              <w:spacing w:after="60"/>
              <w:ind w:left="576" w:right="187"/>
              <w:rPr>
                <w:lang w:val="it-IT"/>
              </w:rPr>
            </w:pPr>
            <w:r w:rsidRPr="00451078">
              <w:rPr>
                <w:rFonts w:eastAsia="Calibri" w:cs="Tahoma"/>
                <w:color w:val="000000"/>
                <w:szCs w:val="18"/>
                <w:lang w:val="it-IT"/>
              </w:rPr>
              <w:t>Archiviazione Exchange Online per</w:t>
            </w:r>
            <w:r w:rsidR="00E72309" w:rsidRPr="00451078">
              <w:rPr>
                <w:rFonts w:eastAsia="Calibri" w:cs="Tahoma"/>
                <w:color w:val="000000"/>
                <w:szCs w:val="18"/>
                <w:lang w:val="it-IT"/>
              </w:rPr>
              <w:t> </w:t>
            </w:r>
            <w:r w:rsidRPr="00451078">
              <w:rPr>
                <w:rFonts w:eastAsia="Calibri" w:cs="Tahoma"/>
                <w:color w:val="000000"/>
                <w:szCs w:val="18"/>
                <w:lang w:val="it-IT"/>
              </w:rPr>
              <w:t>Exchange Server</w:t>
            </w:r>
          </w:p>
          <w:p w:rsidR="00456002" w:rsidRPr="00451078" w:rsidRDefault="00456002" w:rsidP="000210F7">
            <w:pPr>
              <w:numPr>
                <w:ilvl w:val="0"/>
                <w:numId w:val="67"/>
              </w:numPr>
              <w:spacing w:after="60"/>
              <w:ind w:left="576" w:right="187"/>
              <w:rPr>
                <w:lang w:val="it-IT"/>
              </w:rPr>
            </w:pPr>
            <w:r w:rsidRPr="00451078">
              <w:rPr>
                <w:rFonts w:eastAsia="Calibri" w:cs="Tahoma"/>
                <w:color w:val="000000"/>
                <w:szCs w:val="18"/>
                <w:lang w:val="it-IT"/>
              </w:rPr>
              <w:t>Chiosco Exc</w:t>
            </w:r>
            <w:r w:rsidR="00E72309" w:rsidRPr="00451078">
              <w:rPr>
                <w:rFonts w:eastAsia="Calibri" w:cs="Tahoma"/>
                <w:color w:val="000000"/>
                <w:szCs w:val="18"/>
                <w:lang w:val="it-IT"/>
              </w:rPr>
              <w:t>hange Online, Piano 1 e Piano 2</w:t>
            </w:r>
          </w:p>
          <w:p w:rsidR="00456002" w:rsidRPr="003410C7" w:rsidRDefault="00456002" w:rsidP="000210F7">
            <w:pPr>
              <w:numPr>
                <w:ilvl w:val="0"/>
                <w:numId w:val="67"/>
              </w:numPr>
              <w:spacing w:after="60"/>
              <w:ind w:left="576" w:right="187"/>
            </w:pPr>
            <w:r w:rsidRPr="003410C7">
              <w:rPr>
                <w:rFonts w:eastAsia="Calibri" w:cs="Tahoma"/>
                <w:color w:val="000000"/>
                <w:szCs w:val="18"/>
                <w:lang w:eastAsia="x-none"/>
              </w:rPr>
              <w:t>Lync</w:t>
            </w:r>
            <w:r w:rsidRPr="003410C7">
              <w:rPr>
                <w:rFonts w:eastAsia="Calibri" w:cs="Tahoma"/>
                <w:color w:val="000000"/>
                <w:szCs w:val="18"/>
              </w:rPr>
              <w:t xml:space="preserve"> Online Piano 1, 2 e 3</w:t>
            </w:r>
          </w:p>
          <w:p w:rsidR="009B3FA2" w:rsidRPr="003410C7" w:rsidRDefault="00456002" w:rsidP="000210F7">
            <w:pPr>
              <w:numPr>
                <w:ilvl w:val="0"/>
                <w:numId w:val="67"/>
              </w:numPr>
              <w:spacing w:after="60"/>
              <w:ind w:left="576" w:right="187"/>
            </w:pPr>
            <w:r w:rsidRPr="003410C7">
              <w:rPr>
                <w:rFonts w:eastAsia="Calibri" w:cs="Tahoma"/>
                <w:color w:val="000000"/>
                <w:szCs w:val="18"/>
              </w:rPr>
              <w:t>Office 365 Education A2, A3 e A4</w:t>
            </w:r>
          </w:p>
          <w:p w:rsidR="00456002" w:rsidRPr="00451078" w:rsidRDefault="009B3FA2" w:rsidP="000210F7">
            <w:pPr>
              <w:numPr>
                <w:ilvl w:val="0"/>
                <w:numId w:val="67"/>
              </w:numPr>
              <w:spacing w:after="60"/>
              <w:ind w:left="576" w:right="187"/>
              <w:rPr>
                <w:lang w:val="it-IT"/>
              </w:rPr>
            </w:pPr>
            <w:r w:rsidRPr="00451078">
              <w:rPr>
                <w:rFonts w:eastAsia="Calibri" w:cs="Tahoma"/>
                <w:color w:val="000000"/>
                <w:szCs w:val="18"/>
                <w:lang w:val="it-IT"/>
              </w:rPr>
              <w:t>Office 365 Enterprise K1, K2, E1, E2, E3</w:t>
            </w:r>
            <w:r w:rsidR="00E72309" w:rsidRPr="00451078">
              <w:rPr>
                <w:rFonts w:eastAsia="Calibri" w:cs="Tahoma"/>
                <w:color w:val="000000"/>
                <w:szCs w:val="18"/>
                <w:lang w:val="it-IT"/>
              </w:rPr>
              <w:t> </w:t>
            </w:r>
            <w:r w:rsidRPr="00451078">
              <w:rPr>
                <w:rFonts w:eastAsia="Calibri" w:cs="Tahoma"/>
                <w:color w:val="000000"/>
                <w:szCs w:val="18"/>
                <w:lang w:val="it-IT"/>
              </w:rPr>
              <w:t>ed E4</w:t>
            </w:r>
          </w:p>
          <w:p w:rsidR="00061A45" w:rsidRPr="003410C7" w:rsidRDefault="008368B4" w:rsidP="000210F7">
            <w:pPr>
              <w:numPr>
                <w:ilvl w:val="0"/>
                <w:numId w:val="67"/>
              </w:numPr>
              <w:spacing w:after="60"/>
              <w:ind w:left="576" w:right="187"/>
            </w:pPr>
            <w:r w:rsidRPr="003410C7">
              <w:rPr>
                <w:rFonts w:eastAsia="Calibri" w:cs="Tahoma"/>
                <w:color w:val="000000"/>
                <w:szCs w:val="18"/>
              </w:rPr>
              <w:t>Office 365 ProPlus</w:t>
            </w:r>
          </w:p>
          <w:p w:rsidR="00456002" w:rsidRPr="003410C7" w:rsidRDefault="00456002" w:rsidP="000210F7">
            <w:pPr>
              <w:numPr>
                <w:ilvl w:val="0"/>
                <w:numId w:val="67"/>
              </w:numPr>
              <w:spacing w:after="60"/>
              <w:ind w:left="576" w:right="187"/>
            </w:pPr>
            <w:r w:rsidRPr="003410C7">
              <w:rPr>
                <w:rFonts w:eastAsia="Calibri" w:cs="Tahoma"/>
                <w:color w:val="000000"/>
                <w:szCs w:val="18"/>
              </w:rPr>
              <w:t>Office Web Applications</w:t>
            </w:r>
          </w:p>
          <w:p w:rsidR="008368B4" w:rsidRPr="003410C7" w:rsidRDefault="008368B4" w:rsidP="000210F7">
            <w:pPr>
              <w:numPr>
                <w:ilvl w:val="0"/>
                <w:numId w:val="67"/>
              </w:numPr>
              <w:spacing w:after="60"/>
              <w:ind w:left="576" w:right="187"/>
            </w:pPr>
            <w:r w:rsidRPr="003410C7">
              <w:rPr>
                <w:rFonts w:eastAsia="Calibri" w:cs="Tahoma"/>
                <w:color w:val="000000"/>
                <w:szCs w:val="18"/>
                <w:lang w:eastAsia="x-none"/>
              </w:rPr>
              <w:t>Project</w:t>
            </w:r>
            <w:r w:rsidRPr="003410C7">
              <w:rPr>
                <w:rFonts w:eastAsia="Calibri" w:cs="Tahoma"/>
                <w:color w:val="000000"/>
                <w:szCs w:val="18"/>
              </w:rPr>
              <w:t xml:space="preserve"> Online</w:t>
            </w:r>
          </w:p>
          <w:p w:rsidR="008368B4" w:rsidRPr="003410C7" w:rsidRDefault="008368B4" w:rsidP="000210F7">
            <w:pPr>
              <w:numPr>
                <w:ilvl w:val="0"/>
                <w:numId w:val="67"/>
              </w:numPr>
              <w:spacing w:after="60"/>
              <w:ind w:left="576" w:right="187"/>
            </w:pPr>
            <w:r w:rsidRPr="003410C7">
              <w:rPr>
                <w:rFonts w:eastAsia="Calibri" w:cs="Tahoma"/>
                <w:color w:val="000000"/>
                <w:szCs w:val="18"/>
              </w:rPr>
              <w:t>Project Pro per Office 365</w:t>
            </w:r>
          </w:p>
          <w:p w:rsidR="00456002" w:rsidRPr="00451078" w:rsidRDefault="00456002" w:rsidP="000210F7">
            <w:pPr>
              <w:numPr>
                <w:ilvl w:val="0"/>
                <w:numId w:val="67"/>
              </w:numPr>
              <w:spacing w:after="60"/>
              <w:ind w:left="576" w:right="187"/>
              <w:rPr>
                <w:lang w:val="it-IT"/>
              </w:rPr>
            </w:pPr>
            <w:r w:rsidRPr="00451078">
              <w:rPr>
                <w:rFonts w:eastAsia="Calibri" w:cs="Tahoma"/>
                <w:color w:val="000000"/>
                <w:szCs w:val="18"/>
                <w:lang w:val="it-IT"/>
              </w:rPr>
              <w:t xml:space="preserve">SharePoint Online Piano 1 e Piano 2 </w:t>
            </w:r>
          </w:p>
          <w:p w:rsidR="00456002" w:rsidRPr="003410C7" w:rsidRDefault="00456002" w:rsidP="000210F7">
            <w:pPr>
              <w:numPr>
                <w:ilvl w:val="0"/>
                <w:numId w:val="67"/>
              </w:numPr>
              <w:spacing w:after="60"/>
              <w:ind w:left="576" w:right="187"/>
            </w:pPr>
            <w:r w:rsidRPr="003410C7">
              <w:rPr>
                <w:rFonts w:eastAsia="Calibri" w:cs="Tahoma"/>
                <w:color w:val="000000"/>
                <w:szCs w:val="18"/>
              </w:rPr>
              <w:t>Windows Intune</w:t>
            </w:r>
          </w:p>
          <w:p w:rsidR="00456002" w:rsidRPr="003410C7" w:rsidRDefault="003929D1" w:rsidP="000210F7">
            <w:pPr>
              <w:numPr>
                <w:ilvl w:val="0"/>
                <w:numId w:val="67"/>
              </w:numPr>
              <w:spacing w:after="60"/>
              <w:ind w:left="576" w:right="187"/>
            </w:pPr>
            <w:r w:rsidRPr="003410C7">
              <w:rPr>
                <w:rFonts w:eastAsia="Calibri" w:cs="Tahoma"/>
                <w:color w:val="000000"/>
                <w:szCs w:val="18"/>
              </w:rPr>
              <w:t>Componente Aggiuntivo di Windows Intune</w:t>
            </w:r>
          </w:p>
          <w:p w:rsidR="009B3FA2" w:rsidRPr="003410C7" w:rsidRDefault="009B3FA2" w:rsidP="000210F7">
            <w:pPr>
              <w:numPr>
                <w:ilvl w:val="0"/>
                <w:numId w:val="67"/>
              </w:numPr>
              <w:spacing w:after="60"/>
              <w:ind w:left="576" w:right="187"/>
              <w:rPr>
                <w:rFonts w:eastAsia="Calibri" w:cs="Tahoma"/>
                <w:szCs w:val="18"/>
              </w:rPr>
            </w:pPr>
            <w:r w:rsidRPr="003410C7">
              <w:rPr>
                <w:rFonts w:eastAsia="Calibri" w:cs="Tahoma"/>
                <w:color w:val="000000"/>
                <w:szCs w:val="18"/>
              </w:rPr>
              <w:t>Yammer Enterprise</w:t>
            </w:r>
          </w:p>
        </w:tc>
      </w:tr>
    </w:tbl>
    <w:p w:rsidR="00171817" w:rsidRPr="00475774" w:rsidRDefault="00171817" w:rsidP="00212CC6">
      <w:pPr>
        <w:pStyle w:val="Heading2"/>
        <w:ind w:left="0"/>
        <w:rPr>
          <w:sz w:val="20"/>
          <w:szCs w:val="20"/>
        </w:rPr>
      </w:pPr>
    </w:p>
    <w:p w:rsidR="00456002" w:rsidRPr="00451078" w:rsidRDefault="00456002" w:rsidP="00171817">
      <w:pPr>
        <w:pStyle w:val="Heading2"/>
        <w:ind w:left="0"/>
        <w:rPr>
          <w:lang w:val="it-IT"/>
        </w:rPr>
      </w:pPr>
      <w:bookmarkStart w:id="722" w:name="_Toc336338209"/>
      <w:bookmarkStart w:id="723" w:name="_Toc352234804"/>
      <w:r w:rsidRPr="00451078">
        <w:rPr>
          <w:rFonts w:ascii="Tahoma" w:hAnsi="Tahoma" w:cs="Tahoma"/>
          <w:lang w:val="it-IT"/>
        </w:rPr>
        <w:t>Acquisti e Rinnovo Automatico di Servizi Online</w:t>
      </w:r>
      <w:bookmarkEnd w:id="722"/>
      <w:bookmarkEnd w:id="723"/>
      <w:r w:rsidRPr="00451078">
        <w:rPr>
          <w:rFonts w:ascii="Tahoma" w:hAnsi="Tahoma" w:cs="Tahoma"/>
          <w:lang w:val="it-IT"/>
        </w:rPr>
        <w:t xml:space="preserve"> </w:t>
      </w:r>
    </w:p>
    <w:p w:rsidR="00456002" w:rsidRPr="00451078" w:rsidRDefault="00456002" w:rsidP="00171817">
      <w:pPr>
        <w:outlineLvl w:val="2"/>
        <w:rPr>
          <w:lang w:val="it-IT"/>
        </w:rPr>
      </w:pPr>
    </w:p>
    <w:p w:rsidR="00456002" w:rsidRPr="00451078" w:rsidRDefault="00456002" w:rsidP="00212CC6">
      <w:pPr>
        <w:outlineLvl w:val="2"/>
        <w:rPr>
          <w:lang w:val="it-IT"/>
        </w:rPr>
      </w:pPr>
      <w:r w:rsidRPr="00451078">
        <w:rPr>
          <w:rFonts w:cs="Tahoma"/>
          <w:szCs w:val="18"/>
          <w:lang w:val="it-IT"/>
        </w:rPr>
        <w:t>Le società dovranno disporre di un Contratto Multilicenza (Volume Licensing) attivo per ordinare o rinnovare gli abbonamenti ai servizi online di Volume License.</w:t>
      </w:r>
      <w:r w:rsidR="00082E1C" w:rsidRPr="00451078">
        <w:rPr>
          <w:rFonts w:cs="Tahoma"/>
          <w:szCs w:val="18"/>
          <w:lang w:val="it-IT"/>
        </w:rPr>
        <w:t xml:space="preserve"> </w:t>
      </w:r>
      <w:r w:rsidRPr="00451078">
        <w:rPr>
          <w:rFonts w:cs="Tahoma"/>
          <w:szCs w:val="18"/>
          <w:lang w:val="it-IT"/>
        </w:rPr>
        <w:t>Un abbonamento ai servizi online si rinnova automaticamente il</w:t>
      </w:r>
      <w:r w:rsidR="00E72309" w:rsidRPr="00451078">
        <w:rPr>
          <w:rFonts w:cs="Tahoma"/>
          <w:szCs w:val="18"/>
          <w:lang w:val="it-IT"/>
        </w:rPr>
        <w:t> </w:t>
      </w:r>
      <w:r w:rsidRPr="00451078">
        <w:rPr>
          <w:rFonts w:cs="Tahoma"/>
          <w:szCs w:val="18"/>
          <w:lang w:val="it-IT"/>
        </w:rPr>
        <w:t>giorno successivo alla scadenza del periodo di validità, a meno che la società non scelga di non rinnovare annullando l</w:t>
      </w:r>
      <w:r w:rsidR="004525CA">
        <w:rPr>
          <w:rFonts w:cs="Tahoma"/>
          <w:szCs w:val="18"/>
          <w:lang w:val="it-IT"/>
        </w:rPr>
        <w:t>’</w:t>
      </w:r>
      <w:r w:rsidRPr="00451078">
        <w:rPr>
          <w:rFonts w:cs="Tahoma"/>
          <w:szCs w:val="18"/>
          <w:lang w:val="it-IT"/>
        </w:rPr>
        <w:t xml:space="preserve">opzione di </w:t>
      </w:r>
      <w:r w:rsidRPr="00451078">
        <w:rPr>
          <w:rFonts w:cs="Tahoma"/>
          <w:color w:val="000000"/>
          <w:szCs w:val="18"/>
          <w:lang w:val="it-IT"/>
        </w:rPr>
        <w:t xml:space="preserve">rinnovo </w:t>
      </w:r>
      <w:r w:rsidRPr="00451078">
        <w:rPr>
          <w:bCs/>
          <w:color w:val="000000"/>
          <w:lang w:val="it-IT"/>
        </w:rPr>
        <w:t>automatico almeno 5</w:t>
      </w:r>
      <w:r w:rsidRPr="00451078">
        <w:rPr>
          <w:b/>
          <w:bCs/>
          <w:color w:val="1F497D"/>
          <w:lang w:val="it-IT"/>
        </w:rPr>
        <w:t xml:space="preserve"> </w:t>
      </w:r>
      <w:r w:rsidRPr="00451078">
        <w:rPr>
          <w:rFonts w:cs="Tahoma"/>
          <w:szCs w:val="18"/>
          <w:lang w:val="it-IT"/>
        </w:rPr>
        <w:t>giorni prima della scadenza dell</w:t>
      </w:r>
      <w:r w:rsidR="004525CA">
        <w:rPr>
          <w:rFonts w:cs="Tahoma"/>
          <w:szCs w:val="18"/>
          <w:lang w:val="it-IT"/>
        </w:rPr>
        <w:t>’</w:t>
      </w:r>
      <w:r w:rsidRPr="00451078">
        <w:rPr>
          <w:rFonts w:cs="Tahoma"/>
          <w:szCs w:val="18"/>
          <w:lang w:val="it-IT"/>
        </w:rPr>
        <w:t>abbonamento.</w:t>
      </w:r>
      <w:r w:rsidR="00082E1C" w:rsidRPr="00451078">
        <w:rPr>
          <w:rFonts w:cs="Tahoma"/>
          <w:szCs w:val="18"/>
          <w:lang w:val="it-IT"/>
        </w:rPr>
        <w:t xml:space="preserve"> </w:t>
      </w:r>
      <w:r w:rsidRPr="00451078">
        <w:rPr>
          <w:rFonts w:cs="Tahoma"/>
          <w:szCs w:val="18"/>
          <w:lang w:val="it-IT"/>
        </w:rPr>
        <w:t>In occasione del rinnovo automatico Microsoft fatturerà alla parte interessata il numero di licenze in scadenza con periodo di validità dell</w:t>
      </w:r>
      <w:r w:rsidR="004525CA">
        <w:rPr>
          <w:rFonts w:cs="Tahoma"/>
          <w:szCs w:val="18"/>
          <w:lang w:val="it-IT"/>
        </w:rPr>
        <w:t>’</w:t>
      </w:r>
      <w:r w:rsidRPr="00451078">
        <w:rPr>
          <w:rFonts w:cs="Tahoma"/>
          <w:szCs w:val="18"/>
          <w:lang w:val="it-IT"/>
        </w:rPr>
        <w:t>abbonamento identico, qualora il contratto iniziale della società rimanga attivo.</w:t>
      </w:r>
      <w:r w:rsidR="00082E1C" w:rsidRPr="00451078">
        <w:rPr>
          <w:rFonts w:cs="Tahoma"/>
          <w:szCs w:val="18"/>
          <w:lang w:val="it-IT"/>
        </w:rPr>
        <w:t xml:space="preserve"> </w:t>
      </w:r>
      <w:r w:rsidRPr="00451078">
        <w:rPr>
          <w:rFonts w:cs="Tahoma"/>
          <w:szCs w:val="18"/>
          <w:lang w:val="it-IT"/>
        </w:rPr>
        <w:t>Gli abbonamenti ai servizi online per gli enti pubblici e gli istituti didattici non si rinnoveranno automaticamente a meno che la società non scelga l</w:t>
      </w:r>
      <w:r w:rsidR="004525CA">
        <w:rPr>
          <w:rFonts w:cs="Tahoma"/>
          <w:szCs w:val="18"/>
          <w:lang w:val="it-IT"/>
        </w:rPr>
        <w:t>’</w:t>
      </w:r>
      <w:r w:rsidRPr="00451078">
        <w:rPr>
          <w:rFonts w:cs="Tahoma"/>
          <w:szCs w:val="18"/>
          <w:lang w:val="it-IT"/>
        </w:rPr>
        <w:t>opzione di rinnovo automatico.</w:t>
      </w:r>
      <w:r w:rsidR="00082E1C" w:rsidRPr="00451078">
        <w:rPr>
          <w:rFonts w:cs="Tahoma"/>
          <w:szCs w:val="18"/>
          <w:lang w:val="it-IT"/>
        </w:rPr>
        <w:t xml:space="preserve"> </w:t>
      </w:r>
      <w:r w:rsidRPr="00451078">
        <w:rPr>
          <w:rFonts w:cs="Tahoma"/>
          <w:szCs w:val="18"/>
          <w:lang w:val="it-IT"/>
        </w:rPr>
        <w:t>Al momento del rinnovo i prezzi vengono ridefiniti.</w:t>
      </w:r>
      <w:r w:rsidR="00082E1C" w:rsidRPr="00451078">
        <w:rPr>
          <w:rFonts w:cs="Tahoma"/>
          <w:szCs w:val="18"/>
          <w:lang w:val="it-IT"/>
        </w:rPr>
        <w:t xml:space="preserve"> </w:t>
      </w:r>
      <w:r w:rsidRPr="00451078">
        <w:rPr>
          <w:rFonts w:cs="Tahoma"/>
          <w:szCs w:val="18"/>
          <w:lang w:val="it-IT"/>
        </w:rPr>
        <w:t>L</w:t>
      </w:r>
      <w:r w:rsidR="004525CA">
        <w:rPr>
          <w:rFonts w:cs="Tahoma"/>
          <w:szCs w:val="18"/>
          <w:lang w:val="it-IT"/>
        </w:rPr>
        <w:t>’</w:t>
      </w:r>
      <w:r w:rsidRPr="00451078">
        <w:rPr>
          <w:rFonts w:cs="Tahoma"/>
          <w:szCs w:val="18"/>
          <w:lang w:val="it-IT"/>
        </w:rPr>
        <w:t>opzione di rinnovo automatico non è disponibile per i Servizi di Windows Azure.</w:t>
      </w:r>
    </w:p>
    <w:p w:rsidR="00116EDC" w:rsidRPr="00451078" w:rsidRDefault="00116EDC" w:rsidP="00116EDC">
      <w:pPr>
        <w:rPr>
          <w:lang w:val="it-IT"/>
        </w:rPr>
      </w:pPr>
    </w:p>
    <w:p w:rsidR="00456002" w:rsidRPr="00451078" w:rsidRDefault="00456002" w:rsidP="00171817">
      <w:pPr>
        <w:pStyle w:val="Heading2"/>
        <w:ind w:left="0"/>
        <w:rPr>
          <w:lang w:val="it-IT"/>
        </w:rPr>
      </w:pPr>
      <w:bookmarkStart w:id="724" w:name="_Toc336338210"/>
      <w:bookmarkStart w:id="725" w:name="_Toc352234805"/>
      <w:r w:rsidRPr="00451078">
        <w:rPr>
          <w:rFonts w:ascii="Tahoma" w:hAnsi="Tahoma" w:cs="Tahoma"/>
          <w:lang w:val="it-IT"/>
        </w:rPr>
        <w:t>Gestione degli Stati di Rinnovo e di Rinnovo Automatico</w:t>
      </w:r>
      <w:bookmarkEnd w:id="724"/>
      <w:bookmarkEnd w:id="725"/>
    </w:p>
    <w:p w:rsidR="00456002" w:rsidRPr="00451078" w:rsidRDefault="00456002" w:rsidP="00171817">
      <w:pPr>
        <w:outlineLvl w:val="2"/>
        <w:rPr>
          <w:lang w:val="it-IT"/>
        </w:rPr>
      </w:pPr>
    </w:p>
    <w:p w:rsidR="00456002" w:rsidRPr="00451078" w:rsidRDefault="00456002" w:rsidP="00171817">
      <w:pPr>
        <w:outlineLvl w:val="2"/>
        <w:rPr>
          <w:lang w:val="it-IT"/>
        </w:rPr>
      </w:pPr>
      <w:r w:rsidRPr="00451078">
        <w:rPr>
          <w:rFonts w:cs="Tahoma"/>
          <w:szCs w:val="18"/>
          <w:lang w:val="it-IT"/>
        </w:rPr>
        <w:t>Le società riceveranno comunicazioni relative ai rinnovi prima della scadenza dei periodi di validità degli abbonamenti</w:t>
      </w:r>
      <w:r w:rsidR="00E72309" w:rsidRPr="00451078">
        <w:rPr>
          <w:rFonts w:cs="Tahoma"/>
          <w:szCs w:val="18"/>
          <w:lang w:val="it-IT"/>
        </w:rPr>
        <w:t> </w:t>
      </w:r>
      <w:r w:rsidRPr="00451078">
        <w:rPr>
          <w:rFonts w:cs="Tahoma"/>
          <w:szCs w:val="18"/>
          <w:lang w:val="it-IT"/>
        </w:rPr>
        <w:t>ai servizi online.</w:t>
      </w:r>
      <w:r w:rsidR="00082E1C" w:rsidRPr="00451078">
        <w:rPr>
          <w:rFonts w:cs="Tahoma"/>
          <w:szCs w:val="18"/>
          <w:lang w:val="it-IT"/>
        </w:rPr>
        <w:t xml:space="preserve"> </w:t>
      </w:r>
      <w:r w:rsidRPr="00451078">
        <w:rPr>
          <w:rFonts w:cs="Tahoma"/>
          <w:szCs w:val="18"/>
          <w:lang w:val="it-IT"/>
        </w:rPr>
        <w:t>Le società possono annullare il rinnovo o cambiare un ordine di rinnovo automatico intervenendo almeno 30 giorni prima della scadenza del periodo di validità dell</w:t>
      </w:r>
      <w:r w:rsidR="004525CA">
        <w:rPr>
          <w:rFonts w:cs="Tahoma"/>
          <w:szCs w:val="18"/>
          <w:lang w:val="it-IT"/>
        </w:rPr>
        <w:t>’</w:t>
      </w:r>
      <w:r w:rsidRPr="00451078">
        <w:rPr>
          <w:rFonts w:cs="Tahoma"/>
          <w:szCs w:val="18"/>
          <w:lang w:val="it-IT"/>
        </w:rPr>
        <w:t>abbonamento.</w:t>
      </w:r>
      <w:r w:rsidR="00082E1C" w:rsidRPr="00451078">
        <w:rPr>
          <w:rFonts w:cs="Tahoma"/>
          <w:szCs w:val="18"/>
          <w:lang w:val="it-IT"/>
        </w:rPr>
        <w:t xml:space="preserve"> </w:t>
      </w:r>
      <w:r w:rsidRPr="00451078">
        <w:rPr>
          <w:rFonts w:cs="Tahoma"/>
          <w:szCs w:val="18"/>
          <w:lang w:val="it-IT"/>
        </w:rPr>
        <w:t>Le società possono inoltre cambiare l</w:t>
      </w:r>
      <w:r w:rsidR="004525CA">
        <w:rPr>
          <w:rFonts w:cs="Tahoma"/>
          <w:szCs w:val="18"/>
          <w:lang w:val="it-IT"/>
        </w:rPr>
        <w:t>’</w:t>
      </w:r>
      <w:r w:rsidRPr="00451078">
        <w:rPr>
          <w:rFonts w:cs="Tahoma"/>
          <w:szCs w:val="18"/>
          <w:lang w:val="it-IT"/>
        </w:rPr>
        <w:t>ordine di rinnovo effettuando un ordine al rivenditore 30 giorni prima della scadenza dell</w:t>
      </w:r>
      <w:r w:rsidR="004525CA">
        <w:rPr>
          <w:rFonts w:cs="Tahoma"/>
          <w:szCs w:val="18"/>
          <w:lang w:val="it-IT"/>
        </w:rPr>
        <w:t>’</w:t>
      </w:r>
      <w:r w:rsidRPr="00451078">
        <w:rPr>
          <w:rFonts w:cs="Tahoma"/>
          <w:szCs w:val="18"/>
          <w:lang w:val="it-IT"/>
        </w:rPr>
        <w:t>abbonamento.</w:t>
      </w:r>
      <w:r w:rsidR="00082E1C" w:rsidRPr="00451078">
        <w:rPr>
          <w:rFonts w:cs="Tahoma"/>
          <w:szCs w:val="18"/>
          <w:lang w:val="it-IT"/>
        </w:rPr>
        <w:t xml:space="preserve"> </w:t>
      </w:r>
      <w:r w:rsidRPr="00451078">
        <w:rPr>
          <w:rFonts w:cs="Tahoma"/>
          <w:szCs w:val="18"/>
          <w:lang w:val="it-IT"/>
        </w:rPr>
        <w:t>Le società potranno annullare il rinnovo di un abbonamento dandone comunicazione scritta a</w:t>
      </w:r>
      <w:r w:rsidR="00E72309" w:rsidRPr="00451078">
        <w:rPr>
          <w:rFonts w:cs="Tahoma"/>
          <w:szCs w:val="18"/>
          <w:lang w:val="it-IT"/>
        </w:rPr>
        <w:t> </w:t>
      </w:r>
      <w:r w:rsidRPr="00451078">
        <w:rPr>
          <w:rFonts w:cs="Tahoma"/>
          <w:szCs w:val="18"/>
          <w:lang w:val="it-IT"/>
        </w:rPr>
        <w:t>Microsoft con un preavviso di 30 giorni tramite un modulo disponibile presso il rivenditore Microsoft o all</w:t>
      </w:r>
      <w:r w:rsidR="004525CA">
        <w:rPr>
          <w:rFonts w:cs="Tahoma"/>
          <w:szCs w:val="18"/>
          <w:lang w:val="it-IT"/>
        </w:rPr>
        <w:t>’</w:t>
      </w:r>
      <w:r w:rsidRPr="00451078">
        <w:rPr>
          <w:rFonts w:cs="Tahoma"/>
          <w:szCs w:val="18"/>
          <w:lang w:val="it-IT"/>
        </w:rPr>
        <w:t>indirizzo http://microsoft.com/licensing/contracts.</w:t>
      </w:r>
      <w:r w:rsidR="00082E1C" w:rsidRPr="00451078">
        <w:rPr>
          <w:rFonts w:cs="Tahoma"/>
          <w:szCs w:val="18"/>
          <w:lang w:val="it-IT"/>
        </w:rPr>
        <w:t xml:space="preserve"> </w:t>
      </w:r>
      <w:r w:rsidRPr="00451078">
        <w:rPr>
          <w:rFonts w:cs="Tahoma"/>
          <w:szCs w:val="18"/>
          <w:lang w:val="it-IT"/>
        </w:rPr>
        <w:t>Tutti i rinnovi dei servizi danno inizio a un nuovo periodo di validità dell</w:t>
      </w:r>
      <w:r w:rsidR="004525CA">
        <w:rPr>
          <w:rFonts w:cs="Tahoma"/>
          <w:szCs w:val="18"/>
          <w:lang w:val="it-IT"/>
        </w:rPr>
        <w:t>’</w:t>
      </w:r>
      <w:r w:rsidRPr="00451078">
        <w:rPr>
          <w:rFonts w:cs="Tahoma"/>
          <w:szCs w:val="18"/>
          <w:lang w:val="it-IT"/>
        </w:rPr>
        <w:t>abbonamento che parte il primo giorno del mese solare successivo alla scadenza del precedente periodo di</w:t>
      </w:r>
      <w:r w:rsidR="00E72309" w:rsidRPr="00451078">
        <w:rPr>
          <w:rFonts w:cs="Tahoma"/>
          <w:szCs w:val="18"/>
          <w:lang w:val="it-IT"/>
        </w:rPr>
        <w:t> </w:t>
      </w:r>
      <w:r w:rsidRPr="00451078">
        <w:rPr>
          <w:rFonts w:cs="Tahoma"/>
          <w:szCs w:val="18"/>
          <w:lang w:val="it-IT"/>
        </w:rPr>
        <w:t>validità dell</w:t>
      </w:r>
      <w:r w:rsidR="004525CA">
        <w:rPr>
          <w:rFonts w:cs="Tahoma"/>
          <w:szCs w:val="18"/>
          <w:lang w:val="it-IT"/>
        </w:rPr>
        <w:t>’</w:t>
      </w:r>
      <w:r w:rsidRPr="00451078">
        <w:rPr>
          <w:rFonts w:cs="Tahoma"/>
          <w:szCs w:val="18"/>
          <w:lang w:val="it-IT"/>
        </w:rPr>
        <w:t>abbonamento.</w:t>
      </w:r>
    </w:p>
    <w:p w:rsidR="00456002" w:rsidRPr="00451078" w:rsidRDefault="00456002" w:rsidP="00171817">
      <w:pPr>
        <w:outlineLvl w:val="2"/>
        <w:rPr>
          <w:lang w:val="it-IT"/>
        </w:rPr>
      </w:pPr>
    </w:p>
    <w:p w:rsidR="00BD1A6A" w:rsidRPr="00451078" w:rsidRDefault="00456002" w:rsidP="00E72309">
      <w:pPr>
        <w:outlineLvl w:val="2"/>
        <w:rPr>
          <w:lang w:val="it-IT"/>
        </w:rPr>
      </w:pPr>
      <w:r w:rsidRPr="00451078">
        <w:rPr>
          <w:rFonts w:cs="Tahoma"/>
          <w:szCs w:val="18"/>
          <w:lang w:val="it-IT"/>
        </w:rPr>
        <w:lastRenderedPageBreak/>
        <w:t>Le società potranno aumentare l</w:t>
      </w:r>
      <w:r w:rsidR="004525CA">
        <w:rPr>
          <w:rFonts w:cs="Tahoma"/>
          <w:szCs w:val="18"/>
          <w:lang w:val="it-IT"/>
        </w:rPr>
        <w:t>’</w:t>
      </w:r>
      <w:r w:rsidRPr="00451078">
        <w:rPr>
          <w:rFonts w:cs="Tahoma"/>
          <w:szCs w:val="18"/>
          <w:lang w:val="it-IT"/>
        </w:rPr>
        <w:t>impegno relativo all</w:t>
      </w:r>
      <w:r w:rsidR="004525CA">
        <w:rPr>
          <w:rFonts w:cs="Tahoma"/>
          <w:szCs w:val="18"/>
          <w:lang w:val="it-IT"/>
        </w:rPr>
        <w:t>’</w:t>
      </w:r>
      <w:r w:rsidRPr="00451078">
        <w:rPr>
          <w:rFonts w:cs="Tahoma"/>
          <w:szCs w:val="18"/>
          <w:lang w:val="it-IT"/>
        </w:rPr>
        <w:t>abbonamento ai servizi online, ma non potranno ridurlo durante il periodo di validità dello stesso, a meno che i loro contratti non consentano tale riduzione. Per garantire l</w:t>
      </w:r>
      <w:r w:rsidR="004525CA">
        <w:rPr>
          <w:rFonts w:cs="Tahoma"/>
          <w:szCs w:val="18"/>
          <w:lang w:val="it-IT"/>
        </w:rPr>
        <w:t>’</w:t>
      </w:r>
      <w:r w:rsidRPr="00451078">
        <w:rPr>
          <w:rFonts w:cs="Tahoma"/>
          <w:szCs w:val="18"/>
          <w:lang w:val="it-IT"/>
        </w:rPr>
        <w:t>erogazione del servizio agli utenti aggiuntivi, la società dovrà effettuare un ordine per ogni incremento nel servizio in abbonamento.</w:t>
      </w:r>
      <w:r w:rsidR="00082E1C" w:rsidRPr="00451078">
        <w:rPr>
          <w:rFonts w:cs="Tahoma"/>
          <w:szCs w:val="18"/>
          <w:lang w:val="it-IT"/>
        </w:rPr>
        <w:t xml:space="preserve"> </w:t>
      </w:r>
      <w:bookmarkStart w:id="726" w:name="_Toc336338211"/>
    </w:p>
    <w:p w:rsidR="00BD1A6A" w:rsidRPr="00451078" w:rsidRDefault="00BD1A6A">
      <w:pPr>
        <w:rPr>
          <w:lang w:val="it-IT"/>
        </w:rPr>
      </w:pPr>
    </w:p>
    <w:p w:rsidR="00456002" w:rsidRPr="00451078" w:rsidRDefault="00456002" w:rsidP="00456002">
      <w:pPr>
        <w:pStyle w:val="Heading2"/>
        <w:ind w:left="0"/>
        <w:rPr>
          <w:lang w:val="it-IT"/>
        </w:rPr>
      </w:pPr>
      <w:bookmarkStart w:id="727" w:name="_Toc352234806"/>
      <w:r w:rsidRPr="00451078">
        <w:rPr>
          <w:rFonts w:ascii="Tahoma" w:hAnsi="Tahoma" w:cs="Tahoma"/>
          <w:lang w:val="it-IT"/>
        </w:rPr>
        <w:t>Annullamento dei Servizi Online</w:t>
      </w:r>
      <w:bookmarkEnd w:id="726"/>
      <w:bookmarkEnd w:id="727"/>
    </w:p>
    <w:p w:rsidR="00456002" w:rsidRPr="00451078" w:rsidRDefault="00456002" w:rsidP="00456002">
      <w:pPr>
        <w:outlineLvl w:val="2"/>
        <w:rPr>
          <w:lang w:val="it-IT"/>
        </w:rPr>
      </w:pPr>
    </w:p>
    <w:p w:rsidR="00456002" w:rsidRPr="00451078" w:rsidRDefault="00456002" w:rsidP="00116EDC">
      <w:pPr>
        <w:outlineLvl w:val="2"/>
        <w:rPr>
          <w:lang w:val="it-IT"/>
        </w:rPr>
      </w:pPr>
      <w:r w:rsidRPr="00451078">
        <w:rPr>
          <w:rFonts w:cs="Tahoma"/>
          <w:szCs w:val="18"/>
          <w:lang w:val="it-IT"/>
        </w:rPr>
        <w:t>Le sottoscrizioni relative a un servizio online potranno essere annullati entro trenta (30) giorni dal primo ordine iniziale o dalla prima prenotazione della licenza di un servizio senza alcuna penale.</w:t>
      </w:r>
      <w:r w:rsidR="00082E1C" w:rsidRPr="00451078">
        <w:rPr>
          <w:rFonts w:cs="Tahoma"/>
          <w:szCs w:val="18"/>
          <w:lang w:val="it-IT"/>
        </w:rPr>
        <w:t xml:space="preserve"> </w:t>
      </w:r>
      <w:r w:rsidRPr="00451078">
        <w:rPr>
          <w:rFonts w:cs="Tahoma"/>
          <w:szCs w:val="18"/>
          <w:lang w:val="it-IT"/>
        </w:rPr>
        <w:t>Fare riferimento agli articoli specifici riguardanti i prodotti della presente Lista dei Prodotti per prendere visione delle eventuali condizioni aggiuntive relative all</w:t>
      </w:r>
      <w:r w:rsidR="004525CA">
        <w:rPr>
          <w:rFonts w:cs="Tahoma"/>
          <w:szCs w:val="18"/>
          <w:lang w:val="it-IT"/>
        </w:rPr>
        <w:t>’</w:t>
      </w:r>
      <w:r w:rsidRPr="00451078">
        <w:rPr>
          <w:rFonts w:cs="Tahoma"/>
          <w:szCs w:val="18"/>
          <w:lang w:val="it-IT"/>
        </w:rPr>
        <w:t>annullamento.</w:t>
      </w:r>
    </w:p>
    <w:p w:rsidR="00116EDC" w:rsidRPr="00451078" w:rsidRDefault="00116EDC" w:rsidP="00116EDC">
      <w:pPr>
        <w:outlineLvl w:val="2"/>
        <w:rPr>
          <w:lang w:val="it-IT"/>
        </w:rPr>
      </w:pPr>
    </w:p>
    <w:p w:rsidR="00456002" w:rsidRPr="00451078" w:rsidRDefault="00456002" w:rsidP="00456002">
      <w:pPr>
        <w:pStyle w:val="Heading2"/>
        <w:ind w:left="0"/>
        <w:rPr>
          <w:lang w:val="it-IT"/>
        </w:rPr>
      </w:pPr>
      <w:bookmarkStart w:id="728" w:name="_Toc328145982"/>
      <w:bookmarkStart w:id="729" w:name="_Toc336338212"/>
      <w:bookmarkStart w:id="730" w:name="_Toc352234807"/>
      <w:r w:rsidRPr="00451078">
        <w:rPr>
          <w:rFonts w:ascii="Tahoma" w:hAnsi="Tahoma" w:cs="Tahoma"/>
          <w:lang w:val="it-IT"/>
        </w:rPr>
        <w:t>Opzioni relative alle Condizioni di Pagamento dei Servizi Online</w:t>
      </w:r>
      <w:bookmarkEnd w:id="728"/>
      <w:bookmarkEnd w:id="729"/>
      <w:bookmarkEnd w:id="730"/>
    </w:p>
    <w:p w:rsidR="00456002" w:rsidRPr="00815DCF" w:rsidRDefault="00456002" w:rsidP="00F43255">
      <w:pPr>
        <w:ind w:left="720"/>
        <w:outlineLvl w:val="2"/>
        <w:rPr>
          <w:rFonts w:cs="Tahoma"/>
          <w:b/>
          <w:szCs w:val="18"/>
          <w:lang w:val="it-IT" w:eastAsia="x-none"/>
        </w:rPr>
      </w:pPr>
    </w:p>
    <w:p w:rsidR="00456002" w:rsidRPr="00451078" w:rsidRDefault="00456002" w:rsidP="00456002">
      <w:pPr>
        <w:outlineLvl w:val="2"/>
        <w:rPr>
          <w:lang w:val="it-IT"/>
        </w:rPr>
      </w:pPr>
      <w:r w:rsidRPr="00451078">
        <w:rPr>
          <w:rFonts w:cs="Tahoma"/>
          <w:szCs w:val="18"/>
          <w:lang w:val="it-IT"/>
        </w:rPr>
        <w:t>Le società dovranno pagare gli abbonamenti annuali ai servizi online per intero all</w:t>
      </w:r>
      <w:r w:rsidR="004525CA">
        <w:rPr>
          <w:rFonts w:cs="Tahoma"/>
          <w:szCs w:val="18"/>
          <w:lang w:val="it-IT"/>
        </w:rPr>
        <w:t>’</w:t>
      </w:r>
      <w:r w:rsidRPr="00451078">
        <w:rPr>
          <w:rFonts w:cs="Tahoma"/>
          <w:szCs w:val="18"/>
          <w:lang w:val="it-IT"/>
        </w:rPr>
        <w:t>inizio del periodo di validità dell</w:t>
      </w:r>
      <w:r w:rsidR="004525CA">
        <w:rPr>
          <w:rFonts w:cs="Tahoma"/>
          <w:szCs w:val="18"/>
          <w:lang w:val="it-IT"/>
        </w:rPr>
        <w:t>’</w:t>
      </w:r>
      <w:r w:rsidRPr="00451078">
        <w:rPr>
          <w:rFonts w:cs="Tahoma"/>
          <w:szCs w:val="18"/>
          <w:lang w:val="it-IT"/>
        </w:rPr>
        <w:t>abbonamento.</w:t>
      </w:r>
      <w:r w:rsidR="00082E1C" w:rsidRPr="00451078">
        <w:rPr>
          <w:rFonts w:cs="Tahoma"/>
          <w:szCs w:val="18"/>
          <w:lang w:val="it-IT"/>
        </w:rPr>
        <w:t xml:space="preserve"> </w:t>
      </w:r>
      <w:r w:rsidRPr="00451078">
        <w:rPr>
          <w:rFonts w:cs="Tahoma"/>
          <w:szCs w:val="18"/>
          <w:lang w:val="it-IT"/>
        </w:rPr>
        <w:t xml:space="preserve">Le società che scelgono periodi di validità degli abbonamenti con scadenze identiche o di </w:t>
      </w:r>
      <w:r w:rsidR="001A3EC5" w:rsidRPr="00451078">
        <w:rPr>
          <w:rFonts w:cs="Tahoma"/>
          <w:szCs w:val="18"/>
          <w:lang w:val="it-IT"/>
        </w:rPr>
        <w:t>“</w:t>
      </w:r>
      <w:r w:rsidRPr="00451078">
        <w:rPr>
          <w:rFonts w:cs="Tahoma"/>
          <w:szCs w:val="18"/>
          <w:lang w:val="it-IT"/>
        </w:rPr>
        <w:t>allinearsi alla seconda Ricorrenza</w:t>
      </w:r>
      <w:r w:rsidR="001A3EC5" w:rsidRPr="00451078">
        <w:rPr>
          <w:rFonts w:cs="Tahoma"/>
          <w:szCs w:val="18"/>
          <w:lang w:val="it-IT"/>
        </w:rPr>
        <w:t>”</w:t>
      </w:r>
      <w:r w:rsidRPr="00451078">
        <w:rPr>
          <w:rFonts w:cs="Tahoma"/>
          <w:szCs w:val="18"/>
          <w:lang w:val="it-IT"/>
        </w:rPr>
        <w:t xml:space="preserve"> in Select Plus, hanno le seguenti due possibilità di pagamento: (1) Pagamento totale al momento dell</w:t>
      </w:r>
      <w:r w:rsidR="004525CA">
        <w:rPr>
          <w:rFonts w:cs="Tahoma"/>
          <w:szCs w:val="18"/>
          <w:lang w:val="it-IT"/>
        </w:rPr>
        <w:t>’</w:t>
      </w:r>
      <w:r w:rsidRPr="00451078">
        <w:rPr>
          <w:rFonts w:cs="Tahoma"/>
          <w:szCs w:val="18"/>
          <w:lang w:val="it-IT"/>
        </w:rPr>
        <w:t>ordine che copre tutto il periodo di validità dell</w:t>
      </w:r>
      <w:r w:rsidR="004525CA">
        <w:rPr>
          <w:rFonts w:cs="Tahoma"/>
          <w:szCs w:val="18"/>
          <w:lang w:val="it-IT"/>
        </w:rPr>
        <w:t>’</w:t>
      </w:r>
      <w:r w:rsidRPr="00451078">
        <w:rPr>
          <w:rFonts w:cs="Tahoma"/>
          <w:szCs w:val="18"/>
          <w:lang w:val="it-IT"/>
        </w:rPr>
        <w:t>abbonamento o (2) pagamenti dilazionati, di</w:t>
      </w:r>
      <w:r w:rsidR="00E72309" w:rsidRPr="00451078">
        <w:rPr>
          <w:rFonts w:cs="Tahoma"/>
          <w:szCs w:val="18"/>
          <w:lang w:val="it-IT"/>
        </w:rPr>
        <w:t> </w:t>
      </w:r>
      <w:r w:rsidRPr="00451078">
        <w:rPr>
          <w:rFonts w:cs="Tahoma"/>
          <w:szCs w:val="18"/>
          <w:lang w:val="it-IT"/>
        </w:rPr>
        <w:t>cui il primo pagamento al momento dell</w:t>
      </w:r>
      <w:r w:rsidR="004525CA">
        <w:rPr>
          <w:rFonts w:cs="Tahoma"/>
          <w:szCs w:val="18"/>
          <w:lang w:val="it-IT"/>
        </w:rPr>
        <w:t>’</w:t>
      </w:r>
      <w:r w:rsidRPr="00451078">
        <w:rPr>
          <w:rFonts w:cs="Tahoma"/>
          <w:szCs w:val="18"/>
          <w:lang w:val="it-IT"/>
        </w:rPr>
        <w:t>ordine che copre la parte restante dell</w:t>
      </w:r>
      <w:r w:rsidR="004525CA">
        <w:rPr>
          <w:rFonts w:cs="Tahoma"/>
          <w:szCs w:val="18"/>
          <w:lang w:val="it-IT"/>
        </w:rPr>
        <w:t>’</w:t>
      </w:r>
      <w:r w:rsidRPr="00451078">
        <w:rPr>
          <w:rFonts w:cs="Tahoma"/>
          <w:szCs w:val="18"/>
          <w:lang w:val="it-IT"/>
        </w:rPr>
        <w:t>anno contrattuale corrente e</w:t>
      </w:r>
      <w:r w:rsidR="00E72309" w:rsidRPr="00451078">
        <w:rPr>
          <w:rFonts w:cs="Tahoma"/>
          <w:szCs w:val="18"/>
          <w:lang w:val="it-IT"/>
        </w:rPr>
        <w:t> </w:t>
      </w:r>
      <w:r w:rsidRPr="00451078">
        <w:rPr>
          <w:rFonts w:cs="Tahoma"/>
          <w:szCs w:val="18"/>
          <w:lang w:val="it-IT"/>
        </w:rPr>
        <w:t>il</w:t>
      </w:r>
      <w:r w:rsidR="00E72309" w:rsidRPr="00451078">
        <w:rPr>
          <w:rFonts w:cs="Tahoma"/>
          <w:szCs w:val="18"/>
          <w:lang w:val="it-IT"/>
        </w:rPr>
        <w:t> </w:t>
      </w:r>
      <w:r w:rsidRPr="00451078">
        <w:rPr>
          <w:rFonts w:cs="Tahoma"/>
          <w:szCs w:val="18"/>
          <w:lang w:val="it-IT"/>
        </w:rPr>
        <w:t>pagamento o i pagamenti residui in scadenza a ogni ricorrenza della data di entrata in vigore del contratto (per</w:t>
      </w:r>
      <w:r w:rsidR="00E72309" w:rsidRPr="00451078">
        <w:rPr>
          <w:rFonts w:cs="Tahoma"/>
          <w:szCs w:val="18"/>
          <w:lang w:val="it-IT"/>
        </w:rPr>
        <w:t> </w:t>
      </w:r>
      <w:r w:rsidRPr="00451078">
        <w:rPr>
          <w:rFonts w:cs="Tahoma"/>
          <w:szCs w:val="18"/>
          <w:lang w:val="it-IT"/>
        </w:rPr>
        <w:t>Select Plus, al posto della ricorrenza del contratto viene utilizzata la ricorrenza della consociata).</w:t>
      </w:r>
      <w:r w:rsidR="00082E1C" w:rsidRPr="00451078">
        <w:rPr>
          <w:rFonts w:cs="Tahoma"/>
          <w:szCs w:val="18"/>
          <w:lang w:val="it-IT"/>
        </w:rPr>
        <w:t xml:space="preserve"> </w:t>
      </w:r>
      <w:r w:rsidRPr="00451078">
        <w:rPr>
          <w:rFonts w:cs="Tahoma"/>
          <w:szCs w:val="18"/>
          <w:lang w:val="it-IT"/>
        </w:rPr>
        <w:t>Una terza opzione aggiuntiva è disponibile per le società con contratti Select Plus: il primo pagamento della ricorrenza dell</w:t>
      </w:r>
      <w:r w:rsidR="004525CA">
        <w:rPr>
          <w:rFonts w:cs="Tahoma"/>
          <w:szCs w:val="18"/>
          <w:lang w:val="it-IT"/>
        </w:rPr>
        <w:t>’</w:t>
      </w:r>
      <w:r w:rsidRPr="00451078">
        <w:rPr>
          <w:rFonts w:cs="Tahoma"/>
          <w:szCs w:val="18"/>
          <w:lang w:val="it-IT"/>
        </w:rPr>
        <w:t>ordine al momento dell</w:t>
      </w:r>
      <w:r w:rsidR="004525CA">
        <w:rPr>
          <w:rFonts w:cs="Tahoma"/>
          <w:szCs w:val="18"/>
          <w:lang w:val="it-IT"/>
        </w:rPr>
        <w:t>’</w:t>
      </w:r>
      <w:r w:rsidRPr="00451078">
        <w:rPr>
          <w:rFonts w:cs="Tahoma"/>
          <w:szCs w:val="18"/>
          <w:lang w:val="it-IT"/>
        </w:rPr>
        <w:t>ordine che copre 12 mesi e uno o più pagamenti residui in scadenza in occasione di</w:t>
      </w:r>
      <w:r w:rsidR="00E72309" w:rsidRPr="00451078">
        <w:rPr>
          <w:rFonts w:cs="Tahoma"/>
          <w:szCs w:val="18"/>
          <w:lang w:val="it-IT"/>
        </w:rPr>
        <w:t> </w:t>
      </w:r>
      <w:r w:rsidRPr="00451078">
        <w:rPr>
          <w:rFonts w:cs="Tahoma"/>
          <w:szCs w:val="18"/>
          <w:lang w:val="it-IT"/>
        </w:rPr>
        <w:t>ogni</w:t>
      </w:r>
      <w:r w:rsidR="00E72309" w:rsidRPr="00451078">
        <w:rPr>
          <w:rFonts w:cs="Tahoma"/>
          <w:szCs w:val="18"/>
          <w:lang w:val="it-IT"/>
        </w:rPr>
        <w:t> </w:t>
      </w:r>
      <w:r w:rsidRPr="00451078">
        <w:rPr>
          <w:rFonts w:cs="Tahoma"/>
          <w:szCs w:val="18"/>
          <w:lang w:val="it-IT"/>
        </w:rPr>
        <w:t>ricorrenza dell</w:t>
      </w:r>
      <w:r w:rsidR="004525CA">
        <w:rPr>
          <w:rFonts w:cs="Tahoma"/>
          <w:szCs w:val="18"/>
          <w:lang w:val="it-IT"/>
        </w:rPr>
        <w:t>’</w:t>
      </w:r>
      <w:r w:rsidRPr="00451078">
        <w:rPr>
          <w:rFonts w:cs="Tahoma"/>
          <w:szCs w:val="18"/>
          <w:lang w:val="it-IT"/>
        </w:rPr>
        <w:t>ordine (l</w:t>
      </w:r>
      <w:r w:rsidR="004525CA">
        <w:rPr>
          <w:rFonts w:cs="Tahoma"/>
          <w:szCs w:val="18"/>
          <w:lang w:val="it-IT"/>
        </w:rPr>
        <w:t>’</w:t>
      </w:r>
      <w:r w:rsidRPr="00451078">
        <w:rPr>
          <w:rFonts w:cs="Tahoma"/>
          <w:szCs w:val="18"/>
          <w:lang w:val="it-IT"/>
        </w:rPr>
        <w:t>ultimo pagamento coprirà il periodo residuo che va dalla ricorrenza dell</w:t>
      </w:r>
      <w:r w:rsidR="004525CA">
        <w:rPr>
          <w:rFonts w:cs="Tahoma"/>
          <w:szCs w:val="18"/>
          <w:lang w:val="it-IT"/>
        </w:rPr>
        <w:t>’</w:t>
      </w:r>
      <w:r w:rsidRPr="00451078">
        <w:rPr>
          <w:rFonts w:cs="Tahoma"/>
          <w:szCs w:val="18"/>
          <w:lang w:val="it-IT"/>
        </w:rPr>
        <w:t>ordine alla</w:t>
      </w:r>
      <w:r w:rsidR="00E72309" w:rsidRPr="00451078">
        <w:rPr>
          <w:rFonts w:cs="Tahoma"/>
          <w:szCs w:val="18"/>
          <w:lang w:val="it-IT"/>
        </w:rPr>
        <w:t> </w:t>
      </w:r>
      <w:r w:rsidRPr="00451078">
        <w:rPr>
          <w:rFonts w:cs="Tahoma"/>
          <w:szCs w:val="18"/>
          <w:lang w:val="it-IT"/>
        </w:rPr>
        <w:t>data di scadenza della copertura dell</w:t>
      </w:r>
      <w:r w:rsidR="004525CA">
        <w:rPr>
          <w:rFonts w:cs="Tahoma"/>
          <w:szCs w:val="18"/>
          <w:lang w:val="it-IT"/>
        </w:rPr>
        <w:t>’</w:t>
      </w:r>
      <w:r w:rsidRPr="00451078">
        <w:rPr>
          <w:rFonts w:cs="Tahoma"/>
          <w:szCs w:val="18"/>
          <w:lang w:val="it-IT"/>
        </w:rPr>
        <w:t>abbonamento).</w:t>
      </w:r>
    </w:p>
    <w:p w:rsidR="00456002" w:rsidRPr="00451078" w:rsidRDefault="00456002" w:rsidP="00456002">
      <w:pPr>
        <w:outlineLvl w:val="2"/>
        <w:rPr>
          <w:lang w:val="it-IT"/>
        </w:rPr>
      </w:pPr>
    </w:p>
    <w:p w:rsidR="00456002" w:rsidRPr="00451078" w:rsidRDefault="00456002" w:rsidP="00456002">
      <w:pPr>
        <w:outlineLvl w:val="2"/>
        <w:rPr>
          <w:lang w:val="it-IT"/>
        </w:rPr>
      </w:pPr>
      <w:r w:rsidRPr="00451078">
        <w:rPr>
          <w:rFonts w:cs="Tahoma"/>
          <w:szCs w:val="18"/>
          <w:lang w:val="it-IT"/>
        </w:rPr>
        <w:t>Inoltre, le società Open Value potranno scegliere anche di pagare mensilmente.</w:t>
      </w:r>
      <w:r w:rsidR="00082E1C" w:rsidRPr="00451078">
        <w:rPr>
          <w:rFonts w:cs="Tahoma"/>
          <w:szCs w:val="18"/>
          <w:lang w:val="it-IT"/>
        </w:rPr>
        <w:t xml:space="preserve"> </w:t>
      </w:r>
      <w:r w:rsidRPr="00451078">
        <w:rPr>
          <w:rFonts w:cs="Tahoma"/>
          <w:szCs w:val="18"/>
          <w:lang w:val="it-IT"/>
        </w:rPr>
        <w:t>Per quanto riguarda l</w:t>
      </w:r>
      <w:r w:rsidR="004525CA">
        <w:rPr>
          <w:rFonts w:cs="Tahoma"/>
          <w:szCs w:val="18"/>
          <w:lang w:val="it-IT"/>
        </w:rPr>
        <w:t>’</w:t>
      </w:r>
      <w:r w:rsidRPr="00451078">
        <w:rPr>
          <w:rFonts w:cs="Tahoma"/>
          <w:szCs w:val="18"/>
          <w:lang w:val="it-IT"/>
        </w:rPr>
        <w:t xml:space="preserve">opzione </w:t>
      </w:r>
      <w:r w:rsidR="00856480" w:rsidRPr="00451078">
        <w:rPr>
          <w:rFonts w:cs="Tahoma"/>
          <w:szCs w:val="18"/>
          <w:lang w:val="it-IT"/>
        </w:rPr>
        <w:t>relative </w:t>
      </w:r>
      <w:r w:rsidRPr="00451078">
        <w:rPr>
          <w:rFonts w:cs="Tahoma"/>
          <w:szCs w:val="18"/>
          <w:lang w:val="it-IT"/>
        </w:rPr>
        <w:t>al pagamento mensile, durante il periodo di validità dell</w:t>
      </w:r>
      <w:r w:rsidR="004525CA">
        <w:rPr>
          <w:rFonts w:cs="Tahoma"/>
          <w:szCs w:val="18"/>
          <w:lang w:val="it-IT"/>
        </w:rPr>
        <w:t>’</w:t>
      </w:r>
      <w:r w:rsidRPr="00451078">
        <w:rPr>
          <w:rFonts w:cs="Tahoma"/>
          <w:szCs w:val="18"/>
          <w:lang w:val="it-IT"/>
        </w:rPr>
        <w:t>abbonamento alla parte interessata che partecipa verrà fatturata mensilmente la quantità di abbonamenti che la società avrà ordinato.</w:t>
      </w:r>
    </w:p>
    <w:p w:rsidR="00456002" w:rsidRPr="00451078" w:rsidRDefault="00456002" w:rsidP="00456002">
      <w:pPr>
        <w:outlineLvl w:val="2"/>
        <w:rPr>
          <w:lang w:val="it-IT"/>
        </w:rPr>
      </w:pPr>
    </w:p>
    <w:p w:rsidR="00456002" w:rsidRPr="00451078" w:rsidRDefault="00456002" w:rsidP="00456002">
      <w:pPr>
        <w:outlineLvl w:val="2"/>
        <w:rPr>
          <w:lang w:val="it-IT"/>
        </w:rPr>
      </w:pPr>
      <w:r w:rsidRPr="00451078">
        <w:rPr>
          <w:rFonts w:cs="Tahoma"/>
          <w:szCs w:val="18"/>
          <w:lang w:val="it-IT"/>
        </w:rPr>
        <w:t>I prezzi e le condizioni di pagamento per gli abbonamenti acquistati presso i rivenditori sono stabiliti tramite un contratto tra la società e il suo rivenditore.</w:t>
      </w:r>
      <w:r w:rsidR="00082E1C" w:rsidRPr="00451078">
        <w:rPr>
          <w:rFonts w:cs="Tahoma"/>
          <w:szCs w:val="18"/>
          <w:lang w:val="it-IT"/>
        </w:rPr>
        <w:t xml:space="preserve"> </w:t>
      </w:r>
      <w:r w:rsidRPr="00451078">
        <w:rPr>
          <w:rFonts w:cs="Tahoma"/>
          <w:szCs w:val="18"/>
          <w:lang w:val="it-IT"/>
        </w:rPr>
        <w:t>A meno che la società non abbia stipulato una Modifica all</w:t>
      </w:r>
      <w:r w:rsidR="004525CA">
        <w:rPr>
          <w:rFonts w:cs="Tahoma"/>
          <w:szCs w:val="18"/>
          <w:lang w:val="it-IT"/>
        </w:rPr>
        <w:t>’</w:t>
      </w:r>
      <w:r w:rsidRPr="00451078">
        <w:rPr>
          <w:rFonts w:cs="Tahoma"/>
          <w:szCs w:val="18"/>
          <w:lang w:val="it-IT"/>
        </w:rPr>
        <w:t>Iscrizione Enterprise, Aggiunta di Servizi Online Enterprise, nonostante quanto diversamente stabilito nel contratto, una</w:t>
      </w:r>
      <w:r w:rsidR="00E72309" w:rsidRPr="00451078">
        <w:rPr>
          <w:rFonts w:cs="Tahoma"/>
          <w:szCs w:val="18"/>
          <w:lang w:val="it-IT"/>
        </w:rPr>
        <w:t> </w:t>
      </w:r>
      <w:r w:rsidRPr="00451078">
        <w:rPr>
          <w:rFonts w:cs="Tahoma"/>
          <w:szCs w:val="18"/>
          <w:lang w:val="it-IT"/>
        </w:rPr>
        <w:t>società</w:t>
      </w:r>
      <w:r w:rsidR="00E72309" w:rsidRPr="00451078">
        <w:rPr>
          <w:rFonts w:cs="Tahoma"/>
          <w:szCs w:val="18"/>
          <w:lang w:val="it-IT"/>
        </w:rPr>
        <w:t> </w:t>
      </w:r>
      <w:r w:rsidRPr="00451078">
        <w:rPr>
          <w:rFonts w:cs="Tahoma"/>
          <w:szCs w:val="18"/>
          <w:lang w:val="it-IT"/>
        </w:rPr>
        <w:t>potrà utilizzare per la prima volta l</w:t>
      </w:r>
      <w:r w:rsidR="004525CA">
        <w:rPr>
          <w:rFonts w:cs="Tahoma"/>
          <w:szCs w:val="18"/>
          <w:lang w:val="it-IT"/>
        </w:rPr>
        <w:t>’</w:t>
      </w:r>
      <w:r w:rsidRPr="00451078">
        <w:rPr>
          <w:rFonts w:cs="Tahoma"/>
          <w:szCs w:val="18"/>
          <w:lang w:val="it-IT"/>
        </w:rPr>
        <w:t>abbonamento solo dopo aver ordinato un abbonamento ai servizi online.</w:t>
      </w:r>
      <w:r w:rsidR="00082E1C" w:rsidRPr="00451078">
        <w:rPr>
          <w:rFonts w:cs="Tahoma"/>
          <w:szCs w:val="18"/>
          <w:lang w:val="it-IT"/>
        </w:rPr>
        <w:t xml:space="preserve"> </w:t>
      </w:r>
      <w:r w:rsidRPr="00451078">
        <w:rPr>
          <w:rFonts w:cs="Tahoma"/>
          <w:szCs w:val="18"/>
          <w:lang w:val="it-IT"/>
        </w:rPr>
        <w:t xml:space="preserve">La società che ha sottoscritto un Contratto Enterprise non potrà inviare un ordine true-up di licenze </w:t>
      </w:r>
      <w:r w:rsidR="001A3EC5" w:rsidRPr="00451078">
        <w:rPr>
          <w:rFonts w:cs="Tahoma"/>
          <w:szCs w:val="18"/>
          <w:lang w:val="it-IT"/>
        </w:rPr>
        <w:t>“</w:t>
      </w:r>
      <w:r w:rsidRPr="00451078">
        <w:rPr>
          <w:rFonts w:cs="Tahoma"/>
          <w:szCs w:val="18"/>
          <w:lang w:val="it-IT"/>
        </w:rPr>
        <w:t>Subscription</w:t>
      </w:r>
      <w:r w:rsidR="001A3EC5" w:rsidRPr="00451078">
        <w:rPr>
          <w:rFonts w:cs="Tahoma"/>
          <w:szCs w:val="18"/>
          <w:lang w:val="it-IT"/>
        </w:rPr>
        <w:t>”</w:t>
      </w:r>
      <w:r w:rsidRPr="00451078">
        <w:rPr>
          <w:rFonts w:cs="Tahoma"/>
          <w:szCs w:val="18"/>
          <w:lang w:val="it-IT"/>
        </w:rPr>
        <w:t xml:space="preserve"> aggiuntive.</w:t>
      </w:r>
      <w:r w:rsidR="00082E1C" w:rsidRPr="00451078">
        <w:rPr>
          <w:rFonts w:cs="Tahoma"/>
          <w:szCs w:val="18"/>
          <w:lang w:val="it-IT"/>
        </w:rPr>
        <w:t xml:space="preserve"> </w:t>
      </w:r>
    </w:p>
    <w:p w:rsidR="00456002" w:rsidRPr="00451078" w:rsidRDefault="00456002" w:rsidP="00DF28F2">
      <w:pPr>
        <w:outlineLvl w:val="2"/>
        <w:rPr>
          <w:lang w:val="it-IT"/>
        </w:rPr>
      </w:pPr>
    </w:p>
    <w:p w:rsidR="00456002" w:rsidRPr="00451078" w:rsidRDefault="006A5DAE" w:rsidP="00116EDC">
      <w:pPr>
        <w:outlineLvl w:val="2"/>
        <w:rPr>
          <w:lang w:val="it-IT"/>
        </w:rPr>
      </w:pPr>
      <w:r w:rsidRPr="00451078">
        <w:rPr>
          <w:rFonts w:cs="Tahoma"/>
          <w:szCs w:val="18"/>
          <w:lang w:val="it-IT"/>
        </w:rPr>
        <w:t>Informazioni specifiche sui Servizi di Windows Azure sono disponibili nell</w:t>
      </w:r>
      <w:r w:rsidR="004525CA">
        <w:rPr>
          <w:rFonts w:cs="Tahoma"/>
          <w:szCs w:val="18"/>
          <w:lang w:val="it-IT"/>
        </w:rPr>
        <w:t>’</w:t>
      </w:r>
      <w:r w:rsidRPr="00451078">
        <w:rPr>
          <w:rFonts w:cs="Tahoma"/>
          <w:szCs w:val="18"/>
          <w:lang w:val="it-IT"/>
        </w:rPr>
        <w:t>Articolo corrispondente che segue.</w:t>
      </w:r>
    </w:p>
    <w:p w:rsidR="00116EDC" w:rsidRPr="00451078" w:rsidRDefault="00116EDC" w:rsidP="00116EDC">
      <w:pPr>
        <w:outlineLvl w:val="2"/>
        <w:rPr>
          <w:lang w:val="it-IT"/>
        </w:rPr>
      </w:pPr>
    </w:p>
    <w:p w:rsidR="00456002" w:rsidRPr="00451078" w:rsidRDefault="00456002" w:rsidP="00456002">
      <w:pPr>
        <w:pStyle w:val="Heading2"/>
        <w:ind w:left="0"/>
        <w:rPr>
          <w:lang w:val="it-IT"/>
        </w:rPr>
      </w:pPr>
      <w:bookmarkStart w:id="731" w:name="_Toc328145983"/>
      <w:bookmarkStart w:id="732" w:name="_Toc336338213"/>
      <w:bookmarkStart w:id="733" w:name="_Toc352234808"/>
      <w:r w:rsidRPr="00451078">
        <w:rPr>
          <w:rFonts w:ascii="Tahoma" w:hAnsi="Tahoma" w:cs="Tahoma"/>
          <w:lang w:val="it-IT"/>
        </w:rPr>
        <w:t>Requisiti di Acquisto Minimo per i Servizi Online in Volume Licensing</w:t>
      </w:r>
      <w:bookmarkEnd w:id="731"/>
      <w:bookmarkEnd w:id="732"/>
      <w:bookmarkEnd w:id="733"/>
    </w:p>
    <w:p w:rsidR="00456002" w:rsidRPr="00451078" w:rsidRDefault="00456002" w:rsidP="00DF28F2">
      <w:pPr>
        <w:outlineLvl w:val="2"/>
        <w:rPr>
          <w:lang w:val="it-IT"/>
        </w:rPr>
      </w:pPr>
    </w:p>
    <w:p w:rsidR="00116EDC" w:rsidRPr="00451078" w:rsidRDefault="00456002" w:rsidP="00116EDC">
      <w:pPr>
        <w:outlineLvl w:val="2"/>
        <w:rPr>
          <w:lang w:val="it-IT"/>
        </w:rPr>
      </w:pPr>
      <w:r w:rsidRPr="00451078">
        <w:rPr>
          <w:rFonts w:cs="Tahoma"/>
          <w:szCs w:val="18"/>
          <w:lang w:val="it-IT"/>
        </w:rPr>
        <w:t>Una società si qualifica per il programma Open Value con un acquisto minimo di 5 licenze.</w:t>
      </w:r>
      <w:r w:rsidR="00082E1C" w:rsidRPr="00451078">
        <w:rPr>
          <w:rFonts w:cs="Tahoma"/>
          <w:szCs w:val="18"/>
          <w:lang w:val="it-IT"/>
        </w:rPr>
        <w:t xml:space="preserve"> </w:t>
      </w:r>
      <w:r w:rsidRPr="00451078">
        <w:rPr>
          <w:rFonts w:cs="Tahoma"/>
          <w:szCs w:val="18"/>
          <w:lang w:val="it-IT"/>
        </w:rPr>
        <w:t>Tale regola si applica anche quando si conta il numero di Licenze di Sottoscrizione Utente per i Servizi Online (USL).</w:t>
      </w:r>
      <w:r w:rsidR="00082E1C" w:rsidRPr="00451078">
        <w:rPr>
          <w:rFonts w:cs="Tahoma"/>
          <w:szCs w:val="18"/>
          <w:lang w:val="it-IT"/>
        </w:rPr>
        <w:t xml:space="preserve"> </w:t>
      </w:r>
      <w:r w:rsidRPr="00451078">
        <w:rPr>
          <w:rFonts w:cs="Tahoma"/>
          <w:szCs w:val="18"/>
          <w:lang w:val="it-IT"/>
        </w:rPr>
        <w:t>Una USL contribuisce al raggiungimento della quantità minima di 5 licenze.</w:t>
      </w:r>
      <w:r w:rsidR="00082E1C" w:rsidRPr="00451078">
        <w:rPr>
          <w:rFonts w:cs="Tahoma"/>
          <w:szCs w:val="18"/>
          <w:lang w:val="it-IT"/>
        </w:rPr>
        <w:t xml:space="preserve"> </w:t>
      </w:r>
      <w:r w:rsidRPr="00451078">
        <w:rPr>
          <w:rFonts w:cs="Tahoma"/>
          <w:szCs w:val="18"/>
          <w:lang w:val="it-IT"/>
        </w:rPr>
        <w:t>Un ordine di 5 USL soddisfa il requisito minimo del programma Open Value.</w:t>
      </w:r>
      <w:r w:rsidR="00082E1C" w:rsidRPr="00451078">
        <w:rPr>
          <w:rFonts w:cs="Tahoma"/>
          <w:szCs w:val="18"/>
          <w:lang w:val="it-IT"/>
        </w:rPr>
        <w:t xml:space="preserve"> </w:t>
      </w:r>
      <w:r w:rsidRPr="00451078">
        <w:rPr>
          <w:rFonts w:cs="Tahoma"/>
          <w:szCs w:val="18"/>
          <w:lang w:val="it-IT"/>
        </w:rPr>
        <w:t>Tuttavia, 5 USL da sole non soddisfano il requisito minimo per il programma Open Value a livello aziendale e Open Value Subscription.</w:t>
      </w:r>
      <w:r w:rsidR="00082E1C" w:rsidRPr="00451078">
        <w:rPr>
          <w:rFonts w:cs="Tahoma"/>
          <w:szCs w:val="18"/>
          <w:lang w:val="it-IT"/>
        </w:rPr>
        <w:t xml:space="preserve"> </w:t>
      </w:r>
      <w:r w:rsidRPr="00451078">
        <w:rPr>
          <w:rFonts w:cs="Tahoma"/>
          <w:szCs w:val="18"/>
          <w:lang w:val="it-IT"/>
        </w:rPr>
        <w:t>Per OV (a livello aziendale) e OV Subscription l</w:t>
      </w:r>
      <w:r w:rsidR="004525CA">
        <w:rPr>
          <w:rFonts w:cs="Tahoma"/>
          <w:szCs w:val="18"/>
          <w:lang w:val="it-IT"/>
        </w:rPr>
        <w:t>’</w:t>
      </w:r>
      <w:r w:rsidRPr="00451078">
        <w:rPr>
          <w:rFonts w:cs="Tahoma"/>
          <w:szCs w:val="18"/>
          <w:lang w:val="it-IT"/>
        </w:rPr>
        <w:t>ordine iniziale dovrà includere almeno 5 Licenze Piattaforma Desktop o Componente Desktop, oltre ad eventuali USL.</w:t>
      </w:r>
      <w:r w:rsidR="00082E1C" w:rsidRPr="00451078">
        <w:rPr>
          <w:rFonts w:cs="Tahoma"/>
          <w:szCs w:val="18"/>
          <w:lang w:val="it-IT"/>
        </w:rPr>
        <w:t xml:space="preserve"> </w:t>
      </w:r>
    </w:p>
    <w:p w:rsidR="00116EDC" w:rsidRPr="00451078" w:rsidRDefault="00116EDC" w:rsidP="00116EDC">
      <w:pPr>
        <w:outlineLvl w:val="2"/>
        <w:rPr>
          <w:lang w:val="it-IT"/>
        </w:rPr>
      </w:pPr>
    </w:p>
    <w:p w:rsidR="00776E3B" w:rsidRPr="00451078" w:rsidRDefault="00776E3B" w:rsidP="00776E3B">
      <w:pPr>
        <w:pStyle w:val="Heading3"/>
        <w:rPr>
          <w:lang w:val="it-IT"/>
        </w:rPr>
      </w:pPr>
      <w:bookmarkStart w:id="734" w:name="_Toc336338214"/>
      <w:bookmarkStart w:id="735" w:name="_Toc352234809"/>
      <w:r w:rsidRPr="00451078">
        <w:rPr>
          <w:rFonts w:ascii="Tahoma" w:hAnsi="Tahoma" w:cs="Tahoma"/>
          <w:sz w:val="24"/>
          <w:lang w:val="it-IT"/>
        </w:rPr>
        <w:t>Servizi di Windows Azure</w:t>
      </w:r>
      <w:bookmarkEnd w:id="734"/>
      <w:bookmarkEnd w:id="735"/>
    </w:p>
    <w:p w:rsidR="00776E3B" w:rsidRPr="00451078" w:rsidRDefault="00776E3B" w:rsidP="00DF28F2">
      <w:pPr>
        <w:outlineLvl w:val="1"/>
        <w:rPr>
          <w:lang w:val="it-IT"/>
        </w:rPr>
      </w:pPr>
    </w:p>
    <w:p w:rsidR="006A5DAE" w:rsidRPr="00451078" w:rsidRDefault="005242EC" w:rsidP="005242EC">
      <w:pPr>
        <w:spacing w:after="60"/>
        <w:outlineLvl w:val="1"/>
        <w:rPr>
          <w:lang w:val="it-IT"/>
        </w:rPr>
      </w:pPr>
      <w:r w:rsidRPr="00451078">
        <w:rPr>
          <w:rFonts w:cs="Tahoma"/>
          <w:b/>
          <w:szCs w:val="18"/>
          <w:lang w:val="it-IT"/>
        </w:rPr>
        <w:t>Definizioni</w:t>
      </w:r>
    </w:p>
    <w:p w:rsidR="006A5DAE" w:rsidRPr="00451078" w:rsidRDefault="006A5DAE" w:rsidP="006A5DAE">
      <w:pPr>
        <w:outlineLvl w:val="1"/>
        <w:rPr>
          <w:lang w:val="it-IT"/>
        </w:rPr>
      </w:pPr>
      <w:r w:rsidRPr="00451078">
        <w:rPr>
          <w:rFonts w:cs="Tahoma"/>
          <w:szCs w:val="18"/>
          <w:u w:val="single"/>
          <w:lang w:val="it-IT"/>
        </w:rPr>
        <w:t>Tariffe di Impegno</w:t>
      </w:r>
      <w:r w:rsidRPr="00451078">
        <w:rPr>
          <w:rFonts w:cs="Tahoma"/>
          <w:b/>
          <w:szCs w:val="18"/>
          <w:lang w:val="it-IT"/>
        </w:rPr>
        <w:t xml:space="preserve"> </w:t>
      </w:r>
      <w:r w:rsidRPr="00451078">
        <w:rPr>
          <w:rFonts w:cs="Tahoma"/>
          <w:szCs w:val="18"/>
          <w:lang w:val="it-IT"/>
        </w:rPr>
        <w:t>indica i prezzi per l</w:t>
      </w:r>
      <w:r w:rsidR="004525CA">
        <w:rPr>
          <w:rFonts w:cs="Tahoma"/>
          <w:szCs w:val="18"/>
          <w:lang w:val="it-IT"/>
        </w:rPr>
        <w:t>’</w:t>
      </w:r>
      <w:r w:rsidRPr="00451078">
        <w:rPr>
          <w:rFonts w:cs="Tahoma"/>
          <w:szCs w:val="18"/>
          <w:lang w:val="it-IT"/>
        </w:rPr>
        <w:t>utilizzo dei Servizi Windows Azure fino al raggiungimento dell</w:t>
      </w:r>
      <w:r w:rsidR="004525CA">
        <w:rPr>
          <w:rFonts w:cs="Tahoma"/>
          <w:szCs w:val="18"/>
          <w:lang w:val="it-IT"/>
        </w:rPr>
        <w:t>’</w:t>
      </w:r>
      <w:r w:rsidRPr="00451078">
        <w:rPr>
          <w:rFonts w:cs="Tahoma"/>
          <w:szCs w:val="18"/>
          <w:lang w:val="it-IT"/>
        </w:rPr>
        <w:t>Impegno Annuale</w:t>
      </w:r>
      <w:r w:rsidR="00E72309" w:rsidRPr="00451078">
        <w:rPr>
          <w:rFonts w:cs="Tahoma"/>
          <w:szCs w:val="18"/>
          <w:lang w:val="it-IT"/>
        </w:rPr>
        <w:t> </w:t>
      </w:r>
      <w:r w:rsidRPr="00451078">
        <w:rPr>
          <w:rFonts w:cs="Tahoma"/>
          <w:szCs w:val="18"/>
          <w:lang w:val="it-IT"/>
        </w:rPr>
        <w:t>Allocato.</w:t>
      </w:r>
    </w:p>
    <w:p w:rsidR="006A5DAE" w:rsidRPr="00451078" w:rsidRDefault="006A5DAE" w:rsidP="006A5DAE">
      <w:pPr>
        <w:outlineLvl w:val="1"/>
        <w:rPr>
          <w:lang w:val="it-IT"/>
        </w:rPr>
      </w:pPr>
    </w:p>
    <w:p w:rsidR="006A5DAE" w:rsidRPr="00451078" w:rsidRDefault="006A5DAE" w:rsidP="006A5DAE">
      <w:pPr>
        <w:outlineLvl w:val="1"/>
        <w:rPr>
          <w:lang w:val="it-IT"/>
        </w:rPr>
      </w:pPr>
      <w:r w:rsidRPr="00451078">
        <w:rPr>
          <w:rFonts w:cs="Tahoma"/>
          <w:szCs w:val="18"/>
          <w:u w:val="single"/>
          <w:lang w:val="it-IT"/>
        </w:rPr>
        <w:t>Tariffe di Consumo</w:t>
      </w:r>
      <w:r w:rsidRPr="00451078">
        <w:rPr>
          <w:rFonts w:cs="Tahoma"/>
          <w:szCs w:val="18"/>
          <w:lang w:val="it-IT"/>
        </w:rPr>
        <w:t xml:space="preserve"> indica i prezzi per l</w:t>
      </w:r>
      <w:r w:rsidR="004525CA">
        <w:rPr>
          <w:rFonts w:cs="Tahoma"/>
          <w:szCs w:val="18"/>
          <w:lang w:val="it-IT"/>
        </w:rPr>
        <w:t>’</w:t>
      </w:r>
      <w:r w:rsidRPr="00451078">
        <w:rPr>
          <w:rFonts w:cs="Tahoma"/>
          <w:szCs w:val="18"/>
          <w:lang w:val="it-IT"/>
        </w:rPr>
        <w:t>utilizzo dei Servizi Windows Azure che eccede l</w:t>
      </w:r>
      <w:r w:rsidR="004525CA">
        <w:rPr>
          <w:rFonts w:cs="Tahoma"/>
          <w:szCs w:val="18"/>
          <w:lang w:val="it-IT"/>
        </w:rPr>
        <w:t>’</w:t>
      </w:r>
      <w:r w:rsidRPr="00451078">
        <w:rPr>
          <w:rFonts w:cs="Tahoma"/>
          <w:szCs w:val="18"/>
          <w:lang w:val="it-IT"/>
        </w:rPr>
        <w:t>Impegno Annuale Allocato. Le</w:t>
      </w:r>
      <w:r w:rsidR="00E72309" w:rsidRPr="00451078">
        <w:rPr>
          <w:rFonts w:cs="Tahoma"/>
          <w:szCs w:val="18"/>
          <w:lang w:val="it-IT"/>
        </w:rPr>
        <w:t> </w:t>
      </w:r>
      <w:r w:rsidRPr="00451078">
        <w:rPr>
          <w:rFonts w:cs="Tahoma"/>
          <w:szCs w:val="18"/>
          <w:lang w:val="it-IT"/>
        </w:rPr>
        <w:t xml:space="preserve">Tariffe di Consumo possono inoltre essere indicate come </w:t>
      </w:r>
      <w:r w:rsidR="001A3EC5" w:rsidRPr="00451078">
        <w:rPr>
          <w:rFonts w:cs="Tahoma"/>
          <w:szCs w:val="18"/>
          <w:lang w:val="it-IT"/>
        </w:rPr>
        <w:t>“</w:t>
      </w:r>
      <w:r w:rsidRPr="00451078">
        <w:rPr>
          <w:rFonts w:cs="Tahoma"/>
          <w:szCs w:val="18"/>
          <w:lang w:val="it-IT"/>
        </w:rPr>
        <w:t>Tariffe di Eccedenza</w:t>
      </w:r>
      <w:r w:rsidR="001A3EC5" w:rsidRPr="00451078">
        <w:rPr>
          <w:rFonts w:cs="Tahoma"/>
          <w:szCs w:val="18"/>
          <w:lang w:val="it-IT"/>
        </w:rPr>
        <w:t>”</w:t>
      </w:r>
      <w:r w:rsidRPr="00451078">
        <w:rPr>
          <w:rFonts w:cs="Tahoma"/>
          <w:szCs w:val="18"/>
          <w:lang w:val="it-IT"/>
        </w:rPr>
        <w:t xml:space="preserve"> o </w:t>
      </w:r>
      <w:r w:rsidR="001A3EC5" w:rsidRPr="00451078">
        <w:rPr>
          <w:rFonts w:cs="Tahoma"/>
          <w:szCs w:val="18"/>
          <w:lang w:val="it-IT"/>
        </w:rPr>
        <w:t>“</w:t>
      </w:r>
      <w:r w:rsidRPr="00451078">
        <w:rPr>
          <w:rFonts w:cs="Tahoma"/>
          <w:szCs w:val="18"/>
          <w:lang w:val="it-IT"/>
        </w:rPr>
        <w:t>Eccedenza</w:t>
      </w:r>
      <w:r w:rsidR="001A3EC5" w:rsidRPr="00451078">
        <w:rPr>
          <w:rFonts w:cs="Tahoma"/>
          <w:szCs w:val="18"/>
          <w:lang w:val="it-IT"/>
        </w:rPr>
        <w:t>”</w:t>
      </w:r>
      <w:r w:rsidRPr="00451078">
        <w:rPr>
          <w:rFonts w:cs="Tahoma"/>
          <w:szCs w:val="18"/>
          <w:lang w:val="it-IT"/>
        </w:rPr>
        <w:t xml:space="preserve"> in altri documenti Microsoft o Windows Azure.</w:t>
      </w:r>
    </w:p>
    <w:p w:rsidR="006A5DAE" w:rsidRPr="00451078" w:rsidRDefault="006A5DAE" w:rsidP="006A5DAE">
      <w:pPr>
        <w:outlineLvl w:val="1"/>
        <w:rPr>
          <w:lang w:val="it-IT"/>
        </w:rPr>
      </w:pPr>
      <w:r w:rsidRPr="00451078">
        <w:rPr>
          <w:rFonts w:cs="Tahoma"/>
          <w:szCs w:val="18"/>
          <w:u w:val="single"/>
          <w:lang w:val="it-IT"/>
        </w:rPr>
        <w:lastRenderedPageBreak/>
        <w:t>Impegno Monetario</w:t>
      </w:r>
      <w:r w:rsidRPr="00451078">
        <w:rPr>
          <w:rFonts w:cs="Tahoma"/>
          <w:szCs w:val="18"/>
          <w:lang w:val="it-IT"/>
        </w:rPr>
        <w:t xml:space="preserve"> indica l</w:t>
      </w:r>
      <w:r w:rsidR="004525CA">
        <w:rPr>
          <w:rFonts w:cs="Tahoma"/>
          <w:szCs w:val="18"/>
          <w:lang w:val="it-IT"/>
        </w:rPr>
        <w:t>’</w:t>
      </w:r>
      <w:r w:rsidRPr="00451078">
        <w:rPr>
          <w:rFonts w:cs="Tahoma"/>
          <w:szCs w:val="18"/>
          <w:lang w:val="it-IT"/>
        </w:rPr>
        <w:t>importo monetario totale che una società s</w:t>
      </w:r>
      <w:r w:rsidR="004525CA">
        <w:rPr>
          <w:rFonts w:cs="Tahoma"/>
          <w:szCs w:val="18"/>
          <w:lang w:val="it-IT"/>
        </w:rPr>
        <w:t>’</w:t>
      </w:r>
      <w:r w:rsidRPr="00451078">
        <w:rPr>
          <w:rFonts w:cs="Tahoma"/>
          <w:szCs w:val="18"/>
          <w:lang w:val="it-IT"/>
        </w:rPr>
        <w:t>impegna a pagare nel periodo di validità dell</w:t>
      </w:r>
      <w:r w:rsidR="004525CA">
        <w:rPr>
          <w:rFonts w:cs="Tahoma"/>
          <w:szCs w:val="18"/>
          <w:lang w:val="it-IT"/>
        </w:rPr>
        <w:t>’</w:t>
      </w:r>
      <w:r w:rsidRPr="00451078">
        <w:rPr>
          <w:rFonts w:cs="Tahoma"/>
          <w:szCs w:val="18"/>
          <w:lang w:val="it-IT"/>
        </w:rPr>
        <w:t>abbonamento per l</w:t>
      </w:r>
      <w:r w:rsidR="004525CA">
        <w:rPr>
          <w:rFonts w:cs="Tahoma"/>
          <w:szCs w:val="18"/>
          <w:lang w:val="it-IT"/>
        </w:rPr>
        <w:t>’</w:t>
      </w:r>
      <w:r w:rsidRPr="00451078">
        <w:rPr>
          <w:rFonts w:cs="Tahoma"/>
          <w:szCs w:val="18"/>
          <w:lang w:val="it-IT"/>
        </w:rPr>
        <w:t>utilizzo dei Servizi Windows Azure.</w:t>
      </w:r>
    </w:p>
    <w:p w:rsidR="00BD1A6A" w:rsidRPr="00451078" w:rsidRDefault="00BD1A6A" w:rsidP="006A5DAE">
      <w:pPr>
        <w:outlineLvl w:val="1"/>
        <w:rPr>
          <w:lang w:val="it-IT"/>
        </w:rPr>
      </w:pPr>
    </w:p>
    <w:p w:rsidR="006A5DAE" w:rsidRPr="00451078" w:rsidRDefault="006A5DAE" w:rsidP="006A5DAE">
      <w:pPr>
        <w:outlineLvl w:val="1"/>
        <w:rPr>
          <w:lang w:val="it-IT"/>
        </w:rPr>
      </w:pPr>
      <w:r w:rsidRPr="00451078">
        <w:rPr>
          <w:rFonts w:cs="Tahoma"/>
          <w:szCs w:val="18"/>
          <w:u w:val="single"/>
          <w:lang w:val="it-IT"/>
        </w:rPr>
        <w:t>Impegno Annuale Allocato</w:t>
      </w:r>
      <w:r w:rsidRPr="00451078">
        <w:rPr>
          <w:rFonts w:cs="Tahoma"/>
          <w:szCs w:val="18"/>
          <w:lang w:val="it-IT"/>
        </w:rPr>
        <w:t xml:space="preserve"> indica la parte di Impegno Monetario allocato annualmente durante il periodo di validità dell</w:t>
      </w:r>
      <w:r w:rsidR="004525CA">
        <w:rPr>
          <w:rFonts w:cs="Tahoma"/>
          <w:szCs w:val="18"/>
          <w:lang w:val="it-IT"/>
        </w:rPr>
        <w:t>’</w:t>
      </w:r>
      <w:r w:rsidRPr="00451078">
        <w:rPr>
          <w:rFonts w:cs="Tahoma"/>
          <w:szCs w:val="18"/>
          <w:lang w:val="it-IT"/>
        </w:rPr>
        <w:t>Iscrizione. Per l</w:t>
      </w:r>
      <w:r w:rsidR="004525CA">
        <w:rPr>
          <w:rFonts w:cs="Tahoma"/>
          <w:szCs w:val="18"/>
          <w:lang w:val="it-IT"/>
        </w:rPr>
        <w:t>’</w:t>
      </w:r>
      <w:r w:rsidRPr="00451078">
        <w:rPr>
          <w:rFonts w:cs="Tahoma"/>
          <w:szCs w:val="18"/>
          <w:lang w:val="it-IT"/>
        </w:rPr>
        <w:t xml:space="preserve">opzione </w:t>
      </w:r>
      <w:r w:rsidR="001A3EC5" w:rsidRPr="00451078">
        <w:rPr>
          <w:rFonts w:cs="Tahoma"/>
          <w:szCs w:val="18"/>
          <w:lang w:val="it-IT"/>
        </w:rPr>
        <w:t>“</w:t>
      </w:r>
      <w:r w:rsidRPr="00451078">
        <w:rPr>
          <w:rFonts w:cs="Tahoma"/>
          <w:szCs w:val="18"/>
          <w:lang w:val="it-IT"/>
        </w:rPr>
        <w:t>Subscription</w:t>
      </w:r>
      <w:r w:rsidR="001A3EC5" w:rsidRPr="00451078">
        <w:rPr>
          <w:rFonts w:cs="Tahoma"/>
          <w:szCs w:val="18"/>
          <w:lang w:val="it-IT"/>
        </w:rPr>
        <w:t>”</w:t>
      </w:r>
      <w:r w:rsidRPr="00451078">
        <w:rPr>
          <w:rFonts w:cs="Tahoma"/>
          <w:szCs w:val="18"/>
          <w:lang w:val="it-IT"/>
        </w:rPr>
        <w:t xml:space="preserve"> annuale l</w:t>
      </w:r>
      <w:r w:rsidR="004525CA">
        <w:rPr>
          <w:rFonts w:cs="Tahoma"/>
          <w:szCs w:val="18"/>
          <w:lang w:val="it-IT"/>
        </w:rPr>
        <w:t>’</w:t>
      </w:r>
      <w:r w:rsidRPr="00451078">
        <w:rPr>
          <w:rFonts w:cs="Tahoma"/>
          <w:szCs w:val="18"/>
          <w:lang w:val="it-IT"/>
        </w:rPr>
        <w:t>Impegno Annuale Allocato è pari all</w:t>
      </w:r>
      <w:r w:rsidR="004525CA">
        <w:rPr>
          <w:rFonts w:cs="Tahoma"/>
          <w:szCs w:val="18"/>
          <w:lang w:val="it-IT"/>
        </w:rPr>
        <w:t>’</w:t>
      </w:r>
      <w:r w:rsidRPr="00451078">
        <w:rPr>
          <w:rFonts w:cs="Tahoma"/>
          <w:szCs w:val="18"/>
          <w:lang w:val="it-IT"/>
        </w:rPr>
        <w:t>Impegno Monetario.</w:t>
      </w:r>
    </w:p>
    <w:p w:rsidR="00BD1A6A" w:rsidRPr="00451078" w:rsidRDefault="00BD1A6A">
      <w:pPr>
        <w:rPr>
          <w:lang w:val="it-IT"/>
        </w:rPr>
      </w:pPr>
    </w:p>
    <w:p w:rsidR="006A5DAE" w:rsidRPr="00451078" w:rsidRDefault="006A5DAE" w:rsidP="004525CA">
      <w:pPr>
        <w:spacing w:after="60"/>
        <w:outlineLvl w:val="1"/>
        <w:rPr>
          <w:lang w:val="it-IT"/>
        </w:rPr>
      </w:pPr>
      <w:r w:rsidRPr="00451078">
        <w:rPr>
          <w:rFonts w:cs="Tahoma"/>
          <w:b/>
          <w:szCs w:val="18"/>
          <w:lang w:val="it-IT"/>
        </w:rPr>
        <w:t>Periodo di Validità dell</w:t>
      </w:r>
      <w:r w:rsidR="004525CA">
        <w:rPr>
          <w:rFonts w:cs="Tahoma"/>
          <w:b/>
          <w:szCs w:val="18"/>
          <w:lang w:val="it-IT"/>
        </w:rPr>
        <w:t>’</w:t>
      </w:r>
      <w:r w:rsidRPr="00451078">
        <w:rPr>
          <w:rFonts w:cs="Tahoma"/>
          <w:b/>
          <w:szCs w:val="18"/>
          <w:lang w:val="it-IT"/>
        </w:rPr>
        <w:t>Abbonamento</w:t>
      </w:r>
    </w:p>
    <w:p w:rsidR="006A5DAE" w:rsidRPr="00451078" w:rsidRDefault="006A5DAE" w:rsidP="004525CA">
      <w:pPr>
        <w:outlineLvl w:val="1"/>
        <w:rPr>
          <w:lang w:val="it-IT"/>
        </w:rPr>
      </w:pPr>
      <w:r w:rsidRPr="00451078">
        <w:rPr>
          <w:rFonts w:cs="Tahoma"/>
          <w:szCs w:val="18"/>
          <w:lang w:val="it-IT"/>
        </w:rPr>
        <w:t>Per i Servizi di Windows Azure le società possono scegliere un periodo di abbonamento annuale o un abbonamento che termini il giorno stesso della scadenza del periodo di validità dell</w:t>
      </w:r>
      <w:r w:rsidR="004525CA">
        <w:rPr>
          <w:rFonts w:cs="Tahoma"/>
          <w:szCs w:val="18"/>
          <w:lang w:val="it-IT"/>
        </w:rPr>
        <w:t>’</w:t>
      </w:r>
      <w:r w:rsidRPr="00451078">
        <w:rPr>
          <w:rFonts w:cs="Tahoma"/>
          <w:szCs w:val="18"/>
          <w:lang w:val="it-IT"/>
        </w:rPr>
        <w:t>iscrizione delle società (</w:t>
      </w:r>
      <w:r w:rsidR="001A3EC5" w:rsidRPr="00451078">
        <w:rPr>
          <w:rFonts w:cs="Tahoma"/>
          <w:szCs w:val="18"/>
          <w:lang w:val="it-IT"/>
        </w:rPr>
        <w:t>“</w:t>
      </w:r>
      <w:r w:rsidRPr="00451078">
        <w:rPr>
          <w:rFonts w:cs="Tahoma"/>
          <w:szCs w:val="18"/>
          <w:lang w:val="it-IT"/>
        </w:rPr>
        <w:t>scadenza identica</w:t>
      </w:r>
      <w:r w:rsidR="001A3EC5" w:rsidRPr="00451078">
        <w:rPr>
          <w:rFonts w:cs="Tahoma"/>
          <w:szCs w:val="18"/>
          <w:lang w:val="it-IT"/>
        </w:rPr>
        <w:t>”</w:t>
      </w:r>
      <w:r w:rsidRPr="00451078">
        <w:rPr>
          <w:rFonts w:cs="Tahoma"/>
          <w:szCs w:val="18"/>
          <w:lang w:val="it-IT"/>
        </w:rPr>
        <w:t xml:space="preserve">). </w:t>
      </w:r>
      <w:r w:rsidRPr="00451078">
        <w:rPr>
          <w:lang w:val="it-IT"/>
        </w:rPr>
        <w:t>Le</w:t>
      </w:r>
      <w:r w:rsidR="00E72309" w:rsidRPr="00451078">
        <w:rPr>
          <w:lang w:val="it-IT"/>
        </w:rPr>
        <w:t> </w:t>
      </w:r>
      <w:r w:rsidRPr="00451078">
        <w:rPr>
          <w:lang w:val="it-IT"/>
        </w:rPr>
        <w:t>società che scelgono l</w:t>
      </w:r>
      <w:r w:rsidR="004525CA">
        <w:rPr>
          <w:lang w:val="it-IT"/>
        </w:rPr>
        <w:t>’</w:t>
      </w:r>
      <w:r w:rsidRPr="00451078">
        <w:rPr>
          <w:lang w:val="it-IT"/>
        </w:rPr>
        <w:t>opzione annuale non possono annullare l</w:t>
      </w:r>
      <w:r w:rsidR="004525CA">
        <w:rPr>
          <w:lang w:val="it-IT"/>
        </w:rPr>
        <w:t>’</w:t>
      </w:r>
      <w:r w:rsidRPr="00451078">
        <w:rPr>
          <w:lang w:val="it-IT"/>
        </w:rPr>
        <w:t>iscrizione prima di 12 mesi e le società che scelgono l</w:t>
      </w:r>
      <w:r w:rsidR="004525CA">
        <w:rPr>
          <w:lang w:val="it-IT"/>
        </w:rPr>
        <w:t>’</w:t>
      </w:r>
      <w:r w:rsidRPr="00451078">
        <w:rPr>
          <w:lang w:val="it-IT"/>
        </w:rPr>
        <w:t>opzione con scadenza identica non possono annullare l</w:t>
      </w:r>
      <w:r w:rsidR="004525CA">
        <w:rPr>
          <w:lang w:val="it-IT"/>
        </w:rPr>
        <w:t>’</w:t>
      </w:r>
      <w:r w:rsidRPr="00451078">
        <w:rPr>
          <w:lang w:val="it-IT"/>
        </w:rPr>
        <w:t>iscrizione prima di due mesi</w:t>
      </w:r>
      <w:r w:rsidRPr="00451078">
        <w:rPr>
          <w:rFonts w:cs="Tahoma"/>
          <w:szCs w:val="18"/>
          <w:lang w:val="it-IT"/>
        </w:rPr>
        <w:t>.</w:t>
      </w:r>
    </w:p>
    <w:p w:rsidR="006A5DAE" w:rsidRPr="00451078" w:rsidRDefault="006A5DAE" w:rsidP="006A5DAE">
      <w:pPr>
        <w:rPr>
          <w:lang w:val="it-IT"/>
        </w:rPr>
      </w:pPr>
    </w:p>
    <w:p w:rsidR="006A5DAE" w:rsidRPr="00451078" w:rsidRDefault="005242EC" w:rsidP="005242EC">
      <w:pPr>
        <w:spacing w:after="60"/>
        <w:outlineLvl w:val="1"/>
        <w:rPr>
          <w:lang w:val="it-IT"/>
        </w:rPr>
      </w:pPr>
      <w:r w:rsidRPr="00451078">
        <w:rPr>
          <w:rFonts w:cs="Tahoma"/>
          <w:b/>
          <w:szCs w:val="18"/>
          <w:lang w:val="it-IT"/>
        </w:rPr>
        <w:t>Impegno Monetario</w:t>
      </w:r>
    </w:p>
    <w:p w:rsidR="006A5DAE" w:rsidRPr="00451078" w:rsidRDefault="006A5DAE" w:rsidP="004525CA">
      <w:pPr>
        <w:outlineLvl w:val="1"/>
        <w:rPr>
          <w:lang w:val="it-IT"/>
        </w:rPr>
      </w:pPr>
      <w:r w:rsidRPr="00451078">
        <w:rPr>
          <w:rFonts w:cs="Tahoma"/>
          <w:szCs w:val="18"/>
          <w:lang w:val="it-IT"/>
        </w:rPr>
        <w:t>L</w:t>
      </w:r>
      <w:r w:rsidR="004525CA">
        <w:rPr>
          <w:rFonts w:cs="Tahoma"/>
          <w:szCs w:val="18"/>
          <w:lang w:val="it-IT"/>
        </w:rPr>
        <w:t>’</w:t>
      </w:r>
      <w:r w:rsidRPr="00451078">
        <w:rPr>
          <w:rFonts w:cs="Tahoma"/>
          <w:szCs w:val="18"/>
          <w:lang w:val="it-IT"/>
        </w:rPr>
        <w:t>ordine iniziale delle società dovrà includere un Impegno Monetario e potrà essere presentato in qualsiasi momento prima dell</w:t>
      </w:r>
      <w:r w:rsidR="004525CA">
        <w:rPr>
          <w:rFonts w:cs="Tahoma"/>
          <w:szCs w:val="18"/>
          <w:lang w:val="it-IT"/>
        </w:rPr>
        <w:t>’</w:t>
      </w:r>
      <w:r w:rsidRPr="00451078">
        <w:rPr>
          <w:rFonts w:cs="Tahoma"/>
          <w:szCs w:val="18"/>
          <w:lang w:val="it-IT"/>
        </w:rPr>
        <w:t>ultimo mese del periodo di validità dell</w:t>
      </w:r>
      <w:r w:rsidR="004525CA">
        <w:rPr>
          <w:rFonts w:cs="Tahoma"/>
          <w:szCs w:val="18"/>
          <w:lang w:val="it-IT"/>
        </w:rPr>
        <w:t>’</w:t>
      </w:r>
      <w:r w:rsidRPr="00451078">
        <w:rPr>
          <w:rFonts w:cs="Tahoma"/>
          <w:szCs w:val="18"/>
          <w:lang w:val="it-IT"/>
        </w:rPr>
        <w:t>iscrizione. L</w:t>
      </w:r>
      <w:r w:rsidR="004525CA">
        <w:rPr>
          <w:rFonts w:cs="Tahoma"/>
          <w:szCs w:val="18"/>
          <w:lang w:val="it-IT"/>
        </w:rPr>
        <w:t>’</w:t>
      </w:r>
      <w:r w:rsidRPr="00451078">
        <w:rPr>
          <w:rFonts w:cs="Tahoma"/>
          <w:szCs w:val="18"/>
          <w:lang w:val="it-IT"/>
        </w:rPr>
        <w:t>Impegno Monetario previsto dall</w:t>
      </w:r>
      <w:r w:rsidR="004525CA">
        <w:rPr>
          <w:rFonts w:cs="Tahoma"/>
          <w:szCs w:val="18"/>
          <w:lang w:val="it-IT"/>
        </w:rPr>
        <w:t>’</w:t>
      </w:r>
      <w:r w:rsidRPr="00451078">
        <w:rPr>
          <w:rFonts w:cs="Tahoma"/>
          <w:szCs w:val="18"/>
          <w:lang w:val="it-IT"/>
        </w:rPr>
        <w:t xml:space="preserve">opzione </w:t>
      </w:r>
      <w:r w:rsidR="001A3EC5" w:rsidRPr="00451078">
        <w:rPr>
          <w:rFonts w:cs="Tahoma"/>
          <w:szCs w:val="18"/>
          <w:lang w:val="it-IT"/>
        </w:rPr>
        <w:t>“</w:t>
      </w:r>
      <w:r w:rsidRPr="00451078">
        <w:rPr>
          <w:rFonts w:cs="Tahoma"/>
          <w:szCs w:val="18"/>
          <w:lang w:val="it-IT"/>
        </w:rPr>
        <w:t>Subscription</w:t>
      </w:r>
      <w:r w:rsidR="001A3EC5" w:rsidRPr="00451078">
        <w:rPr>
          <w:rFonts w:cs="Tahoma"/>
          <w:szCs w:val="18"/>
          <w:lang w:val="it-IT"/>
        </w:rPr>
        <w:t>”</w:t>
      </w:r>
      <w:r w:rsidRPr="00451078">
        <w:rPr>
          <w:rFonts w:cs="Tahoma"/>
          <w:szCs w:val="18"/>
          <w:lang w:val="it-IT"/>
        </w:rPr>
        <w:t xml:space="preserve"> annuale verrà ripartito in uguale misura tra i 12 mesi successivi. L</w:t>
      </w:r>
      <w:r w:rsidR="004525CA">
        <w:rPr>
          <w:rFonts w:cs="Tahoma"/>
          <w:szCs w:val="18"/>
          <w:lang w:val="it-IT"/>
        </w:rPr>
        <w:t>’</w:t>
      </w:r>
      <w:r w:rsidRPr="00451078">
        <w:rPr>
          <w:rFonts w:cs="Tahoma"/>
          <w:szCs w:val="18"/>
          <w:lang w:val="it-IT"/>
        </w:rPr>
        <w:t>Impegno Monetario previsto dall</w:t>
      </w:r>
      <w:r w:rsidR="004525CA">
        <w:rPr>
          <w:rFonts w:cs="Tahoma"/>
          <w:szCs w:val="18"/>
          <w:lang w:val="it-IT"/>
        </w:rPr>
        <w:t>’</w:t>
      </w:r>
      <w:r w:rsidRPr="00451078">
        <w:rPr>
          <w:rFonts w:cs="Tahoma"/>
          <w:szCs w:val="18"/>
          <w:lang w:val="it-IT"/>
        </w:rPr>
        <w:t>opzione con scadenza identica verrà allocato in misura proporzionale durante il periodo di validità dell</w:t>
      </w:r>
      <w:r w:rsidR="004525CA">
        <w:rPr>
          <w:rFonts w:cs="Tahoma"/>
          <w:szCs w:val="18"/>
          <w:lang w:val="it-IT"/>
        </w:rPr>
        <w:t>’</w:t>
      </w:r>
      <w:r w:rsidRPr="00451078">
        <w:rPr>
          <w:rFonts w:cs="Tahoma"/>
          <w:szCs w:val="18"/>
          <w:lang w:val="it-IT"/>
        </w:rPr>
        <w:t>iscrizione.</w:t>
      </w:r>
    </w:p>
    <w:p w:rsidR="006A5DAE" w:rsidRPr="00451078" w:rsidRDefault="006A5DAE" w:rsidP="006A5DAE">
      <w:pPr>
        <w:outlineLvl w:val="1"/>
        <w:rPr>
          <w:lang w:val="it-IT"/>
        </w:rPr>
      </w:pPr>
    </w:p>
    <w:p w:rsidR="006A5DAE" w:rsidRPr="00451078" w:rsidRDefault="006A5DAE" w:rsidP="004525CA">
      <w:pPr>
        <w:rPr>
          <w:lang w:val="it-IT"/>
        </w:rPr>
      </w:pPr>
      <w:r w:rsidRPr="00451078">
        <w:rPr>
          <w:lang w:val="it-IT"/>
        </w:rPr>
        <w:t>Le società potranno incrementare il proprio Impegno Monetario in qualsiasi momento effettuando ordini aggiuntivi.</w:t>
      </w:r>
      <w:r w:rsidR="00082E1C" w:rsidRPr="00451078">
        <w:rPr>
          <w:lang w:val="it-IT"/>
        </w:rPr>
        <w:t xml:space="preserve"> </w:t>
      </w:r>
      <w:r w:rsidRPr="00451078">
        <w:rPr>
          <w:lang w:val="it-IT"/>
        </w:rPr>
        <w:t>Tali ordini verranno aggiunti all</w:t>
      </w:r>
      <w:r w:rsidR="004525CA">
        <w:rPr>
          <w:lang w:val="it-IT"/>
        </w:rPr>
        <w:t>’</w:t>
      </w:r>
      <w:r w:rsidRPr="00451078">
        <w:rPr>
          <w:lang w:val="it-IT"/>
        </w:rPr>
        <w:t>Impegno Annuale Allocato corrente e potranno essere utilizzati il primo giorno del mese successivo all</w:t>
      </w:r>
      <w:r w:rsidR="004525CA">
        <w:rPr>
          <w:lang w:val="it-IT"/>
        </w:rPr>
        <w:t>’</w:t>
      </w:r>
      <w:r w:rsidRPr="00451078">
        <w:rPr>
          <w:lang w:val="it-IT"/>
        </w:rPr>
        <w:t>elaborazione dell</w:t>
      </w:r>
      <w:r w:rsidR="004525CA">
        <w:rPr>
          <w:lang w:val="it-IT"/>
        </w:rPr>
        <w:t>’</w:t>
      </w:r>
      <w:r w:rsidRPr="00451078">
        <w:rPr>
          <w:lang w:val="it-IT"/>
        </w:rPr>
        <w:t>ordine da parte di Microsoft. Per l</w:t>
      </w:r>
      <w:r w:rsidR="004525CA">
        <w:rPr>
          <w:lang w:val="it-IT"/>
        </w:rPr>
        <w:t>’</w:t>
      </w:r>
      <w:r w:rsidRPr="00451078">
        <w:rPr>
          <w:rFonts w:cs="Tahoma"/>
          <w:szCs w:val="18"/>
          <w:lang w:val="it-IT"/>
        </w:rPr>
        <w:t>opzione con scadenza identica</w:t>
      </w:r>
      <w:r w:rsidRPr="00451078">
        <w:rPr>
          <w:lang w:val="it-IT"/>
        </w:rPr>
        <w:t xml:space="preserve"> i futuri Impegni Annuali Allocati verranno incrementati dall</w:t>
      </w:r>
      <w:r w:rsidR="004525CA">
        <w:rPr>
          <w:lang w:val="it-IT"/>
        </w:rPr>
        <w:t>’</w:t>
      </w:r>
      <w:r w:rsidRPr="00451078">
        <w:rPr>
          <w:lang w:val="it-IT"/>
        </w:rPr>
        <w:t>importo dell</w:t>
      </w:r>
      <w:r w:rsidR="004525CA">
        <w:rPr>
          <w:lang w:val="it-IT"/>
        </w:rPr>
        <w:t>’</w:t>
      </w:r>
      <w:r w:rsidRPr="00451078">
        <w:rPr>
          <w:lang w:val="it-IT"/>
        </w:rPr>
        <w:t>ordine aggiuntivo moltiplicato per dodici diviso il numero di</w:t>
      </w:r>
      <w:r w:rsidR="00E72309" w:rsidRPr="00451078">
        <w:rPr>
          <w:lang w:val="it-IT"/>
        </w:rPr>
        <w:t> </w:t>
      </w:r>
      <w:r w:rsidRPr="00451078">
        <w:rPr>
          <w:lang w:val="it-IT"/>
        </w:rPr>
        <w:t>mesi interi residui nell</w:t>
      </w:r>
      <w:r w:rsidR="004525CA">
        <w:rPr>
          <w:lang w:val="it-IT"/>
        </w:rPr>
        <w:t>’</w:t>
      </w:r>
      <w:r w:rsidRPr="00451078">
        <w:rPr>
          <w:lang w:val="it-IT"/>
        </w:rPr>
        <w:t>anno in cui è stato effettuato l</w:t>
      </w:r>
      <w:r w:rsidR="004525CA">
        <w:rPr>
          <w:lang w:val="it-IT"/>
        </w:rPr>
        <w:t>’</w:t>
      </w:r>
      <w:r w:rsidRPr="00451078">
        <w:rPr>
          <w:lang w:val="it-IT"/>
        </w:rPr>
        <w:t>ordine aggiuntivo.</w:t>
      </w:r>
    </w:p>
    <w:p w:rsidR="006A5DAE" w:rsidRPr="00451078" w:rsidRDefault="006A5DAE" w:rsidP="006A5DAE">
      <w:pPr>
        <w:rPr>
          <w:lang w:val="it-IT"/>
        </w:rPr>
      </w:pPr>
    </w:p>
    <w:p w:rsidR="006A5DAE" w:rsidRPr="00451078" w:rsidRDefault="006A5DAE" w:rsidP="004525CA">
      <w:pPr>
        <w:outlineLvl w:val="1"/>
        <w:rPr>
          <w:lang w:val="it-IT"/>
        </w:rPr>
      </w:pPr>
      <w:r w:rsidRPr="00451078">
        <w:rPr>
          <w:rFonts w:cs="Tahoma"/>
          <w:szCs w:val="18"/>
          <w:lang w:val="it-IT"/>
        </w:rPr>
        <w:t>Le società dovranno consumare l</w:t>
      </w:r>
      <w:r w:rsidR="004525CA">
        <w:rPr>
          <w:rFonts w:cs="Tahoma"/>
          <w:szCs w:val="18"/>
          <w:lang w:val="it-IT"/>
        </w:rPr>
        <w:t>’</w:t>
      </w:r>
      <w:r w:rsidRPr="00451078">
        <w:rPr>
          <w:lang w:val="it-IT"/>
        </w:rPr>
        <w:t>Impegno Annuale Allocato</w:t>
      </w:r>
      <w:r w:rsidRPr="00451078">
        <w:rPr>
          <w:rFonts w:cs="Tahoma"/>
          <w:szCs w:val="18"/>
          <w:lang w:val="it-IT"/>
        </w:rPr>
        <w:t xml:space="preserve"> entro l</w:t>
      </w:r>
      <w:r w:rsidR="004525CA">
        <w:rPr>
          <w:rFonts w:cs="Tahoma"/>
          <w:szCs w:val="18"/>
          <w:lang w:val="it-IT"/>
        </w:rPr>
        <w:t>’</w:t>
      </w:r>
      <w:r w:rsidRPr="00451078">
        <w:rPr>
          <w:rFonts w:cs="Tahoma"/>
          <w:szCs w:val="18"/>
          <w:lang w:val="it-IT"/>
        </w:rPr>
        <w:t>ultimo giorno del 12° mese successivo all</w:t>
      </w:r>
      <w:r w:rsidR="004525CA">
        <w:rPr>
          <w:rFonts w:cs="Tahoma"/>
          <w:szCs w:val="18"/>
          <w:lang w:val="it-IT"/>
        </w:rPr>
        <w:t>’</w:t>
      </w:r>
      <w:r w:rsidRPr="00451078">
        <w:rPr>
          <w:rFonts w:cs="Tahoma"/>
          <w:szCs w:val="18"/>
          <w:lang w:val="it-IT"/>
        </w:rPr>
        <w:t>ordine per l</w:t>
      </w:r>
      <w:r w:rsidR="004525CA">
        <w:rPr>
          <w:rFonts w:cs="Tahoma"/>
          <w:szCs w:val="18"/>
          <w:lang w:val="it-IT"/>
        </w:rPr>
        <w:t>’</w:t>
      </w:r>
      <w:r w:rsidRPr="00451078">
        <w:rPr>
          <w:rFonts w:cs="Tahoma"/>
          <w:szCs w:val="18"/>
          <w:lang w:val="it-IT"/>
        </w:rPr>
        <w:t xml:space="preserve">opzione </w:t>
      </w:r>
      <w:r w:rsidR="001A3EC5" w:rsidRPr="00451078">
        <w:rPr>
          <w:rFonts w:cs="Tahoma"/>
          <w:szCs w:val="18"/>
          <w:lang w:val="it-IT"/>
        </w:rPr>
        <w:t>“</w:t>
      </w:r>
      <w:r w:rsidRPr="00451078">
        <w:rPr>
          <w:rFonts w:cs="Tahoma"/>
          <w:szCs w:val="18"/>
          <w:lang w:val="it-IT"/>
        </w:rPr>
        <w:t>Subscription</w:t>
      </w:r>
      <w:r w:rsidR="001A3EC5" w:rsidRPr="00451078">
        <w:rPr>
          <w:rFonts w:cs="Tahoma"/>
          <w:szCs w:val="18"/>
          <w:lang w:val="it-IT"/>
        </w:rPr>
        <w:t>”</w:t>
      </w:r>
      <w:r w:rsidRPr="00451078">
        <w:rPr>
          <w:rFonts w:cs="Tahoma"/>
          <w:szCs w:val="18"/>
          <w:lang w:val="it-IT"/>
        </w:rPr>
        <w:t xml:space="preserve"> annuale ed entro l</w:t>
      </w:r>
      <w:r w:rsidR="004525CA">
        <w:rPr>
          <w:rFonts w:cs="Tahoma"/>
          <w:szCs w:val="18"/>
          <w:lang w:val="it-IT"/>
        </w:rPr>
        <w:t>’</w:t>
      </w:r>
      <w:r w:rsidRPr="00451078">
        <w:rPr>
          <w:rFonts w:cs="Tahoma"/>
          <w:szCs w:val="18"/>
          <w:lang w:val="it-IT"/>
        </w:rPr>
        <w:t>ultimo giorno del mese precedente la ricorrenza annuale dell</w:t>
      </w:r>
      <w:r w:rsidR="004525CA">
        <w:rPr>
          <w:rFonts w:cs="Tahoma"/>
          <w:szCs w:val="18"/>
          <w:lang w:val="it-IT"/>
        </w:rPr>
        <w:t>’</w:t>
      </w:r>
      <w:r w:rsidRPr="00451078">
        <w:rPr>
          <w:rFonts w:cs="Tahoma"/>
          <w:szCs w:val="18"/>
          <w:lang w:val="it-IT"/>
        </w:rPr>
        <w:t>iscrizione moltiplicato per dodici diviso il numero di mesi interi residui nell</w:t>
      </w:r>
      <w:r w:rsidR="004525CA">
        <w:rPr>
          <w:rFonts w:cs="Tahoma"/>
          <w:szCs w:val="18"/>
          <w:lang w:val="it-IT"/>
        </w:rPr>
        <w:t>’</w:t>
      </w:r>
      <w:r w:rsidRPr="00451078">
        <w:rPr>
          <w:rFonts w:cs="Tahoma"/>
          <w:szCs w:val="18"/>
          <w:lang w:val="it-IT"/>
        </w:rPr>
        <w:t>anno in cui è stato effettuato l</w:t>
      </w:r>
      <w:r w:rsidR="004525CA">
        <w:rPr>
          <w:rFonts w:cs="Tahoma"/>
          <w:szCs w:val="18"/>
          <w:lang w:val="it-IT"/>
        </w:rPr>
        <w:t>’</w:t>
      </w:r>
      <w:r w:rsidRPr="00451078">
        <w:rPr>
          <w:rFonts w:cs="Tahoma"/>
          <w:szCs w:val="18"/>
          <w:lang w:val="it-IT"/>
        </w:rPr>
        <w:t>ordine aggiuntivo per il</w:t>
      </w:r>
      <w:r w:rsidR="00E72309" w:rsidRPr="00451078">
        <w:rPr>
          <w:rFonts w:cs="Tahoma"/>
          <w:szCs w:val="18"/>
          <w:lang w:val="it-IT"/>
        </w:rPr>
        <w:t> </w:t>
      </w:r>
      <w:r w:rsidRPr="00451078">
        <w:rPr>
          <w:rFonts w:cs="Tahoma"/>
          <w:szCs w:val="18"/>
          <w:lang w:val="it-IT"/>
        </w:rPr>
        <w:t>periodo di abbonamento con scadenza identica. L</w:t>
      </w:r>
      <w:r w:rsidR="004525CA">
        <w:rPr>
          <w:rFonts w:cs="Tahoma"/>
          <w:szCs w:val="18"/>
          <w:lang w:val="it-IT"/>
        </w:rPr>
        <w:t>’</w:t>
      </w:r>
      <w:r w:rsidRPr="00451078">
        <w:rPr>
          <w:rFonts w:cs="Tahoma"/>
          <w:szCs w:val="18"/>
          <w:lang w:val="it-IT"/>
        </w:rPr>
        <w:t>eventuale parte non utilizzata dell</w:t>
      </w:r>
      <w:r w:rsidR="004525CA">
        <w:rPr>
          <w:rFonts w:cs="Tahoma"/>
          <w:szCs w:val="18"/>
          <w:lang w:val="it-IT"/>
        </w:rPr>
        <w:t>’</w:t>
      </w:r>
      <w:r w:rsidRPr="00451078">
        <w:rPr>
          <w:lang w:val="it-IT"/>
        </w:rPr>
        <w:t xml:space="preserve">Impegno Annuale Anticipato </w:t>
      </w:r>
      <w:r w:rsidRPr="00451078">
        <w:rPr>
          <w:rFonts w:cs="Tahoma"/>
          <w:szCs w:val="18"/>
          <w:lang w:val="it-IT"/>
        </w:rPr>
        <w:t>andrà</w:t>
      </w:r>
      <w:r w:rsidRPr="00451078">
        <w:rPr>
          <w:lang w:val="it-IT"/>
        </w:rPr>
        <w:t xml:space="preserve"> persa</w:t>
      </w:r>
      <w:r w:rsidRPr="00451078">
        <w:rPr>
          <w:rFonts w:cs="Tahoma"/>
          <w:szCs w:val="18"/>
          <w:lang w:val="it-IT"/>
        </w:rPr>
        <w:t xml:space="preserve">. </w:t>
      </w:r>
    </w:p>
    <w:p w:rsidR="006A5DAE" w:rsidRPr="00451078" w:rsidRDefault="006A5DAE" w:rsidP="006A5DAE">
      <w:pPr>
        <w:rPr>
          <w:lang w:val="it-IT"/>
        </w:rPr>
      </w:pPr>
    </w:p>
    <w:p w:rsidR="006A5DAE" w:rsidRPr="00451078" w:rsidRDefault="005242EC" w:rsidP="005242EC">
      <w:pPr>
        <w:spacing w:after="60"/>
        <w:outlineLvl w:val="1"/>
        <w:rPr>
          <w:lang w:val="it-IT"/>
        </w:rPr>
      </w:pPr>
      <w:r w:rsidRPr="00451078">
        <w:rPr>
          <w:rFonts w:cs="Tahoma"/>
          <w:b/>
          <w:szCs w:val="18"/>
          <w:lang w:val="it-IT"/>
        </w:rPr>
        <w:t xml:space="preserve">Pagamento e Corrispettivi </w:t>
      </w:r>
    </w:p>
    <w:p w:rsidR="006A5DAE" w:rsidRPr="00451078" w:rsidRDefault="006A5DAE" w:rsidP="004525CA">
      <w:pPr>
        <w:rPr>
          <w:lang w:val="it-IT"/>
        </w:rPr>
      </w:pPr>
      <w:r w:rsidRPr="00451078">
        <w:rPr>
          <w:lang w:val="it-IT"/>
        </w:rPr>
        <w:t>Per l</w:t>
      </w:r>
      <w:r w:rsidR="004525CA">
        <w:rPr>
          <w:lang w:val="it-IT"/>
        </w:rPr>
        <w:t>’</w:t>
      </w:r>
      <w:r w:rsidRPr="00451078">
        <w:rPr>
          <w:lang w:val="it-IT"/>
        </w:rPr>
        <w:t xml:space="preserve">opzione </w:t>
      </w:r>
      <w:r w:rsidR="001A3EC5" w:rsidRPr="00451078">
        <w:rPr>
          <w:lang w:val="it-IT"/>
        </w:rPr>
        <w:t>“</w:t>
      </w:r>
      <w:r w:rsidRPr="00451078">
        <w:rPr>
          <w:lang w:val="it-IT"/>
        </w:rPr>
        <w:t>Subscription</w:t>
      </w:r>
      <w:r w:rsidR="001A3EC5" w:rsidRPr="00451078">
        <w:rPr>
          <w:lang w:val="it-IT"/>
        </w:rPr>
        <w:t>”</w:t>
      </w:r>
      <w:r w:rsidRPr="00451078">
        <w:rPr>
          <w:lang w:val="it-IT"/>
        </w:rPr>
        <w:t xml:space="preserve"> annuale, gli ordini verranno fatturati immediatamente ai clienti o ai loro rivenditori. Per</w:t>
      </w:r>
      <w:r w:rsidR="00E72309" w:rsidRPr="00451078">
        <w:rPr>
          <w:lang w:val="it-IT"/>
        </w:rPr>
        <w:t> </w:t>
      </w:r>
      <w:r w:rsidRPr="00451078">
        <w:rPr>
          <w:lang w:val="it-IT"/>
        </w:rPr>
        <w:t>l</w:t>
      </w:r>
      <w:r w:rsidR="004525CA">
        <w:rPr>
          <w:lang w:val="it-IT"/>
        </w:rPr>
        <w:t>’</w:t>
      </w:r>
      <w:r w:rsidRPr="00451078">
        <w:rPr>
          <w:rFonts w:cs="Tahoma"/>
          <w:szCs w:val="18"/>
          <w:lang w:val="it-IT"/>
        </w:rPr>
        <w:t xml:space="preserve">opzione di abbonamento con scadenza identica, il </w:t>
      </w:r>
      <w:r w:rsidRPr="00451078">
        <w:rPr>
          <w:lang w:val="it-IT"/>
        </w:rPr>
        <w:t>primo Impegno Annuale Allocato verrà fatturato immediatamente e i futuri Impegni Annuali Allocati verranno fatturati in occasione della ricorrenza annuale della data</w:t>
      </w:r>
      <w:r w:rsidR="00E72309" w:rsidRPr="00451078">
        <w:rPr>
          <w:lang w:val="it-IT"/>
        </w:rPr>
        <w:t> </w:t>
      </w:r>
      <w:r w:rsidRPr="00451078">
        <w:rPr>
          <w:lang w:val="it-IT"/>
        </w:rPr>
        <w:t>di entrata in vigore dell</w:t>
      </w:r>
      <w:r w:rsidR="004525CA">
        <w:rPr>
          <w:lang w:val="it-IT"/>
        </w:rPr>
        <w:t>’</w:t>
      </w:r>
      <w:r w:rsidRPr="00451078">
        <w:rPr>
          <w:lang w:val="it-IT"/>
        </w:rPr>
        <w:t>iscrizione. In alternativa, le società potranno scegliere di pagare l</w:t>
      </w:r>
      <w:r w:rsidR="004525CA">
        <w:rPr>
          <w:lang w:val="it-IT"/>
        </w:rPr>
        <w:t>’</w:t>
      </w:r>
      <w:r w:rsidRPr="00451078">
        <w:rPr>
          <w:lang w:val="it-IT"/>
        </w:rPr>
        <w:t>intero Impegno Monetario all</w:t>
      </w:r>
      <w:r w:rsidR="004525CA">
        <w:rPr>
          <w:lang w:val="it-IT"/>
        </w:rPr>
        <w:t>’</w:t>
      </w:r>
      <w:r w:rsidRPr="00451078">
        <w:rPr>
          <w:lang w:val="it-IT"/>
        </w:rPr>
        <w:t>atto dell</w:t>
      </w:r>
      <w:r w:rsidR="004525CA">
        <w:rPr>
          <w:lang w:val="it-IT"/>
        </w:rPr>
        <w:t>’</w:t>
      </w:r>
      <w:r w:rsidRPr="00451078">
        <w:rPr>
          <w:lang w:val="it-IT"/>
        </w:rPr>
        <w:t>effettuazione dell</w:t>
      </w:r>
      <w:r w:rsidR="004525CA">
        <w:rPr>
          <w:lang w:val="it-IT"/>
        </w:rPr>
        <w:t>’</w:t>
      </w:r>
      <w:r w:rsidRPr="00451078">
        <w:rPr>
          <w:lang w:val="it-IT"/>
        </w:rPr>
        <w:t>ordine iniziale.</w:t>
      </w:r>
    </w:p>
    <w:p w:rsidR="006A5DAE" w:rsidRPr="00451078" w:rsidRDefault="006A5DAE" w:rsidP="006A5DAE">
      <w:pPr>
        <w:rPr>
          <w:lang w:val="it-IT"/>
        </w:rPr>
      </w:pPr>
    </w:p>
    <w:p w:rsidR="006A5DAE" w:rsidRPr="00451078" w:rsidRDefault="006A5DAE" w:rsidP="004525CA">
      <w:pPr>
        <w:rPr>
          <w:lang w:val="it-IT"/>
        </w:rPr>
      </w:pPr>
      <w:r w:rsidRPr="00451078">
        <w:rPr>
          <w:lang w:val="it-IT"/>
        </w:rPr>
        <w:t>Ogni mese Microsoft dedurrà dall</w:t>
      </w:r>
      <w:r w:rsidR="004525CA">
        <w:rPr>
          <w:lang w:val="it-IT"/>
        </w:rPr>
        <w:t>’</w:t>
      </w:r>
      <w:r w:rsidRPr="00451078">
        <w:rPr>
          <w:lang w:val="it-IT"/>
        </w:rPr>
        <w:t>Impegno Annuale Allocato il valore monetario corrispondente all</w:t>
      </w:r>
      <w:r w:rsidR="004525CA">
        <w:rPr>
          <w:lang w:val="it-IT"/>
        </w:rPr>
        <w:t>’</w:t>
      </w:r>
      <w:r w:rsidRPr="00451078">
        <w:rPr>
          <w:lang w:val="it-IT"/>
        </w:rPr>
        <w:t>utilizzo dei Servizi di Windows Azure da parte di una società. Dopo che il saldo relativo all</w:t>
      </w:r>
      <w:r w:rsidR="004525CA">
        <w:rPr>
          <w:lang w:val="it-IT"/>
        </w:rPr>
        <w:t>’</w:t>
      </w:r>
      <w:r w:rsidRPr="00451078">
        <w:rPr>
          <w:lang w:val="it-IT"/>
        </w:rPr>
        <w:t>Impegno Annuale Allocato della società è stato esaurito, qualsiasi utilizzo aggiuntivo per quel mese e per i mesi residui per l</w:t>
      </w:r>
      <w:r w:rsidR="004525CA">
        <w:rPr>
          <w:lang w:val="it-IT"/>
        </w:rPr>
        <w:t>’</w:t>
      </w:r>
      <w:r w:rsidRPr="00451078">
        <w:rPr>
          <w:lang w:val="it-IT"/>
        </w:rPr>
        <w:t xml:space="preserve">opzione </w:t>
      </w:r>
      <w:r w:rsidR="001A3EC5" w:rsidRPr="00451078">
        <w:rPr>
          <w:lang w:val="it-IT"/>
        </w:rPr>
        <w:t>“</w:t>
      </w:r>
      <w:r w:rsidRPr="00451078">
        <w:rPr>
          <w:lang w:val="it-IT"/>
        </w:rPr>
        <w:t>Subscription</w:t>
      </w:r>
      <w:r w:rsidR="001A3EC5" w:rsidRPr="00451078">
        <w:rPr>
          <w:lang w:val="it-IT"/>
        </w:rPr>
        <w:t>”</w:t>
      </w:r>
      <w:r w:rsidRPr="00451078">
        <w:rPr>
          <w:lang w:val="it-IT"/>
        </w:rPr>
        <w:t xml:space="preserve"> annuale o</w:t>
      </w:r>
      <w:r w:rsidR="00E72309" w:rsidRPr="00451078">
        <w:rPr>
          <w:lang w:val="it-IT"/>
        </w:rPr>
        <w:t> </w:t>
      </w:r>
      <w:r w:rsidRPr="00451078">
        <w:rPr>
          <w:lang w:val="it-IT"/>
        </w:rPr>
        <w:t>dei mesi residui dell</w:t>
      </w:r>
      <w:r w:rsidR="004525CA">
        <w:rPr>
          <w:lang w:val="it-IT"/>
        </w:rPr>
        <w:t>’</w:t>
      </w:r>
      <w:r w:rsidRPr="00451078">
        <w:rPr>
          <w:lang w:val="it-IT"/>
        </w:rPr>
        <w:t>anno corrente dell</w:t>
      </w:r>
      <w:r w:rsidR="004525CA">
        <w:rPr>
          <w:lang w:val="it-IT"/>
        </w:rPr>
        <w:t>’</w:t>
      </w:r>
      <w:r w:rsidRPr="00451078">
        <w:rPr>
          <w:lang w:val="it-IT"/>
        </w:rPr>
        <w:t>iscrizione per l</w:t>
      </w:r>
      <w:r w:rsidR="004525CA">
        <w:rPr>
          <w:lang w:val="it-IT"/>
        </w:rPr>
        <w:t>’</w:t>
      </w:r>
      <w:r w:rsidRPr="00451078">
        <w:rPr>
          <w:lang w:val="it-IT"/>
        </w:rPr>
        <w:t>opzione con scadenza identica verrà fatturato in base alle Tariffe di Consumo. Qualora una società scelga l</w:t>
      </w:r>
      <w:r w:rsidR="004525CA">
        <w:rPr>
          <w:lang w:val="it-IT"/>
        </w:rPr>
        <w:t>’</w:t>
      </w:r>
      <w:r w:rsidRPr="00451078">
        <w:rPr>
          <w:lang w:val="it-IT"/>
        </w:rPr>
        <w:t xml:space="preserve">opzione </w:t>
      </w:r>
      <w:r w:rsidR="001A3EC5" w:rsidRPr="00451078">
        <w:rPr>
          <w:lang w:val="it-IT"/>
        </w:rPr>
        <w:t>“</w:t>
      </w:r>
      <w:r w:rsidRPr="00451078">
        <w:rPr>
          <w:lang w:val="it-IT"/>
        </w:rPr>
        <w:t>Subscription</w:t>
      </w:r>
      <w:r w:rsidR="001A3EC5" w:rsidRPr="00451078">
        <w:rPr>
          <w:lang w:val="it-IT"/>
        </w:rPr>
        <w:t>”</w:t>
      </w:r>
      <w:r w:rsidRPr="00451078">
        <w:rPr>
          <w:lang w:val="it-IT"/>
        </w:rPr>
        <w:t xml:space="preserve"> annuale, l</w:t>
      </w:r>
      <w:r w:rsidR="004525CA">
        <w:rPr>
          <w:lang w:val="it-IT"/>
        </w:rPr>
        <w:t>’</w:t>
      </w:r>
      <w:r w:rsidRPr="00451078">
        <w:rPr>
          <w:lang w:val="it-IT"/>
        </w:rPr>
        <w:t>eventuale utilizzo in base alle Tariffe di Consumo verrà fatturato alla società o al rivenditore al termine di ciascun trimestre dell</w:t>
      </w:r>
      <w:r w:rsidR="004525CA">
        <w:rPr>
          <w:lang w:val="it-IT"/>
        </w:rPr>
        <w:t>’</w:t>
      </w:r>
      <w:r w:rsidRPr="00451078">
        <w:rPr>
          <w:lang w:val="it-IT"/>
        </w:rPr>
        <w:t>iscrizione e alla scadenza del periodo di validità dell</w:t>
      </w:r>
      <w:r w:rsidR="004525CA">
        <w:rPr>
          <w:lang w:val="it-IT"/>
        </w:rPr>
        <w:t>’</w:t>
      </w:r>
      <w:r w:rsidRPr="00451078">
        <w:rPr>
          <w:lang w:val="it-IT"/>
        </w:rPr>
        <w:t>abbonamento. Qualora una società scelga l</w:t>
      </w:r>
      <w:r w:rsidR="004525CA">
        <w:rPr>
          <w:lang w:val="it-IT"/>
        </w:rPr>
        <w:t>’</w:t>
      </w:r>
      <w:r w:rsidRPr="00451078">
        <w:rPr>
          <w:lang w:val="it-IT"/>
        </w:rPr>
        <w:t>opzione di abbonamento con scadenza identica, l</w:t>
      </w:r>
      <w:r w:rsidR="004525CA">
        <w:rPr>
          <w:lang w:val="it-IT"/>
        </w:rPr>
        <w:t>’</w:t>
      </w:r>
      <w:r w:rsidRPr="00451078">
        <w:rPr>
          <w:lang w:val="it-IT"/>
        </w:rPr>
        <w:t>eventuale utilizzo in base alle Tariffe di Consumo verrà fatturato alla società o al rivenditore al</w:t>
      </w:r>
      <w:r w:rsidR="00E72309" w:rsidRPr="00451078">
        <w:rPr>
          <w:lang w:val="it-IT"/>
        </w:rPr>
        <w:t> </w:t>
      </w:r>
      <w:r w:rsidRPr="00451078">
        <w:rPr>
          <w:lang w:val="it-IT"/>
        </w:rPr>
        <w:t>termine di ciascun trimestre dell</w:t>
      </w:r>
      <w:r w:rsidR="004525CA">
        <w:rPr>
          <w:lang w:val="it-IT"/>
        </w:rPr>
        <w:t>’</w:t>
      </w:r>
      <w:r w:rsidRPr="00451078">
        <w:rPr>
          <w:lang w:val="it-IT"/>
        </w:rPr>
        <w:t>iscrizione.</w:t>
      </w:r>
      <w:r w:rsidR="00082E1C" w:rsidRPr="00451078">
        <w:rPr>
          <w:lang w:val="it-IT"/>
        </w:rPr>
        <w:t xml:space="preserve"> </w:t>
      </w:r>
    </w:p>
    <w:p w:rsidR="006A5DAE" w:rsidRPr="00451078" w:rsidRDefault="006A5DAE" w:rsidP="006A5DAE">
      <w:pPr>
        <w:rPr>
          <w:lang w:val="it-IT"/>
        </w:rPr>
      </w:pPr>
    </w:p>
    <w:p w:rsidR="006A5DAE" w:rsidRPr="00451078" w:rsidRDefault="006A5DAE" w:rsidP="004525CA">
      <w:pPr>
        <w:rPr>
          <w:lang w:val="it-IT"/>
        </w:rPr>
      </w:pPr>
      <w:r w:rsidRPr="00451078">
        <w:rPr>
          <w:lang w:val="it-IT"/>
        </w:rPr>
        <w:t>L</w:t>
      </w:r>
      <w:r w:rsidR="004525CA">
        <w:rPr>
          <w:lang w:val="it-IT"/>
        </w:rPr>
        <w:t>’</w:t>
      </w:r>
      <w:r w:rsidRPr="00451078">
        <w:rPr>
          <w:lang w:val="it-IT"/>
        </w:rPr>
        <w:t>utilizzo dei Servizi di Windows Azure dopo la scadenza o il termine del periodo di validità dell</w:t>
      </w:r>
      <w:r w:rsidR="004525CA">
        <w:rPr>
          <w:lang w:val="it-IT"/>
        </w:rPr>
        <w:t>’</w:t>
      </w:r>
      <w:r w:rsidRPr="00451078">
        <w:rPr>
          <w:lang w:val="it-IT"/>
        </w:rPr>
        <w:t>abbonamento di una società verrà fatturato alla società o al rivenditore in base alle Tariffe di Consumo con cadenza trimestrale.</w:t>
      </w:r>
    </w:p>
    <w:p w:rsidR="006A5DAE" w:rsidRPr="00451078" w:rsidRDefault="006A5DAE" w:rsidP="006A5DAE">
      <w:pPr>
        <w:rPr>
          <w:lang w:val="it-IT"/>
        </w:rPr>
      </w:pPr>
    </w:p>
    <w:p w:rsidR="006A5DAE" w:rsidRPr="00451078" w:rsidRDefault="006A5DAE" w:rsidP="004525CA">
      <w:pPr>
        <w:rPr>
          <w:lang w:val="it-IT"/>
        </w:rPr>
      </w:pPr>
      <w:r w:rsidRPr="00451078">
        <w:rPr>
          <w:lang w:val="it-IT"/>
        </w:rPr>
        <w:t>Microsoft potrà abbassare i prezzi per i singoli Servizi di Windows Azure durante il periodo di validità dell</w:t>
      </w:r>
      <w:r w:rsidR="004525CA">
        <w:rPr>
          <w:lang w:val="it-IT"/>
        </w:rPr>
        <w:t>’</w:t>
      </w:r>
      <w:r w:rsidRPr="00451078">
        <w:rPr>
          <w:lang w:val="it-IT"/>
        </w:rPr>
        <w:t>iscrizione di</w:t>
      </w:r>
      <w:r w:rsidR="00E72309" w:rsidRPr="00451078">
        <w:rPr>
          <w:lang w:val="it-IT"/>
        </w:rPr>
        <w:t> </w:t>
      </w:r>
      <w:r w:rsidRPr="00451078">
        <w:rPr>
          <w:lang w:val="it-IT"/>
        </w:rPr>
        <w:t>una società.</w:t>
      </w:r>
      <w:r w:rsidR="00082E1C" w:rsidRPr="00451078">
        <w:rPr>
          <w:lang w:val="it-IT"/>
        </w:rPr>
        <w:t xml:space="preserve"> </w:t>
      </w:r>
      <w:r w:rsidRPr="00451078">
        <w:rPr>
          <w:lang w:val="it-IT"/>
        </w:rPr>
        <w:t>Per le società che acquistano i Servizi di Windows Azure direttamente da Microsoft, l</w:t>
      </w:r>
      <w:r w:rsidR="004525CA">
        <w:rPr>
          <w:lang w:val="it-IT"/>
        </w:rPr>
        <w:t>’</w:t>
      </w:r>
      <w:r w:rsidRPr="00451078">
        <w:rPr>
          <w:lang w:val="it-IT"/>
        </w:rPr>
        <w:t>Elenco Prezzi Cliente (Customer Price Sheet) potrà indicare un prezzo maggiore al prezzo corrente in quel momento. Microsoft concederà i prezzi inferiori a quelle società durante il periodo in cui sono in vigore. Microsoft comunicherà alle società</w:t>
      </w:r>
      <w:r w:rsidR="00856480" w:rsidRPr="00451078">
        <w:rPr>
          <w:lang w:val="it-IT"/>
        </w:rPr>
        <w:t> </w:t>
      </w:r>
      <w:r w:rsidRPr="00451078">
        <w:rPr>
          <w:lang w:val="it-IT"/>
        </w:rPr>
        <w:t>eventuali variazioni di questo tipo.</w:t>
      </w:r>
    </w:p>
    <w:p w:rsidR="006A5DAE" w:rsidRDefault="006A5DAE" w:rsidP="006A5DAE">
      <w:pPr>
        <w:rPr>
          <w:lang w:val="it-IT"/>
        </w:rPr>
      </w:pPr>
    </w:p>
    <w:p w:rsidR="00DE41E7" w:rsidRDefault="00DE41E7" w:rsidP="006A5DAE">
      <w:pPr>
        <w:rPr>
          <w:lang w:val="it-IT"/>
        </w:rPr>
      </w:pPr>
    </w:p>
    <w:p w:rsidR="00DE41E7" w:rsidRPr="00451078" w:rsidRDefault="00DE41E7" w:rsidP="006A5DAE">
      <w:pPr>
        <w:rPr>
          <w:lang w:val="it-IT"/>
        </w:rPr>
      </w:pPr>
    </w:p>
    <w:p w:rsidR="006A5DAE" w:rsidRPr="00451078" w:rsidRDefault="006A5DAE" w:rsidP="004525CA">
      <w:pPr>
        <w:rPr>
          <w:lang w:val="it-IT"/>
        </w:rPr>
      </w:pPr>
      <w:r w:rsidRPr="00451078">
        <w:rPr>
          <w:rFonts w:cs="Tahoma"/>
          <w:szCs w:val="18"/>
          <w:lang w:val="it-IT"/>
        </w:rPr>
        <w:lastRenderedPageBreak/>
        <w:t>I prezzi e le condizioni di pagamento per gli abbonamenti acquistati presso i rivenditori sono stabiliti tramite un contratto tra la società e il suo rivenditore.</w:t>
      </w:r>
      <w:r w:rsidR="00082E1C" w:rsidRPr="00451078">
        <w:rPr>
          <w:rFonts w:cs="Tahoma"/>
          <w:szCs w:val="18"/>
          <w:lang w:val="it-IT"/>
        </w:rPr>
        <w:t xml:space="preserve"> </w:t>
      </w:r>
      <w:r w:rsidRPr="00451078">
        <w:rPr>
          <w:rFonts w:cs="Tahoma"/>
          <w:szCs w:val="18"/>
          <w:lang w:val="it-IT"/>
        </w:rPr>
        <w:t xml:space="preserve">Il </w:t>
      </w:r>
      <w:r w:rsidRPr="00451078">
        <w:rPr>
          <w:iCs/>
          <w:lang w:val="it-IT"/>
        </w:rPr>
        <w:t>rivenditore di una società fornirà informazioni aggiuntive relativamente alle procedure di effettuazione degli ordini per i Servizi Windows Azure.</w:t>
      </w:r>
      <w:r w:rsidR="00082E1C" w:rsidRPr="00451078">
        <w:rPr>
          <w:iCs/>
          <w:lang w:val="it-IT"/>
        </w:rPr>
        <w:t xml:space="preserve"> </w:t>
      </w:r>
      <w:r w:rsidRPr="00451078">
        <w:rPr>
          <w:iCs/>
          <w:lang w:val="it-IT"/>
        </w:rPr>
        <w:t xml:space="preserve">I prezzi e le condizioni di fatturazione per tutti i Servizi di Windows Azure saranno disciplinati da un contratto specifico tra la società e il relativo rivenditore. </w:t>
      </w:r>
      <w:r w:rsidRPr="00451078">
        <w:rPr>
          <w:lang w:val="it-IT"/>
        </w:rPr>
        <w:t>Microsoft potrà ribassare i prezzi per i singoli Servizi di Windows Azure durante il periodo di validità dell</w:t>
      </w:r>
      <w:r w:rsidR="004525CA">
        <w:rPr>
          <w:lang w:val="it-IT"/>
        </w:rPr>
        <w:t>’</w:t>
      </w:r>
      <w:r w:rsidRPr="00451078">
        <w:rPr>
          <w:lang w:val="it-IT"/>
        </w:rPr>
        <w:t>iscrizione di</w:t>
      </w:r>
      <w:r w:rsidR="002B279A" w:rsidRPr="00451078">
        <w:rPr>
          <w:lang w:val="it-IT"/>
        </w:rPr>
        <w:t> </w:t>
      </w:r>
      <w:r w:rsidRPr="00451078">
        <w:rPr>
          <w:lang w:val="it-IT"/>
        </w:rPr>
        <w:t>una società e potrà concedere i prezzi inferiori al rivenditore della società durante il periodo in cui sono in vigore. Microsoft comunicherà al rivenditore della società eventuali variazioni di questo tipo. La società e il rivenditore stabiliranno il prezzo effettivo e l</w:t>
      </w:r>
      <w:r w:rsidR="004525CA">
        <w:rPr>
          <w:lang w:val="it-IT"/>
        </w:rPr>
        <w:t>’</w:t>
      </w:r>
      <w:r w:rsidRPr="00451078">
        <w:rPr>
          <w:lang w:val="it-IT"/>
        </w:rPr>
        <w:t>applicabilità di qualsiasi variazione di prezzo.</w:t>
      </w:r>
    </w:p>
    <w:p w:rsidR="00E44188" w:rsidRPr="00451078" w:rsidRDefault="00E44188" w:rsidP="006A5DAE">
      <w:pPr>
        <w:rPr>
          <w:lang w:val="it-IT"/>
        </w:rPr>
      </w:pPr>
    </w:p>
    <w:p w:rsidR="00776E3B" w:rsidRPr="00451078" w:rsidRDefault="005242EC" w:rsidP="005242EC">
      <w:pPr>
        <w:spacing w:after="60"/>
        <w:outlineLvl w:val="1"/>
        <w:rPr>
          <w:lang w:val="it-IT"/>
        </w:rPr>
      </w:pPr>
      <w:r w:rsidRPr="00451078">
        <w:rPr>
          <w:rFonts w:cs="Tahoma"/>
          <w:b/>
          <w:sz w:val="20"/>
          <w:szCs w:val="18"/>
          <w:lang w:val="it-IT"/>
        </w:rPr>
        <w:t>Tariffe di Impegno per Windows Azure.</w:t>
      </w:r>
    </w:p>
    <w:p w:rsidR="00776E3B" w:rsidRPr="00451078" w:rsidRDefault="006A5DAE" w:rsidP="004525CA">
      <w:pPr>
        <w:outlineLvl w:val="1"/>
        <w:rPr>
          <w:lang w:val="it-IT"/>
        </w:rPr>
      </w:pPr>
      <w:r w:rsidRPr="00451078">
        <w:rPr>
          <w:rFonts w:cs="Tahoma"/>
          <w:szCs w:val="18"/>
          <w:lang w:val="it-IT"/>
        </w:rPr>
        <w:t>Le Tariffe di Impegno delle società per i Servizi di Windows Azure si basano sul Livello di Impegno Monetario di</w:t>
      </w:r>
      <w:r w:rsidR="002B279A" w:rsidRPr="00451078">
        <w:rPr>
          <w:rFonts w:cs="Tahoma"/>
          <w:szCs w:val="18"/>
          <w:lang w:val="it-IT"/>
        </w:rPr>
        <w:t> </w:t>
      </w:r>
      <w:r w:rsidRPr="00451078">
        <w:rPr>
          <w:rFonts w:cs="Tahoma"/>
          <w:szCs w:val="18"/>
          <w:lang w:val="it-IT"/>
        </w:rPr>
        <w:t>Windows Azure e sul livello di prezzo dell</w:t>
      </w:r>
      <w:r w:rsidR="004525CA">
        <w:rPr>
          <w:rFonts w:cs="Tahoma"/>
          <w:szCs w:val="18"/>
          <w:lang w:val="it-IT"/>
        </w:rPr>
        <w:t>’</w:t>
      </w:r>
      <w:r w:rsidRPr="00451078">
        <w:rPr>
          <w:rFonts w:cs="Tahoma"/>
          <w:szCs w:val="18"/>
          <w:lang w:val="it-IT"/>
        </w:rPr>
        <w:t>iscrizione. Il Livello di Impegno Monetario per Windows Azure è determinato dalla quantità annuale di Impegni Monetari per Windows Azure della società (vale a dire, l</w:t>
      </w:r>
      <w:r w:rsidR="004525CA">
        <w:rPr>
          <w:rFonts w:cs="Tahoma"/>
          <w:szCs w:val="18"/>
          <w:lang w:val="it-IT"/>
        </w:rPr>
        <w:t>’</w:t>
      </w:r>
      <w:r w:rsidRPr="00451078">
        <w:rPr>
          <w:rFonts w:cs="Tahoma"/>
          <w:szCs w:val="18"/>
          <w:lang w:val="it-IT"/>
        </w:rPr>
        <w:t>importo monetario totale che la società si impegna a soddisfare durante il periodo di validità dell</w:t>
      </w:r>
      <w:r w:rsidR="004525CA">
        <w:rPr>
          <w:rFonts w:cs="Tahoma"/>
          <w:szCs w:val="18"/>
          <w:lang w:val="it-IT"/>
        </w:rPr>
        <w:t>’</w:t>
      </w:r>
      <w:r w:rsidRPr="00451078">
        <w:rPr>
          <w:rFonts w:cs="Tahoma"/>
          <w:szCs w:val="18"/>
          <w:lang w:val="it-IT"/>
        </w:rPr>
        <w:t xml:space="preserve">abbonamento a Windows Azure) e corrisponde allo sconto specificato nella tabella che segue (espresso come percentuale da detrarre dalle Tariffe di Eccedenza/Consumo di Windows Azure). </w:t>
      </w:r>
    </w:p>
    <w:p w:rsidR="00776E3B" w:rsidRPr="00451078" w:rsidRDefault="00776E3B" w:rsidP="00776E3B">
      <w:pPr>
        <w:ind w:left="720"/>
        <w:outlineLvl w:val="1"/>
        <w:rPr>
          <w:lang w:val="it-IT"/>
        </w:rPr>
      </w:pPr>
    </w:p>
    <w:tbl>
      <w:tblPr>
        <w:tblW w:w="0" w:type="auto"/>
        <w:jc w:val="center"/>
        <w:tblBorders>
          <w:top w:val="single" w:sz="8" w:space="0" w:color="auto"/>
          <w:left w:val="single" w:sz="8" w:space="0" w:color="auto"/>
          <w:bottom w:val="single" w:sz="8" w:space="0" w:color="auto"/>
          <w:right w:val="single" w:sz="8" w:space="0" w:color="auto"/>
          <w:insideH w:val="single" w:sz="8" w:space="0" w:color="auto"/>
          <w:insideV w:val="single" w:sz="8" w:space="0" w:color="auto"/>
        </w:tblBorders>
        <w:tblCellMar>
          <w:left w:w="0" w:type="dxa"/>
          <w:right w:w="0" w:type="dxa"/>
        </w:tblCellMar>
        <w:tblLook w:val="04A0" w:firstRow="1" w:lastRow="0" w:firstColumn="1" w:lastColumn="0" w:noHBand="0" w:noVBand="1"/>
      </w:tblPr>
      <w:tblGrid>
        <w:gridCol w:w="2583"/>
        <w:gridCol w:w="2592"/>
        <w:gridCol w:w="2082"/>
      </w:tblGrid>
      <w:tr w:rsidR="00776E3B" w:rsidRPr="00DC1102" w:rsidTr="0044720D">
        <w:trPr>
          <w:trHeight w:val="515"/>
          <w:tblHeader/>
          <w:jc w:val="center"/>
        </w:trPr>
        <w:tc>
          <w:tcPr>
            <w:tcW w:w="2583" w:type="dxa"/>
            <w:tcBorders>
              <w:top w:val="single" w:sz="8" w:space="0" w:color="auto"/>
              <w:left w:val="single" w:sz="8" w:space="0" w:color="auto"/>
              <w:bottom w:val="single" w:sz="8" w:space="0" w:color="auto"/>
              <w:right w:val="single" w:sz="8" w:space="0" w:color="auto"/>
            </w:tcBorders>
            <w:shd w:val="clear" w:color="auto" w:fill="FABF8F"/>
            <w:tcMar>
              <w:top w:w="0" w:type="dxa"/>
              <w:left w:w="108" w:type="dxa"/>
              <w:bottom w:w="0" w:type="dxa"/>
              <w:right w:w="108" w:type="dxa"/>
            </w:tcMar>
            <w:hideMark/>
          </w:tcPr>
          <w:p w:rsidR="00776E3B" w:rsidRPr="00451078" w:rsidRDefault="00776E3B" w:rsidP="002B279A">
            <w:pPr>
              <w:jc w:val="center"/>
              <w:rPr>
                <w:rFonts w:eastAsia="Times New Roman" w:cs="Tahoma"/>
                <w:b/>
                <w:bCs/>
                <w:szCs w:val="18"/>
                <w:lang w:val="it-IT"/>
              </w:rPr>
            </w:pPr>
            <w:r w:rsidRPr="00451078">
              <w:rPr>
                <w:rFonts w:cs="Tahoma"/>
                <w:b/>
                <w:bCs/>
                <w:szCs w:val="18"/>
                <w:lang w:val="it-IT"/>
              </w:rPr>
              <w:t>Livello di Impegno Monetario per Windows</w:t>
            </w:r>
            <w:r w:rsidR="002B279A" w:rsidRPr="00451078">
              <w:rPr>
                <w:rFonts w:cs="Tahoma"/>
                <w:b/>
                <w:bCs/>
                <w:szCs w:val="18"/>
                <w:lang w:val="it-IT"/>
              </w:rPr>
              <w:t> </w:t>
            </w:r>
            <w:r w:rsidRPr="00451078">
              <w:rPr>
                <w:rFonts w:cs="Tahoma"/>
                <w:b/>
                <w:bCs/>
                <w:szCs w:val="18"/>
                <w:lang w:val="it-IT"/>
              </w:rPr>
              <w:t>Azure</w:t>
            </w:r>
          </w:p>
        </w:tc>
        <w:tc>
          <w:tcPr>
            <w:tcW w:w="2592" w:type="dxa"/>
            <w:tcBorders>
              <w:top w:val="single" w:sz="8" w:space="0" w:color="auto"/>
              <w:left w:val="single" w:sz="8" w:space="0" w:color="auto"/>
              <w:bottom w:val="single" w:sz="8" w:space="0" w:color="auto"/>
              <w:right w:val="single" w:sz="8" w:space="0" w:color="auto"/>
            </w:tcBorders>
            <w:shd w:val="clear" w:color="auto" w:fill="FABF8F"/>
            <w:tcMar>
              <w:top w:w="0" w:type="dxa"/>
              <w:left w:w="108" w:type="dxa"/>
              <w:bottom w:w="0" w:type="dxa"/>
              <w:right w:w="108" w:type="dxa"/>
            </w:tcMar>
            <w:hideMark/>
          </w:tcPr>
          <w:p w:rsidR="00776E3B" w:rsidRPr="00451078" w:rsidRDefault="00776E3B" w:rsidP="004525CA">
            <w:pPr>
              <w:jc w:val="center"/>
              <w:rPr>
                <w:rFonts w:eastAsia="Times New Roman" w:cs="Tahoma"/>
                <w:b/>
                <w:bCs/>
                <w:szCs w:val="18"/>
                <w:lang w:val="it-IT"/>
              </w:rPr>
            </w:pPr>
            <w:r w:rsidRPr="00451078">
              <w:rPr>
                <w:rFonts w:eastAsia="Times New Roman" w:cs="Tahoma"/>
                <w:b/>
                <w:bCs/>
                <w:szCs w:val="18"/>
                <w:lang w:val="it-IT"/>
              </w:rPr>
              <w:t>Quantità Unitaria Annuale dell</w:t>
            </w:r>
            <w:r w:rsidR="004525CA">
              <w:rPr>
                <w:rFonts w:eastAsia="Times New Roman" w:cs="Tahoma"/>
                <w:b/>
                <w:bCs/>
                <w:szCs w:val="18"/>
                <w:lang w:val="it-IT"/>
              </w:rPr>
              <w:t>’</w:t>
            </w:r>
            <w:r w:rsidRPr="00451078">
              <w:rPr>
                <w:rFonts w:eastAsia="Times New Roman" w:cs="Tahoma"/>
                <w:b/>
                <w:bCs/>
                <w:szCs w:val="18"/>
                <w:lang w:val="it-IT"/>
              </w:rPr>
              <w:t>Impegno Monetario per Windows Azure*</w:t>
            </w:r>
          </w:p>
        </w:tc>
        <w:tc>
          <w:tcPr>
            <w:tcW w:w="2082" w:type="dxa"/>
            <w:tcBorders>
              <w:top w:val="single" w:sz="8" w:space="0" w:color="auto"/>
              <w:left w:val="single" w:sz="8" w:space="0" w:color="auto"/>
              <w:bottom w:val="single" w:sz="8" w:space="0" w:color="auto"/>
              <w:right w:val="single" w:sz="8" w:space="0" w:color="auto"/>
            </w:tcBorders>
            <w:shd w:val="clear" w:color="auto" w:fill="FABF8F"/>
            <w:hideMark/>
          </w:tcPr>
          <w:p w:rsidR="00776E3B" w:rsidRPr="00451078" w:rsidRDefault="00776E3B" w:rsidP="002B279A">
            <w:pPr>
              <w:jc w:val="center"/>
              <w:rPr>
                <w:rFonts w:eastAsia="Times New Roman" w:cs="Tahoma"/>
                <w:b/>
                <w:bCs/>
                <w:szCs w:val="18"/>
                <w:lang w:val="it-IT"/>
              </w:rPr>
            </w:pPr>
            <w:r w:rsidRPr="00451078">
              <w:rPr>
                <w:rFonts w:cs="Tahoma"/>
                <w:b/>
                <w:bCs/>
                <w:szCs w:val="18"/>
                <w:lang w:val="it-IT"/>
              </w:rPr>
              <w:t>Sconto da Detrarre dalle Tariffe di</w:t>
            </w:r>
            <w:r w:rsidR="002B279A" w:rsidRPr="00451078">
              <w:rPr>
                <w:rFonts w:cs="Tahoma"/>
                <w:b/>
                <w:bCs/>
                <w:szCs w:val="18"/>
                <w:lang w:val="it-IT"/>
              </w:rPr>
              <w:t> </w:t>
            </w:r>
            <w:r w:rsidRPr="00451078">
              <w:rPr>
                <w:rFonts w:cs="Tahoma"/>
                <w:b/>
                <w:bCs/>
                <w:szCs w:val="18"/>
                <w:lang w:val="it-IT"/>
              </w:rPr>
              <w:t>Consumo</w:t>
            </w:r>
          </w:p>
        </w:tc>
      </w:tr>
      <w:tr w:rsidR="00776E3B" w:rsidRPr="003410C7" w:rsidTr="0044720D">
        <w:trPr>
          <w:trHeight w:val="258"/>
          <w:jc w:val="center"/>
        </w:trPr>
        <w:tc>
          <w:tcPr>
            <w:tcW w:w="2583" w:type="dxa"/>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hideMark/>
          </w:tcPr>
          <w:p w:rsidR="00776E3B" w:rsidRPr="003410C7" w:rsidRDefault="00776E3B" w:rsidP="0044720D">
            <w:pPr>
              <w:spacing w:before="100" w:beforeAutospacing="1" w:after="100" w:afterAutospacing="1"/>
              <w:ind w:right="259"/>
              <w:jc w:val="center"/>
              <w:rPr>
                <w:rFonts w:eastAsia="Times New Roman" w:cs="Tahoma"/>
                <w:szCs w:val="18"/>
              </w:rPr>
            </w:pPr>
            <w:r w:rsidRPr="003410C7">
              <w:rPr>
                <w:rFonts w:eastAsia="Times New Roman" w:cs="Tahoma"/>
                <w:szCs w:val="18"/>
              </w:rPr>
              <w:t>Livello 1</w:t>
            </w:r>
          </w:p>
        </w:tc>
        <w:tc>
          <w:tcPr>
            <w:tcW w:w="2592" w:type="dxa"/>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hideMark/>
          </w:tcPr>
          <w:p w:rsidR="00776E3B" w:rsidRPr="003410C7" w:rsidRDefault="00776E3B" w:rsidP="0044720D">
            <w:pPr>
              <w:spacing w:before="100" w:beforeAutospacing="1" w:after="100" w:afterAutospacing="1"/>
              <w:ind w:right="180"/>
              <w:jc w:val="center"/>
              <w:rPr>
                <w:rFonts w:eastAsia="Times New Roman" w:cs="Tahoma"/>
                <w:szCs w:val="18"/>
              </w:rPr>
            </w:pPr>
            <w:r w:rsidRPr="003410C7">
              <w:rPr>
                <w:rFonts w:eastAsia="Times New Roman" w:cs="Tahoma"/>
                <w:szCs w:val="18"/>
              </w:rPr>
              <w:t>Fino a 1799 Unità</w:t>
            </w:r>
          </w:p>
        </w:tc>
        <w:tc>
          <w:tcPr>
            <w:tcW w:w="2082" w:type="dxa"/>
            <w:tcBorders>
              <w:top w:val="single" w:sz="8" w:space="0" w:color="auto"/>
              <w:left w:val="single" w:sz="8" w:space="0" w:color="auto"/>
              <w:bottom w:val="single" w:sz="8" w:space="0" w:color="auto"/>
              <w:right w:val="single" w:sz="8" w:space="0" w:color="auto"/>
            </w:tcBorders>
            <w:hideMark/>
          </w:tcPr>
          <w:p w:rsidR="00776E3B" w:rsidRPr="003410C7" w:rsidRDefault="00776E3B" w:rsidP="0044720D">
            <w:pPr>
              <w:spacing w:before="100" w:beforeAutospacing="1" w:after="100" w:afterAutospacing="1"/>
              <w:ind w:right="180"/>
              <w:jc w:val="center"/>
              <w:rPr>
                <w:rFonts w:eastAsia="Times New Roman" w:cs="Tahoma"/>
                <w:szCs w:val="18"/>
              </w:rPr>
            </w:pPr>
            <w:r w:rsidRPr="003410C7">
              <w:rPr>
                <w:rFonts w:eastAsia="Times New Roman" w:cs="Tahoma"/>
                <w:szCs w:val="18"/>
              </w:rPr>
              <w:t>23%</w:t>
            </w:r>
          </w:p>
        </w:tc>
      </w:tr>
      <w:tr w:rsidR="00776E3B" w:rsidRPr="003410C7" w:rsidTr="0044720D">
        <w:trPr>
          <w:trHeight w:val="258"/>
          <w:jc w:val="center"/>
        </w:trPr>
        <w:tc>
          <w:tcPr>
            <w:tcW w:w="2583" w:type="dxa"/>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hideMark/>
          </w:tcPr>
          <w:p w:rsidR="00776E3B" w:rsidRPr="003410C7" w:rsidRDefault="00776E3B" w:rsidP="0044720D">
            <w:pPr>
              <w:spacing w:before="100" w:beforeAutospacing="1" w:after="100" w:afterAutospacing="1"/>
              <w:ind w:right="259"/>
              <w:jc w:val="center"/>
              <w:rPr>
                <w:rFonts w:eastAsia="Times New Roman" w:cs="Tahoma"/>
                <w:szCs w:val="18"/>
              </w:rPr>
            </w:pPr>
            <w:r w:rsidRPr="003410C7">
              <w:rPr>
                <w:rFonts w:eastAsia="Times New Roman" w:cs="Tahoma"/>
                <w:szCs w:val="18"/>
              </w:rPr>
              <w:t>Livello 2</w:t>
            </w:r>
          </w:p>
        </w:tc>
        <w:tc>
          <w:tcPr>
            <w:tcW w:w="2592" w:type="dxa"/>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hideMark/>
          </w:tcPr>
          <w:p w:rsidR="00776E3B" w:rsidRPr="003410C7" w:rsidRDefault="00776E3B" w:rsidP="0044720D">
            <w:pPr>
              <w:spacing w:before="100" w:beforeAutospacing="1" w:after="100" w:afterAutospacing="1"/>
              <w:ind w:right="180"/>
              <w:jc w:val="center"/>
              <w:rPr>
                <w:rFonts w:eastAsia="Times New Roman" w:cs="Tahoma"/>
                <w:szCs w:val="18"/>
              </w:rPr>
            </w:pPr>
            <w:r w:rsidRPr="003410C7">
              <w:rPr>
                <w:rFonts w:eastAsia="Times New Roman" w:cs="Tahoma"/>
                <w:szCs w:val="18"/>
              </w:rPr>
              <w:t>1800 - 4799 Unità</w:t>
            </w:r>
          </w:p>
        </w:tc>
        <w:tc>
          <w:tcPr>
            <w:tcW w:w="2082" w:type="dxa"/>
            <w:tcBorders>
              <w:top w:val="single" w:sz="8" w:space="0" w:color="auto"/>
              <w:left w:val="single" w:sz="8" w:space="0" w:color="auto"/>
              <w:bottom w:val="single" w:sz="8" w:space="0" w:color="auto"/>
              <w:right w:val="single" w:sz="8" w:space="0" w:color="auto"/>
            </w:tcBorders>
            <w:hideMark/>
          </w:tcPr>
          <w:p w:rsidR="00776E3B" w:rsidRPr="003410C7" w:rsidRDefault="00776E3B" w:rsidP="0044720D">
            <w:pPr>
              <w:spacing w:before="100" w:beforeAutospacing="1" w:after="100" w:afterAutospacing="1"/>
              <w:ind w:right="180"/>
              <w:jc w:val="center"/>
              <w:rPr>
                <w:rFonts w:eastAsia="Times New Roman" w:cs="Tahoma"/>
                <w:szCs w:val="18"/>
              </w:rPr>
            </w:pPr>
            <w:r w:rsidRPr="003410C7">
              <w:rPr>
                <w:rFonts w:eastAsia="Times New Roman" w:cs="Tahoma"/>
                <w:szCs w:val="18"/>
              </w:rPr>
              <w:t>26%</w:t>
            </w:r>
          </w:p>
        </w:tc>
      </w:tr>
      <w:tr w:rsidR="00776E3B" w:rsidRPr="003410C7" w:rsidTr="0044720D">
        <w:trPr>
          <w:trHeight w:val="258"/>
          <w:jc w:val="center"/>
        </w:trPr>
        <w:tc>
          <w:tcPr>
            <w:tcW w:w="2583" w:type="dxa"/>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hideMark/>
          </w:tcPr>
          <w:p w:rsidR="00776E3B" w:rsidRPr="003410C7" w:rsidRDefault="00776E3B" w:rsidP="0044720D">
            <w:pPr>
              <w:spacing w:before="100" w:beforeAutospacing="1" w:after="100" w:afterAutospacing="1"/>
              <w:ind w:right="259"/>
              <w:jc w:val="center"/>
              <w:rPr>
                <w:rFonts w:eastAsia="Times New Roman" w:cs="Tahoma"/>
                <w:szCs w:val="18"/>
              </w:rPr>
            </w:pPr>
            <w:r w:rsidRPr="003410C7">
              <w:rPr>
                <w:rFonts w:eastAsia="Times New Roman" w:cs="Tahoma"/>
                <w:szCs w:val="18"/>
              </w:rPr>
              <w:t>Livello 3</w:t>
            </w:r>
          </w:p>
        </w:tc>
        <w:tc>
          <w:tcPr>
            <w:tcW w:w="2592" w:type="dxa"/>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hideMark/>
          </w:tcPr>
          <w:p w:rsidR="00776E3B" w:rsidRPr="003410C7" w:rsidRDefault="00776E3B" w:rsidP="0044720D">
            <w:pPr>
              <w:spacing w:before="100" w:beforeAutospacing="1" w:after="100" w:afterAutospacing="1"/>
              <w:ind w:right="180"/>
              <w:jc w:val="center"/>
              <w:rPr>
                <w:rFonts w:eastAsia="Times New Roman" w:cs="Tahoma"/>
                <w:szCs w:val="18"/>
              </w:rPr>
            </w:pPr>
            <w:r w:rsidRPr="003410C7">
              <w:rPr>
                <w:rFonts w:eastAsia="Times New Roman" w:cs="Tahoma"/>
                <w:szCs w:val="18"/>
              </w:rPr>
              <w:t>4800 - 11999 Unità</w:t>
            </w:r>
          </w:p>
        </w:tc>
        <w:tc>
          <w:tcPr>
            <w:tcW w:w="2082" w:type="dxa"/>
            <w:tcBorders>
              <w:top w:val="single" w:sz="8" w:space="0" w:color="auto"/>
              <w:left w:val="single" w:sz="8" w:space="0" w:color="auto"/>
              <w:bottom w:val="single" w:sz="8" w:space="0" w:color="auto"/>
              <w:right w:val="single" w:sz="8" w:space="0" w:color="auto"/>
            </w:tcBorders>
            <w:hideMark/>
          </w:tcPr>
          <w:p w:rsidR="00776E3B" w:rsidRPr="003410C7" w:rsidRDefault="00776E3B" w:rsidP="0044720D">
            <w:pPr>
              <w:spacing w:before="100" w:beforeAutospacing="1" w:after="100" w:afterAutospacing="1"/>
              <w:ind w:right="180"/>
              <w:jc w:val="center"/>
              <w:rPr>
                <w:rFonts w:eastAsia="Times New Roman" w:cs="Tahoma"/>
                <w:szCs w:val="18"/>
              </w:rPr>
            </w:pPr>
            <w:r w:rsidRPr="003410C7">
              <w:rPr>
                <w:rFonts w:eastAsia="Times New Roman" w:cs="Tahoma"/>
                <w:szCs w:val="18"/>
              </w:rPr>
              <w:t>30%</w:t>
            </w:r>
          </w:p>
        </w:tc>
      </w:tr>
      <w:tr w:rsidR="00776E3B" w:rsidRPr="003410C7" w:rsidTr="0044720D">
        <w:trPr>
          <w:trHeight w:val="258"/>
          <w:jc w:val="center"/>
        </w:trPr>
        <w:tc>
          <w:tcPr>
            <w:tcW w:w="2583" w:type="dxa"/>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hideMark/>
          </w:tcPr>
          <w:p w:rsidR="00776E3B" w:rsidRPr="003410C7" w:rsidRDefault="00776E3B" w:rsidP="0044720D">
            <w:pPr>
              <w:spacing w:before="100" w:beforeAutospacing="1" w:after="100" w:afterAutospacing="1"/>
              <w:ind w:right="259"/>
              <w:jc w:val="center"/>
              <w:rPr>
                <w:rFonts w:eastAsia="Times New Roman" w:cs="Tahoma"/>
                <w:szCs w:val="18"/>
              </w:rPr>
            </w:pPr>
            <w:r w:rsidRPr="003410C7">
              <w:rPr>
                <w:rFonts w:eastAsia="Times New Roman" w:cs="Tahoma"/>
                <w:szCs w:val="18"/>
              </w:rPr>
              <w:t>Livello 4</w:t>
            </w:r>
          </w:p>
        </w:tc>
        <w:tc>
          <w:tcPr>
            <w:tcW w:w="2592" w:type="dxa"/>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hideMark/>
          </w:tcPr>
          <w:p w:rsidR="00776E3B" w:rsidRPr="003410C7" w:rsidRDefault="00776E3B" w:rsidP="0044720D">
            <w:pPr>
              <w:spacing w:before="100" w:beforeAutospacing="1" w:after="100" w:afterAutospacing="1"/>
              <w:ind w:right="180"/>
              <w:jc w:val="center"/>
              <w:rPr>
                <w:rFonts w:eastAsia="Times New Roman" w:cs="Tahoma"/>
                <w:szCs w:val="18"/>
              </w:rPr>
            </w:pPr>
            <w:r w:rsidRPr="003410C7">
              <w:rPr>
                <w:rFonts w:eastAsia="Times New Roman" w:cs="Tahoma"/>
                <w:szCs w:val="18"/>
              </w:rPr>
              <w:t>Oltre 12000 Unità</w:t>
            </w:r>
          </w:p>
        </w:tc>
        <w:tc>
          <w:tcPr>
            <w:tcW w:w="2082" w:type="dxa"/>
            <w:tcBorders>
              <w:top w:val="single" w:sz="8" w:space="0" w:color="auto"/>
              <w:left w:val="single" w:sz="8" w:space="0" w:color="auto"/>
              <w:bottom w:val="single" w:sz="8" w:space="0" w:color="auto"/>
              <w:right w:val="single" w:sz="8" w:space="0" w:color="auto"/>
            </w:tcBorders>
            <w:hideMark/>
          </w:tcPr>
          <w:p w:rsidR="00776E3B" w:rsidRPr="003410C7" w:rsidRDefault="00776E3B" w:rsidP="0044720D">
            <w:pPr>
              <w:spacing w:before="100" w:beforeAutospacing="1" w:after="100" w:afterAutospacing="1"/>
              <w:ind w:right="180"/>
              <w:jc w:val="center"/>
              <w:rPr>
                <w:rFonts w:eastAsia="Times New Roman" w:cs="Tahoma"/>
                <w:szCs w:val="18"/>
              </w:rPr>
            </w:pPr>
            <w:r w:rsidRPr="003410C7">
              <w:rPr>
                <w:rFonts w:eastAsia="Times New Roman" w:cs="Tahoma"/>
                <w:szCs w:val="18"/>
              </w:rPr>
              <w:t>35%</w:t>
            </w:r>
          </w:p>
        </w:tc>
      </w:tr>
    </w:tbl>
    <w:p w:rsidR="006A5DAE" w:rsidRPr="00451078" w:rsidRDefault="00AA0329" w:rsidP="002E57CF">
      <w:pPr>
        <w:ind w:left="1080"/>
        <w:outlineLvl w:val="1"/>
        <w:rPr>
          <w:sz w:val="16"/>
          <w:szCs w:val="16"/>
          <w:lang w:val="it-IT"/>
        </w:rPr>
      </w:pPr>
      <w:r w:rsidRPr="00451078">
        <w:rPr>
          <w:rFonts w:cs="Tahoma"/>
          <w:i/>
          <w:sz w:val="16"/>
          <w:szCs w:val="16"/>
          <w:lang w:val="it-IT"/>
        </w:rPr>
        <w:t>* Unità è un importo monetario nella valuta applicabile</w:t>
      </w:r>
    </w:p>
    <w:p w:rsidR="00776E3B" w:rsidRPr="00451078" w:rsidRDefault="00776E3B" w:rsidP="00776E3B">
      <w:pPr>
        <w:outlineLvl w:val="1"/>
        <w:rPr>
          <w:lang w:val="it-IT"/>
        </w:rPr>
      </w:pPr>
    </w:p>
    <w:p w:rsidR="00776E3B" w:rsidRPr="00451078" w:rsidRDefault="00776E3B" w:rsidP="004525CA">
      <w:pPr>
        <w:outlineLvl w:val="1"/>
        <w:rPr>
          <w:lang w:val="it-IT"/>
        </w:rPr>
      </w:pPr>
      <w:r w:rsidRPr="00451078">
        <w:rPr>
          <w:rFonts w:cs="Tahoma"/>
          <w:szCs w:val="18"/>
          <w:lang w:val="it-IT"/>
        </w:rPr>
        <w:t>Una società potrà incrementare la propria quantità annuale di Impegni Monetari per Windows Azure e qualificarsi per</w:t>
      </w:r>
      <w:r w:rsidR="002B279A" w:rsidRPr="00451078">
        <w:rPr>
          <w:rFonts w:cs="Tahoma"/>
          <w:szCs w:val="18"/>
          <w:lang w:val="it-IT"/>
        </w:rPr>
        <w:t> </w:t>
      </w:r>
      <w:r w:rsidRPr="00451078">
        <w:rPr>
          <w:rFonts w:cs="Tahoma"/>
          <w:szCs w:val="18"/>
          <w:lang w:val="it-IT"/>
        </w:rPr>
        <w:t>un Livello superiore in qualsiasi momento del periodo di validità dell</w:t>
      </w:r>
      <w:r w:rsidR="004525CA">
        <w:rPr>
          <w:rFonts w:cs="Tahoma"/>
          <w:szCs w:val="18"/>
          <w:lang w:val="it-IT"/>
        </w:rPr>
        <w:t>’</w:t>
      </w:r>
      <w:r w:rsidRPr="00451078">
        <w:rPr>
          <w:rFonts w:cs="Tahoma"/>
          <w:szCs w:val="18"/>
          <w:lang w:val="it-IT"/>
        </w:rPr>
        <w:t>abbonamento a Windows Azure.</w:t>
      </w:r>
      <w:r w:rsidR="00082E1C" w:rsidRPr="00451078">
        <w:rPr>
          <w:rFonts w:cs="Tahoma"/>
          <w:szCs w:val="18"/>
          <w:lang w:val="it-IT"/>
        </w:rPr>
        <w:t xml:space="preserve"> </w:t>
      </w:r>
      <w:r w:rsidRPr="00451078">
        <w:rPr>
          <w:rFonts w:cs="Tahoma"/>
          <w:szCs w:val="18"/>
          <w:lang w:val="it-IT"/>
        </w:rPr>
        <w:t>Le nuove Tariffe di Impegno si applicheranno all</w:t>
      </w:r>
      <w:r w:rsidR="004525CA">
        <w:rPr>
          <w:rFonts w:cs="Tahoma"/>
          <w:szCs w:val="18"/>
          <w:lang w:val="it-IT"/>
        </w:rPr>
        <w:t>’</w:t>
      </w:r>
      <w:r w:rsidRPr="00451078">
        <w:rPr>
          <w:rFonts w:cs="Tahoma"/>
          <w:szCs w:val="18"/>
          <w:lang w:val="it-IT"/>
        </w:rPr>
        <w:t>utilizzo dei Servizi di Windows Azure da parte della società a decorrere dal primo giorno del mese solare successivo alla variazione della quantità di licenze annuale dell</w:t>
      </w:r>
      <w:r w:rsidR="004525CA">
        <w:rPr>
          <w:rFonts w:cs="Tahoma"/>
          <w:szCs w:val="18"/>
          <w:lang w:val="it-IT"/>
        </w:rPr>
        <w:t>’</w:t>
      </w:r>
      <w:r w:rsidRPr="00451078">
        <w:rPr>
          <w:rFonts w:cs="Tahoma"/>
          <w:szCs w:val="18"/>
          <w:lang w:val="it-IT"/>
        </w:rPr>
        <w:t>Impegno Monetario per</w:t>
      </w:r>
      <w:r w:rsidR="002B279A" w:rsidRPr="00451078">
        <w:rPr>
          <w:rFonts w:cs="Tahoma"/>
          <w:szCs w:val="18"/>
          <w:lang w:val="it-IT"/>
        </w:rPr>
        <w:t> </w:t>
      </w:r>
      <w:r w:rsidRPr="00451078">
        <w:rPr>
          <w:rFonts w:cs="Tahoma"/>
          <w:szCs w:val="18"/>
          <w:lang w:val="it-IT"/>
        </w:rPr>
        <w:t xml:space="preserve">Windows Azure da parte della società. </w:t>
      </w:r>
    </w:p>
    <w:p w:rsidR="00776E3B" w:rsidRPr="00451078" w:rsidRDefault="00776E3B" w:rsidP="00776E3B">
      <w:pPr>
        <w:outlineLvl w:val="1"/>
        <w:rPr>
          <w:lang w:val="it-IT"/>
        </w:rPr>
      </w:pPr>
    </w:p>
    <w:p w:rsidR="00776E3B" w:rsidRPr="00451078" w:rsidRDefault="00776E3B" w:rsidP="004525CA">
      <w:pPr>
        <w:outlineLvl w:val="1"/>
        <w:rPr>
          <w:lang w:val="it-IT"/>
        </w:rPr>
      </w:pPr>
      <w:r w:rsidRPr="00451078">
        <w:rPr>
          <w:rFonts w:eastAsia="Times New Roman" w:cs="Tahoma"/>
          <w:szCs w:val="18"/>
          <w:lang w:val="it-IT"/>
        </w:rPr>
        <w:t>I prezzi delle Tariffe di Impegno del Livello 1 verranno riportati sull</w:t>
      </w:r>
      <w:r w:rsidR="004525CA">
        <w:rPr>
          <w:rFonts w:eastAsia="Times New Roman" w:cs="Tahoma"/>
          <w:szCs w:val="18"/>
          <w:lang w:val="it-IT"/>
        </w:rPr>
        <w:t>’</w:t>
      </w:r>
      <w:r w:rsidRPr="00451078">
        <w:rPr>
          <w:rFonts w:eastAsia="Times New Roman" w:cs="Tahoma"/>
          <w:szCs w:val="18"/>
          <w:lang w:val="it-IT"/>
        </w:rPr>
        <w:t xml:space="preserve">Elenco Prezzi Cliente. I prezzi effettivi </w:t>
      </w:r>
      <w:r w:rsidRPr="00451078">
        <w:rPr>
          <w:rFonts w:cs="Tahoma"/>
          <w:szCs w:val="18"/>
          <w:lang w:val="it-IT"/>
        </w:rPr>
        <w:t>delle Tariffe</w:t>
      </w:r>
      <w:r w:rsidR="002B279A" w:rsidRPr="00451078">
        <w:rPr>
          <w:rFonts w:cs="Tahoma"/>
          <w:szCs w:val="18"/>
          <w:lang w:val="it-IT"/>
        </w:rPr>
        <w:t> </w:t>
      </w:r>
      <w:r w:rsidRPr="00451078">
        <w:rPr>
          <w:rFonts w:cs="Tahoma"/>
          <w:szCs w:val="18"/>
          <w:lang w:val="it-IT"/>
        </w:rPr>
        <w:t>di Impegno saranno visibili sulla pagina della Vista dell</w:t>
      </w:r>
      <w:r w:rsidR="004525CA">
        <w:rPr>
          <w:rFonts w:cs="Tahoma"/>
          <w:szCs w:val="18"/>
          <w:lang w:val="it-IT"/>
        </w:rPr>
        <w:t>’</w:t>
      </w:r>
      <w:r w:rsidRPr="00451078">
        <w:rPr>
          <w:rFonts w:cs="Tahoma"/>
          <w:szCs w:val="18"/>
          <w:lang w:val="it-IT"/>
        </w:rPr>
        <w:t>Account sul Portale Aziendale di Windows Azure. I</w:t>
      </w:r>
      <w:r w:rsidR="002B279A" w:rsidRPr="00451078">
        <w:rPr>
          <w:rFonts w:cs="Tahoma"/>
          <w:szCs w:val="18"/>
          <w:lang w:val="it-IT"/>
        </w:rPr>
        <w:t> </w:t>
      </w:r>
      <w:r w:rsidRPr="00451078">
        <w:rPr>
          <w:rFonts w:cs="Tahoma"/>
          <w:szCs w:val="18"/>
          <w:lang w:val="it-IT"/>
        </w:rPr>
        <w:t>prezzi e le condizioni di pagamento per i Servizi di Windows Azure acquistati presso i rivenditori sono stabiliti tramite un contratto tra una società e il suo rivenditore.</w:t>
      </w:r>
    </w:p>
    <w:p w:rsidR="0067627F" w:rsidRPr="00451078" w:rsidRDefault="0067627F" w:rsidP="00776E3B">
      <w:pPr>
        <w:rPr>
          <w:lang w:val="it-IT"/>
        </w:rPr>
      </w:pPr>
    </w:p>
    <w:p w:rsidR="00456002" w:rsidRPr="00451078" w:rsidRDefault="00456002" w:rsidP="00456002">
      <w:pPr>
        <w:pStyle w:val="Heading2"/>
        <w:ind w:left="0"/>
        <w:rPr>
          <w:lang w:val="it-IT"/>
        </w:rPr>
      </w:pPr>
      <w:bookmarkStart w:id="736" w:name="_Toc328145984"/>
      <w:bookmarkStart w:id="737" w:name="_Toc336338215"/>
      <w:bookmarkStart w:id="738" w:name="_Toc352234810"/>
      <w:r w:rsidRPr="00451078">
        <w:rPr>
          <w:rFonts w:ascii="Tahoma" w:hAnsi="Tahoma" w:cs="Tahoma"/>
          <w:lang w:val="it-IT"/>
        </w:rPr>
        <w:t>Disponibilità internazionale del Servizio Online</w:t>
      </w:r>
      <w:bookmarkEnd w:id="736"/>
      <w:bookmarkEnd w:id="737"/>
      <w:bookmarkEnd w:id="738"/>
    </w:p>
    <w:p w:rsidR="00456002" w:rsidRPr="00451078" w:rsidRDefault="00456002" w:rsidP="00DF28F2">
      <w:pPr>
        <w:outlineLvl w:val="2"/>
        <w:rPr>
          <w:lang w:val="it-IT"/>
        </w:rPr>
      </w:pPr>
    </w:p>
    <w:p w:rsidR="0067627F" w:rsidRPr="00451078" w:rsidRDefault="00456002" w:rsidP="0067627F">
      <w:pPr>
        <w:outlineLvl w:val="2"/>
        <w:rPr>
          <w:lang w:val="it-IT"/>
        </w:rPr>
      </w:pPr>
      <w:r w:rsidRPr="00451078">
        <w:rPr>
          <w:rFonts w:cs="Tahoma"/>
          <w:szCs w:val="18"/>
          <w:lang w:val="it-IT"/>
        </w:rPr>
        <w:t xml:space="preserve">Per un elenco dei Paesi in cui sono disponibili i Servizi Online, visitare la pagina </w:t>
      </w:r>
      <w:hyperlink r:id="rId24" w:anchor="international" w:history="1">
        <w:r w:rsidRPr="00451078">
          <w:rPr>
            <w:rStyle w:val="Hyperlink"/>
            <w:lang w:val="it-IT"/>
          </w:rPr>
          <w:t>http://www.microsoft.com/online/faq.aspx#international</w:t>
        </w:r>
      </w:hyperlink>
      <w:r w:rsidR="001A3EC5" w:rsidRPr="00451078">
        <w:rPr>
          <w:color w:val="1F497D"/>
          <w:lang w:val="it-IT"/>
        </w:rPr>
        <w:t>.</w:t>
      </w:r>
      <w:r w:rsidR="006903D1" w:rsidRPr="00451078">
        <w:rPr>
          <w:color w:val="1F497D"/>
          <w:lang w:val="it-IT"/>
        </w:rPr>
        <w:t xml:space="preserve"> </w:t>
      </w:r>
    </w:p>
    <w:p w:rsidR="0067627F" w:rsidRPr="00451078" w:rsidRDefault="0067627F" w:rsidP="0067627F">
      <w:pPr>
        <w:outlineLvl w:val="2"/>
        <w:rPr>
          <w:lang w:val="it-IT"/>
        </w:rPr>
      </w:pPr>
    </w:p>
    <w:p w:rsidR="00456002" w:rsidRPr="00451078" w:rsidRDefault="00456002" w:rsidP="00456002">
      <w:pPr>
        <w:pStyle w:val="Heading2"/>
        <w:ind w:left="0"/>
        <w:rPr>
          <w:lang w:val="it-IT"/>
        </w:rPr>
      </w:pPr>
      <w:bookmarkStart w:id="739" w:name="_Toc328145985"/>
      <w:bookmarkStart w:id="740" w:name="_Toc336338216"/>
      <w:bookmarkStart w:id="741" w:name="_Toc352234811"/>
      <w:r w:rsidRPr="00451078">
        <w:rPr>
          <w:rFonts w:ascii="Tahoma" w:hAnsi="Tahoma" w:cs="Tahoma"/>
          <w:lang w:val="it-IT"/>
        </w:rPr>
        <w:t>Condizioni Aggiuntive per i Servizi Online</w:t>
      </w:r>
      <w:bookmarkEnd w:id="739"/>
      <w:bookmarkEnd w:id="740"/>
      <w:bookmarkEnd w:id="741"/>
    </w:p>
    <w:p w:rsidR="00456002" w:rsidRPr="00451078" w:rsidRDefault="00456002" w:rsidP="00DF28F2">
      <w:pPr>
        <w:outlineLvl w:val="2"/>
        <w:rPr>
          <w:lang w:val="it-IT"/>
        </w:rPr>
      </w:pPr>
    </w:p>
    <w:p w:rsidR="00456002" w:rsidRPr="00451078" w:rsidRDefault="00456002" w:rsidP="00CF3FEE">
      <w:pPr>
        <w:rPr>
          <w:lang w:val="it-IT"/>
        </w:rPr>
      </w:pPr>
      <w:r w:rsidRPr="00451078">
        <w:rPr>
          <w:lang w:val="it-IT"/>
        </w:rPr>
        <w:t>La presente Lista dei Prodotti potrà contenere informazioni aggiuntive su prodotti specifici.</w:t>
      </w:r>
      <w:r w:rsidR="00082E1C" w:rsidRPr="00451078">
        <w:rPr>
          <w:lang w:val="it-IT"/>
        </w:rPr>
        <w:t xml:space="preserve"> </w:t>
      </w:r>
      <w:r w:rsidRPr="00451078">
        <w:rPr>
          <w:lang w:val="it-IT"/>
        </w:rPr>
        <w:t>Per ulteriori dettagli, fare</w:t>
      </w:r>
      <w:r w:rsidR="002B279A" w:rsidRPr="00451078">
        <w:rPr>
          <w:lang w:val="it-IT"/>
        </w:rPr>
        <w:t> </w:t>
      </w:r>
      <w:r w:rsidRPr="00451078">
        <w:rPr>
          <w:lang w:val="it-IT"/>
        </w:rPr>
        <w:t>riferimento alle sezioni relative ai prodotti del presente documento.</w:t>
      </w:r>
    </w:p>
    <w:p w:rsidR="00456002" w:rsidRPr="00451078" w:rsidRDefault="00456002" w:rsidP="00CF3FEE">
      <w:pPr>
        <w:rPr>
          <w:lang w:val="it-IT"/>
        </w:rPr>
      </w:pPr>
    </w:p>
    <w:p w:rsidR="00456002" w:rsidRPr="00451078" w:rsidRDefault="00456002" w:rsidP="004525CA">
      <w:pPr>
        <w:rPr>
          <w:lang w:val="it-IT"/>
        </w:rPr>
      </w:pPr>
      <w:r w:rsidRPr="00451078">
        <w:rPr>
          <w:lang w:val="it-IT"/>
        </w:rPr>
        <w:t>Il documento Diritti di Utilizzo del Prodotto disponibile alla pagina http://www.microsoftvolumelicensing.com/userights/PUR.aspx contiene altre condizioni generali e specifiche dei prodotti che disciplinano l</w:t>
      </w:r>
      <w:r w:rsidR="004525CA">
        <w:rPr>
          <w:lang w:val="it-IT"/>
        </w:rPr>
        <w:t>’</w:t>
      </w:r>
      <w:r w:rsidRPr="00451078">
        <w:rPr>
          <w:lang w:val="it-IT"/>
        </w:rPr>
        <w:t>uso dei servizi online.</w:t>
      </w:r>
      <w:r w:rsidR="00082E1C" w:rsidRPr="00451078">
        <w:rPr>
          <w:lang w:val="it-IT"/>
        </w:rPr>
        <w:t xml:space="preserve"> </w:t>
      </w:r>
      <w:r w:rsidRPr="00451078">
        <w:rPr>
          <w:lang w:val="it-IT"/>
        </w:rPr>
        <w:t>I diritti di utilizzo del prodotto relativi ai servizi online sono soggetti a</w:t>
      </w:r>
      <w:r w:rsidR="002B279A" w:rsidRPr="00451078">
        <w:rPr>
          <w:lang w:val="it-IT"/>
        </w:rPr>
        <w:t> </w:t>
      </w:r>
      <w:r w:rsidRPr="00451078">
        <w:rPr>
          <w:lang w:val="it-IT"/>
        </w:rPr>
        <w:t>modifica come illustrato nell</w:t>
      </w:r>
      <w:r w:rsidR="004525CA">
        <w:rPr>
          <w:lang w:val="it-IT"/>
        </w:rPr>
        <w:t>’</w:t>
      </w:r>
      <w:r w:rsidRPr="00451078">
        <w:rPr>
          <w:lang w:val="it-IT"/>
        </w:rPr>
        <w:t>articolo Servizi Online di tale documento.</w:t>
      </w:r>
    </w:p>
    <w:p w:rsidR="00456002" w:rsidRPr="00451078" w:rsidRDefault="00456002" w:rsidP="00CF3FEE">
      <w:pPr>
        <w:rPr>
          <w:lang w:val="it-IT"/>
        </w:rPr>
      </w:pPr>
    </w:p>
    <w:p w:rsidR="002B279A" w:rsidRPr="00451078" w:rsidRDefault="00456002" w:rsidP="005B372B">
      <w:pPr>
        <w:rPr>
          <w:lang w:val="it-IT"/>
        </w:rPr>
      </w:pPr>
      <w:bookmarkStart w:id="742" w:name="_Toc325313160"/>
      <w:r w:rsidRPr="00451078">
        <w:rPr>
          <w:lang w:val="it-IT"/>
        </w:rPr>
        <w:t>I Prezzi e le Condizioni di Pagamento di cui sopra per i Servizi Online non si applicano ai Servizi Online ottenuti ai sensi del Contratto Microsoft Online Subscription.</w:t>
      </w:r>
      <w:r w:rsidR="00082E1C" w:rsidRPr="00451078">
        <w:rPr>
          <w:lang w:val="it-IT"/>
        </w:rPr>
        <w:t xml:space="preserve"> </w:t>
      </w:r>
      <w:r w:rsidRPr="00451078">
        <w:rPr>
          <w:lang w:val="it-IT"/>
        </w:rPr>
        <w:t>Tutte le condizioni applicabili ai Servizi Online ottenuti ai sensi del Contratto Microsoft Online Subscription sono contenute nel contratto stesso e sul Portale per i Clienti dei Microsoft Online Services.</w:t>
      </w:r>
      <w:bookmarkEnd w:id="742"/>
    </w:p>
    <w:p w:rsidR="002B279A" w:rsidRPr="00451078" w:rsidRDefault="002B279A" w:rsidP="002B279A">
      <w:pPr>
        <w:rPr>
          <w:lang w:val="it-IT"/>
        </w:rPr>
      </w:pPr>
    </w:p>
    <w:p w:rsidR="00023FE7" w:rsidRPr="00451078" w:rsidRDefault="00A33112" w:rsidP="008A31E3">
      <w:pPr>
        <w:pStyle w:val="Heading1"/>
        <w:rPr>
          <w:lang w:val="it-IT"/>
        </w:rPr>
      </w:pPr>
      <w:bookmarkStart w:id="743" w:name="_Toc336338217"/>
      <w:bookmarkStart w:id="744" w:name="_Toc352234812"/>
      <w:r w:rsidRPr="00451078">
        <w:rPr>
          <w:lang w:val="it-IT"/>
        </w:rPr>
        <w:lastRenderedPageBreak/>
        <w:t>ARTICOLO 6 - Regole per il Rinnovo di</w:t>
      </w:r>
      <w:r w:rsidR="002B279A" w:rsidRPr="00451078">
        <w:rPr>
          <w:lang w:val="it-IT"/>
        </w:rPr>
        <w:t> </w:t>
      </w:r>
      <w:r w:rsidRPr="00451078">
        <w:rPr>
          <w:lang w:val="it-IT"/>
        </w:rPr>
        <w:t>Software Assurance</w:t>
      </w:r>
      <w:bookmarkEnd w:id="743"/>
      <w:bookmarkEnd w:id="744"/>
    </w:p>
    <w:p w:rsidR="00865A60" w:rsidRPr="00BE79BF" w:rsidRDefault="00865A60" w:rsidP="00865A60">
      <w:pPr>
        <w:rPr>
          <w:sz w:val="24"/>
          <w:szCs w:val="24"/>
          <w:lang w:val="it-IT"/>
        </w:rPr>
      </w:pPr>
    </w:p>
    <w:p w:rsidR="00171817" w:rsidRPr="00451078" w:rsidRDefault="00171817" w:rsidP="00171817">
      <w:pPr>
        <w:pStyle w:val="Heading4"/>
        <w:tabs>
          <w:tab w:val="clear" w:pos="720"/>
          <w:tab w:val="num" w:pos="0"/>
        </w:tabs>
        <w:ind w:left="0" w:firstLine="0"/>
        <w:rPr>
          <w:lang w:val="it-IT"/>
        </w:rPr>
      </w:pPr>
      <w:bookmarkStart w:id="745" w:name="_Toc323159745"/>
      <w:bookmarkStart w:id="746" w:name="_Toc336338218"/>
      <w:bookmarkStart w:id="747" w:name="_Toc352234813"/>
      <w:r w:rsidRPr="00451078">
        <w:rPr>
          <w:rFonts w:ascii="Tahoma" w:hAnsi="Tahoma" w:cs="Tahoma"/>
          <w:sz w:val="24"/>
          <w:lang w:val="it-IT"/>
        </w:rPr>
        <w:t>Licenza Open</w:t>
      </w:r>
      <w:bookmarkEnd w:id="745"/>
      <w:bookmarkEnd w:id="746"/>
      <w:bookmarkEnd w:id="747"/>
    </w:p>
    <w:p w:rsidR="00171817" w:rsidRPr="00451078" w:rsidRDefault="00171817" w:rsidP="00865A60">
      <w:pPr>
        <w:pStyle w:val="Heading4"/>
        <w:tabs>
          <w:tab w:val="clear" w:pos="720"/>
          <w:tab w:val="num" w:pos="0"/>
        </w:tabs>
        <w:spacing w:before="0"/>
        <w:ind w:left="0" w:firstLine="0"/>
        <w:rPr>
          <w:lang w:val="it-IT"/>
        </w:rPr>
      </w:pPr>
    </w:p>
    <w:p w:rsidR="00171817" w:rsidRPr="00451078" w:rsidRDefault="00171817" w:rsidP="005242EC">
      <w:pPr>
        <w:pStyle w:val="StyleHeading22Left138Firstline0"/>
        <w:tabs>
          <w:tab w:val="num" w:pos="0"/>
        </w:tabs>
        <w:ind w:left="0"/>
        <w:jc w:val="left"/>
        <w:rPr>
          <w:lang w:val="it-IT"/>
        </w:rPr>
      </w:pPr>
      <w:r w:rsidRPr="00451078">
        <w:rPr>
          <w:rFonts w:ascii="Tahoma" w:hAnsi="Tahoma" w:cs="Tahoma"/>
          <w:sz w:val="18"/>
          <w:lang w:val="it-IT"/>
        </w:rPr>
        <w:t xml:space="preserve">La copertura Software Assurance ordinata in base a un numero di autorizzazione Open License termina alla scadenza di tale numero. Per effettuare il rinnovo della copertura, le società dovranno presentare al rivenditore un ordine di rinnovo di Software Assurance per tutte le copie di tutti i prodotti per i quali desiderano rinnovare la copertura entro </w:t>
      </w:r>
      <w:r w:rsidR="002B279A" w:rsidRPr="00451078">
        <w:rPr>
          <w:rFonts w:ascii="Tahoma" w:hAnsi="Tahoma" w:cs="Tahoma"/>
          <w:sz w:val="18"/>
          <w:lang w:val="it-IT"/>
        </w:rPr>
        <w:t>I </w:t>
      </w:r>
      <w:r w:rsidRPr="00451078">
        <w:rPr>
          <w:rFonts w:ascii="Tahoma" w:hAnsi="Tahoma" w:cs="Tahoma"/>
          <w:sz w:val="18"/>
          <w:lang w:val="it-IT"/>
        </w:rPr>
        <w:t>90 giorni successivi alla data di scadenza del numero di autorizzazione. Le società potranno ordinare Software Assurance senza dovere contemporaneamente ordinare una Licenza a condizione che la copertura Software Assurance venga rinnovata nella modalità indicata sopra. La nuova copertura Software Assurance inizierà alla data</w:t>
      </w:r>
      <w:r w:rsidR="00856480" w:rsidRPr="00451078">
        <w:rPr>
          <w:rFonts w:ascii="Tahoma" w:hAnsi="Tahoma" w:cs="Tahoma"/>
          <w:sz w:val="18"/>
          <w:lang w:val="it-IT"/>
        </w:rPr>
        <w:t> </w:t>
      </w:r>
      <w:r w:rsidRPr="00451078">
        <w:rPr>
          <w:rFonts w:ascii="Tahoma" w:hAnsi="Tahoma" w:cs="Tahoma"/>
          <w:sz w:val="18"/>
          <w:lang w:val="it-IT"/>
        </w:rPr>
        <w:t>di</w:t>
      </w:r>
      <w:r w:rsidR="002B279A" w:rsidRPr="00451078">
        <w:rPr>
          <w:rFonts w:ascii="Tahoma" w:hAnsi="Tahoma" w:cs="Tahoma"/>
          <w:sz w:val="18"/>
          <w:lang w:val="it-IT"/>
        </w:rPr>
        <w:t> </w:t>
      </w:r>
      <w:r w:rsidRPr="00451078">
        <w:rPr>
          <w:rFonts w:ascii="Tahoma" w:hAnsi="Tahoma" w:cs="Tahoma"/>
          <w:sz w:val="18"/>
          <w:lang w:val="it-IT"/>
        </w:rPr>
        <w:t>entrata in vigore del nuovo numero di autorizzazione.</w:t>
      </w:r>
    </w:p>
    <w:p w:rsidR="00865A60" w:rsidRPr="00451078" w:rsidRDefault="00865A60" w:rsidP="005242EC">
      <w:pPr>
        <w:pStyle w:val="AppendIndentSub"/>
        <w:ind w:left="0"/>
        <w:rPr>
          <w:lang w:val="it-IT"/>
        </w:rPr>
      </w:pPr>
    </w:p>
    <w:p w:rsidR="00171817" w:rsidRPr="00451078" w:rsidRDefault="00171817" w:rsidP="002171C3">
      <w:pPr>
        <w:pStyle w:val="Heading4"/>
        <w:ind w:left="360"/>
        <w:rPr>
          <w:lang w:val="it-IT"/>
        </w:rPr>
      </w:pPr>
      <w:bookmarkStart w:id="748" w:name="_Toc336338219"/>
      <w:bookmarkStart w:id="749" w:name="_Toc352234814"/>
      <w:r w:rsidRPr="00451078">
        <w:rPr>
          <w:rFonts w:ascii="Tahoma" w:hAnsi="Tahoma" w:cs="Tahoma"/>
          <w:sz w:val="24"/>
          <w:lang w:val="it-IT"/>
        </w:rPr>
        <w:t>Open Value 20xx</w:t>
      </w:r>
      <w:bookmarkEnd w:id="748"/>
      <w:bookmarkEnd w:id="749"/>
    </w:p>
    <w:p w:rsidR="00171817" w:rsidRPr="00451078" w:rsidRDefault="00171817" w:rsidP="00171817">
      <w:pPr>
        <w:tabs>
          <w:tab w:val="num" w:pos="0"/>
        </w:tabs>
        <w:rPr>
          <w:lang w:val="it-IT"/>
        </w:rPr>
      </w:pPr>
    </w:p>
    <w:p w:rsidR="00171817" w:rsidRPr="00451078" w:rsidRDefault="00171817" w:rsidP="005242EC">
      <w:pPr>
        <w:keepNext/>
        <w:tabs>
          <w:tab w:val="num" w:pos="720"/>
        </w:tabs>
        <w:spacing w:after="60"/>
        <w:ind w:left="360" w:hanging="360"/>
        <w:outlineLvl w:val="3"/>
        <w:rPr>
          <w:lang w:val="it-IT"/>
        </w:rPr>
      </w:pPr>
      <w:r w:rsidRPr="00451078">
        <w:rPr>
          <w:b/>
          <w:szCs w:val="20"/>
          <w:lang w:val="it-IT"/>
        </w:rPr>
        <w:t xml:space="preserve">Rinnovo della Copertura ai sensi del Medesimo Contratto </w:t>
      </w:r>
    </w:p>
    <w:p w:rsidR="00171817" w:rsidRPr="00451078" w:rsidRDefault="00171817" w:rsidP="004525CA">
      <w:pPr>
        <w:tabs>
          <w:tab w:val="num" w:pos="0"/>
        </w:tabs>
        <w:rPr>
          <w:lang w:val="it-IT"/>
        </w:rPr>
      </w:pPr>
      <w:r w:rsidRPr="00451078">
        <w:rPr>
          <w:rFonts w:cs="Tahoma"/>
          <w:szCs w:val="20"/>
          <w:lang w:val="it-IT"/>
        </w:rPr>
        <w:t>La copertura Software Assurance ordinata ai sensi di un contratto Open Value terminerà alla scadenza o alla risoluzione di tale contratto. Le società riceveranno una comunicazione scritta delle opzioni di rinnovo 60 giorni prima della scadenza del contratto. Le società potranno scegliere di rinnovare il loro contratto per i successivi 36 mesi solari completi. Per rinnovare la copertura Software Assurance, le società dovranno presentare un ordine di rinnovo prima della scadenza del periodo di validità precedente.</w:t>
      </w:r>
      <w:r w:rsidR="00082E1C" w:rsidRPr="00451078">
        <w:rPr>
          <w:rFonts w:cs="Tahoma"/>
          <w:szCs w:val="20"/>
          <w:lang w:val="it-IT"/>
        </w:rPr>
        <w:t xml:space="preserve"> </w:t>
      </w:r>
      <w:r w:rsidRPr="00451078">
        <w:rPr>
          <w:rFonts w:cs="Tahoma"/>
          <w:szCs w:val="20"/>
          <w:lang w:val="it-IT"/>
        </w:rPr>
        <w:t>Qualora una società abbia scelto l</w:t>
      </w:r>
      <w:r w:rsidR="004525CA">
        <w:rPr>
          <w:rFonts w:cs="Tahoma"/>
          <w:szCs w:val="20"/>
          <w:lang w:val="it-IT"/>
        </w:rPr>
        <w:t>’</w:t>
      </w:r>
      <w:r w:rsidRPr="00451078">
        <w:rPr>
          <w:rFonts w:cs="Tahoma"/>
          <w:szCs w:val="20"/>
          <w:lang w:val="it-IT"/>
        </w:rPr>
        <w:t>opzione a livello aziendale, tale</w:t>
      </w:r>
      <w:r w:rsidR="002B279A" w:rsidRPr="00451078">
        <w:rPr>
          <w:rFonts w:cs="Tahoma"/>
          <w:szCs w:val="20"/>
          <w:lang w:val="it-IT"/>
        </w:rPr>
        <w:t> </w:t>
      </w:r>
      <w:r w:rsidRPr="00451078">
        <w:rPr>
          <w:rFonts w:cs="Tahoma"/>
          <w:szCs w:val="20"/>
          <w:lang w:val="it-IT"/>
        </w:rPr>
        <w:t>società dovrà ordinare Software Assurance per tutte le copie dei prodotti per le quali desidera questo tipo di opzione. Qualora una società non abbia scelto l</w:t>
      </w:r>
      <w:r w:rsidR="004525CA">
        <w:rPr>
          <w:rFonts w:cs="Tahoma"/>
          <w:szCs w:val="20"/>
          <w:lang w:val="it-IT"/>
        </w:rPr>
        <w:t>’</w:t>
      </w:r>
      <w:r w:rsidRPr="00451078">
        <w:rPr>
          <w:rFonts w:cs="Tahoma"/>
          <w:szCs w:val="20"/>
          <w:lang w:val="it-IT"/>
        </w:rPr>
        <w:t>opzione a livello aziendale, tale società potrà rinnovare la copertura per qualsiasi numero di licenze a cui ha effettuato in precedenza l</w:t>
      </w:r>
      <w:r w:rsidR="004525CA">
        <w:rPr>
          <w:rFonts w:cs="Tahoma"/>
          <w:szCs w:val="20"/>
          <w:lang w:val="it-IT"/>
        </w:rPr>
        <w:t>’</w:t>
      </w:r>
      <w:r w:rsidRPr="00451078">
        <w:rPr>
          <w:rFonts w:cs="Tahoma"/>
          <w:szCs w:val="20"/>
          <w:lang w:val="it-IT"/>
        </w:rPr>
        <w:t>iscrizione. Ciascun periodo di rinnovo avrà inizio il</w:t>
      </w:r>
      <w:r w:rsidR="002B279A" w:rsidRPr="00451078">
        <w:rPr>
          <w:rFonts w:cs="Tahoma"/>
          <w:szCs w:val="20"/>
          <w:lang w:val="it-IT"/>
        </w:rPr>
        <w:t> </w:t>
      </w:r>
      <w:r w:rsidRPr="00451078">
        <w:rPr>
          <w:rFonts w:cs="Tahoma"/>
          <w:szCs w:val="20"/>
          <w:lang w:val="it-IT"/>
        </w:rPr>
        <w:t>giorno successivo alla scadenza del precedente periodo di validità. Le società potranno ordinare Software Assurance</w:t>
      </w:r>
      <w:r w:rsidR="002B279A" w:rsidRPr="00451078">
        <w:rPr>
          <w:rFonts w:cs="Tahoma"/>
          <w:szCs w:val="20"/>
          <w:lang w:val="it-IT"/>
        </w:rPr>
        <w:t> </w:t>
      </w:r>
      <w:r w:rsidRPr="00451078">
        <w:rPr>
          <w:rFonts w:cs="Tahoma"/>
          <w:szCs w:val="20"/>
          <w:lang w:val="it-IT"/>
        </w:rPr>
        <w:t xml:space="preserve">senza dovere contemporaneamente ordinare una Licenza a condizione che la copertura Software Assurance venga rinnovata nella modalità indicata sopra. </w:t>
      </w:r>
    </w:p>
    <w:p w:rsidR="00171817" w:rsidRPr="00451078" w:rsidRDefault="00171817" w:rsidP="00171817">
      <w:pPr>
        <w:tabs>
          <w:tab w:val="num" w:pos="0"/>
        </w:tabs>
        <w:rPr>
          <w:lang w:val="it-IT"/>
        </w:rPr>
      </w:pPr>
    </w:p>
    <w:p w:rsidR="00171817" w:rsidRPr="00451078" w:rsidRDefault="00171817" w:rsidP="005242EC">
      <w:pPr>
        <w:keepNext/>
        <w:tabs>
          <w:tab w:val="num" w:pos="720"/>
        </w:tabs>
        <w:spacing w:after="60"/>
        <w:ind w:left="360" w:hanging="360"/>
        <w:outlineLvl w:val="3"/>
        <w:rPr>
          <w:lang w:val="it-IT"/>
        </w:rPr>
      </w:pPr>
      <w:r w:rsidRPr="00451078">
        <w:rPr>
          <w:b/>
          <w:szCs w:val="20"/>
          <w:lang w:val="it-IT"/>
        </w:rPr>
        <w:t>Rinnovo della Copertura con un Contratto Separato</w:t>
      </w:r>
    </w:p>
    <w:p w:rsidR="00171817" w:rsidRPr="00451078" w:rsidRDefault="00171817" w:rsidP="004525CA">
      <w:pPr>
        <w:tabs>
          <w:tab w:val="num" w:pos="0"/>
        </w:tabs>
        <w:rPr>
          <w:lang w:val="it-IT"/>
        </w:rPr>
      </w:pPr>
      <w:r w:rsidRPr="00451078">
        <w:rPr>
          <w:rFonts w:cs="Tahoma"/>
          <w:szCs w:val="20"/>
          <w:lang w:val="it-IT"/>
        </w:rPr>
        <w:t>La società potrà rinnovare Software Assurance per qualsiasi prodotto senza dovere ordinare contemporaneamente una Licenza nel caso in cui abbia ottenuto una licenza perpetua e Software Assurance per quel prodotto ai sensi di un</w:t>
      </w:r>
      <w:r w:rsidR="002B279A" w:rsidRPr="00451078">
        <w:rPr>
          <w:rFonts w:cs="Tahoma"/>
          <w:szCs w:val="20"/>
          <w:lang w:val="it-IT"/>
        </w:rPr>
        <w:t> </w:t>
      </w:r>
      <w:r w:rsidRPr="00451078">
        <w:rPr>
          <w:rFonts w:cs="Tahoma"/>
          <w:szCs w:val="20"/>
          <w:lang w:val="it-IT"/>
        </w:rPr>
        <w:t>contratto precedente e il nuovo contratto della società entri in vigore non oltre il giorno successivo alla data di scadenza del contratto precedente.</w:t>
      </w:r>
      <w:r w:rsidR="00082E1C" w:rsidRPr="00451078">
        <w:rPr>
          <w:rFonts w:cs="Tahoma"/>
          <w:szCs w:val="20"/>
          <w:lang w:val="it-IT"/>
        </w:rPr>
        <w:t xml:space="preserve"> </w:t>
      </w:r>
      <w:r w:rsidRPr="00451078">
        <w:rPr>
          <w:rFonts w:cs="Tahoma"/>
          <w:szCs w:val="20"/>
          <w:lang w:val="it-IT"/>
        </w:rPr>
        <w:t>L</w:t>
      </w:r>
      <w:r w:rsidR="004525CA">
        <w:rPr>
          <w:rFonts w:cs="Tahoma"/>
          <w:szCs w:val="20"/>
          <w:lang w:val="it-IT"/>
        </w:rPr>
        <w:t>’</w:t>
      </w:r>
      <w:r w:rsidRPr="00451078">
        <w:rPr>
          <w:rFonts w:cs="Tahoma"/>
          <w:szCs w:val="20"/>
          <w:lang w:val="it-IT"/>
        </w:rPr>
        <w:t>ordine di rinnovo di Software Assurance dovrà essere effettuato prima della scadenza della copertura Software Assurance ai sensi di un contratto precedente, ad eccezione del Contratto Open</w:t>
      </w:r>
      <w:r w:rsidR="002B279A" w:rsidRPr="00451078">
        <w:rPr>
          <w:rFonts w:cs="Tahoma"/>
          <w:szCs w:val="20"/>
          <w:lang w:val="it-IT"/>
        </w:rPr>
        <w:t> </w:t>
      </w:r>
      <w:r w:rsidRPr="00451078">
        <w:rPr>
          <w:rFonts w:cs="Tahoma"/>
          <w:szCs w:val="20"/>
          <w:lang w:val="it-IT"/>
        </w:rPr>
        <w:t>License. In tal caso le società potranno inviare l</w:t>
      </w:r>
      <w:r w:rsidR="004525CA">
        <w:rPr>
          <w:rFonts w:cs="Tahoma"/>
          <w:szCs w:val="20"/>
          <w:lang w:val="it-IT"/>
        </w:rPr>
        <w:t>’</w:t>
      </w:r>
      <w:r w:rsidRPr="00451078">
        <w:rPr>
          <w:rFonts w:cs="Tahoma"/>
          <w:szCs w:val="20"/>
          <w:lang w:val="it-IT"/>
        </w:rPr>
        <w:t xml:space="preserve">ordine fino a 90 giorni dopo la data di scadenza. </w:t>
      </w:r>
    </w:p>
    <w:p w:rsidR="00865A60" w:rsidRPr="00451078" w:rsidRDefault="00865A60" w:rsidP="005242EC">
      <w:pPr>
        <w:tabs>
          <w:tab w:val="num" w:pos="0"/>
        </w:tabs>
        <w:rPr>
          <w:lang w:val="it-IT"/>
        </w:rPr>
      </w:pPr>
    </w:p>
    <w:p w:rsidR="00171817" w:rsidRPr="00451078" w:rsidRDefault="00171817" w:rsidP="002171C3">
      <w:pPr>
        <w:pStyle w:val="Heading4"/>
        <w:ind w:left="360"/>
        <w:rPr>
          <w:lang w:val="it-IT"/>
        </w:rPr>
      </w:pPr>
      <w:bookmarkStart w:id="750" w:name="_Toc323159746"/>
      <w:bookmarkStart w:id="751" w:name="_Toc336338220"/>
      <w:bookmarkStart w:id="752" w:name="_Toc352234815"/>
      <w:r w:rsidRPr="00451078">
        <w:rPr>
          <w:rFonts w:ascii="Tahoma" w:hAnsi="Tahoma" w:cs="Tahoma"/>
          <w:sz w:val="24"/>
          <w:lang w:val="it-IT"/>
        </w:rPr>
        <w:t>Select 20xx</w:t>
      </w:r>
      <w:bookmarkEnd w:id="750"/>
      <w:bookmarkEnd w:id="751"/>
      <w:bookmarkEnd w:id="752"/>
    </w:p>
    <w:p w:rsidR="00171817" w:rsidRPr="00451078" w:rsidRDefault="00171817" w:rsidP="00171817">
      <w:pPr>
        <w:tabs>
          <w:tab w:val="num" w:pos="0"/>
        </w:tabs>
        <w:rPr>
          <w:lang w:val="it-IT"/>
        </w:rPr>
      </w:pPr>
    </w:p>
    <w:p w:rsidR="00171817" w:rsidRPr="00451078" w:rsidRDefault="00171817" w:rsidP="005242EC">
      <w:pPr>
        <w:pStyle w:val="Heading4"/>
        <w:spacing w:before="0" w:after="60"/>
        <w:ind w:left="360"/>
        <w:rPr>
          <w:lang w:val="it-IT"/>
        </w:rPr>
      </w:pPr>
      <w:bookmarkStart w:id="753" w:name="_Toc323159747"/>
      <w:bookmarkStart w:id="754" w:name="_Toc328145990"/>
      <w:bookmarkStart w:id="755" w:name="_Toc336338221"/>
      <w:bookmarkStart w:id="756" w:name="_Toc352234816"/>
      <w:r w:rsidRPr="00451078">
        <w:rPr>
          <w:rFonts w:ascii="Tahoma" w:hAnsi="Tahoma"/>
          <w:sz w:val="18"/>
          <w:lang w:val="it-IT"/>
        </w:rPr>
        <w:t>Rinnovo della Copertura ai sensi del Medesimo Contratto</w:t>
      </w:r>
      <w:bookmarkEnd w:id="753"/>
      <w:bookmarkEnd w:id="754"/>
      <w:bookmarkEnd w:id="755"/>
      <w:bookmarkEnd w:id="756"/>
      <w:r w:rsidRPr="00451078">
        <w:rPr>
          <w:rFonts w:ascii="Tahoma" w:hAnsi="Tahoma"/>
          <w:sz w:val="18"/>
          <w:lang w:val="it-IT"/>
        </w:rPr>
        <w:t xml:space="preserve"> </w:t>
      </w:r>
    </w:p>
    <w:p w:rsidR="00171817" w:rsidRPr="00451078" w:rsidRDefault="00171817" w:rsidP="004525CA">
      <w:pPr>
        <w:pStyle w:val="styleheading22left138firstline00"/>
        <w:tabs>
          <w:tab w:val="num" w:pos="0"/>
        </w:tabs>
        <w:snapToGrid w:val="0"/>
        <w:ind w:left="0"/>
        <w:jc w:val="left"/>
        <w:rPr>
          <w:lang w:val="it-IT"/>
        </w:rPr>
      </w:pPr>
      <w:r w:rsidRPr="00451078">
        <w:rPr>
          <w:rFonts w:ascii="Tahoma" w:hAnsi="Tahoma" w:cs="Tahoma"/>
          <w:sz w:val="18"/>
          <w:lang w:val="it-IT"/>
        </w:rPr>
        <w:t>La copertura Software Assurance ordinata in base alle iscrizioni ai sensi di un contratto Select terminerà alla scadenza o alla risoluzione del contratto stesso oppure alla scadenza dell</w:t>
      </w:r>
      <w:r w:rsidR="004525CA">
        <w:rPr>
          <w:rFonts w:ascii="Tahoma" w:hAnsi="Tahoma" w:cs="Tahoma"/>
          <w:sz w:val="18"/>
          <w:lang w:val="it-IT"/>
        </w:rPr>
        <w:t>’</w:t>
      </w:r>
      <w:r w:rsidRPr="00451078">
        <w:rPr>
          <w:rFonts w:ascii="Tahoma" w:hAnsi="Tahoma" w:cs="Tahoma"/>
          <w:sz w:val="18"/>
          <w:lang w:val="it-IT"/>
        </w:rPr>
        <w:t>iscrizione applicabile, se precedente. Le società riceveranno una comunicazione scritta delle opzioni di rinnovo 60 giorni prima della scadenza del loro contratto. Le</w:t>
      </w:r>
      <w:r w:rsidR="002B279A" w:rsidRPr="00451078">
        <w:rPr>
          <w:rFonts w:ascii="Tahoma" w:hAnsi="Tahoma" w:cs="Tahoma"/>
          <w:sz w:val="18"/>
          <w:lang w:val="it-IT"/>
        </w:rPr>
        <w:t> </w:t>
      </w:r>
      <w:r w:rsidRPr="00451078">
        <w:rPr>
          <w:rFonts w:ascii="Tahoma" w:hAnsi="Tahoma" w:cs="Tahoma"/>
          <w:sz w:val="18"/>
          <w:lang w:val="it-IT"/>
        </w:rPr>
        <w:t>società potranno scegliere di rinnovare il loro contratto per i successivi 12 o 36 mesi solari completi. Per rinnovare la copertura Software Assurance per tutte le copie a cui è stata effettuata in precedenza l</w:t>
      </w:r>
      <w:r w:rsidR="004525CA">
        <w:rPr>
          <w:rFonts w:ascii="Tahoma" w:hAnsi="Tahoma" w:cs="Tahoma"/>
          <w:sz w:val="18"/>
          <w:lang w:val="it-IT"/>
        </w:rPr>
        <w:t>’</w:t>
      </w:r>
      <w:r w:rsidRPr="00451078">
        <w:rPr>
          <w:rFonts w:ascii="Tahoma" w:hAnsi="Tahoma" w:cs="Tahoma"/>
          <w:sz w:val="18"/>
          <w:lang w:val="it-IT"/>
        </w:rPr>
        <w:t xml:space="preserve">iscrizione, una società dovrà presentare un ordine di rinnovo a Microsoft tramite il proprio rivenditore prima della scadenza del precedente periodo di validità. Gli ordini di rinnovo dovranno coprire l’intero periodo di validità. Ciascun periodo di rinnovo avrà inizio il giorno successivo alla scadenza del precedente periodo di validità. </w:t>
      </w:r>
    </w:p>
    <w:p w:rsidR="00973A93" w:rsidRDefault="00973A93">
      <w:pPr>
        <w:rPr>
          <w:lang w:val="it-IT"/>
        </w:rPr>
      </w:pPr>
      <w:bookmarkStart w:id="757" w:name="_Toc323159748"/>
      <w:bookmarkStart w:id="758" w:name="_Toc336338222"/>
    </w:p>
    <w:p w:rsidR="00820087" w:rsidRDefault="00820087">
      <w:pPr>
        <w:rPr>
          <w:lang w:val="it-IT"/>
        </w:rPr>
      </w:pPr>
    </w:p>
    <w:p w:rsidR="00820087" w:rsidRDefault="00820087">
      <w:pPr>
        <w:rPr>
          <w:lang w:val="it-IT"/>
        </w:rPr>
      </w:pPr>
    </w:p>
    <w:p w:rsidR="00820087" w:rsidRDefault="00820087">
      <w:pPr>
        <w:rPr>
          <w:lang w:val="it-IT"/>
        </w:rPr>
      </w:pPr>
    </w:p>
    <w:p w:rsidR="00820087" w:rsidRDefault="00820087">
      <w:pPr>
        <w:rPr>
          <w:lang w:val="it-IT"/>
        </w:rPr>
      </w:pPr>
    </w:p>
    <w:p w:rsidR="00820087" w:rsidRDefault="00820087">
      <w:pPr>
        <w:rPr>
          <w:lang w:val="it-IT"/>
        </w:rPr>
      </w:pPr>
    </w:p>
    <w:p w:rsidR="00820087" w:rsidRPr="00451078" w:rsidRDefault="00820087">
      <w:pPr>
        <w:rPr>
          <w:lang w:val="it-IT"/>
        </w:rPr>
      </w:pPr>
    </w:p>
    <w:p w:rsidR="00171817" w:rsidRPr="00451078" w:rsidRDefault="00171817" w:rsidP="005242EC">
      <w:pPr>
        <w:pStyle w:val="Heading4"/>
        <w:spacing w:before="0" w:after="60"/>
        <w:ind w:left="360"/>
        <w:rPr>
          <w:lang w:val="it-IT"/>
        </w:rPr>
      </w:pPr>
      <w:bookmarkStart w:id="759" w:name="_Toc352234817"/>
      <w:r w:rsidRPr="00451078">
        <w:rPr>
          <w:rFonts w:ascii="Tahoma" w:hAnsi="Tahoma"/>
          <w:sz w:val="18"/>
          <w:lang w:val="it-IT"/>
        </w:rPr>
        <w:lastRenderedPageBreak/>
        <w:t>Rinnovo della Copertura con un Contratto Separato</w:t>
      </w:r>
      <w:bookmarkEnd w:id="757"/>
      <w:bookmarkEnd w:id="758"/>
      <w:bookmarkEnd w:id="759"/>
    </w:p>
    <w:p w:rsidR="00171817" w:rsidRPr="00451078" w:rsidRDefault="00171817" w:rsidP="004525CA">
      <w:pPr>
        <w:pStyle w:val="styleheading22left138firstline00"/>
        <w:tabs>
          <w:tab w:val="num" w:pos="0"/>
        </w:tabs>
        <w:snapToGrid w:val="0"/>
        <w:ind w:left="0"/>
        <w:jc w:val="left"/>
        <w:rPr>
          <w:lang w:val="it-IT"/>
        </w:rPr>
      </w:pPr>
      <w:r w:rsidRPr="00451078">
        <w:rPr>
          <w:rFonts w:ascii="Tahoma" w:hAnsi="Tahoma" w:cs="Tahoma"/>
          <w:sz w:val="18"/>
          <w:lang w:val="it-IT"/>
        </w:rPr>
        <w:t>Le società potranno ordinare Software Assurance senza dovere contemporaneamente ordinare una Licenza per le</w:t>
      </w:r>
      <w:r w:rsidR="002B279A" w:rsidRPr="00451078">
        <w:rPr>
          <w:rFonts w:ascii="Tahoma" w:hAnsi="Tahoma" w:cs="Tahoma"/>
          <w:sz w:val="18"/>
          <w:lang w:val="it-IT"/>
        </w:rPr>
        <w:t> </w:t>
      </w:r>
      <w:r w:rsidRPr="00451078">
        <w:rPr>
          <w:rFonts w:ascii="Tahoma" w:hAnsi="Tahoma" w:cs="Tahoma"/>
          <w:sz w:val="18"/>
          <w:lang w:val="it-IT"/>
        </w:rPr>
        <w:t>copie di prodotti per le quali hanno in precedenza ottenuto licenze perpetue tramite Software Assurance in altri programmi per contratti multilicenza (Volume Licensing), a condizione che (i) la nuova iscrizione entri in vigore non oltre il giorno successivo alla data di scadenza di Software Assurance e (ii) la consociata iscritta effettui il suo ordine di Software Assurance nel momento stesso in cui presenta la sua nuova iscrizione a Microsoft tramite il proprio Rivenditore. L</w:t>
      </w:r>
      <w:r w:rsidR="004525CA">
        <w:rPr>
          <w:rFonts w:ascii="Tahoma" w:hAnsi="Tahoma" w:cs="Tahoma"/>
          <w:sz w:val="18"/>
          <w:lang w:val="it-IT"/>
        </w:rPr>
        <w:t>’</w:t>
      </w:r>
      <w:r w:rsidRPr="00451078">
        <w:rPr>
          <w:rFonts w:ascii="Tahoma" w:hAnsi="Tahoma" w:cs="Tahoma"/>
          <w:sz w:val="18"/>
          <w:lang w:val="it-IT"/>
        </w:rPr>
        <w:t>ordine di rinnovo di Software Assurance dovrà essere effettuato prima della scadenza della copertura ai</w:t>
      </w:r>
      <w:r w:rsidR="002B279A" w:rsidRPr="00451078">
        <w:rPr>
          <w:rFonts w:ascii="Tahoma" w:hAnsi="Tahoma" w:cs="Tahoma"/>
          <w:sz w:val="18"/>
          <w:lang w:val="it-IT"/>
        </w:rPr>
        <w:t> </w:t>
      </w:r>
      <w:r w:rsidRPr="00451078">
        <w:rPr>
          <w:rFonts w:ascii="Tahoma" w:hAnsi="Tahoma" w:cs="Tahoma"/>
          <w:sz w:val="18"/>
          <w:lang w:val="it-IT"/>
        </w:rPr>
        <w:t>sensi del contratto precedente, ad eccezione del Contratto Open License. In tal caso le società potranno inviare l</w:t>
      </w:r>
      <w:r w:rsidR="004525CA">
        <w:rPr>
          <w:rFonts w:ascii="Tahoma" w:hAnsi="Tahoma" w:cs="Tahoma"/>
          <w:sz w:val="18"/>
          <w:lang w:val="it-IT"/>
        </w:rPr>
        <w:t>’</w:t>
      </w:r>
      <w:r w:rsidRPr="00451078">
        <w:rPr>
          <w:rFonts w:ascii="Tahoma" w:hAnsi="Tahoma" w:cs="Tahoma"/>
          <w:sz w:val="18"/>
          <w:lang w:val="it-IT"/>
        </w:rPr>
        <w:t>ordine fino a 90 giorni dopo la data di scadenza.</w:t>
      </w:r>
    </w:p>
    <w:p w:rsidR="00865A60" w:rsidRPr="00451078" w:rsidRDefault="00865A60" w:rsidP="0063466C">
      <w:pPr>
        <w:outlineLvl w:val="2"/>
        <w:rPr>
          <w:lang w:val="it-IT"/>
        </w:rPr>
      </w:pPr>
    </w:p>
    <w:p w:rsidR="00171817" w:rsidRPr="00451078" w:rsidRDefault="00171817" w:rsidP="002171C3">
      <w:pPr>
        <w:pStyle w:val="Heading4"/>
        <w:ind w:left="360"/>
        <w:rPr>
          <w:lang w:val="it-IT"/>
        </w:rPr>
      </w:pPr>
      <w:bookmarkStart w:id="760" w:name="_Toc336338223"/>
      <w:bookmarkStart w:id="761" w:name="_Toc352234818"/>
      <w:r w:rsidRPr="00451078">
        <w:rPr>
          <w:rFonts w:ascii="Tahoma" w:hAnsi="Tahoma" w:cs="Tahoma"/>
          <w:sz w:val="24"/>
          <w:lang w:val="it-IT"/>
        </w:rPr>
        <w:t>Select Plus 20xx</w:t>
      </w:r>
      <w:bookmarkEnd w:id="760"/>
      <w:bookmarkEnd w:id="761"/>
    </w:p>
    <w:p w:rsidR="00171817" w:rsidRPr="00451078" w:rsidRDefault="00171817" w:rsidP="00171817">
      <w:pPr>
        <w:rPr>
          <w:lang w:val="it-IT"/>
        </w:rPr>
      </w:pPr>
    </w:p>
    <w:p w:rsidR="00171817" w:rsidRPr="00451078" w:rsidRDefault="00171817" w:rsidP="0063466C">
      <w:pPr>
        <w:spacing w:after="60"/>
        <w:rPr>
          <w:lang w:val="it-IT"/>
        </w:rPr>
      </w:pPr>
      <w:r w:rsidRPr="00451078">
        <w:rPr>
          <w:b/>
          <w:bCs/>
          <w:lang w:val="it-IT"/>
        </w:rPr>
        <w:t xml:space="preserve">Rinnovo della Copertura ai sensi del Medesimo Contratto </w:t>
      </w:r>
    </w:p>
    <w:p w:rsidR="00171817" w:rsidRPr="00451078" w:rsidRDefault="00171817" w:rsidP="004525CA">
      <w:pPr>
        <w:rPr>
          <w:lang w:val="it-IT"/>
        </w:rPr>
      </w:pPr>
      <w:r w:rsidRPr="00451078">
        <w:rPr>
          <w:iCs/>
          <w:lang w:val="it-IT"/>
        </w:rPr>
        <w:t>A partire dal 1 marzo 2011, la copertura iniziale</w:t>
      </w:r>
      <w:r w:rsidRPr="00451078">
        <w:rPr>
          <w:i/>
          <w:iCs/>
          <w:lang w:val="it-IT"/>
        </w:rPr>
        <w:t xml:space="preserve"> </w:t>
      </w:r>
      <w:r w:rsidRPr="00451078">
        <w:rPr>
          <w:lang w:val="it-IT"/>
        </w:rPr>
        <w:t xml:space="preserve">Software Assurance (nuova o rinnovata) ai sensi di una registrazione Select Plus terminerà dopo 24 mesi più il numero di mesi che va dalla data di inizio della copertura Software Assurance alla successiva </w:t>
      </w:r>
      <w:r w:rsidR="001A3EC5" w:rsidRPr="00451078">
        <w:rPr>
          <w:lang w:val="it-IT"/>
        </w:rPr>
        <w:t>“</w:t>
      </w:r>
      <w:r w:rsidRPr="00451078">
        <w:rPr>
          <w:lang w:val="it-IT"/>
        </w:rPr>
        <w:t>ricorrenza della consociata</w:t>
      </w:r>
      <w:r w:rsidR="001A3EC5" w:rsidRPr="00451078">
        <w:rPr>
          <w:lang w:val="it-IT"/>
        </w:rPr>
        <w:t>”</w:t>
      </w:r>
      <w:r w:rsidRPr="00451078">
        <w:rPr>
          <w:lang w:val="it-IT"/>
        </w:rPr>
        <w:t xml:space="preserve"> (si tratta di un mese definito dalla società in cui verranno prese le decisioni annuali in merito ai rinnovi). Le società e i Partner riceveranno una comunicazione scritta delle opzioni di rinnovo prima della scadenza della copertura Software Assurance. Per rinnovare la copertura Software Assurance per tutte le copie ordinate in precedenza, una società dovrà presentare un ordine di rinnovo a Microsoft</w:t>
      </w:r>
      <w:r w:rsidR="002B279A" w:rsidRPr="00451078">
        <w:rPr>
          <w:lang w:val="it-IT"/>
        </w:rPr>
        <w:t> </w:t>
      </w:r>
      <w:r w:rsidRPr="00451078">
        <w:rPr>
          <w:lang w:val="it-IT"/>
        </w:rPr>
        <w:t>tramite il proprio rivenditore prima della scadenza del precedente periodo di validità della copertura Software Assurance. Gli ordini di rinnovo dovranno coprire l</w:t>
      </w:r>
      <w:r w:rsidR="004525CA">
        <w:rPr>
          <w:lang w:val="it-IT"/>
        </w:rPr>
        <w:t>’</w:t>
      </w:r>
      <w:r w:rsidRPr="00451078">
        <w:rPr>
          <w:lang w:val="it-IT"/>
        </w:rPr>
        <w:t>intero periodo di validità di 36 mesi. Ciascun periodo di</w:t>
      </w:r>
      <w:r w:rsidR="002B279A" w:rsidRPr="00451078">
        <w:rPr>
          <w:lang w:val="it-IT"/>
        </w:rPr>
        <w:t> </w:t>
      </w:r>
      <w:r w:rsidRPr="00451078">
        <w:rPr>
          <w:lang w:val="it-IT"/>
        </w:rPr>
        <w:t xml:space="preserve">rinnovo avrà inizio il giorno successivo alla scadenza del precedente periodo di validità. </w:t>
      </w:r>
    </w:p>
    <w:p w:rsidR="00171817" w:rsidRPr="00451078" w:rsidRDefault="00171817" w:rsidP="00171817">
      <w:pPr>
        <w:rPr>
          <w:lang w:val="it-IT"/>
        </w:rPr>
      </w:pPr>
    </w:p>
    <w:p w:rsidR="00171817" w:rsidRPr="00451078" w:rsidRDefault="00171817" w:rsidP="0063466C">
      <w:pPr>
        <w:spacing w:after="60"/>
        <w:rPr>
          <w:lang w:val="it-IT"/>
        </w:rPr>
      </w:pPr>
      <w:r w:rsidRPr="00451078">
        <w:rPr>
          <w:b/>
          <w:bCs/>
          <w:lang w:val="it-IT"/>
        </w:rPr>
        <w:t>Rinnovo della Copertura con un Contratto Separato</w:t>
      </w:r>
    </w:p>
    <w:p w:rsidR="00171817" w:rsidRPr="00451078" w:rsidRDefault="00171817" w:rsidP="004525CA">
      <w:pPr>
        <w:rPr>
          <w:lang w:val="it-IT"/>
        </w:rPr>
      </w:pPr>
      <w:r w:rsidRPr="00451078">
        <w:rPr>
          <w:lang w:val="it-IT"/>
        </w:rPr>
        <w:t>Le società potranno ordinare Software Assurance senza dovere contemporaneamente ordinare una Licenza per le copie di prodotti per le quali abbiano in precedenza ottenuto licenze perpetue tramite Software Assurance in altri programmi per contratti multilicenza (Volume Licensing), a condizione che il nuovo ordine diventi effettivo entro il</w:t>
      </w:r>
      <w:r w:rsidR="002B279A" w:rsidRPr="00451078">
        <w:rPr>
          <w:lang w:val="it-IT"/>
        </w:rPr>
        <w:t> </w:t>
      </w:r>
      <w:r w:rsidRPr="00451078">
        <w:rPr>
          <w:lang w:val="it-IT"/>
        </w:rPr>
        <w:t>giorno successivo alla data di scadenza di Software Assurance. L</w:t>
      </w:r>
      <w:r w:rsidR="004525CA">
        <w:rPr>
          <w:lang w:val="it-IT"/>
        </w:rPr>
        <w:t>’</w:t>
      </w:r>
      <w:r w:rsidRPr="00451078">
        <w:rPr>
          <w:lang w:val="it-IT"/>
        </w:rPr>
        <w:t>ordine di rinnovo di Software Assurance dovrà essere effettuato prima della scadenza della copertura ai sensi del contratto precedente, ad eccezione del Contratto</w:t>
      </w:r>
      <w:r w:rsidR="002B279A" w:rsidRPr="00451078">
        <w:rPr>
          <w:lang w:val="it-IT"/>
        </w:rPr>
        <w:t> </w:t>
      </w:r>
      <w:r w:rsidRPr="00451078">
        <w:rPr>
          <w:lang w:val="it-IT"/>
        </w:rPr>
        <w:t>Open License. In tal caso le società potranno inviare l</w:t>
      </w:r>
      <w:r w:rsidR="004525CA">
        <w:rPr>
          <w:lang w:val="it-IT"/>
        </w:rPr>
        <w:t>’</w:t>
      </w:r>
      <w:r w:rsidRPr="00451078">
        <w:rPr>
          <w:lang w:val="it-IT"/>
        </w:rPr>
        <w:t>ordine fino a 90 giorni dopo la data di scadenza.</w:t>
      </w:r>
    </w:p>
    <w:p w:rsidR="00865A60" w:rsidRPr="00451078" w:rsidRDefault="00865A60" w:rsidP="00865A60">
      <w:pPr>
        <w:tabs>
          <w:tab w:val="num" w:pos="0"/>
        </w:tabs>
        <w:rPr>
          <w:lang w:val="it-IT"/>
        </w:rPr>
      </w:pPr>
    </w:p>
    <w:p w:rsidR="00171817" w:rsidRPr="00451078" w:rsidRDefault="00171817" w:rsidP="002171C3">
      <w:pPr>
        <w:pStyle w:val="Heading4"/>
        <w:ind w:hanging="720"/>
        <w:rPr>
          <w:lang w:val="it-IT"/>
        </w:rPr>
      </w:pPr>
      <w:bookmarkStart w:id="762" w:name="_Toc336338224"/>
      <w:bookmarkStart w:id="763" w:name="_Toc352234819"/>
      <w:r w:rsidRPr="00451078">
        <w:rPr>
          <w:rFonts w:ascii="Tahoma" w:hAnsi="Tahoma" w:cs="Tahoma"/>
          <w:sz w:val="24"/>
          <w:szCs w:val="22"/>
          <w:lang w:val="it-IT"/>
        </w:rPr>
        <w:t>Contratto Enterprise 2011 e versioni successive</w:t>
      </w:r>
      <w:bookmarkEnd w:id="762"/>
      <w:bookmarkEnd w:id="763"/>
    </w:p>
    <w:p w:rsidR="00171817" w:rsidRPr="00451078" w:rsidRDefault="00171817" w:rsidP="00865A60">
      <w:pPr>
        <w:outlineLvl w:val="2"/>
        <w:rPr>
          <w:lang w:val="it-IT"/>
        </w:rPr>
      </w:pPr>
    </w:p>
    <w:p w:rsidR="00171817" w:rsidRPr="00451078" w:rsidRDefault="00171817" w:rsidP="0063466C">
      <w:pPr>
        <w:keepNext/>
        <w:tabs>
          <w:tab w:val="num" w:pos="720"/>
        </w:tabs>
        <w:spacing w:after="60"/>
        <w:ind w:left="360" w:hanging="360"/>
        <w:outlineLvl w:val="3"/>
        <w:rPr>
          <w:lang w:val="it-IT"/>
        </w:rPr>
      </w:pPr>
      <w:r w:rsidRPr="00451078">
        <w:rPr>
          <w:b/>
          <w:szCs w:val="20"/>
          <w:lang w:val="it-IT"/>
        </w:rPr>
        <w:t>Rinnovo della Copertura ai sensi del Medesimo Contratto</w:t>
      </w:r>
    </w:p>
    <w:p w:rsidR="00171817" w:rsidRPr="00451078" w:rsidRDefault="00171817" w:rsidP="004525CA">
      <w:pPr>
        <w:tabs>
          <w:tab w:val="num" w:pos="0"/>
        </w:tabs>
        <w:rPr>
          <w:lang w:val="it-IT"/>
        </w:rPr>
      </w:pPr>
      <w:r w:rsidRPr="00451078">
        <w:rPr>
          <w:rFonts w:cs="Tahoma"/>
          <w:szCs w:val="20"/>
          <w:lang w:val="it-IT"/>
        </w:rPr>
        <w:t>Alla scadenza dell</w:t>
      </w:r>
      <w:r w:rsidR="004525CA">
        <w:rPr>
          <w:rFonts w:cs="Tahoma"/>
          <w:szCs w:val="20"/>
          <w:lang w:val="it-IT"/>
        </w:rPr>
        <w:t>’</w:t>
      </w:r>
      <w:r w:rsidRPr="00451078">
        <w:rPr>
          <w:rFonts w:cs="Tahoma"/>
          <w:szCs w:val="20"/>
          <w:lang w:val="it-IT"/>
        </w:rPr>
        <w:t xml:space="preserve">iscrizione la società è idonea al rinnovo dei prezzi del Contratto Enterprise, che si basano solo su Software Assurance. Le società riceveranno una comunicazione scritta delle opzioni di rinnovo prima della scadenza della loro iscrizione. Le società potranno scegliere di rinnovare la loro iscrizione per un periodo di validità successivo di 36 mesi solari completi. Dopo il periodo di rinnovo, per rinnovare la copertura Software Assurance, la società dovrà sottoscrivere una nuova Iscrizione. Per rinnovare la copertura Software Assurance ai sensi della medesima iscrizione, le società dovranno presentare un ordine di rinnovo per Software Assurance (a seconda dei casi) per 1) tutti i prodotti Enterprise, i Prodotti della Piattaforma Applicativa, i Prodotti Core Infrastructure e Prodotti Aggiuntivi per </w:t>
      </w:r>
      <w:r w:rsidR="002B279A" w:rsidRPr="00451078">
        <w:rPr>
          <w:rFonts w:cs="Tahoma"/>
          <w:szCs w:val="20"/>
          <w:lang w:val="it-IT"/>
        </w:rPr>
        <w:t>I </w:t>
      </w:r>
      <w:r w:rsidRPr="00451078">
        <w:rPr>
          <w:rFonts w:cs="Tahoma"/>
          <w:szCs w:val="20"/>
          <w:lang w:val="it-IT"/>
        </w:rPr>
        <w:t>quali desiderano eseguire il rinnovo ed 2) eventuali Servizi Online, che consentono di tenere traccia delle transazioni (se applicabile).</w:t>
      </w:r>
      <w:r w:rsidR="00082E1C" w:rsidRPr="00451078">
        <w:rPr>
          <w:rFonts w:cs="Tahoma"/>
          <w:szCs w:val="20"/>
          <w:lang w:val="it-IT"/>
        </w:rPr>
        <w:t xml:space="preserve"> </w:t>
      </w:r>
      <w:r w:rsidRPr="00451078">
        <w:rPr>
          <w:rFonts w:cs="Tahoma"/>
          <w:szCs w:val="20"/>
          <w:lang w:val="it-IT"/>
        </w:rPr>
        <w:t>Tale ordine dovrà essere presentato prima della scadenza del precedente periodo di validità. Il</w:t>
      </w:r>
      <w:r w:rsidR="002B279A" w:rsidRPr="00451078">
        <w:rPr>
          <w:rFonts w:cs="Tahoma"/>
          <w:szCs w:val="20"/>
          <w:lang w:val="it-IT"/>
        </w:rPr>
        <w:t> </w:t>
      </w:r>
      <w:r w:rsidRPr="00451078">
        <w:rPr>
          <w:rFonts w:cs="Tahoma"/>
          <w:szCs w:val="20"/>
          <w:lang w:val="it-IT"/>
        </w:rPr>
        <w:t>periodo di rinnovo avrà inizio il giorno successivo alla scadenza del precedente periodo di validità. Per informazioni su come rinnovare la copertura Software Assurance ai sensi di una successiva iscrizione, vedere di seguito.</w:t>
      </w:r>
    </w:p>
    <w:p w:rsidR="00171817" w:rsidRPr="00451078" w:rsidRDefault="00171817" w:rsidP="00171817">
      <w:pPr>
        <w:tabs>
          <w:tab w:val="num" w:pos="0"/>
        </w:tabs>
        <w:rPr>
          <w:lang w:val="it-IT"/>
        </w:rPr>
      </w:pPr>
    </w:p>
    <w:p w:rsidR="00171817" w:rsidRPr="00451078" w:rsidRDefault="00171817" w:rsidP="0063466C">
      <w:pPr>
        <w:keepNext/>
        <w:tabs>
          <w:tab w:val="num" w:pos="720"/>
        </w:tabs>
        <w:spacing w:after="60"/>
        <w:ind w:left="360" w:hanging="360"/>
        <w:outlineLvl w:val="3"/>
        <w:rPr>
          <w:lang w:val="it-IT"/>
        </w:rPr>
      </w:pPr>
      <w:r w:rsidRPr="00451078">
        <w:rPr>
          <w:b/>
          <w:szCs w:val="20"/>
          <w:lang w:val="it-IT"/>
        </w:rPr>
        <w:t>Rinnovo della Copertura con un Contratto Separato</w:t>
      </w:r>
    </w:p>
    <w:p w:rsidR="00171817" w:rsidRPr="00451078" w:rsidRDefault="00171817" w:rsidP="004525CA">
      <w:pPr>
        <w:tabs>
          <w:tab w:val="num" w:pos="0"/>
        </w:tabs>
        <w:rPr>
          <w:lang w:val="it-IT"/>
        </w:rPr>
      </w:pPr>
      <w:r w:rsidRPr="00451078">
        <w:rPr>
          <w:rFonts w:cs="Tahoma"/>
          <w:color w:val="000000"/>
          <w:szCs w:val="20"/>
          <w:lang w:val="it-IT"/>
        </w:rPr>
        <w:t>La società potrà ordinare Software Assurance per qualsiasi prodotto senza dover contemporaneamente ordinare una</w:t>
      </w:r>
      <w:r w:rsidR="002B279A" w:rsidRPr="00451078">
        <w:rPr>
          <w:rFonts w:cs="Tahoma"/>
          <w:color w:val="000000"/>
          <w:szCs w:val="20"/>
          <w:lang w:val="it-IT"/>
        </w:rPr>
        <w:t> </w:t>
      </w:r>
      <w:r w:rsidRPr="00451078">
        <w:rPr>
          <w:rFonts w:cs="Tahoma"/>
          <w:color w:val="000000"/>
          <w:szCs w:val="20"/>
          <w:lang w:val="it-IT"/>
        </w:rPr>
        <w:t>Licenza a condizione che abbia ottenuto licenze perpetue per tale prodotto e la copertura Software Assurance sia</w:t>
      </w:r>
      <w:r w:rsidR="002B279A" w:rsidRPr="00451078">
        <w:rPr>
          <w:rFonts w:cs="Tahoma"/>
          <w:color w:val="000000"/>
          <w:szCs w:val="20"/>
          <w:lang w:val="it-IT"/>
        </w:rPr>
        <w:t> </w:t>
      </w:r>
      <w:r w:rsidRPr="00451078">
        <w:rPr>
          <w:rFonts w:cs="Tahoma"/>
          <w:color w:val="000000"/>
          <w:szCs w:val="20"/>
          <w:lang w:val="it-IT"/>
        </w:rPr>
        <w:t>attiva al momento del rinnovo.</w:t>
      </w:r>
      <w:r w:rsidR="00082E1C" w:rsidRPr="00451078">
        <w:rPr>
          <w:rFonts w:cs="Tahoma"/>
          <w:color w:val="000000"/>
          <w:szCs w:val="20"/>
          <w:lang w:val="it-IT"/>
        </w:rPr>
        <w:t xml:space="preserve"> </w:t>
      </w:r>
      <w:r w:rsidRPr="00451078">
        <w:rPr>
          <w:rFonts w:cs="Tahoma"/>
          <w:color w:val="000000"/>
          <w:szCs w:val="20"/>
          <w:lang w:val="it-IT"/>
        </w:rPr>
        <w:t>Per i Prodotti Aggiuntivi, poiché</w:t>
      </w:r>
      <w:r w:rsidRPr="00451078">
        <w:rPr>
          <w:rFonts w:cs="Tahoma"/>
          <w:color w:val="000000"/>
          <w:szCs w:val="24"/>
          <w:lang w:val="it-IT"/>
        </w:rPr>
        <w:t xml:space="preserve"> la copertura viene rinnovata da un Contratto Open</w:t>
      </w:r>
      <w:r w:rsidR="002B279A" w:rsidRPr="00451078">
        <w:rPr>
          <w:rFonts w:cs="Tahoma"/>
          <w:color w:val="000000"/>
          <w:szCs w:val="24"/>
          <w:lang w:val="it-IT"/>
        </w:rPr>
        <w:t> </w:t>
      </w:r>
      <w:r w:rsidRPr="00451078">
        <w:rPr>
          <w:rFonts w:cs="Tahoma"/>
          <w:color w:val="000000"/>
          <w:szCs w:val="24"/>
          <w:lang w:val="it-IT"/>
        </w:rPr>
        <w:t>License, la società potrà inviare l</w:t>
      </w:r>
      <w:r w:rsidR="004525CA">
        <w:rPr>
          <w:rFonts w:cs="Tahoma"/>
          <w:color w:val="000000"/>
          <w:szCs w:val="24"/>
          <w:lang w:val="it-IT"/>
        </w:rPr>
        <w:t>’</w:t>
      </w:r>
      <w:r w:rsidRPr="00451078">
        <w:rPr>
          <w:rFonts w:cs="Tahoma"/>
          <w:color w:val="000000"/>
          <w:szCs w:val="24"/>
          <w:lang w:val="it-IT"/>
        </w:rPr>
        <w:t>ordine fino a 90 giorni dopo la data di scadenza.</w:t>
      </w:r>
      <w:r w:rsidR="00082E1C" w:rsidRPr="00451078">
        <w:rPr>
          <w:rFonts w:cs="Tahoma"/>
          <w:color w:val="000000"/>
          <w:szCs w:val="24"/>
          <w:lang w:val="it-IT"/>
        </w:rPr>
        <w:t xml:space="preserve"> </w:t>
      </w:r>
    </w:p>
    <w:p w:rsidR="00171817" w:rsidRPr="00451078" w:rsidRDefault="00171817" w:rsidP="00171817">
      <w:pPr>
        <w:tabs>
          <w:tab w:val="num" w:pos="0"/>
        </w:tabs>
        <w:rPr>
          <w:lang w:val="it-IT"/>
        </w:rPr>
      </w:pPr>
    </w:p>
    <w:p w:rsidR="00171817" w:rsidRPr="00451078" w:rsidRDefault="00171817" w:rsidP="0063466C">
      <w:pPr>
        <w:keepNext/>
        <w:tabs>
          <w:tab w:val="num" w:pos="720"/>
        </w:tabs>
        <w:spacing w:after="60"/>
        <w:ind w:left="360" w:hanging="360"/>
        <w:outlineLvl w:val="3"/>
        <w:rPr>
          <w:lang w:val="it-IT"/>
        </w:rPr>
      </w:pPr>
      <w:r w:rsidRPr="00451078">
        <w:rPr>
          <w:b/>
          <w:szCs w:val="20"/>
          <w:lang w:val="it-IT"/>
        </w:rPr>
        <w:t xml:space="preserve">Enrollment for Application Platform </w:t>
      </w:r>
    </w:p>
    <w:p w:rsidR="00171817" w:rsidRPr="00451078" w:rsidRDefault="00171817" w:rsidP="00171817">
      <w:pPr>
        <w:tabs>
          <w:tab w:val="num" w:pos="0"/>
        </w:tabs>
        <w:rPr>
          <w:lang w:val="it-IT"/>
        </w:rPr>
      </w:pPr>
      <w:r w:rsidRPr="00451078">
        <w:rPr>
          <w:rFonts w:cs="Tahoma"/>
          <w:szCs w:val="20"/>
          <w:lang w:val="it-IT"/>
        </w:rPr>
        <w:t>Le società potranno ordinare solo Software Assurance per i prodotti disponibili, senza dover contemporaneamente ordinare una nuova Licenza, come previsto nelle condizioni di iscrizione.</w:t>
      </w:r>
    </w:p>
    <w:p w:rsidR="00BD1A6A" w:rsidRPr="00451078" w:rsidRDefault="00BD1A6A" w:rsidP="00865A60">
      <w:pPr>
        <w:rPr>
          <w:lang w:val="it-IT"/>
        </w:rPr>
      </w:pPr>
      <w:bookmarkStart w:id="764" w:name="_Toc336338225"/>
    </w:p>
    <w:p w:rsidR="00171817" w:rsidRPr="00451078" w:rsidRDefault="00171817" w:rsidP="00951852">
      <w:pPr>
        <w:pStyle w:val="Heading4"/>
        <w:ind w:left="360"/>
        <w:rPr>
          <w:lang w:val="it-IT"/>
        </w:rPr>
      </w:pPr>
      <w:bookmarkStart w:id="765" w:name="_Toc352234820"/>
      <w:r w:rsidRPr="00451078">
        <w:rPr>
          <w:rFonts w:ascii="Tahoma" w:hAnsi="Tahoma" w:cs="Tahoma"/>
          <w:sz w:val="24"/>
          <w:lang w:val="it-IT"/>
        </w:rPr>
        <w:lastRenderedPageBreak/>
        <w:t>Contratto Enterprise Prima del 2011</w:t>
      </w:r>
      <w:bookmarkEnd w:id="764"/>
      <w:bookmarkEnd w:id="765"/>
    </w:p>
    <w:p w:rsidR="00171817" w:rsidRPr="00451078" w:rsidRDefault="00171817" w:rsidP="00171817">
      <w:pPr>
        <w:tabs>
          <w:tab w:val="num" w:pos="0"/>
        </w:tabs>
        <w:rPr>
          <w:lang w:val="it-IT"/>
        </w:rPr>
      </w:pPr>
    </w:p>
    <w:p w:rsidR="00171817" w:rsidRPr="00451078" w:rsidRDefault="00171817" w:rsidP="00171817">
      <w:pPr>
        <w:tabs>
          <w:tab w:val="num" w:pos="0"/>
        </w:tabs>
        <w:rPr>
          <w:lang w:val="it-IT"/>
        </w:rPr>
      </w:pPr>
      <w:r w:rsidRPr="00451078">
        <w:rPr>
          <w:rFonts w:cs="Tahoma"/>
          <w:szCs w:val="20"/>
          <w:lang w:val="it-IT"/>
        </w:rPr>
        <w:t>Alla scadenza dell</w:t>
      </w:r>
      <w:r w:rsidR="004525CA">
        <w:rPr>
          <w:rFonts w:cs="Tahoma"/>
          <w:szCs w:val="20"/>
          <w:lang w:val="it-IT"/>
        </w:rPr>
        <w:t>’</w:t>
      </w:r>
      <w:r w:rsidRPr="00451078">
        <w:rPr>
          <w:rFonts w:cs="Tahoma"/>
          <w:szCs w:val="20"/>
          <w:lang w:val="it-IT"/>
        </w:rPr>
        <w:t>iscrizione la società è idonea al rinnovo dei prezzi del Contratto Enterprise, che si basano solo su Software Assurance. Le società riceveranno una comunicazione scritta delle opzioni di rinnovo 60 giorni prima della scadenza della loro iscrizione.</w:t>
      </w:r>
      <w:r w:rsidR="00082E1C" w:rsidRPr="00451078">
        <w:rPr>
          <w:rFonts w:cs="Tahoma"/>
          <w:szCs w:val="20"/>
          <w:lang w:val="it-IT"/>
        </w:rPr>
        <w:t xml:space="preserve"> </w:t>
      </w:r>
      <w:r w:rsidRPr="00451078">
        <w:rPr>
          <w:rFonts w:cs="Tahoma"/>
          <w:szCs w:val="20"/>
          <w:lang w:val="it-IT"/>
        </w:rPr>
        <w:t>Per eseguire il rinnovo, le società dovranno sottoscrivere un</w:t>
      </w:r>
      <w:r w:rsidR="004525CA">
        <w:rPr>
          <w:rFonts w:cs="Tahoma"/>
          <w:szCs w:val="20"/>
          <w:lang w:val="it-IT"/>
        </w:rPr>
        <w:t>’</w:t>
      </w:r>
      <w:r w:rsidRPr="00451078">
        <w:rPr>
          <w:rFonts w:cs="Tahoma"/>
          <w:szCs w:val="20"/>
          <w:lang w:val="it-IT"/>
        </w:rPr>
        <w:t xml:space="preserve">Iscrizione e un Contratto Enterprise 2011 o versione successiva nuovi. Il periodo di rinnovo avrà inizio il giorno successivo alla scadenza del precedente periodo di validità. </w:t>
      </w:r>
    </w:p>
    <w:p w:rsidR="003E606C" w:rsidRPr="00451078" w:rsidRDefault="00171817" w:rsidP="0063466C">
      <w:pPr>
        <w:tabs>
          <w:tab w:val="num" w:pos="0"/>
        </w:tabs>
        <w:spacing w:after="60"/>
        <w:rPr>
          <w:lang w:val="it-IT"/>
        </w:rPr>
      </w:pPr>
      <w:r w:rsidRPr="00451078">
        <w:rPr>
          <w:rFonts w:cs="Tahoma"/>
          <w:b/>
          <w:szCs w:val="20"/>
          <w:lang w:val="it-IT"/>
        </w:rPr>
        <w:t>Enrollment for Application Platform</w:t>
      </w:r>
    </w:p>
    <w:p w:rsidR="00171817" w:rsidRPr="00451078" w:rsidRDefault="00171817" w:rsidP="0063466C">
      <w:pPr>
        <w:tabs>
          <w:tab w:val="num" w:pos="0"/>
        </w:tabs>
        <w:rPr>
          <w:lang w:val="it-IT"/>
        </w:rPr>
      </w:pPr>
      <w:r w:rsidRPr="00451078">
        <w:rPr>
          <w:rFonts w:cs="Tahoma"/>
          <w:szCs w:val="20"/>
          <w:lang w:val="it-IT"/>
        </w:rPr>
        <w:t>Le società potranno ordinare solo Software Assurance per i prodotti disponibili, senza dover contemporaneamente ordinare una nuova Licenza, come previsto nelle condizioni di iscrizione.</w:t>
      </w:r>
    </w:p>
    <w:p w:rsidR="00865A60" w:rsidRPr="00451078" w:rsidRDefault="00865A60" w:rsidP="00865A60">
      <w:pPr>
        <w:rPr>
          <w:lang w:val="it-IT"/>
        </w:rPr>
      </w:pPr>
    </w:p>
    <w:p w:rsidR="00171817" w:rsidRPr="00451078" w:rsidRDefault="00171817" w:rsidP="00951852">
      <w:pPr>
        <w:pStyle w:val="Heading4"/>
        <w:ind w:left="360"/>
        <w:rPr>
          <w:lang w:val="it-IT"/>
        </w:rPr>
      </w:pPr>
      <w:bookmarkStart w:id="766" w:name="_Toc323159750"/>
      <w:bookmarkStart w:id="767" w:name="_Toc336338226"/>
      <w:bookmarkStart w:id="768" w:name="_Toc352234821"/>
      <w:r w:rsidRPr="00451078">
        <w:rPr>
          <w:rFonts w:ascii="Tahoma" w:hAnsi="Tahoma" w:cs="Tahoma"/>
          <w:sz w:val="24"/>
          <w:lang w:val="it-IT"/>
        </w:rPr>
        <w:t>Rinnovo Incrociato dei Programmi</w:t>
      </w:r>
      <w:bookmarkEnd w:id="766"/>
      <w:bookmarkEnd w:id="767"/>
      <w:bookmarkEnd w:id="768"/>
    </w:p>
    <w:p w:rsidR="00171817" w:rsidRPr="00451078" w:rsidRDefault="00171817" w:rsidP="00171817">
      <w:pPr>
        <w:tabs>
          <w:tab w:val="num" w:pos="0"/>
        </w:tabs>
        <w:rPr>
          <w:lang w:val="it-IT"/>
        </w:rPr>
      </w:pPr>
    </w:p>
    <w:p w:rsidR="00171817" w:rsidRPr="00451078" w:rsidRDefault="00171817" w:rsidP="00171817">
      <w:pPr>
        <w:pStyle w:val="AppendIndentSub"/>
        <w:tabs>
          <w:tab w:val="num" w:pos="0"/>
        </w:tabs>
        <w:ind w:left="0"/>
        <w:rPr>
          <w:lang w:val="it-IT"/>
        </w:rPr>
      </w:pPr>
      <w:r w:rsidRPr="00451078">
        <w:rPr>
          <w:rFonts w:ascii="Tahoma" w:hAnsi="Tahoma" w:cs="Tahoma"/>
          <w:sz w:val="18"/>
          <w:lang w:val="it-IT"/>
        </w:rPr>
        <w:t>Come eccezione alle regole precedenti le società potranno rinnovare la copertura Software Assurance tramite l</w:t>
      </w:r>
      <w:r w:rsidR="004525CA">
        <w:rPr>
          <w:rFonts w:ascii="Tahoma" w:hAnsi="Tahoma" w:cs="Tahoma"/>
          <w:sz w:val="18"/>
          <w:lang w:val="it-IT"/>
        </w:rPr>
        <w:t>’</w:t>
      </w:r>
      <w:r w:rsidRPr="00451078">
        <w:rPr>
          <w:rFonts w:ascii="Tahoma" w:hAnsi="Tahoma" w:cs="Tahoma"/>
          <w:sz w:val="18"/>
          <w:lang w:val="it-IT"/>
        </w:rPr>
        <w:t>acquisto della stessa ai sensi di un contratto Open Value, Select, Select Plus o iscrizione Enterprise. Per le società che rinnovano Software Assurance ai sensi di un</w:t>
      </w:r>
      <w:r w:rsidR="004525CA">
        <w:rPr>
          <w:rFonts w:ascii="Tahoma" w:hAnsi="Tahoma" w:cs="Tahoma"/>
          <w:sz w:val="18"/>
          <w:lang w:val="it-IT"/>
        </w:rPr>
        <w:t>’</w:t>
      </w:r>
      <w:r w:rsidRPr="00451078">
        <w:rPr>
          <w:rFonts w:ascii="Tahoma" w:hAnsi="Tahoma" w:cs="Tahoma"/>
          <w:sz w:val="18"/>
          <w:lang w:val="it-IT"/>
        </w:rPr>
        <w:t>iscrizione Enterprise esistente, l</w:t>
      </w:r>
      <w:r w:rsidR="004525CA">
        <w:rPr>
          <w:rFonts w:ascii="Tahoma" w:hAnsi="Tahoma" w:cs="Tahoma"/>
          <w:sz w:val="18"/>
          <w:lang w:val="it-IT"/>
        </w:rPr>
        <w:t>’</w:t>
      </w:r>
      <w:r w:rsidRPr="00451078">
        <w:rPr>
          <w:rFonts w:ascii="Tahoma" w:hAnsi="Tahoma" w:cs="Tahoma"/>
          <w:sz w:val="18"/>
          <w:lang w:val="it-IT"/>
        </w:rPr>
        <w:t>eccezione si applica solo ai prodotti aggiuntivi e ai prodotti che non rientrano nell</w:t>
      </w:r>
      <w:r w:rsidR="004525CA">
        <w:rPr>
          <w:rFonts w:ascii="Tahoma" w:hAnsi="Tahoma" w:cs="Tahoma"/>
          <w:sz w:val="18"/>
          <w:lang w:val="it-IT"/>
        </w:rPr>
        <w:t>’</w:t>
      </w:r>
      <w:r w:rsidRPr="00451078">
        <w:rPr>
          <w:rFonts w:ascii="Tahoma" w:hAnsi="Tahoma" w:cs="Tahoma"/>
          <w:sz w:val="18"/>
          <w:lang w:val="it-IT"/>
        </w:rPr>
        <w:t>impegno a livello aziendale. Le società dovranno effettuare un ordine di</w:t>
      </w:r>
      <w:r w:rsidR="002B279A" w:rsidRPr="00451078">
        <w:rPr>
          <w:rFonts w:ascii="Tahoma" w:hAnsi="Tahoma" w:cs="Tahoma"/>
          <w:sz w:val="18"/>
          <w:lang w:val="it-IT"/>
        </w:rPr>
        <w:t> </w:t>
      </w:r>
      <w:r w:rsidRPr="00451078">
        <w:rPr>
          <w:rFonts w:ascii="Tahoma" w:hAnsi="Tahoma" w:cs="Tahoma"/>
          <w:sz w:val="18"/>
          <w:lang w:val="it-IT"/>
        </w:rPr>
        <w:t>Software Assurance prima della data di scadenza della copertura precedente ai sensi di un contratto o un</w:t>
      </w:r>
      <w:r w:rsidR="004525CA">
        <w:rPr>
          <w:rFonts w:ascii="Tahoma" w:hAnsi="Tahoma" w:cs="Tahoma"/>
          <w:sz w:val="18"/>
          <w:lang w:val="it-IT"/>
        </w:rPr>
        <w:t>’</w:t>
      </w:r>
      <w:r w:rsidRPr="00451078">
        <w:rPr>
          <w:rFonts w:ascii="Tahoma" w:hAnsi="Tahoma" w:cs="Tahoma"/>
          <w:sz w:val="18"/>
          <w:lang w:val="it-IT"/>
        </w:rPr>
        <w:t xml:space="preserve">iscrizione in essere. </w:t>
      </w:r>
    </w:p>
    <w:p w:rsidR="00171817" w:rsidRPr="00451078" w:rsidRDefault="00171817" w:rsidP="00171817">
      <w:pPr>
        <w:pStyle w:val="AppendIndentSub"/>
        <w:tabs>
          <w:tab w:val="num" w:pos="0"/>
        </w:tabs>
        <w:ind w:left="0"/>
        <w:rPr>
          <w:lang w:val="it-IT"/>
        </w:rPr>
      </w:pPr>
    </w:p>
    <w:p w:rsidR="00171817" w:rsidRPr="00451078" w:rsidRDefault="00171817" w:rsidP="00171817">
      <w:pPr>
        <w:pStyle w:val="AppendIndentSub"/>
        <w:tabs>
          <w:tab w:val="num" w:pos="0"/>
        </w:tabs>
        <w:ind w:left="0"/>
        <w:rPr>
          <w:lang w:val="it-IT"/>
        </w:rPr>
      </w:pPr>
      <w:r w:rsidRPr="00451078">
        <w:rPr>
          <w:rFonts w:ascii="Tahoma" w:hAnsi="Tahoma" w:cs="Tahoma"/>
          <w:sz w:val="18"/>
          <w:lang w:val="it-IT"/>
        </w:rPr>
        <w:t>Le società che effettuano il rinnovo ai sensi del Programma Open License dovranno effettuare l</w:t>
      </w:r>
      <w:r w:rsidR="004525CA">
        <w:rPr>
          <w:rFonts w:ascii="Tahoma" w:hAnsi="Tahoma" w:cs="Tahoma"/>
          <w:sz w:val="18"/>
          <w:lang w:val="it-IT"/>
        </w:rPr>
        <w:t>’</w:t>
      </w:r>
      <w:r w:rsidRPr="00451078">
        <w:rPr>
          <w:rFonts w:ascii="Tahoma" w:hAnsi="Tahoma" w:cs="Tahoma"/>
          <w:sz w:val="18"/>
          <w:lang w:val="it-IT"/>
        </w:rPr>
        <w:t>ordine entro 90 giorni dalla data di scadenza della copertura precedente. In caso di versioni del Contratto del 2008 o precedenti, l</w:t>
      </w:r>
      <w:r w:rsidR="004525CA">
        <w:rPr>
          <w:rFonts w:ascii="Tahoma" w:hAnsi="Tahoma" w:cs="Tahoma"/>
          <w:sz w:val="18"/>
          <w:lang w:val="it-IT"/>
        </w:rPr>
        <w:t>’</w:t>
      </w:r>
      <w:r w:rsidRPr="00451078">
        <w:rPr>
          <w:rFonts w:ascii="Tahoma" w:hAnsi="Tahoma" w:cs="Tahoma"/>
          <w:sz w:val="18"/>
          <w:lang w:val="it-IT"/>
        </w:rPr>
        <w:t>ordine dovrà essere effettuato entro 30 giorni dalla scadenza della copertura precedente (90 giorni se il rinnovo viene effettuato sulla base del Programma Open License).</w:t>
      </w:r>
    </w:p>
    <w:p w:rsidR="00171817" w:rsidRPr="00451078" w:rsidRDefault="00171817" w:rsidP="00171817">
      <w:pPr>
        <w:pStyle w:val="AppendIndentSub"/>
        <w:tabs>
          <w:tab w:val="num" w:pos="0"/>
        </w:tabs>
        <w:ind w:left="0"/>
        <w:rPr>
          <w:lang w:val="it-IT"/>
        </w:rPr>
      </w:pPr>
    </w:p>
    <w:p w:rsidR="00171817" w:rsidRPr="00451078" w:rsidRDefault="00171817" w:rsidP="00171817">
      <w:pPr>
        <w:pStyle w:val="AppendIndentSub"/>
        <w:tabs>
          <w:tab w:val="num" w:pos="0"/>
        </w:tabs>
        <w:ind w:left="0"/>
        <w:rPr>
          <w:lang w:val="it-IT"/>
        </w:rPr>
      </w:pPr>
      <w:r w:rsidRPr="00451078">
        <w:rPr>
          <w:rFonts w:ascii="Tahoma" w:hAnsi="Tahoma" w:cs="Tahoma"/>
          <w:sz w:val="18"/>
          <w:szCs w:val="18"/>
          <w:lang w:val="it-IT"/>
        </w:rPr>
        <w:t>Per tutti i programmi, ad eccezione di Select Plus, l</w:t>
      </w:r>
      <w:r w:rsidR="004525CA">
        <w:rPr>
          <w:rFonts w:ascii="Tahoma" w:hAnsi="Tahoma" w:cs="Tahoma"/>
          <w:sz w:val="18"/>
          <w:szCs w:val="18"/>
          <w:lang w:val="it-IT"/>
        </w:rPr>
        <w:t>’</w:t>
      </w:r>
      <w:r w:rsidRPr="00451078">
        <w:rPr>
          <w:rFonts w:ascii="Tahoma" w:hAnsi="Tahoma" w:cs="Tahoma"/>
          <w:sz w:val="18"/>
          <w:szCs w:val="18"/>
          <w:lang w:val="it-IT"/>
        </w:rPr>
        <w:t>ordine dovrà riguardare il periodo di validità residuo del contratto o dell</w:t>
      </w:r>
      <w:r w:rsidR="004525CA">
        <w:rPr>
          <w:rFonts w:ascii="Tahoma" w:hAnsi="Tahoma" w:cs="Tahoma"/>
          <w:sz w:val="18"/>
          <w:szCs w:val="18"/>
          <w:lang w:val="it-IT"/>
        </w:rPr>
        <w:t>’</w:t>
      </w:r>
      <w:r w:rsidRPr="00451078">
        <w:rPr>
          <w:rFonts w:ascii="Tahoma" w:hAnsi="Tahoma" w:cs="Tahoma"/>
          <w:sz w:val="18"/>
          <w:szCs w:val="18"/>
          <w:lang w:val="it-IT"/>
        </w:rPr>
        <w:t>iscrizione in essere (ad esempio, SA x il numero di anni residui del periodo di validità dell</w:t>
      </w:r>
      <w:r w:rsidR="004525CA">
        <w:rPr>
          <w:rFonts w:ascii="Tahoma" w:hAnsi="Tahoma" w:cs="Tahoma"/>
          <w:sz w:val="18"/>
          <w:szCs w:val="18"/>
          <w:lang w:val="it-IT"/>
        </w:rPr>
        <w:t>’</w:t>
      </w:r>
      <w:r w:rsidRPr="00451078">
        <w:rPr>
          <w:rFonts w:ascii="Tahoma" w:hAnsi="Tahoma" w:cs="Tahoma"/>
          <w:sz w:val="18"/>
          <w:szCs w:val="18"/>
          <w:lang w:val="it-IT"/>
        </w:rPr>
        <w:t>iscrizione a partire dalla data dell</w:t>
      </w:r>
      <w:r w:rsidR="004525CA">
        <w:rPr>
          <w:rFonts w:ascii="Tahoma" w:hAnsi="Tahoma" w:cs="Tahoma"/>
          <w:sz w:val="18"/>
          <w:szCs w:val="18"/>
          <w:lang w:val="it-IT"/>
        </w:rPr>
        <w:t>’</w:t>
      </w:r>
      <w:r w:rsidRPr="00451078">
        <w:rPr>
          <w:rFonts w:ascii="Tahoma" w:hAnsi="Tahoma" w:cs="Tahoma"/>
          <w:sz w:val="18"/>
          <w:szCs w:val="18"/>
          <w:lang w:val="it-IT"/>
        </w:rPr>
        <w:t>ordine, incluso l</w:t>
      </w:r>
      <w:r w:rsidR="004525CA">
        <w:rPr>
          <w:rFonts w:ascii="Tahoma" w:hAnsi="Tahoma" w:cs="Tahoma"/>
          <w:sz w:val="18"/>
          <w:szCs w:val="18"/>
          <w:lang w:val="it-IT"/>
        </w:rPr>
        <w:t>’</w:t>
      </w:r>
      <w:r w:rsidRPr="00451078">
        <w:rPr>
          <w:rFonts w:ascii="Tahoma" w:hAnsi="Tahoma" w:cs="Tahoma"/>
          <w:sz w:val="18"/>
          <w:szCs w:val="18"/>
          <w:lang w:val="it-IT"/>
        </w:rPr>
        <w:t>eventuale anno parziale). In Select Plus il periodo di validità dell</w:t>
      </w:r>
      <w:r w:rsidR="004525CA">
        <w:rPr>
          <w:rFonts w:ascii="Tahoma" w:hAnsi="Tahoma" w:cs="Tahoma"/>
          <w:sz w:val="18"/>
          <w:szCs w:val="18"/>
          <w:lang w:val="it-IT"/>
        </w:rPr>
        <w:t>’</w:t>
      </w:r>
      <w:r w:rsidRPr="00451078">
        <w:rPr>
          <w:rFonts w:ascii="Tahoma" w:hAnsi="Tahoma" w:cs="Tahoma"/>
          <w:sz w:val="18"/>
          <w:szCs w:val="18"/>
          <w:lang w:val="it-IT"/>
        </w:rPr>
        <w:t>ordine sarà di 36</w:t>
      </w:r>
      <w:r w:rsidR="002B279A" w:rsidRPr="00451078">
        <w:rPr>
          <w:rFonts w:ascii="Tahoma" w:hAnsi="Tahoma" w:cs="Tahoma"/>
          <w:sz w:val="18"/>
          <w:szCs w:val="18"/>
          <w:lang w:val="it-IT"/>
        </w:rPr>
        <w:t> </w:t>
      </w:r>
      <w:r w:rsidRPr="00451078">
        <w:rPr>
          <w:rFonts w:ascii="Tahoma" w:hAnsi="Tahoma" w:cs="Tahoma"/>
          <w:sz w:val="18"/>
          <w:szCs w:val="18"/>
          <w:lang w:val="it-IT"/>
        </w:rPr>
        <w:t>mesi.</w:t>
      </w:r>
      <w:r w:rsidR="00082E1C" w:rsidRPr="00451078">
        <w:rPr>
          <w:rFonts w:ascii="Tahoma" w:hAnsi="Tahoma" w:cs="Tahoma"/>
          <w:sz w:val="18"/>
          <w:szCs w:val="18"/>
          <w:lang w:val="it-IT"/>
        </w:rPr>
        <w:t xml:space="preserve"> </w:t>
      </w:r>
      <w:r w:rsidRPr="00451078">
        <w:rPr>
          <w:rFonts w:ascii="Tahoma" w:hAnsi="Tahoma" w:cs="Tahoma"/>
          <w:sz w:val="18"/>
          <w:szCs w:val="18"/>
          <w:lang w:val="it-IT"/>
        </w:rPr>
        <w:t>Poiché i prezzi di Software Assurance non saranno suddivisi in misura proporzionale per l</w:t>
      </w:r>
      <w:r w:rsidR="004525CA">
        <w:rPr>
          <w:rFonts w:ascii="Tahoma" w:hAnsi="Tahoma" w:cs="Tahoma"/>
          <w:sz w:val="18"/>
          <w:szCs w:val="18"/>
          <w:lang w:val="it-IT"/>
        </w:rPr>
        <w:t>’</w:t>
      </w:r>
      <w:r w:rsidRPr="00451078">
        <w:rPr>
          <w:rFonts w:ascii="Tahoma" w:hAnsi="Tahoma" w:cs="Tahoma"/>
          <w:sz w:val="18"/>
          <w:szCs w:val="18"/>
          <w:lang w:val="it-IT"/>
        </w:rPr>
        <w:t>eventuale anno parziale di copertura, le società dovranno programmare gli ordini tenendo conto delle ricorrenze della data di entrata</w:t>
      </w:r>
      <w:r w:rsidR="002B279A" w:rsidRPr="00451078">
        <w:rPr>
          <w:rFonts w:ascii="Tahoma" w:hAnsi="Tahoma" w:cs="Tahoma"/>
          <w:sz w:val="18"/>
          <w:szCs w:val="18"/>
          <w:lang w:val="it-IT"/>
        </w:rPr>
        <w:t> </w:t>
      </w:r>
      <w:r w:rsidRPr="00451078">
        <w:rPr>
          <w:rFonts w:ascii="Tahoma" w:hAnsi="Tahoma" w:cs="Tahoma"/>
          <w:sz w:val="18"/>
          <w:szCs w:val="18"/>
          <w:lang w:val="it-IT"/>
        </w:rPr>
        <w:t>in vigore del contratto in essere. Per le versioni del Contratto 2008 e precedenti, qualora la copertura venga rinnovata nei 30 giorni precedenti (90 giorni se il rinnovo viene effettuato sulla base del Programma Open License), essa sarà attiva durante il periodo di tempo che intercorre tra la data di scadenza della precedente e la data di inizio</w:t>
      </w:r>
      <w:r w:rsidR="002B279A" w:rsidRPr="00451078">
        <w:rPr>
          <w:rFonts w:ascii="Tahoma" w:hAnsi="Tahoma" w:cs="Tahoma"/>
          <w:sz w:val="18"/>
          <w:szCs w:val="18"/>
          <w:lang w:val="it-IT"/>
        </w:rPr>
        <w:t> </w:t>
      </w:r>
      <w:r w:rsidRPr="00451078">
        <w:rPr>
          <w:rFonts w:ascii="Tahoma" w:hAnsi="Tahoma" w:cs="Tahoma"/>
          <w:sz w:val="18"/>
          <w:szCs w:val="18"/>
          <w:lang w:val="it-IT"/>
        </w:rPr>
        <w:t>di quella nuova. Le società saranno idonee a ricevere gli aggiornamenti resi disponibili durante tale periodo a</w:t>
      </w:r>
      <w:r w:rsidR="002B279A" w:rsidRPr="00451078">
        <w:rPr>
          <w:rFonts w:ascii="Tahoma" w:hAnsi="Tahoma" w:cs="Tahoma"/>
          <w:sz w:val="18"/>
          <w:szCs w:val="18"/>
          <w:lang w:val="it-IT"/>
        </w:rPr>
        <w:t> </w:t>
      </w:r>
      <w:r w:rsidRPr="00451078">
        <w:rPr>
          <w:rFonts w:ascii="Tahoma" w:hAnsi="Tahoma" w:cs="Tahoma"/>
          <w:sz w:val="18"/>
          <w:szCs w:val="18"/>
          <w:lang w:val="it-IT"/>
        </w:rPr>
        <w:t>condizione che la copertura venga rinnovata. </w:t>
      </w:r>
    </w:p>
    <w:p w:rsidR="00023FE7" w:rsidRPr="00451078" w:rsidRDefault="00023FE7">
      <w:pPr>
        <w:pStyle w:val="AppendixIndent"/>
        <w:tabs>
          <w:tab w:val="num" w:pos="0"/>
        </w:tabs>
        <w:ind w:left="0"/>
        <w:rPr>
          <w:lang w:val="it-IT"/>
        </w:rPr>
      </w:pPr>
    </w:p>
    <w:p w:rsidR="00023FE7" w:rsidRPr="00451078" w:rsidRDefault="00023FE7">
      <w:pPr>
        <w:rPr>
          <w:lang w:val="it-IT"/>
        </w:rPr>
      </w:pPr>
      <w:r w:rsidRPr="00451078">
        <w:rPr>
          <w:rFonts w:cs="Tahoma"/>
          <w:lang w:val="it-IT"/>
        </w:rPr>
        <w:br w:type="page"/>
      </w:r>
    </w:p>
    <w:p w:rsidR="00EA1A1E" w:rsidRPr="00451078" w:rsidRDefault="00EA1A1E" w:rsidP="00490CDF">
      <w:pPr>
        <w:pStyle w:val="Heading1"/>
        <w:rPr>
          <w:lang w:val="it-IT"/>
        </w:rPr>
      </w:pPr>
      <w:bookmarkStart w:id="769" w:name="_Toc336338227"/>
      <w:bookmarkStart w:id="770" w:name="_Toc352234822"/>
      <w:r w:rsidRPr="00451078">
        <w:rPr>
          <w:lang w:val="it-IT"/>
        </w:rPr>
        <w:lastRenderedPageBreak/>
        <w:t>ARTICOLO 7 - Vantaggi di Software Assurance (SA) e dei Servizi Online (OLS)</w:t>
      </w:r>
      <w:bookmarkEnd w:id="769"/>
      <w:bookmarkEnd w:id="770"/>
    </w:p>
    <w:p w:rsidR="00EA1A1E" w:rsidRPr="00712770" w:rsidRDefault="00EA1A1E" w:rsidP="00EA1A1E">
      <w:pPr>
        <w:rPr>
          <w:sz w:val="24"/>
          <w:szCs w:val="24"/>
          <w:lang w:val="it-IT"/>
        </w:rPr>
      </w:pPr>
    </w:p>
    <w:p w:rsidR="00E7419A" w:rsidRPr="00712770" w:rsidRDefault="00E7419A" w:rsidP="00E7419A">
      <w:pPr>
        <w:spacing w:after="60"/>
        <w:rPr>
          <w:szCs w:val="18"/>
          <w:lang w:val="it-IT"/>
        </w:rPr>
      </w:pPr>
      <w:r w:rsidRPr="00712770">
        <w:rPr>
          <w:rFonts w:cs="Tahoma"/>
          <w:szCs w:val="18"/>
          <w:lang w:val="it-IT"/>
        </w:rPr>
        <w:t>Nel presente articolo sono illustrati i vantaggi di Software Assurance e dei Servizi Online.</w:t>
      </w:r>
      <w:r w:rsidR="00082E1C" w:rsidRPr="00712770">
        <w:rPr>
          <w:rFonts w:cs="Tahoma"/>
          <w:szCs w:val="18"/>
          <w:lang w:val="it-IT"/>
        </w:rPr>
        <w:t xml:space="preserve"> </w:t>
      </w:r>
    </w:p>
    <w:p w:rsidR="00EA1A1E" w:rsidRPr="00712770" w:rsidRDefault="00EA1A1E" w:rsidP="00BA0707">
      <w:pPr>
        <w:rPr>
          <w:szCs w:val="18"/>
          <w:lang w:val="it-IT"/>
        </w:rPr>
      </w:pPr>
    </w:p>
    <w:p w:rsidR="003E606C" w:rsidRPr="00712770" w:rsidRDefault="003E606C" w:rsidP="0063466C">
      <w:pPr>
        <w:spacing w:after="60"/>
        <w:rPr>
          <w:szCs w:val="18"/>
          <w:lang w:val="it-IT"/>
        </w:rPr>
      </w:pPr>
      <w:r w:rsidRPr="00712770">
        <w:rPr>
          <w:rFonts w:cs="Tahoma"/>
          <w:b/>
          <w:szCs w:val="18"/>
          <w:lang w:val="it-IT"/>
        </w:rPr>
        <w:t>Vantaggi di Software Assurance</w:t>
      </w:r>
    </w:p>
    <w:p w:rsidR="00E7419A" w:rsidRPr="00712770" w:rsidRDefault="00E7419A" w:rsidP="0063466C">
      <w:pPr>
        <w:rPr>
          <w:szCs w:val="18"/>
          <w:lang w:val="it-IT"/>
        </w:rPr>
      </w:pPr>
      <w:r w:rsidRPr="00712770">
        <w:rPr>
          <w:rFonts w:cs="Tahoma"/>
          <w:szCs w:val="18"/>
          <w:lang w:val="it-IT"/>
        </w:rPr>
        <w:t>Questi vantaggi variano in base al prodotto e al pool di prodotti. L</w:t>
      </w:r>
      <w:r w:rsidR="004525CA">
        <w:rPr>
          <w:rFonts w:cs="Tahoma"/>
          <w:szCs w:val="18"/>
          <w:lang w:val="it-IT"/>
        </w:rPr>
        <w:t>’</w:t>
      </w:r>
      <w:r w:rsidRPr="00712770">
        <w:rPr>
          <w:rFonts w:cs="Tahoma"/>
          <w:szCs w:val="18"/>
          <w:lang w:val="it-IT"/>
        </w:rPr>
        <w:t>accesso da parte delle società e i relativi diritti di</w:t>
      </w:r>
      <w:r w:rsidR="002B279A" w:rsidRPr="00712770">
        <w:rPr>
          <w:rFonts w:cs="Tahoma"/>
          <w:szCs w:val="18"/>
          <w:lang w:val="it-IT"/>
        </w:rPr>
        <w:t> </w:t>
      </w:r>
      <w:r w:rsidRPr="00712770">
        <w:rPr>
          <w:rFonts w:cs="Tahoma"/>
          <w:szCs w:val="18"/>
          <w:lang w:val="it-IT"/>
        </w:rPr>
        <w:t>utilizzo dei loro vantaggi di Software Assurance terminano, in genere, alla scadenza della copertura Software Assurance. La maggior parte dei vantaggi Software Assurance viene assegnata all</w:t>
      </w:r>
      <w:r w:rsidR="004525CA">
        <w:rPr>
          <w:rFonts w:cs="Tahoma"/>
          <w:szCs w:val="18"/>
          <w:lang w:val="it-IT"/>
        </w:rPr>
        <w:t>’</w:t>
      </w:r>
      <w:r w:rsidRPr="00712770">
        <w:rPr>
          <w:rFonts w:cs="Tahoma"/>
          <w:szCs w:val="18"/>
          <w:lang w:val="it-IT"/>
        </w:rPr>
        <w:t>inizio del periodo di copertura.</w:t>
      </w:r>
      <w:r w:rsidR="00082E1C" w:rsidRPr="00712770">
        <w:rPr>
          <w:rFonts w:cs="Tahoma"/>
          <w:szCs w:val="18"/>
          <w:lang w:val="it-IT"/>
        </w:rPr>
        <w:t xml:space="preserve"> </w:t>
      </w:r>
      <w:r w:rsidRPr="00712770">
        <w:rPr>
          <w:rFonts w:cs="Tahoma"/>
          <w:szCs w:val="18"/>
          <w:lang w:val="it-IT"/>
        </w:rPr>
        <w:t>Le</w:t>
      </w:r>
      <w:r w:rsidR="002B279A" w:rsidRPr="00712770">
        <w:rPr>
          <w:rFonts w:cs="Tahoma"/>
          <w:szCs w:val="18"/>
          <w:lang w:val="it-IT"/>
        </w:rPr>
        <w:t> </w:t>
      </w:r>
      <w:r w:rsidRPr="00712770">
        <w:rPr>
          <w:rFonts w:cs="Tahoma"/>
          <w:szCs w:val="18"/>
          <w:lang w:val="it-IT"/>
        </w:rPr>
        <w:t>eventuali modifiche verificatesi durante il periodo di copertura (ad esempio acquisti aggiuntivi, resi o transizioni dei servizi online) potranno comportare variazioni nell</w:t>
      </w:r>
      <w:r w:rsidR="004525CA">
        <w:rPr>
          <w:rFonts w:cs="Tahoma"/>
          <w:szCs w:val="18"/>
          <w:lang w:val="it-IT"/>
        </w:rPr>
        <w:t>’</w:t>
      </w:r>
      <w:r w:rsidRPr="00712770">
        <w:rPr>
          <w:rFonts w:cs="Tahoma"/>
          <w:szCs w:val="18"/>
          <w:lang w:val="it-IT"/>
        </w:rPr>
        <w:t>idoneità a ricevere i vantaggi.</w:t>
      </w:r>
    </w:p>
    <w:p w:rsidR="00BA0707" w:rsidRPr="00712770" w:rsidRDefault="00BA0707" w:rsidP="00BA0707">
      <w:pPr>
        <w:rPr>
          <w:szCs w:val="18"/>
          <w:lang w:val="it-IT"/>
        </w:rPr>
      </w:pPr>
    </w:p>
    <w:p w:rsidR="0063466C" w:rsidRPr="00712770" w:rsidRDefault="0063466C" w:rsidP="0063466C">
      <w:pPr>
        <w:spacing w:after="60"/>
        <w:rPr>
          <w:szCs w:val="18"/>
          <w:lang w:val="it-IT"/>
        </w:rPr>
      </w:pPr>
      <w:r w:rsidRPr="00712770">
        <w:rPr>
          <w:rFonts w:cs="Tahoma"/>
          <w:b/>
          <w:szCs w:val="18"/>
          <w:lang w:val="it-IT"/>
        </w:rPr>
        <w:t>Vantaggi dei Servizi Online</w:t>
      </w:r>
    </w:p>
    <w:p w:rsidR="00E7419A" w:rsidRPr="00712770" w:rsidRDefault="009F1A2B" w:rsidP="0063466C">
      <w:pPr>
        <w:rPr>
          <w:szCs w:val="18"/>
          <w:lang w:val="it-IT"/>
        </w:rPr>
      </w:pPr>
      <w:r w:rsidRPr="00712770">
        <w:rPr>
          <w:rFonts w:cs="Tahoma"/>
          <w:szCs w:val="18"/>
          <w:lang w:val="it-IT"/>
        </w:rPr>
        <w:t>Tali vantaggi variano in base al prodotto.</w:t>
      </w:r>
      <w:r w:rsidR="00082E1C" w:rsidRPr="00712770">
        <w:rPr>
          <w:rFonts w:cs="Tahoma"/>
          <w:szCs w:val="18"/>
          <w:lang w:val="it-IT"/>
        </w:rPr>
        <w:t xml:space="preserve"> </w:t>
      </w:r>
      <w:r w:rsidRPr="00712770">
        <w:rPr>
          <w:rFonts w:cs="Tahoma"/>
          <w:szCs w:val="18"/>
          <w:lang w:val="it-IT"/>
        </w:rPr>
        <w:t>L</w:t>
      </w:r>
      <w:r w:rsidR="004525CA">
        <w:rPr>
          <w:rFonts w:cs="Tahoma"/>
          <w:szCs w:val="18"/>
          <w:lang w:val="it-IT"/>
        </w:rPr>
        <w:t>’</w:t>
      </w:r>
      <w:r w:rsidRPr="00712770">
        <w:rPr>
          <w:rFonts w:cs="Tahoma"/>
          <w:szCs w:val="18"/>
          <w:lang w:val="it-IT"/>
        </w:rPr>
        <w:t xml:space="preserve">accesso da parte delle società e i relativi diritti di utilizzo dei loro vantaggi dei Servizi Online terminano alla scadenza della rispettiva licenza di abbonamento ai servizi online. </w:t>
      </w:r>
    </w:p>
    <w:p w:rsidR="009F1A2B" w:rsidRPr="00712770" w:rsidRDefault="009F1A2B" w:rsidP="0063466C">
      <w:pPr>
        <w:rPr>
          <w:szCs w:val="18"/>
          <w:lang w:val="it-IT"/>
        </w:rPr>
      </w:pPr>
    </w:p>
    <w:p w:rsidR="00E7419A" w:rsidRPr="00712770" w:rsidRDefault="00E7419A" w:rsidP="0063466C">
      <w:pPr>
        <w:rPr>
          <w:szCs w:val="18"/>
          <w:lang w:val="it-IT"/>
        </w:rPr>
      </w:pPr>
      <w:r w:rsidRPr="00712770">
        <w:rPr>
          <w:rFonts w:cs="Tahoma"/>
          <w:szCs w:val="18"/>
          <w:lang w:val="it-IT"/>
        </w:rPr>
        <w:t>Eventuali eccezioni alle regole precedenti sono riportate negli articoli che seguono riguardanti i singoli vantaggi.</w:t>
      </w:r>
      <w:r w:rsidR="00082E1C" w:rsidRPr="00712770">
        <w:rPr>
          <w:rFonts w:cs="Tahoma"/>
          <w:szCs w:val="18"/>
          <w:lang w:val="it-IT"/>
        </w:rPr>
        <w:t xml:space="preserve"> </w:t>
      </w:r>
      <w:r w:rsidRPr="00712770">
        <w:rPr>
          <w:rFonts w:cs="Tahoma"/>
          <w:szCs w:val="18"/>
          <w:lang w:val="it-IT"/>
        </w:rPr>
        <w:t>I</w:t>
      </w:r>
      <w:r w:rsidR="002B279A" w:rsidRPr="00712770">
        <w:rPr>
          <w:rFonts w:cs="Tahoma"/>
          <w:szCs w:val="18"/>
          <w:lang w:val="it-IT"/>
        </w:rPr>
        <w:t> </w:t>
      </w:r>
      <w:r w:rsidRPr="00712770">
        <w:rPr>
          <w:rFonts w:cs="Tahoma"/>
          <w:szCs w:val="18"/>
          <w:lang w:val="it-IT"/>
        </w:rPr>
        <w:t>vantaggi sono soggetti a modifiche e possono essere interrotti senza preavviso e in qualsiasi momento. La</w:t>
      </w:r>
      <w:r w:rsidR="002B279A" w:rsidRPr="00712770">
        <w:rPr>
          <w:rFonts w:cs="Tahoma"/>
          <w:szCs w:val="18"/>
          <w:lang w:val="it-IT"/>
        </w:rPr>
        <w:t> </w:t>
      </w:r>
      <w:r w:rsidRPr="00712770">
        <w:rPr>
          <w:rFonts w:cs="Tahoma"/>
          <w:szCs w:val="18"/>
          <w:lang w:val="it-IT"/>
        </w:rPr>
        <w:t xml:space="preserve">disponibilità dei vantaggi varia in base al programma, alla regione, alle opzioni di adempimento e alla lingua. </w:t>
      </w:r>
    </w:p>
    <w:p w:rsidR="00023FE7" w:rsidRPr="00712770" w:rsidRDefault="00023FE7" w:rsidP="0063466C">
      <w:pPr>
        <w:pStyle w:val="AppendixBodyText"/>
        <w:spacing w:after="0"/>
        <w:rPr>
          <w:sz w:val="18"/>
          <w:szCs w:val="18"/>
          <w:lang w:val="it-IT"/>
        </w:rPr>
      </w:pPr>
    </w:p>
    <w:p w:rsidR="00023FE7" w:rsidRPr="00451078" w:rsidRDefault="00023FE7" w:rsidP="0063466C">
      <w:pPr>
        <w:pStyle w:val="AppendixBodyText"/>
        <w:spacing w:after="0"/>
        <w:rPr>
          <w:lang w:val="it-IT"/>
        </w:rPr>
      </w:pPr>
      <w:r w:rsidRPr="00712770">
        <w:rPr>
          <w:rFonts w:ascii="Tahoma" w:hAnsi="Tahoma" w:cs="Tahoma"/>
          <w:sz w:val="18"/>
          <w:szCs w:val="18"/>
          <w:lang w:val="it-IT"/>
        </w:rPr>
        <w:t>I vantaggi di Software Assurance e dei</w:t>
      </w:r>
      <w:r w:rsidRPr="00451078">
        <w:rPr>
          <w:rFonts w:ascii="Tahoma" w:hAnsi="Tahoma" w:cs="Tahoma"/>
          <w:sz w:val="18"/>
          <w:lang w:val="it-IT"/>
        </w:rPr>
        <w:t xml:space="preserve"> Servizi Online sono allocati nei diversi programmi secondo la modalità visualizzata nella seguente tabella:</w:t>
      </w:r>
    </w:p>
    <w:p w:rsidR="00023FE7" w:rsidRPr="00451078" w:rsidRDefault="00023FE7" w:rsidP="00BA0707">
      <w:pPr>
        <w:pStyle w:val="AppendixBodyText"/>
        <w:spacing w:after="0"/>
        <w:rPr>
          <w:lang w:val="it-IT"/>
        </w:rPr>
      </w:pPr>
    </w:p>
    <w:tbl>
      <w:tblPr>
        <w:tblW w:w="9637" w:type="dxa"/>
        <w:tblInd w:w="92" w:type="dxa"/>
        <w:tblBorders>
          <w:top w:val="single" w:sz="8" w:space="0" w:color="auto"/>
          <w:left w:val="single" w:sz="8" w:space="0" w:color="auto"/>
          <w:bottom w:val="single" w:sz="8" w:space="0" w:color="auto"/>
          <w:right w:val="single" w:sz="8" w:space="0" w:color="auto"/>
          <w:insideH w:val="single" w:sz="8" w:space="0" w:color="auto"/>
          <w:insideV w:val="single" w:sz="8" w:space="0" w:color="auto"/>
        </w:tblBorders>
        <w:tblLayout w:type="fixed"/>
        <w:tblCellMar>
          <w:left w:w="99" w:type="dxa"/>
          <w:right w:w="99" w:type="dxa"/>
        </w:tblCellMar>
        <w:tblLook w:val="01E0" w:firstRow="1" w:lastRow="1" w:firstColumn="1" w:lastColumn="1" w:noHBand="0" w:noVBand="0"/>
      </w:tblPr>
      <w:tblGrid>
        <w:gridCol w:w="1492"/>
        <w:gridCol w:w="1242"/>
        <w:gridCol w:w="1440"/>
        <w:gridCol w:w="1683"/>
        <w:gridCol w:w="2520"/>
        <w:gridCol w:w="1260"/>
      </w:tblGrid>
      <w:tr w:rsidR="009233CA" w:rsidRPr="003410C7" w:rsidTr="00856480">
        <w:trPr>
          <w:trHeight w:val="178"/>
        </w:trPr>
        <w:tc>
          <w:tcPr>
            <w:tcW w:w="1492" w:type="dxa"/>
            <w:shd w:val="clear" w:color="auto" w:fill="FFCC99"/>
            <w:vAlign w:val="center"/>
          </w:tcPr>
          <w:p w:rsidR="00394D2B" w:rsidRPr="003410C7" w:rsidRDefault="00394D2B" w:rsidP="00FF3343">
            <w:pPr>
              <w:pStyle w:val="AppendixTableHeadings"/>
              <w:jc w:val="left"/>
              <w:rPr>
                <w:rFonts w:ascii="Tahoma" w:hAnsi="Tahoma" w:cs="Tahoma"/>
                <w:sz w:val="20"/>
                <w:szCs w:val="20"/>
              </w:rPr>
            </w:pPr>
            <w:r w:rsidRPr="003410C7">
              <w:rPr>
                <w:rFonts w:ascii="Tahoma" w:hAnsi="Tahoma" w:cs="Tahoma"/>
                <w:sz w:val="20"/>
                <w:szCs w:val="20"/>
              </w:rPr>
              <w:t>Programmi</w:t>
            </w:r>
          </w:p>
        </w:tc>
        <w:tc>
          <w:tcPr>
            <w:tcW w:w="1242" w:type="dxa"/>
            <w:shd w:val="clear" w:color="auto" w:fill="FFCC99"/>
            <w:vAlign w:val="center"/>
          </w:tcPr>
          <w:p w:rsidR="00394D2B" w:rsidRPr="003410C7" w:rsidRDefault="00394D2B" w:rsidP="00FF3343">
            <w:pPr>
              <w:pStyle w:val="AppendixTableHeadings"/>
              <w:jc w:val="left"/>
              <w:rPr>
                <w:rFonts w:ascii="Tahoma" w:hAnsi="Tahoma" w:cs="Tahoma"/>
                <w:sz w:val="20"/>
                <w:szCs w:val="20"/>
              </w:rPr>
            </w:pPr>
            <w:r w:rsidRPr="003410C7">
              <w:rPr>
                <w:rFonts w:ascii="Tahoma" w:hAnsi="Tahoma" w:cs="Tahoma"/>
                <w:sz w:val="20"/>
                <w:szCs w:val="20"/>
              </w:rPr>
              <w:t>Licenza Open</w:t>
            </w:r>
          </w:p>
        </w:tc>
        <w:tc>
          <w:tcPr>
            <w:tcW w:w="1440" w:type="dxa"/>
            <w:shd w:val="clear" w:color="auto" w:fill="FFCC99"/>
            <w:vAlign w:val="center"/>
          </w:tcPr>
          <w:p w:rsidR="00394D2B" w:rsidRPr="003410C7" w:rsidRDefault="00394D2B" w:rsidP="00FF3343">
            <w:pPr>
              <w:pStyle w:val="AppendixTableHeadings"/>
              <w:jc w:val="left"/>
              <w:rPr>
                <w:rFonts w:ascii="Tahoma" w:hAnsi="Tahoma" w:cs="Tahoma"/>
                <w:sz w:val="20"/>
                <w:szCs w:val="20"/>
              </w:rPr>
            </w:pPr>
            <w:r w:rsidRPr="003410C7">
              <w:rPr>
                <w:rFonts w:ascii="Tahoma" w:hAnsi="Tahoma" w:cs="Tahoma"/>
                <w:sz w:val="20"/>
                <w:szCs w:val="20"/>
              </w:rPr>
              <w:t>Open Value</w:t>
            </w:r>
          </w:p>
        </w:tc>
        <w:tc>
          <w:tcPr>
            <w:tcW w:w="1683" w:type="dxa"/>
            <w:shd w:val="clear" w:color="auto" w:fill="FFCC99"/>
            <w:vAlign w:val="center"/>
          </w:tcPr>
          <w:p w:rsidR="00394D2B" w:rsidRPr="003410C7" w:rsidRDefault="00394D2B" w:rsidP="00FF3343">
            <w:pPr>
              <w:pStyle w:val="AppendixTableHeadings"/>
              <w:jc w:val="left"/>
              <w:rPr>
                <w:rFonts w:ascii="Tahoma" w:hAnsi="Tahoma" w:cs="Tahoma"/>
                <w:sz w:val="20"/>
                <w:szCs w:val="20"/>
              </w:rPr>
            </w:pPr>
            <w:r w:rsidRPr="003410C7">
              <w:rPr>
                <w:rFonts w:ascii="Tahoma" w:hAnsi="Tahoma" w:cs="Tahoma"/>
                <w:sz w:val="20"/>
                <w:szCs w:val="20"/>
              </w:rPr>
              <w:t>Open Value Subscription - Education Solutions</w:t>
            </w:r>
          </w:p>
        </w:tc>
        <w:tc>
          <w:tcPr>
            <w:tcW w:w="2520" w:type="dxa"/>
            <w:shd w:val="clear" w:color="auto" w:fill="FFCC99"/>
            <w:vAlign w:val="center"/>
          </w:tcPr>
          <w:p w:rsidR="00394D2B" w:rsidRPr="00451078" w:rsidRDefault="00394D2B" w:rsidP="00FF3343">
            <w:pPr>
              <w:pStyle w:val="AppendixTableHeadings"/>
              <w:jc w:val="left"/>
              <w:rPr>
                <w:lang w:val="it-IT"/>
              </w:rPr>
            </w:pPr>
            <w:r w:rsidRPr="00451078">
              <w:rPr>
                <w:rFonts w:ascii="Tahoma" w:hAnsi="Tahoma" w:cs="Tahoma"/>
                <w:sz w:val="20"/>
                <w:szCs w:val="20"/>
                <w:lang w:val="it-IT"/>
              </w:rPr>
              <w:t>Select*</w:t>
            </w:r>
          </w:p>
          <w:p w:rsidR="00394D2B" w:rsidRPr="00451078" w:rsidRDefault="00394D2B" w:rsidP="00FF3343">
            <w:pPr>
              <w:pStyle w:val="AppendixTableHeadings"/>
              <w:jc w:val="left"/>
              <w:rPr>
                <w:lang w:val="it-IT"/>
              </w:rPr>
            </w:pPr>
            <w:r w:rsidRPr="00451078">
              <w:rPr>
                <w:rFonts w:ascii="Tahoma" w:hAnsi="Tahoma" w:cs="Tahoma"/>
                <w:sz w:val="20"/>
                <w:szCs w:val="20"/>
                <w:lang w:val="it-IT"/>
              </w:rPr>
              <w:t>Contratto Enterprise</w:t>
            </w:r>
          </w:p>
          <w:p w:rsidR="00394D2B" w:rsidRPr="00451078" w:rsidRDefault="00394D2B" w:rsidP="00FF3343">
            <w:pPr>
              <w:pStyle w:val="AppendixTableHeadings"/>
              <w:jc w:val="left"/>
              <w:rPr>
                <w:lang w:val="it-IT"/>
              </w:rPr>
            </w:pPr>
            <w:r w:rsidRPr="00451078">
              <w:rPr>
                <w:rFonts w:ascii="Tahoma" w:hAnsi="Tahoma" w:cs="Tahoma"/>
                <w:sz w:val="20"/>
                <w:szCs w:val="20"/>
                <w:lang w:val="it-IT"/>
              </w:rPr>
              <w:t>Enrollment for Education Solutions ai</w:t>
            </w:r>
            <w:r w:rsidR="002B279A" w:rsidRPr="00451078">
              <w:rPr>
                <w:rFonts w:ascii="Tahoma" w:hAnsi="Tahoma" w:cs="Tahoma"/>
                <w:sz w:val="20"/>
                <w:szCs w:val="20"/>
                <w:lang w:val="it-IT"/>
              </w:rPr>
              <w:t> </w:t>
            </w:r>
            <w:r w:rsidRPr="00451078">
              <w:rPr>
                <w:rFonts w:ascii="Tahoma" w:hAnsi="Tahoma" w:cs="Tahoma"/>
                <w:sz w:val="20"/>
                <w:szCs w:val="20"/>
                <w:lang w:val="it-IT"/>
              </w:rPr>
              <w:t>sensi del Contratto</w:t>
            </w:r>
            <w:r w:rsidR="002B279A" w:rsidRPr="00451078">
              <w:rPr>
                <w:rFonts w:ascii="Tahoma" w:hAnsi="Tahoma" w:cs="Tahoma"/>
                <w:sz w:val="20"/>
                <w:szCs w:val="20"/>
                <w:lang w:val="it-IT"/>
              </w:rPr>
              <w:t> </w:t>
            </w:r>
            <w:r w:rsidRPr="00451078">
              <w:rPr>
                <w:rFonts w:ascii="Tahoma" w:hAnsi="Tahoma" w:cs="Tahoma"/>
                <w:sz w:val="20"/>
                <w:szCs w:val="20"/>
                <w:lang w:val="it-IT"/>
              </w:rPr>
              <w:t>Campus e</w:t>
            </w:r>
          </w:p>
          <w:p w:rsidR="00394D2B" w:rsidRPr="003410C7" w:rsidRDefault="00394D2B" w:rsidP="00FF3343">
            <w:pPr>
              <w:pStyle w:val="AppendixTableHeadings"/>
              <w:jc w:val="left"/>
              <w:rPr>
                <w:rFonts w:ascii="Tahoma" w:hAnsi="Tahoma" w:cs="Tahoma"/>
                <w:sz w:val="20"/>
                <w:szCs w:val="20"/>
              </w:rPr>
            </w:pPr>
            <w:r w:rsidRPr="003410C7">
              <w:rPr>
                <w:rFonts w:ascii="Tahoma" w:hAnsi="Tahoma" w:cs="Tahoma"/>
                <w:sz w:val="20"/>
                <w:szCs w:val="20"/>
              </w:rPr>
              <w:t>School</w:t>
            </w:r>
          </w:p>
        </w:tc>
        <w:tc>
          <w:tcPr>
            <w:tcW w:w="1260" w:type="dxa"/>
            <w:shd w:val="clear" w:color="auto" w:fill="FFCC99"/>
            <w:vAlign w:val="center"/>
          </w:tcPr>
          <w:p w:rsidR="00394D2B" w:rsidRPr="003410C7" w:rsidRDefault="00394D2B" w:rsidP="007E466C">
            <w:pPr>
              <w:pStyle w:val="AppendixTableHeadings"/>
              <w:rPr>
                <w:rFonts w:ascii="Tahoma" w:hAnsi="Tahoma" w:cs="Tahoma"/>
                <w:sz w:val="20"/>
                <w:szCs w:val="20"/>
              </w:rPr>
            </w:pPr>
            <w:r w:rsidRPr="003410C7">
              <w:rPr>
                <w:rFonts w:ascii="Tahoma" w:hAnsi="Tahoma" w:cs="Tahoma"/>
                <w:sz w:val="20"/>
                <w:szCs w:val="20"/>
              </w:rPr>
              <w:t>Select Plus</w:t>
            </w:r>
          </w:p>
        </w:tc>
      </w:tr>
      <w:tr w:rsidR="009233CA" w:rsidRPr="003410C7" w:rsidTr="00856480">
        <w:trPr>
          <w:trHeight w:val="369"/>
        </w:trPr>
        <w:tc>
          <w:tcPr>
            <w:tcW w:w="1492" w:type="dxa"/>
            <w:vAlign w:val="center"/>
          </w:tcPr>
          <w:p w:rsidR="00394D2B" w:rsidRPr="00451078" w:rsidRDefault="00394D2B">
            <w:pPr>
              <w:pStyle w:val="AppendixTableText"/>
              <w:rPr>
                <w:rFonts w:ascii="Tahoma" w:hAnsi="Tahoma" w:cs="Tahoma"/>
                <w:szCs w:val="20"/>
                <w:lang w:val="it-IT"/>
              </w:rPr>
            </w:pPr>
            <w:r w:rsidRPr="00451078">
              <w:rPr>
                <w:rFonts w:ascii="Tahoma" w:hAnsi="Tahoma" w:cs="Tahoma"/>
                <w:szCs w:val="20"/>
                <w:lang w:val="it-IT"/>
              </w:rPr>
              <w:t>I vantaggi sono disponibili in base a:</w:t>
            </w:r>
          </w:p>
        </w:tc>
        <w:tc>
          <w:tcPr>
            <w:tcW w:w="1242" w:type="dxa"/>
            <w:vAlign w:val="center"/>
          </w:tcPr>
          <w:p w:rsidR="00394D2B" w:rsidRPr="003410C7" w:rsidRDefault="00394D2B" w:rsidP="00856480">
            <w:pPr>
              <w:pStyle w:val="AppendixTableText"/>
              <w:rPr>
                <w:rFonts w:ascii="Tahoma" w:hAnsi="Tahoma" w:cs="Tahoma"/>
                <w:szCs w:val="20"/>
              </w:rPr>
            </w:pPr>
            <w:r w:rsidRPr="003410C7">
              <w:rPr>
                <w:rFonts w:ascii="Tahoma" w:hAnsi="Tahoma" w:cs="Tahoma"/>
                <w:szCs w:val="20"/>
              </w:rPr>
              <w:t>Numero di</w:t>
            </w:r>
            <w:r w:rsidR="00856480">
              <w:rPr>
                <w:rFonts w:ascii="Tahoma" w:hAnsi="Tahoma" w:cs="Tahoma"/>
                <w:szCs w:val="20"/>
              </w:rPr>
              <w:t> </w:t>
            </w:r>
            <w:r w:rsidRPr="003410C7">
              <w:rPr>
                <w:rFonts w:ascii="Tahoma" w:hAnsi="Tahoma" w:cs="Tahoma"/>
                <w:szCs w:val="20"/>
              </w:rPr>
              <w:t>licenza</w:t>
            </w:r>
          </w:p>
        </w:tc>
        <w:tc>
          <w:tcPr>
            <w:tcW w:w="1440" w:type="dxa"/>
            <w:vAlign w:val="center"/>
          </w:tcPr>
          <w:p w:rsidR="00394D2B" w:rsidRPr="003410C7" w:rsidRDefault="00394D2B">
            <w:pPr>
              <w:pStyle w:val="AppendixTableText"/>
              <w:rPr>
                <w:rFonts w:ascii="Tahoma" w:hAnsi="Tahoma" w:cs="Tahoma"/>
                <w:szCs w:val="20"/>
              </w:rPr>
            </w:pPr>
            <w:r w:rsidRPr="003410C7">
              <w:rPr>
                <w:rFonts w:ascii="Tahoma" w:hAnsi="Tahoma" w:cs="Tahoma"/>
                <w:szCs w:val="20"/>
              </w:rPr>
              <w:t>Contratto</w:t>
            </w:r>
          </w:p>
        </w:tc>
        <w:tc>
          <w:tcPr>
            <w:tcW w:w="1683" w:type="dxa"/>
            <w:vAlign w:val="center"/>
          </w:tcPr>
          <w:p w:rsidR="00394D2B" w:rsidRPr="003410C7" w:rsidRDefault="00394D2B" w:rsidP="00394D2B">
            <w:pPr>
              <w:pStyle w:val="AppendixTableText"/>
              <w:rPr>
                <w:rFonts w:ascii="Tahoma" w:hAnsi="Tahoma" w:cs="Tahoma"/>
                <w:szCs w:val="20"/>
              </w:rPr>
            </w:pPr>
            <w:r w:rsidRPr="003410C7">
              <w:rPr>
                <w:rFonts w:ascii="Tahoma" w:hAnsi="Tahoma" w:cs="Tahoma"/>
                <w:szCs w:val="20"/>
              </w:rPr>
              <w:t>Contratto</w:t>
            </w:r>
          </w:p>
        </w:tc>
        <w:tc>
          <w:tcPr>
            <w:tcW w:w="2520" w:type="dxa"/>
            <w:vAlign w:val="center"/>
          </w:tcPr>
          <w:p w:rsidR="00394D2B" w:rsidRPr="003410C7" w:rsidRDefault="00394D2B">
            <w:pPr>
              <w:pStyle w:val="AppendixTableText"/>
              <w:rPr>
                <w:rFonts w:ascii="Tahoma" w:hAnsi="Tahoma" w:cs="Tahoma"/>
                <w:szCs w:val="20"/>
              </w:rPr>
            </w:pPr>
            <w:r w:rsidRPr="003410C7">
              <w:rPr>
                <w:rFonts w:ascii="Tahoma" w:hAnsi="Tahoma" w:cs="Tahoma"/>
                <w:szCs w:val="20"/>
              </w:rPr>
              <w:t>Qualificante</w:t>
            </w:r>
          </w:p>
        </w:tc>
        <w:tc>
          <w:tcPr>
            <w:tcW w:w="1260" w:type="dxa"/>
          </w:tcPr>
          <w:p w:rsidR="00394D2B" w:rsidRPr="003410C7" w:rsidRDefault="00394D2B">
            <w:pPr>
              <w:pStyle w:val="AppendixTableText"/>
              <w:rPr>
                <w:rFonts w:ascii="Tahoma" w:hAnsi="Tahoma" w:cs="Tahoma"/>
                <w:szCs w:val="20"/>
              </w:rPr>
            </w:pPr>
            <w:r w:rsidRPr="003410C7">
              <w:rPr>
                <w:rFonts w:ascii="Tahoma" w:hAnsi="Tahoma" w:cs="Tahoma"/>
                <w:szCs w:val="20"/>
              </w:rPr>
              <w:t>Consociata Registrata</w:t>
            </w:r>
          </w:p>
        </w:tc>
      </w:tr>
    </w:tbl>
    <w:p w:rsidR="00023FE7" w:rsidRPr="00451078" w:rsidRDefault="00023FE7" w:rsidP="0063466C">
      <w:pPr>
        <w:pStyle w:val="AppendixBodyText"/>
        <w:spacing w:after="0"/>
        <w:ind w:right="403"/>
        <w:rPr>
          <w:lang w:val="it-IT"/>
        </w:rPr>
      </w:pPr>
      <w:r w:rsidRPr="00451078">
        <w:rPr>
          <w:rFonts w:ascii="Tahoma" w:hAnsi="Tahoma" w:cs="Tahoma"/>
          <w:b/>
          <w:i/>
          <w:sz w:val="16"/>
          <w:szCs w:val="16"/>
          <w:lang w:val="it-IT"/>
        </w:rPr>
        <w:t>Nota:</w:t>
      </w:r>
      <w:r w:rsidRPr="00451078">
        <w:rPr>
          <w:rFonts w:ascii="Tahoma" w:hAnsi="Tahoma" w:cs="Tahoma"/>
          <w:i/>
          <w:sz w:val="16"/>
          <w:szCs w:val="16"/>
          <w:lang w:val="it-IT"/>
        </w:rPr>
        <w:t xml:space="preserve"> *le società che stipulano Contratti Enterprise Volume Licensing per la sanità canadese riceveranno vantaggi di SA conformi ai vantaggi SA disponibili per le società che acquistano prodotti attraverso Microsoft Open Value.</w:t>
      </w:r>
    </w:p>
    <w:p w:rsidR="00023FE7" w:rsidRPr="00451078" w:rsidRDefault="00023FE7" w:rsidP="0063466C">
      <w:pPr>
        <w:pStyle w:val="AppendixBodyText"/>
        <w:spacing w:after="0"/>
        <w:rPr>
          <w:lang w:val="it-IT"/>
        </w:rPr>
      </w:pPr>
    </w:p>
    <w:p w:rsidR="00023FE7" w:rsidRPr="00451078" w:rsidRDefault="00023FE7" w:rsidP="0063466C">
      <w:pPr>
        <w:pStyle w:val="AppendixBodyText"/>
        <w:spacing w:after="0"/>
        <w:rPr>
          <w:lang w:val="it-IT"/>
        </w:rPr>
      </w:pPr>
      <w:r w:rsidRPr="00451078">
        <w:rPr>
          <w:rFonts w:ascii="Tahoma" w:hAnsi="Tahoma" w:cs="Tahoma"/>
          <w:sz w:val="18"/>
          <w:lang w:val="it-IT"/>
        </w:rPr>
        <w:t>Nella tabella che segue sono illustrati i vantaggi di Software Assurance e dei Servizi Online.</w:t>
      </w:r>
      <w:r w:rsidR="00082E1C" w:rsidRPr="00451078">
        <w:rPr>
          <w:rFonts w:ascii="Tahoma" w:hAnsi="Tahoma" w:cs="Tahoma"/>
          <w:sz w:val="18"/>
          <w:lang w:val="it-IT"/>
        </w:rPr>
        <w:t xml:space="preserve"> </w:t>
      </w:r>
      <w:r w:rsidRPr="00451078">
        <w:rPr>
          <w:rFonts w:ascii="Tahoma" w:hAnsi="Tahoma" w:cs="Tahoma"/>
          <w:sz w:val="18"/>
          <w:lang w:val="it-IT"/>
        </w:rPr>
        <w:t>Alcuni vantaggi corrispondono a licenze individuali per le quali è stata acquistata la copertura Software Assurance.</w:t>
      </w:r>
      <w:r w:rsidR="00082E1C" w:rsidRPr="00451078">
        <w:rPr>
          <w:rFonts w:ascii="Tahoma" w:hAnsi="Tahoma" w:cs="Tahoma"/>
          <w:sz w:val="18"/>
          <w:lang w:val="it-IT"/>
        </w:rPr>
        <w:t xml:space="preserve"> </w:t>
      </w:r>
      <w:r w:rsidRPr="00451078">
        <w:rPr>
          <w:rFonts w:ascii="Tahoma" w:hAnsi="Tahoma" w:cs="Tahoma"/>
          <w:sz w:val="18"/>
          <w:lang w:val="it-IT"/>
        </w:rPr>
        <w:t>La copertura</w:t>
      </w:r>
      <w:r w:rsidR="00856480" w:rsidRPr="00451078">
        <w:rPr>
          <w:rFonts w:ascii="Tahoma" w:hAnsi="Tahoma" w:cs="Tahoma"/>
          <w:sz w:val="18"/>
          <w:lang w:val="it-IT"/>
        </w:rPr>
        <w:t> </w:t>
      </w:r>
      <w:r w:rsidRPr="00451078">
        <w:rPr>
          <w:rFonts w:ascii="Tahoma" w:hAnsi="Tahoma" w:cs="Tahoma"/>
          <w:sz w:val="18"/>
          <w:lang w:val="it-IT"/>
        </w:rPr>
        <w:t>Software Assurance attiva o altra protezione dell</w:t>
      </w:r>
      <w:r w:rsidR="004525CA">
        <w:rPr>
          <w:rFonts w:ascii="Tahoma" w:hAnsi="Tahoma" w:cs="Tahoma"/>
          <w:sz w:val="18"/>
          <w:lang w:val="it-IT"/>
        </w:rPr>
        <w:t>’</w:t>
      </w:r>
      <w:r w:rsidRPr="00451078">
        <w:rPr>
          <w:rFonts w:ascii="Tahoma" w:hAnsi="Tahoma" w:cs="Tahoma"/>
          <w:sz w:val="18"/>
          <w:lang w:val="it-IT"/>
        </w:rPr>
        <w:t>aggiornamento per qualsiasi prodotto qualificante, indipendentemente dalla versione del prodotto in uso presso la società, rende idonea la società a ottenere tali vantaggi.</w:t>
      </w:r>
      <w:r w:rsidR="00082E1C" w:rsidRPr="00451078">
        <w:rPr>
          <w:rFonts w:ascii="Tahoma" w:hAnsi="Tahoma" w:cs="Tahoma"/>
          <w:sz w:val="18"/>
          <w:lang w:val="it-IT"/>
        </w:rPr>
        <w:t xml:space="preserve"> </w:t>
      </w:r>
      <w:r w:rsidRPr="00451078">
        <w:rPr>
          <w:rFonts w:ascii="Tahoma" w:hAnsi="Tahoma" w:cs="Tahoma"/>
          <w:sz w:val="18"/>
          <w:lang w:val="it-IT"/>
        </w:rPr>
        <w:t>I prodotti qualificanti sono indicati nella sezione relativa a ogni prodotto.</w:t>
      </w:r>
      <w:r w:rsidR="00082E1C" w:rsidRPr="00451078">
        <w:rPr>
          <w:rFonts w:ascii="Tahoma" w:hAnsi="Tahoma" w:cs="Tahoma"/>
          <w:sz w:val="18"/>
          <w:lang w:val="it-IT"/>
        </w:rPr>
        <w:t xml:space="preserve"> </w:t>
      </w:r>
      <w:r w:rsidRPr="00451078">
        <w:rPr>
          <w:rFonts w:ascii="Tahoma" w:hAnsi="Tahoma" w:cs="Tahoma"/>
          <w:sz w:val="18"/>
          <w:lang w:val="it-IT"/>
        </w:rPr>
        <w:t>Alcuni vantaggi sono concessi sulla base della spesa SA effettuata dalla società per un determinato gruppo di prodotti qualificanti all</w:t>
      </w:r>
      <w:r w:rsidR="004525CA">
        <w:rPr>
          <w:rFonts w:ascii="Tahoma" w:hAnsi="Tahoma" w:cs="Tahoma"/>
          <w:sz w:val="18"/>
          <w:lang w:val="it-IT"/>
        </w:rPr>
        <w:t>’</w:t>
      </w:r>
      <w:r w:rsidRPr="00451078">
        <w:rPr>
          <w:rFonts w:ascii="Tahoma" w:hAnsi="Tahoma" w:cs="Tahoma"/>
          <w:sz w:val="18"/>
          <w:lang w:val="it-IT"/>
        </w:rPr>
        <w:t>interno di un pool.</w:t>
      </w:r>
      <w:r w:rsidR="00082E1C" w:rsidRPr="00451078">
        <w:rPr>
          <w:rFonts w:ascii="Tahoma" w:hAnsi="Tahoma" w:cs="Tahoma"/>
          <w:sz w:val="18"/>
          <w:lang w:val="it-IT"/>
        </w:rPr>
        <w:t xml:space="preserve"> </w:t>
      </w:r>
      <w:r w:rsidRPr="00451078">
        <w:rPr>
          <w:rFonts w:ascii="Tahoma" w:hAnsi="Tahoma" w:cs="Tahoma"/>
          <w:sz w:val="18"/>
          <w:lang w:val="it-IT"/>
        </w:rPr>
        <w:t xml:space="preserve">A questo proposito, </w:t>
      </w:r>
      <w:r w:rsidR="001A3EC5" w:rsidRPr="00451078">
        <w:rPr>
          <w:rFonts w:ascii="Tahoma" w:hAnsi="Tahoma" w:cs="Tahoma"/>
          <w:sz w:val="18"/>
          <w:lang w:val="it-IT"/>
        </w:rPr>
        <w:t>“</w:t>
      </w:r>
      <w:r w:rsidRPr="00451078">
        <w:rPr>
          <w:rFonts w:ascii="Tahoma" w:hAnsi="Tahoma" w:cs="Tahoma"/>
          <w:sz w:val="18"/>
          <w:lang w:val="it-IT"/>
        </w:rPr>
        <w:t>spesa SA</w:t>
      </w:r>
      <w:r w:rsidR="001A3EC5" w:rsidRPr="00451078">
        <w:rPr>
          <w:rFonts w:ascii="Tahoma" w:hAnsi="Tahoma" w:cs="Tahoma"/>
          <w:sz w:val="18"/>
          <w:lang w:val="it-IT"/>
        </w:rPr>
        <w:t>”</w:t>
      </w:r>
      <w:r w:rsidRPr="00451078">
        <w:rPr>
          <w:rFonts w:ascii="Tahoma" w:hAnsi="Tahoma" w:cs="Tahoma"/>
          <w:sz w:val="18"/>
          <w:lang w:val="it-IT"/>
        </w:rPr>
        <w:t xml:space="preserve"> non significa letteralmente i soldi effettivi spesi dalla società.</w:t>
      </w:r>
      <w:r w:rsidR="00082E1C" w:rsidRPr="00451078">
        <w:rPr>
          <w:rFonts w:ascii="Tahoma" w:hAnsi="Tahoma" w:cs="Tahoma"/>
          <w:sz w:val="18"/>
          <w:lang w:val="it-IT"/>
        </w:rPr>
        <w:t xml:space="preserve"> </w:t>
      </w:r>
      <w:r w:rsidRPr="00451078">
        <w:rPr>
          <w:rFonts w:ascii="Tahoma" w:hAnsi="Tahoma" w:cs="Tahoma"/>
          <w:sz w:val="18"/>
          <w:lang w:val="it-IT"/>
        </w:rPr>
        <w:t>Al contrario, indica l</w:t>
      </w:r>
      <w:r w:rsidR="004525CA">
        <w:rPr>
          <w:rFonts w:ascii="Tahoma" w:hAnsi="Tahoma" w:cs="Tahoma"/>
          <w:sz w:val="18"/>
          <w:lang w:val="it-IT"/>
        </w:rPr>
        <w:t>’</w:t>
      </w:r>
      <w:r w:rsidRPr="00451078">
        <w:rPr>
          <w:rFonts w:ascii="Tahoma" w:hAnsi="Tahoma" w:cs="Tahoma"/>
          <w:sz w:val="18"/>
          <w:lang w:val="it-IT"/>
        </w:rPr>
        <w:t>importo approssimativo della spesa che una società ha sostenuto per fornire la copertura Software Assurance a tali prodotti ai sensi dell</w:t>
      </w:r>
      <w:r w:rsidR="004525CA">
        <w:rPr>
          <w:rFonts w:ascii="Tahoma" w:hAnsi="Tahoma" w:cs="Tahoma"/>
          <w:sz w:val="18"/>
          <w:lang w:val="it-IT"/>
        </w:rPr>
        <w:t>’</w:t>
      </w:r>
      <w:r w:rsidRPr="00451078">
        <w:rPr>
          <w:rFonts w:ascii="Tahoma" w:hAnsi="Tahoma" w:cs="Tahoma"/>
          <w:sz w:val="18"/>
          <w:lang w:val="it-IT"/>
        </w:rPr>
        <w:t xml:space="preserve">iscrizione </w:t>
      </w:r>
      <w:r w:rsidRPr="00451078">
        <w:rPr>
          <w:rFonts w:ascii="Tahoma" w:hAnsi="Tahoma" w:cs="Tahoma"/>
          <w:sz w:val="18"/>
          <w:szCs w:val="18"/>
          <w:lang w:val="it-IT"/>
        </w:rPr>
        <w:t>Select o Enterprise, della registrazione Select Plus o del contratto Open (ad esempio, per gli acquisti solo di SA e gli acquisti del componente SA di L&amp;SA).</w:t>
      </w:r>
      <w:r w:rsidR="00082E1C" w:rsidRPr="00451078">
        <w:rPr>
          <w:rFonts w:ascii="Tahoma" w:hAnsi="Tahoma" w:cs="Tahoma"/>
          <w:sz w:val="18"/>
          <w:szCs w:val="18"/>
          <w:lang w:val="it-IT"/>
        </w:rPr>
        <w:t xml:space="preserve"> </w:t>
      </w:r>
      <w:r w:rsidRPr="00451078">
        <w:rPr>
          <w:rFonts w:ascii="Tahoma" w:hAnsi="Tahoma" w:cs="Tahoma"/>
          <w:sz w:val="18"/>
          <w:szCs w:val="18"/>
          <w:lang w:val="it-IT"/>
        </w:rPr>
        <w:t xml:space="preserve">Per le società che partecipano ai programmi </w:t>
      </w:r>
      <w:r w:rsidR="001A3EC5" w:rsidRPr="00451078">
        <w:rPr>
          <w:rFonts w:ascii="Tahoma" w:hAnsi="Tahoma" w:cs="Tahoma"/>
          <w:sz w:val="18"/>
          <w:szCs w:val="18"/>
          <w:lang w:val="it-IT"/>
        </w:rPr>
        <w:t>“</w:t>
      </w:r>
      <w:r w:rsidRPr="00451078">
        <w:rPr>
          <w:rFonts w:ascii="Tahoma" w:hAnsi="Tahoma" w:cs="Tahoma"/>
          <w:sz w:val="18"/>
          <w:szCs w:val="18"/>
          <w:lang w:val="it-IT"/>
        </w:rPr>
        <w:t>subscription</w:t>
      </w:r>
      <w:r w:rsidR="001A3EC5" w:rsidRPr="00451078">
        <w:rPr>
          <w:rFonts w:ascii="Tahoma" w:hAnsi="Tahoma" w:cs="Tahoma"/>
          <w:sz w:val="18"/>
          <w:szCs w:val="18"/>
          <w:lang w:val="it-IT"/>
        </w:rPr>
        <w:t>”</w:t>
      </w:r>
      <w:r w:rsidRPr="00451078">
        <w:rPr>
          <w:rFonts w:ascii="Tahoma" w:hAnsi="Tahoma" w:cs="Tahoma"/>
          <w:sz w:val="18"/>
          <w:szCs w:val="18"/>
          <w:lang w:val="it-IT"/>
        </w:rPr>
        <w:t>, rappresenta l</w:t>
      </w:r>
      <w:r w:rsidR="004525CA">
        <w:rPr>
          <w:rFonts w:ascii="Tahoma" w:hAnsi="Tahoma" w:cs="Tahoma"/>
          <w:sz w:val="18"/>
          <w:szCs w:val="18"/>
          <w:lang w:val="it-IT"/>
        </w:rPr>
        <w:t>’</w:t>
      </w:r>
      <w:r w:rsidRPr="00451078">
        <w:rPr>
          <w:rFonts w:ascii="Tahoma" w:hAnsi="Tahoma" w:cs="Tahoma"/>
          <w:sz w:val="18"/>
          <w:szCs w:val="18"/>
          <w:lang w:val="it-IT"/>
        </w:rPr>
        <w:t>importo approssimativo della spesa totale che la società ha dovuto affrontare per ottenere in licenza tali prodotti ai sensi della sua iscrizione o del suo contratto.</w:t>
      </w:r>
      <w:r w:rsidR="00082E1C" w:rsidRPr="00451078">
        <w:rPr>
          <w:rFonts w:ascii="Tahoma" w:hAnsi="Tahoma" w:cs="Tahoma"/>
          <w:sz w:val="18"/>
          <w:szCs w:val="18"/>
          <w:lang w:val="it-IT"/>
        </w:rPr>
        <w:t xml:space="preserve"> </w:t>
      </w:r>
      <w:r w:rsidRPr="00451078">
        <w:rPr>
          <w:rFonts w:ascii="Tahoma" w:hAnsi="Tahoma" w:cs="Tahoma"/>
          <w:sz w:val="18"/>
          <w:szCs w:val="18"/>
          <w:lang w:val="it-IT"/>
        </w:rPr>
        <w:t>Altri vantaggi corrispondono alla Partecipazione a Software Assurance; tale Partecipazione per il pool di prodotti applicabili rende idonea la società a</w:t>
      </w:r>
      <w:r w:rsidR="002B279A" w:rsidRPr="00451078">
        <w:rPr>
          <w:rFonts w:ascii="Tahoma" w:hAnsi="Tahoma" w:cs="Tahoma"/>
          <w:sz w:val="18"/>
          <w:szCs w:val="18"/>
          <w:lang w:val="it-IT"/>
        </w:rPr>
        <w:t> </w:t>
      </w:r>
      <w:r w:rsidRPr="00451078">
        <w:rPr>
          <w:rFonts w:ascii="Tahoma" w:hAnsi="Tahoma" w:cs="Tahoma"/>
          <w:sz w:val="18"/>
          <w:szCs w:val="18"/>
          <w:lang w:val="it-IT"/>
        </w:rPr>
        <w:t>ricevere questi vantaggi.</w:t>
      </w:r>
    </w:p>
    <w:p w:rsidR="00F76ED4" w:rsidRPr="00451078" w:rsidRDefault="00F76ED4">
      <w:pPr>
        <w:rPr>
          <w:lang w:val="it-IT"/>
        </w:rPr>
      </w:pPr>
      <w:r w:rsidRPr="00451078">
        <w:rPr>
          <w:rFonts w:cs="Tahoma"/>
          <w:lang w:val="it-IT"/>
        </w:rPr>
        <w:br w:type="page"/>
      </w:r>
    </w:p>
    <w:tbl>
      <w:tblPr>
        <w:tblW w:w="9727" w:type="dxa"/>
        <w:tblInd w:w="101" w:type="dxa"/>
        <w:tblLayout w:type="fixed"/>
        <w:tblLook w:val="0000" w:firstRow="0" w:lastRow="0" w:firstColumn="0" w:lastColumn="0" w:noHBand="0" w:noVBand="0"/>
      </w:tblPr>
      <w:tblGrid>
        <w:gridCol w:w="2167"/>
        <w:gridCol w:w="1530"/>
        <w:gridCol w:w="1530"/>
        <w:gridCol w:w="1530"/>
        <w:gridCol w:w="1530"/>
        <w:gridCol w:w="1440"/>
      </w:tblGrid>
      <w:tr w:rsidR="004B4C79" w:rsidRPr="003410C7" w:rsidTr="007E466C">
        <w:trPr>
          <w:trHeight w:val="255"/>
          <w:tblHeader/>
        </w:trPr>
        <w:tc>
          <w:tcPr>
            <w:tcW w:w="2167" w:type="dxa"/>
            <w:tcBorders>
              <w:top w:val="single" w:sz="8" w:space="0" w:color="auto"/>
              <w:left w:val="single" w:sz="8" w:space="0" w:color="auto"/>
              <w:bottom w:val="single" w:sz="8" w:space="0" w:color="auto"/>
              <w:right w:val="single" w:sz="8" w:space="0" w:color="auto"/>
            </w:tcBorders>
            <w:shd w:val="clear" w:color="auto" w:fill="FFCC99"/>
            <w:vAlign w:val="center"/>
          </w:tcPr>
          <w:p w:rsidR="004B4C79" w:rsidRPr="003410C7" w:rsidRDefault="004B4C79" w:rsidP="00E06FE8">
            <w:pPr>
              <w:pStyle w:val="AppendixTableHeadings"/>
              <w:rPr>
                <w:rFonts w:ascii="Tahoma" w:hAnsi="Tahoma" w:cs="Tahoma"/>
                <w:sz w:val="20"/>
                <w:szCs w:val="20"/>
              </w:rPr>
            </w:pPr>
            <w:r w:rsidRPr="003410C7">
              <w:rPr>
                <w:rFonts w:ascii="Tahoma" w:hAnsi="Tahoma" w:cs="Tahoma"/>
                <w:sz w:val="20"/>
                <w:szCs w:val="20"/>
              </w:rPr>
              <w:lastRenderedPageBreak/>
              <w:t>Benefici</w:t>
            </w:r>
          </w:p>
        </w:tc>
        <w:tc>
          <w:tcPr>
            <w:tcW w:w="1530" w:type="dxa"/>
            <w:tcBorders>
              <w:top w:val="single" w:sz="8" w:space="0" w:color="auto"/>
              <w:left w:val="single" w:sz="8" w:space="0" w:color="auto"/>
              <w:bottom w:val="single" w:sz="8" w:space="0" w:color="auto"/>
              <w:right w:val="single" w:sz="8" w:space="0" w:color="auto"/>
            </w:tcBorders>
            <w:shd w:val="clear" w:color="auto" w:fill="FFCC99"/>
            <w:vAlign w:val="center"/>
          </w:tcPr>
          <w:p w:rsidR="004B4C79" w:rsidRPr="003410C7" w:rsidRDefault="004B4C79" w:rsidP="00E06FE8">
            <w:pPr>
              <w:pStyle w:val="AppendixTableHeadings"/>
              <w:rPr>
                <w:rFonts w:ascii="Tahoma" w:hAnsi="Tahoma" w:cs="Tahoma"/>
                <w:sz w:val="20"/>
                <w:szCs w:val="20"/>
              </w:rPr>
            </w:pPr>
            <w:r w:rsidRPr="003410C7">
              <w:rPr>
                <w:rFonts w:ascii="Tahoma" w:hAnsi="Tahoma" w:cs="Tahoma"/>
                <w:sz w:val="20"/>
                <w:szCs w:val="20"/>
              </w:rPr>
              <w:t>Pool di Applicazioni</w:t>
            </w:r>
          </w:p>
        </w:tc>
        <w:tc>
          <w:tcPr>
            <w:tcW w:w="1530" w:type="dxa"/>
            <w:tcBorders>
              <w:top w:val="single" w:sz="8" w:space="0" w:color="auto"/>
              <w:left w:val="single" w:sz="8" w:space="0" w:color="auto"/>
              <w:bottom w:val="single" w:sz="8" w:space="0" w:color="auto"/>
              <w:right w:val="single" w:sz="8" w:space="0" w:color="auto"/>
            </w:tcBorders>
            <w:shd w:val="clear" w:color="auto" w:fill="FFCC99"/>
            <w:vAlign w:val="center"/>
          </w:tcPr>
          <w:p w:rsidR="004B4C79" w:rsidRPr="003410C7" w:rsidRDefault="004B4C79" w:rsidP="00E06FE8">
            <w:pPr>
              <w:pStyle w:val="AppendixTableHeadings"/>
              <w:rPr>
                <w:rFonts w:ascii="Tahoma" w:hAnsi="Tahoma" w:cs="Tahoma"/>
                <w:sz w:val="20"/>
                <w:szCs w:val="20"/>
              </w:rPr>
            </w:pPr>
            <w:r w:rsidRPr="003410C7">
              <w:rPr>
                <w:rFonts w:ascii="Tahoma" w:hAnsi="Tahoma" w:cs="Tahoma"/>
                <w:sz w:val="20"/>
                <w:szCs w:val="20"/>
              </w:rPr>
              <w:t>Pool di Sistemi</w:t>
            </w:r>
          </w:p>
        </w:tc>
        <w:tc>
          <w:tcPr>
            <w:tcW w:w="1530" w:type="dxa"/>
            <w:tcBorders>
              <w:top w:val="single" w:sz="8" w:space="0" w:color="auto"/>
              <w:left w:val="single" w:sz="8" w:space="0" w:color="auto"/>
              <w:bottom w:val="single" w:sz="8" w:space="0" w:color="auto"/>
              <w:right w:val="single" w:sz="8" w:space="0" w:color="auto"/>
            </w:tcBorders>
            <w:shd w:val="clear" w:color="auto" w:fill="FFCC99"/>
            <w:vAlign w:val="center"/>
          </w:tcPr>
          <w:p w:rsidR="004B4C79" w:rsidRPr="003410C7" w:rsidRDefault="004B4C79" w:rsidP="00E06FE8">
            <w:pPr>
              <w:pStyle w:val="AppendixTableHeadings"/>
              <w:rPr>
                <w:rFonts w:ascii="Tahoma" w:hAnsi="Tahoma" w:cs="Tahoma"/>
                <w:sz w:val="20"/>
                <w:szCs w:val="20"/>
              </w:rPr>
            </w:pPr>
            <w:r w:rsidRPr="003410C7">
              <w:rPr>
                <w:rFonts w:ascii="Tahoma" w:hAnsi="Tahoma" w:cs="Tahoma"/>
                <w:sz w:val="20"/>
                <w:szCs w:val="20"/>
              </w:rPr>
              <w:t>Pool di Server</w:t>
            </w:r>
          </w:p>
        </w:tc>
        <w:tc>
          <w:tcPr>
            <w:tcW w:w="1530" w:type="dxa"/>
            <w:tcBorders>
              <w:top w:val="single" w:sz="8" w:space="0" w:color="auto"/>
              <w:left w:val="single" w:sz="8" w:space="0" w:color="auto"/>
              <w:bottom w:val="single" w:sz="8" w:space="0" w:color="auto"/>
              <w:right w:val="single" w:sz="8" w:space="0" w:color="auto"/>
            </w:tcBorders>
            <w:shd w:val="clear" w:color="auto" w:fill="FFCC99"/>
            <w:vAlign w:val="center"/>
          </w:tcPr>
          <w:p w:rsidR="004B4C79" w:rsidRPr="003410C7" w:rsidRDefault="006705D4" w:rsidP="00E06FE8">
            <w:pPr>
              <w:pStyle w:val="AppendixTableHeadings"/>
              <w:rPr>
                <w:rFonts w:ascii="Tahoma" w:hAnsi="Tahoma" w:cs="Tahoma"/>
                <w:sz w:val="20"/>
                <w:szCs w:val="20"/>
              </w:rPr>
            </w:pPr>
            <w:r w:rsidRPr="003410C7">
              <w:rPr>
                <w:rFonts w:ascii="Tahoma" w:hAnsi="Tahoma" w:cs="Tahoma"/>
                <w:sz w:val="20"/>
                <w:szCs w:val="20"/>
              </w:rPr>
              <w:t>Windows Intune (Per Dispositivo)</w:t>
            </w:r>
          </w:p>
        </w:tc>
        <w:tc>
          <w:tcPr>
            <w:tcW w:w="1440" w:type="dxa"/>
            <w:tcBorders>
              <w:top w:val="single" w:sz="8" w:space="0" w:color="auto"/>
              <w:left w:val="single" w:sz="8" w:space="0" w:color="auto"/>
              <w:bottom w:val="single" w:sz="8" w:space="0" w:color="auto"/>
              <w:right w:val="single" w:sz="8" w:space="0" w:color="auto"/>
            </w:tcBorders>
            <w:shd w:val="clear" w:color="auto" w:fill="FFCC99"/>
            <w:vAlign w:val="center"/>
          </w:tcPr>
          <w:p w:rsidR="004B4C79" w:rsidRPr="003410C7" w:rsidRDefault="004B4C79" w:rsidP="00E06FE8">
            <w:pPr>
              <w:pStyle w:val="AppendixTableHeadings"/>
              <w:rPr>
                <w:rFonts w:ascii="Tahoma" w:hAnsi="Tahoma" w:cs="Tahoma"/>
                <w:sz w:val="20"/>
                <w:szCs w:val="20"/>
              </w:rPr>
            </w:pPr>
            <w:r w:rsidRPr="003410C7">
              <w:rPr>
                <w:rFonts w:ascii="Tahoma" w:hAnsi="Tahoma" w:cs="Tahoma"/>
                <w:sz w:val="20"/>
                <w:szCs w:val="20"/>
              </w:rPr>
              <w:t>Office 365</w:t>
            </w:r>
          </w:p>
        </w:tc>
      </w:tr>
      <w:tr w:rsidR="004B4C79" w:rsidRPr="003410C7" w:rsidTr="007E466C">
        <w:trPr>
          <w:trHeight w:val="255"/>
        </w:trPr>
        <w:tc>
          <w:tcPr>
            <w:tcW w:w="2167" w:type="dxa"/>
            <w:tcBorders>
              <w:top w:val="single" w:sz="8" w:space="0" w:color="auto"/>
              <w:left w:val="single" w:sz="4" w:space="0" w:color="auto"/>
              <w:bottom w:val="single" w:sz="4" w:space="0" w:color="auto"/>
              <w:right w:val="single" w:sz="4" w:space="0" w:color="auto"/>
            </w:tcBorders>
            <w:vAlign w:val="bottom"/>
          </w:tcPr>
          <w:p w:rsidR="004B4C79" w:rsidRPr="003410C7" w:rsidRDefault="004B4C79">
            <w:pPr>
              <w:pStyle w:val="AppendixTableText"/>
              <w:jc w:val="left"/>
              <w:rPr>
                <w:rFonts w:ascii="Tahoma" w:hAnsi="Tahoma" w:cs="Tahoma"/>
              </w:rPr>
            </w:pPr>
            <w:r w:rsidRPr="003410C7">
              <w:rPr>
                <w:rFonts w:ascii="Tahoma" w:hAnsi="Tahoma" w:cs="Tahoma"/>
              </w:rPr>
              <w:t>Diritti su Versioni Nuove</w:t>
            </w:r>
          </w:p>
        </w:tc>
        <w:tc>
          <w:tcPr>
            <w:tcW w:w="1530" w:type="dxa"/>
            <w:tcBorders>
              <w:top w:val="single" w:sz="8" w:space="0" w:color="auto"/>
              <w:left w:val="nil"/>
              <w:bottom w:val="single" w:sz="4" w:space="0" w:color="auto"/>
              <w:right w:val="single" w:sz="4" w:space="0" w:color="auto"/>
            </w:tcBorders>
            <w:vAlign w:val="center"/>
          </w:tcPr>
          <w:p w:rsidR="004B4C79" w:rsidRPr="003410C7" w:rsidRDefault="004B4C79" w:rsidP="00E06FE8">
            <w:pPr>
              <w:pStyle w:val="AppendixTableText"/>
              <w:rPr>
                <w:rFonts w:ascii="Tahoma" w:hAnsi="Tahoma" w:cs="Tahoma"/>
              </w:rPr>
            </w:pPr>
            <w:r w:rsidRPr="003410C7">
              <w:rPr>
                <w:rFonts w:ascii="Tahoma" w:hAnsi="Tahoma" w:cs="Tahoma"/>
              </w:rPr>
              <w:t>Sì</w:t>
            </w:r>
          </w:p>
        </w:tc>
        <w:tc>
          <w:tcPr>
            <w:tcW w:w="1530" w:type="dxa"/>
            <w:tcBorders>
              <w:top w:val="single" w:sz="8" w:space="0" w:color="auto"/>
              <w:left w:val="nil"/>
              <w:bottom w:val="single" w:sz="4" w:space="0" w:color="auto"/>
              <w:right w:val="single" w:sz="4" w:space="0" w:color="auto"/>
            </w:tcBorders>
            <w:vAlign w:val="center"/>
          </w:tcPr>
          <w:p w:rsidR="004B4C79" w:rsidRPr="003410C7" w:rsidRDefault="004B4C79" w:rsidP="00E06FE8">
            <w:pPr>
              <w:pStyle w:val="AppendixTableText"/>
              <w:rPr>
                <w:rFonts w:ascii="Tahoma" w:hAnsi="Tahoma" w:cs="Tahoma"/>
              </w:rPr>
            </w:pPr>
            <w:r w:rsidRPr="003410C7">
              <w:rPr>
                <w:rFonts w:ascii="Tahoma" w:hAnsi="Tahoma" w:cs="Tahoma"/>
              </w:rPr>
              <w:t>Sì</w:t>
            </w:r>
          </w:p>
        </w:tc>
        <w:tc>
          <w:tcPr>
            <w:tcW w:w="1530" w:type="dxa"/>
            <w:tcBorders>
              <w:top w:val="single" w:sz="8" w:space="0" w:color="auto"/>
              <w:left w:val="nil"/>
              <w:bottom w:val="single" w:sz="4" w:space="0" w:color="auto"/>
              <w:right w:val="single" w:sz="4" w:space="0" w:color="auto"/>
            </w:tcBorders>
            <w:vAlign w:val="center"/>
          </w:tcPr>
          <w:p w:rsidR="004B4C79" w:rsidRPr="003410C7" w:rsidRDefault="004B4C79" w:rsidP="00E06FE8">
            <w:pPr>
              <w:pStyle w:val="AppendixTableText"/>
              <w:rPr>
                <w:rFonts w:ascii="Tahoma" w:hAnsi="Tahoma" w:cs="Tahoma"/>
              </w:rPr>
            </w:pPr>
            <w:r w:rsidRPr="003410C7">
              <w:rPr>
                <w:rFonts w:ascii="Tahoma" w:hAnsi="Tahoma" w:cs="Tahoma"/>
              </w:rPr>
              <w:t>Sì</w:t>
            </w:r>
          </w:p>
        </w:tc>
        <w:tc>
          <w:tcPr>
            <w:tcW w:w="1530" w:type="dxa"/>
            <w:tcBorders>
              <w:top w:val="single" w:sz="8" w:space="0" w:color="auto"/>
              <w:left w:val="nil"/>
              <w:bottom w:val="single" w:sz="4" w:space="0" w:color="auto"/>
              <w:right w:val="single" w:sz="4" w:space="0" w:color="auto"/>
            </w:tcBorders>
            <w:vAlign w:val="center"/>
          </w:tcPr>
          <w:p w:rsidR="004B4C79" w:rsidRPr="003410C7" w:rsidRDefault="00302B84" w:rsidP="00E06FE8">
            <w:pPr>
              <w:pStyle w:val="AppendixTableText"/>
              <w:rPr>
                <w:rFonts w:ascii="Tahoma" w:hAnsi="Tahoma" w:cs="Tahoma"/>
              </w:rPr>
            </w:pPr>
            <w:r w:rsidRPr="003410C7">
              <w:rPr>
                <w:rFonts w:ascii="Tahoma" w:hAnsi="Tahoma" w:cs="Tahoma"/>
              </w:rPr>
              <w:t>Sì</w:t>
            </w:r>
          </w:p>
        </w:tc>
        <w:tc>
          <w:tcPr>
            <w:tcW w:w="1440" w:type="dxa"/>
            <w:tcBorders>
              <w:top w:val="single" w:sz="8" w:space="0" w:color="auto"/>
              <w:left w:val="nil"/>
              <w:bottom w:val="single" w:sz="4" w:space="0" w:color="auto"/>
              <w:right w:val="single" w:sz="4" w:space="0" w:color="auto"/>
            </w:tcBorders>
            <w:vAlign w:val="center"/>
          </w:tcPr>
          <w:p w:rsidR="004B4C79" w:rsidRPr="003410C7" w:rsidRDefault="00302B84" w:rsidP="00E06FE8">
            <w:pPr>
              <w:pStyle w:val="AppendixTableText"/>
              <w:rPr>
                <w:rFonts w:ascii="Tahoma" w:hAnsi="Tahoma" w:cs="Tahoma"/>
              </w:rPr>
            </w:pPr>
            <w:r w:rsidRPr="003410C7">
              <w:rPr>
                <w:rFonts w:ascii="Tahoma" w:hAnsi="Tahoma" w:cs="Tahoma"/>
              </w:rPr>
              <w:t>Sì</w:t>
            </w:r>
          </w:p>
        </w:tc>
      </w:tr>
      <w:tr w:rsidR="004B4C79" w:rsidRPr="003410C7" w:rsidTr="007E466C">
        <w:trPr>
          <w:trHeight w:val="255"/>
        </w:trPr>
        <w:tc>
          <w:tcPr>
            <w:tcW w:w="2167" w:type="dxa"/>
            <w:tcBorders>
              <w:top w:val="single" w:sz="6" w:space="0" w:color="auto"/>
              <w:left w:val="single" w:sz="4" w:space="0" w:color="auto"/>
              <w:bottom w:val="single" w:sz="6" w:space="0" w:color="auto"/>
              <w:right w:val="single" w:sz="6" w:space="0" w:color="auto"/>
            </w:tcBorders>
            <w:vAlign w:val="bottom"/>
          </w:tcPr>
          <w:p w:rsidR="004B4C79" w:rsidRPr="003410C7" w:rsidRDefault="004B4C79" w:rsidP="002B279A">
            <w:pPr>
              <w:pStyle w:val="AppendixTableText"/>
              <w:jc w:val="left"/>
              <w:rPr>
                <w:rFonts w:ascii="Tahoma" w:hAnsi="Tahoma" w:cs="Tahoma"/>
              </w:rPr>
            </w:pPr>
            <w:r w:rsidRPr="003410C7">
              <w:rPr>
                <w:rFonts w:ascii="Tahoma" w:hAnsi="Tahoma" w:cs="Tahoma"/>
              </w:rPr>
              <w:t>Office Multi Language</w:t>
            </w:r>
            <w:r w:rsidR="002B279A">
              <w:rPr>
                <w:rFonts w:ascii="Tahoma" w:hAnsi="Tahoma" w:cs="Tahoma"/>
              </w:rPr>
              <w:t> </w:t>
            </w:r>
            <w:r w:rsidRPr="003410C7">
              <w:rPr>
                <w:rFonts w:ascii="Tahoma" w:hAnsi="Tahoma" w:cs="Tahoma"/>
              </w:rPr>
              <w:t>Pack</w:t>
            </w:r>
          </w:p>
        </w:tc>
        <w:tc>
          <w:tcPr>
            <w:tcW w:w="1530" w:type="dxa"/>
            <w:tcBorders>
              <w:top w:val="single" w:sz="6" w:space="0" w:color="auto"/>
              <w:left w:val="single" w:sz="6" w:space="0" w:color="auto"/>
              <w:bottom w:val="single" w:sz="6" w:space="0" w:color="auto"/>
              <w:right w:val="single" w:sz="6" w:space="0" w:color="auto"/>
            </w:tcBorders>
            <w:vAlign w:val="center"/>
          </w:tcPr>
          <w:p w:rsidR="004B4C79" w:rsidRPr="003410C7" w:rsidRDefault="004B4C79" w:rsidP="00E06FE8">
            <w:pPr>
              <w:pStyle w:val="AppendixTableText"/>
              <w:rPr>
                <w:rFonts w:ascii="Tahoma" w:hAnsi="Tahoma" w:cs="Tahoma"/>
              </w:rPr>
            </w:pPr>
            <w:r w:rsidRPr="003410C7">
              <w:rPr>
                <w:rFonts w:ascii="Tahoma" w:hAnsi="Tahoma" w:cs="Tahoma"/>
              </w:rPr>
              <w:t>Sì</w:t>
            </w:r>
          </w:p>
        </w:tc>
        <w:tc>
          <w:tcPr>
            <w:tcW w:w="1530" w:type="dxa"/>
            <w:tcBorders>
              <w:top w:val="single" w:sz="6" w:space="0" w:color="auto"/>
              <w:left w:val="single" w:sz="6" w:space="0" w:color="auto"/>
              <w:bottom w:val="single" w:sz="6" w:space="0" w:color="auto"/>
              <w:right w:val="single" w:sz="6" w:space="0" w:color="auto"/>
            </w:tcBorders>
            <w:vAlign w:val="center"/>
          </w:tcPr>
          <w:p w:rsidR="004B4C79" w:rsidRPr="003410C7" w:rsidRDefault="004B4C79" w:rsidP="00E06FE8">
            <w:pPr>
              <w:pStyle w:val="AppendixTableText"/>
              <w:rPr>
                <w:rFonts w:ascii="Tahoma" w:hAnsi="Tahoma" w:cs="Tahoma"/>
              </w:rPr>
            </w:pPr>
          </w:p>
        </w:tc>
        <w:tc>
          <w:tcPr>
            <w:tcW w:w="1530" w:type="dxa"/>
            <w:tcBorders>
              <w:top w:val="single" w:sz="6" w:space="0" w:color="auto"/>
              <w:left w:val="single" w:sz="6" w:space="0" w:color="auto"/>
              <w:bottom w:val="single" w:sz="6" w:space="0" w:color="auto"/>
              <w:right w:val="single" w:sz="4" w:space="0" w:color="auto"/>
            </w:tcBorders>
            <w:vAlign w:val="center"/>
          </w:tcPr>
          <w:p w:rsidR="004B4C79" w:rsidRPr="003410C7" w:rsidRDefault="004B4C79" w:rsidP="00E06FE8">
            <w:pPr>
              <w:pStyle w:val="AppendixTableText"/>
              <w:rPr>
                <w:rStyle w:val="CommentReference"/>
                <w:rFonts w:ascii="Tahoma" w:hAnsi="Tahoma" w:cs="Tahoma"/>
                <w:sz w:val="18"/>
                <w:szCs w:val="18"/>
              </w:rPr>
            </w:pPr>
          </w:p>
        </w:tc>
        <w:tc>
          <w:tcPr>
            <w:tcW w:w="1530" w:type="dxa"/>
            <w:tcBorders>
              <w:top w:val="single" w:sz="6" w:space="0" w:color="auto"/>
              <w:left w:val="single" w:sz="6" w:space="0" w:color="auto"/>
              <w:bottom w:val="single" w:sz="6" w:space="0" w:color="auto"/>
              <w:right w:val="single" w:sz="4" w:space="0" w:color="auto"/>
            </w:tcBorders>
            <w:vAlign w:val="center"/>
          </w:tcPr>
          <w:p w:rsidR="004B4C79" w:rsidRPr="003410C7" w:rsidRDefault="004B4C79" w:rsidP="00E06FE8">
            <w:pPr>
              <w:pStyle w:val="AppendixTableText"/>
              <w:rPr>
                <w:rStyle w:val="CommentReference"/>
                <w:rFonts w:ascii="Tahoma" w:hAnsi="Tahoma" w:cs="Tahoma"/>
                <w:sz w:val="18"/>
                <w:szCs w:val="18"/>
              </w:rPr>
            </w:pPr>
          </w:p>
        </w:tc>
        <w:tc>
          <w:tcPr>
            <w:tcW w:w="1440" w:type="dxa"/>
            <w:tcBorders>
              <w:top w:val="single" w:sz="6" w:space="0" w:color="auto"/>
              <w:left w:val="single" w:sz="6" w:space="0" w:color="auto"/>
              <w:bottom w:val="single" w:sz="6" w:space="0" w:color="auto"/>
              <w:right w:val="single" w:sz="4" w:space="0" w:color="auto"/>
            </w:tcBorders>
            <w:vAlign w:val="center"/>
          </w:tcPr>
          <w:p w:rsidR="004B4C79" w:rsidRPr="003410C7" w:rsidRDefault="004B4C79" w:rsidP="00E06FE8">
            <w:pPr>
              <w:pStyle w:val="AppendixTableText"/>
              <w:rPr>
                <w:rStyle w:val="CommentReference"/>
                <w:rFonts w:ascii="Tahoma" w:hAnsi="Tahoma" w:cs="Tahoma"/>
                <w:sz w:val="18"/>
                <w:szCs w:val="18"/>
              </w:rPr>
            </w:pPr>
            <w:r w:rsidRPr="003410C7">
              <w:rPr>
                <w:rFonts w:ascii="Tahoma" w:hAnsi="Tahoma" w:cs="Tahoma"/>
              </w:rPr>
              <w:t>Sì</w:t>
            </w:r>
          </w:p>
        </w:tc>
      </w:tr>
      <w:tr w:rsidR="004B4C79" w:rsidRPr="003410C7" w:rsidTr="007E466C">
        <w:trPr>
          <w:trHeight w:val="255"/>
        </w:trPr>
        <w:tc>
          <w:tcPr>
            <w:tcW w:w="2167" w:type="dxa"/>
            <w:tcBorders>
              <w:top w:val="single" w:sz="6" w:space="0" w:color="auto"/>
              <w:left w:val="single" w:sz="4" w:space="0" w:color="auto"/>
              <w:bottom w:val="single" w:sz="6" w:space="0" w:color="auto"/>
              <w:right w:val="single" w:sz="6" w:space="0" w:color="auto"/>
            </w:tcBorders>
            <w:vAlign w:val="bottom"/>
          </w:tcPr>
          <w:p w:rsidR="004B4C79" w:rsidRPr="003410C7" w:rsidRDefault="00E7419A">
            <w:pPr>
              <w:pStyle w:val="AppendixTableText"/>
              <w:jc w:val="left"/>
              <w:rPr>
                <w:rFonts w:ascii="Tahoma" w:hAnsi="Tahoma" w:cs="Tahoma"/>
              </w:rPr>
            </w:pPr>
            <w:r w:rsidRPr="003410C7">
              <w:rPr>
                <w:rFonts w:ascii="Tahoma" w:hAnsi="Tahoma" w:cs="Tahoma"/>
              </w:rPr>
              <w:t>Planning Services</w:t>
            </w:r>
          </w:p>
        </w:tc>
        <w:tc>
          <w:tcPr>
            <w:tcW w:w="1530" w:type="dxa"/>
            <w:tcBorders>
              <w:top w:val="single" w:sz="6" w:space="0" w:color="auto"/>
              <w:left w:val="single" w:sz="6" w:space="0" w:color="auto"/>
              <w:bottom w:val="single" w:sz="6" w:space="0" w:color="auto"/>
              <w:right w:val="single" w:sz="6" w:space="0" w:color="auto"/>
            </w:tcBorders>
            <w:vAlign w:val="center"/>
          </w:tcPr>
          <w:p w:rsidR="004B4C79" w:rsidRPr="003410C7" w:rsidRDefault="004B4C79" w:rsidP="00E06FE8">
            <w:pPr>
              <w:pStyle w:val="AppendixTableText"/>
              <w:rPr>
                <w:rFonts w:ascii="Tahoma" w:hAnsi="Tahoma" w:cs="Tahoma"/>
              </w:rPr>
            </w:pPr>
            <w:r w:rsidRPr="003410C7">
              <w:rPr>
                <w:rFonts w:ascii="Tahoma" w:hAnsi="Tahoma" w:cs="Tahoma"/>
              </w:rPr>
              <w:t>Sì</w:t>
            </w:r>
          </w:p>
        </w:tc>
        <w:tc>
          <w:tcPr>
            <w:tcW w:w="1530" w:type="dxa"/>
            <w:tcBorders>
              <w:top w:val="single" w:sz="6" w:space="0" w:color="auto"/>
              <w:left w:val="single" w:sz="6" w:space="0" w:color="auto"/>
              <w:bottom w:val="single" w:sz="6" w:space="0" w:color="auto"/>
              <w:right w:val="single" w:sz="6" w:space="0" w:color="auto"/>
            </w:tcBorders>
            <w:vAlign w:val="center"/>
          </w:tcPr>
          <w:p w:rsidR="004B4C79" w:rsidRPr="003410C7" w:rsidRDefault="004B4C79" w:rsidP="00E06FE8">
            <w:pPr>
              <w:pStyle w:val="AppendixTableText"/>
              <w:rPr>
                <w:rFonts w:ascii="Tahoma" w:hAnsi="Tahoma" w:cs="Tahoma"/>
              </w:rPr>
            </w:pPr>
          </w:p>
        </w:tc>
        <w:tc>
          <w:tcPr>
            <w:tcW w:w="1530" w:type="dxa"/>
            <w:tcBorders>
              <w:top w:val="single" w:sz="6" w:space="0" w:color="auto"/>
              <w:left w:val="single" w:sz="6" w:space="0" w:color="auto"/>
              <w:bottom w:val="single" w:sz="6" w:space="0" w:color="auto"/>
              <w:right w:val="single" w:sz="4" w:space="0" w:color="auto"/>
            </w:tcBorders>
            <w:vAlign w:val="center"/>
          </w:tcPr>
          <w:p w:rsidR="004B4C79" w:rsidRPr="003410C7" w:rsidRDefault="004B4C79" w:rsidP="00E06FE8">
            <w:pPr>
              <w:pStyle w:val="AppendixTableText"/>
              <w:rPr>
                <w:rStyle w:val="CommentReference"/>
                <w:rFonts w:ascii="Tahoma" w:hAnsi="Tahoma" w:cs="Tahoma"/>
                <w:sz w:val="18"/>
                <w:szCs w:val="18"/>
              </w:rPr>
            </w:pPr>
            <w:r w:rsidRPr="003410C7">
              <w:rPr>
                <w:rStyle w:val="CommentReference"/>
                <w:rFonts w:ascii="Tahoma" w:hAnsi="Tahoma" w:cs="Tahoma"/>
                <w:sz w:val="18"/>
                <w:szCs w:val="18"/>
              </w:rPr>
              <w:t>Sì</w:t>
            </w:r>
          </w:p>
        </w:tc>
        <w:tc>
          <w:tcPr>
            <w:tcW w:w="1530" w:type="dxa"/>
            <w:tcBorders>
              <w:top w:val="single" w:sz="6" w:space="0" w:color="auto"/>
              <w:left w:val="single" w:sz="6" w:space="0" w:color="auto"/>
              <w:bottom w:val="single" w:sz="6" w:space="0" w:color="auto"/>
              <w:right w:val="single" w:sz="4" w:space="0" w:color="auto"/>
            </w:tcBorders>
            <w:vAlign w:val="center"/>
          </w:tcPr>
          <w:p w:rsidR="004B4C79" w:rsidRPr="003410C7" w:rsidRDefault="004B4C79" w:rsidP="00E06FE8">
            <w:pPr>
              <w:pStyle w:val="AppendixTableText"/>
              <w:rPr>
                <w:rStyle w:val="CommentReference"/>
                <w:rFonts w:ascii="Tahoma" w:hAnsi="Tahoma" w:cs="Tahoma"/>
                <w:sz w:val="18"/>
                <w:szCs w:val="18"/>
              </w:rPr>
            </w:pPr>
          </w:p>
        </w:tc>
        <w:tc>
          <w:tcPr>
            <w:tcW w:w="1440" w:type="dxa"/>
            <w:tcBorders>
              <w:top w:val="single" w:sz="6" w:space="0" w:color="auto"/>
              <w:left w:val="single" w:sz="6" w:space="0" w:color="auto"/>
              <w:bottom w:val="single" w:sz="6" w:space="0" w:color="auto"/>
              <w:right w:val="single" w:sz="4" w:space="0" w:color="auto"/>
            </w:tcBorders>
            <w:vAlign w:val="center"/>
          </w:tcPr>
          <w:p w:rsidR="004B4C79" w:rsidRPr="003410C7" w:rsidRDefault="004B4C79" w:rsidP="00E06FE8">
            <w:pPr>
              <w:pStyle w:val="AppendixTableText"/>
              <w:rPr>
                <w:rStyle w:val="CommentReference"/>
                <w:rFonts w:ascii="Tahoma" w:hAnsi="Tahoma" w:cs="Tahoma"/>
                <w:sz w:val="18"/>
                <w:szCs w:val="18"/>
              </w:rPr>
            </w:pPr>
          </w:p>
        </w:tc>
      </w:tr>
      <w:tr w:rsidR="004B4C79" w:rsidRPr="003410C7" w:rsidTr="007E466C">
        <w:trPr>
          <w:trHeight w:val="255"/>
        </w:trPr>
        <w:tc>
          <w:tcPr>
            <w:tcW w:w="2167" w:type="dxa"/>
            <w:tcBorders>
              <w:top w:val="nil"/>
              <w:left w:val="single" w:sz="4" w:space="0" w:color="auto"/>
              <w:bottom w:val="single" w:sz="4" w:space="0" w:color="auto"/>
              <w:right w:val="single" w:sz="4" w:space="0" w:color="auto"/>
            </w:tcBorders>
            <w:vAlign w:val="bottom"/>
          </w:tcPr>
          <w:p w:rsidR="004B4C79" w:rsidRPr="003410C7" w:rsidRDefault="004B4C79" w:rsidP="0040728D">
            <w:pPr>
              <w:pStyle w:val="AppendixTableText"/>
              <w:jc w:val="left"/>
              <w:rPr>
                <w:rFonts w:ascii="Tahoma" w:hAnsi="Tahoma" w:cs="Tahoma"/>
              </w:rPr>
            </w:pPr>
            <w:r w:rsidRPr="003410C7">
              <w:rPr>
                <w:rFonts w:ascii="Tahoma" w:hAnsi="Tahoma" w:cs="Tahoma"/>
              </w:rPr>
              <w:t>Windows 8 Enterprise</w:t>
            </w:r>
          </w:p>
        </w:tc>
        <w:tc>
          <w:tcPr>
            <w:tcW w:w="1530" w:type="dxa"/>
            <w:tcBorders>
              <w:top w:val="nil"/>
              <w:left w:val="nil"/>
              <w:bottom w:val="single" w:sz="4" w:space="0" w:color="auto"/>
              <w:right w:val="single" w:sz="4" w:space="0" w:color="auto"/>
            </w:tcBorders>
            <w:vAlign w:val="center"/>
          </w:tcPr>
          <w:p w:rsidR="004B4C79" w:rsidRPr="003410C7" w:rsidRDefault="004B4C79" w:rsidP="00E06FE8">
            <w:pPr>
              <w:pStyle w:val="AppendixTableText"/>
              <w:rPr>
                <w:rFonts w:ascii="Tahoma" w:hAnsi="Tahoma" w:cs="Tahoma"/>
              </w:rPr>
            </w:pPr>
          </w:p>
        </w:tc>
        <w:tc>
          <w:tcPr>
            <w:tcW w:w="1530" w:type="dxa"/>
            <w:tcBorders>
              <w:top w:val="nil"/>
              <w:left w:val="nil"/>
              <w:bottom w:val="single" w:sz="4" w:space="0" w:color="auto"/>
              <w:right w:val="single" w:sz="4" w:space="0" w:color="auto"/>
            </w:tcBorders>
            <w:vAlign w:val="center"/>
          </w:tcPr>
          <w:p w:rsidR="004B4C79" w:rsidRPr="003410C7" w:rsidRDefault="004B4C79" w:rsidP="00E06FE8">
            <w:pPr>
              <w:pStyle w:val="AppendixTableText"/>
              <w:rPr>
                <w:rFonts w:ascii="Tahoma" w:hAnsi="Tahoma" w:cs="Tahoma"/>
              </w:rPr>
            </w:pPr>
            <w:r w:rsidRPr="003410C7">
              <w:rPr>
                <w:rFonts w:ascii="Tahoma" w:hAnsi="Tahoma" w:cs="Tahoma"/>
              </w:rPr>
              <w:t>Sì</w:t>
            </w:r>
          </w:p>
        </w:tc>
        <w:tc>
          <w:tcPr>
            <w:tcW w:w="1530" w:type="dxa"/>
            <w:tcBorders>
              <w:top w:val="nil"/>
              <w:left w:val="nil"/>
              <w:bottom w:val="single" w:sz="4" w:space="0" w:color="auto"/>
              <w:right w:val="single" w:sz="4" w:space="0" w:color="auto"/>
            </w:tcBorders>
            <w:vAlign w:val="center"/>
          </w:tcPr>
          <w:p w:rsidR="004B4C79" w:rsidRPr="003410C7" w:rsidRDefault="004B4C79" w:rsidP="00E06FE8">
            <w:pPr>
              <w:pStyle w:val="AppendixTableText"/>
              <w:rPr>
                <w:rFonts w:ascii="Tahoma" w:hAnsi="Tahoma" w:cs="Tahoma"/>
              </w:rPr>
            </w:pPr>
          </w:p>
        </w:tc>
        <w:tc>
          <w:tcPr>
            <w:tcW w:w="1530" w:type="dxa"/>
            <w:tcBorders>
              <w:top w:val="nil"/>
              <w:left w:val="nil"/>
              <w:bottom w:val="single" w:sz="4" w:space="0" w:color="auto"/>
              <w:right w:val="single" w:sz="4" w:space="0" w:color="auto"/>
            </w:tcBorders>
            <w:vAlign w:val="center"/>
          </w:tcPr>
          <w:p w:rsidR="004B4C79" w:rsidRPr="003410C7" w:rsidRDefault="004B4C79" w:rsidP="00E06FE8">
            <w:pPr>
              <w:pStyle w:val="AppendixTableText"/>
              <w:rPr>
                <w:rFonts w:ascii="Tahoma" w:hAnsi="Tahoma" w:cs="Tahoma"/>
              </w:rPr>
            </w:pPr>
            <w:r w:rsidRPr="003410C7">
              <w:rPr>
                <w:rFonts w:ascii="Tahoma" w:hAnsi="Tahoma" w:cs="Tahoma"/>
              </w:rPr>
              <w:t>Sì</w:t>
            </w:r>
          </w:p>
        </w:tc>
        <w:tc>
          <w:tcPr>
            <w:tcW w:w="1440" w:type="dxa"/>
            <w:tcBorders>
              <w:top w:val="nil"/>
              <w:left w:val="nil"/>
              <w:bottom w:val="single" w:sz="4" w:space="0" w:color="auto"/>
              <w:right w:val="single" w:sz="4" w:space="0" w:color="auto"/>
            </w:tcBorders>
            <w:vAlign w:val="center"/>
          </w:tcPr>
          <w:p w:rsidR="004B4C79" w:rsidRPr="003410C7" w:rsidRDefault="004B4C79" w:rsidP="00E06FE8">
            <w:pPr>
              <w:pStyle w:val="AppendixTableText"/>
              <w:rPr>
                <w:rFonts w:ascii="Tahoma" w:hAnsi="Tahoma" w:cs="Tahoma"/>
              </w:rPr>
            </w:pPr>
          </w:p>
        </w:tc>
      </w:tr>
      <w:tr w:rsidR="004B4C79" w:rsidRPr="003410C7" w:rsidTr="007E466C">
        <w:trPr>
          <w:trHeight w:val="255"/>
        </w:trPr>
        <w:tc>
          <w:tcPr>
            <w:tcW w:w="2167" w:type="dxa"/>
            <w:tcBorders>
              <w:top w:val="nil"/>
              <w:left w:val="single" w:sz="4" w:space="0" w:color="auto"/>
              <w:bottom w:val="single" w:sz="4" w:space="0" w:color="auto"/>
              <w:right w:val="single" w:sz="4" w:space="0" w:color="auto"/>
            </w:tcBorders>
            <w:vAlign w:val="bottom"/>
          </w:tcPr>
          <w:p w:rsidR="004B4C79" w:rsidRPr="003410C7" w:rsidRDefault="004B4C79">
            <w:pPr>
              <w:pStyle w:val="AppendixTableText"/>
              <w:jc w:val="left"/>
              <w:rPr>
                <w:rFonts w:ascii="Tahoma" w:hAnsi="Tahoma" w:cs="Tahoma"/>
              </w:rPr>
            </w:pPr>
            <w:r w:rsidRPr="003410C7">
              <w:rPr>
                <w:rFonts w:ascii="Tahoma" w:hAnsi="Tahoma" w:cs="Tahoma"/>
              </w:rPr>
              <w:t>Voucher Corsi</w:t>
            </w:r>
          </w:p>
        </w:tc>
        <w:tc>
          <w:tcPr>
            <w:tcW w:w="1530" w:type="dxa"/>
            <w:tcBorders>
              <w:top w:val="nil"/>
              <w:left w:val="nil"/>
              <w:bottom w:val="single" w:sz="4" w:space="0" w:color="auto"/>
              <w:right w:val="single" w:sz="4" w:space="0" w:color="auto"/>
            </w:tcBorders>
            <w:vAlign w:val="center"/>
          </w:tcPr>
          <w:p w:rsidR="004B4C79" w:rsidRPr="003410C7" w:rsidRDefault="004B4C79" w:rsidP="00E06FE8">
            <w:pPr>
              <w:pStyle w:val="AppendixTableText"/>
              <w:rPr>
                <w:rFonts w:ascii="Tahoma" w:hAnsi="Tahoma" w:cs="Tahoma"/>
              </w:rPr>
            </w:pPr>
            <w:r w:rsidRPr="003410C7">
              <w:rPr>
                <w:rFonts w:ascii="Tahoma" w:hAnsi="Tahoma" w:cs="Tahoma"/>
              </w:rPr>
              <w:t>Sì</w:t>
            </w:r>
          </w:p>
        </w:tc>
        <w:tc>
          <w:tcPr>
            <w:tcW w:w="1530" w:type="dxa"/>
            <w:tcBorders>
              <w:top w:val="nil"/>
              <w:left w:val="nil"/>
              <w:bottom w:val="single" w:sz="4" w:space="0" w:color="auto"/>
              <w:right w:val="single" w:sz="4" w:space="0" w:color="auto"/>
            </w:tcBorders>
            <w:vAlign w:val="center"/>
          </w:tcPr>
          <w:p w:rsidR="004B4C79" w:rsidRPr="003410C7" w:rsidRDefault="004B4C79" w:rsidP="00E06FE8">
            <w:pPr>
              <w:pStyle w:val="AppendixTableText"/>
              <w:rPr>
                <w:rFonts w:ascii="Tahoma" w:hAnsi="Tahoma" w:cs="Tahoma"/>
              </w:rPr>
            </w:pPr>
            <w:r w:rsidRPr="003410C7">
              <w:rPr>
                <w:rFonts w:ascii="Tahoma" w:hAnsi="Tahoma" w:cs="Tahoma"/>
              </w:rPr>
              <w:t>Sì</w:t>
            </w:r>
          </w:p>
        </w:tc>
        <w:tc>
          <w:tcPr>
            <w:tcW w:w="1530" w:type="dxa"/>
            <w:tcBorders>
              <w:top w:val="nil"/>
              <w:left w:val="nil"/>
              <w:bottom w:val="single" w:sz="4" w:space="0" w:color="auto"/>
              <w:right w:val="single" w:sz="4" w:space="0" w:color="auto"/>
            </w:tcBorders>
            <w:vAlign w:val="center"/>
          </w:tcPr>
          <w:p w:rsidR="004B4C79" w:rsidRPr="003410C7" w:rsidRDefault="004B4C79" w:rsidP="00E06FE8">
            <w:pPr>
              <w:pStyle w:val="AppendixTableText"/>
              <w:rPr>
                <w:rFonts w:ascii="Tahoma" w:hAnsi="Tahoma" w:cs="Tahoma"/>
              </w:rPr>
            </w:pPr>
          </w:p>
        </w:tc>
        <w:tc>
          <w:tcPr>
            <w:tcW w:w="1530" w:type="dxa"/>
            <w:tcBorders>
              <w:top w:val="nil"/>
              <w:left w:val="nil"/>
              <w:bottom w:val="single" w:sz="4" w:space="0" w:color="auto"/>
              <w:right w:val="single" w:sz="4" w:space="0" w:color="auto"/>
            </w:tcBorders>
            <w:vAlign w:val="center"/>
          </w:tcPr>
          <w:p w:rsidR="004B4C79" w:rsidRPr="003410C7" w:rsidRDefault="004B4C79" w:rsidP="00E06FE8">
            <w:pPr>
              <w:pStyle w:val="AppendixTableText"/>
              <w:rPr>
                <w:rFonts w:ascii="Tahoma" w:hAnsi="Tahoma" w:cs="Tahoma"/>
              </w:rPr>
            </w:pPr>
          </w:p>
        </w:tc>
        <w:tc>
          <w:tcPr>
            <w:tcW w:w="1440" w:type="dxa"/>
            <w:tcBorders>
              <w:top w:val="nil"/>
              <w:left w:val="nil"/>
              <w:bottom w:val="single" w:sz="4" w:space="0" w:color="auto"/>
              <w:right w:val="single" w:sz="4" w:space="0" w:color="auto"/>
            </w:tcBorders>
            <w:vAlign w:val="center"/>
          </w:tcPr>
          <w:p w:rsidR="004B4C79" w:rsidRPr="003410C7" w:rsidRDefault="004B4C79" w:rsidP="00E06FE8">
            <w:pPr>
              <w:pStyle w:val="AppendixTableText"/>
              <w:rPr>
                <w:rFonts w:ascii="Tahoma" w:hAnsi="Tahoma" w:cs="Tahoma"/>
              </w:rPr>
            </w:pPr>
          </w:p>
        </w:tc>
      </w:tr>
      <w:tr w:rsidR="004B4C79" w:rsidRPr="003410C7" w:rsidTr="007E466C">
        <w:trPr>
          <w:trHeight w:val="255"/>
        </w:trPr>
        <w:tc>
          <w:tcPr>
            <w:tcW w:w="2167" w:type="dxa"/>
            <w:tcBorders>
              <w:top w:val="nil"/>
              <w:left w:val="single" w:sz="4" w:space="0" w:color="auto"/>
              <w:bottom w:val="single" w:sz="4" w:space="0" w:color="auto"/>
              <w:right w:val="single" w:sz="4" w:space="0" w:color="auto"/>
            </w:tcBorders>
            <w:vAlign w:val="bottom"/>
          </w:tcPr>
          <w:p w:rsidR="004B4C79" w:rsidRPr="003410C7" w:rsidRDefault="004B4C79">
            <w:pPr>
              <w:pStyle w:val="AppendixTableText"/>
              <w:jc w:val="left"/>
              <w:rPr>
                <w:rFonts w:ascii="Tahoma" w:hAnsi="Tahoma" w:cs="Tahoma"/>
              </w:rPr>
            </w:pPr>
            <w:r w:rsidRPr="003410C7">
              <w:rPr>
                <w:rFonts w:ascii="Tahoma" w:hAnsi="Tahoma" w:cs="Tahoma"/>
              </w:rPr>
              <w:t>E-Learning</w:t>
            </w:r>
          </w:p>
        </w:tc>
        <w:tc>
          <w:tcPr>
            <w:tcW w:w="1530" w:type="dxa"/>
            <w:tcBorders>
              <w:top w:val="nil"/>
              <w:left w:val="nil"/>
              <w:bottom w:val="single" w:sz="4" w:space="0" w:color="auto"/>
              <w:right w:val="single" w:sz="4" w:space="0" w:color="auto"/>
            </w:tcBorders>
            <w:vAlign w:val="center"/>
          </w:tcPr>
          <w:p w:rsidR="004B4C79" w:rsidRPr="003410C7" w:rsidRDefault="004B4C79" w:rsidP="00E06FE8">
            <w:pPr>
              <w:pStyle w:val="AppendixTableText"/>
              <w:rPr>
                <w:rFonts w:ascii="Tahoma" w:hAnsi="Tahoma" w:cs="Tahoma"/>
              </w:rPr>
            </w:pPr>
            <w:r w:rsidRPr="003410C7">
              <w:rPr>
                <w:rFonts w:ascii="Tahoma" w:hAnsi="Tahoma" w:cs="Tahoma"/>
              </w:rPr>
              <w:t>Sì</w:t>
            </w:r>
          </w:p>
        </w:tc>
        <w:tc>
          <w:tcPr>
            <w:tcW w:w="1530" w:type="dxa"/>
            <w:tcBorders>
              <w:top w:val="nil"/>
              <w:left w:val="nil"/>
              <w:bottom w:val="single" w:sz="4" w:space="0" w:color="auto"/>
              <w:right w:val="single" w:sz="4" w:space="0" w:color="auto"/>
            </w:tcBorders>
            <w:vAlign w:val="center"/>
          </w:tcPr>
          <w:p w:rsidR="004B4C79" w:rsidRPr="003410C7" w:rsidRDefault="004B4C79" w:rsidP="00E06FE8">
            <w:pPr>
              <w:pStyle w:val="AppendixTableText"/>
              <w:rPr>
                <w:rFonts w:ascii="Tahoma" w:hAnsi="Tahoma" w:cs="Tahoma"/>
              </w:rPr>
            </w:pPr>
            <w:r w:rsidRPr="003410C7">
              <w:rPr>
                <w:rFonts w:ascii="Tahoma" w:hAnsi="Tahoma" w:cs="Tahoma"/>
              </w:rPr>
              <w:t>Sì</w:t>
            </w:r>
          </w:p>
        </w:tc>
        <w:tc>
          <w:tcPr>
            <w:tcW w:w="1530" w:type="dxa"/>
            <w:tcBorders>
              <w:top w:val="nil"/>
              <w:left w:val="nil"/>
              <w:bottom w:val="single" w:sz="4" w:space="0" w:color="auto"/>
              <w:right w:val="single" w:sz="4" w:space="0" w:color="auto"/>
            </w:tcBorders>
            <w:vAlign w:val="center"/>
          </w:tcPr>
          <w:p w:rsidR="004B4C79" w:rsidRPr="003410C7" w:rsidRDefault="004B4C79" w:rsidP="00E06FE8">
            <w:pPr>
              <w:pStyle w:val="AppendixTableText"/>
              <w:rPr>
                <w:rFonts w:ascii="Tahoma" w:hAnsi="Tahoma" w:cs="Tahoma"/>
              </w:rPr>
            </w:pPr>
            <w:r w:rsidRPr="003410C7">
              <w:rPr>
                <w:rFonts w:ascii="Tahoma" w:hAnsi="Tahoma" w:cs="Tahoma"/>
              </w:rPr>
              <w:t>Sì</w:t>
            </w:r>
          </w:p>
        </w:tc>
        <w:tc>
          <w:tcPr>
            <w:tcW w:w="1530" w:type="dxa"/>
            <w:tcBorders>
              <w:top w:val="nil"/>
              <w:left w:val="nil"/>
              <w:bottom w:val="single" w:sz="4" w:space="0" w:color="auto"/>
              <w:right w:val="single" w:sz="4" w:space="0" w:color="auto"/>
            </w:tcBorders>
            <w:vAlign w:val="center"/>
          </w:tcPr>
          <w:p w:rsidR="004B4C79" w:rsidRPr="003410C7" w:rsidRDefault="004B4C79" w:rsidP="00E06FE8">
            <w:pPr>
              <w:pStyle w:val="AppendixTableText"/>
              <w:rPr>
                <w:rFonts w:ascii="Tahoma" w:hAnsi="Tahoma" w:cs="Tahoma"/>
              </w:rPr>
            </w:pPr>
            <w:r w:rsidRPr="003410C7">
              <w:rPr>
                <w:rFonts w:ascii="Tahoma" w:hAnsi="Tahoma" w:cs="Tahoma"/>
              </w:rPr>
              <w:t>Sì</w:t>
            </w:r>
          </w:p>
        </w:tc>
        <w:tc>
          <w:tcPr>
            <w:tcW w:w="1440" w:type="dxa"/>
            <w:tcBorders>
              <w:top w:val="nil"/>
              <w:left w:val="nil"/>
              <w:bottom w:val="single" w:sz="4" w:space="0" w:color="auto"/>
              <w:right w:val="single" w:sz="4" w:space="0" w:color="auto"/>
            </w:tcBorders>
            <w:vAlign w:val="center"/>
          </w:tcPr>
          <w:p w:rsidR="004B4C79" w:rsidRPr="003410C7" w:rsidRDefault="004B4C79" w:rsidP="00E06FE8">
            <w:pPr>
              <w:pStyle w:val="AppendixTableText"/>
              <w:rPr>
                <w:rFonts w:ascii="Tahoma" w:hAnsi="Tahoma" w:cs="Tahoma"/>
              </w:rPr>
            </w:pPr>
            <w:r w:rsidRPr="003410C7">
              <w:rPr>
                <w:rFonts w:ascii="Tahoma" w:hAnsi="Tahoma" w:cs="Tahoma"/>
              </w:rPr>
              <w:t>Sì</w:t>
            </w:r>
          </w:p>
        </w:tc>
      </w:tr>
      <w:tr w:rsidR="004B4C79" w:rsidRPr="003410C7" w:rsidTr="007E466C">
        <w:trPr>
          <w:trHeight w:val="255"/>
        </w:trPr>
        <w:tc>
          <w:tcPr>
            <w:tcW w:w="2167" w:type="dxa"/>
            <w:tcBorders>
              <w:top w:val="nil"/>
              <w:left w:val="single" w:sz="4" w:space="0" w:color="auto"/>
              <w:bottom w:val="single" w:sz="4" w:space="0" w:color="auto"/>
              <w:right w:val="single" w:sz="4" w:space="0" w:color="auto"/>
            </w:tcBorders>
            <w:vAlign w:val="bottom"/>
          </w:tcPr>
          <w:p w:rsidR="004B4C79" w:rsidRPr="003410C7" w:rsidRDefault="004B4C79">
            <w:pPr>
              <w:pStyle w:val="AppendixTableText"/>
              <w:jc w:val="left"/>
              <w:rPr>
                <w:rFonts w:ascii="Tahoma" w:hAnsi="Tahoma" w:cs="Tahoma"/>
              </w:rPr>
            </w:pPr>
            <w:r w:rsidRPr="003410C7">
              <w:rPr>
                <w:rFonts w:ascii="Tahoma" w:hAnsi="Tahoma" w:cs="Tahoma"/>
              </w:rPr>
              <w:t>Home Use Program</w:t>
            </w:r>
          </w:p>
        </w:tc>
        <w:tc>
          <w:tcPr>
            <w:tcW w:w="1530" w:type="dxa"/>
            <w:tcBorders>
              <w:top w:val="nil"/>
              <w:left w:val="nil"/>
              <w:bottom w:val="single" w:sz="4" w:space="0" w:color="auto"/>
              <w:right w:val="single" w:sz="4" w:space="0" w:color="auto"/>
            </w:tcBorders>
            <w:vAlign w:val="center"/>
          </w:tcPr>
          <w:p w:rsidR="004B4C79" w:rsidRPr="003410C7" w:rsidRDefault="004B4C79" w:rsidP="00E06FE8">
            <w:pPr>
              <w:pStyle w:val="AppendixTableText"/>
              <w:rPr>
                <w:rFonts w:ascii="Tahoma" w:hAnsi="Tahoma" w:cs="Tahoma"/>
              </w:rPr>
            </w:pPr>
            <w:r w:rsidRPr="003410C7">
              <w:rPr>
                <w:rFonts w:ascii="Tahoma" w:hAnsi="Tahoma" w:cs="Tahoma"/>
              </w:rPr>
              <w:t>Sì</w:t>
            </w:r>
          </w:p>
        </w:tc>
        <w:tc>
          <w:tcPr>
            <w:tcW w:w="1530" w:type="dxa"/>
            <w:tcBorders>
              <w:top w:val="nil"/>
              <w:left w:val="nil"/>
              <w:bottom w:val="single" w:sz="4" w:space="0" w:color="auto"/>
              <w:right w:val="single" w:sz="4" w:space="0" w:color="auto"/>
            </w:tcBorders>
            <w:vAlign w:val="center"/>
          </w:tcPr>
          <w:p w:rsidR="004B4C79" w:rsidRPr="003410C7" w:rsidRDefault="004B4C79" w:rsidP="00E06FE8">
            <w:pPr>
              <w:pStyle w:val="AppendixTableText"/>
              <w:rPr>
                <w:rFonts w:ascii="Tahoma" w:hAnsi="Tahoma" w:cs="Tahoma"/>
              </w:rPr>
            </w:pPr>
          </w:p>
        </w:tc>
        <w:tc>
          <w:tcPr>
            <w:tcW w:w="1530" w:type="dxa"/>
            <w:tcBorders>
              <w:top w:val="nil"/>
              <w:left w:val="nil"/>
              <w:bottom w:val="single" w:sz="4" w:space="0" w:color="auto"/>
              <w:right w:val="single" w:sz="4" w:space="0" w:color="auto"/>
            </w:tcBorders>
            <w:vAlign w:val="center"/>
          </w:tcPr>
          <w:p w:rsidR="004B4C79" w:rsidRPr="003410C7" w:rsidRDefault="004B4C79" w:rsidP="00E06FE8">
            <w:pPr>
              <w:pStyle w:val="AppendixTableText"/>
              <w:rPr>
                <w:rFonts w:ascii="Tahoma" w:hAnsi="Tahoma" w:cs="Tahoma"/>
              </w:rPr>
            </w:pPr>
          </w:p>
        </w:tc>
        <w:tc>
          <w:tcPr>
            <w:tcW w:w="1530" w:type="dxa"/>
            <w:tcBorders>
              <w:top w:val="nil"/>
              <w:left w:val="nil"/>
              <w:bottom w:val="single" w:sz="4" w:space="0" w:color="auto"/>
              <w:right w:val="single" w:sz="4" w:space="0" w:color="auto"/>
            </w:tcBorders>
            <w:vAlign w:val="center"/>
          </w:tcPr>
          <w:p w:rsidR="004B4C79" w:rsidRPr="003410C7" w:rsidRDefault="004B4C79" w:rsidP="00E06FE8">
            <w:pPr>
              <w:pStyle w:val="AppendixTableText"/>
              <w:rPr>
                <w:rFonts w:ascii="Tahoma" w:hAnsi="Tahoma" w:cs="Tahoma"/>
              </w:rPr>
            </w:pPr>
          </w:p>
        </w:tc>
        <w:tc>
          <w:tcPr>
            <w:tcW w:w="1440" w:type="dxa"/>
            <w:tcBorders>
              <w:top w:val="nil"/>
              <w:left w:val="nil"/>
              <w:bottom w:val="single" w:sz="4" w:space="0" w:color="auto"/>
              <w:right w:val="single" w:sz="4" w:space="0" w:color="auto"/>
            </w:tcBorders>
            <w:vAlign w:val="center"/>
          </w:tcPr>
          <w:p w:rsidR="004B4C79" w:rsidRPr="003410C7" w:rsidRDefault="004B4C79" w:rsidP="00E06FE8">
            <w:pPr>
              <w:pStyle w:val="AppendixTableText"/>
              <w:rPr>
                <w:rFonts w:ascii="Tahoma" w:hAnsi="Tahoma" w:cs="Tahoma"/>
              </w:rPr>
            </w:pPr>
          </w:p>
        </w:tc>
      </w:tr>
      <w:tr w:rsidR="004B4C79" w:rsidRPr="003410C7" w:rsidTr="007E466C">
        <w:trPr>
          <w:trHeight w:val="255"/>
        </w:trPr>
        <w:tc>
          <w:tcPr>
            <w:tcW w:w="2167" w:type="dxa"/>
            <w:tcBorders>
              <w:top w:val="nil"/>
              <w:left w:val="single" w:sz="4" w:space="0" w:color="auto"/>
              <w:bottom w:val="single" w:sz="4" w:space="0" w:color="auto"/>
              <w:right w:val="single" w:sz="4" w:space="0" w:color="auto"/>
            </w:tcBorders>
            <w:vAlign w:val="bottom"/>
          </w:tcPr>
          <w:p w:rsidR="004B4C79" w:rsidRPr="003410C7" w:rsidRDefault="004B4C79">
            <w:pPr>
              <w:pStyle w:val="AppendixTableText"/>
              <w:jc w:val="left"/>
              <w:rPr>
                <w:rFonts w:ascii="Tahoma" w:hAnsi="Tahoma" w:cs="Tahoma"/>
              </w:rPr>
            </w:pPr>
            <w:r w:rsidRPr="003410C7">
              <w:rPr>
                <w:rFonts w:ascii="Tahoma" w:hAnsi="Tahoma" w:cs="Tahoma"/>
              </w:rPr>
              <w:t>Enterprise Source Licensing Program</w:t>
            </w:r>
          </w:p>
        </w:tc>
        <w:tc>
          <w:tcPr>
            <w:tcW w:w="1530" w:type="dxa"/>
            <w:tcBorders>
              <w:top w:val="nil"/>
              <w:left w:val="nil"/>
              <w:bottom w:val="single" w:sz="4" w:space="0" w:color="auto"/>
              <w:right w:val="single" w:sz="4" w:space="0" w:color="auto"/>
            </w:tcBorders>
            <w:vAlign w:val="center"/>
          </w:tcPr>
          <w:p w:rsidR="004B4C79" w:rsidRPr="003410C7" w:rsidRDefault="004B4C79" w:rsidP="00E06FE8">
            <w:pPr>
              <w:pStyle w:val="AppendixTableText"/>
              <w:rPr>
                <w:rFonts w:ascii="Tahoma" w:hAnsi="Tahoma" w:cs="Tahoma"/>
              </w:rPr>
            </w:pPr>
          </w:p>
        </w:tc>
        <w:tc>
          <w:tcPr>
            <w:tcW w:w="1530" w:type="dxa"/>
            <w:tcBorders>
              <w:top w:val="nil"/>
              <w:left w:val="nil"/>
              <w:bottom w:val="single" w:sz="4" w:space="0" w:color="auto"/>
              <w:right w:val="single" w:sz="4" w:space="0" w:color="auto"/>
            </w:tcBorders>
            <w:vAlign w:val="center"/>
          </w:tcPr>
          <w:p w:rsidR="004B4C79" w:rsidRPr="003410C7" w:rsidRDefault="004B4C79" w:rsidP="00E06FE8">
            <w:pPr>
              <w:pStyle w:val="AppendixTableText"/>
              <w:rPr>
                <w:rFonts w:ascii="Tahoma" w:hAnsi="Tahoma" w:cs="Tahoma"/>
              </w:rPr>
            </w:pPr>
            <w:r w:rsidRPr="003410C7">
              <w:rPr>
                <w:rFonts w:ascii="Tahoma" w:hAnsi="Tahoma" w:cs="Tahoma"/>
              </w:rPr>
              <w:t>Sì</w:t>
            </w:r>
          </w:p>
        </w:tc>
        <w:tc>
          <w:tcPr>
            <w:tcW w:w="1530" w:type="dxa"/>
            <w:tcBorders>
              <w:top w:val="nil"/>
              <w:left w:val="nil"/>
              <w:bottom w:val="single" w:sz="4" w:space="0" w:color="auto"/>
              <w:right w:val="single" w:sz="4" w:space="0" w:color="auto"/>
            </w:tcBorders>
            <w:vAlign w:val="center"/>
          </w:tcPr>
          <w:p w:rsidR="004B4C79" w:rsidRPr="003410C7" w:rsidRDefault="004B4C79" w:rsidP="00E06FE8">
            <w:pPr>
              <w:pStyle w:val="AppendixTableText"/>
              <w:rPr>
                <w:rFonts w:ascii="Tahoma" w:hAnsi="Tahoma" w:cs="Tahoma"/>
              </w:rPr>
            </w:pPr>
          </w:p>
        </w:tc>
        <w:tc>
          <w:tcPr>
            <w:tcW w:w="1530" w:type="dxa"/>
            <w:tcBorders>
              <w:top w:val="nil"/>
              <w:left w:val="nil"/>
              <w:bottom w:val="single" w:sz="4" w:space="0" w:color="auto"/>
              <w:right w:val="single" w:sz="4" w:space="0" w:color="auto"/>
            </w:tcBorders>
            <w:vAlign w:val="center"/>
          </w:tcPr>
          <w:p w:rsidR="004B4C79" w:rsidRPr="003410C7" w:rsidRDefault="004B4C79" w:rsidP="00E06FE8">
            <w:pPr>
              <w:pStyle w:val="AppendixTableText"/>
              <w:rPr>
                <w:rFonts w:ascii="Tahoma" w:hAnsi="Tahoma" w:cs="Tahoma"/>
              </w:rPr>
            </w:pPr>
          </w:p>
        </w:tc>
        <w:tc>
          <w:tcPr>
            <w:tcW w:w="1440" w:type="dxa"/>
            <w:tcBorders>
              <w:top w:val="nil"/>
              <w:left w:val="nil"/>
              <w:bottom w:val="single" w:sz="4" w:space="0" w:color="auto"/>
              <w:right w:val="single" w:sz="4" w:space="0" w:color="auto"/>
            </w:tcBorders>
            <w:vAlign w:val="center"/>
          </w:tcPr>
          <w:p w:rsidR="004B4C79" w:rsidRPr="003410C7" w:rsidRDefault="004B4C79" w:rsidP="00E06FE8">
            <w:pPr>
              <w:pStyle w:val="AppendixTableText"/>
              <w:rPr>
                <w:rFonts w:ascii="Tahoma" w:hAnsi="Tahoma" w:cs="Tahoma"/>
              </w:rPr>
            </w:pPr>
          </w:p>
        </w:tc>
      </w:tr>
      <w:tr w:rsidR="004B4C79" w:rsidRPr="003410C7" w:rsidTr="007E466C">
        <w:trPr>
          <w:trHeight w:val="255"/>
        </w:trPr>
        <w:tc>
          <w:tcPr>
            <w:tcW w:w="2167" w:type="dxa"/>
            <w:tcBorders>
              <w:top w:val="single" w:sz="6" w:space="0" w:color="auto"/>
              <w:left w:val="single" w:sz="4" w:space="0" w:color="auto"/>
              <w:bottom w:val="single" w:sz="6" w:space="0" w:color="auto"/>
              <w:right w:val="single" w:sz="6" w:space="0" w:color="auto"/>
            </w:tcBorders>
            <w:vAlign w:val="bottom"/>
          </w:tcPr>
          <w:p w:rsidR="004B4C79" w:rsidRPr="00451078" w:rsidRDefault="004B4C79" w:rsidP="002B279A">
            <w:pPr>
              <w:pStyle w:val="AppendixTableText"/>
              <w:jc w:val="left"/>
              <w:rPr>
                <w:rFonts w:ascii="Tahoma" w:hAnsi="Tahoma" w:cs="Tahoma"/>
                <w:lang w:val="it-IT"/>
              </w:rPr>
            </w:pPr>
            <w:r w:rsidRPr="00451078">
              <w:rPr>
                <w:rFonts w:ascii="Tahoma" w:hAnsi="Tahoma" w:cs="Tahoma"/>
                <w:lang w:val="it-IT"/>
              </w:rPr>
              <w:t>Supporto per la Risoluzione dei Problemi</w:t>
            </w:r>
            <w:r w:rsidR="002B279A" w:rsidRPr="00451078">
              <w:rPr>
                <w:rFonts w:ascii="Tahoma" w:hAnsi="Tahoma" w:cs="Tahoma"/>
                <w:lang w:val="it-IT"/>
              </w:rPr>
              <w:t> </w:t>
            </w:r>
            <w:r w:rsidRPr="00451078">
              <w:rPr>
                <w:rFonts w:ascii="Tahoma" w:hAnsi="Tahoma" w:cs="Tahoma"/>
                <w:lang w:val="it-IT"/>
              </w:rPr>
              <w:t>24x7</w:t>
            </w:r>
          </w:p>
        </w:tc>
        <w:tc>
          <w:tcPr>
            <w:tcW w:w="1530" w:type="dxa"/>
            <w:tcBorders>
              <w:top w:val="single" w:sz="6" w:space="0" w:color="auto"/>
              <w:left w:val="single" w:sz="6" w:space="0" w:color="auto"/>
              <w:bottom w:val="single" w:sz="6" w:space="0" w:color="auto"/>
              <w:right w:val="single" w:sz="6" w:space="0" w:color="auto"/>
            </w:tcBorders>
            <w:vAlign w:val="center"/>
          </w:tcPr>
          <w:p w:rsidR="004B4C79" w:rsidRPr="003410C7" w:rsidRDefault="004B4C79" w:rsidP="00E06FE8">
            <w:pPr>
              <w:pStyle w:val="AppendixTableText"/>
              <w:rPr>
                <w:rFonts w:ascii="Tahoma" w:hAnsi="Tahoma" w:cs="Tahoma"/>
              </w:rPr>
            </w:pPr>
            <w:r w:rsidRPr="003410C7">
              <w:rPr>
                <w:rFonts w:ascii="Tahoma" w:hAnsi="Tahoma" w:cs="Tahoma"/>
              </w:rPr>
              <w:t>Sì</w:t>
            </w:r>
          </w:p>
        </w:tc>
        <w:tc>
          <w:tcPr>
            <w:tcW w:w="1530" w:type="dxa"/>
            <w:tcBorders>
              <w:top w:val="single" w:sz="6" w:space="0" w:color="auto"/>
              <w:left w:val="single" w:sz="6" w:space="0" w:color="auto"/>
              <w:bottom w:val="single" w:sz="6" w:space="0" w:color="auto"/>
              <w:right w:val="single" w:sz="6" w:space="0" w:color="auto"/>
            </w:tcBorders>
            <w:vAlign w:val="center"/>
          </w:tcPr>
          <w:p w:rsidR="004B4C79" w:rsidRPr="003410C7" w:rsidRDefault="004B4C79" w:rsidP="00E06FE8">
            <w:pPr>
              <w:pStyle w:val="AppendixTableText"/>
              <w:rPr>
                <w:rFonts w:ascii="Tahoma" w:hAnsi="Tahoma" w:cs="Tahoma"/>
              </w:rPr>
            </w:pPr>
            <w:r w:rsidRPr="003410C7">
              <w:rPr>
                <w:rFonts w:ascii="Tahoma" w:hAnsi="Tahoma" w:cs="Tahoma"/>
              </w:rPr>
              <w:t>Sì</w:t>
            </w:r>
          </w:p>
        </w:tc>
        <w:tc>
          <w:tcPr>
            <w:tcW w:w="1530" w:type="dxa"/>
            <w:tcBorders>
              <w:top w:val="single" w:sz="6" w:space="0" w:color="auto"/>
              <w:left w:val="single" w:sz="6" w:space="0" w:color="auto"/>
              <w:bottom w:val="single" w:sz="6" w:space="0" w:color="auto"/>
              <w:right w:val="single" w:sz="4" w:space="0" w:color="auto"/>
            </w:tcBorders>
            <w:vAlign w:val="center"/>
          </w:tcPr>
          <w:p w:rsidR="004B4C79" w:rsidRPr="003410C7" w:rsidRDefault="004B4C79" w:rsidP="00E06FE8">
            <w:pPr>
              <w:pStyle w:val="AppendixTableText"/>
              <w:rPr>
                <w:rStyle w:val="CommentReference"/>
                <w:rFonts w:ascii="Tahoma" w:hAnsi="Tahoma" w:cs="Tahoma"/>
                <w:sz w:val="18"/>
                <w:szCs w:val="18"/>
              </w:rPr>
            </w:pPr>
            <w:r w:rsidRPr="003410C7">
              <w:rPr>
                <w:rFonts w:ascii="Tahoma" w:hAnsi="Tahoma" w:cs="Tahoma"/>
              </w:rPr>
              <w:t>Sì</w:t>
            </w:r>
          </w:p>
        </w:tc>
        <w:tc>
          <w:tcPr>
            <w:tcW w:w="1530" w:type="dxa"/>
            <w:tcBorders>
              <w:top w:val="single" w:sz="6" w:space="0" w:color="auto"/>
              <w:left w:val="single" w:sz="6" w:space="0" w:color="auto"/>
              <w:bottom w:val="single" w:sz="6" w:space="0" w:color="auto"/>
              <w:right w:val="single" w:sz="4" w:space="0" w:color="auto"/>
            </w:tcBorders>
            <w:vAlign w:val="center"/>
          </w:tcPr>
          <w:p w:rsidR="004B4C79" w:rsidRPr="003410C7" w:rsidRDefault="004B4C79" w:rsidP="00E06FE8">
            <w:pPr>
              <w:pStyle w:val="AppendixTableText"/>
              <w:rPr>
                <w:rFonts w:ascii="Tahoma" w:hAnsi="Tahoma" w:cs="Tahoma"/>
              </w:rPr>
            </w:pPr>
          </w:p>
        </w:tc>
        <w:tc>
          <w:tcPr>
            <w:tcW w:w="1440" w:type="dxa"/>
            <w:tcBorders>
              <w:top w:val="single" w:sz="6" w:space="0" w:color="auto"/>
              <w:left w:val="single" w:sz="6" w:space="0" w:color="auto"/>
              <w:bottom w:val="single" w:sz="6" w:space="0" w:color="auto"/>
              <w:right w:val="single" w:sz="4" w:space="0" w:color="auto"/>
            </w:tcBorders>
            <w:vAlign w:val="center"/>
          </w:tcPr>
          <w:p w:rsidR="004B4C79" w:rsidRPr="003410C7" w:rsidRDefault="004B4C79" w:rsidP="00E06FE8">
            <w:pPr>
              <w:pStyle w:val="AppendixTableText"/>
              <w:rPr>
                <w:rFonts w:ascii="Tahoma" w:hAnsi="Tahoma" w:cs="Tahoma"/>
              </w:rPr>
            </w:pPr>
          </w:p>
        </w:tc>
      </w:tr>
      <w:tr w:rsidR="00620185" w:rsidRPr="003410C7" w:rsidTr="007E466C">
        <w:trPr>
          <w:trHeight w:val="255"/>
        </w:trPr>
        <w:tc>
          <w:tcPr>
            <w:tcW w:w="2167" w:type="dxa"/>
            <w:tcBorders>
              <w:top w:val="nil"/>
              <w:left w:val="single" w:sz="4" w:space="0" w:color="auto"/>
              <w:bottom w:val="single" w:sz="4" w:space="0" w:color="auto"/>
              <w:right w:val="single" w:sz="4" w:space="0" w:color="auto"/>
            </w:tcBorders>
            <w:vAlign w:val="bottom"/>
          </w:tcPr>
          <w:p w:rsidR="00620185" w:rsidRPr="003410C7" w:rsidRDefault="00620185">
            <w:pPr>
              <w:pStyle w:val="AppendixTableText"/>
              <w:jc w:val="left"/>
              <w:rPr>
                <w:rFonts w:ascii="Tahoma" w:hAnsi="Tahoma" w:cs="Tahoma"/>
              </w:rPr>
            </w:pPr>
            <w:r w:rsidRPr="003410C7">
              <w:rPr>
                <w:rFonts w:ascii="Tahoma" w:hAnsi="Tahoma" w:cs="Tahoma"/>
              </w:rPr>
              <w:t>System Center Advisor</w:t>
            </w:r>
          </w:p>
        </w:tc>
        <w:tc>
          <w:tcPr>
            <w:tcW w:w="1530" w:type="dxa"/>
            <w:tcBorders>
              <w:top w:val="nil"/>
              <w:left w:val="nil"/>
              <w:bottom w:val="single" w:sz="4" w:space="0" w:color="auto"/>
              <w:right w:val="single" w:sz="4" w:space="0" w:color="auto"/>
            </w:tcBorders>
            <w:vAlign w:val="center"/>
          </w:tcPr>
          <w:p w:rsidR="00620185" w:rsidRPr="003410C7" w:rsidRDefault="00620185" w:rsidP="00E06FE8">
            <w:pPr>
              <w:pStyle w:val="AppendixTableText"/>
              <w:rPr>
                <w:rFonts w:ascii="Tahoma" w:hAnsi="Tahoma" w:cs="Tahoma"/>
              </w:rPr>
            </w:pPr>
          </w:p>
        </w:tc>
        <w:tc>
          <w:tcPr>
            <w:tcW w:w="1530" w:type="dxa"/>
            <w:tcBorders>
              <w:top w:val="nil"/>
              <w:left w:val="nil"/>
              <w:bottom w:val="single" w:sz="4" w:space="0" w:color="auto"/>
              <w:right w:val="single" w:sz="4" w:space="0" w:color="auto"/>
            </w:tcBorders>
            <w:vAlign w:val="center"/>
          </w:tcPr>
          <w:p w:rsidR="00620185" w:rsidRPr="003410C7" w:rsidRDefault="00620185" w:rsidP="00E06FE8">
            <w:pPr>
              <w:pStyle w:val="AppendixTableText"/>
              <w:rPr>
                <w:rFonts w:ascii="Tahoma" w:hAnsi="Tahoma" w:cs="Tahoma"/>
              </w:rPr>
            </w:pPr>
          </w:p>
        </w:tc>
        <w:tc>
          <w:tcPr>
            <w:tcW w:w="1530" w:type="dxa"/>
            <w:tcBorders>
              <w:top w:val="nil"/>
              <w:left w:val="nil"/>
              <w:bottom w:val="single" w:sz="4" w:space="0" w:color="auto"/>
              <w:right w:val="single" w:sz="4" w:space="0" w:color="auto"/>
            </w:tcBorders>
            <w:vAlign w:val="center"/>
          </w:tcPr>
          <w:p w:rsidR="00620185" w:rsidRPr="003410C7" w:rsidRDefault="00620185" w:rsidP="00E06FE8">
            <w:pPr>
              <w:pStyle w:val="AppendixTableText"/>
              <w:rPr>
                <w:rFonts w:ascii="Tahoma" w:hAnsi="Tahoma" w:cs="Tahoma"/>
              </w:rPr>
            </w:pPr>
            <w:r w:rsidRPr="003410C7">
              <w:rPr>
                <w:rFonts w:ascii="Tahoma" w:hAnsi="Tahoma" w:cs="Tahoma"/>
              </w:rPr>
              <w:t>Sì</w:t>
            </w:r>
          </w:p>
        </w:tc>
        <w:tc>
          <w:tcPr>
            <w:tcW w:w="1530" w:type="dxa"/>
            <w:tcBorders>
              <w:top w:val="nil"/>
              <w:left w:val="nil"/>
              <w:bottom w:val="single" w:sz="4" w:space="0" w:color="auto"/>
              <w:right w:val="single" w:sz="4" w:space="0" w:color="auto"/>
            </w:tcBorders>
            <w:vAlign w:val="center"/>
          </w:tcPr>
          <w:p w:rsidR="00620185" w:rsidRPr="003410C7" w:rsidRDefault="00620185" w:rsidP="00E06FE8">
            <w:pPr>
              <w:pStyle w:val="AppendixTableText"/>
              <w:rPr>
                <w:rFonts w:ascii="Tahoma" w:hAnsi="Tahoma" w:cs="Tahoma"/>
              </w:rPr>
            </w:pPr>
          </w:p>
        </w:tc>
        <w:tc>
          <w:tcPr>
            <w:tcW w:w="1440" w:type="dxa"/>
            <w:tcBorders>
              <w:top w:val="nil"/>
              <w:left w:val="nil"/>
              <w:bottom w:val="single" w:sz="4" w:space="0" w:color="auto"/>
              <w:right w:val="single" w:sz="4" w:space="0" w:color="auto"/>
            </w:tcBorders>
            <w:vAlign w:val="center"/>
          </w:tcPr>
          <w:p w:rsidR="00620185" w:rsidRPr="003410C7" w:rsidRDefault="00620185" w:rsidP="00E06FE8">
            <w:pPr>
              <w:pStyle w:val="AppendixTableText"/>
              <w:rPr>
                <w:rFonts w:ascii="Tahoma" w:hAnsi="Tahoma" w:cs="Tahoma"/>
              </w:rPr>
            </w:pPr>
          </w:p>
        </w:tc>
      </w:tr>
      <w:tr w:rsidR="00E06FE8" w:rsidRPr="003410C7" w:rsidTr="007E466C">
        <w:trPr>
          <w:trHeight w:val="255"/>
        </w:trPr>
        <w:tc>
          <w:tcPr>
            <w:tcW w:w="2167" w:type="dxa"/>
            <w:tcBorders>
              <w:top w:val="nil"/>
              <w:left w:val="single" w:sz="4" w:space="0" w:color="auto"/>
              <w:bottom w:val="single" w:sz="4" w:space="0" w:color="auto"/>
              <w:right w:val="single" w:sz="4" w:space="0" w:color="auto"/>
            </w:tcBorders>
            <w:vAlign w:val="bottom"/>
          </w:tcPr>
          <w:p w:rsidR="00E06FE8" w:rsidRPr="003410C7" w:rsidRDefault="00E06FE8" w:rsidP="002B279A">
            <w:pPr>
              <w:pStyle w:val="AppendixTableText"/>
              <w:jc w:val="left"/>
              <w:rPr>
                <w:rFonts w:ascii="Tahoma" w:hAnsi="Tahoma" w:cs="Tahoma"/>
              </w:rPr>
            </w:pPr>
            <w:r w:rsidRPr="003410C7">
              <w:rPr>
                <w:rFonts w:ascii="Tahoma" w:hAnsi="Tahoma" w:cs="Tahoma"/>
              </w:rPr>
              <w:t>System Center Global</w:t>
            </w:r>
            <w:r w:rsidR="002B279A">
              <w:rPr>
                <w:rFonts w:ascii="Tahoma" w:hAnsi="Tahoma" w:cs="Tahoma"/>
              </w:rPr>
              <w:t> </w:t>
            </w:r>
            <w:r w:rsidRPr="003410C7">
              <w:rPr>
                <w:rFonts w:ascii="Tahoma" w:hAnsi="Tahoma" w:cs="Tahoma"/>
              </w:rPr>
              <w:t>Service Monitor</w:t>
            </w:r>
          </w:p>
        </w:tc>
        <w:tc>
          <w:tcPr>
            <w:tcW w:w="1530" w:type="dxa"/>
            <w:tcBorders>
              <w:top w:val="nil"/>
              <w:left w:val="nil"/>
              <w:bottom w:val="single" w:sz="4" w:space="0" w:color="auto"/>
              <w:right w:val="single" w:sz="4" w:space="0" w:color="auto"/>
            </w:tcBorders>
            <w:vAlign w:val="center"/>
          </w:tcPr>
          <w:p w:rsidR="00E06FE8" w:rsidRPr="003410C7" w:rsidRDefault="00E06FE8" w:rsidP="00E06FE8">
            <w:pPr>
              <w:pStyle w:val="AppendixTableText"/>
              <w:rPr>
                <w:rFonts w:ascii="Tahoma" w:hAnsi="Tahoma" w:cs="Tahoma"/>
              </w:rPr>
            </w:pPr>
          </w:p>
        </w:tc>
        <w:tc>
          <w:tcPr>
            <w:tcW w:w="1530" w:type="dxa"/>
            <w:tcBorders>
              <w:top w:val="nil"/>
              <w:left w:val="nil"/>
              <w:bottom w:val="single" w:sz="4" w:space="0" w:color="auto"/>
              <w:right w:val="single" w:sz="4" w:space="0" w:color="auto"/>
            </w:tcBorders>
            <w:vAlign w:val="center"/>
          </w:tcPr>
          <w:p w:rsidR="00E06FE8" w:rsidRPr="003410C7" w:rsidRDefault="00E06FE8" w:rsidP="00E06FE8">
            <w:pPr>
              <w:pStyle w:val="AppendixTableText"/>
              <w:rPr>
                <w:rFonts w:ascii="Tahoma" w:hAnsi="Tahoma" w:cs="Tahoma"/>
              </w:rPr>
            </w:pPr>
          </w:p>
        </w:tc>
        <w:tc>
          <w:tcPr>
            <w:tcW w:w="1530" w:type="dxa"/>
            <w:tcBorders>
              <w:top w:val="nil"/>
              <w:left w:val="nil"/>
              <w:bottom w:val="single" w:sz="4" w:space="0" w:color="auto"/>
              <w:right w:val="single" w:sz="4" w:space="0" w:color="auto"/>
            </w:tcBorders>
            <w:vAlign w:val="center"/>
          </w:tcPr>
          <w:p w:rsidR="00E06FE8" w:rsidRPr="003410C7" w:rsidRDefault="00E06FE8" w:rsidP="00E06FE8">
            <w:pPr>
              <w:pStyle w:val="AppendixTableText"/>
              <w:rPr>
                <w:rFonts w:ascii="Tahoma" w:hAnsi="Tahoma" w:cs="Tahoma"/>
              </w:rPr>
            </w:pPr>
            <w:r w:rsidRPr="003410C7">
              <w:rPr>
                <w:rFonts w:ascii="Tahoma" w:hAnsi="Tahoma" w:cs="Tahoma"/>
              </w:rPr>
              <w:t>Sì</w:t>
            </w:r>
          </w:p>
        </w:tc>
        <w:tc>
          <w:tcPr>
            <w:tcW w:w="1530" w:type="dxa"/>
            <w:tcBorders>
              <w:top w:val="nil"/>
              <w:left w:val="nil"/>
              <w:bottom w:val="single" w:sz="4" w:space="0" w:color="auto"/>
              <w:right w:val="single" w:sz="4" w:space="0" w:color="auto"/>
            </w:tcBorders>
            <w:vAlign w:val="center"/>
          </w:tcPr>
          <w:p w:rsidR="00E06FE8" w:rsidRPr="003410C7" w:rsidRDefault="00E06FE8" w:rsidP="00E06FE8">
            <w:pPr>
              <w:pStyle w:val="AppendixTableText"/>
              <w:rPr>
                <w:rFonts w:ascii="Tahoma" w:hAnsi="Tahoma" w:cs="Tahoma"/>
              </w:rPr>
            </w:pPr>
          </w:p>
        </w:tc>
        <w:tc>
          <w:tcPr>
            <w:tcW w:w="1440" w:type="dxa"/>
            <w:tcBorders>
              <w:top w:val="nil"/>
              <w:left w:val="nil"/>
              <w:bottom w:val="single" w:sz="4" w:space="0" w:color="auto"/>
              <w:right w:val="single" w:sz="4" w:space="0" w:color="auto"/>
            </w:tcBorders>
            <w:vAlign w:val="center"/>
          </w:tcPr>
          <w:p w:rsidR="00E06FE8" w:rsidRPr="003410C7" w:rsidRDefault="00E06FE8" w:rsidP="00E06FE8">
            <w:pPr>
              <w:pStyle w:val="AppendixTableText"/>
              <w:rPr>
                <w:rFonts w:ascii="Tahoma" w:hAnsi="Tahoma" w:cs="Tahoma"/>
              </w:rPr>
            </w:pPr>
          </w:p>
        </w:tc>
      </w:tr>
      <w:tr w:rsidR="004B4C79" w:rsidRPr="003410C7" w:rsidTr="007E466C">
        <w:trPr>
          <w:trHeight w:val="255"/>
        </w:trPr>
        <w:tc>
          <w:tcPr>
            <w:tcW w:w="2167" w:type="dxa"/>
            <w:tcBorders>
              <w:top w:val="nil"/>
              <w:left w:val="single" w:sz="4" w:space="0" w:color="auto"/>
              <w:bottom w:val="single" w:sz="4" w:space="0" w:color="auto"/>
              <w:right w:val="single" w:sz="4" w:space="0" w:color="auto"/>
            </w:tcBorders>
            <w:vAlign w:val="bottom"/>
          </w:tcPr>
          <w:p w:rsidR="004B4C79" w:rsidRPr="00451078" w:rsidRDefault="004B4C79">
            <w:pPr>
              <w:pStyle w:val="AppendixTableText"/>
              <w:jc w:val="left"/>
              <w:rPr>
                <w:rFonts w:ascii="Tahoma" w:hAnsi="Tahoma" w:cs="Tahoma"/>
                <w:lang w:val="it-IT"/>
              </w:rPr>
            </w:pPr>
            <w:r w:rsidRPr="00451078">
              <w:rPr>
                <w:rFonts w:ascii="Tahoma" w:hAnsi="Tahoma" w:cs="Tahoma"/>
                <w:lang w:val="it-IT"/>
              </w:rPr>
              <w:t xml:space="preserve">Back-up per Ripristino di Emergenza </w:t>
            </w:r>
            <w:r w:rsidR="001A3EC5" w:rsidRPr="00451078">
              <w:rPr>
                <w:rFonts w:ascii="Tahoma" w:hAnsi="Tahoma" w:cs="Tahoma"/>
                <w:lang w:val="it-IT"/>
              </w:rPr>
              <w:t>“</w:t>
            </w:r>
            <w:r w:rsidRPr="00451078">
              <w:rPr>
                <w:rFonts w:ascii="Tahoma" w:hAnsi="Tahoma" w:cs="Tahoma"/>
                <w:lang w:val="it-IT"/>
              </w:rPr>
              <w:t>a Freddo</w:t>
            </w:r>
            <w:r w:rsidR="001A3EC5" w:rsidRPr="00451078">
              <w:rPr>
                <w:rFonts w:ascii="Tahoma" w:hAnsi="Tahoma" w:cs="Tahoma"/>
                <w:lang w:val="it-IT"/>
              </w:rPr>
              <w:t>”</w:t>
            </w:r>
          </w:p>
        </w:tc>
        <w:tc>
          <w:tcPr>
            <w:tcW w:w="1530" w:type="dxa"/>
            <w:tcBorders>
              <w:top w:val="nil"/>
              <w:left w:val="nil"/>
              <w:bottom w:val="single" w:sz="4" w:space="0" w:color="auto"/>
              <w:right w:val="single" w:sz="4" w:space="0" w:color="auto"/>
            </w:tcBorders>
            <w:vAlign w:val="center"/>
          </w:tcPr>
          <w:p w:rsidR="004B4C79" w:rsidRPr="00451078" w:rsidRDefault="004B4C79" w:rsidP="00E06FE8">
            <w:pPr>
              <w:pStyle w:val="AppendixTableText"/>
              <w:rPr>
                <w:rFonts w:ascii="Tahoma" w:hAnsi="Tahoma" w:cs="Tahoma"/>
                <w:lang w:val="it-IT"/>
              </w:rPr>
            </w:pPr>
          </w:p>
        </w:tc>
        <w:tc>
          <w:tcPr>
            <w:tcW w:w="1530" w:type="dxa"/>
            <w:tcBorders>
              <w:top w:val="nil"/>
              <w:left w:val="nil"/>
              <w:bottom w:val="single" w:sz="4" w:space="0" w:color="auto"/>
              <w:right w:val="single" w:sz="4" w:space="0" w:color="auto"/>
            </w:tcBorders>
            <w:vAlign w:val="center"/>
          </w:tcPr>
          <w:p w:rsidR="004B4C79" w:rsidRPr="00451078" w:rsidRDefault="004B4C79" w:rsidP="00E06FE8">
            <w:pPr>
              <w:pStyle w:val="AppendixTableText"/>
              <w:rPr>
                <w:rFonts w:ascii="Tahoma" w:hAnsi="Tahoma" w:cs="Tahoma"/>
                <w:lang w:val="it-IT"/>
              </w:rPr>
            </w:pPr>
          </w:p>
        </w:tc>
        <w:tc>
          <w:tcPr>
            <w:tcW w:w="1530" w:type="dxa"/>
            <w:tcBorders>
              <w:top w:val="nil"/>
              <w:left w:val="nil"/>
              <w:bottom w:val="single" w:sz="4" w:space="0" w:color="auto"/>
              <w:right w:val="single" w:sz="4" w:space="0" w:color="auto"/>
            </w:tcBorders>
            <w:vAlign w:val="center"/>
          </w:tcPr>
          <w:p w:rsidR="004B4C79" w:rsidRPr="003410C7" w:rsidRDefault="004B4C79" w:rsidP="00E06FE8">
            <w:pPr>
              <w:pStyle w:val="AppendixTableText"/>
              <w:rPr>
                <w:rFonts w:ascii="Tahoma" w:hAnsi="Tahoma" w:cs="Tahoma"/>
              </w:rPr>
            </w:pPr>
            <w:r w:rsidRPr="003410C7">
              <w:rPr>
                <w:rFonts w:ascii="Tahoma" w:hAnsi="Tahoma" w:cs="Tahoma"/>
              </w:rPr>
              <w:t>Sì</w:t>
            </w:r>
          </w:p>
        </w:tc>
        <w:tc>
          <w:tcPr>
            <w:tcW w:w="1530" w:type="dxa"/>
            <w:tcBorders>
              <w:top w:val="nil"/>
              <w:left w:val="nil"/>
              <w:bottom w:val="single" w:sz="4" w:space="0" w:color="auto"/>
              <w:right w:val="single" w:sz="4" w:space="0" w:color="auto"/>
            </w:tcBorders>
            <w:vAlign w:val="center"/>
          </w:tcPr>
          <w:p w:rsidR="004B4C79" w:rsidRPr="003410C7" w:rsidRDefault="004B4C79" w:rsidP="00E06FE8">
            <w:pPr>
              <w:pStyle w:val="AppendixTableText"/>
              <w:rPr>
                <w:rFonts w:ascii="Tahoma" w:hAnsi="Tahoma" w:cs="Tahoma"/>
              </w:rPr>
            </w:pPr>
          </w:p>
        </w:tc>
        <w:tc>
          <w:tcPr>
            <w:tcW w:w="1440" w:type="dxa"/>
            <w:tcBorders>
              <w:top w:val="nil"/>
              <w:left w:val="nil"/>
              <w:bottom w:val="single" w:sz="4" w:space="0" w:color="auto"/>
              <w:right w:val="single" w:sz="4" w:space="0" w:color="auto"/>
            </w:tcBorders>
            <w:vAlign w:val="center"/>
          </w:tcPr>
          <w:p w:rsidR="004B4C79" w:rsidRPr="003410C7" w:rsidRDefault="004B4C79" w:rsidP="00E06FE8">
            <w:pPr>
              <w:pStyle w:val="AppendixTableText"/>
              <w:rPr>
                <w:rFonts w:ascii="Tahoma" w:hAnsi="Tahoma" w:cs="Tahoma"/>
              </w:rPr>
            </w:pPr>
          </w:p>
        </w:tc>
      </w:tr>
      <w:tr w:rsidR="004B4C79" w:rsidRPr="003410C7" w:rsidTr="007E466C">
        <w:trPr>
          <w:trHeight w:val="255"/>
        </w:trPr>
        <w:tc>
          <w:tcPr>
            <w:tcW w:w="2167" w:type="dxa"/>
            <w:tcBorders>
              <w:top w:val="single" w:sz="4" w:space="0" w:color="auto"/>
              <w:left w:val="single" w:sz="4" w:space="0" w:color="auto"/>
              <w:bottom w:val="single" w:sz="4" w:space="0" w:color="auto"/>
              <w:right w:val="single" w:sz="4" w:space="0" w:color="auto"/>
            </w:tcBorders>
            <w:vAlign w:val="bottom"/>
          </w:tcPr>
          <w:p w:rsidR="004B4C79" w:rsidRPr="00451078" w:rsidRDefault="004B4C79">
            <w:pPr>
              <w:pStyle w:val="AppendixTableText"/>
              <w:jc w:val="left"/>
              <w:rPr>
                <w:rFonts w:ascii="Tahoma" w:hAnsi="Tahoma" w:cs="Tahoma"/>
                <w:lang w:val="it-IT"/>
              </w:rPr>
            </w:pPr>
            <w:r w:rsidRPr="00451078">
              <w:rPr>
                <w:rFonts w:ascii="Tahoma" w:hAnsi="Tahoma" w:cs="Tahoma"/>
                <w:lang w:val="it-IT"/>
              </w:rPr>
              <w:t>Servizi in Abbonamento TechNet SA</w:t>
            </w:r>
          </w:p>
        </w:tc>
        <w:tc>
          <w:tcPr>
            <w:tcW w:w="1530" w:type="dxa"/>
            <w:tcBorders>
              <w:top w:val="single" w:sz="4" w:space="0" w:color="auto"/>
              <w:left w:val="nil"/>
              <w:bottom w:val="single" w:sz="4" w:space="0" w:color="auto"/>
              <w:right w:val="single" w:sz="4" w:space="0" w:color="auto"/>
            </w:tcBorders>
            <w:vAlign w:val="center"/>
          </w:tcPr>
          <w:p w:rsidR="004B4C79" w:rsidRPr="003410C7" w:rsidRDefault="004B4C79" w:rsidP="00E06FE8">
            <w:pPr>
              <w:pStyle w:val="AppendixTableText"/>
              <w:rPr>
                <w:rFonts w:ascii="Tahoma" w:hAnsi="Tahoma" w:cs="Tahoma"/>
              </w:rPr>
            </w:pPr>
            <w:r w:rsidRPr="003410C7">
              <w:rPr>
                <w:rFonts w:ascii="Tahoma" w:hAnsi="Tahoma" w:cs="Tahoma"/>
              </w:rPr>
              <w:t>Sì</w:t>
            </w:r>
          </w:p>
        </w:tc>
        <w:tc>
          <w:tcPr>
            <w:tcW w:w="1530" w:type="dxa"/>
            <w:tcBorders>
              <w:top w:val="single" w:sz="4" w:space="0" w:color="auto"/>
              <w:left w:val="nil"/>
              <w:bottom w:val="single" w:sz="4" w:space="0" w:color="auto"/>
              <w:right w:val="single" w:sz="4" w:space="0" w:color="auto"/>
            </w:tcBorders>
            <w:vAlign w:val="center"/>
          </w:tcPr>
          <w:p w:rsidR="004B4C79" w:rsidRPr="003410C7" w:rsidRDefault="004B4C79" w:rsidP="00E06FE8">
            <w:pPr>
              <w:pStyle w:val="AppendixTableText"/>
              <w:rPr>
                <w:rFonts w:ascii="Tahoma" w:hAnsi="Tahoma" w:cs="Tahoma"/>
              </w:rPr>
            </w:pPr>
            <w:r w:rsidRPr="003410C7">
              <w:rPr>
                <w:rFonts w:ascii="Tahoma" w:hAnsi="Tahoma" w:cs="Tahoma"/>
              </w:rPr>
              <w:t>Sì</w:t>
            </w:r>
          </w:p>
        </w:tc>
        <w:tc>
          <w:tcPr>
            <w:tcW w:w="1530" w:type="dxa"/>
            <w:tcBorders>
              <w:top w:val="single" w:sz="4" w:space="0" w:color="auto"/>
              <w:left w:val="nil"/>
              <w:bottom w:val="single" w:sz="4" w:space="0" w:color="auto"/>
              <w:right w:val="single" w:sz="4" w:space="0" w:color="auto"/>
            </w:tcBorders>
            <w:vAlign w:val="center"/>
          </w:tcPr>
          <w:p w:rsidR="004B4C79" w:rsidRPr="003410C7" w:rsidRDefault="004B4C79" w:rsidP="00E06FE8">
            <w:pPr>
              <w:pStyle w:val="AppendixTableText"/>
              <w:rPr>
                <w:rFonts w:ascii="Tahoma" w:hAnsi="Tahoma" w:cs="Tahoma"/>
              </w:rPr>
            </w:pPr>
            <w:r w:rsidRPr="003410C7">
              <w:rPr>
                <w:rFonts w:ascii="Tahoma" w:hAnsi="Tahoma" w:cs="Tahoma"/>
              </w:rPr>
              <w:t>Sì</w:t>
            </w:r>
          </w:p>
        </w:tc>
        <w:tc>
          <w:tcPr>
            <w:tcW w:w="1530" w:type="dxa"/>
            <w:tcBorders>
              <w:top w:val="single" w:sz="4" w:space="0" w:color="auto"/>
              <w:left w:val="nil"/>
              <w:bottom w:val="single" w:sz="4" w:space="0" w:color="auto"/>
              <w:right w:val="single" w:sz="4" w:space="0" w:color="auto"/>
            </w:tcBorders>
            <w:vAlign w:val="center"/>
          </w:tcPr>
          <w:p w:rsidR="004B4C79" w:rsidRPr="003410C7" w:rsidRDefault="004B4C79" w:rsidP="00E06FE8">
            <w:pPr>
              <w:pStyle w:val="AppendixTableText"/>
              <w:rPr>
                <w:rFonts w:ascii="Tahoma" w:hAnsi="Tahoma" w:cs="Tahoma"/>
              </w:rPr>
            </w:pPr>
          </w:p>
        </w:tc>
        <w:tc>
          <w:tcPr>
            <w:tcW w:w="1440" w:type="dxa"/>
            <w:tcBorders>
              <w:top w:val="single" w:sz="4" w:space="0" w:color="auto"/>
              <w:left w:val="nil"/>
              <w:bottom w:val="single" w:sz="4" w:space="0" w:color="auto"/>
              <w:right w:val="single" w:sz="4" w:space="0" w:color="auto"/>
            </w:tcBorders>
            <w:vAlign w:val="center"/>
          </w:tcPr>
          <w:p w:rsidR="004B4C79" w:rsidRPr="003410C7" w:rsidRDefault="004B4C79" w:rsidP="00E06FE8">
            <w:pPr>
              <w:pStyle w:val="AppendixTableText"/>
              <w:rPr>
                <w:rFonts w:ascii="Tahoma" w:hAnsi="Tahoma" w:cs="Tahoma"/>
              </w:rPr>
            </w:pPr>
          </w:p>
        </w:tc>
      </w:tr>
      <w:tr w:rsidR="004B4C79" w:rsidRPr="003410C7" w:rsidTr="007E466C">
        <w:trPr>
          <w:trHeight w:val="255"/>
        </w:trPr>
        <w:tc>
          <w:tcPr>
            <w:tcW w:w="2167" w:type="dxa"/>
            <w:tcBorders>
              <w:top w:val="nil"/>
              <w:left w:val="single" w:sz="4" w:space="0" w:color="auto"/>
              <w:bottom w:val="single" w:sz="4" w:space="0" w:color="auto"/>
              <w:right w:val="single" w:sz="4" w:space="0" w:color="auto"/>
            </w:tcBorders>
            <w:vAlign w:val="bottom"/>
          </w:tcPr>
          <w:p w:rsidR="004B4C79" w:rsidRPr="003410C7" w:rsidRDefault="004B4C79">
            <w:pPr>
              <w:pStyle w:val="AppendixTableText"/>
              <w:jc w:val="left"/>
              <w:rPr>
                <w:rFonts w:ascii="Tahoma" w:hAnsi="Tahoma" w:cs="Tahoma"/>
              </w:rPr>
            </w:pPr>
            <w:r w:rsidRPr="003410C7">
              <w:rPr>
                <w:rFonts w:ascii="Tahoma" w:hAnsi="Tahoma" w:cs="Tahoma"/>
              </w:rPr>
              <w:t>TechNet Plus Direct</w:t>
            </w:r>
          </w:p>
        </w:tc>
        <w:tc>
          <w:tcPr>
            <w:tcW w:w="1530" w:type="dxa"/>
            <w:tcBorders>
              <w:top w:val="nil"/>
              <w:left w:val="nil"/>
              <w:bottom w:val="single" w:sz="4" w:space="0" w:color="auto"/>
              <w:right w:val="single" w:sz="4" w:space="0" w:color="auto"/>
            </w:tcBorders>
            <w:vAlign w:val="center"/>
          </w:tcPr>
          <w:p w:rsidR="004B4C79" w:rsidRPr="003410C7" w:rsidRDefault="004B4C79" w:rsidP="00E06FE8">
            <w:pPr>
              <w:pStyle w:val="AppendixTableText"/>
              <w:rPr>
                <w:rFonts w:ascii="Tahoma" w:hAnsi="Tahoma" w:cs="Tahoma"/>
              </w:rPr>
            </w:pPr>
          </w:p>
        </w:tc>
        <w:tc>
          <w:tcPr>
            <w:tcW w:w="1530" w:type="dxa"/>
            <w:tcBorders>
              <w:top w:val="nil"/>
              <w:left w:val="nil"/>
              <w:bottom w:val="single" w:sz="4" w:space="0" w:color="auto"/>
              <w:right w:val="single" w:sz="4" w:space="0" w:color="auto"/>
            </w:tcBorders>
            <w:vAlign w:val="center"/>
          </w:tcPr>
          <w:p w:rsidR="004B4C79" w:rsidRPr="003410C7" w:rsidRDefault="004B4C79" w:rsidP="00E06FE8">
            <w:pPr>
              <w:pStyle w:val="AppendixTableText"/>
              <w:rPr>
                <w:rFonts w:ascii="Tahoma" w:hAnsi="Tahoma" w:cs="Tahoma"/>
              </w:rPr>
            </w:pPr>
          </w:p>
        </w:tc>
        <w:tc>
          <w:tcPr>
            <w:tcW w:w="1530" w:type="dxa"/>
            <w:tcBorders>
              <w:top w:val="nil"/>
              <w:left w:val="nil"/>
              <w:bottom w:val="single" w:sz="4" w:space="0" w:color="auto"/>
              <w:right w:val="single" w:sz="4" w:space="0" w:color="auto"/>
            </w:tcBorders>
            <w:vAlign w:val="center"/>
          </w:tcPr>
          <w:p w:rsidR="004B4C79" w:rsidRPr="003410C7" w:rsidRDefault="004B4C79" w:rsidP="00E06FE8">
            <w:pPr>
              <w:pStyle w:val="AppendixTableText"/>
              <w:rPr>
                <w:rFonts w:ascii="Tahoma" w:hAnsi="Tahoma" w:cs="Tahoma"/>
              </w:rPr>
            </w:pPr>
            <w:r w:rsidRPr="003410C7">
              <w:rPr>
                <w:rFonts w:ascii="Tahoma" w:hAnsi="Tahoma" w:cs="Tahoma"/>
              </w:rPr>
              <w:t>Sì</w:t>
            </w:r>
          </w:p>
        </w:tc>
        <w:tc>
          <w:tcPr>
            <w:tcW w:w="1530" w:type="dxa"/>
            <w:tcBorders>
              <w:top w:val="nil"/>
              <w:left w:val="nil"/>
              <w:bottom w:val="single" w:sz="4" w:space="0" w:color="auto"/>
              <w:right w:val="single" w:sz="4" w:space="0" w:color="auto"/>
            </w:tcBorders>
            <w:vAlign w:val="center"/>
          </w:tcPr>
          <w:p w:rsidR="004B4C79" w:rsidRPr="003410C7" w:rsidRDefault="004B4C79" w:rsidP="00E06FE8">
            <w:pPr>
              <w:pStyle w:val="AppendixTableText"/>
              <w:rPr>
                <w:rFonts w:ascii="Tahoma" w:hAnsi="Tahoma" w:cs="Tahoma"/>
              </w:rPr>
            </w:pPr>
          </w:p>
        </w:tc>
        <w:tc>
          <w:tcPr>
            <w:tcW w:w="1440" w:type="dxa"/>
            <w:tcBorders>
              <w:top w:val="nil"/>
              <w:left w:val="nil"/>
              <w:bottom w:val="single" w:sz="4" w:space="0" w:color="auto"/>
              <w:right w:val="single" w:sz="4" w:space="0" w:color="auto"/>
            </w:tcBorders>
            <w:vAlign w:val="center"/>
          </w:tcPr>
          <w:p w:rsidR="004B4C79" w:rsidRPr="003410C7" w:rsidRDefault="004B4C79" w:rsidP="00E06FE8">
            <w:pPr>
              <w:pStyle w:val="AppendixTableText"/>
              <w:rPr>
                <w:rFonts w:ascii="Tahoma" w:hAnsi="Tahoma" w:cs="Tahoma"/>
              </w:rPr>
            </w:pPr>
          </w:p>
        </w:tc>
      </w:tr>
      <w:tr w:rsidR="004B4C79" w:rsidRPr="003410C7" w:rsidTr="007E466C">
        <w:trPr>
          <w:trHeight w:val="246"/>
        </w:trPr>
        <w:tc>
          <w:tcPr>
            <w:tcW w:w="2167" w:type="dxa"/>
            <w:tcBorders>
              <w:top w:val="single" w:sz="6" w:space="0" w:color="auto"/>
              <w:left w:val="single" w:sz="4" w:space="0" w:color="auto"/>
              <w:bottom w:val="single" w:sz="6" w:space="0" w:color="auto"/>
              <w:right w:val="single" w:sz="6" w:space="0" w:color="auto"/>
            </w:tcBorders>
            <w:vAlign w:val="bottom"/>
          </w:tcPr>
          <w:p w:rsidR="004B4C79" w:rsidRPr="003410C7" w:rsidRDefault="004B4C79" w:rsidP="005F52C6">
            <w:pPr>
              <w:pStyle w:val="AppendixTableText"/>
              <w:jc w:val="left"/>
              <w:rPr>
                <w:rFonts w:ascii="Tahoma" w:hAnsi="Tahoma" w:cs="Tahoma"/>
              </w:rPr>
            </w:pPr>
            <w:r w:rsidRPr="003410C7">
              <w:rPr>
                <w:rFonts w:ascii="Tahoma" w:hAnsi="Tahoma" w:cs="Tahoma"/>
              </w:rPr>
              <w:t>Windows Thin PC</w:t>
            </w:r>
          </w:p>
        </w:tc>
        <w:tc>
          <w:tcPr>
            <w:tcW w:w="1530" w:type="dxa"/>
            <w:tcBorders>
              <w:top w:val="single" w:sz="6" w:space="0" w:color="auto"/>
              <w:left w:val="single" w:sz="6" w:space="0" w:color="auto"/>
              <w:bottom w:val="single" w:sz="6" w:space="0" w:color="auto"/>
              <w:right w:val="single" w:sz="6" w:space="0" w:color="auto"/>
            </w:tcBorders>
            <w:vAlign w:val="center"/>
          </w:tcPr>
          <w:p w:rsidR="004B4C79" w:rsidRPr="003410C7" w:rsidRDefault="004B4C79" w:rsidP="00E06FE8">
            <w:pPr>
              <w:pStyle w:val="AppendixTableText"/>
              <w:rPr>
                <w:rFonts w:ascii="Tahoma" w:hAnsi="Tahoma" w:cs="Tahoma"/>
              </w:rPr>
            </w:pPr>
          </w:p>
        </w:tc>
        <w:tc>
          <w:tcPr>
            <w:tcW w:w="1530" w:type="dxa"/>
            <w:tcBorders>
              <w:top w:val="single" w:sz="6" w:space="0" w:color="auto"/>
              <w:left w:val="single" w:sz="6" w:space="0" w:color="auto"/>
              <w:bottom w:val="single" w:sz="6" w:space="0" w:color="auto"/>
              <w:right w:val="single" w:sz="6" w:space="0" w:color="auto"/>
            </w:tcBorders>
            <w:vAlign w:val="center"/>
          </w:tcPr>
          <w:p w:rsidR="004B4C79" w:rsidRPr="003410C7" w:rsidRDefault="004B4C79" w:rsidP="00E06FE8">
            <w:pPr>
              <w:pStyle w:val="AppendixTableText"/>
              <w:rPr>
                <w:rFonts w:ascii="Tahoma" w:hAnsi="Tahoma" w:cs="Tahoma"/>
              </w:rPr>
            </w:pPr>
            <w:r w:rsidRPr="003410C7">
              <w:rPr>
                <w:rFonts w:ascii="Tahoma" w:hAnsi="Tahoma" w:cs="Tahoma"/>
              </w:rPr>
              <w:t>Sì</w:t>
            </w:r>
          </w:p>
        </w:tc>
        <w:tc>
          <w:tcPr>
            <w:tcW w:w="1530" w:type="dxa"/>
            <w:tcBorders>
              <w:top w:val="single" w:sz="6" w:space="0" w:color="auto"/>
              <w:left w:val="single" w:sz="6" w:space="0" w:color="auto"/>
              <w:bottom w:val="single" w:sz="6" w:space="0" w:color="auto"/>
              <w:right w:val="single" w:sz="4" w:space="0" w:color="auto"/>
            </w:tcBorders>
            <w:vAlign w:val="center"/>
          </w:tcPr>
          <w:p w:rsidR="004B4C79" w:rsidRPr="003410C7" w:rsidRDefault="004B4C79" w:rsidP="00E06FE8">
            <w:pPr>
              <w:pStyle w:val="AppendixTableText"/>
              <w:rPr>
                <w:rFonts w:ascii="Tahoma" w:hAnsi="Tahoma" w:cs="Tahoma"/>
              </w:rPr>
            </w:pPr>
          </w:p>
        </w:tc>
        <w:tc>
          <w:tcPr>
            <w:tcW w:w="1530" w:type="dxa"/>
            <w:tcBorders>
              <w:top w:val="single" w:sz="6" w:space="0" w:color="auto"/>
              <w:left w:val="single" w:sz="6" w:space="0" w:color="auto"/>
              <w:bottom w:val="single" w:sz="6" w:space="0" w:color="auto"/>
              <w:right w:val="single" w:sz="4" w:space="0" w:color="auto"/>
            </w:tcBorders>
            <w:vAlign w:val="center"/>
          </w:tcPr>
          <w:p w:rsidR="004B4C79" w:rsidRPr="003410C7" w:rsidRDefault="004B4C79" w:rsidP="00E06FE8">
            <w:pPr>
              <w:pStyle w:val="AppendixTableText"/>
              <w:rPr>
                <w:rFonts w:ascii="Tahoma" w:hAnsi="Tahoma" w:cs="Tahoma"/>
              </w:rPr>
            </w:pPr>
            <w:r w:rsidRPr="003410C7">
              <w:rPr>
                <w:rFonts w:ascii="Tahoma" w:hAnsi="Tahoma" w:cs="Tahoma"/>
              </w:rPr>
              <w:t>Sì</w:t>
            </w:r>
          </w:p>
        </w:tc>
        <w:tc>
          <w:tcPr>
            <w:tcW w:w="1440" w:type="dxa"/>
            <w:tcBorders>
              <w:top w:val="single" w:sz="6" w:space="0" w:color="auto"/>
              <w:left w:val="single" w:sz="6" w:space="0" w:color="auto"/>
              <w:bottom w:val="single" w:sz="6" w:space="0" w:color="auto"/>
              <w:right w:val="single" w:sz="4" w:space="0" w:color="auto"/>
            </w:tcBorders>
            <w:vAlign w:val="center"/>
          </w:tcPr>
          <w:p w:rsidR="004B4C79" w:rsidRPr="003410C7" w:rsidRDefault="004B4C79" w:rsidP="00E06FE8">
            <w:pPr>
              <w:pStyle w:val="AppendixTableText"/>
              <w:rPr>
                <w:rFonts w:ascii="Tahoma" w:hAnsi="Tahoma" w:cs="Tahoma"/>
              </w:rPr>
            </w:pPr>
          </w:p>
        </w:tc>
      </w:tr>
      <w:tr w:rsidR="004B4C79" w:rsidRPr="003410C7" w:rsidTr="007E466C">
        <w:trPr>
          <w:trHeight w:val="255"/>
        </w:trPr>
        <w:tc>
          <w:tcPr>
            <w:tcW w:w="2167" w:type="dxa"/>
            <w:tcBorders>
              <w:top w:val="single" w:sz="6" w:space="0" w:color="auto"/>
              <w:left w:val="single" w:sz="4" w:space="0" w:color="auto"/>
              <w:bottom w:val="single" w:sz="6" w:space="0" w:color="auto"/>
              <w:right w:val="single" w:sz="6" w:space="0" w:color="auto"/>
            </w:tcBorders>
            <w:vAlign w:val="bottom"/>
          </w:tcPr>
          <w:p w:rsidR="004B4C79" w:rsidRPr="003410C7" w:rsidRDefault="004B4C79">
            <w:pPr>
              <w:pStyle w:val="AppendixTableText"/>
              <w:jc w:val="left"/>
              <w:rPr>
                <w:rFonts w:ascii="Tahoma" w:hAnsi="Tahoma" w:cs="Tahoma"/>
              </w:rPr>
            </w:pPr>
            <w:r w:rsidRPr="003410C7">
              <w:rPr>
                <w:rFonts w:ascii="Tahoma" w:hAnsi="Tahoma" w:cs="Tahoma"/>
              </w:rPr>
              <w:t>Supporto HotFix Esteso</w:t>
            </w:r>
          </w:p>
        </w:tc>
        <w:tc>
          <w:tcPr>
            <w:tcW w:w="1530" w:type="dxa"/>
            <w:tcBorders>
              <w:top w:val="single" w:sz="6" w:space="0" w:color="auto"/>
              <w:left w:val="single" w:sz="6" w:space="0" w:color="auto"/>
              <w:bottom w:val="single" w:sz="6" w:space="0" w:color="auto"/>
              <w:right w:val="single" w:sz="6" w:space="0" w:color="auto"/>
            </w:tcBorders>
            <w:vAlign w:val="center"/>
          </w:tcPr>
          <w:p w:rsidR="004B4C79" w:rsidRPr="003410C7" w:rsidRDefault="004B4C79" w:rsidP="00E06FE8">
            <w:pPr>
              <w:pStyle w:val="AppendixTableText"/>
              <w:rPr>
                <w:rFonts w:ascii="Tahoma" w:hAnsi="Tahoma" w:cs="Tahoma"/>
              </w:rPr>
            </w:pPr>
            <w:r w:rsidRPr="003410C7">
              <w:rPr>
                <w:rFonts w:ascii="Tahoma" w:hAnsi="Tahoma" w:cs="Tahoma"/>
              </w:rPr>
              <w:t>Sì</w:t>
            </w:r>
          </w:p>
        </w:tc>
        <w:tc>
          <w:tcPr>
            <w:tcW w:w="1530" w:type="dxa"/>
            <w:tcBorders>
              <w:top w:val="single" w:sz="6" w:space="0" w:color="auto"/>
              <w:left w:val="single" w:sz="6" w:space="0" w:color="auto"/>
              <w:bottom w:val="single" w:sz="6" w:space="0" w:color="auto"/>
              <w:right w:val="single" w:sz="6" w:space="0" w:color="auto"/>
            </w:tcBorders>
            <w:vAlign w:val="center"/>
          </w:tcPr>
          <w:p w:rsidR="004B4C79" w:rsidRPr="003410C7" w:rsidRDefault="004B4C79" w:rsidP="00E06FE8">
            <w:pPr>
              <w:pStyle w:val="AppendixTableText"/>
              <w:rPr>
                <w:rFonts w:ascii="Tahoma" w:hAnsi="Tahoma" w:cs="Tahoma"/>
              </w:rPr>
            </w:pPr>
            <w:r w:rsidRPr="003410C7">
              <w:rPr>
                <w:rFonts w:ascii="Tahoma" w:hAnsi="Tahoma" w:cs="Tahoma"/>
              </w:rPr>
              <w:t>Sì</w:t>
            </w:r>
          </w:p>
        </w:tc>
        <w:tc>
          <w:tcPr>
            <w:tcW w:w="1530" w:type="dxa"/>
            <w:tcBorders>
              <w:top w:val="single" w:sz="6" w:space="0" w:color="auto"/>
              <w:left w:val="single" w:sz="6" w:space="0" w:color="auto"/>
              <w:bottom w:val="single" w:sz="6" w:space="0" w:color="auto"/>
              <w:right w:val="single" w:sz="4" w:space="0" w:color="auto"/>
            </w:tcBorders>
            <w:vAlign w:val="center"/>
          </w:tcPr>
          <w:p w:rsidR="004B4C79" w:rsidRPr="003410C7" w:rsidRDefault="004B4C79" w:rsidP="00E06FE8">
            <w:pPr>
              <w:pStyle w:val="AppendixTableText"/>
              <w:rPr>
                <w:rStyle w:val="CommentReference"/>
                <w:rFonts w:ascii="Tahoma" w:hAnsi="Tahoma" w:cs="Tahoma"/>
                <w:sz w:val="18"/>
                <w:szCs w:val="18"/>
              </w:rPr>
            </w:pPr>
            <w:r w:rsidRPr="003410C7">
              <w:rPr>
                <w:rFonts w:ascii="Tahoma" w:hAnsi="Tahoma" w:cs="Tahoma"/>
              </w:rPr>
              <w:t>Sì</w:t>
            </w:r>
          </w:p>
        </w:tc>
        <w:tc>
          <w:tcPr>
            <w:tcW w:w="1530" w:type="dxa"/>
            <w:tcBorders>
              <w:top w:val="single" w:sz="6" w:space="0" w:color="auto"/>
              <w:left w:val="single" w:sz="6" w:space="0" w:color="auto"/>
              <w:bottom w:val="single" w:sz="6" w:space="0" w:color="auto"/>
              <w:right w:val="single" w:sz="4" w:space="0" w:color="auto"/>
            </w:tcBorders>
            <w:vAlign w:val="center"/>
          </w:tcPr>
          <w:p w:rsidR="004B4C79" w:rsidRPr="003410C7" w:rsidRDefault="004B4C79" w:rsidP="00E06FE8">
            <w:pPr>
              <w:pStyle w:val="AppendixTableText"/>
              <w:rPr>
                <w:rFonts w:ascii="Tahoma" w:hAnsi="Tahoma" w:cs="Tahoma"/>
              </w:rPr>
            </w:pPr>
            <w:r w:rsidRPr="003410C7">
              <w:rPr>
                <w:rFonts w:ascii="Tahoma" w:hAnsi="Tahoma" w:cs="Tahoma"/>
              </w:rPr>
              <w:t>Sì</w:t>
            </w:r>
          </w:p>
        </w:tc>
        <w:tc>
          <w:tcPr>
            <w:tcW w:w="1440" w:type="dxa"/>
            <w:tcBorders>
              <w:top w:val="single" w:sz="6" w:space="0" w:color="auto"/>
              <w:left w:val="single" w:sz="6" w:space="0" w:color="auto"/>
              <w:bottom w:val="single" w:sz="6" w:space="0" w:color="auto"/>
              <w:right w:val="single" w:sz="4" w:space="0" w:color="auto"/>
            </w:tcBorders>
            <w:vAlign w:val="center"/>
          </w:tcPr>
          <w:p w:rsidR="004B4C79" w:rsidRPr="003410C7" w:rsidRDefault="004B4C79" w:rsidP="00E06FE8">
            <w:pPr>
              <w:pStyle w:val="AppendixTableText"/>
              <w:rPr>
                <w:rFonts w:ascii="Tahoma" w:hAnsi="Tahoma" w:cs="Tahoma"/>
              </w:rPr>
            </w:pPr>
          </w:p>
        </w:tc>
      </w:tr>
      <w:tr w:rsidR="004B4C79" w:rsidRPr="003410C7" w:rsidTr="007E466C">
        <w:trPr>
          <w:trHeight w:val="255"/>
        </w:trPr>
        <w:tc>
          <w:tcPr>
            <w:tcW w:w="2167" w:type="dxa"/>
            <w:tcBorders>
              <w:top w:val="single" w:sz="6" w:space="0" w:color="auto"/>
              <w:left w:val="single" w:sz="4" w:space="0" w:color="auto"/>
              <w:bottom w:val="single" w:sz="6" w:space="0" w:color="auto"/>
              <w:right w:val="single" w:sz="6" w:space="0" w:color="auto"/>
            </w:tcBorders>
            <w:vAlign w:val="bottom"/>
          </w:tcPr>
          <w:p w:rsidR="004B4C79" w:rsidRPr="003410C7" w:rsidRDefault="004B4C79" w:rsidP="002B279A">
            <w:pPr>
              <w:pStyle w:val="AppendixTableText"/>
              <w:jc w:val="left"/>
              <w:rPr>
                <w:rFonts w:ascii="Tahoma" w:hAnsi="Tahoma" w:cs="Tahoma"/>
                <w:color w:val="000000"/>
              </w:rPr>
            </w:pPr>
            <w:r w:rsidRPr="003410C7">
              <w:rPr>
                <w:rFonts w:ascii="Tahoma" w:hAnsi="Tahoma" w:cs="Tahoma"/>
                <w:color w:val="000000"/>
              </w:rPr>
              <w:t>Microsoft Desktop Optimization Pack</w:t>
            </w:r>
            <w:r w:rsidR="002B279A">
              <w:rPr>
                <w:rFonts w:ascii="Tahoma" w:hAnsi="Tahoma" w:cs="Tahoma"/>
                <w:color w:val="000000"/>
              </w:rPr>
              <w:t> </w:t>
            </w:r>
            <w:r w:rsidRPr="003410C7">
              <w:rPr>
                <w:rFonts w:ascii="Tahoma" w:hAnsi="Tahoma" w:cs="Tahoma"/>
                <w:color w:val="000000"/>
              </w:rPr>
              <w:t>(MDOP)</w:t>
            </w:r>
          </w:p>
        </w:tc>
        <w:tc>
          <w:tcPr>
            <w:tcW w:w="1530" w:type="dxa"/>
            <w:tcBorders>
              <w:top w:val="single" w:sz="6" w:space="0" w:color="auto"/>
              <w:left w:val="single" w:sz="6" w:space="0" w:color="auto"/>
              <w:bottom w:val="single" w:sz="6" w:space="0" w:color="auto"/>
              <w:right w:val="single" w:sz="6" w:space="0" w:color="auto"/>
            </w:tcBorders>
            <w:vAlign w:val="center"/>
          </w:tcPr>
          <w:p w:rsidR="004B4C79" w:rsidRPr="003410C7" w:rsidRDefault="004B4C79" w:rsidP="00E06FE8">
            <w:pPr>
              <w:pStyle w:val="AppendixTableText"/>
              <w:rPr>
                <w:rFonts w:ascii="Tahoma" w:hAnsi="Tahoma" w:cs="Tahoma"/>
                <w:color w:val="000000"/>
              </w:rPr>
            </w:pPr>
          </w:p>
        </w:tc>
        <w:tc>
          <w:tcPr>
            <w:tcW w:w="1530" w:type="dxa"/>
            <w:tcBorders>
              <w:top w:val="single" w:sz="6" w:space="0" w:color="auto"/>
              <w:left w:val="single" w:sz="6" w:space="0" w:color="auto"/>
              <w:bottom w:val="single" w:sz="6" w:space="0" w:color="auto"/>
              <w:right w:val="single" w:sz="6" w:space="0" w:color="auto"/>
            </w:tcBorders>
            <w:vAlign w:val="center"/>
          </w:tcPr>
          <w:p w:rsidR="004B4C79" w:rsidRPr="003410C7" w:rsidRDefault="004B4C79" w:rsidP="00E06FE8">
            <w:pPr>
              <w:pStyle w:val="AppendixTableText"/>
              <w:spacing w:after="120"/>
              <w:rPr>
                <w:rFonts w:ascii="Tahoma" w:hAnsi="Tahoma" w:cs="Tahoma"/>
                <w:color w:val="000000"/>
              </w:rPr>
            </w:pPr>
            <w:r w:rsidRPr="003410C7">
              <w:rPr>
                <w:rFonts w:ascii="Tahoma" w:hAnsi="Tahoma" w:cs="Tahoma"/>
                <w:color w:val="000000"/>
              </w:rPr>
              <w:t>Sì</w:t>
            </w:r>
          </w:p>
        </w:tc>
        <w:tc>
          <w:tcPr>
            <w:tcW w:w="1530" w:type="dxa"/>
            <w:tcBorders>
              <w:top w:val="single" w:sz="6" w:space="0" w:color="auto"/>
              <w:left w:val="single" w:sz="6" w:space="0" w:color="auto"/>
              <w:bottom w:val="single" w:sz="6" w:space="0" w:color="auto"/>
              <w:right w:val="single" w:sz="4" w:space="0" w:color="auto"/>
            </w:tcBorders>
            <w:vAlign w:val="center"/>
          </w:tcPr>
          <w:p w:rsidR="004B4C79" w:rsidRPr="003410C7" w:rsidRDefault="004B4C79" w:rsidP="00E06FE8">
            <w:pPr>
              <w:pStyle w:val="AppendixTableText"/>
              <w:rPr>
                <w:rFonts w:ascii="Tahoma" w:hAnsi="Tahoma" w:cs="Tahoma"/>
                <w:color w:val="000000"/>
              </w:rPr>
            </w:pPr>
          </w:p>
        </w:tc>
        <w:tc>
          <w:tcPr>
            <w:tcW w:w="1530" w:type="dxa"/>
            <w:tcBorders>
              <w:top w:val="single" w:sz="6" w:space="0" w:color="auto"/>
              <w:left w:val="single" w:sz="6" w:space="0" w:color="auto"/>
              <w:bottom w:val="single" w:sz="6" w:space="0" w:color="auto"/>
              <w:right w:val="single" w:sz="4" w:space="0" w:color="auto"/>
            </w:tcBorders>
            <w:vAlign w:val="center"/>
          </w:tcPr>
          <w:p w:rsidR="004B4C79" w:rsidRPr="003410C7" w:rsidRDefault="004B4C79" w:rsidP="00E06FE8">
            <w:pPr>
              <w:pStyle w:val="AppendixTableText"/>
              <w:spacing w:before="120"/>
              <w:rPr>
                <w:rFonts w:ascii="Tahoma" w:hAnsi="Tahoma" w:cs="Tahoma"/>
                <w:color w:val="000000"/>
              </w:rPr>
            </w:pPr>
            <w:r w:rsidRPr="003410C7">
              <w:rPr>
                <w:rFonts w:ascii="Tahoma" w:hAnsi="Tahoma" w:cs="Tahoma"/>
                <w:color w:val="000000"/>
              </w:rPr>
              <w:t>Sì</w:t>
            </w:r>
          </w:p>
        </w:tc>
        <w:tc>
          <w:tcPr>
            <w:tcW w:w="1440" w:type="dxa"/>
            <w:tcBorders>
              <w:top w:val="single" w:sz="6" w:space="0" w:color="auto"/>
              <w:left w:val="single" w:sz="6" w:space="0" w:color="auto"/>
              <w:bottom w:val="single" w:sz="6" w:space="0" w:color="auto"/>
              <w:right w:val="single" w:sz="4" w:space="0" w:color="auto"/>
            </w:tcBorders>
            <w:vAlign w:val="center"/>
          </w:tcPr>
          <w:p w:rsidR="004B4C79" w:rsidRPr="003410C7" w:rsidRDefault="004B4C79" w:rsidP="00E06FE8">
            <w:pPr>
              <w:pStyle w:val="AppendixTableText"/>
              <w:spacing w:before="120"/>
              <w:rPr>
                <w:rFonts w:ascii="Tahoma" w:hAnsi="Tahoma" w:cs="Tahoma"/>
                <w:color w:val="000000"/>
              </w:rPr>
            </w:pPr>
          </w:p>
        </w:tc>
      </w:tr>
      <w:tr w:rsidR="004B4C79" w:rsidRPr="003410C7" w:rsidTr="007E466C">
        <w:trPr>
          <w:trHeight w:val="255"/>
        </w:trPr>
        <w:tc>
          <w:tcPr>
            <w:tcW w:w="2167" w:type="dxa"/>
            <w:tcBorders>
              <w:top w:val="single" w:sz="6" w:space="0" w:color="auto"/>
              <w:left w:val="single" w:sz="4" w:space="0" w:color="auto"/>
              <w:bottom w:val="single" w:sz="6" w:space="0" w:color="auto"/>
              <w:right w:val="single" w:sz="6" w:space="0" w:color="auto"/>
            </w:tcBorders>
            <w:vAlign w:val="bottom"/>
          </w:tcPr>
          <w:p w:rsidR="004B4C79" w:rsidRPr="00451078" w:rsidRDefault="00E7419A" w:rsidP="00E7419A">
            <w:pPr>
              <w:pStyle w:val="AppendixTableText"/>
              <w:jc w:val="left"/>
              <w:rPr>
                <w:rFonts w:ascii="Tahoma" w:hAnsi="Tahoma" w:cs="Tahoma"/>
                <w:color w:val="000000"/>
                <w:lang w:val="it-IT"/>
              </w:rPr>
            </w:pPr>
            <w:r w:rsidRPr="00451078">
              <w:rPr>
                <w:rFonts w:ascii="Tahoma" w:hAnsi="Tahoma" w:cs="Tahoma"/>
                <w:color w:val="000000"/>
                <w:lang w:val="it-IT"/>
              </w:rPr>
              <w:t>Diritti di Virtualizzazione per Windows Desktops</w:t>
            </w:r>
          </w:p>
        </w:tc>
        <w:tc>
          <w:tcPr>
            <w:tcW w:w="1530" w:type="dxa"/>
            <w:tcBorders>
              <w:top w:val="single" w:sz="6" w:space="0" w:color="auto"/>
              <w:left w:val="single" w:sz="6" w:space="0" w:color="auto"/>
              <w:bottom w:val="single" w:sz="6" w:space="0" w:color="auto"/>
              <w:right w:val="single" w:sz="6" w:space="0" w:color="auto"/>
            </w:tcBorders>
            <w:vAlign w:val="center"/>
          </w:tcPr>
          <w:p w:rsidR="004B4C79" w:rsidRPr="00451078" w:rsidRDefault="004B4C79" w:rsidP="00E06FE8">
            <w:pPr>
              <w:pStyle w:val="AppendixTableText"/>
              <w:rPr>
                <w:rFonts w:ascii="Tahoma" w:hAnsi="Tahoma" w:cs="Tahoma"/>
                <w:color w:val="000000"/>
                <w:lang w:val="it-IT"/>
              </w:rPr>
            </w:pPr>
          </w:p>
        </w:tc>
        <w:tc>
          <w:tcPr>
            <w:tcW w:w="1530" w:type="dxa"/>
            <w:tcBorders>
              <w:top w:val="single" w:sz="6" w:space="0" w:color="auto"/>
              <w:left w:val="single" w:sz="6" w:space="0" w:color="auto"/>
              <w:bottom w:val="single" w:sz="6" w:space="0" w:color="auto"/>
              <w:right w:val="single" w:sz="6" w:space="0" w:color="auto"/>
            </w:tcBorders>
            <w:vAlign w:val="center"/>
          </w:tcPr>
          <w:p w:rsidR="004B4C79" w:rsidRPr="003410C7" w:rsidRDefault="004B4C79" w:rsidP="00E06FE8">
            <w:pPr>
              <w:pStyle w:val="AppendixTableText"/>
              <w:spacing w:after="120"/>
              <w:rPr>
                <w:rFonts w:ascii="Tahoma" w:hAnsi="Tahoma" w:cs="Tahoma"/>
                <w:color w:val="000000"/>
              </w:rPr>
            </w:pPr>
            <w:r w:rsidRPr="003410C7">
              <w:rPr>
                <w:rFonts w:ascii="Tahoma" w:hAnsi="Tahoma" w:cs="Tahoma"/>
                <w:color w:val="000000"/>
              </w:rPr>
              <w:t>Sì</w:t>
            </w:r>
          </w:p>
        </w:tc>
        <w:tc>
          <w:tcPr>
            <w:tcW w:w="1530" w:type="dxa"/>
            <w:tcBorders>
              <w:top w:val="single" w:sz="6" w:space="0" w:color="auto"/>
              <w:left w:val="single" w:sz="6" w:space="0" w:color="auto"/>
              <w:bottom w:val="single" w:sz="6" w:space="0" w:color="auto"/>
              <w:right w:val="single" w:sz="4" w:space="0" w:color="auto"/>
            </w:tcBorders>
            <w:vAlign w:val="center"/>
          </w:tcPr>
          <w:p w:rsidR="004B4C79" w:rsidRPr="003410C7" w:rsidRDefault="004B4C79" w:rsidP="00E06FE8">
            <w:pPr>
              <w:pStyle w:val="AppendixTableText"/>
              <w:rPr>
                <w:rFonts w:ascii="Tahoma" w:hAnsi="Tahoma" w:cs="Tahoma"/>
                <w:color w:val="000000"/>
              </w:rPr>
            </w:pPr>
          </w:p>
        </w:tc>
        <w:tc>
          <w:tcPr>
            <w:tcW w:w="1530" w:type="dxa"/>
            <w:tcBorders>
              <w:top w:val="single" w:sz="6" w:space="0" w:color="auto"/>
              <w:left w:val="single" w:sz="6" w:space="0" w:color="auto"/>
              <w:bottom w:val="single" w:sz="6" w:space="0" w:color="auto"/>
              <w:right w:val="single" w:sz="4" w:space="0" w:color="auto"/>
            </w:tcBorders>
            <w:vAlign w:val="center"/>
          </w:tcPr>
          <w:p w:rsidR="004B4C79" w:rsidRPr="003410C7" w:rsidRDefault="004B4C79" w:rsidP="00E06FE8">
            <w:pPr>
              <w:pStyle w:val="AppendixTableText"/>
              <w:spacing w:before="120"/>
              <w:rPr>
                <w:rFonts w:ascii="Tahoma" w:hAnsi="Tahoma" w:cs="Tahoma"/>
                <w:color w:val="000000"/>
              </w:rPr>
            </w:pPr>
            <w:r w:rsidRPr="003410C7">
              <w:rPr>
                <w:rFonts w:ascii="Tahoma" w:hAnsi="Tahoma" w:cs="Tahoma"/>
                <w:color w:val="000000"/>
              </w:rPr>
              <w:t>Sì</w:t>
            </w:r>
          </w:p>
        </w:tc>
        <w:tc>
          <w:tcPr>
            <w:tcW w:w="1440" w:type="dxa"/>
            <w:tcBorders>
              <w:top w:val="single" w:sz="6" w:space="0" w:color="auto"/>
              <w:left w:val="single" w:sz="6" w:space="0" w:color="auto"/>
              <w:bottom w:val="single" w:sz="6" w:space="0" w:color="auto"/>
              <w:right w:val="single" w:sz="4" w:space="0" w:color="auto"/>
            </w:tcBorders>
            <w:vAlign w:val="center"/>
          </w:tcPr>
          <w:p w:rsidR="004B4C79" w:rsidRPr="003410C7" w:rsidRDefault="004B4C79" w:rsidP="00E06FE8">
            <w:pPr>
              <w:pStyle w:val="AppendixTableText"/>
              <w:spacing w:before="120"/>
              <w:rPr>
                <w:rFonts w:ascii="Tahoma" w:hAnsi="Tahoma" w:cs="Tahoma"/>
                <w:color w:val="000000"/>
              </w:rPr>
            </w:pPr>
          </w:p>
        </w:tc>
      </w:tr>
      <w:tr w:rsidR="004B4C79" w:rsidRPr="003410C7" w:rsidTr="007E466C">
        <w:trPr>
          <w:trHeight w:val="255"/>
        </w:trPr>
        <w:tc>
          <w:tcPr>
            <w:tcW w:w="2167" w:type="dxa"/>
            <w:tcBorders>
              <w:top w:val="single" w:sz="6" w:space="0" w:color="auto"/>
              <w:left w:val="single" w:sz="4" w:space="0" w:color="auto"/>
              <w:bottom w:val="single" w:sz="6" w:space="0" w:color="auto"/>
              <w:right w:val="single" w:sz="6" w:space="0" w:color="auto"/>
            </w:tcBorders>
            <w:vAlign w:val="bottom"/>
          </w:tcPr>
          <w:p w:rsidR="004B4C79" w:rsidRPr="003410C7" w:rsidRDefault="004B4C79">
            <w:pPr>
              <w:pStyle w:val="AppendixTableText"/>
              <w:jc w:val="left"/>
              <w:rPr>
                <w:rFonts w:ascii="Tahoma" w:hAnsi="Tahoma" w:cs="Tahoma"/>
                <w:color w:val="000000"/>
              </w:rPr>
            </w:pPr>
            <w:r w:rsidRPr="003410C7">
              <w:rPr>
                <w:rFonts w:ascii="Tahoma" w:hAnsi="Tahoma" w:cs="Tahoma"/>
                <w:color w:val="000000"/>
              </w:rPr>
              <w:t>Windows Virtual Desktop Access (VDA)</w:t>
            </w:r>
          </w:p>
        </w:tc>
        <w:tc>
          <w:tcPr>
            <w:tcW w:w="1530" w:type="dxa"/>
            <w:tcBorders>
              <w:top w:val="single" w:sz="6" w:space="0" w:color="auto"/>
              <w:left w:val="single" w:sz="6" w:space="0" w:color="auto"/>
              <w:bottom w:val="single" w:sz="6" w:space="0" w:color="auto"/>
              <w:right w:val="single" w:sz="6" w:space="0" w:color="auto"/>
            </w:tcBorders>
            <w:vAlign w:val="center"/>
          </w:tcPr>
          <w:p w:rsidR="004B4C79" w:rsidRPr="003410C7" w:rsidRDefault="004B4C79" w:rsidP="00E06FE8">
            <w:pPr>
              <w:pStyle w:val="AppendixTableText"/>
              <w:rPr>
                <w:rFonts w:ascii="Tahoma" w:hAnsi="Tahoma" w:cs="Tahoma"/>
                <w:color w:val="000000"/>
              </w:rPr>
            </w:pPr>
          </w:p>
        </w:tc>
        <w:tc>
          <w:tcPr>
            <w:tcW w:w="1530" w:type="dxa"/>
            <w:tcBorders>
              <w:top w:val="single" w:sz="6" w:space="0" w:color="auto"/>
              <w:left w:val="single" w:sz="6" w:space="0" w:color="auto"/>
              <w:bottom w:val="single" w:sz="6" w:space="0" w:color="auto"/>
              <w:right w:val="single" w:sz="6" w:space="0" w:color="auto"/>
            </w:tcBorders>
            <w:vAlign w:val="center"/>
          </w:tcPr>
          <w:p w:rsidR="004B4C79" w:rsidRPr="003410C7" w:rsidRDefault="004B4C79" w:rsidP="00E06FE8">
            <w:pPr>
              <w:pStyle w:val="AppendixTableText"/>
              <w:spacing w:after="120"/>
              <w:rPr>
                <w:rFonts w:ascii="Tahoma" w:hAnsi="Tahoma" w:cs="Tahoma"/>
                <w:color w:val="000000"/>
              </w:rPr>
            </w:pPr>
            <w:r w:rsidRPr="003410C7">
              <w:rPr>
                <w:rFonts w:ascii="Tahoma" w:hAnsi="Tahoma" w:cs="Tahoma"/>
                <w:color w:val="000000"/>
              </w:rPr>
              <w:t>Sì</w:t>
            </w:r>
          </w:p>
        </w:tc>
        <w:tc>
          <w:tcPr>
            <w:tcW w:w="1530" w:type="dxa"/>
            <w:tcBorders>
              <w:top w:val="single" w:sz="6" w:space="0" w:color="auto"/>
              <w:left w:val="single" w:sz="6" w:space="0" w:color="auto"/>
              <w:bottom w:val="single" w:sz="6" w:space="0" w:color="auto"/>
              <w:right w:val="single" w:sz="4" w:space="0" w:color="auto"/>
            </w:tcBorders>
            <w:vAlign w:val="center"/>
          </w:tcPr>
          <w:p w:rsidR="004B4C79" w:rsidRPr="003410C7" w:rsidRDefault="004B4C79" w:rsidP="00E06FE8">
            <w:pPr>
              <w:pStyle w:val="AppendixTableText"/>
              <w:rPr>
                <w:rFonts w:ascii="Tahoma" w:hAnsi="Tahoma" w:cs="Tahoma"/>
                <w:color w:val="000000"/>
              </w:rPr>
            </w:pPr>
          </w:p>
        </w:tc>
        <w:tc>
          <w:tcPr>
            <w:tcW w:w="1530" w:type="dxa"/>
            <w:tcBorders>
              <w:top w:val="single" w:sz="6" w:space="0" w:color="auto"/>
              <w:left w:val="single" w:sz="6" w:space="0" w:color="auto"/>
              <w:bottom w:val="single" w:sz="6" w:space="0" w:color="auto"/>
              <w:right w:val="single" w:sz="4" w:space="0" w:color="auto"/>
            </w:tcBorders>
            <w:vAlign w:val="center"/>
          </w:tcPr>
          <w:p w:rsidR="004B4C79" w:rsidRPr="003410C7" w:rsidRDefault="004B4C79" w:rsidP="00E06FE8">
            <w:pPr>
              <w:pStyle w:val="AppendixTableText"/>
              <w:spacing w:before="120"/>
              <w:rPr>
                <w:rFonts w:ascii="Tahoma" w:hAnsi="Tahoma" w:cs="Tahoma"/>
                <w:color w:val="000000"/>
              </w:rPr>
            </w:pPr>
            <w:r w:rsidRPr="003410C7">
              <w:rPr>
                <w:rFonts w:ascii="Tahoma" w:hAnsi="Tahoma" w:cs="Tahoma"/>
                <w:color w:val="000000"/>
              </w:rPr>
              <w:t>Sì</w:t>
            </w:r>
          </w:p>
        </w:tc>
        <w:tc>
          <w:tcPr>
            <w:tcW w:w="1440" w:type="dxa"/>
            <w:tcBorders>
              <w:top w:val="single" w:sz="6" w:space="0" w:color="auto"/>
              <w:left w:val="single" w:sz="6" w:space="0" w:color="auto"/>
              <w:bottom w:val="single" w:sz="6" w:space="0" w:color="auto"/>
              <w:right w:val="single" w:sz="4" w:space="0" w:color="auto"/>
            </w:tcBorders>
            <w:vAlign w:val="center"/>
          </w:tcPr>
          <w:p w:rsidR="004B4C79" w:rsidRPr="003410C7" w:rsidRDefault="004B4C79" w:rsidP="00E06FE8">
            <w:pPr>
              <w:pStyle w:val="AppendixTableText"/>
              <w:spacing w:before="120"/>
              <w:rPr>
                <w:rFonts w:ascii="Tahoma" w:hAnsi="Tahoma" w:cs="Tahoma"/>
                <w:color w:val="000000"/>
              </w:rPr>
            </w:pPr>
          </w:p>
        </w:tc>
      </w:tr>
      <w:tr w:rsidR="004B4C79" w:rsidRPr="003410C7" w:rsidTr="007E466C">
        <w:trPr>
          <w:trHeight w:val="255"/>
        </w:trPr>
        <w:tc>
          <w:tcPr>
            <w:tcW w:w="2167" w:type="dxa"/>
            <w:tcBorders>
              <w:top w:val="single" w:sz="6" w:space="0" w:color="auto"/>
              <w:left w:val="single" w:sz="4" w:space="0" w:color="auto"/>
              <w:bottom w:val="single" w:sz="6" w:space="0" w:color="auto"/>
              <w:right w:val="single" w:sz="6" w:space="0" w:color="auto"/>
            </w:tcBorders>
            <w:vAlign w:val="bottom"/>
          </w:tcPr>
          <w:p w:rsidR="004B4C79" w:rsidRPr="003410C7" w:rsidRDefault="004B4C79">
            <w:pPr>
              <w:pStyle w:val="AppendixTableText"/>
              <w:jc w:val="left"/>
              <w:rPr>
                <w:rFonts w:ascii="Tahoma" w:hAnsi="Tahoma" w:cs="Tahoma"/>
              </w:rPr>
            </w:pPr>
            <w:r w:rsidRPr="003410C7">
              <w:rPr>
                <w:rFonts w:ascii="Tahoma" w:hAnsi="Tahoma" w:cs="Tahoma"/>
              </w:rPr>
              <w:t>Licenza Step-Up</w:t>
            </w:r>
          </w:p>
        </w:tc>
        <w:tc>
          <w:tcPr>
            <w:tcW w:w="1530" w:type="dxa"/>
            <w:tcBorders>
              <w:top w:val="single" w:sz="6" w:space="0" w:color="auto"/>
              <w:left w:val="single" w:sz="6" w:space="0" w:color="auto"/>
              <w:bottom w:val="single" w:sz="6" w:space="0" w:color="auto"/>
              <w:right w:val="single" w:sz="6" w:space="0" w:color="auto"/>
            </w:tcBorders>
            <w:vAlign w:val="center"/>
          </w:tcPr>
          <w:p w:rsidR="004B4C79" w:rsidRPr="003410C7" w:rsidRDefault="004B4C79" w:rsidP="00E06FE8">
            <w:pPr>
              <w:pStyle w:val="AppendixTableText"/>
              <w:rPr>
                <w:rFonts w:ascii="Tahoma" w:hAnsi="Tahoma" w:cs="Tahoma"/>
              </w:rPr>
            </w:pPr>
            <w:r w:rsidRPr="003410C7">
              <w:rPr>
                <w:rFonts w:ascii="Tahoma" w:hAnsi="Tahoma" w:cs="Tahoma"/>
              </w:rPr>
              <w:t>Sì</w:t>
            </w:r>
          </w:p>
        </w:tc>
        <w:tc>
          <w:tcPr>
            <w:tcW w:w="1530" w:type="dxa"/>
            <w:tcBorders>
              <w:top w:val="single" w:sz="6" w:space="0" w:color="auto"/>
              <w:left w:val="single" w:sz="6" w:space="0" w:color="auto"/>
              <w:bottom w:val="single" w:sz="6" w:space="0" w:color="auto"/>
              <w:right w:val="single" w:sz="6" w:space="0" w:color="auto"/>
            </w:tcBorders>
            <w:vAlign w:val="center"/>
          </w:tcPr>
          <w:p w:rsidR="004B4C79" w:rsidRPr="003410C7" w:rsidRDefault="004B4C79" w:rsidP="00E06FE8">
            <w:pPr>
              <w:pStyle w:val="AppendixTableText"/>
              <w:rPr>
                <w:rFonts w:ascii="Tahoma" w:hAnsi="Tahoma" w:cs="Tahoma"/>
              </w:rPr>
            </w:pPr>
            <w:r w:rsidRPr="003410C7">
              <w:rPr>
                <w:rFonts w:ascii="Tahoma" w:hAnsi="Tahoma" w:cs="Tahoma"/>
              </w:rPr>
              <w:t>No</w:t>
            </w:r>
          </w:p>
        </w:tc>
        <w:tc>
          <w:tcPr>
            <w:tcW w:w="1530" w:type="dxa"/>
            <w:tcBorders>
              <w:top w:val="single" w:sz="6" w:space="0" w:color="auto"/>
              <w:left w:val="single" w:sz="6" w:space="0" w:color="auto"/>
              <w:bottom w:val="single" w:sz="6" w:space="0" w:color="auto"/>
              <w:right w:val="single" w:sz="4" w:space="0" w:color="auto"/>
            </w:tcBorders>
            <w:vAlign w:val="center"/>
          </w:tcPr>
          <w:p w:rsidR="004B4C79" w:rsidRPr="003410C7" w:rsidRDefault="004B4C79" w:rsidP="00E06FE8">
            <w:pPr>
              <w:pStyle w:val="AppendixTableText"/>
              <w:rPr>
                <w:rFonts w:ascii="Tahoma" w:hAnsi="Tahoma" w:cs="Tahoma"/>
              </w:rPr>
            </w:pPr>
            <w:r w:rsidRPr="003410C7">
              <w:rPr>
                <w:rFonts w:ascii="Tahoma" w:hAnsi="Tahoma" w:cs="Tahoma"/>
              </w:rPr>
              <w:t>Sì</w:t>
            </w:r>
          </w:p>
        </w:tc>
        <w:tc>
          <w:tcPr>
            <w:tcW w:w="1530" w:type="dxa"/>
            <w:tcBorders>
              <w:top w:val="single" w:sz="6" w:space="0" w:color="auto"/>
              <w:left w:val="single" w:sz="6" w:space="0" w:color="auto"/>
              <w:bottom w:val="single" w:sz="6" w:space="0" w:color="auto"/>
              <w:right w:val="single" w:sz="4" w:space="0" w:color="auto"/>
            </w:tcBorders>
            <w:vAlign w:val="center"/>
          </w:tcPr>
          <w:p w:rsidR="004B4C79" w:rsidRPr="003410C7" w:rsidRDefault="004B4C79" w:rsidP="00E06FE8">
            <w:pPr>
              <w:pStyle w:val="AppendixTableText"/>
              <w:rPr>
                <w:rFonts w:ascii="Tahoma" w:hAnsi="Tahoma" w:cs="Tahoma"/>
              </w:rPr>
            </w:pPr>
          </w:p>
        </w:tc>
        <w:tc>
          <w:tcPr>
            <w:tcW w:w="1440" w:type="dxa"/>
            <w:tcBorders>
              <w:top w:val="single" w:sz="6" w:space="0" w:color="auto"/>
              <w:left w:val="single" w:sz="6" w:space="0" w:color="auto"/>
              <w:bottom w:val="single" w:sz="6" w:space="0" w:color="auto"/>
              <w:right w:val="single" w:sz="4" w:space="0" w:color="auto"/>
            </w:tcBorders>
            <w:vAlign w:val="center"/>
          </w:tcPr>
          <w:p w:rsidR="004B4C79" w:rsidRPr="003410C7" w:rsidRDefault="004B4C79" w:rsidP="00E06FE8">
            <w:pPr>
              <w:pStyle w:val="AppendixTableText"/>
              <w:rPr>
                <w:rFonts w:ascii="Tahoma" w:hAnsi="Tahoma" w:cs="Tahoma"/>
              </w:rPr>
            </w:pPr>
          </w:p>
        </w:tc>
      </w:tr>
      <w:tr w:rsidR="00870095" w:rsidRPr="003410C7" w:rsidTr="007E466C">
        <w:trPr>
          <w:trHeight w:val="255"/>
        </w:trPr>
        <w:tc>
          <w:tcPr>
            <w:tcW w:w="2167" w:type="dxa"/>
            <w:tcBorders>
              <w:top w:val="single" w:sz="6" w:space="0" w:color="auto"/>
              <w:left w:val="single" w:sz="4" w:space="0" w:color="auto"/>
              <w:bottom w:val="single" w:sz="6" w:space="0" w:color="auto"/>
              <w:right w:val="single" w:sz="6" w:space="0" w:color="auto"/>
            </w:tcBorders>
            <w:vAlign w:val="bottom"/>
          </w:tcPr>
          <w:p w:rsidR="00870095" w:rsidRPr="003410C7" w:rsidRDefault="00870095">
            <w:pPr>
              <w:pStyle w:val="AppendixTableText"/>
              <w:jc w:val="left"/>
              <w:rPr>
                <w:rFonts w:ascii="Tahoma" w:hAnsi="Tahoma" w:cs="Tahoma"/>
              </w:rPr>
            </w:pPr>
            <w:r w:rsidRPr="003410C7">
              <w:rPr>
                <w:rFonts w:ascii="Tahoma" w:hAnsi="Tahoma" w:cs="Tahoma"/>
              </w:rPr>
              <w:t>Windows 8 Enterprise Sideloading</w:t>
            </w:r>
          </w:p>
        </w:tc>
        <w:tc>
          <w:tcPr>
            <w:tcW w:w="1530" w:type="dxa"/>
            <w:tcBorders>
              <w:top w:val="single" w:sz="6" w:space="0" w:color="auto"/>
              <w:left w:val="single" w:sz="6" w:space="0" w:color="auto"/>
              <w:bottom w:val="single" w:sz="6" w:space="0" w:color="auto"/>
              <w:right w:val="single" w:sz="6" w:space="0" w:color="auto"/>
            </w:tcBorders>
            <w:vAlign w:val="center"/>
          </w:tcPr>
          <w:p w:rsidR="00870095" w:rsidRPr="003410C7" w:rsidRDefault="00870095" w:rsidP="00E06FE8">
            <w:pPr>
              <w:pStyle w:val="AppendixTableText"/>
              <w:rPr>
                <w:rFonts w:ascii="Tahoma" w:hAnsi="Tahoma" w:cs="Tahoma"/>
              </w:rPr>
            </w:pPr>
          </w:p>
        </w:tc>
        <w:tc>
          <w:tcPr>
            <w:tcW w:w="1530" w:type="dxa"/>
            <w:tcBorders>
              <w:top w:val="single" w:sz="6" w:space="0" w:color="auto"/>
              <w:left w:val="single" w:sz="6" w:space="0" w:color="auto"/>
              <w:bottom w:val="single" w:sz="6" w:space="0" w:color="auto"/>
              <w:right w:val="single" w:sz="6" w:space="0" w:color="auto"/>
            </w:tcBorders>
            <w:vAlign w:val="center"/>
          </w:tcPr>
          <w:p w:rsidR="00870095" w:rsidRPr="003410C7" w:rsidRDefault="00870095" w:rsidP="00E06FE8">
            <w:pPr>
              <w:pStyle w:val="AppendixTableText"/>
              <w:rPr>
                <w:rFonts w:ascii="Tahoma" w:hAnsi="Tahoma" w:cs="Tahoma"/>
              </w:rPr>
            </w:pPr>
            <w:r w:rsidRPr="003410C7">
              <w:rPr>
                <w:rFonts w:ascii="Tahoma" w:hAnsi="Tahoma" w:cs="Tahoma"/>
              </w:rPr>
              <w:t>Sì</w:t>
            </w:r>
          </w:p>
        </w:tc>
        <w:tc>
          <w:tcPr>
            <w:tcW w:w="1530" w:type="dxa"/>
            <w:tcBorders>
              <w:top w:val="single" w:sz="6" w:space="0" w:color="auto"/>
              <w:left w:val="single" w:sz="6" w:space="0" w:color="auto"/>
              <w:bottom w:val="single" w:sz="6" w:space="0" w:color="auto"/>
              <w:right w:val="single" w:sz="4" w:space="0" w:color="auto"/>
            </w:tcBorders>
            <w:vAlign w:val="center"/>
          </w:tcPr>
          <w:p w:rsidR="00870095" w:rsidRPr="003410C7" w:rsidRDefault="00870095" w:rsidP="00E06FE8">
            <w:pPr>
              <w:pStyle w:val="AppendixTableText"/>
              <w:rPr>
                <w:rFonts w:ascii="Tahoma" w:hAnsi="Tahoma" w:cs="Tahoma"/>
              </w:rPr>
            </w:pPr>
          </w:p>
        </w:tc>
        <w:tc>
          <w:tcPr>
            <w:tcW w:w="1530" w:type="dxa"/>
            <w:tcBorders>
              <w:top w:val="single" w:sz="6" w:space="0" w:color="auto"/>
              <w:left w:val="single" w:sz="6" w:space="0" w:color="auto"/>
              <w:bottom w:val="single" w:sz="6" w:space="0" w:color="auto"/>
              <w:right w:val="single" w:sz="4" w:space="0" w:color="auto"/>
            </w:tcBorders>
            <w:vAlign w:val="center"/>
          </w:tcPr>
          <w:p w:rsidR="00870095" w:rsidRPr="003410C7" w:rsidRDefault="00175615" w:rsidP="00E06FE8">
            <w:pPr>
              <w:pStyle w:val="AppendixTableText"/>
              <w:rPr>
                <w:rFonts w:ascii="Tahoma" w:hAnsi="Tahoma" w:cs="Tahoma"/>
              </w:rPr>
            </w:pPr>
            <w:r w:rsidRPr="003410C7">
              <w:rPr>
                <w:rFonts w:ascii="Tahoma" w:hAnsi="Tahoma" w:cs="Tahoma"/>
              </w:rPr>
              <w:t>Sì</w:t>
            </w:r>
          </w:p>
        </w:tc>
        <w:tc>
          <w:tcPr>
            <w:tcW w:w="1440" w:type="dxa"/>
            <w:tcBorders>
              <w:top w:val="single" w:sz="6" w:space="0" w:color="auto"/>
              <w:left w:val="single" w:sz="6" w:space="0" w:color="auto"/>
              <w:bottom w:val="single" w:sz="6" w:space="0" w:color="auto"/>
              <w:right w:val="single" w:sz="4" w:space="0" w:color="auto"/>
            </w:tcBorders>
            <w:vAlign w:val="center"/>
          </w:tcPr>
          <w:p w:rsidR="00870095" w:rsidRPr="003410C7" w:rsidRDefault="00870095" w:rsidP="00E06FE8">
            <w:pPr>
              <w:pStyle w:val="AppendixTableText"/>
              <w:rPr>
                <w:rFonts w:ascii="Tahoma" w:hAnsi="Tahoma" w:cs="Tahoma"/>
              </w:rPr>
            </w:pPr>
          </w:p>
        </w:tc>
      </w:tr>
      <w:tr w:rsidR="00175615" w:rsidRPr="003410C7" w:rsidTr="007E466C">
        <w:trPr>
          <w:trHeight w:val="255"/>
        </w:trPr>
        <w:tc>
          <w:tcPr>
            <w:tcW w:w="2167" w:type="dxa"/>
            <w:tcBorders>
              <w:top w:val="single" w:sz="6" w:space="0" w:color="auto"/>
              <w:left w:val="single" w:sz="4" w:space="0" w:color="auto"/>
              <w:bottom w:val="single" w:sz="6" w:space="0" w:color="auto"/>
              <w:right w:val="single" w:sz="6" w:space="0" w:color="auto"/>
            </w:tcBorders>
            <w:vAlign w:val="bottom"/>
          </w:tcPr>
          <w:p w:rsidR="00175615" w:rsidRPr="003410C7" w:rsidRDefault="00175615">
            <w:pPr>
              <w:pStyle w:val="AppendixTableText"/>
              <w:jc w:val="left"/>
              <w:rPr>
                <w:rFonts w:ascii="Tahoma" w:hAnsi="Tahoma" w:cs="Tahoma"/>
              </w:rPr>
            </w:pPr>
            <w:r w:rsidRPr="003410C7">
              <w:rPr>
                <w:rFonts w:ascii="Tahoma" w:hAnsi="Tahoma" w:cs="Tahoma"/>
              </w:rPr>
              <w:t xml:space="preserve">Licenza </w:t>
            </w:r>
            <w:r w:rsidR="001A3EC5">
              <w:rPr>
                <w:rFonts w:ascii="Tahoma" w:hAnsi="Tahoma" w:cs="Tahoma"/>
              </w:rPr>
              <w:t>“</w:t>
            </w:r>
            <w:r w:rsidRPr="003410C7">
              <w:rPr>
                <w:rFonts w:ascii="Tahoma" w:hAnsi="Tahoma" w:cs="Tahoma"/>
              </w:rPr>
              <w:t>Subscription</w:t>
            </w:r>
            <w:r w:rsidR="001A3EC5">
              <w:rPr>
                <w:rFonts w:ascii="Tahoma" w:hAnsi="Tahoma" w:cs="Tahoma"/>
              </w:rPr>
              <w:t>”</w:t>
            </w:r>
            <w:r w:rsidRPr="003410C7">
              <w:rPr>
                <w:rFonts w:ascii="Tahoma" w:hAnsi="Tahoma" w:cs="Tahoma"/>
              </w:rPr>
              <w:t xml:space="preserve"> per Windows Companion</w:t>
            </w:r>
          </w:p>
        </w:tc>
        <w:tc>
          <w:tcPr>
            <w:tcW w:w="1530" w:type="dxa"/>
            <w:tcBorders>
              <w:top w:val="single" w:sz="6" w:space="0" w:color="auto"/>
              <w:left w:val="single" w:sz="6" w:space="0" w:color="auto"/>
              <w:bottom w:val="single" w:sz="6" w:space="0" w:color="auto"/>
              <w:right w:val="single" w:sz="6" w:space="0" w:color="auto"/>
            </w:tcBorders>
            <w:vAlign w:val="center"/>
          </w:tcPr>
          <w:p w:rsidR="00175615" w:rsidRPr="003410C7" w:rsidRDefault="00175615" w:rsidP="00E06FE8">
            <w:pPr>
              <w:pStyle w:val="AppendixTableText"/>
              <w:rPr>
                <w:rFonts w:ascii="Tahoma" w:hAnsi="Tahoma" w:cs="Tahoma"/>
              </w:rPr>
            </w:pPr>
          </w:p>
        </w:tc>
        <w:tc>
          <w:tcPr>
            <w:tcW w:w="1530" w:type="dxa"/>
            <w:tcBorders>
              <w:top w:val="single" w:sz="6" w:space="0" w:color="auto"/>
              <w:left w:val="single" w:sz="6" w:space="0" w:color="auto"/>
              <w:bottom w:val="single" w:sz="6" w:space="0" w:color="auto"/>
              <w:right w:val="single" w:sz="6" w:space="0" w:color="auto"/>
            </w:tcBorders>
            <w:vAlign w:val="center"/>
          </w:tcPr>
          <w:p w:rsidR="00175615" w:rsidRPr="003410C7" w:rsidRDefault="00175615" w:rsidP="00E06FE8">
            <w:pPr>
              <w:pStyle w:val="AppendixTableText"/>
              <w:rPr>
                <w:rFonts w:ascii="Tahoma" w:hAnsi="Tahoma" w:cs="Tahoma"/>
              </w:rPr>
            </w:pPr>
            <w:r w:rsidRPr="003410C7">
              <w:rPr>
                <w:rFonts w:ascii="Tahoma" w:hAnsi="Tahoma" w:cs="Tahoma"/>
              </w:rPr>
              <w:t>Sì</w:t>
            </w:r>
          </w:p>
        </w:tc>
        <w:tc>
          <w:tcPr>
            <w:tcW w:w="1530" w:type="dxa"/>
            <w:tcBorders>
              <w:top w:val="single" w:sz="6" w:space="0" w:color="auto"/>
              <w:left w:val="single" w:sz="6" w:space="0" w:color="auto"/>
              <w:bottom w:val="single" w:sz="6" w:space="0" w:color="auto"/>
              <w:right w:val="single" w:sz="4" w:space="0" w:color="auto"/>
            </w:tcBorders>
            <w:vAlign w:val="center"/>
          </w:tcPr>
          <w:p w:rsidR="00175615" w:rsidRPr="003410C7" w:rsidRDefault="00175615" w:rsidP="00E06FE8">
            <w:pPr>
              <w:pStyle w:val="AppendixTableText"/>
              <w:rPr>
                <w:rFonts w:ascii="Tahoma" w:hAnsi="Tahoma" w:cs="Tahoma"/>
              </w:rPr>
            </w:pPr>
          </w:p>
        </w:tc>
        <w:tc>
          <w:tcPr>
            <w:tcW w:w="1530" w:type="dxa"/>
            <w:tcBorders>
              <w:top w:val="single" w:sz="6" w:space="0" w:color="auto"/>
              <w:left w:val="single" w:sz="6" w:space="0" w:color="auto"/>
              <w:bottom w:val="single" w:sz="6" w:space="0" w:color="auto"/>
              <w:right w:val="single" w:sz="4" w:space="0" w:color="auto"/>
            </w:tcBorders>
            <w:vAlign w:val="center"/>
          </w:tcPr>
          <w:p w:rsidR="00175615" w:rsidRPr="003410C7" w:rsidRDefault="00175615" w:rsidP="00E06FE8">
            <w:pPr>
              <w:pStyle w:val="AppendixTableText"/>
              <w:rPr>
                <w:rFonts w:ascii="Tahoma" w:hAnsi="Tahoma" w:cs="Tahoma"/>
              </w:rPr>
            </w:pPr>
            <w:r w:rsidRPr="003410C7">
              <w:rPr>
                <w:rFonts w:ascii="Tahoma" w:hAnsi="Tahoma" w:cs="Tahoma"/>
              </w:rPr>
              <w:t>Sì</w:t>
            </w:r>
          </w:p>
        </w:tc>
        <w:tc>
          <w:tcPr>
            <w:tcW w:w="1440" w:type="dxa"/>
            <w:tcBorders>
              <w:top w:val="single" w:sz="6" w:space="0" w:color="auto"/>
              <w:left w:val="single" w:sz="6" w:space="0" w:color="auto"/>
              <w:bottom w:val="single" w:sz="6" w:space="0" w:color="auto"/>
              <w:right w:val="single" w:sz="4" w:space="0" w:color="auto"/>
            </w:tcBorders>
            <w:vAlign w:val="center"/>
          </w:tcPr>
          <w:p w:rsidR="00175615" w:rsidRPr="003410C7" w:rsidRDefault="00175615" w:rsidP="00E06FE8">
            <w:pPr>
              <w:pStyle w:val="AppendixTableText"/>
              <w:rPr>
                <w:rFonts w:ascii="Tahoma" w:hAnsi="Tahoma" w:cs="Tahoma"/>
              </w:rPr>
            </w:pPr>
          </w:p>
        </w:tc>
      </w:tr>
    </w:tbl>
    <w:p w:rsidR="00023FE7" w:rsidRPr="00451078" w:rsidRDefault="00023FE7">
      <w:pPr>
        <w:pStyle w:val="AppendixBodyText"/>
        <w:ind w:right="180"/>
        <w:rPr>
          <w:sz w:val="16"/>
          <w:szCs w:val="16"/>
          <w:lang w:val="it-IT"/>
        </w:rPr>
      </w:pPr>
      <w:r w:rsidRPr="00451078">
        <w:rPr>
          <w:rFonts w:ascii="Tahoma" w:hAnsi="Tahoma" w:cs="Tahoma"/>
          <w:i/>
          <w:sz w:val="16"/>
          <w:szCs w:val="16"/>
          <w:lang w:val="it-IT"/>
        </w:rPr>
        <w:t>*Sì nella tabella significa Partecipazione a Software Assurance. L</w:t>
      </w:r>
      <w:r w:rsidR="004525CA">
        <w:rPr>
          <w:rFonts w:ascii="Tahoma" w:hAnsi="Tahoma" w:cs="Tahoma"/>
          <w:i/>
          <w:sz w:val="16"/>
          <w:szCs w:val="16"/>
          <w:lang w:val="it-IT"/>
        </w:rPr>
        <w:t>’</w:t>
      </w:r>
      <w:r w:rsidRPr="00451078">
        <w:rPr>
          <w:rFonts w:ascii="Tahoma" w:hAnsi="Tahoma" w:cs="Tahoma"/>
          <w:i/>
          <w:sz w:val="16"/>
          <w:szCs w:val="16"/>
          <w:lang w:val="it-IT"/>
        </w:rPr>
        <w:t>acquisto di Software Assurance, la spesa SA per i prodotti qualificanti all</w:t>
      </w:r>
      <w:r w:rsidR="004525CA">
        <w:rPr>
          <w:rFonts w:ascii="Tahoma" w:hAnsi="Tahoma" w:cs="Tahoma"/>
          <w:i/>
          <w:sz w:val="16"/>
          <w:szCs w:val="16"/>
          <w:lang w:val="it-IT"/>
        </w:rPr>
        <w:t>’</w:t>
      </w:r>
      <w:r w:rsidRPr="00451078">
        <w:rPr>
          <w:rFonts w:ascii="Tahoma" w:hAnsi="Tahoma" w:cs="Tahoma"/>
          <w:i/>
          <w:sz w:val="16"/>
          <w:szCs w:val="16"/>
          <w:lang w:val="it-IT"/>
        </w:rPr>
        <w:t>interno del pool indicato o l</w:t>
      </w:r>
      <w:r w:rsidR="004525CA">
        <w:rPr>
          <w:rFonts w:ascii="Tahoma" w:hAnsi="Tahoma" w:cs="Tahoma"/>
          <w:i/>
          <w:sz w:val="16"/>
          <w:szCs w:val="16"/>
          <w:lang w:val="it-IT"/>
        </w:rPr>
        <w:t>’</w:t>
      </w:r>
      <w:r w:rsidRPr="00451078">
        <w:rPr>
          <w:rFonts w:ascii="Tahoma" w:hAnsi="Tahoma" w:cs="Tahoma"/>
          <w:i/>
          <w:sz w:val="16"/>
          <w:szCs w:val="16"/>
          <w:lang w:val="it-IT"/>
        </w:rPr>
        <w:t>acquisto di famiglie di prodotti Windows Intune (Per Dispositivo)/Office 365 qualificanti rendono idonea la società a ottenere il vantaggio.</w:t>
      </w:r>
    </w:p>
    <w:p w:rsidR="00023FE7" w:rsidRPr="00451078" w:rsidRDefault="00023FE7">
      <w:pPr>
        <w:pStyle w:val="AppendixBodyText"/>
        <w:ind w:right="180"/>
        <w:rPr>
          <w:sz w:val="16"/>
          <w:szCs w:val="16"/>
          <w:lang w:val="it-IT"/>
        </w:rPr>
      </w:pPr>
      <w:r w:rsidRPr="00451078">
        <w:rPr>
          <w:rFonts w:ascii="Tahoma" w:hAnsi="Tahoma" w:cs="Tahoma"/>
          <w:i/>
          <w:sz w:val="16"/>
          <w:szCs w:val="16"/>
          <w:lang w:val="it-IT"/>
        </w:rPr>
        <w:t>*Microsoft potrà trattenere o interrompere, in qualsiasi momento, i vantaggi relativi alla Partecipazione a Software Assurance disponibili ai sensi della quarta iscrizione e di ogni iscrizione successiva in base al medesimo contratto Select, qualora tale azione sia ragionevole dal punto di vista commerciale.</w:t>
      </w:r>
    </w:p>
    <w:p w:rsidR="00023FE7" w:rsidRPr="00451078" w:rsidRDefault="00302B84" w:rsidP="0063466C">
      <w:pPr>
        <w:pStyle w:val="AppendixBodyText"/>
        <w:spacing w:after="0"/>
        <w:rPr>
          <w:sz w:val="16"/>
          <w:szCs w:val="16"/>
          <w:lang w:val="it-IT"/>
        </w:rPr>
      </w:pPr>
      <w:r w:rsidRPr="00451078">
        <w:rPr>
          <w:rFonts w:ascii="Tahoma" w:hAnsi="Tahoma" w:cs="Tahoma"/>
          <w:i/>
          <w:sz w:val="16"/>
          <w:szCs w:val="16"/>
          <w:lang w:val="it-IT"/>
        </w:rPr>
        <w:t>***Generalmente, le offerte di sottoscrizione che includono componenti software che contengono software con versione includeranno i diritti delle nuove versioni per tali componenti.</w:t>
      </w:r>
    </w:p>
    <w:p w:rsidR="00F76ED4" w:rsidRPr="00451078" w:rsidRDefault="00F76ED4">
      <w:pPr>
        <w:rPr>
          <w:lang w:val="it-IT"/>
        </w:rPr>
      </w:pPr>
      <w:r w:rsidRPr="00451078">
        <w:rPr>
          <w:rFonts w:cs="Tahoma"/>
          <w:lang w:val="it-IT"/>
        </w:rPr>
        <w:br w:type="page"/>
      </w:r>
    </w:p>
    <w:tbl>
      <w:tblPr>
        <w:tblW w:w="0" w:type="auto"/>
        <w:tblInd w:w="658" w:type="dxa"/>
        <w:tblBorders>
          <w:top w:val="single" w:sz="8" w:space="0" w:color="auto"/>
          <w:left w:val="single" w:sz="8" w:space="0" w:color="auto"/>
          <w:bottom w:val="single" w:sz="8" w:space="0" w:color="auto"/>
          <w:right w:val="single" w:sz="8" w:space="0" w:color="auto"/>
          <w:insideH w:val="single" w:sz="8" w:space="0" w:color="auto"/>
          <w:insideV w:val="single" w:sz="8" w:space="0" w:color="auto"/>
        </w:tblBorders>
        <w:tblLayout w:type="fixed"/>
        <w:tblLook w:val="01E0" w:firstRow="1" w:lastRow="1" w:firstColumn="1" w:lastColumn="1" w:noHBand="0" w:noVBand="0"/>
      </w:tblPr>
      <w:tblGrid>
        <w:gridCol w:w="8280"/>
      </w:tblGrid>
      <w:tr w:rsidR="00AD6AD6" w:rsidRPr="00DC1102" w:rsidTr="0044720D">
        <w:trPr>
          <w:trHeight w:val="60"/>
        </w:trPr>
        <w:tc>
          <w:tcPr>
            <w:tcW w:w="8280" w:type="dxa"/>
            <w:shd w:val="clear" w:color="auto" w:fill="FFCC99"/>
            <w:vAlign w:val="center"/>
          </w:tcPr>
          <w:p w:rsidR="00AD6AD6" w:rsidRPr="00451078" w:rsidRDefault="00AD6AD6" w:rsidP="004B54F7">
            <w:pPr>
              <w:pStyle w:val="AppendixTableHeadings"/>
              <w:rPr>
                <w:rFonts w:ascii="Tahoma" w:hAnsi="Tahoma" w:cs="Tahoma"/>
                <w:sz w:val="20"/>
                <w:szCs w:val="20"/>
                <w:lang w:val="it-IT"/>
              </w:rPr>
            </w:pPr>
            <w:r w:rsidRPr="00451078">
              <w:rPr>
                <w:rFonts w:ascii="Tahoma" w:hAnsi="Tahoma" w:cs="Tahoma"/>
                <w:sz w:val="20"/>
                <w:szCs w:val="20"/>
                <w:lang w:val="it-IT"/>
              </w:rPr>
              <w:lastRenderedPageBreak/>
              <w:t>Prodotti del Pool di Applicazioni Office System</w:t>
            </w:r>
          </w:p>
        </w:tc>
      </w:tr>
      <w:tr w:rsidR="00AD6AD6" w:rsidRPr="003410C7" w:rsidTr="0044720D">
        <w:trPr>
          <w:trHeight w:val="438"/>
        </w:trPr>
        <w:tc>
          <w:tcPr>
            <w:tcW w:w="8280" w:type="dxa"/>
            <w:vAlign w:val="center"/>
          </w:tcPr>
          <w:p w:rsidR="00AD6AD6" w:rsidRPr="003410C7" w:rsidRDefault="00AD6AD6" w:rsidP="004B54F7">
            <w:pPr>
              <w:spacing w:line="240" w:lineRule="atLeast"/>
            </w:pPr>
            <w:r w:rsidRPr="003410C7">
              <w:rPr>
                <w:rFonts w:cs="Tahoma"/>
                <w:color w:val="000000"/>
                <w:szCs w:val="18"/>
              </w:rPr>
              <w:t>Office Standard 2013</w:t>
            </w:r>
          </w:p>
          <w:p w:rsidR="00AD6AD6" w:rsidRPr="003410C7" w:rsidRDefault="00AD6AD6" w:rsidP="004B54F7">
            <w:pPr>
              <w:spacing w:line="240" w:lineRule="atLeast"/>
            </w:pPr>
            <w:r w:rsidRPr="003410C7">
              <w:rPr>
                <w:rFonts w:cs="Tahoma"/>
                <w:color w:val="000000"/>
                <w:szCs w:val="18"/>
              </w:rPr>
              <w:t xml:space="preserve">Office Professional Plus 2013 </w:t>
            </w:r>
          </w:p>
          <w:p w:rsidR="00AD6AD6" w:rsidRPr="003410C7" w:rsidRDefault="00AD6AD6" w:rsidP="004B54F7">
            <w:pPr>
              <w:spacing w:line="240" w:lineRule="atLeast"/>
            </w:pPr>
            <w:r w:rsidRPr="003410C7">
              <w:rPr>
                <w:rFonts w:cs="Tahoma"/>
                <w:color w:val="000000"/>
                <w:szCs w:val="18"/>
              </w:rPr>
              <w:t>Project Standard 2013</w:t>
            </w:r>
          </w:p>
          <w:p w:rsidR="00AD6AD6" w:rsidRPr="003410C7" w:rsidRDefault="00AD6AD6" w:rsidP="004B54F7">
            <w:pPr>
              <w:spacing w:line="240" w:lineRule="atLeast"/>
            </w:pPr>
            <w:r w:rsidRPr="003410C7">
              <w:rPr>
                <w:rFonts w:cs="Tahoma"/>
                <w:color w:val="000000"/>
                <w:szCs w:val="18"/>
              </w:rPr>
              <w:t>Project Professional 2013</w:t>
            </w:r>
          </w:p>
          <w:p w:rsidR="00AD6AD6" w:rsidRPr="003410C7" w:rsidRDefault="00AD6AD6" w:rsidP="004B54F7">
            <w:pPr>
              <w:spacing w:line="240" w:lineRule="atLeast"/>
            </w:pPr>
            <w:r w:rsidRPr="003410C7">
              <w:rPr>
                <w:rFonts w:cs="Tahoma"/>
                <w:color w:val="000000"/>
                <w:szCs w:val="18"/>
              </w:rPr>
              <w:t>Visio</w:t>
            </w:r>
            <w:r w:rsidR="003410C7" w:rsidRPr="003410C7">
              <w:rPr>
                <w:rFonts w:cs="Tahoma"/>
                <w:color w:val="000000"/>
                <w:szCs w:val="18"/>
                <w:vertAlign w:val="superscript"/>
              </w:rPr>
              <w:t>®</w:t>
            </w:r>
            <w:r w:rsidRPr="003410C7">
              <w:rPr>
                <w:rFonts w:cs="Tahoma"/>
                <w:color w:val="000000"/>
                <w:szCs w:val="18"/>
              </w:rPr>
              <w:t xml:space="preserve"> Standard 2013</w:t>
            </w:r>
          </w:p>
          <w:p w:rsidR="00AD6AD6" w:rsidRPr="003410C7" w:rsidRDefault="00AD6AD6" w:rsidP="004B54F7">
            <w:pPr>
              <w:spacing w:line="240" w:lineRule="atLeast"/>
            </w:pPr>
            <w:r w:rsidRPr="003410C7">
              <w:rPr>
                <w:rFonts w:cs="Tahoma"/>
                <w:color w:val="000000"/>
                <w:szCs w:val="18"/>
              </w:rPr>
              <w:t>Visio</w:t>
            </w:r>
            <w:r w:rsidR="003410C7" w:rsidRPr="003410C7">
              <w:rPr>
                <w:rFonts w:cs="Tahoma"/>
                <w:color w:val="000000"/>
                <w:szCs w:val="18"/>
                <w:vertAlign w:val="superscript"/>
              </w:rPr>
              <w:t>®</w:t>
            </w:r>
            <w:r w:rsidRPr="003410C7">
              <w:rPr>
                <w:rFonts w:cs="Tahoma"/>
                <w:color w:val="000000"/>
                <w:szCs w:val="18"/>
              </w:rPr>
              <w:t xml:space="preserve"> Professional 2013</w:t>
            </w:r>
          </w:p>
          <w:p w:rsidR="00AD6AD6" w:rsidRPr="003410C7" w:rsidRDefault="00AD6AD6" w:rsidP="004B54F7">
            <w:pPr>
              <w:spacing w:line="240" w:lineRule="atLeast"/>
            </w:pPr>
            <w:r w:rsidRPr="003410C7">
              <w:rPr>
                <w:rFonts w:cs="Tahoma"/>
                <w:color w:val="000000"/>
                <w:szCs w:val="18"/>
              </w:rPr>
              <w:t>Access 2013</w:t>
            </w:r>
          </w:p>
          <w:p w:rsidR="00AD6AD6" w:rsidRPr="003410C7" w:rsidRDefault="00AD6AD6" w:rsidP="004B54F7">
            <w:pPr>
              <w:spacing w:line="240" w:lineRule="atLeast"/>
            </w:pPr>
            <w:r w:rsidRPr="003410C7">
              <w:rPr>
                <w:rFonts w:cs="Tahoma"/>
                <w:color w:val="000000"/>
                <w:szCs w:val="18"/>
              </w:rPr>
              <w:t xml:space="preserve">Excel 2013 </w:t>
            </w:r>
          </w:p>
          <w:p w:rsidR="00AD6AD6" w:rsidRPr="003410C7" w:rsidRDefault="00AD6AD6" w:rsidP="004B54F7">
            <w:pPr>
              <w:spacing w:line="240" w:lineRule="atLeast"/>
            </w:pPr>
            <w:r w:rsidRPr="003410C7">
              <w:rPr>
                <w:rFonts w:cs="Tahoma"/>
                <w:color w:val="000000"/>
                <w:szCs w:val="18"/>
              </w:rPr>
              <w:t>InfoPath</w:t>
            </w:r>
            <w:r w:rsidR="003410C7" w:rsidRPr="003410C7">
              <w:rPr>
                <w:rFonts w:cs="Tahoma"/>
                <w:color w:val="000000"/>
                <w:szCs w:val="18"/>
                <w:vertAlign w:val="superscript"/>
              </w:rPr>
              <w:t>®</w:t>
            </w:r>
            <w:r w:rsidRPr="003410C7">
              <w:rPr>
                <w:rFonts w:cs="Tahoma"/>
                <w:color w:val="000000"/>
                <w:szCs w:val="18"/>
              </w:rPr>
              <w:t xml:space="preserve"> 2013</w:t>
            </w:r>
          </w:p>
          <w:p w:rsidR="00AD6AD6" w:rsidRPr="003410C7" w:rsidRDefault="00AD6AD6" w:rsidP="004B54F7">
            <w:pPr>
              <w:spacing w:line="240" w:lineRule="atLeast"/>
            </w:pPr>
            <w:r w:rsidRPr="003410C7">
              <w:rPr>
                <w:rFonts w:cs="Tahoma"/>
                <w:color w:val="000000"/>
                <w:szCs w:val="18"/>
              </w:rPr>
              <w:t>Lync 2013</w:t>
            </w:r>
          </w:p>
          <w:p w:rsidR="00AD6AD6" w:rsidRPr="003410C7" w:rsidRDefault="00AD6AD6" w:rsidP="004B54F7">
            <w:pPr>
              <w:spacing w:line="240" w:lineRule="atLeast"/>
            </w:pPr>
            <w:r w:rsidRPr="003410C7">
              <w:rPr>
                <w:rFonts w:cs="Tahoma"/>
                <w:color w:val="000000"/>
                <w:szCs w:val="18"/>
              </w:rPr>
              <w:t>OneNote™ 2013</w:t>
            </w:r>
          </w:p>
          <w:p w:rsidR="00AD6AD6" w:rsidRPr="003410C7" w:rsidRDefault="00AD6AD6" w:rsidP="004B54F7">
            <w:pPr>
              <w:spacing w:line="240" w:lineRule="atLeast"/>
            </w:pPr>
            <w:r w:rsidRPr="003410C7">
              <w:rPr>
                <w:rFonts w:cs="Tahoma"/>
                <w:color w:val="000000"/>
                <w:szCs w:val="18"/>
              </w:rPr>
              <w:t>Outlook</w:t>
            </w:r>
            <w:r w:rsidR="003410C7" w:rsidRPr="003410C7">
              <w:rPr>
                <w:rFonts w:cs="Tahoma"/>
                <w:color w:val="000000"/>
                <w:szCs w:val="18"/>
                <w:vertAlign w:val="superscript"/>
              </w:rPr>
              <w:t>®</w:t>
            </w:r>
            <w:r w:rsidRPr="003410C7">
              <w:rPr>
                <w:rFonts w:cs="Tahoma"/>
                <w:color w:val="000000"/>
                <w:szCs w:val="18"/>
              </w:rPr>
              <w:t xml:space="preserve"> 2013</w:t>
            </w:r>
          </w:p>
          <w:p w:rsidR="00AD6AD6" w:rsidRPr="003410C7" w:rsidRDefault="00AD6AD6" w:rsidP="004B54F7">
            <w:pPr>
              <w:spacing w:line="240" w:lineRule="atLeast"/>
            </w:pPr>
            <w:r w:rsidRPr="003410C7">
              <w:rPr>
                <w:rFonts w:cs="Tahoma"/>
                <w:color w:val="000000"/>
                <w:szCs w:val="18"/>
              </w:rPr>
              <w:t>PowerPoint</w:t>
            </w:r>
            <w:r w:rsidR="003410C7" w:rsidRPr="003410C7">
              <w:rPr>
                <w:rFonts w:cs="Tahoma"/>
                <w:color w:val="000000"/>
                <w:szCs w:val="18"/>
                <w:vertAlign w:val="superscript"/>
              </w:rPr>
              <w:t>®</w:t>
            </w:r>
            <w:r w:rsidRPr="003410C7">
              <w:rPr>
                <w:rFonts w:cs="Tahoma"/>
                <w:color w:val="000000"/>
                <w:szCs w:val="18"/>
              </w:rPr>
              <w:t xml:space="preserve"> 2013</w:t>
            </w:r>
          </w:p>
          <w:p w:rsidR="00AD6AD6" w:rsidRPr="003410C7" w:rsidRDefault="00AD6AD6" w:rsidP="004B54F7">
            <w:pPr>
              <w:spacing w:line="240" w:lineRule="atLeast"/>
            </w:pPr>
            <w:r w:rsidRPr="003410C7">
              <w:rPr>
                <w:rFonts w:cs="Tahoma"/>
                <w:color w:val="000000"/>
                <w:szCs w:val="18"/>
              </w:rPr>
              <w:t>Publisher 2013</w:t>
            </w:r>
          </w:p>
          <w:p w:rsidR="00AD6AD6" w:rsidRPr="003410C7" w:rsidRDefault="00AD6AD6" w:rsidP="004B54F7">
            <w:pPr>
              <w:spacing w:line="240" w:lineRule="atLeast"/>
            </w:pPr>
            <w:r w:rsidRPr="003410C7">
              <w:rPr>
                <w:rFonts w:cs="Tahoma"/>
                <w:color w:val="000000"/>
                <w:szCs w:val="18"/>
              </w:rPr>
              <w:t>Word 2013</w:t>
            </w:r>
          </w:p>
          <w:p w:rsidR="00AD6AD6" w:rsidRPr="003410C7" w:rsidRDefault="00AD6AD6" w:rsidP="004B54F7">
            <w:pPr>
              <w:spacing w:line="240" w:lineRule="atLeast"/>
            </w:pPr>
            <w:r w:rsidRPr="003410C7">
              <w:rPr>
                <w:rFonts w:cs="Tahoma"/>
                <w:color w:val="000000"/>
                <w:szCs w:val="18"/>
              </w:rPr>
              <w:t xml:space="preserve">Office per Mac Standard 2011 </w:t>
            </w:r>
          </w:p>
          <w:p w:rsidR="00AD6AD6" w:rsidRPr="003410C7" w:rsidRDefault="00AD6AD6" w:rsidP="004B54F7">
            <w:pPr>
              <w:spacing w:line="240" w:lineRule="atLeast"/>
            </w:pPr>
            <w:r w:rsidRPr="003410C7">
              <w:rPr>
                <w:rFonts w:cs="Tahoma"/>
                <w:color w:val="000000"/>
                <w:szCs w:val="18"/>
              </w:rPr>
              <w:t>Lync per Mac 2011</w:t>
            </w:r>
          </w:p>
          <w:p w:rsidR="00061A45" w:rsidRPr="003410C7" w:rsidRDefault="007C4ADB" w:rsidP="004B54F7">
            <w:pPr>
              <w:spacing w:line="240" w:lineRule="atLeast"/>
            </w:pPr>
            <w:r w:rsidRPr="003410C7">
              <w:rPr>
                <w:rFonts w:cs="Tahoma"/>
                <w:color w:val="000000"/>
                <w:szCs w:val="18"/>
              </w:rPr>
              <w:t>Outlook per Mac 2011</w:t>
            </w:r>
          </w:p>
          <w:p w:rsidR="00AD6AD6" w:rsidRPr="003410C7" w:rsidRDefault="00AD6AD6" w:rsidP="004B54F7">
            <w:pPr>
              <w:spacing w:line="240" w:lineRule="atLeast"/>
            </w:pPr>
            <w:r w:rsidRPr="003410C7">
              <w:rPr>
                <w:rFonts w:cs="Tahoma"/>
                <w:color w:val="000000"/>
                <w:szCs w:val="18"/>
              </w:rPr>
              <w:t>Powerpoint per Mac 2011</w:t>
            </w:r>
          </w:p>
          <w:p w:rsidR="00AD6AD6" w:rsidRPr="003410C7" w:rsidRDefault="00AD6AD6" w:rsidP="004B54F7">
            <w:pPr>
              <w:spacing w:line="240" w:lineRule="atLeast"/>
            </w:pPr>
            <w:r w:rsidRPr="003410C7">
              <w:rPr>
                <w:rFonts w:cs="Tahoma"/>
                <w:color w:val="000000"/>
                <w:szCs w:val="18"/>
              </w:rPr>
              <w:t>Excel per Mac 2011</w:t>
            </w:r>
          </w:p>
          <w:p w:rsidR="00AD6AD6" w:rsidRPr="003410C7" w:rsidRDefault="00AD6AD6" w:rsidP="004B54F7">
            <w:pPr>
              <w:spacing w:line="240" w:lineRule="atLeast"/>
              <w:rPr>
                <w:rFonts w:cs="Tahoma"/>
                <w:color w:val="000000"/>
                <w:szCs w:val="18"/>
              </w:rPr>
            </w:pPr>
            <w:r w:rsidRPr="003410C7">
              <w:rPr>
                <w:rFonts w:cs="Tahoma"/>
                <w:color w:val="000000"/>
                <w:szCs w:val="18"/>
              </w:rPr>
              <w:t>Word per Mac 2011</w:t>
            </w:r>
          </w:p>
        </w:tc>
      </w:tr>
    </w:tbl>
    <w:p w:rsidR="00D8064F" w:rsidRPr="00451078" w:rsidRDefault="00AD6AD6" w:rsidP="0044720D">
      <w:pPr>
        <w:pStyle w:val="AppendixBodyText"/>
        <w:spacing w:after="0"/>
        <w:ind w:firstLine="550"/>
        <w:rPr>
          <w:lang w:val="it-IT"/>
        </w:rPr>
      </w:pPr>
      <w:r w:rsidRPr="00451078">
        <w:rPr>
          <w:rFonts w:ascii="Tahoma" w:hAnsi="Tahoma" w:cs="Tahoma"/>
          <w:b/>
          <w:i/>
          <w:sz w:val="16"/>
          <w:szCs w:val="16"/>
          <w:lang w:val="it-IT"/>
        </w:rPr>
        <w:t>Nota:</w:t>
      </w:r>
      <w:r w:rsidRPr="00451078">
        <w:rPr>
          <w:rFonts w:ascii="Tahoma" w:hAnsi="Tahoma" w:cs="Tahoma"/>
          <w:i/>
          <w:sz w:val="16"/>
          <w:szCs w:val="16"/>
          <w:lang w:val="it-IT"/>
        </w:rPr>
        <w:t xml:space="preserve"> la lista dei prodotti del Pool di Applicazioni Office System è soggetta a modifica.</w:t>
      </w:r>
    </w:p>
    <w:p w:rsidR="00BA0707" w:rsidRPr="00451078" w:rsidRDefault="00BA0707" w:rsidP="0063466C">
      <w:pPr>
        <w:pStyle w:val="AppendixBodyText"/>
        <w:spacing w:after="0"/>
        <w:rPr>
          <w:lang w:val="it-IT"/>
        </w:rPr>
      </w:pPr>
    </w:p>
    <w:p w:rsidR="00023FE7" w:rsidRPr="00451078" w:rsidRDefault="00023FE7">
      <w:pPr>
        <w:pStyle w:val="Heading2"/>
        <w:ind w:left="0"/>
        <w:rPr>
          <w:lang w:val="it-IT"/>
        </w:rPr>
      </w:pPr>
      <w:bookmarkStart w:id="771" w:name="_Toc336338228"/>
      <w:bookmarkStart w:id="772" w:name="_Toc352234823"/>
      <w:r w:rsidRPr="00451078">
        <w:rPr>
          <w:rFonts w:ascii="Tahoma" w:hAnsi="Tahoma"/>
          <w:lang w:val="it-IT"/>
        </w:rPr>
        <w:t>Diritti su Versioni Nuove</w:t>
      </w:r>
      <w:bookmarkEnd w:id="771"/>
      <w:bookmarkEnd w:id="772"/>
    </w:p>
    <w:p w:rsidR="00023FE7" w:rsidRPr="00451078" w:rsidRDefault="00023FE7" w:rsidP="00BA0707">
      <w:pPr>
        <w:rPr>
          <w:lang w:val="it-IT"/>
        </w:rPr>
      </w:pPr>
    </w:p>
    <w:p w:rsidR="00023FE7" w:rsidRPr="00451078" w:rsidRDefault="00023FE7" w:rsidP="0063466C">
      <w:pPr>
        <w:pStyle w:val="AppendixBodyText"/>
        <w:spacing w:after="0"/>
        <w:rPr>
          <w:lang w:val="it-IT"/>
        </w:rPr>
      </w:pPr>
      <w:r w:rsidRPr="00451078">
        <w:rPr>
          <w:rFonts w:ascii="Tahoma" w:hAnsi="Tahoma" w:cs="Tahoma"/>
          <w:color w:val="000000"/>
          <w:sz w:val="18"/>
          <w:lang w:val="it-IT"/>
        </w:rPr>
        <w:t>Le società con copertura Software Assurance sono idonee ad effettuare l</w:t>
      </w:r>
      <w:r w:rsidR="004525CA">
        <w:rPr>
          <w:rFonts w:ascii="Tahoma" w:hAnsi="Tahoma" w:cs="Tahoma"/>
          <w:color w:val="000000"/>
          <w:sz w:val="18"/>
          <w:lang w:val="it-IT"/>
        </w:rPr>
        <w:t>’</w:t>
      </w:r>
      <w:r w:rsidRPr="00451078">
        <w:rPr>
          <w:rFonts w:ascii="Tahoma" w:hAnsi="Tahoma" w:cs="Tahoma"/>
          <w:color w:val="000000"/>
          <w:sz w:val="18"/>
          <w:lang w:val="it-IT"/>
        </w:rPr>
        <w:t>aggiornamento a nuove versioni del software con licenza reso disponibile durante il periodo di validità della copertura Software Assurance.</w:t>
      </w:r>
      <w:r w:rsidR="00082E1C" w:rsidRPr="00451078">
        <w:rPr>
          <w:rFonts w:ascii="Tahoma" w:hAnsi="Tahoma" w:cs="Tahoma"/>
          <w:color w:val="000000"/>
          <w:sz w:val="18"/>
          <w:lang w:val="it-IT"/>
        </w:rPr>
        <w:t xml:space="preserve"> </w:t>
      </w:r>
      <w:r w:rsidRPr="00451078">
        <w:rPr>
          <w:rFonts w:ascii="Tahoma" w:hAnsi="Tahoma" w:cs="Tahoma"/>
          <w:color w:val="000000"/>
          <w:sz w:val="18"/>
          <w:lang w:val="it-IT"/>
        </w:rPr>
        <w:t>Diritti su Versioni Nuove, in relazione al prodotto con licenza sottostante per il quale viene ordinata la copertura Software Assurance, significa il diritto di effettuare l</w:t>
      </w:r>
      <w:r w:rsidR="004525CA">
        <w:rPr>
          <w:rFonts w:ascii="Tahoma" w:hAnsi="Tahoma" w:cs="Tahoma"/>
          <w:color w:val="000000"/>
          <w:sz w:val="18"/>
          <w:lang w:val="it-IT"/>
        </w:rPr>
        <w:t>’</w:t>
      </w:r>
      <w:r w:rsidRPr="00451078">
        <w:rPr>
          <w:rFonts w:ascii="Tahoma" w:hAnsi="Tahoma" w:cs="Tahoma"/>
          <w:color w:val="000000"/>
          <w:sz w:val="18"/>
          <w:lang w:val="it-IT"/>
        </w:rPr>
        <w:t>aggiornamento e di eseguire al posto del prodotto con licenza sottostante l</w:t>
      </w:r>
      <w:r w:rsidR="004525CA">
        <w:rPr>
          <w:rFonts w:ascii="Tahoma" w:hAnsi="Tahoma" w:cs="Tahoma"/>
          <w:color w:val="000000"/>
          <w:sz w:val="18"/>
          <w:lang w:val="it-IT"/>
        </w:rPr>
        <w:t>’</w:t>
      </w:r>
      <w:r w:rsidRPr="00451078">
        <w:rPr>
          <w:rFonts w:ascii="Tahoma" w:hAnsi="Tahoma" w:cs="Tahoma"/>
          <w:color w:val="000000"/>
          <w:sz w:val="18"/>
          <w:lang w:val="it-IT"/>
        </w:rPr>
        <w:t>ultima versione di tale prodotto che Microsoft rende disponibile durante il periodo di copertura.</w:t>
      </w:r>
      <w:r w:rsidR="00082E1C" w:rsidRPr="00451078">
        <w:rPr>
          <w:rFonts w:ascii="Tahoma" w:hAnsi="Tahoma" w:cs="Tahoma"/>
          <w:color w:val="000000"/>
          <w:sz w:val="18"/>
          <w:lang w:val="it-IT"/>
        </w:rPr>
        <w:t xml:space="preserve"> </w:t>
      </w:r>
      <w:r w:rsidRPr="00451078">
        <w:rPr>
          <w:rFonts w:ascii="Tahoma" w:hAnsi="Tahoma" w:cs="Tahoma"/>
          <w:color w:val="000000"/>
          <w:sz w:val="18"/>
          <w:lang w:val="it-IT"/>
        </w:rPr>
        <w:t>Ad esempio, qualora una nuova versione di Microsoft Office venga resa disponibile durante il periodo di validità della copertura, le licenze verranno automaticamente aggiornate alla nuova versione. Le società che acquistano licenze perpetue tramite Software Assurance possono distribuire gli aggiornamenti dopo la scadenza della copertura.</w:t>
      </w:r>
    </w:p>
    <w:p w:rsidR="00BA0707" w:rsidRPr="00451078" w:rsidRDefault="00BA0707" w:rsidP="0063466C">
      <w:pPr>
        <w:pStyle w:val="AppendixBodyText"/>
        <w:spacing w:after="0"/>
        <w:rPr>
          <w:lang w:val="it-IT"/>
        </w:rPr>
      </w:pPr>
    </w:p>
    <w:p w:rsidR="00023FE7" w:rsidRPr="00451078" w:rsidRDefault="00023FE7">
      <w:pPr>
        <w:pStyle w:val="Heading2"/>
        <w:ind w:left="0"/>
        <w:rPr>
          <w:lang w:val="it-IT"/>
        </w:rPr>
      </w:pPr>
      <w:bookmarkStart w:id="773" w:name="_Toc336338229"/>
      <w:bookmarkStart w:id="774" w:name="_Toc352234824"/>
      <w:r w:rsidRPr="00451078">
        <w:rPr>
          <w:rFonts w:ascii="Tahoma" w:hAnsi="Tahoma"/>
          <w:lang w:val="it-IT"/>
        </w:rPr>
        <w:t>Office Multi Language Pack</w:t>
      </w:r>
      <w:bookmarkEnd w:id="773"/>
      <w:bookmarkEnd w:id="774"/>
    </w:p>
    <w:p w:rsidR="00023FE7" w:rsidRPr="00451078" w:rsidRDefault="00023FE7" w:rsidP="00BA0707">
      <w:pPr>
        <w:rPr>
          <w:lang w:val="it-IT"/>
        </w:rPr>
      </w:pPr>
    </w:p>
    <w:p w:rsidR="0063466C" w:rsidRPr="00451078" w:rsidRDefault="00E7419A" w:rsidP="0063466C">
      <w:pPr>
        <w:spacing w:after="60"/>
        <w:jc w:val="both"/>
        <w:rPr>
          <w:lang w:val="it-IT"/>
        </w:rPr>
      </w:pPr>
      <w:r w:rsidRPr="00451078">
        <w:rPr>
          <w:rFonts w:cs="Tahoma"/>
          <w:b/>
          <w:szCs w:val="18"/>
          <w:lang w:val="it-IT"/>
        </w:rPr>
        <w:t>Società con Software Assurance</w:t>
      </w:r>
    </w:p>
    <w:p w:rsidR="00E7419A" w:rsidRPr="00451078" w:rsidRDefault="00E7419A" w:rsidP="00E7419A">
      <w:pPr>
        <w:jc w:val="both"/>
        <w:rPr>
          <w:lang w:val="it-IT"/>
        </w:rPr>
      </w:pPr>
      <w:r w:rsidRPr="00451078">
        <w:rPr>
          <w:rFonts w:cs="Tahoma"/>
          <w:szCs w:val="18"/>
          <w:lang w:val="it-IT"/>
        </w:rPr>
        <w:t>Le società con copertura Software Assurance attiva per i prodotti e le suite di Office System sono idonee a ricevere questo vantaggio durante il periodo di validità della copertura Software Assurance. Le società possono utilizzare l</w:t>
      </w:r>
      <w:r w:rsidR="004525CA">
        <w:rPr>
          <w:rFonts w:cs="Tahoma"/>
          <w:szCs w:val="18"/>
          <w:lang w:val="it-IT"/>
        </w:rPr>
        <w:t>’</w:t>
      </w:r>
      <w:r w:rsidRPr="00451078">
        <w:rPr>
          <w:rFonts w:cs="Tahoma"/>
          <w:szCs w:val="18"/>
          <w:lang w:val="it-IT"/>
        </w:rPr>
        <w:t>ultima versione di Office Multi Language Pack con le copie del software Office System che sono autorizzate a usare ai sensi di licenze qualificanti.</w:t>
      </w:r>
    </w:p>
    <w:p w:rsidR="0063466C" w:rsidRPr="00451078" w:rsidRDefault="0063466C" w:rsidP="00E7419A">
      <w:pPr>
        <w:jc w:val="both"/>
        <w:rPr>
          <w:lang w:val="it-IT"/>
        </w:rPr>
      </w:pPr>
    </w:p>
    <w:p w:rsidR="0063466C" w:rsidRPr="00451078" w:rsidRDefault="00E7419A" w:rsidP="0063466C">
      <w:pPr>
        <w:spacing w:after="60"/>
        <w:jc w:val="both"/>
        <w:rPr>
          <w:lang w:val="it-IT"/>
        </w:rPr>
      </w:pPr>
      <w:r w:rsidRPr="00451078">
        <w:rPr>
          <w:rFonts w:cs="Tahoma"/>
          <w:b/>
          <w:szCs w:val="18"/>
          <w:lang w:val="it-IT"/>
        </w:rPr>
        <w:t>Società con i Vantaggi dei Servizi Online idonee</w:t>
      </w:r>
    </w:p>
    <w:p w:rsidR="00E7419A" w:rsidRPr="00451078" w:rsidRDefault="00E7419A" w:rsidP="00E7419A">
      <w:pPr>
        <w:jc w:val="both"/>
        <w:rPr>
          <w:lang w:val="it-IT"/>
        </w:rPr>
      </w:pPr>
      <w:r w:rsidRPr="00451078">
        <w:rPr>
          <w:rFonts w:cs="Tahoma"/>
          <w:szCs w:val="18"/>
          <w:lang w:val="it-IT"/>
        </w:rPr>
        <w:t>Le società con Office 365 ProPlus e Office 365 Enterprise E3 ed E4 sono idonee a ricevere questo vantaggio durante il</w:t>
      </w:r>
      <w:r w:rsidR="00E44188" w:rsidRPr="00451078">
        <w:rPr>
          <w:rFonts w:cs="Tahoma"/>
          <w:szCs w:val="18"/>
          <w:lang w:val="it-IT"/>
        </w:rPr>
        <w:t> </w:t>
      </w:r>
      <w:r w:rsidRPr="00451078">
        <w:rPr>
          <w:rFonts w:cs="Tahoma"/>
          <w:szCs w:val="18"/>
          <w:lang w:val="it-IT"/>
        </w:rPr>
        <w:t>periodo di validità dell</w:t>
      </w:r>
      <w:r w:rsidR="004525CA">
        <w:rPr>
          <w:rFonts w:cs="Tahoma"/>
          <w:szCs w:val="18"/>
          <w:lang w:val="it-IT"/>
        </w:rPr>
        <w:t>’</w:t>
      </w:r>
      <w:r w:rsidRPr="00451078">
        <w:rPr>
          <w:rFonts w:cs="Tahoma"/>
          <w:szCs w:val="18"/>
          <w:lang w:val="it-IT"/>
        </w:rPr>
        <w:t xml:space="preserve">iscrizione. </w:t>
      </w:r>
    </w:p>
    <w:p w:rsidR="00023FE7" w:rsidRPr="00451078" w:rsidRDefault="00023FE7" w:rsidP="00BA0707">
      <w:pPr>
        <w:jc w:val="both"/>
        <w:rPr>
          <w:lang w:val="it-IT"/>
        </w:rPr>
      </w:pPr>
    </w:p>
    <w:p w:rsidR="00023FE7" w:rsidRPr="00451078" w:rsidRDefault="00023FE7">
      <w:pPr>
        <w:jc w:val="both"/>
        <w:rPr>
          <w:lang w:val="it-IT"/>
        </w:rPr>
      </w:pPr>
      <w:r w:rsidRPr="00451078">
        <w:rPr>
          <w:lang w:val="it-IT"/>
        </w:rPr>
        <w:t>Qualora il contratto di una società fornisca diritti perpetui di utilizzo del software ai sensi di licenze qualificanti, la</w:t>
      </w:r>
      <w:r w:rsidR="002B279A" w:rsidRPr="00451078">
        <w:rPr>
          <w:lang w:val="it-IT"/>
        </w:rPr>
        <w:t> </w:t>
      </w:r>
      <w:r w:rsidRPr="00451078">
        <w:rPr>
          <w:lang w:val="it-IT"/>
        </w:rPr>
        <w:t>società disporrà di un diritto perpetuo di utilizzo dell</w:t>
      </w:r>
      <w:r w:rsidR="004525CA">
        <w:rPr>
          <w:lang w:val="it-IT"/>
        </w:rPr>
        <w:t>’</w:t>
      </w:r>
      <w:r w:rsidRPr="00451078">
        <w:rPr>
          <w:lang w:val="it-IT"/>
        </w:rPr>
        <w:t>Office Multi Language Pack con tale software (una società può continuare a utilizzare il software Office Multi Language Pack con Office System ai sensi delle licenze qualificanti anche dopo la scadenza della copertura SA per tali licenze). Diversamente il diritto di utilizzare l</w:t>
      </w:r>
      <w:r w:rsidR="004525CA">
        <w:rPr>
          <w:lang w:val="it-IT"/>
        </w:rPr>
        <w:t>’</w:t>
      </w:r>
      <w:r w:rsidRPr="00451078">
        <w:rPr>
          <w:lang w:val="it-IT"/>
        </w:rPr>
        <w:t xml:space="preserve">Office Multi Language Pack cesserà alla scadenza dei diritti concessi dalla licenza qualificante per Office System. </w:t>
      </w:r>
    </w:p>
    <w:p w:rsidR="00BA0707" w:rsidRPr="00451078" w:rsidRDefault="00BA0707" w:rsidP="00BA0707">
      <w:pPr>
        <w:jc w:val="both"/>
        <w:rPr>
          <w:lang w:val="it-IT"/>
        </w:rPr>
      </w:pPr>
    </w:p>
    <w:p w:rsidR="00F76ED4" w:rsidRPr="00451078" w:rsidRDefault="00F76ED4">
      <w:pPr>
        <w:rPr>
          <w:lang w:val="it-IT"/>
        </w:rPr>
      </w:pPr>
      <w:bookmarkStart w:id="775" w:name="_Toc291204555"/>
      <w:r w:rsidRPr="00451078">
        <w:rPr>
          <w:b/>
          <w:sz w:val="24"/>
          <w:szCs w:val="24"/>
          <w:lang w:val="it-IT"/>
        </w:rPr>
        <w:br w:type="page"/>
      </w:r>
    </w:p>
    <w:p w:rsidR="000D4ECA" w:rsidRPr="00451078" w:rsidRDefault="000D4ECA" w:rsidP="000D4ECA">
      <w:pPr>
        <w:outlineLvl w:val="1"/>
        <w:rPr>
          <w:lang w:val="it-IT"/>
        </w:rPr>
      </w:pPr>
      <w:r w:rsidRPr="00451078">
        <w:rPr>
          <w:b/>
          <w:sz w:val="24"/>
          <w:szCs w:val="24"/>
          <w:lang w:val="it-IT"/>
        </w:rPr>
        <w:lastRenderedPageBreak/>
        <w:t>Planning Services</w:t>
      </w:r>
      <w:bookmarkEnd w:id="775"/>
    </w:p>
    <w:p w:rsidR="000D4ECA" w:rsidRPr="00451078" w:rsidRDefault="000D4ECA" w:rsidP="00C73840">
      <w:pPr>
        <w:spacing w:line="180" w:lineRule="exact"/>
        <w:rPr>
          <w:lang w:val="it-IT"/>
        </w:rPr>
      </w:pPr>
    </w:p>
    <w:p w:rsidR="000D4ECA" w:rsidRPr="003410C7" w:rsidRDefault="000D4ECA" w:rsidP="00F05799">
      <w:pPr>
        <w:spacing w:after="60"/>
      </w:pPr>
      <w:r w:rsidRPr="00451078">
        <w:rPr>
          <w:rFonts w:cs="Tahoma"/>
          <w:color w:val="000000"/>
          <w:szCs w:val="18"/>
          <w:lang w:val="it-IT"/>
        </w:rPr>
        <w:t>Le società che non siano società con Contratti Academic Select License, Select Plus for Academic, Campus e School e</w:t>
      </w:r>
      <w:r w:rsidR="002B279A" w:rsidRPr="00451078">
        <w:rPr>
          <w:rFonts w:cs="Tahoma"/>
          <w:color w:val="000000"/>
          <w:szCs w:val="18"/>
          <w:lang w:val="it-IT"/>
        </w:rPr>
        <w:t> </w:t>
      </w:r>
      <w:r w:rsidRPr="00451078">
        <w:rPr>
          <w:rFonts w:cs="Tahoma"/>
          <w:color w:val="000000"/>
          <w:szCs w:val="18"/>
          <w:lang w:val="it-IT"/>
        </w:rPr>
        <w:t>Open Value Subscription - Education Solutions, ma con Partecipazione a Software Assurance nel Pool di Applicazioni e Server sono idonee a ricevere questo vantaggio.</w:t>
      </w:r>
      <w:r w:rsidR="00082E1C" w:rsidRPr="00451078">
        <w:rPr>
          <w:rFonts w:cs="Tahoma"/>
          <w:color w:val="000000"/>
          <w:szCs w:val="18"/>
          <w:lang w:val="it-IT"/>
        </w:rPr>
        <w:t xml:space="preserve"> </w:t>
      </w:r>
      <w:r w:rsidRPr="00451078">
        <w:rPr>
          <w:rFonts w:cs="Tahoma"/>
          <w:color w:val="000000"/>
          <w:szCs w:val="18"/>
          <w:lang w:val="it-IT"/>
        </w:rPr>
        <w:t>Il vantaggio Planning Services mette a disposizione delle società idonee offerte di servizi personalizzati predeterminati.</w:t>
      </w:r>
      <w:r w:rsidR="00082E1C" w:rsidRPr="00451078">
        <w:rPr>
          <w:rFonts w:cs="Tahoma"/>
          <w:color w:val="000000"/>
          <w:szCs w:val="18"/>
          <w:lang w:val="it-IT"/>
        </w:rPr>
        <w:t xml:space="preserve"> </w:t>
      </w:r>
      <w:r w:rsidRPr="003410C7">
        <w:rPr>
          <w:rFonts w:cs="Tahoma"/>
          <w:color w:val="000000"/>
          <w:szCs w:val="18"/>
        </w:rPr>
        <w:t>Le offerte disponibili includono:</w:t>
      </w:r>
    </w:p>
    <w:p w:rsidR="000D4ECA" w:rsidRPr="003410C7" w:rsidRDefault="000D4ECA" w:rsidP="00AD5751"/>
    <w:p w:rsidR="000D4ECA" w:rsidRPr="003410C7" w:rsidRDefault="000D4ECA" w:rsidP="00DB5562">
      <w:pPr>
        <w:numPr>
          <w:ilvl w:val="0"/>
          <w:numId w:val="10"/>
        </w:numPr>
        <w:spacing w:after="60" w:line="276" w:lineRule="auto"/>
      </w:pPr>
      <w:r w:rsidRPr="003410C7">
        <w:rPr>
          <w:rFonts w:cs="Tahoma"/>
          <w:color w:val="000000"/>
          <w:szCs w:val="18"/>
        </w:rPr>
        <w:t>Desktop Deployment Planning Services (DDPS)</w:t>
      </w:r>
    </w:p>
    <w:p w:rsidR="000D4ECA" w:rsidRPr="00451078" w:rsidRDefault="000D4ECA" w:rsidP="009637E4">
      <w:pPr>
        <w:numPr>
          <w:ilvl w:val="1"/>
          <w:numId w:val="103"/>
        </w:numPr>
        <w:spacing w:after="60" w:line="276" w:lineRule="auto"/>
        <w:ind w:left="1987"/>
        <w:rPr>
          <w:lang w:val="it-IT"/>
        </w:rPr>
      </w:pPr>
      <w:r w:rsidRPr="00451078">
        <w:rPr>
          <w:rFonts w:cs="Tahoma"/>
          <w:color w:val="000000"/>
          <w:szCs w:val="18"/>
          <w:lang w:val="it-IT"/>
        </w:rPr>
        <w:t>Descrizione: DDPS offre alle società le procedure tecniche, di analisi e di pianificazione di</w:t>
      </w:r>
      <w:r w:rsidR="002B279A" w:rsidRPr="00451078">
        <w:rPr>
          <w:rFonts w:cs="Tahoma"/>
          <w:color w:val="000000"/>
          <w:szCs w:val="18"/>
          <w:lang w:val="it-IT"/>
        </w:rPr>
        <w:t> </w:t>
      </w:r>
      <w:r w:rsidRPr="00451078">
        <w:rPr>
          <w:rFonts w:cs="Tahoma"/>
          <w:color w:val="000000"/>
          <w:szCs w:val="18"/>
          <w:lang w:val="it-IT"/>
        </w:rPr>
        <w:t>base necessarie per iniziare la distribuzione dei desktop con Office 2010 e Windows 8. Questa offerta si basa sulle procedure consigliate da Microsoft per la distribuzione di</w:t>
      </w:r>
      <w:r w:rsidR="002B279A" w:rsidRPr="00451078">
        <w:rPr>
          <w:rFonts w:cs="Tahoma"/>
          <w:color w:val="000000"/>
          <w:szCs w:val="18"/>
          <w:lang w:val="it-IT"/>
        </w:rPr>
        <w:t> </w:t>
      </w:r>
      <w:r w:rsidRPr="00451078">
        <w:rPr>
          <w:rFonts w:cs="Tahoma"/>
          <w:color w:val="000000"/>
          <w:szCs w:val="18"/>
          <w:lang w:val="it-IT"/>
        </w:rPr>
        <w:t>desktop</w:t>
      </w:r>
      <w:r w:rsidR="002B279A" w:rsidRPr="00451078">
        <w:rPr>
          <w:rFonts w:cs="Tahoma"/>
          <w:color w:val="000000"/>
          <w:szCs w:val="18"/>
          <w:lang w:val="it-IT"/>
        </w:rPr>
        <w:t> </w:t>
      </w:r>
      <w:r w:rsidRPr="00451078">
        <w:rPr>
          <w:rFonts w:cs="Tahoma"/>
          <w:color w:val="000000"/>
          <w:szCs w:val="18"/>
          <w:lang w:val="it-IT"/>
        </w:rPr>
        <w:t>e consente alle società di ridurre costi e complessità tramite livelli elevati di</w:t>
      </w:r>
      <w:r w:rsidR="002B279A" w:rsidRPr="00451078">
        <w:rPr>
          <w:rFonts w:cs="Tahoma"/>
          <w:color w:val="000000"/>
          <w:szCs w:val="18"/>
          <w:lang w:val="it-IT"/>
        </w:rPr>
        <w:t> </w:t>
      </w:r>
      <w:r w:rsidRPr="00451078">
        <w:rPr>
          <w:rFonts w:cs="Tahoma"/>
          <w:color w:val="000000"/>
          <w:szCs w:val="18"/>
          <w:lang w:val="it-IT"/>
        </w:rPr>
        <w:t>processi</w:t>
      </w:r>
      <w:r w:rsidR="002B279A" w:rsidRPr="00451078">
        <w:rPr>
          <w:rFonts w:cs="Tahoma"/>
          <w:color w:val="000000"/>
          <w:szCs w:val="18"/>
          <w:lang w:val="it-IT"/>
        </w:rPr>
        <w:t> </w:t>
      </w:r>
      <w:r w:rsidRPr="00451078">
        <w:rPr>
          <w:rFonts w:cs="Tahoma"/>
          <w:color w:val="000000"/>
          <w:szCs w:val="18"/>
          <w:lang w:val="it-IT"/>
        </w:rPr>
        <w:t>e automazione. DDPS può inoltre offrire assistenza alle organizzazioni che valutano Office</w:t>
      </w:r>
      <w:r w:rsidR="002B279A" w:rsidRPr="00451078">
        <w:rPr>
          <w:rFonts w:cs="Tahoma"/>
          <w:color w:val="000000"/>
          <w:szCs w:val="18"/>
          <w:lang w:val="it-IT"/>
        </w:rPr>
        <w:t> </w:t>
      </w:r>
      <w:r w:rsidRPr="00451078">
        <w:rPr>
          <w:rFonts w:cs="Tahoma"/>
          <w:color w:val="000000"/>
          <w:szCs w:val="18"/>
          <w:lang w:val="it-IT"/>
        </w:rPr>
        <w:t>365 attraverso l</w:t>
      </w:r>
      <w:r w:rsidR="004525CA">
        <w:rPr>
          <w:rFonts w:cs="Tahoma"/>
          <w:color w:val="000000"/>
          <w:szCs w:val="18"/>
          <w:lang w:val="it-IT"/>
        </w:rPr>
        <w:t>’</w:t>
      </w:r>
      <w:r w:rsidRPr="00451078">
        <w:rPr>
          <w:rFonts w:cs="Tahoma"/>
          <w:color w:val="000000"/>
          <w:szCs w:val="18"/>
          <w:lang w:val="it-IT"/>
        </w:rPr>
        <w:t>analisi di controprestazioni e requisiti per l</w:t>
      </w:r>
      <w:r w:rsidR="004525CA">
        <w:rPr>
          <w:rFonts w:cs="Tahoma"/>
          <w:color w:val="000000"/>
          <w:szCs w:val="18"/>
          <w:lang w:val="it-IT"/>
        </w:rPr>
        <w:t>’</w:t>
      </w:r>
      <w:r w:rsidRPr="00451078">
        <w:rPr>
          <w:rFonts w:cs="Tahoma"/>
          <w:color w:val="000000"/>
          <w:szCs w:val="18"/>
          <w:lang w:val="it-IT"/>
        </w:rPr>
        <w:t>adozione di</w:t>
      </w:r>
      <w:r w:rsidR="002B279A" w:rsidRPr="00451078">
        <w:rPr>
          <w:rFonts w:cs="Tahoma"/>
          <w:color w:val="000000"/>
          <w:szCs w:val="18"/>
          <w:lang w:val="it-IT"/>
        </w:rPr>
        <w:t> </w:t>
      </w:r>
      <w:r w:rsidRPr="00451078">
        <w:rPr>
          <w:rFonts w:cs="Tahoma"/>
          <w:color w:val="000000"/>
          <w:szCs w:val="18"/>
          <w:lang w:val="it-IT"/>
        </w:rPr>
        <w:t>un</w:t>
      </w:r>
      <w:r w:rsidR="002B279A" w:rsidRPr="00451078">
        <w:rPr>
          <w:rFonts w:cs="Tahoma"/>
          <w:color w:val="000000"/>
          <w:szCs w:val="18"/>
          <w:lang w:val="it-IT"/>
        </w:rPr>
        <w:t> </w:t>
      </w:r>
      <w:r w:rsidRPr="00451078">
        <w:rPr>
          <w:rFonts w:cs="Tahoma"/>
          <w:color w:val="000000"/>
          <w:szCs w:val="18"/>
          <w:lang w:val="it-IT"/>
        </w:rPr>
        <w:t>ambiente desktop</w:t>
      </w:r>
      <w:r w:rsidR="002B279A" w:rsidRPr="00451078">
        <w:rPr>
          <w:rFonts w:cs="Tahoma"/>
          <w:color w:val="000000"/>
          <w:szCs w:val="18"/>
          <w:lang w:val="it-IT"/>
        </w:rPr>
        <w:t> </w:t>
      </w:r>
      <w:r w:rsidRPr="00451078">
        <w:rPr>
          <w:rFonts w:cs="Tahoma"/>
          <w:color w:val="000000"/>
          <w:szCs w:val="18"/>
          <w:lang w:val="it-IT"/>
        </w:rPr>
        <w:t>pronto per il cloud.</w:t>
      </w:r>
    </w:p>
    <w:p w:rsidR="000D4ECA" w:rsidRPr="003410C7" w:rsidRDefault="000D4ECA" w:rsidP="00274D50">
      <w:pPr>
        <w:numPr>
          <w:ilvl w:val="1"/>
          <w:numId w:val="103"/>
        </w:numPr>
        <w:spacing w:after="60" w:line="276" w:lineRule="auto"/>
        <w:ind w:left="1980"/>
      </w:pPr>
      <w:r w:rsidRPr="003410C7">
        <w:rPr>
          <w:rFonts w:cs="Tahoma"/>
          <w:color w:val="000000"/>
          <w:szCs w:val="18"/>
        </w:rPr>
        <w:t>Livelli di Servizio: 1, 3, 5, 10 o 15 giorni</w:t>
      </w:r>
    </w:p>
    <w:p w:rsidR="000D4ECA" w:rsidRPr="003410C7" w:rsidRDefault="000D4ECA" w:rsidP="009E5EC7">
      <w:pPr>
        <w:numPr>
          <w:ilvl w:val="0"/>
          <w:numId w:val="10"/>
        </w:numPr>
        <w:spacing w:after="60" w:line="276" w:lineRule="auto"/>
      </w:pPr>
      <w:r w:rsidRPr="003410C7">
        <w:rPr>
          <w:rFonts w:cs="Tahoma"/>
          <w:color w:val="000000"/>
          <w:szCs w:val="18"/>
        </w:rPr>
        <w:t>SharePoint Deployment Planning Services (SDPS)</w:t>
      </w:r>
    </w:p>
    <w:p w:rsidR="000D4ECA" w:rsidRPr="00451078" w:rsidRDefault="000D4ECA" w:rsidP="00274D50">
      <w:pPr>
        <w:numPr>
          <w:ilvl w:val="1"/>
          <w:numId w:val="104"/>
        </w:numPr>
        <w:spacing w:after="60" w:line="276" w:lineRule="auto"/>
        <w:ind w:left="1987"/>
        <w:rPr>
          <w:lang w:val="it-IT"/>
        </w:rPr>
      </w:pPr>
      <w:r w:rsidRPr="00451078">
        <w:rPr>
          <w:rFonts w:cs="Tahoma"/>
          <w:color w:val="000000"/>
          <w:szCs w:val="18"/>
          <w:lang w:val="it-IT"/>
        </w:rPr>
        <w:t>Descrizione: SDPS consente a partner qualificati e a consulenti Microsoft di aiutare le società a sviluppare un piano di distribuzione personalizzato di SharePoint Portal Server per il loro ambiente specifico e di valutare il costo complessivo della distribuzione della tecnologia.</w:t>
      </w:r>
      <w:r w:rsidR="00082E1C" w:rsidRPr="00451078">
        <w:rPr>
          <w:rFonts w:cs="Tahoma"/>
          <w:color w:val="000000"/>
          <w:szCs w:val="18"/>
          <w:lang w:val="it-IT"/>
        </w:rPr>
        <w:t xml:space="preserve"> </w:t>
      </w:r>
      <w:r w:rsidRPr="00451078">
        <w:rPr>
          <w:rFonts w:cs="Tahoma"/>
          <w:color w:val="000000"/>
          <w:szCs w:val="18"/>
          <w:lang w:val="it-IT"/>
        </w:rPr>
        <w:t>SDPS può inoltre aiutare le società con la pianificazione della distribuzione per agevolare il</w:t>
      </w:r>
      <w:r w:rsidR="002B279A" w:rsidRPr="00451078">
        <w:rPr>
          <w:rFonts w:cs="Tahoma"/>
          <w:color w:val="000000"/>
          <w:szCs w:val="18"/>
          <w:lang w:val="it-IT"/>
        </w:rPr>
        <w:t> </w:t>
      </w:r>
      <w:r w:rsidRPr="00451078">
        <w:rPr>
          <w:rFonts w:cs="Tahoma"/>
          <w:color w:val="000000"/>
          <w:szCs w:val="18"/>
          <w:lang w:val="it-IT"/>
        </w:rPr>
        <w:t>passaggio a Office 365, sulla base di SharePoint Online.</w:t>
      </w:r>
      <w:r w:rsidR="00082E1C" w:rsidRPr="00451078">
        <w:rPr>
          <w:rFonts w:cs="Tahoma"/>
          <w:color w:val="000000"/>
          <w:szCs w:val="18"/>
          <w:lang w:val="it-IT"/>
        </w:rPr>
        <w:t xml:space="preserve"> </w:t>
      </w:r>
    </w:p>
    <w:p w:rsidR="000D4ECA" w:rsidRPr="003410C7" w:rsidRDefault="000D4ECA" w:rsidP="00274D50">
      <w:pPr>
        <w:numPr>
          <w:ilvl w:val="1"/>
          <w:numId w:val="104"/>
        </w:numPr>
        <w:spacing w:after="60" w:line="276" w:lineRule="auto"/>
        <w:ind w:left="1987"/>
      </w:pPr>
      <w:r w:rsidRPr="003410C7">
        <w:rPr>
          <w:rFonts w:cs="Tahoma"/>
          <w:color w:val="000000"/>
          <w:szCs w:val="18"/>
        </w:rPr>
        <w:t>Livelli di Servizio: 1, 3, 5, 10 o 15 giorni</w:t>
      </w:r>
    </w:p>
    <w:p w:rsidR="000D4ECA" w:rsidRPr="003410C7" w:rsidRDefault="000D4ECA" w:rsidP="00274D50">
      <w:pPr>
        <w:numPr>
          <w:ilvl w:val="0"/>
          <w:numId w:val="10"/>
        </w:numPr>
        <w:spacing w:after="60" w:line="276" w:lineRule="auto"/>
      </w:pPr>
      <w:r w:rsidRPr="003410C7">
        <w:rPr>
          <w:rFonts w:cs="Tahoma"/>
          <w:color w:val="000000"/>
          <w:szCs w:val="18"/>
        </w:rPr>
        <w:t>Lync and Exchange Deployment Planning Services (L&amp;EDPS)</w:t>
      </w:r>
    </w:p>
    <w:p w:rsidR="000D4ECA" w:rsidRPr="00451078" w:rsidRDefault="000D4ECA" w:rsidP="00274D50">
      <w:pPr>
        <w:numPr>
          <w:ilvl w:val="1"/>
          <w:numId w:val="105"/>
        </w:numPr>
        <w:spacing w:after="60" w:line="276" w:lineRule="auto"/>
        <w:ind w:left="1987"/>
        <w:rPr>
          <w:lang w:val="it-IT"/>
        </w:rPr>
      </w:pPr>
      <w:r w:rsidRPr="00451078">
        <w:rPr>
          <w:rFonts w:cs="Tahoma"/>
          <w:color w:val="000000"/>
          <w:szCs w:val="18"/>
          <w:lang w:val="it-IT"/>
        </w:rPr>
        <w:t>Descrizione: L&amp;EDPS consente a partner qualificati e a consulenti Microsoft di assistere le</w:t>
      </w:r>
      <w:r w:rsidR="00C73840" w:rsidRPr="00451078">
        <w:rPr>
          <w:rFonts w:cs="Tahoma"/>
          <w:color w:val="000000"/>
          <w:szCs w:val="18"/>
          <w:lang w:val="it-IT"/>
        </w:rPr>
        <w:t> </w:t>
      </w:r>
      <w:r w:rsidRPr="00451078">
        <w:rPr>
          <w:rFonts w:cs="Tahoma"/>
          <w:color w:val="000000"/>
          <w:szCs w:val="18"/>
          <w:lang w:val="it-IT"/>
        </w:rPr>
        <w:t>società nelle fasi di pianificazione della distribuzione e del valore delle implementazioni di</w:t>
      </w:r>
      <w:r w:rsidR="00C73840" w:rsidRPr="00451078">
        <w:rPr>
          <w:rFonts w:cs="Tahoma"/>
          <w:color w:val="000000"/>
          <w:szCs w:val="18"/>
          <w:lang w:val="it-IT"/>
        </w:rPr>
        <w:t> </w:t>
      </w:r>
      <w:r w:rsidRPr="00451078">
        <w:rPr>
          <w:rFonts w:cs="Tahoma"/>
          <w:color w:val="000000"/>
          <w:szCs w:val="18"/>
          <w:lang w:val="it-IT"/>
        </w:rPr>
        <w:t>Lync ed Exchange 2010, inclusa l</w:t>
      </w:r>
      <w:r w:rsidR="004525CA">
        <w:rPr>
          <w:rFonts w:cs="Tahoma"/>
          <w:color w:val="000000"/>
          <w:szCs w:val="18"/>
          <w:lang w:val="it-IT"/>
        </w:rPr>
        <w:t>’</w:t>
      </w:r>
      <w:r w:rsidRPr="00451078">
        <w:rPr>
          <w:rFonts w:cs="Tahoma"/>
          <w:color w:val="000000"/>
          <w:szCs w:val="18"/>
          <w:lang w:val="it-IT"/>
        </w:rPr>
        <w:t>analisi dell</w:t>
      </w:r>
      <w:r w:rsidR="004525CA">
        <w:rPr>
          <w:rFonts w:cs="Tahoma"/>
          <w:color w:val="000000"/>
          <w:szCs w:val="18"/>
          <w:lang w:val="it-IT"/>
        </w:rPr>
        <w:t>’</w:t>
      </w:r>
      <w:r w:rsidRPr="00451078">
        <w:rPr>
          <w:rFonts w:cs="Tahoma"/>
          <w:color w:val="000000"/>
          <w:szCs w:val="18"/>
          <w:lang w:val="it-IT"/>
        </w:rPr>
        <w:t>ambiente dell</w:t>
      </w:r>
      <w:r w:rsidR="004525CA">
        <w:rPr>
          <w:rFonts w:cs="Tahoma"/>
          <w:color w:val="000000"/>
          <w:szCs w:val="18"/>
          <w:lang w:val="it-IT"/>
        </w:rPr>
        <w:t>’</w:t>
      </w:r>
      <w:r w:rsidRPr="00451078">
        <w:rPr>
          <w:rFonts w:cs="Tahoma"/>
          <w:color w:val="000000"/>
          <w:szCs w:val="18"/>
          <w:lang w:val="it-IT"/>
        </w:rPr>
        <w:t>organizzazione della società e</w:t>
      </w:r>
      <w:r w:rsidR="00C73840" w:rsidRPr="00451078">
        <w:rPr>
          <w:rFonts w:cs="Tahoma"/>
          <w:color w:val="000000"/>
          <w:szCs w:val="18"/>
          <w:lang w:val="it-IT"/>
        </w:rPr>
        <w:t> </w:t>
      </w:r>
      <w:r w:rsidRPr="00451078">
        <w:rPr>
          <w:rFonts w:cs="Tahoma"/>
          <w:color w:val="000000"/>
          <w:szCs w:val="18"/>
          <w:lang w:val="it-IT"/>
        </w:rPr>
        <w:t>la condivisione delle procedure consigliate, sia per soluzioni On-Premise che cloud.</w:t>
      </w:r>
      <w:r w:rsidR="00082E1C" w:rsidRPr="00451078">
        <w:rPr>
          <w:rFonts w:cs="Tahoma"/>
          <w:color w:val="000000"/>
          <w:szCs w:val="18"/>
          <w:lang w:val="it-IT"/>
        </w:rPr>
        <w:t xml:space="preserve"> </w:t>
      </w:r>
      <w:r w:rsidRPr="00451078">
        <w:rPr>
          <w:rFonts w:cs="Tahoma"/>
          <w:color w:val="000000"/>
          <w:szCs w:val="18"/>
          <w:lang w:val="it-IT"/>
        </w:rPr>
        <w:t>L&amp;EDPS può inoltre aiutare le società con la pianificazione della distribuzione per agevolare il</w:t>
      </w:r>
      <w:r w:rsidR="00C73840" w:rsidRPr="00451078">
        <w:rPr>
          <w:rFonts w:cs="Tahoma"/>
          <w:color w:val="000000"/>
          <w:szCs w:val="18"/>
          <w:lang w:val="it-IT"/>
        </w:rPr>
        <w:t> </w:t>
      </w:r>
      <w:r w:rsidRPr="00451078">
        <w:rPr>
          <w:rFonts w:cs="Tahoma"/>
          <w:color w:val="000000"/>
          <w:szCs w:val="18"/>
          <w:lang w:val="it-IT"/>
        </w:rPr>
        <w:t>passaggio a Office 365, sulla base di Lync ed Exchange Online.</w:t>
      </w:r>
    </w:p>
    <w:p w:rsidR="000D4ECA" w:rsidRPr="009637E4" w:rsidRDefault="000D4ECA" w:rsidP="00274D50">
      <w:pPr>
        <w:numPr>
          <w:ilvl w:val="1"/>
          <w:numId w:val="105"/>
        </w:numPr>
        <w:spacing w:after="60" w:line="276" w:lineRule="auto"/>
        <w:ind w:left="1987"/>
        <w:rPr>
          <w:lang w:val="it-IT"/>
        </w:rPr>
      </w:pPr>
      <w:r w:rsidRPr="009637E4">
        <w:rPr>
          <w:rFonts w:cs="Tahoma"/>
          <w:color w:val="000000"/>
          <w:szCs w:val="18"/>
          <w:lang w:val="it-IT"/>
        </w:rPr>
        <w:t>Livelli di Servizio: 1, 3, 5, 10 o 15 giorni</w:t>
      </w:r>
    </w:p>
    <w:p w:rsidR="000D4ECA" w:rsidRPr="003410C7" w:rsidRDefault="000D4ECA" w:rsidP="00024C3C">
      <w:pPr>
        <w:numPr>
          <w:ilvl w:val="0"/>
          <w:numId w:val="10"/>
        </w:numPr>
        <w:spacing w:after="60" w:line="276" w:lineRule="auto"/>
      </w:pPr>
      <w:r w:rsidRPr="003410C7">
        <w:rPr>
          <w:rFonts w:cs="Tahoma"/>
          <w:color w:val="000000"/>
          <w:szCs w:val="18"/>
        </w:rPr>
        <w:t>Private Cloud, Management and Virtualization Deployment Planning Services (PVDPS)</w:t>
      </w:r>
    </w:p>
    <w:p w:rsidR="000D4ECA" w:rsidRPr="00451078" w:rsidRDefault="000D4ECA" w:rsidP="00745AB3">
      <w:pPr>
        <w:numPr>
          <w:ilvl w:val="1"/>
          <w:numId w:val="106"/>
        </w:numPr>
        <w:spacing w:after="60" w:line="276" w:lineRule="auto"/>
        <w:ind w:left="1980"/>
        <w:rPr>
          <w:lang w:val="it-IT"/>
        </w:rPr>
      </w:pPr>
      <w:r w:rsidRPr="00451078">
        <w:rPr>
          <w:rFonts w:cs="Tahoma"/>
          <w:color w:val="000000"/>
          <w:szCs w:val="18"/>
          <w:lang w:val="it-IT"/>
        </w:rPr>
        <w:t xml:space="preserve">Descrizione: </w:t>
      </w:r>
      <w:r w:rsidRPr="00451078">
        <w:rPr>
          <w:rFonts w:cs="Tahoma"/>
          <w:szCs w:val="18"/>
          <w:lang w:val="it-IT"/>
        </w:rPr>
        <w:t>PVDPS offre engagement di consulenza strutturati che aiutano le società a</w:t>
      </w:r>
      <w:r w:rsidR="00C73840" w:rsidRPr="00451078">
        <w:rPr>
          <w:rFonts w:cs="Tahoma"/>
          <w:szCs w:val="18"/>
          <w:lang w:val="it-IT"/>
        </w:rPr>
        <w:t> </w:t>
      </w:r>
      <w:r w:rsidRPr="00451078">
        <w:rPr>
          <w:rFonts w:cs="Tahoma"/>
          <w:szCs w:val="18"/>
          <w:lang w:val="it-IT"/>
        </w:rPr>
        <w:t>trarre vantaggio dalle soluzioni infrastrutturali basate su Windows Server, Systems Center e Hyper-V. Questo servizio consentirà di ridurre i costi dei datacenter, aumentare la</w:t>
      </w:r>
      <w:r w:rsidR="00C73840" w:rsidRPr="00451078">
        <w:rPr>
          <w:rFonts w:cs="Tahoma"/>
          <w:szCs w:val="18"/>
          <w:lang w:val="it-IT"/>
        </w:rPr>
        <w:t> </w:t>
      </w:r>
      <w:r w:rsidRPr="00451078">
        <w:rPr>
          <w:rFonts w:cs="Tahoma"/>
          <w:szCs w:val="18"/>
          <w:lang w:val="it-IT"/>
        </w:rPr>
        <w:t>flessibilità aziendale e fornire un maggiore controllo dell</w:t>
      </w:r>
      <w:r w:rsidR="004525CA">
        <w:rPr>
          <w:rFonts w:cs="Tahoma"/>
          <w:szCs w:val="18"/>
          <w:lang w:val="it-IT"/>
        </w:rPr>
        <w:t>’</w:t>
      </w:r>
      <w:r w:rsidRPr="00451078">
        <w:rPr>
          <w:rFonts w:cs="Tahoma"/>
          <w:szCs w:val="18"/>
          <w:lang w:val="it-IT"/>
        </w:rPr>
        <w:t>infrastruttura fisica, virtuale</w:t>
      </w:r>
      <w:r w:rsidR="00C73840" w:rsidRPr="00451078">
        <w:rPr>
          <w:rFonts w:cs="Tahoma"/>
          <w:szCs w:val="18"/>
          <w:lang w:val="it-IT"/>
        </w:rPr>
        <w:t> </w:t>
      </w:r>
      <w:r w:rsidRPr="00451078">
        <w:rPr>
          <w:rFonts w:cs="Tahoma"/>
          <w:szCs w:val="18"/>
          <w:lang w:val="it-IT"/>
        </w:rPr>
        <w:t>e</w:t>
      </w:r>
      <w:r w:rsidR="00C73840" w:rsidRPr="00451078">
        <w:rPr>
          <w:rFonts w:cs="Tahoma"/>
          <w:szCs w:val="18"/>
          <w:lang w:val="it-IT"/>
        </w:rPr>
        <w:t> </w:t>
      </w:r>
      <w:r w:rsidRPr="00451078">
        <w:rPr>
          <w:rFonts w:cs="Tahoma"/>
          <w:szCs w:val="18"/>
          <w:lang w:val="it-IT"/>
        </w:rPr>
        <w:t>ibrida</w:t>
      </w:r>
      <w:r w:rsidR="00C73840" w:rsidRPr="00451078">
        <w:rPr>
          <w:rFonts w:cs="Tahoma"/>
          <w:szCs w:val="18"/>
          <w:lang w:val="it-IT"/>
        </w:rPr>
        <w:t> </w:t>
      </w:r>
      <w:r w:rsidRPr="00451078">
        <w:rPr>
          <w:rFonts w:cs="Tahoma"/>
          <w:szCs w:val="18"/>
          <w:lang w:val="it-IT"/>
        </w:rPr>
        <w:t>della società</w:t>
      </w:r>
      <w:r w:rsidRPr="00451078">
        <w:rPr>
          <w:rFonts w:cs="Tahoma"/>
          <w:color w:val="000000"/>
          <w:szCs w:val="18"/>
          <w:lang w:val="it-IT"/>
        </w:rPr>
        <w:t xml:space="preserve">. </w:t>
      </w:r>
    </w:p>
    <w:p w:rsidR="000D4ECA" w:rsidRPr="003410C7" w:rsidRDefault="000D4ECA" w:rsidP="00745AB3">
      <w:pPr>
        <w:numPr>
          <w:ilvl w:val="1"/>
          <w:numId w:val="106"/>
        </w:numPr>
        <w:spacing w:after="60" w:line="276" w:lineRule="auto"/>
        <w:ind w:left="1980"/>
      </w:pPr>
      <w:r w:rsidRPr="003410C7">
        <w:rPr>
          <w:rFonts w:cs="Tahoma"/>
          <w:color w:val="000000"/>
          <w:szCs w:val="18"/>
        </w:rPr>
        <w:t>Livelli di Servizio: 3, 5, 10 o 15 giorni</w:t>
      </w:r>
    </w:p>
    <w:p w:rsidR="000D4ECA" w:rsidRPr="003410C7" w:rsidRDefault="000D4ECA" w:rsidP="00024C3C">
      <w:pPr>
        <w:numPr>
          <w:ilvl w:val="0"/>
          <w:numId w:val="10"/>
        </w:numPr>
        <w:spacing w:after="60" w:line="276" w:lineRule="auto"/>
      </w:pPr>
      <w:r w:rsidRPr="003410C7">
        <w:rPr>
          <w:rFonts w:cs="Tahoma"/>
          <w:color w:val="000000"/>
          <w:szCs w:val="18"/>
        </w:rPr>
        <w:t>SQL Server Deployment Planning Services (SSDPS)</w:t>
      </w:r>
    </w:p>
    <w:p w:rsidR="000D4ECA" w:rsidRPr="00451078" w:rsidRDefault="000D4ECA" w:rsidP="00745AB3">
      <w:pPr>
        <w:numPr>
          <w:ilvl w:val="1"/>
          <w:numId w:val="107"/>
        </w:numPr>
        <w:spacing w:after="60" w:line="276" w:lineRule="auto"/>
        <w:ind w:left="1980"/>
        <w:rPr>
          <w:lang w:val="it-IT"/>
        </w:rPr>
      </w:pPr>
      <w:r w:rsidRPr="00451078">
        <w:rPr>
          <w:rFonts w:cs="Tahoma"/>
          <w:color w:val="000000"/>
          <w:szCs w:val="18"/>
          <w:lang w:val="it-IT"/>
        </w:rPr>
        <w:t xml:space="preserve">Descrizione: </w:t>
      </w:r>
      <w:r w:rsidRPr="00451078">
        <w:rPr>
          <w:rFonts w:cs="Tahoma"/>
          <w:szCs w:val="18"/>
          <w:lang w:val="it-IT"/>
        </w:rPr>
        <w:t>SSDPS offre la valutazione approfondita e la pianificazione della distribuzione per la migrazione a SQL Server, l</w:t>
      </w:r>
      <w:r w:rsidR="004525CA">
        <w:rPr>
          <w:rFonts w:cs="Tahoma"/>
          <w:szCs w:val="18"/>
          <w:lang w:val="it-IT"/>
        </w:rPr>
        <w:t>’</w:t>
      </w:r>
      <w:r w:rsidRPr="00451078">
        <w:rPr>
          <w:rFonts w:cs="Tahoma"/>
          <w:szCs w:val="18"/>
          <w:lang w:val="it-IT"/>
        </w:rPr>
        <w:t>aggiornamento alla nuova versione della soluzione SQL</w:t>
      </w:r>
      <w:r w:rsidR="00C73840" w:rsidRPr="00451078">
        <w:rPr>
          <w:rFonts w:cs="Tahoma"/>
          <w:szCs w:val="18"/>
          <w:lang w:val="it-IT"/>
        </w:rPr>
        <w:t> </w:t>
      </w:r>
      <w:r w:rsidRPr="00451078">
        <w:rPr>
          <w:rFonts w:cs="Tahoma"/>
          <w:szCs w:val="18"/>
          <w:lang w:val="it-IT"/>
        </w:rPr>
        <w:t>Server e la soluzione SQL Server Business Intelligence.</w:t>
      </w:r>
    </w:p>
    <w:p w:rsidR="000D4ECA" w:rsidRPr="003410C7" w:rsidRDefault="000D4ECA" w:rsidP="00745AB3">
      <w:pPr>
        <w:numPr>
          <w:ilvl w:val="1"/>
          <w:numId w:val="107"/>
        </w:numPr>
        <w:spacing w:after="60" w:line="276" w:lineRule="auto"/>
        <w:ind w:left="1980"/>
      </w:pPr>
      <w:r w:rsidRPr="003410C7">
        <w:rPr>
          <w:rFonts w:cs="Tahoma"/>
          <w:color w:val="000000"/>
          <w:szCs w:val="18"/>
        </w:rPr>
        <w:t>Livelli di Servizio: 3, 5, 10 o 15 giorni</w:t>
      </w:r>
    </w:p>
    <w:p w:rsidR="000D4ECA" w:rsidRPr="003410C7" w:rsidRDefault="000D4ECA" w:rsidP="00024C3C">
      <w:pPr>
        <w:numPr>
          <w:ilvl w:val="0"/>
          <w:numId w:val="10"/>
        </w:numPr>
        <w:spacing w:after="60" w:line="276" w:lineRule="auto"/>
      </w:pPr>
      <w:r w:rsidRPr="003410C7">
        <w:rPr>
          <w:rFonts w:cs="Tahoma"/>
          <w:color w:val="000000"/>
          <w:szCs w:val="18"/>
        </w:rPr>
        <w:t>Developer Tools Deployment Planning Services (DTDPS)</w:t>
      </w:r>
    </w:p>
    <w:p w:rsidR="000D4ECA" w:rsidRPr="00451078" w:rsidRDefault="000D4ECA" w:rsidP="00745AB3">
      <w:pPr>
        <w:numPr>
          <w:ilvl w:val="1"/>
          <w:numId w:val="108"/>
        </w:numPr>
        <w:spacing w:after="60" w:line="276" w:lineRule="auto"/>
        <w:ind w:left="1980"/>
        <w:rPr>
          <w:lang w:val="it-IT"/>
        </w:rPr>
      </w:pPr>
      <w:r w:rsidRPr="00451078">
        <w:rPr>
          <w:rFonts w:cs="Tahoma"/>
          <w:color w:val="000000"/>
          <w:szCs w:val="18"/>
          <w:lang w:val="it-IT"/>
        </w:rPr>
        <w:t xml:space="preserve">Descrizione: </w:t>
      </w:r>
      <w:r w:rsidRPr="00451078">
        <w:rPr>
          <w:rFonts w:cs="Tahoma"/>
          <w:szCs w:val="18"/>
          <w:lang w:val="it-IT"/>
        </w:rPr>
        <w:t>DTDPS offre analisi rigorose e un approccio incentrato sui processi per lo sviluppo di un piano di distribuzione di Visual Studio Team Foundation Server o Visual Studio Test Tools. Utilizzando procedure consigliate da Microsoft, un partner certificato realizzerà un piano di distribuzione univoco, personalizzato in base alle esigenze della società</w:t>
      </w:r>
      <w:r w:rsidRPr="00451078">
        <w:rPr>
          <w:rFonts w:cs="Tahoma"/>
          <w:color w:val="000000"/>
          <w:szCs w:val="18"/>
          <w:lang w:val="it-IT"/>
        </w:rPr>
        <w:t xml:space="preserve">. </w:t>
      </w:r>
    </w:p>
    <w:p w:rsidR="000D4ECA" w:rsidRPr="003410C7" w:rsidRDefault="000D4ECA" w:rsidP="00745AB3">
      <w:pPr>
        <w:numPr>
          <w:ilvl w:val="1"/>
          <w:numId w:val="108"/>
        </w:numPr>
        <w:spacing w:after="60" w:line="276" w:lineRule="auto"/>
        <w:ind w:left="1980"/>
      </w:pPr>
      <w:r w:rsidRPr="003410C7">
        <w:rPr>
          <w:rFonts w:cs="Tahoma"/>
          <w:color w:val="000000"/>
          <w:szCs w:val="18"/>
        </w:rPr>
        <w:t>Livelli di Servizio: 3 o 5 giorni</w:t>
      </w:r>
    </w:p>
    <w:p w:rsidR="000D4ECA" w:rsidRPr="003410C7" w:rsidRDefault="000D4ECA" w:rsidP="00024C3C">
      <w:pPr>
        <w:numPr>
          <w:ilvl w:val="0"/>
          <w:numId w:val="10"/>
        </w:numPr>
        <w:spacing w:after="60" w:line="276" w:lineRule="auto"/>
      </w:pPr>
      <w:r w:rsidRPr="003410C7">
        <w:rPr>
          <w:rFonts w:cs="Tahoma"/>
          <w:color w:val="000000"/>
          <w:szCs w:val="18"/>
        </w:rPr>
        <w:lastRenderedPageBreak/>
        <w:t>Cloud Pubblico, Azure Deployment Planning Services (AZDPS)</w:t>
      </w:r>
    </w:p>
    <w:p w:rsidR="000D4ECA" w:rsidRPr="00451078" w:rsidRDefault="000D4ECA" w:rsidP="003F5F15">
      <w:pPr>
        <w:numPr>
          <w:ilvl w:val="1"/>
          <w:numId w:val="109"/>
        </w:numPr>
        <w:spacing w:after="60" w:line="276" w:lineRule="auto"/>
        <w:ind w:left="1987"/>
        <w:rPr>
          <w:lang w:val="it-IT"/>
        </w:rPr>
      </w:pPr>
      <w:r w:rsidRPr="00451078">
        <w:rPr>
          <w:rFonts w:cs="Tahoma"/>
          <w:color w:val="000000"/>
          <w:szCs w:val="18"/>
          <w:lang w:val="it-IT"/>
        </w:rPr>
        <w:t xml:space="preserve">Descrizione: </w:t>
      </w:r>
      <w:r w:rsidRPr="00451078">
        <w:rPr>
          <w:rFonts w:cs="Tahoma"/>
          <w:szCs w:val="18"/>
          <w:lang w:val="it-IT"/>
        </w:rPr>
        <w:t xml:space="preserve">Il Cloud </w:t>
      </w:r>
      <w:r w:rsidRPr="00451078">
        <w:rPr>
          <w:rFonts w:cs="Tahoma"/>
          <w:color w:val="1D1B11"/>
          <w:szCs w:val="18"/>
          <w:lang w:val="it-IT"/>
        </w:rPr>
        <w:t>Pubblico</w:t>
      </w:r>
      <w:r w:rsidRPr="00451078">
        <w:rPr>
          <w:rFonts w:cs="Tahoma"/>
          <w:szCs w:val="18"/>
          <w:lang w:val="it-IT"/>
        </w:rPr>
        <w:t xml:space="preserve"> AZDPS offre la formazione e il servizio di migrazione della Piattaforma Windows Azure. Questo servizio consente di usufruire di esercitazioni relative alla Piattaforma Windows Azure con formazione pratica, di ottenere assistenza in merito all</w:t>
      </w:r>
      <w:r w:rsidR="004525CA">
        <w:rPr>
          <w:rFonts w:cs="Tahoma"/>
          <w:szCs w:val="18"/>
          <w:lang w:val="it-IT"/>
        </w:rPr>
        <w:t>’</w:t>
      </w:r>
      <w:r w:rsidRPr="00451078">
        <w:rPr>
          <w:rFonts w:cs="Tahoma"/>
          <w:szCs w:val="18"/>
          <w:lang w:val="it-IT"/>
        </w:rPr>
        <w:t>esecuzione della migrazione di applicazioni e dati e alla progettazione di applicazioni per</w:t>
      </w:r>
      <w:r w:rsidR="00C73840" w:rsidRPr="00451078">
        <w:rPr>
          <w:rFonts w:cs="Tahoma"/>
          <w:szCs w:val="18"/>
          <w:lang w:val="it-IT"/>
        </w:rPr>
        <w:t> </w:t>
      </w:r>
      <w:r w:rsidRPr="00451078">
        <w:rPr>
          <w:rFonts w:cs="Tahoma"/>
          <w:szCs w:val="18"/>
          <w:lang w:val="it-IT"/>
        </w:rPr>
        <w:t>il</w:t>
      </w:r>
      <w:r w:rsidR="00C73840" w:rsidRPr="00451078">
        <w:rPr>
          <w:rFonts w:cs="Tahoma"/>
          <w:szCs w:val="18"/>
          <w:lang w:val="it-IT"/>
        </w:rPr>
        <w:t> </w:t>
      </w:r>
      <w:r w:rsidRPr="00451078">
        <w:rPr>
          <w:rFonts w:cs="Tahoma"/>
          <w:szCs w:val="18"/>
          <w:lang w:val="it-IT"/>
        </w:rPr>
        <w:t>cloud; inoltre fornisce alle società il supporto necessario per la migrazione e la scrittura delle loro prime applicazioni sulla piattaforma Windows Azure.</w:t>
      </w:r>
    </w:p>
    <w:p w:rsidR="000D4ECA" w:rsidRPr="003410C7" w:rsidRDefault="000D4ECA" w:rsidP="00745AB3">
      <w:pPr>
        <w:numPr>
          <w:ilvl w:val="1"/>
          <w:numId w:val="109"/>
        </w:numPr>
        <w:spacing w:line="276" w:lineRule="auto"/>
        <w:ind w:left="1987"/>
      </w:pPr>
      <w:r w:rsidRPr="003410C7">
        <w:rPr>
          <w:rFonts w:cs="Tahoma"/>
          <w:color w:val="000000"/>
          <w:szCs w:val="18"/>
        </w:rPr>
        <w:t>Livelli di Servizio: 3, 5 o 10 giorni</w:t>
      </w:r>
    </w:p>
    <w:p w:rsidR="000D4ECA" w:rsidRPr="003410C7" w:rsidRDefault="000D4ECA" w:rsidP="0063466C">
      <w:pPr>
        <w:tabs>
          <w:tab w:val="left" w:pos="8040"/>
        </w:tabs>
      </w:pPr>
    </w:p>
    <w:p w:rsidR="000D4ECA" w:rsidRPr="00451078" w:rsidRDefault="000D4ECA" w:rsidP="000D4ECA">
      <w:pPr>
        <w:spacing w:after="60"/>
        <w:rPr>
          <w:lang w:val="it-IT"/>
        </w:rPr>
      </w:pPr>
      <w:r w:rsidRPr="00451078">
        <w:rPr>
          <w:rFonts w:cs="Tahoma"/>
          <w:color w:val="000000"/>
          <w:szCs w:val="18"/>
          <w:lang w:val="it-IT"/>
        </w:rPr>
        <w:t>L</w:t>
      </w:r>
      <w:r w:rsidR="004525CA">
        <w:rPr>
          <w:rFonts w:cs="Tahoma"/>
          <w:color w:val="000000"/>
          <w:szCs w:val="18"/>
          <w:lang w:val="it-IT"/>
        </w:rPr>
        <w:t>’</w:t>
      </w:r>
      <w:r w:rsidRPr="00451078">
        <w:rPr>
          <w:rFonts w:cs="Tahoma"/>
          <w:color w:val="000000"/>
          <w:szCs w:val="18"/>
          <w:lang w:val="it-IT"/>
        </w:rPr>
        <w:t>elenco di servizi disponibili e di livelli di servizi associati potrà cambiare in qualsiasi momento.</w:t>
      </w:r>
      <w:r w:rsidR="00082E1C" w:rsidRPr="00451078">
        <w:rPr>
          <w:rFonts w:cs="Tahoma"/>
          <w:color w:val="000000"/>
          <w:szCs w:val="18"/>
          <w:lang w:val="it-IT"/>
        </w:rPr>
        <w:t xml:space="preserve"> </w:t>
      </w:r>
      <w:r w:rsidRPr="00451078">
        <w:rPr>
          <w:rFonts w:cs="Tahoma"/>
          <w:color w:val="000000"/>
          <w:szCs w:val="18"/>
          <w:lang w:val="it-IT"/>
        </w:rPr>
        <w:t>I Provider Qualificati</w:t>
      </w:r>
      <w:r w:rsidR="00C73840" w:rsidRPr="00451078">
        <w:rPr>
          <w:rFonts w:cs="Tahoma"/>
          <w:color w:val="000000"/>
          <w:szCs w:val="18"/>
          <w:lang w:val="it-IT"/>
        </w:rPr>
        <w:t> </w:t>
      </w:r>
      <w:r w:rsidRPr="00451078">
        <w:rPr>
          <w:rFonts w:cs="Tahoma"/>
          <w:color w:val="000000"/>
          <w:szCs w:val="18"/>
          <w:lang w:val="it-IT"/>
        </w:rPr>
        <w:t>forniranno alle società su loro richiesta uno schema dell</w:t>
      </w:r>
      <w:r w:rsidR="004525CA">
        <w:rPr>
          <w:rFonts w:cs="Tahoma"/>
          <w:color w:val="000000"/>
          <w:szCs w:val="18"/>
          <w:lang w:val="it-IT"/>
        </w:rPr>
        <w:t>’</w:t>
      </w:r>
      <w:r w:rsidRPr="00451078">
        <w:rPr>
          <w:rFonts w:cs="Tahoma"/>
          <w:color w:val="000000"/>
          <w:szCs w:val="18"/>
          <w:lang w:val="it-IT"/>
        </w:rPr>
        <w:t>Ambito di Lavoro disponibile per ciascuna delle</w:t>
      </w:r>
      <w:r w:rsidR="00C73840" w:rsidRPr="00451078">
        <w:rPr>
          <w:rFonts w:cs="Tahoma"/>
          <w:color w:val="000000"/>
          <w:szCs w:val="18"/>
          <w:lang w:val="it-IT"/>
        </w:rPr>
        <w:t> </w:t>
      </w:r>
      <w:r w:rsidRPr="00451078">
        <w:rPr>
          <w:rFonts w:cs="Tahoma"/>
          <w:color w:val="000000"/>
          <w:szCs w:val="18"/>
          <w:lang w:val="it-IT"/>
        </w:rPr>
        <w:t>offerte di servizi di cui sopra.</w:t>
      </w:r>
    </w:p>
    <w:p w:rsidR="000D4ECA" w:rsidRPr="00451078" w:rsidRDefault="000D4ECA" w:rsidP="0063466C">
      <w:pPr>
        <w:rPr>
          <w:lang w:val="it-IT"/>
        </w:rPr>
      </w:pPr>
    </w:p>
    <w:p w:rsidR="000D4ECA" w:rsidRPr="00451078" w:rsidRDefault="000D4ECA" w:rsidP="000D4ECA">
      <w:pPr>
        <w:spacing w:after="60"/>
        <w:rPr>
          <w:lang w:val="it-IT"/>
        </w:rPr>
      </w:pPr>
      <w:r w:rsidRPr="00451078">
        <w:rPr>
          <w:rFonts w:cs="Tahoma"/>
          <w:color w:val="000000"/>
          <w:szCs w:val="18"/>
          <w:lang w:val="it-IT"/>
        </w:rPr>
        <w:t>Le società qualificate ricevono un numero di giorni Planning Services basato sul numero di licenze qualificanti per le</w:t>
      </w:r>
      <w:r w:rsidR="00C73840" w:rsidRPr="00451078">
        <w:rPr>
          <w:rFonts w:cs="Tahoma"/>
          <w:color w:val="000000"/>
          <w:szCs w:val="18"/>
          <w:lang w:val="it-IT"/>
        </w:rPr>
        <w:t> </w:t>
      </w:r>
      <w:r w:rsidRPr="00451078">
        <w:rPr>
          <w:rFonts w:cs="Tahoma"/>
          <w:color w:val="000000"/>
          <w:szCs w:val="18"/>
          <w:lang w:val="it-IT"/>
        </w:rPr>
        <w:t>Applicazioni Office, sulle licenze qualificanti Server e sul numero di Core CAL Suite, CAL per SQL ed Enterprise CAL</w:t>
      </w:r>
      <w:r w:rsidR="00C73840" w:rsidRPr="00451078">
        <w:rPr>
          <w:rFonts w:cs="Tahoma"/>
          <w:color w:val="000000"/>
          <w:szCs w:val="18"/>
          <w:lang w:val="it-IT"/>
        </w:rPr>
        <w:t> </w:t>
      </w:r>
      <w:r w:rsidRPr="00451078">
        <w:rPr>
          <w:rFonts w:cs="Tahoma"/>
          <w:color w:val="000000"/>
          <w:szCs w:val="18"/>
          <w:lang w:val="it-IT"/>
        </w:rPr>
        <w:t>Suite per le quali è stata acquistata la copertura Software Assurance (vedere la tabella che segue per i dettagli).</w:t>
      </w:r>
      <w:r w:rsidR="00082E1C" w:rsidRPr="00451078">
        <w:rPr>
          <w:rFonts w:cs="Tahoma"/>
          <w:color w:val="000000"/>
          <w:szCs w:val="18"/>
          <w:lang w:val="it-IT"/>
        </w:rPr>
        <w:t xml:space="preserve"> </w:t>
      </w:r>
      <w:r w:rsidRPr="00451078">
        <w:rPr>
          <w:rFonts w:cs="Tahoma"/>
          <w:bCs/>
          <w:color w:val="000000"/>
          <w:szCs w:val="18"/>
          <w:lang w:val="it-IT"/>
        </w:rPr>
        <w:t>Il numero di giorni che una società riceve viene inserito in un pool di Giorni Planning Services al quale la società attinge per creare voucher per le offerte di servizi citate in precedenza.</w:t>
      </w:r>
      <w:r w:rsidR="00082E1C" w:rsidRPr="00451078">
        <w:rPr>
          <w:rFonts w:cs="Tahoma"/>
          <w:bCs/>
          <w:color w:val="000000"/>
          <w:szCs w:val="18"/>
          <w:lang w:val="it-IT"/>
        </w:rPr>
        <w:t xml:space="preserve"> </w:t>
      </w:r>
      <w:r w:rsidRPr="00451078">
        <w:rPr>
          <w:rFonts w:cs="Tahoma"/>
          <w:bCs/>
          <w:color w:val="000000"/>
          <w:szCs w:val="18"/>
          <w:lang w:val="it-IT"/>
        </w:rPr>
        <w:t>Le società potranno selezionare uno o più di</w:t>
      </w:r>
      <w:r w:rsidR="00C73840" w:rsidRPr="00451078">
        <w:rPr>
          <w:rFonts w:cs="Tahoma"/>
          <w:bCs/>
          <w:color w:val="000000"/>
          <w:szCs w:val="18"/>
          <w:lang w:val="it-IT"/>
        </w:rPr>
        <w:t> </w:t>
      </w:r>
      <w:r w:rsidRPr="00451078">
        <w:rPr>
          <w:rFonts w:cs="Tahoma"/>
          <w:bCs/>
          <w:color w:val="000000"/>
          <w:szCs w:val="18"/>
          <w:lang w:val="it-IT"/>
        </w:rPr>
        <w:t>questi servizi nonché scegliere dai livelli di servizi disponibili fino al numero di Giorni Planning Services.</w:t>
      </w:r>
    </w:p>
    <w:p w:rsidR="001C1727" w:rsidRPr="00451078" w:rsidRDefault="001C1727">
      <w:pPr>
        <w:rPr>
          <w:lang w:val="it-IT"/>
        </w:rPr>
      </w:pPr>
    </w:p>
    <w:p w:rsidR="000D4ECA" w:rsidRPr="00451078" w:rsidRDefault="000D4ECA" w:rsidP="000D4ECA">
      <w:pPr>
        <w:spacing w:after="60"/>
        <w:rPr>
          <w:lang w:val="it-IT"/>
        </w:rPr>
      </w:pPr>
      <w:r w:rsidRPr="00451078">
        <w:rPr>
          <w:rFonts w:cs="Tahoma"/>
          <w:bCs/>
          <w:color w:val="000000"/>
          <w:szCs w:val="18"/>
          <w:lang w:val="it-IT"/>
        </w:rPr>
        <w:t>Nella tabella seguente sono elencate le licenze qualificanti Applicazione e Server e i punti associati a ciascuna di esse:</w:t>
      </w:r>
    </w:p>
    <w:p w:rsidR="0063466C" w:rsidRPr="00451078" w:rsidRDefault="0063466C" w:rsidP="000D4ECA">
      <w:pPr>
        <w:spacing w:after="60"/>
        <w:rPr>
          <w:lang w:val="it-IT"/>
        </w:rPr>
      </w:pPr>
    </w:p>
    <w:tbl>
      <w:tblPr>
        <w:tblW w:w="8730" w:type="dxa"/>
        <w:tblInd w:w="468" w:type="dxa"/>
        <w:tblCellMar>
          <w:left w:w="0" w:type="dxa"/>
          <w:right w:w="0" w:type="dxa"/>
        </w:tblCellMar>
        <w:tblLook w:val="04A0" w:firstRow="1" w:lastRow="0" w:firstColumn="1" w:lastColumn="0" w:noHBand="0" w:noVBand="1"/>
      </w:tblPr>
      <w:tblGrid>
        <w:gridCol w:w="7290"/>
        <w:gridCol w:w="1440"/>
      </w:tblGrid>
      <w:tr w:rsidR="000D4ECA" w:rsidRPr="003410C7" w:rsidTr="00B87B49">
        <w:trPr>
          <w:trHeight w:val="393"/>
        </w:trPr>
        <w:tc>
          <w:tcPr>
            <w:tcW w:w="7290" w:type="dxa"/>
            <w:tcBorders>
              <w:top w:val="single" w:sz="8" w:space="0" w:color="000000"/>
              <w:left w:val="single" w:sz="8" w:space="0" w:color="000000"/>
              <w:bottom w:val="single" w:sz="8" w:space="0" w:color="000000"/>
              <w:right w:val="single" w:sz="8" w:space="0" w:color="000000"/>
            </w:tcBorders>
            <w:shd w:val="clear" w:color="auto" w:fill="FABF8F"/>
            <w:tcMar>
              <w:top w:w="15" w:type="dxa"/>
              <w:left w:w="108" w:type="dxa"/>
              <w:bottom w:w="0" w:type="dxa"/>
              <w:right w:w="108" w:type="dxa"/>
            </w:tcMar>
          </w:tcPr>
          <w:p w:rsidR="000D4ECA" w:rsidRPr="00451078" w:rsidRDefault="000D4ECA" w:rsidP="000D4ECA">
            <w:pPr>
              <w:spacing w:after="60"/>
              <w:jc w:val="center"/>
              <w:rPr>
                <w:rFonts w:cs="Tahoma"/>
                <w:szCs w:val="18"/>
                <w:lang w:val="it-IT"/>
              </w:rPr>
            </w:pPr>
            <w:r w:rsidRPr="00451078">
              <w:rPr>
                <w:rFonts w:cs="Tahoma"/>
                <w:b/>
                <w:bCs/>
                <w:szCs w:val="18"/>
                <w:lang w:val="it-IT"/>
              </w:rPr>
              <w:t xml:space="preserve">Licenze per Applicazioni Office e Server* </w:t>
            </w:r>
          </w:p>
        </w:tc>
        <w:tc>
          <w:tcPr>
            <w:tcW w:w="1440" w:type="dxa"/>
            <w:tcBorders>
              <w:top w:val="single" w:sz="8" w:space="0" w:color="000000"/>
              <w:left w:val="single" w:sz="8" w:space="0" w:color="000000"/>
              <w:bottom w:val="single" w:sz="8" w:space="0" w:color="000000"/>
              <w:right w:val="single" w:sz="8" w:space="0" w:color="000000"/>
            </w:tcBorders>
            <w:shd w:val="clear" w:color="auto" w:fill="FABF8F"/>
            <w:tcMar>
              <w:top w:w="15" w:type="dxa"/>
              <w:left w:w="108" w:type="dxa"/>
              <w:bottom w:w="0" w:type="dxa"/>
              <w:right w:w="108" w:type="dxa"/>
            </w:tcMar>
          </w:tcPr>
          <w:p w:rsidR="000D4ECA" w:rsidRPr="003410C7" w:rsidRDefault="000D4ECA" w:rsidP="000D4ECA">
            <w:pPr>
              <w:spacing w:after="60"/>
              <w:jc w:val="center"/>
              <w:rPr>
                <w:rFonts w:cs="Tahoma"/>
                <w:szCs w:val="18"/>
              </w:rPr>
            </w:pPr>
            <w:r w:rsidRPr="003410C7">
              <w:rPr>
                <w:rFonts w:cs="Tahoma"/>
                <w:b/>
                <w:bCs/>
                <w:szCs w:val="18"/>
              </w:rPr>
              <w:t>Punti</w:t>
            </w:r>
          </w:p>
        </w:tc>
      </w:tr>
      <w:tr w:rsidR="000D4ECA" w:rsidRPr="003410C7" w:rsidTr="00B87B49">
        <w:trPr>
          <w:trHeight w:val="127"/>
        </w:trPr>
        <w:tc>
          <w:tcPr>
            <w:tcW w:w="729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0D4ECA" w:rsidRPr="00451078" w:rsidRDefault="000D4ECA" w:rsidP="00C73840">
            <w:pPr>
              <w:spacing w:after="60"/>
              <w:jc w:val="center"/>
              <w:rPr>
                <w:rFonts w:cs="Tahoma"/>
                <w:szCs w:val="18"/>
                <w:lang w:val="it-IT"/>
              </w:rPr>
            </w:pPr>
            <w:r w:rsidRPr="00451078">
              <w:rPr>
                <w:rFonts w:cs="Tahoma"/>
                <w:szCs w:val="18"/>
                <w:lang w:val="it-IT"/>
              </w:rPr>
              <w:t>Prodotti del Pool di Applicazioni Office (incluse la famiglia di prodotti Office, Project</w:t>
            </w:r>
            <w:r w:rsidR="00C73840" w:rsidRPr="00451078">
              <w:rPr>
                <w:rFonts w:cs="Tahoma"/>
                <w:szCs w:val="18"/>
                <w:lang w:val="it-IT"/>
              </w:rPr>
              <w:t> </w:t>
            </w:r>
            <w:r w:rsidRPr="00451078">
              <w:rPr>
                <w:rFonts w:cs="Tahoma"/>
                <w:szCs w:val="18"/>
                <w:lang w:val="it-IT"/>
              </w:rPr>
              <w:t>Standard e Professional, Visio Standard e Professional)</w:t>
            </w:r>
          </w:p>
        </w:tc>
        <w:tc>
          <w:tcPr>
            <w:tcW w:w="144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0D4ECA" w:rsidRPr="003410C7" w:rsidRDefault="000D4ECA" w:rsidP="000D4ECA">
            <w:pPr>
              <w:spacing w:after="60"/>
              <w:jc w:val="center"/>
              <w:rPr>
                <w:rFonts w:cs="Tahoma"/>
                <w:szCs w:val="18"/>
              </w:rPr>
            </w:pPr>
            <w:r w:rsidRPr="003410C7">
              <w:rPr>
                <w:rFonts w:cs="Tahoma"/>
                <w:szCs w:val="18"/>
              </w:rPr>
              <w:t>1</w:t>
            </w:r>
          </w:p>
        </w:tc>
      </w:tr>
      <w:tr w:rsidR="000D4ECA" w:rsidRPr="003410C7" w:rsidTr="00B87B49">
        <w:trPr>
          <w:trHeight w:val="45"/>
        </w:trPr>
        <w:tc>
          <w:tcPr>
            <w:tcW w:w="729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0D4ECA" w:rsidRPr="003410C7" w:rsidRDefault="00F56FC9" w:rsidP="00C73840">
            <w:pPr>
              <w:spacing w:after="60"/>
              <w:jc w:val="center"/>
              <w:rPr>
                <w:rFonts w:cs="Tahoma"/>
                <w:szCs w:val="18"/>
              </w:rPr>
            </w:pPr>
            <w:r w:rsidRPr="003410C7">
              <w:rPr>
                <w:rFonts w:eastAsia="Calibri" w:cs="Tahoma"/>
                <w:szCs w:val="18"/>
              </w:rPr>
              <w:t>SQL Server Standard Edition, Windows Server Standard Edition, Licenza di Gestione Server per System Center 2012 Datacenter (2 processori), Visual Studio Professional con</w:t>
            </w:r>
            <w:r w:rsidR="00C73840">
              <w:rPr>
                <w:rFonts w:eastAsia="Calibri" w:cs="Tahoma"/>
                <w:szCs w:val="18"/>
              </w:rPr>
              <w:t> </w:t>
            </w:r>
            <w:r w:rsidRPr="003410C7">
              <w:rPr>
                <w:rFonts w:eastAsia="Calibri" w:cs="Tahoma"/>
                <w:szCs w:val="18"/>
              </w:rPr>
              <w:t>MSDN e Visual Studio Test Professional con MSDN</w:t>
            </w:r>
          </w:p>
        </w:tc>
        <w:tc>
          <w:tcPr>
            <w:tcW w:w="144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0D4ECA" w:rsidRPr="003410C7" w:rsidRDefault="000D4ECA" w:rsidP="000D4ECA">
            <w:pPr>
              <w:spacing w:after="60"/>
              <w:jc w:val="center"/>
              <w:rPr>
                <w:rFonts w:cs="Tahoma"/>
                <w:szCs w:val="18"/>
              </w:rPr>
            </w:pPr>
            <w:r w:rsidRPr="003410C7">
              <w:rPr>
                <w:rFonts w:cs="Tahoma"/>
                <w:szCs w:val="18"/>
              </w:rPr>
              <w:t>25</w:t>
            </w:r>
          </w:p>
        </w:tc>
      </w:tr>
      <w:tr w:rsidR="000D4ECA" w:rsidRPr="003410C7" w:rsidTr="00B87B49">
        <w:trPr>
          <w:trHeight w:val="45"/>
        </w:trPr>
        <w:tc>
          <w:tcPr>
            <w:tcW w:w="729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0D4ECA" w:rsidRPr="003410C7" w:rsidRDefault="00F56FC9" w:rsidP="000D4ECA">
            <w:pPr>
              <w:spacing w:after="60"/>
              <w:jc w:val="center"/>
              <w:rPr>
                <w:rFonts w:cs="Tahoma"/>
                <w:szCs w:val="18"/>
              </w:rPr>
            </w:pPr>
            <w:r w:rsidRPr="003410C7">
              <w:rPr>
                <w:rFonts w:eastAsia="Calibri" w:cs="Tahoma"/>
                <w:szCs w:val="18"/>
              </w:rPr>
              <w:t xml:space="preserve">SQL Server Enterprise Edition, </w:t>
            </w:r>
            <w:r w:rsidRPr="003410C7">
              <w:rPr>
                <w:rFonts w:cs="Tahoma"/>
                <w:szCs w:val="18"/>
              </w:rPr>
              <w:t xml:space="preserve">SQL Server Business Intelligence, </w:t>
            </w:r>
            <w:r w:rsidRPr="003410C7">
              <w:rPr>
                <w:rFonts w:eastAsia="Calibri" w:cs="Tahoma"/>
                <w:szCs w:val="18"/>
              </w:rPr>
              <w:t>Windows Server Enterprise Edition e Visual Studio Premium con MSDN</w:t>
            </w:r>
          </w:p>
        </w:tc>
        <w:tc>
          <w:tcPr>
            <w:tcW w:w="144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0D4ECA" w:rsidRPr="003410C7" w:rsidRDefault="000D4ECA" w:rsidP="000D4ECA">
            <w:pPr>
              <w:spacing w:after="60"/>
              <w:jc w:val="center"/>
              <w:rPr>
                <w:rFonts w:cs="Tahoma"/>
                <w:szCs w:val="18"/>
              </w:rPr>
            </w:pPr>
            <w:r w:rsidRPr="003410C7">
              <w:rPr>
                <w:rFonts w:cs="Tahoma"/>
                <w:szCs w:val="18"/>
              </w:rPr>
              <w:t>50</w:t>
            </w:r>
          </w:p>
        </w:tc>
      </w:tr>
      <w:tr w:rsidR="000D4ECA" w:rsidRPr="003410C7" w:rsidTr="00B87B49">
        <w:trPr>
          <w:trHeight w:val="45"/>
        </w:trPr>
        <w:tc>
          <w:tcPr>
            <w:tcW w:w="729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0D4ECA" w:rsidRPr="00451078" w:rsidRDefault="00F56FC9" w:rsidP="00C73840">
            <w:pPr>
              <w:spacing w:after="60"/>
              <w:jc w:val="center"/>
              <w:rPr>
                <w:rFonts w:cs="Tahoma"/>
                <w:szCs w:val="18"/>
                <w:lang w:val="it-IT"/>
              </w:rPr>
            </w:pPr>
            <w:r w:rsidRPr="00451078">
              <w:rPr>
                <w:rFonts w:eastAsia="Calibri" w:cs="Tahoma"/>
                <w:szCs w:val="18"/>
                <w:lang w:val="it-IT"/>
              </w:rPr>
              <w:t>SQL Server Data Center Edition, Windows Server Data Center Edition, Licenza</w:t>
            </w:r>
            <w:r w:rsidR="00C73840" w:rsidRPr="00451078">
              <w:rPr>
                <w:rFonts w:eastAsia="Calibri" w:cs="Tahoma"/>
                <w:szCs w:val="18"/>
                <w:lang w:val="it-IT"/>
              </w:rPr>
              <w:t> </w:t>
            </w:r>
            <w:r w:rsidRPr="00451078">
              <w:rPr>
                <w:rFonts w:eastAsia="Calibri" w:cs="Tahoma"/>
                <w:szCs w:val="18"/>
                <w:lang w:val="it-IT"/>
              </w:rPr>
              <w:t>di</w:t>
            </w:r>
            <w:r w:rsidR="00C73840" w:rsidRPr="00451078">
              <w:rPr>
                <w:rFonts w:eastAsia="Calibri" w:cs="Tahoma"/>
                <w:szCs w:val="18"/>
                <w:lang w:val="it-IT"/>
              </w:rPr>
              <w:t> </w:t>
            </w:r>
            <w:r w:rsidRPr="00451078">
              <w:rPr>
                <w:rFonts w:eastAsia="Calibri" w:cs="Tahoma"/>
                <w:szCs w:val="18"/>
                <w:lang w:val="it-IT"/>
              </w:rPr>
              <w:t>Gestione Server per System Center 2012 Datacenter (2 processori) e</w:t>
            </w:r>
            <w:r w:rsidR="00C73840" w:rsidRPr="00451078">
              <w:rPr>
                <w:rFonts w:eastAsia="Calibri" w:cs="Tahoma"/>
                <w:szCs w:val="18"/>
                <w:lang w:val="it-IT"/>
              </w:rPr>
              <w:t> </w:t>
            </w:r>
            <w:r w:rsidRPr="00451078">
              <w:rPr>
                <w:rFonts w:eastAsia="Calibri" w:cs="Tahoma"/>
                <w:szCs w:val="18"/>
                <w:lang w:val="it-IT"/>
              </w:rPr>
              <w:t>Visual</w:t>
            </w:r>
            <w:r w:rsidR="00C73840" w:rsidRPr="00451078">
              <w:rPr>
                <w:rFonts w:eastAsia="Calibri" w:cs="Tahoma"/>
                <w:szCs w:val="18"/>
                <w:lang w:val="it-IT"/>
              </w:rPr>
              <w:t> </w:t>
            </w:r>
            <w:r w:rsidRPr="00451078">
              <w:rPr>
                <w:rFonts w:eastAsia="Calibri" w:cs="Tahoma"/>
                <w:szCs w:val="18"/>
                <w:lang w:val="it-IT"/>
              </w:rPr>
              <w:t>Studio Ultimate con MSDN</w:t>
            </w:r>
          </w:p>
        </w:tc>
        <w:tc>
          <w:tcPr>
            <w:tcW w:w="144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0D4ECA" w:rsidRPr="003410C7" w:rsidRDefault="000D4ECA" w:rsidP="000D4ECA">
            <w:pPr>
              <w:spacing w:after="60"/>
              <w:jc w:val="center"/>
              <w:rPr>
                <w:rFonts w:cs="Tahoma"/>
                <w:szCs w:val="18"/>
              </w:rPr>
            </w:pPr>
            <w:r w:rsidRPr="003410C7">
              <w:rPr>
                <w:rFonts w:cs="Tahoma"/>
                <w:szCs w:val="18"/>
              </w:rPr>
              <w:t>75</w:t>
            </w:r>
          </w:p>
        </w:tc>
      </w:tr>
    </w:tbl>
    <w:p w:rsidR="000D4ECA" w:rsidRPr="00451078" w:rsidRDefault="000D4ECA" w:rsidP="0063466C">
      <w:pPr>
        <w:ind w:firstLine="720"/>
        <w:rPr>
          <w:lang w:val="it-IT"/>
        </w:rPr>
      </w:pPr>
      <w:r w:rsidRPr="00451078">
        <w:rPr>
          <w:rFonts w:cs="Tahoma"/>
          <w:b/>
          <w:i/>
          <w:sz w:val="16"/>
          <w:szCs w:val="18"/>
          <w:lang w:val="it-IT"/>
        </w:rPr>
        <w:t>Nota:</w:t>
      </w:r>
      <w:r w:rsidRPr="00451078">
        <w:rPr>
          <w:rFonts w:cs="Tahoma"/>
          <w:i/>
          <w:sz w:val="16"/>
          <w:szCs w:val="18"/>
          <w:lang w:val="it-IT"/>
        </w:rPr>
        <w:t xml:space="preserve"> per le CAL, vedere la tabella CAL Suite nel presente articolo</w:t>
      </w:r>
    </w:p>
    <w:p w:rsidR="00F56FC9" w:rsidRPr="00451078" w:rsidRDefault="00F56FC9" w:rsidP="0063466C">
      <w:pPr>
        <w:rPr>
          <w:lang w:val="it-IT"/>
        </w:rPr>
      </w:pPr>
    </w:p>
    <w:p w:rsidR="000D4ECA" w:rsidRPr="00451078" w:rsidRDefault="000D4ECA" w:rsidP="0063466C">
      <w:pPr>
        <w:rPr>
          <w:lang w:val="it-IT"/>
        </w:rPr>
      </w:pPr>
      <w:r w:rsidRPr="00451078">
        <w:rPr>
          <w:rFonts w:cs="Tahoma"/>
          <w:szCs w:val="18"/>
          <w:lang w:val="it-IT"/>
        </w:rPr>
        <w:t>Quando questi prodotti idonei vengono acquistati tramite Enrollment for Application Platform (EAP) o Enrollment for</w:t>
      </w:r>
      <w:r w:rsidR="00C73840" w:rsidRPr="00451078">
        <w:rPr>
          <w:rFonts w:cs="Tahoma"/>
          <w:szCs w:val="18"/>
          <w:lang w:val="it-IT"/>
        </w:rPr>
        <w:t> </w:t>
      </w:r>
      <w:r w:rsidRPr="00451078">
        <w:rPr>
          <w:rFonts w:cs="Tahoma"/>
          <w:szCs w:val="18"/>
          <w:lang w:val="it-IT"/>
        </w:rPr>
        <w:t xml:space="preserve">Core Infrastructure (ECI), tutti i punti guadagnati ai sensi di EAP e ECI vengono raddoppiati (2). </w:t>
      </w:r>
    </w:p>
    <w:p w:rsidR="000D4ECA" w:rsidRPr="00451078" w:rsidRDefault="000D4ECA" w:rsidP="0063466C">
      <w:pPr>
        <w:rPr>
          <w:lang w:val="it-IT"/>
        </w:rPr>
      </w:pPr>
    </w:p>
    <w:p w:rsidR="000D4ECA" w:rsidRPr="00451078" w:rsidRDefault="000D4ECA" w:rsidP="0063466C">
      <w:pPr>
        <w:rPr>
          <w:lang w:val="it-IT"/>
        </w:rPr>
      </w:pPr>
      <w:r w:rsidRPr="00451078">
        <w:rPr>
          <w:rFonts w:cs="Tahoma"/>
          <w:szCs w:val="18"/>
          <w:lang w:val="it-IT"/>
        </w:rPr>
        <w:t>Il punti totali destinati alla società definiscono i diritti relativi ai Giorni Planning Services come mostrato qui sotto:</w:t>
      </w:r>
    </w:p>
    <w:p w:rsidR="000D4ECA" w:rsidRPr="00451078" w:rsidRDefault="000D4ECA" w:rsidP="0063466C">
      <w:pPr>
        <w:rPr>
          <w:lang w:val="it-IT"/>
        </w:rPr>
      </w:pPr>
    </w:p>
    <w:tbl>
      <w:tblPr>
        <w:tblW w:w="6120" w:type="dxa"/>
        <w:tblInd w:w="1648" w:type="dxa"/>
        <w:tblCellMar>
          <w:left w:w="0" w:type="dxa"/>
          <w:right w:w="0" w:type="dxa"/>
        </w:tblCellMar>
        <w:tblLook w:val="04A0" w:firstRow="1" w:lastRow="0" w:firstColumn="1" w:lastColumn="0" w:noHBand="0" w:noVBand="1"/>
      </w:tblPr>
      <w:tblGrid>
        <w:gridCol w:w="3330"/>
        <w:gridCol w:w="2790"/>
      </w:tblGrid>
      <w:tr w:rsidR="000D4ECA" w:rsidRPr="003410C7" w:rsidTr="00C73840">
        <w:trPr>
          <w:trHeight w:val="393"/>
          <w:tblHeader/>
        </w:trPr>
        <w:tc>
          <w:tcPr>
            <w:tcW w:w="3330" w:type="dxa"/>
            <w:tcBorders>
              <w:top w:val="single" w:sz="8" w:space="0" w:color="000000"/>
              <w:left w:val="single" w:sz="8" w:space="0" w:color="000000"/>
              <w:bottom w:val="single" w:sz="8" w:space="0" w:color="000000"/>
              <w:right w:val="single" w:sz="8" w:space="0" w:color="000000"/>
            </w:tcBorders>
            <w:shd w:val="clear" w:color="auto" w:fill="FABF8F"/>
            <w:tcMar>
              <w:top w:w="15" w:type="dxa"/>
              <w:left w:w="108" w:type="dxa"/>
              <w:bottom w:w="0" w:type="dxa"/>
              <w:right w:w="108" w:type="dxa"/>
            </w:tcMar>
          </w:tcPr>
          <w:p w:rsidR="000D4ECA" w:rsidRPr="00451078" w:rsidRDefault="000D4ECA" w:rsidP="000D4ECA">
            <w:pPr>
              <w:spacing w:after="60"/>
              <w:jc w:val="center"/>
              <w:rPr>
                <w:rFonts w:cs="Tahoma"/>
                <w:szCs w:val="18"/>
                <w:lang w:val="it-IT"/>
              </w:rPr>
            </w:pPr>
            <w:r w:rsidRPr="00451078">
              <w:rPr>
                <w:rFonts w:cs="Tahoma"/>
                <w:b/>
                <w:bCs/>
                <w:szCs w:val="18"/>
                <w:lang w:val="it-IT"/>
              </w:rPr>
              <w:t>Punti di Licenze per Applicazioni Office e/o Server</w:t>
            </w:r>
          </w:p>
        </w:tc>
        <w:tc>
          <w:tcPr>
            <w:tcW w:w="2790" w:type="dxa"/>
            <w:tcBorders>
              <w:top w:val="single" w:sz="8" w:space="0" w:color="000000"/>
              <w:left w:val="single" w:sz="8" w:space="0" w:color="000000"/>
              <w:bottom w:val="single" w:sz="8" w:space="0" w:color="000000"/>
              <w:right w:val="single" w:sz="8" w:space="0" w:color="000000"/>
            </w:tcBorders>
            <w:shd w:val="clear" w:color="auto" w:fill="FABF8F"/>
            <w:tcMar>
              <w:top w:w="15" w:type="dxa"/>
              <w:left w:w="108" w:type="dxa"/>
              <w:bottom w:w="0" w:type="dxa"/>
              <w:right w:w="108" w:type="dxa"/>
            </w:tcMar>
          </w:tcPr>
          <w:p w:rsidR="000D4ECA" w:rsidRPr="003410C7" w:rsidRDefault="000D4ECA" w:rsidP="000D4ECA">
            <w:pPr>
              <w:spacing w:after="60"/>
              <w:jc w:val="center"/>
              <w:rPr>
                <w:rFonts w:cs="Tahoma"/>
                <w:szCs w:val="18"/>
              </w:rPr>
            </w:pPr>
            <w:r w:rsidRPr="003410C7">
              <w:rPr>
                <w:rFonts w:cs="Tahoma"/>
                <w:b/>
                <w:bCs/>
                <w:szCs w:val="18"/>
              </w:rPr>
              <w:t>Giorni Planning Services</w:t>
            </w:r>
          </w:p>
        </w:tc>
      </w:tr>
      <w:tr w:rsidR="000D4ECA" w:rsidRPr="003410C7" w:rsidTr="0044720D">
        <w:trPr>
          <w:trHeight w:val="127"/>
        </w:trPr>
        <w:tc>
          <w:tcPr>
            <w:tcW w:w="333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0D4ECA" w:rsidRPr="003410C7" w:rsidRDefault="000D4ECA" w:rsidP="000D4ECA">
            <w:pPr>
              <w:spacing w:after="60"/>
              <w:jc w:val="center"/>
              <w:rPr>
                <w:rFonts w:cs="Tahoma"/>
                <w:szCs w:val="18"/>
              </w:rPr>
            </w:pPr>
            <w:r w:rsidRPr="003410C7">
              <w:rPr>
                <w:rFonts w:cs="Tahoma"/>
                <w:szCs w:val="18"/>
              </w:rPr>
              <w:t>200</w:t>
            </w:r>
            <w:r w:rsidR="00C73840" w:rsidRPr="003410C7">
              <w:rPr>
                <w:rFonts w:cs="Tahoma"/>
                <w:szCs w:val="18"/>
              </w:rPr>
              <w:t xml:space="preserve"> – </w:t>
            </w:r>
            <w:r w:rsidRPr="003410C7">
              <w:rPr>
                <w:rFonts w:cs="Tahoma"/>
                <w:szCs w:val="18"/>
              </w:rPr>
              <w:t>499</w:t>
            </w:r>
          </w:p>
        </w:tc>
        <w:tc>
          <w:tcPr>
            <w:tcW w:w="279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0D4ECA" w:rsidRPr="003410C7" w:rsidRDefault="000D4ECA" w:rsidP="000D4ECA">
            <w:pPr>
              <w:spacing w:after="60"/>
              <w:jc w:val="center"/>
              <w:rPr>
                <w:rFonts w:cs="Tahoma"/>
                <w:szCs w:val="18"/>
              </w:rPr>
            </w:pPr>
            <w:r w:rsidRPr="003410C7">
              <w:rPr>
                <w:rFonts w:cs="Tahoma"/>
                <w:szCs w:val="18"/>
              </w:rPr>
              <w:t>1</w:t>
            </w:r>
          </w:p>
        </w:tc>
      </w:tr>
      <w:tr w:rsidR="000D4ECA" w:rsidRPr="003410C7" w:rsidTr="0044720D">
        <w:trPr>
          <w:trHeight w:val="45"/>
        </w:trPr>
        <w:tc>
          <w:tcPr>
            <w:tcW w:w="333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0D4ECA" w:rsidRPr="003410C7" w:rsidRDefault="000D4ECA" w:rsidP="00C73840">
            <w:pPr>
              <w:spacing w:after="60"/>
              <w:jc w:val="center"/>
              <w:rPr>
                <w:rFonts w:cs="Tahoma"/>
                <w:szCs w:val="18"/>
              </w:rPr>
            </w:pPr>
            <w:r w:rsidRPr="003410C7">
              <w:rPr>
                <w:rFonts w:cs="Tahoma"/>
                <w:szCs w:val="18"/>
              </w:rPr>
              <w:t>500</w:t>
            </w:r>
            <w:r w:rsidR="00C73840" w:rsidRPr="003410C7">
              <w:rPr>
                <w:rFonts w:cs="Tahoma"/>
                <w:szCs w:val="18"/>
              </w:rPr>
              <w:t xml:space="preserve"> – </w:t>
            </w:r>
            <w:r w:rsidRPr="003410C7">
              <w:rPr>
                <w:rFonts w:cs="Tahoma"/>
                <w:szCs w:val="18"/>
              </w:rPr>
              <w:t>1</w:t>
            </w:r>
            <w:r w:rsidR="00C73840">
              <w:rPr>
                <w:rFonts w:cs="Tahoma"/>
                <w:szCs w:val="18"/>
              </w:rPr>
              <w:t>.</w:t>
            </w:r>
            <w:r w:rsidRPr="003410C7">
              <w:rPr>
                <w:rFonts w:cs="Tahoma"/>
                <w:szCs w:val="18"/>
              </w:rPr>
              <w:t>999</w:t>
            </w:r>
          </w:p>
        </w:tc>
        <w:tc>
          <w:tcPr>
            <w:tcW w:w="279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0D4ECA" w:rsidRPr="003410C7" w:rsidRDefault="000D4ECA" w:rsidP="000D4ECA">
            <w:pPr>
              <w:spacing w:after="60"/>
              <w:jc w:val="center"/>
              <w:rPr>
                <w:rFonts w:cs="Tahoma"/>
                <w:szCs w:val="18"/>
              </w:rPr>
            </w:pPr>
            <w:r w:rsidRPr="003410C7">
              <w:rPr>
                <w:rFonts w:cs="Tahoma"/>
                <w:szCs w:val="18"/>
              </w:rPr>
              <w:t>3</w:t>
            </w:r>
          </w:p>
        </w:tc>
      </w:tr>
      <w:tr w:rsidR="000D4ECA" w:rsidRPr="003410C7" w:rsidTr="0044720D">
        <w:trPr>
          <w:trHeight w:val="45"/>
        </w:trPr>
        <w:tc>
          <w:tcPr>
            <w:tcW w:w="333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0D4ECA" w:rsidRPr="003410C7" w:rsidRDefault="000D4ECA" w:rsidP="00C73840">
            <w:pPr>
              <w:spacing w:after="60"/>
              <w:jc w:val="center"/>
              <w:rPr>
                <w:rFonts w:cs="Tahoma"/>
                <w:szCs w:val="18"/>
              </w:rPr>
            </w:pPr>
            <w:r w:rsidRPr="003410C7">
              <w:rPr>
                <w:rFonts w:cs="Tahoma"/>
                <w:szCs w:val="18"/>
              </w:rPr>
              <w:t>2</w:t>
            </w:r>
            <w:r w:rsidR="00C73840">
              <w:rPr>
                <w:rFonts w:cs="Tahoma"/>
                <w:szCs w:val="18"/>
              </w:rPr>
              <w:t>.</w:t>
            </w:r>
            <w:r w:rsidRPr="003410C7">
              <w:rPr>
                <w:rFonts w:cs="Tahoma"/>
                <w:szCs w:val="18"/>
              </w:rPr>
              <w:t>000</w:t>
            </w:r>
            <w:r w:rsidR="00C73840" w:rsidRPr="003410C7">
              <w:rPr>
                <w:rFonts w:cs="Tahoma"/>
                <w:szCs w:val="18"/>
              </w:rPr>
              <w:t xml:space="preserve"> – </w:t>
            </w:r>
            <w:r w:rsidRPr="003410C7">
              <w:rPr>
                <w:rFonts w:cs="Tahoma"/>
                <w:szCs w:val="18"/>
              </w:rPr>
              <w:t>3</w:t>
            </w:r>
            <w:r w:rsidR="00C73840">
              <w:rPr>
                <w:rFonts w:cs="Tahoma"/>
                <w:szCs w:val="18"/>
              </w:rPr>
              <w:t>.</w:t>
            </w:r>
            <w:r w:rsidRPr="003410C7">
              <w:rPr>
                <w:rFonts w:cs="Tahoma"/>
                <w:szCs w:val="18"/>
              </w:rPr>
              <w:t>999</w:t>
            </w:r>
          </w:p>
        </w:tc>
        <w:tc>
          <w:tcPr>
            <w:tcW w:w="279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0D4ECA" w:rsidRPr="003410C7" w:rsidRDefault="000D4ECA" w:rsidP="000D4ECA">
            <w:pPr>
              <w:spacing w:after="60"/>
              <w:jc w:val="center"/>
              <w:rPr>
                <w:rFonts w:cs="Tahoma"/>
                <w:szCs w:val="18"/>
              </w:rPr>
            </w:pPr>
            <w:r w:rsidRPr="003410C7">
              <w:rPr>
                <w:rFonts w:cs="Tahoma"/>
                <w:szCs w:val="18"/>
              </w:rPr>
              <w:t>5</w:t>
            </w:r>
          </w:p>
        </w:tc>
      </w:tr>
      <w:tr w:rsidR="000D4ECA" w:rsidRPr="003410C7" w:rsidTr="0044720D">
        <w:trPr>
          <w:trHeight w:val="45"/>
        </w:trPr>
        <w:tc>
          <w:tcPr>
            <w:tcW w:w="333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0D4ECA" w:rsidRPr="003410C7" w:rsidRDefault="000D4ECA" w:rsidP="00C73840">
            <w:pPr>
              <w:spacing w:after="60"/>
              <w:jc w:val="center"/>
              <w:rPr>
                <w:rFonts w:cs="Tahoma"/>
                <w:szCs w:val="18"/>
              </w:rPr>
            </w:pPr>
            <w:r w:rsidRPr="003410C7">
              <w:rPr>
                <w:rFonts w:cs="Tahoma"/>
                <w:szCs w:val="18"/>
              </w:rPr>
              <w:t>4</w:t>
            </w:r>
            <w:r w:rsidR="00C73840">
              <w:rPr>
                <w:rFonts w:cs="Tahoma"/>
                <w:szCs w:val="18"/>
              </w:rPr>
              <w:t>.</w:t>
            </w:r>
            <w:r w:rsidRPr="003410C7">
              <w:rPr>
                <w:rFonts w:cs="Tahoma"/>
                <w:szCs w:val="18"/>
              </w:rPr>
              <w:t>000 – 29</w:t>
            </w:r>
            <w:r w:rsidR="00C73840">
              <w:rPr>
                <w:rFonts w:cs="Tahoma"/>
                <w:szCs w:val="18"/>
              </w:rPr>
              <w:t>.</w:t>
            </w:r>
            <w:r w:rsidRPr="003410C7">
              <w:rPr>
                <w:rFonts w:cs="Tahoma"/>
                <w:szCs w:val="18"/>
              </w:rPr>
              <w:t>999</w:t>
            </w:r>
          </w:p>
        </w:tc>
        <w:tc>
          <w:tcPr>
            <w:tcW w:w="279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0D4ECA" w:rsidRPr="003410C7" w:rsidRDefault="000D4ECA" w:rsidP="000D4ECA">
            <w:pPr>
              <w:spacing w:after="60"/>
              <w:jc w:val="center"/>
              <w:rPr>
                <w:rFonts w:cs="Tahoma"/>
                <w:szCs w:val="18"/>
              </w:rPr>
            </w:pPr>
            <w:r w:rsidRPr="003410C7">
              <w:rPr>
                <w:rFonts w:cs="Tahoma"/>
                <w:szCs w:val="18"/>
              </w:rPr>
              <w:t>10</w:t>
            </w:r>
          </w:p>
        </w:tc>
      </w:tr>
      <w:tr w:rsidR="000D4ECA" w:rsidRPr="003410C7" w:rsidTr="0044720D">
        <w:trPr>
          <w:trHeight w:val="45"/>
        </w:trPr>
        <w:tc>
          <w:tcPr>
            <w:tcW w:w="333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0D4ECA" w:rsidRPr="003410C7" w:rsidRDefault="000D4ECA" w:rsidP="00C73840">
            <w:pPr>
              <w:spacing w:after="60"/>
              <w:jc w:val="center"/>
              <w:rPr>
                <w:rFonts w:cs="Tahoma"/>
                <w:szCs w:val="18"/>
              </w:rPr>
            </w:pPr>
            <w:r w:rsidRPr="003410C7">
              <w:rPr>
                <w:rFonts w:cs="Tahoma"/>
                <w:szCs w:val="18"/>
              </w:rPr>
              <w:t>30</w:t>
            </w:r>
            <w:r w:rsidR="00C73840">
              <w:rPr>
                <w:rFonts w:cs="Tahoma"/>
                <w:szCs w:val="18"/>
              </w:rPr>
              <w:t>.</w:t>
            </w:r>
            <w:r w:rsidRPr="003410C7">
              <w:rPr>
                <w:rFonts w:cs="Tahoma"/>
                <w:szCs w:val="18"/>
              </w:rPr>
              <w:t>000 – 49</w:t>
            </w:r>
            <w:r w:rsidR="00C73840">
              <w:rPr>
                <w:rFonts w:cs="Tahoma"/>
                <w:szCs w:val="18"/>
              </w:rPr>
              <w:t>.</w:t>
            </w:r>
            <w:r w:rsidRPr="003410C7">
              <w:rPr>
                <w:rFonts w:cs="Tahoma"/>
                <w:szCs w:val="18"/>
              </w:rPr>
              <w:t>999</w:t>
            </w:r>
          </w:p>
        </w:tc>
        <w:tc>
          <w:tcPr>
            <w:tcW w:w="279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0D4ECA" w:rsidRPr="003410C7" w:rsidRDefault="000D4ECA" w:rsidP="000D4ECA">
            <w:pPr>
              <w:spacing w:after="60"/>
              <w:jc w:val="center"/>
              <w:rPr>
                <w:rFonts w:cs="Tahoma"/>
                <w:szCs w:val="18"/>
              </w:rPr>
            </w:pPr>
            <w:r w:rsidRPr="003410C7">
              <w:rPr>
                <w:rFonts w:cs="Tahoma"/>
                <w:szCs w:val="18"/>
              </w:rPr>
              <w:t>15</w:t>
            </w:r>
          </w:p>
        </w:tc>
      </w:tr>
      <w:tr w:rsidR="000D4ECA" w:rsidRPr="003410C7" w:rsidTr="0044720D">
        <w:trPr>
          <w:trHeight w:val="45"/>
        </w:trPr>
        <w:tc>
          <w:tcPr>
            <w:tcW w:w="333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0D4ECA" w:rsidRPr="003410C7" w:rsidRDefault="000D4ECA" w:rsidP="00C73840">
            <w:pPr>
              <w:spacing w:after="60"/>
              <w:jc w:val="center"/>
              <w:rPr>
                <w:rFonts w:cs="Tahoma"/>
                <w:szCs w:val="18"/>
              </w:rPr>
            </w:pPr>
            <w:r w:rsidRPr="003410C7">
              <w:rPr>
                <w:rFonts w:cs="Tahoma"/>
                <w:szCs w:val="18"/>
              </w:rPr>
              <w:t>50</w:t>
            </w:r>
            <w:r w:rsidR="00C73840">
              <w:rPr>
                <w:rFonts w:cs="Tahoma"/>
                <w:szCs w:val="18"/>
              </w:rPr>
              <w:t>.</w:t>
            </w:r>
            <w:r w:rsidRPr="003410C7">
              <w:rPr>
                <w:rFonts w:cs="Tahoma"/>
                <w:szCs w:val="18"/>
              </w:rPr>
              <w:t>000 – 99</w:t>
            </w:r>
            <w:r w:rsidR="00C73840">
              <w:rPr>
                <w:rFonts w:cs="Tahoma"/>
                <w:szCs w:val="18"/>
              </w:rPr>
              <w:t>.</w:t>
            </w:r>
            <w:r w:rsidRPr="003410C7">
              <w:rPr>
                <w:rFonts w:cs="Tahoma"/>
                <w:szCs w:val="18"/>
              </w:rPr>
              <w:t>999</w:t>
            </w:r>
          </w:p>
        </w:tc>
        <w:tc>
          <w:tcPr>
            <w:tcW w:w="279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0D4ECA" w:rsidRPr="003410C7" w:rsidRDefault="000D4ECA" w:rsidP="000D4ECA">
            <w:pPr>
              <w:spacing w:after="60"/>
              <w:jc w:val="center"/>
              <w:rPr>
                <w:rFonts w:cs="Tahoma"/>
                <w:szCs w:val="18"/>
              </w:rPr>
            </w:pPr>
            <w:r w:rsidRPr="003410C7">
              <w:rPr>
                <w:rFonts w:cs="Tahoma"/>
                <w:szCs w:val="18"/>
              </w:rPr>
              <w:t>20</w:t>
            </w:r>
          </w:p>
        </w:tc>
      </w:tr>
      <w:tr w:rsidR="000D4ECA" w:rsidRPr="003410C7" w:rsidTr="0044720D">
        <w:trPr>
          <w:trHeight w:val="45"/>
        </w:trPr>
        <w:tc>
          <w:tcPr>
            <w:tcW w:w="333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0D4ECA" w:rsidRPr="003410C7" w:rsidRDefault="000D4ECA" w:rsidP="00C73840">
            <w:pPr>
              <w:spacing w:after="60"/>
              <w:jc w:val="center"/>
              <w:rPr>
                <w:rFonts w:cs="Tahoma"/>
                <w:szCs w:val="18"/>
              </w:rPr>
            </w:pPr>
            <w:r w:rsidRPr="003410C7">
              <w:rPr>
                <w:rFonts w:cs="Tahoma"/>
                <w:szCs w:val="18"/>
              </w:rPr>
              <w:t>100</w:t>
            </w:r>
            <w:r w:rsidR="00C73840">
              <w:rPr>
                <w:rFonts w:cs="Tahoma"/>
                <w:szCs w:val="18"/>
              </w:rPr>
              <w:t>.</w:t>
            </w:r>
            <w:r w:rsidRPr="003410C7">
              <w:rPr>
                <w:rFonts w:cs="Tahoma"/>
                <w:szCs w:val="18"/>
              </w:rPr>
              <w:t>000 – 199</w:t>
            </w:r>
            <w:r w:rsidR="00C73840">
              <w:rPr>
                <w:rFonts w:cs="Tahoma"/>
                <w:szCs w:val="18"/>
              </w:rPr>
              <w:t>.</w:t>
            </w:r>
            <w:r w:rsidRPr="003410C7">
              <w:rPr>
                <w:rFonts w:cs="Tahoma"/>
                <w:szCs w:val="18"/>
              </w:rPr>
              <w:t>999</w:t>
            </w:r>
          </w:p>
        </w:tc>
        <w:tc>
          <w:tcPr>
            <w:tcW w:w="279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0D4ECA" w:rsidRPr="003410C7" w:rsidRDefault="000D4ECA" w:rsidP="000D4ECA">
            <w:pPr>
              <w:spacing w:after="60"/>
              <w:jc w:val="center"/>
              <w:rPr>
                <w:rFonts w:cs="Tahoma"/>
                <w:szCs w:val="18"/>
              </w:rPr>
            </w:pPr>
            <w:r w:rsidRPr="003410C7">
              <w:rPr>
                <w:rFonts w:cs="Tahoma"/>
                <w:szCs w:val="18"/>
              </w:rPr>
              <w:t>30</w:t>
            </w:r>
          </w:p>
        </w:tc>
      </w:tr>
      <w:tr w:rsidR="000D4ECA" w:rsidRPr="003410C7" w:rsidTr="0044720D">
        <w:trPr>
          <w:trHeight w:val="45"/>
        </w:trPr>
        <w:tc>
          <w:tcPr>
            <w:tcW w:w="333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0D4ECA" w:rsidRPr="003410C7" w:rsidRDefault="000D4ECA" w:rsidP="00C73840">
            <w:pPr>
              <w:spacing w:after="60"/>
              <w:jc w:val="center"/>
              <w:rPr>
                <w:rFonts w:cs="Tahoma"/>
                <w:szCs w:val="18"/>
              </w:rPr>
            </w:pPr>
            <w:r w:rsidRPr="003410C7">
              <w:rPr>
                <w:rFonts w:cs="Tahoma"/>
                <w:szCs w:val="18"/>
              </w:rPr>
              <w:t>200</w:t>
            </w:r>
            <w:r w:rsidR="00C73840">
              <w:rPr>
                <w:rFonts w:cs="Tahoma"/>
                <w:szCs w:val="18"/>
              </w:rPr>
              <w:t>.</w:t>
            </w:r>
            <w:r w:rsidRPr="003410C7">
              <w:rPr>
                <w:rFonts w:cs="Tahoma"/>
                <w:szCs w:val="18"/>
              </w:rPr>
              <w:t>000 – 399</w:t>
            </w:r>
            <w:r w:rsidR="00C73840">
              <w:rPr>
                <w:rFonts w:cs="Tahoma"/>
                <w:szCs w:val="18"/>
              </w:rPr>
              <w:t>.</w:t>
            </w:r>
            <w:r w:rsidRPr="003410C7">
              <w:rPr>
                <w:rFonts w:cs="Tahoma"/>
                <w:szCs w:val="18"/>
              </w:rPr>
              <w:t>999</w:t>
            </w:r>
          </w:p>
        </w:tc>
        <w:tc>
          <w:tcPr>
            <w:tcW w:w="279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0D4ECA" w:rsidRPr="003410C7" w:rsidRDefault="000D4ECA" w:rsidP="000D4ECA">
            <w:pPr>
              <w:spacing w:after="60"/>
              <w:jc w:val="center"/>
              <w:rPr>
                <w:rFonts w:cs="Tahoma"/>
                <w:szCs w:val="18"/>
              </w:rPr>
            </w:pPr>
            <w:r w:rsidRPr="003410C7">
              <w:rPr>
                <w:rFonts w:cs="Tahoma"/>
                <w:szCs w:val="18"/>
              </w:rPr>
              <w:t>40</w:t>
            </w:r>
          </w:p>
        </w:tc>
      </w:tr>
      <w:tr w:rsidR="000D4ECA" w:rsidRPr="003410C7" w:rsidTr="0044720D">
        <w:trPr>
          <w:trHeight w:val="45"/>
        </w:trPr>
        <w:tc>
          <w:tcPr>
            <w:tcW w:w="333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0D4ECA" w:rsidRPr="003410C7" w:rsidRDefault="000D4ECA" w:rsidP="00C73840">
            <w:pPr>
              <w:spacing w:after="60"/>
              <w:jc w:val="center"/>
              <w:rPr>
                <w:rFonts w:cs="Tahoma"/>
                <w:szCs w:val="18"/>
              </w:rPr>
            </w:pPr>
            <w:r w:rsidRPr="003410C7">
              <w:rPr>
                <w:rFonts w:cs="Tahoma"/>
                <w:szCs w:val="18"/>
              </w:rPr>
              <w:lastRenderedPageBreak/>
              <w:t>400</w:t>
            </w:r>
            <w:r w:rsidR="00C73840">
              <w:rPr>
                <w:rFonts w:cs="Tahoma"/>
                <w:szCs w:val="18"/>
              </w:rPr>
              <w:t>.</w:t>
            </w:r>
            <w:r w:rsidRPr="003410C7">
              <w:rPr>
                <w:rFonts w:cs="Tahoma"/>
                <w:szCs w:val="18"/>
              </w:rPr>
              <w:t>000 – 599</w:t>
            </w:r>
            <w:r w:rsidR="00C73840">
              <w:rPr>
                <w:rFonts w:cs="Tahoma"/>
                <w:szCs w:val="18"/>
              </w:rPr>
              <w:t>.</w:t>
            </w:r>
            <w:r w:rsidRPr="003410C7">
              <w:rPr>
                <w:rFonts w:cs="Tahoma"/>
                <w:szCs w:val="18"/>
              </w:rPr>
              <w:t>999</w:t>
            </w:r>
          </w:p>
        </w:tc>
        <w:tc>
          <w:tcPr>
            <w:tcW w:w="279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0D4ECA" w:rsidRPr="003410C7" w:rsidRDefault="000D4ECA" w:rsidP="000D4ECA">
            <w:pPr>
              <w:spacing w:after="60"/>
              <w:jc w:val="center"/>
              <w:rPr>
                <w:rFonts w:cs="Tahoma"/>
                <w:szCs w:val="18"/>
              </w:rPr>
            </w:pPr>
            <w:r w:rsidRPr="003410C7">
              <w:rPr>
                <w:rFonts w:cs="Tahoma"/>
                <w:szCs w:val="18"/>
              </w:rPr>
              <w:t>50</w:t>
            </w:r>
          </w:p>
        </w:tc>
      </w:tr>
      <w:tr w:rsidR="000D4ECA" w:rsidRPr="003410C7" w:rsidTr="0044720D">
        <w:trPr>
          <w:trHeight w:val="45"/>
        </w:trPr>
        <w:tc>
          <w:tcPr>
            <w:tcW w:w="333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0D4ECA" w:rsidRPr="003410C7" w:rsidRDefault="000D4ECA" w:rsidP="00C73840">
            <w:pPr>
              <w:spacing w:after="60"/>
              <w:jc w:val="center"/>
              <w:rPr>
                <w:rFonts w:cs="Tahoma"/>
                <w:szCs w:val="18"/>
              </w:rPr>
            </w:pPr>
            <w:r w:rsidRPr="003410C7">
              <w:rPr>
                <w:rFonts w:cs="Tahoma"/>
                <w:szCs w:val="18"/>
              </w:rPr>
              <w:t>600</w:t>
            </w:r>
            <w:r w:rsidR="00C73840">
              <w:rPr>
                <w:rFonts w:cs="Tahoma"/>
                <w:szCs w:val="18"/>
              </w:rPr>
              <w:t>.</w:t>
            </w:r>
            <w:r w:rsidRPr="003410C7">
              <w:rPr>
                <w:rFonts w:cs="Tahoma"/>
                <w:szCs w:val="18"/>
              </w:rPr>
              <w:t>000 +</w:t>
            </w:r>
          </w:p>
        </w:tc>
        <w:tc>
          <w:tcPr>
            <w:tcW w:w="279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0D4ECA" w:rsidRPr="003410C7" w:rsidRDefault="000D4ECA" w:rsidP="000D4ECA">
            <w:pPr>
              <w:spacing w:after="60"/>
              <w:jc w:val="center"/>
              <w:rPr>
                <w:rFonts w:cs="Tahoma"/>
                <w:szCs w:val="18"/>
              </w:rPr>
            </w:pPr>
            <w:r w:rsidRPr="003410C7">
              <w:rPr>
                <w:rFonts w:cs="Tahoma"/>
                <w:szCs w:val="18"/>
              </w:rPr>
              <w:t>75</w:t>
            </w:r>
          </w:p>
        </w:tc>
      </w:tr>
    </w:tbl>
    <w:p w:rsidR="000D4ECA" w:rsidRPr="003410C7" w:rsidRDefault="000D4ECA" w:rsidP="0063466C"/>
    <w:p w:rsidR="000D4ECA" w:rsidRPr="00451078" w:rsidRDefault="000D4ECA" w:rsidP="0063466C">
      <w:pPr>
        <w:rPr>
          <w:lang w:val="it-IT"/>
        </w:rPr>
      </w:pPr>
      <w:r w:rsidRPr="00451078">
        <w:rPr>
          <w:rFonts w:cs="Tahoma"/>
          <w:szCs w:val="18"/>
          <w:lang w:val="it-IT"/>
        </w:rPr>
        <w:t xml:space="preserve">La copertura SA per Core CAL Suite e CAL per SQL conta come </w:t>
      </w:r>
      <w:r w:rsidRPr="00451078">
        <w:rPr>
          <w:rFonts w:cs="Tahoma"/>
          <w:szCs w:val="18"/>
          <w:u w:val="single"/>
          <w:lang w:val="it-IT"/>
        </w:rPr>
        <w:t xml:space="preserve">un (1) punto </w:t>
      </w:r>
      <w:r w:rsidRPr="00451078">
        <w:rPr>
          <w:rFonts w:cs="Tahoma"/>
          <w:szCs w:val="18"/>
          <w:lang w:val="it-IT"/>
        </w:rPr>
        <w:t xml:space="preserve">per il raggiungimento della soglia indicata nella prima colonna che segue; la copertura SA per Enterprise CAL Suite conta </w:t>
      </w:r>
      <w:r w:rsidRPr="00451078">
        <w:rPr>
          <w:rFonts w:cs="Tahoma"/>
          <w:szCs w:val="18"/>
          <w:u w:val="single"/>
          <w:lang w:val="it-IT"/>
        </w:rPr>
        <w:t>come due (2) punti</w:t>
      </w:r>
      <w:r w:rsidRPr="00451078">
        <w:rPr>
          <w:rFonts w:cs="Tahoma"/>
          <w:szCs w:val="18"/>
          <w:lang w:val="it-IT"/>
        </w:rPr>
        <w:t xml:space="preserve"> per</w:t>
      </w:r>
      <w:r w:rsidR="00C73840" w:rsidRPr="00451078">
        <w:rPr>
          <w:rFonts w:cs="Tahoma"/>
          <w:szCs w:val="18"/>
          <w:lang w:val="it-IT"/>
        </w:rPr>
        <w:t> </w:t>
      </w:r>
      <w:r w:rsidRPr="00451078">
        <w:rPr>
          <w:rFonts w:cs="Tahoma"/>
          <w:szCs w:val="18"/>
          <w:lang w:val="it-IT"/>
        </w:rPr>
        <w:t>il</w:t>
      </w:r>
      <w:r w:rsidR="00C73840" w:rsidRPr="00451078">
        <w:rPr>
          <w:rFonts w:cs="Tahoma"/>
          <w:szCs w:val="18"/>
          <w:lang w:val="it-IT"/>
        </w:rPr>
        <w:t> </w:t>
      </w:r>
      <w:r w:rsidRPr="00451078">
        <w:rPr>
          <w:rFonts w:cs="Tahoma"/>
          <w:szCs w:val="18"/>
          <w:lang w:val="it-IT"/>
        </w:rPr>
        <w:t>raggiungimento della soglia indicata nella prima colonna che segue:</w:t>
      </w:r>
    </w:p>
    <w:p w:rsidR="000D4ECA" w:rsidRPr="00451078" w:rsidRDefault="000D4ECA" w:rsidP="0063466C">
      <w:pPr>
        <w:rPr>
          <w:lang w:val="it-IT"/>
        </w:rPr>
      </w:pPr>
    </w:p>
    <w:tbl>
      <w:tblPr>
        <w:tblW w:w="6120" w:type="dxa"/>
        <w:tblInd w:w="1648" w:type="dxa"/>
        <w:tblCellMar>
          <w:left w:w="0" w:type="dxa"/>
          <w:right w:w="0" w:type="dxa"/>
        </w:tblCellMar>
        <w:tblLook w:val="04A0" w:firstRow="1" w:lastRow="0" w:firstColumn="1" w:lastColumn="0" w:noHBand="0" w:noVBand="1"/>
      </w:tblPr>
      <w:tblGrid>
        <w:gridCol w:w="3330"/>
        <w:gridCol w:w="2790"/>
      </w:tblGrid>
      <w:tr w:rsidR="000D4ECA" w:rsidRPr="003410C7" w:rsidTr="0044720D">
        <w:trPr>
          <w:trHeight w:val="298"/>
          <w:tblHeader/>
        </w:trPr>
        <w:tc>
          <w:tcPr>
            <w:tcW w:w="3330" w:type="dxa"/>
            <w:tcBorders>
              <w:top w:val="single" w:sz="8" w:space="0" w:color="000000"/>
              <w:left w:val="single" w:sz="8" w:space="0" w:color="000000"/>
              <w:bottom w:val="single" w:sz="8" w:space="0" w:color="000000"/>
              <w:right w:val="single" w:sz="8" w:space="0" w:color="000000"/>
            </w:tcBorders>
            <w:shd w:val="clear" w:color="auto" w:fill="FABF8F"/>
            <w:tcMar>
              <w:top w:w="15" w:type="dxa"/>
              <w:left w:w="108" w:type="dxa"/>
              <w:bottom w:w="0" w:type="dxa"/>
              <w:right w:w="108" w:type="dxa"/>
            </w:tcMar>
          </w:tcPr>
          <w:p w:rsidR="000D4ECA" w:rsidRPr="003410C7" w:rsidRDefault="000D4ECA" w:rsidP="000D4ECA">
            <w:pPr>
              <w:spacing w:after="60"/>
              <w:jc w:val="center"/>
              <w:rPr>
                <w:rFonts w:cs="Tahoma"/>
                <w:szCs w:val="18"/>
              </w:rPr>
            </w:pPr>
            <w:r w:rsidRPr="003410C7">
              <w:rPr>
                <w:rFonts w:cs="Tahoma"/>
                <w:b/>
                <w:bCs/>
                <w:szCs w:val="18"/>
              </w:rPr>
              <w:t>CAL Suite</w:t>
            </w:r>
          </w:p>
        </w:tc>
        <w:tc>
          <w:tcPr>
            <w:tcW w:w="2790" w:type="dxa"/>
            <w:tcBorders>
              <w:top w:val="single" w:sz="8" w:space="0" w:color="000000"/>
              <w:left w:val="single" w:sz="8" w:space="0" w:color="000000"/>
              <w:bottom w:val="single" w:sz="8" w:space="0" w:color="000000"/>
              <w:right w:val="single" w:sz="8" w:space="0" w:color="000000"/>
            </w:tcBorders>
            <w:shd w:val="clear" w:color="auto" w:fill="FABF8F"/>
            <w:tcMar>
              <w:top w:w="15" w:type="dxa"/>
              <w:left w:w="108" w:type="dxa"/>
              <w:bottom w:w="0" w:type="dxa"/>
              <w:right w:w="108" w:type="dxa"/>
            </w:tcMar>
          </w:tcPr>
          <w:p w:rsidR="000D4ECA" w:rsidRPr="003410C7" w:rsidRDefault="000D4ECA" w:rsidP="000D4ECA">
            <w:pPr>
              <w:spacing w:after="60"/>
              <w:rPr>
                <w:rFonts w:cs="Tahoma"/>
                <w:szCs w:val="18"/>
              </w:rPr>
            </w:pPr>
            <w:r w:rsidRPr="003410C7">
              <w:rPr>
                <w:rFonts w:cs="Tahoma"/>
                <w:b/>
                <w:bCs/>
                <w:szCs w:val="18"/>
              </w:rPr>
              <w:t xml:space="preserve">Giorni Planning Services </w:t>
            </w:r>
          </w:p>
        </w:tc>
      </w:tr>
      <w:tr w:rsidR="000D4ECA" w:rsidRPr="003410C7" w:rsidTr="0044720D">
        <w:trPr>
          <w:trHeight w:val="235"/>
        </w:trPr>
        <w:tc>
          <w:tcPr>
            <w:tcW w:w="333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0D4ECA" w:rsidRPr="003410C7" w:rsidRDefault="000D4ECA" w:rsidP="00C73840">
            <w:pPr>
              <w:spacing w:after="60"/>
              <w:jc w:val="center"/>
              <w:rPr>
                <w:rFonts w:cs="Tahoma"/>
                <w:szCs w:val="18"/>
              </w:rPr>
            </w:pPr>
            <w:r w:rsidRPr="003410C7">
              <w:rPr>
                <w:rFonts w:cs="Tahoma"/>
                <w:szCs w:val="18"/>
              </w:rPr>
              <w:t>200</w:t>
            </w:r>
            <w:r w:rsidR="00C73840" w:rsidRPr="003410C7">
              <w:rPr>
                <w:rFonts w:cs="Tahoma"/>
                <w:szCs w:val="18"/>
              </w:rPr>
              <w:t xml:space="preserve"> – </w:t>
            </w:r>
            <w:r w:rsidRPr="003410C7">
              <w:rPr>
                <w:rFonts w:cs="Tahoma"/>
                <w:szCs w:val="18"/>
              </w:rPr>
              <w:t>3</w:t>
            </w:r>
            <w:r w:rsidR="00C73840">
              <w:rPr>
                <w:rFonts w:cs="Tahoma"/>
                <w:szCs w:val="18"/>
              </w:rPr>
              <w:t>.</w:t>
            </w:r>
            <w:r w:rsidRPr="003410C7">
              <w:rPr>
                <w:rFonts w:cs="Tahoma"/>
                <w:szCs w:val="18"/>
              </w:rPr>
              <w:t>999</w:t>
            </w:r>
          </w:p>
        </w:tc>
        <w:tc>
          <w:tcPr>
            <w:tcW w:w="279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0D4ECA" w:rsidRPr="003410C7" w:rsidRDefault="000D4ECA" w:rsidP="000D4ECA">
            <w:pPr>
              <w:spacing w:after="60"/>
              <w:jc w:val="center"/>
              <w:rPr>
                <w:rFonts w:cs="Tahoma"/>
                <w:szCs w:val="18"/>
              </w:rPr>
            </w:pPr>
            <w:r w:rsidRPr="003410C7">
              <w:rPr>
                <w:rFonts w:cs="Tahoma"/>
                <w:szCs w:val="18"/>
              </w:rPr>
              <w:t>1</w:t>
            </w:r>
          </w:p>
        </w:tc>
      </w:tr>
      <w:tr w:rsidR="000D4ECA" w:rsidRPr="003410C7" w:rsidTr="0044720D">
        <w:trPr>
          <w:trHeight w:val="55"/>
        </w:trPr>
        <w:tc>
          <w:tcPr>
            <w:tcW w:w="333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0D4ECA" w:rsidRPr="003410C7" w:rsidRDefault="000D4ECA" w:rsidP="00C73840">
            <w:pPr>
              <w:spacing w:after="60"/>
              <w:jc w:val="center"/>
              <w:rPr>
                <w:rFonts w:cs="Tahoma"/>
                <w:szCs w:val="18"/>
              </w:rPr>
            </w:pPr>
            <w:r w:rsidRPr="003410C7">
              <w:rPr>
                <w:rFonts w:cs="Tahoma"/>
                <w:szCs w:val="18"/>
              </w:rPr>
              <w:t>4</w:t>
            </w:r>
            <w:r w:rsidR="00C73840">
              <w:rPr>
                <w:rFonts w:cs="Tahoma"/>
                <w:szCs w:val="18"/>
              </w:rPr>
              <w:t>.</w:t>
            </w:r>
            <w:r w:rsidRPr="003410C7">
              <w:rPr>
                <w:rFonts w:cs="Tahoma"/>
                <w:szCs w:val="18"/>
              </w:rPr>
              <w:t>000 – 9</w:t>
            </w:r>
            <w:r w:rsidR="00C73840">
              <w:rPr>
                <w:rFonts w:cs="Tahoma"/>
                <w:szCs w:val="18"/>
              </w:rPr>
              <w:t>.</w:t>
            </w:r>
            <w:r w:rsidRPr="003410C7">
              <w:rPr>
                <w:rFonts w:cs="Tahoma"/>
                <w:szCs w:val="18"/>
              </w:rPr>
              <w:t>999</w:t>
            </w:r>
          </w:p>
        </w:tc>
        <w:tc>
          <w:tcPr>
            <w:tcW w:w="279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0D4ECA" w:rsidRPr="003410C7" w:rsidRDefault="000D4ECA" w:rsidP="000D4ECA">
            <w:pPr>
              <w:spacing w:after="60"/>
              <w:jc w:val="center"/>
              <w:rPr>
                <w:rFonts w:cs="Tahoma"/>
                <w:szCs w:val="18"/>
              </w:rPr>
            </w:pPr>
            <w:r w:rsidRPr="003410C7">
              <w:rPr>
                <w:rFonts w:cs="Tahoma"/>
                <w:szCs w:val="18"/>
              </w:rPr>
              <w:t>3</w:t>
            </w:r>
          </w:p>
        </w:tc>
      </w:tr>
      <w:tr w:rsidR="000D4ECA" w:rsidRPr="003410C7" w:rsidTr="0044720D">
        <w:trPr>
          <w:trHeight w:val="45"/>
        </w:trPr>
        <w:tc>
          <w:tcPr>
            <w:tcW w:w="333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0D4ECA" w:rsidRPr="003410C7" w:rsidRDefault="000D4ECA" w:rsidP="00C73840">
            <w:pPr>
              <w:spacing w:after="60"/>
              <w:jc w:val="center"/>
              <w:rPr>
                <w:rFonts w:cs="Tahoma"/>
                <w:szCs w:val="18"/>
              </w:rPr>
            </w:pPr>
            <w:r w:rsidRPr="003410C7">
              <w:rPr>
                <w:rFonts w:cs="Tahoma"/>
                <w:szCs w:val="18"/>
              </w:rPr>
              <w:t>10</w:t>
            </w:r>
            <w:r w:rsidR="00C73840">
              <w:rPr>
                <w:rFonts w:cs="Tahoma"/>
                <w:szCs w:val="18"/>
              </w:rPr>
              <w:t>.</w:t>
            </w:r>
            <w:r w:rsidRPr="003410C7">
              <w:rPr>
                <w:rFonts w:cs="Tahoma"/>
                <w:szCs w:val="18"/>
              </w:rPr>
              <w:t>000 – 99</w:t>
            </w:r>
            <w:r w:rsidR="00C73840">
              <w:rPr>
                <w:rFonts w:cs="Tahoma"/>
                <w:szCs w:val="18"/>
              </w:rPr>
              <w:t>.</w:t>
            </w:r>
            <w:r w:rsidRPr="003410C7">
              <w:rPr>
                <w:rFonts w:cs="Tahoma"/>
                <w:szCs w:val="18"/>
              </w:rPr>
              <w:t>999</w:t>
            </w:r>
          </w:p>
        </w:tc>
        <w:tc>
          <w:tcPr>
            <w:tcW w:w="279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0D4ECA" w:rsidRPr="003410C7" w:rsidRDefault="000D4ECA" w:rsidP="000D4ECA">
            <w:pPr>
              <w:spacing w:after="60"/>
              <w:jc w:val="center"/>
              <w:rPr>
                <w:rFonts w:cs="Tahoma"/>
                <w:szCs w:val="18"/>
              </w:rPr>
            </w:pPr>
            <w:r w:rsidRPr="003410C7">
              <w:rPr>
                <w:rFonts w:cs="Tahoma"/>
                <w:szCs w:val="18"/>
              </w:rPr>
              <w:t>5</w:t>
            </w:r>
          </w:p>
        </w:tc>
      </w:tr>
      <w:tr w:rsidR="000D4ECA" w:rsidRPr="003410C7" w:rsidTr="0044720D">
        <w:trPr>
          <w:trHeight w:val="45"/>
        </w:trPr>
        <w:tc>
          <w:tcPr>
            <w:tcW w:w="333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0D4ECA" w:rsidRPr="003410C7" w:rsidRDefault="000D4ECA" w:rsidP="00C73840">
            <w:pPr>
              <w:spacing w:after="60"/>
              <w:jc w:val="center"/>
              <w:rPr>
                <w:rFonts w:cs="Tahoma"/>
                <w:szCs w:val="18"/>
              </w:rPr>
            </w:pPr>
            <w:r w:rsidRPr="003410C7">
              <w:rPr>
                <w:rFonts w:cs="Tahoma"/>
                <w:szCs w:val="18"/>
              </w:rPr>
              <w:t>100</w:t>
            </w:r>
            <w:r w:rsidR="00C73840">
              <w:rPr>
                <w:rFonts w:cs="Tahoma"/>
                <w:szCs w:val="18"/>
              </w:rPr>
              <w:t>.</w:t>
            </w:r>
            <w:r w:rsidRPr="003410C7">
              <w:rPr>
                <w:rFonts w:cs="Tahoma"/>
                <w:szCs w:val="18"/>
              </w:rPr>
              <w:t>000 – 299</w:t>
            </w:r>
            <w:r w:rsidR="00C73840">
              <w:rPr>
                <w:rFonts w:cs="Tahoma"/>
                <w:szCs w:val="18"/>
              </w:rPr>
              <w:t>.</w:t>
            </w:r>
            <w:r w:rsidRPr="003410C7">
              <w:rPr>
                <w:rFonts w:cs="Tahoma"/>
                <w:szCs w:val="18"/>
              </w:rPr>
              <w:t>999</w:t>
            </w:r>
          </w:p>
        </w:tc>
        <w:tc>
          <w:tcPr>
            <w:tcW w:w="279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0D4ECA" w:rsidRPr="003410C7" w:rsidRDefault="000D4ECA" w:rsidP="000D4ECA">
            <w:pPr>
              <w:spacing w:after="60"/>
              <w:jc w:val="center"/>
              <w:rPr>
                <w:rFonts w:cs="Tahoma"/>
                <w:szCs w:val="18"/>
              </w:rPr>
            </w:pPr>
            <w:r w:rsidRPr="003410C7">
              <w:rPr>
                <w:rFonts w:cs="Tahoma"/>
                <w:szCs w:val="18"/>
              </w:rPr>
              <w:t>7</w:t>
            </w:r>
          </w:p>
        </w:tc>
      </w:tr>
      <w:tr w:rsidR="000D4ECA" w:rsidRPr="003410C7" w:rsidTr="0044720D">
        <w:trPr>
          <w:trHeight w:val="73"/>
        </w:trPr>
        <w:tc>
          <w:tcPr>
            <w:tcW w:w="333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0D4ECA" w:rsidRPr="003410C7" w:rsidRDefault="000D4ECA" w:rsidP="00C73840">
            <w:pPr>
              <w:spacing w:after="60"/>
              <w:jc w:val="center"/>
              <w:rPr>
                <w:rFonts w:cs="Tahoma"/>
                <w:szCs w:val="18"/>
              </w:rPr>
            </w:pPr>
            <w:r w:rsidRPr="003410C7">
              <w:rPr>
                <w:rFonts w:cs="Tahoma"/>
                <w:szCs w:val="18"/>
              </w:rPr>
              <w:t>300</w:t>
            </w:r>
            <w:r w:rsidR="00C73840">
              <w:rPr>
                <w:rFonts w:cs="Tahoma"/>
                <w:szCs w:val="18"/>
              </w:rPr>
              <w:t>.</w:t>
            </w:r>
            <w:r w:rsidRPr="003410C7">
              <w:rPr>
                <w:rFonts w:cs="Tahoma"/>
                <w:szCs w:val="18"/>
              </w:rPr>
              <w:t>000 – 599</w:t>
            </w:r>
            <w:r w:rsidR="00C73840">
              <w:rPr>
                <w:rFonts w:cs="Tahoma"/>
                <w:szCs w:val="18"/>
              </w:rPr>
              <w:t>.</w:t>
            </w:r>
            <w:r w:rsidRPr="003410C7">
              <w:rPr>
                <w:rFonts w:cs="Tahoma"/>
                <w:szCs w:val="18"/>
              </w:rPr>
              <w:t>999</w:t>
            </w:r>
          </w:p>
        </w:tc>
        <w:tc>
          <w:tcPr>
            <w:tcW w:w="279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0D4ECA" w:rsidRPr="003410C7" w:rsidRDefault="000D4ECA" w:rsidP="000D4ECA">
            <w:pPr>
              <w:spacing w:after="60"/>
              <w:jc w:val="center"/>
              <w:rPr>
                <w:rFonts w:cs="Tahoma"/>
                <w:szCs w:val="18"/>
              </w:rPr>
            </w:pPr>
            <w:r w:rsidRPr="003410C7">
              <w:rPr>
                <w:rFonts w:cs="Tahoma"/>
                <w:szCs w:val="18"/>
              </w:rPr>
              <w:t>10</w:t>
            </w:r>
          </w:p>
        </w:tc>
      </w:tr>
      <w:tr w:rsidR="000D4ECA" w:rsidRPr="003410C7" w:rsidTr="0044720D">
        <w:trPr>
          <w:trHeight w:val="45"/>
        </w:trPr>
        <w:tc>
          <w:tcPr>
            <w:tcW w:w="333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0D4ECA" w:rsidRPr="003410C7" w:rsidRDefault="000D4ECA" w:rsidP="00C73840">
            <w:pPr>
              <w:spacing w:after="60"/>
              <w:jc w:val="center"/>
              <w:rPr>
                <w:rFonts w:cs="Tahoma"/>
                <w:szCs w:val="18"/>
              </w:rPr>
            </w:pPr>
            <w:r w:rsidRPr="003410C7">
              <w:rPr>
                <w:rFonts w:cs="Tahoma"/>
                <w:szCs w:val="18"/>
              </w:rPr>
              <w:t>600</w:t>
            </w:r>
            <w:r w:rsidR="00C73840">
              <w:rPr>
                <w:rFonts w:cs="Tahoma"/>
                <w:szCs w:val="18"/>
              </w:rPr>
              <w:t>.</w:t>
            </w:r>
            <w:r w:rsidRPr="003410C7">
              <w:rPr>
                <w:rFonts w:cs="Tahoma"/>
                <w:szCs w:val="18"/>
              </w:rPr>
              <w:t>000 +</w:t>
            </w:r>
          </w:p>
        </w:tc>
        <w:tc>
          <w:tcPr>
            <w:tcW w:w="279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0D4ECA" w:rsidRPr="003410C7" w:rsidRDefault="000D4ECA" w:rsidP="000D4ECA">
            <w:pPr>
              <w:spacing w:after="60"/>
              <w:jc w:val="center"/>
              <w:rPr>
                <w:rFonts w:cs="Tahoma"/>
                <w:szCs w:val="18"/>
              </w:rPr>
            </w:pPr>
            <w:r w:rsidRPr="003410C7">
              <w:rPr>
                <w:rFonts w:cs="Tahoma"/>
                <w:szCs w:val="18"/>
              </w:rPr>
              <w:t>12</w:t>
            </w:r>
          </w:p>
        </w:tc>
      </w:tr>
    </w:tbl>
    <w:p w:rsidR="001C1727" w:rsidRPr="003410C7" w:rsidRDefault="001C1727"/>
    <w:p w:rsidR="000D4ECA" w:rsidRPr="003410C7" w:rsidRDefault="000D4ECA" w:rsidP="000D4ECA">
      <w:pPr>
        <w:spacing w:after="60"/>
      </w:pPr>
      <w:r w:rsidRPr="003410C7">
        <w:rPr>
          <w:rFonts w:cs="Tahoma"/>
          <w:szCs w:val="20"/>
        </w:rPr>
        <w:t>Esempi</w:t>
      </w:r>
    </w:p>
    <w:p w:rsidR="000D4ECA" w:rsidRPr="003410C7" w:rsidRDefault="000D4ECA" w:rsidP="000D4ECA">
      <w:pPr>
        <w:spacing w:after="60"/>
      </w:pPr>
      <w:r w:rsidRPr="003410C7">
        <w:rPr>
          <w:rFonts w:cs="Tahoma"/>
          <w:szCs w:val="20"/>
        </w:rPr>
        <w:t>Contratto Open Value con:</w:t>
      </w:r>
    </w:p>
    <w:p w:rsidR="000D4ECA" w:rsidRPr="003410C7" w:rsidRDefault="000D4ECA" w:rsidP="000D4ECA">
      <w:pPr>
        <w:spacing w:after="60"/>
      </w:pPr>
      <w:r w:rsidRPr="003410C7">
        <w:rPr>
          <w:rFonts w:cs="Tahoma"/>
          <w:szCs w:val="20"/>
        </w:rPr>
        <w:t>150 Office Professional Plus L&amp;SA</w:t>
      </w:r>
    </w:p>
    <w:p w:rsidR="000D4ECA" w:rsidRPr="003410C7" w:rsidRDefault="000D4ECA" w:rsidP="000D4ECA">
      <w:pPr>
        <w:spacing w:after="60"/>
      </w:pPr>
      <w:r w:rsidRPr="003410C7">
        <w:rPr>
          <w:rFonts w:cs="Tahoma"/>
          <w:szCs w:val="20"/>
          <w:u w:val="single"/>
        </w:rPr>
        <w:t>+50 SA per Visio Standard</w:t>
      </w:r>
      <w:r w:rsidRPr="003410C7">
        <w:rPr>
          <w:rFonts w:cs="Tahoma"/>
          <w:szCs w:val="20"/>
          <w:u w:val="single"/>
        </w:rPr>
        <w:tab/>
      </w:r>
      <w:r w:rsidRPr="003410C7">
        <w:rPr>
          <w:rFonts w:cs="Tahoma"/>
          <w:szCs w:val="20"/>
          <w:u w:val="single"/>
        </w:rPr>
        <w:tab/>
      </w:r>
      <w:r w:rsidRPr="003410C7">
        <w:rPr>
          <w:rFonts w:cs="Tahoma"/>
          <w:szCs w:val="20"/>
          <w:u w:val="single"/>
        </w:rPr>
        <w:tab/>
      </w:r>
    </w:p>
    <w:p w:rsidR="000D4ECA" w:rsidRPr="00451078" w:rsidRDefault="000D4ECA" w:rsidP="000D4ECA">
      <w:pPr>
        <w:spacing w:after="60"/>
        <w:rPr>
          <w:lang w:val="it-IT"/>
        </w:rPr>
      </w:pPr>
      <w:r w:rsidRPr="00451078">
        <w:rPr>
          <w:rFonts w:cs="Tahoma"/>
          <w:szCs w:val="20"/>
          <w:lang w:val="it-IT"/>
        </w:rPr>
        <w:t>200 Punti di Licenze per Applicazioni Office e/o Server = 1 giorno</w:t>
      </w:r>
    </w:p>
    <w:p w:rsidR="000D4ECA" w:rsidRPr="00451078" w:rsidRDefault="000D4ECA" w:rsidP="00077CE5">
      <w:pPr>
        <w:rPr>
          <w:lang w:val="it-IT"/>
        </w:rPr>
      </w:pPr>
    </w:p>
    <w:p w:rsidR="000D4ECA" w:rsidRPr="00451078" w:rsidRDefault="000D4ECA" w:rsidP="000D4ECA">
      <w:pPr>
        <w:spacing w:after="60"/>
        <w:rPr>
          <w:lang w:val="it-IT"/>
        </w:rPr>
      </w:pPr>
      <w:r w:rsidRPr="00451078">
        <w:rPr>
          <w:rFonts w:cs="Tahoma"/>
          <w:szCs w:val="20"/>
          <w:lang w:val="it-IT"/>
        </w:rPr>
        <w:t>Iscrizione Select o Select Plus SAM con:</w:t>
      </w:r>
    </w:p>
    <w:p w:rsidR="000D4ECA" w:rsidRPr="00451078" w:rsidRDefault="000D4ECA" w:rsidP="000D4ECA">
      <w:pPr>
        <w:spacing w:after="60"/>
        <w:rPr>
          <w:lang w:val="it-IT"/>
        </w:rPr>
      </w:pPr>
      <w:r w:rsidRPr="00451078">
        <w:rPr>
          <w:rFonts w:cs="Tahoma"/>
          <w:szCs w:val="20"/>
          <w:lang w:val="it-IT"/>
        </w:rPr>
        <w:t>SA per 3.500 Enterprise CAL Suite</w:t>
      </w:r>
    </w:p>
    <w:p w:rsidR="000D4ECA" w:rsidRPr="00451078" w:rsidRDefault="000D4ECA" w:rsidP="000D4ECA">
      <w:pPr>
        <w:spacing w:after="60"/>
        <w:rPr>
          <w:lang w:val="it-IT"/>
        </w:rPr>
      </w:pPr>
      <w:r w:rsidRPr="00451078">
        <w:rPr>
          <w:rFonts w:cs="Tahoma"/>
          <w:szCs w:val="20"/>
          <w:u w:val="single"/>
          <w:lang w:val="it-IT"/>
        </w:rPr>
        <w:t>x 2 punti ciascuna</w:t>
      </w:r>
      <w:r w:rsidRPr="00451078">
        <w:rPr>
          <w:rFonts w:cs="Tahoma"/>
          <w:szCs w:val="20"/>
          <w:u w:val="single"/>
          <w:lang w:val="it-IT"/>
        </w:rPr>
        <w:tab/>
      </w:r>
      <w:r w:rsidRPr="00451078">
        <w:rPr>
          <w:rFonts w:cs="Tahoma"/>
          <w:szCs w:val="20"/>
          <w:u w:val="single"/>
          <w:lang w:val="it-IT"/>
        </w:rPr>
        <w:tab/>
      </w:r>
      <w:r w:rsidRPr="00451078">
        <w:rPr>
          <w:rFonts w:cs="Tahoma"/>
          <w:szCs w:val="20"/>
          <w:u w:val="single"/>
          <w:lang w:val="it-IT"/>
        </w:rPr>
        <w:tab/>
      </w:r>
      <w:r w:rsidRPr="00451078">
        <w:rPr>
          <w:rFonts w:cs="Tahoma"/>
          <w:szCs w:val="20"/>
          <w:u w:val="single"/>
          <w:lang w:val="it-IT"/>
        </w:rPr>
        <w:tab/>
      </w:r>
      <w:r w:rsidRPr="00451078">
        <w:rPr>
          <w:rFonts w:cs="Tahoma"/>
          <w:szCs w:val="20"/>
          <w:lang w:val="it-IT"/>
        </w:rPr>
        <w:t xml:space="preserve"> </w:t>
      </w:r>
    </w:p>
    <w:p w:rsidR="000D4ECA" w:rsidRPr="00451078" w:rsidRDefault="000D4ECA" w:rsidP="000D4ECA">
      <w:pPr>
        <w:spacing w:after="60"/>
        <w:rPr>
          <w:lang w:val="it-IT"/>
        </w:rPr>
      </w:pPr>
      <w:r w:rsidRPr="00451078">
        <w:rPr>
          <w:rFonts w:cs="Tahoma"/>
          <w:szCs w:val="20"/>
          <w:lang w:val="it-IT"/>
        </w:rPr>
        <w:t xml:space="preserve">7.000 punti per CAL = 3 giorni </w:t>
      </w:r>
    </w:p>
    <w:p w:rsidR="000D4ECA" w:rsidRPr="00451078" w:rsidRDefault="000D4ECA" w:rsidP="00077CE5">
      <w:pPr>
        <w:rPr>
          <w:lang w:val="it-IT"/>
        </w:rPr>
      </w:pPr>
    </w:p>
    <w:p w:rsidR="000D4ECA" w:rsidRPr="00451078" w:rsidRDefault="000D4ECA" w:rsidP="000D4ECA">
      <w:pPr>
        <w:spacing w:after="60"/>
        <w:rPr>
          <w:lang w:val="it-IT"/>
        </w:rPr>
      </w:pPr>
      <w:r w:rsidRPr="00451078">
        <w:rPr>
          <w:rFonts w:cs="Tahoma"/>
          <w:szCs w:val="20"/>
          <w:lang w:val="it-IT"/>
        </w:rPr>
        <w:t>Iscrizione EA con:</w:t>
      </w:r>
    </w:p>
    <w:p w:rsidR="000D4ECA" w:rsidRPr="003410C7" w:rsidRDefault="000D4ECA" w:rsidP="000D4ECA">
      <w:pPr>
        <w:spacing w:after="60"/>
      </w:pPr>
      <w:r w:rsidRPr="003410C7">
        <w:rPr>
          <w:rFonts w:cs="Tahoma"/>
          <w:szCs w:val="20"/>
        </w:rPr>
        <w:t>3.500 Enterprise Desktop</w:t>
      </w:r>
    </w:p>
    <w:p w:rsidR="000D4ECA" w:rsidRPr="003410C7" w:rsidRDefault="000D4ECA" w:rsidP="00745AB3">
      <w:pPr>
        <w:numPr>
          <w:ilvl w:val="0"/>
          <w:numId w:val="69"/>
        </w:numPr>
        <w:tabs>
          <w:tab w:val="left" w:pos="720"/>
        </w:tabs>
        <w:spacing w:after="60" w:line="276" w:lineRule="auto"/>
      </w:pPr>
      <w:r w:rsidRPr="003410C7">
        <w:rPr>
          <w:rFonts w:cs="Tahoma"/>
          <w:szCs w:val="20"/>
        </w:rPr>
        <w:t xml:space="preserve">3.500 Office Professional </w:t>
      </w:r>
      <w:r w:rsidRPr="003410C7">
        <w:rPr>
          <w:rFonts w:cs="Tahoma"/>
          <w:color w:val="000000"/>
          <w:szCs w:val="20"/>
        </w:rPr>
        <w:t>Plus</w:t>
      </w:r>
    </w:p>
    <w:p w:rsidR="000D4ECA" w:rsidRPr="003410C7" w:rsidRDefault="000D4ECA" w:rsidP="00745AB3">
      <w:pPr>
        <w:numPr>
          <w:ilvl w:val="0"/>
          <w:numId w:val="69"/>
        </w:numPr>
        <w:spacing w:after="60" w:line="276" w:lineRule="auto"/>
      </w:pPr>
      <w:r w:rsidRPr="003410C7">
        <w:rPr>
          <w:rFonts w:cs="Tahoma"/>
          <w:color w:val="000000"/>
          <w:szCs w:val="20"/>
        </w:rPr>
        <w:t>3.500 Enterprise CAL Suite</w:t>
      </w:r>
    </w:p>
    <w:p w:rsidR="000D4ECA" w:rsidRPr="00451078" w:rsidRDefault="000D4ECA" w:rsidP="000D4ECA">
      <w:pPr>
        <w:spacing w:after="60"/>
        <w:rPr>
          <w:lang w:val="it-IT"/>
        </w:rPr>
      </w:pPr>
      <w:r w:rsidRPr="00451078">
        <w:rPr>
          <w:rFonts w:cs="Tahoma"/>
          <w:szCs w:val="20"/>
          <w:lang w:val="it-IT"/>
        </w:rPr>
        <w:t>+50 Windows Server Enterprise Edition (x 50 punti ciascuna = 2.500 punti)</w:t>
      </w:r>
    </w:p>
    <w:p w:rsidR="000D4ECA" w:rsidRPr="00451078" w:rsidRDefault="000D4ECA" w:rsidP="000D4ECA">
      <w:pPr>
        <w:spacing w:after="60"/>
        <w:rPr>
          <w:lang w:val="it-IT"/>
        </w:rPr>
      </w:pPr>
      <w:r w:rsidRPr="00451078">
        <w:rPr>
          <w:rFonts w:cs="Tahoma"/>
          <w:szCs w:val="20"/>
          <w:u w:val="single"/>
          <w:lang w:val="it-IT"/>
        </w:rPr>
        <w:t>+600 SA per Visio Standard</w:t>
      </w:r>
      <w:r w:rsidRPr="00451078">
        <w:rPr>
          <w:rFonts w:cs="Tahoma"/>
          <w:szCs w:val="20"/>
          <w:u w:val="single"/>
          <w:lang w:val="it-IT"/>
        </w:rPr>
        <w:tab/>
      </w:r>
      <w:r w:rsidRPr="00451078">
        <w:rPr>
          <w:rFonts w:cs="Tahoma"/>
          <w:szCs w:val="20"/>
          <w:u w:val="single"/>
          <w:lang w:val="it-IT"/>
        </w:rPr>
        <w:tab/>
      </w:r>
      <w:r w:rsidRPr="00451078">
        <w:rPr>
          <w:rFonts w:cs="Tahoma"/>
          <w:szCs w:val="20"/>
          <w:u w:val="single"/>
          <w:lang w:val="it-IT"/>
        </w:rPr>
        <w:tab/>
        <w:t xml:space="preserve"> </w:t>
      </w:r>
    </w:p>
    <w:p w:rsidR="000D4ECA" w:rsidRPr="00451078" w:rsidRDefault="000D4ECA" w:rsidP="000D4ECA">
      <w:pPr>
        <w:spacing w:after="60"/>
        <w:rPr>
          <w:lang w:val="it-IT"/>
        </w:rPr>
      </w:pPr>
      <w:r w:rsidRPr="00451078">
        <w:rPr>
          <w:rFonts w:cs="Tahoma"/>
          <w:szCs w:val="20"/>
          <w:lang w:val="it-IT"/>
        </w:rPr>
        <w:t xml:space="preserve">6.600 Punti per Licenze per Applicazioni Office e/o Server Coperte = 10 giorni </w:t>
      </w:r>
    </w:p>
    <w:p w:rsidR="000D4ECA" w:rsidRPr="00451078" w:rsidRDefault="000D4ECA" w:rsidP="000D4ECA">
      <w:pPr>
        <w:spacing w:after="60"/>
        <w:rPr>
          <w:lang w:val="it-IT"/>
        </w:rPr>
      </w:pPr>
      <w:r w:rsidRPr="00451078">
        <w:rPr>
          <w:rFonts w:cs="Tahoma"/>
          <w:szCs w:val="20"/>
          <w:lang w:val="it-IT"/>
        </w:rPr>
        <w:t>7.000 punti per CAL Suite Coperte= 3 giorni</w:t>
      </w:r>
    </w:p>
    <w:p w:rsidR="000D4ECA" w:rsidRPr="003410C7" w:rsidRDefault="000D4ECA" w:rsidP="00745AB3">
      <w:pPr>
        <w:numPr>
          <w:ilvl w:val="0"/>
          <w:numId w:val="70"/>
        </w:numPr>
        <w:spacing w:after="60"/>
        <w:ind w:left="720"/>
      </w:pPr>
      <w:r w:rsidRPr="003410C7">
        <w:rPr>
          <w:rFonts w:cs="Tahoma"/>
          <w:szCs w:val="20"/>
        </w:rPr>
        <w:t>Totale 13 Giorni Planning Services</w:t>
      </w:r>
    </w:p>
    <w:p w:rsidR="000D4ECA" w:rsidRPr="003410C7" w:rsidRDefault="000D4ECA" w:rsidP="000D4ECA">
      <w:pPr>
        <w:spacing w:after="60"/>
      </w:pPr>
      <w:r w:rsidRPr="003410C7">
        <w:rPr>
          <w:rFonts w:cs="Tahoma"/>
          <w:szCs w:val="20"/>
        </w:rPr>
        <w:t>Iscrizione ECI con:</w:t>
      </w:r>
    </w:p>
    <w:p w:rsidR="00316AE2" w:rsidRPr="003410C7" w:rsidRDefault="00316AE2" w:rsidP="00316AE2">
      <w:pPr>
        <w:spacing w:after="60"/>
      </w:pPr>
      <w:r w:rsidRPr="003410C7">
        <w:rPr>
          <w:rFonts w:cs="Tahoma"/>
          <w:szCs w:val="20"/>
        </w:rPr>
        <w:t xml:space="preserve">100 ECI Datacenter </w:t>
      </w:r>
    </w:p>
    <w:p w:rsidR="00316AE2" w:rsidRPr="00451078" w:rsidRDefault="00316AE2" w:rsidP="00745AB3">
      <w:pPr>
        <w:numPr>
          <w:ilvl w:val="0"/>
          <w:numId w:val="70"/>
        </w:numPr>
        <w:spacing w:after="60"/>
        <w:ind w:left="720"/>
        <w:rPr>
          <w:lang w:val="it-IT"/>
        </w:rPr>
      </w:pPr>
      <w:r w:rsidRPr="00451078">
        <w:rPr>
          <w:rFonts w:cs="Tahoma"/>
          <w:szCs w:val="20"/>
          <w:lang w:val="it-IT"/>
        </w:rPr>
        <w:t>100 Windows Server Datacenter Edition (x 75 punti ciascuna x 2 punti moltiplicatori = 15.000 punti)</w:t>
      </w:r>
    </w:p>
    <w:p w:rsidR="00316AE2" w:rsidRPr="00451078" w:rsidRDefault="00316AE2" w:rsidP="00745AB3">
      <w:pPr>
        <w:numPr>
          <w:ilvl w:val="0"/>
          <w:numId w:val="70"/>
        </w:numPr>
        <w:spacing w:after="60"/>
        <w:ind w:left="720"/>
        <w:rPr>
          <w:lang w:val="it-IT"/>
        </w:rPr>
      </w:pPr>
      <w:r w:rsidRPr="00451078">
        <w:rPr>
          <w:rFonts w:cs="Tahoma"/>
          <w:szCs w:val="20"/>
          <w:u w:val="single"/>
          <w:lang w:val="it-IT"/>
        </w:rPr>
        <w:t>100 System Center 2012 Datacenter Edition (x 75 punti ciascuna x 2 punti moltiplicatori = 15.000 punti)</w:t>
      </w:r>
    </w:p>
    <w:p w:rsidR="000D4ECA" w:rsidRPr="00451078" w:rsidRDefault="00316AE2" w:rsidP="00697E59">
      <w:pPr>
        <w:spacing w:after="60"/>
        <w:ind w:firstLine="360"/>
        <w:rPr>
          <w:lang w:val="it-IT"/>
        </w:rPr>
      </w:pPr>
      <w:r w:rsidRPr="00451078">
        <w:rPr>
          <w:rFonts w:cs="Tahoma"/>
          <w:szCs w:val="20"/>
          <w:lang w:val="it-IT"/>
        </w:rPr>
        <w:t>30.000 Punti per Licenze per Applicazioni Office e/o Server Coperte = 15 giorni</w:t>
      </w:r>
    </w:p>
    <w:p w:rsidR="00697E59" w:rsidRPr="00451078" w:rsidRDefault="00697E59" w:rsidP="00077CE5">
      <w:pPr>
        <w:ind w:firstLine="360"/>
        <w:rPr>
          <w:lang w:val="it-IT"/>
        </w:rPr>
      </w:pPr>
    </w:p>
    <w:p w:rsidR="00023FE7" w:rsidRPr="00451078" w:rsidRDefault="00023FE7" w:rsidP="00F528E5">
      <w:pPr>
        <w:pStyle w:val="AppendixBodyText"/>
        <w:spacing w:after="0"/>
        <w:rPr>
          <w:lang w:val="it-IT"/>
        </w:rPr>
      </w:pPr>
      <w:r w:rsidRPr="00451078">
        <w:rPr>
          <w:rFonts w:ascii="Tahoma" w:hAnsi="Tahoma" w:cs="Tahoma"/>
          <w:sz w:val="18"/>
          <w:lang w:val="it-IT"/>
        </w:rPr>
        <w:t>Le società possono inoltre incrementare il numero di Giorni Planning Services qualora soddisfino i seguenti criteri: (a)</w:t>
      </w:r>
      <w:r w:rsidR="00065D24" w:rsidRPr="00451078">
        <w:rPr>
          <w:rFonts w:ascii="Tahoma" w:hAnsi="Tahoma" w:cs="Tahoma"/>
          <w:sz w:val="18"/>
          <w:lang w:val="it-IT"/>
        </w:rPr>
        <w:t> </w:t>
      </w:r>
      <w:r w:rsidRPr="00451078">
        <w:rPr>
          <w:rFonts w:ascii="Tahoma" w:hAnsi="Tahoma" w:cs="Tahoma"/>
          <w:sz w:val="18"/>
          <w:lang w:val="it-IT"/>
        </w:rPr>
        <w:t>sono al momento idonee per il vantaggio Voucher Corsi, (b) hanno attivato il vantaggio Voucher Corsi e (c) hanno almeno 3 giorni di corsi non rivendicati del vantaggio Voucher Corsi disponibili per la conversione.</w:t>
      </w:r>
      <w:r w:rsidR="00082E1C" w:rsidRPr="00451078">
        <w:rPr>
          <w:rFonts w:ascii="Tahoma" w:hAnsi="Tahoma" w:cs="Tahoma"/>
          <w:sz w:val="18"/>
          <w:lang w:val="it-IT"/>
        </w:rPr>
        <w:t xml:space="preserve"> </w:t>
      </w:r>
      <w:r w:rsidRPr="00451078">
        <w:rPr>
          <w:rFonts w:ascii="Tahoma" w:hAnsi="Tahoma" w:cs="Tahoma"/>
          <w:sz w:val="18"/>
          <w:lang w:val="it-IT"/>
        </w:rPr>
        <w:t xml:space="preserve">Le società idonee possono convertire i giorni non utilizzati di Voucher Corsi in Giorni Planning Services sulla base di 3 a 1 (tre Giorni Voucher Corsi = un Giorno Planning Services). </w:t>
      </w:r>
      <w:r w:rsidRPr="00451078">
        <w:rPr>
          <w:rFonts w:ascii="Tahoma" w:hAnsi="Tahoma" w:cs="Tahoma"/>
          <w:bCs/>
          <w:sz w:val="18"/>
          <w:lang w:val="it-IT"/>
        </w:rPr>
        <w:t>(NOTA: le società che desiderano utilizzare i loro giorni Voucher Corsi</w:t>
      </w:r>
      <w:r w:rsidR="00065D24" w:rsidRPr="00451078">
        <w:rPr>
          <w:rFonts w:ascii="Tahoma" w:hAnsi="Tahoma" w:cs="Tahoma"/>
          <w:bCs/>
          <w:sz w:val="18"/>
          <w:lang w:val="it-IT"/>
        </w:rPr>
        <w:t> </w:t>
      </w:r>
      <w:r w:rsidRPr="00451078">
        <w:rPr>
          <w:rFonts w:ascii="Tahoma" w:hAnsi="Tahoma" w:cs="Tahoma"/>
          <w:bCs/>
          <w:sz w:val="18"/>
          <w:lang w:val="it-IT"/>
        </w:rPr>
        <w:t xml:space="preserve">a favore dei Planning Services non dovranno creare Voucher Corsi con quei giorni). [A livello generale, i Giorni </w:t>
      </w:r>
      <w:r w:rsidRPr="00451078">
        <w:rPr>
          <w:rFonts w:ascii="Tahoma" w:hAnsi="Tahoma" w:cs="Tahoma"/>
          <w:sz w:val="18"/>
          <w:lang w:val="it-IT"/>
        </w:rPr>
        <w:lastRenderedPageBreak/>
        <w:t>Planning</w:t>
      </w:r>
      <w:r w:rsidRPr="00451078">
        <w:rPr>
          <w:rFonts w:ascii="Tahoma" w:hAnsi="Tahoma" w:cs="Tahoma"/>
          <w:bCs/>
          <w:sz w:val="18"/>
          <w:lang w:val="it-IT"/>
        </w:rPr>
        <w:t xml:space="preserve"> Services non possono essere convertiti in giorni Voucher Corsi]. Tuttavia, qualora una società desideri annullare la conversione di giorni Voucher Corsi, i Giorni Planning Services potranno essere riconvertiti in giorni Voucher Corsi. In seguito alla conversione di giorni Voucher Corsi in Giorni Planning Services, i Giorni Planning Services appariranno nel pool di giorni Planning Services della società.</w:t>
      </w:r>
      <w:r w:rsidR="00082E1C" w:rsidRPr="00451078">
        <w:rPr>
          <w:rFonts w:ascii="Tahoma" w:hAnsi="Tahoma" w:cs="Tahoma"/>
          <w:bCs/>
          <w:sz w:val="18"/>
          <w:lang w:val="it-IT"/>
        </w:rPr>
        <w:t xml:space="preserve"> </w:t>
      </w:r>
      <w:r w:rsidRPr="00451078">
        <w:rPr>
          <w:rFonts w:ascii="Tahoma" w:hAnsi="Tahoma" w:cs="Tahoma"/>
          <w:bCs/>
          <w:sz w:val="18"/>
          <w:lang w:val="it-IT"/>
        </w:rPr>
        <w:t>Tali giorni possono essere utilizzati per creare voucher per i servizi disponibili, ad esempio DDPS o SDPS.</w:t>
      </w:r>
      <w:r w:rsidR="00082E1C" w:rsidRPr="00451078">
        <w:rPr>
          <w:rFonts w:ascii="Tahoma" w:hAnsi="Tahoma" w:cs="Tahoma"/>
          <w:bCs/>
          <w:sz w:val="18"/>
          <w:lang w:val="it-IT"/>
        </w:rPr>
        <w:t xml:space="preserve"> </w:t>
      </w:r>
      <w:r w:rsidRPr="00451078">
        <w:rPr>
          <w:rFonts w:ascii="Tahoma" w:hAnsi="Tahoma" w:cs="Tahoma"/>
          <w:bCs/>
          <w:sz w:val="18"/>
          <w:lang w:val="it-IT"/>
        </w:rPr>
        <w:t>*L</w:t>
      </w:r>
      <w:r w:rsidR="004525CA">
        <w:rPr>
          <w:rFonts w:ascii="Tahoma" w:hAnsi="Tahoma" w:cs="Tahoma"/>
          <w:bCs/>
          <w:sz w:val="18"/>
          <w:lang w:val="it-IT"/>
        </w:rPr>
        <w:t>’</w:t>
      </w:r>
      <w:r w:rsidRPr="00451078">
        <w:rPr>
          <w:rFonts w:ascii="Tahoma" w:hAnsi="Tahoma" w:cs="Tahoma"/>
          <w:bCs/>
          <w:sz w:val="18"/>
          <w:lang w:val="it-IT"/>
        </w:rPr>
        <w:t>idoneità delle società a riconvertire i giorni in giorni Voucher Corsi è limitata sulla base del numero di giorni disponibili a livello di Giorni Planning Services.</w:t>
      </w:r>
      <w:r w:rsidR="00082E1C" w:rsidRPr="00451078">
        <w:rPr>
          <w:rFonts w:ascii="Tahoma" w:hAnsi="Tahoma" w:cs="Tahoma"/>
          <w:bCs/>
          <w:sz w:val="18"/>
          <w:lang w:val="it-IT"/>
        </w:rPr>
        <w:t xml:space="preserve"> </w:t>
      </w:r>
      <w:r w:rsidRPr="00451078">
        <w:rPr>
          <w:rFonts w:ascii="Tahoma" w:hAnsi="Tahoma" w:cs="Tahoma"/>
          <w:bCs/>
          <w:sz w:val="18"/>
          <w:lang w:val="it-IT"/>
        </w:rPr>
        <w:t>Qualora una società desideri riconvertire 10 giorni, ma nel pool sono disponibili solo 8 Giorni Planning Services, potranno essere riconvertiti solo 8 giorni.</w:t>
      </w:r>
      <w:r w:rsidR="00082E1C" w:rsidRPr="00451078">
        <w:rPr>
          <w:rFonts w:ascii="Tahoma" w:hAnsi="Tahoma" w:cs="Tahoma"/>
          <w:bCs/>
          <w:sz w:val="18"/>
          <w:lang w:val="it-IT"/>
        </w:rPr>
        <w:t xml:space="preserve"> </w:t>
      </w:r>
    </w:p>
    <w:p w:rsidR="00F528E5" w:rsidRPr="00451078" w:rsidRDefault="00F528E5" w:rsidP="00065D24">
      <w:pPr>
        <w:pStyle w:val="AppendixBodyText"/>
        <w:spacing w:after="0" w:line="180" w:lineRule="exact"/>
        <w:rPr>
          <w:lang w:val="it-IT"/>
        </w:rPr>
      </w:pPr>
    </w:p>
    <w:p w:rsidR="00023FE7" w:rsidRPr="00451078" w:rsidRDefault="00023FE7" w:rsidP="00F528E5">
      <w:pPr>
        <w:pStyle w:val="AppendixBodyText"/>
        <w:spacing w:after="0"/>
        <w:rPr>
          <w:lang w:val="it-IT"/>
        </w:rPr>
      </w:pPr>
      <w:r w:rsidRPr="00451078">
        <w:rPr>
          <w:rFonts w:ascii="Tahoma" w:hAnsi="Tahoma" w:cs="Tahoma"/>
          <w:bCs/>
          <w:sz w:val="18"/>
          <w:lang w:val="it-IT"/>
        </w:rPr>
        <w:t>Le società con contratti Volume Licensing idonei che non hanno soddisfatto la soglia minima per ricevere i Planning Services, ma che soddisfano o superano i criteri per la conversione dei giorni Voucher Corsi potranno convertire tali giorni come illustrato sopra.</w:t>
      </w:r>
    </w:p>
    <w:p w:rsidR="00023FE7" w:rsidRPr="00451078" w:rsidRDefault="00023FE7" w:rsidP="00065D24">
      <w:pPr>
        <w:pStyle w:val="AppendixBodyText"/>
        <w:spacing w:after="0" w:line="180" w:lineRule="exact"/>
        <w:rPr>
          <w:lang w:val="it-IT"/>
        </w:rPr>
      </w:pPr>
    </w:p>
    <w:p w:rsidR="00023FE7" w:rsidRPr="00451078" w:rsidRDefault="000D4ECA">
      <w:pPr>
        <w:pStyle w:val="AppendixBodyText"/>
        <w:rPr>
          <w:lang w:val="it-IT"/>
        </w:rPr>
      </w:pPr>
      <w:r w:rsidRPr="00451078">
        <w:rPr>
          <w:rFonts w:ascii="Tahoma" w:hAnsi="Tahoma" w:cs="Tahoma"/>
          <w:sz w:val="18"/>
          <w:lang w:val="it-IT"/>
        </w:rPr>
        <w:t>I Planning Services potranno essere forniti alla società da Partner Microsoft qualificati o da Microsoft Consulting Services.</w:t>
      </w:r>
      <w:r w:rsidR="00082E1C" w:rsidRPr="00451078">
        <w:rPr>
          <w:rFonts w:ascii="Tahoma" w:hAnsi="Tahoma" w:cs="Tahoma"/>
          <w:sz w:val="18"/>
          <w:lang w:val="it-IT"/>
        </w:rPr>
        <w:t xml:space="preserve"> </w:t>
      </w:r>
      <w:r w:rsidRPr="00451078">
        <w:rPr>
          <w:rFonts w:ascii="Tahoma" w:hAnsi="Tahoma" w:cs="Tahoma"/>
          <w:sz w:val="18"/>
          <w:lang w:val="it-IT"/>
        </w:rPr>
        <w:t>L</w:t>
      </w:r>
      <w:r w:rsidR="004525CA">
        <w:rPr>
          <w:rFonts w:ascii="Tahoma" w:hAnsi="Tahoma" w:cs="Tahoma"/>
          <w:sz w:val="18"/>
          <w:lang w:val="it-IT"/>
        </w:rPr>
        <w:t>’</w:t>
      </w:r>
      <w:r w:rsidRPr="00451078">
        <w:rPr>
          <w:rFonts w:ascii="Tahoma" w:hAnsi="Tahoma" w:cs="Tahoma"/>
          <w:sz w:val="18"/>
          <w:lang w:val="it-IT"/>
        </w:rPr>
        <w:t>elenco dei Provider Qualificati è visibile al seguente indirizzo: http://directory.partners.extranet.microsoft.com/psbproviders</w:t>
      </w:r>
      <w:r w:rsidR="00082E1C" w:rsidRPr="00451078">
        <w:rPr>
          <w:rFonts w:ascii="Tahoma" w:hAnsi="Tahoma" w:cs="Tahoma"/>
          <w:sz w:val="18"/>
          <w:lang w:val="it-IT"/>
        </w:rPr>
        <w:t xml:space="preserve"> </w:t>
      </w:r>
    </w:p>
    <w:p w:rsidR="00EC05F0" w:rsidRPr="00451078" w:rsidRDefault="00EC05F0" w:rsidP="00065D24">
      <w:pPr>
        <w:spacing w:line="180" w:lineRule="exact"/>
        <w:rPr>
          <w:lang w:val="it-IT"/>
        </w:rPr>
      </w:pPr>
    </w:p>
    <w:p w:rsidR="00023FE7" w:rsidRPr="00451078" w:rsidRDefault="000D4ECA" w:rsidP="005A141F">
      <w:pPr>
        <w:pStyle w:val="AppendixBodyText"/>
        <w:spacing w:after="0"/>
        <w:rPr>
          <w:lang w:val="it-IT"/>
        </w:rPr>
      </w:pPr>
      <w:r w:rsidRPr="00451078">
        <w:rPr>
          <w:rFonts w:ascii="Tahoma" w:hAnsi="Tahoma" w:cs="Tahoma"/>
          <w:sz w:val="18"/>
          <w:lang w:val="it-IT"/>
        </w:rPr>
        <w:t>Gli engagement Planning Services forniscono servizi di consulenza che coprono un ambito di lavoro predeterminato, il</w:t>
      </w:r>
      <w:r w:rsidR="00065D24" w:rsidRPr="00451078">
        <w:rPr>
          <w:rFonts w:ascii="Tahoma" w:hAnsi="Tahoma" w:cs="Tahoma"/>
          <w:sz w:val="18"/>
          <w:lang w:val="it-IT"/>
        </w:rPr>
        <w:t> </w:t>
      </w:r>
      <w:r w:rsidRPr="00451078">
        <w:rPr>
          <w:rFonts w:ascii="Tahoma" w:hAnsi="Tahoma" w:cs="Tahoma"/>
          <w:sz w:val="18"/>
          <w:lang w:val="it-IT"/>
        </w:rPr>
        <w:t>cui esito è un piano di distribuzione di alto livello; la distribuzione effettiva del software non può essere inclusa.</w:t>
      </w:r>
    </w:p>
    <w:p w:rsidR="00023FE7" w:rsidRPr="00451078" w:rsidRDefault="00023FE7" w:rsidP="00065D24">
      <w:pPr>
        <w:pStyle w:val="AppendixBodyText"/>
        <w:spacing w:after="0" w:line="180" w:lineRule="exact"/>
        <w:rPr>
          <w:lang w:val="it-IT"/>
        </w:rPr>
      </w:pPr>
    </w:p>
    <w:p w:rsidR="00AC1997" w:rsidRPr="00451078" w:rsidRDefault="000D4ECA" w:rsidP="002F529F">
      <w:pPr>
        <w:pStyle w:val="AppendixBodyText"/>
        <w:numPr>
          <w:ilvl w:val="0"/>
          <w:numId w:val="1"/>
        </w:numPr>
        <w:tabs>
          <w:tab w:val="clear" w:pos="720"/>
          <w:tab w:val="num" w:pos="1440"/>
        </w:tabs>
        <w:ind w:left="1440"/>
        <w:rPr>
          <w:lang w:val="it-IT"/>
        </w:rPr>
      </w:pPr>
      <w:r w:rsidRPr="00451078">
        <w:rPr>
          <w:rFonts w:ascii="Tahoma" w:hAnsi="Tahoma" w:cs="Tahoma"/>
          <w:bCs/>
          <w:sz w:val="18"/>
          <w:lang w:val="it-IT"/>
        </w:rPr>
        <w:t>I Planning Services non sono disponibili in tutte le lingue.</w:t>
      </w:r>
    </w:p>
    <w:p w:rsidR="00AC1997" w:rsidRPr="00451078" w:rsidRDefault="000D4ECA" w:rsidP="002F529F">
      <w:pPr>
        <w:pStyle w:val="AppendixBodyText"/>
        <w:numPr>
          <w:ilvl w:val="0"/>
          <w:numId w:val="1"/>
        </w:numPr>
        <w:tabs>
          <w:tab w:val="clear" w:pos="720"/>
          <w:tab w:val="num" w:pos="1440"/>
        </w:tabs>
        <w:ind w:left="1440"/>
        <w:rPr>
          <w:lang w:val="it-IT"/>
        </w:rPr>
      </w:pPr>
      <w:r w:rsidRPr="00451078">
        <w:rPr>
          <w:rFonts w:ascii="Tahoma" w:hAnsi="Tahoma" w:cs="Tahoma"/>
          <w:bCs/>
          <w:color w:val="000000"/>
          <w:sz w:val="18"/>
          <w:lang w:val="it-IT"/>
        </w:rPr>
        <w:t>I voucher Planning Services possono essere riscattati solo dalla società idonea a ricevere il vantaggio.</w:t>
      </w:r>
    </w:p>
    <w:p w:rsidR="00AC1997" w:rsidRPr="00451078" w:rsidRDefault="000D4ECA" w:rsidP="002F529F">
      <w:pPr>
        <w:pStyle w:val="AppendixBodyText"/>
        <w:numPr>
          <w:ilvl w:val="0"/>
          <w:numId w:val="1"/>
        </w:numPr>
        <w:tabs>
          <w:tab w:val="clear" w:pos="720"/>
          <w:tab w:val="num" w:pos="1440"/>
        </w:tabs>
        <w:ind w:left="1440"/>
        <w:rPr>
          <w:lang w:val="it-IT"/>
        </w:rPr>
      </w:pPr>
      <w:r w:rsidRPr="00451078">
        <w:rPr>
          <w:rFonts w:ascii="Tahoma" w:hAnsi="Tahoma" w:cs="Tahoma"/>
          <w:bCs/>
          <w:color w:val="000000"/>
          <w:sz w:val="18"/>
          <w:lang w:val="it-IT"/>
        </w:rPr>
        <w:t>I voucher Planning Services non potranno essere scambiati con contante, somme di denaro o</w:t>
      </w:r>
      <w:r w:rsidR="00065D24" w:rsidRPr="00451078">
        <w:rPr>
          <w:rFonts w:ascii="Tahoma" w:hAnsi="Tahoma" w:cs="Tahoma"/>
          <w:bCs/>
          <w:color w:val="000000"/>
          <w:sz w:val="18"/>
          <w:lang w:val="it-IT"/>
        </w:rPr>
        <w:t> </w:t>
      </w:r>
      <w:r w:rsidRPr="00451078">
        <w:rPr>
          <w:rFonts w:ascii="Tahoma" w:hAnsi="Tahoma" w:cs="Tahoma"/>
          <w:bCs/>
          <w:color w:val="000000"/>
          <w:sz w:val="18"/>
          <w:lang w:val="it-IT"/>
        </w:rPr>
        <w:t>altri</w:t>
      </w:r>
      <w:r w:rsidR="00065D24" w:rsidRPr="00451078">
        <w:rPr>
          <w:rFonts w:ascii="Tahoma" w:hAnsi="Tahoma" w:cs="Tahoma"/>
          <w:bCs/>
          <w:color w:val="000000"/>
          <w:sz w:val="18"/>
          <w:lang w:val="it-IT"/>
        </w:rPr>
        <w:t> </w:t>
      </w:r>
      <w:r w:rsidRPr="00451078">
        <w:rPr>
          <w:rFonts w:ascii="Tahoma" w:hAnsi="Tahoma" w:cs="Tahoma"/>
          <w:bCs/>
          <w:color w:val="000000"/>
          <w:sz w:val="18"/>
          <w:lang w:val="it-IT"/>
        </w:rPr>
        <w:t>corrispettivi.</w:t>
      </w:r>
    </w:p>
    <w:p w:rsidR="00AC1997" w:rsidRPr="00451078" w:rsidRDefault="00AC1997" w:rsidP="002F529F">
      <w:pPr>
        <w:pStyle w:val="AppendixBodyText"/>
        <w:numPr>
          <w:ilvl w:val="0"/>
          <w:numId w:val="1"/>
        </w:numPr>
        <w:tabs>
          <w:tab w:val="clear" w:pos="720"/>
          <w:tab w:val="num" w:pos="1440"/>
        </w:tabs>
        <w:ind w:left="1440"/>
        <w:rPr>
          <w:lang w:val="it-IT"/>
        </w:rPr>
      </w:pPr>
      <w:r w:rsidRPr="00451078">
        <w:rPr>
          <w:rFonts w:ascii="Tahoma" w:hAnsi="Tahoma" w:cs="Tahoma"/>
          <w:bCs/>
          <w:color w:val="000000"/>
          <w:sz w:val="18"/>
          <w:lang w:val="it-IT"/>
        </w:rPr>
        <w:t>Le società interessate ad acquisire servizi aggiuntivi oltre a quelli coperti dall</w:t>
      </w:r>
      <w:r w:rsidR="004525CA">
        <w:rPr>
          <w:rFonts w:ascii="Tahoma" w:hAnsi="Tahoma" w:cs="Tahoma"/>
          <w:bCs/>
          <w:color w:val="000000"/>
          <w:sz w:val="18"/>
          <w:lang w:val="it-IT"/>
        </w:rPr>
        <w:t>’</w:t>
      </w:r>
      <w:r w:rsidRPr="00451078">
        <w:rPr>
          <w:rFonts w:ascii="Tahoma" w:hAnsi="Tahoma" w:cs="Tahoma"/>
          <w:color w:val="000000"/>
          <w:sz w:val="18"/>
          <w:szCs w:val="18"/>
          <w:lang w:val="it-IT"/>
        </w:rPr>
        <w:t>ambito di lavoro per</w:t>
      </w:r>
      <w:r w:rsidR="00065D24" w:rsidRPr="00451078">
        <w:rPr>
          <w:rFonts w:ascii="Tahoma" w:hAnsi="Tahoma" w:cs="Tahoma"/>
          <w:color w:val="000000"/>
          <w:sz w:val="18"/>
          <w:szCs w:val="18"/>
          <w:lang w:val="it-IT"/>
        </w:rPr>
        <w:t> </w:t>
      </w:r>
      <w:r w:rsidRPr="00451078">
        <w:rPr>
          <w:rFonts w:ascii="Tahoma" w:hAnsi="Tahoma" w:cs="Tahoma"/>
          <w:color w:val="000000"/>
          <w:sz w:val="18"/>
          <w:szCs w:val="18"/>
          <w:lang w:val="it-IT"/>
        </w:rPr>
        <w:t>l</w:t>
      </w:r>
      <w:r w:rsidR="004525CA">
        <w:rPr>
          <w:rFonts w:ascii="Tahoma" w:hAnsi="Tahoma" w:cs="Tahoma"/>
          <w:color w:val="000000"/>
          <w:sz w:val="18"/>
          <w:szCs w:val="18"/>
          <w:lang w:val="it-IT"/>
        </w:rPr>
        <w:t>’</w:t>
      </w:r>
      <w:r w:rsidRPr="00451078">
        <w:rPr>
          <w:rFonts w:ascii="Tahoma" w:hAnsi="Tahoma" w:cs="Tahoma"/>
          <w:color w:val="000000"/>
          <w:sz w:val="18"/>
          <w:szCs w:val="18"/>
          <w:lang w:val="it-IT"/>
        </w:rPr>
        <w:t>engagement relativo al voucher assegnato (secondo quanto definito dal tipo di voucher e</w:t>
      </w:r>
      <w:r w:rsidR="00065D24" w:rsidRPr="00451078">
        <w:rPr>
          <w:rFonts w:ascii="Tahoma" w:hAnsi="Tahoma" w:cs="Tahoma"/>
          <w:color w:val="000000"/>
          <w:sz w:val="18"/>
          <w:szCs w:val="18"/>
          <w:lang w:val="it-IT"/>
        </w:rPr>
        <w:t> </w:t>
      </w:r>
      <w:r w:rsidRPr="00451078">
        <w:rPr>
          <w:rFonts w:ascii="Tahoma" w:hAnsi="Tahoma" w:cs="Tahoma"/>
          <w:color w:val="000000"/>
          <w:sz w:val="18"/>
          <w:szCs w:val="18"/>
          <w:lang w:val="it-IT"/>
        </w:rPr>
        <w:t>dal</w:t>
      </w:r>
      <w:r w:rsidR="00065D24" w:rsidRPr="00451078">
        <w:rPr>
          <w:rFonts w:ascii="Tahoma" w:hAnsi="Tahoma" w:cs="Tahoma"/>
          <w:color w:val="000000"/>
          <w:sz w:val="18"/>
          <w:szCs w:val="18"/>
          <w:lang w:val="it-IT"/>
        </w:rPr>
        <w:t> </w:t>
      </w:r>
      <w:r w:rsidRPr="00451078">
        <w:rPr>
          <w:rFonts w:ascii="Tahoma" w:hAnsi="Tahoma" w:cs="Tahoma"/>
          <w:color w:val="000000"/>
          <w:sz w:val="18"/>
          <w:szCs w:val="18"/>
          <w:lang w:val="it-IT"/>
        </w:rPr>
        <w:t>livello di servizio)</w:t>
      </w:r>
      <w:r w:rsidRPr="00451078">
        <w:rPr>
          <w:rFonts w:ascii="Tahoma" w:hAnsi="Tahoma" w:cs="Tahoma"/>
          <w:bCs/>
          <w:color w:val="000000"/>
          <w:sz w:val="18"/>
          <w:lang w:val="it-IT"/>
        </w:rPr>
        <w:t xml:space="preserve"> potranno pagare il provider al di fuori di questo programma.</w:t>
      </w:r>
    </w:p>
    <w:p w:rsidR="00AC1997" w:rsidRPr="00451078" w:rsidRDefault="00AC1997" w:rsidP="002F529F">
      <w:pPr>
        <w:pStyle w:val="AppendixBodyText"/>
        <w:numPr>
          <w:ilvl w:val="0"/>
          <w:numId w:val="1"/>
        </w:numPr>
        <w:tabs>
          <w:tab w:val="clear" w:pos="720"/>
          <w:tab w:val="num" w:pos="1440"/>
        </w:tabs>
        <w:ind w:left="1440"/>
        <w:rPr>
          <w:lang w:val="it-IT"/>
        </w:rPr>
      </w:pPr>
      <w:r w:rsidRPr="00451078">
        <w:rPr>
          <w:rFonts w:ascii="Tahoma" w:hAnsi="Tahoma" w:cs="Tahoma"/>
          <w:color w:val="000000"/>
          <w:sz w:val="18"/>
          <w:lang w:val="it-IT"/>
        </w:rPr>
        <w:t>La riduzione della copertura SA qualificante in seguito a resi o altre modifiche apportate alla fatturazione</w:t>
      </w:r>
      <w:r w:rsidRPr="00451078">
        <w:rPr>
          <w:rFonts w:ascii="Tahoma" w:hAnsi="Tahoma" w:cs="Tahoma"/>
          <w:bCs/>
          <w:color w:val="000000"/>
          <w:sz w:val="18"/>
          <w:lang w:val="it-IT"/>
        </w:rPr>
        <w:t>,</w:t>
      </w:r>
      <w:r w:rsidRPr="00451078">
        <w:rPr>
          <w:rFonts w:ascii="Tahoma" w:hAnsi="Tahoma" w:cs="Tahoma"/>
          <w:color w:val="000000"/>
          <w:sz w:val="18"/>
          <w:lang w:val="it-IT"/>
        </w:rPr>
        <w:t xml:space="preserve"> ove ammessa, </w:t>
      </w:r>
      <w:r w:rsidRPr="00451078">
        <w:rPr>
          <w:rFonts w:ascii="Tahoma" w:hAnsi="Tahoma" w:cs="Tahoma"/>
          <w:bCs/>
          <w:color w:val="000000"/>
          <w:sz w:val="18"/>
          <w:lang w:val="it-IT"/>
        </w:rPr>
        <w:t>potrà</w:t>
      </w:r>
      <w:r w:rsidRPr="00451078">
        <w:rPr>
          <w:rFonts w:ascii="Tahoma" w:hAnsi="Tahoma" w:cs="Tahoma"/>
          <w:color w:val="000000"/>
          <w:sz w:val="18"/>
          <w:lang w:val="it-IT"/>
        </w:rPr>
        <w:t xml:space="preserve"> diminuire i giorni di idoneità ai Planning Services della </w:t>
      </w:r>
      <w:r w:rsidRPr="00451078">
        <w:rPr>
          <w:rFonts w:ascii="Tahoma" w:hAnsi="Tahoma" w:cs="Tahoma"/>
          <w:bCs/>
          <w:color w:val="000000"/>
          <w:sz w:val="18"/>
          <w:lang w:val="it-IT"/>
        </w:rPr>
        <w:t>società.</w:t>
      </w:r>
    </w:p>
    <w:p w:rsidR="00762183" w:rsidRPr="003410C7" w:rsidRDefault="00AC1997" w:rsidP="00745AB3">
      <w:pPr>
        <w:pStyle w:val="AppendixBodyText"/>
        <w:numPr>
          <w:ilvl w:val="0"/>
          <w:numId w:val="22"/>
        </w:numPr>
        <w:tabs>
          <w:tab w:val="num" w:pos="1440"/>
        </w:tabs>
        <w:ind w:left="1440"/>
      </w:pPr>
      <w:r w:rsidRPr="00451078">
        <w:rPr>
          <w:rFonts w:ascii="Tahoma" w:hAnsi="Tahoma" w:cs="Tahoma"/>
          <w:bCs/>
          <w:color w:val="000000"/>
          <w:sz w:val="18"/>
          <w:lang w:val="it-IT"/>
        </w:rPr>
        <w:t xml:space="preserve">I voucher sono validi solo con </w:t>
      </w:r>
      <w:r w:rsidRPr="00451078">
        <w:rPr>
          <w:rFonts w:ascii="Tahoma" w:hAnsi="Tahoma" w:cs="Tahoma"/>
          <w:color w:val="000000"/>
          <w:sz w:val="18"/>
          <w:lang w:val="it-IT"/>
        </w:rPr>
        <w:t xml:space="preserve">Provider qualificati </w:t>
      </w:r>
      <w:r w:rsidRPr="00451078">
        <w:rPr>
          <w:rFonts w:ascii="Tahoma" w:hAnsi="Tahoma" w:cs="Tahoma"/>
          <w:bCs/>
          <w:color w:val="000000"/>
          <w:sz w:val="18"/>
          <w:lang w:val="it-IT"/>
        </w:rPr>
        <w:t xml:space="preserve">per il tipo di servizio specifico per il quale il voucher </w:t>
      </w:r>
      <w:r w:rsidRPr="00451078">
        <w:rPr>
          <w:rFonts w:ascii="Tahoma" w:hAnsi="Tahoma" w:cs="Tahoma"/>
          <w:bCs/>
          <w:color w:val="000000"/>
          <w:sz w:val="18"/>
          <w:szCs w:val="18"/>
          <w:lang w:val="it-IT"/>
        </w:rPr>
        <w:t xml:space="preserve">viene riscattato. </w:t>
      </w:r>
      <w:r w:rsidRPr="00451078">
        <w:rPr>
          <w:rFonts w:ascii="Tahoma" w:hAnsi="Tahoma" w:cs="Tahoma"/>
          <w:color w:val="000000"/>
          <w:sz w:val="18"/>
          <w:szCs w:val="18"/>
          <w:lang w:val="it-IT"/>
        </w:rPr>
        <w:t>Il voucher può essere utilizzato con qualsiasi Provider Qualificato a livello mondiale. </w:t>
      </w:r>
      <w:r w:rsidRPr="003410C7">
        <w:rPr>
          <w:rFonts w:ascii="Tahoma" w:hAnsi="Tahoma" w:cs="Tahoma"/>
          <w:color w:val="000000"/>
          <w:sz w:val="18"/>
          <w:szCs w:val="18"/>
        </w:rPr>
        <w:t>La partecipazione potrebbe variare.</w:t>
      </w:r>
    </w:p>
    <w:p w:rsidR="0083748D" w:rsidRPr="00451078" w:rsidRDefault="0083748D" w:rsidP="002F529F">
      <w:pPr>
        <w:pStyle w:val="AppendixBodyText"/>
        <w:numPr>
          <w:ilvl w:val="0"/>
          <w:numId w:val="1"/>
        </w:numPr>
        <w:tabs>
          <w:tab w:val="clear" w:pos="720"/>
          <w:tab w:val="num" w:pos="1440"/>
        </w:tabs>
        <w:ind w:left="1440"/>
        <w:rPr>
          <w:lang w:val="it-IT"/>
        </w:rPr>
      </w:pPr>
      <w:r w:rsidRPr="00451078">
        <w:rPr>
          <w:rFonts w:ascii="Tahoma" w:hAnsi="Tahoma" w:cs="Tahoma"/>
          <w:color w:val="000000"/>
          <w:sz w:val="18"/>
          <w:szCs w:val="18"/>
          <w:lang w:val="it-IT"/>
        </w:rPr>
        <w:t>I voucher dovranno essere assegnati durante il periodo della copertura Software Assurance.</w:t>
      </w:r>
    </w:p>
    <w:p w:rsidR="0083748D" w:rsidRPr="00451078" w:rsidRDefault="0083748D" w:rsidP="002F529F">
      <w:pPr>
        <w:pStyle w:val="AppendixBodyText"/>
        <w:numPr>
          <w:ilvl w:val="0"/>
          <w:numId w:val="1"/>
        </w:numPr>
        <w:tabs>
          <w:tab w:val="clear" w:pos="720"/>
          <w:tab w:val="num" w:pos="1440"/>
        </w:tabs>
        <w:ind w:left="1440"/>
        <w:rPr>
          <w:lang w:val="it-IT"/>
        </w:rPr>
      </w:pPr>
      <w:r w:rsidRPr="00451078">
        <w:rPr>
          <w:rFonts w:ascii="Tahoma" w:hAnsi="Tahoma" w:cs="Tahoma"/>
          <w:color w:val="000000"/>
          <w:sz w:val="18"/>
          <w:szCs w:val="18"/>
          <w:lang w:val="it-IT"/>
        </w:rPr>
        <w:t>I voucher scadranno dopo 180 giorni dalla data di assegnazione, indipendentemente dalla data di</w:t>
      </w:r>
      <w:r w:rsidR="00065D24" w:rsidRPr="00451078">
        <w:rPr>
          <w:rFonts w:ascii="Tahoma" w:hAnsi="Tahoma" w:cs="Tahoma"/>
          <w:color w:val="000000"/>
          <w:sz w:val="18"/>
          <w:szCs w:val="18"/>
          <w:lang w:val="it-IT"/>
        </w:rPr>
        <w:t> </w:t>
      </w:r>
      <w:r w:rsidRPr="00451078">
        <w:rPr>
          <w:rFonts w:ascii="Tahoma" w:hAnsi="Tahoma" w:cs="Tahoma"/>
          <w:color w:val="000000"/>
          <w:sz w:val="18"/>
          <w:szCs w:val="18"/>
          <w:lang w:val="it-IT"/>
        </w:rPr>
        <w:t>scadenza della copertura Software Assurance. Tutti i servizi dovranno essere forniti (voucher riscattato) prima della scadenza dei voucher. Per i voucher, la cui data di scadenza è precedente a</w:t>
      </w:r>
      <w:r w:rsidR="00065D24" w:rsidRPr="00451078">
        <w:rPr>
          <w:rFonts w:ascii="Tahoma" w:hAnsi="Tahoma" w:cs="Tahoma"/>
          <w:color w:val="000000"/>
          <w:sz w:val="18"/>
          <w:szCs w:val="18"/>
          <w:lang w:val="it-IT"/>
        </w:rPr>
        <w:t> </w:t>
      </w:r>
      <w:r w:rsidRPr="00451078">
        <w:rPr>
          <w:rFonts w:ascii="Tahoma" w:hAnsi="Tahoma" w:cs="Tahoma"/>
          <w:color w:val="000000"/>
          <w:sz w:val="18"/>
          <w:szCs w:val="18"/>
          <w:lang w:val="it-IT"/>
        </w:rPr>
        <w:t>quella della copertura Software Assurance, verrà ripristinato il pool disponibile di giorni Planning Services.</w:t>
      </w:r>
    </w:p>
    <w:p w:rsidR="00AC1997" w:rsidRPr="00451078" w:rsidRDefault="00AC1997" w:rsidP="002F529F">
      <w:pPr>
        <w:pStyle w:val="AppendixBodyText"/>
        <w:numPr>
          <w:ilvl w:val="0"/>
          <w:numId w:val="21"/>
        </w:numPr>
        <w:tabs>
          <w:tab w:val="num" w:pos="1440"/>
        </w:tabs>
        <w:rPr>
          <w:lang w:val="it-IT"/>
        </w:rPr>
      </w:pPr>
      <w:r w:rsidRPr="00451078">
        <w:rPr>
          <w:rFonts w:ascii="Tahoma" w:hAnsi="Tahoma" w:cs="Tahoma"/>
          <w:bCs/>
          <w:color w:val="000000"/>
          <w:sz w:val="18"/>
          <w:szCs w:val="18"/>
          <w:lang w:val="it-IT"/>
        </w:rPr>
        <w:t>Microsoft non è responsabile</w:t>
      </w:r>
      <w:r w:rsidRPr="00451078">
        <w:rPr>
          <w:rFonts w:ascii="Tahoma" w:hAnsi="Tahoma" w:cs="Tahoma"/>
          <w:bCs/>
          <w:color w:val="000000"/>
          <w:sz w:val="18"/>
          <w:lang w:val="it-IT"/>
        </w:rPr>
        <w:t xml:space="preserve"> dei voucher persi, rubati, collocati fuori posto o maltrattati.</w:t>
      </w:r>
    </w:p>
    <w:p w:rsidR="00AC1997" w:rsidRPr="00451078" w:rsidRDefault="00AC1997" w:rsidP="002F529F">
      <w:pPr>
        <w:pStyle w:val="AppendixBodyText"/>
        <w:numPr>
          <w:ilvl w:val="0"/>
          <w:numId w:val="21"/>
        </w:numPr>
        <w:tabs>
          <w:tab w:val="num" w:pos="1440"/>
        </w:tabs>
        <w:rPr>
          <w:lang w:val="it-IT"/>
        </w:rPr>
      </w:pPr>
      <w:r w:rsidRPr="00451078">
        <w:rPr>
          <w:rFonts w:ascii="Tahoma" w:hAnsi="Tahoma" w:cs="Tahoma"/>
          <w:bCs/>
          <w:color w:val="000000"/>
          <w:sz w:val="18"/>
          <w:lang w:val="it-IT"/>
        </w:rPr>
        <w:t xml:space="preserve">I servizi erogati con i voucher vengono </w:t>
      </w:r>
      <w:r w:rsidRPr="00451078">
        <w:rPr>
          <w:rFonts w:ascii="Tahoma" w:hAnsi="Tahoma" w:cs="Tahoma"/>
          <w:color w:val="000000"/>
          <w:sz w:val="18"/>
          <w:lang w:val="it-IT"/>
        </w:rPr>
        <w:t>forniti ai sensi di un contratto tra la Società e il Provider Qualificato; Microsoft non è responsabile dell</w:t>
      </w:r>
      <w:r w:rsidR="004525CA">
        <w:rPr>
          <w:rFonts w:ascii="Tahoma" w:hAnsi="Tahoma" w:cs="Tahoma"/>
          <w:color w:val="000000"/>
          <w:sz w:val="18"/>
          <w:lang w:val="it-IT"/>
        </w:rPr>
        <w:t>’</w:t>
      </w:r>
      <w:r w:rsidRPr="00451078">
        <w:rPr>
          <w:rFonts w:ascii="Tahoma" w:hAnsi="Tahoma" w:cs="Tahoma"/>
          <w:color w:val="000000"/>
          <w:sz w:val="18"/>
          <w:lang w:val="it-IT"/>
        </w:rPr>
        <w:t>eventuale funzionamento o mancato funzionamento dei servizi da parte del Provider Qualificato.</w:t>
      </w:r>
    </w:p>
    <w:p w:rsidR="00F643B6" w:rsidRPr="00451078" w:rsidRDefault="00AC1997" w:rsidP="00745AB3">
      <w:pPr>
        <w:pStyle w:val="AppendixBodyText"/>
        <w:numPr>
          <w:ilvl w:val="0"/>
          <w:numId w:val="71"/>
        </w:numPr>
        <w:rPr>
          <w:lang w:val="it-IT"/>
        </w:rPr>
      </w:pPr>
      <w:r w:rsidRPr="00451078">
        <w:rPr>
          <w:rFonts w:ascii="Tahoma" w:hAnsi="Tahoma" w:cs="Tahoma"/>
          <w:bCs/>
          <w:color w:val="000000"/>
          <w:sz w:val="18"/>
          <w:lang w:val="it-IT"/>
        </w:rPr>
        <w:t>Accettando un engagement Planning Services, le società</w:t>
      </w:r>
      <w:r w:rsidRPr="00451078">
        <w:rPr>
          <w:rFonts w:ascii="Tahoma" w:hAnsi="Tahoma" w:cs="Tahoma"/>
          <w:bCs/>
          <w:sz w:val="18"/>
          <w:lang w:val="it-IT"/>
        </w:rPr>
        <w:t xml:space="preserve"> danno atto che non appena lo completeranno, riceveranno un sondaggio per il controllo della qualità.</w:t>
      </w:r>
    </w:p>
    <w:p w:rsidR="0008036A" w:rsidRPr="00451078" w:rsidRDefault="00F643B6" w:rsidP="00745AB3">
      <w:pPr>
        <w:pStyle w:val="AppendixBodyText"/>
        <w:numPr>
          <w:ilvl w:val="0"/>
          <w:numId w:val="71"/>
        </w:numPr>
        <w:rPr>
          <w:lang w:val="it-IT"/>
        </w:rPr>
      </w:pPr>
      <w:r w:rsidRPr="00451078">
        <w:rPr>
          <w:rFonts w:ascii="Tahoma" w:hAnsi="Tahoma" w:cs="Tahoma"/>
          <w:bCs/>
          <w:color w:val="000000"/>
          <w:sz w:val="18"/>
          <w:szCs w:val="18"/>
          <w:lang w:val="it-IT"/>
        </w:rPr>
        <w:t>Le tabelle riportate sopra mostrano i giorni di servizio disponibili sulla base di un</w:t>
      </w:r>
      <w:r w:rsidR="004525CA">
        <w:rPr>
          <w:rFonts w:ascii="Tahoma" w:hAnsi="Tahoma" w:cs="Tahoma"/>
          <w:bCs/>
          <w:color w:val="000000"/>
          <w:sz w:val="18"/>
          <w:szCs w:val="18"/>
          <w:lang w:val="it-IT"/>
        </w:rPr>
        <w:t>’</w:t>
      </w:r>
      <w:r w:rsidRPr="00451078">
        <w:rPr>
          <w:rFonts w:ascii="Tahoma" w:hAnsi="Tahoma" w:cs="Tahoma"/>
          <w:bCs/>
          <w:color w:val="000000"/>
          <w:sz w:val="18"/>
          <w:szCs w:val="18"/>
          <w:lang w:val="it-IT"/>
        </w:rPr>
        <w:t>iscrizione o di un</w:t>
      </w:r>
      <w:r w:rsidR="00065D24" w:rsidRPr="00451078">
        <w:rPr>
          <w:rFonts w:ascii="Tahoma" w:hAnsi="Tahoma" w:cs="Tahoma"/>
          <w:bCs/>
          <w:color w:val="000000"/>
          <w:sz w:val="18"/>
          <w:szCs w:val="18"/>
          <w:lang w:val="it-IT"/>
        </w:rPr>
        <w:t> </w:t>
      </w:r>
      <w:r w:rsidRPr="00451078">
        <w:rPr>
          <w:rFonts w:ascii="Tahoma" w:hAnsi="Tahoma" w:cs="Tahoma"/>
          <w:bCs/>
          <w:color w:val="000000"/>
          <w:sz w:val="18"/>
          <w:szCs w:val="18"/>
          <w:lang w:val="it-IT"/>
        </w:rPr>
        <w:t>contratto triennale completo. Le società che acquistano una copertura Software Assurance di</w:t>
      </w:r>
      <w:r w:rsidR="00065D24" w:rsidRPr="00451078">
        <w:rPr>
          <w:rFonts w:ascii="Tahoma" w:hAnsi="Tahoma" w:cs="Tahoma"/>
          <w:bCs/>
          <w:color w:val="000000"/>
          <w:sz w:val="18"/>
          <w:szCs w:val="18"/>
          <w:lang w:val="it-IT"/>
        </w:rPr>
        <w:t> </w:t>
      </w:r>
      <w:r w:rsidRPr="00451078">
        <w:rPr>
          <w:rFonts w:ascii="Tahoma" w:hAnsi="Tahoma" w:cs="Tahoma"/>
          <w:bCs/>
          <w:color w:val="000000"/>
          <w:sz w:val="18"/>
          <w:szCs w:val="18"/>
          <w:lang w:val="it-IT"/>
        </w:rPr>
        <w:t xml:space="preserve">durata annuale </w:t>
      </w:r>
      <w:r w:rsidRPr="00451078">
        <w:rPr>
          <w:rFonts w:ascii="Tahoma" w:hAnsi="Tahoma" w:cs="Tahoma"/>
          <w:color w:val="000000"/>
          <w:sz w:val="18"/>
          <w:szCs w:val="18"/>
          <w:lang w:val="it-IT"/>
        </w:rPr>
        <w:t>riceveranno un terzo del numero dichiarato di giorni di servizio. Le società che acquistano una copertura Software Assurance di durata biennale riceveranno due terzi del numero dichiarato di giorni di servizio.</w:t>
      </w:r>
      <w:r w:rsidR="00082E1C" w:rsidRPr="00451078">
        <w:rPr>
          <w:rFonts w:ascii="Tahoma" w:hAnsi="Tahoma" w:cs="Tahoma"/>
          <w:color w:val="000000"/>
          <w:sz w:val="18"/>
          <w:szCs w:val="18"/>
          <w:lang w:val="it-IT"/>
        </w:rPr>
        <w:t xml:space="preserve"> </w:t>
      </w:r>
    </w:p>
    <w:p w:rsidR="00023FE7" w:rsidRPr="00451078" w:rsidRDefault="00023FE7">
      <w:pPr>
        <w:pStyle w:val="AppendixBodyText"/>
        <w:rPr>
          <w:lang w:val="it-IT"/>
        </w:rPr>
      </w:pPr>
      <w:r w:rsidRPr="00451078">
        <w:rPr>
          <w:rFonts w:ascii="Tahoma" w:hAnsi="Tahoma" w:cs="Tahoma"/>
          <w:bCs/>
          <w:color w:val="000000"/>
          <w:sz w:val="18"/>
          <w:lang w:val="it-IT"/>
        </w:rPr>
        <w:t>I deliverable completati inviati a Microsoft dal Provider Qualificato al termine dell</w:t>
      </w:r>
      <w:r w:rsidR="004525CA">
        <w:rPr>
          <w:rFonts w:ascii="Tahoma" w:hAnsi="Tahoma" w:cs="Tahoma"/>
          <w:bCs/>
          <w:color w:val="000000"/>
          <w:sz w:val="18"/>
          <w:lang w:val="it-IT"/>
        </w:rPr>
        <w:t>’</w:t>
      </w:r>
      <w:r w:rsidRPr="00451078">
        <w:rPr>
          <w:rFonts w:ascii="Tahoma" w:hAnsi="Tahoma" w:cs="Tahoma"/>
          <w:bCs/>
          <w:color w:val="000000"/>
          <w:sz w:val="18"/>
          <w:lang w:val="it-IT"/>
        </w:rPr>
        <w:t>engagement potranno essere utilizzati da Microsoft per il controllo della qualità e a tale scopo potranno essere condivisi con il team dell</w:t>
      </w:r>
      <w:r w:rsidR="004525CA">
        <w:rPr>
          <w:rFonts w:ascii="Tahoma" w:hAnsi="Tahoma" w:cs="Tahoma"/>
          <w:bCs/>
          <w:color w:val="000000"/>
          <w:sz w:val="18"/>
          <w:lang w:val="it-IT"/>
        </w:rPr>
        <w:t>’</w:t>
      </w:r>
      <w:r w:rsidRPr="00451078">
        <w:rPr>
          <w:rFonts w:ascii="Tahoma" w:hAnsi="Tahoma" w:cs="Tahoma"/>
          <w:bCs/>
          <w:color w:val="000000"/>
          <w:sz w:val="18"/>
          <w:lang w:val="it-IT"/>
        </w:rPr>
        <w:t>account Microsoft della società.</w:t>
      </w:r>
    </w:p>
    <w:p w:rsidR="00023FE7" w:rsidRPr="00451078" w:rsidRDefault="00023FE7" w:rsidP="005A141F">
      <w:pPr>
        <w:pStyle w:val="AppendixBodyText"/>
        <w:spacing w:after="0"/>
        <w:rPr>
          <w:lang w:val="it-IT"/>
        </w:rPr>
      </w:pPr>
    </w:p>
    <w:p w:rsidR="003367F4" w:rsidRDefault="003367F4">
      <w:pPr>
        <w:pStyle w:val="Heading3"/>
        <w:rPr>
          <w:rFonts w:ascii="Tahoma" w:hAnsi="Tahoma"/>
          <w:sz w:val="24"/>
          <w:lang w:val="it-IT"/>
        </w:rPr>
      </w:pPr>
      <w:bookmarkStart w:id="776" w:name="_Toc328145999"/>
      <w:bookmarkStart w:id="777" w:name="_Toc336338230"/>
    </w:p>
    <w:p w:rsidR="00023FE7" w:rsidRPr="00451078" w:rsidRDefault="00023FE7">
      <w:pPr>
        <w:pStyle w:val="Heading3"/>
        <w:rPr>
          <w:lang w:val="it-IT"/>
        </w:rPr>
      </w:pPr>
      <w:bookmarkStart w:id="778" w:name="_Toc352234825"/>
      <w:r w:rsidRPr="00451078">
        <w:rPr>
          <w:rFonts w:ascii="Tahoma" w:hAnsi="Tahoma"/>
          <w:sz w:val="24"/>
          <w:lang w:val="it-IT"/>
        </w:rPr>
        <w:lastRenderedPageBreak/>
        <w:t>Windows 8 Enterprise</w:t>
      </w:r>
      <w:bookmarkEnd w:id="776"/>
      <w:bookmarkEnd w:id="777"/>
      <w:bookmarkEnd w:id="778"/>
      <w:r w:rsidRPr="00451078">
        <w:rPr>
          <w:rFonts w:ascii="Tahoma" w:hAnsi="Tahoma"/>
          <w:sz w:val="24"/>
          <w:lang w:val="it-IT"/>
        </w:rPr>
        <w:t xml:space="preserve"> </w:t>
      </w:r>
    </w:p>
    <w:p w:rsidR="00023FE7" w:rsidRPr="00451078" w:rsidRDefault="00023FE7" w:rsidP="00077CE5">
      <w:pPr>
        <w:pStyle w:val="AppendixBodyText"/>
        <w:spacing w:after="0"/>
        <w:rPr>
          <w:lang w:val="it-IT"/>
        </w:rPr>
      </w:pPr>
    </w:p>
    <w:p w:rsidR="005A141F" w:rsidRPr="007C64AD" w:rsidRDefault="00324479" w:rsidP="005A141F">
      <w:pPr>
        <w:spacing w:after="60"/>
        <w:jc w:val="both"/>
        <w:rPr>
          <w:szCs w:val="18"/>
          <w:lang w:val="it-IT"/>
        </w:rPr>
      </w:pPr>
      <w:r w:rsidRPr="007C64AD">
        <w:rPr>
          <w:rFonts w:cs="Tahoma"/>
          <w:b/>
          <w:szCs w:val="18"/>
          <w:lang w:val="it-IT"/>
        </w:rPr>
        <w:t>Società con Software Assurance idonee</w:t>
      </w:r>
    </w:p>
    <w:p w:rsidR="00324479" w:rsidRPr="007C64AD" w:rsidRDefault="00324479" w:rsidP="00324479">
      <w:pPr>
        <w:jc w:val="both"/>
        <w:rPr>
          <w:szCs w:val="18"/>
          <w:lang w:val="it-IT"/>
        </w:rPr>
      </w:pPr>
      <w:r w:rsidRPr="007C64AD">
        <w:rPr>
          <w:rFonts w:cs="Tahoma"/>
          <w:szCs w:val="18"/>
          <w:lang w:val="it-IT"/>
        </w:rPr>
        <w:t>Le società con copertura Software Assurance attiva per il sistema operativo desktop Windows sono idonee a ricevere questo vantaggio. La copertura Software Assurance per il sistema operativo desktop Windows su un dispositivo con licenza offre alle società la possibilità di utilizzare Windows 8 Enterprise anziché Windows 8 Pro su tale dispositivo.</w:t>
      </w:r>
    </w:p>
    <w:p w:rsidR="00324479" w:rsidRPr="007C64AD" w:rsidRDefault="00324479" w:rsidP="00324479">
      <w:pPr>
        <w:jc w:val="both"/>
        <w:rPr>
          <w:szCs w:val="18"/>
          <w:lang w:val="it-IT"/>
        </w:rPr>
      </w:pPr>
    </w:p>
    <w:p w:rsidR="00324479" w:rsidRPr="007C64AD" w:rsidRDefault="00324479" w:rsidP="00324479">
      <w:pPr>
        <w:jc w:val="both"/>
        <w:rPr>
          <w:szCs w:val="18"/>
          <w:lang w:val="it-IT"/>
        </w:rPr>
      </w:pPr>
      <w:r w:rsidRPr="007C64AD">
        <w:rPr>
          <w:rFonts w:cs="Tahoma"/>
          <w:szCs w:val="18"/>
          <w:lang w:val="it-IT"/>
        </w:rPr>
        <w:t>Le società Software Assurance idonee dispongono dei diritti di utilizzare Windows 8 Enterprise come descritto nei Diritti di Utilizzo del Prodotto. Le società non possono trasferire Windows 8 Enterprise dal dispositivo concesso in</w:t>
      </w:r>
      <w:r w:rsidR="00F04424" w:rsidRPr="007C64AD">
        <w:rPr>
          <w:rFonts w:cs="Tahoma"/>
          <w:szCs w:val="18"/>
          <w:lang w:val="it-IT"/>
        </w:rPr>
        <w:t> </w:t>
      </w:r>
      <w:r w:rsidRPr="007C64AD">
        <w:rPr>
          <w:rFonts w:cs="Tahoma"/>
          <w:szCs w:val="18"/>
          <w:lang w:val="it-IT"/>
        </w:rPr>
        <w:t>licenza a un altro dispositivo, se non in combinazione con la riassegnazione consentita dell</w:t>
      </w:r>
      <w:r w:rsidR="00F04424" w:rsidRPr="007C64AD">
        <w:rPr>
          <w:rFonts w:cs="Tahoma"/>
          <w:szCs w:val="18"/>
          <w:lang w:val="it-IT"/>
        </w:rPr>
        <w:t>a copertura Software Assurance.</w:t>
      </w:r>
    </w:p>
    <w:p w:rsidR="00324479" w:rsidRPr="007C64AD" w:rsidRDefault="00324479" w:rsidP="00324479">
      <w:pPr>
        <w:jc w:val="both"/>
        <w:rPr>
          <w:szCs w:val="18"/>
          <w:lang w:val="it-IT"/>
        </w:rPr>
      </w:pPr>
    </w:p>
    <w:p w:rsidR="005A141F" w:rsidRPr="007C64AD" w:rsidRDefault="00324479" w:rsidP="005A141F">
      <w:pPr>
        <w:spacing w:after="60"/>
        <w:jc w:val="both"/>
        <w:rPr>
          <w:szCs w:val="18"/>
          <w:lang w:val="it-IT"/>
        </w:rPr>
      </w:pPr>
      <w:r w:rsidRPr="007C64AD">
        <w:rPr>
          <w:rFonts w:cs="Tahoma"/>
          <w:b/>
          <w:szCs w:val="18"/>
          <w:lang w:val="it-IT"/>
        </w:rPr>
        <w:t>Società con i Vantaggi dei Servizi Online idonee</w:t>
      </w:r>
    </w:p>
    <w:p w:rsidR="00324479" w:rsidRPr="007C64AD" w:rsidRDefault="0071258F" w:rsidP="00324479">
      <w:pPr>
        <w:jc w:val="both"/>
        <w:rPr>
          <w:szCs w:val="18"/>
          <w:lang w:val="it-IT"/>
        </w:rPr>
      </w:pPr>
      <w:r w:rsidRPr="007C64AD">
        <w:rPr>
          <w:rFonts w:cs="Tahoma"/>
          <w:szCs w:val="18"/>
          <w:lang w:val="it-IT"/>
        </w:rPr>
        <w:t>Le società con Windows Intune (Per Dispositivo) dispongono dei diritti di utilizzare Windows 8 Enterprise come descritto nei Diritti di Utilizzo del Prodotto. Vedere l</w:t>
      </w:r>
      <w:r w:rsidR="004525CA">
        <w:rPr>
          <w:rFonts w:cs="Tahoma"/>
          <w:szCs w:val="18"/>
          <w:lang w:val="it-IT"/>
        </w:rPr>
        <w:t>’</w:t>
      </w:r>
      <w:r w:rsidRPr="007C64AD">
        <w:rPr>
          <w:rFonts w:cs="Tahoma"/>
          <w:szCs w:val="18"/>
          <w:lang w:val="it-IT"/>
        </w:rPr>
        <w:t>Articolo Note del Prodotto della presente Lista dei Prodotti per le</w:t>
      </w:r>
      <w:r w:rsidR="00065D24" w:rsidRPr="007C64AD">
        <w:rPr>
          <w:rFonts w:cs="Tahoma"/>
          <w:szCs w:val="18"/>
          <w:lang w:val="it-IT"/>
        </w:rPr>
        <w:t> </w:t>
      </w:r>
      <w:r w:rsidRPr="007C64AD">
        <w:rPr>
          <w:rFonts w:cs="Tahoma"/>
          <w:szCs w:val="18"/>
          <w:lang w:val="it-IT"/>
        </w:rPr>
        <w:t>condizioni applicabili all</w:t>
      </w:r>
      <w:r w:rsidR="004525CA">
        <w:rPr>
          <w:rFonts w:cs="Tahoma"/>
          <w:szCs w:val="18"/>
          <w:lang w:val="it-IT"/>
        </w:rPr>
        <w:t>’</w:t>
      </w:r>
      <w:r w:rsidRPr="007C64AD">
        <w:rPr>
          <w:rFonts w:cs="Tahoma"/>
          <w:szCs w:val="18"/>
          <w:lang w:val="it-IT"/>
        </w:rPr>
        <w:t>acquisto e alla riassegnazione di licenze per Windows Intune (Per Dispositivo).</w:t>
      </w:r>
    </w:p>
    <w:p w:rsidR="005A141F" w:rsidRPr="007C64AD" w:rsidDel="008900EB" w:rsidRDefault="005A141F" w:rsidP="00324479">
      <w:pPr>
        <w:jc w:val="both"/>
        <w:rPr>
          <w:szCs w:val="18"/>
          <w:lang w:val="it-IT"/>
        </w:rPr>
      </w:pPr>
    </w:p>
    <w:p w:rsidR="00324479" w:rsidRPr="007C64AD" w:rsidRDefault="00324479" w:rsidP="00324479">
      <w:pPr>
        <w:spacing w:after="60"/>
        <w:rPr>
          <w:szCs w:val="18"/>
          <w:lang w:val="it-IT"/>
        </w:rPr>
      </w:pPr>
      <w:r w:rsidRPr="007C64AD">
        <w:rPr>
          <w:rFonts w:cs="Tahoma"/>
          <w:szCs w:val="18"/>
          <w:lang w:val="it-IT"/>
        </w:rPr>
        <w:t>Le società che dispongono di Software Assurance e di Windows Intune (Per Dispositivo) sono autorizzate a utilizzare l</w:t>
      </w:r>
      <w:r w:rsidR="004525CA">
        <w:rPr>
          <w:rFonts w:cs="Tahoma"/>
          <w:szCs w:val="18"/>
          <w:lang w:val="it-IT"/>
        </w:rPr>
        <w:t>’</w:t>
      </w:r>
      <w:r w:rsidRPr="007C64AD">
        <w:rPr>
          <w:rFonts w:cs="Tahoma"/>
          <w:szCs w:val="18"/>
          <w:lang w:val="it-IT"/>
        </w:rPr>
        <w:t>edizione MUI (Multilingual User Interface) delle versioni precedenti del sistema operativo desktop Windows al posto di Windows 8 Enterprise.</w:t>
      </w:r>
    </w:p>
    <w:p w:rsidR="00870095" w:rsidRPr="007C64AD" w:rsidRDefault="00870095" w:rsidP="005A141F">
      <w:pPr>
        <w:pStyle w:val="Heading3"/>
        <w:spacing w:after="60"/>
        <w:rPr>
          <w:sz w:val="18"/>
          <w:szCs w:val="18"/>
          <w:lang w:val="it-IT"/>
        </w:rPr>
      </w:pPr>
    </w:p>
    <w:p w:rsidR="00870095" w:rsidRPr="007C64AD" w:rsidRDefault="00870095" w:rsidP="005A141F">
      <w:pPr>
        <w:pStyle w:val="Heading3"/>
        <w:spacing w:after="60"/>
        <w:rPr>
          <w:sz w:val="18"/>
          <w:szCs w:val="18"/>
          <w:lang w:val="it-IT"/>
        </w:rPr>
      </w:pPr>
      <w:bookmarkStart w:id="779" w:name="_Toc336338231"/>
      <w:bookmarkStart w:id="780" w:name="_Toc352234826"/>
      <w:r w:rsidRPr="007C64AD">
        <w:rPr>
          <w:rFonts w:ascii="Tahoma" w:hAnsi="Tahoma"/>
          <w:sz w:val="18"/>
          <w:szCs w:val="18"/>
          <w:lang w:val="it-IT"/>
        </w:rPr>
        <w:t>Windows 8 Enterprise Sideloading</w:t>
      </w:r>
      <w:bookmarkEnd w:id="779"/>
      <w:bookmarkEnd w:id="780"/>
    </w:p>
    <w:p w:rsidR="00810479" w:rsidRPr="007C64AD" w:rsidRDefault="00870095" w:rsidP="00991DD4">
      <w:pPr>
        <w:jc w:val="both"/>
        <w:rPr>
          <w:szCs w:val="18"/>
          <w:lang w:val="it-IT"/>
        </w:rPr>
      </w:pPr>
      <w:r w:rsidRPr="007C64AD">
        <w:rPr>
          <w:rFonts w:cs="Tahoma"/>
          <w:szCs w:val="18"/>
          <w:lang w:val="it-IT"/>
        </w:rPr>
        <w:t>Informazioni sul prodotto Windows 8 Enterprise Sideloading sono disponibili nell</w:t>
      </w:r>
      <w:r w:rsidR="004525CA">
        <w:rPr>
          <w:rFonts w:cs="Tahoma"/>
          <w:szCs w:val="18"/>
          <w:lang w:val="it-IT"/>
        </w:rPr>
        <w:t>’</w:t>
      </w:r>
      <w:r w:rsidRPr="007C64AD">
        <w:rPr>
          <w:rFonts w:cs="Tahoma"/>
          <w:szCs w:val="18"/>
          <w:lang w:val="it-IT"/>
        </w:rPr>
        <w:t xml:space="preserve">Articolo </w:t>
      </w:r>
      <w:r w:rsidR="001A3EC5" w:rsidRPr="007C64AD">
        <w:rPr>
          <w:rFonts w:cs="Tahoma"/>
          <w:szCs w:val="18"/>
          <w:lang w:val="it-IT"/>
        </w:rPr>
        <w:t>“</w:t>
      </w:r>
      <w:r w:rsidRPr="007C64AD">
        <w:rPr>
          <w:rFonts w:cs="Tahoma"/>
          <w:szCs w:val="18"/>
          <w:lang w:val="it-IT"/>
        </w:rPr>
        <w:t>Note del Prodotto</w:t>
      </w:r>
      <w:r w:rsidR="001A3EC5" w:rsidRPr="007C64AD">
        <w:rPr>
          <w:rFonts w:cs="Tahoma"/>
          <w:szCs w:val="18"/>
          <w:lang w:val="it-IT"/>
        </w:rPr>
        <w:t>”</w:t>
      </w:r>
      <w:r w:rsidRPr="007C64AD">
        <w:rPr>
          <w:rFonts w:cs="Tahoma"/>
          <w:szCs w:val="18"/>
          <w:lang w:val="it-IT"/>
        </w:rPr>
        <w:t xml:space="preserve"> del</w:t>
      </w:r>
      <w:r w:rsidR="00065D24" w:rsidRPr="007C64AD">
        <w:rPr>
          <w:rFonts w:cs="Tahoma"/>
          <w:szCs w:val="18"/>
          <w:lang w:val="it-IT"/>
        </w:rPr>
        <w:t> </w:t>
      </w:r>
      <w:r w:rsidRPr="007C64AD">
        <w:rPr>
          <w:rFonts w:cs="Tahoma"/>
          <w:szCs w:val="18"/>
          <w:lang w:val="it-IT"/>
        </w:rPr>
        <w:t>presente documento.</w:t>
      </w:r>
    </w:p>
    <w:p w:rsidR="00BD1A6A" w:rsidRPr="007C64AD" w:rsidRDefault="00BD1A6A">
      <w:pPr>
        <w:rPr>
          <w:szCs w:val="18"/>
          <w:lang w:val="it-IT"/>
        </w:rPr>
      </w:pPr>
      <w:bookmarkStart w:id="781" w:name="_Toc336338232"/>
    </w:p>
    <w:p w:rsidR="00EA1BE9" w:rsidRPr="007C64AD" w:rsidRDefault="00EA1BE9" w:rsidP="005A141F">
      <w:pPr>
        <w:pStyle w:val="Heading3"/>
        <w:spacing w:after="60"/>
        <w:rPr>
          <w:sz w:val="18"/>
          <w:szCs w:val="18"/>
          <w:lang w:val="it-IT"/>
        </w:rPr>
      </w:pPr>
      <w:bookmarkStart w:id="782" w:name="_Toc352234827"/>
      <w:r w:rsidRPr="007C64AD">
        <w:rPr>
          <w:rFonts w:ascii="Tahoma" w:hAnsi="Tahoma"/>
          <w:sz w:val="18"/>
          <w:szCs w:val="18"/>
          <w:lang w:val="it-IT"/>
        </w:rPr>
        <w:t xml:space="preserve">Licenza </w:t>
      </w:r>
      <w:r w:rsidR="001A3EC5" w:rsidRPr="007C64AD">
        <w:rPr>
          <w:rFonts w:ascii="Tahoma" w:hAnsi="Tahoma"/>
          <w:sz w:val="18"/>
          <w:szCs w:val="18"/>
          <w:lang w:val="it-IT"/>
        </w:rPr>
        <w:t>“</w:t>
      </w:r>
      <w:r w:rsidRPr="007C64AD">
        <w:rPr>
          <w:rFonts w:ascii="Tahoma" w:hAnsi="Tahoma"/>
          <w:sz w:val="18"/>
          <w:szCs w:val="18"/>
          <w:lang w:val="it-IT"/>
        </w:rPr>
        <w:t>Subscription</w:t>
      </w:r>
      <w:r w:rsidR="001A3EC5" w:rsidRPr="007C64AD">
        <w:rPr>
          <w:rFonts w:ascii="Tahoma" w:hAnsi="Tahoma"/>
          <w:sz w:val="18"/>
          <w:szCs w:val="18"/>
          <w:lang w:val="it-IT"/>
        </w:rPr>
        <w:t>”</w:t>
      </w:r>
      <w:r w:rsidRPr="007C64AD">
        <w:rPr>
          <w:rFonts w:ascii="Tahoma" w:hAnsi="Tahoma"/>
          <w:sz w:val="18"/>
          <w:szCs w:val="18"/>
          <w:lang w:val="it-IT"/>
        </w:rPr>
        <w:t xml:space="preserve"> per Windows Companion</w:t>
      </w:r>
      <w:bookmarkEnd w:id="781"/>
      <w:bookmarkEnd w:id="782"/>
    </w:p>
    <w:p w:rsidR="00EA1BE9" w:rsidRPr="00451078" w:rsidRDefault="00EA1BE9" w:rsidP="00870095">
      <w:pPr>
        <w:jc w:val="both"/>
        <w:rPr>
          <w:lang w:val="it-IT"/>
        </w:rPr>
      </w:pPr>
      <w:r w:rsidRPr="007C64AD">
        <w:rPr>
          <w:rFonts w:cs="Tahoma"/>
          <w:szCs w:val="18"/>
          <w:lang w:val="it-IT"/>
        </w:rPr>
        <w:t>La nota relativa alla Licenza</w:t>
      </w:r>
      <w:r w:rsidRPr="00451078">
        <w:rPr>
          <w:rFonts w:cs="Tahoma"/>
          <w:szCs w:val="18"/>
          <w:lang w:val="it-IT"/>
        </w:rPr>
        <w:t xml:space="preserve"> </w:t>
      </w:r>
      <w:r w:rsidR="001A3EC5" w:rsidRPr="00451078">
        <w:rPr>
          <w:rFonts w:cs="Tahoma"/>
          <w:szCs w:val="18"/>
          <w:lang w:val="it-IT"/>
        </w:rPr>
        <w:t>“</w:t>
      </w:r>
      <w:r w:rsidRPr="00451078">
        <w:rPr>
          <w:rFonts w:cs="Tahoma"/>
          <w:szCs w:val="18"/>
          <w:lang w:val="it-IT"/>
        </w:rPr>
        <w:t>Subscription</w:t>
      </w:r>
      <w:r w:rsidR="001A3EC5" w:rsidRPr="00451078">
        <w:rPr>
          <w:rFonts w:cs="Tahoma"/>
          <w:szCs w:val="18"/>
          <w:lang w:val="it-IT"/>
        </w:rPr>
        <w:t>”</w:t>
      </w:r>
      <w:r w:rsidRPr="00451078">
        <w:rPr>
          <w:rFonts w:cs="Tahoma"/>
          <w:szCs w:val="18"/>
          <w:lang w:val="it-IT"/>
        </w:rPr>
        <w:t xml:space="preserve"> per Windows Companion è disponibile nell</w:t>
      </w:r>
      <w:r w:rsidR="004525CA">
        <w:rPr>
          <w:rFonts w:cs="Tahoma"/>
          <w:szCs w:val="18"/>
          <w:lang w:val="it-IT"/>
        </w:rPr>
        <w:t>’</w:t>
      </w:r>
      <w:r w:rsidRPr="00451078">
        <w:rPr>
          <w:rFonts w:cs="Tahoma"/>
          <w:szCs w:val="18"/>
          <w:lang w:val="it-IT"/>
        </w:rPr>
        <w:t xml:space="preserve">Articolo </w:t>
      </w:r>
      <w:r w:rsidR="001A3EC5" w:rsidRPr="00451078">
        <w:rPr>
          <w:rFonts w:cs="Tahoma"/>
          <w:szCs w:val="18"/>
          <w:lang w:val="it-IT"/>
        </w:rPr>
        <w:t>“</w:t>
      </w:r>
      <w:r w:rsidRPr="00451078">
        <w:rPr>
          <w:rFonts w:cs="Tahoma"/>
          <w:szCs w:val="18"/>
          <w:lang w:val="it-IT"/>
        </w:rPr>
        <w:t>Note del Prodotto</w:t>
      </w:r>
      <w:r w:rsidR="001A3EC5" w:rsidRPr="00451078">
        <w:rPr>
          <w:rFonts w:cs="Tahoma"/>
          <w:szCs w:val="18"/>
          <w:lang w:val="it-IT"/>
        </w:rPr>
        <w:t>”</w:t>
      </w:r>
      <w:r w:rsidRPr="00451078">
        <w:rPr>
          <w:rFonts w:cs="Tahoma"/>
          <w:szCs w:val="18"/>
          <w:lang w:val="it-IT"/>
        </w:rPr>
        <w:t xml:space="preserve"> del</w:t>
      </w:r>
      <w:r w:rsidR="00065D24" w:rsidRPr="00451078">
        <w:rPr>
          <w:rFonts w:cs="Tahoma"/>
          <w:szCs w:val="18"/>
          <w:lang w:val="it-IT"/>
        </w:rPr>
        <w:t> </w:t>
      </w:r>
      <w:r w:rsidRPr="00451078">
        <w:rPr>
          <w:rFonts w:cs="Tahoma"/>
          <w:szCs w:val="18"/>
          <w:lang w:val="it-IT"/>
        </w:rPr>
        <w:t>presente documento.</w:t>
      </w:r>
    </w:p>
    <w:p w:rsidR="00870095" w:rsidRPr="00451078" w:rsidRDefault="00870095" w:rsidP="003C56F1">
      <w:pPr>
        <w:jc w:val="both"/>
        <w:rPr>
          <w:lang w:val="it-IT"/>
        </w:rPr>
      </w:pPr>
    </w:p>
    <w:p w:rsidR="00023FE7" w:rsidRPr="00451078" w:rsidRDefault="00023FE7">
      <w:pPr>
        <w:pStyle w:val="Heading3"/>
        <w:rPr>
          <w:lang w:val="it-IT"/>
        </w:rPr>
      </w:pPr>
      <w:bookmarkStart w:id="783" w:name="_Toc328146000"/>
      <w:bookmarkStart w:id="784" w:name="_Toc336338233"/>
      <w:bookmarkStart w:id="785" w:name="_Toc352234828"/>
      <w:r w:rsidRPr="00451078">
        <w:rPr>
          <w:rFonts w:ascii="Tahoma" w:hAnsi="Tahoma" w:cs="Tahoma"/>
          <w:sz w:val="24"/>
          <w:lang w:val="it-IT"/>
        </w:rPr>
        <w:t>Voucher Corsi</w:t>
      </w:r>
      <w:bookmarkEnd w:id="783"/>
      <w:bookmarkEnd w:id="784"/>
      <w:bookmarkEnd w:id="785"/>
    </w:p>
    <w:p w:rsidR="00023FE7" w:rsidRPr="00451078" w:rsidRDefault="00023FE7" w:rsidP="003C56F1">
      <w:pPr>
        <w:pStyle w:val="AppendixBodyText"/>
        <w:spacing w:after="0"/>
        <w:rPr>
          <w:lang w:val="it-IT"/>
        </w:rPr>
      </w:pPr>
    </w:p>
    <w:p w:rsidR="00023FE7" w:rsidRPr="00451078" w:rsidRDefault="008A15A8" w:rsidP="00F528E5">
      <w:pPr>
        <w:pStyle w:val="AppendixBodyText"/>
        <w:spacing w:after="0"/>
        <w:rPr>
          <w:rFonts w:ascii="Tahoma" w:hAnsi="Tahoma" w:cs="Tahoma"/>
          <w:sz w:val="18"/>
          <w:szCs w:val="18"/>
          <w:lang w:val="it-IT"/>
        </w:rPr>
      </w:pPr>
      <w:r w:rsidRPr="00451078">
        <w:rPr>
          <w:rFonts w:ascii="Tahoma" w:hAnsi="Tahoma" w:cs="Tahoma"/>
          <w:sz w:val="18"/>
          <w:szCs w:val="18"/>
          <w:lang w:val="it-IT"/>
        </w:rPr>
        <w:t>Le società che non siano società con Contratti Academic Select License, Select Plus for Academic, Open Value Subscription - Education Solutions, Campus e School, ma con Partecipazione a Software Assurance per i prodotti del</w:t>
      </w:r>
      <w:r w:rsidR="009C6375" w:rsidRPr="00451078">
        <w:rPr>
          <w:rFonts w:ascii="Tahoma" w:hAnsi="Tahoma" w:cs="Tahoma"/>
          <w:sz w:val="18"/>
          <w:szCs w:val="18"/>
          <w:lang w:val="it-IT"/>
        </w:rPr>
        <w:t> </w:t>
      </w:r>
      <w:r w:rsidRPr="00451078">
        <w:rPr>
          <w:rFonts w:ascii="Tahoma" w:hAnsi="Tahoma" w:cs="Tahoma"/>
          <w:sz w:val="18"/>
          <w:szCs w:val="18"/>
          <w:lang w:val="it-IT"/>
        </w:rPr>
        <w:t>pool di applicazioni o sistemi, sono idonee a ricevere i voucher corsi di Microsoft.</w:t>
      </w:r>
      <w:r w:rsidR="00082E1C" w:rsidRPr="00451078">
        <w:rPr>
          <w:rFonts w:ascii="Tahoma" w:hAnsi="Tahoma" w:cs="Tahoma"/>
          <w:sz w:val="18"/>
          <w:szCs w:val="18"/>
          <w:lang w:val="it-IT"/>
        </w:rPr>
        <w:t xml:space="preserve"> </w:t>
      </w:r>
      <w:r w:rsidRPr="00451078">
        <w:rPr>
          <w:rFonts w:ascii="Tahoma" w:hAnsi="Tahoma" w:cs="Tahoma"/>
          <w:sz w:val="18"/>
          <w:szCs w:val="18"/>
          <w:lang w:val="it-IT"/>
        </w:rPr>
        <w:t>I voucher autorizzano le società a ricevere corsi tenuti da un Partner Microsoft in possesso di una Competenza Learning (Microsoft Learning Partner) per un numero specifico di giorni.</w:t>
      </w:r>
      <w:r w:rsidR="00082E1C" w:rsidRPr="00451078">
        <w:rPr>
          <w:rFonts w:ascii="Tahoma" w:hAnsi="Tahoma" w:cs="Tahoma"/>
          <w:sz w:val="18"/>
          <w:szCs w:val="18"/>
          <w:lang w:val="it-IT"/>
        </w:rPr>
        <w:t xml:space="preserve"> </w:t>
      </w:r>
      <w:r w:rsidRPr="00451078">
        <w:rPr>
          <w:rFonts w:ascii="Tahoma" w:hAnsi="Tahoma" w:cs="Tahoma"/>
          <w:sz w:val="18"/>
          <w:szCs w:val="18"/>
          <w:lang w:val="it-IT"/>
        </w:rPr>
        <w:t>Il numero di giorni consentiti varia in base al programma e al numero di licenze qualificanti per le quali è stata acquistata la copertura Software Assurance.</w:t>
      </w:r>
      <w:r w:rsidR="00082E1C" w:rsidRPr="00451078">
        <w:rPr>
          <w:rFonts w:ascii="Tahoma" w:hAnsi="Tahoma" w:cs="Tahoma"/>
          <w:sz w:val="18"/>
          <w:szCs w:val="18"/>
          <w:lang w:val="it-IT"/>
        </w:rPr>
        <w:t xml:space="preserve"> </w:t>
      </w:r>
      <w:r w:rsidRPr="00451078">
        <w:rPr>
          <w:rFonts w:ascii="Tahoma" w:hAnsi="Tahoma" w:cs="Tahoma"/>
          <w:sz w:val="18"/>
          <w:szCs w:val="18"/>
          <w:lang w:val="it-IT"/>
        </w:rPr>
        <w:t xml:space="preserve">Dopo che il Gestore del Vantaggio dei Voucher Corsi ha attivato il vantaggio Voucher Corsi tramite lo strumento Volume Licensing Service Center (VLSC), </w:t>
      </w:r>
      <w:r w:rsidR="009C6375" w:rsidRPr="00451078">
        <w:rPr>
          <w:rFonts w:ascii="Tahoma" w:hAnsi="Tahoma" w:cs="Tahoma"/>
          <w:sz w:val="18"/>
          <w:szCs w:val="18"/>
          <w:lang w:val="it-IT"/>
        </w:rPr>
        <w:t>I </w:t>
      </w:r>
      <w:r w:rsidRPr="00451078">
        <w:rPr>
          <w:rFonts w:ascii="Tahoma" w:hAnsi="Tahoma" w:cs="Tahoma"/>
          <w:sz w:val="18"/>
          <w:szCs w:val="18"/>
          <w:lang w:val="it-IT"/>
        </w:rPr>
        <w:t>Voucher Corsi possono essere assegnati a singoli utenti designati dal Gestore del Vantaggio dei Voucher Corsi della</w:t>
      </w:r>
      <w:r w:rsidR="009C6375" w:rsidRPr="00451078">
        <w:rPr>
          <w:rFonts w:ascii="Tahoma" w:hAnsi="Tahoma" w:cs="Tahoma"/>
          <w:sz w:val="18"/>
          <w:szCs w:val="18"/>
          <w:lang w:val="it-IT"/>
        </w:rPr>
        <w:t> </w:t>
      </w:r>
      <w:r w:rsidRPr="00451078">
        <w:rPr>
          <w:rFonts w:ascii="Tahoma" w:hAnsi="Tahoma" w:cs="Tahoma"/>
          <w:sz w:val="18"/>
          <w:szCs w:val="18"/>
          <w:lang w:val="it-IT"/>
        </w:rPr>
        <w:t>società.</w:t>
      </w:r>
    </w:p>
    <w:p w:rsidR="009F17FF" w:rsidRPr="00451078" w:rsidRDefault="009F17FF" w:rsidP="00F528E5">
      <w:pPr>
        <w:pStyle w:val="AppendixBodyText"/>
        <w:spacing w:after="0"/>
        <w:rPr>
          <w:rFonts w:ascii="Tahoma" w:hAnsi="Tahoma" w:cs="Tahoma"/>
          <w:sz w:val="18"/>
          <w:szCs w:val="18"/>
          <w:lang w:val="it-IT"/>
        </w:rPr>
      </w:pPr>
    </w:p>
    <w:p w:rsidR="009F17FF" w:rsidRPr="00451078" w:rsidRDefault="009F17FF" w:rsidP="00F528E5">
      <w:pPr>
        <w:pStyle w:val="AppendixBodyText"/>
        <w:spacing w:after="0"/>
        <w:rPr>
          <w:lang w:val="it-IT"/>
        </w:rPr>
      </w:pPr>
    </w:p>
    <w:tbl>
      <w:tblPr>
        <w:tblW w:w="9396" w:type="dxa"/>
        <w:tblInd w:w="-9" w:type="dxa"/>
        <w:tblBorders>
          <w:top w:val="single" w:sz="8" w:space="0" w:color="auto"/>
          <w:left w:val="single" w:sz="8" w:space="0" w:color="auto"/>
          <w:bottom w:val="single" w:sz="8" w:space="0" w:color="auto"/>
          <w:right w:val="single" w:sz="8" w:space="0" w:color="auto"/>
          <w:insideH w:val="single" w:sz="8" w:space="0" w:color="auto"/>
          <w:insideV w:val="single" w:sz="8" w:space="0" w:color="auto"/>
        </w:tblBorders>
        <w:tblLayout w:type="fixed"/>
        <w:tblCellMar>
          <w:left w:w="99" w:type="dxa"/>
          <w:right w:w="99" w:type="dxa"/>
        </w:tblCellMar>
        <w:tblLook w:val="01E0" w:firstRow="1" w:lastRow="1" w:firstColumn="1" w:lastColumn="1" w:noHBand="0" w:noVBand="0"/>
      </w:tblPr>
      <w:tblGrid>
        <w:gridCol w:w="2102"/>
        <w:gridCol w:w="4396"/>
        <w:gridCol w:w="2898"/>
      </w:tblGrid>
      <w:tr w:rsidR="00F76ED4" w:rsidRPr="003410C7" w:rsidTr="00114E8A">
        <w:trPr>
          <w:cantSplit/>
          <w:trHeight w:val="531"/>
          <w:tblHeader/>
        </w:trPr>
        <w:tc>
          <w:tcPr>
            <w:tcW w:w="2102" w:type="dxa"/>
            <w:shd w:val="clear" w:color="auto" w:fill="FFCC99"/>
            <w:vAlign w:val="center"/>
          </w:tcPr>
          <w:p w:rsidR="00F76ED4" w:rsidRPr="003410C7" w:rsidRDefault="00F76ED4" w:rsidP="009F17FF">
            <w:pPr>
              <w:pStyle w:val="AppendixTableHeadings"/>
              <w:rPr>
                <w:rFonts w:ascii="Tahoma" w:hAnsi="Tahoma" w:cs="Tahoma"/>
                <w:sz w:val="20"/>
                <w:szCs w:val="20"/>
              </w:rPr>
            </w:pPr>
            <w:r w:rsidRPr="003410C7">
              <w:rPr>
                <w:rFonts w:ascii="Tahoma" w:hAnsi="Tahoma" w:cs="Tahoma"/>
                <w:sz w:val="20"/>
                <w:szCs w:val="20"/>
              </w:rPr>
              <w:t>Programma</w:t>
            </w:r>
          </w:p>
        </w:tc>
        <w:tc>
          <w:tcPr>
            <w:tcW w:w="4396" w:type="dxa"/>
            <w:shd w:val="clear" w:color="auto" w:fill="FFCC99"/>
            <w:vAlign w:val="center"/>
          </w:tcPr>
          <w:p w:rsidR="00F76ED4" w:rsidRPr="00451078" w:rsidRDefault="00F76ED4" w:rsidP="009F17FF">
            <w:pPr>
              <w:pStyle w:val="AppendixTableHeadings"/>
              <w:rPr>
                <w:rFonts w:ascii="Tahoma" w:hAnsi="Tahoma" w:cs="Tahoma"/>
                <w:sz w:val="20"/>
                <w:szCs w:val="20"/>
                <w:lang w:val="it-IT"/>
              </w:rPr>
            </w:pPr>
            <w:r w:rsidRPr="00451078">
              <w:rPr>
                <w:rFonts w:ascii="Tahoma" w:hAnsi="Tahoma" w:cs="Tahoma"/>
                <w:sz w:val="20"/>
                <w:szCs w:val="20"/>
                <w:lang w:val="it-IT"/>
              </w:rPr>
              <w:t>Prodotti del Pool di Applicazioni Office System</w:t>
            </w:r>
            <w:r w:rsidRPr="00451078">
              <w:rPr>
                <w:rFonts w:ascii="Tahoma" w:hAnsi="Tahoma" w:cs="Tahoma"/>
                <w:b w:val="0"/>
                <w:i/>
                <w:sz w:val="20"/>
                <w:szCs w:val="20"/>
                <w:lang w:val="it-IT"/>
              </w:rPr>
              <w:t xml:space="preserve"> </w:t>
            </w:r>
          </w:p>
        </w:tc>
        <w:tc>
          <w:tcPr>
            <w:tcW w:w="2898" w:type="dxa"/>
            <w:shd w:val="clear" w:color="auto" w:fill="FFCC99"/>
            <w:vAlign w:val="center"/>
          </w:tcPr>
          <w:p w:rsidR="00F76ED4" w:rsidRPr="003410C7" w:rsidRDefault="00F76ED4" w:rsidP="009F17FF">
            <w:pPr>
              <w:pStyle w:val="AppendixTableHeadings"/>
              <w:rPr>
                <w:rFonts w:ascii="Tahoma" w:hAnsi="Tahoma" w:cs="Tahoma"/>
                <w:sz w:val="20"/>
                <w:szCs w:val="20"/>
              </w:rPr>
            </w:pPr>
            <w:r w:rsidRPr="003410C7">
              <w:rPr>
                <w:rFonts w:ascii="Tahoma" w:hAnsi="Tahoma" w:cs="Tahoma"/>
                <w:sz w:val="20"/>
                <w:szCs w:val="20"/>
              </w:rPr>
              <w:t>Pool di Sistemi</w:t>
            </w:r>
          </w:p>
        </w:tc>
      </w:tr>
      <w:tr w:rsidR="00F76ED4" w:rsidRPr="00DC1102" w:rsidTr="00114E8A">
        <w:trPr>
          <w:cantSplit/>
          <w:trHeight w:val="236"/>
        </w:trPr>
        <w:tc>
          <w:tcPr>
            <w:tcW w:w="2102" w:type="dxa"/>
            <w:vAlign w:val="center"/>
          </w:tcPr>
          <w:p w:rsidR="00F76ED4" w:rsidRPr="003410C7" w:rsidRDefault="00F76ED4" w:rsidP="009F17FF">
            <w:pPr>
              <w:pStyle w:val="AppendixTableText"/>
              <w:rPr>
                <w:rFonts w:ascii="Tahoma" w:hAnsi="Tahoma" w:cs="Tahoma"/>
              </w:rPr>
            </w:pPr>
            <w:r w:rsidRPr="003410C7">
              <w:rPr>
                <w:rFonts w:ascii="Tahoma" w:hAnsi="Tahoma" w:cs="Tahoma"/>
              </w:rPr>
              <w:t>Open Value</w:t>
            </w:r>
          </w:p>
        </w:tc>
        <w:tc>
          <w:tcPr>
            <w:tcW w:w="4396" w:type="dxa"/>
            <w:vAlign w:val="center"/>
          </w:tcPr>
          <w:p w:rsidR="00F76ED4" w:rsidRPr="00451078" w:rsidRDefault="00F76ED4" w:rsidP="008217DA">
            <w:pPr>
              <w:pStyle w:val="AppendixTableText"/>
              <w:rPr>
                <w:rFonts w:ascii="Tahoma" w:hAnsi="Tahoma" w:cs="Tahoma"/>
                <w:lang w:val="it-IT"/>
              </w:rPr>
            </w:pPr>
            <w:r w:rsidRPr="00451078">
              <w:rPr>
                <w:rFonts w:ascii="Tahoma" w:hAnsi="Tahoma" w:cs="Tahoma"/>
                <w:lang w:val="it-IT"/>
              </w:rPr>
              <w:t>2 giorni per 50 licenze (massimo 20 giorni)</w:t>
            </w:r>
          </w:p>
        </w:tc>
        <w:tc>
          <w:tcPr>
            <w:tcW w:w="2898" w:type="dxa"/>
            <w:vAlign w:val="center"/>
          </w:tcPr>
          <w:p w:rsidR="00F76ED4" w:rsidRPr="00451078" w:rsidRDefault="00F76ED4" w:rsidP="009F17FF">
            <w:pPr>
              <w:pStyle w:val="AppendixTableText"/>
              <w:rPr>
                <w:lang w:val="it-IT"/>
              </w:rPr>
            </w:pPr>
            <w:r w:rsidRPr="00451078">
              <w:rPr>
                <w:rFonts w:ascii="Tahoma" w:hAnsi="Tahoma" w:cs="Tahoma"/>
                <w:lang w:val="it-IT"/>
              </w:rPr>
              <w:t>1 giorno per 50 licenze</w:t>
            </w:r>
          </w:p>
          <w:p w:rsidR="00F76ED4" w:rsidRPr="00451078" w:rsidRDefault="00F76ED4" w:rsidP="009F17FF">
            <w:pPr>
              <w:pStyle w:val="AppendixTableText"/>
              <w:rPr>
                <w:rFonts w:ascii="Tahoma" w:hAnsi="Tahoma" w:cs="Tahoma"/>
                <w:lang w:val="it-IT"/>
              </w:rPr>
            </w:pPr>
            <w:r w:rsidRPr="00451078">
              <w:rPr>
                <w:rFonts w:ascii="Tahoma" w:hAnsi="Tahoma" w:cs="Tahoma"/>
                <w:lang w:val="it-IT"/>
              </w:rPr>
              <w:t>(massimo 10 giorni)</w:t>
            </w:r>
          </w:p>
        </w:tc>
      </w:tr>
      <w:tr w:rsidR="00F76ED4" w:rsidRPr="003410C7" w:rsidTr="00114E8A">
        <w:trPr>
          <w:cantSplit/>
          <w:trHeight w:val="236"/>
        </w:trPr>
        <w:tc>
          <w:tcPr>
            <w:tcW w:w="2102" w:type="dxa"/>
            <w:vAlign w:val="center"/>
          </w:tcPr>
          <w:p w:rsidR="00F76ED4" w:rsidRPr="003410C7" w:rsidRDefault="00F76ED4" w:rsidP="009F17FF">
            <w:pPr>
              <w:pStyle w:val="AppendixTableHeadings"/>
            </w:pPr>
            <w:r w:rsidRPr="003410C7">
              <w:rPr>
                <w:rFonts w:ascii="Tahoma" w:hAnsi="Tahoma" w:cs="Tahoma"/>
                <w:b w:val="0"/>
              </w:rPr>
              <w:t>SAM</w:t>
            </w:r>
          </w:p>
          <w:p w:rsidR="00F76ED4" w:rsidRPr="003410C7" w:rsidRDefault="00F76ED4" w:rsidP="009F17FF">
            <w:pPr>
              <w:pStyle w:val="AppendixTableHeadings"/>
              <w:rPr>
                <w:rFonts w:ascii="Tahoma" w:hAnsi="Tahoma" w:cs="Tahoma"/>
                <w:b w:val="0"/>
              </w:rPr>
            </w:pPr>
            <w:r w:rsidRPr="003410C7">
              <w:rPr>
                <w:rFonts w:ascii="Tahoma" w:hAnsi="Tahoma" w:cs="Tahoma"/>
                <w:b w:val="0"/>
              </w:rPr>
              <w:t>1</w:t>
            </w:r>
            <w:r w:rsidR="009C6375" w:rsidRPr="003410C7">
              <w:rPr>
                <w:rFonts w:ascii="Tahoma" w:hAnsi="Tahoma" w:cs="Tahoma"/>
                <w:b w:val="0"/>
              </w:rPr>
              <w:t xml:space="preserve"> – </w:t>
            </w:r>
            <w:r w:rsidRPr="003410C7">
              <w:rPr>
                <w:rFonts w:ascii="Tahoma" w:hAnsi="Tahoma" w:cs="Tahoma"/>
                <w:b w:val="0"/>
              </w:rPr>
              <w:t>249</w:t>
            </w:r>
          </w:p>
        </w:tc>
        <w:tc>
          <w:tcPr>
            <w:tcW w:w="4396" w:type="dxa"/>
            <w:vAlign w:val="center"/>
          </w:tcPr>
          <w:p w:rsidR="00F76ED4" w:rsidRPr="003410C7" w:rsidRDefault="00F76ED4" w:rsidP="009F17FF">
            <w:pPr>
              <w:pStyle w:val="AppendixTableText"/>
              <w:rPr>
                <w:rFonts w:ascii="Tahoma" w:hAnsi="Tahoma" w:cs="Tahoma"/>
              </w:rPr>
            </w:pPr>
            <w:r w:rsidRPr="003410C7">
              <w:rPr>
                <w:rFonts w:ascii="Tahoma" w:hAnsi="Tahoma" w:cs="Tahoma"/>
              </w:rPr>
              <w:t>2 giorni per 50 licenze</w:t>
            </w:r>
          </w:p>
        </w:tc>
        <w:tc>
          <w:tcPr>
            <w:tcW w:w="2898" w:type="dxa"/>
            <w:vAlign w:val="center"/>
          </w:tcPr>
          <w:p w:rsidR="00F76ED4" w:rsidRPr="003410C7" w:rsidRDefault="00F76ED4" w:rsidP="009F17FF">
            <w:pPr>
              <w:pStyle w:val="AppendixTableText"/>
            </w:pPr>
            <w:r w:rsidRPr="003410C7">
              <w:rPr>
                <w:rFonts w:ascii="Tahoma" w:hAnsi="Tahoma" w:cs="Tahoma"/>
              </w:rPr>
              <w:t>1 giorno per 50 licenze</w:t>
            </w:r>
          </w:p>
          <w:p w:rsidR="00F76ED4" w:rsidRPr="003410C7" w:rsidRDefault="00F76ED4" w:rsidP="009F17FF">
            <w:pPr>
              <w:pStyle w:val="AppendixTableText"/>
              <w:rPr>
                <w:rFonts w:ascii="Tahoma" w:hAnsi="Tahoma" w:cs="Tahoma"/>
              </w:rPr>
            </w:pPr>
          </w:p>
        </w:tc>
      </w:tr>
      <w:tr w:rsidR="00F76ED4" w:rsidRPr="003410C7" w:rsidTr="00114E8A">
        <w:trPr>
          <w:cantSplit/>
          <w:trHeight w:val="236"/>
        </w:trPr>
        <w:tc>
          <w:tcPr>
            <w:tcW w:w="2102" w:type="dxa"/>
            <w:vAlign w:val="center"/>
          </w:tcPr>
          <w:p w:rsidR="00F76ED4" w:rsidRPr="003410C7" w:rsidRDefault="00F76ED4" w:rsidP="009F17FF">
            <w:pPr>
              <w:pStyle w:val="AppendixTableHeadings"/>
            </w:pPr>
            <w:r w:rsidRPr="003410C7">
              <w:rPr>
                <w:rFonts w:ascii="Tahoma" w:hAnsi="Tahoma" w:cs="Tahoma"/>
                <w:b w:val="0"/>
              </w:rPr>
              <w:t>SAM</w:t>
            </w:r>
          </w:p>
          <w:p w:rsidR="00F76ED4" w:rsidRPr="003410C7" w:rsidRDefault="00F76ED4" w:rsidP="009F17FF">
            <w:pPr>
              <w:pStyle w:val="AppendixTableText"/>
              <w:rPr>
                <w:rFonts w:ascii="Tahoma" w:hAnsi="Tahoma" w:cs="Tahoma"/>
              </w:rPr>
            </w:pPr>
            <w:r w:rsidRPr="003410C7">
              <w:rPr>
                <w:rFonts w:ascii="Tahoma" w:hAnsi="Tahoma" w:cs="Tahoma"/>
              </w:rPr>
              <w:t>250</w:t>
            </w:r>
            <w:r w:rsidR="009C6375" w:rsidRPr="003410C7">
              <w:rPr>
                <w:rFonts w:ascii="Tahoma" w:hAnsi="Tahoma" w:cs="Tahoma"/>
                <w:b/>
              </w:rPr>
              <w:t xml:space="preserve"> – </w:t>
            </w:r>
            <w:r w:rsidRPr="003410C7">
              <w:rPr>
                <w:rFonts w:ascii="Tahoma" w:hAnsi="Tahoma" w:cs="Tahoma"/>
              </w:rPr>
              <w:t>2</w:t>
            </w:r>
            <w:r w:rsidR="009C6375">
              <w:rPr>
                <w:rFonts w:ascii="Tahoma" w:hAnsi="Tahoma" w:cs="Tahoma"/>
              </w:rPr>
              <w:t>.</w:t>
            </w:r>
            <w:r w:rsidRPr="003410C7">
              <w:rPr>
                <w:rFonts w:ascii="Tahoma" w:hAnsi="Tahoma" w:cs="Tahoma"/>
              </w:rPr>
              <w:t xml:space="preserve">399 </w:t>
            </w:r>
          </w:p>
        </w:tc>
        <w:tc>
          <w:tcPr>
            <w:tcW w:w="4396" w:type="dxa"/>
            <w:vAlign w:val="center"/>
          </w:tcPr>
          <w:p w:rsidR="00F76ED4" w:rsidRPr="003410C7" w:rsidRDefault="00F76ED4" w:rsidP="009F17FF">
            <w:pPr>
              <w:pStyle w:val="AppendixTableText"/>
            </w:pPr>
            <w:r w:rsidRPr="003410C7">
              <w:rPr>
                <w:rFonts w:ascii="Tahoma" w:hAnsi="Tahoma" w:cs="Tahoma"/>
              </w:rPr>
              <w:t>20 giorni per</w:t>
            </w:r>
          </w:p>
          <w:p w:rsidR="00F76ED4" w:rsidRPr="003410C7" w:rsidRDefault="00F76ED4" w:rsidP="009F17FF">
            <w:pPr>
              <w:pStyle w:val="AppendixTableText"/>
              <w:rPr>
                <w:rFonts w:ascii="Tahoma" w:hAnsi="Tahoma" w:cs="Tahoma"/>
              </w:rPr>
            </w:pPr>
            <w:r w:rsidRPr="003410C7">
              <w:rPr>
                <w:rFonts w:ascii="Tahoma" w:hAnsi="Tahoma" w:cs="Tahoma"/>
              </w:rPr>
              <w:t>iscrizione idonea</w:t>
            </w:r>
          </w:p>
        </w:tc>
        <w:tc>
          <w:tcPr>
            <w:tcW w:w="2898" w:type="dxa"/>
            <w:vAlign w:val="center"/>
          </w:tcPr>
          <w:p w:rsidR="00F76ED4" w:rsidRPr="003410C7" w:rsidRDefault="00F76ED4" w:rsidP="009F17FF">
            <w:pPr>
              <w:pStyle w:val="AppendixTableText"/>
            </w:pPr>
            <w:r w:rsidRPr="003410C7">
              <w:rPr>
                <w:rFonts w:ascii="Tahoma" w:hAnsi="Tahoma" w:cs="Tahoma"/>
              </w:rPr>
              <w:t>10 giorni per</w:t>
            </w:r>
          </w:p>
          <w:p w:rsidR="00F76ED4" w:rsidRPr="003410C7" w:rsidRDefault="00F76ED4" w:rsidP="009F17FF">
            <w:pPr>
              <w:pStyle w:val="AppendixTableText"/>
              <w:rPr>
                <w:rFonts w:ascii="Tahoma" w:hAnsi="Tahoma" w:cs="Tahoma"/>
              </w:rPr>
            </w:pPr>
            <w:r w:rsidRPr="003410C7">
              <w:rPr>
                <w:rFonts w:ascii="Tahoma" w:hAnsi="Tahoma" w:cs="Tahoma"/>
              </w:rPr>
              <w:t>iscrizione idonea</w:t>
            </w:r>
          </w:p>
        </w:tc>
      </w:tr>
      <w:tr w:rsidR="00F76ED4" w:rsidRPr="003410C7" w:rsidTr="00114E8A">
        <w:trPr>
          <w:cantSplit/>
          <w:trHeight w:val="236"/>
        </w:trPr>
        <w:tc>
          <w:tcPr>
            <w:tcW w:w="2102" w:type="dxa"/>
            <w:vAlign w:val="center"/>
          </w:tcPr>
          <w:p w:rsidR="00F76ED4" w:rsidRPr="003410C7" w:rsidRDefault="00F76ED4" w:rsidP="009F17FF">
            <w:pPr>
              <w:pStyle w:val="AppendixTableHeadings"/>
            </w:pPr>
            <w:r w:rsidRPr="003410C7">
              <w:rPr>
                <w:rFonts w:ascii="Tahoma" w:hAnsi="Tahoma" w:cs="Tahoma"/>
                <w:b w:val="0"/>
              </w:rPr>
              <w:t>SAM</w:t>
            </w:r>
          </w:p>
          <w:p w:rsidR="00F76ED4" w:rsidRPr="003410C7" w:rsidRDefault="00F76ED4" w:rsidP="009F17FF">
            <w:pPr>
              <w:pStyle w:val="AppendixTableText"/>
              <w:rPr>
                <w:rFonts w:ascii="Tahoma" w:hAnsi="Tahoma" w:cs="Tahoma"/>
                <w:i/>
              </w:rPr>
            </w:pPr>
            <w:r w:rsidRPr="003410C7">
              <w:rPr>
                <w:rFonts w:ascii="Tahoma" w:hAnsi="Tahoma" w:cs="Tahoma"/>
              </w:rPr>
              <w:t>2</w:t>
            </w:r>
            <w:r w:rsidR="009C6375">
              <w:rPr>
                <w:rFonts w:ascii="Tahoma" w:hAnsi="Tahoma" w:cs="Tahoma"/>
              </w:rPr>
              <w:t>.</w:t>
            </w:r>
            <w:r w:rsidRPr="003410C7">
              <w:rPr>
                <w:rFonts w:ascii="Tahoma" w:hAnsi="Tahoma" w:cs="Tahoma"/>
              </w:rPr>
              <w:t>400</w:t>
            </w:r>
            <w:r w:rsidR="009C6375" w:rsidRPr="003410C7">
              <w:rPr>
                <w:rFonts w:ascii="Tahoma" w:hAnsi="Tahoma" w:cs="Tahoma"/>
                <w:b/>
              </w:rPr>
              <w:t xml:space="preserve"> – </w:t>
            </w:r>
            <w:r w:rsidRPr="003410C7">
              <w:rPr>
                <w:rFonts w:ascii="Tahoma" w:hAnsi="Tahoma" w:cs="Tahoma"/>
              </w:rPr>
              <w:t>5</w:t>
            </w:r>
            <w:r w:rsidR="009C6375">
              <w:rPr>
                <w:rFonts w:ascii="Tahoma" w:hAnsi="Tahoma" w:cs="Tahoma"/>
              </w:rPr>
              <w:t>.</w:t>
            </w:r>
            <w:r w:rsidRPr="003410C7">
              <w:rPr>
                <w:rFonts w:ascii="Tahoma" w:hAnsi="Tahoma" w:cs="Tahoma"/>
              </w:rPr>
              <w:t>999</w:t>
            </w:r>
          </w:p>
        </w:tc>
        <w:tc>
          <w:tcPr>
            <w:tcW w:w="4396" w:type="dxa"/>
            <w:vAlign w:val="center"/>
          </w:tcPr>
          <w:p w:rsidR="00F76ED4" w:rsidRPr="003410C7" w:rsidRDefault="00F76ED4" w:rsidP="009F17FF">
            <w:pPr>
              <w:pStyle w:val="AppendixTableText"/>
            </w:pPr>
            <w:r w:rsidRPr="003410C7">
              <w:rPr>
                <w:rFonts w:ascii="Tahoma" w:hAnsi="Tahoma" w:cs="Tahoma"/>
              </w:rPr>
              <w:t xml:space="preserve">30 giorni* </w:t>
            </w:r>
          </w:p>
          <w:p w:rsidR="00F76ED4" w:rsidRPr="003410C7" w:rsidRDefault="00F76ED4" w:rsidP="009F17FF">
            <w:pPr>
              <w:pStyle w:val="AppendixTableText"/>
              <w:rPr>
                <w:rFonts w:ascii="Tahoma" w:hAnsi="Tahoma" w:cs="Tahoma"/>
              </w:rPr>
            </w:pPr>
          </w:p>
        </w:tc>
        <w:tc>
          <w:tcPr>
            <w:tcW w:w="2898" w:type="dxa"/>
            <w:vAlign w:val="center"/>
          </w:tcPr>
          <w:p w:rsidR="00F76ED4" w:rsidRPr="003410C7" w:rsidRDefault="00F76ED4" w:rsidP="009F17FF">
            <w:pPr>
              <w:pStyle w:val="AppendixTableText"/>
            </w:pPr>
            <w:r w:rsidRPr="003410C7">
              <w:rPr>
                <w:rFonts w:ascii="Tahoma" w:hAnsi="Tahoma" w:cs="Tahoma"/>
              </w:rPr>
              <w:t xml:space="preserve">15 giorni* </w:t>
            </w:r>
          </w:p>
          <w:p w:rsidR="00F76ED4" w:rsidRPr="003410C7" w:rsidRDefault="00F76ED4" w:rsidP="009F17FF">
            <w:pPr>
              <w:pStyle w:val="AppendixTableText"/>
              <w:rPr>
                <w:rFonts w:ascii="Tahoma" w:hAnsi="Tahoma" w:cs="Tahoma"/>
              </w:rPr>
            </w:pPr>
          </w:p>
        </w:tc>
      </w:tr>
      <w:tr w:rsidR="00F76ED4" w:rsidRPr="003410C7" w:rsidTr="00114E8A">
        <w:trPr>
          <w:cantSplit/>
          <w:trHeight w:val="236"/>
        </w:trPr>
        <w:tc>
          <w:tcPr>
            <w:tcW w:w="2102" w:type="dxa"/>
            <w:vAlign w:val="center"/>
          </w:tcPr>
          <w:p w:rsidR="00F76ED4" w:rsidRPr="003410C7" w:rsidRDefault="00F76ED4" w:rsidP="00221877">
            <w:pPr>
              <w:pStyle w:val="AppendixTableHeadings"/>
            </w:pPr>
            <w:r w:rsidRPr="003410C7">
              <w:rPr>
                <w:rFonts w:ascii="Tahoma" w:hAnsi="Tahoma" w:cs="Tahoma"/>
                <w:b w:val="0"/>
              </w:rPr>
              <w:t>SAM</w:t>
            </w:r>
          </w:p>
          <w:p w:rsidR="00F76ED4" w:rsidRPr="003410C7" w:rsidRDefault="00F76ED4" w:rsidP="00221877">
            <w:pPr>
              <w:pStyle w:val="AppendixTableText"/>
              <w:rPr>
                <w:rFonts w:ascii="Tahoma" w:hAnsi="Tahoma" w:cs="Tahoma"/>
                <w:i/>
              </w:rPr>
            </w:pPr>
            <w:r w:rsidRPr="003410C7">
              <w:rPr>
                <w:rFonts w:ascii="Tahoma" w:hAnsi="Tahoma" w:cs="Tahoma"/>
              </w:rPr>
              <w:t>6</w:t>
            </w:r>
            <w:r w:rsidR="009C6375">
              <w:rPr>
                <w:rFonts w:ascii="Tahoma" w:hAnsi="Tahoma" w:cs="Tahoma"/>
              </w:rPr>
              <w:t>.</w:t>
            </w:r>
            <w:r w:rsidRPr="003410C7">
              <w:rPr>
                <w:rFonts w:ascii="Tahoma" w:hAnsi="Tahoma" w:cs="Tahoma"/>
              </w:rPr>
              <w:t>000</w:t>
            </w:r>
            <w:r w:rsidR="009C6375" w:rsidRPr="003410C7">
              <w:rPr>
                <w:rFonts w:ascii="Tahoma" w:hAnsi="Tahoma" w:cs="Tahoma"/>
                <w:b/>
              </w:rPr>
              <w:t xml:space="preserve"> – </w:t>
            </w:r>
            <w:r w:rsidRPr="003410C7">
              <w:rPr>
                <w:rFonts w:ascii="Tahoma" w:hAnsi="Tahoma" w:cs="Tahoma"/>
              </w:rPr>
              <w:t>14</w:t>
            </w:r>
            <w:r w:rsidR="009C6375">
              <w:rPr>
                <w:rFonts w:ascii="Tahoma" w:hAnsi="Tahoma" w:cs="Tahoma"/>
              </w:rPr>
              <w:t>.</w:t>
            </w:r>
            <w:r w:rsidRPr="003410C7">
              <w:rPr>
                <w:rFonts w:ascii="Tahoma" w:hAnsi="Tahoma" w:cs="Tahoma"/>
              </w:rPr>
              <w:t>999</w:t>
            </w:r>
          </w:p>
        </w:tc>
        <w:tc>
          <w:tcPr>
            <w:tcW w:w="4396" w:type="dxa"/>
            <w:vAlign w:val="center"/>
          </w:tcPr>
          <w:p w:rsidR="00F76ED4" w:rsidRPr="003410C7" w:rsidRDefault="00F76ED4" w:rsidP="00221877">
            <w:pPr>
              <w:pStyle w:val="AppendixTableText"/>
            </w:pPr>
            <w:r w:rsidRPr="003410C7">
              <w:rPr>
                <w:rFonts w:ascii="Tahoma" w:hAnsi="Tahoma" w:cs="Tahoma"/>
              </w:rPr>
              <w:t xml:space="preserve">50 giorni* </w:t>
            </w:r>
          </w:p>
          <w:p w:rsidR="00F76ED4" w:rsidRPr="003410C7" w:rsidRDefault="00F76ED4" w:rsidP="00221877">
            <w:pPr>
              <w:pStyle w:val="AppendixTableText"/>
              <w:rPr>
                <w:rFonts w:ascii="Tahoma" w:hAnsi="Tahoma" w:cs="Tahoma"/>
              </w:rPr>
            </w:pPr>
          </w:p>
        </w:tc>
        <w:tc>
          <w:tcPr>
            <w:tcW w:w="2898" w:type="dxa"/>
            <w:vAlign w:val="center"/>
          </w:tcPr>
          <w:p w:rsidR="00F76ED4" w:rsidRPr="003410C7" w:rsidRDefault="00F76ED4" w:rsidP="00221877">
            <w:pPr>
              <w:pStyle w:val="AppendixTableText"/>
            </w:pPr>
            <w:r w:rsidRPr="003410C7">
              <w:rPr>
                <w:rFonts w:ascii="Tahoma" w:hAnsi="Tahoma" w:cs="Tahoma"/>
              </w:rPr>
              <w:t xml:space="preserve">25 giorni* </w:t>
            </w:r>
          </w:p>
          <w:p w:rsidR="00F76ED4" w:rsidRPr="003410C7" w:rsidRDefault="00F76ED4" w:rsidP="00221877">
            <w:pPr>
              <w:pStyle w:val="AppendixTableText"/>
              <w:rPr>
                <w:rFonts w:ascii="Tahoma" w:hAnsi="Tahoma" w:cs="Tahoma"/>
              </w:rPr>
            </w:pPr>
          </w:p>
        </w:tc>
      </w:tr>
      <w:tr w:rsidR="00F76ED4" w:rsidRPr="003410C7" w:rsidTr="00114E8A">
        <w:trPr>
          <w:cantSplit/>
          <w:trHeight w:val="236"/>
        </w:trPr>
        <w:tc>
          <w:tcPr>
            <w:tcW w:w="2102" w:type="dxa"/>
            <w:vAlign w:val="center"/>
          </w:tcPr>
          <w:p w:rsidR="00F76ED4" w:rsidRPr="003410C7" w:rsidRDefault="00F76ED4" w:rsidP="00221877">
            <w:pPr>
              <w:pStyle w:val="AppendixTableHeadings"/>
            </w:pPr>
            <w:r w:rsidRPr="003410C7">
              <w:rPr>
                <w:rFonts w:ascii="Tahoma" w:hAnsi="Tahoma" w:cs="Tahoma"/>
                <w:b w:val="0"/>
              </w:rPr>
              <w:lastRenderedPageBreak/>
              <w:t>SAM</w:t>
            </w:r>
          </w:p>
          <w:p w:rsidR="00F76ED4" w:rsidRPr="003410C7" w:rsidRDefault="00F76ED4" w:rsidP="00221877">
            <w:pPr>
              <w:pStyle w:val="AppendixTableText"/>
              <w:rPr>
                <w:rFonts w:ascii="Tahoma" w:hAnsi="Tahoma" w:cs="Tahoma"/>
                <w:i/>
              </w:rPr>
            </w:pPr>
            <w:r w:rsidRPr="003410C7">
              <w:rPr>
                <w:rFonts w:ascii="Tahoma" w:hAnsi="Tahoma" w:cs="Tahoma"/>
              </w:rPr>
              <w:t>15</w:t>
            </w:r>
            <w:r w:rsidR="009C6375">
              <w:rPr>
                <w:rFonts w:ascii="Tahoma" w:hAnsi="Tahoma" w:cs="Tahoma"/>
              </w:rPr>
              <w:t>.</w:t>
            </w:r>
            <w:r w:rsidRPr="003410C7">
              <w:rPr>
                <w:rFonts w:ascii="Tahoma" w:hAnsi="Tahoma" w:cs="Tahoma"/>
              </w:rPr>
              <w:t>000 – 29</w:t>
            </w:r>
            <w:r w:rsidR="009C6375">
              <w:rPr>
                <w:rFonts w:ascii="Tahoma" w:hAnsi="Tahoma" w:cs="Tahoma"/>
              </w:rPr>
              <w:t>.</w:t>
            </w:r>
            <w:r w:rsidRPr="003410C7">
              <w:rPr>
                <w:rFonts w:ascii="Tahoma" w:hAnsi="Tahoma" w:cs="Tahoma"/>
              </w:rPr>
              <w:t>999</w:t>
            </w:r>
          </w:p>
        </w:tc>
        <w:tc>
          <w:tcPr>
            <w:tcW w:w="4396" w:type="dxa"/>
            <w:vAlign w:val="center"/>
          </w:tcPr>
          <w:p w:rsidR="00F76ED4" w:rsidRPr="003410C7" w:rsidRDefault="00F76ED4" w:rsidP="00221877">
            <w:pPr>
              <w:pStyle w:val="AppendixTableText"/>
            </w:pPr>
            <w:r w:rsidRPr="003410C7">
              <w:rPr>
                <w:rFonts w:ascii="Tahoma" w:hAnsi="Tahoma" w:cs="Tahoma"/>
              </w:rPr>
              <w:t xml:space="preserve">110 giorni* </w:t>
            </w:r>
          </w:p>
          <w:p w:rsidR="00F76ED4" w:rsidRPr="003410C7" w:rsidRDefault="00F76ED4" w:rsidP="00221877">
            <w:pPr>
              <w:pStyle w:val="AppendixTableText"/>
              <w:rPr>
                <w:rFonts w:ascii="Tahoma" w:hAnsi="Tahoma" w:cs="Tahoma"/>
              </w:rPr>
            </w:pPr>
          </w:p>
        </w:tc>
        <w:tc>
          <w:tcPr>
            <w:tcW w:w="2898" w:type="dxa"/>
            <w:vAlign w:val="center"/>
          </w:tcPr>
          <w:p w:rsidR="00F76ED4" w:rsidRPr="003410C7" w:rsidRDefault="00F76ED4" w:rsidP="00221877">
            <w:pPr>
              <w:pStyle w:val="AppendixTableText"/>
            </w:pPr>
            <w:r w:rsidRPr="003410C7">
              <w:rPr>
                <w:rFonts w:ascii="Tahoma" w:hAnsi="Tahoma" w:cs="Tahoma"/>
              </w:rPr>
              <w:t xml:space="preserve">55 giorni* </w:t>
            </w:r>
          </w:p>
          <w:p w:rsidR="00F76ED4" w:rsidRPr="003410C7" w:rsidRDefault="00F76ED4" w:rsidP="00221877">
            <w:pPr>
              <w:pStyle w:val="AppendixTableText"/>
              <w:rPr>
                <w:rFonts w:ascii="Tahoma" w:hAnsi="Tahoma" w:cs="Tahoma"/>
              </w:rPr>
            </w:pPr>
          </w:p>
        </w:tc>
      </w:tr>
      <w:tr w:rsidR="00F76ED4" w:rsidRPr="003410C7" w:rsidTr="00114E8A">
        <w:trPr>
          <w:cantSplit/>
          <w:trHeight w:val="236"/>
        </w:trPr>
        <w:tc>
          <w:tcPr>
            <w:tcW w:w="2102" w:type="dxa"/>
            <w:vAlign w:val="center"/>
          </w:tcPr>
          <w:p w:rsidR="00F76ED4" w:rsidRPr="003410C7" w:rsidRDefault="00F76ED4" w:rsidP="00221877">
            <w:pPr>
              <w:pStyle w:val="AppendixTableHeadings"/>
            </w:pPr>
            <w:r w:rsidRPr="003410C7">
              <w:rPr>
                <w:rFonts w:ascii="Tahoma" w:hAnsi="Tahoma" w:cs="Tahoma"/>
                <w:b w:val="0"/>
              </w:rPr>
              <w:t>SAM</w:t>
            </w:r>
          </w:p>
          <w:p w:rsidR="00F76ED4" w:rsidRPr="003410C7" w:rsidRDefault="00F76ED4" w:rsidP="00221877">
            <w:pPr>
              <w:pStyle w:val="AppendixTableText"/>
              <w:rPr>
                <w:rFonts w:ascii="Tahoma" w:hAnsi="Tahoma" w:cs="Tahoma"/>
                <w:i/>
              </w:rPr>
            </w:pPr>
            <w:r w:rsidRPr="003410C7">
              <w:rPr>
                <w:rFonts w:ascii="Tahoma" w:hAnsi="Tahoma" w:cs="Tahoma"/>
              </w:rPr>
              <w:t>30</w:t>
            </w:r>
            <w:r w:rsidR="009C6375">
              <w:rPr>
                <w:rFonts w:ascii="Tahoma" w:hAnsi="Tahoma" w:cs="Tahoma"/>
              </w:rPr>
              <w:t>.</w:t>
            </w:r>
            <w:r w:rsidRPr="003410C7">
              <w:rPr>
                <w:rFonts w:ascii="Tahoma" w:hAnsi="Tahoma" w:cs="Tahoma"/>
              </w:rPr>
              <w:t>000 – 49</w:t>
            </w:r>
            <w:r w:rsidR="009C6375">
              <w:rPr>
                <w:rFonts w:ascii="Tahoma" w:hAnsi="Tahoma" w:cs="Tahoma"/>
              </w:rPr>
              <w:t>.</w:t>
            </w:r>
            <w:r w:rsidRPr="003410C7">
              <w:rPr>
                <w:rFonts w:ascii="Tahoma" w:hAnsi="Tahoma" w:cs="Tahoma"/>
              </w:rPr>
              <w:t>999</w:t>
            </w:r>
          </w:p>
        </w:tc>
        <w:tc>
          <w:tcPr>
            <w:tcW w:w="4396" w:type="dxa"/>
            <w:vAlign w:val="center"/>
          </w:tcPr>
          <w:p w:rsidR="00F76ED4" w:rsidRPr="003410C7" w:rsidRDefault="00F76ED4" w:rsidP="00221877">
            <w:pPr>
              <w:pStyle w:val="AppendixTableText"/>
            </w:pPr>
            <w:r w:rsidRPr="003410C7">
              <w:rPr>
                <w:rFonts w:ascii="Tahoma" w:hAnsi="Tahoma" w:cs="Tahoma"/>
              </w:rPr>
              <w:t xml:space="preserve">160 giorni* </w:t>
            </w:r>
          </w:p>
          <w:p w:rsidR="00F76ED4" w:rsidRPr="003410C7" w:rsidRDefault="00F76ED4" w:rsidP="00221877">
            <w:pPr>
              <w:pStyle w:val="AppendixTableText"/>
              <w:rPr>
                <w:rFonts w:ascii="Tahoma" w:hAnsi="Tahoma" w:cs="Tahoma"/>
              </w:rPr>
            </w:pPr>
          </w:p>
        </w:tc>
        <w:tc>
          <w:tcPr>
            <w:tcW w:w="2898" w:type="dxa"/>
            <w:vAlign w:val="center"/>
          </w:tcPr>
          <w:p w:rsidR="00F76ED4" w:rsidRPr="003410C7" w:rsidRDefault="00F76ED4" w:rsidP="00221877">
            <w:pPr>
              <w:pStyle w:val="AppendixTableText"/>
            </w:pPr>
            <w:r w:rsidRPr="003410C7">
              <w:rPr>
                <w:rFonts w:ascii="Tahoma" w:hAnsi="Tahoma" w:cs="Tahoma"/>
              </w:rPr>
              <w:t>80 giorni*</w:t>
            </w:r>
          </w:p>
          <w:p w:rsidR="00F76ED4" w:rsidRPr="003410C7" w:rsidRDefault="00F76ED4" w:rsidP="00221877">
            <w:pPr>
              <w:pStyle w:val="AppendixTableText"/>
              <w:rPr>
                <w:rFonts w:ascii="Tahoma" w:hAnsi="Tahoma" w:cs="Tahoma"/>
              </w:rPr>
            </w:pPr>
          </w:p>
        </w:tc>
      </w:tr>
      <w:tr w:rsidR="00F76ED4" w:rsidRPr="003410C7" w:rsidTr="00114E8A">
        <w:trPr>
          <w:cantSplit/>
          <w:trHeight w:val="236"/>
        </w:trPr>
        <w:tc>
          <w:tcPr>
            <w:tcW w:w="2102" w:type="dxa"/>
            <w:vAlign w:val="center"/>
          </w:tcPr>
          <w:p w:rsidR="00F76ED4" w:rsidRPr="003410C7" w:rsidRDefault="00F76ED4" w:rsidP="00221877">
            <w:pPr>
              <w:pStyle w:val="AppendixTableHeadings"/>
            </w:pPr>
            <w:r w:rsidRPr="003410C7">
              <w:rPr>
                <w:rFonts w:ascii="Tahoma" w:hAnsi="Tahoma" w:cs="Tahoma"/>
                <w:b w:val="0"/>
              </w:rPr>
              <w:t>SAM</w:t>
            </w:r>
          </w:p>
          <w:p w:rsidR="00F76ED4" w:rsidRPr="003410C7" w:rsidRDefault="00F76ED4" w:rsidP="00221877">
            <w:pPr>
              <w:pStyle w:val="AppendixTableText"/>
              <w:rPr>
                <w:rFonts w:ascii="Tahoma" w:hAnsi="Tahoma" w:cs="Tahoma"/>
                <w:i/>
              </w:rPr>
            </w:pPr>
            <w:r w:rsidRPr="003410C7">
              <w:rPr>
                <w:rFonts w:ascii="Tahoma" w:hAnsi="Tahoma" w:cs="Tahoma"/>
              </w:rPr>
              <w:t>50</w:t>
            </w:r>
            <w:r w:rsidR="009C6375">
              <w:rPr>
                <w:rFonts w:ascii="Tahoma" w:hAnsi="Tahoma" w:cs="Tahoma"/>
              </w:rPr>
              <w:t>.</w:t>
            </w:r>
            <w:r w:rsidRPr="003410C7">
              <w:rPr>
                <w:rFonts w:ascii="Tahoma" w:hAnsi="Tahoma" w:cs="Tahoma"/>
              </w:rPr>
              <w:t>000 – 99</w:t>
            </w:r>
            <w:r w:rsidR="009C6375">
              <w:rPr>
                <w:rFonts w:ascii="Tahoma" w:hAnsi="Tahoma" w:cs="Tahoma"/>
              </w:rPr>
              <w:t>.</w:t>
            </w:r>
            <w:r w:rsidRPr="003410C7">
              <w:rPr>
                <w:rFonts w:ascii="Tahoma" w:hAnsi="Tahoma" w:cs="Tahoma"/>
              </w:rPr>
              <w:t>999</w:t>
            </w:r>
          </w:p>
        </w:tc>
        <w:tc>
          <w:tcPr>
            <w:tcW w:w="4396" w:type="dxa"/>
            <w:vAlign w:val="center"/>
          </w:tcPr>
          <w:p w:rsidR="00F76ED4" w:rsidRPr="003410C7" w:rsidRDefault="00F76ED4" w:rsidP="00221877">
            <w:pPr>
              <w:pStyle w:val="AppendixTableText"/>
            </w:pPr>
            <w:r w:rsidRPr="003410C7">
              <w:rPr>
                <w:rFonts w:ascii="Tahoma" w:hAnsi="Tahoma" w:cs="Tahoma"/>
              </w:rPr>
              <w:t>250 giorni*</w:t>
            </w:r>
          </w:p>
          <w:p w:rsidR="00F76ED4" w:rsidRPr="003410C7" w:rsidRDefault="00F76ED4" w:rsidP="00221877">
            <w:pPr>
              <w:pStyle w:val="AppendixTableText"/>
              <w:rPr>
                <w:rFonts w:ascii="Tahoma" w:hAnsi="Tahoma" w:cs="Tahoma"/>
              </w:rPr>
            </w:pPr>
          </w:p>
        </w:tc>
        <w:tc>
          <w:tcPr>
            <w:tcW w:w="2898" w:type="dxa"/>
            <w:vAlign w:val="center"/>
          </w:tcPr>
          <w:p w:rsidR="00F76ED4" w:rsidRPr="003410C7" w:rsidRDefault="00F76ED4" w:rsidP="00221877">
            <w:pPr>
              <w:pStyle w:val="AppendixTableText"/>
            </w:pPr>
            <w:r w:rsidRPr="003410C7">
              <w:rPr>
                <w:rFonts w:ascii="Tahoma" w:hAnsi="Tahoma" w:cs="Tahoma"/>
              </w:rPr>
              <w:t xml:space="preserve">125 giorni* </w:t>
            </w:r>
          </w:p>
          <w:p w:rsidR="00F76ED4" w:rsidRPr="003410C7" w:rsidRDefault="00F76ED4" w:rsidP="00221877">
            <w:pPr>
              <w:pStyle w:val="AppendixTableText"/>
              <w:rPr>
                <w:rFonts w:ascii="Tahoma" w:hAnsi="Tahoma" w:cs="Tahoma"/>
              </w:rPr>
            </w:pPr>
          </w:p>
        </w:tc>
      </w:tr>
      <w:tr w:rsidR="00F76ED4" w:rsidRPr="003410C7" w:rsidTr="00114E8A">
        <w:trPr>
          <w:cantSplit/>
          <w:trHeight w:val="236"/>
        </w:trPr>
        <w:tc>
          <w:tcPr>
            <w:tcW w:w="2102" w:type="dxa"/>
            <w:vAlign w:val="center"/>
          </w:tcPr>
          <w:p w:rsidR="00F76ED4" w:rsidRPr="003410C7" w:rsidRDefault="00F76ED4" w:rsidP="00221877">
            <w:pPr>
              <w:pStyle w:val="AppendixTableHeadings"/>
            </w:pPr>
            <w:r w:rsidRPr="003410C7">
              <w:rPr>
                <w:rFonts w:ascii="Tahoma" w:hAnsi="Tahoma" w:cs="Tahoma"/>
                <w:b w:val="0"/>
              </w:rPr>
              <w:t>SAM</w:t>
            </w:r>
          </w:p>
          <w:p w:rsidR="00F76ED4" w:rsidRPr="003410C7" w:rsidRDefault="00F76ED4" w:rsidP="00221877">
            <w:pPr>
              <w:pStyle w:val="AppendixTableHeadings"/>
              <w:rPr>
                <w:rFonts w:ascii="Tahoma" w:hAnsi="Tahoma" w:cs="Tahoma"/>
                <w:b w:val="0"/>
              </w:rPr>
            </w:pPr>
            <w:r w:rsidRPr="003410C7">
              <w:rPr>
                <w:rFonts w:ascii="Tahoma" w:hAnsi="Tahoma" w:cs="Tahoma"/>
                <w:b w:val="0"/>
              </w:rPr>
              <w:t>100</w:t>
            </w:r>
            <w:r w:rsidR="009C6375">
              <w:rPr>
                <w:rFonts w:ascii="Tahoma" w:hAnsi="Tahoma" w:cs="Tahoma"/>
                <w:b w:val="0"/>
              </w:rPr>
              <w:t>.</w:t>
            </w:r>
            <w:r w:rsidRPr="003410C7">
              <w:rPr>
                <w:rFonts w:ascii="Tahoma" w:hAnsi="Tahoma" w:cs="Tahoma"/>
                <w:b w:val="0"/>
              </w:rPr>
              <w:t>000 – 199</w:t>
            </w:r>
            <w:r w:rsidR="009C6375">
              <w:rPr>
                <w:rFonts w:ascii="Tahoma" w:hAnsi="Tahoma" w:cs="Tahoma"/>
                <w:b w:val="0"/>
              </w:rPr>
              <w:t>.</w:t>
            </w:r>
            <w:r w:rsidRPr="003410C7">
              <w:rPr>
                <w:rFonts w:ascii="Tahoma" w:hAnsi="Tahoma" w:cs="Tahoma"/>
                <w:b w:val="0"/>
              </w:rPr>
              <w:t>999</w:t>
            </w:r>
          </w:p>
        </w:tc>
        <w:tc>
          <w:tcPr>
            <w:tcW w:w="4396" w:type="dxa"/>
            <w:vAlign w:val="center"/>
          </w:tcPr>
          <w:p w:rsidR="00F76ED4" w:rsidRPr="003410C7" w:rsidRDefault="00F76ED4" w:rsidP="00221877">
            <w:pPr>
              <w:pStyle w:val="AppendixTableText"/>
            </w:pPr>
            <w:r w:rsidRPr="003410C7">
              <w:rPr>
                <w:rFonts w:ascii="Tahoma" w:hAnsi="Tahoma" w:cs="Tahoma"/>
              </w:rPr>
              <w:t>400 giorni*</w:t>
            </w:r>
          </w:p>
          <w:p w:rsidR="00F76ED4" w:rsidRPr="003410C7" w:rsidRDefault="00F76ED4" w:rsidP="00221877">
            <w:pPr>
              <w:pStyle w:val="AppendixTableText"/>
              <w:rPr>
                <w:rFonts w:ascii="Tahoma" w:hAnsi="Tahoma" w:cs="Tahoma"/>
              </w:rPr>
            </w:pPr>
          </w:p>
        </w:tc>
        <w:tc>
          <w:tcPr>
            <w:tcW w:w="2898" w:type="dxa"/>
            <w:vAlign w:val="center"/>
          </w:tcPr>
          <w:p w:rsidR="00F76ED4" w:rsidRPr="003410C7" w:rsidRDefault="00F76ED4" w:rsidP="00221877">
            <w:pPr>
              <w:pStyle w:val="AppendixTableText"/>
            </w:pPr>
            <w:r w:rsidRPr="003410C7">
              <w:rPr>
                <w:rFonts w:ascii="Tahoma" w:hAnsi="Tahoma" w:cs="Tahoma"/>
              </w:rPr>
              <w:t>200 giorni*</w:t>
            </w:r>
          </w:p>
          <w:p w:rsidR="00F76ED4" w:rsidRPr="003410C7" w:rsidRDefault="00F76ED4" w:rsidP="00221877">
            <w:pPr>
              <w:pStyle w:val="AppendixTableText"/>
              <w:rPr>
                <w:rFonts w:ascii="Tahoma" w:hAnsi="Tahoma" w:cs="Tahoma"/>
              </w:rPr>
            </w:pPr>
          </w:p>
        </w:tc>
      </w:tr>
      <w:tr w:rsidR="00F76ED4" w:rsidRPr="003410C7" w:rsidTr="00114E8A">
        <w:trPr>
          <w:cantSplit/>
          <w:trHeight w:val="236"/>
        </w:trPr>
        <w:tc>
          <w:tcPr>
            <w:tcW w:w="2102" w:type="dxa"/>
            <w:vAlign w:val="center"/>
          </w:tcPr>
          <w:p w:rsidR="00F76ED4" w:rsidRPr="003410C7" w:rsidRDefault="00F76ED4" w:rsidP="00221877">
            <w:pPr>
              <w:pStyle w:val="AppendixTableHeadings"/>
            </w:pPr>
            <w:r w:rsidRPr="003410C7">
              <w:rPr>
                <w:rFonts w:ascii="Tahoma" w:hAnsi="Tahoma" w:cs="Tahoma"/>
                <w:b w:val="0"/>
              </w:rPr>
              <w:t>SAM</w:t>
            </w:r>
          </w:p>
          <w:p w:rsidR="00F76ED4" w:rsidRPr="003410C7" w:rsidRDefault="00F76ED4" w:rsidP="00221877">
            <w:pPr>
              <w:pStyle w:val="AppendixTableHeadings"/>
              <w:rPr>
                <w:rFonts w:ascii="Tahoma" w:hAnsi="Tahoma" w:cs="Tahoma"/>
                <w:b w:val="0"/>
              </w:rPr>
            </w:pPr>
            <w:r w:rsidRPr="003410C7">
              <w:rPr>
                <w:rFonts w:ascii="Tahoma" w:hAnsi="Tahoma" w:cs="Tahoma"/>
                <w:b w:val="0"/>
              </w:rPr>
              <w:t>200</w:t>
            </w:r>
            <w:r w:rsidR="009C6375">
              <w:rPr>
                <w:rFonts w:ascii="Tahoma" w:hAnsi="Tahoma" w:cs="Tahoma"/>
                <w:b w:val="0"/>
              </w:rPr>
              <w:t>.</w:t>
            </w:r>
            <w:r w:rsidRPr="003410C7">
              <w:rPr>
                <w:rFonts w:ascii="Tahoma" w:hAnsi="Tahoma" w:cs="Tahoma"/>
                <w:b w:val="0"/>
              </w:rPr>
              <w:t>000 – 399</w:t>
            </w:r>
            <w:r w:rsidR="009C6375">
              <w:rPr>
                <w:rFonts w:ascii="Tahoma" w:hAnsi="Tahoma" w:cs="Tahoma"/>
                <w:b w:val="0"/>
              </w:rPr>
              <w:t>.</w:t>
            </w:r>
            <w:r w:rsidRPr="003410C7">
              <w:rPr>
                <w:rFonts w:ascii="Tahoma" w:hAnsi="Tahoma" w:cs="Tahoma"/>
                <w:b w:val="0"/>
              </w:rPr>
              <w:t>999</w:t>
            </w:r>
          </w:p>
        </w:tc>
        <w:tc>
          <w:tcPr>
            <w:tcW w:w="4396" w:type="dxa"/>
            <w:vAlign w:val="center"/>
          </w:tcPr>
          <w:p w:rsidR="00F76ED4" w:rsidRPr="003410C7" w:rsidRDefault="00F76ED4" w:rsidP="00221877">
            <w:pPr>
              <w:pStyle w:val="AppendixTableText"/>
            </w:pPr>
            <w:r w:rsidRPr="003410C7">
              <w:rPr>
                <w:rFonts w:ascii="Tahoma" w:hAnsi="Tahoma" w:cs="Tahoma"/>
              </w:rPr>
              <w:t>600 giorni*</w:t>
            </w:r>
          </w:p>
          <w:p w:rsidR="00F76ED4" w:rsidRPr="003410C7" w:rsidRDefault="00F76ED4" w:rsidP="00221877">
            <w:pPr>
              <w:pStyle w:val="AppendixTableText"/>
              <w:rPr>
                <w:rFonts w:ascii="Tahoma" w:hAnsi="Tahoma" w:cs="Tahoma"/>
              </w:rPr>
            </w:pPr>
          </w:p>
        </w:tc>
        <w:tc>
          <w:tcPr>
            <w:tcW w:w="2898" w:type="dxa"/>
            <w:vAlign w:val="center"/>
          </w:tcPr>
          <w:p w:rsidR="00F76ED4" w:rsidRPr="003410C7" w:rsidRDefault="00F76ED4" w:rsidP="00221877">
            <w:pPr>
              <w:pStyle w:val="AppendixTableText"/>
            </w:pPr>
            <w:r w:rsidRPr="003410C7">
              <w:rPr>
                <w:rFonts w:ascii="Tahoma" w:hAnsi="Tahoma" w:cs="Tahoma"/>
              </w:rPr>
              <w:t>300 giorni*</w:t>
            </w:r>
          </w:p>
          <w:p w:rsidR="00F76ED4" w:rsidRPr="003410C7" w:rsidRDefault="00F76ED4" w:rsidP="00221877">
            <w:pPr>
              <w:pStyle w:val="AppendixTableText"/>
              <w:rPr>
                <w:rFonts w:ascii="Tahoma" w:hAnsi="Tahoma" w:cs="Tahoma"/>
              </w:rPr>
            </w:pPr>
          </w:p>
        </w:tc>
      </w:tr>
      <w:tr w:rsidR="00F76ED4" w:rsidRPr="003410C7" w:rsidTr="00114E8A">
        <w:trPr>
          <w:cantSplit/>
          <w:trHeight w:val="236"/>
        </w:trPr>
        <w:tc>
          <w:tcPr>
            <w:tcW w:w="2102" w:type="dxa"/>
            <w:vAlign w:val="center"/>
          </w:tcPr>
          <w:p w:rsidR="00F76ED4" w:rsidRPr="003410C7" w:rsidRDefault="00F76ED4" w:rsidP="00221877">
            <w:pPr>
              <w:pStyle w:val="AppendixTableHeadings"/>
            </w:pPr>
            <w:r w:rsidRPr="003410C7">
              <w:rPr>
                <w:rFonts w:ascii="Tahoma" w:hAnsi="Tahoma" w:cs="Tahoma"/>
                <w:b w:val="0"/>
              </w:rPr>
              <w:t>SAM</w:t>
            </w:r>
          </w:p>
          <w:p w:rsidR="00F76ED4" w:rsidRPr="003410C7" w:rsidRDefault="00F76ED4" w:rsidP="00221877">
            <w:pPr>
              <w:pStyle w:val="AppendixTableHeadings"/>
              <w:rPr>
                <w:rFonts w:ascii="Tahoma" w:hAnsi="Tahoma" w:cs="Tahoma"/>
                <w:b w:val="0"/>
              </w:rPr>
            </w:pPr>
            <w:r w:rsidRPr="003410C7">
              <w:rPr>
                <w:rFonts w:ascii="Tahoma" w:hAnsi="Tahoma" w:cs="Tahoma"/>
                <w:b w:val="0"/>
              </w:rPr>
              <w:t>400</w:t>
            </w:r>
            <w:r w:rsidR="009C6375">
              <w:rPr>
                <w:rFonts w:ascii="Tahoma" w:hAnsi="Tahoma" w:cs="Tahoma"/>
                <w:b w:val="0"/>
              </w:rPr>
              <w:t>.</w:t>
            </w:r>
            <w:r w:rsidRPr="003410C7">
              <w:rPr>
                <w:rFonts w:ascii="Tahoma" w:hAnsi="Tahoma" w:cs="Tahoma"/>
                <w:b w:val="0"/>
              </w:rPr>
              <w:t>000 – 599</w:t>
            </w:r>
            <w:r w:rsidR="009C6375">
              <w:rPr>
                <w:rFonts w:ascii="Tahoma" w:hAnsi="Tahoma" w:cs="Tahoma"/>
                <w:b w:val="0"/>
              </w:rPr>
              <w:t>.</w:t>
            </w:r>
            <w:r w:rsidRPr="003410C7">
              <w:rPr>
                <w:rFonts w:ascii="Tahoma" w:hAnsi="Tahoma" w:cs="Tahoma"/>
                <w:b w:val="0"/>
              </w:rPr>
              <w:t>999</w:t>
            </w:r>
          </w:p>
        </w:tc>
        <w:tc>
          <w:tcPr>
            <w:tcW w:w="4396" w:type="dxa"/>
            <w:vAlign w:val="center"/>
          </w:tcPr>
          <w:p w:rsidR="00F76ED4" w:rsidRPr="003410C7" w:rsidRDefault="00F76ED4" w:rsidP="00221877">
            <w:pPr>
              <w:pStyle w:val="AppendixTableText"/>
            </w:pPr>
            <w:r w:rsidRPr="003410C7">
              <w:rPr>
                <w:rFonts w:ascii="Tahoma" w:hAnsi="Tahoma" w:cs="Tahoma"/>
              </w:rPr>
              <w:t>800 giorni*</w:t>
            </w:r>
          </w:p>
          <w:p w:rsidR="00F76ED4" w:rsidRPr="003410C7" w:rsidRDefault="00F76ED4" w:rsidP="00221877">
            <w:pPr>
              <w:pStyle w:val="AppendixTableText"/>
              <w:rPr>
                <w:rFonts w:ascii="Tahoma" w:hAnsi="Tahoma" w:cs="Tahoma"/>
              </w:rPr>
            </w:pPr>
          </w:p>
        </w:tc>
        <w:tc>
          <w:tcPr>
            <w:tcW w:w="2898" w:type="dxa"/>
            <w:vAlign w:val="center"/>
          </w:tcPr>
          <w:p w:rsidR="00F76ED4" w:rsidRPr="003410C7" w:rsidRDefault="00F76ED4" w:rsidP="00221877">
            <w:pPr>
              <w:pStyle w:val="AppendixTableText"/>
            </w:pPr>
            <w:r w:rsidRPr="003410C7">
              <w:rPr>
                <w:rFonts w:ascii="Tahoma" w:hAnsi="Tahoma" w:cs="Tahoma"/>
              </w:rPr>
              <w:t>400 giorni*</w:t>
            </w:r>
          </w:p>
          <w:p w:rsidR="00F76ED4" w:rsidRPr="003410C7" w:rsidRDefault="00F76ED4" w:rsidP="00221877">
            <w:pPr>
              <w:pStyle w:val="AppendixTableText"/>
              <w:rPr>
                <w:rFonts w:ascii="Tahoma" w:hAnsi="Tahoma" w:cs="Tahoma"/>
              </w:rPr>
            </w:pPr>
          </w:p>
        </w:tc>
      </w:tr>
      <w:tr w:rsidR="00F76ED4" w:rsidRPr="003410C7" w:rsidTr="00114E8A">
        <w:trPr>
          <w:cantSplit/>
          <w:trHeight w:val="236"/>
        </w:trPr>
        <w:tc>
          <w:tcPr>
            <w:tcW w:w="2102" w:type="dxa"/>
            <w:vAlign w:val="center"/>
          </w:tcPr>
          <w:p w:rsidR="00F76ED4" w:rsidRPr="003410C7" w:rsidRDefault="00F76ED4" w:rsidP="00221877">
            <w:pPr>
              <w:pStyle w:val="AppendixTableHeadings"/>
            </w:pPr>
            <w:r w:rsidRPr="003410C7">
              <w:rPr>
                <w:rFonts w:ascii="Tahoma" w:hAnsi="Tahoma" w:cs="Tahoma"/>
                <w:b w:val="0"/>
              </w:rPr>
              <w:t>SAM</w:t>
            </w:r>
          </w:p>
          <w:p w:rsidR="00F76ED4" w:rsidRPr="003410C7" w:rsidRDefault="00F76ED4" w:rsidP="00221877">
            <w:pPr>
              <w:pStyle w:val="AppendixTableHeadings"/>
              <w:rPr>
                <w:rFonts w:ascii="Tahoma" w:hAnsi="Tahoma" w:cs="Tahoma"/>
                <w:b w:val="0"/>
              </w:rPr>
            </w:pPr>
            <w:r w:rsidRPr="003410C7">
              <w:rPr>
                <w:rFonts w:ascii="Tahoma" w:hAnsi="Tahoma" w:cs="Tahoma"/>
                <w:b w:val="0"/>
              </w:rPr>
              <w:t>600</w:t>
            </w:r>
            <w:r w:rsidR="009C6375">
              <w:rPr>
                <w:rFonts w:ascii="Tahoma" w:hAnsi="Tahoma" w:cs="Tahoma"/>
                <w:b w:val="0"/>
              </w:rPr>
              <w:t>.</w:t>
            </w:r>
            <w:r w:rsidRPr="003410C7">
              <w:rPr>
                <w:rFonts w:ascii="Tahoma" w:hAnsi="Tahoma" w:cs="Tahoma"/>
                <w:b w:val="0"/>
              </w:rPr>
              <w:t>000 +</w:t>
            </w:r>
          </w:p>
        </w:tc>
        <w:tc>
          <w:tcPr>
            <w:tcW w:w="4396" w:type="dxa"/>
            <w:vAlign w:val="center"/>
          </w:tcPr>
          <w:p w:rsidR="00F76ED4" w:rsidRPr="003410C7" w:rsidRDefault="00F76ED4" w:rsidP="00221877">
            <w:pPr>
              <w:pStyle w:val="AppendixTableText"/>
            </w:pPr>
            <w:r w:rsidRPr="003410C7">
              <w:rPr>
                <w:rFonts w:ascii="Tahoma" w:hAnsi="Tahoma" w:cs="Tahoma"/>
              </w:rPr>
              <w:t xml:space="preserve">1400 giorni* </w:t>
            </w:r>
          </w:p>
          <w:p w:rsidR="00F76ED4" w:rsidRPr="003410C7" w:rsidRDefault="00F76ED4" w:rsidP="00221877">
            <w:pPr>
              <w:pStyle w:val="AppendixTableText"/>
              <w:rPr>
                <w:rFonts w:ascii="Tahoma" w:hAnsi="Tahoma" w:cs="Tahoma"/>
              </w:rPr>
            </w:pPr>
          </w:p>
        </w:tc>
        <w:tc>
          <w:tcPr>
            <w:tcW w:w="2898" w:type="dxa"/>
            <w:vAlign w:val="center"/>
          </w:tcPr>
          <w:p w:rsidR="00F76ED4" w:rsidRPr="003410C7" w:rsidRDefault="00F76ED4" w:rsidP="00221877">
            <w:pPr>
              <w:pStyle w:val="AppendixTableText"/>
            </w:pPr>
            <w:r w:rsidRPr="003410C7">
              <w:rPr>
                <w:rFonts w:ascii="Tahoma" w:hAnsi="Tahoma" w:cs="Tahoma"/>
              </w:rPr>
              <w:t>700 giorni*</w:t>
            </w:r>
          </w:p>
          <w:p w:rsidR="00F76ED4" w:rsidRPr="003410C7" w:rsidRDefault="00F76ED4" w:rsidP="00221877">
            <w:pPr>
              <w:pStyle w:val="AppendixTableText"/>
              <w:rPr>
                <w:rFonts w:ascii="Tahoma" w:hAnsi="Tahoma" w:cs="Tahoma"/>
              </w:rPr>
            </w:pPr>
          </w:p>
        </w:tc>
      </w:tr>
    </w:tbl>
    <w:p w:rsidR="00F528E5" w:rsidRPr="003410C7" w:rsidRDefault="00F528E5" w:rsidP="003C56F1">
      <w:pPr>
        <w:pStyle w:val="AppendixBodyText"/>
        <w:spacing w:after="0"/>
      </w:pPr>
    </w:p>
    <w:p w:rsidR="00E762F8" w:rsidRPr="00451078" w:rsidRDefault="00023FE7">
      <w:pPr>
        <w:pStyle w:val="AppendixFlushBulletedList"/>
        <w:tabs>
          <w:tab w:val="clear" w:pos="360"/>
          <w:tab w:val="num" w:pos="0"/>
        </w:tabs>
        <w:ind w:left="0" w:firstLine="0"/>
        <w:rPr>
          <w:lang w:val="it-IT"/>
        </w:rPr>
      </w:pPr>
      <w:r w:rsidRPr="00451078">
        <w:rPr>
          <w:rFonts w:ascii="Tahoma" w:hAnsi="Tahoma" w:cs="Tahoma"/>
          <w:sz w:val="18"/>
          <w:szCs w:val="18"/>
          <w:lang w:val="it-IT"/>
        </w:rPr>
        <w:t>Il numero minimo di licenze per l</w:t>
      </w:r>
      <w:r w:rsidR="004525CA">
        <w:rPr>
          <w:rFonts w:ascii="Tahoma" w:hAnsi="Tahoma" w:cs="Tahoma"/>
          <w:sz w:val="18"/>
          <w:szCs w:val="18"/>
          <w:lang w:val="it-IT"/>
        </w:rPr>
        <w:t>’</w:t>
      </w:r>
      <w:r w:rsidRPr="00451078">
        <w:rPr>
          <w:rFonts w:ascii="Tahoma" w:hAnsi="Tahoma" w:cs="Tahoma"/>
          <w:sz w:val="18"/>
          <w:szCs w:val="18"/>
          <w:lang w:val="it-IT"/>
        </w:rPr>
        <w:t>acquisto di Software Assurance, necessario per l</w:t>
      </w:r>
      <w:r w:rsidR="004525CA">
        <w:rPr>
          <w:rFonts w:ascii="Tahoma" w:hAnsi="Tahoma" w:cs="Tahoma"/>
          <w:sz w:val="18"/>
          <w:szCs w:val="18"/>
          <w:lang w:val="it-IT"/>
        </w:rPr>
        <w:t>’</w:t>
      </w:r>
      <w:r w:rsidRPr="00451078">
        <w:rPr>
          <w:rFonts w:ascii="Tahoma" w:hAnsi="Tahoma" w:cs="Tahoma"/>
          <w:sz w:val="18"/>
          <w:szCs w:val="18"/>
          <w:lang w:val="it-IT"/>
        </w:rPr>
        <w:t>idoneità a Voucher Corsi, varia</w:t>
      </w:r>
      <w:r w:rsidR="009F17FF" w:rsidRPr="00451078">
        <w:rPr>
          <w:rFonts w:ascii="Tahoma" w:hAnsi="Tahoma" w:cs="Tahoma"/>
          <w:sz w:val="18"/>
          <w:szCs w:val="18"/>
          <w:lang w:val="it-IT"/>
        </w:rPr>
        <w:t> </w:t>
      </w:r>
      <w:r w:rsidRPr="00451078">
        <w:rPr>
          <w:rFonts w:ascii="Tahoma" w:hAnsi="Tahoma" w:cs="Tahoma"/>
          <w:sz w:val="18"/>
          <w:szCs w:val="18"/>
          <w:lang w:val="it-IT"/>
        </w:rPr>
        <w:t>in</w:t>
      </w:r>
      <w:r w:rsidR="009F17FF" w:rsidRPr="00451078">
        <w:rPr>
          <w:rFonts w:ascii="Tahoma" w:hAnsi="Tahoma" w:cs="Tahoma"/>
          <w:sz w:val="18"/>
          <w:szCs w:val="18"/>
          <w:lang w:val="it-IT"/>
        </w:rPr>
        <w:t> </w:t>
      </w:r>
      <w:r w:rsidRPr="00451078">
        <w:rPr>
          <w:rFonts w:ascii="Tahoma" w:hAnsi="Tahoma" w:cs="Tahoma"/>
          <w:sz w:val="18"/>
          <w:szCs w:val="18"/>
          <w:lang w:val="it-IT"/>
        </w:rPr>
        <w:t>base al programma.</w:t>
      </w:r>
    </w:p>
    <w:p w:rsidR="00C65D66" w:rsidRPr="00451078" w:rsidRDefault="00C65D66" w:rsidP="00C65D66">
      <w:pPr>
        <w:tabs>
          <w:tab w:val="left" w:pos="10440"/>
        </w:tabs>
        <w:spacing w:before="120"/>
        <w:ind w:right="306"/>
        <w:rPr>
          <w:lang w:val="it-IT"/>
        </w:rPr>
      </w:pPr>
      <w:r w:rsidRPr="00451078">
        <w:rPr>
          <w:rFonts w:eastAsia="Calibri" w:cs="Tahoma"/>
          <w:b/>
          <w:i/>
          <w:color w:val="000000"/>
          <w:sz w:val="16"/>
          <w:szCs w:val="16"/>
          <w:lang w:val="it-IT"/>
        </w:rPr>
        <w:t>Nota:</w:t>
      </w:r>
      <w:r w:rsidRPr="00451078">
        <w:rPr>
          <w:rFonts w:eastAsia="Calibri" w:cs="Tahoma"/>
          <w:i/>
          <w:color w:val="000000"/>
          <w:sz w:val="16"/>
          <w:szCs w:val="16"/>
          <w:lang w:val="it-IT"/>
        </w:rPr>
        <w:t xml:space="preserve"> i crediti per i corsi disponibili sulla base di un</w:t>
      </w:r>
      <w:r w:rsidR="004525CA">
        <w:rPr>
          <w:rFonts w:eastAsia="Calibri" w:cs="Tahoma"/>
          <w:i/>
          <w:color w:val="000000"/>
          <w:sz w:val="16"/>
          <w:szCs w:val="16"/>
          <w:lang w:val="it-IT"/>
        </w:rPr>
        <w:t>’</w:t>
      </w:r>
      <w:r w:rsidRPr="00451078">
        <w:rPr>
          <w:rFonts w:eastAsia="Calibri" w:cs="Tahoma"/>
          <w:i/>
          <w:color w:val="000000"/>
          <w:sz w:val="16"/>
          <w:szCs w:val="16"/>
          <w:lang w:val="it-IT"/>
        </w:rPr>
        <w:t>iscrizione o di un contratto triennale completo (vedere di seguito per i</w:t>
      </w:r>
      <w:r w:rsidR="009F17FF" w:rsidRPr="00451078">
        <w:rPr>
          <w:rFonts w:eastAsia="Calibri" w:cs="Tahoma"/>
          <w:i/>
          <w:color w:val="000000"/>
          <w:sz w:val="16"/>
          <w:szCs w:val="16"/>
          <w:lang w:val="it-IT"/>
        </w:rPr>
        <w:t> </w:t>
      </w:r>
      <w:r w:rsidRPr="00451078">
        <w:rPr>
          <w:rFonts w:eastAsia="Calibri" w:cs="Tahoma"/>
          <w:i/>
          <w:color w:val="000000"/>
          <w:sz w:val="16"/>
          <w:szCs w:val="16"/>
          <w:lang w:val="it-IT"/>
        </w:rPr>
        <w:t>dettagli).</w:t>
      </w:r>
      <w:r w:rsidR="00082E1C" w:rsidRPr="00451078">
        <w:rPr>
          <w:rFonts w:eastAsia="Calibri" w:cs="Tahoma"/>
          <w:i/>
          <w:color w:val="000000"/>
          <w:sz w:val="16"/>
          <w:szCs w:val="16"/>
          <w:lang w:val="it-IT"/>
        </w:rPr>
        <w:t xml:space="preserve"> </w:t>
      </w:r>
    </w:p>
    <w:p w:rsidR="00C65D66" w:rsidRPr="00451078" w:rsidRDefault="00C65D66" w:rsidP="00C65D66">
      <w:pPr>
        <w:spacing w:after="60"/>
        <w:rPr>
          <w:lang w:val="it-IT"/>
        </w:rPr>
      </w:pPr>
      <w:r w:rsidRPr="00451078">
        <w:rPr>
          <w:rFonts w:eastAsia="Calibri" w:cs="Tahoma"/>
          <w:i/>
          <w:color w:val="000000"/>
          <w:sz w:val="16"/>
          <w:szCs w:val="16"/>
          <w:lang w:val="it-IT"/>
        </w:rPr>
        <w:t>Consultare la tabella con le Applicazioni Office System</w:t>
      </w:r>
    </w:p>
    <w:p w:rsidR="00EC05F0" w:rsidRPr="00451078" w:rsidRDefault="00C65D66" w:rsidP="00F76ED4">
      <w:pPr>
        <w:tabs>
          <w:tab w:val="left" w:pos="10440"/>
        </w:tabs>
        <w:ind w:right="302"/>
        <w:rPr>
          <w:lang w:val="it-IT"/>
        </w:rPr>
      </w:pPr>
      <w:r w:rsidRPr="00451078">
        <w:rPr>
          <w:rFonts w:eastAsia="Calibri" w:cs="Tahoma"/>
          <w:i/>
          <w:color w:val="000000"/>
          <w:sz w:val="16"/>
          <w:szCs w:val="16"/>
          <w:lang w:val="it-IT"/>
        </w:rPr>
        <w:t>*Numero di giorni in base all</w:t>
      </w:r>
      <w:r w:rsidR="004525CA">
        <w:rPr>
          <w:rFonts w:eastAsia="Calibri" w:cs="Tahoma"/>
          <w:i/>
          <w:color w:val="000000"/>
          <w:sz w:val="16"/>
          <w:szCs w:val="16"/>
          <w:lang w:val="it-IT"/>
        </w:rPr>
        <w:t>’</w:t>
      </w:r>
      <w:r w:rsidRPr="00451078">
        <w:rPr>
          <w:rFonts w:eastAsia="Calibri" w:cs="Tahoma"/>
          <w:i/>
          <w:color w:val="000000"/>
          <w:sz w:val="16"/>
          <w:szCs w:val="16"/>
          <w:lang w:val="it-IT"/>
        </w:rPr>
        <w:t>iscrizione o al contratto idoneo.</w:t>
      </w:r>
    </w:p>
    <w:p w:rsidR="009D26EE" w:rsidRPr="00451078" w:rsidRDefault="009D26EE" w:rsidP="003C56F1">
      <w:pPr>
        <w:pStyle w:val="AppendixBodyText"/>
        <w:spacing w:after="0"/>
        <w:rPr>
          <w:lang w:val="it-IT"/>
        </w:rPr>
      </w:pPr>
    </w:p>
    <w:p w:rsidR="009D26EE" w:rsidRPr="00451078" w:rsidRDefault="009D26EE" w:rsidP="00745AB3">
      <w:pPr>
        <w:pStyle w:val="AppendixBodyText"/>
        <w:numPr>
          <w:ilvl w:val="0"/>
          <w:numId w:val="29"/>
        </w:numPr>
        <w:spacing w:afterLines="60" w:after="144"/>
        <w:rPr>
          <w:lang w:val="it-IT"/>
        </w:rPr>
      </w:pPr>
      <w:r w:rsidRPr="00451078">
        <w:rPr>
          <w:rFonts w:ascii="Tahoma" w:hAnsi="Tahoma" w:cs="Tahoma"/>
          <w:bCs/>
          <w:sz w:val="18"/>
          <w:szCs w:val="18"/>
          <w:lang w:val="it-IT"/>
        </w:rPr>
        <w:t>Non tutti i corsi sono disponibili in tutte le lingue.</w:t>
      </w:r>
    </w:p>
    <w:p w:rsidR="009D26EE" w:rsidRPr="00451078" w:rsidRDefault="009D26EE" w:rsidP="00745AB3">
      <w:pPr>
        <w:pStyle w:val="AppendixBodyText"/>
        <w:numPr>
          <w:ilvl w:val="0"/>
          <w:numId w:val="29"/>
        </w:numPr>
        <w:spacing w:afterLines="60" w:after="144"/>
        <w:rPr>
          <w:lang w:val="it-IT"/>
        </w:rPr>
      </w:pPr>
      <w:r w:rsidRPr="00451078">
        <w:rPr>
          <w:rFonts w:ascii="Tahoma" w:hAnsi="Tahoma" w:cs="Tahoma"/>
          <w:bCs/>
          <w:sz w:val="18"/>
          <w:szCs w:val="18"/>
          <w:lang w:val="it-IT"/>
        </w:rPr>
        <w:t>Si applicano i criteri locali stabiliti dal Microsoft Learning Partner.</w:t>
      </w:r>
    </w:p>
    <w:p w:rsidR="009D26EE" w:rsidRPr="00451078" w:rsidRDefault="009D26EE" w:rsidP="00745AB3">
      <w:pPr>
        <w:pStyle w:val="AppendixBodyText"/>
        <w:numPr>
          <w:ilvl w:val="0"/>
          <w:numId w:val="29"/>
        </w:numPr>
        <w:spacing w:afterLines="60" w:after="144"/>
        <w:rPr>
          <w:lang w:val="it-IT"/>
        </w:rPr>
      </w:pPr>
      <w:r w:rsidRPr="00451078">
        <w:rPr>
          <w:rFonts w:ascii="Tahoma" w:hAnsi="Tahoma" w:cs="Tahoma"/>
          <w:bCs/>
          <w:sz w:val="18"/>
          <w:szCs w:val="18"/>
          <w:lang w:val="it-IT"/>
        </w:rPr>
        <w:t>I Gestori dei vantaggi hanno la possibilità di revocare un voucher assegnato fino alla data di</w:t>
      </w:r>
      <w:r w:rsidR="009F17FF" w:rsidRPr="00451078">
        <w:rPr>
          <w:rFonts w:ascii="Tahoma" w:hAnsi="Tahoma" w:cs="Tahoma"/>
          <w:bCs/>
          <w:sz w:val="18"/>
          <w:szCs w:val="18"/>
          <w:lang w:val="it-IT"/>
        </w:rPr>
        <w:t> </w:t>
      </w:r>
      <w:r w:rsidRPr="00451078">
        <w:rPr>
          <w:rFonts w:ascii="Tahoma" w:hAnsi="Tahoma" w:cs="Tahoma"/>
          <w:bCs/>
          <w:sz w:val="18"/>
          <w:szCs w:val="18"/>
          <w:lang w:val="it-IT"/>
        </w:rPr>
        <w:t>annullamento della lezione stabilita dal Microsoft Learning Partner.</w:t>
      </w:r>
    </w:p>
    <w:p w:rsidR="009D26EE" w:rsidRPr="00451078" w:rsidRDefault="009D26EE" w:rsidP="00745AB3">
      <w:pPr>
        <w:pStyle w:val="AppendixBodyText"/>
        <w:numPr>
          <w:ilvl w:val="0"/>
          <w:numId w:val="29"/>
        </w:numPr>
        <w:spacing w:afterLines="60" w:after="144"/>
        <w:rPr>
          <w:lang w:val="it-IT"/>
        </w:rPr>
      </w:pPr>
      <w:r w:rsidRPr="00451078">
        <w:rPr>
          <w:rFonts w:ascii="Tahoma" w:hAnsi="Tahoma" w:cs="Tahoma"/>
          <w:bCs/>
          <w:sz w:val="18"/>
          <w:szCs w:val="18"/>
          <w:lang w:val="it-IT"/>
        </w:rPr>
        <w:t>I giorni dei corsi non coperti dal voucher dovranno essere pagati dalla persona che riceve il corso.</w:t>
      </w:r>
    </w:p>
    <w:p w:rsidR="009D26EE" w:rsidRPr="00451078" w:rsidRDefault="009D26EE" w:rsidP="00745AB3">
      <w:pPr>
        <w:pStyle w:val="AppendixBodyText"/>
        <w:numPr>
          <w:ilvl w:val="0"/>
          <w:numId w:val="29"/>
        </w:numPr>
        <w:spacing w:afterLines="60" w:after="144"/>
        <w:rPr>
          <w:lang w:val="it-IT"/>
        </w:rPr>
      </w:pPr>
      <w:r w:rsidRPr="00451078">
        <w:rPr>
          <w:rFonts w:ascii="Tahoma" w:hAnsi="Tahoma" w:cs="Tahoma"/>
          <w:bCs/>
          <w:sz w:val="18"/>
          <w:szCs w:val="18"/>
          <w:lang w:val="it-IT"/>
        </w:rPr>
        <w:t>I giorni coperti dai voucher che superano la quantità di giorni assegnata a una particolare lezione saranno restituiti al pool di giorni disponibili per essere riallocati dai Gestori dei vantaggi.</w:t>
      </w:r>
    </w:p>
    <w:p w:rsidR="009D26EE" w:rsidRPr="00451078" w:rsidRDefault="009D26EE" w:rsidP="00745AB3">
      <w:pPr>
        <w:pStyle w:val="AppendixBodyText"/>
        <w:numPr>
          <w:ilvl w:val="0"/>
          <w:numId w:val="29"/>
        </w:numPr>
        <w:spacing w:afterLines="60" w:after="144"/>
        <w:rPr>
          <w:lang w:val="it-IT"/>
        </w:rPr>
      </w:pPr>
      <w:r w:rsidRPr="00451078">
        <w:rPr>
          <w:rFonts w:ascii="Tahoma" w:hAnsi="Tahoma" w:cs="Tahoma"/>
          <w:bCs/>
          <w:sz w:val="18"/>
          <w:szCs w:val="18"/>
          <w:lang w:val="it-IT"/>
        </w:rPr>
        <w:t>La quantità di giorni coperti dai voucher per i corsi rapidi è equivalente al numero di giorni necessari per la fornitura normale del corso.</w:t>
      </w:r>
    </w:p>
    <w:p w:rsidR="009D26EE" w:rsidRPr="00451078" w:rsidRDefault="009D26EE" w:rsidP="00745AB3">
      <w:pPr>
        <w:pStyle w:val="AppendixBodyText"/>
        <w:numPr>
          <w:ilvl w:val="0"/>
          <w:numId w:val="29"/>
        </w:numPr>
        <w:spacing w:afterLines="60" w:after="144"/>
        <w:rPr>
          <w:lang w:val="it-IT"/>
        </w:rPr>
      </w:pPr>
      <w:r w:rsidRPr="00451078">
        <w:rPr>
          <w:rFonts w:ascii="Tahoma" w:hAnsi="Tahoma" w:cs="Tahoma"/>
          <w:bCs/>
          <w:sz w:val="18"/>
          <w:szCs w:val="18"/>
          <w:lang w:val="it-IT"/>
        </w:rPr>
        <w:t xml:space="preserve">Il voucher è riscattabile solo per i giorni di corsi approvati tenuti da un istruttore presso </w:t>
      </w:r>
      <w:r w:rsidR="009F17FF" w:rsidRPr="00451078">
        <w:rPr>
          <w:rFonts w:ascii="Tahoma" w:hAnsi="Tahoma" w:cs="Tahoma"/>
          <w:bCs/>
          <w:sz w:val="18"/>
          <w:szCs w:val="18"/>
          <w:lang w:val="it-IT"/>
        </w:rPr>
        <w:t>I </w:t>
      </w:r>
      <w:r w:rsidRPr="00451078">
        <w:rPr>
          <w:rFonts w:ascii="Tahoma" w:hAnsi="Tahoma" w:cs="Tahoma"/>
          <w:bCs/>
          <w:sz w:val="18"/>
          <w:szCs w:val="18"/>
          <w:lang w:val="it-IT"/>
        </w:rPr>
        <w:t>Microsoft</w:t>
      </w:r>
      <w:r w:rsidR="009F17FF" w:rsidRPr="00451078">
        <w:rPr>
          <w:rFonts w:ascii="Tahoma" w:hAnsi="Tahoma" w:cs="Tahoma"/>
          <w:bCs/>
          <w:sz w:val="18"/>
          <w:szCs w:val="18"/>
          <w:lang w:val="it-IT"/>
        </w:rPr>
        <w:t> </w:t>
      </w:r>
      <w:r w:rsidRPr="00451078">
        <w:rPr>
          <w:rFonts w:ascii="Tahoma" w:hAnsi="Tahoma" w:cs="Tahoma"/>
          <w:bCs/>
          <w:sz w:val="18"/>
          <w:szCs w:val="18"/>
          <w:lang w:val="it-IT"/>
        </w:rPr>
        <w:t>Learning Partner qualificati.</w:t>
      </w:r>
      <w:r w:rsidR="00082E1C" w:rsidRPr="00451078">
        <w:rPr>
          <w:rFonts w:ascii="Tahoma" w:hAnsi="Tahoma" w:cs="Tahoma"/>
          <w:bCs/>
          <w:sz w:val="18"/>
          <w:szCs w:val="18"/>
          <w:lang w:val="it-IT"/>
        </w:rPr>
        <w:t xml:space="preserve"> </w:t>
      </w:r>
      <w:r w:rsidRPr="00451078">
        <w:rPr>
          <w:rFonts w:ascii="Tahoma" w:hAnsi="Tahoma" w:cs="Tahoma"/>
          <w:bCs/>
          <w:sz w:val="18"/>
          <w:szCs w:val="18"/>
          <w:lang w:val="it-IT"/>
        </w:rPr>
        <w:t>I corsi personalizzati a differenza dei corsi rapidi approvati non sono idonei ad essere coperti da questi voucher.</w:t>
      </w:r>
      <w:r w:rsidR="00082E1C" w:rsidRPr="00451078">
        <w:rPr>
          <w:rFonts w:ascii="Tahoma" w:hAnsi="Tahoma" w:cs="Tahoma"/>
          <w:bCs/>
          <w:sz w:val="18"/>
          <w:szCs w:val="18"/>
          <w:lang w:val="it-IT"/>
        </w:rPr>
        <w:t xml:space="preserve"> </w:t>
      </w:r>
      <w:r w:rsidRPr="00451078">
        <w:rPr>
          <w:rFonts w:ascii="Tahoma" w:hAnsi="Tahoma" w:cs="Tahoma"/>
          <w:bCs/>
          <w:sz w:val="18"/>
          <w:szCs w:val="18"/>
          <w:lang w:val="it-IT"/>
        </w:rPr>
        <w:t>Per informazioni sui corsi approvati, visitare la</w:t>
      </w:r>
      <w:r w:rsidR="009F17FF" w:rsidRPr="00451078">
        <w:rPr>
          <w:rFonts w:ascii="Tahoma" w:hAnsi="Tahoma" w:cs="Tahoma"/>
          <w:bCs/>
          <w:sz w:val="18"/>
          <w:szCs w:val="18"/>
          <w:lang w:val="it-IT"/>
        </w:rPr>
        <w:t> </w:t>
      </w:r>
      <w:r w:rsidRPr="00451078">
        <w:rPr>
          <w:rFonts w:ascii="Tahoma" w:hAnsi="Tahoma" w:cs="Tahoma"/>
          <w:bCs/>
          <w:sz w:val="18"/>
          <w:szCs w:val="18"/>
          <w:lang w:val="it-IT"/>
        </w:rPr>
        <w:t>pagina http://www.microsoft.com/learning/sa/training.mspx.</w:t>
      </w:r>
    </w:p>
    <w:p w:rsidR="009D26EE" w:rsidRPr="00451078" w:rsidRDefault="009D26EE" w:rsidP="00745AB3">
      <w:pPr>
        <w:pStyle w:val="AppendixBodyText"/>
        <w:numPr>
          <w:ilvl w:val="0"/>
          <w:numId w:val="29"/>
        </w:numPr>
        <w:spacing w:afterLines="60" w:after="144"/>
        <w:rPr>
          <w:lang w:val="it-IT"/>
        </w:rPr>
      </w:pPr>
      <w:r w:rsidRPr="00451078">
        <w:rPr>
          <w:rFonts w:ascii="Tahoma" w:hAnsi="Tahoma" w:cs="Tahoma"/>
          <w:bCs/>
          <w:sz w:val="18"/>
          <w:szCs w:val="18"/>
          <w:lang w:val="it-IT"/>
        </w:rPr>
        <w:t>I voucher non possono essere utilizzati per coprire corrispettivi correlati alla mancata presenza di</w:t>
      </w:r>
      <w:r w:rsidR="009F17FF" w:rsidRPr="00451078">
        <w:rPr>
          <w:rFonts w:ascii="Tahoma" w:hAnsi="Tahoma" w:cs="Tahoma"/>
          <w:bCs/>
          <w:sz w:val="18"/>
          <w:szCs w:val="18"/>
          <w:lang w:val="it-IT"/>
        </w:rPr>
        <w:t> </w:t>
      </w:r>
      <w:r w:rsidRPr="00451078">
        <w:rPr>
          <w:rFonts w:ascii="Tahoma" w:hAnsi="Tahoma" w:cs="Tahoma"/>
          <w:bCs/>
          <w:sz w:val="18"/>
          <w:szCs w:val="18"/>
          <w:lang w:val="it-IT"/>
        </w:rPr>
        <w:t>una società a un corso riservato.</w:t>
      </w:r>
      <w:r w:rsidR="00082E1C" w:rsidRPr="00451078">
        <w:rPr>
          <w:rFonts w:ascii="Tahoma" w:hAnsi="Tahoma" w:cs="Tahoma"/>
          <w:bCs/>
          <w:sz w:val="18"/>
          <w:szCs w:val="18"/>
          <w:lang w:val="it-IT"/>
        </w:rPr>
        <w:t xml:space="preserve"> </w:t>
      </w:r>
      <w:r w:rsidRPr="00451078">
        <w:rPr>
          <w:rFonts w:ascii="Tahoma" w:hAnsi="Tahoma" w:cs="Tahoma"/>
          <w:bCs/>
          <w:sz w:val="18"/>
          <w:szCs w:val="18"/>
          <w:lang w:val="it-IT"/>
        </w:rPr>
        <w:t xml:space="preserve">Tutti i corrispettivi relativi alle mancate presenze sono responsabilità della società. </w:t>
      </w:r>
    </w:p>
    <w:p w:rsidR="009D26EE" w:rsidRPr="00451078" w:rsidRDefault="009D26EE" w:rsidP="00745AB3">
      <w:pPr>
        <w:pStyle w:val="AppendixBodyText"/>
        <w:numPr>
          <w:ilvl w:val="0"/>
          <w:numId w:val="29"/>
        </w:numPr>
        <w:spacing w:afterLines="60" w:after="144"/>
        <w:rPr>
          <w:lang w:val="it-IT"/>
        </w:rPr>
      </w:pPr>
      <w:r w:rsidRPr="00451078">
        <w:rPr>
          <w:rFonts w:ascii="Tahoma" w:hAnsi="Tahoma" w:cs="Tahoma"/>
          <w:bCs/>
          <w:sz w:val="18"/>
          <w:szCs w:val="18"/>
          <w:lang w:val="it-IT"/>
        </w:rPr>
        <w:t>I voucher potranno essere riscattati solo da singole persone approvate dalla società a utilizzare il</w:t>
      </w:r>
      <w:r w:rsidR="009F17FF" w:rsidRPr="00451078">
        <w:rPr>
          <w:rFonts w:ascii="Tahoma" w:hAnsi="Tahoma" w:cs="Tahoma"/>
          <w:bCs/>
          <w:sz w:val="18"/>
          <w:szCs w:val="18"/>
          <w:lang w:val="it-IT"/>
        </w:rPr>
        <w:t> </w:t>
      </w:r>
      <w:r w:rsidRPr="00451078">
        <w:rPr>
          <w:rFonts w:ascii="Tahoma" w:hAnsi="Tahoma" w:cs="Tahoma"/>
          <w:bCs/>
          <w:sz w:val="18"/>
          <w:szCs w:val="18"/>
          <w:lang w:val="it-IT"/>
        </w:rPr>
        <w:t xml:space="preserve">voucher. </w:t>
      </w:r>
    </w:p>
    <w:p w:rsidR="009D26EE" w:rsidRPr="00451078" w:rsidRDefault="009D26EE" w:rsidP="00745AB3">
      <w:pPr>
        <w:pStyle w:val="AppendixBodyText"/>
        <w:numPr>
          <w:ilvl w:val="0"/>
          <w:numId w:val="29"/>
        </w:numPr>
        <w:spacing w:afterLines="60" w:after="144"/>
        <w:rPr>
          <w:lang w:val="it-IT"/>
        </w:rPr>
      </w:pPr>
      <w:r w:rsidRPr="00451078">
        <w:rPr>
          <w:rFonts w:ascii="Tahoma" w:hAnsi="Tahoma" w:cs="Tahoma"/>
          <w:bCs/>
          <w:sz w:val="18"/>
          <w:szCs w:val="18"/>
          <w:lang w:val="it-IT"/>
        </w:rPr>
        <w:t>I voucher non potranno essere scambiati con contante, somme di denaro o altri corrispettivi.</w:t>
      </w:r>
    </w:p>
    <w:p w:rsidR="009D26EE" w:rsidRPr="00451078" w:rsidRDefault="009D26EE" w:rsidP="00745AB3">
      <w:pPr>
        <w:pStyle w:val="AppendixBodyText"/>
        <w:numPr>
          <w:ilvl w:val="0"/>
          <w:numId w:val="29"/>
        </w:numPr>
        <w:spacing w:afterLines="60" w:after="144"/>
        <w:rPr>
          <w:lang w:val="it-IT"/>
        </w:rPr>
      </w:pPr>
      <w:r w:rsidRPr="00451078">
        <w:rPr>
          <w:rFonts w:ascii="Tahoma" w:hAnsi="Tahoma" w:cs="Tahoma"/>
          <w:bCs/>
          <w:sz w:val="18"/>
          <w:szCs w:val="18"/>
          <w:lang w:val="it-IT"/>
        </w:rPr>
        <w:t>I voucher dovranno essere assegnati durante il periodo della copertura Software Assurance.</w:t>
      </w:r>
    </w:p>
    <w:p w:rsidR="009D26EE" w:rsidRPr="00451078" w:rsidRDefault="009D26EE" w:rsidP="00745AB3">
      <w:pPr>
        <w:pStyle w:val="AppendixBodyText"/>
        <w:numPr>
          <w:ilvl w:val="0"/>
          <w:numId w:val="29"/>
        </w:numPr>
        <w:spacing w:afterLines="60" w:after="144"/>
        <w:rPr>
          <w:lang w:val="it-IT"/>
        </w:rPr>
      </w:pPr>
      <w:r w:rsidRPr="00451078">
        <w:rPr>
          <w:rFonts w:ascii="Tahoma" w:hAnsi="Tahoma" w:cs="Tahoma"/>
          <w:bCs/>
          <w:sz w:val="18"/>
          <w:szCs w:val="18"/>
          <w:lang w:val="it-IT"/>
        </w:rPr>
        <w:t>I voucher scadranno dopo 180 giorni dalla data di assegnazione, indipendentemente dalla data di scadenza della copertura Software Assurance. Tutti i servizi dovranno essere erogati (formazione fornita e voucher riscattato) prima della scadenza dei voucher. Per i voucher, la cui data di scadenza è precedente a quella della copertura Software Assurance, verrà ripristinato il pool disponibile di giorni Voucher Corsi.</w:t>
      </w:r>
    </w:p>
    <w:p w:rsidR="00982A40" w:rsidRPr="00451078" w:rsidRDefault="00982A40" w:rsidP="00745AB3">
      <w:pPr>
        <w:numPr>
          <w:ilvl w:val="0"/>
          <w:numId w:val="29"/>
        </w:numPr>
        <w:spacing w:afterLines="60" w:after="144"/>
        <w:rPr>
          <w:lang w:val="it-IT"/>
        </w:rPr>
      </w:pPr>
      <w:r w:rsidRPr="00451078">
        <w:rPr>
          <w:rFonts w:cs="Tahoma"/>
          <w:bCs/>
          <w:szCs w:val="18"/>
          <w:lang w:val="it-IT"/>
        </w:rPr>
        <w:lastRenderedPageBreak/>
        <w:t>Ad eccezione delle Sessioni Dimostrative, un giorno Voucher Corsi corrisponde all</w:t>
      </w:r>
      <w:r w:rsidR="004525CA">
        <w:rPr>
          <w:rFonts w:cs="Tahoma"/>
          <w:bCs/>
          <w:szCs w:val="18"/>
          <w:lang w:val="it-IT"/>
        </w:rPr>
        <w:t>’</w:t>
      </w:r>
      <w:r w:rsidRPr="00451078">
        <w:rPr>
          <w:rFonts w:cs="Tahoma"/>
          <w:bCs/>
          <w:szCs w:val="18"/>
          <w:lang w:val="it-IT"/>
        </w:rPr>
        <w:t>equivalente di</w:t>
      </w:r>
      <w:r w:rsidR="009F17FF" w:rsidRPr="00451078">
        <w:rPr>
          <w:rFonts w:cs="Tahoma"/>
          <w:bCs/>
          <w:szCs w:val="18"/>
          <w:lang w:val="it-IT"/>
        </w:rPr>
        <w:t> </w:t>
      </w:r>
      <w:r w:rsidRPr="00451078">
        <w:rPr>
          <w:rFonts w:cs="Tahoma"/>
          <w:bCs/>
          <w:szCs w:val="18"/>
          <w:lang w:val="it-IT"/>
        </w:rPr>
        <w:t>un</w:t>
      </w:r>
      <w:r w:rsidR="009F17FF" w:rsidRPr="00451078">
        <w:rPr>
          <w:rFonts w:cs="Tahoma"/>
          <w:bCs/>
          <w:szCs w:val="18"/>
          <w:lang w:val="it-IT"/>
        </w:rPr>
        <w:t> </w:t>
      </w:r>
      <w:r w:rsidRPr="00451078">
        <w:rPr>
          <w:rFonts w:cs="Tahoma"/>
          <w:bCs/>
          <w:szCs w:val="18"/>
          <w:lang w:val="it-IT"/>
        </w:rPr>
        <w:t>giorno della sessione di formazione.</w:t>
      </w:r>
      <w:r w:rsidR="00082E1C" w:rsidRPr="00451078">
        <w:rPr>
          <w:rFonts w:cs="Tahoma"/>
          <w:bCs/>
          <w:szCs w:val="18"/>
          <w:lang w:val="it-IT"/>
        </w:rPr>
        <w:t xml:space="preserve"> </w:t>
      </w:r>
      <w:r w:rsidRPr="00451078">
        <w:rPr>
          <w:rFonts w:cs="Tahoma"/>
          <w:bCs/>
          <w:szCs w:val="18"/>
          <w:lang w:val="it-IT"/>
        </w:rPr>
        <w:t>Per le Sessioni Dimostrative un giorno Voucher Corsi corrisponde a una Sessione Dimostrativa.</w:t>
      </w:r>
    </w:p>
    <w:p w:rsidR="00982A40" w:rsidRPr="00451078" w:rsidRDefault="00982A40" w:rsidP="00745AB3">
      <w:pPr>
        <w:numPr>
          <w:ilvl w:val="0"/>
          <w:numId w:val="29"/>
        </w:numPr>
        <w:spacing w:afterLines="60" w:after="144"/>
        <w:rPr>
          <w:lang w:val="it-IT"/>
        </w:rPr>
      </w:pPr>
      <w:r w:rsidRPr="00451078">
        <w:rPr>
          <w:rFonts w:cs="Tahoma"/>
          <w:bCs/>
          <w:szCs w:val="18"/>
          <w:lang w:val="it-IT"/>
        </w:rPr>
        <w:t>Le società dovranno riscattare i Voucher Corsi di quattro o più gruppi di Sessioni Dimostrative.</w:t>
      </w:r>
    </w:p>
    <w:p w:rsidR="00982A40" w:rsidRPr="00451078" w:rsidRDefault="00982A40" w:rsidP="00745AB3">
      <w:pPr>
        <w:numPr>
          <w:ilvl w:val="0"/>
          <w:numId w:val="29"/>
        </w:numPr>
        <w:spacing w:afterLines="60" w:after="144"/>
        <w:rPr>
          <w:lang w:val="it-IT"/>
        </w:rPr>
      </w:pPr>
      <w:r w:rsidRPr="00451078">
        <w:rPr>
          <w:rFonts w:cs="Tahoma"/>
          <w:bCs/>
          <w:szCs w:val="18"/>
          <w:lang w:val="it-IT"/>
        </w:rPr>
        <w:t>I Voucher Corsi riscattati per le Sessioni Dimostrative, diversamente dai Voucher Corsi riscattati per</w:t>
      </w:r>
      <w:r w:rsidR="00475774" w:rsidRPr="00451078">
        <w:rPr>
          <w:rFonts w:cs="Tahoma"/>
          <w:bCs/>
          <w:szCs w:val="18"/>
          <w:lang w:val="it-IT"/>
        </w:rPr>
        <w:t> </w:t>
      </w:r>
      <w:r w:rsidRPr="00451078">
        <w:rPr>
          <w:rFonts w:cs="Tahoma"/>
          <w:bCs/>
          <w:szCs w:val="18"/>
          <w:lang w:val="it-IT"/>
        </w:rPr>
        <w:t>altre sessioni di formazione, non sono limitati a una sola persona.</w:t>
      </w:r>
    </w:p>
    <w:p w:rsidR="009D26EE" w:rsidRPr="00451078" w:rsidRDefault="009D26EE" w:rsidP="00745AB3">
      <w:pPr>
        <w:pStyle w:val="AppendixBodyText"/>
        <w:numPr>
          <w:ilvl w:val="0"/>
          <w:numId w:val="29"/>
        </w:numPr>
        <w:spacing w:afterLines="60" w:after="144"/>
        <w:rPr>
          <w:lang w:val="it-IT"/>
        </w:rPr>
      </w:pPr>
      <w:r w:rsidRPr="00451078">
        <w:rPr>
          <w:rFonts w:ascii="Tahoma" w:hAnsi="Tahoma" w:cs="Tahoma"/>
          <w:bCs/>
          <w:sz w:val="18"/>
          <w:szCs w:val="18"/>
          <w:lang w:val="it-IT"/>
        </w:rPr>
        <w:t xml:space="preserve">I voucher potranno essere utilizzati per riservare il corso con un solo Microsoft Learning Partner qualificato alla volta. </w:t>
      </w:r>
    </w:p>
    <w:p w:rsidR="009D26EE" w:rsidRPr="00451078" w:rsidRDefault="009D26EE" w:rsidP="00745AB3">
      <w:pPr>
        <w:pStyle w:val="AppendixBodyText"/>
        <w:numPr>
          <w:ilvl w:val="0"/>
          <w:numId w:val="29"/>
        </w:numPr>
        <w:spacing w:afterLines="60" w:after="144"/>
        <w:rPr>
          <w:lang w:val="it-IT"/>
        </w:rPr>
      </w:pPr>
      <w:r w:rsidRPr="00451078">
        <w:rPr>
          <w:rFonts w:ascii="Tahoma" w:hAnsi="Tahoma" w:cs="Tahoma"/>
          <w:bCs/>
          <w:sz w:val="18"/>
          <w:szCs w:val="18"/>
          <w:lang w:val="it-IT"/>
        </w:rPr>
        <w:t>Il Microsoft Learning Partner si riserva il diritto di annullare una lezione in conformità ai criteri di</w:t>
      </w:r>
      <w:r w:rsidR="00475774" w:rsidRPr="00451078">
        <w:rPr>
          <w:rFonts w:ascii="Tahoma" w:hAnsi="Tahoma" w:cs="Tahoma"/>
          <w:bCs/>
          <w:sz w:val="18"/>
          <w:szCs w:val="18"/>
          <w:lang w:val="it-IT"/>
        </w:rPr>
        <w:t> </w:t>
      </w:r>
      <w:r w:rsidRPr="00451078">
        <w:rPr>
          <w:rFonts w:ascii="Tahoma" w:hAnsi="Tahoma" w:cs="Tahoma"/>
          <w:bCs/>
          <w:sz w:val="18"/>
          <w:szCs w:val="18"/>
          <w:lang w:val="it-IT"/>
        </w:rPr>
        <w:t>annullamento locali.</w:t>
      </w:r>
    </w:p>
    <w:p w:rsidR="009D26EE" w:rsidRPr="003410C7" w:rsidRDefault="009D26EE" w:rsidP="00745AB3">
      <w:pPr>
        <w:pStyle w:val="AppendixBodyText"/>
        <w:numPr>
          <w:ilvl w:val="0"/>
          <w:numId w:val="29"/>
        </w:numPr>
        <w:spacing w:afterLines="60" w:after="144"/>
      </w:pPr>
      <w:r w:rsidRPr="00451078">
        <w:rPr>
          <w:rFonts w:ascii="Tahoma" w:hAnsi="Tahoma" w:cs="Tahoma"/>
          <w:bCs/>
          <w:sz w:val="18"/>
          <w:szCs w:val="18"/>
          <w:lang w:val="it-IT"/>
        </w:rPr>
        <w:t>I voucher sono validi per i Microsoft Learning Partner che partecipano. Potranno essere utilizzati</w:t>
      </w:r>
      <w:r w:rsidR="00E44188" w:rsidRPr="00451078">
        <w:rPr>
          <w:rFonts w:ascii="Tahoma" w:hAnsi="Tahoma" w:cs="Tahoma"/>
          <w:bCs/>
          <w:sz w:val="18"/>
          <w:szCs w:val="18"/>
          <w:lang w:val="it-IT"/>
        </w:rPr>
        <w:t> </w:t>
      </w:r>
      <w:r w:rsidRPr="00451078">
        <w:rPr>
          <w:rFonts w:ascii="Tahoma" w:hAnsi="Tahoma" w:cs="Tahoma"/>
          <w:bCs/>
          <w:sz w:val="18"/>
          <w:szCs w:val="18"/>
          <w:lang w:val="it-IT"/>
        </w:rPr>
        <w:t xml:space="preserve">con qualsiasi Microsoft Learning Partner qualificato a livello mondiale. </w:t>
      </w:r>
      <w:r w:rsidRPr="003410C7">
        <w:rPr>
          <w:rFonts w:ascii="Tahoma" w:hAnsi="Tahoma" w:cs="Tahoma"/>
          <w:bCs/>
          <w:sz w:val="18"/>
          <w:szCs w:val="18"/>
        </w:rPr>
        <w:t>La partecipazione può variare.</w:t>
      </w:r>
    </w:p>
    <w:p w:rsidR="009D26EE" w:rsidRPr="00451078" w:rsidRDefault="009D26EE" w:rsidP="00745AB3">
      <w:pPr>
        <w:pStyle w:val="AppendixBodyText"/>
        <w:numPr>
          <w:ilvl w:val="0"/>
          <w:numId w:val="29"/>
        </w:numPr>
        <w:spacing w:afterLines="60" w:after="144"/>
        <w:rPr>
          <w:lang w:val="it-IT"/>
        </w:rPr>
      </w:pPr>
      <w:r w:rsidRPr="00451078">
        <w:rPr>
          <w:rFonts w:ascii="Tahoma" w:hAnsi="Tahoma" w:cs="Tahoma"/>
          <w:bCs/>
          <w:sz w:val="18"/>
          <w:szCs w:val="18"/>
          <w:lang w:val="it-IT"/>
        </w:rPr>
        <w:t>Le società dovranno fornire al Microsoft Learning Partner le informazioni relative ai voucher da</w:t>
      </w:r>
      <w:r w:rsidR="00475774" w:rsidRPr="00451078">
        <w:rPr>
          <w:rFonts w:ascii="Tahoma" w:hAnsi="Tahoma" w:cs="Tahoma"/>
          <w:bCs/>
          <w:sz w:val="18"/>
          <w:szCs w:val="18"/>
          <w:lang w:val="it-IT"/>
        </w:rPr>
        <w:t> </w:t>
      </w:r>
      <w:r w:rsidRPr="00451078">
        <w:rPr>
          <w:rFonts w:ascii="Tahoma" w:hAnsi="Tahoma" w:cs="Tahoma"/>
          <w:bCs/>
          <w:sz w:val="18"/>
          <w:szCs w:val="18"/>
          <w:lang w:val="it-IT"/>
        </w:rPr>
        <w:t xml:space="preserve">applicare nei confronti del corso prima del termine del corso stesso allo scopo di utilizzare </w:t>
      </w:r>
      <w:r w:rsidR="00475774" w:rsidRPr="00451078">
        <w:rPr>
          <w:rFonts w:ascii="Tahoma" w:hAnsi="Tahoma" w:cs="Tahoma"/>
          <w:bCs/>
          <w:sz w:val="18"/>
          <w:szCs w:val="18"/>
          <w:lang w:val="it-IT"/>
        </w:rPr>
        <w:t>I </w:t>
      </w:r>
      <w:r w:rsidRPr="00451078">
        <w:rPr>
          <w:rFonts w:ascii="Tahoma" w:hAnsi="Tahoma" w:cs="Tahoma"/>
          <w:bCs/>
          <w:sz w:val="18"/>
          <w:szCs w:val="18"/>
          <w:lang w:val="it-IT"/>
        </w:rPr>
        <w:t>voucher come forma di pagamento.</w:t>
      </w:r>
      <w:r w:rsidR="00082E1C" w:rsidRPr="00451078">
        <w:rPr>
          <w:rFonts w:ascii="Tahoma" w:hAnsi="Tahoma" w:cs="Tahoma"/>
          <w:bCs/>
          <w:sz w:val="18"/>
          <w:szCs w:val="18"/>
          <w:lang w:val="it-IT"/>
        </w:rPr>
        <w:t xml:space="preserve"> </w:t>
      </w:r>
    </w:p>
    <w:p w:rsidR="009D26EE" w:rsidRPr="00451078" w:rsidRDefault="009D26EE" w:rsidP="00745AB3">
      <w:pPr>
        <w:pStyle w:val="AppendixBodyText"/>
        <w:numPr>
          <w:ilvl w:val="0"/>
          <w:numId w:val="29"/>
        </w:numPr>
        <w:spacing w:afterLines="60" w:after="144"/>
        <w:rPr>
          <w:lang w:val="it-IT"/>
        </w:rPr>
      </w:pPr>
      <w:r w:rsidRPr="00451078">
        <w:rPr>
          <w:rFonts w:ascii="Tahoma" w:hAnsi="Tahoma" w:cs="Tahoma"/>
          <w:bCs/>
          <w:sz w:val="18"/>
          <w:szCs w:val="18"/>
          <w:lang w:val="it-IT"/>
        </w:rPr>
        <w:t>Microsoft non è responsabile dei voucher persi, rubati, collocati fuori posto o maltrattati.</w:t>
      </w:r>
    </w:p>
    <w:p w:rsidR="009D26EE" w:rsidRPr="00451078" w:rsidRDefault="009D26EE" w:rsidP="00745AB3">
      <w:pPr>
        <w:pStyle w:val="AppendixBodyText"/>
        <w:numPr>
          <w:ilvl w:val="0"/>
          <w:numId w:val="29"/>
        </w:numPr>
        <w:spacing w:afterLines="60" w:after="144"/>
        <w:rPr>
          <w:lang w:val="it-IT"/>
        </w:rPr>
      </w:pPr>
      <w:r w:rsidRPr="00451078">
        <w:rPr>
          <w:rFonts w:ascii="Tahoma" w:hAnsi="Tahoma" w:cs="Tahoma"/>
          <w:bCs/>
          <w:sz w:val="18"/>
          <w:szCs w:val="18"/>
          <w:lang w:val="it-IT"/>
        </w:rPr>
        <w:t>La riduzione del numero di licenze qualificanti per cui è stata acquistata la copertura Software Assurance in seguito a resi e altre modifiche apportate alla fatturazione, ove ammessa, potrà diminuire l</w:t>
      </w:r>
      <w:r w:rsidR="004525CA">
        <w:rPr>
          <w:rFonts w:ascii="Tahoma" w:hAnsi="Tahoma" w:cs="Tahoma"/>
          <w:bCs/>
          <w:sz w:val="18"/>
          <w:szCs w:val="18"/>
          <w:lang w:val="it-IT"/>
        </w:rPr>
        <w:t>’</w:t>
      </w:r>
      <w:r w:rsidRPr="00451078">
        <w:rPr>
          <w:rFonts w:ascii="Tahoma" w:hAnsi="Tahoma" w:cs="Tahoma"/>
          <w:bCs/>
          <w:sz w:val="18"/>
          <w:szCs w:val="18"/>
          <w:lang w:val="it-IT"/>
        </w:rPr>
        <w:t>idoneità dei livelli di servizio dei Voucher Corsi della società.</w:t>
      </w:r>
    </w:p>
    <w:p w:rsidR="009D26EE" w:rsidRPr="00451078" w:rsidRDefault="009D26EE" w:rsidP="00745AB3">
      <w:pPr>
        <w:pStyle w:val="AppendixBodyText"/>
        <w:numPr>
          <w:ilvl w:val="0"/>
          <w:numId w:val="29"/>
        </w:numPr>
        <w:spacing w:afterLines="60" w:after="144"/>
        <w:rPr>
          <w:lang w:val="it-IT"/>
        </w:rPr>
      </w:pPr>
      <w:r w:rsidRPr="00451078">
        <w:rPr>
          <w:rFonts w:ascii="Tahoma" w:hAnsi="Tahoma" w:cs="Tahoma"/>
          <w:bCs/>
          <w:sz w:val="18"/>
          <w:szCs w:val="18"/>
          <w:lang w:val="it-IT"/>
        </w:rPr>
        <w:t>I voucher possono essere riscattati solo dalla società idonea a ricevere il vantaggio.</w:t>
      </w:r>
    </w:p>
    <w:p w:rsidR="009D26EE" w:rsidRPr="00451078" w:rsidRDefault="009D26EE" w:rsidP="00745AB3">
      <w:pPr>
        <w:pStyle w:val="AppendixBodyText"/>
        <w:numPr>
          <w:ilvl w:val="0"/>
          <w:numId w:val="29"/>
        </w:numPr>
        <w:spacing w:afterLines="60" w:after="144"/>
        <w:rPr>
          <w:lang w:val="it-IT"/>
        </w:rPr>
      </w:pPr>
      <w:r w:rsidRPr="00451078">
        <w:rPr>
          <w:rFonts w:ascii="Tahoma" w:hAnsi="Tahoma" w:cs="Tahoma"/>
          <w:bCs/>
          <w:sz w:val="18"/>
          <w:szCs w:val="18"/>
          <w:lang w:val="it-IT"/>
        </w:rPr>
        <w:t>I servizi erogati con i voucher vengono forniti ai sensi di un contratto tra la Società e il Provider Qualificato; Microsoft non è responsabile dell</w:t>
      </w:r>
      <w:r w:rsidR="004525CA">
        <w:rPr>
          <w:rFonts w:ascii="Tahoma" w:hAnsi="Tahoma" w:cs="Tahoma"/>
          <w:bCs/>
          <w:sz w:val="18"/>
          <w:szCs w:val="18"/>
          <w:lang w:val="it-IT"/>
        </w:rPr>
        <w:t>’</w:t>
      </w:r>
      <w:r w:rsidRPr="00451078">
        <w:rPr>
          <w:rFonts w:ascii="Tahoma" w:hAnsi="Tahoma" w:cs="Tahoma"/>
          <w:bCs/>
          <w:sz w:val="18"/>
          <w:szCs w:val="18"/>
          <w:lang w:val="it-IT"/>
        </w:rPr>
        <w:t>eventuale funzionamento o mancato funzionamento dei servizi da parte del Provider Qualificato.</w:t>
      </w:r>
    </w:p>
    <w:p w:rsidR="00973A93" w:rsidRPr="00451078" w:rsidRDefault="009D26EE" w:rsidP="00745AB3">
      <w:pPr>
        <w:pStyle w:val="AppendixBodyText"/>
        <w:numPr>
          <w:ilvl w:val="0"/>
          <w:numId w:val="29"/>
        </w:numPr>
        <w:spacing w:after="0"/>
        <w:rPr>
          <w:lang w:val="it-IT"/>
        </w:rPr>
      </w:pPr>
      <w:r w:rsidRPr="00451078">
        <w:rPr>
          <w:rFonts w:ascii="Tahoma" w:hAnsi="Tahoma" w:cs="Tahoma"/>
          <w:bCs/>
          <w:sz w:val="18"/>
          <w:szCs w:val="18"/>
          <w:lang w:val="it-IT"/>
        </w:rPr>
        <w:t>La tabella riportata sopra mostra i crediti per i corsi disponibili sulla base di un</w:t>
      </w:r>
      <w:r w:rsidR="004525CA">
        <w:rPr>
          <w:rFonts w:ascii="Tahoma" w:hAnsi="Tahoma" w:cs="Tahoma"/>
          <w:bCs/>
          <w:sz w:val="18"/>
          <w:szCs w:val="18"/>
          <w:lang w:val="it-IT"/>
        </w:rPr>
        <w:t>’</w:t>
      </w:r>
      <w:r w:rsidRPr="00451078">
        <w:rPr>
          <w:rFonts w:ascii="Tahoma" w:hAnsi="Tahoma" w:cs="Tahoma"/>
          <w:bCs/>
          <w:sz w:val="18"/>
          <w:szCs w:val="18"/>
          <w:lang w:val="it-IT"/>
        </w:rPr>
        <w:t>iscrizione o di un</w:t>
      </w:r>
      <w:r w:rsidR="00475774" w:rsidRPr="00451078">
        <w:rPr>
          <w:rFonts w:ascii="Tahoma" w:hAnsi="Tahoma" w:cs="Tahoma"/>
          <w:bCs/>
          <w:sz w:val="18"/>
          <w:szCs w:val="18"/>
          <w:lang w:val="it-IT"/>
        </w:rPr>
        <w:t> </w:t>
      </w:r>
      <w:r w:rsidRPr="00451078">
        <w:rPr>
          <w:rFonts w:ascii="Tahoma" w:hAnsi="Tahoma" w:cs="Tahoma"/>
          <w:bCs/>
          <w:sz w:val="18"/>
          <w:szCs w:val="18"/>
          <w:lang w:val="it-IT"/>
        </w:rPr>
        <w:t>contratto triennale completo.</w:t>
      </w:r>
      <w:r w:rsidR="00082E1C" w:rsidRPr="00451078">
        <w:rPr>
          <w:rFonts w:ascii="Tahoma" w:hAnsi="Tahoma" w:cs="Tahoma"/>
          <w:bCs/>
          <w:sz w:val="18"/>
          <w:szCs w:val="18"/>
          <w:lang w:val="it-IT"/>
        </w:rPr>
        <w:t xml:space="preserve"> </w:t>
      </w:r>
      <w:r w:rsidRPr="00451078">
        <w:rPr>
          <w:rFonts w:ascii="Tahoma" w:hAnsi="Tahoma" w:cs="Tahoma"/>
          <w:bCs/>
          <w:sz w:val="18"/>
          <w:szCs w:val="18"/>
          <w:lang w:val="it-IT"/>
        </w:rPr>
        <w:t>Le società che acquistano una copertura Software Assurance annuale riceveranno un terzo del numero dichiarato di crediti per i corsi.</w:t>
      </w:r>
      <w:r w:rsidR="00082E1C" w:rsidRPr="00451078">
        <w:rPr>
          <w:rFonts w:ascii="Tahoma" w:hAnsi="Tahoma" w:cs="Tahoma"/>
          <w:bCs/>
          <w:sz w:val="18"/>
          <w:szCs w:val="18"/>
          <w:lang w:val="it-IT"/>
        </w:rPr>
        <w:t xml:space="preserve"> </w:t>
      </w:r>
      <w:r w:rsidRPr="00451078">
        <w:rPr>
          <w:rFonts w:ascii="Tahoma" w:hAnsi="Tahoma" w:cs="Tahoma"/>
          <w:bCs/>
          <w:sz w:val="18"/>
          <w:szCs w:val="18"/>
          <w:lang w:val="it-IT"/>
        </w:rPr>
        <w:t>Le società che acquistano una copertura Software Assurance biennale riceveranno due terzi del numero dichiarato di crediti per i corsi.</w:t>
      </w:r>
      <w:bookmarkStart w:id="786" w:name="_Toc336338234"/>
    </w:p>
    <w:p w:rsidR="005A141F" w:rsidRPr="00451078" w:rsidRDefault="005A141F" w:rsidP="005A141F">
      <w:pPr>
        <w:pStyle w:val="AppendixBodyText"/>
        <w:spacing w:after="0"/>
        <w:rPr>
          <w:lang w:val="it-IT"/>
        </w:rPr>
      </w:pPr>
    </w:p>
    <w:p w:rsidR="00023FE7" w:rsidRPr="00451078" w:rsidRDefault="00023FE7">
      <w:pPr>
        <w:pStyle w:val="Heading3"/>
        <w:rPr>
          <w:lang w:val="it-IT"/>
        </w:rPr>
      </w:pPr>
      <w:bookmarkStart w:id="787" w:name="_Toc352234829"/>
      <w:r w:rsidRPr="00451078">
        <w:rPr>
          <w:rFonts w:ascii="Tahoma" w:hAnsi="Tahoma" w:cs="Tahoma"/>
          <w:sz w:val="24"/>
          <w:lang w:val="it-IT"/>
        </w:rPr>
        <w:t>E-Learning</w:t>
      </w:r>
      <w:bookmarkEnd w:id="786"/>
      <w:bookmarkEnd w:id="787"/>
    </w:p>
    <w:p w:rsidR="00023FE7" w:rsidRPr="00451078" w:rsidRDefault="00023FE7" w:rsidP="002D25C8">
      <w:pPr>
        <w:rPr>
          <w:lang w:val="it-IT"/>
        </w:rPr>
      </w:pPr>
    </w:p>
    <w:p w:rsidR="003C56F1" w:rsidRPr="00451078" w:rsidRDefault="00324479" w:rsidP="008A7860">
      <w:pPr>
        <w:tabs>
          <w:tab w:val="num" w:pos="360"/>
        </w:tabs>
        <w:spacing w:after="60"/>
        <w:rPr>
          <w:lang w:val="it-IT"/>
        </w:rPr>
      </w:pPr>
      <w:r w:rsidRPr="00451078">
        <w:rPr>
          <w:rFonts w:cs="Tahoma"/>
          <w:b/>
          <w:szCs w:val="18"/>
          <w:lang w:val="it-IT"/>
        </w:rPr>
        <w:t>Società con Software Assurance idonee</w:t>
      </w:r>
    </w:p>
    <w:p w:rsidR="00324479" w:rsidRPr="00451078" w:rsidRDefault="00324479" w:rsidP="002D25C8">
      <w:pPr>
        <w:tabs>
          <w:tab w:val="num" w:pos="360"/>
        </w:tabs>
        <w:rPr>
          <w:lang w:val="it-IT"/>
        </w:rPr>
      </w:pPr>
      <w:r w:rsidRPr="00451078">
        <w:rPr>
          <w:rFonts w:cs="Tahoma"/>
          <w:szCs w:val="18"/>
          <w:lang w:val="it-IT"/>
        </w:rPr>
        <w:t xml:space="preserve">Le società con copertura Software Assurance per i prodotti qualificanti del pool di server, sistemi o applicazioni sono idonee a utilizzare il relativo vantaggio E-Learning per Applicazioni, Sistemi e Server durante il periodo di validità della copertura Software Assurance. </w:t>
      </w:r>
    </w:p>
    <w:p w:rsidR="00324479" w:rsidRPr="00451078" w:rsidRDefault="00324479" w:rsidP="002D25C8">
      <w:pPr>
        <w:tabs>
          <w:tab w:val="num" w:pos="360"/>
        </w:tabs>
        <w:rPr>
          <w:lang w:val="it-IT"/>
        </w:rPr>
      </w:pPr>
    </w:p>
    <w:p w:rsidR="008A7860" w:rsidRPr="00451078" w:rsidRDefault="00324479" w:rsidP="008A7860">
      <w:pPr>
        <w:tabs>
          <w:tab w:val="num" w:pos="360"/>
        </w:tabs>
        <w:spacing w:after="60"/>
        <w:rPr>
          <w:lang w:val="it-IT"/>
        </w:rPr>
      </w:pPr>
      <w:r w:rsidRPr="00451078">
        <w:rPr>
          <w:rFonts w:cs="Tahoma"/>
          <w:b/>
          <w:szCs w:val="18"/>
          <w:lang w:val="it-IT"/>
        </w:rPr>
        <w:t>Società con i Vantaggi dei Servizi Online idonee</w:t>
      </w:r>
    </w:p>
    <w:p w:rsidR="00324479" w:rsidRPr="00451078" w:rsidRDefault="00324479" w:rsidP="002D25C8">
      <w:pPr>
        <w:tabs>
          <w:tab w:val="num" w:pos="360"/>
        </w:tabs>
        <w:rPr>
          <w:lang w:val="it-IT"/>
        </w:rPr>
      </w:pPr>
      <w:r w:rsidRPr="00451078">
        <w:rPr>
          <w:rFonts w:cs="Tahoma"/>
          <w:szCs w:val="18"/>
          <w:lang w:val="it-IT"/>
        </w:rPr>
        <w:t>Le società con Windows Intune (Per Dispositivo) sono idonee a utilizzare il vantaggio Systems E-Learning durante il</w:t>
      </w:r>
      <w:r w:rsidR="00475774" w:rsidRPr="00451078">
        <w:rPr>
          <w:rFonts w:cs="Tahoma"/>
          <w:szCs w:val="18"/>
          <w:lang w:val="it-IT"/>
        </w:rPr>
        <w:t> </w:t>
      </w:r>
      <w:r w:rsidRPr="00451078">
        <w:rPr>
          <w:rFonts w:cs="Tahoma"/>
          <w:szCs w:val="18"/>
          <w:lang w:val="it-IT"/>
        </w:rPr>
        <w:t>periodo di validità della loro iscrizione.</w:t>
      </w:r>
      <w:r w:rsidR="00082E1C" w:rsidRPr="00451078">
        <w:rPr>
          <w:rFonts w:cs="Tahoma"/>
          <w:szCs w:val="18"/>
          <w:lang w:val="it-IT"/>
        </w:rPr>
        <w:t xml:space="preserve"> </w:t>
      </w:r>
      <w:r w:rsidRPr="00451078">
        <w:rPr>
          <w:rFonts w:cs="Tahoma"/>
          <w:szCs w:val="18"/>
          <w:lang w:val="it-IT"/>
        </w:rPr>
        <w:t>Analogamente, le società in possesso di Office 365 sono idonee a utilizzare il</w:t>
      </w:r>
      <w:r w:rsidR="00475774" w:rsidRPr="00451078">
        <w:rPr>
          <w:rFonts w:cs="Tahoma"/>
          <w:szCs w:val="18"/>
          <w:lang w:val="it-IT"/>
        </w:rPr>
        <w:t> </w:t>
      </w:r>
      <w:r w:rsidRPr="00451078">
        <w:rPr>
          <w:rFonts w:cs="Tahoma"/>
          <w:szCs w:val="18"/>
          <w:lang w:val="it-IT"/>
        </w:rPr>
        <w:t xml:space="preserve">vantaggio E-Learning per Applicazioni durante il periodo di validità della rispettiva iscrizione. </w:t>
      </w:r>
    </w:p>
    <w:p w:rsidR="00324479" w:rsidRPr="00451078" w:rsidRDefault="00324479" w:rsidP="002D25C8">
      <w:pPr>
        <w:tabs>
          <w:tab w:val="num" w:pos="360"/>
        </w:tabs>
        <w:rPr>
          <w:lang w:val="it-IT"/>
        </w:rPr>
      </w:pPr>
    </w:p>
    <w:p w:rsidR="00324479" w:rsidRPr="00451078" w:rsidRDefault="00324479" w:rsidP="002D25C8">
      <w:pPr>
        <w:rPr>
          <w:lang w:val="it-IT"/>
        </w:rPr>
      </w:pPr>
      <w:r w:rsidRPr="00451078">
        <w:rPr>
          <w:rFonts w:cs="Tahoma"/>
          <w:szCs w:val="18"/>
          <w:lang w:val="it-IT"/>
        </w:rPr>
        <w:t>Le società idonee riceveranno un codice di accesso (per Applicazioni, Sistemi, Server, Windows Intune (Per</w:t>
      </w:r>
      <w:r w:rsidR="00475774" w:rsidRPr="00451078">
        <w:rPr>
          <w:rFonts w:cs="Tahoma"/>
          <w:szCs w:val="18"/>
          <w:lang w:val="it-IT"/>
        </w:rPr>
        <w:t> </w:t>
      </w:r>
      <w:r w:rsidRPr="00451078">
        <w:rPr>
          <w:rFonts w:cs="Tahoma"/>
          <w:szCs w:val="18"/>
          <w:lang w:val="it-IT"/>
        </w:rPr>
        <w:t>Dispositivo) e Office 365) per ogni iscrizione/contratto qualificante.</w:t>
      </w:r>
      <w:r w:rsidR="00082E1C" w:rsidRPr="00451078">
        <w:rPr>
          <w:rFonts w:cs="Tahoma"/>
          <w:szCs w:val="18"/>
          <w:lang w:val="it-IT"/>
        </w:rPr>
        <w:t xml:space="preserve"> </w:t>
      </w:r>
      <w:r w:rsidRPr="00451078">
        <w:rPr>
          <w:rFonts w:cs="Tahoma"/>
          <w:szCs w:val="18"/>
          <w:lang w:val="it-IT"/>
        </w:rPr>
        <w:t xml:space="preserve">Le società potranno inoltre scaricare file </w:t>
      </w:r>
      <w:r w:rsidR="00475774" w:rsidRPr="00451078">
        <w:rPr>
          <w:rFonts w:cs="Tahoma"/>
          <w:szCs w:val="18"/>
          <w:lang w:val="it-IT"/>
        </w:rPr>
        <w:br/>
      </w:r>
      <w:r w:rsidRPr="00451078">
        <w:rPr>
          <w:rFonts w:cs="Tahoma"/>
          <w:szCs w:val="18"/>
          <w:lang w:val="it-IT"/>
        </w:rPr>
        <w:t>E-learning di solo contenuto, conformi a SCORM (per Applicazioni e Sistemi) da VLSC per importarli in Learning Management System (LMS).</w:t>
      </w:r>
      <w:r w:rsidR="00082E1C" w:rsidRPr="00451078">
        <w:rPr>
          <w:rFonts w:cs="Tahoma"/>
          <w:szCs w:val="18"/>
          <w:lang w:val="it-IT"/>
        </w:rPr>
        <w:t xml:space="preserve"> </w:t>
      </w:r>
      <w:r w:rsidRPr="00451078">
        <w:rPr>
          <w:rFonts w:cs="Tahoma"/>
          <w:szCs w:val="18"/>
          <w:lang w:val="it-IT"/>
        </w:rPr>
        <w:t>Per scaricare i file da VLSC non è necessario alcun codice di accesso. Le società con Contratto Enterprise e Select potranno ottenere contenuto conforme a SCORM (per Applicazioni e Sistemi) tramite download o DVD, mentre le società Open e Open Value lo potranno ottenere (per Applicazioni e Sistemi) solo tramite</w:t>
      </w:r>
      <w:r w:rsidR="00475774" w:rsidRPr="00451078">
        <w:rPr>
          <w:rFonts w:cs="Tahoma"/>
          <w:szCs w:val="18"/>
          <w:lang w:val="it-IT"/>
        </w:rPr>
        <w:t> </w:t>
      </w:r>
      <w:r w:rsidRPr="00451078">
        <w:rPr>
          <w:rFonts w:cs="Tahoma"/>
          <w:szCs w:val="18"/>
          <w:lang w:val="it-IT"/>
        </w:rPr>
        <w:t>DVD.</w:t>
      </w:r>
    </w:p>
    <w:p w:rsidR="00324479" w:rsidRPr="00451078" w:rsidRDefault="00324479" w:rsidP="002D25C8">
      <w:pPr>
        <w:rPr>
          <w:lang w:val="it-IT"/>
        </w:rPr>
      </w:pPr>
    </w:p>
    <w:p w:rsidR="00324479" w:rsidRPr="00451078" w:rsidRDefault="00324479" w:rsidP="002D25C8">
      <w:pPr>
        <w:rPr>
          <w:lang w:val="it-IT"/>
        </w:rPr>
      </w:pPr>
      <w:r w:rsidRPr="00451078">
        <w:rPr>
          <w:rFonts w:cs="Tahoma"/>
          <w:szCs w:val="18"/>
          <w:lang w:val="it-IT"/>
        </w:rPr>
        <w:lastRenderedPageBreak/>
        <w:t>Il numero massimo di utenti per i quali una società potrà utilizzare il corso di E-Learning è uguale al numero di copie</w:t>
      </w:r>
      <w:r w:rsidR="00475774" w:rsidRPr="00451078">
        <w:rPr>
          <w:rFonts w:cs="Tahoma"/>
          <w:szCs w:val="18"/>
          <w:lang w:val="it-IT"/>
        </w:rPr>
        <w:t> </w:t>
      </w:r>
      <w:r w:rsidRPr="00451078">
        <w:rPr>
          <w:rFonts w:cs="Tahoma"/>
          <w:szCs w:val="18"/>
          <w:lang w:val="it-IT"/>
        </w:rPr>
        <w:t>con licenza dei prodotti qualificanti che la società ha inserito nell</w:t>
      </w:r>
      <w:r w:rsidR="004525CA">
        <w:rPr>
          <w:rFonts w:cs="Tahoma"/>
          <w:szCs w:val="18"/>
          <w:lang w:val="it-IT"/>
        </w:rPr>
        <w:t>’</w:t>
      </w:r>
      <w:r w:rsidRPr="00451078">
        <w:rPr>
          <w:rFonts w:cs="Tahoma"/>
          <w:szCs w:val="18"/>
          <w:lang w:val="it-IT"/>
        </w:rPr>
        <w:t>iscrizione per Software Assurance o degli abbonamenti per le famiglie di prodotti Windows</w:t>
      </w:r>
      <w:r w:rsidR="003410C7" w:rsidRPr="00451078">
        <w:rPr>
          <w:rFonts w:cs="Tahoma"/>
          <w:szCs w:val="18"/>
          <w:vertAlign w:val="superscript"/>
          <w:lang w:val="it-IT"/>
        </w:rPr>
        <w:t>®</w:t>
      </w:r>
      <w:r w:rsidRPr="00451078">
        <w:rPr>
          <w:rFonts w:cs="Tahoma"/>
          <w:szCs w:val="18"/>
          <w:lang w:val="it-IT"/>
        </w:rPr>
        <w:t xml:space="preserve"> Intune o Office 365 acquistate. Le società dovranno designare un utente per ciascuna licenza qualificante.</w:t>
      </w:r>
      <w:r w:rsidR="00082E1C" w:rsidRPr="00451078">
        <w:rPr>
          <w:rFonts w:cs="Tahoma"/>
          <w:szCs w:val="18"/>
          <w:lang w:val="it-IT"/>
        </w:rPr>
        <w:t xml:space="preserve"> </w:t>
      </w:r>
      <w:r w:rsidRPr="00451078">
        <w:rPr>
          <w:rFonts w:cs="Tahoma"/>
          <w:szCs w:val="18"/>
          <w:lang w:val="it-IT"/>
        </w:rPr>
        <w:t>L</w:t>
      </w:r>
      <w:r w:rsidR="004525CA">
        <w:rPr>
          <w:rFonts w:cs="Tahoma"/>
          <w:szCs w:val="18"/>
          <w:lang w:val="it-IT"/>
        </w:rPr>
        <w:t>’</w:t>
      </w:r>
      <w:r w:rsidRPr="00451078">
        <w:rPr>
          <w:rFonts w:cs="Tahoma"/>
          <w:szCs w:val="18"/>
          <w:lang w:val="it-IT"/>
        </w:rPr>
        <w:t>accesso non può essere trasferito da un utente a un altro.</w:t>
      </w:r>
      <w:r w:rsidR="00082E1C" w:rsidRPr="00451078">
        <w:rPr>
          <w:rFonts w:cs="Tahoma"/>
          <w:szCs w:val="18"/>
          <w:lang w:val="it-IT"/>
        </w:rPr>
        <w:t xml:space="preserve"> </w:t>
      </w:r>
      <w:r w:rsidRPr="00451078">
        <w:rPr>
          <w:rFonts w:cs="Tahoma"/>
          <w:szCs w:val="18"/>
          <w:lang w:val="it-IT"/>
        </w:rPr>
        <w:t>Al momento del lancio di un corso individuale ciascun utente qualificato avrà a disposizione fino a 12 mesi per completarlo prima che l</w:t>
      </w:r>
      <w:r w:rsidR="004525CA">
        <w:rPr>
          <w:rFonts w:cs="Tahoma"/>
          <w:szCs w:val="18"/>
          <w:lang w:val="it-IT"/>
        </w:rPr>
        <w:t>’</w:t>
      </w:r>
      <w:r w:rsidRPr="00451078">
        <w:rPr>
          <w:rFonts w:cs="Tahoma"/>
          <w:szCs w:val="18"/>
          <w:lang w:val="it-IT"/>
        </w:rPr>
        <w:t xml:space="preserve">accesso scada, a condizione che il corso sia avviato prima della data di scadenza della copertura Software Assurance o della licenza </w:t>
      </w:r>
      <w:r w:rsidR="001A3EC5" w:rsidRPr="00451078">
        <w:rPr>
          <w:rFonts w:cs="Tahoma"/>
          <w:szCs w:val="18"/>
          <w:lang w:val="it-IT"/>
        </w:rPr>
        <w:t>“</w:t>
      </w:r>
      <w:r w:rsidRPr="00451078">
        <w:rPr>
          <w:rFonts w:cs="Tahoma"/>
          <w:szCs w:val="18"/>
          <w:lang w:val="it-IT"/>
        </w:rPr>
        <w:t>subscription</w:t>
      </w:r>
      <w:r w:rsidR="001A3EC5" w:rsidRPr="00451078">
        <w:rPr>
          <w:rFonts w:cs="Tahoma"/>
          <w:szCs w:val="18"/>
          <w:lang w:val="it-IT"/>
        </w:rPr>
        <w:t>”</w:t>
      </w:r>
      <w:r w:rsidRPr="00451078">
        <w:rPr>
          <w:rFonts w:cs="Tahoma"/>
          <w:szCs w:val="18"/>
          <w:lang w:val="it-IT"/>
        </w:rPr>
        <w:t>.</w:t>
      </w:r>
    </w:p>
    <w:p w:rsidR="00324479" w:rsidRPr="00451078" w:rsidRDefault="00324479" w:rsidP="002D25C8">
      <w:pPr>
        <w:tabs>
          <w:tab w:val="num" w:pos="360"/>
        </w:tabs>
        <w:rPr>
          <w:lang w:val="it-IT"/>
        </w:rPr>
      </w:pPr>
    </w:p>
    <w:p w:rsidR="00324479" w:rsidRPr="00451078" w:rsidRDefault="00324479" w:rsidP="002D25C8">
      <w:pPr>
        <w:tabs>
          <w:tab w:val="num" w:pos="0"/>
        </w:tabs>
        <w:rPr>
          <w:lang w:val="it-IT"/>
        </w:rPr>
      </w:pPr>
      <w:r w:rsidRPr="00451078">
        <w:rPr>
          <w:rFonts w:cs="Tahoma"/>
          <w:szCs w:val="18"/>
          <w:lang w:val="it-IT"/>
        </w:rPr>
        <w:t>Le società idonee potranno acquistare i kit di E-learning presso un centro di rifornimento regionale qualora l</w:t>
      </w:r>
      <w:r w:rsidR="004525CA">
        <w:rPr>
          <w:rFonts w:cs="Tahoma"/>
          <w:szCs w:val="18"/>
          <w:lang w:val="it-IT"/>
        </w:rPr>
        <w:t>’</w:t>
      </w:r>
      <w:r w:rsidRPr="00451078">
        <w:rPr>
          <w:rFonts w:cs="Tahoma"/>
          <w:szCs w:val="18"/>
          <w:lang w:val="it-IT"/>
        </w:rPr>
        <w:t xml:space="preserve">opzione online non sia sufficiente. </w:t>
      </w:r>
    </w:p>
    <w:p w:rsidR="00324479" w:rsidRPr="00451078" w:rsidRDefault="00324479" w:rsidP="002D25C8">
      <w:pPr>
        <w:tabs>
          <w:tab w:val="num" w:pos="0"/>
        </w:tabs>
        <w:rPr>
          <w:lang w:val="it-IT"/>
        </w:rPr>
      </w:pPr>
      <w:r w:rsidRPr="00451078">
        <w:rPr>
          <w:rFonts w:cs="Tahoma"/>
          <w:szCs w:val="18"/>
          <w:lang w:val="it-IT"/>
        </w:rPr>
        <w:t>La distribuzione e l</w:t>
      </w:r>
      <w:r w:rsidR="004525CA">
        <w:rPr>
          <w:rFonts w:cs="Tahoma"/>
          <w:szCs w:val="18"/>
          <w:lang w:val="it-IT"/>
        </w:rPr>
        <w:t>’</w:t>
      </w:r>
      <w:r w:rsidRPr="00451078">
        <w:rPr>
          <w:rFonts w:cs="Tahoma"/>
          <w:szCs w:val="18"/>
          <w:lang w:val="it-IT"/>
        </w:rPr>
        <w:t>utilizzo dei corsi di E-Learning da parte della società sono soggetti alle condizioni del relativo contratto di licenza.</w:t>
      </w:r>
      <w:r w:rsidR="00082E1C" w:rsidRPr="00451078">
        <w:rPr>
          <w:rFonts w:cs="Tahoma"/>
          <w:szCs w:val="18"/>
          <w:lang w:val="it-IT"/>
        </w:rPr>
        <w:t xml:space="preserve"> </w:t>
      </w:r>
    </w:p>
    <w:p w:rsidR="00324479" w:rsidRPr="00451078" w:rsidRDefault="00324479" w:rsidP="002D25C8">
      <w:pPr>
        <w:tabs>
          <w:tab w:val="num" w:pos="0"/>
        </w:tabs>
        <w:rPr>
          <w:lang w:val="it-IT"/>
        </w:rPr>
      </w:pPr>
    </w:p>
    <w:p w:rsidR="008A7860" w:rsidRPr="00451078" w:rsidRDefault="008A7860" w:rsidP="008A7860">
      <w:pPr>
        <w:spacing w:after="60"/>
        <w:rPr>
          <w:lang w:val="it-IT"/>
        </w:rPr>
      </w:pPr>
      <w:r w:rsidRPr="00451078">
        <w:rPr>
          <w:rFonts w:cs="Tahoma"/>
          <w:b/>
          <w:szCs w:val="18"/>
          <w:lang w:val="it-IT"/>
        </w:rPr>
        <w:t>Applicazioni di E-Learning</w:t>
      </w:r>
    </w:p>
    <w:p w:rsidR="00324479" w:rsidRPr="00451078" w:rsidRDefault="00324479" w:rsidP="002D25C8">
      <w:pPr>
        <w:rPr>
          <w:lang w:val="it-IT"/>
        </w:rPr>
      </w:pPr>
      <w:r w:rsidRPr="00451078">
        <w:rPr>
          <w:rFonts w:cs="Tahoma"/>
          <w:szCs w:val="18"/>
          <w:lang w:val="it-IT"/>
        </w:rPr>
        <w:t xml:space="preserve">Le società </w:t>
      </w:r>
      <w:r w:rsidRPr="00451078">
        <w:rPr>
          <w:rFonts w:cs="Tahoma"/>
          <w:color w:val="000000"/>
          <w:szCs w:val="18"/>
          <w:lang w:val="it-IT"/>
        </w:rPr>
        <w:t>con famiglie di prodotti Office 365 ProPlus,</w:t>
      </w:r>
      <w:r w:rsidRPr="00451078">
        <w:rPr>
          <w:rFonts w:cs="Tahoma"/>
          <w:szCs w:val="18"/>
          <w:lang w:val="it-IT"/>
        </w:rPr>
        <w:t xml:space="preserve"> Office 365 e copertura Software Assurance per i prodotti Applicativi qualificanti sono idonee a utilizzare corsi di E-Learning in hosting e contenuto conforme a SCORM.</w:t>
      </w:r>
      <w:r w:rsidR="00082E1C" w:rsidRPr="00451078">
        <w:rPr>
          <w:rFonts w:cs="Tahoma"/>
          <w:szCs w:val="18"/>
          <w:lang w:val="it-IT"/>
        </w:rPr>
        <w:t xml:space="preserve"> </w:t>
      </w:r>
    </w:p>
    <w:p w:rsidR="00324479" w:rsidRPr="00451078" w:rsidRDefault="00324479" w:rsidP="002D25C8">
      <w:pPr>
        <w:rPr>
          <w:lang w:val="it-IT"/>
        </w:rPr>
      </w:pPr>
    </w:p>
    <w:p w:rsidR="008A7860" w:rsidRPr="00451078" w:rsidRDefault="008A7860" w:rsidP="008A7860">
      <w:pPr>
        <w:spacing w:after="60"/>
        <w:rPr>
          <w:lang w:val="it-IT"/>
        </w:rPr>
      </w:pPr>
      <w:r w:rsidRPr="00451078">
        <w:rPr>
          <w:rFonts w:cs="Tahoma"/>
          <w:b/>
          <w:szCs w:val="18"/>
          <w:lang w:val="it-IT"/>
        </w:rPr>
        <w:t>Sistemi di E-Learning</w:t>
      </w:r>
    </w:p>
    <w:p w:rsidR="00324479" w:rsidRPr="00451078" w:rsidRDefault="00324479" w:rsidP="002D25C8">
      <w:pPr>
        <w:rPr>
          <w:lang w:val="it-IT"/>
        </w:rPr>
      </w:pPr>
      <w:r w:rsidRPr="00451078">
        <w:rPr>
          <w:rFonts w:cs="Tahoma"/>
          <w:szCs w:val="18"/>
          <w:lang w:val="it-IT"/>
        </w:rPr>
        <w:t>Le società con Windows Intune (Per Dispositivo) e copertura Software Assurance per i prodotti Sistemi qualificanti sono idonee a utilizzare i corsi di E-Learning Client ospitati e contenuto conforme a SCORM.</w:t>
      </w:r>
      <w:r w:rsidR="00082E1C" w:rsidRPr="00451078">
        <w:rPr>
          <w:rFonts w:cs="Tahoma"/>
          <w:szCs w:val="18"/>
          <w:lang w:val="it-IT"/>
        </w:rPr>
        <w:t xml:space="preserve"> </w:t>
      </w:r>
    </w:p>
    <w:p w:rsidR="00F76ED4" w:rsidRPr="00451078" w:rsidRDefault="00F76ED4">
      <w:pPr>
        <w:rPr>
          <w:lang w:val="it-IT"/>
        </w:rPr>
      </w:pPr>
    </w:p>
    <w:p w:rsidR="008A7860" w:rsidRPr="00451078" w:rsidRDefault="008A7860" w:rsidP="008A7860">
      <w:pPr>
        <w:spacing w:after="60"/>
        <w:rPr>
          <w:lang w:val="it-IT"/>
        </w:rPr>
      </w:pPr>
      <w:r w:rsidRPr="00451078">
        <w:rPr>
          <w:rFonts w:cs="Tahoma"/>
          <w:b/>
          <w:szCs w:val="18"/>
          <w:lang w:val="it-IT"/>
        </w:rPr>
        <w:t>Server di E-Learning</w:t>
      </w:r>
    </w:p>
    <w:p w:rsidR="00324479" w:rsidRPr="00451078" w:rsidRDefault="00324479" w:rsidP="002D25C8">
      <w:pPr>
        <w:rPr>
          <w:lang w:val="it-IT"/>
        </w:rPr>
      </w:pPr>
      <w:r w:rsidRPr="00451078">
        <w:rPr>
          <w:rFonts w:cs="Tahoma"/>
          <w:szCs w:val="18"/>
          <w:lang w:val="it-IT"/>
        </w:rPr>
        <w:t xml:space="preserve">Le società con copertura Software Assurance per i prodotti Server qualificanti sono idonee a utilizzare i corsi di </w:t>
      </w:r>
      <w:r w:rsidR="00475774" w:rsidRPr="00451078">
        <w:rPr>
          <w:rFonts w:cs="Tahoma"/>
          <w:szCs w:val="18"/>
          <w:lang w:val="it-IT"/>
        </w:rPr>
        <w:br/>
      </w:r>
      <w:r w:rsidRPr="00451078">
        <w:rPr>
          <w:rFonts w:cs="Tahoma"/>
          <w:szCs w:val="18"/>
          <w:lang w:val="it-IT"/>
        </w:rPr>
        <w:t>E-Learning Server ospitati.</w:t>
      </w:r>
      <w:r w:rsidR="00082E1C" w:rsidRPr="00451078">
        <w:rPr>
          <w:rFonts w:cs="Tahoma"/>
          <w:szCs w:val="18"/>
          <w:lang w:val="it-IT"/>
        </w:rPr>
        <w:t xml:space="preserve"> </w:t>
      </w:r>
    </w:p>
    <w:p w:rsidR="00023FE7" w:rsidRPr="00451078" w:rsidRDefault="00023FE7" w:rsidP="002D25C8">
      <w:pPr>
        <w:rPr>
          <w:lang w:val="it-IT"/>
        </w:rPr>
      </w:pPr>
    </w:p>
    <w:p w:rsidR="00023FE7" w:rsidRPr="00451078" w:rsidRDefault="00023FE7" w:rsidP="002D25C8">
      <w:pPr>
        <w:pStyle w:val="Heading3"/>
        <w:rPr>
          <w:lang w:val="it-IT"/>
        </w:rPr>
      </w:pPr>
      <w:bookmarkStart w:id="788" w:name="_Toc336338235"/>
      <w:bookmarkStart w:id="789" w:name="_Toc352234830"/>
      <w:r w:rsidRPr="00451078">
        <w:rPr>
          <w:rFonts w:ascii="Tahoma" w:hAnsi="Tahoma" w:cs="Tahoma"/>
          <w:sz w:val="24"/>
          <w:lang w:val="it-IT"/>
        </w:rPr>
        <w:t>Home Use Program</w:t>
      </w:r>
      <w:bookmarkEnd w:id="788"/>
      <w:bookmarkEnd w:id="789"/>
    </w:p>
    <w:p w:rsidR="00023FE7" w:rsidRPr="00451078" w:rsidRDefault="00023FE7" w:rsidP="002D25C8">
      <w:pPr>
        <w:rPr>
          <w:lang w:val="it-IT"/>
        </w:rPr>
      </w:pPr>
    </w:p>
    <w:p w:rsidR="00023FE7" w:rsidRPr="00451078" w:rsidRDefault="00023FE7" w:rsidP="002D25C8">
      <w:pPr>
        <w:pStyle w:val="AppendixBodyText"/>
        <w:spacing w:after="0"/>
        <w:rPr>
          <w:lang w:val="it-IT"/>
        </w:rPr>
      </w:pPr>
      <w:r w:rsidRPr="00451078">
        <w:rPr>
          <w:rFonts w:ascii="Tahoma" w:hAnsi="Tahoma" w:cs="Tahoma"/>
          <w:sz w:val="18"/>
          <w:szCs w:val="18"/>
          <w:lang w:val="it-IT"/>
        </w:rPr>
        <w:t>Le società con copertura Software Assurance attiva per i prodotti applicativi desktop qualificanti sono idonee a</w:t>
      </w:r>
      <w:r w:rsidR="00475774" w:rsidRPr="00451078">
        <w:rPr>
          <w:rFonts w:ascii="Tahoma" w:hAnsi="Tahoma" w:cs="Tahoma"/>
          <w:sz w:val="18"/>
          <w:szCs w:val="18"/>
          <w:lang w:val="it-IT"/>
        </w:rPr>
        <w:t> </w:t>
      </w:r>
      <w:r w:rsidRPr="00451078">
        <w:rPr>
          <w:rFonts w:ascii="Tahoma" w:hAnsi="Tahoma" w:cs="Tahoma"/>
          <w:color w:val="000000"/>
          <w:sz w:val="18"/>
          <w:szCs w:val="18"/>
          <w:lang w:val="it-IT"/>
        </w:rPr>
        <w:t>partecipare al programma Home Use Program**.</w:t>
      </w:r>
      <w:r w:rsidR="00082E1C" w:rsidRPr="00451078">
        <w:rPr>
          <w:rFonts w:ascii="Tahoma" w:hAnsi="Tahoma" w:cs="Tahoma"/>
          <w:color w:val="000000"/>
          <w:sz w:val="18"/>
          <w:szCs w:val="18"/>
          <w:lang w:val="it-IT"/>
        </w:rPr>
        <w:t xml:space="preserve"> </w:t>
      </w:r>
      <w:r w:rsidRPr="00451078">
        <w:rPr>
          <w:rFonts w:ascii="Tahoma" w:hAnsi="Tahoma" w:cs="Tahoma"/>
          <w:color w:val="000000"/>
          <w:sz w:val="18"/>
          <w:szCs w:val="18"/>
          <w:lang w:val="it-IT"/>
        </w:rPr>
        <w:t>Ai sensi del programma Home Use Program i dipendenti delle</w:t>
      </w:r>
      <w:r w:rsidR="00475774" w:rsidRPr="00451078">
        <w:rPr>
          <w:rFonts w:ascii="Tahoma" w:hAnsi="Tahoma" w:cs="Tahoma"/>
          <w:color w:val="000000"/>
          <w:sz w:val="18"/>
          <w:szCs w:val="18"/>
          <w:lang w:val="it-IT"/>
        </w:rPr>
        <w:t> </w:t>
      </w:r>
      <w:r w:rsidRPr="00451078">
        <w:rPr>
          <w:rFonts w:ascii="Tahoma" w:hAnsi="Tahoma" w:cs="Tahoma"/>
          <w:color w:val="000000"/>
          <w:sz w:val="18"/>
          <w:szCs w:val="18"/>
          <w:lang w:val="it-IT"/>
        </w:rPr>
        <w:t>società, che utilizzano le applicazioni con licenza qualificanti, potranno acquistare una licenza singola per il</w:t>
      </w:r>
      <w:r w:rsidR="00475774" w:rsidRPr="00451078">
        <w:rPr>
          <w:rFonts w:ascii="Tahoma" w:hAnsi="Tahoma" w:cs="Tahoma"/>
          <w:color w:val="000000"/>
          <w:sz w:val="18"/>
          <w:szCs w:val="18"/>
          <w:lang w:val="it-IT"/>
        </w:rPr>
        <w:t> </w:t>
      </w:r>
      <w:r w:rsidRPr="00451078">
        <w:rPr>
          <w:rFonts w:ascii="Tahoma" w:hAnsi="Tahoma" w:cs="Tahoma"/>
          <w:color w:val="000000"/>
          <w:sz w:val="18"/>
          <w:szCs w:val="18"/>
          <w:lang w:val="it-IT"/>
        </w:rPr>
        <w:t>corrispondente software Home Use Program da installare su un computer domestico. Le condizioni di licenza per</w:t>
      </w:r>
      <w:r w:rsidR="00475774" w:rsidRPr="00451078">
        <w:rPr>
          <w:rFonts w:ascii="Tahoma" w:hAnsi="Tahoma" w:cs="Tahoma"/>
          <w:color w:val="000000"/>
          <w:sz w:val="18"/>
          <w:szCs w:val="18"/>
          <w:lang w:val="it-IT"/>
        </w:rPr>
        <w:t> </w:t>
      </w:r>
      <w:r w:rsidRPr="00451078">
        <w:rPr>
          <w:rFonts w:ascii="Tahoma" w:hAnsi="Tahoma" w:cs="Tahoma"/>
          <w:color w:val="000000"/>
          <w:sz w:val="18"/>
          <w:szCs w:val="18"/>
          <w:lang w:val="it-IT"/>
        </w:rPr>
        <w:t>tale software consentono all</w:t>
      </w:r>
      <w:r w:rsidR="004525CA">
        <w:rPr>
          <w:rFonts w:ascii="Tahoma" w:hAnsi="Tahoma" w:cs="Tahoma"/>
          <w:color w:val="000000"/>
          <w:sz w:val="18"/>
          <w:szCs w:val="18"/>
          <w:lang w:val="it-IT"/>
        </w:rPr>
        <w:t>’</w:t>
      </w:r>
      <w:r w:rsidRPr="00451078">
        <w:rPr>
          <w:rFonts w:ascii="Tahoma" w:hAnsi="Tahoma" w:cs="Tahoma"/>
          <w:color w:val="000000"/>
          <w:sz w:val="18"/>
          <w:szCs w:val="18"/>
          <w:lang w:val="it-IT"/>
        </w:rPr>
        <w:t>utente principale del computer domestico di installare e utilizzare un</w:t>
      </w:r>
      <w:r w:rsidR="004525CA">
        <w:rPr>
          <w:rFonts w:ascii="Tahoma" w:hAnsi="Tahoma" w:cs="Tahoma"/>
          <w:color w:val="000000"/>
          <w:sz w:val="18"/>
          <w:szCs w:val="18"/>
          <w:lang w:val="it-IT"/>
        </w:rPr>
        <w:t>’</w:t>
      </w:r>
      <w:r w:rsidRPr="00451078">
        <w:rPr>
          <w:rFonts w:ascii="Tahoma" w:hAnsi="Tahoma" w:cs="Tahoma"/>
          <w:color w:val="000000"/>
          <w:sz w:val="18"/>
          <w:szCs w:val="18"/>
          <w:lang w:val="it-IT"/>
        </w:rPr>
        <w:t>altra copia su</w:t>
      </w:r>
      <w:r w:rsidR="00475774" w:rsidRPr="00451078">
        <w:rPr>
          <w:rFonts w:ascii="Tahoma" w:hAnsi="Tahoma" w:cs="Tahoma"/>
          <w:color w:val="000000"/>
          <w:sz w:val="18"/>
          <w:szCs w:val="18"/>
          <w:lang w:val="it-IT"/>
        </w:rPr>
        <w:t> </w:t>
      </w:r>
      <w:r w:rsidRPr="00451078">
        <w:rPr>
          <w:rFonts w:ascii="Tahoma" w:hAnsi="Tahoma" w:cs="Tahoma"/>
          <w:color w:val="000000"/>
          <w:sz w:val="18"/>
          <w:szCs w:val="18"/>
          <w:lang w:val="it-IT"/>
        </w:rPr>
        <w:t>un</w:t>
      </w:r>
      <w:r w:rsidR="00475774" w:rsidRPr="00451078">
        <w:rPr>
          <w:rFonts w:ascii="Tahoma" w:hAnsi="Tahoma" w:cs="Tahoma"/>
          <w:color w:val="000000"/>
          <w:sz w:val="18"/>
          <w:szCs w:val="18"/>
          <w:lang w:val="it-IT"/>
        </w:rPr>
        <w:t> </w:t>
      </w:r>
      <w:r w:rsidRPr="00451078">
        <w:rPr>
          <w:rFonts w:ascii="Tahoma" w:hAnsi="Tahoma" w:cs="Tahoma"/>
          <w:color w:val="000000"/>
          <w:sz w:val="18"/>
          <w:szCs w:val="18"/>
          <w:lang w:val="it-IT"/>
        </w:rPr>
        <w:t>dispositivo portatile.</w:t>
      </w:r>
      <w:r w:rsidR="00082E1C" w:rsidRPr="00451078">
        <w:rPr>
          <w:rFonts w:ascii="Tahoma" w:hAnsi="Tahoma" w:cs="Tahoma"/>
          <w:color w:val="000000"/>
          <w:sz w:val="18"/>
          <w:szCs w:val="18"/>
          <w:lang w:val="it-IT"/>
        </w:rPr>
        <w:t xml:space="preserve"> </w:t>
      </w:r>
      <w:r w:rsidRPr="00451078">
        <w:rPr>
          <w:rFonts w:ascii="Tahoma" w:hAnsi="Tahoma" w:cs="Tahoma"/>
          <w:color w:val="000000"/>
          <w:sz w:val="18"/>
          <w:szCs w:val="18"/>
          <w:lang w:val="it-IT"/>
        </w:rPr>
        <w:t>A condizione che i dipendenti ricevano in primo luogo le product key appropriate per</w:t>
      </w:r>
      <w:r w:rsidR="00475774" w:rsidRPr="00451078">
        <w:rPr>
          <w:rFonts w:ascii="Tahoma" w:hAnsi="Tahoma" w:cs="Tahoma"/>
          <w:color w:val="000000"/>
          <w:sz w:val="18"/>
          <w:szCs w:val="18"/>
          <w:lang w:val="it-IT"/>
        </w:rPr>
        <w:t> </w:t>
      </w:r>
      <w:r w:rsidRPr="00451078">
        <w:rPr>
          <w:rFonts w:ascii="Tahoma" w:hAnsi="Tahoma" w:cs="Tahoma"/>
          <w:color w:val="000000"/>
          <w:sz w:val="18"/>
          <w:szCs w:val="18"/>
          <w:lang w:val="it-IT"/>
        </w:rPr>
        <w:t>Home Use</w:t>
      </w:r>
      <w:r w:rsidR="00475774" w:rsidRPr="00451078">
        <w:rPr>
          <w:rFonts w:ascii="Tahoma" w:hAnsi="Tahoma" w:cs="Tahoma"/>
          <w:color w:val="000000"/>
          <w:sz w:val="18"/>
          <w:szCs w:val="18"/>
          <w:lang w:val="it-IT"/>
        </w:rPr>
        <w:t> </w:t>
      </w:r>
      <w:r w:rsidRPr="00451078">
        <w:rPr>
          <w:rFonts w:ascii="Tahoma" w:hAnsi="Tahoma" w:cs="Tahoma"/>
          <w:color w:val="000000"/>
          <w:sz w:val="18"/>
          <w:szCs w:val="18"/>
          <w:lang w:val="it-IT"/>
        </w:rPr>
        <w:t>Program da Microsoft, le società potranno consentire ai loro dipendenti di installare il software corrispondente per Home Use Program, acquistato dalle società dei rispettivi contratti Volume License, sui computer e i dispositivi portatili dei dipendenti presso la sede delle società. Qualora una nuova versione sia rilasciata durante il</w:t>
      </w:r>
      <w:r w:rsidR="00475774" w:rsidRPr="00451078">
        <w:rPr>
          <w:rFonts w:ascii="Tahoma" w:hAnsi="Tahoma" w:cs="Tahoma"/>
          <w:color w:val="000000"/>
          <w:sz w:val="18"/>
          <w:szCs w:val="18"/>
          <w:lang w:val="it-IT"/>
        </w:rPr>
        <w:t> </w:t>
      </w:r>
      <w:r w:rsidRPr="00451078">
        <w:rPr>
          <w:rFonts w:ascii="Tahoma" w:hAnsi="Tahoma" w:cs="Tahoma"/>
          <w:color w:val="000000"/>
          <w:sz w:val="18"/>
          <w:szCs w:val="18"/>
          <w:lang w:val="it-IT"/>
        </w:rPr>
        <w:t>periodo di utilizzo qualificato, gli utenti principali possono acquistare la versione più recente in sostituzione della versione attualmente installata.</w:t>
      </w:r>
      <w:r w:rsidR="00082E1C" w:rsidRPr="00451078">
        <w:rPr>
          <w:rFonts w:ascii="Tahoma" w:hAnsi="Tahoma" w:cs="Tahoma"/>
          <w:color w:val="000000"/>
          <w:sz w:val="18"/>
          <w:szCs w:val="18"/>
          <w:lang w:val="it-IT"/>
        </w:rPr>
        <w:t xml:space="preserve"> </w:t>
      </w:r>
      <w:r w:rsidRPr="00451078">
        <w:rPr>
          <w:rFonts w:ascii="Tahoma" w:hAnsi="Tahoma" w:cs="Tahoma"/>
          <w:color w:val="000000"/>
          <w:sz w:val="18"/>
          <w:szCs w:val="18"/>
          <w:lang w:val="it-IT"/>
        </w:rPr>
        <w:t>Fare riferimento alla tabella o alle singole sezioni sui prodotti riportate di seguito per conoscere le applicazioni desktop che qualificano le società per la partecipazione al programma Home Use Program.</w:t>
      </w:r>
      <w:r w:rsidR="00082E1C" w:rsidRPr="00451078">
        <w:rPr>
          <w:rFonts w:ascii="Tahoma" w:hAnsi="Tahoma" w:cs="Tahoma"/>
          <w:color w:val="000000"/>
          <w:sz w:val="18"/>
          <w:szCs w:val="18"/>
          <w:lang w:val="it-IT"/>
        </w:rPr>
        <w:t xml:space="preserve"> </w:t>
      </w:r>
      <w:r w:rsidRPr="00451078">
        <w:rPr>
          <w:rFonts w:ascii="Tahoma" w:hAnsi="Tahoma" w:cs="Tahoma"/>
          <w:color w:val="000000"/>
          <w:sz w:val="18"/>
          <w:szCs w:val="18"/>
          <w:lang w:val="it-IT"/>
        </w:rPr>
        <w:t>Le applicazioni desktop disponibili nel programma Home Use Program sono indicate anche nella tabella che segue*.</w:t>
      </w:r>
    </w:p>
    <w:p w:rsidR="00023FE7" w:rsidRPr="00451078" w:rsidRDefault="00023FE7" w:rsidP="002D25C8">
      <w:pPr>
        <w:pStyle w:val="AppendixBodyText"/>
        <w:spacing w:after="0"/>
        <w:rPr>
          <w:lang w:val="it-IT"/>
        </w:rPr>
      </w:pPr>
    </w:p>
    <w:p w:rsidR="00023FE7" w:rsidRPr="00451078" w:rsidRDefault="00023FE7" w:rsidP="002D25C8">
      <w:pPr>
        <w:pStyle w:val="AppendixFlushBulletedList"/>
        <w:tabs>
          <w:tab w:val="clear" w:pos="360"/>
        </w:tabs>
        <w:ind w:left="0" w:firstLine="0"/>
        <w:rPr>
          <w:lang w:val="it-IT"/>
        </w:rPr>
      </w:pPr>
      <w:r w:rsidRPr="00451078">
        <w:rPr>
          <w:rFonts w:ascii="Tahoma" w:hAnsi="Tahoma" w:cs="Tahoma"/>
          <w:sz w:val="18"/>
          <w:szCs w:val="18"/>
          <w:lang w:val="it-IT"/>
        </w:rPr>
        <w:t>L</w:t>
      </w:r>
      <w:r w:rsidR="004525CA">
        <w:rPr>
          <w:rFonts w:ascii="Tahoma" w:hAnsi="Tahoma" w:cs="Tahoma"/>
          <w:sz w:val="18"/>
          <w:szCs w:val="18"/>
          <w:lang w:val="it-IT"/>
        </w:rPr>
        <w:t>’</w:t>
      </w:r>
      <w:r w:rsidRPr="00451078">
        <w:rPr>
          <w:rFonts w:ascii="Tahoma" w:hAnsi="Tahoma" w:cs="Tahoma"/>
          <w:sz w:val="18"/>
          <w:szCs w:val="18"/>
          <w:lang w:val="it-IT"/>
        </w:rPr>
        <w:t>idoneità delle società a partecipare al programma Home Use Program termina alla scadenza o alla risoluzione della</w:t>
      </w:r>
      <w:r w:rsidR="00475774" w:rsidRPr="00451078">
        <w:rPr>
          <w:rFonts w:ascii="Tahoma" w:hAnsi="Tahoma" w:cs="Tahoma"/>
          <w:sz w:val="18"/>
          <w:szCs w:val="18"/>
          <w:lang w:val="it-IT"/>
        </w:rPr>
        <w:t> </w:t>
      </w:r>
      <w:r w:rsidRPr="00451078">
        <w:rPr>
          <w:rFonts w:ascii="Tahoma" w:hAnsi="Tahoma" w:cs="Tahoma"/>
          <w:sz w:val="18"/>
          <w:szCs w:val="18"/>
          <w:lang w:val="it-IT"/>
        </w:rPr>
        <w:t>copertura Software Assurance relativa alle applicazioni desktop qualificanti.</w:t>
      </w:r>
      <w:r w:rsidR="00082E1C" w:rsidRPr="00451078">
        <w:rPr>
          <w:rFonts w:ascii="Tahoma" w:hAnsi="Tahoma" w:cs="Tahoma"/>
          <w:sz w:val="18"/>
          <w:szCs w:val="18"/>
          <w:lang w:val="it-IT"/>
        </w:rPr>
        <w:t xml:space="preserve"> </w:t>
      </w:r>
      <w:r w:rsidRPr="00451078">
        <w:rPr>
          <w:rFonts w:ascii="Tahoma" w:hAnsi="Tahoma" w:cs="Tahoma"/>
          <w:sz w:val="18"/>
          <w:szCs w:val="18"/>
          <w:lang w:val="it-IT"/>
        </w:rPr>
        <w:t>Microsoft potrà interrompere la partecipazione di una società al programma Home Use Program, immediatamente e senza alcuna comunicazione, in</w:t>
      </w:r>
      <w:r w:rsidR="00475774" w:rsidRPr="00451078">
        <w:rPr>
          <w:rFonts w:ascii="Tahoma" w:hAnsi="Tahoma" w:cs="Tahoma"/>
          <w:sz w:val="18"/>
          <w:szCs w:val="18"/>
          <w:lang w:val="it-IT"/>
        </w:rPr>
        <w:t> </w:t>
      </w:r>
      <w:r w:rsidRPr="00451078">
        <w:rPr>
          <w:rFonts w:ascii="Tahoma" w:hAnsi="Tahoma" w:cs="Tahoma"/>
          <w:sz w:val="18"/>
          <w:szCs w:val="18"/>
          <w:lang w:val="it-IT"/>
        </w:rPr>
        <w:t xml:space="preserve">caso di utilizzo abusivo del codice del programma della società per accedere in modo non autorizzato al sito Web del programma Home Use Program o per entrare in possesso di licenze non concesse tramite il sito del programma. </w:t>
      </w:r>
    </w:p>
    <w:p w:rsidR="00023FE7" w:rsidRPr="00451078" w:rsidRDefault="00023FE7" w:rsidP="002D25C8">
      <w:pPr>
        <w:pStyle w:val="AppendixFlushBulletedList"/>
        <w:tabs>
          <w:tab w:val="clear" w:pos="360"/>
        </w:tabs>
        <w:ind w:left="0" w:firstLine="0"/>
        <w:rPr>
          <w:lang w:val="it-IT"/>
        </w:rPr>
      </w:pPr>
    </w:p>
    <w:p w:rsidR="00023FE7" w:rsidRPr="00451078" w:rsidRDefault="00023FE7" w:rsidP="002D25C8">
      <w:pPr>
        <w:pStyle w:val="AppendixFlushBulletedList"/>
        <w:tabs>
          <w:tab w:val="clear" w:pos="360"/>
        </w:tabs>
        <w:ind w:left="0" w:firstLine="0"/>
        <w:rPr>
          <w:lang w:val="it-IT"/>
        </w:rPr>
      </w:pPr>
      <w:r w:rsidRPr="00451078">
        <w:rPr>
          <w:rFonts w:ascii="Tahoma" w:hAnsi="Tahoma" w:cs="Tahoma"/>
          <w:sz w:val="18"/>
          <w:szCs w:val="18"/>
          <w:lang w:val="it-IT"/>
        </w:rPr>
        <w:t>Il numero di licenze Home Use Program acquistabili per qualsiasi applicazione desktop è limitato al numero di licenze per le corrispondenti applicazioni desktop qualificanti per le quali la società acquista Software Assurance.</w:t>
      </w:r>
      <w:r w:rsidR="00082E1C" w:rsidRPr="00451078">
        <w:rPr>
          <w:rFonts w:ascii="Tahoma" w:hAnsi="Tahoma" w:cs="Tahoma"/>
          <w:sz w:val="18"/>
          <w:szCs w:val="18"/>
          <w:lang w:val="it-IT"/>
        </w:rPr>
        <w:t xml:space="preserve"> </w:t>
      </w:r>
      <w:r w:rsidRPr="00451078">
        <w:rPr>
          <w:rFonts w:ascii="Tahoma" w:hAnsi="Tahoma" w:cs="Tahoma"/>
          <w:sz w:val="18"/>
          <w:szCs w:val="18"/>
          <w:lang w:val="it-IT"/>
        </w:rPr>
        <w:t>Ai sensi del</w:t>
      </w:r>
      <w:r w:rsidR="00475774" w:rsidRPr="00451078">
        <w:rPr>
          <w:rFonts w:ascii="Tahoma" w:hAnsi="Tahoma" w:cs="Tahoma"/>
          <w:sz w:val="18"/>
          <w:szCs w:val="18"/>
          <w:lang w:val="it-IT"/>
        </w:rPr>
        <w:t> </w:t>
      </w:r>
      <w:r w:rsidRPr="00451078">
        <w:rPr>
          <w:rFonts w:ascii="Tahoma" w:hAnsi="Tahoma" w:cs="Tahoma"/>
          <w:sz w:val="18"/>
          <w:szCs w:val="18"/>
          <w:lang w:val="it-IT"/>
        </w:rPr>
        <w:t>programma Home Use Program i diritti sull</w:t>
      </w:r>
      <w:r w:rsidR="004525CA">
        <w:rPr>
          <w:rFonts w:ascii="Tahoma" w:hAnsi="Tahoma" w:cs="Tahoma"/>
          <w:sz w:val="18"/>
          <w:szCs w:val="18"/>
          <w:lang w:val="it-IT"/>
        </w:rPr>
        <w:t>’</w:t>
      </w:r>
      <w:r w:rsidRPr="00451078">
        <w:rPr>
          <w:rFonts w:ascii="Tahoma" w:hAnsi="Tahoma" w:cs="Tahoma"/>
          <w:sz w:val="18"/>
          <w:szCs w:val="18"/>
          <w:lang w:val="it-IT"/>
        </w:rPr>
        <w:t>utilizzo concessi a una società sono collegati alla continuazione del</w:t>
      </w:r>
      <w:r w:rsidR="00475774" w:rsidRPr="00451078">
        <w:rPr>
          <w:rFonts w:ascii="Tahoma" w:hAnsi="Tahoma" w:cs="Tahoma"/>
          <w:sz w:val="18"/>
          <w:szCs w:val="18"/>
          <w:lang w:val="it-IT"/>
        </w:rPr>
        <w:t> </w:t>
      </w:r>
      <w:r w:rsidRPr="00451078">
        <w:rPr>
          <w:rFonts w:ascii="Tahoma" w:hAnsi="Tahoma" w:cs="Tahoma"/>
          <w:sz w:val="18"/>
          <w:szCs w:val="18"/>
          <w:lang w:val="it-IT"/>
        </w:rPr>
        <w:t>rapporto di lavoro con la Società e terminano con la risoluzione del rapporto di lavoro, con la risoluzione o la scadenza della copertura Software Assurance per la copia dell</w:t>
      </w:r>
      <w:r w:rsidR="004525CA">
        <w:rPr>
          <w:rFonts w:ascii="Tahoma" w:hAnsi="Tahoma" w:cs="Tahoma"/>
          <w:sz w:val="18"/>
          <w:szCs w:val="18"/>
          <w:lang w:val="it-IT"/>
        </w:rPr>
        <w:t>’</w:t>
      </w:r>
      <w:r w:rsidRPr="00451078">
        <w:rPr>
          <w:rFonts w:ascii="Tahoma" w:hAnsi="Tahoma" w:cs="Tahoma"/>
          <w:sz w:val="18"/>
          <w:szCs w:val="18"/>
          <w:lang w:val="it-IT"/>
        </w:rPr>
        <w:t>applicazione desktop corrispondente che il dipendente utilizza in ufficio, quando il dipendente non usa più la copia con licenza del software o in occasione dell</w:t>
      </w:r>
      <w:r w:rsidR="004525CA">
        <w:rPr>
          <w:rFonts w:ascii="Tahoma" w:hAnsi="Tahoma" w:cs="Tahoma"/>
          <w:sz w:val="18"/>
          <w:szCs w:val="18"/>
          <w:lang w:val="it-IT"/>
        </w:rPr>
        <w:t>’</w:t>
      </w:r>
      <w:r w:rsidRPr="00451078">
        <w:rPr>
          <w:rFonts w:ascii="Tahoma" w:hAnsi="Tahoma" w:cs="Tahoma"/>
          <w:sz w:val="18"/>
          <w:szCs w:val="18"/>
          <w:lang w:val="it-IT"/>
        </w:rPr>
        <w:t>installazione e</w:t>
      </w:r>
      <w:r w:rsidR="00475774" w:rsidRPr="00451078">
        <w:rPr>
          <w:rFonts w:ascii="Tahoma" w:hAnsi="Tahoma" w:cs="Tahoma"/>
          <w:sz w:val="18"/>
          <w:szCs w:val="18"/>
          <w:lang w:val="it-IT"/>
        </w:rPr>
        <w:t> </w:t>
      </w:r>
      <w:r w:rsidRPr="00451078">
        <w:rPr>
          <w:rFonts w:ascii="Tahoma" w:hAnsi="Tahoma" w:cs="Tahoma"/>
          <w:sz w:val="18"/>
          <w:szCs w:val="18"/>
          <w:lang w:val="it-IT"/>
        </w:rPr>
        <w:t>dell</w:t>
      </w:r>
      <w:r w:rsidR="004525CA">
        <w:rPr>
          <w:rFonts w:ascii="Tahoma" w:hAnsi="Tahoma" w:cs="Tahoma"/>
          <w:sz w:val="18"/>
          <w:szCs w:val="18"/>
          <w:lang w:val="it-IT"/>
        </w:rPr>
        <w:t>’</w:t>
      </w:r>
      <w:r w:rsidRPr="00451078">
        <w:rPr>
          <w:rFonts w:ascii="Tahoma" w:hAnsi="Tahoma" w:cs="Tahoma"/>
          <w:sz w:val="18"/>
          <w:szCs w:val="18"/>
          <w:lang w:val="it-IT"/>
        </w:rPr>
        <w:t>impiego da parte del dipendente di una versione precedente o successiva dell</w:t>
      </w:r>
      <w:r w:rsidR="004525CA">
        <w:rPr>
          <w:rFonts w:ascii="Tahoma" w:hAnsi="Tahoma" w:cs="Tahoma"/>
          <w:sz w:val="18"/>
          <w:szCs w:val="18"/>
          <w:lang w:val="it-IT"/>
        </w:rPr>
        <w:t>’</w:t>
      </w:r>
      <w:r w:rsidRPr="00451078">
        <w:rPr>
          <w:rFonts w:ascii="Tahoma" w:hAnsi="Tahoma" w:cs="Tahoma"/>
          <w:sz w:val="18"/>
          <w:szCs w:val="18"/>
          <w:lang w:val="it-IT"/>
        </w:rPr>
        <w:t>applicazione desktop in conformità alla licenza Home Use Program.</w:t>
      </w:r>
    </w:p>
    <w:p w:rsidR="00023FE7" w:rsidRPr="00451078" w:rsidRDefault="00023FE7" w:rsidP="002D25C8">
      <w:pPr>
        <w:pStyle w:val="AppendixFlushBulletedList"/>
        <w:tabs>
          <w:tab w:val="clear" w:pos="360"/>
        </w:tabs>
        <w:ind w:left="0" w:firstLine="0"/>
        <w:rPr>
          <w:lang w:val="it-IT"/>
        </w:rPr>
      </w:pPr>
    </w:p>
    <w:p w:rsidR="00023FE7" w:rsidRPr="00451078" w:rsidRDefault="00023FE7" w:rsidP="002D25C8">
      <w:pPr>
        <w:pStyle w:val="AppendixFlushBulletedList"/>
        <w:tabs>
          <w:tab w:val="clear" w:pos="360"/>
        </w:tabs>
        <w:ind w:left="0" w:firstLine="0"/>
        <w:rPr>
          <w:lang w:val="it-IT"/>
        </w:rPr>
      </w:pPr>
      <w:r w:rsidRPr="00451078">
        <w:rPr>
          <w:rFonts w:ascii="Tahoma" w:hAnsi="Tahoma" w:cs="Tahoma"/>
          <w:sz w:val="18"/>
          <w:szCs w:val="18"/>
          <w:lang w:val="it-IT"/>
        </w:rPr>
        <w:t>Le società non sono responsabili della conformità dei singoli dipendenti alle condizioni di licenza con l</w:t>
      </w:r>
      <w:r w:rsidR="004525CA">
        <w:rPr>
          <w:rFonts w:ascii="Tahoma" w:hAnsi="Tahoma" w:cs="Tahoma"/>
          <w:sz w:val="18"/>
          <w:szCs w:val="18"/>
          <w:lang w:val="it-IT"/>
        </w:rPr>
        <w:t>’</w:t>
      </w:r>
      <w:r w:rsidRPr="00451078">
        <w:rPr>
          <w:rFonts w:ascii="Tahoma" w:hAnsi="Tahoma" w:cs="Tahoma"/>
          <w:sz w:val="18"/>
          <w:szCs w:val="18"/>
          <w:lang w:val="it-IT"/>
        </w:rPr>
        <w:t>utente finale per il programma Home Use Program.</w:t>
      </w:r>
      <w:r w:rsidR="00082E1C" w:rsidRPr="00451078">
        <w:rPr>
          <w:rFonts w:ascii="Tahoma" w:hAnsi="Tahoma" w:cs="Tahoma"/>
          <w:sz w:val="18"/>
          <w:szCs w:val="18"/>
          <w:lang w:val="it-IT"/>
        </w:rPr>
        <w:t xml:space="preserve"> </w:t>
      </w:r>
      <w:r w:rsidRPr="00451078">
        <w:rPr>
          <w:rFonts w:ascii="Tahoma" w:hAnsi="Tahoma" w:cs="Tahoma"/>
          <w:sz w:val="18"/>
          <w:szCs w:val="18"/>
          <w:lang w:val="it-IT"/>
        </w:rPr>
        <w:t>Tali condizioni vengono stipulate tra Microsoft e il dipendente della società e</w:t>
      </w:r>
      <w:r w:rsidR="00475774" w:rsidRPr="00451078">
        <w:rPr>
          <w:rFonts w:ascii="Tahoma" w:hAnsi="Tahoma" w:cs="Tahoma"/>
          <w:sz w:val="18"/>
          <w:szCs w:val="18"/>
          <w:lang w:val="it-IT"/>
        </w:rPr>
        <w:t> </w:t>
      </w:r>
      <w:r w:rsidRPr="00451078">
        <w:rPr>
          <w:rFonts w:ascii="Tahoma" w:hAnsi="Tahoma" w:cs="Tahoma"/>
          <w:sz w:val="18"/>
          <w:szCs w:val="18"/>
          <w:lang w:val="it-IT"/>
        </w:rPr>
        <w:t xml:space="preserve">sono diverse dai diritti offerti ai sensi dei contratti Volume Licensing delle società, ad esempio il dipendente </w:t>
      </w:r>
      <w:r w:rsidRPr="00451078">
        <w:rPr>
          <w:rFonts w:ascii="Tahoma" w:hAnsi="Tahoma" w:cs="Tahoma"/>
          <w:sz w:val="18"/>
          <w:szCs w:val="18"/>
          <w:lang w:val="it-IT"/>
        </w:rPr>
        <w:lastRenderedPageBreak/>
        <w:t>potrà</w:t>
      </w:r>
      <w:r w:rsidR="00475774" w:rsidRPr="00451078">
        <w:rPr>
          <w:rFonts w:ascii="Tahoma" w:hAnsi="Tahoma" w:cs="Tahoma"/>
          <w:sz w:val="18"/>
          <w:szCs w:val="18"/>
          <w:lang w:val="it-IT"/>
        </w:rPr>
        <w:t> </w:t>
      </w:r>
      <w:r w:rsidRPr="00451078">
        <w:rPr>
          <w:rFonts w:ascii="Tahoma" w:hAnsi="Tahoma" w:cs="Tahoma"/>
          <w:sz w:val="18"/>
          <w:szCs w:val="18"/>
          <w:lang w:val="it-IT"/>
        </w:rPr>
        <w:t>installare solo una copia del software HUP. Microsoft invita le società a limitare l</w:t>
      </w:r>
      <w:r w:rsidR="004525CA">
        <w:rPr>
          <w:rFonts w:ascii="Tahoma" w:hAnsi="Tahoma" w:cs="Tahoma"/>
          <w:sz w:val="18"/>
          <w:szCs w:val="18"/>
          <w:lang w:val="it-IT"/>
        </w:rPr>
        <w:t>’</w:t>
      </w:r>
      <w:r w:rsidRPr="00451078">
        <w:rPr>
          <w:rFonts w:ascii="Tahoma" w:hAnsi="Tahoma" w:cs="Tahoma"/>
          <w:sz w:val="18"/>
          <w:szCs w:val="18"/>
          <w:lang w:val="it-IT"/>
        </w:rPr>
        <w:t>accesso al programma Home</w:t>
      </w:r>
      <w:r w:rsidR="00475774" w:rsidRPr="00451078">
        <w:rPr>
          <w:rFonts w:ascii="Tahoma" w:hAnsi="Tahoma" w:cs="Tahoma"/>
          <w:sz w:val="18"/>
          <w:szCs w:val="18"/>
          <w:lang w:val="it-IT"/>
        </w:rPr>
        <w:t> </w:t>
      </w:r>
      <w:r w:rsidRPr="00451078">
        <w:rPr>
          <w:rFonts w:ascii="Tahoma" w:hAnsi="Tahoma" w:cs="Tahoma"/>
          <w:sz w:val="18"/>
          <w:szCs w:val="18"/>
          <w:lang w:val="it-IT"/>
        </w:rPr>
        <w:t>Use Program ai dipendenti e a informare tali dipendenti che dovranno interrompere l</w:t>
      </w:r>
      <w:r w:rsidR="004525CA">
        <w:rPr>
          <w:rFonts w:ascii="Tahoma" w:hAnsi="Tahoma" w:cs="Tahoma"/>
          <w:sz w:val="18"/>
          <w:szCs w:val="18"/>
          <w:lang w:val="it-IT"/>
        </w:rPr>
        <w:t>’</w:t>
      </w:r>
      <w:r w:rsidRPr="00451078">
        <w:rPr>
          <w:rFonts w:ascii="Tahoma" w:hAnsi="Tahoma" w:cs="Tahoma"/>
          <w:sz w:val="18"/>
          <w:szCs w:val="18"/>
          <w:lang w:val="it-IT"/>
        </w:rPr>
        <w:t>utilizzo del software Home Use Program alla scadenza della copertura Software Assurance o alla risoluzione del rapporto di lavoro.</w:t>
      </w:r>
    </w:p>
    <w:p w:rsidR="00023FE7" w:rsidRPr="00451078" w:rsidRDefault="00023FE7" w:rsidP="002D25C8">
      <w:pPr>
        <w:pStyle w:val="AppendixFlushBulletedList"/>
        <w:tabs>
          <w:tab w:val="clear" w:pos="360"/>
        </w:tabs>
        <w:ind w:left="0" w:firstLine="0"/>
        <w:rPr>
          <w:lang w:val="it-IT"/>
        </w:rPr>
      </w:pPr>
    </w:p>
    <w:p w:rsidR="00023FE7" w:rsidRPr="00451078" w:rsidRDefault="00023FE7" w:rsidP="002D25C8">
      <w:pPr>
        <w:rPr>
          <w:lang w:val="it-IT"/>
        </w:rPr>
      </w:pPr>
      <w:r w:rsidRPr="00451078">
        <w:rPr>
          <w:rFonts w:cs="Tahoma"/>
          <w:color w:val="000000"/>
          <w:szCs w:val="18"/>
          <w:lang w:val="it-IT"/>
        </w:rPr>
        <w:t>La partecipazione al programma potrà implicare il pagamento di alcune imposte da parte della società e dei suoi dipendenti.</w:t>
      </w:r>
      <w:r w:rsidR="00082E1C" w:rsidRPr="00451078">
        <w:rPr>
          <w:rFonts w:cs="Tahoma"/>
          <w:color w:val="000000"/>
          <w:szCs w:val="18"/>
          <w:lang w:val="it-IT"/>
        </w:rPr>
        <w:t xml:space="preserve"> </w:t>
      </w:r>
      <w:r w:rsidRPr="00451078">
        <w:rPr>
          <w:rFonts w:cs="Tahoma"/>
          <w:color w:val="000000"/>
          <w:szCs w:val="18"/>
          <w:lang w:val="it-IT"/>
        </w:rPr>
        <w:t xml:space="preserve">La società potrà desiderare di rivolgersi a un consulente fiscale prima di utilizzare tale vantaggio. Microsoft non si assume alcuna responsabilità riguardo alla conformità alle obbligazioni che la società o i suoi dipendenti potranno avere circa la relazione rapporto di lavoro-vantaggio, le imposte o le segnalazioni. </w:t>
      </w:r>
      <w:r w:rsidRPr="00451078">
        <w:rPr>
          <w:lang w:val="it-IT"/>
        </w:rPr>
        <w:t>Ulteriori</w:t>
      </w:r>
      <w:r w:rsidR="00475774" w:rsidRPr="00451078">
        <w:rPr>
          <w:lang w:val="it-IT"/>
        </w:rPr>
        <w:t> </w:t>
      </w:r>
      <w:r w:rsidRPr="00451078">
        <w:rPr>
          <w:lang w:val="it-IT"/>
        </w:rPr>
        <w:t>condizioni che si applicano ai dipendenti che risiedono in Nuova Zelanda sono stabilite di seguito:</w:t>
      </w:r>
    </w:p>
    <w:p w:rsidR="00023FE7" w:rsidRPr="00451078" w:rsidRDefault="00023FE7" w:rsidP="00F93617">
      <w:pPr>
        <w:rPr>
          <w:lang w:val="it-IT"/>
        </w:rPr>
      </w:pPr>
    </w:p>
    <w:p w:rsidR="00023FE7" w:rsidRPr="00451078" w:rsidRDefault="00023FE7" w:rsidP="003410C7">
      <w:pPr>
        <w:numPr>
          <w:ilvl w:val="0"/>
          <w:numId w:val="12"/>
        </w:numPr>
        <w:tabs>
          <w:tab w:val="left" w:pos="1440"/>
        </w:tabs>
        <w:spacing w:afterLines="60" w:after="144"/>
        <w:ind w:left="1440"/>
        <w:rPr>
          <w:lang w:val="it-IT"/>
        </w:rPr>
      </w:pPr>
      <w:r w:rsidRPr="00451078">
        <w:rPr>
          <w:lang w:val="it-IT"/>
        </w:rPr>
        <w:t>Le società non dovranno richiedere alcun pagamento o compenso ai dipendenti in relazione all</w:t>
      </w:r>
      <w:r w:rsidR="004525CA">
        <w:rPr>
          <w:lang w:val="it-IT"/>
        </w:rPr>
        <w:t>’</w:t>
      </w:r>
      <w:r w:rsidRPr="00451078">
        <w:rPr>
          <w:lang w:val="it-IT"/>
        </w:rPr>
        <w:t>HUP né dovranno svolgere o omettere di svolgere azioni che avrebbero come conseguenza l</w:t>
      </w:r>
      <w:r w:rsidR="004525CA">
        <w:rPr>
          <w:lang w:val="it-IT"/>
        </w:rPr>
        <w:t>’</w:t>
      </w:r>
      <w:r w:rsidRPr="00451078">
        <w:rPr>
          <w:lang w:val="it-IT"/>
        </w:rPr>
        <w:t xml:space="preserve">aumento del costo totale dei vantaggi HUP per qualsiasi dipendente residente in Nuova Zelanda al di là di qualsiasi importo addebitato da Microsoft. </w:t>
      </w:r>
    </w:p>
    <w:p w:rsidR="00023FE7" w:rsidRPr="00451078" w:rsidRDefault="00023FE7" w:rsidP="00F93617">
      <w:pPr>
        <w:numPr>
          <w:ilvl w:val="0"/>
          <w:numId w:val="12"/>
        </w:numPr>
        <w:tabs>
          <w:tab w:val="left" w:pos="1440"/>
        </w:tabs>
        <w:ind w:left="1440"/>
        <w:rPr>
          <w:lang w:val="it-IT"/>
        </w:rPr>
      </w:pPr>
      <w:r w:rsidRPr="00451078">
        <w:rPr>
          <w:lang w:val="it-IT"/>
        </w:rPr>
        <w:t xml:space="preserve">Le società dovranno indennizzare e garantire che Microsoft e le relative consociate siano indennizzate e sollevate da qualsiasi costo, spesa, perdita o danno riportato da Microsoft o dalle sue consociate derivante dalla mancata conformità alle obbligazioni previste nella presente sezione. </w:t>
      </w:r>
    </w:p>
    <w:p w:rsidR="00023FE7" w:rsidRPr="00451078" w:rsidRDefault="00023FE7" w:rsidP="00F93617">
      <w:pPr>
        <w:rPr>
          <w:lang w:val="it-IT"/>
        </w:rPr>
      </w:pPr>
    </w:p>
    <w:p w:rsidR="00023FE7" w:rsidRPr="00451078" w:rsidRDefault="00023FE7" w:rsidP="002D25C8">
      <w:pPr>
        <w:rPr>
          <w:lang w:val="it-IT"/>
        </w:rPr>
      </w:pPr>
      <w:r w:rsidRPr="00451078">
        <w:rPr>
          <w:rFonts w:cs="Tahoma"/>
          <w:szCs w:val="18"/>
          <w:lang w:val="it-IT"/>
        </w:rPr>
        <w:t>L</w:t>
      </w:r>
      <w:r w:rsidR="004525CA">
        <w:rPr>
          <w:rFonts w:cs="Tahoma"/>
          <w:szCs w:val="18"/>
          <w:lang w:val="it-IT"/>
        </w:rPr>
        <w:t>’</w:t>
      </w:r>
      <w:r w:rsidRPr="00451078">
        <w:rPr>
          <w:rFonts w:cs="Tahoma"/>
          <w:szCs w:val="18"/>
          <w:lang w:val="it-IT"/>
        </w:rPr>
        <w:t>elenco di applicazioni desktop qualificanti è soggetto a modifica in qualsiasi momento e senza alcuna comunicazione e varia in base alla regione o all</w:t>
      </w:r>
      <w:r w:rsidR="004525CA">
        <w:rPr>
          <w:rFonts w:cs="Tahoma"/>
          <w:szCs w:val="18"/>
          <w:lang w:val="it-IT"/>
        </w:rPr>
        <w:t>’</w:t>
      </w:r>
      <w:r w:rsidRPr="00451078">
        <w:rPr>
          <w:rFonts w:cs="Tahoma"/>
          <w:szCs w:val="18"/>
          <w:lang w:val="it-IT"/>
        </w:rPr>
        <w:t>offerta. La disponibilità del software Home Use Program è soggetta a modifica in qualsiasi momento e senza alcuna comunicazione e varia in base alla regione, all</w:t>
      </w:r>
      <w:r w:rsidR="004525CA">
        <w:rPr>
          <w:rFonts w:cs="Tahoma"/>
          <w:szCs w:val="18"/>
          <w:lang w:val="it-IT"/>
        </w:rPr>
        <w:t>’</w:t>
      </w:r>
      <w:r w:rsidRPr="00451078">
        <w:rPr>
          <w:rFonts w:cs="Tahoma"/>
          <w:szCs w:val="18"/>
          <w:lang w:val="it-IT"/>
        </w:rPr>
        <w:t>offerta, all</w:t>
      </w:r>
      <w:r w:rsidR="004525CA">
        <w:rPr>
          <w:rFonts w:cs="Tahoma"/>
          <w:szCs w:val="18"/>
          <w:lang w:val="it-IT"/>
        </w:rPr>
        <w:t>’</w:t>
      </w:r>
      <w:r w:rsidRPr="00451078">
        <w:rPr>
          <w:rFonts w:cs="Tahoma"/>
          <w:szCs w:val="18"/>
          <w:lang w:val="it-IT"/>
        </w:rPr>
        <w:t>applicazione, alla versione e alla lingua.</w:t>
      </w:r>
    </w:p>
    <w:p w:rsidR="00023FE7" w:rsidRPr="00451078" w:rsidRDefault="00023FE7" w:rsidP="002D25C8">
      <w:pPr>
        <w:rPr>
          <w:lang w:val="it-IT"/>
        </w:rPr>
      </w:pPr>
    </w:p>
    <w:p w:rsidR="00023FE7" w:rsidRPr="00451078" w:rsidRDefault="00502827" w:rsidP="00EC05F0">
      <w:pPr>
        <w:keepNext/>
        <w:keepLines/>
        <w:rPr>
          <w:lang w:val="it-IT"/>
        </w:rPr>
      </w:pPr>
      <w:r w:rsidRPr="00451078">
        <w:rPr>
          <w:rFonts w:cs="Tahoma"/>
          <w:szCs w:val="18"/>
          <w:lang w:val="it-IT"/>
        </w:rPr>
        <w:t>In Microsoft Office Professional Plus HUP sono inclusi i seguenti programmi Microsoft Office:</w:t>
      </w:r>
    </w:p>
    <w:p w:rsidR="00023FE7" w:rsidRPr="00451078" w:rsidRDefault="00023FE7" w:rsidP="00EC05F0">
      <w:pPr>
        <w:keepNext/>
        <w:keepLines/>
        <w:rPr>
          <w:lang w:val="it-IT"/>
        </w:rPr>
      </w:pPr>
    </w:p>
    <w:tbl>
      <w:tblPr>
        <w:tblW w:w="0" w:type="auto"/>
        <w:tblInd w:w="711" w:type="dxa"/>
        <w:tblBorders>
          <w:top w:val="single" w:sz="8" w:space="0" w:color="auto"/>
          <w:left w:val="single" w:sz="8" w:space="0" w:color="auto"/>
          <w:bottom w:val="single" w:sz="8" w:space="0" w:color="auto"/>
          <w:right w:val="single" w:sz="8" w:space="0" w:color="auto"/>
          <w:insideH w:val="single" w:sz="8" w:space="0" w:color="auto"/>
          <w:insideV w:val="single" w:sz="8" w:space="0" w:color="auto"/>
        </w:tblBorders>
        <w:tblCellMar>
          <w:left w:w="0" w:type="dxa"/>
          <w:right w:w="0" w:type="dxa"/>
        </w:tblCellMar>
        <w:tblLook w:val="04A0" w:firstRow="1" w:lastRow="0" w:firstColumn="1" w:lastColumn="0" w:noHBand="0" w:noVBand="1"/>
      </w:tblPr>
      <w:tblGrid>
        <w:gridCol w:w="4437"/>
      </w:tblGrid>
      <w:tr w:rsidR="00023FE7" w:rsidRPr="003410C7" w:rsidTr="00BF1889">
        <w:trPr>
          <w:trHeight w:val="60"/>
        </w:trPr>
        <w:tc>
          <w:tcPr>
            <w:tcW w:w="4437" w:type="dxa"/>
            <w:shd w:val="clear" w:color="auto" w:fill="FABF8F"/>
            <w:tcMar>
              <w:top w:w="0" w:type="dxa"/>
              <w:left w:w="108" w:type="dxa"/>
              <w:bottom w:w="0" w:type="dxa"/>
              <w:right w:w="108" w:type="dxa"/>
            </w:tcMar>
            <w:vAlign w:val="center"/>
          </w:tcPr>
          <w:p w:rsidR="00CA6072" w:rsidRPr="003410C7" w:rsidRDefault="00CA6072" w:rsidP="00EC05F0">
            <w:pPr>
              <w:pStyle w:val="appendixtableheadings0"/>
              <w:keepNext/>
              <w:keepLines/>
            </w:pPr>
            <w:r w:rsidRPr="003410C7">
              <w:rPr>
                <w:rFonts w:ascii="Tahoma" w:hAnsi="Tahoma" w:cs="Tahoma"/>
                <w:color w:val="000000"/>
                <w:sz w:val="20"/>
                <w:szCs w:val="20"/>
              </w:rPr>
              <w:t>Componenti Office Professional Plus per</w:t>
            </w:r>
            <w:r w:rsidR="00E44188">
              <w:rPr>
                <w:rFonts w:ascii="Tahoma" w:hAnsi="Tahoma" w:cs="Tahoma"/>
                <w:color w:val="000000"/>
                <w:sz w:val="20"/>
                <w:szCs w:val="20"/>
              </w:rPr>
              <w:t> </w:t>
            </w:r>
            <w:r w:rsidRPr="003410C7">
              <w:rPr>
                <w:rFonts w:ascii="Tahoma" w:hAnsi="Tahoma" w:cs="Tahoma"/>
                <w:color w:val="000000"/>
                <w:sz w:val="20"/>
                <w:szCs w:val="20"/>
              </w:rPr>
              <w:t xml:space="preserve">HUP </w:t>
            </w:r>
          </w:p>
          <w:p w:rsidR="00023FE7" w:rsidRPr="003410C7" w:rsidRDefault="00023FE7" w:rsidP="00EC05F0">
            <w:pPr>
              <w:pStyle w:val="appendixtableheadings0"/>
              <w:keepNext/>
              <w:keepLines/>
              <w:rPr>
                <w:rFonts w:ascii="Tahoma" w:hAnsi="Tahoma" w:cs="Tahoma"/>
                <w:color w:val="000000"/>
                <w:sz w:val="20"/>
                <w:szCs w:val="20"/>
              </w:rPr>
            </w:pPr>
          </w:p>
        </w:tc>
      </w:tr>
      <w:tr w:rsidR="00023FE7" w:rsidRPr="003410C7" w:rsidTr="00BF1889">
        <w:trPr>
          <w:trHeight w:val="438"/>
        </w:trPr>
        <w:tc>
          <w:tcPr>
            <w:tcW w:w="4437" w:type="dxa"/>
            <w:tcMar>
              <w:top w:w="0" w:type="dxa"/>
              <w:left w:w="108" w:type="dxa"/>
              <w:bottom w:w="0" w:type="dxa"/>
              <w:right w:w="108" w:type="dxa"/>
            </w:tcMar>
            <w:vAlign w:val="center"/>
          </w:tcPr>
          <w:p w:rsidR="00CA6072" w:rsidRPr="003410C7" w:rsidRDefault="00CA6072" w:rsidP="00EC05F0">
            <w:pPr>
              <w:pStyle w:val="appendixtabletext0"/>
              <w:keepNext/>
              <w:keepLines/>
            </w:pPr>
            <w:r w:rsidRPr="003410C7">
              <w:rPr>
                <w:rFonts w:ascii="Tahoma" w:hAnsi="Tahoma" w:cs="Tahoma"/>
                <w:color w:val="000000"/>
              </w:rPr>
              <w:t>Word 2013</w:t>
            </w:r>
          </w:p>
          <w:p w:rsidR="00CA6072" w:rsidRPr="003410C7" w:rsidRDefault="00CA6072" w:rsidP="00EC05F0">
            <w:pPr>
              <w:pStyle w:val="appendixtabletext0"/>
              <w:keepNext/>
              <w:keepLines/>
            </w:pPr>
            <w:r w:rsidRPr="003410C7">
              <w:rPr>
                <w:rFonts w:ascii="Tahoma" w:hAnsi="Tahoma" w:cs="Tahoma"/>
                <w:color w:val="000000"/>
              </w:rPr>
              <w:t>Excel</w:t>
            </w:r>
            <w:r w:rsidR="003410C7" w:rsidRPr="003410C7">
              <w:rPr>
                <w:rFonts w:ascii="Tahoma" w:hAnsi="Tahoma" w:cs="Tahoma"/>
                <w:color w:val="000000"/>
                <w:vertAlign w:val="superscript"/>
              </w:rPr>
              <w:t>®</w:t>
            </w:r>
            <w:r w:rsidRPr="003410C7">
              <w:rPr>
                <w:rFonts w:ascii="Tahoma" w:hAnsi="Tahoma" w:cs="Tahoma"/>
                <w:color w:val="000000"/>
              </w:rPr>
              <w:t xml:space="preserve"> 2013</w:t>
            </w:r>
          </w:p>
          <w:p w:rsidR="00CA6072" w:rsidRPr="003410C7" w:rsidRDefault="00CA6072" w:rsidP="00EC05F0">
            <w:pPr>
              <w:pStyle w:val="appendixtabletext0"/>
              <w:keepNext/>
              <w:keepLines/>
            </w:pPr>
            <w:r w:rsidRPr="003410C7">
              <w:rPr>
                <w:rFonts w:ascii="Tahoma" w:hAnsi="Tahoma" w:cs="Tahoma"/>
                <w:color w:val="000000"/>
              </w:rPr>
              <w:t>PowerPoint</w:t>
            </w:r>
            <w:r w:rsidR="003410C7" w:rsidRPr="003410C7">
              <w:rPr>
                <w:rFonts w:ascii="Tahoma" w:hAnsi="Tahoma" w:cs="Tahoma"/>
                <w:color w:val="000000"/>
                <w:vertAlign w:val="superscript"/>
              </w:rPr>
              <w:t>®</w:t>
            </w:r>
            <w:r w:rsidRPr="003410C7">
              <w:rPr>
                <w:rFonts w:ascii="Tahoma" w:hAnsi="Tahoma" w:cs="Tahoma"/>
                <w:color w:val="000000"/>
              </w:rPr>
              <w:t xml:space="preserve"> 2013</w:t>
            </w:r>
          </w:p>
          <w:p w:rsidR="00CA6072" w:rsidRPr="003410C7" w:rsidRDefault="00CA6072" w:rsidP="00EC05F0">
            <w:pPr>
              <w:pStyle w:val="appendixtabletext0"/>
              <w:keepNext/>
              <w:keepLines/>
            </w:pPr>
            <w:r w:rsidRPr="003410C7">
              <w:rPr>
                <w:rFonts w:ascii="Tahoma" w:hAnsi="Tahoma" w:cs="Tahoma"/>
                <w:color w:val="000000"/>
              </w:rPr>
              <w:t>Outlook</w:t>
            </w:r>
            <w:r w:rsidR="003410C7" w:rsidRPr="003410C7">
              <w:rPr>
                <w:rFonts w:ascii="Tahoma" w:hAnsi="Tahoma" w:cs="Tahoma"/>
                <w:color w:val="000000"/>
                <w:vertAlign w:val="superscript"/>
              </w:rPr>
              <w:t>®</w:t>
            </w:r>
            <w:r w:rsidRPr="003410C7">
              <w:rPr>
                <w:rFonts w:ascii="Tahoma" w:hAnsi="Tahoma" w:cs="Tahoma"/>
                <w:color w:val="000000"/>
              </w:rPr>
              <w:t xml:space="preserve"> 2013</w:t>
            </w:r>
          </w:p>
          <w:p w:rsidR="00CA6072" w:rsidRPr="003410C7" w:rsidRDefault="00CA6072" w:rsidP="00EC05F0">
            <w:pPr>
              <w:pStyle w:val="appendixtabletext0"/>
              <w:keepNext/>
              <w:keepLines/>
            </w:pPr>
            <w:r w:rsidRPr="003410C7">
              <w:rPr>
                <w:rFonts w:ascii="Tahoma" w:hAnsi="Tahoma" w:cs="Tahoma"/>
                <w:color w:val="000000"/>
              </w:rPr>
              <w:t>Publisher 2013</w:t>
            </w:r>
          </w:p>
          <w:p w:rsidR="00CA6072" w:rsidRPr="003410C7" w:rsidRDefault="00CA6072" w:rsidP="00EC05F0">
            <w:pPr>
              <w:pStyle w:val="appendixtabletext0"/>
              <w:keepNext/>
              <w:keepLines/>
            </w:pPr>
            <w:r w:rsidRPr="003410C7">
              <w:rPr>
                <w:rFonts w:ascii="Tahoma" w:hAnsi="Tahoma" w:cs="Tahoma"/>
                <w:color w:val="000000"/>
              </w:rPr>
              <w:t>Access</w:t>
            </w:r>
            <w:r w:rsidR="003410C7" w:rsidRPr="003410C7">
              <w:rPr>
                <w:rFonts w:ascii="Tahoma" w:hAnsi="Tahoma" w:cs="Tahoma"/>
                <w:color w:val="000000"/>
                <w:vertAlign w:val="superscript"/>
              </w:rPr>
              <w:t>®</w:t>
            </w:r>
            <w:r w:rsidRPr="003410C7">
              <w:rPr>
                <w:rFonts w:ascii="Tahoma" w:hAnsi="Tahoma" w:cs="Tahoma"/>
                <w:color w:val="000000"/>
              </w:rPr>
              <w:t xml:space="preserve"> 2013</w:t>
            </w:r>
          </w:p>
          <w:p w:rsidR="00CA6072" w:rsidRPr="003410C7" w:rsidRDefault="00CA6072" w:rsidP="00EC05F0">
            <w:pPr>
              <w:pStyle w:val="appendixtabletext0"/>
              <w:keepNext/>
              <w:keepLines/>
            </w:pPr>
            <w:r w:rsidRPr="003410C7">
              <w:rPr>
                <w:rFonts w:ascii="Tahoma" w:hAnsi="Tahoma" w:cs="Tahoma"/>
                <w:color w:val="000000"/>
              </w:rPr>
              <w:t>OneNote</w:t>
            </w:r>
            <w:r w:rsidR="003410C7" w:rsidRPr="003410C7">
              <w:rPr>
                <w:rFonts w:ascii="Tahoma" w:hAnsi="Tahoma" w:cs="Tahoma"/>
                <w:color w:val="000000"/>
                <w:vertAlign w:val="superscript"/>
              </w:rPr>
              <w:t>®</w:t>
            </w:r>
            <w:r w:rsidRPr="003410C7">
              <w:rPr>
                <w:rFonts w:ascii="Tahoma" w:hAnsi="Tahoma" w:cs="Tahoma"/>
                <w:color w:val="000000"/>
              </w:rPr>
              <w:t xml:space="preserve"> 2013</w:t>
            </w:r>
          </w:p>
          <w:p w:rsidR="00CA6072" w:rsidRPr="003410C7" w:rsidRDefault="00CA6072" w:rsidP="00EC05F0">
            <w:pPr>
              <w:pStyle w:val="appendixtabletext0"/>
              <w:keepNext/>
              <w:keepLines/>
            </w:pPr>
            <w:r w:rsidRPr="003410C7">
              <w:rPr>
                <w:rFonts w:ascii="Tahoma" w:hAnsi="Tahoma" w:cs="Tahoma"/>
                <w:color w:val="000000"/>
              </w:rPr>
              <w:t>InfoPath</w:t>
            </w:r>
            <w:r w:rsidR="003410C7" w:rsidRPr="003410C7">
              <w:rPr>
                <w:rFonts w:ascii="Tahoma" w:hAnsi="Tahoma" w:cs="Tahoma"/>
                <w:color w:val="000000"/>
                <w:vertAlign w:val="superscript"/>
              </w:rPr>
              <w:t>®</w:t>
            </w:r>
            <w:r w:rsidRPr="003410C7">
              <w:rPr>
                <w:rFonts w:ascii="Tahoma" w:hAnsi="Tahoma" w:cs="Tahoma"/>
                <w:color w:val="000000"/>
              </w:rPr>
              <w:t xml:space="preserve"> 2013</w:t>
            </w:r>
          </w:p>
          <w:p w:rsidR="00502827" w:rsidRPr="003410C7" w:rsidRDefault="00B9674D" w:rsidP="00EC05F0">
            <w:pPr>
              <w:pStyle w:val="appendixtabletext0"/>
              <w:keepNext/>
              <w:keepLines/>
            </w:pPr>
            <w:r w:rsidRPr="003410C7">
              <w:rPr>
                <w:rFonts w:ascii="Tahoma" w:hAnsi="Tahoma" w:cs="Tahoma"/>
                <w:color w:val="000000"/>
              </w:rPr>
              <w:t>Lync 2013</w:t>
            </w:r>
          </w:p>
          <w:p w:rsidR="002D25C8" w:rsidRPr="003410C7" w:rsidRDefault="002D25C8" w:rsidP="00EC05F0">
            <w:pPr>
              <w:pStyle w:val="appendixtabletext0"/>
              <w:keepNext/>
              <w:keepLines/>
              <w:rPr>
                <w:rFonts w:ascii="Tahoma" w:hAnsi="Tahoma" w:cs="Tahoma"/>
                <w:color w:val="000000"/>
              </w:rPr>
            </w:pPr>
          </w:p>
        </w:tc>
      </w:tr>
    </w:tbl>
    <w:p w:rsidR="001C1727" w:rsidRPr="003410C7" w:rsidRDefault="001C1727" w:rsidP="001C1727"/>
    <w:p w:rsidR="00E44188" w:rsidRDefault="00E44188"/>
    <w:tbl>
      <w:tblPr>
        <w:tblW w:w="0" w:type="auto"/>
        <w:tblInd w:w="711" w:type="dxa"/>
        <w:tblCellMar>
          <w:left w:w="0" w:type="dxa"/>
          <w:right w:w="0" w:type="dxa"/>
        </w:tblCellMar>
        <w:tblLook w:val="04A0" w:firstRow="1" w:lastRow="0" w:firstColumn="1" w:lastColumn="0" w:noHBand="0" w:noVBand="1"/>
      </w:tblPr>
      <w:tblGrid>
        <w:gridCol w:w="4399"/>
        <w:gridCol w:w="3492"/>
      </w:tblGrid>
      <w:tr w:rsidR="00CA6072" w:rsidRPr="00DC1102" w:rsidTr="00902ECB">
        <w:trPr>
          <w:trHeight w:val="60"/>
          <w:tblHeader/>
        </w:trPr>
        <w:tc>
          <w:tcPr>
            <w:tcW w:w="4399" w:type="dxa"/>
            <w:tcBorders>
              <w:top w:val="single" w:sz="8" w:space="0" w:color="auto"/>
              <w:left w:val="single" w:sz="8" w:space="0" w:color="auto"/>
              <w:bottom w:val="single" w:sz="8" w:space="0" w:color="auto"/>
              <w:right w:val="single" w:sz="8" w:space="0" w:color="auto"/>
            </w:tcBorders>
            <w:shd w:val="clear" w:color="auto" w:fill="FABF8F"/>
            <w:tcMar>
              <w:top w:w="0" w:type="dxa"/>
              <w:left w:w="108" w:type="dxa"/>
              <w:bottom w:w="0" w:type="dxa"/>
              <w:right w:w="108" w:type="dxa"/>
            </w:tcMar>
            <w:vAlign w:val="center"/>
          </w:tcPr>
          <w:p w:rsidR="00CA6072" w:rsidRPr="003410C7" w:rsidRDefault="00CA6072" w:rsidP="001B035A">
            <w:pPr>
              <w:pStyle w:val="appendixtableheadings0"/>
              <w:rPr>
                <w:rFonts w:ascii="Tahoma" w:hAnsi="Tahoma" w:cs="Tahoma"/>
                <w:color w:val="000000"/>
                <w:sz w:val="20"/>
                <w:szCs w:val="20"/>
              </w:rPr>
            </w:pPr>
            <w:r w:rsidRPr="003410C7">
              <w:rPr>
                <w:rFonts w:ascii="Tahoma" w:hAnsi="Tahoma" w:cs="Tahoma"/>
                <w:color w:val="000000"/>
                <w:sz w:val="20"/>
                <w:szCs w:val="20"/>
              </w:rPr>
              <w:t>Applicazioni Desktop Qualificanti</w:t>
            </w:r>
          </w:p>
        </w:tc>
        <w:tc>
          <w:tcPr>
            <w:tcW w:w="3492" w:type="dxa"/>
            <w:tcBorders>
              <w:top w:val="single" w:sz="8" w:space="0" w:color="auto"/>
              <w:left w:val="nil"/>
              <w:bottom w:val="single" w:sz="8" w:space="0" w:color="auto"/>
              <w:right w:val="single" w:sz="8" w:space="0" w:color="auto"/>
            </w:tcBorders>
            <w:shd w:val="clear" w:color="auto" w:fill="FABF8F"/>
            <w:tcMar>
              <w:top w:w="0" w:type="dxa"/>
              <w:left w:w="108" w:type="dxa"/>
              <w:bottom w:w="0" w:type="dxa"/>
              <w:right w:w="108" w:type="dxa"/>
            </w:tcMar>
            <w:vAlign w:val="center"/>
          </w:tcPr>
          <w:p w:rsidR="00CA6072" w:rsidRPr="00451078" w:rsidRDefault="00CA6072" w:rsidP="001B035A">
            <w:pPr>
              <w:pStyle w:val="appendixtableheadings0"/>
              <w:rPr>
                <w:rFonts w:ascii="Tahoma" w:hAnsi="Tahoma" w:cs="Tahoma"/>
                <w:color w:val="000000"/>
                <w:sz w:val="20"/>
                <w:szCs w:val="20"/>
                <w:lang w:val="it-IT"/>
              </w:rPr>
            </w:pPr>
            <w:r w:rsidRPr="00451078">
              <w:rPr>
                <w:rFonts w:ascii="Tahoma" w:hAnsi="Tahoma" w:cs="Tahoma"/>
                <w:color w:val="000000"/>
                <w:sz w:val="20"/>
                <w:szCs w:val="20"/>
                <w:lang w:val="it-IT"/>
              </w:rPr>
              <w:t xml:space="preserve">Licenza per Home Use </w:t>
            </w:r>
            <w:r w:rsidRPr="00451078">
              <w:rPr>
                <w:rFonts w:ascii="Tahoma" w:hAnsi="Tahoma" w:cs="Tahoma"/>
                <w:color w:val="000000"/>
                <w:sz w:val="20"/>
                <w:szCs w:val="20"/>
                <w:lang w:val="it-IT"/>
              </w:rPr>
              <w:br/>
              <w:t>Program Corrispondente</w:t>
            </w:r>
          </w:p>
        </w:tc>
      </w:tr>
      <w:tr w:rsidR="004D700D" w:rsidRPr="003410C7" w:rsidTr="00902ECB">
        <w:trPr>
          <w:trHeight w:val="438"/>
        </w:trPr>
        <w:tc>
          <w:tcPr>
            <w:tcW w:w="4399"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tcPr>
          <w:p w:rsidR="004D700D" w:rsidRPr="003410C7" w:rsidRDefault="004D700D" w:rsidP="001B035A">
            <w:pPr>
              <w:pStyle w:val="appendixtabletext0"/>
            </w:pPr>
            <w:r w:rsidRPr="003410C7">
              <w:rPr>
                <w:rFonts w:ascii="Tahoma" w:hAnsi="Tahoma" w:cs="Tahoma"/>
                <w:color w:val="000000"/>
              </w:rPr>
              <w:t>Office Standard 2010/2013</w:t>
            </w:r>
          </w:p>
          <w:p w:rsidR="004D700D" w:rsidRPr="003410C7" w:rsidRDefault="004D700D" w:rsidP="001B035A">
            <w:pPr>
              <w:pStyle w:val="appendixtabletext0"/>
            </w:pPr>
            <w:r w:rsidRPr="003410C7">
              <w:rPr>
                <w:rFonts w:ascii="Tahoma" w:hAnsi="Tahoma" w:cs="Tahoma"/>
                <w:color w:val="000000"/>
              </w:rPr>
              <w:t>Office Professional Plus 2010/2013</w:t>
            </w:r>
          </w:p>
          <w:p w:rsidR="004D700D" w:rsidRPr="003410C7" w:rsidRDefault="00E44188" w:rsidP="00C37E9D">
            <w:pPr>
              <w:pStyle w:val="appendixtabletext0"/>
              <w:rPr>
                <w:rFonts w:ascii="Tahoma" w:hAnsi="Tahoma" w:cs="Tahoma"/>
                <w:color w:val="000000"/>
              </w:rPr>
            </w:pPr>
            <w:r>
              <w:rPr>
                <w:rFonts w:ascii="Tahoma" w:hAnsi="Tahoma" w:cs="Tahoma"/>
                <w:color w:val="000000"/>
              </w:rPr>
              <w:t>Office per Mac 2008/</w:t>
            </w:r>
            <w:r w:rsidR="004D700D" w:rsidRPr="003410C7">
              <w:rPr>
                <w:rFonts w:ascii="Tahoma" w:hAnsi="Tahoma" w:cs="Tahoma"/>
                <w:color w:val="000000"/>
              </w:rPr>
              <w:t xml:space="preserve">Office per Mac Standard 2011 </w:t>
            </w:r>
          </w:p>
        </w:tc>
        <w:tc>
          <w:tcPr>
            <w:tcW w:w="3492" w:type="dxa"/>
            <w:tcBorders>
              <w:top w:val="nil"/>
              <w:left w:val="nil"/>
              <w:bottom w:val="single" w:sz="8" w:space="0" w:color="auto"/>
              <w:right w:val="single" w:sz="8" w:space="0" w:color="auto"/>
            </w:tcBorders>
            <w:tcMar>
              <w:top w:w="0" w:type="dxa"/>
              <w:left w:w="108" w:type="dxa"/>
              <w:bottom w:w="0" w:type="dxa"/>
              <w:right w:w="108" w:type="dxa"/>
            </w:tcMar>
            <w:vAlign w:val="center"/>
          </w:tcPr>
          <w:p w:rsidR="004D700D" w:rsidRPr="003410C7" w:rsidRDefault="004D700D" w:rsidP="00735622">
            <w:pPr>
              <w:pStyle w:val="appendixtabletext0"/>
            </w:pPr>
            <w:r w:rsidRPr="003410C7">
              <w:rPr>
                <w:rFonts w:ascii="Tahoma" w:hAnsi="Tahoma" w:cs="Tahoma"/>
                <w:color w:val="000000"/>
              </w:rPr>
              <w:t>Office Professional Plus 2013 HUP</w:t>
            </w:r>
          </w:p>
          <w:p w:rsidR="004D700D" w:rsidRPr="003410C7" w:rsidRDefault="004D700D" w:rsidP="00735622">
            <w:pPr>
              <w:pStyle w:val="appendixtabletext0"/>
            </w:pPr>
            <w:r w:rsidRPr="003410C7">
              <w:rPr>
                <w:rFonts w:ascii="Tahoma" w:hAnsi="Tahoma" w:cs="Tahoma"/>
                <w:color w:val="000000"/>
              </w:rPr>
              <w:t>o</w:t>
            </w:r>
          </w:p>
          <w:p w:rsidR="004D700D" w:rsidRPr="003410C7" w:rsidRDefault="00E316C2" w:rsidP="00E44188">
            <w:pPr>
              <w:pStyle w:val="appendixtabletext0"/>
              <w:rPr>
                <w:rFonts w:ascii="Tahoma" w:hAnsi="Tahoma" w:cs="Tahoma"/>
                <w:color w:val="000000"/>
              </w:rPr>
            </w:pPr>
            <w:r w:rsidRPr="003410C7">
              <w:rPr>
                <w:rFonts w:ascii="Tahoma" w:hAnsi="Tahoma" w:cs="Tahoma"/>
                <w:color w:val="000000"/>
              </w:rPr>
              <w:t>Office per Mac Home &amp; Business</w:t>
            </w:r>
            <w:r w:rsidR="00E44188">
              <w:rPr>
                <w:rFonts w:ascii="Tahoma" w:hAnsi="Tahoma" w:cs="Tahoma"/>
                <w:color w:val="000000"/>
              </w:rPr>
              <w:t> </w:t>
            </w:r>
            <w:r w:rsidRPr="003410C7">
              <w:rPr>
                <w:rFonts w:ascii="Tahoma" w:hAnsi="Tahoma" w:cs="Tahoma"/>
                <w:color w:val="000000"/>
              </w:rPr>
              <w:t>2011</w:t>
            </w:r>
            <w:r w:rsidR="00E44188">
              <w:rPr>
                <w:rFonts w:ascii="Tahoma" w:hAnsi="Tahoma" w:cs="Tahoma"/>
                <w:color w:val="000000"/>
              </w:rPr>
              <w:t> </w:t>
            </w:r>
            <w:r w:rsidRPr="003410C7">
              <w:rPr>
                <w:rFonts w:ascii="Tahoma" w:hAnsi="Tahoma" w:cs="Tahoma"/>
                <w:color w:val="000000"/>
              </w:rPr>
              <w:t>HUP</w:t>
            </w:r>
          </w:p>
        </w:tc>
      </w:tr>
      <w:tr w:rsidR="004D700D" w:rsidRPr="003410C7" w:rsidTr="00982E96">
        <w:trPr>
          <w:cantSplit/>
          <w:trHeight w:val="438"/>
        </w:trPr>
        <w:tc>
          <w:tcPr>
            <w:tcW w:w="4399"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tcPr>
          <w:p w:rsidR="004D700D" w:rsidRPr="003410C7" w:rsidRDefault="004D700D" w:rsidP="001B035A">
            <w:pPr>
              <w:pStyle w:val="appendixtabletext0"/>
            </w:pPr>
            <w:r w:rsidRPr="003410C7">
              <w:rPr>
                <w:rFonts w:ascii="Tahoma" w:hAnsi="Tahoma" w:cs="Tahoma"/>
                <w:color w:val="000000"/>
              </w:rPr>
              <w:t>Access 2010/2013</w:t>
            </w:r>
          </w:p>
          <w:p w:rsidR="004D700D" w:rsidRPr="003410C7" w:rsidRDefault="004D700D" w:rsidP="001B035A">
            <w:pPr>
              <w:pStyle w:val="appendixtabletext0"/>
            </w:pPr>
            <w:r w:rsidRPr="003410C7">
              <w:rPr>
                <w:rFonts w:ascii="Tahoma" w:hAnsi="Tahoma" w:cs="Tahoma"/>
                <w:color w:val="000000"/>
              </w:rPr>
              <w:t>Excel 2010/2013</w:t>
            </w:r>
          </w:p>
          <w:p w:rsidR="004D700D" w:rsidRPr="003410C7" w:rsidRDefault="004D700D" w:rsidP="001B035A">
            <w:pPr>
              <w:pStyle w:val="appendixtabletext0"/>
            </w:pPr>
            <w:r w:rsidRPr="003410C7">
              <w:rPr>
                <w:rFonts w:ascii="Tahoma" w:hAnsi="Tahoma" w:cs="Tahoma"/>
                <w:color w:val="000000"/>
              </w:rPr>
              <w:t>PowerPoint 2010/2013</w:t>
            </w:r>
          </w:p>
          <w:p w:rsidR="004D700D" w:rsidRPr="003410C7" w:rsidRDefault="004D700D" w:rsidP="001B035A">
            <w:pPr>
              <w:pStyle w:val="appendixtabletext0"/>
            </w:pPr>
            <w:r w:rsidRPr="003410C7">
              <w:rPr>
                <w:rFonts w:ascii="Tahoma" w:hAnsi="Tahoma" w:cs="Tahoma"/>
                <w:color w:val="000000"/>
              </w:rPr>
              <w:t>InfoPath 2010/2013</w:t>
            </w:r>
          </w:p>
          <w:p w:rsidR="004D700D" w:rsidRPr="003410C7" w:rsidRDefault="004D700D" w:rsidP="001B035A">
            <w:pPr>
              <w:pStyle w:val="appendixtabletext0"/>
            </w:pPr>
            <w:r w:rsidRPr="003410C7">
              <w:rPr>
                <w:rFonts w:ascii="Tahoma" w:hAnsi="Tahoma" w:cs="Tahoma"/>
                <w:color w:val="000000"/>
              </w:rPr>
              <w:t>OneNote 2010/2013</w:t>
            </w:r>
          </w:p>
          <w:p w:rsidR="004D700D" w:rsidRPr="003410C7" w:rsidRDefault="004D700D" w:rsidP="001B035A">
            <w:pPr>
              <w:pStyle w:val="appendixtabletext0"/>
            </w:pPr>
            <w:r w:rsidRPr="003410C7">
              <w:rPr>
                <w:rFonts w:ascii="Tahoma" w:hAnsi="Tahoma" w:cs="Tahoma"/>
                <w:color w:val="000000"/>
              </w:rPr>
              <w:t>Outlook 2010/2013</w:t>
            </w:r>
          </w:p>
          <w:p w:rsidR="004D700D" w:rsidRPr="003410C7" w:rsidRDefault="004D700D" w:rsidP="001B035A">
            <w:pPr>
              <w:pStyle w:val="appendixtabletext0"/>
            </w:pPr>
            <w:r w:rsidRPr="003410C7">
              <w:rPr>
                <w:rFonts w:ascii="Tahoma" w:hAnsi="Tahoma" w:cs="Tahoma"/>
                <w:color w:val="000000"/>
              </w:rPr>
              <w:t>Publisher 2010/2013</w:t>
            </w:r>
          </w:p>
          <w:p w:rsidR="004D700D" w:rsidRPr="003410C7" w:rsidRDefault="004D700D" w:rsidP="00737AED">
            <w:pPr>
              <w:pStyle w:val="appendixtabletext0"/>
            </w:pPr>
            <w:r w:rsidRPr="003410C7">
              <w:rPr>
                <w:rFonts w:ascii="Tahoma" w:hAnsi="Tahoma" w:cs="Tahoma"/>
                <w:color w:val="000000"/>
              </w:rPr>
              <w:t>Word 2010/2013</w:t>
            </w:r>
          </w:p>
          <w:p w:rsidR="00737AED" w:rsidRPr="003410C7" w:rsidRDefault="00737AED" w:rsidP="00737AED">
            <w:pPr>
              <w:pStyle w:val="appendixtabletext0"/>
              <w:rPr>
                <w:rFonts w:ascii="Tahoma" w:hAnsi="Tahoma" w:cs="Tahoma"/>
                <w:color w:val="000000"/>
              </w:rPr>
            </w:pPr>
          </w:p>
        </w:tc>
        <w:tc>
          <w:tcPr>
            <w:tcW w:w="3492" w:type="dxa"/>
            <w:tcBorders>
              <w:top w:val="nil"/>
              <w:left w:val="nil"/>
              <w:bottom w:val="single" w:sz="8" w:space="0" w:color="auto"/>
              <w:right w:val="single" w:sz="8" w:space="0" w:color="auto"/>
            </w:tcBorders>
            <w:tcMar>
              <w:top w:w="0" w:type="dxa"/>
              <w:left w:w="108" w:type="dxa"/>
              <w:bottom w:w="0" w:type="dxa"/>
              <w:right w:w="108" w:type="dxa"/>
            </w:tcMar>
            <w:vAlign w:val="center"/>
          </w:tcPr>
          <w:p w:rsidR="004D700D" w:rsidRPr="003410C7" w:rsidRDefault="004D700D" w:rsidP="00735622">
            <w:pPr>
              <w:pStyle w:val="appendixtabletext0"/>
            </w:pPr>
            <w:r w:rsidRPr="003410C7">
              <w:rPr>
                <w:rFonts w:ascii="Tahoma" w:hAnsi="Tahoma" w:cs="Tahoma"/>
                <w:color w:val="000000"/>
              </w:rPr>
              <w:t>Office Professional Plus 2013 HUP</w:t>
            </w:r>
          </w:p>
          <w:p w:rsidR="004D700D" w:rsidRPr="003410C7" w:rsidRDefault="004D700D" w:rsidP="00735622">
            <w:pPr>
              <w:pStyle w:val="appendixtabletext0"/>
            </w:pPr>
            <w:r w:rsidRPr="003410C7">
              <w:rPr>
                <w:rFonts w:ascii="Tahoma" w:hAnsi="Tahoma" w:cs="Tahoma"/>
                <w:color w:val="000000"/>
              </w:rPr>
              <w:t>o</w:t>
            </w:r>
          </w:p>
          <w:p w:rsidR="004D700D" w:rsidRPr="003410C7" w:rsidRDefault="00E316C2" w:rsidP="00E44188">
            <w:pPr>
              <w:pStyle w:val="appendixtabletext0"/>
              <w:rPr>
                <w:rFonts w:ascii="Tahoma" w:hAnsi="Tahoma" w:cs="Tahoma"/>
                <w:color w:val="000000"/>
              </w:rPr>
            </w:pPr>
            <w:r w:rsidRPr="003410C7">
              <w:rPr>
                <w:rFonts w:ascii="Tahoma" w:hAnsi="Tahoma" w:cs="Tahoma"/>
                <w:color w:val="000000"/>
              </w:rPr>
              <w:t>Office per Mac Home &amp; Business</w:t>
            </w:r>
            <w:r w:rsidR="00E44188">
              <w:rPr>
                <w:rFonts w:ascii="Tahoma" w:hAnsi="Tahoma" w:cs="Tahoma"/>
                <w:color w:val="000000"/>
              </w:rPr>
              <w:t> </w:t>
            </w:r>
            <w:r w:rsidRPr="003410C7">
              <w:rPr>
                <w:rFonts w:ascii="Tahoma" w:hAnsi="Tahoma" w:cs="Tahoma"/>
                <w:color w:val="000000"/>
              </w:rPr>
              <w:t>2011</w:t>
            </w:r>
            <w:r w:rsidR="00E44188">
              <w:rPr>
                <w:rFonts w:ascii="Tahoma" w:hAnsi="Tahoma" w:cs="Tahoma"/>
                <w:color w:val="000000"/>
              </w:rPr>
              <w:t> </w:t>
            </w:r>
            <w:r w:rsidRPr="003410C7">
              <w:rPr>
                <w:rFonts w:ascii="Tahoma" w:hAnsi="Tahoma" w:cs="Tahoma"/>
                <w:color w:val="000000"/>
              </w:rPr>
              <w:t>HUP</w:t>
            </w:r>
          </w:p>
        </w:tc>
      </w:tr>
      <w:tr w:rsidR="00CA6072" w:rsidRPr="003410C7" w:rsidTr="00902ECB">
        <w:trPr>
          <w:trHeight w:val="438"/>
        </w:trPr>
        <w:tc>
          <w:tcPr>
            <w:tcW w:w="4399"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tcPr>
          <w:p w:rsidR="00CA6072" w:rsidRPr="003410C7" w:rsidRDefault="00CA6072" w:rsidP="001B035A">
            <w:pPr>
              <w:pStyle w:val="appendixtabletext0"/>
            </w:pPr>
            <w:r w:rsidRPr="003410C7">
              <w:rPr>
                <w:rFonts w:ascii="Tahoma" w:hAnsi="Tahoma" w:cs="Tahoma"/>
                <w:color w:val="000000"/>
              </w:rPr>
              <w:lastRenderedPageBreak/>
              <w:t xml:space="preserve">Visio Standard 2010/2013 </w:t>
            </w:r>
          </w:p>
          <w:p w:rsidR="00502827" w:rsidRPr="003410C7" w:rsidRDefault="00CA6072" w:rsidP="00502827">
            <w:pPr>
              <w:pStyle w:val="appendixtabletext0"/>
            </w:pPr>
            <w:r w:rsidRPr="003410C7">
              <w:rPr>
                <w:rFonts w:ascii="Tahoma" w:hAnsi="Tahoma" w:cs="Tahoma"/>
                <w:color w:val="000000"/>
              </w:rPr>
              <w:t>Visio Professional 2010/2013</w:t>
            </w:r>
            <w:r w:rsidRPr="003410C7">
              <w:rPr>
                <w:rFonts w:ascii="Tahoma" w:hAnsi="Tahoma" w:cs="Tahoma"/>
                <w:strike/>
                <w:color w:val="000000"/>
              </w:rPr>
              <w:t xml:space="preserve"> </w:t>
            </w:r>
          </w:p>
          <w:p w:rsidR="00502827" w:rsidRPr="003410C7" w:rsidRDefault="00502827" w:rsidP="00502827">
            <w:pPr>
              <w:pStyle w:val="appendixtabletext0"/>
              <w:rPr>
                <w:rFonts w:ascii="Tahoma" w:hAnsi="Tahoma" w:cs="Tahoma"/>
                <w:color w:val="000000"/>
              </w:rPr>
            </w:pPr>
          </w:p>
        </w:tc>
        <w:tc>
          <w:tcPr>
            <w:tcW w:w="3492" w:type="dxa"/>
            <w:tcBorders>
              <w:top w:val="nil"/>
              <w:left w:val="nil"/>
              <w:bottom w:val="single" w:sz="8" w:space="0" w:color="auto"/>
              <w:right w:val="single" w:sz="8" w:space="0" w:color="auto"/>
            </w:tcBorders>
            <w:tcMar>
              <w:top w:w="0" w:type="dxa"/>
              <w:left w:w="108" w:type="dxa"/>
              <w:bottom w:w="0" w:type="dxa"/>
              <w:right w:w="108" w:type="dxa"/>
            </w:tcMar>
            <w:vAlign w:val="center"/>
          </w:tcPr>
          <w:p w:rsidR="00CA6072" w:rsidRPr="003410C7" w:rsidRDefault="00CA6072" w:rsidP="001B035A">
            <w:pPr>
              <w:pStyle w:val="appendixtabletext0"/>
            </w:pPr>
            <w:r w:rsidRPr="003410C7">
              <w:rPr>
                <w:rFonts w:ascii="Tahoma" w:hAnsi="Tahoma" w:cs="Tahoma"/>
                <w:color w:val="000000"/>
              </w:rPr>
              <w:t>Visio Professional 2013 HUP</w:t>
            </w:r>
          </w:p>
          <w:p w:rsidR="00CA6072" w:rsidRPr="003410C7" w:rsidRDefault="00CA6072" w:rsidP="001B035A">
            <w:pPr>
              <w:pStyle w:val="appendixtabletext0"/>
              <w:rPr>
                <w:rFonts w:ascii="Tahoma" w:hAnsi="Tahoma" w:cs="Tahoma"/>
                <w:color w:val="000000"/>
              </w:rPr>
            </w:pPr>
          </w:p>
        </w:tc>
      </w:tr>
      <w:tr w:rsidR="00CA6072" w:rsidRPr="003410C7" w:rsidTr="00902ECB">
        <w:trPr>
          <w:trHeight w:val="438"/>
        </w:trPr>
        <w:tc>
          <w:tcPr>
            <w:tcW w:w="4399"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tcPr>
          <w:p w:rsidR="00CA6072" w:rsidRPr="003410C7" w:rsidRDefault="00CA6072" w:rsidP="001B035A">
            <w:pPr>
              <w:pStyle w:val="appendixtabletext0"/>
            </w:pPr>
            <w:r w:rsidRPr="003410C7">
              <w:rPr>
                <w:rFonts w:ascii="Tahoma" w:hAnsi="Tahoma" w:cs="Tahoma"/>
                <w:color w:val="000000"/>
              </w:rPr>
              <w:t>Project Standard 2010/2013</w:t>
            </w:r>
          </w:p>
          <w:p w:rsidR="00CA6072" w:rsidRPr="003410C7" w:rsidRDefault="00CA6072" w:rsidP="001E3357">
            <w:pPr>
              <w:pStyle w:val="appendixtabletext0"/>
            </w:pPr>
            <w:r w:rsidRPr="003410C7">
              <w:rPr>
                <w:rFonts w:ascii="Tahoma" w:hAnsi="Tahoma" w:cs="Tahoma"/>
                <w:color w:val="000000"/>
              </w:rPr>
              <w:t>Project Professional 2010/2013</w:t>
            </w:r>
          </w:p>
          <w:p w:rsidR="00737AED" w:rsidRPr="003410C7" w:rsidRDefault="00737AED" w:rsidP="001E3357">
            <w:pPr>
              <w:pStyle w:val="appendixtabletext0"/>
              <w:rPr>
                <w:rFonts w:ascii="Tahoma" w:hAnsi="Tahoma" w:cs="Tahoma"/>
                <w:color w:val="000000"/>
              </w:rPr>
            </w:pPr>
          </w:p>
        </w:tc>
        <w:tc>
          <w:tcPr>
            <w:tcW w:w="3492" w:type="dxa"/>
            <w:tcBorders>
              <w:top w:val="nil"/>
              <w:left w:val="nil"/>
              <w:bottom w:val="single" w:sz="8" w:space="0" w:color="auto"/>
              <w:right w:val="single" w:sz="8" w:space="0" w:color="auto"/>
            </w:tcBorders>
            <w:tcMar>
              <w:top w:w="0" w:type="dxa"/>
              <w:left w:w="108" w:type="dxa"/>
              <w:bottom w:w="0" w:type="dxa"/>
              <w:right w:w="108" w:type="dxa"/>
            </w:tcMar>
            <w:vAlign w:val="center"/>
          </w:tcPr>
          <w:p w:rsidR="00CA6072" w:rsidRPr="003410C7" w:rsidRDefault="00CA6072" w:rsidP="001B035A">
            <w:pPr>
              <w:pStyle w:val="appendixtabletext0"/>
            </w:pPr>
            <w:r w:rsidRPr="003410C7">
              <w:rPr>
                <w:rFonts w:ascii="Tahoma" w:hAnsi="Tahoma" w:cs="Tahoma"/>
                <w:color w:val="000000"/>
              </w:rPr>
              <w:t>Project Standard 2013 HUP</w:t>
            </w:r>
          </w:p>
          <w:p w:rsidR="00CA6072" w:rsidRPr="003410C7" w:rsidRDefault="00CA6072" w:rsidP="001B035A">
            <w:pPr>
              <w:pStyle w:val="appendixtabletext0"/>
              <w:rPr>
                <w:rFonts w:ascii="Tahoma" w:hAnsi="Tahoma" w:cs="Tahoma"/>
                <w:color w:val="000000"/>
              </w:rPr>
            </w:pPr>
            <w:r w:rsidRPr="003410C7">
              <w:rPr>
                <w:rFonts w:ascii="Tahoma" w:hAnsi="Tahoma" w:cs="Tahoma"/>
                <w:color w:val="000000"/>
              </w:rPr>
              <w:t xml:space="preserve"> </w:t>
            </w:r>
          </w:p>
        </w:tc>
      </w:tr>
    </w:tbl>
    <w:p w:rsidR="00023FE7" w:rsidRPr="00CD0A5A" w:rsidRDefault="00023FE7">
      <w:pPr>
        <w:pStyle w:val="AppendixBodyText"/>
        <w:ind w:left="630"/>
        <w:rPr>
          <w:rFonts w:ascii="Tahoma" w:hAnsi="Tahoma" w:cs="Tahoma"/>
          <w:sz w:val="16"/>
          <w:szCs w:val="16"/>
          <w:lang w:val="it-IT"/>
        </w:rPr>
      </w:pPr>
      <w:r w:rsidRPr="00CD0A5A">
        <w:rPr>
          <w:rFonts w:ascii="Tahoma" w:hAnsi="Tahoma" w:cs="Tahoma"/>
          <w:b/>
          <w:i/>
          <w:sz w:val="16"/>
          <w:szCs w:val="16"/>
          <w:lang w:val="it-IT"/>
        </w:rPr>
        <w:t>*</w:t>
      </w:r>
      <w:r w:rsidR="00E44188" w:rsidRPr="00CD0A5A">
        <w:rPr>
          <w:rFonts w:ascii="Tahoma" w:hAnsi="Tahoma" w:cs="Tahoma"/>
          <w:b/>
          <w:i/>
          <w:sz w:val="16"/>
          <w:szCs w:val="16"/>
          <w:lang w:val="it-IT"/>
        </w:rPr>
        <w:t xml:space="preserve"> </w:t>
      </w:r>
      <w:r w:rsidRPr="00CD0A5A">
        <w:rPr>
          <w:rFonts w:ascii="Tahoma" w:hAnsi="Tahoma" w:cs="Tahoma"/>
          <w:i/>
          <w:sz w:val="16"/>
          <w:szCs w:val="16"/>
          <w:lang w:val="it-IT"/>
        </w:rPr>
        <w:t>La disponibilità del software Home Use Program varia in base alla regione, all</w:t>
      </w:r>
      <w:r w:rsidR="004525CA">
        <w:rPr>
          <w:rFonts w:ascii="Tahoma" w:hAnsi="Tahoma" w:cs="Tahoma"/>
          <w:i/>
          <w:sz w:val="16"/>
          <w:szCs w:val="16"/>
          <w:lang w:val="it-IT"/>
        </w:rPr>
        <w:t>’</w:t>
      </w:r>
      <w:r w:rsidRPr="00CD0A5A">
        <w:rPr>
          <w:rFonts w:ascii="Tahoma" w:hAnsi="Tahoma" w:cs="Tahoma"/>
          <w:i/>
          <w:sz w:val="16"/>
          <w:szCs w:val="16"/>
          <w:lang w:val="it-IT"/>
        </w:rPr>
        <w:t xml:space="preserve">offerta e alla lingua. </w:t>
      </w:r>
    </w:p>
    <w:p w:rsidR="00023FE7" w:rsidRPr="00CD0A5A" w:rsidRDefault="00023FE7">
      <w:pPr>
        <w:pStyle w:val="AppendixBodyText"/>
        <w:ind w:left="630"/>
        <w:rPr>
          <w:rFonts w:ascii="Tahoma" w:hAnsi="Tahoma" w:cs="Tahoma"/>
          <w:sz w:val="16"/>
          <w:szCs w:val="16"/>
          <w:lang w:val="it-IT"/>
        </w:rPr>
      </w:pPr>
      <w:r w:rsidRPr="00CD0A5A">
        <w:rPr>
          <w:rFonts w:ascii="Tahoma" w:hAnsi="Tahoma" w:cs="Tahoma"/>
          <w:i/>
          <w:sz w:val="16"/>
          <w:szCs w:val="16"/>
          <w:lang w:val="it-IT"/>
        </w:rPr>
        <w:t>Ulteriori informazioni, tra cui i dettagli relativi alla disponibilità futura del software aggiuntivo Home Use Program, sono</w:t>
      </w:r>
      <w:r w:rsidR="00E44188" w:rsidRPr="00CD0A5A">
        <w:rPr>
          <w:rFonts w:ascii="Tahoma" w:hAnsi="Tahoma" w:cs="Tahoma"/>
          <w:i/>
          <w:sz w:val="16"/>
          <w:szCs w:val="16"/>
          <w:lang w:val="it-IT"/>
        </w:rPr>
        <w:t> </w:t>
      </w:r>
      <w:r w:rsidRPr="00CD0A5A">
        <w:rPr>
          <w:rFonts w:ascii="Tahoma" w:hAnsi="Tahoma" w:cs="Tahoma"/>
          <w:i/>
          <w:sz w:val="16"/>
          <w:szCs w:val="16"/>
          <w:lang w:val="it-IT"/>
        </w:rPr>
        <w:t>reperibili all</w:t>
      </w:r>
      <w:r w:rsidR="004525CA">
        <w:rPr>
          <w:rFonts w:ascii="Tahoma" w:hAnsi="Tahoma" w:cs="Tahoma"/>
          <w:i/>
          <w:sz w:val="16"/>
          <w:szCs w:val="16"/>
          <w:lang w:val="it-IT"/>
        </w:rPr>
        <w:t>’</w:t>
      </w:r>
      <w:r w:rsidRPr="00CD0A5A">
        <w:rPr>
          <w:rFonts w:ascii="Tahoma" w:hAnsi="Tahoma" w:cs="Tahoma"/>
          <w:i/>
          <w:sz w:val="16"/>
          <w:szCs w:val="16"/>
          <w:lang w:val="it-IT"/>
        </w:rPr>
        <w:t xml:space="preserve">indirizzo </w:t>
      </w:r>
      <w:hyperlink r:id="rId25" w:history="1">
        <w:r w:rsidRPr="00CD0A5A">
          <w:rPr>
            <w:rStyle w:val="Hyperlink"/>
            <w:rFonts w:ascii="Tahoma" w:hAnsi="Tahoma" w:cs="Tahoma"/>
            <w:i/>
            <w:sz w:val="16"/>
            <w:szCs w:val="16"/>
            <w:lang w:val="it-IT"/>
          </w:rPr>
          <w:t>http://www.microsoft.com/licensing</w:t>
        </w:r>
      </w:hyperlink>
      <w:r w:rsidRPr="00CD0A5A">
        <w:rPr>
          <w:rFonts w:ascii="Tahoma" w:hAnsi="Tahoma" w:cs="Tahoma"/>
          <w:i/>
          <w:sz w:val="16"/>
          <w:szCs w:val="16"/>
          <w:lang w:val="it-IT"/>
        </w:rPr>
        <w:t>.</w:t>
      </w:r>
    </w:p>
    <w:p w:rsidR="00023FE7" w:rsidRPr="00CD0A5A" w:rsidRDefault="00023FE7">
      <w:pPr>
        <w:pStyle w:val="AppendixBodyText"/>
        <w:ind w:left="630"/>
        <w:rPr>
          <w:rFonts w:ascii="Tahoma" w:hAnsi="Tahoma" w:cs="Tahoma"/>
          <w:sz w:val="16"/>
          <w:szCs w:val="16"/>
          <w:lang w:val="it-IT"/>
        </w:rPr>
      </w:pPr>
      <w:r w:rsidRPr="00CD0A5A">
        <w:rPr>
          <w:rFonts w:ascii="Tahoma" w:hAnsi="Tahoma" w:cs="Tahoma"/>
          <w:i/>
          <w:sz w:val="16"/>
          <w:szCs w:val="16"/>
          <w:lang w:val="it-IT"/>
        </w:rPr>
        <w:t>** Nota per le società con Contratti Campus e School e Open Value Subscription-Education Solutions: fare riferimento ai contratti CASA (3.5 o versione superiore) o OVS-ES per conoscere ulteriori regole specifiche del programma.</w:t>
      </w:r>
    </w:p>
    <w:p w:rsidR="00023FE7" w:rsidRPr="00CD0A5A" w:rsidRDefault="00023FE7" w:rsidP="00BD1A6A">
      <w:pPr>
        <w:ind w:left="630"/>
        <w:rPr>
          <w:rFonts w:cs="Tahoma"/>
          <w:sz w:val="16"/>
          <w:szCs w:val="16"/>
          <w:lang w:val="it-IT"/>
        </w:rPr>
      </w:pPr>
      <w:r w:rsidRPr="00CD0A5A">
        <w:rPr>
          <w:rFonts w:cs="Tahoma"/>
          <w:i/>
          <w:sz w:val="16"/>
          <w:szCs w:val="16"/>
          <w:lang w:val="it-IT"/>
        </w:rPr>
        <w:t xml:space="preserve">*** SharePoint Designer è ora un prodotto gratuito disponibile per il download facendo clic sul seguente collegamento </w:t>
      </w:r>
      <w:hyperlink r:id="rId26" w:history="1">
        <w:r w:rsidRPr="00CD0A5A">
          <w:rPr>
            <w:rStyle w:val="Hyperlink"/>
            <w:rFonts w:cs="Tahoma"/>
            <w:i/>
            <w:sz w:val="16"/>
            <w:szCs w:val="16"/>
            <w:lang w:val="it-IT"/>
          </w:rPr>
          <w:t>http://www.microsoft.com/spd</w:t>
        </w:r>
      </w:hyperlink>
    </w:p>
    <w:p w:rsidR="00CA395A" w:rsidRPr="00451078" w:rsidRDefault="00CA395A" w:rsidP="008A15A8">
      <w:pPr>
        <w:outlineLvl w:val="2"/>
        <w:rPr>
          <w:lang w:val="it-IT"/>
        </w:rPr>
      </w:pPr>
      <w:bookmarkStart w:id="790" w:name="_Toc281378922"/>
    </w:p>
    <w:p w:rsidR="008A15A8" w:rsidRPr="00451078" w:rsidRDefault="008A15A8" w:rsidP="002D25C8">
      <w:pPr>
        <w:outlineLvl w:val="2"/>
        <w:rPr>
          <w:lang w:val="it-IT"/>
        </w:rPr>
      </w:pPr>
      <w:r w:rsidRPr="00451078">
        <w:rPr>
          <w:rFonts w:eastAsia="Calibri" w:cs="Tahoma"/>
          <w:b/>
          <w:bCs/>
          <w:sz w:val="24"/>
          <w:szCs w:val="20"/>
          <w:lang w:val="it-IT"/>
        </w:rPr>
        <w:t>Enterprise Source Licensing Program</w:t>
      </w:r>
      <w:bookmarkEnd w:id="790"/>
      <w:r w:rsidRPr="00451078">
        <w:rPr>
          <w:rFonts w:eastAsia="Calibri" w:cs="Tahoma"/>
          <w:b/>
          <w:bCs/>
          <w:sz w:val="24"/>
          <w:szCs w:val="20"/>
          <w:lang w:val="it-IT"/>
        </w:rPr>
        <w:t xml:space="preserve"> </w:t>
      </w:r>
    </w:p>
    <w:p w:rsidR="001C20C9" w:rsidRPr="00451078" w:rsidRDefault="001C20C9" w:rsidP="002D25C8">
      <w:pPr>
        <w:outlineLvl w:val="2"/>
        <w:rPr>
          <w:lang w:val="it-IT"/>
        </w:rPr>
      </w:pPr>
    </w:p>
    <w:p w:rsidR="008A15A8" w:rsidRPr="00451078" w:rsidRDefault="008A15A8" w:rsidP="002D25C8">
      <w:pPr>
        <w:rPr>
          <w:lang w:val="it-IT"/>
        </w:rPr>
      </w:pPr>
      <w:r w:rsidRPr="00451078">
        <w:rPr>
          <w:rFonts w:eastAsia="Calibri" w:cs="Tahoma"/>
          <w:szCs w:val="18"/>
          <w:lang w:val="it-IT"/>
        </w:rPr>
        <w:t>Le società con Partecipazione a Software Assurance e con 1.500 o una quantità superiore di desktop con licenza nel pool di sistemi potranno essere idonee a partecipare al programma Enterprise Source Licensing Program (ESLP) durante il periodo di validità della copertura Software Assurance.</w:t>
      </w:r>
      <w:r w:rsidR="00082E1C" w:rsidRPr="00451078">
        <w:rPr>
          <w:rFonts w:eastAsia="Calibri" w:cs="Tahoma"/>
          <w:szCs w:val="18"/>
          <w:lang w:val="it-IT"/>
        </w:rPr>
        <w:t xml:space="preserve"> </w:t>
      </w:r>
      <w:r w:rsidRPr="00451078">
        <w:rPr>
          <w:rFonts w:eastAsia="Calibri" w:cs="Tahoma"/>
          <w:szCs w:val="18"/>
          <w:lang w:val="it-IT"/>
        </w:rPr>
        <w:t>Il programma ESLP consente l</w:t>
      </w:r>
      <w:r w:rsidR="004525CA">
        <w:rPr>
          <w:rFonts w:eastAsia="Calibri" w:cs="Tahoma"/>
          <w:szCs w:val="18"/>
          <w:lang w:val="it-IT"/>
        </w:rPr>
        <w:t>’</w:t>
      </w:r>
      <w:r w:rsidRPr="00451078">
        <w:rPr>
          <w:rFonts w:eastAsia="Calibri" w:cs="Tahoma"/>
          <w:szCs w:val="18"/>
          <w:lang w:val="it-IT"/>
        </w:rPr>
        <w:t>accesso al codice sorgente di Microsoft Windows per sviluppo e supporto interno.</w:t>
      </w:r>
      <w:r w:rsidR="00082E1C" w:rsidRPr="00451078">
        <w:rPr>
          <w:rFonts w:eastAsia="Calibri" w:cs="Tahoma"/>
          <w:szCs w:val="18"/>
          <w:lang w:val="it-IT"/>
        </w:rPr>
        <w:t xml:space="preserve"> </w:t>
      </w:r>
      <w:r w:rsidRPr="00451078">
        <w:rPr>
          <w:rFonts w:eastAsia="Calibri" w:cs="Tahoma"/>
          <w:szCs w:val="18"/>
          <w:lang w:val="it-IT"/>
        </w:rPr>
        <w:t>Il programma ESLP non è disponibile in tutti i paesi e</w:t>
      </w:r>
      <w:r w:rsidR="00E44188" w:rsidRPr="00451078">
        <w:rPr>
          <w:rFonts w:eastAsia="Calibri" w:cs="Tahoma"/>
          <w:szCs w:val="18"/>
          <w:lang w:val="it-IT"/>
        </w:rPr>
        <w:t> </w:t>
      </w:r>
      <w:r w:rsidRPr="00451078">
        <w:rPr>
          <w:rFonts w:eastAsia="Calibri" w:cs="Tahoma"/>
          <w:szCs w:val="18"/>
          <w:lang w:val="it-IT"/>
        </w:rPr>
        <w:t>il vantaggio è concesso per contratto/iscrizione.</w:t>
      </w:r>
    </w:p>
    <w:p w:rsidR="00DF400D" w:rsidRPr="00451078" w:rsidRDefault="00DF400D" w:rsidP="002D25C8">
      <w:pPr>
        <w:rPr>
          <w:lang w:val="it-IT"/>
        </w:rPr>
      </w:pPr>
    </w:p>
    <w:p w:rsidR="008A15A8" w:rsidRPr="00451078" w:rsidRDefault="008A15A8" w:rsidP="002D25C8">
      <w:pPr>
        <w:rPr>
          <w:lang w:val="it-IT"/>
        </w:rPr>
      </w:pPr>
      <w:r w:rsidRPr="00451078">
        <w:rPr>
          <w:rFonts w:eastAsia="Calibri" w:cs="Tahoma"/>
          <w:szCs w:val="18"/>
          <w:lang w:val="it-IT"/>
        </w:rPr>
        <w:t>Il modulo di applicazione può essere scaricato dal sito Web Volume Licensing Service Center (VLSC). L</w:t>
      </w:r>
      <w:r w:rsidR="004525CA">
        <w:rPr>
          <w:rFonts w:eastAsia="Calibri" w:cs="Tahoma"/>
          <w:szCs w:val="18"/>
          <w:lang w:val="it-IT"/>
        </w:rPr>
        <w:t>’</w:t>
      </w:r>
      <w:r w:rsidRPr="00451078">
        <w:rPr>
          <w:rFonts w:eastAsia="Calibri" w:cs="Tahoma"/>
          <w:szCs w:val="18"/>
          <w:lang w:val="it-IT"/>
        </w:rPr>
        <w:t>idoneità</w:t>
      </w:r>
      <w:r w:rsidR="00CE2638" w:rsidRPr="00451078">
        <w:rPr>
          <w:rFonts w:eastAsia="Calibri" w:cs="Tahoma"/>
          <w:szCs w:val="18"/>
          <w:lang w:val="it-IT"/>
        </w:rPr>
        <w:t> </w:t>
      </w:r>
      <w:r w:rsidRPr="00451078">
        <w:rPr>
          <w:rFonts w:eastAsia="Calibri" w:cs="Tahoma"/>
          <w:szCs w:val="18"/>
          <w:lang w:val="it-IT"/>
        </w:rPr>
        <w:t>e</w:t>
      </w:r>
      <w:r w:rsidR="00E44188" w:rsidRPr="00451078">
        <w:rPr>
          <w:rFonts w:eastAsia="Calibri" w:cs="Tahoma"/>
          <w:szCs w:val="18"/>
          <w:lang w:val="it-IT"/>
        </w:rPr>
        <w:t> </w:t>
      </w:r>
      <w:r w:rsidRPr="00451078">
        <w:rPr>
          <w:rFonts w:eastAsia="Calibri" w:cs="Tahoma"/>
          <w:szCs w:val="18"/>
          <w:lang w:val="it-IT"/>
        </w:rPr>
        <w:t>le</w:t>
      </w:r>
      <w:r w:rsidR="00E44188" w:rsidRPr="00451078">
        <w:rPr>
          <w:rFonts w:eastAsia="Calibri" w:cs="Tahoma"/>
          <w:szCs w:val="18"/>
          <w:lang w:val="it-IT"/>
        </w:rPr>
        <w:t> </w:t>
      </w:r>
      <w:r w:rsidRPr="00451078">
        <w:rPr>
          <w:rFonts w:eastAsia="Calibri" w:cs="Tahoma"/>
          <w:szCs w:val="18"/>
          <w:lang w:val="it-IT"/>
        </w:rPr>
        <w:t xml:space="preserve">aree di disponibilità sono soggette alle condizioni di Microsoft (per dettagli, visitare la pagina </w:t>
      </w:r>
      <w:hyperlink r:id="rId27" w:history="1">
        <w:r w:rsidRPr="00451078">
          <w:rPr>
            <w:rFonts w:eastAsia="Calibri" w:cs="Tahoma"/>
            <w:color w:val="0000FF"/>
            <w:szCs w:val="18"/>
            <w:u w:val="single"/>
            <w:lang w:val="it-IT"/>
          </w:rPr>
          <w:t>www.microsoft.com/resources/sharedsource/Licensing/Enterprise.mspx</w:t>
        </w:r>
      </w:hyperlink>
      <w:r w:rsidRPr="00451078">
        <w:rPr>
          <w:rFonts w:eastAsia="Calibri" w:cs="Tahoma"/>
          <w:szCs w:val="18"/>
          <w:lang w:val="it-IT"/>
        </w:rPr>
        <w:t>). I programmi Academic sono idonei per l</w:t>
      </w:r>
      <w:r w:rsidR="004525CA">
        <w:rPr>
          <w:rFonts w:eastAsia="Calibri" w:cs="Tahoma"/>
          <w:szCs w:val="18"/>
          <w:lang w:val="it-IT"/>
        </w:rPr>
        <w:t>’</w:t>
      </w:r>
      <w:r w:rsidRPr="00451078">
        <w:rPr>
          <w:rFonts w:eastAsia="Calibri" w:cs="Tahoma"/>
          <w:szCs w:val="18"/>
          <w:lang w:val="it-IT"/>
        </w:rPr>
        <w:t>accesso al programma Microsoft Research Source Licensing Program.</w:t>
      </w:r>
    </w:p>
    <w:p w:rsidR="008A15A8" w:rsidRPr="00451078" w:rsidRDefault="008A15A8" w:rsidP="002D25C8">
      <w:pPr>
        <w:pStyle w:val="Heading3"/>
        <w:rPr>
          <w:lang w:val="it-IT"/>
        </w:rPr>
      </w:pPr>
    </w:p>
    <w:p w:rsidR="00023FE7" w:rsidRPr="00451078" w:rsidRDefault="00023FE7" w:rsidP="002D25C8">
      <w:pPr>
        <w:pStyle w:val="Heading3"/>
        <w:rPr>
          <w:lang w:val="it-IT"/>
        </w:rPr>
      </w:pPr>
      <w:bookmarkStart w:id="791" w:name="_Toc336338236"/>
      <w:bookmarkStart w:id="792" w:name="_Toc352234831"/>
      <w:r w:rsidRPr="00451078">
        <w:rPr>
          <w:rFonts w:ascii="Tahoma" w:hAnsi="Tahoma" w:cs="Tahoma"/>
          <w:sz w:val="24"/>
          <w:lang w:val="it-IT"/>
        </w:rPr>
        <w:t>Supporto per la Risoluzione dei Problemi 24x7</w:t>
      </w:r>
      <w:bookmarkEnd w:id="791"/>
      <w:bookmarkEnd w:id="792"/>
    </w:p>
    <w:p w:rsidR="00023FE7" w:rsidRPr="00451078" w:rsidRDefault="00023FE7" w:rsidP="002D25C8">
      <w:pPr>
        <w:rPr>
          <w:lang w:val="it-IT"/>
        </w:rPr>
      </w:pPr>
    </w:p>
    <w:p w:rsidR="00324479" w:rsidRPr="00451078" w:rsidRDefault="00324479" w:rsidP="002D25C8">
      <w:pPr>
        <w:rPr>
          <w:lang w:val="it-IT"/>
        </w:rPr>
      </w:pPr>
      <w:r w:rsidRPr="00451078">
        <w:rPr>
          <w:rFonts w:cs="Tahoma"/>
          <w:szCs w:val="18"/>
          <w:lang w:val="it-IT"/>
        </w:rPr>
        <w:t>Le società che non siano società con contratti Campus e School e Open Value Subscription - Education Solutions, ma</w:t>
      </w:r>
      <w:r w:rsidR="00E44188" w:rsidRPr="00451078">
        <w:rPr>
          <w:rFonts w:cs="Tahoma"/>
          <w:szCs w:val="18"/>
          <w:lang w:val="it-IT"/>
        </w:rPr>
        <w:t> </w:t>
      </w:r>
      <w:r w:rsidRPr="00451078">
        <w:rPr>
          <w:rFonts w:cs="Tahoma"/>
          <w:szCs w:val="18"/>
          <w:lang w:val="it-IT"/>
        </w:rPr>
        <w:t>con copertura Software Assurance, sono idonee a beneficiare del Supporto per la Risoluzione dei Problemi 24x7</w:t>
      </w:r>
      <w:r w:rsidR="00E44188" w:rsidRPr="00451078">
        <w:rPr>
          <w:rFonts w:cs="Tahoma"/>
          <w:szCs w:val="18"/>
          <w:lang w:val="it-IT"/>
        </w:rPr>
        <w:t> </w:t>
      </w:r>
      <w:r w:rsidRPr="00451078">
        <w:rPr>
          <w:rFonts w:cs="Tahoma"/>
          <w:szCs w:val="18"/>
          <w:lang w:val="it-IT"/>
        </w:rPr>
        <w:t>durante il periodo di validità della copertura.</w:t>
      </w:r>
      <w:r w:rsidR="00082E1C" w:rsidRPr="00451078">
        <w:rPr>
          <w:rFonts w:cs="Tahoma"/>
          <w:szCs w:val="18"/>
          <w:lang w:val="it-IT"/>
        </w:rPr>
        <w:t xml:space="preserve"> </w:t>
      </w:r>
    </w:p>
    <w:p w:rsidR="00023FE7" w:rsidRPr="00451078" w:rsidRDefault="00023FE7" w:rsidP="002D25C8">
      <w:pPr>
        <w:pStyle w:val="AppendixBodyText"/>
        <w:spacing w:after="0"/>
        <w:rPr>
          <w:lang w:val="it-IT"/>
        </w:rPr>
      </w:pPr>
    </w:p>
    <w:p w:rsidR="00023FE7" w:rsidRPr="00451078" w:rsidRDefault="00023FE7" w:rsidP="002D25C8">
      <w:pPr>
        <w:pStyle w:val="AppendixBodyText"/>
        <w:spacing w:after="0"/>
        <w:rPr>
          <w:lang w:val="it-IT"/>
        </w:rPr>
      </w:pPr>
      <w:r w:rsidRPr="00451078">
        <w:rPr>
          <w:rFonts w:ascii="Tahoma" w:hAnsi="Tahoma" w:cs="Tahoma"/>
          <w:sz w:val="18"/>
          <w:szCs w:val="18"/>
          <w:lang w:val="it-IT"/>
        </w:rPr>
        <w:t>Il servizio Supporto per la Risoluzione dei Problemi 24x7 fornisce assistenza quando, durante l</w:t>
      </w:r>
      <w:r w:rsidR="004525CA">
        <w:rPr>
          <w:rFonts w:ascii="Tahoma" w:hAnsi="Tahoma" w:cs="Tahoma"/>
          <w:sz w:val="18"/>
          <w:szCs w:val="18"/>
          <w:lang w:val="it-IT"/>
        </w:rPr>
        <w:t>’</w:t>
      </w:r>
      <w:r w:rsidRPr="00451078">
        <w:rPr>
          <w:rFonts w:ascii="Tahoma" w:hAnsi="Tahoma" w:cs="Tahoma"/>
          <w:sz w:val="18"/>
          <w:szCs w:val="18"/>
          <w:lang w:val="it-IT"/>
        </w:rPr>
        <w:t>utilizzo dei prodotti Microsoft, si verificano problemi con sintomi specifici, la cui causa sia ragionevolmente attribuibile ai prodotti Microsoft.</w:t>
      </w:r>
      <w:r w:rsidR="00082E1C" w:rsidRPr="00451078">
        <w:rPr>
          <w:rFonts w:ascii="Tahoma" w:hAnsi="Tahoma" w:cs="Tahoma"/>
          <w:sz w:val="18"/>
          <w:szCs w:val="18"/>
          <w:lang w:val="it-IT"/>
        </w:rPr>
        <w:t xml:space="preserve"> </w:t>
      </w:r>
      <w:r w:rsidRPr="00451078">
        <w:rPr>
          <w:rFonts w:ascii="Tahoma" w:hAnsi="Tahoma" w:cs="Tahoma"/>
          <w:sz w:val="18"/>
          <w:szCs w:val="18"/>
          <w:lang w:val="it-IT"/>
        </w:rPr>
        <w:t>Microsoft porrà in essere sforzi ragionevoli per fornire assistenza alle società in caso di richieste di supporto, conformemente ai criteri di Supporto dei Prodotti Microsoft.</w:t>
      </w:r>
      <w:r w:rsidR="00082E1C" w:rsidRPr="00451078">
        <w:rPr>
          <w:rFonts w:ascii="Tahoma" w:hAnsi="Tahoma" w:cs="Tahoma"/>
          <w:sz w:val="18"/>
          <w:szCs w:val="18"/>
          <w:lang w:val="it-IT"/>
        </w:rPr>
        <w:t xml:space="preserve"> </w:t>
      </w:r>
      <w:r w:rsidRPr="00451078">
        <w:rPr>
          <w:rFonts w:ascii="Tahoma" w:hAnsi="Tahoma" w:cs="Tahoma"/>
          <w:sz w:val="18"/>
          <w:szCs w:val="18"/>
          <w:lang w:val="it-IT"/>
        </w:rPr>
        <w:t xml:space="preserve">Microsoft si riserva il diritto di rifiutare richieste irragionevoli di servizi di supporto e potrà talvolta richiedere alle società di stipulare un ulteriore contratto di servizio a un costo aggiuntivo. </w:t>
      </w:r>
    </w:p>
    <w:p w:rsidR="00023FE7" w:rsidRPr="00451078" w:rsidRDefault="00023FE7" w:rsidP="002D25C8">
      <w:pPr>
        <w:pStyle w:val="AppendixBodyText"/>
        <w:spacing w:after="0"/>
        <w:rPr>
          <w:rFonts w:ascii="Tahoma" w:hAnsi="Tahoma" w:cs="Tahoma"/>
          <w:sz w:val="16"/>
          <w:szCs w:val="16"/>
          <w:lang w:val="it-IT"/>
        </w:rPr>
      </w:pPr>
    </w:p>
    <w:p w:rsidR="00023FE7" w:rsidRPr="000E00F3" w:rsidRDefault="00023FE7" w:rsidP="002D25C8">
      <w:pPr>
        <w:pStyle w:val="AppendixBodyText"/>
        <w:spacing w:after="0"/>
        <w:rPr>
          <w:rFonts w:ascii="Tahoma" w:hAnsi="Tahoma" w:cs="Tahoma"/>
          <w:sz w:val="18"/>
          <w:szCs w:val="18"/>
          <w:lang w:val="it-IT"/>
        </w:rPr>
      </w:pPr>
      <w:r w:rsidRPr="00451078">
        <w:rPr>
          <w:rFonts w:ascii="Tahoma" w:hAnsi="Tahoma" w:cs="Tahoma"/>
          <w:sz w:val="18"/>
          <w:szCs w:val="18"/>
          <w:lang w:val="it-IT"/>
        </w:rPr>
        <w:t>Microsoft può aggiungere il supporto per i nuovi prodotti o interrompere il supporto per i prodotti già esistenti. Potrebbero esservi casi nei quali l</w:t>
      </w:r>
      <w:r w:rsidR="004525CA">
        <w:rPr>
          <w:rFonts w:ascii="Tahoma" w:hAnsi="Tahoma" w:cs="Tahoma"/>
          <w:sz w:val="18"/>
          <w:szCs w:val="18"/>
          <w:lang w:val="it-IT"/>
        </w:rPr>
        <w:t>’</w:t>
      </w:r>
      <w:r w:rsidRPr="00451078">
        <w:rPr>
          <w:rFonts w:ascii="Tahoma" w:hAnsi="Tahoma" w:cs="Tahoma"/>
          <w:sz w:val="18"/>
          <w:szCs w:val="18"/>
          <w:lang w:val="it-IT"/>
        </w:rPr>
        <w:t>implementazione, da parte della società, dei prodotti Microsoft non possa di fatto essere oggetto di supporto. Qualora giunga a tale conclusione, Microsoft informerà la società, essendo tale comunicazione parte della fornitura dei servizi di supporto. Qualora la società non modifichi l</w:t>
      </w:r>
      <w:r w:rsidR="004525CA">
        <w:rPr>
          <w:rFonts w:ascii="Tahoma" w:hAnsi="Tahoma" w:cs="Tahoma"/>
          <w:sz w:val="18"/>
          <w:szCs w:val="18"/>
          <w:lang w:val="it-IT"/>
        </w:rPr>
        <w:t>’</w:t>
      </w:r>
      <w:r w:rsidRPr="00451078">
        <w:rPr>
          <w:rFonts w:ascii="Tahoma" w:hAnsi="Tahoma" w:cs="Tahoma"/>
          <w:sz w:val="18"/>
          <w:szCs w:val="18"/>
          <w:lang w:val="it-IT"/>
        </w:rPr>
        <w:t>implementazione al</w:t>
      </w:r>
      <w:r w:rsidR="00E44188" w:rsidRPr="00451078">
        <w:rPr>
          <w:rFonts w:ascii="Tahoma" w:hAnsi="Tahoma" w:cs="Tahoma"/>
          <w:sz w:val="18"/>
          <w:szCs w:val="18"/>
          <w:lang w:val="it-IT"/>
        </w:rPr>
        <w:t> </w:t>
      </w:r>
      <w:r w:rsidRPr="00451078">
        <w:rPr>
          <w:rFonts w:ascii="Tahoma" w:hAnsi="Tahoma" w:cs="Tahoma"/>
          <w:sz w:val="18"/>
          <w:szCs w:val="18"/>
          <w:lang w:val="it-IT"/>
        </w:rPr>
        <w:t>fine</w:t>
      </w:r>
      <w:r w:rsidR="00E44188" w:rsidRPr="00451078">
        <w:rPr>
          <w:rFonts w:ascii="Tahoma" w:hAnsi="Tahoma" w:cs="Tahoma"/>
          <w:sz w:val="18"/>
          <w:szCs w:val="18"/>
          <w:lang w:val="it-IT"/>
        </w:rPr>
        <w:t> </w:t>
      </w:r>
      <w:r w:rsidRPr="00451078">
        <w:rPr>
          <w:rFonts w:ascii="Tahoma" w:hAnsi="Tahoma" w:cs="Tahoma"/>
          <w:sz w:val="18"/>
          <w:szCs w:val="18"/>
          <w:lang w:val="it-IT"/>
        </w:rPr>
        <w:t xml:space="preserve">di poterla rendere effettivamente oggetto di supporto entro i 30 giorni successivi a tale comunicazione, </w:t>
      </w:r>
      <w:r w:rsidRPr="000E00F3">
        <w:rPr>
          <w:rFonts w:ascii="Tahoma" w:hAnsi="Tahoma" w:cs="Tahoma"/>
          <w:sz w:val="18"/>
          <w:szCs w:val="18"/>
          <w:lang w:val="it-IT"/>
        </w:rPr>
        <w:t xml:space="preserve">Microsoft non avrà alcuna obbligazione di fornire ulteriori servizi di supporto per tale implementazione. Tuttavia, Microsoft continuerà a fornire supporto per le altre implementazioni delle società coperte dalle condizioni. </w:t>
      </w:r>
    </w:p>
    <w:p w:rsidR="00DF400D" w:rsidRPr="000E00F3" w:rsidRDefault="00DF400D" w:rsidP="002D25C8">
      <w:pPr>
        <w:pStyle w:val="AppendixBodyText"/>
        <w:spacing w:after="0"/>
        <w:rPr>
          <w:rFonts w:ascii="Tahoma" w:hAnsi="Tahoma" w:cs="Tahoma"/>
          <w:sz w:val="18"/>
          <w:szCs w:val="18"/>
          <w:lang w:val="it-IT"/>
        </w:rPr>
      </w:pPr>
    </w:p>
    <w:p w:rsidR="00023FE7" w:rsidRPr="000E00F3" w:rsidRDefault="00023FE7" w:rsidP="002D25C8">
      <w:pPr>
        <w:pStyle w:val="AppendixBodyText"/>
        <w:spacing w:after="0"/>
        <w:rPr>
          <w:rFonts w:ascii="Tahoma" w:hAnsi="Tahoma" w:cs="Tahoma"/>
          <w:sz w:val="18"/>
          <w:szCs w:val="18"/>
          <w:lang w:val="it-IT"/>
        </w:rPr>
      </w:pPr>
      <w:r w:rsidRPr="000E00F3">
        <w:rPr>
          <w:rFonts w:ascii="Tahoma" w:hAnsi="Tahoma" w:cs="Tahoma"/>
          <w:sz w:val="18"/>
          <w:szCs w:val="18"/>
          <w:lang w:val="it-IT"/>
        </w:rPr>
        <w:t>Una richiesta di assistenza break-fix, definita anche intervento, è costituita da un</w:t>
      </w:r>
      <w:r w:rsidR="004525CA">
        <w:rPr>
          <w:rFonts w:ascii="Tahoma" w:hAnsi="Tahoma" w:cs="Tahoma"/>
          <w:sz w:val="18"/>
          <w:szCs w:val="18"/>
          <w:lang w:val="it-IT"/>
        </w:rPr>
        <w:t>’</w:t>
      </w:r>
      <w:r w:rsidRPr="000E00F3">
        <w:rPr>
          <w:rFonts w:ascii="Tahoma" w:hAnsi="Tahoma" w:cs="Tahoma"/>
          <w:sz w:val="18"/>
          <w:szCs w:val="18"/>
          <w:lang w:val="it-IT"/>
        </w:rPr>
        <w:t>unica problematica di assistenza e dal corrispondente impegno necessario per risolverla.</w:t>
      </w:r>
      <w:r w:rsidR="00082E1C" w:rsidRPr="000E00F3">
        <w:rPr>
          <w:rFonts w:ascii="Tahoma" w:hAnsi="Tahoma" w:cs="Tahoma"/>
          <w:sz w:val="18"/>
          <w:szCs w:val="18"/>
          <w:lang w:val="it-IT"/>
        </w:rPr>
        <w:t xml:space="preserve"> </w:t>
      </w:r>
      <w:r w:rsidRPr="000E00F3">
        <w:rPr>
          <w:rFonts w:ascii="Tahoma" w:hAnsi="Tahoma" w:cs="Tahoma"/>
          <w:sz w:val="18"/>
          <w:szCs w:val="18"/>
          <w:lang w:val="it-IT"/>
        </w:rPr>
        <w:t>Un</w:t>
      </w:r>
      <w:r w:rsidR="004525CA">
        <w:rPr>
          <w:rFonts w:ascii="Tahoma" w:hAnsi="Tahoma" w:cs="Tahoma"/>
          <w:sz w:val="18"/>
          <w:szCs w:val="18"/>
          <w:lang w:val="it-IT"/>
        </w:rPr>
        <w:t>’</w:t>
      </w:r>
      <w:r w:rsidRPr="000E00F3">
        <w:rPr>
          <w:rFonts w:ascii="Tahoma" w:hAnsi="Tahoma" w:cs="Tahoma"/>
          <w:sz w:val="18"/>
          <w:szCs w:val="18"/>
          <w:lang w:val="it-IT"/>
        </w:rPr>
        <w:t>unica problematica di assistenza è altresì un problema che non può essere suddiviso in problematiche subordinate.</w:t>
      </w:r>
      <w:r w:rsidR="00082E1C" w:rsidRPr="000E00F3">
        <w:rPr>
          <w:rFonts w:ascii="Tahoma" w:hAnsi="Tahoma" w:cs="Tahoma"/>
          <w:sz w:val="18"/>
          <w:szCs w:val="18"/>
          <w:lang w:val="it-IT"/>
        </w:rPr>
        <w:t xml:space="preserve"> </w:t>
      </w:r>
      <w:r w:rsidRPr="000E00F3">
        <w:rPr>
          <w:rFonts w:ascii="Tahoma" w:hAnsi="Tahoma" w:cs="Tahoma"/>
          <w:sz w:val="18"/>
          <w:szCs w:val="18"/>
          <w:lang w:val="it-IT"/>
        </w:rPr>
        <w:t>Se un problema è composto da problematiche subordinate, ogni problematica dovrà essere considerata un intervento distinto.</w:t>
      </w:r>
      <w:r w:rsidR="00082E1C" w:rsidRPr="000E00F3">
        <w:rPr>
          <w:rFonts w:ascii="Tahoma" w:hAnsi="Tahoma" w:cs="Tahoma"/>
          <w:sz w:val="18"/>
          <w:szCs w:val="18"/>
          <w:lang w:val="it-IT"/>
        </w:rPr>
        <w:t xml:space="preserve"> </w:t>
      </w:r>
      <w:r w:rsidRPr="000E00F3">
        <w:rPr>
          <w:rFonts w:ascii="Tahoma" w:hAnsi="Tahoma" w:cs="Tahoma"/>
          <w:sz w:val="18"/>
          <w:szCs w:val="18"/>
          <w:lang w:val="it-IT"/>
        </w:rPr>
        <w:t>In determinate situazioni Microsoft potrà fornire alle società una modifica al codice del prodotto software Microsoft disponibile sul mercato per risolvere problemi critici (</w:t>
      </w:r>
      <w:r w:rsidR="001A3EC5" w:rsidRPr="000E00F3">
        <w:rPr>
          <w:rFonts w:ascii="Tahoma" w:hAnsi="Tahoma" w:cs="Tahoma"/>
          <w:sz w:val="18"/>
          <w:szCs w:val="18"/>
          <w:lang w:val="it-IT"/>
        </w:rPr>
        <w:t>“</w:t>
      </w:r>
      <w:r w:rsidRPr="000E00F3">
        <w:rPr>
          <w:rFonts w:ascii="Tahoma" w:hAnsi="Tahoma" w:cs="Tahoma"/>
          <w:sz w:val="18"/>
          <w:szCs w:val="18"/>
          <w:lang w:val="it-IT"/>
        </w:rPr>
        <w:t>Hotfix</w:t>
      </w:r>
      <w:r w:rsidR="001A3EC5" w:rsidRPr="000E00F3">
        <w:rPr>
          <w:rFonts w:ascii="Tahoma" w:hAnsi="Tahoma" w:cs="Tahoma"/>
          <w:sz w:val="18"/>
          <w:szCs w:val="18"/>
          <w:lang w:val="it-IT"/>
        </w:rPr>
        <w:t>”</w:t>
      </w:r>
      <w:r w:rsidRPr="000E00F3">
        <w:rPr>
          <w:rFonts w:ascii="Tahoma" w:hAnsi="Tahoma" w:cs="Tahoma"/>
          <w:sz w:val="18"/>
          <w:szCs w:val="18"/>
          <w:lang w:val="it-IT"/>
        </w:rPr>
        <w:t>) in risposta alla richiesta di assistenza. Le Hotfix vengono sviluppate per risolvere problemi specifici delle società e non vengono sottoposte a un ciclo completo di test.</w:t>
      </w:r>
      <w:r w:rsidR="00082E1C" w:rsidRPr="000E00F3">
        <w:rPr>
          <w:rFonts w:ascii="Tahoma" w:hAnsi="Tahoma" w:cs="Tahoma"/>
          <w:sz w:val="18"/>
          <w:szCs w:val="18"/>
          <w:lang w:val="it-IT"/>
        </w:rPr>
        <w:t xml:space="preserve"> </w:t>
      </w:r>
      <w:r w:rsidRPr="000E00F3">
        <w:rPr>
          <w:rFonts w:ascii="Tahoma" w:hAnsi="Tahoma" w:cs="Tahoma"/>
          <w:sz w:val="18"/>
          <w:szCs w:val="18"/>
          <w:lang w:val="it-IT"/>
        </w:rPr>
        <w:t xml:space="preserve">Salvo diversamente specificato nel presente </w:t>
      </w:r>
      <w:r w:rsidRPr="000E00F3">
        <w:rPr>
          <w:rFonts w:ascii="Tahoma" w:hAnsi="Tahoma" w:cs="Tahoma"/>
          <w:sz w:val="18"/>
          <w:szCs w:val="18"/>
          <w:lang w:val="it-IT"/>
        </w:rPr>
        <w:lastRenderedPageBreak/>
        <w:t>documento, le Hotfix non potranno essere distribuite a terzi non consociati senza il preventivo consenso scritto di</w:t>
      </w:r>
      <w:r w:rsidR="00E44188" w:rsidRPr="000E00F3">
        <w:rPr>
          <w:rFonts w:ascii="Tahoma" w:hAnsi="Tahoma" w:cs="Tahoma"/>
          <w:sz w:val="18"/>
          <w:szCs w:val="18"/>
          <w:lang w:val="it-IT"/>
        </w:rPr>
        <w:t> </w:t>
      </w:r>
      <w:r w:rsidRPr="000E00F3">
        <w:rPr>
          <w:rFonts w:ascii="Tahoma" w:hAnsi="Tahoma" w:cs="Tahoma"/>
          <w:sz w:val="18"/>
          <w:szCs w:val="18"/>
          <w:lang w:val="it-IT"/>
        </w:rPr>
        <w:t>Microsoft.</w:t>
      </w:r>
    </w:p>
    <w:p w:rsidR="00023FE7" w:rsidRPr="000E00F3" w:rsidRDefault="00023FE7" w:rsidP="002D25C8">
      <w:pPr>
        <w:pStyle w:val="AppendixBodyText"/>
        <w:spacing w:after="0"/>
        <w:rPr>
          <w:rFonts w:ascii="Tahoma" w:hAnsi="Tahoma" w:cs="Tahoma"/>
          <w:sz w:val="18"/>
          <w:szCs w:val="18"/>
          <w:lang w:val="it-IT"/>
        </w:rPr>
      </w:pPr>
    </w:p>
    <w:p w:rsidR="00023FE7" w:rsidRPr="000E00F3" w:rsidRDefault="00023FE7" w:rsidP="002D25C8">
      <w:pPr>
        <w:pStyle w:val="AppendixBodyText"/>
        <w:spacing w:after="0"/>
        <w:rPr>
          <w:rFonts w:ascii="Tahoma" w:hAnsi="Tahoma" w:cs="Tahoma"/>
          <w:sz w:val="18"/>
          <w:szCs w:val="18"/>
          <w:lang w:val="it-IT"/>
        </w:rPr>
      </w:pPr>
      <w:r w:rsidRPr="000E00F3">
        <w:rPr>
          <w:rFonts w:ascii="Tahoma" w:hAnsi="Tahoma" w:cs="Tahoma"/>
          <w:sz w:val="18"/>
          <w:szCs w:val="18"/>
          <w:lang w:val="it-IT"/>
        </w:rPr>
        <w:t xml:space="preserve">I prodotti disponibili tramite Contratti Multilicenza e che usufruiscono del Supporto Mainstream come stabilito nei </w:t>
      </w:r>
      <w:hyperlink r:id="rId28" w:history="1">
        <w:r w:rsidRPr="000E00F3">
          <w:rPr>
            <w:rStyle w:val="Hyperlink"/>
            <w:rFonts w:ascii="Tahoma" w:hAnsi="Tahoma" w:cs="Tahoma"/>
            <w:sz w:val="18"/>
            <w:szCs w:val="18"/>
            <w:lang w:val="it-IT"/>
          </w:rPr>
          <w:t>Criteri per il Ciclo di Vita del Supporto di Microsoft</w:t>
        </w:r>
      </w:hyperlink>
      <w:r w:rsidRPr="000E00F3">
        <w:rPr>
          <w:rFonts w:ascii="Tahoma" w:hAnsi="Tahoma" w:cs="Tahoma"/>
          <w:sz w:val="18"/>
          <w:szCs w:val="18"/>
          <w:lang w:val="it-IT"/>
        </w:rPr>
        <w:t xml:space="preserve"> </w:t>
      </w:r>
      <w:r w:rsidRPr="000E00F3">
        <w:rPr>
          <w:rFonts w:ascii="Tahoma" w:hAnsi="Tahoma" w:cs="Tahoma"/>
          <w:color w:val="000000"/>
          <w:sz w:val="18"/>
          <w:szCs w:val="18"/>
          <w:lang w:val="it-IT"/>
        </w:rPr>
        <w:t>sono idonei a ricevere il Supporto per la Risoluzione dei Problemi 24x7.</w:t>
      </w:r>
      <w:r w:rsidR="00082E1C" w:rsidRPr="000E00F3">
        <w:rPr>
          <w:rFonts w:ascii="Tahoma" w:hAnsi="Tahoma" w:cs="Tahoma"/>
          <w:color w:val="000000"/>
          <w:sz w:val="18"/>
          <w:szCs w:val="18"/>
          <w:lang w:val="it-IT"/>
        </w:rPr>
        <w:t xml:space="preserve"> </w:t>
      </w:r>
      <w:r w:rsidRPr="000E00F3">
        <w:rPr>
          <w:rFonts w:ascii="Tahoma" w:hAnsi="Tahoma" w:cs="Tahoma"/>
          <w:color w:val="000000"/>
          <w:sz w:val="18"/>
          <w:szCs w:val="18"/>
          <w:lang w:val="it-IT"/>
        </w:rPr>
        <w:t>L</w:t>
      </w:r>
      <w:r w:rsidR="004525CA">
        <w:rPr>
          <w:rFonts w:ascii="Tahoma" w:hAnsi="Tahoma" w:cs="Tahoma"/>
          <w:color w:val="000000"/>
          <w:sz w:val="18"/>
          <w:szCs w:val="18"/>
          <w:lang w:val="it-IT"/>
        </w:rPr>
        <w:t>’</w:t>
      </w:r>
      <w:r w:rsidRPr="000E00F3">
        <w:rPr>
          <w:rFonts w:ascii="Tahoma" w:hAnsi="Tahoma" w:cs="Tahoma"/>
          <w:color w:val="000000"/>
          <w:sz w:val="18"/>
          <w:szCs w:val="18"/>
          <w:lang w:val="it-IT"/>
        </w:rPr>
        <w:t>idoneità del prodotto a ricevere supporto telefonico è collegata alla disponibilità dell</w:t>
      </w:r>
      <w:r w:rsidR="004525CA">
        <w:rPr>
          <w:rFonts w:ascii="Tahoma" w:hAnsi="Tahoma" w:cs="Tahoma"/>
          <w:color w:val="000000"/>
          <w:sz w:val="18"/>
          <w:szCs w:val="18"/>
          <w:lang w:val="it-IT"/>
        </w:rPr>
        <w:t>’</w:t>
      </w:r>
      <w:r w:rsidRPr="000E00F3">
        <w:rPr>
          <w:rFonts w:ascii="Tahoma" w:hAnsi="Tahoma" w:cs="Tahoma"/>
          <w:color w:val="000000"/>
          <w:sz w:val="18"/>
          <w:szCs w:val="18"/>
          <w:lang w:val="it-IT"/>
        </w:rPr>
        <w:t>offerta Software Assurance per il prodotto stesso. Per i prodotti per i quali non è disponibile alcuna opzione Software Assurance per il</w:t>
      </w:r>
      <w:r w:rsidR="00E44188" w:rsidRPr="000E00F3">
        <w:rPr>
          <w:rFonts w:ascii="Tahoma" w:hAnsi="Tahoma" w:cs="Tahoma"/>
          <w:color w:val="000000"/>
          <w:sz w:val="18"/>
          <w:szCs w:val="18"/>
          <w:lang w:val="it-IT"/>
        </w:rPr>
        <w:t> </w:t>
      </w:r>
      <w:r w:rsidRPr="000E00F3">
        <w:rPr>
          <w:rFonts w:ascii="Tahoma" w:hAnsi="Tahoma" w:cs="Tahoma"/>
          <w:color w:val="000000"/>
          <w:sz w:val="18"/>
          <w:szCs w:val="18"/>
          <w:lang w:val="it-IT"/>
        </w:rPr>
        <w:t>server, ma per le CAL, la spesa SA relativa alle CAL prende in considerazione gli interventi da utilizzare per i prodotti idonei nella modalità indicata di seguito nella sezione Premi per Interventi Tramite Supporto Telefonico.</w:t>
      </w:r>
      <w:r w:rsidR="00082E1C" w:rsidRPr="000E00F3">
        <w:rPr>
          <w:rFonts w:ascii="Tahoma" w:hAnsi="Tahoma" w:cs="Tahoma"/>
          <w:color w:val="000000"/>
          <w:sz w:val="18"/>
          <w:szCs w:val="18"/>
          <w:lang w:val="it-IT"/>
        </w:rPr>
        <w:t xml:space="preserve"> </w:t>
      </w:r>
      <w:r w:rsidRPr="000E00F3">
        <w:rPr>
          <w:rFonts w:ascii="Tahoma" w:hAnsi="Tahoma" w:cs="Tahoma"/>
          <w:color w:val="000000"/>
          <w:sz w:val="18"/>
          <w:szCs w:val="18"/>
          <w:lang w:val="it-IT"/>
        </w:rPr>
        <w:t>Per</w:t>
      </w:r>
      <w:r w:rsidR="00E44188" w:rsidRPr="000E00F3">
        <w:rPr>
          <w:rFonts w:ascii="Tahoma" w:hAnsi="Tahoma" w:cs="Tahoma"/>
          <w:color w:val="000000"/>
          <w:sz w:val="18"/>
          <w:szCs w:val="18"/>
          <w:lang w:val="it-IT"/>
        </w:rPr>
        <w:t> </w:t>
      </w:r>
      <w:r w:rsidRPr="000E00F3">
        <w:rPr>
          <w:rFonts w:ascii="Tahoma" w:hAnsi="Tahoma" w:cs="Tahoma"/>
          <w:color w:val="000000"/>
          <w:sz w:val="18"/>
          <w:szCs w:val="18"/>
          <w:lang w:val="it-IT"/>
        </w:rPr>
        <w:t>consultare i criteri di assistenza e supporto, fare riferimento alla sezione specifica del prodotto.</w:t>
      </w:r>
      <w:r w:rsidR="00082E1C" w:rsidRPr="000E00F3">
        <w:rPr>
          <w:rFonts w:ascii="Tahoma" w:hAnsi="Tahoma" w:cs="Tahoma"/>
          <w:color w:val="000000"/>
          <w:sz w:val="18"/>
          <w:szCs w:val="18"/>
          <w:lang w:val="it-IT"/>
        </w:rPr>
        <w:t xml:space="preserve"> </w:t>
      </w:r>
      <w:r w:rsidRPr="000E00F3">
        <w:rPr>
          <w:rFonts w:ascii="Tahoma" w:hAnsi="Tahoma" w:cs="Tahoma"/>
          <w:color w:val="000000"/>
          <w:sz w:val="18"/>
          <w:szCs w:val="18"/>
          <w:lang w:val="it-IT"/>
        </w:rPr>
        <w:t>Sono idonee anche le versioni precedenti dei prodotti per cui è previsto il Supporto Mainstream e che le società scelgono di utilizzare al posto della versione con licenza in uso.</w:t>
      </w:r>
      <w:r w:rsidR="00082E1C" w:rsidRPr="000E00F3">
        <w:rPr>
          <w:rFonts w:ascii="Tahoma" w:hAnsi="Tahoma" w:cs="Tahoma"/>
          <w:color w:val="000000"/>
          <w:sz w:val="18"/>
          <w:szCs w:val="18"/>
          <w:lang w:val="it-IT"/>
        </w:rPr>
        <w:t xml:space="preserve"> </w:t>
      </w:r>
      <w:r w:rsidRPr="000E00F3">
        <w:rPr>
          <w:rFonts w:ascii="Tahoma" w:hAnsi="Tahoma" w:cs="Tahoma"/>
          <w:color w:val="000000"/>
          <w:sz w:val="18"/>
          <w:szCs w:val="18"/>
          <w:lang w:val="it-IT"/>
        </w:rPr>
        <w:t>Sono esclusi la Developer Edition di tutti i server, i prodotti HED</w:t>
      </w:r>
      <w:r w:rsidR="00E44188" w:rsidRPr="000E00F3">
        <w:rPr>
          <w:rFonts w:ascii="Tahoma" w:hAnsi="Tahoma" w:cs="Tahoma"/>
          <w:color w:val="000000"/>
          <w:sz w:val="18"/>
          <w:szCs w:val="18"/>
          <w:lang w:val="it-IT"/>
        </w:rPr>
        <w:t> </w:t>
      </w:r>
      <w:r w:rsidRPr="000E00F3">
        <w:rPr>
          <w:rFonts w:ascii="Tahoma" w:hAnsi="Tahoma" w:cs="Tahoma"/>
          <w:color w:val="000000"/>
          <w:sz w:val="18"/>
          <w:szCs w:val="18"/>
          <w:lang w:val="it-IT"/>
        </w:rPr>
        <w:t>e</w:t>
      </w:r>
      <w:r w:rsidR="00E44188" w:rsidRPr="000E00F3">
        <w:rPr>
          <w:rFonts w:ascii="Tahoma" w:hAnsi="Tahoma" w:cs="Tahoma"/>
          <w:color w:val="000000"/>
          <w:sz w:val="18"/>
          <w:szCs w:val="18"/>
          <w:lang w:val="it-IT"/>
        </w:rPr>
        <w:t> </w:t>
      </w:r>
      <w:r w:rsidRPr="000E00F3">
        <w:rPr>
          <w:rFonts w:ascii="Tahoma" w:hAnsi="Tahoma" w:cs="Tahoma"/>
          <w:color w:val="000000"/>
          <w:sz w:val="18"/>
          <w:szCs w:val="18"/>
          <w:lang w:val="it-IT"/>
        </w:rPr>
        <w:t>gli Abbonamenti MSDN.</w:t>
      </w:r>
    </w:p>
    <w:p w:rsidR="00023FE7" w:rsidRPr="00451078" w:rsidRDefault="00023FE7" w:rsidP="002D25C8">
      <w:pPr>
        <w:pStyle w:val="AppendixBodyText"/>
        <w:spacing w:after="0"/>
        <w:rPr>
          <w:lang w:val="it-IT"/>
        </w:rPr>
      </w:pPr>
    </w:p>
    <w:p w:rsidR="00023FE7" w:rsidRPr="001D4757" w:rsidRDefault="00023FE7" w:rsidP="002D25C8">
      <w:pPr>
        <w:pStyle w:val="AppendixBodyText"/>
        <w:spacing w:after="0"/>
        <w:rPr>
          <w:sz w:val="18"/>
          <w:szCs w:val="18"/>
          <w:lang w:val="it-IT"/>
        </w:rPr>
      </w:pPr>
      <w:r w:rsidRPr="001D4757">
        <w:rPr>
          <w:rFonts w:ascii="Tahoma" w:hAnsi="Tahoma" w:cs="Tahoma"/>
          <w:sz w:val="18"/>
          <w:szCs w:val="18"/>
          <w:lang w:val="it-IT"/>
        </w:rPr>
        <w:t>Microsoft potrà utilizzare qualsiasi informazione tecnica ottenuta tramite la fornitura di servizi correlati ai suoi prodotti per la risoluzione dei problemi, il miglioramento delle funzionalità dei prodotti e i fix, nonché per la knowledge base di Microsoft. Microsoft accetta di non citare la società o divulgare informazioni riservate di quest</w:t>
      </w:r>
      <w:r w:rsidR="004525CA">
        <w:rPr>
          <w:rFonts w:ascii="Tahoma" w:hAnsi="Tahoma" w:cs="Tahoma"/>
          <w:sz w:val="18"/>
          <w:szCs w:val="18"/>
          <w:lang w:val="it-IT"/>
        </w:rPr>
        <w:t>’</w:t>
      </w:r>
      <w:r w:rsidRPr="001D4757">
        <w:rPr>
          <w:rFonts w:ascii="Tahoma" w:hAnsi="Tahoma" w:cs="Tahoma"/>
          <w:sz w:val="18"/>
          <w:szCs w:val="18"/>
          <w:lang w:val="it-IT"/>
        </w:rPr>
        <w:t>ultima in alcun articolo della knowledge base. Microsoft non è obbligata a limitare gli incarichi di lavoro futuri delle persone che hanno avuto accesso alle informazioni riservate della società. Inoltre, la società, Microsoft e tali persone sono libere di utilizzare le</w:t>
      </w:r>
      <w:r w:rsidR="00E44188" w:rsidRPr="001D4757">
        <w:rPr>
          <w:rFonts w:ascii="Tahoma" w:hAnsi="Tahoma" w:cs="Tahoma"/>
          <w:sz w:val="18"/>
          <w:szCs w:val="18"/>
          <w:lang w:val="it-IT"/>
        </w:rPr>
        <w:t> </w:t>
      </w:r>
      <w:r w:rsidRPr="001D4757">
        <w:rPr>
          <w:rFonts w:ascii="Tahoma" w:hAnsi="Tahoma" w:cs="Tahoma"/>
          <w:sz w:val="18"/>
          <w:szCs w:val="18"/>
          <w:lang w:val="it-IT"/>
        </w:rPr>
        <w:t>informazioni che tali persone ricordano relativamente all</w:t>
      </w:r>
      <w:r w:rsidR="004525CA">
        <w:rPr>
          <w:rFonts w:ascii="Tahoma" w:hAnsi="Tahoma" w:cs="Tahoma"/>
          <w:sz w:val="18"/>
          <w:szCs w:val="18"/>
          <w:lang w:val="it-IT"/>
        </w:rPr>
        <w:t>’</w:t>
      </w:r>
      <w:r w:rsidRPr="001D4757">
        <w:rPr>
          <w:rFonts w:ascii="Tahoma" w:hAnsi="Tahoma" w:cs="Tahoma"/>
          <w:sz w:val="18"/>
          <w:szCs w:val="18"/>
          <w:lang w:val="it-IT"/>
        </w:rPr>
        <w:t>information technology, inclusi idee, concetti, know-how o</w:t>
      </w:r>
      <w:r w:rsidR="00E44188" w:rsidRPr="001D4757">
        <w:rPr>
          <w:rFonts w:ascii="Tahoma" w:hAnsi="Tahoma" w:cs="Tahoma"/>
          <w:sz w:val="18"/>
          <w:szCs w:val="18"/>
          <w:lang w:val="it-IT"/>
        </w:rPr>
        <w:t> </w:t>
      </w:r>
      <w:r w:rsidRPr="001D4757">
        <w:rPr>
          <w:rFonts w:ascii="Tahoma" w:hAnsi="Tahoma" w:cs="Tahoma"/>
          <w:sz w:val="18"/>
          <w:szCs w:val="18"/>
          <w:lang w:val="it-IT"/>
        </w:rPr>
        <w:t>tecniche, a condizione che le informazioni riservate dell</w:t>
      </w:r>
      <w:r w:rsidR="004525CA">
        <w:rPr>
          <w:rFonts w:ascii="Tahoma" w:hAnsi="Tahoma" w:cs="Tahoma"/>
          <w:sz w:val="18"/>
          <w:szCs w:val="18"/>
          <w:lang w:val="it-IT"/>
        </w:rPr>
        <w:t>’</w:t>
      </w:r>
      <w:r w:rsidRPr="001D4757">
        <w:rPr>
          <w:rFonts w:ascii="Tahoma" w:hAnsi="Tahoma" w:cs="Tahoma"/>
          <w:sz w:val="18"/>
          <w:szCs w:val="18"/>
          <w:lang w:val="it-IT"/>
        </w:rPr>
        <w:t>altra parte non siano divulgate durante tale utilizzo.</w:t>
      </w:r>
    </w:p>
    <w:p w:rsidR="00023FE7" w:rsidRPr="001D4757" w:rsidRDefault="00023FE7" w:rsidP="002D25C8">
      <w:pPr>
        <w:pStyle w:val="AppendixBodyText"/>
        <w:spacing w:after="0"/>
        <w:rPr>
          <w:sz w:val="18"/>
          <w:szCs w:val="18"/>
          <w:lang w:val="it-IT"/>
        </w:rPr>
      </w:pPr>
    </w:p>
    <w:p w:rsidR="00023FE7" w:rsidRPr="001D4757" w:rsidRDefault="00023FE7" w:rsidP="002D25C8">
      <w:pPr>
        <w:pStyle w:val="AppendixBodyText"/>
        <w:spacing w:after="0"/>
        <w:rPr>
          <w:sz w:val="18"/>
          <w:szCs w:val="18"/>
          <w:lang w:val="it-IT"/>
        </w:rPr>
      </w:pPr>
      <w:r w:rsidRPr="001D4757">
        <w:rPr>
          <w:rFonts w:ascii="Tahoma" w:hAnsi="Tahoma" w:cs="Tahoma"/>
          <w:sz w:val="18"/>
          <w:szCs w:val="18"/>
          <w:lang w:val="it-IT"/>
        </w:rPr>
        <w:t>Il diritto della società di utilizzare eventuali fix, che Microsoft potrà rendere disponibili nel corso dell</w:t>
      </w:r>
      <w:r w:rsidR="004525CA">
        <w:rPr>
          <w:rFonts w:ascii="Tahoma" w:hAnsi="Tahoma" w:cs="Tahoma"/>
          <w:sz w:val="18"/>
          <w:szCs w:val="18"/>
          <w:lang w:val="it-IT"/>
        </w:rPr>
        <w:t>’</w:t>
      </w:r>
      <w:r w:rsidRPr="001D4757">
        <w:rPr>
          <w:rFonts w:ascii="Tahoma" w:hAnsi="Tahoma" w:cs="Tahoma"/>
          <w:sz w:val="18"/>
          <w:szCs w:val="18"/>
          <w:lang w:val="it-IT"/>
        </w:rPr>
        <w:t>erogazione dei servizi, è disciplinato dal contratto di licenza per il prodotto al quale il fix fa riferimento, oppure, nel caso in cui il fix</w:t>
      </w:r>
      <w:r w:rsidR="00E44188" w:rsidRPr="001D4757">
        <w:rPr>
          <w:rFonts w:ascii="Tahoma" w:hAnsi="Tahoma" w:cs="Tahoma"/>
          <w:sz w:val="18"/>
          <w:szCs w:val="18"/>
          <w:lang w:val="it-IT"/>
        </w:rPr>
        <w:t> </w:t>
      </w:r>
      <w:r w:rsidRPr="001D4757">
        <w:rPr>
          <w:rFonts w:ascii="Tahoma" w:hAnsi="Tahoma" w:cs="Tahoma"/>
          <w:sz w:val="18"/>
          <w:szCs w:val="18"/>
          <w:lang w:val="it-IT"/>
        </w:rPr>
        <w:t>non sia fornito per un prodotto specifico, da altre condizioni definite da Microsoft. Tutti i fix forniti sono concessi in</w:t>
      </w:r>
      <w:r w:rsidR="00E44188" w:rsidRPr="001D4757">
        <w:rPr>
          <w:rFonts w:ascii="Tahoma" w:hAnsi="Tahoma" w:cs="Tahoma"/>
          <w:sz w:val="18"/>
          <w:szCs w:val="18"/>
          <w:lang w:val="it-IT"/>
        </w:rPr>
        <w:t> </w:t>
      </w:r>
      <w:r w:rsidRPr="001D4757">
        <w:rPr>
          <w:rFonts w:ascii="Tahoma" w:hAnsi="Tahoma" w:cs="Tahoma"/>
          <w:sz w:val="18"/>
          <w:szCs w:val="18"/>
          <w:lang w:val="it-IT"/>
        </w:rPr>
        <w:t>licenza alla società.</w:t>
      </w:r>
    </w:p>
    <w:p w:rsidR="00023FE7" w:rsidRPr="001D4757" w:rsidRDefault="00023FE7" w:rsidP="002D25C8">
      <w:pPr>
        <w:pStyle w:val="AppendixBodyText"/>
        <w:spacing w:after="0"/>
        <w:rPr>
          <w:sz w:val="18"/>
          <w:szCs w:val="18"/>
          <w:lang w:val="it-IT"/>
        </w:rPr>
      </w:pPr>
    </w:p>
    <w:p w:rsidR="00023FE7" w:rsidRPr="001D4757" w:rsidRDefault="00023FE7" w:rsidP="002D25C8">
      <w:pPr>
        <w:pStyle w:val="AppendixBodyText"/>
        <w:spacing w:after="0"/>
        <w:rPr>
          <w:sz w:val="18"/>
          <w:szCs w:val="18"/>
          <w:lang w:val="it-IT"/>
        </w:rPr>
      </w:pPr>
      <w:r w:rsidRPr="001D4757">
        <w:rPr>
          <w:rFonts w:ascii="Tahoma" w:hAnsi="Tahoma" w:cs="Tahoma"/>
          <w:sz w:val="18"/>
          <w:szCs w:val="18"/>
          <w:lang w:val="it-IT"/>
        </w:rPr>
        <w:t>Il supporto tecnico può essere avviato formulando le richieste di intervento in formato elettronico, tramite Web o</w:t>
      </w:r>
      <w:r w:rsidR="00E44188" w:rsidRPr="001D4757">
        <w:rPr>
          <w:rFonts w:ascii="Tahoma" w:hAnsi="Tahoma" w:cs="Tahoma"/>
          <w:sz w:val="18"/>
          <w:szCs w:val="18"/>
          <w:lang w:val="it-IT"/>
        </w:rPr>
        <w:t> </w:t>
      </w:r>
      <w:r w:rsidRPr="001D4757">
        <w:rPr>
          <w:rFonts w:ascii="Tahoma" w:hAnsi="Tahoma" w:cs="Tahoma"/>
          <w:sz w:val="18"/>
          <w:szCs w:val="18"/>
          <w:lang w:val="it-IT"/>
        </w:rPr>
        <w:t>per</w:t>
      </w:r>
      <w:r w:rsidR="00E44188" w:rsidRPr="001D4757">
        <w:rPr>
          <w:rFonts w:ascii="Tahoma" w:hAnsi="Tahoma" w:cs="Tahoma"/>
          <w:sz w:val="18"/>
          <w:szCs w:val="18"/>
          <w:lang w:val="it-IT"/>
        </w:rPr>
        <w:t> </w:t>
      </w:r>
      <w:r w:rsidRPr="001D4757">
        <w:rPr>
          <w:rFonts w:ascii="Tahoma" w:hAnsi="Tahoma" w:cs="Tahoma"/>
          <w:sz w:val="18"/>
          <w:szCs w:val="18"/>
          <w:lang w:val="it-IT"/>
        </w:rPr>
        <w:t>telefono. Disposizioni diverse si applicano a ciascun tipo di strumento.</w:t>
      </w:r>
      <w:r w:rsidR="00082E1C" w:rsidRPr="001D4757">
        <w:rPr>
          <w:rFonts w:ascii="Tahoma" w:hAnsi="Tahoma" w:cs="Tahoma"/>
          <w:sz w:val="18"/>
          <w:szCs w:val="18"/>
          <w:lang w:val="it-IT"/>
        </w:rPr>
        <w:t xml:space="preserve"> </w:t>
      </w:r>
      <w:r w:rsidRPr="001D4757">
        <w:rPr>
          <w:rFonts w:ascii="Tahoma" w:hAnsi="Tahoma" w:cs="Tahoma"/>
          <w:sz w:val="18"/>
          <w:szCs w:val="18"/>
          <w:lang w:val="it-IT"/>
        </w:rPr>
        <w:t>Il Supporto per la Risoluzione dei Problemi 24x7 assegna alle società un determinato numero di interventi e fornisce loro i contatti a cui rivolgersi per</w:t>
      </w:r>
      <w:r w:rsidR="00E44188" w:rsidRPr="001D4757">
        <w:rPr>
          <w:rFonts w:ascii="Tahoma" w:hAnsi="Tahoma" w:cs="Tahoma"/>
          <w:sz w:val="18"/>
          <w:szCs w:val="18"/>
          <w:lang w:val="it-IT"/>
        </w:rPr>
        <w:t> </w:t>
      </w:r>
      <w:r w:rsidRPr="001D4757">
        <w:rPr>
          <w:rFonts w:ascii="Tahoma" w:hAnsi="Tahoma" w:cs="Tahoma"/>
          <w:sz w:val="18"/>
          <w:szCs w:val="18"/>
          <w:lang w:val="it-IT"/>
        </w:rPr>
        <w:t>richiedere tali interventi.</w:t>
      </w:r>
    </w:p>
    <w:p w:rsidR="00023FE7" w:rsidRPr="001D4757" w:rsidRDefault="00023FE7" w:rsidP="002D25C8">
      <w:pPr>
        <w:pStyle w:val="AppendixBodyText"/>
        <w:spacing w:after="0"/>
        <w:rPr>
          <w:sz w:val="18"/>
          <w:szCs w:val="18"/>
          <w:lang w:val="it-IT"/>
        </w:rPr>
      </w:pPr>
    </w:p>
    <w:p w:rsidR="00023FE7" w:rsidRPr="001D4757" w:rsidRDefault="00023FE7" w:rsidP="00DA2788">
      <w:pPr>
        <w:spacing w:after="60"/>
        <w:rPr>
          <w:szCs w:val="18"/>
          <w:lang w:val="it-IT"/>
        </w:rPr>
      </w:pPr>
      <w:bookmarkStart w:id="793" w:name="_Toc240899163"/>
      <w:r w:rsidRPr="001D4757">
        <w:rPr>
          <w:rFonts w:cs="Tahoma"/>
          <w:b/>
          <w:szCs w:val="18"/>
          <w:lang w:val="it-IT"/>
        </w:rPr>
        <w:t>Premi per Interventi Tramite Supporto Telefonico</w:t>
      </w:r>
      <w:bookmarkEnd w:id="793"/>
    </w:p>
    <w:p w:rsidR="00023FE7" w:rsidRPr="001D4757" w:rsidRDefault="00023FE7" w:rsidP="002D25C8">
      <w:pPr>
        <w:pStyle w:val="AppendixBodyText"/>
        <w:spacing w:after="0"/>
        <w:rPr>
          <w:sz w:val="18"/>
          <w:szCs w:val="18"/>
          <w:lang w:val="it-IT"/>
        </w:rPr>
      </w:pPr>
      <w:r w:rsidRPr="001D4757">
        <w:rPr>
          <w:rFonts w:ascii="Tahoma" w:hAnsi="Tahoma" w:cs="Tahoma"/>
          <w:sz w:val="18"/>
          <w:szCs w:val="18"/>
          <w:lang w:val="it-IT"/>
        </w:rPr>
        <w:t>Il numero di interventi per cui è consentito richiedere il supporto telefonico varia da società a società, in base alla spesa sostenuta per Software Assurance (SA) e all</w:t>
      </w:r>
      <w:r w:rsidR="004525CA">
        <w:rPr>
          <w:rFonts w:ascii="Tahoma" w:hAnsi="Tahoma" w:cs="Tahoma"/>
          <w:sz w:val="18"/>
          <w:szCs w:val="18"/>
          <w:lang w:val="it-IT"/>
        </w:rPr>
        <w:t>’</w:t>
      </w:r>
      <w:r w:rsidRPr="001D4757">
        <w:rPr>
          <w:rFonts w:ascii="Tahoma" w:hAnsi="Tahoma" w:cs="Tahoma"/>
          <w:sz w:val="18"/>
          <w:szCs w:val="18"/>
          <w:lang w:val="it-IT"/>
        </w:rPr>
        <w:t>opzione di pagamento.</w:t>
      </w:r>
      <w:r w:rsidR="00082E1C" w:rsidRPr="001D4757">
        <w:rPr>
          <w:rFonts w:ascii="Tahoma" w:hAnsi="Tahoma" w:cs="Tahoma"/>
          <w:sz w:val="18"/>
          <w:szCs w:val="18"/>
          <w:lang w:val="it-IT"/>
        </w:rPr>
        <w:t xml:space="preserve"> </w:t>
      </w:r>
      <w:r w:rsidRPr="001D4757">
        <w:rPr>
          <w:rFonts w:ascii="Tahoma" w:hAnsi="Tahoma" w:cs="Tahoma"/>
          <w:sz w:val="18"/>
          <w:szCs w:val="18"/>
          <w:lang w:val="it-IT"/>
        </w:rPr>
        <w:t xml:space="preserve">A questo proposito, </w:t>
      </w:r>
      <w:r w:rsidR="001A3EC5" w:rsidRPr="001D4757">
        <w:rPr>
          <w:rFonts w:ascii="Tahoma" w:hAnsi="Tahoma" w:cs="Tahoma"/>
          <w:sz w:val="18"/>
          <w:szCs w:val="18"/>
          <w:lang w:val="it-IT"/>
        </w:rPr>
        <w:t>“</w:t>
      </w:r>
      <w:r w:rsidRPr="001D4757">
        <w:rPr>
          <w:rFonts w:ascii="Tahoma" w:hAnsi="Tahoma" w:cs="Tahoma"/>
          <w:sz w:val="18"/>
          <w:szCs w:val="18"/>
          <w:lang w:val="it-IT"/>
        </w:rPr>
        <w:t>spesa SA</w:t>
      </w:r>
      <w:r w:rsidR="001A3EC5" w:rsidRPr="001D4757">
        <w:rPr>
          <w:rFonts w:ascii="Tahoma" w:hAnsi="Tahoma" w:cs="Tahoma"/>
          <w:sz w:val="18"/>
          <w:szCs w:val="18"/>
          <w:lang w:val="it-IT"/>
        </w:rPr>
        <w:t>”</w:t>
      </w:r>
      <w:r w:rsidRPr="001D4757">
        <w:rPr>
          <w:rFonts w:ascii="Tahoma" w:hAnsi="Tahoma" w:cs="Tahoma"/>
          <w:sz w:val="18"/>
          <w:szCs w:val="18"/>
          <w:lang w:val="it-IT"/>
        </w:rPr>
        <w:t xml:space="preserve"> non significa letteralmente i soldi effettivi spesi dalla società.</w:t>
      </w:r>
      <w:r w:rsidR="00082E1C" w:rsidRPr="001D4757">
        <w:rPr>
          <w:rFonts w:ascii="Tahoma" w:hAnsi="Tahoma" w:cs="Tahoma"/>
          <w:sz w:val="18"/>
          <w:szCs w:val="18"/>
          <w:lang w:val="it-IT"/>
        </w:rPr>
        <w:t xml:space="preserve"> </w:t>
      </w:r>
      <w:r w:rsidRPr="001D4757">
        <w:rPr>
          <w:rFonts w:ascii="Tahoma" w:hAnsi="Tahoma" w:cs="Tahoma"/>
          <w:sz w:val="18"/>
          <w:szCs w:val="18"/>
          <w:lang w:val="it-IT"/>
        </w:rPr>
        <w:t>Si tratta, invece, dell</w:t>
      </w:r>
      <w:r w:rsidR="004525CA">
        <w:rPr>
          <w:rFonts w:ascii="Tahoma" w:hAnsi="Tahoma" w:cs="Tahoma"/>
          <w:sz w:val="18"/>
          <w:szCs w:val="18"/>
          <w:lang w:val="it-IT"/>
        </w:rPr>
        <w:t>’</w:t>
      </w:r>
      <w:r w:rsidRPr="001D4757">
        <w:rPr>
          <w:rFonts w:ascii="Tahoma" w:hAnsi="Tahoma" w:cs="Tahoma"/>
          <w:sz w:val="18"/>
          <w:szCs w:val="18"/>
          <w:lang w:val="it-IT"/>
        </w:rPr>
        <w:t xml:space="preserve">importo approssimativo speso dal cliente nella copertura Software Assurance per questi prodotti. Per le società che partecipano ai programmi </w:t>
      </w:r>
      <w:r w:rsidR="001A3EC5" w:rsidRPr="001D4757">
        <w:rPr>
          <w:rFonts w:ascii="Tahoma" w:hAnsi="Tahoma" w:cs="Tahoma"/>
          <w:sz w:val="18"/>
          <w:szCs w:val="18"/>
          <w:lang w:val="it-IT"/>
        </w:rPr>
        <w:t>“</w:t>
      </w:r>
      <w:r w:rsidRPr="001D4757">
        <w:rPr>
          <w:rFonts w:ascii="Tahoma" w:hAnsi="Tahoma" w:cs="Tahoma"/>
          <w:sz w:val="18"/>
          <w:szCs w:val="18"/>
          <w:lang w:val="it-IT"/>
        </w:rPr>
        <w:t>subscription</w:t>
      </w:r>
      <w:r w:rsidR="001A3EC5" w:rsidRPr="001D4757">
        <w:rPr>
          <w:rFonts w:ascii="Tahoma" w:hAnsi="Tahoma" w:cs="Tahoma"/>
          <w:sz w:val="18"/>
          <w:szCs w:val="18"/>
          <w:lang w:val="it-IT"/>
        </w:rPr>
        <w:t>”</w:t>
      </w:r>
      <w:r w:rsidRPr="001D4757">
        <w:rPr>
          <w:rFonts w:ascii="Tahoma" w:hAnsi="Tahoma" w:cs="Tahoma"/>
          <w:sz w:val="18"/>
          <w:szCs w:val="18"/>
          <w:lang w:val="it-IT"/>
        </w:rPr>
        <w:t>, rappresenta l</w:t>
      </w:r>
      <w:r w:rsidR="004525CA">
        <w:rPr>
          <w:rFonts w:ascii="Tahoma" w:hAnsi="Tahoma" w:cs="Tahoma"/>
          <w:sz w:val="18"/>
          <w:szCs w:val="18"/>
          <w:lang w:val="it-IT"/>
        </w:rPr>
        <w:t>’</w:t>
      </w:r>
      <w:r w:rsidRPr="001D4757">
        <w:rPr>
          <w:rFonts w:ascii="Tahoma" w:hAnsi="Tahoma" w:cs="Tahoma"/>
          <w:sz w:val="18"/>
          <w:szCs w:val="18"/>
          <w:lang w:val="it-IT"/>
        </w:rPr>
        <w:t>importo approssimativo della spesa totale che la società ha dovuto affrontare per ottenere in licenza tali prodotti ai sensi della sua iscrizione o del suo contratto.</w:t>
      </w:r>
      <w:r w:rsidR="00082E1C" w:rsidRPr="001D4757">
        <w:rPr>
          <w:rFonts w:ascii="Tahoma" w:hAnsi="Tahoma" w:cs="Tahoma"/>
          <w:sz w:val="18"/>
          <w:szCs w:val="18"/>
          <w:lang w:val="it-IT"/>
        </w:rPr>
        <w:t xml:space="preserve"> </w:t>
      </w:r>
      <w:r w:rsidRPr="001D4757">
        <w:rPr>
          <w:rFonts w:ascii="Tahoma" w:hAnsi="Tahoma" w:cs="Tahoma"/>
          <w:sz w:val="18"/>
          <w:szCs w:val="18"/>
          <w:lang w:val="it-IT"/>
        </w:rPr>
        <w:t>L</w:t>
      </w:r>
      <w:r w:rsidR="004525CA">
        <w:rPr>
          <w:rFonts w:ascii="Tahoma" w:hAnsi="Tahoma" w:cs="Tahoma"/>
          <w:sz w:val="18"/>
          <w:szCs w:val="18"/>
          <w:lang w:val="it-IT"/>
        </w:rPr>
        <w:t>’</w:t>
      </w:r>
      <w:r w:rsidRPr="001D4757">
        <w:rPr>
          <w:rFonts w:ascii="Tahoma" w:hAnsi="Tahoma" w:cs="Tahoma"/>
          <w:sz w:val="18"/>
          <w:szCs w:val="18"/>
          <w:lang w:val="it-IT"/>
        </w:rPr>
        <w:t>intervento gratuito è assegnato ai sensi dell</w:t>
      </w:r>
      <w:r w:rsidR="004525CA">
        <w:rPr>
          <w:rFonts w:ascii="Tahoma" w:hAnsi="Tahoma" w:cs="Tahoma"/>
          <w:sz w:val="18"/>
          <w:szCs w:val="18"/>
          <w:lang w:val="it-IT"/>
        </w:rPr>
        <w:t>’</w:t>
      </w:r>
      <w:r w:rsidRPr="001D4757">
        <w:rPr>
          <w:rFonts w:ascii="Tahoma" w:hAnsi="Tahoma" w:cs="Tahoma"/>
          <w:sz w:val="18"/>
          <w:szCs w:val="18"/>
          <w:lang w:val="it-IT"/>
        </w:rPr>
        <w:t>iscrizione Enterprise e Select, della registrazione Select Plus e del contratto Open Value con copertura SA, su almeno un prodotto software Server qualificante.</w:t>
      </w:r>
    </w:p>
    <w:p w:rsidR="00F42FB8" w:rsidRPr="00451078" w:rsidRDefault="00F42FB8" w:rsidP="002D25C8">
      <w:pPr>
        <w:pStyle w:val="AppendixBodyText"/>
        <w:spacing w:after="0"/>
        <w:rPr>
          <w:lang w:val="it-IT"/>
        </w:rPr>
      </w:pPr>
    </w:p>
    <w:tbl>
      <w:tblPr>
        <w:tblW w:w="8721" w:type="dxa"/>
        <w:tblInd w:w="9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99" w:type="dxa"/>
          <w:right w:w="99" w:type="dxa"/>
        </w:tblCellMar>
        <w:tblLook w:val="01E0" w:firstRow="1" w:lastRow="1" w:firstColumn="1" w:lastColumn="1" w:noHBand="0" w:noVBand="0"/>
      </w:tblPr>
      <w:tblGrid>
        <w:gridCol w:w="1809"/>
        <w:gridCol w:w="1350"/>
        <w:gridCol w:w="2673"/>
        <w:gridCol w:w="2889"/>
      </w:tblGrid>
      <w:tr w:rsidR="00613BBB" w:rsidRPr="00DC1102" w:rsidTr="002A6416">
        <w:trPr>
          <w:trHeight w:val="178"/>
          <w:tblHeader/>
        </w:trPr>
        <w:tc>
          <w:tcPr>
            <w:tcW w:w="1809" w:type="dxa"/>
            <w:tcBorders>
              <w:top w:val="single" w:sz="8" w:space="0" w:color="auto"/>
              <w:left w:val="single" w:sz="8" w:space="0" w:color="auto"/>
              <w:bottom w:val="single" w:sz="8" w:space="0" w:color="auto"/>
              <w:right w:val="single" w:sz="8" w:space="0" w:color="auto"/>
            </w:tcBorders>
            <w:shd w:val="clear" w:color="auto" w:fill="FFCC99"/>
            <w:vAlign w:val="bottom"/>
          </w:tcPr>
          <w:p w:rsidR="00613BBB" w:rsidRPr="003410C7" w:rsidRDefault="00613BBB" w:rsidP="00F42FB8">
            <w:pPr>
              <w:pStyle w:val="AppendixBodyText"/>
              <w:rPr>
                <w:rFonts w:ascii="Tahoma" w:hAnsi="Tahoma" w:cs="Tahoma"/>
                <w:b/>
                <w:bCs/>
              </w:rPr>
            </w:pPr>
            <w:r w:rsidRPr="003410C7">
              <w:rPr>
                <w:rFonts w:ascii="Tahoma" w:hAnsi="Tahoma" w:cs="Tahoma"/>
                <w:b/>
                <w:bCs/>
              </w:rPr>
              <w:t>Denominazione Valuta</w:t>
            </w:r>
          </w:p>
        </w:tc>
        <w:tc>
          <w:tcPr>
            <w:tcW w:w="1350" w:type="dxa"/>
            <w:tcBorders>
              <w:top w:val="single" w:sz="8" w:space="0" w:color="auto"/>
              <w:left w:val="single" w:sz="8" w:space="0" w:color="auto"/>
              <w:bottom w:val="single" w:sz="8" w:space="0" w:color="auto"/>
              <w:right w:val="single" w:sz="8" w:space="0" w:color="auto"/>
            </w:tcBorders>
            <w:shd w:val="clear" w:color="auto" w:fill="FFCC99"/>
            <w:vAlign w:val="bottom"/>
          </w:tcPr>
          <w:p w:rsidR="00613BBB" w:rsidRPr="003410C7" w:rsidRDefault="00613BBB" w:rsidP="00F42FB8">
            <w:pPr>
              <w:pStyle w:val="AppendixBodyText"/>
              <w:rPr>
                <w:rFonts w:ascii="Tahoma" w:hAnsi="Tahoma" w:cs="Tahoma"/>
                <w:b/>
                <w:bCs/>
              </w:rPr>
            </w:pPr>
            <w:r w:rsidRPr="003410C7">
              <w:rPr>
                <w:rFonts w:ascii="Tahoma" w:hAnsi="Tahoma" w:cs="Tahoma"/>
                <w:b/>
                <w:bCs/>
              </w:rPr>
              <w:t>Codice Valuta</w:t>
            </w:r>
          </w:p>
        </w:tc>
        <w:tc>
          <w:tcPr>
            <w:tcW w:w="2673" w:type="dxa"/>
            <w:tcBorders>
              <w:top w:val="single" w:sz="8" w:space="0" w:color="auto"/>
              <w:left w:val="single" w:sz="8" w:space="0" w:color="auto"/>
              <w:bottom w:val="single" w:sz="8" w:space="0" w:color="auto"/>
              <w:right w:val="single" w:sz="8" w:space="0" w:color="auto"/>
            </w:tcBorders>
            <w:shd w:val="clear" w:color="auto" w:fill="FFCC99"/>
            <w:vAlign w:val="bottom"/>
          </w:tcPr>
          <w:p w:rsidR="00613BBB" w:rsidRPr="003410C7" w:rsidRDefault="00613BBB" w:rsidP="00F42FB8">
            <w:pPr>
              <w:pStyle w:val="AppendixBodyText"/>
            </w:pPr>
            <w:r w:rsidRPr="003410C7">
              <w:rPr>
                <w:rFonts w:ascii="Tahoma" w:hAnsi="Tahoma" w:cs="Tahoma"/>
                <w:b/>
                <w:bCs/>
              </w:rPr>
              <w:t>Server / CAL</w:t>
            </w:r>
          </w:p>
          <w:p w:rsidR="00613BBB" w:rsidRPr="003410C7" w:rsidRDefault="00613BBB" w:rsidP="00F42FB8">
            <w:pPr>
              <w:pStyle w:val="AppendixBodyText"/>
              <w:rPr>
                <w:rFonts w:ascii="Tahoma" w:hAnsi="Tahoma" w:cs="Tahoma"/>
                <w:b/>
                <w:bCs/>
              </w:rPr>
            </w:pPr>
            <w:r w:rsidRPr="003410C7">
              <w:rPr>
                <w:rFonts w:ascii="Tahoma" w:hAnsi="Tahoma" w:cs="Tahoma"/>
                <w:b/>
                <w:bCs/>
              </w:rPr>
              <w:t>Server/CAL</w:t>
            </w:r>
          </w:p>
        </w:tc>
        <w:tc>
          <w:tcPr>
            <w:tcW w:w="2889" w:type="dxa"/>
            <w:tcBorders>
              <w:top w:val="single" w:sz="8" w:space="0" w:color="auto"/>
              <w:left w:val="single" w:sz="8" w:space="0" w:color="auto"/>
              <w:bottom w:val="single" w:sz="8" w:space="0" w:color="auto"/>
              <w:right w:val="single" w:sz="8" w:space="0" w:color="auto"/>
            </w:tcBorders>
            <w:shd w:val="clear" w:color="auto" w:fill="FFCC99"/>
            <w:vAlign w:val="bottom"/>
          </w:tcPr>
          <w:p w:rsidR="00613BBB" w:rsidRPr="00451078" w:rsidRDefault="00613BBB" w:rsidP="00F42FB8">
            <w:pPr>
              <w:pStyle w:val="AppendixBodyText"/>
              <w:rPr>
                <w:lang w:val="it-IT"/>
              </w:rPr>
            </w:pPr>
            <w:r w:rsidRPr="00451078">
              <w:rPr>
                <w:rFonts w:ascii="Tahoma" w:hAnsi="Tahoma" w:cs="Tahoma"/>
                <w:b/>
                <w:bCs/>
                <w:lang w:val="it-IT"/>
              </w:rPr>
              <w:t>Incrementi Premi Interventi</w:t>
            </w:r>
          </w:p>
          <w:p w:rsidR="00613BBB" w:rsidRPr="00451078" w:rsidRDefault="00613BBB" w:rsidP="00F42FB8">
            <w:pPr>
              <w:pStyle w:val="AppendixBodyText"/>
              <w:rPr>
                <w:rFonts w:ascii="Tahoma" w:hAnsi="Tahoma" w:cs="Tahoma"/>
                <w:b/>
                <w:bCs/>
                <w:lang w:val="it-IT"/>
              </w:rPr>
            </w:pPr>
            <w:r w:rsidRPr="00451078">
              <w:rPr>
                <w:rFonts w:ascii="Tahoma" w:hAnsi="Tahoma" w:cs="Tahoma"/>
                <w:b/>
                <w:bCs/>
                <w:lang w:val="it-IT"/>
              </w:rPr>
              <w:t>Server/CAL</w:t>
            </w:r>
          </w:p>
        </w:tc>
      </w:tr>
      <w:tr w:rsidR="00613BBB" w:rsidRPr="003410C7" w:rsidTr="002A6416">
        <w:trPr>
          <w:trHeight w:val="236"/>
        </w:trPr>
        <w:tc>
          <w:tcPr>
            <w:tcW w:w="1809" w:type="dxa"/>
            <w:vAlign w:val="bottom"/>
          </w:tcPr>
          <w:p w:rsidR="00613BBB" w:rsidRPr="003410C7" w:rsidRDefault="00613BBB" w:rsidP="00F42FB8">
            <w:pPr>
              <w:pStyle w:val="AppendixBodyText"/>
              <w:rPr>
                <w:rFonts w:ascii="Tahoma" w:hAnsi="Tahoma" w:cs="Tahoma"/>
                <w:sz w:val="18"/>
                <w:szCs w:val="18"/>
              </w:rPr>
            </w:pPr>
            <w:r w:rsidRPr="003410C7">
              <w:rPr>
                <w:rFonts w:ascii="Tahoma" w:hAnsi="Tahoma" w:cs="Tahoma"/>
                <w:sz w:val="18"/>
                <w:szCs w:val="18"/>
              </w:rPr>
              <w:t>Dollaro statunitense</w:t>
            </w:r>
          </w:p>
        </w:tc>
        <w:tc>
          <w:tcPr>
            <w:tcW w:w="1350" w:type="dxa"/>
            <w:vAlign w:val="bottom"/>
          </w:tcPr>
          <w:p w:rsidR="00613BBB" w:rsidRPr="003410C7" w:rsidRDefault="00613BBB" w:rsidP="00F42FB8">
            <w:pPr>
              <w:pStyle w:val="AppendixBodyText"/>
              <w:rPr>
                <w:rFonts w:ascii="Tahoma" w:hAnsi="Tahoma" w:cs="Tahoma"/>
                <w:sz w:val="18"/>
                <w:szCs w:val="18"/>
              </w:rPr>
            </w:pPr>
            <w:r w:rsidRPr="003410C7">
              <w:rPr>
                <w:rFonts w:ascii="Tahoma" w:hAnsi="Tahoma" w:cs="Tahoma"/>
                <w:sz w:val="18"/>
                <w:szCs w:val="18"/>
              </w:rPr>
              <w:t>USD</w:t>
            </w:r>
          </w:p>
        </w:tc>
        <w:tc>
          <w:tcPr>
            <w:tcW w:w="2673" w:type="dxa"/>
            <w:vAlign w:val="bottom"/>
          </w:tcPr>
          <w:p w:rsidR="00613BBB" w:rsidRPr="003410C7" w:rsidRDefault="00613BBB" w:rsidP="00F42FB8">
            <w:pPr>
              <w:pStyle w:val="AppendixBodyText"/>
              <w:rPr>
                <w:rFonts w:ascii="Tahoma" w:hAnsi="Tahoma" w:cs="Tahoma"/>
                <w:sz w:val="18"/>
                <w:szCs w:val="18"/>
              </w:rPr>
            </w:pPr>
            <w:r w:rsidRPr="003410C7">
              <w:rPr>
                <w:rFonts w:ascii="Tahoma" w:hAnsi="Tahoma" w:cs="Tahoma"/>
                <w:sz w:val="18"/>
                <w:szCs w:val="18"/>
              </w:rPr>
              <w:t>$20</w:t>
            </w:r>
            <w:r w:rsidR="00E44188">
              <w:rPr>
                <w:rFonts w:ascii="Tahoma" w:hAnsi="Tahoma" w:cs="Tahoma"/>
                <w:sz w:val="18"/>
                <w:szCs w:val="18"/>
              </w:rPr>
              <w:t>.</w:t>
            </w:r>
            <w:r w:rsidRPr="003410C7">
              <w:rPr>
                <w:rFonts w:ascii="Tahoma" w:hAnsi="Tahoma" w:cs="Tahoma"/>
                <w:sz w:val="18"/>
                <w:szCs w:val="18"/>
              </w:rPr>
              <w:t>000</w:t>
            </w:r>
          </w:p>
        </w:tc>
        <w:tc>
          <w:tcPr>
            <w:tcW w:w="2889" w:type="dxa"/>
            <w:vAlign w:val="bottom"/>
          </w:tcPr>
          <w:p w:rsidR="00613BBB" w:rsidRPr="003410C7" w:rsidRDefault="00613BBB" w:rsidP="00F42FB8">
            <w:pPr>
              <w:pStyle w:val="AppendixBodyText"/>
              <w:rPr>
                <w:rFonts w:ascii="Tahoma" w:hAnsi="Tahoma" w:cs="Tahoma"/>
                <w:sz w:val="18"/>
                <w:szCs w:val="18"/>
              </w:rPr>
            </w:pPr>
            <w:r w:rsidRPr="003410C7">
              <w:rPr>
                <w:rFonts w:ascii="Tahoma" w:hAnsi="Tahoma" w:cs="Tahoma"/>
                <w:sz w:val="18"/>
                <w:szCs w:val="18"/>
              </w:rPr>
              <w:t>$200</w:t>
            </w:r>
            <w:r w:rsidR="00E44188">
              <w:rPr>
                <w:rFonts w:ascii="Tahoma" w:hAnsi="Tahoma" w:cs="Tahoma"/>
                <w:sz w:val="18"/>
                <w:szCs w:val="18"/>
              </w:rPr>
              <w:t>.</w:t>
            </w:r>
            <w:r w:rsidRPr="003410C7">
              <w:rPr>
                <w:rFonts w:ascii="Tahoma" w:hAnsi="Tahoma" w:cs="Tahoma"/>
                <w:sz w:val="18"/>
                <w:szCs w:val="18"/>
              </w:rPr>
              <w:t>000</w:t>
            </w:r>
          </w:p>
        </w:tc>
      </w:tr>
      <w:tr w:rsidR="00613BBB" w:rsidRPr="003410C7" w:rsidTr="002A6416">
        <w:trPr>
          <w:trHeight w:val="236"/>
        </w:trPr>
        <w:tc>
          <w:tcPr>
            <w:tcW w:w="1809" w:type="dxa"/>
            <w:vAlign w:val="bottom"/>
          </w:tcPr>
          <w:p w:rsidR="00613BBB" w:rsidRPr="003410C7" w:rsidRDefault="00613BBB" w:rsidP="00F42FB8">
            <w:pPr>
              <w:pStyle w:val="AppendixBodyText"/>
              <w:rPr>
                <w:rFonts w:ascii="Tahoma" w:hAnsi="Tahoma" w:cs="Tahoma"/>
                <w:sz w:val="18"/>
                <w:szCs w:val="18"/>
              </w:rPr>
            </w:pPr>
            <w:r w:rsidRPr="003410C7">
              <w:rPr>
                <w:rFonts w:ascii="Tahoma" w:hAnsi="Tahoma" w:cs="Tahoma"/>
                <w:sz w:val="18"/>
                <w:szCs w:val="18"/>
              </w:rPr>
              <w:t>Dollaro australiano</w:t>
            </w:r>
          </w:p>
        </w:tc>
        <w:tc>
          <w:tcPr>
            <w:tcW w:w="1350" w:type="dxa"/>
            <w:vAlign w:val="bottom"/>
          </w:tcPr>
          <w:p w:rsidR="00613BBB" w:rsidRPr="003410C7" w:rsidRDefault="00613BBB" w:rsidP="00F42FB8">
            <w:pPr>
              <w:pStyle w:val="AppendixBodyText"/>
              <w:rPr>
                <w:rFonts w:ascii="Tahoma" w:hAnsi="Tahoma" w:cs="Tahoma"/>
                <w:sz w:val="18"/>
                <w:szCs w:val="18"/>
              </w:rPr>
            </w:pPr>
            <w:r w:rsidRPr="003410C7">
              <w:rPr>
                <w:rFonts w:ascii="Tahoma" w:hAnsi="Tahoma" w:cs="Tahoma"/>
                <w:sz w:val="18"/>
                <w:szCs w:val="18"/>
              </w:rPr>
              <w:t>AUD</w:t>
            </w:r>
          </w:p>
        </w:tc>
        <w:tc>
          <w:tcPr>
            <w:tcW w:w="2673" w:type="dxa"/>
            <w:vAlign w:val="bottom"/>
          </w:tcPr>
          <w:p w:rsidR="00613BBB" w:rsidRPr="003410C7" w:rsidRDefault="00613BBB" w:rsidP="00F42FB8">
            <w:pPr>
              <w:pStyle w:val="AppendixBodyText"/>
              <w:rPr>
                <w:rFonts w:ascii="Tahoma" w:hAnsi="Tahoma" w:cs="Tahoma"/>
                <w:sz w:val="18"/>
                <w:szCs w:val="18"/>
              </w:rPr>
            </w:pPr>
            <w:r w:rsidRPr="003410C7">
              <w:rPr>
                <w:rFonts w:ascii="Tahoma" w:hAnsi="Tahoma" w:cs="Tahoma"/>
                <w:sz w:val="18"/>
                <w:szCs w:val="18"/>
              </w:rPr>
              <w:t>30</w:t>
            </w:r>
            <w:r w:rsidR="00E44188">
              <w:rPr>
                <w:rFonts w:ascii="Tahoma" w:hAnsi="Tahoma" w:cs="Tahoma"/>
                <w:sz w:val="18"/>
                <w:szCs w:val="18"/>
              </w:rPr>
              <w:t>.</w:t>
            </w:r>
            <w:r w:rsidRPr="003410C7">
              <w:rPr>
                <w:rFonts w:ascii="Tahoma" w:hAnsi="Tahoma" w:cs="Tahoma"/>
                <w:sz w:val="18"/>
                <w:szCs w:val="18"/>
              </w:rPr>
              <w:t>000</w:t>
            </w:r>
          </w:p>
        </w:tc>
        <w:tc>
          <w:tcPr>
            <w:tcW w:w="2889" w:type="dxa"/>
            <w:vAlign w:val="bottom"/>
          </w:tcPr>
          <w:p w:rsidR="00613BBB" w:rsidRPr="003410C7" w:rsidRDefault="00613BBB" w:rsidP="00F42FB8">
            <w:pPr>
              <w:pStyle w:val="AppendixBodyText"/>
              <w:rPr>
                <w:rFonts w:ascii="Tahoma" w:hAnsi="Tahoma" w:cs="Tahoma"/>
                <w:sz w:val="18"/>
                <w:szCs w:val="18"/>
              </w:rPr>
            </w:pPr>
            <w:r w:rsidRPr="003410C7">
              <w:rPr>
                <w:rFonts w:ascii="Tahoma" w:hAnsi="Tahoma" w:cs="Tahoma"/>
                <w:sz w:val="18"/>
                <w:szCs w:val="18"/>
              </w:rPr>
              <w:t>300</w:t>
            </w:r>
            <w:r w:rsidR="00E44188">
              <w:rPr>
                <w:rFonts w:ascii="Tahoma" w:hAnsi="Tahoma" w:cs="Tahoma"/>
                <w:sz w:val="18"/>
                <w:szCs w:val="18"/>
              </w:rPr>
              <w:t>.</w:t>
            </w:r>
            <w:r w:rsidRPr="003410C7">
              <w:rPr>
                <w:rFonts w:ascii="Tahoma" w:hAnsi="Tahoma" w:cs="Tahoma"/>
                <w:sz w:val="18"/>
                <w:szCs w:val="18"/>
              </w:rPr>
              <w:t>000</w:t>
            </w:r>
          </w:p>
        </w:tc>
      </w:tr>
      <w:tr w:rsidR="00613BBB" w:rsidRPr="003410C7" w:rsidTr="002A6416">
        <w:trPr>
          <w:trHeight w:val="236"/>
        </w:trPr>
        <w:tc>
          <w:tcPr>
            <w:tcW w:w="1809" w:type="dxa"/>
            <w:vAlign w:val="bottom"/>
          </w:tcPr>
          <w:p w:rsidR="00613BBB" w:rsidRPr="003410C7" w:rsidRDefault="00613BBB" w:rsidP="00F42FB8">
            <w:pPr>
              <w:pStyle w:val="AppendixBodyText"/>
              <w:rPr>
                <w:rFonts w:ascii="Tahoma" w:hAnsi="Tahoma" w:cs="Tahoma"/>
                <w:sz w:val="18"/>
                <w:szCs w:val="18"/>
              </w:rPr>
            </w:pPr>
            <w:r w:rsidRPr="003410C7">
              <w:rPr>
                <w:rFonts w:ascii="Tahoma" w:hAnsi="Tahoma" w:cs="Tahoma"/>
                <w:sz w:val="18"/>
                <w:szCs w:val="18"/>
              </w:rPr>
              <w:t>Dollaro canadese</w:t>
            </w:r>
          </w:p>
        </w:tc>
        <w:tc>
          <w:tcPr>
            <w:tcW w:w="1350" w:type="dxa"/>
            <w:vAlign w:val="bottom"/>
          </w:tcPr>
          <w:p w:rsidR="00613BBB" w:rsidRPr="003410C7" w:rsidRDefault="00613BBB" w:rsidP="00F42FB8">
            <w:pPr>
              <w:pStyle w:val="AppendixBodyText"/>
              <w:rPr>
                <w:rFonts w:ascii="Tahoma" w:hAnsi="Tahoma" w:cs="Tahoma"/>
                <w:sz w:val="18"/>
                <w:szCs w:val="18"/>
              </w:rPr>
            </w:pPr>
            <w:r w:rsidRPr="003410C7">
              <w:rPr>
                <w:rFonts w:ascii="Tahoma" w:hAnsi="Tahoma" w:cs="Tahoma"/>
                <w:sz w:val="18"/>
                <w:szCs w:val="18"/>
              </w:rPr>
              <w:t>CAD</w:t>
            </w:r>
          </w:p>
        </w:tc>
        <w:tc>
          <w:tcPr>
            <w:tcW w:w="2673" w:type="dxa"/>
            <w:vAlign w:val="bottom"/>
          </w:tcPr>
          <w:p w:rsidR="00613BBB" w:rsidRPr="003410C7" w:rsidRDefault="00613BBB" w:rsidP="00F42FB8">
            <w:pPr>
              <w:pStyle w:val="AppendixBodyText"/>
              <w:rPr>
                <w:rFonts w:ascii="Tahoma" w:hAnsi="Tahoma" w:cs="Tahoma"/>
                <w:sz w:val="18"/>
                <w:szCs w:val="18"/>
              </w:rPr>
            </w:pPr>
            <w:r w:rsidRPr="003410C7">
              <w:rPr>
                <w:rFonts w:ascii="Tahoma" w:hAnsi="Tahoma" w:cs="Tahoma"/>
                <w:sz w:val="18"/>
                <w:szCs w:val="18"/>
              </w:rPr>
              <w:t>27</w:t>
            </w:r>
            <w:r w:rsidR="00E44188">
              <w:rPr>
                <w:rFonts w:ascii="Tahoma" w:hAnsi="Tahoma" w:cs="Tahoma"/>
                <w:sz w:val="18"/>
                <w:szCs w:val="18"/>
              </w:rPr>
              <w:t>.</w:t>
            </w:r>
            <w:r w:rsidRPr="003410C7">
              <w:rPr>
                <w:rFonts w:ascii="Tahoma" w:hAnsi="Tahoma" w:cs="Tahoma"/>
                <w:sz w:val="18"/>
                <w:szCs w:val="18"/>
              </w:rPr>
              <w:t>000</w:t>
            </w:r>
          </w:p>
        </w:tc>
        <w:tc>
          <w:tcPr>
            <w:tcW w:w="2889" w:type="dxa"/>
            <w:vAlign w:val="bottom"/>
          </w:tcPr>
          <w:p w:rsidR="00613BBB" w:rsidRPr="003410C7" w:rsidRDefault="00613BBB" w:rsidP="00F42FB8">
            <w:pPr>
              <w:pStyle w:val="AppendixBodyText"/>
              <w:rPr>
                <w:rFonts w:ascii="Tahoma" w:hAnsi="Tahoma" w:cs="Tahoma"/>
                <w:sz w:val="18"/>
                <w:szCs w:val="18"/>
              </w:rPr>
            </w:pPr>
            <w:r w:rsidRPr="003410C7">
              <w:rPr>
                <w:rFonts w:ascii="Tahoma" w:hAnsi="Tahoma" w:cs="Tahoma"/>
                <w:sz w:val="18"/>
                <w:szCs w:val="18"/>
              </w:rPr>
              <w:t>270</w:t>
            </w:r>
            <w:r w:rsidR="00E44188">
              <w:rPr>
                <w:rFonts w:ascii="Tahoma" w:hAnsi="Tahoma" w:cs="Tahoma"/>
                <w:sz w:val="18"/>
                <w:szCs w:val="18"/>
              </w:rPr>
              <w:t>.</w:t>
            </w:r>
            <w:r w:rsidRPr="003410C7">
              <w:rPr>
                <w:rFonts w:ascii="Tahoma" w:hAnsi="Tahoma" w:cs="Tahoma"/>
                <w:sz w:val="18"/>
                <w:szCs w:val="18"/>
              </w:rPr>
              <w:t>000</w:t>
            </w:r>
          </w:p>
        </w:tc>
      </w:tr>
      <w:tr w:rsidR="00613BBB" w:rsidRPr="003410C7" w:rsidTr="002A6416">
        <w:trPr>
          <w:trHeight w:val="236"/>
        </w:trPr>
        <w:tc>
          <w:tcPr>
            <w:tcW w:w="1809" w:type="dxa"/>
            <w:vAlign w:val="bottom"/>
          </w:tcPr>
          <w:p w:rsidR="00613BBB" w:rsidRPr="003410C7" w:rsidRDefault="00613BBB" w:rsidP="00F42FB8">
            <w:pPr>
              <w:pStyle w:val="AppendixBodyText"/>
              <w:rPr>
                <w:rFonts w:ascii="Tahoma" w:hAnsi="Tahoma" w:cs="Tahoma"/>
                <w:sz w:val="18"/>
                <w:szCs w:val="18"/>
              </w:rPr>
            </w:pPr>
            <w:r w:rsidRPr="003410C7">
              <w:rPr>
                <w:rFonts w:ascii="Tahoma" w:hAnsi="Tahoma" w:cs="Tahoma"/>
                <w:sz w:val="18"/>
                <w:szCs w:val="18"/>
              </w:rPr>
              <w:t>Franco svizzero</w:t>
            </w:r>
          </w:p>
        </w:tc>
        <w:tc>
          <w:tcPr>
            <w:tcW w:w="1350" w:type="dxa"/>
            <w:vAlign w:val="bottom"/>
          </w:tcPr>
          <w:p w:rsidR="00613BBB" w:rsidRPr="003410C7" w:rsidRDefault="00613BBB" w:rsidP="00F42FB8">
            <w:pPr>
              <w:pStyle w:val="AppendixBodyText"/>
              <w:rPr>
                <w:rFonts w:ascii="Tahoma" w:hAnsi="Tahoma" w:cs="Tahoma"/>
                <w:sz w:val="18"/>
                <w:szCs w:val="18"/>
              </w:rPr>
            </w:pPr>
            <w:r w:rsidRPr="003410C7">
              <w:rPr>
                <w:rFonts w:ascii="Tahoma" w:hAnsi="Tahoma" w:cs="Tahoma"/>
                <w:sz w:val="18"/>
                <w:szCs w:val="18"/>
              </w:rPr>
              <w:t>CHF</w:t>
            </w:r>
          </w:p>
        </w:tc>
        <w:tc>
          <w:tcPr>
            <w:tcW w:w="2673" w:type="dxa"/>
            <w:vAlign w:val="bottom"/>
          </w:tcPr>
          <w:p w:rsidR="00613BBB" w:rsidRPr="003410C7" w:rsidRDefault="00613BBB" w:rsidP="00F42FB8">
            <w:pPr>
              <w:pStyle w:val="AppendixBodyText"/>
              <w:rPr>
                <w:rFonts w:ascii="Tahoma" w:hAnsi="Tahoma" w:cs="Tahoma"/>
                <w:sz w:val="18"/>
                <w:szCs w:val="18"/>
              </w:rPr>
            </w:pPr>
            <w:r w:rsidRPr="003410C7">
              <w:rPr>
                <w:rFonts w:ascii="Tahoma" w:hAnsi="Tahoma" w:cs="Tahoma"/>
                <w:sz w:val="18"/>
                <w:szCs w:val="18"/>
              </w:rPr>
              <w:t>S Fr. 33</w:t>
            </w:r>
            <w:r w:rsidR="00E44188">
              <w:rPr>
                <w:rFonts w:ascii="Tahoma" w:hAnsi="Tahoma" w:cs="Tahoma"/>
                <w:sz w:val="18"/>
                <w:szCs w:val="18"/>
              </w:rPr>
              <w:t>.</w:t>
            </w:r>
            <w:r w:rsidRPr="003410C7">
              <w:rPr>
                <w:rFonts w:ascii="Tahoma" w:hAnsi="Tahoma" w:cs="Tahoma"/>
                <w:sz w:val="18"/>
                <w:szCs w:val="18"/>
              </w:rPr>
              <w:t>000</w:t>
            </w:r>
          </w:p>
        </w:tc>
        <w:tc>
          <w:tcPr>
            <w:tcW w:w="2889" w:type="dxa"/>
            <w:vAlign w:val="bottom"/>
          </w:tcPr>
          <w:p w:rsidR="00613BBB" w:rsidRPr="003410C7" w:rsidRDefault="00613BBB" w:rsidP="00F42FB8">
            <w:pPr>
              <w:pStyle w:val="AppendixBodyText"/>
              <w:rPr>
                <w:rFonts w:ascii="Tahoma" w:hAnsi="Tahoma" w:cs="Tahoma"/>
                <w:sz w:val="18"/>
                <w:szCs w:val="18"/>
              </w:rPr>
            </w:pPr>
            <w:r w:rsidRPr="003410C7">
              <w:rPr>
                <w:rFonts w:ascii="Tahoma" w:hAnsi="Tahoma" w:cs="Tahoma"/>
                <w:sz w:val="18"/>
                <w:szCs w:val="18"/>
              </w:rPr>
              <w:t>S Fr. 330</w:t>
            </w:r>
            <w:r w:rsidR="00E44188">
              <w:rPr>
                <w:rFonts w:ascii="Tahoma" w:hAnsi="Tahoma" w:cs="Tahoma"/>
                <w:sz w:val="18"/>
                <w:szCs w:val="18"/>
              </w:rPr>
              <w:t>.</w:t>
            </w:r>
            <w:r w:rsidRPr="003410C7">
              <w:rPr>
                <w:rFonts w:ascii="Tahoma" w:hAnsi="Tahoma" w:cs="Tahoma"/>
                <w:sz w:val="18"/>
                <w:szCs w:val="18"/>
              </w:rPr>
              <w:t>000</w:t>
            </w:r>
          </w:p>
        </w:tc>
      </w:tr>
      <w:tr w:rsidR="00613BBB" w:rsidRPr="003410C7" w:rsidTr="002A6416">
        <w:trPr>
          <w:trHeight w:val="236"/>
        </w:trPr>
        <w:tc>
          <w:tcPr>
            <w:tcW w:w="1809" w:type="dxa"/>
            <w:vAlign w:val="bottom"/>
          </w:tcPr>
          <w:p w:rsidR="00613BBB" w:rsidRPr="003410C7" w:rsidRDefault="00613BBB" w:rsidP="00F42FB8">
            <w:pPr>
              <w:pStyle w:val="AppendixBodyText"/>
              <w:rPr>
                <w:rFonts w:ascii="Tahoma" w:hAnsi="Tahoma" w:cs="Tahoma"/>
                <w:sz w:val="18"/>
                <w:szCs w:val="18"/>
              </w:rPr>
            </w:pPr>
            <w:r w:rsidRPr="003410C7">
              <w:rPr>
                <w:rFonts w:ascii="Tahoma" w:hAnsi="Tahoma" w:cs="Tahoma"/>
                <w:sz w:val="18"/>
                <w:szCs w:val="18"/>
              </w:rPr>
              <w:t>Renminbi cinese</w:t>
            </w:r>
          </w:p>
        </w:tc>
        <w:tc>
          <w:tcPr>
            <w:tcW w:w="1350" w:type="dxa"/>
            <w:vAlign w:val="bottom"/>
          </w:tcPr>
          <w:p w:rsidR="00613BBB" w:rsidRPr="003410C7" w:rsidRDefault="00613BBB" w:rsidP="00F42FB8">
            <w:pPr>
              <w:pStyle w:val="AppendixBodyText"/>
              <w:rPr>
                <w:rFonts w:ascii="Tahoma" w:hAnsi="Tahoma" w:cs="Tahoma"/>
                <w:sz w:val="18"/>
                <w:szCs w:val="18"/>
              </w:rPr>
            </w:pPr>
            <w:r w:rsidRPr="003410C7">
              <w:rPr>
                <w:rFonts w:ascii="Tahoma" w:hAnsi="Tahoma" w:cs="Tahoma"/>
                <w:sz w:val="18"/>
                <w:szCs w:val="18"/>
              </w:rPr>
              <w:t>CNY</w:t>
            </w:r>
          </w:p>
        </w:tc>
        <w:tc>
          <w:tcPr>
            <w:tcW w:w="2673" w:type="dxa"/>
            <w:vAlign w:val="bottom"/>
          </w:tcPr>
          <w:p w:rsidR="00613BBB" w:rsidRPr="003410C7" w:rsidRDefault="00613BBB" w:rsidP="00F42FB8">
            <w:pPr>
              <w:pStyle w:val="AppendixBodyText"/>
              <w:rPr>
                <w:rFonts w:ascii="Tahoma" w:hAnsi="Tahoma" w:cs="Tahoma"/>
                <w:sz w:val="18"/>
                <w:szCs w:val="18"/>
              </w:rPr>
            </w:pPr>
            <w:r w:rsidRPr="003410C7">
              <w:rPr>
                <w:rFonts w:ascii="Tahoma" w:hAnsi="Tahoma" w:cs="Tahoma"/>
                <w:sz w:val="18"/>
                <w:szCs w:val="18"/>
              </w:rPr>
              <w:t>CRC 165.000</w:t>
            </w:r>
          </w:p>
        </w:tc>
        <w:tc>
          <w:tcPr>
            <w:tcW w:w="2889" w:type="dxa"/>
            <w:vAlign w:val="bottom"/>
          </w:tcPr>
          <w:p w:rsidR="00613BBB" w:rsidRPr="003410C7" w:rsidRDefault="00613BBB" w:rsidP="00F42FB8">
            <w:pPr>
              <w:pStyle w:val="AppendixBodyText"/>
              <w:rPr>
                <w:rFonts w:ascii="Tahoma" w:hAnsi="Tahoma" w:cs="Tahoma"/>
                <w:sz w:val="18"/>
                <w:szCs w:val="18"/>
              </w:rPr>
            </w:pPr>
            <w:r w:rsidRPr="003410C7">
              <w:rPr>
                <w:rFonts w:ascii="Tahoma" w:hAnsi="Tahoma" w:cs="Tahoma"/>
                <w:sz w:val="18"/>
                <w:szCs w:val="18"/>
              </w:rPr>
              <w:t>CRC 1.650.000</w:t>
            </w:r>
          </w:p>
        </w:tc>
      </w:tr>
      <w:tr w:rsidR="00613BBB" w:rsidRPr="003410C7" w:rsidTr="002A6416">
        <w:trPr>
          <w:trHeight w:val="236"/>
        </w:trPr>
        <w:tc>
          <w:tcPr>
            <w:tcW w:w="1809" w:type="dxa"/>
            <w:vAlign w:val="bottom"/>
          </w:tcPr>
          <w:p w:rsidR="00613BBB" w:rsidRPr="003410C7" w:rsidRDefault="00613BBB" w:rsidP="00F42FB8">
            <w:pPr>
              <w:pStyle w:val="AppendixBodyText"/>
              <w:rPr>
                <w:rFonts w:ascii="Tahoma" w:hAnsi="Tahoma" w:cs="Tahoma"/>
                <w:sz w:val="18"/>
                <w:szCs w:val="18"/>
              </w:rPr>
            </w:pPr>
            <w:r w:rsidRPr="003410C7">
              <w:rPr>
                <w:rFonts w:ascii="Tahoma" w:hAnsi="Tahoma" w:cs="Tahoma"/>
                <w:sz w:val="18"/>
                <w:szCs w:val="18"/>
              </w:rPr>
              <w:t>Corone Danesi</w:t>
            </w:r>
          </w:p>
        </w:tc>
        <w:tc>
          <w:tcPr>
            <w:tcW w:w="1350" w:type="dxa"/>
            <w:vAlign w:val="bottom"/>
          </w:tcPr>
          <w:p w:rsidR="00613BBB" w:rsidRPr="003410C7" w:rsidRDefault="00613BBB" w:rsidP="00F42FB8">
            <w:pPr>
              <w:pStyle w:val="AppendixBodyText"/>
              <w:rPr>
                <w:rFonts w:ascii="Tahoma" w:hAnsi="Tahoma" w:cs="Tahoma"/>
                <w:sz w:val="18"/>
                <w:szCs w:val="18"/>
              </w:rPr>
            </w:pPr>
            <w:r w:rsidRPr="003410C7">
              <w:rPr>
                <w:rFonts w:ascii="Tahoma" w:hAnsi="Tahoma" w:cs="Tahoma"/>
                <w:sz w:val="18"/>
                <w:szCs w:val="18"/>
              </w:rPr>
              <w:t>DKK</w:t>
            </w:r>
          </w:p>
        </w:tc>
        <w:tc>
          <w:tcPr>
            <w:tcW w:w="2673" w:type="dxa"/>
            <w:vAlign w:val="bottom"/>
          </w:tcPr>
          <w:p w:rsidR="00613BBB" w:rsidRPr="003410C7" w:rsidRDefault="00613BBB" w:rsidP="00F42FB8">
            <w:pPr>
              <w:pStyle w:val="AppendixBodyText"/>
              <w:rPr>
                <w:rFonts w:ascii="Tahoma" w:hAnsi="Tahoma" w:cs="Tahoma"/>
                <w:sz w:val="18"/>
                <w:szCs w:val="18"/>
              </w:rPr>
            </w:pPr>
            <w:r w:rsidRPr="003410C7">
              <w:rPr>
                <w:rFonts w:ascii="Tahoma" w:hAnsi="Tahoma" w:cs="Tahoma"/>
                <w:sz w:val="18"/>
                <w:szCs w:val="18"/>
              </w:rPr>
              <w:t>kr 160.000</w:t>
            </w:r>
          </w:p>
        </w:tc>
        <w:tc>
          <w:tcPr>
            <w:tcW w:w="2889" w:type="dxa"/>
            <w:vAlign w:val="bottom"/>
          </w:tcPr>
          <w:p w:rsidR="00613BBB" w:rsidRPr="003410C7" w:rsidRDefault="00613BBB" w:rsidP="00F42FB8">
            <w:pPr>
              <w:pStyle w:val="AppendixBodyText"/>
              <w:rPr>
                <w:rFonts w:ascii="Tahoma" w:hAnsi="Tahoma" w:cs="Tahoma"/>
                <w:sz w:val="18"/>
                <w:szCs w:val="18"/>
              </w:rPr>
            </w:pPr>
            <w:r w:rsidRPr="003410C7">
              <w:rPr>
                <w:rFonts w:ascii="Tahoma" w:hAnsi="Tahoma" w:cs="Tahoma"/>
                <w:sz w:val="18"/>
                <w:szCs w:val="18"/>
              </w:rPr>
              <w:t>kr 1.600.000</w:t>
            </w:r>
          </w:p>
        </w:tc>
      </w:tr>
      <w:tr w:rsidR="00613BBB" w:rsidRPr="003410C7" w:rsidTr="002A6416">
        <w:trPr>
          <w:trHeight w:val="236"/>
        </w:trPr>
        <w:tc>
          <w:tcPr>
            <w:tcW w:w="1809" w:type="dxa"/>
            <w:vAlign w:val="bottom"/>
          </w:tcPr>
          <w:p w:rsidR="00613BBB" w:rsidRPr="003410C7" w:rsidRDefault="00613BBB" w:rsidP="00F42FB8">
            <w:pPr>
              <w:pStyle w:val="AppendixBodyText"/>
              <w:rPr>
                <w:rFonts w:ascii="Tahoma" w:hAnsi="Tahoma" w:cs="Tahoma"/>
                <w:sz w:val="18"/>
                <w:szCs w:val="18"/>
              </w:rPr>
            </w:pPr>
            <w:r w:rsidRPr="003410C7">
              <w:rPr>
                <w:rFonts w:ascii="Tahoma" w:hAnsi="Tahoma" w:cs="Tahoma"/>
                <w:sz w:val="18"/>
                <w:szCs w:val="18"/>
              </w:rPr>
              <w:t>EURO</w:t>
            </w:r>
          </w:p>
        </w:tc>
        <w:tc>
          <w:tcPr>
            <w:tcW w:w="1350" w:type="dxa"/>
            <w:vAlign w:val="bottom"/>
          </w:tcPr>
          <w:p w:rsidR="00613BBB" w:rsidRPr="003410C7" w:rsidRDefault="00613BBB" w:rsidP="00F42FB8">
            <w:pPr>
              <w:pStyle w:val="AppendixBodyText"/>
              <w:rPr>
                <w:rFonts w:ascii="Tahoma" w:hAnsi="Tahoma" w:cs="Tahoma"/>
                <w:sz w:val="18"/>
                <w:szCs w:val="18"/>
              </w:rPr>
            </w:pPr>
            <w:r w:rsidRPr="003410C7">
              <w:rPr>
                <w:rFonts w:ascii="Tahoma" w:hAnsi="Tahoma" w:cs="Tahoma"/>
                <w:sz w:val="18"/>
                <w:szCs w:val="18"/>
              </w:rPr>
              <w:t>EUR</w:t>
            </w:r>
          </w:p>
        </w:tc>
        <w:tc>
          <w:tcPr>
            <w:tcW w:w="2673" w:type="dxa"/>
            <w:vAlign w:val="bottom"/>
          </w:tcPr>
          <w:p w:rsidR="00613BBB" w:rsidRPr="003410C7" w:rsidRDefault="00613BBB" w:rsidP="00F42FB8">
            <w:pPr>
              <w:pStyle w:val="AppendixBodyText"/>
              <w:rPr>
                <w:rFonts w:ascii="Tahoma" w:hAnsi="Tahoma" w:cs="Tahoma"/>
                <w:sz w:val="18"/>
                <w:szCs w:val="18"/>
              </w:rPr>
            </w:pPr>
            <w:r w:rsidRPr="003410C7">
              <w:rPr>
                <w:rFonts w:ascii="Tahoma" w:hAnsi="Tahoma" w:cs="Tahoma"/>
                <w:sz w:val="18"/>
                <w:szCs w:val="18"/>
              </w:rPr>
              <w:t>21</w:t>
            </w:r>
            <w:r w:rsidR="00E44188">
              <w:rPr>
                <w:rFonts w:ascii="Tahoma" w:hAnsi="Tahoma" w:cs="Tahoma"/>
                <w:sz w:val="18"/>
                <w:szCs w:val="18"/>
              </w:rPr>
              <w:t>.</w:t>
            </w:r>
            <w:r w:rsidRPr="003410C7">
              <w:rPr>
                <w:rFonts w:ascii="Tahoma" w:hAnsi="Tahoma" w:cs="Tahoma"/>
                <w:sz w:val="18"/>
                <w:szCs w:val="18"/>
              </w:rPr>
              <w:t>500</w:t>
            </w:r>
          </w:p>
        </w:tc>
        <w:tc>
          <w:tcPr>
            <w:tcW w:w="2889" w:type="dxa"/>
            <w:vAlign w:val="bottom"/>
          </w:tcPr>
          <w:p w:rsidR="00613BBB" w:rsidRPr="003410C7" w:rsidRDefault="00613BBB" w:rsidP="00F42FB8">
            <w:pPr>
              <w:pStyle w:val="AppendixBodyText"/>
              <w:rPr>
                <w:rFonts w:ascii="Tahoma" w:hAnsi="Tahoma" w:cs="Tahoma"/>
                <w:sz w:val="18"/>
                <w:szCs w:val="18"/>
              </w:rPr>
            </w:pPr>
            <w:r w:rsidRPr="003410C7">
              <w:rPr>
                <w:rFonts w:ascii="Tahoma" w:hAnsi="Tahoma" w:cs="Tahoma"/>
                <w:sz w:val="18"/>
                <w:szCs w:val="18"/>
              </w:rPr>
              <w:t>215</w:t>
            </w:r>
            <w:r w:rsidR="00E44188">
              <w:rPr>
                <w:rFonts w:ascii="Tahoma" w:hAnsi="Tahoma" w:cs="Tahoma"/>
                <w:sz w:val="18"/>
                <w:szCs w:val="18"/>
              </w:rPr>
              <w:t>.</w:t>
            </w:r>
            <w:r w:rsidRPr="003410C7">
              <w:rPr>
                <w:rFonts w:ascii="Tahoma" w:hAnsi="Tahoma" w:cs="Tahoma"/>
                <w:sz w:val="18"/>
                <w:szCs w:val="18"/>
              </w:rPr>
              <w:t>000</w:t>
            </w:r>
          </w:p>
        </w:tc>
      </w:tr>
      <w:tr w:rsidR="00613BBB" w:rsidRPr="003410C7" w:rsidTr="002A6416">
        <w:trPr>
          <w:trHeight w:val="236"/>
        </w:trPr>
        <w:tc>
          <w:tcPr>
            <w:tcW w:w="1809" w:type="dxa"/>
            <w:vAlign w:val="bottom"/>
          </w:tcPr>
          <w:p w:rsidR="00613BBB" w:rsidRPr="003410C7" w:rsidRDefault="00613BBB" w:rsidP="00F42FB8">
            <w:pPr>
              <w:pStyle w:val="AppendixBodyText"/>
              <w:rPr>
                <w:rFonts w:ascii="Tahoma" w:hAnsi="Tahoma" w:cs="Tahoma"/>
                <w:sz w:val="18"/>
                <w:szCs w:val="18"/>
              </w:rPr>
            </w:pPr>
            <w:r w:rsidRPr="003410C7">
              <w:rPr>
                <w:rFonts w:ascii="Tahoma" w:hAnsi="Tahoma" w:cs="Tahoma"/>
                <w:sz w:val="18"/>
                <w:szCs w:val="18"/>
              </w:rPr>
              <w:t>Sterlina britannica</w:t>
            </w:r>
          </w:p>
        </w:tc>
        <w:tc>
          <w:tcPr>
            <w:tcW w:w="1350" w:type="dxa"/>
            <w:vAlign w:val="bottom"/>
          </w:tcPr>
          <w:p w:rsidR="00613BBB" w:rsidRPr="003410C7" w:rsidRDefault="00613BBB" w:rsidP="00F42FB8">
            <w:pPr>
              <w:pStyle w:val="AppendixBodyText"/>
              <w:rPr>
                <w:rFonts w:ascii="Tahoma" w:hAnsi="Tahoma" w:cs="Tahoma"/>
                <w:sz w:val="18"/>
                <w:szCs w:val="18"/>
              </w:rPr>
            </w:pPr>
            <w:r w:rsidRPr="003410C7">
              <w:rPr>
                <w:rFonts w:ascii="Tahoma" w:hAnsi="Tahoma" w:cs="Tahoma"/>
                <w:sz w:val="18"/>
                <w:szCs w:val="18"/>
              </w:rPr>
              <w:t>GBP</w:t>
            </w:r>
          </w:p>
        </w:tc>
        <w:tc>
          <w:tcPr>
            <w:tcW w:w="2673" w:type="dxa"/>
            <w:vAlign w:val="bottom"/>
          </w:tcPr>
          <w:p w:rsidR="00613BBB" w:rsidRPr="003410C7" w:rsidRDefault="00613BBB" w:rsidP="00F42FB8">
            <w:pPr>
              <w:pStyle w:val="AppendixBodyText"/>
              <w:rPr>
                <w:rFonts w:ascii="Tahoma" w:hAnsi="Tahoma" w:cs="Tahoma"/>
                <w:sz w:val="18"/>
                <w:szCs w:val="18"/>
              </w:rPr>
            </w:pPr>
            <w:r w:rsidRPr="003410C7">
              <w:rPr>
                <w:rFonts w:ascii="Tahoma" w:hAnsi="Tahoma" w:cs="Tahoma"/>
                <w:sz w:val="18"/>
                <w:szCs w:val="18"/>
              </w:rPr>
              <w:t>£13</w:t>
            </w:r>
            <w:r w:rsidR="00E44188">
              <w:rPr>
                <w:rFonts w:ascii="Tahoma" w:hAnsi="Tahoma" w:cs="Tahoma"/>
                <w:sz w:val="18"/>
                <w:szCs w:val="18"/>
              </w:rPr>
              <w:t>.</w:t>
            </w:r>
            <w:r w:rsidRPr="003410C7">
              <w:rPr>
                <w:rFonts w:ascii="Tahoma" w:hAnsi="Tahoma" w:cs="Tahoma"/>
                <w:sz w:val="18"/>
                <w:szCs w:val="18"/>
              </w:rPr>
              <w:t>500</w:t>
            </w:r>
          </w:p>
        </w:tc>
        <w:tc>
          <w:tcPr>
            <w:tcW w:w="2889" w:type="dxa"/>
            <w:vAlign w:val="bottom"/>
          </w:tcPr>
          <w:p w:rsidR="00613BBB" w:rsidRPr="003410C7" w:rsidRDefault="00613BBB" w:rsidP="00F42FB8">
            <w:pPr>
              <w:pStyle w:val="AppendixBodyText"/>
              <w:rPr>
                <w:rFonts w:ascii="Tahoma" w:hAnsi="Tahoma" w:cs="Tahoma"/>
                <w:sz w:val="18"/>
                <w:szCs w:val="18"/>
              </w:rPr>
            </w:pPr>
            <w:r w:rsidRPr="003410C7">
              <w:rPr>
                <w:rFonts w:ascii="Tahoma" w:hAnsi="Tahoma" w:cs="Tahoma"/>
                <w:sz w:val="18"/>
                <w:szCs w:val="18"/>
              </w:rPr>
              <w:t>£135</w:t>
            </w:r>
            <w:r w:rsidR="00E44188">
              <w:rPr>
                <w:rFonts w:ascii="Tahoma" w:hAnsi="Tahoma" w:cs="Tahoma"/>
                <w:sz w:val="18"/>
                <w:szCs w:val="18"/>
              </w:rPr>
              <w:t>.</w:t>
            </w:r>
            <w:r w:rsidRPr="003410C7">
              <w:rPr>
                <w:rFonts w:ascii="Tahoma" w:hAnsi="Tahoma" w:cs="Tahoma"/>
                <w:sz w:val="18"/>
                <w:szCs w:val="18"/>
              </w:rPr>
              <w:t>000</w:t>
            </w:r>
          </w:p>
        </w:tc>
      </w:tr>
      <w:tr w:rsidR="00613BBB" w:rsidRPr="003410C7" w:rsidTr="002A6416">
        <w:trPr>
          <w:trHeight w:val="236"/>
        </w:trPr>
        <w:tc>
          <w:tcPr>
            <w:tcW w:w="1809" w:type="dxa"/>
            <w:vAlign w:val="bottom"/>
          </w:tcPr>
          <w:p w:rsidR="00613BBB" w:rsidRPr="003410C7" w:rsidRDefault="00613BBB" w:rsidP="00F42FB8">
            <w:pPr>
              <w:pStyle w:val="AppendixBodyText"/>
              <w:rPr>
                <w:rFonts w:ascii="Tahoma" w:hAnsi="Tahoma" w:cs="Tahoma"/>
                <w:sz w:val="18"/>
                <w:szCs w:val="18"/>
              </w:rPr>
            </w:pPr>
            <w:r w:rsidRPr="003410C7">
              <w:rPr>
                <w:rFonts w:ascii="Tahoma" w:hAnsi="Tahoma" w:cs="Tahoma"/>
                <w:sz w:val="18"/>
                <w:szCs w:val="18"/>
              </w:rPr>
              <w:t>Yen Giapponesi</w:t>
            </w:r>
          </w:p>
        </w:tc>
        <w:tc>
          <w:tcPr>
            <w:tcW w:w="1350" w:type="dxa"/>
            <w:vAlign w:val="bottom"/>
          </w:tcPr>
          <w:p w:rsidR="00613BBB" w:rsidRPr="003410C7" w:rsidRDefault="00613BBB" w:rsidP="00F42FB8">
            <w:pPr>
              <w:pStyle w:val="AppendixBodyText"/>
              <w:rPr>
                <w:rFonts w:ascii="Tahoma" w:hAnsi="Tahoma" w:cs="Tahoma"/>
                <w:sz w:val="18"/>
                <w:szCs w:val="18"/>
              </w:rPr>
            </w:pPr>
            <w:r w:rsidRPr="003410C7">
              <w:rPr>
                <w:rFonts w:ascii="Tahoma" w:hAnsi="Tahoma" w:cs="Tahoma"/>
                <w:sz w:val="18"/>
                <w:szCs w:val="18"/>
              </w:rPr>
              <w:t>JPY</w:t>
            </w:r>
          </w:p>
        </w:tc>
        <w:tc>
          <w:tcPr>
            <w:tcW w:w="2673" w:type="dxa"/>
            <w:vAlign w:val="bottom"/>
          </w:tcPr>
          <w:p w:rsidR="00613BBB" w:rsidRPr="003410C7" w:rsidRDefault="00613BBB" w:rsidP="00F42FB8">
            <w:pPr>
              <w:pStyle w:val="AppendixBodyText"/>
              <w:rPr>
                <w:rFonts w:ascii="Tahoma" w:hAnsi="Tahoma" w:cs="Tahoma"/>
                <w:sz w:val="18"/>
                <w:szCs w:val="18"/>
              </w:rPr>
            </w:pPr>
            <w:r w:rsidRPr="003410C7">
              <w:rPr>
                <w:rFonts w:ascii="Tahoma" w:hAnsi="Tahoma" w:cs="Tahoma"/>
                <w:sz w:val="18"/>
                <w:szCs w:val="18"/>
              </w:rPr>
              <w:t>JPY 2.400.000</w:t>
            </w:r>
          </w:p>
        </w:tc>
        <w:tc>
          <w:tcPr>
            <w:tcW w:w="2889" w:type="dxa"/>
            <w:vAlign w:val="bottom"/>
          </w:tcPr>
          <w:p w:rsidR="00613BBB" w:rsidRPr="003410C7" w:rsidRDefault="00613BBB" w:rsidP="00F42FB8">
            <w:pPr>
              <w:pStyle w:val="AppendixBodyText"/>
              <w:rPr>
                <w:rFonts w:ascii="Tahoma" w:hAnsi="Tahoma" w:cs="Tahoma"/>
                <w:sz w:val="18"/>
                <w:szCs w:val="18"/>
              </w:rPr>
            </w:pPr>
            <w:r w:rsidRPr="003410C7">
              <w:rPr>
                <w:rFonts w:ascii="Tahoma" w:hAnsi="Tahoma" w:cs="Tahoma"/>
                <w:sz w:val="18"/>
                <w:szCs w:val="18"/>
              </w:rPr>
              <w:t>JPY 24.000.000</w:t>
            </w:r>
          </w:p>
        </w:tc>
      </w:tr>
      <w:tr w:rsidR="00613BBB" w:rsidRPr="003410C7" w:rsidTr="002A6416">
        <w:trPr>
          <w:trHeight w:val="236"/>
        </w:trPr>
        <w:tc>
          <w:tcPr>
            <w:tcW w:w="1809" w:type="dxa"/>
            <w:vAlign w:val="bottom"/>
          </w:tcPr>
          <w:p w:rsidR="00613BBB" w:rsidRPr="003410C7" w:rsidRDefault="00613BBB" w:rsidP="00F42FB8">
            <w:pPr>
              <w:pStyle w:val="AppendixBodyText"/>
              <w:rPr>
                <w:rFonts w:ascii="Tahoma" w:hAnsi="Tahoma" w:cs="Tahoma"/>
                <w:sz w:val="18"/>
                <w:szCs w:val="18"/>
              </w:rPr>
            </w:pPr>
            <w:r w:rsidRPr="003410C7">
              <w:rPr>
                <w:rFonts w:ascii="Tahoma" w:hAnsi="Tahoma" w:cs="Tahoma"/>
                <w:sz w:val="18"/>
                <w:szCs w:val="18"/>
              </w:rPr>
              <w:t>Won Coreani</w:t>
            </w:r>
          </w:p>
        </w:tc>
        <w:tc>
          <w:tcPr>
            <w:tcW w:w="1350" w:type="dxa"/>
            <w:vAlign w:val="bottom"/>
          </w:tcPr>
          <w:p w:rsidR="00613BBB" w:rsidRPr="003410C7" w:rsidRDefault="00613BBB" w:rsidP="00F42FB8">
            <w:pPr>
              <w:pStyle w:val="AppendixBodyText"/>
              <w:rPr>
                <w:rFonts w:ascii="Tahoma" w:hAnsi="Tahoma" w:cs="Tahoma"/>
                <w:sz w:val="18"/>
                <w:szCs w:val="18"/>
              </w:rPr>
            </w:pPr>
            <w:r w:rsidRPr="003410C7">
              <w:rPr>
                <w:rFonts w:ascii="Tahoma" w:hAnsi="Tahoma" w:cs="Tahoma"/>
                <w:sz w:val="18"/>
                <w:szCs w:val="18"/>
              </w:rPr>
              <w:t>KRW</w:t>
            </w:r>
          </w:p>
        </w:tc>
        <w:tc>
          <w:tcPr>
            <w:tcW w:w="2673" w:type="dxa"/>
            <w:vAlign w:val="bottom"/>
          </w:tcPr>
          <w:p w:rsidR="00613BBB" w:rsidRPr="003410C7" w:rsidRDefault="00613BBB" w:rsidP="00F42FB8">
            <w:pPr>
              <w:pStyle w:val="AppendixBodyText"/>
              <w:rPr>
                <w:rFonts w:ascii="Tahoma" w:hAnsi="Tahoma" w:cs="Tahoma"/>
                <w:sz w:val="18"/>
                <w:szCs w:val="18"/>
              </w:rPr>
            </w:pPr>
            <w:r w:rsidRPr="003410C7">
              <w:rPr>
                <w:rFonts w:ascii="Tahoma" w:hAnsi="Tahoma" w:cs="Tahoma"/>
                <w:sz w:val="18"/>
                <w:szCs w:val="18"/>
              </w:rPr>
              <w:t>KWD 24.000.000</w:t>
            </w:r>
          </w:p>
        </w:tc>
        <w:tc>
          <w:tcPr>
            <w:tcW w:w="2889" w:type="dxa"/>
            <w:vAlign w:val="bottom"/>
          </w:tcPr>
          <w:p w:rsidR="00613BBB" w:rsidRPr="003410C7" w:rsidRDefault="00613BBB" w:rsidP="00F42FB8">
            <w:pPr>
              <w:pStyle w:val="AppendixBodyText"/>
              <w:rPr>
                <w:rFonts w:ascii="Tahoma" w:hAnsi="Tahoma" w:cs="Tahoma"/>
                <w:sz w:val="18"/>
                <w:szCs w:val="18"/>
              </w:rPr>
            </w:pPr>
            <w:r w:rsidRPr="003410C7">
              <w:rPr>
                <w:rFonts w:ascii="Tahoma" w:hAnsi="Tahoma" w:cs="Tahoma"/>
                <w:sz w:val="18"/>
                <w:szCs w:val="18"/>
              </w:rPr>
              <w:t>KWD 240.000.000</w:t>
            </w:r>
          </w:p>
        </w:tc>
      </w:tr>
      <w:tr w:rsidR="00613BBB" w:rsidRPr="003410C7" w:rsidTr="002A6416">
        <w:trPr>
          <w:trHeight w:val="236"/>
        </w:trPr>
        <w:tc>
          <w:tcPr>
            <w:tcW w:w="1809" w:type="dxa"/>
            <w:vAlign w:val="bottom"/>
          </w:tcPr>
          <w:p w:rsidR="00613BBB" w:rsidRPr="003410C7" w:rsidRDefault="00613BBB" w:rsidP="00F42FB8">
            <w:pPr>
              <w:pStyle w:val="AppendixBodyText"/>
              <w:rPr>
                <w:rFonts w:ascii="Tahoma" w:hAnsi="Tahoma" w:cs="Tahoma"/>
                <w:sz w:val="18"/>
                <w:szCs w:val="18"/>
              </w:rPr>
            </w:pPr>
            <w:r w:rsidRPr="003410C7">
              <w:rPr>
                <w:rFonts w:ascii="Tahoma" w:hAnsi="Tahoma" w:cs="Tahoma"/>
                <w:sz w:val="18"/>
                <w:szCs w:val="18"/>
              </w:rPr>
              <w:lastRenderedPageBreak/>
              <w:t>Corone Norvegesi</w:t>
            </w:r>
          </w:p>
        </w:tc>
        <w:tc>
          <w:tcPr>
            <w:tcW w:w="1350" w:type="dxa"/>
            <w:vAlign w:val="bottom"/>
          </w:tcPr>
          <w:p w:rsidR="00613BBB" w:rsidRPr="003410C7" w:rsidRDefault="00613BBB" w:rsidP="00F42FB8">
            <w:pPr>
              <w:pStyle w:val="AppendixBodyText"/>
              <w:rPr>
                <w:rFonts w:ascii="Tahoma" w:hAnsi="Tahoma" w:cs="Tahoma"/>
                <w:sz w:val="18"/>
                <w:szCs w:val="18"/>
              </w:rPr>
            </w:pPr>
            <w:r w:rsidRPr="003410C7">
              <w:rPr>
                <w:rFonts w:ascii="Tahoma" w:hAnsi="Tahoma" w:cs="Tahoma"/>
                <w:sz w:val="18"/>
                <w:szCs w:val="18"/>
              </w:rPr>
              <w:t>NOK</w:t>
            </w:r>
          </w:p>
        </w:tc>
        <w:tc>
          <w:tcPr>
            <w:tcW w:w="2673" w:type="dxa"/>
            <w:vAlign w:val="bottom"/>
          </w:tcPr>
          <w:p w:rsidR="00613BBB" w:rsidRPr="003410C7" w:rsidRDefault="00613BBB" w:rsidP="00F42FB8">
            <w:pPr>
              <w:pStyle w:val="AppendixBodyText"/>
              <w:rPr>
                <w:rFonts w:ascii="Tahoma" w:hAnsi="Tahoma" w:cs="Tahoma"/>
                <w:sz w:val="18"/>
                <w:szCs w:val="18"/>
              </w:rPr>
            </w:pPr>
            <w:r w:rsidRPr="003410C7">
              <w:rPr>
                <w:rFonts w:ascii="Tahoma" w:hAnsi="Tahoma" w:cs="Tahoma"/>
                <w:sz w:val="18"/>
                <w:szCs w:val="18"/>
              </w:rPr>
              <w:t>kr 165.000</w:t>
            </w:r>
          </w:p>
        </w:tc>
        <w:tc>
          <w:tcPr>
            <w:tcW w:w="2889" w:type="dxa"/>
            <w:vAlign w:val="bottom"/>
          </w:tcPr>
          <w:p w:rsidR="00613BBB" w:rsidRPr="003410C7" w:rsidRDefault="00613BBB" w:rsidP="00F42FB8">
            <w:pPr>
              <w:pStyle w:val="AppendixBodyText"/>
              <w:rPr>
                <w:rFonts w:ascii="Tahoma" w:hAnsi="Tahoma" w:cs="Tahoma"/>
                <w:sz w:val="18"/>
                <w:szCs w:val="18"/>
              </w:rPr>
            </w:pPr>
            <w:r w:rsidRPr="003410C7">
              <w:rPr>
                <w:rFonts w:ascii="Tahoma" w:hAnsi="Tahoma" w:cs="Tahoma"/>
                <w:sz w:val="18"/>
                <w:szCs w:val="18"/>
              </w:rPr>
              <w:t>kr 1.650.000</w:t>
            </w:r>
          </w:p>
        </w:tc>
      </w:tr>
      <w:tr w:rsidR="00613BBB" w:rsidRPr="003410C7" w:rsidTr="002A6416">
        <w:trPr>
          <w:trHeight w:val="236"/>
        </w:trPr>
        <w:tc>
          <w:tcPr>
            <w:tcW w:w="1809" w:type="dxa"/>
            <w:vAlign w:val="bottom"/>
          </w:tcPr>
          <w:p w:rsidR="00613BBB" w:rsidRPr="003410C7" w:rsidRDefault="00613BBB" w:rsidP="00F42FB8">
            <w:pPr>
              <w:pStyle w:val="AppendixBodyText"/>
              <w:rPr>
                <w:rFonts w:ascii="Tahoma" w:hAnsi="Tahoma" w:cs="Tahoma"/>
                <w:sz w:val="18"/>
                <w:szCs w:val="18"/>
              </w:rPr>
            </w:pPr>
            <w:r w:rsidRPr="003410C7">
              <w:rPr>
                <w:rFonts w:ascii="Tahoma" w:hAnsi="Tahoma" w:cs="Tahoma"/>
                <w:sz w:val="18"/>
                <w:szCs w:val="18"/>
              </w:rPr>
              <w:t>Dollaro neozelandese</w:t>
            </w:r>
          </w:p>
        </w:tc>
        <w:tc>
          <w:tcPr>
            <w:tcW w:w="1350" w:type="dxa"/>
            <w:vAlign w:val="bottom"/>
          </w:tcPr>
          <w:p w:rsidR="00613BBB" w:rsidRPr="003410C7" w:rsidRDefault="00613BBB" w:rsidP="00F42FB8">
            <w:pPr>
              <w:pStyle w:val="AppendixBodyText"/>
              <w:rPr>
                <w:rFonts w:ascii="Tahoma" w:hAnsi="Tahoma" w:cs="Tahoma"/>
                <w:sz w:val="18"/>
                <w:szCs w:val="18"/>
              </w:rPr>
            </w:pPr>
            <w:r w:rsidRPr="003410C7">
              <w:rPr>
                <w:rFonts w:ascii="Tahoma" w:hAnsi="Tahoma" w:cs="Tahoma"/>
                <w:sz w:val="18"/>
                <w:szCs w:val="18"/>
              </w:rPr>
              <w:t>NZD</w:t>
            </w:r>
          </w:p>
        </w:tc>
        <w:tc>
          <w:tcPr>
            <w:tcW w:w="2673" w:type="dxa"/>
            <w:vAlign w:val="bottom"/>
          </w:tcPr>
          <w:p w:rsidR="00613BBB" w:rsidRPr="003410C7" w:rsidRDefault="00613BBB" w:rsidP="00F42FB8">
            <w:pPr>
              <w:pStyle w:val="AppendixBodyText"/>
              <w:rPr>
                <w:rFonts w:ascii="Tahoma" w:hAnsi="Tahoma" w:cs="Tahoma"/>
                <w:sz w:val="18"/>
                <w:szCs w:val="18"/>
              </w:rPr>
            </w:pPr>
            <w:r w:rsidRPr="003410C7">
              <w:rPr>
                <w:rFonts w:ascii="Tahoma" w:hAnsi="Tahoma" w:cs="Tahoma"/>
                <w:sz w:val="18"/>
                <w:szCs w:val="18"/>
              </w:rPr>
              <w:t>35</w:t>
            </w:r>
            <w:r w:rsidR="00E44188">
              <w:rPr>
                <w:rFonts w:ascii="Tahoma" w:hAnsi="Tahoma" w:cs="Tahoma"/>
                <w:sz w:val="18"/>
                <w:szCs w:val="18"/>
              </w:rPr>
              <w:t>.</w:t>
            </w:r>
            <w:r w:rsidRPr="003410C7">
              <w:rPr>
                <w:rFonts w:ascii="Tahoma" w:hAnsi="Tahoma" w:cs="Tahoma"/>
                <w:sz w:val="18"/>
                <w:szCs w:val="18"/>
              </w:rPr>
              <w:t>000</w:t>
            </w:r>
          </w:p>
        </w:tc>
        <w:tc>
          <w:tcPr>
            <w:tcW w:w="2889" w:type="dxa"/>
            <w:vAlign w:val="bottom"/>
          </w:tcPr>
          <w:p w:rsidR="00613BBB" w:rsidRPr="003410C7" w:rsidRDefault="00613BBB" w:rsidP="00F42FB8">
            <w:pPr>
              <w:pStyle w:val="AppendixBodyText"/>
              <w:rPr>
                <w:rFonts w:ascii="Tahoma" w:hAnsi="Tahoma" w:cs="Tahoma"/>
                <w:sz w:val="18"/>
                <w:szCs w:val="18"/>
              </w:rPr>
            </w:pPr>
            <w:r w:rsidRPr="003410C7">
              <w:rPr>
                <w:rFonts w:ascii="Tahoma" w:hAnsi="Tahoma" w:cs="Tahoma"/>
                <w:sz w:val="18"/>
                <w:szCs w:val="18"/>
              </w:rPr>
              <w:t>350</w:t>
            </w:r>
            <w:r w:rsidR="00E44188">
              <w:rPr>
                <w:rFonts w:ascii="Tahoma" w:hAnsi="Tahoma" w:cs="Tahoma"/>
                <w:sz w:val="18"/>
                <w:szCs w:val="18"/>
              </w:rPr>
              <w:t>.</w:t>
            </w:r>
            <w:r w:rsidRPr="003410C7">
              <w:rPr>
                <w:rFonts w:ascii="Tahoma" w:hAnsi="Tahoma" w:cs="Tahoma"/>
                <w:sz w:val="18"/>
                <w:szCs w:val="18"/>
              </w:rPr>
              <w:t>000</w:t>
            </w:r>
          </w:p>
        </w:tc>
      </w:tr>
      <w:tr w:rsidR="00613BBB" w:rsidRPr="003410C7" w:rsidTr="002A6416">
        <w:trPr>
          <w:trHeight w:val="236"/>
        </w:trPr>
        <w:tc>
          <w:tcPr>
            <w:tcW w:w="1809" w:type="dxa"/>
            <w:vAlign w:val="bottom"/>
          </w:tcPr>
          <w:p w:rsidR="00613BBB" w:rsidRPr="003410C7" w:rsidRDefault="00613BBB" w:rsidP="00F42FB8">
            <w:pPr>
              <w:pStyle w:val="AppendixBodyText"/>
              <w:rPr>
                <w:rFonts w:ascii="Tahoma" w:hAnsi="Tahoma" w:cs="Tahoma"/>
                <w:sz w:val="18"/>
                <w:szCs w:val="18"/>
              </w:rPr>
            </w:pPr>
            <w:r w:rsidRPr="003410C7">
              <w:rPr>
                <w:rFonts w:ascii="Tahoma" w:hAnsi="Tahoma" w:cs="Tahoma"/>
                <w:sz w:val="18"/>
                <w:szCs w:val="18"/>
              </w:rPr>
              <w:t>Corone Svedesi</w:t>
            </w:r>
          </w:p>
        </w:tc>
        <w:tc>
          <w:tcPr>
            <w:tcW w:w="1350" w:type="dxa"/>
            <w:vAlign w:val="bottom"/>
          </w:tcPr>
          <w:p w:rsidR="00613BBB" w:rsidRPr="003410C7" w:rsidRDefault="00613BBB" w:rsidP="00F42FB8">
            <w:pPr>
              <w:pStyle w:val="AppendixBodyText"/>
              <w:rPr>
                <w:rFonts w:ascii="Tahoma" w:hAnsi="Tahoma" w:cs="Tahoma"/>
                <w:sz w:val="18"/>
                <w:szCs w:val="18"/>
              </w:rPr>
            </w:pPr>
            <w:r w:rsidRPr="003410C7">
              <w:rPr>
                <w:rFonts w:ascii="Tahoma" w:hAnsi="Tahoma" w:cs="Tahoma"/>
                <w:sz w:val="18"/>
                <w:szCs w:val="18"/>
              </w:rPr>
              <w:t>SEK</w:t>
            </w:r>
          </w:p>
        </w:tc>
        <w:tc>
          <w:tcPr>
            <w:tcW w:w="2673" w:type="dxa"/>
            <w:vAlign w:val="bottom"/>
          </w:tcPr>
          <w:p w:rsidR="00613BBB" w:rsidRPr="003410C7" w:rsidRDefault="00613BBB" w:rsidP="00F42FB8">
            <w:pPr>
              <w:pStyle w:val="AppendixBodyText"/>
              <w:rPr>
                <w:rFonts w:ascii="Tahoma" w:hAnsi="Tahoma" w:cs="Tahoma"/>
                <w:sz w:val="18"/>
                <w:szCs w:val="18"/>
              </w:rPr>
            </w:pPr>
            <w:r w:rsidRPr="003410C7">
              <w:rPr>
                <w:rFonts w:ascii="Tahoma" w:hAnsi="Tahoma" w:cs="Tahoma"/>
                <w:sz w:val="18"/>
                <w:szCs w:val="18"/>
              </w:rPr>
              <w:t>kr 200.000</w:t>
            </w:r>
          </w:p>
        </w:tc>
        <w:tc>
          <w:tcPr>
            <w:tcW w:w="2889" w:type="dxa"/>
            <w:vAlign w:val="bottom"/>
          </w:tcPr>
          <w:p w:rsidR="00613BBB" w:rsidRPr="003410C7" w:rsidRDefault="00613BBB" w:rsidP="00F42FB8">
            <w:pPr>
              <w:pStyle w:val="AppendixBodyText"/>
              <w:rPr>
                <w:rFonts w:ascii="Tahoma" w:hAnsi="Tahoma" w:cs="Tahoma"/>
                <w:sz w:val="18"/>
                <w:szCs w:val="18"/>
              </w:rPr>
            </w:pPr>
            <w:r w:rsidRPr="003410C7">
              <w:rPr>
                <w:rFonts w:ascii="Tahoma" w:hAnsi="Tahoma" w:cs="Tahoma"/>
                <w:sz w:val="18"/>
                <w:szCs w:val="18"/>
              </w:rPr>
              <w:t>kr 2.000.000</w:t>
            </w:r>
          </w:p>
        </w:tc>
      </w:tr>
      <w:tr w:rsidR="00613BBB" w:rsidRPr="003410C7" w:rsidTr="002A6416">
        <w:trPr>
          <w:trHeight w:val="236"/>
        </w:trPr>
        <w:tc>
          <w:tcPr>
            <w:tcW w:w="1809" w:type="dxa"/>
            <w:vAlign w:val="bottom"/>
          </w:tcPr>
          <w:p w:rsidR="00613BBB" w:rsidRPr="003410C7" w:rsidRDefault="00613BBB" w:rsidP="00F42FB8">
            <w:pPr>
              <w:pStyle w:val="AppendixBodyText"/>
              <w:rPr>
                <w:rFonts w:ascii="Tahoma" w:hAnsi="Tahoma" w:cs="Tahoma"/>
                <w:sz w:val="18"/>
                <w:szCs w:val="18"/>
              </w:rPr>
            </w:pPr>
            <w:r w:rsidRPr="003410C7">
              <w:rPr>
                <w:rFonts w:ascii="Tahoma" w:hAnsi="Tahoma" w:cs="Tahoma"/>
                <w:sz w:val="18"/>
                <w:szCs w:val="18"/>
              </w:rPr>
              <w:t>Nuovo dollaro taiwanese</w:t>
            </w:r>
          </w:p>
        </w:tc>
        <w:tc>
          <w:tcPr>
            <w:tcW w:w="1350" w:type="dxa"/>
            <w:vAlign w:val="bottom"/>
          </w:tcPr>
          <w:p w:rsidR="00613BBB" w:rsidRPr="003410C7" w:rsidRDefault="00613BBB" w:rsidP="00F42FB8">
            <w:pPr>
              <w:pStyle w:val="AppendixBodyText"/>
              <w:rPr>
                <w:rFonts w:ascii="Tahoma" w:hAnsi="Tahoma" w:cs="Tahoma"/>
                <w:sz w:val="18"/>
                <w:szCs w:val="18"/>
              </w:rPr>
            </w:pPr>
            <w:r w:rsidRPr="003410C7">
              <w:rPr>
                <w:rFonts w:ascii="Tahoma" w:hAnsi="Tahoma" w:cs="Tahoma"/>
                <w:sz w:val="18"/>
                <w:szCs w:val="18"/>
              </w:rPr>
              <w:t>TWD</w:t>
            </w:r>
          </w:p>
        </w:tc>
        <w:tc>
          <w:tcPr>
            <w:tcW w:w="2673" w:type="dxa"/>
            <w:vAlign w:val="bottom"/>
          </w:tcPr>
          <w:p w:rsidR="00613BBB" w:rsidRPr="003410C7" w:rsidRDefault="00613BBB" w:rsidP="00F42FB8">
            <w:pPr>
              <w:pStyle w:val="AppendixBodyText"/>
              <w:rPr>
                <w:rFonts w:ascii="Tahoma" w:hAnsi="Tahoma" w:cs="Tahoma"/>
                <w:sz w:val="18"/>
                <w:szCs w:val="18"/>
              </w:rPr>
            </w:pPr>
            <w:r w:rsidRPr="003410C7">
              <w:rPr>
                <w:rFonts w:ascii="Tahoma" w:hAnsi="Tahoma" w:cs="Tahoma"/>
                <w:sz w:val="18"/>
                <w:szCs w:val="18"/>
              </w:rPr>
              <w:t>NTD 700.000</w:t>
            </w:r>
          </w:p>
        </w:tc>
        <w:tc>
          <w:tcPr>
            <w:tcW w:w="2889" w:type="dxa"/>
            <w:vAlign w:val="bottom"/>
          </w:tcPr>
          <w:p w:rsidR="00613BBB" w:rsidRPr="003410C7" w:rsidRDefault="00613BBB" w:rsidP="00F42FB8">
            <w:pPr>
              <w:pStyle w:val="AppendixBodyText"/>
              <w:rPr>
                <w:rFonts w:ascii="Tahoma" w:hAnsi="Tahoma" w:cs="Tahoma"/>
                <w:sz w:val="18"/>
                <w:szCs w:val="18"/>
              </w:rPr>
            </w:pPr>
            <w:r w:rsidRPr="003410C7">
              <w:rPr>
                <w:rFonts w:ascii="Tahoma" w:hAnsi="Tahoma" w:cs="Tahoma"/>
                <w:sz w:val="18"/>
                <w:szCs w:val="18"/>
              </w:rPr>
              <w:t>NTD 7.000.000</w:t>
            </w:r>
          </w:p>
        </w:tc>
      </w:tr>
      <w:tr w:rsidR="004B4C79" w:rsidRPr="003410C7" w:rsidTr="002A6416">
        <w:trPr>
          <w:trHeight w:val="236"/>
        </w:trPr>
        <w:tc>
          <w:tcPr>
            <w:tcW w:w="1809" w:type="dxa"/>
          </w:tcPr>
          <w:p w:rsidR="004B4C79" w:rsidRPr="003410C7" w:rsidRDefault="004B4C79" w:rsidP="00F42FB8">
            <w:pPr>
              <w:pStyle w:val="AppendixBodyText"/>
              <w:rPr>
                <w:rFonts w:ascii="Tahoma" w:hAnsi="Tahoma" w:cs="Tahoma"/>
                <w:sz w:val="18"/>
                <w:szCs w:val="18"/>
              </w:rPr>
            </w:pPr>
            <w:r w:rsidRPr="003410C7">
              <w:rPr>
                <w:rFonts w:ascii="Tahoma" w:hAnsi="Tahoma" w:cs="Tahoma"/>
                <w:sz w:val="18"/>
                <w:szCs w:val="18"/>
              </w:rPr>
              <w:t>Rupia indiana</w:t>
            </w:r>
          </w:p>
        </w:tc>
        <w:tc>
          <w:tcPr>
            <w:tcW w:w="1350" w:type="dxa"/>
          </w:tcPr>
          <w:p w:rsidR="004B4C79" w:rsidRPr="003410C7" w:rsidRDefault="004B4C79" w:rsidP="00F42FB8">
            <w:pPr>
              <w:pStyle w:val="AppendixBodyText"/>
              <w:rPr>
                <w:rFonts w:ascii="Tahoma" w:hAnsi="Tahoma" w:cs="Tahoma"/>
                <w:sz w:val="18"/>
                <w:szCs w:val="18"/>
              </w:rPr>
            </w:pPr>
            <w:r w:rsidRPr="003410C7">
              <w:rPr>
                <w:rFonts w:ascii="Tahoma" w:hAnsi="Tahoma" w:cs="Tahoma"/>
                <w:sz w:val="18"/>
                <w:szCs w:val="18"/>
              </w:rPr>
              <w:t>INR</w:t>
            </w:r>
          </w:p>
        </w:tc>
        <w:tc>
          <w:tcPr>
            <w:tcW w:w="2673" w:type="dxa"/>
          </w:tcPr>
          <w:p w:rsidR="004B4C79" w:rsidRPr="003410C7" w:rsidRDefault="004B4C79" w:rsidP="00F42FB8">
            <w:pPr>
              <w:pStyle w:val="AppendixBodyText"/>
              <w:rPr>
                <w:rFonts w:ascii="Tahoma" w:hAnsi="Tahoma" w:cs="Tahoma"/>
                <w:sz w:val="18"/>
                <w:szCs w:val="18"/>
              </w:rPr>
            </w:pPr>
            <w:r w:rsidRPr="003410C7">
              <w:rPr>
                <w:rFonts w:ascii="Tahoma" w:hAnsi="Tahoma" w:cs="Tahoma"/>
                <w:sz w:val="18"/>
                <w:szCs w:val="18"/>
              </w:rPr>
              <w:t>INR 1.000.000</w:t>
            </w:r>
          </w:p>
        </w:tc>
        <w:tc>
          <w:tcPr>
            <w:tcW w:w="2889" w:type="dxa"/>
          </w:tcPr>
          <w:p w:rsidR="004B4C79" w:rsidRPr="003410C7" w:rsidRDefault="004B4C79" w:rsidP="00F42FB8">
            <w:pPr>
              <w:pStyle w:val="AppendixBodyText"/>
              <w:rPr>
                <w:rFonts w:ascii="Tahoma" w:hAnsi="Tahoma" w:cs="Tahoma"/>
                <w:sz w:val="18"/>
                <w:szCs w:val="18"/>
              </w:rPr>
            </w:pPr>
            <w:r w:rsidRPr="003410C7">
              <w:rPr>
                <w:rFonts w:ascii="Tahoma" w:hAnsi="Tahoma" w:cs="Tahoma"/>
                <w:sz w:val="18"/>
                <w:szCs w:val="18"/>
              </w:rPr>
              <w:t>INR 10.000.000</w:t>
            </w:r>
          </w:p>
        </w:tc>
      </w:tr>
      <w:tr w:rsidR="004B4C79" w:rsidRPr="003410C7" w:rsidTr="002A6416">
        <w:trPr>
          <w:trHeight w:val="236"/>
        </w:trPr>
        <w:tc>
          <w:tcPr>
            <w:tcW w:w="1809" w:type="dxa"/>
          </w:tcPr>
          <w:p w:rsidR="004B4C79" w:rsidRPr="003410C7" w:rsidRDefault="004B4C79" w:rsidP="00F42FB8">
            <w:pPr>
              <w:pStyle w:val="AppendixBodyText"/>
              <w:rPr>
                <w:rFonts w:ascii="Tahoma" w:hAnsi="Tahoma" w:cs="Tahoma"/>
                <w:sz w:val="18"/>
                <w:szCs w:val="18"/>
              </w:rPr>
            </w:pPr>
            <w:r w:rsidRPr="003410C7">
              <w:rPr>
                <w:rFonts w:ascii="Tahoma" w:hAnsi="Tahoma" w:cs="Tahoma"/>
                <w:sz w:val="18"/>
                <w:szCs w:val="18"/>
              </w:rPr>
              <w:t>Rublo russo</w:t>
            </w:r>
          </w:p>
        </w:tc>
        <w:tc>
          <w:tcPr>
            <w:tcW w:w="1350" w:type="dxa"/>
          </w:tcPr>
          <w:p w:rsidR="004B4C79" w:rsidRPr="003410C7" w:rsidRDefault="004B4C79" w:rsidP="00F42FB8">
            <w:pPr>
              <w:pStyle w:val="AppendixBodyText"/>
              <w:rPr>
                <w:rFonts w:ascii="Tahoma" w:hAnsi="Tahoma" w:cs="Tahoma"/>
                <w:sz w:val="18"/>
                <w:szCs w:val="18"/>
              </w:rPr>
            </w:pPr>
            <w:r w:rsidRPr="003410C7">
              <w:rPr>
                <w:rFonts w:ascii="Tahoma" w:hAnsi="Tahoma" w:cs="Tahoma"/>
                <w:sz w:val="18"/>
                <w:szCs w:val="18"/>
              </w:rPr>
              <w:t>RUB</w:t>
            </w:r>
          </w:p>
        </w:tc>
        <w:tc>
          <w:tcPr>
            <w:tcW w:w="2673" w:type="dxa"/>
          </w:tcPr>
          <w:p w:rsidR="004B4C79" w:rsidRPr="003410C7" w:rsidRDefault="004B4C79" w:rsidP="00F42FB8">
            <w:pPr>
              <w:pStyle w:val="AppendixBodyText"/>
              <w:rPr>
                <w:rFonts w:ascii="Tahoma" w:hAnsi="Tahoma" w:cs="Tahoma"/>
                <w:sz w:val="18"/>
                <w:szCs w:val="18"/>
              </w:rPr>
            </w:pPr>
            <w:r w:rsidRPr="003410C7">
              <w:rPr>
                <w:rFonts w:ascii="Tahoma" w:hAnsi="Tahoma" w:cs="Tahoma"/>
                <w:sz w:val="18"/>
                <w:szCs w:val="18"/>
              </w:rPr>
              <w:t>RUB 660.000</w:t>
            </w:r>
          </w:p>
        </w:tc>
        <w:tc>
          <w:tcPr>
            <w:tcW w:w="2889" w:type="dxa"/>
          </w:tcPr>
          <w:p w:rsidR="004B4C79" w:rsidRPr="003410C7" w:rsidRDefault="004B4C79" w:rsidP="00F42FB8">
            <w:pPr>
              <w:pStyle w:val="AppendixBodyText"/>
              <w:rPr>
                <w:rFonts w:ascii="Tahoma" w:hAnsi="Tahoma" w:cs="Tahoma"/>
                <w:sz w:val="18"/>
                <w:szCs w:val="18"/>
              </w:rPr>
            </w:pPr>
            <w:r w:rsidRPr="003410C7">
              <w:rPr>
                <w:rFonts w:ascii="Tahoma" w:hAnsi="Tahoma" w:cs="Tahoma"/>
                <w:sz w:val="18"/>
                <w:szCs w:val="18"/>
              </w:rPr>
              <w:t>RUB 6.600.000</w:t>
            </w:r>
          </w:p>
        </w:tc>
      </w:tr>
    </w:tbl>
    <w:p w:rsidR="00023FE7" w:rsidRPr="00E44188" w:rsidRDefault="00023FE7" w:rsidP="00F93617">
      <w:pPr>
        <w:pStyle w:val="AppendixBodyText"/>
        <w:spacing w:after="0"/>
        <w:rPr>
          <w:sz w:val="18"/>
          <w:szCs w:val="18"/>
        </w:rPr>
      </w:pPr>
    </w:p>
    <w:p w:rsidR="00023FE7" w:rsidRPr="00451078" w:rsidRDefault="00023FE7" w:rsidP="00F42FB8">
      <w:pPr>
        <w:pStyle w:val="AppendixBodyText"/>
        <w:spacing w:after="0"/>
        <w:rPr>
          <w:lang w:val="it-IT"/>
        </w:rPr>
      </w:pPr>
      <w:r w:rsidRPr="00451078">
        <w:rPr>
          <w:rFonts w:ascii="Tahoma" w:hAnsi="Tahoma" w:cs="Tahoma"/>
          <w:sz w:val="18"/>
          <w:szCs w:val="18"/>
          <w:lang w:val="it-IT"/>
        </w:rPr>
        <w:t>Gli interventi basati sulla spesa SA sono concessi in base alla spesa SA per server e desktop, ai sensi di un</w:t>
      </w:r>
      <w:r w:rsidR="004525CA">
        <w:rPr>
          <w:rFonts w:ascii="Tahoma" w:hAnsi="Tahoma" w:cs="Tahoma"/>
          <w:sz w:val="18"/>
          <w:szCs w:val="18"/>
          <w:lang w:val="it-IT"/>
        </w:rPr>
        <w:t>’</w:t>
      </w:r>
      <w:r w:rsidRPr="00451078">
        <w:rPr>
          <w:rFonts w:ascii="Tahoma" w:hAnsi="Tahoma" w:cs="Tahoma"/>
          <w:sz w:val="18"/>
          <w:szCs w:val="18"/>
          <w:lang w:val="it-IT"/>
        </w:rPr>
        <w:t>iscrizione Enterprise o Select qualificante, della registrazione Select Plus, del Contratto Open Value o del Numero di Autorizzazione Open License.</w:t>
      </w:r>
      <w:r w:rsidR="00082E1C" w:rsidRPr="00451078">
        <w:rPr>
          <w:rFonts w:ascii="Tahoma" w:hAnsi="Tahoma" w:cs="Tahoma"/>
          <w:sz w:val="18"/>
          <w:szCs w:val="18"/>
          <w:lang w:val="it-IT"/>
        </w:rPr>
        <w:t xml:space="preserve"> </w:t>
      </w:r>
      <w:r w:rsidRPr="00451078">
        <w:rPr>
          <w:rFonts w:ascii="Tahoma" w:hAnsi="Tahoma" w:cs="Tahoma"/>
          <w:sz w:val="18"/>
          <w:szCs w:val="18"/>
          <w:lang w:val="it-IT"/>
        </w:rPr>
        <w:t>Indicativamente, per ogni $ 20.000 di spesa SA per Server e CAL, Microsoft concede un</w:t>
      </w:r>
      <w:r w:rsidR="00E44188" w:rsidRPr="00451078">
        <w:rPr>
          <w:rFonts w:ascii="Tahoma" w:hAnsi="Tahoma" w:cs="Tahoma"/>
          <w:sz w:val="18"/>
          <w:szCs w:val="18"/>
          <w:lang w:val="it-IT"/>
        </w:rPr>
        <w:t> </w:t>
      </w:r>
      <w:r w:rsidRPr="00451078">
        <w:rPr>
          <w:rFonts w:ascii="Tahoma" w:hAnsi="Tahoma" w:cs="Tahoma"/>
          <w:sz w:val="18"/>
          <w:szCs w:val="18"/>
          <w:lang w:val="it-IT"/>
        </w:rPr>
        <w:t>intervento.</w:t>
      </w:r>
      <w:r w:rsidR="00082E1C" w:rsidRPr="00451078">
        <w:rPr>
          <w:rFonts w:ascii="Tahoma" w:hAnsi="Tahoma" w:cs="Tahoma"/>
          <w:sz w:val="18"/>
          <w:szCs w:val="18"/>
          <w:lang w:val="it-IT"/>
        </w:rPr>
        <w:t xml:space="preserve"> </w:t>
      </w:r>
      <w:r w:rsidRPr="00451078">
        <w:rPr>
          <w:rFonts w:ascii="Tahoma" w:hAnsi="Tahoma" w:cs="Tahoma"/>
          <w:sz w:val="18"/>
          <w:szCs w:val="18"/>
          <w:lang w:val="it-IT"/>
        </w:rPr>
        <w:t>Per circa $ 200.000 di spesa SA per Sistemi e Pool di Applicazioni, Microsoft concede un intervento.</w:t>
      </w:r>
      <w:r w:rsidR="00082E1C" w:rsidRPr="00451078">
        <w:rPr>
          <w:rFonts w:ascii="Tahoma" w:hAnsi="Tahoma" w:cs="Tahoma"/>
          <w:sz w:val="18"/>
          <w:szCs w:val="18"/>
          <w:lang w:val="it-IT"/>
        </w:rPr>
        <w:t xml:space="preserve"> </w:t>
      </w:r>
      <w:r w:rsidRPr="00451078">
        <w:rPr>
          <w:rFonts w:ascii="Tahoma" w:hAnsi="Tahoma" w:cs="Tahoma"/>
          <w:sz w:val="18"/>
          <w:szCs w:val="18"/>
          <w:lang w:val="it-IT"/>
        </w:rPr>
        <w:t>La</w:t>
      </w:r>
      <w:r w:rsidR="00E44188" w:rsidRPr="00451078">
        <w:rPr>
          <w:rFonts w:ascii="Tahoma" w:hAnsi="Tahoma" w:cs="Tahoma"/>
          <w:sz w:val="18"/>
          <w:szCs w:val="18"/>
          <w:lang w:val="it-IT"/>
        </w:rPr>
        <w:t> </w:t>
      </w:r>
      <w:r w:rsidRPr="00451078">
        <w:rPr>
          <w:rFonts w:ascii="Tahoma" w:hAnsi="Tahoma" w:cs="Tahoma"/>
          <w:sz w:val="18"/>
          <w:szCs w:val="18"/>
          <w:lang w:val="it-IT"/>
        </w:rPr>
        <w:t>seguente tabella mostra le somme equivalenti, approssimative, in valuta per i premi basate sulla spesa SA, in</w:t>
      </w:r>
      <w:r w:rsidR="00E44188" w:rsidRPr="00451078">
        <w:rPr>
          <w:rFonts w:ascii="Tahoma" w:hAnsi="Tahoma" w:cs="Tahoma"/>
          <w:sz w:val="18"/>
          <w:szCs w:val="18"/>
          <w:lang w:val="it-IT"/>
        </w:rPr>
        <w:t> </w:t>
      </w:r>
      <w:r w:rsidRPr="00451078">
        <w:rPr>
          <w:rFonts w:ascii="Tahoma" w:hAnsi="Tahoma" w:cs="Tahoma"/>
          <w:sz w:val="18"/>
          <w:szCs w:val="18"/>
          <w:lang w:val="it-IT"/>
        </w:rPr>
        <w:t>caso</w:t>
      </w:r>
      <w:r w:rsidR="00E44188" w:rsidRPr="00451078">
        <w:rPr>
          <w:rFonts w:ascii="Tahoma" w:hAnsi="Tahoma" w:cs="Tahoma"/>
          <w:sz w:val="18"/>
          <w:szCs w:val="18"/>
          <w:lang w:val="it-IT"/>
        </w:rPr>
        <w:t> </w:t>
      </w:r>
      <w:r w:rsidRPr="00451078">
        <w:rPr>
          <w:rFonts w:ascii="Tahoma" w:hAnsi="Tahoma" w:cs="Tahoma"/>
          <w:sz w:val="18"/>
          <w:szCs w:val="18"/>
          <w:lang w:val="it-IT"/>
        </w:rPr>
        <w:t>di contratti stipulati in valute diverse dall</w:t>
      </w:r>
      <w:r w:rsidR="004525CA">
        <w:rPr>
          <w:rFonts w:ascii="Tahoma" w:hAnsi="Tahoma" w:cs="Tahoma"/>
          <w:sz w:val="18"/>
          <w:szCs w:val="18"/>
          <w:lang w:val="it-IT"/>
        </w:rPr>
        <w:t>’</w:t>
      </w:r>
      <w:r w:rsidRPr="00451078">
        <w:rPr>
          <w:rFonts w:ascii="Tahoma" w:hAnsi="Tahoma" w:cs="Tahoma"/>
          <w:sz w:val="18"/>
          <w:szCs w:val="18"/>
          <w:lang w:val="it-IT"/>
        </w:rPr>
        <w:t>USD.</w:t>
      </w:r>
      <w:r w:rsidR="00082E1C" w:rsidRPr="00451078">
        <w:rPr>
          <w:rFonts w:ascii="Tahoma" w:hAnsi="Tahoma" w:cs="Tahoma"/>
          <w:sz w:val="18"/>
          <w:szCs w:val="18"/>
          <w:lang w:val="it-IT"/>
        </w:rPr>
        <w:t xml:space="preserve"> </w:t>
      </w:r>
      <w:r w:rsidRPr="00451078">
        <w:rPr>
          <w:rFonts w:ascii="Tahoma" w:hAnsi="Tahoma" w:cs="Tahoma"/>
          <w:sz w:val="18"/>
          <w:szCs w:val="18"/>
          <w:lang w:val="it-IT"/>
        </w:rPr>
        <w:t>A causa delle fluttuazioni dei tassi di cambio, i valori riportati nella tabella sono soggetti a variazione.</w:t>
      </w:r>
    </w:p>
    <w:p w:rsidR="00023FE7" w:rsidRPr="00451078" w:rsidRDefault="00023FE7" w:rsidP="00F42FB8">
      <w:pPr>
        <w:pStyle w:val="AppendixBodyText"/>
        <w:spacing w:after="0"/>
        <w:rPr>
          <w:sz w:val="18"/>
          <w:szCs w:val="18"/>
          <w:lang w:val="it-IT"/>
        </w:rPr>
      </w:pPr>
    </w:p>
    <w:p w:rsidR="00023FE7" w:rsidRPr="00451078" w:rsidRDefault="00023FE7" w:rsidP="00F42FB8">
      <w:pPr>
        <w:pStyle w:val="AppendixBodyText"/>
        <w:spacing w:after="0"/>
        <w:rPr>
          <w:lang w:val="it-IT"/>
        </w:rPr>
      </w:pPr>
      <w:r w:rsidRPr="00451078">
        <w:rPr>
          <w:rFonts w:ascii="Tahoma" w:hAnsi="Tahoma" w:cs="Tahoma"/>
          <w:sz w:val="18"/>
          <w:szCs w:val="18"/>
          <w:lang w:val="it-IT"/>
        </w:rPr>
        <w:t>Gli interventi sono concessi nel corso di validità della copertura Software Assurance, a seconda dell</w:t>
      </w:r>
      <w:r w:rsidR="004525CA">
        <w:rPr>
          <w:rFonts w:ascii="Tahoma" w:hAnsi="Tahoma" w:cs="Tahoma"/>
          <w:sz w:val="18"/>
          <w:szCs w:val="18"/>
          <w:lang w:val="it-IT"/>
        </w:rPr>
        <w:t>’</w:t>
      </w:r>
      <w:r w:rsidRPr="00451078">
        <w:rPr>
          <w:rFonts w:ascii="Tahoma" w:hAnsi="Tahoma" w:cs="Tahoma"/>
          <w:sz w:val="18"/>
          <w:szCs w:val="18"/>
          <w:lang w:val="it-IT"/>
        </w:rPr>
        <w:t>opzione di pagamento.</w:t>
      </w:r>
      <w:r w:rsidR="00082E1C" w:rsidRPr="00451078">
        <w:rPr>
          <w:rFonts w:ascii="Tahoma" w:hAnsi="Tahoma" w:cs="Tahoma"/>
          <w:sz w:val="18"/>
          <w:szCs w:val="18"/>
          <w:lang w:val="it-IT"/>
        </w:rPr>
        <w:t xml:space="preserve"> </w:t>
      </w:r>
      <w:r w:rsidRPr="00451078">
        <w:rPr>
          <w:rFonts w:ascii="Tahoma" w:hAnsi="Tahoma" w:cs="Tahoma"/>
          <w:sz w:val="18"/>
          <w:szCs w:val="18"/>
          <w:lang w:val="it-IT"/>
        </w:rPr>
        <w:t>I contratti con pagamenti dilazionati prevedono anch</w:t>
      </w:r>
      <w:r w:rsidR="004525CA">
        <w:rPr>
          <w:rFonts w:ascii="Tahoma" w:hAnsi="Tahoma" w:cs="Tahoma"/>
          <w:sz w:val="18"/>
          <w:szCs w:val="18"/>
          <w:lang w:val="it-IT"/>
        </w:rPr>
        <w:t>’</w:t>
      </w:r>
      <w:r w:rsidRPr="00451078">
        <w:rPr>
          <w:rFonts w:ascii="Tahoma" w:hAnsi="Tahoma" w:cs="Tahoma"/>
          <w:sz w:val="18"/>
          <w:szCs w:val="18"/>
          <w:lang w:val="it-IT"/>
        </w:rPr>
        <w:t>essi l</w:t>
      </w:r>
      <w:r w:rsidR="004525CA">
        <w:rPr>
          <w:rFonts w:ascii="Tahoma" w:hAnsi="Tahoma" w:cs="Tahoma"/>
          <w:sz w:val="18"/>
          <w:szCs w:val="18"/>
          <w:lang w:val="it-IT"/>
        </w:rPr>
        <w:t>’</w:t>
      </w:r>
      <w:r w:rsidRPr="00451078">
        <w:rPr>
          <w:rFonts w:ascii="Tahoma" w:hAnsi="Tahoma" w:cs="Tahoma"/>
          <w:sz w:val="18"/>
          <w:szCs w:val="18"/>
          <w:lang w:val="it-IT"/>
        </w:rPr>
        <w:t>assegnazione di interventi durante il loro periodo di validità; i contratti che prevedono pagamenti in soluzione unica beneficiano dei premi in via anticipata.</w:t>
      </w:r>
      <w:r w:rsidR="00082E1C" w:rsidRPr="00451078">
        <w:rPr>
          <w:rFonts w:ascii="Tahoma" w:hAnsi="Tahoma" w:cs="Tahoma"/>
          <w:sz w:val="18"/>
          <w:szCs w:val="18"/>
          <w:lang w:val="it-IT"/>
        </w:rPr>
        <w:t xml:space="preserve"> </w:t>
      </w:r>
      <w:r w:rsidRPr="00451078">
        <w:rPr>
          <w:rFonts w:ascii="Tahoma" w:hAnsi="Tahoma" w:cs="Tahoma"/>
          <w:sz w:val="18"/>
          <w:szCs w:val="18"/>
          <w:lang w:val="it-IT"/>
        </w:rPr>
        <w:t>Gli acquisti effettuati dopo l</w:t>
      </w:r>
      <w:r w:rsidR="004525CA">
        <w:rPr>
          <w:rFonts w:ascii="Tahoma" w:hAnsi="Tahoma" w:cs="Tahoma"/>
          <w:sz w:val="18"/>
          <w:szCs w:val="18"/>
          <w:lang w:val="it-IT"/>
        </w:rPr>
        <w:t>’</w:t>
      </w:r>
      <w:r w:rsidRPr="00451078">
        <w:rPr>
          <w:rFonts w:ascii="Tahoma" w:hAnsi="Tahoma" w:cs="Tahoma"/>
          <w:sz w:val="18"/>
          <w:szCs w:val="18"/>
          <w:lang w:val="it-IT"/>
        </w:rPr>
        <w:t>ordine iniziale comporteranno un nuovo calcolo degli interventi assegnati e della concessione annuale.</w:t>
      </w:r>
      <w:r w:rsidR="00082E1C" w:rsidRPr="00451078">
        <w:rPr>
          <w:rFonts w:ascii="Tahoma" w:hAnsi="Tahoma" w:cs="Tahoma"/>
          <w:sz w:val="18"/>
          <w:szCs w:val="18"/>
          <w:lang w:val="it-IT"/>
        </w:rPr>
        <w:t xml:space="preserve"> </w:t>
      </w:r>
      <w:r w:rsidRPr="00451078">
        <w:rPr>
          <w:rFonts w:ascii="Tahoma" w:hAnsi="Tahoma" w:cs="Tahoma"/>
          <w:sz w:val="18"/>
          <w:szCs w:val="18"/>
          <w:lang w:val="it-IT"/>
        </w:rPr>
        <w:t>Gli interventi con Supporto Telefonico non utilizzati scadranno al termine della copertura Software Assurance.</w:t>
      </w:r>
      <w:r w:rsidR="00082E1C" w:rsidRPr="00451078">
        <w:rPr>
          <w:rFonts w:ascii="Tahoma" w:hAnsi="Tahoma" w:cs="Tahoma"/>
          <w:sz w:val="18"/>
          <w:szCs w:val="18"/>
          <w:lang w:val="it-IT"/>
        </w:rPr>
        <w:t xml:space="preserve"> </w:t>
      </w:r>
      <w:r w:rsidRPr="00451078">
        <w:rPr>
          <w:rFonts w:ascii="Tahoma" w:hAnsi="Tahoma" w:cs="Tahoma"/>
          <w:sz w:val="18"/>
          <w:szCs w:val="18"/>
          <w:lang w:val="it-IT"/>
        </w:rPr>
        <w:t>Gli Interventi con Supporto Telefonico non potranno essere trasferiti tra iscrizioni o contratti diversi.</w:t>
      </w:r>
    </w:p>
    <w:p w:rsidR="00023FE7" w:rsidRPr="00451078" w:rsidRDefault="00023FE7" w:rsidP="00F42FB8">
      <w:pPr>
        <w:pStyle w:val="AppendixBodyText"/>
        <w:spacing w:after="0"/>
        <w:rPr>
          <w:sz w:val="18"/>
          <w:szCs w:val="18"/>
          <w:lang w:val="it-IT"/>
        </w:rPr>
      </w:pPr>
    </w:p>
    <w:p w:rsidR="00023FE7" w:rsidRPr="00451078" w:rsidRDefault="00023FE7" w:rsidP="00F42FB8">
      <w:pPr>
        <w:pStyle w:val="AppendixBodyText"/>
        <w:spacing w:after="0"/>
        <w:rPr>
          <w:lang w:val="it-IT"/>
        </w:rPr>
      </w:pPr>
      <w:r w:rsidRPr="00451078">
        <w:rPr>
          <w:rFonts w:ascii="Tahoma" w:hAnsi="Tahoma" w:cs="Tahoma"/>
          <w:sz w:val="18"/>
          <w:szCs w:val="18"/>
          <w:lang w:val="it-IT"/>
        </w:rPr>
        <w:t>L</w:t>
      </w:r>
      <w:r w:rsidR="004525CA">
        <w:rPr>
          <w:rFonts w:ascii="Tahoma" w:hAnsi="Tahoma" w:cs="Tahoma"/>
          <w:sz w:val="18"/>
          <w:szCs w:val="18"/>
          <w:lang w:val="it-IT"/>
        </w:rPr>
        <w:t>’</w:t>
      </w:r>
      <w:r w:rsidRPr="00451078">
        <w:rPr>
          <w:rFonts w:ascii="Tahoma" w:hAnsi="Tahoma" w:cs="Tahoma"/>
          <w:sz w:val="18"/>
          <w:szCs w:val="18"/>
          <w:lang w:val="it-IT"/>
        </w:rPr>
        <w:t>accesso al supporto telefonico locale è disponibile durante le ore lavorative*</w:t>
      </w:r>
      <w:r w:rsidRPr="00451078">
        <w:rPr>
          <w:rFonts w:ascii="Tahoma" w:hAnsi="Tahoma" w:cs="Tahoma"/>
          <w:sz w:val="18"/>
          <w:szCs w:val="18"/>
          <w:vertAlign w:val="superscript"/>
          <w:lang w:val="it-IT"/>
        </w:rPr>
        <w:t>(1)</w:t>
      </w:r>
      <w:r w:rsidRPr="00451078">
        <w:rPr>
          <w:rFonts w:ascii="Tahoma" w:hAnsi="Tahoma" w:cs="Tahoma"/>
          <w:sz w:val="18"/>
          <w:szCs w:val="18"/>
          <w:lang w:val="it-IT"/>
        </w:rPr>
        <w:t>.</w:t>
      </w:r>
      <w:r w:rsidR="00082E1C" w:rsidRPr="00451078">
        <w:rPr>
          <w:rFonts w:ascii="Tahoma" w:hAnsi="Tahoma" w:cs="Tahoma"/>
          <w:sz w:val="18"/>
          <w:szCs w:val="18"/>
          <w:lang w:val="it-IT"/>
        </w:rPr>
        <w:t xml:space="preserve"> </w:t>
      </w:r>
      <w:r w:rsidRPr="00451078">
        <w:rPr>
          <w:rFonts w:ascii="Tahoma" w:hAnsi="Tahoma" w:cs="Tahoma"/>
          <w:sz w:val="18"/>
          <w:szCs w:val="18"/>
          <w:lang w:val="it-IT"/>
        </w:rPr>
        <w:t>Il supporto telefonico dopo le ore lavorative verrà fornito attraverso centri di supporto regionali e internazionali.</w:t>
      </w:r>
      <w:r w:rsidR="00082E1C" w:rsidRPr="00451078">
        <w:rPr>
          <w:rFonts w:ascii="Tahoma" w:hAnsi="Tahoma" w:cs="Tahoma"/>
          <w:sz w:val="18"/>
          <w:szCs w:val="18"/>
          <w:lang w:val="it-IT"/>
        </w:rPr>
        <w:t xml:space="preserve"> </w:t>
      </w:r>
      <w:r w:rsidRPr="00451078">
        <w:rPr>
          <w:rFonts w:ascii="Tahoma" w:hAnsi="Tahoma" w:cs="Tahoma"/>
          <w:sz w:val="18"/>
          <w:szCs w:val="18"/>
          <w:lang w:val="it-IT"/>
        </w:rPr>
        <w:t>Il supporto telefonico dopo le ore lavorative può essere utilizzato esclusivamente per richieste di supporto con impatto commerciale critico.</w:t>
      </w:r>
      <w:r w:rsidR="00082E1C" w:rsidRPr="00451078">
        <w:rPr>
          <w:rFonts w:ascii="Tahoma" w:hAnsi="Tahoma" w:cs="Tahoma"/>
          <w:sz w:val="18"/>
          <w:szCs w:val="18"/>
          <w:lang w:val="it-IT"/>
        </w:rPr>
        <w:t xml:space="preserve"> </w:t>
      </w:r>
      <w:r w:rsidRPr="00451078">
        <w:rPr>
          <w:rFonts w:ascii="Tahoma" w:hAnsi="Tahoma" w:cs="Tahoma"/>
          <w:sz w:val="18"/>
          <w:szCs w:val="18"/>
          <w:lang w:val="it-IT"/>
        </w:rPr>
        <w:t>Le ore lavorative sono definite su base regionale. I rappresentanti Microsoft delle società forniranno indicazioni sulle ore lavorative previste nella regione o nel paese della società.</w:t>
      </w:r>
      <w:r w:rsidR="00082E1C" w:rsidRPr="00451078">
        <w:rPr>
          <w:rFonts w:ascii="Tahoma" w:hAnsi="Tahoma" w:cs="Tahoma"/>
          <w:sz w:val="18"/>
          <w:szCs w:val="18"/>
          <w:lang w:val="it-IT"/>
        </w:rPr>
        <w:t xml:space="preserve"> </w:t>
      </w:r>
      <w:r w:rsidRPr="00451078">
        <w:rPr>
          <w:rFonts w:ascii="Tahoma" w:hAnsi="Tahoma" w:cs="Tahoma"/>
          <w:sz w:val="18"/>
          <w:szCs w:val="18"/>
          <w:lang w:val="it-IT"/>
        </w:rPr>
        <w:t>Non in tutte le regioni il supporto telefonico è disponibile in</w:t>
      </w:r>
      <w:r w:rsidR="00E44188" w:rsidRPr="00451078">
        <w:rPr>
          <w:rFonts w:ascii="Tahoma" w:hAnsi="Tahoma" w:cs="Tahoma"/>
          <w:sz w:val="18"/>
          <w:szCs w:val="18"/>
          <w:lang w:val="it-IT"/>
        </w:rPr>
        <w:t> </w:t>
      </w:r>
      <w:r w:rsidRPr="00451078">
        <w:rPr>
          <w:rFonts w:ascii="Tahoma" w:hAnsi="Tahoma" w:cs="Tahoma"/>
          <w:sz w:val="18"/>
          <w:szCs w:val="18"/>
          <w:lang w:val="it-IT"/>
        </w:rPr>
        <w:t xml:space="preserve">tutte le lingue. </w:t>
      </w:r>
    </w:p>
    <w:p w:rsidR="00023FE7" w:rsidRPr="00451078" w:rsidRDefault="00023FE7" w:rsidP="00077CE5">
      <w:pPr>
        <w:pStyle w:val="AppendixBodyText"/>
        <w:spacing w:after="0"/>
        <w:rPr>
          <w:sz w:val="18"/>
          <w:szCs w:val="18"/>
          <w:lang w:val="it-IT"/>
        </w:rPr>
      </w:pPr>
    </w:p>
    <w:tbl>
      <w:tblPr>
        <w:tblW w:w="0" w:type="auto"/>
        <w:tblInd w:w="9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99" w:type="dxa"/>
          <w:right w:w="99" w:type="dxa"/>
        </w:tblCellMar>
        <w:tblLook w:val="01E0" w:firstRow="1" w:lastRow="1" w:firstColumn="1" w:lastColumn="1" w:noHBand="0" w:noVBand="0"/>
      </w:tblPr>
      <w:tblGrid>
        <w:gridCol w:w="2629"/>
        <w:gridCol w:w="2081"/>
      </w:tblGrid>
      <w:tr w:rsidR="00023FE7" w:rsidRPr="00DC1102" w:rsidTr="002A6416">
        <w:trPr>
          <w:cantSplit/>
          <w:trHeight w:val="20"/>
        </w:trPr>
        <w:tc>
          <w:tcPr>
            <w:tcW w:w="4710" w:type="dxa"/>
            <w:gridSpan w:val="2"/>
            <w:tcBorders>
              <w:top w:val="single" w:sz="8" w:space="0" w:color="auto"/>
              <w:left w:val="single" w:sz="8" w:space="0" w:color="auto"/>
              <w:bottom w:val="single" w:sz="8" w:space="0" w:color="auto"/>
              <w:right w:val="single" w:sz="8" w:space="0" w:color="auto"/>
            </w:tcBorders>
            <w:shd w:val="clear" w:color="auto" w:fill="FFCC99"/>
            <w:vAlign w:val="center"/>
          </w:tcPr>
          <w:p w:rsidR="00023FE7" w:rsidRPr="00451078" w:rsidRDefault="00023FE7">
            <w:pPr>
              <w:pStyle w:val="AppendixBodyText"/>
              <w:rPr>
                <w:rFonts w:ascii="Tahoma" w:hAnsi="Tahoma" w:cs="Tahoma"/>
                <w:b/>
                <w:bCs/>
                <w:vertAlign w:val="superscript"/>
                <w:lang w:val="it-IT"/>
              </w:rPr>
            </w:pPr>
            <w:r w:rsidRPr="00451078">
              <w:rPr>
                <w:rFonts w:ascii="Tahoma" w:hAnsi="Tahoma" w:cs="Tahoma"/>
                <w:b/>
                <w:bCs/>
                <w:lang w:val="it-IT"/>
              </w:rPr>
              <w:t>*(1) Variazioni delle Ore Lavorative in Base alla Regione</w:t>
            </w:r>
          </w:p>
        </w:tc>
      </w:tr>
      <w:tr w:rsidR="00023FE7" w:rsidRPr="003410C7" w:rsidTr="002A6416">
        <w:trPr>
          <w:cantSplit/>
          <w:trHeight w:val="20"/>
        </w:trPr>
        <w:tc>
          <w:tcPr>
            <w:tcW w:w="2629" w:type="dxa"/>
            <w:tcBorders>
              <w:top w:val="single" w:sz="8" w:space="0" w:color="auto"/>
            </w:tcBorders>
          </w:tcPr>
          <w:p w:rsidR="00023FE7" w:rsidRPr="003410C7" w:rsidRDefault="00023FE7">
            <w:pPr>
              <w:pStyle w:val="AppendixBodyText"/>
              <w:rPr>
                <w:rFonts w:ascii="Tahoma" w:hAnsi="Tahoma" w:cs="Tahoma"/>
                <w:sz w:val="18"/>
                <w:szCs w:val="18"/>
              </w:rPr>
            </w:pPr>
            <w:r w:rsidRPr="003410C7">
              <w:rPr>
                <w:rFonts w:ascii="Tahoma" w:hAnsi="Tahoma" w:cs="Tahoma"/>
                <w:sz w:val="18"/>
                <w:szCs w:val="18"/>
              </w:rPr>
              <w:t>Americhe</w:t>
            </w:r>
          </w:p>
        </w:tc>
        <w:tc>
          <w:tcPr>
            <w:tcW w:w="2081" w:type="dxa"/>
            <w:tcBorders>
              <w:top w:val="single" w:sz="8" w:space="0" w:color="auto"/>
            </w:tcBorders>
          </w:tcPr>
          <w:p w:rsidR="00023FE7" w:rsidRPr="003410C7" w:rsidRDefault="00023FE7">
            <w:pPr>
              <w:pStyle w:val="AppendixBodyText"/>
              <w:rPr>
                <w:rFonts w:ascii="Tahoma" w:hAnsi="Tahoma" w:cs="Tahoma"/>
                <w:sz w:val="18"/>
                <w:szCs w:val="18"/>
              </w:rPr>
            </w:pPr>
            <w:r w:rsidRPr="003410C7">
              <w:rPr>
                <w:rFonts w:ascii="Tahoma" w:hAnsi="Tahoma" w:cs="Tahoma"/>
                <w:sz w:val="18"/>
                <w:szCs w:val="18"/>
              </w:rPr>
              <w:t>L-V 6-18 (PST)</w:t>
            </w:r>
          </w:p>
        </w:tc>
      </w:tr>
      <w:tr w:rsidR="00023FE7" w:rsidRPr="003410C7" w:rsidTr="002A6416">
        <w:trPr>
          <w:cantSplit/>
          <w:trHeight w:val="20"/>
        </w:trPr>
        <w:tc>
          <w:tcPr>
            <w:tcW w:w="2629" w:type="dxa"/>
          </w:tcPr>
          <w:p w:rsidR="00023FE7" w:rsidRPr="003410C7" w:rsidRDefault="00023FE7">
            <w:pPr>
              <w:pStyle w:val="AppendixBodyText"/>
              <w:rPr>
                <w:rFonts w:ascii="Tahoma" w:hAnsi="Tahoma" w:cs="Tahoma"/>
                <w:sz w:val="18"/>
                <w:szCs w:val="18"/>
              </w:rPr>
            </w:pPr>
            <w:r w:rsidRPr="003410C7">
              <w:rPr>
                <w:rFonts w:ascii="Tahoma" w:hAnsi="Tahoma" w:cs="Tahoma"/>
                <w:sz w:val="18"/>
                <w:szCs w:val="18"/>
              </w:rPr>
              <w:t>EMEA</w:t>
            </w:r>
          </w:p>
        </w:tc>
        <w:tc>
          <w:tcPr>
            <w:tcW w:w="2081" w:type="dxa"/>
          </w:tcPr>
          <w:p w:rsidR="00023FE7" w:rsidRPr="003410C7" w:rsidRDefault="00023FE7">
            <w:pPr>
              <w:pStyle w:val="AppendixBodyText"/>
              <w:rPr>
                <w:rFonts w:ascii="Tahoma" w:hAnsi="Tahoma" w:cs="Tahoma"/>
                <w:sz w:val="18"/>
                <w:szCs w:val="18"/>
              </w:rPr>
            </w:pPr>
            <w:r w:rsidRPr="003410C7">
              <w:rPr>
                <w:rFonts w:ascii="Tahoma" w:hAnsi="Tahoma" w:cs="Tahoma"/>
                <w:sz w:val="18"/>
                <w:szCs w:val="18"/>
              </w:rPr>
              <w:t>L-V 8-18 (GMT)</w:t>
            </w:r>
          </w:p>
        </w:tc>
      </w:tr>
      <w:tr w:rsidR="00023FE7" w:rsidRPr="003410C7" w:rsidTr="002A6416">
        <w:trPr>
          <w:cantSplit/>
          <w:trHeight w:val="20"/>
        </w:trPr>
        <w:tc>
          <w:tcPr>
            <w:tcW w:w="2629" w:type="dxa"/>
          </w:tcPr>
          <w:p w:rsidR="00023FE7" w:rsidRPr="003410C7" w:rsidRDefault="00023FE7">
            <w:pPr>
              <w:pStyle w:val="AppendixBodyText"/>
              <w:rPr>
                <w:rFonts w:ascii="Tahoma" w:hAnsi="Tahoma" w:cs="Tahoma"/>
                <w:sz w:val="18"/>
                <w:szCs w:val="18"/>
              </w:rPr>
            </w:pPr>
            <w:r w:rsidRPr="003410C7">
              <w:rPr>
                <w:rFonts w:ascii="Tahoma" w:hAnsi="Tahoma" w:cs="Tahoma"/>
                <w:sz w:val="18"/>
                <w:szCs w:val="18"/>
              </w:rPr>
              <w:t>Australia/Nuova Zelanda</w:t>
            </w:r>
          </w:p>
        </w:tc>
        <w:tc>
          <w:tcPr>
            <w:tcW w:w="2081" w:type="dxa"/>
          </w:tcPr>
          <w:p w:rsidR="00023FE7" w:rsidRPr="003410C7" w:rsidRDefault="00023FE7">
            <w:pPr>
              <w:pStyle w:val="AppendixBodyText"/>
              <w:rPr>
                <w:rFonts w:ascii="Tahoma" w:hAnsi="Tahoma" w:cs="Tahoma"/>
                <w:sz w:val="18"/>
                <w:szCs w:val="18"/>
              </w:rPr>
            </w:pPr>
            <w:r w:rsidRPr="003410C7">
              <w:rPr>
                <w:rFonts w:ascii="Tahoma" w:hAnsi="Tahoma" w:cs="Tahoma"/>
                <w:sz w:val="18"/>
                <w:szCs w:val="18"/>
              </w:rPr>
              <w:t>L-V 7-18</w:t>
            </w:r>
          </w:p>
        </w:tc>
      </w:tr>
      <w:tr w:rsidR="00023FE7" w:rsidRPr="003410C7" w:rsidTr="002A6416">
        <w:trPr>
          <w:cantSplit/>
          <w:trHeight w:val="20"/>
        </w:trPr>
        <w:tc>
          <w:tcPr>
            <w:tcW w:w="2629" w:type="dxa"/>
          </w:tcPr>
          <w:p w:rsidR="00023FE7" w:rsidRPr="003410C7" w:rsidRDefault="00023FE7">
            <w:pPr>
              <w:pStyle w:val="AppendixBodyText"/>
              <w:rPr>
                <w:rFonts w:ascii="Tahoma" w:hAnsi="Tahoma" w:cs="Tahoma"/>
                <w:sz w:val="18"/>
                <w:szCs w:val="18"/>
              </w:rPr>
            </w:pPr>
            <w:r w:rsidRPr="003410C7">
              <w:rPr>
                <w:rFonts w:ascii="Tahoma" w:hAnsi="Tahoma" w:cs="Tahoma"/>
                <w:sz w:val="18"/>
                <w:szCs w:val="18"/>
              </w:rPr>
              <w:t>Giappone</w:t>
            </w:r>
          </w:p>
        </w:tc>
        <w:tc>
          <w:tcPr>
            <w:tcW w:w="2081" w:type="dxa"/>
          </w:tcPr>
          <w:p w:rsidR="00023FE7" w:rsidRPr="003410C7" w:rsidRDefault="00023FE7">
            <w:pPr>
              <w:pStyle w:val="AppendixBodyText"/>
              <w:rPr>
                <w:rFonts w:ascii="Tahoma" w:hAnsi="Tahoma" w:cs="Tahoma"/>
                <w:sz w:val="18"/>
                <w:szCs w:val="18"/>
              </w:rPr>
            </w:pPr>
            <w:r w:rsidRPr="003410C7">
              <w:rPr>
                <w:rFonts w:ascii="Tahoma" w:hAnsi="Tahoma" w:cs="Tahoma"/>
                <w:sz w:val="18"/>
                <w:szCs w:val="18"/>
              </w:rPr>
              <w:t>L-V 9.30-19</w:t>
            </w:r>
          </w:p>
        </w:tc>
      </w:tr>
      <w:tr w:rsidR="00023FE7" w:rsidRPr="003410C7" w:rsidTr="002A6416">
        <w:trPr>
          <w:cantSplit/>
          <w:trHeight w:val="20"/>
        </w:trPr>
        <w:tc>
          <w:tcPr>
            <w:tcW w:w="2629" w:type="dxa"/>
          </w:tcPr>
          <w:p w:rsidR="00023FE7" w:rsidRPr="003410C7" w:rsidRDefault="00023FE7">
            <w:pPr>
              <w:pStyle w:val="AppendixBodyText"/>
              <w:rPr>
                <w:rFonts w:ascii="Tahoma" w:hAnsi="Tahoma" w:cs="Tahoma"/>
                <w:sz w:val="18"/>
                <w:szCs w:val="18"/>
              </w:rPr>
            </w:pPr>
            <w:r w:rsidRPr="003410C7">
              <w:rPr>
                <w:rFonts w:ascii="Tahoma" w:hAnsi="Tahoma" w:cs="Tahoma"/>
                <w:sz w:val="18"/>
                <w:szCs w:val="18"/>
              </w:rPr>
              <w:t>Asia</w:t>
            </w:r>
          </w:p>
        </w:tc>
        <w:tc>
          <w:tcPr>
            <w:tcW w:w="2081" w:type="dxa"/>
          </w:tcPr>
          <w:p w:rsidR="00023FE7" w:rsidRPr="003410C7" w:rsidRDefault="00023FE7">
            <w:pPr>
              <w:pStyle w:val="AppendixBodyText"/>
              <w:rPr>
                <w:rFonts w:ascii="Tahoma" w:hAnsi="Tahoma" w:cs="Tahoma"/>
                <w:sz w:val="18"/>
                <w:szCs w:val="18"/>
              </w:rPr>
            </w:pPr>
            <w:r w:rsidRPr="003410C7">
              <w:rPr>
                <w:rFonts w:ascii="Tahoma" w:hAnsi="Tahoma" w:cs="Tahoma"/>
                <w:sz w:val="18"/>
                <w:szCs w:val="18"/>
              </w:rPr>
              <w:t>L-V 9-18</w:t>
            </w:r>
          </w:p>
        </w:tc>
      </w:tr>
    </w:tbl>
    <w:p w:rsidR="00415766" w:rsidRDefault="00415766" w:rsidP="00DA2788">
      <w:pPr>
        <w:spacing w:after="60"/>
        <w:rPr>
          <w:rFonts w:cs="Tahoma"/>
          <w:b/>
          <w:szCs w:val="20"/>
        </w:rPr>
      </w:pPr>
      <w:bookmarkStart w:id="794" w:name="_Toc240899164"/>
    </w:p>
    <w:p w:rsidR="00415766" w:rsidRDefault="00415766" w:rsidP="00DA2788">
      <w:pPr>
        <w:spacing w:after="60"/>
        <w:rPr>
          <w:rFonts w:cs="Tahoma"/>
          <w:b/>
          <w:szCs w:val="20"/>
        </w:rPr>
      </w:pPr>
    </w:p>
    <w:p w:rsidR="00023FE7" w:rsidRPr="003410C7" w:rsidRDefault="00023FE7" w:rsidP="00DA2788">
      <w:pPr>
        <w:spacing w:after="60"/>
      </w:pPr>
      <w:r w:rsidRPr="003410C7">
        <w:rPr>
          <w:rFonts w:cs="Tahoma"/>
          <w:b/>
          <w:szCs w:val="20"/>
        </w:rPr>
        <w:t>Interventi basati sul Web</w:t>
      </w:r>
      <w:bookmarkEnd w:id="794"/>
      <w:r w:rsidRPr="003410C7">
        <w:rPr>
          <w:rFonts w:cs="Tahoma"/>
          <w:b/>
          <w:szCs w:val="20"/>
        </w:rPr>
        <w:t xml:space="preserve"> </w:t>
      </w:r>
    </w:p>
    <w:p w:rsidR="00023FE7" w:rsidRPr="00451078" w:rsidRDefault="00023FE7" w:rsidP="00F42FB8">
      <w:pPr>
        <w:pStyle w:val="AppendixBodyText"/>
        <w:spacing w:after="0"/>
        <w:rPr>
          <w:lang w:val="it-IT"/>
        </w:rPr>
      </w:pPr>
      <w:r w:rsidRPr="00451078">
        <w:rPr>
          <w:rFonts w:ascii="Tahoma" w:hAnsi="Tahoma" w:cs="Tahoma"/>
          <w:sz w:val="18"/>
          <w:szCs w:val="18"/>
          <w:lang w:val="it-IT"/>
        </w:rPr>
        <w:t>Le società che non siano società con contratti Academic Select License, Select Plus for Academic, Academic Open License, Campus, School, Open Value Subscription - Education Solutions e Open License e con Edizioni Standard ed</w:t>
      </w:r>
      <w:r w:rsidR="00E44188" w:rsidRPr="00451078">
        <w:rPr>
          <w:rFonts w:ascii="Tahoma" w:hAnsi="Tahoma" w:cs="Tahoma"/>
          <w:sz w:val="18"/>
          <w:szCs w:val="18"/>
          <w:lang w:val="it-IT"/>
        </w:rPr>
        <w:t> </w:t>
      </w:r>
      <w:r w:rsidRPr="00451078">
        <w:rPr>
          <w:rFonts w:ascii="Tahoma" w:hAnsi="Tahoma" w:cs="Tahoma"/>
          <w:sz w:val="18"/>
          <w:szCs w:val="18"/>
          <w:lang w:val="it-IT"/>
        </w:rPr>
        <w:t>Enterprise dei prodotti software server che rientrano nella copertura Software Assurance hanno accesso ai servizi</w:t>
      </w:r>
      <w:r w:rsidR="00E44188" w:rsidRPr="00451078">
        <w:rPr>
          <w:rFonts w:ascii="Tahoma" w:hAnsi="Tahoma" w:cs="Tahoma"/>
          <w:sz w:val="18"/>
          <w:szCs w:val="18"/>
          <w:lang w:val="it-IT"/>
        </w:rPr>
        <w:t> </w:t>
      </w:r>
      <w:r w:rsidRPr="00451078">
        <w:rPr>
          <w:rFonts w:ascii="Tahoma" w:hAnsi="Tahoma" w:cs="Tahoma"/>
          <w:sz w:val="18"/>
          <w:szCs w:val="18"/>
          <w:lang w:val="it-IT"/>
        </w:rPr>
        <w:t>di Supporto per la Risoluzione dei Problemi basati sul Web, in base alle necessità.</w:t>
      </w:r>
      <w:r w:rsidR="00082E1C" w:rsidRPr="00451078">
        <w:rPr>
          <w:rFonts w:ascii="Tahoma" w:hAnsi="Tahoma" w:cs="Tahoma"/>
          <w:sz w:val="18"/>
          <w:szCs w:val="18"/>
          <w:lang w:val="it-IT"/>
        </w:rPr>
        <w:t xml:space="preserve"> </w:t>
      </w:r>
      <w:r w:rsidRPr="00451078">
        <w:rPr>
          <w:rFonts w:ascii="Tahoma" w:hAnsi="Tahoma" w:cs="Tahoma"/>
          <w:sz w:val="18"/>
          <w:szCs w:val="18"/>
          <w:lang w:val="it-IT"/>
        </w:rPr>
        <w:t>L</w:t>
      </w:r>
      <w:r w:rsidR="004525CA">
        <w:rPr>
          <w:rFonts w:ascii="Tahoma" w:hAnsi="Tahoma" w:cs="Tahoma"/>
          <w:sz w:val="18"/>
          <w:szCs w:val="18"/>
          <w:lang w:val="it-IT"/>
        </w:rPr>
        <w:t>’</w:t>
      </w:r>
      <w:r w:rsidRPr="00451078">
        <w:rPr>
          <w:rFonts w:ascii="Tahoma" w:hAnsi="Tahoma" w:cs="Tahoma"/>
          <w:sz w:val="18"/>
          <w:szCs w:val="18"/>
          <w:lang w:val="it-IT"/>
        </w:rPr>
        <w:t>accesso ai siti di supporto elettronico è disponibile 24 ore al giorno, 7 giorni su 7, ma le risposte vengono fornite durante le Ore Lavorative.</w:t>
      </w:r>
      <w:r w:rsidR="00082E1C" w:rsidRPr="00451078">
        <w:rPr>
          <w:rFonts w:ascii="Tahoma" w:hAnsi="Tahoma" w:cs="Tahoma"/>
          <w:sz w:val="18"/>
          <w:szCs w:val="18"/>
          <w:lang w:val="it-IT"/>
        </w:rPr>
        <w:t xml:space="preserve"> </w:t>
      </w:r>
      <w:r w:rsidRPr="00451078">
        <w:rPr>
          <w:rFonts w:ascii="Tahoma" w:hAnsi="Tahoma" w:cs="Tahoma"/>
          <w:sz w:val="18"/>
          <w:szCs w:val="18"/>
          <w:lang w:val="it-IT"/>
        </w:rPr>
        <w:t>Pertanto, si consiglia di non ricorrere agli Interventi basati sul Web in caso di situazioni con impatto commerciale critico, che richiedono un</w:t>
      </w:r>
      <w:r w:rsidR="004525CA">
        <w:rPr>
          <w:rFonts w:ascii="Tahoma" w:hAnsi="Tahoma" w:cs="Tahoma"/>
          <w:sz w:val="18"/>
          <w:szCs w:val="18"/>
          <w:lang w:val="it-IT"/>
        </w:rPr>
        <w:t>’</w:t>
      </w:r>
      <w:r w:rsidRPr="00451078">
        <w:rPr>
          <w:rFonts w:ascii="Tahoma" w:hAnsi="Tahoma" w:cs="Tahoma"/>
          <w:sz w:val="18"/>
          <w:szCs w:val="18"/>
          <w:lang w:val="it-IT"/>
        </w:rPr>
        <w:t>assistenza immediata. Consultare le Variazioni delle Ore Lavorative in Base alla Regione nel</w:t>
      </w:r>
      <w:r w:rsidR="00E44188" w:rsidRPr="00451078">
        <w:rPr>
          <w:rFonts w:ascii="Tahoma" w:hAnsi="Tahoma" w:cs="Tahoma"/>
          <w:sz w:val="18"/>
          <w:szCs w:val="18"/>
          <w:lang w:val="it-IT"/>
        </w:rPr>
        <w:t> </w:t>
      </w:r>
      <w:r w:rsidRPr="00451078">
        <w:rPr>
          <w:rFonts w:ascii="Tahoma" w:hAnsi="Tahoma" w:cs="Tahoma"/>
          <w:sz w:val="18"/>
          <w:szCs w:val="18"/>
          <w:lang w:val="it-IT"/>
        </w:rPr>
        <w:t xml:space="preserve">precedente articolo </w:t>
      </w:r>
      <w:r w:rsidR="001A3EC5" w:rsidRPr="00451078">
        <w:rPr>
          <w:rFonts w:ascii="Tahoma" w:hAnsi="Tahoma" w:cs="Tahoma"/>
          <w:sz w:val="18"/>
          <w:szCs w:val="18"/>
          <w:lang w:val="it-IT"/>
        </w:rPr>
        <w:t>“</w:t>
      </w:r>
      <w:r w:rsidRPr="00451078">
        <w:rPr>
          <w:rFonts w:ascii="Tahoma" w:hAnsi="Tahoma" w:cs="Tahoma"/>
          <w:sz w:val="18"/>
          <w:szCs w:val="18"/>
          <w:lang w:val="it-IT"/>
        </w:rPr>
        <w:t>Premi per Interventi Tramite Supporto Telefonico</w:t>
      </w:r>
      <w:r w:rsidR="001A3EC5" w:rsidRPr="00451078">
        <w:rPr>
          <w:rFonts w:ascii="Tahoma" w:hAnsi="Tahoma" w:cs="Tahoma"/>
          <w:sz w:val="18"/>
          <w:szCs w:val="18"/>
          <w:lang w:val="it-IT"/>
        </w:rPr>
        <w:t>”</w:t>
      </w:r>
      <w:r w:rsidRPr="00451078">
        <w:rPr>
          <w:rFonts w:ascii="Tahoma" w:hAnsi="Tahoma" w:cs="Tahoma"/>
          <w:sz w:val="18"/>
          <w:szCs w:val="18"/>
          <w:lang w:val="it-IT"/>
        </w:rPr>
        <w:t>.</w:t>
      </w:r>
    </w:p>
    <w:p w:rsidR="00023FE7" w:rsidRPr="00451078" w:rsidRDefault="00023FE7" w:rsidP="00F42FB8">
      <w:pPr>
        <w:pStyle w:val="AppendixBodyText"/>
        <w:spacing w:after="0"/>
        <w:rPr>
          <w:lang w:val="it-IT"/>
        </w:rPr>
      </w:pPr>
    </w:p>
    <w:p w:rsidR="00023FE7" w:rsidRPr="00451078" w:rsidRDefault="00023FE7" w:rsidP="00F42FB8">
      <w:pPr>
        <w:pStyle w:val="AppendixBodyText"/>
        <w:spacing w:after="0"/>
        <w:rPr>
          <w:lang w:val="it-IT"/>
        </w:rPr>
      </w:pPr>
      <w:r w:rsidRPr="00451078">
        <w:rPr>
          <w:rFonts w:ascii="Tahoma" w:hAnsi="Tahoma" w:cs="Tahoma"/>
          <w:sz w:val="18"/>
          <w:szCs w:val="18"/>
          <w:lang w:val="it-IT"/>
        </w:rPr>
        <w:lastRenderedPageBreak/>
        <w:t>Gli interventi avviati tramite Telefono verranno computati ai fini del saldo degli interventi telefonici disponibili al momento della risoluzione del problema.</w:t>
      </w:r>
      <w:r w:rsidR="00082E1C" w:rsidRPr="00451078">
        <w:rPr>
          <w:rFonts w:ascii="Tahoma" w:hAnsi="Tahoma" w:cs="Tahoma"/>
          <w:sz w:val="18"/>
          <w:szCs w:val="18"/>
          <w:lang w:val="it-IT"/>
        </w:rPr>
        <w:t xml:space="preserve"> </w:t>
      </w:r>
      <w:r w:rsidRPr="00451078">
        <w:rPr>
          <w:rFonts w:ascii="Tahoma" w:hAnsi="Tahoma" w:cs="Tahoma"/>
          <w:sz w:val="18"/>
          <w:szCs w:val="18"/>
          <w:lang w:val="it-IT"/>
        </w:rPr>
        <w:t>Gli interventi avviati via Web sono effettuati in base alle necessità e gestiti attraverso il Web, la posta elettronica e altri mezzi elettronici.</w:t>
      </w:r>
      <w:r w:rsidR="00082E1C" w:rsidRPr="00451078">
        <w:rPr>
          <w:rFonts w:ascii="Tahoma" w:hAnsi="Tahoma" w:cs="Tahoma"/>
          <w:sz w:val="18"/>
          <w:szCs w:val="18"/>
          <w:lang w:val="it-IT"/>
        </w:rPr>
        <w:t xml:space="preserve"> </w:t>
      </w:r>
      <w:r w:rsidRPr="00451078">
        <w:rPr>
          <w:rFonts w:ascii="Tahoma" w:hAnsi="Tahoma" w:cs="Tahoma"/>
          <w:sz w:val="18"/>
          <w:szCs w:val="18"/>
          <w:lang w:val="it-IT"/>
        </w:rPr>
        <w:t>Gli interventi avviati tramite il Web e successivamente convertiti in interventi telefonici dalla società verranno computati ai fini del saldo degli interventi telefonici disponibili al momento della risoluzione del problema.</w:t>
      </w:r>
      <w:r w:rsidR="00082E1C" w:rsidRPr="00451078">
        <w:rPr>
          <w:rFonts w:ascii="Tahoma" w:hAnsi="Tahoma" w:cs="Tahoma"/>
          <w:sz w:val="18"/>
          <w:szCs w:val="18"/>
          <w:lang w:val="it-IT"/>
        </w:rPr>
        <w:t xml:space="preserve"> </w:t>
      </w:r>
      <w:r w:rsidRPr="00451078">
        <w:rPr>
          <w:rFonts w:ascii="Tahoma" w:hAnsi="Tahoma" w:cs="Tahoma"/>
          <w:sz w:val="18"/>
          <w:szCs w:val="18"/>
          <w:lang w:val="it-IT"/>
        </w:rPr>
        <w:t>Gli interventi avviati sul Web e di cui Microsoft esegua successivamente il</w:t>
      </w:r>
      <w:r w:rsidR="00E44188" w:rsidRPr="00451078">
        <w:rPr>
          <w:rFonts w:ascii="Tahoma" w:hAnsi="Tahoma" w:cs="Tahoma"/>
          <w:sz w:val="18"/>
          <w:szCs w:val="18"/>
          <w:lang w:val="it-IT"/>
        </w:rPr>
        <w:t> </w:t>
      </w:r>
      <w:r w:rsidRPr="00451078">
        <w:rPr>
          <w:rFonts w:ascii="Tahoma" w:hAnsi="Tahoma" w:cs="Tahoma"/>
          <w:sz w:val="18"/>
          <w:szCs w:val="18"/>
          <w:lang w:val="it-IT"/>
        </w:rPr>
        <w:t>follow-up via telefono non conteranno ai fini del computo del saldo degli interventi telefonici disponibili se la risoluzione prosegue via Web, tramite posta elettronica o con altri mezzi elettronici.</w:t>
      </w:r>
      <w:r w:rsidR="00082E1C" w:rsidRPr="00451078">
        <w:rPr>
          <w:rFonts w:ascii="Tahoma" w:hAnsi="Tahoma" w:cs="Tahoma"/>
          <w:sz w:val="18"/>
          <w:szCs w:val="18"/>
          <w:lang w:val="it-IT"/>
        </w:rPr>
        <w:t xml:space="preserve"> </w:t>
      </w:r>
    </w:p>
    <w:p w:rsidR="00023FE7" w:rsidRPr="00451078" w:rsidRDefault="00023FE7" w:rsidP="00F42FB8">
      <w:pPr>
        <w:pStyle w:val="AppendixBodyText"/>
        <w:spacing w:after="0"/>
        <w:rPr>
          <w:lang w:val="it-IT"/>
        </w:rPr>
      </w:pPr>
    </w:p>
    <w:p w:rsidR="00023FE7" w:rsidRPr="00451078" w:rsidRDefault="00023FE7" w:rsidP="00F42FB8">
      <w:pPr>
        <w:pStyle w:val="AppendixBodyText"/>
        <w:spacing w:after="0"/>
        <w:rPr>
          <w:lang w:val="it-IT"/>
        </w:rPr>
      </w:pPr>
      <w:r w:rsidRPr="00451078">
        <w:rPr>
          <w:rFonts w:ascii="Tahoma" w:hAnsi="Tahoma" w:cs="Tahoma"/>
          <w:sz w:val="18"/>
          <w:szCs w:val="18"/>
          <w:lang w:val="it-IT"/>
        </w:rPr>
        <w:t>Per il Supporto Web relativo agli interventi riguardanti sia il software server che le relative CAL è necessario disporre di Software Assurance. Per le copie concesse in licenza del software server che rientra nella copertura Software Assurance, le società potranno sottoporre esclusivamente richieste di Supporto per la Risoluzione dei Problemi basate</w:t>
      </w:r>
      <w:r w:rsidR="00E44188" w:rsidRPr="00451078">
        <w:rPr>
          <w:rFonts w:ascii="Tahoma" w:hAnsi="Tahoma" w:cs="Tahoma"/>
          <w:sz w:val="18"/>
          <w:szCs w:val="18"/>
          <w:lang w:val="it-IT"/>
        </w:rPr>
        <w:t> </w:t>
      </w:r>
      <w:r w:rsidRPr="00451078">
        <w:rPr>
          <w:rFonts w:ascii="Tahoma" w:hAnsi="Tahoma" w:cs="Tahoma"/>
          <w:sz w:val="18"/>
          <w:szCs w:val="18"/>
          <w:lang w:val="it-IT"/>
        </w:rPr>
        <w:t>sul Web.</w:t>
      </w:r>
    </w:p>
    <w:p w:rsidR="00023FE7" w:rsidRPr="00451078" w:rsidRDefault="00023FE7" w:rsidP="00F42FB8">
      <w:pPr>
        <w:pStyle w:val="AppendixBodyText"/>
        <w:spacing w:after="0"/>
        <w:rPr>
          <w:lang w:val="it-IT"/>
        </w:rPr>
      </w:pPr>
    </w:p>
    <w:p w:rsidR="00023FE7" w:rsidRPr="00451078" w:rsidRDefault="00023FE7" w:rsidP="00F42FB8">
      <w:pPr>
        <w:pStyle w:val="AppendixBodyText"/>
        <w:spacing w:after="0"/>
        <w:rPr>
          <w:lang w:val="it-IT"/>
        </w:rPr>
      </w:pPr>
      <w:r w:rsidRPr="00451078">
        <w:rPr>
          <w:rFonts w:ascii="Tahoma" w:hAnsi="Tahoma" w:cs="Tahoma"/>
          <w:sz w:val="18"/>
          <w:szCs w:val="18"/>
          <w:lang w:val="it-IT"/>
        </w:rPr>
        <w:t>Gli interventi con Supporto Web non sono trasferibili tra licenze.</w:t>
      </w:r>
      <w:r w:rsidR="00082E1C" w:rsidRPr="00451078">
        <w:rPr>
          <w:rFonts w:ascii="Tahoma" w:hAnsi="Tahoma" w:cs="Tahoma"/>
          <w:sz w:val="18"/>
          <w:szCs w:val="18"/>
          <w:lang w:val="it-IT"/>
        </w:rPr>
        <w:t xml:space="preserve"> </w:t>
      </w:r>
      <w:r w:rsidRPr="00451078">
        <w:rPr>
          <w:rFonts w:ascii="Tahoma" w:hAnsi="Tahoma" w:cs="Tahoma"/>
          <w:sz w:val="18"/>
          <w:szCs w:val="18"/>
          <w:lang w:val="it-IT"/>
        </w:rPr>
        <w:t>Consultare i diritti di utilizzo del prodotto per ulteriori informazioni sull</w:t>
      </w:r>
      <w:r w:rsidR="004525CA">
        <w:rPr>
          <w:rFonts w:ascii="Tahoma" w:hAnsi="Tahoma" w:cs="Tahoma"/>
          <w:sz w:val="18"/>
          <w:szCs w:val="18"/>
          <w:lang w:val="it-IT"/>
        </w:rPr>
        <w:t>’</w:t>
      </w:r>
      <w:r w:rsidRPr="00451078">
        <w:rPr>
          <w:rFonts w:ascii="Tahoma" w:hAnsi="Tahoma" w:cs="Tahoma"/>
          <w:sz w:val="18"/>
          <w:szCs w:val="18"/>
          <w:lang w:val="it-IT"/>
        </w:rPr>
        <w:t>assegnazione o riassegnazione delle licenze ai server fisici.</w:t>
      </w:r>
    </w:p>
    <w:p w:rsidR="00697E59" w:rsidRPr="00451078" w:rsidRDefault="00697E59" w:rsidP="00F42FB8">
      <w:pPr>
        <w:rPr>
          <w:lang w:val="it-IT"/>
        </w:rPr>
      </w:pPr>
      <w:bookmarkStart w:id="795" w:name="_Toc240899165"/>
    </w:p>
    <w:p w:rsidR="00023FE7" w:rsidRPr="00451078" w:rsidRDefault="00023FE7" w:rsidP="00F93617">
      <w:pPr>
        <w:spacing w:after="60"/>
        <w:rPr>
          <w:lang w:val="it-IT"/>
        </w:rPr>
      </w:pPr>
      <w:r w:rsidRPr="00451078">
        <w:rPr>
          <w:rFonts w:cs="Tahoma"/>
          <w:b/>
          <w:szCs w:val="20"/>
          <w:lang w:val="it-IT"/>
        </w:rPr>
        <w:t>Contatti di Supporto</w:t>
      </w:r>
      <w:bookmarkEnd w:id="795"/>
    </w:p>
    <w:p w:rsidR="00023FE7" w:rsidRPr="00451078" w:rsidRDefault="00023FE7" w:rsidP="00F42FB8">
      <w:pPr>
        <w:pStyle w:val="AppendixBodyText"/>
        <w:spacing w:after="0"/>
        <w:rPr>
          <w:lang w:val="it-IT"/>
        </w:rPr>
      </w:pPr>
      <w:r w:rsidRPr="00451078">
        <w:rPr>
          <w:rFonts w:ascii="Tahoma" w:hAnsi="Tahoma" w:cs="Tahoma"/>
          <w:sz w:val="18"/>
          <w:szCs w:val="18"/>
          <w:lang w:val="it-IT"/>
        </w:rPr>
        <w:t>Il numero di contatti di supporto consentiti varia in base al programma Volume License e al numero di licenze indicato in Software Assurance, come mostrato di seguito.</w:t>
      </w:r>
      <w:r w:rsidR="00082E1C" w:rsidRPr="00451078">
        <w:rPr>
          <w:rFonts w:ascii="Tahoma" w:hAnsi="Tahoma" w:cs="Tahoma"/>
          <w:sz w:val="18"/>
          <w:szCs w:val="18"/>
          <w:lang w:val="it-IT"/>
        </w:rPr>
        <w:t xml:space="preserve"> </w:t>
      </w:r>
      <w:r w:rsidRPr="00451078">
        <w:rPr>
          <w:rFonts w:ascii="Tahoma" w:hAnsi="Tahoma" w:cs="Tahoma"/>
          <w:sz w:val="18"/>
          <w:szCs w:val="18"/>
          <w:lang w:val="it-IT"/>
        </w:rPr>
        <w:t>I contatti dovranno essere persone designate, tra cui anche soggetti esterni all</w:t>
      </w:r>
      <w:r w:rsidR="004525CA">
        <w:rPr>
          <w:rFonts w:ascii="Tahoma" w:hAnsi="Tahoma" w:cs="Tahoma"/>
          <w:sz w:val="18"/>
          <w:szCs w:val="18"/>
          <w:lang w:val="it-IT"/>
        </w:rPr>
        <w:t>’</w:t>
      </w:r>
      <w:r w:rsidRPr="00451078">
        <w:rPr>
          <w:rFonts w:ascii="Tahoma" w:hAnsi="Tahoma" w:cs="Tahoma"/>
          <w:sz w:val="18"/>
          <w:szCs w:val="18"/>
          <w:lang w:val="it-IT"/>
        </w:rPr>
        <w:t>organizzazione della società.</w:t>
      </w:r>
      <w:r w:rsidR="00082E1C" w:rsidRPr="00451078">
        <w:rPr>
          <w:rFonts w:ascii="Tahoma" w:hAnsi="Tahoma" w:cs="Tahoma"/>
          <w:sz w:val="18"/>
          <w:szCs w:val="18"/>
          <w:lang w:val="it-IT"/>
        </w:rPr>
        <w:t xml:space="preserve"> </w:t>
      </w:r>
      <w:r w:rsidRPr="00451078">
        <w:rPr>
          <w:rFonts w:ascii="Tahoma" w:hAnsi="Tahoma" w:cs="Tahoma"/>
          <w:sz w:val="18"/>
          <w:szCs w:val="18"/>
          <w:lang w:val="it-IT"/>
        </w:rPr>
        <w:t>Tuttavia, non sarà possibile indicare tra i contatti il nome di</w:t>
      </w:r>
      <w:r w:rsidR="00E44188" w:rsidRPr="00451078">
        <w:rPr>
          <w:rFonts w:ascii="Tahoma" w:hAnsi="Tahoma" w:cs="Tahoma"/>
          <w:sz w:val="18"/>
          <w:szCs w:val="18"/>
          <w:lang w:val="it-IT"/>
        </w:rPr>
        <w:t> </w:t>
      </w:r>
      <w:r w:rsidRPr="00451078">
        <w:rPr>
          <w:rFonts w:ascii="Tahoma" w:hAnsi="Tahoma" w:cs="Tahoma"/>
          <w:sz w:val="18"/>
          <w:szCs w:val="18"/>
          <w:lang w:val="it-IT"/>
        </w:rPr>
        <w:t>un</w:t>
      </w:r>
      <w:r w:rsidR="004525CA">
        <w:rPr>
          <w:rFonts w:ascii="Tahoma" w:hAnsi="Tahoma" w:cs="Tahoma"/>
          <w:sz w:val="18"/>
          <w:szCs w:val="18"/>
          <w:lang w:val="it-IT"/>
        </w:rPr>
        <w:t>’</w:t>
      </w:r>
      <w:r w:rsidRPr="00451078">
        <w:rPr>
          <w:rFonts w:ascii="Tahoma" w:hAnsi="Tahoma" w:cs="Tahoma"/>
          <w:sz w:val="18"/>
          <w:szCs w:val="18"/>
          <w:lang w:val="it-IT"/>
        </w:rPr>
        <w:t>organizzazione, di un dipartimento o di un gruppo.</w:t>
      </w:r>
    </w:p>
    <w:p w:rsidR="00077CE5" w:rsidRPr="00451078" w:rsidRDefault="00077CE5" w:rsidP="00F93617">
      <w:pPr>
        <w:pStyle w:val="AppendixBodyText"/>
        <w:spacing w:after="0"/>
        <w:rPr>
          <w:lang w:val="it-IT"/>
        </w:rPr>
      </w:pPr>
    </w:p>
    <w:tbl>
      <w:tblPr>
        <w:tblW w:w="9522" w:type="dxa"/>
        <w:tblInd w:w="9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99" w:type="dxa"/>
          <w:right w:w="99" w:type="dxa"/>
        </w:tblCellMar>
        <w:tblLook w:val="01E0" w:firstRow="1" w:lastRow="1" w:firstColumn="1" w:lastColumn="1" w:noHBand="0" w:noVBand="0"/>
      </w:tblPr>
      <w:tblGrid>
        <w:gridCol w:w="1845"/>
        <w:gridCol w:w="1143"/>
        <w:gridCol w:w="1125"/>
        <w:gridCol w:w="1350"/>
        <w:gridCol w:w="1368"/>
        <w:gridCol w:w="1404"/>
        <w:gridCol w:w="1287"/>
      </w:tblGrid>
      <w:tr w:rsidR="00E44188" w:rsidRPr="00DC1102" w:rsidTr="00B278C0">
        <w:trPr>
          <w:trHeight w:val="178"/>
        </w:trPr>
        <w:tc>
          <w:tcPr>
            <w:tcW w:w="1845" w:type="dxa"/>
            <w:tcBorders>
              <w:top w:val="single" w:sz="8" w:space="0" w:color="auto"/>
              <w:left w:val="single" w:sz="8" w:space="0" w:color="auto"/>
              <w:bottom w:val="single" w:sz="8" w:space="0" w:color="auto"/>
              <w:right w:val="single" w:sz="8" w:space="0" w:color="auto"/>
            </w:tcBorders>
            <w:shd w:val="clear" w:color="auto" w:fill="FFCC99"/>
            <w:vAlign w:val="center"/>
          </w:tcPr>
          <w:p w:rsidR="00023FE7" w:rsidRPr="003410C7" w:rsidRDefault="00023FE7">
            <w:pPr>
              <w:pStyle w:val="AppendixBodyText"/>
              <w:rPr>
                <w:rFonts w:ascii="Tahoma" w:hAnsi="Tahoma" w:cs="Tahoma"/>
                <w:b/>
                <w:bCs/>
              </w:rPr>
            </w:pPr>
            <w:r w:rsidRPr="003410C7">
              <w:rPr>
                <w:rFonts w:ascii="Tahoma" w:hAnsi="Tahoma" w:cs="Tahoma"/>
                <w:b/>
                <w:bCs/>
              </w:rPr>
              <w:t>Benefici</w:t>
            </w:r>
          </w:p>
        </w:tc>
        <w:tc>
          <w:tcPr>
            <w:tcW w:w="1143" w:type="dxa"/>
            <w:tcBorders>
              <w:top w:val="single" w:sz="8" w:space="0" w:color="auto"/>
              <w:left w:val="single" w:sz="8" w:space="0" w:color="auto"/>
              <w:bottom w:val="single" w:sz="8" w:space="0" w:color="auto"/>
              <w:right w:val="single" w:sz="8" w:space="0" w:color="auto"/>
            </w:tcBorders>
            <w:shd w:val="clear" w:color="auto" w:fill="FFCC99"/>
            <w:vAlign w:val="center"/>
          </w:tcPr>
          <w:p w:rsidR="00023FE7" w:rsidRPr="003410C7" w:rsidRDefault="00023FE7">
            <w:pPr>
              <w:pStyle w:val="AppendixBodyText"/>
              <w:rPr>
                <w:rFonts w:ascii="Tahoma" w:hAnsi="Tahoma" w:cs="Tahoma"/>
                <w:b/>
                <w:bCs/>
              </w:rPr>
            </w:pPr>
            <w:r w:rsidRPr="003410C7">
              <w:rPr>
                <w:rFonts w:ascii="Tahoma" w:hAnsi="Tahoma" w:cs="Tahoma"/>
                <w:b/>
                <w:bCs/>
              </w:rPr>
              <w:t>Licenza Open</w:t>
            </w:r>
          </w:p>
        </w:tc>
        <w:tc>
          <w:tcPr>
            <w:tcW w:w="1125" w:type="dxa"/>
            <w:tcBorders>
              <w:top w:val="single" w:sz="8" w:space="0" w:color="auto"/>
              <w:left w:val="single" w:sz="8" w:space="0" w:color="auto"/>
              <w:bottom w:val="single" w:sz="8" w:space="0" w:color="auto"/>
              <w:right w:val="single" w:sz="8" w:space="0" w:color="auto"/>
            </w:tcBorders>
            <w:shd w:val="clear" w:color="auto" w:fill="FFCC99"/>
            <w:vAlign w:val="center"/>
          </w:tcPr>
          <w:p w:rsidR="00023FE7" w:rsidRPr="003410C7" w:rsidRDefault="00023FE7" w:rsidP="007E466C">
            <w:pPr>
              <w:pStyle w:val="AppendixBodyText"/>
              <w:spacing w:before="120" w:after="120"/>
              <w:rPr>
                <w:rFonts w:ascii="Tahoma" w:hAnsi="Tahoma" w:cs="Tahoma"/>
                <w:b/>
              </w:rPr>
            </w:pPr>
            <w:r w:rsidRPr="003410C7">
              <w:rPr>
                <w:rFonts w:ascii="Tahoma" w:hAnsi="Tahoma" w:cs="Tahoma"/>
                <w:b/>
                <w:bCs/>
              </w:rPr>
              <w:t>Open Value(1)</w:t>
            </w:r>
          </w:p>
        </w:tc>
        <w:tc>
          <w:tcPr>
            <w:tcW w:w="1350" w:type="dxa"/>
            <w:tcBorders>
              <w:top w:val="single" w:sz="8" w:space="0" w:color="auto"/>
              <w:left w:val="single" w:sz="8" w:space="0" w:color="auto"/>
              <w:bottom w:val="single" w:sz="8" w:space="0" w:color="auto"/>
              <w:right w:val="single" w:sz="8" w:space="0" w:color="auto"/>
            </w:tcBorders>
            <w:shd w:val="clear" w:color="auto" w:fill="FFCC99"/>
            <w:vAlign w:val="center"/>
          </w:tcPr>
          <w:p w:rsidR="00023FE7" w:rsidRPr="00451078" w:rsidRDefault="00023FE7">
            <w:pPr>
              <w:pStyle w:val="AppendixBodyText"/>
              <w:rPr>
                <w:lang w:val="it-IT"/>
              </w:rPr>
            </w:pPr>
            <w:r w:rsidRPr="00451078">
              <w:rPr>
                <w:rFonts w:ascii="Tahoma" w:hAnsi="Tahoma" w:cs="Tahoma"/>
                <w:b/>
                <w:bCs/>
                <w:lang w:val="it-IT"/>
              </w:rPr>
              <w:t>Licenza Select / Select Plus</w:t>
            </w:r>
            <w:r w:rsidR="00E44188" w:rsidRPr="00451078">
              <w:rPr>
                <w:rFonts w:ascii="Tahoma" w:hAnsi="Tahoma" w:cs="Tahoma"/>
                <w:b/>
                <w:bCs/>
                <w:lang w:val="it-IT"/>
              </w:rPr>
              <w:t> </w:t>
            </w:r>
            <w:r w:rsidRPr="00451078">
              <w:rPr>
                <w:rFonts w:ascii="Tahoma" w:hAnsi="Tahoma" w:cs="Tahoma"/>
                <w:b/>
                <w:bCs/>
                <w:lang w:val="it-IT"/>
              </w:rPr>
              <w:t>/ EA</w:t>
            </w:r>
          </w:p>
          <w:p w:rsidR="00023FE7" w:rsidRPr="00451078" w:rsidRDefault="00023FE7">
            <w:pPr>
              <w:pStyle w:val="AppendixBodyText"/>
              <w:rPr>
                <w:rFonts w:ascii="Tahoma" w:hAnsi="Tahoma" w:cs="Tahoma"/>
                <w:b/>
                <w:bCs/>
                <w:lang w:val="it-IT"/>
              </w:rPr>
            </w:pPr>
            <w:r w:rsidRPr="00451078">
              <w:rPr>
                <w:rFonts w:ascii="Tahoma" w:hAnsi="Tahoma" w:cs="Tahoma"/>
                <w:b/>
                <w:bCs/>
                <w:lang w:val="it-IT"/>
              </w:rPr>
              <w:t>Prezzo di riferimento</w:t>
            </w:r>
          </w:p>
        </w:tc>
        <w:tc>
          <w:tcPr>
            <w:tcW w:w="1368" w:type="dxa"/>
            <w:tcBorders>
              <w:top w:val="single" w:sz="8" w:space="0" w:color="auto"/>
              <w:left w:val="single" w:sz="8" w:space="0" w:color="auto"/>
              <w:bottom w:val="single" w:sz="8" w:space="0" w:color="auto"/>
              <w:right w:val="single" w:sz="8" w:space="0" w:color="auto"/>
            </w:tcBorders>
            <w:shd w:val="clear" w:color="auto" w:fill="FFCC99"/>
            <w:vAlign w:val="center"/>
          </w:tcPr>
          <w:p w:rsidR="00023FE7" w:rsidRPr="00451078" w:rsidRDefault="00023FE7">
            <w:pPr>
              <w:pStyle w:val="AppendixBodyText"/>
              <w:rPr>
                <w:lang w:val="it-IT"/>
              </w:rPr>
            </w:pPr>
            <w:r w:rsidRPr="00451078">
              <w:rPr>
                <w:rFonts w:ascii="Tahoma" w:hAnsi="Tahoma" w:cs="Tahoma"/>
                <w:b/>
                <w:bCs/>
                <w:lang w:val="it-IT"/>
              </w:rPr>
              <w:t>Licenza Select / Select Plus</w:t>
            </w:r>
            <w:r w:rsidR="00E44188" w:rsidRPr="00451078">
              <w:rPr>
                <w:rFonts w:ascii="Tahoma" w:hAnsi="Tahoma" w:cs="Tahoma"/>
                <w:b/>
                <w:bCs/>
                <w:lang w:val="it-IT"/>
              </w:rPr>
              <w:t> </w:t>
            </w:r>
            <w:r w:rsidRPr="00451078">
              <w:rPr>
                <w:rFonts w:ascii="Tahoma" w:hAnsi="Tahoma" w:cs="Tahoma"/>
                <w:b/>
                <w:bCs/>
                <w:lang w:val="it-IT"/>
              </w:rPr>
              <w:t>/ EA</w:t>
            </w:r>
          </w:p>
          <w:p w:rsidR="00023FE7" w:rsidRPr="00451078" w:rsidRDefault="00023FE7">
            <w:pPr>
              <w:pStyle w:val="AppendixBodyText"/>
              <w:rPr>
                <w:rFonts w:ascii="Tahoma" w:hAnsi="Tahoma" w:cs="Tahoma"/>
                <w:b/>
                <w:bCs/>
                <w:lang w:val="it-IT"/>
              </w:rPr>
            </w:pPr>
            <w:r w:rsidRPr="00451078">
              <w:rPr>
                <w:rFonts w:ascii="Tahoma" w:hAnsi="Tahoma" w:cs="Tahoma"/>
                <w:b/>
                <w:bCs/>
                <w:lang w:val="it-IT"/>
              </w:rPr>
              <w:t>Prezzo di riferimento</w:t>
            </w:r>
          </w:p>
        </w:tc>
        <w:tc>
          <w:tcPr>
            <w:tcW w:w="1404" w:type="dxa"/>
            <w:tcBorders>
              <w:top w:val="single" w:sz="8" w:space="0" w:color="auto"/>
              <w:left w:val="single" w:sz="8" w:space="0" w:color="auto"/>
              <w:bottom w:val="single" w:sz="8" w:space="0" w:color="auto"/>
              <w:right w:val="single" w:sz="8" w:space="0" w:color="auto"/>
            </w:tcBorders>
            <w:shd w:val="clear" w:color="auto" w:fill="FFCC99"/>
            <w:vAlign w:val="center"/>
          </w:tcPr>
          <w:p w:rsidR="00023FE7" w:rsidRPr="00451078" w:rsidRDefault="00023FE7">
            <w:pPr>
              <w:pStyle w:val="AppendixBodyText"/>
              <w:rPr>
                <w:lang w:val="it-IT"/>
              </w:rPr>
            </w:pPr>
            <w:r w:rsidRPr="00451078">
              <w:rPr>
                <w:rFonts w:ascii="Tahoma" w:hAnsi="Tahoma" w:cs="Tahoma"/>
                <w:b/>
                <w:bCs/>
                <w:lang w:val="it-IT"/>
              </w:rPr>
              <w:t>Licenza Select / Select Plus</w:t>
            </w:r>
            <w:r w:rsidR="00E44188" w:rsidRPr="00451078">
              <w:rPr>
                <w:rFonts w:ascii="Tahoma" w:hAnsi="Tahoma" w:cs="Tahoma"/>
                <w:b/>
                <w:bCs/>
                <w:lang w:val="it-IT"/>
              </w:rPr>
              <w:t> </w:t>
            </w:r>
            <w:r w:rsidRPr="00451078">
              <w:rPr>
                <w:rFonts w:ascii="Tahoma" w:hAnsi="Tahoma" w:cs="Tahoma"/>
                <w:b/>
                <w:bCs/>
                <w:lang w:val="it-IT"/>
              </w:rPr>
              <w:t>/ EA</w:t>
            </w:r>
          </w:p>
          <w:p w:rsidR="00023FE7" w:rsidRPr="00451078" w:rsidRDefault="00023FE7">
            <w:pPr>
              <w:pStyle w:val="AppendixBodyText"/>
              <w:rPr>
                <w:rFonts w:ascii="Tahoma" w:hAnsi="Tahoma" w:cs="Tahoma"/>
                <w:b/>
                <w:bCs/>
                <w:lang w:val="it-IT"/>
              </w:rPr>
            </w:pPr>
            <w:r w:rsidRPr="00451078">
              <w:rPr>
                <w:rFonts w:ascii="Tahoma" w:hAnsi="Tahoma" w:cs="Tahoma"/>
                <w:b/>
                <w:bCs/>
                <w:lang w:val="it-IT"/>
              </w:rPr>
              <w:t>Prezzo di riferimento</w:t>
            </w:r>
          </w:p>
        </w:tc>
        <w:tc>
          <w:tcPr>
            <w:tcW w:w="1287" w:type="dxa"/>
            <w:tcBorders>
              <w:top w:val="single" w:sz="8" w:space="0" w:color="auto"/>
              <w:left w:val="single" w:sz="8" w:space="0" w:color="auto"/>
              <w:bottom w:val="single" w:sz="8" w:space="0" w:color="auto"/>
              <w:right w:val="single" w:sz="8" w:space="0" w:color="auto"/>
            </w:tcBorders>
            <w:shd w:val="clear" w:color="auto" w:fill="FFCC99"/>
            <w:vAlign w:val="center"/>
          </w:tcPr>
          <w:p w:rsidR="00023FE7" w:rsidRPr="00451078" w:rsidRDefault="00023FE7" w:rsidP="00273D00">
            <w:pPr>
              <w:pStyle w:val="AppendixBodyText"/>
              <w:ind w:left="-54"/>
              <w:rPr>
                <w:lang w:val="it-IT"/>
              </w:rPr>
            </w:pPr>
            <w:r w:rsidRPr="00451078">
              <w:rPr>
                <w:rFonts w:ascii="Tahoma" w:hAnsi="Tahoma" w:cs="Tahoma"/>
                <w:b/>
                <w:bCs/>
                <w:lang w:val="it-IT"/>
              </w:rPr>
              <w:t>Licenza Select / Select Plus</w:t>
            </w:r>
            <w:r w:rsidR="00E44188" w:rsidRPr="00451078">
              <w:rPr>
                <w:rFonts w:ascii="Tahoma" w:hAnsi="Tahoma" w:cs="Tahoma"/>
                <w:b/>
                <w:bCs/>
                <w:lang w:val="it-IT"/>
              </w:rPr>
              <w:t> </w:t>
            </w:r>
            <w:r w:rsidRPr="00451078">
              <w:rPr>
                <w:rFonts w:ascii="Tahoma" w:hAnsi="Tahoma" w:cs="Tahoma"/>
                <w:b/>
                <w:bCs/>
                <w:lang w:val="it-IT"/>
              </w:rPr>
              <w:t>/ EA</w:t>
            </w:r>
          </w:p>
          <w:p w:rsidR="00023FE7" w:rsidRPr="00451078" w:rsidRDefault="00023FE7" w:rsidP="00273D00">
            <w:pPr>
              <w:pStyle w:val="AppendixBodyText"/>
              <w:ind w:left="-54"/>
              <w:rPr>
                <w:rFonts w:ascii="Tahoma" w:hAnsi="Tahoma" w:cs="Tahoma"/>
                <w:b/>
                <w:bCs/>
                <w:lang w:val="it-IT"/>
              </w:rPr>
            </w:pPr>
            <w:r w:rsidRPr="00451078">
              <w:rPr>
                <w:rFonts w:ascii="Tahoma" w:hAnsi="Tahoma" w:cs="Tahoma"/>
                <w:b/>
                <w:bCs/>
                <w:lang w:val="it-IT"/>
              </w:rPr>
              <w:t>Prezzo di riferimento</w:t>
            </w:r>
          </w:p>
        </w:tc>
      </w:tr>
      <w:tr w:rsidR="00E44188" w:rsidRPr="003410C7" w:rsidTr="00B278C0">
        <w:trPr>
          <w:trHeight w:val="236"/>
        </w:trPr>
        <w:tc>
          <w:tcPr>
            <w:tcW w:w="1845" w:type="dxa"/>
            <w:vAlign w:val="center"/>
          </w:tcPr>
          <w:p w:rsidR="00023FE7" w:rsidRPr="00451078" w:rsidRDefault="00023FE7" w:rsidP="00E44188">
            <w:pPr>
              <w:pStyle w:val="AppendixBodyText"/>
              <w:rPr>
                <w:rFonts w:ascii="Tahoma" w:hAnsi="Tahoma" w:cs="Tahoma"/>
                <w:sz w:val="18"/>
                <w:szCs w:val="18"/>
                <w:lang w:val="it-IT"/>
              </w:rPr>
            </w:pPr>
            <w:r w:rsidRPr="00451078">
              <w:rPr>
                <w:rFonts w:ascii="Tahoma" w:hAnsi="Tahoma" w:cs="Tahoma"/>
                <w:sz w:val="18"/>
                <w:szCs w:val="18"/>
                <w:lang w:val="it-IT"/>
              </w:rPr>
              <w:t>N. di Contatti di Supporto Telefonico per la Risoluzione dei</w:t>
            </w:r>
            <w:r w:rsidR="00E44188" w:rsidRPr="00451078">
              <w:rPr>
                <w:rFonts w:ascii="Tahoma" w:hAnsi="Tahoma" w:cs="Tahoma"/>
                <w:sz w:val="18"/>
                <w:szCs w:val="18"/>
                <w:lang w:val="it-IT"/>
              </w:rPr>
              <w:t> </w:t>
            </w:r>
            <w:r w:rsidRPr="00451078">
              <w:rPr>
                <w:rFonts w:ascii="Tahoma" w:hAnsi="Tahoma" w:cs="Tahoma"/>
                <w:sz w:val="18"/>
                <w:szCs w:val="18"/>
                <w:lang w:val="it-IT"/>
              </w:rPr>
              <w:t>Problemi</w:t>
            </w:r>
          </w:p>
        </w:tc>
        <w:tc>
          <w:tcPr>
            <w:tcW w:w="1143" w:type="dxa"/>
            <w:vAlign w:val="center"/>
          </w:tcPr>
          <w:p w:rsidR="00023FE7" w:rsidRPr="003410C7" w:rsidRDefault="00620185">
            <w:pPr>
              <w:pStyle w:val="AppendixBodyText"/>
              <w:rPr>
                <w:rFonts w:ascii="Tahoma" w:hAnsi="Tahoma" w:cs="Tahoma"/>
                <w:sz w:val="18"/>
                <w:szCs w:val="18"/>
              </w:rPr>
            </w:pPr>
            <w:r w:rsidRPr="003410C7">
              <w:rPr>
                <w:rFonts w:ascii="Tahoma" w:hAnsi="Tahoma" w:cs="Tahoma"/>
                <w:sz w:val="18"/>
                <w:szCs w:val="18"/>
              </w:rPr>
              <w:t>In Base alle Necessità</w:t>
            </w:r>
          </w:p>
        </w:tc>
        <w:tc>
          <w:tcPr>
            <w:tcW w:w="1125" w:type="dxa"/>
            <w:vAlign w:val="center"/>
          </w:tcPr>
          <w:p w:rsidR="00023FE7" w:rsidRPr="003410C7" w:rsidRDefault="00023FE7" w:rsidP="00791271">
            <w:pPr>
              <w:pStyle w:val="AppendixBodyText"/>
              <w:ind w:left="-54"/>
              <w:rPr>
                <w:rFonts w:ascii="Tahoma" w:hAnsi="Tahoma" w:cs="Tahoma"/>
                <w:sz w:val="18"/>
                <w:szCs w:val="18"/>
              </w:rPr>
            </w:pPr>
            <w:r w:rsidRPr="003410C7">
              <w:rPr>
                <w:rFonts w:ascii="Tahoma" w:hAnsi="Tahoma" w:cs="Tahoma"/>
                <w:sz w:val="18"/>
                <w:szCs w:val="18"/>
              </w:rPr>
              <w:t>In Base alle Necessità</w:t>
            </w:r>
          </w:p>
        </w:tc>
        <w:tc>
          <w:tcPr>
            <w:tcW w:w="1350" w:type="dxa"/>
            <w:vAlign w:val="center"/>
          </w:tcPr>
          <w:p w:rsidR="00023FE7" w:rsidRPr="003410C7" w:rsidRDefault="00023FE7">
            <w:pPr>
              <w:pStyle w:val="AppendixBodyText"/>
              <w:rPr>
                <w:rFonts w:ascii="Tahoma" w:hAnsi="Tahoma" w:cs="Tahoma"/>
                <w:sz w:val="18"/>
                <w:szCs w:val="18"/>
              </w:rPr>
            </w:pPr>
            <w:r w:rsidRPr="003410C7">
              <w:rPr>
                <w:rFonts w:ascii="Tahoma" w:hAnsi="Tahoma" w:cs="Tahoma"/>
                <w:sz w:val="18"/>
                <w:szCs w:val="18"/>
              </w:rPr>
              <w:t>In Base alle Necessità</w:t>
            </w:r>
          </w:p>
        </w:tc>
        <w:tc>
          <w:tcPr>
            <w:tcW w:w="1368" w:type="dxa"/>
            <w:vAlign w:val="center"/>
          </w:tcPr>
          <w:p w:rsidR="00023FE7" w:rsidRPr="003410C7" w:rsidRDefault="00023FE7">
            <w:pPr>
              <w:pStyle w:val="AppendixBodyText"/>
              <w:rPr>
                <w:rFonts w:ascii="Tahoma" w:hAnsi="Tahoma" w:cs="Tahoma"/>
                <w:sz w:val="18"/>
                <w:szCs w:val="18"/>
              </w:rPr>
            </w:pPr>
            <w:r w:rsidRPr="003410C7">
              <w:rPr>
                <w:rFonts w:ascii="Tahoma" w:hAnsi="Tahoma" w:cs="Tahoma"/>
                <w:sz w:val="18"/>
                <w:szCs w:val="18"/>
              </w:rPr>
              <w:t>In Base alle Necessità</w:t>
            </w:r>
          </w:p>
        </w:tc>
        <w:tc>
          <w:tcPr>
            <w:tcW w:w="1404" w:type="dxa"/>
            <w:vAlign w:val="center"/>
          </w:tcPr>
          <w:p w:rsidR="00023FE7" w:rsidRPr="003410C7" w:rsidRDefault="00023FE7">
            <w:pPr>
              <w:pStyle w:val="AppendixBodyText"/>
              <w:rPr>
                <w:rFonts w:ascii="Tahoma" w:hAnsi="Tahoma" w:cs="Tahoma"/>
                <w:sz w:val="18"/>
                <w:szCs w:val="18"/>
              </w:rPr>
            </w:pPr>
            <w:r w:rsidRPr="003410C7">
              <w:rPr>
                <w:rFonts w:ascii="Tahoma" w:hAnsi="Tahoma" w:cs="Tahoma"/>
                <w:sz w:val="18"/>
                <w:szCs w:val="18"/>
              </w:rPr>
              <w:t>In Base alle Necessità</w:t>
            </w:r>
          </w:p>
        </w:tc>
        <w:tc>
          <w:tcPr>
            <w:tcW w:w="1287" w:type="dxa"/>
            <w:vAlign w:val="center"/>
          </w:tcPr>
          <w:p w:rsidR="00023FE7" w:rsidRPr="003410C7" w:rsidRDefault="00023FE7">
            <w:pPr>
              <w:pStyle w:val="AppendixBodyText"/>
              <w:rPr>
                <w:rFonts w:ascii="Tahoma" w:hAnsi="Tahoma" w:cs="Tahoma"/>
                <w:sz w:val="18"/>
                <w:szCs w:val="18"/>
              </w:rPr>
            </w:pPr>
            <w:r w:rsidRPr="003410C7">
              <w:rPr>
                <w:rFonts w:ascii="Tahoma" w:hAnsi="Tahoma" w:cs="Tahoma"/>
                <w:sz w:val="18"/>
                <w:szCs w:val="18"/>
              </w:rPr>
              <w:t>In Base alle Necessità</w:t>
            </w:r>
          </w:p>
        </w:tc>
      </w:tr>
      <w:tr w:rsidR="00E44188" w:rsidRPr="003410C7" w:rsidTr="00B278C0">
        <w:trPr>
          <w:trHeight w:val="236"/>
        </w:trPr>
        <w:tc>
          <w:tcPr>
            <w:tcW w:w="1845" w:type="dxa"/>
            <w:vAlign w:val="center"/>
          </w:tcPr>
          <w:p w:rsidR="00023FE7" w:rsidRPr="00451078" w:rsidRDefault="00023FE7" w:rsidP="00E44188">
            <w:pPr>
              <w:pStyle w:val="AppendixBodyText"/>
              <w:rPr>
                <w:rFonts w:ascii="Tahoma" w:hAnsi="Tahoma" w:cs="Tahoma"/>
                <w:sz w:val="18"/>
                <w:szCs w:val="18"/>
                <w:lang w:val="it-IT"/>
              </w:rPr>
            </w:pPr>
            <w:r w:rsidRPr="00451078">
              <w:rPr>
                <w:rFonts w:ascii="Tahoma" w:hAnsi="Tahoma" w:cs="Tahoma"/>
                <w:sz w:val="18"/>
                <w:szCs w:val="18"/>
                <w:lang w:val="it-IT"/>
              </w:rPr>
              <w:t>N. di Contatti Autorizzati per il</w:t>
            </w:r>
            <w:r w:rsidR="00E44188" w:rsidRPr="00451078">
              <w:rPr>
                <w:rFonts w:ascii="Tahoma" w:hAnsi="Tahoma" w:cs="Tahoma"/>
                <w:sz w:val="18"/>
                <w:szCs w:val="18"/>
                <w:lang w:val="it-IT"/>
              </w:rPr>
              <w:t> </w:t>
            </w:r>
            <w:r w:rsidRPr="00451078">
              <w:rPr>
                <w:rFonts w:ascii="Tahoma" w:hAnsi="Tahoma" w:cs="Tahoma"/>
                <w:sz w:val="18"/>
                <w:szCs w:val="18"/>
                <w:lang w:val="it-IT"/>
              </w:rPr>
              <w:t>Supporto Web</w:t>
            </w:r>
          </w:p>
        </w:tc>
        <w:tc>
          <w:tcPr>
            <w:tcW w:w="1143" w:type="dxa"/>
            <w:vAlign w:val="center"/>
          </w:tcPr>
          <w:p w:rsidR="00023FE7" w:rsidRPr="003410C7" w:rsidRDefault="00023FE7">
            <w:pPr>
              <w:pStyle w:val="AppendixBodyText"/>
              <w:rPr>
                <w:rFonts w:ascii="Tahoma" w:hAnsi="Tahoma" w:cs="Tahoma"/>
                <w:sz w:val="18"/>
                <w:szCs w:val="18"/>
              </w:rPr>
            </w:pPr>
            <w:r w:rsidRPr="003410C7">
              <w:rPr>
                <w:rFonts w:ascii="Tahoma" w:hAnsi="Tahoma" w:cs="Tahoma"/>
                <w:sz w:val="18"/>
                <w:szCs w:val="18"/>
              </w:rPr>
              <w:t>ND</w:t>
            </w:r>
          </w:p>
        </w:tc>
        <w:tc>
          <w:tcPr>
            <w:tcW w:w="1125" w:type="dxa"/>
            <w:vAlign w:val="center"/>
          </w:tcPr>
          <w:p w:rsidR="00023FE7" w:rsidRPr="003410C7" w:rsidRDefault="00023FE7">
            <w:pPr>
              <w:pStyle w:val="AppendixBodyText"/>
              <w:rPr>
                <w:rFonts w:ascii="Tahoma" w:hAnsi="Tahoma" w:cs="Tahoma"/>
                <w:sz w:val="18"/>
                <w:szCs w:val="18"/>
              </w:rPr>
            </w:pPr>
            <w:r w:rsidRPr="003410C7">
              <w:rPr>
                <w:rFonts w:ascii="Tahoma" w:hAnsi="Tahoma" w:cs="Tahoma"/>
                <w:sz w:val="18"/>
                <w:szCs w:val="18"/>
              </w:rPr>
              <w:t>1</w:t>
            </w:r>
          </w:p>
        </w:tc>
        <w:tc>
          <w:tcPr>
            <w:tcW w:w="1350" w:type="dxa"/>
            <w:vAlign w:val="center"/>
          </w:tcPr>
          <w:p w:rsidR="00023FE7" w:rsidRPr="003410C7" w:rsidRDefault="00023FE7">
            <w:pPr>
              <w:pStyle w:val="AppendixBodyText"/>
              <w:rPr>
                <w:rFonts w:ascii="Tahoma" w:hAnsi="Tahoma" w:cs="Tahoma"/>
                <w:sz w:val="18"/>
                <w:szCs w:val="18"/>
              </w:rPr>
            </w:pPr>
            <w:r w:rsidRPr="003410C7">
              <w:rPr>
                <w:rFonts w:ascii="Tahoma" w:hAnsi="Tahoma" w:cs="Tahoma"/>
                <w:sz w:val="18"/>
                <w:szCs w:val="18"/>
              </w:rPr>
              <w:t>2</w:t>
            </w:r>
          </w:p>
        </w:tc>
        <w:tc>
          <w:tcPr>
            <w:tcW w:w="1368" w:type="dxa"/>
            <w:vAlign w:val="center"/>
          </w:tcPr>
          <w:p w:rsidR="00023FE7" w:rsidRPr="003410C7" w:rsidRDefault="00023FE7">
            <w:pPr>
              <w:pStyle w:val="AppendixBodyText"/>
              <w:rPr>
                <w:rFonts w:ascii="Tahoma" w:hAnsi="Tahoma" w:cs="Tahoma"/>
                <w:sz w:val="18"/>
                <w:szCs w:val="18"/>
              </w:rPr>
            </w:pPr>
            <w:r w:rsidRPr="003410C7">
              <w:rPr>
                <w:rFonts w:ascii="Tahoma" w:hAnsi="Tahoma" w:cs="Tahoma"/>
                <w:sz w:val="18"/>
                <w:szCs w:val="18"/>
              </w:rPr>
              <w:t>4</w:t>
            </w:r>
          </w:p>
        </w:tc>
        <w:tc>
          <w:tcPr>
            <w:tcW w:w="1404" w:type="dxa"/>
            <w:vAlign w:val="center"/>
          </w:tcPr>
          <w:p w:rsidR="00023FE7" w:rsidRPr="003410C7" w:rsidRDefault="00023FE7">
            <w:pPr>
              <w:pStyle w:val="AppendixBodyText"/>
              <w:rPr>
                <w:rFonts w:ascii="Tahoma" w:hAnsi="Tahoma" w:cs="Tahoma"/>
                <w:sz w:val="18"/>
                <w:szCs w:val="18"/>
              </w:rPr>
            </w:pPr>
            <w:r w:rsidRPr="003410C7">
              <w:rPr>
                <w:rFonts w:ascii="Tahoma" w:hAnsi="Tahoma" w:cs="Tahoma"/>
                <w:sz w:val="18"/>
                <w:szCs w:val="18"/>
              </w:rPr>
              <w:t>8</w:t>
            </w:r>
          </w:p>
        </w:tc>
        <w:tc>
          <w:tcPr>
            <w:tcW w:w="1287" w:type="dxa"/>
            <w:vAlign w:val="center"/>
          </w:tcPr>
          <w:p w:rsidR="00023FE7" w:rsidRPr="003410C7" w:rsidRDefault="00023FE7">
            <w:pPr>
              <w:pStyle w:val="AppendixBodyText"/>
              <w:rPr>
                <w:rFonts w:ascii="Tahoma" w:hAnsi="Tahoma" w:cs="Tahoma"/>
                <w:sz w:val="18"/>
                <w:szCs w:val="18"/>
              </w:rPr>
            </w:pPr>
            <w:r w:rsidRPr="003410C7">
              <w:rPr>
                <w:rFonts w:ascii="Tahoma" w:hAnsi="Tahoma" w:cs="Tahoma"/>
                <w:sz w:val="18"/>
                <w:szCs w:val="18"/>
              </w:rPr>
              <w:t>16</w:t>
            </w:r>
          </w:p>
        </w:tc>
      </w:tr>
    </w:tbl>
    <w:p w:rsidR="00023FE7" w:rsidRPr="003410C7" w:rsidRDefault="00023FE7" w:rsidP="00F42FB8">
      <w:pPr>
        <w:pStyle w:val="AppendixBodyText"/>
        <w:spacing w:after="0"/>
      </w:pPr>
    </w:p>
    <w:p w:rsidR="001C20C9" w:rsidRPr="00451078" w:rsidRDefault="00023FE7" w:rsidP="00F93617">
      <w:pPr>
        <w:spacing w:after="60"/>
        <w:rPr>
          <w:lang w:val="it-IT"/>
        </w:rPr>
      </w:pPr>
      <w:bookmarkStart w:id="796" w:name="_Toc240899166"/>
      <w:r w:rsidRPr="00451078">
        <w:rPr>
          <w:rFonts w:cs="Tahoma"/>
          <w:b/>
          <w:szCs w:val="20"/>
          <w:lang w:val="it-IT"/>
        </w:rPr>
        <w:t>Livello di Servizio per le Società con Copertura Software Assurance</w:t>
      </w:r>
      <w:bookmarkEnd w:id="796"/>
    </w:p>
    <w:p w:rsidR="00023FE7" w:rsidRPr="00451078" w:rsidRDefault="00023FE7" w:rsidP="00F42FB8">
      <w:pPr>
        <w:pStyle w:val="AppendixBodyText"/>
        <w:spacing w:after="0"/>
        <w:rPr>
          <w:lang w:val="it-IT"/>
        </w:rPr>
      </w:pPr>
    </w:p>
    <w:p w:rsidR="00023FE7" w:rsidRPr="00451078" w:rsidRDefault="00023FE7" w:rsidP="00F93617">
      <w:pPr>
        <w:pStyle w:val="AppendixBodyText"/>
        <w:spacing w:after="0"/>
        <w:rPr>
          <w:lang w:val="it-IT"/>
        </w:rPr>
      </w:pPr>
      <w:r w:rsidRPr="00451078">
        <w:rPr>
          <w:rFonts w:ascii="Tahoma" w:hAnsi="Tahoma" w:cs="Tahoma"/>
          <w:sz w:val="18"/>
          <w:szCs w:val="18"/>
          <w:lang w:val="it-IT"/>
        </w:rPr>
        <w:t>Le richieste di supporto potranno essere formulate telefonicamente o inviate in formato elettronico dalle persone di</w:t>
      </w:r>
      <w:r w:rsidR="00E44188" w:rsidRPr="00451078">
        <w:rPr>
          <w:rFonts w:ascii="Tahoma" w:hAnsi="Tahoma" w:cs="Tahoma"/>
          <w:sz w:val="18"/>
          <w:szCs w:val="18"/>
          <w:lang w:val="it-IT"/>
        </w:rPr>
        <w:t> </w:t>
      </w:r>
      <w:r w:rsidRPr="00451078">
        <w:rPr>
          <w:rFonts w:ascii="Tahoma" w:hAnsi="Tahoma" w:cs="Tahoma"/>
          <w:sz w:val="18"/>
          <w:szCs w:val="18"/>
          <w:lang w:val="it-IT"/>
        </w:rPr>
        <w:t xml:space="preserve">contatto designate dalla società, a eccezione delle richieste con Severity A e B, che dovranno essere formulate, invece, solo telefonicamente, come descritto di seguito. </w:t>
      </w:r>
    </w:p>
    <w:p w:rsidR="00F42FB8" w:rsidRPr="00451078" w:rsidRDefault="00F42FB8" w:rsidP="00F93617">
      <w:pPr>
        <w:pStyle w:val="AppendixBodyText"/>
        <w:spacing w:after="0"/>
        <w:rPr>
          <w:lang w:val="it-IT"/>
        </w:rPr>
      </w:pPr>
    </w:p>
    <w:p w:rsidR="00023FE7" w:rsidRPr="00451078" w:rsidRDefault="00023FE7" w:rsidP="00F93617">
      <w:pPr>
        <w:pStyle w:val="AppendixBodyText"/>
        <w:spacing w:after="0"/>
        <w:rPr>
          <w:lang w:val="it-IT"/>
        </w:rPr>
      </w:pPr>
      <w:r w:rsidRPr="00451078">
        <w:rPr>
          <w:rFonts w:ascii="Tahoma" w:hAnsi="Tahoma" w:cs="Tahoma"/>
          <w:sz w:val="18"/>
          <w:szCs w:val="18"/>
          <w:lang w:val="it-IT"/>
        </w:rPr>
        <w:t>Le società avranno la responsabilità di indicare il livello di gravità iniziale in collaborazione con Microsoft. Potranno tuttavia richiedere di modificare il livello di gravità in qualsiasi momento.</w:t>
      </w:r>
      <w:r w:rsidR="00082E1C" w:rsidRPr="00451078">
        <w:rPr>
          <w:rFonts w:ascii="Tahoma" w:hAnsi="Tahoma" w:cs="Tahoma"/>
          <w:sz w:val="18"/>
          <w:szCs w:val="18"/>
          <w:lang w:val="it-IT"/>
        </w:rPr>
        <w:t xml:space="preserve"> </w:t>
      </w:r>
      <w:r w:rsidRPr="00451078">
        <w:rPr>
          <w:rFonts w:ascii="Tahoma" w:hAnsi="Tahoma" w:cs="Tahoma"/>
          <w:sz w:val="18"/>
          <w:szCs w:val="18"/>
          <w:lang w:val="it-IT"/>
        </w:rPr>
        <w:t>La gravità dell</w:t>
      </w:r>
      <w:r w:rsidR="004525CA">
        <w:rPr>
          <w:rFonts w:ascii="Tahoma" w:hAnsi="Tahoma" w:cs="Tahoma"/>
          <w:sz w:val="18"/>
          <w:szCs w:val="18"/>
          <w:lang w:val="it-IT"/>
        </w:rPr>
        <w:t>’</w:t>
      </w:r>
      <w:r w:rsidRPr="00451078">
        <w:rPr>
          <w:rFonts w:ascii="Tahoma" w:hAnsi="Tahoma" w:cs="Tahoma"/>
          <w:sz w:val="18"/>
          <w:szCs w:val="18"/>
          <w:lang w:val="it-IT"/>
        </w:rPr>
        <w:t>intervento determinerà i</w:t>
      </w:r>
      <w:r w:rsidR="00E44188" w:rsidRPr="00451078">
        <w:rPr>
          <w:rFonts w:ascii="Tahoma" w:hAnsi="Tahoma" w:cs="Tahoma"/>
          <w:sz w:val="18"/>
          <w:szCs w:val="18"/>
          <w:lang w:val="it-IT"/>
        </w:rPr>
        <w:t> </w:t>
      </w:r>
      <w:r w:rsidRPr="00451078">
        <w:rPr>
          <w:rFonts w:ascii="Tahoma" w:hAnsi="Tahoma" w:cs="Tahoma"/>
          <w:sz w:val="18"/>
          <w:szCs w:val="18"/>
          <w:lang w:val="it-IT"/>
        </w:rPr>
        <w:t>livelli</w:t>
      </w:r>
      <w:r w:rsidR="00E44188" w:rsidRPr="00451078">
        <w:rPr>
          <w:rFonts w:ascii="Tahoma" w:hAnsi="Tahoma" w:cs="Tahoma"/>
          <w:sz w:val="18"/>
          <w:szCs w:val="18"/>
          <w:lang w:val="it-IT"/>
        </w:rPr>
        <w:t> </w:t>
      </w:r>
      <w:r w:rsidRPr="00451078">
        <w:rPr>
          <w:rFonts w:ascii="Tahoma" w:hAnsi="Tahoma" w:cs="Tahoma"/>
          <w:sz w:val="18"/>
          <w:szCs w:val="18"/>
          <w:lang w:val="it-IT"/>
        </w:rPr>
        <w:t>di risposta da parte di Microsoft. I tempi di risposta previsti e le responsabilità delle società sono definiti nella</w:t>
      </w:r>
      <w:r w:rsidR="00E44188" w:rsidRPr="00451078">
        <w:rPr>
          <w:rFonts w:ascii="Tahoma" w:hAnsi="Tahoma" w:cs="Tahoma"/>
          <w:sz w:val="18"/>
          <w:szCs w:val="18"/>
          <w:lang w:val="it-IT"/>
        </w:rPr>
        <w:t> </w:t>
      </w:r>
      <w:r w:rsidRPr="00451078">
        <w:rPr>
          <w:rFonts w:ascii="Tahoma" w:hAnsi="Tahoma" w:cs="Tahoma"/>
          <w:sz w:val="18"/>
          <w:szCs w:val="18"/>
          <w:lang w:val="it-IT"/>
        </w:rPr>
        <w:t>seguente tabella:</w:t>
      </w:r>
    </w:p>
    <w:tbl>
      <w:tblPr>
        <w:tblW w:w="9540" w:type="dxa"/>
        <w:tblInd w:w="108" w:type="dxa"/>
        <w:tblLayout w:type="fixed"/>
        <w:tblCellMar>
          <w:left w:w="0" w:type="dxa"/>
          <w:right w:w="0" w:type="dxa"/>
        </w:tblCellMar>
        <w:tblLook w:val="0000" w:firstRow="0" w:lastRow="0" w:firstColumn="0" w:lastColumn="0" w:noHBand="0" w:noVBand="0"/>
      </w:tblPr>
      <w:tblGrid>
        <w:gridCol w:w="1350"/>
        <w:gridCol w:w="2636"/>
        <w:gridCol w:w="2742"/>
        <w:gridCol w:w="2812"/>
      </w:tblGrid>
      <w:tr w:rsidR="00023FE7" w:rsidRPr="003410C7" w:rsidTr="00E44188">
        <w:trPr>
          <w:trHeight w:val="477"/>
          <w:tblHeader/>
        </w:trPr>
        <w:tc>
          <w:tcPr>
            <w:tcW w:w="1350" w:type="dxa"/>
            <w:tcBorders>
              <w:top w:val="single" w:sz="8" w:space="0" w:color="auto"/>
              <w:left w:val="single" w:sz="8" w:space="0" w:color="auto"/>
              <w:bottom w:val="single" w:sz="8" w:space="0" w:color="auto"/>
              <w:right w:val="single" w:sz="8" w:space="0" w:color="auto"/>
            </w:tcBorders>
            <w:shd w:val="clear" w:color="auto" w:fill="FFCC99"/>
            <w:tcMar>
              <w:top w:w="0" w:type="dxa"/>
              <w:left w:w="108" w:type="dxa"/>
              <w:bottom w:w="0" w:type="dxa"/>
              <w:right w:w="108" w:type="dxa"/>
            </w:tcMar>
            <w:vAlign w:val="center"/>
          </w:tcPr>
          <w:p w:rsidR="00023FE7" w:rsidRPr="003410C7" w:rsidRDefault="00023FE7">
            <w:pPr>
              <w:pStyle w:val="AppendixBodyText"/>
              <w:spacing w:after="0"/>
              <w:jc w:val="center"/>
              <w:rPr>
                <w:rFonts w:ascii="Tahoma" w:hAnsi="Tahoma" w:cs="Tahoma"/>
                <w:b/>
                <w:bCs/>
              </w:rPr>
            </w:pPr>
            <w:r w:rsidRPr="003410C7">
              <w:rPr>
                <w:rFonts w:ascii="Tahoma" w:hAnsi="Tahoma" w:cs="Tahoma"/>
                <w:b/>
                <w:bCs/>
              </w:rPr>
              <w:t>Severity</w:t>
            </w:r>
          </w:p>
        </w:tc>
        <w:tc>
          <w:tcPr>
            <w:tcW w:w="2636" w:type="dxa"/>
            <w:tcBorders>
              <w:top w:val="single" w:sz="8" w:space="0" w:color="auto"/>
              <w:left w:val="nil"/>
              <w:bottom w:val="single" w:sz="8" w:space="0" w:color="auto"/>
              <w:right w:val="single" w:sz="8" w:space="0" w:color="auto"/>
            </w:tcBorders>
            <w:shd w:val="clear" w:color="auto" w:fill="FFCC99"/>
            <w:tcMar>
              <w:top w:w="0" w:type="dxa"/>
              <w:left w:w="108" w:type="dxa"/>
              <w:bottom w:w="0" w:type="dxa"/>
              <w:right w:w="108" w:type="dxa"/>
            </w:tcMar>
            <w:vAlign w:val="center"/>
          </w:tcPr>
          <w:p w:rsidR="00023FE7" w:rsidRPr="003410C7" w:rsidRDefault="00023FE7">
            <w:pPr>
              <w:pStyle w:val="AppendixBodyText"/>
              <w:spacing w:after="0"/>
              <w:jc w:val="center"/>
              <w:rPr>
                <w:rFonts w:ascii="Tahoma" w:hAnsi="Tahoma" w:cs="Tahoma"/>
                <w:b/>
                <w:bCs/>
              </w:rPr>
            </w:pPr>
            <w:r w:rsidRPr="003410C7">
              <w:rPr>
                <w:rFonts w:ascii="Tahoma" w:hAnsi="Tahoma" w:cs="Tahoma"/>
                <w:b/>
                <w:bCs/>
              </w:rPr>
              <w:t>Situazione</w:t>
            </w:r>
          </w:p>
        </w:tc>
        <w:tc>
          <w:tcPr>
            <w:tcW w:w="2742" w:type="dxa"/>
            <w:tcBorders>
              <w:top w:val="single" w:sz="8" w:space="0" w:color="auto"/>
              <w:left w:val="nil"/>
              <w:bottom w:val="single" w:sz="8" w:space="0" w:color="auto"/>
              <w:right w:val="single" w:sz="8" w:space="0" w:color="auto"/>
            </w:tcBorders>
            <w:shd w:val="clear" w:color="auto" w:fill="FFCC99"/>
            <w:tcMar>
              <w:top w:w="0" w:type="dxa"/>
              <w:left w:w="108" w:type="dxa"/>
              <w:bottom w:w="0" w:type="dxa"/>
              <w:right w:w="108" w:type="dxa"/>
            </w:tcMar>
            <w:vAlign w:val="center"/>
          </w:tcPr>
          <w:p w:rsidR="00023FE7" w:rsidRPr="003410C7" w:rsidRDefault="00023FE7">
            <w:pPr>
              <w:pStyle w:val="AppendixBodyText"/>
              <w:spacing w:after="0"/>
              <w:jc w:val="center"/>
              <w:rPr>
                <w:rFonts w:ascii="Tahoma" w:hAnsi="Tahoma" w:cs="Tahoma"/>
                <w:b/>
                <w:bCs/>
              </w:rPr>
            </w:pPr>
            <w:r w:rsidRPr="003410C7">
              <w:rPr>
                <w:rFonts w:ascii="Tahoma" w:hAnsi="Tahoma" w:cs="Tahoma"/>
                <w:b/>
                <w:bCs/>
              </w:rPr>
              <w:t>Risposta Microsoft Prevista</w:t>
            </w:r>
          </w:p>
        </w:tc>
        <w:tc>
          <w:tcPr>
            <w:tcW w:w="2812" w:type="dxa"/>
            <w:tcBorders>
              <w:top w:val="single" w:sz="8" w:space="0" w:color="auto"/>
              <w:left w:val="nil"/>
              <w:bottom w:val="single" w:sz="8" w:space="0" w:color="auto"/>
              <w:right w:val="single" w:sz="8" w:space="0" w:color="auto"/>
            </w:tcBorders>
            <w:shd w:val="clear" w:color="auto" w:fill="FFCC99"/>
            <w:tcMar>
              <w:top w:w="0" w:type="dxa"/>
              <w:left w:w="108" w:type="dxa"/>
              <w:bottom w:w="0" w:type="dxa"/>
              <w:right w:w="108" w:type="dxa"/>
            </w:tcMar>
            <w:vAlign w:val="center"/>
          </w:tcPr>
          <w:p w:rsidR="00023FE7" w:rsidRPr="003410C7" w:rsidRDefault="00023FE7">
            <w:pPr>
              <w:pStyle w:val="AppendixBodyText"/>
              <w:spacing w:after="0"/>
              <w:jc w:val="center"/>
              <w:rPr>
                <w:rFonts w:ascii="Tahoma" w:hAnsi="Tahoma" w:cs="Tahoma"/>
                <w:b/>
                <w:bCs/>
              </w:rPr>
            </w:pPr>
            <w:r w:rsidRPr="003410C7">
              <w:rPr>
                <w:rFonts w:ascii="Tahoma" w:hAnsi="Tahoma" w:cs="Tahoma"/>
                <w:b/>
                <w:bCs/>
              </w:rPr>
              <w:t>Risposta della Società Prevista</w:t>
            </w:r>
          </w:p>
        </w:tc>
      </w:tr>
      <w:tr w:rsidR="00023FE7" w:rsidRPr="003410C7" w:rsidTr="00E44188">
        <w:tc>
          <w:tcPr>
            <w:tcW w:w="1350" w:type="dxa"/>
            <w:tcBorders>
              <w:top w:val="nil"/>
              <w:left w:val="single" w:sz="8" w:space="0" w:color="auto"/>
              <w:bottom w:val="single" w:sz="8" w:space="0" w:color="auto"/>
              <w:right w:val="single" w:sz="8" w:space="0" w:color="auto"/>
            </w:tcBorders>
            <w:tcMar>
              <w:top w:w="0" w:type="dxa"/>
              <w:left w:w="108" w:type="dxa"/>
              <w:bottom w:w="0" w:type="dxa"/>
              <w:right w:w="108" w:type="dxa"/>
            </w:tcMar>
          </w:tcPr>
          <w:p w:rsidR="00023FE7" w:rsidRPr="003410C7" w:rsidRDefault="00023FE7">
            <w:pPr>
              <w:pStyle w:val="AppendixBodyText"/>
              <w:rPr>
                <w:rFonts w:ascii="Tahoma" w:hAnsi="Tahoma" w:cs="Tahoma"/>
                <w:sz w:val="18"/>
                <w:szCs w:val="18"/>
              </w:rPr>
            </w:pPr>
            <w:r w:rsidRPr="003410C7">
              <w:rPr>
                <w:rFonts w:ascii="Tahoma" w:hAnsi="Tahoma" w:cs="Tahoma"/>
                <w:sz w:val="18"/>
                <w:szCs w:val="18"/>
              </w:rPr>
              <w:t xml:space="preserve">A Formulazione telefonica </w:t>
            </w:r>
          </w:p>
        </w:tc>
        <w:tc>
          <w:tcPr>
            <w:tcW w:w="2636" w:type="dxa"/>
            <w:tcBorders>
              <w:top w:val="nil"/>
              <w:left w:val="nil"/>
              <w:bottom w:val="single" w:sz="8" w:space="0" w:color="auto"/>
              <w:right w:val="single" w:sz="8" w:space="0" w:color="auto"/>
            </w:tcBorders>
            <w:tcMar>
              <w:top w:w="0" w:type="dxa"/>
              <w:left w:w="108" w:type="dxa"/>
              <w:bottom w:w="0" w:type="dxa"/>
              <w:right w:w="108" w:type="dxa"/>
            </w:tcMar>
          </w:tcPr>
          <w:p w:rsidR="00023FE7" w:rsidRPr="003410C7" w:rsidRDefault="00023FE7" w:rsidP="0027028A">
            <w:pPr>
              <w:pStyle w:val="AppendixBodyText"/>
              <w:numPr>
                <w:ilvl w:val="0"/>
                <w:numId w:val="2"/>
              </w:numPr>
              <w:tabs>
                <w:tab w:val="clear" w:pos="1440"/>
                <w:tab w:val="num" w:pos="612"/>
              </w:tabs>
              <w:ind w:left="612"/>
            </w:pPr>
            <w:r w:rsidRPr="003410C7">
              <w:rPr>
                <w:rFonts w:ascii="Tahoma" w:hAnsi="Tahoma" w:cs="Tahoma"/>
                <w:sz w:val="18"/>
                <w:szCs w:val="18"/>
              </w:rPr>
              <w:t xml:space="preserve">Impatto commerciale critico </w:t>
            </w:r>
          </w:p>
          <w:p w:rsidR="00023FE7" w:rsidRPr="00451078" w:rsidRDefault="00023FE7" w:rsidP="00E44188">
            <w:pPr>
              <w:pStyle w:val="AppendixBodyText"/>
              <w:numPr>
                <w:ilvl w:val="0"/>
                <w:numId w:val="2"/>
              </w:numPr>
              <w:tabs>
                <w:tab w:val="clear" w:pos="1440"/>
                <w:tab w:val="num" w:pos="612"/>
              </w:tabs>
              <w:ind w:left="612"/>
              <w:rPr>
                <w:rFonts w:ascii="Tahoma" w:hAnsi="Tahoma" w:cs="Tahoma"/>
                <w:sz w:val="18"/>
                <w:szCs w:val="18"/>
                <w:lang w:val="it-IT"/>
              </w:rPr>
            </w:pPr>
            <w:r w:rsidRPr="00451078">
              <w:rPr>
                <w:rFonts w:ascii="Tahoma" w:hAnsi="Tahoma" w:cs="Tahoma"/>
                <w:sz w:val="18"/>
                <w:szCs w:val="18"/>
                <w:lang w:val="it-IT"/>
              </w:rPr>
              <w:t>Perdita o degradazione significativa dei servizi</w:t>
            </w:r>
            <w:r w:rsidR="00E44188" w:rsidRPr="00451078">
              <w:rPr>
                <w:rFonts w:ascii="Tahoma" w:hAnsi="Tahoma" w:cs="Tahoma"/>
                <w:sz w:val="18"/>
                <w:szCs w:val="18"/>
                <w:lang w:val="it-IT"/>
              </w:rPr>
              <w:t> </w:t>
            </w:r>
            <w:r w:rsidRPr="00451078">
              <w:rPr>
                <w:rFonts w:ascii="Tahoma" w:hAnsi="Tahoma" w:cs="Tahoma"/>
                <w:sz w:val="18"/>
                <w:szCs w:val="18"/>
                <w:lang w:val="it-IT"/>
              </w:rPr>
              <w:t>della società</w:t>
            </w:r>
          </w:p>
        </w:tc>
        <w:tc>
          <w:tcPr>
            <w:tcW w:w="2742" w:type="dxa"/>
            <w:tcBorders>
              <w:top w:val="nil"/>
              <w:left w:val="nil"/>
              <w:bottom w:val="single" w:sz="8" w:space="0" w:color="auto"/>
              <w:right w:val="single" w:sz="8" w:space="0" w:color="auto"/>
            </w:tcBorders>
            <w:tcMar>
              <w:top w:w="0" w:type="dxa"/>
              <w:left w:w="108" w:type="dxa"/>
              <w:bottom w:w="0" w:type="dxa"/>
              <w:right w:w="108" w:type="dxa"/>
            </w:tcMar>
          </w:tcPr>
          <w:p w:rsidR="00023FE7" w:rsidRPr="00451078" w:rsidRDefault="00023FE7" w:rsidP="0027028A">
            <w:pPr>
              <w:pStyle w:val="AppendixBodyText"/>
              <w:numPr>
                <w:ilvl w:val="0"/>
                <w:numId w:val="2"/>
              </w:numPr>
              <w:tabs>
                <w:tab w:val="clear" w:pos="1440"/>
                <w:tab w:val="num" w:pos="522"/>
              </w:tabs>
              <w:ind w:left="522"/>
              <w:rPr>
                <w:lang w:val="it-IT"/>
              </w:rPr>
            </w:pPr>
            <w:r w:rsidRPr="00451078">
              <w:rPr>
                <w:rFonts w:ascii="Tahoma" w:hAnsi="Tahoma" w:cs="Tahoma"/>
                <w:sz w:val="18"/>
                <w:szCs w:val="18"/>
                <w:lang w:val="it-IT"/>
              </w:rPr>
              <w:t>Risposta alla prima chiamata entro 2 ore lavorative, in base all</w:t>
            </w:r>
            <w:r w:rsidR="004525CA">
              <w:rPr>
                <w:rFonts w:ascii="Tahoma" w:hAnsi="Tahoma" w:cs="Tahoma"/>
                <w:sz w:val="18"/>
                <w:szCs w:val="18"/>
                <w:lang w:val="it-IT"/>
              </w:rPr>
              <w:t>’</w:t>
            </w:r>
            <w:r w:rsidRPr="00451078">
              <w:rPr>
                <w:rFonts w:ascii="Tahoma" w:hAnsi="Tahoma" w:cs="Tahoma"/>
                <w:sz w:val="18"/>
                <w:szCs w:val="18"/>
                <w:lang w:val="it-IT"/>
              </w:rPr>
              <w:t>offerta di supporto</w:t>
            </w:r>
          </w:p>
          <w:p w:rsidR="00023FE7" w:rsidRPr="00451078" w:rsidRDefault="00023FE7" w:rsidP="0027028A">
            <w:pPr>
              <w:pStyle w:val="AppendixBodyText"/>
              <w:numPr>
                <w:ilvl w:val="0"/>
                <w:numId w:val="2"/>
              </w:numPr>
              <w:tabs>
                <w:tab w:val="clear" w:pos="1440"/>
                <w:tab w:val="num" w:pos="522"/>
              </w:tabs>
              <w:ind w:left="522"/>
              <w:rPr>
                <w:lang w:val="it-IT"/>
              </w:rPr>
            </w:pPr>
            <w:r w:rsidRPr="00451078">
              <w:rPr>
                <w:rFonts w:ascii="Tahoma" w:hAnsi="Tahoma" w:cs="Tahoma"/>
                <w:sz w:val="18"/>
                <w:szCs w:val="18"/>
                <w:lang w:val="it-IT"/>
              </w:rPr>
              <w:t>Risorse Microsoft presso la sede della società, come richiesto.</w:t>
            </w:r>
          </w:p>
          <w:p w:rsidR="00023FE7" w:rsidRPr="003410C7" w:rsidRDefault="00023FE7" w:rsidP="0027028A">
            <w:pPr>
              <w:pStyle w:val="AppendixBodyText"/>
              <w:numPr>
                <w:ilvl w:val="0"/>
                <w:numId w:val="2"/>
              </w:numPr>
              <w:tabs>
                <w:tab w:val="clear" w:pos="1440"/>
                <w:tab w:val="num" w:pos="522"/>
              </w:tabs>
              <w:ind w:left="522"/>
            </w:pPr>
            <w:r w:rsidRPr="003410C7">
              <w:rPr>
                <w:rFonts w:ascii="Tahoma" w:hAnsi="Tahoma" w:cs="Tahoma"/>
                <w:sz w:val="18"/>
                <w:szCs w:val="18"/>
              </w:rPr>
              <w:t>Impegno continuo 24x7</w:t>
            </w:r>
          </w:p>
          <w:p w:rsidR="00023FE7" w:rsidRPr="00451078" w:rsidRDefault="00023FE7" w:rsidP="00E44188">
            <w:pPr>
              <w:pStyle w:val="AppendixBodyText"/>
              <w:numPr>
                <w:ilvl w:val="0"/>
                <w:numId w:val="2"/>
              </w:numPr>
              <w:tabs>
                <w:tab w:val="clear" w:pos="1440"/>
                <w:tab w:val="num" w:pos="522"/>
              </w:tabs>
              <w:ind w:left="522"/>
              <w:rPr>
                <w:rFonts w:ascii="Tahoma" w:hAnsi="Tahoma" w:cs="Tahoma"/>
                <w:sz w:val="18"/>
                <w:szCs w:val="18"/>
                <w:lang w:val="it-IT"/>
              </w:rPr>
            </w:pPr>
            <w:r w:rsidRPr="00451078">
              <w:rPr>
                <w:rFonts w:ascii="Tahoma" w:hAnsi="Tahoma" w:cs="Tahoma"/>
                <w:sz w:val="18"/>
                <w:szCs w:val="18"/>
                <w:lang w:val="it-IT"/>
              </w:rPr>
              <w:lastRenderedPageBreak/>
              <w:t>Comunicazione del Senior Management di</w:t>
            </w:r>
            <w:r w:rsidR="00E44188" w:rsidRPr="00451078">
              <w:rPr>
                <w:rFonts w:ascii="Tahoma" w:hAnsi="Tahoma" w:cs="Tahoma"/>
                <w:sz w:val="18"/>
                <w:szCs w:val="18"/>
                <w:lang w:val="it-IT"/>
              </w:rPr>
              <w:t> </w:t>
            </w:r>
            <w:r w:rsidRPr="00451078">
              <w:rPr>
                <w:rFonts w:ascii="Tahoma" w:hAnsi="Tahoma" w:cs="Tahoma"/>
                <w:sz w:val="18"/>
                <w:szCs w:val="18"/>
                <w:lang w:val="it-IT"/>
              </w:rPr>
              <w:t>Microsoft, in base all</w:t>
            </w:r>
            <w:r w:rsidR="004525CA">
              <w:rPr>
                <w:rFonts w:ascii="Tahoma" w:hAnsi="Tahoma" w:cs="Tahoma"/>
                <w:sz w:val="18"/>
                <w:szCs w:val="18"/>
                <w:lang w:val="it-IT"/>
              </w:rPr>
              <w:t>’</w:t>
            </w:r>
            <w:r w:rsidRPr="00451078">
              <w:rPr>
                <w:rFonts w:ascii="Tahoma" w:hAnsi="Tahoma" w:cs="Tahoma"/>
                <w:sz w:val="18"/>
                <w:szCs w:val="18"/>
                <w:lang w:val="it-IT"/>
              </w:rPr>
              <w:t>offerta di supporto</w:t>
            </w:r>
          </w:p>
        </w:tc>
        <w:tc>
          <w:tcPr>
            <w:tcW w:w="2812" w:type="dxa"/>
            <w:tcBorders>
              <w:top w:val="nil"/>
              <w:left w:val="nil"/>
              <w:bottom w:val="single" w:sz="8" w:space="0" w:color="auto"/>
              <w:right w:val="single" w:sz="8" w:space="0" w:color="auto"/>
            </w:tcBorders>
            <w:tcMar>
              <w:top w:w="0" w:type="dxa"/>
              <w:left w:w="108" w:type="dxa"/>
              <w:bottom w:w="0" w:type="dxa"/>
              <w:right w:w="108" w:type="dxa"/>
            </w:tcMar>
          </w:tcPr>
          <w:p w:rsidR="00023FE7" w:rsidRPr="00451078" w:rsidRDefault="00023FE7" w:rsidP="0027028A">
            <w:pPr>
              <w:pStyle w:val="AppendixBodyText"/>
              <w:numPr>
                <w:ilvl w:val="0"/>
                <w:numId w:val="2"/>
              </w:numPr>
              <w:tabs>
                <w:tab w:val="clear" w:pos="1440"/>
              </w:tabs>
              <w:ind w:left="432"/>
              <w:rPr>
                <w:lang w:val="it-IT"/>
              </w:rPr>
            </w:pPr>
            <w:r w:rsidRPr="00451078">
              <w:rPr>
                <w:rFonts w:ascii="Tahoma" w:hAnsi="Tahoma" w:cs="Tahoma"/>
                <w:sz w:val="18"/>
                <w:szCs w:val="18"/>
                <w:lang w:val="it-IT"/>
              </w:rPr>
              <w:lastRenderedPageBreak/>
              <w:t>Allocazione delle risorse appropriate per sostenere l</w:t>
            </w:r>
            <w:r w:rsidR="004525CA">
              <w:rPr>
                <w:rFonts w:ascii="Tahoma" w:hAnsi="Tahoma" w:cs="Tahoma"/>
                <w:sz w:val="18"/>
                <w:szCs w:val="18"/>
                <w:lang w:val="it-IT"/>
              </w:rPr>
              <w:t>’</w:t>
            </w:r>
            <w:r w:rsidRPr="00451078">
              <w:rPr>
                <w:rFonts w:ascii="Tahoma" w:hAnsi="Tahoma" w:cs="Tahoma"/>
                <w:sz w:val="18"/>
                <w:szCs w:val="18"/>
                <w:lang w:val="it-IT"/>
              </w:rPr>
              <w:t>impegno continuo 24x7</w:t>
            </w:r>
            <w:r w:rsidRPr="00451078">
              <w:rPr>
                <w:rFonts w:ascii="Tahoma" w:hAnsi="Tahoma" w:cs="Tahoma"/>
                <w:sz w:val="18"/>
                <w:szCs w:val="18"/>
                <w:vertAlign w:val="superscript"/>
                <w:lang w:val="it-IT"/>
              </w:rPr>
              <w:t>2</w:t>
            </w:r>
          </w:p>
          <w:p w:rsidR="00023FE7" w:rsidRPr="00451078" w:rsidRDefault="00023FE7" w:rsidP="0027028A">
            <w:pPr>
              <w:pStyle w:val="AppendixBodyText"/>
              <w:numPr>
                <w:ilvl w:val="0"/>
                <w:numId w:val="2"/>
              </w:numPr>
              <w:tabs>
                <w:tab w:val="clear" w:pos="1440"/>
              </w:tabs>
              <w:ind w:left="432"/>
              <w:rPr>
                <w:lang w:val="it-IT"/>
              </w:rPr>
            </w:pPr>
            <w:r w:rsidRPr="00451078">
              <w:rPr>
                <w:rFonts w:ascii="Tahoma" w:hAnsi="Tahoma" w:cs="Tahoma"/>
                <w:sz w:val="18"/>
                <w:szCs w:val="18"/>
                <w:lang w:val="it-IT"/>
              </w:rPr>
              <w:t>Accesso e risposte rapide dall</w:t>
            </w:r>
            <w:r w:rsidR="004525CA">
              <w:rPr>
                <w:rFonts w:ascii="Tahoma" w:hAnsi="Tahoma" w:cs="Tahoma"/>
                <w:sz w:val="18"/>
                <w:szCs w:val="18"/>
                <w:lang w:val="it-IT"/>
              </w:rPr>
              <w:t>’</w:t>
            </w:r>
            <w:r w:rsidRPr="00451078">
              <w:rPr>
                <w:rFonts w:ascii="Tahoma" w:hAnsi="Tahoma" w:cs="Tahoma"/>
                <w:sz w:val="18"/>
                <w:szCs w:val="18"/>
                <w:lang w:val="it-IT"/>
              </w:rPr>
              <w:t>autorità di controllo delle modifiche</w:t>
            </w:r>
          </w:p>
          <w:p w:rsidR="00023FE7" w:rsidRPr="003410C7" w:rsidRDefault="00023FE7" w:rsidP="00660D5F">
            <w:pPr>
              <w:pStyle w:val="AppendixBodyText"/>
              <w:numPr>
                <w:ilvl w:val="0"/>
                <w:numId w:val="2"/>
              </w:numPr>
              <w:tabs>
                <w:tab w:val="clear" w:pos="1440"/>
              </w:tabs>
              <w:ind w:left="432"/>
              <w:rPr>
                <w:rFonts w:ascii="Tahoma" w:hAnsi="Tahoma" w:cs="Tahoma"/>
                <w:sz w:val="18"/>
                <w:szCs w:val="18"/>
              </w:rPr>
            </w:pPr>
            <w:r w:rsidRPr="003410C7">
              <w:rPr>
                <w:rFonts w:ascii="Tahoma" w:hAnsi="Tahoma" w:cs="Tahoma"/>
                <w:sz w:val="18"/>
                <w:szCs w:val="18"/>
              </w:rPr>
              <w:t>Comunicazione della</w:t>
            </w:r>
            <w:r w:rsidR="00660D5F">
              <w:rPr>
                <w:rFonts w:ascii="Tahoma" w:hAnsi="Tahoma" w:cs="Tahoma"/>
                <w:sz w:val="18"/>
                <w:szCs w:val="18"/>
              </w:rPr>
              <w:t> </w:t>
            </w:r>
            <w:r w:rsidRPr="003410C7">
              <w:rPr>
                <w:rFonts w:ascii="Tahoma" w:hAnsi="Tahoma" w:cs="Tahoma"/>
                <w:sz w:val="18"/>
                <w:szCs w:val="18"/>
              </w:rPr>
              <w:t>direzione</w:t>
            </w:r>
          </w:p>
        </w:tc>
      </w:tr>
      <w:tr w:rsidR="00023FE7" w:rsidRPr="00DC1102" w:rsidTr="00E44188">
        <w:tc>
          <w:tcPr>
            <w:tcW w:w="1350" w:type="dxa"/>
            <w:tcBorders>
              <w:top w:val="nil"/>
              <w:left w:val="single" w:sz="8" w:space="0" w:color="auto"/>
              <w:bottom w:val="single" w:sz="8" w:space="0" w:color="auto"/>
              <w:right w:val="single" w:sz="8" w:space="0" w:color="auto"/>
            </w:tcBorders>
            <w:tcMar>
              <w:top w:w="0" w:type="dxa"/>
              <w:left w:w="108" w:type="dxa"/>
              <w:bottom w:w="0" w:type="dxa"/>
              <w:right w:w="108" w:type="dxa"/>
            </w:tcMar>
          </w:tcPr>
          <w:p w:rsidR="00023FE7" w:rsidRPr="003410C7" w:rsidRDefault="00023FE7">
            <w:pPr>
              <w:pStyle w:val="AppendixBodyText"/>
              <w:rPr>
                <w:rFonts w:ascii="Tahoma" w:hAnsi="Tahoma" w:cs="Tahoma"/>
                <w:sz w:val="18"/>
                <w:szCs w:val="18"/>
              </w:rPr>
            </w:pPr>
            <w:r w:rsidRPr="003410C7">
              <w:rPr>
                <w:rFonts w:ascii="Tahoma" w:hAnsi="Tahoma" w:cs="Tahoma"/>
                <w:sz w:val="18"/>
                <w:szCs w:val="18"/>
              </w:rPr>
              <w:lastRenderedPageBreak/>
              <w:t xml:space="preserve">B Formulazione telefonica </w:t>
            </w:r>
          </w:p>
        </w:tc>
        <w:tc>
          <w:tcPr>
            <w:tcW w:w="2636" w:type="dxa"/>
            <w:tcBorders>
              <w:top w:val="nil"/>
              <w:left w:val="nil"/>
              <w:bottom w:val="single" w:sz="8" w:space="0" w:color="auto"/>
              <w:right w:val="single" w:sz="8" w:space="0" w:color="auto"/>
            </w:tcBorders>
            <w:tcMar>
              <w:top w:w="0" w:type="dxa"/>
              <w:left w:w="108" w:type="dxa"/>
              <w:bottom w:w="0" w:type="dxa"/>
              <w:right w:w="108" w:type="dxa"/>
            </w:tcMar>
          </w:tcPr>
          <w:p w:rsidR="00023FE7" w:rsidRPr="003410C7" w:rsidRDefault="00023FE7" w:rsidP="0027028A">
            <w:pPr>
              <w:pStyle w:val="AppendixBodyText"/>
              <w:numPr>
                <w:ilvl w:val="0"/>
                <w:numId w:val="2"/>
              </w:numPr>
              <w:tabs>
                <w:tab w:val="clear" w:pos="1440"/>
                <w:tab w:val="num" w:pos="612"/>
              </w:tabs>
              <w:ind w:left="612"/>
            </w:pPr>
            <w:r w:rsidRPr="003410C7">
              <w:rPr>
                <w:rFonts w:ascii="Tahoma" w:hAnsi="Tahoma" w:cs="Tahoma"/>
                <w:sz w:val="18"/>
                <w:szCs w:val="18"/>
              </w:rPr>
              <w:t xml:space="preserve">Impatto commerciale moderato: </w:t>
            </w:r>
          </w:p>
          <w:p w:rsidR="00023FE7" w:rsidRPr="00451078" w:rsidRDefault="00023FE7" w:rsidP="0027028A">
            <w:pPr>
              <w:pStyle w:val="AppendixBodyText"/>
              <w:numPr>
                <w:ilvl w:val="0"/>
                <w:numId w:val="2"/>
              </w:numPr>
              <w:tabs>
                <w:tab w:val="clear" w:pos="1440"/>
                <w:tab w:val="num" w:pos="612"/>
              </w:tabs>
              <w:ind w:left="612"/>
              <w:rPr>
                <w:rFonts w:ascii="Tahoma" w:hAnsi="Tahoma" w:cs="Tahoma"/>
                <w:sz w:val="18"/>
                <w:szCs w:val="18"/>
                <w:lang w:val="it-IT"/>
              </w:rPr>
            </w:pPr>
            <w:r w:rsidRPr="00451078">
              <w:rPr>
                <w:rFonts w:ascii="Tahoma" w:hAnsi="Tahoma" w:cs="Tahoma"/>
                <w:sz w:val="18"/>
                <w:szCs w:val="18"/>
                <w:lang w:val="it-IT"/>
              </w:rPr>
              <w:t>Perdita o degradazione moderata dei servizi della società e possibilità di continuare il lavoro in modo meno efficiente.</w:t>
            </w:r>
          </w:p>
        </w:tc>
        <w:tc>
          <w:tcPr>
            <w:tcW w:w="2742" w:type="dxa"/>
            <w:tcBorders>
              <w:top w:val="nil"/>
              <w:left w:val="nil"/>
              <w:bottom w:val="single" w:sz="8" w:space="0" w:color="auto"/>
              <w:right w:val="single" w:sz="8" w:space="0" w:color="auto"/>
            </w:tcBorders>
            <w:tcMar>
              <w:top w:w="0" w:type="dxa"/>
              <w:left w:w="108" w:type="dxa"/>
              <w:bottom w:w="0" w:type="dxa"/>
              <w:right w:w="108" w:type="dxa"/>
            </w:tcMar>
          </w:tcPr>
          <w:p w:rsidR="00023FE7" w:rsidRPr="00451078" w:rsidRDefault="00023FE7" w:rsidP="0027028A">
            <w:pPr>
              <w:pStyle w:val="AppendixBodyText"/>
              <w:numPr>
                <w:ilvl w:val="0"/>
                <w:numId w:val="2"/>
              </w:numPr>
              <w:tabs>
                <w:tab w:val="num" w:pos="522"/>
              </w:tabs>
              <w:ind w:left="522"/>
              <w:rPr>
                <w:lang w:val="it-IT"/>
              </w:rPr>
            </w:pPr>
            <w:r w:rsidRPr="00451078">
              <w:rPr>
                <w:rFonts w:ascii="Tahoma" w:hAnsi="Tahoma" w:cs="Tahoma"/>
                <w:sz w:val="18"/>
                <w:szCs w:val="18"/>
                <w:lang w:val="it-IT"/>
              </w:rPr>
              <w:t>Risposta alla prima chiamata entro 4 ore lavorative, in base all</w:t>
            </w:r>
            <w:r w:rsidR="004525CA">
              <w:rPr>
                <w:rFonts w:ascii="Tahoma" w:hAnsi="Tahoma" w:cs="Tahoma"/>
                <w:sz w:val="18"/>
                <w:szCs w:val="18"/>
                <w:lang w:val="it-IT"/>
              </w:rPr>
              <w:t>’</w:t>
            </w:r>
            <w:r w:rsidRPr="00451078">
              <w:rPr>
                <w:rFonts w:ascii="Tahoma" w:hAnsi="Tahoma" w:cs="Tahoma"/>
                <w:sz w:val="18"/>
                <w:szCs w:val="18"/>
                <w:lang w:val="it-IT"/>
              </w:rPr>
              <w:t>offerta di supporto</w:t>
            </w:r>
          </w:p>
          <w:p w:rsidR="00023FE7" w:rsidRPr="00451078" w:rsidRDefault="00023FE7" w:rsidP="0027028A">
            <w:pPr>
              <w:pStyle w:val="AppendixBodyText"/>
              <w:numPr>
                <w:ilvl w:val="0"/>
                <w:numId w:val="2"/>
              </w:numPr>
              <w:tabs>
                <w:tab w:val="num" w:pos="522"/>
              </w:tabs>
              <w:ind w:left="522"/>
              <w:rPr>
                <w:lang w:val="it-IT"/>
              </w:rPr>
            </w:pPr>
            <w:r w:rsidRPr="00451078">
              <w:rPr>
                <w:rFonts w:ascii="Tahoma" w:hAnsi="Tahoma" w:cs="Tahoma"/>
                <w:sz w:val="18"/>
                <w:szCs w:val="18"/>
                <w:lang w:val="it-IT"/>
              </w:rPr>
              <w:t>Impegno solo durante le</w:t>
            </w:r>
            <w:r w:rsidR="00E44188" w:rsidRPr="00451078">
              <w:rPr>
                <w:rFonts w:ascii="Tahoma" w:hAnsi="Tahoma" w:cs="Tahoma"/>
                <w:sz w:val="18"/>
                <w:szCs w:val="18"/>
                <w:lang w:val="it-IT"/>
              </w:rPr>
              <w:t> </w:t>
            </w:r>
            <w:r w:rsidRPr="00451078">
              <w:rPr>
                <w:rFonts w:ascii="Tahoma" w:hAnsi="Tahoma" w:cs="Tahoma"/>
                <w:bCs/>
                <w:sz w:val="18"/>
                <w:szCs w:val="18"/>
                <w:lang w:val="it-IT"/>
              </w:rPr>
              <w:t>Ore</w:t>
            </w:r>
            <w:r w:rsidRPr="00451078">
              <w:rPr>
                <w:rFonts w:ascii="Tahoma" w:hAnsi="Tahoma" w:cs="Tahoma"/>
                <w:sz w:val="18"/>
                <w:szCs w:val="18"/>
                <w:vertAlign w:val="superscript"/>
                <w:lang w:val="it-IT"/>
              </w:rPr>
              <w:t>1</w:t>
            </w:r>
            <w:r w:rsidRPr="00451078">
              <w:rPr>
                <w:rFonts w:ascii="Tahoma" w:hAnsi="Tahoma" w:cs="Tahoma"/>
                <w:bCs/>
                <w:sz w:val="18"/>
                <w:szCs w:val="18"/>
                <w:lang w:val="it-IT"/>
              </w:rPr>
              <w:t xml:space="preserve"> Lavorative</w:t>
            </w:r>
          </w:p>
          <w:p w:rsidR="00023FE7" w:rsidRPr="00451078" w:rsidRDefault="00023FE7">
            <w:pPr>
              <w:pStyle w:val="AppendixBodyText"/>
              <w:tabs>
                <w:tab w:val="num" w:pos="522"/>
              </w:tabs>
              <w:ind w:left="522" w:hanging="360"/>
              <w:rPr>
                <w:rFonts w:ascii="Tahoma" w:hAnsi="Tahoma" w:cs="Tahoma"/>
                <w:sz w:val="18"/>
                <w:szCs w:val="18"/>
                <w:lang w:val="it-IT"/>
              </w:rPr>
            </w:pPr>
          </w:p>
        </w:tc>
        <w:tc>
          <w:tcPr>
            <w:tcW w:w="2812" w:type="dxa"/>
            <w:tcBorders>
              <w:top w:val="nil"/>
              <w:left w:val="nil"/>
              <w:bottom w:val="single" w:sz="8" w:space="0" w:color="auto"/>
              <w:right w:val="single" w:sz="8" w:space="0" w:color="auto"/>
            </w:tcBorders>
            <w:tcMar>
              <w:top w:w="0" w:type="dxa"/>
              <w:left w:w="108" w:type="dxa"/>
              <w:bottom w:w="0" w:type="dxa"/>
              <w:right w:w="108" w:type="dxa"/>
            </w:tcMar>
          </w:tcPr>
          <w:p w:rsidR="00023FE7" w:rsidRPr="00451078" w:rsidRDefault="00023FE7" w:rsidP="0027028A">
            <w:pPr>
              <w:pStyle w:val="AppendixBodyText"/>
              <w:numPr>
                <w:ilvl w:val="0"/>
                <w:numId w:val="2"/>
              </w:numPr>
              <w:tabs>
                <w:tab w:val="clear" w:pos="1440"/>
                <w:tab w:val="num" w:pos="432"/>
              </w:tabs>
              <w:ind w:left="432" w:hanging="270"/>
              <w:rPr>
                <w:lang w:val="it-IT"/>
              </w:rPr>
            </w:pPr>
            <w:r w:rsidRPr="00451078">
              <w:rPr>
                <w:rFonts w:ascii="Tahoma" w:hAnsi="Tahoma" w:cs="Tahoma"/>
                <w:sz w:val="18"/>
                <w:szCs w:val="18"/>
                <w:lang w:val="it-IT"/>
              </w:rPr>
              <w:t>Allocazione di risorse appropriate per sostenere l</w:t>
            </w:r>
            <w:r w:rsidR="004525CA">
              <w:rPr>
                <w:rFonts w:ascii="Tahoma" w:hAnsi="Tahoma" w:cs="Tahoma"/>
                <w:sz w:val="18"/>
                <w:szCs w:val="18"/>
                <w:lang w:val="it-IT"/>
              </w:rPr>
              <w:t>’</w:t>
            </w:r>
            <w:r w:rsidRPr="00451078">
              <w:rPr>
                <w:rFonts w:ascii="Tahoma" w:hAnsi="Tahoma" w:cs="Tahoma"/>
                <w:sz w:val="18"/>
                <w:szCs w:val="18"/>
                <w:lang w:val="it-IT"/>
              </w:rPr>
              <w:t>impegno continuo durante le</w:t>
            </w:r>
            <w:r w:rsidRPr="00451078">
              <w:rPr>
                <w:rFonts w:ascii="Tahoma" w:hAnsi="Tahoma" w:cs="Tahoma"/>
                <w:sz w:val="18"/>
                <w:szCs w:val="18"/>
                <w:vertAlign w:val="superscript"/>
                <w:lang w:val="it-IT"/>
              </w:rPr>
              <w:t xml:space="preserve"> </w:t>
            </w:r>
            <w:r w:rsidRPr="00451078">
              <w:rPr>
                <w:rFonts w:ascii="Tahoma" w:hAnsi="Tahoma" w:cs="Tahoma"/>
                <w:sz w:val="18"/>
                <w:szCs w:val="18"/>
                <w:lang w:val="it-IT"/>
              </w:rPr>
              <w:t>Ore Lavorative</w:t>
            </w:r>
          </w:p>
          <w:p w:rsidR="00023FE7" w:rsidRPr="00451078" w:rsidRDefault="00023FE7" w:rsidP="0027028A">
            <w:pPr>
              <w:pStyle w:val="AppendixBodyText"/>
              <w:numPr>
                <w:ilvl w:val="0"/>
                <w:numId w:val="2"/>
              </w:numPr>
              <w:tabs>
                <w:tab w:val="clear" w:pos="1440"/>
                <w:tab w:val="num" w:pos="432"/>
              </w:tabs>
              <w:ind w:left="432" w:hanging="270"/>
              <w:rPr>
                <w:rFonts w:ascii="Tahoma" w:hAnsi="Tahoma" w:cs="Tahoma"/>
                <w:sz w:val="18"/>
                <w:szCs w:val="18"/>
                <w:lang w:val="it-IT"/>
              </w:rPr>
            </w:pPr>
            <w:r w:rsidRPr="00451078">
              <w:rPr>
                <w:rFonts w:ascii="Tahoma" w:hAnsi="Tahoma" w:cs="Tahoma"/>
                <w:sz w:val="18"/>
                <w:szCs w:val="18"/>
                <w:lang w:val="it-IT"/>
              </w:rPr>
              <w:t>Accesso e risposta dall</w:t>
            </w:r>
            <w:r w:rsidR="004525CA">
              <w:rPr>
                <w:rFonts w:ascii="Tahoma" w:hAnsi="Tahoma" w:cs="Tahoma"/>
                <w:sz w:val="18"/>
                <w:szCs w:val="18"/>
                <w:lang w:val="it-IT"/>
              </w:rPr>
              <w:t>’</w:t>
            </w:r>
            <w:r w:rsidRPr="00451078">
              <w:rPr>
                <w:rFonts w:ascii="Tahoma" w:hAnsi="Tahoma" w:cs="Tahoma"/>
                <w:sz w:val="18"/>
                <w:szCs w:val="18"/>
                <w:lang w:val="it-IT"/>
              </w:rPr>
              <w:t>autorità preposta al controllo delle modifiche entro 4 Ore Lavorative</w:t>
            </w:r>
          </w:p>
        </w:tc>
      </w:tr>
      <w:tr w:rsidR="00023FE7" w:rsidRPr="003410C7" w:rsidTr="00E44188">
        <w:tc>
          <w:tcPr>
            <w:tcW w:w="1350" w:type="dxa"/>
            <w:tcBorders>
              <w:top w:val="nil"/>
              <w:left w:val="single" w:sz="8" w:space="0" w:color="auto"/>
              <w:bottom w:val="single" w:sz="8" w:space="0" w:color="auto"/>
              <w:right w:val="single" w:sz="8" w:space="0" w:color="auto"/>
            </w:tcBorders>
            <w:tcMar>
              <w:top w:w="0" w:type="dxa"/>
              <w:left w:w="108" w:type="dxa"/>
              <w:bottom w:w="0" w:type="dxa"/>
              <w:right w:w="108" w:type="dxa"/>
            </w:tcMar>
          </w:tcPr>
          <w:p w:rsidR="00023FE7" w:rsidRPr="00451078" w:rsidRDefault="00023FE7" w:rsidP="00660D5F">
            <w:pPr>
              <w:pStyle w:val="AppendixBodyText"/>
              <w:rPr>
                <w:rFonts w:ascii="Tahoma" w:hAnsi="Tahoma" w:cs="Tahoma"/>
                <w:sz w:val="18"/>
                <w:szCs w:val="18"/>
                <w:lang w:val="it-IT"/>
              </w:rPr>
            </w:pPr>
            <w:r w:rsidRPr="00451078">
              <w:rPr>
                <w:rFonts w:ascii="Tahoma" w:hAnsi="Tahoma" w:cs="Tahoma"/>
                <w:sz w:val="18"/>
                <w:szCs w:val="18"/>
                <w:lang w:val="it-IT"/>
              </w:rPr>
              <w:t>C Formulazione telefonica o</w:t>
            </w:r>
            <w:r w:rsidR="00660D5F" w:rsidRPr="00451078">
              <w:rPr>
                <w:rFonts w:ascii="Tahoma" w:hAnsi="Tahoma" w:cs="Tahoma"/>
                <w:sz w:val="18"/>
                <w:szCs w:val="18"/>
                <w:lang w:val="it-IT"/>
              </w:rPr>
              <w:t> </w:t>
            </w:r>
            <w:r w:rsidRPr="00451078">
              <w:rPr>
                <w:rFonts w:ascii="Tahoma" w:hAnsi="Tahoma" w:cs="Tahoma"/>
                <w:sz w:val="18"/>
                <w:szCs w:val="18"/>
                <w:lang w:val="it-IT"/>
              </w:rPr>
              <w:t>invio tramite Web</w:t>
            </w:r>
          </w:p>
        </w:tc>
        <w:tc>
          <w:tcPr>
            <w:tcW w:w="2636" w:type="dxa"/>
            <w:tcBorders>
              <w:top w:val="nil"/>
              <w:left w:val="nil"/>
              <w:bottom w:val="single" w:sz="8" w:space="0" w:color="auto"/>
              <w:right w:val="single" w:sz="8" w:space="0" w:color="auto"/>
            </w:tcBorders>
            <w:tcMar>
              <w:top w:w="0" w:type="dxa"/>
              <w:left w:w="108" w:type="dxa"/>
              <w:bottom w:w="0" w:type="dxa"/>
              <w:right w:w="108" w:type="dxa"/>
            </w:tcMar>
          </w:tcPr>
          <w:p w:rsidR="00023FE7" w:rsidRPr="003410C7" w:rsidRDefault="00023FE7" w:rsidP="0027028A">
            <w:pPr>
              <w:pStyle w:val="AppendixBodyText"/>
              <w:numPr>
                <w:ilvl w:val="0"/>
                <w:numId w:val="2"/>
              </w:numPr>
              <w:tabs>
                <w:tab w:val="clear" w:pos="1440"/>
                <w:tab w:val="num" w:pos="612"/>
              </w:tabs>
              <w:ind w:left="612"/>
            </w:pPr>
            <w:r w:rsidRPr="003410C7">
              <w:rPr>
                <w:rFonts w:ascii="Tahoma" w:hAnsi="Tahoma" w:cs="Tahoma"/>
                <w:sz w:val="18"/>
                <w:szCs w:val="18"/>
              </w:rPr>
              <w:t xml:space="preserve">Impatto commerciale minimo </w:t>
            </w:r>
          </w:p>
          <w:p w:rsidR="00023FE7" w:rsidRPr="00451078" w:rsidRDefault="00023FE7" w:rsidP="00660D5F">
            <w:pPr>
              <w:pStyle w:val="AppendixBodyText"/>
              <w:numPr>
                <w:ilvl w:val="0"/>
                <w:numId w:val="2"/>
              </w:numPr>
              <w:tabs>
                <w:tab w:val="clear" w:pos="1440"/>
                <w:tab w:val="num" w:pos="612"/>
              </w:tabs>
              <w:ind w:left="612"/>
              <w:rPr>
                <w:rFonts w:ascii="Tahoma" w:hAnsi="Tahoma" w:cs="Tahoma"/>
                <w:sz w:val="18"/>
                <w:szCs w:val="18"/>
                <w:lang w:val="it-IT"/>
              </w:rPr>
            </w:pPr>
            <w:r w:rsidRPr="00451078">
              <w:rPr>
                <w:rFonts w:ascii="Tahoma" w:hAnsi="Tahoma" w:cs="Tahoma"/>
                <w:sz w:val="18"/>
                <w:szCs w:val="18"/>
                <w:lang w:val="it-IT"/>
              </w:rPr>
              <w:t>Funzionamento della</w:t>
            </w:r>
            <w:r w:rsidR="00660D5F" w:rsidRPr="00451078">
              <w:rPr>
                <w:rFonts w:ascii="Tahoma" w:hAnsi="Tahoma" w:cs="Tahoma"/>
                <w:sz w:val="18"/>
                <w:szCs w:val="18"/>
                <w:lang w:val="it-IT"/>
              </w:rPr>
              <w:t> </w:t>
            </w:r>
            <w:r w:rsidRPr="00451078">
              <w:rPr>
                <w:rFonts w:ascii="Tahoma" w:hAnsi="Tahoma" w:cs="Tahoma"/>
                <w:sz w:val="18"/>
                <w:szCs w:val="18"/>
                <w:lang w:val="it-IT"/>
              </w:rPr>
              <w:t>società sostanzialmente nella norma, in alcuni casi con qualche minimo impedimento dei servizi.</w:t>
            </w:r>
          </w:p>
        </w:tc>
        <w:tc>
          <w:tcPr>
            <w:tcW w:w="2742" w:type="dxa"/>
            <w:tcBorders>
              <w:top w:val="nil"/>
              <w:left w:val="nil"/>
              <w:bottom w:val="single" w:sz="8" w:space="0" w:color="auto"/>
              <w:right w:val="single" w:sz="8" w:space="0" w:color="auto"/>
            </w:tcBorders>
            <w:tcMar>
              <w:top w:w="0" w:type="dxa"/>
              <w:left w:w="108" w:type="dxa"/>
              <w:bottom w:w="0" w:type="dxa"/>
              <w:right w:w="108" w:type="dxa"/>
            </w:tcMar>
          </w:tcPr>
          <w:p w:rsidR="00023FE7" w:rsidRPr="00451078" w:rsidRDefault="00023FE7" w:rsidP="0027028A">
            <w:pPr>
              <w:pStyle w:val="AppendixBodyText"/>
              <w:numPr>
                <w:ilvl w:val="0"/>
                <w:numId w:val="2"/>
              </w:numPr>
              <w:tabs>
                <w:tab w:val="num" w:pos="522"/>
              </w:tabs>
              <w:ind w:left="522"/>
              <w:rPr>
                <w:lang w:val="it-IT"/>
              </w:rPr>
            </w:pPr>
            <w:r w:rsidRPr="00451078">
              <w:rPr>
                <w:rFonts w:ascii="Tahoma" w:hAnsi="Tahoma" w:cs="Tahoma"/>
                <w:sz w:val="18"/>
                <w:szCs w:val="18"/>
                <w:lang w:val="it-IT"/>
              </w:rPr>
              <w:t>Risposta alla prima chiamata entro 1 giorno lavorativo, in base all</w:t>
            </w:r>
            <w:r w:rsidR="004525CA">
              <w:rPr>
                <w:rFonts w:ascii="Tahoma" w:hAnsi="Tahoma" w:cs="Tahoma"/>
                <w:sz w:val="18"/>
                <w:szCs w:val="18"/>
                <w:lang w:val="it-IT"/>
              </w:rPr>
              <w:t>’</w:t>
            </w:r>
            <w:r w:rsidRPr="00451078">
              <w:rPr>
                <w:rFonts w:ascii="Tahoma" w:hAnsi="Tahoma" w:cs="Tahoma"/>
                <w:sz w:val="18"/>
                <w:szCs w:val="18"/>
                <w:lang w:val="it-IT"/>
              </w:rPr>
              <w:t>offerta di supporto</w:t>
            </w:r>
          </w:p>
          <w:p w:rsidR="00023FE7" w:rsidRPr="00451078" w:rsidRDefault="00023FE7" w:rsidP="0027028A">
            <w:pPr>
              <w:pStyle w:val="AppendixBodyText"/>
              <w:numPr>
                <w:ilvl w:val="0"/>
                <w:numId w:val="2"/>
              </w:numPr>
              <w:tabs>
                <w:tab w:val="num" w:pos="522"/>
              </w:tabs>
              <w:ind w:left="522"/>
              <w:rPr>
                <w:lang w:val="it-IT"/>
              </w:rPr>
            </w:pPr>
            <w:r w:rsidRPr="00451078">
              <w:rPr>
                <w:rFonts w:ascii="Tahoma" w:hAnsi="Tahoma" w:cs="Tahoma"/>
                <w:sz w:val="18"/>
                <w:szCs w:val="18"/>
                <w:lang w:val="it-IT"/>
              </w:rPr>
              <w:t>Impegno solo durante le</w:t>
            </w:r>
            <w:r w:rsidR="00660D5F" w:rsidRPr="00451078">
              <w:rPr>
                <w:rFonts w:ascii="Tahoma" w:hAnsi="Tahoma" w:cs="Tahoma"/>
                <w:sz w:val="18"/>
                <w:szCs w:val="18"/>
                <w:lang w:val="it-IT"/>
              </w:rPr>
              <w:t> </w:t>
            </w:r>
            <w:r w:rsidRPr="00451078">
              <w:rPr>
                <w:rFonts w:ascii="Tahoma" w:hAnsi="Tahoma" w:cs="Tahoma"/>
                <w:bCs/>
                <w:sz w:val="18"/>
                <w:szCs w:val="18"/>
                <w:lang w:val="it-IT"/>
              </w:rPr>
              <w:t>Ore Lavorative</w:t>
            </w:r>
          </w:p>
          <w:p w:rsidR="00023FE7" w:rsidRPr="00451078" w:rsidRDefault="00023FE7">
            <w:pPr>
              <w:pStyle w:val="AppendixBodyText"/>
              <w:tabs>
                <w:tab w:val="num" w:pos="522"/>
              </w:tabs>
              <w:ind w:left="522" w:hanging="360"/>
              <w:rPr>
                <w:rFonts w:ascii="Tahoma" w:hAnsi="Tahoma" w:cs="Tahoma"/>
                <w:sz w:val="18"/>
                <w:szCs w:val="18"/>
                <w:lang w:val="it-IT"/>
              </w:rPr>
            </w:pPr>
          </w:p>
        </w:tc>
        <w:tc>
          <w:tcPr>
            <w:tcW w:w="2812" w:type="dxa"/>
            <w:tcBorders>
              <w:top w:val="nil"/>
              <w:left w:val="nil"/>
              <w:bottom w:val="single" w:sz="8" w:space="0" w:color="auto"/>
              <w:right w:val="single" w:sz="8" w:space="0" w:color="auto"/>
            </w:tcBorders>
            <w:tcMar>
              <w:top w:w="0" w:type="dxa"/>
              <w:left w:w="108" w:type="dxa"/>
              <w:bottom w:w="0" w:type="dxa"/>
              <w:right w:w="108" w:type="dxa"/>
            </w:tcMar>
          </w:tcPr>
          <w:p w:rsidR="00023FE7" w:rsidRPr="00451078" w:rsidRDefault="00023FE7" w:rsidP="0027028A">
            <w:pPr>
              <w:pStyle w:val="AppendixBodyText"/>
              <w:numPr>
                <w:ilvl w:val="0"/>
                <w:numId w:val="2"/>
              </w:numPr>
              <w:tabs>
                <w:tab w:val="clear" w:pos="1440"/>
                <w:tab w:val="num" w:pos="432"/>
              </w:tabs>
              <w:ind w:left="432"/>
              <w:rPr>
                <w:lang w:val="it-IT"/>
              </w:rPr>
            </w:pPr>
            <w:r w:rsidRPr="00451078">
              <w:rPr>
                <w:rFonts w:ascii="Tahoma" w:hAnsi="Tahoma" w:cs="Tahoma"/>
                <w:sz w:val="18"/>
                <w:szCs w:val="18"/>
                <w:lang w:val="it-IT"/>
              </w:rPr>
              <w:t>Informazioni accurate da parte di chi segue il caso</w:t>
            </w:r>
          </w:p>
          <w:p w:rsidR="00023FE7" w:rsidRPr="003410C7" w:rsidRDefault="00023FE7" w:rsidP="0027028A">
            <w:pPr>
              <w:pStyle w:val="AppendixBodyText"/>
              <w:numPr>
                <w:ilvl w:val="0"/>
                <w:numId w:val="2"/>
              </w:numPr>
              <w:tabs>
                <w:tab w:val="clear" w:pos="1440"/>
                <w:tab w:val="num" w:pos="432"/>
              </w:tabs>
              <w:ind w:left="432"/>
              <w:rPr>
                <w:rFonts w:ascii="Tahoma" w:hAnsi="Tahoma" w:cs="Tahoma"/>
                <w:sz w:val="18"/>
                <w:szCs w:val="18"/>
              </w:rPr>
            </w:pPr>
            <w:r w:rsidRPr="003410C7">
              <w:rPr>
                <w:rFonts w:ascii="Tahoma" w:hAnsi="Tahoma" w:cs="Tahoma"/>
                <w:sz w:val="18"/>
                <w:szCs w:val="18"/>
              </w:rPr>
              <w:t>Risposta entro 1 giorno lavorativo.</w:t>
            </w:r>
          </w:p>
        </w:tc>
      </w:tr>
    </w:tbl>
    <w:p w:rsidR="00023FE7" w:rsidRPr="00043728" w:rsidRDefault="00023FE7">
      <w:pPr>
        <w:pStyle w:val="AppendixBodyText"/>
        <w:ind w:left="90" w:right="2160"/>
        <w:rPr>
          <w:sz w:val="16"/>
          <w:szCs w:val="16"/>
          <w:lang w:val="it-IT"/>
        </w:rPr>
      </w:pPr>
      <w:r w:rsidRPr="00906259">
        <w:rPr>
          <w:rFonts w:ascii="Tahoma" w:hAnsi="Tahoma" w:cs="Tahoma"/>
          <w:i/>
          <w:sz w:val="16"/>
          <w:szCs w:val="16"/>
          <w:vertAlign w:val="superscript"/>
          <w:lang w:val="it-IT"/>
        </w:rPr>
        <w:t xml:space="preserve">1 </w:t>
      </w:r>
      <w:r w:rsidRPr="00043728">
        <w:rPr>
          <w:rFonts w:ascii="Tahoma" w:hAnsi="Tahoma" w:cs="Tahoma"/>
          <w:i/>
          <w:sz w:val="16"/>
          <w:szCs w:val="16"/>
          <w:lang w:val="it-IT"/>
        </w:rPr>
        <w:t>Contattare il rappresentante Microsoft per informazioni sulle ore lavorative locali.</w:t>
      </w:r>
    </w:p>
    <w:p w:rsidR="00023FE7" w:rsidRPr="00043728" w:rsidRDefault="00023FE7">
      <w:pPr>
        <w:pStyle w:val="AppendixBodyText"/>
        <w:ind w:left="90" w:right="2160"/>
        <w:rPr>
          <w:sz w:val="16"/>
          <w:szCs w:val="16"/>
          <w:lang w:val="it-IT"/>
        </w:rPr>
      </w:pPr>
      <w:r w:rsidRPr="00906259">
        <w:rPr>
          <w:rFonts w:ascii="Tahoma" w:hAnsi="Tahoma" w:cs="Tahoma"/>
          <w:i/>
          <w:sz w:val="16"/>
          <w:szCs w:val="16"/>
          <w:vertAlign w:val="superscript"/>
          <w:lang w:val="it-IT"/>
        </w:rPr>
        <w:t>2</w:t>
      </w:r>
      <w:r w:rsidRPr="00043728">
        <w:rPr>
          <w:rFonts w:ascii="Tahoma" w:hAnsi="Tahoma" w:cs="Tahoma"/>
          <w:i/>
          <w:sz w:val="16"/>
          <w:szCs w:val="16"/>
          <w:lang w:val="it-IT"/>
        </w:rPr>
        <w:t xml:space="preserve"> È possibile che Microsoft riduca il livello di gravità se la società non è in grado di fornire risorse o</w:t>
      </w:r>
      <w:r w:rsidR="00660D5F" w:rsidRPr="00043728">
        <w:rPr>
          <w:rFonts w:ascii="Tahoma" w:hAnsi="Tahoma" w:cs="Tahoma"/>
          <w:i/>
          <w:sz w:val="16"/>
          <w:szCs w:val="16"/>
          <w:lang w:val="it-IT"/>
        </w:rPr>
        <w:t> </w:t>
      </w:r>
      <w:r w:rsidRPr="00043728">
        <w:rPr>
          <w:rFonts w:ascii="Tahoma" w:hAnsi="Tahoma" w:cs="Tahoma"/>
          <w:i/>
          <w:sz w:val="16"/>
          <w:szCs w:val="16"/>
          <w:lang w:val="it-IT"/>
        </w:rPr>
        <w:t>risposte adeguate a supporto dell</w:t>
      </w:r>
      <w:r w:rsidR="004525CA">
        <w:rPr>
          <w:rFonts w:ascii="Tahoma" w:hAnsi="Tahoma" w:cs="Tahoma"/>
          <w:i/>
          <w:sz w:val="16"/>
          <w:szCs w:val="16"/>
          <w:lang w:val="it-IT"/>
        </w:rPr>
        <w:t>’</w:t>
      </w:r>
      <w:r w:rsidRPr="00043728">
        <w:rPr>
          <w:rFonts w:ascii="Tahoma" w:hAnsi="Tahoma" w:cs="Tahoma"/>
          <w:i/>
          <w:sz w:val="16"/>
          <w:szCs w:val="16"/>
          <w:lang w:val="it-IT"/>
        </w:rPr>
        <w:t>impegno di Microsoft volto a risolvere il problema.</w:t>
      </w:r>
    </w:p>
    <w:p w:rsidR="00023FE7" w:rsidRPr="00390E6D" w:rsidRDefault="00023FE7" w:rsidP="00F42FB8">
      <w:pPr>
        <w:pStyle w:val="AppendixBodyText"/>
        <w:spacing w:after="0"/>
        <w:ind w:right="2160"/>
        <w:rPr>
          <w:rFonts w:ascii="Tahoma" w:hAnsi="Tahoma" w:cs="Tahoma"/>
          <w:sz w:val="18"/>
          <w:szCs w:val="18"/>
          <w:lang w:val="it-IT"/>
        </w:rPr>
      </w:pPr>
    </w:p>
    <w:p w:rsidR="00023FE7" w:rsidRPr="00390E6D" w:rsidRDefault="00023FE7" w:rsidP="00F42FB8">
      <w:pPr>
        <w:pStyle w:val="AppendixBodyText"/>
        <w:spacing w:after="0"/>
        <w:rPr>
          <w:rFonts w:ascii="Tahoma" w:hAnsi="Tahoma" w:cs="Tahoma"/>
          <w:sz w:val="18"/>
          <w:szCs w:val="18"/>
          <w:lang w:val="it-IT"/>
        </w:rPr>
      </w:pPr>
      <w:r w:rsidRPr="00390E6D">
        <w:rPr>
          <w:rFonts w:ascii="Tahoma" w:hAnsi="Tahoma" w:cs="Tahoma"/>
          <w:bCs/>
          <w:sz w:val="18"/>
          <w:szCs w:val="18"/>
          <w:lang w:val="it-IT"/>
        </w:rPr>
        <w:t>È possibile che alle società sia chiesto di eseguire attività di individuazione e risoluzione dei problemi, in base a</w:t>
      </w:r>
      <w:r w:rsidR="00660D5F" w:rsidRPr="00390E6D">
        <w:rPr>
          <w:rFonts w:ascii="Tahoma" w:hAnsi="Tahoma" w:cs="Tahoma"/>
          <w:bCs/>
          <w:sz w:val="18"/>
          <w:szCs w:val="18"/>
          <w:lang w:val="it-IT"/>
        </w:rPr>
        <w:t> </w:t>
      </w:r>
      <w:r w:rsidRPr="00390E6D">
        <w:rPr>
          <w:rFonts w:ascii="Tahoma" w:hAnsi="Tahoma" w:cs="Tahoma"/>
          <w:bCs/>
          <w:sz w:val="18"/>
          <w:szCs w:val="18"/>
          <w:lang w:val="it-IT"/>
        </w:rPr>
        <w:t>quanto richiesto da Microsoft. Le attività di individuazione e risoluzione dei problemi possono includere attività quali</w:t>
      </w:r>
      <w:r w:rsidR="00660D5F" w:rsidRPr="00390E6D">
        <w:rPr>
          <w:rFonts w:ascii="Tahoma" w:hAnsi="Tahoma" w:cs="Tahoma"/>
          <w:bCs/>
          <w:sz w:val="18"/>
          <w:szCs w:val="18"/>
          <w:lang w:val="it-IT"/>
        </w:rPr>
        <w:t> </w:t>
      </w:r>
      <w:r w:rsidRPr="00390E6D">
        <w:rPr>
          <w:rFonts w:ascii="Tahoma" w:hAnsi="Tahoma" w:cs="Tahoma"/>
          <w:bCs/>
          <w:sz w:val="18"/>
          <w:szCs w:val="18"/>
          <w:lang w:val="it-IT"/>
        </w:rPr>
        <w:t>l</w:t>
      </w:r>
      <w:r w:rsidR="004525CA">
        <w:rPr>
          <w:rFonts w:ascii="Tahoma" w:hAnsi="Tahoma" w:cs="Tahoma"/>
          <w:bCs/>
          <w:sz w:val="18"/>
          <w:szCs w:val="18"/>
          <w:lang w:val="it-IT"/>
        </w:rPr>
        <w:t>’</w:t>
      </w:r>
      <w:r w:rsidRPr="00390E6D">
        <w:rPr>
          <w:rFonts w:ascii="Tahoma" w:hAnsi="Tahoma" w:cs="Tahoma"/>
          <w:bCs/>
          <w:sz w:val="18"/>
          <w:szCs w:val="18"/>
          <w:lang w:val="it-IT"/>
        </w:rPr>
        <w:t>esecuzione di procedure di network trace, l</w:t>
      </w:r>
      <w:r w:rsidR="004525CA">
        <w:rPr>
          <w:rFonts w:ascii="Tahoma" w:hAnsi="Tahoma" w:cs="Tahoma"/>
          <w:bCs/>
          <w:sz w:val="18"/>
          <w:szCs w:val="18"/>
          <w:lang w:val="it-IT"/>
        </w:rPr>
        <w:t>’</w:t>
      </w:r>
      <w:r w:rsidRPr="00390E6D">
        <w:rPr>
          <w:rFonts w:ascii="Tahoma" w:hAnsi="Tahoma" w:cs="Tahoma"/>
          <w:bCs/>
          <w:sz w:val="18"/>
          <w:szCs w:val="18"/>
          <w:lang w:val="it-IT"/>
        </w:rPr>
        <w:t>acquisizione di messaggi di errore, la raccolta di informazioni sulla</w:t>
      </w:r>
      <w:r w:rsidR="00660D5F" w:rsidRPr="00390E6D">
        <w:rPr>
          <w:rFonts w:ascii="Tahoma" w:hAnsi="Tahoma" w:cs="Tahoma"/>
          <w:bCs/>
          <w:sz w:val="18"/>
          <w:szCs w:val="18"/>
          <w:lang w:val="it-IT"/>
        </w:rPr>
        <w:t> </w:t>
      </w:r>
      <w:r w:rsidRPr="00390E6D">
        <w:rPr>
          <w:rFonts w:ascii="Tahoma" w:hAnsi="Tahoma" w:cs="Tahoma"/>
          <w:bCs/>
          <w:sz w:val="18"/>
          <w:szCs w:val="18"/>
          <w:lang w:val="it-IT"/>
        </w:rPr>
        <w:t>configurazione, la modifica della configurazione dei prodotti, l</w:t>
      </w:r>
      <w:r w:rsidR="004525CA">
        <w:rPr>
          <w:rFonts w:ascii="Tahoma" w:hAnsi="Tahoma" w:cs="Tahoma"/>
          <w:bCs/>
          <w:sz w:val="18"/>
          <w:szCs w:val="18"/>
          <w:lang w:val="it-IT"/>
        </w:rPr>
        <w:t>’</w:t>
      </w:r>
      <w:r w:rsidRPr="00390E6D">
        <w:rPr>
          <w:rFonts w:ascii="Tahoma" w:hAnsi="Tahoma" w:cs="Tahoma"/>
          <w:bCs/>
          <w:sz w:val="18"/>
          <w:szCs w:val="18"/>
          <w:lang w:val="it-IT"/>
        </w:rPr>
        <w:t>installazione di nuove versioni del software o</w:t>
      </w:r>
      <w:r w:rsidR="00660D5F" w:rsidRPr="00390E6D">
        <w:rPr>
          <w:rFonts w:ascii="Tahoma" w:hAnsi="Tahoma" w:cs="Tahoma"/>
          <w:bCs/>
          <w:sz w:val="18"/>
          <w:szCs w:val="18"/>
          <w:lang w:val="it-IT"/>
        </w:rPr>
        <w:t> </w:t>
      </w:r>
      <w:r w:rsidRPr="00390E6D">
        <w:rPr>
          <w:rFonts w:ascii="Tahoma" w:hAnsi="Tahoma" w:cs="Tahoma"/>
          <w:bCs/>
          <w:sz w:val="18"/>
          <w:szCs w:val="18"/>
          <w:lang w:val="it-IT"/>
        </w:rPr>
        <w:t xml:space="preserve">nuovi componenti oppure la modifica dei processi. </w:t>
      </w:r>
    </w:p>
    <w:p w:rsidR="00077CE5" w:rsidRPr="00390E6D" w:rsidRDefault="00077CE5" w:rsidP="00F42FB8">
      <w:pPr>
        <w:pStyle w:val="AppendixBodyText"/>
        <w:spacing w:after="0"/>
        <w:rPr>
          <w:rFonts w:ascii="Tahoma" w:hAnsi="Tahoma" w:cs="Tahoma"/>
          <w:sz w:val="18"/>
          <w:szCs w:val="18"/>
          <w:lang w:val="it-IT"/>
        </w:rPr>
      </w:pPr>
    </w:p>
    <w:p w:rsidR="00023FE7" w:rsidRPr="00390E6D" w:rsidRDefault="00023FE7" w:rsidP="00F42FB8">
      <w:pPr>
        <w:pStyle w:val="AppendixBodyText"/>
        <w:spacing w:after="0"/>
        <w:rPr>
          <w:rFonts w:ascii="Tahoma" w:hAnsi="Tahoma" w:cs="Tahoma"/>
          <w:sz w:val="18"/>
          <w:szCs w:val="18"/>
          <w:lang w:val="it-IT"/>
        </w:rPr>
      </w:pPr>
      <w:r w:rsidRPr="00390E6D">
        <w:rPr>
          <w:rFonts w:ascii="Tahoma" w:hAnsi="Tahoma" w:cs="Tahoma"/>
          <w:bCs/>
          <w:sz w:val="18"/>
          <w:szCs w:val="18"/>
          <w:lang w:val="it-IT"/>
        </w:rPr>
        <w:t>Le società sono responsabili dell</w:t>
      </w:r>
      <w:r w:rsidR="004525CA">
        <w:rPr>
          <w:rFonts w:ascii="Tahoma" w:hAnsi="Tahoma" w:cs="Tahoma"/>
          <w:bCs/>
          <w:sz w:val="18"/>
          <w:szCs w:val="18"/>
          <w:lang w:val="it-IT"/>
        </w:rPr>
        <w:t>’</w:t>
      </w:r>
      <w:r w:rsidRPr="00390E6D">
        <w:rPr>
          <w:rFonts w:ascii="Tahoma" w:hAnsi="Tahoma" w:cs="Tahoma"/>
          <w:bCs/>
          <w:sz w:val="18"/>
          <w:szCs w:val="18"/>
          <w:lang w:val="it-IT"/>
        </w:rPr>
        <w:t>implementazione delle procedure necessarie per salvaguardare l</w:t>
      </w:r>
      <w:r w:rsidR="004525CA">
        <w:rPr>
          <w:rFonts w:ascii="Tahoma" w:hAnsi="Tahoma" w:cs="Tahoma"/>
          <w:bCs/>
          <w:sz w:val="18"/>
          <w:szCs w:val="18"/>
          <w:lang w:val="it-IT"/>
        </w:rPr>
        <w:t>’</w:t>
      </w:r>
      <w:r w:rsidRPr="00390E6D">
        <w:rPr>
          <w:rFonts w:ascii="Tahoma" w:hAnsi="Tahoma" w:cs="Tahoma"/>
          <w:bCs/>
          <w:sz w:val="18"/>
          <w:szCs w:val="18"/>
          <w:lang w:val="it-IT"/>
        </w:rPr>
        <w:t>integrità e la protezione del software e dei dati di loro proprietà da accessi non autorizzati, nonché del ripristino di file perduti o</w:t>
      </w:r>
      <w:r w:rsidR="00660D5F" w:rsidRPr="00390E6D">
        <w:rPr>
          <w:rFonts w:ascii="Tahoma" w:hAnsi="Tahoma" w:cs="Tahoma"/>
          <w:bCs/>
          <w:sz w:val="18"/>
          <w:szCs w:val="18"/>
          <w:lang w:val="it-IT"/>
        </w:rPr>
        <w:t> </w:t>
      </w:r>
      <w:r w:rsidRPr="00390E6D">
        <w:rPr>
          <w:rFonts w:ascii="Tahoma" w:hAnsi="Tahoma" w:cs="Tahoma"/>
          <w:bCs/>
          <w:sz w:val="18"/>
          <w:szCs w:val="18"/>
          <w:lang w:val="it-IT"/>
        </w:rPr>
        <w:t>alterati in seguito a errori irreversibili.</w:t>
      </w:r>
    </w:p>
    <w:p w:rsidR="00077CE5" w:rsidRPr="00390E6D" w:rsidRDefault="00077CE5" w:rsidP="00F42FB8">
      <w:pPr>
        <w:pStyle w:val="AppendixBodyText"/>
        <w:spacing w:after="0"/>
        <w:rPr>
          <w:rFonts w:ascii="Tahoma" w:hAnsi="Tahoma" w:cs="Tahoma"/>
          <w:sz w:val="18"/>
          <w:szCs w:val="18"/>
          <w:lang w:val="it-IT"/>
        </w:rPr>
      </w:pPr>
    </w:p>
    <w:p w:rsidR="00023FE7" w:rsidRPr="00390E6D" w:rsidRDefault="00023FE7" w:rsidP="00F42FB8">
      <w:pPr>
        <w:pStyle w:val="AppendixBodyText"/>
        <w:spacing w:after="0"/>
        <w:rPr>
          <w:rFonts w:ascii="Tahoma" w:hAnsi="Tahoma" w:cs="Tahoma"/>
          <w:sz w:val="18"/>
          <w:szCs w:val="18"/>
          <w:lang w:val="it-IT"/>
        </w:rPr>
      </w:pPr>
      <w:r w:rsidRPr="00390E6D">
        <w:rPr>
          <w:rFonts w:ascii="Tahoma" w:hAnsi="Tahoma" w:cs="Tahoma"/>
          <w:bCs/>
          <w:sz w:val="18"/>
          <w:szCs w:val="18"/>
          <w:lang w:val="it-IT"/>
        </w:rPr>
        <w:t>Questo beneficio di supporto è legato all</w:t>
      </w:r>
      <w:r w:rsidR="004525CA">
        <w:rPr>
          <w:rFonts w:ascii="Tahoma" w:hAnsi="Tahoma" w:cs="Tahoma"/>
          <w:bCs/>
          <w:sz w:val="18"/>
          <w:szCs w:val="18"/>
          <w:lang w:val="it-IT"/>
        </w:rPr>
        <w:t>’</w:t>
      </w:r>
      <w:r w:rsidRPr="00390E6D">
        <w:rPr>
          <w:rFonts w:ascii="Tahoma" w:hAnsi="Tahoma" w:cs="Tahoma"/>
          <w:bCs/>
          <w:sz w:val="18"/>
          <w:szCs w:val="18"/>
          <w:lang w:val="it-IT"/>
        </w:rPr>
        <w:t>investimento SA, non alla versione. Le società possono acquistare la versione più recente per utilizzare una versione precedente con diritti di downgrade, ma sono idonee a beneficiare del supporto per tale prodotto soltanto se quest</w:t>
      </w:r>
      <w:r w:rsidR="004525CA">
        <w:rPr>
          <w:rFonts w:ascii="Tahoma" w:hAnsi="Tahoma" w:cs="Tahoma"/>
          <w:bCs/>
          <w:sz w:val="18"/>
          <w:szCs w:val="18"/>
          <w:lang w:val="it-IT"/>
        </w:rPr>
        <w:t>’</w:t>
      </w:r>
      <w:r w:rsidRPr="00390E6D">
        <w:rPr>
          <w:rFonts w:ascii="Tahoma" w:hAnsi="Tahoma" w:cs="Tahoma"/>
          <w:bCs/>
          <w:sz w:val="18"/>
          <w:szCs w:val="18"/>
          <w:lang w:val="it-IT"/>
        </w:rPr>
        <w:t>ultimo rientra tra i prodotti supportati indicati nel sito Web per il ciclo di vita dei prodotti Microsoft. L</w:t>
      </w:r>
      <w:r w:rsidR="004525CA">
        <w:rPr>
          <w:rFonts w:ascii="Tahoma" w:hAnsi="Tahoma" w:cs="Tahoma"/>
          <w:bCs/>
          <w:sz w:val="18"/>
          <w:szCs w:val="18"/>
          <w:lang w:val="it-IT"/>
        </w:rPr>
        <w:t>’</w:t>
      </w:r>
      <w:r w:rsidRPr="00390E6D">
        <w:rPr>
          <w:rFonts w:ascii="Tahoma" w:hAnsi="Tahoma" w:cs="Tahoma"/>
          <w:bCs/>
          <w:sz w:val="18"/>
          <w:szCs w:val="18"/>
          <w:lang w:val="it-IT"/>
        </w:rPr>
        <w:t>attuale sito Web per il ciclo di vita dei prodotti Microsoft è consultabile all</w:t>
      </w:r>
      <w:r w:rsidR="004525CA">
        <w:rPr>
          <w:rFonts w:ascii="Tahoma" w:hAnsi="Tahoma" w:cs="Tahoma"/>
          <w:bCs/>
          <w:sz w:val="18"/>
          <w:szCs w:val="18"/>
          <w:lang w:val="it-IT"/>
        </w:rPr>
        <w:t>’</w:t>
      </w:r>
      <w:r w:rsidRPr="00390E6D">
        <w:rPr>
          <w:rFonts w:ascii="Tahoma" w:hAnsi="Tahoma" w:cs="Tahoma"/>
          <w:bCs/>
          <w:sz w:val="18"/>
          <w:szCs w:val="18"/>
          <w:lang w:val="it-IT"/>
        </w:rPr>
        <w:t xml:space="preserve">indirizzo </w:t>
      </w:r>
      <w:hyperlink r:id="rId29" w:history="1">
        <w:r w:rsidRPr="00390E6D">
          <w:rPr>
            <w:rStyle w:val="Hyperlink"/>
            <w:rFonts w:ascii="Tahoma" w:hAnsi="Tahoma" w:cs="Tahoma"/>
            <w:bCs/>
            <w:sz w:val="18"/>
            <w:szCs w:val="18"/>
            <w:lang w:val="it-IT"/>
          </w:rPr>
          <w:t>http://support.microsoft.com/common/international.aspx?rdpath=dm;en-us;lifecycle</w:t>
        </w:r>
      </w:hyperlink>
      <w:r w:rsidRPr="00390E6D">
        <w:rPr>
          <w:rFonts w:ascii="Tahoma" w:hAnsi="Tahoma" w:cs="Tahoma"/>
          <w:bCs/>
          <w:sz w:val="18"/>
          <w:szCs w:val="18"/>
          <w:lang w:val="it-IT"/>
        </w:rPr>
        <w:t xml:space="preserve">. </w:t>
      </w:r>
    </w:p>
    <w:p w:rsidR="00023FE7" w:rsidRPr="00451078" w:rsidRDefault="00023FE7" w:rsidP="00F42FB8">
      <w:pPr>
        <w:pStyle w:val="AppendixBodyText"/>
        <w:spacing w:after="0"/>
        <w:rPr>
          <w:lang w:val="it-IT"/>
        </w:rPr>
      </w:pPr>
    </w:p>
    <w:p w:rsidR="00077CE5" w:rsidRPr="00451078" w:rsidRDefault="00AF539A" w:rsidP="00DA2788">
      <w:pPr>
        <w:pStyle w:val="AppendixBodyText"/>
        <w:rPr>
          <w:lang w:val="it-IT"/>
        </w:rPr>
      </w:pPr>
      <w:r w:rsidRPr="00451078">
        <w:rPr>
          <w:rFonts w:ascii="Tahoma" w:hAnsi="Tahoma" w:cs="Tahoma"/>
          <w:b/>
          <w:bCs/>
          <w:color w:val="000000"/>
          <w:sz w:val="18"/>
          <w:szCs w:val="18"/>
          <w:lang w:val="it-IT"/>
        </w:rPr>
        <w:t>Conversione degli Interventi di Supporto per la Risoluzione dei Problemi 24x7 Software Assurance in</w:t>
      </w:r>
      <w:r w:rsidR="00660D5F" w:rsidRPr="00451078">
        <w:rPr>
          <w:rFonts w:ascii="Tahoma" w:hAnsi="Tahoma" w:cs="Tahoma"/>
          <w:b/>
          <w:bCs/>
          <w:color w:val="000000"/>
          <w:sz w:val="18"/>
          <w:szCs w:val="18"/>
          <w:lang w:val="it-IT"/>
        </w:rPr>
        <w:t> </w:t>
      </w:r>
      <w:r w:rsidRPr="00451078">
        <w:rPr>
          <w:rFonts w:ascii="Tahoma" w:hAnsi="Tahoma" w:cs="Tahoma"/>
          <w:b/>
          <w:bCs/>
          <w:color w:val="000000"/>
          <w:sz w:val="18"/>
          <w:szCs w:val="18"/>
          <w:lang w:val="it-IT"/>
        </w:rPr>
        <w:t>Servizi di Supporto Tecnico Microsoft Premier</w:t>
      </w:r>
    </w:p>
    <w:p w:rsidR="00077CE5" w:rsidRPr="00451078" w:rsidRDefault="00AF539A" w:rsidP="00DA2788">
      <w:pPr>
        <w:pStyle w:val="AppendixBodyText"/>
        <w:spacing w:after="0"/>
        <w:rPr>
          <w:lang w:val="it-IT"/>
        </w:rPr>
      </w:pPr>
      <w:r w:rsidRPr="00451078">
        <w:rPr>
          <w:rFonts w:ascii="Tahoma" w:hAnsi="Tahoma" w:cs="Tahoma"/>
          <w:color w:val="000000"/>
          <w:sz w:val="18"/>
          <w:szCs w:val="18"/>
          <w:lang w:val="it-IT"/>
        </w:rPr>
        <w:t xml:space="preserve">Le società possono scegliere di convertire gli Interventi di Supporto per la Risoluzione dei Problemi 24x7 Software Assurance (Interventi SA PRS o </w:t>
      </w:r>
      <w:r w:rsidR="001A3EC5" w:rsidRPr="00451078">
        <w:rPr>
          <w:rFonts w:ascii="Tahoma" w:hAnsi="Tahoma" w:cs="Tahoma"/>
          <w:color w:val="000000"/>
          <w:sz w:val="18"/>
          <w:szCs w:val="18"/>
          <w:lang w:val="it-IT"/>
        </w:rPr>
        <w:t>“</w:t>
      </w:r>
      <w:r w:rsidRPr="00451078">
        <w:rPr>
          <w:rFonts w:ascii="Tahoma" w:hAnsi="Tahoma" w:cs="Tahoma"/>
          <w:color w:val="000000"/>
          <w:sz w:val="18"/>
          <w:szCs w:val="18"/>
          <w:lang w:val="it-IT"/>
        </w:rPr>
        <w:t>SAB</w:t>
      </w:r>
      <w:r w:rsidR="001A3EC5" w:rsidRPr="00451078">
        <w:rPr>
          <w:rFonts w:ascii="Tahoma" w:hAnsi="Tahoma" w:cs="Tahoma"/>
          <w:color w:val="000000"/>
          <w:sz w:val="18"/>
          <w:szCs w:val="18"/>
          <w:lang w:val="it-IT"/>
        </w:rPr>
        <w:t>”</w:t>
      </w:r>
      <w:r w:rsidRPr="00451078">
        <w:rPr>
          <w:rFonts w:ascii="Tahoma" w:hAnsi="Tahoma" w:cs="Tahoma"/>
          <w:color w:val="000000"/>
          <w:sz w:val="18"/>
          <w:szCs w:val="18"/>
          <w:lang w:val="it-IT"/>
        </w:rPr>
        <w:t>) in:</w:t>
      </w:r>
    </w:p>
    <w:p w:rsidR="00077CE5" w:rsidRPr="00451078" w:rsidRDefault="00077CE5" w:rsidP="00DA2788">
      <w:pPr>
        <w:pStyle w:val="AppendixBodyText"/>
        <w:spacing w:after="0"/>
        <w:rPr>
          <w:lang w:val="it-IT"/>
        </w:rPr>
      </w:pPr>
    </w:p>
    <w:p w:rsidR="00AF539A" w:rsidRPr="00451078" w:rsidRDefault="00AF539A" w:rsidP="00745AB3">
      <w:pPr>
        <w:pStyle w:val="AppendixBodyText"/>
        <w:numPr>
          <w:ilvl w:val="0"/>
          <w:numId w:val="28"/>
        </w:numPr>
        <w:tabs>
          <w:tab w:val="left" w:pos="1440"/>
        </w:tabs>
        <w:ind w:left="1440"/>
        <w:rPr>
          <w:lang w:val="it-IT"/>
        </w:rPr>
      </w:pPr>
      <w:r w:rsidRPr="00451078">
        <w:rPr>
          <w:rFonts w:ascii="Tahoma" w:hAnsi="Tahoma" w:cs="Tahoma"/>
          <w:color w:val="000000"/>
          <w:sz w:val="18"/>
          <w:szCs w:val="18"/>
          <w:lang w:val="it-IT"/>
        </w:rPr>
        <w:t>ore di Supporto per la Risoluzione dei Problemi Premier</w:t>
      </w:r>
    </w:p>
    <w:p w:rsidR="00AF539A" w:rsidRPr="003410C7" w:rsidRDefault="00AF539A" w:rsidP="00745AB3">
      <w:pPr>
        <w:pStyle w:val="AppendixBodyText"/>
        <w:numPr>
          <w:ilvl w:val="0"/>
          <w:numId w:val="28"/>
        </w:numPr>
        <w:tabs>
          <w:tab w:val="left" w:pos="1440"/>
        </w:tabs>
        <w:ind w:left="1440"/>
      </w:pPr>
      <w:r w:rsidRPr="003410C7">
        <w:rPr>
          <w:rFonts w:ascii="Tahoma" w:hAnsi="Tahoma" w:cs="Tahoma"/>
          <w:color w:val="000000"/>
          <w:sz w:val="18"/>
          <w:szCs w:val="18"/>
        </w:rPr>
        <w:t>ore Dedicated Support Engineer (DSE)</w:t>
      </w:r>
    </w:p>
    <w:p w:rsidR="00077CE5" w:rsidRPr="003410C7" w:rsidRDefault="00077CE5" w:rsidP="00DA2788">
      <w:pPr>
        <w:pStyle w:val="AppendixBodyText"/>
        <w:tabs>
          <w:tab w:val="left" w:pos="1440"/>
        </w:tabs>
        <w:spacing w:after="0"/>
      </w:pPr>
    </w:p>
    <w:p w:rsidR="00AF539A" w:rsidRPr="00451078" w:rsidRDefault="00AF539A" w:rsidP="00F42FB8">
      <w:pPr>
        <w:rPr>
          <w:lang w:val="it-IT"/>
        </w:rPr>
      </w:pPr>
      <w:r w:rsidRPr="00451078">
        <w:rPr>
          <w:rFonts w:cs="Tahoma"/>
          <w:color w:val="000000"/>
          <w:szCs w:val="18"/>
          <w:lang w:val="it-IT"/>
        </w:rPr>
        <w:t>Questi servizi sono da utilizzare conformemente al loro piano di servizi Premier all</w:t>
      </w:r>
      <w:r w:rsidR="004525CA">
        <w:rPr>
          <w:rFonts w:cs="Tahoma"/>
          <w:color w:val="000000"/>
          <w:szCs w:val="18"/>
          <w:lang w:val="it-IT"/>
        </w:rPr>
        <w:t>’</w:t>
      </w:r>
      <w:r w:rsidRPr="00451078">
        <w:rPr>
          <w:rFonts w:cs="Tahoma"/>
          <w:color w:val="000000"/>
          <w:szCs w:val="18"/>
          <w:lang w:val="it-IT"/>
        </w:rPr>
        <w:t xml:space="preserve">atto del trasferimento. Tale conversione si basa su un calcolo in valuta locale, che sarà effettuato dal relativo Account Team Premier. Le società potrebbero dover acquistare ore aggiuntive di Support Account Management prima di convertire gli interventi SA PRS. Gli interventi SA PRS convertiti in Premier sono considerate ore di Supporto per la Risoluzione dei Problemi </w:t>
      </w:r>
      <w:r w:rsidRPr="00451078">
        <w:rPr>
          <w:rFonts w:cs="Tahoma"/>
          <w:color w:val="000000"/>
          <w:szCs w:val="18"/>
          <w:lang w:val="it-IT"/>
        </w:rPr>
        <w:lastRenderedPageBreak/>
        <w:t>Premier e soggetti alla Descrizione dei Servizi Premier. Una volta convertiti, gli interventi non possono più essere reintegrati nell</w:t>
      </w:r>
      <w:r w:rsidR="004525CA">
        <w:rPr>
          <w:rFonts w:cs="Tahoma"/>
          <w:color w:val="000000"/>
          <w:szCs w:val="18"/>
          <w:lang w:val="it-IT"/>
        </w:rPr>
        <w:t>’</w:t>
      </w:r>
      <w:r w:rsidRPr="00451078">
        <w:rPr>
          <w:rFonts w:cs="Tahoma"/>
          <w:color w:val="000000"/>
          <w:szCs w:val="18"/>
          <w:lang w:val="it-IT"/>
        </w:rPr>
        <w:t>assegnazione SA della società.</w:t>
      </w:r>
    </w:p>
    <w:p w:rsidR="00023FE7" w:rsidRPr="00451078" w:rsidRDefault="00023FE7" w:rsidP="00F42FB8">
      <w:pPr>
        <w:pStyle w:val="AppendixBodyText"/>
        <w:spacing w:after="0"/>
        <w:rPr>
          <w:lang w:val="it-IT"/>
        </w:rPr>
      </w:pPr>
    </w:p>
    <w:p w:rsidR="00077CE5" w:rsidRPr="00451078" w:rsidRDefault="00077CE5" w:rsidP="00DA2788">
      <w:pPr>
        <w:pStyle w:val="AppendixBodyText"/>
        <w:rPr>
          <w:lang w:val="it-IT"/>
        </w:rPr>
      </w:pPr>
      <w:r w:rsidRPr="00451078">
        <w:rPr>
          <w:rFonts w:ascii="Tahoma" w:hAnsi="Tahoma" w:cs="Tahoma"/>
          <w:b/>
          <w:color w:val="000000"/>
          <w:sz w:val="18"/>
          <w:lang w:val="it-IT"/>
        </w:rPr>
        <w:t>Ulteriori disposizioni di carattere commerciale</w:t>
      </w:r>
    </w:p>
    <w:p w:rsidR="00023FE7" w:rsidRPr="00451078" w:rsidRDefault="00023FE7" w:rsidP="00F42FB8">
      <w:pPr>
        <w:pStyle w:val="AppendixBodyText"/>
        <w:spacing w:after="0"/>
        <w:rPr>
          <w:lang w:val="it-IT"/>
        </w:rPr>
      </w:pPr>
      <w:r w:rsidRPr="00451078">
        <w:rPr>
          <w:rFonts w:ascii="Tahoma" w:hAnsi="Tahoma" w:cs="Tahoma"/>
          <w:sz w:val="18"/>
          <w:szCs w:val="18"/>
          <w:lang w:val="it-IT"/>
        </w:rPr>
        <w:t>La spesa SA non potrà essere cumulata tra iscrizioni Enterprise o Select, registrazioni Select Plus o Contratti Open Value per qualificarsi per premi aggiuntivi.</w:t>
      </w:r>
      <w:r w:rsidR="00082E1C" w:rsidRPr="00451078">
        <w:rPr>
          <w:rFonts w:ascii="Tahoma" w:hAnsi="Tahoma" w:cs="Tahoma"/>
          <w:sz w:val="18"/>
          <w:szCs w:val="18"/>
          <w:lang w:val="it-IT"/>
        </w:rPr>
        <w:t xml:space="preserve"> </w:t>
      </w:r>
      <w:r w:rsidRPr="00451078">
        <w:rPr>
          <w:rFonts w:ascii="Tahoma" w:hAnsi="Tahoma" w:cs="Tahoma"/>
          <w:sz w:val="18"/>
          <w:szCs w:val="18"/>
          <w:lang w:val="it-IT"/>
        </w:rPr>
        <w:t>La spesa di ciascuna iscrizione o contratto è utilizzata per determinare il</w:t>
      </w:r>
      <w:r w:rsidR="00660D5F" w:rsidRPr="00451078">
        <w:rPr>
          <w:rFonts w:ascii="Tahoma" w:hAnsi="Tahoma" w:cs="Tahoma"/>
          <w:sz w:val="18"/>
          <w:szCs w:val="18"/>
          <w:lang w:val="it-IT"/>
        </w:rPr>
        <w:t> </w:t>
      </w:r>
      <w:r w:rsidRPr="00451078">
        <w:rPr>
          <w:rFonts w:ascii="Tahoma" w:hAnsi="Tahoma" w:cs="Tahoma"/>
          <w:sz w:val="18"/>
          <w:szCs w:val="18"/>
          <w:lang w:val="it-IT"/>
        </w:rPr>
        <w:t>premio relativo a quell</w:t>
      </w:r>
      <w:r w:rsidR="004525CA">
        <w:rPr>
          <w:rFonts w:ascii="Tahoma" w:hAnsi="Tahoma" w:cs="Tahoma"/>
          <w:sz w:val="18"/>
          <w:szCs w:val="18"/>
          <w:lang w:val="it-IT"/>
        </w:rPr>
        <w:t>’</w:t>
      </w:r>
      <w:r w:rsidRPr="00451078">
        <w:rPr>
          <w:rFonts w:ascii="Tahoma" w:hAnsi="Tahoma" w:cs="Tahoma"/>
          <w:sz w:val="18"/>
          <w:szCs w:val="18"/>
          <w:lang w:val="it-IT"/>
        </w:rPr>
        <w:t>iscrizione o contratto.</w:t>
      </w:r>
    </w:p>
    <w:p w:rsidR="00077CE5" w:rsidRPr="00451078" w:rsidRDefault="00077CE5" w:rsidP="00F42FB8">
      <w:pPr>
        <w:pStyle w:val="AppendixBodyText"/>
        <w:spacing w:after="0"/>
        <w:rPr>
          <w:lang w:val="it-IT"/>
        </w:rPr>
      </w:pPr>
    </w:p>
    <w:p w:rsidR="00023FE7" w:rsidRPr="00451078" w:rsidRDefault="00023FE7" w:rsidP="00F42FB8">
      <w:pPr>
        <w:pStyle w:val="AppendixBodyText"/>
        <w:tabs>
          <w:tab w:val="left" w:pos="1440"/>
        </w:tabs>
        <w:spacing w:after="0"/>
        <w:rPr>
          <w:lang w:val="it-IT"/>
        </w:rPr>
      </w:pPr>
      <w:r w:rsidRPr="00451078">
        <w:rPr>
          <w:rFonts w:ascii="Tahoma" w:hAnsi="Tahoma" w:cs="Tahoma"/>
          <w:sz w:val="18"/>
          <w:szCs w:val="18"/>
          <w:lang w:val="it-IT"/>
        </w:rPr>
        <w:t>La riduzione della spesa SA in seguito a resi o altre modifiche apportate alla fatturazione</w:t>
      </w:r>
      <w:r w:rsidRPr="00451078">
        <w:rPr>
          <w:rFonts w:ascii="Tahoma" w:hAnsi="Tahoma" w:cs="Tahoma"/>
          <w:bCs/>
          <w:sz w:val="18"/>
          <w:szCs w:val="18"/>
          <w:lang w:val="it-IT"/>
        </w:rPr>
        <w:t>,</w:t>
      </w:r>
      <w:r w:rsidRPr="00451078">
        <w:rPr>
          <w:rFonts w:ascii="Tahoma" w:hAnsi="Tahoma" w:cs="Tahoma"/>
          <w:sz w:val="18"/>
          <w:szCs w:val="18"/>
          <w:lang w:val="it-IT"/>
        </w:rPr>
        <w:t xml:space="preserve"> ove ciò sia ammesso, </w:t>
      </w:r>
      <w:r w:rsidRPr="00451078">
        <w:rPr>
          <w:rFonts w:ascii="Tahoma" w:hAnsi="Tahoma" w:cs="Tahoma"/>
          <w:bCs/>
          <w:sz w:val="18"/>
          <w:szCs w:val="18"/>
          <w:lang w:val="it-IT"/>
        </w:rPr>
        <w:t>potrebbe</w:t>
      </w:r>
      <w:r w:rsidRPr="00451078">
        <w:rPr>
          <w:rFonts w:ascii="Tahoma" w:hAnsi="Tahoma" w:cs="Tahoma"/>
          <w:sz w:val="18"/>
          <w:szCs w:val="18"/>
          <w:lang w:val="it-IT"/>
        </w:rPr>
        <w:t xml:space="preserve"> comportare la perdita dell</w:t>
      </w:r>
      <w:r w:rsidR="004525CA">
        <w:rPr>
          <w:rFonts w:ascii="Tahoma" w:hAnsi="Tahoma" w:cs="Tahoma"/>
          <w:sz w:val="18"/>
          <w:szCs w:val="18"/>
          <w:lang w:val="it-IT"/>
        </w:rPr>
        <w:t>’</w:t>
      </w:r>
      <w:r w:rsidRPr="00451078">
        <w:rPr>
          <w:rFonts w:ascii="Tahoma" w:hAnsi="Tahoma" w:cs="Tahoma"/>
          <w:sz w:val="18"/>
          <w:szCs w:val="18"/>
          <w:lang w:val="it-IT"/>
        </w:rPr>
        <w:t xml:space="preserve">idoneità a ricevere i premi per il Supporto o gli Interventi telefonici nel periodo attuale di attribuzione dei premi o in periodi futuri. </w:t>
      </w:r>
    </w:p>
    <w:p w:rsidR="0036654E" w:rsidRPr="00451078" w:rsidRDefault="0036654E" w:rsidP="00F42FB8">
      <w:pPr>
        <w:pStyle w:val="Heading3"/>
        <w:rPr>
          <w:lang w:val="it-IT"/>
        </w:rPr>
      </w:pPr>
    </w:p>
    <w:p w:rsidR="00613BBB" w:rsidRPr="00451078" w:rsidRDefault="00613BBB" w:rsidP="00F0652C">
      <w:pPr>
        <w:pStyle w:val="Heading3"/>
        <w:spacing w:after="60"/>
        <w:rPr>
          <w:lang w:val="it-IT"/>
        </w:rPr>
      </w:pPr>
      <w:bookmarkStart w:id="797" w:name="_Toc336338237"/>
      <w:bookmarkStart w:id="798" w:name="_Toc352234832"/>
      <w:r w:rsidRPr="00451078">
        <w:rPr>
          <w:rFonts w:ascii="Tahoma" w:hAnsi="Tahoma" w:cs="Tahoma"/>
          <w:sz w:val="18"/>
          <w:lang w:val="it-IT"/>
        </w:rPr>
        <w:t>Supporto Illimitato per la Risoluzione dei Problemi 24x7</w:t>
      </w:r>
      <w:bookmarkEnd w:id="797"/>
      <w:bookmarkEnd w:id="798"/>
    </w:p>
    <w:p w:rsidR="00A17E03" w:rsidRPr="00451078" w:rsidRDefault="00A17E03" w:rsidP="00F42FB8">
      <w:pPr>
        <w:jc w:val="both"/>
        <w:rPr>
          <w:lang w:val="it-IT"/>
        </w:rPr>
      </w:pPr>
      <w:r w:rsidRPr="00451078">
        <w:rPr>
          <w:rFonts w:cs="Tahoma"/>
          <w:szCs w:val="18"/>
          <w:lang w:val="it-IT"/>
        </w:rPr>
        <w:t>Questo vantaggio è disponibile esclusivamente tramite (1) Enrollment for Application Platform (EAP) ai sensi di un Contratto Enterprise e/o (2) l</w:t>
      </w:r>
      <w:r w:rsidR="004525CA">
        <w:rPr>
          <w:rFonts w:cs="Tahoma"/>
          <w:szCs w:val="18"/>
          <w:lang w:val="it-IT"/>
        </w:rPr>
        <w:t>’</w:t>
      </w:r>
      <w:r w:rsidRPr="00451078">
        <w:rPr>
          <w:rFonts w:cs="Tahoma"/>
          <w:szCs w:val="18"/>
          <w:lang w:val="it-IT"/>
        </w:rPr>
        <w:t>acquisto di licenze per Parallel Data Warehouse (PDW) ai sensi di un contratto EA, EAP, Select Plus o Select.</w:t>
      </w:r>
    </w:p>
    <w:p w:rsidR="00A17E03" w:rsidRPr="00451078" w:rsidRDefault="00A17E03" w:rsidP="00F42FB8">
      <w:pPr>
        <w:jc w:val="both"/>
        <w:rPr>
          <w:lang w:val="it-IT"/>
        </w:rPr>
      </w:pPr>
    </w:p>
    <w:p w:rsidR="00894563" w:rsidRPr="00451078" w:rsidRDefault="00A17E03" w:rsidP="00DA2788">
      <w:pPr>
        <w:spacing w:line="276" w:lineRule="auto"/>
        <w:jc w:val="both"/>
        <w:rPr>
          <w:lang w:val="it-IT"/>
        </w:rPr>
      </w:pPr>
      <w:r w:rsidRPr="00451078">
        <w:rPr>
          <w:rFonts w:eastAsia="Calibri" w:cs="Tahoma"/>
          <w:szCs w:val="18"/>
          <w:lang w:val="it-IT"/>
        </w:rPr>
        <w:t>Le società, che dispongono di un contratto EAP con una spesa media annuale minima per SA di $250.000 sul totale di</w:t>
      </w:r>
      <w:r w:rsidR="00CE2638" w:rsidRPr="00451078">
        <w:rPr>
          <w:rFonts w:eastAsia="Calibri" w:cs="Tahoma"/>
          <w:szCs w:val="18"/>
          <w:lang w:val="it-IT"/>
        </w:rPr>
        <w:t> </w:t>
      </w:r>
      <w:r w:rsidRPr="00451078">
        <w:rPr>
          <w:rFonts w:eastAsia="Calibri" w:cs="Tahoma"/>
          <w:szCs w:val="18"/>
          <w:lang w:val="it-IT"/>
        </w:rPr>
        <w:t>prodotti qualificanti della Piattaforma Applicativa e che dispongono di un Contratto Premier Services attivo, sono</w:t>
      </w:r>
      <w:r w:rsidR="00660D5F" w:rsidRPr="00451078">
        <w:rPr>
          <w:rFonts w:eastAsia="Calibri" w:cs="Tahoma"/>
          <w:szCs w:val="18"/>
          <w:lang w:val="it-IT"/>
        </w:rPr>
        <w:t> </w:t>
      </w:r>
      <w:r w:rsidRPr="00451078">
        <w:rPr>
          <w:rFonts w:eastAsia="Calibri" w:cs="Tahoma"/>
          <w:szCs w:val="18"/>
          <w:lang w:val="it-IT"/>
        </w:rPr>
        <w:t xml:space="preserve">idonee a beneficiare degli interventi previsti dal Supporto Illimitato per la Risoluzione dei Problemi 24x7 (PRS). </w:t>
      </w:r>
      <w:r w:rsidRPr="00451078">
        <w:rPr>
          <w:rFonts w:cs="Tahoma"/>
          <w:szCs w:val="18"/>
          <w:lang w:val="it-IT"/>
        </w:rPr>
        <w:t>I</w:t>
      </w:r>
      <w:r w:rsidR="00660D5F" w:rsidRPr="00451078">
        <w:rPr>
          <w:rFonts w:cs="Tahoma"/>
          <w:szCs w:val="18"/>
          <w:lang w:val="it-IT"/>
        </w:rPr>
        <w:t> </w:t>
      </w:r>
      <w:r w:rsidRPr="00451078">
        <w:rPr>
          <w:rFonts w:cs="Tahoma"/>
          <w:szCs w:val="18"/>
          <w:lang w:val="it-IT"/>
        </w:rPr>
        <w:t xml:space="preserve">prodotti elencati di seguito e che usufruiscono del Supporto Mainstream o Esteso come stabilito nei </w:t>
      </w:r>
      <w:hyperlink r:id="rId30" w:history="1">
        <w:r w:rsidRPr="00451078">
          <w:rPr>
            <w:rStyle w:val="Hyperlink"/>
            <w:rFonts w:cs="Tahoma"/>
            <w:szCs w:val="18"/>
            <w:lang w:val="it-IT"/>
          </w:rPr>
          <w:t>Criteri per il Ciclo di Vita del Supporto di Microsoft</w:t>
        </w:r>
      </w:hyperlink>
      <w:r w:rsidRPr="00451078">
        <w:rPr>
          <w:rFonts w:cs="Tahoma"/>
          <w:szCs w:val="18"/>
          <w:lang w:val="it-IT"/>
        </w:rPr>
        <w:t xml:space="preserve"> </w:t>
      </w:r>
      <w:r w:rsidRPr="00451078">
        <w:rPr>
          <w:rFonts w:cs="Tahoma"/>
          <w:color w:val="000000"/>
          <w:szCs w:val="18"/>
          <w:lang w:val="it-IT"/>
        </w:rPr>
        <w:t>in linea con il contratto Premier di una società sono inclusi nel vantaggio.</w:t>
      </w:r>
    </w:p>
    <w:p w:rsidR="00077CE5" w:rsidRPr="00451078" w:rsidRDefault="00077CE5" w:rsidP="00DA2788">
      <w:pPr>
        <w:spacing w:line="276" w:lineRule="auto"/>
        <w:jc w:val="both"/>
        <w:rPr>
          <w:lang w:val="it-IT"/>
        </w:rPr>
      </w:pPr>
    </w:p>
    <w:p w:rsidR="00A17E03" w:rsidRPr="00451078" w:rsidRDefault="00A17E03" w:rsidP="00F42FB8">
      <w:pPr>
        <w:spacing w:line="276" w:lineRule="auto"/>
        <w:jc w:val="both"/>
        <w:rPr>
          <w:lang w:val="it-IT"/>
        </w:rPr>
      </w:pPr>
      <w:r w:rsidRPr="00451078">
        <w:rPr>
          <w:rFonts w:eastAsia="Calibri" w:cs="Tahoma"/>
          <w:szCs w:val="18"/>
          <w:lang w:val="it-IT"/>
        </w:rPr>
        <w:t>I prodotti della Piattaforma Applicativa che si qualificano sono:</w:t>
      </w:r>
    </w:p>
    <w:p w:rsidR="00613BBB" w:rsidRPr="00451078" w:rsidRDefault="00613BBB" w:rsidP="00077CE5">
      <w:pPr>
        <w:rPr>
          <w:lang w:val="it-IT"/>
        </w:rPr>
      </w:pPr>
    </w:p>
    <w:p w:rsidR="00613BBB" w:rsidRPr="003410C7" w:rsidRDefault="00613BBB" w:rsidP="00745AB3">
      <w:pPr>
        <w:numPr>
          <w:ilvl w:val="0"/>
          <w:numId w:val="72"/>
        </w:numPr>
        <w:spacing w:after="60"/>
      </w:pPr>
      <w:r w:rsidRPr="003410C7">
        <w:rPr>
          <w:rFonts w:cs="Tahoma"/>
          <w:szCs w:val="18"/>
        </w:rPr>
        <w:t>CAL per SQL</w:t>
      </w:r>
    </w:p>
    <w:p w:rsidR="00613BBB" w:rsidRPr="003410C7" w:rsidRDefault="00613BBB" w:rsidP="00745AB3">
      <w:pPr>
        <w:numPr>
          <w:ilvl w:val="0"/>
          <w:numId w:val="72"/>
        </w:numPr>
        <w:spacing w:after="60"/>
      </w:pPr>
      <w:r w:rsidRPr="003410C7">
        <w:rPr>
          <w:rFonts w:cs="Tahoma"/>
          <w:szCs w:val="18"/>
        </w:rPr>
        <w:t>SQL Server Standard</w:t>
      </w:r>
    </w:p>
    <w:p w:rsidR="00613BBB" w:rsidRPr="00451078" w:rsidRDefault="00613BBB" w:rsidP="00745AB3">
      <w:pPr>
        <w:numPr>
          <w:ilvl w:val="0"/>
          <w:numId w:val="72"/>
        </w:numPr>
        <w:spacing w:after="60"/>
        <w:rPr>
          <w:lang w:val="it-IT"/>
        </w:rPr>
      </w:pPr>
      <w:r w:rsidRPr="00451078">
        <w:rPr>
          <w:rFonts w:cs="Tahoma"/>
          <w:szCs w:val="18"/>
          <w:lang w:val="it-IT"/>
        </w:rPr>
        <w:t>SQL Server Standard Per Core / Per Processore</w:t>
      </w:r>
    </w:p>
    <w:p w:rsidR="00613BBB" w:rsidRPr="003410C7" w:rsidRDefault="00613BBB" w:rsidP="00745AB3">
      <w:pPr>
        <w:numPr>
          <w:ilvl w:val="0"/>
          <w:numId w:val="72"/>
        </w:numPr>
        <w:spacing w:after="60"/>
      </w:pPr>
      <w:r w:rsidRPr="003410C7">
        <w:rPr>
          <w:rFonts w:cs="Tahoma"/>
          <w:szCs w:val="18"/>
        </w:rPr>
        <w:t>SQL Server Enterprise</w:t>
      </w:r>
    </w:p>
    <w:p w:rsidR="00613BBB" w:rsidRPr="00451078" w:rsidRDefault="00613BBB" w:rsidP="00745AB3">
      <w:pPr>
        <w:numPr>
          <w:ilvl w:val="0"/>
          <w:numId w:val="72"/>
        </w:numPr>
        <w:spacing w:after="60"/>
        <w:rPr>
          <w:lang w:val="it-IT"/>
        </w:rPr>
      </w:pPr>
      <w:r w:rsidRPr="00451078">
        <w:rPr>
          <w:rFonts w:cs="Tahoma"/>
          <w:szCs w:val="18"/>
          <w:lang w:val="it-IT"/>
        </w:rPr>
        <w:t>SQL Server Enterprise Per Core / Per Processore</w:t>
      </w:r>
    </w:p>
    <w:p w:rsidR="00894563" w:rsidRPr="003410C7" w:rsidRDefault="00894563" w:rsidP="00745AB3">
      <w:pPr>
        <w:numPr>
          <w:ilvl w:val="0"/>
          <w:numId w:val="72"/>
        </w:numPr>
        <w:spacing w:after="60"/>
      </w:pPr>
      <w:r w:rsidRPr="003410C7">
        <w:rPr>
          <w:rFonts w:cs="Tahoma"/>
          <w:szCs w:val="18"/>
        </w:rPr>
        <w:t>SQL Server Business Intelligence</w:t>
      </w:r>
    </w:p>
    <w:p w:rsidR="00EB42F3" w:rsidRPr="003410C7" w:rsidRDefault="00EB42F3" w:rsidP="00745AB3">
      <w:pPr>
        <w:numPr>
          <w:ilvl w:val="0"/>
          <w:numId w:val="72"/>
        </w:numPr>
        <w:spacing w:after="60"/>
      </w:pPr>
      <w:r w:rsidRPr="003410C7">
        <w:rPr>
          <w:rFonts w:cs="Tahoma"/>
          <w:szCs w:val="18"/>
        </w:rPr>
        <w:t>SQL Server Datacenter Per Processore</w:t>
      </w:r>
    </w:p>
    <w:p w:rsidR="00613BBB" w:rsidRPr="003410C7" w:rsidRDefault="00613BBB" w:rsidP="00745AB3">
      <w:pPr>
        <w:numPr>
          <w:ilvl w:val="0"/>
          <w:numId w:val="72"/>
        </w:numPr>
        <w:spacing w:after="60"/>
      </w:pPr>
      <w:r w:rsidRPr="003410C7">
        <w:rPr>
          <w:rFonts w:cs="Tahoma"/>
          <w:szCs w:val="18"/>
        </w:rPr>
        <w:t>BizTalk Server Standard Per Processore</w:t>
      </w:r>
    </w:p>
    <w:p w:rsidR="00613BBB" w:rsidRPr="003410C7" w:rsidRDefault="00613BBB" w:rsidP="00745AB3">
      <w:pPr>
        <w:numPr>
          <w:ilvl w:val="0"/>
          <w:numId w:val="72"/>
        </w:numPr>
        <w:spacing w:after="60"/>
      </w:pPr>
      <w:r w:rsidRPr="003410C7">
        <w:rPr>
          <w:rFonts w:cs="Tahoma"/>
          <w:szCs w:val="18"/>
        </w:rPr>
        <w:t>BizTalk Server Enterprise Per Processore</w:t>
      </w:r>
    </w:p>
    <w:p w:rsidR="00613BBB" w:rsidRPr="003410C7" w:rsidRDefault="00613BBB" w:rsidP="00745AB3">
      <w:pPr>
        <w:numPr>
          <w:ilvl w:val="0"/>
          <w:numId w:val="72"/>
        </w:numPr>
        <w:spacing w:after="60"/>
      </w:pPr>
      <w:r w:rsidRPr="003410C7">
        <w:rPr>
          <w:rFonts w:cs="Tahoma"/>
          <w:szCs w:val="18"/>
        </w:rPr>
        <w:t>BizTalk Server Branch Per Processore</w:t>
      </w:r>
    </w:p>
    <w:p w:rsidR="00613BBB" w:rsidRPr="003410C7" w:rsidRDefault="00613BBB" w:rsidP="00745AB3">
      <w:pPr>
        <w:numPr>
          <w:ilvl w:val="0"/>
          <w:numId w:val="72"/>
        </w:numPr>
        <w:spacing w:after="60"/>
      </w:pPr>
      <w:r w:rsidRPr="003410C7">
        <w:rPr>
          <w:rFonts w:cs="Tahoma"/>
          <w:szCs w:val="18"/>
        </w:rPr>
        <w:t>Office SharePoint Server</w:t>
      </w:r>
    </w:p>
    <w:p w:rsidR="00613BBB" w:rsidRPr="003410C7" w:rsidRDefault="00613BBB" w:rsidP="00745AB3">
      <w:pPr>
        <w:numPr>
          <w:ilvl w:val="0"/>
          <w:numId w:val="72"/>
        </w:numPr>
        <w:spacing w:after="60"/>
      </w:pPr>
      <w:r w:rsidRPr="003410C7">
        <w:rPr>
          <w:rFonts w:cs="Tahoma"/>
          <w:szCs w:val="18"/>
        </w:rPr>
        <w:t>SharePoint Internet</w:t>
      </w:r>
    </w:p>
    <w:p w:rsidR="00894563" w:rsidRPr="003410C7" w:rsidRDefault="00894563" w:rsidP="00745AB3">
      <w:pPr>
        <w:numPr>
          <w:ilvl w:val="0"/>
          <w:numId w:val="72"/>
        </w:numPr>
        <w:spacing w:after="60"/>
      </w:pPr>
      <w:r w:rsidRPr="003410C7">
        <w:rPr>
          <w:rFonts w:cs="Tahoma"/>
          <w:szCs w:val="18"/>
        </w:rPr>
        <w:t>FAST for SharePoint / SharePoint Internet</w:t>
      </w:r>
    </w:p>
    <w:p w:rsidR="00613BBB" w:rsidRPr="003410C7" w:rsidRDefault="00613BBB" w:rsidP="00077CE5"/>
    <w:p w:rsidR="00613BBB" w:rsidRPr="00451078" w:rsidRDefault="00613BBB" w:rsidP="00FF1B2B">
      <w:pPr>
        <w:pStyle w:val="AppendixBodyText"/>
        <w:spacing w:after="0"/>
        <w:jc w:val="both"/>
        <w:rPr>
          <w:lang w:val="it-IT"/>
        </w:rPr>
      </w:pPr>
      <w:r w:rsidRPr="00451078">
        <w:rPr>
          <w:rFonts w:ascii="Tahoma" w:hAnsi="Tahoma" w:cs="Tahoma"/>
          <w:sz w:val="18"/>
          <w:szCs w:val="18"/>
          <w:lang w:val="it-IT"/>
        </w:rPr>
        <w:t>La seguente tabella elenca le conversioni delle soglie di spesa SA, in caso di contratti stipulati in valute diverse dall</w:t>
      </w:r>
      <w:r w:rsidR="004525CA">
        <w:rPr>
          <w:rFonts w:ascii="Tahoma" w:hAnsi="Tahoma" w:cs="Tahoma"/>
          <w:sz w:val="18"/>
          <w:szCs w:val="18"/>
          <w:lang w:val="it-IT"/>
        </w:rPr>
        <w:t>’</w:t>
      </w:r>
      <w:r w:rsidRPr="00451078">
        <w:rPr>
          <w:rFonts w:ascii="Tahoma" w:hAnsi="Tahoma" w:cs="Tahoma"/>
          <w:sz w:val="18"/>
          <w:szCs w:val="18"/>
          <w:lang w:val="it-IT"/>
        </w:rPr>
        <w:t>USD.</w:t>
      </w:r>
      <w:r w:rsidR="00082E1C" w:rsidRPr="00451078">
        <w:rPr>
          <w:rFonts w:ascii="Tahoma" w:hAnsi="Tahoma" w:cs="Tahoma"/>
          <w:sz w:val="18"/>
          <w:szCs w:val="18"/>
          <w:lang w:val="it-IT"/>
        </w:rPr>
        <w:t xml:space="preserve"> </w:t>
      </w:r>
      <w:r w:rsidRPr="00451078">
        <w:rPr>
          <w:rFonts w:ascii="Tahoma" w:hAnsi="Tahoma" w:cs="Tahoma"/>
          <w:sz w:val="18"/>
          <w:szCs w:val="18"/>
          <w:lang w:val="it-IT"/>
        </w:rPr>
        <w:t>A causa delle fluttuazioni dei tassi di cambio, i valori riportati nella tabella sono soggetti a variazione senza preavviso.</w:t>
      </w:r>
    </w:p>
    <w:p w:rsidR="00E74270" w:rsidRPr="00451078" w:rsidRDefault="00E74270" w:rsidP="00FF1B2B">
      <w:pPr>
        <w:pStyle w:val="AppendixBodyText"/>
        <w:spacing w:after="0"/>
        <w:jc w:val="both"/>
        <w:rPr>
          <w:lang w:val="it-IT"/>
        </w:rPr>
      </w:pPr>
    </w:p>
    <w:tbl>
      <w:tblPr>
        <w:tblW w:w="6021"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99" w:type="dxa"/>
          <w:right w:w="99" w:type="dxa"/>
        </w:tblCellMar>
        <w:tblLook w:val="01E0" w:firstRow="1" w:lastRow="1" w:firstColumn="1" w:lastColumn="1" w:noHBand="0" w:noVBand="0"/>
      </w:tblPr>
      <w:tblGrid>
        <w:gridCol w:w="1757"/>
        <w:gridCol w:w="1112"/>
        <w:gridCol w:w="3152"/>
      </w:tblGrid>
      <w:tr w:rsidR="00E74270" w:rsidRPr="00DC1102" w:rsidTr="008233B3">
        <w:trPr>
          <w:trHeight w:val="178"/>
          <w:tblHeader/>
          <w:jc w:val="center"/>
        </w:trPr>
        <w:tc>
          <w:tcPr>
            <w:tcW w:w="1757" w:type="dxa"/>
            <w:tcBorders>
              <w:top w:val="single" w:sz="8" w:space="0" w:color="auto"/>
              <w:left w:val="single" w:sz="8" w:space="0" w:color="auto"/>
              <w:bottom w:val="single" w:sz="8" w:space="0" w:color="auto"/>
              <w:right w:val="single" w:sz="8" w:space="0" w:color="auto"/>
            </w:tcBorders>
            <w:shd w:val="clear" w:color="auto" w:fill="FFCC99"/>
            <w:vAlign w:val="center"/>
          </w:tcPr>
          <w:p w:rsidR="00E74270" w:rsidRPr="003410C7" w:rsidRDefault="00E74270" w:rsidP="00E74270">
            <w:pPr>
              <w:pStyle w:val="AppendixBodyText"/>
              <w:jc w:val="center"/>
              <w:rPr>
                <w:rFonts w:ascii="Tahoma" w:hAnsi="Tahoma" w:cs="Tahoma"/>
                <w:b/>
                <w:bCs/>
              </w:rPr>
            </w:pPr>
            <w:r w:rsidRPr="003410C7">
              <w:rPr>
                <w:rFonts w:ascii="Tahoma" w:hAnsi="Tahoma" w:cs="Tahoma"/>
                <w:b/>
                <w:bCs/>
              </w:rPr>
              <w:t>Valuta</w:t>
            </w:r>
          </w:p>
        </w:tc>
        <w:tc>
          <w:tcPr>
            <w:tcW w:w="1112" w:type="dxa"/>
            <w:tcBorders>
              <w:top w:val="single" w:sz="8" w:space="0" w:color="auto"/>
              <w:left w:val="single" w:sz="8" w:space="0" w:color="auto"/>
              <w:bottom w:val="single" w:sz="8" w:space="0" w:color="auto"/>
              <w:right w:val="single" w:sz="8" w:space="0" w:color="auto"/>
            </w:tcBorders>
            <w:shd w:val="clear" w:color="auto" w:fill="FFCC99"/>
            <w:vAlign w:val="center"/>
          </w:tcPr>
          <w:p w:rsidR="00E74270" w:rsidRPr="003410C7" w:rsidRDefault="00E74270" w:rsidP="00E74270">
            <w:pPr>
              <w:pStyle w:val="AppendixBodyText"/>
              <w:jc w:val="center"/>
              <w:rPr>
                <w:rFonts w:ascii="Tahoma" w:hAnsi="Tahoma" w:cs="Tahoma"/>
                <w:b/>
                <w:bCs/>
              </w:rPr>
            </w:pPr>
            <w:r w:rsidRPr="003410C7">
              <w:rPr>
                <w:rFonts w:ascii="Tahoma" w:hAnsi="Tahoma" w:cs="Tahoma"/>
                <w:b/>
                <w:bCs/>
              </w:rPr>
              <w:t>Codice Valuta</w:t>
            </w:r>
          </w:p>
        </w:tc>
        <w:tc>
          <w:tcPr>
            <w:tcW w:w="3152" w:type="dxa"/>
            <w:tcBorders>
              <w:top w:val="single" w:sz="8" w:space="0" w:color="auto"/>
              <w:left w:val="single" w:sz="8" w:space="0" w:color="auto"/>
              <w:bottom w:val="single" w:sz="8" w:space="0" w:color="auto"/>
              <w:right w:val="single" w:sz="8" w:space="0" w:color="auto"/>
            </w:tcBorders>
            <w:shd w:val="clear" w:color="auto" w:fill="FFCC99"/>
            <w:vAlign w:val="center"/>
          </w:tcPr>
          <w:p w:rsidR="00E74270" w:rsidRPr="00451078" w:rsidRDefault="00E74270" w:rsidP="00E74270">
            <w:pPr>
              <w:pStyle w:val="AppendixBodyText"/>
              <w:jc w:val="center"/>
              <w:rPr>
                <w:rFonts w:ascii="Tahoma" w:hAnsi="Tahoma" w:cs="Tahoma"/>
                <w:b/>
                <w:bCs/>
                <w:lang w:val="it-IT"/>
              </w:rPr>
            </w:pPr>
            <w:r w:rsidRPr="00451078">
              <w:rPr>
                <w:rFonts w:ascii="Tahoma" w:hAnsi="Tahoma" w:cs="Tahoma"/>
                <w:b/>
                <w:bCs/>
                <w:lang w:val="it-IT"/>
              </w:rPr>
              <w:t xml:space="preserve">Spesa Media Annuale Minima per SA per beneficiare del PRS Illimitato 24x7 </w:t>
            </w:r>
          </w:p>
        </w:tc>
      </w:tr>
      <w:tr w:rsidR="00E74270" w:rsidRPr="003410C7" w:rsidTr="008233B3">
        <w:trPr>
          <w:trHeight w:val="236"/>
          <w:jc w:val="center"/>
        </w:trPr>
        <w:tc>
          <w:tcPr>
            <w:tcW w:w="1757" w:type="dxa"/>
            <w:vAlign w:val="bottom"/>
          </w:tcPr>
          <w:p w:rsidR="00E74270" w:rsidRPr="003410C7" w:rsidRDefault="00E74270" w:rsidP="00E74270">
            <w:pPr>
              <w:pStyle w:val="AppendixBodyText"/>
              <w:rPr>
                <w:rFonts w:ascii="Tahoma" w:hAnsi="Tahoma" w:cs="Tahoma"/>
                <w:sz w:val="18"/>
                <w:szCs w:val="18"/>
              </w:rPr>
            </w:pPr>
            <w:r w:rsidRPr="003410C7">
              <w:rPr>
                <w:rFonts w:ascii="Tahoma" w:hAnsi="Tahoma" w:cs="Tahoma"/>
                <w:sz w:val="18"/>
                <w:szCs w:val="18"/>
              </w:rPr>
              <w:t>Dollaro statunitense</w:t>
            </w:r>
          </w:p>
        </w:tc>
        <w:tc>
          <w:tcPr>
            <w:tcW w:w="1112" w:type="dxa"/>
            <w:vAlign w:val="bottom"/>
          </w:tcPr>
          <w:p w:rsidR="00E74270" w:rsidRPr="003410C7" w:rsidRDefault="00E74270" w:rsidP="00E74270">
            <w:pPr>
              <w:pStyle w:val="AppendixBodyText"/>
              <w:jc w:val="center"/>
              <w:rPr>
                <w:rFonts w:ascii="Tahoma" w:hAnsi="Tahoma" w:cs="Tahoma"/>
                <w:sz w:val="18"/>
                <w:szCs w:val="18"/>
              </w:rPr>
            </w:pPr>
            <w:r w:rsidRPr="003410C7">
              <w:rPr>
                <w:rFonts w:ascii="Tahoma" w:hAnsi="Tahoma" w:cs="Tahoma"/>
                <w:sz w:val="18"/>
                <w:szCs w:val="18"/>
              </w:rPr>
              <w:t>USD</w:t>
            </w:r>
          </w:p>
        </w:tc>
        <w:tc>
          <w:tcPr>
            <w:tcW w:w="3152" w:type="dxa"/>
            <w:vAlign w:val="bottom"/>
          </w:tcPr>
          <w:p w:rsidR="00E74270" w:rsidRPr="003410C7" w:rsidRDefault="00E74270" w:rsidP="00214EC6">
            <w:pPr>
              <w:pStyle w:val="AppendixBodyText"/>
              <w:jc w:val="right"/>
              <w:rPr>
                <w:rFonts w:ascii="Tahoma" w:hAnsi="Tahoma" w:cs="Tahoma"/>
                <w:sz w:val="18"/>
                <w:szCs w:val="18"/>
              </w:rPr>
            </w:pPr>
            <w:r w:rsidRPr="003410C7">
              <w:rPr>
                <w:rFonts w:ascii="Tahoma" w:hAnsi="Tahoma" w:cs="Tahoma"/>
                <w:color w:val="000000"/>
                <w:sz w:val="18"/>
                <w:szCs w:val="18"/>
              </w:rPr>
              <w:t>250</w:t>
            </w:r>
            <w:r w:rsidR="00660D5F">
              <w:rPr>
                <w:rFonts w:ascii="Tahoma" w:hAnsi="Tahoma" w:cs="Tahoma"/>
                <w:color w:val="000000"/>
                <w:sz w:val="18"/>
                <w:szCs w:val="18"/>
              </w:rPr>
              <w:t>.</w:t>
            </w:r>
            <w:r w:rsidRPr="003410C7">
              <w:rPr>
                <w:rFonts w:ascii="Tahoma" w:hAnsi="Tahoma" w:cs="Tahoma"/>
                <w:color w:val="000000"/>
                <w:sz w:val="18"/>
                <w:szCs w:val="18"/>
              </w:rPr>
              <w:t>000</w:t>
            </w:r>
          </w:p>
        </w:tc>
      </w:tr>
      <w:tr w:rsidR="00E74270" w:rsidRPr="003410C7" w:rsidTr="008233B3">
        <w:trPr>
          <w:trHeight w:val="236"/>
          <w:jc w:val="center"/>
        </w:trPr>
        <w:tc>
          <w:tcPr>
            <w:tcW w:w="1757" w:type="dxa"/>
            <w:vAlign w:val="bottom"/>
          </w:tcPr>
          <w:p w:rsidR="00E74270" w:rsidRPr="003410C7" w:rsidRDefault="00E74270" w:rsidP="00E74270">
            <w:pPr>
              <w:pStyle w:val="AppendixBodyText"/>
              <w:rPr>
                <w:rFonts w:ascii="Tahoma" w:hAnsi="Tahoma" w:cs="Tahoma"/>
                <w:sz w:val="18"/>
                <w:szCs w:val="18"/>
              </w:rPr>
            </w:pPr>
            <w:r w:rsidRPr="003410C7">
              <w:rPr>
                <w:rFonts w:ascii="Tahoma" w:hAnsi="Tahoma" w:cs="Tahoma"/>
                <w:sz w:val="18"/>
                <w:szCs w:val="18"/>
              </w:rPr>
              <w:t>Dollaro australiano</w:t>
            </w:r>
          </w:p>
        </w:tc>
        <w:tc>
          <w:tcPr>
            <w:tcW w:w="1112" w:type="dxa"/>
            <w:vAlign w:val="bottom"/>
          </w:tcPr>
          <w:p w:rsidR="00E74270" w:rsidRPr="003410C7" w:rsidRDefault="00E74270" w:rsidP="00E74270">
            <w:pPr>
              <w:pStyle w:val="AppendixBodyText"/>
              <w:jc w:val="center"/>
              <w:rPr>
                <w:rFonts w:ascii="Tahoma" w:hAnsi="Tahoma" w:cs="Tahoma"/>
                <w:sz w:val="18"/>
                <w:szCs w:val="18"/>
              </w:rPr>
            </w:pPr>
            <w:r w:rsidRPr="003410C7">
              <w:rPr>
                <w:rFonts w:ascii="Tahoma" w:hAnsi="Tahoma" w:cs="Tahoma"/>
                <w:sz w:val="18"/>
                <w:szCs w:val="18"/>
              </w:rPr>
              <w:t>AUD</w:t>
            </w:r>
          </w:p>
        </w:tc>
        <w:tc>
          <w:tcPr>
            <w:tcW w:w="3152" w:type="dxa"/>
            <w:vAlign w:val="bottom"/>
          </w:tcPr>
          <w:p w:rsidR="00E74270" w:rsidRPr="003410C7" w:rsidRDefault="00E74270" w:rsidP="00214EC6">
            <w:pPr>
              <w:pStyle w:val="AppendixBodyText"/>
              <w:jc w:val="right"/>
              <w:rPr>
                <w:rFonts w:ascii="Tahoma" w:hAnsi="Tahoma" w:cs="Tahoma"/>
                <w:sz w:val="18"/>
                <w:szCs w:val="18"/>
              </w:rPr>
            </w:pPr>
            <w:r w:rsidRPr="003410C7">
              <w:rPr>
                <w:rFonts w:ascii="Tahoma" w:hAnsi="Tahoma" w:cs="Tahoma"/>
                <w:color w:val="000000"/>
                <w:sz w:val="18"/>
                <w:szCs w:val="18"/>
              </w:rPr>
              <w:t>375</w:t>
            </w:r>
            <w:r w:rsidR="00660D5F">
              <w:rPr>
                <w:rFonts w:ascii="Tahoma" w:hAnsi="Tahoma" w:cs="Tahoma"/>
                <w:color w:val="000000"/>
                <w:sz w:val="18"/>
                <w:szCs w:val="18"/>
              </w:rPr>
              <w:t>.</w:t>
            </w:r>
            <w:r w:rsidRPr="003410C7">
              <w:rPr>
                <w:rFonts w:ascii="Tahoma" w:hAnsi="Tahoma" w:cs="Tahoma"/>
                <w:color w:val="000000"/>
                <w:sz w:val="18"/>
                <w:szCs w:val="18"/>
              </w:rPr>
              <w:t>000</w:t>
            </w:r>
          </w:p>
        </w:tc>
      </w:tr>
      <w:tr w:rsidR="00E74270" w:rsidRPr="003410C7" w:rsidTr="008233B3">
        <w:trPr>
          <w:trHeight w:val="236"/>
          <w:jc w:val="center"/>
        </w:trPr>
        <w:tc>
          <w:tcPr>
            <w:tcW w:w="1757" w:type="dxa"/>
            <w:vAlign w:val="bottom"/>
          </w:tcPr>
          <w:p w:rsidR="00E74270" w:rsidRPr="003410C7" w:rsidRDefault="00E74270" w:rsidP="00E74270">
            <w:pPr>
              <w:pStyle w:val="AppendixBodyText"/>
              <w:rPr>
                <w:rFonts w:ascii="Tahoma" w:hAnsi="Tahoma" w:cs="Tahoma"/>
                <w:sz w:val="18"/>
                <w:szCs w:val="18"/>
              </w:rPr>
            </w:pPr>
            <w:r w:rsidRPr="003410C7">
              <w:rPr>
                <w:rFonts w:ascii="Tahoma" w:hAnsi="Tahoma" w:cs="Tahoma"/>
                <w:sz w:val="18"/>
                <w:szCs w:val="18"/>
              </w:rPr>
              <w:t>Dollaro canadese</w:t>
            </w:r>
          </w:p>
        </w:tc>
        <w:tc>
          <w:tcPr>
            <w:tcW w:w="1112" w:type="dxa"/>
            <w:vAlign w:val="bottom"/>
          </w:tcPr>
          <w:p w:rsidR="00E74270" w:rsidRPr="003410C7" w:rsidRDefault="00E74270" w:rsidP="00E74270">
            <w:pPr>
              <w:pStyle w:val="AppendixBodyText"/>
              <w:jc w:val="center"/>
              <w:rPr>
                <w:rFonts w:ascii="Tahoma" w:hAnsi="Tahoma" w:cs="Tahoma"/>
                <w:sz w:val="18"/>
                <w:szCs w:val="18"/>
              </w:rPr>
            </w:pPr>
            <w:r w:rsidRPr="003410C7">
              <w:rPr>
                <w:rFonts w:ascii="Tahoma" w:hAnsi="Tahoma" w:cs="Tahoma"/>
                <w:sz w:val="18"/>
                <w:szCs w:val="18"/>
              </w:rPr>
              <w:t>CAD</w:t>
            </w:r>
          </w:p>
        </w:tc>
        <w:tc>
          <w:tcPr>
            <w:tcW w:w="3152" w:type="dxa"/>
            <w:vAlign w:val="bottom"/>
          </w:tcPr>
          <w:p w:rsidR="00E74270" w:rsidRPr="003410C7" w:rsidRDefault="00E74270" w:rsidP="00214EC6">
            <w:pPr>
              <w:pStyle w:val="AppendixBodyText"/>
              <w:jc w:val="right"/>
              <w:rPr>
                <w:rFonts w:ascii="Tahoma" w:hAnsi="Tahoma" w:cs="Tahoma"/>
                <w:sz w:val="18"/>
                <w:szCs w:val="18"/>
              </w:rPr>
            </w:pPr>
            <w:r w:rsidRPr="003410C7">
              <w:rPr>
                <w:rFonts w:ascii="Tahoma" w:hAnsi="Tahoma" w:cs="Tahoma"/>
                <w:color w:val="000000"/>
                <w:sz w:val="18"/>
                <w:szCs w:val="18"/>
              </w:rPr>
              <w:t>337</w:t>
            </w:r>
            <w:r w:rsidR="00660D5F">
              <w:rPr>
                <w:rFonts w:ascii="Tahoma" w:hAnsi="Tahoma" w:cs="Tahoma"/>
                <w:color w:val="000000"/>
                <w:sz w:val="18"/>
                <w:szCs w:val="18"/>
              </w:rPr>
              <w:t>.</w:t>
            </w:r>
            <w:r w:rsidRPr="003410C7">
              <w:rPr>
                <w:rFonts w:ascii="Tahoma" w:hAnsi="Tahoma" w:cs="Tahoma"/>
                <w:color w:val="000000"/>
                <w:sz w:val="18"/>
                <w:szCs w:val="18"/>
              </w:rPr>
              <w:t>500</w:t>
            </w:r>
          </w:p>
        </w:tc>
      </w:tr>
      <w:tr w:rsidR="00E74270" w:rsidRPr="003410C7" w:rsidTr="008233B3">
        <w:trPr>
          <w:trHeight w:val="236"/>
          <w:jc w:val="center"/>
        </w:trPr>
        <w:tc>
          <w:tcPr>
            <w:tcW w:w="1757" w:type="dxa"/>
            <w:vAlign w:val="bottom"/>
          </w:tcPr>
          <w:p w:rsidR="00E74270" w:rsidRPr="003410C7" w:rsidRDefault="00E74270" w:rsidP="00E74270">
            <w:pPr>
              <w:pStyle w:val="AppendixBodyText"/>
              <w:rPr>
                <w:rFonts w:ascii="Tahoma" w:hAnsi="Tahoma" w:cs="Tahoma"/>
                <w:sz w:val="18"/>
                <w:szCs w:val="18"/>
              </w:rPr>
            </w:pPr>
            <w:r w:rsidRPr="003410C7">
              <w:rPr>
                <w:rFonts w:ascii="Tahoma" w:hAnsi="Tahoma" w:cs="Tahoma"/>
                <w:sz w:val="18"/>
                <w:szCs w:val="18"/>
              </w:rPr>
              <w:t>Franco svizzero</w:t>
            </w:r>
          </w:p>
        </w:tc>
        <w:tc>
          <w:tcPr>
            <w:tcW w:w="1112" w:type="dxa"/>
            <w:vAlign w:val="bottom"/>
          </w:tcPr>
          <w:p w:rsidR="00E74270" w:rsidRPr="003410C7" w:rsidRDefault="00E74270" w:rsidP="00E74270">
            <w:pPr>
              <w:pStyle w:val="AppendixBodyText"/>
              <w:jc w:val="center"/>
              <w:rPr>
                <w:rFonts w:ascii="Tahoma" w:hAnsi="Tahoma" w:cs="Tahoma"/>
                <w:sz w:val="18"/>
                <w:szCs w:val="18"/>
              </w:rPr>
            </w:pPr>
            <w:r w:rsidRPr="003410C7">
              <w:rPr>
                <w:rFonts w:ascii="Tahoma" w:hAnsi="Tahoma" w:cs="Tahoma"/>
                <w:sz w:val="18"/>
                <w:szCs w:val="18"/>
              </w:rPr>
              <w:t>CHF</w:t>
            </w:r>
          </w:p>
        </w:tc>
        <w:tc>
          <w:tcPr>
            <w:tcW w:w="3152" w:type="dxa"/>
            <w:vAlign w:val="bottom"/>
          </w:tcPr>
          <w:p w:rsidR="00E74270" w:rsidRPr="003410C7" w:rsidRDefault="00E74270" w:rsidP="00214EC6">
            <w:pPr>
              <w:pStyle w:val="AppendixBodyText"/>
              <w:jc w:val="right"/>
              <w:rPr>
                <w:rFonts w:ascii="Tahoma" w:hAnsi="Tahoma" w:cs="Tahoma"/>
                <w:sz w:val="18"/>
                <w:szCs w:val="18"/>
              </w:rPr>
            </w:pPr>
            <w:r w:rsidRPr="003410C7">
              <w:rPr>
                <w:rFonts w:ascii="Tahoma" w:hAnsi="Tahoma" w:cs="Tahoma"/>
                <w:color w:val="000000"/>
                <w:sz w:val="18"/>
                <w:szCs w:val="18"/>
              </w:rPr>
              <w:t>412</w:t>
            </w:r>
            <w:r w:rsidR="00660D5F">
              <w:rPr>
                <w:rFonts w:ascii="Tahoma" w:hAnsi="Tahoma" w:cs="Tahoma"/>
                <w:color w:val="000000"/>
                <w:sz w:val="18"/>
                <w:szCs w:val="18"/>
              </w:rPr>
              <w:t>.</w:t>
            </w:r>
            <w:r w:rsidRPr="003410C7">
              <w:rPr>
                <w:rFonts w:ascii="Tahoma" w:hAnsi="Tahoma" w:cs="Tahoma"/>
                <w:color w:val="000000"/>
                <w:sz w:val="18"/>
                <w:szCs w:val="18"/>
              </w:rPr>
              <w:t>500</w:t>
            </w:r>
          </w:p>
        </w:tc>
      </w:tr>
      <w:tr w:rsidR="00E74270" w:rsidRPr="003410C7" w:rsidTr="008233B3">
        <w:trPr>
          <w:trHeight w:val="236"/>
          <w:jc w:val="center"/>
        </w:trPr>
        <w:tc>
          <w:tcPr>
            <w:tcW w:w="1757" w:type="dxa"/>
            <w:vAlign w:val="bottom"/>
          </w:tcPr>
          <w:p w:rsidR="00E74270" w:rsidRPr="003410C7" w:rsidRDefault="00E74270" w:rsidP="00E74270">
            <w:pPr>
              <w:pStyle w:val="AppendixBodyText"/>
              <w:rPr>
                <w:rFonts w:ascii="Tahoma" w:hAnsi="Tahoma" w:cs="Tahoma"/>
                <w:sz w:val="18"/>
                <w:szCs w:val="18"/>
              </w:rPr>
            </w:pPr>
            <w:r w:rsidRPr="003410C7">
              <w:rPr>
                <w:rFonts w:ascii="Tahoma" w:hAnsi="Tahoma" w:cs="Tahoma"/>
                <w:sz w:val="18"/>
                <w:szCs w:val="18"/>
              </w:rPr>
              <w:lastRenderedPageBreak/>
              <w:t>Renminbi cinese</w:t>
            </w:r>
          </w:p>
        </w:tc>
        <w:tc>
          <w:tcPr>
            <w:tcW w:w="1112" w:type="dxa"/>
            <w:vAlign w:val="bottom"/>
          </w:tcPr>
          <w:p w:rsidR="00E74270" w:rsidRPr="003410C7" w:rsidRDefault="00E74270" w:rsidP="00E74270">
            <w:pPr>
              <w:pStyle w:val="AppendixBodyText"/>
              <w:jc w:val="center"/>
              <w:rPr>
                <w:rFonts w:ascii="Tahoma" w:hAnsi="Tahoma" w:cs="Tahoma"/>
                <w:sz w:val="18"/>
                <w:szCs w:val="18"/>
              </w:rPr>
            </w:pPr>
            <w:r w:rsidRPr="003410C7">
              <w:rPr>
                <w:rFonts w:ascii="Tahoma" w:hAnsi="Tahoma" w:cs="Tahoma"/>
                <w:sz w:val="18"/>
                <w:szCs w:val="18"/>
              </w:rPr>
              <w:t>CNY</w:t>
            </w:r>
          </w:p>
        </w:tc>
        <w:tc>
          <w:tcPr>
            <w:tcW w:w="3152" w:type="dxa"/>
            <w:vAlign w:val="bottom"/>
          </w:tcPr>
          <w:p w:rsidR="00E74270" w:rsidRPr="003410C7" w:rsidRDefault="00E74270" w:rsidP="00214EC6">
            <w:pPr>
              <w:pStyle w:val="AppendixBodyText"/>
              <w:jc w:val="right"/>
              <w:rPr>
                <w:rFonts w:ascii="Tahoma" w:hAnsi="Tahoma" w:cs="Tahoma"/>
                <w:sz w:val="18"/>
                <w:szCs w:val="18"/>
              </w:rPr>
            </w:pPr>
            <w:r w:rsidRPr="003410C7">
              <w:rPr>
                <w:rFonts w:ascii="Tahoma" w:hAnsi="Tahoma" w:cs="Tahoma"/>
                <w:color w:val="000000"/>
                <w:sz w:val="18"/>
                <w:szCs w:val="18"/>
              </w:rPr>
              <w:t>2</w:t>
            </w:r>
            <w:r w:rsidR="00660D5F">
              <w:rPr>
                <w:rFonts w:ascii="Tahoma" w:hAnsi="Tahoma" w:cs="Tahoma"/>
                <w:color w:val="000000"/>
                <w:sz w:val="18"/>
                <w:szCs w:val="18"/>
              </w:rPr>
              <w:t>.</w:t>
            </w:r>
            <w:r w:rsidRPr="003410C7">
              <w:rPr>
                <w:rFonts w:ascii="Tahoma" w:hAnsi="Tahoma" w:cs="Tahoma"/>
                <w:color w:val="000000"/>
                <w:sz w:val="18"/>
                <w:szCs w:val="18"/>
              </w:rPr>
              <w:t>062</w:t>
            </w:r>
            <w:r w:rsidR="00660D5F">
              <w:rPr>
                <w:rFonts w:ascii="Tahoma" w:hAnsi="Tahoma" w:cs="Tahoma"/>
                <w:color w:val="000000"/>
                <w:sz w:val="18"/>
                <w:szCs w:val="18"/>
              </w:rPr>
              <w:t>.</w:t>
            </w:r>
            <w:r w:rsidRPr="003410C7">
              <w:rPr>
                <w:rFonts w:ascii="Tahoma" w:hAnsi="Tahoma" w:cs="Tahoma"/>
                <w:color w:val="000000"/>
                <w:sz w:val="18"/>
                <w:szCs w:val="18"/>
              </w:rPr>
              <w:t>500</w:t>
            </w:r>
          </w:p>
        </w:tc>
      </w:tr>
      <w:tr w:rsidR="00E74270" w:rsidRPr="003410C7" w:rsidTr="008233B3">
        <w:trPr>
          <w:trHeight w:val="236"/>
          <w:jc w:val="center"/>
        </w:trPr>
        <w:tc>
          <w:tcPr>
            <w:tcW w:w="1757" w:type="dxa"/>
            <w:vAlign w:val="bottom"/>
          </w:tcPr>
          <w:p w:rsidR="00E74270" w:rsidRPr="003410C7" w:rsidRDefault="00E74270" w:rsidP="00E74270">
            <w:pPr>
              <w:pStyle w:val="AppendixBodyText"/>
              <w:rPr>
                <w:rFonts w:ascii="Tahoma" w:hAnsi="Tahoma" w:cs="Tahoma"/>
                <w:sz w:val="18"/>
                <w:szCs w:val="18"/>
              </w:rPr>
            </w:pPr>
            <w:r w:rsidRPr="003410C7">
              <w:rPr>
                <w:rFonts w:ascii="Tahoma" w:hAnsi="Tahoma" w:cs="Tahoma"/>
                <w:sz w:val="18"/>
                <w:szCs w:val="18"/>
              </w:rPr>
              <w:t>Corone Danesi</w:t>
            </w:r>
          </w:p>
        </w:tc>
        <w:tc>
          <w:tcPr>
            <w:tcW w:w="1112" w:type="dxa"/>
            <w:vAlign w:val="bottom"/>
          </w:tcPr>
          <w:p w:rsidR="00E74270" w:rsidRPr="003410C7" w:rsidRDefault="00E74270" w:rsidP="00E74270">
            <w:pPr>
              <w:pStyle w:val="AppendixBodyText"/>
              <w:jc w:val="center"/>
              <w:rPr>
                <w:rFonts w:ascii="Tahoma" w:hAnsi="Tahoma" w:cs="Tahoma"/>
                <w:sz w:val="18"/>
                <w:szCs w:val="18"/>
              </w:rPr>
            </w:pPr>
            <w:r w:rsidRPr="003410C7">
              <w:rPr>
                <w:rFonts w:ascii="Tahoma" w:hAnsi="Tahoma" w:cs="Tahoma"/>
                <w:sz w:val="18"/>
                <w:szCs w:val="18"/>
              </w:rPr>
              <w:t>DKK</w:t>
            </w:r>
          </w:p>
        </w:tc>
        <w:tc>
          <w:tcPr>
            <w:tcW w:w="3152" w:type="dxa"/>
            <w:vAlign w:val="bottom"/>
          </w:tcPr>
          <w:p w:rsidR="00E74270" w:rsidRPr="003410C7" w:rsidRDefault="00E74270" w:rsidP="00214EC6">
            <w:pPr>
              <w:pStyle w:val="AppendixBodyText"/>
              <w:jc w:val="right"/>
              <w:rPr>
                <w:rFonts w:ascii="Tahoma" w:hAnsi="Tahoma" w:cs="Tahoma"/>
                <w:sz w:val="18"/>
                <w:szCs w:val="18"/>
              </w:rPr>
            </w:pPr>
            <w:r w:rsidRPr="003410C7">
              <w:rPr>
                <w:rFonts w:ascii="Tahoma" w:hAnsi="Tahoma" w:cs="Tahoma"/>
                <w:color w:val="000000"/>
                <w:sz w:val="18"/>
                <w:szCs w:val="18"/>
              </w:rPr>
              <w:t>2</w:t>
            </w:r>
            <w:r w:rsidR="00660D5F">
              <w:rPr>
                <w:rFonts w:ascii="Tahoma" w:hAnsi="Tahoma" w:cs="Tahoma"/>
                <w:color w:val="000000"/>
                <w:sz w:val="18"/>
                <w:szCs w:val="18"/>
              </w:rPr>
              <w:t>.</w:t>
            </w:r>
            <w:r w:rsidRPr="003410C7">
              <w:rPr>
                <w:rFonts w:ascii="Tahoma" w:hAnsi="Tahoma" w:cs="Tahoma"/>
                <w:color w:val="000000"/>
                <w:sz w:val="18"/>
                <w:szCs w:val="18"/>
              </w:rPr>
              <w:t>000</w:t>
            </w:r>
            <w:r w:rsidR="00660D5F">
              <w:rPr>
                <w:rFonts w:ascii="Tahoma" w:hAnsi="Tahoma" w:cs="Tahoma"/>
                <w:color w:val="000000"/>
                <w:sz w:val="18"/>
                <w:szCs w:val="18"/>
              </w:rPr>
              <w:t>.</w:t>
            </w:r>
            <w:r w:rsidRPr="003410C7">
              <w:rPr>
                <w:rFonts w:ascii="Tahoma" w:hAnsi="Tahoma" w:cs="Tahoma"/>
                <w:color w:val="000000"/>
                <w:sz w:val="18"/>
                <w:szCs w:val="18"/>
              </w:rPr>
              <w:t>000</w:t>
            </w:r>
          </w:p>
        </w:tc>
      </w:tr>
      <w:tr w:rsidR="00E74270" w:rsidRPr="003410C7" w:rsidTr="008233B3">
        <w:trPr>
          <w:trHeight w:val="236"/>
          <w:jc w:val="center"/>
        </w:trPr>
        <w:tc>
          <w:tcPr>
            <w:tcW w:w="1757" w:type="dxa"/>
            <w:vAlign w:val="bottom"/>
          </w:tcPr>
          <w:p w:rsidR="00E74270" w:rsidRPr="003410C7" w:rsidRDefault="00E74270" w:rsidP="00E74270">
            <w:pPr>
              <w:pStyle w:val="AppendixBodyText"/>
              <w:rPr>
                <w:rFonts w:ascii="Tahoma" w:hAnsi="Tahoma" w:cs="Tahoma"/>
                <w:sz w:val="18"/>
                <w:szCs w:val="18"/>
              </w:rPr>
            </w:pPr>
            <w:r w:rsidRPr="003410C7">
              <w:rPr>
                <w:rFonts w:ascii="Tahoma" w:hAnsi="Tahoma" w:cs="Tahoma"/>
                <w:sz w:val="18"/>
                <w:szCs w:val="18"/>
              </w:rPr>
              <w:t>EURO</w:t>
            </w:r>
          </w:p>
        </w:tc>
        <w:tc>
          <w:tcPr>
            <w:tcW w:w="1112" w:type="dxa"/>
            <w:vAlign w:val="bottom"/>
          </w:tcPr>
          <w:p w:rsidR="00E74270" w:rsidRPr="003410C7" w:rsidRDefault="00E74270" w:rsidP="00E74270">
            <w:pPr>
              <w:pStyle w:val="AppendixBodyText"/>
              <w:jc w:val="center"/>
              <w:rPr>
                <w:rFonts w:ascii="Tahoma" w:hAnsi="Tahoma" w:cs="Tahoma"/>
                <w:sz w:val="18"/>
                <w:szCs w:val="18"/>
              </w:rPr>
            </w:pPr>
            <w:r w:rsidRPr="003410C7">
              <w:rPr>
                <w:rFonts w:ascii="Tahoma" w:hAnsi="Tahoma" w:cs="Tahoma"/>
                <w:sz w:val="18"/>
                <w:szCs w:val="18"/>
              </w:rPr>
              <w:t>EUR</w:t>
            </w:r>
          </w:p>
        </w:tc>
        <w:tc>
          <w:tcPr>
            <w:tcW w:w="3152" w:type="dxa"/>
            <w:vAlign w:val="bottom"/>
          </w:tcPr>
          <w:p w:rsidR="00E74270" w:rsidRPr="003410C7" w:rsidRDefault="00E74270" w:rsidP="00214EC6">
            <w:pPr>
              <w:pStyle w:val="AppendixBodyText"/>
              <w:jc w:val="right"/>
              <w:rPr>
                <w:rFonts w:ascii="Tahoma" w:hAnsi="Tahoma" w:cs="Tahoma"/>
                <w:sz w:val="18"/>
                <w:szCs w:val="18"/>
              </w:rPr>
            </w:pPr>
            <w:r w:rsidRPr="003410C7">
              <w:rPr>
                <w:rFonts w:ascii="Tahoma" w:hAnsi="Tahoma" w:cs="Tahoma"/>
                <w:color w:val="000000"/>
                <w:sz w:val="18"/>
                <w:szCs w:val="18"/>
              </w:rPr>
              <w:t>268</w:t>
            </w:r>
            <w:r w:rsidR="00660D5F">
              <w:rPr>
                <w:rFonts w:ascii="Tahoma" w:hAnsi="Tahoma" w:cs="Tahoma"/>
                <w:color w:val="000000"/>
                <w:sz w:val="18"/>
                <w:szCs w:val="18"/>
              </w:rPr>
              <w:t>.</w:t>
            </w:r>
            <w:r w:rsidRPr="003410C7">
              <w:rPr>
                <w:rFonts w:ascii="Tahoma" w:hAnsi="Tahoma" w:cs="Tahoma"/>
                <w:color w:val="000000"/>
                <w:sz w:val="18"/>
                <w:szCs w:val="18"/>
              </w:rPr>
              <w:t>750</w:t>
            </w:r>
          </w:p>
        </w:tc>
      </w:tr>
      <w:tr w:rsidR="00E74270" w:rsidRPr="003410C7" w:rsidTr="008233B3">
        <w:trPr>
          <w:trHeight w:val="236"/>
          <w:jc w:val="center"/>
        </w:trPr>
        <w:tc>
          <w:tcPr>
            <w:tcW w:w="1757" w:type="dxa"/>
            <w:vAlign w:val="bottom"/>
          </w:tcPr>
          <w:p w:rsidR="00E74270" w:rsidRPr="003410C7" w:rsidRDefault="00E74270" w:rsidP="00E74270">
            <w:pPr>
              <w:pStyle w:val="AppendixBodyText"/>
              <w:rPr>
                <w:rFonts w:ascii="Tahoma" w:hAnsi="Tahoma" w:cs="Tahoma"/>
                <w:sz w:val="18"/>
                <w:szCs w:val="18"/>
              </w:rPr>
            </w:pPr>
            <w:r w:rsidRPr="003410C7">
              <w:rPr>
                <w:rFonts w:ascii="Tahoma" w:hAnsi="Tahoma" w:cs="Tahoma"/>
                <w:sz w:val="18"/>
                <w:szCs w:val="18"/>
              </w:rPr>
              <w:t>Sterlina britannica</w:t>
            </w:r>
          </w:p>
        </w:tc>
        <w:tc>
          <w:tcPr>
            <w:tcW w:w="1112" w:type="dxa"/>
            <w:vAlign w:val="bottom"/>
          </w:tcPr>
          <w:p w:rsidR="00E74270" w:rsidRPr="003410C7" w:rsidRDefault="00E74270" w:rsidP="00E74270">
            <w:pPr>
              <w:pStyle w:val="AppendixBodyText"/>
              <w:jc w:val="center"/>
              <w:rPr>
                <w:rFonts w:ascii="Tahoma" w:hAnsi="Tahoma" w:cs="Tahoma"/>
                <w:sz w:val="18"/>
                <w:szCs w:val="18"/>
              </w:rPr>
            </w:pPr>
            <w:r w:rsidRPr="003410C7">
              <w:rPr>
                <w:rFonts w:ascii="Tahoma" w:hAnsi="Tahoma" w:cs="Tahoma"/>
                <w:sz w:val="18"/>
                <w:szCs w:val="18"/>
              </w:rPr>
              <w:t>GBP</w:t>
            </w:r>
          </w:p>
        </w:tc>
        <w:tc>
          <w:tcPr>
            <w:tcW w:w="3152" w:type="dxa"/>
            <w:vAlign w:val="bottom"/>
          </w:tcPr>
          <w:p w:rsidR="00E74270" w:rsidRPr="003410C7" w:rsidRDefault="00E74270" w:rsidP="00214EC6">
            <w:pPr>
              <w:pStyle w:val="AppendixBodyText"/>
              <w:jc w:val="right"/>
              <w:rPr>
                <w:rFonts w:ascii="Tahoma" w:hAnsi="Tahoma" w:cs="Tahoma"/>
                <w:sz w:val="18"/>
                <w:szCs w:val="18"/>
              </w:rPr>
            </w:pPr>
            <w:r w:rsidRPr="003410C7">
              <w:rPr>
                <w:rFonts w:ascii="Tahoma" w:hAnsi="Tahoma" w:cs="Tahoma"/>
                <w:color w:val="000000"/>
                <w:sz w:val="18"/>
                <w:szCs w:val="18"/>
              </w:rPr>
              <w:t>168</w:t>
            </w:r>
            <w:r w:rsidR="00660D5F">
              <w:rPr>
                <w:rFonts w:ascii="Tahoma" w:hAnsi="Tahoma" w:cs="Tahoma"/>
                <w:color w:val="000000"/>
                <w:sz w:val="18"/>
                <w:szCs w:val="18"/>
              </w:rPr>
              <w:t>.</w:t>
            </w:r>
            <w:r w:rsidRPr="003410C7">
              <w:rPr>
                <w:rFonts w:ascii="Tahoma" w:hAnsi="Tahoma" w:cs="Tahoma"/>
                <w:color w:val="000000"/>
                <w:sz w:val="18"/>
                <w:szCs w:val="18"/>
              </w:rPr>
              <w:t>750</w:t>
            </w:r>
          </w:p>
        </w:tc>
      </w:tr>
      <w:tr w:rsidR="00E74270" w:rsidRPr="003410C7" w:rsidTr="008233B3">
        <w:trPr>
          <w:trHeight w:val="236"/>
          <w:jc w:val="center"/>
        </w:trPr>
        <w:tc>
          <w:tcPr>
            <w:tcW w:w="1757" w:type="dxa"/>
            <w:vAlign w:val="bottom"/>
          </w:tcPr>
          <w:p w:rsidR="00E74270" w:rsidRPr="003410C7" w:rsidRDefault="00E74270" w:rsidP="00E74270">
            <w:pPr>
              <w:pStyle w:val="AppendixBodyText"/>
              <w:rPr>
                <w:rFonts w:ascii="Tahoma" w:hAnsi="Tahoma" w:cs="Tahoma"/>
                <w:sz w:val="18"/>
                <w:szCs w:val="18"/>
              </w:rPr>
            </w:pPr>
            <w:r w:rsidRPr="003410C7">
              <w:rPr>
                <w:rFonts w:ascii="Tahoma" w:hAnsi="Tahoma" w:cs="Tahoma"/>
                <w:sz w:val="18"/>
                <w:szCs w:val="18"/>
              </w:rPr>
              <w:t>Yen Giapponesi</w:t>
            </w:r>
          </w:p>
        </w:tc>
        <w:tc>
          <w:tcPr>
            <w:tcW w:w="1112" w:type="dxa"/>
            <w:vAlign w:val="bottom"/>
          </w:tcPr>
          <w:p w:rsidR="00E74270" w:rsidRPr="003410C7" w:rsidRDefault="00E74270" w:rsidP="00E74270">
            <w:pPr>
              <w:pStyle w:val="AppendixBodyText"/>
              <w:jc w:val="center"/>
              <w:rPr>
                <w:rFonts w:ascii="Tahoma" w:hAnsi="Tahoma" w:cs="Tahoma"/>
                <w:sz w:val="18"/>
                <w:szCs w:val="18"/>
              </w:rPr>
            </w:pPr>
            <w:r w:rsidRPr="003410C7">
              <w:rPr>
                <w:rFonts w:ascii="Tahoma" w:hAnsi="Tahoma" w:cs="Tahoma"/>
                <w:sz w:val="18"/>
                <w:szCs w:val="18"/>
              </w:rPr>
              <w:t>JPY</w:t>
            </w:r>
          </w:p>
        </w:tc>
        <w:tc>
          <w:tcPr>
            <w:tcW w:w="3152" w:type="dxa"/>
            <w:vAlign w:val="bottom"/>
          </w:tcPr>
          <w:p w:rsidR="00E74270" w:rsidRPr="003410C7" w:rsidRDefault="00E74270" w:rsidP="00214EC6">
            <w:pPr>
              <w:pStyle w:val="AppendixBodyText"/>
              <w:jc w:val="right"/>
              <w:rPr>
                <w:rFonts w:ascii="Tahoma" w:hAnsi="Tahoma" w:cs="Tahoma"/>
                <w:sz w:val="18"/>
                <w:szCs w:val="18"/>
              </w:rPr>
            </w:pPr>
            <w:r w:rsidRPr="003410C7">
              <w:rPr>
                <w:rFonts w:ascii="Tahoma" w:hAnsi="Tahoma" w:cs="Tahoma"/>
                <w:color w:val="000000"/>
                <w:sz w:val="18"/>
                <w:szCs w:val="18"/>
              </w:rPr>
              <w:t>30</w:t>
            </w:r>
            <w:r w:rsidR="00660D5F">
              <w:rPr>
                <w:rFonts w:ascii="Tahoma" w:hAnsi="Tahoma" w:cs="Tahoma"/>
                <w:color w:val="000000"/>
                <w:sz w:val="18"/>
                <w:szCs w:val="18"/>
              </w:rPr>
              <w:t>.</w:t>
            </w:r>
            <w:r w:rsidRPr="003410C7">
              <w:rPr>
                <w:rFonts w:ascii="Tahoma" w:hAnsi="Tahoma" w:cs="Tahoma"/>
                <w:color w:val="000000"/>
                <w:sz w:val="18"/>
                <w:szCs w:val="18"/>
              </w:rPr>
              <w:t>000</w:t>
            </w:r>
            <w:r w:rsidR="00660D5F">
              <w:rPr>
                <w:rFonts w:ascii="Tahoma" w:hAnsi="Tahoma" w:cs="Tahoma"/>
                <w:color w:val="000000"/>
                <w:sz w:val="18"/>
                <w:szCs w:val="18"/>
              </w:rPr>
              <w:t>.</w:t>
            </w:r>
            <w:r w:rsidRPr="003410C7">
              <w:rPr>
                <w:rFonts w:ascii="Tahoma" w:hAnsi="Tahoma" w:cs="Tahoma"/>
                <w:color w:val="000000"/>
                <w:sz w:val="18"/>
                <w:szCs w:val="18"/>
              </w:rPr>
              <w:t>000</w:t>
            </w:r>
          </w:p>
        </w:tc>
      </w:tr>
      <w:tr w:rsidR="00E74270" w:rsidRPr="003410C7" w:rsidTr="008233B3">
        <w:trPr>
          <w:trHeight w:val="236"/>
          <w:jc w:val="center"/>
        </w:trPr>
        <w:tc>
          <w:tcPr>
            <w:tcW w:w="1757" w:type="dxa"/>
            <w:vAlign w:val="bottom"/>
          </w:tcPr>
          <w:p w:rsidR="00E74270" w:rsidRPr="003410C7" w:rsidRDefault="00E74270" w:rsidP="00E74270">
            <w:pPr>
              <w:pStyle w:val="AppendixBodyText"/>
              <w:rPr>
                <w:rFonts w:ascii="Tahoma" w:hAnsi="Tahoma" w:cs="Tahoma"/>
                <w:sz w:val="18"/>
                <w:szCs w:val="18"/>
              </w:rPr>
            </w:pPr>
            <w:r w:rsidRPr="003410C7">
              <w:rPr>
                <w:rFonts w:ascii="Tahoma" w:hAnsi="Tahoma" w:cs="Tahoma"/>
                <w:sz w:val="18"/>
                <w:szCs w:val="18"/>
              </w:rPr>
              <w:t>Won Coreani</w:t>
            </w:r>
          </w:p>
        </w:tc>
        <w:tc>
          <w:tcPr>
            <w:tcW w:w="1112" w:type="dxa"/>
            <w:vAlign w:val="bottom"/>
          </w:tcPr>
          <w:p w:rsidR="00E74270" w:rsidRPr="003410C7" w:rsidRDefault="00E74270" w:rsidP="00E74270">
            <w:pPr>
              <w:pStyle w:val="AppendixBodyText"/>
              <w:jc w:val="center"/>
              <w:rPr>
                <w:rFonts w:ascii="Tahoma" w:hAnsi="Tahoma" w:cs="Tahoma"/>
                <w:sz w:val="18"/>
                <w:szCs w:val="18"/>
              </w:rPr>
            </w:pPr>
            <w:r w:rsidRPr="003410C7">
              <w:rPr>
                <w:rFonts w:ascii="Tahoma" w:hAnsi="Tahoma" w:cs="Tahoma"/>
                <w:sz w:val="18"/>
                <w:szCs w:val="18"/>
              </w:rPr>
              <w:t>KRW</w:t>
            </w:r>
          </w:p>
        </w:tc>
        <w:tc>
          <w:tcPr>
            <w:tcW w:w="3152" w:type="dxa"/>
            <w:vAlign w:val="bottom"/>
          </w:tcPr>
          <w:p w:rsidR="00E74270" w:rsidRPr="003410C7" w:rsidRDefault="00E74270" w:rsidP="00214EC6">
            <w:pPr>
              <w:pStyle w:val="AppendixBodyText"/>
              <w:jc w:val="right"/>
              <w:rPr>
                <w:rFonts w:ascii="Tahoma" w:hAnsi="Tahoma" w:cs="Tahoma"/>
                <w:sz w:val="18"/>
                <w:szCs w:val="18"/>
              </w:rPr>
            </w:pPr>
            <w:r w:rsidRPr="003410C7">
              <w:rPr>
                <w:rFonts w:ascii="Tahoma" w:hAnsi="Tahoma" w:cs="Tahoma"/>
                <w:color w:val="000000"/>
                <w:sz w:val="18"/>
                <w:szCs w:val="18"/>
              </w:rPr>
              <w:t>300</w:t>
            </w:r>
            <w:r w:rsidR="00660D5F">
              <w:rPr>
                <w:rFonts w:ascii="Tahoma" w:hAnsi="Tahoma" w:cs="Tahoma"/>
                <w:color w:val="000000"/>
                <w:sz w:val="18"/>
                <w:szCs w:val="18"/>
              </w:rPr>
              <w:t>.</w:t>
            </w:r>
            <w:r w:rsidRPr="003410C7">
              <w:rPr>
                <w:rFonts w:ascii="Tahoma" w:hAnsi="Tahoma" w:cs="Tahoma"/>
                <w:color w:val="000000"/>
                <w:sz w:val="18"/>
                <w:szCs w:val="18"/>
              </w:rPr>
              <w:t>000</w:t>
            </w:r>
            <w:r w:rsidR="00660D5F">
              <w:rPr>
                <w:rFonts w:ascii="Tahoma" w:hAnsi="Tahoma" w:cs="Tahoma"/>
                <w:color w:val="000000"/>
                <w:sz w:val="18"/>
                <w:szCs w:val="18"/>
              </w:rPr>
              <w:t>.</w:t>
            </w:r>
            <w:r w:rsidRPr="003410C7">
              <w:rPr>
                <w:rFonts w:ascii="Tahoma" w:hAnsi="Tahoma" w:cs="Tahoma"/>
                <w:color w:val="000000"/>
                <w:sz w:val="18"/>
                <w:szCs w:val="18"/>
              </w:rPr>
              <w:t>000</w:t>
            </w:r>
          </w:p>
        </w:tc>
      </w:tr>
      <w:tr w:rsidR="00E74270" w:rsidRPr="003410C7" w:rsidTr="008233B3">
        <w:trPr>
          <w:trHeight w:val="236"/>
          <w:jc w:val="center"/>
        </w:trPr>
        <w:tc>
          <w:tcPr>
            <w:tcW w:w="1757" w:type="dxa"/>
            <w:vAlign w:val="bottom"/>
          </w:tcPr>
          <w:p w:rsidR="00E74270" w:rsidRPr="003410C7" w:rsidRDefault="00E74270" w:rsidP="00E74270">
            <w:pPr>
              <w:pStyle w:val="AppendixBodyText"/>
              <w:rPr>
                <w:rFonts w:ascii="Tahoma" w:hAnsi="Tahoma" w:cs="Tahoma"/>
                <w:sz w:val="18"/>
                <w:szCs w:val="18"/>
              </w:rPr>
            </w:pPr>
            <w:r w:rsidRPr="003410C7">
              <w:rPr>
                <w:rFonts w:ascii="Tahoma" w:hAnsi="Tahoma" w:cs="Tahoma"/>
                <w:sz w:val="18"/>
                <w:szCs w:val="18"/>
              </w:rPr>
              <w:t>Corone Norvegesi</w:t>
            </w:r>
          </w:p>
        </w:tc>
        <w:tc>
          <w:tcPr>
            <w:tcW w:w="1112" w:type="dxa"/>
            <w:vAlign w:val="bottom"/>
          </w:tcPr>
          <w:p w:rsidR="00E74270" w:rsidRPr="003410C7" w:rsidRDefault="00E74270" w:rsidP="00E74270">
            <w:pPr>
              <w:pStyle w:val="AppendixBodyText"/>
              <w:jc w:val="center"/>
              <w:rPr>
                <w:rFonts w:ascii="Tahoma" w:hAnsi="Tahoma" w:cs="Tahoma"/>
                <w:sz w:val="18"/>
                <w:szCs w:val="18"/>
              </w:rPr>
            </w:pPr>
            <w:r w:rsidRPr="003410C7">
              <w:rPr>
                <w:rFonts w:ascii="Tahoma" w:hAnsi="Tahoma" w:cs="Tahoma"/>
                <w:sz w:val="18"/>
                <w:szCs w:val="18"/>
              </w:rPr>
              <w:t>NOK</w:t>
            </w:r>
          </w:p>
        </w:tc>
        <w:tc>
          <w:tcPr>
            <w:tcW w:w="3152" w:type="dxa"/>
            <w:vAlign w:val="bottom"/>
          </w:tcPr>
          <w:p w:rsidR="00E74270" w:rsidRPr="003410C7" w:rsidRDefault="00E74270" w:rsidP="00214EC6">
            <w:pPr>
              <w:pStyle w:val="AppendixBodyText"/>
              <w:jc w:val="right"/>
              <w:rPr>
                <w:rFonts w:ascii="Tahoma" w:hAnsi="Tahoma" w:cs="Tahoma"/>
                <w:sz w:val="18"/>
                <w:szCs w:val="18"/>
              </w:rPr>
            </w:pPr>
            <w:r w:rsidRPr="003410C7">
              <w:rPr>
                <w:rFonts w:ascii="Tahoma" w:hAnsi="Tahoma" w:cs="Tahoma"/>
                <w:color w:val="000000"/>
                <w:sz w:val="18"/>
                <w:szCs w:val="18"/>
              </w:rPr>
              <w:t>2</w:t>
            </w:r>
            <w:r w:rsidR="00660D5F">
              <w:rPr>
                <w:rFonts w:ascii="Tahoma" w:hAnsi="Tahoma" w:cs="Tahoma"/>
                <w:color w:val="000000"/>
                <w:sz w:val="18"/>
                <w:szCs w:val="18"/>
              </w:rPr>
              <w:t>.</w:t>
            </w:r>
            <w:r w:rsidRPr="003410C7">
              <w:rPr>
                <w:rFonts w:ascii="Tahoma" w:hAnsi="Tahoma" w:cs="Tahoma"/>
                <w:color w:val="000000"/>
                <w:sz w:val="18"/>
                <w:szCs w:val="18"/>
              </w:rPr>
              <w:t>062</w:t>
            </w:r>
            <w:r w:rsidR="00660D5F">
              <w:rPr>
                <w:rFonts w:ascii="Tahoma" w:hAnsi="Tahoma" w:cs="Tahoma"/>
                <w:color w:val="000000"/>
                <w:sz w:val="18"/>
                <w:szCs w:val="18"/>
              </w:rPr>
              <w:t>.</w:t>
            </w:r>
            <w:r w:rsidRPr="003410C7">
              <w:rPr>
                <w:rFonts w:ascii="Tahoma" w:hAnsi="Tahoma" w:cs="Tahoma"/>
                <w:color w:val="000000"/>
                <w:sz w:val="18"/>
                <w:szCs w:val="18"/>
              </w:rPr>
              <w:t>500</w:t>
            </w:r>
          </w:p>
        </w:tc>
      </w:tr>
      <w:tr w:rsidR="00E74270" w:rsidRPr="003410C7" w:rsidTr="008233B3">
        <w:trPr>
          <w:trHeight w:val="236"/>
          <w:jc w:val="center"/>
        </w:trPr>
        <w:tc>
          <w:tcPr>
            <w:tcW w:w="1757" w:type="dxa"/>
            <w:vAlign w:val="bottom"/>
          </w:tcPr>
          <w:p w:rsidR="00E74270" w:rsidRPr="003410C7" w:rsidRDefault="00E74270" w:rsidP="00E74270">
            <w:pPr>
              <w:pStyle w:val="AppendixBodyText"/>
              <w:rPr>
                <w:rFonts w:ascii="Tahoma" w:hAnsi="Tahoma" w:cs="Tahoma"/>
                <w:sz w:val="18"/>
                <w:szCs w:val="18"/>
              </w:rPr>
            </w:pPr>
            <w:r w:rsidRPr="003410C7">
              <w:rPr>
                <w:rFonts w:ascii="Tahoma" w:hAnsi="Tahoma" w:cs="Tahoma"/>
                <w:sz w:val="18"/>
                <w:szCs w:val="18"/>
              </w:rPr>
              <w:t>Dollaro neozelandese</w:t>
            </w:r>
          </w:p>
        </w:tc>
        <w:tc>
          <w:tcPr>
            <w:tcW w:w="1112" w:type="dxa"/>
            <w:vAlign w:val="bottom"/>
          </w:tcPr>
          <w:p w:rsidR="00E74270" w:rsidRPr="003410C7" w:rsidRDefault="00E74270" w:rsidP="00E74270">
            <w:pPr>
              <w:pStyle w:val="AppendixBodyText"/>
              <w:jc w:val="center"/>
              <w:rPr>
                <w:rFonts w:ascii="Tahoma" w:hAnsi="Tahoma" w:cs="Tahoma"/>
                <w:sz w:val="18"/>
                <w:szCs w:val="18"/>
              </w:rPr>
            </w:pPr>
            <w:r w:rsidRPr="003410C7">
              <w:rPr>
                <w:rFonts w:ascii="Tahoma" w:hAnsi="Tahoma" w:cs="Tahoma"/>
                <w:sz w:val="18"/>
                <w:szCs w:val="18"/>
              </w:rPr>
              <w:t>NZD</w:t>
            </w:r>
          </w:p>
        </w:tc>
        <w:tc>
          <w:tcPr>
            <w:tcW w:w="3152" w:type="dxa"/>
            <w:vAlign w:val="bottom"/>
          </w:tcPr>
          <w:p w:rsidR="00E74270" w:rsidRPr="003410C7" w:rsidRDefault="00E74270" w:rsidP="00214EC6">
            <w:pPr>
              <w:pStyle w:val="AppendixBodyText"/>
              <w:jc w:val="right"/>
              <w:rPr>
                <w:rFonts w:ascii="Tahoma" w:hAnsi="Tahoma" w:cs="Tahoma"/>
                <w:sz w:val="18"/>
                <w:szCs w:val="18"/>
              </w:rPr>
            </w:pPr>
            <w:r w:rsidRPr="003410C7">
              <w:rPr>
                <w:rFonts w:ascii="Tahoma" w:hAnsi="Tahoma" w:cs="Tahoma"/>
                <w:color w:val="000000"/>
                <w:sz w:val="18"/>
                <w:szCs w:val="18"/>
              </w:rPr>
              <w:t>437</w:t>
            </w:r>
            <w:r w:rsidR="00660D5F">
              <w:rPr>
                <w:rFonts w:ascii="Tahoma" w:hAnsi="Tahoma" w:cs="Tahoma"/>
                <w:color w:val="000000"/>
                <w:sz w:val="18"/>
                <w:szCs w:val="18"/>
              </w:rPr>
              <w:t>.</w:t>
            </w:r>
            <w:r w:rsidRPr="003410C7">
              <w:rPr>
                <w:rFonts w:ascii="Tahoma" w:hAnsi="Tahoma" w:cs="Tahoma"/>
                <w:color w:val="000000"/>
                <w:sz w:val="18"/>
                <w:szCs w:val="18"/>
              </w:rPr>
              <w:t>500</w:t>
            </w:r>
          </w:p>
        </w:tc>
      </w:tr>
      <w:tr w:rsidR="00E74270" w:rsidRPr="003410C7" w:rsidTr="008233B3">
        <w:trPr>
          <w:trHeight w:val="236"/>
          <w:jc w:val="center"/>
        </w:trPr>
        <w:tc>
          <w:tcPr>
            <w:tcW w:w="1757" w:type="dxa"/>
            <w:vAlign w:val="bottom"/>
          </w:tcPr>
          <w:p w:rsidR="00E74270" w:rsidRPr="003410C7" w:rsidRDefault="00E74270" w:rsidP="00E74270">
            <w:pPr>
              <w:pStyle w:val="AppendixBodyText"/>
              <w:rPr>
                <w:rFonts w:ascii="Tahoma" w:hAnsi="Tahoma" w:cs="Tahoma"/>
                <w:sz w:val="18"/>
                <w:szCs w:val="18"/>
              </w:rPr>
            </w:pPr>
            <w:r w:rsidRPr="003410C7">
              <w:rPr>
                <w:rFonts w:ascii="Tahoma" w:hAnsi="Tahoma" w:cs="Tahoma"/>
                <w:sz w:val="18"/>
                <w:szCs w:val="18"/>
              </w:rPr>
              <w:t>Corone Svedesi</w:t>
            </w:r>
          </w:p>
        </w:tc>
        <w:tc>
          <w:tcPr>
            <w:tcW w:w="1112" w:type="dxa"/>
            <w:vAlign w:val="bottom"/>
          </w:tcPr>
          <w:p w:rsidR="00E74270" w:rsidRPr="003410C7" w:rsidRDefault="00E74270" w:rsidP="00E74270">
            <w:pPr>
              <w:pStyle w:val="AppendixBodyText"/>
              <w:jc w:val="center"/>
              <w:rPr>
                <w:rFonts w:ascii="Tahoma" w:hAnsi="Tahoma" w:cs="Tahoma"/>
                <w:sz w:val="18"/>
                <w:szCs w:val="18"/>
              </w:rPr>
            </w:pPr>
            <w:r w:rsidRPr="003410C7">
              <w:rPr>
                <w:rFonts w:ascii="Tahoma" w:hAnsi="Tahoma" w:cs="Tahoma"/>
                <w:sz w:val="18"/>
                <w:szCs w:val="18"/>
              </w:rPr>
              <w:t>SEK</w:t>
            </w:r>
          </w:p>
        </w:tc>
        <w:tc>
          <w:tcPr>
            <w:tcW w:w="3152" w:type="dxa"/>
            <w:vAlign w:val="bottom"/>
          </w:tcPr>
          <w:p w:rsidR="00E74270" w:rsidRPr="003410C7" w:rsidRDefault="00E74270" w:rsidP="00214EC6">
            <w:pPr>
              <w:pStyle w:val="AppendixBodyText"/>
              <w:jc w:val="right"/>
              <w:rPr>
                <w:rFonts w:ascii="Tahoma" w:hAnsi="Tahoma" w:cs="Tahoma"/>
                <w:sz w:val="18"/>
                <w:szCs w:val="18"/>
              </w:rPr>
            </w:pPr>
            <w:r w:rsidRPr="003410C7">
              <w:rPr>
                <w:rFonts w:ascii="Tahoma" w:hAnsi="Tahoma" w:cs="Tahoma"/>
                <w:color w:val="000000"/>
                <w:sz w:val="18"/>
                <w:szCs w:val="18"/>
              </w:rPr>
              <w:t>2</w:t>
            </w:r>
            <w:r w:rsidR="00660D5F">
              <w:rPr>
                <w:rFonts w:ascii="Tahoma" w:hAnsi="Tahoma" w:cs="Tahoma"/>
                <w:color w:val="000000"/>
                <w:sz w:val="18"/>
                <w:szCs w:val="18"/>
              </w:rPr>
              <w:t>.</w:t>
            </w:r>
            <w:r w:rsidRPr="003410C7">
              <w:rPr>
                <w:rFonts w:ascii="Tahoma" w:hAnsi="Tahoma" w:cs="Tahoma"/>
                <w:color w:val="000000"/>
                <w:sz w:val="18"/>
                <w:szCs w:val="18"/>
              </w:rPr>
              <w:t>500</w:t>
            </w:r>
            <w:r w:rsidR="00660D5F">
              <w:rPr>
                <w:rFonts w:ascii="Tahoma" w:hAnsi="Tahoma" w:cs="Tahoma"/>
                <w:color w:val="000000"/>
                <w:sz w:val="18"/>
                <w:szCs w:val="18"/>
              </w:rPr>
              <w:t>.</w:t>
            </w:r>
            <w:r w:rsidRPr="003410C7">
              <w:rPr>
                <w:rFonts w:ascii="Tahoma" w:hAnsi="Tahoma" w:cs="Tahoma"/>
                <w:color w:val="000000"/>
                <w:sz w:val="18"/>
                <w:szCs w:val="18"/>
              </w:rPr>
              <w:t>000</w:t>
            </w:r>
          </w:p>
        </w:tc>
      </w:tr>
      <w:tr w:rsidR="00E74270" w:rsidRPr="003410C7" w:rsidTr="008233B3">
        <w:trPr>
          <w:trHeight w:val="236"/>
          <w:jc w:val="center"/>
        </w:trPr>
        <w:tc>
          <w:tcPr>
            <w:tcW w:w="1757" w:type="dxa"/>
            <w:vAlign w:val="bottom"/>
          </w:tcPr>
          <w:p w:rsidR="00E74270" w:rsidRPr="003410C7" w:rsidRDefault="00E74270" w:rsidP="00E74270">
            <w:pPr>
              <w:pStyle w:val="AppendixBodyText"/>
              <w:rPr>
                <w:rFonts w:ascii="Tahoma" w:hAnsi="Tahoma" w:cs="Tahoma"/>
                <w:sz w:val="18"/>
                <w:szCs w:val="18"/>
              </w:rPr>
            </w:pPr>
            <w:r w:rsidRPr="003410C7">
              <w:rPr>
                <w:rFonts w:ascii="Tahoma" w:hAnsi="Tahoma" w:cs="Tahoma"/>
                <w:sz w:val="18"/>
                <w:szCs w:val="18"/>
              </w:rPr>
              <w:t>Nuovo dollaro taiwanese</w:t>
            </w:r>
          </w:p>
        </w:tc>
        <w:tc>
          <w:tcPr>
            <w:tcW w:w="1112" w:type="dxa"/>
            <w:vAlign w:val="bottom"/>
          </w:tcPr>
          <w:p w:rsidR="00E74270" w:rsidRPr="003410C7" w:rsidRDefault="00E74270" w:rsidP="00E74270">
            <w:pPr>
              <w:pStyle w:val="AppendixBodyText"/>
              <w:jc w:val="center"/>
              <w:rPr>
                <w:rFonts w:ascii="Tahoma" w:hAnsi="Tahoma" w:cs="Tahoma"/>
                <w:sz w:val="18"/>
                <w:szCs w:val="18"/>
              </w:rPr>
            </w:pPr>
            <w:r w:rsidRPr="003410C7">
              <w:rPr>
                <w:rFonts w:ascii="Tahoma" w:hAnsi="Tahoma" w:cs="Tahoma"/>
                <w:sz w:val="18"/>
                <w:szCs w:val="18"/>
              </w:rPr>
              <w:t>TWD</w:t>
            </w:r>
          </w:p>
        </w:tc>
        <w:tc>
          <w:tcPr>
            <w:tcW w:w="3152" w:type="dxa"/>
            <w:vAlign w:val="bottom"/>
          </w:tcPr>
          <w:p w:rsidR="00E74270" w:rsidRPr="003410C7" w:rsidRDefault="00E74270" w:rsidP="00214EC6">
            <w:pPr>
              <w:pStyle w:val="AppendixBodyText"/>
              <w:jc w:val="right"/>
              <w:rPr>
                <w:rFonts w:ascii="Tahoma" w:hAnsi="Tahoma" w:cs="Tahoma"/>
                <w:sz w:val="18"/>
                <w:szCs w:val="18"/>
              </w:rPr>
            </w:pPr>
            <w:r w:rsidRPr="003410C7">
              <w:rPr>
                <w:rFonts w:ascii="Tahoma" w:hAnsi="Tahoma" w:cs="Tahoma"/>
                <w:color w:val="000000"/>
                <w:sz w:val="18"/>
                <w:szCs w:val="18"/>
              </w:rPr>
              <w:t>8</w:t>
            </w:r>
            <w:r w:rsidR="00660D5F">
              <w:rPr>
                <w:rFonts w:ascii="Tahoma" w:hAnsi="Tahoma" w:cs="Tahoma"/>
                <w:color w:val="000000"/>
                <w:sz w:val="18"/>
                <w:szCs w:val="18"/>
              </w:rPr>
              <w:t>.</w:t>
            </w:r>
            <w:r w:rsidRPr="003410C7">
              <w:rPr>
                <w:rFonts w:ascii="Tahoma" w:hAnsi="Tahoma" w:cs="Tahoma"/>
                <w:color w:val="000000"/>
                <w:sz w:val="18"/>
                <w:szCs w:val="18"/>
              </w:rPr>
              <w:t>750</w:t>
            </w:r>
            <w:r w:rsidR="00660D5F">
              <w:rPr>
                <w:rFonts w:ascii="Tahoma" w:hAnsi="Tahoma" w:cs="Tahoma"/>
                <w:color w:val="000000"/>
                <w:sz w:val="18"/>
                <w:szCs w:val="18"/>
              </w:rPr>
              <w:t>.</w:t>
            </w:r>
            <w:r w:rsidRPr="003410C7">
              <w:rPr>
                <w:rFonts w:ascii="Tahoma" w:hAnsi="Tahoma" w:cs="Tahoma"/>
                <w:color w:val="000000"/>
                <w:sz w:val="18"/>
                <w:szCs w:val="18"/>
              </w:rPr>
              <w:t>000</w:t>
            </w:r>
          </w:p>
        </w:tc>
      </w:tr>
      <w:tr w:rsidR="00E74270" w:rsidRPr="003410C7" w:rsidTr="008233B3">
        <w:trPr>
          <w:trHeight w:val="236"/>
          <w:jc w:val="center"/>
        </w:trPr>
        <w:tc>
          <w:tcPr>
            <w:tcW w:w="1757" w:type="dxa"/>
            <w:vAlign w:val="bottom"/>
          </w:tcPr>
          <w:p w:rsidR="00E74270" w:rsidRPr="003410C7" w:rsidRDefault="00E74270" w:rsidP="00E74270">
            <w:pPr>
              <w:pStyle w:val="AppendixBodyText"/>
              <w:rPr>
                <w:rFonts w:ascii="Tahoma" w:hAnsi="Tahoma" w:cs="Tahoma"/>
                <w:sz w:val="18"/>
                <w:szCs w:val="18"/>
              </w:rPr>
            </w:pPr>
            <w:r w:rsidRPr="003410C7">
              <w:rPr>
                <w:rFonts w:ascii="Tahoma" w:hAnsi="Tahoma" w:cs="Tahoma"/>
                <w:sz w:val="18"/>
                <w:szCs w:val="18"/>
              </w:rPr>
              <w:t>Rupia indiana</w:t>
            </w:r>
          </w:p>
        </w:tc>
        <w:tc>
          <w:tcPr>
            <w:tcW w:w="1112" w:type="dxa"/>
            <w:vAlign w:val="bottom"/>
          </w:tcPr>
          <w:p w:rsidR="00E74270" w:rsidRPr="003410C7" w:rsidRDefault="00E74270" w:rsidP="00E74270">
            <w:pPr>
              <w:pStyle w:val="AppendixBodyText"/>
              <w:jc w:val="center"/>
              <w:rPr>
                <w:rFonts w:ascii="Tahoma" w:hAnsi="Tahoma" w:cs="Tahoma"/>
                <w:sz w:val="18"/>
                <w:szCs w:val="18"/>
              </w:rPr>
            </w:pPr>
            <w:r w:rsidRPr="003410C7">
              <w:rPr>
                <w:rFonts w:ascii="Tahoma" w:hAnsi="Tahoma" w:cs="Tahoma"/>
                <w:sz w:val="18"/>
                <w:szCs w:val="18"/>
              </w:rPr>
              <w:t>INR</w:t>
            </w:r>
          </w:p>
        </w:tc>
        <w:tc>
          <w:tcPr>
            <w:tcW w:w="3152" w:type="dxa"/>
            <w:vAlign w:val="bottom"/>
          </w:tcPr>
          <w:p w:rsidR="00E74270" w:rsidRPr="003410C7" w:rsidRDefault="00E74270" w:rsidP="00214EC6">
            <w:pPr>
              <w:pStyle w:val="AppendixBodyText"/>
              <w:jc w:val="right"/>
              <w:rPr>
                <w:rFonts w:ascii="Tahoma" w:hAnsi="Tahoma" w:cs="Tahoma"/>
                <w:color w:val="000000"/>
                <w:sz w:val="18"/>
                <w:szCs w:val="18"/>
              </w:rPr>
            </w:pPr>
            <w:r w:rsidRPr="003410C7">
              <w:rPr>
                <w:rFonts w:ascii="Tahoma" w:hAnsi="Tahoma" w:cs="Tahoma"/>
                <w:sz w:val="18"/>
                <w:szCs w:val="18"/>
              </w:rPr>
              <w:t>12</w:t>
            </w:r>
            <w:r w:rsidR="00660D5F">
              <w:rPr>
                <w:rFonts w:ascii="Tahoma" w:hAnsi="Tahoma" w:cs="Tahoma"/>
                <w:sz w:val="18"/>
                <w:szCs w:val="18"/>
              </w:rPr>
              <w:t>.</w:t>
            </w:r>
            <w:r w:rsidRPr="003410C7">
              <w:rPr>
                <w:rFonts w:ascii="Tahoma" w:hAnsi="Tahoma" w:cs="Tahoma"/>
                <w:sz w:val="18"/>
                <w:szCs w:val="18"/>
              </w:rPr>
              <w:t>500</w:t>
            </w:r>
            <w:r w:rsidR="00660D5F">
              <w:rPr>
                <w:rFonts w:ascii="Tahoma" w:hAnsi="Tahoma" w:cs="Tahoma"/>
                <w:sz w:val="18"/>
                <w:szCs w:val="18"/>
              </w:rPr>
              <w:t>.</w:t>
            </w:r>
            <w:r w:rsidRPr="003410C7">
              <w:rPr>
                <w:rFonts w:ascii="Tahoma" w:hAnsi="Tahoma" w:cs="Tahoma"/>
                <w:sz w:val="18"/>
                <w:szCs w:val="18"/>
              </w:rPr>
              <w:t>000</w:t>
            </w:r>
          </w:p>
        </w:tc>
      </w:tr>
      <w:tr w:rsidR="00E74270" w:rsidRPr="003410C7" w:rsidTr="008233B3">
        <w:trPr>
          <w:trHeight w:val="236"/>
          <w:jc w:val="center"/>
        </w:trPr>
        <w:tc>
          <w:tcPr>
            <w:tcW w:w="1757" w:type="dxa"/>
            <w:vAlign w:val="bottom"/>
          </w:tcPr>
          <w:p w:rsidR="00E74270" w:rsidRPr="003410C7" w:rsidRDefault="00E74270" w:rsidP="00E74270">
            <w:pPr>
              <w:pStyle w:val="AppendixBodyText"/>
              <w:rPr>
                <w:rFonts w:ascii="Tahoma" w:hAnsi="Tahoma" w:cs="Tahoma"/>
                <w:sz w:val="18"/>
                <w:szCs w:val="18"/>
              </w:rPr>
            </w:pPr>
            <w:r w:rsidRPr="003410C7">
              <w:rPr>
                <w:rFonts w:ascii="Tahoma" w:hAnsi="Tahoma" w:cs="Tahoma"/>
                <w:sz w:val="18"/>
                <w:szCs w:val="18"/>
              </w:rPr>
              <w:t>Rublo russo</w:t>
            </w:r>
          </w:p>
        </w:tc>
        <w:tc>
          <w:tcPr>
            <w:tcW w:w="1112" w:type="dxa"/>
            <w:vAlign w:val="bottom"/>
          </w:tcPr>
          <w:p w:rsidR="00E74270" w:rsidRPr="003410C7" w:rsidRDefault="00E74270" w:rsidP="00E74270">
            <w:pPr>
              <w:pStyle w:val="AppendixBodyText"/>
              <w:jc w:val="center"/>
              <w:rPr>
                <w:rFonts w:ascii="Tahoma" w:hAnsi="Tahoma" w:cs="Tahoma"/>
                <w:sz w:val="18"/>
                <w:szCs w:val="18"/>
              </w:rPr>
            </w:pPr>
            <w:r w:rsidRPr="003410C7">
              <w:rPr>
                <w:rFonts w:ascii="Tahoma" w:hAnsi="Tahoma" w:cs="Tahoma"/>
                <w:sz w:val="18"/>
                <w:szCs w:val="18"/>
              </w:rPr>
              <w:t>RUB</w:t>
            </w:r>
          </w:p>
        </w:tc>
        <w:tc>
          <w:tcPr>
            <w:tcW w:w="3152" w:type="dxa"/>
            <w:vAlign w:val="bottom"/>
          </w:tcPr>
          <w:p w:rsidR="00E74270" w:rsidRPr="003410C7" w:rsidRDefault="00E74270" w:rsidP="00214EC6">
            <w:pPr>
              <w:pStyle w:val="AppendixBodyText"/>
              <w:jc w:val="right"/>
              <w:rPr>
                <w:rFonts w:ascii="Tahoma" w:hAnsi="Tahoma" w:cs="Tahoma"/>
                <w:color w:val="000000"/>
                <w:sz w:val="18"/>
                <w:szCs w:val="18"/>
              </w:rPr>
            </w:pPr>
            <w:r w:rsidRPr="003410C7">
              <w:rPr>
                <w:rFonts w:ascii="Tahoma" w:hAnsi="Tahoma" w:cs="Tahoma"/>
                <w:sz w:val="18"/>
                <w:szCs w:val="18"/>
              </w:rPr>
              <w:t>8</w:t>
            </w:r>
            <w:r w:rsidR="00660D5F">
              <w:rPr>
                <w:rFonts w:ascii="Tahoma" w:hAnsi="Tahoma" w:cs="Tahoma"/>
                <w:sz w:val="18"/>
                <w:szCs w:val="18"/>
              </w:rPr>
              <w:t>.</w:t>
            </w:r>
            <w:r w:rsidRPr="003410C7">
              <w:rPr>
                <w:rFonts w:ascii="Tahoma" w:hAnsi="Tahoma" w:cs="Tahoma"/>
                <w:sz w:val="18"/>
                <w:szCs w:val="18"/>
              </w:rPr>
              <w:t>250</w:t>
            </w:r>
            <w:r w:rsidR="00660D5F">
              <w:rPr>
                <w:rFonts w:ascii="Tahoma" w:hAnsi="Tahoma" w:cs="Tahoma"/>
                <w:sz w:val="18"/>
                <w:szCs w:val="18"/>
              </w:rPr>
              <w:t>.</w:t>
            </w:r>
            <w:r w:rsidRPr="003410C7">
              <w:rPr>
                <w:rFonts w:ascii="Tahoma" w:hAnsi="Tahoma" w:cs="Tahoma"/>
                <w:sz w:val="18"/>
                <w:szCs w:val="18"/>
              </w:rPr>
              <w:t>000</w:t>
            </w:r>
          </w:p>
        </w:tc>
      </w:tr>
    </w:tbl>
    <w:p w:rsidR="00214EC6" w:rsidRDefault="00214EC6" w:rsidP="00F42FB8">
      <w:pPr>
        <w:jc w:val="both"/>
        <w:rPr>
          <w:rFonts w:cs="Tahoma"/>
          <w:szCs w:val="18"/>
        </w:rPr>
      </w:pPr>
    </w:p>
    <w:p w:rsidR="00613BBB" w:rsidRPr="00451078" w:rsidRDefault="00613BBB" w:rsidP="00F42FB8">
      <w:pPr>
        <w:jc w:val="both"/>
        <w:rPr>
          <w:lang w:val="it-IT"/>
        </w:rPr>
      </w:pPr>
      <w:r w:rsidRPr="00451078">
        <w:rPr>
          <w:rFonts w:cs="Tahoma"/>
          <w:szCs w:val="18"/>
          <w:lang w:val="it-IT"/>
        </w:rPr>
        <w:t>Quando l</w:t>
      </w:r>
      <w:r w:rsidR="004525CA">
        <w:rPr>
          <w:rFonts w:cs="Tahoma"/>
          <w:szCs w:val="18"/>
          <w:lang w:val="it-IT"/>
        </w:rPr>
        <w:t>’</w:t>
      </w:r>
      <w:r w:rsidRPr="00451078">
        <w:rPr>
          <w:rFonts w:cs="Tahoma"/>
          <w:szCs w:val="18"/>
          <w:lang w:val="it-IT"/>
        </w:rPr>
        <w:t>impegno di spesa media annuale per SA su prodotti qualificanti della Piattaforma Applicativa idonei a</w:t>
      </w:r>
      <w:r w:rsidR="00660D5F" w:rsidRPr="00451078">
        <w:rPr>
          <w:rFonts w:cs="Tahoma"/>
          <w:szCs w:val="18"/>
          <w:lang w:val="it-IT"/>
        </w:rPr>
        <w:t> </w:t>
      </w:r>
      <w:r w:rsidRPr="00451078">
        <w:rPr>
          <w:rFonts w:cs="Tahoma"/>
          <w:szCs w:val="18"/>
          <w:lang w:val="it-IT"/>
        </w:rPr>
        <w:t>beneficiare del PRS Illimitato 24x7 è superiore a $250.000, Microsoft non concederà gli interventi sulla base della spesa SA effettiva relativa a tali prodotti. Qualora una società diventi idonea a beneficiare del PRS Illimitato 24x7 durante il periodo di validità dei contratti, qualunque intervento concesso precedentemente in base alla copertura SA</w:t>
      </w:r>
      <w:r w:rsidR="00660D5F" w:rsidRPr="00451078">
        <w:rPr>
          <w:rFonts w:cs="Tahoma"/>
          <w:szCs w:val="18"/>
          <w:lang w:val="it-IT"/>
        </w:rPr>
        <w:t> </w:t>
      </w:r>
      <w:r w:rsidRPr="00451078">
        <w:rPr>
          <w:rFonts w:cs="Tahoma"/>
          <w:szCs w:val="18"/>
          <w:lang w:val="it-IT"/>
        </w:rPr>
        <w:t>e non utilizzato sarà sottratto dal saldo della società.</w:t>
      </w:r>
      <w:r w:rsidR="00082E1C" w:rsidRPr="00451078">
        <w:rPr>
          <w:rFonts w:cs="Tahoma"/>
          <w:szCs w:val="18"/>
          <w:lang w:val="it-IT"/>
        </w:rPr>
        <w:t xml:space="preserve"> </w:t>
      </w:r>
      <w:r w:rsidRPr="00451078">
        <w:rPr>
          <w:rFonts w:cs="Tahoma"/>
          <w:szCs w:val="18"/>
          <w:lang w:val="it-IT"/>
        </w:rPr>
        <w:t xml:space="preserve">Gli interventi PRS Illimitati 24x7 non possono essere convertiti in ore o interventi di Supporto per la Risoluzione dei Problemi Premier. </w:t>
      </w:r>
    </w:p>
    <w:p w:rsidR="00613BBB" w:rsidRPr="00451078" w:rsidRDefault="00613BBB" w:rsidP="00F42FB8">
      <w:pPr>
        <w:rPr>
          <w:lang w:val="it-IT"/>
        </w:rPr>
      </w:pPr>
    </w:p>
    <w:p w:rsidR="00613BBB" w:rsidRPr="00451078" w:rsidRDefault="00613BBB" w:rsidP="00F42FB8">
      <w:pPr>
        <w:jc w:val="both"/>
        <w:rPr>
          <w:lang w:val="it-IT"/>
        </w:rPr>
      </w:pPr>
      <w:r w:rsidRPr="00451078">
        <w:rPr>
          <w:rFonts w:cs="Tahoma"/>
          <w:szCs w:val="18"/>
          <w:lang w:val="it-IT"/>
        </w:rPr>
        <w:t xml:space="preserve">Le società che hanno stipulato </w:t>
      </w:r>
      <w:r w:rsidRPr="00451078">
        <w:rPr>
          <w:rFonts w:cs="Tahoma"/>
          <w:color w:val="000000"/>
          <w:szCs w:val="18"/>
          <w:lang w:val="it-IT"/>
        </w:rPr>
        <w:t>Contratti per la Piattaforma Applicativa (APA) entrati in vigore prima del 1 luglio 2009, con una spesa media annuale per SA su prodotti qualificanti della Piattaforma Applicativa superiore a $250.000 e che dispongono di un Contratto Premier Services attivo, acquisiranno il diritto di beneficiare del PRS Illimitato 24x7 in occasione della prima ricorrenza annuale della data di entrata in vigore dell</w:t>
      </w:r>
      <w:r w:rsidR="004525CA">
        <w:rPr>
          <w:rFonts w:cs="Tahoma"/>
          <w:color w:val="000000"/>
          <w:szCs w:val="18"/>
          <w:lang w:val="it-IT"/>
        </w:rPr>
        <w:t>’</w:t>
      </w:r>
      <w:r w:rsidRPr="00451078">
        <w:rPr>
          <w:rFonts w:cs="Tahoma"/>
          <w:color w:val="000000"/>
          <w:szCs w:val="18"/>
          <w:lang w:val="it-IT"/>
        </w:rPr>
        <w:t xml:space="preserve">APA. </w:t>
      </w:r>
    </w:p>
    <w:p w:rsidR="00613BBB" w:rsidRPr="00451078" w:rsidRDefault="00613BBB" w:rsidP="00F42FB8">
      <w:pPr>
        <w:rPr>
          <w:lang w:val="it-IT"/>
        </w:rPr>
      </w:pPr>
    </w:p>
    <w:p w:rsidR="00A17E03" w:rsidRPr="00451078" w:rsidRDefault="00A17E03" w:rsidP="00F42FB8">
      <w:pPr>
        <w:spacing w:line="276" w:lineRule="auto"/>
        <w:rPr>
          <w:lang w:val="it-IT"/>
        </w:rPr>
      </w:pPr>
      <w:r w:rsidRPr="00451078">
        <w:rPr>
          <w:rFonts w:eastAsia="Calibri" w:cs="Tahoma"/>
          <w:szCs w:val="18"/>
          <w:lang w:val="it-IT"/>
        </w:rPr>
        <w:t>(2) Le società che acquistano licenze per PDW e dispongono di un Contratto Premier Services attivo sono idonee per</w:t>
      </w:r>
      <w:r w:rsidR="00660D5F" w:rsidRPr="00451078">
        <w:rPr>
          <w:rFonts w:eastAsia="Calibri" w:cs="Tahoma"/>
          <w:szCs w:val="18"/>
          <w:lang w:val="it-IT"/>
        </w:rPr>
        <w:t> </w:t>
      </w:r>
      <w:r w:rsidRPr="00451078">
        <w:rPr>
          <w:rFonts w:eastAsia="Calibri" w:cs="Tahoma"/>
          <w:szCs w:val="18"/>
          <w:lang w:val="it-IT"/>
        </w:rPr>
        <w:t>gli interventi PRS Illimitati 24x7.</w:t>
      </w:r>
    </w:p>
    <w:p w:rsidR="00FF1B2B" w:rsidRPr="00451078" w:rsidRDefault="00FF1B2B" w:rsidP="00F42FB8">
      <w:pPr>
        <w:spacing w:line="276" w:lineRule="auto"/>
        <w:rPr>
          <w:lang w:val="it-IT"/>
        </w:rPr>
      </w:pPr>
    </w:p>
    <w:p w:rsidR="00A17E03" w:rsidRPr="00451078" w:rsidRDefault="00A17E03" w:rsidP="00F42FB8">
      <w:pPr>
        <w:spacing w:line="276" w:lineRule="auto"/>
        <w:jc w:val="both"/>
        <w:rPr>
          <w:lang w:val="it-IT"/>
        </w:rPr>
      </w:pPr>
      <w:r w:rsidRPr="00451078">
        <w:rPr>
          <w:rFonts w:eastAsia="Calibri" w:cs="Tahoma"/>
          <w:szCs w:val="18"/>
          <w:lang w:val="it-IT"/>
        </w:rPr>
        <w:t>Quando le società acquistano licenze per PDW, Microsoft non concederà interventi sulla base della spesa effettiva per SA relativa a tale prodotto. Gli interventi PRS Illimitati 24x7 non possono essere convertiti in ore o interventi di</w:t>
      </w:r>
      <w:r w:rsidR="00660D5F" w:rsidRPr="00451078">
        <w:rPr>
          <w:rFonts w:eastAsia="Calibri" w:cs="Tahoma"/>
          <w:szCs w:val="18"/>
          <w:lang w:val="it-IT"/>
        </w:rPr>
        <w:t> </w:t>
      </w:r>
      <w:r w:rsidRPr="00451078">
        <w:rPr>
          <w:rFonts w:eastAsia="Calibri" w:cs="Tahoma"/>
          <w:szCs w:val="18"/>
          <w:lang w:val="it-IT"/>
        </w:rPr>
        <w:t xml:space="preserve">Supporto per la Risoluzione dei Problemi Premier. </w:t>
      </w:r>
    </w:p>
    <w:p w:rsidR="00FF1B2B" w:rsidRPr="00451078" w:rsidRDefault="00FF1B2B" w:rsidP="00F42FB8">
      <w:pPr>
        <w:spacing w:line="276" w:lineRule="auto"/>
        <w:jc w:val="both"/>
        <w:rPr>
          <w:lang w:val="it-IT"/>
        </w:rPr>
      </w:pPr>
    </w:p>
    <w:p w:rsidR="00A17E03" w:rsidRPr="00451078" w:rsidRDefault="00A17E03" w:rsidP="00F42FB8">
      <w:pPr>
        <w:jc w:val="both"/>
        <w:rPr>
          <w:lang w:val="it-IT"/>
        </w:rPr>
      </w:pPr>
      <w:r w:rsidRPr="00451078">
        <w:rPr>
          <w:rFonts w:cs="Tahoma"/>
          <w:color w:val="000000"/>
          <w:szCs w:val="18"/>
          <w:lang w:val="it-IT"/>
        </w:rPr>
        <w:t xml:space="preserve">Mentre il numero di </w:t>
      </w:r>
      <w:r w:rsidRPr="00451078">
        <w:rPr>
          <w:rFonts w:cs="Tahoma"/>
          <w:i/>
          <w:color w:val="000000"/>
          <w:szCs w:val="18"/>
          <w:lang w:val="it-IT"/>
        </w:rPr>
        <w:t>i</w:t>
      </w:r>
      <w:r w:rsidRPr="00451078">
        <w:rPr>
          <w:rFonts w:cs="Tahoma"/>
          <w:color w:val="000000"/>
          <w:szCs w:val="18"/>
          <w:lang w:val="it-IT"/>
        </w:rPr>
        <w:t>nterventi PRS 24x7 non viene determinato in base alla spesa SA, il numero di contatti di supporto consentiti per gestire il PRS Illimitato 24x7 varia in base all</w:t>
      </w:r>
      <w:r w:rsidR="004525CA">
        <w:rPr>
          <w:rFonts w:cs="Tahoma"/>
          <w:color w:val="000000"/>
          <w:szCs w:val="18"/>
          <w:lang w:val="it-IT"/>
        </w:rPr>
        <w:t>’</w:t>
      </w:r>
      <w:r w:rsidRPr="00451078">
        <w:rPr>
          <w:rFonts w:cs="Tahoma"/>
          <w:color w:val="000000"/>
          <w:szCs w:val="18"/>
          <w:lang w:val="it-IT"/>
        </w:rPr>
        <w:t>ammontare della spesa SA. Tutte le società idonee hanno diritto ad almeno quattro contatti autorizzati più un contatto aggiuntivo per ogni $125.000 aggiuntivi di</w:t>
      </w:r>
      <w:r w:rsidR="00033DA4" w:rsidRPr="00451078">
        <w:rPr>
          <w:rFonts w:cs="Tahoma"/>
          <w:color w:val="000000"/>
          <w:szCs w:val="18"/>
          <w:lang w:val="it-IT"/>
        </w:rPr>
        <w:t> </w:t>
      </w:r>
      <w:r w:rsidRPr="00451078">
        <w:rPr>
          <w:rFonts w:cs="Tahoma"/>
          <w:color w:val="000000"/>
          <w:szCs w:val="18"/>
          <w:lang w:val="it-IT"/>
        </w:rPr>
        <w:t>spesa SA in base al programma o ai programmi EAP o VL ai sensi dei quali hanno acquistato le licenze per PDW. In</w:t>
      </w:r>
      <w:r w:rsidR="00033DA4" w:rsidRPr="00451078">
        <w:rPr>
          <w:rFonts w:cs="Tahoma"/>
          <w:color w:val="000000"/>
          <w:szCs w:val="18"/>
          <w:lang w:val="it-IT"/>
        </w:rPr>
        <w:t> </w:t>
      </w:r>
      <w:r w:rsidRPr="00451078">
        <w:rPr>
          <w:rFonts w:cs="Tahoma"/>
          <w:color w:val="000000"/>
          <w:szCs w:val="18"/>
          <w:lang w:val="it-IT"/>
        </w:rPr>
        <w:t>caso di contratti in valuta estera, le società idonee hanno diritto ad almeno quattro contratti autorizzati più un contratto aggiuntivo per ogni spesa SA incrementale pari a $125.000 della spesa SA media annuale effettuata nella valuta estera applicabile.</w:t>
      </w:r>
      <w:r w:rsidR="00082E1C" w:rsidRPr="00451078">
        <w:rPr>
          <w:rFonts w:cs="Tahoma"/>
          <w:color w:val="000000"/>
          <w:szCs w:val="18"/>
          <w:lang w:val="it-IT"/>
        </w:rPr>
        <w:t xml:space="preserve"> </w:t>
      </w:r>
      <w:r w:rsidRPr="00451078">
        <w:rPr>
          <w:rFonts w:cs="Tahoma"/>
          <w:color w:val="000000"/>
          <w:szCs w:val="18"/>
          <w:lang w:val="it-IT"/>
        </w:rPr>
        <w:t>Fare riferimento alla tabella seguente:</w:t>
      </w:r>
    </w:p>
    <w:p w:rsidR="00FF1B2B" w:rsidRPr="00451078" w:rsidRDefault="00FF1B2B" w:rsidP="00F42FB8">
      <w:pPr>
        <w:jc w:val="both"/>
        <w:rPr>
          <w:lang w:val="it-IT"/>
        </w:rPr>
      </w:pPr>
    </w:p>
    <w:p w:rsidR="00A17E03" w:rsidRPr="00451078" w:rsidRDefault="00A17E03" w:rsidP="00F42FB8">
      <w:pPr>
        <w:jc w:val="both"/>
        <w:rPr>
          <w:lang w:val="it-IT"/>
        </w:rPr>
      </w:pPr>
      <w:r w:rsidRPr="00451078">
        <w:rPr>
          <w:rFonts w:cs="Tahoma"/>
          <w:color w:val="000000"/>
          <w:szCs w:val="18"/>
          <w:lang w:val="it-IT"/>
        </w:rPr>
        <w:t>La seguente tabella si applica alle società in possesso di un</w:t>
      </w:r>
      <w:r w:rsidR="004525CA">
        <w:rPr>
          <w:rFonts w:cs="Tahoma"/>
          <w:color w:val="000000"/>
          <w:szCs w:val="18"/>
          <w:lang w:val="it-IT"/>
        </w:rPr>
        <w:t>’</w:t>
      </w:r>
      <w:r w:rsidRPr="00451078">
        <w:rPr>
          <w:rFonts w:cs="Tahoma"/>
          <w:color w:val="000000"/>
          <w:szCs w:val="18"/>
          <w:lang w:val="it-IT"/>
        </w:rPr>
        <w:t>EAP o APA:</w:t>
      </w:r>
    </w:p>
    <w:p w:rsidR="00613BBB" w:rsidRPr="00451078" w:rsidRDefault="00613BBB" w:rsidP="00613BBB">
      <w:pPr>
        <w:rPr>
          <w:lang w:val="it-IT"/>
        </w:rPr>
      </w:pPr>
    </w:p>
    <w:tbl>
      <w:tblPr>
        <w:tblW w:w="0" w:type="auto"/>
        <w:tblInd w:w="23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2160"/>
        <w:gridCol w:w="2520"/>
      </w:tblGrid>
      <w:tr w:rsidR="00613BBB" w:rsidRPr="003410C7" w:rsidTr="002A6416">
        <w:tc>
          <w:tcPr>
            <w:tcW w:w="2160" w:type="dxa"/>
            <w:shd w:val="clear" w:color="auto" w:fill="FABF8F"/>
          </w:tcPr>
          <w:p w:rsidR="00613BBB" w:rsidRPr="00451078" w:rsidRDefault="00613BBB" w:rsidP="00186270">
            <w:pPr>
              <w:jc w:val="center"/>
              <w:rPr>
                <w:rFonts w:cs="Tahoma"/>
                <w:color w:val="000000"/>
                <w:szCs w:val="18"/>
                <w:lang w:val="it-IT"/>
              </w:rPr>
            </w:pPr>
            <w:r w:rsidRPr="00451078">
              <w:rPr>
                <w:rFonts w:cs="Tahoma"/>
                <w:b/>
                <w:bCs/>
                <w:color w:val="000000"/>
                <w:szCs w:val="18"/>
                <w:lang w:val="it-IT"/>
              </w:rPr>
              <w:t>Spesa Media Annuale</w:t>
            </w:r>
            <w:r w:rsidR="00186270" w:rsidRPr="00451078">
              <w:rPr>
                <w:rFonts w:cs="Tahoma"/>
                <w:b/>
                <w:bCs/>
                <w:color w:val="000000"/>
                <w:szCs w:val="18"/>
                <w:lang w:val="it-IT"/>
              </w:rPr>
              <w:t> </w:t>
            </w:r>
            <w:r w:rsidRPr="00451078">
              <w:rPr>
                <w:rFonts w:cs="Tahoma"/>
                <w:b/>
                <w:bCs/>
                <w:color w:val="000000"/>
                <w:szCs w:val="18"/>
                <w:lang w:val="it-IT"/>
              </w:rPr>
              <w:t>per SA</w:t>
            </w:r>
          </w:p>
        </w:tc>
        <w:tc>
          <w:tcPr>
            <w:tcW w:w="2520" w:type="dxa"/>
            <w:shd w:val="clear" w:color="auto" w:fill="FABF8F"/>
          </w:tcPr>
          <w:p w:rsidR="00613BBB" w:rsidRPr="003410C7" w:rsidRDefault="00A17E03" w:rsidP="00613BBB">
            <w:pPr>
              <w:jc w:val="center"/>
              <w:rPr>
                <w:rFonts w:cs="Tahoma"/>
                <w:color w:val="000000"/>
                <w:szCs w:val="18"/>
              </w:rPr>
            </w:pPr>
            <w:r w:rsidRPr="003410C7">
              <w:rPr>
                <w:rFonts w:cs="Tahoma"/>
                <w:b/>
                <w:bCs/>
                <w:color w:val="000000"/>
                <w:szCs w:val="18"/>
              </w:rPr>
              <w:t>Contatti di supporto consentiti</w:t>
            </w:r>
          </w:p>
        </w:tc>
      </w:tr>
      <w:tr w:rsidR="00613BBB" w:rsidRPr="003410C7" w:rsidTr="002A6416">
        <w:tc>
          <w:tcPr>
            <w:tcW w:w="2160" w:type="dxa"/>
          </w:tcPr>
          <w:p w:rsidR="00613BBB" w:rsidRPr="003410C7" w:rsidRDefault="00613BBB" w:rsidP="00613BBB">
            <w:pPr>
              <w:jc w:val="center"/>
              <w:rPr>
                <w:rFonts w:cs="Tahoma"/>
                <w:color w:val="000000"/>
                <w:szCs w:val="18"/>
              </w:rPr>
            </w:pPr>
            <w:r w:rsidRPr="003410C7">
              <w:rPr>
                <w:rFonts w:cs="Tahoma"/>
                <w:color w:val="000000"/>
                <w:szCs w:val="18"/>
              </w:rPr>
              <w:t>$250</w:t>
            </w:r>
            <w:r w:rsidR="00033DA4">
              <w:rPr>
                <w:rFonts w:cs="Tahoma"/>
                <w:color w:val="000000"/>
                <w:szCs w:val="18"/>
              </w:rPr>
              <w:t>.</w:t>
            </w:r>
            <w:r w:rsidRPr="003410C7">
              <w:rPr>
                <w:rFonts w:cs="Tahoma"/>
                <w:color w:val="000000"/>
                <w:szCs w:val="18"/>
              </w:rPr>
              <w:t>000 - $374</w:t>
            </w:r>
            <w:r w:rsidR="00033DA4">
              <w:rPr>
                <w:rFonts w:cs="Tahoma"/>
                <w:color w:val="000000"/>
                <w:szCs w:val="18"/>
              </w:rPr>
              <w:t>.</w:t>
            </w:r>
            <w:r w:rsidRPr="003410C7">
              <w:rPr>
                <w:rFonts w:cs="Tahoma"/>
                <w:color w:val="000000"/>
                <w:szCs w:val="18"/>
              </w:rPr>
              <w:t>999</w:t>
            </w:r>
          </w:p>
        </w:tc>
        <w:tc>
          <w:tcPr>
            <w:tcW w:w="2520" w:type="dxa"/>
          </w:tcPr>
          <w:p w:rsidR="00613BBB" w:rsidRPr="003410C7" w:rsidRDefault="00613BBB" w:rsidP="00613BBB">
            <w:pPr>
              <w:jc w:val="center"/>
              <w:rPr>
                <w:rFonts w:cs="Tahoma"/>
                <w:color w:val="000000"/>
                <w:szCs w:val="18"/>
              </w:rPr>
            </w:pPr>
            <w:r w:rsidRPr="003410C7">
              <w:rPr>
                <w:rFonts w:cs="Tahoma"/>
                <w:color w:val="000000"/>
                <w:szCs w:val="18"/>
              </w:rPr>
              <w:t>4</w:t>
            </w:r>
          </w:p>
        </w:tc>
      </w:tr>
      <w:tr w:rsidR="00613BBB" w:rsidRPr="003410C7" w:rsidTr="002A6416">
        <w:tc>
          <w:tcPr>
            <w:tcW w:w="2160" w:type="dxa"/>
          </w:tcPr>
          <w:p w:rsidR="00613BBB" w:rsidRPr="003410C7" w:rsidRDefault="00613BBB" w:rsidP="00613BBB">
            <w:pPr>
              <w:jc w:val="center"/>
              <w:rPr>
                <w:rFonts w:cs="Tahoma"/>
                <w:szCs w:val="18"/>
              </w:rPr>
            </w:pPr>
            <w:r w:rsidRPr="003410C7">
              <w:rPr>
                <w:rFonts w:cs="Tahoma"/>
                <w:szCs w:val="18"/>
              </w:rPr>
              <w:t>$375</w:t>
            </w:r>
            <w:r w:rsidR="00033DA4">
              <w:rPr>
                <w:rFonts w:cs="Tahoma"/>
                <w:szCs w:val="18"/>
              </w:rPr>
              <w:t>.</w:t>
            </w:r>
            <w:r w:rsidRPr="003410C7">
              <w:rPr>
                <w:rFonts w:cs="Tahoma"/>
                <w:szCs w:val="18"/>
              </w:rPr>
              <w:t>000 - $499</w:t>
            </w:r>
            <w:r w:rsidR="00033DA4">
              <w:rPr>
                <w:rFonts w:cs="Tahoma"/>
                <w:szCs w:val="18"/>
              </w:rPr>
              <w:t>.</w:t>
            </w:r>
            <w:r w:rsidRPr="003410C7">
              <w:rPr>
                <w:rFonts w:cs="Tahoma"/>
                <w:szCs w:val="18"/>
              </w:rPr>
              <w:t>999</w:t>
            </w:r>
          </w:p>
        </w:tc>
        <w:tc>
          <w:tcPr>
            <w:tcW w:w="2520" w:type="dxa"/>
          </w:tcPr>
          <w:p w:rsidR="00613BBB" w:rsidRPr="003410C7" w:rsidRDefault="00613BBB" w:rsidP="00613BBB">
            <w:pPr>
              <w:jc w:val="center"/>
              <w:rPr>
                <w:rFonts w:cs="Tahoma"/>
                <w:szCs w:val="18"/>
              </w:rPr>
            </w:pPr>
            <w:r w:rsidRPr="003410C7">
              <w:rPr>
                <w:rFonts w:cs="Tahoma"/>
                <w:szCs w:val="18"/>
              </w:rPr>
              <w:t>5</w:t>
            </w:r>
          </w:p>
        </w:tc>
      </w:tr>
      <w:tr w:rsidR="00613BBB" w:rsidRPr="003410C7" w:rsidTr="002A6416">
        <w:tc>
          <w:tcPr>
            <w:tcW w:w="2160" w:type="dxa"/>
          </w:tcPr>
          <w:p w:rsidR="00613BBB" w:rsidRPr="003410C7" w:rsidRDefault="00613BBB" w:rsidP="00613BBB">
            <w:pPr>
              <w:jc w:val="center"/>
              <w:rPr>
                <w:rFonts w:cs="Tahoma"/>
                <w:szCs w:val="18"/>
              </w:rPr>
            </w:pPr>
            <w:r w:rsidRPr="003410C7">
              <w:rPr>
                <w:rFonts w:cs="Tahoma"/>
                <w:szCs w:val="18"/>
              </w:rPr>
              <w:t>$500</w:t>
            </w:r>
            <w:r w:rsidR="00033DA4">
              <w:rPr>
                <w:rFonts w:cs="Tahoma"/>
                <w:szCs w:val="18"/>
              </w:rPr>
              <w:t>.</w:t>
            </w:r>
            <w:r w:rsidRPr="003410C7">
              <w:rPr>
                <w:rFonts w:cs="Tahoma"/>
                <w:szCs w:val="18"/>
              </w:rPr>
              <w:t>000 - $624</w:t>
            </w:r>
            <w:r w:rsidR="00033DA4">
              <w:rPr>
                <w:rFonts w:cs="Tahoma"/>
                <w:szCs w:val="18"/>
              </w:rPr>
              <w:t>.</w:t>
            </w:r>
            <w:r w:rsidRPr="003410C7">
              <w:rPr>
                <w:rFonts w:cs="Tahoma"/>
                <w:szCs w:val="18"/>
              </w:rPr>
              <w:t>999</w:t>
            </w:r>
          </w:p>
        </w:tc>
        <w:tc>
          <w:tcPr>
            <w:tcW w:w="2520" w:type="dxa"/>
          </w:tcPr>
          <w:p w:rsidR="00613BBB" w:rsidRPr="003410C7" w:rsidRDefault="00613BBB" w:rsidP="00613BBB">
            <w:pPr>
              <w:jc w:val="center"/>
              <w:rPr>
                <w:rFonts w:cs="Tahoma"/>
                <w:szCs w:val="18"/>
              </w:rPr>
            </w:pPr>
            <w:r w:rsidRPr="003410C7">
              <w:rPr>
                <w:rFonts w:cs="Tahoma"/>
                <w:szCs w:val="18"/>
              </w:rPr>
              <w:t>6</w:t>
            </w:r>
          </w:p>
        </w:tc>
      </w:tr>
      <w:tr w:rsidR="00613BBB" w:rsidRPr="003410C7" w:rsidTr="002A6416">
        <w:tc>
          <w:tcPr>
            <w:tcW w:w="2160" w:type="dxa"/>
          </w:tcPr>
          <w:p w:rsidR="00613BBB" w:rsidRPr="003410C7" w:rsidRDefault="00613BBB" w:rsidP="00613BBB">
            <w:pPr>
              <w:jc w:val="center"/>
              <w:rPr>
                <w:rFonts w:cs="Tahoma"/>
                <w:szCs w:val="18"/>
              </w:rPr>
            </w:pPr>
            <w:r w:rsidRPr="003410C7">
              <w:rPr>
                <w:rFonts w:cs="Tahoma"/>
                <w:szCs w:val="18"/>
              </w:rPr>
              <w:t>$625</w:t>
            </w:r>
            <w:r w:rsidR="00033DA4">
              <w:rPr>
                <w:rFonts w:cs="Tahoma"/>
                <w:szCs w:val="18"/>
              </w:rPr>
              <w:t>.</w:t>
            </w:r>
            <w:r w:rsidRPr="003410C7">
              <w:rPr>
                <w:rFonts w:cs="Tahoma"/>
                <w:szCs w:val="18"/>
              </w:rPr>
              <w:t>000 - $749</w:t>
            </w:r>
            <w:r w:rsidR="00033DA4">
              <w:rPr>
                <w:rFonts w:cs="Tahoma"/>
                <w:szCs w:val="18"/>
              </w:rPr>
              <w:t>.</w:t>
            </w:r>
            <w:r w:rsidRPr="003410C7">
              <w:rPr>
                <w:rFonts w:cs="Tahoma"/>
                <w:szCs w:val="18"/>
              </w:rPr>
              <w:t>999</w:t>
            </w:r>
          </w:p>
        </w:tc>
        <w:tc>
          <w:tcPr>
            <w:tcW w:w="2520" w:type="dxa"/>
          </w:tcPr>
          <w:p w:rsidR="00613BBB" w:rsidRPr="003410C7" w:rsidRDefault="00613BBB" w:rsidP="00613BBB">
            <w:pPr>
              <w:jc w:val="center"/>
              <w:rPr>
                <w:rFonts w:cs="Tahoma"/>
                <w:szCs w:val="18"/>
              </w:rPr>
            </w:pPr>
            <w:r w:rsidRPr="003410C7">
              <w:rPr>
                <w:rFonts w:cs="Tahoma"/>
                <w:szCs w:val="18"/>
              </w:rPr>
              <w:t>7</w:t>
            </w:r>
          </w:p>
        </w:tc>
      </w:tr>
      <w:tr w:rsidR="00613BBB" w:rsidRPr="003410C7" w:rsidTr="002A6416">
        <w:tc>
          <w:tcPr>
            <w:tcW w:w="2160" w:type="dxa"/>
          </w:tcPr>
          <w:p w:rsidR="00613BBB" w:rsidRPr="003410C7" w:rsidRDefault="00613BBB" w:rsidP="00613BBB">
            <w:pPr>
              <w:jc w:val="center"/>
              <w:rPr>
                <w:rFonts w:cs="Tahoma"/>
                <w:szCs w:val="18"/>
              </w:rPr>
            </w:pPr>
            <w:r w:rsidRPr="003410C7">
              <w:rPr>
                <w:rFonts w:cs="Tahoma"/>
                <w:szCs w:val="18"/>
              </w:rPr>
              <w:t>$750</w:t>
            </w:r>
            <w:r w:rsidR="00033DA4">
              <w:rPr>
                <w:rFonts w:cs="Tahoma"/>
                <w:szCs w:val="18"/>
              </w:rPr>
              <w:t>.</w:t>
            </w:r>
            <w:r w:rsidRPr="003410C7">
              <w:rPr>
                <w:rFonts w:cs="Tahoma"/>
                <w:szCs w:val="18"/>
              </w:rPr>
              <w:t>000 - $874</w:t>
            </w:r>
            <w:r w:rsidR="00033DA4">
              <w:rPr>
                <w:rFonts w:cs="Tahoma"/>
                <w:szCs w:val="18"/>
              </w:rPr>
              <w:t>.</w:t>
            </w:r>
            <w:r w:rsidRPr="003410C7">
              <w:rPr>
                <w:rFonts w:cs="Tahoma"/>
                <w:szCs w:val="18"/>
              </w:rPr>
              <w:t>999</w:t>
            </w:r>
          </w:p>
        </w:tc>
        <w:tc>
          <w:tcPr>
            <w:tcW w:w="2520" w:type="dxa"/>
          </w:tcPr>
          <w:p w:rsidR="00613BBB" w:rsidRPr="003410C7" w:rsidRDefault="00613BBB" w:rsidP="00613BBB">
            <w:pPr>
              <w:jc w:val="center"/>
              <w:rPr>
                <w:rFonts w:cs="Tahoma"/>
                <w:szCs w:val="18"/>
              </w:rPr>
            </w:pPr>
            <w:r w:rsidRPr="003410C7">
              <w:rPr>
                <w:rFonts w:cs="Tahoma"/>
                <w:szCs w:val="18"/>
              </w:rPr>
              <w:t>8</w:t>
            </w:r>
          </w:p>
        </w:tc>
      </w:tr>
    </w:tbl>
    <w:p w:rsidR="00A17E03" w:rsidRDefault="00A17E03" w:rsidP="00FF1B2B">
      <w:pPr>
        <w:rPr>
          <w:rFonts w:cs="Tahoma"/>
          <w:szCs w:val="18"/>
          <w:lang w:val="it-IT"/>
        </w:rPr>
      </w:pPr>
      <w:r w:rsidRPr="00451078">
        <w:rPr>
          <w:rFonts w:cs="Tahoma"/>
          <w:szCs w:val="18"/>
          <w:lang w:val="it-IT"/>
        </w:rPr>
        <w:lastRenderedPageBreak/>
        <w:t>La seguente tabella si applica alle società in possesso di licenze per PDW:</w:t>
      </w:r>
    </w:p>
    <w:p w:rsidR="00181CF3" w:rsidRPr="00451078" w:rsidRDefault="00181CF3" w:rsidP="00FF1B2B">
      <w:pPr>
        <w:rPr>
          <w:lang w:val="it-IT"/>
        </w:rPr>
      </w:pPr>
    </w:p>
    <w:tbl>
      <w:tblPr>
        <w:tblW w:w="0" w:type="auto"/>
        <w:tblInd w:w="23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2160"/>
        <w:gridCol w:w="2520"/>
      </w:tblGrid>
      <w:tr w:rsidR="00A17E03" w:rsidRPr="003410C7" w:rsidTr="002A6416">
        <w:tc>
          <w:tcPr>
            <w:tcW w:w="2160" w:type="dxa"/>
            <w:shd w:val="clear" w:color="auto" w:fill="FABF8F"/>
          </w:tcPr>
          <w:p w:rsidR="00A17E03" w:rsidRPr="00451078" w:rsidRDefault="00A17E03" w:rsidP="00A17E03">
            <w:pPr>
              <w:jc w:val="center"/>
              <w:rPr>
                <w:rFonts w:cs="Tahoma"/>
                <w:color w:val="000000"/>
                <w:szCs w:val="18"/>
                <w:lang w:val="it-IT"/>
              </w:rPr>
            </w:pPr>
            <w:r w:rsidRPr="00451078">
              <w:rPr>
                <w:rFonts w:cs="Tahoma"/>
                <w:b/>
                <w:bCs/>
                <w:color w:val="000000"/>
                <w:szCs w:val="18"/>
                <w:lang w:val="it-IT"/>
              </w:rPr>
              <w:t>Spesa Media Annuale per SA</w:t>
            </w:r>
          </w:p>
        </w:tc>
        <w:tc>
          <w:tcPr>
            <w:tcW w:w="2520" w:type="dxa"/>
            <w:shd w:val="clear" w:color="auto" w:fill="FABF8F"/>
          </w:tcPr>
          <w:p w:rsidR="00A17E03" w:rsidRPr="003410C7" w:rsidRDefault="00A17E03" w:rsidP="00A17E03">
            <w:pPr>
              <w:jc w:val="center"/>
              <w:rPr>
                <w:rFonts w:cs="Tahoma"/>
                <w:color w:val="000000"/>
                <w:szCs w:val="18"/>
              </w:rPr>
            </w:pPr>
            <w:r w:rsidRPr="003410C7">
              <w:rPr>
                <w:rFonts w:cs="Tahoma"/>
                <w:b/>
                <w:bCs/>
                <w:color w:val="000000"/>
                <w:szCs w:val="18"/>
              </w:rPr>
              <w:t>Contatti di supporto consentiti</w:t>
            </w:r>
          </w:p>
        </w:tc>
      </w:tr>
      <w:tr w:rsidR="00A17E03" w:rsidRPr="003410C7" w:rsidTr="002A6416">
        <w:tc>
          <w:tcPr>
            <w:tcW w:w="2160" w:type="dxa"/>
          </w:tcPr>
          <w:p w:rsidR="00A17E03" w:rsidRPr="003410C7" w:rsidRDefault="00A17E03" w:rsidP="00A17E03">
            <w:pPr>
              <w:jc w:val="center"/>
              <w:rPr>
                <w:rFonts w:cs="Tahoma"/>
                <w:color w:val="000000"/>
                <w:szCs w:val="18"/>
              </w:rPr>
            </w:pPr>
            <w:r w:rsidRPr="003410C7">
              <w:rPr>
                <w:rFonts w:cs="Tahoma"/>
                <w:color w:val="000000"/>
                <w:szCs w:val="18"/>
              </w:rPr>
              <w:t>$0 - $374</w:t>
            </w:r>
            <w:r w:rsidR="00033DA4">
              <w:rPr>
                <w:rFonts w:cs="Tahoma"/>
                <w:color w:val="000000"/>
                <w:szCs w:val="18"/>
              </w:rPr>
              <w:t>.</w:t>
            </w:r>
            <w:r w:rsidRPr="003410C7">
              <w:rPr>
                <w:rFonts w:cs="Tahoma"/>
                <w:color w:val="000000"/>
                <w:szCs w:val="18"/>
              </w:rPr>
              <w:t>999</w:t>
            </w:r>
          </w:p>
        </w:tc>
        <w:tc>
          <w:tcPr>
            <w:tcW w:w="2520" w:type="dxa"/>
          </w:tcPr>
          <w:p w:rsidR="00A17E03" w:rsidRPr="003410C7" w:rsidRDefault="00A17E03" w:rsidP="00A17E03">
            <w:pPr>
              <w:jc w:val="center"/>
              <w:rPr>
                <w:rFonts w:cs="Tahoma"/>
                <w:color w:val="000000"/>
                <w:szCs w:val="18"/>
              </w:rPr>
            </w:pPr>
            <w:r w:rsidRPr="003410C7">
              <w:rPr>
                <w:rFonts w:cs="Tahoma"/>
                <w:color w:val="000000"/>
                <w:szCs w:val="18"/>
              </w:rPr>
              <w:t>4</w:t>
            </w:r>
          </w:p>
        </w:tc>
      </w:tr>
      <w:tr w:rsidR="00A17E03" w:rsidRPr="003410C7" w:rsidTr="002A6416">
        <w:tc>
          <w:tcPr>
            <w:tcW w:w="2160" w:type="dxa"/>
          </w:tcPr>
          <w:p w:rsidR="00A17E03" w:rsidRPr="003410C7" w:rsidRDefault="00A17E03" w:rsidP="00A17E03">
            <w:pPr>
              <w:jc w:val="center"/>
              <w:rPr>
                <w:rFonts w:cs="Tahoma"/>
                <w:szCs w:val="18"/>
              </w:rPr>
            </w:pPr>
            <w:r w:rsidRPr="003410C7">
              <w:rPr>
                <w:rFonts w:cs="Tahoma"/>
                <w:szCs w:val="18"/>
              </w:rPr>
              <w:t>$375</w:t>
            </w:r>
            <w:r w:rsidR="00033DA4">
              <w:rPr>
                <w:rFonts w:cs="Tahoma"/>
                <w:szCs w:val="18"/>
              </w:rPr>
              <w:t>.</w:t>
            </w:r>
            <w:r w:rsidRPr="003410C7">
              <w:rPr>
                <w:rFonts w:cs="Tahoma"/>
                <w:szCs w:val="18"/>
              </w:rPr>
              <w:t>000 - $499</w:t>
            </w:r>
            <w:r w:rsidR="00033DA4">
              <w:rPr>
                <w:rFonts w:cs="Tahoma"/>
                <w:szCs w:val="18"/>
              </w:rPr>
              <w:t>.</w:t>
            </w:r>
            <w:r w:rsidRPr="003410C7">
              <w:rPr>
                <w:rFonts w:cs="Tahoma"/>
                <w:szCs w:val="18"/>
              </w:rPr>
              <w:t>999</w:t>
            </w:r>
          </w:p>
        </w:tc>
        <w:tc>
          <w:tcPr>
            <w:tcW w:w="2520" w:type="dxa"/>
          </w:tcPr>
          <w:p w:rsidR="00A17E03" w:rsidRPr="003410C7" w:rsidRDefault="00A17E03" w:rsidP="00A17E03">
            <w:pPr>
              <w:jc w:val="center"/>
              <w:rPr>
                <w:rFonts w:cs="Tahoma"/>
                <w:szCs w:val="18"/>
              </w:rPr>
            </w:pPr>
            <w:r w:rsidRPr="003410C7">
              <w:rPr>
                <w:rFonts w:cs="Tahoma"/>
                <w:szCs w:val="18"/>
              </w:rPr>
              <w:t>5</w:t>
            </w:r>
          </w:p>
        </w:tc>
      </w:tr>
      <w:tr w:rsidR="00A17E03" w:rsidRPr="003410C7" w:rsidTr="002A6416">
        <w:tc>
          <w:tcPr>
            <w:tcW w:w="2160" w:type="dxa"/>
          </w:tcPr>
          <w:p w:rsidR="00A17E03" w:rsidRPr="003410C7" w:rsidRDefault="00A17E03" w:rsidP="00A17E03">
            <w:pPr>
              <w:jc w:val="center"/>
              <w:rPr>
                <w:rFonts w:cs="Tahoma"/>
                <w:szCs w:val="18"/>
              </w:rPr>
            </w:pPr>
            <w:r w:rsidRPr="003410C7">
              <w:rPr>
                <w:rFonts w:cs="Tahoma"/>
                <w:szCs w:val="18"/>
              </w:rPr>
              <w:t>$500</w:t>
            </w:r>
            <w:r w:rsidR="00033DA4">
              <w:rPr>
                <w:rFonts w:cs="Tahoma"/>
                <w:szCs w:val="18"/>
              </w:rPr>
              <w:t>.</w:t>
            </w:r>
            <w:r w:rsidRPr="003410C7">
              <w:rPr>
                <w:rFonts w:cs="Tahoma"/>
                <w:szCs w:val="18"/>
              </w:rPr>
              <w:t>000 - $624</w:t>
            </w:r>
            <w:r w:rsidR="00033DA4">
              <w:rPr>
                <w:rFonts w:cs="Tahoma"/>
                <w:szCs w:val="18"/>
              </w:rPr>
              <w:t>.</w:t>
            </w:r>
            <w:r w:rsidRPr="003410C7">
              <w:rPr>
                <w:rFonts w:cs="Tahoma"/>
                <w:szCs w:val="18"/>
              </w:rPr>
              <w:t>999</w:t>
            </w:r>
          </w:p>
        </w:tc>
        <w:tc>
          <w:tcPr>
            <w:tcW w:w="2520" w:type="dxa"/>
          </w:tcPr>
          <w:p w:rsidR="00A17E03" w:rsidRPr="003410C7" w:rsidRDefault="00A17E03" w:rsidP="00A17E03">
            <w:pPr>
              <w:jc w:val="center"/>
              <w:rPr>
                <w:rFonts w:cs="Tahoma"/>
                <w:szCs w:val="18"/>
              </w:rPr>
            </w:pPr>
            <w:r w:rsidRPr="003410C7">
              <w:rPr>
                <w:rFonts w:cs="Tahoma"/>
                <w:szCs w:val="18"/>
              </w:rPr>
              <w:t>6</w:t>
            </w:r>
          </w:p>
        </w:tc>
      </w:tr>
      <w:tr w:rsidR="00A17E03" w:rsidRPr="003410C7" w:rsidTr="002A6416">
        <w:tc>
          <w:tcPr>
            <w:tcW w:w="2160" w:type="dxa"/>
          </w:tcPr>
          <w:p w:rsidR="00A17E03" w:rsidRPr="003410C7" w:rsidRDefault="00A17E03" w:rsidP="00A17E03">
            <w:pPr>
              <w:jc w:val="center"/>
              <w:rPr>
                <w:rFonts w:cs="Tahoma"/>
                <w:szCs w:val="18"/>
              </w:rPr>
            </w:pPr>
            <w:r w:rsidRPr="003410C7">
              <w:rPr>
                <w:rFonts w:cs="Tahoma"/>
                <w:szCs w:val="18"/>
              </w:rPr>
              <w:t>$625</w:t>
            </w:r>
            <w:r w:rsidR="00033DA4">
              <w:rPr>
                <w:rFonts w:cs="Tahoma"/>
                <w:szCs w:val="18"/>
              </w:rPr>
              <w:t>.</w:t>
            </w:r>
            <w:r w:rsidRPr="003410C7">
              <w:rPr>
                <w:rFonts w:cs="Tahoma"/>
                <w:szCs w:val="18"/>
              </w:rPr>
              <w:t>000 - $749</w:t>
            </w:r>
            <w:r w:rsidR="00033DA4">
              <w:rPr>
                <w:rFonts w:cs="Tahoma"/>
                <w:szCs w:val="18"/>
              </w:rPr>
              <w:t>.</w:t>
            </w:r>
            <w:r w:rsidRPr="003410C7">
              <w:rPr>
                <w:rFonts w:cs="Tahoma"/>
                <w:szCs w:val="18"/>
              </w:rPr>
              <w:t>999</w:t>
            </w:r>
          </w:p>
        </w:tc>
        <w:tc>
          <w:tcPr>
            <w:tcW w:w="2520" w:type="dxa"/>
          </w:tcPr>
          <w:p w:rsidR="00A17E03" w:rsidRPr="003410C7" w:rsidRDefault="00A17E03" w:rsidP="00A17E03">
            <w:pPr>
              <w:jc w:val="center"/>
              <w:rPr>
                <w:rFonts w:cs="Tahoma"/>
                <w:szCs w:val="18"/>
              </w:rPr>
            </w:pPr>
            <w:r w:rsidRPr="003410C7">
              <w:rPr>
                <w:rFonts w:cs="Tahoma"/>
                <w:szCs w:val="18"/>
              </w:rPr>
              <w:t>7</w:t>
            </w:r>
          </w:p>
        </w:tc>
      </w:tr>
      <w:tr w:rsidR="00A17E03" w:rsidRPr="003410C7" w:rsidTr="002A6416">
        <w:tc>
          <w:tcPr>
            <w:tcW w:w="2160" w:type="dxa"/>
          </w:tcPr>
          <w:p w:rsidR="00A17E03" w:rsidRPr="003410C7" w:rsidRDefault="00A17E03" w:rsidP="00A17E03">
            <w:pPr>
              <w:jc w:val="center"/>
              <w:rPr>
                <w:rFonts w:cs="Tahoma"/>
                <w:szCs w:val="18"/>
              </w:rPr>
            </w:pPr>
            <w:r w:rsidRPr="003410C7">
              <w:rPr>
                <w:rFonts w:cs="Tahoma"/>
                <w:szCs w:val="18"/>
              </w:rPr>
              <w:t>$750</w:t>
            </w:r>
            <w:r w:rsidR="00033DA4">
              <w:rPr>
                <w:rFonts w:cs="Tahoma"/>
                <w:szCs w:val="18"/>
              </w:rPr>
              <w:t>.</w:t>
            </w:r>
            <w:r w:rsidRPr="003410C7">
              <w:rPr>
                <w:rFonts w:cs="Tahoma"/>
                <w:szCs w:val="18"/>
              </w:rPr>
              <w:t>000 - $874</w:t>
            </w:r>
            <w:r w:rsidR="00033DA4">
              <w:rPr>
                <w:rFonts w:cs="Tahoma"/>
                <w:szCs w:val="18"/>
              </w:rPr>
              <w:t>.</w:t>
            </w:r>
            <w:r w:rsidRPr="003410C7">
              <w:rPr>
                <w:rFonts w:cs="Tahoma"/>
                <w:szCs w:val="18"/>
              </w:rPr>
              <w:t>999</w:t>
            </w:r>
          </w:p>
        </w:tc>
        <w:tc>
          <w:tcPr>
            <w:tcW w:w="2520" w:type="dxa"/>
          </w:tcPr>
          <w:p w:rsidR="00A17E03" w:rsidRPr="003410C7" w:rsidRDefault="00A17E03" w:rsidP="00A17E03">
            <w:pPr>
              <w:jc w:val="center"/>
              <w:rPr>
                <w:rFonts w:cs="Tahoma"/>
                <w:szCs w:val="18"/>
              </w:rPr>
            </w:pPr>
            <w:r w:rsidRPr="003410C7">
              <w:rPr>
                <w:rFonts w:cs="Tahoma"/>
                <w:szCs w:val="18"/>
              </w:rPr>
              <w:t>8</w:t>
            </w:r>
          </w:p>
        </w:tc>
      </w:tr>
    </w:tbl>
    <w:p w:rsidR="00A17E03" w:rsidRPr="003410C7" w:rsidRDefault="00A17E03" w:rsidP="00F530ED">
      <w:pPr>
        <w:jc w:val="both"/>
      </w:pPr>
    </w:p>
    <w:p w:rsidR="00A17E03" w:rsidRPr="00451078" w:rsidRDefault="00A17E03" w:rsidP="00F42FB8">
      <w:pPr>
        <w:jc w:val="both"/>
        <w:rPr>
          <w:lang w:val="it-IT"/>
        </w:rPr>
      </w:pPr>
      <w:r w:rsidRPr="00451078">
        <w:rPr>
          <w:rFonts w:cs="Tahoma"/>
          <w:szCs w:val="18"/>
          <w:lang w:val="it-IT"/>
        </w:rPr>
        <w:t>Le richieste di supporto dovrebbero essere effettuate via telefono o Web da un contatto designato dalla società e</w:t>
      </w:r>
      <w:r w:rsidR="00033DA4" w:rsidRPr="00451078">
        <w:rPr>
          <w:rFonts w:cs="Tahoma"/>
          <w:szCs w:val="18"/>
          <w:lang w:val="it-IT"/>
        </w:rPr>
        <w:t> </w:t>
      </w:r>
      <w:r w:rsidRPr="00451078">
        <w:rPr>
          <w:rFonts w:cs="Tahoma"/>
          <w:szCs w:val="18"/>
          <w:lang w:val="it-IT"/>
        </w:rPr>
        <w:t>seguire la procedura descritta nel Contratto Premier Services della società. Il vantaggio PRS Illimitato 24x7 include soltanto i Servizi per la Risoluzione dei Problemi. Il tempo eventualmente dedicato dal Technical Account Manager (TAM) o dal Designated Support Engineer (DSE) alla risoluzione del problema sarà conteggiato nell</w:t>
      </w:r>
      <w:r w:rsidR="004525CA">
        <w:rPr>
          <w:rFonts w:cs="Tahoma"/>
          <w:szCs w:val="18"/>
          <w:lang w:val="it-IT"/>
        </w:rPr>
        <w:t>’</w:t>
      </w:r>
      <w:r w:rsidRPr="00451078">
        <w:rPr>
          <w:rFonts w:cs="Tahoma"/>
          <w:szCs w:val="18"/>
          <w:lang w:val="it-IT"/>
        </w:rPr>
        <w:t xml:space="preserve">ambito del Contratto Premier Services della società. </w:t>
      </w:r>
    </w:p>
    <w:p w:rsidR="00023FE7" w:rsidRPr="00451078" w:rsidRDefault="00023FE7" w:rsidP="00F42FB8">
      <w:pPr>
        <w:pStyle w:val="Heading3"/>
        <w:rPr>
          <w:lang w:val="it-IT"/>
        </w:rPr>
      </w:pPr>
    </w:p>
    <w:p w:rsidR="00620185" w:rsidRPr="00451078" w:rsidRDefault="00620185" w:rsidP="00F42FB8">
      <w:pPr>
        <w:pStyle w:val="Heading3"/>
        <w:rPr>
          <w:lang w:val="it-IT"/>
        </w:rPr>
      </w:pPr>
      <w:bookmarkStart w:id="799" w:name="_Toc336338238"/>
      <w:bookmarkStart w:id="800" w:name="_Toc352234833"/>
      <w:r w:rsidRPr="00451078">
        <w:rPr>
          <w:rFonts w:ascii="Tahoma" w:hAnsi="Tahoma" w:cs="Tahoma"/>
          <w:color w:val="000000"/>
          <w:sz w:val="24"/>
          <w:szCs w:val="18"/>
          <w:lang w:val="it-IT"/>
        </w:rPr>
        <w:t>System Center Advisor</w:t>
      </w:r>
      <w:bookmarkEnd w:id="799"/>
      <w:bookmarkEnd w:id="800"/>
    </w:p>
    <w:p w:rsidR="00620185" w:rsidRPr="00451078" w:rsidRDefault="00620185" w:rsidP="00F42FB8">
      <w:pPr>
        <w:rPr>
          <w:lang w:val="it-IT"/>
        </w:rPr>
      </w:pPr>
    </w:p>
    <w:p w:rsidR="001C1727" w:rsidRPr="00451078" w:rsidRDefault="00F56FC9">
      <w:pPr>
        <w:rPr>
          <w:lang w:val="it-IT"/>
        </w:rPr>
      </w:pPr>
      <w:r w:rsidRPr="00451078">
        <w:rPr>
          <w:rFonts w:cs="Tahoma"/>
          <w:szCs w:val="18"/>
          <w:lang w:val="it-IT"/>
        </w:rPr>
        <w:t>Le società con copertura Software Assurance attiva per le licenze software per le edizioni di Windows Server, SQL</w:t>
      </w:r>
      <w:r w:rsidR="00186270" w:rsidRPr="00451078">
        <w:rPr>
          <w:rFonts w:cs="Tahoma"/>
          <w:szCs w:val="18"/>
          <w:lang w:val="it-IT"/>
        </w:rPr>
        <w:t> </w:t>
      </w:r>
      <w:r w:rsidRPr="00451078">
        <w:rPr>
          <w:rFonts w:cs="Tahoma"/>
          <w:szCs w:val="18"/>
          <w:lang w:val="it-IT"/>
        </w:rPr>
        <w:t>Server, Exchange Server e SharePoint Server identificate nella tabella che segue sono idonee a utilizzare System</w:t>
      </w:r>
      <w:r w:rsidR="00186270" w:rsidRPr="00451078">
        <w:rPr>
          <w:rFonts w:cs="Tahoma"/>
          <w:szCs w:val="18"/>
          <w:lang w:val="it-IT"/>
        </w:rPr>
        <w:t> </w:t>
      </w:r>
      <w:r w:rsidRPr="00451078">
        <w:rPr>
          <w:rFonts w:cs="Tahoma"/>
          <w:szCs w:val="18"/>
          <w:lang w:val="it-IT"/>
        </w:rPr>
        <w:t xml:space="preserve">Center Advisor come specificato nei Diritti di Utilizzo del Prodotto. </w:t>
      </w:r>
    </w:p>
    <w:p w:rsidR="003479E5" w:rsidRPr="00451078" w:rsidRDefault="003479E5" w:rsidP="00792D1E">
      <w:pPr>
        <w:outlineLvl w:val="2"/>
        <w:rPr>
          <w:lang w:val="it-IT"/>
        </w:rPr>
      </w:pPr>
    </w:p>
    <w:tbl>
      <w:tblPr>
        <w:tblW w:w="0" w:type="auto"/>
        <w:tblInd w:w="1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1912"/>
        <w:gridCol w:w="1848"/>
        <w:gridCol w:w="1774"/>
        <w:gridCol w:w="1830"/>
        <w:gridCol w:w="83"/>
        <w:gridCol w:w="1391"/>
      </w:tblGrid>
      <w:tr w:rsidR="00A13BC3" w:rsidRPr="003410C7" w:rsidTr="00186270">
        <w:trPr>
          <w:tblHeader/>
        </w:trPr>
        <w:tc>
          <w:tcPr>
            <w:tcW w:w="3760" w:type="dxa"/>
            <w:gridSpan w:val="2"/>
            <w:shd w:val="clear" w:color="auto" w:fill="FABF8F"/>
          </w:tcPr>
          <w:p w:rsidR="00A13BC3" w:rsidRPr="003410C7" w:rsidRDefault="00A13BC3" w:rsidP="007E466C">
            <w:pPr>
              <w:spacing w:before="120" w:after="120" w:line="276" w:lineRule="auto"/>
              <w:jc w:val="center"/>
              <w:rPr>
                <w:rFonts w:cs="Tahoma"/>
                <w:b/>
                <w:bCs/>
                <w:color w:val="000000"/>
                <w:szCs w:val="18"/>
                <w:lang w:eastAsia="ja-JP"/>
              </w:rPr>
            </w:pPr>
            <w:r w:rsidRPr="003410C7">
              <w:rPr>
                <w:rFonts w:cs="Tahoma"/>
                <w:b/>
                <w:bCs/>
                <w:color w:val="000000"/>
                <w:szCs w:val="18"/>
              </w:rPr>
              <w:t>Software Server Qualificante*</w:t>
            </w:r>
          </w:p>
        </w:tc>
        <w:tc>
          <w:tcPr>
            <w:tcW w:w="1774" w:type="dxa"/>
            <w:shd w:val="clear" w:color="auto" w:fill="FABF8F"/>
          </w:tcPr>
          <w:p w:rsidR="00A13BC3" w:rsidRPr="003410C7" w:rsidRDefault="00A13BC3" w:rsidP="003479E5">
            <w:pPr>
              <w:spacing w:after="200" w:line="276" w:lineRule="auto"/>
              <w:jc w:val="center"/>
              <w:rPr>
                <w:rFonts w:cs="Tahoma"/>
                <w:b/>
                <w:bCs/>
                <w:color w:val="000000"/>
                <w:szCs w:val="18"/>
                <w:lang w:eastAsia="ja-JP"/>
              </w:rPr>
            </w:pPr>
          </w:p>
        </w:tc>
        <w:tc>
          <w:tcPr>
            <w:tcW w:w="1913" w:type="dxa"/>
            <w:gridSpan w:val="2"/>
            <w:shd w:val="clear" w:color="auto" w:fill="FABF8F"/>
          </w:tcPr>
          <w:p w:rsidR="00A13BC3" w:rsidRPr="003410C7" w:rsidRDefault="00A13BC3" w:rsidP="003479E5">
            <w:pPr>
              <w:spacing w:after="200" w:line="276" w:lineRule="auto"/>
              <w:jc w:val="center"/>
              <w:rPr>
                <w:rFonts w:cs="Tahoma"/>
                <w:b/>
                <w:bCs/>
                <w:color w:val="000000"/>
                <w:szCs w:val="18"/>
                <w:lang w:eastAsia="ja-JP"/>
              </w:rPr>
            </w:pPr>
          </w:p>
        </w:tc>
        <w:tc>
          <w:tcPr>
            <w:tcW w:w="1391" w:type="dxa"/>
            <w:shd w:val="clear" w:color="auto" w:fill="FABF8F"/>
          </w:tcPr>
          <w:p w:rsidR="00A13BC3" w:rsidRPr="003410C7" w:rsidRDefault="00A13BC3" w:rsidP="003479E5">
            <w:pPr>
              <w:spacing w:after="200" w:line="276" w:lineRule="auto"/>
              <w:jc w:val="center"/>
              <w:rPr>
                <w:rFonts w:cs="Tahoma"/>
                <w:b/>
                <w:bCs/>
                <w:color w:val="000000"/>
                <w:szCs w:val="18"/>
                <w:lang w:eastAsia="ja-JP"/>
              </w:rPr>
            </w:pPr>
          </w:p>
        </w:tc>
      </w:tr>
      <w:tr w:rsidR="00A13BC3" w:rsidRPr="003410C7" w:rsidTr="00186270">
        <w:trPr>
          <w:tblHeader/>
        </w:trPr>
        <w:tc>
          <w:tcPr>
            <w:tcW w:w="1912" w:type="dxa"/>
            <w:shd w:val="clear" w:color="auto" w:fill="FABF8F"/>
            <w:vAlign w:val="center"/>
          </w:tcPr>
          <w:p w:rsidR="00A13BC3" w:rsidRPr="003410C7" w:rsidRDefault="00A13BC3" w:rsidP="007E466C">
            <w:pPr>
              <w:spacing w:before="120" w:after="120" w:line="276" w:lineRule="auto"/>
              <w:jc w:val="center"/>
              <w:rPr>
                <w:rFonts w:cs="Tahoma"/>
                <w:color w:val="000000"/>
                <w:szCs w:val="18"/>
                <w:lang w:eastAsia="ja-JP"/>
              </w:rPr>
            </w:pPr>
            <w:r w:rsidRPr="003410C7">
              <w:rPr>
                <w:rFonts w:cs="Tahoma"/>
                <w:b/>
                <w:bCs/>
                <w:color w:val="000000"/>
                <w:szCs w:val="18"/>
              </w:rPr>
              <w:t>Windows Server</w:t>
            </w:r>
          </w:p>
        </w:tc>
        <w:tc>
          <w:tcPr>
            <w:tcW w:w="1848" w:type="dxa"/>
            <w:shd w:val="clear" w:color="auto" w:fill="FABF8F"/>
            <w:vAlign w:val="center"/>
          </w:tcPr>
          <w:p w:rsidR="00A13BC3" w:rsidRPr="003410C7" w:rsidRDefault="00A13BC3" w:rsidP="007E466C">
            <w:pPr>
              <w:spacing w:before="120" w:after="120" w:line="276" w:lineRule="auto"/>
              <w:jc w:val="center"/>
              <w:rPr>
                <w:rFonts w:cs="Tahoma"/>
                <w:color w:val="000000"/>
                <w:szCs w:val="18"/>
                <w:lang w:eastAsia="ja-JP"/>
              </w:rPr>
            </w:pPr>
            <w:r w:rsidRPr="003410C7">
              <w:rPr>
                <w:rFonts w:cs="Tahoma"/>
                <w:b/>
                <w:bCs/>
                <w:color w:val="000000"/>
                <w:szCs w:val="18"/>
              </w:rPr>
              <w:t>SQL Server</w:t>
            </w:r>
          </w:p>
        </w:tc>
        <w:tc>
          <w:tcPr>
            <w:tcW w:w="1774" w:type="dxa"/>
            <w:shd w:val="clear" w:color="auto" w:fill="FABF8F"/>
            <w:vAlign w:val="center"/>
          </w:tcPr>
          <w:p w:rsidR="00A13BC3" w:rsidRPr="003410C7" w:rsidRDefault="00A13BC3" w:rsidP="007E466C">
            <w:pPr>
              <w:spacing w:before="120" w:after="120" w:line="276" w:lineRule="auto"/>
              <w:jc w:val="center"/>
              <w:rPr>
                <w:rFonts w:cs="Tahoma"/>
                <w:b/>
                <w:bCs/>
                <w:color w:val="000000"/>
                <w:szCs w:val="18"/>
                <w:lang w:eastAsia="ja-JP"/>
              </w:rPr>
            </w:pPr>
            <w:r w:rsidRPr="003410C7">
              <w:rPr>
                <w:rFonts w:cs="Tahoma"/>
                <w:b/>
                <w:bCs/>
                <w:color w:val="000000"/>
                <w:szCs w:val="18"/>
              </w:rPr>
              <w:t>Exchange Server</w:t>
            </w:r>
          </w:p>
        </w:tc>
        <w:tc>
          <w:tcPr>
            <w:tcW w:w="1913" w:type="dxa"/>
            <w:gridSpan w:val="2"/>
            <w:shd w:val="clear" w:color="auto" w:fill="FABF8F"/>
            <w:vAlign w:val="center"/>
          </w:tcPr>
          <w:p w:rsidR="00A13BC3" w:rsidRPr="003410C7" w:rsidRDefault="00A13BC3" w:rsidP="007E466C">
            <w:pPr>
              <w:spacing w:before="120" w:after="120" w:line="276" w:lineRule="auto"/>
              <w:jc w:val="center"/>
              <w:rPr>
                <w:rFonts w:cs="Tahoma"/>
                <w:b/>
                <w:bCs/>
                <w:color w:val="000000"/>
                <w:szCs w:val="18"/>
                <w:lang w:eastAsia="ja-JP"/>
              </w:rPr>
            </w:pPr>
            <w:r w:rsidRPr="003410C7">
              <w:rPr>
                <w:rFonts w:cs="Tahoma"/>
                <w:b/>
                <w:bCs/>
                <w:color w:val="000000"/>
                <w:szCs w:val="18"/>
              </w:rPr>
              <w:t>SharePoint Server</w:t>
            </w:r>
          </w:p>
        </w:tc>
        <w:tc>
          <w:tcPr>
            <w:tcW w:w="1391" w:type="dxa"/>
            <w:shd w:val="clear" w:color="auto" w:fill="FABF8F"/>
            <w:vAlign w:val="center"/>
          </w:tcPr>
          <w:p w:rsidR="00A13BC3" w:rsidRPr="003410C7" w:rsidRDefault="00A13BC3" w:rsidP="007E466C">
            <w:pPr>
              <w:spacing w:before="120" w:after="120" w:line="276" w:lineRule="auto"/>
              <w:jc w:val="center"/>
              <w:rPr>
                <w:rFonts w:cs="Tahoma"/>
                <w:b/>
                <w:bCs/>
                <w:color w:val="000000"/>
                <w:szCs w:val="18"/>
                <w:lang w:eastAsia="ja-JP"/>
              </w:rPr>
            </w:pPr>
            <w:r w:rsidRPr="003410C7">
              <w:rPr>
                <w:rFonts w:cs="Tahoma"/>
                <w:b/>
                <w:bCs/>
                <w:color w:val="000000"/>
                <w:szCs w:val="18"/>
              </w:rPr>
              <w:t>Lync Server</w:t>
            </w:r>
          </w:p>
        </w:tc>
      </w:tr>
      <w:tr w:rsidR="00A13BC3" w:rsidRPr="003410C7" w:rsidTr="007E466C">
        <w:tc>
          <w:tcPr>
            <w:tcW w:w="1912" w:type="dxa"/>
          </w:tcPr>
          <w:p w:rsidR="00A13BC3" w:rsidRPr="003410C7" w:rsidRDefault="00A13BC3" w:rsidP="003479E5">
            <w:pPr>
              <w:spacing w:after="200" w:line="276" w:lineRule="auto"/>
              <w:jc w:val="center"/>
              <w:rPr>
                <w:rFonts w:cs="Tahoma"/>
                <w:color w:val="000000"/>
                <w:szCs w:val="18"/>
                <w:lang w:eastAsia="ja-JP"/>
              </w:rPr>
            </w:pPr>
            <w:r w:rsidRPr="003410C7">
              <w:rPr>
                <w:rFonts w:cs="Tahoma"/>
                <w:color w:val="000000"/>
                <w:szCs w:val="18"/>
              </w:rPr>
              <w:t>Windows Server Datacenter</w:t>
            </w:r>
          </w:p>
        </w:tc>
        <w:tc>
          <w:tcPr>
            <w:tcW w:w="1848" w:type="dxa"/>
          </w:tcPr>
          <w:p w:rsidR="00A13BC3" w:rsidRPr="003410C7" w:rsidRDefault="00A13BC3" w:rsidP="003479E5">
            <w:pPr>
              <w:spacing w:after="200" w:line="276" w:lineRule="auto"/>
              <w:jc w:val="center"/>
              <w:rPr>
                <w:rFonts w:cs="Tahoma"/>
                <w:color w:val="000000"/>
                <w:szCs w:val="18"/>
                <w:lang w:eastAsia="ja-JP"/>
              </w:rPr>
            </w:pPr>
            <w:r w:rsidRPr="003410C7">
              <w:rPr>
                <w:rFonts w:cs="Tahoma"/>
                <w:color w:val="000000"/>
                <w:szCs w:val="18"/>
              </w:rPr>
              <w:t xml:space="preserve">SQL Server Parallel Data Warehouse </w:t>
            </w:r>
          </w:p>
        </w:tc>
        <w:tc>
          <w:tcPr>
            <w:tcW w:w="1774" w:type="dxa"/>
          </w:tcPr>
          <w:p w:rsidR="00A13BC3" w:rsidRPr="003410C7" w:rsidRDefault="00A13BC3" w:rsidP="003479E5">
            <w:pPr>
              <w:spacing w:after="200" w:line="276" w:lineRule="auto"/>
              <w:jc w:val="center"/>
              <w:rPr>
                <w:rFonts w:cs="Tahoma"/>
                <w:color w:val="000000"/>
                <w:szCs w:val="18"/>
                <w:lang w:eastAsia="ja-JP"/>
              </w:rPr>
            </w:pPr>
            <w:r w:rsidRPr="003410C7">
              <w:rPr>
                <w:rFonts w:cs="Tahoma"/>
                <w:color w:val="000000"/>
                <w:szCs w:val="18"/>
              </w:rPr>
              <w:t>Exchange Small Business Server</w:t>
            </w:r>
          </w:p>
        </w:tc>
        <w:tc>
          <w:tcPr>
            <w:tcW w:w="1913" w:type="dxa"/>
            <w:gridSpan w:val="2"/>
          </w:tcPr>
          <w:p w:rsidR="00A13BC3" w:rsidRPr="003410C7" w:rsidRDefault="00A13BC3" w:rsidP="003479E5">
            <w:pPr>
              <w:spacing w:after="200" w:line="276" w:lineRule="auto"/>
              <w:jc w:val="center"/>
              <w:rPr>
                <w:rFonts w:cs="Tahoma"/>
                <w:color w:val="000000"/>
                <w:szCs w:val="18"/>
                <w:lang w:eastAsia="ja-JP"/>
              </w:rPr>
            </w:pPr>
            <w:r w:rsidRPr="003410C7">
              <w:rPr>
                <w:rFonts w:cs="Tahoma"/>
                <w:color w:val="000000"/>
                <w:szCs w:val="18"/>
              </w:rPr>
              <w:t>SharePoint for Internet Sites Server Enterprise</w:t>
            </w:r>
          </w:p>
        </w:tc>
        <w:tc>
          <w:tcPr>
            <w:tcW w:w="1391" w:type="dxa"/>
          </w:tcPr>
          <w:p w:rsidR="00A13BC3" w:rsidRPr="003410C7" w:rsidRDefault="00A13BC3" w:rsidP="003479E5">
            <w:pPr>
              <w:spacing w:after="200" w:line="276" w:lineRule="auto"/>
              <w:jc w:val="center"/>
              <w:rPr>
                <w:rFonts w:cs="Tahoma"/>
                <w:color w:val="000000"/>
                <w:szCs w:val="18"/>
                <w:lang w:eastAsia="ja-JP"/>
              </w:rPr>
            </w:pPr>
            <w:r w:rsidRPr="003410C7">
              <w:rPr>
                <w:rFonts w:cs="Tahoma"/>
                <w:color w:val="000000"/>
                <w:szCs w:val="18"/>
              </w:rPr>
              <w:t>Lync Server 2010 Enterprise Edition</w:t>
            </w:r>
          </w:p>
        </w:tc>
      </w:tr>
      <w:tr w:rsidR="00A13BC3" w:rsidRPr="003410C7" w:rsidTr="007E466C">
        <w:tc>
          <w:tcPr>
            <w:tcW w:w="1912" w:type="dxa"/>
          </w:tcPr>
          <w:p w:rsidR="00A13BC3" w:rsidRPr="003410C7" w:rsidRDefault="00A13BC3" w:rsidP="003479E5">
            <w:pPr>
              <w:spacing w:after="200" w:line="276" w:lineRule="auto"/>
              <w:jc w:val="center"/>
              <w:rPr>
                <w:rFonts w:cs="Tahoma"/>
                <w:szCs w:val="18"/>
              </w:rPr>
            </w:pPr>
            <w:r w:rsidRPr="003410C7">
              <w:rPr>
                <w:rFonts w:cs="Tahoma"/>
                <w:color w:val="000000"/>
                <w:szCs w:val="18"/>
              </w:rPr>
              <w:t>Windows Server Enterprise</w:t>
            </w:r>
          </w:p>
        </w:tc>
        <w:tc>
          <w:tcPr>
            <w:tcW w:w="1848" w:type="dxa"/>
          </w:tcPr>
          <w:p w:rsidR="00A13BC3" w:rsidRPr="003410C7" w:rsidRDefault="00A13BC3" w:rsidP="003479E5">
            <w:pPr>
              <w:spacing w:after="200" w:line="276" w:lineRule="auto"/>
              <w:jc w:val="center"/>
              <w:rPr>
                <w:rFonts w:cs="Tahoma"/>
                <w:szCs w:val="18"/>
                <w:lang w:eastAsia="ja-JP"/>
              </w:rPr>
            </w:pPr>
            <w:r w:rsidRPr="003410C7">
              <w:rPr>
                <w:rFonts w:cs="Tahoma"/>
                <w:color w:val="000000"/>
                <w:szCs w:val="18"/>
              </w:rPr>
              <w:t>SQL Server Datacenter</w:t>
            </w:r>
          </w:p>
        </w:tc>
        <w:tc>
          <w:tcPr>
            <w:tcW w:w="1774" w:type="dxa"/>
          </w:tcPr>
          <w:p w:rsidR="00A13BC3" w:rsidRPr="003410C7" w:rsidRDefault="00A13BC3" w:rsidP="003479E5">
            <w:pPr>
              <w:spacing w:after="200" w:line="276" w:lineRule="auto"/>
              <w:jc w:val="center"/>
              <w:rPr>
                <w:rFonts w:cs="Tahoma"/>
                <w:color w:val="000000"/>
                <w:szCs w:val="18"/>
                <w:lang w:eastAsia="ja-JP"/>
              </w:rPr>
            </w:pPr>
            <w:r w:rsidRPr="003410C7">
              <w:rPr>
                <w:rFonts w:cs="Tahoma"/>
                <w:color w:val="000000"/>
                <w:szCs w:val="18"/>
              </w:rPr>
              <w:t>Exchange Server Enterprise</w:t>
            </w:r>
          </w:p>
        </w:tc>
        <w:tc>
          <w:tcPr>
            <w:tcW w:w="1913" w:type="dxa"/>
            <w:gridSpan w:val="2"/>
          </w:tcPr>
          <w:p w:rsidR="00A13BC3" w:rsidRPr="003410C7" w:rsidRDefault="00A13BC3" w:rsidP="003479E5">
            <w:pPr>
              <w:spacing w:after="200" w:line="276" w:lineRule="auto"/>
              <w:jc w:val="center"/>
              <w:rPr>
                <w:rFonts w:cs="Tahoma"/>
                <w:color w:val="000000"/>
                <w:szCs w:val="18"/>
                <w:lang w:eastAsia="ja-JP"/>
              </w:rPr>
            </w:pPr>
            <w:r w:rsidRPr="003410C7">
              <w:rPr>
                <w:rFonts w:cs="Tahoma"/>
                <w:color w:val="000000"/>
                <w:szCs w:val="18"/>
              </w:rPr>
              <w:t>SharePoint for Internet Sites Server Standard</w:t>
            </w:r>
          </w:p>
        </w:tc>
        <w:tc>
          <w:tcPr>
            <w:tcW w:w="1391" w:type="dxa"/>
          </w:tcPr>
          <w:p w:rsidR="00A13BC3" w:rsidRPr="003410C7" w:rsidRDefault="00A13BC3" w:rsidP="003479E5">
            <w:pPr>
              <w:spacing w:after="200" w:line="276" w:lineRule="auto"/>
              <w:jc w:val="center"/>
              <w:rPr>
                <w:rFonts w:cs="Tahoma"/>
                <w:color w:val="000000"/>
                <w:szCs w:val="18"/>
                <w:lang w:eastAsia="ja-JP"/>
              </w:rPr>
            </w:pPr>
            <w:r w:rsidRPr="003410C7">
              <w:rPr>
                <w:rFonts w:cs="Tahoma"/>
                <w:color w:val="000000"/>
                <w:szCs w:val="18"/>
              </w:rPr>
              <w:t>Lync Server 2010 Standard Edition</w:t>
            </w:r>
          </w:p>
        </w:tc>
      </w:tr>
      <w:tr w:rsidR="00A13BC3" w:rsidRPr="003410C7" w:rsidTr="007E466C">
        <w:tc>
          <w:tcPr>
            <w:tcW w:w="1912" w:type="dxa"/>
          </w:tcPr>
          <w:p w:rsidR="00A13BC3" w:rsidRPr="003410C7" w:rsidRDefault="00A13BC3" w:rsidP="003479E5">
            <w:pPr>
              <w:spacing w:after="200" w:line="276" w:lineRule="auto"/>
              <w:jc w:val="center"/>
              <w:rPr>
                <w:rFonts w:cs="Tahoma"/>
                <w:szCs w:val="18"/>
                <w:lang w:eastAsia="ja-JP"/>
              </w:rPr>
            </w:pPr>
            <w:r w:rsidRPr="003410C7">
              <w:rPr>
                <w:rFonts w:cs="Tahoma"/>
                <w:color w:val="000000"/>
                <w:szCs w:val="18"/>
              </w:rPr>
              <w:t>Windows Server Standard</w:t>
            </w:r>
          </w:p>
        </w:tc>
        <w:tc>
          <w:tcPr>
            <w:tcW w:w="1848" w:type="dxa"/>
          </w:tcPr>
          <w:p w:rsidR="00A13BC3" w:rsidRPr="003410C7" w:rsidRDefault="00A13BC3" w:rsidP="003479E5">
            <w:pPr>
              <w:spacing w:after="200" w:line="276" w:lineRule="auto"/>
              <w:jc w:val="center"/>
              <w:rPr>
                <w:rFonts w:cs="Tahoma"/>
                <w:szCs w:val="18"/>
                <w:lang w:eastAsia="ja-JP"/>
              </w:rPr>
            </w:pPr>
            <w:r w:rsidRPr="003410C7">
              <w:rPr>
                <w:rFonts w:cs="Tahoma"/>
                <w:szCs w:val="18"/>
              </w:rPr>
              <w:t>SQL Server Enterprise</w:t>
            </w:r>
          </w:p>
        </w:tc>
        <w:tc>
          <w:tcPr>
            <w:tcW w:w="1774" w:type="dxa"/>
          </w:tcPr>
          <w:p w:rsidR="00A13BC3" w:rsidRPr="003410C7" w:rsidRDefault="00A13BC3" w:rsidP="003479E5">
            <w:pPr>
              <w:spacing w:after="200" w:line="276" w:lineRule="auto"/>
              <w:jc w:val="center"/>
              <w:rPr>
                <w:rFonts w:cs="Tahoma"/>
                <w:color w:val="000000"/>
                <w:szCs w:val="18"/>
                <w:lang w:eastAsia="ja-JP"/>
              </w:rPr>
            </w:pPr>
            <w:r w:rsidRPr="003410C7">
              <w:rPr>
                <w:rFonts w:cs="Tahoma"/>
                <w:color w:val="000000"/>
                <w:szCs w:val="18"/>
              </w:rPr>
              <w:t>Exchange Server Standard</w:t>
            </w:r>
          </w:p>
        </w:tc>
        <w:tc>
          <w:tcPr>
            <w:tcW w:w="1913" w:type="dxa"/>
            <w:gridSpan w:val="2"/>
          </w:tcPr>
          <w:p w:rsidR="00A13BC3" w:rsidRPr="003410C7" w:rsidRDefault="00A13BC3" w:rsidP="003479E5">
            <w:pPr>
              <w:spacing w:after="200" w:line="276" w:lineRule="auto"/>
              <w:jc w:val="center"/>
              <w:rPr>
                <w:rFonts w:cs="Tahoma"/>
                <w:color w:val="000000"/>
                <w:szCs w:val="18"/>
                <w:lang w:eastAsia="ja-JP"/>
              </w:rPr>
            </w:pPr>
            <w:r w:rsidRPr="003410C7">
              <w:rPr>
                <w:rFonts w:cs="Tahoma"/>
                <w:color w:val="000000"/>
                <w:szCs w:val="18"/>
              </w:rPr>
              <w:t>SharePoint Server</w:t>
            </w:r>
          </w:p>
        </w:tc>
        <w:tc>
          <w:tcPr>
            <w:tcW w:w="1391" w:type="dxa"/>
          </w:tcPr>
          <w:p w:rsidR="00A13BC3" w:rsidRPr="003410C7" w:rsidRDefault="00A13BC3" w:rsidP="003479E5">
            <w:pPr>
              <w:spacing w:after="200" w:line="276" w:lineRule="auto"/>
              <w:jc w:val="center"/>
              <w:rPr>
                <w:rFonts w:cs="Tahoma"/>
                <w:color w:val="000000"/>
                <w:szCs w:val="18"/>
                <w:lang w:eastAsia="ja-JP"/>
              </w:rPr>
            </w:pPr>
          </w:p>
        </w:tc>
      </w:tr>
      <w:tr w:rsidR="00A13BC3" w:rsidRPr="003410C7" w:rsidTr="007E466C">
        <w:tc>
          <w:tcPr>
            <w:tcW w:w="1912" w:type="dxa"/>
          </w:tcPr>
          <w:p w:rsidR="00A13BC3" w:rsidRPr="003410C7" w:rsidRDefault="00A13BC3" w:rsidP="003479E5">
            <w:pPr>
              <w:spacing w:after="200" w:line="276" w:lineRule="auto"/>
              <w:jc w:val="center"/>
              <w:rPr>
                <w:rFonts w:cs="Tahoma"/>
                <w:szCs w:val="18"/>
                <w:lang w:eastAsia="ja-JP"/>
              </w:rPr>
            </w:pPr>
            <w:r w:rsidRPr="003410C7">
              <w:rPr>
                <w:rFonts w:cs="Tahoma"/>
                <w:szCs w:val="18"/>
              </w:rPr>
              <w:t>Premium Add-on per Windows Small Business Server</w:t>
            </w:r>
          </w:p>
        </w:tc>
        <w:tc>
          <w:tcPr>
            <w:tcW w:w="1848" w:type="dxa"/>
          </w:tcPr>
          <w:p w:rsidR="00A13BC3" w:rsidRPr="003410C7" w:rsidRDefault="00A13BC3" w:rsidP="003479E5">
            <w:pPr>
              <w:spacing w:after="200" w:line="276" w:lineRule="auto"/>
              <w:jc w:val="center"/>
              <w:rPr>
                <w:rFonts w:cs="Tahoma"/>
                <w:szCs w:val="18"/>
                <w:lang w:eastAsia="ja-JP"/>
              </w:rPr>
            </w:pPr>
            <w:r w:rsidRPr="003410C7">
              <w:rPr>
                <w:rFonts w:cs="Tahoma"/>
                <w:szCs w:val="18"/>
              </w:rPr>
              <w:t>SQL Server Standard</w:t>
            </w:r>
          </w:p>
        </w:tc>
        <w:tc>
          <w:tcPr>
            <w:tcW w:w="1774" w:type="dxa"/>
          </w:tcPr>
          <w:p w:rsidR="00A13BC3" w:rsidRPr="003410C7" w:rsidRDefault="00A13BC3" w:rsidP="003479E5">
            <w:pPr>
              <w:spacing w:after="200" w:line="276" w:lineRule="auto"/>
              <w:jc w:val="center"/>
              <w:rPr>
                <w:rFonts w:cs="Tahoma"/>
                <w:szCs w:val="18"/>
                <w:lang w:eastAsia="ja-JP"/>
              </w:rPr>
            </w:pPr>
          </w:p>
        </w:tc>
        <w:tc>
          <w:tcPr>
            <w:tcW w:w="1913" w:type="dxa"/>
            <w:gridSpan w:val="2"/>
          </w:tcPr>
          <w:p w:rsidR="00A13BC3" w:rsidRPr="003410C7" w:rsidRDefault="00A13BC3" w:rsidP="003479E5">
            <w:pPr>
              <w:spacing w:after="200" w:line="276" w:lineRule="auto"/>
              <w:jc w:val="center"/>
              <w:rPr>
                <w:rFonts w:cs="Tahoma"/>
                <w:szCs w:val="18"/>
                <w:lang w:eastAsia="ja-JP"/>
              </w:rPr>
            </w:pPr>
          </w:p>
        </w:tc>
        <w:tc>
          <w:tcPr>
            <w:tcW w:w="1391" w:type="dxa"/>
          </w:tcPr>
          <w:p w:rsidR="00A13BC3" w:rsidRPr="003410C7" w:rsidRDefault="00A13BC3" w:rsidP="003479E5">
            <w:pPr>
              <w:spacing w:after="200" w:line="276" w:lineRule="auto"/>
              <w:jc w:val="center"/>
              <w:rPr>
                <w:rFonts w:cs="Tahoma"/>
                <w:szCs w:val="18"/>
                <w:lang w:eastAsia="ja-JP"/>
              </w:rPr>
            </w:pPr>
          </w:p>
        </w:tc>
      </w:tr>
      <w:tr w:rsidR="00A13BC3" w:rsidRPr="003410C7" w:rsidTr="007E466C">
        <w:tc>
          <w:tcPr>
            <w:tcW w:w="1912" w:type="dxa"/>
          </w:tcPr>
          <w:p w:rsidR="00A13BC3" w:rsidRPr="003410C7" w:rsidRDefault="00A13BC3" w:rsidP="003479E5">
            <w:pPr>
              <w:spacing w:after="200" w:line="276" w:lineRule="auto"/>
              <w:jc w:val="center"/>
              <w:rPr>
                <w:rFonts w:cs="Tahoma"/>
                <w:szCs w:val="18"/>
                <w:lang w:eastAsia="ja-JP"/>
              </w:rPr>
            </w:pPr>
            <w:r w:rsidRPr="003410C7">
              <w:rPr>
                <w:rFonts w:cs="Tahoma"/>
                <w:szCs w:val="18"/>
              </w:rPr>
              <w:t>Windows Small Business Server Standard</w:t>
            </w:r>
          </w:p>
        </w:tc>
        <w:tc>
          <w:tcPr>
            <w:tcW w:w="1848" w:type="dxa"/>
          </w:tcPr>
          <w:p w:rsidR="00A13BC3" w:rsidRPr="003410C7" w:rsidRDefault="00A13BC3" w:rsidP="003479E5">
            <w:pPr>
              <w:spacing w:after="200" w:line="276" w:lineRule="auto"/>
              <w:jc w:val="center"/>
              <w:rPr>
                <w:rFonts w:cs="Tahoma"/>
                <w:szCs w:val="18"/>
                <w:lang w:eastAsia="ja-JP"/>
              </w:rPr>
            </w:pPr>
            <w:r w:rsidRPr="003410C7">
              <w:rPr>
                <w:rFonts w:cs="Tahoma"/>
                <w:szCs w:val="18"/>
              </w:rPr>
              <w:t>SQL Server Workgroup</w:t>
            </w:r>
          </w:p>
        </w:tc>
        <w:tc>
          <w:tcPr>
            <w:tcW w:w="1774" w:type="dxa"/>
          </w:tcPr>
          <w:p w:rsidR="00A13BC3" w:rsidRPr="003410C7" w:rsidRDefault="00A13BC3" w:rsidP="003479E5">
            <w:pPr>
              <w:spacing w:after="200" w:line="276" w:lineRule="auto"/>
              <w:jc w:val="center"/>
              <w:rPr>
                <w:rFonts w:cs="Tahoma"/>
                <w:szCs w:val="18"/>
                <w:lang w:eastAsia="ja-JP"/>
              </w:rPr>
            </w:pPr>
          </w:p>
        </w:tc>
        <w:tc>
          <w:tcPr>
            <w:tcW w:w="1913" w:type="dxa"/>
            <w:gridSpan w:val="2"/>
          </w:tcPr>
          <w:p w:rsidR="00A13BC3" w:rsidRPr="003410C7" w:rsidRDefault="00A13BC3" w:rsidP="003479E5">
            <w:pPr>
              <w:spacing w:after="200" w:line="276" w:lineRule="auto"/>
              <w:jc w:val="center"/>
              <w:rPr>
                <w:rFonts w:cs="Tahoma"/>
                <w:szCs w:val="18"/>
                <w:lang w:eastAsia="ja-JP"/>
              </w:rPr>
            </w:pPr>
          </w:p>
        </w:tc>
        <w:tc>
          <w:tcPr>
            <w:tcW w:w="1391" w:type="dxa"/>
          </w:tcPr>
          <w:p w:rsidR="00A13BC3" w:rsidRPr="003410C7" w:rsidRDefault="00A13BC3" w:rsidP="003479E5">
            <w:pPr>
              <w:spacing w:after="200" w:line="276" w:lineRule="auto"/>
              <w:jc w:val="center"/>
              <w:rPr>
                <w:rFonts w:cs="Tahoma"/>
                <w:szCs w:val="18"/>
                <w:lang w:eastAsia="ja-JP"/>
              </w:rPr>
            </w:pPr>
          </w:p>
        </w:tc>
      </w:tr>
      <w:tr w:rsidR="00A13BC3" w:rsidRPr="003410C7" w:rsidTr="007E466C">
        <w:tc>
          <w:tcPr>
            <w:tcW w:w="1912" w:type="dxa"/>
          </w:tcPr>
          <w:p w:rsidR="00A13BC3" w:rsidRPr="003410C7" w:rsidRDefault="00A13BC3" w:rsidP="003479E5">
            <w:pPr>
              <w:spacing w:after="200" w:line="276" w:lineRule="auto"/>
              <w:jc w:val="center"/>
              <w:rPr>
                <w:rFonts w:cs="Tahoma"/>
                <w:szCs w:val="18"/>
                <w:lang w:eastAsia="ja-JP"/>
              </w:rPr>
            </w:pPr>
            <w:r w:rsidRPr="003410C7">
              <w:rPr>
                <w:rFonts w:cs="Tahoma"/>
                <w:szCs w:val="18"/>
              </w:rPr>
              <w:t>Windows Small Business Server Essentials</w:t>
            </w:r>
          </w:p>
        </w:tc>
        <w:tc>
          <w:tcPr>
            <w:tcW w:w="1848" w:type="dxa"/>
          </w:tcPr>
          <w:p w:rsidR="00A13BC3" w:rsidRPr="003410C7" w:rsidRDefault="00A13BC3" w:rsidP="00186270">
            <w:pPr>
              <w:spacing w:after="200" w:line="276" w:lineRule="auto"/>
              <w:jc w:val="center"/>
              <w:rPr>
                <w:rFonts w:cs="Tahoma"/>
                <w:szCs w:val="18"/>
                <w:lang w:eastAsia="ja-JP"/>
              </w:rPr>
            </w:pPr>
            <w:r w:rsidRPr="003410C7">
              <w:rPr>
                <w:rFonts w:cs="Tahoma"/>
                <w:szCs w:val="18"/>
              </w:rPr>
              <w:t>SQL Server Small</w:t>
            </w:r>
            <w:r w:rsidR="00186270">
              <w:rPr>
                <w:rFonts w:cs="Tahoma"/>
                <w:szCs w:val="18"/>
              </w:rPr>
              <w:t> </w:t>
            </w:r>
            <w:r w:rsidRPr="003410C7">
              <w:rPr>
                <w:rFonts w:cs="Tahoma"/>
                <w:szCs w:val="18"/>
              </w:rPr>
              <w:t>Business</w:t>
            </w:r>
          </w:p>
        </w:tc>
        <w:tc>
          <w:tcPr>
            <w:tcW w:w="1774" w:type="dxa"/>
          </w:tcPr>
          <w:p w:rsidR="00A13BC3" w:rsidRPr="003410C7" w:rsidRDefault="00A13BC3" w:rsidP="003479E5">
            <w:pPr>
              <w:spacing w:after="200" w:line="276" w:lineRule="auto"/>
              <w:jc w:val="center"/>
              <w:rPr>
                <w:rFonts w:cs="Tahoma"/>
                <w:szCs w:val="18"/>
                <w:lang w:eastAsia="ja-JP"/>
              </w:rPr>
            </w:pPr>
          </w:p>
        </w:tc>
        <w:tc>
          <w:tcPr>
            <w:tcW w:w="1913" w:type="dxa"/>
            <w:gridSpan w:val="2"/>
          </w:tcPr>
          <w:p w:rsidR="00A13BC3" w:rsidRPr="003410C7" w:rsidRDefault="00A13BC3" w:rsidP="003479E5">
            <w:pPr>
              <w:spacing w:after="200" w:line="276" w:lineRule="auto"/>
              <w:jc w:val="center"/>
              <w:rPr>
                <w:rFonts w:cs="Tahoma"/>
                <w:szCs w:val="18"/>
                <w:lang w:eastAsia="ja-JP"/>
              </w:rPr>
            </w:pPr>
          </w:p>
        </w:tc>
        <w:tc>
          <w:tcPr>
            <w:tcW w:w="1391" w:type="dxa"/>
          </w:tcPr>
          <w:p w:rsidR="00A13BC3" w:rsidRPr="003410C7" w:rsidRDefault="00A13BC3" w:rsidP="003479E5">
            <w:pPr>
              <w:spacing w:after="200" w:line="276" w:lineRule="auto"/>
              <w:jc w:val="center"/>
              <w:rPr>
                <w:rFonts w:cs="Tahoma"/>
                <w:szCs w:val="18"/>
                <w:lang w:eastAsia="ja-JP"/>
              </w:rPr>
            </w:pPr>
          </w:p>
        </w:tc>
      </w:tr>
      <w:tr w:rsidR="00A13BC3" w:rsidRPr="003410C7" w:rsidTr="007E466C">
        <w:tc>
          <w:tcPr>
            <w:tcW w:w="1912" w:type="dxa"/>
          </w:tcPr>
          <w:p w:rsidR="00A13BC3" w:rsidRPr="003410C7" w:rsidRDefault="00A13BC3" w:rsidP="003479E5">
            <w:pPr>
              <w:spacing w:after="200" w:line="276" w:lineRule="auto"/>
              <w:jc w:val="center"/>
              <w:rPr>
                <w:rFonts w:cs="Tahoma"/>
                <w:szCs w:val="18"/>
                <w:lang w:eastAsia="ja-JP"/>
              </w:rPr>
            </w:pPr>
            <w:r w:rsidRPr="003410C7">
              <w:rPr>
                <w:rFonts w:cs="Tahoma"/>
                <w:szCs w:val="18"/>
              </w:rPr>
              <w:t>Windows Web Server</w:t>
            </w:r>
          </w:p>
        </w:tc>
        <w:tc>
          <w:tcPr>
            <w:tcW w:w="1848" w:type="dxa"/>
          </w:tcPr>
          <w:p w:rsidR="00A13BC3" w:rsidRPr="003410C7" w:rsidRDefault="00A13BC3" w:rsidP="003479E5">
            <w:pPr>
              <w:spacing w:after="200" w:line="276" w:lineRule="auto"/>
              <w:jc w:val="center"/>
              <w:rPr>
                <w:rFonts w:cs="Tahoma"/>
                <w:szCs w:val="18"/>
                <w:lang w:eastAsia="ja-JP"/>
              </w:rPr>
            </w:pPr>
            <w:r w:rsidRPr="003410C7">
              <w:rPr>
                <w:rFonts w:cs="Tahoma"/>
                <w:szCs w:val="18"/>
              </w:rPr>
              <w:t>SQL Server Web</w:t>
            </w:r>
          </w:p>
        </w:tc>
        <w:tc>
          <w:tcPr>
            <w:tcW w:w="1774" w:type="dxa"/>
          </w:tcPr>
          <w:p w:rsidR="00A13BC3" w:rsidRPr="003410C7" w:rsidRDefault="00A13BC3" w:rsidP="003479E5">
            <w:pPr>
              <w:spacing w:after="200" w:line="276" w:lineRule="auto"/>
              <w:jc w:val="center"/>
              <w:rPr>
                <w:rFonts w:cs="Tahoma"/>
                <w:szCs w:val="18"/>
                <w:lang w:eastAsia="ja-JP"/>
              </w:rPr>
            </w:pPr>
          </w:p>
        </w:tc>
        <w:tc>
          <w:tcPr>
            <w:tcW w:w="1913" w:type="dxa"/>
            <w:gridSpan w:val="2"/>
          </w:tcPr>
          <w:p w:rsidR="00A13BC3" w:rsidRPr="003410C7" w:rsidRDefault="00A13BC3" w:rsidP="003479E5">
            <w:pPr>
              <w:spacing w:after="200" w:line="276" w:lineRule="auto"/>
              <w:jc w:val="center"/>
              <w:rPr>
                <w:rFonts w:cs="Tahoma"/>
                <w:szCs w:val="18"/>
                <w:lang w:eastAsia="ja-JP"/>
              </w:rPr>
            </w:pPr>
          </w:p>
        </w:tc>
        <w:tc>
          <w:tcPr>
            <w:tcW w:w="1391" w:type="dxa"/>
          </w:tcPr>
          <w:p w:rsidR="00A13BC3" w:rsidRPr="003410C7" w:rsidRDefault="00A13BC3" w:rsidP="003479E5">
            <w:pPr>
              <w:spacing w:after="200" w:line="276" w:lineRule="auto"/>
              <w:jc w:val="center"/>
              <w:rPr>
                <w:rFonts w:cs="Tahoma"/>
                <w:szCs w:val="18"/>
                <w:lang w:eastAsia="ja-JP"/>
              </w:rPr>
            </w:pPr>
          </w:p>
        </w:tc>
      </w:tr>
      <w:tr w:rsidR="00A13BC3" w:rsidRPr="003410C7" w:rsidTr="007E466C">
        <w:tc>
          <w:tcPr>
            <w:tcW w:w="1912" w:type="dxa"/>
          </w:tcPr>
          <w:p w:rsidR="00A13BC3" w:rsidRPr="003410C7" w:rsidRDefault="00A13BC3" w:rsidP="00186270">
            <w:pPr>
              <w:spacing w:after="200" w:line="276" w:lineRule="auto"/>
              <w:jc w:val="center"/>
              <w:rPr>
                <w:rFonts w:cs="Tahoma"/>
                <w:szCs w:val="18"/>
                <w:lang w:eastAsia="ja-JP"/>
              </w:rPr>
            </w:pPr>
            <w:r w:rsidRPr="003410C7">
              <w:rPr>
                <w:rFonts w:cs="Tahoma"/>
                <w:szCs w:val="18"/>
              </w:rPr>
              <w:t>Windows HPC Server</w:t>
            </w:r>
            <w:r w:rsidR="00186270">
              <w:rPr>
                <w:rFonts w:cs="Tahoma"/>
                <w:szCs w:val="18"/>
              </w:rPr>
              <w:t> </w:t>
            </w:r>
            <w:r w:rsidRPr="003410C7">
              <w:rPr>
                <w:rFonts w:cs="Tahoma"/>
                <w:szCs w:val="18"/>
              </w:rPr>
              <w:t>Suite</w:t>
            </w:r>
          </w:p>
        </w:tc>
        <w:tc>
          <w:tcPr>
            <w:tcW w:w="1848" w:type="dxa"/>
          </w:tcPr>
          <w:p w:rsidR="00A13BC3" w:rsidRPr="003410C7" w:rsidRDefault="00A13BC3" w:rsidP="003479E5">
            <w:pPr>
              <w:spacing w:after="200" w:line="276" w:lineRule="auto"/>
              <w:jc w:val="center"/>
              <w:rPr>
                <w:rFonts w:cs="Tahoma"/>
                <w:szCs w:val="18"/>
                <w:lang w:eastAsia="ja-JP"/>
              </w:rPr>
            </w:pPr>
            <w:r w:rsidRPr="003410C7">
              <w:rPr>
                <w:rFonts w:cs="Tahoma"/>
                <w:szCs w:val="18"/>
              </w:rPr>
              <w:t>SQL Server Developer</w:t>
            </w:r>
          </w:p>
        </w:tc>
        <w:tc>
          <w:tcPr>
            <w:tcW w:w="1774" w:type="dxa"/>
          </w:tcPr>
          <w:p w:rsidR="00A13BC3" w:rsidRPr="003410C7" w:rsidRDefault="00A13BC3" w:rsidP="003479E5">
            <w:pPr>
              <w:spacing w:after="200" w:line="276" w:lineRule="auto"/>
              <w:jc w:val="center"/>
              <w:rPr>
                <w:rFonts w:cs="Tahoma"/>
                <w:szCs w:val="18"/>
                <w:lang w:eastAsia="ja-JP"/>
              </w:rPr>
            </w:pPr>
          </w:p>
        </w:tc>
        <w:tc>
          <w:tcPr>
            <w:tcW w:w="1913" w:type="dxa"/>
            <w:gridSpan w:val="2"/>
          </w:tcPr>
          <w:p w:rsidR="00A13BC3" w:rsidRPr="003410C7" w:rsidRDefault="00A13BC3" w:rsidP="003479E5">
            <w:pPr>
              <w:spacing w:after="200" w:line="276" w:lineRule="auto"/>
              <w:jc w:val="center"/>
              <w:rPr>
                <w:rFonts w:cs="Tahoma"/>
                <w:szCs w:val="18"/>
                <w:lang w:eastAsia="ja-JP"/>
              </w:rPr>
            </w:pPr>
          </w:p>
        </w:tc>
        <w:tc>
          <w:tcPr>
            <w:tcW w:w="1391" w:type="dxa"/>
          </w:tcPr>
          <w:p w:rsidR="00A13BC3" w:rsidRPr="003410C7" w:rsidRDefault="00A13BC3" w:rsidP="003479E5">
            <w:pPr>
              <w:spacing w:after="200" w:line="276" w:lineRule="auto"/>
              <w:jc w:val="center"/>
              <w:rPr>
                <w:rFonts w:cs="Tahoma"/>
                <w:szCs w:val="18"/>
                <w:lang w:eastAsia="ja-JP"/>
              </w:rPr>
            </w:pPr>
          </w:p>
        </w:tc>
      </w:tr>
      <w:tr w:rsidR="00A13BC3" w:rsidRPr="003410C7" w:rsidTr="007E466C">
        <w:tc>
          <w:tcPr>
            <w:tcW w:w="1912" w:type="dxa"/>
          </w:tcPr>
          <w:p w:rsidR="00A13BC3" w:rsidRPr="003410C7" w:rsidRDefault="00A13BC3" w:rsidP="00186270">
            <w:pPr>
              <w:spacing w:after="200" w:line="276" w:lineRule="auto"/>
              <w:jc w:val="center"/>
              <w:rPr>
                <w:rFonts w:cs="Tahoma"/>
                <w:szCs w:val="18"/>
                <w:lang w:eastAsia="ja-JP"/>
              </w:rPr>
            </w:pPr>
            <w:r w:rsidRPr="003410C7">
              <w:rPr>
                <w:rFonts w:cs="Tahoma"/>
                <w:szCs w:val="18"/>
              </w:rPr>
              <w:lastRenderedPageBreak/>
              <w:t>Windows Server HPC</w:t>
            </w:r>
            <w:r w:rsidR="00186270">
              <w:rPr>
                <w:rFonts w:cs="Tahoma"/>
                <w:szCs w:val="18"/>
              </w:rPr>
              <w:t> </w:t>
            </w:r>
            <w:r w:rsidRPr="003410C7">
              <w:rPr>
                <w:rFonts w:cs="Tahoma"/>
                <w:szCs w:val="18"/>
              </w:rPr>
              <w:t>Edition</w:t>
            </w:r>
          </w:p>
        </w:tc>
        <w:tc>
          <w:tcPr>
            <w:tcW w:w="1848" w:type="dxa"/>
          </w:tcPr>
          <w:p w:rsidR="00A13BC3" w:rsidRPr="003410C7" w:rsidRDefault="00A13BC3" w:rsidP="003479E5">
            <w:pPr>
              <w:spacing w:after="200" w:line="276" w:lineRule="auto"/>
              <w:jc w:val="center"/>
              <w:rPr>
                <w:rFonts w:cs="Tahoma"/>
                <w:szCs w:val="18"/>
                <w:lang w:eastAsia="ja-JP"/>
              </w:rPr>
            </w:pPr>
            <w:r w:rsidRPr="003410C7">
              <w:rPr>
                <w:rFonts w:cs="Tahoma"/>
                <w:szCs w:val="18"/>
              </w:rPr>
              <w:t>SQL Server Business Intelligence</w:t>
            </w:r>
          </w:p>
        </w:tc>
        <w:tc>
          <w:tcPr>
            <w:tcW w:w="1774" w:type="dxa"/>
          </w:tcPr>
          <w:p w:rsidR="00A13BC3" w:rsidRPr="003410C7" w:rsidRDefault="00A13BC3" w:rsidP="003479E5">
            <w:pPr>
              <w:spacing w:after="200" w:line="276" w:lineRule="auto"/>
              <w:jc w:val="center"/>
              <w:rPr>
                <w:rFonts w:cs="Tahoma"/>
                <w:szCs w:val="18"/>
                <w:lang w:eastAsia="ja-JP"/>
              </w:rPr>
            </w:pPr>
          </w:p>
        </w:tc>
        <w:tc>
          <w:tcPr>
            <w:tcW w:w="1913" w:type="dxa"/>
            <w:gridSpan w:val="2"/>
          </w:tcPr>
          <w:p w:rsidR="00A13BC3" w:rsidRPr="003410C7" w:rsidRDefault="00A13BC3" w:rsidP="003479E5">
            <w:pPr>
              <w:spacing w:after="200" w:line="276" w:lineRule="auto"/>
              <w:jc w:val="center"/>
              <w:rPr>
                <w:rFonts w:cs="Tahoma"/>
                <w:szCs w:val="18"/>
                <w:lang w:eastAsia="ja-JP"/>
              </w:rPr>
            </w:pPr>
          </w:p>
        </w:tc>
        <w:tc>
          <w:tcPr>
            <w:tcW w:w="1391" w:type="dxa"/>
          </w:tcPr>
          <w:p w:rsidR="00A13BC3" w:rsidRPr="003410C7" w:rsidRDefault="00A13BC3" w:rsidP="003479E5">
            <w:pPr>
              <w:spacing w:after="200" w:line="276" w:lineRule="auto"/>
              <w:jc w:val="center"/>
              <w:rPr>
                <w:rFonts w:cs="Tahoma"/>
                <w:szCs w:val="18"/>
                <w:lang w:eastAsia="ja-JP"/>
              </w:rPr>
            </w:pPr>
          </w:p>
        </w:tc>
      </w:tr>
      <w:tr w:rsidR="00A13BC3" w:rsidRPr="00DC1102" w:rsidTr="007E466C">
        <w:tc>
          <w:tcPr>
            <w:tcW w:w="1912" w:type="dxa"/>
          </w:tcPr>
          <w:p w:rsidR="00A13BC3" w:rsidRPr="00451078" w:rsidRDefault="00A13BC3" w:rsidP="003479E5">
            <w:pPr>
              <w:spacing w:after="200" w:line="276" w:lineRule="auto"/>
              <w:jc w:val="center"/>
              <w:rPr>
                <w:rFonts w:cs="Tahoma"/>
                <w:szCs w:val="18"/>
                <w:lang w:val="fr-FR" w:eastAsia="ja-JP"/>
              </w:rPr>
            </w:pPr>
            <w:r w:rsidRPr="00451078">
              <w:rPr>
                <w:rFonts w:cs="Tahoma"/>
                <w:szCs w:val="18"/>
                <w:lang w:val="fr-FR"/>
              </w:rPr>
              <w:t xml:space="preserve">Core Infrastructure Server Suite Datacenter </w:t>
            </w:r>
          </w:p>
        </w:tc>
        <w:tc>
          <w:tcPr>
            <w:tcW w:w="1848" w:type="dxa"/>
          </w:tcPr>
          <w:p w:rsidR="00A13BC3" w:rsidRPr="00451078" w:rsidRDefault="00A13BC3" w:rsidP="003479E5">
            <w:pPr>
              <w:spacing w:after="200" w:line="276" w:lineRule="auto"/>
              <w:jc w:val="center"/>
              <w:rPr>
                <w:rFonts w:cs="Tahoma"/>
                <w:szCs w:val="18"/>
                <w:lang w:val="fr-FR"/>
              </w:rPr>
            </w:pPr>
          </w:p>
        </w:tc>
        <w:tc>
          <w:tcPr>
            <w:tcW w:w="1774" w:type="dxa"/>
          </w:tcPr>
          <w:p w:rsidR="00A13BC3" w:rsidRPr="00451078" w:rsidRDefault="00A13BC3" w:rsidP="003479E5">
            <w:pPr>
              <w:spacing w:after="200" w:line="276" w:lineRule="auto"/>
              <w:jc w:val="center"/>
              <w:rPr>
                <w:rFonts w:cs="Tahoma"/>
                <w:szCs w:val="18"/>
                <w:lang w:val="fr-FR"/>
              </w:rPr>
            </w:pPr>
          </w:p>
        </w:tc>
        <w:tc>
          <w:tcPr>
            <w:tcW w:w="1913" w:type="dxa"/>
            <w:gridSpan w:val="2"/>
          </w:tcPr>
          <w:p w:rsidR="00A13BC3" w:rsidRPr="00451078" w:rsidRDefault="00A13BC3" w:rsidP="003479E5">
            <w:pPr>
              <w:spacing w:after="200" w:line="276" w:lineRule="auto"/>
              <w:jc w:val="center"/>
              <w:rPr>
                <w:rFonts w:cs="Tahoma"/>
                <w:szCs w:val="18"/>
                <w:lang w:val="fr-FR"/>
              </w:rPr>
            </w:pPr>
          </w:p>
        </w:tc>
        <w:tc>
          <w:tcPr>
            <w:tcW w:w="1391" w:type="dxa"/>
          </w:tcPr>
          <w:p w:rsidR="00A13BC3" w:rsidRPr="00451078" w:rsidRDefault="00A13BC3" w:rsidP="003479E5">
            <w:pPr>
              <w:spacing w:after="200" w:line="276" w:lineRule="auto"/>
              <w:jc w:val="center"/>
              <w:rPr>
                <w:rFonts w:cs="Tahoma"/>
                <w:szCs w:val="18"/>
                <w:lang w:val="fr-FR"/>
              </w:rPr>
            </w:pPr>
          </w:p>
        </w:tc>
      </w:tr>
      <w:tr w:rsidR="00A13BC3" w:rsidRPr="00DC1102" w:rsidTr="002A6416">
        <w:tc>
          <w:tcPr>
            <w:tcW w:w="1912" w:type="dxa"/>
          </w:tcPr>
          <w:p w:rsidR="00A13BC3" w:rsidRPr="00451078" w:rsidRDefault="00A13BC3" w:rsidP="003479E5">
            <w:pPr>
              <w:spacing w:after="200" w:line="276" w:lineRule="auto"/>
              <w:jc w:val="center"/>
              <w:rPr>
                <w:rFonts w:cs="Tahoma"/>
                <w:szCs w:val="18"/>
                <w:lang w:val="fr-FR" w:eastAsia="ja-JP"/>
              </w:rPr>
            </w:pPr>
            <w:r w:rsidRPr="00451078">
              <w:rPr>
                <w:rFonts w:cs="Tahoma"/>
                <w:szCs w:val="18"/>
                <w:lang w:val="fr-FR"/>
              </w:rPr>
              <w:t>Core Infrastructure Server Suite Enterprise</w:t>
            </w:r>
          </w:p>
        </w:tc>
        <w:tc>
          <w:tcPr>
            <w:tcW w:w="1848" w:type="dxa"/>
          </w:tcPr>
          <w:p w:rsidR="00A13BC3" w:rsidRPr="00451078" w:rsidRDefault="00A13BC3" w:rsidP="003479E5">
            <w:pPr>
              <w:spacing w:after="200" w:line="276" w:lineRule="auto"/>
              <w:jc w:val="center"/>
              <w:rPr>
                <w:rFonts w:cs="Tahoma"/>
                <w:szCs w:val="18"/>
                <w:lang w:val="fr-FR"/>
              </w:rPr>
            </w:pPr>
          </w:p>
        </w:tc>
        <w:tc>
          <w:tcPr>
            <w:tcW w:w="1774" w:type="dxa"/>
          </w:tcPr>
          <w:p w:rsidR="00A13BC3" w:rsidRPr="00451078" w:rsidRDefault="00A13BC3" w:rsidP="003479E5">
            <w:pPr>
              <w:spacing w:after="200" w:line="276" w:lineRule="auto"/>
              <w:jc w:val="center"/>
              <w:rPr>
                <w:rFonts w:cs="Tahoma"/>
                <w:szCs w:val="18"/>
                <w:lang w:val="fr-FR"/>
              </w:rPr>
            </w:pPr>
          </w:p>
        </w:tc>
        <w:tc>
          <w:tcPr>
            <w:tcW w:w="1830" w:type="dxa"/>
          </w:tcPr>
          <w:p w:rsidR="00A13BC3" w:rsidRPr="00451078" w:rsidRDefault="00A13BC3" w:rsidP="003479E5">
            <w:pPr>
              <w:spacing w:after="200" w:line="276" w:lineRule="auto"/>
              <w:jc w:val="center"/>
              <w:rPr>
                <w:rFonts w:cs="Tahoma"/>
                <w:szCs w:val="18"/>
                <w:lang w:val="fr-FR"/>
              </w:rPr>
            </w:pPr>
          </w:p>
        </w:tc>
        <w:tc>
          <w:tcPr>
            <w:tcW w:w="1474" w:type="dxa"/>
            <w:gridSpan w:val="2"/>
          </w:tcPr>
          <w:p w:rsidR="00A13BC3" w:rsidRPr="00451078" w:rsidRDefault="00A13BC3" w:rsidP="003479E5">
            <w:pPr>
              <w:spacing w:after="200" w:line="276" w:lineRule="auto"/>
              <w:jc w:val="center"/>
              <w:rPr>
                <w:rFonts w:cs="Tahoma"/>
                <w:szCs w:val="18"/>
                <w:lang w:val="fr-FR"/>
              </w:rPr>
            </w:pPr>
          </w:p>
        </w:tc>
      </w:tr>
      <w:tr w:rsidR="00A13BC3" w:rsidRPr="00DC1102" w:rsidTr="002A6416">
        <w:tc>
          <w:tcPr>
            <w:tcW w:w="1912" w:type="dxa"/>
          </w:tcPr>
          <w:p w:rsidR="00A13BC3" w:rsidRPr="00451078" w:rsidRDefault="00A13BC3" w:rsidP="003479E5">
            <w:pPr>
              <w:spacing w:after="200" w:line="276" w:lineRule="auto"/>
              <w:jc w:val="center"/>
              <w:rPr>
                <w:rFonts w:cs="Tahoma"/>
                <w:szCs w:val="18"/>
                <w:lang w:val="fr-FR" w:eastAsia="ja-JP"/>
              </w:rPr>
            </w:pPr>
            <w:r w:rsidRPr="00451078">
              <w:rPr>
                <w:rFonts w:cs="Tahoma"/>
                <w:szCs w:val="18"/>
                <w:lang w:val="fr-FR"/>
              </w:rPr>
              <w:t>Core Infrastructure Server Suite Standard</w:t>
            </w:r>
          </w:p>
        </w:tc>
        <w:tc>
          <w:tcPr>
            <w:tcW w:w="1848" w:type="dxa"/>
          </w:tcPr>
          <w:p w:rsidR="00A13BC3" w:rsidRPr="00451078" w:rsidRDefault="00A13BC3" w:rsidP="003479E5">
            <w:pPr>
              <w:spacing w:after="200" w:line="276" w:lineRule="auto"/>
              <w:jc w:val="center"/>
              <w:rPr>
                <w:rFonts w:cs="Tahoma"/>
                <w:szCs w:val="18"/>
                <w:lang w:val="fr-FR"/>
              </w:rPr>
            </w:pPr>
          </w:p>
        </w:tc>
        <w:tc>
          <w:tcPr>
            <w:tcW w:w="1774" w:type="dxa"/>
          </w:tcPr>
          <w:p w:rsidR="00A13BC3" w:rsidRPr="00451078" w:rsidRDefault="00A13BC3" w:rsidP="003479E5">
            <w:pPr>
              <w:spacing w:after="200" w:line="276" w:lineRule="auto"/>
              <w:jc w:val="center"/>
              <w:rPr>
                <w:rFonts w:cs="Tahoma"/>
                <w:szCs w:val="18"/>
                <w:lang w:val="fr-FR"/>
              </w:rPr>
            </w:pPr>
          </w:p>
        </w:tc>
        <w:tc>
          <w:tcPr>
            <w:tcW w:w="1830" w:type="dxa"/>
          </w:tcPr>
          <w:p w:rsidR="00A13BC3" w:rsidRPr="00451078" w:rsidRDefault="00A13BC3" w:rsidP="003479E5">
            <w:pPr>
              <w:spacing w:after="200" w:line="276" w:lineRule="auto"/>
              <w:jc w:val="center"/>
              <w:rPr>
                <w:rFonts w:cs="Tahoma"/>
                <w:szCs w:val="18"/>
                <w:lang w:val="fr-FR"/>
              </w:rPr>
            </w:pPr>
          </w:p>
        </w:tc>
        <w:tc>
          <w:tcPr>
            <w:tcW w:w="1474" w:type="dxa"/>
            <w:gridSpan w:val="2"/>
          </w:tcPr>
          <w:p w:rsidR="00A13BC3" w:rsidRPr="00451078" w:rsidRDefault="00A13BC3" w:rsidP="003479E5">
            <w:pPr>
              <w:spacing w:after="200" w:line="276" w:lineRule="auto"/>
              <w:jc w:val="center"/>
              <w:rPr>
                <w:rFonts w:cs="Tahoma"/>
                <w:szCs w:val="18"/>
                <w:lang w:val="fr-FR"/>
              </w:rPr>
            </w:pPr>
          </w:p>
        </w:tc>
      </w:tr>
    </w:tbl>
    <w:p w:rsidR="003479E5" w:rsidRPr="00451078" w:rsidRDefault="003479E5" w:rsidP="00792D1E">
      <w:pPr>
        <w:rPr>
          <w:lang w:val="fr-FR"/>
        </w:rPr>
      </w:pPr>
    </w:p>
    <w:p w:rsidR="003479E5" w:rsidRPr="00451078" w:rsidRDefault="003479E5" w:rsidP="00792D1E">
      <w:pPr>
        <w:rPr>
          <w:lang w:val="it-IT"/>
        </w:rPr>
      </w:pPr>
      <w:r w:rsidRPr="00451078">
        <w:rPr>
          <w:rFonts w:cs="Tahoma"/>
          <w:bCs/>
          <w:szCs w:val="18"/>
          <w:lang w:val="it-IT"/>
        </w:rPr>
        <w:t>*La copertura Software Assurance per le Licenze CAL per il Software Server Qualificante non qualifica le società per</w:t>
      </w:r>
      <w:r w:rsidR="00186270" w:rsidRPr="00451078">
        <w:rPr>
          <w:rFonts w:cs="Tahoma"/>
          <w:bCs/>
          <w:szCs w:val="18"/>
          <w:lang w:val="it-IT"/>
        </w:rPr>
        <w:t> </w:t>
      </w:r>
      <w:r w:rsidRPr="00451078">
        <w:rPr>
          <w:rFonts w:cs="Tahoma"/>
          <w:bCs/>
          <w:szCs w:val="18"/>
          <w:lang w:val="it-IT"/>
        </w:rPr>
        <w:t>il</w:t>
      </w:r>
      <w:r w:rsidR="00186270" w:rsidRPr="00451078">
        <w:rPr>
          <w:rFonts w:cs="Tahoma"/>
          <w:bCs/>
          <w:szCs w:val="18"/>
          <w:lang w:val="it-IT"/>
        </w:rPr>
        <w:t> </w:t>
      </w:r>
      <w:r w:rsidRPr="00451078">
        <w:rPr>
          <w:rFonts w:cs="Tahoma"/>
          <w:bCs/>
          <w:szCs w:val="18"/>
          <w:lang w:val="it-IT"/>
        </w:rPr>
        <w:t>vantaggio di Software Assurance System Center Advisor.</w:t>
      </w:r>
      <w:r w:rsidR="00082E1C" w:rsidRPr="00451078">
        <w:rPr>
          <w:rFonts w:cs="Tahoma"/>
          <w:bCs/>
          <w:szCs w:val="18"/>
          <w:lang w:val="it-IT"/>
        </w:rPr>
        <w:t xml:space="preserve"> </w:t>
      </w:r>
      <w:r w:rsidRPr="00451078">
        <w:rPr>
          <w:rFonts w:cs="Tahoma"/>
          <w:bCs/>
          <w:szCs w:val="18"/>
          <w:lang w:val="it-IT"/>
        </w:rPr>
        <w:t>Le società dovranno disporre di una copertura per le</w:t>
      </w:r>
      <w:r w:rsidR="00186270" w:rsidRPr="00451078">
        <w:rPr>
          <w:rFonts w:cs="Tahoma"/>
          <w:bCs/>
          <w:szCs w:val="18"/>
          <w:lang w:val="it-IT"/>
        </w:rPr>
        <w:t> </w:t>
      </w:r>
      <w:r w:rsidRPr="00451078">
        <w:rPr>
          <w:rFonts w:cs="Tahoma"/>
          <w:bCs/>
          <w:szCs w:val="18"/>
          <w:lang w:val="it-IT"/>
        </w:rPr>
        <w:t>licenze software ai sensi delle quali viene eseguito il Software Server Qualificante.</w:t>
      </w:r>
    </w:p>
    <w:p w:rsidR="003479E5" w:rsidRPr="00451078" w:rsidRDefault="003479E5" w:rsidP="00792D1E">
      <w:pPr>
        <w:rPr>
          <w:lang w:val="it-IT"/>
        </w:rPr>
      </w:pPr>
    </w:p>
    <w:p w:rsidR="000D454E" w:rsidRPr="00451078" w:rsidRDefault="000D454E" w:rsidP="00792D1E">
      <w:pPr>
        <w:rPr>
          <w:lang w:val="it-IT"/>
        </w:rPr>
      </w:pPr>
      <w:r w:rsidRPr="00451078">
        <w:rPr>
          <w:rFonts w:cs="Tahoma"/>
          <w:szCs w:val="18"/>
          <w:lang w:val="it-IT"/>
        </w:rPr>
        <w:t>Le società con la copertura Software Assurance attiva per le Licenze di Gestione identificate nella tabella che segue sono idonee a utilizzare System Center Advisor come specificato nei Diritti di Utilizzo del Prodotto.</w:t>
      </w:r>
    </w:p>
    <w:p w:rsidR="000D454E" w:rsidRPr="00451078" w:rsidRDefault="000D454E" w:rsidP="000D454E">
      <w:pPr>
        <w:outlineLvl w:val="2"/>
        <w:rPr>
          <w:lang w:val="it-IT"/>
        </w:rPr>
      </w:pPr>
    </w:p>
    <w:tbl>
      <w:tblPr>
        <w:tblW w:w="0" w:type="auto"/>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5328"/>
      </w:tblGrid>
      <w:tr w:rsidR="000D454E" w:rsidRPr="003410C7" w:rsidTr="007E466C">
        <w:trPr>
          <w:jc w:val="center"/>
        </w:trPr>
        <w:tc>
          <w:tcPr>
            <w:tcW w:w="5328" w:type="dxa"/>
            <w:tcBorders>
              <w:top w:val="single" w:sz="4" w:space="0" w:color="000000"/>
              <w:left w:val="single" w:sz="4" w:space="0" w:color="000000"/>
              <w:bottom w:val="single" w:sz="4" w:space="0" w:color="000000"/>
              <w:right w:val="single" w:sz="4" w:space="0" w:color="000000"/>
            </w:tcBorders>
            <w:shd w:val="clear" w:color="auto" w:fill="FABF8F"/>
            <w:hideMark/>
          </w:tcPr>
          <w:p w:rsidR="000D454E" w:rsidRPr="003410C7" w:rsidRDefault="000D454E" w:rsidP="007E466C">
            <w:pPr>
              <w:spacing w:before="120" w:after="120" w:line="276" w:lineRule="auto"/>
              <w:jc w:val="center"/>
              <w:rPr>
                <w:rFonts w:cs="Tahoma"/>
                <w:b/>
                <w:color w:val="000000"/>
                <w:szCs w:val="18"/>
                <w:lang w:eastAsia="ja-JP"/>
              </w:rPr>
            </w:pPr>
            <w:r w:rsidRPr="003410C7">
              <w:rPr>
                <w:rFonts w:cs="Tahoma"/>
                <w:b/>
                <w:color w:val="000000"/>
                <w:szCs w:val="18"/>
              </w:rPr>
              <w:t>Licenze di Gestione Qualificanti</w:t>
            </w:r>
          </w:p>
        </w:tc>
      </w:tr>
      <w:tr w:rsidR="000D454E" w:rsidRPr="00DC1102" w:rsidTr="007E466C">
        <w:trPr>
          <w:jc w:val="center"/>
        </w:trPr>
        <w:tc>
          <w:tcPr>
            <w:tcW w:w="5328" w:type="dxa"/>
            <w:tcBorders>
              <w:top w:val="single" w:sz="4" w:space="0" w:color="000000"/>
              <w:left w:val="single" w:sz="4" w:space="0" w:color="000000"/>
              <w:bottom w:val="single" w:sz="4" w:space="0" w:color="000000"/>
              <w:right w:val="single" w:sz="4" w:space="0" w:color="000000"/>
            </w:tcBorders>
            <w:vAlign w:val="center"/>
            <w:hideMark/>
          </w:tcPr>
          <w:p w:rsidR="000D454E" w:rsidRPr="00451078" w:rsidRDefault="000D454E" w:rsidP="007E466C">
            <w:pPr>
              <w:spacing w:before="120" w:after="120"/>
              <w:jc w:val="center"/>
              <w:rPr>
                <w:rFonts w:cs="Tahoma"/>
                <w:color w:val="000000"/>
                <w:szCs w:val="18"/>
                <w:lang w:val="it-IT" w:eastAsia="ja-JP"/>
              </w:rPr>
            </w:pPr>
            <w:r w:rsidRPr="00451078">
              <w:rPr>
                <w:rFonts w:cs="Tahoma"/>
                <w:color w:val="000000"/>
                <w:szCs w:val="18"/>
                <w:lang w:val="it-IT"/>
              </w:rPr>
              <w:t>Licenza di Gestione Server per System Center 2012 Datacenter</w:t>
            </w:r>
          </w:p>
        </w:tc>
      </w:tr>
      <w:tr w:rsidR="000D454E" w:rsidRPr="00DC1102" w:rsidTr="007E466C">
        <w:trPr>
          <w:jc w:val="center"/>
        </w:trPr>
        <w:tc>
          <w:tcPr>
            <w:tcW w:w="5328" w:type="dxa"/>
            <w:tcBorders>
              <w:top w:val="single" w:sz="4" w:space="0" w:color="000000"/>
              <w:left w:val="single" w:sz="4" w:space="0" w:color="000000"/>
              <w:bottom w:val="single" w:sz="4" w:space="0" w:color="000000"/>
              <w:right w:val="single" w:sz="4" w:space="0" w:color="000000"/>
            </w:tcBorders>
            <w:vAlign w:val="center"/>
            <w:hideMark/>
          </w:tcPr>
          <w:p w:rsidR="000D454E" w:rsidRPr="00451078" w:rsidRDefault="000D454E" w:rsidP="007E466C">
            <w:pPr>
              <w:spacing w:before="120" w:after="120" w:line="276" w:lineRule="auto"/>
              <w:jc w:val="center"/>
              <w:rPr>
                <w:rFonts w:cs="Tahoma"/>
                <w:szCs w:val="18"/>
                <w:lang w:val="it-IT"/>
              </w:rPr>
            </w:pPr>
            <w:r w:rsidRPr="00451078">
              <w:rPr>
                <w:rFonts w:cs="Tahoma"/>
                <w:color w:val="000000"/>
                <w:szCs w:val="18"/>
                <w:lang w:val="it-IT"/>
              </w:rPr>
              <w:t>Licenza di Gestione Server per System Center 2012 Standard</w:t>
            </w:r>
          </w:p>
        </w:tc>
      </w:tr>
    </w:tbl>
    <w:p w:rsidR="00BC32EE" w:rsidRPr="00451078" w:rsidRDefault="00BC32EE" w:rsidP="00214EC6">
      <w:pPr>
        <w:spacing w:before="40" w:line="259" w:lineRule="auto"/>
        <w:outlineLvl w:val="2"/>
        <w:rPr>
          <w:rFonts w:eastAsiaTheme="majorEastAsia" w:cs="Tahoma"/>
          <w:b/>
          <w:color w:val="000000"/>
          <w:sz w:val="24"/>
          <w:szCs w:val="18"/>
          <w:lang w:val="it-IT"/>
        </w:rPr>
      </w:pPr>
      <w:bookmarkStart w:id="801" w:name="_Toc336338239"/>
    </w:p>
    <w:p w:rsidR="00E06FE8" w:rsidRPr="00451078" w:rsidRDefault="00E06FE8" w:rsidP="00E06FE8">
      <w:pPr>
        <w:keepNext/>
        <w:keepLines/>
        <w:spacing w:before="40" w:line="259" w:lineRule="auto"/>
        <w:outlineLvl w:val="2"/>
        <w:rPr>
          <w:lang w:val="it-IT"/>
        </w:rPr>
      </w:pPr>
      <w:r w:rsidRPr="00451078">
        <w:rPr>
          <w:rFonts w:eastAsiaTheme="majorEastAsia" w:cs="Tahoma"/>
          <w:b/>
          <w:color w:val="000000"/>
          <w:sz w:val="24"/>
          <w:szCs w:val="18"/>
          <w:lang w:val="it-IT"/>
        </w:rPr>
        <w:t>System Center Global Service Monitor</w:t>
      </w:r>
    </w:p>
    <w:p w:rsidR="00E06FE8" w:rsidRPr="00451078" w:rsidRDefault="00E06FE8" w:rsidP="007E466C">
      <w:pPr>
        <w:rPr>
          <w:lang w:val="it-IT"/>
        </w:rPr>
      </w:pPr>
      <w:r w:rsidRPr="00451078">
        <w:rPr>
          <w:rFonts w:cs="Tahoma"/>
          <w:szCs w:val="18"/>
          <w:lang w:val="it-IT"/>
        </w:rPr>
        <w:t>Le società con la copertura Software Assurance attiva per le Licenze di Gestione identificate nella tabella che segue sono idonee a utilizzare System Center Global Service Monitor come specificato nei Diritti di Utilizzo del Prodotto.</w:t>
      </w:r>
    </w:p>
    <w:p w:rsidR="000E6E21" w:rsidRPr="00451078" w:rsidRDefault="000E6E21" w:rsidP="007E466C">
      <w:pPr>
        <w:rPr>
          <w:lang w:val="it-IT"/>
        </w:rPr>
      </w:pPr>
    </w:p>
    <w:tbl>
      <w:tblPr>
        <w:tblW w:w="0" w:type="auto"/>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5328"/>
      </w:tblGrid>
      <w:tr w:rsidR="000E6E21" w:rsidRPr="003410C7" w:rsidTr="000E6E21">
        <w:trPr>
          <w:jc w:val="center"/>
        </w:trPr>
        <w:tc>
          <w:tcPr>
            <w:tcW w:w="5328" w:type="dxa"/>
            <w:tcBorders>
              <w:top w:val="single" w:sz="4" w:space="0" w:color="000000"/>
              <w:left w:val="single" w:sz="4" w:space="0" w:color="000000"/>
              <w:bottom w:val="single" w:sz="4" w:space="0" w:color="000000"/>
              <w:right w:val="single" w:sz="4" w:space="0" w:color="000000"/>
            </w:tcBorders>
            <w:shd w:val="clear" w:color="auto" w:fill="FABF8F"/>
            <w:vAlign w:val="center"/>
            <w:hideMark/>
          </w:tcPr>
          <w:p w:rsidR="00E06FE8" w:rsidRPr="003410C7" w:rsidRDefault="00E06FE8" w:rsidP="007E466C">
            <w:pPr>
              <w:spacing w:before="120" w:after="120"/>
              <w:jc w:val="center"/>
              <w:rPr>
                <w:rFonts w:cs="Tahoma"/>
                <w:b/>
                <w:szCs w:val="18"/>
              </w:rPr>
            </w:pPr>
            <w:r w:rsidRPr="003410C7">
              <w:rPr>
                <w:rFonts w:cs="Tahoma"/>
                <w:b/>
                <w:szCs w:val="18"/>
              </w:rPr>
              <w:t>Licenze di Gestione Qualificanti</w:t>
            </w:r>
          </w:p>
        </w:tc>
      </w:tr>
      <w:tr w:rsidR="000E6E21" w:rsidRPr="00DC1102" w:rsidTr="000E6E21">
        <w:trPr>
          <w:jc w:val="center"/>
        </w:trPr>
        <w:tc>
          <w:tcPr>
            <w:tcW w:w="5328" w:type="dxa"/>
            <w:tcBorders>
              <w:top w:val="single" w:sz="4" w:space="0" w:color="000000"/>
              <w:left w:val="single" w:sz="4" w:space="0" w:color="000000"/>
              <w:bottom w:val="single" w:sz="4" w:space="0" w:color="000000"/>
              <w:right w:val="single" w:sz="4" w:space="0" w:color="000000"/>
            </w:tcBorders>
            <w:vAlign w:val="center"/>
            <w:hideMark/>
          </w:tcPr>
          <w:p w:rsidR="00E06FE8" w:rsidRPr="00451078" w:rsidRDefault="00E06FE8" w:rsidP="007E466C">
            <w:pPr>
              <w:spacing w:before="120" w:after="120"/>
              <w:jc w:val="center"/>
              <w:rPr>
                <w:rFonts w:cs="Tahoma"/>
                <w:szCs w:val="18"/>
                <w:lang w:val="it-IT"/>
              </w:rPr>
            </w:pPr>
            <w:r w:rsidRPr="00451078">
              <w:rPr>
                <w:rFonts w:cs="Tahoma"/>
                <w:szCs w:val="18"/>
                <w:lang w:val="it-IT"/>
              </w:rPr>
              <w:t>Licenza di Gestione Server per System Center Datacenter</w:t>
            </w:r>
          </w:p>
        </w:tc>
      </w:tr>
      <w:tr w:rsidR="000E6E21" w:rsidRPr="00DC1102" w:rsidTr="000E6E21">
        <w:trPr>
          <w:jc w:val="center"/>
        </w:trPr>
        <w:tc>
          <w:tcPr>
            <w:tcW w:w="5328" w:type="dxa"/>
            <w:tcBorders>
              <w:top w:val="single" w:sz="4" w:space="0" w:color="000000"/>
              <w:left w:val="single" w:sz="4" w:space="0" w:color="000000"/>
              <w:bottom w:val="single" w:sz="4" w:space="0" w:color="000000"/>
              <w:right w:val="single" w:sz="4" w:space="0" w:color="000000"/>
            </w:tcBorders>
            <w:vAlign w:val="center"/>
            <w:hideMark/>
          </w:tcPr>
          <w:p w:rsidR="00E06FE8" w:rsidRPr="00451078" w:rsidRDefault="00E06FE8" w:rsidP="007E466C">
            <w:pPr>
              <w:spacing w:before="120" w:after="120"/>
              <w:jc w:val="center"/>
              <w:rPr>
                <w:rFonts w:cs="Tahoma"/>
                <w:szCs w:val="18"/>
                <w:lang w:val="it-IT"/>
              </w:rPr>
            </w:pPr>
            <w:r w:rsidRPr="00451078">
              <w:rPr>
                <w:rFonts w:cs="Tahoma"/>
                <w:szCs w:val="18"/>
                <w:lang w:val="it-IT"/>
              </w:rPr>
              <w:t>Licenza di Gestione Server per System Center Standard</w:t>
            </w:r>
          </w:p>
        </w:tc>
      </w:tr>
    </w:tbl>
    <w:p w:rsidR="00E06FE8" w:rsidRPr="00451078" w:rsidRDefault="00E06FE8">
      <w:pPr>
        <w:rPr>
          <w:lang w:val="it-IT"/>
        </w:rPr>
      </w:pPr>
    </w:p>
    <w:p w:rsidR="00023FE7" w:rsidRPr="00451078" w:rsidRDefault="00023FE7">
      <w:pPr>
        <w:pStyle w:val="Heading3"/>
        <w:rPr>
          <w:lang w:val="it-IT"/>
        </w:rPr>
      </w:pPr>
      <w:bookmarkStart w:id="802" w:name="_Toc352234834"/>
      <w:r w:rsidRPr="00451078">
        <w:rPr>
          <w:rFonts w:ascii="Tahoma" w:hAnsi="Tahoma" w:cs="Tahoma"/>
          <w:sz w:val="24"/>
          <w:lang w:val="it-IT"/>
        </w:rPr>
        <w:t xml:space="preserve">Back-up per Ripristino di Emergenza </w:t>
      </w:r>
      <w:r w:rsidR="001A3EC5" w:rsidRPr="00451078">
        <w:rPr>
          <w:rFonts w:ascii="Tahoma" w:hAnsi="Tahoma" w:cs="Tahoma"/>
          <w:sz w:val="24"/>
          <w:lang w:val="it-IT"/>
        </w:rPr>
        <w:t>“</w:t>
      </w:r>
      <w:r w:rsidRPr="00451078">
        <w:rPr>
          <w:rFonts w:ascii="Tahoma" w:hAnsi="Tahoma" w:cs="Tahoma"/>
          <w:sz w:val="24"/>
          <w:lang w:val="it-IT"/>
        </w:rPr>
        <w:t>a Freddo</w:t>
      </w:r>
      <w:r w:rsidR="001A3EC5" w:rsidRPr="00451078">
        <w:rPr>
          <w:rFonts w:ascii="Tahoma" w:hAnsi="Tahoma" w:cs="Tahoma"/>
          <w:sz w:val="24"/>
          <w:lang w:val="it-IT"/>
        </w:rPr>
        <w:t>”</w:t>
      </w:r>
      <w:bookmarkEnd w:id="801"/>
      <w:bookmarkEnd w:id="802"/>
      <w:r w:rsidRPr="00451078">
        <w:rPr>
          <w:rFonts w:ascii="Tahoma" w:hAnsi="Tahoma" w:cs="Tahoma"/>
          <w:sz w:val="24"/>
          <w:lang w:val="it-IT"/>
        </w:rPr>
        <w:t xml:space="preserve"> </w:t>
      </w:r>
    </w:p>
    <w:p w:rsidR="00023FE7" w:rsidRPr="00451078" w:rsidRDefault="00023FE7">
      <w:pPr>
        <w:rPr>
          <w:lang w:val="it-IT"/>
        </w:rPr>
      </w:pPr>
    </w:p>
    <w:p w:rsidR="008A15A8" w:rsidRPr="00451078" w:rsidRDefault="008A15A8" w:rsidP="00792D1E">
      <w:pPr>
        <w:rPr>
          <w:lang w:val="it-IT"/>
        </w:rPr>
      </w:pPr>
      <w:r w:rsidRPr="00451078">
        <w:rPr>
          <w:rFonts w:eastAsia="Calibri" w:cs="Tahoma"/>
          <w:szCs w:val="18"/>
          <w:lang w:val="it-IT"/>
        </w:rPr>
        <w:t>Le società con copertura Software Assurance per i prodotti server qualificanti e relative CAL sono idonee a ricevere licenze server gratuite per tali prodotti a fini del ripristino di emergenza (DR).</w:t>
      </w:r>
    </w:p>
    <w:p w:rsidR="00792D1E" w:rsidRPr="00451078" w:rsidRDefault="00792D1E" w:rsidP="00792D1E">
      <w:pPr>
        <w:rPr>
          <w:lang w:val="it-IT"/>
        </w:rPr>
      </w:pPr>
    </w:p>
    <w:p w:rsidR="00023FE7" w:rsidRPr="00451078" w:rsidRDefault="00023FE7" w:rsidP="00792D1E">
      <w:pPr>
        <w:pStyle w:val="AppendixFlushBulletedList"/>
        <w:tabs>
          <w:tab w:val="clear" w:pos="360"/>
          <w:tab w:val="num" w:pos="0"/>
        </w:tabs>
        <w:ind w:left="0" w:firstLine="0"/>
        <w:rPr>
          <w:lang w:val="it-IT"/>
        </w:rPr>
      </w:pPr>
      <w:r w:rsidRPr="00451078">
        <w:rPr>
          <w:rFonts w:ascii="Tahoma" w:hAnsi="Tahoma" w:cs="Tahoma"/>
          <w:sz w:val="18"/>
          <w:szCs w:val="18"/>
          <w:lang w:val="it-IT"/>
        </w:rPr>
        <w:t xml:space="preserve">Per ogni licenza server qualificante per la quale (i) una società sia iscritta a SA e (ii) la società abbia iscritto a SA tutte le relative CAL (se richieste dal prodotto), verrà concessa alla società stessa una seconda licenza server, ai sensi della quale la società potrà distribuire lo stesso prodotto su un server di back-up </w:t>
      </w:r>
      <w:r w:rsidR="001A3EC5" w:rsidRPr="00451078">
        <w:rPr>
          <w:rFonts w:ascii="Tahoma" w:hAnsi="Tahoma" w:cs="Tahoma"/>
          <w:sz w:val="18"/>
          <w:szCs w:val="18"/>
          <w:lang w:val="it-IT"/>
        </w:rPr>
        <w:t>“</w:t>
      </w:r>
      <w:r w:rsidRPr="00451078">
        <w:rPr>
          <w:rFonts w:ascii="Tahoma" w:hAnsi="Tahoma" w:cs="Tahoma"/>
          <w:sz w:val="18"/>
          <w:szCs w:val="18"/>
          <w:lang w:val="it-IT"/>
        </w:rPr>
        <w:t>a freddo</w:t>
      </w:r>
      <w:r w:rsidR="001A3EC5" w:rsidRPr="00451078">
        <w:rPr>
          <w:rFonts w:ascii="Tahoma" w:hAnsi="Tahoma" w:cs="Tahoma"/>
          <w:sz w:val="18"/>
          <w:szCs w:val="18"/>
          <w:lang w:val="it-IT"/>
        </w:rPr>
        <w:t>”</w:t>
      </w:r>
      <w:r w:rsidRPr="00451078">
        <w:rPr>
          <w:rFonts w:ascii="Tahoma" w:hAnsi="Tahoma" w:cs="Tahoma"/>
          <w:sz w:val="18"/>
          <w:szCs w:val="18"/>
          <w:lang w:val="it-IT"/>
        </w:rPr>
        <w:t xml:space="preserve"> unicamente per fini di DR, durante il periodo di validità della copertura Software Assurance.</w:t>
      </w:r>
      <w:r w:rsidR="00082E1C" w:rsidRPr="00451078">
        <w:rPr>
          <w:rFonts w:ascii="Tahoma" w:hAnsi="Tahoma" w:cs="Tahoma"/>
          <w:sz w:val="18"/>
          <w:szCs w:val="18"/>
          <w:lang w:val="it-IT"/>
        </w:rPr>
        <w:t xml:space="preserve"> </w:t>
      </w:r>
      <w:r w:rsidRPr="00451078">
        <w:rPr>
          <w:rFonts w:ascii="Tahoma" w:hAnsi="Tahoma" w:cs="Tahoma"/>
          <w:sz w:val="18"/>
          <w:szCs w:val="18"/>
          <w:lang w:val="it-IT"/>
        </w:rPr>
        <w:t>La distribuzione e l</w:t>
      </w:r>
      <w:r w:rsidR="004525CA">
        <w:rPr>
          <w:rFonts w:ascii="Tahoma" w:hAnsi="Tahoma" w:cs="Tahoma"/>
          <w:sz w:val="18"/>
          <w:szCs w:val="18"/>
          <w:lang w:val="it-IT"/>
        </w:rPr>
        <w:t>’</w:t>
      </w:r>
      <w:r w:rsidRPr="00451078">
        <w:rPr>
          <w:rFonts w:ascii="Tahoma" w:hAnsi="Tahoma" w:cs="Tahoma"/>
          <w:sz w:val="18"/>
          <w:szCs w:val="18"/>
          <w:lang w:val="it-IT"/>
        </w:rPr>
        <w:t>utilizzo del software da parte della società ai sensi delle licenze DR sono soggetti alle condizioni del relativo contratto di licenza.</w:t>
      </w:r>
    </w:p>
    <w:p w:rsidR="00023FE7" w:rsidRPr="00451078" w:rsidRDefault="00023FE7" w:rsidP="00792D1E">
      <w:pPr>
        <w:pStyle w:val="Heading3"/>
        <w:rPr>
          <w:lang w:val="it-IT"/>
        </w:rPr>
      </w:pPr>
      <w:bookmarkStart w:id="803" w:name="_Toc336338240"/>
      <w:bookmarkStart w:id="804" w:name="_Toc352234835"/>
      <w:r w:rsidRPr="00451078">
        <w:rPr>
          <w:rFonts w:ascii="Tahoma" w:hAnsi="Tahoma" w:cs="Tahoma"/>
          <w:sz w:val="24"/>
          <w:lang w:val="it-IT"/>
        </w:rPr>
        <w:lastRenderedPageBreak/>
        <w:t>Servizi in Abbonamento TechNet SA</w:t>
      </w:r>
      <w:bookmarkEnd w:id="803"/>
      <w:bookmarkEnd w:id="804"/>
    </w:p>
    <w:p w:rsidR="00023FE7" w:rsidRPr="00451078" w:rsidRDefault="00023FE7" w:rsidP="00792D1E">
      <w:pPr>
        <w:rPr>
          <w:lang w:val="it-IT"/>
        </w:rPr>
      </w:pPr>
    </w:p>
    <w:p w:rsidR="004A4D28" w:rsidRPr="00451078" w:rsidRDefault="00A65414" w:rsidP="00792D1E">
      <w:pPr>
        <w:pStyle w:val="AppendixBodyText"/>
        <w:spacing w:after="0"/>
        <w:rPr>
          <w:lang w:val="it-IT"/>
        </w:rPr>
      </w:pPr>
      <w:r w:rsidRPr="00451078">
        <w:rPr>
          <w:rFonts w:ascii="Tahoma" w:eastAsia="Calibri" w:hAnsi="Tahoma" w:cs="Tahoma"/>
          <w:sz w:val="18"/>
          <w:szCs w:val="18"/>
          <w:lang w:val="it-IT"/>
        </w:rPr>
        <w:t>Le società con copertura Software Assurance per i prodotti qualificanti del pool di prodotti server sono idonee a</w:t>
      </w:r>
      <w:r w:rsidR="00BC32EE" w:rsidRPr="00451078">
        <w:rPr>
          <w:rFonts w:ascii="Tahoma" w:eastAsia="Calibri" w:hAnsi="Tahoma" w:cs="Tahoma"/>
          <w:sz w:val="18"/>
          <w:szCs w:val="18"/>
          <w:lang w:val="it-IT"/>
        </w:rPr>
        <w:t> </w:t>
      </w:r>
      <w:r w:rsidRPr="00451078">
        <w:rPr>
          <w:rFonts w:ascii="Tahoma" w:eastAsia="Calibri" w:hAnsi="Tahoma" w:cs="Tahoma"/>
          <w:sz w:val="18"/>
          <w:szCs w:val="18"/>
          <w:lang w:val="it-IT"/>
        </w:rPr>
        <w:t xml:space="preserve">beneficiare del supporto per i Servizi in Abbonamento TechNet SA durante il periodo di validità della copertura Software Assurance. </w:t>
      </w:r>
      <w:r w:rsidRPr="00451078">
        <w:rPr>
          <w:rFonts w:ascii="Tahoma" w:hAnsi="Tahoma" w:cs="Tahoma"/>
          <w:sz w:val="18"/>
          <w:szCs w:val="18"/>
          <w:lang w:val="it-IT"/>
        </w:rPr>
        <w:t>In questo modo i professionisti IT riceveranno risposte a domande tecniche da colleghi che operano nello stesso settore.</w:t>
      </w:r>
      <w:r w:rsidR="00082E1C" w:rsidRPr="00451078">
        <w:rPr>
          <w:rFonts w:ascii="Tahoma" w:hAnsi="Tahoma" w:cs="Tahoma"/>
          <w:sz w:val="18"/>
          <w:szCs w:val="18"/>
          <w:lang w:val="it-IT"/>
        </w:rPr>
        <w:t xml:space="preserve"> </w:t>
      </w:r>
      <w:r w:rsidRPr="00451078">
        <w:rPr>
          <w:rFonts w:ascii="Tahoma" w:hAnsi="Tahoma" w:cs="Tahoma"/>
          <w:sz w:val="18"/>
          <w:szCs w:val="18"/>
          <w:lang w:val="it-IT"/>
        </w:rPr>
        <w:t>Esperti Microsoft forniranno assistenza per monitorare i newsgroup e contribuire a</w:t>
      </w:r>
      <w:r w:rsidR="00BC32EE" w:rsidRPr="00451078">
        <w:rPr>
          <w:rFonts w:ascii="Tahoma" w:hAnsi="Tahoma" w:cs="Tahoma"/>
          <w:sz w:val="18"/>
          <w:szCs w:val="18"/>
          <w:lang w:val="it-IT"/>
        </w:rPr>
        <w:t> </w:t>
      </w:r>
      <w:r w:rsidRPr="00451078">
        <w:rPr>
          <w:rFonts w:ascii="Tahoma" w:hAnsi="Tahoma" w:cs="Tahoma"/>
          <w:sz w:val="18"/>
          <w:szCs w:val="18"/>
          <w:lang w:val="it-IT"/>
        </w:rPr>
        <w:t>garantire l</w:t>
      </w:r>
      <w:r w:rsidR="004525CA">
        <w:rPr>
          <w:rFonts w:ascii="Tahoma" w:hAnsi="Tahoma" w:cs="Tahoma"/>
          <w:sz w:val="18"/>
          <w:szCs w:val="18"/>
          <w:lang w:val="it-IT"/>
        </w:rPr>
        <w:t>’</w:t>
      </w:r>
      <w:r w:rsidRPr="00451078">
        <w:rPr>
          <w:rFonts w:ascii="Tahoma" w:hAnsi="Tahoma" w:cs="Tahoma"/>
          <w:sz w:val="18"/>
          <w:szCs w:val="18"/>
          <w:lang w:val="it-IT"/>
        </w:rPr>
        <w:t>accuratezza.</w:t>
      </w:r>
      <w:r w:rsidR="00082E1C" w:rsidRPr="00451078">
        <w:rPr>
          <w:rFonts w:ascii="Tahoma" w:hAnsi="Tahoma" w:cs="Tahoma"/>
          <w:sz w:val="18"/>
          <w:szCs w:val="18"/>
          <w:lang w:val="it-IT"/>
        </w:rPr>
        <w:t xml:space="preserve"> </w:t>
      </w:r>
      <w:r w:rsidRPr="00451078">
        <w:rPr>
          <w:rFonts w:ascii="Tahoma" w:hAnsi="Tahoma" w:cs="Tahoma"/>
          <w:sz w:val="18"/>
          <w:szCs w:val="18"/>
          <w:lang w:val="it-IT"/>
        </w:rPr>
        <w:t>Le società idonee riceveranno gli ID Utente necessari ad accedere ai servizi online.</w:t>
      </w:r>
      <w:r w:rsidR="00082E1C" w:rsidRPr="00451078">
        <w:rPr>
          <w:rFonts w:ascii="Tahoma" w:hAnsi="Tahoma" w:cs="Tahoma"/>
          <w:sz w:val="18"/>
          <w:szCs w:val="18"/>
          <w:lang w:val="it-IT"/>
        </w:rPr>
        <w:t xml:space="preserve"> </w:t>
      </w:r>
    </w:p>
    <w:p w:rsidR="00FE5F1D" w:rsidRPr="00451078" w:rsidRDefault="00FE5F1D" w:rsidP="00792D1E">
      <w:pPr>
        <w:pStyle w:val="AppendixBodyText"/>
        <w:spacing w:after="0"/>
        <w:rPr>
          <w:lang w:val="it-IT"/>
        </w:rPr>
      </w:pPr>
    </w:p>
    <w:p w:rsidR="00023FE7" w:rsidRPr="00451078" w:rsidRDefault="00023FE7" w:rsidP="00792D1E">
      <w:pPr>
        <w:pStyle w:val="AppendixBodyText"/>
        <w:spacing w:after="0"/>
        <w:rPr>
          <w:lang w:val="it-IT"/>
        </w:rPr>
      </w:pPr>
      <w:r w:rsidRPr="00451078">
        <w:rPr>
          <w:rFonts w:ascii="Tahoma" w:hAnsi="Tahoma" w:cs="Tahoma"/>
          <w:sz w:val="18"/>
          <w:szCs w:val="18"/>
          <w:lang w:val="it-IT"/>
        </w:rPr>
        <w:t>Le società riceveranno un ID Utente per ogni prodotto idoneo coperto da Software Assurance, come mostrato di</w:t>
      </w:r>
      <w:r w:rsidR="00BC32EE" w:rsidRPr="00451078">
        <w:rPr>
          <w:rFonts w:ascii="Tahoma" w:hAnsi="Tahoma" w:cs="Tahoma"/>
          <w:sz w:val="18"/>
          <w:szCs w:val="18"/>
          <w:lang w:val="it-IT"/>
        </w:rPr>
        <w:t> </w:t>
      </w:r>
      <w:r w:rsidRPr="00451078">
        <w:rPr>
          <w:rFonts w:ascii="Tahoma" w:hAnsi="Tahoma" w:cs="Tahoma"/>
          <w:sz w:val="18"/>
          <w:szCs w:val="18"/>
          <w:lang w:val="it-IT"/>
        </w:rPr>
        <w:t>seguito:</w:t>
      </w:r>
    </w:p>
    <w:p w:rsidR="00023FE7" w:rsidRPr="00451078" w:rsidRDefault="00023FE7" w:rsidP="00792D1E">
      <w:pPr>
        <w:pStyle w:val="AppendixBodyText"/>
        <w:spacing w:after="0"/>
        <w:rPr>
          <w:lang w:val="it-IT"/>
        </w:rPr>
      </w:pPr>
    </w:p>
    <w:tbl>
      <w:tblPr>
        <w:tblW w:w="7288" w:type="dxa"/>
        <w:tblInd w:w="97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99" w:type="dxa"/>
          <w:right w:w="99" w:type="dxa"/>
        </w:tblCellMar>
        <w:tblLook w:val="01E0" w:firstRow="1" w:lastRow="1" w:firstColumn="1" w:lastColumn="1" w:noHBand="0" w:noVBand="0"/>
      </w:tblPr>
      <w:tblGrid>
        <w:gridCol w:w="1978"/>
        <w:gridCol w:w="2970"/>
        <w:gridCol w:w="2340"/>
      </w:tblGrid>
      <w:tr w:rsidR="0036654E" w:rsidRPr="003410C7" w:rsidTr="002A6416">
        <w:trPr>
          <w:trHeight w:val="178"/>
        </w:trPr>
        <w:tc>
          <w:tcPr>
            <w:tcW w:w="1978" w:type="dxa"/>
            <w:tcBorders>
              <w:top w:val="single" w:sz="8" w:space="0" w:color="auto"/>
              <w:left w:val="single" w:sz="8" w:space="0" w:color="auto"/>
              <w:bottom w:val="single" w:sz="8" w:space="0" w:color="auto"/>
              <w:right w:val="single" w:sz="8" w:space="0" w:color="auto"/>
            </w:tcBorders>
            <w:shd w:val="clear" w:color="auto" w:fill="FFCC99"/>
            <w:vAlign w:val="center"/>
          </w:tcPr>
          <w:p w:rsidR="0036654E" w:rsidRPr="003410C7" w:rsidRDefault="0036654E">
            <w:pPr>
              <w:pStyle w:val="AppendixTableHeadings"/>
              <w:rPr>
                <w:rFonts w:ascii="Tahoma" w:hAnsi="Tahoma" w:cs="Tahoma"/>
                <w:sz w:val="20"/>
                <w:szCs w:val="20"/>
              </w:rPr>
            </w:pPr>
            <w:r w:rsidRPr="003410C7">
              <w:rPr>
                <w:rFonts w:ascii="Tahoma" w:hAnsi="Tahoma" w:cs="Tahoma"/>
                <w:sz w:val="20"/>
                <w:szCs w:val="20"/>
              </w:rPr>
              <w:t>Gruppo di Prodotti</w:t>
            </w:r>
          </w:p>
        </w:tc>
        <w:tc>
          <w:tcPr>
            <w:tcW w:w="2970" w:type="dxa"/>
            <w:tcBorders>
              <w:top w:val="single" w:sz="8" w:space="0" w:color="auto"/>
              <w:left w:val="single" w:sz="8" w:space="0" w:color="auto"/>
              <w:bottom w:val="single" w:sz="8" w:space="0" w:color="auto"/>
              <w:right w:val="single" w:sz="8" w:space="0" w:color="auto"/>
            </w:tcBorders>
            <w:shd w:val="clear" w:color="auto" w:fill="FFCC99"/>
            <w:vAlign w:val="center"/>
          </w:tcPr>
          <w:p w:rsidR="0036654E" w:rsidRPr="003410C7" w:rsidRDefault="0036654E" w:rsidP="00BC32EE">
            <w:pPr>
              <w:pStyle w:val="AppendixTableHeadings"/>
              <w:rPr>
                <w:rFonts w:ascii="Tahoma" w:hAnsi="Tahoma" w:cs="Tahoma"/>
                <w:sz w:val="20"/>
                <w:szCs w:val="20"/>
              </w:rPr>
            </w:pPr>
            <w:r w:rsidRPr="003410C7">
              <w:rPr>
                <w:rFonts w:ascii="Tahoma" w:hAnsi="Tahoma" w:cs="Tahoma"/>
                <w:sz w:val="20"/>
                <w:szCs w:val="20"/>
              </w:rPr>
              <w:t>Open License, Open Value Subscription - Education Solutions, Open Value e</w:t>
            </w:r>
            <w:r w:rsidR="00BC32EE">
              <w:rPr>
                <w:rFonts w:ascii="Tahoma" w:hAnsi="Tahoma" w:cs="Tahoma"/>
                <w:sz w:val="20"/>
                <w:szCs w:val="20"/>
              </w:rPr>
              <w:t> </w:t>
            </w:r>
            <w:r w:rsidRPr="003410C7">
              <w:rPr>
                <w:rFonts w:ascii="Tahoma" w:hAnsi="Tahoma" w:cs="Tahoma"/>
                <w:sz w:val="20"/>
                <w:szCs w:val="20"/>
              </w:rPr>
              <w:t>Academic con SAM</w:t>
            </w:r>
          </w:p>
        </w:tc>
        <w:tc>
          <w:tcPr>
            <w:tcW w:w="2340" w:type="dxa"/>
            <w:tcBorders>
              <w:top w:val="single" w:sz="8" w:space="0" w:color="auto"/>
              <w:left w:val="single" w:sz="8" w:space="0" w:color="auto"/>
              <w:bottom w:val="single" w:sz="8" w:space="0" w:color="auto"/>
              <w:right w:val="single" w:sz="8" w:space="0" w:color="auto"/>
            </w:tcBorders>
            <w:shd w:val="clear" w:color="auto" w:fill="FFCC99"/>
            <w:vAlign w:val="center"/>
          </w:tcPr>
          <w:p w:rsidR="0036654E" w:rsidRPr="003410C7" w:rsidRDefault="0036654E">
            <w:pPr>
              <w:pStyle w:val="AppendixTableHeadings"/>
              <w:rPr>
                <w:rFonts w:ascii="Tahoma" w:hAnsi="Tahoma" w:cs="Tahoma"/>
                <w:sz w:val="20"/>
                <w:szCs w:val="20"/>
              </w:rPr>
            </w:pPr>
            <w:r w:rsidRPr="003410C7">
              <w:rPr>
                <w:rFonts w:ascii="Tahoma" w:hAnsi="Tahoma" w:cs="Tahoma"/>
                <w:sz w:val="20"/>
                <w:szCs w:val="20"/>
              </w:rPr>
              <w:t>Select/Select Plus/EA</w:t>
            </w:r>
          </w:p>
        </w:tc>
      </w:tr>
      <w:tr w:rsidR="0036654E" w:rsidRPr="00DC1102" w:rsidTr="002A6416">
        <w:tc>
          <w:tcPr>
            <w:tcW w:w="1978" w:type="dxa"/>
            <w:tcBorders>
              <w:top w:val="single" w:sz="8" w:space="0" w:color="auto"/>
              <w:left w:val="single" w:sz="8" w:space="0" w:color="auto"/>
              <w:bottom w:val="single" w:sz="8" w:space="0" w:color="auto"/>
              <w:right w:val="single" w:sz="8" w:space="0" w:color="auto"/>
            </w:tcBorders>
            <w:shd w:val="clear" w:color="auto" w:fill="FFFFFF"/>
            <w:vAlign w:val="center"/>
          </w:tcPr>
          <w:p w:rsidR="0036654E" w:rsidRPr="003410C7" w:rsidRDefault="0036654E">
            <w:pPr>
              <w:pStyle w:val="AppendixTableText"/>
              <w:rPr>
                <w:rFonts w:ascii="Tahoma" w:hAnsi="Tahoma" w:cs="Tahoma"/>
                <w:b/>
              </w:rPr>
            </w:pPr>
            <w:r w:rsidRPr="003410C7">
              <w:rPr>
                <w:rFonts w:ascii="Tahoma" w:hAnsi="Tahoma" w:cs="Tahoma"/>
                <w:b/>
                <w:sz w:val="20"/>
              </w:rPr>
              <w:t>Pool di Server</w:t>
            </w:r>
          </w:p>
        </w:tc>
        <w:tc>
          <w:tcPr>
            <w:tcW w:w="2970" w:type="dxa"/>
            <w:tcBorders>
              <w:top w:val="single" w:sz="8" w:space="0" w:color="auto"/>
              <w:left w:val="single" w:sz="8" w:space="0" w:color="auto"/>
              <w:bottom w:val="single" w:sz="8" w:space="0" w:color="auto"/>
              <w:right w:val="single" w:sz="8" w:space="0" w:color="auto"/>
            </w:tcBorders>
            <w:shd w:val="clear" w:color="auto" w:fill="FFFFFF"/>
            <w:vAlign w:val="center"/>
          </w:tcPr>
          <w:p w:rsidR="0036654E" w:rsidRPr="00451078" w:rsidRDefault="0036654E" w:rsidP="00A9099B">
            <w:pPr>
              <w:pStyle w:val="AppendixTableText"/>
              <w:rPr>
                <w:lang w:val="it-IT"/>
              </w:rPr>
            </w:pPr>
            <w:r w:rsidRPr="00451078">
              <w:rPr>
                <w:rFonts w:ascii="Tahoma" w:hAnsi="Tahoma" w:cs="Tahoma"/>
                <w:lang w:val="it-IT"/>
              </w:rPr>
              <w:t>1 ID Utente per</w:t>
            </w:r>
          </w:p>
          <w:p w:rsidR="0036654E" w:rsidRPr="00451078" w:rsidRDefault="0036654E" w:rsidP="00A9099B">
            <w:pPr>
              <w:pStyle w:val="AppendixTableText"/>
              <w:rPr>
                <w:lang w:val="it-IT"/>
              </w:rPr>
            </w:pPr>
            <w:r w:rsidRPr="00451078">
              <w:rPr>
                <w:rFonts w:ascii="Tahoma" w:hAnsi="Tahoma" w:cs="Tahoma"/>
                <w:lang w:val="it-IT"/>
              </w:rPr>
              <w:t>Licenza Server</w:t>
            </w:r>
          </w:p>
          <w:p w:rsidR="0036654E" w:rsidRPr="00451078" w:rsidRDefault="0036654E" w:rsidP="00BC32EE">
            <w:pPr>
              <w:pStyle w:val="AppendixTableText"/>
              <w:rPr>
                <w:rFonts w:ascii="Tahoma" w:hAnsi="Tahoma" w:cs="Tahoma"/>
                <w:lang w:val="it-IT"/>
              </w:rPr>
            </w:pPr>
            <w:r w:rsidRPr="00451078">
              <w:rPr>
                <w:rFonts w:ascii="Tahoma" w:hAnsi="Tahoma" w:cs="Tahoma"/>
                <w:lang w:val="it-IT"/>
              </w:rPr>
              <w:t>(una volta soddisfatto il</w:t>
            </w:r>
            <w:r w:rsidR="00BC32EE" w:rsidRPr="00451078">
              <w:rPr>
                <w:rFonts w:ascii="Tahoma" w:hAnsi="Tahoma" w:cs="Tahoma"/>
                <w:lang w:val="it-IT"/>
              </w:rPr>
              <w:t> requisite </w:t>
            </w:r>
            <w:r w:rsidRPr="00451078">
              <w:rPr>
                <w:rFonts w:ascii="Tahoma" w:hAnsi="Tahoma" w:cs="Tahoma"/>
                <w:lang w:val="it-IT"/>
              </w:rPr>
              <w:t>di 5 SA Server)</w:t>
            </w:r>
          </w:p>
        </w:tc>
        <w:tc>
          <w:tcPr>
            <w:tcW w:w="2340" w:type="dxa"/>
            <w:tcBorders>
              <w:top w:val="single" w:sz="8" w:space="0" w:color="auto"/>
              <w:left w:val="single" w:sz="8" w:space="0" w:color="auto"/>
              <w:bottom w:val="single" w:sz="8" w:space="0" w:color="auto"/>
              <w:right w:val="single" w:sz="8" w:space="0" w:color="auto"/>
            </w:tcBorders>
            <w:shd w:val="clear" w:color="auto" w:fill="FFFFFF"/>
            <w:vAlign w:val="center"/>
          </w:tcPr>
          <w:p w:rsidR="0036654E" w:rsidRPr="00451078" w:rsidRDefault="0036654E" w:rsidP="00A9099B">
            <w:pPr>
              <w:pStyle w:val="AppendixTableText"/>
              <w:rPr>
                <w:lang w:val="it-IT"/>
              </w:rPr>
            </w:pPr>
            <w:r w:rsidRPr="00451078">
              <w:rPr>
                <w:rFonts w:ascii="Tahoma" w:hAnsi="Tahoma" w:cs="Tahoma"/>
                <w:lang w:val="it-IT"/>
              </w:rPr>
              <w:t>1 ID Utente per</w:t>
            </w:r>
          </w:p>
          <w:p w:rsidR="0036654E" w:rsidRPr="00451078" w:rsidRDefault="0036654E">
            <w:pPr>
              <w:pStyle w:val="AppendixTableText"/>
              <w:rPr>
                <w:rFonts w:ascii="Tahoma" w:hAnsi="Tahoma" w:cs="Tahoma"/>
                <w:lang w:val="it-IT"/>
              </w:rPr>
            </w:pPr>
            <w:r w:rsidRPr="00451078">
              <w:rPr>
                <w:rFonts w:ascii="Tahoma" w:hAnsi="Tahoma" w:cs="Tahoma"/>
                <w:lang w:val="it-IT"/>
              </w:rPr>
              <w:t>Licenza Server</w:t>
            </w:r>
          </w:p>
        </w:tc>
      </w:tr>
    </w:tbl>
    <w:p w:rsidR="00B2460D" w:rsidRPr="00451078" w:rsidRDefault="00B2460D">
      <w:pPr>
        <w:pStyle w:val="AppendixBodyText"/>
        <w:rPr>
          <w:lang w:val="it-IT"/>
        </w:rPr>
      </w:pPr>
    </w:p>
    <w:p w:rsidR="00023FE7" w:rsidRPr="00451078" w:rsidRDefault="00023FE7" w:rsidP="00792D1E">
      <w:pPr>
        <w:pStyle w:val="AppendixBodyText"/>
        <w:spacing w:after="0"/>
        <w:rPr>
          <w:lang w:val="it-IT"/>
        </w:rPr>
      </w:pPr>
    </w:p>
    <w:tbl>
      <w:tblPr>
        <w:tblpPr w:leftFromText="180" w:rightFromText="180" w:vertAnchor="text" w:horzAnchor="margin" w:tblpX="77" w:tblpY="-94"/>
        <w:tblW w:w="9450" w:type="dxa"/>
        <w:tblBorders>
          <w:top w:val="single" w:sz="8" w:space="0" w:color="auto"/>
          <w:left w:val="single" w:sz="8" w:space="0" w:color="auto"/>
          <w:bottom w:val="single" w:sz="8" w:space="0" w:color="auto"/>
          <w:right w:val="single" w:sz="8" w:space="0" w:color="auto"/>
          <w:insideH w:val="single" w:sz="8" w:space="0" w:color="auto"/>
          <w:insideV w:val="single" w:sz="8" w:space="0" w:color="auto"/>
        </w:tblBorders>
        <w:tblLayout w:type="fixed"/>
        <w:tblCellMar>
          <w:left w:w="99" w:type="dxa"/>
          <w:right w:w="99" w:type="dxa"/>
        </w:tblCellMar>
        <w:tblLook w:val="01E0" w:firstRow="1" w:lastRow="1" w:firstColumn="1" w:lastColumn="1" w:noHBand="0" w:noVBand="0"/>
      </w:tblPr>
      <w:tblGrid>
        <w:gridCol w:w="1332"/>
        <w:gridCol w:w="1080"/>
        <w:gridCol w:w="1352"/>
        <w:gridCol w:w="1350"/>
        <w:gridCol w:w="1530"/>
        <w:gridCol w:w="1350"/>
        <w:gridCol w:w="1456"/>
      </w:tblGrid>
      <w:tr w:rsidR="0043190C" w:rsidRPr="003410C7" w:rsidTr="00CE2638">
        <w:trPr>
          <w:trHeight w:val="178"/>
        </w:trPr>
        <w:tc>
          <w:tcPr>
            <w:tcW w:w="1332" w:type="dxa"/>
            <w:shd w:val="clear" w:color="auto" w:fill="FFCC99"/>
            <w:vAlign w:val="center"/>
          </w:tcPr>
          <w:p w:rsidR="0043190C" w:rsidRPr="003410C7" w:rsidRDefault="0043190C" w:rsidP="002A6416">
            <w:pPr>
              <w:pStyle w:val="AppendixTableHeadings"/>
              <w:keepNext/>
              <w:spacing w:line="240" w:lineRule="auto"/>
              <w:rPr>
                <w:rFonts w:ascii="Tahoma" w:hAnsi="Tahoma" w:cs="Tahoma"/>
                <w:sz w:val="20"/>
                <w:szCs w:val="20"/>
              </w:rPr>
            </w:pPr>
            <w:r w:rsidRPr="003410C7">
              <w:rPr>
                <w:rFonts w:ascii="Tahoma" w:hAnsi="Tahoma" w:cs="Tahoma"/>
                <w:sz w:val="20"/>
                <w:szCs w:val="20"/>
              </w:rPr>
              <w:t>Gruppo di Prodotti</w:t>
            </w:r>
          </w:p>
        </w:tc>
        <w:tc>
          <w:tcPr>
            <w:tcW w:w="1080" w:type="dxa"/>
            <w:shd w:val="clear" w:color="auto" w:fill="FFCC99"/>
            <w:vAlign w:val="center"/>
          </w:tcPr>
          <w:p w:rsidR="0043190C" w:rsidRPr="003410C7" w:rsidRDefault="0043190C" w:rsidP="002A6416">
            <w:pPr>
              <w:pStyle w:val="AppendixTableHeadings"/>
              <w:keepNext/>
              <w:spacing w:line="240" w:lineRule="auto"/>
              <w:rPr>
                <w:rFonts w:ascii="Tahoma" w:hAnsi="Tahoma" w:cs="Tahoma"/>
                <w:sz w:val="20"/>
                <w:szCs w:val="20"/>
              </w:rPr>
            </w:pPr>
            <w:r w:rsidRPr="003410C7">
              <w:rPr>
                <w:rFonts w:ascii="Tahoma" w:hAnsi="Tahoma" w:cs="Tahoma"/>
                <w:sz w:val="20"/>
                <w:szCs w:val="20"/>
              </w:rPr>
              <w:t>Open Value con SAM</w:t>
            </w:r>
          </w:p>
        </w:tc>
        <w:tc>
          <w:tcPr>
            <w:tcW w:w="1352" w:type="dxa"/>
            <w:shd w:val="clear" w:color="auto" w:fill="FFCC99"/>
            <w:vAlign w:val="center"/>
          </w:tcPr>
          <w:p w:rsidR="0043190C" w:rsidRPr="003410C7" w:rsidRDefault="0043190C" w:rsidP="002A6416">
            <w:pPr>
              <w:pStyle w:val="AppendixTableHeadings"/>
              <w:keepNext/>
              <w:spacing w:line="240" w:lineRule="auto"/>
            </w:pPr>
            <w:r w:rsidRPr="003410C7">
              <w:rPr>
                <w:rFonts w:ascii="Tahoma" w:hAnsi="Tahoma" w:cs="Tahoma"/>
                <w:sz w:val="20"/>
                <w:szCs w:val="20"/>
              </w:rPr>
              <w:t>SAM</w:t>
            </w:r>
          </w:p>
          <w:p w:rsidR="0043190C" w:rsidRPr="003410C7" w:rsidRDefault="00AB6DFE" w:rsidP="002A6416">
            <w:pPr>
              <w:pStyle w:val="AppendixTableHeadings"/>
              <w:keepNext/>
              <w:spacing w:line="240" w:lineRule="auto"/>
              <w:rPr>
                <w:rFonts w:ascii="Tahoma" w:hAnsi="Tahoma" w:cs="Tahoma"/>
                <w:sz w:val="20"/>
                <w:szCs w:val="20"/>
              </w:rPr>
            </w:pPr>
            <w:r>
              <w:rPr>
                <w:rFonts w:ascii="Tahoma" w:hAnsi="Tahoma" w:cs="Tahoma"/>
                <w:sz w:val="20"/>
                <w:szCs w:val="20"/>
              </w:rPr>
              <w:t>250-2.</w:t>
            </w:r>
            <w:r w:rsidR="0043190C" w:rsidRPr="003410C7">
              <w:rPr>
                <w:rFonts w:ascii="Tahoma" w:hAnsi="Tahoma" w:cs="Tahoma"/>
                <w:sz w:val="20"/>
                <w:szCs w:val="20"/>
              </w:rPr>
              <w:t xml:space="preserve">399 </w:t>
            </w:r>
          </w:p>
        </w:tc>
        <w:tc>
          <w:tcPr>
            <w:tcW w:w="1350" w:type="dxa"/>
            <w:shd w:val="clear" w:color="auto" w:fill="FFCC99"/>
            <w:vAlign w:val="center"/>
          </w:tcPr>
          <w:p w:rsidR="0043190C" w:rsidRPr="003410C7" w:rsidRDefault="0043190C" w:rsidP="002A6416">
            <w:pPr>
              <w:pStyle w:val="AppendixTableHeadings"/>
              <w:keepNext/>
              <w:spacing w:line="240" w:lineRule="auto"/>
            </w:pPr>
            <w:r w:rsidRPr="003410C7">
              <w:rPr>
                <w:rFonts w:ascii="Tahoma" w:hAnsi="Tahoma" w:cs="Tahoma"/>
                <w:sz w:val="20"/>
                <w:szCs w:val="20"/>
              </w:rPr>
              <w:t>SAM</w:t>
            </w:r>
          </w:p>
          <w:p w:rsidR="0043190C" w:rsidRPr="003410C7" w:rsidRDefault="00AB6DFE" w:rsidP="002A6416">
            <w:pPr>
              <w:pStyle w:val="AppendixTableHeadings"/>
              <w:keepNext/>
              <w:spacing w:line="240" w:lineRule="auto"/>
              <w:rPr>
                <w:rFonts w:ascii="Tahoma" w:hAnsi="Tahoma" w:cs="Tahoma"/>
                <w:sz w:val="20"/>
                <w:szCs w:val="20"/>
              </w:rPr>
            </w:pPr>
            <w:r>
              <w:rPr>
                <w:rFonts w:ascii="Tahoma" w:hAnsi="Tahoma" w:cs="Tahoma"/>
                <w:sz w:val="20"/>
                <w:szCs w:val="20"/>
              </w:rPr>
              <w:t>2.400-5.</w:t>
            </w:r>
            <w:r w:rsidR="0043190C" w:rsidRPr="003410C7">
              <w:rPr>
                <w:rFonts w:ascii="Tahoma" w:hAnsi="Tahoma" w:cs="Tahoma"/>
                <w:sz w:val="20"/>
                <w:szCs w:val="20"/>
              </w:rPr>
              <w:t>999</w:t>
            </w:r>
          </w:p>
        </w:tc>
        <w:tc>
          <w:tcPr>
            <w:tcW w:w="1530" w:type="dxa"/>
            <w:shd w:val="clear" w:color="auto" w:fill="FFCC99"/>
            <w:vAlign w:val="center"/>
          </w:tcPr>
          <w:p w:rsidR="0043190C" w:rsidRPr="003410C7" w:rsidRDefault="0043190C" w:rsidP="002A6416">
            <w:pPr>
              <w:pStyle w:val="AppendixTableHeadings"/>
              <w:keepNext/>
              <w:spacing w:line="240" w:lineRule="auto"/>
            </w:pPr>
            <w:r w:rsidRPr="003410C7">
              <w:rPr>
                <w:rFonts w:ascii="Tahoma" w:hAnsi="Tahoma" w:cs="Tahoma"/>
                <w:sz w:val="20"/>
                <w:szCs w:val="20"/>
              </w:rPr>
              <w:t>SAM</w:t>
            </w:r>
          </w:p>
          <w:p w:rsidR="0043190C" w:rsidRPr="003410C7" w:rsidRDefault="00AB6DFE" w:rsidP="002A6416">
            <w:pPr>
              <w:pStyle w:val="AppendixTableHeadings"/>
              <w:keepNext/>
              <w:spacing w:line="240" w:lineRule="auto"/>
              <w:rPr>
                <w:rFonts w:ascii="Tahoma" w:hAnsi="Tahoma" w:cs="Tahoma"/>
                <w:sz w:val="20"/>
                <w:szCs w:val="20"/>
              </w:rPr>
            </w:pPr>
            <w:r>
              <w:rPr>
                <w:rFonts w:ascii="Tahoma" w:hAnsi="Tahoma" w:cs="Tahoma"/>
                <w:sz w:val="20"/>
                <w:szCs w:val="20"/>
              </w:rPr>
              <w:t>6.000-14.</w:t>
            </w:r>
            <w:r w:rsidR="0043190C" w:rsidRPr="003410C7">
              <w:rPr>
                <w:rFonts w:ascii="Tahoma" w:hAnsi="Tahoma" w:cs="Tahoma"/>
                <w:sz w:val="20"/>
                <w:szCs w:val="20"/>
              </w:rPr>
              <w:t>999</w:t>
            </w:r>
          </w:p>
        </w:tc>
        <w:tc>
          <w:tcPr>
            <w:tcW w:w="1350" w:type="dxa"/>
            <w:shd w:val="clear" w:color="auto" w:fill="FFCC99"/>
            <w:vAlign w:val="center"/>
          </w:tcPr>
          <w:p w:rsidR="0043190C" w:rsidRPr="003410C7" w:rsidRDefault="0043190C" w:rsidP="002A6416">
            <w:pPr>
              <w:pStyle w:val="AppendixTableHeadings"/>
              <w:keepNext/>
              <w:spacing w:line="240" w:lineRule="auto"/>
            </w:pPr>
            <w:r w:rsidRPr="003410C7">
              <w:rPr>
                <w:rFonts w:ascii="Tahoma" w:hAnsi="Tahoma" w:cs="Tahoma"/>
                <w:sz w:val="20"/>
                <w:szCs w:val="20"/>
              </w:rPr>
              <w:t>SAM</w:t>
            </w:r>
          </w:p>
          <w:p w:rsidR="0043190C" w:rsidRPr="003410C7" w:rsidRDefault="00AB6DFE" w:rsidP="002A6416">
            <w:pPr>
              <w:pStyle w:val="AppendixTableHeadings"/>
              <w:keepNext/>
              <w:spacing w:line="240" w:lineRule="auto"/>
              <w:rPr>
                <w:rFonts w:ascii="Tahoma" w:hAnsi="Tahoma" w:cs="Tahoma"/>
                <w:sz w:val="20"/>
                <w:szCs w:val="20"/>
              </w:rPr>
            </w:pPr>
            <w:r>
              <w:rPr>
                <w:rFonts w:ascii="Tahoma" w:hAnsi="Tahoma" w:cs="Tahoma"/>
                <w:sz w:val="20"/>
                <w:szCs w:val="20"/>
              </w:rPr>
              <w:t>15.</w:t>
            </w:r>
            <w:r w:rsidR="0043190C" w:rsidRPr="003410C7">
              <w:rPr>
                <w:rFonts w:ascii="Tahoma" w:hAnsi="Tahoma" w:cs="Tahoma"/>
                <w:sz w:val="20"/>
                <w:szCs w:val="20"/>
              </w:rPr>
              <w:t>000+</w:t>
            </w:r>
          </w:p>
        </w:tc>
        <w:tc>
          <w:tcPr>
            <w:tcW w:w="1456" w:type="dxa"/>
            <w:shd w:val="clear" w:color="auto" w:fill="FFCC99"/>
            <w:vAlign w:val="center"/>
          </w:tcPr>
          <w:p w:rsidR="0043190C" w:rsidRPr="003410C7" w:rsidRDefault="0043190C" w:rsidP="002A6416">
            <w:pPr>
              <w:pStyle w:val="AppendixTableHeadings"/>
              <w:keepNext/>
              <w:spacing w:line="240" w:lineRule="auto"/>
              <w:rPr>
                <w:rFonts w:ascii="Tahoma" w:hAnsi="Tahoma" w:cs="Tahoma"/>
                <w:sz w:val="20"/>
                <w:szCs w:val="20"/>
              </w:rPr>
            </w:pPr>
            <w:r w:rsidRPr="003410C7">
              <w:rPr>
                <w:rFonts w:ascii="Tahoma" w:hAnsi="Tahoma" w:cs="Tahoma"/>
                <w:sz w:val="20"/>
                <w:szCs w:val="20"/>
              </w:rPr>
              <w:t>Academic Select/</w:t>
            </w:r>
            <w:r w:rsidR="00AB6DFE">
              <w:rPr>
                <w:rFonts w:ascii="Tahoma" w:hAnsi="Tahoma" w:cs="Tahoma"/>
                <w:sz w:val="20"/>
                <w:szCs w:val="20"/>
              </w:rPr>
              <w:br/>
            </w:r>
            <w:r w:rsidRPr="003410C7">
              <w:rPr>
                <w:rFonts w:ascii="Tahoma" w:hAnsi="Tahoma" w:cs="Tahoma"/>
                <w:sz w:val="20"/>
                <w:szCs w:val="20"/>
              </w:rPr>
              <w:t>Select Plus for Academic/</w:t>
            </w:r>
            <w:r w:rsidR="00AB6DFE">
              <w:rPr>
                <w:rFonts w:ascii="Tahoma" w:hAnsi="Tahoma" w:cs="Tahoma"/>
                <w:sz w:val="20"/>
                <w:szCs w:val="20"/>
              </w:rPr>
              <w:br/>
            </w:r>
            <w:r w:rsidRPr="003410C7">
              <w:rPr>
                <w:rFonts w:ascii="Tahoma" w:hAnsi="Tahoma" w:cs="Tahoma"/>
                <w:sz w:val="20"/>
                <w:szCs w:val="20"/>
              </w:rPr>
              <w:t>Open con SAM</w:t>
            </w:r>
          </w:p>
        </w:tc>
      </w:tr>
      <w:tr w:rsidR="0043190C" w:rsidRPr="00DC1102" w:rsidTr="00CE2638">
        <w:trPr>
          <w:trHeight w:val="236"/>
        </w:trPr>
        <w:tc>
          <w:tcPr>
            <w:tcW w:w="1332" w:type="dxa"/>
            <w:vAlign w:val="center"/>
          </w:tcPr>
          <w:p w:rsidR="0043190C" w:rsidRPr="003410C7" w:rsidRDefault="0043190C" w:rsidP="002A6416">
            <w:pPr>
              <w:pStyle w:val="AppendixTableText"/>
              <w:keepNext/>
              <w:spacing w:line="240" w:lineRule="auto"/>
              <w:rPr>
                <w:rFonts w:ascii="Tahoma" w:hAnsi="Tahoma" w:cs="Tahoma"/>
              </w:rPr>
            </w:pPr>
            <w:r w:rsidRPr="003410C7">
              <w:rPr>
                <w:rFonts w:ascii="Tahoma" w:hAnsi="Tahoma" w:cs="Tahoma"/>
                <w:b/>
              </w:rPr>
              <w:t>Pool di</w:t>
            </w:r>
            <w:r w:rsidRPr="003410C7">
              <w:rPr>
                <w:rFonts w:ascii="Tahoma" w:hAnsi="Tahoma" w:cs="Tahoma"/>
              </w:rPr>
              <w:t xml:space="preserve"> </w:t>
            </w:r>
            <w:r w:rsidRPr="003410C7">
              <w:rPr>
                <w:rFonts w:ascii="Tahoma" w:hAnsi="Tahoma" w:cs="Tahoma"/>
                <w:b/>
              </w:rPr>
              <w:t>Applicazioni</w:t>
            </w:r>
          </w:p>
        </w:tc>
        <w:tc>
          <w:tcPr>
            <w:tcW w:w="1080" w:type="dxa"/>
            <w:vAlign w:val="center"/>
          </w:tcPr>
          <w:p w:rsidR="0043190C" w:rsidRPr="003410C7" w:rsidRDefault="0043190C" w:rsidP="002A6416">
            <w:pPr>
              <w:pStyle w:val="AppendixTableText"/>
              <w:keepNext/>
              <w:spacing w:line="240" w:lineRule="auto"/>
              <w:rPr>
                <w:rFonts w:ascii="Tahoma" w:hAnsi="Tahoma" w:cs="Tahoma"/>
              </w:rPr>
            </w:pPr>
            <w:r w:rsidRPr="003410C7">
              <w:rPr>
                <w:rFonts w:ascii="Tahoma" w:hAnsi="Tahoma" w:cs="Tahoma"/>
              </w:rPr>
              <w:t>1 ID Utente per contratto</w:t>
            </w:r>
          </w:p>
        </w:tc>
        <w:tc>
          <w:tcPr>
            <w:tcW w:w="1352" w:type="dxa"/>
            <w:vAlign w:val="center"/>
          </w:tcPr>
          <w:p w:rsidR="0043190C" w:rsidRPr="00451078" w:rsidRDefault="0043190C" w:rsidP="002A6416">
            <w:pPr>
              <w:pStyle w:val="AppendixTableText"/>
              <w:keepNext/>
              <w:spacing w:line="240" w:lineRule="auto"/>
              <w:rPr>
                <w:lang w:val="it-IT"/>
              </w:rPr>
            </w:pPr>
            <w:r w:rsidRPr="00451078">
              <w:rPr>
                <w:rFonts w:ascii="Tahoma" w:hAnsi="Tahoma" w:cs="Tahoma"/>
                <w:lang w:val="it-IT"/>
              </w:rPr>
              <w:t>2 ID Utente per</w:t>
            </w:r>
          </w:p>
          <w:p w:rsidR="0043190C" w:rsidRPr="00451078" w:rsidRDefault="0043190C" w:rsidP="002A6416">
            <w:pPr>
              <w:pStyle w:val="AppendixTableText"/>
              <w:keepNext/>
              <w:spacing w:line="240" w:lineRule="auto"/>
              <w:rPr>
                <w:lang w:val="it-IT"/>
              </w:rPr>
            </w:pPr>
            <w:r w:rsidRPr="00451078">
              <w:rPr>
                <w:rFonts w:ascii="Tahoma" w:hAnsi="Tahoma" w:cs="Tahoma"/>
                <w:lang w:val="it-IT"/>
              </w:rPr>
              <w:t>Idoneo</w:t>
            </w:r>
          </w:p>
          <w:p w:rsidR="0043190C" w:rsidRPr="00451078" w:rsidRDefault="0043190C" w:rsidP="002A6416">
            <w:pPr>
              <w:pStyle w:val="AppendixTableText"/>
              <w:keepNext/>
              <w:spacing w:line="240" w:lineRule="auto"/>
              <w:rPr>
                <w:rFonts w:ascii="Tahoma" w:hAnsi="Tahoma" w:cs="Tahoma"/>
                <w:lang w:val="it-IT"/>
              </w:rPr>
            </w:pPr>
            <w:r w:rsidRPr="00451078">
              <w:rPr>
                <w:rFonts w:ascii="Tahoma" w:hAnsi="Tahoma" w:cs="Tahoma"/>
                <w:lang w:val="it-IT"/>
              </w:rPr>
              <w:t>Qualificante</w:t>
            </w:r>
          </w:p>
        </w:tc>
        <w:tc>
          <w:tcPr>
            <w:tcW w:w="1350" w:type="dxa"/>
            <w:vAlign w:val="center"/>
          </w:tcPr>
          <w:p w:rsidR="0043190C" w:rsidRPr="00451078" w:rsidRDefault="0043190C" w:rsidP="002A6416">
            <w:pPr>
              <w:pStyle w:val="AppendixTableText"/>
              <w:keepNext/>
              <w:spacing w:line="240" w:lineRule="auto"/>
              <w:rPr>
                <w:lang w:val="it-IT"/>
              </w:rPr>
            </w:pPr>
            <w:r w:rsidRPr="00451078">
              <w:rPr>
                <w:rFonts w:ascii="Tahoma" w:hAnsi="Tahoma" w:cs="Tahoma"/>
                <w:lang w:val="it-IT"/>
              </w:rPr>
              <w:t>5 ID Utente per</w:t>
            </w:r>
          </w:p>
          <w:p w:rsidR="0043190C" w:rsidRPr="00451078" w:rsidRDefault="0043190C" w:rsidP="002A6416">
            <w:pPr>
              <w:pStyle w:val="AppendixTableText"/>
              <w:keepNext/>
              <w:spacing w:line="240" w:lineRule="auto"/>
              <w:rPr>
                <w:lang w:val="it-IT"/>
              </w:rPr>
            </w:pPr>
            <w:r w:rsidRPr="00451078">
              <w:rPr>
                <w:rFonts w:ascii="Tahoma" w:hAnsi="Tahoma" w:cs="Tahoma"/>
                <w:lang w:val="it-IT"/>
              </w:rPr>
              <w:t>Idoneo</w:t>
            </w:r>
          </w:p>
          <w:p w:rsidR="0043190C" w:rsidRPr="00451078" w:rsidRDefault="0043190C" w:rsidP="002A6416">
            <w:pPr>
              <w:pStyle w:val="AppendixTableText"/>
              <w:keepNext/>
              <w:spacing w:line="240" w:lineRule="auto"/>
              <w:rPr>
                <w:rFonts w:ascii="Tahoma" w:hAnsi="Tahoma" w:cs="Tahoma"/>
                <w:lang w:val="it-IT"/>
              </w:rPr>
            </w:pPr>
            <w:r w:rsidRPr="00451078">
              <w:rPr>
                <w:rFonts w:ascii="Tahoma" w:hAnsi="Tahoma" w:cs="Tahoma"/>
                <w:lang w:val="it-IT"/>
              </w:rPr>
              <w:t>Qualificante</w:t>
            </w:r>
          </w:p>
        </w:tc>
        <w:tc>
          <w:tcPr>
            <w:tcW w:w="1530" w:type="dxa"/>
            <w:vAlign w:val="center"/>
          </w:tcPr>
          <w:p w:rsidR="0043190C" w:rsidRPr="00451078" w:rsidRDefault="0043190C" w:rsidP="002A6416">
            <w:pPr>
              <w:pStyle w:val="AppendixTableText"/>
              <w:keepNext/>
              <w:spacing w:line="240" w:lineRule="auto"/>
              <w:rPr>
                <w:lang w:val="it-IT"/>
              </w:rPr>
            </w:pPr>
            <w:r w:rsidRPr="00451078">
              <w:rPr>
                <w:rFonts w:ascii="Tahoma" w:hAnsi="Tahoma" w:cs="Tahoma"/>
                <w:lang w:val="it-IT"/>
              </w:rPr>
              <w:t>10 ID Utente per</w:t>
            </w:r>
          </w:p>
          <w:p w:rsidR="0043190C" w:rsidRPr="00451078" w:rsidRDefault="0043190C" w:rsidP="002A6416">
            <w:pPr>
              <w:pStyle w:val="AppendixTableText"/>
              <w:keepNext/>
              <w:spacing w:line="240" w:lineRule="auto"/>
              <w:rPr>
                <w:lang w:val="it-IT"/>
              </w:rPr>
            </w:pPr>
            <w:r w:rsidRPr="00451078">
              <w:rPr>
                <w:rFonts w:ascii="Tahoma" w:hAnsi="Tahoma" w:cs="Tahoma"/>
                <w:lang w:val="it-IT"/>
              </w:rPr>
              <w:t>Idoneo</w:t>
            </w:r>
          </w:p>
          <w:p w:rsidR="0043190C" w:rsidRPr="00451078" w:rsidRDefault="0043190C" w:rsidP="002A6416">
            <w:pPr>
              <w:pStyle w:val="AppendixTableText"/>
              <w:keepNext/>
              <w:spacing w:line="240" w:lineRule="auto"/>
              <w:rPr>
                <w:rFonts w:ascii="Tahoma" w:hAnsi="Tahoma" w:cs="Tahoma"/>
                <w:lang w:val="it-IT"/>
              </w:rPr>
            </w:pPr>
            <w:r w:rsidRPr="00451078">
              <w:rPr>
                <w:rFonts w:ascii="Tahoma" w:hAnsi="Tahoma" w:cs="Tahoma"/>
                <w:lang w:val="it-IT"/>
              </w:rPr>
              <w:t>Qualificante</w:t>
            </w:r>
          </w:p>
        </w:tc>
        <w:tc>
          <w:tcPr>
            <w:tcW w:w="1350" w:type="dxa"/>
            <w:vAlign w:val="center"/>
          </w:tcPr>
          <w:p w:rsidR="0043190C" w:rsidRPr="00451078" w:rsidRDefault="0043190C" w:rsidP="002A6416">
            <w:pPr>
              <w:pStyle w:val="AppendixTableText"/>
              <w:keepNext/>
              <w:spacing w:line="240" w:lineRule="auto"/>
              <w:rPr>
                <w:lang w:val="it-IT"/>
              </w:rPr>
            </w:pPr>
            <w:r w:rsidRPr="00451078">
              <w:rPr>
                <w:rFonts w:ascii="Tahoma" w:hAnsi="Tahoma" w:cs="Tahoma"/>
                <w:lang w:val="it-IT"/>
              </w:rPr>
              <w:t>20 ID Utente per</w:t>
            </w:r>
          </w:p>
          <w:p w:rsidR="0043190C" w:rsidRPr="00451078" w:rsidRDefault="0043190C" w:rsidP="002A6416">
            <w:pPr>
              <w:pStyle w:val="AppendixTableText"/>
              <w:keepNext/>
              <w:spacing w:line="240" w:lineRule="auto"/>
              <w:rPr>
                <w:lang w:val="it-IT"/>
              </w:rPr>
            </w:pPr>
            <w:r w:rsidRPr="00451078">
              <w:rPr>
                <w:rFonts w:ascii="Tahoma" w:hAnsi="Tahoma" w:cs="Tahoma"/>
                <w:lang w:val="it-IT"/>
              </w:rPr>
              <w:t>Idoneo</w:t>
            </w:r>
          </w:p>
          <w:p w:rsidR="0043190C" w:rsidRPr="00451078" w:rsidRDefault="0043190C" w:rsidP="002A6416">
            <w:pPr>
              <w:pStyle w:val="AppendixTableText"/>
              <w:keepNext/>
              <w:spacing w:line="240" w:lineRule="auto"/>
              <w:rPr>
                <w:rFonts w:ascii="Tahoma" w:hAnsi="Tahoma" w:cs="Tahoma"/>
                <w:lang w:val="it-IT"/>
              </w:rPr>
            </w:pPr>
            <w:r w:rsidRPr="00451078">
              <w:rPr>
                <w:rFonts w:ascii="Tahoma" w:hAnsi="Tahoma" w:cs="Tahoma"/>
                <w:lang w:val="it-IT"/>
              </w:rPr>
              <w:t>Qualificante</w:t>
            </w:r>
          </w:p>
        </w:tc>
        <w:tc>
          <w:tcPr>
            <w:tcW w:w="1456" w:type="dxa"/>
            <w:vAlign w:val="center"/>
          </w:tcPr>
          <w:p w:rsidR="0043190C" w:rsidRPr="00451078" w:rsidRDefault="0043190C" w:rsidP="002A6416">
            <w:pPr>
              <w:pStyle w:val="AppendixTableText"/>
              <w:keepNext/>
              <w:spacing w:line="240" w:lineRule="auto"/>
              <w:rPr>
                <w:rFonts w:ascii="Tahoma" w:hAnsi="Tahoma" w:cs="Tahoma"/>
                <w:lang w:val="it-IT"/>
              </w:rPr>
            </w:pPr>
            <w:r w:rsidRPr="00451078">
              <w:rPr>
                <w:rFonts w:ascii="Tahoma" w:hAnsi="Tahoma" w:cs="Tahoma"/>
                <w:lang w:val="it-IT"/>
              </w:rPr>
              <w:t>1 ID Utente per iscrizione/</w:t>
            </w:r>
            <w:r w:rsidR="004304CA" w:rsidRPr="00451078">
              <w:rPr>
                <w:rFonts w:ascii="Tahoma" w:hAnsi="Tahoma" w:cs="Tahoma"/>
                <w:lang w:val="it-IT"/>
              </w:rPr>
              <w:br/>
            </w:r>
            <w:r w:rsidRPr="00451078">
              <w:rPr>
                <w:rFonts w:ascii="Tahoma" w:hAnsi="Tahoma" w:cs="Tahoma"/>
                <w:lang w:val="it-IT"/>
              </w:rPr>
              <w:t>contratto</w:t>
            </w:r>
          </w:p>
        </w:tc>
      </w:tr>
      <w:tr w:rsidR="0043190C" w:rsidRPr="00DC1102" w:rsidTr="00CE2638">
        <w:trPr>
          <w:trHeight w:val="236"/>
        </w:trPr>
        <w:tc>
          <w:tcPr>
            <w:tcW w:w="1332" w:type="dxa"/>
            <w:vAlign w:val="center"/>
          </w:tcPr>
          <w:p w:rsidR="0043190C" w:rsidRPr="003410C7" w:rsidRDefault="0043190C" w:rsidP="002A6416">
            <w:pPr>
              <w:pStyle w:val="AppendixTableText"/>
              <w:keepNext/>
              <w:spacing w:line="240" w:lineRule="auto"/>
              <w:rPr>
                <w:rFonts w:ascii="Tahoma" w:hAnsi="Tahoma" w:cs="Tahoma"/>
              </w:rPr>
            </w:pPr>
            <w:r w:rsidRPr="003410C7">
              <w:rPr>
                <w:rFonts w:ascii="Tahoma" w:hAnsi="Tahoma" w:cs="Tahoma"/>
                <w:b/>
              </w:rPr>
              <w:t>Pool di</w:t>
            </w:r>
            <w:r w:rsidRPr="003410C7">
              <w:rPr>
                <w:rFonts w:ascii="Tahoma" w:hAnsi="Tahoma" w:cs="Tahoma"/>
              </w:rPr>
              <w:t xml:space="preserve"> </w:t>
            </w:r>
            <w:r w:rsidRPr="003410C7">
              <w:rPr>
                <w:rFonts w:ascii="Tahoma" w:hAnsi="Tahoma" w:cs="Tahoma"/>
                <w:b/>
              </w:rPr>
              <w:t>Sistemi</w:t>
            </w:r>
          </w:p>
        </w:tc>
        <w:tc>
          <w:tcPr>
            <w:tcW w:w="1080" w:type="dxa"/>
            <w:vAlign w:val="center"/>
          </w:tcPr>
          <w:p w:rsidR="0043190C" w:rsidRPr="003410C7" w:rsidRDefault="0043190C" w:rsidP="002A6416">
            <w:pPr>
              <w:pStyle w:val="AppendixTableText"/>
              <w:keepNext/>
              <w:spacing w:line="240" w:lineRule="auto"/>
              <w:rPr>
                <w:rFonts w:ascii="Tahoma" w:hAnsi="Tahoma" w:cs="Tahoma"/>
              </w:rPr>
            </w:pPr>
            <w:r w:rsidRPr="003410C7">
              <w:rPr>
                <w:rFonts w:ascii="Tahoma" w:hAnsi="Tahoma" w:cs="Tahoma"/>
              </w:rPr>
              <w:t>1 ID Utente per contratto</w:t>
            </w:r>
          </w:p>
        </w:tc>
        <w:tc>
          <w:tcPr>
            <w:tcW w:w="1352" w:type="dxa"/>
            <w:vAlign w:val="center"/>
          </w:tcPr>
          <w:p w:rsidR="0043190C" w:rsidRPr="00451078" w:rsidRDefault="0043190C" w:rsidP="002A6416">
            <w:pPr>
              <w:pStyle w:val="AppendixTableText"/>
              <w:keepNext/>
              <w:spacing w:line="240" w:lineRule="auto"/>
              <w:rPr>
                <w:lang w:val="it-IT"/>
              </w:rPr>
            </w:pPr>
            <w:r w:rsidRPr="00451078">
              <w:rPr>
                <w:rFonts w:ascii="Tahoma" w:hAnsi="Tahoma" w:cs="Tahoma"/>
                <w:lang w:val="it-IT"/>
              </w:rPr>
              <w:t>2 ID Utente per</w:t>
            </w:r>
          </w:p>
          <w:p w:rsidR="0043190C" w:rsidRPr="00451078" w:rsidRDefault="0043190C" w:rsidP="002A6416">
            <w:pPr>
              <w:pStyle w:val="AppendixTableText"/>
              <w:keepNext/>
              <w:spacing w:line="240" w:lineRule="auto"/>
              <w:rPr>
                <w:lang w:val="it-IT"/>
              </w:rPr>
            </w:pPr>
            <w:r w:rsidRPr="00451078">
              <w:rPr>
                <w:rFonts w:ascii="Tahoma" w:hAnsi="Tahoma" w:cs="Tahoma"/>
                <w:lang w:val="it-IT"/>
              </w:rPr>
              <w:t>Idoneo</w:t>
            </w:r>
          </w:p>
          <w:p w:rsidR="0043190C" w:rsidRPr="00451078" w:rsidRDefault="0043190C" w:rsidP="002A6416">
            <w:pPr>
              <w:pStyle w:val="AppendixTableText"/>
              <w:keepNext/>
              <w:spacing w:line="240" w:lineRule="auto"/>
              <w:rPr>
                <w:rFonts w:ascii="Tahoma" w:hAnsi="Tahoma" w:cs="Tahoma"/>
                <w:lang w:val="it-IT"/>
              </w:rPr>
            </w:pPr>
            <w:r w:rsidRPr="00451078">
              <w:rPr>
                <w:rFonts w:ascii="Tahoma" w:hAnsi="Tahoma" w:cs="Tahoma"/>
                <w:lang w:val="it-IT"/>
              </w:rPr>
              <w:t>Qualificante</w:t>
            </w:r>
          </w:p>
        </w:tc>
        <w:tc>
          <w:tcPr>
            <w:tcW w:w="1350" w:type="dxa"/>
            <w:vAlign w:val="center"/>
          </w:tcPr>
          <w:p w:rsidR="0043190C" w:rsidRPr="00451078" w:rsidRDefault="00F30075" w:rsidP="002A6416">
            <w:pPr>
              <w:pStyle w:val="AppendixTableText"/>
              <w:keepNext/>
              <w:spacing w:line="240" w:lineRule="auto"/>
              <w:rPr>
                <w:lang w:val="it-IT"/>
              </w:rPr>
            </w:pPr>
            <w:r w:rsidRPr="00451078">
              <w:rPr>
                <w:rFonts w:ascii="Tahoma" w:hAnsi="Tahoma" w:cs="Tahoma"/>
                <w:lang w:val="it-IT"/>
              </w:rPr>
              <w:t>3 ID Utente per</w:t>
            </w:r>
          </w:p>
          <w:p w:rsidR="0043190C" w:rsidRPr="00451078" w:rsidRDefault="0043190C" w:rsidP="002A6416">
            <w:pPr>
              <w:pStyle w:val="AppendixTableText"/>
              <w:keepNext/>
              <w:spacing w:line="240" w:lineRule="auto"/>
              <w:rPr>
                <w:lang w:val="it-IT"/>
              </w:rPr>
            </w:pPr>
            <w:r w:rsidRPr="00451078">
              <w:rPr>
                <w:rFonts w:ascii="Tahoma" w:hAnsi="Tahoma" w:cs="Tahoma"/>
                <w:lang w:val="it-IT"/>
              </w:rPr>
              <w:t>Idoneo</w:t>
            </w:r>
          </w:p>
          <w:p w:rsidR="0043190C" w:rsidRPr="00451078" w:rsidRDefault="0043190C" w:rsidP="002A6416">
            <w:pPr>
              <w:pStyle w:val="AppendixTableText"/>
              <w:keepNext/>
              <w:spacing w:line="240" w:lineRule="auto"/>
              <w:rPr>
                <w:rFonts w:ascii="Tahoma" w:hAnsi="Tahoma" w:cs="Tahoma"/>
                <w:lang w:val="it-IT"/>
              </w:rPr>
            </w:pPr>
            <w:r w:rsidRPr="00451078">
              <w:rPr>
                <w:rFonts w:ascii="Tahoma" w:hAnsi="Tahoma" w:cs="Tahoma"/>
                <w:lang w:val="it-IT"/>
              </w:rPr>
              <w:t>Qualificante</w:t>
            </w:r>
          </w:p>
        </w:tc>
        <w:tc>
          <w:tcPr>
            <w:tcW w:w="1530" w:type="dxa"/>
            <w:vAlign w:val="center"/>
          </w:tcPr>
          <w:p w:rsidR="0043190C" w:rsidRPr="00451078" w:rsidRDefault="00F30075" w:rsidP="002A6416">
            <w:pPr>
              <w:pStyle w:val="AppendixTableText"/>
              <w:keepNext/>
              <w:spacing w:line="240" w:lineRule="auto"/>
              <w:rPr>
                <w:lang w:val="it-IT"/>
              </w:rPr>
            </w:pPr>
            <w:r w:rsidRPr="00451078">
              <w:rPr>
                <w:rFonts w:ascii="Tahoma" w:hAnsi="Tahoma" w:cs="Tahoma"/>
                <w:lang w:val="it-IT"/>
              </w:rPr>
              <w:t>5 ID Utente per</w:t>
            </w:r>
          </w:p>
          <w:p w:rsidR="0043190C" w:rsidRPr="00451078" w:rsidRDefault="0043190C" w:rsidP="002A6416">
            <w:pPr>
              <w:pStyle w:val="AppendixTableText"/>
              <w:keepNext/>
              <w:spacing w:line="240" w:lineRule="auto"/>
              <w:rPr>
                <w:lang w:val="it-IT"/>
              </w:rPr>
            </w:pPr>
            <w:r w:rsidRPr="00451078">
              <w:rPr>
                <w:rFonts w:ascii="Tahoma" w:hAnsi="Tahoma" w:cs="Tahoma"/>
                <w:lang w:val="it-IT"/>
              </w:rPr>
              <w:t>Idoneo</w:t>
            </w:r>
          </w:p>
          <w:p w:rsidR="0043190C" w:rsidRPr="00451078" w:rsidRDefault="0043190C" w:rsidP="002A6416">
            <w:pPr>
              <w:pStyle w:val="AppendixTableText"/>
              <w:keepNext/>
              <w:spacing w:line="240" w:lineRule="auto"/>
              <w:rPr>
                <w:rFonts w:ascii="Tahoma" w:hAnsi="Tahoma" w:cs="Tahoma"/>
                <w:lang w:val="it-IT"/>
              </w:rPr>
            </w:pPr>
            <w:r w:rsidRPr="00451078">
              <w:rPr>
                <w:rFonts w:ascii="Tahoma" w:hAnsi="Tahoma" w:cs="Tahoma"/>
                <w:lang w:val="it-IT"/>
              </w:rPr>
              <w:t>Qualificante</w:t>
            </w:r>
          </w:p>
        </w:tc>
        <w:tc>
          <w:tcPr>
            <w:tcW w:w="1350" w:type="dxa"/>
            <w:vAlign w:val="center"/>
          </w:tcPr>
          <w:p w:rsidR="0043190C" w:rsidRPr="00451078" w:rsidRDefault="00F30075" w:rsidP="002A6416">
            <w:pPr>
              <w:pStyle w:val="AppendixTableText"/>
              <w:keepNext/>
              <w:spacing w:line="240" w:lineRule="auto"/>
              <w:rPr>
                <w:lang w:val="it-IT"/>
              </w:rPr>
            </w:pPr>
            <w:r w:rsidRPr="00451078">
              <w:rPr>
                <w:rFonts w:ascii="Tahoma" w:hAnsi="Tahoma" w:cs="Tahoma"/>
                <w:lang w:val="it-IT"/>
              </w:rPr>
              <w:t>10 ID Utente per</w:t>
            </w:r>
          </w:p>
          <w:p w:rsidR="0043190C" w:rsidRPr="00451078" w:rsidRDefault="0043190C" w:rsidP="002A6416">
            <w:pPr>
              <w:pStyle w:val="AppendixTableText"/>
              <w:keepNext/>
              <w:spacing w:line="240" w:lineRule="auto"/>
              <w:rPr>
                <w:lang w:val="it-IT"/>
              </w:rPr>
            </w:pPr>
            <w:r w:rsidRPr="00451078">
              <w:rPr>
                <w:rFonts w:ascii="Tahoma" w:hAnsi="Tahoma" w:cs="Tahoma"/>
                <w:lang w:val="it-IT"/>
              </w:rPr>
              <w:t>Idoneo</w:t>
            </w:r>
          </w:p>
          <w:p w:rsidR="0043190C" w:rsidRPr="00451078" w:rsidRDefault="0043190C" w:rsidP="002A6416">
            <w:pPr>
              <w:pStyle w:val="AppendixTableText"/>
              <w:keepNext/>
              <w:spacing w:line="240" w:lineRule="auto"/>
              <w:rPr>
                <w:rFonts w:ascii="Tahoma" w:hAnsi="Tahoma" w:cs="Tahoma"/>
                <w:lang w:val="it-IT"/>
              </w:rPr>
            </w:pPr>
            <w:r w:rsidRPr="00451078">
              <w:rPr>
                <w:rFonts w:ascii="Tahoma" w:hAnsi="Tahoma" w:cs="Tahoma"/>
                <w:lang w:val="it-IT"/>
              </w:rPr>
              <w:t>Qualificante</w:t>
            </w:r>
          </w:p>
        </w:tc>
        <w:tc>
          <w:tcPr>
            <w:tcW w:w="1456" w:type="dxa"/>
            <w:vAlign w:val="center"/>
          </w:tcPr>
          <w:p w:rsidR="0043190C" w:rsidRPr="00451078" w:rsidRDefault="0043190C" w:rsidP="00BC32EE">
            <w:pPr>
              <w:pStyle w:val="AppendixTableText"/>
              <w:keepNext/>
              <w:spacing w:line="240" w:lineRule="auto"/>
              <w:rPr>
                <w:rFonts w:ascii="Tahoma" w:hAnsi="Tahoma" w:cs="Tahoma"/>
                <w:lang w:val="it-IT"/>
              </w:rPr>
            </w:pPr>
            <w:r w:rsidRPr="00451078">
              <w:rPr>
                <w:rFonts w:ascii="Tahoma" w:hAnsi="Tahoma" w:cs="Tahoma"/>
                <w:lang w:val="it-IT"/>
              </w:rPr>
              <w:t>1 ID Utente per</w:t>
            </w:r>
            <w:r w:rsidR="00BC32EE" w:rsidRPr="00451078">
              <w:rPr>
                <w:rFonts w:ascii="Tahoma" w:hAnsi="Tahoma" w:cs="Tahoma"/>
                <w:lang w:val="it-IT"/>
              </w:rPr>
              <w:t> </w:t>
            </w:r>
            <w:r w:rsidRPr="00451078">
              <w:rPr>
                <w:rFonts w:ascii="Tahoma" w:hAnsi="Tahoma" w:cs="Tahoma"/>
                <w:lang w:val="it-IT"/>
              </w:rPr>
              <w:t>iscrizione/</w:t>
            </w:r>
            <w:r w:rsidR="00BC32EE" w:rsidRPr="00451078">
              <w:rPr>
                <w:rFonts w:ascii="Tahoma" w:hAnsi="Tahoma" w:cs="Tahoma"/>
                <w:lang w:val="it-IT"/>
              </w:rPr>
              <w:br/>
            </w:r>
            <w:r w:rsidRPr="00451078">
              <w:rPr>
                <w:rFonts w:ascii="Tahoma" w:hAnsi="Tahoma" w:cs="Tahoma"/>
                <w:lang w:val="it-IT"/>
              </w:rPr>
              <w:t>contratto</w:t>
            </w:r>
          </w:p>
        </w:tc>
      </w:tr>
    </w:tbl>
    <w:p w:rsidR="009D26EE" w:rsidRPr="00451078" w:rsidRDefault="009D26EE" w:rsidP="00792D1E">
      <w:pPr>
        <w:pStyle w:val="AppendixFlushBulletedList"/>
        <w:tabs>
          <w:tab w:val="clear" w:pos="360"/>
          <w:tab w:val="num" w:pos="0"/>
        </w:tabs>
        <w:ind w:left="0" w:firstLine="0"/>
        <w:rPr>
          <w:lang w:val="it-IT"/>
        </w:rPr>
      </w:pPr>
      <w:r w:rsidRPr="00451078">
        <w:rPr>
          <w:rFonts w:ascii="Tahoma" w:hAnsi="Tahoma" w:cs="Tahoma"/>
          <w:sz w:val="18"/>
          <w:szCs w:val="18"/>
          <w:lang w:val="it-IT"/>
        </w:rPr>
        <w:t>Ogni ID Utente attribuisce a una persona il diritto di registrarsi e di avere accesso al sito dei servizi online riservato agli Iscritti, inclusi, a titolo esemplificativo: Online Concierge Chat, Managed Newsgroups e contenuto Premium.</w:t>
      </w:r>
    </w:p>
    <w:p w:rsidR="00792D1E" w:rsidRPr="00451078" w:rsidRDefault="00792D1E" w:rsidP="00792D1E">
      <w:pPr>
        <w:pStyle w:val="AppendixFlushBulletedList"/>
        <w:tabs>
          <w:tab w:val="clear" w:pos="360"/>
          <w:tab w:val="num" w:pos="0"/>
        </w:tabs>
        <w:ind w:left="0" w:firstLine="0"/>
        <w:rPr>
          <w:lang w:val="it-IT"/>
        </w:rPr>
      </w:pPr>
    </w:p>
    <w:p w:rsidR="008C0608" w:rsidRPr="00451078" w:rsidRDefault="008C0608" w:rsidP="00792D1E">
      <w:pPr>
        <w:pStyle w:val="AppendixFlushBulletedList"/>
        <w:tabs>
          <w:tab w:val="clear" w:pos="360"/>
          <w:tab w:val="num" w:pos="0"/>
        </w:tabs>
        <w:ind w:left="0" w:firstLine="0"/>
        <w:rPr>
          <w:lang w:val="it-IT"/>
        </w:rPr>
      </w:pPr>
      <w:r w:rsidRPr="00451078">
        <w:rPr>
          <w:rFonts w:ascii="Tahoma" w:hAnsi="Tahoma" w:cs="Tahoma"/>
          <w:sz w:val="18"/>
          <w:szCs w:val="18"/>
          <w:lang w:val="it-IT"/>
        </w:rPr>
        <w:t>Per essere idonee a ricevere questo vantaggio, le società con prodotti Open License, Open Value, Open Value Subscription - Education Solutions, Academic Select License e Select Plus for Academic dovranno acquistare Software</w:t>
      </w:r>
      <w:r w:rsidR="00BC32EE" w:rsidRPr="00451078">
        <w:rPr>
          <w:rFonts w:ascii="Tahoma" w:hAnsi="Tahoma" w:cs="Tahoma"/>
          <w:sz w:val="18"/>
          <w:szCs w:val="18"/>
          <w:lang w:val="it-IT"/>
        </w:rPr>
        <w:t> </w:t>
      </w:r>
      <w:r w:rsidRPr="00451078">
        <w:rPr>
          <w:rFonts w:ascii="Tahoma" w:hAnsi="Tahoma" w:cs="Tahoma"/>
          <w:sz w:val="18"/>
          <w:szCs w:val="18"/>
          <w:lang w:val="it-IT"/>
        </w:rPr>
        <w:t>Assurance per un minimo di cinque licenze server per prodotti qualificanti.</w:t>
      </w:r>
    </w:p>
    <w:p w:rsidR="00792D1E" w:rsidRPr="00451078" w:rsidRDefault="00792D1E" w:rsidP="00792D1E">
      <w:pPr>
        <w:pStyle w:val="AppendixFlushBulletedList"/>
        <w:tabs>
          <w:tab w:val="clear" w:pos="360"/>
          <w:tab w:val="num" w:pos="0"/>
        </w:tabs>
        <w:ind w:left="0" w:firstLine="0"/>
        <w:rPr>
          <w:lang w:val="it-IT"/>
        </w:rPr>
      </w:pPr>
    </w:p>
    <w:p w:rsidR="00023FE7" w:rsidRPr="00451078" w:rsidRDefault="009D26EE" w:rsidP="00792D1E">
      <w:pPr>
        <w:pStyle w:val="AppendixBodyText"/>
        <w:spacing w:after="0"/>
        <w:rPr>
          <w:lang w:val="it-IT"/>
        </w:rPr>
      </w:pPr>
      <w:r w:rsidRPr="00451078">
        <w:rPr>
          <w:rFonts w:ascii="Tahoma" w:hAnsi="Tahoma" w:cs="Tahoma"/>
          <w:sz w:val="18"/>
          <w:szCs w:val="18"/>
          <w:lang w:val="it-IT"/>
        </w:rPr>
        <w:t>L</w:t>
      </w:r>
      <w:r w:rsidR="004525CA">
        <w:rPr>
          <w:rFonts w:ascii="Tahoma" w:hAnsi="Tahoma" w:cs="Tahoma"/>
          <w:sz w:val="18"/>
          <w:szCs w:val="18"/>
          <w:lang w:val="it-IT"/>
        </w:rPr>
        <w:t>’</w:t>
      </w:r>
      <w:r w:rsidRPr="00451078">
        <w:rPr>
          <w:rFonts w:ascii="Tahoma" w:hAnsi="Tahoma" w:cs="Tahoma"/>
          <w:sz w:val="18"/>
          <w:szCs w:val="18"/>
          <w:lang w:val="it-IT"/>
        </w:rPr>
        <w:t>utilizzo del software per i Servizi in Abbonamento TechNet SA da parte delle società è soggetto alle condizioni del</w:t>
      </w:r>
      <w:r w:rsidR="00CE2638" w:rsidRPr="00451078">
        <w:rPr>
          <w:rFonts w:ascii="Tahoma" w:hAnsi="Tahoma" w:cs="Tahoma"/>
          <w:sz w:val="18"/>
          <w:szCs w:val="18"/>
          <w:lang w:val="it-IT"/>
        </w:rPr>
        <w:t> </w:t>
      </w:r>
      <w:r w:rsidRPr="00451078">
        <w:rPr>
          <w:rFonts w:ascii="Tahoma" w:hAnsi="Tahoma" w:cs="Tahoma"/>
          <w:sz w:val="18"/>
          <w:szCs w:val="18"/>
          <w:lang w:val="it-IT"/>
        </w:rPr>
        <w:t>relativo contratto di licenza.</w:t>
      </w:r>
    </w:p>
    <w:p w:rsidR="004D4D43" w:rsidRPr="00451078" w:rsidRDefault="004D4D43" w:rsidP="00F0652C">
      <w:pPr>
        <w:pStyle w:val="Heading3"/>
        <w:rPr>
          <w:lang w:val="it-IT"/>
        </w:rPr>
      </w:pPr>
    </w:p>
    <w:p w:rsidR="00023FE7" w:rsidRPr="00451078" w:rsidRDefault="00023FE7" w:rsidP="00F0652C">
      <w:pPr>
        <w:pStyle w:val="Heading3"/>
        <w:rPr>
          <w:lang w:val="it-IT"/>
        </w:rPr>
      </w:pPr>
      <w:bookmarkStart w:id="805" w:name="_Toc336338241"/>
      <w:bookmarkStart w:id="806" w:name="_Toc352234836"/>
      <w:r w:rsidRPr="00451078">
        <w:rPr>
          <w:rFonts w:ascii="Tahoma" w:hAnsi="Tahoma"/>
          <w:sz w:val="24"/>
          <w:lang w:val="it-IT"/>
        </w:rPr>
        <w:t>TechNet Plus Direct</w:t>
      </w:r>
      <w:bookmarkEnd w:id="805"/>
      <w:bookmarkEnd w:id="806"/>
    </w:p>
    <w:p w:rsidR="00F0652C" w:rsidRPr="00451078" w:rsidRDefault="00F0652C" w:rsidP="00F0652C">
      <w:pPr>
        <w:rPr>
          <w:lang w:val="it-IT"/>
        </w:rPr>
      </w:pPr>
    </w:p>
    <w:p w:rsidR="00792D1E" w:rsidRPr="003410C7" w:rsidRDefault="00A65414" w:rsidP="00792D1E">
      <w:pPr>
        <w:pStyle w:val="AppendixBodyText"/>
        <w:spacing w:after="0"/>
      </w:pPr>
      <w:r w:rsidRPr="00451078">
        <w:rPr>
          <w:rFonts w:ascii="Tahoma" w:hAnsi="Tahoma" w:cs="Tahoma"/>
          <w:sz w:val="18"/>
          <w:szCs w:val="18"/>
          <w:lang w:val="it-IT"/>
        </w:rPr>
        <w:t>Le società con copertura Software Assurance su prodotti qualificanti del pool di server sono idonee a beneficiare dell</w:t>
      </w:r>
      <w:r w:rsidR="004525CA">
        <w:rPr>
          <w:rFonts w:ascii="Tahoma" w:hAnsi="Tahoma" w:cs="Tahoma"/>
          <w:sz w:val="18"/>
          <w:szCs w:val="18"/>
          <w:lang w:val="it-IT"/>
        </w:rPr>
        <w:t>’</w:t>
      </w:r>
      <w:r w:rsidRPr="00451078">
        <w:rPr>
          <w:rFonts w:ascii="Tahoma" w:hAnsi="Tahoma" w:cs="Tahoma"/>
          <w:sz w:val="18"/>
          <w:szCs w:val="18"/>
          <w:lang w:val="it-IT"/>
        </w:rPr>
        <w:t>Abbonamento a TechNet Plus Direct durante il periodo di validità della copertura Software Assurance.</w:t>
      </w:r>
      <w:r w:rsidR="00082E1C" w:rsidRPr="00451078">
        <w:rPr>
          <w:rFonts w:ascii="Tahoma" w:hAnsi="Tahoma" w:cs="Tahoma"/>
          <w:sz w:val="18"/>
          <w:szCs w:val="18"/>
          <w:lang w:val="it-IT"/>
        </w:rPr>
        <w:t xml:space="preserve"> </w:t>
      </w:r>
      <w:r w:rsidRPr="00451078">
        <w:rPr>
          <w:rFonts w:ascii="Tahoma" w:hAnsi="Tahoma" w:cs="Tahoma"/>
          <w:sz w:val="18"/>
          <w:szCs w:val="18"/>
          <w:lang w:val="it-IT"/>
        </w:rPr>
        <w:t>In</w:t>
      </w:r>
      <w:r w:rsidR="00BC32EE" w:rsidRPr="00451078">
        <w:rPr>
          <w:rFonts w:ascii="Tahoma" w:hAnsi="Tahoma" w:cs="Tahoma"/>
          <w:sz w:val="18"/>
          <w:szCs w:val="18"/>
          <w:lang w:val="it-IT"/>
        </w:rPr>
        <w:t> </w:t>
      </w:r>
      <w:r w:rsidRPr="00451078">
        <w:rPr>
          <w:rFonts w:ascii="Tahoma" w:hAnsi="Tahoma" w:cs="Tahoma"/>
          <w:sz w:val="18"/>
          <w:szCs w:val="18"/>
          <w:lang w:val="it-IT"/>
        </w:rPr>
        <w:t>questo</w:t>
      </w:r>
      <w:r w:rsidR="00BC32EE" w:rsidRPr="00451078">
        <w:rPr>
          <w:rFonts w:ascii="Tahoma" w:hAnsi="Tahoma" w:cs="Tahoma"/>
          <w:sz w:val="18"/>
          <w:szCs w:val="18"/>
          <w:lang w:val="it-IT"/>
        </w:rPr>
        <w:t> </w:t>
      </w:r>
      <w:r w:rsidRPr="00451078">
        <w:rPr>
          <w:rFonts w:ascii="Tahoma" w:hAnsi="Tahoma" w:cs="Tahoma"/>
          <w:sz w:val="18"/>
          <w:szCs w:val="18"/>
          <w:lang w:val="it-IT"/>
        </w:rPr>
        <w:t xml:space="preserve">modo i professionisti IT avranno accesso al contenuto di TechNet Plus Direct che include la Knowledge Base Microsoft, formazione tecnica, download, patch di protezione, service pack e articoli esplicativi. </w:t>
      </w:r>
      <w:r w:rsidRPr="003410C7">
        <w:rPr>
          <w:rFonts w:ascii="Tahoma" w:hAnsi="Tahoma" w:cs="Tahoma"/>
          <w:sz w:val="18"/>
          <w:szCs w:val="18"/>
        </w:rPr>
        <w:t>Le società beneficeranno, inoltre, di quanto segue:</w:t>
      </w:r>
    </w:p>
    <w:p w:rsidR="00023FE7" w:rsidRPr="003410C7" w:rsidRDefault="00023FE7" w:rsidP="00792D1E">
      <w:pPr>
        <w:pStyle w:val="AppendixBodyText"/>
        <w:spacing w:after="0"/>
      </w:pPr>
      <w:r w:rsidRPr="003410C7">
        <w:rPr>
          <w:rFonts w:ascii="Tahoma" w:hAnsi="Tahoma" w:cs="Tahoma"/>
          <w:sz w:val="18"/>
          <w:szCs w:val="18"/>
        </w:rPr>
        <w:t xml:space="preserve"> </w:t>
      </w:r>
    </w:p>
    <w:p w:rsidR="00023FE7" w:rsidRPr="00451078" w:rsidRDefault="00023FE7" w:rsidP="00745AB3">
      <w:pPr>
        <w:pStyle w:val="AppendixFlushBulletedList"/>
        <w:numPr>
          <w:ilvl w:val="0"/>
          <w:numId w:val="110"/>
        </w:numPr>
        <w:spacing w:after="60"/>
        <w:ind w:left="1440"/>
        <w:rPr>
          <w:lang w:val="it-IT"/>
        </w:rPr>
      </w:pPr>
      <w:r w:rsidRPr="00451078">
        <w:rPr>
          <w:rFonts w:ascii="Tahoma" w:hAnsi="Tahoma" w:cs="Tahoma"/>
          <w:sz w:val="18"/>
          <w:szCs w:val="18"/>
          <w:lang w:val="it-IT"/>
        </w:rPr>
        <w:t xml:space="preserve">Accesso al download di software in versione completa concesso in licenza a scopo di valutazione; sono compresi i sistemi operativi, i server e il software Office System Microsoft. </w:t>
      </w:r>
    </w:p>
    <w:p w:rsidR="00023FE7" w:rsidRPr="00451078" w:rsidRDefault="00023FE7" w:rsidP="00745AB3">
      <w:pPr>
        <w:pStyle w:val="AppendixFlushBulletedList"/>
        <w:numPr>
          <w:ilvl w:val="0"/>
          <w:numId w:val="110"/>
        </w:numPr>
        <w:spacing w:after="60"/>
        <w:ind w:left="1440"/>
        <w:rPr>
          <w:lang w:val="it-IT"/>
        </w:rPr>
      </w:pPr>
      <w:r w:rsidRPr="00451078">
        <w:rPr>
          <w:rFonts w:ascii="Tahoma" w:hAnsi="Tahoma" w:cs="Tahoma"/>
          <w:sz w:val="18"/>
          <w:szCs w:val="18"/>
          <w:lang w:val="it-IT"/>
        </w:rPr>
        <w:lastRenderedPageBreak/>
        <w:t>Accesso al download di software Beta (versioni prototipo di software Microsoft).</w:t>
      </w:r>
    </w:p>
    <w:p w:rsidR="00023FE7" w:rsidRPr="00451078" w:rsidRDefault="00023FE7" w:rsidP="00745AB3">
      <w:pPr>
        <w:pStyle w:val="AppendixFlushBulletedList"/>
        <w:numPr>
          <w:ilvl w:val="0"/>
          <w:numId w:val="110"/>
        </w:numPr>
        <w:spacing w:after="60"/>
        <w:ind w:left="1440"/>
        <w:rPr>
          <w:lang w:val="it-IT"/>
        </w:rPr>
      </w:pPr>
      <w:r w:rsidRPr="00451078">
        <w:rPr>
          <w:rFonts w:ascii="Tahoma" w:hAnsi="Tahoma" w:cs="Tahoma"/>
          <w:sz w:val="18"/>
          <w:szCs w:val="18"/>
          <w:lang w:val="it-IT"/>
        </w:rPr>
        <w:t>Due (2) interventi d supporto tecnico gratuiti all</w:t>
      </w:r>
      <w:r w:rsidR="004525CA">
        <w:rPr>
          <w:rFonts w:ascii="Tahoma" w:hAnsi="Tahoma" w:cs="Tahoma"/>
          <w:sz w:val="18"/>
          <w:szCs w:val="18"/>
          <w:lang w:val="it-IT"/>
        </w:rPr>
        <w:t>’</w:t>
      </w:r>
      <w:r w:rsidRPr="00451078">
        <w:rPr>
          <w:rFonts w:ascii="Tahoma" w:hAnsi="Tahoma" w:cs="Tahoma"/>
          <w:sz w:val="18"/>
          <w:szCs w:val="18"/>
          <w:lang w:val="it-IT"/>
        </w:rPr>
        <w:t xml:space="preserve">anno e il 20% di sconto sugli interventi aggiuntivi tramite supporto telefonico acquistati dalla società. </w:t>
      </w:r>
    </w:p>
    <w:p w:rsidR="00023FE7" w:rsidRPr="00451078" w:rsidRDefault="00023FE7" w:rsidP="00745AB3">
      <w:pPr>
        <w:pStyle w:val="AppendixFlushBulletedList"/>
        <w:numPr>
          <w:ilvl w:val="0"/>
          <w:numId w:val="110"/>
        </w:numPr>
        <w:spacing w:after="60"/>
        <w:ind w:left="1440"/>
        <w:rPr>
          <w:lang w:val="it-IT"/>
        </w:rPr>
      </w:pPr>
      <w:r w:rsidRPr="00451078">
        <w:rPr>
          <w:rFonts w:ascii="Tahoma" w:hAnsi="Tahoma" w:cs="Tahoma"/>
          <w:sz w:val="18"/>
          <w:szCs w:val="18"/>
          <w:lang w:val="it-IT"/>
        </w:rPr>
        <w:t xml:space="preserve">Servizio illimitato di Supporto per Managed Newsgroup e Online Concierge. </w:t>
      </w:r>
    </w:p>
    <w:p w:rsidR="00023FE7" w:rsidRPr="00451078" w:rsidRDefault="00023FE7" w:rsidP="00792D1E">
      <w:pPr>
        <w:pStyle w:val="AppendixBodyText"/>
        <w:spacing w:after="0"/>
        <w:rPr>
          <w:lang w:val="it-IT"/>
        </w:rPr>
      </w:pPr>
    </w:p>
    <w:p w:rsidR="00023FE7" w:rsidRPr="00451078" w:rsidRDefault="00023FE7" w:rsidP="00792D1E">
      <w:pPr>
        <w:pStyle w:val="AppendixBodyText"/>
        <w:spacing w:after="0"/>
        <w:rPr>
          <w:lang w:val="it-IT"/>
        </w:rPr>
      </w:pPr>
      <w:r w:rsidRPr="00451078">
        <w:rPr>
          <w:rFonts w:ascii="Tahoma" w:hAnsi="Tahoma" w:cs="Tahoma"/>
          <w:sz w:val="18"/>
          <w:szCs w:val="18"/>
          <w:lang w:val="it-IT"/>
        </w:rPr>
        <w:t>Le società idonee riceveranno un abbonamento per iscrizione qualificante, come mostrato di seguito:</w:t>
      </w:r>
    </w:p>
    <w:p w:rsidR="00023FE7" w:rsidRPr="00451078" w:rsidRDefault="00023FE7" w:rsidP="00792D1E">
      <w:pPr>
        <w:pStyle w:val="AppendixBodyText"/>
        <w:tabs>
          <w:tab w:val="left" w:pos="1425"/>
        </w:tabs>
        <w:spacing w:after="0"/>
        <w:rPr>
          <w:lang w:val="it-IT"/>
        </w:rPr>
      </w:pPr>
    </w:p>
    <w:tbl>
      <w:tblPr>
        <w:tblW w:w="9459" w:type="dxa"/>
        <w:tblInd w:w="99" w:type="dxa"/>
        <w:tblCellMar>
          <w:left w:w="0" w:type="dxa"/>
          <w:right w:w="0" w:type="dxa"/>
        </w:tblCellMar>
        <w:tblLook w:val="0000" w:firstRow="0" w:lastRow="0" w:firstColumn="0" w:lastColumn="0" w:noHBand="0" w:noVBand="0"/>
      </w:tblPr>
      <w:tblGrid>
        <w:gridCol w:w="1260"/>
        <w:gridCol w:w="1890"/>
        <w:gridCol w:w="2070"/>
        <w:gridCol w:w="2160"/>
        <w:gridCol w:w="2079"/>
      </w:tblGrid>
      <w:tr w:rsidR="00270612" w:rsidRPr="00DC1102" w:rsidTr="002A6416">
        <w:trPr>
          <w:trHeight w:val="460"/>
        </w:trPr>
        <w:tc>
          <w:tcPr>
            <w:tcW w:w="1260" w:type="dxa"/>
            <w:tcBorders>
              <w:top w:val="single" w:sz="8" w:space="0" w:color="auto"/>
              <w:left w:val="single" w:sz="8" w:space="0" w:color="auto"/>
              <w:bottom w:val="single" w:sz="8" w:space="0" w:color="auto"/>
              <w:right w:val="single" w:sz="8" w:space="0" w:color="auto"/>
            </w:tcBorders>
            <w:shd w:val="clear" w:color="auto" w:fill="FFCC99"/>
            <w:tcMar>
              <w:top w:w="0" w:type="dxa"/>
              <w:left w:w="99" w:type="dxa"/>
              <w:bottom w:w="0" w:type="dxa"/>
              <w:right w:w="99" w:type="dxa"/>
            </w:tcMar>
            <w:vAlign w:val="center"/>
          </w:tcPr>
          <w:p w:rsidR="00270612" w:rsidRPr="003410C7" w:rsidRDefault="00270612" w:rsidP="00CA4488">
            <w:pPr>
              <w:jc w:val="center"/>
              <w:rPr>
                <w:rFonts w:cs="Tahoma"/>
                <w:b/>
                <w:bCs/>
                <w:color w:val="000000"/>
                <w:sz w:val="20"/>
                <w:szCs w:val="20"/>
                <w:highlight w:val="yellow"/>
              </w:rPr>
            </w:pPr>
            <w:r w:rsidRPr="003410C7">
              <w:rPr>
                <w:rFonts w:cs="Tahoma"/>
                <w:b/>
                <w:bCs/>
                <w:color w:val="000000"/>
                <w:sz w:val="20"/>
                <w:szCs w:val="20"/>
              </w:rPr>
              <w:t>Prodotto</w:t>
            </w:r>
          </w:p>
        </w:tc>
        <w:tc>
          <w:tcPr>
            <w:tcW w:w="1890" w:type="dxa"/>
            <w:tcBorders>
              <w:top w:val="single" w:sz="8" w:space="0" w:color="auto"/>
              <w:left w:val="nil"/>
              <w:bottom w:val="single" w:sz="8" w:space="0" w:color="auto"/>
              <w:right w:val="single" w:sz="8" w:space="0" w:color="auto"/>
            </w:tcBorders>
            <w:shd w:val="clear" w:color="auto" w:fill="FFCC99"/>
            <w:tcMar>
              <w:top w:w="0" w:type="dxa"/>
              <w:left w:w="99" w:type="dxa"/>
              <w:bottom w:w="0" w:type="dxa"/>
              <w:right w:w="99" w:type="dxa"/>
            </w:tcMar>
            <w:vAlign w:val="center"/>
          </w:tcPr>
          <w:p w:rsidR="00270612" w:rsidRPr="003410C7" w:rsidRDefault="00270612" w:rsidP="00CA4488">
            <w:pPr>
              <w:jc w:val="center"/>
              <w:rPr>
                <w:rFonts w:cs="Tahoma"/>
                <w:b/>
                <w:bCs/>
                <w:color w:val="000000"/>
                <w:sz w:val="20"/>
                <w:szCs w:val="20"/>
                <w:highlight w:val="yellow"/>
              </w:rPr>
            </w:pPr>
            <w:r w:rsidRPr="003410C7">
              <w:rPr>
                <w:rFonts w:cs="Tahoma"/>
                <w:b/>
                <w:bCs/>
                <w:color w:val="000000"/>
                <w:sz w:val="20"/>
                <w:szCs w:val="20"/>
              </w:rPr>
              <w:t>Licenza Open</w:t>
            </w:r>
          </w:p>
        </w:tc>
        <w:tc>
          <w:tcPr>
            <w:tcW w:w="2070" w:type="dxa"/>
            <w:tcBorders>
              <w:top w:val="single" w:sz="8" w:space="0" w:color="auto"/>
              <w:left w:val="nil"/>
              <w:bottom w:val="single" w:sz="8" w:space="0" w:color="auto"/>
              <w:right w:val="single" w:sz="8" w:space="0" w:color="auto"/>
            </w:tcBorders>
            <w:shd w:val="clear" w:color="auto" w:fill="FFCC99"/>
            <w:tcMar>
              <w:top w:w="0" w:type="dxa"/>
              <w:left w:w="99" w:type="dxa"/>
              <w:bottom w:w="0" w:type="dxa"/>
              <w:right w:w="99" w:type="dxa"/>
            </w:tcMar>
            <w:vAlign w:val="center"/>
          </w:tcPr>
          <w:p w:rsidR="00270612" w:rsidRPr="003410C7" w:rsidRDefault="00270612" w:rsidP="00CA4488">
            <w:pPr>
              <w:jc w:val="center"/>
              <w:rPr>
                <w:rFonts w:cs="Tahoma"/>
                <w:b/>
                <w:bCs/>
                <w:color w:val="000000"/>
                <w:sz w:val="20"/>
                <w:szCs w:val="20"/>
                <w:highlight w:val="yellow"/>
              </w:rPr>
            </w:pPr>
            <w:r w:rsidRPr="003410C7">
              <w:rPr>
                <w:rFonts w:cs="Tahoma"/>
                <w:b/>
                <w:bCs/>
                <w:color w:val="000000"/>
                <w:sz w:val="20"/>
                <w:szCs w:val="20"/>
              </w:rPr>
              <w:t>Open Value</w:t>
            </w:r>
          </w:p>
        </w:tc>
        <w:tc>
          <w:tcPr>
            <w:tcW w:w="2160" w:type="dxa"/>
            <w:tcBorders>
              <w:top w:val="single" w:sz="8" w:space="0" w:color="auto"/>
              <w:left w:val="nil"/>
              <w:bottom w:val="single" w:sz="8" w:space="0" w:color="auto"/>
              <w:right w:val="single" w:sz="8" w:space="0" w:color="auto"/>
            </w:tcBorders>
            <w:shd w:val="clear" w:color="auto" w:fill="FFCC99"/>
            <w:vAlign w:val="center"/>
          </w:tcPr>
          <w:p w:rsidR="00270612" w:rsidRPr="003410C7" w:rsidRDefault="00270612" w:rsidP="00CA4488">
            <w:pPr>
              <w:jc w:val="center"/>
              <w:rPr>
                <w:rFonts w:cs="Tahoma"/>
                <w:b/>
                <w:bCs/>
                <w:color w:val="000000"/>
                <w:sz w:val="20"/>
                <w:szCs w:val="20"/>
              </w:rPr>
            </w:pPr>
            <w:r w:rsidRPr="003410C7">
              <w:rPr>
                <w:rFonts w:cs="Tahoma"/>
                <w:b/>
                <w:bCs/>
                <w:color w:val="000000"/>
                <w:sz w:val="20"/>
                <w:szCs w:val="20"/>
              </w:rPr>
              <w:t>Academic</w:t>
            </w:r>
          </w:p>
        </w:tc>
        <w:tc>
          <w:tcPr>
            <w:tcW w:w="2079" w:type="dxa"/>
            <w:tcBorders>
              <w:top w:val="single" w:sz="8" w:space="0" w:color="auto"/>
              <w:left w:val="single" w:sz="8" w:space="0" w:color="auto"/>
              <w:bottom w:val="single" w:sz="8" w:space="0" w:color="auto"/>
              <w:right w:val="single" w:sz="8" w:space="0" w:color="auto"/>
            </w:tcBorders>
            <w:shd w:val="clear" w:color="auto" w:fill="FFCC99"/>
            <w:tcMar>
              <w:top w:w="0" w:type="dxa"/>
              <w:left w:w="99" w:type="dxa"/>
              <w:bottom w:w="0" w:type="dxa"/>
              <w:right w:w="99" w:type="dxa"/>
            </w:tcMar>
            <w:vAlign w:val="center"/>
          </w:tcPr>
          <w:p w:rsidR="00270612" w:rsidRPr="00451078" w:rsidRDefault="00270612" w:rsidP="00CA4488">
            <w:pPr>
              <w:jc w:val="center"/>
              <w:rPr>
                <w:rFonts w:cs="Tahoma"/>
                <w:b/>
                <w:bCs/>
                <w:color w:val="000000"/>
                <w:sz w:val="20"/>
                <w:szCs w:val="20"/>
                <w:highlight w:val="yellow"/>
                <w:lang w:val="pt-BR"/>
              </w:rPr>
            </w:pPr>
            <w:r w:rsidRPr="00451078">
              <w:rPr>
                <w:rFonts w:cs="Tahoma"/>
                <w:b/>
                <w:bCs/>
                <w:color w:val="000000"/>
                <w:sz w:val="20"/>
                <w:szCs w:val="20"/>
                <w:lang w:val="pt-BR"/>
              </w:rPr>
              <w:t>Select (diversa da Academic) /Select Plus (diversa da Academic)/EA</w:t>
            </w:r>
          </w:p>
        </w:tc>
      </w:tr>
      <w:tr w:rsidR="00270612" w:rsidRPr="003410C7" w:rsidTr="002A6416">
        <w:trPr>
          <w:trHeight w:val="50"/>
        </w:trPr>
        <w:tc>
          <w:tcPr>
            <w:tcW w:w="1260" w:type="dxa"/>
            <w:tcBorders>
              <w:top w:val="nil"/>
              <w:left w:val="single" w:sz="8" w:space="0" w:color="auto"/>
              <w:bottom w:val="single" w:sz="8" w:space="0" w:color="auto"/>
              <w:right w:val="single" w:sz="8" w:space="0" w:color="auto"/>
            </w:tcBorders>
            <w:tcMar>
              <w:top w:w="0" w:type="dxa"/>
              <w:left w:w="99" w:type="dxa"/>
              <w:bottom w:w="0" w:type="dxa"/>
              <w:right w:w="99" w:type="dxa"/>
            </w:tcMar>
            <w:vAlign w:val="center"/>
          </w:tcPr>
          <w:p w:rsidR="00270612" w:rsidRPr="003410C7" w:rsidRDefault="00270612" w:rsidP="00CA4488">
            <w:pPr>
              <w:rPr>
                <w:rFonts w:cs="Tahoma"/>
                <w:color w:val="000000"/>
                <w:szCs w:val="18"/>
                <w:highlight w:val="yellow"/>
              </w:rPr>
            </w:pPr>
            <w:r w:rsidRPr="003410C7">
              <w:rPr>
                <w:rFonts w:cs="Tahoma"/>
                <w:b/>
                <w:bCs/>
                <w:iCs/>
                <w:color w:val="000000"/>
                <w:szCs w:val="18"/>
              </w:rPr>
              <w:t>Licenze</w:t>
            </w:r>
            <w:r w:rsidRPr="003410C7">
              <w:rPr>
                <w:rFonts w:cs="Tahoma"/>
                <w:b/>
                <w:color w:val="000000"/>
                <w:szCs w:val="18"/>
              </w:rPr>
              <w:t xml:space="preserve"> Server</w:t>
            </w:r>
          </w:p>
        </w:tc>
        <w:tc>
          <w:tcPr>
            <w:tcW w:w="1890" w:type="dxa"/>
            <w:tcBorders>
              <w:top w:val="nil"/>
              <w:left w:val="nil"/>
              <w:bottom w:val="single" w:sz="8" w:space="0" w:color="auto"/>
              <w:right w:val="single" w:sz="8" w:space="0" w:color="auto"/>
            </w:tcBorders>
            <w:tcMar>
              <w:top w:w="0" w:type="dxa"/>
              <w:left w:w="99" w:type="dxa"/>
              <w:bottom w:w="0" w:type="dxa"/>
              <w:right w:w="99" w:type="dxa"/>
            </w:tcMar>
            <w:vAlign w:val="center"/>
          </w:tcPr>
          <w:p w:rsidR="00270612" w:rsidRPr="003410C7" w:rsidRDefault="00270612" w:rsidP="00CA4488">
            <w:pPr>
              <w:jc w:val="center"/>
              <w:rPr>
                <w:rFonts w:cs="Tahoma"/>
                <w:color w:val="000000"/>
                <w:szCs w:val="18"/>
                <w:highlight w:val="yellow"/>
              </w:rPr>
            </w:pPr>
            <w:r w:rsidRPr="003410C7">
              <w:rPr>
                <w:rFonts w:cs="Tahoma"/>
                <w:color w:val="000000"/>
                <w:szCs w:val="18"/>
              </w:rPr>
              <w:t>N/D</w:t>
            </w:r>
          </w:p>
        </w:tc>
        <w:tc>
          <w:tcPr>
            <w:tcW w:w="2070" w:type="dxa"/>
            <w:tcBorders>
              <w:top w:val="nil"/>
              <w:left w:val="nil"/>
              <w:bottom w:val="single" w:sz="8" w:space="0" w:color="auto"/>
              <w:right w:val="single" w:sz="8" w:space="0" w:color="auto"/>
            </w:tcBorders>
            <w:tcMar>
              <w:top w:w="0" w:type="dxa"/>
              <w:left w:w="99" w:type="dxa"/>
              <w:bottom w:w="0" w:type="dxa"/>
              <w:right w:w="99" w:type="dxa"/>
            </w:tcMar>
            <w:vAlign w:val="center"/>
          </w:tcPr>
          <w:p w:rsidR="00270612" w:rsidRPr="003410C7" w:rsidRDefault="00270612" w:rsidP="00CA4488">
            <w:pPr>
              <w:jc w:val="center"/>
              <w:rPr>
                <w:rFonts w:cs="Tahoma"/>
                <w:color w:val="000000"/>
                <w:szCs w:val="18"/>
                <w:highlight w:val="yellow"/>
              </w:rPr>
            </w:pPr>
            <w:r w:rsidRPr="003410C7">
              <w:rPr>
                <w:rFonts w:cs="Tahoma"/>
                <w:color w:val="000000"/>
                <w:szCs w:val="18"/>
              </w:rPr>
              <w:t>1 sottoscrizione per iscrizione</w:t>
            </w:r>
          </w:p>
        </w:tc>
        <w:tc>
          <w:tcPr>
            <w:tcW w:w="2160" w:type="dxa"/>
            <w:tcBorders>
              <w:top w:val="single" w:sz="8" w:space="0" w:color="auto"/>
              <w:left w:val="nil"/>
              <w:bottom w:val="single" w:sz="8" w:space="0" w:color="auto"/>
              <w:right w:val="single" w:sz="8" w:space="0" w:color="auto"/>
            </w:tcBorders>
          </w:tcPr>
          <w:p w:rsidR="00270612" w:rsidRPr="003410C7" w:rsidRDefault="00270612" w:rsidP="00F30075">
            <w:pPr>
              <w:ind w:left="360"/>
              <w:rPr>
                <w:rFonts w:cs="Tahoma"/>
                <w:color w:val="000000"/>
                <w:szCs w:val="18"/>
              </w:rPr>
            </w:pPr>
            <w:r w:rsidRPr="003410C7">
              <w:rPr>
                <w:rFonts w:cs="Tahoma"/>
                <w:color w:val="000000"/>
                <w:szCs w:val="18"/>
              </w:rPr>
              <w:t>1 sottoscrizione per iscrizione</w:t>
            </w:r>
          </w:p>
        </w:tc>
        <w:tc>
          <w:tcPr>
            <w:tcW w:w="2079" w:type="dxa"/>
            <w:tcBorders>
              <w:top w:val="nil"/>
              <w:left w:val="single" w:sz="8" w:space="0" w:color="auto"/>
              <w:bottom w:val="single" w:sz="8" w:space="0" w:color="auto"/>
              <w:right w:val="single" w:sz="8" w:space="0" w:color="auto"/>
            </w:tcBorders>
            <w:tcMar>
              <w:top w:w="0" w:type="dxa"/>
              <w:left w:w="99" w:type="dxa"/>
              <w:bottom w:w="0" w:type="dxa"/>
              <w:right w:w="99" w:type="dxa"/>
            </w:tcMar>
            <w:vAlign w:val="center"/>
          </w:tcPr>
          <w:p w:rsidR="00270612" w:rsidRPr="003410C7" w:rsidRDefault="00270612" w:rsidP="00CA4488">
            <w:pPr>
              <w:rPr>
                <w:rFonts w:cs="Tahoma"/>
                <w:color w:val="000000"/>
                <w:szCs w:val="18"/>
              </w:rPr>
            </w:pPr>
            <w:r w:rsidRPr="003410C7">
              <w:rPr>
                <w:rFonts w:cs="Tahoma"/>
                <w:color w:val="000000"/>
                <w:szCs w:val="18"/>
              </w:rPr>
              <w:t>1 sottoscrizione per iscrizione</w:t>
            </w:r>
          </w:p>
        </w:tc>
      </w:tr>
    </w:tbl>
    <w:p w:rsidR="00F30075" w:rsidRPr="00451078" w:rsidRDefault="00F30075" w:rsidP="00F30075">
      <w:pPr>
        <w:tabs>
          <w:tab w:val="num" w:pos="0"/>
        </w:tabs>
        <w:rPr>
          <w:lang w:val="it-IT"/>
        </w:rPr>
      </w:pPr>
      <w:r w:rsidRPr="00451078">
        <w:rPr>
          <w:rFonts w:cs="Tahoma"/>
          <w:i/>
          <w:color w:val="000000"/>
          <w:sz w:val="16"/>
          <w:szCs w:val="16"/>
          <w:lang w:val="it-IT"/>
        </w:rPr>
        <w:t>* Se la società dispone della copertura SA attiva su cinque licenze software</w:t>
      </w:r>
    </w:p>
    <w:p w:rsidR="00270612" w:rsidRPr="00451078" w:rsidRDefault="00270612" w:rsidP="00270612">
      <w:pPr>
        <w:pStyle w:val="AppendixFlushBulletedList"/>
        <w:tabs>
          <w:tab w:val="clear" w:pos="360"/>
          <w:tab w:val="num" w:pos="0"/>
        </w:tabs>
        <w:ind w:left="0" w:firstLine="0"/>
        <w:rPr>
          <w:lang w:val="it-IT"/>
        </w:rPr>
      </w:pPr>
    </w:p>
    <w:p w:rsidR="00270612" w:rsidRPr="002E3D67" w:rsidRDefault="00270612" w:rsidP="00270612">
      <w:pPr>
        <w:pStyle w:val="AppendixFlushBulletedList"/>
        <w:tabs>
          <w:tab w:val="clear" w:pos="360"/>
          <w:tab w:val="num" w:pos="0"/>
        </w:tabs>
        <w:ind w:left="0" w:firstLine="0"/>
        <w:rPr>
          <w:rFonts w:ascii="Tahoma" w:hAnsi="Tahoma" w:cs="Tahoma"/>
          <w:sz w:val="18"/>
          <w:szCs w:val="18"/>
          <w:lang w:val="it-IT"/>
        </w:rPr>
      </w:pPr>
      <w:r w:rsidRPr="002E3D67">
        <w:rPr>
          <w:rFonts w:ascii="Tahoma" w:hAnsi="Tahoma" w:cs="Tahoma"/>
          <w:color w:val="000000"/>
          <w:sz w:val="18"/>
          <w:szCs w:val="18"/>
          <w:lang w:val="it-IT"/>
        </w:rPr>
        <w:t>L</w:t>
      </w:r>
      <w:r w:rsidR="004525CA">
        <w:rPr>
          <w:rFonts w:ascii="Tahoma" w:hAnsi="Tahoma" w:cs="Tahoma"/>
          <w:color w:val="000000"/>
          <w:sz w:val="18"/>
          <w:szCs w:val="18"/>
          <w:lang w:val="it-IT"/>
        </w:rPr>
        <w:t>’</w:t>
      </w:r>
      <w:r w:rsidRPr="002E3D67">
        <w:rPr>
          <w:rFonts w:ascii="Tahoma" w:hAnsi="Tahoma" w:cs="Tahoma"/>
          <w:color w:val="000000"/>
          <w:sz w:val="18"/>
          <w:szCs w:val="18"/>
          <w:lang w:val="it-IT"/>
        </w:rPr>
        <w:t>utilizzo del software TechNet Plus Direct, in versione prototipo e di valutazione, da parte delle società è soggetto alle condizioni del relativo contratto di licenza.</w:t>
      </w:r>
      <w:r w:rsidR="00082E1C" w:rsidRPr="002E3D67">
        <w:rPr>
          <w:rFonts w:ascii="Tahoma" w:hAnsi="Tahoma" w:cs="Tahoma"/>
          <w:color w:val="000000"/>
          <w:sz w:val="18"/>
          <w:szCs w:val="18"/>
          <w:lang w:val="it-IT"/>
        </w:rPr>
        <w:t xml:space="preserve"> </w:t>
      </w:r>
    </w:p>
    <w:p w:rsidR="00270612" w:rsidRPr="002E3D67" w:rsidRDefault="00270612" w:rsidP="00270612">
      <w:pPr>
        <w:pStyle w:val="AppendixFlushBulletedList"/>
        <w:tabs>
          <w:tab w:val="clear" w:pos="360"/>
          <w:tab w:val="num" w:pos="0"/>
        </w:tabs>
        <w:ind w:left="0" w:firstLine="0"/>
        <w:rPr>
          <w:rFonts w:ascii="Tahoma" w:hAnsi="Tahoma" w:cs="Tahoma"/>
          <w:sz w:val="18"/>
          <w:szCs w:val="18"/>
          <w:lang w:val="it-IT"/>
        </w:rPr>
      </w:pPr>
      <w:r w:rsidRPr="002E3D67">
        <w:rPr>
          <w:rFonts w:ascii="Tahoma" w:hAnsi="Tahoma" w:cs="Tahoma"/>
          <w:color w:val="000000"/>
          <w:sz w:val="18"/>
          <w:szCs w:val="18"/>
          <w:lang w:val="it-IT"/>
        </w:rPr>
        <w:t xml:space="preserve">Il software in versione completa concesso in licenza non contiene </w:t>
      </w:r>
      <w:r w:rsidR="001A3EC5" w:rsidRPr="002E3D67">
        <w:rPr>
          <w:rFonts w:ascii="Tahoma" w:hAnsi="Tahoma" w:cs="Tahoma"/>
          <w:color w:val="000000"/>
          <w:sz w:val="18"/>
          <w:szCs w:val="18"/>
          <w:lang w:val="it-IT"/>
        </w:rPr>
        <w:t>“</w:t>
      </w:r>
      <w:r w:rsidRPr="002E3D67">
        <w:rPr>
          <w:rFonts w:ascii="Tahoma" w:hAnsi="Tahoma" w:cs="Tahoma"/>
          <w:color w:val="000000"/>
          <w:sz w:val="18"/>
          <w:szCs w:val="18"/>
          <w:lang w:val="it-IT"/>
        </w:rPr>
        <w:t>time bomb</w:t>
      </w:r>
      <w:r w:rsidR="001A3EC5" w:rsidRPr="002E3D67">
        <w:rPr>
          <w:rFonts w:ascii="Tahoma" w:hAnsi="Tahoma" w:cs="Tahoma"/>
          <w:color w:val="000000"/>
          <w:sz w:val="18"/>
          <w:szCs w:val="18"/>
          <w:lang w:val="it-IT"/>
        </w:rPr>
        <w:t>”</w:t>
      </w:r>
      <w:r w:rsidRPr="002E3D67">
        <w:rPr>
          <w:rFonts w:ascii="Tahoma" w:hAnsi="Tahoma" w:cs="Tahoma"/>
          <w:color w:val="000000"/>
          <w:sz w:val="18"/>
          <w:szCs w:val="18"/>
          <w:lang w:val="it-IT"/>
        </w:rPr>
        <w:t xml:space="preserve"> ed è fornito esclusivamente a scopi di valutazione, non per un utilizzo in ambienti di produzione. </w:t>
      </w:r>
    </w:p>
    <w:p w:rsidR="004D4D43" w:rsidRPr="002E3D67" w:rsidRDefault="004D4D43" w:rsidP="00270612">
      <w:pPr>
        <w:pStyle w:val="AppendixFlushBulletedList"/>
        <w:tabs>
          <w:tab w:val="clear" w:pos="360"/>
          <w:tab w:val="num" w:pos="0"/>
        </w:tabs>
        <w:ind w:left="0" w:firstLine="0"/>
        <w:rPr>
          <w:rFonts w:ascii="Tahoma" w:hAnsi="Tahoma" w:cs="Tahoma"/>
          <w:sz w:val="18"/>
          <w:szCs w:val="18"/>
          <w:lang w:val="it-IT"/>
        </w:rPr>
      </w:pPr>
    </w:p>
    <w:p w:rsidR="00270612" w:rsidRPr="002E3D67" w:rsidRDefault="00270612" w:rsidP="00270612">
      <w:pPr>
        <w:pStyle w:val="AppendixFlushBulletedList"/>
        <w:tabs>
          <w:tab w:val="clear" w:pos="360"/>
          <w:tab w:val="num" w:pos="0"/>
        </w:tabs>
        <w:ind w:left="0" w:firstLine="0"/>
        <w:rPr>
          <w:rFonts w:ascii="Tahoma" w:hAnsi="Tahoma" w:cs="Tahoma"/>
          <w:sz w:val="18"/>
          <w:szCs w:val="18"/>
          <w:lang w:val="it-IT"/>
        </w:rPr>
      </w:pPr>
      <w:r w:rsidRPr="002E3D67">
        <w:rPr>
          <w:rFonts w:ascii="Tahoma" w:hAnsi="Tahoma" w:cs="Tahoma"/>
          <w:color w:val="000000"/>
          <w:sz w:val="18"/>
          <w:szCs w:val="18"/>
          <w:lang w:val="it-IT"/>
        </w:rPr>
        <w:t>Le società con copertura SA hanno il diritto di condividere il contenuto tecnico all</w:t>
      </w:r>
      <w:r w:rsidR="004525CA">
        <w:rPr>
          <w:rFonts w:ascii="Tahoma" w:hAnsi="Tahoma" w:cs="Tahoma"/>
          <w:color w:val="000000"/>
          <w:sz w:val="18"/>
          <w:szCs w:val="18"/>
          <w:lang w:val="it-IT"/>
        </w:rPr>
        <w:t>’</w:t>
      </w:r>
      <w:r w:rsidRPr="002E3D67">
        <w:rPr>
          <w:rFonts w:ascii="Tahoma" w:hAnsi="Tahoma" w:cs="Tahoma"/>
          <w:color w:val="000000"/>
          <w:sz w:val="18"/>
          <w:szCs w:val="18"/>
          <w:lang w:val="it-IT"/>
        </w:rPr>
        <w:t>interno dell</w:t>
      </w:r>
      <w:r w:rsidR="004525CA">
        <w:rPr>
          <w:rFonts w:ascii="Tahoma" w:hAnsi="Tahoma" w:cs="Tahoma"/>
          <w:color w:val="000000"/>
          <w:sz w:val="18"/>
          <w:szCs w:val="18"/>
          <w:lang w:val="it-IT"/>
        </w:rPr>
        <w:t>’</w:t>
      </w:r>
      <w:r w:rsidRPr="002E3D67">
        <w:rPr>
          <w:rFonts w:ascii="Tahoma" w:hAnsi="Tahoma" w:cs="Tahoma"/>
          <w:color w:val="000000"/>
          <w:sz w:val="18"/>
          <w:szCs w:val="18"/>
          <w:lang w:val="it-IT"/>
        </w:rPr>
        <w:t>organizzazione, tra cui la</w:t>
      </w:r>
      <w:r w:rsidR="00BC32EE" w:rsidRPr="002E3D67">
        <w:rPr>
          <w:rFonts w:ascii="Tahoma" w:hAnsi="Tahoma" w:cs="Tahoma"/>
          <w:color w:val="000000"/>
          <w:sz w:val="18"/>
          <w:szCs w:val="18"/>
          <w:lang w:val="it-IT"/>
        </w:rPr>
        <w:t> </w:t>
      </w:r>
      <w:r w:rsidRPr="002E3D67">
        <w:rPr>
          <w:rFonts w:ascii="Tahoma" w:hAnsi="Tahoma" w:cs="Tahoma"/>
          <w:color w:val="000000"/>
          <w:sz w:val="18"/>
          <w:szCs w:val="18"/>
          <w:lang w:val="it-IT"/>
        </w:rPr>
        <w:t xml:space="preserve">Knowledge Base, la formazione tecnica, i download, i service pack e le patch di protezione. Tuttavia, i seguenti vantaggi sono riservati unicamente al sottoscrittore principale e non si possono condividere: software in versione completa fornito per scopi di valutazione, software in versione beta, interventi di supporto tecnico e sconto, managed newsgroup e online concierge e altri servizi premium disponibili solo sul sito Web dei Servizi TechNet Plus Direct. </w:t>
      </w:r>
    </w:p>
    <w:p w:rsidR="00792D1E" w:rsidRPr="002E3D67" w:rsidRDefault="00792D1E" w:rsidP="00270612">
      <w:pPr>
        <w:pStyle w:val="AppendixFlushBulletedList"/>
        <w:tabs>
          <w:tab w:val="clear" w:pos="360"/>
          <w:tab w:val="num" w:pos="0"/>
        </w:tabs>
        <w:ind w:left="0" w:firstLine="0"/>
        <w:rPr>
          <w:rFonts w:ascii="Tahoma" w:hAnsi="Tahoma" w:cs="Tahoma"/>
          <w:sz w:val="18"/>
          <w:szCs w:val="18"/>
          <w:lang w:val="it-IT"/>
        </w:rPr>
      </w:pPr>
    </w:p>
    <w:p w:rsidR="00270612" w:rsidRPr="002E3D67" w:rsidRDefault="00270612" w:rsidP="00270612">
      <w:pPr>
        <w:pStyle w:val="AppendixFlushBulletedList"/>
        <w:tabs>
          <w:tab w:val="clear" w:pos="360"/>
          <w:tab w:val="num" w:pos="0"/>
        </w:tabs>
        <w:ind w:left="0" w:firstLine="0"/>
        <w:rPr>
          <w:rFonts w:ascii="Tahoma" w:hAnsi="Tahoma" w:cs="Tahoma"/>
          <w:sz w:val="18"/>
          <w:szCs w:val="18"/>
          <w:lang w:val="it-IT"/>
        </w:rPr>
      </w:pPr>
      <w:r w:rsidRPr="002E3D67">
        <w:rPr>
          <w:rFonts w:ascii="Tahoma" w:hAnsi="Tahoma" w:cs="Tahoma"/>
          <w:color w:val="000000"/>
          <w:sz w:val="18"/>
          <w:szCs w:val="18"/>
          <w:lang w:val="it-IT"/>
        </w:rPr>
        <w:t>Non tutti i servizi e i vantaggi TechNet Plus Direct sono disponibili in ogni paese.</w:t>
      </w:r>
      <w:r w:rsidR="00082E1C" w:rsidRPr="002E3D67">
        <w:rPr>
          <w:rFonts w:ascii="Tahoma" w:hAnsi="Tahoma" w:cs="Tahoma"/>
          <w:color w:val="000000"/>
          <w:sz w:val="18"/>
          <w:szCs w:val="18"/>
          <w:lang w:val="it-IT"/>
        </w:rPr>
        <w:t xml:space="preserve"> </w:t>
      </w:r>
    </w:p>
    <w:p w:rsidR="00792D1E" w:rsidRPr="002E3D67" w:rsidRDefault="00792D1E" w:rsidP="00270612">
      <w:pPr>
        <w:pStyle w:val="AppendixFlushBulletedList"/>
        <w:tabs>
          <w:tab w:val="clear" w:pos="360"/>
          <w:tab w:val="num" w:pos="0"/>
        </w:tabs>
        <w:ind w:left="0" w:firstLine="0"/>
        <w:rPr>
          <w:rFonts w:ascii="Tahoma" w:hAnsi="Tahoma" w:cs="Tahoma"/>
          <w:sz w:val="18"/>
          <w:szCs w:val="18"/>
          <w:lang w:val="it-IT"/>
        </w:rPr>
      </w:pPr>
    </w:p>
    <w:p w:rsidR="00270612" w:rsidRPr="002E3D67" w:rsidRDefault="00270612" w:rsidP="00270612">
      <w:pPr>
        <w:pStyle w:val="AppendixFlushBulletedList"/>
        <w:tabs>
          <w:tab w:val="clear" w:pos="360"/>
          <w:tab w:val="num" w:pos="0"/>
        </w:tabs>
        <w:ind w:left="0" w:firstLine="0"/>
        <w:rPr>
          <w:rFonts w:ascii="Tahoma" w:hAnsi="Tahoma" w:cs="Tahoma"/>
          <w:sz w:val="18"/>
          <w:szCs w:val="18"/>
          <w:lang w:val="it-IT"/>
        </w:rPr>
      </w:pPr>
      <w:r w:rsidRPr="002E3D67">
        <w:rPr>
          <w:rFonts w:ascii="Tahoma" w:hAnsi="Tahoma" w:cs="Tahoma"/>
          <w:color w:val="000000"/>
          <w:sz w:val="18"/>
          <w:szCs w:val="18"/>
          <w:lang w:val="it-IT"/>
        </w:rPr>
        <w:t xml:space="preserve">Per ulteriori informazioni sulla disponibilità in base al Paese, visitare la pagina </w:t>
      </w:r>
      <w:hyperlink r:id="rId31" w:history="1">
        <w:r w:rsidRPr="002E3D67">
          <w:rPr>
            <w:rStyle w:val="Hyperlink"/>
            <w:rFonts w:ascii="Tahoma" w:hAnsi="Tahoma" w:cs="Tahoma"/>
            <w:color w:val="000000"/>
            <w:sz w:val="18"/>
            <w:szCs w:val="18"/>
            <w:lang w:val="it-IT"/>
          </w:rPr>
          <w:t>www.microsoft.com/technet/subscription</w:t>
        </w:r>
      </w:hyperlink>
      <w:r w:rsidRPr="002E3D67">
        <w:rPr>
          <w:rFonts w:ascii="Tahoma" w:hAnsi="Tahoma" w:cs="Tahoma"/>
          <w:color w:val="000000"/>
          <w:sz w:val="18"/>
          <w:szCs w:val="18"/>
          <w:lang w:val="it-IT"/>
        </w:rPr>
        <w:t xml:space="preserve">. </w:t>
      </w:r>
    </w:p>
    <w:p w:rsidR="00270612" w:rsidRPr="002E3D67" w:rsidRDefault="00270612" w:rsidP="00270612">
      <w:pPr>
        <w:pStyle w:val="AppendixFlushBulletedList"/>
        <w:tabs>
          <w:tab w:val="clear" w:pos="360"/>
          <w:tab w:val="num" w:pos="0"/>
        </w:tabs>
        <w:ind w:left="0" w:firstLine="0"/>
        <w:rPr>
          <w:rFonts w:ascii="Tahoma" w:hAnsi="Tahoma" w:cs="Tahoma"/>
          <w:sz w:val="18"/>
          <w:szCs w:val="18"/>
          <w:lang w:val="it-IT"/>
        </w:rPr>
      </w:pPr>
      <w:r w:rsidRPr="002E3D67">
        <w:rPr>
          <w:rFonts w:ascii="Tahoma" w:hAnsi="Tahoma" w:cs="Tahoma"/>
          <w:color w:val="000000"/>
          <w:sz w:val="18"/>
          <w:szCs w:val="18"/>
          <w:lang w:val="it-IT"/>
        </w:rPr>
        <w:t>Il diritto delle società di utilizzare software TechNet Plus Direct e software in versione prototipo e di valutazione cessa</w:t>
      </w:r>
      <w:r w:rsidR="00BC32EE" w:rsidRPr="002E3D67">
        <w:rPr>
          <w:rFonts w:ascii="Tahoma" w:hAnsi="Tahoma" w:cs="Tahoma"/>
          <w:color w:val="000000"/>
          <w:sz w:val="18"/>
          <w:szCs w:val="18"/>
          <w:lang w:val="it-IT"/>
        </w:rPr>
        <w:t> </w:t>
      </w:r>
      <w:r w:rsidRPr="002E3D67">
        <w:rPr>
          <w:rFonts w:ascii="Tahoma" w:hAnsi="Tahoma" w:cs="Tahoma"/>
          <w:color w:val="000000"/>
          <w:sz w:val="18"/>
          <w:szCs w:val="18"/>
          <w:lang w:val="it-IT"/>
        </w:rPr>
        <w:t>alla scadenza della copertura Software Assurance.</w:t>
      </w:r>
    </w:p>
    <w:p w:rsidR="00023FE7" w:rsidRPr="00451078" w:rsidRDefault="00023FE7">
      <w:pPr>
        <w:pStyle w:val="Heading3"/>
        <w:tabs>
          <w:tab w:val="num" w:pos="0"/>
        </w:tabs>
        <w:rPr>
          <w:lang w:val="it-IT"/>
        </w:rPr>
      </w:pPr>
    </w:p>
    <w:p w:rsidR="004D4D43" w:rsidRPr="00451078" w:rsidRDefault="004D4D43" w:rsidP="004D4D43">
      <w:pPr>
        <w:pStyle w:val="Heading3"/>
        <w:tabs>
          <w:tab w:val="num" w:pos="0"/>
        </w:tabs>
        <w:rPr>
          <w:lang w:val="it-IT"/>
        </w:rPr>
      </w:pPr>
      <w:bookmarkStart w:id="807" w:name="_Toc336338242"/>
      <w:bookmarkStart w:id="808" w:name="_Toc352234837"/>
      <w:r w:rsidRPr="00451078">
        <w:rPr>
          <w:rFonts w:ascii="Tahoma" w:hAnsi="Tahoma" w:cs="Tahoma"/>
          <w:sz w:val="24"/>
          <w:lang w:val="it-IT"/>
        </w:rPr>
        <w:t>Mobilità delle Licenze tramite Software Assurance</w:t>
      </w:r>
      <w:bookmarkEnd w:id="807"/>
      <w:bookmarkEnd w:id="808"/>
    </w:p>
    <w:p w:rsidR="004D4D43" w:rsidRPr="00451078" w:rsidRDefault="004D4D43" w:rsidP="0007218F">
      <w:pPr>
        <w:pStyle w:val="Heading3"/>
        <w:tabs>
          <w:tab w:val="num" w:pos="0"/>
        </w:tabs>
        <w:rPr>
          <w:lang w:val="it-IT"/>
        </w:rPr>
      </w:pPr>
    </w:p>
    <w:p w:rsidR="004D4D43" w:rsidRPr="00451078" w:rsidRDefault="004D4D43" w:rsidP="002171C3">
      <w:pPr>
        <w:rPr>
          <w:lang w:val="it-IT"/>
        </w:rPr>
      </w:pPr>
      <w:bookmarkStart w:id="809" w:name="_Toc294048012"/>
      <w:bookmarkStart w:id="810" w:name="_Toc294048569"/>
      <w:bookmarkStart w:id="811" w:name="_Toc294092640"/>
      <w:bookmarkStart w:id="812" w:name="_Toc295819320"/>
      <w:bookmarkStart w:id="813" w:name="_Toc298795971"/>
      <w:bookmarkStart w:id="814" w:name="_Toc299369847"/>
      <w:bookmarkStart w:id="815" w:name="_Toc300391558"/>
      <w:bookmarkStart w:id="816" w:name="_Toc301939835"/>
      <w:bookmarkStart w:id="817" w:name="_Toc304801232"/>
      <w:bookmarkStart w:id="818" w:name="_Toc312399280"/>
      <w:bookmarkStart w:id="819" w:name="_Toc315289087"/>
      <w:bookmarkStart w:id="820" w:name="_Toc317591243"/>
      <w:bookmarkStart w:id="821" w:name="_Toc325313196"/>
      <w:bookmarkStart w:id="822" w:name="_Toc325609219"/>
      <w:r w:rsidRPr="00451078">
        <w:rPr>
          <w:lang w:val="it-IT"/>
        </w:rPr>
        <w:t>Mobilità delle Licenze tramite Software Assurance consente di spostare determinate licenze on-premise con copertura Software Assurance su server condivisi di terzi.</w:t>
      </w:r>
      <w:bookmarkEnd w:id="809"/>
      <w:bookmarkEnd w:id="810"/>
      <w:bookmarkEnd w:id="811"/>
      <w:bookmarkEnd w:id="812"/>
      <w:bookmarkEnd w:id="813"/>
      <w:bookmarkEnd w:id="814"/>
      <w:bookmarkEnd w:id="815"/>
      <w:bookmarkEnd w:id="816"/>
      <w:bookmarkEnd w:id="817"/>
      <w:bookmarkEnd w:id="818"/>
      <w:bookmarkEnd w:id="819"/>
      <w:bookmarkEnd w:id="820"/>
      <w:bookmarkEnd w:id="821"/>
      <w:bookmarkEnd w:id="822"/>
    </w:p>
    <w:p w:rsidR="004D4D43" w:rsidRPr="00451078" w:rsidRDefault="004D4D43" w:rsidP="002171C3">
      <w:pPr>
        <w:rPr>
          <w:lang w:val="it-IT"/>
        </w:rPr>
      </w:pPr>
    </w:p>
    <w:p w:rsidR="004D4D43" w:rsidRPr="00451078" w:rsidRDefault="004D4D43" w:rsidP="002171C3">
      <w:pPr>
        <w:rPr>
          <w:lang w:val="it-IT"/>
        </w:rPr>
      </w:pPr>
      <w:bookmarkStart w:id="823" w:name="_Toc294048013"/>
      <w:bookmarkStart w:id="824" w:name="_Toc294048570"/>
      <w:bookmarkStart w:id="825" w:name="_Toc294092641"/>
      <w:bookmarkStart w:id="826" w:name="_Toc295819321"/>
      <w:bookmarkStart w:id="827" w:name="_Toc298795972"/>
      <w:bookmarkStart w:id="828" w:name="_Toc299369848"/>
      <w:bookmarkStart w:id="829" w:name="_Toc300391559"/>
      <w:bookmarkStart w:id="830" w:name="_Toc301939836"/>
      <w:bookmarkStart w:id="831" w:name="_Toc304801233"/>
      <w:bookmarkStart w:id="832" w:name="_Toc307350402"/>
      <w:bookmarkStart w:id="833" w:name="_Toc308429813"/>
      <w:bookmarkStart w:id="834" w:name="_Toc312399281"/>
      <w:bookmarkStart w:id="835" w:name="_Toc315289088"/>
      <w:bookmarkStart w:id="836" w:name="_Toc317591244"/>
      <w:bookmarkStart w:id="837" w:name="_Toc323034197"/>
      <w:bookmarkStart w:id="838" w:name="_Toc325313197"/>
      <w:bookmarkStart w:id="839" w:name="_Toc325609220"/>
      <w:r w:rsidRPr="00451078">
        <w:rPr>
          <w:lang w:val="it-IT"/>
        </w:rPr>
        <w:t xml:space="preserve">Tutti i Prodotti attualmente idonei per </w:t>
      </w:r>
      <w:r w:rsidR="001A3EC5" w:rsidRPr="00451078">
        <w:rPr>
          <w:lang w:val="it-IT"/>
        </w:rPr>
        <w:t>“</w:t>
      </w:r>
      <w:r w:rsidRPr="00451078">
        <w:rPr>
          <w:lang w:val="it-IT"/>
        </w:rPr>
        <w:t>Mobilità delle Licenze all</w:t>
      </w:r>
      <w:r w:rsidR="004525CA">
        <w:rPr>
          <w:lang w:val="it-IT"/>
        </w:rPr>
        <w:t>’</w:t>
      </w:r>
      <w:r w:rsidRPr="00451078">
        <w:rPr>
          <w:lang w:val="it-IT"/>
        </w:rPr>
        <w:t>interno di Server Farm</w:t>
      </w:r>
      <w:r w:rsidR="001A3EC5" w:rsidRPr="00451078">
        <w:rPr>
          <w:lang w:val="it-IT"/>
        </w:rPr>
        <w:t>”</w:t>
      </w:r>
      <w:r w:rsidRPr="00451078">
        <w:rPr>
          <w:lang w:val="it-IT"/>
        </w:rPr>
        <w:t xml:space="preserve"> in base a quanto definito nei</w:t>
      </w:r>
      <w:r w:rsidR="00BC32EE" w:rsidRPr="00451078">
        <w:rPr>
          <w:lang w:val="it-IT"/>
        </w:rPr>
        <w:t> </w:t>
      </w:r>
      <w:r w:rsidRPr="00451078">
        <w:rPr>
          <w:lang w:val="it-IT"/>
        </w:rPr>
        <w:t xml:space="preserve">Diritti di Utilizzo del Prodotto (PUR) e con copertura Software Assurance sono idonei per Mobilità delle Licenze tramite Software Assurance. Inoltre, sono idonei per Mobilità delle Licenze tramite Software Assurance anche </w:t>
      </w:r>
      <w:r w:rsidR="00BC32EE" w:rsidRPr="00451078">
        <w:rPr>
          <w:lang w:val="it-IT"/>
        </w:rPr>
        <w:t>I </w:t>
      </w:r>
      <w:r w:rsidRPr="00451078">
        <w:rPr>
          <w:lang w:val="it-IT"/>
        </w:rPr>
        <w:t>Prodotti seguenti:</w:t>
      </w:r>
      <w:bookmarkEnd w:id="823"/>
      <w:bookmarkEnd w:id="824"/>
      <w:bookmarkEnd w:id="825"/>
      <w:bookmarkEnd w:id="826"/>
      <w:bookmarkEnd w:id="827"/>
      <w:bookmarkEnd w:id="828"/>
      <w:bookmarkEnd w:id="829"/>
      <w:bookmarkEnd w:id="830"/>
      <w:bookmarkEnd w:id="831"/>
      <w:bookmarkEnd w:id="832"/>
      <w:bookmarkEnd w:id="833"/>
      <w:bookmarkEnd w:id="834"/>
      <w:bookmarkEnd w:id="835"/>
      <w:bookmarkEnd w:id="836"/>
      <w:bookmarkEnd w:id="837"/>
      <w:bookmarkEnd w:id="838"/>
      <w:bookmarkEnd w:id="839"/>
    </w:p>
    <w:p w:rsidR="004D4D43" w:rsidRPr="00451078" w:rsidRDefault="004D4D43" w:rsidP="00F86E06">
      <w:pPr>
        <w:rPr>
          <w:lang w:val="it-IT"/>
        </w:rPr>
      </w:pPr>
    </w:p>
    <w:p w:rsidR="004D4D43" w:rsidRPr="00451078" w:rsidRDefault="004D4D43" w:rsidP="00745AB3">
      <w:pPr>
        <w:numPr>
          <w:ilvl w:val="0"/>
          <w:numId w:val="73"/>
        </w:numPr>
        <w:spacing w:after="60"/>
        <w:ind w:left="1440"/>
        <w:rPr>
          <w:lang w:val="it-IT"/>
        </w:rPr>
      </w:pPr>
      <w:bookmarkStart w:id="840" w:name="_Toc294048014"/>
      <w:bookmarkStart w:id="841" w:name="_Toc294048571"/>
      <w:bookmarkStart w:id="842" w:name="_Toc294092642"/>
      <w:bookmarkStart w:id="843" w:name="_Toc295819322"/>
      <w:bookmarkStart w:id="844" w:name="_Toc298795973"/>
      <w:bookmarkStart w:id="845" w:name="_Toc299369849"/>
      <w:bookmarkStart w:id="846" w:name="_Toc300391560"/>
      <w:bookmarkStart w:id="847" w:name="_Toc301939837"/>
      <w:bookmarkStart w:id="848" w:name="_Toc304801234"/>
      <w:bookmarkStart w:id="849" w:name="_Toc307350403"/>
      <w:bookmarkStart w:id="850" w:name="_Toc308429814"/>
      <w:bookmarkStart w:id="851" w:name="_Toc312399282"/>
      <w:bookmarkStart w:id="852" w:name="_Toc315289089"/>
      <w:bookmarkStart w:id="853" w:name="_Toc317591245"/>
      <w:bookmarkStart w:id="854" w:name="_Toc323034198"/>
      <w:bookmarkStart w:id="855" w:name="_Toc325313198"/>
      <w:bookmarkStart w:id="856" w:name="_Toc325609221"/>
      <w:r w:rsidRPr="00451078">
        <w:rPr>
          <w:lang w:val="it-IT"/>
        </w:rPr>
        <w:t>SQL Server Standard -- Per Processore e Server/CAL (solo licenze per processore e server) con</w:t>
      </w:r>
      <w:r w:rsidR="00BC32EE" w:rsidRPr="00451078">
        <w:rPr>
          <w:lang w:val="it-IT"/>
        </w:rPr>
        <w:t> </w:t>
      </w:r>
      <w:r w:rsidRPr="00451078">
        <w:rPr>
          <w:lang w:val="it-IT"/>
        </w:rPr>
        <w:t>Software Assurance</w:t>
      </w:r>
      <w:bookmarkEnd w:id="840"/>
      <w:bookmarkEnd w:id="841"/>
      <w:bookmarkEnd w:id="842"/>
      <w:bookmarkEnd w:id="843"/>
      <w:bookmarkEnd w:id="844"/>
      <w:bookmarkEnd w:id="845"/>
      <w:bookmarkEnd w:id="846"/>
      <w:bookmarkEnd w:id="847"/>
      <w:bookmarkEnd w:id="848"/>
      <w:bookmarkEnd w:id="849"/>
      <w:bookmarkEnd w:id="850"/>
      <w:bookmarkEnd w:id="851"/>
      <w:bookmarkEnd w:id="852"/>
      <w:bookmarkEnd w:id="853"/>
      <w:bookmarkEnd w:id="854"/>
      <w:bookmarkEnd w:id="855"/>
      <w:bookmarkEnd w:id="856"/>
    </w:p>
    <w:p w:rsidR="004D4D43" w:rsidRPr="00451078" w:rsidRDefault="004D4D43" w:rsidP="00745AB3">
      <w:pPr>
        <w:numPr>
          <w:ilvl w:val="0"/>
          <w:numId w:val="73"/>
        </w:numPr>
        <w:spacing w:after="60"/>
        <w:ind w:left="1440"/>
        <w:rPr>
          <w:lang w:val="it-IT"/>
        </w:rPr>
      </w:pPr>
      <w:bookmarkStart w:id="857" w:name="_Toc294048015"/>
      <w:bookmarkStart w:id="858" w:name="_Toc294048572"/>
      <w:bookmarkStart w:id="859" w:name="_Toc294092643"/>
      <w:bookmarkStart w:id="860" w:name="_Toc295819323"/>
      <w:bookmarkStart w:id="861" w:name="_Toc298795974"/>
      <w:bookmarkStart w:id="862" w:name="_Toc299369850"/>
      <w:bookmarkStart w:id="863" w:name="_Toc300391561"/>
      <w:bookmarkStart w:id="864" w:name="_Toc301939838"/>
      <w:bookmarkStart w:id="865" w:name="_Toc304801235"/>
      <w:bookmarkStart w:id="866" w:name="_Toc307350404"/>
      <w:bookmarkStart w:id="867" w:name="_Toc308429815"/>
      <w:bookmarkStart w:id="868" w:name="_Toc312399283"/>
      <w:bookmarkStart w:id="869" w:name="_Toc315289090"/>
      <w:bookmarkStart w:id="870" w:name="_Toc317591246"/>
      <w:bookmarkStart w:id="871" w:name="_Toc323034199"/>
      <w:bookmarkStart w:id="872" w:name="_Toc325313199"/>
      <w:bookmarkStart w:id="873" w:name="_Toc325609222"/>
      <w:r w:rsidRPr="00451078">
        <w:rPr>
          <w:lang w:val="it-IT"/>
        </w:rPr>
        <w:t>System Center - tutte le Licenze di Gestione Server (ML), incluse SMSE e SMSD con Software</w:t>
      </w:r>
      <w:r w:rsidR="00BC32EE" w:rsidRPr="00451078">
        <w:rPr>
          <w:lang w:val="it-IT"/>
        </w:rPr>
        <w:t> </w:t>
      </w:r>
      <w:r w:rsidRPr="00451078">
        <w:rPr>
          <w:lang w:val="it-IT"/>
        </w:rPr>
        <w:t>Assurance</w:t>
      </w:r>
      <w:bookmarkEnd w:id="857"/>
      <w:bookmarkEnd w:id="858"/>
      <w:bookmarkEnd w:id="859"/>
      <w:bookmarkEnd w:id="860"/>
      <w:bookmarkEnd w:id="861"/>
      <w:bookmarkEnd w:id="862"/>
      <w:bookmarkEnd w:id="863"/>
      <w:bookmarkEnd w:id="864"/>
      <w:bookmarkEnd w:id="865"/>
      <w:bookmarkEnd w:id="866"/>
      <w:bookmarkEnd w:id="867"/>
      <w:bookmarkEnd w:id="868"/>
      <w:bookmarkEnd w:id="869"/>
      <w:r w:rsidRPr="00451078">
        <w:rPr>
          <w:lang w:val="it-IT"/>
        </w:rPr>
        <w:t xml:space="preserve"> e System Center 2012 Standard e Datacenter con Software Assurance</w:t>
      </w:r>
      <w:bookmarkEnd w:id="870"/>
      <w:bookmarkEnd w:id="871"/>
      <w:bookmarkEnd w:id="872"/>
      <w:bookmarkEnd w:id="873"/>
    </w:p>
    <w:p w:rsidR="00973A93" w:rsidRPr="00451078" w:rsidRDefault="00973A93">
      <w:pPr>
        <w:rPr>
          <w:lang w:val="it-IT"/>
        </w:rPr>
      </w:pPr>
      <w:bookmarkStart w:id="874" w:name="_Toc294048016"/>
      <w:bookmarkStart w:id="875" w:name="_Toc294048573"/>
      <w:bookmarkStart w:id="876" w:name="_Toc294092644"/>
      <w:bookmarkStart w:id="877" w:name="_Toc295819324"/>
      <w:bookmarkStart w:id="878" w:name="_Toc298795975"/>
      <w:bookmarkStart w:id="879" w:name="_Toc299369851"/>
      <w:bookmarkStart w:id="880" w:name="_Toc300391562"/>
      <w:bookmarkStart w:id="881" w:name="_Toc301939839"/>
      <w:bookmarkStart w:id="882" w:name="_Toc304801236"/>
      <w:bookmarkStart w:id="883" w:name="_Toc307350405"/>
      <w:bookmarkStart w:id="884" w:name="_Toc308429816"/>
      <w:bookmarkStart w:id="885" w:name="_Toc312399284"/>
      <w:bookmarkStart w:id="886" w:name="_Toc315289091"/>
      <w:bookmarkStart w:id="887" w:name="_Toc317591247"/>
      <w:bookmarkStart w:id="888" w:name="_Toc323034200"/>
      <w:bookmarkStart w:id="889" w:name="_Toc325313200"/>
      <w:bookmarkStart w:id="890" w:name="_Toc325609223"/>
    </w:p>
    <w:p w:rsidR="004D4D43" w:rsidRPr="00451078" w:rsidRDefault="004D4D43" w:rsidP="002171C3">
      <w:pPr>
        <w:rPr>
          <w:lang w:val="it-IT"/>
        </w:rPr>
      </w:pPr>
      <w:r w:rsidRPr="00451078">
        <w:rPr>
          <w:lang w:val="it-IT"/>
        </w:rPr>
        <w:t>Per utilizzare Mobilità delle Licenze tramite Software Assurance, le società dovranno:</w:t>
      </w:r>
      <w:bookmarkEnd w:id="874"/>
      <w:bookmarkEnd w:id="875"/>
      <w:bookmarkEnd w:id="876"/>
      <w:bookmarkEnd w:id="877"/>
      <w:bookmarkEnd w:id="878"/>
      <w:bookmarkEnd w:id="879"/>
      <w:bookmarkEnd w:id="880"/>
      <w:bookmarkEnd w:id="881"/>
      <w:bookmarkEnd w:id="882"/>
      <w:bookmarkEnd w:id="883"/>
      <w:bookmarkEnd w:id="884"/>
      <w:bookmarkEnd w:id="885"/>
      <w:bookmarkEnd w:id="886"/>
      <w:bookmarkEnd w:id="887"/>
      <w:bookmarkEnd w:id="888"/>
      <w:bookmarkEnd w:id="889"/>
      <w:bookmarkEnd w:id="890"/>
    </w:p>
    <w:p w:rsidR="004D4D43" w:rsidRPr="00451078" w:rsidRDefault="004D4D43" w:rsidP="00F86E06">
      <w:pPr>
        <w:rPr>
          <w:lang w:val="it-IT"/>
        </w:rPr>
      </w:pPr>
    </w:p>
    <w:p w:rsidR="004D4D43" w:rsidRPr="00451078" w:rsidRDefault="004D4D43" w:rsidP="00745AB3">
      <w:pPr>
        <w:numPr>
          <w:ilvl w:val="0"/>
          <w:numId w:val="62"/>
        </w:numPr>
        <w:spacing w:after="60"/>
        <w:ind w:left="1440"/>
        <w:rPr>
          <w:lang w:val="it-IT"/>
        </w:rPr>
      </w:pPr>
      <w:bookmarkStart w:id="891" w:name="_Toc294048017"/>
      <w:bookmarkStart w:id="892" w:name="_Toc294048574"/>
      <w:bookmarkStart w:id="893" w:name="_Toc294092645"/>
      <w:bookmarkStart w:id="894" w:name="_Toc295819325"/>
      <w:bookmarkStart w:id="895" w:name="_Toc298795976"/>
      <w:bookmarkStart w:id="896" w:name="_Toc299369852"/>
      <w:bookmarkStart w:id="897" w:name="_Toc300391563"/>
      <w:bookmarkStart w:id="898" w:name="_Toc301939840"/>
      <w:bookmarkStart w:id="899" w:name="_Toc304801237"/>
      <w:bookmarkStart w:id="900" w:name="_Toc307350406"/>
      <w:bookmarkStart w:id="901" w:name="_Toc308429817"/>
      <w:bookmarkStart w:id="902" w:name="_Toc312399285"/>
      <w:bookmarkStart w:id="903" w:name="_Toc315289092"/>
      <w:bookmarkStart w:id="904" w:name="_Toc317591248"/>
      <w:bookmarkStart w:id="905" w:name="_Toc323034201"/>
      <w:bookmarkStart w:id="906" w:name="_Toc325313201"/>
      <w:bookmarkStart w:id="907" w:name="_Toc325609224"/>
      <w:r w:rsidRPr="00451078">
        <w:rPr>
          <w:lang w:val="it-IT"/>
        </w:rPr>
        <w:t>gestire la copertura Software Assurance per le licenze ai sensi delle quali eseguono software o</w:t>
      </w:r>
      <w:r w:rsidR="00BC32EE" w:rsidRPr="00451078">
        <w:rPr>
          <w:lang w:val="it-IT"/>
        </w:rPr>
        <w:t> </w:t>
      </w:r>
      <w:r w:rsidRPr="00451078">
        <w:rPr>
          <w:lang w:val="it-IT"/>
        </w:rPr>
        <w:t>gestiscono ambienti di sistemi operativi su server di terzi condivisi nonché tutte le CAL, External</w:t>
      </w:r>
      <w:r w:rsidR="00BC32EE" w:rsidRPr="00451078">
        <w:rPr>
          <w:lang w:val="it-IT"/>
        </w:rPr>
        <w:t> </w:t>
      </w:r>
      <w:r w:rsidRPr="00451078">
        <w:rPr>
          <w:lang w:val="it-IT"/>
        </w:rPr>
        <w:t>Connector e licenze di gestione corrispondenti;</w:t>
      </w:r>
      <w:bookmarkEnd w:id="891"/>
      <w:bookmarkEnd w:id="892"/>
      <w:bookmarkEnd w:id="893"/>
      <w:bookmarkEnd w:id="894"/>
      <w:bookmarkEnd w:id="895"/>
      <w:bookmarkEnd w:id="896"/>
      <w:bookmarkEnd w:id="897"/>
      <w:bookmarkEnd w:id="898"/>
      <w:bookmarkEnd w:id="899"/>
      <w:bookmarkEnd w:id="900"/>
      <w:bookmarkEnd w:id="901"/>
      <w:bookmarkEnd w:id="902"/>
      <w:bookmarkEnd w:id="903"/>
      <w:bookmarkEnd w:id="904"/>
      <w:bookmarkEnd w:id="905"/>
      <w:bookmarkEnd w:id="906"/>
      <w:bookmarkEnd w:id="907"/>
    </w:p>
    <w:p w:rsidR="004D4D43" w:rsidRPr="00451078" w:rsidRDefault="004D4D43" w:rsidP="00745AB3">
      <w:pPr>
        <w:numPr>
          <w:ilvl w:val="0"/>
          <w:numId w:val="62"/>
        </w:numPr>
        <w:spacing w:after="60"/>
        <w:ind w:left="1440"/>
        <w:rPr>
          <w:lang w:val="it-IT"/>
        </w:rPr>
      </w:pPr>
      <w:bookmarkStart w:id="908" w:name="_Toc294048018"/>
      <w:bookmarkStart w:id="909" w:name="_Toc294048575"/>
      <w:bookmarkStart w:id="910" w:name="_Toc294092646"/>
      <w:bookmarkStart w:id="911" w:name="_Toc295819326"/>
      <w:bookmarkStart w:id="912" w:name="_Toc298795977"/>
      <w:bookmarkStart w:id="913" w:name="_Toc299369853"/>
      <w:bookmarkStart w:id="914" w:name="_Toc300391564"/>
      <w:bookmarkStart w:id="915" w:name="_Toc301939841"/>
      <w:bookmarkStart w:id="916" w:name="_Toc304801238"/>
      <w:bookmarkStart w:id="917" w:name="_Toc307350407"/>
      <w:bookmarkStart w:id="918" w:name="_Toc308429818"/>
      <w:bookmarkStart w:id="919" w:name="_Toc312399286"/>
      <w:bookmarkStart w:id="920" w:name="_Toc315289093"/>
      <w:bookmarkStart w:id="921" w:name="_Toc317591249"/>
      <w:bookmarkStart w:id="922" w:name="_Toc323034202"/>
      <w:bookmarkStart w:id="923" w:name="_Toc325313202"/>
      <w:bookmarkStart w:id="924" w:name="_Toc325609225"/>
      <w:r w:rsidRPr="00451078">
        <w:rPr>
          <w:lang w:val="it-IT"/>
        </w:rPr>
        <w:t>distribuire le proprie licenze solo con Partner di Mobilità delle Licenze tramite Software Assurance qualificati. L</w:t>
      </w:r>
      <w:r w:rsidR="004525CA">
        <w:rPr>
          <w:lang w:val="it-IT"/>
        </w:rPr>
        <w:t>’</w:t>
      </w:r>
      <w:r w:rsidRPr="00451078">
        <w:rPr>
          <w:lang w:val="it-IT"/>
        </w:rPr>
        <w:t>elenco dei Partner di Mobilità delle Licenze tramite Software Assurance qualificati è disponibile sul sito Web http://www.microsoft.com/licensing/software-assurance/license-mobility e</w:t>
      </w:r>
      <w:bookmarkEnd w:id="908"/>
      <w:bookmarkEnd w:id="909"/>
      <w:bookmarkEnd w:id="910"/>
      <w:bookmarkEnd w:id="911"/>
      <w:bookmarkEnd w:id="912"/>
      <w:bookmarkEnd w:id="913"/>
      <w:bookmarkEnd w:id="914"/>
      <w:bookmarkEnd w:id="915"/>
      <w:bookmarkEnd w:id="916"/>
      <w:bookmarkEnd w:id="917"/>
      <w:bookmarkEnd w:id="918"/>
      <w:bookmarkEnd w:id="919"/>
      <w:bookmarkEnd w:id="920"/>
      <w:bookmarkEnd w:id="921"/>
      <w:bookmarkEnd w:id="922"/>
      <w:bookmarkEnd w:id="923"/>
      <w:bookmarkEnd w:id="924"/>
    </w:p>
    <w:p w:rsidR="004D4D43" w:rsidRPr="00451078" w:rsidRDefault="004D4D43" w:rsidP="00745AB3">
      <w:pPr>
        <w:numPr>
          <w:ilvl w:val="0"/>
          <w:numId w:val="62"/>
        </w:numPr>
        <w:spacing w:after="60"/>
        <w:ind w:left="1440"/>
        <w:rPr>
          <w:lang w:val="it-IT"/>
        </w:rPr>
      </w:pPr>
      <w:bookmarkStart w:id="925" w:name="_Toc294048019"/>
      <w:bookmarkStart w:id="926" w:name="_Toc294048576"/>
      <w:bookmarkStart w:id="927" w:name="_Toc294092647"/>
      <w:bookmarkStart w:id="928" w:name="_Toc295819327"/>
      <w:bookmarkStart w:id="929" w:name="_Toc298795978"/>
      <w:bookmarkStart w:id="930" w:name="_Toc299369854"/>
      <w:bookmarkStart w:id="931" w:name="_Toc300391565"/>
      <w:bookmarkStart w:id="932" w:name="_Toc301939842"/>
      <w:bookmarkStart w:id="933" w:name="_Toc304801239"/>
      <w:bookmarkStart w:id="934" w:name="_Toc307350408"/>
      <w:bookmarkStart w:id="935" w:name="_Toc308429819"/>
      <w:bookmarkStart w:id="936" w:name="_Toc312399287"/>
      <w:bookmarkStart w:id="937" w:name="_Toc315289094"/>
      <w:bookmarkStart w:id="938" w:name="_Toc317591250"/>
      <w:bookmarkStart w:id="939" w:name="_Toc323034203"/>
      <w:bookmarkStart w:id="940" w:name="_Toc325313203"/>
      <w:bookmarkStart w:id="941" w:name="_Toc325609226"/>
      <w:r w:rsidRPr="00451078">
        <w:rPr>
          <w:lang w:val="it-IT"/>
        </w:rPr>
        <w:lastRenderedPageBreak/>
        <w:t>completare e inviare il modulo per la Convalida della Mobilità delle Licenze con ciascun Partner di</w:t>
      </w:r>
      <w:r w:rsidR="00E0061A" w:rsidRPr="00451078">
        <w:rPr>
          <w:lang w:val="it-IT"/>
        </w:rPr>
        <w:t> </w:t>
      </w:r>
      <w:r w:rsidRPr="00451078">
        <w:rPr>
          <w:lang w:val="it-IT"/>
        </w:rPr>
        <w:t>Mobilità delle Licenze tramite Software Assurance qualificato che eseguirà il software in licenza delle società sui server condivisi dei partner.</w:t>
      </w:r>
      <w:r w:rsidR="00082E1C" w:rsidRPr="00451078">
        <w:rPr>
          <w:lang w:val="it-IT"/>
        </w:rPr>
        <w:t xml:space="preserve"> </w:t>
      </w:r>
      <w:r w:rsidRPr="00451078">
        <w:rPr>
          <w:lang w:val="it-IT"/>
        </w:rPr>
        <w:t>Il modulo per la Convalida della Mobilità delle Licenze</w:t>
      </w:r>
      <w:r w:rsidR="00BC32EE" w:rsidRPr="00451078">
        <w:rPr>
          <w:lang w:val="it-IT"/>
        </w:rPr>
        <w:t> </w:t>
      </w:r>
      <w:r w:rsidRPr="00451078">
        <w:rPr>
          <w:lang w:val="it-IT"/>
        </w:rPr>
        <w:t>verrà messo a disposizione delle società dal Partner di Mobilità delle Licenze tramite Software Assurance qualificato.</w:t>
      </w:r>
      <w:bookmarkEnd w:id="925"/>
      <w:bookmarkEnd w:id="926"/>
      <w:bookmarkEnd w:id="927"/>
      <w:bookmarkEnd w:id="928"/>
      <w:bookmarkEnd w:id="929"/>
      <w:bookmarkEnd w:id="930"/>
      <w:bookmarkEnd w:id="931"/>
      <w:bookmarkEnd w:id="932"/>
      <w:bookmarkEnd w:id="933"/>
      <w:bookmarkEnd w:id="934"/>
      <w:bookmarkEnd w:id="935"/>
      <w:bookmarkEnd w:id="936"/>
      <w:bookmarkEnd w:id="937"/>
      <w:bookmarkEnd w:id="938"/>
      <w:bookmarkEnd w:id="939"/>
      <w:bookmarkEnd w:id="940"/>
      <w:bookmarkEnd w:id="941"/>
    </w:p>
    <w:p w:rsidR="004D4D43" w:rsidRPr="00451078" w:rsidRDefault="004D4D43" w:rsidP="002171C3">
      <w:pPr>
        <w:rPr>
          <w:lang w:val="it-IT"/>
        </w:rPr>
      </w:pPr>
    </w:p>
    <w:p w:rsidR="004D4D43" w:rsidRPr="00451078" w:rsidRDefault="004D4D43" w:rsidP="002171C3">
      <w:pPr>
        <w:rPr>
          <w:lang w:val="it-IT"/>
        </w:rPr>
      </w:pPr>
      <w:bookmarkStart w:id="942" w:name="_Toc294048020"/>
      <w:bookmarkStart w:id="943" w:name="_Toc294048577"/>
      <w:bookmarkStart w:id="944" w:name="_Toc294092648"/>
      <w:bookmarkStart w:id="945" w:name="_Toc295819328"/>
      <w:bookmarkStart w:id="946" w:name="_Toc298795979"/>
      <w:bookmarkStart w:id="947" w:name="_Toc299369855"/>
      <w:bookmarkStart w:id="948" w:name="_Toc300391566"/>
      <w:bookmarkStart w:id="949" w:name="_Toc301939843"/>
      <w:bookmarkStart w:id="950" w:name="_Toc304801240"/>
      <w:bookmarkStart w:id="951" w:name="_Toc307350409"/>
      <w:bookmarkStart w:id="952" w:name="_Toc308429820"/>
      <w:bookmarkStart w:id="953" w:name="_Toc312399288"/>
      <w:bookmarkStart w:id="954" w:name="_Toc317591251"/>
      <w:bookmarkStart w:id="955" w:name="_Toc323034204"/>
      <w:bookmarkStart w:id="956" w:name="_Toc325313204"/>
      <w:bookmarkStart w:id="957" w:name="_Toc325609227"/>
      <w:r w:rsidRPr="00451078">
        <w:rPr>
          <w:lang w:val="it-IT"/>
        </w:rPr>
        <w:t>I diritti delle società di eseguire software in licenza e gestire OSE su server di terzi condivisi scadranno al termine della copertura Software Assurance su tali licenze o sulle licenze di accesso o di gestione corrispondenti.</w:t>
      </w:r>
      <w:bookmarkEnd w:id="942"/>
      <w:bookmarkEnd w:id="943"/>
      <w:bookmarkEnd w:id="944"/>
      <w:bookmarkEnd w:id="945"/>
      <w:bookmarkEnd w:id="946"/>
      <w:bookmarkEnd w:id="947"/>
      <w:bookmarkEnd w:id="948"/>
      <w:bookmarkEnd w:id="949"/>
      <w:bookmarkEnd w:id="950"/>
      <w:bookmarkEnd w:id="951"/>
      <w:bookmarkEnd w:id="952"/>
      <w:bookmarkEnd w:id="953"/>
      <w:bookmarkEnd w:id="954"/>
      <w:bookmarkEnd w:id="955"/>
      <w:bookmarkEnd w:id="956"/>
      <w:bookmarkEnd w:id="957"/>
    </w:p>
    <w:p w:rsidR="004D4D43" w:rsidRPr="00451078" w:rsidRDefault="004D4D43" w:rsidP="0007218F">
      <w:pPr>
        <w:rPr>
          <w:lang w:val="it-IT"/>
        </w:rPr>
      </w:pPr>
    </w:p>
    <w:p w:rsidR="00023FE7" w:rsidRPr="00451078" w:rsidRDefault="00023FE7" w:rsidP="0007218F">
      <w:pPr>
        <w:pStyle w:val="Heading3"/>
        <w:tabs>
          <w:tab w:val="num" w:pos="0"/>
        </w:tabs>
        <w:rPr>
          <w:lang w:val="it-IT"/>
        </w:rPr>
      </w:pPr>
      <w:bookmarkStart w:id="958" w:name="_Toc336338243"/>
      <w:bookmarkStart w:id="959" w:name="_Toc352234838"/>
      <w:r w:rsidRPr="00451078">
        <w:rPr>
          <w:rFonts w:ascii="Tahoma" w:hAnsi="Tahoma" w:cs="Tahoma"/>
          <w:sz w:val="24"/>
          <w:lang w:val="it-IT"/>
        </w:rPr>
        <w:t>Windows Thin PC</w:t>
      </w:r>
      <w:bookmarkEnd w:id="958"/>
      <w:bookmarkEnd w:id="959"/>
    </w:p>
    <w:p w:rsidR="00023FE7" w:rsidRPr="009A3963" w:rsidRDefault="00023FE7" w:rsidP="0007218F">
      <w:pPr>
        <w:pStyle w:val="Heading3"/>
        <w:rPr>
          <w:sz w:val="18"/>
          <w:szCs w:val="18"/>
          <w:lang w:val="it-IT"/>
        </w:rPr>
      </w:pPr>
    </w:p>
    <w:p w:rsidR="0008414D" w:rsidRPr="00451078" w:rsidRDefault="0008414D" w:rsidP="0007218F">
      <w:pPr>
        <w:rPr>
          <w:lang w:val="it-IT"/>
        </w:rPr>
      </w:pPr>
      <w:r w:rsidRPr="00451078">
        <w:rPr>
          <w:rFonts w:eastAsia="Calibri" w:cs="Tahoma"/>
          <w:szCs w:val="20"/>
          <w:lang w:val="it-IT"/>
        </w:rPr>
        <w:t xml:space="preserve">Le società che abbiano stipulato Contratti Multilicenza con copertura Software Assurance attiva per il sistema operativo desktop Windows o licenze attive per VDA o Windows Intune </w:t>
      </w:r>
      <w:r w:rsidRPr="00451078">
        <w:rPr>
          <w:rFonts w:cs="Tahoma"/>
          <w:szCs w:val="18"/>
          <w:lang w:val="it-IT"/>
        </w:rPr>
        <w:t xml:space="preserve">(Per Dispositivo) </w:t>
      </w:r>
      <w:r w:rsidRPr="00451078">
        <w:rPr>
          <w:rFonts w:eastAsia="Calibri" w:cs="Tahoma"/>
          <w:szCs w:val="20"/>
          <w:lang w:val="it-IT"/>
        </w:rPr>
        <w:t xml:space="preserve">sono idonee per questo vantaggio. Le società che accedono a questo vantaggio </w:t>
      </w:r>
      <w:r w:rsidRPr="00451078">
        <w:rPr>
          <w:rFonts w:eastAsia="Calibri" w:cs="Tahoma"/>
          <w:color w:val="000000"/>
          <w:szCs w:val="20"/>
          <w:lang w:val="it-IT"/>
        </w:rPr>
        <w:t xml:space="preserve">in base a </w:t>
      </w:r>
      <w:r w:rsidRPr="00451078">
        <w:rPr>
          <w:rFonts w:eastAsia="Calibri" w:cs="Tahoma"/>
          <w:szCs w:val="20"/>
          <w:lang w:val="it-IT"/>
        </w:rPr>
        <w:t>VDA dovranno disporre di un sistema operativo qualificante</w:t>
      </w:r>
      <w:r w:rsidRPr="00451078">
        <w:rPr>
          <w:rFonts w:eastAsia="Calibri" w:cs="Tahoma"/>
          <w:color w:val="1F497D"/>
          <w:szCs w:val="20"/>
          <w:lang w:val="it-IT"/>
        </w:rPr>
        <w:t xml:space="preserve"> </w:t>
      </w:r>
      <w:r w:rsidRPr="00451078">
        <w:rPr>
          <w:rFonts w:eastAsia="Calibri" w:cs="Tahoma"/>
          <w:color w:val="000000"/>
          <w:szCs w:val="20"/>
          <w:lang w:val="it-IT"/>
        </w:rPr>
        <w:t xml:space="preserve">installato nel dispositivo con licenza </w:t>
      </w:r>
      <w:r w:rsidRPr="00451078">
        <w:rPr>
          <w:rFonts w:eastAsia="Calibri" w:cs="Tahoma"/>
          <w:szCs w:val="20"/>
          <w:lang w:val="it-IT"/>
        </w:rPr>
        <w:t xml:space="preserve">in base alla tabella dei Sistemi Operativi Qualificanti come descritto alla sezione </w:t>
      </w:r>
      <w:r w:rsidRPr="00451078">
        <w:rPr>
          <w:rFonts w:eastAsia="Calibri" w:cs="Tahoma"/>
          <w:color w:val="000000"/>
          <w:szCs w:val="20"/>
          <w:lang w:val="it-IT"/>
        </w:rPr>
        <w:t xml:space="preserve">Note del Prodotto, </w:t>
      </w:r>
      <w:r w:rsidRPr="00451078">
        <w:rPr>
          <w:rFonts w:eastAsia="Calibri" w:cs="Tahoma"/>
          <w:szCs w:val="20"/>
          <w:lang w:val="it-IT"/>
        </w:rPr>
        <w:t>Pool di Sistemi del presente documento.</w:t>
      </w:r>
      <w:r w:rsidR="00082E1C" w:rsidRPr="00451078">
        <w:rPr>
          <w:rFonts w:eastAsia="Calibri" w:cs="Tahoma"/>
          <w:szCs w:val="20"/>
          <w:lang w:val="it-IT"/>
        </w:rPr>
        <w:t xml:space="preserve"> </w:t>
      </w:r>
    </w:p>
    <w:p w:rsidR="0008414D" w:rsidRPr="00451078" w:rsidRDefault="0008414D" w:rsidP="0007218F">
      <w:pPr>
        <w:rPr>
          <w:lang w:val="it-IT"/>
        </w:rPr>
      </w:pPr>
    </w:p>
    <w:p w:rsidR="0008414D" w:rsidRPr="00451078" w:rsidRDefault="0008414D" w:rsidP="0007218F">
      <w:pPr>
        <w:rPr>
          <w:lang w:val="it-IT"/>
        </w:rPr>
      </w:pPr>
      <w:r w:rsidRPr="00451078">
        <w:rPr>
          <w:rFonts w:eastAsia="Calibri" w:cs="Tahoma"/>
          <w:szCs w:val="20"/>
          <w:lang w:val="it-IT"/>
        </w:rPr>
        <w:t>Windows Thin PC è una soluzione basata sul Sistema Operativo Windows con un footprint più piccolo, progettata per</w:t>
      </w:r>
      <w:r w:rsidR="00BC32EE" w:rsidRPr="00451078">
        <w:rPr>
          <w:rFonts w:eastAsia="Calibri" w:cs="Tahoma"/>
          <w:szCs w:val="20"/>
          <w:lang w:val="it-IT"/>
        </w:rPr>
        <w:t> </w:t>
      </w:r>
      <w:r w:rsidRPr="00451078">
        <w:rPr>
          <w:rFonts w:eastAsia="Calibri" w:cs="Tahoma"/>
          <w:szCs w:val="20"/>
          <w:lang w:val="it-IT"/>
        </w:rPr>
        <w:t>società che desiderano ridefinire i PC esistenti</w:t>
      </w:r>
      <w:r w:rsidRPr="00451078">
        <w:rPr>
          <w:rFonts w:eastAsia="Calibri" w:cs="Tahoma"/>
          <w:color w:val="1F497D"/>
          <w:szCs w:val="20"/>
          <w:lang w:val="it-IT"/>
        </w:rPr>
        <w:t xml:space="preserve"> </w:t>
      </w:r>
      <w:r w:rsidRPr="00451078">
        <w:rPr>
          <w:rFonts w:eastAsia="Calibri" w:cs="Tahoma"/>
          <w:szCs w:val="20"/>
          <w:lang w:val="it-IT"/>
        </w:rPr>
        <w:t xml:space="preserve">in grado di eseguire Windows 8 per la connessione a un desktop centralizzato senza dover acquistare nuovo hardware thin client. Le società idonee potranno utilizzare Windows Thin PC al posto di istanze di sistemi operativi desktop Windows che sono autorizzate a utilizzare in base alla copertura Software Assurance Windows, a licenze per Windows Intune </w:t>
      </w:r>
      <w:r w:rsidRPr="00451078">
        <w:rPr>
          <w:rFonts w:cs="Tahoma"/>
          <w:szCs w:val="18"/>
          <w:lang w:val="it-IT"/>
        </w:rPr>
        <w:t>(Per Dispositivo)</w:t>
      </w:r>
      <w:r w:rsidRPr="00451078">
        <w:rPr>
          <w:rFonts w:eastAsia="Calibri" w:cs="Tahoma"/>
          <w:color w:val="000000"/>
          <w:szCs w:val="20"/>
          <w:lang w:val="it-IT"/>
        </w:rPr>
        <w:t xml:space="preserve"> o per Windows </w:t>
      </w:r>
      <w:r w:rsidRPr="00451078">
        <w:rPr>
          <w:rFonts w:eastAsia="Calibri" w:cs="Tahoma"/>
          <w:szCs w:val="20"/>
          <w:lang w:val="it-IT"/>
        </w:rPr>
        <w:t>VDA. L</w:t>
      </w:r>
      <w:r w:rsidR="004525CA">
        <w:rPr>
          <w:rFonts w:eastAsia="Calibri" w:cs="Tahoma"/>
          <w:szCs w:val="20"/>
          <w:lang w:val="it-IT"/>
        </w:rPr>
        <w:t>’</w:t>
      </w:r>
      <w:r w:rsidRPr="00451078">
        <w:rPr>
          <w:rFonts w:eastAsia="Calibri" w:cs="Tahoma"/>
          <w:szCs w:val="20"/>
          <w:lang w:val="it-IT"/>
        </w:rPr>
        <w:t>utilizzo di Windows Thin PC da parte delle società è soggetto alle condizioni del rispettivo contratto di licenza.</w:t>
      </w:r>
    </w:p>
    <w:p w:rsidR="0004051B" w:rsidRPr="00451078" w:rsidRDefault="0004051B">
      <w:pPr>
        <w:rPr>
          <w:lang w:val="it-IT"/>
        </w:rPr>
      </w:pPr>
      <w:bookmarkStart w:id="960" w:name="_Toc291204568"/>
    </w:p>
    <w:p w:rsidR="00F30075" w:rsidRPr="00451078" w:rsidRDefault="00F30075" w:rsidP="0007218F">
      <w:pPr>
        <w:outlineLvl w:val="2"/>
        <w:rPr>
          <w:lang w:val="it-IT"/>
        </w:rPr>
      </w:pPr>
      <w:r w:rsidRPr="00451078">
        <w:rPr>
          <w:rFonts w:cs="Tahoma"/>
          <w:b/>
          <w:sz w:val="24"/>
          <w:szCs w:val="20"/>
          <w:lang w:val="it-IT"/>
        </w:rPr>
        <w:t>Supporto Hotfix Esteso</w:t>
      </w:r>
      <w:bookmarkEnd w:id="960"/>
    </w:p>
    <w:p w:rsidR="00F30075" w:rsidRPr="00451078" w:rsidRDefault="00F30075" w:rsidP="0007218F">
      <w:pPr>
        <w:outlineLvl w:val="2"/>
        <w:rPr>
          <w:lang w:val="it-IT"/>
        </w:rPr>
      </w:pPr>
    </w:p>
    <w:p w:rsidR="00F30075" w:rsidRPr="00451078" w:rsidRDefault="00F30075" w:rsidP="00F30075">
      <w:pPr>
        <w:rPr>
          <w:lang w:val="it-IT"/>
        </w:rPr>
      </w:pPr>
      <w:r w:rsidRPr="00451078">
        <w:rPr>
          <w:rFonts w:cs="Tahoma"/>
          <w:lang w:val="it-IT"/>
        </w:rPr>
        <w:t>Supporto Hotfix Esteso è disponibile per le società seguenti:</w:t>
      </w:r>
    </w:p>
    <w:p w:rsidR="0007218F" w:rsidRPr="005D7737" w:rsidRDefault="0007218F" w:rsidP="00F30075">
      <w:pPr>
        <w:rPr>
          <w:sz w:val="10"/>
          <w:szCs w:val="10"/>
          <w:lang w:val="it-IT"/>
        </w:rPr>
      </w:pPr>
    </w:p>
    <w:p w:rsidR="00F30075" w:rsidRPr="00451078" w:rsidRDefault="00F30075" w:rsidP="00745AB3">
      <w:pPr>
        <w:numPr>
          <w:ilvl w:val="0"/>
          <w:numId w:val="48"/>
        </w:numPr>
        <w:spacing w:after="60"/>
        <w:ind w:left="1440"/>
        <w:contextualSpacing/>
        <w:jc w:val="both"/>
        <w:rPr>
          <w:lang w:val="it-IT"/>
        </w:rPr>
      </w:pPr>
      <w:r w:rsidRPr="00451078">
        <w:rPr>
          <w:rFonts w:eastAsia="Calibri" w:cs="Tahoma"/>
          <w:szCs w:val="18"/>
          <w:lang w:val="it-IT"/>
        </w:rPr>
        <w:t>Le società che non dispongono di Contratti Academic Select, Select Plus for Academic, Campus e</w:t>
      </w:r>
      <w:r w:rsidR="00BC32EE" w:rsidRPr="00451078">
        <w:rPr>
          <w:rFonts w:eastAsia="Calibri" w:cs="Tahoma"/>
          <w:szCs w:val="18"/>
          <w:lang w:val="it-IT"/>
        </w:rPr>
        <w:t> </w:t>
      </w:r>
      <w:r w:rsidRPr="00451078">
        <w:rPr>
          <w:rFonts w:eastAsia="Calibri" w:cs="Tahoma"/>
          <w:szCs w:val="18"/>
          <w:lang w:val="it-IT"/>
        </w:rPr>
        <w:t>School e Open Value Subscription - Education Solutions, ma hanno la copertura Partecipazione a</w:t>
      </w:r>
      <w:r w:rsidR="00BC32EE" w:rsidRPr="00451078">
        <w:rPr>
          <w:rFonts w:eastAsia="Calibri" w:cs="Tahoma"/>
          <w:szCs w:val="18"/>
          <w:lang w:val="it-IT"/>
        </w:rPr>
        <w:t> </w:t>
      </w:r>
      <w:r w:rsidRPr="00451078">
        <w:rPr>
          <w:rFonts w:eastAsia="Calibri" w:cs="Tahoma"/>
          <w:szCs w:val="18"/>
          <w:lang w:val="it-IT"/>
        </w:rPr>
        <w:t xml:space="preserve">Software Assurance per il Pool di Applicazioni si qualificano per il Supporto Hotfix Esteso per </w:t>
      </w:r>
      <w:r w:rsidR="00BC32EE" w:rsidRPr="00451078">
        <w:rPr>
          <w:rFonts w:eastAsia="Calibri" w:cs="Tahoma"/>
          <w:szCs w:val="18"/>
          <w:lang w:val="it-IT"/>
        </w:rPr>
        <w:t>I </w:t>
      </w:r>
      <w:r w:rsidRPr="00451078">
        <w:rPr>
          <w:rFonts w:eastAsia="Calibri" w:cs="Tahoma"/>
          <w:szCs w:val="18"/>
          <w:lang w:val="it-IT"/>
        </w:rPr>
        <w:t xml:space="preserve">prodotti del pool di Applicazioni. </w:t>
      </w:r>
    </w:p>
    <w:p w:rsidR="00F30075" w:rsidRPr="00451078" w:rsidRDefault="00F30075" w:rsidP="00745AB3">
      <w:pPr>
        <w:numPr>
          <w:ilvl w:val="0"/>
          <w:numId w:val="48"/>
        </w:numPr>
        <w:spacing w:after="60"/>
        <w:ind w:left="1440"/>
        <w:jc w:val="both"/>
        <w:rPr>
          <w:lang w:val="it-IT"/>
        </w:rPr>
      </w:pPr>
      <w:r w:rsidRPr="00451078">
        <w:rPr>
          <w:rFonts w:cs="Tahoma"/>
          <w:szCs w:val="18"/>
          <w:lang w:val="it-IT"/>
        </w:rPr>
        <w:t>Le società che non dispongono di Contratti Academic Select, Select Plus for Academic, Campus e</w:t>
      </w:r>
      <w:r w:rsidR="00BC32EE" w:rsidRPr="00451078">
        <w:rPr>
          <w:rFonts w:cs="Tahoma"/>
          <w:szCs w:val="18"/>
          <w:lang w:val="it-IT"/>
        </w:rPr>
        <w:t> </w:t>
      </w:r>
      <w:r w:rsidRPr="00451078">
        <w:rPr>
          <w:rFonts w:cs="Tahoma"/>
          <w:szCs w:val="18"/>
          <w:lang w:val="it-IT"/>
        </w:rPr>
        <w:t>School e Open Value Subscription - Education Solutions, ma hanno la copertura Partecipazione a</w:t>
      </w:r>
      <w:r w:rsidR="00BC32EE" w:rsidRPr="00451078">
        <w:rPr>
          <w:rFonts w:cs="Tahoma"/>
          <w:szCs w:val="18"/>
          <w:lang w:val="it-IT"/>
        </w:rPr>
        <w:t> </w:t>
      </w:r>
      <w:r w:rsidRPr="00451078">
        <w:rPr>
          <w:rFonts w:cs="Tahoma"/>
          <w:szCs w:val="18"/>
          <w:lang w:val="it-IT"/>
        </w:rPr>
        <w:t>Software Assurance per il pool di Sistemi si qualificano per il Supporto Hotfix Esteso per il sistema operativo desktop Windows.</w:t>
      </w:r>
    </w:p>
    <w:p w:rsidR="00F30075" w:rsidRPr="00451078" w:rsidRDefault="00F30075" w:rsidP="00745AB3">
      <w:pPr>
        <w:numPr>
          <w:ilvl w:val="0"/>
          <w:numId w:val="48"/>
        </w:numPr>
        <w:spacing w:after="60"/>
        <w:ind w:left="1440"/>
        <w:jc w:val="both"/>
        <w:rPr>
          <w:lang w:val="it-IT"/>
        </w:rPr>
      </w:pPr>
      <w:r w:rsidRPr="00451078">
        <w:rPr>
          <w:rFonts w:cs="Tahoma"/>
          <w:szCs w:val="18"/>
          <w:lang w:val="it-IT"/>
        </w:rPr>
        <w:t>Le società che dispongono di abbonamenti per Windows Intune (Per Dispositivo) si qualificano per il Supporto Hotfix Esteso per il sistema operativo desktop Windows.</w:t>
      </w:r>
    </w:p>
    <w:p w:rsidR="0007218F" w:rsidRPr="003410C7" w:rsidRDefault="007627B7" w:rsidP="00745AB3">
      <w:pPr>
        <w:numPr>
          <w:ilvl w:val="0"/>
          <w:numId w:val="48"/>
        </w:numPr>
        <w:spacing w:after="60"/>
        <w:ind w:left="1440"/>
        <w:contextualSpacing/>
      </w:pPr>
      <w:r w:rsidRPr="00451078">
        <w:rPr>
          <w:rFonts w:eastAsia="Calibri" w:cs="Tahoma"/>
          <w:szCs w:val="18"/>
          <w:lang w:val="it-IT"/>
        </w:rPr>
        <w:t>Le società (che non sono società Academic) in possesso di Software Assurance per almeno un prodotto server si qualificano per il Supporto Hotfix Esteso per i prodotti Server.</w:t>
      </w:r>
      <w:r w:rsidR="00082E1C" w:rsidRPr="00451078">
        <w:rPr>
          <w:rFonts w:eastAsia="Calibri" w:cs="Tahoma"/>
          <w:szCs w:val="18"/>
          <w:lang w:val="it-IT"/>
        </w:rPr>
        <w:t xml:space="preserve"> </w:t>
      </w:r>
      <w:r w:rsidRPr="003410C7">
        <w:rPr>
          <w:rFonts w:cs="Tahoma"/>
          <w:szCs w:val="18"/>
        </w:rPr>
        <w:t>I seguenti prodotti server rientrano nella copertura:</w:t>
      </w:r>
    </w:p>
    <w:p w:rsidR="007627B7" w:rsidRPr="003410C7" w:rsidRDefault="007627B7" w:rsidP="00745AB3">
      <w:pPr>
        <w:numPr>
          <w:ilvl w:val="2"/>
          <w:numId w:val="48"/>
        </w:numPr>
        <w:spacing w:after="60"/>
        <w:ind w:left="1980"/>
        <w:contextualSpacing/>
      </w:pPr>
      <w:r w:rsidRPr="003410C7">
        <w:rPr>
          <w:rFonts w:cs="Tahoma"/>
          <w:iCs/>
          <w:color w:val="000000"/>
          <w:szCs w:val="18"/>
        </w:rPr>
        <w:t>Microsoft Exchange Server, Microsoft SQL Server, System Center 2012 e Windows Server.</w:t>
      </w:r>
    </w:p>
    <w:p w:rsidR="0007218F" w:rsidRPr="005D7737" w:rsidRDefault="0007218F" w:rsidP="0007218F">
      <w:pPr>
        <w:spacing w:after="200" w:line="276" w:lineRule="auto"/>
        <w:contextualSpacing/>
        <w:rPr>
          <w:sz w:val="10"/>
          <w:szCs w:val="10"/>
        </w:rPr>
      </w:pPr>
    </w:p>
    <w:p w:rsidR="00023FE7" w:rsidRPr="00451078" w:rsidRDefault="00023FE7">
      <w:pPr>
        <w:rPr>
          <w:lang w:val="it-IT"/>
        </w:rPr>
      </w:pPr>
      <w:r w:rsidRPr="00451078">
        <w:rPr>
          <w:rFonts w:cs="Tahoma"/>
          <w:szCs w:val="18"/>
          <w:lang w:val="it-IT"/>
        </w:rPr>
        <w:t>Il Supporto Hotfix Esteso è un beneficio per versioni software più vecchie che abbiano effettuato la transizione dal Supporto Mainstream a quello Esteso.</w:t>
      </w:r>
      <w:r w:rsidR="00082E1C" w:rsidRPr="00451078">
        <w:rPr>
          <w:rFonts w:cs="Tahoma"/>
          <w:szCs w:val="18"/>
          <w:lang w:val="it-IT"/>
        </w:rPr>
        <w:t xml:space="preserve"> </w:t>
      </w:r>
      <w:r w:rsidRPr="00451078">
        <w:rPr>
          <w:rFonts w:cs="Tahoma"/>
          <w:szCs w:val="18"/>
          <w:lang w:val="it-IT"/>
        </w:rPr>
        <w:t>I corrispettivi annuali normalmente addebitati nel quadro del contratto di Supporto Esteso sono sospesi durante il periodo di validità della copertura Software Server per le società idonee a</w:t>
      </w:r>
      <w:r w:rsidR="00BC32EE" w:rsidRPr="00451078">
        <w:rPr>
          <w:rFonts w:cs="Tahoma"/>
          <w:szCs w:val="18"/>
          <w:lang w:val="it-IT"/>
        </w:rPr>
        <w:t> </w:t>
      </w:r>
      <w:r w:rsidRPr="00451078">
        <w:rPr>
          <w:rFonts w:cs="Tahoma"/>
          <w:szCs w:val="18"/>
          <w:lang w:val="it-IT"/>
        </w:rPr>
        <w:t>ricevere questo beneficio Software Assurance. Le società idonee a ricevere questo beneficio non avranno l</w:t>
      </w:r>
      <w:r w:rsidR="004525CA">
        <w:rPr>
          <w:rFonts w:cs="Tahoma"/>
          <w:szCs w:val="18"/>
          <w:lang w:val="it-IT"/>
        </w:rPr>
        <w:t>’</w:t>
      </w:r>
      <w:r w:rsidRPr="00451078">
        <w:rPr>
          <w:rFonts w:cs="Tahoma"/>
          <w:szCs w:val="18"/>
          <w:lang w:val="it-IT"/>
        </w:rPr>
        <w:t>obbligo di abbonarsi entro un periodo di 90 giorni di transizione del prodotto al Supporto Esteso.</w:t>
      </w:r>
      <w:r w:rsidR="00082E1C" w:rsidRPr="00451078">
        <w:rPr>
          <w:rFonts w:cs="Tahoma"/>
          <w:szCs w:val="18"/>
          <w:lang w:val="it-IT"/>
        </w:rPr>
        <w:t xml:space="preserve"> </w:t>
      </w:r>
    </w:p>
    <w:p w:rsidR="00023FE7" w:rsidRPr="00451078" w:rsidRDefault="00023FE7">
      <w:pPr>
        <w:rPr>
          <w:lang w:val="it-IT"/>
        </w:rPr>
      </w:pPr>
    </w:p>
    <w:p w:rsidR="00023FE7" w:rsidRPr="00451078" w:rsidRDefault="00023FE7">
      <w:pPr>
        <w:rPr>
          <w:lang w:val="it-IT"/>
        </w:rPr>
      </w:pPr>
      <w:r w:rsidRPr="00451078">
        <w:rPr>
          <w:rFonts w:cs="Tahoma"/>
          <w:szCs w:val="18"/>
          <w:lang w:val="it-IT"/>
        </w:rPr>
        <w:t>Le società sono comunque responsabili dei corrispettivi delle singole Hotfix.</w:t>
      </w:r>
      <w:r w:rsidR="00082E1C" w:rsidRPr="00451078">
        <w:rPr>
          <w:rFonts w:cs="Tahoma"/>
          <w:szCs w:val="18"/>
          <w:lang w:val="it-IT"/>
        </w:rPr>
        <w:t xml:space="preserve"> </w:t>
      </w:r>
      <w:r w:rsidRPr="00451078">
        <w:rPr>
          <w:rFonts w:cs="Tahoma"/>
          <w:szCs w:val="18"/>
          <w:lang w:val="it-IT"/>
        </w:rPr>
        <w:t>Un contratto Premier o Essential costituisce condizione preliminare per l</w:t>
      </w:r>
      <w:r w:rsidR="004525CA">
        <w:rPr>
          <w:rFonts w:cs="Tahoma"/>
          <w:szCs w:val="18"/>
          <w:lang w:val="it-IT"/>
        </w:rPr>
        <w:t>’</w:t>
      </w:r>
      <w:r w:rsidRPr="00451078">
        <w:rPr>
          <w:rFonts w:cs="Tahoma"/>
          <w:szCs w:val="18"/>
          <w:lang w:val="it-IT"/>
        </w:rPr>
        <w:t>idoneità.</w:t>
      </w:r>
    </w:p>
    <w:p w:rsidR="000429EF" w:rsidRPr="00451078" w:rsidRDefault="000429EF">
      <w:pPr>
        <w:pStyle w:val="Heading3"/>
        <w:rPr>
          <w:lang w:val="it-IT"/>
        </w:rPr>
      </w:pPr>
    </w:p>
    <w:p w:rsidR="00023FE7" w:rsidRPr="003410C7" w:rsidRDefault="00023FE7">
      <w:pPr>
        <w:pStyle w:val="Heading3"/>
      </w:pPr>
      <w:bookmarkStart w:id="961" w:name="_Toc336338244"/>
      <w:bookmarkStart w:id="962" w:name="_Toc352234839"/>
      <w:r w:rsidRPr="003410C7">
        <w:rPr>
          <w:rFonts w:ascii="Tahoma" w:hAnsi="Tahoma" w:cs="Tahoma"/>
          <w:sz w:val="24"/>
        </w:rPr>
        <w:t>Microsoft Desktop Optimization Pack per Software Assurance</w:t>
      </w:r>
      <w:bookmarkEnd w:id="961"/>
      <w:bookmarkEnd w:id="962"/>
    </w:p>
    <w:p w:rsidR="00023FE7" w:rsidRPr="003410C7" w:rsidRDefault="00023FE7"/>
    <w:p w:rsidR="00F30075" w:rsidRPr="00451078" w:rsidRDefault="00F30075" w:rsidP="00F30075">
      <w:pPr>
        <w:rPr>
          <w:lang w:val="it-IT"/>
        </w:rPr>
      </w:pPr>
      <w:r w:rsidRPr="00451078">
        <w:rPr>
          <w:rFonts w:eastAsia="MS PGothic" w:cs="Tahoma"/>
          <w:szCs w:val="18"/>
          <w:lang w:val="it-IT"/>
        </w:rPr>
        <w:t>Microsoft Desktop Optimization Pack per Software Assurance (MDOP) è un acquisto opzionale a disposizione unicamente delle società che dispongono delle seguenti caratteristiche:</w:t>
      </w:r>
    </w:p>
    <w:p w:rsidR="00E762F8" w:rsidRPr="005D7737" w:rsidRDefault="00E762F8" w:rsidP="00F30075">
      <w:pPr>
        <w:rPr>
          <w:sz w:val="10"/>
          <w:szCs w:val="10"/>
          <w:lang w:val="it-IT"/>
        </w:rPr>
      </w:pPr>
    </w:p>
    <w:p w:rsidR="00F30075" w:rsidRPr="00451078" w:rsidRDefault="00F30075" w:rsidP="00745AB3">
      <w:pPr>
        <w:numPr>
          <w:ilvl w:val="0"/>
          <w:numId w:val="47"/>
        </w:numPr>
        <w:spacing w:after="60" w:line="276" w:lineRule="auto"/>
        <w:ind w:left="1440" w:hanging="274"/>
        <w:rPr>
          <w:lang w:val="it-IT"/>
        </w:rPr>
      </w:pPr>
      <w:r w:rsidRPr="00451078">
        <w:rPr>
          <w:rFonts w:eastAsia="MS PGothic" w:cs="Tahoma"/>
          <w:szCs w:val="18"/>
          <w:lang w:val="it-IT"/>
        </w:rPr>
        <w:t>copertura Software Assurance Attiva per le licenze del sistema operativo desktop Windows;</w:t>
      </w:r>
    </w:p>
    <w:p w:rsidR="00F30075" w:rsidRPr="00451078" w:rsidRDefault="00F30075" w:rsidP="00745AB3">
      <w:pPr>
        <w:numPr>
          <w:ilvl w:val="0"/>
          <w:numId w:val="47"/>
        </w:numPr>
        <w:spacing w:after="60" w:line="276" w:lineRule="auto"/>
        <w:ind w:left="1440" w:hanging="274"/>
        <w:rPr>
          <w:lang w:val="it-IT"/>
        </w:rPr>
      </w:pPr>
      <w:r w:rsidRPr="00451078">
        <w:rPr>
          <w:rFonts w:eastAsia="MS PGothic" w:cs="Tahoma"/>
          <w:szCs w:val="18"/>
          <w:lang w:val="it-IT"/>
        </w:rPr>
        <w:t>sottoscrizioni attive per Windows Virtual Desktop Access o</w:t>
      </w:r>
    </w:p>
    <w:p w:rsidR="00F30075" w:rsidRPr="00451078" w:rsidRDefault="00F30075" w:rsidP="00745AB3">
      <w:pPr>
        <w:numPr>
          <w:ilvl w:val="0"/>
          <w:numId w:val="47"/>
        </w:numPr>
        <w:spacing w:after="60" w:line="276" w:lineRule="auto"/>
        <w:ind w:left="1440" w:hanging="274"/>
        <w:rPr>
          <w:lang w:val="it-IT"/>
        </w:rPr>
      </w:pPr>
      <w:r w:rsidRPr="00451078">
        <w:rPr>
          <w:rFonts w:eastAsia="MS PGothic" w:cs="Tahoma"/>
          <w:szCs w:val="18"/>
          <w:lang w:val="it-IT"/>
        </w:rPr>
        <w:lastRenderedPageBreak/>
        <w:t xml:space="preserve">sottoscrizioni attive per Windows Intune </w:t>
      </w:r>
      <w:r w:rsidRPr="00451078">
        <w:rPr>
          <w:rFonts w:cs="Tahoma"/>
          <w:szCs w:val="18"/>
          <w:lang w:val="it-IT"/>
        </w:rPr>
        <w:t>(Per Dispositivo) o</w:t>
      </w:r>
    </w:p>
    <w:p w:rsidR="00421D4A" w:rsidRPr="00451078" w:rsidRDefault="00421D4A" w:rsidP="00745AB3">
      <w:pPr>
        <w:numPr>
          <w:ilvl w:val="0"/>
          <w:numId w:val="47"/>
        </w:numPr>
        <w:spacing w:after="200" w:line="276" w:lineRule="auto"/>
        <w:ind w:left="1440" w:hanging="270"/>
        <w:rPr>
          <w:lang w:val="it-IT"/>
        </w:rPr>
      </w:pPr>
      <w:r w:rsidRPr="00451078">
        <w:rPr>
          <w:rFonts w:eastAsia="MS PGothic" w:cs="Tahoma"/>
          <w:color w:val="000000"/>
          <w:szCs w:val="18"/>
          <w:lang w:val="it-IT"/>
        </w:rPr>
        <w:t xml:space="preserve">sottoscrizioni attive per la </w:t>
      </w:r>
      <w:r w:rsidRPr="00451078">
        <w:rPr>
          <w:rFonts w:eastAsia="MS PGothic" w:cs="Tahoma"/>
          <w:szCs w:val="18"/>
          <w:lang w:val="it-IT"/>
        </w:rPr>
        <w:t xml:space="preserve">Licenza </w:t>
      </w:r>
      <w:r w:rsidR="001A3EC5" w:rsidRPr="00451078">
        <w:rPr>
          <w:rFonts w:eastAsia="MS PGothic" w:cs="Tahoma"/>
          <w:szCs w:val="18"/>
          <w:lang w:val="it-IT"/>
        </w:rPr>
        <w:t>“</w:t>
      </w:r>
      <w:r w:rsidRPr="00451078">
        <w:rPr>
          <w:rFonts w:eastAsia="MS PGothic" w:cs="Tahoma"/>
          <w:szCs w:val="18"/>
          <w:lang w:val="it-IT"/>
        </w:rPr>
        <w:t>Subscription</w:t>
      </w:r>
      <w:r w:rsidR="001A3EC5" w:rsidRPr="00451078">
        <w:rPr>
          <w:rFonts w:eastAsia="MS PGothic" w:cs="Tahoma"/>
          <w:szCs w:val="18"/>
          <w:lang w:val="it-IT"/>
        </w:rPr>
        <w:t>”</w:t>
      </w:r>
      <w:r w:rsidRPr="00451078">
        <w:rPr>
          <w:rFonts w:eastAsia="MS PGothic" w:cs="Tahoma"/>
          <w:szCs w:val="18"/>
          <w:lang w:val="it-IT"/>
        </w:rPr>
        <w:t xml:space="preserve"> per Windows Companion</w:t>
      </w:r>
    </w:p>
    <w:p w:rsidR="00023FE7" w:rsidRPr="005D7737" w:rsidRDefault="00023FE7">
      <w:pPr>
        <w:rPr>
          <w:sz w:val="10"/>
          <w:szCs w:val="10"/>
          <w:lang w:val="it-IT"/>
        </w:rPr>
      </w:pPr>
    </w:p>
    <w:p w:rsidR="00023FE7" w:rsidRPr="00451078" w:rsidRDefault="00023FE7">
      <w:pPr>
        <w:rPr>
          <w:lang w:val="it-IT"/>
        </w:rPr>
      </w:pPr>
      <w:r w:rsidRPr="00451078">
        <w:rPr>
          <w:rFonts w:eastAsia="MS PGothic" w:cs="Tahoma"/>
          <w:color w:val="000000"/>
          <w:szCs w:val="18"/>
          <w:lang w:val="it-IT"/>
        </w:rPr>
        <w:t>Per ulteriori informazioni su questo prodotto fare riferimento alle Note del Prodotto nella sezione relativa ai gruppi di</w:t>
      </w:r>
      <w:r w:rsidR="00BC32EE" w:rsidRPr="00451078">
        <w:rPr>
          <w:rFonts w:eastAsia="MS PGothic" w:cs="Tahoma"/>
          <w:color w:val="000000"/>
          <w:szCs w:val="18"/>
          <w:lang w:val="it-IT"/>
        </w:rPr>
        <w:t> </w:t>
      </w:r>
      <w:r w:rsidRPr="00451078">
        <w:rPr>
          <w:rFonts w:eastAsia="MS PGothic" w:cs="Tahoma"/>
          <w:color w:val="000000"/>
          <w:szCs w:val="18"/>
          <w:lang w:val="it-IT"/>
        </w:rPr>
        <w:t xml:space="preserve">sistemi del presente documento. </w:t>
      </w:r>
    </w:p>
    <w:p w:rsidR="00023FE7" w:rsidRPr="00451078" w:rsidRDefault="00023FE7">
      <w:pPr>
        <w:rPr>
          <w:lang w:val="it-IT"/>
        </w:rPr>
      </w:pPr>
    </w:p>
    <w:p w:rsidR="002D7B73" w:rsidRPr="00451078" w:rsidRDefault="008C0608" w:rsidP="002D7B73">
      <w:pPr>
        <w:rPr>
          <w:lang w:val="it-IT"/>
        </w:rPr>
      </w:pPr>
      <w:r w:rsidRPr="00451078">
        <w:rPr>
          <w:rFonts w:cs="Tahoma"/>
          <w:b/>
          <w:color w:val="000000"/>
          <w:sz w:val="24"/>
          <w:szCs w:val="18"/>
          <w:lang w:val="it-IT"/>
        </w:rPr>
        <w:t>Diritti di Virtualizzazione per i Desktop con Licenza Windows</w:t>
      </w:r>
    </w:p>
    <w:p w:rsidR="0043735F" w:rsidRPr="00451078" w:rsidRDefault="0043735F" w:rsidP="008C0608">
      <w:pPr>
        <w:rPr>
          <w:lang w:val="it-IT"/>
        </w:rPr>
      </w:pPr>
    </w:p>
    <w:p w:rsidR="008C0608" w:rsidRPr="00451078" w:rsidRDefault="008C0608" w:rsidP="008C0608">
      <w:pPr>
        <w:rPr>
          <w:lang w:val="it-IT"/>
        </w:rPr>
      </w:pPr>
      <w:r w:rsidRPr="00451078">
        <w:rPr>
          <w:rFonts w:cs="Tahoma"/>
          <w:color w:val="000000"/>
          <w:szCs w:val="18"/>
          <w:lang w:val="it-IT"/>
        </w:rPr>
        <w:t>Le società che hanno stipulato Contratti Multilicenza dispongono di un certo grado di flessibilità in merito alla modalità di distribuzione di Windows 8 tra le diverse organizzazioni.</w:t>
      </w:r>
      <w:r w:rsidR="00082E1C" w:rsidRPr="00451078">
        <w:rPr>
          <w:rFonts w:cs="Tahoma"/>
          <w:color w:val="000000"/>
          <w:szCs w:val="18"/>
          <w:lang w:val="it-IT"/>
        </w:rPr>
        <w:t xml:space="preserve"> </w:t>
      </w:r>
    </w:p>
    <w:p w:rsidR="008C0608" w:rsidRPr="00451078" w:rsidRDefault="008C0608" w:rsidP="008C0608">
      <w:pPr>
        <w:jc w:val="both"/>
        <w:rPr>
          <w:lang w:val="it-IT"/>
        </w:rPr>
      </w:pPr>
      <w:r w:rsidRPr="00451078">
        <w:rPr>
          <w:rFonts w:cs="Tahoma"/>
          <w:szCs w:val="18"/>
          <w:lang w:val="it-IT"/>
        </w:rPr>
        <w:t>Le società che dispongono di una o entrambe le seguenti caratteristiche potranno usufruire dei diritti sull</w:t>
      </w:r>
      <w:r w:rsidR="004525CA">
        <w:rPr>
          <w:rFonts w:cs="Tahoma"/>
          <w:szCs w:val="18"/>
          <w:lang w:val="it-IT"/>
        </w:rPr>
        <w:t>’</w:t>
      </w:r>
      <w:r w:rsidRPr="00451078">
        <w:rPr>
          <w:rFonts w:cs="Tahoma"/>
          <w:szCs w:val="18"/>
          <w:lang w:val="it-IT"/>
        </w:rPr>
        <w:t>utilizzo della</w:t>
      </w:r>
      <w:r w:rsidR="00BC32EE" w:rsidRPr="00451078">
        <w:rPr>
          <w:rFonts w:cs="Tahoma"/>
          <w:szCs w:val="18"/>
          <w:lang w:val="it-IT"/>
        </w:rPr>
        <w:t> </w:t>
      </w:r>
      <w:r w:rsidRPr="00451078">
        <w:rPr>
          <w:rFonts w:cs="Tahoma"/>
          <w:szCs w:val="18"/>
          <w:lang w:val="it-IT"/>
        </w:rPr>
        <w:t>virtualizzazione:</w:t>
      </w:r>
    </w:p>
    <w:p w:rsidR="00BF1889" w:rsidRPr="005D7737" w:rsidRDefault="00BF1889" w:rsidP="008C0608">
      <w:pPr>
        <w:jc w:val="both"/>
        <w:rPr>
          <w:sz w:val="10"/>
          <w:szCs w:val="10"/>
          <w:lang w:val="it-IT"/>
        </w:rPr>
      </w:pPr>
    </w:p>
    <w:p w:rsidR="00F30075" w:rsidRPr="00451078" w:rsidRDefault="00F30075" w:rsidP="00745AB3">
      <w:pPr>
        <w:numPr>
          <w:ilvl w:val="0"/>
          <w:numId w:val="39"/>
        </w:numPr>
        <w:spacing w:after="60" w:line="276" w:lineRule="auto"/>
        <w:ind w:left="1440"/>
        <w:rPr>
          <w:lang w:val="it-IT"/>
        </w:rPr>
      </w:pPr>
      <w:r w:rsidRPr="00451078">
        <w:rPr>
          <w:rFonts w:eastAsia="MS PGothic" w:cs="Tahoma"/>
          <w:szCs w:val="18"/>
          <w:lang w:val="it-IT"/>
        </w:rPr>
        <w:t>copertura Software Assurance Attiva per le licenze del sistema operativo desktop Windows;</w:t>
      </w:r>
    </w:p>
    <w:p w:rsidR="00AC246A" w:rsidRPr="00451078" w:rsidRDefault="00F30075" w:rsidP="00745AB3">
      <w:pPr>
        <w:numPr>
          <w:ilvl w:val="0"/>
          <w:numId w:val="39"/>
        </w:numPr>
        <w:spacing w:after="60" w:line="276" w:lineRule="auto"/>
        <w:ind w:left="1440"/>
        <w:jc w:val="both"/>
        <w:rPr>
          <w:lang w:val="it-IT"/>
        </w:rPr>
      </w:pPr>
      <w:r w:rsidRPr="00451078">
        <w:rPr>
          <w:rFonts w:cs="Tahoma"/>
          <w:szCs w:val="18"/>
          <w:lang w:val="it-IT"/>
        </w:rPr>
        <w:t>vantaggio dei Servizi Online fornito insieme agli acquisti di Windows Intune (Per Dispositivo)</w:t>
      </w:r>
    </w:p>
    <w:p w:rsidR="00F30075" w:rsidRPr="00451078" w:rsidRDefault="00F30075" w:rsidP="00745AB3">
      <w:pPr>
        <w:numPr>
          <w:ilvl w:val="0"/>
          <w:numId w:val="39"/>
        </w:numPr>
        <w:spacing w:after="60" w:line="276" w:lineRule="auto"/>
        <w:ind w:left="1440"/>
        <w:jc w:val="both"/>
        <w:rPr>
          <w:lang w:val="it-IT"/>
        </w:rPr>
      </w:pPr>
      <w:r w:rsidRPr="00451078">
        <w:rPr>
          <w:rFonts w:cs="Tahoma"/>
          <w:szCs w:val="18"/>
          <w:lang w:val="it-IT"/>
        </w:rPr>
        <w:t>sottoscrizioni attive per Windows Intune (Per Dispositivo)</w:t>
      </w:r>
    </w:p>
    <w:p w:rsidR="00F30075" w:rsidRPr="005D7737" w:rsidRDefault="00F30075" w:rsidP="008C0608">
      <w:pPr>
        <w:rPr>
          <w:sz w:val="10"/>
          <w:szCs w:val="10"/>
          <w:lang w:val="it-IT"/>
        </w:rPr>
      </w:pPr>
    </w:p>
    <w:p w:rsidR="002D7B73" w:rsidRDefault="002D7B73" w:rsidP="008C0608">
      <w:pPr>
        <w:rPr>
          <w:rFonts w:cs="Tahoma"/>
          <w:color w:val="000000"/>
          <w:szCs w:val="18"/>
          <w:lang w:val="it-IT"/>
        </w:rPr>
      </w:pPr>
      <w:r w:rsidRPr="00451078">
        <w:rPr>
          <w:rFonts w:cs="Tahoma"/>
          <w:color w:val="000000"/>
          <w:szCs w:val="18"/>
          <w:lang w:val="it-IT"/>
        </w:rPr>
        <w:t>Tale diritto di utilizzo consente di eseguire il software su un massimo di quattro macchine virtuali locali.</w:t>
      </w:r>
      <w:r w:rsidR="00082E1C" w:rsidRPr="00451078">
        <w:rPr>
          <w:rFonts w:cs="Tahoma"/>
          <w:color w:val="000000"/>
          <w:szCs w:val="18"/>
          <w:lang w:val="it-IT"/>
        </w:rPr>
        <w:t xml:space="preserve"> </w:t>
      </w:r>
      <w:r w:rsidRPr="00451078">
        <w:rPr>
          <w:rFonts w:cs="Tahoma"/>
          <w:color w:val="000000"/>
          <w:szCs w:val="18"/>
          <w:lang w:val="it-IT"/>
        </w:rPr>
        <w:t>Mentre il diritto di utilizzo di Windows 8 Enterprise potrà mantenere validità anche dopo la scadenza della copertura Software Assurance, il Diritto di Utilizzo della Virtualizzazione cesserà. Per ulteriori informazioni sui diritti di utilizzo, l</w:t>
      </w:r>
      <w:r w:rsidR="004525CA">
        <w:rPr>
          <w:rFonts w:cs="Tahoma"/>
          <w:color w:val="000000"/>
          <w:szCs w:val="18"/>
          <w:lang w:val="it-IT"/>
        </w:rPr>
        <w:t>’</w:t>
      </w:r>
      <w:r w:rsidRPr="00451078">
        <w:rPr>
          <w:rFonts w:cs="Tahoma"/>
          <w:color w:val="000000"/>
          <w:szCs w:val="18"/>
          <w:lang w:val="it-IT"/>
        </w:rPr>
        <w:t>utente dovrà fare riferimento al documento Diritti di Utilizzo del Prodotto.</w:t>
      </w:r>
    </w:p>
    <w:p w:rsidR="00AC11F4" w:rsidRPr="00451078" w:rsidRDefault="00AC11F4" w:rsidP="008C0608">
      <w:pPr>
        <w:rPr>
          <w:lang w:val="it-IT"/>
        </w:rPr>
      </w:pPr>
    </w:p>
    <w:p w:rsidR="002D7B73" w:rsidRPr="00451078" w:rsidRDefault="002D7B73" w:rsidP="002D7B73">
      <w:pPr>
        <w:pStyle w:val="Heading3"/>
        <w:rPr>
          <w:lang w:val="it-IT"/>
        </w:rPr>
      </w:pPr>
      <w:bookmarkStart w:id="963" w:name="_Toc257907651"/>
      <w:bookmarkStart w:id="964" w:name="_Toc336338245"/>
      <w:bookmarkStart w:id="965" w:name="_Toc352234840"/>
      <w:bookmarkStart w:id="966" w:name="_Toc233026785"/>
      <w:r w:rsidRPr="00451078">
        <w:rPr>
          <w:rFonts w:ascii="Tahoma" w:hAnsi="Tahoma"/>
          <w:color w:val="000000"/>
          <w:sz w:val="24"/>
          <w:lang w:val="it-IT"/>
        </w:rPr>
        <w:t>Diritti per</w:t>
      </w:r>
      <w:bookmarkEnd w:id="963"/>
      <w:r w:rsidRPr="00451078">
        <w:rPr>
          <w:rFonts w:ascii="Tahoma" w:hAnsi="Tahoma"/>
          <w:color w:val="000000"/>
          <w:sz w:val="24"/>
          <w:lang w:val="it-IT"/>
        </w:rPr>
        <w:t xml:space="preserve"> Windows Virtual Desktop Access (VDA)</w:t>
      </w:r>
      <w:bookmarkEnd w:id="964"/>
      <w:bookmarkEnd w:id="965"/>
    </w:p>
    <w:p w:rsidR="002D7B73" w:rsidRPr="00451078" w:rsidRDefault="002D7B73" w:rsidP="002D7B73">
      <w:pPr>
        <w:rPr>
          <w:lang w:val="it-IT"/>
        </w:rPr>
      </w:pPr>
    </w:p>
    <w:p w:rsidR="00EC5C9D" w:rsidRPr="00451078" w:rsidRDefault="00EC5C9D" w:rsidP="00EC5C9D">
      <w:pPr>
        <w:rPr>
          <w:lang w:val="it-IT"/>
        </w:rPr>
      </w:pPr>
      <w:r w:rsidRPr="00451078">
        <w:rPr>
          <w:rFonts w:eastAsia="Calibri" w:cs="Tahoma"/>
          <w:color w:val="000000"/>
          <w:szCs w:val="18"/>
          <w:lang w:val="it-IT"/>
        </w:rPr>
        <w:t xml:space="preserve">I diritti per Windows VDA sono disponibili per le società con copertura Software Assurance per il sistema operativo desktop Windows e per le società con licenza per Windows Intune </w:t>
      </w:r>
      <w:r w:rsidRPr="00451078">
        <w:rPr>
          <w:rFonts w:cs="Tahoma"/>
          <w:szCs w:val="18"/>
          <w:lang w:val="it-IT"/>
        </w:rPr>
        <w:t>(Per Dispositivo)</w:t>
      </w:r>
      <w:r w:rsidRPr="00451078">
        <w:rPr>
          <w:rFonts w:eastAsia="Calibri" w:cs="Tahoma"/>
          <w:color w:val="000000"/>
          <w:szCs w:val="18"/>
          <w:lang w:val="it-IT"/>
        </w:rPr>
        <w:t>.</w:t>
      </w:r>
      <w:r w:rsidR="00082E1C" w:rsidRPr="00451078">
        <w:rPr>
          <w:rFonts w:eastAsia="Calibri" w:cs="Tahoma"/>
          <w:color w:val="000000"/>
          <w:szCs w:val="18"/>
          <w:lang w:val="it-IT"/>
        </w:rPr>
        <w:t xml:space="preserve"> </w:t>
      </w:r>
      <w:r w:rsidRPr="00451078">
        <w:rPr>
          <w:rFonts w:eastAsia="Calibri" w:cs="Tahoma"/>
          <w:color w:val="000000"/>
          <w:szCs w:val="18"/>
          <w:lang w:val="it-IT"/>
        </w:rPr>
        <w:t xml:space="preserve">Sono disponibili anche come licenza </w:t>
      </w:r>
      <w:r w:rsidR="001A3EC5" w:rsidRPr="00451078">
        <w:rPr>
          <w:rFonts w:eastAsia="Calibri" w:cs="Tahoma"/>
          <w:color w:val="000000"/>
          <w:szCs w:val="18"/>
          <w:lang w:val="it-IT"/>
        </w:rPr>
        <w:t>“</w:t>
      </w:r>
      <w:r w:rsidRPr="00451078">
        <w:rPr>
          <w:rFonts w:eastAsia="Calibri" w:cs="Tahoma"/>
          <w:color w:val="000000"/>
          <w:szCs w:val="18"/>
          <w:lang w:val="it-IT"/>
        </w:rPr>
        <w:t>Subscription</w:t>
      </w:r>
      <w:r w:rsidR="001A3EC5" w:rsidRPr="00451078">
        <w:rPr>
          <w:rFonts w:eastAsia="Calibri" w:cs="Tahoma"/>
          <w:color w:val="000000"/>
          <w:szCs w:val="18"/>
          <w:lang w:val="it-IT"/>
        </w:rPr>
        <w:t>”</w:t>
      </w:r>
      <w:r w:rsidRPr="00451078">
        <w:rPr>
          <w:rFonts w:eastAsia="Calibri" w:cs="Tahoma"/>
          <w:color w:val="000000"/>
          <w:szCs w:val="18"/>
          <w:lang w:val="it-IT"/>
        </w:rPr>
        <w:t xml:space="preserve"> distinta. Windows VDA avvantaggia le società intenzionate a distribuire Windows con l</w:t>
      </w:r>
      <w:r w:rsidR="004525CA">
        <w:rPr>
          <w:rFonts w:eastAsia="Calibri" w:cs="Tahoma"/>
          <w:color w:val="000000"/>
          <w:szCs w:val="18"/>
          <w:lang w:val="it-IT"/>
        </w:rPr>
        <w:t>’</w:t>
      </w:r>
      <w:r w:rsidRPr="00451078">
        <w:rPr>
          <w:rFonts w:eastAsia="Calibri" w:cs="Tahoma"/>
          <w:color w:val="000000"/>
          <w:szCs w:val="18"/>
          <w:lang w:val="it-IT"/>
        </w:rPr>
        <w:t>ausilio di</w:t>
      </w:r>
      <w:r w:rsidR="00BC32EE" w:rsidRPr="00451078">
        <w:rPr>
          <w:rFonts w:eastAsia="Calibri" w:cs="Tahoma"/>
          <w:color w:val="000000"/>
          <w:szCs w:val="18"/>
          <w:lang w:val="it-IT"/>
        </w:rPr>
        <w:t> </w:t>
      </w:r>
      <w:r w:rsidRPr="00451078">
        <w:rPr>
          <w:rFonts w:eastAsia="Calibri" w:cs="Tahoma"/>
          <w:color w:val="000000"/>
          <w:szCs w:val="18"/>
          <w:lang w:val="it-IT"/>
        </w:rPr>
        <w:t xml:space="preserve">dispositivi thin client (in genere preinstallati su un sistema operativo integrato). La licenza </w:t>
      </w:r>
      <w:r w:rsidR="001A3EC5" w:rsidRPr="00451078">
        <w:rPr>
          <w:rFonts w:eastAsia="Calibri" w:cs="Tahoma"/>
          <w:color w:val="000000"/>
          <w:szCs w:val="18"/>
          <w:lang w:val="it-IT"/>
        </w:rPr>
        <w:t>“</w:t>
      </w:r>
      <w:r w:rsidRPr="00451078">
        <w:rPr>
          <w:rFonts w:eastAsia="Calibri" w:cs="Tahoma"/>
          <w:color w:val="000000"/>
          <w:szCs w:val="18"/>
          <w:lang w:val="it-IT"/>
        </w:rPr>
        <w:t>subscription</w:t>
      </w:r>
      <w:r w:rsidR="001A3EC5" w:rsidRPr="00451078">
        <w:rPr>
          <w:rFonts w:eastAsia="Calibri" w:cs="Tahoma"/>
          <w:color w:val="000000"/>
          <w:szCs w:val="18"/>
          <w:lang w:val="it-IT"/>
        </w:rPr>
        <w:t>”</w:t>
      </w:r>
      <w:r w:rsidRPr="00451078">
        <w:rPr>
          <w:rFonts w:eastAsia="Calibri" w:cs="Tahoma"/>
          <w:color w:val="000000"/>
          <w:szCs w:val="18"/>
          <w:lang w:val="it-IT"/>
        </w:rPr>
        <w:t xml:space="preserve"> VDA concede alle società il diritto di eseguire la versione più recente del sistema operativo desktop Windows messa a</w:t>
      </w:r>
      <w:r w:rsidR="00BC32EE" w:rsidRPr="00451078">
        <w:rPr>
          <w:rFonts w:eastAsia="Calibri" w:cs="Tahoma"/>
          <w:color w:val="000000"/>
          <w:szCs w:val="18"/>
          <w:lang w:val="it-IT"/>
        </w:rPr>
        <w:t> </w:t>
      </w:r>
      <w:r w:rsidRPr="00451078">
        <w:rPr>
          <w:rFonts w:eastAsia="Calibri" w:cs="Tahoma"/>
          <w:color w:val="000000"/>
          <w:szCs w:val="18"/>
          <w:lang w:val="it-IT"/>
        </w:rPr>
        <w:t>disposizione durante il periodo di validità dell</w:t>
      </w:r>
      <w:r w:rsidR="004525CA">
        <w:rPr>
          <w:rFonts w:eastAsia="Calibri" w:cs="Tahoma"/>
          <w:color w:val="000000"/>
          <w:szCs w:val="18"/>
          <w:lang w:val="it-IT"/>
        </w:rPr>
        <w:t>’</w:t>
      </w:r>
      <w:r w:rsidRPr="00451078">
        <w:rPr>
          <w:rFonts w:eastAsia="Calibri" w:cs="Tahoma"/>
          <w:color w:val="000000"/>
          <w:szCs w:val="18"/>
          <w:lang w:val="it-IT"/>
        </w:rPr>
        <w:t>abbonamento.</w:t>
      </w:r>
    </w:p>
    <w:p w:rsidR="00EC5C9D" w:rsidRPr="00451078" w:rsidRDefault="00EC5C9D" w:rsidP="00EC5C9D">
      <w:pPr>
        <w:rPr>
          <w:lang w:val="it-IT"/>
        </w:rPr>
      </w:pPr>
    </w:p>
    <w:p w:rsidR="00EC5C9D" w:rsidRPr="00451078" w:rsidRDefault="00EC5C9D" w:rsidP="00EC5C9D">
      <w:pPr>
        <w:rPr>
          <w:lang w:val="it-IT"/>
        </w:rPr>
      </w:pPr>
      <w:r w:rsidRPr="00451078">
        <w:rPr>
          <w:rFonts w:eastAsia="Calibri" w:cs="Tahoma"/>
          <w:color w:val="000000"/>
          <w:szCs w:val="18"/>
          <w:lang w:val="it-IT"/>
        </w:rPr>
        <w:t>Per ulteriori informazioni su VDA, fare riferimento al documento Diritti di Utilizzo del Prodotto.</w:t>
      </w:r>
    </w:p>
    <w:bookmarkEnd w:id="966"/>
    <w:p w:rsidR="00023FE7" w:rsidRPr="00451078" w:rsidRDefault="00023FE7">
      <w:pPr>
        <w:rPr>
          <w:lang w:val="it-IT"/>
        </w:rPr>
      </w:pPr>
    </w:p>
    <w:p w:rsidR="00023FE7" w:rsidRPr="00451078" w:rsidRDefault="00023FE7">
      <w:pPr>
        <w:rPr>
          <w:lang w:val="it-IT"/>
        </w:rPr>
      </w:pPr>
      <w:bookmarkStart w:id="967" w:name="_Toc336338246"/>
      <w:bookmarkStart w:id="968" w:name="_Toc352234841"/>
      <w:r w:rsidRPr="00451078">
        <w:rPr>
          <w:rStyle w:val="Heading3Char"/>
          <w:rFonts w:ascii="Tahoma" w:hAnsi="Tahoma"/>
          <w:sz w:val="24"/>
          <w:lang w:val="it-IT"/>
        </w:rPr>
        <w:t>Disponibilità di Licenze Step-Up</w:t>
      </w:r>
      <w:bookmarkEnd w:id="967"/>
      <w:bookmarkEnd w:id="968"/>
      <w:r w:rsidRPr="00451078">
        <w:rPr>
          <w:rFonts w:cs="Tahoma"/>
          <w:b/>
          <w:sz w:val="24"/>
          <w:szCs w:val="20"/>
          <w:lang w:val="it-IT"/>
        </w:rPr>
        <w:t>*</w:t>
      </w:r>
    </w:p>
    <w:p w:rsidR="00023FE7" w:rsidRPr="00451078" w:rsidRDefault="00023FE7">
      <w:pPr>
        <w:rPr>
          <w:lang w:val="it-IT"/>
        </w:rPr>
      </w:pPr>
    </w:p>
    <w:p w:rsidR="00023FE7" w:rsidRPr="002E3937" w:rsidRDefault="00AD6AD6">
      <w:pPr>
        <w:rPr>
          <w:szCs w:val="18"/>
          <w:lang w:val="it-IT"/>
        </w:rPr>
      </w:pPr>
      <w:r w:rsidRPr="002E3937">
        <w:rPr>
          <w:rFonts w:cs="Tahoma"/>
          <w:szCs w:val="18"/>
          <w:lang w:val="it-IT"/>
        </w:rPr>
        <w:t xml:space="preserve">Le società potranno eseguire la migrazione da una versione di livello inferiore a una versione di livello superiore di determinati prodotti con una Licenza Step-Up. Le società dovranno disporre di una licenza con copertura Software Assurance attiva per il prodotto qualificante, al fine di </w:t>
      </w:r>
      <w:r w:rsidRPr="002E3937">
        <w:rPr>
          <w:rFonts w:cs="Tahoma"/>
          <w:color w:val="000000"/>
          <w:szCs w:val="18"/>
          <w:lang w:val="it-IT"/>
        </w:rPr>
        <w:t>acquistare una Licenza Step-Up. La Licenza Step-Up dovrà essere acquistata, e sarà valida unicamente dopo l</w:t>
      </w:r>
      <w:r w:rsidR="004525CA">
        <w:rPr>
          <w:rFonts w:cs="Tahoma"/>
          <w:color w:val="000000"/>
          <w:szCs w:val="18"/>
          <w:lang w:val="it-IT"/>
        </w:rPr>
        <w:t>’</w:t>
      </w:r>
      <w:r w:rsidRPr="002E3937">
        <w:rPr>
          <w:rFonts w:cs="Tahoma"/>
          <w:color w:val="000000"/>
          <w:szCs w:val="18"/>
          <w:lang w:val="it-IT"/>
        </w:rPr>
        <w:t>acquisto, nell</w:t>
      </w:r>
      <w:r w:rsidR="004525CA">
        <w:rPr>
          <w:rFonts w:cs="Tahoma"/>
          <w:color w:val="000000"/>
          <w:szCs w:val="18"/>
          <w:lang w:val="it-IT"/>
        </w:rPr>
        <w:t>’</w:t>
      </w:r>
      <w:r w:rsidRPr="002E3937">
        <w:rPr>
          <w:rFonts w:cs="Tahoma"/>
          <w:color w:val="000000"/>
          <w:szCs w:val="18"/>
          <w:lang w:val="it-IT"/>
        </w:rPr>
        <w:t>ambito del medesimo contratto del Programma di Contratti Multilicenza e della medesima iscrizione, se disponibili, ai sensi dei quali è stata originariamente acquistata la copertura Software Assurance del prodotto</w:t>
      </w:r>
      <w:r w:rsidRPr="002E3937">
        <w:rPr>
          <w:rFonts w:cs="Tahoma"/>
          <w:szCs w:val="18"/>
          <w:lang w:val="it-IT"/>
        </w:rPr>
        <w:t xml:space="preserve"> qualificante.</w:t>
      </w:r>
      <w:r w:rsidR="00082E1C" w:rsidRPr="002E3937">
        <w:rPr>
          <w:rFonts w:cs="Tahoma"/>
          <w:szCs w:val="18"/>
          <w:lang w:val="it-IT"/>
        </w:rPr>
        <w:t xml:space="preserve"> </w:t>
      </w:r>
      <w:r w:rsidRPr="002E3937">
        <w:rPr>
          <w:rFonts w:cs="Tahoma"/>
          <w:szCs w:val="18"/>
          <w:lang w:val="it-IT"/>
        </w:rPr>
        <w:t>Il diritto di utilizzo del software da parte della società ai sensi della Licenza Step-Up è subordinato al possesso e al mantenimento di una Licenza per il prodotto qualificante. Le società non possono trasferire la Licenza per il prodotto qualificante separatamente dalla Licenza Step-Up.</w:t>
      </w:r>
      <w:r w:rsidR="00082E1C" w:rsidRPr="002E3937">
        <w:rPr>
          <w:rFonts w:cs="Tahoma"/>
          <w:szCs w:val="18"/>
          <w:lang w:val="it-IT"/>
        </w:rPr>
        <w:t xml:space="preserve"> </w:t>
      </w:r>
      <w:r w:rsidRPr="002E3937">
        <w:rPr>
          <w:rFonts w:cs="Tahoma"/>
          <w:szCs w:val="18"/>
          <w:lang w:val="it-IT"/>
        </w:rPr>
        <w:t>I diritti perpetui delle società concessi ai sensi della Licenza Step-Up prevalgono e sostituiscono la licenza sottostante per il prodotto qualificante. Per ulteriori informazioni, consultare il Documento relativo alla Licenza Step-up per Enterprise Edition nel quadro del Programma per Contratti Multilicenza all</w:t>
      </w:r>
      <w:r w:rsidR="004525CA">
        <w:rPr>
          <w:rFonts w:cs="Tahoma"/>
          <w:szCs w:val="18"/>
          <w:lang w:val="it-IT"/>
        </w:rPr>
        <w:t>’</w:t>
      </w:r>
      <w:r w:rsidRPr="002E3937">
        <w:rPr>
          <w:rFonts w:cs="Tahoma"/>
          <w:szCs w:val="18"/>
          <w:lang w:val="it-IT"/>
        </w:rPr>
        <w:t>indirizzo: http://</w:t>
      </w:r>
      <w:hyperlink r:id="rId32" w:history="1">
        <w:r w:rsidRPr="002E3937">
          <w:rPr>
            <w:rStyle w:val="Hyperlink"/>
            <w:rFonts w:cs="Tahoma"/>
            <w:szCs w:val="18"/>
            <w:lang w:val="it-IT"/>
          </w:rPr>
          <w:t>www.microsoft.com/licensing</w:t>
        </w:r>
      </w:hyperlink>
      <w:r w:rsidRPr="002E3937">
        <w:rPr>
          <w:rFonts w:cs="Tahoma"/>
          <w:szCs w:val="18"/>
          <w:lang w:val="it-IT"/>
        </w:rPr>
        <w:t xml:space="preserve"> </w:t>
      </w:r>
    </w:p>
    <w:p w:rsidR="00023FE7" w:rsidRPr="00451078" w:rsidRDefault="00023FE7">
      <w:pPr>
        <w:rPr>
          <w:lang w:val="it-IT"/>
        </w:rPr>
      </w:pPr>
    </w:p>
    <w:tbl>
      <w:tblPr>
        <w:tblW w:w="8460" w:type="dxa"/>
        <w:tblInd w:w="558" w:type="dxa"/>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tblCellMar>
          <w:left w:w="0" w:type="dxa"/>
          <w:right w:w="0" w:type="dxa"/>
        </w:tblCellMar>
        <w:tblLook w:val="04A0" w:firstRow="1" w:lastRow="0" w:firstColumn="1" w:lastColumn="0" w:noHBand="0" w:noVBand="1"/>
      </w:tblPr>
      <w:tblGrid>
        <w:gridCol w:w="4230"/>
        <w:gridCol w:w="4230"/>
      </w:tblGrid>
      <w:tr w:rsidR="003573CD" w:rsidRPr="003410C7" w:rsidTr="001E3F7D">
        <w:trPr>
          <w:tblHeader/>
        </w:trPr>
        <w:tc>
          <w:tcPr>
            <w:tcW w:w="4230" w:type="dxa"/>
            <w:shd w:val="clear" w:color="auto" w:fill="FABF8F"/>
            <w:tcMar>
              <w:top w:w="0" w:type="dxa"/>
              <w:left w:w="108" w:type="dxa"/>
              <w:bottom w:w="0" w:type="dxa"/>
              <w:right w:w="108" w:type="dxa"/>
            </w:tcMar>
            <w:hideMark/>
          </w:tcPr>
          <w:p w:rsidR="003573CD" w:rsidRPr="003410C7" w:rsidRDefault="003573CD" w:rsidP="00554A35">
            <w:pPr>
              <w:jc w:val="center"/>
              <w:rPr>
                <w:rFonts w:eastAsia="Calibri" w:cs="Tahoma"/>
                <w:b/>
                <w:sz w:val="20"/>
                <w:szCs w:val="20"/>
              </w:rPr>
            </w:pPr>
            <w:r w:rsidRPr="003410C7">
              <w:rPr>
                <w:rFonts w:cs="Tahoma"/>
                <w:b/>
                <w:sz w:val="20"/>
                <w:szCs w:val="20"/>
              </w:rPr>
              <w:t>Step-Up Da</w:t>
            </w:r>
          </w:p>
        </w:tc>
        <w:tc>
          <w:tcPr>
            <w:tcW w:w="4230" w:type="dxa"/>
            <w:shd w:val="clear" w:color="auto" w:fill="FABF8F"/>
            <w:tcMar>
              <w:top w:w="0" w:type="dxa"/>
              <w:left w:w="108" w:type="dxa"/>
              <w:bottom w:w="0" w:type="dxa"/>
              <w:right w:w="108" w:type="dxa"/>
            </w:tcMar>
            <w:hideMark/>
          </w:tcPr>
          <w:p w:rsidR="003573CD" w:rsidRPr="003410C7" w:rsidRDefault="003573CD" w:rsidP="00554A35">
            <w:pPr>
              <w:jc w:val="center"/>
              <w:rPr>
                <w:rFonts w:eastAsia="Calibri" w:cs="Tahoma"/>
                <w:b/>
                <w:sz w:val="20"/>
                <w:szCs w:val="20"/>
              </w:rPr>
            </w:pPr>
            <w:r w:rsidRPr="003410C7">
              <w:rPr>
                <w:rFonts w:cs="Tahoma"/>
                <w:b/>
                <w:sz w:val="20"/>
                <w:szCs w:val="20"/>
              </w:rPr>
              <w:t>Step-Up A</w:t>
            </w:r>
          </w:p>
        </w:tc>
      </w:tr>
      <w:tr w:rsidR="003573CD" w:rsidRPr="003410C7" w:rsidTr="001E3F7D">
        <w:tc>
          <w:tcPr>
            <w:tcW w:w="4230" w:type="dxa"/>
            <w:tcMar>
              <w:top w:w="0" w:type="dxa"/>
              <w:left w:w="108" w:type="dxa"/>
              <w:bottom w:w="0" w:type="dxa"/>
              <w:right w:w="108" w:type="dxa"/>
            </w:tcMar>
            <w:hideMark/>
          </w:tcPr>
          <w:p w:rsidR="003573CD" w:rsidRPr="003410C7" w:rsidRDefault="003573CD" w:rsidP="00554A35">
            <w:pPr>
              <w:rPr>
                <w:rFonts w:eastAsia="Calibri" w:cs="Tahoma"/>
                <w:szCs w:val="18"/>
              </w:rPr>
            </w:pPr>
            <w:r w:rsidRPr="003410C7">
              <w:rPr>
                <w:rFonts w:cs="Tahoma"/>
                <w:szCs w:val="18"/>
              </w:rPr>
              <w:t>BizTalk</w:t>
            </w:r>
            <w:r w:rsidR="003410C7" w:rsidRPr="003410C7">
              <w:rPr>
                <w:rFonts w:cs="Tahoma"/>
                <w:szCs w:val="18"/>
                <w:vertAlign w:val="superscript"/>
              </w:rPr>
              <w:t>®</w:t>
            </w:r>
            <w:r w:rsidRPr="003410C7">
              <w:rPr>
                <w:rFonts w:cs="Tahoma"/>
                <w:szCs w:val="18"/>
              </w:rPr>
              <w:t xml:space="preserve"> Server Branch</w:t>
            </w:r>
          </w:p>
        </w:tc>
        <w:tc>
          <w:tcPr>
            <w:tcW w:w="4230" w:type="dxa"/>
            <w:tcMar>
              <w:top w:w="0" w:type="dxa"/>
              <w:left w:w="108" w:type="dxa"/>
              <w:bottom w:w="0" w:type="dxa"/>
              <w:right w:w="108" w:type="dxa"/>
            </w:tcMar>
            <w:hideMark/>
          </w:tcPr>
          <w:p w:rsidR="003573CD" w:rsidRPr="003410C7" w:rsidRDefault="003573CD" w:rsidP="00554A35">
            <w:pPr>
              <w:rPr>
                <w:rFonts w:eastAsia="Calibri" w:cs="Tahoma"/>
                <w:szCs w:val="18"/>
              </w:rPr>
            </w:pPr>
            <w:r w:rsidRPr="003410C7">
              <w:rPr>
                <w:rFonts w:cs="Tahoma"/>
                <w:szCs w:val="18"/>
              </w:rPr>
              <w:t>BizTalk</w:t>
            </w:r>
            <w:r w:rsidR="003410C7" w:rsidRPr="003410C7">
              <w:rPr>
                <w:rFonts w:cs="Tahoma"/>
                <w:szCs w:val="18"/>
                <w:vertAlign w:val="superscript"/>
              </w:rPr>
              <w:t>®</w:t>
            </w:r>
            <w:r w:rsidRPr="003410C7">
              <w:rPr>
                <w:rFonts w:cs="Tahoma"/>
                <w:szCs w:val="18"/>
              </w:rPr>
              <w:t xml:space="preserve"> Server Standard</w:t>
            </w:r>
          </w:p>
        </w:tc>
      </w:tr>
      <w:tr w:rsidR="003573CD" w:rsidRPr="003410C7" w:rsidTr="001E3F7D">
        <w:tc>
          <w:tcPr>
            <w:tcW w:w="4230" w:type="dxa"/>
            <w:tcMar>
              <w:top w:w="0" w:type="dxa"/>
              <w:left w:w="108" w:type="dxa"/>
              <w:bottom w:w="0" w:type="dxa"/>
              <w:right w:w="108" w:type="dxa"/>
            </w:tcMar>
            <w:hideMark/>
          </w:tcPr>
          <w:p w:rsidR="003573CD" w:rsidRPr="003410C7" w:rsidRDefault="003573CD" w:rsidP="00554A35">
            <w:pPr>
              <w:rPr>
                <w:rFonts w:eastAsia="Calibri" w:cs="Tahoma"/>
                <w:szCs w:val="18"/>
              </w:rPr>
            </w:pPr>
            <w:r w:rsidRPr="003410C7">
              <w:rPr>
                <w:rFonts w:cs="Tahoma"/>
                <w:szCs w:val="18"/>
              </w:rPr>
              <w:t>BizTalk</w:t>
            </w:r>
            <w:r w:rsidR="003410C7" w:rsidRPr="003410C7">
              <w:rPr>
                <w:rFonts w:cs="Tahoma"/>
                <w:szCs w:val="18"/>
                <w:vertAlign w:val="superscript"/>
              </w:rPr>
              <w:t>®</w:t>
            </w:r>
            <w:r w:rsidRPr="003410C7">
              <w:rPr>
                <w:rFonts w:cs="Tahoma"/>
                <w:szCs w:val="18"/>
              </w:rPr>
              <w:t xml:space="preserve"> Server Branch</w:t>
            </w:r>
          </w:p>
        </w:tc>
        <w:tc>
          <w:tcPr>
            <w:tcW w:w="4230" w:type="dxa"/>
            <w:tcMar>
              <w:top w:w="0" w:type="dxa"/>
              <w:left w:w="108" w:type="dxa"/>
              <w:bottom w:w="0" w:type="dxa"/>
              <w:right w:w="108" w:type="dxa"/>
            </w:tcMar>
            <w:hideMark/>
          </w:tcPr>
          <w:p w:rsidR="003573CD" w:rsidRPr="003410C7" w:rsidRDefault="003573CD" w:rsidP="00554A35">
            <w:pPr>
              <w:rPr>
                <w:rFonts w:eastAsia="Calibri" w:cs="Tahoma"/>
                <w:szCs w:val="18"/>
              </w:rPr>
            </w:pPr>
            <w:r w:rsidRPr="003410C7">
              <w:rPr>
                <w:rFonts w:cs="Tahoma"/>
                <w:szCs w:val="18"/>
              </w:rPr>
              <w:t>BizTalk</w:t>
            </w:r>
            <w:r w:rsidR="003410C7" w:rsidRPr="003410C7">
              <w:rPr>
                <w:rFonts w:cs="Tahoma"/>
                <w:szCs w:val="18"/>
                <w:vertAlign w:val="superscript"/>
              </w:rPr>
              <w:t>®</w:t>
            </w:r>
            <w:r w:rsidRPr="003410C7">
              <w:rPr>
                <w:rFonts w:cs="Tahoma"/>
                <w:szCs w:val="18"/>
              </w:rPr>
              <w:t xml:space="preserve"> Server Enterprise</w:t>
            </w:r>
          </w:p>
        </w:tc>
      </w:tr>
      <w:tr w:rsidR="003573CD" w:rsidRPr="003410C7" w:rsidTr="001E3F7D">
        <w:tc>
          <w:tcPr>
            <w:tcW w:w="4230" w:type="dxa"/>
            <w:tcMar>
              <w:top w:w="0" w:type="dxa"/>
              <w:left w:w="108" w:type="dxa"/>
              <w:bottom w:w="0" w:type="dxa"/>
              <w:right w:w="108" w:type="dxa"/>
            </w:tcMar>
            <w:hideMark/>
          </w:tcPr>
          <w:p w:rsidR="003573CD" w:rsidRPr="003410C7" w:rsidRDefault="003573CD" w:rsidP="00554A35">
            <w:pPr>
              <w:rPr>
                <w:rFonts w:eastAsia="Calibri" w:cs="Tahoma"/>
                <w:szCs w:val="18"/>
              </w:rPr>
            </w:pPr>
            <w:r w:rsidRPr="003410C7">
              <w:rPr>
                <w:rFonts w:cs="Tahoma"/>
                <w:szCs w:val="18"/>
              </w:rPr>
              <w:t>BizTalk</w:t>
            </w:r>
            <w:r w:rsidR="003410C7" w:rsidRPr="003410C7">
              <w:rPr>
                <w:rFonts w:cs="Tahoma"/>
                <w:szCs w:val="18"/>
                <w:vertAlign w:val="superscript"/>
              </w:rPr>
              <w:t>®</w:t>
            </w:r>
            <w:r w:rsidRPr="003410C7">
              <w:rPr>
                <w:rFonts w:cs="Tahoma"/>
                <w:szCs w:val="18"/>
              </w:rPr>
              <w:t xml:space="preserve"> Server Standard</w:t>
            </w:r>
          </w:p>
        </w:tc>
        <w:tc>
          <w:tcPr>
            <w:tcW w:w="4230" w:type="dxa"/>
            <w:tcMar>
              <w:top w:w="0" w:type="dxa"/>
              <w:left w:w="108" w:type="dxa"/>
              <w:bottom w:w="0" w:type="dxa"/>
              <w:right w:w="108" w:type="dxa"/>
            </w:tcMar>
            <w:hideMark/>
          </w:tcPr>
          <w:p w:rsidR="003573CD" w:rsidRPr="003410C7" w:rsidRDefault="003573CD" w:rsidP="00554A35">
            <w:pPr>
              <w:rPr>
                <w:rFonts w:eastAsia="Calibri" w:cs="Tahoma"/>
                <w:szCs w:val="18"/>
              </w:rPr>
            </w:pPr>
            <w:r w:rsidRPr="003410C7">
              <w:rPr>
                <w:rFonts w:cs="Tahoma"/>
                <w:szCs w:val="18"/>
              </w:rPr>
              <w:t>BizTalk</w:t>
            </w:r>
            <w:r w:rsidR="003410C7" w:rsidRPr="003410C7">
              <w:rPr>
                <w:rFonts w:cs="Tahoma"/>
                <w:szCs w:val="18"/>
                <w:vertAlign w:val="superscript"/>
              </w:rPr>
              <w:t>®</w:t>
            </w:r>
            <w:r w:rsidRPr="003410C7">
              <w:rPr>
                <w:rFonts w:cs="Tahoma"/>
                <w:szCs w:val="18"/>
              </w:rPr>
              <w:t xml:space="preserve"> Server Enterprise</w:t>
            </w:r>
          </w:p>
        </w:tc>
      </w:tr>
      <w:tr w:rsidR="003573CD" w:rsidRPr="003410C7" w:rsidTr="001E3F7D">
        <w:tc>
          <w:tcPr>
            <w:tcW w:w="4230" w:type="dxa"/>
            <w:tcMar>
              <w:top w:w="0" w:type="dxa"/>
              <w:left w:w="108" w:type="dxa"/>
              <w:bottom w:w="0" w:type="dxa"/>
              <w:right w:w="108" w:type="dxa"/>
            </w:tcMar>
            <w:hideMark/>
          </w:tcPr>
          <w:p w:rsidR="003573CD" w:rsidRPr="003410C7" w:rsidRDefault="003573CD" w:rsidP="00554A35">
            <w:pPr>
              <w:rPr>
                <w:rFonts w:eastAsia="Calibri" w:cs="Tahoma"/>
                <w:szCs w:val="18"/>
              </w:rPr>
            </w:pPr>
            <w:r w:rsidRPr="003410C7">
              <w:rPr>
                <w:rFonts w:cs="Tahoma"/>
                <w:szCs w:val="18"/>
              </w:rPr>
              <w:t>Commerce Server Standard</w:t>
            </w:r>
          </w:p>
        </w:tc>
        <w:tc>
          <w:tcPr>
            <w:tcW w:w="4230" w:type="dxa"/>
            <w:tcMar>
              <w:top w:w="0" w:type="dxa"/>
              <w:left w:w="108" w:type="dxa"/>
              <w:bottom w:w="0" w:type="dxa"/>
              <w:right w:w="108" w:type="dxa"/>
            </w:tcMar>
            <w:hideMark/>
          </w:tcPr>
          <w:p w:rsidR="003573CD" w:rsidRPr="003410C7" w:rsidRDefault="003573CD" w:rsidP="00554A35">
            <w:pPr>
              <w:rPr>
                <w:rFonts w:eastAsia="Calibri" w:cs="Tahoma"/>
                <w:szCs w:val="18"/>
              </w:rPr>
            </w:pPr>
            <w:r w:rsidRPr="003410C7">
              <w:rPr>
                <w:rFonts w:cs="Tahoma"/>
                <w:szCs w:val="18"/>
              </w:rPr>
              <w:t>Commerce Server Enterprise</w:t>
            </w:r>
          </w:p>
        </w:tc>
      </w:tr>
      <w:tr w:rsidR="003573CD" w:rsidRPr="003410C7" w:rsidTr="001E3F7D">
        <w:trPr>
          <w:trHeight w:val="238"/>
        </w:trPr>
        <w:tc>
          <w:tcPr>
            <w:tcW w:w="4230" w:type="dxa"/>
            <w:tcMar>
              <w:top w:w="0" w:type="dxa"/>
              <w:left w:w="108" w:type="dxa"/>
              <w:bottom w:w="0" w:type="dxa"/>
              <w:right w:w="108" w:type="dxa"/>
            </w:tcMar>
            <w:hideMark/>
          </w:tcPr>
          <w:p w:rsidR="003573CD" w:rsidRPr="003410C7" w:rsidRDefault="003573CD" w:rsidP="00554A35">
            <w:pPr>
              <w:rPr>
                <w:rFonts w:eastAsia="Calibri" w:cs="Tahoma"/>
                <w:szCs w:val="18"/>
              </w:rPr>
            </w:pPr>
            <w:r w:rsidRPr="003410C7">
              <w:rPr>
                <w:rFonts w:cs="Tahoma"/>
                <w:szCs w:val="18"/>
              </w:rPr>
              <w:t>Core CAL Suite</w:t>
            </w:r>
          </w:p>
        </w:tc>
        <w:tc>
          <w:tcPr>
            <w:tcW w:w="4230" w:type="dxa"/>
            <w:tcMar>
              <w:top w:w="0" w:type="dxa"/>
              <w:left w:w="108" w:type="dxa"/>
              <w:bottom w:w="0" w:type="dxa"/>
              <w:right w:w="108" w:type="dxa"/>
            </w:tcMar>
            <w:hideMark/>
          </w:tcPr>
          <w:p w:rsidR="003573CD" w:rsidRPr="003410C7" w:rsidRDefault="003573CD" w:rsidP="00554A35">
            <w:pPr>
              <w:rPr>
                <w:rFonts w:eastAsia="Calibri" w:cs="Tahoma"/>
                <w:szCs w:val="18"/>
              </w:rPr>
            </w:pPr>
            <w:r w:rsidRPr="003410C7">
              <w:rPr>
                <w:rFonts w:cs="Tahoma"/>
                <w:szCs w:val="18"/>
              </w:rPr>
              <w:t>Enterprise CAL Suite</w:t>
            </w:r>
          </w:p>
        </w:tc>
      </w:tr>
      <w:tr w:rsidR="00E87953" w:rsidRPr="003410C7" w:rsidTr="001E3F7D">
        <w:trPr>
          <w:trHeight w:val="247"/>
        </w:trPr>
        <w:tc>
          <w:tcPr>
            <w:tcW w:w="4230" w:type="dxa"/>
            <w:tcMar>
              <w:top w:w="0" w:type="dxa"/>
              <w:left w:w="108" w:type="dxa"/>
              <w:bottom w:w="0" w:type="dxa"/>
              <w:right w:w="108" w:type="dxa"/>
            </w:tcMar>
          </w:tcPr>
          <w:p w:rsidR="00E87953" w:rsidRPr="003410C7" w:rsidRDefault="00E87953" w:rsidP="00734CF4">
            <w:pPr>
              <w:rPr>
                <w:rFonts w:cs="Tahoma"/>
                <w:color w:val="000000"/>
                <w:szCs w:val="18"/>
              </w:rPr>
            </w:pPr>
            <w:r w:rsidRPr="003410C7">
              <w:rPr>
                <w:rFonts w:cs="Tahoma"/>
                <w:color w:val="000000"/>
                <w:szCs w:val="18"/>
              </w:rPr>
              <w:t>Core CAL Suite Bridge per Office 365</w:t>
            </w:r>
          </w:p>
        </w:tc>
        <w:tc>
          <w:tcPr>
            <w:tcW w:w="4230" w:type="dxa"/>
            <w:tcMar>
              <w:top w:w="0" w:type="dxa"/>
              <w:left w:w="108" w:type="dxa"/>
              <w:bottom w:w="0" w:type="dxa"/>
              <w:right w:w="108" w:type="dxa"/>
            </w:tcMar>
          </w:tcPr>
          <w:p w:rsidR="00E87953" w:rsidRPr="003410C7" w:rsidRDefault="00E87953" w:rsidP="00734CF4">
            <w:pPr>
              <w:rPr>
                <w:rFonts w:cs="Tahoma"/>
                <w:color w:val="000000"/>
                <w:szCs w:val="18"/>
              </w:rPr>
            </w:pPr>
            <w:r w:rsidRPr="003410C7">
              <w:rPr>
                <w:rFonts w:cs="Tahoma"/>
                <w:color w:val="000000"/>
                <w:szCs w:val="18"/>
              </w:rPr>
              <w:t>Enterprise CAL Suite Bridge per Office 365</w:t>
            </w:r>
          </w:p>
        </w:tc>
      </w:tr>
      <w:tr w:rsidR="00E87953" w:rsidRPr="003410C7" w:rsidTr="001E3F7D">
        <w:trPr>
          <w:trHeight w:val="247"/>
        </w:trPr>
        <w:tc>
          <w:tcPr>
            <w:tcW w:w="4230" w:type="dxa"/>
            <w:tcMar>
              <w:top w:w="0" w:type="dxa"/>
              <w:left w:w="108" w:type="dxa"/>
              <w:bottom w:w="0" w:type="dxa"/>
              <w:right w:w="108" w:type="dxa"/>
            </w:tcMar>
          </w:tcPr>
          <w:p w:rsidR="00E87953" w:rsidRPr="003410C7" w:rsidRDefault="00E87953" w:rsidP="007C6582">
            <w:pPr>
              <w:rPr>
                <w:rFonts w:cs="Tahoma"/>
                <w:color w:val="000000"/>
                <w:szCs w:val="18"/>
              </w:rPr>
            </w:pPr>
            <w:r w:rsidRPr="003410C7">
              <w:rPr>
                <w:rFonts w:cs="Tahoma"/>
                <w:color w:val="000000"/>
                <w:szCs w:val="18"/>
              </w:rPr>
              <w:t>Core CAL Suite Bridge per Windows</w:t>
            </w:r>
            <w:r w:rsidR="003410C7" w:rsidRPr="003410C7">
              <w:rPr>
                <w:rFonts w:cs="Tahoma"/>
                <w:color w:val="000000"/>
                <w:szCs w:val="18"/>
                <w:vertAlign w:val="superscript"/>
              </w:rPr>
              <w:t>®</w:t>
            </w:r>
            <w:r w:rsidRPr="003410C7">
              <w:rPr>
                <w:rFonts w:cs="Tahoma"/>
                <w:color w:val="000000"/>
                <w:szCs w:val="18"/>
              </w:rPr>
              <w:t xml:space="preserve"> Intune</w:t>
            </w:r>
          </w:p>
        </w:tc>
        <w:tc>
          <w:tcPr>
            <w:tcW w:w="4230" w:type="dxa"/>
            <w:tcMar>
              <w:top w:w="0" w:type="dxa"/>
              <w:left w:w="108" w:type="dxa"/>
              <w:bottom w:w="0" w:type="dxa"/>
              <w:right w:w="108" w:type="dxa"/>
            </w:tcMar>
          </w:tcPr>
          <w:p w:rsidR="00E87953" w:rsidRPr="003410C7" w:rsidRDefault="00E87953" w:rsidP="007C6582">
            <w:pPr>
              <w:rPr>
                <w:rFonts w:cs="Tahoma"/>
                <w:color w:val="000000"/>
                <w:szCs w:val="18"/>
              </w:rPr>
            </w:pPr>
            <w:r w:rsidRPr="003410C7">
              <w:rPr>
                <w:rFonts w:cs="Tahoma"/>
                <w:color w:val="000000"/>
                <w:szCs w:val="18"/>
              </w:rPr>
              <w:t>Enterprise CAL Suite Bridge per Windows</w:t>
            </w:r>
            <w:r w:rsidR="003410C7" w:rsidRPr="003410C7">
              <w:rPr>
                <w:rFonts w:cs="Tahoma"/>
                <w:color w:val="000000"/>
                <w:szCs w:val="18"/>
                <w:vertAlign w:val="superscript"/>
              </w:rPr>
              <w:t>®</w:t>
            </w:r>
            <w:r w:rsidRPr="003410C7">
              <w:rPr>
                <w:rFonts w:cs="Tahoma"/>
                <w:color w:val="000000"/>
                <w:szCs w:val="18"/>
              </w:rPr>
              <w:t xml:space="preserve"> Intune</w:t>
            </w:r>
          </w:p>
        </w:tc>
      </w:tr>
      <w:tr w:rsidR="000466E8" w:rsidRPr="003410C7" w:rsidTr="001E3F7D">
        <w:trPr>
          <w:trHeight w:val="247"/>
        </w:trPr>
        <w:tc>
          <w:tcPr>
            <w:tcW w:w="4230" w:type="dxa"/>
            <w:tcMar>
              <w:top w:w="0" w:type="dxa"/>
              <w:left w:w="108" w:type="dxa"/>
              <w:bottom w:w="0" w:type="dxa"/>
              <w:right w:w="108" w:type="dxa"/>
            </w:tcMar>
          </w:tcPr>
          <w:p w:rsidR="000466E8" w:rsidRPr="003410C7" w:rsidRDefault="0054507B" w:rsidP="00BC32EE">
            <w:pPr>
              <w:rPr>
                <w:rFonts w:cs="Tahoma"/>
                <w:color w:val="000000"/>
                <w:szCs w:val="18"/>
              </w:rPr>
            </w:pPr>
            <w:r w:rsidRPr="003410C7">
              <w:rPr>
                <w:rFonts w:cs="Tahoma"/>
                <w:color w:val="000000"/>
                <w:szCs w:val="18"/>
              </w:rPr>
              <w:t>Core CAL Suite Bridge per Office 365 e</w:t>
            </w:r>
            <w:r w:rsidR="00BC32EE">
              <w:rPr>
                <w:rFonts w:cs="Tahoma"/>
                <w:color w:val="000000"/>
                <w:szCs w:val="18"/>
              </w:rPr>
              <w:t> </w:t>
            </w:r>
            <w:r w:rsidRPr="003410C7">
              <w:rPr>
                <w:rFonts w:cs="Tahoma"/>
                <w:color w:val="000000"/>
                <w:szCs w:val="18"/>
              </w:rPr>
              <w:t>Windows</w:t>
            </w:r>
            <w:r w:rsidR="003410C7" w:rsidRPr="003410C7">
              <w:rPr>
                <w:rFonts w:cs="Tahoma"/>
                <w:color w:val="000000"/>
                <w:szCs w:val="18"/>
                <w:vertAlign w:val="superscript"/>
              </w:rPr>
              <w:t>®</w:t>
            </w:r>
            <w:r w:rsidR="00BC32EE">
              <w:rPr>
                <w:rFonts w:cs="Tahoma"/>
                <w:color w:val="000000"/>
                <w:szCs w:val="18"/>
              </w:rPr>
              <w:t> </w:t>
            </w:r>
            <w:r w:rsidRPr="003410C7">
              <w:rPr>
                <w:rFonts w:cs="Tahoma"/>
                <w:color w:val="000000"/>
                <w:szCs w:val="18"/>
              </w:rPr>
              <w:t>Intune</w:t>
            </w:r>
          </w:p>
        </w:tc>
        <w:tc>
          <w:tcPr>
            <w:tcW w:w="4230" w:type="dxa"/>
            <w:tcMar>
              <w:top w:w="0" w:type="dxa"/>
              <w:left w:w="108" w:type="dxa"/>
              <w:bottom w:w="0" w:type="dxa"/>
              <w:right w:w="108" w:type="dxa"/>
            </w:tcMar>
          </w:tcPr>
          <w:p w:rsidR="000466E8" w:rsidRPr="003410C7" w:rsidRDefault="00C3058D" w:rsidP="00BC32EE">
            <w:pPr>
              <w:rPr>
                <w:rFonts w:cs="Tahoma"/>
                <w:color w:val="000000"/>
                <w:szCs w:val="18"/>
              </w:rPr>
            </w:pPr>
            <w:r w:rsidRPr="003410C7">
              <w:rPr>
                <w:rFonts w:eastAsia="Calibri" w:cs="Tahoma"/>
                <w:szCs w:val="18"/>
              </w:rPr>
              <w:t>Enterprise CAL Suite Bridge per Office 365 e</w:t>
            </w:r>
            <w:r w:rsidR="00BC32EE">
              <w:rPr>
                <w:rFonts w:eastAsia="Calibri" w:cs="Tahoma"/>
                <w:szCs w:val="18"/>
              </w:rPr>
              <w:t> </w:t>
            </w:r>
            <w:r w:rsidRPr="003410C7">
              <w:rPr>
                <w:rFonts w:eastAsia="Calibri" w:cs="Tahoma"/>
                <w:szCs w:val="18"/>
              </w:rPr>
              <w:t>Windows</w:t>
            </w:r>
            <w:r w:rsidR="003410C7" w:rsidRPr="003410C7">
              <w:rPr>
                <w:rFonts w:cs="Tahoma"/>
                <w:color w:val="000000"/>
                <w:szCs w:val="18"/>
                <w:vertAlign w:val="superscript"/>
              </w:rPr>
              <w:t>®</w:t>
            </w:r>
            <w:r w:rsidRPr="003410C7">
              <w:rPr>
                <w:rFonts w:cs="Tahoma"/>
                <w:color w:val="000000"/>
                <w:szCs w:val="18"/>
                <w:vertAlign w:val="superscript"/>
              </w:rPr>
              <w:t xml:space="preserve"> </w:t>
            </w:r>
            <w:r w:rsidRPr="003410C7">
              <w:rPr>
                <w:rFonts w:eastAsia="Calibri" w:cs="Tahoma"/>
                <w:szCs w:val="18"/>
              </w:rPr>
              <w:t>Intune</w:t>
            </w:r>
          </w:p>
        </w:tc>
      </w:tr>
      <w:tr w:rsidR="004C6855" w:rsidRPr="00DC1102" w:rsidTr="001E3F7D">
        <w:trPr>
          <w:trHeight w:val="247"/>
        </w:trPr>
        <w:tc>
          <w:tcPr>
            <w:tcW w:w="4230" w:type="dxa"/>
            <w:tcMar>
              <w:top w:w="0" w:type="dxa"/>
              <w:left w:w="108" w:type="dxa"/>
              <w:bottom w:w="0" w:type="dxa"/>
              <w:right w:w="108" w:type="dxa"/>
            </w:tcMar>
            <w:hideMark/>
          </w:tcPr>
          <w:p w:rsidR="004C6855" w:rsidRPr="00451078" w:rsidRDefault="004C6855" w:rsidP="00554A35">
            <w:pPr>
              <w:rPr>
                <w:rFonts w:cs="Tahoma"/>
                <w:szCs w:val="18"/>
                <w:lang w:val="fr-FR"/>
              </w:rPr>
            </w:pPr>
            <w:r w:rsidRPr="00451078">
              <w:rPr>
                <w:rFonts w:cs="Tahoma"/>
                <w:color w:val="000000"/>
                <w:szCs w:val="18"/>
                <w:lang w:val="fr-FR"/>
              </w:rPr>
              <w:lastRenderedPageBreak/>
              <w:t>Core Infrastructure Server Suite Standard</w:t>
            </w:r>
          </w:p>
        </w:tc>
        <w:tc>
          <w:tcPr>
            <w:tcW w:w="4230" w:type="dxa"/>
            <w:tcMar>
              <w:top w:w="0" w:type="dxa"/>
              <w:left w:w="108" w:type="dxa"/>
              <w:bottom w:w="0" w:type="dxa"/>
              <w:right w:w="108" w:type="dxa"/>
            </w:tcMar>
            <w:hideMark/>
          </w:tcPr>
          <w:p w:rsidR="004C6855" w:rsidRPr="00451078" w:rsidRDefault="004C6855" w:rsidP="00933674">
            <w:pPr>
              <w:rPr>
                <w:rFonts w:cs="Tahoma"/>
                <w:szCs w:val="18"/>
                <w:lang w:val="fr-FR"/>
              </w:rPr>
            </w:pPr>
            <w:r w:rsidRPr="00451078">
              <w:rPr>
                <w:rFonts w:cs="Tahoma"/>
                <w:color w:val="000000"/>
                <w:szCs w:val="18"/>
                <w:lang w:val="fr-FR"/>
              </w:rPr>
              <w:t>Core Infrastructure Server Suite Datacenter</w:t>
            </w:r>
          </w:p>
        </w:tc>
      </w:tr>
      <w:tr w:rsidR="003573CD" w:rsidRPr="00DC1102" w:rsidTr="001E3F7D">
        <w:tc>
          <w:tcPr>
            <w:tcW w:w="4230" w:type="dxa"/>
            <w:tcMar>
              <w:top w:w="0" w:type="dxa"/>
              <w:left w:w="108" w:type="dxa"/>
              <w:bottom w:w="0" w:type="dxa"/>
              <w:right w:w="108" w:type="dxa"/>
            </w:tcMar>
            <w:hideMark/>
          </w:tcPr>
          <w:p w:rsidR="003573CD" w:rsidRPr="003410C7" w:rsidRDefault="003573CD" w:rsidP="00394D2B">
            <w:pPr>
              <w:rPr>
                <w:rFonts w:eastAsia="Calibri" w:cs="Tahoma"/>
                <w:szCs w:val="18"/>
              </w:rPr>
            </w:pPr>
            <w:r w:rsidRPr="003410C7">
              <w:rPr>
                <w:rFonts w:cs="Tahoma"/>
                <w:szCs w:val="18"/>
              </w:rPr>
              <w:t>Desktop Education con Core CAL</w:t>
            </w:r>
          </w:p>
        </w:tc>
        <w:tc>
          <w:tcPr>
            <w:tcW w:w="4230" w:type="dxa"/>
            <w:tcMar>
              <w:top w:w="0" w:type="dxa"/>
              <w:left w:w="108" w:type="dxa"/>
              <w:bottom w:w="0" w:type="dxa"/>
              <w:right w:w="108" w:type="dxa"/>
            </w:tcMar>
            <w:hideMark/>
          </w:tcPr>
          <w:p w:rsidR="003573CD" w:rsidRPr="00451078" w:rsidRDefault="003573CD" w:rsidP="00394D2B">
            <w:pPr>
              <w:rPr>
                <w:rFonts w:eastAsia="Calibri" w:cs="Tahoma"/>
                <w:szCs w:val="18"/>
                <w:lang w:val="fr-FR"/>
              </w:rPr>
            </w:pPr>
            <w:r w:rsidRPr="00451078">
              <w:rPr>
                <w:rFonts w:cs="Tahoma"/>
                <w:szCs w:val="18"/>
                <w:lang w:val="fr-FR"/>
              </w:rPr>
              <w:t>Desktop Education con Enterprise CAL Suite</w:t>
            </w:r>
          </w:p>
        </w:tc>
      </w:tr>
      <w:tr w:rsidR="003573CD" w:rsidRPr="003410C7" w:rsidTr="001E3F7D">
        <w:tc>
          <w:tcPr>
            <w:tcW w:w="4230" w:type="dxa"/>
            <w:tcMar>
              <w:top w:w="0" w:type="dxa"/>
              <w:left w:w="108" w:type="dxa"/>
              <w:bottom w:w="0" w:type="dxa"/>
              <w:right w:w="108" w:type="dxa"/>
            </w:tcMar>
            <w:hideMark/>
          </w:tcPr>
          <w:p w:rsidR="003573CD" w:rsidRPr="003410C7" w:rsidRDefault="003573CD" w:rsidP="00554A35">
            <w:pPr>
              <w:rPr>
                <w:rFonts w:eastAsia="Calibri" w:cs="Tahoma"/>
                <w:szCs w:val="18"/>
              </w:rPr>
            </w:pPr>
            <w:r w:rsidRPr="003410C7">
              <w:rPr>
                <w:rFonts w:cs="Tahoma"/>
                <w:szCs w:val="18"/>
              </w:rPr>
              <w:t>Desktop School con Core CAL</w:t>
            </w:r>
          </w:p>
        </w:tc>
        <w:tc>
          <w:tcPr>
            <w:tcW w:w="4230" w:type="dxa"/>
            <w:tcMar>
              <w:top w:w="0" w:type="dxa"/>
              <w:left w:w="108" w:type="dxa"/>
              <w:bottom w:w="0" w:type="dxa"/>
              <w:right w:w="108" w:type="dxa"/>
            </w:tcMar>
            <w:hideMark/>
          </w:tcPr>
          <w:p w:rsidR="003573CD" w:rsidRPr="003410C7" w:rsidRDefault="00ED0F02" w:rsidP="00554A35">
            <w:pPr>
              <w:rPr>
                <w:rFonts w:eastAsia="Calibri" w:cs="Tahoma"/>
                <w:szCs w:val="18"/>
              </w:rPr>
            </w:pPr>
            <w:r w:rsidRPr="003410C7">
              <w:rPr>
                <w:rFonts w:cs="Tahoma"/>
                <w:szCs w:val="18"/>
              </w:rPr>
              <w:t>Desktop School con Enterprise CAL Suite</w:t>
            </w:r>
          </w:p>
        </w:tc>
      </w:tr>
      <w:tr w:rsidR="003573CD" w:rsidRPr="003410C7" w:rsidTr="001E3F7D">
        <w:tc>
          <w:tcPr>
            <w:tcW w:w="4230" w:type="dxa"/>
            <w:tcMar>
              <w:top w:w="0" w:type="dxa"/>
              <w:left w:w="108" w:type="dxa"/>
              <w:bottom w:w="0" w:type="dxa"/>
              <w:right w:w="108" w:type="dxa"/>
            </w:tcMar>
            <w:hideMark/>
          </w:tcPr>
          <w:p w:rsidR="003573CD" w:rsidRPr="003410C7" w:rsidRDefault="003573CD" w:rsidP="00554A35">
            <w:pPr>
              <w:rPr>
                <w:rFonts w:eastAsia="Calibri" w:cs="Tahoma"/>
                <w:szCs w:val="18"/>
                <w:lang w:val="fr-FR"/>
              </w:rPr>
            </w:pPr>
            <w:r w:rsidRPr="003410C7">
              <w:rPr>
                <w:rFonts w:cs="Tahoma"/>
                <w:szCs w:val="18"/>
              </w:rPr>
              <w:t>Exchange Server Standard</w:t>
            </w:r>
          </w:p>
        </w:tc>
        <w:tc>
          <w:tcPr>
            <w:tcW w:w="4230" w:type="dxa"/>
            <w:tcMar>
              <w:top w:w="0" w:type="dxa"/>
              <w:left w:w="108" w:type="dxa"/>
              <w:bottom w:w="0" w:type="dxa"/>
              <w:right w:w="108" w:type="dxa"/>
            </w:tcMar>
            <w:hideMark/>
          </w:tcPr>
          <w:p w:rsidR="003573CD" w:rsidRPr="003410C7" w:rsidRDefault="003573CD" w:rsidP="00554A35">
            <w:pPr>
              <w:rPr>
                <w:rFonts w:eastAsia="Calibri" w:cs="Tahoma"/>
                <w:szCs w:val="18"/>
              </w:rPr>
            </w:pPr>
            <w:r w:rsidRPr="003410C7">
              <w:rPr>
                <w:rFonts w:cs="Tahoma"/>
                <w:szCs w:val="18"/>
              </w:rPr>
              <w:t>Exchange Server Enterprise</w:t>
            </w:r>
          </w:p>
        </w:tc>
      </w:tr>
      <w:tr w:rsidR="004D4D43" w:rsidRPr="003410C7" w:rsidTr="001E3F7D">
        <w:tc>
          <w:tcPr>
            <w:tcW w:w="4230" w:type="dxa"/>
            <w:tcMar>
              <w:top w:w="0" w:type="dxa"/>
              <w:left w:w="108" w:type="dxa"/>
              <w:bottom w:w="0" w:type="dxa"/>
              <w:right w:w="108" w:type="dxa"/>
            </w:tcMar>
          </w:tcPr>
          <w:p w:rsidR="004D4D43" w:rsidRPr="003410C7" w:rsidRDefault="004D4D43" w:rsidP="00AB4C80">
            <w:pPr>
              <w:rPr>
                <w:rFonts w:cs="Tahoma"/>
                <w:szCs w:val="18"/>
              </w:rPr>
            </w:pPr>
            <w:r w:rsidRPr="003410C7">
              <w:rPr>
                <w:rFonts w:cs="Tahoma"/>
                <w:szCs w:val="18"/>
              </w:rPr>
              <w:t>Forefront TMG Standard</w:t>
            </w:r>
          </w:p>
        </w:tc>
        <w:tc>
          <w:tcPr>
            <w:tcW w:w="4230" w:type="dxa"/>
            <w:tcMar>
              <w:top w:w="0" w:type="dxa"/>
              <w:left w:w="108" w:type="dxa"/>
              <w:bottom w:w="0" w:type="dxa"/>
              <w:right w:w="108" w:type="dxa"/>
            </w:tcMar>
          </w:tcPr>
          <w:p w:rsidR="004D4D43" w:rsidRPr="003410C7" w:rsidRDefault="004D4D43" w:rsidP="00AB4C80">
            <w:pPr>
              <w:rPr>
                <w:rFonts w:cs="Tahoma"/>
                <w:szCs w:val="18"/>
              </w:rPr>
            </w:pPr>
            <w:r w:rsidRPr="003410C7">
              <w:rPr>
                <w:rFonts w:cs="Tahoma"/>
                <w:szCs w:val="18"/>
              </w:rPr>
              <w:t>Forefront TMG Enterprise</w:t>
            </w:r>
          </w:p>
        </w:tc>
      </w:tr>
      <w:tr w:rsidR="003573CD" w:rsidRPr="003410C7" w:rsidTr="001E3F7D">
        <w:tc>
          <w:tcPr>
            <w:tcW w:w="4230" w:type="dxa"/>
            <w:tcMar>
              <w:top w:w="0" w:type="dxa"/>
              <w:left w:w="108" w:type="dxa"/>
              <w:bottom w:w="0" w:type="dxa"/>
              <w:right w:w="108" w:type="dxa"/>
            </w:tcMar>
            <w:hideMark/>
          </w:tcPr>
          <w:p w:rsidR="003573CD" w:rsidRPr="003410C7" w:rsidRDefault="003573CD" w:rsidP="00BC32EE">
            <w:pPr>
              <w:rPr>
                <w:rFonts w:eastAsia="Calibri" w:cs="Tahoma"/>
                <w:szCs w:val="18"/>
              </w:rPr>
            </w:pPr>
            <w:r w:rsidRPr="003410C7">
              <w:rPr>
                <w:rFonts w:cs="Tahoma"/>
                <w:szCs w:val="18"/>
              </w:rPr>
              <w:t>Internet Security &amp; Acceleration (ISA) Standard</w:t>
            </w:r>
            <w:r w:rsidR="00BC32EE">
              <w:rPr>
                <w:rFonts w:cs="Tahoma"/>
                <w:szCs w:val="18"/>
              </w:rPr>
              <w:t> </w:t>
            </w:r>
            <w:r w:rsidRPr="003410C7">
              <w:rPr>
                <w:rFonts w:cs="Tahoma"/>
                <w:szCs w:val="18"/>
              </w:rPr>
              <w:t>Server</w:t>
            </w:r>
          </w:p>
        </w:tc>
        <w:tc>
          <w:tcPr>
            <w:tcW w:w="4230" w:type="dxa"/>
            <w:tcMar>
              <w:top w:w="0" w:type="dxa"/>
              <w:left w:w="108" w:type="dxa"/>
              <w:bottom w:w="0" w:type="dxa"/>
              <w:right w:w="108" w:type="dxa"/>
            </w:tcMar>
            <w:hideMark/>
          </w:tcPr>
          <w:p w:rsidR="003573CD" w:rsidRPr="003410C7" w:rsidRDefault="003573CD" w:rsidP="00554A35">
            <w:pPr>
              <w:rPr>
                <w:rFonts w:eastAsia="Calibri" w:cs="Tahoma"/>
                <w:szCs w:val="18"/>
              </w:rPr>
            </w:pPr>
            <w:r w:rsidRPr="003410C7">
              <w:rPr>
                <w:rFonts w:cs="Tahoma"/>
                <w:szCs w:val="18"/>
              </w:rPr>
              <w:t>Internet Security and Acceleration (ISA) Enterprise Server</w:t>
            </w:r>
          </w:p>
        </w:tc>
      </w:tr>
      <w:tr w:rsidR="00781A60" w:rsidRPr="003410C7" w:rsidTr="001E3F7D">
        <w:tc>
          <w:tcPr>
            <w:tcW w:w="4230" w:type="dxa"/>
            <w:tcMar>
              <w:top w:w="0" w:type="dxa"/>
              <w:left w:w="108" w:type="dxa"/>
              <w:bottom w:w="0" w:type="dxa"/>
              <w:right w:w="108" w:type="dxa"/>
            </w:tcMar>
          </w:tcPr>
          <w:p w:rsidR="00781A60" w:rsidRPr="003410C7" w:rsidRDefault="00781A60" w:rsidP="00554A35">
            <w:pPr>
              <w:rPr>
                <w:rFonts w:cs="Tahoma"/>
                <w:szCs w:val="18"/>
              </w:rPr>
            </w:pPr>
            <w:r w:rsidRPr="003410C7">
              <w:rPr>
                <w:rFonts w:cs="Tahoma"/>
                <w:szCs w:val="18"/>
              </w:rPr>
              <w:t>Microsoft Dynamics CRM Workgroup Server 2011</w:t>
            </w:r>
          </w:p>
        </w:tc>
        <w:tc>
          <w:tcPr>
            <w:tcW w:w="4230" w:type="dxa"/>
            <w:tcMar>
              <w:top w:w="0" w:type="dxa"/>
              <w:left w:w="108" w:type="dxa"/>
              <w:bottom w:w="0" w:type="dxa"/>
              <w:right w:w="108" w:type="dxa"/>
            </w:tcMar>
          </w:tcPr>
          <w:p w:rsidR="00781A60" w:rsidRPr="003410C7" w:rsidRDefault="00781A60" w:rsidP="00554A35">
            <w:pPr>
              <w:rPr>
                <w:rFonts w:cs="Tahoma"/>
                <w:szCs w:val="18"/>
              </w:rPr>
            </w:pPr>
            <w:r w:rsidRPr="003410C7">
              <w:rPr>
                <w:rFonts w:cs="Tahoma"/>
                <w:szCs w:val="18"/>
              </w:rPr>
              <w:t>Microsoft Dynamics CRM Server 2011</w:t>
            </w:r>
          </w:p>
        </w:tc>
      </w:tr>
      <w:tr w:rsidR="003573CD" w:rsidRPr="003410C7" w:rsidTr="001E3F7D">
        <w:tc>
          <w:tcPr>
            <w:tcW w:w="4230" w:type="dxa"/>
            <w:tcMar>
              <w:top w:w="0" w:type="dxa"/>
              <w:left w:w="108" w:type="dxa"/>
              <w:bottom w:w="0" w:type="dxa"/>
              <w:right w:w="108" w:type="dxa"/>
            </w:tcMar>
            <w:hideMark/>
          </w:tcPr>
          <w:p w:rsidR="003573CD" w:rsidRPr="003410C7" w:rsidRDefault="003573CD" w:rsidP="00554A35">
            <w:pPr>
              <w:rPr>
                <w:rFonts w:eastAsia="Calibri" w:cs="Tahoma"/>
                <w:szCs w:val="18"/>
              </w:rPr>
            </w:pPr>
            <w:r w:rsidRPr="003410C7">
              <w:rPr>
                <w:rFonts w:cs="Tahoma"/>
                <w:szCs w:val="18"/>
              </w:rPr>
              <w:t xml:space="preserve">Office Standard </w:t>
            </w:r>
          </w:p>
        </w:tc>
        <w:tc>
          <w:tcPr>
            <w:tcW w:w="4230" w:type="dxa"/>
            <w:tcMar>
              <w:top w:w="0" w:type="dxa"/>
              <w:left w:w="108" w:type="dxa"/>
              <w:bottom w:w="0" w:type="dxa"/>
              <w:right w:w="108" w:type="dxa"/>
            </w:tcMar>
            <w:hideMark/>
          </w:tcPr>
          <w:p w:rsidR="003573CD" w:rsidRPr="003410C7" w:rsidRDefault="003573CD" w:rsidP="00554A35">
            <w:pPr>
              <w:rPr>
                <w:rFonts w:eastAsia="Calibri" w:cs="Tahoma"/>
                <w:szCs w:val="18"/>
                <w:lang w:val="fr-FR"/>
              </w:rPr>
            </w:pPr>
            <w:r w:rsidRPr="003410C7">
              <w:rPr>
                <w:rFonts w:cs="Tahoma"/>
                <w:szCs w:val="18"/>
              </w:rPr>
              <w:t xml:space="preserve">Office Professional Plus </w:t>
            </w:r>
          </w:p>
        </w:tc>
      </w:tr>
      <w:tr w:rsidR="003573CD" w:rsidRPr="003410C7" w:rsidTr="001E3F7D">
        <w:tc>
          <w:tcPr>
            <w:tcW w:w="4230" w:type="dxa"/>
            <w:tcMar>
              <w:top w:w="0" w:type="dxa"/>
              <w:left w:w="108" w:type="dxa"/>
              <w:bottom w:w="0" w:type="dxa"/>
              <w:right w:w="108" w:type="dxa"/>
            </w:tcMar>
            <w:hideMark/>
          </w:tcPr>
          <w:p w:rsidR="003573CD" w:rsidRPr="003410C7" w:rsidRDefault="003573CD" w:rsidP="00554A35">
            <w:pPr>
              <w:rPr>
                <w:rFonts w:eastAsia="Calibri" w:cs="Tahoma"/>
                <w:szCs w:val="18"/>
              </w:rPr>
            </w:pPr>
            <w:r w:rsidRPr="003410C7">
              <w:rPr>
                <w:rFonts w:cs="Tahoma"/>
                <w:szCs w:val="18"/>
              </w:rPr>
              <w:t>Professional Desktop</w:t>
            </w:r>
          </w:p>
        </w:tc>
        <w:tc>
          <w:tcPr>
            <w:tcW w:w="4230" w:type="dxa"/>
            <w:tcMar>
              <w:top w:w="0" w:type="dxa"/>
              <w:left w:w="108" w:type="dxa"/>
              <w:bottom w:w="0" w:type="dxa"/>
              <w:right w:w="108" w:type="dxa"/>
            </w:tcMar>
            <w:hideMark/>
          </w:tcPr>
          <w:p w:rsidR="003573CD" w:rsidRPr="003410C7" w:rsidRDefault="003573CD" w:rsidP="00554A35">
            <w:pPr>
              <w:rPr>
                <w:rFonts w:eastAsia="Calibri" w:cs="Tahoma"/>
                <w:szCs w:val="18"/>
              </w:rPr>
            </w:pPr>
            <w:r w:rsidRPr="003410C7">
              <w:rPr>
                <w:rFonts w:cs="Tahoma"/>
                <w:szCs w:val="18"/>
              </w:rPr>
              <w:t>Enterprise Desktop</w:t>
            </w:r>
          </w:p>
        </w:tc>
      </w:tr>
      <w:tr w:rsidR="008925CF" w:rsidRPr="003410C7" w:rsidTr="001E3F7D">
        <w:tc>
          <w:tcPr>
            <w:tcW w:w="4230" w:type="dxa"/>
            <w:tcMar>
              <w:top w:w="0" w:type="dxa"/>
              <w:left w:w="108" w:type="dxa"/>
              <w:bottom w:w="0" w:type="dxa"/>
              <w:right w:w="108" w:type="dxa"/>
            </w:tcMar>
            <w:hideMark/>
          </w:tcPr>
          <w:p w:rsidR="008925CF" w:rsidRPr="003410C7" w:rsidRDefault="008925CF" w:rsidP="008925CF">
            <w:pPr>
              <w:rPr>
                <w:rFonts w:cs="Tahoma"/>
                <w:color w:val="000000"/>
                <w:szCs w:val="18"/>
              </w:rPr>
            </w:pPr>
            <w:r w:rsidRPr="003410C7">
              <w:rPr>
                <w:rFonts w:cs="Tahoma"/>
                <w:color w:val="000000"/>
                <w:szCs w:val="18"/>
              </w:rPr>
              <w:t>Professional Desktop con Microsoft</w:t>
            </w:r>
            <w:bookmarkStart w:id="969" w:name="_Toc236810936"/>
            <w:r w:rsidRPr="003410C7">
              <w:rPr>
                <w:rFonts w:cs="Tahoma"/>
                <w:color w:val="000000"/>
                <w:szCs w:val="18"/>
              </w:rPr>
              <w:t xml:space="preserve"> Desktop Optimization Pack </w:t>
            </w:r>
            <w:bookmarkEnd w:id="969"/>
          </w:p>
        </w:tc>
        <w:tc>
          <w:tcPr>
            <w:tcW w:w="4230" w:type="dxa"/>
            <w:tcMar>
              <w:top w:w="0" w:type="dxa"/>
              <w:left w:w="108" w:type="dxa"/>
              <w:bottom w:w="0" w:type="dxa"/>
              <w:right w:w="108" w:type="dxa"/>
            </w:tcMar>
            <w:hideMark/>
          </w:tcPr>
          <w:p w:rsidR="008925CF" w:rsidRPr="003410C7" w:rsidRDefault="008925CF" w:rsidP="00554A35">
            <w:pPr>
              <w:rPr>
                <w:rFonts w:cs="Tahoma"/>
                <w:color w:val="000000"/>
                <w:szCs w:val="18"/>
              </w:rPr>
            </w:pPr>
            <w:r w:rsidRPr="003410C7">
              <w:rPr>
                <w:rFonts w:cs="Tahoma"/>
                <w:color w:val="000000"/>
                <w:szCs w:val="18"/>
              </w:rPr>
              <w:t>Enterprise Desktop con Microsoft Desktop Optimization Pack</w:t>
            </w:r>
          </w:p>
        </w:tc>
      </w:tr>
      <w:tr w:rsidR="009F254F" w:rsidRPr="003410C7" w:rsidTr="001E3F7D">
        <w:tc>
          <w:tcPr>
            <w:tcW w:w="4230" w:type="dxa"/>
            <w:tcMar>
              <w:top w:w="0" w:type="dxa"/>
              <w:left w:w="108" w:type="dxa"/>
              <w:bottom w:w="0" w:type="dxa"/>
              <w:right w:w="108" w:type="dxa"/>
            </w:tcMar>
            <w:hideMark/>
          </w:tcPr>
          <w:p w:rsidR="009F254F" w:rsidRPr="003410C7" w:rsidRDefault="009F254F" w:rsidP="00CA4488">
            <w:pPr>
              <w:rPr>
                <w:rFonts w:eastAsia="Calibri" w:cs="Tahoma"/>
                <w:color w:val="000000"/>
                <w:szCs w:val="18"/>
              </w:rPr>
            </w:pPr>
            <w:r w:rsidRPr="003410C7">
              <w:rPr>
                <w:rFonts w:cs="Tahoma"/>
                <w:color w:val="000000"/>
                <w:szCs w:val="18"/>
              </w:rPr>
              <w:t xml:space="preserve">Project Standard </w:t>
            </w:r>
          </w:p>
        </w:tc>
        <w:tc>
          <w:tcPr>
            <w:tcW w:w="4230" w:type="dxa"/>
            <w:tcMar>
              <w:top w:w="0" w:type="dxa"/>
              <w:left w:w="108" w:type="dxa"/>
              <w:bottom w:w="0" w:type="dxa"/>
              <w:right w:w="108" w:type="dxa"/>
            </w:tcMar>
            <w:hideMark/>
          </w:tcPr>
          <w:p w:rsidR="009F254F" w:rsidRPr="003410C7" w:rsidRDefault="009F254F" w:rsidP="00CA4488">
            <w:pPr>
              <w:rPr>
                <w:rFonts w:eastAsia="Calibri" w:cs="Tahoma"/>
                <w:color w:val="000000"/>
                <w:szCs w:val="18"/>
              </w:rPr>
            </w:pPr>
            <w:r w:rsidRPr="003410C7">
              <w:rPr>
                <w:rFonts w:cs="Tahoma"/>
                <w:color w:val="000000"/>
                <w:szCs w:val="18"/>
              </w:rPr>
              <w:t xml:space="preserve">Project Professional </w:t>
            </w:r>
          </w:p>
        </w:tc>
      </w:tr>
      <w:tr w:rsidR="003573CD" w:rsidRPr="003410C7" w:rsidTr="001E3F7D">
        <w:tc>
          <w:tcPr>
            <w:tcW w:w="4230" w:type="dxa"/>
            <w:tcMar>
              <w:top w:w="0" w:type="dxa"/>
              <w:left w:w="108" w:type="dxa"/>
              <w:bottom w:w="0" w:type="dxa"/>
              <w:right w:w="108" w:type="dxa"/>
            </w:tcMar>
            <w:hideMark/>
          </w:tcPr>
          <w:p w:rsidR="003573CD" w:rsidRPr="003410C7" w:rsidRDefault="003573CD" w:rsidP="00554A35">
            <w:pPr>
              <w:rPr>
                <w:rFonts w:eastAsia="Calibri" w:cs="Tahoma"/>
                <w:color w:val="000000"/>
                <w:szCs w:val="18"/>
              </w:rPr>
            </w:pPr>
            <w:r w:rsidRPr="003410C7">
              <w:rPr>
                <w:rFonts w:cs="Tahoma"/>
                <w:color w:val="000000"/>
                <w:szCs w:val="18"/>
              </w:rPr>
              <w:t>SQL Server ™ Standard Core</w:t>
            </w:r>
          </w:p>
        </w:tc>
        <w:tc>
          <w:tcPr>
            <w:tcW w:w="4230" w:type="dxa"/>
            <w:tcMar>
              <w:top w:w="0" w:type="dxa"/>
              <w:left w:w="108" w:type="dxa"/>
              <w:bottom w:w="0" w:type="dxa"/>
              <w:right w:w="108" w:type="dxa"/>
            </w:tcMar>
            <w:hideMark/>
          </w:tcPr>
          <w:p w:rsidR="003573CD" w:rsidRPr="003410C7" w:rsidRDefault="003573CD" w:rsidP="00554A35">
            <w:pPr>
              <w:rPr>
                <w:rFonts w:eastAsia="Calibri" w:cs="Tahoma"/>
                <w:color w:val="000000"/>
                <w:szCs w:val="18"/>
              </w:rPr>
            </w:pPr>
            <w:r w:rsidRPr="003410C7">
              <w:rPr>
                <w:rFonts w:cs="Tahoma"/>
                <w:color w:val="000000"/>
                <w:szCs w:val="18"/>
              </w:rPr>
              <w:t>SQL Server ™ Enterprise Core</w:t>
            </w:r>
          </w:p>
        </w:tc>
      </w:tr>
      <w:tr w:rsidR="00270F92" w:rsidRPr="003410C7" w:rsidTr="001E3F7D">
        <w:tc>
          <w:tcPr>
            <w:tcW w:w="4230" w:type="dxa"/>
            <w:tcMar>
              <w:top w:w="0" w:type="dxa"/>
              <w:left w:w="108" w:type="dxa"/>
              <w:bottom w:w="0" w:type="dxa"/>
              <w:right w:w="108" w:type="dxa"/>
            </w:tcMar>
            <w:hideMark/>
          </w:tcPr>
          <w:p w:rsidR="00270F92" w:rsidRPr="003410C7" w:rsidRDefault="00270F92" w:rsidP="00270F92">
            <w:pPr>
              <w:rPr>
                <w:rFonts w:eastAsia="Calibri" w:cs="Tahoma"/>
                <w:szCs w:val="18"/>
              </w:rPr>
            </w:pPr>
            <w:r w:rsidRPr="003410C7">
              <w:rPr>
                <w:rFonts w:cs="Tahoma"/>
                <w:szCs w:val="18"/>
              </w:rPr>
              <w:t xml:space="preserve">SQL Server ™ </w:t>
            </w:r>
            <w:r w:rsidRPr="003410C7">
              <w:rPr>
                <w:rFonts w:cs="Tahoma"/>
                <w:color w:val="000000"/>
                <w:szCs w:val="18"/>
              </w:rPr>
              <w:t>Standard</w:t>
            </w:r>
          </w:p>
        </w:tc>
        <w:tc>
          <w:tcPr>
            <w:tcW w:w="4230" w:type="dxa"/>
            <w:tcMar>
              <w:top w:w="0" w:type="dxa"/>
              <w:left w:w="108" w:type="dxa"/>
              <w:bottom w:w="0" w:type="dxa"/>
              <w:right w:w="108" w:type="dxa"/>
            </w:tcMar>
            <w:hideMark/>
          </w:tcPr>
          <w:p w:rsidR="00270F92" w:rsidRPr="003410C7" w:rsidRDefault="00270F92" w:rsidP="00BB516F">
            <w:pPr>
              <w:rPr>
                <w:rFonts w:eastAsia="Calibri" w:cs="Tahoma"/>
                <w:szCs w:val="18"/>
              </w:rPr>
            </w:pPr>
            <w:r w:rsidRPr="003410C7">
              <w:rPr>
                <w:rFonts w:cs="Tahoma"/>
                <w:szCs w:val="18"/>
              </w:rPr>
              <w:t>SQL Server ™ Business Intelligence</w:t>
            </w:r>
          </w:p>
        </w:tc>
      </w:tr>
      <w:tr w:rsidR="003573CD" w:rsidRPr="003410C7" w:rsidTr="001E3F7D">
        <w:tc>
          <w:tcPr>
            <w:tcW w:w="4230" w:type="dxa"/>
            <w:tcMar>
              <w:top w:w="0" w:type="dxa"/>
              <w:left w:w="108" w:type="dxa"/>
              <w:bottom w:w="0" w:type="dxa"/>
              <w:right w:w="108" w:type="dxa"/>
            </w:tcMar>
            <w:hideMark/>
          </w:tcPr>
          <w:p w:rsidR="003573CD" w:rsidRPr="003410C7" w:rsidRDefault="00D04131" w:rsidP="00554A35">
            <w:pPr>
              <w:rPr>
                <w:rFonts w:eastAsia="Calibri" w:cs="Tahoma"/>
                <w:szCs w:val="18"/>
              </w:rPr>
            </w:pPr>
            <w:r w:rsidRPr="003410C7">
              <w:rPr>
                <w:rFonts w:cs="Tahoma"/>
                <w:szCs w:val="18"/>
              </w:rPr>
              <w:t>System Center 2012 Standard</w:t>
            </w:r>
          </w:p>
        </w:tc>
        <w:tc>
          <w:tcPr>
            <w:tcW w:w="4230" w:type="dxa"/>
            <w:tcMar>
              <w:top w:w="0" w:type="dxa"/>
              <w:left w:w="108" w:type="dxa"/>
              <w:bottom w:w="0" w:type="dxa"/>
              <w:right w:w="108" w:type="dxa"/>
            </w:tcMar>
            <w:hideMark/>
          </w:tcPr>
          <w:p w:rsidR="003573CD" w:rsidRPr="003410C7" w:rsidRDefault="00D04131" w:rsidP="00554A35">
            <w:pPr>
              <w:rPr>
                <w:rFonts w:eastAsia="Calibri" w:cs="Tahoma"/>
                <w:szCs w:val="18"/>
              </w:rPr>
            </w:pPr>
            <w:r w:rsidRPr="003410C7">
              <w:rPr>
                <w:rFonts w:cs="Tahoma"/>
                <w:szCs w:val="18"/>
              </w:rPr>
              <w:t>System Center 2012 Datacenter</w:t>
            </w:r>
          </w:p>
        </w:tc>
      </w:tr>
      <w:tr w:rsidR="009F254F" w:rsidRPr="003410C7" w:rsidTr="001E3F7D">
        <w:tc>
          <w:tcPr>
            <w:tcW w:w="4230" w:type="dxa"/>
            <w:tcMar>
              <w:top w:w="0" w:type="dxa"/>
              <w:left w:w="108" w:type="dxa"/>
              <w:bottom w:w="0" w:type="dxa"/>
              <w:right w:w="108" w:type="dxa"/>
            </w:tcMar>
            <w:hideMark/>
          </w:tcPr>
          <w:p w:rsidR="009F254F" w:rsidRPr="003410C7" w:rsidRDefault="009F254F" w:rsidP="00CA4488">
            <w:pPr>
              <w:rPr>
                <w:rFonts w:eastAsia="Calibri" w:cs="Tahoma"/>
                <w:color w:val="000000"/>
                <w:szCs w:val="18"/>
              </w:rPr>
            </w:pPr>
            <w:r w:rsidRPr="003410C7">
              <w:rPr>
                <w:rFonts w:cs="Tahoma"/>
                <w:color w:val="000000"/>
                <w:szCs w:val="18"/>
              </w:rPr>
              <w:t>Visio</w:t>
            </w:r>
            <w:r w:rsidR="003410C7" w:rsidRPr="003410C7">
              <w:rPr>
                <w:rFonts w:cs="Tahoma"/>
                <w:color w:val="000000"/>
                <w:szCs w:val="18"/>
                <w:vertAlign w:val="superscript"/>
              </w:rPr>
              <w:t>®</w:t>
            </w:r>
            <w:r w:rsidRPr="003410C7">
              <w:rPr>
                <w:rFonts w:cs="Tahoma"/>
                <w:color w:val="000000"/>
                <w:szCs w:val="18"/>
              </w:rPr>
              <w:t xml:space="preserve"> Standard</w:t>
            </w:r>
          </w:p>
        </w:tc>
        <w:tc>
          <w:tcPr>
            <w:tcW w:w="4230" w:type="dxa"/>
            <w:tcMar>
              <w:top w:w="0" w:type="dxa"/>
              <w:left w:w="108" w:type="dxa"/>
              <w:bottom w:w="0" w:type="dxa"/>
              <w:right w:w="108" w:type="dxa"/>
            </w:tcMar>
            <w:hideMark/>
          </w:tcPr>
          <w:p w:rsidR="009F254F" w:rsidRPr="003410C7" w:rsidRDefault="009F254F" w:rsidP="00CA4488">
            <w:pPr>
              <w:rPr>
                <w:rFonts w:eastAsia="Calibri" w:cs="Tahoma"/>
                <w:color w:val="000000"/>
                <w:szCs w:val="18"/>
              </w:rPr>
            </w:pPr>
            <w:r w:rsidRPr="003410C7">
              <w:rPr>
                <w:rFonts w:cs="Tahoma"/>
                <w:color w:val="000000"/>
                <w:szCs w:val="18"/>
              </w:rPr>
              <w:t xml:space="preserve"> Visio</w:t>
            </w:r>
            <w:r w:rsidR="003410C7" w:rsidRPr="003410C7">
              <w:rPr>
                <w:rFonts w:cs="Tahoma"/>
                <w:color w:val="000000"/>
                <w:szCs w:val="18"/>
                <w:vertAlign w:val="superscript"/>
              </w:rPr>
              <w:t>®</w:t>
            </w:r>
            <w:r w:rsidRPr="003410C7">
              <w:rPr>
                <w:rFonts w:cs="Tahoma"/>
                <w:color w:val="000000"/>
                <w:szCs w:val="18"/>
              </w:rPr>
              <w:t xml:space="preserve"> Professional</w:t>
            </w:r>
          </w:p>
        </w:tc>
      </w:tr>
      <w:tr w:rsidR="009F254F" w:rsidRPr="003410C7" w:rsidTr="001E3F7D">
        <w:tc>
          <w:tcPr>
            <w:tcW w:w="4230" w:type="dxa"/>
            <w:tcMar>
              <w:top w:w="0" w:type="dxa"/>
              <w:left w:w="108" w:type="dxa"/>
              <w:bottom w:w="0" w:type="dxa"/>
              <w:right w:w="108" w:type="dxa"/>
            </w:tcMar>
            <w:hideMark/>
          </w:tcPr>
          <w:p w:rsidR="009F254F" w:rsidRPr="00451078" w:rsidRDefault="009F254F" w:rsidP="00CA4488">
            <w:pPr>
              <w:rPr>
                <w:rFonts w:eastAsia="Calibri" w:cs="Tahoma"/>
                <w:color w:val="000000"/>
                <w:szCs w:val="18"/>
                <w:lang w:val="it-IT"/>
              </w:rPr>
            </w:pPr>
            <w:r w:rsidRPr="00451078">
              <w:rPr>
                <w:rFonts w:cs="Tahoma"/>
                <w:color w:val="000000"/>
                <w:szCs w:val="18"/>
                <w:lang w:val="it-IT"/>
              </w:rPr>
              <w:t>Visual Studio Professional con MSDN</w:t>
            </w:r>
          </w:p>
        </w:tc>
        <w:tc>
          <w:tcPr>
            <w:tcW w:w="4230" w:type="dxa"/>
            <w:tcMar>
              <w:top w:w="0" w:type="dxa"/>
              <w:left w:w="108" w:type="dxa"/>
              <w:bottom w:w="0" w:type="dxa"/>
              <w:right w:w="108" w:type="dxa"/>
            </w:tcMar>
            <w:hideMark/>
          </w:tcPr>
          <w:p w:rsidR="009F254F" w:rsidRPr="003410C7" w:rsidRDefault="009F254F" w:rsidP="00CA4488">
            <w:pPr>
              <w:rPr>
                <w:rFonts w:eastAsia="Calibri" w:cs="Tahoma"/>
                <w:color w:val="000000"/>
                <w:szCs w:val="18"/>
              </w:rPr>
            </w:pPr>
            <w:r w:rsidRPr="003410C7">
              <w:rPr>
                <w:rFonts w:cs="Tahoma"/>
                <w:color w:val="000000"/>
                <w:szCs w:val="18"/>
              </w:rPr>
              <w:t>Visual Studio Premium con MSDN</w:t>
            </w:r>
          </w:p>
        </w:tc>
      </w:tr>
      <w:tr w:rsidR="009F254F" w:rsidRPr="00DC1102" w:rsidTr="001E3F7D">
        <w:tc>
          <w:tcPr>
            <w:tcW w:w="4230" w:type="dxa"/>
            <w:tcMar>
              <w:top w:w="0" w:type="dxa"/>
              <w:left w:w="108" w:type="dxa"/>
              <w:bottom w:w="0" w:type="dxa"/>
              <w:right w:w="108" w:type="dxa"/>
            </w:tcMar>
            <w:hideMark/>
          </w:tcPr>
          <w:p w:rsidR="009F254F" w:rsidRPr="003410C7" w:rsidRDefault="009F254F" w:rsidP="00CA4488">
            <w:pPr>
              <w:rPr>
                <w:rFonts w:eastAsia="Calibri" w:cs="Tahoma"/>
                <w:szCs w:val="18"/>
              </w:rPr>
            </w:pPr>
            <w:r w:rsidRPr="003410C7">
              <w:rPr>
                <w:rFonts w:cs="Tahoma"/>
                <w:szCs w:val="18"/>
              </w:rPr>
              <w:t>Visual Studio Premium con MSDN</w:t>
            </w:r>
          </w:p>
        </w:tc>
        <w:tc>
          <w:tcPr>
            <w:tcW w:w="4230" w:type="dxa"/>
            <w:tcMar>
              <w:top w:w="0" w:type="dxa"/>
              <w:left w:w="108" w:type="dxa"/>
              <w:bottom w:w="0" w:type="dxa"/>
              <w:right w:w="108" w:type="dxa"/>
            </w:tcMar>
            <w:hideMark/>
          </w:tcPr>
          <w:p w:rsidR="009F254F" w:rsidRPr="00451078" w:rsidRDefault="009F254F" w:rsidP="00CA4488">
            <w:pPr>
              <w:rPr>
                <w:rFonts w:eastAsia="Calibri" w:cs="Tahoma"/>
                <w:szCs w:val="18"/>
                <w:lang w:val="it-IT"/>
              </w:rPr>
            </w:pPr>
            <w:r w:rsidRPr="00451078">
              <w:rPr>
                <w:rFonts w:cs="Tahoma"/>
                <w:szCs w:val="18"/>
                <w:lang w:val="it-IT"/>
              </w:rPr>
              <w:t>Visual Studio Ultimate con MSDN</w:t>
            </w:r>
          </w:p>
        </w:tc>
      </w:tr>
      <w:tr w:rsidR="009F254F" w:rsidRPr="003410C7" w:rsidTr="001E3F7D">
        <w:tc>
          <w:tcPr>
            <w:tcW w:w="4230" w:type="dxa"/>
            <w:tcMar>
              <w:top w:w="0" w:type="dxa"/>
              <w:left w:w="108" w:type="dxa"/>
              <w:bottom w:w="0" w:type="dxa"/>
              <w:right w:w="108" w:type="dxa"/>
            </w:tcMar>
            <w:hideMark/>
          </w:tcPr>
          <w:p w:rsidR="009F254F" w:rsidRPr="003410C7" w:rsidRDefault="009F254F" w:rsidP="00CA4488">
            <w:pPr>
              <w:rPr>
                <w:rFonts w:eastAsia="Calibri" w:cs="Tahoma"/>
                <w:szCs w:val="18"/>
              </w:rPr>
            </w:pPr>
            <w:r w:rsidRPr="003410C7">
              <w:rPr>
                <w:rFonts w:cs="Tahoma"/>
                <w:szCs w:val="18"/>
              </w:rPr>
              <w:t>Visual Studio Test Professional con MSDN</w:t>
            </w:r>
          </w:p>
        </w:tc>
        <w:tc>
          <w:tcPr>
            <w:tcW w:w="4230" w:type="dxa"/>
            <w:tcMar>
              <w:top w:w="0" w:type="dxa"/>
              <w:left w:w="108" w:type="dxa"/>
              <w:bottom w:w="0" w:type="dxa"/>
              <w:right w:w="108" w:type="dxa"/>
            </w:tcMar>
            <w:hideMark/>
          </w:tcPr>
          <w:p w:rsidR="009F254F" w:rsidRPr="003410C7" w:rsidRDefault="009F254F" w:rsidP="007E710C">
            <w:pPr>
              <w:rPr>
                <w:rFonts w:eastAsia="Calibri" w:cs="Tahoma"/>
                <w:szCs w:val="18"/>
              </w:rPr>
            </w:pPr>
            <w:r w:rsidRPr="003410C7">
              <w:rPr>
                <w:rFonts w:cs="Tahoma"/>
                <w:szCs w:val="18"/>
              </w:rPr>
              <w:t>Visual Studio Premium con MSDN</w:t>
            </w:r>
          </w:p>
        </w:tc>
      </w:tr>
      <w:tr w:rsidR="003573CD" w:rsidRPr="003410C7" w:rsidTr="001E3F7D">
        <w:tc>
          <w:tcPr>
            <w:tcW w:w="4230" w:type="dxa"/>
            <w:tcMar>
              <w:top w:w="0" w:type="dxa"/>
              <w:left w:w="108" w:type="dxa"/>
              <w:bottom w:w="0" w:type="dxa"/>
              <w:right w:w="108" w:type="dxa"/>
            </w:tcMar>
            <w:hideMark/>
          </w:tcPr>
          <w:p w:rsidR="003573CD" w:rsidRPr="003410C7" w:rsidRDefault="003573CD" w:rsidP="00554A35">
            <w:pPr>
              <w:rPr>
                <w:rFonts w:eastAsia="Calibri" w:cs="Tahoma"/>
                <w:szCs w:val="18"/>
              </w:rPr>
            </w:pPr>
            <w:r w:rsidRPr="003410C7">
              <w:rPr>
                <w:rFonts w:cs="Tahoma"/>
                <w:szCs w:val="18"/>
              </w:rPr>
              <w:t>Windows</w:t>
            </w:r>
            <w:r w:rsidR="003410C7" w:rsidRPr="003410C7">
              <w:rPr>
                <w:rFonts w:cs="Tahoma"/>
                <w:szCs w:val="18"/>
                <w:vertAlign w:val="superscript"/>
              </w:rPr>
              <w:t>®</w:t>
            </w:r>
            <w:r w:rsidRPr="003410C7">
              <w:rPr>
                <w:rFonts w:cs="Tahoma"/>
                <w:szCs w:val="18"/>
              </w:rPr>
              <w:t xml:space="preserve"> Server™ Standard</w:t>
            </w:r>
          </w:p>
        </w:tc>
        <w:tc>
          <w:tcPr>
            <w:tcW w:w="4230" w:type="dxa"/>
            <w:tcMar>
              <w:top w:w="0" w:type="dxa"/>
              <w:left w:w="108" w:type="dxa"/>
              <w:bottom w:w="0" w:type="dxa"/>
              <w:right w:w="108" w:type="dxa"/>
            </w:tcMar>
            <w:hideMark/>
          </w:tcPr>
          <w:p w:rsidR="003573CD" w:rsidRPr="003410C7" w:rsidRDefault="003573CD" w:rsidP="00554A35">
            <w:pPr>
              <w:rPr>
                <w:rFonts w:eastAsia="Calibri" w:cs="Tahoma"/>
                <w:szCs w:val="18"/>
              </w:rPr>
            </w:pPr>
            <w:r w:rsidRPr="003410C7">
              <w:rPr>
                <w:rFonts w:cs="Tahoma"/>
                <w:szCs w:val="18"/>
              </w:rPr>
              <w:t>Windows</w:t>
            </w:r>
            <w:r w:rsidR="003410C7" w:rsidRPr="003410C7">
              <w:rPr>
                <w:rFonts w:cs="Tahoma"/>
                <w:szCs w:val="18"/>
                <w:vertAlign w:val="superscript"/>
              </w:rPr>
              <w:t>®</w:t>
            </w:r>
            <w:r w:rsidRPr="003410C7">
              <w:rPr>
                <w:rFonts w:cs="Tahoma"/>
                <w:szCs w:val="18"/>
              </w:rPr>
              <w:t xml:space="preserve"> Server™ Datacenter</w:t>
            </w:r>
          </w:p>
        </w:tc>
      </w:tr>
    </w:tbl>
    <w:p w:rsidR="003573CD" w:rsidRPr="00451078" w:rsidRDefault="003573CD" w:rsidP="003573CD">
      <w:pPr>
        <w:pStyle w:val="AppendixBodyText"/>
        <w:ind w:left="1710" w:hanging="1260"/>
        <w:rPr>
          <w:lang w:val="it-IT"/>
        </w:rPr>
      </w:pPr>
      <w:r w:rsidRPr="00451078">
        <w:rPr>
          <w:rFonts w:ascii="Tahoma" w:hAnsi="Tahoma" w:cs="Tahoma"/>
          <w:b/>
          <w:i/>
          <w:sz w:val="16"/>
          <w:szCs w:val="16"/>
          <w:lang w:val="it-IT"/>
        </w:rPr>
        <w:t>*Nota:</w:t>
      </w:r>
      <w:r w:rsidRPr="00451078">
        <w:rPr>
          <w:rFonts w:ascii="Tahoma" w:hAnsi="Tahoma" w:cs="Tahoma"/>
          <w:i/>
          <w:sz w:val="16"/>
          <w:szCs w:val="16"/>
          <w:lang w:val="it-IT"/>
        </w:rPr>
        <w:t xml:space="preserve"> La lista dei prodotti per cui sono disponibili Licenze Step-up è soggetta a modifiche.</w:t>
      </w:r>
    </w:p>
    <w:p w:rsidR="00023FE7" w:rsidRPr="00451078" w:rsidRDefault="00CA395A" w:rsidP="0066298E">
      <w:pPr>
        <w:pStyle w:val="Heading1"/>
        <w:rPr>
          <w:lang w:val="it-IT"/>
        </w:rPr>
      </w:pPr>
      <w:r w:rsidRPr="00451078">
        <w:rPr>
          <w:lang w:val="it-IT"/>
        </w:rPr>
        <w:br w:type="page"/>
      </w:r>
      <w:bookmarkStart w:id="970" w:name="_Toc317591256"/>
      <w:bookmarkStart w:id="971" w:name="_Toc336338247"/>
      <w:bookmarkStart w:id="972" w:name="_Toc352234842"/>
      <w:r w:rsidRPr="00451078">
        <w:rPr>
          <w:lang w:val="it-IT"/>
        </w:rPr>
        <w:lastRenderedPageBreak/>
        <w:t>ARTICOLO 8 - Servizi</w:t>
      </w:r>
      <w:bookmarkEnd w:id="970"/>
      <w:bookmarkEnd w:id="971"/>
      <w:bookmarkEnd w:id="972"/>
    </w:p>
    <w:p w:rsidR="00023FE7" w:rsidRPr="00451078" w:rsidRDefault="00023FE7">
      <w:pPr>
        <w:rPr>
          <w:lang w:val="it-IT"/>
        </w:rPr>
      </w:pPr>
    </w:p>
    <w:p w:rsidR="00DD7F8E" w:rsidRPr="00451078" w:rsidRDefault="00DD7F8E" w:rsidP="00607FE8">
      <w:pPr>
        <w:jc w:val="both"/>
        <w:rPr>
          <w:lang w:val="it-IT"/>
        </w:rPr>
      </w:pPr>
      <w:r w:rsidRPr="00451078">
        <w:rPr>
          <w:rFonts w:eastAsia="Times New Roman" w:cs="Tahoma"/>
          <w:szCs w:val="20"/>
          <w:lang w:val="it-IT"/>
        </w:rPr>
        <w:t>Il diritto di utilizzo dei Servizi acquistati dalla presente Lista dei Prodotti da parte della società è disciplinato da (1) il contratto multilicenza (Volume Licensing) della società e (2) qualunque contratto per i Servizi Microsoft di livello master applicabile alla società all</w:t>
      </w:r>
      <w:r w:rsidR="004525CA">
        <w:rPr>
          <w:rFonts w:eastAsia="Times New Roman" w:cs="Tahoma"/>
          <w:szCs w:val="20"/>
          <w:lang w:val="it-IT"/>
        </w:rPr>
        <w:t>’</w:t>
      </w:r>
      <w:r w:rsidRPr="00451078">
        <w:rPr>
          <w:rFonts w:eastAsia="Times New Roman" w:cs="Tahoma"/>
          <w:szCs w:val="20"/>
          <w:lang w:val="it-IT"/>
        </w:rPr>
        <w:t>epoca dell</w:t>
      </w:r>
      <w:r w:rsidR="004525CA">
        <w:rPr>
          <w:rFonts w:eastAsia="Times New Roman" w:cs="Tahoma"/>
          <w:szCs w:val="20"/>
          <w:lang w:val="it-IT"/>
        </w:rPr>
        <w:t>’</w:t>
      </w:r>
      <w:r w:rsidRPr="00451078">
        <w:rPr>
          <w:rFonts w:eastAsia="Times New Roman" w:cs="Tahoma"/>
          <w:szCs w:val="20"/>
          <w:lang w:val="it-IT"/>
        </w:rPr>
        <w:t>acquisto. Nell</w:t>
      </w:r>
      <w:r w:rsidR="004525CA">
        <w:rPr>
          <w:rFonts w:eastAsia="Times New Roman" w:cs="Tahoma"/>
          <w:szCs w:val="20"/>
          <w:lang w:val="it-IT"/>
        </w:rPr>
        <w:t>’</w:t>
      </w:r>
      <w:r w:rsidRPr="00451078">
        <w:rPr>
          <w:rFonts w:eastAsia="Times New Roman" w:cs="Tahoma"/>
          <w:szCs w:val="20"/>
          <w:lang w:val="it-IT"/>
        </w:rPr>
        <w:t>eventualità di discrepanze, il contratto più aggiornato relativo ai Servizi avrà la priorità.</w:t>
      </w:r>
      <w:r w:rsidR="00082E1C" w:rsidRPr="00451078">
        <w:rPr>
          <w:rFonts w:eastAsia="Times New Roman" w:cs="Tahoma"/>
          <w:szCs w:val="20"/>
          <w:lang w:val="it-IT"/>
        </w:rPr>
        <w:t xml:space="preserve"> </w:t>
      </w:r>
      <w:r w:rsidRPr="00451078">
        <w:rPr>
          <w:rFonts w:cs="Tahoma"/>
          <w:color w:val="000000"/>
          <w:szCs w:val="18"/>
          <w:lang w:val="it-IT"/>
        </w:rPr>
        <w:t>Se il contratto Volume License o le condizioni dei Servizi di livello master della società non contengono disposizioni relative alla Titolarità dei Servizi e alla lingua della Licenza, si applicheranno i</w:t>
      </w:r>
      <w:r w:rsidR="00262185" w:rsidRPr="00451078">
        <w:rPr>
          <w:rFonts w:cs="Tahoma"/>
          <w:color w:val="000000"/>
          <w:szCs w:val="18"/>
          <w:lang w:val="it-IT"/>
        </w:rPr>
        <w:t> </w:t>
      </w:r>
      <w:r w:rsidRPr="00451078">
        <w:rPr>
          <w:rFonts w:cs="Tahoma"/>
          <w:color w:val="000000"/>
          <w:szCs w:val="18"/>
          <w:lang w:val="it-IT"/>
        </w:rPr>
        <w:t>Diritti sull</w:t>
      </w:r>
      <w:r w:rsidR="004525CA">
        <w:rPr>
          <w:rFonts w:cs="Tahoma"/>
          <w:color w:val="000000"/>
          <w:szCs w:val="18"/>
          <w:lang w:val="it-IT"/>
        </w:rPr>
        <w:t>’</w:t>
      </w:r>
      <w:r w:rsidRPr="00451078">
        <w:rPr>
          <w:rFonts w:cs="Tahoma"/>
          <w:color w:val="000000"/>
          <w:szCs w:val="18"/>
          <w:lang w:val="it-IT"/>
        </w:rPr>
        <w:t>utilizzo, di titolarità e di licenza definiti nelle Condizioni di Servizio Aggiuntive riportate di seguito.</w:t>
      </w:r>
      <w:r w:rsidR="00082E1C" w:rsidRPr="00451078">
        <w:rPr>
          <w:rFonts w:cs="Tahoma"/>
          <w:color w:val="000000"/>
          <w:szCs w:val="18"/>
          <w:lang w:val="it-IT"/>
        </w:rPr>
        <w:t xml:space="preserve"> </w:t>
      </w:r>
      <w:r w:rsidRPr="00451078">
        <w:rPr>
          <w:rFonts w:eastAsia="Times New Roman" w:cs="Tahoma"/>
          <w:szCs w:val="20"/>
          <w:lang w:val="it-IT"/>
        </w:rPr>
        <w:t>Qualora la società non abbia stipulato con Microsoft un contratto per i Servizi di livello master, si applicheranno le Condizioni di Servizio Aggiuntive riportate di seguito.</w:t>
      </w:r>
    </w:p>
    <w:p w:rsidR="00DD7F8E" w:rsidRPr="00451078" w:rsidRDefault="00DD7F8E" w:rsidP="00607FE8">
      <w:pPr>
        <w:jc w:val="both"/>
        <w:rPr>
          <w:lang w:val="it-IT"/>
        </w:rPr>
      </w:pPr>
    </w:p>
    <w:p w:rsidR="00DD7F8E" w:rsidRPr="00451078" w:rsidRDefault="00DD7F8E" w:rsidP="00607FE8">
      <w:pPr>
        <w:spacing w:after="75"/>
        <w:rPr>
          <w:lang w:val="it-IT"/>
        </w:rPr>
      </w:pPr>
      <w:r w:rsidRPr="00451078">
        <w:rPr>
          <w:rFonts w:eastAsia="Times New Roman" w:cs="Tahoma"/>
          <w:szCs w:val="20"/>
          <w:lang w:val="it-IT"/>
        </w:rPr>
        <w:t xml:space="preserve">Una descrizione dettagliata dei Servizi che le società possono acquistare è fornita nelle sezioni seguenti. </w:t>
      </w:r>
    </w:p>
    <w:p w:rsidR="00DD7F8E" w:rsidRPr="00451078" w:rsidRDefault="00DD7F8E" w:rsidP="00607FE8">
      <w:pPr>
        <w:spacing w:after="75"/>
        <w:rPr>
          <w:lang w:val="it-IT"/>
        </w:rPr>
      </w:pPr>
      <w:r w:rsidRPr="00451078">
        <w:rPr>
          <w:rFonts w:eastAsia="Times New Roman" w:cs="Tahoma"/>
          <w:szCs w:val="20"/>
          <w:lang w:val="it-IT"/>
        </w:rPr>
        <w:t>La disponibilità delle offerte seguenti varia in base alla regione e al Programma per Contratti Multilicenza. Alcune offerte potrebbero non essere disponibili per gli Enti Pubblici con determinate eccezioni limitate in merito a progetti pilota. Le società dovranno contattare il proprio rivenditore o l</w:t>
      </w:r>
      <w:r w:rsidR="004525CA">
        <w:rPr>
          <w:rFonts w:eastAsia="Times New Roman" w:cs="Tahoma"/>
          <w:szCs w:val="20"/>
          <w:lang w:val="it-IT"/>
        </w:rPr>
        <w:t>’</w:t>
      </w:r>
      <w:r w:rsidRPr="00451078">
        <w:rPr>
          <w:rFonts w:eastAsia="Times New Roman" w:cs="Tahoma"/>
          <w:szCs w:val="20"/>
          <w:lang w:val="it-IT"/>
        </w:rPr>
        <w:t>Account Manager designato da Microsoft per richiedere informazioni relative alla disponibilità di una determinata offerta.</w:t>
      </w:r>
    </w:p>
    <w:p w:rsidR="00F42FB8" w:rsidRPr="00451078" w:rsidRDefault="00F42FB8" w:rsidP="00DD7F8E">
      <w:pPr>
        <w:rPr>
          <w:lang w:val="it-IT"/>
        </w:rPr>
      </w:pPr>
    </w:p>
    <w:p w:rsidR="00DD7F8E" w:rsidRPr="00451078" w:rsidRDefault="00DD7F8E" w:rsidP="00DD7F8E">
      <w:pPr>
        <w:rPr>
          <w:lang w:val="it-IT"/>
        </w:rPr>
      </w:pPr>
      <w:r w:rsidRPr="00451078">
        <w:rPr>
          <w:b/>
          <w:sz w:val="24"/>
          <w:szCs w:val="24"/>
          <w:lang w:val="it-IT"/>
        </w:rPr>
        <w:t>Offerte di Supporto Tecnico Microsoft Premier</w:t>
      </w:r>
    </w:p>
    <w:p w:rsidR="00DB2D1E" w:rsidRPr="00451078" w:rsidRDefault="00DB2D1E" w:rsidP="00DC0853">
      <w:pPr>
        <w:rPr>
          <w:lang w:val="it-IT"/>
        </w:rPr>
      </w:pPr>
    </w:p>
    <w:tbl>
      <w:tblPr>
        <w:tblW w:w="9468" w:type="dxa"/>
        <w:tblInd w:w="1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3168"/>
        <w:gridCol w:w="1580"/>
        <w:gridCol w:w="1444"/>
        <w:gridCol w:w="1687"/>
        <w:gridCol w:w="1589"/>
      </w:tblGrid>
      <w:tr w:rsidR="00DB2D1E" w:rsidRPr="003410C7" w:rsidTr="002A6416">
        <w:tc>
          <w:tcPr>
            <w:tcW w:w="3168" w:type="dxa"/>
            <w:shd w:val="clear" w:color="auto" w:fill="FABF8F"/>
            <w:vAlign w:val="center"/>
          </w:tcPr>
          <w:p w:rsidR="00DB2D1E" w:rsidRPr="003410C7" w:rsidRDefault="00DB2D1E" w:rsidP="00DE73D4">
            <w:pPr>
              <w:jc w:val="center"/>
              <w:rPr>
                <w:rFonts w:cs="Tahoma"/>
                <w:color w:val="000000"/>
                <w:szCs w:val="18"/>
              </w:rPr>
            </w:pPr>
            <w:r w:rsidRPr="003410C7">
              <w:rPr>
                <w:rFonts w:cs="Tahoma"/>
                <w:b/>
                <w:bCs/>
                <w:color w:val="000000"/>
                <w:sz w:val="20"/>
                <w:szCs w:val="18"/>
              </w:rPr>
              <w:t xml:space="preserve">Area </w:t>
            </w:r>
            <w:r w:rsidRPr="003410C7">
              <w:rPr>
                <w:rFonts w:cs="Tahoma"/>
                <w:b/>
                <w:bCs/>
                <w:color w:val="000000"/>
                <w:sz w:val="20"/>
                <w:szCs w:val="18"/>
                <w:vertAlign w:val="superscript"/>
              </w:rPr>
              <w:t>1</w:t>
            </w:r>
          </w:p>
        </w:tc>
        <w:tc>
          <w:tcPr>
            <w:tcW w:w="1580" w:type="dxa"/>
            <w:shd w:val="clear" w:color="auto" w:fill="FABF8F"/>
            <w:vAlign w:val="center"/>
          </w:tcPr>
          <w:p w:rsidR="00DB2D1E" w:rsidRPr="003410C7" w:rsidRDefault="00DB2D1E" w:rsidP="00DE73D4">
            <w:pPr>
              <w:jc w:val="center"/>
              <w:rPr>
                <w:rFonts w:cs="Tahoma"/>
                <w:color w:val="000000"/>
                <w:sz w:val="20"/>
                <w:szCs w:val="20"/>
              </w:rPr>
            </w:pPr>
            <w:r w:rsidRPr="003410C7">
              <w:rPr>
                <w:rFonts w:cs="Tahoma"/>
                <w:b/>
                <w:bCs/>
                <w:color w:val="000000"/>
                <w:sz w:val="20"/>
                <w:szCs w:val="20"/>
              </w:rPr>
              <w:t>Premier Core</w:t>
            </w:r>
          </w:p>
        </w:tc>
        <w:tc>
          <w:tcPr>
            <w:tcW w:w="1444" w:type="dxa"/>
            <w:shd w:val="clear" w:color="auto" w:fill="FABF8F"/>
          </w:tcPr>
          <w:p w:rsidR="00DB2D1E" w:rsidRPr="003410C7" w:rsidRDefault="00DB2D1E" w:rsidP="00DE73D4">
            <w:pPr>
              <w:jc w:val="center"/>
              <w:rPr>
                <w:rFonts w:cs="Tahoma"/>
                <w:b/>
                <w:bCs/>
                <w:color w:val="000000"/>
                <w:sz w:val="20"/>
                <w:szCs w:val="18"/>
              </w:rPr>
            </w:pPr>
            <w:r w:rsidRPr="003410C7">
              <w:rPr>
                <w:rFonts w:cs="Tahoma"/>
                <w:b/>
                <w:bCs/>
                <w:color w:val="000000"/>
                <w:sz w:val="20"/>
                <w:szCs w:val="18"/>
              </w:rPr>
              <w:t>Premier Foundation</w:t>
            </w:r>
          </w:p>
        </w:tc>
        <w:tc>
          <w:tcPr>
            <w:tcW w:w="1687" w:type="dxa"/>
            <w:shd w:val="clear" w:color="auto" w:fill="FABF8F"/>
            <w:vAlign w:val="center"/>
          </w:tcPr>
          <w:p w:rsidR="00DB2D1E" w:rsidRPr="003410C7" w:rsidRDefault="00DB2D1E" w:rsidP="00DE73D4">
            <w:pPr>
              <w:jc w:val="center"/>
              <w:rPr>
                <w:rFonts w:cs="Tahoma"/>
                <w:color w:val="000000"/>
                <w:szCs w:val="18"/>
              </w:rPr>
            </w:pPr>
            <w:r w:rsidRPr="003410C7">
              <w:rPr>
                <w:rFonts w:cs="Tahoma"/>
                <w:b/>
                <w:bCs/>
                <w:color w:val="000000"/>
                <w:sz w:val="20"/>
                <w:szCs w:val="18"/>
              </w:rPr>
              <w:t>Premier Standard</w:t>
            </w:r>
          </w:p>
        </w:tc>
        <w:tc>
          <w:tcPr>
            <w:tcW w:w="1589" w:type="dxa"/>
            <w:shd w:val="clear" w:color="auto" w:fill="FABF8F"/>
            <w:vAlign w:val="center"/>
          </w:tcPr>
          <w:p w:rsidR="00DB2D1E" w:rsidRPr="003410C7" w:rsidRDefault="00DB2D1E" w:rsidP="00DE73D4">
            <w:pPr>
              <w:jc w:val="center"/>
              <w:rPr>
                <w:rFonts w:cs="Tahoma"/>
                <w:color w:val="000000"/>
                <w:szCs w:val="18"/>
              </w:rPr>
            </w:pPr>
            <w:r w:rsidRPr="003410C7">
              <w:rPr>
                <w:rFonts w:cs="Tahoma"/>
                <w:b/>
                <w:bCs/>
                <w:color w:val="000000"/>
                <w:sz w:val="20"/>
                <w:szCs w:val="18"/>
              </w:rPr>
              <w:t>Premier Plus</w:t>
            </w:r>
          </w:p>
        </w:tc>
      </w:tr>
      <w:tr w:rsidR="00DB2D1E" w:rsidRPr="003410C7" w:rsidTr="002A6416">
        <w:tc>
          <w:tcPr>
            <w:tcW w:w="3168" w:type="dxa"/>
            <w:vAlign w:val="center"/>
          </w:tcPr>
          <w:p w:rsidR="00DB2D1E" w:rsidRPr="003410C7" w:rsidRDefault="00DB2D1E" w:rsidP="00DE73D4">
            <w:pPr>
              <w:rPr>
                <w:rFonts w:cs="Tahoma"/>
                <w:color w:val="000000"/>
                <w:szCs w:val="18"/>
              </w:rPr>
            </w:pPr>
            <w:r w:rsidRPr="003410C7">
              <w:rPr>
                <w:rFonts w:cs="Tahoma"/>
                <w:color w:val="000000"/>
                <w:szCs w:val="18"/>
              </w:rPr>
              <w:t xml:space="preserve">Support Account Management </w:t>
            </w:r>
          </w:p>
        </w:tc>
        <w:tc>
          <w:tcPr>
            <w:tcW w:w="1580" w:type="dxa"/>
            <w:vAlign w:val="center"/>
          </w:tcPr>
          <w:p w:rsidR="00DB2D1E" w:rsidRPr="003410C7" w:rsidRDefault="00DB2D1E" w:rsidP="00DE73D4">
            <w:pPr>
              <w:jc w:val="center"/>
              <w:rPr>
                <w:rFonts w:cs="Tahoma"/>
                <w:color w:val="000000"/>
                <w:szCs w:val="18"/>
              </w:rPr>
            </w:pPr>
            <w:r w:rsidRPr="003410C7">
              <w:rPr>
                <w:rFonts w:ascii="MS UI Gothic" w:eastAsia="MS UI Gothic" w:hAnsi="MS UI Gothic" w:cs="MS UI Gothic"/>
                <w:color w:val="000000"/>
                <w:szCs w:val="18"/>
              </w:rPr>
              <w:t>✓</w:t>
            </w:r>
          </w:p>
        </w:tc>
        <w:tc>
          <w:tcPr>
            <w:tcW w:w="1444" w:type="dxa"/>
            <w:vAlign w:val="center"/>
          </w:tcPr>
          <w:p w:rsidR="00DB2D1E" w:rsidRPr="003410C7" w:rsidRDefault="00DB2D1E" w:rsidP="00DE73D4">
            <w:pPr>
              <w:jc w:val="center"/>
              <w:rPr>
                <w:rFonts w:cs="Tahoma"/>
                <w:color w:val="000000"/>
                <w:szCs w:val="18"/>
              </w:rPr>
            </w:pPr>
            <w:r w:rsidRPr="003410C7">
              <w:rPr>
                <w:rFonts w:ascii="MS UI Gothic" w:eastAsia="MS UI Gothic" w:hAnsi="MS UI Gothic" w:cs="MS UI Gothic"/>
                <w:color w:val="000000"/>
                <w:szCs w:val="18"/>
              </w:rPr>
              <w:t>✓</w:t>
            </w:r>
          </w:p>
        </w:tc>
        <w:tc>
          <w:tcPr>
            <w:tcW w:w="1687" w:type="dxa"/>
            <w:vAlign w:val="center"/>
          </w:tcPr>
          <w:p w:rsidR="00DB2D1E" w:rsidRPr="003410C7" w:rsidRDefault="00DB2D1E" w:rsidP="00DE73D4">
            <w:pPr>
              <w:jc w:val="center"/>
              <w:rPr>
                <w:rFonts w:cs="Tahoma"/>
                <w:color w:val="000000"/>
                <w:szCs w:val="18"/>
              </w:rPr>
            </w:pPr>
            <w:r w:rsidRPr="003410C7">
              <w:rPr>
                <w:rFonts w:cs="Tahoma"/>
                <w:color w:val="000000"/>
                <w:szCs w:val="18"/>
              </w:rPr>
              <w:t>√</w:t>
            </w:r>
          </w:p>
        </w:tc>
        <w:tc>
          <w:tcPr>
            <w:tcW w:w="1589" w:type="dxa"/>
            <w:vAlign w:val="center"/>
          </w:tcPr>
          <w:p w:rsidR="00DB2D1E" w:rsidRPr="003410C7" w:rsidRDefault="00DB2D1E" w:rsidP="00DE73D4">
            <w:pPr>
              <w:jc w:val="center"/>
              <w:rPr>
                <w:rFonts w:cs="Tahoma"/>
                <w:color w:val="000000"/>
                <w:szCs w:val="18"/>
              </w:rPr>
            </w:pPr>
            <w:r w:rsidRPr="003410C7">
              <w:rPr>
                <w:rFonts w:cs="Tahoma"/>
                <w:color w:val="000000"/>
                <w:szCs w:val="18"/>
              </w:rPr>
              <w:t>√</w:t>
            </w:r>
          </w:p>
        </w:tc>
      </w:tr>
      <w:tr w:rsidR="00DB2D1E" w:rsidRPr="003410C7" w:rsidTr="002A6416">
        <w:tc>
          <w:tcPr>
            <w:tcW w:w="3168" w:type="dxa"/>
            <w:vAlign w:val="center"/>
          </w:tcPr>
          <w:p w:rsidR="00DB2D1E" w:rsidRPr="003410C7" w:rsidRDefault="00DB2D1E" w:rsidP="00DE73D4">
            <w:pPr>
              <w:rPr>
                <w:rFonts w:cs="Tahoma"/>
                <w:color w:val="000000"/>
                <w:szCs w:val="18"/>
              </w:rPr>
            </w:pPr>
            <w:r w:rsidRPr="003410C7">
              <w:rPr>
                <w:rFonts w:cs="Tahoma"/>
                <w:color w:val="000000"/>
                <w:szCs w:val="18"/>
              </w:rPr>
              <w:t>Profiling e Reporting dell</w:t>
            </w:r>
            <w:r w:rsidR="004525CA">
              <w:rPr>
                <w:rFonts w:cs="Tahoma"/>
                <w:color w:val="000000"/>
                <w:szCs w:val="18"/>
              </w:rPr>
              <w:t>’</w:t>
            </w:r>
            <w:r w:rsidRPr="003410C7">
              <w:rPr>
                <w:rFonts w:cs="Tahoma"/>
                <w:color w:val="000000"/>
                <w:szCs w:val="18"/>
              </w:rPr>
              <w:t>Account</w:t>
            </w:r>
          </w:p>
        </w:tc>
        <w:tc>
          <w:tcPr>
            <w:tcW w:w="1580" w:type="dxa"/>
            <w:vAlign w:val="center"/>
          </w:tcPr>
          <w:p w:rsidR="00DB2D1E" w:rsidRPr="003410C7" w:rsidRDefault="00DB2D1E" w:rsidP="00DE73D4">
            <w:pPr>
              <w:jc w:val="center"/>
              <w:rPr>
                <w:rFonts w:cs="Tahoma"/>
                <w:color w:val="000000"/>
                <w:szCs w:val="18"/>
              </w:rPr>
            </w:pPr>
            <w:r w:rsidRPr="003410C7">
              <w:rPr>
                <w:rFonts w:cs="Tahoma"/>
                <w:color w:val="000000"/>
                <w:szCs w:val="18"/>
              </w:rPr>
              <w:t>Mensile</w:t>
            </w:r>
          </w:p>
        </w:tc>
        <w:tc>
          <w:tcPr>
            <w:tcW w:w="1444" w:type="dxa"/>
            <w:vAlign w:val="center"/>
          </w:tcPr>
          <w:p w:rsidR="00DB2D1E" w:rsidRPr="003410C7" w:rsidRDefault="00DB2D1E" w:rsidP="00DE73D4">
            <w:pPr>
              <w:jc w:val="center"/>
              <w:rPr>
                <w:rFonts w:cs="Tahoma"/>
                <w:color w:val="000000"/>
                <w:szCs w:val="18"/>
              </w:rPr>
            </w:pPr>
            <w:r w:rsidRPr="003410C7">
              <w:rPr>
                <w:rFonts w:cs="Tahoma"/>
                <w:color w:val="000000"/>
                <w:szCs w:val="18"/>
              </w:rPr>
              <w:t>Mensile</w:t>
            </w:r>
          </w:p>
        </w:tc>
        <w:tc>
          <w:tcPr>
            <w:tcW w:w="1687" w:type="dxa"/>
            <w:vAlign w:val="center"/>
          </w:tcPr>
          <w:p w:rsidR="00DB2D1E" w:rsidRPr="003410C7" w:rsidRDefault="00DB2D1E" w:rsidP="00DE73D4">
            <w:pPr>
              <w:jc w:val="center"/>
              <w:rPr>
                <w:rFonts w:cs="Tahoma"/>
                <w:color w:val="000000"/>
                <w:szCs w:val="18"/>
              </w:rPr>
            </w:pPr>
            <w:r w:rsidRPr="003410C7">
              <w:rPr>
                <w:rFonts w:cs="Tahoma"/>
                <w:color w:val="000000"/>
                <w:szCs w:val="18"/>
              </w:rPr>
              <w:t>Mensile</w:t>
            </w:r>
          </w:p>
        </w:tc>
        <w:tc>
          <w:tcPr>
            <w:tcW w:w="1589" w:type="dxa"/>
            <w:vAlign w:val="center"/>
          </w:tcPr>
          <w:p w:rsidR="00DB2D1E" w:rsidRPr="003410C7" w:rsidRDefault="00DB2D1E" w:rsidP="00DE73D4">
            <w:pPr>
              <w:jc w:val="center"/>
              <w:rPr>
                <w:rFonts w:cs="Tahoma"/>
                <w:color w:val="000000"/>
                <w:szCs w:val="18"/>
              </w:rPr>
            </w:pPr>
            <w:r w:rsidRPr="003410C7">
              <w:rPr>
                <w:rFonts w:cs="Tahoma"/>
                <w:color w:val="000000"/>
                <w:szCs w:val="18"/>
              </w:rPr>
              <w:t>Mensile</w:t>
            </w:r>
          </w:p>
        </w:tc>
      </w:tr>
      <w:tr w:rsidR="00DB2D1E" w:rsidRPr="003410C7" w:rsidTr="002A6416">
        <w:tc>
          <w:tcPr>
            <w:tcW w:w="3168" w:type="dxa"/>
            <w:vAlign w:val="center"/>
          </w:tcPr>
          <w:p w:rsidR="00DB2D1E" w:rsidRPr="00451078" w:rsidRDefault="00DB2D1E" w:rsidP="00C459BC">
            <w:pPr>
              <w:rPr>
                <w:rFonts w:cs="Tahoma"/>
                <w:color w:val="000000"/>
                <w:szCs w:val="18"/>
                <w:lang w:val="it-IT"/>
              </w:rPr>
            </w:pPr>
            <w:r w:rsidRPr="00451078">
              <w:rPr>
                <w:rFonts w:cs="Tahoma"/>
                <w:color w:val="000000"/>
                <w:szCs w:val="18"/>
                <w:lang w:val="it-IT"/>
              </w:rPr>
              <w:t>Support Assistance (Ore allocate annualmente)</w:t>
            </w:r>
          </w:p>
        </w:tc>
        <w:tc>
          <w:tcPr>
            <w:tcW w:w="1580" w:type="dxa"/>
            <w:vAlign w:val="center"/>
          </w:tcPr>
          <w:p w:rsidR="00DB2D1E" w:rsidRPr="003410C7" w:rsidRDefault="00DB2D1E" w:rsidP="00DE73D4">
            <w:pPr>
              <w:jc w:val="center"/>
              <w:rPr>
                <w:rFonts w:cs="Tahoma"/>
                <w:color w:val="000000"/>
                <w:szCs w:val="18"/>
              </w:rPr>
            </w:pPr>
            <w:r w:rsidRPr="003410C7">
              <w:rPr>
                <w:rFonts w:cs="Tahoma"/>
                <w:color w:val="000000"/>
                <w:szCs w:val="18"/>
              </w:rPr>
              <w:t>Fino a 10 ore</w:t>
            </w:r>
          </w:p>
        </w:tc>
        <w:tc>
          <w:tcPr>
            <w:tcW w:w="1444" w:type="dxa"/>
          </w:tcPr>
          <w:p w:rsidR="00DB2D1E" w:rsidRPr="00451078" w:rsidRDefault="00DB2D1E" w:rsidP="00DE73D4">
            <w:pPr>
              <w:jc w:val="center"/>
              <w:rPr>
                <w:rFonts w:cs="Tahoma"/>
                <w:color w:val="000000"/>
                <w:szCs w:val="18"/>
                <w:lang w:val="it-IT"/>
              </w:rPr>
            </w:pPr>
            <w:r w:rsidRPr="00451078">
              <w:rPr>
                <w:rFonts w:cs="Tahoma"/>
                <w:color w:val="000000"/>
                <w:szCs w:val="18"/>
                <w:lang w:val="it-IT"/>
              </w:rPr>
              <w:t>Fino a 10 ore</w:t>
            </w:r>
            <w:r w:rsidRPr="00451078">
              <w:rPr>
                <w:rFonts w:cs="Tahoma"/>
                <w:color w:val="000000"/>
                <w:szCs w:val="18"/>
                <w:lang w:val="it-IT"/>
              </w:rPr>
              <w:br/>
              <w:t>+ 1 Controllo dello Stato</w:t>
            </w:r>
            <w:r w:rsidRPr="00451078">
              <w:rPr>
                <w:rFonts w:cs="Tahoma"/>
                <w:color w:val="000000"/>
                <w:szCs w:val="18"/>
                <w:lang w:val="it-IT"/>
              </w:rPr>
              <w:br/>
              <w:t>+ 1 Workshop</w:t>
            </w:r>
          </w:p>
        </w:tc>
        <w:tc>
          <w:tcPr>
            <w:tcW w:w="1687" w:type="dxa"/>
            <w:vAlign w:val="center"/>
          </w:tcPr>
          <w:p w:rsidR="00DB2D1E" w:rsidRPr="003410C7" w:rsidRDefault="00DB2D1E" w:rsidP="00DE73D4">
            <w:pPr>
              <w:jc w:val="center"/>
              <w:rPr>
                <w:rFonts w:cs="Tahoma"/>
                <w:color w:val="000000"/>
                <w:szCs w:val="18"/>
              </w:rPr>
            </w:pPr>
            <w:r w:rsidRPr="003410C7">
              <w:rPr>
                <w:rFonts w:cs="Tahoma"/>
                <w:color w:val="000000"/>
                <w:szCs w:val="18"/>
              </w:rPr>
              <w:t>Fino a 120 ore</w:t>
            </w:r>
          </w:p>
        </w:tc>
        <w:tc>
          <w:tcPr>
            <w:tcW w:w="1589" w:type="dxa"/>
            <w:vAlign w:val="center"/>
          </w:tcPr>
          <w:p w:rsidR="00DB2D1E" w:rsidRPr="003410C7" w:rsidRDefault="00DB2D1E" w:rsidP="00DE73D4">
            <w:pPr>
              <w:jc w:val="center"/>
              <w:rPr>
                <w:rFonts w:cs="Tahoma"/>
                <w:color w:val="000000"/>
                <w:szCs w:val="18"/>
              </w:rPr>
            </w:pPr>
            <w:r w:rsidRPr="003410C7">
              <w:rPr>
                <w:rFonts w:cs="Tahoma"/>
                <w:color w:val="000000"/>
                <w:szCs w:val="18"/>
              </w:rPr>
              <w:t>Fino a 160 ore</w:t>
            </w:r>
          </w:p>
        </w:tc>
      </w:tr>
      <w:tr w:rsidR="00DB2D1E" w:rsidRPr="003410C7" w:rsidTr="002A6416">
        <w:tc>
          <w:tcPr>
            <w:tcW w:w="3168" w:type="dxa"/>
            <w:vAlign w:val="center"/>
          </w:tcPr>
          <w:p w:rsidR="00DB2D1E" w:rsidRPr="003410C7" w:rsidRDefault="00DB2D1E" w:rsidP="00DE73D4">
            <w:pPr>
              <w:rPr>
                <w:rFonts w:cs="Tahoma"/>
                <w:color w:val="000000"/>
                <w:szCs w:val="18"/>
              </w:rPr>
            </w:pPr>
            <w:r w:rsidRPr="003410C7">
              <w:rPr>
                <w:rFonts w:cs="Tahoma"/>
                <w:color w:val="000000"/>
                <w:szCs w:val="18"/>
              </w:rPr>
              <w:t>Problem Resolution Support (PRS) (allocato annualmente)</w:t>
            </w:r>
          </w:p>
        </w:tc>
        <w:tc>
          <w:tcPr>
            <w:tcW w:w="1580" w:type="dxa"/>
            <w:vAlign w:val="center"/>
          </w:tcPr>
          <w:p w:rsidR="00DB2D1E" w:rsidRPr="003410C7" w:rsidRDefault="00DB2D1E" w:rsidP="00DE73D4">
            <w:pPr>
              <w:jc w:val="center"/>
              <w:rPr>
                <w:rFonts w:cs="Tahoma"/>
                <w:color w:val="000000"/>
                <w:szCs w:val="18"/>
              </w:rPr>
            </w:pPr>
            <w:r w:rsidRPr="003410C7">
              <w:rPr>
                <w:rFonts w:cs="Tahoma"/>
                <w:color w:val="000000"/>
                <w:szCs w:val="18"/>
              </w:rPr>
              <w:t>Fino a 40 ore</w:t>
            </w:r>
          </w:p>
        </w:tc>
        <w:tc>
          <w:tcPr>
            <w:tcW w:w="1444" w:type="dxa"/>
          </w:tcPr>
          <w:p w:rsidR="00DB2D1E" w:rsidRPr="003410C7" w:rsidRDefault="00DB2D1E" w:rsidP="00DE73D4">
            <w:pPr>
              <w:spacing w:before="120"/>
              <w:jc w:val="center"/>
              <w:rPr>
                <w:rFonts w:cs="Tahoma"/>
                <w:color w:val="000000"/>
                <w:szCs w:val="18"/>
              </w:rPr>
            </w:pPr>
            <w:r w:rsidRPr="003410C7">
              <w:rPr>
                <w:rFonts w:cs="Tahoma"/>
                <w:color w:val="000000"/>
                <w:szCs w:val="18"/>
              </w:rPr>
              <w:t>Fino a 30 ore</w:t>
            </w:r>
          </w:p>
        </w:tc>
        <w:tc>
          <w:tcPr>
            <w:tcW w:w="1687" w:type="dxa"/>
            <w:vAlign w:val="center"/>
          </w:tcPr>
          <w:p w:rsidR="00DB2D1E" w:rsidRPr="003410C7" w:rsidRDefault="00DB2D1E" w:rsidP="00DE73D4">
            <w:pPr>
              <w:jc w:val="center"/>
              <w:rPr>
                <w:rFonts w:cs="Tahoma"/>
                <w:color w:val="000000"/>
                <w:szCs w:val="18"/>
              </w:rPr>
            </w:pPr>
            <w:r w:rsidRPr="003410C7">
              <w:rPr>
                <w:rFonts w:cs="Tahoma"/>
                <w:color w:val="000000"/>
                <w:szCs w:val="18"/>
              </w:rPr>
              <w:t>Fino a 80 ore</w:t>
            </w:r>
          </w:p>
        </w:tc>
        <w:tc>
          <w:tcPr>
            <w:tcW w:w="1589" w:type="dxa"/>
            <w:vAlign w:val="center"/>
          </w:tcPr>
          <w:p w:rsidR="00DB2D1E" w:rsidRPr="003410C7" w:rsidRDefault="00DB2D1E" w:rsidP="00DE73D4">
            <w:pPr>
              <w:jc w:val="center"/>
              <w:rPr>
                <w:rFonts w:cs="Tahoma"/>
                <w:color w:val="000000"/>
                <w:szCs w:val="18"/>
              </w:rPr>
            </w:pPr>
            <w:r w:rsidRPr="003410C7">
              <w:rPr>
                <w:rFonts w:cs="Tahoma"/>
                <w:color w:val="000000"/>
                <w:szCs w:val="18"/>
              </w:rPr>
              <w:t>Fino a 140 ore</w:t>
            </w:r>
          </w:p>
        </w:tc>
      </w:tr>
      <w:tr w:rsidR="00DB2D1E" w:rsidRPr="003410C7" w:rsidTr="002A6416">
        <w:tc>
          <w:tcPr>
            <w:tcW w:w="3168" w:type="dxa"/>
            <w:vAlign w:val="center"/>
          </w:tcPr>
          <w:p w:rsidR="00DB2D1E" w:rsidRPr="00451078" w:rsidRDefault="00DB2D1E" w:rsidP="00DE73D4">
            <w:pPr>
              <w:rPr>
                <w:rFonts w:cs="Tahoma"/>
                <w:color w:val="000000"/>
                <w:szCs w:val="18"/>
                <w:lang w:val="it-IT"/>
              </w:rPr>
            </w:pPr>
            <w:r w:rsidRPr="00451078">
              <w:rPr>
                <w:rFonts w:cs="Tahoma"/>
                <w:color w:val="000000"/>
                <w:szCs w:val="18"/>
                <w:lang w:val="it-IT"/>
              </w:rPr>
              <w:t xml:space="preserve">Critical Situation Escalation Management 24x7 </w:t>
            </w:r>
            <w:r w:rsidR="00262185" w:rsidRPr="00451078">
              <w:rPr>
                <w:rFonts w:cs="Tahoma"/>
                <w:color w:val="000000"/>
                <w:szCs w:val="18"/>
                <w:lang w:val="it-IT"/>
              </w:rPr>
              <w:br/>
            </w:r>
            <w:r w:rsidRPr="00451078">
              <w:rPr>
                <w:rFonts w:cs="Tahoma"/>
                <w:color w:val="000000"/>
                <w:szCs w:val="18"/>
                <w:lang w:val="it-IT"/>
              </w:rPr>
              <w:t>(Livello di Severità 1)</w:t>
            </w:r>
          </w:p>
        </w:tc>
        <w:tc>
          <w:tcPr>
            <w:tcW w:w="1580" w:type="dxa"/>
            <w:vAlign w:val="center"/>
          </w:tcPr>
          <w:p w:rsidR="00DB2D1E" w:rsidRPr="003410C7" w:rsidRDefault="00DB2D1E" w:rsidP="00DE73D4">
            <w:pPr>
              <w:jc w:val="center"/>
              <w:rPr>
                <w:rFonts w:cs="Tahoma"/>
                <w:color w:val="000000"/>
                <w:szCs w:val="18"/>
              </w:rPr>
            </w:pPr>
            <w:r w:rsidRPr="003410C7">
              <w:rPr>
                <w:rFonts w:ascii="MS UI Gothic" w:eastAsia="MS UI Gothic" w:hAnsi="MS UI Gothic" w:cs="MS UI Gothic"/>
                <w:color w:val="000000"/>
                <w:szCs w:val="18"/>
              </w:rPr>
              <w:t>✓</w:t>
            </w:r>
          </w:p>
        </w:tc>
        <w:tc>
          <w:tcPr>
            <w:tcW w:w="1444" w:type="dxa"/>
            <w:vAlign w:val="center"/>
          </w:tcPr>
          <w:p w:rsidR="00DB2D1E" w:rsidRPr="003410C7" w:rsidRDefault="00DB2D1E" w:rsidP="00DE73D4">
            <w:pPr>
              <w:jc w:val="center"/>
              <w:rPr>
                <w:rFonts w:cs="Tahoma"/>
                <w:color w:val="000000"/>
                <w:szCs w:val="18"/>
              </w:rPr>
            </w:pPr>
            <w:r w:rsidRPr="003410C7">
              <w:rPr>
                <w:rFonts w:ascii="MS UI Gothic" w:eastAsia="MS UI Gothic" w:hAnsi="MS UI Gothic" w:cs="MS UI Gothic"/>
                <w:color w:val="000000"/>
                <w:szCs w:val="18"/>
              </w:rPr>
              <w:t>✓</w:t>
            </w:r>
          </w:p>
        </w:tc>
        <w:tc>
          <w:tcPr>
            <w:tcW w:w="1687" w:type="dxa"/>
            <w:vAlign w:val="center"/>
          </w:tcPr>
          <w:p w:rsidR="00DB2D1E" w:rsidRPr="003410C7" w:rsidRDefault="00DB2D1E" w:rsidP="00DE73D4">
            <w:pPr>
              <w:jc w:val="center"/>
              <w:rPr>
                <w:rFonts w:cs="Tahoma"/>
                <w:color w:val="000000"/>
                <w:szCs w:val="18"/>
              </w:rPr>
            </w:pPr>
            <w:r w:rsidRPr="003410C7">
              <w:rPr>
                <w:rFonts w:cs="Tahoma"/>
                <w:color w:val="000000"/>
                <w:szCs w:val="18"/>
              </w:rPr>
              <w:t>√</w:t>
            </w:r>
          </w:p>
        </w:tc>
        <w:tc>
          <w:tcPr>
            <w:tcW w:w="1589" w:type="dxa"/>
            <w:vAlign w:val="center"/>
          </w:tcPr>
          <w:p w:rsidR="00DB2D1E" w:rsidRPr="003410C7" w:rsidRDefault="00DB2D1E" w:rsidP="00DE73D4">
            <w:pPr>
              <w:jc w:val="center"/>
              <w:rPr>
                <w:rFonts w:cs="Tahoma"/>
                <w:color w:val="000000"/>
                <w:szCs w:val="18"/>
              </w:rPr>
            </w:pPr>
            <w:r w:rsidRPr="003410C7">
              <w:rPr>
                <w:rFonts w:cs="Tahoma"/>
                <w:color w:val="000000"/>
                <w:szCs w:val="18"/>
              </w:rPr>
              <w:t>√</w:t>
            </w:r>
          </w:p>
        </w:tc>
      </w:tr>
      <w:tr w:rsidR="00DB2D1E" w:rsidRPr="003410C7" w:rsidTr="002A6416">
        <w:tc>
          <w:tcPr>
            <w:tcW w:w="3168" w:type="dxa"/>
            <w:vAlign w:val="center"/>
          </w:tcPr>
          <w:p w:rsidR="00DB2D1E" w:rsidRPr="003410C7" w:rsidRDefault="00DB2D1E" w:rsidP="00DE73D4">
            <w:pPr>
              <w:rPr>
                <w:rFonts w:cs="Tahoma"/>
                <w:color w:val="000000"/>
                <w:szCs w:val="18"/>
              </w:rPr>
            </w:pPr>
            <w:r w:rsidRPr="003410C7">
              <w:rPr>
                <w:rFonts w:cs="Tahoma"/>
                <w:color w:val="000000"/>
                <w:szCs w:val="18"/>
              </w:rPr>
              <w:t>Rapid Onsite Support</w:t>
            </w:r>
          </w:p>
        </w:tc>
        <w:tc>
          <w:tcPr>
            <w:tcW w:w="1580" w:type="dxa"/>
            <w:vAlign w:val="center"/>
          </w:tcPr>
          <w:p w:rsidR="00DB2D1E" w:rsidRPr="003410C7" w:rsidRDefault="00DB2D1E" w:rsidP="00DE73D4">
            <w:pPr>
              <w:jc w:val="center"/>
              <w:rPr>
                <w:rFonts w:cs="Tahoma"/>
                <w:color w:val="000000"/>
                <w:szCs w:val="18"/>
              </w:rPr>
            </w:pPr>
            <w:r w:rsidRPr="003410C7">
              <w:rPr>
                <w:rFonts w:ascii="MS UI Gothic" w:eastAsia="MS UI Gothic" w:hAnsi="MS UI Gothic" w:cs="MS UI Gothic"/>
                <w:color w:val="000000"/>
                <w:szCs w:val="18"/>
              </w:rPr>
              <w:t>✓</w:t>
            </w:r>
          </w:p>
        </w:tc>
        <w:tc>
          <w:tcPr>
            <w:tcW w:w="1444" w:type="dxa"/>
            <w:vAlign w:val="center"/>
          </w:tcPr>
          <w:p w:rsidR="00DB2D1E" w:rsidRPr="003410C7" w:rsidRDefault="00DB2D1E" w:rsidP="00DE73D4">
            <w:pPr>
              <w:jc w:val="center"/>
              <w:rPr>
                <w:rFonts w:cs="Tahoma"/>
                <w:color w:val="000000"/>
                <w:szCs w:val="18"/>
              </w:rPr>
            </w:pPr>
            <w:r w:rsidRPr="003410C7">
              <w:rPr>
                <w:rFonts w:ascii="MS UI Gothic" w:eastAsia="MS UI Gothic" w:hAnsi="MS UI Gothic" w:cs="MS UI Gothic"/>
                <w:color w:val="000000"/>
                <w:szCs w:val="18"/>
              </w:rPr>
              <w:t>✓</w:t>
            </w:r>
          </w:p>
        </w:tc>
        <w:tc>
          <w:tcPr>
            <w:tcW w:w="1687" w:type="dxa"/>
            <w:vAlign w:val="center"/>
          </w:tcPr>
          <w:p w:rsidR="00DB2D1E" w:rsidRPr="003410C7" w:rsidRDefault="00DB2D1E" w:rsidP="00DE73D4">
            <w:pPr>
              <w:jc w:val="center"/>
              <w:rPr>
                <w:rFonts w:cs="Tahoma"/>
                <w:color w:val="000000"/>
                <w:szCs w:val="18"/>
              </w:rPr>
            </w:pPr>
            <w:r w:rsidRPr="003410C7">
              <w:rPr>
                <w:rFonts w:cs="Tahoma"/>
                <w:color w:val="000000"/>
                <w:szCs w:val="18"/>
              </w:rPr>
              <w:t>√</w:t>
            </w:r>
          </w:p>
        </w:tc>
        <w:tc>
          <w:tcPr>
            <w:tcW w:w="1589" w:type="dxa"/>
            <w:vAlign w:val="center"/>
          </w:tcPr>
          <w:p w:rsidR="00DB2D1E" w:rsidRPr="003410C7" w:rsidRDefault="00DB2D1E" w:rsidP="00DE73D4">
            <w:pPr>
              <w:jc w:val="center"/>
              <w:rPr>
                <w:rFonts w:cs="Tahoma"/>
                <w:color w:val="000000"/>
                <w:szCs w:val="18"/>
              </w:rPr>
            </w:pPr>
            <w:r w:rsidRPr="003410C7">
              <w:rPr>
                <w:rFonts w:cs="Tahoma"/>
                <w:color w:val="000000"/>
                <w:szCs w:val="18"/>
              </w:rPr>
              <w:t>√</w:t>
            </w:r>
          </w:p>
        </w:tc>
      </w:tr>
      <w:tr w:rsidR="00DB2D1E" w:rsidRPr="003410C7" w:rsidTr="002A6416">
        <w:tc>
          <w:tcPr>
            <w:tcW w:w="3168" w:type="dxa"/>
            <w:vAlign w:val="center"/>
          </w:tcPr>
          <w:p w:rsidR="00DB2D1E" w:rsidRPr="003410C7" w:rsidRDefault="00DB2D1E" w:rsidP="00DE73D4">
            <w:pPr>
              <w:rPr>
                <w:rFonts w:cs="Tahoma"/>
                <w:color w:val="000000"/>
                <w:szCs w:val="18"/>
              </w:rPr>
            </w:pPr>
            <w:r w:rsidRPr="003410C7">
              <w:rPr>
                <w:rFonts w:cs="Tahoma"/>
                <w:color w:val="000000"/>
                <w:szCs w:val="18"/>
              </w:rPr>
              <w:t>Proactive Information Service</w:t>
            </w:r>
          </w:p>
        </w:tc>
        <w:tc>
          <w:tcPr>
            <w:tcW w:w="1580" w:type="dxa"/>
            <w:vAlign w:val="center"/>
          </w:tcPr>
          <w:p w:rsidR="00DB2D1E" w:rsidRPr="003410C7" w:rsidRDefault="00DB2D1E" w:rsidP="00DE73D4">
            <w:pPr>
              <w:jc w:val="center"/>
              <w:rPr>
                <w:rFonts w:cs="Tahoma"/>
                <w:color w:val="000000"/>
                <w:szCs w:val="18"/>
              </w:rPr>
            </w:pPr>
            <w:r w:rsidRPr="003410C7">
              <w:rPr>
                <w:rFonts w:ascii="MS UI Gothic" w:eastAsia="MS UI Gothic" w:hAnsi="MS UI Gothic" w:cs="MS UI Gothic"/>
                <w:color w:val="000000"/>
                <w:szCs w:val="18"/>
              </w:rPr>
              <w:t>✓</w:t>
            </w:r>
          </w:p>
        </w:tc>
        <w:tc>
          <w:tcPr>
            <w:tcW w:w="1444" w:type="dxa"/>
            <w:vAlign w:val="center"/>
          </w:tcPr>
          <w:p w:rsidR="00DB2D1E" w:rsidRPr="003410C7" w:rsidRDefault="00DB2D1E" w:rsidP="00DE73D4">
            <w:pPr>
              <w:jc w:val="center"/>
              <w:rPr>
                <w:rFonts w:cs="Tahoma"/>
                <w:color w:val="000000"/>
                <w:szCs w:val="18"/>
              </w:rPr>
            </w:pPr>
            <w:r w:rsidRPr="003410C7">
              <w:rPr>
                <w:rFonts w:ascii="MS UI Gothic" w:eastAsia="MS UI Gothic" w:hAnsi="MS UI Gothic" w:cs="MS UI Gothic"/>
                <w:color w:val="000000"/>
                <w:szCs w:val="18"/>
              </w:rPr>
              <w:t>✓</w:t>
            </w:r>
          </w:p>
        </w:tc>
        <w:tc>
          <w:tcPr>
            <w:tcW w:w="1687" w:type="dxa"/>
            <w:vAlign w:val="center"/>
          </w:tcPr>
          <w:p w:rsidR="00DB2D1E" w:rsidRPr="003410C7" w:rsidRDefault="00DB2D1E" w:rsidP="00DE73D4">
            <w:pPr>
              <w:jc w:val="center"/>
              <w:rPr>
                <w:rFonts w:cs="Tahoma"/>
                <w:color w:val="000000"/>
                <w:szCs w:val="18"/>
              </w:rPr>
            </w:pPr>
            <w:r w:rsidRPr="003410C7">
              <w:rPr>
                <w:rFonts w:cs="Tahoma"/>
                <w:color w:val="000000"/>
                <w:szCs w:val="18"/>
              </w:rPr>
              <w:t>√</w:t>
            </w:r>
          </w:p>
        </w:tc>
        <w:tc>
          <w:tcPr>
            <w:tcW w:w="1589" w:type="dxa"/>
            <w:vAlign w:val="center"/>
          </w:tcPr>
          <w:p w:rsidR="00DB2D1E" w:rsidRPr="003410C7" w:rsidRDefault="00DB2D1E" w:rsidP="00DE73D4">
            <w:pPr>
              <w:jc w:val="center"/>
              <w:rPr>
                <w:rFonts w:cs="Tahoma"/>
                <w:color w:val="000000"/>
                <w:szCs w:val="18"/>
              </w:rPr>
            </w:pPr>
            <w:r w:rsidRPr="003410C7">
              <w:rPr>
                <w:rFonts w:cs="Tahoma"/>
                <w:color w:val="000000"/>
                <w:szCs w:val="18"/>
              </w:rPr>
              <w:t>√</w:t>
            </w:r>
          </w:p>
        </w:tc>
      </w:tr>
      <w:tr w:rsidR="00DB2D1E" w:rsidRPr="003410C7" w:rsidTr="002A6416">
        <w:tc>
          <w:tcPr>
            <w:tcW w:w="3168" w:type="dxa"/>
            <w:vAlign w:val="center"/>
          </w:tcPr>
          <w:p w:rsidR="00DB2D1E" w:rsidRPr="003410C7" w:rsidRDefault="00DB2D1E" w:rsidP="00DE73D4">
            <w:pPr>
              <w:rPr>
                <w:rFonts w:cs="Tahoma"/>
                <w:color w:val="000000"/>
                <w:szCs w:val="18"/>
              </w:rPr>
            </w:pPr>
            <w:r w:rsidRPr="003410C7">
              <w:rPr>
                <w:rFonts w:cs="Tahoma"/>
                <w:color w:val="000000"/>
                <w:szCs w:val="18"/>
              </w:rPr>
              <w:t>Microsoft Premier Online</w:t>
            </w:r>
          </w:p>
        </w:tc>
        <w:tc>
          <w:tcPr>
            <w:tcW w:w="1580" w:type="dxa"/>
            <w:vAlign w:val="center"/>
          </w:tcPr>
          <w:p w:rsidR="00DB2D1E" w:rsidRPr="003410C7" w:rsidRDefault="00DB2D1E" w:rsidP="00DE73D4">
            <w:pPr>
              <w:jc w:val="center"/>
              <w:rPr>
                <w:rFonts w:cs="Tahoma"/>
                <w:color w:val="000000"/>
                <w:szCs w:val="18"/>
              </w:rPr>
            </w:pPr>
            <w:r w:rsidRPr="003410C7">
              <w:rPr>
                <w:rFonts w:ascii="MS UI Gothic" w:eastAsia="MS UI Gothic" w:hAnsi="MS UI Gothic" w:cs="MS UI Gothic"/>
                <w:color w:val="000000"/>
                <w:szCs w:val="18"/>
              </w:rPr>
              <w:t>✓</w:t>
            </w:r>
          </w:p>
        </w:tc>
        <w:tc>
          <w:tcPr>
            <w:tcW w:w="1444" w:type="dxa"/>
            <w:vAlign w:val="center"/>
          </w:tcPr>
          <w:p w:rsidR="00DB2D1E" w:rsidRPr="003410C7" w:rsidRDefault="00DB2D1E" w:rsidP="00DE73D4">
            <w:pPr>
              <w:jc w:val="center"/>
              <w:rPr>
                <w:rFonts w:cs="Tahoma"/>
                <w:color w:val="000000"/>
                <w:szCs w:val="18"/>
              </w:rPr>
            </w:pPr>
            <w:r w:rsidRPr="003410C7">
              <w:rPr>
                <w:rFonts w:ascii="MS UI Gothic" w:eastAsia="MS UI Gothic" w:hAnsi="MS UI Gothic" w:cs="MS UI Gothic"/>
                <w:color w:val="000000"/>
                <w:szCs w:val="18"/>
              </w:rPr>
              <w:t>✓</w:t>
            </w:r>
          </w:p>
        </w:tc>
        <w:tc>
          <w:tcPr>
            <w:tcW w:w="1687" w:type="dxa"/>
            <w:vAlign w:val="center"/>
          </w:tcPr>
          <w:p w:rsidR="00DB2D1E" w:rsidRPr="003410C7" w:rsidRDefault="00DB2D1E" w:rsidP="00DE73D4">
            <w:pPr>
              <w:jc w:val="center"/>
              <w:rPr>
                <w:rFonts w:cs="Tahoma"/>
                <w:color w:val="000000"/>
                <w:szCs w:val="18"/>
              </w:rPr>
            </w:pPr>
            <w:r w:rsidRPr="003410C7">
              <w:rPr>
                <w:rFonts w:cs="Tahoma"/>
                <w:color w:val="000000"/>
                <w:szCs w:val="18"/>
              </w:rPr>
              <w:t>√</w:t>
            </w:r>
          </w:p>
        </w:tc>
        <w:tc>
          <w:tcPr>
            <w:tcW w:w="1589" w:type="dxa"/>
            <w:vAlign w:val="center"/>
          </w:tcPr>
          <w:p w:rsidR="00DB2D1E" w:rsidRPr="003410C7" w:rsidRDefault="00DB2D1E" w:rsidP="00DE73D4">
            <w:pPr>
              <w:jc w:val="center"/>
              <w:rPr>
                <w:rFonts w:cs="Tahoma"/>
                <w:color w:val="000000"/>
                <w:szCs w:val="18"/>
              </w:rPr>
            </w:pPr>
            <w:r w:rsidRPr="003410C7">
              <w:rPr>
                <w:rFonts w:cs="Tahoma"/>
                <w:color w:val="000000"/>
                <w:szCs w:val="18"/>
              </w:rPr>
              <w:t>√</w:t>
            </w:r>
          </w:p>
        </w:tc>
      </w:tr>
      <w:tr w:rsidR="00DB2D1E" w:rsidRPr="003410C7" w:rsidTr="002A6416">
        <w:tc>
          <w:tcPr>
            <w:tcW w:w="3168" w:type="dxa"/>
            <w:vAlign w:val="center"/>
          </w:tcPr>
          <w:p w:rsidR="00DB2D1E" w:rsidRPr="003410C7" w:rsidRDefault="00DB2D1E" w:rsidP="00DE73D4">
            <w:pPr>
              <w:rPr>
                <w:rFonts w:cs="Tahoma"/>
                <w:color w:val="000000"/>
                <w:szCs w:val="18"/>
              </w:rPr>
            </w:pPr>
            <w:r w:rsidRPr="003410C7">
              <w:rPr>
                <w:rFonts w:cs="Tahoma"/>
                <w:color w:val="000000"/>
                <w:szCs w:val="18"/>
              </w:rPr>
              <w:t xml:space="preserve">Ore di Aggiunta </w:t>
            </w:r>
          </w:p>
        </w:tc>
        <w:tc>
          <w:tcPr>
            <w:tcW w:w="1580" w:type="dxa"/>
            <w:vAlign w:val="center"/>
          </w:tcPr>
          <w:p w:rsidR="00DB2D1E" w:rsidRPr="003410C7" w:rsidRDefault="00DB2D1E" w:rsidP="00DE73D4">
            <w:pPr>
              <w:jc w:val="center"/>
              <w:rPr>
                <w:rFonts w:cs="Tahoma"/>
                <w:color w:val="000000"/>
                <w:szCs w:val="18"/>
              </w:rPr>
            </w:pPr>
            <w:r w:rsidRPr="003410C7">
              <w:rPr>
                <w:rFonts w:cs="Tahoma"/>
                <w:color w:val="000000"/>
                <w:szCs w:val="18"/>
              </w:rPr>
              <w:t>Pacchetti da 20</w:t>
            </w:r>
          </w:p>
        </w:tc>
        <w:tc>
          <w:tcPr>
            <w:tcW w:w="1444" w:type="dxa"/>
            <w:vAlign w:val="center"/>
          </w:tcPr>
          <w:p w:rsidR="00DB2D1E" w:rsidRPr="003410C7" w:rsidRDefault="00DB2D1E" w:rsidP="00DE73D4">
            <w:pPr>
              <w:jc w:val="center"/>
              <w:rPr>
                <w:rFonts w:cs="Tahoma"/>
                <w:color w:val="000000"/>
                <w:szCs w:val="18"/>
              </w:rPr>
            </w:pPr>
            <w:r w:rsidRPr="003410C7">
              <w:rPr>
                <w:rFonts w:cs="Tahoma"/>
                <w:color w:val="000000"/>
                <w:szCs w:val="18"/>
              </w:rPr>
              <w:t>Pacchetti da 20</w:t>
            </w:r>
          </w:p>
        </w:tc>
        <w:tc>
          <w:tcPr>
            <w:tcW w:w="1687" w:type="dxa"/>
            <w:vAlign w:val="center"/>
          </w:tcPr>
          <w:p w:rsidR="00DB2D1E" w:rsidRPr="003410C7" w:rsidRDefault="00DB2D1E" w:rsidP="00DE73D4">
            <w:pPr>
              <w:jc w:val="center"/>
              <w:rPr>
                <w:rFonts w:cs="Tahoma"/>
                <w:color w:val="000000"/>
                <w:szCs w:val="18"/>
              </w:rPr>
            </w:pPr>
            <w:r w:rsidRPr="003410C7">
              <w:rPr>
                <w:rFonts w:cs="Tahoma"/>
                <w:color w:val="000000"/>
                <w:szCs w:val="18"/>
              </w:rPr>
              <w:t>Pacchetti da 20</w:t>
            </w:r>
          </w:p>
        </w:tc>
        <w:tc>
          <w:tcPr>
            <w:tcW w:w="1589" w:type="dxa"/>
            <w:vAlign w:val="center"/>
          </w:tcPr>
          <w:p w:rsidR="00DB2D1E" w:rsidRPr="003410C7" w:rsidRDefault="00DB2D1E" w:rsidP="00DE73D4">
            <w:pPr>
              <w:jc w:val="center"/>
              <w:rPr>
                <w:rFonts w:cs="Tahoma"/>
                <w:color w:val="000000"/>
                <w:szCs w:val="18"/>
              </w:rPr>
            </w:pPr>
            <w:r w:rsidRPr="003410C7">
              <w:rPr>
                <w:rFonts w:cs="Tahoma"/>
                <w:color w:val="000000"/>
                <w:szCs w:val="18"/>
              </w:rPr>
              <w:t>Pacchetti da 20</w:t>
            </w:r>
          </w:p>
        </w:tc>
      </w:tr>
    </w:tbl>
    <w:p w:rsidR="00DB2D1E" w:rsidRPr="00451078" w:rsidRDefault="00DB2D1E" w:rsidP="00DB2D1E">
      <w:pPr>
        <w:pStyle w:val="tableclose"/>
        <w:tabs>
          <w:tab w:val="left" w:pos="810"/>
        </w:tabs>
        <w:ind w:left="810" w:hanging="720"/>
        <w:rPr>
          <w:lang w:val="it-IT"/>
        </w:rPr>
      </w:pPr>
      <w:r w:rsidRPr="00451078">
        <w:rPr>
          <w:rFonts w:ascii="Tahoma" w:hAnsi="Tahoma" w:cs="Tahoma"/>
          <w:i/>
          <w:color w:val="000000"/>
          <w:sz w:val="16"/>
          <w:szCs w:val="16"/>
          <w:vertAlign w:val="superscript"/>
          <w:lang w:val="it-IT"/>
        </w:rPr>
        <w:t>1</w:t>
      </w:r>
      <w:r w:rsidRPr="00451078">
        <w:rPr>
          <w:rFonts w:ascii="Tahoma" w:hAnsi="Tahoma" w:cs="Tahoma"/>
          <w:i/>
          <w:color w:val="000000"/>
          <w:sz w:val="16"/>
          <w:szCs w:val="16"/>
          <w:lang w:val="it-IT"/>
        </w:rPr>
        <w:t xml:space="preserve"> Le Ore Lavorative sono definite su base locale.</w:t>
      </w:r>
    </w:p>
    <w:p w:rsidR="00DB2D1E" w:rsidRPr="001E3B36" w:rsidRDefault="00DB2D1E" w:rsidP="00F42FB8">
      <w:pPr>
        <w:pStyle w:val="BodyText2"/>
        <w:spacing w:after="0" w:line="240" w:lineRule="auto"/>
        <w:rPr>
          <w:rFonts w:ascii="Tahoma" w:hAnsi="Tahoma" w:cs="Tahoma"/>
          <w:sz w:val="18"/>
          <w:szCs w:val="18"/>
          <w:lang w:val="it-IT"/>
        </w:rPr>
      </w:pPr>
    </w:p>
    <w:p w:rsidR="00DB2D1E" w:rsidRPr="001E3B36" w:rsidRDefault="00DB2D1E" w:rsidP="00CA52FE">
      <w:pPr>
        <w:pStyle w:val="BodyText2"/>
        <w:spacing w:after="0" w:line="240" w:lineRule="auto"/>
        <w:rPr>
          <w:rFonts w:ascii="Tahoma" w:hAnsi="Tahoma" w:cs="Tahoma"/>
          <w:sz w:val="18"/>
          <w:szCs w:val="18"/>
          <w:lang w:val="it-IT"/>
        </w:rPr>
      </w:pPr>
      <w:r w:rsidRPr="001E3B36">
        <w:rPr>
          <w:rFonts w:ascii="Tahoma" w:hAnsi="Tahoma" w:cs="Tahoma"/>
          <w:sz w:val="18"/>
          <w:szCs w:val="18"/>
          <w:lang w:val="it-IT"/>
        </w:rPr>
        <w:t xml:space="preserve">Il servizio </w:t>
      </w:r>
      <w:r w:rsidRPr="001E3B36">
        <w:rPr>
          <w:rFonts w:ascii="Tahoma" w:hAnsi="Tahoma" w:cs="Tahoma"/>
          <w:b/>
          <w:bCs/>
          <w:color w:val="000000"/>
          <w:sz w:val="18"/>
          <w:szCs w:val="18"/>
          <w:lang w:val="it-IT"/>
        </w:rPr>
        <w:t>Support Account Management</w:t>
      </w:r>
      <w:r w:rsidRPr="001E3B36">
        <w:rPr>
          <w:rFonts w:ascii="Tahoma" w:hAnsi="Tahoma" w:cs="Tahoma"/>
          <w:color w:val="000000"/>
          <w:sz w:val="18"/>
          <w:szCs w:val="18"/>
          <w:lang w:val="it-IT"/>
        </w:rPr>
        <w:t xml:space="preserve"> semplifica la creazione e la gestione delle relazioni con il personale di gestione e di fornitura del servizio della società, nonché l</w:t>
      </w:r>
      <w:r w:rsidR="004525CA">
        <w:rPr>
          <w:rFonts w:ascii="Tahoma" w:hAnsi="Tahoma" w:cs="Tahoma"/>
          <w:color w:val="000000"/>
          <w:sz w:val="18"/>
          <w:szCs w:val="18"/>
          <w:lang w:val="it-IT"/>
        </w:rPr>
        <w:t>’</w:t>
      </w:r>
      <w:r w:rsidRPr="001E3B36">
        <w:rPr>
          <w:rFonts w:ascii="Tahoma" w:hAnsi="Tahoma" w:cs="Tahoma"/>
          <w:color w:val="000000"/>
          <w:sz w:val="18"/>
          <w:szCs w:val="18"/>
          <w:lang w:val="it-IT"/>
        </w:rPr>
        <w:t xml:space="preserve">organizzazione di ogni elemento del piano dei servizi della società in modo conforme ai requisiti aziendali. </w:t>
      </w:r>
    </w:p>
    <w:p w:rsidR="00CA52FE" w:rsidRPr="001E3B36" w:rsidRDefault="00CA52FE" w:rsidP="00CA52FE">
      <w:pPr>
        <w:pStyle w:val="BodyText2"/>
        <w:spacing w:after="0" w:line="240" w:lineRule="auto"/>
        <w:rPr>
          <w:rFonts w:ascii="Tahoma" w:hAnsi="Tahoma" w:cs="Tahoma"/>
          <w:sz w:val="18"/>
          <w:szCs w:val="18"/>
          <w:lang w:val="it-IT"/>
        </w:rPr>
      </w:pPr>
    </w:p>
    <w:p w:rsidR="00DB2D1E" w:rsidRPr="001E3B36" w:rsidRDefault="00DB2D1E" w:rsidP="00262185">
      <w:pPr>
        <w:rPr>
          <w:rFonts w:cs="Tahoma"/>
          <w:szCs w:val="18"/>
          <w:lang w:val="it-IT"/>
        </w:rPr>
      </w:pPr>
      <w:r w:rsidRPr="001E3B36">
        <w:rPr>
          <w:rFonts w:cs="Tahoma"/>
          <w:szCs w:val="18"/>
          <w:lang w:val="it-IT"/>
        </w:rPr>
        <w:t xml:space="preserve">Il servizio </w:t>
      </w:r>
      <w:r w:rsidRPr="001E3B36">
        <w:rPr>
          <w:rFonts w:cs="Tahoma"/>
          <w:b/>
          <w:bCs/>
          <w:color w:val="000000"/>
          <w:szCs w:val="18"/>
          <w:lang w:val="it-IT"/>
        </w:rPr>
        <w:t xml:space="preserve">Support Assistance </w:t>
      </w:r>
      <w:r w:rsidRPr="001E3B36">
        <w:rPr>
          <w:rFonts w:cs="Tahoma"/>
          <w:color w:val="000000"/>
          <w:szCs w:val="18"/>
          <w:lang w:val="it-IT"/>
        </w:rPr>
        <w:t>fornisce indicazioni e suggerimenti a breve termine (in base alle risorse Microsoft</w:t>
      </w:r>
      <w:r w:rsidR="00262185" w:rsidRPr="001E3B36">
        <w:rPr>
          <w:rFonts w:cs="Tahoma"/>
          <w:color w:val="000000"/>
          <w:szCs w:val="18"/>
          <w:lang w:val="it-IT"/>
        </w:rPr>
        <w:t> </w:t>
      </w:r>
      <w:r w:rsidRPr="001E3B36">
        <w:rPr>
          <w:rFonts w:cs="Tahoma"/>
          <w:color w:val="000000"/>
          <w:szCs w:val="18"/>
          <w:lang w:val="it-IT"/>
        </w:rPr>
        <w:t>disponibili) relativi a problemi che non rientrano nell</w:t>
      </w:r>
      <w:r w:rsidR="004525CA">
        <w:rPr>
          <w:rFonts w:cs="Tahoma"/>
          <w:color w:val="000000"/>
          <w:szCs w:val="18"/>
          <w:lang w:val="it-IT"/>
        </w:rPr>
        <w:t>’</w:t>
      </w:r>
      <w:r w:rsidRPr="001E3B36">
        <w:rPr>
          <w:rFonts w:cs="Tahoma"/>
          <w:color w:val="000000"/>
          <w:szCs w:val="18"/>
          <w:lang w:val="it-IT"/>
        </w:rPr>
        <w:t>ambito del servizio Problem Resolution Support, nonché a richieste di assistenza consultiva in merito a problemi a livello di progettazione, sviluppo e</w:t>
      </w:r>
      <w:r w:rsidR="00262185" w:rsidRPr="001E3B36">
        <w:rPr>
          <w:rFonts w:cs="Tahoma"/>
          <w:color w:val="000000"/>
          <w:szCs w:val="18"/>
          <w:lang w:val="it-IT"/>
        </w:rPr>
        <w:t> </w:t>
      </w:r>
      <w:r w:rsidRPr="001E3B36">
        <w:rPr>
          <w:rFonts w:cs="Tahoma"/>
          <w:color w:val="000000"/>
          <w:szCs w:val="18"/>
          <w:lang w:val="it-IT"/>
        </w:rPr>
        <w:t>implementazione.</w:t>
      </w:r>
    </w:p>
    <w:p w:rsidR="00CA52FE" w:rsidRPr="001E3B36" w:rsidRDefault="00CA52FE" w:rsidP="00CA52FE">
      <w:pPr>
        <w:jc w:val="both"/>
        <w:rPr>
          <w:rFonts w:cs="Tahoma"/>
          <w:szCs w:val="18"/>
          <w:lang w:val="it-IT"/>
        </w:rPr>
      </w:pPr>
    </w:p>
    <w:p w:rsidR="00DB2D1E" w:rsidRPr="001E3B36" w:rsidRDefault="00DB2D1E" w:rsidP="00CA52FE">
      <w:pPr>
        <w:rPr>
          <w:rFonts w:cs="Tahoma"/>
          <w:szCs w:val="18"/>
          <w:lang w:val="it-IT"/>
        </w:rPr>
      </w:pPr>
      <w:r w:rsidRPr="001E3B36">
        <w:rPr>
          <w:rFonts w:cs="Tahoma"/>
          <w:szCs w:val="18"/>
          <w:lang w:val="it-IT"/>
        </w:rPr>
        <w:t xml:space="preserve">Il servizio </w:t>
      </w:r>
      <w:r w:rsidRPr="001E3B36">
        <w:rPr>
          <w:rFonts w:cs="Tahoma"/>
          <w:b/>
          <w:bCs/>
          <w:color w:val="000000"/>
          <w:szCs w:val="18"/>
          <w:lang w:val="it-IT"/>
        </w:rPr>
        <w:t xml:space="preserve">Problem Resolution Support </w:t>
      </w:r>
      <w:r w:rsidRPr="001E3B36">
        <w:rPr>
          <w:rFonts w:cs="Tahoma"/>
          <w:color w:val="000000"/>
          <w:szCs w:val="18"/>
          <w:lang w:val="it-IT"/>
        </w:rPr>
        <w:t>fornisce assistenza quando, durante l</w:t>
      </w:r>
      <w:r w:rsidR="004525CA">
        <w:rPr>
          <w:rFonts w:cs="Tahoma"/>
          <w:color w:val="000000"/>
          <w:szCs w:val="18"/>
          <w:lang w:val="it-IT"/>
        </w:rPr>
        <w:t>’</w:t>
      </w:r>
      <w:r w:rsidRPr="001E3B36">
        <w:rPr>
          <w:rFonts w:cs="Tahoma"/>
          <w:color w:val="000000"/>
          <w:szCs w:val="18"/>
          <w:lang w:val="it-IT"/>
        </w:rPr>
        <w:t>utilizzo dei prodotti Microsoft, si</w:t>
      </w:r>
      <w:r w:rsidR="00262185" w:rsidRPr="001E3B36">
        <w:rPr>
          <w:rFonts w:cs="Tahoma"/>
          <w:color w:val="000000"/>
          <w:szCs w:val="18"/>
          <w:lang w:val="it-IT"/>
        </w:rPr>
        <w:t> </w:t>
      </w:r>
      <w:r w:rsidRPr="001E3B36">
        <w:rPr>
          <w:rFonts w:cs="Tahoma"/>
          <w:color w:val="000000"/>
          <w:szCs w:val="18"/>
          <w:lang w:val="it-IT"/>
        </w:rPr>
        <w:t>verificano problemi con sintomi specifici, la cui causa sia ragionevolmente attribuibile ai prodotti Microsoft.</w:t>
      </w:r>
    </w:p>
    <w:p w:rsidR="001C1727" w:rsidRPr="00451078" w:rsidRDefault="001C1727">
      <w:pPr>
        <w:rPr>
          <w:lang w:val="it-IT"/>
        </w:rPr>
      </w:pPr>
    </w:p>
    <w:tbl>
      <w:tblPr>
        <w:tblW w:w="9360" w:type="dxa"/>
        <w:tblInd w:w="108" w:type="dxa"/>
        <w:tblCellMar>
          <w:left w:w="0" w:type="dxa"/>
          <w:right w:w="0" w:type="dxa"/>
        </w:tblCellMar>
        <w:tblLook w:val="04A0" w:firstRow="1" w:lastRow="0" w:firstColumn="1" w:lastColumn="0" w:noHBand="0" w:noVBand="1"/>
      </w:tblPr>
      <w:tblGrid>
        <w:gridCol w:w="1542"/>
        <w:gridCol w:w="2508"/>
        <w:gridCol w:w="2880"/>
        <w:gridCol w:w="2430"/>
      </w:tblGrid>
      <w:tr w:rsidR="00DB2D1E" w:rsidRPr="003410C7" w:rsidTr="002A6416">
        <w:trPr>
          <w:tblHeader/>
        </w:trPr>
        <w:tc>
          <w:tcPr>
            <w:tcW w:w="1542" w:type="dxa"/>
            <w:tcBorders>
              <w:top w:val="single" w:sz="8" w:space="0" w:color="auto"/>
              <w:left w:val="single" w:sz="8" w:space="0" w:color="auto"/>
              <w:bottom w:val="single" w:sz="8" w:space="0" w:color="auto"/>
              <w:right w:val="single" w:sz="8" w:space="0" w:color="auto"/>
            </w:tcBorders>
            <w:shd w:val="clear" w:color="auto" w:fill="FABF8F"/>
            <w:tcMar>
              <w:top w:w="0" w:type="dxa"/>
              <w:left w:w="108" w:type="dxa"/>
              <w:bottom w:w="0" w:type="dxa"/>
              <w:right w:w="108" w:type="dxa"/>
            </w:tcMar>
          </w:tcPr>
          <w:p w:rsidR="00DB2D1E" w:rsidRPr="003410C7" w:rsidRDefault="00DB2D1E" w:rsidP="00DE73D4">
            <w:pPr>
              <w:pStyle w:val="tableclose"/>
              <w:spacing w:line="276" w:lineRule="auto"/>
              <w:rPr>
                <w:rFonts w:ascii="Tahoma" w:hAnsi="Tahoma" w:cs="Tahoma"/>
                <w:b/>
                <w:color w:val="000000"/>
              </w:rPr>
            </w:pPr>
            <w:r w:rsidRPr="003410C7">
              <w:rPr>
                <w:rFonts w:ascii="Tahoma" w:hAnsi="Tahoma" w:cs="Tahoma"/>
                <w:b/>
                <w:color w:val="000000"/>
              </w:rPr>
              <w:t>Severity</w:t>
            </w:r>
          </w:p>
        </w:tc>
        <w:tc>
          <w:tcPr>
            <w:tcW w:w="2508" w:type="dxa"/>
            <w:tcBorders>
              <w:top w:val="single" w:sz="8" w:space="0" w:color="auto"/>
              <w:left w:val="nil"/>
              <w:bottom w:val="single" w:sz="8" w:space="0" w:color="auto"/>
              <w:right w:val="single" w:sz="8" w:space="0" w:color="auto"/>
            </w:tcBorders>
            <w:shd w:val="clear" w:color="auto" w:fill="FABF8F"/>
            <w:tcMar>
              <w:top w:w="0" w:type="dxa"/>
              <w:left w:w="108" w:type="dxa"/>
              <w:bottom w:w="0" w:type="dxa"/>
              <w:right w:w="108" w:type="dxa"/>
            </w:tcMar>
          </w:tcPr>
          <w:p w:rsidR="00DB2D1E" w:rsidRPr="003410C7" w:rsidRDefault="00DB2D1E" w:rsidP="00DE73D4">
            <w:pPr>
              <w:pStyle w:val="tableclose"/>
              <w:spacing w:line="276" w:lineRule="auto"/>
              <w:rPr>
                <w:rFonts w:ascii="Tahoma" w:hAnsi="Tahoma" w:cs="Tahoma"/>
                <w:b/>
                <w:color w:val="000000"/>
              </w:rPr>
            </w:pPr>
            <w:r w:rsidRPr="003410C7">
              <w:rPr>
                <w:rFonts w:ascii="Tahoma" w:hAnsi="Tahoma" w:cs="Tahoma"/>
                <w:b/>
                <w:color w:val="000000"/>
              </w:rPr>
              <w:t>Situazione</w:t>
            </w:r>
          </w:p>
        </w:tc>
        <w:tc>
          <w:tcPr>
            <w:tcW w:w="2880" w:type="dxa"/>
            <w:tcBorders>
              <w:top w:val="single" w:sz="8" w:space="0" w:color="auto"/>
              <w:left w:val="nil"/>
              <w:bottom w:val="single" w:sz="8" w:space="0" w:color="auto"/>
              <w:right w:val="single" w:sz="8" w:space="0" w:color="auto"/>
            </w:tcBorders>
            <w:shd w:val="clear" w:color="auto" w:fill="FABF8F"/>
            <w:tcMar>
              <w:top w:w="0" w:type="dxa"/>
              <w:left w:w="108" w:type="dxa"/>
              <w:bottom w:w="0" w:type="dxa"/>
              <w:right w:w="108" w:type="dxa"/>
            </w:tcMar>
          </w:tcPr>
          <w:p w:rsidR="00DB2D1E" w:rsidRPr="003410C7" w:rsidRDefault="00DB2D1E" w:rsidP="00DE73D4">
            <w:pPr>
              <w:pStyle w:val="tableclose"/>
              <w:spacing w:line="276" w:lineRule="auto"/>
              <w:rPr>
                <w:rFonts w:ascii="Tahoma" w:hAnsi="Tahoma" w:cs="Tahoma"/>
                <w:b/>
                <w:color w:val="000000"/>
              </w:rPr>
            </w:pPr>
            <w:r w:rsidRPr="003410C7">
              <w:rPr>
                <w:rFonts w:ascii="Tahoma" w:hAnsi="Tahoma" w:cs="Tahoma"/>
                <w:b/>
                <w:color w:val="000000"/>
              </w:rPr>
              <w:t>Risposta Microsoft Prevista</w:t>
            </w:r>
          </w:p>
        </w:tc>
        <w:tc>
          <w:tcPr>
            <w:tcW w:w="2430" w:type="dxa"/>
            <w:tcBorders>
              <w:top w:val="single" w:sz="8" w:space="0" w:color="auto"/>
              <w:left w:val="nil"/>
              <w:bottom w:val="single" w:sz="8" w:space="0" w:color="auto"/>
              <w:right w:val="single" w:sz="8" w:space="0" w:color="auto"/>
            </w:tcBorders>
            <w:shd w:val="clear" w:color="auto" w:fill="FABF8F"/>
            <w:tcMar>
              <w:top w:w="0" w:type="dxa"/>
              <w:left w:w="108" w:type="dxa"/>
              <w:bottom w:w="0" w:type="dxa"/>
              <w:right w:w="108" w:type="dxa"/>
            </w:tcMar>
          </w:tcPr>
          <w:p w:rsidR="00DB2D1E" w:rsidRPr="003410C7" w:rsidRDefault="00DB2D1E" w:rsidP="00DE73D4">
            <w:pPr>
              <w:pStyle w:val="tableclose"/>
              <w:spacing w:line="276" w:lineRule="auto"/>
              <w:rPr>
                <w:rFonts w:ascii="Tahoma" w:hAnsi="Tahoma" w:cs="Tahoma"/>
                <w:b/>
                <w:color w:val="000000"/>
              </w:rPr>
            </w:pPr>
            <w:r w:rsidRPr="003410C7">
              <w:rPr>
                <w:rFonts w:ascii="Tahoma" w:hAnsi="Tahoma" w:cs="Tahoma"/>
                <w:b/>
                <w:color w:val="000000"/>
              </w:rPr>
              <w:t>Risposta della Società Prevista</w:t>
            </w:r>
          </w:p>
        </w:tc>
      </w:tr>
      <w:tr w:rsidR="00DB2D1E" w:rsidRPr="00DC1102" w:rsidTr="002A6416">
        <w:tc>
          <w:tcPr>
            <w:tcW w:w="1542" w:type="dxa"/>
            <w:tcBorders>
              <w:top w:val="nil"/>
              <w:left w:val="single" w:sz="8" w:space="0" w:color="auto"/>
              <w:bottom w:val="single" w:sz="8" w:space="0" w:color="auto"/>
              <w:right w:val="single" w:sz="8" w:space="0" w:color="auto"/>
            </w:tcBorders>
            <w:tcMar>
              <w:top w:w="0" w:type="dxa"/>
              <w:left w:w="108" w:type="dxa"/>
              <w:bottom w:w="0" w:type="dxa"/>
              <w:right w:w="108" w:type="dxa"/>
            </w:tcMar>
          </w:tcPr>
          <w:p w:rsidR="00DB2D1E" w:rsidRPr="003410C7" w:rsidRDefault="00DB2D1E" w:rsidP="00DE73D4">
            <w:pPr>
              <w:pStyle w:val="tableclose"/>
              <w:spacing w:line="276" w:lineRule="auto"/>
              <w:rPr>
                <w:rFonts w:ascii="Tahoma" w:hAnsi="Tahoma" w:cs="Tahoma"/>
                <w:color w:val="000000"/>
                <w:sz w:val="18"/>
                <w:szCs w:val="18"/>
              </w:rPr>
            </w:pPr>
            <w:r w:rsidRPr="003410C7">
              <w:rPr>
                <w:rFonts w:ascii="Tahoma" w:hAnsi="Tahoma" w:cs="Tahoma"/>
                <w:color w:val="000000"/>
                <w:sz w:val="18"/>
                <w:szCs w:val="18"/>
              </w:rPr>
              <w:t>1. Formulazione solo telefonica</w:t>
            </w:r>
          </w:p>
        </w:tc>
        <w:tc>
          <w:tcPr>
            <w:tcW w:w="2508" w:type="dxa"/>
            <w:tcBorders>
              <w:top w:val="nil"/>
              <w:left w:val="nil"/>
              <w:bottom w:val="single" w:sz="8" w:space="0" w:color="auto"/>
              <w:right w:val="single" w:sz="8" w:space="0" w:color="auto"/>
            </w:tcBorders>
            <w:tcMar>
              <w:top w:w="0" w:type="dxa"/>
              <w:left w:w="108" w:type="dxa"/>
              <w:bottom w:w="0" w:type="dxa"/>
              <w:right w:w="108" w:type="dxa"/>
            </w:tcMar>
          </w:tcPr>
          <w:p w:rsidR="00DB2D1E" w:rsidRPr="00CD2451" w:rsidRDefault="00DB2D1E" w:rsidP="00745AB3">
            <w:pPr>
              <w:pStyle w:val="ListBullet3"/>
              <w:numPr>
                <w:ilvl w:val="0"/>
                <w:numId w:val="59"/>
              </w:numPr>
              <w:spacing w:line="276" w:lineRule="auto"/>
              <w:rPr>
                <w:sz w:val="18"/>
                <w:szCs w:val="18"/>
              </w:rPr>
            </w:pPr>
            <w:r w:rsidRPr="00CD2451">
              <w:rPr>
                <w:rFonts w:ascii="Tahoma" w:hAnsi="Tahoma" w:cs="Tahoma"/>
                <w:color w:val="000000"/>
                <w:sz w:val="18"/>
                <w:szCs w:val="18"/>
              </w:rPr>
              <w:t xml:space="preserve">Impatto commerciale catastrofico </w:t>
            </w:r>
          </w:p>
          <w:p w:rsidR="00DB2D1E" w:rsidRPr="00451078" w:rsidRDefault="00DB2D1E" w:rsidP="00745AB3">
            <w:pPr>
              <w:pStyle w:val="ListBullet3"/>
              <w:numPr>
                <w:ilvl w:val="0"/>
                <w:numId w:val="59"/>
              </w:numPr>
              <w:spacing w:line="276" w:lineRule="auto"/>
              <w:rPr>
                <w:sz w:val="18"/>
                <w:szCs w:val="18"/>
                <w:lang w:val="it-IT"/>
              </w:rPr>
            </w:pPr>
            <w:r w:rsidRPr="00451078">
              <w:rPr>
                <w:rFonts w:ascii="Tahoma" w:hAnsi="Tahoma" w:cs="Tahoma"/>
                <w:color w:val="000000"/>
                <w:sz w:val="18"/>
                <w:szCs w:val="18"/>
                <w:lang w:val="it-IT"/>
              </w:rPr>
              <w:t xml:space="preserve">Perdita completa </w:t>
            </w:r>
            <w:r w:rsidRPr="00451078">
              <w:rPr>
                <w:rFonts w:ascii="Tahoma" w:hAnsi="Tahoma" w:cs="Tahoma"/>
                <w:color w:val="000000"/>
                <w:sz w:val="18"/>
                <w:szCs w:val="18"/>
                <w:lang w:val="it-IT"/>
              </w:rPr>
              <w:lastRenderedPageBreak/>
              <w:t>di</w:t>
            </w:r>
            <w:r w:rsidR="00262185" w:rsidRPr="00451078">
              <w:rPr>
                <w:rFonts w:ascii="Tahoma" w:hAnsi="Tahoma" w:cs="Tahoma"/>
                <w:color w:val="000000"/>
                <w:sz w:val="18"/>
                <w:szCs w:val="18"/>
                <w:lang w:val="it-IT"/>
              </w:rPr>
              <w:t> </w:t>
            </w:r>
            <w:r w:rsidRPr="00451078">
              <w:rPr>
                <w:rFonts w:ascii="Tahoma" w:hAnsi="Tahoma" w:cs="Tahoma"/>
                <w:color w:val="000000"/>
                <w:sz w:val="18"/>
                <w:szCs w:val="18"/>
                <w:lang w:val="it-IT"/>
              </w:rPr>
              <w:t>un</w:t>
            </w:r>
            <w:r w:rsidR="00262185" w:rsidRPr="00451078">
              <w:rPr>
                <w:rFonts w:ascii="Tahoma" w:hAnsi="Tahoma" w:cs="Tahoma"/>
                <w:color w:val="000000"/>
                <w:sz w:val="18"/>
                <w:szCs w:val="18"/>
                <w:lang w:val="it-IT"/>
              </w:rPr>
              <w:t> </w:t>
            </w:r>
            <w:r w:rsidRPr="00451078">
              <w:rPr>
                <w:rFonts w:ascii="Tahoma" w:hAnsi="Tahoma" w:cs="Tahoma"/>
                <w:color w:val="000000"/>
                <w:sz w:val="18"/>
                <w:szCs w:val="18"/>
                <w:lang w:val="it-IT"/>
              </w:rPr>
              <w:t>procedimento commerciale cruciale (mission critical) e</w:t>
            </w:r>
            <w:r w:rsidR="00262185" w:rsidRPr="00451078">
              <w:rPr>
                <w:rFonts w:ascii="Tahoma" w:hAnsi="Tahoma" w:cs="Tahoma"/>
                <w:color w:val="000000"/>
                <w:sz w:val="18"/>
                <w:szCs w:val="18"/>
                <w:lang w:val="it-IT"/>
              </w:rPr>
              <w:t> </w:t>
            </w:r>
            <w:r w:rsidRPr="00451078">
              <w:rPr>
                <w:rFonts w:ascii="Tahoma" w:hAnsi="Tahoma" w:cs="Tahoma"/>
                <w:color w:val="000000"/>
                <w:sz w:val="18"/>
                <w:szCs w:val="18"/>
                <w:lang w:val="it-IT"/>
              </w:rPr>
              <w:t>impossibilità di continuare in modo adeguato il lavoro</w:t>
            </w:r>
          </w:p>
          <w:p w:rsidR="00DB2D1E" w:rsidRPr="00451078" w:rsidRDefault="00DB2D1E" w:rsidP="00745AB3">
            <w:pPr>
              <w:pStyle w:val="ListBullet3"/>
              <w:numPr>
                <w:ilvl w:val="0"/>
                <w:numId w:val="59"/>
              </w:numPr>
              <w:spacing w:line="276" w:lineRule="auto"/>
              <w:rPr>
                <w:rFonts w:ascii="Tahoma" w:hAnsi="Tahoma" w:cs="Tahoma"/>
                <w:color w:val="000000"/>
                <w:sz w:val="18"/>
                <w:szCs w:val="18"/>
                <w:lang w:val="it-IT"/>
              </w:rPr>
            </w:pPr>
            <w:r w:rsidRPr="00451078">
              <w:rPr>
                <w:rFonts w:ascii="Tahoma" w:hAnsi="Tahoma" w:cs="Tahoma"/>
                <w:color w:val="000000"/>
                <w:sz w:val="18"/>
                <w:szCs w:val="18"/>
                <w:lang w:val="it-IT"/>
              </w:rPr>
              <w:t>Necessità di un intervento immediato</w:t>
            </w:r>
          </w:p>
        </w:tc>
        <w:tc>
          <w:tcPr>
            <w:tcW w:w="2880" w:type="dxa"/>
            <w:tcBorders>
              <w:top w:val="nil"/>
              <w:left w:val="nil"/>
              <w:bottom w:val="single" w:sz="8" w:space="0" w:color="auto"/>
              <w:right w:val="single" w:sz="8" w:space="0" w:color="auto"/>
            </w:tcBorders>
            <w:tcMar>
              <w:top w:w="0" w:type="dxa"/>
              <w:left w:w="108" w:type="dxa"/>
              <w:bottom w:w="0" w:type="dxa"/>
              <w:right w:w="108" w:type="dxa"/>
            </w:tcMar>
          </w:tcPr>
          <w:p w:rsidR="00DB2D1E" w:rsidRPr="00451078" w:rsidRDefault="00DB2D1E" w:rsidP="00745AB3">
            <w:pPr>
              <w:pStyle w:val="ListBullet3"/>
              <w:numPr>
                <w:ilvl w:val="0"/>
                <w:numId w:val="60"/>
              </w:numPr>
              <w:spacing w:line="276" w:lineRule="auto"/>
              <w:rPr>
                <w:sz w:val="18"/>
                <w:szCs w:val="18"/>
                <w:lang w:val="it-IT"/>
              </w:rPr>
            </w:pPr>
            <w:r w:rsidRPr="00451078">
              <w:rPr>
                <w:rFonts w:ascii="Tahoma" w:hAnsi="Tahoma" w:cs="Tahoma"/>
                <w:color w:val="000000"/>
                <w:sz w:val="18"/>
                <w:szCs w:val="18"/>
                <w:lang w:val="it-IT"/>
              </w:rPr>
              <w:lastRenderedPageBreak/>
              <w:t>Risposta alla prima chiamata in 1 ora o meno</w:t>
            </w:r>
          </w:p>
          <w:p w:rsidR="00DB2D1E" w:rsidRPr="00451078" w:rsidRDefault="00DB2D1E" w:rsidP="00745AB3">
            <w:pPr>
              <w:pStyle w:val="ListBullet3"/>
              <w:numPr>
                <w:ilvl w:val="0"/>
                <w:numId w:val="60"/>
              </w:numPr>
              <w:spacing w:line="276" w:lineRule="auto"/>
              <w:rPr>
                <w:sz w:val="18"/>
                <w:szCs w:val="18"/>
                <w:lang w:val="it-IT"/>
              </w:rPr>
            </w:pPr>
            <w:r w:rsidRPr="00451078">
              <w:rPr>
                <w:rFonts w:ascii="Tahoma" w:hAnsi="Tahoma" w:cs="Tahoma"/>
                <w:color w:val="000000"/>
                <w:sz w:val="18"/>
                <w:szCs w:val="18"/>
                <w:lang w:val="it-IT"/>
              </w:rPr>
              <w:t xml:space="preserve">Risorse Microsoft sul sito il </w:t>
            </w:r>
            <w:r w:rsidRPr="00451078">
              <w:rPr>
                <w:rFonts w:ascii="Tahoma" w:hAnsi="Tahoma" w:cs="Tahoma"/>
                <w:color w:val="000000"/>
                <w:sz w:val="18"/>
                <w:szCs w:val="18"/>
                <w:lang w:val="it-IT"/>
              </w:rPr>
              <w:lastRenderedPageBreak/>
              <w:t>più presto possibile</w:t>
            </w:r>
          </w:p>
          <w:p w:rsidR="00DB2D1E" w:rsidRPr="00CD2451" w:rsidRDefault="00DB2D1E" w:rsidP="00745AB3">
            <w:pPr>
              <w:pStyle w:val="ListBullet3"/>
              <w:numPr>
                <w:ilvl w:val="0"/>
                <w:numId w:val="60"/>
              </w:numPr>
              <w:spacing w:line="276" w:lineRule="auto"/>
              <w:rPr>
                <w:sz w:val="18"/>
                <w:szCs w:val="18"/>
              </w:rPr>
            </w:pPr>
            <w:r w:rsidRPr="00CD2451">
              <w:rPr>
                <w:rFonts w:ascii="Tahoma" w:hAnsi="Tahoma" w:cs="Tahoma"/>
                <w:color w:val="000000"/>
                <w:sz w:val="18"/>
                <w:szCs w:val="18"/>
              </w:rPr>
              <w:t>Impegno continuo 24x7</w:t>
            </w:r>
          </w:p>
          <w:p w:rsidR="00DB2D1E" w:rsidRPr="00451078" w:rsidRDefault="00DB2D1E" w:rsidP="00745AB3">
            <w:pPr>
              <w:pStyle w:val="ListBullet3"/>
              <w:numPr>
                <w:ilvl w:val="0"/>
                <w:numId w:val="60"/>
              </w:numPr>
              <w:spacing w:line="276" w:lineRule="auto"/>
              <w:rPr>
                <w:sz w:val="18"/>
                <w:szCs w:val="18"/>
                <w:lang w:val="it-IT"/>
              </w:rPr>
            </w:pPr>
            <w:r w:rsidRPr="00451078">
              <w:rPr>
                <w:rFonts w:ascii="Tahoma" w:hAnsi="Tahoma" w:cs="Tahoma"/>
                <w:color w:val="000000"/>
                <w:sz w:val="18"/>
                <w:szCs w:val="18"/>
                <w:lang w:val="it-IT"/>
              </w:rPr>
              <w:t>Escalation Rapida ai team dei Prodotti di Microsoft</w:t>
            </w:r>
          </w:p>
          <w:p w:rsidR="00DB2D1E" w:rsidRPr="00451078" w:rsidRDefault="00DB2D1E" w:rsidP="00745AB3">
            <w:pPr>
              <w:pStyle w:val="ListBullet3"/>
              <w:numPr>
                <w:ilvl w:val="0"/>
                <w:numId w:val="60"/>
              </w:numPr>
              <w:spacing w:line="276" w:lineRule="auto"/>
              <w:rPr>
                <w:rFonts w:ascii="Tahoma" w:hAnsi="Tahoma" w:cs="Tahoma"/>
                <w:color w:val="000000"/>
                <w:sz w:val="18"/>
                <w:szCs w:val="18"/>
                <w:lang w:val="it-IT"/>
              </w:rPr>
            </w:pPr>
            <w:r w:rsidRPr="00451078">
              <w:rPr>
                <w:rFonts w:ascii="Tahoma" w:hAnsi="Tahoma" w:cs="Tahoma"/>
                <w:color w:val="000000"/>
                <w:sz w:val="18"/>
                <w:szCs w:val="18"/>
                <w:lang w:val="it-IT"/>
              </w:rPr>
              <w:t xml:space="preserve">Comunicazione dei Dirigenti di Alto Livello di Microsoft </w:t>
            </w:r>
          </w:p>
        </w:tc>
        <w:tc>
          <w:tcPr>
            <w:tcW w:w="2430" w:type="dxa"/>
            <w:tcBorders>
              <w:top w:val="nil"/>
              <w:left w:val="nil"/>
              <w:bottom w:val="single" w:sz="8" w:space="0" w:color="auto"/>
              <w:right w:val="single" w:sz="8" w:space="0" w:color="auto"/>
            </w:tcBorders>
            <w:tcMar>
              <w:top w:w="0" w:type="dxa"/>
              <w:left w:w="108" w:type="dxa"/>
              <w:bottom w:w="0" w:type="dxa"/>
              <w:right w:w="108" w:type="dxa"/>
            </w:tcMar>
          </w:tcPr>
          <w:p w:rsidR="00DB2D1E" w:rsidRPr="00451078" w:rsidRDefault="00DB2D1E" w:rsidP="00745AB3">
            <w:pPr>
              <w:pStyle w:val="ListBullet3"/>
              <w:numPr>
                <w:ilvl w:val="0"/>
                <w:numId w:val="61"/>
              </w:numPr>
              <w:spacing w:line="276" w:lineRule="auto"/>
              <w:rPr>
                <w:sz w:val="18"/>
                <w:szCs w:val="18"/>
                <w:lang w:val="it-IT"/>
              </w:rPr>
            </w:pPr>
            <w:r w:rsidRPr="00451078">
              <w:rPr>
                <w:rFonts w:ascii="Tahoma" w:hAnsi="Tahoma" w:cs="Tahoma"/>
                <w:color w:val="000000"/>
                <w:sz w:val="18"/>
                <w:szCs w:val="18"/>
                <w:lang w:val="it-IT"/>
              </w:rPr>
              <w:lastRenderedPageBreak/>
              <w:t xml:space="preserve">Comunicazione dei dirigenti di alto livello della società </w:t>
            </w:r>
          </w:p>
          <w:p w:rsidR="00DB2D1E" w:rsidRPr="00451078" w:rsidRDefault="00DB2D1E" w:rsidP="00745AB3">
            <w:pPr>
              <w:pStyle w:val="ListBullet3"/>
              <w:numPr>
                <w:ilvl w:val="0"/>
                <w:numId w:val="61"/>
              </w:numPr>
              <w:spacing w:line="276" w:lineRule="auto"/>
              <w:rPr>
                <w:sz w:val="18"/>
                <w:szCs w:val="18"/>
                <w:lang w:val="it-IT"/>
              </w:rPr>
            </w:pPr>
            <w:r w:rsidRPr="00451078">
              <w:rPr>
                <w:rFonts w:ascii="Tahoma" w:hAnsi="Tahoma" w:cs="Tahoma"/>
                <w:color w:val="000000"/>
                <w:sz w:val="18"/>
                <w:szCs w:val="18"/>
                <w:lang w:val="it-IT"/>
              </w:rPr>
              <w:lastRenderedPageBreak/>
              <w:t>Allocazione delle risorse appropriate per sostenere l</w:t>
            </w:r>
            <w:r w:rsidR="004525CA">
              <w:rPr>
                <w:rFonts w:ascii="Tahoma" w:hAnsi="Tahoma" w:cs="Tahoma"/>
                <w:color w:val="000000"/>
                <w:sz w:val="18"/>
                <w:szCs w:val="18"/>
                <w:lang w:val="it-IT"/>
              </w:rPr>
              <w:t>’</w:t>
            </w:r>
            <w:r w:rsidRPr="00451078">
              <w:rPr>
                <w:rFonts w:ascii="Tahoma" w:hAnsi="Tahoma" w:cs="Tahoma"/>
                <w:color w:val="000000"/>
                <w:sz w:val="18"/>
                <w:szCs w:val="18"/>
                <w:lang w:val="it-IT"/>
              </w:rPr>
              <w:t>impegno continuo 24x7</w:t>
            </w:r>
            <w:r w:rsidRPr="00451078">
              <w:rPr>
                <w:rFonts w:ascii="Tahoma" w:hAnsi="Tahoma" w:cs="Tahoma"/>
                <w:color w:val="000000"/>
                <w:sz w:val="18"/>
                <w:szCs w:val="18"/>
                <w:vertAlign w:val="superscript"/>
                <w:lang w:val="it-IT"/>
              </w:rPr>
              <w:t>2</w:t>
            </w:r>
          </w:p>
          <w:p w:rsidR="00DB2D1E" w:rsidRPr="00451078" w:rsidRDefault="00DB2D1E" w:rsidP="00745AB3">
            <w:pPr>
              <w:pStyle w:val="ListBullet3"/>
              <w:numPr>
                <w:ilvl w:val="0"/>
                <w:numId w:val="61"/>
              </w:numPr>
              <w:spacing w:line="276" w:lineRule="auto"/>
              <w:rPr>
                <w:rFonts w:ascii="Tahoma" w:hAnsi="Tahoma" w:cs="Tahoma"/>
                <w:color w:val="000000"/>
                <w:sz w:val="18"/>
                <w:szCs w:val="18"/>
                <w:lang w:val="it-IT"/>
              </w:rPr>
            </w:pPr>
            <w:r w:rsidRPr="00451078">
              <w:rPr>
                <w:rFonts w:ascii="Tahoma" w:hAnsi="Tahoma" w:cs="Tahoma"/>
                <w:color w:val="000000"/>
                <w:sz w:val="18"/>
                <w:szCs w:val="18"/>
                <w:lang w:val="it-IT"/>
              </w:rPr>
              <w:t>Accesso e risposte rapide dall</w:t>
            </w:r>
            <w:r w:rsidR="004525CA">
              <w:rPr>
                <w:rFonts w:ascii="Tahoma" w:hAnsi="Tahoma" w:cs="Tahoma"/>
                <w:color w:val="000000"/>
                <w:sz w:val="18"/>
                <w:szCs w:val="18"/>
                <w:lang w:val="it-IT"/>
              </w:rPr>
              <w:t>’</w:t>
            </w:r>
            <w:r w:rsidRPr="00451078">
              <w:rPr>
                <w:rFonts w:ascii="Tahoma" w:hAnsi="Tahoma" w:cs="Tahoma"/>
                <w:color w:val="000000"/>
                <w:sz w:val="18"/>
                <w:szCs w:val="18"/>
                <w:lang w:val="it-IT"/>
              </w:rPr>
              <w:t>autorità di</w:t>
            </w:r>
            <w:r w:rsidR="00262185" w:rsidRPr="00451078">
              <w:rPr>
                <w:rFonts w:ascii="Tahoma" w:hAnsi="Tahoma" w:cs="Tahoma"/>
                <w:color w:val="000000"/>
                <w:sz w:val="18"/>
                <w:szCs w:val="18"/>
                <w:lang w:val="it-IT"/>
              </w:rPr>
              <w:t> </w:t>
            </w:r>
            <w:r w:rsidRPr="00451078">
              <w:rPr>
                <w:rFonts w:ascii="Tahoma" w:hAnsi="Tahoma" w:cs="Tahoma"/>
                <w:color w:val="000000"/>
                <w:sz w:val="18"/>
                <w:szCs w:val="18"/>
                <w:lang w:val="it-IT"/>
              </w:rPr>
              <w:t>controllo delle modifiche</w:t>
            </w:r>
          </w:p>
        </w:tc>
      </w:tr>
      <w:tr w:rsidR="00DB2D1E" w:rsidRPr="003410C7" w:rsidTr="002A6416">
        <w:tc>
          <w:tcPr>
            <w:tcW w:w="1542" w:type="dxa"/>
            <w:tcBorders>
              <w:top w:val="nil"/>
              <w:left w:val="single" w:sz="8" w:space="0" w:color="auto"/>
              <w:bottom w:val="single" w:sz="8" w:space="0" w:color="auto"/>
              <w:right w:val="single" w:sz="8" w:space="0" w:color="auto"/>
            </w:tcBorders>
            <w:tcMar>
              <w:top w:w="0" w:type="dxa"/>
              <w:left w:w="108" w:type="dxa"/>
              <w:bottom w:w="0" w:type="dxa"/>
              <w:right w:w="108" w:type="dxa"/>
            </w:tcMar>
          </w:tcPr>
          <w:p w:rsidR="00DB2D1E" w:rsidRPr="003410C7" w:rsidRDefault="00DB2D1E" w:rsidP="00DE73D4">
            <w:pPr>
              <w:pStyle w:val="tableclose"/>
              <w:spacing w:line="276" w:lineRule="auto"/>
              <w:rPr>
                <w:rFonts w:ascii="Tahoma" w:hAnsi="Tahoma" w:cs="Tahoma"/>
                <w:color w:val="000000"/>
                <w:sz w:val="18"/>
                <w:szCs w:val="18"/>
              </w:rPr>
            </w:pPr>
            <w:r w:rsidRPr="003410C7">
              <w:rPr>
                <w:rFonts w:ascii="Tahoma" w:hAnsi="Tahoma" w:cs="Tahoma"/>
                <w:color w:val="000000"/>
                <w:sz w:val="18"/>
                <w:szCs w:val="18"/>
              </w:rPr>
              <w:lastRenderedPageBreak/>
              <w:t>A Formulazione solo telefonica</w:t>
            </w:r>
          </w:p>
        </w:tc>
        <w:tc>
          <w:tcPr>
            <w:tcW w:w="2508" w:type="dxa"/>
            <w:tcBorders>
              <w:top w:val="nil"/>
              <w:left w:val="nil"/>
              <w:bottom w:val="single" w:sz="8" w:space="0" w:color="auto"/>
              <w:right w:val="single" w:sz="8" w:space="0" w:color="auto"/>
            </w:tcBorders>
            <w:tcMar>
              <w:top w:w="0" w:type="dxa"/>
              <w:left w:w="108" w:type="dxa"/>
              <w:bottom w:w="0" w:type="dxa"/>
              <w:right w:w="108" w:type="dxa"/>
            </w:tcMar>
          </w:tcPr>
          <w:p w:rsidR="00DB2D1E" w:rsidRPr="00CD2451" w:rsidRDefault="00DB2D1E" w:rsidP="00745AB3">
            <w:pPr>
              <w:pStyle w:val="ListBullet3"/>
              <w:numPr>
                <w:ilvl w:val="0"/>
                <w:numId w:val="59"/>
              </w:numPr>
              <w:spacing w:line="276" w:lineRule="auto"/>
              <w:rPr>
                <w:sz w:val="18"/>
                <w:szCs w:val="18"/>
              </w:rPr>
            </w:pPr>
            <w:r w:rsidRPr="00CD2451">
              <w:rPr>
                <w:rFonts w:ascii="Tahoma" w:hAnsi="Tahoma" w:cs="Tahoma"/>
                <w:color w:val="000000"/>
                <w:sz w:val="18"/>
                <w:szCs w:val="18"/>
              </w:rPr>
              <w:t xml:space="preserve">Impatto commerciale critico </w:t>
            </w:r>
          </w:p>
          <w:p w:rsidR="00DB2D1E" w:rsidRPr="00451078" w:rsidRDefault="00DB2D1E" w:rsidP="00745AB3">
            <w:pPr>
              <w:pStyle w:val="ListBullet3"/>
              <w:numPr>
                <w:ilvl w:val="0"/>
                <w:numId w:val="59"/>
              </w:numPr>
              <w:spacing w:line="276" w:lineRule="auto"/>
              <w:rPr>
                <w:sz w:val="18"/>
                <w:szCs w:val="18"/>
                <w:lang w:val="it-IT"/>
              </w:rPr>
            </w:pPr>
            <w:r w:rsidRPr="00451078">
              <w:rPr>
                <w:rFonts w:ascii="Tahoma" w:hAnsi="Tahoma" w:cs="Tahoma"/>
                <w:color w:val="000000"/>
                <w:sz w:val="18"/>
                <w:szCs w:val="18"/>
                <w:lang w:val="it-IT"/>
              </w:rPr>
              <w:t>Perdita o degradazione significativa dei servizi</w:t>
            </w:r>
          </w:p>
          <w:p w:rsidR="00DB2D1E" w:rsidRPr="00CD2451" w:rsidRDefault="00DB2D1E" w:rsidP="00745AB3">
            <w:pPr>
              <w:pStyle w:val="ListBullet3"/>
              <w:numPr>
                <w:ilvl w:val="0"/>
                <w:numId w:val="59"/>
              </w:numPr>
              <w:spacing w:line="276" w:lineRule="auto"/>
              <w:rPr>
                <w:rFonts w:ascii="Tahoma" w:hAnsi="Tahoma" w:cs="Tahoma"/>
                <w:color w:val="000000"/>
                <w:sz w:val="18"/>
                <w:szCs w:val="18"/>
              </w:rPr>
            </w:pPr>
            <w:r w:rsidRPr="00CD2451">
              <w:rPr>
                <w:rFonts w:ascii="Tahoma" w:hAnsi="Tahoma" w:cs="Tahoma"/>
                <w:color w:val="000000"/>
                <w:sz w:val="18"/>
                <w:szCs w:val="18"/>
              </w:rPr>
              <w:t>Necessità dell</w:t>
            </w:r>
            <w:r w:rsidR="004525CA">
              <w:rPr>
                <w:rFonts w:ascii="Tahoma" w:hAnsi="Tahoma" w:cs="Tahoma"/>
                <w:color w:val="000000"/>
                <w:sz w:val="18"/>
                <w:szCs w:val="18"/>
              </w:rPr>
              <w:t>’</w:t>
            </w:r>
            <w:r w:rsidRPr="00CD2451">
              <w:rPr>
                <w:rFonts w:ascii="Tahoma" w:hAnsi="Tahoma" w:cs="Tahoma"/>
                <w:color w:val="000000"/>
                <w:sz w:val="18"/>
                <w:szCs w:val="18"/>
              </w:rPr>
              <w:t>intervento entro 1 ora</w:t>
            </w:r>
          </w:p>
        </w:tc>
        <w:tc>
          <w:tcPr>
            <w:tcW w:w="2880" w:type="dxa"/>
            <w:tcBorders>
              <w:top w:val="nil"/>
              <w:left w:val="nil"/>
              <w:bottom w:val="single" w:sz="8" w:space="0" w:color="auto"/>
              <w:right w:val="single" w:sz="8" w:space="0" w:color="auto"/>
            </w:tcBorders>
            <w:tcMar>
              <w:top w:w="0" w:type="dxa"/>
              <w:left w:w="108" w:type="dxa"/>
              <w:bottom w:w="0" w:type="dxa"/>
              <w:right w:w="108" w:type="dxa"/>
            </w:tcMar>
          </w:tcPr>
          <w:p w:rsidR="00DB2D1E" w:rsidRPr="00451078" w:rsidRDefault="00DB2D1E" w:rsidP="00745AB3">
            <w:pPr>
              <w:pStyle w:val="ListBullet3"/>
              <w:numPr>
                <w:ilvl w:val="0"/>
                <w:numId w:val="60"/>
              </w:numPr>
              <w:spacing w:line="276" w:lineRule="auto"/>
              <w:rPr>
                <w:sz w:val="18"/>
                <w:szCs w:val="18"/>
                <w:lang w:val="it-IT"/>
              </w:rPr>
            </w:pPr>
            <w:r w:rsidRPr="00451078">
              <w:rPr>
                <w:rFonts w:ascii="Tahoma" w:hAnsi="Tahoma" w:cs="Tahoma"/>
                <w:color w:val="000000"/>
                <w:sz w:val="18"/>
                <w:szCs w:val="18"/>
                <w:lang w:val="it-IT"/>
              </w:rPr>
              <w:t>Risposta alla prima chiamata in 1 ora o meno</w:t>
            </w:r>
          </w:p>
          <w:p w:rsidR="00DB2D1E" w:rsidRPr="00451078" w:rsidRDefault="00DB2D1E" w:rsidP="00745AB3">
            <w:pPr>
              <w:pStyle w:val="ListBullet3"/>
              <w:numPr>
                <w:ilvl w:val="0"/>
                <w:numId w:val="60"/>
              </w:numPr>
              <w:spacing w:line="276" w:lineRule="auto"/>
              <w:rPr>
                <w:sz w:val="18"/>
                <w:szCs w:val="18"/>
                <w:lang w:val="it-IT"/>
              </w:rPr>
            </w:pPr>
            <w:r w:rsidRPr="00451078">
              <w:rPr>
                <w:rFonts w:ascii="Tahoma" w:hAnsi="Tahoma" w:cs="Tahoma"/>
                <w:color w:val="000000"/>
                <w:sz w:val="18"/>
                <w:szCs w:val="18"/>
                <w:lang w:val="it-IT"/>
              </w:rPr>
              <w:t>Risorse Microsoft presso la</w:t>
            </w:r>
            <w:r w:rsidR="00262185" w:rsidRPr="00451078">
              <w:rPr>
                <w:rFonts w:ascii="Tahoma" w:hAnsi="Tahoma" w:cs="Tahoma"/>
                <w:color w:val="000000"/>
                <w:sz w:val="18"/>
                <w:szCs w:val="18"/>
                <w:lang w:val="it-IT"/>
              </w:rPr>
              <w:t> </w:t>
            </w:r>
            <w:r w:rsidRPr="00451078">
              <w:rPr>
                <w:rFonts w:ascii="Tahoma" w:hAnsi="Tahoma" w:cs="Tahoma"/>
                <w:color w:val="000000"/>
                <w:sz w:val="18"/>
                <w:szCs w:val="18"/>
                <w:lang w:val="it-IT"/>
              </w:rPr>
              <w:t>sede della società, come</w:t>
            </w:r>
            <w:r w:rsidR="00262185" w:rsidRPr="00451078">
              <w:rPr>
                <w:rFonts w:ascii="Tahoma" w:hAnsi="Tahoma" w:cs="Tahoma"/>
                <w:color w:val="000000"/>
                <w:sz w:val="18"/>
                <w:szCs w:val="18"/>
                <w:lang w:val="it-IT"/>
              </w:rPr>
              <w:t> </w:t>
            </w:r>
            <w:r w:rsidRPr="00451078">
              <w:rPr>
                <w:rFonts w:ascii="Tahoma" w:hAnsi="Tahoma" w:cs="Tahoma"/>
                <w:color w:val="000000"/>
                <w:sz w:val="18"/>
                <w:szCs w:val="18"/>
                <w:lang w:val="it-IT"/>
              </w:rPr>
              <w:t>richiesto.</w:t>
            </w:r>
          </w:p>
          <w:p w:rsidR="00DB2D1E" w:rsidRPr="00CD2451" w:rsidRDefault="00DB2D1E" w:rsidP="00745AB3">
            <w:pPr>
              <w:pStyle w:val="ListBullet3"/>
              <w:numPr>
                <w:ilvl w:val="0"/>
                <w:numId w:val="60"/>
              </w:numPr>
              <w:spacing w:line="276" w:lineRule="auto"/>
              <w:rPr>
                <w:sz w:val="18"/>
                <w:szCs w:val="18"/>
              </w:rPr>
            </w:pPr>
            <w:r w:rsidRPr="00CD2451">
              <w:rPr>
                <w:rFonts w:ascii="Tahoma" w:hAnsi="Tahoma" w:cs="Tahoma"/>
                <w:color w:val="000000"/>
                <w:sz w:val="18"/>
                <w:szCs w:val="18"/>
              </w:rPr>
              <w:t>Impegno continuo 24x7</w:t>
            </w:r>
          </w:p>
          <w:p w:rsidR="00DB2D1E" w:rsidRPr="00451078" w:rsidRDefault="00DB2D1E" w:rsidP="00745AB3">
            <w:pPr>
              <w:pStyle w:val="ListBullet3"/>
              <w:numPr>
                <w:ilvl w:val="0"/>
                <w:numId w:val="60"/>
              </w:numPr>
              <w:spacing w:line="276" w:lineRule="auto"/>
              <w:rPr>
                <w:rFonts w:ascii="Tahoma" w:hAnsi="Tahoma" w:cs="Tahoma"/>
                <w:color w:val="000000"/>
                <w:sz w:val="18"/>
                <w:szCs w:val="18"/>
                <w:lang w:val="it-IT"/>
              </w:rPr>
            </w:pPr>
            <w:r w:rsidRPr="00451078">
              <w:rPr>
                <w:rFonts w:ascii="Tahoma" w:hAnsi="Tahoma" w:cs="Tahoma"/>
                <w:color w:val="000000"/>
                <w:sz w:val="18"/>
                <w:szCs w:val="18"/>
                <w:lang w:val="it-IT"/>
              </w:rPr>
              <w:t>Comunicazione dei Dirigenti di Alto Livello di Microsoft</w:t>
            </w:r>
          </w:p>
        </w:tc>
        <w:tc>
          <w:tcPr>
            <w:tcW w:w="2430" w:type="dxa"/>
            <w:tcBorders>
              <w:top w:val="nil"/>
              <w:left w:val="nil"/>
              <w:bottom w:val="single" w:sz="8" w:space="0" w:color="auto"/>
              <w:right w:val="single" w:sz="8" w:space="0" w:color="auto"/>
            </w:tcBorders>
            <w:tcMar>
              <w:top w:w="0" w:type="dxa"/>
              <w:left w:w="108" w:type="dxa"/>
              <w:bottom w:w="0" w:type="dxa"/>
              <w:right w:w="108" w:type="dxa"/>
            </w:tcMar>
          </w:tcPr>
          <w:p w:rsidR="00DB2D1E" w:rsidRPr="00451078" w:rsidRDefault="00DB2D1E" w:rsidP="00745AB3">
            <w:pPr>
              <w:pStyle w:val="ListBullet3"/>
              <w:numPr>
                <w:ilvl w:val="0"/>
                <w:numId w:val="61"/>
              </w:numPr>
              <w:spacing w:line="276" w:lineRule="auto"/>
              <w:rPr>
                <w:sz w:val="18"/>
                <w:szCs w:val="18"/>
                <w:lang w:val="it-IT"/>
              </w:rPr>
            </w:pPr>
            <w:r w:rsidRPr="00451078">
              <w:rPr>
                <w:rFonts w:ascii="Tahoma" w:hAnsi="Tahoma" w:cs="Tahoma"/>
                <w:color w:val="000000"/>
                <w:sz w:val="18"/>
                <w:szCs w:val="18"/>
                <w:lang w:val="it-IT"/>
              </w:rPr>
              <w:t>Allocazione delle risorse appropriate per sostenere l</w:t>
            </w:r>
            <w:r w:rsidR="004525CA">
              <w:rPr>
                <w:rFonts w:ascii="Tahoma" w:hAnsi="Tahoma" w:cs="Tahoma"/>
                <w:color w:val="000000"/>
                <w:sz w:val="18"/>
                <w:szCs w:val="18"/>
                <w:lang w:val="it-IT"/>
              </w:rPr>
              <w:t>’</w:t>
            </w:r>
            <w:r w:rsidRPr="00451078">
              <w:rPr>
                <w:rFonts w:ascii="Tahoma" w:hAnsi="Tahoma" w:cs="Tahoma"/>
                <w:color w:val="000000"/>
                <w:sz w:val="18"/>
                <w:szCs w:val="18"/>
                <w:lang w:val="it-IT"/>
              </w:rPr>
              <w:t>impegno continuo 24x7</w:t>
            </w:r>
            <w:r w:rsidRPr="00451078">
              <w:rPr>
                <w:rFonts w:ascii="Tahoma" w:hAnsi="Tahoma" w:cs="Tahoma"/>
                <w:color w:val="000000"/>
                <w:sz w:val="18"/>
                <w:szCs w:val="18"/>
                <w:vertAlign w:val="superscript"/>
                <w:lang w:val="it-IT"/>
              </w:rPr>
              <w:t>2</w:t>
            </w:r>
          </w:p>
          <w:p w:rsidR="00DB2D1E" w:rsidRPr="00451078" w:rsidRDefault="00DB2D1E" w:rsidP="00745AB3">
            <w:pPr>
              <w:pStyle w:val="ListBullet3"/>
              <w:numPr>
                <w:ilvl w:val="0"/>
                <w:numId w:val="61"/>
              </w:numPr>
              <w:spacing w:line="276" w:lineRule="auto"/>
              <w:rPr>
                <w:sz w:val="18"/>
                <w:szCs w:val="18"/>
                <w:lang w:val="it-IT"/>
              </w:rPr>
            </w:pPr>
            <w:r w:rsidRPr="00451078">
              <w:rPr>
                <w:rFonts w:ascii="Tahoma" w:hAnsi="Tahoma" w:cs="Tahoma"/>
                <w:color w:val="000000"/>
                <w:sz w:val="18"/>
                <w:szCs w:val="18"/>
                <w:lang w:val="it-IT"/>
              </w:rPr>
              <w:t>Accesso e risposte rapide dall</w:t>
            </w:r>
            <w:r w:rsidR="004525CA">
              <w:rPr>
                <w:rFonts w:ascii="Tahoma" w:hAnsi="Tahoma" w:cs="Tahoma"/>
                <w:color w:val="000000"/>
                <w:sz w:val="18"/>
                <w:szCs w:val="18"/>
                <w:lang w:val="it-IT"/>
              </w:rPr>
              <w:t>’</w:t>
            </w:r>
            <w:r w:rsidRPr="00451078">
              <w:rPr>
                <w:rFonts w:ascii="Tahoma" w:hAnsi="Tahoma" w:cs="Tahoma"/>
                <w:color w:val="000000"/>
                <w:sz w:val="18"/>
                <w:szCs w:val="18"/>
                <w:lang w:val="it-IT"/>
              </w:rPr>
              <w:t>autorità di</w:t>
            </w:r>
            <w:r w:rsidR="00262185" w:rsidRPr="00451078">
              <w:rPr>
                <w:rFonts w:ascii="Tahoma" w:hAnsi="Tahoma" w:cs="Tahoma"/>
                <w:color w:val="000000"/>
                <w:sz w:val="18"/>
                <w:szCs w:val="18"/>
                <w:lang w:val="it-IT"/>
              </w:rPr>
              <w:t> </w:t>
            </w:r>
            <w:r w:rsidRPr="00451078">
              <w:rPr>
                <w:rFonts w:ascii="Tahoma" w:hAnsi="Tahoma" w:cs="Tahoma"/>
                <w:color w:val="000000"/>
                <w:sz w:val="18"/>
                <w:szCs w:val="18"/>
                <w:lang w:val="it-IT"/>
              </w:rPr>
              <w:t>controllo delle modifiche</w:t>
            </w:r>
          </w:p>
          <w:p w:rsidR="00DB2D1E" w:rsidRPr="00CD2451" w:rsidRDefault="00DB2D1E" w:rsidP="00745AB3">
            <w:pPr>
              <w:pStyle w:val="ListBullet3"/>
              <w:numPr>
                <w:ilvl w:val="0"/>
                <w:numId w:val="61"/>
              </w:numPr>
              <w:spacing w:line="276" w:lineRule="auto"/>
              <w:rPr>
                <w:rFonts w:ascii="Tahoma" w:hAnsi="Tahoma" w:cs="Tahoma"/>
                <w:color w:val="000000"/>
                <w:sz w:val="18"/>
                <w:szCs w:val="18"/>
              </w:rPr>
            </w:pPr>
            <w:r w:rsidRPr="00CD2451">
              <w:rPr>
                <w:rFonts w:ascii="Tahoma" w:hAnsi="Tahoma" w:cs="Tahoma"/>
                <w:color w:val="000000"/>
                <w:sz w:val="18"/>
                <w:szCs w:val="18"/>
              </w:rPr>
              <w:t>Comunicazione della</w:t>
            </w:r>
            <w:r w:rsidR="00262185" w:rsidRPr="00CD2451">
              <w:rPr>
                <w:rFonts w:ascii="Tahoma" w:hAnsi="Tahoma" w:cs="Tahoma"/>
                <w:color w:val="000000"/>
                <w:sz w:val="18"/>
                <w:szCs w:val="18"/>
              </w:rPr>
              <w:t> </w:t>
            </w:r>
            <w:r w:rsidRPr="00CD2451">
              <w:rPr>
                <w:rFonts w:ascii="Tahoma" w:hAnsi="Tahoma" w:cs="Tahoma"/>
                <w:color w:val="000000"/>
                <w:sz w:val="18"/>
                <w:szCs w:val="18"/>
              </w:rPr>
              <w:t>direzione</w:t>
            </w:r>
          </w:p>
        </w:tc>
      </w:tr>
      <w:tr w:rsidR="00DB2D1E" w:rsidRPr="00DC1102" w:rsidTr="002A6416">
        <w:tc>
          <w:tcPr>
            <w:tcW w:w="1542" w:type="dxa"/>
            <w:tcBorders>
              <w:top w:val="nil"/>
              <w:left w:val="single" w:sz="8" w:space="0" w:color="auto"/>
              <w:bottom w:val="single" w:sz="8" w:space="0" w:color="auto"/>
              <w:right w:val="single" w:sz="8" w:space="0" w:color="auto"/>
            </w:tcBorders>
            <w:tcMar>
              <w:top w:w="0" w:type="dxa"/>
              <w:left w:w="108" w:type="dxa"/>
              <w:bottom w:w="0" w:type="dxa"/>
              <w:right w:w="108" w:type="dxa"/>
            </w:tcMar>
          </w:tcPr>
          <w:p w:rsidR="00DB2D1E" w:rsidRPr="00451078" w:rsidRDefault="00DB2D1E" w:rsidP="00262185">
            <w:pPr>
              <w:pStyle w:val="tableclose"/>
              <w:spacing w:line="276" w:lineRule="auto"/>
              <w:rPr>
                <w:rFonts w:ascii="Tahoma" w:hAnsi="Tahoma" w:cs="Tahoma"/>
                <w:color w:val="000000"/>
                <w:sz w:val="18"/>
                <w:szCs w:val="18"/>
                <w:lang w:val="it-IT"/>
              </w:rPr>
            </w:pPr>
            <w:r w:rsidRPr="00451078">
              <w:rPr>
                <w:rFonts w:ascii="Tahoma" w:hAnsi="Tahoma" w:cs="Tahoma"/>
                <w:color w:val="000000"/>
                <w:sz w:val="18"/>
                <w:szCs w:val="18"/>
                <w:lang w:val="it-IT"/>
              </w:rPr>
              <w:t>B Formulazione telefonica o</w:t>
            </w:r>
            <w:r w:rsidR="00262185" w:rsidRPr="00451078">
              <w:rPr>
                <w:rFonts w:ascii="Tahoma" w:hAnsi="Tahoma" w:cs="Tahoma"/>
                <w:color w:val="000000"/>
                <w:sz w:val="18"/>
                <w:szCs w:val="18"/>
                <w:lang w:val="it-IT"/>
              </w:rPr>
              <w:t> </w:t>
            </w:r>
            <w:r w:rsidRPr="00451078">
              <w:rPr>
                <w:rFonts w:ascii="Tahoma" w:hAnsi="Tahoma" w:cs="Tahoma"/>
                <w:color w:val="000000"/>
                <w:sz w:val="18"/>
                <w:szCs w:val="18"/>
                <w:lang w:val="it-IT"/>
              </w:rPr>
              <w:t>invio tramite</w:t>
            </w:r>
            <w:r w:rsidR="00262185" w:rsidRPr="00451078">
              <w:rPr>
                <w:rFonts w:ascii="Tahoma" w:hAnsi="Tahoma" w:cs="Tahoma"/>
                <w:color w:val="000000"/>
                <w:sz w:val="18"/>
                <w:szCs w:val="18"/>
                <w:lang w:val="it-IT"/>
              </w:rPr>
              <w:t> </w:t>
            </w:r>
            <w:r w:rsidRPr="00451078">
              <w:rPr>
                <w:rFonts w:ascii="Tahoma" w:hAnsi="Tahoma" w:cs="Tahoma"/>
                <w:color w:val="000000"/>
                <w:sz w:val="18"/>
                <w:szCs w:val="18"/>
                <w:lang w:val="it-IT"/>
              </w:rPr>
              <w:t>Web</w:t>
            </w:r>
          </w:p>
        </w:tc>
        <w:tc>
          <w:tcPr>
            <w:tcW w:w="2508" w:type="dxa"/>
            <w:tcBorders>
              <w:top w:val="nil"/>
              <w:left w:val="nil"/>
              <w:bottom w:val="single" w:sz="8" w:space="0" w:color="auto"/>
              <w:right w:val="single" w:sz="8" w:space="0" w:color="auto"/>
            </w:tcBorders>
            <w:tcMar>
              <w:top w:w="0" w:type="dxa"/>
              <w:left w:w="108" w:type="dxa"/>
              <w:bottom w:w="0" w:type="dxa"/>
              <w:right w:w="108" w:type="dxa"/>
            </w:tcMar>
          </w:tcPr>
          <w:p w:rsidR="00DB2D1E" w:rsidRPr="00CD2451" w:rsidRDefault="00DB2D1E" w:rsidP="00745AB3">
            <w:pPr>
              <w:pStyle w:val="ListBullet3"/>
              <w:numPr>
                <w:ilvl w:val="0"/>
                <w:numId w:val="59"/>
              </w:numPr>
              <w:spacing w:line="276" w:lineRule="auto"/>
              <w:rPr>
                <w:sz w:val="18"/>
                <w:szCs w:val="18"/>
              </w:rPr>
            </w:pPr>
            <w:r w:rsidRPr="00CD2451">
              <w:rPr>
                <w:rFonts w:ascii="Tahoma" w:hAnsi="Tahoma" w:cs="Tahoma"/>
                <w:color w:val="000000"/>
                <w:sz w:val="18"/>
                <w:szCs w:val="18"/>
              </w:rPr>
              <w:t xml:space="preserve">Impatto commerciale moderato: </w:t>
            </w:r>
          </w:p>
          <w:p w:rsidR="00DB2D1E" w:rsidRPr="00451078" w:rsidRDefault="00DB2D1E" w:rsidP="00745AB3">
            <w:pPr>
              <w:pStyle w:val="ListBullet3"/>
              <w:numPr>
                <w:ilvl w:val="0"/>
                <w:numId w:val="59"/>
              </w:numPr>
              <w:spacing w:line="276" w:lineRule="auto"/>
              <w:rPr>
                <w:sz w:val="18"/>
                <w:szCs w:val="18"/>
                <w:lang w:val="it-IT"/>
              </w:rPr>
            </w:pPr>
            <w:r w:rsidRPr="00451078">
              <w:rPr>
                <w:rFonts w:ascii="Tahoma" w:hAnsi="Tahoma" w:cs="Tahoma"/>
                <w:color w:val="000000"/>
                <w:sz w:val="18"/>
                <w:szCs w:val="18"/>
                <w:lang w:val="it-IT"/>
              </w:rPr>
              <w:t>Perdita o degradazione moderata dei servizi e possibilità di continuare il lavoro in modo meno efficiente.</w:t>
            </w:r>
          </w:p>
          <w:p w:rsidR="00DB2D1E" w:rsidRPr="00451078" w:rsidRDefault="00DB2D1E" w:rsidP="00745AB3">
            <w:pPr>
              <w:pStyle w:val="ListBullet3"/>
              <w:numPr>
                <w:ilvl w:val="0"/>
                <w:numId w:val="59"/>
              </w:numPr>
              <w:spacing w:line="276" w:lineRule="auto"/>
              <w:rPr>
                <w:rFonts w:ascii="Tahoma" w:hAnsi="Tahoma" w:cs="Tahoma"/>
                <w:color w:val="000000"/>
                <w:sz w:val="18"/>
                <w:szCs w:val="18"/>
                <w:lang w:val="it-IT"/>
              </w:rPr>
            </w:pPr>
            <w:r w:rsidRPr="00451078">
              <w:rPr>
                <w:rFonts w:ascii="Tahoma" w:hAnsi="Tahoma" w:cs="Tahoma"/>
                <w:color w:val="000000"/>
                <w:sz w:val="18"/>
                <w:szCs w:val="18"/>
                <w:lang w:val="it-IT"/>
              </w:rPr>
              <w:t>Necessità dell</w:t>
            </w:r>
            <w:r w:rsidR="004525CA">
              <w:rPr>
                <w:rFonts w:ascii="Tahoma" w:hAnsi="Tahoma" w:cs="Tahoma"/>
                <w:color w:val="000000"/>
                <w:sz w:val="18"/>
                <w:szCs w:val="18"/>
                <w:lang w:val="it-IT"/>
              </w:rPr>
              <w:t>’</w:t>
            </w:r>
            <w:r w:rsidRPr="00451078">
              <w:rPr>
                <w:rFonts w:ascii="Tahoma" w:hAnsi="Tahoma" w:cs="Tahoma"/>
                <w:color w:val="000000"/>
                <w:sz w:val="18"/>
                <w:szCs w:val="18"/>
                <w:lang w:val="it-IT"/>
              </w:rPr>
              <w:t>intervento entro 2 Ore Lavorative</w:t>
            </w:r>
            <w:r w:rsidRPr="00451078">
              <w:rPr>
                <w:rFonts w:ascii="Tahoma" w:hAnsi="Tahoma" w:cs="Tahoma"/>
                <w:color w:val="000000"/>
                <w:sz w:val="18"/>
                <w:szCs w:val="18"/>
                <w:vertAlign w:val="superscript"/>
                <w:lang w:val="it-IT"/>
              </w:rPr>
              <w:t>1</w:t>
            </w:r>
          </w:p>
        </w:tc>
        <w:tc>
          <w:tcPr>
            <w:tcW w:w="2880" w:type="dxa"/>
            <w:tcBorders>
              <w:top w:val="nil"/>
              <w:left w:val="nil"/>
              <w:bottom w:val="single" w:sz="8" w:space="0" w:color="auto"/>
              <w:right w:val="single" w:sz="8" w:space="0" w:color="auto"/>
            </w:tcBorders>
            <w:tcMar>
              <w:top w:w="0" w:type="dxa"/>
              <w:left w:w="108" w:type="dxa"/>
              <w:bottom w:w="0" w:type="dxa"/>
              <w:right w:w="108" w:type="dxa"/>
            </w:tcMar>
          </w:tcPr>
          <w:p w:rsidR="00DB2D1E" w:rsidRPr="00451078" w:rsidRDefault="00DB2D1E" w:rsidP="00745AB3">
            <w:pPr>
              <w:pStyle w:val="ListBullet3"/>
              <w:numPr>
                <w:ilvl w:val="0"/>
                <w:numId w:val="60"/>
              </w:numPr>
              <w:spacing w:line="276" w:lineRule="auto"/>
              <w:rPr>
                <w:sz w:val="18"/>
                <w:szCs w:val="18"/>
                <w:lang w:val="it-IT"/>
              </w:rPr>
            </w:pPr>
            <w:r w:rsidRPr="00451078">
              <w:rPr>
                <w:rFonts w:ascii="Tahoma" w:hAnsi="Tahoma" w:cs="Tahoma"/>
                <w:color w:val="000000"/>
                <w:sz w:val="18"/>
                <w:szCs w:val="18"/>
                <w:lang w:val="it-IT"/>
              </w:rPr>
              <w:t>Risposta alla prima chiamata in 2 ore o meno</w:t>
            </w:r>
          </w:p>
          <w:p w:rsidR="00DB2D1E" w:rsidRPr="00451078" w:rsidRDefault="00DB2D1E" w:rsidP="00745AB3">
            <w:pPr>
              <w:pStyle w:val="ListBullet3"/>
              <w:numPr>
                <w:ilvl w:val="0"/>
                <w:numId w:val="60"/>
              </w:numPr>
              <w:spacing w:line="276" w:lineRule="auto"/>
              <w:rPr>
                <w:sz w:val="18"/>
                <w:szCs w:val="18"/>
                <w:lang w:val="it-IT"/>
              </w:rPr>
            </w:pPr>
            <w:r w:rsidRPr="00451078">
              <w:rPr>
                <w:rFonts w:ascii="Tahoma" w:hAnsi="Tahoma" w:cs="Tahoma"/>
                <w:color w:val="000000"/>
                <w:sz w:val="18"/>
                <w:szCs w:val="18"/>
                <w:lang w:val="it-IT"/>
              </w:rPr>
              <w:t>Impegno solo durante le Ore Lavorative</w:t>
            </w:r>
            <w:r w:rsidRPr="00451078">
              <w:rPr>
                <w:rFonts w:ascii="Tahoma" w:hAnsi="Tahoma" w:cs="Tahoma"/>
                <w:color w:val="000000"/>
                <w:sz w:val="18"/>
                <w:szCs w:val="18"/>
                <w:vertAlign w:val="superscript"/>
                <w:lang w:val="it-IT"/>
              </w:rPr>
              <w:t>1</w:t>
            </w:r>
          </w:p>
          <w:p w:rsidR="00DB2D1E" w:rsidRPr="00451078" w:rsidRDefault="00DB2D1E" w:rsidP="00DE73D4">
            <w:pPr>
              <w:pStyle w:val="ListBullet3"/>
              <w:tabs>
                <w:tab w:val="clear" w:pos="1080"/>
                <w:tab w:val="left" w:pos="720"/>
              </w:tabs>
              <w:spacing w:line="276" w:lineRule="auto"/>
              <w:ind w:left="529" w:hanging="450"/>
              <w:rPr>
                <w:rFonts w:ascii="Tahoma" w:hAnsi="Tahoma" w:cs="Tahoma"/>
                <w:color w:val="000000"/>
                <w:sz w:val="18"/>
                <w:szCs w:val="18"/>
                <w:lang w:val="it-IT"/>
              </w:rPr>
            </w:pPr>
          </w:p>
        </w:tc>
        <w:tc>
          <w:tcPr>
            <w:tcW w:w="2430" w:type="dxa"/>
            <w:tcBorders>
              <w:top w:val="nil"/>
              <w:left w:val="nil"/>
              <w:bottom w:val="single" w:sz="8" w:space="0" w:color="auto"/>
              <w:right w:val="single" w:sz="8" w:space="0" w:color="auto"/>
            </w:tcBorders>
            <w:tcMar>
              <w:top w:w="0" w:type="dxa"/>
              <w:left w:w="108" w:type="dxa"/>
              <w:bottom w:w="0" w:type="dxa"/>
              <w:right w:w="108" w:type="dxa"/>
            </w:tcMar>
          </w:tcPr>
          <w:p w:rsidR="00DB2D1E" w:rsidRPr="00451078" w:rsidRDefault="00DB2D1E" w:rsidP="00745AB3">
            <w:pPr>
              <w:pStyle w:val="ListBullet3"/>
              <w:numPr>
                <w:ilvl w:val="0"/>
                <w:numId w:val="61"/>
              </w:numPr>
              <w:spacing w:line="276" w:lineRule="auto"/>
              <w:rPr>
                <w:sz w:val="18"/>
                <w:szCs w:val="18"/>
                <w:lang w:val="it-IT"/>
              </w:rPr>
            </w:pPr>
            <w:r w:rsidRPr="00451078">
              <w:rPr>
                <w:rFonts w:ascii="Tahoma" w:hAnsi="Tahoma" w:cs="Tahoma"/>
                <w:color w:val="000000"/>
                <w:sz w:val="18"/>
                <w:szCs w:val="18"/>
                <w:lang w:val="it-IT"/>
              </w:rPr>
              <w:t>Allocazione di risorse appropriate per sostenere l</w:t>
            </w:r>
            <w:r w:rsidR="004525CA">
              <w:rPr>
                <w:rFonts w:ascii="Tahoma" w:hAnsi="Tahoma" w:cs="Tahoma"/>
                <w:color w:val="000000"/>
                <w:sz w:val="18"/>
                <w:szCs w:val="18"/>
                <w:lang w:val="it-IT"/>
              </w:rPr>
              <w:t>’</w:t>
            </w:r>
            <w:r w:rsidRPr="00451078">
              <w:rPr>
                <w:rFonts w:ascii="Tahoma" w:hAnsi="Tahoma" w:cs="Tahoma"/>
                <w:color w:val="000000"/>
                <w:sz w:val="18"/>
                <w:szCs w:val="18"/>
                <w:lang w:val="it-IT"/>
              </w:rPr>
              <w:t>impegno continuo durante le Ore Lavorative</w:t>
            </w:r>
            <w:r w:rsidRPr="00451078">
              <w:rPr>
                <w:rFonts w:ascii="Tahoma" w:hAnsi="Tahoma" w:cs="Tahoma"/>
                <w:color w:val="000000"/>
                <w:sz w:val="18"/>
                <w:szCs w:val="18"/>
                <w:vertAlign w:val="superscript"/>
                <w:lang w:val="it-IT"/>
              </w:rPr>
              <w:t>1</w:t>
            </w:r>
          </w:p>
          <w:p w:rsidR="00DB2D1E" w:rsidRPr="00451078" w:rsidRDefault="00DB2D1E" w:rsidP="00745AB3">
            <w:pPr>
              <w:pStyle w:val="ListBullet3"/>
              <w:numPr>
                <w:ilvl w:val="0"/>
                <w:numId w:val="61"/>
              </w:numPr>
              <w:spacing w:line="276" w:lineRule="auto"/>
              <w:rPr>
                <w:rFonts w:ascii="Tahoma" w:hAnsi="Tahoma" w:cs="Tahoma"/>
                <w:color w:val="000000"/>
                <w:sz w:val="18"/>
                <w:szCs w:val="18"/>
                <w:lang w:val="it-IT"/>
              </w:rPr>
            </w:pPr>
            <w:r w:rsidRPr="00451078">
              <w:rPr>
                <w:rFonts w:ascii="Tahoma" w:hAnsi="Tahoma" w:cs="Tahoma"/>
                <w:color w:val="000000"/>
                <w:sz w:val="18"/>
                <w:szCs w:val="18"/>
                <w:lang w:val="it-IT"/>
              </w:rPr>
              <w:t>Accesso e risposta dall</w:t>
            </w:r>
            <w:r w:rsidR="004525CA">
              <w:rPr>
                <w:rFonts w:ascii="Tahoma" w:hAnsi="Tahoma" w:cs="Tahoma"/>
                <w:color w:val="000000"/>
                <w:sz w:val="18"/>
                <w:szCs w:val="18"/>
                <w:lang w:val="it-IT"/>
              </w:rPr>
              <w:t>’</w:t>
            </w:r>
            <w:r w:rsidRPr="00451078">
              <w:rPr>
                <w:rFonts w:ascii="Tahoma" w:hAnsi="Tahoma" w:cs="Tahoma"/>
                <w:color w:val="000000"/>
                <w:sz w:val="18"/>
                <w:szCs w:val="18"/>
                <w:lang w:val="it-IT"/>
              </w:rPr>
              <w:t>autorità preposta al controllo delle modifiche entro 4 Ore Lavorative</w:t>
            </w:r>
            <w:r w:rsidRPr="00451078">
              <w:rPr>
                <w:rFonts w:ascii="Tahoma" w:hAnsi="Tahoma" w:cs="Tahoma"/>
                <w:color w:val="000000"/>
                <w:sz w:val="18"/>
                <w:szCs w:val="18"/>
                <w:vertAlign w:val="superscript"/>
                <w:lang w:val="it-IT"/>
              </w:rPr>
              <w:t>1</w:t>
            </w:r>
          </w:p>
        </w:tc>
      </w:tr>
      <w:tr w:rsidR="00DB2D1E" w:rsidRPr="003410C7" w:rsidTr="002A6416">
        <w:tc>
          <w:tcPr>
            <w:tcW w:w="1542" w:type="dxa"/>
            <w:tcBorders>
              <w:top w:val="nil"/>
              <w:left w:val="single" w:sz="8" w:space="0" w:color="auto"/>
              <w:bottom w:val="single" w:sz="8" w:space="0" w:color="auto"/>
              <w:right w:val="single" w:sz="8" w:space="0" w:color="auto"/>
            </w:tcBorders>
            <w:tcMar>
              <w:top w:w="0" w:type="dxa"/>
              <w:left w:w="108" w:type="dxa"/>
              <w:bottom w:w="0" w:type="dxa"/>
              <w:right w:w="108" w:type="dxa"/>
            </w:tcMar>
          </w:tcPr>
          <w:p w:rsidR="00DB2D1E" w:rsidRPr="00451078" w:rsidRDefault="00DB2D1E" w:rsidP="00262185">
            <w:pPr>
              <w:pStyle w:val="tableclose"/>
              <w:spacing w:line="276" w:lineRule="auto"/>
              <w:rPr>
                <w:rFonts w:ascii="Tahoma" w:hAnsi="Tahoma" w:cs="Tahoma"/>
                <w:color w:val="000000"/>
                <w:sz w:val="18"/>
                <w:szCs w:val="18"/>
                <w:lang w:val="it-IT"/>
              </w:rPr>
            </w:pPr>
            <w:r w:rsidRPr="00451078">
              <w:rPr>
                <w:rFonts w:ascii="Tahoma" w:hAnsi="Tahoma" w:cs="Tahoma"/>
                <w:color w:val="000000"/>
                <w:sz w:val="18"/>
                <w:szCs w:val="18"/>
                <w:lang w:val="it-IT"/>
              </w:rPr>
              <w:t>C Formulazione telefonica o</w:t>
            </w:r>
            <w:r w:rsidR="00262185" w:rsidRPr="00451078">
              <w:rPr>
                <w:rFonts w:ascii="Tahoma" w:hAnsi="Tahoma" w:cs="Tahoma"/>
                <w:color w:val="000000"/>
                <w:sz w:val="18"/>
                <w:szCs w:val="18"/>
                <w:lang w:val="it-IT"/>
              </w:rPr>
              <w:t> </w:t>
            </w:r>
            <w:r w:rsidRPr="00451078">
              <w:rPr>
                <w:rFonts w:ascii="Tahoma" w:hAnsi="Tahoma" w:cs="Tahoma"/>
                <w:color w:val="000000"/>
                <w:sz w:val="18"/>
                <w:szCs w:val="18"/>
                <w:lang w:val="it-IT"/>
              </w:rPr>
              <w:t>invio tramite</w:t>
            </w:r>
            <w:r w:rsidR="00262185" w:rsidRPr="00451078">
              <w:rPr>
                <w:rFonts w:ascii="Tahoma" w:hAnsi="Tahoma" w:cs="Tahoma"/>
                <w:color w:val="000000"/>
                <w:sz w:val="18"/>
                <w:szCs w:val="18"/>
                <w:lang w:val="it-IT"/>
              </w:rPr>
              <w:t> </w:t>
            </w:r>
            <w:r w:rsidRPr="00451078">
              <w:rPr>
                <w:rFonts w:ascii="Tahoma" w:hAnsi="Tahoma" w:cs="Tahoma"/>
                <w:color w:val="000000"/>
                <w:sz w:val="18"/>
                <w:szCs w:val="18"/>
                <w:lang w:val="it-IT"/>
              </w:rPr>
              <w:t>Web</w:t>
            </w:r>
          </w:p>
        </w:tc>
        <w:tc>
          <w:tcPr>
            <w:tcW w:w="2508" w:type="dxa"/>
            <w:tcBorders>
              <w:top w:val="nil"/>
              <w:left w:val="nil"/>
              <w:bottom w:val="single" w:sz="8" w:space="0" w:color="auto"/>
              <w:right w:val="single" w:sz="8" w:space="0" w:color="auto"/>
            </w:tcBorders>
            <w:tcMar>
              <w:top w:w="0" w:type="dxa"/>
              <w:left w:w="108" w:type="dxa"/>
              <w:bottom w:w="0" w:type="dxa"/>
              <w:right w:w="108" w:type="dxa"/>
            </w:tcMar>
          </w:tcPr>
          <w:p w:rsidR="00DB2D1E" w:rsidRPr="00CD2451" w:rsidRDefault="00DB2D1E" w:rsidP="00745AB3">
            <w:pPr>
              <w:pStyle w:val="ListBullet3"/>
              <w:numPr>
                <w:ilvl w:val="0"/>
                <w:numId w:val="59"/>
              </w:numPr>
              <w:spacing w:line="276" w:lineRule="auto"/>
              <w:rPr>
                <w:sz w:val="18"/>
                <w:szCs w:val="18"/>
              </w:rPr>
            </w:pPr>
            <w:r w:rsidRPr="00CD2451">
              <w:rPr>
                <w:rFonts w:ascii="Tahoma" w:hAnsi="Tahoma" w:cs="Tahoma"/>
                <w:color w:val="000000"/>
                <w:sz w:val="18"/>
                <w:szCs w:val="18"/>
              </w:rPr>
              <w:t xml:space="preserve">Impatto commerciale minimo </w:t>
            </w:r>
          </w:p>
          <w:p w:rsidR="00DB2D1E" w:rsidRPr="00451078" w:rsidRDefault="00DB2D1E" w:rsidP="00745AB3">
            <w:pPr>
              <w:pStyle w:val="ListBullet3"/>
              <w:numPr>
                <w:ilvl w:val="0"/>
                <w:numId w:val="59"/>
              </w:numPr>
              <w:spacing w:line="276" w:lineRule="auto"/>
              <w:rPr>
                <w:sz w:val="18"/>
                <w:szCs w:val="18"/>
                <w:lang w:val="it-IT"/>
              </w:rPr>
            </w:pPr>
            <w:r w:rsidRPr="00451078">
              <w:rPr>
                <w:rFonts w:ascii="Tahoma" w:hAnsi="Tahoma" w:cs="Tahoma"/>
                <w:color w:val="000000"/>
                <w:sz w:val="18"/>
                <w:szCs w:val="18"/>
                <w:lang w:val="it-IT"/>
              </w:rPr>
              <w:t>Funzionamento sostanzialmente nella norma, in alcuni casi con qualche minimo impedimento dei servizi.</w:t>
            </w:r>
          </w:p>
          <w:p w:rsidR="00DB2D1E" w:rsidRPr="00451078" w:rsidRDefault="00DB2D1E" w:rsidP="00745AB3">
            <w:pPr>
              <w:pStyle w:val="ListBullet3"/>
              <w:numPr>
                <w:ilvl w:val="0"/>
                <w:numId w:val="59"/>
              </w:numPr>
              <w:spacing w:line="276" w:lineRule="auto"/>
              <w:rPr>
                <w:rFonts w:ascii="Tahoma" w:hAnsi="Tahoma" w:cs="Tahoma"/>
                <w:color w:val="000000"/>
                <w:sz w:val="18"/>
                <w:szCs w:val="18"/>
                <w:lang w:val="it-IT"/>
              </w:rPr>
            </w:pPr>
            <w:r w:rsidRPr="00451078">
              <w:rPr>
                <w:rFonts w:ascii="Tahoma" w:hAnsi="Tahoma" w:cs="Tahoma"/>
                <w:color w:val="000000"/>
                <w:sz w:val="18"/>
                <w:szCs w:val="18"/>
                <w:lang w:val="it-IT"/>
              </w:rPr>
              <w:t>Necessità dell</w:t>
            </w:r>
            <w:r w:rsidR="004525CA">
              <w:rPr>
                <w:rFonts w:ascii="Tahoma" w:hAnsi="Tahoma" w:cs="Tahoma"/>
                <w:color w:val="000000"/>
                <w:sz w:val="18"/>
                <w:szCs w:val="18"/>
                <w:lang w:val="it-IT"/>
              </w:rPr>
              <w:t>’</w:t>
            </w:r>
            <w:r w:rsidRPr="00451078">
              <w:rPr>
                <w:rFonts w:ascii="Tahoma" w:hAnsi="Tahoma" w:cs="Tahoma"/>
                <w:color w:val="000000"/>
                <w:sz w:val="18"/>
                <w:szCs w:val="18"/>
                <w:lang w:val="it-IT"/>
              </w:rPr>
              <w:t>intervento entro 4 Ore Lavorative</w:t>
            </w:r>
            <w:r w:rsidRPr="00451078">
              <w:rPr>
                <w:rFonts w:ascii="Tahoma" w:hAnsi="Tahoma" w:cs="Tahoma"/>
                <w:color w:val="000000"/>
                <w:sz w:val="18"/>
                <w:szCs w:val="18"/>
                <w:vertAlign w:val="superscript"/>
                <w:lang w:val="it-IT"/>
              </w:rPr>
              <w:t>1</w:t>
            </w:r>
          </w:p>
        </w:tc>
        <w:tc>
          <w:tcPr>
            <w:tcW w:w="2880" w:type="dxa"/>
            <w:tcBorders>
              <w:top w:val="nil"/>
              <w:left w:val="nil"/>
              <w:bottom w:val="single" w:sz="8" w:space="0" w:color="auto"/>
              <w:right w:val="single" w:sz="8" w:space="0" w:color="auto"/>
            </w:tcBorders>
            <w:tcMar>
              <w:top w:w="0" w:type="dxa"/>
              <w:left w:w="108" w:type="dxa"/>
              <w:bottom w:w="0" w:type="dxa"/>
              <w:right w:w="108" w:type="dxa"/>
            </w:tcMar>
          </w:tcPr>
          <w:p w:rsidR="00DB2D1E" w:rsidRPr="00451078" w:rsidRDefault="00DB2D1E" w:rsidP="00745AB3">
            <w:pPr>
              <w:pStyle w:val="ListBullet3"/>
              <w:numPr>
                <w:ilvl w:val="0"/>
                <w:numId w:val="60"/>
              </w:numPr>
              <w:spacing w:line="276" w:lineRule="auto"/>
              <w:rPr>
                <w:sz w:val="18"/>
                <w:szCs w:val="18"/>
                <w:lang w:val="it-IT"/>
              </w:rPr>
            </w:pPr>
            <w:r w:rsidRPr="00451078">
              <w:rPr>
                <w:rFonts w:ascii="Tahoma" w:hAnsi="Tahoma" w:cs="Tahoma"/>
                <w:color w:val="000000"/>
                <w:sz w:val="18"/>
                <w:szCs w:val="18"/>
                <w:lang w:val="it-IT"/>
              </w:rPr>
              <w:t>Risposta alla prima chiamata in 4 ore o meno</w:t>
            </w:r>
          </w:p>
          <w:p w:rsidR="00DB2D1E" w:rsidRPr="00451078" w:rsidRDefault="00DB2D1E" w:rsidP="00745AB3">
            <w:pPr>
              <w:pStyle w:val="ListBullet3"/>
              <w:numPr>
                <w:ilvl w:val="0"/>
                <w:numId w:val="60"/>
              </w:numPr>
              <w:spacing w:line="276" w:lineRule="auto"/>
              <w:rPr>
                <w:sz w:val="18"/>
                <w:szCs w:val="18"/>
                <w:lang w:val="it-IT"/>
              </w:rPr>
            </w:pPr>
            <w:r w:rsidRPr="00451078">
              <w:rPr>
                <w:rFonts w:ascii="Tahoma" w:hAnsi="Tahoma" w:cs="Tahoma"/>
                <w:color w:val="000000"/>
                <w:sz w:val="18"/>
                <w:szCs w:val="18"/>
                <w:lang w:val="it-IT"/>
              </w:rPr>
              <w:t>Impegno solo durante le Ore Lavorative</w:t>
            </w:r>
            <w:r w:rsidRPr="00451078">
              <w:rPr>
                <w:rFonts w:ascii="Tahoma" w:hAnsi="Tahoma" w:cs="Tahoma"/>
                <w:color w:val="000000"/>
                <w:sz w:val="18"/>
                <w:szCs w:val="18"/>
                <w:vertAlign w:val="superscript"/>
                <w:lang w:val="it-IT"/>
              </w:rPr>
              <w:t>1</w:t>
            </w:r>
          </w:p>
          <w:p w:rsidR="00DB2D1E" w:rsidRPr="00451078" w:rsidRDefault="00DB2D1E" w:rsidP="00DE73D4">
            <w:pPr>
              <w:pStyle w:val="tableclose"/>
              <w:spacing w:line="276" w:lineRule="auto"/>
              <w:ind w:left="529" w:hanging="450"/>
              <w:rPr>
                <w:rFonts w:ascii="Tahoma" w:hAnsi="Tahoma" w:cs="Tahoma"/>
                <w:color w:val="000000"/>
                <w:sz w:val="18"/>
                <w:szCs w:val="18"/>
                <w:lang w:val="it-IT"/>
              </w:rPr>
            </w:pPr>
          </w:p>
        </w:tc>
        <w:tc>
          <w:tcPr>
            <w:tcW w:w="2430" w:type="dxa"/>
            <w:tcBorders>
              <w:top w:val="nil"/>
              <w:left w:val="nil"/>
              <w:bottom w:val="single" w:sz="8" w:space="0" w:color="auto"/>
              <w:right w:val="single" w:sz="8" w:space="0" w:color="auto"/>
            </w:tcBorders>
            <w:tcMar>
              <w:top w:w="0" w:type="dxa"/>
              <w:left w:w="108" w:type="dxa"/>
              <w:bottom w:w="0" w:type="dxa"/>
              <w:right w:w="108" w:type="dxa"/>
            </w:tcMar>
          </w:tcPr>
          <w:p w:rsidR="00DB2D1E" w:rsidRPr="00451078" w:rsidRDefault="00DB2D1E" w:rsidP="00745AB3">
            <w:pPr>
              <w:pStyle w:val="ListBullet3"/>
              <w:numPr>
                <w:ilvl w:val="0"/>
                <w:numId w:val="61"/>
              </w:numPr>
              <w:spacing w:line="276" w:lineRule="auto"/>
              <w:rPr>
                <w:sz w:val="18"/>
                <w:szCs w:val="18"/>
                <w:lang w:val="it-IT"/>
              </w:rPr>
            </w:pPr>
            <w:r w:rsidRPr="00451078">
              <w:rPr>
                <w:rFonts w:ascii="Tahoma" w:hAnsi="Tahoma" w:cs="Tahoma"/>
                <w:color w:val="000000"/>
                <w:sz w:val="18"/>
                <w:szCs w:val="18"/>
                <w:lang w:val="it-IT"/>
              </w:rPr>
              <w:t>Informazioni accurate da parte di chi segue il</w:t>
            </w:r>
            <w:r w:rsidR="00262185" w:rsidRPr="00451078">
              <w:rPr>
                <w:rFonts w:ascii="Tahoma" w:hAnsi="Tahoma" w:cs="Tahoma"/>
                <w:color w:val="000000"/>
                <w:sz w:val="18"/>
                <w:szCs w:val="18"/>
                <w:lang w:val="it-IT"/>
              </w:rPr>
              <w:t> </w:t>
            </w:r>
            <w:r w:rsidRPr="00451078">
              <w:rPr>
                <w:rFonts w:ascii="Tahoma" w:hAnsi="Tahoma" w:cs="Tahoma"/>
                <w:color w:val="000000"/>
                <w:sz w:val="18"/>
                <w:szCs w:val="18"/>
                <w:lang w:val="it-IT"/>
              </w:rPr>
              <w:t>caso</w:t>
            </w:r>
          </w:p>
          <w:p w:rsidR="00DB2D1E" w:rsidRPr="00CD2451" w:rsidRDefault="00DB2D1E" w:rsidP="00745AB3">
            <w:pPr>
              <w:pStyle w:val="ListBullet3"/>
              <w:numPr>
                <w:ilvl w:val="0"/>
                <w:numId w:val="61"/>
              </w:numPr>
              <w:spacing w:line="276" w:lineRule="auto"/>
              <w:rPr>
                <w:rFonts w:ascii="Tahoma" w:hAnsi="Tahoma" w:cs="Tahoma"/>
                <w:color w:val="000000"/>
                <w:sz w:val="18"/>
                <w:szCs w:val="18"/>
              </w:rPr>
            </w:pPr>
            <w:r w:rsidRPr="00CD2451">
              <w:rPr>
                <w:rFonts w:ascii="Tahoma" w:hAnsi="Tahoma" w:cs="Tahoma"/>
                <w:color w:val="000000"/>
                <w:sz w:val="18"/>
                <w:szCs w:val="18"/>
              </w:rPr>
              <w:t>Risposta entro 24 ore.</w:t>
            </w:r>
          </w:p>
        </w:tc>
      </w:tr>
    </w:tbl>
    <w:p w:rsidR="00DB2D1E" w:rsidRPr="00451078" w:rsidRDefault="00DB2D1E" w:rsidP="00DB2D1E">
      <w:pPr>
        <w:pStyle w:val="tableclose"/>
        <w:rPr>
          <w:sz w:val="16"/>
          <w:szCs w:val="16"/>
          <w:lang w:val="it-IT"/>
        </w:rPr>
      </w:pPr>
      <w:r w:rsidRPr="00451078">
        <w:rPr>
          <w:rFonts w:ascii="Tahoma" w:hAnsi="Tahoma" w:cs="Tahoma"/>
          <w:i/>
          <w:color w:val="000000"/>
          <w:sz w:val="16"/>
          <w:szCs w:val="16"/>
          <w:vertAlign w:val="superscript"/>
          <w:lang w:val="it-IT"/>
        </w:rPr>
        <w:t>1</w:t>
      </w:r>
      <w:r w:rsidRPr="00451078">
        <w:rPr>
          <w:rFonts w:ascii="Tahoma" w:hAnsi="Tahoma" w:cs="Tahoma"/>
          <w:i/>
          <w:color w:val="000000"/>
          <w:sz w:val="16"/>
          <w:szCs w:val="16"/>
          <w:lang w:val="it-IT"/>
        </w:rPr>
        <w:t xml:space="preserve"> Le Ore Lavorative sono definite su base locale.</w:t>
      </w:r>
    </w:p>
    <w:p w:rsidR="00DB2D1E" w:rsidRPr="00451078" w:rsidRDefault="00DB2D1E" w:rsidP="00F42FB8">
      <w:pPr>
        <w:pStyle w:val="tableclose"/>
        <w:rPr>
          <w:sz w:val="16"/>
          <w:szCs w:val="16"/>
          <w:lang w:val="it-IT"/>
        </w:rPr>
      </w:pPr>
      <w:r w:rsidRPr="00451078">
        <w:rPr>
          <w:rFonts w:ascii="Tahoma" w:hAnsi="Tahoma" w:cs="Tahoma"/>
          <w:i/>
          <w:color w:val="000000"/>
          <w:sz w:val="16"/>
          <w:szCs w:val="16"/>
          <w:vertAlign w:val="superscript"/>
          <w:lang w:val="it-IT"/>
        </w:rPr>
        <w:t>2</w:t>
      </w:r>
      <w:r w:rsidRPr="00451078">
        <w:rPr>
          <w:rFonts w:ascii="Tahoma" w:hAnsi="Tahoma" w:cs="Tahoma"/>
          <w:i/>
          <w:color w:val="000000"/>
          <w:sz w:val="16"/>
          <w:szCs w:val="16"/>
          <w:lang w:val="it-IT"/>
        </w:rPr>
        <w:t xml:space="preserve"> È possibile che Microsoft riduca il livello di gravità se la società non è in grado di fornire risorse o risposte adeguate a supporto dell</w:t>
      </w:r>
      <w:r w:rsidR="004525CA">
        <w:rPr>
          <w:rFonts w:ascii="Tahoma" w:hAnsi="Tahoma" w:cs="Tahoma"/>
          <w:i/>
          <w:color w:val="000000"/>
          <w:sz w:val="16"/>
          <w:szCs w:val="16"/>
          <w:lang w:val="it-IT"/>
        </w:rPr>
        <w:t>’</w:t>
      </w:r>
      <w:r w:rsidRPr="00451078">
        <w:rPr>
          <w:rFonts w:ascii="Tahoma" w:hAnsi="Tahoma" w:cs="Tahoma"/>
          <w:i/>
          <w:color w:val="000000"/>
          <w:sz w:val="16"/>
          <w:szCs w:val="16"/>
          <w:lang w:val="it-IT"/>
        </w:rPr>
        <w:t>impegno di Microsoft volto a risolvere il problema.</w:t>
      </w:r>
    </w:p>
    <w:p w:rsidR="00DB2D1E" w:rsidRPr="00EE2B09" w:rsidRDefault="00DB2D1E" w:rsidP="00F42FB8">
      <w:pPr>
        <w:rPr>
          <w:sz w:val="20"/>
          <w:szCs w:val="20"/>
          <w:lang w:val="it-IT"/>
        </w:rPr>
      </w:pPr>
    </w:p>
    <w:p w:rsidR="00DB2D1E" w:rsidRPr="00451078" w:rsidRDefault="00DB2D1E" w:rsidP="00DB2D1E">
      <w:pPr>
        <w:spacing w:after="120"/>
        <w:rPr>
          <w:lang w:val="it-IT"/>
        </w:rPr>
      </w:pPr>
      <w:r w:rsidRPr="00451078">
        <w:rPr>
          <w:lang w:val="it-IT"/>
        </w:rPr>
        <w:t xml:space="preserve">Il servizio </w:t>
      </w:r>
      <w:r w:rsidRPr="00451078">
        <w:rPr>
          <w:rFonts w:cs="Tahoma"/>
          <w:b/>
          <w:bCs/>
          <w:color w:val="000000"/>
          <w:szCs w:val="18"/>
          <w:lang w:val="it-IT"/>
        </w:rPr>
        <w:t>Information Services</w:t>
      </w:r>
      <w:r w:rsidRPr="00451078">
        <w:rPr>
          <w:rFonts w:cs="Tahoma"/>
          <w:color w:val="000000"/>
          <w:szCs w:val="18"/>
          <w:lang w:val="it-IT"/>
        </w:rPr>
        <w:t xml:space="preserve"> include l</w:t>
      </w:r>
      <w:r w:rsidR="004525CA">
        <w:rPr>
          <w:rFonts w:cs="Tahoma"/>
          <w:color w:val="000000"/>
          <w:szCs w:val="18"/>
          <w:lang w:val="it-IT"/>
        </w:rPr>
        <w:t>’</w:t>
      </w:r>
      <w:r w:rsidRPr="00451078">
        <w:rPr>
          <w:rFonts w:cs="Tahoma"/>
          <w:color w:val="000000"/>
          <w:szCs w:val="18"/>
          <w:lang w:val="it-IT"/>
        </w:rPr>
        <w:t>accesso al sito Web Premier e a Webcast di supporto pianificati su base periodica condotte da manager, sviluppatori ed esperti del programma Microsoft che forniscono informazioni chiave sulla tecnologia Microsoft.</w:t>
      </w:r>
    </w:p>
    <w:p w:rsidR="00DB2D1E" w:rsidRDefault="00DB2D1E" w:rsidP="00DB2D1E">
      <w:pPr>
        <w:rPr>
          <w:rFonts w:cs="Tahoma"/>
          <w:color w:val="000000"/>
          <w:szCs w:val="18"/>
          <w:lang w:val="it-IT"/>
        </w:rPr>
      </w:pPr>
      <w:r w:rsidRPr="00451078">
        <w:rPr>
          <w:lang w:val="it-IT"/>
        </w:rPr>
        <w:t xml:space="preserve">Le </w:t>
      </w:r>
      <w:r w:rsidRPr="00451078">
        <w:rPr>
          <w:rFonts w:cs="Tahoma"/>
          <w:b/>
          <w:bCs/>
          <w:color w:val="000000"/>
          <w:szCs w:val="18"/>
          <w:lang w:val="it-IT"/>
        </w:rPr>
        <w:t xml:space="preserve">Ore di Aggiunta </w:t>
      </w:r>
      <w:r w:rsidRPr="00451078">
        <w:rPr>
          <w:rFonts w:cs="Tahoma"/>
          <w:color w:val="000000"/>
          <w:szCs w:val="18"/>
          <w:lang w:val="it-IT"/>
        </w:rPr>
        <w:t xml:space="preserve">possono essere utilizzate per le Attività Proattive di Supporto (Support Assistance) o il Supporto per la Risoluzione dei Problemi. </w:t>
      </w:r>
    </w:p>
    <w:p w:rsidR="0027060A" w:rsidRDefault="0027060A" w:rsidP="00DB2D1E">
      <w:pPr>
        <w:rPr>
          <w:lang w:val="it-IT"/>
        </w:rPr>
      </w:pPr>
    </w:p>
    <w:p w:rsidR="0027060A" w:rsidRDefault="0027060A" w:rsidP="00DB2D1E">
      <w:pPr>
        <w:rPr>
          <w:lang w:val="it-IT"/>
        </w:rPr>
      </w:pPr>
    </w:p>
    <w:p w:rsidR="0027060A" w:rsidRDefault="0027060A" w:rsidP="00DB2D1E">
      <w:pPr>
        <w:rPr>
          <w:lang w:val="it-IT"/>
        </w:rPr>
      </w:pPr>
    </w:p>
    <w:p w:rsidR="0027060A" w:rsidRDefault="0027060A" w:rsidP="00DB2D1E">
      <w:pPr>
        <w:rPr>
          <w:lang w:val="it-IT"/>
        </w:rPr>
      </w:pPr>
    </w:p>
    <w:p w:rsidR="0027060A" w:rsidRPr="00451078" w:rsidRDefault="0027060A" w:rsidP="00DB2D1E">
      <w:pPr>
        <w:rPr>
          <w:lang w:val="it-IT"/>
        </w:rPr>
      </w:pPr>
    </w:p>
    <w:p w:rsidR="00DC0853" w:rsidRPr="00451078" w:rsidRDefault="00DC0853" w:rsidP="00DC0853">
      <w:pPr>
        <w:spacing w:after="60"/>
        <w:rPr>
          <w:lang w:val="it-IT"/>
        </w:rPr>
      </w:pPr>
      <w:r w:rsidRPr="00451078">
        <w:rPr>
          <w:rFonts w:cs="Tahoma"/>
          <w:b/>
          <w:bCs/>
          <w:color w:val="000000"/>
          <w:szCs w:val="18"/>
          <w:lang w:val="it-IT"/>
        </w:rPr>
        <w:lastRenderedPageBreak/>
        <w:t>Regole Commerciali Associate</w:t>
      </w:r>
    </w:p>
    <w:p w:rsidR="00DB2D1E" w:rsidRPr="00451078" w:rsidRDefault="00DB2D1E" w:rsidP="00FD27BC">
      <w:pPr>
        <w:rPr>
          <w:lang w:val="it-IT"/>
        </w:rPr>
      </w:pPr>
      <w:r w:rsidRPr="00451078">
        <w:rPr>
          <w:rFonts w:cs="Tahoma"/>
          <w:color w:val="000000"/>
          <w:szCs w:val="18"/>
          <w:lang w:val="it-IT"/>
        </w:rPr>
        <w:t>Tutti i Servizi forniscono il supporto per Prodotti Microsoft disponibili sul mercato e destinati a un uso commerciale (se non specificamente escluso sul sito Web Microsoft Premier o sul sito Web Microsoft di Supporto del Ciclo di Vita). I Servizi saranno addebitati, in genere, su base oraria, forniti in remoto e in lingua inglese (salvo laddove sia disponibile un</w:t>
      </w:r>
      <w:r w:rsidR="004525CA">
        <w:rPr>
          <w:rFonts w:cs="Tahoma"/>
          <w:color w:val="000000"/>
          <w:szCs w:val="18"/>
          <w:lang w:val="it-IT"/>
        </w:rPr>
        <w:t>’</w:t>
      </w:r>
      <w:r w:rsidRPr="00451078">
        <w:rPr>
          <w:rFonts w:cs="Tahoma"/>
          <w:color w:val="000000"/>
          <w:szCs w:val="18"/>
          <w:lang w:val="it-IT"/>
        </w:rPr>
        <w:t>altra lingua). I Servizi saranno forniti nel paese in cui è stato sottoscritto il contratto VL. Gli interventi in</w:t>
      </w:r>
      <w:r w:rsidR="00262185" w:rsidRPr="00451078">
        <w:rPr>
          <w:rFonts w:cs="Tahoma"/>
          <w:color w:val="000000"/>
          <w:szCs w:val="18"/>
          <w:lang w:val="it-IT"/>
        </w:rPr>
        <w:t> </w:t>
      </w:r>
      <w:r w:rsidRPr="00451078">
        <w:rPr>
          <w:rFonts w:cs="Tahoma"/>
          <w:color w:val="000000"/>
          <w:szCs w:val="18"/>
          <w:lang w:val="it-IT"/>
        </w:rPr>
        <w:t>loco non sono prepagati e dipendono dalla disponibilità delle risorse. Tutti i Servizi non utilizzati nell</w:t>
      </w:r>
      <w:r w:rsidR="004525CA">
        <w:rPr>
          <w:rFonts w:cs="Tahoma"/>
          <w:color w:val="000000"/>
          <w:szCs w:val="18"/>
          <w:lang w:val="it-IT"/>
        </w:rPr>
        <w:t>’</w:t>
      </w:r>
      <w:r w:rsidRPr="00451078">
        <w:rPr>
          <w:rFonts w:cs="Tahoma"/>
          <w:color w:val="000000"/>
          <w:szCs w:val="18"/>
          <w:lang w:val="it-IT"/>
        </w:rPr>
        <w:t>anno andranno persi. Su richiesta della società, Microsoft potrà accedere al sistema della società tramite connessione telefonica remota per analizzare i problemi. Le società dovranno disporre di un accesso a Internet per poter utilizzare i servizi basati su Internet.</w:t>
      </w:r>
    </w:p>
    <w:p w:rsidR="00DB2D1E" w:rsidRPr="00451078" w:rsidRDefault="00DB2D1E" w:rsidP="00DB2D1E">
      <w:pPr>
        <w:jc w:val="both"/>
        <w:rPr>
          <w:lang w:val="it-IT"/>
        </w:rPr>
      </w:pPr>
    </w:p>
    <w:p w:rsidR="00596386" w:rsidRPr="00451078" w:rsidRDefault="00596386" w:rsidP="00596386">
      <w:pPr>
        <w:rPr>
          <w:lang w:val="it-IT"/>
        </w:rPr>
      </w:pPr>
      <w:r w:rsidRPr="00451078">
        <w:rPr>
          <w:b/>
          <w:sz w:val="24"/>
          <w:szCs w:val="24"/>
          <w:lang w:val="it-IT"/>
        </w:rPr>
        <w:t>Offerte di Supporto per Microsoft Windows Azure</w:t>
      </w:r>
    </w:p>
    <w:p w:rsidR="00596386" w:rsidRPr="00451078" w:rsidRDefault="00596386" w:rsidP="00596386">
      <w:pPr>
        <w:rPr>
          <w:lang w:val="it-IT"/>
        </w:rPr>
      </w:pPr>
    </w:p>
    <w:p w:rsidR="00596386" w:rsidRPr="00451078" w:rsidRDefault="00596386" w:rsidP="00596386">
      <w:pPr>
        <w:jc w:val="both"/>
        <w:rPr>
          <w:lang w:val="it-IT"/>
        </w:rPr>
      </w:pPr>
      <w:r w:rsidRPr="00451078">
        <w:rPr>
          <w:rFonts w:cs="Arial"/>
          <w:color w:val="000000"/>
          <w:szCs w:val="18"/>
          <w:lang w:val="it-IT"/>
        </w:rPr>
        <w:t>Salvo quanto diversamente specificato di sotto, i Servizi di Supporto per Windows Azure sono disponibili per Windows</w:t>
      </w:r>
      <w:r w:rsidR="00262185" w:rsidRPr="00451078">
        <w:rPr>
          <w:rFonts w:cs="Arial"/>
          <w:color w:val="000000"/>
          <w:szCs w:val="18"/>
          <w:lang w:val="it-IT"/>
        </w:rPr>
        <w:t> </w:t>
      </w:r>
      <w:r w:rsidR="00F6719E" w:rsidRPr="00451078">
        <w:rPr>
          <w:rFonts w:cs="Arial"/>
          <w:color w:val="000000"/>
          <w:szCs w:val="18"/>
          <w:lang w:val="it-IT"/>
        </w:rPr>
        <w:t>Azure.</w:t>
      </w:r>
    </w:p>
    <w:p w:rsidR="00596386" w:rsidRPr="00451078" w:rsidRDefault="00596386" w:rsidP="00596386">
      <w:pPr>
        <w:tabs>
          <w:tab w:val="left" w:pos="360"/>
        </w:tabs>
        <w:jc w:val="both"/>
        <w:rPr>
          <w:lang w:val="it-IT"/>
        </w:rPr>
      </w:pPr>
    </w:p>
    <w:p w:rsidR="00596386" w:rsidRPr="00451078" w:rsidRDefault="00596386" w:rsidP="00596386">
      <w:pPr>
        <w:tabs>
          <w:tab w:val="left" w:pos="360"/>
        </w:tabs>
        <w:jc w:val="both"/>
        <w:rPr>
          <w:lang w:val="it-IT"/>
        </w:rPr>
      </w:pPr>
      <w:r w:rsidRPr="00451078">
        <w:rPr>
          <w:rFonts w:cs="Arial"/>
          <w:szCs w:val="18"/>
          <w:lang w:val="it-IT"/>
        </w:rPr>
        <w:t>I Servizi verranno forniti dal team di Supporto di Windows Azure, che comprende specialisti di Windows Azure che</w:t>
      </w:r>
      <w:r w:rsidR="00262185" w:rsidRPr="00451078">
        <w:rPr>
          <w:rFonts w:cs="Arial"/>
          <w:szCs w:val="18"/>
          <w:lang w:val="it-IT"/>
        </w:rPr>
        <w:t> </w:t>
      </w:r>
      <w:r w:rsidRPr="00451078">
        <w:rPr>
          <w:rFonts w:cs="Arial"/>
          <w:szCs w:val="18"/>
          <w:lang w:val="it-IT"/>
        </w:rPr>
        <w:t>risponderanno alle richieste di supporto per Windows Azure di una società</w:t>
      </w:r>
      <w:r w:rsidRPr="00451078">
        <w:rPr>
          <w:rFonts w:cs="Arial"/>
          <w:snapToGrid w:val="0"/>
          <w:szCs w:val="18"/>
          <w:lang w:val="it-IT"/>
        </w:rPr>
        <w:t xml:space="preserve">. Le società riceveranno assistenza di alto livello </w:t>
      </w:r>
      <w:r w:rsidRPr="00451078">
        <w:rPr>
          <w:rFonts w:cs="Arial"/>
          <w:szCs w:val="18"/>
          <w:lang w:val="it-IT"/>
        </w:rPr>
        <w:t>24 ore al giorno, 7 giorni su 7, solo in lingua inglese.</w:t>
      </w:r>
      <w:r w:rsidR="00082E1C" w:rsidRPr="00451078">
        <w:rPr>
          <w:rFonts w:cs="Arial"/>
          <w:szCs w:val="18"/>
          <w:lang w:val="it-IT"/>
        </w:rPr>
        <w:t xml:space="preserve"> </w:t>
      </w:r>
      <w:r w:rsidRPr="00451078">
        <w:rPr>
          <w:rFonts w:cs="Arial"/>
          <w:szCs w:val="18"/>
          <w:lang w:val="it-IT"/>
        </w:rPr>
        <w:t>L</w:t>
      </w:r>
      <w:r w:rsidR="004525CA">
        <w:rPr>
          <w:rFonts w:cs="Arial"/>
          <w:szCs w:val="18"/>
          <w:lang w:val="it-IT"/>
        </w:rPr>
        <w:t>’</w:t>
      </w:r>
      <w:r w:rsidRPr="00451078">
        <w:rPr>
          <w:rFonts w:cs="Arial"/>
          <w:szCs w:val="18"/>
          <w:lang w:val="it-IT"/>
        </w:rPr>
        <w:t>assistenza in altre lingue (</w:t>
      </w:r>
      <w:hyperlink r:id="rId33" w:history="1">
        <w:r w:rsidRPr="00451078">
          <w:rPr>
            <w:rStyle w:val="Hyperlink"/>
            <w:szCs w:val="18"/>
            <w:lang w:val="it-IT"/>
          </w:rPr>
          <w:t>www.windowsazure.com/en-us/support/plans/</w:t>
        </w:r>
      </w:hyperlink>
      <w:r w:rsidRPr="00451078">
        <w:rPr>
          <w:rFonts w:cs="Arial"/>
          <w:szCs w:val="18"/>
          <w:lang w:val="it-IT"/>
        </w:rPr>
        <w:t>) è disponibile solo durante le ore lavorative.</w:t>
      </w:r>
      <w:r w:rsidR="006903D1" w:rsidRPr="00451078">
        <w:rPr>
          <w:rFonts w:cs="Arial"/>
          <w:szCs w:val="18"/>
          <w:lang w:val="it-IT"/>
        </w:rPr>
        <w:t xml:space="preserve"> </w:t>
      </w:r>
    </w:p>
    <w:p w:rsidR="00596386" w:rsidRPr="00451078" w:rsidRDefault="00596386" w:rsidP="00596386">
      <w:pPr>
        <w:tabs>
          <w:tab w:val="left" w:pos="360"/>
        </w:tabs>
        <w:jc w:val="both"/>
        <w:rPr>
          <w:lang w:val="it-IT"/>
        </w:rPr>
      </w:pPr>
    </w:p>
    <w:p w:rsidR="00596386" w:rsidRPr="00451078" w:rsidRDefault="001A3EC5" w:rsidP="00596386">
      <w:pPr>
        <w:tabs>
          <w:tab w:val="left" w:pos="360"/>
        </w:tabs>
        <w:jc w:val="both"/>
        <w:rPr>
          <w:lang w:val="it-IT"/>
        </w:rPr>
      </w:pPr>
      <w:r w:rsidRPr="00451078">
        <w:rPr>
          <w:rFonts w:cs="Arial"/>
          <w:szCs w:val="18"/>
          <w:lang w:val="it-IT"/>
        </w:rPr>
        <w:t>“</w:t>
      </w:r>
      <w:r w:rsidR="00596386" w:rsidRPr="00451078">
        <w:rPr>
          <w:rFonts w:cs="Arial"/>
          <w:szCs w:val="18"/>
          <w:lang w:val="it-IT"/>
        </w:rPr>
        <w:t>Intervento</w:t>
      </w:r>
      <w:r w:rsidRPr="00451078">
        <w:rPr>
          <w:rFonts w:cs="Arial"/>
          <w:szCs w:val="18"/>
          <w:lang w:val="it-IT"/>
        </w:rPr>
        <w:t>”</w:t>
      </w:r>
      <w:r w:rsidR="00596386" w:rsidRPr="00451078">
        <w:rPr>
          <w:rFonts w:cs="Arial"/>
          <w:szCs w:val="18"/>
          <w:lang w:val="it-IT"/>
        </w:rPr>
        <w:t xml:space="preserve"> indica una richiesta di assistenza in garanzia per un</w:t>
      </w:r>
      <w:r w:rsidR="004525CA">
        <w:rPr>
          <w:rFonts w:cs="Arial"/>
          <w:szCs w:val="18"/>
          <w:lang w:val="it-IT"/>
        </w:rPr>
        <w:t>’</w:t>
      </w:r>
      <w:r w:rsidR="00596386" w:rsidRPr="00451078">
        <w:rPr>
          <w:rFonts w:cs="Arial"/>
          <w:szCs w:val="18"/>
          <w:lang w:val="it-IT"/>
        </w:rPr>
        <w:t>Unica Problematica di Assistenza.</w:t>
      </w:r>
      <w:r w:rsidR="00082E1C" w:rsidRPr="00451078">
        <w:rPr>
          <w:rFonts w:cs="Arial"/>
          <w:szCs w:val="18"/>
          <w:lang w:val="it-IT"/>
        </w:rPr>
        <w:t xml:space="preserve"> </w:t>
      </w:r>
      <w:r w:rsidRPr="00451078">
        <w:rPr>
          <w:rFonts w:cs="Arial"/>
          <w:szCs w:val="18"/>
          <w:lang w:val="it-IT"/>
        </w:rPr>
        <w:t>“</w:t>
      </w:r>
      <w:r w:rsidR="00596386" w:rsidRPr="00451078">
        <w:rPr>
          <w:rFonts w:cs="Arial"/>
          <w:szCs w:val="18"/>
          <w:lang w:val="it-IT"/>
        </w:rPr>
        <w:t>Unica</w:t>
      </w:r>
      <w:r w:rsidR="00262185" w:rsidRPr="00451078">
        <w:rPr>
          <w:rFonts w:cs="Arial"/>
          <w:szCs w:val="18"/>
          <w:lang w:val="it-IT"/>
        </w:rPr>
        <w:t> </w:t>
      </w:r>
      <w:r w:rsidR="00596386" w:rsidRPr="00451078">
        <w:rPr>
          <w:rFonts w:cs="Arial"/>
          <w:szCs w:val="18"/>
          <w:lang w:val="it-IT"/>
        </w:rPr>
        <w:t>Problematica di Assistenza</w:t>
      </w:r>
      <w:r w:rsidRPr="00451078">
        <w:rPr>
          <w:rFonts w:cs="Arial"/>
          <w:szCs w:val="18"/>
          <w:lang w:val="it-IT"/>
        </w:rPr>
        <w:t>”</w:t>
      </w:r>
      <w:r w:rsidR="00596386" w:rsidRPr="00451078">
        <w:rPr>
          <w:rFonts w:cs="Arial"/>
          <w:szCs w:val="18"/>
          <w:lang w:val="it-IT"/>
        </w:rPr>
        <w:t xml:space="preserve"> indica un problema che non può essere suddiviso in problematiche subordinate.</w:t>
      </w:r>
      <w:r w:rsidR="00082E1C" w:rsidRPr="00451078">
        <w:rPr>
          <w:rFonts w:cs="Arial"/>
          <w:szCs w:val="18"/>
          <w:lang w:val="it-IT"/>
        </w:rPr>
        <w:t xml:space="preserve"> </w:t>
      </w:r>
      <w:r w:rsidR="00596386" w:rsidRPr="00451078">
        <w:rPr>
          <w:rFonts w:cs="Arial"/>
          <w:szCs w:val="18"/>
          <w:lang w:val="it-IT"/>
        </w:rPr>
        <w:t>Qualora un problema sia composto da problematiche subordinate, ogni problematica dovrà essere considerata un</w:t>
      </w:r>
      <w:r w:rsidR="00262185" w:rsidRPr="00451078">
        <w:rPr>
          <w:rFonts w:cs="Arial"/>
          <w:szCs w:val="18"/>
          <w:lang w:val="it-IT"/>
        </w:rPr>
        <w:t> </w:t>
      </w:r>
      <w:r w:rsidR="00596386" w:rsidRPr="00451078">
        <w:rPr>
          <w:rFonts w:cs="Arial"/>
          <w:szCs w:val="18"/>
          <w:lang w:val="it-IT"/>
        </w:rPr>
        <w:t>Intervento distinto.</w:t>
      </w:r>
      <w:r w:rsidR="00082E1C" w:rsidRPr="00451078">
        <w:rPr>
          <w:rFonts w:cs="Arial"/>
          <w:szCs w:val="18"/>
          <w:lang w:val="it-IT"/>
        </w:rPr>
        <w:t xml:space="preserve"> </w:t>
      </w:r>
      <w:r w:rsidR="00596386" w:rsidRPr="00451078">
        <w:rPr>
          <w:rFonts w:cs="Arial"/>
          <w:szCs w:val="18"/>
          <w:lang w:val="it-IT"/>
        </w:rPr>
        <w:t>Gli Interventi includono la quantità ragionevole sotto il profilo commerciale di servizi necessari per individuare e risolvere la problematica di assistenza.</w:t>
      </w:r>
      <w:r w:rsidR="00082E1C" w:rsidRPr="00451078">
        <w:rPr>
          <w:rFonts w:cs="Arial"/>
          <w:szCs w:val="18"/>
          <w:lang w:val="it-IT"/>
        </w:rPr>
        <w:t xml:space="preserve"> </w:t>
      </w:r>
      <w:r w:rsidR="00596386" w:rsidRPr="00451078">
        <w:rPr>
          <w:rFonts w:cs="Arial"/>
          <w:szCs w:val="18"/>
          <w:lang w:val="it-IT"/>
        </w:rPr>
        <w:t xml:space="preserve">Gli Interventi potranno essere eseguiti tramite il sito Web del supporto assistito online </w:t>
      </w:r>
      <w:hyperlink r:id="rId34" w:history="1">
        <w:r w:rsidR="00596386" w:rsidRPr="00451078">
          <w:rPr>
            <w:rStyle w:val="Hyperlink"/>
            <w:rFonts w:cs="Arial"/>
            <w:szCs w:val="18"/>
            <w:lang w:val="it-IT"/>
          </w:rPr>
          <w:t>www.windowsazure.com</w:t>
        </w:r>
      </w:hyperlink>
      <w:r w:rsidR="00596386" w:rsidRPr="00451078">
        <w:rPr>
          <w:rFonts w:cs="Arial"/>
          <w:szCs w:val="18"/>
          <w:lang w:val="it-IT"/>
        </w:rPr>
        <w:t>.</w:t>
      </w:r>
      <w:r w:rsidR="00082E1C" w:rsidRPr="00451078">
        <w:rPr>
          <w:rFonts w:cs="Arial"/>
          <w:szCs w:val="18"/>
          <w:lang w:val="it-IT"/>
        </w:rPr>
        <w:t xml:space="preserve"> </w:t>
      </w:r>
    </w:p>
    <w:p w:rsidR="00596386" w:rsidRPr="00451078" w:rsidRDefault="00596386" w:rsidP="00596386">
      <w:pPr>
        <w:tabs>
          <w:tab w:val="left" w:pos="360"/>
        </w:tabs>
        <w:jc w:val="both"/>
        <w:rPr>
          <w:lang w:val="it-IT"/>
        </w:rPr>
      </w:pPr>
    </w:p>
    <w:p w:rsidR="00596386" w:rsidRPr="00451078" w:rsidRDefault="00596386" w:rsidP="00596386">
      <w:pPr>
        <w:tabs>
          <w:tab w:val="left" w:pos="360"/>
        </w:tabs>
        <w:jc w:val="both"/>
        <w:rPr>
          <w:lang w:val="it-IT"/>
        </w:rPr>
      </w:pPr>
      <w:r w:rsidRPr="00451078">
        <w:rPr>
          <w:rFonts w:cs="Arial"/>
          <w:szCs w:val="18"/>
          <w:lang w:val="it-IT"/>
        </w:rPr>
        <w:t>I Servizi verranno forniti in lingua inglese salvo quanto diversamente concordato tra una società e Microsoft per iscritto. Servizi aggiuntivi, inclusi i servizi di supporto, potranno essere disponibili per Windows Azure in conformità a</w:t>
      </w:r>
      <w:r w:rsidR="00262185" w:rsidRPr="00451078">
        <w:rPr>
          <w:rFonts w:cs="Arial"/>
          <w:szCs w:val="18"/>
          <w:lang w:val="it-IT"/>
        </w:rPr>
        <w:t> </w:t>
      </w:r>
      <w:r w:rsidRPr="00451078">
        <w:rPr>
          <w:rFonts w:cs="Arial"/>
          <w:szCs w:val="18"/>
          <w:lang w:val="it-IT"/>
        </w:rPr>
        <w:t>un contratto specifico stipulato tra le parti.</w:t>
      </w:r>
      <w:r w:rsidR="00082E1C" w:rsidRPr="00451078">
        <w:rPr>
          <w:rFonts w:cs="Arial"/>
          <w:szCs w:val="18"/>
          <w:lang w:val="it-IT"/>
        </w:rPr>
        <w:t xml:space="preserve"> </w:t>
      </w:r>
      <w:r w:rsidRPr="00451078">
        <w:rPr>
          <w:rFonts w:cs="Arial"/>
          <w:szCs w:val="18"/>
          <w:lang w:val="it-IT"/>
        </w:rPr>
        <w:t>Tali servizi aggiuntivi saranno disciplinati dalle condizioni di tale contratto specifico.</w:t>
      </w:r>
    </w:p>
    <w:p w:rsidR="00596386" w:rsidRPr="00451078" w:rsidRDefault="00596386" w:rsidP="00596386">
      <w:pPr>
        <w:pStyle w:val="normal1"/>
        <w:jc w:val="both"/>
        <w:rPr>
          <w:lang w:val="it-IT"/>
        </w:rPr>
      </w:pPr>
    </w:p>
    <w:p w:rsidR="00596386" w:rsidRPr="00451078" w:rsidRDefault="00596386" w:rsidP="00596386">
      <w:pPr>
        <w:widowControl w:val="0"/>
        <w:tabs>
          <w:tab w:val="left" w:pos="720"/>
          <w:tab w:val="left" w:pos="1170"/>
        </w:tabs>
        <w:rPr>
          <w:lang w:val="it-IT"/>
        </w:rPr>
      </w:pPr>
      <w:r w:rsidRPr="00451078">
        <w:rPr>
          <w:rFonts w:cs="Arial"/>
          <w:b/>
          <w:bCs/>
          <w:sz w:val="24"/>
          <w:szCs w:val="18"/>
          <w:lang w:val="it-IT"/>
        </w:rPr>
        <w:t>Supporto Diretto Professionale per Windows Azure</w:t>
      </w:r>
    </w:p>
    <w:p w:rsidR="00596386" w:rsidRPr="00451078" w:rsidRDefault="00596386" w:rsidP="00596386">
      <w:pPr>
        <w:tabs>
          <w:tab w:val="left" w:pos="360"/>
        </w:tabs>
        <w:jc w:val="both"/>
        <w:rPr>
          <w:lang w:val="it-IT"/>
        </w:rPr>
      </w:pPr>
    </w:p>
    <w:p w:rsidR="006E7D7A" w:rsidRPr="00451078" w:rsidRDefault="006E7D7A" w:rsidP="006E7D7A">
      <w:pPr>
        <w:tabs>
          <w:tab w:val="left" w:pos="360"/>
        </w:tabs>
        <w:jc w:val="both"/>
        <w:rPr>
          <w:lang w:val="it-IT"/>
        </w:rPr>
      </w:pPr>
      <w:r w:rsidRPr="00451078">
        <w:rPr>
          <w:rFonts w:cs="Arial"/>
          <w:i/>
          <w:color w:val="000000"/>
          <w:szCs w:val="18"/>
          <w:lang w:val="it-IT"/>
        </w:rPr>
        <w:t>Disponibilità commerciale limitata</w:t>
      </w:r>
      <w:r w:rsidRPr="00451078">
        <w:rPr>
          <w:rFonts w:cs="Arial"/>
          <w:color w:val="000000"/>
          <w:szCs w:val="18"/>
          <w:lang w:val="it-IT"/>
        </w:rPr>
        <w:t xml:space="preserve"> - Il Supporto Diretto Professionale per i Servizi Windows Azure delineati di seguito sono erogati in lingua inglese solo in un numero limitato di paesi (</w:t>
      </w:r>
      <w:hyperlink r:id="rId35" w:history="1">
        <w:r w:rsidRPr="00451078">
          <w:rPr>
            <w:rStyle w:val="Hyperlink"/>
            <w:rFonts w:cs="Arial"/>
            <w:szCs w:val="18"/>
            <w:lang w:val="it-IT"/>
          </w:rPr>
          <w:t>www.windowsazure.com/en-us/support/plans/</w:t>
        </w:r>
      </w:hyperlink>
      <w:r w:rsidRPr="00451078">
        <w:rPr>
          <w:rFonts w:cs="Arial"/>
          <w:szCs w:val="18"/>
          <w:lang w:val="it-IT"/>
        </w:rPr>
        <w:t>).</w:t>
      </w:r>
    </w:p>
    <w:p w:rsidR="006E7D7A" w:rsidRPr="00451078" w:rsidRDefault="006E7D7A" w:rsidP="006E7D7A">
      <w:pPr>
        <w:tabs>
          <w:tab w:val="left" w:pos="360"/>
        </w:tabs>
        <w:jc w:val="both"/>
        <w:rPr>
          <w:lang w:val="it-IT"/>
        </w:rPr>
      </w:pPr>
    </w:p>
    <w:p w:rsidR="00596386" w:rsidRPr="00451078" w:rsidRDefault="00596386" w:rsidP="00596386">
      <w:pPr>
        <w:tabs>
          <w:tab w:val="left" w:pos="360"/>
        </w:tabs>
        <w:jc w:val="both"/>
        <w:rPr>
          <w:lang w:val="it-IT"/>
        </w:rPr>
      </w:pPr>
      <w:r w:rsidRPr="00451078">
        <w:rPr>
          <w:rFonts w:cs="Arial"/>
          <w:color w:val="000000"/>
          <w:szCs w:val="18"/>
          <w:lang w:val="it-IT"/>
        </w:rPr>
        <w:t>Le società avranno la responsabilità di definire il livello di gravità iniziale utilizzando la procedura di invio tramite Web in linea con le indicazioni di gravità fornite di seguito. Microsoft potrà ridurre il livello di gravità; ciò potrà avvenire anche nei casi in cui la società non fornisca risorse o risposte adeguate a supportare Microsoft nel suo impegno volto a risolvere il problema.</w:t>
      </w:r>
      <w:r w:rsidR="00082E1C" w:rsidRPr="00451078">
        <w:rPr>
          <w:rFonts w:cs="Arial"/>
          <w:color w:val="000000"/>
          <w:szCs w:val="18"/>
          <w:lang w:val="it-IT"/>
        </w:rPr>
        <w:t xml:space="preserve"> </w:t>
      </w:r>
      <w:r w:rsidRPr="00451078">
        <w:rPr>
          <w:rFonts w:cs="Arial"/>
          <w:color w:val="000000"/>
          <w:szCs w:val="18"/>
          <w:lang w:val="it-IT"/>
        </w:rPr>
        <w:t>La gravità dell</w:t>
      </w:r>
      <w:r w:rsidR="004525CA">
        <w:rPr>
          <w:rFonts w:cs="Arial"/>
          <w:color w:val="000000"/>
          <w:szCs w:val="18"/>
          <w:lang w:val="it-IT"/>
        </w:rPr>
        <w:t>’</w:t>
      </w:r>
      <w:r w:rsidRPr="00451078">
        <w:rPr>
          <w:rFonts w:cs="Arial"/>
          <w:color w:val="000000"/>
          <w:szCs w:val="18"/>
          <w:lang w:val="it-IT"/>
        </w:rPr>
        <w:t>intervento determinerà i livelli di risposta da parte di Microsoft. I tempi di</w:t>
      </w:r>
      <w:r w:rsidR="00262185" w:rsidRPr="00451078">
        <w:rPr>
          <w:rFonts w:cs="Arial"/>
          <w:color w:val="000000"/>
          <w:szCs w:val="18"/>
          <w:lang w:val="it-IT"/>
        </w:rPr>
        <w:t> </w:t>
      </w:r>
      <w:r w:rsidRPr="00451078">
        <w:rPr>
          <w:rFonts w:cs="Arial"/>
          <w:color w:val="000000"/>
          <w:szCs w:val="18"/>
          <w:lang w:val="it-IT"/>
        </w:rPr>
        <w:t>risposta previsti sono definiti nella tabella che segue.</w:t>
      </w:r>
      <w:r w:rsidR="00082E1C" w:rsidRPr="00451078">
        <w:rPr>
          <w:rFonts w:cs="Arial"/>
          <w:color w:val="000000"/>
          <w:szCs w:val="18"/>
          <w:lang w:val="it-IT"/>
        </w:rPr>
        <w:t xml:space="preserve"> </w:t>
      </w:r>
      <w:r w:rsidRPr="00451078">
        <w:rPr>
          <w:rFonts w:cs="Arial"/>
          <w:color w:val="000000"/>
          <w:szCs w:val="18"/>
          <w:lang w:val="it-IT"/>
        </w:rPr>
        <w:t>La possibilità per Microsoft di offrire i servizi dipende dalla totale e tempestiva collaborazione della società e dall</w:t>
      </w:r>
      <w:r w:rsidR="004525CA">
        <w:rPr>
          <w:rFonts w:cs="Arial"/>
          <w:color w:val="000000"/>
          <w:szCs w:val="18"/>
          <w:lang w:val="it-IT"/>
        </w:rPr>
        <w:t>’</w:t>
      </w:r>
      <w:r w:rsidRPr="00451078">
        <w:rPr>
          <w:rFonts w:cs="Arial"/>
          <w:color w:val="000000"/>
          <w:szCs w:val="18"/>
          <w:lang w:val="it-IT"/>
        </w:rPr>
        <w:t>accuratezza e completezza dei dati forniti.</w:t>
      </w:r>
    </w:p>
    <w:p w:rsidR="000D747C" w:rsidRPr="00451078" w:rsidRDefault="000D747C" w:rsidP="00596386">
      <w:pPr>
        <w:tabs>
          <w:tab w:val="left" w:pos="360"/>
        </w:tabs>
        <w:jc w:val="both"/>
        <w:rPr>
          <w:lang w:val="it-IT"/>
        </w:rPr>
      </w:pPr>
    </w:p>
    <w:tbl>
      <w:tblPr>
        <w:tblW w:w="9540"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347"/>
        <w:gridCol w:w="1800"/>
        <w:gridCol w:w="3079"/>
        <w:gridCol w:w="3314"/>
      </w:tblGrid>
      <w:tr w:rsidR="00596386" w:rsidRPr="003410C7" w:rsidTr="0072033F">
        <w:trPr>
          <w:tblHeader/>
        </w:trPr>
        <w:tc>
          <w:tcPr>
            <w:tcW w:w="1347" w:type="dxa"/>
            <w:shd w:val="clear" w:color="auto" w:fill="FABF8F"/>
          </w:tcPr>
          <w:p w:rsidR="00596386" w:rsidRPr="003410C7" w:rsidRDefault="00596386" w:rsidP="0037031E">
            <w:pPr>
              <w:jc w:val="center"/>
              <w:rPr>
                <w:rFonts w:cs="Tahoma"/>
                <w:b/>
                <w:bCs/>
                <w:color w:val="000000"/>
                <w:sz w:val="20"/>
                <w:szCs w:val="18"/>
              </w:rPr>
            </w:pPr>
            <w:r w:rsidRPr="003410C7">
              <w:rPr>
                <w:rFonts w:cs="Tahoma"/>
                <w:b/>
                <w:bCs/>
                <w:color w:val="000000"/>
                <w:sz w:val="20"/>
                <w:szCs w:val="18"/>
              </w:rPr>
              <w:t>Severity</w:t>
            </w:r>
          </w:p>
        </w:tc>
        <w:tc>
          <w:tcPr>
            <w:tcW w:w="1800" w:type="dxa"/>
            <w:shd w:val="clear" w:color="auto" w:fill="FABF8F"/>
          </w:tcPr>
          <w:p w:rsidR="00596386" w:rsidRPr="003410C7" w:rsidRDefault="00596386" w:rsidP="0037031E">
            <w:pPr>
              <w:jc w:val="center"/>
              <w:rPr>
                <w:rFonts w:cs="Tahoma"/>
                <w:b/>
                <w:bCs/>
                <w:color w:val="000000"/>
                <w:sz w:val="20"/>
                <w:szCs w:val="18"/>
              </w:rPr>
            </w:pPr>
            <w:r w:rsidRPr="003410C7">
              <w:rPr>
                <w:rFonts w:cs="Tahoma"/>
                <w:b/>
                <w:bCs/>
                <w:color w:val="000000"/>
                <w:sz w:val="20"/>
                <w:szCs w:val="18"/>
              </w:rPr>
              <w:t>Contatto</w:t>
            </w:r>
          </w:p>
        </w:tc>
        <w:tc>
          <w:tcPr>
            <w:tcW w:w="3079" w:type="dxa"/>
            <w:shd w:val="clear" w:color="auto" w:fill="FABF8F"/>
          </w:tcPr>
          <w:p w:rsidR="00596386" w:rsidRPr="003410C7" w:rsidRDefault="00596386" w:rsidP="0037031E">
            <w:pPr>
              <w:jc w:val="center"/>
              <w:rPr>
                <w:rFonts w:cs="Tahoma"/>
                <w:b/>
                <w:bCs/>
                <w:color w:val="000000"/>
                <w:sz w:val="20"/>
                <w:szCs w:val="18"/>
              </w:rPr>
            </w:pPr>
            <w:r w:rsidRPr="003410C7">
              <w:rPr>
                <w:rFonts w:cs="Tahoma"/>
                <w:b/>
                <w:bCs/>
                <w:color w:val="000000"/>
                <w:sz w:val="20"/>
                <w:szCs w:val="18"/>
              </w:rPr>
              <w:t>Situazione della Società</w:t>
            </w:r>
          </w:p>
        </w:tc>
        <w:tc>
          <w:tcPr>
            <w:tcW w:w="3314" w:type="dxa"/>
            <w:shd w:val="clear" w:color="auto" w:fill="FABF8F"/>
          </w:tcPr>
          <w:p w:rsidR="00596386" w:rsidRPr="003410C7" w:rsidRDefault="00596386" w:rsidP="0037031E">
            <w:pPr>
              <w:jc w:val="center"/>
              <w:rPr>
                <w:rFonts w:cs="Tahoma"/>
                <w:b/>
                <w:bCs/>
                <w:color w:val="000000"/>
                <w:sz w:val="20"/>
                <w:szCs w:val="18"/>
              </w:rPr>
            </w:pPr>
            <w:r w:rsidRPr="003410C7">
              <w:rPr>
                <w:rFonts w:cs="Tahoma"/>
                <w:b/>
                <w:bCs/>
                <w:color w:val="000000"/>
                <w:sz w:val="20"/>
                <w:szCs w:val="18"/>
              </w:rPr>
              <w:t>Risposta di Microsoft Attesa</w:t>
            </w:r>
          </w:p>
        </w:tc>
      </w:tr>
      <w:tr w:rsidR="00596386" w:rsidRPr="00DC1102" w:rsidTr="002A6416">
        <w:tc>
          <w:tcPr>
            <w:tcW w:w="1347" w:type="dxa"/>
          </w:tcPr>
          <w:p w:rsidR="00596386" w:rsidRPr="003410C7" w:rsidRDefault="00596386" w:rsidP="00647923">
            <w:pPr>
              <w:spacing w:after="60" w:line="240" w:lineRule="atLeast"/>
              <w:jc w:val="center"/>
              <w:rPr>
                <w:rFonts w:ascii="SegoeBook" w:hAnsi="SegoeBook"/>
                <w:szCs w:val="18"/>
              </w:rPr>
            </w:pPr>
            <w:r w:rsidRPr="003410C7">
              <w:rPr>
                <w:rFonts w:ascii="SegoeBook" w:hAnsi="SegoeBook"/>
                <w:szCs w:val="18"/>
              </w:rPr>
              <w:t>A</w:t>
            </w:r>
          </w:p>
        </w:tc>
        <w:tc>
          <w:tcPr>
            <w:tcW w:w="1800" w:type="dxa"/>
          </w:tcPr>
          <w:p w:rsidR="00596386" w:rsidRPr="003410C7" w:rsidRDefault="00596386" w:rsidP="00262185">
            <w:pPr>
              <w:spacing w:after="60" w:line="240" w:lineRule="atLeast"/>
              <w:jc w:val="center"/>
              <w:rPr>
                <w:rFonts w:ascii="SegoeBook" w:hAnsi="SegoeBook"/>
                <w:szCs w:val="18"/>
              </w:rPr>
            </w:pPr>
            <w:r w:rsidRPr="003410C7">
              <w:rPr>
                <w:rFonts w:ascii="SegoeBook" w:hAnsi="SegoeBook"/>
                <w:szCs w:val="18"/>
              </w:rPr>
              <w:t>Formulazione via</w:t>
            </w:r>
            <w:r w:rsidR="00262185">
              <w:rPr>
                <w:rFonts w:ascii="SegoeBook" w:hAnsi="SegoeBook"/>
                <w:szCs w:val="18"/>
              </w:rPr>
              <w:t> </w:t>
            </w:r>
            <w:r w:rsidRPr="003410C7">
              <w:rPr>
                <w:rFonts w:ascii="SegoeBook" w:hAnsi="SegoeBook"/>
                <w:szCs w:val="18"/>
              </w:rPr>
              <w:t>Web</w:t>
            </w:r>
          </w:p>
        </w:tc>
        <w:tc>
          <w:tcPr>
            <w:tcW w:w="3079" w:type="dxa"/>
          </w:tcPr>
          <w:p w:rsidR="00596386" w:rsidRPr="00451078" w:rsidRDefault="00596386" w:rsidP="00647923">
            <w:pPr>
              <w:spacing w:after="60" w:line="240" w:lineRule="atLeast"/>
              <w:rPr>
                <w:lang w:val="it-IT"/>
              </w:rPr>
            </w:pPr>
            <w:r w:rsidRPr="00451078">
              <w:rPr>
                <w:rFonts w:ascii="SegoeBook" w:hAnsi="SegoeBook"/>
                <w:szCs w:val="18"/>
                <w:lang w:val="it-IT"/>
              </w:rPr>
              <w:t>Impatto commerciale critico</w:t>
            </w:r>
          </w:p>
          <w:p w:rsidR="00596386" w:rsidRPr="00451078" w:rsidRDefault="00596386" w:rsidP="00647923">
            <w:pPr>
              <w:spacing w:after="60" w:line="240" w:lineRule="atLeast"/>
              <w:rPr>
                <w:lang w:val="it-IT"/>
              </w:rPr>
            </w:pPr>
            <w:r w:rsidRPr="00451078">
              <w:rPr>
                <w:rFonts w:ascii="SegoeBook" w:hAnsi="SegoeBook"/>
                <w:szCs w:val="18"/>
                <w:lang w:val="it-IT"/>
              </w:rPr>
              <w:t>Perdita o degradazione significativa dei servizi (applicazione fuori uso)</w:t>
            </w:r>
          </w:p>
          <w:p w:rsidR="00596386" w:rsidRPr="003410C7" w:rsidRDefault="00596386" w:rsidP="00262185">
            <w:pPr>
              <w:spacing w:after="60" w:line="240" w:lineRule="atLeast"/>
              <w:rPr>
                <w:rFonts w:ascii="SegoeBook" w:hAnsi="SegoeBook"/>
                <w:szCs w:val="18"/>
              </w:rPr>
            </w:pPr>
            <w:r w:rsidRPr="003410C7">
              <w:rPr>
                <w:rFonts w:ascii="SegoeBook" w:hAnsi="SegoeBook"/>
                <w:szCs w:val="18"/>
              </w:rPr>
              <w:t>Necessità dell</w:t>
            </w:r>
            <w:r w:rsidR="004525CA">
              <w:rPr>
                <w:rFonts w:ascii="SegoeBook" w:hAnsi="SegoeBook"/>
                <w:szCs w:val="18"/>
              </w:rPr>
              <w:t>’</w:t>
            </w:r>
            <w:r w:rsidRPr="003410C7">
              <w:rPr>
                <w:rFonts w:ascii="SegoeBook" w:hAnsi="SegoeBook"/>
                <w:szCs w:val="18"/>
              </w:rPr>
              <w:t>intervento entro</w:t>
            </w:r>
            <w:r w:rsidR="00262185">
              <w:rPr>
                <w:rFonts w:ascii="SegoeBook" w:hAnsi="SegoeBook"/>
                <w:szCs w:val="18"/>
              </w:rPr>
              <w:t> </w:t>
            </w:r>
            <w:r w:rsidRPr="003410C7">
              <w:rPr>
                <w:rFonts w:ascii="SegoeBook" w:hAnsi="SegoeBook"/>
                <w:szCs w:val="18"/>
              </w:rPr>
              <w:t>1</w:t>
            </w:r>
            <w:r w:rsidR="00262185">
              <w:rPr>
                <w:rFonts w:ascii="SegoeBook" w:hAnsi="SegoeBook"/>
                <w:szCs w:val="18"/>
              </w:rPr>
              <w:t> </w:t>
            </w:r>
            <w:r w:rsidRPr="003410C7">
              <w:rPr>
                <w:rFonts w:ascii="SegoeBook" w:hAnsi="SegoeBook"/>
                <w:szCs w:val="18"/>
              </w:rPr>
              <w:t>Ora</w:t>
            </w:r>
          </w:p>
        </w:tc>
        <w:tc>
          <w:tcPr>
            <w:tcW w:w="3314" w:type="dxa"/>
          </w:tcPr>
          <w:p w:rsidR="00596386" w:rsidRPr="00451078" w:rsidRDefault="00596386" w:rsidP="00647923">
            <w:pPr>
              <w:spacing w:after="60" w:line="240" w:lineRule="atLeast"/>
              <w:rPr>
                <w:lang w:val="it-IT"/>
              </w:rPr>
            </w:pPr>
            <w:r w:rsidRPr="00451078">
              <w:rPr>
                <w:rFonts w:ascii="SegoeBook" w:hAnsi="SegoeBook"/>
                <w:szCs w:val="18"/>
                <w:lang w:val="it-IT"/>
              </w:rPr>
              <w:t>1</w:t>
            </w:r>
            <w:r w:rsidRPr="00451078">
              <w:rPr>
                <w:rFonts w:ascii="SegoeBook" w:hAnsi="SegoeBook"/>
                <w:szCs w:val="18"/>
                <w:vertAlign w:val="superscript"/>
                <w:lang w:val="it-IT"/>
              </w:rPr>
              <w:t>a</w:t>
            </w:r>
            <w:r w:rsidRPr="00451078">
              <w:rPr>
                <w:rFonts w:ascii="SegoeBook" w:hAnsi="SegoeBook"/>
                <w:szCs w:val="18"/>
                <w:lang w:val="it-IT"/>
              </w:rPr>
              <w:t xml:space="preserve"> risposta in 1 Ora o meno</w:t>
            </w:r>
          </w:p>
          <w:p w:rsidR="00596386" w:rsidRPr="00451078" w:rsidRDefault="00596386" w:rsidP="00647923">
            <w:pPr>
              <w:spacing w:after="60" w:line="240" w:lineRule="atLeast"/>
              <w:rPr>
                <w:rFonts w:ascii="SegoeBook" w:hAnsi="SegoeBook"/>
                <w:szCs w:val="18"/>
                <w:lang w:val="it-IT"/>
              </w:rPr>
            </w:pPr>
          </w:p>
        </w:tc>
      </w:tr>
      <w:tr w:rsidR="00596386" w:rsidRPr="00DC1102" w:rsidTr="002A6416">
        <w:tc>
          <w:tcPr>
            <w:tcW w:w="1347" w:type="dxa"/>
          </w:tcPr>
          <w:p w:rsidR="00596386" w:rsidRPr="003410C7" w:rsidRDefault="00596386" w:rsidP="00647923">
            <w:pPr>
              <w:spacing w:after="60" w:line="240" w:lineRule="atLeast"/>
              <w:jc w:val="center"/>
              <w:rPr>
                <w:rFonts w:ascii="SegoeBook" w:hAnsi="SegoeBook"/>
                <w:szCs w:val="18"/>
              </w:rPr>
            </w:pPr>
            <w:r w:rsidRPr="003410C7">
              <w:rPr>
                <w:rFonts w:ascii="SegoeBook" w:hAnsi="SegoeBook"/>
                <w:szCs w:val="18"/>
              </w:rPr>
              <w:t>B</w:t>
            </w:r>
          </w:p>
        </w:tc>
        <w:tc>
          <w:tcPr>
            <w:tcW w:w="1800" w:type="dxa"/>
          </w:tcPr>
          <w:p w:rsidR="00596386" w:rsidRPr="003410C7" w:rsidRDefault="00596386" w:rsidP="00262185">
            <w:pPr>
              <w:spacing w:after="60" w:line="240" w:lineRule="atLeast"/>
              <w:jc w:val="center"/>
              <w:rPr>
                <w:rFonts w:ascii="SegoeBook" w:hAnsi="SegoeBook"/>
                <w:szCs w:val="18"/>
              </w:rPr>
            </w:pPr>
            <w:r w:rsidRPr="003410C7">
              <w:rPr>
                <w:rFonts w:ascii="SegoeBook" w:hAnsi="SegoeBook"/>
                <w:szCs w:val="18"/>
              </w:rPr>
              <w:t>Formulazione via</w:t>
            </w:r>
            <w:r w:rsidR="00262185">
              <w:rPr>
                <w:rFonts w:ascii="SegoeBook" w:hAnsi="SegoeBook"/>
                <w:szCs w:val="18"/>
              </w:rPr>
              <w:t> </w:t>
            </w:r>
            <w:r w:rsidRPr="003410C7">
              <w:rPr>
                <w:rFonts w:ascii="SegoeBook" w:hAnsi="SegoeBook"/>
                <w:szCs w:val="18"/>
              </w:rPr>
              <w:t>Web</w:t>
            </w:r>
          </w:p>
        </w:tc>
        <w:tc>
          <w:tcPr>
            <w:tcW w:w="3079" w:type="dxa"/>
          </w:tcPr>
          <w:p w:rsidR="00596386" w:rsidRPr="00451078" w:rsidRDefault="00596386" w:rsidP="00647923">
            <w:pPr>
              <w:spacing w:after="60" w:line="240" w:lineRule="atLeast"/>
              <w:rPr>
                <w:lang w:val="it-IT"/>
              </w:rPr>
            </w:pPr>
            <w:r w:rsidRPr="00451078">
              <w:rPr>
                <w:rFonts w:ascii="SegoeBook" w:hAnsi="SegoeBook"/>
                <w:szCs w:val="18"/>
                <w:lang w:val="it-IT"/>
              </w:rPr>
              <w:t xml:space="preserve">Impatto commerciale moderato: </w:t>
            </w:r>
          </w:p>
          <w:p w:rsidR="00596386" w:rsidRPr="00451078" w:rsidRDefault="00596386" w:rsidP="00647923">
            <w:pPr>
              <w:spacing w:line="240" w:lineRule="atLeast"/>
              <w:rPr>
                <w:lang w:val="it-IT"/>
              </w:rPr>
            </w:pPr>
            <w:r w:rsidRPr="00451078">
              <w:rPr>
                <w:rFonts w:ascii="SegoeBook" w:hAnsi="SegoeBook"/>
                <w:szCs w:val="18"/>
                <w:lang w:val="it-IT"/>
              </w:rPr>
              <w:t>Perdita o degradazione moderata dei servizi e possibilità di continuare il lavoro in modo meno</w:t>
            </w:r>
            <w:r w:rsidR="00262185" w:rsidRPr="00451078">
              <w:rPr>
                <w:rFonts w:ascii="SegoeBook" w:hAnsi="SegoeBook"/>
                <w:szCs w:val="18"/>
                <w:lang w:val="it-IT"/>
              </w:rPr>
              <w:t> </w:t>
            </w:r>
            <w:r w:rsidRPr="00451078">
              <w:rPr>
                <w:rFonts w:ascii="SegoeBook" w:hAnsi="SegoeBook"/>
                <w:szCs w:val="18"/>
                <w:lang w:val="it-IT"/>
              </w:rPr>
              <w:t>efficiente.</w:t>
            </w:r>
          </w:p>
          <w:p w:rsidR="00596386" w:rsidRPr="003410C7" w:rsidRDefault="00596386" w:rsidP="00262185">
            <w:pPr>
              <w:spacing w:after="60" w:line="240" w:lineRule="atLeast"/>
              <w:rPr>
                <w:rFonts w:ascii="SegoeBook" w:hAnsi="SegoeBook"/>
                <w:szCs w:val="18"/>
              </w:rPr>
            </w:pPr>
            <w:r w:rsidRPr="003410C7">
              <w:rPr>
                <w:rFonts w:ascii="SegoeBook" w:hAnsi="SegoeBook"/>
                <w:szCs w:val="18"/>
              </w:rPr>
              <w:t>Necessità dell</w:t>
            </w:r>
            <w:r w:rsidR="004525CA">
              <w:rPr>
                <w:rFonts w:ascii="SegoeBook" w:hAnsi="SegoeBook"/>
                <w:szCs w:val="18"/>
              </w:rPr>
              <w:t>’</w:t>
            </w:r>
            <w:r w:rsidRPr="003410C7">
              <w:rPr>
                <w:rFonts w:ascii="SegoeBook" w:hAnsi="SegoeBook"/>
                <w:szCs w:val="18"/>
              </w:rPr>
              <w:t xml:space="preserve">intervento </w:t>
            </w:r>
            <w:r w:rsidRPr="003410C7">
              <w:rPr>
                <w:rFonts w:ascii="SegoeBook" w:hAnsi="SegoeBook"/>
                <w:szCs w:val="18"/>
              </w:rPr>
              <w:lastRenderedPageBreak/>
              <w:t>entro</w:t>
            </w:r>
            <w:r w:rsidR="00262185">
              <w:rPr>
                <w:rFonts w:ascii="SegoeBook" w:hAnsi="SegoeBook"/>
                <w:szCs w:val="18"/>
              </w:rPr>
              <w:t> </w:t>
            </w:r>
            <w:r w:rsidRPr="003410C7">
              <w:rPr>
                <w:rFonts w:ascii="SegoeBook" w:hAnsi="SegoeBook"/>
                <w:szCs w:val="18"/>
              </w:rPr>
              <w:t>2</w:t>
            </w:r>
            <w:r w:rsidR="00262185">
              <w:rPr>
                <w:rFonts w:ascii="SegoeBook" w:hAnsi="SegoeBook"/>
                <w:szCs w:val="18"/>
              </w:rPr>
              <w:t> </w:t>
            </w:r>
            <w:r w:rsidRPr="003410C7">
              <w:rPr>
                <w:rFonts w:ascii="SegoeBook" w:hAnsi="SegoeBook"/>
                <w:szCs w:val="18"/>
              </w:rPr>
              <w:t>Ore</w:t>
            </w:r>
          </w:p>
        </w:tc>
        <w:tc>
          <w:tcPr>
            <w:tcW w:w="3314" w:type="dxa"/>
          </w:tcPr>
          <w:p w:rsidR="00596386" w:rsidRPr="00451078" w:rsidRDefault="00596386" w:rsidP="00647923">
            <w:pPr>
              <w:spacing w:line="240" w:lineRule="atLeast"/>
              <w:rPr>
                <w:lang w:val="it-IT"/>
              </w:rPr>
            </w:pPr>
            <w:r w:rsidRPr="00451078">
              <w:rPr>
                <w:rFonts w:ascii="SegoeBook" w:hAnsi="SegoeBook"/>
                <w:szCs w:val="18"/>
                <w:lang w:val="it-IT"/>
              </w:rPr>
              <w:lastRenderedPageBreak/>
              <w:t>1</w:t>
            </w:r>
            <w:r w:rsidRPr="00451078">
              <w:rPr>
                <w:rFonts w:ascii="SegoeBook" w:hAnsi="SegoeBook"/>
                <w:szCs w:val="18"/>
                <w:vertAlign w:val="superscript"/>
                <w:lang w:val="it-IT"/>
              </w:rPr>
              <w:t>a</w:t>
            </w:r>
            <w:r w:rsidRPr="00451078">
              <w:rPr>
                <w:rFonts w:ascii="SegoeBook" w:hAnsi="SegoeBook"/>
                <w:szCs w:val="18"/>
                <w:lang w:val="it-IT"/>
              </w:rPr>
              <w:t xml:space="preserve"> risposta in 2 Ore o meno</w:t>
            </w:r>
          </w:p>
          <w:p w:rsidR="00596386" w:rsidRPr="00451078" w:rsidRDefault="00596386" w:rsidP="00647923">
            <w:pPr>
              <w:spacing w:after="60" w:line="240" w:lineRule="atLeast"/>
              <w:rPr>
                <w:rFonts w:ascii="SegoeBook" w:hAnsi="SegoeBook"/>
                <w:szCs w:val="18"/>
                <w:lang w:val="it-IT"/>
              </w:rPr>
            </w:pPr>
          </w:p>
        </w:tc>
      </w:tr>
      <w:tr w:rsidR="00596386" w:rsidRPr="00DC1102" w:rsidTr="002A6416">
        <w:tc>
          <w:tcPr>
            <w:tcW w:w="1347" w:type="dxa"/>
          </w:tcPr>
          <w:p w:rsidR="00596386" w:rsidRPr="003410C7" w:rsidRDefault="00596386" w:rsidP="00647923">
            <w:pPr>
              <w:spacing w:after="60" w:line="240" w:lineRule="atLeast"/>
              <w:jc w:val="center"/>
              <w:rPr>
                <w:rFonts w:ascii="SegoeBook" w:hAnsi="SegoeBook"/>
                <w:szCs w:val="18"/>
              </w:rPr>
            </w:pPr>
            <w:r w:rsidRPr="003410C7">
              <w:rPr>
                <w:rFonts w:ascii="SegoeBook" w:hAnsi="SegoeBook"/>
                <w:szCs w:val="18"/>
              </w:rPr>
              <w:lastRenderedPageBreak/>
              <w:t>C</w:t>
            </w:r>
          </w:p>
        </w:tc>
        <w:tc>
          <w:tcPr>
            <w:tcW w:w="1800" w:type="dxa"/>
          </w:tcPr>
          <w:p w:rsidR="00596386" w:rsidRPr="003410C7" w:rsidRDefault="00596386" w:rsidP="00262185">
            <w:pPr>
              <w:spacing w:after="60" w:line="240" w:lineRule="atLeast"/>
              <w:jc w:val="center"/>
              <w:rPr>
                <w:rFonts w:ascii="SegoeBook" w:hAnsi="SegoeBook"/>
                <w:szCs w:val="18"/>
              </w:rPr>
            </w:pPr>
            <w:r w:rsidRPr="003410C7">
              <w:rPr>
                <w:rFonts w:ascii="SegoeBook" w:hAnsi="SegoeBook"/>
                <w:szCs w:val="18"/>
              </w:rPr>
              <w:t>Formulazione via</w:t>
            </w:r>
            <w:r w:rsidR="00262185">
              <w:rPr>
                <w:rFonts w:ascii="SegoeBook" w:hAnsi="SegoeBook"/>
                <w:szCs w:val="18"/>
              </w:rPr>
              <w:t> </w:t>
            </w:r>
            <w:r w:rsidRPr="003410C7">
              <w:rPr>
                <w:rFonts w:ascii="SegoeBook" w:hAnsi="SegoeBook"/>
                <w:szCs w:val="18"/>
              </w:rPr>
              <w:t>Web</w:t>
            </w:r>
          </w:p>
        </w:tc>
        <w:tc>
          <w:tcPr>
            <w:tcW w:w="3079" w:type="dxa"/>
          </w:tcPr>
          <w:p w:rsidR="00596386" w:rsidRPr="00451078" w:rsidRDefault="00596386" w:rsidP="00647923">
            <w:pPr>
              <w:rPr>
                <w:lang w:val="it-IT"/>
              </w:rPr>
            </w:pPr>
            <w:r w:rsidRPr="00451078">
              <w:rPr>
                <w:rFonts w:ascii="SegoeBook" w:hAnsi="SegoeBook"/>
                <w:szCs w:val="18"/>
                <w:lang w:val="it-IT"/>
              </w:rPr>
              <w:t>Impatto commerciale minimo</w:t>
            </w:r>
          </w:p>
          <w:p w:rsidR="00596386" w:rsidRPr="00451078" w:rsidRDefault="00596386" w:rsidP="00647923">
            <w:pPr>
              <w:rPr>
                <w:lang w:val="it-IT"/>
              </w:rPr>
            </w:pPr>
            <w:r w:rsidRPr="00451078">
              <w:rPr>
                <w:rFonts w:ascii="SegoeBook" w:hAnsi="SegoeBook"/>
                <w:szCs w:val="18"/>
                <w:lang w:val="it-IT"/>
              </w:rPr>
              <w:t>Funzionamento sostanzialmente nella norma, in alcuni casi con qualche minimo impedimento dei</w:t>
            </w:r>
            <w:r w:rsidR="00262185" w:rsidRPr="00451078">
              <w:rPr>
                <w:rFonts w:ascii="SegoeBook" w:hAnsi="SegoeBook"/>
                <w:szCs w:val="18"/>
                <w:lang w:val="it-IT"/>
              </w:rPr>
              <w:t> </w:t>
            </w:r>
            <w:r w:rsidRPr="00451078">
              <w:rPr>
                <w:rFonts w:ascii="SegoeBook" w:hAnsi="SegoeBook"/>
                <w:szCs w:val="18"/>
                <w:lang w:val="it-IT"/>
              </w:rPr>
              <w:t>servizi.</w:t>
            </w:r>
          </w:p>
          <w:p w:rsidR="00596386" w:rsidRPr="003410C7" w:rsidRDefault="00596386" w:rsidP="00262185">
            <w:pPr>
              <w:spacing w:after="60" w:line="240" w:lineRule="atLeast"/>
              <w:rPr>
                <w:rFonts w:ascii="SegoeBook" w:hAnsi="SegoeBook"/>
                <w:szCs w:val="18"/>
              </w:rPr>
            </w:pPr>
            <w:r w:rsidRPr="003410C7">
              <w:rPr>
                <w:rFonts w:ascii="SegoeBook" w:hAnsi="SegoeBook"/>
                <w:szCs w:val="18"/>
              </w:rPr>
              <w:t>Necessità dell</w:t>
            </w:r>
            <w:r w:rsidR="004525CA">
              <w:rPr>
                <w:rFonts w:ascii="SegoeBook" w:hAnsi="SegoeBook"/>
                <w:szCs w:val="18"/>
              </w:rPr>
              <w:t>’</w:t>
            </w:r>
            <w:r w:rsidRPr="003410C7">
              <w:rPr>
                <w:rFonts w:ascii="SegoeBook" w:hAnsi="SegoeBook"/>
                <w:szCs w:val="18"/>
              </w:rPr>
              <w:t>intervento entro</w:t>
            </w:r>
            <w:r w:rsidR="00262185">
              <w:rPr>
                <w:rFonts w:ascii="SegoeBook" w:hAnsi="SegoeBook"/>
                <w:szCs w:val="18"/>
              </w:rPr>
              <w:t> </w:t>
            </w:r>
            <w:r w:rsidRPr="003410C7">
              <w:rPr>
                <w:rFonts w:ascii="SegoeBook" w:hAnsi="SegoeBook"/>
                <w:szCs w:val="18"/>
              </w:rPr>
              <w:t>4</w:t>
            </w:r>
            <w:r w:rsidR="00262185">
              <w:rPr>
                <w:rFonts w:ascii="SegoeBook" w:hAnsi="SegoeBook"/>
                <w:szCs w:val="18"/>
              </w:rPr>
              <w:t> </w:t>
            </w:r>
            <w:r w:rsidRPr="003410C7">
              <w:rPr>
                <w:rFonts w:ascii="SegoeBook" w:hAnsi="SegoeBook"/>
                <w:szCs w:val="18"/>
              </w:rPr>
              <w:t>Ore</w:t>
            </w:r>
          </w:p>
        </w:tc>
        <w:tc>
          <w:tcPr>
            <w:tcW w:w="3314" w:type="dxa"/>
          </w:tcPr>
          <w:p w:rsidR="00596386" w:rsidRPr="00451078" w:rsidRDefault="00596386" w:rsidP="00647923">
            <w:pPr>
              <w:rPr>
                <w:lang w:val="it-IT"/>
              </w:rPr>
            </w:pPr>
            <w:r w:rsidRPr="00451078">
              <w:rPr>
                <w:rFonts w:ascii="SegoeBook" w:hAnsi="SegoeBook"/>
                <w:szCs w:val="18"/>
                <w:lang w:val="it-IT"/>
              </w:rPr>
              <w:t>1</w:t>
            </w:r>
            <w:r w:rsidRPr="00451078">
              <w:rPr>
                <w:rFonts w:ascii="SegoeBook" w:hAnsi="SegoeBook"/>
                <w:szCs w:val="18"/>
                <w:vertAlign w:val="superscript"/>
                <w:lang w:val="it-IT"/>
              </w:rPr>
              <w:t>a</w:t>
            </w:r>
            <w:r w:rsidRPr="00451078">
              <w:rPr>
                <w:rFonts w:ascii="SegoeBook" w:hAnsi="SegoeBook"/>
                <w:szCs w:val="18"/>
                <w:lang w:val="it-IT"/>
              </w:rPr>
              <w:t xml:space="preserve"> risposta in 4 Ore o meno</w:t>
            </w:r>
          </w:p>
          <w:p w:rsidR="00596386" w:rsidRPr="00451078" w:rsidRDefault="00596386" w:rsidP="00647923">
            <w:pPr>
              <w:spacing w:line="240" w:lineRule="atLeast"/>
              <w:rPr>
                <w:rFonts w:ascii="SegoeBook" w:hAnsi="SegoeBook"/>
                <w:szCs w:val="18"/>
                <w:lang w:val="it-IT"/>
              </w:rPr>
            </w:pPr>
          </w:p>
        </w:tc>
      </w:tr>
    </w:tbl>
    <w:p w:rsidR="00596386" w:rsidRPr="00451078" w:rsidRDefault="00596386" w:rsidP="00DD7F8E">
      <w:pPr>
        <w:rPr>
          <w:lang w:val="it-IT"/>
        </w:rPr>
      </w:pPr>
    </w:p>
    <w:p w:rsidR="000D747C" w:rsidRPr="00451078" w:rsidRDefault="000D747C" w:rsidP="000D747C">
      <w:pPr>
        <w:rPr>
          <w:lang w:val="it-IT"/>
        </w:rPr>
      </w:pPr>
      <w:r w:rsidRPr="00451078">
        <w:rPr>
          <w:rFonts w:cs="Arial"/>
          <w:snapToGrid w:val="0"/>
          <w:color w:val="000000"/>
          <w:szCs w:val="18"/>
          <w:lang w:val="it-IT"/>
        </w:rPr>
        <w:t>Le società possono scegliere di essere richiamate da Microsoft.</w:t>
      </w:r>
      <w:r w:rsidR="00082E1C" w:rsidRPr="00451078">
        <w:rPr>
          <w:rFonts w:cs="Arial"/>
          <w:snapToGrid w:val="0"/>
          <w:color w:val="000000"/>
          <w:szCs w:val="18"/>
          <w:lang w:val="it-IT"/>
        </w:rPr>
        <w:t xml:space="preserve"> </w:t>
      </w:r>
      <w:r w:rsidRPr="00451078">
        <w:rPr>
          <w:rFonts w:cs="Arial"/>
          <w:snapToGrid w:val="0"/>
          <w:color w:val="000000"/>
          <w:szCs w:val="18"/>
          <w:lang w:val="it-IT"/>
        </w:rPr>
        <w:t>Diversamente, il team di supporto di Windows Azure individuerà e risolverà l</w:t>
      </w:r>
      <w:r w:rsidR="004525CA">
        <w:rPr>
          <w:rFonts w:cs="Arial"/>
          <w:snapToGrid w:val="0"/>
          <w:color w:val="000000"/>
          <w:szCs w:val="18"/>
          <w:lang w:val="it-IT"/>
        </w:rPr>
        <w:t>’</w:t>
      </w:r>
      <w:r w:rsidRPr="00451078">
        <w:rPr>
          <w:rFonts w:cs="Arial"/>
          <w:snapToGrid w:val="0"/>
          <w:color w:val="000000"/>
          <w:szCs w:val="18"/>
          <w:lang w:val="it-IT"/>
        </w:rPr>
        <w:t>intervento tramite i canali online (ad esempio, tramite posta elettronica o il portale di Windows Azure).</w:t>
      </w:r>
    </w:p>
    <w:p w:rsidR="00737AED" w:rsidRPr="00451078" w:rsidRDefault="00737AED">
      <w:pPr>
        <w:rPr>
          <w:lang w:val="it-IT"/>
        </w:rPr>
      </w:pPr>
    </w:p>
    <w:p w:rsidR="00DC0853" w:rsidRPr="00451078" w:rsidRDefault="00596386" w:rsidP="00DC0853">
      <w:pPr>
        <w:tabs>
          <w:tab w:val="left" w:pos="360"/>
        </w:tabs>
        <w:spacing w:after="60"/>
        <w:jc w:val="both"/>
        <w:rPr>
          <w:lang w:val="it-IT"/>
        </w:rPr>
      </w:pPr>
      <w:r w:rsidRPr="00451078">
        <w:rPr>
          <w:rFonts w:cs="Arial"/>
          <w:b/>
          <w:color w:val="000000"/>
          <w:szCs w:val="18"/>
          <w:lang w:val="it-IT"/>
        </w:rPr>
        <w:t>Servizi di Escalation Aggiuntivi</w:t>
      </w:r>
    </w:p>
    <w:p w:rsidR="00596386" w:rsidRPr="008A68DF" w:rsidRDefault="00596386" w:rsidP="00596386">
      <w:pPr>
        <w:tabs>
          <w:tab w:val="left" w:pos="360"/>
        </w:tabs>
        <w:jc w:val="both"/>
        <w:rPr>
          <w:rFonts w:cs="Tahoma"/>
          <w:lang w:val="it-IT"/>
        </w:rPr>
      </w:pPr>
      <w:r w:rsidRPr="008A68DF">
        <w:rPr>
          <w:rFonts w:cs="Tahoma"/>
          <w:color w:val="000000"/>
          <w:szCs w:val="18"/>
          <w:lang w:val="it-IT"/>
        </w:rPr>
        <w:t>In aggiunta</w:t>
      </w:r>
      <w:r w:rsidRPr="008A68DF">
        <w:rPr>
          <w:rFonts w:cs="Tahoma"/>
          <w:snapToGrid w:val="0"/>
          <w:szCs w:val="18"/>
          <w:lang w:val="it-IT"/>
        </w:rPr>
        <w:t xml:space="preserve"> ai Servizi descritti sopra, le società con il Supporto Diretto Professionale per Windows Azure ricevono </w:t>
      </w:r>
      <w:r w:rsidRPr="008A68DF">
        <w:rPr>
          <w:rFonts w:cs="Tahoma"/>
          <w:snapToGrid w:val="0"/>
          <w:color w:val="000000"/>
          <w:szCs w:val="18"/>
          <w:lang w:val="it-IT"/>
        </w:rPr>
        <w:t>assistenza nel coordinare il rapporto tra il supporto e i servizi per Windows Azure.</w:t>
      </w:r>
      <w:r w:rsidR="00082E1C" w:rsidRPr="008A68DF">
        <w:rPr>
          <w:rFonts w:cs="Tahoma"/>
          <w:snapToGrid w:val="0"/>
          <w:color w:val="000000"/>
          <w:szCs w:val="18"/>
          <w:lang w:val="it-IT"/>
        </w:rPr>
        <w:t xml:space="preserve"> </w:t>
      </w:r>
      <w:r w:rsidRPr="008A68DF">
        <w:rPr>
          <w:rFonts w:cs="Tahoma"/>
          <w:snapToGrid w:val="0"/>
          <w:color w:val="000000"/>
          <w:szCs w:val="18"/>
          <w:lang w:val="it-IT"/>
        </w:rPr>
        <w:t>Tali servizi sono erogati da un pool di addetti (</w:t>
      </w:r>
      <w:r w:rsidR="001A3EC5" w:rsidRPr="008A68DF">
        <w:rPr>
          <w:rFonts w:cs="Tahoma"/>
          <w:snapToGrid w:val="0"/>
          <w:color w:val="000000"/>
          <w:szCs w:val="18"/>
          <w:lang w:val="it-IT"/>
        </w:rPr>
        <w:t>“</w:t>
      </w:r>
      <w:r w:rsidRPr="008A68DF">
        <w:rPr>
          <w:rFonts w:cs="Tahoma"/>
          <w:snapToGrid w:val="0"/>
          <w:color w:val="000000"/>
          <w:szCs w:val="18"/>
          <w:lang w:val="it-IT"/>
        </w:rPr>
        <w:t>Agenti di Escalation</w:t>
      </w:r>
      <w:r w:rsidR="001A3EC5" w:rsidRPr="008A68DF">
        <w:rPr>
          <w:rFonts w:cs="Tahoma"/>
          <w:snapToGrid w:val="0"/>
          <w:color w:val="000000"/>
          <w:szCs w:val="18"/>
          <w:lang w:val="it-IT"/>
        </w:rPr>
        <w:t>”</w:t>
      </w:r>
      <w:r w:rsidRPr="008A68DF">
        <w:rPr>
          <w:rFonts w:cs="Tahoma"/>
          <w:snapToGrid w:val="0"/>
          <w:color w:val="000000"/>
          <w:szCs w:val="18"/>
          <w:lang w:val="it-IT"/>
        </w:rPr>
        <w:t>).</w:t>
      </w:r>
      <w:r w:rsidR="00082E1C" w:rsidRPr="008A68DF">
        <w:rPr>
          <w:rFonts w:cs="Tahoma"/>
          <w:snapToGrid w:val="0"/>
          <w:color w:val="000000"/>
          <w:szCs w:val="18"/>
          <w:lang w:val="it-IT"/>
        </w:rPr>
        <w:t xml:space="preserve"> </w:t>
      </w:r>
      <w:r w:rsidRPr="008A68DF">
        <w:rPr>
          <w:rFonts w:cs="Tahoma"/>
          <w:snapToGrid w:val="0"/>
          <w:color w:val="000000"/>
          <w:szCs w:val="18"/>
          <w:lang w:val="it-IT"/>
        </w:rPr>
        <w:t xml:space="preserve">Gli Agenti di Escalation sono </w:t>
      </w:r>
      <w:r w:rsidRPr="008A68DF">
        <w:rPr>
          <w:rFonts w:cs="Tahoma"/>
          <w:szCs w:val="18"/>
          <w:lang w:val="it-IT"/>
        </w:rPr>
        <w:t xml:space="preserve">i rappresentanti </w:t>
      </w:r>
      <w:r w:rsidRPr="008A68DF">
        <w:rPr>
          <w:rFonts w:cs="Tahoma"/>
          <w:snapToGrid w:val="0"/>
          <w:color w:val="000000"/>
          <w:szCs w:val="18"/>
          <w:lang w:val="it-IT"/>
        </w:rPr>
        <w:t>della società all</w:t>
      </w:r>
      <w:r w:rsidR="004525CA">
        <w:rPr>
          <w:rFonts w:cs="Tahoma"/>
          <w:snapToGrid w:val="0"/>
          <w:color w:val="000000"/>
          <w:szCs w:val="18"/>
          <w:lang w:val="it-IT"/>
        </w:rPr>
        <w:t>’</w:t>
      </w:r>
      <w:r w:rsidRPr="008A68DF">
        <w:rPr>
          <w:rFonts w:cs="Tahoma"/>
          <w:snapToGrid w:val="0"/>
          <w:color w:val="000000"/>
          <w:szCs w:val="18"/>
          <w:lang w:val="it-IT"/>
        </w:rPr>
        <w:t>interno di Microsoft e facilitano il coordinamento con i team che possono fornire il supporto tecnico disponibile per i Servizi Online.</w:t>
      </w:r>
      <w:r w:rsidR="00082E1C" w:rsidRPr="008A68DF">
        <w:rPr>
          <w:rFonts w:cs="Tahoma"/>
          <w:snapToGrid w:val="0"/>
          <w:color w:val="000000"/>
          <w:szCs w:val="18"/>
          <w:lang w:val="it-IT"/>
        </w:rPr>
        <w:t xml:space="preserve"> </w:t>
      </w:r>
      <w:r w:rsidRPr="008A68DF">
        <w:rPr>
          <w:rFonts w:cs="Tahoma"/>
          <w:snapToGrid w:val="0"/>
          <w:color w:val="000000"/>
          <w:szCs w:val="18"/>
          <w:lang w:val="it-IT"/>
        </w:rPr>
        <w:t xml:space="preserve">Gli Agenti di Escalation fungono inoltre da punto di riferimento per la raccolta di informazioni e forniscono ad altri gruppi Microsoft </w:t>
      </w:r>
      <w:r w:rsidRPr="008A68DF">
        <w:rPr>
          <w:rFonts w:cs="Tahoma"/>
          <w:szCs w:val="18"/>
          <w:lang w:val="it-IT"/>
        </w:rPr>
        <w:t xml:space="preserve">i commenti </w:t>
      </w:r>
      <w:r w:rsidRPr="008A68DF">
        <w:rPr>
          <w:rFonts w:cs="Tahoma"/>
          <w:snapToGrid w:val="0"/>
          <w:color w:val="000000"/>
          <w:szCs w:val="18"/>
          <w:lang w:val="it-IT"/>
        </w:rPr>
        <w:t>della società in merito ai Servizi.</w:t>
      </w:r>
      <w:r w:rsidR="00082E1C" w:rsidRPr="008A68DF">
        <w:rPr>
          <w:rFonts w:cs="Tahoma"/>
          <w:snapToGrid w:val="0"/>
          <w:color w:val="000000"/>
          <w:szCs w:val="18"/>
          <w:lang w:val="it-IT"/>
        </w:rPr>
        <w:t xml:space="preserve"> </w:t>
      </w:r>
      <w:r w:rsidRPr="008A68DF">
        <w:rPr>
          <w:rFonts w:cs="Tahoma"/>
          <w:snapToGrid w:val="0"/>
          <w:color w:val="000000"/>
          <w:szCs w:val="18"/>
          <w:lang w:val="it-IT"/>
        </w:rPr>
        <w:t>Gli Agenti di Escalation potranno inoltre fornire i seguenti Servizi aggiuntivi:</w:t>
      </w:r>
    </w:p>
    <w:p w:rsidR="00596386" w:rsidRPr="008A68DF" w:rsidRDefault="00596386" w:rsidP="00596386">
      <w:pPr>
        <w:tabs>
          <w:tab w:val="left" w:pos="360"/>
        </w:tabs>
        <w:jc w:val="both"/>
        <w:rPr>
          <w:rFonts w:cs="Tahoma"/>
          <w:lang w:val="it-IT"/>
        </w:rPr>
      </w:pPr>
    </w:p>
    <w:p w:rsidR="00596386" w:rsidRPr="008A68DF" w:rsidRDefault="00596386" w:rsidP="00745AB3">
      <w:pPr>
        <w:numPr>
          <w:ilvl w:val="0"/>
          <w:numId w:val="111"/>
        </w:numPr>
        <w:tabs>
          <w:tab w:val="clear" w:pos="720"/>
        </w:tabs>
        <w:spacing w:after="60"/>
        <w:ind w:left="1440"/>
        <w:jc w:val="both"/>
        <w:rPr>
          <w:rFonts w:cs="Tahoma"/>
          <w:lang w:val="it-IT"/>
        </w:rPr>
      </w:pPr>
      <w:r w:rsidRPr="008A68DF">
        <w:rPr>
          <w:rFonts w:cs="Tahoma"/>
          <w:b/>
          <w:color w:val="000000"/>
          <w:szCs w:val="18"/>
          <w:lang w:val="it-IT"/>
        </w:rPr>
        <w:t>Pianificazione e Gestione.</w:t>
      </w:r>
      <w:r w:rsidRPr="008A68DF">
        <w:rPr>
          <w:rFonts w:cs="Tahoma"/>
          <w:szCs w:val="18"/>
          <w:lang w:val="it-IT"/>
        </w:rPr>
        <w:t xml:space="preserve"> Alla data di entrata in vigore del presente Contratto Microsoft offre una sessione di orientamento alla direzione e al personale della società tramite teleconferenza.</w:t>
      </w:r>
      <w:r w:rsidR="00082E1C" w:rsidRPr="008A68DF">
        <w:rPr>
          <w:rFonts w:cs="Tahoma"/>
          <w:szCs w:val="18"/>
          <w:lang w:val="it-IT"/>
        </w:rPr>
        <w:t xml:space="preserve"> </w:t>
      </w:r>
      <w:r w:rsidRPr="008A68DF">
        <w:rPr>
          <w:rFonts w:cs="Tahoma"/>
          <w:szCs w:val="18"/>
          <w:lang w:val="it-IT"/>
        </w:rPr>
        <w:t>Lo</w:t>
      </w:r>
      <w:r w:rsidR="00262185" w:rsidRPr="008A68DF">
        <w:rPr>
          <w:rFonts w:cs="Tahoma"/>
          <w:szCs w:val="18"/>
          <w:lang w:val="it-IT"/>
        </w:rPr>
        <w:t> </w:t>
      </w:r>
      <w:r w:rsidRPr="008A68DF">
        <w:rPr>
          <w:rFonts w:cs="Tahoma"/>
          <w:szCs w:val="18"/>
          <w:lang w:val="it-IT"/>
        </w:rPr>
        <w:t>scopo di questa riunione è di discutere i Servizi di supporto disponibili e di rispondere a</w:t>
      </w:r>
      <w:r w:rsidR="00262185" w:rsidRPr="008A68DF">
        <w:rPr>
          <w:rFonts w:cs="Tahoma"/>
          <w:szCs w:val="18"/>
          <w:lang w:val="it-IT"/>
        </w:rPr>
        <w:t> </w:t>
      </w:r>
      <w:r w:rsidRPr="008A68DF">
        <w:rPr>
          <w:rFonts w:cs="Tahoma"/>
          <w:szCs w:val="18"/>
          <w:lang w:val="it-IT"/>
        </w:rPr>
        <w:t>eventuali domande in modo che la società possa pianificare l</w:t>
      </w:r>
      <w:r w:rsidR="004525CA">
        <w:rPr>
          <w:rFonts w:cs="Tahoma"/>
          <w:szCs w:val="18"/>
          <w:lang w:val="it-IT"/>
        </w:rPr>
        <w:t>’</w:t>
      </w:r>
      <w:r w:rsidRPr="008A68DF">
        <w:rPr>
          <w:rFonts w:cs="Tahoma"/>
          <w:szCs w:val="18"/>
          <w:lang w:val="it-IT"/>
        </w:rPr>
        <w:t>utilizzo dei Servizi.</w:t>
      </w:r>
    </w:p>
    <w:p w:rsidR="00596386" w:rsidRPr="008A68DF" w:rsidRDefault="00596386" w:rsidP="00745AB3">
      <w:pPr>
        <w:numPr>
          <w:ilvl w:val="0"/>
          <w:numId w:val="111"/>
        </w:numPr>
        <w:tabs>
          <w:tab w:val="clear" w:pos="720"/>
        </w:tabs>
        <w:spacing w:after="60"/>
        <w:ind w:left="1440"/>
        <w:jc w:val="both"/>
        <w:rPr>
          <w:rFonts w:cs="Tahoma"/>
          <w:lang w:val="it-IT"/>
        </w:rPr>
      </w:pPr>
      <w:r w:rsidRPr="008A68DF">
        <w:rPr>
          <w:rFonts w:cs="Tahoma"/>
          <w:b/>
          <w:color w:val="000000"/>
          <w:szCs w:val="18"/>
          <w:lang w:val="it-IT"/>
        </w:rPr>
        <w:t>Gestione dell</w:t>
      </w:r>
      <w:r w:rsidR="004525CA">
        <w:rPr>
          <w:rFonts w:cs="Tahoma"/>
          <w:b/>
          <w:color w:val="000000"/>
          <w:szCs w:val="18"/>
          <w:lang w:val="it-IT"/>
        </w:rPr>
        <w:t>’</w:t>
      </w:r>
      <w:r w:rsidRPr="008A68DF">
        <w:rPr>
          <w:rFonts w:cs="Tahoma"/>
          <w:b/>
          <w:color w:val="000000"/>
          <w:szCs w:val="18"/>
          <w:lang w:val="it-IT"/>
        </w:rPr>
        <w:t>Escalation.</w:t>
      </w:r>
      <w:r w:rsidRPr="008A68DF">
        <w:rPr>
          <w:rFonts w:cs="Tahoma"/>
          <w:szCs w:val="18"/>
          <w:lang w:val="it-IT"/>
        </w:rPr>
        <w:t xml:space="preserve"> Un</w:t>
      </w:r>
      <w:r w:rsidRPr="008A68DF">
        <w:rPr>
          <w:rFonts w:cs="Tahoma"/>
          <w:snapToGrid w:val="0"/>
          <w:szCs w:val="18"/>
          <w:lang w:val="it-IT"/>
        </w:rPr>
        <w:t xml:space="preserve"> Agente di Escalation fornirà alla società servizi di gestione dell</w:t>
      </w:r>
      <w:r w:rsidR="004525CA">
        <w:rPr>
          <w:rFonts w:cs="Tahoma"/>
          <w:snapToGrid w:val="0"/>
          <w:szCs w:val="18"/>
          <w:lang w:val="it-IT"/>
        </w:rPr>
        <w:t>’</w:t>
      </w:r>
      <w:r w:rsidRPr="008A68DF">
        <w:rPr>
          <w:rFonts w:cs="Tahoma"/>
          <w:snapToGrid w:val="0"/>
          <w:szCs w:val="18"/>
          <w:lang w:val="it-IT"/>
        </w:rPr>
        <w:t>escalation per Windows Azure.</w:t>
      </w:r>
    </w:p>
    <w:p w:rsidR="00596386" w:rsidRPr="008A68DF" w:rsidRDefault="00596386" w:rsidP="00596386">
      <w:pPr>
        <w:tabs>
          <w:tab w:val="left" w:pos="360"/>
        </w:tabs>
        <w:jc w:val="both"/>
        <w:rPr>
          <w:rFonts w:cs="Tahoma"/>
          <w:lang w:val="it-IT"/>
        </w:rPr>
      </w:pPr>
    </w:p>
    <w:p w:rsidR="00596386" w:rsidRPr="008A68DF" w:rsidRDefault="00596386" w:rsidP="00E03856">
      <w:pPr>
        <w:pStyle w:val="normal1"/>
        <w:jc w:val="both"/>
        <w:rPr>
          <w:rFonts w:ascii="Tahoma" w:hAnsi="Tahoma" w:cs="Tahoma"/>
          <w:lang w:val="it-IT"/>
        </w:rPr>
      </w:pPr>
      <w:r w:rsidRPr="008A68DF">
        <w:rPr>
          <w:rFonts w:ascii="Tahoma" w:hAnsi="Tahoma" w:cs="Tahoma"/>
          <w:color w:val="000000"/>
          <w:sz w:val="18"/>
          <w:szCs w:val="18"/>
          <w:lang w:val="it-IT"/>
        </w:rPr>
        <w:t>I Servizi di Escalation sono erogati dalle 9.00 alle 17.00 Ora Locale solo nei mercati disponibili,</w:t>
      </w:r>
      <w:r w:rsidRPr="008A68DF">
        <w:rPr>
          <w:rFonts w:ascii="Tahoma" w:hAnsi="Tahoma" w:cs="Tahoma"/>
          <w:color w:val="FF3399"/>
          <w:sz w:val="18"/>
          <w:szCs w:val="18"/>
          <w:lang w:val="it-IT"/>
        </w:rPr>
        <w:t xml:space="preserve"> </w:t>
      </w:r>
      <w:r w:rsidRPr="008A68DF">
        <w:rPr>
          <w:rFonts w:ascii="Tahoma" w:hAnsi="Tahoma" w:cs="Tahoma"/>
          <w:sz w:val="18"/>
          <w:szCs w:val="18"/>
          <w:lang w:val="it-IT"/>
        </w:rPr>
        <w:t>da lunedì a venerdì, fine settimana e festività esclusi.</w:t>
      </w:r>
      <w:r w:rsidRPr="008A68DF">
        <w:rPr>
          <w:rFonts w:ascii="Tahoma" w:hAnsi="Tahoma" w:cs="Tahoma"/>
          <w:color w:val="000000"/>
          <w:sz w:val="18"/>
          <w:szCs w:val="18"/>
          <w:u w:val="single"/>
          <w:lang w:val="it-IT"/>
        </w:rPr>
        <w:t xml:space="preserve"> </w:t>
      </w:r>
    </w:p>
    <w:p w:rsidR="00596386" w:rsidRPr="008A68DF" w:rsidRDefault="00596386" w:rsidP="00596386">
      <w:pPr>
        <w:pStyle w:val="normal1"/>
        <w:jc w:val="both"/>
        <w:rPr>
          <w:rFonts w:ascii="Tahoma" w:hAnsi="Tahoma" w:cs="Tahoma"/>
          <w:lang w:val="it-IT"/>
        </w:rPr>
      </w:pPr>
    </w:p>
    <w:p w:rsidR="00DC0853" w:rsidRPr="008A68DF" w:rsidRDefault="00596386" w:rsidP="00DC0853">
      <w:pPr>
        <w:tabs>
          <w:tab w:val="left" w:pos="360"/>
        </w:tabs>
        <w:spacing w:after="60"/>
        <w:jc w:val="both"/>
        <w:rPr>
          <w:rFonts w:cs="Tahoma"/>
          <w:lang w:val="it-IT"/>
        </w:rPr>
      </w:pPr>
      <w:r w:rsidRPr="008A68DF">
        <w:rPr>
          <w:rFonts w:cs="Tahoma"/>
          <w:b/>
          <w:szCs w:val="18"/>
          <w:lang w:val="it-IT"/>
        </w:rPr>
        <w:t>Altri Servizi Informativi e Vantaggi</w:t>
      </w:r>
    </w:p>
    <w:p w:rsidR="00596386" w:rsidRPr="003410C7" w:rsidRDefault="00596386" w:rsidP="00596386">
      <w:pPr>
        <w:tabs>
          <w:tab w:val="left" w:pos="360"/>
        </w:tabs>
        <w:jc w:val="both"/>
      </w:pPr>
      <w:r w:rsidRPr="008A68DF">
        <w:rPr>
          <w:rFonts w:cs="Tahoma"/>
          <w:szCs w:val="18"/>
          <w:lang w:val="it-IT"/>
        </w:rPr>
        <w:t>I Servizi Informativi forniscono dettagli tecnici su Windows Azure e gli strumenti di supporto che consentono alle società di implementare e far</w:t>
      </w:r>
      <w:r w:rsidRPr="00451078">
        <w:rPr>
          <w:rFonts w:cs="Arial"/>
          <w:szCs w:val="18"/>
          <w:lang w:val="it-IT"/>
        </w:rPr>
        <w:t xml:space="preserve"> funzionare Windows Azure in modo più efficiente ed efficace.</w:t>
      </w:r>
      <w:r w:rsidR="00082E1C" w:rsidRPr="00451078">
        <w:rPr>
          <w:rFonts w:cs="Arial"/>
          <w:szCs w:val="18"/>
          <w:lang w:val="it-IT"/>
        </w:rPr>
        <w:t xml:space="preserve"> </w:t>
      </w:r>
      <w:r w:rsidRPr="003410C7">
        <w:rPr>
          <w:rFonts w:cs="Arial"/>
          <w:szCs w:val="18"/>
        </w:rPr>
        <w:t>I Servizi Informativi includono quanto segue:</w:t>
      </w:r>
    </w:p>
    <w:p w:rsidR="00596386" w:rsidRPr="003410C7" w:rsidRDefault="00596386" w:rsidP="00596386">
      <w:pPr>
        <w:tabs>
          <w:tab w:val="left" w:pos="360"/>
        </w:tabs>
        <w:jc w:val="both"/>
      </w:pPr>
    </w:p>
    <w:p w:rsidR="00596386" w:rsidRPr="00451078" w:rsidRDefault="00596386" w:rsidP="00745AB3">
      <w:pPr>
        <w:pStyle w:val="ListParagraph"/>
        <w:numPr>
          <w:ilvl w:val="0"/>
          <w:numId w:val="112"/>
        </w:numPr>
        <w:tabs>
          <w:tab w:val="left" w:pos="360"/>
        </w:tabs>
        <w:spacing w:after="60"/>
        <w:ind w:left="1440"/>
        <w:contextualSpacing w:val="0"/>
        <w:jc w:val="both"/>
        <w:rPr>
          <w:lang w:val="it-IT"/>
        </w:rPr>
      </w:pPr>
      <w:r w:rsidRPr="00451078">
        <w:rPr>
          <w:rFonts w:ascii="Tahoma" w:hAnsi="Tahoma" w:cs="Tahoma"/>
          <w:b/>
          <w:color w:val="000000"/>
          <w:sz w:val="18"/>
          <w:szCs w:val="18"/>
          <w:lang w:val="it-IT"/>
        </w:rPr>
        <w:t xml:space="preserve">Supporto Diretto Professionale per il contenuto esclusivo di Windows Azure. </w:t>
      </w:r>
      <w:r w:rsidRPr="00451078">
        <w:rPr>
          <w:rFonts w:ascii="Tahoma" w:hAnsi="Tahoma" w:cs="Arial"/>
          <w:snapToGrid w:val="0"/>
          <w:sz w:val="18"/>
          <w:szCs w:val="18"/>
          <w:lang w:val="it-IT"/>
        </w:rPr>
        <w:t>Alle società verrà concesso l</w:t>
      </w:r>
      <w:r w:rsidR="004525CA">
        <w:rPr>
          <w:rFonts w:ascii="Tahoma" w:hAnsi="Tahoma" w:cs="Arial"/>
          <w:snapToGrid w:val="0"/>
          <w:sz w:val="18"/>
          <w:szCs w:val="18"/>
          <w:lang w:val="it-IT"/>
        </w:rPr>
        <w:t>’</w:t>
      </w:r>
      <w:r w:rsidRPr="00451078">
        <w:rPr>
          <w:rFonts w:ascii="Tahoma" w:hAnsi="Tahoma" w:cs="Arial"/>
          <w:snapToGrid w:val="0"/>
          <w:sz w:val="18"/>
          <w:szCs w:val="18"/>
          <w:lang w:val="it-IT"/>
        </w:rPr>
        <w:t>accesso al contenuto esclusivo di Windows Azure, inclusi, a titolo esemplificativo, pubblicazioni online relative a manuali con procedure consigliate di architettura e distribuzione, contenuto di training archiviato, notifiche di futuri Webinar e altre informazioni di carattere generico su Windows Azure.</w:t>
      </w:r>
    </w:p>
    <w:p w:rsidR="00596386" w:rsidRPr="00451078" w:rsidRDefault="00596386" w:rsidP="00745AB3">
      <w:pPr>
        <w:numPr>
          <w:ilvl w:val="0"/>
          <w:numId w:val="112"/>
        </w:numPr>
        <w:tabs>
          <w:tab w:val="left" w:pos="360"/>
        </w:tabs>
        <w:spacing w:after="60"/>
        <w:ind w:left="1440"/>
        <w:jc w:val="both"/>
        <w:rPr>
          <w:lang w:val="it-IT"/>
        </w:rPr>
      </w:pPr>
      <w:r w:rsidRPr="00451078">
        <w:rPr>
          <w:rFonts w:cs="Tahoma"/>
          <w:b/>
          <w:color w:val="000000"/>
          <w:szCs w:val="18"/>
          <w:lang w:val="it-IT"/>
        </w:rPr>
        <w:t>Webinar.</w:t>
      </w:r>
      <w:r w:rsidRPr="00451078">
        <w:rPr>
          <w:rFonts w:cs="Arial"/>
          <w:szCs w:val="18"/>
          <w:lang w:val="it-IT"/>
        </w:rPr>
        <w:t xml:space="preserve"> I Webinar sono discussioni pianificate su base periodica condotte da esperti Microsoft che seguono aree importanti dei Microsoft Online Services. I Webinar includono, a titolo esemplificativo, </w:t>
      </w:r>
      <w:r w:rsidR="001A3EC5" w:rsidRPr="00451078">
        <w:rPr>
          <w:rFonts w:cs="Arial"/>
          <w:szCs w:val="18"/>
          <w:lang w:val="it-IT"/>
        </w:rPr>
        <w:t>“</w:t>
      </w:r>
      <w:r w:rsidRPr="00451078">
        <w:rPr>
          <w:rFonts w:cs="Arial"/>
          <w:szCs w:val="18"/>
          <w:lang w:val="it-IT"/>
        </w:rPr>
        <w:t>Guida Introduttiva</w:t>
      </w:r>
      <w:r w:rsidR="001A3EC5" w:rsidRPr="00451078">
        <w:rPr>
          <w:rFonts w:cs="Arial"/>
          <w:szCs w:val="18"/>
          <w:lang w:val="it-IT"/>
        </w:rPr>
        <w:t>”</w:t>
      </w:r>
      <w:r w:rsidRPr="00451078">
        <w:rPr>
          <w:rFonts w:cs="Arial"/>
          <w:szCs w:val="18"/>
          <w:lang w:val="it-IT"/>
        </w:rPr>
        <w:t xml:space="preserve"> con Windows Azure, Briefing sulle Nuove Funzionalità e</w:t>
      </w:r>
      <w:r w:rsidR="00262185" w:rsidRPr="00451078">
        <w:rPr>
          <w:rFonts w:cs="Arial"/>
          <w:szCs w:val="18"/>
          <w:lang w:val="it-IT"/>
        </w:rPr>
        <w:t> </w:t>
      </w:r>
      <w:r w:rsidRPr="00451078">
        <w:rPr>
          <w:rFonts w:cs="Arial"/>
          <w:szCs w:val="18"/>
          <w:lang w:val="it-IT"/>
        </w:rPr>
        <w:t xml:space="preserve">Domande e Risposte con gli Esperti. </w:t>
      </w:r>
    </w:p>
    <w:p w:rsidR="00596386" w:rsidRPr="00451078" w:rsidRDefault="00596386" w:rsidP="00745AB3">
      <w:pPr>
        <w:numPr>
          <w:ilvl w:val="0"/>
          <w:numId w:val="112"/>
        </w:numPr>
        <w:tabs>
          <w:tab w:val="left" w:pos="360"/>
        </w:tabs>
        <w:spacing w:after="60"/>
        <w:ind w:left="1440"/>
        <w:jc w:val="both"/>
        <w:rPr>
          <w:lang w:val="it-IT"/>
        </w:rPr>
      </w:pPr>
      <w:r w:rsidRPr="00451078">
        <w:rPr>
          <w:rFonts w:cs="Tahoma"/>
          <w:b/>
          <w:color w:val="000000"/>
          <w:szCs w:val="18"/>
          <w:lang w:val="it-IT"/>
        </w:rPr>
        <w:t>Servizi di Consulenza Aggiuntivi erogati dagli Agenti di Escalation.</w:t>
      </w:r>
    </w:p>
    <w:p w:rsidR="00596386" w:rsidRPr="00451078" w:rsidRDefault="00596386" w:rsidP="00745AB3">
      <w:pPr>
        <w:numPr>
          <w:ilvl w:val="1"/>
          <w:numId w:val="98"/>
        </w:numPr>
        <w:tabs>
          <w:tab w:val="left" w:pos="360"/>
        </w:tabs>
        <w:spacing w:after="60"/>
        <w:ind w:left="1980"/>
        <w:jc w:val="both"/>
        <w:rPr>
          <w:lang w:val="it-IT"/>
        </w:rPr>
      </w:pPr>
      <w:r w:rsidRPr="00451078">
        <w:rPr>
          <w:rFonts w:cs="Arial"/>
          <w:snapToGrid w:val="0"/>
          <w:szCs w:val="18"/>
          <w:lang w:val="it-IT"/>
        </w:rPr>
        <w:t>Riferimenti alle principali risorse online.</w:t>
      </w:r>
      <w:r w:rsidR="00082E1C" w:rsidRPr="00451078">
        <w:rPr>
          <w:rFonts w:cs="Arial"/>
          <w:snapToGrid w:val="0"/>
          <w:szCs w:val="18"/>
          <w:lang w:val="it-IT"/>
        </w:rPr>
        <w:t xml:space="preserve"> </w:t>
      </w:r>
      <w:r w:rsidRPr="00451078">
        <w:rPr>
          <w:rFonts w:cs="Arial"/>
          <w:snapToGrid w:val="0"/>
          <w:szCs w:val="18"/>
          <w:lang w:val="it-IT"/>
        </w:rPr>
        <w:t>Un Agente di Escalation fornirà alle società suggerimenti, incluse le istruzioni su come accedere alle risorse self-service in quel momento disponibili per poter rispondere alle domande relative alle procedure sui servizi e le funzionalità comuni di Windows Azure.</w:t>
      </w:r>
    </w:p>
    <w:p w:rsidR="00596386" w:rsidRPr="00451078" w:rsidRDefault="00596386" w:rsidP="00745AB3">
      <w:pPr>
        <w:numPr>
          <w:ilvl w:val="1"/>
          <w:numId w:val="98"/>
        </w:numPr>
        <w:spacing w:after="60"/>
        <w:ind w:left="1980"/>
        <w:jc w:val="both"/>
        <w:rPr>
          <w:lang w:val="it-IT"/>
        </w:rPr>
      </w:pPr>
      <w:r w:rsidRPr="00451078">
        <w:rPr>
          <w:rFonts w:cs="Arial"/>
          <w:snapToGrid w:val="0"/>
          <w:szCs w:val="18"/>
          <w:lang w:val="it-IT"/>
        </w:rPr>
        <w:t>Orientamento di base degli interventi.</w:t>
      </w:r>
      <w:r w:rsidR="00082E1C" w:rsidRPr="00451078">
        <w:rPr>
          <w:rFonts w:cs="Arial"/>
          <w:snapToGrid w:val="0"/>
          <w:szCs w:val="18"/>
          <w:lang w:val="it-IT"/>
        </w:rPr>
        <w:t xml:space="preserve"> </w:t>
      </w:r>
      <w:r w:rsidRPr="00451078">
        <w:rPr>
          <w:rFonts w:cs="Arial"/>
          <w:snapToGrid w:val="0"/>
          <w:szCs w:val="18"/>
          <w:lang w:val="it-IT"/>
        </w:rPr>
        <w:t>Un Agente di Escalation aiuterà a rilevare e valutare la causa principale delle richieste comuni di supporto formulate dalle società, fornendo consigli su come attenuare tali problematiche in futuro.</w:t>
      </w:r>
    </w:p>
    <w:p w:rsidR="00596386" w:rsidRPr="00451078" w:rsidRDefault="00596386" w:rsidP="00745AB3">
      <w:pPr>
        <w:pStyle w:val="ListParagraph"/>
        <w:numPr>
          <w:ilvl w:val="1"/>
          <w:numId w:val="98"/>
        </w:numPr>
        <w:tabs>
          <w:tab w:val="left" w:pos="360"/>
        </w:tabs>
        <w:contextualSpacing w:val="0"/>
        <w:jc w:val="both"/>
        <w:rPr>
          <w:lang w:val="it-IT"/>
        </w:rPr>
      </w:pPr>
      <w:r w:rsidRPr="00451078">
        <w:rPr>
          <w:rFonts w:ascii="Tahoma" w:hAnsi="Tahoma" w:cs="Tahoma"/>
          <w:b/>
          <w:color w:val="000000"/>
          <w:sz w:val="18"/>
          <w:szCs w:val="18"/>
          <w:lang w:val="it-IT"/>
        </w:rPr>
        <w:lastRenderedPageBreak/>
        <w:t>Segnalazioni per l</w:t>
      </w:r>
      <w:r w:rsidR="004525CA">
        <w:rPr>
          <w:rFonts w:ascii="Tahoma" w:hAnsi="Tahoma" w:cs="Tahoma"/>
          <w:b/>
          <w:color w:val="000000"/>
          <w:sz w:val="18"/>
          <w:szCs w:val="18"/>
          <w:lang w:val="it-IT"/>
        </w:rPr>
        <w:t>’</w:t>
      </w:r>
      <w:r w:rsidRPr="00451078">
        <w:rPr>
          <w:rFonts w:ascii="Tahoma" w:hAnsi="Tahoma" w:cs="Tahoma"/>
          <w:b/>
          <w:color w:val="000000"/>
          <w:sz w:val="18"/>
          <w:szCs w:val="18"/>
          <w:lang w:val="it-IT"/>
        </w:rPr>
        <w:t xml:space="preserve">Ottimizzazione di Windows Azure. </w:t>
      </w:r>
      <w:r w:rsidRPr="00451078">
        <w:rPr>
          <w:rFonts w:ascii="Tahoma" w:hAnsi="Tahoma" w:cs="Arial"/>
          <w:sz w:val="18"/>
          <w:szCs w:val="18"/>
          <w:lang w:val="it-IT"/>
        </w:rPr>
        <w:t>Un Agente di Escalation fornirà segnalazioni periodiche per contribuire all</w:t>
      </w:r>
      <w:r w:rsidR="004525CA">
        <w:rPr>
          <w:rFonts w:ascii="Tahoma" w:hAnsi="Tahoma" w:cs="Arial"/>
          <w:sz w:val="18"/>
          <w:szCs w:val="18"/>
          <w:lang w:val="it-IT"/>
        </w:rPr>
        <w:t>’</w:t>
      </w:r>
      <w:r w:rsidRPr="00451078">
        <w:rPr>
          <w:rFonts w:ascii="Tahoma" w:hAnsi="Tahoma" w:cs="Arial"/>
          <w:sz w:val="18"/>
          <w:szCs w:val="18"/>
          <w:lang w:val="it-IT"/>
        </w:rPr>
        <w:t>identificazione delle potenziali</w:t>
      </w:r>
      <w:r w:rsidRPr="00451078">
        <w:rPr>
          <w:rFonts w:cs="Arial"/>
          <w:szCs w:val="18"/>
          <w:lang w:val="it-IT"/>
        </w:rPr>
        <w:t xml:space="preserve"> </w:t>
      </w:r>
      <w:r w:rsidRPr="00451078">
        <w:rPr>
          <w:rFonts w:ascii="Tahoma" w:hAnsi="Tahoma" w:cs="Arial"/>
          <w:sz w:val="18"/>
          <w:szCs w:val="18"/>
          <w:lang w:val="it-IT"/>
        </w:rPr>
        <w:t>riduzioni di costo, per ottimizzare le attività e migliorare l</w:t>
      </w:r>
      <w:r w:rsidR="004525CA">
        <w:rPr>
          <w:rFonts w:ascii="Tahoma" w:hAnsi="Tahoma" w:cs="Arial"/>
          <w:sz w:val="18"/>
          <w:szCs w:val="18"/>
          <w:lang w:val="it-IT"/>
        </w:rPr>
        <w:t>’</w:t>
      </w:r>
      <w:r w:rsidRPr="00451078">
        <w:rPr>
          <w:rFonts w:ascii="Tahoma" w:hAnsi="Tahoma" w:cs="Arial"/>
          <w:sz w:val="18"/>
          <w:szCs w:val="18"/>
          <w:lang w:val="it-IT"/>
        </w:rPr>
        <w:t>esperienza utente.</w:t>
      </w:r>
      <w:r w:rsidR="00082E1C" w:rsidRPr="00451078">
        <w:rPr>
          <w:rFonts w:ascii="Tahoma" w:hAnsi="Tahoma"/>
          <w:sz w:val="18"/>
          <w:lang w:val="it-IT"/>
        </w:rPr>
        <w:t xml:space="preserve"> </w:t>
      </w:r>
    </w:p>
    <w:p w:rsidR="00AC11F4" w:rsidRDefault="00AC11F4" w:rsidP="00596386">
      <w:pPr>
        <w:tabs>
          <w:tab w:val="left" w:pos="360"/>
        </w:tabs>
        <w:jc w:val="both"/>
        <w:rPr>
          <w:rFonts w:cs="Arial"/>
          <w:b/>
          <w:sz w:val="24"/>
          <w:szCs w:val="18"/>
          <w:lang w:val="it-IT"/>
        </w:rPr>
      </w:pPr>
    </w:p>
    <w:p w:rsidR="00596386" w:rsidRPr="007B3AF6" w:rsidRDefault="00596386" w:rsidP="00596386">
      <w:pPr>
        <w:tabs>
          <w:tab w:val="left" w:pos="360"/>
        </w:tabs>
        <w:jc w:val="both"/>
        <w:rPr>
          <w:lang w:val="it-IT"/>
        </w:rPr>
      </w:pPr>
      <w:r w:rsidRPr="007B3AF6">
        <w:rPr>
          <w:rFonts w:cs="Arial"/>
          <w:b/>
          <w:sz w:val="24"/>
          <w:szCs w:val="18"/>
          <w:lang w:val="it-IT"/>
        </w:rPr>
        <w:t>Supporto Standard per Windows Azure</w:t>
      </w:r>
    </w:p>
    <w:p w:rsidR="00596386" w:rsidRPr="007B3AF6" w:rsidRDefault="00596386" w:rsidP="00596386">
      <w:pPr>
        <w:tabs>
          <w:tab w:val="left" w:pos="360"/>
        </w:tabs>
        <w:jc w:val="both"/>
        <w:rPr>
          <w:lang w:val="it-IT"/>
        </w:rPr>
      </w:pPr>
    </w:p>
    <w:p w:rsidR="0064651F" w:rsidRDefault="00A47BFD">
      <w:pPr>
        <w:rPr>
          <w:rFonts w:cs="Arial"/>
          <w:szCs w:val="18"/>
          <w:lang w:val="it-IT"/>
        </w:rPr>
      </w:pPr>
      <w:r w:rsidRPr="00451078">
        <w:rPr>
          <w:rFonts w:cs="Arial"/>
          <w:color w:val="000000"/>
          <w:szCs w:val="18"/>
          <w:lang w:val="it-IT"/>
        </w:rPr>
        <w:t>Le società avranno la responsabilità di definire il livello di gravità iniziale durante la procedura di invio tramite Web in</w:t>
      </w:r>
      <w:r w:rsidR="00262185" w:rsidRPr="00451078">
        <w:rPr>
          <w:rFonts w:cs="Arial"/>
          <w:color w:val="000000"/>
          <w:szCs w:val="18"/>
          <w:lang w:val="it-IT"/>
        </w:rPr>
        <w:t> </w:t>
      </w:r>
      <w:r w:rsidRPr="00451078">
        <w:rPr>
          <w:rFonts w:cs="Arial"/>
          <w:color w:val="000000"/>
          <w:szCs w:val="18"/>
          <w:lang w:val="it-IT"/>
        </w:rPr>
        <w:t>linea con le indicazioni di gravità fornite di seguito.</w:t>
      </w:r>
      <w:r w:rsidR="00082E1C" w:rsidRPr="00451078">
        <w:rPr>
          <w:rFonts w:cs="Arial"/>
          <w:color w:val="000000"/>
          <w:szCs w:val="18"/>
          <w:lang w:val="it-IT"/>
        </w:rPr>
        <w:t xml:space="preserve"> </w:t>
      </w:r>
      <w:r w:rsidRPr="00451078">
        <w:rPr>
          <w:rFonts w:cs="Arial"/>
          <w:color w:val="000000"/>
          <w:szCs w:val="18"/>
          <w:lang w:val="it-IT"/>
        </w:rPr>
        <w:t>Microsoft potrà ridurre il livello di gravità qualora la società non</w:t>
      </w:r>
      <w:r w:rsidR="00262185" w:rsidRPr="00451078">
        <w:rPr>
          <w:rFonts w:cs="Arial"/>
          <w:color w:val="000000"/>
          <w:szCs w:val="18"/>
          <w:lang w:val="it-IT"/>
        </w:rPr>
        <w:t> </w:t>
      </w:r>
      <w:r w:rsidRPr="00451078">
        <w:rPr>
          <w:rFonts w:cs="Arial"/>
          <w:color w:val="000000"/>
          <w:szCs w:val="18"/>
          <w:lang w:val="it-IT"/>
        </w:rPr>
        <w:t xml:space="preserve">sia in grado di fornire risorse o risposte adeguate a supportare Microsoft nel suo impegno volto a risolvere il problema. </w:t>
      </w:r>
      <w:r w:rsidRPr="00451078">
        <w:rPr>
          <w:rFonts w:cs="Arial"/>
          <w:szCs w:val="18"/>
          <w:lang w:val="it-IT"/>
        </w:rPr>
        <w:t>La gravità dell</w:t>
      </w:r>
      <w:r w:rsidR="004525CA">
        <w:rPr>
          <w:rFonts w:cs="Arial"/>
          <w:szCs w:val="18"/>
          <w:lang w:val="it-IT"/>
        </w:rPr>
        <w:t>’</w:t>
      </w:r>
      <w:r w:rsidRPr="00451078">
        <w:rPr>
          <w:rFonts w:cs="Arial"/>
          <w:szCs w:val="18"/>
          <w:lang w:val="it-IT"/>
        </w:rPr>
        <w:t>intervento determinerà i livelli di risposta da parte di Microsoft. I tempi di risposta previsti sono definiti nella tabella che segue. La possibilità per Microsoft di offrire i servizi dipende dalla totale e tempestiva collaborazione della società e dall</w:t>
      </w:r>
      <w:r w:rsidR="004525CA">
        <w:rPr>
          <w:rFonts w:cs="Arial"/>
          <w:szCs w:val="18"/>
          <w:lang w:val="it-IT"/>
        </w:rPr>
        <w:t>’</w:t>
      </w:r>
      <w:r w:rsidRPr="00451078">
        <w:rPr>
          <w:rFonts w:cs="Arial"/>
          <w:szCs w:val="18"/>
          <w:lang w:val="it-IT"/>
        </w:rPr>
        <w:t>accuratezza e completezza dei dati forniti.</w:t>
      </w:r>
    </w:p>
    <w:p w:rsidR="001D6378" w:rsidRDefault="001D6378">
      <w:pPr>
        <w:rPr>
          <w:lang w:val="it-IT"/>
        </w:rPr>
      </w:pPr>
    </w:p>
    <w:tbl>
      <w:tblPr>
        <w:tblW w:w="5000" w:type="pct"/>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492"/>
        <w:gridCol w:w="1957"/>
        <w:gridCol w:w="3009"/>
        <w:gridCol w:w="3118"/>
      </w:tblGrid>
      <w:tr w:rsidR="00596386" w:rsidRPr="003410C7" w:rsidTr="002A6416">
        <w:tc>
          <w:tcPr>
            <w:tcW w:w="779" w:type="pct"/>
            <w:shd w:val="clear" w:color="auto" w:fill="FABF8F"/>
          </w:tcPr>
          <w:p w:rsidR="00596386" w:rsidRPr="003410C7" w:rsidRDefault="00596386" w:rsidP="0037031E">
            <w:pPr>
              <w:jc w:val="center"/>
              <w:rPr>
                <w:rFonts w:cs="Tahoma"/>
                <w:b/>
                <w:bCs/>
                <w:color w:val="000000"/>
                <w:sz w:val="20"/>
                <w:szCs w:val="18"/>
              </w:rPr>
            </w:pPr>
            <w:r w:rsidRPr="003410C7">
              <w:rPr>
                <w:rFonts w:cs="Tahoma"/>
                <w:b/>
                <w:bCs/>
                <w:color w:val="000000"/>
                <w:sz w:val="20"/>
                <w:szCs w:val="18"/>
              </w:rPr>
              <w:t>Severity</w:t>
            </w:r>
          </w:p>
        </w:tc>
        <w:tc>
          <w:tcPr>
            <w:tcW w:w="1022" w:type="pct"/>
            <w:shd w:val="clear" w:color="auto" w:fill="FABF8F"/>
          </w:tcPr>
          <w:p w:rsidR="00596386" w:rsidRPr="003410C7" w:rsidRDefault="00596386" w:rsidP="0037031E">
            <w:pPr>
              <w:jc w:val="center"/>
              <w:rPr>
                <w:rFonts w:cs="Tahoma"/>
                <w:b/>
                <w:bCs/>
                <w:color w:val="000000"/>
                <w:sz w:val="20"/>
                <w:szCs w:val="18"/>
              </w:rPr>
            </w:pPr>
            <w:r w:rsidRPr="003410C7">
              <w:rPr>
                <w:rFonts w:cs="Tahoma"/>
                <w:b/>
                <w:bCs/>
                <w:color w:val="000000"/>
                <w:sz w:val="20"/>
                <w:szCs w:val="18"/>
              </w:rPr>
              <w:t>Contatto</w:t>
            </w:r>
          </w:p>
        </w:tc>
        <w:tc>
          <w:tcPr>
            <w:tcW w:w="1571" w:type="pct"/>
            <w:shd w:val="clear" w:color="auto" w:fill="FABF8F"/>
          </w:tcPr>
          <w:p w:rsidR="00596386" w:rsidRPr="003410C7" w:rsidRDefault="00596386" w:rsidP="0037031E">
            <w:pPr>
              <w:jc w:val="center"/>
              <w:rPr>
                <w:rFonts w:cs="Tahoma"/>
                <w:b/>
                <w:bCs/>
                <w:color w:val="000000"/>
                <w:sz w:val="20"/>
                <w:szCs w:val="18"/>
              </w:rPr>
            </w:pPr>
            <w:r w:rsidRPr="003410C7">
              <w:rPr>
                <w:rFonts w:cs="Tahoma"/>
                <w:b/>
                <w:bCs/>
                <w:color w:val="000000"/>
                <w:sz w:val="20"/>
                <w:szCs w:val="18"/>
              </w:rPr>
              <w:t>Situazione della Società</w:t>
            </w:r>
          </w:p>
        </w:tc>
        <w:tc>
          <w:tcPr>
            <w:tcW w:w="1628" w:type="pct"/>
            <w:shd w:val="clear" w:color="auto" w:fill="FABF8F"/>
          </w:tcPr>
          <w:p w:rsidR="00596386" w:rsidRPr="003410C7" w:rsidRDefault="00596386" w:rsidP="0037031E">
            <w:pPr>
              <w:jc w:val="center"/>
              <w:rPr>
                <w:rFonts w:cs="Tahoma"/>
                <w:b/>
                <w:bCs/>
                <w:color w:val="000000"/>
                <w:sz w:val="20"/>
                <w:szCs w:val="18"/>
              </w:rPr>
            </w:pPr>
            <w:r w:rsidRPr="003410C7">
              <w:rPr>
                <w:rFonts w:cs="Tahoma"/>
                <w:b/>
                <w:bCs/>
                <w:color w:val="000000"/>
                <w:sz w:val="20"/>
                <w:szCs w:val="18"/>
              </w:rPr>
              <w:t>Risposta di Microsoft Attesa</w:t>
            </w:r>
          </w:p>
        </w:tc>
      </w:tr>
      <w:tr w:rsidR="00596386" w:rsidRPr="00DC1102" w:rsidTr="002A6416">
        <w:tc>
          <w:tcPr>
            <w:tcW w:w="779" w:type="pct"/>
          </w:tcPr>
          <w:p w:rsidR="00596386" w:rsidRPr="003410C7" w:rsidRDefault="00596386" w:rsidP="00647923">
            <w:pPr>
              <w:spacing w:after="60" w:line="240" w:lineRule="atLeast"/>
              <w:jc w:val="center"/>
              <w:rPr>
                <w:rFonts w:ascii="SegoeBook" w:hAnsi="SegoeBook"/>
                <w:szCs w:val="18"/>
              </w:rPr>
            </w:pPr>
            <w:r w:rsidRPr="003410C7">
              <w:rPr>
                <w:rFonts w:ascii="SegoeBook" w:hAnsi="SegoeBook"/>
                <w:szCs w:val="18"/>
              </w:rPr>
              <w:t>A</w:t>
            </w:r>
          </w:p>
        </w:tc>
        <w:tc>
          <w:tcPr>
            <w:tcW w:w="1022" w:type="pct"/>
          </w:tcPr>
          <w:p w:rsidR="00596386" w:rsidRPr="003410C7" w:rsidRDefault="00596386" w:rsidP="00262185">
            <w:pPr>
              <w:spacing w:after="60" w:line="240" w:lineRule="atLeast"/>
              <w:jc w:val="center"/>
              <w:rPr>
                <w:rFonts w:ascii="SegoeBook" w:hAnsi="SegoeBook"/>
                <w:szCs w:val="18"/>
              </w:rPr>
            </w:pPr>
            <w:r w:rsidRPr="003410C7">
              <w:rPr>
                <w:rFonts w:ascii="SegoeBook" w:hAnsi="SegoeBook"/>
                <w:szCs w:val="18"/>
              </w:rPr>
              <w:t>Formulazione via</w:t>
            </w:r>
            <w:r w:rsidR="00262185">
              <w:rPr>
                <w:rFonts w:ascii="SegoeBook" w:hAnsi="SegoeBook"/>
                <w:szCs w:val="18"/>
              </w:rPr>
              <w:t> </w:t>
            </w:r>
            <w:r w:rsidRPr="003410C7">
              <w:rPr>
                <w:rFonts w:ascii="SegoeBook" w:hAnsi="SegoeBook"/>
                <w:szCs w:val="18"/>
              </w:rPr>
              <w:t>Web</w:t>
            </w:r>
          </w:p>
        </w:tc>
        <w:tc>
          <w:tcPr>
            <w:tcW w:w="1571" w:type="pct"/>
          </w:tcPr>
          <w:p w:rsidR="00596386" w:rsidRPr="00451078" w:rsidRDefault="00596386" w:rsidP="00647923">
            <w:pPr>
              <w:spacing w:after="60" w:line="240" w:lineRule="atLeast"/>
              <w:rPr>
                <w:lang w:val="it-IT"/>
              </w:rPr>
            </w:pPr>
            <w:r w:rsidRPr="00451078">
              <w:rPr>
                <w:rFonts w:ascii="SegoeBook" w:hAnsi="SegoeBook"/>
                <w:szCs w:val="18"/>
                <w:lang w:val="it-IT"/>
              </w:rPr>
              <w:t>Impatto commerciale critico</w:t>
            </w:r>
          </w:p>
          <w:p w:rsidR="00596386" w:rsidRPr="00451078" w:rsidRDefault="00596386" w:rsidP="00647923">
            <w:pPr>
              <w:spacing w:after="60" w:line="240" w:lineRule="atLeast"/>
              <w:rPr>
                <w:lang w:val="it-IT"/>
              </w:rPr>
            </w:pPr>
            <w:r w:rsidRPr="00451078">
              <w:rPr>
                <w:rFonts w:ascii="SegoeBook" w:hAnsi="SegoeBook"/>
                <w:szCs w:val="18"/>
                <w:lang w:val="it-IT"/>
              </w:rPr>
              <w:t>Perdita o degradazione significativa dei servizi (applicazione fuori uso)</w:t>
            </w:r>
          </w:p>
          <w:p w:rsidR="00596386" w:rsidRPr="003410C7" w:rsidRDefault="00596386" w:rsidP="00262185">
            <w:pPr>
              <w:spacing w:after="60" w:line="240" w:lineRule="atLeast"/>
              <w:rPr>
                <w:rFonts w:ascii="SegoeBook" w:hAnsi="SegoeBook"/>
                <w:szCs w:val="18"/>
              </w:rPr>
            </w:pPr>
            <w:r w:rsidRPr="003410C7">
              <w:rPr>
                <w:rFonts w:ascii="SegoeBook" w:hAnsi="SegoeBook"/>
                <w:szCs w:val="18"/>
              </w:rPr>
              <w:t>Necessità dell</w:t>
            </w:r>
            <w:r w:rsidR="004525CA">
              <w:rPr>
                <w:rFonts w:ascii="SegoeBook" w:hAnsi="SegoeBook"/>
                <w:szCs w:val="18"/>
              </w:rPr>
              <w:t>’</w:t>
            </w:r>
            <w:r w:rsidRPr="003410C7">
              <w:rPr>
                <w:rFonts w:ascii="SegoeBook" w:hAnsi="SegoeBook"/>
                <w:szCs w:val="18"/>
              </w:rPr>
              <w:t>intervento entro</w:t>
            </w:r>
            <w:r w:rsidR="00262185">
              <w:rPr>
                <w:rFonts w:ascii="SegoeBook" w:hAnsi="SegoeBook"/>
                <w:szCs w:val="18"/>
              </w:rPr>
              <w:t> </w:t>
            </w:r>
            <w:r w:rsidRPr="003410C7">
              <w:rPr>
                <w:rFonts w:ascii="SegoeBook" w:hAnsi="SegoeBook"/>
                <w:szCs w:val="18"/>
              </w:rPr>
              <w:t>2</w:t>
            </w:r>
            <w:r w:rsidR="00262185">
              <w:rPr>
                <w:rFonts w:ascii="SegoeBook" w:hAnsi="SegoeBook"/>
                <w:szCs w:val="18"/>
              </w:rPr>
              <w:t> </w:t>
            </w:r>
            <w:r w:rsidRPr="003410C7">
              <w:rPr>
                <w:rFonts w:ascii="SegoeBook" w:hAnsi="SegoeBook"/>
                <w:szCs w:val="18"/>
              </w:rPr>
              <w:t>Ore</w:t>
            </w:r>
          </w:p>
        </w:tc>
        <w:tc>
          <w:tcPr>
            <w:tcW w:w="1628" w:type="pct"/>
          </w:tcPr>
          <w:p w:rsidR="00596386" w:rsidRPr="00451078" w:rsidRDefault="00596386" w:rsidP="00647923">
            <w:pPr>
              <w:spacing w:after="60" w:line="240" w:lineRule="atLeast"/>
              <w:rPr>
                <w:lang w:val="it-IT"/>
              </w:rPr>
            </w:pPr>
            <w:r w:rsidRPr="00451078">
              <w:rPr>
                <w:rFonts w:ascii="SegoeBook" w:hAnsi="SegoeBook"/>
                <w:szCs w:val="18"/>
                <w:lang w:val="it-IT"/>
              </w:rPr>
              <w:t>1</w:t>
            </w:r>
            <w:r w:rsidRPr="00451078">
              <w:rPr>
                <w:rFonts w:ascii="SegoeBook" w:hAnsi="SegoeBook"/>
                <w:szCs w:val="18"/>
                <w:vertAlign w:val="superscript"/>
                <w:lang w:val="it-IT"/>
              </w:rPr>
              <w:t>a</w:t>
            </w:r>
            <w:r w:rsidRPr="00451078">
              <w:rPr>
                <w:rFonts w:ascii="SegoeBook" w:hAnsi="SegoeBook"/>
                <w:szCs w:val="18"/>
                <w:lang w:val="it-IT"/>
              </w:rPr>
              <w:t xml:space="preserve"> risposta in 2 Ore o meno</w:t>
            </w:r>
          </w:p>
          <w:p w:rsidR="00596386" w:rsidRPr="00451078" w:rsidRDefault="00596386" w:rsidP="00647923">
            <w:pPr>
              <w:spacing w:after="60" w:line="240" w:lineRule="atLeast"/>
              <w:rPr>
                <w:rFonts w:ascii="SegoeBook" w:hAnsi="SegoeBook"/>
                <w:szCs w:val="18"/>
                <w:lang w:val="it-IT"/>
              </w:rPr>
            </w:pPr>
          </w:p>
        </w:tc>
      </w:tr>
      <w:tr w:rsidR="00596386" w:rsidRPr="00DC1102" w:rsidTr="002A6416">
        <w:tc>
          <w:tcPr>
            <w:tcW w:w="779" w:type="pct"/>
          </w:tcPr>
          <w:p w:rsidR="00596386" w:rsidRPr="003410C7" w:rsidRDefault="00596386" w:rsidP="00647923">
            <w:pPr>
              <w:spacing w:after="60" w:line="240" w:lineRule="atLeast"/>
              <w:jc w:val="center"/>
              <w:rPr>
                <w:rFonts w:ascii="SegoeBook" w:hAnsi="SegoeBook"/>
                <w:szCs w:val="18"/>
              </w:rPr>
            </w:pPr>
            <w:r w:rsidRPr="003410C7">
              <w:rPr>
                <w:rFonts w:ascii="SegoeBook" w:hAnsi="SegoeBook"/>
                <w:szCs w:val="18"/>
              </w:rPr>
              <w:t>B</w:t>
            </w:r>
          </w:p>
        </w:tc>
        <w:tc>
          <w:tcPr>
            <w:tcW w:w="1022" w:type="pct"/>
          </w:tcPr>
          <w:p w:rsidR="00596386" w:rsidRPr="003410C7" w:rsidRDefault="00596386" w:rsidP="00262185">
            <w:pPr>
              <w:spacing w:after="60" w:line="240" w:lineRule="atLeast"/>
              <w:jc w:val="center"/>
              <w:rPr>
                <w:rFonts w:ascii="SegoeBook" w:hAnsi="SegoeBook"/>
                <w:szCs w:val="18"/>
              </w:rPr>
            </w:pPr>
            <w:r w:rsidRPr="003410C7">
              <w:rPr>
                <w:rFonts w:ascii="SegoeBook" w:hAnsi="SegoeBook"/>
                <w:szCs w:val="18"/>
              </w:rPr>
              <w:t>Formulazione via</w:t>
            </w:r>
            <w:r w:rsidR="00262185">
              <w:rPr>
                <w:rFonts w:ascii="SegoeBook" w:hAnsi="SegoeBook"/>
                <w:szCs w:val="18"/>
              </w:rPr>
              <w:t> </w:t>
            </w:r>
            <w:r w:rsidRPr="003410C7">
              <w:rPr>
                <w:rFonts w:ascii="SegoeBook" w:hAnsi="SegoeBook"/>
                <w:szCs w:val="18"/>
              </w:rPr>
              <w:t>Web</w:t>
            </w:r>
          </w:p>
        </w:tc>
        <w:tc>
          <w:tcPr>
            <w:tcW w:w="1571" w:type="pct"/>
          </w:tcPr>
          <w:p w:rsidR="00596386" w:rsidRPr="00451078" w:rsidRDefault="00596386" w:rsidP="00647923">
            <w:pPr>
              <w:spacing w:after="60" w:line="240" w:lineRule="atLeast"/>
              <w:rPr>
                <w:lang w:val="it-IT"/>
              </w:rPr>
            </w:pPr>
            <w:r w:rsidRPr="00451078">
              <w:rPr>
                <w:rFonts w:ascii="SegoeBook" w:hAnsi="SegoeBook"/>
                <w:szCs w:val="18"/>
                <w:lang w:val="it-IT"/>
              </w:rPr>
              <w:t xml:space="preserve">Impatto commerciale moderato: </w:t>
            </w:r>
          </w:p>
          <w:p w:rsidR="00596386" w:rsidRPr="00451078" w:rsidRDefault="00596386" w:rsidP="00647923">
            <w:pPr>
              <w:spacing w:line="240" w:lineRule="atLeast"/>
              <w:rPr>
                <w:lang w:val="it-IT"/>
              </w:rPr>
            </w:pPr>
            <w:r w:rsidRPr="00451078">
              <w:rPr>
                <w:rFonts w:ascii="SegoeBook" w:hAnsi="SegoeBook"/>
                <w:szCs w:val="18"/>
                <w:lang w:val="it-IT"/>
              </w:rPr>
              <w:t>Perdita o degradazione moderata dei servizi e possibilità di continuare il lavoro in modo meno efficiente.</w:t>
            </w:r>
          </w:p>
          <w:p w:rsidR="00596386" w:rsidRPr="003410C7" w:rsidRDefault="00596386" w:rsidP="00262185">
            <w:pPr>
              <w:spacing w:after="60" w:line="240" w:lineRule="atLeast"/>
              <w:rPr>
                <w:rFonts w:ascii="SegoeBook" w:hAnsi="SegoeBook"/>
                <w:szCs w:val="18"/>
              </w:rPr>
            </w:pPr>
            <w:r w:rsidRPr="003410C7">
              <w:rPr>
                <w:rFonts w:ascii="SegoeBook" w:hAnsi="SegoeBook"/>
                <w:szCs w:val="18"/>
              </w:rPr>
              <w:t>Necessità dell</w:t>
            </w:r>
            <w:r w:rsidR="004525CA">
              <w:rPr>
                <w:rFonts w:ascii="SegoeBook" w:hAnsi="SegoeBook"/>
                <w:szCs w:val="18"/>
              </w:rPr>
              <w:t>’</w:t>
            </w:r>
            <w:r w:rsidRPr="003410C7">
              <w:rPr>
                <w:rFonts w:ascii="SegoeBook" w:hAnsi="SegoeBook"/>
                <w:szCs w:val="18"/>
              </w:rPr>
              <w:t>intervento entro</w:t>
            </w:r>
            <w:r w:rsidR="00262185">
              <w:rPr>
                <w:rFonts w:ascii="SegoeBook" w:hAnsi="SegoeBook"/>
                <w:szCs w:val="18"/>
              </w:rPr>
              <w:t> </w:t>
            </w:r>
            <w:r w:rsidRPr="003410C7">
              <w:rPr>
                <w:rFonts w:ascii="SegoeBook" w:hAnsi="SegoeBook"/>
                <w:szCs w:val="18"/>
              </w:rPr>
              <w:t>4</w:t>
            </w:r>
            <w:r w:rsidR="00262185">
              <w:rPr>
                <w:rFonts w:ascii="SegoeBook" w:hAnsi="SegoeBook"/>
                <w:szCs w:val="18"/>
              </w:rPr>
              <w:t> </w:t>
            </w:r>
            <w:r w:rsidRPr="003410C7">
              <w:rPr>
                <w:rFonts w:ascii="SegoeBook" w:hAnsi="SegoeBook"/>
                <w:szCs w:val="18"/>
              </w:rPr>
              <w:t>Ore</w:t>
            </w:r>
          </w:p>
        </w:tc>
        <w:tc>
          <w:tcPr>
            <w:tcW w:w="1628" w:type="pct"/>
          </w:tcPr>
          <w:p w:rsidR="00596386" w:rsidRPr="00451078" w:rsidRDefault="00596386" w:rsidP="00647923">
            <w:pPr>
              <w:spacing w:line="240" w:lineRule="atLeast"/>
              <w:rPr>
                <w:lang w:val="it-IT"/>
              </w:rPr>
            </w:pPr>
            <w:r w:rsidRPr="00451078">
              <w:rPr>
                <w:rFonts w:ascii="SegoeBook" w:hAnsi="SegoeBook"/>
                <w:szCs w:val="18"/>
                <w:lang w:val="it-IT"/>
              </w:rPr>
              <w:t>1</w:t>
            </w:r>
            <w:r w:rsidRPr="00451078">
              <w:rPr>
                <w:rFonts w:ascii="SegoeBook" w:hAnsi="SegoeBook"/>
                <w:szCs w:val="18"/>
                <w:vertAlign w:val="superscript"/>
                <w:lang w:val="it-IT"/>
              </w:rPr>
              <w:t>a</w:t>
            </w:r>
            <w:r w:rsidRPr="00451078">
              <w:rPr>
                <w:rFonts w:ascii="SegoeBook" w:hAnsi="SegoeBook"/>
                <w:szCs w:val="18"/>
                <w:lang w:val="it-IT"/>
              </w:rPr>
              <w:t xml:space="preserve"> risposta in 4 Ore o meno</w:t>
            </w:r>
          </w:p>
          <w:p w:rsidR="00596386" w:rsidRPr="00451078" w:rsidRDefault="00596386" w:rsidP="00647923">
            <w:pPr>
              <w:spacing w:after="60" w:line="240" w:lineRule="atLeast"/>
              <w:rPr>
                <w:rFonts w:ascii="SegoeBook" w:hAnsi="SegoeBook"/>
                <w:szCs w:val="18"/>
                <w:lang w:val="it-IT"/>
              </w:rPr>
            </w:pPr>
          </w:p>
        </w:tc>
      </w:tr>
      <w:tr w:rsidR="00596386" w:rsidRPr="00DC1102" w:rsidTr="002A6416">
        <w:tc>
          <w:tcPr>
            <w:tcW w:w="779" w:type="pct"/>
          </w:tcPr>
          <w:p w:rsidR="00596386" w:rsidRPr="003410C7" w:rsidRDefault="00596386" w:rsidP="00647923">
            <w:pPr>
              <w:spacing w:after="60" w:line="240" w:lineRule="atLeast"/>
              <w:jc w:val="center"/>
              <w:rPr>
                <w:rFonts w:ascii="SegoeBook" w:hAnsi="SegoeBook"/>
                <w:szCs w:val="18"/>
              </w:rPr>
            </w:pPr>
            <w:r w:rsidRPr="003410C7">
              <w:rPr>
                <w:rFonts w:ascii="SegoeBook" w:hAnsi="SegoeBook"/>
                <w:szCs w:val="18"/>
              </w:rPr>
              <w:t>C</w:t>
            </w:r>
          </w:p>
        </w:tc>
        <w:tc>
          <w:tcPr>
            <w:tcW w:w="1022" w:type="pct"/>
          </w:tcPr>
          <w:p w:rsidR="00596386" w:rsidRPr="003410C7" w:rsidRDefault="00596386" w:rsidP="00262185">
            <w:pPr>
              <w:spacing w:after="60" w:line="240" w:lineRule="atLeast"/>
              <w:jc w:val="center"/>
              <w:rPr>
                <w:rFonts w:ascii="SegoeBook" w:hAnsi="SegoeBook"/>
                <w:szCs w:val="18"/>
              </w:rPr>
            </w:pPr>
            <w:r w:rsidRPr="003410C7">
              <w:rPr>
                <w:rFonts w:ascii="SegoeBook" w:hAnsi="SegoeBook"/>
                <w:szCs w:val="18"/>
              </w:rPr>
              <w:t>Formulazione via</w:t>
            </w:r>
            <w:r w:rsidR="00262185">
              <w:rPr>
                <w:rFonts w:ascii="SegoeBook" w:hAnsi="SegoeBook"/>
                <w:szCs w:val="18"/>
              </w:rPr>
              <w:t> </w:t>
            </w:r>
            <w:r w:rsidRPr="003410C7">
              <w:rPr>
                <w:rFonts w:ascii="SegoeBook" w:hAnsi="SegoeBook"/>
                <w:szCs w:val="18"/>
              </w:rPr>
              <w:t>Web</w:t>
            </w:r>
          </w:p>
        </w:tc>
        <w:tc>
          <w:tcPr>
            <w:tcW w:w="1571" w:type="pct"/>
          </w:tcPr>
          <w:p w:rsidR="00596386" w:rsidRPr="00451078" w:rsidRDefault="00596386" w:rsidP="00647923">
            <w:pPr>
              <w:rPr>
                <w:lang w:val="it-IT"/>
              </w:rPr>
            </w:pPr>
            <w:r w:rsidRPr="00451078">
              <w:rPr>
                <w:rFonts w:ascii="SegoeBook" w:hAnsi="SegoeBook"/>
                <w:szCs w:val="18"/>
                <w:lang w:val="it-IT"/>
              </w:rPr>
              <w:t>Impatto commerciale minimo</w:t>
            </w:r>
          </w:p>
          <w:p w:rsidR="00596386" w:rsidRPr="00451078" w:rsidRDefault="00596386" w:rsidP="00647923">
            <w:pPr>
              <w:rPr>
                <w:lang w:val="it-IT"/>
              </w:rPr>
            </w:pPr>
            <w:r w:rsidRPr="00451078">
              <w:rPr>
                <w:rFonts w:ascii="SegoeBook" w:hAnsi="SegoeBook"/>
                <w:szCs w:val="18"/>
                <w:lang w:val="it-IT"/>
              </w:rPr>
              <w:t>Funzionamento sostanzialmente nella norma, in alcuni casi con qualche minimo impedimento dei</w:t>
            </w:r>
            <w:r w:rsidR="00262185" w:rsidRPr="00451078">
              <w:rPr>
                <w:rFonts w:ascii="SegoeBook" w:hAnsi="SegoeBook"/>
                <w:szCs w:val="18"/>
                <w:lang w:val="it-IT"/>
              </w:rPr>
              <w:t> </w:t>
            </w:r>
            <w:r w:rsidRPr="00451078">
              <w:rPr>
                <w:rFonts w:ascii="SegoeBook" w:hAnsi="SegoeBook"/>
                <w:szCs w:val="18"/>
                <w:lang w:val="it-IT"/>
              </w:rPr>
              <w:t>servizi.</w:t>
            </w:r>
          </w:p>
          <w:p w:rsidR="00596386" w:rsidRPr="003410C7" w:rsidRDefault="00596386" w:rsidP="00262185">
            <w:pPr>
              <w:spacing w:after="60" w:line="240" w:lineRule="atLeast"/>
              <w:rPr>
                <w:rFonts w:ascii="SegoeBook" w:hAnsi="SegoeBook"/>
                <w:szCs w:val="18"/>
              </w:rPr>
            </w:pPr>
            <w:r w:rsidRPr="003410C7">
              <w:rPr>
                <w:rFonts w:ascii="SegoeBook" w:hAnsi="SegoeBook"/>
                <w:szCs w:val="18"/>
              </w:rPr>
              <w:t>Necessità dell</w:t>
            </w:r>
            <w:r w:rsidR="004525CA">
              <w:rPr>
                <w:rFonts w:ascii="SegoeBook" w:hAnsi="SegoeBook"/>
                <w:szCs w:val="18"/>
              </w:rPr>
              <w:t>’</w:t>
            </w:r>
            <w:r w:rsidRPr="003410C7">
              <w:rPr>
                <w:rFonts w:ascii="SegoeBook" w:hAnsi="SegoeBook"/>
                <w:szCs w:val="18"/>
              </w:rPr>
              <w:t>intervento entro</w:t>
            </w:r>
            <w:r w:rsidR="00262185">
              <w:rPr>
                <w:rFonts w:ascii="SegoeBook" w:hAnsi="SegoeBook"/>
                <w:szCs w:val="18"/>
              </w:rPr>
              <w:t> </w:t>
            </w:r>
            <w:r w:rsidRPr="003410C7">
              <w:rPr>
                <w:rFonts w:ascii="SegoeBook" w:hAnsi="SegoeBook"/>
                <w:szCs w:val="18"/>
              </w:rPr>
              <w:t>8</w:t>
            </w:r>
            <w:r w:rsidR="00262185">
              <w:rPr>
                <w:rFonts w:ascii="SegoeBook" w:hAnsi="SegoeBook"/>
                <w:szCs w:val="18"/>
              </w:rPr>
              <w:t> </w:t>
            </w:r>
            <w:r w:rsidRPr="003410C7">
              <w:rPr>
                <w:rFonts w:ascii="SegoeBook" w:hAnsi="SegoeBook"/>
                <w:szCs w:val="18"/>
              </w:rPr>
              <w:t>Ore</w:t>
            </w:r>
          </w:p>
        </w:tc>
        <w:tc>
          <w:tcPr>
            <w:tcW w:w="1628" w:type="pct"/>
          </w:tcPr>
          <w:p w:rsidR="00596386" w:rsidRPr="00451078" w:rsidRDefault="00596386" w:rsidP="00647923">
            <w:pPr>
              <w:rPr>
                <w:lang w:val="it-IT"/>
              </w:rPr>
            </w:pPr>
            <w:r w:rsidRPr="00451078">
              <w:rPr>
                <w:rFonts w:ascii="SegoeBook" w:hAnsi="SegoeBook"/>
                <w:szCs w:val="18"/>
                <w:lang w:val="it-IT"/>
              </w:rPr>
              <w:t>1</w:t>
            </w:r>
            <w:r w:rsidRPr="00451078">
              <w:rPr>
                <w:rFonts w:ascii="SegoeBook" w:hAnsi="SegoeBook"/>
                <w:szCs w:val="18"/>
                <w:vertAlign w:val="superscript"/>
                <w:lang w:val="it-IT"/>
              </w:rPr>
              <w:t>a</w:t>
            </w:r>
            <w:r w:rsidRPr="00451078">
              <w:rPr>
                <w:rFonts w:ascii="SegoeBook" w:hAnsi="SegoeBook"/>
                <w:szCs w:val="18"/>
                <w:lang w:val="it-IT"/>
              </w:rPr>
              <w:t xml:space="preserve"> risposta in 8 Ore o meno</w:t>
            </w:r>
          </w:p>
          <w:p w:rsidR="00596386" w:rsidRPr="00451078" w:rsidRDefault="00596386" w:rsidP="00647923">
            <w:pPr>
              <w:spacing w:line="240" w:lineRule="atLeast"/>
              <w:rPr>
                <w:rFonts w:ascii="SegoeBook" w:hAnsi="SegoeBook"/>
                <w:szCs w:val="18"/>
                <w:lang w:val="it-IT"/>
              </w:rPr>
            </w:pPr>
          </w:p>
        </w:tc>
      </w:tr>
    </w:tbl>
    <w:p w:rsidR="00596386" w:rsidRPr="00B64DBA" w:rsidRDefault="00596386" w:rsidP="00596386">
      <w:pPr>
        <w:rPr>
          <w:sz w:val="20"/>
          <w:szCs w:val="20"/>
          <w:lang w:val="it-IT"/>
        </w:rPr>
      </w:pPr>
    </w:p>
    <w:p w:rsidR="00596386" w:rsidRPr="00451078" w:rsidRDefault="00596386" w:rsidP="00596386">
      <w:pPr>
        <w:tabs>
          <w:tab w:val="left" w:pos="360"/>
        </w:tabs>
        <w:jc w:val="both"/>
        <w:rPr>
          <w:lang w:val="it-IT"/>
        </w:rPr>
      </w:pPr>
      <w:r w:rsidRPr="00451078">
        <w:rPr>
          <w:rFonts w:cs="Arial"/>
          <w:snapToGrid w:val="0"/>
          <w:color w:val="000000"/>
          <w:szCs w:val="18"/>
          <w:lang w:val="it-IT"/>
        </w:rPr>
        <w:t>Le società possono scegliere di essere richiamate da Microsoft per un massimo di 3 interventi al mese.</w:t>
      </w:r>
      <w:r w:rsidR="00082E1C" w:rsidRPr="00451078">
        <w:rPr>
          <w:rFonts w:cs="Arial"/>
          <w:snapToGrid w:val="0"/>
          <w:color w:val="000000"/>
          <w:szCs w:val="18"/>
          <w:lang w:val="it-IT"/>
        </w:rPr>
        <w:t xml:space="preserve"> </w:t>
      </w:r>
      <w:r w:rsidRPr="00451078">
        <w:rPr>
          <w:rFonts w:cs="Arial"/>
          <w:snapToGrid w:val="0"/>
          <w:color w:val="000000"/>
          <w:szCs w:val="18"/>
          <w:lang w:val="it-IT"/>
        </w:rPr>
        <w:t>Diversamente, il team di supporto di Windows Azure individuerà e risolverà l</w:t>
      </w:r>
      <w:r w:rsidR="004525CA">
        <w:rPr>
          <w:rFonts w:cs="Arial"/>
          <w:snapToGrid w:val="0"/>
          <w:color w:val="000000"/>
          <w:szCs w:val="18"/>
          <w:lang w:val="it-IT"/>
        </w:rPr>
        <w:t>’</w:t>
      </w:r>
      <w:r w:rsidRPr="00451078">
        <w:rPr>
          <w:rFonts w:cs="Arial"/>
          <w:snapToGrid w:val="0"/>
          <w:color w:val="000000"/>
          <w:szCs w:val="18"/>
          <w:lang w:val="it-IT"/>
        </w:rPr>
        <w:t>intervento tramite i canali online (ad esempio, tramite posta elettronica o il portale di Windows Azure).</w:t>
      </w:r>
      <w:r w:rsidR="00082E1C" w:rsidRPr="00451078">
        <w:rPr>
          <w:rFonts w:cs="Arial"/>
          <w:snapToGrid w:val="0"/>
          <w:color w:val="000000"/>
          <w:szCs w:val="18"/>
          <w:lang w:val="it-IT"/>
        </w:rPr>
        <w:t xml:space="preserve"> </w:t>
      </w:r>
    </w:p>
    <w:p w:rsidR="00596386" w:rsidRPr="00451078" w:rsidRDefault="00596386" w:rsidP="00596386">
      <w:pPr>
        <w:tabs>
          <w:tab w:val="left" w:pos="360"/>
        </w:tabs>
        <w:jc w:val="both"/>
        <w:rPr>
          <w:lang w:val="it-IT"/>
        </w:rPr>
      </w:pPr>
    </w:p>
    <w:p w:rsidR="00596386" w:rsidRPr="00451078" w:rsidRDefault="00596386" w:rsidP="00596386">
      <w:pPr>
        <w:tabs>
          <w:tab w:val="left" w:pos="360"/>
        </w:tabs>
        <w:jc w:val="both"/>
        <w:rPr>
          <w:lang w:val="it-IT"/>
        </w:rPr>
      </w:pPr>
      <w:r w:rsidRPr="00451078">
        <w:rPr>
          <w:rFonts w:cs="Arial"/>
          <w:b/>
          <w:sz w:val="24"/>
          <w:szCs w:val="18"/>
          <w:lang w:val="it-IT"/>
        </w:rPr>
        <w:t>Supporto per Sviluppatori per Windows Azure</w:t>
      </w:r>
    </w:p>
    <w:p w:rsidR="00596386" w:rsidRPr="00451078" w:rsidRDefault="00596386" w:rsidP="00596386">
      <w:pPr>
        <w:tabs>
          <w:tab w:val="left" w:pos="360"/>
        </w:tabs>
        <w:jc w:val="both"/>
        <w:rPr>
          <w:lang w:val="it-IT"/>
        </w:rPr>
      </w:pPr>
    </w:p>
    <w:p w:rsidR="00596386" w:rsidRPr="00451078" w:rsidRDefault="00596386" w:rsidP="00596386">
      <w:pPr>
        <w:rPr>
          <w:lang w:val="it-IT"/>
        </w:rPr>
      </w:pPr>
      <w:r w:rsidRPr="00451078">
        <w:rPr>
          <w:szCs w:val="18"/>
          <w:lang w:val="it-IT"/>
        </w:rPr>
        <w:t>Microsoft definirà di livello di gravità iniziale C tutti gli Interventi richiesti. La gravità dell</w:t>
      </w:r>
      <w:r w:rsidR="004525CA">
        <w:rPr>
          <w:szCs w:val="18"/>
          <w:lang w:val="it-IT"/>
        </w:rPr>
        <w:t>’</w:t>
      </w:r>
      <w:r w:rsidRPr="00451078">
        <w:rPr>
          <w:szCs w:val="18"/>
          <w:lang w:val="it-IT"/>
        </w:rPr>
        <w:t>intervento determinerà i</w:t>
      </w:r>
      <w:r w:rsidR="00262185" w:rsidRPr="00451078">
        <w:rPr>
          <w:szCs w:val="18"/>
          <w:lang w:val="it-IT"/>
        </w:rPr>
        <w:t> </w:t>
      </w:r>
      <w:r w:rsidRPr="00451078">
        <w:rPr>
          <w:szCs w:val="18"/>
          <w:lang w:val="it-IT"/>
        </w:rPr>
        <w:t>livelli di risposta da parte di Microsoft e i tempi di risposta previsti nella tabella che segue.</w:t>
      </w:r>
      <w:r w:rsidR="00082E1C" w:rsidRPr="00451078">
        <w:rPr>
          <w:szCs w:val="18"/>
          <w:lang w:val="it-IT"/>
        </w:rPr>
        <w:t xml:space="preserve"> </w:t>
      </w:r>
      <w:r w:rsidRPr="00451078">
        <w:rPr>
          <w:szCs w:val="18"/>
          <w:lang w:val="it-IT"/>
        </w:rPr>
        <w:t>La possibilità per Microsoft di offrire i servizi dipende dalla totale e tempestiva collaborazione della società e dall</w:t>
      </w:r>
      <w:r w:rsidR="004525CA">
        <w:rPr>
          <w:szCs w:val="18"/>
          <w:lang w:val="it-IT"/>
        </w:rPr>
        <w:t>’</w:t>
      </w:r>
      <w:r w:rsidRPr="00451078">
        <w:rPr>
          <w:szCs w:val="18"/>
          <w:lang w:val="it-IT"/>
        </w:rPr>
        <w:t>accuratezza e</w:t>
      </w:r>
      <w:r w:rsidR="00262185" w:rsidRPr="00451078">
        <w:rPr>
          <w:szCs w:val="18"/>
          <w:lang w:val="it-IT"/>
        </w:rPr>
        <w:t> </w:t>
      </w:r>
      <w:r w:rsidRPr="00451078">
        <w:rPr>
          <w:szCs w:val="18"/>
          <w:lang w:val="it-IT"/>
        </w:rPr>
        <w:t>completezza dei dati forniti.</w:t>
      </w:r>
    </w:p>
    <w:p w:rsidR="00596386" w:rsidRPr="00451078" w:rsidRDefault="00596386" w:rsidP="00596386">
      <w:pPr>
        <w:rPr>
          <w:lang w:val="it-IT"/>
        </w:rPr>
      </w:pPr>
    </w:p>
    <w:tbl>
      <w:tblPr>
        <w:tblW w:w="5000" w:type="pct"/>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472"/>
        <w:gridCol w:w="1929"/>
        <w:gridCol w:w="3342"/>
        <w:gridCol w:w="2833"/>
      </w:tblGrid>
      <w:tr w:rsidR="00596386" w:rsidRPr="003410C7" w:rsidTr="002A6416">
        <w:tc>
          <w:tcPr>
            <w:tcW w:w="769" w:type="pct"/>
            <w:shd w:val="clear" w:color="auto" w:fill="FABF8F"/>
          </w:tcPr>
          <w:p w:rsidR="00596386" w:rsidRPr="003410C7" w:rsidRDefault="00596386" w:rsidP="0037031E">
            <w:pPr>
              <w:jc w:val="center"/>
              <w:rPr>
                <w:rFonts w:cs="Tahoma"/>
                <w:b/>
                <w:bCs/>
                <w:color w:val="000000"/>
                <w:sz w:val="20"/>
                <w:szCs w:val="18"/>
              </w:rPr>
            </w:pPr>
            <w:r w:rsidRPr="003410C7">
              <w:rPr>
                <w:rFonts w:cs="Tahoma"/>
                <w:b/>
                <w:bCs/>
                <w:color w:val="000000"/>
                <w:sz w:val="20"/>
                <w:szCs w:val="18"/>
              </w:rPr>
              <w:t>Severity</w:t>
            </w:r>
          </w:p>
        </w:tc>
        <w:tc>
          <w:tcPr>
            <w:tcW w:w="1007" w:type="pct"/>
            <w:shd w:val="clear" w:color="auto" w:fill="FABF8F"/>
          </w:tcPr>
          <w:p w:rsidR="00596386" w:rsidRPr="003410C7" w:rsidRDefault="00596386" w:rsidP="0037031E">
            <w:pPr>
              <w:jc w:val="center"/>
              <w:rPr>
                <w:rFonts w:cs="Tahoma"/>
                <w:b/>
                <w:bCs/>
                <w:color w:val="000000"/>
                <w:sz w:val="20"/>
                <w:szCs w:val="18"/>
              </w:rPr>
            </w:pPr>
            <w:r w:rsidRPr="003410C7">
              <w:rPr>
                <w:rFonts w:cs="Tahoma"/>
                <w:b/>
                <w:bCs/>
                <w:color w:val="000000"/>
                <w:sz w:val="20"/>
                <w:szCs w:val="18"/>
              </w:rPr>
              <w:t>Contatto</w:t>
            </w:r>
          </w:p>
        </w:tc>
        <w:tc>
          <w:tcPr>
            <w:tcW w:w="1745" w:type="pct"/>
            <w:shd w:val="clear" w:color="auto" w:fill="FABF8F"/>
          </w:tcPr>
          <w:p w:rsidR="00596386" w:rsidRPr="003410C7" w:rsidRDefault="00596386" w:rsidP="0037031E">
            <w:pPr>
              <w:jc w:val="center"/>
              <w:rPr>
                <w:rFonts w:cs="Tahoma"/>
                <w:b/>
                <w:bCs/>
                <w:color w:val="000000"/>
                <w:sz w:val="20"/>
                <w:szCs w:val="18"/>
              </w:rPr>
            </w:pPr>
            <w:r w:rsidRPr="003410C7">
              <w:rPr>
                <w:rFonts w:cs="Tahoma"/>
                <w:b/>
                <w:bCs/>
                <w:color w:val="000000"/>
                <w:sz w:val="20"/>
                <w:szCs w:val="18"/>
              </w:rPr>
              <w:t>Situazione della Società</w:t>
            </w:r>
          </w:p>
        </w:tc>
        <w:tc>
          <w:tcPr>
            <w:tcW w:w="1479" w:type="pct"/>
            <w:shd w:val="clear" w:color="auto" w:fill="FABF8F"/>
          </w:tcPr>
          <w:p w:rsidR="00596386" w:rsidRPr="003410C7" w:rsidRDefault="00596386" w:rsidP="0037031E">
            <w:pPr>
              <w:jc w:val="center"/>
              <w:rPr>
                <w:rFonts w:cs="Tahoma"/>
                <w:b/>
                <w:bCs/>
                <w:color w:val="000000"/>
                <w:sz w:val="20"/>
                <w:szCs w:val="18"/>
              </w:rPr>
            </w:pPr>
            <w:r w:rsidRPr="003410C7">
              <w:rPr>
                <w:rFonts w:cs="Tahoma"/>
                <w:b/>
                <w:bCs/>
                <w:color w:val="000000"/>
                <w:sz w:val="20"/>
                <w:szCs w:val="18"/>
              </w:rPr>
              <w:t>Risposta di Microsoft Attesa</w:t>
            </w:r>
          </w:p>
        </w:tc>
      </w:tr>
      <w:tr w:rsidR="00596386" w:rsidRPr="00DC1102" w:rsidTr="002A6416">
        <w:tc>
          <w:tcPr>
            <w:tcW w:w="769" w:type="pct"/>
          </w:tcPr>
          <w:p w:rsidR="00596386" w:rsidRPr="00451078" w:rsidRDefault="00596386" w:rsidP="00647923">
            <w:pPr>
              <w:spacing w:after="60" w:line="240" w:lineRule="atLeast"/>
              <w:jc w:val="center"/>
              <w:rPr>
                <w:lang w:val="it-IT"/>
              </w:rPr>
            </w:pPr>
            <w:r w:rsidRPr="00451078">
              <w:rPr>
                <w:rFonts w:cs="Tahoma"/>
                <w:szCs w:val="18"/>
                <w:lang w:val="it-IT"/>
              </w:rPr>
              <w:t>C</w:t>
            </w:r>
          </w:p>
          <w:p w:rsidR="00596386" w:rsidRPr="00451078" w:rsidRDefault="00596386" w:rsidP="00647923">
            <w:pPr>
              <w:spacing w:after="60" w:line="240" w:lineRule="atLeast"/>
              <w:jc w:val="center"/>
              <w:rPr>
                <w:rFonts w:cs="Tahoma"/>
                <w:szCs w:val="18"/>
                <w:lang w:val="it-IT"/>
              </w:rPr>
            </w:pPr>
            <w:r w:rsidRPr="00451078">
              <w:rPr>
                <w:rFonts w:cs="Tahoma"/>
                <w:szCs w:val="18"/>
                <w:lang w:val="it-IT"/>
              </w:rPr>
              <w:t>(Tutti i casi verranno definiti di livello di gravità C)</w:t>
            </w:r>
          </w:p>
        </w:tc>
        <w:tc>
          <w:tcPr>
            <w:tcW w:w="1007" w:type="pct"/>
          </w:tcPr>
          <w:p w:rsidR="00596386" w:rsidRPr="003410C7" w:rsidRDefault="00596386" w:rsidP="00262185">
            <w:pPr>
              <w:spacing w:after="60" w:line="240" w:lineRule="atLeast"/>
              <w:jc w:val="center"/>
              <w:rPr>
                <w:rFonts w:cs="Tahoma"/>
                <w:szCs w:val="18"/>
              </w:rPr>
            </w:pPr>
            <w:r w:rsidRPr="003410C7">
              <w:rPr>
                <w:rFonts w:cs="Tahoma"/>
                <w:szCs w:val="18"/>
              </w:rPr>
              <w:t>Formulazione via</w:t>
            </w:r>
            <w:r w:rsidR="00262185">
              <w:rPr>
                <w:rFonts w:cs="Tahoma"/>
                <w:szCs w:val="18"/>
              </w:rPr>
              <w:t> </w:t>
            </w:r>
            <w:r w:rsidRPr="003410C7">
              <w:rPr>
                <w:rFonts w:cs="Tahoma"/>
                <w:szCs w:val="18"/>
              </w:rPr>
              <w:t>Web</w:t>
            </w:r>
          </w:p>
        </w:tc>
        <w:tc>
          <w:tcPr>
            <w:tcW w:w="1745" w:type="pct"/>
          </w:tcPr>
          <w:p w:rsidR="00596386" w:rsidRPr="00451078" w:rsidRDefault="00596386" w:rsidP="00647923">
            <w:pPr>
              <w:rPr>
                <w:lang w:val="it-IT"/>
              </w:rPr>
            </w:pPr>
            <w:r w:rsidRPr="00451078">
              <w:rPr>
                <w:rFonts w:cs="Tahoma"/>
                <w:szCs w:val="18"/>
                <w:lang w:val="it-IT"/>
              </w:rPr>
              <w:t>Impatto commerciale minimo</w:t>
            </w:r>
          </w:p>
          <w:p w:rsidR="00596386" w:rsidRPr="00451078" w:rsidRDefault="00596386" w:rsidP="00647923">
            <w:pPr>
              <w:rPr>
                <w:lang w:val="it-IT"/>
              </w:rPr>
            </w:pPr>
            <w:r w:rsidRPr="00451078">
              <w:rPr>
                <w:rFonts w:cs="Tahoma"/>
                <w:szCs w:val="18"/>
                <w:lang w:val="it-IT"/>
              </w:rPr>
              <w:t>Funzionamento sostanzialmente nella norma, in alcuni casi con qualche minimo impedimento dei servizi.</w:t>
            </w:r>
          </w:p>
          <w:p w:rsidR="00596386" w:rsidRPr="003410C7" w:rsidRDefault="00596386" w:rsidP="00647923">
            <w:pPr>
              <w:spacing w:after="60" w:line="240" w:lineRule="atLeast"/>
              <w:rPr>
                <w:rFonts w:cs="Tahoma"/>
                <w:szCs w:val="18"/>
              </w:rPr>
            </w:pPr>
            <w:r w:rsidRPr="003410C7">
              <w:rPr>
                <w:rFonts w:cs="Tahoma"/>
                <w:szCs w:val="18"/>
              </w:rPr>
              <w:t>Necessità dell</w:t>
            </w:r>
            <w:r w:rsidR="004525CA">
              <w:rPr>
                <w:rFonts w:cs="Tahoma"/>
                <w:szCs w:val="18"/>
              </w:rPr>
              <w:t>’</w:t>
            </w:r>
            <w:r w:rsidRPr="003410C7">
              <w:rPr>
                <w:rFonts w:cs="Tahoma"/>
                <w:szCs w:val="18"/>
              </w:rPr>
              <w:t>intervento entro 8 ore</w:t>
            </w:r>
          </w:p>
        </w:tc>
        <w:tc>
          <w:tcPr>
            <w:tcW w:w="1479" w:type="pct"/>
          </w:tcPr>
          <w:p w:rsidR="00596386" w:rsidRPr="00451078" w:rsidRDefault="00596386" w:rsidP="00647923">
            <w:pPr>
              <w:rPr>
                <w:lang w:val="it-IT"/>
              </w:rPr>
            </w:pPr>
            <w:r w:rsidRPr="00451078">
              <w:rPr>
                <w:rFonts w:cs="Tahoma"/>
                <w:szCs w:val="18"/>
                <w:lang w:val="it-IT"/>
              </w:rPr>
              <w:t>1</w:t>
            </w:r>
            <w:r w:rsidRPr="00451078">
              <w:rPr>
                <w:rFonts w:cs="Tahoma"/>
                <w:szCs w:val="18"/>
                <w:vertAlign w:val="superscript"/>
                <w:lang w:val="it-IT"/>
              </w:rPr>
              <w:t>a</w:t>
            </w:r>
            <w:r w:rsidRPr="00451078">
              <w:rPr>
                <w:rFonts w:cs="Tahoma"/>
                <w:szCs w:val="18"/>
                <w:lang w:val="it-IT"/>
              </w:rPr>
              <w:t xml:space="preserve"> risposta in 8 Ore o meno</w:t>
            </w:r>
          </w:p>
          <w:p w:rsidR="00596386" w:rsidRPr="00451078" w:rsidRDefault="00596386" w:rsidP="00647923">
            <w:pPr>
              <w:spacing w:line="240" w:lineRule="atLeast"/>
              <w:rPr>
                <w:rFonts w:cs="Tahoma"/>
                <w:szCs w:val="18"/>
                <w:lang w:val="it-IT"/>
              </w:rPr>
            </w:pPr>
          </w:p>
        </w:tc>
      </w:tr>
    </w:tbl>
    <w:p w:rsidR="00596386" w:rsidRPr="00451078" w:rsidRDefault="00596386" w:rsidP="00596386">
      <w:pPr>
        <w:rPr>
          <w:lang w:val="it-IT"/>
        </w:rPr>
      </w:pPr>
    </w:p>
    <w:p w:rsidR="00596386" w:rsidRPr="00451078" w:rsidRDefault="00596386" w:rsidP="00596386">
      <w:pPr>
        <w:tabs>
          <w:tab w:val="left" w:pos="360"/>
        </w:tabs>
        <w:jc w:val="both"/>
        <w:rPr>
          <w:lang w:val="it-IT"/>
        </w:rPr>
      </w:pPr>
      <w:r w:rsidRPr="00451078">
        <w:rPr>
          <w:rFonts w:cs="Arial"/>
          <w:snapToGrid w:val="0"/>
          <w:color w:val="000000"/>
          <w:szCs w:val="18"/>
          <w:lang w:val="it-IT"/>
        </w:rPr>
        <w:lastRenderedPageBreak/>
        <w:t>Il team di supporto di Windows Azure collabora con le società per individuare e risolvere gli Interventi tramite i canali online (ad esempio, tramite posta elettronica o il portale di Windows Azure).</w:t>
      </w:r>
      <w:r w:rsidR="00082E1C" w:rsidRPr="00451078">
        <w:rPr>
          <w:rFonts w:cs="Arial"/>
          <w:snapToGrid w:val="0"/>
          <w:color w:val="000000"/>
          <w:szCs w:val="18"/>
          <w:lang w:val="it-IT"/>
        </w:rPr>
        <w:t xml:space="preserve"> </w:t>
      </w:r>
      <w:r w:rsidRPr="00451078">
        <w:rPr>
          <w:rFonts w:cs="Arial"/>
          <w:snapToGrid w:val="0"/>
          <w:color w:val="000000"/>
          <w:szCs w:val="18"/>
          <w:lang w:val="it-IT"/>
        </w:rPr>
        <w:t>Il team di supporto di Windows Azure potrà contattare la società al numero di telefono fornito dalla società stessa, qualora sia necessario per risolvere un</w:t>
      </w:r>
      <w:r w:rsidR="00262185" w:rsidRPr="00451078">
        <w:rPr>
          <w:rFonts w:cs="Arial"/>
          <w:snapToGrid w:val="0"/>
          <w:color w:val="000000"/>
          <w:szCs w:val="18"/>
          <w:lang w:val="it-IT"/>
        </w:rPr>
        <w:t> </w:t>
      </w:r>
      <w:r w:rsidRPr="00451078">
        <w:rPr>
          <w:rFonts w:cs="Arial"/>
          <w:snapToGrid w:val="0"/>
          <w:color w:val="000000"/>
          <w:szCs w:val="18"/>
          <w:lang w:val="it-IT"/>
        </w:rPr>
        <w:t>Intervento.</w:t>
      </w:r>
    </w:p>
    <w:p w:rsidR="00DD7F8E" w:rsidRPr="00451078" w:rsidRDefault="00DD7F8E" w:rsidP="00DD7F8E">
      <w:pPr>
        <w:rPr>
          <w:lang w:val="it-IT"/>
        </w:rPr>
      </w:pPr>
      <w:r w:rsidRPr="00451078">
        <w:rPr>
          <w:b/>
          <w:sz w:val="24"/>
          <w:szCs w:val="24"/>
          <w:lang w:val="it-IT"/>
        </w:rPr>
        <w:t>Offerte per il Programma Microsoft Enterprise Strategy</w:t>
      </w:r>
    </w:p>
    <w:p w:rsidR="00DD7F8E" w:rsidRPr="00451078" w:rsidRDefault="00DD7F8E" w:rsidP="00DD7F8E">
      <w:pPr>
        <w:rPr>
          <w:lang w:val="it-IT"/>
        </w:rPr>
      </w:pPr>
    </w:p>
    <w:p w:rsidR="00DD7F8E" w:rsidRPr="00451078" w:rsidRDefault="00DD7F8E" w:rsidP="006D6BED">
      <w:pPr>
        <w:widowControl w:val="0"/>
        <w:tabs>
          <w:tab w:val="left" w:pos="720"/>
          <w:tab w:val="left" w:pos="1170"/>
        </w:tabs>
        <w:spacing w:after="60"/>
        <w:rPr>
          <w:lang w:val="it-IT"/>
        </w:rPr>
      </w:pPr>
      <w:r w:rsidRPr="00451078">
        <w:rPr>
          <w:rFonts w:cs="Arial"/>
          <w:b/>
          <w:bCs/>
          <w:szCs w:val="18"/>
          <w:lang w:val="it-IT"/>
        </w:rPr>
        <w:t>Panoramica del Programma Enterprise Strategy</w:t>
      </w:r>
    </w:p>
    <w:p w:rsidR="00DD7F8E" w:rsidRPr="00451078" w:rsidRDefault="00DD7F8E" w:rsidP="006D6BED">
      <w:pPr>
        <w:rPr>
          <w:lang w:val="it-IT"/>
        </w:rPr>
      </w:pPr>
      <w:r w:rsidRPr="00451078">
        <w:rPr>
          <w:rFonts w:cs="Arial"/>
          <w:lang w:val="it-IT"/>
        </w:rPr>
        <w:t>Il Programma Enterprise Strategy per il Contratto Microsoft Enterprise offre alle società la consulenza di Microsoft Enterprise Architects in merito a come velocizzare l</w:t>
      </w:r>
      <w:r w:rsidR="004525CA">
        <w:rPr>
          <w:rFonts w:cs="Arial"/>
          <w:lang w:val="it-IT"/>
        </w:rPr>
        <w:t>’</w:t>
      </w:r>
      <w:r w:rsidRPr="00451078">
        <w:rPr>
          <w:rFonts w:cs="Arial"/>
          <w:lang w:val="it-IT"/>
        </w:rPr>
        <w:t>adozione di tecnologia e pianificare modifiche ragionevoli allo</w:t>
      </w:r>
      <w:r w:rsidR="00E20FC3" w:rsidRPr="00451078">
        <w:rPr>
          <w:rFonts w:cs="Arial"/>
          <w:lang w:val="it-IT"/>
        </w:rPr>
        <w:t> </w:t>
      </w:r>
      <w:r w:rsidRPr="00451078">
        <w:rPr>
          <w:rFonts w:cs="Arial"/>
          <w:lang w:val="it-IT"/>
        </w:rPr>
        <w:t>scopo di massimizzare l</w:t>
      </w:r>
      <w:r w:rsidR="004525CA">
        <w:rPr>
          <w:rFonts w:cs="Arial"/>
          <w:lang w:val="it-IT"/>
        </w:rPr>
        <w:t>’</w:t>
      </w:r>
      <w:r w:rsidRPr="00451078">
        <w:rPr>
          <w:rFonts w:cs="Arial"/>
          <w:lang w:val="it-IT"/>
        </w:rPr>
        <w:t>investimento effettuato nelle tecnologie Microsoft. Le tempistiche, le date e i piani di</w:t>
      </w:r>
      <w:r w:rsidR="00E20FC3" w:rsidRPr="00451078">
        <w:rPr>
          <w:rFonts w:cs="Arial"/>
          <w:lang w:val="it-IT"/>
        </w:rPr>
        <w:t> </w:t>
      </w:r>
      <w:r w:rsidRPr="00451078">
        <w:rPr>
          <w:rFonts w:cs="Arial"/>
          <w:lang w:val="it-IT"/>
        </w:rPr>
        <w:t xml:space="preserve">consegna sono semplici stime e pertanto sono soggette a modifica. </w:t>
      </w:r>
    </w:p>
    <w:p w:rsidR="00DD7F8E" w:rsidRPr="00451078" w:rsidRDefault="00DD7F8E" w:rsidP="006D6BED">
      <w:pPr>
        <w:rPr>
          <w:lang w:val="it-IT"/>
        </w:rPr>
      </w:pPr>
    </w:p>
    <w:p w:rsidR="0064651F" w:rsidRPr="00451078" w:rsidRDefault="00DD7F8E" w:rsidP="006D6BED">
      <w:pPr>
        <w:rPr>
          <w:lang w:val="it-IT"/>
        </w:rPr>
      </w:pPr>
      <w:r w:rsidRPr="00451078">
        <w:rPr>
          <w:rFonts w:cs="Arial"/>
          <w:lang w:val="it-IT"/>
        </w:rPr>
        <w:t>Le offerte relative al Programma Enterprise Strategy includono i componenti descritti di seguito, che verranno forniti per ogni anno di validità del Contratto Enterprise stipulato dalla Società:</w:t>
      </w:r>
    </w:p>
    <w:p w:rsidR="00FD27BC" w:rsidRPr="00451078" w:rsidRDefault="00FD27BC" w:rsidP="006D6BED">
      <w:pPr>
        <w:rPr>
          <w:lang w:val="it-IT"/>
        </w:rPr>
      </w:pPr>
      <w:bookmarkStart w:id="973" w:name="OLE_LINK5"/>
      <w:bookmarkStart w:id="974" w:name="OLE_LINK6"/>
    </w:p>
    <w:tbl>
      <w:tblPr>
        <w:tblW w:w="9360" w:type="dxa"/>
        <w:tblInd w:w="1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2673"/>
        <w:gridCol w:w="2097"/>
        <w:gridCol w:w="2340"/>
        <w:gridCol w:w="2250"/>
      </w:tblGrid>
      <w:tr w:rsidR="00FD27BC" w:rsidRPr="003410C7" w:rsidTr="00E20FC3">
        <w:tc>
          <w:tcPr>
            <w:tcW w:w="2673" w:type="dxa"/>
            <w:shd w:val="clear" w:color="auto" w:fill="FABF8F"/>
            <w:vAlign w:val="center"/>
          </w:tcPr>
          <w:p w:rsidR="00FD27BC" w:rsidRPr="003410C7" w:rsidRDefault="00FD27BC" w:rsidP="00FD27BC">
            <w:pPr>
              <w:jc w:val="center"/>
              <w:rPr>
                <w:rFonts w:cs="Tahoma"/>
                <w:color w:val="000000"/>
                <w:szCs w:val="18"/>
              </w:rPr>
            </w:pPr>
            <w:r w:rsidRPr="003410C7">
              <w:rPr>
                <w:rFonts w:cs="Tahoma"/>
                <w:b/>
                <w:bCs/>
                <w:color w:val="000000"/>
                <w:sz w:val="20"/>
                <w:szCs w:val="18"/>
              </w:rPr>
              <w:t>Area</w:t>
            </w:r>
          </w:p>
        </w:tc>
        <w:tc>
          <w:tcPr>
            <w:tcW w:w="2097" w:type="dxa"/>
            <w:shd w:val="clear" w:color="auto" w:fill="FABF8F"/>
            <w:vAlign w:val="center"/>
          </w:tcPr>
          <w:p w:rsidR="00FD27BC" w:rsidRPr="003410C7" w:rsidRDefault="00FD27BC" w:rsidP="00FD27BC">
            <w:pPr>
              <w:jc w:val="center"/>
              <w:rPr>
                <w:rFonts w:cs="Tahoma"/>
                <w:b/>
                <w:bCs/>
                <w:color w:val="000000"/>
                <w:sz w:val="20"/>
                <w:szCs w:val="20"/>
              </w:rPr>
            </w:pPr>
            <w:r w:rsidRPr="003410C7">
              <w:rPr>
                <w:rFonts w:cs="Tahoma"/>
                <w:b/>
                <w:bCs/>
                <w:color w:val="000000"/>
                <w:sz w:val="20"/>
                <w:szCs w:val="20"/>
              </w:rPr>
              <w:t>Enterprise Strategy Connect</w:t>
            </w:r>
          </w:p>
        </w:tc>
        <w:tc>
          <w:tcPr>
            <w:tcW w:w="2340" w:type="dxa"/>
            <w:shd w:val="clear" w:color="auto" w:fill="FABF8F"/>
            <w:vAlign w:val="center"/>
          </w:tcPr>
          <w:p w:rsidR="00FD27BC" w:rsidRPr="003410C7" w:rsidRDefault="00FD27BC" w:rsidP="00FD27BC">
            <w:pPr>
              <w:jc w:val="center"/>
              <w:rPr>
                <w:rFonts w:cs="Tahoma"/>
                <w:color w:val="000000"/>
                <w:sz w:val="20"/>
                <w:szCs w:val="20"/>
              </w:rPr>
            </w:pPr>
            <w:r w:rsidRPr="003410C7">
              <w:rPr>
                <w:rFonts w:cs="Tahoma"/>
                <w:b/>
                <w:bCs/>
                <w:color w:val="000000"/>
                <w:sz w:val="20"/>
                <w:szCs w:val="20"/>
              </w:rPr>
              <w:t>Enterprise Strategy Foundation</w:t>
            </w:r>
          </w:p>
        </w:tc>
        <w:tc>
          <w:tcPr>
            <w:tcW w:w="2250" w:type="dxa"/>
            <w:shd w:val="clear" w:color="auto" w:fill="FABF8F"/>
            <w:vAlign w:val="center"/>
          </w:tcPr>
          <w:p w:rsidR="00FD27BC" w:rsidRPr="003410C7" w:rsidRDefault="00FD27BC" w:rsidP="00FD27BC">
            <w:pPr>
              <w:jc w:val="center"/>
              <w:rPr>
                <w:rFonts w:cs="Tahoma"/>
                <w:b/>
                <w:bCs/>
                <w:color w:val="000000"/>
                <w:sz w:val="20"/>
                <w:szCs w:val="18"/>
              </w:rPr>
            </w:pPr>
            <w:r w:rsidRPr="003410C7">
              <w:rPr>
                <w:rFonts w:cs="Tahoma"/>
                <w:b/>
                <w:bCs/>
                <w:color w:val="000000"/>
                <w:sz w:val="20"/>
                <w:szCs w:val="18"/>
              </w:rPr>
              <w:t>Enterprise Strategy Portfolio</w:t>
            </w:r>
          </w:p>
        </w:tc>
      </w:tr>
      <w:tr w:rsidR="00FD27BC" w:rsidRPr="003410C7" w:rsidTr="00E20FC3">
        <w:tc>
          <w:tcPr>
            <w:tcW w:w="2673" w:type="dxa"/>
            <w:vAlign w:val="center"/>
          </w:tcPr>
          <w:p w:rsidR="00FD27BC" w:rsidRPr="003410C7" w:rsidRDefault="00FD27BC" w:rsidP="00FD27BC">
            <w:pPr>
              <w:rPr>
                <w:rFonts w:cs="Tahoma"/>
                <w:color w:val="000000"/>
                <w:szCs w:val="18"/>
              </w:rPr>
            </w:pPr>
            <w:r w:rsidRPr="003410C7">
              <w:rPr>
                <w:rFonts w:cs="Tahoma"/>
                <w:color w:val="000000"/>
                <w:szCs w:val="18"/>
              </w:rPr>
              <w:t>Enterprise Architects</w:t>
            </w:r>
          </w:p>
        </w:tc>
        <w:tc>
          <w:tcPr>
            <w:tcW w:w="2097" w:type="dxa"/>
            <w:vAlign w:val="center"/>
          </w:tcPr>
          <w:p w:rsidR="00FD27BC" w:rsidRPr="003410C7" w:rsidRDefault="00FD27BC" w:rsidP="00FD27BC">
            <w:pPr>
              <w:jc w:val="center"/>
              <w:rPr>
                <w:rFonts w:eastAsia="MS UI Gothic" w:cs="Tahoma"/>
                <w:color w:val="000000"/>
                <w:szCs w:val="18"/>
              </w:rPr>
            </w:pPr>
            <w:r w:rsidRPr="003410C7">
              <w:rPr>
                <w:rFonts w:eastAsia="MS UI Gothic" w:cs="Tahoma"/>
                <w:color w:val="000000"/>
                <w:szCs w:val="18"/>
              </w:rPr>
              <w:t>1 Microsoft Enterprise Architect trimestrale</w:t>
            </w:r>
          </w:p>
        </w:tc>
        <w:tc>
          <w:tcPr>
            <w:tcW w:w="2340" w:type="dxa"/>
            <w:vAlign w:val="center"/>
          </w:tcPr>
          <w:p w:rsidR="00FD27BC" w:rsidRPr="003410C7" w:rsidRDefault="00FD27BC" w:rsidP="00FD27BC">
            <w:pPr>
              <w:jc w:val="center"/>
              <w:rPr>
                <w:rFonts w:cs="Tahoma"/>
                <w:color w:val="000000"/>
                <w:szCs w:val="18"/>
              </w:rPr>
            </w:pPr>
            <w:r w:rsidRPr="003410C7">
              <w:rPr>
                <w:rFonts w:eastAsia="MS UI Gothic" w:cs="Tahoma"/>
                <w:color w:val="000000"/>
                <w:szCs w:val="18"/>
              </w:rPr>
              <w:t>1 Microsoft Enterprise Architect part-time</w:t>
            </w:r>
          </w:p>
        </w:tc>
        <w:tc>
          <w:tcPr>
            <w:tcW w:w="2250" w:type="dxa"/>
            <w:vAlign w:val="center"/>
          </w:tcPr>
          <w:p w:rsidR="00FD27BC" w:rsidRPr="003410C7" w:rsidRDefault="00FD27BC" w:rsidP="00FD27BC">
            <w:pPr>
              <w:jc w:val="center"/>
              <w:rPr>
                <w:rFonts w:cs="Tahoma"/>
                <w:color w:val="000000"/>
                <w:szCs w:val="18"/>
              </w:rPr>
            </w:pPr>
            <w:r w:rsidRPr="003410C7">
              <w:rPr>
                <w:rFonts w:eastAsia="MS UI Gothic" w:cs="Tahoma"/>
                <w:color w:val="000000"/>
                <w:szCs w:val="18"/>
              </w:rPr>
              <w:t>1 Microsoft Enterprise Architect full-time</w:t>
            </w:r>
          </w:p>
        </w:tc>
      </w:tr>
      <w:tr w:rsidR="00FD27BC" w:rsidRPr="00DC1102" w:rsidTr="00E20FC3">
        <w:tc>
          <w:tcPr>
            <w:tcW w:w="2673" w:type="dxa"/>
            <w:vAlign w:val="center"/>
          </w:tcPr>
          <w:p w:rsidR="00FD27BC" w:rsidRPr="003410C7" w:rsidRDefault="00FD27BC" w:rsidP="00FD27BC">
            <w:pPr>
              <w:rPr>
                <w:rFonts w:cs="Tahoma"/>
                <w:color w:val="000000"/>
                <w:szCs w:val="18"/>
              </w:rPr>
            </w:pPr>
            <w:r w:rsidRPr="003410C7">
              <w:rPr>
                <w:rFonts w:cs="Tahoma"/>
                <w:color w:val="000000"/>
                <w:szCs w:val="18"/>
              </w:rPr>
              <w:t>Valutazione</w:t>
            </w:r>
            <w:r w:rsidRPr="003410C7">
              <w:rPr>
                <w:rFonts w:cs="Tahoma"/>
                <w:b/>
                <w:bCs/>
                <w:color w:val="000000"/>
                <w:sz w:val="20"/>
                <w:szCs w:val="18"/>
              </w:rPr>
              <w:t xml:space="preserve"> </w:t>
            </w:r>
            <w:r w:rsidRPr="003410C7">
              <w:rPr>
                <w:rFonts w:cs="Tahoma"/>
                <w:b/>
                <w:bCs/>
                <w:color w:val="000000"/>
                <w:sz w:val="20"/>
                <w:szCs w:val="18"/>
                <w:vertAlign w:val="superscript"/>
              </w:rPr>
              <w:t>1</w:t>
            </w:r>
          </w:p>
        </w:tc>
        <w:tc>
          <w:tcPr>
            <w:tcW w:w="2097" w:type="dxa"/>
            <w:vAlign w:val="center"/>
          </w:tcPr>
          <w:p w:rsidR="00FD27BC" w:rsidRPr="00451078" w:rsidRDefault="00FD27BC" w:rsidP="00FD27BC">
            <w:pPr>
              <w:jc w:val="center"/>
              <w:rPr>
                <w:rFonts w:cs="Tahoma"/>
                <w:color w:val="000000"/>
                <w:szCs w:val="18"/>
                <w:lang w:val="it-IT"/>
              </w:rPr>
            </w:pPr>
            <w:r w:rsidRPr="00451078">
              <w:rPr>
                <w:rFonts w:cs="Tahoma"/>
                <w:color w:val="000000"/>
                <w:szCs w:val="18"/>
                <w:lang w:val="it-IT"/>
              </w:rPr>
              <w:t>Fino al 25% dell</w:t>
            </w:r>
            <w:r w:rsidR="004525CA">
              <w:rPr>
                <w:rFonts w:cs="Tahoma"/>
                <w:color w:val="000000"/>
                <w:szCs w:val="18"/>
                <w:lang w:val="it-IT"/>
              </w:rPr>
              <w:t>’</w:t>
            </w:r>
            <w:r w:rsidRPr="00451078">
              <w:rPr>
                <w:rFonts w:cs="Tahoma"/>
                <w:color w:val="000000"/>
                <w:szCs w:val="18"/>
                <w:lang w:val="it-IT"/>
              </w:rPr>
              <w:t>impegno di un Architect all</w:t>
            </w:r>
            <w:r w:rsidR="004525CA">
              <w:rPr>
                <w:rFonts w:cs="Tahoma"/>
                <w:color w:val="000000"/>
                <w:szCs w:val="18"/>
                <w:lang w:val="it-IT"/>
              </w:rPr>
              <w:t>’</w:t>
            </w:r>
            <w:r w:rsidRPr="00451078">
              <w:rPr>
                <w:rFonts w:cs="Tahoma"/>
                <w:color w:val="000000"/>
                <w:szCs w:val="18"/>
                <w:lang w:val="it-IT"/>
              </w:rPr>
              <w:t>anno</w:t>
            </w:r>
          </w:p>
        </w:tc>
        <w:tc>
          <w:tcPr>
            <w:tcW w:w="2340" w:type="dxa"/>
            <w:vAlign w:val="center"/>
          </w:tcPr>
          <w:p w:rsidR="00FD27BC" w:rsidRPr="00451078" w:rsidRDefault="00FD27BC" w:rsidP="00FD27BC">
            <w:pPr>
              <w:jc w:val="center"/>
              <w:rPr>
                <w:rFonts w:cs="Tahoma"/>
                <w:color w:val="000000"/>
                <w:szCs w:val="18"/>
                <w:lang w:val="it-IT"/>
              </w:rPr>
            </w:pPr>
            <w:r w:rsidRPr="00451078">
              <w:rPr>
                <w:rFonts w:cs="Tahoma"/>
                <w:color w:val="000000"/>
                <w:szCs w:val="18"/>
                <w:lang w:val="it-IT"/>
              </w:rPr>
              <w:t>Fino al 25% dell</w:t>
            </w:r>
            <w:r w:rsidR="004525CA">
              <w:rPr>
                <w:rFonts w:cs="Tahoma"/>
                <w:color w:val="000000"/>
                <w:szCs w:val="18"/>
                <w:lang w:val="it-IT"/>
              </w:rPr>
              <w:t>’</w:t>
            </w:r>
            <w:r w:rsidRPr="00451078">
              <w:rPr>
                <w:rFonts w:cs="Tahoma"/>
                <w:color w:val="000000"/>
                <w:szCs w:val="18"/>
                <w:lang w:val="it-IT"/>
              </w:rPr>
              <w:t>impegno di un Architect all</w:t>
            </w:r>
            <w:r w:rsidR="004525CA">
              <w:rPr>
                <w:rFonts w:cs="Tahoma"/>
                <w:color w:val="000000"/>
                <w:szCs w:val="18"/>
                <w:lang w:val="it-IT"/>
              </w:rPr>
              <w:t>’</w:t>
            </w:r>
            <w:r w:rsidRPr="00451078">
              <w:rPr>
                <w:rFonts w:cs="Tahoma"/>
                <w:color w:val="000000"/>
                <w:szCs w:val="18"/>
                <w:lang w:val="it-IT"/>
              </w:rPr>
              <w:t>anno</w:t>
            </w:r>
          </w:p>
        </w:tc>
        <w:tc>
          <w:tcPr>
            <w:tcW w:w="2250" w:type="dxa"/>
            <w:vAlign w:val="center"/>
          </w:tcPr>
          <w:p w:rsidR="00FD27BC" w:rsidRPr="00451078" w:rsidRDefault="00FD27BC" w:rsidP="00FD27BC">
            <w:pPr>
              <w:jc w:val="center"/>
              <w:rPr>
                <w:rFonts w:cs="Tahoma"/>
                <w:color w:val="000000"/>
                <w:szCs w:val="18"/>
                <w:lang w:val="it-IT"/>
              </w:rPr>
            </w:pPr>
            <w:r w:rsidRPr="00451078">
              <w:rPr>
                <w:rFonts w:cs="Tahoma"/>
                <w:color w:val="000000"/>
                <w:szCs w:val="18"/>
                <w:lang w:val="it-IT"/>
              </w:rPr>
              <w:t>Fino al 25% dell</w:t>
            </w:r>
            <w:r w:rsidR="004525CA">
              <w:rPr>
                <w:rFonts w:cs="Tahoma"/>
                <w:color w:val="000000"/>
                <w:szCs w:val="18"/>
                <w:lang w:val="it-IT"/>
              </w:rPr>
              <w:t>’</w:t>
            </w:r>
            <w:r w:rsidRPr="00451078">
              <w:rPr>
                <w:rFonts w:cs="Tahoma"/>
                <w:color w:val="000000"/>
                <w:szCs w:val="18"/>
                <w:lang w:val="it-IT"/>
              </w:rPr>
              <w:t>impegno di un Architect all</w:t>
            </w:r>
            <w:r w:rsidR="004525CA">
              <w:rPr>
                <w:rFonts w:cs="Tahoma"/>
                <w:color w:val="000000"/>
                <w:szCs w:val="18"/>
                <w:lang w:val="it-IT"/>
              </w:rPr>
              <w:t>’</w:t>
            </w:r>
            <w:r w:rsidRPr="00451078">
              <w:rPr>
                <w:rFonts w:cs="Tahoma"/>
                <w:color w:val="000000"/>
                <w:szCs w:val="18"/>
                <w:lang w:val="it-IT"/>
              </w:rPr>
              <w:t>anno</w:t>
            </w:r>
          </w:p>
        </w:tc>
      </w:tr>
      <w:tr w:rsidR="00FD27BC" w:rsidRPr="00DC1102" w:rsidTr="00E20FC3">
        <w:tc>
          <w:tcPr>
            <w:tcW w:w="2673" w:type="dxa"/>
            <w:vAlign w:val="center"/>
          </w:tcPr>
          <w:p w:rsidR="00FD27BC" w:rsidRPr="003410C7" w:rsidRDefault="00FD27BC" w:rsidP="00FD27BC">
            <w:pPr>
              <w:rPr>
                <w:rFonts w:cs="Tahoma"/>
                <w:color w:val="000000"/>
                <w:szCs w:val="18"/>
              </w:rPr>
            </w:pPr>
            <w:r w:rsidRPr="003410C7">
              <w:rPr>
                <w:rFonts w:cs="Tahoma"/>
                <w:color w:val="000000"/>
                <w:szCs w:val="18"/>
              </w:rPr>
              <w:t>Progetto Enterprise Strategy</w:t>
            </w:r>
            <w:r w:rsidRPr="003410C7">
              <w:rPr>
                <w:rFonts w:cs="Tahoma"/>
                <w:b/>
                <w:bCs/>
                <w:color w:val="000000"/>
                <w:sz w:val="20"/>
                <w:szCs w:val="18"/>
              </w:rPr>
              <w:t xml:space="preserve"> </w:t>
            </w:r>
            <w:r w:rsidRPr="003410C7">
              <w:rPr>
                <w:rFonts w:cs="Tahoma"/>
                <w:b/>
                <w:bCs/>
                <w:color w:val="000000"/>
                <w:sz w:val="20"/>
                <w:szCs w:val="18"/>
                <w:vertAlign w:val="superscript"/>
              </w:rPr>
              <w:t>1</w:t>
            </w:r>
          </w:p>
        </w:tc>
        <w:tc>
          <w:tcPr>
            <w:tcW w:w="2097" w:type="dxa"/>
            <w:vAlign w:val="center"/>
          </w:tcPr>
          <w:p w:rsidR="00FD27BC" w:rsidRPr="00451078" w:rsidRDefault="00FD27BC" w:rsidP="00FD27BC">
            <w:pPr>
              <w:jc w:val="center"/>
              <w:rPr>
                <w:rFonts w:cs="Tahoma"/>
                <w:color w:val="000000"/>
                <w:szCs w:val="18"/>
                <w:lang w:val="it-IT"/>
              </w:rPr>
            </w:pPr>
            <w:r w:rsidRPr="00451078">
              <w:rPr>
                <w:rFonts w:cs="Tahoma"/>
                <w:color w:val="000000"/>
                <w:szCs w:val="18"/>
                <w:lang w:val="it-IT"/>
              </w:rPr>
              <w:t>Fino al 75% dell</w:t>
            </w:r>
            <w:r w:rsidR="004525CA">
              <w:rPr>
                <w:rFonts w:cs="Tahoma"/>
                <w:color w:val="000000"/>
                <w:szCs w:val="18"/>
                <w:lang w:val="it-IT"/>
              </w:rPr>
              <w:t>’</w:t>
            </w:r>
            <w:r w:rsidRPr="00451078">
              <w:rPr>
                <w:rFonts w:cs="Tahoma"/>
                <w:color w:val="000000"/>
                <w:szCs w:val="18"/>
                <w:lang w:val="it-IT"/>
              </w:rPr>
              <w:t>impegno di un Architect all</w:t>
            </w:r>
            <w:r w:rsidR="004525CA">
              <w:rPr>
                <w:rFonts w:cs="Tahoma"/>
                <w:color w:val="000000"/>
                <w:szCs w:val="18"/>
                <w:lang w:val="it-IT"/>
              </w:rPr>
              <w:t>’</w:t>
            </w:r>
            <w:r w:rsidRPr="00451078">
              <w:rPr>
                <w:rFonts w:cs="Tahoma"/>
                <w:color w:val="000000"/>
                <w:szCs w:val="18"/>
                <w:lang w:val="it-IT"/>
              </w:rPr>
              <w:t>anno</w:t>
            </w:r>
          </w:p>
        </w:tc>
        <w:tc>
          <w:tcPr>
            <w:tcW w:w="2340" w:type="dxa"/>
            <w:vAlign w:val="center"/>
          </w:tcPr>
          <w:p w:rsidR="00FD27BC" w:rsidRPr="00451078" w:rsidRDefault="00FD27BC" w:rsidP="00FD27BC">
            <w:pPr>
              <w:jc w:val="center"/>
              <w:rPr>
                <w:rFonts w:cs="Tahoma"/>
                <w:color w:val="000000"/>
                <w:szCs w:val="18"/>
                <w:lang w:val="it-IT"/>
              </w:rPr>
            </w:pPr>
            <w:r w:rsidRPr="00451078">
              <w:rPr>
                <w:rFonts w:cs="Tahoma"/>
                <w:color w:val="000000"/>
                <w:szCs w:val="18"/>
                <w:lang w:val="it-IT"/>
              </w:rPr>
              <w:t>Fino al 75% dell</w:t>
            </w:r>
            <w:r w:rsidR="004525CA">
              <w:rPr>
                <w:rFonts w:cs="Tahoma"/>
                <w:color w:val="000000"/>
                <w:szCs w:val="18"/>
                <w:lang w:val="it-IT"/>
              </w:rPr>
              <w:t>’</w:t>
            </w:r>
            <w:r w:rsidRPr="00451078">
              <w:rPr>
                <w:rFonts w:cs="Tahoma"/>
                <w:color w:val="000000"/>
                <w:szCs w:val="18"/>
                <w:lang w:val="it-IT"/>
              </w:rPr>
              <w:t>impegno di un Architect all</w:t>
            </w:r>
            <w:r w:rsidR="004525CA">
              <w:rPr>
                <w:rFonts w:cs="Tahoma"/>
                <w:color w:val="000000"/>
                <w:szCs w:val="18"/>
                <w:lang w:val="it-IT"/>
              </w:rPr>
              <w:t>’</w:t>
            </w:r>
            <w:r w:rsidRPr="00451078">
              <w:rPr>
                <w:rFonts w:cs="Tahoma"/>
                <w:color w:val="000000"/>
                <w:szCs w:val="18"/>
                <w:lang w:val="it-IT"/>
              </w:rPr>
              <w:t>anno</w:t>
            </w:r>
          </w:p>
        </w:tc>
        <w:tc>
          <w:tcPr>
            <w:tcW w:w="2250" w:type="dxa"/>
            <w:vAlign w:val="center"/>
          </w:tcPr>
          <w:p w:rsidR="00FD27BC" w:rsidRPr="00451078" w:rsidRDefault="00FD27BC" w:rsidP="00FD27BC">
            <w:pPr>
              <w:jc w:val="center"/>
              <w:rPr>
                <w:rFonts w:cs="Tahoma"/>
                <w:color w:val="000000"/>
                <w:szCs w:val="18"/>
                <w:lang w:val="it-IT"/>
              </w:rPr>
            </w:pPr>
            <w:r w:rsidRPr="00451078">
              <w:rPr>
                <w:rFonts w:cs="Tahoma"/>
                <w:color w:val="000000"/>
                <w:szCs w:val="18"/>
                <w:lang w:val="it-IT"/>
              </w:rPr>
              <w:t>Fino al 75% dell</w:t>
            </w:r>
            <w:r w:rsidR="004525CA">
              <w:rPr>
                <w:rFonts w:cs="Tahoma"/>
                <w:color w:val="000000"/>
                <w:szCs w:val="18"/>
                <w:lang w:val="it-IT"/>
              </w:rPr>
              <w:t>’</w:t>
            </w:r>
            <w:r w:rsidRPr="00451078">
              <w:rPr>
                <w:rFonts w:cs="Tahoma"/>
                <w:color w:val="000000"/>
                <w:szCs w:val="18"/>
                <w:lang w:val="it-IT"/>
              </w:rPr>
              <w:t>impegno di un Architect all</w:t>
            </w:r>
            <w:r w:rsidR="004525CA">
              <w:rPr>
                <w:rFonts w:cs="Tahoma"/>
                <w:color w:val="000000"/>
                <w:szCs w:val="18"/>
                <w:lang w:val="it-IT"/>
              </w:rPr>
              <w:t>’</w:t>
            </w:r>
            <w:r w:rsidRPr="00451078">
              <w:rPr>
                <w:rFonts w:cs="Tahoma"/>
                <w:color w:val="000000"/>
                <w:szCs w:val="18"/>
                <w:lang w:val="it-IT"/>
              </w:rPr>
              <w:t>anno</w:t>
            </w:r>
          </w:p>
        </w:tc>
      </w:tr>
      <w:tr w:rsidR="00FD27BC" w:rsidRPr="003410C7" w:rsidTr="00E20FC3">
        <w:tc>
          <w:tcPr>
            <w:tcW w:w="2673" w:type="dxa"/>
            <w:vAlign w:val="center"/>
          </w:tcPr>
          <w:p w:rsidR="00FD27BC" w:rsidRPr="003410C7" w:rsidRDefault="00FD27BC" w:rsidP="00FD27BC">
            <w:pPr>
              <w:rPr>
                <w:rFonts w:cs="Tahoma"/>
                <w:color w:val="000000"/>
                <w:szCs w:val="18"/>
              </w:rPr>
            </w:pPr>
            <w:r w:rsidRPr="003410C7">
              <w:rPr>
                <w:rFonts w:cs="Tahoma"/>
                <w:color w:val="000000"/>
                <w:szCs w:val="18"/>
              </w:rPr>
              <w:t>Workshop relativi all</w:t>
            </w:r>
            <w:r w:rsidR="004525CA">
              <w:rPr>
                <w:rFonts w:cs="Tahoma"/>
                <w:color w:val="000000"/>
                <w:szCs w:val="18"/>
              </w:rPr>
              <w:t>’</w:t>
            </w:r>
            <w:r w:rsidRPr="003410C7">
              <w:rPr>
                <w:rFonts w:cs="Tahoma"/>
                <w:color w:val="000000"/>
                <w:szCs w:val="18"/>
              </w:rPr>
              <w:t>engagement</w:t>
            </w:r>
          </w:p>
        </w:tc>
        <w:tc>
          <w:tcPr>
            <w:tcW w:w="2097" w:type="dxa"/>
            <w:vAlign w:val="center"/>
          </w:tcPr>
          <w:p w:rsidR="00FD27BC" w:rsidRPr="003410C7" w:rsidRDefault="00FD27BC" w:rsidP="00FD27BC">
            <w:pPr>
              <w:jc w:val="center"/>
              <w:rPr>
                <w:rFonts w:cs="Tahoma"/>
                <w:color w:val="000000"/>
                <w:szCs w:val="18"/>
              </w:rPr>
            </w:pPr>
            <w:r w:rsidRPr="003410C7">
              <w:rPr>
                <w:rFonts w:cs="Tahoma"/>
                <w:color w:val="000000"/>
                <w:szCs w:val="18"/>
              </w:rPr>
              <w:t>Fino a 1 all</w:t>
            </w:r>
            <w:r w:rsidR="004525CA">
              <w:rPr>
                <w:rFonts w:cs="Tahoma"/>
                <w:color w:val="000000"/>
                <w:szCs w:val="18"/>
              </w:rPr>
              <w:t>’</w:t>
            </w:r>
            <w:r w:rsidRPr="003410C7">
              <w:rPr>
                <w:rFonts w:cs="Tahoma"/>
                <w:color w:val="000000"/>
                <w:szCs w:val="18"/>
              </w:rPr>
              <w:t>anno</w:t>
            </w:r>
          </w:p>
        </w:tc>
        <w:tc>
          <w:tcPr>
            <w:tcW w:w="2340" w:type="dxa"/>
            <w:vAlign w:val="center"/>
          </w:tcPr>
          <w:p w:rsidR="00FD27BC" w:rsidRPr="003410C7" w:rsidRDefault="00FD27BC" w:rsidP="00FD27BC">
            <w:pPr>
              <w:jc w:val="center"/>
              <w:rPr>
                <w:rFonts w:cs="Tahoma"/>
                <w:color w:val="000000"/>
                <w:szCs w:val="18"/>
              </w:rPr>
            </w:pPr>
            <w:r w:rsidRPr="003410C7">
              <w:rPr>
                <w:rFonts w:cs="Tahoma"/>
                <w:color w:val="000000"/>
                <w:szCs w:val="18"/>
              </w:rPr>
              <w:t>Fino a 2 all</w:t>
            </w:r>
            <w:r w:rsidR="004525CA">
              <w:rPr>
                <w:rFonts w:cs="Tahoma"/>
                <w:color w:val="000000"/>
                <w:szCs w:val="18"/>
              </w:rPr>
              <w:t>’</w:t>
            </w:r>
            <w:r w:rsidRPr="003410C7">
              <w:rPr>
                <w:rFonts w:cs="Tahoma"/>
                <w:color w:val="000000"/>
                <w:szCs w:val="18"/>
              </w:rPr>
              <w:t>anno</w:t>
            </w:r>
          </w:p>
        </w:tc>
        <w:tc>
          <w:tcPr>
            <w:tcW w:w="2250" w:type="dxa"/>
            <w:vAlign w:val="center"/>
          </w:tcPr>
          <w:p w:rsidR="00FD27BC" w:rsidRPr="003410C7" w:rsidRDefault="00FD27BC" w:rsidP="00FD27BC">
            <w:pPr>
              <w:spacing w:before="120"/>
              <w:jc w:val="center"/>
              <w:rPr>
                <w:rFonts w:cs="Tahoma"/>
                <w:color w:val="000000"/>
                <w:szCs w:val="18"/>
              </w:rPr>
            </w:pPr>
            <w:r w:rsidRPr="003410C7">
              <w:t>Fino a 4 all</w:t>
            </w:r>
            <w:r w:rsidR="004525CA">
              <w:t>’</w:t>
            </w:r>
            <w:r w:rsidRPr="003410C7">
              <w:t>anno</w:t>
            </w:r>
          </w:p>
        </w:tc>
      </w:tr>
      <w:tr w:rsidR="00FD27BC" w:rsidRPr="003410C7" w:rsidTr="00E20FC3">
        <w:tc>
          <w:tcPr>
            <w:tcW w:w="2673" w:type="dxa"/>
            <w:vAlign w:val="center"/>
          </w:tcPr>
          <w:p w:rsidR="00FD27BC" w:rsidRPr="003410C7" w:rsidRDefault="00FD27BC" w:rsidP="00FD27BC">
            <w:pPr>
              <w:rPr>
                <w:rFonts w:cs="Tahoma"/>
                <w:color w:val="000000"/>
                <w:szCs w:val="18"/>
              </w:rPr>
            </w:pPr>
            <w:r w:rsidRPr="003410C7">
              <w:rPr>
                <w:rFonts w:cs="Tahoma"/>
                <w:color w:val="000000"/>
                <w:szCs w:val="18"/>
              </w:rPr>
              <w:t>Enterprise Strategy Network</w:t>
            </w:r>
          </w:p>
        </w:tc>
        <w:tc>
          <w:tcPr>
            <w:tcW w:w="2097" w:type="dxa"/>
            <w:vAlign w:val="center"/>
          </w:tcPr>
          <w:p w:rsidR="00FD27BC" w:rsidRPr="003410C7" w:rsidRDefault="00FD27BC" w:rsidP="00FD27BC">
            <w:pPr>
              <w:jc w:val="center"/>
              <w:rPr>
                <w:rFonts w:ascii="MS UI Gothic" w:eastAsia="MS UI Gothic" w:hAnsi="MS UI Gothic" w:cs="MS UI Gothic"/>
                <w:color w:val="000000"/>
                <w:szCs w:val="18"/>
              </w:rPr>
            </w:pPr>
            <w:r w:rsidRPr="003410C7">
              <w:rPr>
                <w:rFonts w:ascii="MS UI Gothic" w:eastAsia="MS UI Gothic" w:hAnsi="MS UI Gothic" w:cs="MS UI Gothic"/>
                <w:color w:val="000000"/>
                <w:szCs w:val="18"/>
              </w:rPr>
              <w:t>✓</w:t>
            </w:r>
          </w:p>
        </w:tc>
        <w:tc>
          <w:tcPr>
            <w:tcW w:w="2340" w:type="dxa"/>
            <w:vAlign w:val="center"/>
          </w:tcPr>
          <w:p w:rsidR="00FD27BC" w:rsidRPr="003410C7" w:rsidRDefault="00FD27BC" w:rsidP="00FD27BC">
            <w:pPr>
              <w:jc w:val="center"/>
              <w:rPr>
                <w:rFonts w:ascii="MS UI Gothic" w:eastAsia="MS UI Gothic" w:hAnsi="MS UI Gothic" w:cs="MS UI Gothic"/>
                <w:color w:val="000000"/>
                <w:szCs w:val="18"/>
              </w:rPr>
            </w:pPr>
            <w:r w:rsidRPr="003410C7">
              <w:rPr>
                <w:rFonts w:ascii="MS UI Gothic" w:eastAsia="MS UI Gothic" w:hAnsi="MS UI Gothic" w:cs="MS UI Gothic"/>
                <w:color w:val="000000"/>
                <w:szCs w:val="18"/>
              </w:rPr>
              <w:t>✓</w:t>
            </w:r>
          </w:p>
        </w:tc>
        <w:tc>
          <w:tcPr>
            <w:tcW w:w="2250" w:type="dxa"/>
            <w:vAlign w:val="center"/>
          </w:tcPr>
          <w:p w:rsidR="00FD27BC" w:rsidRPr="003410C7" w:rsidRDefault="00FD27BC" w:rsidP="00FD27BC">
            <w:pPr>
              <w:jc w:val="center"/>
              <w:rPr>
                <w:rFonts w:ascii="MS UI Gothic" w:eastAsia="MS UI Gothic" w:hAnsi="MS UI Gothic" w:cs="MS UI Gothic"/>
              </w:rPr>
            </w:pPr>
            <w:r w:rsidRPr="003410C7">
              <w:rPr>
                <w:rFonts w:ascii="MS UI Gothic" w:eastAsia="MS UI Gothic" w:hAnsi="MS UI Gothic" w:cs="MS UI Gothic"/>
                <w:color w:val="000000"/>
                <w:szCs w:val="18"/>
              </w:rPr>
              <w:t>✓</w:t>
            </w:r>
          </w:p>
        </w:tc>
      </w:tr>
      <w:tr w:rsidR="00FD27BC" w:rsidRPr="003410C7" w:rsidTr="00E20FC3">
        <w:tc>
          <w:tcPr>
            <w:tcW w:w="2673" w:type="dxa"/>
            <w:vAlign w:val="center"/>
          </w:tcPr>
          <w:p w:rsidR="00FD27BC" w:rsidRPr="003410C7" w:rsidRDefault="00FD27BC" w:rsidP="00FD27BC">
            <w:pPr>
              <w:rPr>
                <w:rFonts w:cs="Tahoma"/>
                <w:color w:val="000000"/>
                <w:szCs w:val="18"/>
              </w:rPr>
            </w:pPr>
            <w:r w:rsidRPr="003410C7">
              <w:rPr>
                <w:rFonts w:cs="Tahoma"/>
                <w:color w:val="000000"/>
                <w:szCs w:val="18"/>
              </w:rPr>
              <w:t>Enterprise Strategy Library</w:t>
            </w:r>
          </w:p>
        </w:tc>
        <w:tc>
          <w:tcPr>
            <w:tcW w:w="2097" w:type="dxa"/>
            <w:vAlign w:val="center"/>
          </w:tcPr>
          <w:p w:rsidR="00FD27BC" w:rsidRPr="003410C7" w:rsidRDefault="00FD27BC" w:rsidP="00FD27BC">
            <w:pPr>
              <w:jc w:val="center"/>
              <w:rPr>
                <w:rFonts w:ascii="MS UI Gothic" w:eastAsia="MS UI Gothic" w:hAnsi="MS UI Gothic" w:cs="MS UI Gothic"/>
                <w:color w:val="000000"/>
                <w:szCs w:val="18"/>
              </w:rPr>
            </w:pPr>
            <w:r w:rsidRPr="003410C7">
              <w:rPr>
                <w:rFonts w:ascii="MS UI Gothic" w:eastAsia="MS UI Gothic" w:hAnsi="MS UI Gothic" w:cs="MS UI Gothic"/>
                <w:color w:val="000000"/>
                <w:szCs w:val="18"/>
              </w:rPr>
              <w:t>✓</w:t>
            </w:r>
          </w:p>
        </w:tc>
        <w:tc>
          <w:tcPr>
            <w:tcW w:w="2340" w:type="dxa"/>
            <w:vAlign w:val="center"/>
          </w:tcPr>
          <w:p w:rsidR="00FD27BC" w:rsidRPr="003410C7" w:rsidRDefault="00FD27BC" w:rsidP="00FD27BC">
            <w:pPr>
              <w:jc w:val="center"/>
              <w:rPr>
                <w:rFonts w:ascii="MS UI Gothic" w:eastAsia="MS UI Gothic" w:hAnsi="MS UI Gothic" w:cs="MS UI Gothic"/>
                <w:color w:val="000000"/>
                <w:szCs w:val="18"/>
              </w:rPr>
            </w:pPr>
            <w:r w:rsidRPr="003410C7">
              <w:rPr>
                <w:rFonts w:ascii="MS UI Gothic" w:eastAsia="MS UI Gothic" w:hAnsi="MS UI Gothic" w:cs="MS UI Gothic"/>
                <w:color w:val="000000"/>
                <w:szCs w:val="18"/>
              </w:rPr>
              <w:t>✓</w:t>
            </w:r>
          </w:p>
        </w:tc>
        <w:tc>
          <w:tcPr>
            <w:tcW w:w="2250" w:type="dxa"/>
            <w:vAlign w:val="center"/>
          </w:tcPr>
          <w:p w:rsidR="00FD27BC" w:rsidRPr="003410C7" w:rsidRDefault="00FD27BC" w:rsidP="00FD27BC">
            <w:pPr>
              <w:jc w:val="center"/>
              <w:rPr>
                <w:rFonts w:ascii="MS UI Gothic" w:eastAsia="MS UI Gothic" w:hAnsi="MS UI Gothic" w:cs="MS UI Gothic"/>
              </w:rPr>
            </w:pPr>
            <w:r w:rsidRPr="003410C7">
              <w:rPr>
                <w:rFonts w:ascii="MS UI Gothic" w:eastAsia="MS UI Gothic" w:hAnsi="MS UI Gothic" w:cs="MS UI Gothic"/>
                <w:color w:val="000000"/>
                <w:szCs w:val="18"/>
              </w:rPr>
              <w:t>✓</w:t>
            </w:r>
          </w:p>
        </w:tc>
      </w:tr>
      <w:tr w:rsidR="00FD27BC" w:rsidRPr="003410C7" w:rsidTr="00E20FC3">
        <w:tc>
          <w:tcPr>
            <w:tcW w:w="2673" w:type="dxa"/>
            <w:vAlign w:val="center"/>
          </w:tcPr>
          <w:p w:rsidR="00FD27BC" w:rsidRPr="003410C7" w:rsidRDefault="00FD27BC" w:rsidP="00FD27BC">
            <w:pPr>
              <w:rPr>
                <w:rFonts w:cs="Tahoma"/>
                <w:color w:val="000000"/>
                <w:szCs w:val="18"/>
              </w:rPr>
            </w:pPr>
            <w:r w:rsidRPr="003410C7">
              <w:rPr>
                <w:rFonts w:cs="Tahoma"/>
                <w:color w:val="000000"/>
                <w:szCs w:val="18"/>
              </w:rPr>
              <w:t>Briefing strategici</w:t>
            </w:r>
          </w:p>
        </w:tc>
        <w:tc>
          <w:tcPr>
            <w:tcW w:w="2097" w:type="dxa"/>
            <w:vAlign w:val="center"/>
          </w:tcPr>
          <w:p w:rsidR="00FD27BC" w:rsidRPr="003410C7" w:rsidRDefault="00FD27BC" w:rsidP="00FD27BC">
            <w:pPr>
              <w:jc w:val="center"/>
              <w:rPr>
                <w:rFonts w:ascii="MS UI Gothic" w:eastAsia="MS UI Gothic" w:hAnsi="MS UI Gothic" w:cs="MS UI Gothic"/>
                <w:color w:val="000000"/>
                <w:szCs w:val="18"/>
              </w:rPr>
            </w:pPr>
            <w:r w:rsidRPr="003410C7">
              <w:rPr>
                <w:rFonts w:ascii="MS UI Gothic" w:eastAsia="MS UI Gothic" w:hAnsi="MS UI Gothic" w:cs="MS UI Gothic"/>
                <w:color w:val="000000"/>
                <w:szCs w:val="18"/>
              </w:rPr>
              <w:t>✓</w:t>
            </w:r>
          </w:p>
        </w:tc>
        <w:tc>
          <w:tcPr>
            <w:tcW w:w="2340" w:type="dxa"/>
            <w:vAlign w:val="center"/>
          </w:tcPr>
          <w:p w:rsidR="00FD27BC" w:rsidRPr="003410C7" w:rsidRDefault="00FD27BC" w:rsidP="00FD27BC">
            <w:pPr>
              <w:jc w:val="center"/>
              <w:rPr>
                <w:rFonts w:cs="Tahoma"/>
                <w:color w:val="000000"/>
                <w:szCs w:val="18"/>
              </w:rPr>
            </w:pPr>
            <w:r w:rsidRPr="003410C7">
              <w:rPr>
                <w:rFonts w:ascii="MS UI Gothic" w:eastAsia="MS UI Gothic" w:hAnsi="MS UI Gothic" w:cs="MS UI Gothic"/>
                <w:color w:val="000000"/>
                <w:szCs w:val="18"/>
              </w:rPr>
              <w:t>✓</w:t>
            </w:r>
          </w:p>
        </w:tc>
        <w:tc>
          <w:tcPr>
            <w:tcW w:w="2250" w:type="dxa"/>
            <w:vAlign w:val="center"/>
          </w:tcPr>
          <w:p w:rsidR="00FD27BC" w:rsidRPr="003410C7" w:rsidRDefault="00FD27BC" w:rsidP="00FD27BC">
            <w:pPr>
              <w:jc w:val="center"/>
              <w:rPr>
                <w:rFonts w:cs="Tahoma"/>
                <w:color w:val="000000"/>
                <w:szCs w:val="18"/>
              </w:rPr>
            </w:pPr>
            <w:r w:rsidRPr="003410C7">
              <w:rPr>
                <w:rFonts w:ascii="MS UI Gothic" w:eastAsia="MS UI Gothic" w:hAnsi="MS UI Gothic" w:cs="MS UI Gothic"/>
              </w:rPr>
              <w:t>✓</w:t>
            </w:r>
          </w:p>
        </w:tc>
      </w:tr>
      <w:tr w:rsidR="00FD27BC" w:rsidRPr="003410C7" w:rsidTr="00E20FC3">
        <w:tc>
          <w:tcPr>
            <w:tcW w:w="2673" w:type="dxa"/>
            <w:vAlign w:val="center"/>
          </w:tcPr>
          <w:p w:rsidR="00FD27BC" w:rsidRPr="00451078" w:rsidRDefault="00FD27BC" w:rsidP="00262185">
            <w:pPr>
              <w:rPr>
                <w:rFonts w:cs="Tahoma"/>
                <w:color w:val="000000"/>
                <w:szCs w:val="18"/>
                <w:lang w:val="it-IT"/>
              </w:rPr>
            </w:pPr>
            <w:r w:rsidRPr="00451078">
              <w:rPr>
                <w:rFonts w:cs="Tahoma"/>
                <w:color w:val="000000"/>
                <w:szCs w:val="18"/>
                <w:lang w:val="it-IT"/>
              </w:rPr>
              <w:t>Componente Aggiuntivo della</w:t>
            </w:r>
            <w:r w:rsidR="00262185" w:rsidRPr="00451078">
              <w:rPr>
                <w:rFonts w:cs="Tahoma"/>
                <w:color w:val="000000"/>
                <w:szCs w:val="18"/>
                <w:lang w:val="it-IT"/>
              </w:rPr>
              <w:t> </w:t>
            </w:r>
            <w:r w:rsidRPr="00451078">
              <w:rPr>
                <w:rFonts w:cs="Tahoma"/>
                <w:color w:val="000000"/>
                <w:szCs w:val="18"/>
                <w:lang w:val="it-IT"/>
              </w:rPr>
              <w:t>Funzionalità Enterprise</w:t>
            </w:r>
            <w:r w:rsidR="00262185" w:rsidRPr="00451078">
              <w:rPr>
                <w:rFonts w:cs="Tahoma"/>
                <w:color w:val="000000"/>
                <w:szCs w:val="18"/>
                <w:lang w:val="it-IT"/>
              </w:rPr>
              <w:t> </w:t>
            </w:r>
            <w:r w:rsidRPr="00451078">
              <w:rPr>
                <w:rFonts w:cs="Tahoma"/>
                <w:color w:val="000000"/>
                <w:szCs w:val="18"/>
                <w:lang w:val="it-IT"/>
              </w:rPr>
              <w:t>Services</w:t>
            </w:r>
          </w:p>
        </w:tc>
        <w:tc>
          <w:tcPr>
            <w:tcW w:w="2097" w:type="dxa"/>
            <w:vAlign w:val="center"/>
          </w:tcPr>
          <w:p w:rsidR="00FD27BC" w:rsidRPr="003410C7" w:rsidRDefault="00FD27BC" w:rsidP="00FD27BC">
            <w:pPr>
              <w:jc w:val="center"/>
              <w:rPr>
                <w:rFonts w:ascii="MS UI Gothic" w:eastAsia="MS UI Gothic" w:hAnsi="MS UI Gothic" w:cs="MS UI Gothic"/>
                <w:color w:val="000000"/>
                <w:szCs w:val="18"/>
              </w:rPr>
            </w:pPr>
            <w:r w:rsidRPr="003410C7">
              <w:rPr>
                <w:rFonts w:cs="Tahoma"/>
                <w:color w:val="000000"/>
                <w:szCs w:val="18"/>
              </w:rPr>
              <w:t>200 ore</w:t>
            </w:r>
          </w:p>
        </w:tc>
        <w:tc>
          <w:tcPr>
            <w:tcW w:w="2340" w:type="dxa"/>
            <w:vAlign w:val="center"/>
          </w:tcPr>
          <w:p w:rsidR="00FD27BC" w:rsidRPr="003410C7" w:rsidRDefault="00FD27BC" w:rsidP="00FD27BC">
            <w:pPr>
              <w:jc w:val="center"/>
              <w:rPr>
                <w:rFonts w:ascii="MS UI Gothic" w:eastAsia="MS UI Gothic" w:hAnsi="MS UI Gothic" w:cs="MS UI Gothic"/>
                <w:color w:val="000000"/>
                <w:szCs w:val="18"/>
              </w:rPr>
            </w:pPr>
            <w:r w:rsidRPr="003410C7">
              <w:rPr>
                <w:rFonts w:cs="Tahoma"/>
                <w:color w:val="000000"/>
                <w:szCs w:val="18"/>
              </w:rPr>
              <w:t>200 ore</w:t>
            </w:r>
          </w:p>
        </w:tc>
        <w:tc>
          <w:tcPr>
            <w:tcW w:w="2250" w:type="dxa"/>
            <w:vAlign w:val="center"/>
          </w:tcPr>
          <w:p w:rsidR="00FD27BC" w:rsidRPr="003410C7" w:rsidRDefault="00FD27BC" w:rsidP="00FD27BC">
            <w:pPr>
              <w:jc w:val="center"/>
              <w:rPr>
                <w:rFonts w:ascii="MS UI Gothic" w:eastAsia="MS UI Gothic" w:hAnsi="MS UI Gothic" w:cs="MS UI Gothic"/>
              </w:rPr>
            </w:pPr>
            <w:r w:rsidRPr="003410C7">
              <w:rPr>
                <w:rFonts w:cs="Tahoma"/>
                <w:color w:val="000000"/>
                <w:szCs w:val="18"/>
              </w:rPr>
              <w:t>200 ore</w:t>
            </w:r>
          </w:p>
        </w:tc>
      </w:tr>
    </w:tbl>
    <w:p w:rsidR="00DD7F8E" w:rsidRPr="00451078" w:rsidRDefault="00415DDA" w:rsidP="00DD7F8E">
      <w:pPr>
        <w:rPr>
          <w:lang w:val="it-IT"/>
        </w:rPr>
      </w:pPr>
      <w:r w:rsidRPr="00451078">
        <w:rPr>
          <w:rFonts w:cs="Tahoma"/>
          <w:b/>
          <w:bCs/>
          <w:color w:val="000000"/>
          <w:sz w:val="20"/>
          <w:szCs w:val="18"/>
          <w:vertAlign w:val="superscript"/>
          <w:lang w:val="it-IT"/>
        </w:rPr>
        <w:t>1</w:t>
      </w:r>
      <w:r w:rsidRPr="00451078">
        <w:rPr>
          <w:rFonts w:cs="Tahoma"/>
          <w:b/>
          <w:bCs/>
          <w:i/>
          <w:color w:val="000000"/>
          <w:sz w:val="20"/>
          <w:szCs w:val="18"/>
          <w:vertAlign w:val="superscript"/>
          <w:lang w:val="it-IT"/>
        </w:rPr>
        <w:t xml:space="preserve"> </w:t>
      </w:r>
      <w:r w:rsidRPr="00451078">
        <w:rPr>
          <w:rFonts w:eastAsia="Times New Roman" w:cs="Tahoma"/>
          <w:i/>
          <w:sz w:val="16"/>
          <w:szCs w:val="20"/>
          <w:lang w:val="it-IT"/>
        </w:rPr>
        <w:t>La quantità effettiva di impegno è concordata tra Microsoft e la Società</w:t>
      </w:r>
    </w:p>
    <w:p w:rsidR="00415DDA" w:rsidRPr="00451078" w:rsidRDefault="00415DDA" w:rsidP="00DD7F8E">
      <w:pPr>
        <w:rPr>
          <w:lang w:val="it-IT"/>
        </w:rPr>
      </w:pPr>
    </w:p>
    <w:p w:rsidR="00DD7F8E" w:rsidRPr="003410C7" w:rsidRDefault="00DD7F8E" w:rsidP="00E77F1E">
      <w:pPr>
        <w:spacing w:after="60"/>
      </w:pPr>
      <w:r w:rsidRPr="003410C7">
        <w:rPr>
          <w:rFonts w:cs="Arial"/>
          <w:b/>
        </w:rPr>
        <w:t xml:space="preserve">Enterprise Architect: </w:t>
      </w:r>
    </w:p>
    <w:p w:rsidR="005F0406" w:rsidRPr="00451078" w:rsidRDefault="005F0406" w:rsidP="00745AB3">
      <w:pPr>
        <w:numPr>
          <w:ilvl w:val="0"/>
          <w:numId w:val="74"/>
        </w:numPr>
        <w:spacing w:after="60"/>
        <w:ind w:left="1440"/>
        <w:contextualSpacing/>
        <w:rPr>
          <w:lang w:val="it-IT"/>
        </w:rPr>
      </w:pPr>
      <w:r w:rsidRPr="00451078">
        <w:rPr>
          <w:rFonts w:eastAsia="Times New Roman" w:cs="Tahoma"/>
          <w:szCs w:val="20"/>
          <w:lang w:val="it-IT"/>
        </w:rPr>
        <w:t>Fornisce alla Società soluzioni di architettura moderne per le piattaforme tecnologiche che soddisfano le esigenze aziendali immediate.</w:t>
      </w:r>
    </w:p>
    <w:p w:rsidR="00DD7F8E" w:rsidRPr="00451078" w:rsidRDefault="00DD7F8E" w:rsidP="00745AB3">
      <w:pPr>
        <w:numPr>
          <w:ilvl w:val="0"/>
          <w:numId w:val="74"/>
        </w:numPr>
        <w:spacing w:after="60"/>
        <w:ind w:left="1440"/>
        <w:rPr>
          <w:lang w:val="it-IT"/>
        </w:rPr>
      </w:pPr>
      <w:r w:rsidRPr="00451078">
        <w:rPr>
          <w:rFonts w:eastAsia="Times New Roman" w:cs="Tahoma"/>
          <w:szCs w:val="20"/>
          <w:lang w:val="it-IT"/>
        </w:rPr>
        <w:t>Lavorerà a stretto contatto con la Società per sviluppare un Piano di Erogazione dei Servizi di Architettura da implementare, nel quale verranno definiti obiettivi e milestone e verranno stabiliti processi, dati e regole che consentiranno di tenere traccia dei progressi conseguiti.</w:t>
      </w:r>
      <w:r w:rsidR="00082E1C" w:rsidRPr="00451078">
        <w:rPr>
          <w:rFonts w:eastAsia="Times New Roman" w:cs="Tahoma"/>
          <w:szCs w:val="20"/>
          <w:lang w:val="it-IT"/>
        </w:rPr>
        <w:t xml:space="preserve"> </w:t>
      </w:r>
    </w:p>
    <w:p w:rsidR="00DD7F8E" w:rsidRPr="00451078" w:rsidRDefault="00DD7F8E" w:rsidP="00745AB3">
      <w:pPr>
        <w:numPr>
          <w:ilvl w:val="0"/>
          <w:numId w:val="74"/>
        </w:numPr>
        <w:spacing w:after="60"/>
        <w:ind w:left="1440"/>
        <w:rPr>
          <w:lang w:val="it-IT"/>
        </w:rPr>
      </w:pPr>
      <w:r w:rsidRPr="00451078">
        <w:rPr>
          <w:rFonts w:eastAsia="Times New Roman" w:cs="Tahoma"/>
          <w:szCs w:val="20"/>
          <w:lang w:val="it-IT"/>
        </w:rPr>
        <w:t>Presenterà inoltre aggiornamenti mensili dello stato relativi ai progressi conseguiti dalla Società rispetto al piano prestabilito.</w:t>
      </w:r>
    </w:p>
    <w:p w:rsidR="00415DDA" w:rsidRPr="00451078" w:rsidRDefault="00415DDA" w:rsidP="00745AB3">
      <w:pPr>
        <w:numPr>
          <w:ilvl w:val="0"/>
          <w:numId w:val="74"/>
        </w:numPr>
        <w:spacing w:after="60"/>
        <w:ind w:left="1440"/>
        <w:rPr>
          <w:lang w:val="it-IT"/>
        </w:rPr>
      </w:pPr>
      <w:r w:rsidRPr="00451078">
        <w:rPr>
          <w:rFonts w:cs="Tahoma"/>
          <w:lang w:val="it-IT"/>
        </w:rPr>
        <w:t>Gestirà l</w:t>
      </w:r>
      <w:r w:rsidR="004525CA">
        <w:rPr>
          <w:rFonts w:cs="Tahoma"/>
          <w:lang w:val="it-IT"/>
        </w:rPr>
        <w:t>’</w:t>
      </w:r>
      <w:r w:rsidRPr="00451078">
        <w:rPr>
          <w:rFonts w:cs="Tahoma"/>
          <w:lang w:val="it-IT"/>
        </w:rPr>
        <w:t>accesso alla Microsoft Enterprise Strategy Network.</w:t>
      </w:r>
    </w:p>
    <w:p w:rsidR="00E03856" w:rsidRPr="00451078" w:rsidRDefault="00E03856">
      <w:pPr>
        <w:rPr>
          <w:lang w:val="it-IT"/>
        </w:rPr>
      </w:pPr>
    </w:p>
    <w:p w:rsidR="00DD7F8E" w:rsidRPr="003410C7" w:rsidRDefault="00DD7F8E" w:rsidP="00DD7F8E">
      <w:pPr>
        <w:spacing w:after="60"/>
      </w:pPr>
      <w:r w:rsidRPr="003410C7">
        <w:rPr>
          <w:rFonts w:cs="Arial"/>
          <w:b/>
        </w:rPr>
        <w:t>Valutazione:</w:t>
      </w:r>
    </w:p>
    <w:p w:rsidR="00DD7F8E" w:rsidRPr="00451078" w:rsidRDefault="00DD7F8E" w:rsidP="00745AB3">
      <w:pPr>
        <w:numPr>
          <w:ilvl w:val="0"/>
          <w:numId w:val="75"/>
        </w:numPr>
        <w:spacing w:after="60"/>
        <w:ind w:left="1440"/>
        <w:rPr>
          <w:lang w:val="it-IT"/>
        </w:rPr>
      </w:pPr>
      <w:r w:rsidRPr="00451078">
        <w:rPr>
          <w:rFonts w:eastAsia="Times New Roman" w:cs="Tahoma"/>
          <w:szCs w:val="20"/>
          <w:lang w:val="it-IT"/>
        </w:rPr>
        <w:t>Identifica le opportunità a livello IT allineabili agli obiettivi aziendali della Società.</w:t>
      </w:r>
    </w:p>
    <w:p w:rsidR="00DD7F8E" w:rsidRPr="00451078" w:rsidRDefault="005F0406" w:rsidP="00745AB3">
      <w:pPr>
        <w:numPr>
          <w:ilvl w:val="0"/>
          <w:numId w:val="75"/>
        </w:numPr>
        <w:spacing w:after="60"/>
        <w:ind w:left="1440"/>
        <w:rPr>
          <w:lang w:val="it-IT"/>
        </w:rPr>
      </w:pPr>
      <w:r w:rsidRPr="00451078">
        <w:rPr>
          <w:rFonts w:eastAsia="Times New Roman" w:cs="Tahoma"/>
          <w:szCs w:val="20"/>
          <w:lang w:val="it-IT"/>
        </w:rPr>
        <w:t>Stabilisce i contesti aziendali e architetturali precedenti alla progettazione relativamente ai servizi IT e ai gruppi aziendali interessati, allo scopo di individuare le dipendenze e definire attività e costi che giustifichino l</w:t>
      </w:r>
      <w:r w:rsidR="004525CA">
        <w:rPr>
          <w:rFonts w:eastAsia="Times New Roman" w:cs="Tahoma"/>
          <w:szCs w:val="20"/>
          <w:lang w:val="it-IT"/>
        </w:rPr>
        <w:t>’</w:t>
      </w:r>
      <w:r w:rsidRPr="00451078">
        <w:rPr>
          <w:rFonts w:eastAsia="Times New Roman" w:cs="Tahoma"/>
          <w:szCs w:val="20"/>
          <w:lang w:val="it-IT"/>
        </w:rPr>
        <w:t>ulteriore pianificazione.</w:t>
      </w:r>
    </w:p>
    <w:p w:rsidR="00DD7F8E" w:rsidRPr="00451078" w:rsidRDefault="00DD7F8E" w:rsidP="00745AB3">
      <w:pPr>
        <w:numPr>
          <w:ilvl w:val="0"/>
          <w:numId w:val="75"/>
        </w:numPr>
        <w:spacing w:after="60"/>
        <w:ind w:left="1440"/>
        <w:rPr>
          <w:lang w:val="it-IT"/>
        </w:rPr>
      </w:pPr>
      <w:r w:rsidRPr="00451078">
        <w:rPr>
          <w:rFonts w:eastAsia="Times New Roman" w:cs="Tahoma"/>
          <w:szCs w:val="20"/>
          <w:lang w:val="it-IT"/>
        </w:rPr>
        <w:t>Definisce e conferma le iniziative e ne stabilisce la priorità nel Piano di Erogazione dei Servizi.</w:t>
      </w:r>
    </w:p>
    <w:p w:rsidR="00DD7F8E" w:rsidRPr="00451078" w:rsidRDefault="00DD7F8E" w:rsidP="00745AB3">
      <w:pPr>
        <w:numPr>
          <w:ilvl w:val="0"/>
          <w:numId w:val="75"/>
        </w:numPr>
        <w:spacing w:after="60"/>
        <w:ind w:left="1440"/>
        <w:rPr>
          <w:lang w:val="it-IT"/>
        </w:rPr>
      </w:pPr>
      <w:r w:rsidRPr="00451078">
        <w:rPr>
          <w:rFonts w:eastAsia="Times New Roman" w:cs="Tahoma"/>
          <w:szCs w:val="20"/>
          <w:lang w:val="it-IT"/>
        </w:rPr>
        <w:t>Fornisce la Relazione di Valutazione Finale in cui viene consigliata almeno un</w:t>
      </w:r>
      <w:r w:rsidR="004525CA">
        <w:rPr>
          <w:rFonts w:eastAsia="Times New Roman" w:cs="Tahoma"/>
          <w:szCs w:val="20"/>
          <w:lang w:val="it-IT"/>
        </w:rPr>
        <w:t>’</w:t>
      </w:r>
      <w:r w:rsidRPr="00451078">
        <w:rPr>
          <w:rFonts w:eastAsia="Times New Roman" w:cs="Tahoma"/>
          <w:szCs w:val="20"/>
          <w:lang w:val="it-IT"/>
        </w:rPr>
        <w:t>iniziativa come Progetto Enterprise Strategy dopo una valutazione basata su criteri di soluzioni alternative.</w:t>
      </w:r>
    </w:p>
    <w:p w:rsidR="00DD7F8E" w:rsidRDefault="00DD7F8E" w:rsidP="00DD7F8E">
      <w:pPr>
        <w:spacing w:after="60"/>
        <w:rPr>
          <w:lang w:val="it-IT"/>
        </w:rPr>
      </w:pPr>
    </w:p>
    <w:p w:rsidR="0027060A" w:rsidRPr="00451078" w:rsidRDefault="0027060A" w:rsidP="00DD7F8E">
      <w:pPr>
        <w:spacing w:after="60"/>
        <w:rPr>
          <w:lang w:val="it-IT"/>
        </w:rPr>
      </w:pPr>
    </w:p>
    <w:p w:rsidR="00DD7F8E" w:rsidRPr="00451078" w:rsidRDefault="00DD7F8E" w:rsidP="00E77F1E">
      <w:pPr>
        <w:spacing w:after="60"/>
        <w:rPr>
          <w:lang w:val="it-IT"/>
        </w:rPr>
      </w:pPr>
      <w:r w:rsidRPr="00451078">
        <w:rPr>
          <w:rFonts w:cs="Arial"/>
          <w:b/>
          <w:lang w:val="it-IT"/>
        </w:rPr>
        <w:lastRenderedPageBreak/>
        <w:t>Progetti Enterprise Strategy</w:t>
      </w:r>
    </w:p>
    <w:p w:rsidR="00DD7F8E" w:rsidRPr="00451078" w:rsidRDefault="00DD7F8E" w:rsidP="00CA52FE">
      <w:pPr>
        <w:rPr>
          <w:lang w:val="it-IT"/>
        </w:rPr>
      </w:pPr>
      <w:r w:rsidRPr="00451078">
        <w:rPr>
          <w:rFonts w:eastAsia="Arial" w:cs="Tahoma"/>
          <w:bCs/>
          <w:color w:val="000000"/>
          <w:szCs w:val="18"/>
          <w:lang w:val="it-IT"/>
        </w:rPr>
        <w:t>L</w:t>
      </w:r>
      <w:r w:rsidR="004525CA">
        <w:rPr>
          <w:rFonts w:eastAsia="Arial" w:cs="Tahoma"/>
          <w:bCs/>
          <w:color w:val="000000"/>
          <w:szCs w:val="18"/>
          <w:lang w:val="it-IT"/>
        </w:rPr>
        <w:t>’</w:t>
      </w:r>
      <w:r w:rsidRPr="00451078">
        <w:rPr>
          <w:rFonts w:eastAsia="Arial" w:cs="Tahoma"/>
          <w:bCs/>
          <w:color w:val="000000"/>
          <w:szCs w:val="18"/>
          <w:lang w:val="it-IT"/>
        </w:rPr>
        <w:t xml:space="preserve">Enterprise </w:t>
      </w:r>
      <w:r w:rsidRPr="00451078">
        <w:rPr>
          <w:rFonts w:cs="Tahoma"/>
          <w:bCs/>
          <w:szCs w:val="18"/>
          <w:lang w:val="it-IT"/>
        </w:rPr>
        <w:t xml:space="preserve">Architect collaborerà con la Società </w:t>
      </w:r>
      <w:r w:rsidRPr="00451078">
        <w:rPr>
          <w:rFonts w:cs="Tahoma"/>
          <w:bCs/>
          <w:color w:val="000000"/>
          <w:szCs w:val="18"/>
          <w:lang w:val="it-IT"/>
        </w:rPr>
        <w:t xml:space="preserve">allo sviluppo di un piano </w:t>
      </w:r>
      <w:r w:rsidRPr="00451078">
        <w:rPr>
          <w:rFonts w:cs="Tahoma"/>
          <w:color w:val="000000"/>
          <w:szCs w:val="18"/>
          <w:lang w:val="it-IT"/>
        </w:rPr>
        <w:t>che consenta a quest</w:t>
      </w:r>
      <w:r w:rsidR="004525CA">
        <w:rPr>
          <w:rFonts w:cs="Tahoma"/>
          <w:color w:val="000000"/>
          <w:szCs w:val="18"/>
          <w:lang w:val="it-IT"/>
        </w:rPr>
        <w:t>’</w:t>
      </w:r>
      <w:r w:rsidRPr="00451078">
        <w:rPr>
          <w:rFonts w:cs="Tahoma"/>
          <w:color w:val="000000"/>
          <w:szCs w:val="18"/>
          <w:lang w:val="it-IT"/>
        </w:rPr>
        <w:t>ultima di realizzare gli</w:t>
      </w:r>
      <w:r w:rsidR="00262185" w:rsidRPr="00451078">
        <w:rPr>
          <w:rFonts w:cs="Tahoma"/>
          <w:color w:val="000000"/>
          <w:szCs w:val="18"/>
          <w:lang w:val="it-IT"/>
        </w:rPr>
        <w:t> </w:t>
      </w:r>
      <w:r w:rsidRPr="00451078">
        <w:rPr>
          <w:rFonts w:cs="Tahoma"/>
          <w:color w:val="000000"/>
          <w:szCs w:val="18"/>
          <w:lang w:val="it-IT"/>
        </w:rPr>
        <w:t>obiettivi aziendali identificati per l</w:t>
      </w:r>
      <w:r w:rsidR="004525CA">
        <w:rPr>
          <w:rFonts w:cs="Tahoma"/>
          <w:color w:val="000000"/>
          <w:szCs w:val="18"/>
          <w:lang w:val="it-IT"/>
        </w:rPr>
        <w:t>’</w:t>
      </w:r>
      <w:r w:rsidRPr="00451078">
        <w:rPr>
          <w:rFonts w:cs="Tahoma"/>
          <w:color w:val="000000"/>
          <w:szCs w:val="18"/>
          <w:lang w:val="it-IT"/>
        </w:rPr>
        <w:t>iniziativa o le iniziative selezionate e di passare allo stato IT definito, riducendo al contempo le interruzioni relative alla distribuzione e alle operazioni e massimizzando il ROI.</w:t>
      </w:r>
    </w:p>
    <w:p w:rsidR="00CA52FE" w:rsidRPr="00451078" w:rsidRDefault="00CA52FE" w:rsidP="00CA52FE">
      <w:pPr>
        <w:rPr>
          <w:lang w:val="it-IT"/>
        </w:rPr>
      </w:pPr>
    </w:p>
    <w:p w:rsidR="00DD7F8E" w:rsidRPr="00451078" w:rsidRDefault="00415DDA" w:rsidP="00E77F1E">
      <w:pPr>
        <w:spacing w:after="60"/>
        <w:rPr>
          <w:lang w:val="it-IT"/>
        </w:rPr>
      </w:pPr>
      <w:r w:rsidRPr="00451078">
        <w:rPr>
          <w:rFonts w:cs="Tahoma"/>
          <w:b/>
          <w:color w:val="000000"/>
          <w:szCs w:val="18"/>
          <w:lang w:val="it-IT"/>
        </w:rPr>
        <w:t>I Progetti Enterprise Strategy includono:</w:t>
      </w:r>
    </w:p>
    <w:p w:rsidR="00DD7F8E" w:rsidRPr="00451078" w:rsidRDefault="00DD7F8E" w:rsidP="00745AB3">
      <w:pPr>
        <w:numPr>
          <w:ilvl w:val="0"/>
          <w:numId w:val="76"/>
        </w:numPr>
        <w:spacing w:after="60"/>
        <w:ind w:left="1440"/>
        <w:rPr>
          <w:lang w:val="it-IT"/>
        </w:rPr>
      </w:pPr>
      <w:r w:rsidRPr="00451078">
        <w:rPr>
          <w:rFonts w:eastAsia="Times New Roman" w:cs="Tahoma"/>
          <w:szCs w:val="20"/>
          <w:lang w:val="it-IT"/>
        </w:rPr>
        <w:t xml:space="preserve">Documentazione e allineamento di tecnologie Microsoft a obiettivi aziendali fondamentali. </w:t>
      </w:r>
    </w:p>
    <w:p w:rsidR="00DD7F8E" w:rsidRPr="00451078" w:rsidRDefault="00DD7F8E" w:rsidP="00745AB3">
      <w:pPr>
        <w:numPr>
          <w:ilvl w:val="0"/>
          <w:numId w:val="76"/>
        </w:numPr>
        <w:tabs>
          <w:tab w:val="left" w:pos="1080"/>
        </w:tabs>
        <w:spacing w:after="60"/>
        <w:ind w:left="1440"/>
        <w:rPr>
          <w:lang w:val="it-IT"/>
        </w:rPr>
      </w:pPr>
      <w:r w:rsidRPr="00451078">
        <w:rPr>
          <w:rFonts w:eastAsia="Times New Roman" w:cs="Tahoma"/>
          <w:szCs w:val="20"/>
          <w:lang w:val="it-IT"/>
        </w:rPr>
        <w:t>Sviluppo di un business case per l</w:t>
      </w:r>
      <w:r w:rsidR="004525CA">
        <w:rPr>
          <w:rFonts w:eastAsia="Times New Roman" w:cs="Tahoma"/>
          <w:szCs w:val="20"/>
          <w:lang w:val="it-IT"/>
        </w:rPr>
        <w:t>’</w:t>
      </w:r>
      <w:r w:rsidRPr="00451078">
        <w:rPr>
          <w:rFonts w:eastAsia="Times New Roman" w:cs="Tahoma"/>
          <w:szCs w:val="20"/>
          <w:lang w:val="it-IT"/>
        </w:rPr>
        <w:t>identificazione dei vantaggi e dei costi potenziali relativi a ogni unità aziendale o funzionale interessata dal progetto.</w:t>
      </w:r>
    </w:p>
    <w:p w:rsidR="00DD7F8E" w:rsidRPr="00451078" w:rsidRDefault="00DD7F8E" w:rsidP="00745AB3">
      <w:pPr>
        <w:numPr>
          <w:ilvl w:val="0"/>
          <w:numId w:val="76"/>
        </w:numPr>
        <w:tabs>
          <w:tab w:val="left" w:pos="1080"/>
        </w:tabs>
        <w:spacing w:after="60"/>
        <w:ind w:left="1440"/>
        <w:rPr>
          <w:lang w:val="it-IT"/>
        </w:rPr>
      </w:pPr>
      <w:r w:rsidRPr="00451078">
        <w:rPr>
          <w:rFonts w:eastAsia="Times New Roman" w:cs="Tahoma"/>
          <w:szCs w:val="20"/>
          <w:lang w:val="it-IT"/>
        </w:rPr>
        <w:t>Creazione di un Documento di Definizione dell</w:t>
      </w:r>
      <w:r w:rsidR="004525CA">
        <w:rPr>
          <w:rFonts w:eastAsia="Times New Roman" w:cs="Tahoma"/>
          <w:szCs w:val="20"/>
          <w:lang w:val="it-IT"/>
        </w:rPr>
        <w:t>’</w:t>
      </w:r>
      <w:r w:rsidRPr="00451078">
        <w:rPr>
          <w:rFonts w:eastAsia="Times New Roman" w:cs="Tahoma"/>
          <w:szCs w:val="20"/>
          <w:lang w:val="it-IT"/>
        </w:rPr>
        <w:t>Architettura nel quale vengono descritti i requisiti delle specifiche e l</w:t>
      </w:r>
      <w:r w:rsidR="004525CA">
        <w:rPr>
          <w:rFonts w:eastAsia="Times New Roman" w:cs="Tahoma"/>
          <w:szCs w:val="20"/>
          <w:lang w:val="it-IT"/>
        </w:rPr>
        <w:t>’</w:t>
      </w:r>
      <w:r w:rsidRPr="00451078">
        <w:rPr>
          <w:rFonts w:eastAsia="Times New Roman" w:cs="Tahoma"/>
          <w:szCs w:val="20"/>
          <w:lang w:val="it-IT"/>
        </w:rPr>
        <w:t>architettura funzionale delle applicazioni e della tecnologia a supporto della consulenza fornita.</w:t>
      </w:r>
    </w:p>
    <w:p w:rsidR="00DD7F8E" w:rsidRPr="00451078" w:rsidRDefault="00DD7F8E" w:rsidP="00745AB3">
      <w:pPr>
        <w:numPr>
          <w:ilvl w:val="0"/>
          <w:numId w:val="76"/>
        </w:numPr>
        <w:tabs>
          <w:tab w:val="left" w:pos="1080"/>
        </w:tabs>
        <w:spacing w:after="60"/>
        <w:ind w:left="1440"/>
        <w:rPr>
          <w:lang w:val="it-IT"/>
        </w:rPr>
      </w:pPr>
      <w:r w:rsidRPr="00451078">
        <w:rPr>
          <w:rFonts w:eastAsia="Times New Roman" w:cs="Tahoma"/>
          <w:szCs w:val="20"/>
          <w:lang w:val="it-IT"/>
        </w:rPr>
        <w:t>Creazione di un Piano di Misurazione nel quale viene descritta la metrica utilizzata per la misurazione dei progressi conseguiti a fronte della responsabilità, della tempistica e degli obiettivi aziendali proposti.</w:t>
      </w:r>
    </w:p>
    <w:p w:rsidR="00DD7F8E" w:rsidRPr="00451078" w:rsidRDefault="00DD7F8E" w:rsidP="00745AB3">
      <w:pPr>
        <w:numPr>
          <w:ilvl w:val="0"/>
          <w:numId w:val="76"/>
        </w:numPr>
        <w:spacing w:after="60"/>
        <w:ind w:left="1440"/>
        <w:rPr>
          <w:lang w:val="it-IT"/>
        </w:rPr>
      </w:pPr>
      <w:r w:rsidRPr="00451078">
        <w:rPr>
          <w:rFonts w:eastAsia="Times New Roman" w:cs="Tahoma"/>
          <w:szCs w:val="20"/>
          <w:lang w:val="it-IT"/>
        </w:rPr>
        <w:t>Personalizzazione, in base all</w:t>
      </w:r>
      <w:r w:rsidR="004525CA">
        <w:rPr>
          <w:rFonts w:eastAsia="Times New Roman" w:cs="Tahoma"/>
          <w:szCs w:val="20"/>
          <w:lang w:val="it-IT"/>
        </w:rPr>
        <w:t>’</w:t>
      </w:r>
      <w:r w:rsidRPr="00451078">
        <w:rPr>
          <w:rFonts w:eastAsia="Times New Roman" w:cs="Tahoma"/>
          <w:szCs w:val="20"/>
          <w:lang w:val="it-IT"/>
        </w:rPr>
        <w:t>ambiente della Società, delle Procedure Consigliate Microsoft relativamente a supervisione/direzione, adozione e misurazione.</w:t>
      </w:r>
    </w:p>
    <w:p w:rsidR="00DD7F8E" w:rsidRPr="00451078" w:rsidRDefault="00DD7F8E" w:rsidP="00745AB3">
      <w:pPr>
        <w:numPr>
          <w:ilvl w:val="0"/>
          <w:numId w:val="76"/>
        </w:numPr>
        <w:spacing w:after="60"/>
        <w:ind w:left="1440"/>
        <w:rPr>
          <w:lang w:val="it-IT"/>
        </w:rPr>
      </w:pPr>
      <w:r w:rsidRPr="00451078">
        <w:rPr>
          <w:rFonts w:eastAsia="Times New Roman" w:cs="Tahoma"/>
          <w:szCs w:val="20"/>
          <w:lang w:val="it-IT"/>
        </w:rPr>
        <w:t>Collaborazione con il team esecutivo della Società per la definizione della governance del programma</w:t>
      </w:r>
      <w:r w:rsidRPr="00451078">
        <w:rPr>
          <w:rFonts w:eastAsia="Arial" w:cs="Tahoma"/>
          <w:szCs w:val="18"/>
          <w:lang w:val="it-IT"/>
        </w:rPr>
        <w:t>.</w:t>
      </w:r>
    </w:p>
    <w:p w:rsidR="00415DDA" w:rsidRPr="00451078" w:rsidDel="00954C6A" w:rsidRDefault="00415DDA" w:rsidP="00745AB3">
      <w:pPr>
        <w:numPr>
          <w:ilvl w:val="0"/>
          <w:numId w:val="76"/>
        </w:numPr>
        <w:ind w:left="1440"/>
        <w:rPr>
          <w:lang w:val="it-IT"/>
        </w:rPr>
      </w:pPr>
      <w:r w:rsidRPr="00451078">
        <w:rPr>
          <w:rFonts w:eastAsia="Times New Roman" w:cs="Tahoma"/>
          <w:szCs w:val="20"/>
          <w:lang w:val="it-IT"/>
        </w:rPr>
        <w:t>Esame periodico dei progressi conseguiti dalla Società rispetto alla scorecard degli obiettivi aziendali.</w:t>
      </w:r>
    </w:p>
    <w:p w:rsidR="00CA52FE" w:rsidRPr="00451078" w:rsidRDefault="00CA52FE" w:rsidP="00E77F1E">
      <w:pPr>
        <w:rPr>
          <w:lang w:val="it-IT"/>
        </w:rPr>
      </w:pPr>
    </w:p>
    <w:p w:rsidR="00DD7F8E" w:rsidRPr="00451078" w:rsidRDefault="00DD7F8E" w:rsidP="00DD7F8E">
      <w:pPr>
        <w:rPr>
          <w:lang w:val="it-IT"/>
        </w:rPr>
      </w:pPr>
      <w:r w:rsidRPr="00451078">
        <w:rPr>
          <w:rFonts w:eastAsia="Arial" w:cs="Arial"/>
          <w:b/>
          <w:sz w:val="24"/>
          <w:szCs w:val="18"/>
          <w:lang w:val="it-IT"/>
        </w:rPr>
        <w:t>Vantaggi del Programma</w:t>
      </w:r>
    </w:p>
    <w:p w:rsidR="00DD7F8E" w:rsidRPr="00144EB0" w:rsidRDefault="00DD7F8E" w:rsidP="00DD7F8E">
      <w:pPr>
        <w:rPr>
          <w:szCs w:val="18"/>
          <w:lang w:val="it-IT"/>
        </w:rPr>
      </w:pPr>
    </w:p>
    <w:p w:rsidR="00DD7F8E" w:rsidRPr="00144EB0" w:rsidRDefault="00DD7F8E" w:rsidP="00DD7F8E">
      <w:pPr>
        <w:rPr>
          <w:szCs w:val="18"/>
          <w:lang w:val="it-IT"/>
        </w:rPr>
      </w:pPr>
      <w:r w:rsidRPr="00144EB0">
        <w:rPr>
          <w:rFonts w:eastAsia="Arial" w:cs="Arial"/>
          <w:szCs w:val="18"/>
          <w:lang w:val="it-IT"/>
        </w:rPr>
        <w:t xml:space="preserve">La partecipazione al programma consente di usufruire dei vantaggi seguenti: </w:t>
      </w:r>
    </w:p>
    <w:p w:rsidR="00DD7F8E" w:rsidRPr="00144EB0" w:rsidRDefault="00DD7F8E" w:rsidP="00DD7F8E">
      <w:pPr>
        <w:spacing w:after="60"/>
        <w:rPr>
          <w:szCs w:val="18"/>
          <w:lang w:val="it-IT"/>
        </w:rPr>
      </w:pPr>
    </w:p>
    <w:p w:rsidR="00E77F1E" w:rsidRPr="00144EB0" w:rsidRDefault="00E77F1E" w:rsidP="00E77F1E">
      <w:pPr>
        <w:spacing w:after="60"/>
        <w:rPr>
          <w:szCs w:val="18"/>
          <w:lang w:val="it-IT"/>
        </w:rPr>
      </w:pPr>
      <w:r w:rsidRPr="00144EB0">
        <w:rPr>
          <w:b/>
          <w:szCs w:val="18"/>
          <w:lang w:val="it-IT"/>
        </w:rPr>
        <w:t>Enterprise Strategy Network</w:t>
      </w:r>
    </w:p>
    <w:p w:rsidR="00C151FB" w:rsidRPr="00144EB0" w:rsidRDefault="00C151FB" w:rsidP="00C151FB">
      <w:pPr>
        <w:rPr>
          <w:szCs w:val="18"/>
          <w:lang w:val="it-IT"/>
        </w:rPr>
      </w:pPr>
      <w:r w:rsidRPr="00144EB0">
        <w:rPr>
          <w:szCs w:val="18"/>
          <w:lang w:val="it-IT"/>
        </w:rPr>
        <w:t>Il Programma Enterprise Strategy include una connessione integrale ai team di ricerca e sviluppo di Microsoft e agli esperti con competenze specifiche dei reparti dei servizi Microsoft. Gli Enterprise Architect utilizzano tali esperti per fornire alle Società procedure appropriate, indicazioni specifiche su determinate tecnologie di Microsoft e architetture di riferimento. Le procedure consigliate e il materiale e gli strumenti associati sono inclusi nella Microsoft Enterprise Strategy Library al fine di accelerare l</w:t>
      </w:r>
      <w:r w:rsidR="004525CA">
        <w:rPr>
          <w:szCs w:val="18"/>
          <w:lang w:val="it-IT"/>
        </w:rPr>
        <w:t>’</w:t>
      </w:r>
      <w:r w:rsidRPr="00144EB0">
        <w:rPr>
          <w:szCs w:val="18"/>
          <w:lang w:val="it-IT"/>
        </w:rPr>
        <w:t>erogazione degli engagement ESP per le società.</w:t>
      </w:r>
    </w:p>
    <w:p w:rsidR="001C1727" w:rsidRPr="00144EB0" w:rsidRDefault="001C1727">
      <w:pPr>
        <w:rPr>
          <w:szCs w:val="18"/>
          <w:lang w:val="it-IT"/>
        </w:rPr>
      </w:pPr>
    </w:p>
    <w:p w:rsidR="00E77F1E" w:rsidRPr="00144EB0" w:rsidRDefault="00C151FB" w:rsidP="00E77F1E">
      <w:pPr>
        <w:spacing w:after="60"/>
        <w:rPr>
          <w:szCs w:val="18"/>
          <w:lang w:val="it-IT"/>
        </w:rPr>
      </w:pPr>
      <w:r w:rsidRPr="00144EB0">
        <w:rPr>
          <w:b/>
          <w:szCs w:val="18"/>
          <w:lang w:val="it-IT"/>
        </w:rPr>
        <w:t>Enterprise Strategy Library</w:t>
      </w:r>
    </w:p>
    <w:p w:rsidR="00C151FB" w:rsidRPr="00144EB0" w:rsidRDefault="00C151FB" w:rsidP="00E77F1E">
      <w:pPr>
        <w:rPr>
          <w:szCs w:val="18"/>
          <w:lang w:val="it-IT"/>
        </w:rPr>
      </w:pPr>
      <w:r w:rsidRPr="00144EB0">
        <w:rPr>
          <w:szCs w:val="18"/>
          <w:lang w:val="it-IT"/>
        </w:rPr>
        <w:t xml:space="preserve">Il Programma Enterprise Strategy include </w:t>
      </w:r>
      <w:r w:rsidRPr="00144EB0">
        <w:rPr>
          <w:rFonts w:eastAsia="Arial" w:cs="Arial"/>
          <w:szCs w:val="18"/>
          <w:lang w:val="it-IT"/>
        </w:rPr>
        <w:t>un</w:t>
      </w:r>
      <w:r w:rsidR="004525CA">
        <w:rPr>
          <w:rFonts w:eastAsia="Arial" w:cs="Arial"/>
          <w:szCs w:val="18"/>
          <w:lang w:val="it-IT"/>
        </w:rPr>
        <w:t>’</w:t>
      </w:r>
      <w:r w:rsidRPr="00144EB0">
        <w:rPr>
          <w:rFonts w:eastAsia="Arial" w:cs="Arial"/>
          <w:szCs w:val="18"/>
          <w:lang w:val="it-IT"/>
        </w:rPr>
        <w:t>ampia raccolta di materiali, inclusi gli strumenti per gli approfondimenti del settore e le prove comparative e i modelli e i metodi di riferimento di Enterprise Architecture e Solution Architecture. A seconda delle esigenze della Società, l</w:t>
      </w:r>
      <w:r w:rsidR="004525CA">
        <w:rPr>
          <w:rFonts w:eastAsia="Arial" w:cs="Arial"/>
          <w:szCs w:val="18"/>
          <w:lang w:val="it-IT"/>
        </w:rPr>
        <w:t>’</w:t>
      </w:r>
      <w:r w:rsidRPr="00144EB0">
        <w:rPr>
          <w:rFonts w:eastAsia="Arial" w:cs="Arial"/>
          <w:szCs w:val="18"/>
          <w:lang w:val="it-IT"/>
        </w:rPr>
        <w:t>Enterprise Architect utilizza il materiale e gli strumenti appropriati.</w:t>
      </w:r>
    </w:p>
    <w:p w:rsidR="00C151FB" w:rsidRPr="00144EB0" w:rsidRDefault="00C151FB" w:rsidP="00E77F1E">
      <w:pPr>
        <w:rPr>
          <w:szCs w:val="18"/>
          <w:lang w:val="it-IT"/>
        </w:rPr>
      </w:pPr>
    </w:p>
    <w:p w:rsidR="00E77F1E" w:rsidRPr="00144EB0" w:rsidRDefault="00E77F1E" w:rsidP="00E77F1E">
      <w:pPr>
        <w:spacing w:after="60"/>
        <w:rPr>
          <w:szCs w:val="18"/>
          <w:lang w:val="it-IT"/>
        </w:rPr>
      </w:pPr>
      <w:r w:rsidRPr="00144EB0">
        <w:rPr>
          <w:b/>
          <w:szCs w:val="18"/>
          <w:lang w:val="it-IT"/>
        </w:rPr>
        <w:t>Workshop relativi all</w:t>
      </w:r>
      <w:r w:rsidR="004525CA">
        <w:rPr>
          <w:b/>
          <w:szCs w:val="18"/>
          <w:lang w:val="it-IT"/>
        </w:rPr>
        <w:t>’</w:t>
      </w:r>
      <w:r w:rsidRPr="00144EB0">
        <w:rPr>
          <w:b/>
          <w:szCs w:val="18"/>
          <w:lang w:val="it-IT"/>
        </w:rPr>
        <w:t>engagement</w:t>
      </w:r>
    </w:p>
    <w:p w:rsidR="00DD7F8E" w:rsidRPr="00144EB0" w:rsidRDefault="00DD7F8E" w:rsidP="00E77F1E">
      <w:pPr>
        <w:rPr>
          <w:szCs w:val="18"/>
          <w:lang w:val="it-IT"/>
        </w:rPr>
      </w:pPr>
      <w:r w:rsidRPr="00144EB0">
        <w:rPr>
          <w:rFonts w:eastAsia="Arial" w:cs="Arial"/>
          <w:szCs w:val="18"/>
          <w:lang w:val="it-IT"/>
        </w:rPr>
        <w:t>Questi workshop destinati all</w:t>
      </w:r>
      <w:r w:rsidR="004525CA">
        <w:rPr>
          <w:rFonts w:eastAsia="Arial" w:cs="Arial"/>
          <w:szCs w:val="18"/>
          <w:lang w:val="it-IT"/>
        </w:rPr>
        <w:t>’</w:t>
      </w:r>
      <w:r w:rsidRPr="00144EB0">
        <w:rPr>
          <w:rFonts w:eastAsia="Arial" w:cs="Arial"/>
          <w:szCs w:val="18"/>
          <w:lang w:val="it-IT"/>
        </w:rPr>
        <w:t>esecutivo della Società hanno durata giornaliera e vengono generalmente svolti negli uffici regionali di Microsoft presso la filiale locale. Sono ideati e personalizzati per i responsabili aziendali e IT della Società, in quanto consentiranno loro di comprendere la rilevanza delle tecnologie emergenti e ricevere informazioni settoriali importanti per l</w:t>
      </w:r>
      <w:r w:rsidR="004525CA">
        <w:rPr>
          <w:rFonts w:eastAsia="Arial" w:cs="Arial"/>
          <w:szCs w:val="18"/>
          <w:lang w:val="it-IT"/>
        </w:rPr>
        <w:t>’</w:t>
      </w:r>
      <w:r w:rsidRPr="00144EB0">
        <w:rPr>
          <w:rFonts w:eastAsia="Arial" w:cs="Arial"/>
          <w:szCs w:val="18"/>
          <w:lang w:val="it-IT"/>
        </w:rPr>
        <w:t>attività svolta.</w:t>
      </w:r>
      <w:r w:rsidR="00082E1C" w:rsidRPr="00144EB0">
        <w:rPr>
          <w:rFonts w:eastAsia="Arial" w:cs="Arial"/>
          <w:szCs w:val="18"/>
          <w:lang w:val="it-IT"/>
        </w:rPr>
        <w:t xml:space="preserve"> </w:t>
      </w:r>
      <w:r w:rsidRPr="00144EB0">
        <w:rPr>
          <w:rFonts w:eastAsia="Arial" w:cs="Arial"/>
          <w:szCs w:val="18"/>
          <w:lang w:val="it-IT"/>
        </w:rPr>
        <w:t>La Società è responsabile dei costi da essa stessa sostenuti relativamente alla</w:t>
      </w:r>
      <w:r w:rsidR="00262185" w:rsidRPr="00144EB0">
        <w:rPr>
          <w:rFonts w:eastAsia="Arial" w:cs="Arial"/>
          <w:szCs w:val="18"/>
          <w:lang w:val="it-IT"/>
        </w:rPr>
        <w:t> </w:t>
      </w:r>
      <w:r w:rsidRPr="00144EB0">
        <w:rPr>
          <w:rFonts w:eastAsia="Arial" w:cs="Arial"/>
          <w:szCs w:val="18"/>
          <w:lang w:val="it-IT"/>
        </w:rPr>
        <w:t>partecipazione a tali workshop.</w:t>
      </w:r>
    </w:p>
    <w:p w:rsidR="00DD7F8E" w:rsidRPr="00144EB0" w:rsidRDefault="00DD7F8E" w:rsidP="00E77F1E">
      <w:pPr>
        <w:rPr>
          <w:szCs w:val="18"/>
          <w:lang w:val="it-IT"/>
        </w:rPr>
      </w:pPr>
    </w:p>
    <w:p w:rsidR="00E77F1E" w:rsidRPr="00144EB0" w:rsidRDefault="00E77F1E" w:rsidP="00E77F1E">
      <w:pPr>
        <w:spacing w:after="60"/>
        <w:rPr>
          <w:szCs w:val="18"/>
          <w:lang w:val="it-IT"/>
        </w:rPr>
      </w:pPr>
      <w:r w:rsidRPr="00144EB0">
        <w:rPr>
          <w:b/>
          <w:szCs w:val="18"/>
          <w:lang w:val="it-IT"/>
        </w:rPr>
        <w:t>Briefing strategici</w:t>
      </w:r>
    </w:p>
    <w:p w:rsidR="00DD7F8E" w:rsidRPr="00144EB0" w:rsidRDefault="00DD7F8E" w:rsidP="00E77F1E">
      <w:pPr>
        <w:spacing w:after="60"/>
        <w:rPr>
          <w:szCs w:val="18"/>
          <w:lang w:val="it-IT"/>
        </w:rPr>
      </w:pPr>
      <w:r w:rsidRPr="00144EB0">
        <w:rPr>
          <w:rFonts w:eastAsia="Arial" w:cs="Arial"/>
          <w:szCs w:val="18"/>
          <w:lang w:val="it-IT"/>
        </w:rPr>
        <w:t>si tratta di conferenze Web globali della durata di un</w:t>
      </w:r>
      <w:r w:rsidR="004525CA">
        <w:rPr>
          <w:rFonts w:eastAsia="Arial" w:cs="Arial"/>
          <w:szCs w:val="18"/>
          <w:lang w:val="it-IT"/>
        </w:rPr>
        <w:t>’</w:t>
      </w:r>
      <w:r w:rsidRPr="00144EB0">
        <w:rPr>
          <w:rFonts w:eastAsia="Arial" w:cs="Arial"/>
          <w:szCs w:val="18"/>
          <w:lang w:val="it-IT"/>
        </w:rPr>
        <w:t>ora, destinate a responsabili aziendali e IT, riguardanti le opportunità aziendali e di settore, le tendenze tecnologiche e la prospettiva di Microsoft in merito a punti di vista strategici su problemi importanti.</w:t>
      </w:r>
      <w:r w:rsidR="00082E1C" w:rsidRPr="00144EB0">
        <w:rPr>
          <w:rFonts w:eastAsia="Arial" w:cs="Arial"/>
          <w:szCs w:val="18"/>
          <w:lang w:val="it-IT"/>
        </w:rPr>
        <w:t xml:space="preserve"> </w:t>
      </w:r>
      <w:r w:rsidRPr="00144EB0">
        <w:rPr>
          <w:rFonts w:eastAsia="Arial" w:cs="Arial"/>
          <w:szCs w:val="18"/>
          <w:lang w:val="it-IT"/>
        </w:rPr>
        <w:t>Le Società avranno la possibilità di vedere i Briefing Strategici registrati in precedenza.</w:t>
      </w:r>
    </w:p>
    <w:p w:rsidR="00C151FB" w:rsidRDefault="00C151FB" w:rsidP="00E77F1E">
      <w:pPr>
        <w:rPr>
          <w:szCs w:val="18"/>
          <w:lang w:val="it-IT"/>
        </w:rPr>
      </w:pPr>
    </w:p>
    <w:p w:rsidR="0027060A" w:rsidRDefault="0027060A" w:rsidP="00E77F1E">
      <w:pPr>
        <w:rPr>
          <w:szCs w:val="18"/>
          <w:lang w:val="it-IT"/>
        </w:rPr>
      </w:pPr>
    </w:p>
    <w:p w:rsidR="0027060A" w:rsidRDefault="0027060A" w:rsidP="00E77F1E">
      <w:pPr>
        <w:rPr>
          <w:szCs w:val="18"/>
          <w:lang w:val="it-IT"/>
        </w:rPr>
      </w:pPr>
    </w:p>
    <w:p w:rsidR="0027060A" w:rsidRPr="00144EB0" w:rsidRDefault="0027060A" w:rsidP="00E77F1E">
      <w:pPr>
        <w:rPr>
          <w:szCs w:val="18"/>
          <w:lang w:val="it-IT"/>
        </w:rPr>
      </w:pPr>
    </w:p>
    <w:p w:rsidR="00E77F1E" w:rsidRPr="00144EB0" w:rsidRDefault="00C151FB" w:rsidP="00E77F1E">
      <w:pPr>
        <w:spacing w:after="60"/>
        <w:rPr>
          <w:szCs w:val="18"/>
          <w:lang w:val="it-IT"/>
        </w:rPr>
      </w:pPr>
      <w:r w:rsidRPr="00144EB0">
        <w:rPr>
          <w:rFonts w:cs="Tahoma"/>
          <w:b/>
          <w:bCs/>
          <w:color w:val="000000"/>
          <w:szCs w:val="18"/>
          <w:lang w:val="it-IT"/>
        </w:rPr>
        <w:lastRenderedPageBreak/>
        <w:t>Componente Aggiuntivo di Enterprise Strategy Capacity</w:t>
      </w:r>
    </w:p>
    <w:p w:rsidR="00C151FB" w:rsidRPr="00144EB0" w:rsidRDefault="00C151FB" w:rsidP="00E77F1E">
      <w:pPr>
        <w:rPr>
          <w:szCs w:val="18"/>
          <w:lang w:val="it-IT"/>
        </w:rPr>
      </w:pPr>
      <w:r w:rsidRPr="00144EB0">
        <w:rPr>
          <w:rFonts w:cs="Tahoma"/>
          <w:color w:val="000000"/>
          <w:szCs w:val="18"/>
          <w:lang w:val="it-IT"/>
        </w:rPr>
        <w:t>La Società può acquistare blocchi di 200 ore di risorse di consulenza di Microsoft Enterprise Service per migliorare la capacità di erogazione dei Progetti Enterprise Strategy. Il Componente Aggiuntivo di Enterprise Strategy Capacity è disponibile per le Società che hanno acquistato l</w:t>
      </w:r>
      <w:r w:rsidR="004525CA">
        <w:rPr>
          <w:rFonts w:cs="Tahoma"/>
          <w:color w:val="000000"/>
          <w:szCs w:val="18"/>
          <w:lang w:val="it-IT"/>
        </w:rPr>
        <w:t>’</w:t>
      </w:r>
      <w:r w:rsidRPr="00144EB0">
        <w:rPr>
          <w:rFonts w:cs="Tahoma"/>
          <w:color w:val="000000"/>
          <w:szCs w:val="18"/>
          <w:lang w:val="it-IT"/>
        </w:rPr>
        <w:t>offerta Enterprise Strategy Connect, Enterprise Strategy Foundation o Enterprise Strategy Portfolio.</w:t>
      </w:r>
    </w:p>
    <w:p w:rsidR="00AC11F4" w:rsidRPr="00451078" w:rsidRDefault="00AC11F4" w:rsidP="00E77F1E">
      <w:pPr>
        <w:rPr>
          <w:lang w:val="it-IT"/>
        </w:rPr>
      </w:pPr>
    </w:p>
    <w:bookmarkEnd w:id="973"/>
    <w:bookmarkEnd w:id="974"/>
    <w:p w:rsidR="00DD7F8E" w:rsidRPr="00451078" w:rsidRDefault="00DD7F8E" w:rsidP="00DD7F8E">
      <w:pPr>
        <w:rPr>
          <w:lang w:val="it-IT"/>
        </w:rPr>
      </w:pPr>
      <w:r w:rsidRPr="00451078">
        <w:rPr>
          <w:b/>
          <w:sz w:val="24"/>
          <w:szCs w:val="18"/>
          <w:lang w:val="it-IT"/>
        </w:rPr>
        <w:t>Servizi non Inclusi nell</w:t>
      </w:r>
      <w:r w:rsidR="004525CA">
        <w:rPr>
          <w:b/>
          <w:sz w:val="24"/>
          <w:szCs w:val="18"/>
          <w:lang w:val="it-IT"/>
        </w:rPr>
        <w:t>’</w:t>
      </w:r>
      <w:r w:rsidRPr="00451078">
        <w:rPr>
          <w:b/>
          <w:sz w:val="24"/>
          <w:szCs w:val="18"/>
          <w:lang w:val="it-IT"/>
        </w:rPr>
        <w:t>Ambito del Programma</w:t>
      </w:r>
      <w:r w:rsidR="00082E1C" w:rsidRPr="00451078">
        <w:rPr>
          <w:sz w:val="20"/>
          <w:szCs w:val="18"/>
          <w:lang w:val="it-IT"/>
        </w:rPr>
        <w:t xml:space="preserve"> </w:t>
      </w:r>
    </w:p>
    <w:p w:rsidR="00DD7F8E" w:rsidRPr="00451078" w:rsidRDefault="00DD7F8E" w:rsidP="00E77F1E">
      <w:pPr>
        <w:rPr>
          <w:lang w:val="it-IT"/>
        </w:rPr>
      </w:pPr>
    </w:p>
    <w:p w:rsidR="00DD7F8E" w:rsidRPr="00451078" w:rsidRDefault="00DD7F8E" w:rsidP="00DD7F8E">
      <w:pPr>
        <w:rPr>
          <w:szCs w:val="18"/>
          <w:lang w:val="it-IT"/>
        </w:rPr>
      </w:pPr>
      <w:r w:rsidRPr="00451078">
        <w:rPr>
          <w:szCs w:val="18"/>
          <w:lang w:val="it-IT"/>
        </w:rPr>
        <w:t>Il Programma Enterprise Strategy include esclusivamente consulenza e assistenza relative all</w:t>
      </w:r>
      <w:r w:rsidR="004525CA">
        <w:rPr>
          <w:szCs w:val="18"/>
          <w:lang w:val="it-IT"/>
        </w:rPr>
        <w:t>’</w:t>
      </w:r>
      <w:r w:rsidRPr="00451078">
        <w:rPr>
          <w:szCs w:val="18"/>
          <w:lang w:val="it-IT"/>
        </w:rPr>
        <w:t>adozione di tecnologie Microsoft da parte della Società.</w:t>
      </w:r>
      <w:r w:rsidR="00082E1C" w:rsidRPr="00451078">
        <w:rPr>
          <w:szCs w:val="18"/>
          <w:lang w:val="it-IT"/>
        </w:rPr>
        <w:t xml:space="preserve"> </w:t>
      </w:r>
      <w:r w:rsidRPr="00451078">
        <w:rPr>
          <w:rFonts w:eastAsia="Arial" w:cs="Arial"/>
          <w:bCs/>
          <w:szCs w:val="18"/>
          <w:lang w:val="it-IT"/>
        </w:rPr>
        <w:t>Spetta solamente alla Società scegliere se seguire o ignorare la consulenza, l</w:t>
      </w:r>
      <w:r w:rsidR="004525CA">
        <w:rPr>
          <w:rFonts w:eastAsia="Arial" w:cs="Arial"/>
          <w:bCs/>
          <w:szCs w:val="18"/>
          <w:lang w:val="it-IT"/>
        </w:rPr>
        <w:t>’</w:t>
      </w:r>
      <w:r w:rsidRPr="00451078">
        <w:rPr>
          <w:rFonts w:eastAsia="Arial" w:cs="Arial"/>
          <w:bCs/>
          <w:szCs w:val="18"/>
          <w:lang w:val="it-IT"/>
        </w:rPr>
        <w:t>assistenza e i consigli di Microsoft.</w:t>
      </w:r>
      <w:r w:rsidR="00082E1C" w:rsidRPr="00451078">
        <w:rPr>
          <w:rFonts w:eastAsia="Arial" w:cs="Arial"/>
          <w:bCs/>
          <w:szCs w:val="18"/>
          <w:lang w:val="it-IT"/>
        </w:rPr>
        <w:t xml:space="preserve"> </w:t>
      </w:r>
      <w:r w:rsidRPr="00451078">
        <w:rPr>
          <w:rFonts w:eastAsia="Arial" w:cs="Arial"/>
          <w:bCs/>
          <w:szCs w:val="18"/>
          <w:lang w:val="it-IT"/>
        </w:rPr>
        <w:t>Microsoft non rilascia alcuna dichiarazione, garanzia o condizione relativamente ai</w:t>
      </w:r>
      <w:r w:rsidR="00262185" w:rsidRPr="00451078">
        <w:rPr>
          <w:rFonts w:eastAsia="Arial" w:cs="Arial"/>
          <w:bCs/>
          <w:szCs w:val="18"/>
          <w:lang w:val="it-IT"/>
        </w:rPr>
        <w:t> </w:t>
      </w:r>
      <w:r w:rsidRPr="00451078">
        <w:rPr>
          <w:rFonts w:eastAsia="Arial" w:cs="Arial"/>
          <w:bCs/>
          <w:szCs w:val="18"/>
          <w:lang w:val="it-IT"/>
        </w:rPr>
        <w:t>risultati ottenibili dalla Società in seguito all</w:t>
      </w:r>
      <w:r w:rsidR="004525CA">
        <w:rPr>
          <w:rFonts w:eastAsia="Arial" w:cs="Arial"/>
          <w:bCs/>
          <w:szCs w:val="18"/>
          <w:lang w:val="it-IT"/>
        </w:rPr>
        <w:t>’</w:t>
      </w:r>
      <w:r w:rsidRPr="00451078">
        <w:rPr>
          <w:rFonts w:eastAsia="Arial" w:cs="Arial"/>
          <w:bCs/>
          <w:szCs w:val="18"/>
          <w:lang w:val="it-IT"/>
        </w:rPr>
        <w:t>applicazione della consulenza, dell</w:t>
      </w:r>
      <w:r w:rsidR="004525CA">
        <w:rPr>
          <w:rFonts w:eastAsia="Arial" w:cs="Arial"/>
          <w:bCs/>
          <w:szCs w:val="18"/>
          <w:lang w:val="it-IT"/>
        </w:rPr>
        <w:t>’</w:t>
      </w:r>
      <w:r w:rsidRPr="00451078">
        <w:rPr>
          <w:rFonts w:eastAsia="Arial" w:cs="Arial"/>
          <w:bCs/>
          <w:szCs w:val="18"/>
          <w:lang w:val="it-IT"/>
        </w:rPr>
        <w:t>assistenza e dei consigli forniti da Microsoft stessa e riportati di seguito.</w:t>
      </w:r>
      <w:r w:rsidR="00082E1C" w:rsidRPr="00451078">
        <w:rPr>
          <w:rFonts w:eastAsia="Arial" w:cs="Arial"/>
          <w:bCs/>
          <w:szCs w:val="18"/>
          <w:lang w:val="it-IT"/>
        </w:rPr>
        <w:t xml:space="preserve"> </w:t>
      </w:r>
      <w:r w:rsidRPr="00451078">
        <w:rPr>
          <w:szCs w:val="18"/>
          <w:lang w:val="it-IT"/>
        </w:rPr>
        <w:t>Le licenze per i prodotti non sono incluse.</w:t>
      </w:r>
      <w:r w:rsidR="00082E1C" w:rsidRPr="00451078">
        <w:rPr>
          <w:szCs w:val="18"/>
          <w:lang w:val="it-IT"/>
        </w:rPr>
        <w:t xml:space="preserve"> </w:t>
      </w:r>
      <w:r w:rsidRPr="00451078">
        <w:rPr>
          <w:szCs w:val="18"/>
          <w:lang w:val="it-IT"/>
        </w:rPr>
        <w:t>I Servizi dell</w:t>
      </w:r>
      <w:r w:rsidR="004525CA">
        <w:rPr>
          <w:szCs w:val="18"/>
          <w:lang w:val="it-IT"/>
        </w:rPr>
        <w:t>’</w:t>
      </w:r>
      <w:r w:rsidRPr="00451078">
        <w:rPr>
          <w:szCs w:val="18"/>
          <w:lang w:val="it-IT"/>
        </w:rPr>
        <w:t>Enterprise Architect, inoltre, non includono la distribuzione dei prodotti, la risoluzione dei problemi, l</w:t>
      </w:r>
      <w:r w:rsidR="004525CA">
        <w:rPr>
          <w:szCs w:val="18"/>
          <w:lang w:val="it-IT"/>
        </w:rPr>
        <w:t>’</w:t>
      </w:r>
      <w:r w:rsidRPr="00451078">
        <w:rPr>
          <w:szCs w:val="18"/>
          <w:lang w:val="it-IT"/>
        </w:rPr>
        <w:t>assistenza in garanzia, l</w:t>
      </w:r>
      <w:r w:rsidR="004525CA">
        <w:rPr>
          <w:szCs w:val="18"/>
          <w:lang w:val="it-IT"/>
        </w:rPr>
        <w:t>’</w:t>
      </w:r>
      <w:r w:rsidRPr="00451078">
        <w:rPr>
          <w:szCs w:val="18"/>
          <w:lang w:val="it-IT"/>
        </w:rPr>
        <w:t>analisi di codice sorgente non Microsoft né la consulenza tecnica o architetturale che non rientri nella risultati finali di cui sopra. Nel caso di codice sorgente non Microsoft, i Servizi di Microsoft saranno limitati solo all</w:t>
      </w:r>
      <w:r w:rsidR="004525CA">
        <w:rPr>
          <w:szCs w:val="18"/>
          <w:lang w:val="it-IT"/>
        </w:rPr>
        <w:t>’</w:t>
      </w:r>
      <w:r w:rsidRPr="00451078">
        <w:rPr>
          <w:szCs w:val="18"/>
          <w:lang w:val="it-IT"/>
        </w:rPr>
        <w:t>analisi dei dati binari, ad esempio un dump di processo o una traccia di Network Monitor.</w:t>
      </w:r>
    </w:p>
    <w:p w:rsidR="00DD7F8E" w:rsidRPr="00451078" w:rsidRDefault="00DD7F8E" w:rsidP="00E77F1E">
      <w:pPr>
        <w:rPr>
          <w:lang w:val="it-IT"/>
        </w:rPr>
      </w:pPr>
    </w:p>
    <w:p w:rsidR="00DD7F8E" w:rsidRPr="00451078" w:rsidRDefault="00DD7F8E" w:rsidP="00DD7F8E">
      <w:pPr>
        <w:rPr>
          <w:sz w:val="24"/>
          <w:szCs w:val="24"/>
          <w:lang w:val="it-IT"/>
        </w:rPr>
      </w:pPr>
      <w:r w:rsidRPr="00451078">
        <w:rPr>
          <w:b/>
          <w:sz w:val="24"/>
          <w:szCs w:val="24"/>
          <w:lang w:val="it-IT"/>
        </w:rPr>
        <w:t>Responsabilità della Società</w:t>
      </w:r>
      <w:r w:rsidR="00082E1C" w:rsidRPr="00451078">
        <w:rPr>
          <w:sz w:val="24"/>
          <w:szCs w:val="24"/>
          <w:lang w:val="it-IT"/>
        </w:rPr>
        <w:t xml:space="preserve"> </w:t>
      </w:r>
    </w:p>
    <w:p w:rsidR="00DD7F8E" w:rsidRPr="00451078" w:rsidRDefault="00DD7F8E" w:rsidP="00DD7F8E">
      <w:pPr>
        <w:rPr>
          <w:lang w:val="it-IT"/>
        </w:rPr>
      </w:pPr>
    </w:p>
    <w:p w:rsidR="00DD7F8E" w:rsidRPr="00451078" w:rsidRDefault="00DD7F8E" w:rsidP="00DD7F8E">
      <w:pPr>
        <w:rPr>
          <w:lang w:val="it-IT"/>
        </w:rPr>
      </w:pPr>
      <w:r w:rsidRPr="00451078">
        <w:rPr>
          <w:szCs w:val="18"/>
          <w:lang w:val="it-IT"/>
        </w:rPr>
        <w:t>Il successo del Programma Enterprise Strategy e le prestazioni di Microsoft relativamente alle proprie obbligazioni dipendono dal coinvolgimento della Società nel programma, inclusi, a titolo esemplificativo:</w:t>
      </w:r>
    </w:p>
    <w:p w:rsidR="00DD7F8E" w:rsidRPr="00451078" w:rsidRDefault="00DD7F8E" w:rsidP="00DD7F8E">
      <w:pPr>
        <w:rPr>
          <w:lang w:val="it-IT"/>
        </w:rPr>
      </w:pPr>
    </w:p>
    <w:p w:rsidR="00DD7F8E" w:rsidRPr="00451078" w:rsidRDefault="00DD7F8E" w:rsidP="00745AB3">
      <w:pPr>
        <w:numPr>
          <w:ilvl w:val="0"/>
          <w:numId w:val="77"/>
        </w:numPr>
        <w:tabs>
          <w:tab w:val="left" w:pos="1440"/>
        </w:tabs>
        <w:spacing w:after="60"/>
        <w:ind w:left="1440"/>
        <w:rPr>
          <w:lang w:val="it-IT"/>
        </w:rPr>
      </w:pPr>
      <w:r w:rsidRPr="00451078">
        <w:rPr>
          <w:color w:val="000000"/>
          <w:szCs w:val="18"/>
          <w:lang w:val="it-IT"/>
        </w:rPr>
        <w:t xml:space="preserve">disponibilità dei rappresentanti, del personale IT e delle risorse della Società, inclusi, a titolo esemplificativo, hardware, software, connettività Internet e spazi ragionevolmente sufficienti; </w:t>
      </w:r>
    </w:p>
    <w:p w:rsidR="00DD7F8E" w:rsidRPr="00451078" w:rsidRDefault="00DD7F8E" w:rsidP="00745AB3">
      <w:pPr>
        <w:numPr>
          <w:ilvl w:val="0"/>
          <w:numId w:val="77"/>
        </w:numPr>
        <w:tabs>
          <w:tab w:val="left" w:pos="1440"/>
        </w:tabs>
        <w:spacing w:after="60"/>
        <w:ind w:left="1440"/>
        <w:rPr>
          <w:lang w:val="it-IT"/>
        </w:rPr>
      </w:pPr>
      <w:r w:rsidRPr="00451078">
        <w:rPr>
          <w:color w:val="000000"/>
          <w:szCs w:val="18"/>
          <w:lang w:val="it-IT"/>
        </w:rPr>
        <w:t xml:space="preserve">tempestiva comunicazione, da parte della Società, di informazioni accurate e complete; </w:t>
      </w:r>
    </w:p>
    <w:p w:rsidR="00DD7F8E" w:rsidRPr="00451078" w:rsidRDefault="00DD7F8E" w:rsidP="00745AB3">
      <w:pPr>
        <w:numPr>
          <w:ilvl w:val="0"/>
          <w:numId w:val="77"/>
        </w:numPr>
        <w:tabs>
          <w:tab w:val="left" w:pos="1440"/>
        </w:tabs>
        <w:spacing w:after="60"/>
        <w:ind w:left="1440"/>
        <w:rPr>
          <w:lang w:val="it-IT"/>
        </w:rPr>
      </w:pPr>
      <w:r w:rsidRPr="00451078">
        <w:rPr>
          <w:color w:val="000000"/>
          <w:szCs w:val="18"/>
          <w:lang w:val="it-IT"/>
        </w:rPr>
        <w:t>accesso a informazioni riguardanti l</w:t>
      </w:r>
      <w:r w:rsidR="004525CA">
        <w:rPr>
          <w:color w:val="000000"/>
          <w:szCs w:val="18"/>
          <w:lang w:val="it-IT"/>
        </w:rPr>
        <w:t>’</w:t>
      </w:r>
      <w:r w:rsidRPr="00451078">
        <w:rPr>
          <w:color w:val="000000"/>
          <w:szCs w:val="18"/>
          <w:lang w:val="it-IT"/>
        </w:rPr>
        <w:t>organizzazione della Società;</w:t>
      </w:r>
    </w:p>
    <w:p w:rsidR="00DD7F8E" w:rsidRPr="00451078" w:rsidRDefault="00DD7F8E" w:rsidP="00745AB3">
      <w:pPr>
        <w:numPr>
          <w:ilvl w:val="0"/>
          <w:numId w:val="77"/>
        </w:numPr>
        <w:tabs>
          <w:tab w:val="left" w:pos="1440"/>
        </w:tabs>
        <w:spacing w:after="60"/>
        <w:ind w:left="1440"/>
        <w:rPr>
          <w:lang w:val="it-IT"/>
        </w:rPr>
      </w:pPr>
      <w:r w:rsidRPr="00451078">
        <w:rPr>
          <w:color w:val="000000"/>
          <w:szCs w:val="18"/>
          <w:lang w:val="it-IT"/>
        </w:rPr>
        <w:t>adempimento tempestivo ed efficace delle responsabilità della Società e</w:t>
      </w:r>
    </w:p>
    <w:p w:rsidR="00DD7F8E" w:rsidRPr="00451078" w:rsidRDefault="00DD7F8E" w:rsidP="00745AB3">
      <w:pPr>
        <w:numPr>
          <w:ilvl w:val="0"/>
          <w:numId w:val="77"/>
        </w:numPr>
        <w:tabs>
          <w:tab w:val="left" w:pos="1440"/>
        </w:tabs>
        <w:spacing w:after="60"/>
        <w:ind w:left="1440"/>
        <w:rPr>
          <w:lang w:val="it-IT"/>
        </w:rPr>
      </w:pPr>
      <w:r w:rsidRPr="00451078">
        <w:rPr>
          <w:color w:val="000000"/>
          <w:szCs w:val="18"/>
          <w:lang w:val="it-IT"/>
        </w:rPr>
        <w:t>approvazioni e decisioni tempestive da parte dei dirigenti e manager della Società.</w:t>
      </w:r>
      <w:r w:rsidR="00082E1C" w:rsidRPr="00451078">
        <w:rPr>
          <w:color w:val="000000"/>
          <w:szCs w:val="18"/>
          <w:lang w:val="it-IT"/>
        </w:rPr>
        <w:t xml:space="preserve"> </w:t>
      </w:r>
    </w:p>
    <w:p w:rsidR="0064651F" w:rsidRPr="00451078" w:rsidRDefault="0064651F" w:rsidP="00CA52FE">
      <w:pPr>
        <w:rPr>
          <w:lang w:val="it-IT"/>
        </w:rPr>
      </w:pPr>
      <w:bookmarkStart w:id="975" w:name="_Toc288760404"/>
    </w:p>
    <w:p w:rsidR="00DD7F8E" w:rsidRPr="00451078" w:rsidRDefault="00DD7F8E" w:rsidP="00CA52FE">
      <w:pPr>
        <w:rPr>
          <w:lang w:val="it-IT"/>
        </w:rPr>
      </w:pPr>
      <w:r w:rsidRPr="00451078">
        <w:rPr>
          <w:b/>
          <w:sz w:val="24"/>
          <w:szCs w:val="18"/>
          <w:lang w:val="it-IT"/>
        </w:rPr>
        <w:t>Condizioni di Servizio Aggiuntive</w:t>
      </w:r>
    </w:p>
    <w:p w:rsidR="00DD7F8E" w:rsidRPr="00565E77" w:rsidRDefault="00DD7F8E" w:rsidP="00CA52FE">
      <w:pPr>
        <w:rPr>
          <w:sz w:val="22"/>
          <w:lang w:val="it-IT"/>
        </w:rPr>
      </w:pPr>
    </w:p>
    <w:p w:rsidR="00DD7F8E" w:rsidRPr="00451078" w:rsidRDefault="00DB2D1E" w:rsidP="00E77F1E">
      <w:pPr>
        <w:spacing w:after="60"/>
        <w:rPr>
          <w:lang w:val="it-IT"/>
        </w:rPr>
      </w:pPr>
      <w:bookmarkStart w:id="976" w:name="_Toc317591257"/>
      <w:bookmarkStart w:id="977" w:name="_Toc336338248"/>
      <w:bookmarkStart w:id="978" w:name="_Toc352234843"/>
      <w:r w:rsidRPr="00451078">
        <w:rPr>
          <w:rStyle w:val="Heading2Char"/>
          <w:rFonts w:ascii="Tahoma" w:hAnsi="Tahoma"/>
          <w:sz w:val="20"/>
          <w:szCs w:val="20"/>
          <w:lang w:val="it-IT"/>
        </w:rPr>
        <w:t>Diritti sull</w:t>
      </w:r>
      <w:r w:rsidR="004525CA">
        <w:rPr>
          <w:rStyle w:val="Heading2Char"/>
          <w:rFonts w:ascii="Tahoma" w:hAnsi="Tahoma"/>
          <w:sz w:val="20"/>
          <w:szCs w:val="20"/>
          <w:lang w:val="it-IT"/>
        </w:rPr>
        <w:t>’</w:t>
      </w:r>
      <w:r w:rsidRPr="00451078">
        <w:rPr>
          <w:rStyle w:val="Heading2Char"/>
          <w:rFonts w:ascii="Tahoma" w:hAnsi="Tahoma"/>
          <w:sz w:val="20"/>
          <w:szCs w:val="20"/>
          <w:lang w:val="it-IT"/>
        </w:rPr>
        <w:t>utilizzo, di titolarità e di licenza</w:t>
      </w:r>
      <w:bookmarkEnd w:id="975"/>
      <w:bookmarkEnd w:id="976"/>
      <w:bookmarkEnd w:id="977"/>
      <w:bookmarkEnd w:id="978"/>
    </w:p>
    <w:p w:rsidR="00DB2D1E" w:rsidRPr="0083674D" w:rsidRDefault="00DB2D1E" w:rsidP="00CA52FE">
      <w:pPr>
        <w:pStyle w:val="normal1"/>
        <w:rPr>
          <w:sz w:val="18"/>
          <w:szCs w:val="18"/>
          <w:lang w:val="it-IT"/>
        </w:rPr>
      </w:pPr>
      <w:r w:rsidRPr="0083674D">
        <w:rPr>
          <w:rFonts w:ascii="Tahoma" w:hAnsi="Tahoma" w:cs="Tahoma"/>
          <w:b/>
          <w:bCs/>
          <w:color w:val="000000"/>
          <w:sz w:val="18"/>
          <w:szCs w:val="18"/>
          <w:lang w:val="it-IT"/>
        </w:rPr>
        <w:t>Fix.</w:t>
      </w:r>
      <w:r w:rsidR="00082E1C" w:rsidRPr="0083674D">
        <w:rPr>
          <w:rFonts w:ascii="Tahoma" w:hAnsi="Tahoma" w:cs="Tahoma"/>
          <w:b/>
          <w:bCs/>
          <w:color w:val="000000"/>
          <w:sz w:val="18"/>
          <w:szCs w:val="18"/>
          <w:lang w:val="it-IT"/>
        </w:rPr>
        <w:t xml:space="preserve"> </w:t>
      </w:r>
      <w:r w:rsidRPr="0083674D">
        <w:rPr>
          <w:rFonts w:ascii="Tahoma" w:hAnsi="Tahoma" w:cs="Tahoma"/>
          <w:bCs/>
          <w:color w:val="000000"/>
          <w:sz w:val="18"/>
          <w:szCs w:val="18"/>
          <w:lang w:val="it-IT"/>
        </w:rPr>
        <w:t>Qualora Microsoft fornisca Fix alla Società durante la prestazione dei Servizi, tali</w:t>
      </w:r>
      <w:r w:rsidRPr="0083674D">
        <w:rPr>
          <w:rFonts w:ascii="Tahoma" w:hAnsi="Tahoma" w:cs="Tahoma"/>
          <w:b/>
          <w:bCs/>
          <w:color w:val="000000"/>
          <w:sz w:val="18"/>
          <w:szCs w:val="18"/>
          <w:lang w:val="it-IT"/>
        </w:rPr>
        <w:t xml:space="preserve"> </w:t>
      </w:r>
      <w:r w:rsidRPr="0083674D">
        <w:rPr>
          <w:rFonts w:ascii="Tahoma" w:hAnsi="Tahoma" w:cs="Tahoma"/>
          <w:color w:val="000000"/>
          <w:sz w:val="18"/>
          <w:szCs w:val="18"/>
          <w:lang w:val="it-IT"/>
        </w:rPr>
        <w:t>Fix sono concessi in licenza in</w:t>
      </w:r>
      <w:r w:rsidR="00E41669" w:rsidRPr="0083674D">
        <w:rPr>
          <w:rFonts w:ascii="Tahoma" w:hAnsi="Tahoma" w:cs="Tahoma"/>
          <w:color w:val="000000"/>
          <w:sz w:val="18"/>
          <w:szCs w:val="18"/>
          <w:lang w:val="it-IT"/>
        </w:rPr>
        <w:t> </w:t>
      </w:r>
      <w:r w:rsidRPr="0083674D">
        <w:rPr>
          <w:rFonts w:ascii="Tahoma" w:hAnsi="Tahoma" w:cs="Tahoma"/>
          <w:color w:val="000000"/>
          <w:sz w:val="18"/>
          <w:szCs w:val="18"/>
          <w:lang w:val="it-IT"/>
        </w:rPr>
        <w:t>conformità alle condizioni di licenza applicabili al Prodotto cui si riferiscono. Qualora i Fix non siano relativi a un Prodotto specifico, si applicheranno le condizioni per l</w:t>
      </w:r>
      <w:r w:rsidR="004525CA">
        <w:rPr>
          <w:rFonts w:ascii="Tahoma" w:hAnsi="Tahoma" w:cs="Tahoma"/>
          <w:color w:val="000000"/>
          <w:sz w:val="18"/>
          <w:szCs w:val="18"/>
          <w:lang w:val="it-IT"/>
        </w:rPr>
        <w:t>’</w:t>
      </w:r>
      <w:r w:rsidRPr="0083674D">
        <w:rPr>
          <w:rFonts w:ascii="Tahoma" w:hAnsi="Tahoma" w:cs="Tahoma"/>
          <w:color w:val="000000"/>
          <w:sz w:val="18"/>
          <w:szCs w:val="18"/>
          <w:lang w:val="it-IT"/>
        </w:rPr>
        <w:t>utilizzo fornite da Microsoft con i Fix. Nel caso non siano fornite condizioni per l</w:t>
      </w:r>
      <w:r w:rsidR="004525CA">
        <w:rPr>
          <w:rFonts w:ascii="Tahoma" w:hAnsi="Tahoma" w:cs="Tahoma"/>
          <w:color w:val="000000"/>
          <w:sz w:val="18"/>
          <w:szCs w:val="18"/>
          <w:lang w:val="it-IT"/>
        </w:rPr>
        <w:t>’</w:t>
      </w:r>
      <w:r w:rsidRPr="0083674D">
        <w:rPr>
          <w:rFonts w:ascii="Tahoma" w:hAnsi="Tahoma" w:cs="Tahoma"/>
          <w:color w:val="000000"/>
          <w:sz w:val="18"/>
          <w:szCs w:val="18"/>
          <w:lang w:val="it-IT"/>
        </w:rPr>
        <w:t>utilizzo, la Società avrà una licenza non esclusiva, perpetua e gratuita di utilizzare e riprodurre i Fix esclusivamente per uso interno. La Società non potrà modificare, cambiare il nome del file né combinare i Fix con altro codice per computer che non sia di Microsoft.</w:t>
      </w:r>
    </w:p>
    <w:p w:rsidR="003F47CB" w:rsidRPr="0083674D" w:rsidRDefault="003F47CB" w:rsidP="00CA52FE">
      <w:pPr>
        <w:pStyle w:val="normal1"/>
        <w:rPr>
          <w:sz w:val="18"/>
          <w:szCs w:val="18"/>
          <w:lang w:val="it-IT"/>
        </w:rPr>
      </w:pPr>
    </w:p>
    <w:p w:rsidR="00DB2D1E" w:rsidRPr="0083674D" w:rsidRDefault="00DB2D1E" w:rsidP="00CA52FE">
      <w:pPr>
        <w:pStyle w:val="normal1"/>
        <w:rPr>
          <w:sz w:val="18"/>
          <w:szCs w:val="18"/>
          <w:lang w:val="it-IT"/>
        </w:rPr>
      </w:pPr>
      <w:r w:rsidRPr="0083674D">
        <w:rPr>
          <w:rFonts w:ascii="Tahoma" w:hAnsi="Tahoma" w:cs="Tahoma"/>
          <w:b/>
          <w:bCs/>
          <w:color w:val="000000"/>
          <w:sz w:val="18"/>
          <w:szCs w:val="18"/>
          <w:lang w:val="it-IT"/>
        </w:rPr>
        <w:t>Lavoro Pre-esistente.</w:t>
      </w:r>
      <w:r w:rsidR="00082E1C" w:rsidRPr="0083674D">
        <w:rPr>
          <w:rFonts w:ascii="Tahoma" w:hAnsi="Tahoma" w:cs="Tahoma"/>
          <w:color w:val="000000"/>
          <w:sz w:val="18"/>
          <w:szCs w:val="18"/>
          <w:lang w:val="it-IT"/>
        </w:rPr>
        <w:t xml:space="preserve"> </w:t>
      </w:r>
      <w:r w:rsidRPr="0083674D">
        <w:rPr>
          <w:rFonts w:ascii="Tahoma" w:hAnsi="Tahoma" w:cs="Tahoma"/>
          <w:color w:val="000000"/>
          <w:sz w:val="18"/>
          <w:szCs w:val="18"/>
          <w:lang w:val="it-IT"/>
        </w:rPr>
        <w:t>Tutti i diritti riguardanti il codice per computer o qualsiasi altro materiale scritto non basato su codice sviluppato o altrimenti ottenuto da o per le parti o le relative Consociate e indipendente dal presente contratto (</w:t>
      </w:r>
      <w:r w:rsidR="001A3EC5" w:rsidRPr="0083674D">
        <w:rPr>
          <w:rFonts w:ascii="Tahoma" w:hAnsi="Tahoma" w:cs="Tahoma"/>
          <w:color w:val="000000"/>
          <w:sz w:val="18"/>
          <w:szCs w:val="18"/>
          <w:lang w:val="it-IT"/>
        </w:rPr>
        <w:t>“</w:t>
      </w:r>
      <w:r w:rsidRPr="0083674D">
        <w:rPr>
          <w:rFonts w:ascii="Tahoma" w:hAnsi="Tahoma" w:cs="Tahoma"/>
          <w:color w:val="000000"/>
          <w:sz w:val="18"/>
          <w:szCs w:val="18"/>
          <w:lang w:val="it-IT"/>
        </w:rPr>
        <w:t>Lavoro Pre-Esistente</w:t>
      </w:r>
      <w:r w:rsidR="001A3EC5" w:rsidRPr="0083674D">
        <w:rPr>
          <w:rFonts w:ascii="Tahoma" w:hAnsi="Tahoma" w:cs="Tahoma"/>
          <w:color w:val="000000"/>
          <w:sz w:val="18"/>
          <w:szCs w:val="18"/>
          <w:lang w:val="it-IT"/>
        </w:rPr>
        <w:t>”</w:t>
      </w:r>
      <w:r w:rsidRPr="0083674D">
        <w:rPr>
          <w:rFonts w:ascii="Tahoma" w:hAnsi="Tahoma" w:cs="Tahoma"/>
          <w:color w:val="000000"/>
          <w:sz w:val="18"/>
          <w:szCs w:val="18"/>
          <w:lang w:val="it-IT"/>
        </w:rPr>
        <w:t>) resteranno di esclusiva proprietà della parte che lo fornisce. Durante l</w:t>
      </w:r>
      <w:r w:rsidR="004525CA">
        <w:rPr>
          <w:rFonts w:ascii="Tahoma" w:hAnsi="Tahoma" w:cs="Tahoma"/>
          <w:color w:val="000000"/>
          <w:sz w:val="18"/>
          <w:szCs w:val="18"/>
          <w:lang w:val="it-IT"/>
        </w:rPr>
        <w:t>’</w:t>
      </w:r>
      <w:r w:rsidRPr="0083674D">
        <w:rPr>
          <w:rFonts w:ascii="Tahoma" w:hAnsi="Tahoma" w:cs="Tahoma"/>
          <w:color w:val="000000"/>
          <w:sz w:val="18"/>
          <w:szCs w:val="18"/>
          <w:lang w:val="it-IT"/>
        </w:rPr>
        <w:t>esecuzione dei Servizi ciascuna parte concederà all</w:t>
      </w:r>
      <w:r w:rsidR="004525CA">
        <w:rPr>
          <w:rFonts w:ascii="Tahoma" w:hAnsi="Tahoma" w:cs="Tahoma"/>
          <w:color w:val="000000"/>
          <w:sz w:val="18"/>
          <w:szCs w:val="18"/>
          <w:lang w:val="it-IT"/>
        </w:rPr>
        <w:t>’</w:t>
      </w:r>
      <w:r w:rsidRPr="0083674D">
        <w:rPr>
          <w:rFonts w:ascii="Tahoma" w:hAnsi="Tahoma" w:cs="Tahoma"/>
          <w:color w:val="000000"/>
          <w:sz w:val="18"/>
          <w:szCs w:val="18"/>
          <w:lang w:val="it-IT"/>
        </w:rPr>
        <w:t>altra, e se necessario ai fornitori di Microsoft, una licenza temporanea e non esclusiva di utilizzare, riprodurre e modificare qualsiasi Lavoro Pre-esistente fornito all</w:t>
      </w:r>
      <w:r w:rsidR="004525CA">
        <w:rPr>
          <w:rFonts w:ascii="Tahoma" w:hAnsi="Tahoma" w:cs="Tahoma"/>
          <w:color w:val="000000"/>
          <w:sz w:val="18"/>
          <w:szCs w:val="18"/>
          <w:lang w:val="it-IT"/>
        </w:rPr>
        <w:t>’</w:t>
      </w:r>
      <w:r w:rsidRPr="0083674D">
        <w:rPr>
          <w:rFonts w:ascii="Tahoma" w:hAnsi="Tahoma" w:cs="Tahoma"/>
          <w:color w:val="000000"/>
          <w:sz w:val="18"/>
          <w:szCs w:val="18"/>
          <w:lang w:val="it-IT"/>
        </w:rPr>
        <w:t>altra parte, al solo fine di eseguire i Servizi.</w:t>
      </w:r>
    </w:p>
    <w:p w:rsidR="00DB2D1E" w:rsidRPr="0083674D" w:rsidRDefault="00DB2D1E" w:rsidP="00CA52FE">
      <w:pPr>
        <w:pStyle w:val="normal1"/>
        <w:rPr>
          <w:sz w:val="18"/>
          <w:szCs w:val="18"/>
          <w:lang w:val="it-IT"/>
        </w:rPr>
      </w:pPr>
      <w:r w:rsidRPr="0083674D">
        <w:rPr>
          <w:rFonts w:ascii="Tahoma" w:hAnsi="Tahoma" w:cs="Tahoma"/>
          <w:color w:val="000000"/>
          <w:sz w:val="18"/>
          <w:szCs w:val="18"/>
          <w:lang w:val="it-IT"/>
        </w:rPr>
        <w:t>Fatto salvo quanto diversamente concordato per iscritto tra le parti, Microsoft, ricevuto l</w:t>
      </w:r>
      <w:r w:rsidR="004525CA">
        <w:rPr>
          <w:rFonts w:ascii="Tahoma" w:hAnsi="Tahoma" w:cs="Tahoma"/>
          <w:color w:val="000000"/>
          <w:sz w:val="18"/>
          <w:szCs w:val="18"/>
          <w:lang w:val="it-IT"/>
        </w:rPr>
        <w:t>’</w:t>
      </w:r>
      <w:r w:rsidRPr="0083674D">
        <w:rPr>
          <w:rFonts w:ascii="Tahoma" w:hAnsi="Tahoma" w:cs="Tahoma"/>
          <w:color w:val="000000"/>
          <w:sz w:val="18"/>
          <w:szCs w:val="18"/>
          <w:lang w:val="it-IT"/>
        </w:rPr>
        <w:t>intero corrispettivo, concede alla Società una licenza non esclusiva, perpetua e gratuita di utilizzare, riprodurre e modificare (se applicabile) il</w:t>
      </w:r>
      <w:r w:rsidR="00E41669" w:rsidRPr="0083674D">
        <w:rPr>
          <w:rFonts w:ascii="Tahoma" w:hAnsi="Tahoma" w:cs="Tahoma"/>
          <w:color w:val="000000"/>
          <w:sz w:val="18"/>
          <w:szCs w:val="18"/>
          <w:lang w:val="it-IT"/>
        </w:rPr>
        <w:t> </w:t>
      </w:r>
      <w:r w:rsidRPr="0083674D">
        <w:rPr>
          <w:rFonts w:ascii="Tahoma" w:hAnsi="Tahoma" w:cs="Tahoma"/>
          <w:color w:val="000000"/>
          <w:sz w:val="18"/>
          <w:szCs w:val="18"/>
          <w:lang w:val="it-IT"/>
        </w:rPr>
        <w:t>Lavoro Pre-esistente di Microsoft esclusivamente nella forma consegnata alla Società come parte del Materiale Fornito con i Servizi ed esclusivamente per l</w:t>
      </w:r>
      <w:r w:rsidR="004525CA">
        <w:rPr>
          <w:rFonts w:ascii="Tahoma" w:hAnsi="Tahoma" w:cs="Tahoma"/>
          <w:color w:val="000000"/>
          <w:sz w:val="18"/>
          <w:szCs w:val="18"/>
          <w:lang w:val="it-IT"/>
        </w:rPr>
        <w:t>’</w:t>
      </w:r>
      <w:r w:rsidRPr="0083674D">
        <w:rPr>
          <w:rFonts w:ascii="Tahoma" w:hAnsi="Tahoma" w:cs="Tahoma"/>
          <w:color w:val="000000"/>
          <w:sz w:val="18"/>
          <w:szCs w:val="18"/>
          <w:lang w:val="it-IT"/>
        </w:rPr>
        <w:t xml:space="preserve">attività interna della Società stessa. La licenza riguardante il Lavoro </w:t>
      </w:r>
      <w:r w:rsidR="00E41669" w:rsidRPr="0083674D">
        <w:rPr>
          <w:rFonts w:ascii="Tahoma" w:hAnsi="Tahoma" w:cs="Tahoma"/>
          <w:color w:val="000000"/>
          <w:sz w:val="18"/>
          <w:szCs w:val="18"/>
          <w:lang w:val="it-IT"/>
        </w:rPr>
        <w:br/>
      </w:r>
      <w:r w:rsidRPr="0083674D">
        <w:rPr>
          <w:rFonts w:ascii="Tahoma" w:hAnsi="Tahoma" w:cs="Tahoma"/>
          <w:color w:val="000000"/>
          <w:sz w:val="18"/>
          <w:szCs w:val="18"/>
          <w:lang w:val="it-IT"/>
        </w:rPr>
        <w:t>Pre-esistente di Microsoft è subordinata al rispetto da parte della Società delle condizioni del presente contratto.</w:t>
      </w:r>
    </w:p>
    <w:p w:rsidR="003F47CB" w:rsidRDefault="003F47CB" w:rsidP="00CA52FE">
      <w:pPr>
        <w:pStyle w:val="normal1"/>
        <w:rPr>
          <w:sz w:val="18"/>
          <w:szCs w:val="18"/>
          <w:lang w:val="it-IT"/>
        </w:rPr>
      </w:pPr>
    </w:p>
    <w:p w:rsidR="0027060A" w:rsidRDefault="0027060A" w:rsidP="00CA52FE">
      <w:pPr>
        <w:pStyle w:val="normal1"/>
        <w:rPr>
          <w:sz w:val="18"/>
          <w:szCs w:val="18"/>
          <w:lang w:val="it-IT"/>
        </w:rPr>
      </w:pPr>
    </w:p>
    <w:p w:rsidR="0027060A" w:rsidRDefault="0027060A" w:rsidP="00CA52FE">
      <w:pPr>
        <w:pStyle w:val="normal1"/>
        <w:rPr>
          <w:sz w:val="18"/>
          <w:szCs w:val="18"/>
          <w:lang w:val="it-IT"/>
        </w:rPr>
      </w:pPr>
    </w:p>
    <w:p w:rsidR="0027060A" w:rsidRDefault="0027060A" w:rsidP="00CA52FE">
      <w:pPr>
        <w:pStyle w:val="normal1"/>
        <w:rPr>
          <w:sz w:val="18"/>
          <w:szCs w:val="18"/>
          <w:lang w:val="it-IT"/>
        </w:rPr>
      </w:pPr>
    </w:p>
    <w:p w:rsidR="0027060A" w:rsidRDefault="0027060A" w:rsidP="00CA52FE">
      <w:pPr>
        <w:pStyle w:val="normal1"/>
        <w:rPr>
          <w:sz w:val="18"/>
          <w:szCs w:val="18"/>
          <w:lang w:val="it-IT"/>
        </w:rPr>
      </w:pPr>
    </w:p>
    <w:p w:rsidR="0027060A" w:rsidRPr="0083674D" w:rsidRDefault="0027060A" w:rsidP="00CA52FE">
      <w:pPr>
        <w:pStyle w:val="normal1"/>
        <w:rPr>
          <w:sz w:val="18"/>
          <w:szCs w:val="18"/>
          <w:lang w:val="it-IT"/>
        </w:rPr>
      </w:pPr>
    </w:p>
    <w:p w:rsidR="00DB2D1E" w:rsidRPr="0083674D" w:rsidRDefault="00DB2D1E" w:rsidP="00CA52FE">
      <w:pPr>
        <w:pStyle w:val="normal1"/>
        <w:rPr>
          <w:sz w:val="18"/>
          <w:szCs w:val="18"/>
          <w:lang w:val="it-IT"/>
        </w:rPr>
      </w:pPr>
      <w:r w:rsidRPr="0083674D">
        <w:rPr>
          <w:rFonts w:ascii="Tahoma" w:hAnsi="Tahoma" w:cs="Tahoma"/>
          <w:b/>
          <w:bCs/>
          <w:color w:val="000000"/>
          <w:sz w:val="18"/>
          <w:szCs w:val="18"/>
          <w:lang w:val="it-IT"/>
        </w:rPr>
        <w:lastRenderedPageBreak/>
        <w:t>Sviluppi</w:t>
      </w:r>
      <w:r w:rsidRPr="0083674D">
        <w:rPr>
          <w:rFonts w:ascii="Tahoma" w:hAnsi="Tahoma" w:cs="Tahoma"/>
          <w:b/>
          <w:color w:val="000000"/>
          <w:sz w:val="18"/>
          <w:szCs w:val="18"/>
          <w:lang w:val="it-IT"/>
        </w:rPr>
        <w:t>.</w:t>
      </w:r>
      <w:r w:rsidRPr="0083674D">
        <w:rPr>
          <w:rFonts w:ascii="Tahoma" w:hAnsi="Tahoma" w:cs="Tahoma"/>
          <w:color w:val="000000"/>
          <w:sz w:val="18"/>
          <w:szCs w:val="18"/>
          <w:lang w:val="it-IT"/>
        </w:rPr>
        <w:t xml:space="preserve"> Microsoft, ricevuto l</w:t>
      </w:r>
      <w:r w:rsidR="004525CA">
        <w:rPr>
          <w:rFonts w:ascii="Tahoma" w:hAnsi="Tahoma" w:cs="Tahoma"/>
          <w:color w:val="000000"/>
          <w:sz w:val="18"/>
          <w:szCs w:val="18"/>
          <w:lang w:val="it-IT"/>
        </w:rPr>
        <w:t>’</w:t>
      </w:r>
      <w:r w:rsidRPr="0083674D">
        <w:rPr>
          <w:rFonts w:ascii="Tahoma" w:hAnsi="Tahoma" w:cs="Tahoma"/>
          <w:color w:val="000000"/>
          <w:sz w:val="18"/>
          <w:szCs w:val="18"/>
          <w:lang w:val="it-IT"/>
        </w:rPr>
        <w:t>intero corrispettivo, concede alla Società la titolarità congiunta di qualsiasi codice per computer o materiale scritto non basato su codice (diverso da Prodotti, Fix o Lavoro Pre-esistente) sviluppato da Microsoft o in collaborazione con la Società e lasciato presso quest</w:t>
      </w:r>
      <w:r w:rsidR="004525CA">
        <w:rPr>
          <w:rFonts w:ascii="Tahoma" w:hAnsi="Tahoma" w:cs="Tahoma"/>
          <w:color w:val="000000"/>
          <w:sz w:val="18"/>
          <w:szCs w:val="18"/>
          <w:lang w:val="it-IT"/>
        </w:rPr>
        <w:t>’</w:t>
      </w:r>
      <w:r w:rsidRPr="0083674D">
        <w:rPr>
          <w:rFonts w:ascii="Tahoma" w:hAnsi="Tahoma" w:cs="Tahoma"/>
          <w:color w:val="000000"/>
          <w:sz w:val="18"/>
          <w:szCs w:val="18"/>
          <w:lang w:val="it-IT"/>
        </w:rPr>
        <w:t>ultima alla conclusione dei Servizi (</w:t>
      </w:r>
      <w:r w:rsidR="001A3EC5" w:rsidRPr="0083674D">
        <w:rPr>
          <w:rFonts w:ascii="Tahoma" w:hAnsi="Tahoma" w:cs="Tahoma"/>
          <w:color w:val="000000"/>
          <w:sz w:val="18"/>
          <w:szCs w:val="18"/>
          <w:lang w:val="it-IT"/>
        </w:rPr>
        <w:t>“</w:t>
      </w:r>
      <w:r w:rsidRPr="0083674D">
        <w:rPr>
          <w:rFonts w:ascii="Tahoma" w:hAnsi="Tahoma" w:cs="Tahoma"/>
          <w:color w:val="000000"/>
          <w:sz w:val="18"/>
          <w:szCs w:val="18"/>
          <w:lang w:val="it-IT"/>
        </w:rPr>
        <w:t>Sviluppi</w:t>
      </w:r>
      <w:r w:rsidR="001A3EC5" w:rsidRPr="0083674D">
        <w:rPr>
          <w:rFonts w:ascii="Tahoma" w:hAnsi="Tahoma" w:cs="Tahoma"/>
          <w:color w:val="000000"/>
          <w:sz w:val="18"/>
          <w:szCs w:val="18"/>
          <w:lang w:val="it-IT"/>
        </w:rPr>
        <w:t>”</w:t>
      </w:r>
      <w:r w:rsidRPr="0083674D">
        <w:rPr>
          <w:rFonts w:ascii="Tahoma" w:hAnsi="Tahoma" w:cs="Tahoma"/>
          <w:color w:val="000000"/>
          <w:sz w:val="18"/>
          <w:szCs w:val="18"/>
          <w:lang w:val="it-IT"/>
        </w:rPr>
        <w:t>). Ciascuna parte sarà l</w:t>
      </w:r>
      <w:r w:rsidR="004525CA">
        <w:rPr>
          <w:rFonts w:ascii="Tahoma" w:hAnsi="Tahoma" w:cs="Tahoma"/>
          <w:color w:val="000000"/>
          <w:sz w:val="18"/>
          <w:szCs w:val="18"/>
          <w:lang w:val="it-IT"/>
        </w:rPr>
        <w:t>’</w:t>
      </w:r>
      <w:r w:rsidRPr="0083674D">
        <w:rPr>
          <w:rFonts w:ascii="Tahoma" w:hAnsi="Tahoma" w:cs="Tahoma"/>
          <w:color w:val="000000"/>
          <w:sz w:val="18"/>
          <w:szCs w:val="18"/>
          <w:lang w:val="it-IT"/>
        </w:rPr>
        <w:t>unica titolare dei diritti attinenti alle modifiche effettuate in base agli sviluppi. La Società accetta di esercitare i propri diritti in relazione a qualsiasi Sviluppo esclusivamente per le proprie attività interne e di non rivendere né distribuire gli Sviluppi a terzi.</w:t>
      </w:r>
    </w:p>
    <w:p w:rsidR="003F47CB" w:rsidRPr="0083674D" w:rsidRDefault="003F47CB" w:rsidP="00CA52FE">
      <w:pPr>
        <w:pStyle w:val="normal1"/>
        <w:rPr>
          <w:sz w:val="18"/>
          <w:szCs w:val="18"/>
          <w:lang w:val="it-IT"/>
        </w:rPr>
      </w:pPr>
    </w:p>
    <w:p w:rsidR="00222641" w:rsidRPr="00C93927" w:rsidRDefault="00222641" w:rsidP="00CA52FE">
      <w:pPr>
        <w:rPr>
          <w:szCs w:val="18"/>
          <w:lang w:val="it-IT"/>
        </w:rPr>
      </w:pPr>
      <w:r w:rsidRPr="00C93927">
        <w:rPr>
          <w:rFonts w:eastAsia="Calibri" w:cs="Tahoma"/>
          <w:b/>
          <w:bCs/>
          <w:color w:val="000000"/>
          <w:szCs w:val="18"/>
          <w:lang w:val="it-IT"/>
        </w:rPr>
        <w:t>Materiale.</w:t>
      </w:r>
      <w:r w:rsidR="00082E1C" w:rsidRPr="00C93927">
        <w:rPr>
          <w:rFonts w:eastAsia="Calibri" w:cs="Tahoma"/>
          <w:b/>
          <w:bCs/>
          <w:color w:val="000000"/>
          <w:szCs w:val="18"/>
          <w:lang w:val="it-IT"/>
        </w:rPr>
        <w:t xml:space="preserve"> </w:t>
      </w:r>
      <w:r w:rsidRPr="00C93927">
        <w:rPr>
          <w:rFonts w:eastAsia="Calibri" w:cs="Tahoma"/>
          <w:bCs/>
          <w:color w:val="000000"/>
          <w:szCs w:val="18"/>
          <w:lang w:val="it-IT"/>
        </w:rPr>
        <w:t>Tutti i diritti relativi a qualsiasi materiale sviluppato da Microsoft, diverso dal codice di software, e fornito alla società al fine di erogare il Supporto per Windows Azure e il Supporto Professionale (</w:t>
      </w:r>
      <w:r w:rsidR="001A3EC5" w:rsidRPr="00C93927">
        <w:rPr>
          <w:rFonts w:eastAsia="Calibri" w:cs="Tahoma"/>
          <w:bCs/>
          <w:color w:val="000000"/>
          <w:szCs w:val="18"/>
          <w:lang w:val="it-IT"/>
        </w:rPr>
        <w:t>“</w:t>
      </w:r>
      <w:r w:rsidRPr="00C93927">
        <w:rPr>
          <w:rFonts w:eastAsia="Calibri" w:cs="Tahoma"/>
          <w:bCs/>
          <w:color w:val="000000"/>
          <w:szCs w:val="18"/>
          <w:lang w:val="it-IT"/>
        </w:rPr>
        <w:t>Materiale</w:t>
      </w:r>
      <w:r w:rsidR="001A3EC5" w:rsidRPr="00C93927">
        <w:rPr>
          <w:rFonts w:eastAsia="Calibri" w:cs="Tahoma"/>
          <w:bCs/>
          <w:color w:val="000000"/>
          <w:szCs w:val="18"/>
          <w:lang w:val="it-IT"/>
        </w:rPr>
        <w:t>”</w:t>
      </w:r>
      <w:r w:rsidRPr="00C93927">
        <w:rPr>
          <w:rFonts w:eastAsia="Calibri" w:cs="Tahoma"/>
          <w:bCs/>
          <w:color w:val="000000"/>
          <w:szCs w:val="18"/>
          <w:lang w:val="it-IT"/>
        </w:rPr>
        <w:t>) saranno di proprietà esclusiva di Microsoft, fatta eccezione per i casi in cui il suddetto Materiale costituisca il Lavoro Preesistente della società.</w:t>
      </w:r>
      <w:r w:rsidR="00082E1C" w:rsidRPr="00C93927">
        <w:rPr>
          <w:rFonts w:eastAsia="Calibri" w:cs="Tahoma"/>
          <w:bCs/>
          <w:color w:val="000000"/>
          <w:szCs w:val="18"/>
          <w:lang w:val="it-IT"/>
        </w:rPr>
        <w:t xml:space="preserve"> </w:t>
      </w:r>
      <w:r w:rsidRPr="00C93927">
        <w:rPr>
          <w:rFonts w:eastAsia="Calibri" w:cs="Tahoma"/>
          <w:bCs/>
          <w:color w:val="000000"/>
          <w:szCs w:val="18"/>
          <w:lang w:val="it-IT"/>
        </w:rPr>
        <w:t>Microsoft concede alle società una licenza non esclusiva, perpetua, gratuita di utilizzo, riproduzione e</w:t>
      </w:r>
      <w:r w:rsidR="00E41669" w:rsidRPr="00C93927">
        <w:rPr>
          <w:rFonts w:eastAsia="Calibri" w:cs="Tahoma"/>
          <w:bCs/>
          <w:color w:val="000000"/>
          <w:szCs w:val="18"/>
          <w:lang w:val="it-IT"/>
        </w:rPr>
        <w:t> </w:t>
      </w:r>
      <w:r w:rsidRPr="00C93927">
        <w:rPr>
          <w:rFonts w:eastAsia="Calibri" w:cs="Tahoma"/>
          <w:bCs/>
          <w:color w:val="000000"/>
          <w:szCs w:val="18"/>
          <w:lang w:val="it-IT"/>
        </w:rPr>
        <w:t>modifica del Materiale esclusivamente per le loro attività interne e senza alcuna obbligazione di contabilizzazione o</w:t>
      </w:r>
      <w:r w:rsidR="00E41669" w:rsidRPr="00C93927">
        <w:rPr>
          <w:rFonts w:eastAsia="Calibri" w:cs="Tahoma"/>
          <w:bCs/>
          <w:color w:val="000000"/>
          <w:szCs w:val="18"/>
          <w:lang w:val="it-IT"/>
        </w:rPr>
        <w:t> </w:t>
      </w:r>
      <w:r w:rsidRPr="00C93927">
        <w:rPr>
          <w:rFonts w:eastAsia="Calibri" w:cs="Tahoma"/>
          <w:bCs/>
          <w:color w:val="000000"/>
          <w:szCs w:val="18"/>
          <w:lang w:val="it-IT"/>
        </w:rPr>
        <w:t>pagamento di royalty.</w:t>
      </w:r>
      <w:r w:rsidR="00082E1C" w:rsidRPr="00C93927">
        <w:rPr>
          <w:rFonts w:eastAsia="Calibri" w:cs="Tahoma"/>
          <w:bCs/>
          <w:color w:val="000000"/>
          <w:szCs w:val="18"/>
          <w:lang w:val="it-IT"/>
        </w:rPr>
        <w:t xml:space="preserve"> </w:t>
      </w:r>
      <w:r w:rsidRPr="00C93927">
        <w:rPr>
          <w:rFonts w:eastAsia="Calibri" w:cs="Tahoma"/>
          <w:bCs/>
          <w:color w:val="000000"/>
          <w:szCs w:val="18"/>
          <w:lang w:val="it-IT"/>
        </w:rPr>
        <w:t>Le società potranno concedere in sublicenza alle proprie Consociate i diritti concessi nel presente documento.</w:t>
      </w:r>
      <w:r w:rsidR="00082E1C" w:rsidRPr="00C93927">
        <w:rPr>
          <w:rFonts w:eastAsia="Calibri" w:cs="Tahoma"/>
          <w:bCs/>
          <w:color w:val="000000"/>
          <w:szCs w:val="18"/>
          <w:lang w:val="it-IT"/>
        </w:rPr>
        <w:t xml:space="preserve"> </w:t>
      </w:r>
      <w:r w:rsidRPr="00C93927">
        <w:rPr>
          <w:rFonts w:eastAsia="Calibri" w:cs="Tahoma"/>
          <w:bCs/>
          <w:color w:val="000000"/>
          <w:szCs w:val="18"/>
          <w:lang w:val="it-IT"/>
        </w:rPr>
        <w:t>Tutti i diritti non espressamente concessi sono riservati.</w:t>
      </w:r>
    </w:p>
    <w:p w:rsidR="003F47CB" w:rsidRPr="00451078" w:rsidRDefault="003F47CB" w:rsidP="00CA52FE">
      <w:pPr>
        <w:rPr>
          <w:lang w:val="it-IT"/>
        </w:rPr>
      </w:pPr>
    </w:p>
    <w:p w:rsidR="00B53C3C" w:rsidRPr="00445AE5" w:rsidRDefault="00B53C3C" w:rsidP="00CA52FE">
      <w:pPr>
        <w:rPr>
          <w:szCs w:val="18"/>
          <w:lang w:val="it-IT"/>
        </w:rPr>
      </w:pPr>
      <w:r w:rsidRPr="00445AE5">
        <w:rPr>
          <w:rFonts w:eastAsia="Calibri" w:cs="Tahoma"/>
          <w:b/>
          <w:bCs/>
          <w:color w:val="000000"/>
          <w:szCs w:val="18"/>
          <w:lang w:val="it-IT"/>
        </w:rPr>
        <w:t>Codice Campione.</w:t>
      </w:r>
      <w:r w:rsidR="001A3EC5" w:rsidRPr="00445AE5">
        <w:rPr>
          <w:rFonts w:eastAsia="Calibri" w:cs="Tahoma"/>
          <w:b/>
          <w:bCs/>
          <w:color w:val="000000"/>
          <w:szCs w:val="18"/>
          <w:lang w:val="it-IT"/>
        </w:rPr>
        <w:t xml:space="preserve"> </w:t>
      </w:r>
      <w:r w:rsidRPr="00445AE5">
        <w:rPr>
          <w:rFonts w:eastAsia="Calibri" w:cs="Tahoma"/>
          <w:bCs/>
          <w:color w:val="000000"/>
          <w:szCs w:val="18"/>
          <w:lang w:val="it-IT"/>
        </w:rPr>
        <w:t>Microsoft concede alle società un diritto non esclusivo, perpetuo e gratuito di utilizzare e modificare qualsiasi codice di software (</w:t>
      </w:r>
      <w:r w:rsidR="001A3EC5" w:rsidRPr="00445AE5">
        <w:rPr>
          <w:rFonts w:eastAsia="Calibri" w:cs="Tahoma"/>
          <w:bCs/>
          <w:color w:val="000000"/>
          <w:szCs w:val="18"/>
          <w:lang w:val="it-IT"/>
        </w:rPr>
        <w:t>“</w:t>
      </w:r>
      <w:r w:rsidRPr="00445AE5">
        <w:rPr>
          <w:rFonts w:eastAsia="Calibri" w:cs="Tahoma"/>
          <w:bCs/>
          <w:color w:val="000000"/>
          <w:szCs w:val="18"/>
          <w:lang w:val="it-IT"/>
        </w:rPr>
        <w:t>Codice Campione</w:t>
      </w:r>
      <w:r w:rsidR="001A3EC5" w:rsidRPr="00445AE5">
        <w:rPr>
          <w:rFonts w:eastAsia="Calibri" w:cs="Tahoma"/>
          <w:bCs/>
          <w:color w:val="000000"/>
          <w:szCs w:val="18"/>
          <w:lang w:val="it-IT"/>
        </w:rPr>
        <w:t>”</w:t>
      </w:r>
      <w:r w:rsidRPr="00445AE5">
        <w:rPr>
          <w:rFonts w:eastAsia="Calibri" w:cs="Tahoma"/>
          <w:bCs/>
          <w:color w:val="000000"/>
          <w:szCs w:val="18"/>
          <w:lang w:val="it-IT"/>
        </w:rPr>
        <w:t>) fornito da Microsoft allo scopo di illustrare e di riprodurre e distribuire il formato in codice oggetto del Codice Campione, a condizione che le società accettino di: (i) astenersi dall</w:t>
      </w:r>
      <w:r w:rsidR="004525CA">
        <w:rPr>
          <w:rFonts w:eastAsia="Calibri" w:cs="Tahoma"/>
          <w:bCs/>
          <w:color w:val="000000"/>
          <w:szCs w:val="18"/>
          <w:lang w:val="it-IT"/>
        </w:rPr>
        <w:t>’</w:t>
      </w:r>
      <w:r w:rsidRPr="00445AE5">
        <w:rPr>
          <w:rFonts w:eastAsia="Calibri" w:cs="Tahoma"/>
          <w:bCs/>
          <w:color w:val="000000"/>
          <w:szCs w:val="18"/>
          <w:lang w:val="it-IT"/>
        </w:rPr>
        <w:t>utilizzare il nome, il logo o i marchi Microsoft per commercializzare il proprio prodotto software nel quale è</w:t>
      </w:r>
      <w:r w:rsidR="00E20FC3" w:rsidRPr="00445AE5">
        <w:rPr>
          <w:rFonts w:eastAsia="Calibri" w:cs="Tahoma"/>
          <w:bCs/>
          <w:color w:val="000000"/>
          <w:szCs w:val="18"/>
          <w:lang w:val="it-IT"/>
        </w:rPr>
        <w:t> </w:t>
      </w:r>
      <w:r w:rsidRPr="00445AE5">
        <w:rPr>
          <w:rFonts w:eastAsia="Calibri" w:cs="Tahoma"/>
          <w:bCs/>
          <w:color w:val="000000"/>
          <w:szCs w:val="18"/>
          <w:lang w:val="it-IT"/>
        </w:rPr>
        <w:t>incorporato il Codice Campione, (ii) includere valide informazioni sul copyright nel proprio prodotto software nel quale è incorporato il Codice Campione e (iii) indennizzare, manlevare e difendere Microsoft e i suoi fornitori da ogni</w:t>
      </w:r>
      <w:r w:rsidR="00E20FC3" w:rsidRPr="00445AE5">
        <w:rPr>
          <w:rFonts w:eastAsia="Calibri" w:cs="Tahoma"/>
          <w:bCs/>
          <w:color w:val="000000"/>
          <w:szCs w:val="18"/>
          <w:lang w:val="it-IT"/>
        </w:rPr>
        <w:t> </w:t>
      </w:r>
      <w:r w:rsidRPr="00445AE5">
        <w:rPr>
          <w:rFonts w:eastAsia="Calibri" w:cs="Tahoma"/>
          <w:bCs/>
          <w:color w:val="000000"/>
          <w:szCs w:val="18"/>
          <w:lang w:val="it-IT"/>
        </w:rPr>
        <w:t>e qualsiasi reclamo o azione giudiziaria, ivi incluse le spese legali che derivino o risultino dall</w:t>
      </w:r>
      <w:r w:rsidR="004525CA">
        <w:rPr>
          <w:rFonts w:eastAsia="Calibri" w:cs="Tahoma"/>
          <w:bCs/>
          <w:color w:val="000000"/>
          <w:szCs w:val="18"/>
          <w:lang w:val="it-IT"/>
        </w:rPr>
        <w:t>’</w:t>
      </w:r>
      <w:r w:rsidRPr="00445AE5">
        <w:rPr>
          <w:rFonts w:eastAsia="Calibri" w:cs="Tahoma"/>
          <w:bCs/>
          <w:color w:val="000000"/>
          <w:szCs w:val="18"/>
          <w:lang w:val="it-IT"/>
        </w:rPr>
        <w:t xml:space="preserve">utilizzo o dalla distribuzione del Codice Campione. </w:t>
      </w:r>
    </w:p>
    <w:p w:rsidR="003F47CB" w:rsidRPr="00445AE5" w:rsidRDefault="003F47CB" w:rsidP="00CA52FE">
      <w:pPr>
        <w:rPr>
          <w:szCs w:val="18"/>
          <w:lang w:val="it-IT"/>
        </w:rPr>
      </w:pPr>
    </w:p>
    <w:p w:rsidR="00DB2D1E" w:rsidRPr="00451078" w:rsidRDefault="00DB2D1E" w:rsidP="00CA52FE">
      <w:pPr>
        <w:pStyle w:val="normal1"/>
        <w:rPr>
          <w:lang w:val="it-IT"/>
        </w:rPr>
      </w:pPr>
      <w:r w:rsidRPr="00445AE5">
        <w:rPr>
          <w:rFonts w:ascii="Tahoma" w:hAnsi="Tahoma" w:cs="Tahoma"/>
          <w:b/>
          <w:bCs/>
          <w:color w:val="000000"/>
          <w:sz w:val="18"/>
          <w:szCs w:val="18"/>
          <w:lang w:val="it-IT"/>
        </w:rPr>
        <w:t>Restrizioni di Licenza Open Source</w:t>
      </w:r>
      <w:r w:rsidRPr="00445AE5">
        <w:rPr>
          <w:rFonts w:ascii="Tahoma" w:hAnsi="Tahoma" w:cs="Tahoma"/>
          <w:b/>
          <w:color w:val="000000"/>
          <w:sz w:val="18"/>
          <w:szCs w:val="18"/>
          <w:lang w:val="it-IT"/>
        </w:rPr>
        <w:t>.</w:t>
      </w:r>
      <w:r w:rsidRPr="00445AE5">
        <w:rPr>
          <w:rFonts w:ascii="Tahoma" w:hAnsi="Tahoma" w:cs="Tahoma"/>
          <w:color w:val="000000"/>
          <w:sz w:val="18"/>
          <w:szCs w:val="18"/>
          <w:lang w:val="it-IT"/>
        </w:rPr>
        <w:t xml:space="preserve"> Poiché alcune condizioni di licenza di terzi richiedono che il codice per computer sia a livello generale (i) divulgato a terzi nel formato in codice sorgente, (ii) concesso in licenza a terzi allo scopo di creare lavori derivati oppure (iii) ridistribuibile gratuitamente a terzi (collettivamente, </w:t>
      </w:r>
      <w:r w:rsidR="001A3EC5" w:rsidRPr="00445AE5">
        <w:rPr>
          <w:rFonts w:ascii="Tahoma" w:hAnsi="Tahoma" w:cs="Tahoma"/>
          <w:color w:val="000000"/>
          <w:sz w:val="18"/>
          <w:szCs w:val="18"/>
          <w:lang w:val="it-IT"/>
        </w:rPr>
        <w:t>“</w:t>
      </w:r>
      <w:r w:rsidRPr="00445AE5">
        <w:rPr>
          <w:rFonts w:ascii="Tahoma" w:hAnsi="Tahoma" w:cs="Tahoma"/>
          <w:color w:val="000000"/>
          <w:sz w:val="18"/>
          <w:szCs w:val="18"/>
          <w:lang w:val="it-IT"/>
        </w:rPr>
        <w:t>Condizioni di Licenza Open Source</w:t>
      </w:r>
      <w:r w:rsidR="001A3EC5" w:rsidRPr="00445AE5">
        <w:rPr>
          <w:rFonts w:ascii="Tahoma" w:hAnsi="Tahoma" w:cs="Tahoma"/>
          <w:color w:val="000000"/>
          <w:sz w:val="18"/>
          <w:szCs w:val="18"/>
          <w:lang w:val="it-IT"/>
        </w:rPr>
        <w:t>”</w:t>
      </w:r>
      <w:r w:rsidRPr="00445AE5">
        <w:rPr>
          <w:rFonts w:ascii="Tahoma" w:hAnsi="Tahoma" w:cs="Tahoma"/>
          <w:color w:val="000000"/>
          <w:sz w:val="18"/>
          <w:szCs w:val="18"/>
          <w:lang w:val="it-IT"/>
        </w:rPr>
        <w:t>), i diritti di licenza concessi da ciascuna parte relativamente a qualsiasi codice per computer, o a qualsiasi proprietà intellettuale ad esso associata, non comprendono alcuna licenza, diritto o potere di incorporare, modificare, associare e/o distribuire tale codice per computer con qualsiasi altro codice per computer in modo tale da</w:t>
      </w:r>
      <w:r w:rsidR="00E41669" w:rsidRPr="00445AE5">
        <w:rPr>
          <w:rFonts w:ascii="Tahoma" w:hAnsi="Tahoma" w:cs="Tahoma"/>
          <w:color w:val="000000"/>
          <w:sz w:val="18"/>
          <w:szCs w:val="18"/>
          <w:lang w:val="it-IT"/>
        </w:rPr>
        <w:t> </w:t>
      </w:r>
      <w:r w:rsidRPr="00445AE5">
        <w:rPr>
          <w:rFonts w:ascii="Tahoma" w:hAnsi="Tahoma" w:cs="Tahoma"/>
          <w:color w:val="000000"/>
          <w:sz w:val="18"/>
          <w:szCs w:val="18"/>
          <w:lang w:val="it-IT"/>
        </w:rPr>
        <w:t>assoggettare il codice per computer dell</w:t>
      </w:r>
      <w:r w:rsidR="004525CA">
        <w:rPr>
          <w:rFonts w:ascii="Tahoma" w:hAnsi="Tahoma" w:cs="Tahoma"/>
          <w:color w:val="000000"/>
          <w:sz w:val="18"/>
          <w:szCs w:val="18"/>
          <w:lang w:val="it-IT"/>
        </w:rPr>
        <w:t>’</w:t>
      </w:r>
      <w:r w:rsidRPr="00445AE5">
        <w:rPr>
          <w:rFonts w:ascii="Tahoma" w:hAnsi="Tahoma" w:cs="Tahoma"/>
          <w:color w:val="000000"/>
          <w:sz w:val="18"/>
          <w:szCs w:val="18"/>
          <w:lang w:val="it-IT"/>
        </w:rPr>
        <w:t>altra parte a Condizioni di Licenza Open Source. Inoltre, ciascuna parte garantisce che non fornirà né metterà a d</w:t>
      </w:r>
      <w:r w:rsidRPr="00451078">
        <w:rPr>
          <w:rFonts w:ascii="Tahoma" w:hAnsi="Tahoma" w:cs="Tahoma"/>
          <w:color w:val="000000"/>
          <w:sz w:val="18"/>
          <w:szCs w:val="18"/>
          <w:lang w:val="it-IT"/>
        </w:rPr>
        <w:t>isposizione dell</w:t>
      </w:r>
      <w:r w:rsidR="004525CA">
        <w:rPr>
          <w:rFonts w:ascii="Tahoma" w:hAnsi="Tahoma" w:cs="Tahoma"/>
          <w:color w:val="000000"/>
          <w:sz w:val="18"/>
          <w:szCs w:val="18"/>
          <w:lang w:val="it-IT"/>
        </w:rPr>
        <w:t>’</w:t>
      </w:r>
      <w:r w:rsidRPr="00451078">
        <w:rPr>
          <w:rFonts w:ascii="Tahoma" w:hAnsi="Tahoma" w:cs="Tahoma"/>
          <w:color w:val="000000"/>
          <w:sz w:val="18"/>
          <w:szCs w:val="18"/>
          <w:lang w:val="it-IT"/>
        </w:rPr>
        <w:t>altra parte codice per computer che sia disciplinato da Condizioni di Licenza Open Source.</w:t>
      </w:r>
    </w:p>
    <w:p w:rsidR="003F47CB" w:rsidRPr="00451078" w:rsidRDefault="003F47CB" w:rsidP="00CA52FE">
      <w:pPr>
        <w:pStyle w:val="normal1"/>
        <w:rPr>
          <w:lang w:val="it-IT"/>
        </w:rPr>
      </w:pPr>
    </w:p>
    <w:p w:rsidR="00DB2D1E" w:rsidRPr="00451078" w:rsidRDefault="00DB2D1E" w:rsidP="00CA52FE">
      <w:pPr>
        <w:pStyle w:val="normal1"/>
        <w:rPr>
          <w:lang w:val="it-IT"/>
        </w:rPr>
      </w:pPr>
      <w:r w:rsidRPr="00451078">
        <w:rPr>
          <w:rFonts w:ascii="Tahoma" w:hAnsi="Tahoma" w:cs="Tahoma"/>
          <w:b/>
          <w:bCs/>
          <w:color w:val="000000"/>
          <w:sz w:val="18"/>
          <w:szCs w:val="18"/>
          <w:lang w:val="it-IT"/>
        </w:rPr>
        <w:t>Diritti delle Consociate.</w:t>
      </w:r>
      <w:r w:rsidR="00082E1C" w:rsidRPr="00451078">
        <w:rPr>
          <w:rFonts w:ascii="Tahoma" w:hAnsi="Tahoma" w:cs="Tahoma"/>
          <w:color w:val="000000"/>
          <w:sz w:val="18"/>
          <w:szCs w:val="18"/>
          <w:lang w:val="it-IT"/>
        </w:rPr>
        <w:t xml:space="preserve"> </w:t>
      </w:r>
      <w:r w:rsidRPr="00451078">
        <w:rPr>
          <w:rFonts w:ascii="Tahoma" w:hAnsi="Tahoma" w:cs="Tahoma"/>
          <w:color w:val="000000"/>
          <w:sz w:val="18"/>
          <w:szCs w:val="18"/>
          <w:lang w:val="it-IT"/>
        </w:rPr>
        <w:t>La Società può concedere in sublicenza alle proprie Consociate i diritti contenuti nel</w:t>
      </w:r>
      <w:r w:rsidR="00E41669" w:rsidRPr="00451078">
        <w:rPr>
          <w:rFonts w:ascii="Tahoma" w:hAnsi="Tahoma" w:cs="Tahoma"/>
          <w:color w:val="000000"/>
          <w:sz w:val="18"/>
          <w:szCs w:val="18"/>
          <w:lang w:val="it-IT"/>
        </w:rPr>
        <w:t> </w:t>
      </w:r>
      <w:r w:rsidRPr="00451078">
        <w:rPr>
          <w:rFonts w:ascii="Tahoma" w:hAnsi="Tahoma" w:cs="Tahoma"/>
          <w:color w:val="000000"/>
          <w:sz w:val="18"/>
          <w:szCs w:val="18"/>
          <w:lang w:val="it-IT"/>
        </w:rPr>
        <w:t>presente sottoparagrafo relativi al Materiale Fornito con i Servizi. Tali Consociate, tuttavia, non potranno ulteriormente concedere in sublicenza tali diritti e il loro utilizzo dovrà essere conforme alle condizioni di licenza previste nel presente contratto.</w:t>
      </w:r>
    </w:p>
    <w:p w:rsidR="001C1727" w:rsidRPr="00451078" w:rsidRDefault="001C1727">
      <w:pPr>
        <w:rPr>
          <w:lang w:val="it-IT"/>
        </w:rPr>
      </w:pPr>
    </w:p>
    <w:p w:rsidR="00DB2D1E" w:rsidRPr="00451078" w:rsidRDefault="00DB2D1E" w:rsidP="00CA52FE">
      <w:pPr>
        <w:rPr>
          <w:lang w:val="it-IT"/>
        </w:rPr>
      </w:pPr>
      <w:r w:rsidRPr="00451078">
        <w:rPr>
          <w:rFonts w:cs="Tahoma"/>
          <w:b/>
          <w:bCs/>
          <w:color w:val="000000"/>
          <w:szCs w:val="18"/>
          <w:lang w:val="it-IT"/>
        </w:rPr>
        <w:t>Riserva di Diritti.</w:t>
      </w:r>
      <w:r w:rsidR="001A3EC5" w:rsidRPr="00451078">
        <w:rPr>
          <w:rFonts w:cs="Tahoma"/>
          <w:color w:val="000000"/>
          <w:szCs w:val="18"/>
          <w:lang w:val="it-IT"/>
        </w:rPr>
        <w:t xml:space="preserve"> </w:t>
      </w:r>
      <w:r w:rsidRPr="00451078">
        <w:rPr>
          <w:rFonts w:cs="Tahoma"/>
          <w:color w:val="000000"/>
          <w:szCs w:val="18"/>
          <w:lang w:val="it-IT"/>
        </w:rPr>
        <w:t>Tutti i diritti non espressamente concessi sono riservati.</w:t>
      </w:r>
    </w:p>
    <w:p w:rsidR="00DB2D1E" w:rsidRPr="00451078" w:rsidRDefault="00DB2D1E" w:rsidP="00CA52FE">
      <w:pPr>
        <w:rPr>
          <w:lang w:val="it-IT"/>
        </w:rPr>
      </w:pPr>
    </w:p>
    <w:p w:rsidR="00DD7F8E" w:rsidRPr="00451078" w:rsidRDefault="00DD7F8E" w:rsidP="00E77F1E">
      <w:pPr>
        <w:spacing w:after="60"/>
        <w:rPr>
          <w:lang w:val="it-IT"/>
        </w:rPr>
      </w:pPr>
      <w:r w:rsidRPr="00451078">
        <w:rPr>
          <w:b/>
          <w:szCs w:val="18"/>
          <w:lang w:val="it-IT"/>
        </w:rPr>
        <w:t>Garanzie, Dichiarazioni di non Responsabilità e Limitazioni di Responsabilità</w:t>
      </w:r>
    </w:p>
    <w:p w:rsidR="00DD7F8E" w:rsidRPr="009815CF" w:rsidRDefault="00DD7F8E" w:rsidP="00CA52FE">
      <w:pPr>
        <w:ind w:left="360"/>
        <w:rPr>
          <w:szCs w:val="18"/>
          <w:lang w:val="it-IT"/>
        </w:rPr>
      </w:pPr>
      <w:r w:rsidRPr="009815CF">
        <w:rPr>
          <w:rFonts w:cs="Tahoma"/>
          <w:b/>
          <w:color w:val="000000"/>
          <w:szCs w:val="18"/>
          <w:lang w:val="it-IT"/>
        </w:rPr>
        <w:t>Garanzia per i Servizi.</w:t>
      </w:r>
      <w:r w:rsidR="001A3EC5" w:rsidRPr="009815CF">
        <w:rPr>
          <w:rFonts w:cs="Tahoma"/>
          <w:color w:val="000000"/>
          <w:szCs w:val="18"/>
          <w:lang w:val="it-IT"/>
        </w:rPr>
        <w:t xml:space="preserve"> </w:t>
      </w:r>
      <w:r w:rsidRPr="009815CF">
        <w:rPr>
          <w:rFonts w:cs="Tahoma"/>
          <w:color w:val="000000"/>
          <w:szCs w:val="18"/>
          <w:lang w:val="it-IT"/>
        </w:rPr>
        <w:t>Microsoft garantisce che tutti i Servizi verranno eseguiti con cura e competenza professionali.</w:t>
      </w:r>
    </w:p>
    <w:p w:rsidR="00DD7F8E" w:rsidRPr="009815CF" w:rsidRDefault="00DD7F8E" w:rsidP="00CA52FE">
      <w:pPr>
        <w:ind w:left="360"/>
        <w:rPr>
          <w:szCs w:val="18"/>
          <w:lang w:val="it-IT"/>
        </w:rPr>
      </w:pPr>
    </w:p>
    <w:p w:rsidR="00DD7F8E" w:rsidRPr="009815CF" w:rsidRDefault="00DD7F8E" w:rsidP="00CA52FE">
      <w:pPr>
        <w:ind w:left="360"/>
        <w:rPr>
          <w:szCs w:val="18"/>
          <w:lang w:val="it-IT"/>
        </w:rPr>
      </w:pPr>
      <w:r w:rsidRPr="009815CF">
        <w:rPr>
          <w:b/>
          <w:szCs w:val="18"/>
          <w:lang w:val="it-IT"/>
        </w:rPr>
        <w:t>ESCLUSIONE DI ALTRE GARANZIE.</w:t>
      </w:r>
      <w:r w:rsidR="001A3EC5" w:rsidRPr="009815CF">
        <w:rPr>
          <w:szCs w:val="18"/>
          <w:lang w:val="it-IT"/>
        </w:rPr>
        <w:t xml:space="preserve"> </w:t>
      </w:r>
      <w:r w:rsidRPr="009815CF">
        <w:rPr>
          <w:szCs w:val="18"/>
          <w:lang w:val="it-IT"/>
        </w:rPr>
        <w:t>NELLA MISURA MASSIMA CONSENTITA DALLA LEGGE APPLICABILE, MICROSOFT NON RICONOSCE ED ESCLUDE TUTTE LE DICHIARAZIONI, LE GARANZIE E LE CONDIZIONI ESPRESSE, IMPLICITE O DI LEGGE DIVERSE DA QUELLE SPECIFICATAMENTE INDICATE NEL PRESENTE CONTRATTO.</w:t>
      </w:r>
      <w:r w:rsidR="00082E1C" w:rsidRPr="009815CF">
        <w:rPr>
          <w:szCs w:val="18"/>
          <w:lang w:val="it-IT"/>
        </w:rPr>
        <w:t xml:space="preserve"> </w:t>
      </w:r>
      <w:r w:rsidRPr="009815CF">
        <w:rPr>
          <w:szCs w:val="18"/>
          <w:lang w:val="it-IT"/>
        </w:rPr>
        <w:t>LA PRESENTE DICHIARAZIONE DI NON RESPONSABILITÀ INCLUDE QUALSIASI GARANZIA O</w:t>
      </w:r>
      <w:r w:rsidR="00E41669" w:rsidRPr="009815CF">
        <w:rPr>
          <w:szCs w:val="18"/>
          <w:lang w:val="it-IT"/>
        </w:rPr>
        <w:t> </w:t>
      </w:r>
      <w:r w:rsidRPr="009815CF">
        <w:rPr>
          <w:szCs w:val="18"/>
          <w:lang w:val="it-IT"/>
        </w:rPr>
        <w:t>CONDIZIONE DI TITOLARITÀ, DI NON VIOLAZIONE DI DIRITTI ALTRUI, DI QUALITÀ O RISULTATI SODDISFACENTI, DI COMMERCIABILITÀ (QUALITÀ NON INFERIORE ALLA MEDIA) E DI ADEGUATEZZA PER UNO SCOPO SPECIFICO, RELATIVAMENTE A CONSULENZA, RACCOMANDAZIONI, FIX, MATERIALE FORNITO CON I SERVIZI E MATERIALE CORRELATO FORNITO DA MICROSOFT E DA CONSOCIATE, FORNITORI E APPALTATORI MICROSOFT DURANTE L</w:t>
      </w:r>
      <w:r w:rsidR="004525CA">
        <w:rPr>
          <w:szCs w:val="18"/>
          <w:lang w:val="it-IT"/>
        </w:rPr>
        <w:t>’</w:t>
      </w:r>
      <w:r w:rsidRPr="009815CF">
        <w:rPr>
          <w:szCs w:val="18"/>
          <w:lang w:val="it-IT"/>
        </w:rPr>
        <w:t>EROGAZIONE DEI SERVIZI.</w:t>
      </w:r>
      <w:r w:rsidR="00082E1C" w:rsidRPr="009815CF">
        <w:rPr>
          <w:szCs w:val="18"/>
          <w:lang w:val="it-IT"/>
        </w:rPr>
        <w:t xml:space="preserve"> </w:t>
      </w:r>
    </w:p>
    <w:p w:rsidR="00DD7F8E" w:rsidRPr="009815CF" w:rsidRDefault="00DD7F8E" w:rsidP="00CA52FE">
      <w:pPr>
        <w:ind w:left="360"/>
        <w:rPr>
          <w:szCs w:val="18"/>
          <w:lang w:val="it-IT"/>
        </w:rPr>
      </w:pPr>
    </w:p>
    <w:p w:rsidR="00DD7F8E" w:rsidRPr="009815CF" w:rsidRDefault="00DD7F8E" w:rsidP="00CA52FE">
      <w:pPr>
        <w:ind w:left="360"/>
        <w:rPr>
          <w:szCs w:val="18"/>
          <w:lang w:val="it-IT"/>
        </w:rPr>
      </w:pPr>
      <w:r w:rsidRPr="009815CF">
        <w:rPr>
          <w:b/>
          <w:szCs w:val="18"/>
          <w:lang w:val="it-IT"/>
        </w:rPr>
        <w:t>Limitazione di Responsabilità.</w:t>
      </w:r>
      <w:r w:rsidR="001A3EC5" w:rsidRPr="009815CF">
        <w:rPr>
          <w:szCs w:val="18"/>
          <w:lang w:val="it-IT"/>
        </w:rPr>
        <w:t xml:space="preserve"> </w:t>
      </w:r>
      <w:r w:rsidRPr="009815CF">
        <w:rPr>
          <w:szCs w:val="18"/>
          <w:lang w:val="it-IT"/>
        </w:rPr>
        <w:t>La responsabilità complessiva di Microsoft per i danni diretti sarà limitata alla misura massima consentita dalla legge applicabile agli importi versati dalla Società per il pagamento dei Servizi che hanno dato origine al reclamo nei 12 mesi precedenti al reclamo.</w:t>
      </w:r>
      <w:r w:rsidR="00082E1C" w:rsidRPr="009815CF">
        <w:rPr>
          <w:szCs w:val="18"/>
          <w:lang w:val="it-IT"/>
        </w:rPr>
        <w:t xml:space="preserve"> </w:t>
      </w:r>
    </w:p>
    <w:p w:rsidR="00DD7F8E" w:rsidRPr="009815CF" w:rsidRDefault="00DD7F8E" w:rsidP="00CA52FE">
      <w:pPr>
        <w:ind w:left="360"/>
        <w:rPr>
          <w:szCs w:val="18"/>
          <w:lang w:val="it-IT"/>
        </w:rPr>
      </w:pPr>
    </w:p>
    <w:p w:rsidR="00DD7F8E" w:rsidRPr="009815CF" w:rsidRDefault="00DD7F8E" w:rsidP="00CA52FE">
      <w:pPr>
        <w:ind w:left="360"/>
        <w:rPr>
          <w:szCs w:val="18"/>
          <w:lang w:val="it-IT"/>
        </w:rPr>
      </w:pPr>
      <w:r w:rsidRPr="009815CF">
        <w:rPr>
          <w:b/>
          <w:szCs w:val="18"/>
          <w:lang w:val="it-IT"/>
        </w:rPr>
        <w:lastRenderedPageBreak/>
        <w:t>ESCLUSIONE DI RESPONSABILITÀ PER DANNI PARTICOLARI.</w:t>
      </w:r>
      <w:r w:rsidR="001A3EC5" w:rsidRPr="009815CF">
        <w:rPr>
          <w:szCs w:val="18"/>
          <w:lang w:val="it-IT"/>
        </w:rPr>
        <w:t xml:space="preserve"> </w:t>
      </w:r>
      <w:r w:rsidRPr="009815CF">
        <w:rPr>
          <w:szCs w:val="18"/>
          <w:lang w:val="it-IT"/>
        </w:rPr>
        <w:t>NELLA MISURA MASSIMA CONSENTITA DALLA LEGGE APPLICABILE, NESSUNA DELLE PARTI NÉ DELLE RELATIVE CONSOCIATE O DEI RELATIVI FORNITORI O APPALTATORI SARÀ RESPONSABILE DI EVENTUALI DANNI INDIRETTI (INCLUSI, A TITOLO ESEMPLIFICATIVO, DANNI CONSEQUENZIALI, SPECIALI O INCIDENTALI, DANNI PER PERDITA O MANCATO GUADAGNO, INTERRUZIONE DELL</w:t>
      </w:r>
      <w:r w:rsidR="004525CA">
        <w:rPr>
          <w:szCs w:val="18"/>
          <w:lang w:val="it-IT"/>
        </w:rPr>
        <w:t>’</w:t>
      </w:r>
      <w:r w:rsidRPr="009815CF">
        <w:rPr>
          <w:szCs w:val="18"/>
          <w:lang w:val="it-IT"/>
        </w:rPr>
        <w:t>ATTIVITÀ O PERDITA DI INFORMAZIONI) CORRELATI AL PRESENTE CONTRATTO, ANCHE NEL CASO IN CUI LA POSSIBILITÀ DEL VERIFICARSI DI TALI DANNI FOSSE STATA COMUNICATA O FOSSE RAGIONEVOLMENTE PREVEDIBILE.</w:t>
      </w:r>
      <w:r w:rsidR="00082E1C" w:rsidRPr="009815CF">
        <w:rPr>
          <w:szCs w:val="18"/>
          <w:lang w:val="it-IT"/>
        </w:rPr>
        <w:t xml:space="preserve"> </w:t>
      </w:r>
      <w:r w:rsidRPr="009815CF">
        <w:rPr>
          <w:szCs w:val="18"/>
          <w:lang w:val="it-IT"/>
        </w:rPr>
        <w:t>TALE ESCLUSIONE DI RESPONSABILITÀ NON SI</w:t>
      </w:r>
      <w:r w:rsidR="00E41669" w:rsidRPr="009815CF">
        <w:rPr>
          <w:szCs w:val="18"/>
          <w:lang w:val="it-IT"/>
        </w:rPr>
        <w:t> </w:t>
      </w:r>
      <w:r w:rsidRPr="009815CF">
        <w:rPr>
          <w:szCs w:val="18"/>
          <w:lang w:val="it-IT"/>
        </w:rPr>
        <w:t>APPLICA NEL CASO DI INADEMPIMENTO DELLE OBBLIGAZIONI DI RISERVATEZZA DI UNA PARTE NEI</w:t>
      </w:r>
      <w:r w:rsidR="00E41669" w:rsidRPr="009815CF">
        <w:rPr>
          <w:szCs w:val="18"/>
          <w:lang w:val="it-IT"/>
        </w:rPr>
        <w:t> </w:t>
      </w:r>
      <w:r w:rsidRPr="009815CF">
        <w:rPr>
          <w:szCs w:val="18"/>
          <w:lang w:val="it-IT"/>
        </w:rPr>
        <w:t>CONFRONTI DELL</w:t>
      </w:r>
      <w:r w:rsidR="004525CA">
        <w:rPr>
          <w:szCs w:val="18"/>
          <w:lang w:val="it-IT"/>
        </w:rPr>
        <w:t>’</w:t>
      </w:r>
      <w:r w:rsidRPr="009815CF">
        <w:rPr>
          <w:szCs w:val="18"/>
          <w:lang w:val="it-IT"/>
        </w:rPr>
        <w:t>ALTRA O NEL CASO DI VIOLAZIONE DEI DIRITTI DI PROPRIETÀ INTELLETTUALE DELL</w:t>
      </w:r>
      <w:r w:rsidR="004525CA">
        <w:rPr>
          <w:szCs w:val="18"/>
          <w:lang w:val="it-IT"/>
        </w:rPr>
        <w:t>’</w:t>
      </w:r>
      <w:r w:rsidRPr="009815CF">
        <w:rPr>
          <w:szCs w:val="18"/>
          <w:lang w:val="it-IT"/>
        </w:rPr>
        <w:t>ALTRA PARTE.</w:t>
      </w:r>
    </w:p>
    <w:p w:rsidR="00DD7F8E" w:rsidRPr="009815CF" w:rsidRDefault="00DD7F8E" w:rsidP="00CA52FE">
      <w:pPr>
        <w:ind w:left="360" w:hanging="360"/>
        <w:jc w:val="both"/>
        <w:rPr>
          <w:szCs w:val="18"/>
          <w:lang w:val="it-IT"/>
        </w:rPr>
      </w:pPr>
    </w:p>
    <w:p w:rsidR="00DD7F8E" w:rsidRPr="009815CF" w:rsidRDefault="00DD7F8E" w:rsidP="00CA52FE">
      <w:pPr>
        <w:ind w:left="360"/>
        <w:rPr>
          <w:szCs w:val="18"/>
          <w:lang w:val="it-IT"/>
        </w:rPr>
      </w:pPr>
      <w:r w:rsidRPr="009815CF">
        <w:rPr>
          <w:b/>
          <w:szCs w:val="18"/>
          <w:lang w:val="it-IT"/>
        </w:rPr>
        <w:t>Applicazione.</w:t>
      </w:r>
      <w:r w:rsidR="001A3EC5" w:rsidRPr="009815CF">
        <w:rPr>
          <w:szCs w:val="18"/>
          <w:lang w:val="it-IT"/>
        </w:rPr>
        <w:t xml:space="preserve"> </w:t>
      </w:r>
      <w:r w:rsidRPr="009815CF">
        <w:rPr>
          <w:szCs w:val="18"/>
          <w:lang w:val="it-IT"/>
        </w:rPr>
        <w:t>Fatto salvo quanto espressamente indicato nel presente documento, le limitazioni e le esclusioni di responsabilità per danni, contenute nel presente contratto, sono comunque applicabili qualunque sia la natura della responsabilità, ovvero anche nel caso in cui la responsabilità derivi da inadempimento contrattuale, illecito civile (inclusa la negligenza), responsabilità oggettiva o violazione di garanzie.</w:t>
      </w:r>
    </w:p>
    <w:p w:rsidR="00023FE7" w:rsidRPr="00613ECE" w:rsidRDefault="00023FE7">
      <w:pPr>
        <w:rPr>
          <w:sz w:val="2"/>
          <w:szCs w:val="2"/>
          <w:lang w:val="it-IT"/>
        </w:rPr>
      </w:pPr>
      <w:r w:rsidRPr="00613ECE">
        <w:rPr>
          <w:sz w:val="2"/>
          <w:szCs w:val="2"/>
          <w:lang w:val="it-IT"/>
        </w:rPr>
        <w:br w:type="page"/>
      </w:r>
    </w:p>
    <w:p w:rsidR="008A1637" w:rsidRPr="00451078" w:rsidRDefault="008A1637" w:rsidP="00110CE6">
      <w:pPr>
        <w:pStyle w:val="Heading1"/>
        <w:rPr>
          <w:lang w:val="it-IT"/>
        </w:rPr>
      </w:pPr>
      <w:bookmarkStart w:id="979" w:name="_Toc336338249"/>
      <w:bookmarkStart w:id="980" w:name="_Toc352234844"/>
      <w:r w:rsidRPr="00517085">
        <w:lastRenderedPageBreak/>
        <w:t>ARTICOLO</w:t>
      </w:r>
      <w:r w:rsidRPr="00451078">
        <w:rPr>
          <w:lang w:val="it-IT"/>
        </w:rPr>
        <w:t xml:space="preserve"> 9 - Condizioni Aggiuntive</w:t>
      </w:r>
      <w:bookmarkEnd w:id="979"/>
      <w:bookmarkEnd w:id="980"/>
    </w:p>
    <w:p w:rsidR="008A1637" w:rsidRPr="00EF3B87" w:rsidRDefault="008A1637" w:rsidP="000C2842">
      <w:pPr>
        <w:pStyle w:val="Heading1"/>
        <w:rPr>
          <w:sz w:val="18"/>
          <w:szCs w:val="18"/>
        </w:rPr>
      </w:pPr>
    </w:p>
    <w:p w:rsidR="008A1637" w:rsidRPr="00451078" w:rsidRDefault="008A1637" w:rsidP="008A1637">
      <w:pPr>
        <w:pStyle w:val="Heading3"/>
        <w:ind w:left="800" w:right="720" w:hanging="800"/>
        <w:rPr>
          <w:lang w:val="it-IT"/>
        </w:rPr>
      </w:pPr>
      <w:bookmarkStart w:id="981" w:name="_Toc323159781"/>
      <w:bookmarkStart w:id="982" w:name="_Toc336338250"/>
      <w:bookmarkStart w:id="983" w:name="_Toc352234845"/>
      <w:r w:rsidRPr="00451078">
        <w:rPr>
          <w:rFonts w:ascii="Tahoma" w:eastAsia="Times New Roman" w:hAnsi="Tahoma" w:cs="Tahoma"/>
          <w:color w:val="000000"/>
          <w:sz w:val="24"/>
          <w:szCs w:val="22"/>
          <w:lang w:val="it-IT"/>
        </w:rPr>
        <w:t>Client Access Licenses (CAL) e Licenze di Gestione Client (ML)</w:t>
      </w:r>
      <w:bookmarkEnd w:id="981"/>
      <w:bookmarkEnd w:id="982"/>
      <w:bookmarkEnd w:id="983"/>
    </w:p>
    <w:p w:rsidR="008A1637" w:rsidRPr="00451078" w:rsidRDefault="008A1637" w:rsidP="008A1637">
      <w:pPr>
        <w:pStyle w:val="AppendixFlushBulletedList"/>
        <w:tabs>
          <w:tab w:val="clear" w:pos="360"/>
        </w:tabs>
        <w:ind w:left="720" w:right="720" w:firstLine="0"/>
        <w:rPr>
          <w:lang w:val="it-IT"/>
        </w:rPr>
      </w:pPr>
    </w:p>
    <w:p w:rsidR="008A1637" w:rsidRPr="00451078" w:rsidRDefault="008A1637" w:rsidP="00745AB3">
      <w:pPr>
        <w:pStyle w:val="AppendixFlushBulletedList"/>
        <w:numPr>
          <w:ilvl w:val="0"/>
          <w:numId w:val="78"/>
        </w:numPr>
        <w:ind w:left="1440" w:right="720"/>
        <w:rPr>
          <w:lang w:val="it-IT"/>
        </w:rPr>
      </w:pPr>
      <w:r w:rsidRPr="00451078">
        <w:rPr>
          <w:rFonts w:ascii="Tahoma" w:hAnsi="Tahoma" w:cs="Tahoma"/>
          <w:b/>
          <w:bCs/>
          <w:color w:val="000000"/>
          <w:sz w:val="18"/>
          <w:szCs w:val="18"/>
          <w:lang w:val="it-IT"/>
        </w:rPr>
        <w:t>Transizione tra User CAL e CAL per Dispositivo</w:t>
      </w:r>
    </w:p>
    <w:p w:rsidR="008A1637" w:rsidRPr="00451078" w:rsidRDefault="008A1637" w:rsidP="00745AB3">
      <w:pPr>
        <w:pStyle w:val="AppendixBodyText"/>
        <w:numPr>
          <w:ilvl w:val="0"/>
          <w:numId w:val="79"/>
        </w:numPr>
        <w:spacing w:afterLines="60" w:after="144"/>
        <w:ind w:left="1800" w:right="720"/>
        <w:rPr>
          <w:lang w:val="it-IT"/>
        </w:rPr>
      </w:pPr>
      <w:r w:rsidRPr="00451078">
        <w:rPr>
          <w:rFonts w:ascii="Tahoma" w:hAnsi="Tahoma" w:cs="Tahoma"/>
          <w:color w:val="000000"/>
          <w:sz w:val="18"/>
          <w:szCs w:val="18"/>
          <w:lang w:val="it-IT"/>
        </w:rPr>
        <w:t>Le società con Software Assurance attiva per le CAL possono passare da Utente a</w:t>
      </w:r>
      <w:r w:rsidR="00EF3B87" w:rsidRPr="00451078">
        <w:rPr>
          <w:rFonts w:ascii="Tahoma" w:hAnsi="Tahoma" w:cs="Tahoma"/>
          <w:color w:val="000000"/>
          <w:sz w:val="18"/>
          <w:szCs w:val="18"/>
          <w:lang w:val="it-IT"/>
        </w:rPr>
        <w:t> </w:t>
      </w:r>
      <w:r w:rsidRPr="00451078">
        <w:rPr>
          <w:rFonts w:ascii="Tahoma" w:hAnsi="Tahoma" w:cs="Tahoma"/>
          <w:color w:val="000000"/>
          <w:sz w:val="18"/>
          <w:szCs w:val="18"/>
          <w:lang w:val="it-IT"/>
        </w:rPr>
        <w:t>Dispositivo e viceversa quando effettuano il rinnovo della loro copertura Software Assurance. Tale transizione non cambia l</w:t>
      </w:r>
      <w:r w:rsidR="004525CA">
        <w:rPr>
          <w:rFonts w:ascii="Tahoma" w:hAnsi="Tahoma" w:cs="Tahoma"/>
          <w:color w:val="000000"/>
          <w:sz w:val="18"/>
          <w:szCs w:val="18"/>
          <w:lang w:val="it-IT"/>
        </w:rPr>
        <w:t>’</w:t>
      </w:r>
      <w:r w:rsidRPr="00451078">
        <w:rPr>
          <w:rFonts w:ascii="Tahoma" w:hAnsi="Tahoma" w:cs="Tahoma"/>
          <w:color w:val="000000"/>
          <w:sz w:val="18"/>
          <w:szCs w:val="18"/>
          <w:lang w:val="it-IT"/>
        </w:rPr>
        <w:t xml:space="preserve">edizione della CAL (ad esempio, da Standard a Enterprise). Fare riferimento alle Note del Prodotto per informazioni sui singoli prodotti </w:t>
      </w:r>
    </w:p>
    <w:p w:rsidR="008A1637" w:rsidRPr="00451078" w:rsidRDefault="008A1637" w:rsidP="00745AB3">
      <w:pPr>
        <w:pStyle w:val="AppendixFlushBulletedList"/>
        <w:numPr>
          <w:ilvl w:val="0"/>
          <w:numId w:val="78"/>
        </w:numPr>
        <w:ind w:left="1440" w:right="720"/>
        <w:rPr>
          <w:lang w:val="it-IT"/>
        </w:rPr>
      </w:pPr>
      <w:r w:rsidRPr="00451078">
        <w:rPr>
          <w:rFonts w:ascii="Tahoma" w:hAnsi="Tahoma" w:cs="Tahoma"/>
          <w:b/>
          <w:bCs/>
          <w:color w:val="000000"/>
          <w:sz w:val="18"/>
          <w:szCs w:val="18"/>
          <w:lang w:val="it-IT"/>
        </w:rPr>
        <w:t>Transizione tra client ML per Utente e per OSE</w:t>
      </w:r>
    </w:p>
    <w:p w:rsidR="008A1637" w:rsidRPr="00451078" w:rsidRDefault="008A1637" w:rsidP="00745AB3">
      <w:pPr>
        <w:pStyle w:val="AppendixBodyText"/>
        <w:numPr>
          <w:ilvl w:val="0"/>
          <w:numId w:val="79"/>
        </w:numPr>
        <w:spacing w:afterLines="60" w:after="144"/>
        <w:ind w:left="1800" w:right="720"/>
        <w:rPr>
          <w:lang w:val="it-IT"/>
        </w:rPr>
      </w:pPr>
      <w:r w:rsidRPr="00451078">
        <w:rPr>
          <w:rFonts w:ascii="Tahoma" w:hAnsi="Tahoma" w:cs="Tahoma"/>
          <w:color w:val="000000"/>
          <w:sz w:val="18"/>
          <w:szCs w:val="18"/>
          <w:lang w:val="it-IT"/>
        </w:rPr>
        <w:t>Le società con Software Assurance attiva per le client ML possono passare da Utente a OSE e viceversa quando effettuano il rinnovo della loro copertura Software Assurance. Fare riferimento alle Note del Prodotto per inf</w:t>
      </w:r>
      <w:r w:rsidR="00EF3B87" w:rsidRPr="00451078">
        <w:rPr>
          <w:rFonts w:ascii="Tahoma" w:hAnsi="Tahoma" w:cs="Tahoma"/>
          <w:color w:val="000000"/>
          <w:sz w:val="18"/>
          <w:szCs w:val="18"/>
          <w:lang w:val="it-IT"/>
        </w:rPr>
        <w:t>ormazioni sui singoli prodotti.</w:t>
      </w:r>
    </w:p>
    <w:p w:rsidR="008A1637" w:rsidRPr="003410C7" w:rsidRDefault="008A1637" w:rsidP="00745AB3">
      <w:pPr>
        <w:pStyle w:val="AppendixFlushBulletedList"/>
        <w:numPr>
          <w:ilvl w:val="0"/>
          <w:numId w:val="78"/>
        </w:numPr>
        <w:ind w:left="1440" w:right="720"/>
      </w:pPr>
      <w:r w:rsidRPr="003410C7">
        <w:rPr>
          <w:rFonts w:ascii="Tahoma" w:hAnsi="Tahoma" w:cs="Tahoma"/>
          <w:b/>
          <w:bCs/>
          <w:color w:val="000000"/>
          <w:sz w:val="18"/>
          <w:szCs w:val="18"/>
        </w:rPr>
        <w:t>In fase di rinnovo</w:t>
      </w:r>
    </w:p>
    <w:p w:rsidR="008A1637" w:rsidRPr="004525CA" w:rsidRDefault="008A1637" w:rsidP="00745AB3">
      <w:pPr>
        <w:pStyle w:val="AppendixBodyText"/>
        <w:numPr>
          <w:ilvl w:val="0"/>
          <w:numId w:val="79"/>
        </w:numPr>
        <w:spacing w:afterLines="60" w:after="144"/>
        <w:ind w:left="1800" w:right="720"/>
        <w:rPr>
          <w:lang w:val="it-IT"/>
        </w:rPr>
      </w:pPr>
      <w:r w:rsidRPr="00451078">
        <w:rPr>
          <w:rFonts w:ascii="Tahoma" w:hAnsi="Tahoma" w:cs="Tahoma"/>
          <w:color w:val="000000"/>
          <w:sz w:val="18"/>
          <w:szCs w:val="18"/>
          <w:lang w:val="it-IT"/>
        </w:rPr>
        <w:t>Nel caso in cui siano disponibili sia User CAL che CAL per Dispositivo, le società potranno rinnovare Software Assurance per entrambi i tipi. I diritti di utilizzo del prodotto per il tipo di licenze CAL per il quale è stata ordinata la copertura Software Assurance determinano la modalità di assegnazione e uso delle licenze CAL. Le società che hanno effettuato l</w:t>
      </w:r>
      <w:r w:rsidR="004525CA">
        <w:rPr>
          <w:rFonts w:ascii="Tahoma" w:hAnsi="Tahoma" w:cs="Tahoma"/>
          <w:color w:val="000000"/>
          <w:sz w:val="18"/>
          <w:szCs w:val="18"/>
          <w:lang w:val="it-IT"/>
        </w:rPr>
        <w:t>’</w:t>
      </w:r>
      <w:r w:rsidRPr="00451078">
        <w:rPr>
          <w:rFonts w:ascii="Tahoma" w:hAnsi="Tahoma" w:cs="Tahoma"/>
          <w:color w:val="000000"/>
          <w:sz w:val="18"/>
          <w:szCs w:val="18"/>
          <w:lang w:val="it-IT"/>
        </w:rPr>
        <w:t>Iscrizione Enterprise e che scelgono di ordinare Software Assurance per le User CAL potranno acquistare le licenze CAL sulla base del loro numero di utenti. </w:t>
      </w:r>
      <w:r w:rsidRPr="004525CA">
        <w:rPr>
          <w:rFonts w:ascii="Tahoma" w:hAnsi="Tahoma" w:cs="Tahoma"/>
          <w:color w:val="000000"/>
          <w:sz w:val="18"/>
          <w:szCs w:val="18"/>
          <w:lang w:val="it-IT"/>
        </w:rPr>
        <w:t xml:space="preserve">Fare riferimento alle note per informazioni sui singoli prodotti. </w:t>
      </w:r>
    </w:p>
    <w:p w:rsidR="008A1637" w:rsidRPr="003410C7" w:rsidRDefault="008A1637" w:rsidP="00745AB3">
      <w:pPr>
        <w:pStyle w:val="AppendixFlushBulletedList"/>
        <w:numPr>
          <w:ilvl w:val="0"/>
          <w:numId w:val="78"/>
        </w:numPr>
        <w:ind w:left="1440" w:right="720"/>
      </w:pPr>
      <w:r w:rsidRPr="003410C7">
        <w:rPr>
          <w:rFonts w:ascii="Tahoma" w:hAnsi="Tahoma" w:cs="Tahoma"/>
          <w:b/>
          <w:bCs/>
          <w:color w:val="000000"/>
          <w:sz w:val="18"/>
          <w:szCs w:val="18"/>
        </w:rPr>
        <w:t>CAL in Eccedenza</w:t>
      </w:r>
    </w:p>
    <w:p w:rsidR="008A1637" w:rsidRPr="00451078" w:rsidRDefault="008A1637" w:rsidP="00745AB3">
      <w:pPr>
        <w:pStyle w:val="AppendixBodyText"/>
        <w:numPr>
          <w:ilvl w:val="0"/>
          <w:numId w:val="79"/>
        </w:numPr>
        <w:spacing w:afterLines="60" w:after="144"/>
        <w:ind w:left="1800" w:right="720"/>
        <w:rPr>
          <w:lang w:val="it-IT"/>
        </w:rPr>
      </w:pPr>
      <w:r w:rsidRPr="00451078">
        <w:rPr>
          <w:rFonts w:ascii="Tahoma" w:hAnsi="Tahoma" w:cs="Tahoma"/>
          <w:color w:val="000000"/>
          <w:sz w:val="18"/>
          <w:szCs w:val="18"/>
          <w:lang w:val="it-IT"/>
        </w:rPr>
        <w:t>La transizione tra User CAL e CAL per Dispositivo, nella modalità consentita sopra, potrebbe dar luogo a un</w:t>
      </w:r>
      <w:r w:rsidR="004525CA">
        <w:rPr>
          <w:rFonts w:ascii="Tahoma" w:hAnsi="Tahoma" w:cs="Tahoma"/>
          <w:color w:val="000000"/>
          <w:sz w:val="18"/>
          <w:szCs w:val="18"/>
          <w:lang w:val="it-IT"/>
        </w:rPr>
        <w:t>’</w:t>
      </w:r>
      <w:r w:rsidRPr="00451078">
        <w:rPr>
          <w:rFonts w:ascii="Tahoma" w:hAnsi="Tahoma" w:cs="Tahoma"/>
          <w:color w:val="000000"/>
          <w:sz w:val="18"/>
          <w:szCs w:val="18"/>
          <w:lang w:val="it-IT"/>
        </w:rPr>
        <w:t xml:space="preserve">eccedenza di CAL. Le società potranno riassegnare le CAL in eccedenza quando il loro numero di utenti o dispositivi crescerà. In fase di rinnovo le società potranno scegliere di tenere Software Assurance per le CAL in eccedenza. Le società non potranno rinnovare successivamente Software Assurance per le CAL in eccedenza, per le quali è scaduta la copertura. </w:t>
      </w:r>
    </w:p>
    <w:p w:rsidR="008A1637" w:rsidRPr="003410C7" w:rsidRDefault="008A1637" w:rsidP="00745AB3">
      <w:pPr>
        <w:pStyle w:val="AppendixFlushBulletedList"/>
        <w:numPr>
          <w:ilvl w:val="0"/>
          <w:numId w:val="78"/>
        </w:numPr>
        <w:ind w:left="1440" w:right="720"/>
      </w:pPr>
      <w:r w:rsidRPr="003410C7">
        <w:rPr>
          <w:rFonts w:ascii="Tahoma" w:hAnsi="Tahoma" w:cs="Tahoma"/>
          <w:b/>
          <w:bCs/>
          <w:color w:val="000000"/>
          <w:sz w:val="18"/>
          <w:szCs w:val="18"/>
        </w:rPr>
        <w:t>ML in Eccedenza</w:t>
      </w:r>
    </w:p>
    <w:p w:rsidR="008A1637" w:rsidRPr="00451078" w:rsidRDefault="008A1637" w:rsidP="00745AB3">
      <w:pPr>
        <w:pStyle w:val="AppendixBodyText"/>
        <w:numPr>
          <w:ilvl w:val="0"/>
          <w:numId w:val="79"/>
        </w:numPr>
        <w:spacing w:afterLines="60" w:after="144"/>
        <w:ind w:left="1800" w:right="720"/>
        <w:rPr>
          <w:lang w:val="it-IT"/>
        </w:rPr>
      </w:pPr>
      <w:r w:rsidRPr="00451078">
        <w:rPr>
          <w:rFonts w:ascii="Tahoma" w:hAnsi="Tahoma" w:cs="Tahoma"/>
          <w:color w:val="000000"/>
          <w:sz w:val="18"/>
          <w:szCs w:val="18"/>
          <w:lang w:val="it-IT"/>
        </w:rPr>
        <w:t>La transizione tra client ML per Utente e per OSE, nella modalità consentita sopra, potrebbe dar luogo a un</w:t>
      </w:r>
      <w:r w:rsidR="004525CA">
        <w:rPr>
          <w:rFonts w:ascii="Tahoma" w:hAnsi="Tahoma" w:cs="Tahoma"/>
          <w:color w:val="000000"/>
          <w:sz w:val="18"/>
          <w:szCs w:val="18"/>
          <w:lang w:val="it-IT"/>
        </w:rPr>
        <w:t>’</w:t>
      </w:r>
      <w:r w:rsidRPr="00451078">
        <w:rPr>
          <w:rFonts w:ascii="Tahoma" w:hAnsi="Tahoma" w:cs="Tahoma"/>
          <w:color w:val="000000"/>
          <w:sz w:val="18"/>
          <w:szCs w:val="18"/>
          <w:lang w:val="it-IT"/>
        </w:rPr>
        <w:t xml:space="preserve">eccedenza di ML. Le società potranno riassegnare le ML in eccedenza quando il loro numero di utenti o di OSE gestiti crescerà. In fase di rinnovo le società potranno scegliere di tenere Software Assurance per le ML in eccedenza. Le società non potranno rinnovare successivamente Software Assurance per le ML in eccedenza, per le quali è scaduta la copertura. </w:t>
      </w:r>
    </w:p>
    <w:p w:rsidR="008A1637" w:rsidRPr="003410C7" w:rsidRDefault="008A1637" w:rsidP="00745AB3">
      <w:pPr>
        <w:pStyle w:val="AppendixFlushBulletedList"/>
        <w:numPr>
          <w:ilvl w:val="0"/>
          <w:numId w:val="78"/>
        </w:numPr>
        <w:ind w:left="1440" w:right="720"/>
      </w:pPr>
      <w:r w:rsidRPr="003410C7">
        <w:rPr>
          <w:rFonts w:ascii="Tahoma" w:hAnsi="Tahoma" w:cs="Tahoma"/>
          <w:b/>
          <w:bCs/>
          <w:color w:val="000000"/>
          <w:sz w:val="18"/>
          <w:szCs w:val="18"/>
        </w:rPr>
        <w:t>Prova di Licenze</w:t>
      </w:r>
    </w:p>
    <w:p w:rsidR="007022C1" w:rsidRPr="00451078" w:rsidRDefault="008A1637" w:rsidP="00745AB3">
      <w:pPr>
        <w:pStyle w:val="AppendixBodyText"/>
        <w:numPr>
          <w:ilvl w:val="0"/>
          <w:numId w:val="79"/>
        </w:numPr>
        <w:spacing w:after="0"/>
        <w:ind w:left="1800" w:right="720"/>
        <w:rPr>
          <w:lang w:val="it-IT"/>
        </w:rPr>
      </w:pPr>
      <w:r w:rsidRPr="00451078">
        <w:rPr>
          <w:rFonts w:ascii="Tahoma" w:hAnsi="Tahoma" w:cs="Tahoma"/>
          <w:color w:val="000000"/>
          <w:sz w:val="18"/>
          <w:szCs w:val="18"/>
          <w:lang w:val="it-IT"/>
        </w:rPr>
        <w:t>Il diritto di migrare alle User CAL e di utilizzarle è evidenziato nella presente Lista dei Prodotti, nelle documentazioni relative a Software Assurance delle società e nelle CAL</w:t>
      </w:r>
      <w:r w:rsidR="00EF3B87" w:rsidRPr="00451078">
        <w:rPr>
          <w:rFonts w:ascii="Tahoma" w:hAnsi="Tahoma" w:cs="Tahoma"/>
          <w:color w:val="000000"/>
          <w:sz w:val="18"/>
          <w:szCs w:val="18"/>
          <w:lang w:val="it-IT"/>
        </w:rPr>
        <w:t> </w:t>
      </w:r>
      <w:r w:rsidRPr="00451078">
        <w:rPr>
          <w:rFonts w:ascii="Tahoma" w:hAnsi="Tahoma" w:cs="Tahoma"/>
          <w:color w:val="000000"/>
          <w:sz w:val="18"/>
          <w:szCs w:val="18"/>
          <w:lang w:val="it-IT"/>
        </w:rPr>
        <w:t>sottostanti. Il diritto di migrare alle User ML e di utilizzarle è evidenziato nella presente Lista dei Prodotti, nelle documentazioni relative a Software Assurance delle società e nelle ML sottostanti.</w:t>
      </w:r>
    </w:p>
    <w:p w:rsidR="007022C1" w:rsidRPr="00451078" w:rsidRDefault="007022C1" w:rsidP="00944EE1">
      <w:pPr>
        <w:pStyle w:val="AppendixBodyText"/>
        <w:spacing w:after="0"/>
        <w:ind w:right="720"/>
        <w:rPr>
          <w:lang w:val="it-IT"/>
        </w:rPr>
      </w:pPr>
    </w:p>
    <w:p w:rsidR="008A1637" w:rsidRPr="00451078" w:rsidRDefault="008A1637" w:rsidP="008A1637">
      <w:pPr>
        <w:pStyle w:val="Heading3"/>
        <w:ind w:right="720"/>
        <w:rPr>
          <w:lang w:val="it-IT"/>
        </w:rPr>
      </w:pPr>
      <w:bookmarkStart w:id="984" w:name="_Toc323159782"/>
      <w:bookmarkStart w:id="985" w:name="_Toc336338251"/>
      <w:bookmarkStart w:id="986" w:name="_Toc352234846"/>
      <w:r w:rsidRPr="00451078">
        <w:rPr>
          <w:rFonts w:ascii="Tahoma" w:hAnsi="Tahoma" w:cs="Tahoma"/>
          <w:sz w:val="24"/>
          <w:szCs w:val="22"/>
          <w:lang w:val="it-IT"/>
        </w:rPr>
        <w:t>Limitazioni dei Controlli EI</w:t>
      </w:r>
      <w:bookmarkEnd w:id="984"/>
      <w:bookmarkEnd w:id="985"/>
      <w:bookmarkEnd w:id="986"/>
    </w:p>
    <w:p w:rsidR="008A1637" w:rsidRPr="00451078" w:rsidRDefault="008A1637" w:rsidP="008A1637">
      <w:pPr>
        <w:ind w:right="720"/>
        <w:rPr>
          <w:lang w:val="it-IT"/>
        </w:rPr>
      </w:pPr>
    </w:p>
    <w:p w:rsidR="008A1637" w:rsidRPr="003732BC" w:rsidRDefault="008A1637" w:rsidP="008A1637">
      <w:pPr>
        <w:pStyle w:val="AppendixBodyText"/>
        <w:ind w:right="720"/>
        <w:rPr>
          <w:rFonts w:ascii="Tahoma" w:hAnsi="Tahoma" w:cs="Tahoma"/>
          <w:sz w:val="18"/>
          <w:szCs w:val="18"/>
          <w:lang w:val="it-IT"/>
        </w:rPr>
      </w:pPr>
      <w:r w:rsidRPr="003732BC">
        <w:rPr>
          <w:rFonts w:ascii="Tahoma" w:hAnsi="Tahoma" w:cs="Tahoma"/>
          <w:sz w:val="18"/>
          <w:szCs w:val="18"/>
          <w:lang w:val="it-IT"/>
        </w:rPr>
        <w:t>L</w:t>
      </w:r>
      <w:r w:rsidR="004525CA">
        <w:rPr>
          <w:rFonts w:ascii="Tahoma" w:hAnsi="Tahoma" w:cs="Tahoma"/>
          <w:sz w:val="18"/>
          <w:szCs w:val="18"/>
          <w:lang w:val="it-IT"/>
        </w:rPr>
        <w:t>’</w:t>
      </w:r>
      <w:r w:rsidRPr="003732BC">
        <w:rPr>
          <w:rFonts w:ascii="Tahoma" w:hAnsi="Tahoma" w:cs="Tahoma"/>
          <w:sz w:val="18"/>
          <w:szCs w:val="18"/>
          <w:lang w:val="it-IT"/>
        </w:rPr>
        <w:t xml:space="preserve">esportazione di alcuni prodotti Microsoft dagli Stati Uniti è regolata ai sensi dei </w:t>
      </w:r>
      <w:r w:rsidR="001A3EC5" w:rsidRPr="003732BC">
        <w:rPr>
          <w:rFonts w:ascii="Tahoma" w:hAnsi="Tahoma" w:cs="Tahoma"/>
          <w:sz w:val="18"/>
          <w:szCs w:val="18"/>
          <w:lang w:val="it-IT"/>
        </w:rPr>
        <w:t>“</w:t>
      </w:r>
      <w:r w:rsidRPr="003732BC">
        <w:rPr>
          <w:rFonts w:ascii="Tahoma" w:hAnsi="Tahoma" w:cs="Tahoma"/>
          <w:sz w:val="18"/>
          <w:szCs w:val="18"/>
          <w:lang w:val="it-IT"/>
        </w:rPr>
        <w:t>Controlli EI</w:t>
      </w:r>
      <w:r w:rsidR="001A3EC5" w:rsidRPr="003732BC">
        <w:rPr>
          <w:rFonts w:ascii="Tahoma" w:hAnsi="Tahoma" w:cs="Tahoma"/>
          <w:sz w:val="18"/>
          <w:szCs w:val="18"/>
          <w:lang w:val="it-IT"/>
        </w:rPr>
        <w:t>”</w:t>
      </w:r>
      <w:r w:rsidRPr="003732BC">
        <w:rPr>
          <w:rFonts w:ascii="Tahoma" w:hAnsi="Tahoma" w:cs="Tahoma"/>
          <w:sz w:val="18"/>
          <w:szCs w:val="18"/>
          <w:lang w:val="it-IT"/>
        </w:rPr>
        <w:t xml:space="preserve"> dell</w:t>
      </w:r>
      <w:r w:rsidR="004525CA">
        <w:rPr>
          <w:rFonts w:ascii="Tahoma" w:hAnsi="Tahoma" w:cs="Tahoma"/>
          <w:sz w:val="18"/>
          <w:szCs w:val="18"/>
          <w:lang w:val="it-IT"/>
        </w:rPr>
        <w:t>’</w:t>
      </w:r>
      <w:r w:rsidRPr="003732BC">
        <w:rPr>
          <w:rFonts w:ascii="Tahoma" w:hAnsi="Tahoma" w:cs="Tahoma"/>
          <w:sz w:val="18"/>
          <w:szCs w:val="18"/>
          <w:lang w:val="it-IT"/>
        </w:rPr>
        <w:t xml:space="preserve">Export Administration Regulations (EAR, 15 CFR 730-744) del Commerce Department, Bureau of Export Administration (BXA) degli Stati Uniti. Per ulteriori informazioni, visitare la pagina: </w:t>
      </w:r>
      <w:hyperlink r:id="rId36" w:history="1">
        <w:r w:rsidRPr="003732BC">
          <w:rPr>
            <w:rStyle w:val="Hyperlink"/>
            <w:rFonts w:ascii="Tahoma" w:hAnsi="Tahoma" w:cs="Tahoma"/>
            <w:sz w:val="18"/>
            <w:szCs w:val="18"/>
            <w:lang w:val="it-IT"/>
          </w:rPr>
          <w:t>www.microsoft.com/products/exporting/basics.htm</w:t>
        </w:r>
      </w:hyperlink>
    </w:p>
    <w:p w:rsidR="008A1637" w:rsidRPr="00451078" w:rsidRDefault="008A1637" w:rsidP="008A1637">
      <w:pPr>
        <w:rPr>
          <w:lang w:val="it-IT"/>
        </w:rPr>
      </w:pPr>
    </w:p>
    <w:p w:rsidR="00AC11F4" w:rsidRDefault="00AC11F4" w:rsidP="00944EE1">
      <w:pPr>
        <w:pStyle w:val="Heading3"/>
        <w:spacing w:after="60"/>
        <w:ind w:right="720"/>
        <w:rPr>
          <w:rFonts w:ascii="Tahoma" w:hAnsi="Tahoma" w:cs="Tahoma"/>
          <w:bCs/>
          <w:lang w:val="it-IT"/>
        </w:rPr>
      </w:pPr>
      <w:bookmarkStart w:id="987" w:name="_Toc323159783"/>
      <w:bookmarkStart w:id="988" w:name="_Toc336338252"/>
    </w:p>
    <w:p w:rsidR="008A1637" w:rsidRPr="00451078" w:rsidRDefault="008A1637" w:rsidP="00944EE1">
      <w:pPr>
        <w:pStyle w:val="Heading3"/>
        <w:spacing w:after="60"/>
        <w:ind w:right="720"/>
        <w:rPr>
          <w:lang w:val="it-IT"/>
        </w:rPr>
      </w:pPr>
      <w:bookmarkStart w:id="989" w:name="_Toc352234847"/>
      <w:r w:rsidRPr="00451078">
        <w:rPr>
          <w:rFonts w:ascii="Tahoma" w:hAnsi="Tahoma" w:cs="Tahoma"/>
          <w:bCs/>
          <w:lang w:val="it-IT"/>
        </w:rPr>
        <w:lastRenderedPageBreak/>
        <w:t>Multilanguage Pack (MLP), Funzionalità Multilanguage User Interface (MUI) e Nuovi Diritti sulle Lingue</w:t>
      </w:r>
      <w:bookmarkEnd w:id="987"/>
      <w:bookmarkEnd w:id="988"/>
      <w:bookmarkEnd w:id="989"/>
    </w:p>
    <w:p w:rsidR="008A1637" w:rsidRPr="00451078" w:rsidRDefault="008A1637" w:rsidP="008A1637">
      <w:pPr>
        <w:rPr>
          <w:lang w:val="it-IT"/>
        </w:rPr>
      </w:pPr>
      <w:r w:rsidRPr="00451078">
        <w:rPr>
          <w:lang w:val="it-IT"/>
        </w:rPr>
        <w:t>Le funzionalità MLP e MUI consentono alle società di eseguire e alternare versioni in lingua diversa di prodotti con licenza. Il diritto di utilizzare entrambi varia in base al tipo di prodotto, programma e licenza.</w:t>
      </w:r>
      <w:r w:rsidR="00082E1C" w:rsidRPr="00451078">
        <w:rPr>
          <w:lang w:val="it-IT"/>
        </w:rPr>
        <w:t xml:space="preserve"> </w:t>
      </w:r>
    </w:p>
    <w:p w:rsidR="008A1637" w:rsidRPr="00451078" w:rsidRDefault="008A1637" w:rsidP="008A1637">
      <w:pPr>
        <w:pStyle w:val="Heading3"/>
        <w:ind w:right="720"/>
        <w:rPr>
          <w:rFonts w:ascii="Tahoma" w:hAnsi="Tahoma" w:cs="Tahoma"/>
          <w:b w:val="0"/>
          <w:sz w:val="18"/>
          <w:szCs w:val="18"/>
          <w:lang w:val="it-IT"/>
        </w:rPr>
      </w:pPr>
    </w:p>
    <w:p w:rsidR="008A1637" w:rsidRPr="00451078" w:rsidRDefault="008A1637" w:rsidP="007022C1">
      <w:pPr>
        <w:numPr>
          <w:ilvl w:val="0"/>
          <w:numId w:val="17"/>
        </w:numPr>
        <w:tabs>
          <w:tab w:val="left" w:pos="1440"/>
        </w:tabs>
        <w:spacing w:after="60"/>
        <w:rPr>
          <w:lang w:val="it-IT"/>
        </w:rPr>
      </w:pPr>
      <w:r w:rsidRPr="00451078">
        <w:rPr>
          <w:lang w:val="it-IT"/>
        </w:rPr>
        <w:t>Per la maggior parte dei prodotti server, ad esempio Windows Server, la funzionalità MUI è inclusa nel prodotto base. Le società che ottengono in licenza tali prodotti potranno utilizzare tale funzionalità in conformità ai diritti sull</w:t>
      </w:r>
      <w:r w:rsidR="004525CA">
        <w:rPr>
          <w:lang w:val="it-IT"/>
        </w:rPr>
        <w:t>’</w:t>
      </w:r>
      <w:r w:rsidRPr="00451078">
        <w:rPr>
          <w:lang w:val="it-IT"/>
        </w:rPr>
        <w:t>utilizzo per tali prodotti.</w:t>
      </w:r>
      <w:r w:rsidR="00082E1C" w:rsidRPr="00451078">
        <w:rPr>
          <w:lang w:val="it-IT"/>
        </w:rPr>
        <w:t xml:space="preserve"> </w:t>
      </w:r>
    </w:p>
    <w:p w:rsidR="008A1637" w:rsidRPr="00451078" w:rsidRDefault="008A1637" w:rsidP="007022C1">
      <w:pPr>
        <w:numPr>
          <w:ilvl w:val="0"/>
          <w:numId w:val="17"/>
        </w:numPr>
        <w:tabs>
          <w:tab w:val="left" w:pos="1440"/>
        </w:tabs>
        <w:spacing w:after="60"/>
        <w:rPr>
          <w:lang w:val="it-IT"/>
        </w:rPr>
      </w:pPr>
      <w:r w:rsidRPr="00451078">
        <w:rPr>
          <w:lang w:val="it-IT"/>
        </w:rPr>
        <w:t>Nel caso dei prodotti Office System, che non siano server, e delle famiglie di prodotti, a partire dal 1 ottobre 2008 il diritto di utilizzare la funzionalità MLP è disponibile per le società con copertura Software Assurance attiva sulle licenze qualificanti (per dettagli consultare l</w:t>
      </w:r>
      <w:r w:rsidR="004525CA">
        <w:rPr>
          <w:lang w:val="it-IT"/>
        </w:rPr>
        <w:t>’</w:t>
      </w:r>
      <w:r w:rsidRPr="00451078">
        <w:rPr>
          <w:lang w:val="it-IT"/>
        </w:rPr>
        <w:t xml:space="preserve">Articolo 6). Ai sensi di alcuni programmi, ad esempio Select, i pacchetti MLP per i prodotti e le famiglie di prodotti Office System continuano a essere disponibili separatamente al di fuori della copertura Software Assurance. </w:t>
      </w:r>
    </w:p>
    <w:p w:rsidR="008A1637" w:rsidRPr="00451078" w:rsidRDefault="008A1637" w:rsidP="007022C1">
      <w:pPr>
        <w:numPr>
          <w:ilvl w:val="0"/>
          <w:numId w:val="17"/>
        </w:numPr>
        <w:spacing w:after="60"/>
        <w:rPr>
          <w:lang w:val="it-IT"/>
        </w:rPr>
      </w:pPr>
      <w:r w:rsidRPr="00451078">
        <w:rPr>
          <w:lang w:val="it-IT"/>
        </w:rPr>
        <w:t>Nel caso di Windows 8 la funzionalità MUI è inclusa nella versione Windows 8 Pro.</w:t>
      </w:r>
      <w:r w:rsidR="00082E1C" w:rsidRPr="00451078">
        <w:rPr>
          <w:lang w:val="it-IT"/>
        </w:rPr>
        <w:t xml:space="preserve"> </w:t>
      </w:r>
    </w:p>
    <w:p w:rsidR="008A1637" w:rsidRPr="00451078" w:rsidRDefault="008A1637" w:rsidP="008A1637">
      <w:pPr>
        <w:rPr>
          <w:lang w:val="it-IT"/>
        </w:rPr>
      </w:pPr>
    </w:p>
    <w:p w:rsidR="008A1637" w:rsidRPr="00451078" w:rsidRDefault="008A1637" w:rsidP="008A1637">
      <w:pPr>
        <w:rPr>
          <w:lang w:val="it-IT"/>
        </w:rPr>
      </w:pPr>
      <w:r w:rsidRPr="00451078">
        <w:rPr>
          <w:lang w:val="it-IT"/>
        </w:rPr>
        <w:t>Le versioni in lingua, grazie alle quali alle società è consentito utilizzare nello stesso modo le funzionalità MUI e MLP, variano in base al programma, al prodotto e al paese.</w:t>
      </w:r>
      <w:r w:rsidR="00082E1C" w:rsidRPr="00451078">
        <w:rPr>
          <w:lang w:val="it-IT"/>
        </w:rPr>
        <w:t xml:space="preserve"> </w:t>
      </w:r>
    </w:p>
    <w:p w:rsidR="008A1637" w:rsidRPr="00451078" w:rsidRDefault="008A1637" w:rsidP="008A1637">
      <w:pPr>
        <w:pStyle w:val="Heading3"/>
        <w:ind w:right="720"/>
        <w:rPr>
          <w:rFonts w:ascii="Tahoma" w:hAnsi="Tahoma" w:cs="Tahoma"/>
          <w:sz w:val="18"/>
          <w:szCs w:val="18"/>
          <w:lang w:val="it-IT"/>
        </w:rPr>
      </w:pPr>
    </w:p>
    <w:p w:rsidR="008A1637" w:rsidRPr="00451078" w:rsidRDefault="008A1637" w:rsidP="00024C3C">
      <w:pPr>
        <w:numPr>
          <w:ilvl w:val="0"/>
          <w:numId w:val="18"/>
        </w:numPr>
        <w:tabs>
          <w:tab w:val="clear" w:pos="1080"/>
          <w:tab w:val="num" w:pos="1440"/>
        </w:tabs>
        <w:ind w:left="1440"/>
        <w:rPr>
          <w:lang w:val="it-IT"/>
        </w:rPr>
      </w:pPr>
      <w:r w:rsidRPr="00451078">
        <w:rPr>
          <w:lang w:val="it-IT"/>
        </w:rPr>
        <w:t>A partire dal 1 ottobre 2008 le società che acquistano il diritto di utilizzare le funzionalità MUI e</w:t>
      </w:r>
      <w:r w:rsidR="00EF3B87" w:rsidRPr="00451078">
        <w:rPr>
          <w:lang w:val="it-IT"/>
        </w:rPr>
        <w:t> </w:t>
      </w:r>
      <w:r w:rsidRPr="00451078">
        <w:rPr>
          <w:lang w:val="it-IT"/>
        </w:rPr>
        <w:t>MLP ai sensi di un Contratto Enterprise, Enterprise Subscription, Open Value (per l</w:t>
      </w:r>
      <w:r w:rsidR="004525CA">
        <w:rPr>
          <w:lang w:val="it-IT"/>
        </w:rPr>
        <w:t>’</w:t>
      </w:r>
      <w:r w:rsidRPr="00451078">
        <w:rPr>
          <w:lang w:val="it-IT"/>
        </w:rPr>
        <w:t>intera organizzazione/a livello aziendale) o Open Value Subscription potranno usare tali funzionalità con</w:t>
      </w:r>
      <w:r w:rsidR="00EF3B87" w:rsidRPr="00451078">
        <w:rPr>
          <w:lang w:val="it-IT"/>
        </w:rPr>
        <w:t> </w:t>
      </w:r>
      <w:r w:rsidRPr="00451078">
        <w:rPr>
          <w:lang w:val="it-IT"/>
        </w:rPr>
        <w:t>i</w:t>
      </w:r>
      <w:r w:rsidR="00EF3B87" w:rsidRPr="00451078">
        <w:rPr>
          <w:lang w:val="it-IT"/>
        </w:rPr>
        <w:t> </w:t>
      </w:r>
      <w:r w:rsidRPr="00451078">
        <w:rPr>
          <w:lang w:val="it-IT"/>
        </w:rPr>
        <w:t>prodotti con licenza</w:t>
      </w:r>
      <w:r w:rsidRPr="00451078">
        <w:rPr>
          <w:b/>
          <w:lang w:val="it-IT"/>
        </w:rPr>
        <w:t xml:space="preserve"> </w:t>
      </w:r>
      <w:r w:rsidRPr="00451078">
        <w:rPr>
          <w:b/>
          <w:u w:val="single"/>
          <w:lang w:val="it-IT"/>
        </w:rPr>
        <w:t>in tutte le versioni in lingua</w:t>
      </w:r>
      <w:r w:rsidRPr="00451078">
        <w:rPr>
          <w:b/>
          <w:lang w:val="it-IT"/>
        </w:rPr>
        <w:t xml:space="preserve">, </w:t>
      </w:r>
      <w:r w:rsidRPr="00451078">
        <w:rPr>
          <w:lang w:val="it-IT"/>
        </w:rPr>
        <w:t>nonostante qualsiasi limitazione in tali contratti rispetto all</w:t>
      </w:r>
      <w:r w:rsidR="004525CA">
        <w:rPr>
          <w:lang w:val="it-IT"/>
        </w:rPr>
        <w:t>’</w:t>
      </w:r>
      <w:r w:rsidRPr="00451078">
        <w:rPr>
          <w:lang w:val="it-IT"/>
        </w:rPr>
        <w:t xml:space="preserve">utilizzo di determinate lingue. </w:t>
      </w:r>
    </w:p>
    <w:p w:rsidR="008A1637" w:rsidRPr="00451078" w:rsidRDefault="008A1637" w:rsidP="008A1637">
      <w:pPr>
        <w:pStyle w:val="Heading3"/>
        <w:ind w:right="720"/>
        <w:rPr>
          <w:rFonts w:ascii="Tahoma" w:hAnsi="Tahoma" w:cs="Tahoma"/>
          <w:sz w:val="18"/>
          <w:szCs w:val="18"/>
          <w:lang w:val="it-IT"/>
        </w:rPr>
      </w:pPr>
    </w:p>
    <w:p w:rsidR="008A1637" w:rsidRPr="00451078" w:rsidRDefault="008A1637" w:rsidP="008A1637">
      <w:pPr>
        <w:rPr>
          <w:lang w:val="it-IT"/>
        </w:rPr>
      </w:pPr>
      <w:r w:rsidRPr="00451078">
        <w:rPr>
          <w:lang w:val="it-IT"/>
        </w:rPr>
        <w:t>Le società che acquistano il diritto di utilizzare le funzionalità MUI e MLP ai sensi di contratti diversi da un Contratto Enterprise o Open Value (per l</w:t>
      </w:r>
      <w:r w:rsidR="004525CA">
        <w:rPr>
          <w:lang w:val="it-IT"/>
        </w:rPr>
        <w:t>’</w:t>
      </w:r>
      <w:r w:rsidRPr="00451078">
        <w:rPr>
          <w:lang w:val="it-IT"/>
        </w:rPr>
        <w:t>intera organizzazione/a livello aziendale) (con il prodotto base o tramite Software Assurance) rimangono soggette a eventuali limitazioni presenti nel loro contratto per quanto riguarda l</w:t>
      </w:r>
      <w:r w:rsidR="004525CA">
        <w:rPr>
          <w:lang w:val="it-IT"/>
        </w:rPr>
        <w:t>’</w:t>
      </w:r>
      <w:r w:rsidRPr="00451078">
        <w:rPr>
          <w:lang w:val="it-IT"/>
        </w:rPr>
        <w:t>uso di alcune lingue. Ad esempio, nel caso in cui la versione in lingua locale di un prodotto sia ottenuta in licenza a un prezzo diverso da quello riportato sul listino prezzi della società, il diritto di tale società di utilizzare altre versioni in lingua al</w:t>
      </w:r>
      <w:r w:rsidR="00EF3B87" w:rsidRPr="00451078">
        <w:rPr>
          <w:lang w:val="it-IT"/>
        </w:rPr>
        <w:t> </w:t>
      </w:r>
      <w:r w:rsidRPr="00451078">
        <w:rPr>
          <w:lang w:val="it-IT"/>
        </w:rPr>
        <w:t>posto di tale versione (con o senza funzionalità MUI o MLP) potrà essere limitato.</w:t>
      </w:r>
      <w:r w:rsidR="00082E1C" w:rsidRPr="00451078">
        <w:rPr>
          <w:lang w:val="it-IT"/>
        </w:rPr>
        <w:t xml:space="preserve"> </w:t>
      </w:r>
      <w:r w:rsidRPr="00451078">
        <w:rPr>
          <w:lang w:val="it-IT"/>
        </w:rPr>
        <w:t>Le società dovranno esaminare il</w:t>
      </w:r>
      <w:r w:rsidR="00EF3B87" w:rsidRPr="00451078">
        <w:rPr>
          <w:lang w:val="it-IT"/>
        </w:rPr>
        <w:t> </w:t>
      </w:r>
      <w:r w:rsidRPr="00451078">
        <w:rPr>
          <w:lang w:val="it-IT"/>
        </w:rPr>
        <w:t>loro Contratto di Licenza oppure contattare il loro Rivenditore o l</w:t>
      </w:r>
      <w:r w:rsidR="004525CA">
        <w:rPr>
          <w:lang w:val="it-IT"/>
        </w:rPr>
        <w:t>’</w:t>
      </w:r>
      <w:r w:rsidRPr="00451078">
        <w:rPr>
          <w:lang w:val="it-IT"/>
        </w:rPr>
        <w:t xml:space="preserve">Account Manager designato da Microsoft per ulteriori informazioni sul loro diritto di utilizzare altre lingue. </w:t>
      </w:r>
    </w:p>
    <w:p w:rsidR="007022C1" w:rsidRPr="00451078" w:rsidRDefault="007022C1" w:rsidP="008A1637">
      <w:pPr>
        <w:rPr>
          <w:lang w:val="it-IT"/>
        </w:rPr>
      </w:pPr>
    </w:p>
    <w:p w:rsidR="008A1637" w:rsidRPr="00451078" w:rsidRDefault="008A1637" w:rsidP="007022C1">
      <w:pPr>
        <w:pStyle w:val="Heading2"/>
        <w:ind w:left="0"/>
        <w:rPr>
          <w:lang w:val="it-IT"/>
        </w:rPr>
      </w:pPr>
      <w:bookmarkStart w:id="990" w:name="_Toc323159784"/>
      <w:bookmarkStart w:id="991" w:name="_Toc336338253"/>
      <w:bookmarkStart w:id="992" w:name="_Toc352234848"/>
      <w:r w:rsidRPr="00451078">
        <w:rPr>
          <w:rFonts w:ascii="Tahoma" w:hAnsi="Tahoma" w:cs="Tahoma"/>
          <w:lang w:val="it-IT"/>
        </w:rPr>
        <w:t>Licenze Indipendenti dalla Piattaforma</w:t>
      </w:r>
      <w:bookmarkEnd w:id="990"/>
      <w:bookmarkEnd w:id="991"/>
      <w:bookmarkEnd w:id="992"/>
    </w:p>
    <w:p w:rsidR="008A1637" w:rsidRPr="00451078" w:rsidRDefault="008A1637" w:rsidP="007022C1">
      <w:pPr>
        <w:tabs>
          <w:tab w:val="num" w:pos="0"/>
        </w:tabs>
        <w:ind w:right="720"/>
        <w:rPr>
          <w:lang w:val="it-IT"/>
        </w:rPr>
      </w:pPr>
    </w:p>
    <w:p w:rsidR="008A1637" w:rsidRPr="00451078" w:rsidRDefault="008A1637" w:rsidP="007022C1">
      <w:pPr>
        <w:pStyle w:val="AppendixBodyText"/>
        <w:spacing w:after="0"/>
        <w:ind w:right="720"/>
        <w:rPr>
          <w:lang w:val="it-IT"/>
        </w:rPr>
      </w:pPr>
      <w:r w:rsidRPr="00451078">
        <w:rPr>
          <w:rFonts w:ascii="Tahoma" w:hAnsi="Tahoma" w:cs="Tahoma"/>
          <w:color w:val="000000"/>
          <w:sz w:val="18"/>
          <w:szCs w:val="18"/>
          <w:lang w:val="it-IT"/>
        </w:rPr>
        <w:t xml:space="preserve">Microsoft Office Standard, Office Professional Plus, Word, Excel, PowerPoint, Outlook, Lync Office per Mac, Word per Mac, Excel per Mac, PowerPoint per Mac, Lync per Mac e Outlook per Mac sono licenze </w:t>
      </w:r>
      <w:r w:rsidR="001A3EC5" w:rsidRPr="00451078">
        <w:rPr>
          <w:rFonts w:ascii="Tahoma" w:hAnsi="Tahoma" w:cs="Tahoma"/>
          <w:color w:val="000000"/>
          <w:sz w:val="18"/>
          <w:szCs w:val="18"/>
          <w:lang w:val="it-IT"/>
        </w:rPr>
        <w:t>“</w:t>
      </w:r>
      <w:r w:rsidRPr="00451078">
        <w:rPr>
          <w:rFonts w:ascii="Tahoma" w:hAnsi="Tahoma" w:cs="Tahoma"/>
          <w:color w:val="000000"/>
          <w:sz w:val="18"/>
          <w:szCs w:val="18"/>
          <w:lang w:val="it-IT"/>
        </w:rPr>
        <w:t>indipendenti dalla piattaforma</w:t>
      </w:r>
      <w:r w:rsidR="001A3EC5" w:rsidRPr="00451078">
        <w:rPr>
          <w:rFonts w:ascii="Tahoma" w:hAnsi="Tahoma" w:cs="Tahoma"/>
          <w:color w:val="000000"/>
          <w:sz w:val="18"/>
          <w:szCs w:val="18"/>
          <w:lang w:val="it-IT"/>
        </w:rPr>
        <w:t>”</w:t>
      </w:r>
      <w:r w:rsidRPr="00451078">
        <w:rPr>
          <w:rFonts w:ascii="Tahoma" w:hAnsi="Tahoma" w:cs="Tahoma"/>
          <w:color w:val="000000"/>
          <w:sz w:val="18"/>
          <w:szCs w:val="18"/>
          <w:lang w:val="it-IT"/>
        </w:rPr>
        <w:t>. Una licenza indipendente dalla piattaforma consente l</w:t>
      </w:r>
      <w:r w:rsidR="004525CA">
        <w:rPr>
          <w:rFonts w:ascii="Tahoma" w:hAnsi="Tahoma" w:cs="Tahoma"/>
          <w:color w:val="000000"/>
          <w:sz w:val="18"/>
          <w:szCs w:val="18"/>
          <w:lang w:val="it-IT"/>
        </w:rPr>
        <w:t>’</w:t>
      </w:r>
      <w:r w:rsidRPr="00451078">
        <w:rPr>
          <w:rFonts w:ascii="Tahoma" w:hAnsi="Tahoma" w:cs="Tahoma"/>
          <w:color w:val="000000"/>
          <w:sz w:val="18"/>
          <w:szCs w:val="18"/>
          <w:lang w:val="it-IT"/>
        </w:rPr>
        <w:t>utilizzo di un prodotto specifico su qualsiasi piattaforma di computer su cui è in esecuzione il software, a condizione che</w:t>
      </w:r>
      <w:r w:rsidR="00EF3B87" w:rsidRPr="00451078">
        <w:rPr>
          <w:rFonts w:ascii="Tahoma" w:hAnsi="Tahoma" w:cs="Tahoma"/>
          <w:color w:val="000000"/>
          <w:sz w:val="18"/>
          <w:szCs w:val="18"/>
          <w:lang w:val="it-IT"/>
        </w:rPr>
        <w:t> </w:t>
      </w:r>
      <w:r w:rsidRPr="00451078">
        <w:rPr>
          <w:rFonts w:ascii="Tahoma" w:hAnsi="Tahoma" w:cs="Tahoma"/>
          <w:color w:val="000000"/>
          <w:sz w:val="18"/>
          <w:szCs w:val="18"/>
          <w:lang w:val="it-IT"/>
        </w:rPr>
        <w:t>la versione usata sia identica o precedente alla versione originale ottenuta in licenza. Ad esempio, una società che ha ottenuto in licenza Office per Mac Standard 2011 potrà scegliere di utilizzare tale licenza per eseguire Office Standard 2010 per Windows.</w:t>
      </w:r>
    </w:p>
    <w:p w:rsidR="008A1637" w:rsidRPr="00451078" w:rsidRDefault="008A1637" w:rsidP="007022C1">
      <w:pPr>
        <w:pStyle w:val="AppendixBodyText"/>
        <w:spacing w:after="0"/>
        <w:rPr>
          <w:lang w:val="it-IT"/>
        </w:rPr>
      </w:pPr>
    </w:p>
    <w:p w:rsidR="008A1637" w:rsidRPr="00451078" w:rsidRDefault="008A1637" w:rsidP="007022C1">
      <w:pPr>
        <w:pStyle w:val="AppendixBodyText"/>
        <w:spacing w:after="0"/>
        <w:ind w:right="720"/>
        <w:rPr>
          <w:lang w:val="it-IT"/>
        </w:rPr>
      </w:pPr>
      <w:r w:rsidRPr="00451078">
        <w:rPr>
          <w:rFonts w:ascii="Tahoma" w:hAnsi="Tahoma" w:cs="Tahoma"/>
          <w:color w:val="000000"/>
          <w:sz w:val="18"/>
          <w:szCs w:val="18"/>
          <w:lang w:val="it-IT"/>
        </w:rPr>
        <w:t>I componenti di una famiglia di prodotti potranno essere diversi a seconda della versione della piattaforma. La società potrà utilizzare esclusivamente i componenti della famiglia di prodotti che ha scelto di distribuire. Ad esempio, nel caso in cui una società con licenza per Office per Mac Standard 2011 scelga di eseguire Office Standard 2010, tale società potrà eseguire solo i componenti inclusi in Office Standard 2010. Non avrà, ad esempio, il diritto di eseguire Lync, bensì OneNote.</w:t>
      </w:r>
    </w:p>
    <w:p w:rsidR="008A1637" w:rsidRPr="00451078" w:rsidRDefault="008A1637" w:rsidP="007022C1">
      <w:pPr>
        <w:pStyle w:val="AppendixBodyText"/>
        <w:spacing w:after="0"/>
        <w:ind w:right="720"/>
        <w:rPr>
          <w:lang w:val="it-IT"/>
        </w:rPr>
      </w:pPr>
      <w:r w:rsidRPr="00451078">
        <w:rPr>
          <w:rFonts w:ascii="Tahoma" w:hAnsi="Tahoma" w:cs="Tahoma"/>
          <w:color w:val="000000"/>
          <w:sz w:val="18"/>
          <w:lang w:val="it-IT"/>
        </w:rPr>
        <w:t>Inoltre, la copertura Software Assurance attiva per una licenza indipendente dalla piattaforma permette a una società di utilizzare al posto del prodotto con licenza la versione più corrente di una delle due versioni della piattaforma del prodotto che diventa disponibile durante il periodo di validità della copertura Software Assurance (in conformità alla limitazione relativa ai componenti di cui sopra). Ad esempio, una società che ha una copertura Software Assurance attiva per una licenza Office per Mac è idonea a utilizzare al posto di Office per Mac la versione più corrente della corrispondente edizione di Office per Windows rilasciata nel periodo di validità della copertura.</w:t>
      </w:r>
    </w:p>
    <w:p w:rsidR="008A1637" w:rsidRPr="00451078" w:rsidRDefault="008A1637" w:rsidP="007022C1">
      <w:pPr>
        <w:tabs>
          <w:tab w:val="left" w:pos="360"/>
        </w:tabs>
        <w:ind w:right="720"/>
        <w:rPr>
          <w:lang w:val="it-IT"/>
        </w:rPr>
      </w:pPr>
    </w:p>
    <w:p w:rsidR="008A1637" w:rsidRPr="00451078" w:rsidRDefault="008A1637" w:rsidP="007022C1">
      <w:pPr>
        <w:pStyle w:val="AppendixBodyText"/>
        <w:spacing w:after="0"/>
        <w:ind w:right="720"/>
        <w:rPr>
          <w:lang w:val="it-IT"/>
        </w:rPr>
      </w:pPr>
      <w:r w:rsidRPr="00451078">
        <w:rPr>
          <w:rFonts w:ascii="Tahoma" w:hAnsi="Tahoma" w:cs="Tahoma"/>
          <w:sz w:val="18"/>
          <w:lang w:val="it-IT"/>
        </w:rPr>
        <w:lastRenderedPageBreak/>
        <w:t xml:space="preserve">Microsoft SQL Server è una licenza </w:t>
      </w:r>
      <w:r w:rsidR="001A3EC5" w:rsidRPr="00451078">
        <w:rPr>
          <w:rFonts w:ascii="Tahoma" w:hAnsi="Tahoma" w:cs="Tahoma"/>
          <w:sz w:val="18"/>
          <w:lang w:val="it-IT"/>
        </w:rPr>
        <w:t>“</w:t>
      </w:r>
      <w:r w:rsidRPr="00451078">
        <w:rPr>
          <w:rFonts w:ascii="Tahoma" w:hAnsi="Tahoma" w:cs="Tahoma"/>
          <w:sz w:val="18"/>
          <w:lang w:val="it-IT"/>
        </w:rPr>
        <w:t>indipendente dalla piattaforma</w:t>
      </w:r>
      <w:r w:rsidR="001A3EC5" w:rsidRPr="00451078">
        <w:rPr>
          <w:rFonts w:ascii="Tahoma" w:hAnsi="Tahoma" w:cs="Tahoma"/>
          <w:sz w:val="18"/>
          <w:lang w:val="it-IT"/>
        </w:rPr>
        <w:t>”</w:t>
      </w:r>
      <w:r w:rsidRPr="00451078">
        <w:rPr>
          <w:rFonts w:ascii="Tahoma" w:hAnsi="Tahoma" w:cs="Tahoma"/>
          <w:sz w:val="18"/>
          <w:lang w:val="it-IT"/>
        </w:rPr>
        <w:t>. Una licenza indipendente dalla piattaforma consente l</w:t>
      </w:r>
      <w:r w:rsidR="004525CA">
        <w:rPr>
          <w:rFonts w:ascii="Tahoma" w:hAnsi="Tahoma" w:cs="Tahoma"/>
          <w:sz w:val="18"/>
          <w:lang w:val="it-IT"/>
        </w:rPr>
        <w:t>’</w:t>
      </w:r>
      <w:r w:rsidRPr="00451078">
        <w:rPr>
          <w:rFonts w:ascii="Tahoma" w:hAnsi="Tahoma" w:cs="Tahoma"/>
          <w:sz w:val="18"/>
          <w:lang w:val="it-IT"/>
        </w:rPr>
        <w:t>utilizzo di un prodotto specifico su qualsiasi piattaforma di computer su cui è in esecuzione il software, a condizione che la versione usata sia identica o precedente alla versione originale ottenuta in licenza.</w:t>
      </w:r>
    </w:p>
    <w:p w:rsidR="008A1637" w:rsidRPr="00451078" w:rsidRDefault="008A1637" w:rsidP="007022C1">
      <w:pPr>
        <w:pStyle w:val="AppendixBodyText"/>
        <w:spacing w:after="0"/>
        <w:ind w:right="720"/>
        <w:rPr>
          <w:lang w:val="it-IT"/>
        </w:rPr>
      </w:pPr>
    </w:p>
    <w:p w:rsidR="008A1637" w:rsidRPr="00451078" w:rsidRDefault="008A1637" w:rsidP="007022C1">
      <w:pPr>
        <w:pStyle w:val="AppendixBodyText"/>
        <w:spacing w:after="0"/>
        <w:ind w:right="720"/>
        <w:rPr>
          <w:lang w:val="it-IT"/>
        </w:rPr>
      </w:pPr>
      <w:r w:rsidRPr="00451078">
        <w:rPr>
          <w:rFonts w:ascii="Tahoma" w:hAnsi="Tahoma" w:cs="Tahoma"/>
          <w:sz w:val="18"/>
          <w:lang w:val="it-IT"/>
        </w:rPr>
        <w:t>Inoltre, una società che si iscrive a una licenza indipendente dalla piattaforma in Software Assurance è</w:t>
      </w:r>
      <w:r w:rsidR="00B81C71" w:rsidRPr="00451078">
        <w:rPr>
          <w:rFonts w:ascii="Tahoma" w:hAnsi="Tahoma" w:cs="Tahoma"/>
          <w:sz w:val="18"/>
          <w:lang w:val="it-IT"/>
        </w:rPr>
        <w:t> </w:t>
      </w:r>
      <w:r w:rsidRPr="00451078">
        <w:rPr>
          <w:rFonts w:ascii="Tahoma" w:hAnsi="Tahoma" w:cs="Tahoma"/>
          <w:sz w:val="18"/>
          <w:lang w:val="it-IT"/>
        </w:rPr>
        <w:t>idonea a utilizzare la versione più corrente di quel particolare prodotto che è disponibile durante il periodo di</w:t>
      </w:r>
      <w:r w:rsidR="00B81C71" w:rsidRPr="00451078">
        <w:rPr>
          <w:rFonts w:ascii="Tahoma" w:hAnsi="Tahoma" w:cs="Tahoma"/>
          <w:sz w:val="18"/>
          <w:lang w:val="it-IT"/>
        </w:rPr>
        <w:t> </w:t>
      </w:r>
      <w:r w:rsidRPr="00451078">
        <w:rPr>
          <w:rFonts w:ascii="Tahoma" w:hAnsi="Tahoma" w:cs="Tahoma"/>
          <w:sz w:val="18"/>
          <w:lang w:val="it-IT"/>
        </w:rPr>
        <w:t>validità della copertura Software Assurance, indipendentemente dalla piattaforma (a condizione che sia installata o utilizzata una sola versione alla volta).</w:t>
      </w:r>
    </w:p>
    <w:p w:rsidR="00973A93" w:rsidRPr="00451078" w:rsidRDefault="00973A93">
      <w:pPr>
        <w:rPr>
          <w:lang w:val="it-IT"/>
        </w:rPr>
      </w:pPr>
      <w:bookmarkStart w:id="993" w:name="_Toc336338254"/>
    </w:p>
    <w:p w:rsidR="008A1637" w:rsidRPr="00451078" w:rsidRDefault="008A1637" w:rsidP="008A1637">
      <w:pPr>
        <w:pStyle w:val="Heading2"/>
        <w:ind w:left="0"/>
        <w:rPr>
          <w:lang w:val="it-IT"/>
        </w:rPr>
      </w:pPr>
      <w:bookmarkStart w:id="994" w:name="_Toc352234849"/>
      <w:r w:rsidRPr="00451078">
        <w:rPr>
          <w:rFonts w:ascii="Tahoma" w:hAnsi="Tahoma" w:cs="Tahoma"/>
          <w:lang w:val="it-IT"/>
        </w:rPr>
        <w:t xml:space="preserve">Codice </w:t>
      </w:r>
      <w:r w:rsidR="001A3EC5" w:rsidRPr="00451078">
        <w:rPr>
          <w:rFonts w:ascii="Tahoma" w:hAnsi="Tahoma" w:cs="Tahoma"/>
          <w:lang w:val="it-IT"/>
        </w:rPr>
        <w:t>“</w:t>
      </w:r>
      <w:r w:rsidRPr="00451078">
        <w:rPr>
          <w:rFonts w:ascii="Tahoma" w:hAnsi="Tahoma" w:cs="Tahoma"/>
          <w:lang w:val="it-IT"/>
        </w:rPr>
        <w:t>Product Key</w:t>
      </w:r>
      <w:r w:rsidR="001A3EC5" w:rsidRPr="00451078">
        <w:rPr>
          <w:rFonts w:ascii="Tahoma" w:hAnsi="Tahoma" w:cs="Tahoma"/>
          <w:lang w:val="it-IT"/>
        </w:rPr>
        <w:t>”</w:t>
      </w:r>
      <w:r w:rsidRPr="00451078">
        <w:rPr>
          <w:rFonts w:ascii="Tahoma" w:hAnsi="Tahoma" w:cs="Tahoma"/>
          <w:lang w:val="it-IT"/>
        </w:rPr>
        <w:t xml:space="preserve"> per Volume Licensing</w:t>
      </w:r>
      <w:bookmarkEnd w:id="993"/>
      <w:bookmarkEnd w:id="994"/>
    </w:p>
    <w:p w:rsidR="008A1637" w:rsidRPr="00451078" w:rsidRDefault="008A1637" w:rsidP="008A1637">
      <w:pPr>
        <w:spacing w:after="60"/>
        <w:ind w:right="720"/>
        <w:rPr>
          <w:lang w:val="it-IT"/>
        </w:rPr>
      </w:pPr>
    </w:p>
    <w:p w:rsidR="008A1637" w:rsidRPr="00451078" w:rsidRDefault="008A1637" w:rsidP="007022C1">
      <w:pPr>
        <w:ind w:right="720"/>
        <w:rPr>
          <w:lang w:val="it-IT"/>
        </w:rPr>
      </w:pPr>
      <w:r w:rsidRPr="00451078">
        <w:rPr>
          <w:rFonts w:cs="Tahoma"/>
          <w:color w:val="000000"/>
          <w:szCs w:val="18"/>
          <w:lang w:val="it-IT"/>
        </w:rPr>
        <w:t xml:space="preserve">I codici Product Key consentono alle organizzazioni di utilizzare il software e i prodotti ricevuti in licenza. Tutti i codici vengono rilasciati a una società ai sensi di un contratto di licenza specifico. Per ottenere i codici Product Key, visitare </w:t>
      </w:r>
      <w:hyperlink r:id="rId37" w:history="1">
        <w:r w:rsidRPr="00451078">
          <w:rPr>
            <w:rStyle w:val="Hyperlink"/>
            <w:szCs w:val="18"/>
            <w:lang w:val="it-IT"/>
          </w:rPr>
          <w:t>Microsoft Volume Licensing Service Center (VLSC)</w:t>
        </w:r>
      </w:hyperlink>
      <w:r w:rsidRPr="00451078">
        <w:rPr>
          <w:rFonts w:cs="Tahoma"/>
          <w:color w:val="000000"/>
          <w:szCs w:val="18"/>
          <w:lang w:val="it-IT"/>
        </w:rPr>
        <w:t xml:space="preserve">. Sarà inoltre possibile contattare il </w:t>
      </w:r>
      <w:hyperlink r:id="rId38" w:history="1">
        <w:r w:rsidRPr="00451078">
          <w:rPr>
            <w:rStyle w:val="Hyperlink"/>
            <w:color w:val="0070C0"/>
            <w:szCs w:val="18"/>
            <w:lang w:val="it-IT"/>
          </w:rPr>
          <w:t>Centro di Attivazione dei Contratti Multilicenza Microsoft</w:t>
        </w:r>
      </w:hyperlink>
      <w:r w:rsidRPr="00451078">
        <w:rPr>
          <w:rFonts w:cs="Tahoma"/>
          <w:color w:val="0070C0"/>
          <w:szCs w:val="18"/>
          <w:lang w:val="it-IT"/>
        </w:rPr>
        <w:t>.</w:t>
      </w:r>
      <w:r w:rsidRPr="00451078">
        <w:rPr>
          <w:rFonts w:cs="Tahoma"/>
          <w:color w:val="000000"/>
          <w:szCs w:val="18"/>
          <w:lang w:val="it-IT"/>
        </w:rPr>
        <w:t xml:space="preserve"> </w:t>
      </w:r>
    </w:p>
    <w:p w:rsidR="008A1637" w:rsidRPr="00451078" w:rsidRDefault="008A1637" w:rsidP="007022C1">
      <w:pPr>
        <w:ind w:right="720"/>
        <w:rPr>
          <w:lang w:val="it-IT"/>
        </w:rPr>
      </w:pPr>
    </w:p>
    <w:p w:rsidR="008A1637" w:rsidRPr="00451078" w:rsidRDefault="008A1637" w:rsidP="007022C1">
      <w:pPr>
        <w:ind w:right="720"/>
        <w:rPr>
          <w:lang w:val="it-IT"/>
        </w:rPr>
      </w:pPr>
      <w:r w:rsidRPr="00451078">
        <w:rPr>
          <w:rFonts w:cs="Tahoma"/>
          <w:color w:val="000000"/>
          <w:szCs w:val="18"/>
          <w:lang w:val="it-IT"/>
        </w:rPr>
        <w:t xml:space="preserve">Per prendere visione di una lista di prodotti Volume Licensing che richiedono i codici </w:t>
      </w:r>
      <w:r w:rsidR="001A3EC5" w:rsidRPr="00451078">
        <w:rPr>
          <w:rFonts w:cs="Tahoma"/>
          <w:color w:val="000000"/>
          <w:szCs w:val="18"/>
          <w:lang w:val="it-IT"/>
        </w:rPr>
        <w:t>“</w:t>
      </w:r>
      <w:r w:rsidRPr="00451078">
        <w:rPr>
          <w:rFonts w:cs="Tahoma"/>
          <w:color w:val="000000"/>
          <w:szCs w:val="18"/>
          <w:lang w:val="it-IT"/>
        </w:rPr>
        <w:t>Product Key</w:t>
      </w:r>
      <w:r w:rsidR="001A3EC5" w:rsidRPr="00451078">
        <w:rPr>
          <w:rFonts w:cs="Tahoma"/>
          <w:color w:val="000000"/>
          <w:szCs w:val="18"/>
          <w:lang w:val="it-IT"/>
        </w:rPr>
        <w:t>”</w:t>
      </w:r>
      <w:r w:rsidRPr="00451078">
        <w:rPr>
          <w:rFonts w:cs="Tahoma"/>
          <w:color w:val="000000"/>
          <w:szCs w:val="18"/>
          <w:lang w:val="it-IT"/>
        </w:rPr>
        <w:t xml:space="preserve"> e per ulteriori informazioni, fare riferimento a: </w:t>
      </w:r>
      <w:hyperlink r:id="rId39" w:history="1">
        <w:r w:rsidRPr="00451078">
          <w:rPr>
            <w:rStyle w:val="Hyperlink"/>
            <w:szCs w:val="18"/>
            <w:lang w:val="it-IT"/>
          </w:rPr>
          <w:t>http://www.microsoft.com/licensing/resources/vol/volumelicensekey/default.mspx</w:t>
        </w:r>
      </w:hyperlink>
      <w:r w:rsidRPr="00451078">
        <w:rPr>
          <w:rFonts w:cs="Tahoma"/>
          <w:szCs w:val="18"/>
          <w:lang w:val="it-IT"/>
        </w:rPr>
        <w:t>.</w:t>
      </w:r>
      <w:r w:rsidRPr="00451078">
        <w:rPr>
          <w:rFonts w:cs="Tahoma"/>
          <w:color w:val="000000"/>
          <w:szCs w:val="18"/>
          <w:lang w:val="it-IT"/>
        </w:rPr>
        <w:t xml:space="preserve"> </w:t>
      </w:r>
    </w:p>
    <w:p w:rsidR="008A1637" w:rsidRPr="00451078" w:rsidRDefault="008A1637" w:rsidP="007022C1">
      <w:pPr>
        <w:ind w:right="720"/>
        <w:rPr>
          <w:lang w:val="it-IT"/>
        </w:rPr>
      </w:pPr>
      <w:r w:rsidRPr="00451078">
        <w:rPr>
          <w:rFonts w:cs="Tahoma"/>
          <w:color w:val="1F497D"/>
          <w:szCs w:val="18"/>
          <w:lang w:val="it-IT"/>
        </w:rPr>
        <w:br/>
      </w:r>
      <w:r w:rsidRPr="00451078">
        <w:rPr>
          <w:rFonts w:cs="Tahoma"/>
          <w:color w:val="000000"/>
          <w:szCs w:val="18"/>
          <w:lang w:val="it-IT"/>
        </w:rPr>
        <w:t xml:space="preserve">Non tutti i prodotti con contratti multilicenza (Volume Licensing) richiedono un codice </w:t>
      </w:r>
      <w:r w:rsidR="001A3EC5" w:rsidRPr="00451078">
        <w:rPr>
          <w:rFonts w:cs="Tahoma"/>
          <w:color w:val="000000"/>
          <w:szCs w:val="18"/>
          <w:lang w:val="it-IT"/>
        </w:rPr>
        <w:t>“</w:t>
      </w:r>
      <w:r w:rsidRPr="00451078">
        <w:rPr>
          <w:rFonts w:cs="Tahoma"/>
          <w:color w:val="000000"/>
          <w:szCs w:val="18"/>
          <w:lang w:val="it-IT"/>
        </w:rPr>
        <w:t>Product Key</w:t>
      </w:r>
      <w:r w:rsidR="001A3EC5" w:rsidRPr="00451078">
        <w:rPr>
          <w:rFonts w:cs="Tahoma"/>
          <w:color w:val="000000"/>
          <w:szCs w:val="18"/>
          <w:lang w:val="it-IT"/>
        </w:rPr>
        <w:t>”</w:t>
      </w:r>
      <w:r w:rsidRPr="00451078">
        <w:rPr>
          <w:rFonts w:cs="Tahoma"/>
          <w:color w:val="000000"/>
          <w:szCs w:val="18"/>
          <w:lang w:val="it-IT"/>
        </w:rPr>
        <w:t>.</w:t>
      </w:r>
      <w:r w:rsidRPr="00451078">
        <w:rPr>
          <w:rFonts w:ascii="Verdana" w:hAnsi="Verdana"/>
          <w:color w:val="333333"/>
          <w:sz w:val="17"/>
          <w:szCs w:val="17"/>
          <w:lang w:val="it-IT"/>
        </w:rPr>
        <w:t xml:space="preserve"> </w:t>
      </w:r>
      <w:r w:rsidRPr="00451078">
        <w:rPr>
          <w:rFonts w:cs="Tahoma"/>
          <w:color w:val="000000"/>
          <w:szCs w:val="18"/>
          <w:lang w:val="it-IT"/>
        </w:rPr>
        <w:t>Se</w:t>
      </w:r>
      <w:r w:rsidR="00B81C71" w:rsidRPr="00451078">
        <w:rPr>
          <w:rFonts w:cs="Tahoma"/>
          <w:color w:val="000000"/>
          <w:szCs w:val="18"/>
          <w:lang w:val="it-IT"/>
        </w:rPr>
        <w:t> </w:t>
      </w:r>
      <w:r w:rsidRPr="00451078">
        <w:rPr>
          <w:rFonts w:cs="Tahoma"/>
          <w:color w:val="000000"/>
          <w:szCs w:val="18"/>
          <w:lang w:val="it-IT"/>
        </w:rPr>
        <w:t>il</w:t>
      </w:r>
      <w:r w:rsidR="00B81C71" w:rsidRPr="00451078">
        <w:rPr>
          <w:rFonts w:cs="Tahoma"/>
          <w:color w:val="000000"/>
          <w:szCs w:val="18"/>
          <w:lang w:val="it-IT"/>
        </w:rPr>
        <w:t> </w:t>
      </w:r>
      <w:r w:rsidRPr="00451078">
        <w:rPr>
          <w:rFonts w:cs="Tahoma"/>
          <w:color w:val="000000"/>
          <w:szCs w:val="18"/>
          <w:lang w:val="it-IT"/>
        </w:rPr>
        <w:t>prodotto non è indicato nell</w:t>
      </w:r>
      <w:r w:rsidR="004525CA">
        <w:rPr>
          <w:rFonts w:cs="Tahoma"/>
          <w:color w:val="000000"/>
          <w:szCs w:val="18"/>
          <w:lang w:val="it-IT"/>
        </w:rPr>
        <w:t>’</w:t>
      </w:r>
      <w:r w:rsidRPr="00451078">
        <w:rPr>
          <w:rFonts w:cs="Tahoma"/>
          <w:color w:val="000000"/>
          <w:szCs w:val="18"/>
          <w:lang w:val="it-IT"/>
        </w:rPr>
        <w:t xml:space="preserve">elenco, non richiede un codice </w:t>
      </w:r>
      <w:r w:rsidR="001A3EC5" w:rsidRPr="00451078">
        <w:rPr>
          <w:rFonts w:cs="Tahoma"/>
          <w:color w:val="000000"/>
          <w:szCs w:val="18"/>
          <w:lang w:val="it-IT"/>
        </w:rPr>
        <w:t>“</w:t>
      </w:r>
      <w:r w:rsidRPr="00451078">
        <w:rPr>
          <w:rFonts w:cs="Tahoma"/>
          <w:color w:val="000000"/>
          <w:szCs w:val="18"/>
          <w:lang w:val="it-IT"/>
        </w:rPr>
        <w:t>Product Key</w:t>
      </w:r>
      <w:r w:rsidR="001A3EC5" w:rsidRPr="00451078">
        <w:rPr>
          <w:rFonts w:cs="Tahoma"/>
          <w:color w:val="000000"/>
          <w:szCs w:val="18"/>
          <w:lang w:val="it-IT"/>
        </w:rPr>
        <w:t>”</w:t>
      </w:r>
      <w:r w:rsidRPr="00451078">
        <w:rPr>
          <w:rFonts w:cs="Tahoma"/>
          <w:color w:val="000000"/>
          <w:szCs w:val="18"/>
          <w:lang w:val="it-IT"/>
        </w:rPr>
        <w:t>.</w:t>
      </w:r>
    </w:p>
    <w:p w:rsidR="008A1637" w:rsidRPr="00451078" w:rsidRDefault="008A1637" w:rsidP="007022C1">
      <w:pPr>
        <w:ind w:right="720"/>
        <w:rPr>
          <w:lang w:val="it-IT"/>
        </w:rPr>
      </w:pPr>
    </w:p>
    <w:p w:rsidR="008A1637" w:rsidRPr="00451078" w:rsidRDefault="008A1637" w:rsidP="007022C1">
      <w:pPr>
        <w:ind w:right="720"/>
        <w:rPr>
          <w:lang w:val="it-IT"/>
        </w:rPr>
      </w:pPr>
      <w:r w:rsidRPr="00451078">
        <w:rPr>
          <w:rFonts w:cs="Tahoma"/>
          <w:b/>
          <w:bCs/>
          <w:color w:val="000000"/>
          <w:szCs w:val="18"/>
          <w:lang w:val="it-IT"/>
        </w:rPr>
        <w:t>Nota:</w:t>
      </w:r>
      <w:r w:rsidR="001A3EC5" w:rsidRPr="00451078">
        <w:rPr>
          <w:rFonts w:cs="Tahoma"/>
          <w:color w:val="000000"/>
          <w:szCs w:val="18"/>
          <w:lang w:val="it-IT"/>
        </w:rPr>
        <w:t xml:space="preserve"> </w:t>
      </w:r>
      <w:r w:rsidRPr="00451078">
        <w:rPr>
          <w:rFonts w:cs="Tahoma"/>
          <w:color w:val="000000"/>
          <w:szCs w:val="18"/>
          <w:lang w:val="it-IT"/>
        </w:rPr>
        <w:t>i codici Product Key vengono ceduti all</w:t>
      </w:r>
      <w:r w:rsidR="004525CA">
        <w:rPr>
          <w:rFonts w:cs="Tahoma"/>
          <w:color w:val="000000"/>
          <w:szCs w:val="18"/>
          <w:lang w:val="it-IT"/>
        </w:rPr>
        <w:t>’</w:t>
      </w:r>
      <w:r w:rsidRPr="00451078">
        <w:rPr>
          <w:rFonts w:cs="Tahoma"/>
          <w:color w:val="000000"/>
          <w:szCs w:val="18"/>
          <w:lang w:val="it-IT"/>
        </w:rPr>
        <w:t>organizzazione e sono a suo esclusivo utilizzo. La società sarà responsabile dell</w:t>
      </w:r>
      <w:r w:rsidR="004525CA">
        <w:rPr>
          <w:rFonts w:cs="Tahoma"/>
          <w:color w:val="000000"/>
          <w:szCs w:val="18"/>
          <w:lang w:val="it-IT"/>
        </w:rPr>
        <w:t>’</w:t>
      </w:r>
      <w:r w:rsidRPr="00451078">
        <w:rPr>
          <w:rFonts w:cs="Tahoma"/>
          <w:color w:val="000000"/>
          <w:szCs w:val="18"/>
          <w:lang w:val="it-IT"/>
        </w:rPr>
        <w:t xml:space="preserve">utilizzo non autorizzato dei codici </w:t>
      </w:r>
      <w:r w:rsidR="001A3EC5" w:rsidRPr="00451078">
        <w:rPr>
          <w:rFonts w:cs="Tahoma"/>
          <w:color w:val="000000"/>
          <w:szCs w:val="18"/>
          <w:lang w:val="it-IT"/>
        </w:rPr>
        <w:t>“</w:t>
      </w:r>
      <w:r w:rsidRPr="00451078">
        <w:rPr>
          <w:rFonts w:cs="Tahoma"/>
          <w:color w:val="000000"/>
          <w:szCs w:val="18"/>
          <w:lang w:val="it-IT"/>
        </w:rPr>
        <w:t>Product Key</w:t>
      </w:r>
      <w:r w:rsidR="001A3EC5" w:rsidRPr="00451078">
        <w:rPr>
          <w:rFonts w:cs="Tahoma"/>
          <w:color w:val="000000"/>
          <w:szCs w:val="18"/>
          <w:lang w:val="it-IT"/>
        </w:rPr>
        <w:t>”</w:t>
      </w:r>
      <w:r w:rsidRPr="00451078">
        <w:rPr>
          <w:rFonts w:cs="Tahoma"/>
          <w:color w:val="000000"/>
          <w:szCs w:val="18"/>
          <w:lang w:val="it-IT"/>
        </w:rPr>
        <w:t xml:space="preserve"> rilasciati ai sensi del contratto stipulato. La società dovrà adottare le precauzioni necessarie per proteggerli. Non dovrà divulgarli a terzi non autorizzati. </w:t>
      </w:r>
    </w:p>
    <w:p w:rsidR="00023FE7" w:rsidRPr="00451078" w:rsidRDefault="008A1637" w:rsidP="008868CC">
      <w:pPr>
        <w:pStyle w:val="Heading1"/>
        <w:rPr>
          <w:lang w:val="it-IT"/>
        </w:rPr>
      </w:pPr>
      <w:r w:rsidRPr="00451078">
        <w:rPr>
          <w:lang w:val="it-IT"/>
        </w:rPr>
        <w:br w:type="page"/>
      </w:r>
      <w:bookmarkStart w:id="995" w:name="_Toc336338255"/>
      <w:bookmarkStart w:id="996" w:name="_Toc352234850"/>
      <w:r w:rsidRPr="00451078">
        <w:rPr>
          <w:lang w:val="it-IT"/>
        </w:rPr>
        <w:lastRenderedPageBreak/>
        <w:t>NOTE del Prodotto</w:t>
      </w:r>
      <w:bookmarkEnd w:id="995"/>
      <w:bookmarkEnd w:id="996"/>
    </w:p>
    <w:p w:rsidR="00023FE7" w:rsidRPr="00B76E48" w:rsidRDefault="00023FE7">
      <w:pPr>
        <w:pStyle w:val="Heading2"/>
        <w:ind w:hanging="540"/>
        <w:rPr>
          <w:sz w:val="28"/>
          <w:szCs w:val="28"/>
          <w:lang w:val="it-IT"/>
        </w:rPr>
      </w:pPr>
    </w:p>
    <w:p w:rsidR="00023FE7" w:rsidRPr="00451078" w:rsidRDefault="00023FE7">
      <w:pPr>
        <w:pStyle w:val="Heading2"/>
        <w:ind w:left="0"/>
        <w:rPr>
          <w:lang w:val="it-IT"/>
        </w:rPr>
      </w:pPr>
      <w:bookmarkStart w:id="997" w:name="_Toc336338256"/>
      <w:bookmarkStart w:id="998" w:name="_Toc352234851"/>
      <w:r w:rsidRPr="00451078">
        <w:rPr>
          <w:rFonts w:ascii="Tahoma" w:hAnsi="Tahoma" w:cs="Tahoma"/>
          <w:sz w:val="28"/>
          <w:lang w:val="it-IT"/>
        </w:rPr>
        <w:t>Pool di Applicazioni</w:t>
      </w:r>
      <w:bookmarkEnd w:id="997"/>
      <w:bookmarkEnd w:id="998"/>
    </w:p>
    <w:p w:rsidR="004A2FC2" w:rsidRPr="00451078" w:rsidRDefault="004A2FC2" w:rsidP="004A2FC2">
      <w:pPr>
        <w:rPr>
          <w:lang w:val="it-IT"/>
        </w:rPr>
      </w:pPr>
      <w:bookmarkStart w:id="999" w:name="_1_Data_Analyzer"/>
      <w:bookmarkStart w:id="1000" w:name="Aps_ExpStudioproducts"/>
      <w:bookmarkStart w:id="1001" w:name="Aps_ExpStudio2"/>
      <w:bookmarkStart w:id="1002" w:name="Aps_1ExpStudio3"/>
      <w:bookmarkEnd w:id="999"/>
    </w:p>
    <w:p w:rsidR="004A2FC2" w:rsidRPr="00451078" w:rsidRDefault="004A2FC2" w:rsidP="004A2FC2">
      <w:pPr>
        <w:rPr>
          <w:lang w:val="it-IT"/>
        </w:rPr>
      </w:pPr>
    </w:p>
    <w:p w:rsidR="00176313" w:rsidRPr="00451078" w:rsidRDefault="00B54C21" w:rsidP="004A2FC2">
      <w:pPr>
        <w:pStyle w:val="Heading3"/>
        <w:ind w:left="180" w:hanging="180"/>
        <w:rPr>
          <w:lang w:val="it-IT"/>
        </w:rPr>
      </w:pPr>
      <w:bookmarkStart w:id="1003" w:name="_12_Expression_Encoder"/>
      <w:bookmarkStart w:id="1004" w:name="_1_Expression_Encoder"/>
      <w:bookmarkStart w:id="1005" w:name="_Toc336338258"/>
      <w:bookmarkStart w:id="1006" w:name="_Toc352234852"/>
      <w:bookmarkEnd w:id="1003"/>
      <w:bookmarkEnd w:id="1004"/>
      <w:r w:rsidRPr="00451078">
        <w:rPr>
          <w:rFonts w:ascii="Tahoma" w:hAnsi="Tahoma"/>
          <w:caps/>
          <w:color w:val="F66400"/>
          <w:sz w:val="22"/>
          <w:vertAlign w:val="superscript"/>
          <w:lang w:val="it-IT"/>
        </w:rPr>
        <w:t>1</w:t>
      </w:r>
      <w:r w:rsidRPr="00451078">
        <w:rPr>
          <w:rFonts w:ascii="Tahoma" w:hAnsi="Tahoma"/>
          <w:color w:val="F66400"/>
          <w:sz w:val="22"/>
          <w:lang w:val="it-IT"/>
        </w:rPr>
        <w:t xml:space="preserve"> Expression Encoder Pro 4</w:t>
      </w:r>
      <w:bookmarkEnd w:id="1000"/>
      <w:bookmarkEnd w:id="1005"/>
      <w:bookmarkEnd w:id="1006"/>
    </w:p>
    <w:p w:rsidR="00176313" w:rsidRPr="00451078" w:rsidRDefault="00176313" w:rsidP="004A2FC2">
      <w:pPr>
        <w:rPr>
          <w:lang w:val="it-IT"/>
        </w:rPr>
      </w:pPr>
    </w:p>
    <w:p w:rsidR="00176313" w:rsidRPr="00451078" w:rsidRDefault="00176313" w:rsidP="004A2FC2">
      <w:pPr>
        <w:ind w:left="720"/>
        <w:rPr>
          <w:lang w:val="it-IT"/>
        </w:rPr>
      </w:pPr>
    </w:p>
    <w:p w:rsidR="00176313" w:rsidRPr="00451078" w:rsidRDefault="00176313" w:rsidP="00864B8A">
      <w:pPr>
        <w:spacing w:after="60"/>
        <w:ind w:left="720"/>
        <w:rPr>
          <w:lang w:val="it-IT"/>
        </w:rPr>
      </w:pPr>
      <w:r w:rsidRPr="00451078">
        <w:rPr>
          <w:rFonts w:cs="Tahoma"/>
          <w:b/>
          <w:szCs w:val="20"/>
          <w:lang w:val="it-IT"/>
        </w:rPr>
        <w:t>Expression Encoder Pro 4</w:t>
      </w:r>
    </w:p>
    <w:p w:rsidR="00176313" w:rsidRPr="00451078" w:rsidRDefault="00176313" w:rsidP="004A2FC2">
      <w:pPr>
        <w:ind w:left="720"/>
        <w:rPr>
          <w:lang w:val="it-IT"/>
        </w:rPr>
      </w:pPr>
      <w:r w:rsidRPr="00451078">
        <w:rPr>
          <w:rFonts w:cs="Tahoma"/>
          <w:color w:val="000000"/>
          <w:szCs w:val="18"/>
          <w:lang w:val="it-IT"/>
        </w:rPr>
        <w:t>È stato applicato un nuovo marchio alla linea di prodotti Expression.</w:t>
      </w:r>
      <w:r w:rsidR="00082E1C" w:rsidRPr="00451078">
        <w:rPr>
          <w:rFonts w:cs="Tahoma"/>
          <w:color w:val="000000"/>
          <w:szCs w:val="18"/>
          <w:lang w:val="it-IT"/>
        </w:rPr>
        <w:t xml:space="preserve"> </w:t>
      </w:r>
      <w:r w:rsidRPr="00451078">
        <w:rPr>
          <w:rFonts w:cs="Tahoma"/>
          <w:color w:val="000000"/>
          <w:szCs w:val="18"/>
          <w:lang w:val="it-IT"/>
        </w:rPr>
        <w:t>È stato modificato solo il marchio del prodotto. La versione 3 e la versione 4 del software sono uguali.</w:t>
      </w:r>
      <w:r w:rsidR="00082E1C" w:rsidRPr="00451078">
        <w:rPr>
          <w:rFonts w:cs="Tahoma"/>
          <w:color w:val="000000"/>
          <w:szCs w:val="18"/>
          <w:lang w:val="it-IT"/>
        </w:rPr>
        <w:t xml:space="preserve"> </w:t>
      </w:r>
      <w:r w:rsidRPr="00451078">
        <w:rPr>
          <w:rFonts w:cs="Tahoma"/>
          <w:color w:val="000000"/>
          <w:szCs w:val="18"/>
          <w:lang w:val="it-IT"/>
        </w:rPr>
        <w:t>Di conseguenza, le società che dispongono della licenza per i prodotti con versione 3 saranno considerate titolari della licenza per i prodotti con versione 4 corrispondenti (come illustrato di seguito) e potranno utilizzare il software con il marchio associato alla versione 4 al posto del software con il marchio associato alla versione 3. Il diritto di utilizzo del software continuerà a essere disciplinato dalle condizioni del Contratto Multilicenza (Volume Licensing) della società e dai diritti di utilizzo del prodotto per il software integrati dalla presente nota relativa alle condizioni del prodotto.</w:t>
      </w:r>
      <w:r w:rsidR="00082E1C" w:rsidRPr="00451078">
        <w:rPr>
          <w:rFonts w:cs="Tahoma"/>
          <w:color w:val="000000"/>
          <w:szCs w:val="18"/>
          <w:lang w:val="it-IT"/>
        </w:rPr>
        <w:t xml:space="preserve"> </w:t>
      </w:r>
      <w:r w:rsidRPr="00451078">
        <w:rPr>
          <w:rFonts w:cs="Tahoma"/>
          <w:color w:val="000000"/>
          <w:szCs w:val="18"/>
          <w:lang w:val="it-IT"/>
        </w:rPr>
        <w:t>La modifica del marchio non estende la garanzia né le obbligazioni correlate al supporto tecnico di Microsoft in relazione alla copertura Software Assurance per il prodotto.</w:t>
      </w:r>
    </w:p>
    <w:p w:rsidR="00973A93" w:rsidRPr="00451078" w:rsidRDefault="00973A93">
      <w:pPr>
        <w:rPr>
          <w:lang w:val="it-IT"/>
        </w:rPr>
      </w:pPr>
    </w:p>
    <w:p w:rsidR="004A2FC2" w:rsidRPr="00451078" w:rsidRDefault="004A2FC2" w:rsidP="004A2FC2">
      <w:pPr>
        <w:rPr>
          <w:lang w:val="it-IT"/>
        </w:rPr>
      </w:pPr>
      <w:bookmarkStart w:id="1007" w:name="_Toc254806117"/>
      <w:bookmarkStart w:id="1008" w:name="Aps_MSDNOPSystems"/>
      <w:bookmarkStart w:id="1009" w:name="Aps_3MSDNOPSystems"/>
      <w:bookmarkStart w:id="1010" w:name="Aps_5OffCommunicator07"/>
      <w:bookmarkEnd w:id="1001"/>
      <w:bookmarkEnd w:id="1002"/>
    </w:p>
    <w:p w:rsidR="00E316C2" w:rsidRPr="00451078" w:rsidRDefault="00B54C21" w:rsidP="00E316C2">
      <w:pPr>
        <w:pStyle w:val="Heading3"/>
        <w:rPr>
          <w:lang w:val="it-IT"/>
        </w:rPr>
      </w:pPr>
      <w:bookmarkStart w:id="1011" w:name="_23_Lync_for"/>
      <w:bookmarkStart w:id="1012" w:name="_Toc336338259"/>
      <w:bookmarkStart w:id="1013" w:name="_Toc352234853"/>
      <w:bookmarkStart w:id="1014" w:name="Aps_3Lync2010"/>
      <w:bookmarkEnd w:id="1011"/>
      <w:r w:rsidRPr="00451078">
        <w:rPr>
          <w:rFonts w:ascii="Tahoma" w:hAnsi="Tahoma"/>
          <w:caps/>
          <w:color w:val="F66400"/>
          <w:sz w:val="22"/>
          <w:vertAlign w:val="superscript"/>
          <w:lang w:val="it-IT"/>
        </w:rPr>
        <w:t>2</w:t>
      </w:r>
      <w:r w:rsidRPr="00451078">
        <w:rPr>
          <w:rFonts w:ascii="Tahoma" w:hAnsi="Tahoma"/>
          <w:color w:val="F66400"/>
          <w:sz w:val="22"/>
          <w:lang w:val="it-IT"/>
        </w:rPr>
        <w:t xml:space="preserve"> </w:t>
      </w:r>
      <w:bookmarkStart w:id="1015" w:name="Aps_4LyncforMac2011"/>
      <w:r w:rsidRPr="00451078">
        <w:rPr>
          <w:rFonts w:ascii="Tahoma" w:hAnsi="Tahoma"/>
          <w:color w:val="F66400"/>
          <w:sz w:val="22"/>
          <w:lang w:val="it-IT"/>
        </w:rPr>
        <w:t xml:space="preserve">Lync </w:t>
      </w:r>
      <w:bookmarkEnd w:id="1012"/>
      <w:r w:rsidRPr="00451078">
        <w:rPr>
          <w:rFonts w:ascii="Tahoma" w:hAnsi="Tahoma"/>
          <w:color w:val="F66400"/>
          <w:sz w:val="22"/>
          <w:lang w:val="it-IT"/>
        </w:rPr>
        <w:t>per Mac 2011</w:t>
      </w:r>
      <w:bookmarkEnd w:id="1013"/>
      <w:bookmarkEnd w:id="1015"/>
    </w:p>
    <w:p w:rsidR="00AE5A9F" w:rsidRPr="00451078" w:rsidRDefault="00AE5A9F" w:rsidP="00AE5A9F">
      <w:pPr>
        <w:rPr>
          <w:lang w:val="it-IT"/>
        </w:rPr>
      </w:pPr>
    </w:p>
    <w:bookmarkEnd w:id="1014"/>
    <w:p w:rsidR="004A2FC2" w:rsidRPr="00451078" w:rsidRDefault="00E316C2" w:rsidP="00864B8A">
      <w:pPr>
        <w:spacing w:after="60"/>
        <w:ind w:left="720"/>
        <w:rPr>
          <w:lang w:val="it-IT"/>
        </w:rPr>
      </w:pPr>
      <w:r w:rsidRPr="00451078">
        <w:rPr>
          <w:rFonts w:cs="Tahoma"/>
          <w:b/>
          <w:szCs w:val="20"/>
          <w:lang w:val="it-IT"/>
        </w:rPr>
        <w:t xml:space="preserve">Percorso di Migrazione a Software Assurance per Communicator per Mac 2011 </w:t>
      </w:r>
    </w:p>
    <w:p w:rsidR="00B9674D" w:rsidRPr="00451078" w:rsidRDefault="00E316C2" w:rsidP="004A2FC2">
      <w:pPr>
        <w:adjustRightInd w:val="0"/>
        <w:ind w:left="720"/>
        <w:textAlignment w:val="baseline"/>
        <w:rPr>
          <w:lang w:val="it-IT"/>
        </w:rPr>
      </w:pPr>
      <w:r w:rsidRPr="00451078">
        <w:rPr>
          <w:rFonts w:cs="Tahoma"/>
          <w:lang w:val="it-IT"/>
        </w:rPr>
        <w:t>La versione sostitutiva di Communicator per Mac 2011 è Lync per Mac 2011.</w:t>
      </w:r>
    </w:p>
    <w:p w:rsidR="004A2FC2" w:rsidRPr="00451078" w:rsidRDefault="004A2FC2" w:rsidP="004A2FC2">
      <w:pPr>
        <w:adjustRightInd w:val="0"/>
        <w:textAlignment w:val="baseline"/>
        <w:rPr>
          <w:lang w:val="it-IT"/>
        </w:rPr>
      </w:pPr>
    </w:p>
    <w:p w:rsidR="004A2FC2" w:rsidRPr="00451078" w:rsidRDefault="004A2FC2" w:rsidP="004A2FC2">
      <w:pPr>
        <w:adjustRightInd w:val="0"/>
        <w:textAlignment w:val="baseline"/>
        <w:rPr>
          <w:lang w:val="it-IT"/>
        </w:rPr>
      </w:pPr>
    </w:p>
    <w:p w:rsidR="00DC2291" w:rsidRPr="00451078" w:rsidRDefault="00B54C21" w:rsidP="00DC2291">
      <w:pPr>
        <w:pStyle w:val="Heading3"/>
        <w:rPr>
          <w:lang w:val="it-IT"/>
        </w:rPr>
      </w:pPr>
      <w:bookmarkStart w:id="1016" w:name="_34_MSDN_Operating"/>
      <w:bookmarkStart w:id="1017" w:name="_Toc336338261"/>
      <w:bookmarkStart w:id="1018" w:name="_Toc352234854"/>
      <w:bookmarkEnd w:id="1016"/>
      <w:r w:rsidRPr="00451078">
        <w:rPr>
          <w:rFonts w:ascii="Tahoma" w:hAnsi="Tahoma"/>
          <w:caps/>
          <w:color w:val="F66400"/>
          <w:sz w:val="22"/>
          <w:vertAlign w:val="superscript"/>
          <w:lang w:val="it-IT"/>
        </w:rPr>
        <w:t>3</w:t>
      </w:r>
      <w:r w:rsidRPr="00451078">
        <w:rPr>
          <w:rFonts w:ascii="Tahoma" w:hAnsi="Tahoma"/>
          <w:color w:val="F66400"/>
          <w:sz w:val="22"/>
          <w:lang w:val="it-IT"/>
        </w:rPr>
        <w:t xml:space="preserve"> Sistemi Operativi MSDN</w:t>
      </w:r>
      <w:bookmarkEnd w:id="1007"/>
      <w:bookmarkEnd w:id="1017"/>
      <w:bookmarkEnd w:id="1018"/>
    </w:p>
    <w:bookmarkEnd w:id="1008"/>
    <w:bookmarkEnd w:id="1009"/>
    <w:p w:rsidR="00D16EA8" w:rsidRPr="00451078" w:rsidRDefault="00D16EA8" w:rsidP="00D16EA8">
      <w:pPr>
        <w:pStyle w:val="FootnoteBulletLevel1"/>
        <w:tabs>
          <w:tab w:val="clear" w:pos="900"/>
        </w:tabs>
        <w:spacing w:before="0" w:after="0"/>
        <w:ind w:left="720" w:firstLine="0"/>
        <w:rPr>
          <w:lang w:val="it-IT"/>
        </w:rPr>
      </w:pPr>
    </w:p>
    <w:p w:rsidR="00D16EA8" w:rsidRPr="00451078" w:rsidRDefault="00DC2291" w:rsidP="00864B8A">
      <w:pPr>
        <w:spacing w:after="60"/>
        <w:ind w:left="720"/>
        <w:rPr>
          <w:lang w:val="it-IT"/>
        </w:rPr>
      </w:pPr>
      <w:r w:rsidRPr="00451078">
        <w:rPr>
          <w:rFonts w:cs="Tahoma"/>
          <w:b/>
          <w:szCs w:val="20"/>
          <w:lang w:val="it-IT"/>
        </w:rPr>
        <w:t>Requisiti di Idoneità per Software Assurance</w:t>
      </w:r>
    </w:p>
    <w:p w:rsidR="008368B4" w:rsidRPr="00451078" w:rsidRDefault="00DC2291" w:rsidP="008368B4">
      <w:pPr>
        <w:pStyle w:val="EndnoteText"/>
        <w:tabs>
          <w:tab w:val="num" w:pos="1080"/>
        </w:tabs>
        <w:ind w:left="720"/>
        <w:rPr>
          <w:lang w:val="it-IT"/>
        </w:rPr>
      </w:pPr>
      <w:r w:rsidRPr="00451078">
        <w:rPr>
          <w:rFonts w:ascii="Tahoma" w:hAnsi="Tahoma" w:cs="Tahoma"/>
          <w:sz w:val="18"/>
          <w:lang w:val="it-IT"/>
        </w:rPr>
        <w:t>Le società con copertura Software Assurance in scadenza sulle licenze relative ai seguenti prodotti soddisfano i requisiti di idoneità per il rinnovo della copertura Software Assurance per i Sistemi Operativi MSDN. Quando viene effettuato il rinnovo a un livello di sottoscrizione MSDN diverso, le nuove condizioni per l</w:t>
      </w:r>
      <w:r w:rsidR="004525CA">
        <w:rPr>
          <w:rFonts w:ascii="Tahoma" w:hAnsi="Tahoma" w:cs="Tahoma"/>
          <w:sz w:val="18"/>
          <w:lang w:val="it-IT"/>
        </w:rPr>
        <w:t>’</w:t>
      </w:r>
      <w:r w:rsidRPr="00451078">
        <w:rPr>
          <w:rFonts w:ascii="Tahoma" w:hAnsi="Tahoma" w:cs="Tahoma"/>
          <w:sz w:val="18"/>
          <w:lang w:val="it-IT"/>
        </w:rPr>
        <w:t>utilizzo sostituiscono quelle precedenti e qualsiasi prodotto software non incluso nella nuova sottoscrizione MSDN dovrà essere rimosso.</w:t>
      </w:r>
    </w:p>
    <w:p w:rsidR="00DC2291" w:rsidRPr="00451078" w:rsidRDefault="00DC2291" w:rsidP="00D16EA8">
      <w:pPr>
        <w:pStyle w:val="EndnoteText"/>
        <w:ind w:left="720"/>
        <w:rPr>
          <w:lang w:val="it-IT"/>
        </w:rPr>
      </w:pPr>
    </w:p>
    <w:p w:rsidR="00DC2291" w:rsidRPr="00451078" w:rsidRDefault="00DC2291" w:rsidP="00D16EA8">
      <w:pPr>
        <w:pStyle w:val="EndnoteText"/>
        <w:tabs>
          <w:tab w:val="num" w:pos="1080"/>
        </w:tabs>
        <w:ind w:left="720"/>
        <w:rPr>
          <w:lang w:val="it-IT"/>
        </w:rPr>
      </w:pPr>
    </w:p>
    <w:p w:rsidR="00DC2291" w:rsidRPr="003410C7" w:rsidRDefault="00DC2291" w:rsidP="00D16EA8">
      <w:pPr>
        <w:pStyle w:val="FootnoteBulletLevel2"/>
        <w:numPr>
          <w:ilvl w:val="0"/>
          <w:numId w:val="4"/>
        </w:numPr>
        <w:spacing w:before="0" w:after="60"/>
        <w:ind w:left="1440"/>
      </w:pPr>
      <w:r w:rsidRPr="003410C7">
        <w:rPr>
          <w:rFonts w:ascii="Tahoma" w:hAnsi="Tahoma" w:cs="Tahoma"/>
          <w:sz w:val="18"/>
        </w:rPr>
        <w:t>Visual Studio Ultimate con MSDN</w:t>
      </w:r>
    </w:p>
    <w:p w:rsidR="00DC2291" w:rsidRPr="003410C7" w:rsidRDefault="00DC2291" w:rsidP="00D16EA8">
      <w:pPr>
        <w:pStyle w:val="FootnoteBulletLevel2"/>
        <w:numPr>
          <w:ilvl w:val="0"/>
          <w:numId w:val="4"/>
        </w:numPr>
        <w:spacing w:before="0" w:after="60"/>
        <w:ind w:left="1440"/>
      </w:pPr>
      <w:r w:rsidRPr="003410C7">
        <w:rPr>
          <w:rFonts w:ascii="Tahoma" w:hAnsi="Tahoma" w:cs="Tahoma"/>
          <w:sz w:val="18"/>
        </w:rPr>
        <w:t>Visual Studio Premium con MSDN</w:t>
      </w:r>
    </w:p>
    <w:p w:rsidR="00DC2291" w:rsidRPr="003410C7" w:rsidRDefault="00DC2291" w:rsidP="00D16EA8">
      <w:pPr>
        <w:pStyle w:val="FootnoteBulletLevel2"/>
        <w:numPr>
          <w:ilvl w:val="0"/>
          <w:numId w:val="4"/>
        </w:numPr>
        <w:spacing w:before="0" w:after="60"/>
        <w:ind w:left="1440"/>
      </w:pPr>
      <w:r w:rsidRPr="003410C7">
        <w:rPr>
          <w:rFonts w:ascii="Tahoma" w:hAnsi="Tahoma" w:cs="Tahoma"/>
          <w:sz w:val="18"/>
        </w:rPr>
        <w:t>Visual Studio Professional con MSDN</w:t>
      </w:r>
    </w:p>
    <w:p w:rsidR="00DC2291" w:rsidRPr="003410C7" w:rsidRDefault="00DC2291" w:rsidP="00D16EA8">
      <w:pPr>
        <w:pStyle w:val="FootnoteBulletLevel2"/>
        <w:numPr>
          <w:ilvl w:val="0"/>
          <w:numId w:val="4"/>
        </w:numPr>
        <w:spacing w:before="0" w:after="60"/>
        <w:ind w:left="1440"/>
      </w:pPr>
      <w:r w:rsidRPr="003410C7">
        <w:rPr>
          <w:rFonts w:ascii="Tahoma" w:hAnsi="Tahoma" w:cs="Tahoma"/>
          <w:sz w:val="18"/>
        </w:rPr>
        <w:t>Visual Studio Professional con MSDN Embedded</w:t>
      </w:r>
    </w:p>
    <w:p w:rsidR="00DC2291" w:rsidRPr="003410C7" w:rsidRDefault="00DC2291" w:rsidP="00D16EA8">
      <w:pPr>
        <w:pStyle w:val="FootnoteBulletLevel2"/>
        <w:numPr>
          <w:ilvl w:val="0"/>
          <w:numId w:val="4"/>
        </w:numPr>
        <w:spacing w:before="0" w:after="60"/>
        <w:ind w:left="1440"/>
      </w:pPr>
      <w:r w:rsidRPr="003410C7">
        <w:rPr>
          <w:rFonts w:ascii="Tahoma" w:hAnsi="Tahoma" w:cs="Tahoma"/>
          <w:sz w:val="18"/>
        </w:rPr>
        <w:t>Visual Studio Test Professional con MSDN</w:t>
      </w:r>
    </w:p>
    <w:p w:rsidR="00DC2291" w:rsidRPr="00451078" w:rsidRDefault="00DC2291" w:rsidP="00D16EA8">
      <w:pPr>
        <w:pStyle w:val="FootnoteBulletLevel2"/>
        <w:numPr>
          <w:ilvl w:val="0"/>
          <w:numId w:val="4"/>
        </w:numPr>
        <w:spacing w:before="0" w:after="60"/>
        <w:ind w:left="1440"/>
        <w:rPr>
          <w:lang w:val="it-IT"/>
        </w:rPr>
      </w:pPr>
      <w:r w:rsidRPr="00451078">
        <w:rPr>
          <w:rFonts w:ascii="Tahoma" w:hAnsi="Tahoma" w:cs="Tahoma"/>
          <w:sz w:val="18"/>
          <w:lang w:val="it-IT"/>
        </w:rPr>
        <w:t>Visual Studio Professional con MSDN Professional</w:t>
      </w:r>
    </w:p>
    <w:p w:rsidR="00DC2291" w:rsidRPr="00451078" w:rsidRDefault="00DC2291" w:rsidP="00D16EA8">
      <w:pPr>
        <w:pStyle w:val="FootnoteBulletLevel2"/>
        <w:numPr>
          <w:ilvl w:val="0"/>
          <w:numId w:val="4"/>
        </w:numPr>
        <w:spacing w:before="0" w:after="60"/>
        <w:ind w:left="1440"/>
        <w:rPr>
          <w:lang w:val="it-IT"/>
        </w:rPr>
      </w:pPr>
      <w:r w:rsidRPr="00451078">
        <w:rPr>
          <w:rFonts w:ascii="Tahoma" w:hAnsi="Tahoma" w:cs="Tahoma"/>
          <w:sz w:val="18"/>
          <w:lang w:val="it-IT"/>
        </w:rPr>
        <w:t>Visual Studio Professional con MSDN Premium</w:t>
      </w:r>
    </w:p>
    <w:p w:rsidR="00DC2291" w:rsidRPr="003410C7" w:rsidRDefault="00DC2291" w:rsidP="00D16EA8">
      <w:pPr>
        <w:pStyle w:val="FootnoteBulletLevel2"/>
        <w:numPr>
          <w:ilvl w:val="0"/>
          <w:numId w:val="4"/>
        </w:numPr>
        <w:spacing w:before="0" w:after="60"/>
        <w:ind w:left="1440"/>
      </w:pPr>
      <w:r w:rsidRPr="003410C7">
        <w:rPr>
          <w:rFonts w:ascii="Tahoma" w:hAnsi="Tahoma" w:cs="Tahoma"/>
          <w:sz w:val="18"/>
        </w:rPr>
        <w:t>Visual Studio Team System Team Suite con MSDN Premium</w:t>
      </w:r>
    </w:p>
    <w:p w:rsidR="00DC2291" w:rsidRPr="003410C7" w:rsidRDefault="00DC2291" w:rsidP="00D16EA8">
      <w:pPr>
        <w:pStyle w:val="FootnoteBulletLevel2"/>
        <w:numPr>
          <w:ilvl w:val="0"/>
          <w:numId w:val="4"/>
        </w:numPr>
        <w:spacing w:before="0" w:after="60"/>
        <w:ind w:left="1440"/>
      </w:pPr>
      <w:r w:rsidRPr="003410C7">
        <w:rPr>
          <w:rFonts w:ascii="Tahoma" w:hAnsi="Tahoma" w:cs="Tahoma"/>
          <w:sz w:val="18"/>
        </w:rPr>
        <w:t>Visual Studio Team System Test Edition con MSDN Premium</w:t>
      </w:r>
    </w:p>
    <w:p w:rsidR="00DC2291" w:rsidRPr="003410C7" w:rsidRDefault="00DC2291" w:rsidP="00D16EA8">
      <w:pPr>
        <w:pStyle w:val="FootnoteBulletLevel2"/>
        <w:numPr>
          <w:ilvl w:val="0"/>
          <w:numId w:val="4"/>
        </w:numPr>
        <w:spacing w:before="0" w:after="60"/>
        <w:ind w:left="1440"/>
      </w:pPr>
      <w:r w:rsidRPr="003410C7">
        <w:rPr>
          <w:rFonts w:ascii="Tahoma" w:hAnsi="Tahoma" w:cs="Tahoma"/>
          <w:sz w:val="18"/>
        </w:rPr>
        <w:t>Visual Studio Team System Development Edition con MSDN Premium</w:t>
      </w:r>
    </w:p>
    <w:p w:rsidR="00DC2291" w:rsidRPr="003410C7" w:rsidRDefault="00DC2291" w:rsidP="00D16EA8">
      <w:pPr>
        <w:pStyle w:val="FootnoteBulletLevel2"/>
        <w:numPr>
          <w:ilvl w:val="0"/>
          <w:numId w:val="4"/>
        </w:numPr>
        <w:spacing w:before="0" w:after="60"/>
        <w:ind w:left="1440"/>
      </w:pPr>
      <w:r w:rsidRPr="003410C7">
        <w:rPr>
          <w:rFonts w:ascii="Tahoma" w:hAnsi="Tahoma" w:cs="Tahoma"/>
          <w:sz w:val="18"/>
        </w:rPr>
        <w:t xml:space="preserve">Visual Studio Team System Architecture Edition con MSDN Premium </w:t>
      </w:r>
    </w:p>
    <w:p w:rsidR="00DC2291" w:rsidRPr="003410C7" w:rsidRDefault="00DC2291" w:rsidP="00D16EA8">
      <w:pPr>
        <w:pStyle w:val="FootnoteBulletLevel2"/>
        <w:numPr>
          <w:ilvl w:val="0"/>
          <w:numId w:val="4"/>
        </w:numPr>
        <w:spacing w:before="0" w:after="60"/>
        <w:ind w:left="1440"/>
      </w:pPr>
      <w:r w:rsidRPr="003410C7">
        <w:rPr>
          <w:rFonts w:ascii="Tahoma" w:hAnsi="Tahoma" w:cs="Tahoma"/>
          <w:sz w:val="18"/>
        </w:rPr>
        <w:t>Visual Studio Team System Database Edition con MSDN Premium</w:t>
      </w:r>
    </w:p>
    <w:p w:rsidR="00DC2291" w:rsidRPr="003410C7" w:rsidRDefault="00DC2291" w:rsidP="00D16EA8">
      <w:pPr>
        <w:pStyle w:val="FootnoteBulletLevel2"/>
        <w:numPr>
          <w:ilvl w:val="0"/>
          <w:numId w:val="4"/>
        </w:numPr>
        <w:spacing w:before="0" w:after="60"/>
        <w:ind w:left="1440"/>
      </w:pPr>
      <w:r w:rsidRPr="003410C7">
        <w:rPr>
          <w:rFonts w:ascii="Tahoma" w:hAnsi="Tahoma" w:cs="Tahoma"/>
          <w:sz w:val="18"/>
        </w:rPr>
        <w:t>Sistemi Operativi MSDN</w:t>
      </w:r>
    </w:p>
    <w:p w:rsidR="00DC2291" w:rsidRPr="00451078" w:rsidRDefault="00DC2291" w:rsidP="00D16EA8">
      <w:pPr>
        <w:pStyle w:val="FootnoteBulletLevel2"/>
        <w:numPr>
          <w:ilvl w:val="0"/>
          <w:numId w:val="4"/>
        </w:numPr>
        <w:spacing w:before="0" w:after="60"/>
        <w:ind w:left="1440"/>
        <w:rPr>
          <w:lang w:val="it-IT"/>
        </w:rPr>
      </w:pPr>
      <w:r w:rsidRPr="00451078">
        <w:rPr>
          <w:rFonts w:ascii="Tahoma" w:hAnsi="Tahoma" w:cs="Tahoma"/>
          <w:sz w:val="18"/>
          <w:lang w:val="it-IT"/>
        </w:rPr>
        <w:lastRenderedPageBreak/>
        <w:t>Società titolari di un abbonamento retail attivo per qualsiasi prodotto software indicato nel precedente elenco.</w:t>
      </w:r>
    </w:p>
    <w:p w:rsidR="00D16EA8" w:rsidRPr="00451078" w:rsidRDefault="00F51051" w:rsidP="00864B8A">
      <w:pPr>
        <w:spacing w:after="60"/>
        <w:ind w:left="720"/>
        <w:rPr>
          <w:lang w:val="it-IT"/>
        </w:rPr>
      </w:pPr>
      <w:r w:rsidRPr="00451078">
        <w:rPr>
          <w:rFonts w:cs="Tahoma"/>
          <w:b/>
          <w:szCs w:val="20"/>
          <w:lang w:val="it-IT"/>
        </w:rPr>
        <w:t xml:space="preserve">Servizi </w:t>
      </w:r>
      <w:r w:rsidR="001A3EC5" w:rsidRPr="00451078">
        <w:rPr>
          <w:rFonts w:cs="Tahoma"/>
          <w:b/>
          <w:szCs w:val="20"/>
          <w:lang w:val="it-IT"/>
        </w:rPr>
        <w:t>“</w:t>
      </w:r>
      <w:r w:rsidRPr="00451078">
        <w:rPr>
          <w:rFonts w:cs="Tahoma"/>
          <w:b/>
          <w:szCs w:val="20"/>
          <w:lang w:val="it-IT"/>
        </w:rPr>
        <w:t>Subscription</w:t>
      </w:r>
      <w:r w:rsidR="001A3EC5" w:rsidRPr="00451078">
        <w:rPr>
          <w:rFonts w:cs="Tahoma"/>
          <w:b/>
          <w:szCs w:val="20"/>
          <w:lang w:val="it-IT"/>
        </w:rPr>
        <w:t>”</w:t>
      </w:r>
    </w:p>
    <w:p w:rsidR="00B26237" w:rsidRPr="00451078" w:rsidRDefault="002333B5" w:rsidP="00D16EA8">
      <w:pPr>
        <w:pStyle w:val="FootnoteBulletLevel2"/>
        <w:tabs>
          <w:tab w:val="clear" w:pos="1260"/>
        </w:tabs>
        <w:spacing w:before="0"/>
        <w:ind w:left="720" w:firstLine="0"/>
        <w:rPr>
          <w:lang w:val="it-IT"/>
        </w:rPr>
      </w:pPr>
      <w:r w:rsidRPr="00451078">
        <w:rPr>
          <w:rFonts w:ascii="Tahoma" w:hAnsi="Tahoma" w:cs="Tahoma"/>
          <w:sz w:val="18"/>
          <w:lang w:val="it-IT"/>
        </w:rPr>
        <w:t>I servizi MSDN in abbonamento, che potranno includere download, codici Product Key, vantaggi di Windows Azure, e-learning, supporto tecnico, vantaggi di Windows Store e altri servizi, sono disponibili solo durante il periodo di validità dell</w:t>
      </w:r>
      <w:r w:rsidR="004525CA">
        <w:rPr>
          <w:rFonts w:ascii="Tahoma" w:hAnsi="Tahoma" w:cs="Tahoma"/>
          <w:sz w:val="18"/>
          <w:lang w:val="it-IT"/>
        </w:rPr>
        <w:t>’</w:t>
      </w:r>
      <w:r w:rsidRPr="00451078">
        <w:rPr>
          <w:rFonts w:ascii="Tahoma" w:hAnsi="Tahoma" w:cs="Tahoma"/>
          <w:sz w:val="18"/>
          <w:lang w:val="it-IT"/>
        </w:rPr>
        <w:t>abbonamento.</w:t>
      </w:r>
    </w:p>
    <w:p w:rsidR="00D16EA8" w:rsidRPr="00451078" w:rsidRDefault="00D16EA8" w:rsidP="00D16EA8">
      <w:pPr>
        <w:pStyle w:val="FootnoteBulletLevel2"/>
        <w:tabs>
          <w:tab w:val="clear" w:pos="1260"/>
        </w:tabs>
        <w:spacing w:before="0"/>
        <w:ind w:left="0" w:firstLine="0"/>
        <w:rPr>
          <w:lang w:val="it-IT"/>
        </w:rPr>
      </w:pPr>
    </w:p>
    <w:p w:rsidR="00D16EA8" w:rsidRPr="00451078" w:rsidRDefault="00D16EA8" w:rsidP="00D16EA8">
      <w:pPr>
        <w:pStyle w:val="FootnoteBulletLevel2"/>
        <w:tabs>
          <w:tab w:val="clear" w:pos="1260"/>
        </w:tabs>
        <w:spacing w:before="0"/>
        <w:ind w:left="0" w:firstLine="0"/>
        <w:rPr>
          <w:lang w:val="it-IT"/>
        </w:rPr>
      </w:pPr>
    </w:p>
    <w:p w:rsidR="00B26237" w:rsidRPr="00451078" w:rsidRDefault="00B54C21" w:rsidP="00B26237">
      <w:pPr>
        <w:pStyle w:val="Heading2"/>
        <w:ind w:left="0"/>
        <w:rPr>
          <w:lang w:val="it-IT"/>
        </w:rPr>
      </w:pPr>
      <w:bookmarkStart w:id="1019" w:name="_6_Office_365"/>
      <w:bookmarkStart w:id="1020" w:name="_45_Office_365"/>
      <w:bookmarkStart w:id="1021" w:name="_Toc336338262"/>
      <w:bookmarkStart w:id="1022" w:name="_Toc352234855"/>
      <w:bookmarkEnd w:id="1019"/>
      <w:bookmarkEnd w:id="1020"/>
      <w:r w:rsidRPr="00451078">
        <w:rPr>
          <w:rFonts w:ascii="Tahoma" w:hAnsi="Tahoma" w:cs="Tahoma"/>
          <w:caps/>
          <w:color w:val="F66400"/>
          <w:sz w:val="22"/>
          <w:szCs w:val="20"/>
          <w:vertAlign w:val="superscript"/>
          <w:lang w:val="it-IT"/>
        </w:rPr>
        <w:t>4</w:t>
      </w:r>
      <w:r w:rsidRPr="00451078">
        <w:rPr>
          <w:color w:val="F66400"/>
          <w:sz w:val="22"/>
          <w:szCs w:val="20"/>
          <w:lang w:val="it-IT"/>
        </w:rPr>
        <w:t xml:space="preserve"> </w:t>
      </w:r>
      <w:r w:rsidRPr="00451078">
        <w:rPr>
          <w:rFonts w:ascii="Tahoma" w:hAnsi="Tahoma" w:cs="Tahoma"/>
          <w:color w:val="FF6600"/>
          <w:sz w:val="22"/>
          <w:szCs w:val="22"/>
          <w:lang w:val="it-IT"/>
        </w:rPr>
        <w:t>Office 365 Education A2-A4 (SL per Utente)</w:t>
      </w:r>
      <w:bookmarkEnd w:id="1021"/>
      <w:bookmarkEnd w:id="1022"/>
    </w:p>
    <w:p w:rsidR="00B26237" w:rsidRPr="00451078" w:rsidRDefault="00B26237" w:rsidP="00AE5A9F">
      <w:pPr>
        <w:rPr>
          <w:lang w:val="it-IT"/>
        </w:rPr>
      </w:pPr>
    </w:p>
    <w:p w:rsidR="00B26237" w:rsidRPr="00451078" w:rsidRDefault="00B26237" w:rsidP="00B26237">
      <w:pPr>
        <w:ind w:left="720"/>
        <w:rPr>
          <w:lang w:val="it-IT"/>
        </w:rPr>
      </w:pPr>
      <w:r w:rsidRPr="00451078">
        <w:rPr>
          <w:rFonts w:eastAsia="Calibri" w:cs="Tahoma"/>
          <w:color w:val="000000"/>
          <w:szCs w:val="18"/>
          <w:lang w:val="it-IT"/>
        </w:rPr>
        <w:t>Office 365 Education A2-A4 consistono di versioni specifiche Academic degli stessi servizi online che costituiscono Office 365 Enterprise E2-E4.</w:t>
      </w:r>
      <w:r w:rsidR="00082E1C" w:rsidRPr="00451078">
        <w:rPr>
          <w:rFonts w:eastAsia="Calibri" w:cs="Tahoma"/>
          <w:color w:val="000000"/>
          <w:szCs w:val="18"/>
          <w:lang w:val="it-IT"/>
        </w:rPr>
        <w:t xml:space="preserve"> </w:t>
      </w:r>
      <w:r w:rsidRPr="00451078">
        <w:rPr>
          <w:rFonts w:eastAsia="Calibri" w:cs="Tahoma"/>
          <w:color w:val="000000"/>
          <w:szCs w:val="18"/>
          <w:lang w:val="it-IT"/>
        </w:rPr>
        <w:t>I diritti sull</w:t>
      </w:r>
      <w:r w:rsidR="004525CA">
        <w:rPr>
          <w:rFonts w:eastAsia="Calibri" w:cs="Tahoma"/>
          <w:color w:val="000000"/>
          <w:szCs w:val="18"/>
          <w:lang w:val="it-IT"/>
        </w:rPr>
        <w:t>’</w:t>
      </w:r>
      <w:r w:rsidRPr="00451078">
        <w:rPr>
          <w:rFonts w:eastAsia="Calibri" w:cs="Tahoma"/>
          <w:color w:val="000000"/>
          <w:szCs w:val="18"/>
          <w:lang w:val="it-IT"/>
        </w:rPr>
        <w:t>utilizzo di Education A2-A4 e dei relativi componenti sono equivalenti alle loro controparti commerciali.</w:t>
      </w:r>
      <w:r w:rsidR="00082E1C" w:rsidRPr="00451078">
        <w:rPr>
          <w:rFonts w:eastAsia="Calibri" w:cs="Tahoma"/>
          <w:color w:val="000000"/>
          <w:szCs w:val="18"/>
          <w:lang w:val="it-IT"/>
        </w:rPr>
        <w:t xml:space="preserve"> </w:t>
      </w:r>
      <w:r w:rsidRPr="00451078">
        <w:rPr>
          <w:rFonts w:eastAsia="Calibri" w:cs="Tahoma"/>
          <w:color w:val="000000"/>
          <w:szCs w:val="18"/>
          <w:lang w:val="it-IT"/>
        </w:rPr>
        <w:t>Tuttavia, gli utenti in possesso di USL per Office 365 Education A2 non sono autorizzati ad accedere ai propri server locali.</w:t>
      </w:r>
    </w:p>
    <w:p w:rsidR="00B26237" w:rsidRPr="00451078" w:rsidRDefault="00B26237" w:rsidP="00B26237">
      <w:pPr>
        <w:ind w:left="720"/>
        <w:rPr>
          <w:lang w:val="it-IT"/>
        </w:rPr>
      </w:pPr>
    </w:p>
    <w:p w:rsidR="00B26237" w:rsidRPr="00451078" w:rsidRDefault="00B26237" w:rsidP="00B26237">
      <w:pPr>
        <w:ind w:left="720"/>
        <w:rPr>
          <w:lang w:val="it-IT"/>
        </w:rPr>
      </w:pPr>
      <w:r w:rsidRPr="00451078">
        <w:rPr>
          <w:rFonts w:eastAsia="Calibri" w:cs="Tahoma"/>
          <w:color w:val="000000"/>
          <w:szCs w:val="18"/>
          <w:lang w:val="it-IT"/>
        </w:rPr>
        <w:t xml:space="preserve">Ai sensi del Contratto School le licenze </w:t>
      </w:r>
      <w:r w:rsidR="001A3EC5" w:rsidRPr="00451078">
        <w:rPr>
          <w:rFonts w:eastAsia="Calibri" w:cs="Tahoma"/>
          <w:color w:val="000000"/>
          <w:szCs w:val="18"/>
          <w:lang w:val="it-IT"/>
        </w:rPr>
        <w:t>“</w:t>
      </w:r>
      <w:r w:rsidRPr="00451078">
        <w:rPr>
          <w:rFonts w:eastAsia="Calibri" w:cs="Tahoma"/>
          <w:color w:val="000000"/>
          <w:szCs w:val="18"/>
          <w:lang w:val="it-IT"/>
        </w:rPr>
        <w:t>Subscription</w:t>
      </w:r>
      <w:r w:rsidR="001A3EC5" w:rsidRPr="00451078">
        <w:rPr>
          <w:rFonts w:eastAsia="Calibri" w:cs="Tahoma"/>
          <w:color w:val="000000"/>
          <w:szCs w:val="18"/>
          <w:lang w:val="it-IT"/>
        </w:rPr>
        <w:t>”</w:t>
      </w:r>
      <w:r w:rsidRPr="00451078">
        <w:rPr>
          <w:rFonts w:eastAsia="Calibri" w:cs="Tahoma"/>
          <w:color w:val="000000"/>
          <w:szCs w:val="18"/>
          <w:lang w:val="it-IT"/>
        </w:rPr>
        <w:t xml:space="preserve"> per i Piani di Office 365 dovranno essere acquistate in</w:t>
      </w:r>
      <w:r w:rsidR="00B62DEE" w:rsidRPr="00451078">
        <w:rPr>
          <w:rFonts w:eastAsia="Calibri" w:cs="Tahoma"/>
          <w:color w:val="000000"/>
          <w:szCs w:val="18"/>
          <w:lang w:val="it-IT"/>
        </w:rPr>
        <w:t> </w:t>
      </w:r>
      <w:r w:rsidRPr="00451078">
        <w:rPr>
          <w:rFonts w:eastAsia="Calibri" w:cs="Tahoma"/>
          <w:color w:val="000000"/>
          <w:szCs w:val="18"/>
          <w:lang w:val="it-IT"/>
        </w:rPr>
        <w:t>modalità per utente per l</w:t>
      </w:r>
      <w:r w:rsidR="004525CA">
        <w:rPr>
          <w:rFonts w:eastAsia="Calibri" w:cs="Tahoma"/>
          <w:color w:val="000000"/>
          <w:szCs w:val="18"/>
          <w:lang w:val="it-IT"/>
        </w:rPr>
        <w:t>’</w:t>
      </w:r>
      <w:r w:rsidRPr="00451078">
        <w:rPr>
          <w:rFonts w:eastAsia="Calibri" w:cs="Tahoma"/>
          <w:color w:val="000000"/>
          <w:szCs w:val="18"/>
          <w:lang w:val="it-IT"/>
        </w:rPr>
        <w:t>intero istituto oppure non per l</w:t>
      </w:r>
      <w:r w:rsidR="004525CA">
        <w:rPr>
          <w:rFonts w:eastAsia="Calibri" w:cs="Tahoma"/>
          <w:color w:val="000000"/>
          <w:szCs w:val="18"/>
          <w:lang w:val="it-IT"/>
        </w:rPr>
        <w:t>’</w:t>
      </w:r>
      <w:r w:rsidRPr="00451078">
        <w:rPr>
          <w:rFonts w:eastAsia="Calibri" w:cs="Tahoma"/>
          <w:color w:val="000000"/>
          <w:szCs w:val="18"/>
          <w:lang w:val="it-IT"/>
        </w:rPr>
        <w:t xml:space="preserve">intero istituto. Qualora occorressero Licenze </w:t>
      </w:r>
      <w:r w:rsidR="001A3EC5" w:rsidRPr="00451078">
        <w:rPr>
          <w:rFonts w:eastAsia="Calibri" w:cs="Tahoma"/>
          <w:color w:val="000000"/>
          <w:szCs w:val="18"/>
          <w:lang w:val="it-IT"/>
        </w:rPr>
        <w:t>“</w:t>
      </w:r>
      <w:r w:rsidRPr="00451078">
        <w:rPr>
          <w:rFonts w:eastAsia="Calibri" w:cs="Tahoma"/>
          <w:color w:val="000000"/>
          <w:szCs w:val="18"/>
          <w:lang w:val="it-IT"/>
        </w:rPr>
        <w:t>Subscription</w:t>
      </w:r>
      <w:r w:rsidR="001A3EC5" w:rsidRPr="00451078">
        <w:rPr>
          <w:rFonts w:eastAsia="Calibri" w:cs="Tahoma"/>
          <w:color w:val="000000"/>
          <w:szCs w:val="18"/>
          <w:lang w:val="it-IT"/>
        </w:rPr>
        <w:t>”</w:t>
      </w:r>
      <w:r w:rsidRPr="00451078">
        <w:rPr>
          <w:rFonts w:eastAsia="Calibri" w:cs="Tahoma"/>
          <w:color w:val="000000"/>
          <w:szCs w:val="18"/>
          <w:lang w:val="it-IT"/>
        </w:rPr>
        <w:t xml:space="preserve"> per Utente per accedere a un Piano a medio termine di Office 365, l</w:t>
      </w:r>
      <w:r w:rsidR="004525CA">
        <w:rPr>
          <w:rFonts w:eastAsia="Calibri" w:cs="Tahoma"/>
          <w:color w:val="000000"/>
          <w:szCs w:val="18"/>
          <w:lang w:val="it-IT"/>
        </w:rPr>
        <w:t>’</w:t>
      </w:r>
      <w:r w:rsidRPr="00451078">
        <w:rPr>
          <w:rFonts w:eastAsia="Calibri" w:cs="Tahoma"/>
          <w:color w:val="000000"/>
          <w:szCs w:val="18"/>
          <w:lang w:val="it-IT"/>
        </w:rPr>
        <w:t>Istituto dovrà ordinare tali Licenze.</w:t>
      </w:r>
      <w:r w:rsidR="00082E1C" w:rsidRPr="00451078">
        <w:rPr>
          <w:rFonts w:eastAsia="Calibri" w:cs="Tahoma"/>
          <w:color w:val="000000"/>
          <w:szCs w:val="18"/>
          <w:lang w:val="it-IT"/>
        </w:rPr>
        <w:t xml:space="preserve"> </w:t>
      </w:r>
      <w:r w:rsidRPr="00451078">
        <w:rPr>
          <w:rFonts w:eastAsia="Calibri" w:cs="Tahoma"/>
          <w:color w:val="000000"/>
          <w:szCs w:val="18"/>
          <w:lang w:val="it-IT"/>
        </w:rPr>
        <w:t>L</w:t>
      </w:r>
      <w:r w:rsidR="004525CA">
        <w:rPr>
          <w:rFonts w:eastAsia="Calibri" w:cs="Tahoma"/>
          <w:color w:val="000000"/>
          <w:szCs w:val="18"/>
          <w:lang w:val="it-IT"/>
        </w:rPr>
        <w:t>’</w:t>
      </w:r>
      <w:r w:rsidRPr="00451078">
        <w:rPr>
          <w:rFonts w:eastAsia="Calibri" w:cs="Tahoma"/>
          <w:color w:val="000000"/>
          <w:szCs w:val="18"/>
          <w:lang w:val="it-IT"/>
        </w:rPr>
        <w:t>Istituto può utilizzare un qualsiasi Piano di Office 365 per soddisfare i requisiti minimi del</w:t>
      </w:r>
      <w:r w:rsidR="00B62DEE" w:rsidRPr="00451078">
        <w:rPr>
          <w:rFonts w:eastAsia="Calibri" w:cs="Tahoma"/>
          <w:color w:val="000000"/>
          <w:szCs w:val="18"/>
          <w:lang w:val="it-IT"/>
        </w:rPr>
        <w:t> </w:t>
      </w:r>
      <w:r w:rsidRPr="00451078">
        <w:rPr>
          <w:rFonts w:eastAsia="Calibri" w:cs="Tahoma"/>
          <w:color w:val="000000"/>
          <w:szCs w:val="18"/>
          <w:lang w:val="it-IT"/>
        </w:rPr>
        <w:t>programma. Quando si ottiene una licenza Add-on per Office 365, anche la licenza per il prodotto qualificante corrispondente dovrà essere acquistata ai sensi della stessa iscrizione.</w:t>
      </w:r>
      <w:r w:rsidR="00082E1C" w:rsidRPr="00451078">
        <w:rPr>
          <w:rFonts w:eastAsia="Calibri" w:cs="Tahoma"/>
          <w:color w:val="000000"/>
          <w:szCs w:val="18"/>
          <w:lang w:val="it-IT"/>
        </w:rPr>
        <w:t xml:space="preserve"> </w:t>
      </w:r>
      <w:r w:rsidRPr="00451078">
        <w:rPr>
          <w:color w:val="000000"/>
          <w:lang w:val="it-IT"/>
        </w:rPr>
        <w:t>In occasione della ricorrenza annuale l</w:t>
      </w:r>
      <w:r w:rsidR="004525CA">
        <w:rPr>
          <w:color w:val="000000"/>
          <w:lang w:val="it-IT"/>
        </w:rPr>
        <w:t>’</w:t>
      </w:r>
      <w:r w:rsidRPr="00451078">
        <w:rPr>
          <w:color w:val="000000"/>
          <w:lang w:val="it-IT"/>
        </w:rPr>
        <w:t>Istituto potrà ordinare un numero di licenze per i Servizi Online inferiore rispetto alla quantità dell</w:t>
      </w:r>
      <w:r w:rsidR="004525CA">
        <w:rPr>
          <w:color w:val="000000"/>
          <w:lang w:val="it-IT"/>
        </w:rPr>
        <w:t>’</w:t>
      </w:r>
      <w:r w:rsidRPr="00451078">
        <w:rPr>
          <w:color w:val="000000"/>
          <w:lang w:val="it-IT"/>
        </w:rPr>
        <w:t>ordine iniziale purché l</w:t>
      </w:r>
      <w:r w:rsidR="004525CA">
        <w:rPr>
          <w:color w:val="000000"/>
          <w:lang w:val="it-IT"/>
        </w:rPr>
        <w:t>’</w:t>
      </w:r>
      <w:r w:rsidRPr="00451078">
        <w:rPr>
          <w:color w:val="000000"/>
          <w:lang w:val="it-IT"/>
        </w:rPr>
        <w:t>ordine soddisfi i requisiti minimi per i Servizi Online Piattaforma.</w:t>
      </w:r>
    </w:p>
    <w:p w:rsidR="00B26237" w:rsidRPr="00451078" w:rsidRDefault="00B26237" w:rsidP="00B26237">
      <w:pPr>
        <w:ind w:left="720"/>
        <w:rPr>
          <w:lang w:val="it-IT"/>
        </w:rPr>
      </w:pPr>
    </w:p>
    <w:p w:rsidR="00B26237" w:rsidRPr="00451078" w:rsidRDefault="0035314F" w:rsidP="00864B8A">
      <w:pPr>
        <w:spacing w:after="60"/>
        <w:ind w:left="720"/>
        <w:rPr>
          <w:lang w:val="it-IT"/>
        </w:rPr>
      </w:pPr>
      <w:r w:rsidRPr="00451078">
        <w:rPr>
          <w:rFonts w:cs="Tahoma"/>
          <w:b/>
          <w:szCs w:val="20"/>
          <w:lang w:val="it-IT"/>
        </w:rPr>
        <w:t>USL Add-On</w:t>
      </w:r>
    </w:p>
    <w:p w:rsidR="00B26237" w:rsidRPr="00451078" w:rsidRDefault="00B26237" w:rsidP="00B26237">
      <w:pPr>
        <w:ind w:left="720"/>
        <w:rPr>
          <w:lang w:val="it-IT"/>
        </w:rPr>
      </w:pPr>
      <w:r w:rsidRPr="00451078">
        <w:rPr>
          <w:rFonts w:eastAsia="Calibri" w:cs="Tahoma"/>
          <w:color w:val="000000"/>
          <w:szCs w:val="18"/>
          <w:lang w:val="it-IT"/>
        </w:rPr>
        <w:t xml:space="preserve">Gli Istituti che dispongono di una copertura per i prodotti qualificanti potranno acquistare la Licenza </w:t>
      </w:r>
      <w:r w:rsidR="001A3EC5" w:rsidRPr="00451078">
        <w:rPr>
          <w:rFonts w:eastAsia="Calibri" w:cs="Tahoma"/>
          <w:color w:val="000000"/>
          <w:szCs w:val="18"/>
          <w:lang w:val="it-IT"/>
        </w:rPr>
        <w:t>“</w:t>
      </w:r>
      <w:r w:rsidRPr="00451078">
        <w:rPr>
          <w:rFonts w:eastAsia="Calibri" w:cs="Tahoma"/>
          <w:color w:val="000000"/>
          <w:szCs w:val="18"/>
          <w:lang w:val="it-IT"/>
        </w:rPr>
        <w:t>Subscription</w:t>
      </w:r>
      <w:r w:rsidR="001A3EC5" w:rsidRPr="00451078">
        <w:rPr>
          <w:rFonts w:eastAsia="Calibri" w:cs="Tahoma"/>
          <w:color w:val="000000"/>
          <w:szCs w:val="18"/>
          <w:lang w:val="it-IT"/>
        </w:rPr>
        <w:t>”</w:t>
      </w:r>
      <w:r w:rsidRPr="00451078">
        <w:rPr>
          <w:rFonts w:eastAsia="Calibri" w:cs="Tahoma"/>
          <w:color w:val="000000"/>
          <w:szCs w:val="18"/>
          <w:lang w:val="it-IT"/>
        </w:rPr>
        <w:t xml:space="preserve"> per Utente corrispondente per il Piano Add-on di Office 365, come descritto in dettaglio nella</w:t>
      </w:r>
      <w:r w:rsidR="00B62DEE" w:rsidRPr="00451078">
        <w:rPr>
          <w:rFonts w:eastAsia="Calibri" w:cs="Tahoma"/>
          <w:color w:val="000000"/>
          <w:szCs w:val="18"/>
          <w:lang w:val="it-IT"/>
        </w:rPr>
        <w:t> </w:t>
      </w:r>
      <w:r w:rsidRPr="00451078">
        <w:rPr>
          <w:rFonts w:eastAsia="Calibri" w:cs="Tahoma"/>
          <w:color w:val="000000"/>
          <w:szCs w:val="18"/>
          <w:lang w:val="it-IT"/>
        </w:rPr>
        <w:t xml:space="preserve">tabella che segue. Istituti che hanno stipulato un Contratto School: gli Istituti potranno acquistare la corrispondente Licenza </w:t>
      </w:r>
      <w:r w:rsidR="001A3EC5" w:rsidRPr="00451078">
        <w:rPr>
          <w:rFonts w:eastAsia="Calibri" w:cs="Tahoma"/>
          <w:color w:val="000000"/>
          <w:szCs w:val="18"/>
          <w:lang w:val="it-IT"/>
        </w:rPr>
        <w:t>“</w:t>
      </w:r>
      <w:r w:rsidRPr="00451078">
        <w:rPr>
          <w:rFonts w:eastAsia="Calibri" w:cs="Tahoma"/>
          <w:color w:val="000000"/>
          <w:szCs w:val="18"/>
          <w:lang w:val="it-IT"/>
        </w:rPr>
        <w:t>Subscription</w:t>
      </w:r>
      <w:r w:rsidR="001A3EC5" w:rsidRPr="00451078">
        <w:rPr>
          <w:rFonts w:eastAsia="Calibri" w:cs="Tahoma"/>
          <w:color w:val="000000"/>
          <w:szCs w:val="18"/>
          <w:lang w:val="it-IT"/>
        </w:rPr>
        <w:t>”</w:t>
      </w:r>
      <w:r w:rsidRPr="00451078">
        <w:rPr>
          <w:rFonts w:eastAsia="Calibri" w:cs="Tahoma"/>
          <w:color w:val="000000"/>
          <w:szCs w:val="18"/>
          <w:lang w:val="it-IT"/>
        </w:rPr>
        <w:t xml:space="preserve"> per Utente per il Piano Add-on di Office 365 per i loro Utenti, fino al raggiungimento della quantità indicata nel conteggio dei PC Idonei, purché siano in possesso della copertura per i prodotti qualificanti.</w:t>
      </w:r>
      <w:r w:rsidR="00082E1C" w:rsidRPr="00451078">
        <w:rPr>
          <w:rFonts w:eastAsia="Calibri" w:cs="Tahoma"/>
          <w:color w:val="000000"/>
          <w:szCs w:val="18"/>
          <w:lang w:val="it-IT"/>
        </w:rPr>
        <w:t xml:space="preserve"> </w:t>
      </w:r>
    </w:p>
    <w:p w:rsidR="00B26237" w:rsidRPr="00451078" w:rsidRDefault="00B26237" w:rsidP="00B26237">
      <w:pPr>
        <w:rPr>
          <w:lang w:val="it-IT"/>
        </w:rPr>
      </w:pPr>
    </w:p>
    <w:tbl>
      <w:tblPr>
        <w:tblW w:w="0" w:type="auto"/>
        <w:tblInd w:w="8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320"/>
        <w:gridCol w:w="4320"/>
      </w:tblGrid>
      <w:tr w:rsidR="00B26237" w:rsidRPr="003410C7" w:rsidTr="00B42A20">
        <w:tc>
          <w:tcPr>
            <w:tcW w:w="4320" w:type="dxa"/>
            <w:shd w:val="clear" w:color="auto" w:fill="FABF8F"/>
          </w:tcPr>
          <w:p w:rsidR="00B26237" w:rsidRPr="003410C7" w:rsidRDefault="00B26237" w:rsidP="00B42A20">
            <w:pPr>
              <w:rPr>
                <w:rFonts w:eastAsia="Calibri" w:cs="Tahoma"/>
                <w:b/>
                <w:color w:val="000000"/>
                <w:szCs w:val="18"/>
              </w:rPr>
            </w:pPr>
            <w:r w:rsidRPr="003410C7">
              <w:rPr>
                <w:rFonts w:eastAsia="Calibri" w:cs="Tahoma"/>
                <w:b/>
                <w:color w:val="000000"/>
                <w:szCs w:val="18"/>
              </w:rPr>
              <w:t>Licenza Qualificante</w:t>
            </w:r>
          </w:p>
        </w:tc>
        <w:tc>
          <w:tcPr>
            <w:tcW w:w="4320" w:type="dxa"/>
            <w:shd w:val="clear" w:color="auto" w:fill="FABF8F"/>
          </w:tcPr>
          <w:p w:rsidR="00B26237" w:rsidRPr="003410C7" w:rsidRDefault="00B26237" w:rsidP="00B42A20">
            <w:pPr>
              <w:rPr>
                <w:rFonts w:eastAsia="Calibri" w:cs="Tahoma"/>
                <w:b/>
                <w:color w:val="000000"/>
                <w:szCs w:val="18"/>
              </w:rPr>
            </w:pPr>
            <w:r w:rsidRPr="003410C7">
              <w:rPr>
                <w:rFonts w:eastAsia="Calibri" w:cs="Tahoma"/>
                <w:b/>
                <w:color w:val="000000"/>
                <w:szCs w:val="18"/>
              </w:rPr>
              <w:t>USL Add-On</w:t>
            </w:r>
          </w:p>
        </w:tc>
      </w:tr>
      <w:tr w:rsidR="00B26237" w:rsidRPr="003410C7" w:rsidTr="00B42A20">
        <w:tc>
          <w:tcPr>
            <w:tcW w:w="4320" w:type="dxa"/>
            <w:shd w:val="clear" w:color="auto" w:fill="auto"/>
          </w:tcPr>
          <w:p w:rsidR="00B26237" w:rsidRPr="00451078" w:rsidRDefault="00B26237" w:rsidP="00B42A20">
            <w:pPr>
              <w:rPr>
                <w:rFonts w:eastAsia="Calibri" w:cs="Tahoma"/>
                <w:color w:val="000000"/>
                <w:szCs w:val="18"/>
                <w:lang w:val="fr-FR"/>
              </w:rPr>
            </w:pPr>
            <w:r w:rsidRPr="00451078">
              <w:rPr>
                <w:rFonts w:eastAsia="Calibri" w:cs="Tahoma"/>
                <w:color w:val="000000"/>
                <w:szCs w:val="18"/>
                <w:lang w:val="fr-FR"/>
              </w:rPr>
              <w:t>Core CAL Suite</w:t>
            </w:r>
            <w:r w:rsidRPr="00451078">
              <w:rPr>
                <w:rFonts w:eastAsia="Calibri" w:cs="Tahoma"/>
                <w:color w:val="000000"/>
                <w:szCs w:val="18"/>
                <w:vertAlign w:val="superscript"/>
                <w:lang w:val="fr-FR"/>
              </w:rPr>
              <w:t>1</w:t>
            </w:r>
            <w:r w:rsidRPr="00451078">
              <w:rPr>
                <w:rFonts w:eastAsia="Calibri" w:cs="Tahoma"/>
                <w:color w:val="000000"/>
                <w:szCs w:val="18"/>
                <w:lang w:val="fr-FR"/>
              </w:rPr>
              <w:t xml:space="preserve"> o ECAL Suite</w:t>
            </w:r>
            <w:r w:rsidRPr="00451078">
              <w:rPr>
                <w:rFonts w:eastAsia="Calibri" w:cs="Tahoma"/>
                <w:color w:val="000000"/>
                <w:szCs w:val="18"/>
                <w:vertAlign w:val="superscript"/>
                <w:lang w:val="fr-FR"/>
              </w:rPr>
              <w:t>1</w:t>
            </w:r>
          </w:p>
        </w:tc>
        <w:tc>
          <w:tcPr>
            <w:tcW w:w="4320" w:type="dxa"/>
            <w:shd w:val="clear" w:color="auto" w:fill="auto"/>
          </w:tcPr>
          <w:p w:rsidR="00B26237" w:rsidRPr="003410C7" w:rsidRDefault="00B26237" w:rsidP="009B3FA2">
            <w:pPr>
              <w:rPr>
                <w:rFonts w:eastAsia="Calibri" w:cs="Tahoma"/>
                <w:color w:val="000000"/>
                <w:szCs w:val="18"/>
              </w:rPr>
            </w:pPr>
            <w:r w:rsidRPr="003410C7">
              <w:rPr>
                <w:rFonts w:eastAsia="Calibri" w:cs="Tahoma"/>
                <w:color w:val="000000"/>
                <w:szCs w:val="18"/>
              </w:rPr>
              <w:t>USL Add-On per Office 365 Education A3 per Core CAL o ECAL</w:t>
            </w:r>
          </w:p>
        </w:tc>
      </w:tr>
      <w:tr w:rsidR="00B26237" w:rsidRPr="003410C7" w:rsidTr="00B42A20">
        <w:tc>
          <w:tcPr>
            <w:tcW w:w="4320" w:type="dxa"/>
            <w:shd w:val="clear" w:color="auto" w:fill="auto"/>
          </w:tcPr>
          <w:p w:rsidR="00B26237" w:rsidRPr="003410C7" w:rsidRDefault="00B26237" w:rsidP="00B42A20">
            <w:pPr>
              <w:rPr>
                <w:rFonts w:eastAsia="Calibri" w:cs="Tahoma"/>
                <w:color w:val="000000"/>
                <w:szCs w:val="18"/>
              </w:rPr>
            </w:pPr>
            <w:r w:rsidRPr="003410C7">
              <w:rPr>
                <w:rFonts w:eastAsia="Calibri" w:cs="Tahoma"/>
                <w:color w:val="000000"/>
                <w:szCs w:val="18"/>
              </w:rPr>
              <w:t>Office Pro Plus</w:t>
            </w:r>
            <w:r w:rsidRPr="003410C7">
              <w:rPr>
                <w:rFonts w:eastAsia="Calibri" w:cs="Tahoma"/>
                <w:color w:val="000000"/>
                <w:szCs w:val="18"/>
                <w:vertAlign w:val="superscript"/>
              </w:rPr>
              <w:t>1</w:t>
            </w:r>
          </w:p>
        </w:tc>
        <w:tc>
          <w:tcPr>
            <w:tcW w:w="4320" w:type="dxa"/>
            <w:shd w:val="clear" w:color="auto" w:fill="auto"/>
          </w:tcPr>
          <w:p w:rsidR="00B26237" w:rsidRPr="003410C7" w:rsidRDefault="00B26237" w:rsidP="009B3FA2">
            <w:pPr>
              <w:rPr>
                <w:rFonts w:eastAsia="Calibri" w:cs="Tahoma"/>
                <w:color w:val="000000"/>
                <w:szCs w:val="18"/>
              </w:rPr>
            </w:pPr>
            <w:r w:rsidRPr="003410C7">
              <w:rPr>
                <w:rFonts w:eastAsia="Calibri" w:cs="Tahoma"/>
                <w:color w:val="000000"/>
                <w:szCs w:val="18"/>
              </w:rPr>
              <w:t>USL Add-On per Office 365 Education A3 per Office Pro Plus</w:t>
            </w:r>
          </w:p>
        </w:tc>
      </w:tr>
      <w:tr w:rsidR="00B26237" w:rsidRPr="003410C7" w:rsidTr="00B42A20">
        <w:tc>
          <w:tcPr>
            <w:tcW w:w="4320" w:type="dxa"/>
            <w:shd w:val="clear" w:color="auto" w:fill="auto"/>
          </w:tcPr>
          <w:p w:rsidR="00B26237" w:rsidRPr="00451078" w:rsidRDefault="00B26237" w:rsidP="00B42A20">
            <w:pPr>
              <w:rPr>
                <w:rFonts w:eastAsia="Calibri" w:cs="Tahoma"/>
                <w:color w:val="000000"/>
                <w:szCs w:val="18"/>
                <w:lang w:val="fr-FR"/>
              </w:rPr>
            </w:pPr>
            <w:r w:rsidRPr="00451078">
              <w:rPr>
                <w:rFonts w:eastAsia="Calibri" w:cs="Tahoma"/>
                <w:color w:val="000000"/>
                <w:szCs w:val="18"/>
                <w:lang w:val="fr-FR"/>
              </w:rPr>
              <w:t>Core CAL Suite</w:t>
            </w:r>
            <w:r w:rsidRPr="00451078">
              <w:rPr>
                <w:rFonts w:eastAsia="Calibri" w:cs="Tahoma"/>
                <w:color w:val="000000"/>
                <w:szCs w:val="18"/>
                <w:vertAlign w:val="superscript"/>
                <w:lang w:val="fr-FR"/>
              </w:rPr>
              <w:t>1</w:t>
            </w:r>
            <w:r w:rsidRPr="00451078">
              <w:rPr>
                <w:rFonts w:eastAsia="Calibri" w:cs="Tahoma"/>
                <w:color w:val="000000"/>
                <w:szCs w:val="18"/>
                <w:lang w:val="fr-FR"/>
              </w:rPr>
              <w:t xml:space="preserve"> o ECAL Suite</w:t>
            </w:r>
            <w:r w:rsidRPr="00451078">
              <w:rPr>
                <w:rFonts w:eastAsia="Calibri" w:cs="Tahoma"/>
                <w:color w:val="000000"/>
                <w:szCs w:val="18"/>
                <w:vertAlign w:val="superscript"/>
                <w:lang w:val="fr-FR"/>
              </w:rPr>
              <w:t>1</w:t>
            </w:r>
            <w:r w:rsidRPr="00451078">
              <w:rPr>
                <w:rFonts w:eastAsia="Calibri" w:cs="Tahoma"/>
                <w:color w:val="000000"/>
                <w:szCs w:val="18"/>
                <w:lang w:val="fr-FR"/>
              </w:rPr>
              <w:t xml:space="preserve"> + Office Pro Plus</w:t>
            </w:r>
            <w:r w:rsidRPr="00451078">
              <w:rPr>
                <w:rFonts w:eastAsia="Calibri" w:cs="Tahoma"/>
                <w:color w:val="000000"/>
                <w:szCs w:val="18"/>
                <w:vertAlign w:val="superscript"/>
                <w:lang w:val="fr-FR"/>
              </w:rPr>
              <w:t>1</w:t>
            </w:r>
          </w:p>
        </w:tc>
        <w:tc>
          <w:tcPr>
            <w:tcW w:w="4320" w:type="dxa"/>
            <w:shd w:val="clear" w:color="auto" w:fill="auto"/>
          </w:tcPr>
          <w:p w:rsidR="00B26237" w:rsidRPr="003410C7" w:rsidRDefault="00B26237" w:rsidP="009B3FA2">
            <w:pPr>
              <w:rPr>
                <w:rFonts w:eastAsia="Calibri" w:cs="Tahoma"/>
                <w:color w:val="000000"/>
                <w:szCs w:val="18"/>
              </w:rPr>
            </w:pPr>
            <w:r w:rsidRPr="003410C7">
              <w:rPr>
                <w:rFonts w:eastAsia="Calibri" w:cs="Tahoma"/>
                <w:color w:val="000000"/>
                <w:szCs w:val="18"/>
              </w:rPr>
              <w:t>USL Add-On per Office 365 Education A3 per Core CAL o ECAL + Office Pro Plus</w:t>
            </w:r>
          </w:p>
        </w:tc>
      </w:tr>
      <w:tr w:rsidR="00B26237" w:rsidRPr="003410C7" w:rsidTr="00B42A20">
        <w:tc>
          <w:tcPr>
            <w:tcW w:w="4320" w:type="dxa"/>
            <w:shd w:val="clear" w:color="auto" w:fill="auto"/>
          </w:tcPr>
          <w:p w:rsidR="00B26237" w:rsidRPr="00451078" w:rsidRDefault="00B26237" w:rsidP="00B42A20">
            <w:pPr>
              <w:rPr>
                <w:rFonts w:eastAsia="Calibri" w:cs="Tahoma"/>
                <w:color w:val="000000"/>
                <w:szCs w:val="18"/>
                <w:lang w:val="fr-FR"/>
              </w:rPr>
            </w:pPr>
            <w:r w:rsidRPr="00451078">
              <w:rPr>
                <w:rFonts w:eastAsia="Calibri" w:cs="Tahoma"/>
                <w:color w:val="000000"/>
                <w:szCs w:val="18"/>
                <w:lang w:val="fr-FR"/>
              </w:rPr>
              <w:t>Core CAL Suite</w:t>
            </w:r>
            <w:r w:rsidRPr="00451078">
              <w:rPr>
                <w:rFonts w:eastAsia="Calibri" w:cs="Tahoma"/>
                <w:color w:val="000000"/>
                <w:szCs w:val="18"/>
                <w:vertAlign w:val="superscript"/>
                <w:lang w:val="fr-FR"/>
              </w:rPr>
              <w:t>1</w:t>
            </w:r>
            <w:r w:rsidRPr="00451078">
              <w:rPr>
                <w:rFonts w:eastAsia="Calibri" w:cs="Tahoma"/>
                <w:color w:val="000000"/>
                <w:szCs w:val="18"/>
                <w:lang w:val="fr-FR"/>
              </w:rPr>
              <w:t xml:space="preserve"> o ECAL Suite</w:t>
            </w:r>
            <w:r w:rsidRPr="00451078">
              <w:rPr>
                <w:rFonts w:eastAsia="Calibri" w:cs="Tahoma"/>
                <w:color w:val="000000"/>
                <w:szCs w:val="18"/>
                <w:vertAlign w:val="superscript"/>
                <w:lang w:val="fr-FR"/>
              </w:rPr>
              <w:t>1</w:t>
            </w:r>
          </w:p>
        </w:tc>
        <w:tc>
          <w:tcPr>
            <w:tcW w:w="4320" w:type="dxa"/>
            <w:shd w:val="clear" w:color="auto" w:fill="auto"/>
          </w:tcPr>
          <w:p w:rsidR="00B26237" w:rsidRPr="003410C7" w:rsidRDefault="00B26237" w:rsidP="009B3FA2">
            <w:pPr>
              <w:rPr>
                <w:rFonts w:eastAsia="Calibri" w:cs="Tahoma"/>
                <w:color w:val="000000"/>
                <w:szCs w:val="18"/>
              </w:rPr>
            </w:pPr>
            <w:r w:rsidRPr="003410C7">
              <w:rPr>
                <w:rFonts w:eastAsia="Calibri" w:cs="Tahoma"/>
                <w:color w:val="000000"/>
                <w:szCs w:val="18"/>
              </w:rPr>
              <w:t>USL Add-On per Office 365 Education A4 per Core CAL o ECAL</w:t>
            </w:r>
          </w:p>
        </w:tc>
      </w:tr>
      <w:tr w:rsidR="00B26237" w:rsidRPr="003410C7" w:rsidTr="00B42A20">
        <w:tc>
          <w:tcPr>
            <w:tcW w:w="4320" w:type="dxa"/>
            <w:shd w:val="clear" w:color="auto" w:fill="auto"/>
          </w:tcPr>
          <w:p w:rsidR="00B26237" w:rsidRPr="003410C7" w:rsidRDefault="00B26237" w:rsidP="00B42A20">
            <w:pPr>
              <w:rPr>
                <w:rFonts w:eastAsia="Calibri" w:cs="Tahoma"/>
                <w:color w:val="000000"/>
                <w:szCs w:val="18"/>
              </w:rPr>
            </w:pPr>
            <w:r w:rsidRPr="003410C7">
              <w:rPr>
                <w:rFonts w:eastAsia="Calibri" w:cs="Tahoma"/>
                <w:color w:val="000000"/>
                <w:szCs w:val="18"/>
              </w:rPr>
              <w:t>Office Pro Plus</w:t>
            </w:r>
            <w:r w:rsidRPr="003410C7">
              <w:rPr>
                <w:rFonts w:eastAsia="Calibri" w:cs="Tahoma"/>
                <w:color w:val="000000"/>
                <w:szCs w:val="18"/>
                <w:vertAlign w:val="superscript"/>
              </w:rPr>
              <w:t>1</w:t>
            </w:r>
          </w:p>
        </w:tc>
        <w:tc>
          <w:tcPr>
            <w:tcW w:w="4320" w:type="dxa"/>
            <w:shd w:val="clear" w:color="auto" w:fill="auto"/>
          </w:tcPr>
          <w:p w:rsidR="00B26237" w:rsidRPr="003410C7" w:rsidRDefault="00B26237" w:rsidP="009B3FA2">
            <w:pPr>
              <w:rPr>
                <w:rFonts w:eastAsia="Calibri" w:cs="Tahoma"/>
                <w:color w:val="000000"/>
                <w:szCs w:val="18"/>
              </w:rPr>
            </w:pPr>
            <w:r w:rsidRPr="003410C7">
              <w:rPr>
                <w:rFonts w:eastAsia="Calibri" w:cs="Tahoma"/>
                <w:color w:val="000000"/>
                <w:szCs w:val="18"/>
              </w:rPr>
              <w:t>USL Add-On per Office 365 Education A4 per Office Pro Plus</w:t>
            </w:r>
          </w:p>
        </w:tc>
      </w:tr>
      <w:tr w:rsidR="00B26237" w:rsidRPr="003410C7" w:rsidTr="00B42A20">
        <w:tc>
          <w:tcPr>
            <w:tcW w:w="4320" w:type="dxa"/>
            <w:shd w:val="clear" w:color="auto" w:fill="auto"/>
          </w:tcPr>
          <w:p w:rsidR="00B26237" w:rsidRPr="00451078" w:rsidRDefault="00B26237" w:rsidP="00B42A20">
            <w:pPr>
              <w:rPr>
                <w:rFonts w:eastAsia="Calibri" w:cs="Tahoma"/>
                <w:color w:val="000000"/>
                <w:szCs w:val="18"/>
                <w:lang w:val="fr-FR"/>
              </w:rPr>
            </w:pPr>
            <w:r w:rsidRPr="00451078">
              <w:rPr>
                <w:rFonts w:eastAsia="Calibri" w:cs="Tahoma"/>
                <w:color w:val="000000"/>
                <w:szCs w:val="18"/>
                <w:lang w:val="fr-FR"/>
              </w:rPr>
              <w:t>Core CAL Suite o ECAL Suite</w:t>
            </w:r>
            <w:r w:rsidRPr="00451078">
              <w:rPr>
                <w:rFonts w:eastAsia="Calibri" w:cs="Tahoma"/>
                <w:color w:val="000000"/>
                <w:szCs w:val="18"/>
                <w:vertAlign w:val="superscript"/>
                <w:lang w:val="fr-FR"/>
              </w:rPr>
              <w:t>1</w:t>
            </w:r>
            <w:r w:rsidRPr="00451078">
              <w:rPr>
                <w:rFonts w:eastAsia="Calibri" w:cs="Tahoma"/>
                <w:color w:val="000000"/>
                <w:szCs w:val="18"/>
                <w:lang w:val="fr-FR"/>
              </w:rPr>
              <w:t xml:space="preserve"> + Office Pro Plus</w:t>
            </w:r>
            <w:r w:rsidRPr="00451078">
              <w:rPr>
                <w:rFonts w:eastAsia="Calibri" w:cs="Tahoma"/>
                <w:color w:val="000000"/>
                <w:szCs w:val="18"/>
                <w:vertAlign w:val="superscript"/>
                <w:lang w:val="fr-FR"/>
              </w:rPr>
              <w:t>1</w:t>
            </w:r>
          </w:p>
        </w:tc>
        <w:tc>
          <w:tcPr>
            <w:tcW w:w="4320" w:type="dxa"/>
            <w:shd w:val="clear" w:color="auto" w:fill="auto"/>
          </w:tcPr>
          <w:p w:rsidR="00B26237" w:rsidRPr="003410C7" w:rsidRDefault="00B26237" w:rsidP="009B3FA2">
            <w:pPr>
              <w:rPr>
                <w:rFonts w:eastAsia="Calibri" w:cs="Tahoma"/>
                <w:color w:val="000000"/>
                <w:szCs w:val="18"/>
              </w:rPr>
            </w:pPr>
            <w:r w:rsidRPr="003410C7">
              <w:rPr>
                <w:rFonts w:eastAsia="Calibri" w:cs="Tahoma"/>
                <w:color w:val="000000"/>
                <w:szCs w:val="18"/>
              </w:rPr>
              <w:t>USL Add-On per Office 365 Education A4 per Core CAL o ECAL + Office Pro Plus</w:t>
            </w:r>
          </w:p>
        </w:tc>
      </w:tr>
    </w:tbl>
    <w:p w:rsidR="00B26237" w:rsidRPr="00451078" w:rsidRDefault="00B26237" w:rsidP="00B26237">
      <w:pPr>
        <w:ind w:left="900"/>
        <w:rPr>
          <w:lang w:val="it-IT"/>
        </w:rPr>
      </w:pPr>
      <w:r w:rsidRPr="00451078">
        <w:rPr>
          <w:rFonts w:eastAsia="Calibri" w:cs="Tahoma"/>
          <w:i/>
          <w:color w:val="000000"/>
          <w:sz w:val="16"/>
          <w:szCs w:val="18"/>
          <w:vertAlign w:val="superscript"/>
          <w:lang w:val="it-IT"/>
        </w:rPr>
        <w:t>1</w:t>
      </w:r>
      <w:r w:rsidRPr="00451078">
        <w:rPr>
          <w:rFonts w:eastAsia="Calibri" w:cs="Tahoma"/>
          <w:i/>
          <w:color w:val="000000"/>
          <w:sz w:val="16"/>
          <w:szCs w:val="18"/>
          <w:lang w:val="it-IT"/>
        </w:rPr>
        <w:t>Con Software Assurance Attiva</w:t>
      </w:r>
    </w:p>
    <w:p w:rsidR="00B26237" w:rsidRPr="00451078" w:rsidRDefault="00B26237" w:rsidP="00B26237">
      <w:pPr>
        <w:ind w:left="720"/>
        <w:rPr>
          <w:lang w:val="it-IT"/>
        </w:rPr>
      </w:pPr>
    </w:p>
    <w:p w:rsidR="00B26237" w:rsidRPr="00451078" w:rsidRDefault="00B26237" w:rsidP="00B26237">
      <w:pPr>
        <w:ind w:left="720"/>
        <w:rPr>
          <w:lang w:val="it-IT"/>
        </w:rPr>
      </w:pPr>
      <w:r w:rsidRPr="00451078">
        <w:rPr>
          <w:rFonts w:eastAsia="Calibri" w:cs="Tahoma"/>
          <w:iCs/>
          <w:color w:val="000000"/>
          <w:szCs w:val="18"/>
          <w:lang w:val="it-IT"/>
        </w:rPr>
        <w:t>Gli Istituti in possesso di USL per Office 365 Education A3 o Office 365 Education A4 cedute a tutto il personale docente e non docente potranno installare il software Office Professional Plus 2010 in qualsiasi laboratorio o biblioteca ad accesso libero all</w:t>
      </w:r>
      <w:r w:rsidR="004525CA">
        <w:rPr>
          <w:rFonts w:eastAsia="Calibri" w:cs="Tahoma"/>
          <w:iCs/>
          <w:color w:val="000000"/>
          <w:szCs w:val="18"/>
          <w:lang w:val="it-IT"/>
        </w:rPr>
        <w:t>’</w:t>
      </w:r>
      <w:r w:rsidRPr="00451078">
        <w:rPr>
          <w:rFonts w:eastAsia="Calibri" w:cs="Tahoma"/>
          <w:iCs/>
          <w:color w:val="000000"/>
          <w:szCs w:val="18"/>
          <w:lang w:val="it-IT"/>
        </w:rPr>
        <w:t>interno dell</w:t>
      </w:r>
      <w:r w:rsidR="004525CA">
        <w:rPr>
          <w:rFonts w:eastAsia="Calibri" w:cs="Tahoma"/>
          <w:iCs/>
          <w:color w:val="000000"/>
          <w:szCs w:val="18"/>
          <w:lang w:val="it-IT"/>
        </w:rPr>
        <w:t>’</w:t>
      </w:r>
      <w:r w:rsidRPr="00451078">
        <w:rPr>
          <w:rFonts w:eastAsia="Calibri" w:cs="Tahoma"/>
          <w:iCs/>
          <w:color w:val="000000"/>
          <w:szCs w:val="18"/>
          <w:lang w:val="it-IT"/>
        </w:rPr>
        <w:t>Organizzazione dell</w:t>
      </w:r>
      <w:r w:rsidR="004525CA">
        <w:rPr>
          <w:rFonts w:eastAsia="Calibri" w:cs="Tahoma"/>
          <w:iCs/>
          <w:color w:val="000000"/>
          <w:szCs w:val="18"/>
          <w:lang w:val="it-IT"/>
        </w:rPr>
        <w:t>’</w:t>
      </w:r>
      <w:r w:rsidRPr="00451078">
        <w:rPr>
          <w:rFonts w:eastAsia="Calibri" w:cs="Tahoma"/>
          <w:iCs/>
          <w:color w:val="000000"/>
          <w:szCs w:val="18"/>
          <w:lang w:val="it-IT"/>
        </w:rPr>
        <w:t>Istituto.</w:t>
      </w:r>
      <w:r w:rsidR="00082E1C" w:rsidRPr="00451078">
        <w:rPr>
          <w:rFonts w:eastAsia="Calibri" w:cs="Tahoma"/>
          <w:iCs/>
          <w:color w:val="000000"/>
          <w:szCs w:val="18"/>
          <w:lang w:val="it-IT"/>
        </w:rPr>
        <w:t xml:space="preserve"> </w:t>
      </w:r>
      <w:r w:rsidRPr="00451078">
        <w:rPr>
          <w:rFonts w:eastAsia="Calibri" w:cs="Tahoma"/>
          <w:iCs/>
          <w:color w:val="000000"/>
          <w:szCs w:val="18"/>
          <w:lang w:val="it-IT"/>
        </w:rPr>
        <w:t>L</w:t>
      </w:r>
      <w:r w:rsidR="004525CA">
        <w:rPr>
          <w:rFonts w:eastAsia="Calibri" w:cs="Tahoma"/>
          <w:iCs/>
          <w:color w:val="000000"/>
          <w:szCs w:val="18"/>
          <w:lang w:val="it-IT"/>
        </w:rPr>
        <w:t>’</w:t>
      </w:r>
      <w:r w:rsidRPr="00451078">
        <w:rPr>
          <w:rFonts w:eastAsia="Calibri" w:cs="Tahoma"/>
          <w:iCs/>
          <w:color w:val="000000"/>
          <w:szCs w:val="18"/>
          <w:lang w:val="it-IT"/>
        </w:rPr>
        <w:t>utilizzo del software è</w:t>
      </w:r>
      <w:r w:rsidR="00B62DEE" w:rsidRPr="00451078">
        <w:rPr>
          <w:rFonts w:eastAsia="Calibri" w:cs="Tahoma"/>
          <w:iCs/>
          <w:color w:val="000000"/>
          <w:szCs w:val="18"/>
          <w:lang w:val="it-IT"/>
        </w:rPr>
        <w:t> </w:t>
      </w:r>
      <w:r w:rsidRPr="00451078">
        <w:rPr>
          <w:rFonts w:eastAsia="Calibri" w:cs="Tahoma"/>
          <w:iCs/>
          <w:color w:val="000000"/>
          <w:szCs w:val="18"/>
          <w:lang w:val="it-IT"/>
        </w:rPr>
        <w:t>soggetto alle condizioni di licenza di Office Pro Plus 2010.</w:t>
      </w:r>
      <w:r w:rsidR="00082E1C" w:rsidRPr="00451078">
        <w:rPr>
          <w:rFonts w:eastAsia="Calibri" w:cs="Tahoma"/>
          <w:iCs/>
          <w:color w:val="000000"/>
          <w:szCs w:val="18"/>
          <w:lang w:val="it-IT"/>
        </w:rPr>
        <w:t xml:space="preserve"> </w:t>
      </w:r>
    </w:p>
    <w:p w:rsidR="00B26237" w:rsidRPr="00451078" w:rsidRDefault="00B26237" w:rsidP="00B26237">
      <w:pPr>
        <w:ind w:left="720"/>
        <w:rPr>
          <w:lang w:val="it-IT"/>
        </w:rPr>
      </w:pPr>
    </w:p>
    <w:p w:rsidR="00B26237" w:rsidRDefault="00B26237" w:rsidP="00810479">
      <w:pPr>
        <w:pStyle w:val="FootnoteBulletLevel2"/>
        <w:tabs>
          <w:tab w:val="clear" w:pos="1260"/>
        </w:tabs>
        <w:spacing w:before="0"/>
        <w:ind w:left="720" w:firstLine="0"/>
        <w:rPr>
          <w:rFonts w:ascii="Tahoma" w:eastAsia="Calibri" w:hAnsi="Tahoma" w:cs="Tahoma"/>
          <w:color w:val="000000"/>
          <w:sz w:val="18"/>
          <w:szCs w:val="18"/>
          <w:lang w:val="it-IT"/>
        </w:rPr>
      </w:pPr>
      <w:r w:rsidRPr="00451078">
        <w:rPr>
          <w:rFonts w:ascii="Tahoma" w:eastAsia="Calibri" w:hAnsi="Tahoma" w:cs="Tahoma"/>
          <w:color w:val="000000"/>
          <w:sz w:val="18"/>
          <w:szCs w:val="18"/>
          <w:lang w:val="it-IT"/>
        </w:rPr>
        <w:t>Lync Online Piano 1A e Piano 2A richiedono l</w:t>
      </w:r>
      <w:r w:rsidR="004525CA">
        <w:rPr>
          <w:rFonts w:ascii="Tahoma" w:eastAsia="Calibri" w:hAnsi="Tahoma" w:cs="Tahoma"/>
          <w:color w:val="000000"/>
          <w:sz w:val="18"/>
          <w:szCs w:val="18"/>
          <w:lang w:val="it-IT"/>
        </w:rPr>
        <w:t>’</w:t>
      </w:r>
      <w:r w:rsidRPr="00451078">
        <w:rPr>
          <w:rFonts w:ascii="Tahoma" w:eastAsia="Calibri" w:hAnsi="Tahoma" w:cs="Tahoma"/>
          <w:color w:val="000000"/>
          <w:sz w:val="18"/>
          <w:szCs w:val="18"/>
          <w:lang w:val="it-IT"/>
        </w:rPr>
        <w:t>acquisto e l</w:t>
      </w:r>
      <w:r w:rsidR="004525CA">
        <w:rPr>
          <w:rFonts w:ascii="Tahoma" w:eastAsia="Calibri" w:hAnsi="Tahoma" w:cs="Tahoma"/>
          <w:color w:val="000000"/>
          <w:sz w:val="18"/>
          <w:szCs w:val="18"/>
          <w:lang w:val="it-IT"/>
        </w:rPr>
        <w:t>’</w:t>
      </w:r>
      <w:r w:rsidRPr="00451078">
        <w:rPr>
          <w:rFonts w:ascii="Tahoma" w:eastAsia="Calibri" w:hAnsi="Tahoma" w:cs="Tahoma"/>
          <w:color w:val="000000"/>
          <w:sz w:val="18"/>
          <w:szCs w:val="18"/>
          <w:lang w:val="it-IT"/>
        </w:rPr>
        <w:t>installazione separati di Microsoft Lync 2013 (o Lync per Mac 2011) per accedere al set completo di funzionalità di Lync Online Piano 1A e Piano 2A. Grazie a un</w:t>
      </w:r>
      <w:r w:rsidR="004525CA">
        <w:rPr>
          <w:rFonts w:ascii="Tahoma" w:eastAsia="Calibri" w:hAnsi="Tahoma" w:cs="Tahoma"/>
          <w:color w:val="000000"/>
          <w:sz w:val="18"/>
          <w:szCs w:val="18"/>
          <w:lang w:val="it-IT"/>
        </w:rPr>
        <w:t>’</w:t>
      </w:r>
      <w:r w:rsidRPr="00451078">
        <w:rPr>
          <w:rFonts w:ascii="Tahoma" w:eastAsia="Calibri" w:hAnsi="Tahoma" w:cs="Tahoma"/>
          <w:color w:val="000000"/>
          <w:sz w:val="18"/>
          <w:szCs w:val="18"/>
          <w:lang w:val="it-IT"/>
        </w:rPr>
        <w:t xml:space="preserve">offerta di durata limitata, le società in possesso della licenza per Lync Online riceveranno gratuitamente in licenza una copia di Lync per Mac 2011 per ogni licenza </w:t>
      </w:r>
      <w:r w:rsidR="001A3EC5" w:rsidRPr="00451078">
        <w:rPr>
          <w:rFonts w:ascii="Tahoma" w:eastAsia="Calibri" w:hAnsi="Tahoma" w:cs="Tahoma"/>
          <w:color w:val="000000"/>
          <w:sz w:val="18"/>
          <w:szCs w:val="18"/>
          <w:lang w:val="it-IT"/>
        </w:rPr>
        <w:t>“</w:t>
      </w:r>
      <w:r w:rsidRPr="00451078">
        <w:rPr>
          <w:rFonts w:ascii="Tahoma" w:eastAsia="Calibri" w:hAnsi="Tahoma" w:cs="Tahoma"/>
          <w:color w:val="000000"/>
          <w:sz w:val="18"/>
          <w:szCs w:val="18"/>
          <w:lang w:val="it-IT"/>
        </w:rPr>
        <w:t>Subscription</w:t>
      </w:r>
      <w:r w:rsidR="001A3EC5" w:rsidRPr="00451078">
        <w:rPr>
          <w:rFonts w:ascii="Tahoma" w:eastAsia="Calibri" w:hAnsi="Tahoma" w:cs="Tahoma"/>
          <w:color w:val="000000"/>
          <w:sz w:val="18"/>
          <w:szCs w:val="18"/>
          <w:lang w:val="it-IT"/>
        </w:rPr>
        <w:t>”</w:t>
      </w:r>
      <w:r w:rsidRPr="00451078">
        <w:rPr>
          <w:rFonts w:ascii="Tahoma" w:eastAsia="Calibri" w:hAnsi="Tahoma" w:cs="Tahoma"/>
          <w:color w:val="000000"/>
          <w:sz w:val="18"/>
          <w:szCs w:val="18"/>
          <w:lang w:val="it-IT"/>
        </w:rPr>
        <w:t xml:space="preserve"> per Lync Online. Il software potrà essere utilizzato esclusivamente con Lync Online e tutti i diritti di utilizzo del software cesseranno alla scadenza della licenza </w:t>
      </w:r>
      <w:r w:rsidR="001A3EC5" w:rsidRPr="00451078">
        <w:rPr>
          <w:rFonts w:ascii="Tahoma" w:eastAsia="Calibri" w:hAnsi="Tahoma" w:cs="Tahoma"/>
          <w:color w:val="000000"/>
          <w:sz w:val="18"/>
          <w:szCs w:val="18"/>
          <w:lang w:val="it-IT"/>
        </w:rPr>
        <w:t>“</w:t>
      </w:r>
      <w:r w:rsidRPr="00451078">
        <w:rPr>
          <w:rFonts w:ascii="Tahoma" w:eastAsia="Calibri" w:hAnsi="Tahoma" w:cs="Tahoma"/>
          <w:color w:val="000000"/>
          <w:sz w:val="18"/>
          <w:szCs w:val="18"/>
          <w:lang w:val="it-IT"/>
        </w:rPr>
        <w:t>Subscription</w:t>
      </w:r>
      <w:r w:rsidR="001A3EC5" w:rsidRPr="00451078">
        <w:rPr>
          <w:rFonts w:ascii="Tahoma" w:eastAsia="Calibri" w:hAnsi="Tahoma" w:cs="Tahoma"/>
          <w:color w:val="000000"/>
          <w:sz w:val="18"/>
          <w:szCs w:val="18"/>
          <w:lang w:val="it-IT"/>
        </w:rPr>
        <w:t>”</w:t>
      </w:r>
      <w:r w:rsidRPr="00451078">
        <w:rPr>
          <w:rFonts w:ascii="Tahoma" w:eastAsia="Calibri" w:hAnsi="Tahoma" w:cs="Tahoma"/>
          <w:color w:val="000000"/>
          <w:sz w:val="18"/>
          <w:szCs w:val="18"/>
          <w:lang w:val="it-IT"/>
        </w:rPr>
        <w:t xml:space="preserve"> sottostante oppure in occasione della migrazione alla successiva nuova </w:t>
      </w:r>
      <w:r w:rsidRPr="00451078">
        <w:rPr>
          <w:rFonts w:ascii="Tahoma" w:eastAsia="Calibri" w:hAnsi="Tahoma" w:cs="Tahoma"/>
          <w:color w:val="000000"/>
          <w:sz w:val="18"/>
          <w:szCs w:val="18"/>
          <w:lang w:val="it-IT"/>
        </w:rPr>
        <w:lastRenderedPageBreak/>
        <w:t>versione principale di Lync Online, a seconda di quale evento si verificherà per primo.</w:t>
      </w:r>
      <w:r w:rsidR="00082E1C" w:rsidRPr="00451078">
        <w:rPr>
          <w:rFonts w:ascii="Tahoma" w:eastAsia="Calibri" w:hAnsi="Tahoma" w:cs="Tahoma"/>
          <w:color w:val="000000"/>
          <w:sz w:val="18"/>
          <w:szCs w:val="18"/>
          <w:lang w:val="it-IT"/>
        </w:rPr>
        <w:t xml:space="preserve"> </w:t>
      </w:r>
      <w:r w:rsidRPr="00451078">
        <w:rPr>
          <w:rFonts w:ascii="Tahoma" w:eastAsia="Calibri" w:hAnsi="Tahoma" w:cs="Tahoma"/>
          <w:color w:val="000000"/>
          <w:sz w:val="18"/>
          <w:szCs w:val="18"/>
          <w:lang w:val="it-IT"/>
        </w:rPr>
        <w:t>Le società potranno utilizzare il client gratuito Lync Basic 2013 per i loro utenti finali in possesso di Windows.</w:t>
      </w:r>
    </w:p>
    <w:p w:rsidR="000C7A8F" w:rsidRDefault="000C7A8F" w:rsidP="000C7A8F">
      <w:pPr>
        <w:pStyle w:val="FootnoteBulletLevel2"/>
        <w:tabs>
          <w:tab w:val="clear" w:pos="1260"/>
        </w:tabs>
        <w:spacing w:before="0"/>
        <w:ind w:left="0" w:firstLine="0"/>
        <w:rPr>
          <w:lang w:val="it-IT"/>
        </w:rPr>
      </w:pPr>
    </w:p>
    <w:p w:rsidR="000C7A8F" w:rsidRPr="00451078" w:rsidRDefault="000C7A8F" w:rsidP="000C7A8F">
      <w:pPr>
        <w:pStyle w:val="FootnoteBulletLevel2"/>
        <w:tabs>
          <w:tab w:val="clear" w:pos="1260"/>
        </w:tabs>
        <w:spacing w:before="0"/>
        <w:ind w:left="0" w:firstLine="0"/>
        <w:rPr>
          <w:lang w:val="it-IT"/>
        </w:rPr>
      </w:pPr>
    </w:p>
    <w:p w:rsidR="00B26237" w:rsidRPr="00451078" w:rsidRDefault="00B54C21" w:rsidP="00B26237">
      <w:pPr>
        <w:pStyle w:val="Heading2"/>
        <w:ind w:left="0"/>
        <w:rPr>
          <w:lang w:val="it-IT"/>
        </w:rPr>
      </w:pPr>
      <w:bookmarkStart w:id="1023" w:name="_7_Office_365"/>
      <w:bookmarkStart w:id="1024" w:name="_65_Office_365"/>
      <w:bookmarkStart w:id="1025" w:name="_Toc336338263"/>
      <w:bookmarkStart w:id="1026" w:name="_Toc352234856"/>
      <w:bookmarkEnd w:id="1023"/>
      <w:bookmarkEnd w:id="1024"/>
      <w:r w:rsidRPr="00451078">
        <w:rPr>
          <w:rFonts w:ascii="Tahoma" w:hAnsi="Tahoma" w:cs="Tahoma"/>
          <w:caps/>
          <w:color w:val="FF6600"/>
          <w:sz w:val="22"/>
          <w:szCs w:val="22"/>
          <w:vertAlign w:val="superscript"/>
          <w:lang w:val="it-IT"/>
        </w:rPr>
        <w:t>5</w:t>
      </w:r>
      <w:r w:rsidRPr="00451078">
        <w:rPr>
          <w:rFonts w:ascii="Tahoma" w:hAnsi="Tahoma" w:cs="Tahoma"/>
          <w:color w:val="FF6600"/>
          <w:lang w:val="it-IT"/>
        </w:rPr>
        <w:t xml:space="preserve"> </w:t>
      </w:r>
      <w:r w:rsidRPr="00451078">
        <w:rPr>
          <w:rFonts w:ascii="Tahoma" w:hAnsi="Tahoma" w:cs="Tahoma"/>
          <w:color w:val="FF6600"/>
          <w:sz w:val="22"/>
          <w:szCs w:val="22"/>
          <w:lang w:val="it-IT"/>
        </w:rPr>
        <w:t>Office 365 Enterprise E2-E4</w:t>
      </w:r>
      <w:bookmarkEnd w:id="1025"/>
      <w:bookmarkEnd w:id="1026"/>
    </w:p>
    <w:p w:rsidR="00B26237" w:rsidRPr="00451078" w:rsidRDefault="00B26237" w:rsidP="00AE5A9F">
      <w:pPr>
        <w:rPr>
          <w:lang w:val="it-IT"/>
        </w:rPr>
      </w:pPr>
    </w:p>
    <w:p w:rsidR="00B26237" w:rsidRPr="00451078" w:rsidRDefault="00B26237" w:rsidP="00B26237">
      <w:pPr>
        <w:ind w:left="720"/>
        <w:rPr>
          <w:lang w:val="it-IT"/>
        </w:rPr>
      </w:pPr>
      <w:r w:rsidRPr="00451078">
        <w:rPr>
          <w:color w:val="000000"/>
          <w:lang w:val="it-IT"/>
        </w:rPr>
        <w:t>Office 365 Piani E2-E4 permette l</w:t>
      </w:r>
      <w:r w:rsidR="004525CA">
        <w:rPr>
          <w:color w:val="000000"/>
          <w:lang w:val="it-IT"/>
        </w:rPr>
        <w:t>’</w:t>
      </w:r>
      <w:r w:rsidRPr="00451078">
        <w:rPr>
          <w:color w:val="000000"/>
          <w:lang w:val="it-IT"/>
        </w:rPr>
        <w:t>accesso ai seguenti Servizi Online:</w:t>
      </w:r>
    </w:p>
    <w:p w:rsidR="00B26237" w:rsidRPr="00451078" w:rsidRDefault="00B26237" w:rsidP="00B26237">
      <w:pPr>
        <w:rPr>
          <w:lang w:val="it-IT"/>
        </w:rPr>
      </w:pPr>
    </w:p>
    <w:tbl>
      <w:tblPr>
        <w:tblW w:w="0" w:type="auto"/>
        <w:tblInd w:w="87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760"/>
        <w:gridCol w:w="2765"/>
        <w:gridCol w:w="2765"/>
      </w:tblGrid>
      <w:tr w:rsidR="00B26237" w:rsidRPr="003410C7" w:rsidTr="007E466C">
        <w:tc>
          <w:tcPr>
            <w:tcW w:w="2760" w:type="dxa"/>
            <w:shd w:val="clear" w:color="auto" w:fill="FABF8F"/>
          </w:tcPr>
          <w:p w:rsidR="00B26237" w:rsidRPr="003410C7" w:rsidRDefault="00B26237" w:rsidP="009B3FA2">
            <w:pPr>
              <w:jc w:val="center"/>
              <w:rPr>
                <w:rFonts w:eastAsia="Calibri"/>
                <w:b/>
                <w:color w:val="000000"/>
                <w:sz w:val="20"/>
              </w:rPr>
            </w:pPr>
            <w:r w:rsidRPr="003410C7">
              <w:rPr>
                <w:rFonts w:eastAsia="Calibri"/>
                <w:b/>
                <w:color w:val="000000"/>
                <w:sz w:val="20"/>
              </w:rPr>
              <w:t>Office 365 Enterprise E2</w:t>
            </w:r>
          </w:p>
        </w:tc>
        <w:tc>
          <w:tcPr>
            <w:tcW w:w="2765" w:type="dxa"/>
            <w:shd w:val="clear" w:color="auto" w:fill="FABF8F"/>
          </w:tcPr>
          <w:p w:rsidR="00B26237" w:rsidRPr="003410C7" w:rsidRDefault="00B26237" w:rsidP="009B3FA2">
            <w:pPr>
              <w:jc w:val="center"/>
              <w:rPr>
                <w:rFonts w:eastAsia="Calibri"/>
                <w:b/>
                <w:color w:val="000000"/>
                <w:sz w:val="20"/>
              </w:rPr>
            </w:pPr>
            <w:r w:rsidRPr="003410C7">
              <w:rPr>
                <w:rFonts w:eastAsia="Calibri"/>
                <w:b/>
                <w:color w:val="000000"/>
                <w:sz w:val="20"/>
              </w:rPr>
              <w:t>Office 365 Enterprise E3</w:t>
            </w:r>
          </w:p>
        </w:tc>
        <w:tc>
          <w:tcPr>
            <w:tcW w:w="2765" w:type="dxa"/>
            <w:shd w:val="clear" w:color="auto" w:fill="FABF8F"/>
          </w:tcPr>
          <w:p w:rsidR="00B26237" w:rsidRPr="003410C7" w:rsidRDefault="00B26237" w:rsidP="009B3FA2">
            <w:pPr>
              <w:jc w:val="center"/>
              <w:rPr>
                <w:rFonts w:eastAsia="Calibri"/>
                <w:b/>
                <w:color w:val="000000"/>
                <w:sz w:val="20"/>
              </w:rPr>
            </w:pPr>
            <w:r w:rsidRPr="003410C7">
              <w:rPr>
                <w:rFonts w:eastAsia="Calibri"/>
                <w:b/>
                <w:color w:val="000000"/>
                <w:sz w:val="20"/>
              </w:rPr>
              <w:t>Office 365 Enterprise E4</w:t>
            </w:r>
          </w:p>
        </w:tc>
      </w:tr>
      <w:tr w:rsidR="00B26237" w:rsidRPr="003410C7" w:rsidTr="007E466C">
        <w:tc>
          <w:tcPr>
            <w:tcW w:w="2760" w:type="dxa"/>
            <w:shd w:val="clear" w:color="auto" w:fill="auto"/>
          </w:tcPr>
          <w:p w:rsidR="00B26237" w:rsidRPr="003410C7" w:rsidRDefault="00B26237" w:rsidP="00B42A20">
            <w:pPr>
              <w:ind w:left="180" w:right="186"/>
              <w:rPr>
                <w:rFonts w:eastAsia="Calibri"/>
                <w:color w:val="000000"/>
              </w:rPr>
            </w:pPr>
            <w:r w:rsidRPr="003410C7">
              <w:rPr>
                <w:rFonts w:eastAsia="Calibri"/>
                <w:color w:val="000000"/>
              </w:rPr>
              <w:t>Exchange Online Piano 1</w:t>
            </w:r>
          </w:p>
        </w:tc>
        <w:tc>
          <w:tcPr>
            <w:tcW w:w="2765" w:type="dxa"/>
            <w:shd w:val="clear" w:color="auto" w:fill="auto"/>
          </w:tcPr>
          <w:p w:rsidR="00B26237" w:rsidRPr="003410C7" w:rsidRDefault="00B26237" w:rsidP="00B42A20">
            <w:pPr>
              <w:ind w:left="138" w:right="138"/>
              <w:rPr>
                <w:rFonts w:eastAsia="Calibri"/>
                <w:color w:val="000000"/>
              </w:rPr>
            </w:pPr>
            <w:r w:rsidRPr="003410C7">
              <w:rPr>
                <w:rFonts w:eastAsia="Calibri"/>
                <w:color w:val="000000"/>
              </w:rPr>
              <w:t>Exchange Online Piano 2</w:t>
            </w:r>
          </w:p>
        </w:tc>
        <w:tc>
          <w:tcPr>
            <w:tcW w:w="2765" w:type="dxa"/>
            <w:shd w:val="clear" w:color="auto" w:fill="auto"/>
          </w:tcPr>
          <w:p w:rsidR="00B26237" w:rsidRPr="003410C7" w:rsidRDefault="00B26237" w:rsidP="00B42A20">
            <w:pPr>
              <w:ind w:left="186" w:right="180"/>
              <w:rPr>
                <w:rFonts w:eastAsia="Calibri"/>
                <w:color w:val="000000"/>
              </w:rPr>
            </w:pPr>
            <w:r w:rsidRPr="003410C7">
              <w:rPr>
                <w:rFonts w:eastAsia="Calibri"/>
                <w:color w:val="000000"/>
              </w:rPr>
              <w:t>Exchange Online Piano 2</w:t>
            </w:r>
          </w:p>
        </w:tc>
      </w:tr>
      <w:tr w:rsidR="00B26237" w:rsidRPr="003410C7" w:rsidTr="007E466C">
        <w:tc>
          <w:tcPr>
            <w:tcW w:w="2760" w:type="dxa"/>
            <w:shd w:val="clear" w:color="auto" w:fill="auto"/>
          </w:tcPr>
          <w:p w:rsidR="00B26237" w:rsidRPr="003410C7" w:rsidRDefault="00B26237" w:rsidP="00B42A20">
            <w:pPr>
              <w:ind w:left="180" w:right="186"/>
              <w:rPr>
                <w:rFonts w:eastAsia="Calibri"/>
                <w:color w:val="000000"/>
              </w:rPr>
            </w:pPr>
            <w:r w:rsidRPr="003410C7">
              <w:rPr>
                <w:rFonts w:eastAsia="Calibri"/>
                <w:color w:val="000000"/>
              </w:rPr>
              <w:t>SharePoint Online Piano 1</w:t>
            </w:r>
          </w:p>
        </w:tc>
        <w:tc>
          <w:tcPr>
            <w:tcW w:w="2765" w:type="dxa"/>
            <w:shd w:val="clear" w:color="auto" w:fill="auto"/>
          </w:tcPr>
          <w:p w:rsidR="00B26237" w:rsidRPr="003410C7" w:rsidRDefault="00B26237" w:rsidP="00B42A20">
            <w:pPr>
              <w:ind w:left="138" w:right="138"/>
              <w:rPr>
                <w:rFonts w:eastAsia="Calibri"/>
                <w:color w:val="000000"/>
              </w:rPr>
            </w:pPr>
            <w:r w:rsidRPr="003410C7">
              <w:rPr>
                <w:rFonts w:eastAsia="Calibri"/>
                <w:color w:val="000000"/>
              </w:rPr>
              <w:t>SharePoint Online Piano 2</w:t>
            </w:r>
          </w:p>
        </w:tc>
        <w:tc>
          <w:tcPr>
            <w:tcW w:w="2765" w:type="dxa"/>
            <w:shd w:val="clear" w:color="auto" w:fill="auto"/>
          </w:tcPr>
          <w:p w:rsidR="00B26237" w:rsidRPr="003410C7" w:rsidRDefault="00B26237" w:rsidP="00B42A20">
            <w:pPr>
              <w:ind w:left="186" w:right="180"/>
              <w:rPr>
                <w:rFonts w:eastAsia="Calibri"/>
                <w:color w:val="000000"/>
              </w:rPr>
            </w:pPr>
            <w:r w:rsidRPr="003410C7">
              <w:rPr>
                <w:rFonts w:eastAsia="Calibri"/>
                <w:color w:val="000000"/>
              </w:rPr>
              <w:t>SharePoint Online Piano 2</w:t>
            </w:r>
          </w:p>
        </w:tc>
      </w:tr>
      <w:tr w:rsidR="00B26237" w:rsidRPr="003410C7" w:rsidTr="007E466C">
        <w:tc>
          <w:tcPr>
            <w:tcW w:w="2760" w:type="dxa"/>
            <w:shd w:val="clear" w:color="auto" w:fill="auto"/>
          </w:tcPr>
          <w:p w:rsidR="00B26237" w:rsidRPr="003410C7" w:rsidRDefault="00B26237" w:rsidP="00B42A20">
            <w:pPr>
              <w:ind w:left="180" w:right="186"/>
              <w:rPr>
                <w:rFonts w:eastAsia="Calibri"/>
                <w:color w:val="000000"/>
              </w:rPr>
            </w:pPr>
            <w:r w:rsidRPr="003410C7">
              <w:rPr>
                <w:rFonts w:eastAsia="Calibri"/>
                <w:color w:val="000000"/>
              </w:rPr>
              <w:t>Lync Online Piano 2</w:t>
            </w:r>
          </w:p>
        </w:tc>
        <w:tc>
          <w:tcPr>
            <w:tcW w:w="2765" w:type="dxa"/>
            <w:shd w:val="clear" w:color="auto" w:fill="auto"/>
          </w:tcPr>
          <w:p w:rsidR="00B26237" w:rsidRPr="003410C7" w:rsidRDefault="00B26237" w:rsidP="00B42A20">
            <w:pPr>
              <w:ind w:left="138" w:right="138"/>
              <w:rPr>
                <w:rFonts w:eastAsia="Calibri"/>
                <w:color w:val="000000"/>
              </w:rPr>
            </w:pPr>
            <w:r w:rsidRPr="003410C7">
              <w:rPr>
                <w:rFonts w:eastAsia="Calibri"/>
                <w:color w:val="000000"/>
              </w:rPr>
              <w:t>Lync Online Piano 2</w:t>
            </w:r>
          </w:p>
        </w:tc>
        <w:tc>
          <w:tcPr>
            <w:tcW w:w="2765" w:type="dxa"/>
            <w:shd w:val="clear" w:color="auto" w:fill="auto"/>
          </w:tcPr>
          <w:p w:rsidR="00B26237" w:rsidRPr="003410C7" w:rsidRDefault="00B26237" w:rsidP="00B42A20">
            <w:pPr>
              <w:ind w:left="186" w:right="180"/>
              <w:rPr>
                <w:rFonts w:eastAsia="Calibri"/>
                <w:color w:val="000000"/>
              </w:rPr>
            </w:pPr>
            <w:r w:rsidRPr="003410C7">
              <w:rPr>
                <w:rFonts w:eastAsia="Calibri"/>
                <w:color w:val="000000"/>
              </w:rPr>
              <w:t>Lync Online Piano 2</w:t>
            </w:r>
          </w:p>
        </w:tc>
      </w:tr>
      <w:tr w:rsidR="00B26237" w:rsidRPr="003410C7" w:rsidTr="007E466C">
        <w:tc>
          <w:tcPr>
            <w:tcW w:w="2760" w:type="dxa"/>
            <w:shd w:val="clear" w:color="auto" w:fill="auto"/>
          </w:tcPr>
          <w:p w:rsidR="00B26237" w:rsidRPr="003410C7" w:rsidRDefault="00B26237" w:rsidP="00B42A20">
            <w:pPr>
              <w:ind w:left="180" w:right="186"/>
              <w:rPr>
                <w:rFonts w:eastAsia="Calibri"/>
                <w:color w:val="000000"/>
              </w:rPr>
            </w:pPr>
            <w:r w:rsidRPr="003410C7">
              <w:rPr>
                <w:rFonts w:eastAsia="Calibri"/>
                <w:color w:val="000000"/>
              </w:rPr>
              <w:t>Office Web Applications (Microsoft Hosted)</w:t>
            </w:r>
          </w:p>
        </w:tc>
        <w:tc>
          <w:tcPr>
            <w:tcW w:w="2765" w:type="dxa"/>
            <w:shd w:val="clear" w:color="auto" w:fill="auto"/>
          </w:tcPr>
          <w:p w:rsidR="00B26237" w:rsidRPr="003410C7" w:rsidRDefault="00B26237" w:rsidP="00B42A20">
            <w:pPr>
              <w:ind w:left="138" w:right="138"/>
              <w:rPr>
                <w:rFonts w:eastAsia="Calibri"/>
                <w:color w:val="000000"/>
              </w:rPr>
            </w:pPr>
            <w:r w:rsidRPr="003410C7">
              <w:rPr>
                <w:rFonts w:eastAsia="Calibri"/>
                <w:color w:val="000000"/>
              </w:rPr>
              <w:t>Office Web Applications (Microsoft Hosted)</w:t>
            </w:r>
          </w:p>
        </w:tc>
        <w:tc>
          <w:tcPr>
            <w:tcW w:w="2765" w:type="dxa"/>
            <w:shd w:val="clear" w:color="auto" w:fill="auto"/>
          </w:tcPr>
          <w:p w:rsidR="00B26237" w:rsidRPr="003410C7" w:rsidRDefault="00B26237" w:rsidP="00B42A20">
            <w:pPr>
              <w:ind w:left="186" w:right="180"/>
              <w:rPr>
                <w:rFonts w:eastAsia="Calibri"/>
                <w:color w:val="000000"/>
              </w:rPr>
            </w:pPr>
            <w:r w:rsidRPr="003410C7">
              <w:rPr>
                <w:rFonts w:eastAsia="Calibri"/>
                <w:color w:val="000000"/>
              </w:rPr>
              <w:t>Office Web Applications (Microsoft Hosted)</w:t>
            </w:r>
          </w:p>
        </w:tc>
      </w:tr>
      <w:tr w:rsidR="00B26237" w:rsidRPr="003410C7" w:rsidTr="007E466C">
        <w:tc>
          <w:tcPr>
            <w:tcW w:w="2760" w:type="dxa"/>
            <w:shd w:val="clear" w:color="auto" w:fill="auto"/>
          </w:tcPr>
          <w:p w:rsidR="00B26237" w:rsidRPr="003410C7" w:rsidRDefault="00B26237" w:rsidP="00B42A20">
            <w:pPr>
              <w:ind w:left="180" w:right="186"/>
              <w:rPr>
                <w:rFonts w:eastAsia="Calibri"/>
                <w:color w:val="000000"/>
              </w:rPr>
            </w:pPr>
          </w:p>
        </w:tc>
        <w:tc>
          <w:tcPr>
            <w:tcW w:w="2765" w:type="dxa"/>
            <w:shd w:val="clear" w:color="auto" w:fill="auto"/>
          </w:tcPr>
          <w:p w:rsidR="00B26237" w:rsidRPr="003410C7" w:rsidRDefault="008368B4" w:rsidP="00B42A20">
            <w:pPr>
              <w:ind w:left="138" w:right="138"/>
              <w:rPr>
                <w:rFonts w:eastAsia="Calibri"/>
                <w:color w:val="000000"/>
              </w:rPr>
            </w:pPr>
            <w:r w:rsidRPr="003410C7">
              <w:rPr>
                <w:rFonts w:eastAsia="Calibri"/>
                <w:color w:val="000000"/>
              </w:rPr>
              <w:t>Office 365 ProPlus</w:t>
            </w:r>
          </w:p>
        </w:tc>
        <w:tc>
          <w:tcPr>
            <w:tcW w:w="2765" w:type="dxa"/>
            <w:shd w:val="clear" w:color="auto" w:fill="auto"/>
          </w:tcPr>
          <w:p w:rsidR="00B26237" w:rsidRPr="003410C7" w:rsidRDefault="008368B4" w:rsidP="008368B4">
            <w:pPr>
              <w:ind w:left="186" w:right="180"/>
              <w:rPr>
                <w:rFonts w:eastAsia="Calibri"/>
                <w:color w:val="000000"/>
              </w:rPr>
            </w:pPr>
            <w:r w:rsidRPr="003410C7">
              <w:rPr>
                <w:rFonts w:eastAsia="Calibri"/>
                <w:color w:val="000000"/>
              </w:rPr>
              <w:t>Office 365 ProPlus</w:t>
            </w:r>
          </w:p>
        </w:tc>
      </w:tr>
    </w:tbl>
    <w:p w:rsidR="00B26237" w:rsidRPr="00451078" w:rsidRDefault="00B26237" w:rsidP="00D16EA8">
      <w:pPr>
        <w:ind w:left="720"/>
        <w:rPr>
          <w:lang w:val="it-IT"/>
        </w:rPr>
      </w:pPr>
      <w:r w:rsidRPr="00451078">
        <w:rPr>
          <w:color w:val="000000"/>
          <w:lang w:val="it-IT"/>
        </w:rPr>
        <w:br/>
      </w:r>
      <w:r w:rsidRPr="00451078">
        <w:rPr>
          <w:rFonts w:cs="Tahoma"/>
          <w:color w:val="000000"/>
          <w:szCs w:val="18"/>
          <w:lang w:val="it-IT"/>
        </w:rPr>
        <w:t>Questa lista è soggetta a modifiche. Nell</w:t>
      </w:r>
      <w:r w:rsidR="004525CA">
        <w:rPr>
          <w:rFonts w:cs="Tahoma"/>
          <w:color w:val="000000"/>
          <w:szCs w:val="18"/>
          <w:lang w:val="it-IT"/>
        </w:rPr>
        <w:t>’</w:t>
      </w:r>
      <w:r w:rsidRPr="00451078">
        <w:rPr>
          <w:rFonts w:cs="Tahoma"/>
          <w:color w:val="000000"/>
          <w:szCs w:val="18"/>
          <w:lang w:val="it-IT"/>
        </w:rPr>
        <w:t>eventualità di una discrepanza tra le condizioni di licenza per Office 365 Enterprise E2 - E4 e questa nota, i Diritti di Utilizzo del Prodotto correnti avranno prevalenza. Gli eventuali diritti di accesso aggiuntivi per il software On-Premise concesso in licenza separatamente sono specificati nei Diritti di Utilizzo del Prodotto.</w:t>
      </w:r>
      <w:r w:rsidR="00082E1C" w:rsidRPr="00451078">
        <w:rPr>
          <w:rFonts w:cs="Tahoma"/>
          <w:color w:val="000000"/>
          <w:szCs w:val="18"/>
          <w:lang w:val="it-IT"/>
        </w:rPr>
        <w:t xml:space="preserve"> </w:t>
      </w:r>
    </w:p>
    <w:p w:rsidR="00B26237" w:rsidRPr="00451078" w:rsidRDefault="00B26237" w:rsidP="00D16EA8">
      <w:pPr>
        <w:ind w:left="720"/>
        <w:rPr>
          <w:lang w:val="it-IT"/>
        </w:rPr>
      </w:pPr>
    </w:p>
    <w:p w:rsidR="00DC2291" w:rsidRPr="00451078" w:rsidRDefault="00B26237" w:rsidP="00D16EA8">
      <w:pPr>
        <w:pStyle w:val="FootnoteBulletLevel1"/>
        <w:tabs>
          <w:tab w:val="clear" w:pos="900"/>
        </w:tabs>
        <w:spacing w:before="0" w:after="0"/>
        <w:ind w:left="720" w:firstLine="0"/>
        <w:rPr>
          <w:lang w:val="it-IT"/>
        </w:rPr>
      </w:pPr>
      <w:r w:rsidRPr="00451078">
        <w:rPr>
          <w:rFonts w:ascii="Tahoma" w:hAnsi="Tahoma" w:cs="Tahoma"/>
          <w:color w:val="000000"/>
          <w:sz w:val="18"/>
          <w:szCs w:val="18"/>
          <w:lang w:val="it-IT"/>
        </w:rPr>
        <w:t>Lync Online Piano 1 e Piano 2 richiedono l</w:t>
      </w:r>
      <w:r w:rsidR="004525CA">
        <w:rPr>
          <w:rFonts w:ascii="Tahoma" w:hAnsi="Tahoma" w:cs="Tahoma"/>
          <w:color w:val="000000"/>
          <w:sz w:val="18"/>
          <w:szCs w:val="18"/>
          <w:lang w:val="it-IT"/>
        </w:rPr>
        <w:t>’</w:t>
      </w:r>
      <w:r w:rsidRPr="00451078">
        <w:rPr>
          <w:rFonts w:ascii="Tahoma" w:hAnsi="Tahoma" w:cs="Tahoma"/>
          <w:color w:val="000000"/>
          <w:sz w:val="18"/>
          <w:szCs w:val="18"/>
          <w:lang w:val="it-IT"/>
        </w:rPr>
        <w:t>acquisto e l</w:t>
      </w:r>
      <w:r w:rsidR="004525CA">
        <w:rPr>
          <w:rFonts w:ascii="Tahoma" w:hAnsi="Tahoma" w:cs="Tahoma"/>
          <w:color w:val="000000"/>
          <w:sz w:val="18"/>
          <w:szCs w:val="18"/>
          <w:lang w:val="it-IT"/>
        </w:rPr>
        <w:t>’</w:t>
      </w:r>
      <w:r w:rsidRPr="00451078">
        <w:rPr>
          <w:rFonts w:ascii="Tahoma" w:hAnsi="Tahoma" w:cs="Tahoma"/>
          <w:color w:val="000000"/>
          <w:sz w:val="18"/>
          <w:szCs w:val="18"/>
          <w:lang w:val="it-IT"/>
        </w:rPr>
        <w:t>installazione separati di Microsoft Lync 2013 (o di Lync per Mac 2011) per accedere al set completo di funzionalità di Lync Online Piano 1 e Piano 2. Grazie a</w:t>
      </w:r>
      <w:r w:rsidR="00B62DEE" w:rsidRPr="00451078">
        <w:rPr>
          <w:rFonts w:ascii="Tahoma" w:hAnsi="Tahoma" w:cs="Tahoma"/>
          <w:color w:val="000000"/>
          <w:sz w:val="18"/>
          <w:szCs w:val="18"/>
          <w:lang w:val="it-IT"/>
        </w:rPr>
        <w:t> </w:t>
      </w:r>
      <w:r w:rsidRPr="00451078">
        <w:rPr>
          <w:rFonts w:ascii="Tahoma" w:hAnsi="Tahoma" w:cs="Tahoma"/>
          <w:color w:val="000000"/>
          <w:sz w:val="18"/>
          <w:szCs w:val="18"/>
          <w:lang w:val="it-IT"/>
        </w:rPr>
        <w:t>un</w:t>
      </w:r>
      <w:r w:rsidR="004525CA">
        <w:rPr>
          <w:rFonts w:ascii="Tahoma" w:hAnsi="Tahoma" w:cs="Tahoma"/>
          <w:color w:val="000000"/>
          <w:sz w:val="18"/>
          <w:szCs w:val="18"/>
          <w:lang w:val="it-IT"/>
        </w:rPr>
        <w:t>’</w:t>
      </w:r>
      <w:r w:rsidRPr="00451078">
        <w:rPr>
          <w:rFonts w:ascii="Tahoma" w:hAnsi="Tahoma" w:cs="Tahoma"/>
          <w:color w:val="000000"/>
          <w:sz w:val="18"/>
          <w:szCs w:val="18"/>
          <w:lang w:val="it-IT"/>
        </w:rPr>
        <w:t xml:space="preserve">offerta di durata limitata, le società titolari di licenza per Lync Online riceveranno gratuitamente in licenza una copia di Lync 2010 (o di Lync per Mac 2011) per ciascuna licenza </w:t>
      </w:r>
      <w:r w:rsidR="001A3EC5" w:rsidRPr="00451078">
        <w:rPr>
          <w:rFonts w:ascii="Tahoma" w:hAnsi="Tahoma" w:cs="Tahoma"/>
          <w:color w:val="000000"/>
          <w:sz w:val="18"/>
          <w:szCs w:val="18"/>
          <w:lang w:val="it-IT"/>
        </w:rPr>
        <w:t>“</w:t>
      </w:r>
      <w:r w:rsidRPr="00451078">
        <w:rPr>
          <w:rFonts w:ascii="Tahoma" w:hAnsi="Tahoma" w:cs="Tahoma"/>
          <w:color w:val="000000"/>
          <w:sz w:val="18"/>
          <w:szCs w:val="18"/>
          <w:lang w:val="it-IT"/>
        </w:rPr>
        <w:t>subscription</w:t>
      </w:r>
      <w:r w:rsidR="001A3EC5" w:rsidRPr="00451078">
        <w:rPr>
          <w:rFonts w:ascii="Tahoma" w:hAnsi="Tahoma" w:cs="Tahoma"/>
          <w:color w:val="000000"/>
          <w:sz w:val="18"/>
          <w:szCs w:val="18"/>
          <w:lang w:val="it-IT"/>
        </w:rPr>
        <w:t>”</w:t>
      </w:r>
      <w:r w:rsidRPr="00451078">
        <w:rPr>
          <w:rFonts w:ascii="Tahoma" w:hAnsi="Tahoma" w:cs="Tahoma"/>
          <w:color w:val="000000"/>
          <w:sz w:val="18"/>
          <w:szCs w:val="18"/>
          <w:lang w:val="it-IT"/>
        </w:rPr>
        <w:t xml:space="preserve"> acquistata o in versione di valutazione di Lync Online. Il software potrà essere utilizzato esclusivamente con Lync Online e tutti i diritti di utilizzo del software cesseranno alla scadenza della licenza </w:t>
      </w:r>
      <w:r w:rsidR="001A3EC5" w:rsidRPr="00451078">
        <w:rPr>
          <w:rFonts w:ascii="Tahoma" w:hAnsi="Tahoma" w:cs="Tahoma"/>
          <w:color w:val="000000"/>
          <w:sz w:val="18"/>
          <w:szCs w:val="18"/>
          <w:lang w:val="it-IT"/>
        </w:rPr>
        <w:t>“</w:t>
      </w:r>
      <w:r w:rsidRPr="00451078">
        <w:rPr>
          <w:rFonts w:ascii="Tahoma" w:hAnsi="Tahoma" w:cs="Tahoma"/>
          <w:color w:val="000000"/>
          <w:sz w:val="18"/>
          <w:szCs w:val="18"/>
          <w:lang w:val="it-IT"/>
        </w:rPr>
        <w:t>subscription</w:t>
      </w:r>
      <w:r w:rsidR="001A3EC5" w:rsidRPr="00451078">
        <w:rPr>
          <w:rFonts w:ascii="Tahoma" w:hAnsi="Tahoma" w:cs="Tahoma"/>
          <w:color w:val="000000"/>
          <w:sz w:val="18"/>
          <w:szCs w:val="18"/>
          <w:lang w:val="it-IT"/>
        </w:rPr>
        <w:t>”</w:t>
      </w:r>
      <w:r w:rsidRPr="00451078">
        <w:rPr>
          <w:rFonts w:ascii="Tahoma" w:hAnsi="Tahoma" w:cs="Tahoma"/>
          <w:color w:val="000000"/>
          <w:sz w:val="18"/>
          <w:szCs w:val="18"/>
          <w:lang w:val="it-IT"/>
        </w:rPr>
        <w:t xml:space="preserve"> sottostante oppure in occasione della migrazione alla successiva nuova versione principale di Lync Online, a seconda di quale evento si verificherà per primo. Le società potranno utilizzare il client gratuito Lync Basic 2013 per i loro utenti finali in possesso di Windows.</w:t>
      </w:r>
    </w:p>
    <w:p w:rsidR="00B26237" w:rsidRPr="00451078" w:rsidRDefault="00B26237" w:rsidP="00D16EA8">
      <w:pPr>
        <w:pStyle w:val="FootnoteBulletLevel1"/>
        <w:tabs>
          <w:tab w:val="clear" w:pos="900"/>
          <w:tab w:val="num" w:pos="1080"/>
        </w:tabs>
        <w:spacing w:before="0" w:after="0"/>
        <w:ind w:left="0" w:firstLine="0"/>
        <w:rPr>
          <w:lang w:val="it-IT"/>
        </w:rPr>
      </w:pPr>
    </w:p>
    <w:p w:rsidR="00D16EA8" w:rsidRPr="00451078" w:rsidRDefault="00D16EA8" w:rsidP="00D16EA8">
      <w:pPr>
        <w:pStyle w:val="FootnoteBulletLevel1"/>
        <w:tabs>
          <w:tab w:val="clear" w:pos="900"/>
          <w:tab w:val="num" w:pos="1080"/>
        </w:tabs>
        <w:spacing w:before="0" w:after="0"/>
        <w:ind w:left="0" w:firstLine="0"/>
        <w:rPr>
          <w:lang w:val="it-IT"/>
        </w:rPr>
      </w:pPr>
    </w:p>
    <w:p w:rsidR="00704723" w:rsidRPr="003410C7" w:rsidRDefault="00B54C21" w:rsidP="000429EF">
      <w:pPr>
        <w:pStyle w:val="Heading3"/>
      </w:pPr>
      <w:bookmarkStart w:id="1027" w:name="_76_Office_for"/>
      <w:bookmarkStart w:id="1028" w:name="_Toc336338264"/>
      <w:bookmarkStart w:id="1029" w:name="_Toc352234857"/>
      <w:bookmarkStart w:id="1030" w:name="Srv_4OfficeMacStandard2011"/>
      <w:bookmarkEnd w:id="1010"/>
      <w:bookmarkEnd w:id="1027"/>
      <w:r w:rsidRPr="003410C7">
        <w:rPr>
          <w:rFonts w:ascii="Tahoma" w:hAnsi="Tahoma"/>
          <w:caps/>
          <w:color w:val="F66400"/>
          <w:sz w:val="22"/>
          <w:vertAlign w:val="superscript"/>
        </w:rPr>
        <w:t>6</w:t>
      </w:r>
      <w:r w:rsidRPr="00B62DEE">
        <w:rPr>
          <w:rFonts w:ascii="Tahoma" w:hAnsi="Tahoma"/>
          <w:caps/>
          <w:color w:val="F66400"/>
          <w:sz w:val="22"/>
        </w:rPr>
        <w:t xml:space="preserve"> </w:t>
      </w:r>
      <w:r w:rsidRPr="003410C7">
        <w:rPr>
          <w:rFonts w:ascii="Tahoma" w:hAnsi="Tahoma"/>
          <w:color w:val="F66400"/>
          <w:sz w:val="22"/>
        </w:rPr>
        <w:t>Office per Mac Standard 2011</w:t>
      </w:r>
      <w:bookmarkEnd w:id="1028"/>
      <w:bookmarkEnd w:id="1029"/>
      <w:r w:rsidRPr="003410C7">
        <w:rPr>
          <w:rFonts w:ascii="Tahoma" w:hAnsi="Tahoma"/>
          <w:color w:val="F66400"/>
          <w:sz w:val="22"/>
        </w:rPr>
        <w:t xml:space="preserve"> </w:t>
      </w:r>
      <w:bookmarkEnd w:id="1030"/>
    </w:p>
    <w:p w:rsidR="00FD5FBA" w:rsidRPr="003410C7" w:rsidRDefault="00FD5FBA" w:rsidP="00AE5A9F"/>
    <w:p w:rsidR="00FD5FBA" w:rsidRPr="00451078" w:rsidRDefault="00FD5FBA" w:rsidP="00745AB3">
      <w:pPr>
        <w:pStyle w:val="EndnoteText"/>
        <w:numPr>
          <w:ilvl w:val="0"/>
          <w:numId w:val="113"/>
        </w:numPr>
        <w:ind w:left="990"/>
        <w:rPr>
          <w:lang w:val="it-IT"/>
        </w:rPr>
      </w:pPr>
      <w:r w:rsidRPr="00451078">
        <w:rPr>
          <w:rFonts w:ascii="Tahoma" w:hAnsi="Tahoma" w:cs="Tahoma"/>
          <w:sz w:val="18"/>
          <w:szCs w:val="20"/>
          <w:lang w:val="it-IT"/>
        </w:rPr>
        <w:t xml:space="preserve">Licenza Work at Home (WAH) disponibile per le società con Contratto Select </w:t>
      </w:r>
      <w:r w:rsidRPr="00451078">
        <w:rPr>
          <w:rFonts w:ascii="Tahoma" w:hAnsi="Tahoma" w:cs="Tahoma"/>
          <w:sz w:val="18"/>
          <w:szCs w:val="18"/>
          <w:lang w:val="it-IT"/>
        </w:rPr>
        <w:t>e Select Plus</w:t>
      </w:r>
    </w:p>
    <w:p w:rsidR="00CA6122" w:rsidRPr="00451078" w:rsidRDefault="00CA6122" w:rsidP="00CA6122">
      <w:pPr>
        <w:adjustRightInd w:val="0"/>
        <w:ind w:left="720"/>
        <w:textAlignment w:val="baseline"/>
        <w:rPr>
          <w:lang w:val="it-IT"/>
        </w:rPr>
      </w:pPr>
    </w:p>
    <w:p w:rsidR="00864B8A" w:rsidRPr="00451078" w:rsidRDefault="00704723" w:rsidP="00864B8A">
      <w:pPr>
        <w:spacing w:after="60"/>
        <w:ind w:left="720"/>
        <w:rPr>
          <w:lang w:val="it-IT"/>
        </w:rPr>
      </w:pPr>
      <w:r w:rsidRPr="00451078">
        <w:rPr>
          <w:rFonts w:cs="Tahoma"/>
          <w:b/>
          <w:szCs w:val="20"/>
          <w:lang w:val="it-IT"/>
        </w:rPr>
        <w:t>Office per Mac Standard 2011</w:t>
      </w:r>
    </w:p>
    <w:p w:rsidR="00704723" w:rsidRPr="00451078" w:rsidRDefault="00704723" w:rsidP="00864B8A">
      <w:pPr>
        <w:spacing w:after="60"/>
        <w:ind w:left="720"/>
        <w:rPr>
          <w:lang w:val="it-IT"/>
        </w:rPr>
      </w:pPr>
      <w:r w:rsidRPr="00451078">
        <w:rPr>
          <w:rFonts w:cs="Tahoma"/>
          <w:szCs w:val="20"/>
          <w:lang w:val="it-IT"/>
        </w:rPr>
        <w:t xml:space="preserve">Una Licenza per Office per Mac Standard 2011 è composta dai seguenti elementi: Lync per Mac 2011, Excel per Mac 2011, Outlook per Mac 2011, </w:t>
      </w:r>
      <w:r w:rsidRPr="00451078">
        <w:rPr>
          <w:rFonts w:cs="Tahoma"/>
          <w:lang w:val="it-IT"/>
        </w:rPr>
        <w:t>Office Home and Student RT 2013 Commercial Use,</w:t>
      </w:r>
      <w:r w:rsidRPr="00451078">
        <w:rPr>
          <w:rFonts w:cs="Tahoma"/>
          <w:szCs w:val="20"/>
          <w:lang w:val="it-IT"/>
        </w:rPr>
        <w:t xml:space="preserve"> Office Web Apps 2010, PowerPoint per Mac 2011 e Word per Mac 2011.</w:t>
      </w:r>
    </w:p>
    <w:p w:rsidR="00CA6122" w:rsidRPr="00451078" w:rsidRDefault="00CA6122" w:rsidP="00CA6122">
      <w:pPr>
        <w:adjustRightInd w:val="0"/>
        <w:ind w:left="720"/>
        <w:textAlignment w:val="baseline"/>
        <w:rPr>
          <w:lang w:val="it-IT"/>
        </w:rPr>
      </w:pPr>
    </w:p>
    <w:p w:rsidR="00864B8A" w:rsidRPr="00451078" w:rsidRDefault="00704723" w:rsidP="00864B8A">
      <w:pPr>
        <w:spacing w:after="60"/>
        <w:ind w:left="720"/>
        <w:rPr>
          <w:lang w:val="it-IT"/>
        </w:rPr>
      </w:pPr>
      <w:r w:rsidRPr="00451078">
        <w:rPr>
          <w:rFonts w:cs="Tahoma"/>
          <w:b/>
          <w:szCs w:val="20"/>
          <w:lang w:val="it-IT"/>
        </w:rPr>
        <w:t>Impossibilità di Separare Microsoft Office per Mac Standard 2011</w:t>
      </w:r>
    </w:p>
    <w:p w:rsidR="00704723" w:rsidRPr="00451078" w:rsidRDefault="00704723" w:rsidP="00864B8A">
      <w:pPr>
        <w:spacing w:after="60"/>
        <w:ind w:left="720"/>
        <w:rPr>
          <w:lang w:val="it-IT"/>
        </w:rPr>
      </w:pPr>
      <w:r w:rsidRPr="00451078">
        <w:rPr>
          <w:rFonts w:cs="Tahoma"/>
          <w:szCs w:val="20"/>
          <w:lang w:val="it-IT"/>
        </w:rPr>
        <w:t>Office per Mac Standard 2011 è composto da più di un prodotto offerto ai sensi di un</w:t>
      </w:r>
      <w:r w:rsidR="004525CA">
        <w:rPr>
          <w:rFonts w:cs="Tahoma"/>
          <w:szCs w:val="20"/>
          <w:lang w:val="it-IT"/>
        </w:rPr>
        <w:t>’</w:t>
      </w:r>
      <w:r w:rsidRPr="00451078">
        <w:rPr>
          <w:rFonts w:cs="Tahoma"/>
          <w:szCs w:val="20"/>
          <w:lang w:val="it-IT"/>
        </w:rPr>
        <w:t>unica licenza. Il</w:t>
      </w:r>
      <w:r w:rsidR="00B62DEE" w:rsidRPr="00451078">
        <w:rPr>
          <w:rFonts w:cs="Tahoma"/>
          <w:szCs w:val="20"/>
          <w:lang w:val="it-IT"/>
        </w:rPr>
        <w:t> </w:t>
      </w:r>
      <w:r w:rsidRPr="00451078">
        <w:rPr>
          <w:rFonts w:cs="Tahoma"/>
          <w:szCs w:val="20"/>
          <w:lang w:val="it-IT"/>
        </w:rPr>
        <w:t>software non può essere separato per l</w:t>
      </w:r>
      <w:r w:rsidR="004525CA">
        <w:rPr>
          <w:rFonts w:cs="Tahoma"/>
          <w:szCs w:val="20"/>
          <w:lang w:val="it-IT"/>
        </w:rPr>
        <w:t>’</w:t>
      </w:r>
      <w:r w:rsidRPr="00451078">
        <w:rPr>
          <w:rFonts w:cs="Tahoma"/>
          <w:szCs w:val="20"/>
          <w:lang w:val="it-IT"/>
        </w:rPr>
        <w:t>utilizzo su più di un computer.</w:t>
      </w:r>
    </w:p>
    <w:p w:rsidR="00CA6122" w:rsidRPr="00451078" w:rsidRDefault="00CA6122" w:rsidP="00CA6122">
      <w:pPr>
        <w:adjustRightInd w:val="0"/>
        <w:ind w:left="720"/>
        <w:textAlignment w:val="baseline"/>
        <w:rPr>
          <w:lang w:val="it-IT"/>
        </w:rPr>
      </w:pPr>
    </w:p>
    <w:p w:rsidR="00704723" w:rsidRPr="00451078" w:rsidRDefault="0035314F" w:rsidP="00864B8A">
      <w:pPr>
        <w:spacing w:after="60"/>
        <w:ind w:left="720"/>
        <w:rPr>
          <w:lang w:val="it-IT"/>
        </w:rPr>
      </w:pPr>
      <w:r w:rsidRPr="00451078">
        <w:rPr>
          <w:rFonts w:cs="Tahoma"/>
          <w:b/>
          <w:szCs w:val="20"/>
          <w:lang w:val="it-IT"/>
        </w:rPr>
        <w:t>Diritti di Utilizzo di Lync per Mac 2011</w:t>
      </w:r>
    </w:p>
    <w:p w:rsidR="00CA6122" w:rsidRPr="00451078" w:rsidRDefault="00F14B59" w:rsidP="00737831">
      <w:pPr>
        <w:adjustRightInd w:val="0"/>
        <w:ind w:left="720"/>
        <w:textAlignment w:val="baseline"/>
        <w:rPr>
          <w:lang w:val="it-IT"/>
        </w:rPr>
      </w:pPr>
      <w:r w:rsidRPr="00451078">
        <w:rPr>
          <w:rFonts w:cs="Tahoma"/>
          <w:szCs w:val="20"/>
          <w:lang w:val="it-IT"/>
        </w:rPr>
        <w:t>Le società che hanno acquistato Office per Mac Standard 2011 alla data del 1 ottobre 2011 riceveranno una famiglia di prodotti Office che include Lync per Mac 2011 anziché Communicator per Mac 2011. Le società con copertura Software Assurance attiva per Office per Mac Standard 2011 alla data del 1 ottobre 2011 possono utilizzare Communicator per Mac 2011 o fare l</w:t>
      </w:r>
      <w:r w:rsidR="004525CA">
        <w:rPr>
          <w:rFonts w:cs="Tahoma"/>
          <w:szCs w:val="20"/>
          <w:lang w:val="it-IT"/>
        </w:rPr>
        <w:t>’</w:t>
      </w:r>
      <w:r w:rsidRPr="00451078">
        <w:rPr>
          <w:rFonts w:cs="Tahoma"/>
          <w:szCs w:val="20"/>
          <w:lang w:val="it-IT"/>
        </w:rPr>
        <w:t xml:space="preserve">aggiornamento a Lync per Mac 2011. </w:t>
      </w:r>
    </w:p>
    <w:p w:rsidR="007631EF" w:rsidRPr="00451078" w:rsidRDefault="007631EF">
      <w:pPr>
        <w:rPr>
          <w:lang w:val="it-IT"/>
        </w:rPr>
      </w:pPr>
    </w:p>
    <w:p w:rsidR="00697E59" w:rsidRPr="00451078" w:rsidRDefault="00697E59">
      <w:pPr>
        <w:rPr>
          <w:lang w:val="it-IT"/>
        </w:rPr>
      </w:pPr>
      <w:bookmarkStart w:id="1031" w:name="_Toc336338265"/>
    </w:p>
    <w:p w:rsidR="00023FE7" w:rsidRPr="00451078" w:rsidRDefault="00B54C21">
      <w:pPr>
        <w:pStyle w:val="Heading3"/>
        <w:rPr>
          <w:lang w:val="it-IT"/>
        </w:rPr>
      </w:pPr>
      <w:bookmarkStart w:id="1032" w:name="_5_Office_Multi-Language"/>
      <w:bookmarkStart w:id="1033" w:name="_7_Office_Multi-Language"/>
      <w:bookmarkStart w:id="1034" w:name="_87_Office_Multi-Language"/>
      <w:bookmarkStart w:id="1035" w:name="Aps_8OffMultiLangPack07"/>
      <w:bookmarkStart w:id="1036" w:name="Aps_6OfficeMultiLangPack2010"/>
      <w:bookmarkStart w:id="1037" w:name="Aps_5OfficeMultiLangPack2010"/>
      <w:bookmarkStart w:id="1038" w:name="_Toc352234858"/>
      <w:bookmarkEnd w:id="1032"/>
      <w:bookmarkEnd w:id="1033"/>
      <w:bookmarkEnd w:id="1034"/>
      <w:r w:rsidRPr="00451078">
        <w:rPr>
          <w:rFonts w:ascii="Tahoma" w:hAnsi="Tahoma"/>
          <w:caps/>
          <w:color w:val="F66400"/>
          <w:sz w:val="22"/>
          <w:vertAlign w:val="superscript"/>
          <w:lang w:val="it-IT"/>
        </w:rPr>
        <w:t>7</w:t>
      </w:r>
      <w:r w:rsidRPr="00451078">
        <w:rPr>
          <w:rFonts w:ascii="Tahoma" w:hAnsi="Tahoma"/>
          <w:color w:val="F66400"/>
          <w:sz w:val="22"/>
          <w:lang w:val="it-IT"/>
        </w:rPr>
        <w:t xml:space="preserve"> Office Multi-Language Pack </w:t>
      </w:r>
      <w:bookmarkEnd w:id="1031"/>
      <w:bookmarkEnd w:id="1035"/>
      <w:bookmarkEnd w:id="1036"/>
      <w:bookmarkEnd w:id="1037"/>
      <w:r w:rsidRPr="00451078">
        <w:rPr>
          <w:rFonts w:ascii="Tahoma" w:hAnsi="Tahoma"/>
          <w:color w:val="F66400"/>
          <w:sz w:val="22"/>
          <w:lang w:val="it-IT"/>
        </w:rPr>
        <w:t>2013</w:t>
      </w:r>
      <w:bookmarkEnd w:id="1038"/>
    </w:p>
    <w:p w:rsidR="00023FE7" w:rsidRPr="00451078" w:rsidRDefault="00023FE7" w:rsidP="00AE5A9F">
      <w:pPr>
        <w:rPr>
          <w:lang w:val="it-IT"/>
        </w:rPr>
      </w:pPr>
    </w:p>
    <w:p w:rsidR="00223A77" w:rsidRPr="00451078" w:rsidRDefault="0035314F" w:rsidP="00864B8A">
      <w:pPr>
        <w:spacing w:after="60"/>
        <w:ind w:left="720"/>
        <w:rPr>
          <w:lang w:val="it-IT"/>
        </w:rPr>
      </w:pPr>
      <w:r w:rsidRPr="00451078">
        <w:rPr>
          <w:rFonts w:cs="Tahoma"/>
          <w:b/>
          <w:szCs w:val="20"/>
          <w:lang w:val="it-IT"/>
        </w:rPr>
        <w:t>Diritti di Downgrade per Office Multi-Language Pack 2013</w:t>
      </w:r>
    </w:p>
    <w:p w:rsidR="00223A77" w:rsidRPr="00451078" w:rsidRDefault="00223A77" w:rsidP="00CA6122">
      <w:pPr>
        <w:ind w:left="720"/>
        <w:rPr>
          <w:lang w:val="it-IT"/>
        </w:rPr>
      </w:pPr>
      <w:r w:rsidRPr="00451078">
        <w:rPr>
          <w:rFonts w:cs="Tahoma"/>
          <w:szCs w:val="18"/>
          <w:lang w:val="it-IT"/>
        </w:rPr>
        <w:t>Le società che abbiano stipulato contratti Volume License e che dispongono di una licenza per Office Multi-Language Pack 2013 e con una licenza per uno qualsiasi dei seguenti prodotti:</w:t>
      </w:r>
    </w:p>
    <w:p w:rsidR="00223A77" w:rsidRPr="003410C7" w:rsidRDefault="00223A77" w:rsidP="00CA6122">
      <w:pPr>
        <w:numPr>
          <w:ilvl w:val="0"/>
          <w:numId w:val="9"/>
        </w:numPr>
        <w:spacing w:after="60"/>
        <w:ind w:left="1440"/>
      </w:pPr>
      <w:r w:rsidRPr="003410C7">
        <w:rPr>
          <w:rFonts w:cs="Tahoma"/>
          <w:szCs w:val="18"/>
        </w:rPr>
        <w:lastRenderedPageBreak/>
        <w:t>Office Standard 2013</w:t>
      </w:r>
    </w:p>
    <w:p w:rsidR="00223A77" w:rsidRPr="003410C7" w:rsidRDefault="00223A77" w:rsidP="00CA6122">
      <w:pPr>
        <w:numPr>
          <w:ilvl w:val="0"/>
          <w:numId w:val="9"/>
        </w:numPr>
        <w:spacing w:after="60"/>
        <w:ind w:left="1440"/>
      </w:pPr>
      <w:r w:rsidRPr="003410C7">
        <w:rPr>
          <w:rFonts w:cs="Tahoma"/>
          <w:szCs w:val="18"/>
        </w:rPr>
        <w:t>Office Professional Plus 2013</w:t>
      </w:r>
    </w:p>
    <w:p w:rsidR="00223A77" w:rsidRPr="003410C7" w:rsidRDefault="00223A77" w:rsidP="00CA6122">
      <w:pPr>
        <w:numPr>
          <w:ilvl w:val="0"/>
          <w:numId w:val="9"/>
        </w:numPr>
        <w:spacing w:after="60"/>
        <w:ind w:left="1440"/>
      </w:pPr>
      <w:r w:rsidRPr="003410C7">
        <w:rPr>
          <w:rFonts w:cs="Tahoma"/>
          <w:szCs w:val="18"/>
        </w:rPr>
        <w:t>Project Standard 2013</w:t>
      </w:r>
    </w:p>
    <w:p w:rsidR="00223A77" w:rsidRPr="003410C7" w:rsidRDefault="00223A77" w:rsidP="00CA6122">
      <w:pPr>
        <w:numPr>
          <w:ilvl w:val="0"/>
          <w:numId w:val="9"/>
        </w:numPr>
        <w:spacing w:after="60"/>
        <w:ind w:left="1440"/>
      </w:pPr>
      <w:r w:rsidRPr="003410C7">
        <w:rPr>
          <w:rFonts w:cs="Tahoma"/>
          <w:szCs w:val="18"/>
        </w:rPr>
        <w:t>Project Professional 2013</w:t>
      </w:r>
    </w:p>
    <w:p w:rsidR="00223A77" w:rsidRPr="003410C7" w:rsidRDefault="00223A77" w:rsidP="00CA6122">
      <w:pPr>
        <w:numPr>
          <w:ilvl w:val="0"/>
          <w:numId w:val="9"/>
        </w:numPr>
        <w:spacing w:after="60"/>
        <w:ind w:left="1440"/>
      </w:pPr>
      <w:r w:rsidRPr="003410C7">
        <w:rPr>
          <w:rFonts w:cs="Tahoma"/>
          <w:szCs w:val="18"/>
        </w:rPr>
        <w:t>Visio Standard 2013</w:t>
      </w:r>
    </w:p>
    <w:p w:rsidR="00223A77" w:rsidRPr="003410C7" w:rsidRDefault="00223A77" w:rsidP="00CA6122">
      <w:pPr>
        <w:numPr>
          <w:ilvl w:val="0"/>
          <w:numId w:val="9"/>
        </w:numPr>
        <w:spacing w:after="60"/>
        <w:ind w:left="1440"/>
      </w:pPr>
      <w:r w:rsidRPr="003410C7">
        <w:rPr>
          <w:rFonts w:cs="Tahoma"/>
          <w:szCs w:val="18"/>
        </w:rPr>
        <w:t>Visio Professional 2013</w:t>
      </w:r>
    </w:p>
    <w:p w:rsidR="00223A77" w:rsidRPr="003410C7" w:rsidRDefault="00223A77" w:rsidP="00CA6122">
      <w:pPr>
        <w:ind w:left="1260"/>
      </w:pPr>
    </w:p>
    <w:p w:rsidR="00223A77" w:rsidRPr="00451078" w:rsidRDefault="00223A77" w:rsidP="00CA6122">
      <w:pPr>
        <w:ind w:left="720"/>
        <w:rPr>
          <w:lang w:val="it-IT"/>
        </w:rPr>
      </w:pPr>
      <w:r w:rsidRPr="00451078">
        <w:rPr>
          <w:rFonts w:cs="Tahoma"/>
          <w:szCs w:val="18"/>
          <w:lang w:val="it-IT"/>
        </w:rPr>
        <w:t>sono idonee a utilizzare la versione Inglese/Multilingua di una versione sottoposta a downgrade del prodotto, al posto della versione concessa in licenza</w:t>
      </w:r>
      <w:r w:rsidRPr="00451078">
        <w:rPr>
          <w:rFonts w:cs="Tahoma"/>
          <w:i/>
          <w:iCs/>
          <w:szCs w:val="18"/>
          <w:lang w:val="it-IT"/>
        </w:rPr>
        <w:t>.</w:t>
      </w:r>
      <w:r w:rsidRPr="00451078">
        <w:rPr>
          <w:rFonts w:cs="Tahoma"/>
          <w:szCs w:val="18"/>
          <w:lang w:val="it-IT"/>
        </w:rPr>
        <w:t xml:space="preserve"> L</w:t>
      </w:r>
      <w:r w:rsidR="004525CA">
        <w:rPr>
          <w:rFonts w:cs="Tahoma"/>
          <w:szCs w:val="18"/>
          <w:lang w:val="it-IT"/>
        </w:rPr>
        <w:t>’</w:t>
      </w:r>
      <w:r w:rsidRPr="00451078">
        <w:rPr>
          <w:rFonts w:cs="Tahoma"/>
          <w:szCs w:val="18"/>
          <w:lang w:val="it-IT"/>
        </w:rPr>
        <w:t>utilizzo della versione sottoposta a downgrade del prodotto è soggetta ai diritti di utilizzo della versione 2013 del prodotto. Tali diritti cesseranno alla scadenza dei diritti della società di utilizzare il prodotto Office Multi-Language Pack 2013 o i prodotti 2013 indicati in</w:t>
      </w:r>
      <w:r w:rsidR="00B62DEE" w:rsidRPr="00451078">
        <w:rPr>
          <w:rFonts w:cs="Tahoma"/>
          <w:szCs w:val="18"/>
          <w:lang w:val="it-IT"/>
        </w:rPr>
        <w:t> </w:t>
      </w:r>
      <w:r w:rsidRPr="00451078">
        <w:rPr>
          <w:rFonts w:cs="Tahoma"/>
          <w:szCs w:val="18"/>
          <w:lang w:val="it-IT"/>
        </w:rPr>
        <w:t>precedenza.</w:t>
      </w:r>
    </w:p>
    <w:p w:rsidR="00CA6122" w:rsidRPr="00451078" w:rsidRDefault="00CA6122">
      <w:pPr>
        <w:pStyle w:val="Heading3"/>
        <w:rPr>
          <w:lang w:val="it-IT"/>
        </w:rPr>
      </w:pPr>
      <w:bookmarkStart w:id="1039" w:name="_Toc336338266"/>
      <w:bookmarkStart w:id="1040" w:name="Aps_9OffProPlus07forWin"/>
      <w:bookmarkStart w:id="1041" w:name="Aps_7OfficeProPlus2010"/>
      <w:bookmarkStart w:id="1042" w:name="Aps_6OfficeProPlus2010"/>
    </w:p>
    <w:p w:rsidR="00CA6122" w:rsidRPr="00451078" w:rsidRDefault="00CA6122">
      <w:pPr>
        <w:pStyle w:val="Heading3"/>
        <w:rPr>
          <w:lang w:val="it-IT"/>
        </w:rPr>
      </w:pPr>
    </w:p>
    <w:p w:rsidR="00023FE7" w:rsidRPr="003410C7" w:rsidRDefault="00B54C21">
      <w:pPr>
        <w:pStyle w:val="Heading3"/>
      </w:pPr>
      <w:bookmarkStart w:id="1043" w:name="_98_Office_Professional"/>
      <w:bookmarkStart w:id="1044" w:name="_Toc352234859"/>
      <w:bookmarkEnd w:id="1043"/>
      <w:r w:rsidRPr="003410C7">
        <w:rPr>
          <w:rFonts w:ascii="Tahoma" w:hAnsi="Tahoma"/>
          <w:caps/>
          <w:color w:val="F66400"/>
          <w:sz w:val="22"/>
          <w:vertAlign w:val="superscript"/>
        </w:rPr>
        <w:t>8</w:t>
      </w:r>
      <w:r w:rsidRPr="003410C7">
        <w:rPr>
          <w:rFonts w:ascii="Tahoma" w:hAnsi="Tahoma"/>
          <w:color w:val="F66400"/>
          <w:sz w:val="22"/>
        </w:rPr>
        <w:t xml:space="preserve"> Office Professional Plus </w:t>
      </w:r>
      <w:bookmarkEnd w:id="1039"/>
      <w:r w:rsidRPr="003410C7">
        <w:rPr>
          <w:rFonts w:ascii="Tahoma" w:hAnsi="Tahoma"/>
          <w:color w:val="F66400"/>
          <w:sz w:val="22"/>
        </w:rPr>
        <w:t>2013</w:t>
      </w:r>
      <w:bookmarkEnd w:id="1044"/>
    </w:p>
    <w:bookmarkEnd w:id="1040"/>
    <w:bookmarkEnd w:id="1041"/>
    <w:bookmarkEnd w:id="1042"/>
    <w:p w:rsidR="00023FE7" w:rsidRPr="003410C7" w:rsidRDefault="00023FE7" w:rsidP="00AE5A9F"/>
    <w:p w:rsidR="00223A77" w:rsidRPr="00451078" w:rsidRDefault="00223A77" w:rsidP="00745AB3">
      <w:pPr>
        <w:pStyle w:val="EndnoteText"/>
        <w:numPr>
          <w:ilvl w:val="0"/>
          <w:numId w:val="113"/>
        </w:numPr>
        <w:ind w:left="1080"/>
        <w:rPr>
          <w:lang w:val="it-IT"/>
        </w:rPr>
      </w:pPr>
      <w:r w:rsidRPr="00451078">
        <w:rPr>
          <w:rFonts w:ascii="Tahoma" w:hAnsi="Tahoma" w:cs="Tahoma"/>
          <w:sz w:val="18"/>
          <w:szCs w:val="20"/>
          <w:lang w:val="it-IT"/>
        </w:rPr>
        <w:t xml:space="preserve">Licenza Work at Home (WAH) disponibile per le società con Contratto Select </w:t>
      </w:r>
      <w:r w:rsidRPr="00451078">
        <w:rPr>
          <w:rFonts w:ascii="Tahoma" w:hAnsi="Tahoma" w:cs="Tahoma"/>
          <w:sz w:val="18"/>
          <w:szCs w:val="18"/>
          <w:lang w:val="it-IT"/>
        </w:rPr>
        <w:t>e Select Plus</w:t>
      </w:r>
    </w:p>
    <w:p w:rsidR="00223A77" w:rsidRPr="00451078" w:rsidRDefault="00223A77" w:rsidP="00745AB3">
      <w:pPr>
        <w:pStyle w:val="EndnoteText"/>
        <w:numPr>
          <w:ilvl w:val="0"/>
          <w:numId w:val="113"/>
        </w:numPr>
        <w:ind w:left="1080"/>
        <w:rPr>
          <w:lang w:val="it-IT"/>
        </w:rPr>
      </w:pPr>
      <w:r w:rsidRPr="00451078">
        <w:rPr>
          <w:rFonts w:ascii="Tahoma" w:hAnsi="Tahoma" w:cs="Tahoma"/>
          <w:sz w:val="18"/>
          <w:szCs w:val="20"/>
          <w:lang w:val="it-IT"/>
        </w:rPr>
        <w:t>Licenza Work at Home (WAH) disponibile per le società con Contratto Enterprise</w:t>
      </w:r>
    </w:p>
    <w:p w:rsidR="00223A77" w:rsidRPr="00451078" w:rsidRDefault="00223A77" w:rsidP="00D16C5F">
      <w:pPr>
        <w:pStyle w:val="FootnoteBulletLevel1"/>
        <w:tabs>
          <w:tab w:val="clear" w:pos="900"/>
        </w:tabs>
        <w:spacing w:before="0" w:after="0"/>
        <w:ind w:left="720" w:firstLine="0"/>
        <w:rPr>
          <w:lang w:val="it-IT"/>
        </w:rPr>
      </w:pPr>
    </w:p>
    <w:p w:rsidR="00864B8A" w:rsidRPr="00451078" w:rsidRDefault="00223A77" w:rsidP="00864B8A">
      <w:pPr>
        <w:spacing w:after="60"/>
        <w:ind w:left="720"/>
        <w:rPr>
          <w:lang w:val="it-IT"/>
        </w:rPr>
      </w:pPr>
      <w:r w:rsidRPr="00451078">
        <w:rPr>
          <w:rFonts w:cs="Tahoma"/>
          <w:b/>
          <w:lang w:val="it-IT"/>
        </w:rPr>
        <w:t>Office Professional Plus 2013</w:t>
      </w:r>
    </w:p>
    <w:p w:rsidR="00223A77" w:rsidRPr="00451078" w:rsidRDefault="00223A77" w:rsidP="00864B8A">
      <w:pPr>
        <w:spacing w:after="60"/>
        <w:ind w:left="720"/>
        <w:rPr>
          <w:lang w:val="it-IT"/>
        </w:rPr>
      </w:pPr>
      <w:r w:rsidRPr="00451078">
        <w:rPr>
          <w:rFonts w:cs="Tahoma"/>
          <w:lang w:val="it-IT"/>
        </w:rPr>
        <w:t>Una Licenza per Office Professional Plus 2013 è composta dai seguenti elementi: Access 2013, Lync 2013, Excel 2013, InfoPath 2013, OneNote 2013, Outlook 2013, Office Home and Student RT 2013 Commercial Use, Office Web Apps, PowerPoint 2013, Publisher 2013 e Word 2013.</w:t>
      </w:r>
    </w:p>
    <w:p w:rsidR="00973A93" w:rsidRPr="00451078" w:rsidRDefault="00973A93">
      <w:pPr>
        <w:rPr>
          <w:lang w:val="it-IT"/>
        </w:rPr>
      </w:pPr>
    </w:p>
    <w:p w:rsidR="00223A77" w:rsidRPr="00451078" w:rsidRDefault="00223A77" w:rsidP="00864B8A">
      <w:pPr>
        <w:spacing w:after="60"/>
        <w:ind w:left="720"/>
        <w:rPr>
          <w:lang w:val="it-IT"/>
        </w:rPr>
      </w:pPr>
      <w:r w:rsidRPr="00451078">
        <w:rPr>
          <w:rFonts w:cs="Tahoma"/>
          <w:b/>
          <w:lang w:val="it-IT"/>
        </w:rPr>
        <w:t>Impossibilità di Separare Office Professional Plus 2013</w:t>
      </w:r>
    </w:p>
    <w:p w:rsidR="00223A77" w:rsidRPr="00451078" w:rsidRDefault="00223A77" w:rsidP="00D16C5F">
      <w:pPr>
        <w:pStyle w:val="FootnoteBulletLevel1"/>
        <w:tabs>
          <w:tab w:val="clear" w:pos="900"/>
        </w:tabs>
        <w:spacing w:before="0" w:after="0"/>
        <w:ind w:left="720" w:firstLine="0"/>
        <w:rPr>
          <w:lang w:val="it-IT"/>
        </w:rPr>
      </w:pPr>
      <w:r w:rsidRPr="00451078">
        <w:rPr>
          <w:rFonts w:ascii="Tahoma" w:hAnsi="Tahoma" w:cs="Tahoma"/>
          <w:sz w:val="18"/>
          <w:lang w:val="it-IT"/>
        </w:rPr>
        <w:t>Microsoft Office Professional Plus 2013 è composto da più di un prodotto offerto ai sensi di un</w:t>
      </w:r>
      <w:r w:rsidR="004525CA">
        <w:rPr>
          <w:rFonts w:ascii="Tahoma" w:hAnsi="Tahoma" w:cs="Tahoma"/>
          <w:sz w:val="18"/>
          <w:lang w:val="it-IT"/>
        </w:rPr>
        <w:t>’</w:t>
      </w:r>
      <w:r w:rsidRPr="00451078">
        <w:rPr>
          <w:rFonts w:ascii="Tahoma" w:hAnsi="Tahoma" w:cs="Tahoma"/>
          <w:sz w:val="18"/>
          <w:lang w:val="it-IT"/>
        </w:rPr>
        <w:t>unica licenza. Il software non può essere separato per l</w:t>
      </w:r>
      <w:r w:rsidR="004525CA">
        <w:rPr>
          <w:rFonts w:ascii="Tahoma" w:hAnsi="Tahoma" w:cs="Tahoma"/>
          <w:sz w:val="18"/>
          <w:lang w:val="it-IT"/>
        </w:rPr>
        <w:t>’</w:t>
      </w:r>
      <w:r w:rsidRPr="00451078">
        <w:rPr>
          <w:rFonts w:ascii="Tahoma" w:hAnsi="Tahoma" w:cs="Tahoma"/>
          <w:sz w:val="18"/>
          <w:lang w:val="it-IT"/>
        </w:rPr>
        <w:t>utilizzo su più di un computer.</w:t>
      </w:r>
    </w:p>
    <w:p w:rsidR="00952A87" w:rsidRPr="00451078" w:rsidRDefault="00952A87" w:rsidP="00D16C5F">
      <w:pPr>
        <w:ind w:left="720"/>
        <w:rPr>
          <w:lang w:val="it-IT"/>
        </w:rPr>
      </w:pPr>
    </w:p>
    <w:p w:rsidR="00952A87" w:rsidRPr="00451078" w:rsidRDefault="00952A87" w:rsidP="00864B8A">
      <w:pPr>
        <w:spacing w:after="60"/>
        <w:ind w:left="720"/>
        <w:rPr>
          <w:lang w:val="it-IT"/>
        </w:rPr>
      </w:pPr>
      <w:r w:rsidRPr="00451078">
        <w:rPr>
          <w:rFonts w:cs="Tahoma"/>
          <w:b/>
          <w:lang w:val="it-IT"/>
        </w:rPr>
        <w:t>Contratto Campus e School</w:t>
      </w:r>
    </w:p>
    <w:p w:rsidR="00001A9A" w:rsidRPr="00451078" w:rsidRDefault="00952A87" w:rsidP="00D16C5F">
      <w:pPr>
        <w:ind w:left="720"/>
        <w:rPr>
          <w:lang w:val="it-IT"/>
        </w:rPr>
      </w:pPr>
      <w:r w:rsidRPr="00451078">
        <w:rPr>
          <w:rFonts w:eastAsia="Calibri" w:cs="Tahoma"/>
          <w:iCs/>
          <w:color w:val="000000"/>
          <w:szCs w:val="18"/>
          <w:lang w:val="it-IT"/>
        </w:rPr>
        <w:t>Gli Istituti in possesso di USL per Office Professional Plus Subscription cedute a tutto il personale docente e non docente potranno installare il software Office Professional Plus 2013 in qualsiasi laboratorio o biblioteca ad accesso libero all</w:t>
      </w:r>
      <w:r w:rsidR="004525CA">
        <w:rPr>
          <w:rFonts w:eastAsia="Calibri" w:cs="Tahoma"/>
          <w:iCs/>
          <w:color w:val="000000"/>
          <w:szCs w:val="18"/>
          <w:lang w:val="it-IT"/>
        </w:rPr>
        <w:t>’</w:t>
      </w:r>
      <w:r w:rsidRPr="00451078">
        <w:rPr>
          <w:rFonts w:eastAsia="Calibri" w:cs="Tahoma"/>
          <w:iCs/>
          <w:color w:val="000000"/>
          <w:szCs w:val="18"/>
          <w:lang w:val="it-IT"/>
        </w:rPr>
        <w:t>interno dell</w:t>
      </w:r>
      <w:r w:rsidR="004525CA">
        <w:rPr>
          <w:rFonts w:eastAsia="Calibri" w:cs="Tahoma"/>
          <w:iCs/>
          <w:color w:val="000000"/>
          <w:szCs w:val="18"/>
          <w:lang w:val="it-IT"/>
        </w:rPr>
        <w:t>’</w:t>
      </w:r>
      <w:r w:rsidRPr="00451078">
        <w:rPr>
          <w:rFonts w:eastAsia="Calibri" w:cs="Tahoma"/>
          <w:iCs/>
          <w:color w:val="000000"/>
          <w:szCs w:val="18"/>
          <w:lang w:val="it-IT"/>
        </w:rPr>
        <w:t>Organizzazione dell</w:t>
      </w:r>
      <w:r w:rsidR="004525CA">
        <w:rPr>
          <w:rFonts w:eastAsia="Calibri" w:cs="Tahoma"/>
          <w:iCs/>
          <w:color w:val="000000"/>
          <w:szCs w:val="18"/>
          <w:lang w:val="it-IT"/>
        </w:rPr>
        <w:t>’</w:t>
      </w:r>
      <w:r w:rsidRPr="00451078">
        <w:rPr>
          <w:rFonts w:eastAsia="Calibri" w:cs="Tahoma"/>
          <w:iCs/>
          <w:color w:val="000000"/>
          <w:szCs w:val="18"/>
          <w:lang w:val="it-IT"/>
        </w:rPr>
        <w:t>Istituto.</w:t>
      </w:r>
      <w:r w:rsidR="00082E1C" w:rsidRPr="00451078">
        <w:rPr>
          <w:rFonts w:eastAsia="Calibri" w:cs="Tahoma"/>
          <w:iCs/>
          <w:color w:val="000000"/>
          <w:szCs w:val="18"/>
          <w:lang w:val="it-IT"/>
        </w:rPr>
        <w:t xml:space="preserve"> </w:t>
      </w:r>
      <w:r w:rsidRPr="00451078">
        <w:rPr>
          <w:rFonts w:eastAsia="Calibri" w:cs="Tahoma"/>
          <w:iCs/>
          <w:color w:val="000000"/>
          <w:szCs w:val="18"/>
          <w:lang w:val="it-IT"/>
        </w:rPr>
        <w:t>L</w:t>
      </w:r>
      <w:r w:rsidR="004525CA">
        <w:rPr>
          <w:rFonts w:eastAsia="Calibri" w:cs="Tahoma"/>
          <w:iCs/>
          <w:color w:val="000000"/>
          <w:szCs w:val="18"/>
          <w:lang w:val="it-IT"/>
        </w:rPr>
        <w:t>’</w:t>
      </w:r>
      <w:r w:rsidRPr="00451078">
        <w:rPr>
          <w:rFonts w:eastAsia="Calibri" w:cs="Tahoma"/>
          <w:iCs/>
          <w:color w:val="000000"/>
          <w:szCs w:val="18"/>
          <w:lang w:val="it-IT"/>
        </w:rPr>
        <w:t>utilizzo del software è soggetto alle condizioni di licenza di Office Pro Plus 2013.</w:t>
      </w:r>
    </w:p>
    <w:p w:rsidR="00952A87" w:rsidRPr="00451078" w:rsidRDefault="00952A87" w:rsidP="00D16C5F">
      <w:pPr>
        <w:rPr>
          <w:lang w:val="it-IT"/>
        </w:rPr>
      </w:pPr>
    </w:p>
    <w:p w:rsidR="00133069" w:rsidRPr="00451078" w:rsidRDefault="00133069" w:rsidP="00133069">
      <w:pPr>
        <w:rPr>
          <w:lang w:val="it-IT"/>
        </w:rPr>
      </w:pPr>
    </w:p>
    <w:p w:rsidR="00223A77" w:rsidRPr="003410C7" w:rsidRDefault="00B54C21" w:rsidP="00223A77">
      <w:pPr>
        <w:pStyle w:val="Heading3"/>
      </w:pPr>
      <w:bookmarkStart w:id="1045" w:name="_109_Office_Standard"/>
      <w:bookmarkStart w:id="1046" w:name="Aps_OfficeStandard2010"/>
      <w:bookmarkStart w:id="1047" w:name="_Toc254806115"/>
      <w:bookmarkStart w:id="1048" w:name="_Toc328146032"/>
      <w:bookmarkStart w:id="1049" w:name="_Toc352234860"/>
      <w:bookmarkStart w:id="1050" w:name="Aps_7OfficeStandard2010"/>
      <w:bookmarkStart w:id="1051" w:name="_Toc336338268"/>
      <w:bookmarkEnd w:id="1045"/>
      <w:r w:rsidRPr="003410C7">
        <w:rPr>
          <w:rFonts w:ascii="Tahoma" w:hAnsi="Tahoma"/>
          <w:caps/>
          <w:color w:val="F66400"/>
          <w:sz w:val="22"/>
          <w:vertAlign w:val="superscript"/>
        </w:rPr>
        <w:t>9</w:t>
      </w:r>
      <w:r w:rsidRPr="003410C7">
        <w:rPr>
          <w:rFonts w:ascii="Tahoma" w:hAnsi="Tahoma"/>
          <w:color w:val="F66400"/>
          <w:sz w:val="22"/>
        </w:rPr>
        <w:t xml:space="preserve"> Office Standard </w:t>
      </w:r>
      <w:bookmarkEnd w:id="1046"/>
      <w:bookmarkEnd w:id="1047"/>
      <w:bookmarkEnd w:id="1048"/>
      <w:r w:rsidRPr="003410C7">
        <w:rPr>
          <w:rFonts w:ascii="Tahoma" w:hAnsi="Tahoma"/>
          <w:color w:val="F66400"/>
          <w:sz w:val="22"/>
        </w:rPr>
        <w:t>2013</w:t>
      </w:r>
      <w:bookmarkEnd w:id="1049"/>
    </w:p>
    <w:bookmarkEnd w:id="1050"/>
    <w:p w:rsidR="00223A77" w:rsidRPr="003410C7" w:rsidRDefault="00223A77" w:rsidP="00AE5A9F"/>
    <w:p w:rsidR="00223A77" w:rsidRPr="00BA1FE3" w:rsidRDefault="00223A77" w:rsidP="00745AB3">
      <w:pPr>
        <w:pStyle w:val="EndnoteText"/>
        <w:numPr>
          <w:ilvl w:val="3"/>
          <w:numId w:val="80"/>
        </w:numPr>
        <w:ind w:left="990"/>
        <w:rPr>
          <w:rFonts w:ascii="Tahoma" w:hAnsi="Tahoma" w:cs="Tahoma"/>
          <w:sz w:val="18"/>
          <w:szCs w:val="18"/>
          <w:lang w:val="it-IT"/>
        </w:rPr>
      </w:pPr>
      <w:r w:rsidRPr="00BA1FE3">
        <w:rPr>
          <w:rFonts w:ascii="Tahoma" w:hAnsi="Tahoma" w:cs="Tahoma"/>
          <w:sz w:val="18"/>
          <w:szCs w:val="18"/>
          <w:lang w:val="it-IT"/>
        </w:rPr>
        <w:t>Licenza Work at Home (WAH) disponibile per le società con Contratto Select e Select Plus</w:t>
      </w:r>
    </w:p>
    <w:p w:rsidR="00223A77" w:rsidRPr="00BA1FE3" w:rsidRDefault="00223A77" w:rsidP="00745AB3">
      <w:pPr>
        <w:pStyle w:val="EndnoteText"/>
        <w:numPr>
          <w:ilvl w:val="3"/>
          <w:numId w:val="80"/>
        </w:numPr>
        <w:ind w:left="990"/>
        <w:rPr>
          <w:rFonts w:ascii="Tahoma" w:hAnsi="Tahoma" w:cs="Tahoma"/>
          <w:sz w:val="18"/>
          <w:szCs w:val="18"/>
          <w:lang w:val="it-IT"/>
        </w:rPr>
      </w:pPr>
      <w:r w:rsidRPr="00BA1FE3">
        <w:rPr>
          <w:rFonts w:ascii="Tahoma" w:hAnsi="Tahoma" w:cs="Tahoma"/>
          <w:sz w:val="18"/>
          <w:szCs w:val="18"/>
          <w:lang w:val="it-IT"/>
        </w:rPr>
        <w:t>Licenza Work at Home (WAH) disponibile per le società con Contratto Enterprise</w:t>
      </w:r>
    </w:p>
    <w:p w:rsidR="00223A77" w:rsidRPr="00BA1FE3" w:rsidRDefault="00223A77" w:rsidP="00DF0E39">
      <w:pPr>
        <w:pStyle w:val="FootnoteBulletLevel1"/>
        <w:tabs>
          <w:tab w:val="clear" w:pos="900"/>
        </w:tabs>
        <w:spacing w:before="0" w:after="0"/>
        <w:ind w:left="720" w:firstLine="0"/>
        <w:rPr>
          <w:rFonts w:ascii="Tahoma" w:hAnsi="Tahoma" w:cs="Tahoma"/>
          <w:sz w:val="18"/>
          <w:szCs w:val="18"/>
          <w:lang w:val="it-IT"/>
        </w:rPr>
      </w:pPr>
    </w:p>
    <w:p w:rsidR="00864B8A" w:rsidRPr="00BA1FE3" w:rsidRDefault="00223A77" w:rsidP="00864B8A">
      <w:pPr>
        <w:spacing w:after="60"/>
        <w:ind w:left="720"/>
        <w:rPr>
          <w:rFonts w:cs="Tahoma"/>
          <w:szCs w:val="18"/>
          <w:lang w:val="it-IT"/>
        </w:rPr>
      </w:pPr>
      <w:r w:rsidRPr="00BA1FE3">
        <w:rPr>
          <w:rFonts w:cs="Tahoma"/>
          <w:b/>
          <w:szCs w:val="18"/>
          <w:lang w:val="it-IT"/>
        </w:rPr>
        <w:t>Office Standard 2013</w:t>
      </w:r>
    </w:p>
    <w:p w:rsidR="00223A77" w:rsidRPr="00BA1FE3" w:rsidRDefault="00223A77" w:rsidP="00DF0E39">
      <w:pPr>
        <w:pStyle w:val="FootnoteBulletLevel1"/>
        <w:tabs>
          <w:tab w:val="clear" w:pos="900"/>
        </w:tabs>
        <w:spacing w:before="0" w:after="0"/>
        <w:ind w:left="720" w:firstLine="0"/>
        <w:rPr>
          <w:rFonts w:ascii="Tahoma" w:hAnsi="Tahoma" w:cs="Tahoma"/>
          <w:sz w:val="18"/>
          <w:szCs w:val="18"/>
          <w:lang w:val="it-IT"/>
        </w:rPr>
      </w:pPr>
      <w:r w:rsidRPr="00BA1FE3">
        <w:rPr>
          <w:rFonts w:ascii="Tahoma" w:hAnsi="Tahoma" w:cs="Tahoma"/>
          <w:sz w:val="18"/>
          <w:szCs w:val="18"/>
          <w:lang w:val="it-IT"/>
        </w:rPr>
        <w:t>Una Licenza per Office Standard 2013 è composta dai seguenti elementi: Excel 2013, OneNote 2013, Outlook 2013, Office Home and Student RT 2013 Commercial Use, Office Web Apps, PowerPoint 2013, Publisher 2013 e Word 2013.</w:t>
      </w:r>
    </w:p>
    <w:p w:rsidR="00DF0E39" w:rsidRPr="00BA1FE3" w:rsidRDefault="00DF0E39" w:rsidP="00DF0E39">
      <w:pPr>
        <w:pStyle w:val="FootnoteBulletLevel1"/>
        <w:tabs>
          <w:tab w:val="clear" w:pos="900"/>
        </w:tabs>
        <w:spacing w:before="0" w:after="0"/>
        <w:ind w:left="720" w:firstLine="0"/>
        <w:rPr>
          <w:rFonts w:ascii="Tahoma" w:hAnsi="Tahoma" w:cs="Tahoma"/>
          <w:sz w:val="18"/>
          <w:szCs w:val="18"/>
          <w:lang w:val="it-IT"/>
        </w:rPr>
      </w:pPr>
    </w:p>
    <w:p w:rsidR="00864B8A" w:rsidRPr="00BA1FE3" w:rsidRDefault="00223A77" w:rsidP="00864B8A">
      <w:pPr>
        <w:spacing w:after="60"/>
        <w:ind w:left="720"/>
        <w:rPr>
          <w:rFonts w:cs="Tahoma"/>
          <w:szCs w:val="18"/>
          <w:lang w:val="it-IT"/>
        </w:rPr>
      </w:pPr>
      <w:r w:rsidRPr="00BA1FE3">
        <w:rPr>
          <w:rFonts w:cs="Tahoma"/>
          <w:b/>
          <w:szCs w:val="18"/>
          <w:lang w:val="it-IT"/>
        </w:rPr>
        <w:t>Impossibilità di Separare Microsoft Office Standard 2013</w:t>
      </w:r>
    </w:p>
    <w:p w:rsidR="00223A77" w:rsidRDefault="00223A77" w:rsidP="002F39A5">
      <w:pPr>
        <w:spacing w:after="60"/>
        <w:ind w:left="720"/>
        <w:rPr>
          <w:rFonts w:cs="Tahoma"/>
          <w:szCs w:val="18"/>
          <w:lang w:val="it-IT"/>
        </w:rPr>
      </w:pPr>
      <w:r w:rsidRPr="00BA1FE3">
        <w:rPr>
          <w:rFonts w:cs="Tahoma"/>
          <w:szCs w:val="18"/>
          <w:lang w:val="it-IT"/>
        </w:rPr>
        <w:t>Office Standard 2013 è composto da più di un prodotto offerto ai sensi di un</w:t>
      </w:r>
      <w:r w:rsidR="004525CA">
        <w:rPr>
          <w:rFonts w:cs="Tahoma"/>
          <w:szCs w:val="18"/>
          <w:lang w:val="it-IT"/>
        </w:rPr>
        <w:t>’</w:t>
      </w:r>
      <w:r w:rsidRPr="00BA1FE3">
        <w:rPr>
          <w:rFonts w:cs="Tahoma"/>
          <w:szCs w:val="18"/>
          <w:lang w:val="it-IT"/>
        </w:rPr>
        <w:t>unica licenza. Il software non può essere separato per l</w:t>
      </w:r>
      <w:r w:rsidR="004525CA">
        <w:rPr>
          <w:rFonts w:cs="Tahoma"/>
          <w:szCs w:val="18"/>
          <w:lang w:val="it-IT"/>
        </w:rPr>
        <w:t>’</w:t>
      </w:r>
      <w:r w:rsidRPr="00BA1FE3">
        <w:rPr>
          <w:rFonts w:cs="Tahoma"/>
          <w:szCs w:val="18"/>
          <w:lang w:val="it-IT"/>
        </w:rPr>
        <w:t>utilizzo su più di un computer.</w:t>
      </w:r>
    </w:p>
    <w:p w:rsidR="002E5823" w:rsidRPr="00AC11F4" w:rsidRDefault="002E5823" w:rsidP="00AC11F4">
      <w:pPr>
        <w:rPr>
          <w:lang w:val="it-IT"/>
        </w:rPr>
      </w:pPr>
    </w:p>
    <w:p w:rsidR="002E5823" w:rsidRPr="00AC11F4" w:rsidRDefault="002E5823" w:rsidP="00AC11F4">
      <w:pPr>
        <w:rPr>
          <w:lang w:val="it-IT"/>
        </w:rPr>
      </w:pPr>
    </w:p>
    <w:p w:rsidR="00B2182D" w:rsidRPr="00451078" w:rsidRDefault="00B26237" w:rsidP="00461CA9">
      <w:pPr>
        <w:pStyle w:val="Heading3"/>
        <w:rPr>
          <w:lang w:val="it-IT"/>
        </w:rPr>
      </w:pPr>
      <w:bookmarkStart w:id="1052" w:name="_110_Office_365"/>
      <w:bookmarkStart w:id="1053" w:name="_Toc352234861"/>
      <w:bookmarkStart w:id="1054" w:name="Aps_9OfficeProPlusSubUserSL"/>
      <w:bookmarkEnd w:id="1052"/>
      <w:r w:rsidRPr="00451078">
        <w:rPr>
          <w:rFonts w:ascii="Tahoma" w:hAnsi="Tahoma" w:cs="Tahoma"/>
          <w:caps/>
          <w:color w:val="F26200"/>
          <w:sz w:val="22"/>
          <w:vertAlign w:val="superscript"/>
          <w:lang w:val="it-IT"/>
        </w:rPr>
        <w:t>10</w:t>
      </w:r>
      <w:r w:rsidRPr="00451078">
        <w:rPr>
          <w:rFonts w:ascii="Tahoma" w:hAnsi="Tahoma" w:cs="Tahoma"/>
          <w:color w:val="F26200"/>
          <w:sz w:val="22"/>
          <w:lang w:val="it-IT"/>
        </w:rPr>
        <w:t xml:space="preserve"> Office 365 ProPlus (SL per Utente)</w:t>
      </w:r>
      <w:bookmarkEnd w:id="1051"/>
      <w:bookmarkEnd w:id="1053"/>
    </w:p>
    <w:bookmarkEnd w:id="1054"/>
    <w:p w:rsidR="00B2182D" w:rsidRPr="00451078" w:rsidRDefault="00B2182D" w:rsidP="00AE5A9F">
      <w:pPr>
        <w:rPr>
          <w:lang w:val="it-IT"/>
        </w:rPr>
      </w:pPr>
    </w:p>
    <w:p w:rsidR="003418C5" w:rsidRPr="000C646D" w:rsidRDefault="003418C5" w:rsidP="003418C5">
      <w:pPr>
        <w:spacing w:after="60"/>
        <w:ind w:left="720"/>
        <w:rPr>
          <w:szCs w:val="18"/>
          <w:lang w:val="it-IT"/>
        </w:rPr>
      </w:pPr>
      <w:r w:rsidRPr="000C646D">
        <w:rPr>
          <w:b/>
          <w:bCs/>
          <w:szCs w:val="18"/>
          <w:lang w:val="it-IT"/>
        </w:rPr>
        <w:t>Idoneità all</w:t>
      </w:r>
      <w:r w:rsidR="004525CA">
        <w:rPr>
          <w:b/>
          <w:bCs/>
          <w:szCs w:val="18"/>
          <w:lang w:val="it-IT"/>
        </w:rPr>
        <w:t>’</w:t>
      </w:r>
      <w:r w:rsidRPr="000C646D">
        <w:rPr>
          <w:b/>
          <w:bCs/>
          <w:szCs w:val="18"/>
          <w:lang w:val="it-IT"/>
        </w:rPr>
        <w:t>acquisto</w:t>
      </w:r>
    </w:p>
    <w:p w:rsidR="003418C5" w:rsidRPr="000C646D" w:rsidRDefault="003418C5" w:rsidP="003418C5">
      <w:pPr>
        <w:ind w:left="720"/>
        <w:rPr>
          <w:szCs w:val="18"/>
          <w:lang w:val="it-IT"/>
        </w:rPr>
      </w:pPr>
      <w:r w:rsidRPr="000C646D">
        <w:rPr>
          <w:szCs w:val="18"/>
          <w:lang w:val="it-IT"/>
        </w:rPr>
        <w:t xml:space="preserve">Il licenziatario potrà acquistare la licenza Office 365 ProPlus SA Transition solo qualora disponga di una licenza sottostante per Office Professional Plus con Software Assurance per un Contratto Enterprise attivo. </w:t>
      </w:r>
    </w:p>
    <w:p w:rsidR="005C647E" w:rsidRPr="000C646D" w:rsidRDefault="005C647E" w:rsidP="00864B8A">
      <w:pPr>
        <w:spacing w:after="60"/>
        <w:ind w:left="720"/>
        <w:rPr>
          <w:szCs w:val="18"/>
          <w:lang w:val="it-IT"/>
        </w:rPr>
      </w:pPr>
      <w:r w:rsidRPr="000C646D">
        <w:rPr>
          <w:rFonts w:cs="Tahoma"/>
          <w:b/>
          <w:szCs w:val="18"/>
          <w:lang w:val="it-IT"/>
        </w:rPr>
        <w:lastRenderedPageBreak/>
        <w:t>Campus and School</w:t>
      </w:r>
    </w:p>
    <w:p w:rsidR="005C647E" w:rsidRPr="000C646D" w:rsidRDefault="005C647E" w:rsidP="00810479">
      <w:pPr>
        <w:ind w:left="720"/>
        <w:rPr>
          <w:szCs w:val="18"/>
          <w:lang w:val="it-IT"/>
        </w:rPr>
      </w:pPr>
      <w:r w:rsidRPr="000C646D">
        <w:rPr>
          <w:color w:val="000000"/>
          <w:szCs w:val="18"/>
          <w:lang w:val="it-IT"/>
        </w:rPr>
        <w:t>Qualora un Istituto disponga di una Sottoscrizione di Office Professional Plus, dovrà acquistare una licenza per ogni Utente Qualificato dell</w:t>
      </w:r>
      <w:r w:rsidR="004525CA">
        <w:rPr>
          <w:color w:val="000000"/>
          <w:szCs w:val="18"/>
          <w:lang w:val="it-IT"/>
        </w:rPr>
        <w:t>’</w:t>
      </w:r>
      <w:r w:rsidRPr="000C646D">
        <w:rPr>
          <w:color w:val="000000"/>
          <w:szCs w:val="18"/>
          <w:lang w:val="it-IT"/>
        </w:rPr>
        <w:t>organizzazione dell</w:t>
      </w:r>
      <w:r w:rsidR="004525CA">
        <w:rPr>
          <w:color w:val="000000"/>
          <w:szCs w:val="18"/>
          <w:lang w:val="it-IT"/>
        </w:rPr>
        <w:t>’</w:t>
      </w:r>
      <w:r w:rsidRPr="000C646D">
        <w:rPr>
          <w:color w:val="000000"/>
          <w:szCs w:val="18"/>
          <w:lang w:val="it-IT"/>
        </w:rPr>
        <w:t>Istituto. Qualora un Istituto aderisca all</w:t>
      </w:r>
      <w:r w:rsidR="004525CA">
        <w:rPr>
          <w:color w:val="000000"/>
          <w:szCs w:val="18"/>
          <w:lang w:val="it-IT"/>
        </w:rPr>
        <w:t>’</w:t>
      </w:r>
      <w:r w:rsidRPr="000C646D">
        <w:rPr>
          <w:color w:val="000000"/>
          <w:szCs w:val="18"/>
          <w:lang w:val="it-IT"/>
        </w:rPr>
        <w:t>Opzione Studente per la Sottoscrizione di Office Professional Plus, dovrà acquistare una licenza per ogni Studente dell</w:t>
      </w:r>
      <w:r w:rsidR="004525CA">
        <w:rPr>
          <w:color w:val="000000"/>
          <w:szCs w:val="18"/>
          <w:lang w:val="it-IT"/>
        </w:rPr>
        <w:t>’</w:t>
      </w:r>
      <w:r w:rsidRPr="000C646D">
        <w:rPr>
          <w:color w:val="000000"/>
          <w:szCs w:val="18"/>
          <w:lang w:val="it-IT"/>
        </w:rPr>
        <w:t>Organizzazione.</w:t>
      </w:r>
    </w:p>
    <w:p w:rsidR="005C647E" w:rsidRPr="000C646D" w:rsidRDefault="005C647E" w:rsidP="00810479">
      <w:pPr>
        <w:ind w:left="720"/>
        <w:rPr>
          <w:szCs w:val="18"/>
          <w:lang w:val="it-IT"/>
        </w:rPr>
      </w:pPr>
    </w:p>
    <w:p w:rsidR="008368B4" w:rsidRPr="000C646D" w:rsidRDefault="008368B4" w:rsidP="008368B4">
      <w:pPr>
        <w:ind w:left="720"/>
        <w:rPr>
          <w:szCs w:val="18"/>
          <w:lang w:val="it-IT"/>
        </w:rPr>
      </w:pPr>
      <w:r w:rsidRPr="000C646D">
        <w:rPr>
          <w:rFonts w:cs="Tahoma"/>
          <w:b/>
          <w:bCs/>
          <w:szCs w:val="18"/>
          <w:lang w:val="it-IT"/>
        </w:rPr>
        <w:t>Utilizzo di Office Professional Plus 2010 o Office per Mac Standard 2011</w:t>
      </w:r>
    </w:p>
    <w:p w:rsidR="008368B4" w:rsidRPr="000C646D" w:rsidRDefault="008368B4" w:rsidP="008368B4">
      <w:pPr>
        <w:ind w:left="720"/>
        <w:rPr>
          <w:szCs w:val="18"/>
          <w:lang w:val="it-IT"/>
        </w:rPr>
      </w:pPr>
      <w:r w:rsidRPr="000C646D">
        <w:rPr>
          <w:rFonts w:cs="Tahoma"/>
          <w:bCs/>
          <w:szCs w:val="18"/>
          <w:lang w:val="it-IT"/>
        </w:rPr>
        <w:t>Con il rilascio del servizio aggiornato per Office 365 ProPlus il diritto di idoneità dei supporti di memorizzazione di utilizzare Office Professional Plus 2010 o Office per Mac Standard 2011 al posto del software Office 365 ProPlus ai sensi di sottoscrizioni attive è stato interrotto. La società avrà a disposizione un anno, fino al 28 febbraio 2014 per aggiornare i dispositivi e utilizzare i supporti di memorizzazione di</w:t>
      </w:r>
      <w:r w:rsidR="00B62DEE" w:rsidRPr="000C646D">
        <w:rPr>
          <w:rFonts w:cs="Tahoma"/>
          <w:bCs/>
          <w:szCs w:val="18"/>
          <w:lang w:val="it-IT"/>
        </w:rPr>
        <w:t> </w:t>
      </w:r>
      <w:r w:rsidRPr="000C646D">
        <w:rPr>
          <w:rFonts w:cs="Tahoma"/>
          <w:bCs/>
          <w:szCs w:val="18"/>
          <w:lang w:val="it-IT"/>
        </w:rPr>
        <w:t>Office 365 ProPlus.</w:t>
      </w:r>
    </w:p>
    <w:p w:rsidR="008368B4" w:rsidRPr="000C646D" w:rsidRDefault="008368B4" w:rsidP="008368B4">
      <w:pPr>
        <w:ind w:left="720"/>
        <w:rPr>
          <w:szCs w:val="18"/>
          <w:lang w:val="it-IT"/>
        </w:rPr>
      </w:pPr>
    </w:p>
    <w:p w:rsidR="008368B4" w:rsidRPr="000C646D" w:rsidRDefault="008368B4" w:rsidP="008368B4">
      <w:pPr>
        <w:spacing w:after="60"/>
        <w:ind w:left="720"/>
        <w:rPr>
          <w:szCs w:val="18"/>
          <w:lang w:val="it-IT"/>
        </w:rPr>
      </w:pPr>
      <w:r w:rsidRPr="000C646D">
        <w:rPr>
          <w:rFonts w:cs="Tahoma"/>
          <w:b/>
          <w:szCs w:val="18"/>
          <w:lang w:val="it-IT"/>
        </w:rPr>
        <w:t>Idoneità dei Supporti di Memorizzazione con i Servizi Desktop Remoto (RDS)</w:t>
      </w:r>
    </w:p>
    <w:p w:rsidR="008368B4" w:rsidRPr="000C646D" w:rsidRDefault="008368B4" w:rsidP="008368B4">
      <w:pPr>
        <w:ind w:left="720"/>
        <w:rPr>
          <w:szCs w:val="18"/>
          <w:lang w:val="it-IT"/>
        </w:rPr>
      </w:pPr>
      <w:r w:rsidRPr="000C646D">
        <w:rPr>
          <w:rFonts w:cs="Tahoma"/>
          <w:szCs w:val="18"/>
          <w:lang w:val="it-IT"/>
        </w:rPr>
        <w:t>Qualora l</w:t>
      </w:r>
      <w:r w:rsidR="004525CA">
        <w:rPr>
          <w:rFonts w:cs="Tahoma"/>
          <w:szCs w:val="18"/>
          <w:lang w:val="it-IT"/>
        </w:rPr>
        <w:t>’</w:t>
      </w:r>
      <w:r w:rsidRPr="000C646D">
        <w:rPr>
          <w:rFonts w:cs="Tahoma"/>
          <w:szCs w:val="18"/>
          <w:lang w:val="it-IT"/>
        </w:rPr>
        <w:t>utente al quale è stata ceduta una licenza per Office 365 ProPlus utilizzi il software su un server di</w:t>
      </w:r>
      <w:r w:rsidR="00B62DEE" w:rsidRPr="000C646D">
        <w:rPr>
          <w:rFonts w:cs="Tahoma"/>
          <w:szCs w:val="18"/>
          <w:lang w:val="it-IT"/>
        </w:rPr>
        <w:t> </w:t>
      </w:r>
      <w:r w:rsidRPr="000C646D">
        <w:rPr>
          <w:rFonts w:cs="Tahoma"/>
          <w:szCs w:val="18"/>
          <w:lang w:val="it-IT"/>
        </w:rPr>
        <w:t>rete con il ruolo RDS attivato anziché installare una copia del software fornito con Office 365 ProPlus su uno dei cinque dispositivi autorizzati in conformità ai Diritti di Utilizzo del Prodotto per Office 365 ProPlus, tale utente potrà 1) installare una copia del software Office Professional Plus 2013 su un server di rete e 2) accedere al software Office Professional Plus 2013 da qualsiasi dispositivo.</w:t>
      </w:r>
      <w:r w:rsidR="00082E1C" w:rsidRPr="000C646D">
        <w:rPr>
          <w:rFonts w:cs="Tahoma"/>
          <w:szCs w:val="18"/>
          <w:lang w:val="it-IT"/>
        </w:rPr>
        <w:t xml:space="preserve"> </w:t>
      </w:r>
      <w:r w:rsidRPr="000C646D">
        <w:rPr>
          <w:rFonts w:cs="Tahoma"/>
          <w:szCs w:val="18"/>
          <w:lang w:val="it-IT"/>
        </w:rPr>
        <w:t xml:space="preserve">Alla scadenza della sottoscrizione di Office 365 ProPlus la società dovrà disinstallare il software Office Professional Plus 2013 dal server di rete. </w:t>
      </w:r>
    </w:p>
    <w:p w:rsidR="00B2182D" w:rsidRPr="000C646D" w:rsidRDefault="00B2182D" w:rsidP="00810479">
      <w:pPr>
        <w:ind w:left="720"/>
        <w:rPr>
          <w:szCs w:val="18"/>
          <w:lang w:val="it-IT"/>
        </w:rPr>
      </w:pPr>
    </w:p>
    <w:p w:rsidR="00ED6F81" w:rsidRPr="00451078" w:rsidRDefault="00ED6F81" w:rsidP="00864B8A">
      <w:pPr>
        <w:spacing w:after="60"/>
        <w:ind w:left="720"/>
        <w:rPr>
          <w:lang w:val="it-IT"/>
        </w:rPr>
      </w:pPr>
      <w:r w:rsidRPr="000C646D">
        <w:rPr>
          <w:rFonts w:cs="Tahoma"/>
          <w:b/>
          <w:szCs w:val="18"/>
          <w:lang w:val="it-IT"/>
        </w:rPr>
        <w:t>Idoneità dei Supporti di Memorizzazione con Windows To Go Rights</w:t>
      </w:r>
    </w:p>
    <w:p w:rsidR="008368B4" w:rsidRPr="00451078" w:rsidRDefault="008368B4" w:rsidP="008368B4">
      <w:pPr>
        <w:ind w:left="720"/>
        <w:rPr>
          <w:lang w:val="it-IT"/>
        </w:rPr>
      </w:pPr>
      <w:r w:rsidRPr="00451078">
        <w:rPr>
          <w:rFonts w:cs="Tahoma"/>
          <w:szCs w:val="18"/>
          <w:lang w:val="it-IT"/>
        </w:rPr>
        <w:t>Nell</w:t>
      </w:r>
      <w:r w:rsidR="004525CA">
        <w:rPr>
          <w:rFonts w:cs="Tahoma"/>
          <w:szCs w:val="18"/>
          <w:lang w:val="it-IT"/>
        </w:rPr>
        <w:t>’</w:t>
      </w:r>
      <w:r w:rsidRPr="00451078">
        <w:rPr>
          <w:rFonts w:cs="Tahoma"/>
          <w:szCs w:val="18"/>
          <w:lang w:val="it-IT"/>
        </w:rPr>
        <w:t>ambito della presentazione di Windows To Go Rights, qualora l</w:t>
      </w:r>
      <w:r w:rsidR="004525CA">
        <w:rPr>
          <w:rFonts w:cs="Tahoma"/>
          <w:szCs w:val="18"/>
          <w:lang w:val="it-IT"/>
        </w:rPr>
        <w:t>’</w:t>
      </w:r>
      <w:r w:rsidRPr="00451078">
        <w:rPr>
          <w:rFonts w:cs="Tahoma"/>
          <w:szCs w:val="18"/>
          <w:lang w:val="it-IT"/>
        </w:rPr>
        <w:t xml:space="preserve">utente al quale è stata ceduta una licenza per Office 365 ProPlus richieda il diritto di utilizzare il software ai sensi di Windows to Go Rights, anziché installare una copia del software fornito con una licenza per Office 365 ProPlus su uno dei cinque dispositivi autorizzati in conformità ai Diritti di Utilizzo del Prodotto per la licenza per Office 365 ProPlus, tale utente potrà 1) installare una copia del software Office Professional </w:t>
      </w:r>
      <w:r w:rsidRPr="00451078">
        <w:rPr>
          <w:rFonts w:cs="Tahoma"/>
          <w:color w:val="000000" w:themeColor="text1"/>
          <w:szCs w:val="18"/>
          <w:lang w:val="it-IT"/>
        </w:rPr>
        <w:t>Plus 2013 sull</w:t>
      </w:r>
      <w:r w:rsidR="004525CA">
        <w:rPr>
          <w:rFonts w:cs="Tahoma"/>
          <w:color w:val="000000" w:themeColor="text1"/>
          <w:szCs w:val="18"/>
          <w:lang w:val="it-IT"/>
        </w:rPr>
        <w:t>’</w:t>
      </w:r>
      <w:r w:rsidRPr="00451078">
        <w:rPr>
          <w:rFonts w:cs="Tahoma"/>
          <w:color w:val="000000" w:themeColor="text1"/>
          <w:szCs w:val="18"/>
          <w:lang w:val="it-IT"/>
        </w:rPr>
        <w:t xml:space="preserve">unità USB utilizzata per Windows to Go Rights e 2) usare il software Office Professional Plus 2013 </w:t>
      </w:r>
      <w:r w:rsidRPr="00451078">
        <w:rPr>
          <w:rFonts w:cs="Tahoma"/>
          <w:szCs w:val="18"/>
          <w:lang w:val="it-IT"/>
        </w:rPr>
        <w:t>su tale unità USB su qualsiasi dispositivo con licenza. Alla scadenza della sottoscrizione di Office 365 ProPlus la società dovrà disinstallare il</w:t>
      </w:r>
      <w:r w:rsidR="00B62DEE" w:rsidRPr="00451078">
        <w:rPr>
          <w:rFonts w:cs="Tahoma"/>
          <w:szCs w:val="18"/>
          <w:lang w:val="it-IT"/>
        </w:rPr>
        <w:t> </w:t>
      </w:r>
      <w:r w:rsidRPr="00451078">
        <w:rPr>
          <w:rFonts w:cs="Tahoma"/>
          <w:szCs w:val="18"/>
          <w:lang w:val="it-IT"/>
        </w:rPr>
        <w:t>software Office Professional Plus 2013 dall</w:t>
      </w:r>
      <w:r w:rsidR="004525CA">
        <w:rPr>
          <w:rFonts w:cs="Tahoma"/>
          <w:szCs w:val="18"/>
          <w:lang w:val="it-IT"/>
        </w:rPr>
        <w:t>’</w:t>
      </w:r>
      <w:r w:rsidRPr="00451078">
        <w:rPr>
          <w:rFonts w:cs="Tahoma"/>
          <w:szCs w:val="18"/>
          <w:lang w:val="it-IT"/>
        </w:rPr>
        <w:t xml:space="preserve">unità USB. </w:t>
      </w:r>
    </w:p>
    <w:p w:rsidR="00ED6F81" w:rsidRPr="00451078" w:rsidRDefault="00ED6F81" w:rsidP="00810479">
      <w:pPr>
        <w:ind w:left="720"/>
        <w:rPr>
          <w:lang w:val="it-IT"/>
        </w:rPr>
      </w:pPr>
    </w:p>
    <w:p w:rsidR="00B2182D" w:rsidRPr="00451078" w:rsidRDefault="00B2182D" w:rsidP="00864B8A">
      <w:pPr>
        <w:spacing w:after="60"/>
        <w:ind w:left="720"/>
        <w:rPr>
          <w:lang w:val="it-IT"/>
        </w:rPr>
      </w:pPr>
      <w:r w:rsidRPr="00451078">
        <w:rPr>
          <w:rFonts w:cs="Tahoma"/>
          <w:b/>
          <w:lang w:val="it-IT"/>
        </w:rPr>
        <w:t>Diritti di Downgrade</w:t>
      </w:r>
    </w:p>
    <w:p w:rsidR="008368B4" w:rsidRPr="00451078" w:rsidRDefault="008368B4" w:rsidP="008368B4">
      <w:pPr>
        <w:ind w:left="720"/>
        <w:rPr>
          <w:lang w:val="it-IT"/>
        </w:rPr>
      </w:pPr>
      <w:r w:rsidRPr="00451078">
        <w:rPr>
          <w:rFonts w:cs="Tahoma"/>
          <w:bCs/>
          <w:szCs w:val="18"/>
          <w:lang w:val="it-IT"/>
        </w:rPr>
        <w:t>Per il servizio Office 365 ProPlus non sono previsti diritti di downgrade. Per ulteriori informazioni in merito ai</w:t>
      </w:r>
      <w:r w:rsidR="00B62DEE" w:rsidRPr="00451078">
        <w:rPr>
          <w:rFonts w:cs="Tahoma"/>
          <w:bCs/>
          <w:szCs w:val="18"/>
          <w:lang w:val="it-IT"/>
        </w:rPr>
        <w:t> </w:t>
      </w:r>
      <w:r w:rsidRPr="00451078">
        <w:rPr>
          <w:rFonts w:cs="Tahoma"/>
          <w:bCs/>
          <w:szCs w:val="18"/>
          <w:lang w:val="it-IT"/>
        </w:rPr>
        <w:t>requisiti per l</w:t>
      </w:r>
      <w:r w:rsidR="004525CA">
        <w:rPr>
          <w:rFonts w:cs="Tahoma"/>
          <w:bCs/>
          <w:szCs w:val="18"/>
          <w:lang w:val="it-IT"/>
        </w:rPr>
        <w:t>’</w:t>
      </w:r>
      <w:r w:rsidRPr="00451078">
        <w:rPr>
          <w:rFonts w:cs="Tahoma"/>
          <w:bCs/>
          <w:szCs w:val="18"/>
          <w:lang w:val="it-IT"/>
        </w:rPr>
        <w:t xml:space="preserve">aggiornamento dei Servizi Online, consultare il documento Diritti di Utilizzo del Prodotto (Product Use Rights o PUR) alla pagina </w:t>
      </w:r>
      <w:hyperlink r:id="rId40" w:history="1">
        <w:r w:rsidRPr="00451078">
          <w:rPr>
            <w:rStyle w:val="Hyperlink"/>
            <w:rFonts w:cs="Tahoma"/>
            <w:bCs/>
            <w:szCs w:val="18"/>
            <w:lang w:val="it-IT"/>
          </w:rPr>
          <w:t>www.microsoftvolumelicensing.com/userights/PUR.aspx</w:t>
        </w:r>
      </w:hyperlink>
    </w:p>
    <w:p w:rsidR="00AE5A9F" w:rsidRPr="00451078" w:rsidRDefault="00AE5A9F" w:rsidP="00AE5A9F">
      <w:pPr>
        <w:rPr>
          <w:lang w:val="it-IT"/>
        </w:rPr>
      </w:pPr>
      <w:bookmarkStart w:id="1055" w:name="Srv_9OutlookMac2011"/>
    </w:p>
    <w:p w:rsidR="00AE5A9F" w:rsidRPr="00451078" w:rsidRDefault="00AE5A9F" w:rsidP="00AE5A9F">
      <w:pPr>
        <w:rPr>
          <w:lang w:val="it-IT"/>
        </w:rPr>
      </w:pPr>
    </w:p>
    <w:p w:rsidR="00704723" w:rsidRPr="00451078" w:rsidRDefault="00B26237" w:rsidP="00704723">
      <w:pPr>
        <w:pStyle w:val="Heading3"/>
        <w:rPr>
          <w:lang w:val="it-IT"/>
        </w:rPr>
      </w:pPr>
      <w:bookmarkStart w:id="1056" w:name="_121_Outlook_for"/>
      <w:bookmarkStart w:id="1057" w:name="_Toc336338270"/>
      <w:bookmarkStart w:id="1058" w:name="_Toc352234862"/>
      <w:bookmarkEnd w:id="1056"/>
      <w:r w:rsidRPr="00451078">
        <w:rPr>
          <w:rFonts w:ascii="Tahoma" w:hAnsi="Tahoma"/>
          <w:caps/>
          <w:color w:val="F66400"/>
          <w:sz w:val="22"/>
          <w:vertAlign w:val="superscript"/>
          <w:lang w:val="it-IT"/>
        </w:rPr>
        <w:t>11</w:t>
      </w:r>
      <w:r w:rsidRPr="00451078">
        <w:rPr>
          <w:rFonts w:ascii="Tahoma" w:hAnsi="Tahoma"/>
          <w:color w:val="F66400"/>
          <w:sz w:val="22"/>
          <w:lang w:val="it-IT"/>
        </w:rPr>
        <w:t xml:space="preserve"> Outlook per Mac 2011</w:t>
      </w:r>
      <w:bookmarkEnd w:id="1057"/>
      <w:bookmarkEnd w:id="1058"/>
      <w:r w:rsidRPr="00451078">
        <w:rPr>
          <w:rFonts w:ascii="Tahoma" w:hAnsi="Tahoma"/>
          <w:color w:val="F66400"/>
          <w:sz w:val="22"/>
          <w:lang w:val="it-IT"/>
        </w:rPr>
        <w:t xml:space="preserve"> </w:t>
      </w:r>
    </w:p>
    <w:bookmarkEnd w:id="1055"/>
    <w:p w:rsidR="00704723" w:rsidRPr="00451078" w:rsidRDefault="00704723" w:rsidP="00AE5A9F">
      <w:pPr>
        <w:rPr>
          <w:lang w:val="it-IT"/>
        </w:rPr>
      </w:pPr>
    </w:p>
    <w:p w:rsidR="00704723" w:rsidRPr="00451078" w:rsidRDefault="00704723" w:rsidP="00864B8A">
      <w:pPr>
        <w:spacing w:after="60"/>
        <w:ind w:left="720"/>
        <w:rPr>
          <w:lang w:val="it-IT"/>
        </w:rPr>
      </w:pPr>
      <w:r w:rsidRPr="00451078">
        <w:rPr>
          <w:rFonts w:cs="Tahoma"/>
          <w:b/>
          <w:lang w:val="it-IT"/>
        </w:rPr>
        <w:t>Percorso di Migrazione a Software Assurance per Entourage per Mac 2008</w:t>
      </w:r>
    </w:p>
    <w:p w:rsidR="00223A77" w:rsidRPr="00451078" w:rsidRDefault="00704723" w:rsidP="00AE5A9F">
      <w:pPr>
        <w:adjustRightInd w:val="0"/>
        <w:ind w:left="720"/>
        <w:textAlignment w:val="baseline"/>
        <w:rPr>
          <w:lang w:val="it-IT"/>
        </w:rPr>
      </w:pPr>
      <w:r w:rsidRPr="00451078">
        <w:rPr>
          <w:rFonts w:cs="Tahoma"/>
          <w:szCs w:val="20"/>
          <w:lang w:val="it-IT"/>
        </w:rPr>
        <w:t>La versione sostitutiva di Entourage per Mac</w:t>
      </w:r>
      <w:bookmarkStart w:id="1059" w:name="Srv_8Project2010Pro"/>
      <w:r w:rsidRPr="00451078">
        <w:rPr>
          <w:rFonts w:cs="Tahoma"/>
          <w:szCs w:val="20"/>
          <w:lang w:val="it-IT"/>
        </w:rPr>
        <w:t xml:space="preserve"> 2008 è Outlook per Mac 2011.</w:t>
      </w:r>
    </w:p>
    <w:p w:rsidR="00AE5A9F" w:rsidRPr="00451078" w:rsidRDefault="00AE5A9F" w:rsidP="00AE5A9F">
      <w:pPr>
        <w:adjustRightInd w:val="0"/>
        <w:textAlignment w:val="baseline"/>
        <w:rPr>
          <w:lang w:val="it-IT"/>
        </w:rPr>
      </w:pPr>
    </w:p>
    <w:p w:rsidR="00AE5A9F" w:rsidRPr="00451078" w:rsidRDefault="00AE5A9F" w:rsidP="00AE5A9F">
      <w:pPr>
        <w:adjustRightInd w:val="0"/>
        <w:textAlignment w:val="baseline"/>
        <w:rPr>
          <w:lang w:val="it-IT"/>
        </w:rPr>
      </w:pPr>
    </w:p>
    <w:p w:rsidR="00223A77" w:rsidRPr="00451078" w:rsidRDefault="00B26237" w:rsidP="00223A77">
      <w:pPr>
        <w:pStyle w:val="Heading3"/>
        <w:rPr>
          <w:lang w:val="it-IT"/>
        </w:rPr>
      </w:pPr>
      <w:bookmarkStart w:id="1060" w:name="_132_Project_2013"/>
      <w:bookmarkStart w:id="1061" w:name="_Toc336338271"/>
      <w:bookmarkStart w:id="1062" w:name="_Toc352234863"/>
      <w:bookmarkStart w:id="1063" w:name="_Toc254806116"/>
      <w:bookmarkStart w:id="1064" w:name="Srv_Project2010Pro"/>
      <w:bookmarkStart w:id="1065" w:name="Aps_8Project2010Pro"/>
      <w:bookmarkEnd w:id="1060"/>
      <w:r w:rsidRPr="00451078">
        <w:rPr>
          <w:rFonts w:ascii="Tahoma" w:hAnsi="Tahoma"/>
          <w:caps/>
          <w:color w:val="F66400"/>
          <w:sz w:val="22"/>
          <w:vertAlign w:val="superscript"/>
          <w:lang w:val="it-IT"/>
        </w:rPr>
        <w:t>12</w:t>
      </w:r>
      <w:r w:rsidRPr="00451078">
        <w:rPr>
          <w:rFonts w:ascii="Tahoma" w:hAnsi="Tahoma"/>
          <w:color w:val="F66400"/>
          <w:sz w:val="22"/>
          <w:lang w:val="it-IT"/>
        </w:rPr>
        <w:t xml:space="preserve"> Project 2013 Professional</w:t>
      </w:r>
      <w:bookmarkEnd w:id="1061"/>
      <w:bookmarkEnd w:id="1062"/>
      <w:r w:rsidRPr="00451078">
        <w:rPr>
          <w:rFonts w:ascii="Tahoma" w:hAnsi="Tahoma"/>
          <w:color w:val="F66400"/>
          <w:sz w:val="22"/>
          <w:lang w:val="it-IT"/>
        </w:rPr>
        <w:t xml:space="preserve"> </w:t>
      </w:r>
      <w:bookmarkEnd w:id="1063"/>
    </w:p>
    <w:bookmarkEnd w:id="1059"/>
    <w:bookmarkEnd w:id="1064"/>
    <w:bookmarkEnd w:id="1065"/>
    <w:p w:rsidR="00223A77" w:rsidRPr="00451078" w:rsidRDefault="00223A77" w:rsidP="00AE5A9F">
      <w:pPr>
        <w:ind w:left="720"/>
        <w:rPr>
          <w:lang w:val="it-IT"/>
        </w:rPr>
      </w:pPr>
    </w:p>
    <w:p w:rsidR="00223A77" w:rsidRPr="00451078" w:rsidRDefault="00223A77" w:rsidP="00864B8A">
      <w:pPr>
        <w:spacing w:after="60"/>
        <w:ind w:left="720"/>
        <w:rPr>
          <w:lang w:val="it-IT"/>
        </w:rPr>
      </w:pPr>
      <w:r w:rsidRPr="00451078">
        <w:rPr>
          <w:rFonts w:cs="Tahoma"/>
          <w:b/>
          <w:lang w:val="it-IT"/>
        </w:rPr>
        <w:t>CAL gratuita per Project Server</w:t>
      </w:r>
    </w:p>
    <w:p w:rsidR="00223A77" w:rsidRPr="00451078" w:rsidRDefault="00223A77" w:rsidP="00AE5A9F">
      <w:pPr>
        <w:pStyle w:val="EndnoteText"/>
        <w:ind w:left="720"/>
        <w:rPr>
          <w:lang w:val="it-IT"/>
        </w:rPr>
      </w:pPr>
      <w:r w:rsidRPr="00451078">
        <w:rPr>
          <w:rStyle w:val="EndnoteTextChar"/>
          <w:rFonts w:ascii="Tahoma" w:hAnsi="Tahoma" w:cs="Tahoma"/>
          <w:sz w:val="18"/>
          <w:lang w:val="it-IT"/>
        </w:rPr>
        <w:t>Le società che acquistano una licenza per Project Professional 2013 saranno considerate titolari di una CAL per Dispositivo per Project Server 2013. Il diritto di accedere a Project Server 2013 in virtù della CAL cesserà alla scadenza della corrispondente Licenza per Project Professional.</w:t>
      </w:r>
    </w:p>
    <w:p w:rsidR="00223A77" w:rsidRPr="00451078" w:rsidRDefault="00223A77" w:rsidP="00AE5A9F">
      <w:pPr>
        <w:pStyle w:val="EndnoteText"/>
        <w:ind w:left="720"/>
        <w:rPr>
          <w:lang w:val="it-IT"/>
        </w:rPr>
      </w:pPr>
    </w:p>
    <w:p w:rsidR="00223A77" w:rsidRPr="00451078" w:rsidRDefault="00223A77" w:rsidP="00AE5A9F">
      <w:pPr>
        <w:pStyle w:val="EndnoteText"/>
        <w:ind w:left="720"/>
        <w:rPr>
          <w:lang w:val="it-IT"/>
        </w:rPr>
      </w:pPr>
      <w:r w:rsidRPr="00451078">
        <w:rPr>
          <w:rStyle w:val="EndnoteTextChar"/>
          <w:rFonts w:ascii="Tahoma" w:hAnsi="Tahoma" w:cs="Tahoma"/>
          <w:sz w:val="18"/>
          <w:lang w:val="it-IT"/>
        </w:rPr>
        <w:t>Le società con copertura Software Assurance attiva sulla rispettiva licenza per Project Professional saranno considerate titolari di una copertura Software Assurance relativa alle Licenze CAL gratuite per Project Server. Tale copertura cesserà alla scadenza della copertura Project Professional corrispondente.</w:t>
      </w:r>
    </w:p>
    <w:p w:rsidR="00223A77" w:rsidRPr="00451078" w:rsidRDefault="00223A77" w:rsidP="00AE5A9F">
      <w:pPr>
        <w:pStyle w:val="EndnoteText"/>
        <w:ind w:left="720"/>
        <w:rPr>
          <w:lang w:val="it-IT"/>
        </w:rPr>
      </w:pPr>
    </w:p>
    <w:p w:rsidR="00223A77" w:rsidRPr="00451078" w:rsidRDefault="00223A77" w:rsidP="00AE5A9F">
      <w:pPr>
        <w:pStyle w:val="EndnoteText"/>
        <w:ind w:left="720"/>
        <w:rPr>
          <w:lang w:val="it-IT"/>
        </w:rPr>
      </w:pPr>
      <w:r w:rsidRPr="00451078">
        <w:rPr>
          <w:rStyle w:val="EndnoteTextChar"/>
          <w:rFonts w:ascii="Tahoma" w:hAnsi="Tahoma" w:cs="Tahoma"/>
          <w:sz w:val="18"/>
          <w:lang w:val="it-IT"/>
        </w:rPr>
        <w:t>Per ulteriori dettagli sui diritti aggiuntivi che si applicano a tali CAL, fare riferimento alle note relative alle condizioni del prodotto Project Server.</w:t>
      </w:r>
    </w:p>
    <w:p w:rsidR="00AE5A9F" w:rsidRPr="00451078" w:rsidRDefault="00AE5A9F" w:rsidP="00AE5A9F">
      <w:pPr>
        <w:rPr>
          <w:lang w:val="it-IT"/>
        </w:rPr>
      </w:pPr>
    </w:p>
    <w:p w:rsidR="00AE5A9F" w:rsidRPr="00451078" w:rsidRDefault="00AE5A9F" w:rsidP="00AE5A9F">
      <w:pPr>
        <w:rPr>
          <w:lang w:val="it-IT"/>
        </w:rPr>
      </w:pPr>
    </w:p>
    <w:p w:rsidR="002202DB" w:rsidRPr="00451078" w:rsidRDefault="006E7166" w:rsidP="002202DB">
      <w:pPr>
        <w:pStyle w:val="Heading3"/>
        <w:rPr>
          <w:lang w:val="it-IT"/>
        </w:rPr>
      </w:pPr>
      <w:bookmarkStart w:id="1066" w:name="_143_Project_Pro"/>
      <w:bookmarkStart w:id="1067" w:name="_Toc352234864"/>
      <w:bookmarkEnd w:id="1066"/>
      <w:r w:rsidRPr="00451078">
        <w:rPr>
          <w:rFonts w:ascii="Tahoma" w:hAnsi="Tahoma"/>
          <w:caps/>
          <w:color w:val="F66400"/>
          <w:sz w:val="22"/>
          <w:vertAlign w:val="superscript"/>
          <w:lang w:val="it-IT"/>
        </w:rPr>
        <w:lastRenderedPageBreak/>
        <w:t>13</w:t>
      </w:r>
      <w:r w:rsidRPr="00451078">
        <w:rPr>
          <w:rFonts w:ascii="Tahoma" w:hAnsi="Tahoma"/>
          <w:caps/>
          <w:color w:val="F66400"/>
          <w:sz w:val="22"/>
          <w:lang w:val="it-IT"/>
        </w:rPr>
        <w:t xml:space="preserve"> </w:t>
      </w:r>
      <w:r w:rsidRPr="00451078">
        <w:rPr>
          <w:rFonts w:ascii="Tahoma" w:hAnsi="Tahoma"/>
          <w:color w:val="F66400"/>
          <w:sz w:val="22"/>
          <w:lang w:val="it-IT"/>
        </w:rPr>
        <w:t>Project Pro per Office 365</w:t>
      </w:r>
      <w:bookmarkEnd w:id="1067"/>
      <w:r w:rsidRPr="00451078">
        <w:rPr>
          <w:rFonts w:ascii="Tahoma" w:hAnsi="Tahoma"/>
          <w:color w:val="F66400"/>
          <w:sz w:val="22"/>
          <w:lang w:val="it-IT"/>
        </w:rPr>
        <w:t xml:space="preserve"> </w:t>
      </w:r>
    </w:p>
    <w:p w:rsidR="00A32FE7" w:rsidRPr="00451078" w:rsidRDefault="00A32FE7" w:rsidP="00A32FE7">
      <w:pPr>
        <w:rPr>
          <w:lang w:val="it-IT"/>
        </w:rPr>
      </w:pPr>
    </w:p>
    <w:p w:rsidR="002202DB" w:rsidRPr="00451078" w:rsidRDefault="002202DB" w:rsidP="002202DB">
      <w:pPr>
        <w:spacing w:after="60"/>
        <w:ind w:left="720"/>
        <w:rPr>
          <w:lang w:val="it-IT"/>
        </w:rPr>
      </w:pPr>
      <w:r w:rsidRPr="00451078">
        <w:rPr>
          <w:rFonts w:cs="Tahoma"/>
          <w:b/>
          <w:lang w:val="it-IT"/>
        </w:rPr>
        <w:t>Idoneità dei Supporti di Memorizzazione con i Servizi Desktop Remoto (RDS)</w:t>
      </w:r>
    </w:p>
    <w:p w:rsidR="002202DB" w:rsidRPr="00451078" w:rsidRDefault="002202DB" w:rsidP="002202DB">
      <w:pPr>
        <w:ind w:left="720"/>
        <w:rPr>
          <w:lang w:val="it-IT"/>
        </w:rPr>
      </w:pPr>
      <w:r w:rsidRPr="00451078">
        <w:rPr>
          <w:rFonts w:cs="Tahoma"/>
          <w:szCs w:val="18"/>
          <w:lang w:val="it-IT"/>
        </w:rPr>
        <w:t>Qualora l</w:t>
      </w:r>
      <w:r w:rsidR="004525CA">
        <w:rPr>
          <w:rFonts w:cs="Tahoma"/>
          <w:szCs w:val="18"/>
          <w:lang w:val="it-IT"/>
        </w:rPr>
        <w:t>’</w:t>
      </w:r>
      <w:r w:rsidRPr="00451078">
        <w:rPr>
          <w:rFonts w:cs="Tahoma"/>
          <w:szCs w:val="18"/>
          <w:lang w:val="it-IT"/>
        </w:rPr>
        <w:t>utente al quale è stata ceduta una licenza per Project Pro per Office 365 utilizzi il software su un server di rete con il ruolo RDS attivato anziché installare una copia del software fornito con Project Pro per Office 365 su uno dei cinque dispositivi autorizzati in conformità ai Diritti di Utilizzo del Prodotto per Project Pro per Office 365, tale utente potrà 1) installare una copia del software Project 2013 Professional su un server di rete e 2) accedere al software Project 2013 Professional da qualsiasi dispositivo.</w:t>
      </w:r>
      <w:r w:rsidR="00082E1C" w:rsidRPr="00451078">
        <w:rPr>
          <w:rFonts w:cs="Tahoma"/>
          <w:szCs w:val="18"/>
          <w:lang w:val="it-IT"/>
        </w:rPr>
        <w:t xml:space="preserve"> </w:t>
      </w:r>
      <w:r w:rsidRPr="00451078">
        <w:rPr>
          <w:rFonts w:cs="Tahoma"/>
          <w:szCs w:val="18"/>
          <w:lang w:val="it-IT"/>
        </w:rPr>
        <w:t xml:space="preserve">Alla scadenza della sottoscrizione di Project Pro per Office 365 la società dovrà disinstallare il software Project 2013 Professional dal server di rete. </w:t>
      </w:r>
    </w:p>
    <w:p w:rsidR="002202DB" w:rsidRPr="00451078" w:rsidRDefault="002202DB" w:rsidP="002202DB">
      <w:pPr>
        <w:ind w:left="720"/>
        <w:rPr>
          <w:lang w:val="it-IT"/>
        </w:rPr>
      </w:pPr>
    </w:p>
    <w:p w:rsidR="009E713F" w:rsidRPr="00451078" w:rsidRDefault="009E713F">
      <w:pPr>
        <w:rPr>
          <w:lang w:val="it-IT"/>
        </w:rPr>
      </w:pPr>
    </w:p>
    <w:p w:rsidR="002202DB" w:rsidRPr="00451078" w:rsidRDefault="002202DB" w:rsidP="002202DB">
      <w:pPr>
        <w:spacing w:after="60"/>
        <w:ind w:left="720"/>
        <w:rPr>
          <w:lang w:val="it-IT"/>
        </w:rPr>
      </w:pPr>
      <w:r w:rsidRPr="00451078">
        <w:rPr>
          <w:rFonts w:cs="Tahoma"/>
          <w:b/>
          <w:lang w:val="it-IT"/>
        </w:rPr>
        <w:t>Diritti di Downgrade</w:t>
      </w:r>
    </w:p>
    <w:p w:rsidR="002202DB" w:rsidRPr="00451078" w:rsidRDefault="002202DB" w:rsidP="002202DB">
      <w:pPr>
        <w:ind w:left="720"/>
        <w:rPr>
          <w:lang w:val="it-IT"/>
        </w:rPr>
      </w:pPr>
      <w:r w:rsidRPr="00451078">
        <w:rPr>
          <w:rFonts w:cs="Tahoma"/>
          <w:bCs/>
          <w:szCs w:val="18"/>
          <w:lang w:val="it-IT"/>
        </w:rPr>
        <w:t>Per il servizio Project Pro per Office 365 non sono previsti diritti di downgrade. Per ulteriori informazioni in merito ai requisiti per l</w:t>
      </w:r>
      <w:r w:rsidR="004525CA">
        <w:rPr>
          <w:rFonts w:cs="Tahoma"/>
          <w:bCs/>
          <w:szCs w:val="18"/>
          <w:lang w:val="it-IT"/>
        </w:rPr>
        <w:t>’</w:t>
      </w:r>
      <w:r w:rsidRPr="00451078">
        <w:rPr>
          <w:rFonts w:cs="Tahoma"/>
          <w:bCs/>
          <w:szCs w:val="18"/>
          <w:lang w:val="it-IT"/>
        </w:rPr>
        <w:t xml:space="preserve">aggiornamento dei Servizi Online, consultare il documento Diritti di Utilizzo del Prodotto (Product Use Rights o PUR) alla pagina </w:t>
      </w:r>
      <w:hyperlink r:id="rId41" w:history="1">
        <w:r w:rsidRPr="00451078">
          <w:rPr>
            <w:rStyle w:val="Hyperlink"/>
            <w:rFonts w:cs="Tahoma"/>
            <w:bCs/>
            <w:szCs w:val="18"/>
            <w:lang w:val="it-IT"/>
          </w:rPr>
          <w:t>http://www.microsoftvolumelicensing.com/userights/PUR.aspx</w:t>
        </w:r>
      </w:hyperlink>
    </w:p>
    <w:p w:rsidR="002202DB" w:rsidRPr="00451078" w:rsidRDefault="002202DB" w:rsidP="00AE5A9F">
      <w:pPr>
        <w:rPr>
          <w:lang w:val="it-IT"/>
        </w:rPr>
      </w:pPr>
    </w:p>
    <w:p w:rsidR="002202DB" w:rsidRPr="00451078" w:rsidRDefault="002202DB" w:rsidP="00AE5A9F">
      <w:pPr>
        <w:rPr>
          <w:lang w:val="it-IT"/>
        </w:rPr>
      </w:pPr>
    </w:p>
    <w:p w:rsidR="00223A77" w:rsidRPr="00451078" w:rsidRDefault="00B26237" w:rsidP="002541AE">
      <w:pPr>
        <w:pStyle w:val="Heading3"/>
        <w:rPr>
          <w:lang w:val="it-IT"/>
        </w:rPr>
      </w:pPr>
      <w:bookmarkStart w:id="1068" w:name="_145_Rental_Rights"/>
      <w:bookmarkStart w:id="1069" w:name="_Toc336338272"/>
      <w:bookmarkStart w:id="1070" w:name="_Toc352234865"/>
      <w:bookmarkStart w:id="1071" w:name="Aps_9RentalRightsOffice"/>
      <w:bookmarkStart w:id="1072" w:name="Srv_RentalRightsOffice"/>
      <w:bookmarkStart w:id="1073" w:name="Srv_9RentalRightsOffice"/>
      <w:bookmarkEnd w:id="1068"/>
      <w:r w:rsidRPr="00451078">
        <w:rPr>
          <w:rFonts w:ascii="Tahoma" w:hAnsi="Tahoma" w:cs="Tahoma"/>
          <w:caps/>
          <w:color w:val="E65D08"/>
          <w:sz w:val="22"/>
          <w:szCs w:val="22"/>
          <w:vertAlign w:val="superscript"/>
          <w:lang w:val="it-IT"/>
        </w:rPr>
        <w:t>14</w:t>
      </w:r>
      <w:r w:rsidRPr="00451078">
        <w:rPr>
          <w:rFonts w:ascii="Tahoma" w:hAnsi="Tahoma" w:cs="Tahoma"/>
          <w:color w:val="E65D08"/>
          <w:sz w:val="22"/>
          <w:szCs w:val="22"/>
          <w:lang w:val="it-IT"/>
        </w:rPr>
        <w:t xml:space="preserve"> Diritti di Noleggio per Office</w:t>
      </w:r>
      <w:bookmarkEnd w:id="1069"/>
      <w:bookmarkEnd w:id="1070"/>
    </w:p>
    <w:bookmarkEnd w:id="1071"/>
    <w:p w:rsidR="002541AE" w:rsidRPr="00451078" w:rsidRDefault="002541AE" w:rsidP="002541AE">
      <w:pPr>
        <w:rPr>
          <w:lang w:val="it-IT"/>
        </w:rPr>
      </w:pPr>
    </w:p>
    <w:bookmarkEnd w:id="1072"/>
    <w:bookmarkEnd w:id="1073"/>
    <w:p w:rsidR="000B0A08" w:rsidRPr="00451078" w:rsidRDefault="000B0A08" w:rsidP="005E3B5E">
      <w:pPr>
        <w:pStyle w:val="FootnoteBulletLevel1"/>
        <w:tabs>
          <w:tab w:val="clear" w:pos="900"/>
        </w:tabs>
        <w:spacing w:before="0" w:after="0"/>
        <w:ind w:left="720" w:firstLine="0"/>
        <w:rPr>
          <w:lang w:val="it-IT"/>
        </w:rPr>
      </w:pPr>
      <w:r w:rsidRPr="00451078">
        <w:rPr>
          <w:rFonts w:ascii="Tahoma" w:hAnsi="Tahoma" w:cs="Tahoma"/>
          <w:color w:val="000000"/>
          <w:sz w:val="18"/>
          <w:szCs w:val="18"/>
          <w:lang w:val="it-IT"/>
        </w:rPr>
        <w:t>Le licenze per i diritti di noleggio fornite in base ai presenti programmi sono unicamente licenze aggiuntive. Tali licenze non sono licenze complete per i prodotti. Pertanto, ogni desktop a cui la società assegni una licenza per i diritti di noleggio dovrà avere la licenza per eseguire una delle applicazioni qualificanti indicate di seguito.</w:t>
      </w:r>
    </w:p>
    <w:p w:rsidR="00980240" w:rsidRPr="00451078" w:rsidRDefault="00980240" w:rsidP="005E3B5E">
      <w:pPr>
        <w:ind w:left="720"/>
        <w:rPr>
          <w:lang w:val="it-IT"/>
        </w:rPr>
      </w:pPr>
    </w:p>
    <w:p w:rsidR="00980240" w:rsidRPr="00451078" w:rsidRDefault="000B0A08" w:rsidP="00864B8A">
      <w:pPr>
        <w:spacing w:after="60"/>
        <w:ind w:left="720"/>
        <w:rPr>
          <w:lang w:val="it-IT"/>
        </w:rPr>
      </w:pPr>
      <w:r w:rsidRPr="00451078">
        <w:rPr>
          <w:rFonts w:cs="Tahoma"/>
          <w:b/>
          <w:lang w:val="it-IT"/>
        </w:rPr>
        <w:t>Regole per le Applicazioni Qualificanti</w:t>
      </w:r>
    </w:p>
    <w:p w:rsidR="000B0A08" w:rsidRPr="00451078" w:rsidRDefault="000B0A08" w:rsidP="005E3B5E">
      <w:pPr>
        <w:ind w:left="720"/>
        <w:rPr>
          <w:lang w:val="it-IT"/>
        </w:rPr>
      </w:pPr>
      <w:r w:rsidRPr="00451078">
        <w:rPr>
          <w:rFonts w:cs="Tahoma"/>
          <w:color w:val="000000"/>
          <w:szCs w:val="18"/>
          <w:lang w:val="it-IT"/>
        </w:rPr>
        <w:t>(Ciascuna delle seguenti condizioni deve essere soddisfatta affinché la Licenza di base qualifichi la società per ottenere la licenza relativa ai Diritti di Noleggio):</w:t>
      </w:r>
    </w:p>
    <w:p w:rsidR="005E3B5E" w:rsidRPr="00451078" w:rsidRDefault="005E3B5E" w:rsidP="005E3B5E">
      <w:pPr>
        <w:ind w:left="900"/>
        <w:rPr>
          <w:lang w:val="it-IT"/>
        </w:rPr>
      </w:pPr>
    </w:p>
    <w:p w:rsidR="000B0A08" w:rsidRPr="00451078" w:rsidRDefault="000B0A08" w:rsidP="005E3B5E">
      <w:pPr>
        <w:numPr>
          <w:ilvl w:val="0"/>
          <w:numId w:val="20"/>
        </w:numPr>
        <w:spacing w:after="60"/>
        <w:ind w:left="1440"/>
        <w:rPr>
          <w:lang w:val="it-IT"/>
        </w:rPr>
      </w:pPr>
      <w:r w:rsidRPr="00451078">
        <w:rPr>
          <w:rFonts w:cs="Tahoma"/>
          <w:color w:val="000000"/>
          <w:szCs w:val="18"/>
          <w:lang w:val="it-IT"/>
        </w:rPr>
        <w:t>La licenza per l</w:t>
      </w:r>
      <w:r w:rsidR="004525CA">
        <w:rPr>
          <w:rFonts w:cs="Tahoma"/>
          <w:color w:val="000000"/>
          <w:szCs w:val="18"/>
          <w:lang w:val="it-IT"/>
        </w:rPr>
        <w:t>’</w:t>
      </w:r>
      <w:r w:rsidRPr="00451078">
        <w:rPr>
          <w:rFonts w:cs="Tahoma"/>
          <w:color w:val="000000"/>
          <w:szCs w:val="18"/>
          <w:lang w:val="it-IT"/>
        </w:rPr>
        <w:t>applicazione qualificante deve essere assegnata allo stesso dispositivo a cui deve essere assegnata la licenza per i Diritti di Noleggio VL.</w:t>
      </w:r>
    </w:p>
    <w:p w:rsidR="000B0A08" w:rsidRPr="00451078" w:rsidRDefault="000B0A08" w:rsidP="005E3B5E">
      <w:pPr>
        <w:numPr>
          <w:ilvl w:val="0"/>
          <w:numId w:val="20"/>
        </w:numPr>
        <w:tabs>
          <w:tab w:val="left" w:pos="1440"/>
        </w:tabs>
        <w:spacing w:after="60"/>
        <w:ind w:left="1440"/>
        <w:rPr>
          <w:lang w:val="it-IT"/>
        </w:rPr>
      </w:pPr>
      <w:r w:rsidRPr="00451078">
        <w:rPr>
          <w:rFonts w:cs="Tahoma"/>
          <w:color w:val="000000"/>
          <w:szCs w:val="18"/>
          <w:lang w:val="it-IT"/>
        </w:rPr>
        <w:t>L</w:t>
      </w:r>
      <w:r w:rsidR="004525CA">
        <w:rPr>
          <w:rFonts w:cs="Tahoma"/>
          <w:color w:val="000000"/>
          <w:szCs w:val="18"/>
          <w:lang w:val="it-IT"/>
        </w:rPr>
        <w:t>’</w:t>
      </w:r>
      <w:r w:rsidRPr="00451078">
        <w:rPr>
          <w:rFonts w:cs="Tahoma"/>
          <w:color w:val="000000"/>
          <w:szCs w:val="18"/>
          <w:lang w:val="it-IT"/>
        </w:rPr>
        <w:t>applicazione qualificante deve essere installata su tale dispositivo.</w:t>
      </w:r>
    </w:p>
    <w:p w:rsidR="000B0A08" w:rsidRPr="00451078" w:rsidRDefault="000B0A08" w:rsidP="005E3B5E">
      <w:pPr>
        <w:pStyle w:val="EndnoteText"/>
        <w:rPr>
          <w:lang w:val="it-IT"/>
        </w:rPr>
      </w:pPr>
    </w:p>
    <w:p w:rsidR="000B0A08" w:rsidRPr="00451078" w:rsidRDefault="000B0A08" w:rsidP="005E3B5E">
      <w:pPr>
        <w:pStyle w:val="EndnoteText"/>
        <w:ind w:left="720"/>
        <w:rPr>
          <w:lang w:val="it-IT"/>
        </w:rPr>
      </w:pPr>
      <w:r w:rsidRPr="00451078">
        <w:rPr>
          <w:rFonts w:ascii="Tahoma" w:hAnsi="Tahoma" w:cs="Tahoma"/>
          <w:color w:val="000000"/>
          <w:sz w:val="18"/>
          <w:szCs w:val="18"/>
          <w:lang w:val="it-IT"/>
        </w:rPr>
        <w:t>Le applicazioni qualificanti in base al tipo di Programma sono:</w:t>
      </w:r>
    </w:p>
    <w:p w:rsidR="000B0A08" w:rsidRPr="00451078" w:rsidRDefault="000B0A08" w:rsidP="000B0A08">
      <w:pPr>
        <w:rPr>
          <w:lang w:val="it-IT"/>
        </w:rPr>
      </w:pPr>
    </w:p>
    <w:tbl>
      <w:tblPr>
        <w:tblW w:w="7763" w:type="dxa"/>
        <w:tblInd w:w="878" w:type="dxa"/>
        <w:tblCellMar>
          <w:left w:w="0" w:type="dxa"/>
          <w:right w:w="0" w:type="dxa"/>
        </w:tblCellMar>
        <w:tblLook w:val="04A0" w:firstRow="1" w:lastRow="0" w:firstColumn="1" w:lastColumn="0" w:noHBand="0" w:noVBand="1"/>
      </w:tblPr>
      <w:tblGrid>
        <w:gridCol w:w="2910"/>
        <w:gridCol w:w="1242"/>
        <w:gridCol w:w="91"/>
        <w:gridCol w:w="1094"/>
        <w:gridCol w:w="1424"/>
        <w:gridCol w:w="1002"/>
      </w:tblGrid>
      <w:tr w:rsidR="000B0A08" w:rsidRPr="00DC1102" w:rsidTr="002A6416">
        <w:trPr>
          <w:gridAfter w:val="3"/>
          <w:wAfter w:w="3520" w:type="dxa"/>
          <w:cantSplit/>
          <w:trHeight w:val="375"/>
          <w:tblHeader/>
        </w:trPr>
        <w:tc>
          <w:tcPr>
            <w:tcW w:w="2910" w:type="dxa"/>
            <w:vMerge w:val="restart"/>
            <w:tcBorders>
              <w:top w:val="single" w:sz="8" w:space="0" w:color="auto"/>
              <w:left w:val="single" w:sz="8" w:space="0" w:color="auto"/>
              <w:bottom w:val="single" w:sz="8" w:space="0" w:color="000000"/>
              <w:right w:val="single" w:sz="8" w:space="0" w:color="auto"/>
            </w:tcBorders>
            <w:shd w:val="clear" w:color="auto" w:fill="FABF8F"/>
            <w:tcMar>
              <w:top w:w="0" w:type="dxa"/>
              <w:left w:w="108" w:type="dxa"/>
              <w:bottom w:w="0" w:type="dxa"/>
              <w:right w:w="108" w:type="dxa"/>
            </w:tcMar>
            <w:vAlign w:val="center"/>
            <w:hideMark/>
          </w:tcPr>
          <w:p w:rsidR="000B0A08" w:rsidRPr="00451078" w:rsidRDefault="000B0A08" w:rsidP="00AD69BD">
            <w:pPr>
              <w:jc w:val="center"/>
              <w:rPr>
                <w:rFonts w:eastAsia="MS PGothic" w:cs="Tahoma"/>
                <w:b/>
                <w:bCs/>
                <w:color w:val="000000"/>
                <w:szCs w:val="18"/>
                <w:lang w:val="it-IT"/>
              </w:rPr>
            </w:pPr>
            <w:r w:rsidRPr="00451078">
              <w:rPr>
                <w:rFonts w:cs="Tahoma"/>
                <w:b/>
                <w:bCs/>
                <w:color w:val="000000"/>
                <w:szCs w:val="18"/>
                <w:lang w:val="it-IT"/>
              </w:rPr>
              <w:t>Applicazioni Qualificanti per l</w:t>
            </w:r>
            <w:r w:rsidR="004525CA">
              <w:rPr>
                <w:rFonts w:cs="Tahoma"/>
                <w:b/>
                <w:bCs/>
                <w:color w:val="000000"/>
                <w:szCs w:val="18"/>
                <w:lang w:val="it-IT"/>
              </w:rPr>
              <w:t>’</w:t>
            </w:r>
            <w:r w:rsidRPr="00451078">
              <w:rPr>
                <w:rFonts w:cs="Tahoma"/>
                <w:b/>
                <w:bCs/>
                <w:color w:val="000000"/>
                <w:szCs w:val="18"/>
                <w:lang w:val="it-IT"/>
              </w:rPr>
              <w:t>Acquisto dei Diritti di Noleggio per Office Standard</w:t>
            </w:r>
          </w:p>
        </w:tc>
        <w:tc>
          <w:tcPr>
            <w:tcW w:w="1333" w:type="dxa"/>
            <w:gridSpan w:val="2"/>
            <w:tcBorders>
              <w:top w:val="nil"/>
              <w:left w:val="nil"/>
              <w:bottom w:val="single" w:sz="8" w:space="0" w:color="auto"/>
              <w:right w:val="nil"/>
            </w:tcBorders>
          </w:tcPr>
          <w:p w:rsidR="000B0A08" w:rsidRPr="00451078" w:rsidRDefault="000B0A08" w:rsidP="00AD69BD">
            <w:pPr>
              <w:jc w:val="both"/>
              <w:rPr>
                <w:rFonts w:ascii="Arial" w:eastAsia="MS PGothic" w:hAnsi="Arial" w:cs="Arial"/>
                <w:color w:val="000000"/>
                <w:sz w:val="21"/>
                <w:szCs w:val="21"/>
                <w:lang w:val="it-IT"/>
              </w:rPr>
            </w:pPr>
          </w:p>
        </w:tc>
      </w:tr>
      <w:tr w:rsidR="000B0A08" w:rsidRPr="003410C7" w:rsidTr="002A6416">
        <w:trPr>
          <w:cantSplit/>
          <w:trHeight w:val="730"/>
          <w:tblHeader/>
        </w:trPr>
        <w:tc>
          <w:tcPr>
            <w:tcW w:w="2910" w:type="dxa"/>
            <w:vMerge/>
            <w:tcBorders>
              <w:top w:val="single" w:sz="8" w:space="0" w:color="auto"/>
              <w:left w:val="single" w:sz="8" w:space="0" w:color="auto"/>
              <w:bottom w:val="single" w:sz="4" w:space="0" w:color="auto"/>
              <w:right w:val="single" w:sz="4" w:space="0" w:color="auto"/>
            </w:tcBorders>
            <w:vAlign w:val="center"/>
            <w:hideMark/>
          </w:tcPr>
          <w:p w:rsidR="000B0A08" w:rsidRPr="00451078" w:rsidRDefault="000B0A08" w:rsidP="00AD69BD">
            <w:pPr>
              <w:rPr>
                <w:rFonts w:eastAsia="MS PGothic" w:cs="Tahoma"/>
                <w:b/>
                <w:bCs/>
                <w:color w:val="000000"/>
                <w:szCs w:val="18"/>
                <w:lang w:val="it-IT"/>
              </w:rPr>
            </w:pPr>
          </w:p>
        </w:tc>
        <w:tc>
          <w:tcPr>
            <w:tcW w:w="1242" w:type="dxa"/>
            <w:tcBorders>
              <w:top w:val="single" w:sz="4" w:space="0" w:color="auto"/>
              <w:left w:val="single" w:sz="4" w:space="0" w:color="auto"/>
              <w:bottom w:val="single" w:sz="4" w:space="0" w:color="auto"/>
              <w:right w:val="single" w:sz="4" w:space="0" w:color="auto"/>
            </w:tcBorders>
            <w:shd w:val="clear" w:color="auto" w:fill="FABF8F"/>
            <w:tcMar>
              <w:top w:w="0" w:type="dxa"/>
              <w:left w:w="108" w:type="dxa"/>
              <w:bottom w:w="0" w:type="dxa"/>
              <w:right w:w="108" w:type="dxa"/>
            </w:tcMar>
            <w:vAlign w:val="bottom"/>
            <w:hideMark/>
          </w:tcPr>
          <w:p w:rsidR="000B0A08" w:rsidRPr="003410C7" w:rsidRDefault="000B0A08" w:rsidP="00AD69BD">
            <w:pPr>
              <w:jc w:val="center"/>
              <w:rPr>
                <w:rFonts w:cs="Tahoma"/>
                <w:b/>
                <w:bCs/>
                <w:color w:val="000000"/>
                <w:szCs w:val="18"/>
              </w:rPr>
            </w:pPr>
            <w:r w:rsidRPr="003410C7">
              <w:rPr>
                <w:rFonts w:cs="Tahoma"/>
                <w:b/>
                <w:bCs/>
                <w:color w:val="000000"/>
                <w:szCs w:val="18"/>
              </w:rPr>
              <w:t>OEM</w:t>
            </w:r>
          </w:p>
        </w:tc>
        <w:tc>
          <w:tcPr>
            <w:tcW w:w="1185" w:type="dxa"/>
            <w:gridSpan w:val="2"/>
            <w:tcBorders>
              <w:top w:val="single" w:sz="4" w:space="0" w:color="auto"/>
              <w:left w:val="single" w:sz="4" w:space="0" w:color="auto"/>
              <w:bottom w:val="single" w:sz="4" w:space="0" w:color="auto"/>
              <w:right w:val="single" w:sz="4" w:space="0" w:color="auto"/>
            </w:tcBorders>
            <w:shd w:val="clear" w:color="auto" w:fill="FABF8F"/>
            <w:vAlign w:val="center"/>
            <w:hideMark/>
          </w:tcPr>
          <w:p w:rsidR="000B0A08" w:rsidRPr="003410C7" w:rsidRDefault="000B0A08" w:rsidP="00AD69BD">
            <w:pPr>
              <w:jc w:val="center"/>
            </w:pPr>
            <w:r w:rsidRPr="003410C7">
              <w:rPr>
                <w:rFonts w:cs="Tahoma"/>
                <w:b/>
                <w:bCs/>
                <w:color w:val="000000"/>
                <w:szCs w:val="18"/>
              </w:rPr>
              <w:t>PIPC</w:t>
            </w:r>
          </w:p>
          <w:p w:rsidR="000B0A08" w:rsidRPr="003410C7" w:rsidRDefault="000B0A08" w:rsidP="00AD69BD">
            <w:pPr>
              <w:jc w:val="center"/>
              <w:rPr>
                <w:rFonts w:cs="Tahoma"/>
                <w:b/>
                <w:bCs/>
                <w:color w:val="000000"/>
                <w:szCs w:val="18"/>
              </w:rPr>
            </w:pPr>
            <w:r w:rsidRPr="003410C7">
              <w:rPr>
                <w:rFonts w:cs="Tahoma"/>
                <w:b/>
                <w:bCs/>
                <w:color w:val="000000"/>
                <w:szCs w:val="18"/>
              </w:rPr>
              <w:t>(solo Giappone)</w:t>
            </w:r>
          </w:p>
        </w:tc>
        <w:tc>
          <w:tcPr>
            <w:tcW w:w="1424" w:type="dxa"/>
            <w:tcBorders>
              <w:top w:val="single" w:sz="4" w:space="0" w:color="auto"/>
              <w:left w:val="single" w:sz="4" w:space="0" w:color="auto"/>
              <w:bottom w:val="single" w:sz="4" w:space="0" w:color="auto"/>
              <w:right w:val="single" w:sz="4" w:space="0" w:color="auto"/>
            </w:tcBorders>
            <w:shd w:val="clear" w:color="auto" w:fill="FABF8F"/>
            <w:tcMar>
              <w:top w:w="0" w:type="dxa"/>
              <w:left w:w="108" w:type="dxa"/>
              <w:bottom w:w="0" w:type="dxa"/>
              <w:right w:w="108" w:type="dxa"/>
            </w:tcMar>
            <w:vAlign w:val="bottom"/>
            <w:hideMark/>
          </w:tcPr>
          <w:p w:rsidR="000B0A08" w:rsidRPr="003410C7" w:rsidRDefault="000B0A08" w:rsidP="00AD69BD">
            <w:pPr>
              <w:jc w:val="center"/>
              <w:rPr>
                <w:rFonts w:cs="Tahoma"/>
                <w:b/>
                <w:bCs/>
                <w:color w:val="000000"/>
                <w:szCs w:val="18"/>
              </w:rPr>
            </w:pPr>
            <w:r w:rsidRPr="003410C7">
              <w:rPr>
                <w:rFonts w:cs="Tahoma"/>
                <w:b/>
                <w:bCs/>
                <w:color w:val="000000"/>
                <w:szCs w:val="18"/>
              </w:rPr>
              <w:t>Select/Select Plus</w:t>
            </w:r>
          </w:p>
        </w:tc>
        <w:tc>
          <w:tcPr>
            <w:tcW w:w="1002" w:type="dxa"/>
            <w:tcBorders>
              <w:top w:val="single" w:sz="4" w:space="0" w:color="auto"/>
              <w:left w:val="single" w:sz="4" w:space="0" w:color="auto"/>
              <w:bottom w:val="single" w:sz="4" w:space="0" w:color="auto"/>
              <w:right w:val="single" w:sz="4" w:space="0" w:color="auto"/>
            </w:tcBorders>
            <w:shd w:val="clear" w:color="auto" w:fill="FABF8F"/>
            <w:tcMar>
              <w:top w:w="0" w:type="dxa"/>
              <w:left w:w="108" w:type="dxa"/>
              <w:bottom w:w="0" w:type="dxa"/>
              <w:right w:w="108" w:type="dxa"/>
            </w:tcMar>
            <w:vAlign w:val="bottom"/>
            <w:hideMark/>
          </w:tcPr>
          <w:p w:rsidR="000B0A08" w:rsidRPr="003410C7" w:rsidRDefault="000B0A08" w:rsidP="00AD69BD">
            <w:pPr>
              <w:jc w:val="center"/>
              <w:rPr>
                <w:rFonts w:cs="Tahoma"/>
                <w:b/>
                <w:bCs/>
                <w:color w:val="000000"/>
                <w:szCs w:val="18"/>
              </w:rPr>
            </w:pPr>
            <w:r w:rsidRPr="003410C7">
              <w:rPr>
                <w:rFonts w:cs="Tahoma"/>
                <w:b/>
                <w:bCs/>
                <w:color w:val="000000"/>
                <w:szCs w:val="18"/>
              </w:rPr>
              <w:t>Licenza Open</w:t>
            </w:r>
          </w:p>
        </w:tc>
      </w:tr>
      <w:tr w:rsidR="000B0A08" w:rsidRPr="003410C7" w:rsidTr="002A6416">
        <w:trPr>
          <w:trHeight w:val="255"/>
        </w:trPr>
        <w:tc>
          <w:tcPr>
            <w:tcW w:w="2910" w:type="dxa"/>
            <w:tcBorders>
              <w:top w:val="single" w:sz="4" w:space="0" w:color="auto"/>
              <w:left w:val="single" w:sz="4" w:space="0" w:color="auto"/>
              <w:bottom w:val="single" w:sz="4" w:space="0" w:color="auto"/>
              <w:right w:val="single" w:sz="4" w:space="0" w:color="auto"/>
            </w:tcBorders>
            <w:noWrap/>
            <w:tcMar>
              <w:top w:w="0" w:type="dxa"/>
              <w:left w:w="108" w:type="dxa"/>
              <w:bottom w:w="0" w:type="dxa"/>
              <w:right w:w="108" w:type="dxa"/>
            </w:tcMar>
            <w:vAlign w:val="bottom"/>
            <w:hideMark/>
          </w:tcPr>
          <w:p w:rsidR="000B0A08" w:rsidRPr="003410C7" w:rsidRDefault="000B0A08" w:rsidP="00257298">
            <w:pPr>
              <w:rPr>
                <w:rFonts w:cs="Tahoma"/>
                <w:b/>
                <w:bCs/>
                <w:color w:val="000000"/>
                <w:szCs w:val="18"/>
              </w:rPr>
            </w:pPr>
            <w:r w:rsidRPr="003410C7">
              <w:rPr>
                <w:rFonts w:cs="Tahoma"/>
                <w:b/>
                <w:bCs/>
                <w:color w:val="000000"/>
                <w:szCs w:val="18"/>
              </w:rPr>
              <w:t xml:space="preserve">Office Standard 2013 </w:t>
            </w:r>
          </w:p>
        </w:tc>
        <w:tc>
          <w:tcPr>
            <w:tcW w:w="1242" w:type="dxa"/>
            <w:tcBorders>
              <w:top w:val="single" w:sz="4" w:space="0" w:color="auto"/>
              <w:left w:val="single" w:sz="4" w:space="0" w:color="auto"/>
              <w:bottom w:val="single" w:sz="8" w:space="0" w:color="auto"/>
              <w:right w:val="single" w:sz="8" w:space="0" w:color="auto"/>
            </w:tcBorders>
            <w:noWrap/>
            <w:tcMar>
              <w:top w:w="0" w:type="dxa"/>
              <w:left w:w="108" w:type="dxa"/>
              <w:bottom w:w="0" w:type="dxa"/>
              <w:right w:w="108" w:type="dxa"/>
            </w:tcMar>
            <w:vAlign w:val="bottom"/>
          </w:tcPr>
          <w:p w:rsidR="000B0A08" w:rsidRPr="003410C7" w:rsidRDefault="000B0A08" w:rsidP="00AD69BD">
            <w:pPr>
              <w:jc w:val="center"/>
              <w:rPr>
                <w:rFonts w:eastAsia="MS PGothic" w:cs="Tahoma"/>
                <w:color w:val="000000"/>
                <w:sz w:val="21"/>
                <w:szCs w:val="21"/>
              </w:rPr>
            </w:pPr>
          </w:p>
        </w:tc>
        <w:tc>
          <w:tcPr>
            <w:tcW w:w="1185" w:type="dxa"/>
            <w:gridSpan w:val="2"/>
            <w:tcBorders>
              <w:top w:val="single" w:sz="4" w:space="0" w:color="auto"/>
              <w:left w:val="nil"/>
              <w:bottom w:val="single" w:sz="8" w:space="0" w:color="auto"/>
              <w:right w:val="single" w:sz="8" w:space="0" w:color="auto"/>
            </w:tcBorders>
          </w:tcPr>
          <w:p w:rsidR="000B0A08" w:rsidRPr="003410C7" w:rsidRDefault="000B0A08" w:rsidP="00AD69BD">
            <w:pPr>
              <w:jc w:val="center"/>
              <w:rPr>
                <w:rFonts w:ascii="Arial" w:eastAsia="MS PGothic" w:hAnsi="Arial" w:cs="Arial"/>
                <w:color w:val="000000"/>
                <w:sz w:val="21"/>
                <w:szCs w:val="21"/>
              </w:rPr>
            </w:pPr>
          </w:p>
        </w:tc>
        <w:tc>
          <w:tcPr>
            <w:tcW w:w="1424" w:type="dxa"/>
            <w:tcBorders>
              <w:top w:val="single" w:sz="4" w:space="0" w:color="auto"/>
              <w:left w:val="nil"/>
              <w:bottom w:val="single" w:sz="8" w:space="0" w:color="auto"/>
              <w:right w:val="single" w:sz="8" w:space="0" w:color="auto"/>
            </w:tcBorders>
            <w:noWrap/>
            <w:tcMar>
              <w:top w:w="0" w:type="dxa"/>
              <w:left w:w="108" w:type="dxa"/>
              <w:bottom w:w="0" w:type="dxa"/>
              <w:right w:w="108" w:type="dxa"/>
            </w:tcMar>
            <w:vAlign w:val="bottom"/>
            <w:hideMark/>
          </w:tcPr>
          <w:p w:rsidR="000B0A08" w:rsidRPr="003410C7" w:rsidRDefault="000B0A08" w:rsidP="00AD69BD">
            <w:pPr>
              <w:jc w:val="center"/>
              <w:rPr>
                <w:rFonts w:eastAsia="MS PGothic" w:cs="Tahoma"/>
                <w:color w:val="000000"/>
                <w:sz w:val="21"/>
                <w:szCs w:val="21"/>
              </w:rPr>
            </w:pPr>
            <w:r w:rsidRPr="003410C7">
              <w:rPr>
                <w:color w:val="000000"/>
              </w:rPr>
              <w:t>x</w:t>
            </w:r>
          </w:p>
        </w:tc>
        <w:tc>
          <w:tcPr>
            <w:tcW w:w="1002" w:type="dxa"/>
            <w:tcBorders>
              <w:top w:val="single" w:sz="4" w:space="0" w:color="auto"/>
              <w:left w:val="nil"/>
              <w:bottom w:val="single" w:sz="8" w:space="0" w:color="auto"/>
              <w:right w:val="single" w:sz="8" w:space="0" w:color="auto"/>
            </w:tcBorders>
            <w:noWrap/>
            <w:tcMar>
              <w:top w:w="0" w:type="dxa"/>
              <w:left w:w="108" w:type="dxa"/>
              <w:bottom w:w="0" w:type="dxa"/>
              <w:right w:w="108" w:type="dxa"/>
            </w:tcMar>
            <w:vAlign w:val="bottom"/>
            <w:hideMark/>
          </w:tcPr>
          <w:p w:rsidR="000B0A08" w:rsidRPr="003410C7" w:rsidRDefault="000B0A08" w:rsidP="00AD69BD">
            <w:pPr>
              <w:jc w:val="center"/>
              <w:rPr>
                <w:rFonts w:eastAsia="MS PGothic" w:cs="Tahoma"/>
                <w:color w:val="000000"/>
                <w:sz w:val="21"/>
                <w:szCs w:val="21"/>
              </w:rPr>
            </w:pPr>
            <w:r w:rsidRPr="003410C7">
              <w:rPr>
                <w:color w:val="000000"/>
              </w:rPr>
              <w:t>x</w:t>
            </w:r>
          </w:p>
        </w:tc>
      </w:tr>
      <w:tr w:rsidR="000B0A08" w:rsidRPr="003410C7" w:rsidTr="002A6416">
        <w:trPr>
          <w:trHeight w:val="255"/>
        </w:trPr>
        <w:tc>
          <w:tcPr>
            <w:tcW w:w="2910" w:type="dxa"/>
            <w:tcBorders>
              <w:top w:val="single" w:sz="4" w:space="0" w:color="auto"/>
              <w:left w:val="single" w:sz="4" w:space="0" w:color="auto"/>
              <w:bottom w:val="single" w:sz="4" w:space="0" w:color="auto"/>
              <w:right w:val="single" w:sz="4" w:space="0" w:color="auto"/>
            </w:tcBorders>
            <w:noWrap/>
            <w:tcMar>
              <w:top w:w="0" w:type="dxa"/>
              <w:left w:w="108" w:type="dxa"/>
              <w:bottom w:w="0" w:type="dxa"/>
              <w:right w:w="108" w:type="dxa"/>
            </w:tcMar>
            <w:vAlign w:val="bottom"/>
            <w:hideMark/>
          </w:tcPr>
          <w:p w:rsidR="000B0A08" w:rsidRPr="003410C7" w:rsidRDefault="000B0A08" w:rsidP="00257298">
            <w:pPr>
              <w:rPr>
                <w:rFonts w:cs="Tahoma"/>
                <w:b/>
                <w:bCs/>
                <w:color w:val="000000"/>
                <w:szCs w:val="18"/>
              </w:rPr>
            </w:pPr>
            <w:r w:rsidRPr="003410C7">
              <w:rPr>
                <w:rFonts w:cs="Tahoma"/>
                <w:b/>
                <w:bCs/>
                <w:color w:val="000000"/>
                <w:szCs w:val="18"/>
              </w:rPr>
              <w:t>Office Standard 2010</w:t>
            </w:r>
          </w:p>
        </w:tc>
        <w:tc>
          <w:tcPr>
            <w:tcW w:w="1242" w:type="dxa"/>
            <w:tcBorders>
              <w:top w:val="nil"/>
              <w:left w:val="single" w:sz="4" w:space="0" w:color="auto"/>
              <w:bottom w:val="single" w:sz="8" w:space="0" w:color="auto"/>
              <w:right w:val="single" w:sz="8" w:space="0" w:color="auto"/>
            </w:tcBorders>
            <w:noWrap/>
            <w:tcMar>
              <w:top w:w="0" w:type="dxa"/>
              <w:left w:w="108" w:type="dxa"/>
              <w:bottom w:w="0" w:type="dxa"/>
              <w:right w:w="108" w:type="dxa"/>
            </w:tcMar>
            <w:vAlign w:val="bottom"/>
            <w:hideMark/>
          </w:tcPr>
          <w:p w:rsidR="000B0A08" w:rsidRPr="003410C7" w:rsidRDefault="000B0A08" w:rsidP="00AD69BD">
            <w:pPr>
              <w:jc w:val="center"/>
              <w:rPr>
                <w:rFonts w:eastAsia="MS PGothic" w:cs="Tahoma"/>
                <w:color w:val="000000"/>
                <w:sz w:val="21"/>
                <w:szCs w:val="21"/>
              </w:rPr>
            </w:pPr>
            <w:r w:rsidRPr="003410C7">
              <w:rPr>
                <w:color w:val="000000"/>
              </w:rPr>
              <w:t>x</w:t>
            </w:r>
          </w:p>
        </w:tc>
        <w:tc>
          <w:tcPr>
            <w:tcW w:w="1185" w:type="dxa"/>
            <w:gridSpan w:val="2"/>
            <w:tcBorders>
              <w:top w:val="nil"/>
              <w:left w:val="nil"/>
              <w:bottom w:val="single" w:sz="8" w:space="0" w:color="auto"/>
              <w:right w:val="single" w:sz="8" w:space="0" w:color="auto"/>
            </w:tcBorders>
          </w:tcPr>
          <w:p w:rsidR="000B0A08" w:rsidRPr="003410C7" w:rsidRDefault="000B0A08" w:rsidP="00AD69BD">
            <w:pPr>
              <w:jc w:val="center"/>
              <w:rPr>
                <w:rFonts w:ascii="Arial" w:eastAsia="MS PGothic" w:hAnsi="Arial" w:cs="Arial"/>
                <w:color w:val="000000"/>
                <w:sz w:val="21"/>
                <w:szCs w:val="21"/>
              </w:rPr>
            </w:pPr>
          </w:p>
        </w:tc>
        <w:tc>
          <w:tcPr>
            <w:tcW w:w="1424"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0B0A08" w:rsidRPr="003410C7" w:rsidRDefault="000B0A08" w:rsidP="00AD69BD">
            <w:pPr>
              <w:jc w:val="center"/>
              <w:rPr>
                <w:rFonts w:eastAsia="MS PGothic" w:cs="Tahoma"/>
                <w:color w:val="000000"/>
                <w:sz w:val="21"/>
                <w:szCs w:val="21"/>
              </w:rPr>
            </w:pPr>
            <w:r w:rsidRPr="003410C7">
              <w:rPr>
                <w:color w:val="000000"/>
              </w:rPr>
              <w:t>x</w:t>
            </w:r>
          </w:p>
        </w:tc>
        <w:tc>
          <w:tcPr>
            <w:tcW w:w="1002"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0B0A08" w:rsidRPr="003410C7" w:rsidRDefault="000B0A08" w:rsidP="00AD69BD">
            <w:pPr>
              <w:jc w:val="center"/>
              <w:rPr>
                <w:rFonts w:eastAsia="MS PGothic" w:cs="Tahoma"/>
                <w:color w:val="000000"/>
                <w:sz w:val="21"/>
                <w:szCs w:val="21"/>
              </w:rPr>
            </w:pPr>
            <w:r w:rsidRPr="003410C7">
              <w:rPr>
                <w:color w:val="000000"/>
              </w:rPr>
              <w:t>x</w:t>
            </w:r>
          </w:p>
        </w:tc>
      </w:tr>
    </w:tbl>
    <w:p w:rsidR="00B62DEE" w:rsidRDefault="00B62DEE"/>
    <w:p w:rsidR="00B62DEE" w:rsidRPr="003410C7" w:rsidRDefault="00B62DEE"/>
    <w:tbl>
      <w:tblPr>
        <w:tblW w:w="7763" w:type="dxa"/>
        <w:tblInd w:w="1008" w:type="dxa"/>
        <w:tblCellMar>
          <w:left w:w="0" w:type="dxa"/>
          <w:right w:w="0" w:type="dxa"/>
        </w:tblCellMar>
        <w:tblLook w:val="04A0" w:firstRow="1" w:lastRow="0" w:firstColumn="1" w:lastColumn="0" w:noHBand="0" w:noVBand="1"/>
      </w:tblPr>
      <w:tblGrid>
        <w:gridCol w:w="2910"/>
        <w:gridCol w:w="1242"/>
        <w:gridCol w:w="91"/>
        <w:gridCol w:w="1094"/>
        <w:gridCol w:w="1424"/>
        <w:gridCol w:w="1002"/>
      </w:tblGrid>
      <w:tr w:rsidR="000B0A08" w:rsidRPr="00DC1102" w:rsidTr="00AD69BD">
        <w:trPr>
          <w:gridAfter w:val="3"/>
          <w:wAfter w:w="3520" w:type="dxa"/>
          <w:cantSplit/>
          <w:trHeight w:val="375"/>
          <w:tblHeader/>
        </w:trPr>
        <w:tc>
          <w:tcPr>
            <w:tcW w:w="2910" w:type="dxa"/>
            <w:vMerge w:val="restart"/>
            <w:tcBorders>
              <w:top w:val="single" w:sz="8" w:space="0" w:color="auto"/>
              <w:left w:val="single" w:sz="8" w:space="0" w:color="auto"/>
              <w:bottom w:val="single" w:sz="8" w:space="0" w:color="000000"/>
              <w:right w:val="single" w:sz="8" w:space="0" w:color="auto"/>
            </w:tcBorders>
            <w:shd w:val="clear" w:color="auto" w:fill="FABF8F"/>
            <w:tcMar>
              <w:top w:w="0" w:type="dxa"/>
              <w:left w:w="108" w:type="dxa"/>
              <w:bottom w:w="0" w:type="dxa"/>
              <w:right w:w="108" w:type="dxa"/>
            </w:tcMar>
            <w:vAlign w:val="center"/>
            <w:hideMark/>
          </w:tcPr>
          <w:p w:rsidR="000B0A08" w:rsidRPr="00451078" w:rsidRDefault="000B0A08" w:rsidP="00AD69BD">
            <w:pPr>
              <w:jc w:val="center"/>
              <w:rPr>
                <w:rFonts w:eastAsia="MS PGothic" w:cs="Tahoma"/>
                <w:b/>
                <w:bCs/>
                <w:szCs w:val="18"/>
                <w:lang w:val="it-IT"/>
              </w:rPr>
            </w:pPr>
            <w:r w:rsidRPr="00451078">
              <w:rPr>
                <w:rFonts w:cs="Tahoma"/>
                <w:b/>
                <w:bCs/>
                <w:szCs w:val="18"/>
                <w:lang w:val="it-IT"/>
              </w:rPr>
              <w:t>Applicazioni Qualificanti per l</w:t>
            </w:r>
            <w:r w:rsidR="004525CA">
              <w:rPr>
                <w:rFonts w:cs="Tahoma"/>
                <w:b/>
                <w:bCs/>
                <w:szCs w:val="18"/>
                <w:lang w:val="it-IT"/>
              </w:rPr>
              <w:t>’</w:t>
            </w:r>
            <w:r w:rsidRPr="00451078">
              <w:rPr>
                <w:rFonts w:cs="Tahoma"/>
                <w:b/>
                <w:bCs/>
                <w:szCs w:val="18"/>
                <w:lang w:val="it-IT"/>
              </w:rPr>
              <w:t>Acquisto dei Diritti di Noleggio per Office Professional Plus</w:t>
            </w:r>
          </w:p>
        </w:tc>
        <w:tc>
          <w:tcPr>
            <w:tcW w:w="1333" w:type="dxa"/>
            <w:gridSpan w:val="2"/>
            <w:tcBorders>
              <w:top w:val="nil"/>
              <w:left w:val="nil"/>
              <w:bottom w:val="single" w:sz="8" w:space="0" w:color="auto"/>
              <w:right w:val="nil"/>
            </w:tcBorders>
          </w:tcPr>
          <w:p w:rsidR="000B0A08" w:rsidRPr="00451078" w:rsidRDefault="000B0A08" w:rsidP="00AD69BD">
            <w:pPr>
              <w:jc w:val="both"/>
              <w:rPr>
                <w:rFonts w:ascii="Arial" w:eastAsia="MS PGothic" w:hAnsi="Arial" w:cs="Arial"/>
                <w:szCs w:val="21"/>
                <w:lang w:val="it-IT"/>
              </w:rPr>
            </w:pPr>
          </w:p>
        </w:tc>
      </w:tr>
      <w:tr w:rsidR="000B0A08" w:rsidRPr="003410C7" w:rsidTr="00AD69BD">
        <w:trPr>
          <w:cantSplit/>
          <w:trHeight w:val="736"/>
          <w:tblHeader/>
        </w:trPr>
        <w:tc>
          <w:tcPr>
            <w:tcW w:w="2910" w:type="dxa"/>
            <w:vMerge/>
            <w:tcBorders>
              <w:top w:val="single" w:sz="8" w:space="0" w:color="auto"/>
              <w:left w:val="single" w:sz="8" w:space="0" w:color="auto"/>
              <w:bottom w:val="single" w:sz="8" w:space="0" w:color="000000"/>
              <w:right w:val="single" w:sz="8" w:space="0" w:color="auto"/>
            </w:tcBorders>
            <w:vAlign w:val="center"/>
            <w:hideMark/>
          </w:tcPr>
          <w:p w:rsidR="000B0A08" w:rsidRPr="00451078" w:rsidRDefault="000B0A08" w:rsidP="00AD69BD">
            <w:pPr>
              <w:rPr>
                <w:rFonts w:eastAsia="MS PGothic" w:cs="Tahoma"/>
                <w:b/>
                <w:bCs/>
                <w:szCs w:val="18"/>
                <w:lang w:val="it-IT"/>
              </w:rPr>
            </w:pPr>
          </w:p>
        </w:tc>
        <w:tc>
          <w:tcPr>
            <w:tcW w:w="1242" w:type="dxa"/>
            <w:tcBorders>
              <w:top w:val="nil"/>
              <w:left w:val="nil"/>
              <w:bottom w:val="single" w:sz="8" w:space="0" w:color="auto"/>
              <w:right w:val="single" w:sz="4" w:space="0" w:color="auto"/>
            </w:tcBorders>
            <w:shd w:val="clear" w:color="auto" w:fill="FABF8F"/>
            <w:tcMar>
              <w:top w:w="0" w:type="dxa"/>
              <w:left w:w="108" w:type="dxa"/>
              <w:bottom w:w="0" w:type="dxa"/>
              <w:right w:w="108" w:type="dxa"/>
            </w:tcMar>
            <w:vAlign w:val="bottom"/>
            <w:hideMark/>
          </w:tcPr>
          <w:p w:rsidR="000B0A08" w:rsidRPr="003410C7" w:rsidRDefault="000B0A08" w:rsidP="00AD69BD">
            <w:pPr>
              <w:jc w:val="center"/>
              <w:rPr>
                <w:rFonts w:cs="Tahoma"/>
                <w:b/>
                <w:bCs/>
                <w:szCs w:val="18"/>
              </w:rPr>
            </w:pPr>
            <w:r w:rsidRPr="003410C7">
              <w:rPr>
                <w:rFonts w:cs="Tahoma"/>
                <w:b/>
                <w:bCs/>
                <w:szCs w:val="18"/>
              </w:rPr>
              <w:t>OEM</w:t>
            </w:r>
          </w:p>
        </w:tc>
        <w:tc>
          <w:tcPr>
            <w:tcW w:w="1185" w:type="dxa"/>
            <w:gridSpan w:val="2"/>
            <w:tcBorders>
              <w:top w:val="single" w:sz="4" w:space="0" w:color="auto"/>
              <w:left w:val="single" w:sz="4" w:space="0" w:color="auto"/>
              <w:bottom w:val="single" w:sz="4" w:space="0" w:color="auto"/>
              <w:right w:val="single" w:sz="4" w:space="0" w:color="auto"/>
            </w:tcBorders>
            <w:shd w:val="clear" w:color="auto" w:fill="FABF8F"/>
            <w:vAlign w:val="bottom"/>
            <w:hideMark/>
          </w:tcPr>
          <w:p w:rsidR="000B0A08" w:rsidRPr="003410C7" w:rsidRDefault="000B0A08" w:rsidP="00AD69BD">
            <w:pPr>
              <w:jc w:val="center"/>
            </w:pPr>
            <w:r w:rsidRPr="003410C7">
              <w:rPr>
                <w:rFonts w:cs="Tahoma"/>
                <w:b/>
                <w:bCs/>
                <w:szCs w:val="18"/>
              </w:rPr>
              <w:t>PIPC</w:t>
            </w:r>
          </w:p>
          <w:p w:rsidR="000B0A08" w:rsidRPr="003410C7" w:rsidRDefault="000B0A08" w:rsidP="00AD69BD">
            <w:pPr>
              <w:jc w:val="center"/>
              <w:rPr>
                <w:rFonts w:cs="Tahoma"/>
                <w:b/>
                <w:bCs/>
                <w:szCs w:val="16"/>
                <w:lang w:eastAsia="ja-JP"/>
              </w:rPr>
            </w:pPr>
            <w:r w:rsidRPr="003410C7">
              <w:rPr>
                <w:rFonts w:cs="Tahoma"/>
                <w:b/>
                <w:bCs/>
                <w:szCs w:val="18"/>
              </w:rPr>
              <w:t>(solo Giappone)</w:t>
            </w:r>
          </w:p>
        </w:tc>
        <w:tc>
          <w:tcPr>
            <w:tcW w:w="1424" w:type="dxa"/>
            <w:tcBorders>
              <w:top w:val="single" w:sz="4" w:space="0" w:color="auto"/>
              <w:left w:val="single" w:sz="4" w:space="0" w:color="auto"/>
              <w:bottom w:val="single" w:sz="4" w:space="0" w:color="auto"/>
              <w:right w:val="single" w:sz="4" w:space="0" w:color="auto"/>
            </w:tcBorders>
            <w:shd w:val="clear" w:color="auto" w:fill="FABF8F"/>
            <w:tcMar>
              <w:top w:w="0" w:type="dxa"/>
              <w:left w:w="108" w:type="dxa"/>
              <w:bottom w:w="0" w:type="dxa"/>
              <w:right w:w="108" w:type="dxa"/>
            </w:tcMar>
            <w:vAlign w:val="bottom"/>
            <w:hideMark/>
          </w:tcPr>
          <w:p w:rsidR="000B0A08" w:rsidRPr="003410C7" w:rsidRDefault="000B0A08" w:rsidP="00AD69BD">
            <w:pPr>
              <w:jc w:val="center"/>
              <w:rPr>
                <w:rFonts w:cs="Tahoma"/>
                <w:b/>
                <w:bCs/>
                <w:szCs w:val="18"/>
              </w:rPr>
            </w:pPr>
            <w:r w:rsidRPr="003410C7">
              <w:rPr>
                <w:rFonts w:cs="Tahoma"/>
                <w:b/>
                <w:bCs/>
                <w:szCs w:val="18"/>
              </w:rPr>
              <w:t>Select/Select Plus</w:t>
            </w:r>
          </w:p>
        </w:tc>
        <w:tc>
          <w:tcPr>
            <w:tcW w:w="1002" w:type="dxa"/>
            <w:tcBorders>
              <w:top w:val="single" w:sz="4" w:space="0" w:color="auto"/>
              <w:left w:val="single" w:sz="4" w:space="0" w:color="auto"/>
              <w:bottom w:val="single" w:sz="4" w:space="0" w:color="auto"/>
              <w:right w:val="single" w:sz="4" w:space="0" w:color="auto"/>
            </w:tcBorders>
            <w:shd w:val="clear" w:color="auto" w:fill="FABF8F"/>
            <w:tcMar>
              <w:top w:w="0" w:type="dxa"/>
              <w:left w:w="108" w:type="dxa"/>
              <w:bottom w:w="0" w:type="dxa"/>
              <w:right w:w="108" w:type="dxa"/>
            </w:tcMar>
            <w:vAlign w:val="bottom"/>
            <w:hideMark/>
          </w:tcPr>
          <w:p w:rsidR="000B0A08" w:rsidRPr="003410C7" w:rsidRDefault="000B0A08" w:rsidP="00AD69BD">
            <w:pPr>
              <w:jc w:val="center"/>
              <w:rPr>
                <w:rFonts w:cs="Tahoma"/>
                <w:b/>
                <w:bCs/>
                <w:szCs w:val="18"/>
              </w:rPr>
            </w:pPr>
            <w:r w:rsidRPr="003410C7">
              <w:rPr>
                <w:rFonts w:cs="Tahoma"/>
                <w:b/>
                <w:bCs/>
                <w:szCs w:val="18"/>
              </w:rPr>
              <w:t>Licenza Open</w:t>
            </w:r>
          </w:p>
        </w:tc>
      </w:tr>
      <w:tr w:rsidR="000B0A08" w:rsidRPr="003410C7" w:rsidTr="00AD69BD">
        <w:trPr>
          <w:trHeight w:val="255"/>
        </w:trPr>
        <w:tc>
          <w:tcPr>
            <w:tcW w:w="2910" w:type="dxa"/>
            <w:tcBorders>
              <w:top w:val="nil"/>
              <w:left w:val="single" w:sz="8" w:space="0" w:color="auto"/>
              <w:bottom w:val="single" w:sz="4" w:space="0" w:color="auto"/>
              <w:right w:val="single" w:sz="8" w:space="0" w:color="auto"/>
            </w:tcBorders>
            <w:noWrap/>
            <w:tcMar>
              <w:top w:w="0" w:type="dxa"/>
              <w:left w:w="108" w:type="dxa"/>
              <w:bottom w:w="0" w:type="dxa"/>
              <w:right w:w="108" w:type="dxa"/>
            </w:tcMar>
            <w:vAlign w:val="bottom"/>
            <w:hideMark/>
          </w:tcPr>
          <w:p w:rsidR="000B0A08" w:rsidRPr="003410C7" w:rsidRDefault="000B0A08" w:rsidP="00257298">
            <w:pPr>
              <w:rPr>
                <w:rFonts w:cs="Tahoma"/>
                <w:b/>
                <w:bCs/>
                <w:szCs w:val="18"/>
                <w:lang w:eastAsia="ja-JP"/>
              </w:rPr>
            </w:pPr>
            <w:r w:rsidRPr="003410C7">
              <w:rPr>
                <w:rFonts w:cs="Tahoma"/>
                <w:b/>
                <w:bCs/>
                <w:szCs w:val="18"/>
              </w:rPr>
              <w:t>Office Professional Plus 2013</w:t>
            </w:r>
          </w:p>
        </w:tc>
        <w:tc>
          <w:tcPr>
            <w:tcW w:w="1242"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0B0A08" w:rsidRPr="003410C7" w:rsidRDefault="000B0A08" w:rsidP="00AD69BD">
            <w:pPr>
              <w:jc w:val="center"/>
              <w:rPr>
                <w:rFonts w:eastAsia="MS PGothic" w:cs="Tahoma"/>
                <w:szCs w:val="18"/>
              </w:rPr>
            </w:pPr>
            <w:r w:rsidRPr="003410C7">
              <w:rPr>
                <w:rFonts w:cs="Tahoma"/>
                <w:szCs w:val="18"/>
              </w:rPr>
              <w:t> </w:t>
            </w:r>
          </w:p>
        </w:tc>
        <w:tc>
          <w:tcPr>
            <w:tcW w:w="1185" w:type="dxa"/>
            <w:gridSpan w:val="2"/>
            <w:tcBorders>
              <w:top w:val="nil"/>
              <w:left w:val="nil"/>
              <w:bottom w:val="single" w:sz="8" w:space="0" w:color="auto"/>
              <w:right w:val="single" w:sz="8" w:space="0" w:color="auto"/>
            </w:tcBorders>
          </w:tcPr>
          <w:p w:rsidR="000B0A08" w:rsidRPr="003410C7" w:rsidRDefault="000B0A08" w:rsidP="00AD69BD">
            <w:pPr>
              <w:jc w:val="center"/>
              <w:rPr>
                <w:rFonts w:eastAsia="MS PGothic" w:cs="Tahoma"/>
                <w:szCs w:val="18"/>
              </w:rPr>
            </w:pPr>
          </w:p>
        </w:tc>
        <w:tc>
          <w:tcPr>
            <w:tcW w:w="1424"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0B0A08" w:rsidRPr="003410C7" w:rsidRDefault="000B0A08" w:rsidP="00AD69BD">
            <w:pPr>
              <w:jc w:val="center"/>
              <w:rPr>
                <w:rFonts w:eastAsia="MS PGothic" w:cs="Tahoma"/>
                <w:szCs w:val="18"/>
              </w:rPr>
            </w:pPr>
            <w:r w:rsidRPr="003410C7">
              <w:rPr>
                <w:rFonts w:cs="Tahoma"/>
                <w:szCs w:val="18"/>
              </w:rPr>
              <w:t>x</w:t>
            </w:r>
          </w:p>
        </w:tc>
        <w:tc>
          <w:tcPr>
            <w:tcW w:w="1002"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0B0A08" w:rsidRPr="003410C7" w:rsidRDefault="000B0A08" w:rsidP="00AD69BD">
            <w:pPr>
              <w:jc w:val="center"/>
              <w:rPr>
                <w:rFonts w:eastAsia="MS PGothic" w:cs="Tahoma"/>
                <w:szCs w:val="18"/>
              </w:rPr>
            </w:pPr>
            <w:r w:rsidRPr="003410C7">
              <w:rPr>
                <w:rFonts w:cs="Tahoma"/>
                <w:szCs w:val="18"/>
              </w:rPr>
              <w:t>x</w:t>
            </w:r>
          </w:p>
        </w:tc>
      </w:tr>
      <w:tr w:rsidR="000B0A08" w:rsidRPr="003410C7" w:rsidTr="00AD69BD">
        <w:trPr>
          <w:trHeight w:val="255"/>
        </w:trPr>
        <w:tc>
          <w:tcPr>
            <w:tcW w:w="2910" w:type="dxa"/>
            <w:tcBorders>
              <w:top w:val="single" w:sz="4" w:space="0" w:color="auto"/>
              <w:left w:val="single" w:sz="4" w:space="0" w:color="auto"/>
              <w:bottom w:val="single" w:sz="4" w:space="0" w:color="auto"/>
              <w:right w:val="single" w:sz="4" w:space="0" w:color="auto"/>
            </w:tcBorders>
            <w:noWrap/>
            <w:tcMar>
              <w:top w:w="0" w:type="dxa"/>
              <w:left w:w="108" w:type="dxa"/>
              <w:bottom w:w="0" w:type="dxa"/>
              <w:right w:w="108" w:type="dxa"/>
            </w:tcMar>
            <w:vAlign w:val="bottom"/>
            <w:hideMark/>
          </w:tcPr>
          <w:p w:rsidR="000B0A08" w:rsidRPr="003410C7" w:rsidRDefault="000B0A08" w:rsidP="00257298">
            <w:pPr>
              <w:rPr>
                <w:rFonts w:cs="Tahoma"/>
                <w:b/>
                <w:bCs/>
                <w:szCs w:val="18"/>
                <w:lang w:eastAsia="ja-JP"/>
              </w:rPr>
            </w:pPr>
            <w:r w:rsidRPr="003410C7">
              <w:rPr>
                <w:rFonts w:cs="Tahoma"/>
                <w:b/>
                <w:bCs/>
                <w:szCs w:val="18"/>
              </w:rPr>
              <w:t>Office Professional Plus 2010</w:t>
            </w:r>
          </w:p>
        </w:tc>
        <w:tc>
          <w:tcPr>
            <w:tcW w:w="1242" w:type="dxa"/>
            <w:tcBorders>
              <w:top w:val="nil"/>
              <w:left w:val="single" w:sz="4" w:space="0" w:color="auto"/>
              <w:bottom w:val="single" w:sz="8" w:space="0" w:color="auto"/>
              <w:right w:val="single" w:sz="8" w:space="0" w:color="auto"/>
            </w:tcBorders>
            <w:noWrap/>
            <w:tcMar>
              <w:top w:w="0" w:type="dxa"/>
              <w:left w:w="108" w:type="dxa"/>
              <w:bottom w:w="0" w:type="dxa"/>
              <w:right w:w="108" w:type="dxa"/>
            </w:tcMar>
            <w:vAlign w:val="bottom"/>
            <w:hideMark/>
          </w:tcPr>
          <w:p w:rsidR="000B0A08" w:rsidRPr="003410C7" w:rsidRDefault="000B0A08" w:rsidP="00AD69BD">
            <w:pPr>
              <w:jc w:val="center"/>
              <w:rPr>
                <w:rFonts w:eastAsia="MS PGothic" w:cs="Tahoma"/>
                <w:szCs w:val="18"/>
              </w:rPr>
            </w:pPr>
            <w:r w:rsidRPr="003410C7">
              <w:rPr>
                <w:rFonts w:cs="Tahoma"/>
                <w:szCs w:val="18"/>
              </w:rPr>
              <w:t> </w:t>
            </w:r>
          </w:p>
        </w:tc>
        <w:tc>
          <w:tcPr>
            <w:tcW w:w="1185" w:type="dxa"/>
            <w:gridSpan w:val="2"/>
            <w:tcBorders>
              <w:top w:val="nil"/>
              <w:left w:val="nil"/>
              <w:bottom w:val="single" w:sz="8" w:space="0" w:color="auto"/>
              <w:right w:val="single" w:sz="8" w:space="0" w:color="auto"/>
            </w:tcBorders>
          </w:tcPr>
          <w:p w:rsidR="000B0A08" w:rsidRPr="003410C7" w:rsidRDefault="000B0A08" w:rsidP="00AD69BD">
            <w:pPr>
              <w:jc w:val="center"/>
              <w:rPr>
                <w:rFonts w:eastAsia="MS PGothic" w:cs="Tahoma"/>
                <w:szCs w:val="18"/>
              </w:rPr>
            </w:pPr>
          </w:p>
        </w:tc>
        <w:tc>
          <w:tcPr>
            <w:tcW w:w="1424"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0B0A08" w:rsidRPr="003410C7" w:rsidRDefault="000B0A08" w:rsidP="00AD69BD">
            <w:pPr>
              <w:jc w:val="center"/>
              <w:rPr>
                <w:rFonts w:eastAsia="MS PGothic" w:cs="Tahoma"/>
                <w:szCs w:val="18"/>
              </w:rPr>
            </w:pPr>
            <w:r w:rsidRPr="003410C7">
              <w:rPr>
                <w:rFonts w:cs="Tahoma"/>
                <w:szCs w:val="18"/>
              </w:rPr>
              <w:t>x</w:t>
            </w:r>
          </w:p>
        </w:tc>
        <w:tc>
          <w:tcPr>
            <w:tcW w:w="1002"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0B0A08" w:rsidRPr="003410C7" w:rsidRDefault="000B0A08" w:rsidP="00AD69BD">
            <w:pPr>
              <w:jc w:val="center"/>
              <w:rPr>
                <w:rFonts w:eastAsia="MS PGothic" w:cs="Tahoma"/>
                <w:szCs w:val="18"/>
              </w:rPr>
            </w:pPr>
            <w:r w:rsidRPr="003410C7">
              <w:rPr>
                <w:rFonts w:cs="Tahoma"/>
                <w:szCs w:val="18"/>
              </w:rPr>
              <w:t>x</w:t>
            </w:r>
          </w:p>
        </w:tc>
      </w:tr>
      <w:tr w:rsidR="000B0A08" w:rsidRPr="003410C7" w:rsidTr="00AD69BD">
        <w:trPr>
          <w:trHeight w:val="255"/>
        </w:trPr>
        <w:tc>
          <w:tcPr>
            <w:tcW w:w="2910" w:type="dxa"/>
            <w:tcBorders>
              <w:top w:val="single" w:sz="4" w:space="0" w:color="auto"/>
              <w:left w:val="single" w:sz="4" w:space="0" w:color="auto"/>
              <w:bottom w:val="single" w:sz="4" w:space="0" w:color="auto"/>
              <w:right w:val="single" w:sz="4" w:space="0" w:color="auto"/>
            </w:tcBorders>
            <w:noWrap/>
            <w:tcMar>
              <w:top w:w="0" w:type="dxa"/>
              <w:left w:w="108" w:type="dxa"/>
              <w:bottom w:w="0" w:type="dxa"/>
              <w:right w:w="108" w:type="dxa"/>
            </w:tcMar>
            <w:vAlign w:val="bottom"/>
            <w:hideMark/>
          </w:tcPr>
          <w:p w:rsidR="000B0A08" w:rsidRPr="003410C7" w:rsidRDefault="000B0A08" w:rsidP="00257298">
            <w:pPr>
              <w:rPr>
                <w:rFonts w:cs="Tahoma"/>
                <w:b/>
                <w:bCs/>
                <w:szCs w:val="18"/>
              </w:rPr>
            </w:pPr>
            <w:r w:rsidRPr="003410C7">
              <w:rPr>
                <w:rFonts w:cs="Tahoma"/>
                <w:b/>
                <w:bCs/>
                <w:szCs w:val="18"/>
              </w:rPr>
              <w:t>Office Personal 2013</w:t>
            </w:r>
          </w:p>
        </w:tc>
        <w:tc>
          <w:tcPr>
            <w:tcW w:w="1242" w:type="dxa"/>
            <w:tcBorders>
              <w:top w:val="nil"/>
              <w:left w:val="single" w:sz="4" w:space="0" w:color="auto"/>
              <w:bottom w:val="single" w:sz="8" w:space="0" w:color="auto"/>
              <w:right w:val="single" w:sz="8" w:space="0" w:color="auto"/>
            </w:tcBorders>
            <w:noWrap/>
            <w:tcMar>
              <w:top w:w="0" w:type="dxa"/>
              <w:left w:w="108" w:type="dxa"/>
              <w:bottom w:w="0" w:type="dxa"/>
              <w:right w:w="108" w:type="dxa"/>
            </w:tcMar>
            <w:vAlign w:val="bottom"/>
            <w:hideMark/>
          </w:tcPr>
          <w:p w:rsidR="000B0A08" w:rsidRPr="003410C7" w:rsidRDefault="000B0A08" w:rsidP="00AD69BD">
            <w:pPr>
              <w:rPr>
                <w:rFonts w:eastAsia="Times New Roman" w:cs="Tahoma"/>
                <w:szCs w:val="18"/>
              </w:rPr>
            </w:pPr>
          </w:p>
        </w:tc>
        <w:tc>
          <w:tcPr>
            <w:tcW w:w="1185" w:type="dxa"/>
            <w:gridSpan w:val="2"/>
            <w:tcBorders>
              <w:top w:val="nil"/>
              <w:left w:val="nil"/>
              <w:bottom w:val="single" w:sz="8" w:space="0" w:color="auto"/>
              <w:right w:val="single" w:sz="8" w:space="0" w:color="auto"/>
            </w:tcBorders>
            <w:vAlign w:val="bottom"/>
            <w:hideMark/>
          </w:tcPr>
          <w:p w:rsidR="000B0A08" w:rsidRPr="003410C7" w:rsidRDefault="000B0A08" w:rsidP="00AD69BD">
            <w:pPr>
              <w:jc w:val="center"/>
              <w:rPr>
                <w:rFonts w:eastAsia="MS PGothic" w:cs="Tahoma"/>
                <w:color w:val="000000"/>
                <w:szCs w:val="18"/>
              </w:rPr>
            </w:pPr>
            <w:r w:rsidRPr="003410C7">
              <w:rPr>
                <w:rFonts w:cs="Tahoma"/>
                <w:szCs w:val="18"/>
              </w:rPr>
              <w:t>x</w:t>
            </w:r>
          </w:p>
        </w:tc>
        <w:tc>
          <w:tcPr>
            <w:tcW w:w="1424"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0B0A08" w:rsidRPr="003410C7" w:rsidRDefault="000B0A08" w:rsidP="00AD69BD">
            <w:pPr>
              <w:rPr>
                <w:rFonts w:eastAsia="Times New Roman" w:cs="Tahoma"/>
                <w:szCs w:val="18"/>
              </w:rPr>
            </w:pPr>
          </w:p>
        </w:tc>
        <w:tc>
          <w:tcPr>
            <w:tcW w:w="1002"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0B0A08" w:rsidRPr="003410C7" w:rsidRDefault="000B0A08" w:rsidP="00AD69BD">
            <w:pPr>
              <w:rPr>
                <w:rFonts w:eastAsia="Times New Roman" w:cs="Tahoma"/>
                <w:szCs w:val="18"/>
              </w:rPr>
            </w:pPr>
          </w:p>
        </w:tc>
      </w:tr>
      <w:tr w:rsidR="000B0A08" w:rsidRPr="003410C7" w:rsidTr="00AD69BD">
        <w:trPr>
          <w:trHeight w:val="255"/>
        </w:trPr>
        <w:tc>
          <w:tcPr>
            <w:tcW w:w="2910" w:type="dxa"/>
            <w:tcBorders>
              <w:top w:val="single" w:sz="4" w:space="0" w:color="auto"/>
              <w:left w:val="single" w:sz="4" w:space="0" w:color="auto"/>
              <w:bottom w:val="single" w:sz="4" w:space="0" w:color="auto"/>
              <w:right w:val="single" w:sz="4" w:space="0" w:color="auto"/>
            </w:tcBorders>
            <w:noWrap/>
            <w:tcMar>
              <w:top w:w="0" w:type="dxa"/>
              <w:left w:w="108" w:type="dxa"/>
              <w:bottom w:w="0" w:type="dxa"/>
              <w:right w:w="108" w:type="dxa"/>
            </w:tcMar>
            <w:vAlign w:val="bottom"/>
            <w:hideMark/>
          </w:tcPr>
          <w:p w:rsidR="000B0A08" w:rsidRPr="003410C7" w:rsidRDefault="000B0A08" w:rsidP="00257298">
            <w:pPr>
              <w:rPr>
                <w:rFonts w:cs="Tahoma"/>
                <w:b/>
                <w:bCs/>
                <w:szCs w:val="18"/>
              </w:rPr>
            </w:pPr>
            <w:r w:rsidRPr="003410C7">
              <w:rPr>
                <w:rFonts w:cs="Tahoma"/>
                <w:b/>
                <w:bCs/>
                <w:szCs w:val="18"/>
              </w:rPr>
              <w:t>Office Home &amp; Business 2013</w:t>
            </w:r>
          </w:p>
        </w:tc>
        <w:tc>
          <w:tcPr>
            <w:tcW w:w="1242" w:type="dxa"/>
            <w:tcBorders>
              <w:top w:val="nil"/>
              <w:left w:val="single" w:sz="4" w:space="0" w:color="auto"/>
              <w:bottom w:val="single" w:sz="8" w:space="0" w:color="auto"/>
              <w:right w:val="single" w:sz="8" w:space="0" w:color="auto"/>
            </w:tcBorders>
            <w:noWrap/>
            <w:tcMar>
              <w:top w:w="0" w:type="dxa"/>
              <w:left w:w="108" w:type="dxa"/>
              <w:bottom w:w="0" w:type="dxa"/>
              <w:right w:w="108" w:type="dxa"/>
            </w:tcMar>
            <w:vAlign w:val="bottom"/>
            <w:hideMark/>
          </w:tcPr>
          <w:p w:rsidR="000B0A08" w:rsidRPr="003410C7" w:rsidRDefault="000B0A08" w:rsidP="00AD69BD">
            <w:pPr>
              <w:rPr>
                <w:rFonts w:eastAsia="Times New Roman" w:cs="Tahoma"/>
                <w:szCs w:val="18"/>
              </w:rPr>
            </w:pPr>
          </w:p>
        </w:tc>
        <w:tc>
          <w:tcPr>
            <w:tcW w:w="1185" w:type="dxa"/>
            <w:gridSpan w:val="2"/>
            <w:tcBorders>
              <w:top w:val="nil"/>
              <w:left w:val="nil"/>
              <w:bottom w:val="single" w:sz="8" w:space="0" w:color="auto"/>
              <w:right w:val="single" w:sz="8" w:space="0" w:color="auto"/>
            </w:tcBorders>
            <w:vAlign w:val="bottom"/>
            <w:hideMark/>
          </w:tcPr>
          <w:p w:rsidR="000B0A08" w:rsidRPr="003410C7" w:rsidRDefault="000B0A08" w:rsidP="00AD69BD">
            <w:pPr>
              <w:jc w:val="center"/>
              <w:rPr>
                <w:rFonts w:eastAsia="MS PGothic" w:cs="Tahoma"/>
                <w:color w:val="000000"/>
                <w:szCs w:val="18"/>
              </w:rPr>
            </w:pPr>
            <w:r w:rsidRPr="003410C7">
              <w:rPr>
                <w:rFonts w:cs="Tahoma"/>
                <w:szCs w:val="18"/>
              </w:rPr>
              <w:t>x</w:t>
            </w:r>
          </w:p>
        </w:tc>
        <w:tc>
          <w:tcPr>
            <w:tcW w:w="1424"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0B0A08" w:rsidRPr="003410C7" w:rsidRDefault="000B0A08" w:rsidP="00AD69BD">
            <w:pPr>
              <w:rPr>
                <w:rFonts w:eastAsia="Times New Roman" w:cs="Tahoma"/>
                <w:szCs w:val="18"/>
              </w:rPr>
            </w:pPr>
          </w:p>
        </w:tc>
        <w:tc>
          <w:tcPr>
            <w:tcW w:w="1002"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0B0A08" w:rsidRPr="003410C7" w:rsidRDefault="000B0A08" w:rsidP="00AD69BD">
            <w:pPr>
              <w:rPr>
                <w:rFonts w:eastAsia="Times New Roman" w:cs="Tahoma"/>
                <w:szCs w:val="18"/>
              </w:rPr>
            </w:pPr>
          </w:p>
        </w:tc>
      </w:tr>
      <w:tr w:rsidR="000B0A08" w:rsidRPr="003410C7" w:rsidTr="00AD69BD">
        <w:trPr>
          <w:trHeight w:val="255"/>
        </w:trPr>
        <w:tc>
          <w:tcPr>
            <w:tcW w:w="2910" w:type="dxa"/>
            <w:tcBorders>
              <w:top w:val="single" w:sz="4" w:space="0" w:color="auto"/>
              <w:left w:val="single" w:sz="4" w:space="0" w:color="auto"/>
              <w:bottom w:val="single" w:sz="4" w:space="0" w:color="auto"/>
              <w:right w:val="single" w:sz="4" w:space="0" w:color="auto"/>
            </w:tcBorders>
            <w:noWrap/>
            <w:tcMar>
              <w:top w:w="0" w:type="dxa"/>
              <w:left w:w="108" w:type="dxa"/>
              <w:bottom w:w="0" w:type="dxa"/>
              <w:right w:w="108" w:type="dxa"/>
            </w:tcMar>
            <w:vAlign w:val="bottom"/>
            <w:hideMark/>
          </w:tcPr>
          <w:p w:rsidR="000B0A08" w:rsidRPr="003410C7" w:rsidRDefault="000B0A08" w:rsidP="00257298">
            <w:pPr>
              <w:rPr>
                <w:rFonts w:cs="Tahoma"/>
                <w:b/>
                <w:bCs/>
                <w:szCs w:val="18"/>
              </w:rPr>
            </w:pPr>
            <w:r w:rsidRPr="003410C7">
              <w:rPr>
                <w:rFonts w:cs="Tahoma"/>
                <w:b/>
                <w:bCs/>
                <w:szCs w:val="18"/>
              </w:rPr>
              <w:t>Office Professional 2013</w:t>
            </w:r>
          </w:p>
        </w:tc>
        <w:tc>
          <w:tcPr>
            <w:tcW w:w="1242" w:type="dxa"/>
            <w:tcBorders>
              <w:top w:val="nil"/>
              <w:left w:val="single" w:sz="4" w:space="0" w:color="auto"/>
              <w:bottom w:val="single" w:sz="8" w:space="0" w:color="auto"/>
              <w:right w:val="single" w:sz="8" w:space="0" w:color="auto"/>
            </w:tcBorders>
            <w:noWrap/>
            <w:tcMar>
              <w:top w:w="0" w:type="dxa"/>
              <w:left w:w="108" w:type="dxa"/>
              <w:bottom w:w="0" w:type="dxa"/>
              <w:right w:w="108" w:type="dxa"/>
            </w:tcMar>
            <w:vAlign w:val="bottom"/>
            <w:hideMark/>
          </w:tcPr>
          <w:p w:rsidR="000B0A08" w:rsidRPr="003410C7" w:rsidRDefault="000B0A08" w:rsidP="00AD69BD">
            <w:pPr>
              <w:rPr>
                <w:rFonts w:eastAsia="Times New Roman" w:cs="Tahoma"/>
                <w:szCs w:val="18"/>
              </w:rPr>
            </w:pPr>
          </w:p>
        </w:tc>
        <w:tc>
          <w:tcPr>
            <w:tcW w:w="1185" w:type="dxa"/>
            <w:gridSpan w:val="2"/>
            <w:tcBorders>
              <w:top w:val="nil"/>
              <w:left w:val="nil"/>
              <w:bottom w:val="single" w:sz="8" w:space="0" w:color="auto"/>
              <w:right w:val="single" w:sz="8" w:space="0" w:color="auto"/>
            </w:tcBorders>
            <w:vAlign w:val="bottom"/>
            <w:hideMark/>
          </w:tcPr>
          <w:p w:rsidR="000B0A08" w:rsidRPr="003410C7" w:rsidRDefault="000B0A08" w:rsidP="00AD69BD">
            <w:pPr>
              <w:jc w:val="center"/>
              <w:rPr>
                <w:rFonts w:eastAsia="MS PGothic" w:cs="Tahoma"/>
                <w:color w:val="FF0000"/>
                <w:szCs w:val="18"/>
              </w:rPr>
            </w:pPr>
            <w:r w:rsidRPr="003410C7">
              <w:rPr>
                <w:rFonts w:cs="Tahoma"/>
                <w:szCs w:val="18"/>
              </w:rPr>
              <w:t>x</w:t>
            </w:r>
          </w:p>
        </w:tc>
        <w:tc>
          <w:tcPr>
            <w:tcW w:w="1424"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0B0A08" w:rsidRPr="003410C7" w:rsidRDefault="000B0A08" w:rsidP="00AD69BD">
            <w:pPr>
              <w:rPr>
                <w:rFonts w:eastAsia="Times New Roman" w:cs="Tahoma"/>
                <w:szCs w:val="18"/>
              </w:rPr>
            </w:pPr>
          </w:p>
        </w:tc>
        <w:tc>
          <w:tcPr>
            <w:tcW w:w="1002"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0B0A08" w:rsidRPr="003410C7" w:rsidRDefault="000B0A08" w:rsidP="00AD69BD">
            <w:pPr>
              <w:rPr>
                <w:rFonts w:eastAsia="Times New Roman" w:cs="Tahoma"/>
                <w:szCs w:val="18"/>
              </w:rPr>
            </w:pPr>
          </w:p>
        </w:tc>
      </w:tr>
    </w:tbl>
    <w:p w:rsidR="000B0A08" w:rsidRPr="00451078" w:rsidRDefault="000B0A08" w:rsidP="005C382A">
      <w:pPr>
        <w:ind w:left="720"/>
        <w:rPr>
          <w:lang w:val="it-IT"/>
        </w:rPr>
      </w:pPr>
      <w:r w:rsidRPr="00451078">
        <w:rPr>
          <w:rFonts w:cs="Tahoma"/>
          <w:color w:val="000000"/>
          <w:szCs w:val="18"/>
          <w:lang w:val="it-IT"/>
        </w:rPr>
        <w:lastRenderedPageBreak/>
        <w:t>Le società che acquistano la licenza relativa ai diritti di noleggio in aggiunta alla licenza per l</w:t>
      </w:r>
      <w:r w:rsidR="004525CA">
        <w:rPr>
          <w:rFonts w:cs="Tahoma"/>
          <w:color w:val="000000"/>
          <w:szCs w:val="18"/>
          <w:lang w:val="it-IT"/>
        </w:rPr>
        <w:t>’</w:t>
      </w:r>
      <w:r w:rsidRPr="00451078">
        <w:rPr>
          <w:rFonts w:cs="Tahoma"/>
          <w:color w:val="000000"/>
          <w:szCs w:val="18"/>
          <w:lang w:val="it-IT"/>
        </w:rPr>
        <w:t>applicazione qualificante beneficeranno di un</w:t>
      </w:r>
      <w:r w:rsidR="004525CA">
        <w:rPr>
          <w:rFonts w:cs="Tahoma"/>
          <w:color w:val="000000"/>
          <w:szCs w:val="18"/>
          <w:lang w:val="it-IT"/>
        </w:rPr>
        <w:t>’</w:t>
      </w:r>
      <w:r w:rsidRPr="00451078">
        <w:rPr>
          <w:rFonts w:cs="Tahoma"/>
          <w:color w:val="000000"/>
          <w:szCs w:val="18"/>
          <w:lang w:val="it-IT"/>
        </w:rPr>
        <w:t>estensione dei diritti contemplati dalla licenza dell</w:t>
      </w:r>
      <w:r w:rsidR="004525CA">
        <w:rPr>
          <w:rFonts w:cs="Tahoma"/>
          <w:color w:val="000000"/>
          <w:szCs w:val="18"/>
          <w:lang w:val="it-IT"/>
        </w:rPr>
        <w:t>’</w:t>
      </w:r>
      <w:r w:rsidRPr="00451078">
        <w:rPr>
          <w:rFonts w:cs="Tahoma"/>
          <w:color w:val="000000"/>
          <w:szCs w:val="18"/>
          <w:lang w:val="it-IT"/>
        </w:rPr>
        <w:t>applicazione qualificante per consentire l</w:t>
      </w:r>
      <w:r w:rsidR="004525CA">
        <w:rPr>
          <w:rFonts w:cs="Tahoma"/>
          <w:color w:val="000000"/>
          <w:szCs w:val="18"/>
          <w:lang w:val="it-IT"/>
        </w:rPr>
        <w:t>’</w:t>
      </w:r>
      <w:r w:rsidRPr="00451078">
        <w:rPr>
          <w:rFonts w:cs="Tahoma"/>
          <w:color w:val="000000"/>
          <w:szCs w:val="18"/>
          <w:lang w:val="it-IT"/>
        </w:rPr>
        <w:t>utilizzo da parte di terzi dello stesso software. La licenza di noleggio non è una licenza step-up per una versione superiore del prodotto.</w:t>
      </w:r>
    </w:p>
    <w:p w:rsidR="00223A77" w:rsidRPr="00451078" w:rsidRDefault="00223A77" w:rsidP="005C382A">
      <w:pPr>
        <w:ind w:left="720"/>
        <w:rPr>
          <w:lang w:val="it-IT"/>
        </w:rPr>
      </w:pPr>
    </w:p>
    <w:p w:rsidR="00223A77" w:rsidRPr="00451078" w:rsidRDefault="00223A77" w:rsidP="00864B8A">
      <w:pPr>
        <w:spacing w:after="60"/>
        <w:ind w:left="720"/>
        <w:rPr>
          <w:lang w:val="it-IT"/>
        </w:rPr>
      </w:pPr>
      <w:r w:rsidRPr="00451078">
        <w:rPr>
          <w:rFonts w:cs="Tahoma"/>
          <w:b/>
          <w:lang w:val="it-IT"/>
        </w:rPr>
        <w:t>Eccezione per Software Assurance</w:t>
      </w:r>
    </w:p>
    <w:p w:rsidR="009504CA" w:rsidRPr="00451078" w:rsidRDefault="00223A77" w:rsidP="005C382A">
      <w:pPr>
        <w:ind w:left="720"/>
        <w:rPr>
          <w:lang w:val="it-IT"/>
        </w:rPr>
      </w:pPr>
      <w:r w:rsidRPr="00451078">
        <w:rPr>
          <w:rFonts w:cs="Tahoma"/>
          <w:color w:val="000000"/>
          <w:szCs w:val="18"/>
          <w:lang w:val="it-IT"/>
        </w:rPr>
        <w:t>Le società che acquistano licenze per i diritti di noleggio non sono idonee a ricevere Software Assurance per le licenze per i diritti di noleggio, né per le licenze software qualificanti sottostanti.</w:t>
      </w:r>
    </w:p>
    <w:p w:rsidR="00980240" w:rsidRPr="00451078" w:rsidRDefault="00980240" w:rsidP="00980240">
      <w:pPr>
        <w:rPr>
          <w:lang w:val="it-IT"/>
        </w:rPr>
      </w:pPr>
    </w:p>
    <w:p w:rsidR="00980240" w:rsidRPr="00451078" w:rsidRDefault="00980240" w:rsidP="00980240">
      <w:pPr>
        <w:rPr>
          <w:lang w:val="it-IT"/>
        </w:rPr>
      </w:pPr>
    </w:p>
    <w:p w:rsidR="005F584F" w:rsidRPr="00451078" w:rsidRDefault="005F584F" w:rsidP="005F584F">
      <w:pPr>
        <w:pStyle w:val="Heading3"/>
        <w:rPr>
          <w:lang w:val="it-IT"/>
        </w:rPr>
      </w:pPr>
      <w:bookmarkStart w:id="1074" w:name="_15_Visio_Professional"/>
      <w:bookmarkStart w:id="1075" w:name="_Toc352234866"/>
      <w:bookmarkEnd w:id="1074"/>
      <w:r w:rsidRPr="00451078">
        <w:rPr>
          <w:rFonts w:ascii="Tahoma" w:hAnsi="Tahoma" w:cs="Tahoma"/>
          <w:caps/>
          <w:color w:val="EE6000"/>
          <w:sz w:val="22"/>
          <w:szCs w:val="18"/>
          <w:vertAlign w:val="superscript"/>
          <w:lang w:val="it-IT"/>
        </w:rPr>
        <w:t>15</w:t>
      </w:r>
      <w:r w:rsidRPr="00451078">
        <w:rPr>
          <w:rFonts w:ascii="Tahoma" w:hAnsi="Tahoma" w:cs="Tahoma"/>
          <w:caps/>
          <w:color w:val="EE6000"/>
          <w:sz w:val="22"/>
          <w:szCs w:val="18"/>
          <w:lang w:val="it-IT"/>
        </w:rPr>
        <w:t xml:space="preserve"> </w:t>
      </w:r>
      <w:r w:rsidRPr="00451078">
        <w:rPr>
          <w:rFonts w:ascii="Tahoma" w:hAnsi="Tahoma"/>
          <w:color w:val="F66400"/>
          <w:sz w:val="22"/>
          <w:lang w:val="it-IT"/>
        </w:rPr>
        <w:t>Vexcel Desktop con Enhanced Content Pack</w:t>
      </w:r>
      <w:bookmarkEnd w:id="1075"/>
    </w:p>
    <w:p w:rsidR="005F584F" w:rsidRPr="00451078" w:rsidRDefault="005F584F" w:rsidP="005F584F">
      <w:pPr>
        <w:rPr>
          <w:lang w:val="it-IT"/>
        </w:rPr>
      </w:pPr>
    </w:p>
    <w:p w:rsidR="005F584F" w:rsidRPr="00451078" w:rsidRDefault="005F584F" w:rsidP="007F574F">
      <w:pPr>
        <w:spacing w:after="60"/>
        <w:ind w:left="720"/>
        <w:rPr>
          <w:lang w:val="it-IT"/>
        </w:rPr>
      </w:pPr>
      <w:r w:rsidRPr="00451078">
        <w:rPr>
          <w:b/>
          <w:lang w:val="it-IT"/>
        </w:rPr>
        <w:t>Servizi di Compilazione Necessari</w:t>
      </w:r>
      <w:r w:rsidR="001A3EC5" w:rsidRPr="00451078">
        <w:rPr>
          <w:b/>
          <w:lang w:val="it-IT"/>
        </w:rPr>
        <w:t xml:space="preserve"> </w:t>
      </w:r>
    </w:p>
    <w:p w:rsidR="005F584F" w:rsidRPr="00451078" w:rsidRDefault="005F584F" w:rsidP="007F574F">
      <w:pPr>
        <w:ind w:left="720"/>
        <w:rPr>
          <w:lang w:val="it-IT"/>
        </w:rPr>
      </w:pPr>
      <w:r w:rsidRPr="00451078">
        <w:rPr>
          <w:szCs w:val="18"/>
          <w:lang w:val="it-IT"/>
        </w:rPr>
        <w:t>Vexcel Desktop con Enhanced Content Pack richiede i servizi di compilazione del sistema di Vexcel, filiale</w:t>
      </w:r>
      <w:r w:rsidR="00B62DEE" w:rsidRPr="00451078">
        <w:rPr>
          <w:szCs w:val="18"/>
          <w:lang w:val="it-IT"/>
        </w:rPr>
        <w:t> </w:t>
      </w:r>
      <w:r w:rsidRPr="00451078">
        <w:rPr>
          <w:szCs w:val="18"/>
          <w:lang w:val="it-IT"/>
        </w:rPr>
        <w:t>geospaziale di Microsoft.</w:t>
      </w:r>
      <w:r w:rsidR="00082E1C" w:rsidRPr="00451078">
        <w:rPr>
          <w:szCs w:val="18"/>
          <w:lang w:val="it-IT"/>
        </w:rPr>
        <w:t xml:space="preserve"> </w:t>
      </w:r>
      <w:r w:rsidRPr="00451078">
        <w:rPr>
          <w:szCs w:val="18"/>
          <w:lang w:val="it-IT"/>
        </w:rPr>
        <w:t>Servizi aggiuntivi di formazione, supporto e manutenzione sono disponibili, ma</w:t>
      </w:r>
      <w:r w:rsidR="00B62DEE" w:rsidRPr="00451078">
        <w:rPr>
          <w:szCs w:val="18"/>
          <w:lang w:val="it-IT"/>
        </w:rPr>
        <w:t> </w:t>
      </w:r>
      <w:r w:rsidRPr="00451078">
        <w:rPr>
          <w:szCs w:val="18"/>
          <w:lang w:val="it-IT"/>
        </w:rPr>
        <w:t>non</w:t>
      </w:r>
      <w:r w:rsidR="00B62DEE" w:rsidRPr="00451078">
        <w:rPr>
          <w:szCs w:val="18"/>
          <w:lang w:val="it-IT"/>
        </w:rPr>
        <w:t> </w:t>
      </w:r>
      <w:r w:rsidRPr="00451078">
        <w:rPr>
          <w:szCs w:val="18"/>
          <w:lang w:val="it-IT"/>
        </w:rPr>
        <w:t xml:space="preserve">necessari. Per ulteriori informazioni, visitare il sito </w:t>
      </w:r>
      <w:hyperlink r:id="rId42" w:history="1">
        <w:r w:rsidRPr="00451078">
          <w:rPr>
            <w:rStyle w:val="Hyperlink"/>
            <w:rFonts w:cs="Tahoma"/>
            <w:szCs w:val="18"/>
            <w:lang w:val="it-IT"/>
          </w:rPr>
          <w:t>http://www.vexcel.com/geospatial/bingmapsserver/index.asp</w:t>
        </w:r>
      </w:hyperlink>
    </w:p>
    <w:p w:rsidR="005F584F" w:rsidRPr="00451078" w:rsidRDefault="005F584F" w:rsidP="007F574F">
      <w:pPr>
        <w:ind w:left="720"/>
        <w:rPr>
          <w:lang w:val="it-IT"/>
        </w:rPr>
      </w:pPr>
    </w:p>
    <w:p w:rsidR="005F584F" w:rsidRDefault="005F584F" w:rsidP="007E466C">
      <w:pPr>
        <w:rPr>
          <w:lang w:val="it-IT"/>
        </w:rPr>
      </w:pPr>
    </w:p>
    <w:p w:rsidR="0067256D" w:rsidRPr="00451078" w:rsidRDefault="0067256D" w:rsidP="007E466C">
      <w:pPr>
        <w:rPr>
          <w:lang w:val="it-IT"/>
        </w:rPr>
      </w:pPr>
    </w:p>
    <w:p w:rsidR="00257298" w:rsidRPr="00451078" w:rsidRDefault="00257298" w:rsidP="005C382A">
      <w:pPr>
        <w:pStyle w:val="Heading3"/>
        <w:rPr>
          <w:lang w:val="it-IT"/>
        </w:rPr>
      </w:pPr>
      <w:bookmarkStart w:id="1076" w:name="_Toc352234867"/>
      <w:r w:rsidRPr="00451078">
        <w:rPr>
          <w:rFonts w:ascii="Tahoma" w:hAnsi="Tahoma"/>
          <w:caps/>
          <w:color w:val="F66400"/>
          <w:sz w:val="22"/>
          <w:vertAlign w:val="superscript"/>
          <w:lang w:val="it-IT"/>
        </w:rPr>
        <w:t>16</w:t>
      </w:r>
      <w:r w:rsidRPr="00451078">
        <w:rPr>
          <w:rFonts w:ascii="Tahoma" w:hAnsi="Tahoma"/>
          <w:color w:val="F66400"/>
          <w:sz w:val="22"/>
          <w:lang w:val="it-IT"/>
        </w:rPr>
        <w:t xml:space="preserve"> Visio Professional 2013</w:t>
      </w:r>
      <w:bookmarkEnd w:id="1076"/>
    </w:p>
    <w:p w:rsidR="005C382A" w:rsidRPr="00451078" w:rsidRDefault="005C382A" w:rsidP="005C382A">
      <w:pPr>
        <w:rPr>
          <w:lang w:val="it-IT"/>
        </w:rPr>
      </w:pPr>
    </w:p>
    <w:p w:rsidR="00257298" w:rsidRPr="00451078" w:rsidRDefault="00257298" w:rsidP="00864B8A">
      <w:pPr>
        <w:spacing w:after="60"/>
        <w:ind w:left="720"/>
        <w:rPr>
          <w:lang w:val="it-IT"/>
        </w:rPr>
      </w:pPr>
      <w:r w:rsidRPr="00451078">
        <w:rPr>
          <w:rFonts w:cs="Tahoma"/>
          <w:b/>
          <w:lang w:val="it-IT"/>
        </w:rPr>
        <w:t xml:space="preserve">Percorso di Migrazione di Software Assurance per </w:t>
      </w:r>
      <w:bookmarkStart w:id="1077" w:name="Srv_11VisioPremium2010"/>
      <w:bookmarkStart w:id="1078" w:name="Aps_11VisioPremium2010"/>
      <w:bookmarkStart w:id="1079" w:name="_Toc336338274"/>
      <w:bookmarkStart w:id="1080" w:name="Srv_VisioPremium2010"/>
      <w:r w:rsidRPr="00451078">
        <w:rPr>
          <w:rFonts w:cs="Tahoma"/>
          <w:b/>
          <w:lang w:val="it-IT"/>
        </w:rPr>
        <w:t>Visio Premium 2010</w:t>
      </w:r>
      <w:bookmarkEnd w:id="1077"/>
      <w:bookmarkEnd w:id="1078"/>
      <w:bookmarkEnd w:id="1079"/>
    </w:p>
    <w:bookmarkEnd w:id="1080"/>
    <w:p w:rsidR="00257298" w:rsidRPr="00451078" w:rsidRDefault="00257298" w:rsidP="005C382A">
      <w:pPr>
        <w:pStyle w:val="FootnoteBulletLevel1"/>
        <w:spacing w:before="0" w:after="0"/>
        <w:ind w:left="720" w:firstLine="0"/>
        <w:rPr>
          <w:lang w:val="it-IT"/>
        </w:rPr>
      </w:pPr>
      <w:r w:rsidRPr="00451078">
        <w:rPr>
          <w:rFonts w:ascii="Tahoma" w:hAnsi="Tahoma" w:cs="Tahoma"/>
          <w:sz w:val="18"/>
          <w:lang w:val="it-IT"/>
        </w:rPr>
        <w:t>Le società con una copertura Software Assurance attiva per Visio Premium 2010 alla data di disponibilità del download di Visio Professional 2013 sono idonee a utilizzare Visio Professional 2013 anziché Visio Premium 2010. Il diritto di utilizzo di Visio Professional 2013 ai sensi di tale offerta cesserà alla cessazione dei diritti di utilizzo di Visio Premium 2010 ai sensi della relativa licenza qualificante.</w:t>
      </w:r>
      <w:r w:rsidR="00082E1C" w:rsidRPr="00451078">
        <w:rPr>
          <w:rFonts w:ascii="Tahoma" w:hAnsi="Tahoma" w:cs="Tahoma"/>
          <w:sz w:val="18"/>
          <w:lang w:val="it-IT"/>
        </w:rPr>
        <w:t xml:space="preserve"> </w:t>
      </w:r>
      <w:r w:rsidRPr="00451078">
        <w:rPr>
          <w:rFonts w:ascii="Tahoma" w:hAnsi="Tahoma" w:cs="Tahoma"/>
          <w:sz w:val="18"/>
          <w:lang w:val="it-IT"/>
        </w:rPr>
        <w:t>L</w:t>
      </w:r>
      <w:r w:rsidR="004525CA">
        <w:rPr>
          <w:rFonts w:ascii="Tahoma" w:hAnsi="Tahoma" w:cs="Tahoma"/>
          <w:sz w:val="18"/>
          <w:lang w:val="it-IT"/>
        </w:rPr>
        <w:t>’</w:t>
      </w:r>
      <w:r w:rsidRPr="00451078">
        <w:rPr>
          <w:rFonts w:ascii="Tahoma" w:hAnsi="Tahoma" w:cs="Tahoma"/>
          <w:sz w:val="18"/>
          <w:lang w:val="it-IT"/>
        </w:rPr>
        <w:t>utilizzo di Visio Professional 2013 è disciplinato dai diritti sull</w:t>
      </w:r>
      <w:r w:rsidR="004525CA">
        <w:rPr>
          <w:rFonts w:ascii="Tahoma" w:hAnsi="Tahoma" w:cs="Tahoma"/>
          <w:sz w:val="18"/>
          <w:lang w:val="it-IT"/>
        </w:rPr>
        <w:t>’</w:t>
      </w:r>
      <w:r w:rsidRPr="00451078">
        <w:rPr>
          <w:rFonts w:ascii="Tahoma" w:hAnsi="Tahoma" w:cs="Tahoma"/>
          <w:sz w:val="18"/>
          <w:lang w:val="it-IT"/>
        </w:rPr>
        <w:t>utilizzo di Visio Professional 2013 e dalle condizioni del Contratto Multilicenza della società.</w:t>
      </w:r>
      <w:r w:rsidR="00082E1C" w:rsidRPr="00451078">
        <w:rPr>
          <w:rFonts w:ascii="Tahoma" w:hAnsi="Tahoma" w:cs="Tahoma"/>
          <w:sz w:val="18"/>
          <w:lang w:val="it-IT"/>
        </w:rPr>
        <w:t xml:space="preserve"> </w:t>
      </w:r>
      <w:r w:rsidRPr="00451078">
        <w:rPr>
          <w:rFonts w:ascii="Tahoma" w:hAnsi="Tahoma" w:cs="Tahoma"/>
          <w:sz w:val="18"/>
          <w:lang w:val="it-IT"/>
        </w:rPr>
        <w:t>La presente nota relativa alle condizioni del prodotto e la prova da parte della società della corrispondente licenza qualificante costituiscono insieme la prova del diritto di utilizzo di Visio Professional 2013 ai sensi della presente offerta.</w:t>
      </w:r>
      <w:r w:rsidR="00082E1C" w:rsidRPr="00451078">
        <w:rPr>
          <w:rFonts w:ascii="Tahoma" w:hAnsi="Tahoma" w:cs="Tahoma"/>
          <w:sz w:val="18"/>
          <w:lang w:val="it-IT"/>
        </w:rPr>
        <w:t xml:space="preserve"> </w:t>
      </w:r>
      <w:r w:rsidRPr="00451078">
        <w:rPr>
          <w:rFonts w:ascii="Tahoma" w:hAnsi="Tahoma" w:cs="Tahoma"/>
          <w:sz w:val="18"/>
          <w:lang w:val="it-IT"/>
        </w:rPr>
        <w:t>Alla scadenza della copertura Software Assurance per Visio Premium 2010, la società potrà acquistare Software Assurance per Visio Professional 2013 senza dover acquistare separatamente una nuova licenza.</w:t>
      </w:r>
    </w:p>
    <w:p w:rsidR="005C382A" w:rsidRPr="00451078" w:rsidRDefault="005C382A" w:rsidP="005C382A">
      <w:pPr>
        <w:pStyle w:val="FootnoteBulletLevel1"/>
        <w:spacing w:before="0" w:after="0"/>
        <w:ind w:left="720" w:firstLine="0"/>
        <w:rPr>
          <w:lang w:val="it-IT"/>
        </w:rPr>
      </w:pPr>
    </w:p>
    <w:p w:rsidR="00DF3CEE" w:rsidRPr="00451078" w:rsidRDefault="00DF3CEE" w:rsidP="00864B8A">
      <w:pPr>
        <w:spacing w:after="60"/>
        <w:ind w:left="720"/>
        <w:rPr>
          <w:lang w:val="it-IT"/>
        </w:rPr>
      </w:pPr>
      <w:r w:rsidRPr="00451078">
        <w:rPr>
          <w:rFonts w:cs="Tahoma"/>
          <w:b/>
          <w:lang w:val="it-IT"/>
        </w:rPr>
        <w:t>Diritti di Downgrade per Visio Professional 2013</w:t>
      </w:r>
    </w:p>
    <w:p w:rsidR="00DF3CEE" w:rsidRPr="00451078" w:rsidRDefault="00DF3CEE" w:rsidP="005C382A">
      <w:pPr>
        <w:pStyle w:val="FootnoteBulletLevel1"/>
        <w:spacing w:before="0" w:after="0"/>
        <w:ind w:left="720" w:firstLine="0"/>
        <w:rPr>
          <w:lang w:val="it-IT"/>
        </w:rPr>
      </w:pPr>
      <w:r w:rsidRPr="00451078">
        <w:rPr>
          <w:rFonts w:ascii="Tahoma" w:hAnsi="Tahoma" w:cs="Tahoma"/>
          <w:sz w:val="18"/>
          <w:lang w:val="it-IT"/>
        </w:rPr>
        <w:t>Le società con Software Assurance che hanno distribuito solo Visio Premium 2010 (ad esempio quelle che non utilizzano altre edizioni di Visio nella loro organizzazione) e necessitano di ulteriori postazioni di Visio Premium 2010 potranno acquistare licenze per Visio Professional 2013 ed effettuare il downgrade a Visio Premium 2010. Non sono consentiti altri downgrade da Visio Professional 2013 a Visio Premium 2010.</w:t>
      </w:r>
    </w:p>
    <w:p w:rsidR="00B62DEE" w:rsidRDefault="00B62DEE" w:rsidP="005C382A">
      <w:pPr>
        <w:rPr>
          <w:lang w:val="it-IT"/>
        </w:rPr>
      </w:pPr>
    </w:p>
    <w:p w:rsidR="0067256D" w:rsidRPr="00451078" w:rsidRDefault="0067256D" w:rsidP="005C382A">
      <w:pPr>
        <w:rPr>
          <w:lang w:val="it-IT"/>
        </w:rPr>
      </w:pPr>
    </w:p>
    <w:p w:rsidR="00BE4D27" w:rsidRPr="00451078" w:rsidRDefault="00BE4D27" w:rsidP="00BE4D27">
      <w:pPr>
        <w:pStyle w:val="Heading3"/>
        <w:rPr>
          <w:lang w:val="it-IT"/>
        </w:rPr>
      </w:pPr>
      <w:bookmarkStart w:id="1081" w:name="_17_Visio_Pro"/>
      <w:bookmarkStart w:id="1082" w:name="_Toc352234868"/>
      <w:bookmarkEnd w:id="1081"/>
      <w:r w:rsidRPr="00451078">
        <w:rPr>
          <w:rFonts w:ascii="Tahoma" w:hAnsi="Tahoma"/>
          <w:caps/>
          <w:color w:val="F66400"/>
          <w:sz w:val="22"/>
          <w:vertAlign w:val="superscript"/>
          <w:lang w:val="it-IT"/>
        </w:rPr>
        <w:t>17</w:t>
      </w:r>
      <w:r w:rsidRPr="00451078">
        <w:rPr>
          <w:rFonts w:ascii="Tahoma" w:hAnsi="Tahoma"/>
          <w:color w:val="F66400"/>
          <w:sz w:val="22"/>
          <w:lang w:val="it-IT"/>
        </w:rPr>
        <w:t xml:space="preserve"> Visio Pro per Office 365</w:t>
      </w:r>
      <w:bookmarkEnd w:id="1082"/>
      <w:r w:rsidRPr="00451078">
        <w:rPr>
          <w:rFonts w:ascii="Tahoma" w:hAnsi="Tahoma"/>
          <w:color w:val="F66400"/>
          <w:sz w:val="22"/>
          <w:lang w:val="it-IT"/>
        </w:rPr>
        <w:t xml:space="preserve"> </w:t>
      </w:r>
    </w:p>
    <w:p w:rsidR="00B62DEE" w:rsidRPr="00451078" w:rsidRDefault="00B62DEE" w:rsidP="00BE4D27">
      <w:pPr>
        <w:spacing w:after="60"/>
        <w:ind w:left="720"/>
        <w:rPr>
          <w:rFonts w:cs="Tahoma"/>
          <w:b/>
          <w:lang w:val="it-IT"/>
        </w:rPr>
      </w:pPr>
    </w:p>
    <w:p w:rsidR="00BE4D27" w:rsidRPr="00451078" w:rsidRDefault="00BE4D27" w:rsidP="00BE4D27">
      <w:pPr>
        <w:spacing w:after="60"/>
        <w:ind w:left="720"/>
        <w:rPr>
          <w:lang w:val="it-IT"/>
        </w:rPr>
      </w:pPr>
      <w:r w:rsidRPr="00451078">
        <w:rPr>
          <w:rFonts w:cs="Tahoma"/>
          <w:b/>
          <w:lang w:val="it-IT"/>
        </w:rPr>
        <w:t>Idoneità dei Supporti di Memorizzazione con i Servizi Desktop Remoto (RDS)</w:t>
      </w:r>
    </w:p>
    <w:p w:rsidR="00BE4D27" w:rsidRPr="00451078" w:rsidRDefault="00BE4D27" w:rsidP="00BE4D27">
      <w:pPr>
        <w:ind w:left="720"/>
        <w:rPr>
          <w:lang w:val="it-IT"/>
        </w:rPr>
      </w:pPr>
      <w:r w:rsidRPr="00451078">
        <w:rPr>
          <w:rFonts w:cs="Tahoma"/>
          <w:szCs w:val="18"/>
          <w:lang w:val="it-IT"/>
        </w:rPr>
        <w:t>Qualora l</w:t>
      </w:r>
      <w:r w:rsidR="004525CA">
        <w:rPr>
          <w:rFonts w:cs="Tahoma"/>
          <w:szCs w:val="18"/>
          <w:lang w:val="it-IT"/>
        </w:rPr>
        <w:t>’</w:t>
      </w:r>
      <w:r w:rsidRPr="00451078">
        <w:rPr>
          <w:rFonts w:cs="Tahoma"/>
          <w:szCs w:val="18"/>
          <w:lang w:val="it-IT"/>
        </w:rPr>
        <w:t>utente al quale è stata ceduta una licenza per Visio Pro per Office 365 utilizzi il software su un server di rete con il ruolo RDS attivato anziché installare una copia del software fornito con Visio Pro per Office 365 su uno dei cinque dispositivi autorizzati in conformità ai Diritti di Utilizzo del Prodotto per Visio Pro per Office 365, tale utente potrà 1) installare una copia del software Visio 2013 Professional su un server di rete e 2) accedere al software Visio 2013 Professional da qualsiasi dispositivo.</w:t>
      </w:r>
      <w:r w:rsidR="00082E1C" w:rsidRPr="00451078">
        <w:rPr>
          <w:rFonts w:cs="Tahoma"/>
          <w:szCs w:val="18"/>
          <w:lang w:val="it-IT"/>
        </w:rPr>
        <w:t xml:space="preserve"> </w:t>
      </w:r>
      <w:r w:rsidRPr="00451078">
        <w:rPr>
          <w:rFonts w:cs="Tahoma"/>
          <w:szCs w:val="18"/>
          <w:lang w:val="it-IT"/>
        </w:rPr>
        <w:t xml:space="preserve">Alla scadenza della sottoscrizione di Visio Pro per Office 365 la società dovrà disinstallare il software Visio 2013 Professional dal server di rete. </w:t>
      </w:r>
    </w:p>
    <w:p w:rsidR="00BE4D27" w:rsidRPr="00451078" w:rsidRDefault="00BE4D27" w:rsidP="00BE4D27">
      <w:pPr>
        <w:ind w:left="720"/>
        <w:rPr>
          <w:lang w:val="it-IT"/>
        </w:rPr>
      </w:pPr>
    </w:p>
    <w:p w:rsidR="00BE4D27" w:rsidRPr="00451078" w:rsidRDefault="00BE4D27" w:rsidP="00BE4D27">
      <w:pPr>
        <w:spacing w:after="60"/>
        <w:ind w:left="720"/>
        <w:rPr>
          <w:lang w:val="it-IT"/>
        </w:rPr>
      </w:pPr>
      <w:r w:rsidRPr="00451078">
        <w:rPr>
          <w:rFonts w:cs="Tahoma"/>
          <w:b/>
          <w:lang w:val="it-IT"/>
        </w:rPr>
        <w:t>Diritti di Downgrade</w:t>
      </w:r>
    </w:p>
    <w:p w:rsidR="005C382A" w:rsidRPr="00451078" w:rsidRDefault="00BE4D27" w:rsidP="00333F45">
      <w:pPr>
        <w:ind w:left="720"/>
        <w:rPr>
          <w:lang w:val="it-IT"/>
        </w:rPr>
      </w:pPr>
      <w:r w:rsidRPr="00451078">
        <w:rPr>
          <w:rFonts w:cs="Tahoma"/>
          <w:bCs/>
          <w:szCs w:val="18"/>
          <w:lang w:val="it-IT"/>
        </w:rPr>
        <w:t>Per il servizio Visio Pro per Office 365 non sono previsti diritti di downgrade. Per ulteriori informazioni in merito ai requisiti per l</w:t>
      </w:r>
      <w:r w:rsidR="004525CA">
        <w:rPr>
          <w:rFonts w:cs="Tahoma"/>
          <w:bCs/>
          <w:szCs w:val="18"/>
          <w:lang w:val="it-IT"/>
        </w:rPr>
        <w:t>’</w:t>
      </w:r>
      <w:r w:rsidRPr="00451078">
        <w:rPr>
          <w:rFonts w:cs="Tahoma"/>
          <w:bCs/>
          <w:szCs w:val="18"/>
          <w:lang w:val="it-IT"/>
        </w:rPr>
        <w:t xml:space="preserve">aggiornamento dei Servizi Online, consultare il documento Diritti di Utilizzo del Prodotto (Product Use Rights o PUR) alla pagina </w:t>
      </w:r>
      <w:hyperlink r:id="rId43" w:history="1">
        <w:r w:rsidRPr="00451078">
          <w:rPr>
            <w:rStyle w:val="Hyperlink"/>
            <w:rFonts w:cs="Tahoma"/>
            <w:bCs/>
            <w:szCs w:val="18"/>
            <w:lang w:val="it-IT"/>
          </w:rPr>
          <w:t>http://www.microsoftvolumelicensing.com/userights/PUR.aspx</w:t>
        </w:r>
      </w:hyperlink>
    </w:p>
    <w:p w:rsidR="00223A77" w:rsidRPr="00451078" w:rsidRDefault="00B26237" w:rsidP="00223A77">
      <w:pPr>
        <w:pStyle w:val="Heading3"/>
        <w:rPr>
          <w:lang w:val="it-IT"/>
        </w:rPr>
      </w:pPr>
      <w:bookmarkStart w:id="1083" w:name="_Toc336338275"/>
      <w:bookmarkStart w:id="1084" w:name="_Toc352234869"/>
      <w:bookmarkStart w:id="1085" w:name="Aps_12VS2010Professional"/>
      <w:bookmarkStart w:id="1086" w:name="_Toc252341836"/>
      <w:r w:rsidRPr="00451078">
        <w:rPr>
          <w:rFonts w:ascii="Tahoma" w:hAnsi="Tahoma"/>
          <w:caps/>
          <w:color w:val="F66400"/>
          <w:sz w:val="22"/>
          <w:vertAlign w:val="superscript"/>
          <w:lang w:val="it-IT"/>
        </w:rPr>
        <w:lastRenderedPageBreak/>
        <w:t>18</w:t>
      </w:r>
      <w:r w:rsidRPr="00451078">
        <w:rPr>
          <w:rFonts w:ascii="Tahoma" w:hAnsi="Tahoma"/>
          <w:color w:val="F66400"/>
          <w:sz w:val="22"/>
          <w:lang w:val="it-IT"/>
        </w:rPr>
        <w:t xml:space="preserve"> Visual Studio Professional 2012</w:t>
      </w:r>
      <w:bookmarkEnd w:id="1083"/>
      <w:bookmarkEnd w:id="1084"/>
    </w:p>
    <w:bookmarkEnd w:id="1085"/>
    <w:p w:rsidR="009275A3" w:rsidRPr="00451078" w:rsidRDefault="009275A3" w:rsidP="009275A3">
      <w:pPr>
        <w:pStyle w:val="FootnoteBulletLevel1"/>
        <w:tabs>
          <w:tab w:val="clear" w:pos="900"/>
        </w:tabs>
        <w:spacing w:before="0" w:after="0"/>
        <w:ind w:left="0" w:firstLine="0"/>
        <w:rPr>
          <w:rFonts w:ascii="Tahoma" w:hAnsi="Tahoma" w:cs="Tahoma"/>
          <w:sz w:val="18"/>
          <w:szCs w:val="18"/>
          <w:lang w:val="it-IT"/>
        </w:rPr>
      </w:pPr>
    </w:p>
    <w:p w:rsidR="006D58DB" w:rsidRPr="00451078" w:rsidRDefault="006D58DB" w:rsidP="00864B8A">
      <w:pPr>
        <w:spacing w:after="60"/>
        <w:ind w:left="720"/>
        <w:rPr>
          <w:lang w:val="it-IT"/>
        </w:rPr>
      </w:pPr>
      <w:r w:rsidRPr="00451078">
        <w:rPr>
          <w:rFonts w:cs="Tahoma"/>
          <w:b/>
          <w:lang w:val="it-IT"/>
        </w:rPr>
        <w:t>Percorso di Migrazione di Software Assurance per Visual Studio LightSwitch 2011</w:t>
      </w:r>
    </w:p>
    <w:p w:rsidR="006D58DB" w:rsidRPr="00451078" w:rsidRDefault="006D58DB" w:rsidP="009275A3">
      <w:pPr>
        <w:pStyle w:val="FootnoteBulletLevel1"/>
        <w:tabs>
          <w:tab w:val="clear" w:pos="900"/>
        </w:tabs>
        <w:spacing w:before="0" w:after="0"/>
        <w:ind w:left="720" w:firstLine="0"/>
        <w:rPr>
          <w:lang w:val="it-IT"/>
        </w:rPr>
      </w:pPr>
      <w:r w:rsidRPr="00451078">
        <w:rPr>
          <w:rFonts w:ascii="Tahoma" w:hAnsi="Tahoma" w:cs="Tahoma"/>
          <w:sz w:val="18"/>
          <w:lang w:val="it-IT"/>
        </w:rPr>
        <w:t>Le società con una copertura Software Assurance attiva per Visual Studio LightSwitch 2011 alla data di disponibilità del download di Visual Studio Professional 2012 potranno utilizzare Visual Studio Professional 2012. Il diritto di utilizzo di Visual Studio Professional 2012 ai sensi di tale offerta cesserà alla cessazione del diritto di utilizzo di Visual Studio LightSwitch 2011 in virtù delle relative licenze qualificanti.</w:t>
      </w:r>
      <w:r w:rsidR="00082E1C" w:rsidRPr="00451078">
        <w:rPr>
          <w:rFonts w:ascii="Tahoma" w:hAnsi="Tahoma" w:cs="Tahoma"/>
          <w:sz w:val="18"/>
          <w:lang w:val="it-IT"/>
        </w:rPr>
        <w:t xml:space="preserve"> </w:t>
      </w:r>
      <w:r w:rsidRPr="00451078">
        <w:rPr>
          <w:rFonts w:ascii="Tahoma" w:hAnsi="Tahoma" w:cs="Tahoma"/>
          <w:sz w:val="18"/>
          <w:lang w:val="it-IT"/>
        </w:rPr>
        <w:t>L</w:t>
      </w:r>
      <w:r w:rsidR="004525CA">
        <w:rPr>
          <w:rFonts w:ascii="Tahoma" w:hAnsi="Tahoma" w:cs="Tahoma"/>
          <w:sz w:val="18"/>
          <w:lang w:val="it-IT"/>
        </w:rPr>
        <w:t>’</w:t>
      </w:r>
      <w:r w:rsidRPr="00451078">
        <w:rPr>
          <w:rFonts w:ascii="Tahoma" w:hAnsi="Tahoma" w:cs="Tahoma"/>
          <w:sz w:val="18"/>
          <w:lang w:val="it-IT"/>
        </w:rPr>
        <w:t>utilizzo di Visual Studio Professional 2012 è regolato dai diritti di utilizzo di Visual Studio Professional 2012 e dalle condizioni del contratto multilicenza della società.</w:t>
      </w:r>
      <w:r w:rsidR="00082E1C" w:rsidRPr="00451078">
        <w:rPr>
          <w:rFonts w:ascii="Tahoma" w:hAnsi="Tahoma" w:cs="Tahoma"/>
          <w:sz w:val="18"/>
          <w:lang w:val="it-IT"/>
        </w:rPr>
        <w:t xml:space="preserve"> </w:t>
      </w:r>
      <w:r w:rsidRPr="00451078">
        <w:rPr>
          <w:rFonts w:ascii="Tahoma" w:hAnsi="Tahoma" w:cs="Tahoma"/>
          <w:sz w:val="18"/>
          <w:lang w:val="it-IT"/>
        </w:rPr>
        <w:t>La presente nota relativa alle condizioni del prodotto e la prova da</w:t>
      </w:r>
      <w:r w:rsidR="00B62DEE" w:rsidRPr="00451078">
        <w:rPr>
          <w:rFonts w:ascii="Tahoma" w:hAnsi="Tahoma" w:cs="Tahoma"/>
          <w:sz w:val="18"/>
          <w:lang w:val="it-IT"/>
        </w:rPr>
        <w:t> </w:t>
      </w:r>
      <w:r w:rsidRPr="00451078">
        <w:rPr>
          <w:rFonts w:ascii="Tahoma" w:hAnsi="Tahoma" w:cs="Tahoma"/>
          <w:sz w:val="18"/>
          <w:lang w:val="it-IT"/>
        </w:rPr>
        <w:t>parte della società della corrispondente licenza qualificante costituiscono insieme la prova del diritto di</w:t>
      </w:r>
      <w:r w:rsidR="00B62DEE" w:rsidRPr="00451078">
        <w:rPr>
          <w:rFonts w:ascii="Tahoma" w:hAnsi="Tahoma" w:cs="Tahoma"/>
          <w:sz w:val="18"/>
          <w:lang w:val="it-IT"/>
        </w:rPr>
        <w:t> </w:t>
      </w:r>
      <w:r w:rsidRPr="00451078">
        <w:rPr>
          <w:rFonts w:ascii="Tahoma" w:hAnsi="Tahoma" w:cs="Tahoma"/>
          <w:sz w:val="18"/>
          <w:lang w:val="it-IT"/>
        </w:rPr>
        <w:t>utilizzo di Visual Studio Professional 2012 ai sensi della presente offerta.</w:t>
      </w:r>
      <w:r w:rsidR="00082E1C" w:rsidRPr="00451078">
        <w:rPr>
          <w:rFonts w:ascii="Tahoma" w:hAnsi="Tahoma" w:cs="Tahoma"/>
          <w:sz w:val="18"/>
          <w:lang w:val="it-IT"/>
        </w:rPr>
        <w:t xml:space="preserve"> </w:t>
      </w:r>
    </w:p>
    <w:p w:rsidR="00223A77" w:rsidRPr="00451078" w:rsidRDefault="00223A77" w:rsidP="009275A3">
      <w:pPr>
        <w:rPr>
          <w:lang w:val="it-IT"/>
        </w:rPr>
      </w:pPr>
    </w:p>
    <w:p w:rsidR="00691648" w:rsidRPr="00451078" w:rsidRDefault="00691648" w:rsidP="00691648">
      <w:pPr>
        <w:spacing w:after="60"/>
        <w:ind w:left="720"/>
        <w:rPr>
          <w:lang w:val="it-IT"/>
        </w:rPr>
      </w:pPr>
      <w:r w:rsidRPr="00451078">
        <w:rPr>
          <w:b/>
          <w:bCs/>
          <w:lang w:val="it-IT"/>
        </w:rPr>
        <w:t>Percorso di Migrazione di Software Assurance per Expression Studio Ultimate 4</w:t>
      </w:r>
    </w:p>
    <w:p w:rsidR="00691648" w:rsidRPr="00451078" w:rsidRDefault="00691648" w:rsidP="00691648">
      <w:pPr>
        <w:ind w:left="720"/>
        <w:rPr>
          <w:lang w:val="it-IT"/>
        </w:rPr>
      </w:pPr>
      <w:r w:rsidRPr="00451078">
        <w:rPr>
          <w:lang w:val="it-IT"/>
        </w:rPr>
        <w:t>Le società con una copertura Software Assurance attiva per Expression Studio Ultimate 4 al 1 marzo 2013 sono idonee a utilizzare Visual Studio Professional 2012. Il diritto di utilizzo di Visual Studio Professional 2012 scadrà alla scadenza del diritto di utilizzo di Expression Studio Ultimate 4 ai sensi delle corrispondenti licenze qualificanti. L</w:t>
      </w:r>
      <w:r w:rsidR="004525CA">
        <w:rPr>
          <w:lang w:val="it-IT"/>
        </w:rPr>
        <w:t>’</w:t>
      </w:r>
      <w:r w:rsidRPr="00451078">
        <w:rPr>
          <w:lang w:val="it-IT"/>
        </w:rPr>
        <w:t>utilizzo di Visual Studio Professional 2012 è disciplinato dai diritti sull</w:t>
      </w:r>
      <w:r w:rsidR="004525CA">
        <w:rPr>
          <w:lang w:val="it-IT"/>
        </w:rPr>
        <w:t>’</w:t>
      </w:r>
      <w:r w:rsidRPr="00451078">
        <w:rPr>
          <w:lang w:val="it-IT"/>
        </w:rPr>
        <w:t>utilizzo per il software Visual Studio Professional 2012 e dalle condizioni del contratto multilicenza della società. La presente nota relativa alle condizioni del prodotto e la prova delle corrispondenti licenze qualificanti attestano il diritto di utilizzo di Visual Studio Professional 2012 ai sensi della presente offerta.</w:t>
      </w:r>
      <w:r w:rsidR="00082E1C" w:rsidRPr="00451078">
        <w:rPr>
          <w:lang w:val="it-IT"/>
        </w:rPr>
        <w:t xml:space="preserve"> </w:t>
      </w:r>
    </w:p>
    <w:p w:rsidR="009275A3" w:rsidRPr="00451078" w:rsidRDefault="009275A3" w:rsidP="009275A3">
      <w:pPr>
        <w:rPr>
          <w:lang w:val="it-IT"/>
        </w:rPr>
      </w:pPr>
    </w:p>
    <w:p w:rsidR="00F73587" w:rsidRPr="00451078" w:rsidRDefault="00F73587" w:rsidP="009275A3">
      <w:pPr>
        <w:rPr>
          <w:lang w:val="it-IT"/>
        </w:rPr>
      </w:pPr>
    </w:p>
    <w:p w:rsidR="00223A77" w:rsidRPr="00451078" w:rsidRDefault="0095763C" w:rsidP="00223A77">
      <w:pPr>
        <w:pStyle w:val="Heading3"/>
        <w:rPr>
          <w:lang w:val="it-IT"/>
        </w:rPr>
      </w:pPr>
      <w:bookmarkStart w:id="1087" w:name="_Toc336338276"/>
      <w:bookmarkStart w:id="1088" w:name="_Toc352234870"/>
      <w:bookmarkStart w:id="1089" w:name="Aps_13VS2010ProfessionalMSDN"/>
      <w:r w:rsidRPr="00451078">
        <w:rPr>
          <w:rFonts w:ascii="Tahoma" w:hAnsi="Tahoma"/>
          <w:caps/>
          <w:color w:val="F66400"/>
          <w:sz w:val="22"/>
          <w:vertAlign w:val="superscript"/>
          <w:lang w:val="it-IT"/>
        </w:rPr>
        <w:t>19</w:t>
      </w:r>
      <w:r w:rsidRPr="00451078">
        <w:rPr>
          <w:rFonts w:ascii="Tahoma" w:hAnsi="Tahoma"/>
          <w:color w:val="F66400"/>
          <w:sz w:val="22"/>
          <w:lang w:val="it-IT"/>
        </w:rPr>
        <w:t xml:space="preserve"> Visual Studio Professional 2012 con MSDN</w:t>
      </w:r>
      <w:bookmarkEnd w:id="1087"/>
      <w:bookmarkEnd w:id="1088"/>
      <w:r w:rsidRPr="00451078">
        <w:rPr>
          <w:rFonts w:ascii="Tahoma" w:hAnsi="Tahoma"/>
          <w:color w:val="F66400"/>
          <w:sz w:val="22"/>
          <w:lang w:val="it-IT"/>
        </w:rPr>
        <w:t xml:space="preserve"> </w:t>
      </w:r>
      <w:bookmarkEnd w:id="1086"/>
    </w:p>
    <w:p w:rsidR="00F6352F" w:rsidRPr="00451078" w:rsidRDefault="00F6352F" w:rsidP="005B0791">
      <w:pPr>
        <w:ind w:left="720"/>
        <w:rPr>
          <w:lang w:val="it-IT"/>
        </w:rPr>
      </w:pPr>
    </w:p>
    <w:bookmarkEnd w:id="1089"/>
    <w:p w:rsidR="001026FD" w:rsidRPr="0005180A" w:rsidRDefault="001026FD" w:rsidP="00864B8A">
      <w:pPr>
        <w:spacing w:after="60"/>
        <w:ind w:left="720"/>
        <w:rPr>
          <w:szCs w:val="18"/>
          <w:lang w:val="it-IT"/>
        </w:rPr>
      </w:pPr>
      <w:r w:rsidRPr="0005180A">
        <w:rPr>
          <w:rFonts w:cs="Tahoma"/>
          <w:b/>
          <w:szCs w:val="18"/>
          <w:lang w:val="it-IT"/>
        </w:rPr>
        <w:t>Visual Studio Team Foundation Server 2012</w:t>
      </w:r>
    </w:p>
    <w:p w:rsidR="001026FD" w:rsidRPr="0005180A" w:rsidRDefault="001026FD" w:rsidP="005B0791">
      <w:pPr>
        <w:pStyle w:val="EndnoteText"/>
        <w:tabs>
          <w:tab w:val="num" w:pos="1350"/>
        </w:tabs>
        <w:ind w:left="720"/>
        <w:rPr>
          <w:sz w:val="18"/>
          <w:szCs w:val="18"/>
          <w:lang w:val="it-IT"/>
        </w:rPr>
      </w:pPr>
      <w:r w:rsidRPr="0005180A">
        <w:rPr>
          <w:rFonts w:ascii="Tahoma" w:hAnsi="Tahoma" w:cs="Tahoma"/>
          <w:sz w:val="18"/>
          <w:szCs w:val="18"/>
          <w:lang w:val="it-IT"/>
        </w:rPr>
        <w:t>Il sottoscrittore è autorizzato a ricevere una licenza server per Visual Studio Team Foundation Server 2012 e</w:t>
      </w:r>
      <w:r w:rsidR="00B62DEE" w:rsidRPr="0005180A">
        <w:rPr>
          <w:rFonts w:ascii="Tahoma" w:hAnsi="Tahoma" w:cs="Tahoma"/>
          <w:sz w:val="18"/>
          <w:szCs w:val="18"/>
          <w:lang w:val="it-IT"/>
        </w:rPr>
        <w:t> </w:t>
      </w:r>
      <w:r w:rsidRPr="0005180A">
        <w:rPr>
          <w:rFonts w:ascii="Tahoma" w:hAnsi="Tahoma" w:cs="Tahoma"/>
          <w:sz w:val="18"/>
          <w:szCs w:val="18"/>
          <w:lang w:val="it-IT"/>
        </w:rPr>
        <w:t>una User CAL per Team Foundation Server. La licenza CAL può essere utilizzata esclusivamente dal sottoscrittore.</w:t>
      </w:r>
    </w:p>
    <w:p w:rsidR="001026FD" w:rsidRPr="0005180A" w:rsidRDefault="001026FD" w:rsidP="005B0791">
      <w:pPr>
        <w:pStyle w:val="EndnoteText"/>
        <w:tabs>
          <w:tab w:val="num" w:pos="1350"/>
        </w:tabs>
        <w:ind w:left="720"/>
        <w:rPr>
          <w:sz w:val="18"/>
          <w:szCs w:val="18"/>
          <w:lang w:val="it-IT"/>
        </w:rPr>
      </w:pPr>
    </w:p>
    <w:p w:rsidR="001026FD" w:rsidRPr="0005180A" w:rsidRDefault="001026FD" w:rsidP="00864B8A">
      <w:pPr>
        <w:spacing w:after="60"/>
        <w:ind w:left="720"/>
        <w:rPr>
          <w:szCs w:val="18"/>
          <w:lang w:val="it-IT"/>
        </w:rPr>
      </w:pPr>
      <w:r w:rsidRPr="0005180A">
        <w:rPr>
          <w:rFonts w:cs="Tahoma"/>
          <w:b/>
          <w:szCs w:val="18"/>
          <w:lang w:val="it-IT"/>
        </w:rPr>
        <w:t>SQL Server Parallel Data Warehouse Developer</w:t>
      </w:r>
    </w:p>
    <w:p w:rsidR="001026FD" w:rsidRPr="0005180A" w:rsidRDefault="001026FD" w:rsidP="005B0791">
      <w:pPr>
        <w:pStyle w:val="EndnoteText"/>
        <w:tabs>
          <w:tab w:val="num" w:pos="1350"/>
        </w:tabs>
        <w:ind w:left="720"/>
        <w:rPr>
          <w:sz w:val="18"/>
          <w:szCs w:val="18"/>
          <w:lang w:val="it-IT"/>
        </w:rPr>
      </w:pPr>
      <w:r w:rsidRPr="0005180A">
        <w:rPr>
          <w:rFonts w:ascii="Tahoma" w:hAnsi="Tahoma" w:cs="Tahoma"/>
          <w:sz w:val="18"/>
          <w:szCs w:val="18"/>
          <w:lang w:val="it-IT"/>
        </w:rPr>
        <w:t>Il sottoscrittore è idoneo a ricevere una licenza per SQL Server 2008 R2 Parallel Data Warehouse Developer.</w:t>
      </w:r>
    </w:p>
    <w:p w:rsidR="005B0791" w:rsidRPr="0005180A" w:rsidRDefault="005B0791" w:rsidP="005B0791">
      <w:pPr>
        <w:pStyle w:val="FootnoteBulletLevel1"/>
        <w:tabs>
          <w:tab w:val="clear" w:pos="900"/>
          <w:tab w:val="num" w:pos="1350"/>
        </w:tabs>
        <w:spacing w:before="0" w:after="0"/>
        <w:ind w:left="720" w:firstLine="0"/>
        <w:rPr>
          <w:sz w:val="18"/>
          <w:szCs w:val="18"/>
          <w:lang w:val="it-IT"/>
        </w:rPr>
      </w:pPr>
    </w:p>
    <w:p w:rsidR="00223A77" w:rsidRPr="0005180A" w:rsidRDefault="00223A77" w:rsidP="00864B8A">
      <w:pPr>
        <w:spacing w:after="60"/>
        <w:ind w:left="720"/>
        <w:rPr>
          <w:szCs w:val="18"/>
          <w:lang w:val="it-IT"/>
        </w:rPr>
      </w:pPr>
      <w:r w:rsidRPr="0005180A">
        <w:rPr>
          <w:rFonts w:cs="Tahoma"/>
          <w:b/>
          <w:szCs w:val="18"/>
          <w:lang w:val="it-IT"/>
        </w:rPr>
        <w:t>Percorso di Migrazione di Software Assurance per Visual Studio 2010 Professional con MSDN</w:t>
      </w:r>
      <w:r w:rsidR="00B62DEE" w:rsidRPr="0005180A">
        <w:rPr>
          <w:rFonts w:cs="Tahoma"/>
          <w:b/>
          <w:szCs w:val="18"/>
          <w:lang w:val="it-IT"/>
        </w:rPr>
        <w:t> </w:t>
      </w:r>
      <w:r w:rsidRPr="0005180A">
        <w:rPr>
          <w:rFonts w:cs="Tahoma"/>
          <w:b/>
          <w:szCs w:val="18"/>
          <w:lang w:val="it-IT"/>
        </w:rPr>
        <w:t>Integrato</w:t>
      </w:r>
    </w:p>
    <w:p w:rsidR="00223A77" w:rsidRPr="0005180A" w:rsidRDefault="00223A77" w:rsidP="005B0791">
      <w:pPr>
        <w:pStyle w:val="FootnoteBulletLevel1"/>
        <w:tabs>
          <w:tab w:val="clear" w:pos="900"/>
          <w:tab w:val="num" w:pos="1350"/>
        </w:tabs>
        <w:spacing w:before="0" w:after="0"/>
        <w:ind w:left="720" w:firstLine="0"/>
        <w:rPr>
          <w:sz w:val="18"/>
          <w:szCs w:val="18"/>
          <w:lang w:val="it-IT"/>
        </w:rPr>
      </w:pPr>
      <w:r w:rsidRPr="0005180A">
        <w:rPr>
          <w:rFonts w:ascii="Tahoma" w:hAnsi="Tahoma" w:cs="Tahoma"/>
          <w:sz w:val="18"/>
          <w:szCs w:val="18"/>
          <w:lang w:val="it-IT"/>
        </w:rPr>
        <w:t xml:space="preserve">La versione sostitutiva di Visual Studio 2010 Professional con MSDN Integrato è Visual Studio Professional 2012 con MSDN. </w:t>
      </w:r>
    </w:p>
    <w:p w:rsidR="005B0791" w:rsidRPr="0005180A" w:rsidRDefault="005B0791" w:rsidP="005B0791">
      <w:pPr>
        <w:pStyle w:val="FootnoteBulletLevel1"/>
        <w:tabs>
          <w:tab w:val="clear" w:pos="900"/>
          <w:tab w:val="num" w:pos="1350"/>
        </w:tabs>
        <w:spacing w:before="0" w:after="0"/>
        <w:ind w:left="720" w:firstLine="0"/>
        <w:rPr>
          <w:rFonts w:ascii="Tahoma" w:hAnsi="Tahoma" w:cs="Tahoma"/>
          <w:sz w:val="18"/>
          <w:szCs w:val="18"/>
          <w:lang w:val="it-IT"/>
        </w:rPr>
      </w:pPr>
    </w:p>
    <w:p w:rsidR="00B62DEE" w:rsidRPr="00451078" w:rsidRDefault="00B62DEE" w:rsidP="005B0791">
      <w:pPr>
        <w:pStyle w:val="FootnoteBulletLevel1"/>
        <w:tabs>
          <w:tab w:val="clear" w:pos="900"/>
          <w:tab w:val="num" w:pos="1350"/>
        </w:tabs>
        <w:spacing w:before="0" w:after="0"/>
        <w:ind w:left="720" w:firstLine="0"/>
        <w:rPr>
          <w:rFonts w:ascii="Tahoma" w:hAnsi="Tahoma" w:cs="Tahoma"/>
          <w:sz w:val="18"/>
          <w:szCs w:val="18"/>
          <w:lang w:val="it-IT"/>
        </w:rPr>
      </w:pPr>
    </w:p>
    <w:p w:rsidR="00223A77" w:rsidRPr="00451078" w:rsidRDefault="00223A77" w:rsidP="00864B8A">
      <w:pPr>
        <w:spacing w:after="60"/>
        <w:ind w:left="720"/>
        <w:rPr>
          <w:lang w:val="it-IT"/>
        </w:rPr>
      </w:pPr>
      <w:r w:rsidRPr="00451078">
        <w:rPr>
          <w:rFonts w:cs="Tahoma"/>
          <w:b/>
          <w:lang w:val="it-IT"/>
        </w:rPr>
        <w:t>Requisiti di Idoneità per Software Assurance</w:t>
      </w:r>
    </w:p>
    <w:p w:rsidR="00BE4D27" w:rsidRPr="00451078" w:rsidRDefault="00223A77" w:rsidP="00BE4D27">
      <w:pPr>
        <w:pStyle w:val="EndnoteText"/>
        <w:rPr>
          <w:lang w:val="it-IT"/>
        </w:rPr>
      </w:pPr>
      <w:r w:rsidRPr="00451078">
        <w:rPr>
          <w:rFonts w:ascii="Tahoma" w:hAnsi="Tahoma" w:cs="Tahoma"/>
          <w:sz w:val="18"/>
          <w:lang w:val="it-IT"/>
        </w:rPr>
        <w:t>Le società con copertura Software Assurance in scadenza per le licenze dei seguenti prodotti sono idonee a rinnovare la copertura come Visual Studio Professional 2012 con MSDN.</w:t>
      </w:r>
      <w:r w:rsidRPr="00451078">
        <w:rPr>
          <w:rFonts w:cs="Tahoma"/>
          <w:lang w:val="it-IT"/>
        </w:rPr>
        <w:t xml:space="preserve"> </w:t>
      </w:r>
      <w:r w:rsidRPr="00451078">
        <w:rPr>
          <w:rFonts w:ascii="Tahoma" w:hAnsi="Tahoma" w:cs="Tahoma"/>
          <w:sz w:val="18"/>
          <w:lang w:val="it-IT"/>
        </w:rPr>
        <w:t>Quando viene effettuato il rinnovo a un livello di sottoscrizione MSDN diverso, le nuove condizioni per l</w:t>
      </w:r>
      <w:r w:rsidR="004525CA">
        <w:rPr>
          <w:rFonts w:ascii="Tahoma" w:hAnsi="Tahoma" w:cs="Tahoma"/>
          <w:sz w:val="18"/>
          <w:lang w:val="it-IT"/>
        </w:rPr>
        <w:t>’</w:t>
      </w:r>
      <w:r w:rsidRPr="00451078">
        <w:rPr>
          <w:rFonts w:ascii="Tahoma" w:hAnsi="Tahoma" w:cs="Tahoma"/>
          <w:sz w:val="18"/>
          <w:lang w:val="it-IT"/>
        </w:rPr>
        <w:t>utilizzo sostituiscono quelle precedenti e qualsiasi prodotto software non incluso nella nuova sottoscrizione MSDN dovrà essere rimosso.</w:t>
      </w:r>
    </w:p>
    <w:p w:rsidR="00223A77" w:rsidRPr="00451078" w:rsidRDefault="00223A77" w:rsidP="005B0791">
      <w:pPr>
        <w:pStyle w:val="EndnoteText"/>
        <w:ind w:left="720"/>
        <w:rPr>
          <w:lang w:val="it-IT"/>
        </w:rPr>
      </w:pPr>
    </w:p>
    <w:p w:rsidR="00223A77" w:rsidRDefault="00223A77" w:rsidP="00223A77">
      <w:pPr>
        <w:pStyle w:val="EndnoteText"/>
        <w:rPr>
          <w:lang w:val="it-IT"/>
        </w:rPr>
      </w:pPr>
    </w:p>
    <w:p w:rsidR="00A84CD1" w:rsidRPr="00451078" w:rsidRDefault="00A84CD1" w:rsidP="00223A77">
      <w:pPr>
        <w:pStyle w:val="EndnoteText"/>
        <w:rPr>
          <w:lang w:val="it-IT"/>
        </w:rPr>
      </w:pPr>
    </w:p>
    <w:p w:rsidR="00223A77" w:rsidRPr="00A84CD1" w:rsidRDefault="00223A77" w:rsidP="005B0791">
      <w:pPr>
        <w:pStyle w:val="FootnoteBulletLevel2"/>
        <w:numPr>
          <w:ilvl w:val="0"/>
          <w:numId w:val="4"/>
        </w:numPr>
        <w:spacing w:before="0" w:after="60"/>
        <w:ind w:left="1440"/>
        <w:rPr>
          <w:lang w:val="it-IT"/>
        </w:rPr>
      </w:pPr>
      <w:r w:rsidRPr="00A84CD1">
        <w:rPr>
          <w:rFonts w:ascii="Tahoma" w:hAnsi="Tahoma" w:cs="Tahoma"/>
          <w:sz w:val="18"/>
          <w:lang w:val="it-IT"/>
        </w:rPr>
        <w:t>Visual Studio Ultimate con MSDN</w:t>
      </w:r>
    </w:p>
    <w:p w:rsidR="00223A77" w:rsidRPr="003410C7" w:rsidRDefault="00223A77" w:rsidP="005B0791">
      <w:pPr>
        <w:pStyle w:val="FootnoteBulletLevel2"/>
        <w:numPr>
          <w:ilvl w:val="0"/>
          <w:numId w:val="4"/>
        </w:numPr>
        <w:spacing w:before="0" w:after="60"/>
        <w:ind w:left="1440"/>
      </w:pPr>
      <w:r w:rsidRPr="003410C7">
        <w:rPr>
          <w:rFonts w:ascii="Tahoma" w:hAnsi="Tahoma" w:cs="Tahoma"/>
          <w:sz w:val="18"/>
        </w:rPr>
        <w:t>Visual Studio Premium con MSDN</w:t>
      </w:r>
    </w:p>
    <w:p w:rsidR="00223A77" w:rsidRPr="003410C7" w:rsidRDefault="00223A77" w:rsidP="005B0791">
      <w:pPr>
        <w:pStyle w:val="FootnoteBulletLevel2"/>
        <w:numPr>
          <w:ilvl w:val="0"/>
          <w:numId w:val="4"/>
        </w:numPr>
        <w:spacing w:before="0" w:after="60"/>
        <w:ind w:left="1440"/>
      </w:pPr>
      <w:r w:rsidRPr="003410C7">
        <w:rPr>
          <w:rFonts w:ascii="Tahoma" w:hAnsi="Tahoma" w:cs="Tahoma"/>
          <w:sz w:val="18"/>
        </w:rPr>
        <w:t>Visual Studio Professional con MSDN</w:t>
      </w:r>
    </w:p>
    <w:p w:rsidR="00223A77" w:rsidRPr="003410C7" w:rsidRDefault="00223A77" w:rsidP="005B0791">
      <w:pPr>
        <w:pStyle w:val="FootnoteBulletLevel2"/>
        <w:numPr>
          <w:ilvl w:val="0"/>
          <w:numId w:val="4"/>
        </w:numPr>
        <w:spacing w:before="0" w:after="60"/>
        <w:ind w:left="1440"/>
      </w:pPr>
      <w:r w:rsidRPr="003410C7">
        <w:rPr>
          <w:rFonts w:ascii="Tahoma" w:hAnsi="Tahoma" w:cs="Tahoma"/>
          <w:sz w:val="18"/>
        </w:rPr>
        <w:t>Visual Studio Professional con MSDN Embedded</w:t>
      </w:r>
    </w:p>
    <w:p w:rsidR="00223A77" w:rsidRPr="00451078" w:rsidRDefault="00223A77" w:rsidP="005B0791">
      <w:pPr>
        <w:pStyle w:val="FootnoteBulletLevel2"/>
        <w:numPr>
          <w:ilvl w:val="0"/>
          <w:numId w:val="4"/>
        </w:numPr>
        <w:spacing w:before="0" w:after="60"/>
        <w:ind w:left="1440"/>
        <w:rPr>
          <w:lang w:val="it-IT"/>
        </w:rPr>
      </w:pPr>
      <w:r w:rsidRPr="00451078">
        <w:rPr>
          <w:rFonts w:ascii="Tahoma" w:hAnsi="Tahoma" w:cs="Tahoma"/>
          <w:sz w:val="18"/>
          <w:lang w:val="it-IT"/>
        </w:rPr>
        <w:t>Visual Studio Professional con MSDN Professional</w:t>
      </w:r>
    </w:p>
    <w:p w:rsidR="00223A77" w:rsidRPr="00451078" w:rsidRDefault="00223A77" w:rsidP="005B0791">
      <w:pPr>
        <w:pStyle w:val="FootnoteBulletLevel2"/>
        <w:numPr>
          <w:ilvl w:val="0"/>
          <w:numId w:val="4"/>
        </w:numPr>
        <w:spacing w:before="0" w:after="60"/>
        <w:ind w:left="1440"/>
        <w:rPr>
          <w:lang w:val="it-IT"/>
        </w:rPr>
      </w:pPr>
      <w:r w:rsidRPr="00451078">
        <w:rPr>
          <w:rFonts w:ascii="Tahoma" w:hAnsi="Tahoma" w:cs="Tahoma"/>
          <w:sz w:val="18"/>
          <w:lang w:val="it-IT"/>
        </w:rPr>
        <w:t>Visual Studio Professional con MSDN Premium</w:t>
      </w:r>
    </w:p>
    <w:p w:rsidR="00223A77" w:rsidRPr="003410C7" w:rsidRDefault="00223A77" w:rsidP="005B0791">
      <w:pPr>
        <w:pStyle w:val="FootnoteBulletLevel2"/>
        <w:numPr>
          <w:ilvl w:val="0"/>
          <w:numId w:val="4"/>
        </w:numPr>
        <w:spacing w:before="0" w:after="60"/>
        <w:ind w:left="1440"/>
      </w:pPr>
      <w:r w:rsidRPr="003410C7">
        <w:rPr>
          <w:rFonts w:ascii="Tahoma" w:hAnsi="Tahoma" w:cs="Tahoma"/>
          <w:sz w:val="18"/>
        </w:rPr>
        <w:t>Visual Studio Team System Team Suite con MSDN Premium</w:t>
      </w:r>
    </w:p>
    <w:p w:rsidR="00223A77" w:rsidRPr="003410C7" w:rsidRDefault="00223A77" w:rsidP="005B0791">
      <w:pPr>
        <w:pStyle w:val="FootnoteBulletLevel2"/>
        <w:numPr>
          <w:ilvl w:val="0"/>
          <w:numId w:val="4"/>
        </w:numPr>
        <w:spacing w:before="0" w:after="60"/>
        <w:ind w:left="1440"/>
      </w:pPr>
      <w:r w:rsidRPr="003410C7">
        <w:rPr>
          <w:rFonts w:ascii="Tahoma" w:hAnsi="Tahoma" w:cs="Tahoma"/>
          <w:sz w:val="18"/>
        </w:rPr>
        <w:t>Visual Studio Team System Test Edition con MSDN Premium</w:t>
      </w:r>
    </w:p>
    <w:p w:rsidR="00223A77" w:rsidRPr="003410C7" w:rsidRDefault="00223A77" w:rsidP="005B0791">
      <w:pPr>
        <w:pStyle w:val="FootnoteBulletLevel2"/>
        <w:numPr>
          <w:ilvl w:val="0"/>
          <w:numId w:val="4"/>
        </w:numPr>
        <w:spacing w:before="0" w:after="60"/>
        <w:ind w:left="1440"/>
      </w:pPr>
      <w:r w:rsidRPr="003410C7">
        <w:rPr>
          <w:rFonts w:ascii="Tahoma" w:hAnsi="Tahoma" w:cs="Tahoma"/>
          <w:sz w:val="18"/>
        </w:rPr>
        <w:lastRenderedPageBreak/>
        <w:t>Visual Studio Team System Development Edition con MSDN Premium</w:t>
      </w:r>
    </w:p>
    <w:p w:rsidR="00223A77" w:rsidRPr="003410C7" w:rsidRDefault="00223A77" w:rsidP="005B0791">
      <w:pPr>
        <w:pStyle w:val="FootnoteBulletLevel2"/>
        <w:numPr>
          <w:ilvl w:val="0"/>
          <w:numId w:val="4"/>
        </w:numPr>
        <w:spacing w:before="0" w:after="60"/>
        <w:ind w:left="1440"/>
      </w:pPr>
      <w:r w:rsidRPr="003410C7">
        <w:rPr>
          <w:rFonts w:ascii="Tahoma" w:hAnsi="Tahoma" w:cs="Tahoma"/>
          <w:sz w:val="18"/>
        </w:rPr>
        <w:t xml:space="preserve">Visual Studio Team System Architecture Edition con MSDN Premium </w:t>
      </w:r>
    </w:p>
    <w:p w:rsidR="00223A77" w:rsidRPr="003410C7" w:rsidRDefault="00223A77" w:rsidP="005B0791">
      <w:pPr>
        <w:pStyle w:val="FootnoteBulletLevel2"/>
        <w:numPr>
          <w:ilvl w:val="0"/>
          <w:numId w:val="4"/>
        </w:numPr>
        <w:spacing w:before="0" w:after="60"/>
        <w:ind w:left="1440"/>
      </w:pPr>
      <w:r w:rsidRPr="003410C7">
        <w:rPr>
          <w:rFonts w:ascii="Tahoma" w:hAnsi="Tahoma" w:cs="Tahoma"/>
          <w:sz w:val="18"/>
        </w:rPr>
        <w:t>Visual Studio Team System Database Edition con MSDN Premium</w:t>
      </w:r>
    </w:p>
    <w:p w:rsidR="00223A77" w:rsidRPr="00451078" w:rsidRDefault="00223A77" w:rsidP="005B0791">
      <w:pPr>
        <w:pStyle w:val="FootnoteBulletLevel2"/>
        <w:numPr>
          <w:ilvl w:val="0"/>
          <w:numId w:val="4"/>
        </w:numPr>
        <w:spacing w:before="0" w:after="60"/>
        <w:ind w:left="1440"/>
        <w:rPr>
          <w:lang w:val="it-IT"/>
        </w:rPr>
      </w:pPr>
      <w:r w:rsidRPr="00451078">
        <w:rPr>
          <w:rFonts w:ascii="Tahoma" w:hAnsi="Tahoma" w:cs="Tahoma"/>
          <w:sz w:val="18"/>
          <w:lang w:val="it-IT"/>
        </w:rPr>
        <w:t>Società titolari di un abbonamento retail attivo per qualsiasi prodotto software indicato nel precedente elenco.</w:t>
      </w:r>
    </w:p>
    <w:p w:rsidR="00223A77" w:rsidRPr="00451078" w:rsidRDefault="00223A77" w:rsidP="005B0791">
      <w:pPr>
        <w:pStyle w:val="FootnoteBulletLevel2"/>
        <w:numPr>
          <w:ilvl w:val="0"/>
          <w:numId w:val="4"/>
        </w:numPr>
        <w:spacing w:before="0" w:after="60"/>
        <w:ind w:left="1440"/>
        <w:rPr>
          <w:lang w:val="it-IT"/>
        </w:rPr>
      </w:pPr>
      <w:r w:rsidRPr="00451078">
        <w:rPr>
          <w:rFonts w:ascii="Tahoma" w:hAnsi="Tahoma" w:cs="Tahoma"/>
          <w:sz w:val="18"/>
          <w:lang w:val="it-IT"/>
        </w:rPr>
        <w:t>MSDN Essentials (acquisto con la licenza retail di Visual Studio 2010 Professional)</w:t>
      </w:r>
    </w:p>
    <w:p w:rsidR="00223A77" w:rsidRPr="00451078" w:rsidRDefault="00223A77" w:rsidP="005B0791">
      <w:pPr>
        <w:pStyle w:val="FootnoteBulletLevel1"/>
        <w:spacing w:before="0" w:after="0"/>
        <w:ind w:left="0" w:firstLine="0"/>
        <w:rPr>
          <w:lang w:val="it-IT"/>
        </w:rPr>
      </w:pPr>
    </w:p>
    <w:p w:rsidR="00223A77" w:rsidRPr="00725C91" w:rsidRDefault="00223A77" w:rsidP="005B0791">
      <w:pPr>
        <w:pStyle w:val="FootnoteBulletLevel1"/>
        <w:tabs>
          <w:tab w:val="clear" w:pos="900"/>
        </w:tabs>
        <w:spacing w:before="0" w:after="0"/>
        <w:ind w:left="720" w:firstLine="0"/>
        <w:rPr>
          <w:rFonts w:ascii="Tahoma" w:hAnsi="Tahoma" w:cs="Tahoma"/>
          <w:sz w:val="18"/>
          <w:szCs w:val="18"/>
          <w:lang w:val="it-IT"/>
        </w:rPr>
      </w:pPr>
      <w:r w:rsidRPr="00725C91">
        <w:rPr>
          <w:rFonts w:ascii="Tahoma" w:hAnsi="Tahoma" w:cs="Tahoma"/>
          <w:sz w:val="18"/>
          <w:szCs w:val="18"/>
          <w:lang w:val="it-IT"/>
        </w:rPr>
        <w:t>Le società che hanno stipulato contratti Enterprise, Select o Open Value e con copertura Software Assurance attiva su Visual Studio Professional 2012 con MSDN potranno anch</w:t>
      </w:r>
      <w:r w:rsidR="004525CA">
        <w:rPr>
          <w:rFonts w:ascii="Tahoma" w:hAnsi="Tahoma" w:cs="Tahoma"/>
          <w:sz w:val="18"/>
          <w:szCs w:val="18"/>
          <w:lang w:val="it-IT"/>
        </w:rPr>
        <w:t>’</w:t>
      </w:r>
      <w:r w:rsidRPr="00725C91">
        <w:rPr>
          <w:rFonts w:ascii="Tahoma" w:hAnsi="Tahoma" w:cs="Tahoma"/>
          <w:sz w:val="18"/>
          <w:szCs w:val="18"/>
          <w:lang w:val="it-IT"/>
        </w:rPr>
        <w:t xml:space="preserve">esse effettuare lo step-up a Visual Studio Premium 2012 con MSDN o a Visual Studio Ultimate 2012 con MSDN dopo aver acquistato gli </w:t>
      </w:r>
      <w:hyperlink w:anchor="Step_Up" w:history="1">
        <w:r w:rsidRPr="00725C91">
          <w:rPr>
            <w:rFonts w:ascii="Tahoma" w:hAnsi="Tahoma" w:cs="Tahoma"/>
            <w:sz w:val="18"/>
            <w:szCs w:val="18"/>
            <w:lang w:val="it-IT"/>
          </w:rPr>
          <w:t>SKU di Step-Up</w:t>
        </w:r>
      </w:hyperlink>
      <w:r w:rsidRPr="00725C91">
        <w:rPr>
          <w:rFonts w:ascii="Tahoma" w:hAnsi="Tahoma" w:cs="Tahoma"/>
          <w:sz w:val="18"/>
          <w:szCs w:val="18"/>
          <w:lang w:val="it-IT"/>
        </w:rPr>
        <w:t xml:space="preserve"> idonei.</w:t>
      </w:r>
    </w:p>
    <w:p w:rsidR="005B0791" w:rsidRPr="00725C91" w:rsidRDefault="005B0791" w:rsidP="005B0791">
      <w:pPr>
        <w:pStyle w:val="FootnoteBulletLevel2"/>
        <w:tabs>
          <w:tab w:val="clear" w:pos="1260"/>
        </w:tabs>
        <w:spacing w:before="0"/>
        <w:ind w:left="720" w:firstLine="0"/>
        <w:rPr>
          <w:rFonts w:ascii="Tahoma" w:hAnsi="Tahoma" w:cs="Tahoma"/>
          <w:sz w:val="18"/>
          <w:szCs w:val="18"/>
          <w:lang w:val="it-IT"/>
        </w:rPr>
      </w:pPr>
    </w:p>
    <w:p w:rsidR="0055611F" w:rsidRPr="00725C91" w:rsidRDefault="009B2474" w:rsidP="00864B8A">
      <w:pPr>
        <w:spacing w:after="60"/>
        <w:ind w:left="720"/>
        <w:rPr>
          <w:rFonts w:cs="Tahoma"/>
          <w:szCs w:val="18"/>
          <w:lang w:val="it-IT"/>
        </w:rPr>
      </w:pPr>
      <w:r w:rsidRPr="00725C91">
        <w:rPr>
          <w:rFonts w:cs="Tahoma"/>
          <w:b/>
          <w:szCs w:val="18"/>
          <w:lang w:val="it-IT"/>
        </w:rPr>
        <w:t xml:space="preserve">Servizi </w:t>
      </w:r>
      <w:r w:rsidR="001A3EC5" w:rsidRPr="00725C91">
        <w:rPr>
          <w:rFonts w:cs="Tahoma"/>
          <w:b/>
          <w:szCs w:val="18"/>
          <w:lang w:val="it-IT"/>
        </w:rPr>
        <w:t>“</w:t>
      </w:r>
      <w:r w:rsidRPr="00725C91">
        <w:rPr>
          <w:rFonts w:cs="Tahoma"/>
          <w:b/>
          <w:szCs w:val="18"/>
          <w:lang w:val="it-IT"/>
        </w:rPr>
        <w:t>Subscription</w:t>
      </w:r>
      <w:r w:rsidR="001A3EC5" w:rsidRPr="00725C91">
        <w:rPr>
          <w:rFonts w:cs="Tahoma"/>
          <w:b/>
          <w:szCs w:val="18"/>
          <w:lang w:val="it-IT"/>
        </w:rPr>
        <w:t>”</w:t>
      </w:r>
    </w:p>
    <w:p w:rsidR="0055611F" w:rsidRPr="00725C91" w:rsidRDefault="0055611F" w:rsidP="005B0791">
      <w:pPr>
        <w:pStyle w:val="FootnoteBulletLevel2"/>
        <w:tabs>
          <w:tab w:val="clear" w:pos="1260"/>
        </w:tabs>
        <w:spacing w:before="0"/>
        <w:ind w:left="720" w:firstLine="0"/>
        <w:rPr>
          <w:rFonts w:ascii="Tahoma" w:hAnsi="Tahoma" w:cs="Tahoma"/>
          <w:sz w:val="18"/>
          <w:szCs w:val="18"/>
          <w:lang w:val="it-IT"/>
        </w:rPr>
      </w:pPr>
      <w:r w:rsidRPr="00725C91">
        <w:rPr>
          <w:rFonts w:ascii="Tahoma" w:hAnsi="Tahoma" w:cs="Tahoma"/>
          <w:sz w:val="18"/>
          <w:szCs w:val="18"/>
          <w:lang w:val="it-IT"/>
        </w:rPr>
        <w:t>I servizi MSDN in abbonamento, che potranno includere download, codici Product Key, vantaggi di Windows Azure, vantaggi di Office 365 Developer, e-learning, supporto tecnico, vantaggi di Windows Store e altri servizi, sono disponibili solo durante il periodo di validità dell</w:t>
      </w:r>
      <w:r w:rsidR="004525CA">
        <w:rPr>
          <w:rFonts w:ascii="Tahoma" w:hAnsi="Tahoma" w:cs="Tahoma"/>
          <w:sz w:val="18"/>
          <w:szCs w:val="18"/>
          <w:lang w:val="it-IT"/>
        </w:rPr>
        <w:t>’</w:t>
      </w:r>
      <w:r w:rsidRPr="00725C91">
        <w:rPr>
          <w:rFonts w:ascii="Tahoma" w:hAnsi="Tahoma" w:cs="Tahoma"/>
          <w:sz w:val="18"/>
          <w:szCs w:val="18"/>
          <w:lang w:val="it-IT"/>
        </w:rPr>
        <w:t>abbonamento.</w:t>
      </w:r>
    </w:p>
    <w:p w:rsidR="0055611F" w:rsidRPr="00725C91" w:rsidRDefault="0055611F" w:rsidP="005B0791">
      <w:pPr>
        <w:pStyle w:val="FootnoteBulletLevel1"/>
        <w:tabs>
          <w:tab w:val="clear" w:pos="900"/>
        </w:tabs>
        <w:spacing w:before="0" w:after="0"/>
        <w:ind w:left="720" w:firstLine="0"/>
        <w:rPr>
          <w:rFonts w:ascii="Tahoma" w:hAnsi="Tahoma" w:cs="Tahoma"/>
          <w:sz w:val="18"/>
          <w:szCs w:val="18"/>
          <w:lang w:val="it-IT"/>
        </w:rPr>
      </w:pPr>
    </w:p>
    <w:p w:rsidR="0055611F" w:rsidRPr="00725C91" w:rsidRDefault="009B2474" w:rsidP="00864B8A">
      <w:pPr>
        <w:spacing w:after="60"/>
        <w:ind w:left="720"/>
        <w:rPr>
          <w:rFonts w:cs="Tahoma"/>
          <w:szCs w:val="18"/>
          <w:lang w:val="it-IT"/>
        </w:rPr>
      </w:pPr>
      <w:r w:rsidRPr="00725C91">
        <w:rPr>
          <w:rFonts w:cs="Tahoma"/>
          <w:b/>
          <w:szCs w:val="18"/>
          <w:lang w:val="it-IT"/>
        </w:rPr>
        <w:t>Servizi della Piattaforma Windows Azure</w:t>
      </w:r>
    </w:p>
    <w:p w:rsidR="0055611F" w:rsidRPr="00725C91" w:rsidRDefault="0055611F" w:rsidP="005B0791">
      <w:pPr>
        <w:pStyle w:val="FootnoteBulletLevel2"/>
        <w:tabs>
          <w:tab w:val="clear" w:pos="1260"/>
        </w:tabs>
        <w:spacing w:before="0"/>
        <w:ind w:left="720" w:firstLine="0"/>
        <w:rPr>
          <w:rFonts w:ascii="Tahoma" w:hAnsi="Tahoma" w:cs="Tahoma"/>
          <w:sz w:val="18"/>
          <w:szCs w:val="18"/>
          <w:lang w:val="it-IT"/>
        </w:rPr>
      </w:pPr>
      <w:r w:rsidRPr="00725C91">
        <w:rPr>
          <w:rFonts w:ascii="Tahoma" w:hAnsi="Tahoma" w:cs="Tahoma"/>
          <w:sz w:val="18"/>
          <w:szCs w:val="18"/>
          <w:lang w:val="it-IT"/>
        </w:rPr>
        <w:t>I vantaggi di Windows Azure non possono essere una combinazione di più abbonamenti a MSDN su un singolo account di Windows Azure. L</w:t>
      </w:r>
      <w:r w:rsidR="004525CA">
        <w:rPr>
          <w:rFonts w:ascii="Tahoma" w:hAnsi="Tahoma" w:cs="Tahoma"/>
          <w:sz w:val="18"/>
          <w:szCs w:val="18"/>
          <w:lang w:val="it-IT"/>
        </w:rPr>
        <w:t>’</w:t>
      </w:r>
      <w:r w:rsidRPr="00725C91">
        <w:rPr>
          <w:rFonts w:ascii="Tahoma" w:hAnsi="Tahoma" w:cs="Tahoma"/>
          <w:sz w:val="18"/>
          <w:szCs w:val="18"/>
          <w:lang w:val="it-IT"/>
        </w:rPr>
        <w:t>uso di Windows Azure è soggetto alle relative condizioni per l</w:t>
      </w:r>
      <w:r w:rsidR="004525CA">
        <w:rPr>
          <w:rFonts w:ascii="Tahoma" w:hAnsi="Tahoma" w:cs="Tahoma"/>
          <w:sz w:val="18"/>
          <w:szCs w:val="18"/>
          <w:lang w:val="it-IT"/>
        </w:rPr>
        <w:t>’</w:t>
      </w:r>
      <w:r w:rsidRPr="00725C91">
        <w:rPr>
          <w:rFonts w:ascii="Tahoma" w:hAnsi="Tahoma" w:cs="Tahoma"/>
          <w:sz w:val="18"/>
          <w:szCs w:val="18"/>
          <w:lang w:val="it-IT"/>
        </w:rPr>
        <w:t>utilizzo.</w:t>
      </w:r>
    </w:p>
    <w:p w:rsidR="005B0791" w:rsidRPr="00451078" w:rsidRDefault="005B0791" w:rsidP="005B0791">
      <w:pPr>
        <w:pStyle w:val="FootnoteBulletLevel2"/>
        <w:tabs>
          <w:tab w:val="clear" w:pos="1260"/>
        </w:tabs>
        <w:spacing w:before="0"/>
        <w:ind w:left="0" w:firstLine="0"/>
        <w:rPr>
          <w:lang w:val="it-IT"/>
        </w:rPr>
      </w:pPr>
    </w:p>
    <w:p w:rsidR="005B0791" w:rsidRPr="00451078" w:rsidRDefault="005B0791" w:rsidP="005B0791">
      <w:pPr>
        <w:pStyle w:val="FootnoteBulletLevel2"/>
        <w:tabs>
          <w:tab w:val="clear" w:pos="1260"/>
        </w:tabs>
        <w:spacing w:before="0"/>
        <w:ind w:left="0" w:firstLine="0"/>
        <w:rPr>
          <w:lang w:val="it-IT"/>
        </w:rPr>
      </w:pPr>
    </w:p>
    <w:p w:rsidR="00223A77" w:rsidRPr="003410C7" w:rsidRDefault="00F73587" w:rsidP="00223A77">
      <w:pPr>
        <w:pStyle w:val="Heading3"/>
      </w:pPr>
      <w:bookmarkStart w:id="1090" w:name="_Toc336338277"/>
      <w:bookmarkStart w:id="1091" w:name="_Toc352234871"/>
      <w:bookmarkStart w:id="1092" w:name="_Toc252341837"/>
      <w:bookmarkStart w:id="1093" w:name="Aps_16VS2010PremiumMSDN"/>
      <w:r w:rsidRPr="003410C7">
        <w:rPr>
          <w:rFonts w:ascii="Tahoma" w:hAnsi="Tahoma"/>
          <w:caps/>
          <w:color w:val="F66400"/>
          <w:sz w:val="22"/>
          <w:vertAlign w:val="superscript"/>
        </w:rPr>
        <w:t>20</w:t>
      </w:r>
      <w:r w:rsidRPr="003410C7">
        <w:rPr>
          <w:rFonts w:ascii="Tahoma" w:hAnsi="Tahoma"/>
          <w:color w:val="F66400"/>
          <w:sz w:val="22"/>
        </w:rPr>
        <w:t xml:space="preserve"> Visual Studio Premium 2012 con MSDN</w:t>
      </w:r>
      <w:bookmarkEnd w:id="1090"/>
      <w:bookmarkEnd w:id="1091"/>
      <w:r w:rsidRPr="003410C7">
        <w:rPr>
          <w:rFonts w:ascii="Tahoma" w:hAnsi="Tahoma"/>
          <w:color w:val="F66400"/>
          <w:sz w:val="22"/>
        </w:rPr>
        <w:t xml:space="preserve"> </w:t>
      </w:r>
      <w:bookmarkEnd w:id="1092"/>
    </w:p>
    <w:bookmarkEnd w:id="1093"/>
    <w:p w:rsidR="00CB436E" w:rsidRPr="003410C7" w:rsidRDefault="00CB436E" w:rsidP="00CB436E">
      <w:pPr>
        <w:pStyle w:val="FootnoteBulletLevel1"/>
        <w:tabs>
          <w:tab w:val="clear" w:pos="900"/>
        </w:tabs>
        <w:spacing w:before="0" w:after="0"/>
        <w:ind w:left="720" w:firstLine="0"/>
      </w:pPr>
    </w:p>
    <w:p w:rsidR="001026FD" w:rsidRPr="003410C7" w:rsidRDefault="001026FD" w:rsidP="00864B8A">
      <w:pPr>
        <w:spacing w:after="60"/>
        <w:ind w:left="720"/>
      </w:pPr>
      <w:r w:rsidRPr="003410C7">
        <w:rPr>
          <w:rFonts w:cs="Tahoma"/>
          <w:b/>
        </w:rPr>
        <w:t>Visual Studio Team Foundation Server 2012</w:t>
      </w:r>
    </w:p>
    <w:p w:rsidR="001026FD" w:rsidRPr="00451078" w:rsidRDefault="001026FD" w:rsidP="00CB436E">
      <w:pPr>
        <w:pStyle w:val="EndnoteText"/>
        <w:ind w:left="720"/>
        <w:rPr>
          <w:lang w:val="it-IT"/>
        </w:rPr>
      </w:pPr>
      <w:r w:rsidRPr="00451078">
        <w:rPr>
          <w:rFonts w:ascii="Tahoma" w:hAnsi="Tahoma" w:cs="Tahoma"/>
          <w:sz w:val="18"/>
          <w:lang w:val="it-IT"/>
        </w:rPr>
        <w:t>Il sottoscrittore è autorizzato a ricevere una licenza server per Visual Studio Team Foundation Server 2012 e</w:t>
      </w:r>
      <w:r w:rsidR="00B62DEE" w:rsidRPr="00451078">
        <w:rPr>
          <w:rFonts w:ascii="Tahoma" w:hAnsi="Tahoma" w:cs="Tahoma"/>
          <w:sz w:val="18"/>
          <w:lang w:val="it-IT"/>
        </w:rPr>
        <w:t> </w:t>
      </w:r>
      <w:r w:rsidRPr="00451078">
        <w:rPr>
          <w:rFonts w:ascii="Tahoma" w:hAnsi="Tahoma" w:cs="Tahoma"/>
          <w:sz w:val="18"/>
          <w:lang w:val="it-IT"/>
        </w:rPr>
        <w:t>una User CAL per Team Foundation Server. La licenza CAL può essere utilizzata esclusivamente dal sottoscrittore.</w:t>
      </w:r>
    </w:p>
    <w:p w:rsidR="001026FD" w:rsidRPr="00451078" w:rsidRDefault="001026FD" w:rsidP="00CB436E">
      <w:pPr>
        <w:pStyle w:val="EndnoteText"/>
        <w:ind w:left="720"/>
        <w:rPr>
          <w:lang w:val="it-IT"/>
        </w:rPr>
      </w:pPr>
    </w:p>
    <w:p w:rsidR="001026FD" w:rsidRPr="00451078" w:rsidRDefault="001026FD" w:rsidP="00864B8A">
      <w:pPr>
        <w:spacing w:after="60"/>
        <w:ind w:left="720"/>
        <w:rPr>
          <w:lang w:val="it-IT"/>
        </w:rPr>
      </w:pPr>
      <w:r w:rsidRPr="00451078">
        <w:rPr>
          <w:rFonts w:cs="Tahoma"/>
          <w:b/>
          <w:lang w:val="it-IT"/>
        </w:rPr>
        <w:t>SQL Server Parallel Data Warehouse Developer</w:t>
      </w:r>
    </w:p>
    <w:p w:rsidR="001026FD" w:rsidRPr="00451078" w:rsidRDefault="001026FD" w:rsidP="00CB436E">
      <w:pPr>
        <w:pStyle w:val="EndnoteText"/>
        <w:ind w:left="720"/>
        <w:rPr>
          <w:lang w:val="it-IT"/>
        </w:rPr>
      </w:pPr>
      <w:r w:rsidRPr="00451078">
        <w:rPr>
          <w:rFonts w:ascii="Tahoma" w:hAnsi="Tahoma" w:cs="Tahoma"/>
          <w:sz w:val="18"/>
          <w:lang w:val="it-IT"/>
        </w:rPr>
        <w:t>Il sottoscrittore è idoneo a ricevere una licenza per SQL Server 2008 R2 Parallel Data Warehouse Developer.</w:t>
      </w:r>
    </w:p>
    <w:p w:rsidR="00CB436E" w:rsidRPr="00451078" w:rsidRDefault="00CB436E" w:rsidP="00CB436E">
      <w:pPr>
        <w:pStyle w:val="FootnoteBulletLevel1"/>
        <w:tabs>
          <w:tab w:val="clear" w:pos="900"/>
        </w:tabs>
        <w:spacing w:before="0" w:after="0"/>
        <w:ind w:left="720" w:firstLine="0"/>
        <w:rPr>
          <w:lang w:val="it-IT"/>
        </w:rPr>
      </w:pPr>
    </w:p>
    <w:p w:rsidR="00B62DEE" w:rsidRPr="00152541" w:rsidRDefault="00B62DEE" w:rsidP="00CB436E">
      <w:pPr>
        <w:pStyle w:val="FootnoteBulletLevel1"/>
        <w:tabs>
          <w:tab w:val="clear" w:pos="900"/>
        </w:tabs>
        <w:spacing w:before="0" w:after="0"/>
        <w:ind w:left="720" w:firstLine="0"/>
        <w:rPr>
          <w:b/>
          <w:bCs/>
          <w:lang w:val="it-IT"/>
        </w:rPr>
      </w:pPr>
    </w:p>
    <w:p w:rsidR="00223A77" w:rsidRPr="00451078" w:rsidRDefault="009B2474" w:rsidP="00864B8A">
      <w:pPr>
        <w:spacing w:after="60"/>
        <w:ind w:left="720"/>
        <w:rPr>
          <w:lang w:val="it-IT"/>
        </w:rPr>
      </w:pPr>
      <w:r w:rsidRPr="00451078">
        <w:rPr>
          <w:rFonts w:cs="Tahoma"/>
          <w:b/>
          <w:lang w:val="it-IT"/>
        </w:rPr>
        <w:t>Requisiti di Idoneità per Software Assurance</w:t>
      </w:r>
    </w:p>
    <w:p w:rsidR="00BE4D27" w:rsidRPr="00451078" w:rsidRDefault="00223A77" w:rsidP="00BE4D27">
      <w:pPr>
        <w:pStyle w:val="EndnoteText"/>
        <w:rPr>
          <w:lang w:val="it-IT"/>
        </w:rPr>
      </w:pPr>
      <w:r w:rsidRPr="00451078">
        <w:rPr>
          <w:rFonts w:ascii="Tahoma" w:hAnsi="Tahoma" w:cs="Tahoma"/>
          <w:sz w:val="18"/>
          <w:lang w:val="it-IT"/>
        </w:rPr>
        <w:t>Le società con copertura Software Assurance in scadenza per i seguenti prodotti sono idonee a rinnovare la copertura come Visual Studio Premium 2012 con MSDN. Quando viene effettuato il rinnovo a un livello di sottoscrizione MSDN diverso, le nuove condizioni per l</w:t>
      </w:r>
      <w:r w:rsidR="004525CA">
        <w:rPr>
          <w:rFonts w:ascii="Tahoma" w:hAnsi="Tahoma" w:cs="Tahoma"/>
          <w:sz w:val="18"/>
          <w:lang w:val="it-IT"/>
        </w:rPr>
        <w:t>’</w:t>
      </w:r>
      <w:r w:rsidRPr="00451078">
        <w:rPr>
          <w:rFonts w:ascii="Tahoma" w:hAnsi="Tahoma" w:cs="Tahoma"/>
          <w:sz w:val="18"/>
          <w:lang w:val="it-IT"/>
        </w:rPr>
        <w:t>utilizzo sostituiscono quelle precedenti e qualsiasi prodotto software non incluso nella nuova sottoscrizione MSDN dovrà essere rimosso.</w:t>
      </w:r>
    </w:p>
    <w:p w:rsidR="00223A77" w:rsidRPr="00451078" w:rsidRDefault="00223A77" w:rsidP="007E466C">
      <w:pPr>
        <w:pStyle w:val="EndnoteText"/>
        <w:ind w:left="720"/>
        <w:rPr>
          <w:lang w:val="it-IT"/>
        </w:rPr>
      </w:pPr>
    </w:p>
    <w:p w:rsidR="00223A77" w:rsidRPr="00BC1F3E" w:rsidRDefault="00223A77" w:rsidP="00CB436E">
      <w:pPr>
        <w:pStyle w:val="FootnoteBulletLevel2"/>
        <w:numPr>
          <w:ilvl w:val="0"/>
          <w:numId w:val="6"/>
        </w:numPr>
        <w:spacing w:before="0" w:after="60"/>
        <w:ind w:left="1440"/>
        <w:rPr>
          <w:rFonts w:ascii="Tahoma" w:hAnsi="Tahoma" w:cs="Tahoma"/>
          <w:sz w:val="18"/>
          <w:szCs w:val="18"/>
        </w:rPr>
      </w:pPr>
      <w:r w:rsidRPr="00BC1F3E">
        <w:rPr>
          <w:rFonts w:ascii="Tahoma" w:hAnsi="Tahoma" w:cs="Tahoma"/>
          <w:sz w:val="18"/>
          <w:szCs w:val="18"/>
        </w:rPr>
        <w:t>Visual Studio Ultimate con MSDN</w:t>
      </w:r>
    </w:p>
    <w:p w:rsidR="00223A77" w:rsidRPr="00BC1F3E" w:rsidRDefault="00223A77" w:rsidP="00CB436E">
      <w:pPr>
        <w:pStyle w:val="FootnoteBulletLevel2"/>
        <w:numPr>
          <w:ilvl w:val="0"/>
          <w:numId w:val="6"/>
        </w:numPr>
        <w:spacing w:before="0" w:after="60"/>
        <w:ind w:left="1440"/>
        <w:rPr>
          <w:rFonts w:ascii="Tahoma" w:hAnsi="Tahoma" w:cs="Tahoma"/>
          <w:sz w:val="18"/>
          <w:szCs w:val="18"/>
        </w:rPr>
      </w:pPr>
      <w:r w:rsidRPr="00BC1F3E">
        <w:rPr>
          <w:rFonts w:ascii="Tahoma" w:hAnsi="Tahoma" w:cs="Tahoma"/>
          <w:sz w:val="18"/>
          <w:szCs w:val="18"/>
        </w:rPr>
        <w:t>Visual Studio Premium con MSDN</w:t>
      </w:r>
    </w:p>
    <w:p w:rsidR="00223A77" w:rsidRPr="00BC1F3E" w:rsidRDefault="00223A77" w:rsidP="00CB436E">
      <w:pPr>
        <w:pStyle w:val="FootnoteBulletLevel2"/>
        <w:numPr>
          <w:ilvl w:val="0"/>
          <w:numId w:val="6"/>
        </w:numPr>
        <w:spacing w:before="0" w:after="60"/>
        <w:ind w:left="1440"/>
        <w:rPr>
          <w:rFonts w:ascii="Tahoma" w:hAnsi="Tahoma" w:cs="Tahoma"/>
          <w:sz w:val="18"/>
          <w:szCs w:val="18"/>
          <w:lang w:val="it-IT"/>
        </w:rPr>
      </w:pPr>
      <w:r w:rsidRPr="00BC1F3E">
        <w:rPr>
          <w:rFonts w:ascii="Tahoma" w:hAnsi="Tahoma" w:cs="Tahoma"/>
          <w:sz w:val="18"/>
          <w:szCs w:val="18"/>
          <w:lang w:val="it-IT"/>
        </w:rPr>
        <w:t>Visual Studio Professional con MSDN Premium</w:t>
      </w:r>
    </w:p>
    <w:p w:rsidR="00223A77" w:rsidRPr="00BC1F3E" w:rsidRDefault="00223A77" w:rsidP="00CB436E">
      <w:pPr>
        <w:pStyle w:val="FootnoteBulletLevel2"/>
        <w:numPr>
          <w:ilvl w:val="0"/>
          <w:numId w:val="6"/>
        </w:numPr>
        <w:spacing w:before="0" w:after="60"/>
        <w:ind w:left="1440"/>
        <w:rPr>
          <w:rFonts w:ascii="Tahoma" w:hAnsi="Tahoma" w:cs="Tahoma"/>
          <w:sz w:val="18"/>
          <w:szCs w:val="18"/>
        </w:rPr>
      </w:pPr>
      <w:r w:rsidRPr="00BC1F3E">
        <w:rPr>
          <w:rFonts w:ascii="Tahoma" w:hAnsi="Tahoma" w:cs="Tahoma"/>
          <w:sz w:val="18"/>
          <w:szCs w:val="18"/>
        </w:rPr>
        <w:t>Visual Studio Team System Team Suite con MSDN Premium</w:t>
      </w:r>
    </w:p>
    <w:p w:rsidR="00223A77" w:rsidRPr="00BC1F3E" w:rsidRDefault="00223A77" w:rsidP="00CB436E">
      <w:pPr>
        <w:pStyle w:val="FootnoteBulletLevel2"/>
        <w:numPr>
          <w:ilvl w:val="0"/>
          <w:numId w:val="6"/>
        </w:numPr>
        <w:spacing w:before="0" w:after="60"/>
        <w:ind w:left="1440"/>
        <w:rPr>
          <w:rFonts w:ascii="Tahoma" w:hAnsi="Tahoma" w:cs="Tahoma"/>
          <w:sz w:val="18"/>
          <w:szCs w:val="18"/>
        </w:rPr>
      </w:pPr>
      <w:r w:rsidRPr="00BC1F3E">
        <w:rPr>
          <w:rFonts w:ascii="Tahoma" w:hAnsi="Tahoma" w:cs="Tahoma"/>
          <w:sz w:val="18"/>
          <w:szCs w:val="18"/>
        </w:rPr>
        <w:t>Visual Studio Team System Test Edition con MSDN Premium</w:t>
      </w:r>
    </w:p>
    <w:p w:rsidR="00223A77" w:rsidRPr="00BC1F3E" w:rsidRDefault="00223A77" w:rsidP="00CB436E">
      <w:pPr>
        <w:pStyle w:val="FootnoteBulletLevel2"/>
        <w:numPr>
          <w:ilvl w:val="0"/>
          <w:numId w:val="6"/>
        </w:numPr>
        <w:spacing w:before="0" w:after="60"/>
        <w:ind w:left="1440"/>
        <w:rPr>
          <w:rFonts w:ascii="Tahoma" w:hAnsi="Tahoma" w:cs="Tahoma"/>
          <w:sz w:val="18"/>
          <w:szCs w:val="18"/>
        </w:rPr>
      </w:pPr>
      <w:r w:rsidRPr="00BC1F3E">
        <w:rPr>
          <w:rFonts w:ascii="Tahoma" w:hAnsi="Tahoma" w:cs="Tahoma"/>
          <w:sz w:val="18"/>
          <w:szCs w:val="18"/>
        </w:rPr>
        <w:t>Visual Studio Team System Development Edition con MSDN Premium</w:t>
      </w:r>
    </w:p>
    <w:p w:rsidR="00223A77" w:rsidRPr="00BC1F3E" w:rsidRDefault="00223A77" w:rsidP="00CB436E">
      <w:pPr>
        <w:pStyle w:val="FootnoteBulletLevel2"/>
        <w:numPr>
          <w:ilvl w:val="0"/>
          <w:numId w:val="6"/>
        </w:numPr>
        <w:spacing w:before="0" w:after="60"/>
        <w:ind w:left="1440"/>
        <w:rPr>
          <w:rFonts w:ascii="Tahoma" w:hAnsi="Tahoma" w:cs="Tahoma"/>
          <w:sz w:val="18"/>
          <w:szCs w:val="18"/>
        </w:rPr>
      </w:pPr>
      <w:r w:rsidRPr="00BC1F3E">
        <w:rPr>
          <w:rFonts w:ascii="Tahoma" w:hAnsi="Tahoma" w:cs="Tahoma"/>
          <w:sz w:val="18"/>
          <w:szCs w:val="18"/>
        </w:rPr>
        <w:t xml:space="preserve">Visual Studio Team System Architecture Edition con MSDN Premium </w:t>
      </w:r>
    </w:p>
    <w:p w:rsidR="00223A77" w:rsidRPr="00BC1F3E" w:rsidRDefault="00223A77" w:rsidP="00CB436E">
      <w:pPr>
        <w:pStyle w:val="FootnoteBulletLevel2"/>
        <w:numPr>
          <w:ilvl w:val="0"/>
          <w:numId w:val="6"/>
        </w:numPr>
        <w:spacing w:before="0" w:after="60"/>
        <w:ind w:left="1440"/>
        <w:rPr>
          <w:rFonts w:ascii="Tahoma" w:hAnsi="Tahoma" w:cs="Tahoma"/>
          <w:sz w:val="18"/>
          <w:szCs w:val="18"/>
        </w:rPr>
      </w:pPr>
      <w:r w:rsidRPr="00BC1F3E">
        <w:rPr>
          <w:rFonts w:ascii="Tahoma" w:hAnsi="Tahoma" w:cs="Tahoma"/>
          <w:sz w:val="18"/>
          <w:szCs w:val="18"/>
        </w:rPr>
        <w:t>Visual Studio Team System Database Edition con MSDN Premium</w:t>
      </w:r>
    </w:p>
    <w:p w:rsidR="00223A77" w:rsidRPr="00BC1F3E" w:rsidRDefault="00223A77" w:rsidP="00CB436E">
      <w:pPr>
        <w:pStyle w:val="FootnoteBulletLevel2"/>
        <w:numPr>
          <w:ilvl w:val="0"/>
          <w:numId w:val="6"/>
        </w:numPr>
        <w:spacing w:before="0" w:after="60"/>
        <w:ind w:left="1440"/>
        <w:rPr>
          <w:rFonts w:ascii="Tahoma" w:hAnsi="Tahoma" w:cs="Tahoma"/>
          <w:sz w:val="18"/>
          <w:szCs w:val="18"/>
          <w:lang w:val="it-IT"/>
        </w:rPr>
      </w:pPr>
      <w:r w:rsidRPr="00BC1F3E">
        <w:rPr>
          <w:rFonts w:ascii="Tahoma" w:hAnsi="Tahoma" w:cs="Tahoma"/>
          <w:sz w:val="18"/>
          <w:szCs w:val="18"/>
          <w:lang w:val="it-IT"/>
        </w:rPr>
        <w:t>Società titolari di un abbonamento retail attivo per qualsiasi prodotto software indicato nel precedente elenco.</w:t>
      </w:r>
    </w:p>
    <w:p w:rsidR="00223A77" w:rsidRPr="00BC1F3E" w:rsidRDefault="00223A77" w:rsidP="00CB436E">
      <w:pPr>
        <w:pStyle w:val="FootnoteBulletLevel1"/>
        <w:spacing w:before="0" w:after="0"/>
        <w:ind w:left="907" w:firstLine="0"/>
        <w:rPr>
          <w:rFonts w:ascii="Tahoma" w:hAnsi="Tahoma" w:cs="Tahoma"/>
          <w:sz w:val="18"/>
          <w:szCs w:val="18"/>
          <w:lang w:val="it-IT"/>
        </w:rPr>
      </w:pPr>
    </w:p>
    <w:p w:rsidR="00223A77" w:rsidRPr="00BC1F3E" w:rsidRDefault="00223A77" w:rsidP="00076CB4">
      <w:pPr>
        <w:pStyle w:val="FootnoteBulletLevel1"/>
        <w:tabs>
          <w:tab w:val="clear" w:pos="900"/>
        </w:tabs>
        <w:spacing w:before="0" w:after="0"/>
        <w:ind w:left="720" w:firstLine="0"/>
        <w:rPr>
          <w:rFonts w:ascii="Tahoma" w:hAnsi="Tahoma" w:cs="Tahoma"/>
          <w:sz w:val="18"/>
          <w:szCs w:val="18"/>
          <w:lang w:val="it-IT"/>
        </w:rPr>
      </w:pPr>
      <w:r w:rsidRPr="00BC1F3E">
        <w:rPr>
          <w:rFonts w:ascii="Tahoma" w:hAnsi="Tahoma" w:cs="Tahoma"/>
          <w:sz w:val="18"/>
          <w:szCs w:val="18"/>
          <w:lang w:val="it-IT"/>
        </w:rPr>
        <w:t xml:space="preserve">Le società con copertura Software Assurance in scadenza per Visual Studio Premium 2012 con MSDN sono idonee a rinnovare la copertura come: </w:t>
      </w:r>
    </w:p>
    <w:p w:rsidR="00CB436E" w:rsidRPr="00BC1F3E" w:rsidRDefault="00CB436E" w:rsidP="00CB436E">
      <w:pPr>
        <w:pStyle w:val="FootnoteBulletLevel1"/>
        <w:spacing w:before="0" w:after="0"/>
        <w:ind w:left="907" w:firstLine="0"/>
        <w:rPr>
          <w:rFonts w:ascii="Tahoma" w:hAnsi="Tahoma" w:cs="Tahoma"/>
          <w:sz w:val="18"/>
          <w:szCs w:val="18"/>
          <w:lang w:val="it-IT"/>
        </w:rPr>
      </w:pPr>
    </w:p>
    <w:p w:rsidR="00223A77" w:rsidRPr="00BC1F3E" w:rsidRDefault="00223A77" w:rsidP="00CB436E">
      <w:pPr>
        <w:pStyle w:val="FootnoteBulletLevel2"/>
        <w:numPr>
          <w:ilvl w:val="0"/>
          <w:numId w:val="6"/>
        </w:numPr>
        <w:spacing w:before="0" w:after="60"/>
        <w:ind w:left="1440"/>
        <w:rPr>
          <w:rFonts w:ascii="Tahoma" w:hAnsi="Tahoma" w:cs="Tahoma"/>
          <w:sz w:val="18"/>
          <w:szCs w:val="18"/>
        </w:rPr>
      </w:pPr>
      <w:r w:rsidRPr="00BC1F3E">
        <w:rPr>
          <w:rFonts w:ascii="Tahoma" w:hAnsi="Tahoma" w:cs="Tahoma"/>
          <w:sz w:val="18"/>
          <w:szCs w:val="18"/>
        </w:rPr>
        <w:lastRenderedPageBreak/>
        <w:t>Visual Studio Professional con MSDN</w:t>
      </w:r>
    </w:p>
    <w:p w:rsidR="006771C8" w:rsidRPr="00BC1F3E" w:rsidRDefault="006771C8" w:rsidP="00CB436E">
      <w:pPr>
        <w:pStyle w:val="FootnoteBulletLevel2"/>
        <w:numPr>
          <w:ilvl w:val="0"/>
          <w:numId w:val="6"/>
        </w:numPr>
        <w:spacing w:before="0" w:after="60"/>
        <w:ind w:left="1440"/>
        <w:rPr>
          <w:rFonts w:ascii="Tahoma" w:hAnsi="Tahoma" w:cs="Tahoma"/>
          <w:sz w:val="18"/>
          <w:szCs w:val="18"/>
        </w:rPr>
      </w:pPr>
      <w:r w:rsidRPr="00BC1F3E">
        <w:rPr>
          <w:rFonts w:ascii="Tahoma" w:hAnsi="Tahoma" w:cs="Tahoma"/>
          <w:sz w:val="18"/>
          <w:szCs w:val="18"/>
        </w:rPr>
        <w:t>Visual Studio Test Professional con MSDN</w:t>
      </w:r>
    </w:p>
    <w:p w:rsidR="00223A77" w:rsidRPr="00BC1F3E" w:rsidRDefault="00223A77" w:rsidP="00CB436E">
      <w:pPr>
        <w:pStyle w:val="FootnoteBulletLevel2"/>
        <w:numPr>
          <w:ilvl w:val="0"/>
          <w:numId w:val="6"/>
        </w:numPr>
        <w:spacing w:before="0" w:after="60"/>
        <w:ind w:left="1440"/>
        <w:rPr>
          <w:rFonts w:ascii="Tahoma" w:hAnsi="Tahoma" w:cs="Tahoma"/>
          <w:sz w:val="18"/>
          <w:szCs w:val="18"/>
        </w:rPr>
      </w:pPr>
      <w:r w:rsidRPr="00BC1F3E">
        <w:rPr>
          <w:rFonts w:ascii="Tahoma" w:hAnsi="Tahoma" w:cs="Tahoma"/>
          <w:sz w:val="18"/>
          <w:szCs w:val="18"/>
        </w:rPr>
        <w:t>Sistemi Operativi MSDN</w:t>
      </w:r>
    </w:p>
    <w:p w:rsidR="00223A77" w:rsidRPr="00BC1F3E" w:rsidRDefault="00223A77" w:rsidP="00CB436E">
      <w:pPr>
        <w:pStyle w:val="FootnoteBulletLevel1"/>
        <w:spacing w:before="0" w:after="0"/>
        <w:ind w:left="907" w:firstLine="0"/>
        <w:rPr>
          <w:rFonts w:ascii="Tahoma" w:hAnsi="Tahoma" w:cs="Tahoma"/>
          <w:sz w:val="18"/>
          <w:szCs w:val="18"/>
        </w:rPr>
      </w:pPr>
    </w:p>
    <w:p w:rsidR="0055611F" w:rsidRPr="00BC1F3E" w:rsidRDefault="00223A77" w:rsidP="00076CB4">
      <w:pPr>
        <w:pStyle w:val="FootnoteBulletLevel1"/>
        <w:tabs>
          <w:tab w:val="clear" w:pos="900"/>
        </w:tabs>
        <w:spacing w:before="0" w:after="0"/>
        <w:ind w:left="720" w:firstLine="0"/>
        <w:rPr>
          <w:rFonts w:ascii="Tahoma" w:hAnsi="Tahoma" w:cs="Tahoma"/>
          <w:sz w:val="18"/>
          <w:szCs w:val="18"/>
          <w:lang w:val="it-IT"/>
        </w:rPr>
      </w:pPr>
      <w:r w:rsidRPr="00BC1F3E">
        <w:rPr>
          <w:rFonts w:ascii="Tahoma" w:hAnsi="Tahoma" w:cs="Tahoma"/>
          <w:sz w:val="18"/>
          <w:szCs w:val="18"/>
          <w:lang w:val="it-IT"/>
        </w:rPr>
        <w:t>Le società che hanno stipulato contratti Enterprise, Select o Open Value e con copertura Software Assurance attiva per Visual Studio Premium 2012 con MSDN potranno anch</w:t>
      </w:r>
      <w:r w:rsidR="004525CA">
        <w:rPr>
          <w:rFonts w:ascii="Tahoma" w:hAnsi="Tahoma" w:cs="Tahoma"/>
          <w:sz w:val="18"/>
          <w:szCs w:val="18"/>
          <w:lang w:val="it-IT"/>
        </w:rPr>
        <w:t>’</w:t>
      </w:r>
      <w:r w:rsidRPr="00BC1F3E">
        <w:rPr>
          <w:rFonts w:ascii="Tahoma" w:hAnsi="Tahoma" w:cs="Tahoma"/>
          <w:sz w:val="18"/>
          <w:szCs w:val="18"/>
          <w:lang w:val="it-IT"/>
        </w:rPr>
        <w:t xml:space="preserve">esse effettuare lo step-up a Visual Studio Ultimate 2012 con MSDN dopo aver acquistato lo </w:t>
      </w:r>
      <w:hyperlink w:anchor="Step_Up" w:history="1">
        <w:r w:rsidRPr="00BC1F3E">
          <w:rPr>
            <w:rFonts w:ascii="Tahoma" w:hAnsi="Tahoma" w:cs="Tahoma"/>
            <w:sz w:val="18"/>
            <w:szCs w:val="18"/>
            <w:lang w:val="it-IT"/>
          </w:rPr>
          <w:t>SKU di Step-Up</w:t>
        </w:r>
      </w:hyperlink>
      <w:r w:rsidRPr="00BC1F3E">
        <w:rPr>
          <w:rFonts w:ascii="Tahoma" w:hAnsi="Tahoma" w:cs="Tahoma"/>
          <w:sz w:val="18"/>
          <w:szCs w:val="18"/>
          <w:lang w:val="it-IT"/>
        </w:rPr>
        <w:t>idoneo.</w:t>
      </w:r>
    </w:p>
    <w:p w:rsidR="00CB436E" w:rsidRPr="00BC1F3E" w:rsidRDefault="00CB436E" w:rsidP="00076CB4">
      <w:pPr>
        <w:pStyle w:val="FootnoteBulletLevel2"/>
        <w:tabs>
          <w:tab w:val="clear" w:pos="1260"/>
        </w:tabs>
        <w:spacing w:before="0"/>
        <w:ind w:left="720" w:firstLine="0"/>
        <w:rPr>
          <w:rFonts w:ascii="Tahoma" w:hAnsi="Tahoma" w:cs="Tahoma"/>
          <w:sz w:val="18"/>
          <w:szCs w:val="18"/>
          <w:lang w:val="it-IT"/>
        </w:rPr>
      </w:pPr>
    </w:p>
    <w:p w:rsidR="0055611F" w:rsidRPr="00BC1F3E" w:rsidRDefault="0055611F" w:rsidP="00864B8A">
      <w:pPr>
        <w:spacing w:after="60"/>
        <w:ind w:left="720"/>
        <w:rPr>
          <w:rFonts w:cs="Tahoma"/>
          <w:szCs w:val="18"/>
          <w:lang w:val="it-IT"/>
        </w:rPr>
      </w:pPr>
      <w:r w:rsidRPr="00BC1F3E">
        <w:rPr>
          <w:rFonts w:cs="Tahoma"/>
          <w:b/>
          <w:szCs w:val="18"/>
          <w:lang w:val="it-IT"/>
        </w:rPr>
        <w:t xml:space="preserve">Servizi </w:t>
      </w:r>
      <w:r w:rsidR="001A3EC5" w:rsidRPr="00BC1F3E">
        <w:rPr>
          <w:rFonts w:cs="Tahoma"/>
          <w:b/>
          <w:szCs w:val="18"/>
          <w:lang w:val="it-IT"/>
        </w:rPr>
        <w:t>“</w:t>
      </w:r>
      <w:r w:rsidRPr="00BC1F3E">
        <w:rPr>
          <w:rFonts w:cs="Tahoma"/>
          <w:b/>
          <w:szCs w:val="18"/>
          <w:lang w:val="it-IT"/>
        </w:rPr>
        <w:t>Subscription</w:t>
      </w:r>
      <w:r w:rsidR="001A3EC5" w:rsidRPr="00BC1F3E">
        <w:rPr>
          <w:rFonts w:cs="Tahoma"/>
          <w:b/>
          <w:szCs w:val="18"/>
          <w:lang w:val="it-IT"/>
        </w:rPr>
        <w:t>”</w:t>
      </w:r>
    </w:p>
    <w:p w:rsidR="0055611F" w:rsidRPr="00BC1F3E" w:rsidRDefault="0055611F" w:rsidP="00076CB4">
      <w:pPr>
        <w:pStyle w:val="FootnoteBulletLevel2"/>
        <w:tabs>
          <w:tab w:val="clear" w:pos="1260"/>
        </w:tabs>
        <w:spacing w:before="0"/>
        <w:ind w:left="720" w:firstLine="0"/>
        <w:rPr>
          <w:rFonts w:ascii="Tahoma" w:hAnsi="Tahoma" w:cs="Tahoma"/>
          <w:sz w:val="18"/>
          <w:szCs w:val="18"/>
          <w:lang w:val="it-IT"/>
        </w:rPr>
      </w:pPr>
      <w:r w:rsidRPr="00BC1F3E">
        <w:rPr>
          <w:rFonts w:ascii="Tahoma" w:hAnsi="Tahoma" w:cs="Tahoma"/>
          <w:sz w:val="18"/>
          <w:szCs w:val="18"/>
          <w:lang w:val="it-IT"/>
        </w:rPr>
        <w:t>I servizi MSDN in abbonamento, che potranno includere download, codici Product Key, vantaggi di Windows Azure, vantaggi di Office 365 Developer, e-learning, supporto tecnico, vantaggi di Windows Store e altri servizi, sono disponibili solo durante il periodo di validità dell</w:t>
      </w:r>
      <w:r w:rsidR="004525CA">
        <w:rPr>
          <w:rFonts w:ascii="Tahoma" w:hAnsi="Tahoma" w:cs="Tahoma"/>
          <w:sz w:val="18"/>
          <w:szCs w:val="18"/>
          <w:lang w:val="it-IT"/>
        </w:rPr>
        <w:t>’</w:t>
      </w:r>
      <w:r w:rsidRPr="00BC1F3E">
        <w:rPr>
          <w:rFonts w:ascii="Tahoma" w:hAnsi="Tahoma" w:cs="Tahoma"/>
          <w:sz w:val="18"/>
          <w:szCs w:val="18"/>
          <w:lang w:val="it-IT"/>
        </w:rPr>
        <w:t>abbonamento.</w:t>
      </w:r>
    </w:p>
    <w:p w:rsidR="0055611F" w:rsidRPr="00BC1F3E" w:rsidRDefault="0055611F" w:rsidP="00076CB4">
      <w:pPr>
        <w:pStyle w:val="FootnoteBulletLevel1"/>
        <w:tabs>
          <w:tab w:val="clear" w:pos="900"/>
        </w:tabs>
        <w:spacing w:before="0" w:after="0"/>
        <w:ind w:left="720" w:firstLine="0"/>
        <w:rPr>
          <w:rFonts w:ascii="Tahoma" w:hAnsi="Tahoma" w:cs="Tahoma"/>
          <w:sz w:val="18"/>
          <w:szCs w:val="18"/>
          <w:lang w:val="it-IT"/>
        </w:rPr>
      </w:pPr>
    </w:p>
    <w:p w:rsidR="0055611F" w:rsidRPr="00BC1F3E" w:rsidRDefault="009B2474" w:rsidP="00864B8A">
      <w:pPr>
        <w:spacing w:after="60"/>
        <w:ind w:left="720"/>
        <w:rPr>
          <w:rFonts w:cs="Tahoma"/>
          <w:szCs w:val="18"/>
          <w:lang w:val="it-IT"/>
        </w:rPr>
      </w:pPr>
      <w:r w:rsidRPr="00BC1F3E">
        <w:rPr>
          <w:rFonts w:cs="Tahoma"/>
          <w:b/>
          <w:szCs w:val="18"/>
          <w:lang w:val="it-IT"/>
        </w:rPr>
        <w:t>Servizi della Piattaforma Windows Azure</w:t>
      </w:r>
    </w:p>
    <w:p w:rsidR="0055611F" w:rsidRPr="00451078" w:rsidRDefault="0055611F" w:rsidP="00076CB4">
      <w:pPr>
        <w:pStyle w:val="FootnoteBulletLevel2"/>
        <w:tabs>
          <w:tab w:val="clear" w:pos="1260"/>
        </w:tabs>
        <w:spacing w:before="0"/>
        <w:ind w:left="720" w:firstLine="0"/>
        <w:rPr>
          <w:lang w:val="it-IT"/>
        </w:rPr>
      </w:pPr>
      <w:r w:rsidRPr="00BC1F3E">
        <w:rPr>
          <w:rFonts w:ascii="Tahoma" w:hAnsi="Tahoma" w:cs="Tahoma"/>
          <w:sz w:val="18"/>
          <w:szCs w:val="18"/>
          <w:lang w:val="it-IT"/>
        </w:rPr>
        <w:t xml:space="preserve">I vantaggi di Windows Azure non possono essere una combinazione di più abbonamenti a MSDN su un </w:t>
      </w:r>
      <w:r w:rsidRPr="00451078">
        <w:rPr>
          <w:rFonts w:ascii="Tahoma" w:hAnsi="Tahoma" w:cs="Tahoma"/>
          <w:sz w:val="18"/>
          <w:lang w:val="it-IT"/>
        </w:rPr>
        <w:t>singolo account di Windows Azure. L</w:t>
      </w:r>
      <w:r w:rsidR="004525CA">
        <w:rPr>
          <w:rFonts w:ascii="Tahoma" w:hAnsi="Tahoma" w:cs="Tahoma"/>
          <w:sz w:val="18"/>
          <w:lang w:val="it-IT"/>
        </w:rPr>
        <w:t>’</w:t>
      </w:r>
      <w:r w:rsidRPr="00451078">
        <w:rPr>
          <w:rFonts w:ascii="Tahoma" w:hAnsi="Tahoma" w:cs="Tahoma"/>
          <w:sz w:val="18"/>
          <w:lang w:val="it-IT"/>
        </w:rPr>
        <w:t>uso di Windows Azure è soggetto alle relative condizioni per l</w:t>
      </w:r>
      <w:r w:rsidR="004525CA">
        <w:rPr>
          <w:rFonts w:ascii="Tahoma" w:hAnsi="Tahoma" w:cs="Tahoma"/>
          <w:sz w:val="18"/>
          <w:lang w:val="it-IT"/>
        </w:rPr>
        <w:t>’</w:t>
      </w:r>
      <w:r w:rsidRPr="00451078">
        <w:rPr>
          <w:rFonts w:ascii="Tahoma" w:hAnsi="Tahoma" w:cs="Tahoma"/>
          <w:sz w:val="18"/>
          <w:lang w:val="it-IT"/>
        </w:rPr>
        <w:t>utilizzo.</w:t>
      </w:r>
    </w:p>
    <w:p w:rsidR="0055611F" w:rsidRPr="00451078" w:rsidRDefault="0055611F" w:rsidP="00CB436E">
      <w:pPr>
        <w:pStyle w:val="FootnoteBulletLevel2"/>
        <w:tabs>
          <w:tab w:val="clear" w:pos="1260"/>
        </w:tabs>
        <w:spacing w:before="0"/>
        <w:ind w:left="0" w:firstLine="0"/>
        <w:rPr>
          <w:lang w:val="it-IT"/>
        </w:rPr>
      </w:pPr>
    </w:p>
    <w:p w:rsidR="00E03856" w:rsidRPr="00451078" w:rsidRDefault="00E03856" w:rsidP="00CB436E">
      <w:pPr>
        <w:pStyle w:val="FootnoteBulletLevel2"/>
        <w:tabs>
          <w:tab w:val="clear" w:pos="1260"/>
        </w:tabs>
        <w:spacing w:before="0"/>
        <w:ind w:left="0" w:firstLine="0"/>
        <w:rPr>
          <w:lang w:val="it-IT"/>
        </w:rPr>
      </w:pPr>
    </w:p>
    <w:p w:rsidR="00223A77" w:rsidRPr="00451078" w:rsidRDefault="00F73587" w:rsidP="00223A77">
      <w:pPr>
        <w:pStyle w:val="Heading3"/>
        <w:rPr>
          <w:lang w:val="it-IT"/>
        </w:rPr>
      </w:pPr>
      <w:bookmarkStart w:id="1094" w:name="_Toc336338278"/>
      <w:bookmarkStart w:id="1095" w:name="_Toc352234872"/>
      <w:bookmarkStart w:id="1096" w:name="Aps_18VS2010UltimateMSDN"/>
      <w:r w:rsidRPr="00451078">
        <w:rPr>
          <w:rFonts w:ascii="Tahoma" w:hAnsi="Tahoma"/>
          <w:caps/>
          <w:color w:val="F66400"/>
          <w:sz w:val="22"/>
          <w:vertAlign w:val="superscript"/>
          <w:lang w:val="it-IT"/>
        </w:rPr>
        <w:t>21</w:t>
      </w:r>
      <w:r w:rsidRPr="00451078">
        <w:rPr>
          <w:rFonts w:ascii="Tahoma" w:hAnsi="Tahoma"/>
          <w:color w:val="F66400"/>
          <w:sz w:val="22"/>
          <w:lang w:val="it-IT"/>
        </w:rPr>
        <w:t xml:space="preserve"> Visual Studio Ultimate 2012 con MSDN</w:t>
      </w:r>
      <w:bookmarkEnd w:id="1094"/>
      <w:bookmarkEnd w:id="1095"/>
      <w:r w:rsidRPr="00451078">
        <w:rPr>
          <w:rFonts w:ascii="Tahoma" w:hAnsi="Tahoma"/>
          <w:color w:val="F66400"/>
          <w:sz w:val="22"/>
          <w:lang w:val="it-IT"/>
        </w:rPr>
        <w:t xml:space="preserve"> </w:t>
      </w:r>
    </w:p>
    <w:bookmarkEnd w:id="1096"/>
    <w:p w:rsidR="0032113C" w:rsidRPr="00451078" w:rsidRDefault="0032113C" w:rsidP="007A4659">
      <w:pPr>
        <w:adjustRightInd w:val="0"/>
        <w:ind w:left="540"/>
        <w:textAlignment w:val="baseline"/>
        <w:rPr>
          <w:lang w:val="it-IT"/>
        </w:rPr>
      </w:pPr>
    </w:p>
    <w:p w:rsidR="001026FD" w:rsidRPr="00297619" w:rsidRDefault="001026FD" w:rsidP="00864B8A">
      <w:pPr>
        <w:spacing w:after="60"/>
        <w:ind w:left="720"/>
        <w:rPr>
          <w:rFonts w:cs="Tahoma"/>
          <w:szCs w:val="18"/>
          <w:lang w:val="it-IT"/>
        </w:rPr>
      </w:pPr>
      <w:r w:rsidRPr="00297619">
        <w:rPr>
          <w:rFonts w:cs="Tahoma"/>
          <w:b/>
          <w:szCs w:val="18"/>
          <w:lang w:val="it-IT"/>
        </w:rPr>
        <w:t>Visual Studio Team Foundation Server 2012</w:t>
      </w:r>
    </w:p>
    <w:p w:rsidR="001026FD" w:rsidRPr="00297619" w:rsidRDefault="001026FD" w:rsidP="007A4659">
      <w:pPr>
        <w:pStyle w:val="EndnoteText"/>
        <w:ind w:left="720"/>
        <w:rPr>
          <w:rFonts w:ascii="Tahoma" w:hAnsi="Tahoma" w:cs="Tahoma"/>
          <w:sz w:val="18"/>
          <w:szCs w:val="18"/>
          <w:lang w:val="it-IT"/>
        </w:rPr>
      </w:pPr>
      <w:r w:rsidRPr="00297619">
        <w:rPr>
          <w:rFonts w:ascii="Tahoma" w:hAnsi="Tahoma" w:cs="Tahoma"/>
          <w:sz w:val="18"/>
          <w:szCs w:val="18"/>
          <w:lang w:val="it-IT"/>
        </w:rPr>
        <w:t>Il sottoscrittore è autorizzato a ricevere una licenza server per Visual Studio Team Foundation Server 2012 e</w:t>
      </w:r>
      <w:r w:rsidR="00B62DEE" w:rsidRPr="00297619">
        <w:rPr>
          <w:rFonts w:ascii="Tahoma" w:hAnsi="Tahoma" w:cs="Tahoma"/>
          <w:sz w:val="18"/>
          <w:szCs w:val="18"/>
          <w:lang w:val="it-IT"/>
        </w:rPr>
        <w:t> </w:t>
      </w:r>
      <w:r w:rsidRPr="00297619">
        <w:rPr>
          <w:rFonts w:ascii="Tahoma" w:hAnsi="Tahoma" w:cs="Tahoma"/>
          <w:sz w:val="18"/>
          <w:szCs w:val="18"/>
          <w:lang w:val="it-IT"/>
        </w:rPr>
        <w:t>una User CAL per Team Foundation Server. La licenza CAL può essere utilizzata esclusivamente dal sottoscrittore.</w:t>
      </w:r>
    </w:p>
    <w:p w:rsidR="001026FD" w:rsidRPr="00297619" w:rsidRDefault="001026FD" w:rsidP="007A4659">
      <w:pPr>
        <w:pStyle w:val="EndnoteText"/>
        <w:ind w:left="720"/>
        <w:rPr>
          <w:rFonts w:ascii="Tahoma" w:hAnsi="Tahoma" w:cs="Tahoma"/>
          <w:sz w:val="18"/>
          <w:szCs w:val="18"/>
          <w:lang w:val="it-IT"/>
        </w:rPr>
      </w:pPr>
    </w:p>
    <w:p w:rsidR="001026FD" w:rsidRPr="00297619" w:rsidRDefault="001026FD" w:rsidP="00864B8A">
      <w:pPr>
        <w:spacing w:after="60"/>
        <w:ind w:left="720"/>
        <w:rPr>
          <w:rFonts w:cs="Tahoma"/>
          <w:szCs w:val="18"/>
          <w:lang w:val="it-IT"/>
        </w:rPr>
      </w:pPr>
      <w:r w:rsidRPr="00297619">
        <w:rPr>
          <w:rFonts w:cs="Tahoma"/>
          <w:b/>
          <w:szCs w:val="18"/>
          <w:lang w:val="it-IT"/>
        </w:rPr>
        <w:t>SQL Server Parallel Data Warehouse Developer</w:t>
      </w:r>
    </w:p>
    <w:p w:rsidR="001026FD" w:rsidRPr="00297619" w:rsidRDefault="001026FD" w:rsidP="007A4659">
      <w:pPr>
        <w:pStyle w:val="EndnoteText"/>
        <w:ind w:left="720"/>
        <w:rPr>
          <w:rFonts w:ascii="Tahoma" w:hAnsi="Tahoma" w:cs="Tahoma"/>
          <w:sz w:val="18"/>
          <w:szCs w:val="18"/>
          <w:lang w:val="it-IT"/>
        </w:rPr>
      </w:pPr>
      <w:r w:rsidRPr="00297619">
        <w:rPr>
          <w:rFonts w:ascii="Tahoma" w:hAnsi="Tahoma" w:cs="Tahoma"/>
          <w:sz w:val="18"/>
          <w:szCs w:val="18"/>
          <w:lang w:val="it-IT"/>
        </w:rPr>
        <w:t>Il sottoscrittore è idoneo a ricevere una licenza per SQL Server 2008 R2 Parallel Data Warehouse Developer.</w:t>
      </w:r>
    </w:p>
    <w:p w:rsidR="007A4659" w:rsidRPr="00297619" w:rsidRDefault="007A4659" w:rsidP="007A4659">
      <w:pPr>
        <w:adjustRightInd w:val="0"/>
        <w:ind w:left="720"/>
        <w:textAlignment w:val="baseline"/>
        <w:rPr>
          <w:rFonts w:cs="Tahoma"/>
          <w:szCs w:val="18"/>
          <w:lang w:val="it-IT"/>
        </w:rPr>
      </w:pPr>
    </w:p>
    <w:p w:rsidR="0032113C" w:rsidRPr="00297619" w:rsidRDefault="0032113C" w:rsidP="00864B8A">
      <w:pPr>
        <w:spacing w:after="60"/>
        <w:ind w:left="720"/>
        <w:rPr>
          <w:rFonts w:cs="Tahoma"/>
          <w:szCs w:val="18"/>
          <w:lang w:val="it-IT"/>
        </w:rPr>
      </w:pPr>
      <w:r w:rsidRPr="00297619">
        <w:rPr>
          <w:rFonts w:cs="Tahoma"/>
          <w:b/>
          <w:szCs w:val="18"/>
          <w:lang w:val="it-IT"/>
        </w:rPr>
        <w:t>Requisiti di Idoneità per Software Assurance</w:t>
      </w:r>
    </w:p>
    <w:p w:rsidR="0032113C" w:rsidRPr="00297619" w:rsidRDefault="0032113C" w:rsidP="00BA62E1">
      <w:pPr>
        <w:pStyle w:val="EndnoteText"/>
        <w:rPr>
          <w:rFonts w:ascii="Tahoma" w:hAnsi="Tahoma" w:cs="Tahoma"/>
          <w:sz w:val="18"/>
          <w:szCs w:val="18"/>
          <w:lang w:val="it-IT"/>
        </w:rPr>
      </w:pPr>
      <w:r w:rsidRPr="00297619">
        <w:rPr>
          <w:rFonts w:ascii="Tahoma" w:hAnsi="Tahoma" w:cs="Tahoma"/>
          <w:sz w:val="18"/>
          <w:szCs w:val="18"/>
          <w:lang w:val="it-IT"/>
        </w:rPr>
        <w:t>Le società con copertura Software Assurance in scadenza per i prodotti che seguono sono idonee a rinnovare la copertura come Visual Studio Ultimate 2012 con MSDN. Quando viene effettuato il rinnovo a</w:t>
      </w:r>
      <w:r w:rsidR="00BA62E1">
        <w:rPr>
          <w:rFonts w:ascii="Tahoma" w:hAnsi="Tahoma" w:cs="Tahoma"/>
          <w:sz w:val="18"/>
          <w:szCs w:val="18"/>
          <w:lang w:val="it-IT"/>
        </w:rPr>
        <w:t> </w:t>
      </w:r>
      <w:r w:rsidRPr="00297619">
        <w:rPr>
          <w:rFonts w:ascii="Tahoma" w:hAnsi="Tahoma" w:cs="Tahoma"/>
          <w:sz w:val="18"/>
          <w:szCs w:val="18"/>
          <w:lang w:val="it-IT"/>
        </w:rPr>
        <w:t>un livello di sottoscrizione MSDN diverso, le nuove condizioni per l</w:t>
      </w:r>
      <w:r w:rsidR="004525CA">
        <w:rPr>
          <w:rFonts w:ascii="Tahoma" w:hAnsi="Tahoma" w:cs="Tahoma"/>
          <w:sz w:val="18"/>
          <w:szCs w:val="18"/>
          <w:lang w:val="it-IT"/>
        </w:rPr>
        <w:t>’</w:t>
      </w:r>
      <w:r w:rsidRPr="00297619">
        <w:rPr>
          <w:rFonts w:ascii="Tahoma" w:hAnsi="Tahoma" w:cs="Tahoma"/>
          <w:sz w:val="18"/>
          <w:szCs w:val="18"/>
          <w:lang w:val="it-IT"/>
        </w:rPr>
        <w:t>utilizzo sostituiscono quelle precedenti e qualsiasi prodotto software non incluso nella nuova sottoscrizione MSDN dovrà essere rimosso.</w:t>
      </w:r>
    </w:p>
    <w:p w:rsidR="0032113C" w:rsidRPr="00451078" w:rsidRDefault="0032113C" w:rsidP="0032113C">
      <w:pPr>
        <w:ind w:left="900"/>
        <w:rPr>
          <w:lang w:val="it-IT"/>
        </w:rPr>
      </w:pPr>
    </w:p>
    <w:p w:rsidR="0032113C" w:rsidRPr="003410C7" w:rsidRDefault="0032113C" w:rsidP="007A4659">
      <w:pPr>
        <w:numPr>
          <w:ilvl w:val="0"/>
          <w:numId w:val="6"/>
        </w:numPr>
        <w:adjustRightInd w:val="0"/>
        <w:snapToGrid w:val="0"/>
        <w:spacing w:after="60"/>
        <w:ind w:left="1440"/>
        <w:textAlignment w:val="baseline"/>
      </w:pPr>
      <w:r w:rsidRPr="003410C7">
        <w:rPr>
          <w:rFonts w:cs="Tahoma"/>
          <w:szCs w:val="24"/>
        </w:rPr>
        <w:t>Visual Studio Ultimate con MSDN</w:t>
      </w:r>
    </w:p>
    <w:p w:rsidR="0032113C" w:rsidRPr="003410C7" w:rsidRDefault="0032113C" w:rsidP="007A4659">
      <w:pPr>
        <w:numPr>
          <w:ilvl w:val="0"/>
          <w:numId w:val="6"/>
        </w:numPr>
        <w:adjustRightInd w:val="0"/>
        <w:snapToGrid w:val="0"/>
        <w:spacing w:after="60"/>
        <w:ind w:left="1440"/>
        <w:textAlignment w:val="baseline"/>
      </w:pPr>
      <w:r w:rsidRPr="003410C7">
        <w:rPr>
          <w:rFonts w:cs="Tahoma"/>
          <w:szCs w:val="24"/>
        </w:rPr>
        <w:t>Visual Studio Team System Team Suite con MSDN Premium</w:t>
      </w:r>
    </w:p>
    <w:p w:rsidR="0032113C" w:rsidRPr="003410C7" w:rsidRDefault="0032113C" w:rsidP="007A4659">
      <w:pPr>
        <w:numPr>
          <w:ilvl w:val="0"/>
          <w:numId w:val="6"/>
        </w:numPr>
        <w:adjustRightInd w:val="0"/>
        <w:snapToGrid w:val="0"/>
        <w:spacing w:after="60"/>
        <w:ind w:left="1440"/>
        <w:textAlignment w:val="baseline"/>
      </w:pPr>
      <w:r w:rsidRPr="003410C7">
        <w:rPr>
          <w:rFonts w:cs="Tahoma"/>
          <w:szCs w:val="24"/>
        </w:rPr>
        <w:t>Visual Studio Team System Test Edition con MSDN Premium</w:t>
      </w:r>
    </w:p>
    <w:p w:rsidR="0032113C" w:rsidRPr="003410C7" w:rsidRDefault="0032113C" w:rsidP="007A4659">
      <w:pPr>
        <w:numPr>
          <w:ilvl w:val="0"/>
          <w:numId w:val="6"/>
        </w:numPr>
        <w:adjustRightInd w:val="0"/>
        <w:snapToGrid w:val="0"/>
        <w:spacing w:after="60"/>
        <w:ind w:left="1440"/>
        <w:textAlignment w:val="baseline"/>
      </w:pPr>
      <w:r w:rsidRPr="003410C7">
        <w:rPr>
          <w:rFonts w:cs="Tahoma"/>
          <w:szCs w:val="24"/>
        </w:rPr>
        <w:t>Visual Studio Team System Development Edition con MSDN Premium</w:t>
      </w:r>
    </w:p>
    <w:p w:rsidR="0032113C" w:rsidRPr="003410C7" w:rsidRDefault="0032113C" w:rsidP="007A4659">
      <w:pPr>
        <w:numPr>
          <w:ilvl w:val="0"/>
          <w:numId w:val="6"/>
        </w:numPr>
        <w:adjustRightInd w:val="0"/>
        <w:snapToGrid w:val="0"/>
        <w:spacing w:after="60"/>
        <w:ind w:left="1440"/>
        <w:textAlignment w:val="baseline"/>
      </w:pPr>
      <w:r w:rsidRPr="003410C7">
        <w:rPr>
          <w:rFonts w:cs="Tahoma"/>
          <w:szCs w:val="24"/>
        </w:rPr>
        <w:t xml:space="preserve">Visual Studio Team System Architecture Edition con MSDN Premium </w:t>
      </w:r>
    </w:p>
    <w:p w:rsidR="0032113C" w:rsidRPr="003410C7" w:rsidRDefault="0032113C" w:rsidP="007A4659">
      <w:pPr>
        <w:numPr>
          <w:ilvl w:val="0"/>
          <w:numId w:val="6"/>
        </w:numPr>
        <w:adjustRightInd w:val="0"/>
        <w:snapToGrid w:val="0"/>
        <w:spacing w:after="60"/>
        <w:ind w:left="1440"/>
        <w:textAlignment w:val="baseline"/>
      </w:pPr>
      <w:r w:rsidRPr="003410C7">
        <w:rPr>
          <w:rFonts w:cs="Tahoma"/>
          <w:szCs w:val="24"/>
        </w:rPr>
        <w:t>Visual Studio Team System Database Edition con MSDN Premium</w:t>
      </w:r>
    </w:p>
    <w:p w:rsidR="0032113C" w:rsidRPr="00451078" w:rsidRDefault="0032113C" w:rsidP="007A4659">
      <w:pPr>
        <w:numPr>
          <w:ilvl w:val="0"/>
          <w:numId w:val="6"/>
        </w:numPr>
        <w:adjustRightInd w:val="0"/>
        <w:snapToGrid w:val="0"/>
        <w:spacing w:after="60"/>
        <w:ind w:left="1440"/>
        <w:textAlignment w:val="baseline"/>
        <w:rPr>
          <w:lang w:val="it-IT"/>
        </w:rPr>
      </w:pPr>
      <w:r w:rsidRPr="00451078">
        <w:rPr>
          <w:rFonts w:cs="Tahoma"/>
          <w:szCs w:val="24"/>
          <w:lang w:val="it-IT"/>
        </w:rPr>
        <w:t>Società titolari di un abbonamento retail attivo per qualsiasi prodotto software indicato nel precedente elenco.</w:t>
      </w:r>
    </w:p>
    <w:p w:rsidR="0032113C" w:rsidRPr="00451078" w:rsidRDefault="0032113C" w:rsidP="007A4659">
      <w:pPr>
        <w:tabs>
          <w:tab w:val="num" w:pos="900"/>
        </w:tabs>
        <w:adjustRightInd w:val="0"/>
        <w:ind w:left="1440"/>
        <w:textAlignment w:val="baseline"/>
        <w:rPr>
          <w:lang w:val="it-IT"/>
        </w:rPr>
      </w:pPr>
    </w:p>
    <w:p w:rsidR="0032113C" w:rsidRPr="00451078" w:rsidRDefault="0032113C" w:rsidP="007A4659">
      <w:pPr>
        <w:adjustRightInd w:val="0"/>
        <w:ind w:left="720"/>
        <w:textAlignment w:val="baseline"/>
        <w:rPr>
          <w:lang w:val="it-IT"/>
        </w:rPr>
      </w:pPr>
      <w:r w:rsidRPr="00451078">
        <w:rPr>
          <w:rFonts w:cs="Tahoma"/>
          <w:szCs w:val="20"/>
          <w:lang w:val="it-IT"/>
        </w:rPr>
        <w:t xml:space="preserve">Le società con copertura Software Assurance in scadenza per Visual Studio Ultimate 2012 con MSDN sono idonee a rinnovare la copertura come: </w:t>
      </w:r>
    </w:p>
    <w:p w:rsidR="0032113C" w:rsidRPr="003410C7" w:rsidRDefault="0032113C" w:rsidP="007A4659">
      <w:pPr>
        <w:numPr>
          <w:ilvl w:val="0"/>
          <w:numId w:val="6"/>
        </w:numPr>
        <w:adjustRightInd w:val="0"/>
        <w:snapToGrid w:val="0"/>
        <w:spacing w:after="60"/>
        <w:ind w:left="1440"/>
        <w:textAlignment w:val="baseline"/>
      </w:pPr>
      <w:r w:rsidRPr="003410C7">
        <w:rPr>
          <w:rFonts w:cs="Tahoma"/>
          <w:szCs w:val="24"/>
        </w:rPr>
        <w:t>Visual Studio Premium con MSDN</w:t>
      </w:r>
    </w:p>
    <w:p w:rsidR="0032113C" w:rsidRPr="003410C7" w:rsidRDefault="0032113C" w:rsidP="007A4659">
      <w:pPr>
        <w:numPr>
          <w:ilvl w:val="0"/>
          <w:numId w:val="6"/>
        </w:numPr>
        <w:adjustRightInd w:val="0"/>
        <w:snapToGrid w:val="0"/>
        <w:spacing w:after="60"/>
        <w:ind w:left="1440"/>
        <w:textAlignment w:val="baseline"/>
      </w:pPr>
      <w:r w:rsidRPr="003410C7">
        <w:rPr>
          <w:rFonts w:cs="Tahoma"/>
          <w:szCs w:val="24"/>
        </w:rPr>
        <w:t>Visual Studio Professional con MSDN</w:t>
      </w:r>
    </w:p>
    <w:p w:rsidR="0032113C" w:rsidRPr="003410C7" w:rsidRDefault="0032113C" w:rsidP="007A4659">
      <w:pPr>
        <w:numPr>
          <w:ilvl w:val="0"/>
          <w:numId w:val="6"/>
        </w:numPr>
        <w:adjustRightInd w:val="0"/>
        <w:snapToGrid w:val="0"/>
        <w:spacing w:after="60"/>
        <w:ind w:left="1440"/>
        <w:textAlignment w:val="baseline"/>
      </w:pPr>
      <w:r w:rsidRPr="003410C7">
        <w:rPr>
          <w:rFonts w:cs="Tahoma"/>
          <w:szCs w:val="24"/>
        </w:rPr>
        <w:t>Visual Studio Test Professional con MSDN</w:t>
      </w:r>
    </w:p>
    <w:p w:rsidR="0032113C" w:rsidRPr="003410C7" w:rsidRDefault="0032113C" w:rsidP="007A4659">
      <w:pPr>
        <w:numPr>
          <w:ilvl w:val="0"/>
          <w:numId w:val="6"/>
        </w:numPr>
        <w:adjustRightInd w:val="0"/>
        <w:snapToGrid w:val="0"/>
        <w:spacing w:after="60"/>
        <w:ind w:left="1440"/>
        <w:textAlignment w:val="baseline"/>
      </w:pPr>
      <w:r w:rsidRPr="003410C7">
        <w:rPr>
          <w:rFonts w:cs="Tahoma"/>
          <w:szCs w:val="24"/>
        </w:rPr>
        <w:t>Sistemi Operativi MSDN</w:t>
      </w:r>
    </w:p>
    <w:p w:rsidR="0055611F" w:rsidRDefault="0055611F" w:rsidP="007A4659">
      <w:pPr>
        <w:adjustRightInd w:val="0"/>
        <w:snapToGrid w:val="0"/>
        <w:textAlignment w:val="baseline"/>
      </w:pPr>
    </w:p>
    <w:p w:rsidR="00013691" w:rsidRDefault="00013691" w:rsidP="007A4659">
      <w:pPr>
        <w:adjustRightInd w:val="0"/>
        <w:snapToGrid w:val="0"/>
        <w:textAlignment w:val="baseline"/>
      </w:pPr>
    </w:p>
    <w:p w:rsidR="00013691" w:rsidRDefault="00013691" w:rsidP="007A4659">
      <w:pPr>
        <w:adjustRightInd w:val="0"/>
        <w:snapToGrid w:val="0"/>
        <w:textAlignment w:val="baseline"/>
      </w:pPr>
    </w:p>
    <w:p w:rsidR="00013691" w:rsidRDefault="00013691" w:rsidP="007A4659">
      <w:pPr>
        <w:adjustRightInd w:val="0"/>
        <w:snapToGrid w:val="0"/>
        <w:textAlignment w:val="baseline"/>
      </w:pPr>
    </w:p>
    <w:p w:rsidR="00013691" w:rsidRPr="003410C7" w:rsidRDefault="00013691" w:rsidP="007A4659">
      <w:pPr>
        <w:adjustRightInd w:val="0"/>
        <w:snapToGrid w:val="0"/>
        <w:textAlignment w:val="baseline"/>
      </w:pPr>
    </w:p>
    <w:p w:rsidR="0055611F" w:rsidRPr="003410C7" w:rsidRDefault="009B2474" w:rsidP="00864B8A">
      <w:pPr>
        <w:spacing w:after="60"/>
        <w:ind w:left="720"/>
      </w:pPr>
      <w:r w:rsidRPr="003410C7">
        <w:rPr>
          <w:rFonts w:cs="Tahoma"/>
          <w:b/>
        </w:rPr>
        <w:lastRenderedPageBreak/>
        <w:t xml:space="preserve">Servizi </w:t>
      </w:r>
      <w:r w:rsidR="001A3EC5">
        <w:rPr>
          <w:rFonts w:cs="Tahoma"/>
          <w:b/>
        </w:rPr>
        <w:t>“</w:t>
      </w:r>
      <w:r w:rsidRPr="003410C7">
        <w:rPr>
          <w:rFonts w:cs="Tahoma"/>
          <w:b/>
        </w:rPr>
        <w:t>Subscription</w:t>
      </w:r>
      <w:r w:rsidR="001A3EC5">
        <w:rPr>
          <w:rFonts w:cs="Tahoma"/>
          <w:b/>
        </w:rPr>
        <w:t>”</w:t>
      </w:r>
    </w:p>
    <w:p w:rsidR="0055611F" w:rsidRPr="00451078" w:rsidRDefault="0055611F" w:rsidP="007A4659">
      <w:pPr>
        <w:pStyle w:val="FootnoteBulletLevel2"/>
        <w:tabs>
          <w:tab w:val="clear" w:pos="1260"/>
        </w:tabs>
        <w:spacing w:before="0"/>
        <w:ind w:left="720" w:firstLine="0"/>
        <w:rPr>
          <w:lang w:val="it-IT"/>
        </w:rPr>
      </w:pPr>
      <w:r w:rsidRPr="00451078">
        <w:rPr>
          <w:rFonts w:ascii="Tahoma" w:hAnsi="Tahoma" w:cs="Tahoma"/>
          <w:sz w:val="18"/>
          <w:lang w:val="it-IT"/>
        </w:rPr>
        <w:t>I servizi MSDN in abbonamento, che potranno includere download, codici Product Key, vantaggi di Windows Azure, vantaggi di Office 365 Developer, e-learning, supporto tecnico, vantaggi di Windows Store e altri servizi, sono disponibili solo durante il periodo di validità dell</w:t>
      </w:r>
      <w:r w:rsidR="004525CA">
        <w:rPr>
          <w:rFonts w:ascii="Tahoma" w:hAnsi="Tahoma" w:cs="Tahoma"/>
          <w:sz w:val="18"/>
          <w:lang w:val="it-IT"/>
        </w:rPr>
        <w:t>’</w:t>
      </w:r>
      <w:r w:rsidRPr="00451078">
        <w:rPr>
          <w:rFonts w:ascii="Tahoma" w:hAnsi="Tahoma" w:cs="Tahoma"/>
          <w:sz w:val="18"/>
          <w:lang w:val="it-IT"/>
        </w:rPr>
        <w:t>abbonamento.</w:t>
      </w:r>
    </w:p>
    <w:p w:rsidR="0055611F" w:rsidRPr="00451078" w:rsidRDefault="0055611F" w:rsidP="007A4659">
      <w:pPr>
        <w:pStyle w:val="FootnoteBulletLevel1"/>
        <w:spacing w:before="0" w:after="0"/>
        <w:ind w:left="720" w:firstLine="0"/>
        <w:rPr>
          <w:lang w:val="it-IT"/>
        </w:rPr>
      </w:pPr>
    </w:p>
    <w:p w:rsidR="0055611F" w:rsidRPr="00451078" w:rsidRDefault="0055611F" w:rsidP="00864B8A">
      <w:pPr>
        <w:spacing w:after="60"/>
        <w:ind w:left="720"/>
        <w:rPr>
          <w:lang w:val="it-IT"/>
        </w:rPr>
      </w:pPr>
      <w:r w:rsidRPr="00451078">
        <w:rPr>
          <w:rFonts w:cs="Tahoma"/>
          <w:b/>
          <w:lang w:val="it-IT"/>
        </w:rPr>
        <w:t>Servizi della Piattaforma Windows Azure</w:t>
      </w:r>
    </w:p>
    <w:p w:rsidR="00C2130B" w:rsidRPr="00451078" w:rsidRDefault="0055611F" w:rsidP="007A4659">
      <w:pPr>
        <w:adjustRightInd w:val="0"/>
        <w:snapToGrid w:val="0"/>
        <w:ind w:left="720"/>
        <w:textAlignment w:val="baseline"/>
        <w:rPr>
          <w:lang w:val="it-IT"/>
        </w:rPr>
      </w:pPr>
      <w:r w:rsidRPr="00451078">
        <w:rPr>
          <w:rFonts w:cs="Tahoma"/>
          <w:lang w:val="it-IT"/>
        </w:rPr>
        <w:t>I vantaggi di Windows Azure non possono essere una combinazione di più abbonamenti a MSDN su un singolo account di Windows Azure. L</w:t>
      </w:r>
      <w:r w:rsidR="004525CA">
        <w:rPr>
          <w:rFonts w:cs="Tahoma"/>
          <w:lang w:val="it-IT"/>
        </w:rPr>
        <w:t>’</w:t>
      </w:r>
      <w:r w:rsidRPr="00451078">
        <w:rPr>
          <w:rFonts w:cs="Tahoma"/>
          <w:lang w:val="it-IT"/>
        </w:rPr>
        <w:t>uso di Windows Azure è soggetto alle relative condizioni per l</w:t>
      </w:r>
      <w:r w:rsidR="004525CA">
        <w:rPr>
          <w:rFonts w:cs="Tahoma"/>
          <w:lang w:val="it-IT"/>
        </w:rPr>
        <w:t>’</w:t>
      </w:r>
      <w:r w:rsidRPr="00451078">
        <w:rPr>
          <w:rFonts w:cs="Tahoma"/>
          <w:lang w:val="it-IT"/>
        </w:rPr>
        <w:t>utilizzo.</w:t>
      </w:r>
      <w:bookmarkStart w:id="1097" w:name="Aps_19VS2010TestMSDN"/>
    </w:p>
    <w:p w:rsidR="007A4659" w:rsidRPr="00451078" w:rsidRDefault="007A4659" w:rsidP="007A4659">
      <w:pPr>
        <w:adjustRightInd w:val="0"/>
        <w:snapToGrid w:val="0"/>
        <w:textAlignment w:val="baseline"/>
        <w:rPr>
          <w:lang w:val="it-IT"/>
        </w:rPr>
      </w:pPr>
    </w:p>
    <w:p w:rsidR="007A4659" w:rsidRPr="00451078" w:rsidRDefault="007A4659" w:rsidP="007A4659">
      <w:pPr>
        <w:adjustRightInd w:val="0"/>
        <w:snapToGrid w:val="0"/>
        <w:textAlignment w:val="baseline"/>
        <w:rPr>
          <w:lang w:val="it-IT"/>
        </w:rPr>
      </w:pPr>
    </w:p>
    <w:p w:rsidR="00223A77" w:rsidRPr="003410C7" w:rsidRDefault="00B26237" w:rsidP="00223A77">
      <w:pPr>
        <w:pStyle w:val="Heading3"/>
      </w:pPr>
      <w:bookmarkStart w:id="1098" w:name="_22_Visual_Studio"/>
      <w:bookmarkStart w:id="1099" w:name="_Toc336338279"/>
      <w:bookmarkStart w:id="1100" w:name="_Toc352234873"/>
      <w:bookmarkEnd w:id="1098"/>
      <w:r w:rsidRPr="003410C7">
        <w:rPr>
          <w:rFonts w:ascii="Tahoma" w:hAnsi="Tahoma"/>
          <w:caps/>
          <w:color w:val="F66400"/>
          <w:sz w:val="22"/>
          <w:vertAlign w:val="superscript"/>
        </w:rPr>
        <w:t>22</w:t>
      </w:r>
      <w:r w:rsidRPr="003410C7">
        <w:rPr>
          <w:rFonts w:ascii="Tahoma" w:hAnsi="Tahoma"/>
          <w:color w:val="F66400"/>
          <w:sz w:val="22"/>
        </w:rPr>
        <w:t xml:space="preserve"> Visual Studio Test Professional 2012 con </w:t>
      </w:r>
      <w:bookmarkEnd w:id="1097"/>
      <w:r w:rsidRPr="003410C7">
        <w:rPr>
          <w:rFonts w:ascii="Tahoma" w:hAnsi="Tahoma"/>
          <w:color w:val="F66400"/>
          <w:sz w:val="22"/>
        </w:rPr>
        <w:t>MSDN</w:t>
      </w:r>
      <w:bookmarkEnd w:id="1099"/>
      <w:bookmarkEnd w:id="1100"/>
      <w:r w:rsidRPr="003410C7">
        <w:rPr>
          <w:rFonts w:ascii="Tahoma" w:hAnsi="Tahoma"/>
          <w:color w:val="F66400"/>
          <w:sz w:val="22"/>
        </w:rPr>
        <w:t xml:space="preserve"> </w:t>
      </w:r>
    </w:p>
    <w:p w:rsidR="00AC4485" w:rsidRPr="003410C7" w:rsidRDefault="00AC4485" w:rsidP="00E7500D">
      <w:pPr>
        <w:pStyle w:val="FootnoteBulletLevel1"/>
        <w:spacing w:before="0" w:after="0"/>
      </w:pPr>
    </w:p>
    <w:p w:rsidR="001026FD" w:rsidRPr="003410C7" w:rsidRDefault="001026FD" w:rsidP="00864B8A">
      <w:pPr>
        <w:spacing w:after="60"/>
        <w:ind w:left="720"/>
      </w:pPr>
      <w:r w:rsidRPr="003410C7">
        <w:rPr>
          <w:rFonts w:cs="Tahoma"/>
          <w:b/>
        </w:rPr>
        <w:t>Visual Studio Team Foundation Server 2012</w:t>
      </w:r>
    </w:p>
    <w:p w:rsidR="001026FD" w:rsidRPr="00451078" w:rsidRDefault="001026FD" w:rsidP="00E7500D">
      <w:pPr>
        <w:pStyle w:val="EndnoteText"/>
        <w:ind w:left="720"/>
        <w:rPr>
          <w:lang w:val="it-IT"/>
        </w:rPr>
      </w:pPr>
      <w:r w:rsidRPr="00451078">
        <w:rPr>
          <w:rFonts w:ascii="Tahoma" w:hAnsi="Tahoma" w:cs="Tahoma"/>
          <w:sz w:val="18"/>
          <w:lang w:val="it-IT"/>
        </w:rPr>
        <w:t>Il sottoscrittore è autorizzato a ricevere una licenza server per Visual Studio Team Foundation Server 2012 e</w:t>
      </w:r>
      <w:r w:rsidR="00B62DEE" w:rsidRPr="00451078">
        <w:rPr>
          <w:rFonts w:ascii="Tahoma" w:hAnsi="Tahoma" w:cs="Tahoma"/>
          <w:sz w:val="18"/>
          <w:lang w:val="it-IT"/>
        </w:rPr>
        <w:t> </w:t>
      </w:r>
      <w:r w:rsidRPr="00451078">
        <w:rPr>
          <w:rFonts w:ascii="Tahoma" w:hAnsi="Tahoma" w:cs="Tahoma"/>
          <w:sz w:val="18"/>
          <w:lang w:val="it-IT"/>
        </w:rPr>
        <w:t>una User CAL per Team Foundation Server. La licenza CAL può essere utilizzata esclusivamente dal sottoscrittore.</w:t>
      </w:r>
    </w:p>
    <w:p w:rsidR="001026FD" w:rsidRPr="00451078" w:rsidRDefault="001026FD" w:rsidP="00E7500D">
      <w:pPr>
        <w:pStyle w:val="EndnoteText"/>
        <w:ind w:left="720"/>
        <w:rPr>
          <w:lang w:val="it-IT"/>
        </w:rPr>
      </w:pPr>
    </w:p>
    <w:p w:rsidR="001026FD" w:rsidRPr="00451078" w:rsidRDefault="001026FD" w:rsidP="00864B8A">
      <w:pPr>
        <w:spacing w:after="60"/>
        <w:ind w:left="720"/>
        <w:rPr>
          <w:lang w:val="it-IT"/>
        </w:rPr>
      </w:pPr>
      <w:r w:rsidRPr="00451078">
        <w:rPr>
          <w:rFonts w:cs="Tahoma"/>
          <w:b/>
          <w:lang w:val="it-IT"/>
        </w:rPr>
        <w:t>SQL Server Parallel Data Warehouse Developer</w:t>
      </w:r>
    </w:p>
    <w:p w:rsidR="001026FD" w:rsidRPr="00451078" w:rsidRDefault="001026FD" w:rsidP="00E7500D">
      <w:pPr>
        <w:pStyle w:val="EndnoteText"/>
        <w:ind w:left="720"/>
        <w:rPr>
          <w:lang w:val="it-IT"/>
        </w:rPr>
      </w:pPr>
      <w:r w:rsidRPr="00451078">
        <w:rPr>
          <w:rFonts w:ascii="Tahoma" w:hAnsi="Tahoma" w:cs="Tahoma"/>
          <w:sz w:val="18"/>
          <w:lang w:val="it-IT"/>
        </w:rPr>
        <w:t>Il sottoscrittore è idoneo a ricevere una licenza per SQL Server 2008 R2 Parallel Data Warehouse Developer.</w:t>
      </w:r>
    </w:p>
    <w:p w:rsidR="00E7500D" w:rsidRPr="00451078" w:rsidRDefault="00E7500D" w:rsidP="00E7500D">
      <w:pPr>
        <w:pStyle w:val="FootnoteBulletLevel1"/>
        <w:tabs>
          <w:tab w:val="clear" w:pos="900"/>
        </w:tabs>
        <w:spacing w:before="0" w:after="0"/>
        <w:ind w:left="720" w:firstLine="0"/>
        <w:rPr>
          <w:lang w:val="it-IT"/>
        </w:rPr>
      </w:pPr>
    </w:p>
    <w:p w:rsidR="00223A77" w:rsidRPr="00451078" w:rsidRDefault="00223A77" w:rsidP="00864B8A">
      <w:pPr>
        <w:spacing w:after="60"/>
        <w:ind w:left="720"/>
        <w:rPr>
          <w:lang w:val="it-IT"/>
        </w:rPr>
      </w:pPr>
      <w:r w:rsidRPr="00451078">
        <w:rPr>
          <w:rFonts w:cs="Tahoma"/>
          <w:b/>
          <w:lang w:val="it-IT"/>
        </w:rPr>
        <w:t>Requisiti di Idoneità per Software Assurance</w:t>
      </w:r>
    </w:p>
    <w:p w:rsidR="00223A77" w:rsidRPr="00451078" w:rsidRDefault="00223A77" w:rsidP="00101859">
      <w:pPr>
        <w:tabs>
          <w:tab w:val="num" w:pos="1170"/>
        </w:tabs>
        <w:ind w:left="900"/>
        <w:rPr>
          <w:lang w:val="it-IT"/>
        </w:rPr>
      </w:pPr>
      <w:r w:rsidRPr="00451078">
        <w:rPr>
          <w:rFonts w:cs="Tahoma"/>
          <w:lang w:val="it-IT"/>
        </w:rPr>
        <w:t>Le società con copertura Software Assurance in scadenza sui prodotti che seguono sono idonee a rinnovare la copertura come Visual Studio Test Professional 2012 con MSDN</w:t>
      </w:r>
      <w:r w:rsidRPr="00451078">
        <w:rPr>
          <w:rFonts w:cs="Tahoma"/>
          <w:szCs w:val="24"/>
          <w:lang w:val="it-IT"/>
        </w:rPr>
        <w:t xml:space="preserve">. </w:t>
      </w:r>
      <w:r w:rsidRPr="00451078">
        <w:rPr>
          <w:rFonts w:cs="Tahoma"/>
          <w:lang w:val="it-IT"/>
        </w:rPr>
        <w:t>Quando viene effettuato il rinnovo a un livello di sottoscrizione MSDN diverso, le nuove condizioni per l</w:t>
      </w:r>
      <w:r w:rsidR="004525CA">
        <w:rPr>
          <w:rFonts w:cs="Tahoma"/>
          <w:lang w:val="it-IT"/>
        </w:rPr>
        <w:t>’</w:t>
      </w:r>
      <w:r w:rsidRPr="00451078">
        <w:rPr>
          <w:rFonts w:cs="Tahoma"/>
          <w:lang w:val="it-IT"/>
        </w:rPr>
        <w:t>utilizzo sostituiscono quelle precedenti e qualsiasi prodotto software non incluso nella nuova sottoscrizione MSDN dovrà essere rimosso.</w:t>
      </w:r>
    </w:p>
    <w:p w:rsidR="00223A77" w:rsidRPr="00451078" w:rsidRDefault="00223A77" w:rsidP="00E7500D">
      <w:pPr>
        <w:pStyle w:val="EndnoteText"/>
        <w:rPr>
          <w:lang w:val="it-IT"/>
        </w:rPr>
      </w:pPr>
    </w:p>
    <w:p w:rsidR="00223A77" w:rsidRPr="003410C7" w:rsidRDefault="00223A77" w:rsidP="00E7500D">
      <w:pPr>
        <w:pStyle w:val="FootnoteBulletLevel2"/>
        <w:numPr>
          <w:ilvl w:val="0"/>
          <w:numId w:val="5"/>
        </w:numPr>
        <w:spacing w:before="0" w:after="60"/>
        <w:ind w:left="1440"/>
      </w:pPr>
      <w:r w:rsidRPr="003410C7">
        <w:rPr>
          <w:rFonts w:ascii="Tahoma" w:hAnsi="Tahoma" w:cs="Tahoma"/>
          <w:sz w:val="18"/>
        </w:rPr>
        <w:t>Visual Studio Ultimate con MSDN</w:t>
      </w:r>
    </w:p>
    <w:p w:rsidR="00061A45" w:rsidRPr="003410C7" w:rsidRDefault="00BE4D27" w:rsidP="00E7500D">
      <w:pPr>
        <w:pStyle w:val="FootnoteBulletLevel2"/>
        <w:numPr>
          <w:ilvl w:val="0"/>
          <w:numId w:val="5"/>
        </w:numPr>
        <w:spacing w:before="0" w:after="60"/>
        <w:ind w:left="1440"/>
      </w:pPr>
      <w:r w:rsidRPr="003410C7">
        <w:rPr>
          <w:rFonts w:ascii="Tahoma" w:hAnsi="Tahoma" w:cs="Tahoma"/>
          <w:sz w:val="18"/>
        </w:rPr>
        <w:t>Visual Studio Premium con MSDN</w:t>
      </w:r>
    </w:p>
    <w:p w:rsidR="00223A77" w:rsidRPr="003410C7" w:rsidRDefault="00223A77" w:rsidP="00E7500D">
      <w:pPr>
        <w:pStyle w:val="FootnoteBulletLevel2"/>
        <w:numPr>
          <w:ilvl w:val="0"/>
          <w:numId w:val="5"/>
        </w:numPr>
        <w:spacing w:before="0" w:after="60"/>
        <w:ind w:left="1440"/>
      </w:pPr>
      <w:r w:rsidRPr="003410C7">
        <w:rPr>
          <w:rFonts w:ascii="Tahoma" w:hAnsi="Tahoma" w:cs="Tahoma"/>
          <w:sz w:val="18"/>
        </w:rPr>
        <w:t>Visual Studio Test Professional con MSDN</w:t>
      </w:r>
    </w:p>
    <w:p w:rsidR="00223A77" w:rsidRPr="00451078" w:rsidRDefault="00223A77" w:rsidP="00E7500D">
      <w:pPr>
        <w:pStyle w:val="FootnoteBulletLevel2"/>
        <w:numPr>
          <w:ilvl w:val="0"/>
          <w:numId w:val="5"/>
        </w:numPr>
        <w:spacing w:before="0" w:after="60"/>
        <w:ind w:left="1440"/>
        <w:rPr>
          <w:lang w:val="it-IT"/>
        </w:rPr>
      </w:pPr>
      <w:r w:rsidRPr="00451078">
        <w:rPr>
          <w:rFonts w:ascii="Tahoma" w:hAnsi="Tahoma" w:cs="Tahoma"/>
          <w:sz w:val="18"/>
          <w:lang w:val="it-IT"/>
        </w:rPr>
        <w:t>Società titolari di un abbonamento retail attivo per qualsiasi prodotto software indicato nel precedente elenco.</w:t>
      </w:r>
    </w:p>
    <w:p w:rsidR="00223A77" w:rsidRPr="00451078" w:rsidRDefault="00223A77" w:rsidP="00E7500D">
      <w:pPr>
        <w:pStyle w:val="FootnoteBulletLevel1"/>
        <w:spacing w:before="0" w:after="0"/>
        <w:ind w:firstLine="0"/>
        <w:rPr>
          <w:lang w:val="it-IT"/>
        </w:rPr>
      </w:pPr>
    </w:p>
    <w:p w:rsidR="00E7500D" w:rsidRPr="004976EE" w:rsidRDefault="00223A77" w:rsidP="00E7500D">
      <w:pPr>
        <w:pStyle w:val="FootnoteBulletLevel2"/>
        <w:tabs>
          <w:tab w:val="clear" w:pos="1260"/>
        </w:tabs>
        <w:spacing w:before="0"/>
        <w:ind w:left="720" w:firstLine="0"/>
        <w:rPr>
          <w:rFonts w:ascii="Tahoma" w:hAnsi="Tahoma" w:cs="Tahoma"/>
          <w:sz w:val="18"/>
          <w:szCs w:val="18"/>
          <w:lang w:val="it-IT"/>
        </w:rPr>
      </w:pPr>
      <w:r w:rsidRPr="004976EE">
        <w:rPr>
          <w:rFonts w:ascii="Tahoma" w:hAnsi="Tahoma" w:cs="Tahoma"/>
          <w:sz w:val="18"/>
          <w:szCs w:val="18"/>
          <w:lang w:val="it-IT"/>
        </w:rPr>
        <w:t>Le società che hanno stipulato contratti Enterprise, Select o Open Value con copertura Software Assurance attiva per Visual Studio Test Professional 2012 con MSDN potranno anch</w:t>
      </w:r>
      <w:r w:rsidR="004525CA">
        <w:rPr>
          <w:rFonts w:ascii="Tahoma" w:hAnsi="Tahoma" w:cs="Tahoma"/>
          <w:sz w:val="18"/>
          <w:szCs w:val="18"/>
          <w:lang w:val="it-IT"/>
        </w:rPr>
        <w:t>’</w:t>
      </w:r>
      <w:r w:rsidRPr="004976EE">
        <w:rPr>
          <w:rFonts w:ascii="Tahoma" w:hAnsi="Tahoma" w:cs="Tahoma"/>
          <w:sz w:val="18"/>
          <w:szCs w:val="18"/>
          <w:lang w:val="it-IT"/>
        </w:rPr>
        <w:t xml:space="preserve">esse effettuare lo step-up a Visual Studio Premium 2012 con MSDN acquistando lo </w:t>
      </w:r>
      <w:hyperlink w:anchor="Step_Up" w:history="1">
        <w:r w:rsidRPr="004976EE">
          <w:rPr>
            <w:rFonts w:ascii="Tahoma" w:hAnsi="Tahoma" w:cs="Tahoma"/>
            <w:sz w:val="18"/>
            <w:szCs w:val="18"/>
            <w:lang w:val="it-IT"/>
          </w:rPr>
          <w:t>SKU di Step-Up</w:t>
        </w:r>
      </w:hyperlink>
      <w:r w:rsidRPr="004976EE">
        <w:rPr>
          <w:rFonts w:ascii="Tahoma" w:hAnsi="Tahoma" w:cs="Tahoma"/>
          <w:sz w:val="18"/>
          <w:szCs w:val="18"/>
          <w:lang w:val="it-IT"/>
        </w:rPr>
        <w:t xml:space="preserve"> idoneo.</w:t>
      </w:r>
    </w:p>
    <w:p w:rsidR="00101859" w:rsidRPr="00451078" w:rsidRDefault="00101859">
      <w:pPr>
        <w:rPr>
          <w:lang w:val="it-IT"/>
        </w:rPr>
      </w:pPr>
    </w:p>
    <w:p w:rsidR="00B712FD" w:rsidRDefault="00B712FD" w:rsidP="00864B8A">
      <w:pPr>
        <w:spacing w:after="60"/>
        <w:ind w:left="720"/>
        <w:rPr>
          <w:rFonts w:cs="Tahoma"/>
          <w:b/>
          <w:lang w:val="it-IT"/>
        </w:rPr>
      </w:pPr>
    </w:p>
    <w:p w:rsidR="005C11D1" w:rsidRPr="00451078" w:rsidRDefault="009B2474" w:rsidP="00864B8A">
      <w:pPr>
        <w:spacing w:after="60"/>
        <w:ind w:left="720"/>
        <w:rPr>
          <w:lang w:val="it-IT"/>
        </w:rPr>
      </w:pPr>
      <w:r w:rsidRPr="00451078">
        <w:rPr>
          <w:rFonts w:cs="Tahoma"/>
          <w:b/>
          <w:lang w:val="it-IT"/>
        </w:rPr>
        <w:t xml:space="preserve">Servizi </w:t>
      </w:r>
      <w:r w:rsidR="001A3EC5" w:rsidRPr="00451078">
        <w:rPr>
          <w:rFonts w:cs="Tahoma"/>
          <w:b/>
          <w:lang w:val="it-IT"/>
        </w:rPr>
        <w:t>“</w:t>
      </w:r>
      <w:r w:rsidRPr="00451078">
        <w:rPr>
          <w:rFonts w:cs="Tahoma"/>
          <w:b/>
          <w:lang w:val="it-IT"/>
        </w:rPr>
        <w:t>Subscription</w:t>
      </w:r>
      <w:r w:rsidR="001A3EC5" w:rsidRPr="00451078">
        <w:rPr>
          <w:rFonts w:cs="Tahoma"/>
          <w:b/>
          <w:lang w:val="it-IT"/>
        </w:rPr>
        <w:t>”</w:t>
      </w:r>
    </w:p>
    <w:p w:rsidR="001051D1" w:rsidRPr="00451078" w:rsidRDefault="005C11D1" w:rsidP="00E7500D">
      <w:pPr>
        <w:ind w:left="720"/>
        <w:rPr>
          <w:lang w:val="it-IT"/>
        </w:rPr>
      </w:pPr>
      <w:r w:rsidRPr="00451078">
        <w:rPr>
          <w:lang w:val="it-IT"/>
        </w:rPr>
        <w:t xml:space="preserve">I servizi MSDN in abbonamento, che potranno includere download, codici Product Key, vantaggi di Windows Azure, </w:t>
      </w:r>
      <w:r w:rsidRPr="00451078">
        <w:rPr>
          <w:rFonts w:cs="Tahoma"/>
          <w:lang w:val="it-IT"/>
        </w:rPr>
        <w:t xml:space="preserve">vantaggi di Office 365 Developer, </w:t>
      </w:r>
      <w:r w:rsidRPr="00451078">
        <w:rPr>
          <w:lang w:val="it-IT"/>
        </w:rPr>
        <w:t>e-learning, supporto tecnico, vantaggi di Windows Store e altri servizi, sono disponibili solo durante il periodo di validità dell</w:t>
      </w:r>
      <w:r w:rsidR="004525CA">
        <w:rPr>
          <w:lang w:val="it-IT"/>
        </w:rPr>
        <w:t>’</w:t>
      </w:r>
      <w:r w:rsidRPr="00451078">
        <w:rPr>
          <w:lang w:val="it-IT"/>
        </w:rPr>
        <w:t>abbonamento.</w:t>
      </w:r>
      <w:bookmarkStart w:id="1101" w:name="_14_Operating_System"/>
      <w:bookmarkEnd w:id="1101"/>
    </w:p>
    <w:p w:rsidR="00E03856" w:rsidRPr="00451078" w:rsidRDefault="001051D1">
      <w:pPr>
        <w:rPr>
          <w:lang w:val="it-IT"/>
        </w:rPr>
      </w:pPr>
      <w:r w:rsidRPr="00451078">
        <w:rPr>
          <w:lang w:val="it-IT"/>
        </w:rPr>
        <w:br w:type="page"/>
      </w:r>
      <w:bookmarkStart w:id="1102" w:name="_Toc336338280"/>
    </w:p>
    <w:p w:rsidR="00023FE7" w:rsidRPr="00451078" w:rsidRDefault="00023FE7" w:rsidP="002E57CF">
      <w:pPr>
        <w:pStyle w:val="Heading2"/>
        <w:ind w:left="0"/>
        <w:rPr>
          <w:lang w:val="it-IT"/>
        </w:rPr>
      </w:pPr>
      <w:bookmarkStart w:id="1103" w:name="_Toc352234874"/>
      <w:r w:rsidRPr="00451078">
        <w:rPr>
          <w:rFonts w:ascii="Tahoma" w:hAnsi="Tahoma" w:cs="Tahoma"/>
          <w:sz w:val="28"/>
          <w:lang w:val="it-IT"/>
        </w:rPr>
        <w:lastRenderedPageBreak/>
        <w:t>Pool di Sistemi</w:t>
      </w:r>
      <w:bookmarkEnd w:id="1102"/>
      <w:bookmarkEnd w:id="1103"/>
    </w:p>
    <w:p w:rsidR="00023FE7" w:rsidRPr="00451078" w:rsidRDefault="00023FE7">
      <w:pPr>
        <w:rPr>
          <w:lang w:val="it-IT"/>
        </w:rPr>
      </w:pPr>
    </w:p>
    <w:p w:rsidR="009C2B6B" w:rsidRPr="00451078" w:rsidRDefault="009C2B6B">
      <w:pPr>
        <w:rPr>
          <w:lang w:val="it-IT"/>
        </w:rPr>
      </w:pPr>
    </w:p>
    <w:p w:rsidR="00E14FF2" w:rsidRPr="00451078" w:rsidRDefault="00B26237" w:rsidP="00A53269">
      <w:pPr>
        <w:pStyle w:val="Heading3"/>
        <w:rPr>
          <w:lang w:val="it-IT"/>
        </w:rPr>
      </w:pPr>
      <w:bookmarkStart w:id="1104" w:name="_23_Microsoft_Desktop"/>
      <w:bookmarkStart w:id="1105" w:name="_Toc336338283"/>
      <w:bookmarkStart w:id="1106" w:name="_Toc352234875"/>
      <w:bookmarkStart w:id="1107" w:name="Sys_21MDOPforSA"/>
      <w:bookmarkStart w:id="1108" w:name="Sys_25MDOPforSA"/>
      <w:bookmarkEnd w:id="1104"/>
      <w:r w:rsidRPr="00451078">
        <w:rPr>
          <w:rFonts w:ascii="Tahoma" w:hAnsi="Tahoma"/>
          <w:caps/>
          <w:color w:val="F66400"/>
          <w:sz w:val="22"/>
          <w:vertAlign w:val="superscript"/>
          <w:lang w:val="it-IT"/>
        </w:rPr>
        <w:t>23</w:t>
      </w:r>
      <w:r w:rsidRPr="00451078">
        <w:rPr>
          <w:rFonts w:ascii="Tahoma" w:hAnsi="Tahoma"/>
          <w:color w:val="F66400"/>
          <w:sz w:val="22"/>
          <w:lang w:val="it-IT"/>
        </w:rPr>
        <w:t xml:space="preserve"> Microsoft Desktop Optimization Pack per Software Assurance</w:t>
      </w:r>
      <w:bookmarkEnd w:id="1105"/>
      <w:bookmarkEnd w:id="1106"/>
    </w:p>
    <w:bookmarkEnd w:id="1107"/>
    <w:p w:rsidR="007A73DF" w:rsidRPr="00451078" w:rsidRDefault="007A73DF" w:rsidP="00483B3D">
      <w:pPr>
        <w:rPr>
          <w:lang w:val="it-IT"/>
        </w:rPr>
      </w:pPr>
    </w:p>
    <w:p w:rsidR="00475147" w:rsidRPr="00451078" w:rsidRDefault="0037362E" w:rsidP="00483B3D">
      <w:pPr>
        <w:ind w:left="720"/>
        <w:rPr>
          <w:lang w:val="it-IT"/>
        </w:rPr>
      </w:pPr>
      <w:r w:rsidRPr="00451078">
        <w:rPr>
          <w:rFonts w:eastAsia="Calibri" w:cs="Tahoma"/>
          <w:color w:val="000000"/>
          <w:szCs w:val="18"/>
          <w:lang w:val="it-IT"/>
        </w:rPr>
        <w:t>Le società che desiderano acquistare Microsoft Desktop Optimization Pack per Software Assurance (MDOP) dovranno innanzitutto avere acquistato e ceduto al desktop uno dei seguenti elementi:</w:t>
      </w:r>
    </w:p>
    <w:p w:rsidR="00475147" w:rsidRPr="00451078" w:rsidRDefault="00475147" w:rsidP="00745AB3">
      <w:pPr>
        <w:numPr>
          <w:ilvl w:val="0"/>
          <w:numId w:val="49"/>
        </w:numPr>
        <w:tabs>
          <w:tab w:val="left" w:pos="1440"/>
        </w:tabs>
        <w:ind w:left="1440" w:hanging="446"/>
        <w:rPr>
          <w:lang w:val="it-IT"/>
        </w:rPr>
      </w:pPr>
      <w:r w:rsidRPr="00451078">
        <w:rPr>
          <w:rFonts w:eastAsia="Calibri" w:cs="Tahoma"/>
          <w:color w:val="000000"/>
          <w:szCs w:val="18"/>
          <w:lang w:val="it-IT"/>
        </w:rPr>
        <w:t>copertura Software Assurance attiva per il sistema operativo desktop Windows;</w:t>
      </w:r>
    </w:p>
    <w:p w:rsidR="00475147" w:rsidRPr="003410C7" w:rsidRDefault="00475147" w:rsidP="00745AB3">
      <w:pPr>
        <w:numPr>
          <w:ilvl w:val="0"/>
          <w:numId w:val="49"/>
        </w:numPr>
        <w:tabs>
          <w:tab w:val="left" w:pos="1440"/>
        </w:tabs>
        <w:ind w:left="1440" w:hanging="446"/>
      </w:pPr>
      <w:r w:rsidRPr="003410C7">
        <w:rPr>
          <w:rFonts w:eastAsia="Calibri" w:cs="Tahoma"/>
          <w:color w:val="000000"/>
          <w:szCs w:val="18"/>
        </w:rPr>
        <w:t>licenza per Windows Virtual Desktop Access o</w:t>
      </w:r>
    </w:p>
    <w:p w:rsidR="00475147" w:rsidRPr="00451078" w:rsidRDefault="00475147" w:rsidP="00745AB3">
      <w:pPr>
        <w:numPr>
          <w:ilvl w:val="0"/>
          <w:numId w:val="49"/>
        </w:numPr>
        <w:tabs>
          <w:tab w:val="left" w:pos="1440"/>
        </w:tabs>
        <w:ind w:left="1440" w:hanging="446"/>
        <w:rPr>
          <w:lang w:val="it-IT"/>
        </w:rPr>
      </w:pPr>
      <w:r w:rsidRPr="00451078">
        <w:rPr>
          <w:rFonts w:eastAsia="Calibri" w:cs="Tahoma"/>
          <w:color w:val="000000"/>
          <w:szCs w:val="18"/>
          <w:lang w:val="it-IT"/>
        </w:rPr>
        <w:t xml:space="preserve">sottoscrizione attiva di Windows Intune </w:t>
      </w:r>
      <w:r w:rsidRPr="00451078">
        <w:rPr>
          <w:rFonts w:cs="Tahoma"/>
          <w:szCs w:val="18"/>
          <w:lang w:val="it-IT"/>
        </w:rPr>
        <w:t>(Per Dispositivo)</w:t>
      </w:r>
      <w:r w:rsidRPr="00451078">
        <w:rPr>
          <w:rFonts w:eastAsia="Calibri" w:cs="Tahoma"/>
          <w:color w:val="000000"/>
          <w:szCs w:val="18"/>
          <w:lang w:val="it-IT"/>
        </w:rPr>
        <w:t>.</w:t>
      </w:r>
    </w:p>
    <w:p w:rsidR="00475147" w:rsidRPr="00451078" w:rsidRDefault="00475147" w:rsidP="00483B3D">
      <w:pPr>
        <w:spacing w:before="120"/>
        <w:ind w:left="720"/>
        <w:rPr>
          <w:lang w:val="it-IT"/>
        </w:rPr>
      </w:pPr>
      <w:r w:rsidRPr="00451078">
        <w:rPr>
          <w:rFonts w:eastAsia="Calibri" w:cs="Tahoma"/>
          <w:color w:val="000000"/>
          <w:szCs w:val="18"/>
          <w:lang w:val="it-IT"/>
        </w:rPr>
        <w:t xml:space="preserve">Sono inoltre consentiti i dispositivi coperti da una Licenza </w:t>
      </w:r>
      <w:r w:rsidR="001A3EC5" w:rsidRPr="00451078">
        <w:rPr>
          <w:rFonts w:eastAsia="Calibri" w:cs="Tahoma"/>
          <w:color w:val="000000"/>
          <w:szCs w:val="18"/>
          <w:lang w:val="it-IT"/>
        </w:rPr>
        <w:t>“</w:t>
      </w:r>
      <w:r w:rsidRPr="00451078">
        <w:rPr>
          <w:rFonts w:eastAsia="Calibri" w:cs="Tahoma"/>
          <w:color w:val="000000"/>
          <w:szCs w:val="18"/>
          <w:lang w:val="it-IT"/>
        </w:rPr>
        <w:t>Subscription</w:t>
      </w:r>
      <w:r w:rsidR="001A3EC5" w:rsidRPr="00451078">
        <w:rPr>
          <w:rFonts w:eastAsia="Calibri" w:cs="Tahoma"/>
          <w:color w:val="000000"/>
          <w:szCs w:val="18"/>
          <w:lang w:val="it-IT"/>
        </w:rPr>
        <w:t>”</w:t>
      </w:r>
      <w:r w:rsidRPr="00451078">
        <w:rPr>
          <w:rFonts w:eastAsia="Calibri" w:cs="Tahoma"/>
          <w:color w:val="000000"/>
          <w:szCs w:val="18"/>
          <w:lang w:val="it-IT"/>
        </w:rPr>
        <w:t xml:space="preserve"> per Windows Companion attiva.</w:t>
      </w:r>
    </w:p>
    <w:p w:rsidR="007A73DF" w:rsidRPr="00451078" w:rsidRDefault="007A73DF" w:rsidP="00483B3D">
      <w:pPr>
        <w:ind w:left="720"/>
        <w:rPr>
          <w:lang w:val="it-IT"/>
        </w:rPr>
      </w:pPr>
    </w:p>
    <w:p w:rsidR="00F7027D" w:rsidRPr="00451078" w:rsidRDefault="00F7027D" w:rsidP="00483B3D">
      <w:pPr>
        <w:ind w:left="720"/>
        <w:rPr>
          <w:lang w:val="it-IT"/>
        </w:rPr>
      </w:pPr>
      <w:r w:rsidRPr="00451078">
        <w:rPr>
          <w:rFonts w:eastAsia="Calibri" w:cs="Tahoma"/>
          <w:color w:val="000000"/>
          <w:szCs w:val="18"/>
          <w:lang w:val="it-IT"/>
        </w:rPr>
        <w:t>Le società che abbiano stipulato contratti Volume License con licenze attive per MDOP riceveranno il seguente software (non appena verrà reso disponibile).</w:t>
      </w:r>
    </w:p>
    <w:p w:rsidR="007A73DF" w:rsidRPr="00451078" w:rsidRDefault="007A73DF" w:rsidP="00483B3D">
      <w:pPr>
        <w:ind w:left="720"/>
        <w:rPr>
          <w:lang w:val="it-IT"/>
        </w:rPr>
      </w:pPr>
    </w:p>
    <w:p w:rsidR="00E52A26" w:rsidRPr="003410C7" w:rsidRDefault="00E52A26" w:rsidP="00745AB3">
      <w:pPr>
        <w:numPr>
          <w:ilvl w:val="0"/>
          <w:numId w:val="49"/>
        </w:numPr>
        <w:tabs>
          <w:tab w:val="left" w:pos="1440"/>
        </w:tabs>
        <w:spacing w:after="60"/>
        <w:ind w:left="1440" w:hanging="446"/>
      </w:pPr>
      <w:r w:rsidRPr="003410C7">
        <w:rPr>
          <w:rFonts w:eastAsia="Calibri" w:cs="Tahoma"/>
          <w:color w:val="000000"/>
          <w:szCs w:val="18"/>
        </w:rPr>
        <w:t>Microsoft Application Virtualization per Desktop Windows (App-V)</w:t>
      </w:r>
    </w:p>
    <w:p w:rsidR="00E52A26" w:rsidRPr="00451078" w:rsidRDefault="00E52A26" w:rsidP="00745AB3">
      <w:pPr>
        <w:numPr>
          <w:ilvl w:val="0"/>
          <w:numId w:val="49"/>
        </w:numPr>
        <w:tabs>
          <w:tab w:val="left" w:pos="1440"/>
        </w:tabs>
        <w:spacing w:after="60"/>
        <w:ind w:left="1440" w:hanging="446"/>
        <w:rPr>
          <w:lang w:val="it-IT"/>
        </w:rPr>
      </w:pPr>
      <w:r w:rsidRPr="00451078">
        <w:rPr>
          <w:rFonts w:eastAsia="Calibri" w:cs="Tahoma"/>
          <w:color w:val="000000"/>
          <w:szCs w:val="18"/>
          <w:lang w:val="it-IT"/>
        </w:rPr>
        <w:t>Gestione Avanzata Criteri di Gruppo Microsoft (AGPM)</w:t>
      </w:r>
    </w:p>
    <w:p w:rsidR="00E52A26" w:rsidRPr="00451078" w:rsidRDefault="00E52A26" w:rsidP="00745AB3">
      <w:pPr>
        <w:numPr>
          <w:ilvl w:val="0"/>
          <w:numId w:val="49"/>
        </w:numPr>
        <w:tabs>
          <w:tab w:val="left" w:pos="1440"/>
        </w:tabs>
        <w:spacing w:after="60"/>
        <w:ind w:left="1440" w:hanging="446"/>
        <w:rPr>
          <w:lang w:val="it-IT"/>
        </w:rPr>
      </w:pPr>
      <w:r w:rsidRPr="00451078">
        <w:rPr>
          <w:rFonts w:eastAsia="Calibri" w:cs="Tahoma"/>
          <w:color w:val="000000"/>
          <w:szCs w:val="18"/>
          <w:lang w:val="it-IT"/>
        </w:rPr>
        <w:t>Set di Strumenti Microsoft di Diagnostica e Ripristino (DART)</w:t>
      </w:r>
    </w:p>
    <w:p w:rsidR="00E52A26" w:rsidRPr="003410C7" w:rsidRDefault="00E52A26" w:rsidP="00745AB3">
      <w:pPr>
        <w:numPr>
          <w:ilvl w:val="0"/>
          <w:numId w:val="49"/>
        </w:numPr>
        <w:tabs>
          <w:tab w:val="left" w:pos="1440"/>
        </w:tabs>
        <w:spacing w:after="60"/>
        <w:ind w:left="1440" w:hanging="446"/>
      </w:pPr>
      <w:r w:rsidRPr="003410C7">
        <w:rPr>
          <w:rFonts w:eastAsia="Calibri" w:cs="Tahoma"/>
          <w:color w:val="000000"/>
          <w:szCs w:val="18"/>
        </w:rPr>
        <w:t>Microsoft Enterprise Desktop Virtualization (MED-V)</w:t>
      </w:r>
    </w:p>
    <w:p w:rsidR="00E52A26" w:rsidRPr="003410C7" w:rsidRDefault="00E52A26" w:rsidP="00745AB3">
      <w:pPr>
        <w:numPr>
          <w:ilvl w:val="0"/>
          <w:numId w:val="49"/>
        </w:numPr>
        <w:tabs>
          <w:tab w:val="left" w:pos="1440"/>
        </w:tabs>
        <w:spacing w:after="60"/>
        <w:ind w:left="1440" w:hanging="446"/>
      </w:pPr>
      <w:r w:rsidRPr="003410C7">
        <w:rPr>
          <w:rFonts w:eastAsia="Calibri" w:cs="Tahoma"/>
          <w:color w:val="000000"/>
          <w:szCs w:val="18"/>
        </w:rPr>
        <w:t>Microsoft BitLocker</w:t>
      </w:r>
      <w:r w:rsidR="003410C7" w:rsidRPr="003410C7">
        <w:rPr>
          <w:rFonts w:eastAsia="Calibri" w:cs="Tahoma"/>
          <w:color w:val="000000"/>
          <w:szCs w:val="18"/>
          <w:vertAlign w:val="superscript"/>
        </w:rPr>
        <w:t>®</w:t>
      </w:r>
      <w:r w:rsidRPr="003410C7">
        <w:rPr>
          <w:rFonts w:eastAsia="Calibri" w:cs="Tahoma"/>
          <w:color w:val="000000"/>
          <w:szCs w:val="18"/>
        </w:rPr>
        <w:t xml:space="preserve"> Administration and Monitoring (MBAM)</w:t>
      </w:r>
    </w:p>
    <w:p w:rsidR="00670296" w:rsidRPr="003410C7" w:rsidRDefault="00670296" w:rsidP="00745AB3">
      <w:pPr>
        <w:numPr>
          <w:ilvl w:val="0"/>
          <w:numId w:val="49"/>
        </w:numPr>
        <w:tabs>
          <w:tab w:val="left" w:pos="1440"/>
        </w:tabs>
        <w:spacing w:after="60"/>
        <w:ind w:left="1440" w:hanging="446"/>
      </w:pPr>
      <w:r w:rsidRPr="003410C7">
        <w:rPr>
          <w:rFonts w:eastAsia="Calibri" w:cs="Tahoma"/>
          <w:color w:val="000000"/>
          <w:szCs w:val="18"/>
        </w:rPr>
        <w:t>Microsoft User Experience Virtualization (UE-V)</w:t>
      </w:r>
    </w:p>
    <w:p w:rsidR="007A73DF" w:rsidRPr="003410C7" w:rsidRDefault="007A73DF" w:rsidP="00483B3D">
      <w:pPr>
        <w:tabs>
          <w:tab w:val="left" w:pos="1440"/>
        </w:tabs>
        <w:ind w:left="994"/>
      </w:pPr>
    </w:p>
    <w:p w:rsidR="007045C0" w:rsidRPr="003410C7" w:rsidRDefault="007045C0" w:rsidP="00483B3D">
      <w:pPr>
        <w:spacing w:after="60"/>
        <w:ind w:left="720"/>
      </w:pPr>
      <w:r w:rsidRPr="003410C7">
        <w:rPr>
          <w:rFonts w:eastAsia="Calibri" w:cs="Tahoma"/>
          <w:b/>
          <w:color w:val="000000"/>
          <w:szCs w:val="18"/>
        </w:rPr>
        <w:t xml:space="preserve">Licenza </w:t>
      </w:r>
      <w:r w:rsidR="001A3EC5">
        <w:rPr>
          <w:rFonts w:eastAsia="Calibri" w:cs="Tahoma"/>
          <w:b/>
          <w:color w:val="000000"/>
          <w:szCs w:val="18"/>
        </w:rPr>
        <w:t>“</w:t>
      </w:r>
      <w:r w:rsidRPr="003410C7">
        <w:rPr>
          <w:rFonts w:eastAsia="Calibri" w:cs="Tahoma"/>
          <w:b/>
          <w:color w:val="000000"/>
          <w:szCs w:val="18"/>
        </w:rPr>
        <w:t>Subscription</w:t>
      </w:r>
      <w:r w:rsidR="001A3EC5">
        <w:rPr>
          <w:rFonts w:eastAsia="Calibri" w:cs="Tahoma"/>
          <w:b/>
          <w:color w:val="000000"/>
          <w:szCs w:val="18"/>
        </w:rPr>
        <w:t>”</w:t>
      </w:r>
      <w:r w:rsidRPr="003410C7">
        <w:rPr>
          <w:rFonts w:eastAsia="Calibri" w:cs="Tahoma"/>
          <w:b/>
          <w:color w:val="000000"/>
          <w:szCs w:val="18"/>
        </w:rPr>
        <w:t xml:space="preserve"> per Windows Companion (CSL) e MDOP</w:t>
      </w:r>
    </w:p>
    <w:p w:rsidR="007045C0" w:rsidRPr="00451078" w:rsidRDefault="007045C0" w:rsidP="00483B3D">
      <w:pPr>
        <w:tabs>
          <w:tab w:val="left" w:pos="1440"/>
        </w:tabs>
        <w:ind w:left="720"/>
        <w:rPr>
          <w:lang w:val="it-IT"/>
        </w:rPr>
      </w:pPr>
      <w:r w:rsidRPr="00451078">
        <w:rPr>
          <w:rFonts w:cs="Tahoma"/>
          <w:color w:val="000000"/>
          <w:szCs w:val="18"/>
          <w:lang w:val="it-IT"/>
        </w:rPr>
        <w:t>Gli Utenti Principali di un dispositivo coperto da una licenza MDOP attiva e da una CSL potranno accedere alla funzionalità MDOP tramite i loro dispositivi companion senza dover acquistare licenze MDOP aggiuntive per ciascun dispositivo companion.</w:t>
      </w:r>
    </w:p>
    <w:p w:rsidR="007045C0" w:rsidRPr="00451078" w:rsidRDefault="007045C0" w:rsidP="00483B3D">
      <w:pPr>
        <w:tabs>
          <w:tab w:val="left" w:pos="1440"/>
        </w:tabs>
        <w:ind w:left="994"/>
        <w:rPr>
          <w:lang w:val="it-IT"/>
        </w:rPr>
      </w:pPr>
    </w:p>
    <w:p w:rsidR="0031394C" w:rsidRPr="00451078" w:rsidRDefault="0031394C" w:rsidP="00483B3D">
      <w:pPr>
        <w:spacing w:after="60"/>
        <w:ind w:left="720"/>
        <w:rPr>
          <w:lang w:val="it-IT"/>
        </w:rPr>
      </w:pPr>
      <w:r w:rsidRPr="00451078">
        <w:rPr>
          <w:rFonts w:eastAsia="Calibri" w:cs="Tahoma"/>
          <w:b/>
          <w:color w:val="000000"/>
          <w:szCs w:val="18"/>
          <w:lang w:val="it-IT"/>
        </w:rPr>
        <w:t>Offerta di Windows Intune (Per Dispositivo) per le Società in possesso di Microsoft Desktop Optimization Pack (MDOP) che utilizzano Asset Inventory Service</w:t>
      </w:r>
    </w:p>
    <w:p w:rsidR="00BB0250" w:rsidRPr="00451078" w:rsidRDefault="00BB0250" w:rsidP="00483B3D">
      <w:pPr>
        <w:ind w:left="720"/>
        <w:rPr>
          <w:lang w:val="it-IT"/>
        </w:rPr>
      </w:pPr>
      <w:r w:rsidRPr="00451078">
        <w:rPr>
          <w:rFonts w:cs="Tahoma"/>
          <w:color w:val="000000"/>
          <w:szCs w:val="18"/>
          <w:lang w:val="it-IT"/>
        </w:rPr>
        <w:t>L</w:t>
      </w:r>
      <w:r w:rsidR="004525CA">
        <w:rPr>
          <w:rFonts w:cs="Tahoma"/>
          <w:color w:val="000000"/>
          <w:szCs w:val="18"/>
          <w:lang w:val="it-IT"/>
        </w:rPr>
        <w:t>’</w:t>
      </w:r>
      <w:r w:rsidRPr="00451078">
        <w:rPr>
          <w:rFonts w:cs="Tahoma"/>
          <w:color w:val="000000"/>
          <w:szCs w:val="18"/>
          <w:lang w:val="it-IT"/>
        </w:rPr>
        <w:t>offerta di Asset Inventory Service (AIS) insieme a MDOP verrà interrotta il 3 aprile 2013. A partire da quella data le società non avranno più accesso al servizio.</w:t>
      </w:r>
      <w:r w:rsidR="00082E1C" w:rsidRPr="00451078">
        <w:rPr>
          <w:rFonts w:cs="Tahoma"/>
          <w:color w:val="000000"/>
          <w:szCs w:val="18"/>
          <w:lang w:val="it-IT"/>
        </w:rPr>
        <w:t xml:space="preserve"> </w:t>
      </w:r>
      <w:r w:rsidRPr="00451078">
        <w:rPr>
          <w:rFonts w:cs="Tahoma"/>
          <w:color w:val="000000"/>
          <w:szCs w:val="18"/>
          <w:lang w:val="it-IT"/>
        </w:rPr>
        <w:t>Le società in possesso di MDOP con account AIS operativi attivati sul sito Volume Licensing Service Center il 30 aprile 2012 o in data precedente avranno la</w:t>
      </w:r>
      <w:r w:rsidR="0003390D" w:rsidRPr="00451078">
        <w:rPr>
          <w:rFonts w:cs="Tahoma"/>
          <w:color w:val="000000"/>
          <w:szCs w:val="18"/>
          <w:lang w:val="it-IT"/>
        </w:rPr>
        <w:t> </w:t>
      </w:r>
      <w:r w:rsidRPr="00451078">
        <w:rPr>
          <w:rFonts w:cs="Tahoma"/>
          <w:color w:val="000000"/>
          <w:szCs w:val="18"/>
          <w:lang w:val="it-IT"/>
        </w:rPr>
        <w:t xml:space="preserve">possibilità di passare al servizio online Windows Intune </w:t>
      </w:r>
      <w:r w:rsidRPr="00451078">
        <w:rPr>
          <w:rFonts w:cs="Tahoma"/>
          <w:szCs w:val="18"/>
          <w:lang w:val="it-IT"/>
        </w:rPr>
        <w:t xml:space="preserve">(Per Dispositivo) </w:t>
      </w:r>
      <w:r w:rsidRPr="00451078">
        <w:rPr>
          <w:rFonts w:cs="Tahoma"/>
          <w:color w:val="000000"/>
          <w:szCs w:val="18"/>
          <w:lang w:val="it-IT"/>
        </w:rPr>
        <w:t xml:space="preserve">e di utilizzarlo </w:t>
      </w:r>
      <w:r w:rsidRPr="00451078">
        <w:rPr>
          <w:color w:val="000000"/>
          <w:lang w:val="it-IT"/>
        </w:rPr>
        <w:t xml:space="preserve">a condizione che </w:t>
      </w:r>
      <w:r w:rsidRPr="00451078">
        <w:rPr>
          <w:rFonts w:cs="Tahoma"/>
          <w:color w:val="000000"/>
          <w:szCs w:val="18"/>
          <w:lang w:val="it-IT"/>
        </w:rPr>
        <w:t xml:space="preserve">Windows Intune </w:t>
      </w:r>
      <w:r w:rsidRPr="00451078">
        <w:rPr>
          <w:rFonts w:cs="Tahoma"/>
          <w:szCs w:val="18"/>
          <w:lang w:val="it-IT"/>
        </w:rPr>
        <w:t xml:space="preserve">(Per Dispositivo) </w:t>
      </w:r>
      <w:r w:rsidRPr="00451078">
        <w:rPr>
          <w:color w:val="000000"/>
          <w:lang w:val="it-IT"/>
        </w:rPr>
        <w:t>sia disponibile a livello commerciale nei loro paesi.</w:t>
      </w:r>
      <w:r w:rsidR="00082E1C" w:rsidRPr="00451078">
        <w:rPr>
          <w:color w:val="000000"/>
          <w:lang w:val="it-IT"/>
        </w:rPr>
        <w:t xml:space="preserve"> </w:t>
      </w:r>
      <w:r w:rsidRPr="00451078">
        <w:rPr>
          <w:color w:val="000000"/>
          <w:lang w:val="it-IT"/>
        </w:rPr>
        <w:t>Al seguente indirizzo è</w:t>
      </w:r>
      <w:r w:rsidR="0003390D" w:rsidRPr="00451078">
        <w:rPr>
          <w:color w:val="000000"/>
          <w:lang w:val="it-IT"/>
        </w:rPr>
        <w:t> </w:t>
      </w:r>
      <w:r w:rsidRPr="00451078">
        <w:rPr>
          <w:color w:val="000000"/>
          <w:lang w:val="it-IT"/>
        </w:rPr>
        <w:t xml:space="preserve">reperibile un elenco dei paesi nei quali Windows Intune </w:t>
      </w:r>
      <w:r w:rsidRPr="00451078">
        <w:rPr>
          <w:rFonts w:cs="Tahoma"/>
          <w:szCs w:val="18"/>
          <w:lang w:val="it-IT"/>
        </w:rPr>
        <w:t xml:space="preserve">(Per Dispositivo) </w:t>
      </w:r>
      <w:r w:rsidRPr="00451078">
        <w:rPr>
          <w:color w:val="000000"/>
          <w:lang w:val="it-IT"/>
        </w:rPr>
        <w:t xml:space="preserve">è disponibile a livello commerciale: </w:t>
      </w:r>
      <w:hyperlink r:id="rId44" w:history="1">
        <w:r w:rsidRPr="00451078">
          <w:rPr>
            <w:color w:val="0000FF"/>
            <w:u w:val="single"/>
            <w:lang w:val="it-IT"/>
          </w:rPr>
          <w:t>www.microsoft.com/en-us/windows/windowsintune/faq/default.aspx</w:t>
        </w:r>
      </w:hyperlink>
      <w:r w:rsidRPr="00451078">
        <w:rPr>
          <w:color w:val="0000FF"/>
          <w:u w:val="single"/>
          <w:lang w:val="it-IT"/>
        </w:rPr>
        <w:t>.</w:t>
      </w:r>
    </w:p>
    <w:p w:rsidR="007A73DF" w:rsidRPr="00451078" w:rsidRDefault="007A73DF" w:rsidP="00483B3D">
      <w:pPr>
        <w:ind w:left="720"/>
        <w:rPr>
          <w:lang w:val="it-IT"/>
        </w:rPr>
      </w:pPr>
    </w:p>
    <w:p w:rsidR="007A73DF" w:rsidRPr="003410C7" w:rsidRDefault="0031394C" w:rsidP="00483B3D">
      <w:pPr>
        <w:spacing w:after="60"/>
        <w:ind w:left="720"/>
      </w:pPr>
      <w:r w:rsidRPr="003410C7">
        <w:rPr>
          <w:rFonts w:eastAsia="Calibri" w:cs="Tahoma"/>
          <w:b/>
          <w:color w:val="000000"/>
          <w:szCs w:val="18"/>
        </w:rPr>
        <w:t>Dettagli dell</w:t>
      </w:r>
      <w:r w:rsidR="004525CA">
        <w:rPr>
          <w:rFonts w:eastAsia="Calibri" w:cs="Tahoma"/>
          <w:b/>
          <w:color w:val="000000"/>
          <w:szCs w:val="18"/>
        </w:rPr>
        <w:t>’</w:t>
      </w:r>
      <w:r w:rsidRPr="003410C7">
        <w:rPr>
          <w:rFonts w:eastAsia="Calibri" w:cs="Tahoma"/>
          <w:b/>
          <w:color w:val="000000"/>
          <w:szCs w:val="18"/>
        </w:rPr>
        <w:t>Offerta</w:t>
      </w:r>
    </w:p>
    <w:p w:rsidR="0031394C" w:rsidRPr="00451078" w:rsidRDefault="0031394C" w:rsidP="00745AB3">
      <w:pPr>
        <w:numPr>
          <w:ilvl w:val="1"/>
          <w:numId w:val="81"/>
        </w:numPr>
        <w:spacing w:after="60"/>
        <w:rPr>
          <w:lang w:val="it-IT"/>
        </w:rPr>
      </w:pPr>
      <w:r w:rsidRPr="00451078">
        <w:rPr>
          <w:rFonts w:eastAsia="Calibri" w:cs="Tahoma"/>
          <w:color w:val="000000"/>
          <w:szCs w:val="18"/>
          <w:lang w:val="it-IT"/>
        </w:rPr>
        <w:t>L</w:t>
      </w:r>
      <w:r w:rsidR="004525CA">
        <w:rPr>
          <w:rFonts w:eastAsia="Calibri" w:cs="Tahoma"/>
          <w:color w:val="000000"/>
          <w:szCs w:val="18"/>
          <w:lang w:val="it-IT"/>
        </w:rPr>
        <w:t>’</w:t>
      </w:r>
      <w:r w:rsidRPr="00451078">
        <w:rPr>
          <w:rFonts w:eastAsia="Calibri" w:cs="Tahoma"/>
          <w:color w:val="000000"/>
          <w:szCs w:val="18"/>
          <w:lang w:val="it-IT"/>
        </w:rPr>
        <w:t>offerta può essere accettata in qualsiasi momento compreso tra il 3 aprile 2012 e la data di scadenza della sottoscrizione MDOP corrente delle società.</w:t>
      </w:r>
    </w:p>
    <w:p w:rsidR="0031394C" w:rsidRPr="00451078" w:rsidRDefault="0031394C" w:rsidP="00745AB3">
      <w:pPr>
        <w:numPr>
          <w:ilvl w:val="1"/>
          <w:numId w:val="81"/>
        </w:numPr>
        <w:spacing w:after="60"/>
        <w:rPr>
          <w:lang w:val="it-IT"/>
        </w:rPr>
      </w:pPr>
      <w:r w:rsidRPr="00451078">
        <w:rPr>
          <w:rFonts w:eastAsia="Calibri" w:cs="Tahoma"/>
          <w:color w:val="000000"/>
          <w:szCs w:val="18"/>
          <w:lang w:val="it-IT"/>
        </w:rPr>
        <w:t>Per accettare l</w:t>
      </w:r>
      <w:r w:rsidR="004525CA">
        <w:rPr>
          <w:rFonts w:eastAsia="Calibri" w:cs="Tahoma"/>
          <w:color w:val="000000"/>
          <w:szCs w:val="18"/>
          <w:lang w:val="it-IT"/>
        </w:rPr>
        <w:t>’</w:t>
      </w:r>
      <w:r w:rsidRPr="00451078">
        <w:rPr>
          <w:rFonts w:eastAsia="Calibri" w:cs="Tahoma"/>
          <w:color w:val="000000"/>
          <w:szCs w:val="18"/>
          <w:lang w:val="it-IT"/>
        </w:rPr>
        <w:t xml:space="preserve">offerta, le società dovranno (1) creare un account di valutazione per Windows Intune </w:t>
      </w:r>
      <w:r w:rsidRPr="00451078">
        <w:rPr>
          <w:rFonts w:cs="Tahoma"/>
          <w:szCs w:val="18"/>
          <w:lang w:val="it-IT"/>
        </w:rPr>
        <w:t xml:space="preserve">(Per Dispositivo) </w:t>
      </w:r>
      <w:r w:rsidRPr="00451078">
        <w:rPr>
          <w:rFonts w:eastAsia="Calibri" w:cs="Tahoma"/>
          <w:color w:val="000000"/>
          <w:szCs w:val="18"/>
          <w:lang w:val="it-IT"/>
        </w:rPr>
        <w:t>sul sito http://www.microsoft.com/en-us/windows/windowsintune/try-and-buy.aspx, quindi (2) inviare il modulo di accettazione dell</w:t>
      </w:r>
      <w:r w:rsidR="004525CA">
        <w:rPr>
          <w:rFonts w:eastAsia="Calibri" w:cs="Tahoma"/>
          <w:color w:val="000000"/>
          <w:szCs w:val="18"/>
          <w:lang w:val="it-IT"/>
        </w:rPr>
        <w:t>’</w:t>
      </w:r>
      <w:r w:rsidRPr="00451078">
        <w:rPr>
          <w:rFonts w:eastAsia="Calibri" w:cs="Tahoma"/>
          <w:color w:val="000000"/>
          <w:szCs w:val="18"/>
          <w:lang w:val="it-IT"/>
        </w:rPr>
        <w:t>offerta all</w:t>
      </w:r>
      <w:r w:rsidR="004525CA">
        <w:rPr>
          <w:rFonts w:eastAsia="Calibri" w:cs="Tahoma"/>
          <w:color w:val="000000"/>
          <w:szCs w:val="18"/>
          <w:lang w:val="it-IT"/>
        </w:rPr>
        <w:t>’</w:t>
      </w:r>
      <w:r w:rsidRPr="00451078">
        <w:rPr>
          <w:rFonts w:eastAsia="Calibri" w:cs="Tahoma"/>
          <w:color w:val="000000"/>
          <w:szCs w:val="18"/>
          <w:lang w:val="it-IT"/>
        </w:rPr>
        <w:t>indirizzo http://go.microsoft.com/fwlink/?LinkID=242876.</w:t>
      </w:r>
    </w:p>
    <w:p w:rsidR="0031394C" w:rsidRPr="00451078" w:rsidRDefault="0031394C" w:rsidP="00745AB3">
      <w:pPr>
        <w:numPr>
          <w:ilvl w:val="1"/>
          <w:numId w:val="81"/>
        </w:numPr>
        <w:spacing w:after="60"/>
        <w:rPr>
          <w:lang w:val="it-IT"/>
        </w:rPr>
      </w:pPr>
      <w:r w:rsidRPr="00451078">
        <w:rPr>
          <w:rFonts w:eastAsia="Calibri" w:cs="Tahoma"/>
          <w:color w:val="000000"/>
          <w:szCs w:val="18"/>
          <w:lang w:val="it-IT"/>
        </w:rPr>
        <w:t>L</w:t>
      </w:r>
      <w:r w:rsidR="004525CA">
        <w:rPr>
          <w:rFonts w:eastAsia="Calibri" w:cs="Tahoma"/>
          <w:color w:val="000000"/>
          <w:szCs w:val="18"/>
          <w:lang w:val="it-IT"/>
        </w:rPr>
        <w:t>’</w:t>
      </w:r>
      <w:r w:rsidRPr="00451078">
        <w:rPr>
          <w:rFonts w:eastAsia="Calibri" w:cs="Tahoma"/>
          <w:color w:val="000000"/>
          <w:szCs w:val="18"/>
          <w:lang w:val="it-IT"/>
        </w:rPr>
        <w:t xml:space="preserve">accesso a Windows Intune </w:t>
      </w:r>
      <w:r w:rsidRPr="00451078">
        <w:rPr>
          <w:rFonts w:cs="Tahoma"/>
          <w:szCs w:val="18"/>
          <w:lang w:val="it-IT"/>
        </w:rPr>
        <w:t xml:space="preserve">(Per Dispositivo) </w:t>
      </w:r>
      <w:r w:rsidRPr="00451078">
        <w:rPr>
          <w:rFonts w:eastAsia="Calibri" w:cs="Tahoma"/>
          <w:color w:val="000000"/>
          <w:szCs w:val="18"/>
          <w:lang w:val="it-IT"/>
        </w:rPr>
        <w:t>e il relativo utilizzo ai sensi di tale offerta terminerà alla scadenza della sottoscrizione MDOP della società.</w:t>
      </w:r>
    </w:p>
    <w:p w:rsidR="0031394C" w:rsidRPr="00451078" w:rsidRDefault="0031394C" w:rsidP="00745AB3">
      <w:pPr>
        <w:numPr>
          <w:ilvl w:val="1"/>
          <w:numId w:val="81"/>
        </w:numPr>
        <w:spacing w:after="60"/>
        <w:rPr>
          <w:lang w:val="it-IT"/>
        </w:rPr>
      </w:pPr>
      <w:r w:rsidRPr="00451078">
        <w:rPr>
          <w:rFonts w:eastAsia="Calibri" w:cs="Tahoma"/>
          <w:color w:val="000000"/>
          <w:szCs w:val="18"/>
          <w:lang w:val="it-IT"/>
        </w:rPr>
        <w:t>Le condizioni dei contratti delle società, le Condizioni Universali di Licenza dei Diritti di Utilizzo del Prodotto e le Condizioni Generali di Licenza della sezione Servizi Online dei Diritti di Utilizzo del Prodotto disciplinano l</w:t>
      </w:r>
      <w:r w:rsidR="004525CA">
        <w:rPr>
          <w:rFonts w:eastAsia="Calibri" w:cs="Tahoma"/>
          <w:color w:val="000000"/>
          <w:szCs w:val="18"/>
          <w:lang w:val="it-IT"/>
        </w:rPr>
        <w:t>’</w:t>
      </w:r>
      <w:r w:rsidRPr="00451078">
        <w:rPr>
          <w:rFonts w:eastAsia="Calibri" w:cs="Tahoma"/>
          <w:color w:val="000000"/>
          <w:szCs w:val="18"/>
          <w:lang w:val="it-IT"/>
        </w:rPr>
        <w:t>utilizzo del servizio.</w:t>
      </w:r>
    </w:p>
    <w:p w:rsidR="0031394C" w:rsidRPr="00451078" w:rsidRDefault="0031394C" w:rsidP="00745AB3">
      <w:pPr>
        <w:numPr>
          <w:ilvl w:val="1"/>
          <w:numId w:val="81"/>
        </w:numPr>
        <w:spacing w:after="60"/>
        <w:rPr>
          <w:lang w:val="it-IT"/>
        </w:rPr>
      </w:pPr>
      <w:r w:rsidRPr="00451078">
        <w:rPr>
          <w:rFonts w:eastAsia="Calibri" w:cs="Tahoma"/>
          <w:color w:val="000000"/>
          <w:szCs w:val="18"/>
          <w:lang w:val="it-IT"/>
        </w:rPr>
        <w:t xml:space="preserve">Il numero di dispositivi che rendono una società idonea ad accedere a Windows Intune </w:t>
      </w:r>
      <w:r w:rsidRPr="00451078">
        <w:rPr>
          <w:rFonts w:cs="Tahoma"/>
          <w:szCs w:val="18"/>
          <w:lang w:val="it-IT"/>
        </w:rPr>
        <w:t>(Per</w:t>
      </w:r>
      <w:r w:rsidR="0003390D" w:rsidRPr="00451078">
        <w:rPr>
          <w:rFonts w:cs="Tahoma"/>
          <w:szCs w:val="18"/>
          <w:lang w:val="it-IT"/>
        </w:rPr>
        <w:t> </w:t>
      </w:r>
      <w:r w:rsidRPr="00451078">
        <w:rPr>
          <w:rFonts w:cs="Tahoma"/>
          <w:szCs w:val="18"/>
          <w:lang w:val="it-IT"/>
        </w:rPr>
        <w:t>Dispositivo)</w:t>
      </w:r>
      <w:r w:rsidRPr="00451078">
        <w:rPr>
          <w:rFonts w:eastAsia="Calibri" w:cs="Tahoma"/>
          <w:color w:val="000000"/>
          <w:szCs w:val="18"/>
          <w:lang w:val="it-IT"/>
        </w:rPr>
        <w:t xml:space="preserve"> in base alla presente offerta è uguale al numero totale di postazioni per la sottoscrizione AIS della società al momento in cui la società accetta l</w:t>
      </w:r>
      <w:r w:rsidR="004525CA">
        <w:rPr>
          <w:rFonts w:eastAsia="Calibri" w:cs="Tahoma"/>
          <w:color w:val="000000"/>
          <w:szCs w:val="18"/>
          <w:lang w:val="it-IT"/>
        </w:rPr>
        <w:t>’</w:t>
      </w:r>
      <w:r w:rsidRPr="00451078">
        <w:rPr>
          <w:rFonts w:eastAsia="Calibri" w:cs="Tahoma"/>
          <w:color w:val="000000"/>
          <w:szCs w:val="18"/>
          <w:lang w:val="it-IT"/>
        </w:rPr>
        <w:t xml:space="preserve">offerta di Windows Intune </w:t>
      </w:r>
      <w:r w:rsidRPr="00451078">
        <w:rPr>
          <w:rFonts w:cs="Tahoma"/>
          <w:szCs w:val="18"/>
          <w:lang w:val="it-IT"/>
        </w:rPr>
        <w:t>(Per Dispositivo)</w:t>
      </w:r>
      <w:r w:rsidRPr="00451078">
        <w:rPr>
          <w:rFonts w:eastAsia="Calibri" w:cs="Tahoma"/>
          <w:color w:val="000000"/>
          <w:szCs w:val="18"/>
          <w:lang w:val="it-IT"/>
        </w:rPr>
        <w:t>.</w:t>
      </w:r>
      <w:r w:rsidR="00082E1C" w:rsidRPr="00451078">
        <w:rPr>
          <w:rFonts w:eastAsia="Calibri" w:cs="Tahoma"/>
          <w:color w:val="000000"/>
          <w:szCs w:val="18"/>
          <w:lang w:val="it-IT"/>
        </w:rPr>
        <w:t xml:space="preserve"> </w:t>
      </w:r>
      <w:r w:rsidRPr="00451078">
        <w:rPr>
          <w:rFonts w:eastAsia="Calibri" w:cs="Tahoma"/>
          <w:color w:val="000000"/>
          <w:szCs w:val="18"/>
          <w:lang w:val="it-IT"/>
        </w:rPr>
        <w:t>Le postazioni AIS aggiunte a un account attivo in un momento qualsiasi che precede l</w:t>
      </w:r>
      <w:r w:rsidR="004525CA">
        <w:rPr>
          <w:rFonts w:eastAsia="Calibri" w:cs="Tahoma"/>
          <w:color w:val="000000"/>
          <w:szCs w:val="18"/>
          <w:lang w:val="it-IT"/>
        </w:rPr>
        <w:t>’</w:t>
      </w:r>
      <w:r w:rsidRPr="00451078">
        <w:rPr>
          <w:rFonts w:eastAsia="Calibri" w:cs="Tahoma"/>
          <w:color w:val="000000"/>
          <w:szCs w:val="18"/>
          <w:lang w:val="it-IT"/>
        </w:rPr>
        <w:t>accettazione da parte della società dell</w:t>
      </w:r>
      <w:r w:rsidR="004525CA">
        <w:rPr>
          <w:rFonts w:eastAsia="Calibri" w:cs="Tahoma"/>
          <w:color w:val="000000"/>
          <w:szCs w:val="18"/>
          <w:lang w:val="it-IT"/>
        </w:rPr>
        <w:t>’</w:t>
      </w:r>
      <w:r w:rsidRPr="00451078">
        <w:rPr>
          <w:rFonts w:eastAsia="Calibri" w:cs="Tahoma"/>
          <w:color w:val="000000"/>
          <w:szCs w:val="18"/>
          <w:lang w:val="it-IT"/>
        </w:rPr>
        <w:t>offerta di Windows</w:t>
      </w:r>
      <w:r w:rsidR="003410C7" w:rsidRPr="00451078">
        <w:rPr>
          <w:rFonts w:eastAsia="Calibri" w:cs="Tahoma"/>
          <w:color w:val="000000"/>
          <w:szCs w:val="18"/>
          <w:vertAlign w:val="superscript"/>
          <w:lang w:val="it-IT"/>
        </w:rPr>
        <w:t>®</w:t>
      </w:r>
      <w:r w:rsidRPr="00451078">
        <w:rPr>
          <w:rFonts w:eastAsia="Calibri" w:cs="Tahoma"/>
          <w:color w:val="000000"/>
          <w:szCs w:val="18"/>
          <w:lang w:val="it-IT"/>
        </w:rPr>
        <w:t xml:space="preserve"> Intune saranno incluse nel conteggio.</w:t>
      </w:r>
    </w:p>
    <w:p w:rsidR="0031394C" w:rsidRPr="00451078" w:rsidRDefault="0031394C" w:rsidP="00745AB3">
      <w:pPr>
        <w:numPr>
          <w:ilvl w:val="1"/>
          <w:numId w:val="81"/>
        </w:numPr>
        <w:spacing w:after="60"/>
        <w:rPr>
          <w:lang w:val="it-IT"/>
        </w:rPr>
      </w:pPr>
      <w:r w:rsidRPr="00451078">
        <w:rPr>
          <w:rFonts w:eastAsia="Calibri" w:cs="Tahoma"/>
          <w:color w:val="000000"/>
          <w:szCs w:val="18"/>
          <w:lang w:val="it-IT"/>
        </w:rPr>
        <w:lastRenderedPageBreak/>
        <w:t>Le postazioni MDOP acquistate dopo l</w:t>
      </w:r>
      <w:r w:rsidR="004525CA">
        <w:rPr>
          <w:rFonts w:eastAsia="Calibri" w:cs="Tahoma"/>
          <w:color w:val="000000"/>
          <w:szCs w:val="18"/>
          <w:lang w:val="it-IT"/>
        </w:rPr>
        <w:t>’</w:t>
      </w:r>
      <w:r w:rsidRPr="00451078">
        <w:rPr>
          <w:rFonts w:eastAsia="Calibri" w:cs="Tahoma"/>
          <w:color w:val="000000"/>
          <w:szCs w:val="18"/>
          <w:lang w:val="it-IT"/>
        </w:rPr>
        <w:t xml:space="preserve">accettazione da parte della società della presente offerta di Windows Intune </w:t>
      </w:r>
      <w:r w:rsidRPr="00451078">
        <w:rPr>
          <w:rFonts w:cs="Tahoma"/>
          <w:szCs w:val="18"/>
          <w:lang w:val="it-IT"/>
        </w:rPr>
        <w:t>(Per Dispositivo)</w:t>
      </w:r>
      <w:r w:rsidRPr="00451078">
        <w:rPr>
          <w:rFonts w:eastAsia="Calibri" w:cs="Tahoma"/>
          <w:color w:val="000000"/>
          <w:szCs w:val="18"/>
          <w:lang w:val="it-IT"/>
        </w:rPr>
        <w:t>, incluse le licenze acquistate attraverso la procedura di true-up ai</w:t>
      </w:r>
      <w:r w:rsidR="0003390D" w:rsidRPr="00451078">
        <w:rPr>
          <w:rFonts w:eastAsia="Calibri" w:cs="Tahoma"/>
          <w:color w:val="000000"/>
          <w:szCs w:val="18"/>
          <w:lang w:val="it-IT"/>
        </w:rPr>
        <w:t> </w:t>
      </w:r>
      <w:r w:rsidRPr="00451078">
        <w:rPr>
          <w:rFonts w:eastAsia="Calibri" w:cs="Tahoma"/>
          <w:color w:val="000000"/>
          <w:szCs w:val="18"/>
          <w:lang w:val="it-IT"/>
        </w:rPr>
        <w:t xml:space="preserve">sensi del rispettivo contratto multilicenza, non saranno idonee ad accedere a Windows Intune </w:t>
      </w:r>
      <w:r w:rsidRPr="00451078">
        <w:rPr>
          <w:rFonts w:cs="Tahoma"/>
          <w:szCs w:val="18"/>
          <w:lang w:val="it-IT"/>
        </w:rPr>
        <w:t>(Per</w:t>
      </w:r>
      <w:r w:rsidR="0003390D" w:rsidRPr="00451078">
        <w:rPr>
          <w:rFonts w:cs="Tahoma"/>
          <w:szCs w:val="18"/>
          <w:lang w:val="it-IT"/>
        </w:rPr>
        <w:t> </w:t>
      </w:r>
      <w:r w:rsidRPr="00451078">
        <w:rPr>
          <w:rFonts w:cs="Tahoma"/>
          <w:szCs w:val="18"/>
          <w:lang w:val="it-IT"/>
        </w:rPr>
        <w:t xml:space="preserve">Dispositivo) </w:t>
      </w:r>
      <w:r w:rsidRPr="00451078">
        <w:rPr>
          <w:rFonts w:eastAsia="Calibri" w:cs="Tahoma"/>
          <w:color w:val="000000"/>
          <w:szCs w:val="18"/>
          <w:lang w:val="it-IT"/>
        </w:rPr>
        <w:t>ai sensi dell</w:t>
      </w:r>
      <w:r w:rsidR="004525CA">
        <w:rPr>
          <w:rFonts w:eastAsia="Calibri" w:cs="Tahoma"/>
          <w:color w:val="000000"/>
          <w:szCs w:val="18"/>
          <w:lang w:val="it-IT"/>
        </w:rPr>
        <w:t>’</w:t>
      </w:r>
      <w:r w:rsidRPr="00451078">
        <w:rPr>
          <w:rFonts w:eastAsia="Calibri" w:cs="Tahoma"/>
          <w:color w:val="000000"/>
          <w:szCs w:val="18"/>
          <w:lang w:val="it-IT"/>
        </w:rPr>
        <w:t xml:space="preserve">offerta. Qualora una società desideri accedere a Windows Intune </w:t>
      </w:r>
      <w:r w:rsidRPr="00451078">
        <w:rPr>
          <w:rFonts w:cs="Tahoma"/>
          <w:szCs w:val="18"/>
          <w:lang w:val="it-IT"/>
        </w:rPr>
        <w:t>(Per</w:t>
      </w:r>
      <w:r w:rsidR="0003390D" w:rsidRPr="00451078">
        <w:rPr>
          <w:rFonts w:cs="Tahoma"/>
          <w:szCs w:val="18"/>
          <w:lang w:val="it-IT"/>
        </w:rPr>
        <w:t> </w:t>
      </w:r>
      <w:r w:rsidRPr="00451078">
        <w:rPr>
          <w:rFonts w:cs="Tahoma"/>
          <w:szCs w:val="18"/>
          <w:lang w:val="it-IT"/>
        </w:rPr>
        <w:t>Dispositivo)</w:t>
      </w:r>
      <w:r w:rsidRPr="00451078">
        <w:rPr>
          <w:rFonts w:eastAsia="Calibri" w:cs="Tahoma"/>
          <w:color w:val="000000"/>
          <w:szCs w:val="18"/>
          <w:lang w:val="it-IT"/>
        </w:rPr>
        <w:t xml:space="preserve"> utilizzando un numero di dispositivi superiore al numero consentito dalla presente offerta, dovrà acquistare licenze aggiuntive separate.</w:t>
      </w:r>
    </w:p>
    <w:p w:rsidR="005403C8" w:rsidRPr="00451078" w:rsidRDefault="0031394C" w:rsidP="00745AB3">
      <w:pPr>
        <w:numPr>
          <w:ilvl w:val="1"/>
          <w:numId w:val="81"/>
        </w:numPr>
        <w:spacing w:after="60"/>
        <w:rPr>
          <w:lang w:val="it-IT"/>
        </w:rPr>
      </w:pPr>
      <w:r w:rsidRPr="00451078">
        <w:rPr>
          <w:rFonts w:eastAsia="Calibri" w:cs="Tahoma"/>
          <w:color w:val="000000"/>
          <w:szCs w:val="18"/>
          <w:lang w:val="it-IT"/>
        </w:rPr>
        <w:t xml:space="preserve">I diritti di accesso a Windows Intune </w:t>
      </w:r>
      <w:r w:rsidRPr="00451078">
        <w:rPr>
          <w:rFonts w:cs="Tahoma"/>
          <w:szCs w:val="18"/>
          <w:lang w:val="it-IT"/>
        </w:rPr>
        <w:t>(Per Dispositivo)</w:t>
      </w:r>
      <w:r w:rsidRPr="00451078">
        <w:rPr>
          <w:rFonts w:eastAsia="Calibri" w:cs="Tahoma"/>
          <w:color w:val="000000"/>
          <w:szCs w:val="18"/>
          <w:lang w:val="it-IT"/>
        </w:rPr>
        <w:t xml:space="preserve"> ai sensi della presente offerta non includono i diritti di utilizzo del sistema operativo desktop Windows.</w:t>
      </w:r>
      <w:r w:rsidR="00082E1C" w:rsidRPr="00451078">
        <w:rPr>
          <w:rFonts w:eastAsia="Calibri" w:cs="Tahoma"/>
          <w:color w:val="000000"/>
          <w:szCs w:val="18"/>
          <w:lang w:val="it-IT"/>
        </w:rPr>
        <w:t xml:space="preserve"> </w:t>
      </w:r>
      <w:bookmarkStart w:id="1109" w:name="_24_Windows®_Companion"/>
      <w:bookmarkStart w:id="1110" w:name="_24_Windows®_8"/>
      <w:bookmarkStart w:id="1111" w:name="Sys_22WindowsPartnersLearning"/>
      <w:bookmarkEnd w:id="1108"/>
      <w:bookmarkEnd w:id="1109"/>
      <w:bookmarkEnd w:id="1110"/>
    </w:p>
    <w:p w:rsidR="00810479" w:rsidRPr="00451078" w:rsidRDefault="00810479" w:rsidP="007A73DF">
      <w:pPr>
        <w:contextualSpacing/>
        <w:rPr>
          <w:lang w:val="it-IT"/>
        </w:rPr>
      </w:pPr>
    </w:p>
    <w:p w:rsidR="00483B3D" w:rsidRPr="00451078" w:rsidRDefault="00483B3D" w:rsidP="007A73DF">
      <w:pPr>
        <w:contextualSpacing/>
        <w:rPr>
          <w:lang w:val="it-IT"/>
        </w:rPr>
      </w:pPr>
    </w:p>
    <w:p w:rsidR="00483B3D" w:rsidRPr="00451078" w:rsidRDefault="00483B3D" w:rsidP="00483B3D">
      <w:pPr>
        <w:pStyle w:val="Heading3"/>
        <w:rPr>
          <w:lang w:val="it-IT"/>
        </w:rPr>
      </w:pPr>
      <w:bookmarkStart w:id="1112" w:name="_24_Licenza_“Subscription”"/>
      <w:bookmarkStart w:id="1113" w:name="_Toc336338281"/>
      <w:bookmarkStart w:id="1114" w:name="_Toc352234876"/>
      <w:bookmarkEnd w:id="1112"/>
      <w:r w:rsidRPr="00451078">
        <w:rPr>
          <w:rFonts w:ascii="Tahoma" w:hAnsi="Tahoma"/>
          <w:caps/>
          <w:color w:val="F66400"/>
          <w:sz w:val="22"/>
          <w:vertAlign w:val="superscript"/>
          <w:lang w:val="it-IT"/>
        </w:rPr>
        <w:t>24</w:t>
      </w:r>
      <w:r w:rsidRPr="00451078">
        <w:rPr>
          <w:rFonts w:ascii="Tahoma" w:hAnsi="Tahoma"/>
          <w:caps/>
          <w:color w:val="F66400"/>
          <w:sz w:val="22"/>
          <w:lang w:val="it-IT"/>
        </w:rPr>
        <w:t xml:space="preserve"> </w:t>
      </w:r>
      <w:r w:rsidRPr="00451078">
        <w:rPr>
          <w:rFonts w:ascii="Tahoma" w:hAnsi="Tahoma"/>
          <w:color w:val="F66400"/>
          <w:sz w:val="22"/>
          <w:lang w:val="it-IT"/>
        </w:rPr>
        <w:t xml:space="preserve">Licenza </w:t>
      </w:r>
      <w:r w:rsidR="001A3EC5" w:rsidRPr="00451078">
        <w:rPr>
          <w:rFonts w:ascii="Tahoma" w:hAnsi="Tahoma"/>
          <w:color w:val="F66400"/>
          <w:sz w:val="22"/>
          <w:lang w:val="it-IT"/>
        </w:rPr>
        <w:t>“</w:t>
      </w:r>
      <w:r w:rsidRPr="00451078">
        <w:rPr>
          <w:rFonts w:ascii="Tahoma" w:hAnsi="Tahoma"/>
          <w:color w:val="F66400"/>
          <w:sz w:val="22"/>
          <w:lang w:val="it-IT"/>
        </w:rPr>
        <w:t>Subscription</w:t>
      </w:r>
      <w:r w:rsidR="001A3EC5" w:rsidRPr="00451078">
        <w:rPr>
          <w:rFonts w:ascii="Tahoma" w:hAnsi="Tahoma"/>
          <w:color w:val="F66400"/>
          <w:sz w:val="22"/>
          <w:lang w:val="it-IT"/>
        </w:rPr>
        <w:t>”</w:t>
      </w:r>
      <w:r w:rsidRPr="00451078">
        <w:rPr>
          <w:rFonts w:ascii="Tahoma" w:hAnsi="Tahoma"/>
          <w:color w:val="F66400"/>
          <w:sz w:val="22"/>
          <w:lang w:val="it-IT"/>
        </w:rPr>
        <w:t xml:space="preserve"> per Windows</w:t>
      </w:r>
      <w:r w:rsidR="003410C7" w:rsidRPr="00451078">
        <w:rPr>
          <w:rFonts w:ascii="Tahoma" w:hAnsi="Tahoma"/>
          <w:color w:val="F66400"/>
          <w:sz w:val="22"/>
          <w:vertAlign w:val="superscript"/>
          <w:lang w:val="it-IT"/>
        </w:rPr>
        <w:t>®</w:t>
      </w:r>
      <w:r w:rsidRPr="00451078">
        <w:rPr>
          <w:rFonts w:ascii="Tahoma" w:hAnsi="Tahoma"/>
          <w:color w:val="F66400"/>
          <w:sz w:val="22"/>
          <w:lang w:val="it-IT"/>
        </w:rPr>
        <w:t xml:space="preserve"> Companion</w:t>
      </w:r>
      <w:bookmarkEnd w:id="1113"/>
      <w:bookmarkEnd w:id="1114"/>
    </w:p>
    <w:p w:rsidR="00483B3D" w:rsidRPr="00451078" w:rsidRDefault="00483B3D" w:rsidP="00483B3D">
      <w:pPr>
        <w:rPr>
          <w:lang w:val="it-IT"/>
        </w:rPr>
      </w:pPr>
    </w:p>
    <w:p w:rsidR="00483B3D" w:rsidRPr="00451078" w:rsidRDefault="00483B3D" w:rsidP="00483B3D">
      <w:pPr>
        <w:spacing w:after="60"/>
        <w:ind w:left="720"/>
        <w:rPr>
          <w:lang w:val="it-IT"/>
        </w:rPr>
      </w:pPr>
      <w:r w:rsidRPr="00451078">
        <w:rPr>
          <w:b/>
          <w:color w:val="000000"/>
          <w:lang w:val="it-IT"/>
        </w:rPr>
        <w:t>Istituti che hanno stipulato un Contratto School</w:t>
      </w:r>
    </w:p>
    <w:p w:rsidR="00483B3D" w:rsidRPr="00451078" w:rsidRDefault="00483B3D" w:rsidP="00483B3D">
      <w:pPr>
        <w:ind w:left="720"/>
        <w:rPr>
          <w:lang w:val="it-IT"/>
        </w:rPr>
      </w:pPr>
      <w:r w:rsidRPr="00451078">
        <w:rPr>
          <w:color w:val="000000"/>
          <w:lang w:val="it-IT"/>
        </w:rPr>
        <w:t xml:space="preserve">gli Istituti potranno acquistare la Licenza </w:t>
      </w:r>
      <w:r w:rsidR="001A3EC5" w:rsidRPr="00451078">
        <w:rPr>
          <w:color w:val="000000"/>
          <w:lang w:val="it-IT"/>
        </w:rPr>
        <w:t>“</w:t>
      </w:r>
      <w:r w:rsidRPr="00451078">
        <w:rPr>
          <w:color w:val="000000"/>
          <w:lang w:val="it-IT"/>
        </w:rPr>
        <w:t>Subscription</w:t>
      </w:r>
      <w:r w:rsidR="001A3EC5" w:rsidRPr="00451078">
        <w:rPr>
          <w:color w:val="000000"/>
          <w:lang w:val="it-IT"/>
        </w:rPr>
        <w:t>”</w:t>
      </w:r>
      <w:r w:rsidRPr="00451078">
        <w:rPr>
          <w:color w:val="000000"/>
          <w:lang w:val="it-IT"/>
        </w:rPr>
        <w:t xml:space="preserve"> per Windows Companion (Companion Subscription License o </w:t>
      </w:r>
      <w:r w:rsidR="001A3EC5" w:rsidRPr="00451078">
        <w:rPr>
          <w:color w:val="000000"/>
          <w:lang w:val="it-IT"/>
        </w:rPr>
        <w:t>“</w:t>
      </w:r>
      <w:r w:rsidRPr="00451078">
        <w:rPr>
          <w:color w:val="000000"/>
          <w:lang w:val="it-IT"/>
        </w:rPr>
        <w:t>CSL</w:t>
      </w:r>
      <w:r w:rsidR="001A3EC5" w:rsidRPr="00451078">
        <w:rPr>
          <w:color w:val="000000"/>
          <w:lang w:val="it-IT"/>
        </w:rPr>
        <w:t>”</w:t>
      </w:r>
      <w:r w:rsidRPr="00451078">
        <w:rPr>
          <w:color w:val="000000"/>
          <w:lang w:val="it-IT"/>
        </w:rPr>
        <w:t>), qualora dispongano della copertura per i prodotti qualificanti.</w:t>
      </w:r>
      <w:r w:rsidR="00082E1C" w:rsidRPr="00451078">
        <w:rPr>
          <w:color w:val="000000"/>
          <w:lang w:val="it-IT"/>
        </w:rPr>
        <w:t xml:space="preserve"> </w:t>
      </w:r>
      <w:r w:rsidRPr="00451078">
        <w:rPr>
          <w:color w:val="000000"/>
          <w:lang w:val="it-IT"/>
        </w:rPr>
        <w:t>La quantità massima di CSL acquistabili è pari al numero di prodotti qualificanti per i PC Idonei dell</w:t>
      </w:r>
      <w:r w:rsidR="004525CA">
        <w:rPr>
          <w:color w:val="000000"/>
          <w:lang w:val="it-IT"/>
        </w:rPr>
        <w:t>’</w:t>
      </w:r>
      <w:r w:rsidRPr="00451078">
        <w:rPr>
          <w:color w:val="000000"/>
          <w:lang w:val="it-IT"/>
        </w:rPr>
        <w:t>istituto.</w:t>
      </w:r>
    </w:p>
    <w:p w:rsidR="00483B3D" w:rsidRPr="00451078" w:rsidRDefault="00483B3D" w:rsidP="00483B3D">
      <w:pPr>
        <w:rPr>
          <w:lang w:val="it-IT"/>
        </w:rPr>
      </w:pPr>
    </w:p>
    <w:p w:rsidR="00483B3D" w:rsidRPr="00451078" w:rsidRDefault="00483B3D" w:rsidP="00483B3D">
      <w:pPr>
        <w:spacing w:after="60"/>
        <w:ind w:left="720"/>
        <w:rPr>
          <w:lang w:val="it-IT"/>
        </w:rPr>
      </w:pPr>
      <w:r w:rsidRPr="00451078">
        <w:rPr>
          <w:b/>
          <w:color w:val="000000"/>
          <w:lang w:val="it-IT"/>
        </w:rPr>
        <w:t>Dispositivi Companion e Dispositivi Qualificati</w:t>
      </w:r>
    </w:p>
    <w:p w:rsidR="00483B3D" w:rsidRPr="00451078" w:rsidRDefault="00483B3D" w:rsidP="00483B3D">
      <w:pPr>
        <w:ind w:left="720"/>
        <w:rPr>
          <w:lang w:val="it-IT"/>
        </w:rPr>
      </w:pPr>
      <w:r w:rsidRPr="00451078">
        <w:rPr>
          <w:color w:val="000000"/>
          <w:lang w:val="it-IT"/>
        </w:rPr>
        <w:t>I Dispositivi Companion che usano i diritti sull</w:t>
      </w:r>
      <w:r w:rsidR="004525CA">
        <w:rPr>
          <w:color w:val="000000"/>
          <w:lang w:val="it-IT"/>
        </w:rPr>
        <w:t>’</w:t>
      </w:r>
      <w:r w:rsidRPr="00451078">
        <w:rPr>
          <w:color w:val="000000"/>
          <w:lang w:val="it-IT"/>
        </w:rPr>
        <w:t>utilizzo forniti dalla CSL sono Dispositivi Qualificati.</w:t>
      </w:r>
      <w:r w:rsidR="00082E1C" w:rsidRPr="00451078">
        <w:rPr>
          <w:color w:val="000000"/>
          <w:lang w:val="it-IT"/>
        </w:rPr>
        <w:t xml:space="preserve"> </w:t>
      </w:r>
      <w:r w:rsidRPr="00451078">
        <w:rPr>
          <w:color w:val="000000"/>
          <w:lang w:val="it-IT"/>
        </w:rPr>
        <w:t>La CSL è</w:t>
      </w:r>
      <w:r w:rsidR="0003390D" w:rsidRPr="00451078">
        <w:rPr>
          <w:color w:val="000000"/>
          <w:lang w:val="it-IT"/>
        </w:rPr>
        <w:t> </w:t>
      </w:r>
      <w:r w:rsidRPr="00451078">
        <w:rPr>
          <w:color w:val="000000"/>
          <w:lang w:val="it-IT"/>
        </w:rPr>
        <w:t>un Prodotto Enterprise e in tal modo completa la parte Sistemi di qualsiasi impegno di acquisto per i Dispositivi Qualificati.</w:t>
      </w:r>
      <w:r w:rsidR="00082E1C" w:rsidRPr="00451078">
        <w:rPr>
          <w:color w:val="000000"/>
          <w:lang w:val="it-IT"/>
        </w:rPr>
        <w:t xml:space="preserve"> </w:t>
      </w:r>
      <w:r w:rsidRPr="00451078">
        <w:rPr>
          <w:color w:val="000000"/>
          <w:lang w:val="it-IT"/>
        </w:rPr>
        <w:t>Non esiste una quantità specifica di CSL acquistabili e non occorre acquistare CSL per</w:t>
      </w:r>
      <w:r w:rsidR="0003390D" w:rsidRPr="00451078">
        <w:rPr>
          <w:color w:val="000000"/>
          <w:lang w:val="it-IT"/>
        </w:rPr>
        <w:t> </w:t>
      </w:r>
      <w:r w:rsidRPr="00451078">
        <w:rPr>
          <w:color w:val="000000"/>
          <w:lang w:val="it-IT"/>
        </w:rPr>
        <w:t xml:space="preserve">tutti i Dispositivi </w:t>
      </w:r>
      <w:r w:rsidRPr="00451078">
        <w:rPr>
          <w:lang w:val="it-IT"/>
        </w:rPr>
        <w:t>Qualificati di un</w:t>
      </w:r>
      <w:r w:rsidR="004525CA">
        <w:rPr>
          <w:lang w:val="it-IT"/>
        </w:rPr>
        <w:t>’</w:t>
      </w:r>
      <w:r w:rsidRPr="00451078">
        <w:rPr>
          <w:lang w:val="it-IT"/>
        </w:rPr>
        <w:t>organizzazione e in nessun caso il numero di CSL può superare la combinazione di tutte le Licenze per Windows Upgrade e VDA.</w:t>
      </w:r>
    </w:p>
    <w:p w:rsidR="00483B3D" w:rsidRPr="00451078" w:rsidRDefault="00483B3D" w:rsidP="00483B3D">
      <w:pPr>
        <w:rPr>
          <w:lang w:val="it-IT"/>
        </w:rPr>
      </w:pPr>
    </w:p>
    <w:p w:rsidR="00483B3D" w:rsidRPr="00451078" w:rsidRDefault="00483B3D" w:rsidP="00483B3D">
      <w:pPr>
        <w:rPr>
          <w:lang w:val="it-IT"/>
        </w:rPr>
      </w:pPr>
    </w:p>
    <w:p w:rsidR="00483B3D" w:rsidRPr="00451078" w:rsidRDefault="00483B3D" w:rsidP="00483B3D">
      <w:pPr>
        <w:pStyle w:val="Heading3"/>
        <w:rPr>
          <w:lang w:val="it-IT"/>
        </w:rPr>
      </w:pPr>
      <w:bookmarkStart w:id="1115" w:name="_Toc336338282"/>
      <w:bookmarkStart w:id="1116" w:name="_Toc352234877"/>
      <w:bookmarkStart w:id="1117" w:name="Sys_24WindowsVistaDVDPack"/>
      <w:r w:rsidRPr="00451078">
        <w:rPr>
          <w:rFonts w:ascii="Tahoma" w:hAnsi="Tahoma"/>
          <w:caps/>
          <w:color w:val="F66400"/>
          <w:sz w:val="22"/>
          <w:vertAlign w:val="superscript"/>
          <w:lang w:val="it-IT"/>
        </w:rPr>
        <w:t>25</w:t>
      </w:r>
      <w:r w:rsidRPr="00451078">
        <w:rPr>
          <w:rFonts w:ascii="Tahoma" w:eastAsia="Times New Roman" w:hAnsi="Tahoma" w:cs="Tahoma"/>
          <w:bCs/>
          <w:color w:val="F66400"/>
          <w:sz w:val="22"/>
          <w:szCs w:val="22"/>
          <w:lang w:val="it-IT"/>
        </w:rPr>
        <w:t xml:space="preserve"> Windows Vista DVD Playback Pack</w:t>
      </w:r>
      <w:bookmarkEnd w:id="1115"/>
      <w:bookmarkEnd w:id="1116"/>
    </w:p>
    <w:bookmarkEnd w:id="1117"/>
    <w:p w:rsidR="00483B3D" w:rsidRPr="00451078" w:rsidRDefault="00483B3D" w:rsidP="00483B3D">
      <w:pPr>
        <w:rPr>
          <w:lang w:val="it-IT"/>
        </w:rPr>
      </w:pPr>
    </w:p>
    <w:p w:rsidR="00483B3D" w:rsidRPr="00451078" w:rsidRDefault="00483B3D" w:rsidP="00483B3D">
      <w:pPr>
        <w:ind w:left="720"/>
        <w:rPr>
          <w:lang w:val="it-IT"/>
        </w:rPr>
      </w:pPr>
      <w:r w:rsidRPr="00451078">
        <w:rPr>
          <w:rFonts w:eastAsia="Calibri" w:cs="Tahoma"/>
          <w:color w:val="000000"/>
          <w:szCs w:val="18"/>
          <w:lang w:val="it-IT"/>
        </w:rPr>
        <w:t>Le società con Contratti Multilicenza che installano o eseguono Windows Vista DVD Playback Pack dovranno prendere visione dei Diritti di Utilizzo del Prodotto Concessi in Licenza da Microsoft del mese di dicembre 2010 per conoscere le condizioni di licenza.</w:t>
      </w:r>
    </w:p>
    <w:p w:rsidR="00483B3D" w:rsidRPr="00451078" w:rsidRDefault="00483B3D" w:rsidP="00483B3D">
      <w:pPr>
        <w:rPr>
          <w:lang w:val="it-IT"/>
        </w:rPr>
      </w:pPr>
    </w:p>
    <w:p w:rsidR="007A73DF" w:rsidRPr="00451078" w:rsidRDefault="007A73DF" w:rsidP="007A73DF">
      <w:pPr>
        <w:contextualSpacing/>
        <w:rPr>
          <w:lang w:val="it-IT"/>
        </w:rPr>
      </w:pPr>
    </w:p>
    <w:p w:rsidR="005D4DAB" w:rsidRPr="003410C7" w:rsidRDefault="00B26237" w:rsidP="00C646B3">
      <w:pPr>
        <w:pStyle w:val="Heading3"/>
      </w:pPr>
      <w:bookmarkStart w:id="1118" w:name="_26_Windows®_8"/>
      <w:bookmarkStart w:id="1119" w:name="_Toc336338284"/>
      <w:bookmarkStart w:id="1120" w:name="_Toc352234878"/>
      <w:bookmarkEnd w:id="1118"/>
      <w:r w:rsidRPr="003410C7">
        <w:rPr>
          <w:rFonts w:ascii="Tahoma" w:hAnsi="Tahoma"/>
          <w:caps/>
          <w:color w:val="F66400"/>
          <w:sz w:val="22"/>
          <w:vertAlign w:val="superscript"/>
        </w:rPr>
        <w:t>26</w:t>
      </w:r>
      <w:r w:rsidRPr="003410C7">
        <w:rPr>
          <w:rFonts w:ascii="Tahoma" w:hAnsi="Tahoma"/>
          <w:color w:val="F66400"/>
          <w:sz w:val="22"/>
        </w:rPr>
        <w:t xml:space="preserve"> Windows</w:t>
      </w:r>
      <w:r w:rsidR="003410C7" w:rsidRPr="003410C7">
        <w:rPr>
          <w:rFonts w:ascii="Tahoma" w:hAnsi="Tahoma"/>
          <w:color w:val="F66400"/>
          <w:sz w:val="22"/>
          <w:vertAlign w:val="superscript"/>
        </w:rPr>
        <w:t>®</w:t>
      </w:r>
      <w:r w:rsidRPr="003410C7">
        <w:rPr>
          <w:rFonts w:ascii="Tahoma" w:hAnsi="Tahoma"/>
          <w:color w:val="F66400"/>
          <w:sz w:val="22"/>
        </w:rPr>
        <w:t xml:space="preserve"> 8 Enterprise Sideloading</w:t>
      </w:r>
      <w:bookmarkEnd w:id="1119"/>
      <w:bookmarkEnd w:id="1120"/>
    </w:p>
    <w:p w:rsidR="009B2474" w:rsidRPr="003410C7" w:rsidRDefault="009B2474" w:rsidP="009B2474"/>
    <w:p w:rsidR="009B2474" w:rsidRPr="003410C7" w:rsidRDefault="009B2474" w:rsidP="009B2474"/>
    <w:tbl>
      <w:tblPr>
        <w:tblW w:w="5838" w:type="dxa"/>
        <w:tblInd w:w="780" w:type="dxa"/>
        <w:tblCellMar>
          <w:left w:w="0" w:type="dxa"/>
          <w:right w:w="0" w:type="dxa"/>
        </w:tblCellMar>
        <w:tblLook w:val="04A0" w:firstRow="1" w:lastRow="0" w:firstColumn="1" w:lastColumn="0" w:noHBand="0" w:noVBand="1"/>
      </w:tblPr>
      <w:tblGrid>
        <w:gridCol w:w="2920"/>
        <w:gridCol w:w="1578"/>
        <w:gridCol w:w="1340"/>
      </w:tblGrid>
      <w:tr w:rsidR="005D4DAB" w:rsidRPr="00DC1102" w:rsidTr="0003390D">
        <w:trPr>
          <w:trHeight w:val="900"/>
          <w:tblHeader/>
        </w:trPr>
        <w:tc>
          <w:tcPr>
            <w:tcW w:w="2920" w:type="dxa"/>
            <w:tcBorders>
              <w:top w:val="single" w:sz="8" w:space="0" w:color="auto"/>
              <w:left w:val="single" w:sz="8" w:space="0" w:color="auto"/>
              <w:bottom w:val="single" w:sz="4" w:space="0" w:color="auto"/>
              <w:right w:val="single" w:sz="8" w:space="0" w:color="auto"/>
            </w:tcBorders>
            <w:shd w:val="clear" w:color="auto" w:fill="FABF8F"/>
            <w:vAlign w:val="center"/>
            <w:hideMark/>
          </w:tcPr>
          <w:p w:rsidR="005D4DAB" w:rsidRPr="003410C7" w:rsidRDefault="00433F5F" w:rsidP="005D4DAB">
            <w:pPr>
              <w:jc w:val="center"/>
              <w:rPr>
                <w:rFonts w:eastAsia="Calibri" w:cs="Tahoma"/>
                <w:b/>
                <w:bCs/>
                <w:szCs w:val="18"/>
              </w:rPr>
            </w:pPr>
            <w:r w:rsidRPr="003410C7">
              <w:rPr>
                <w:rFonts w:cs="Tahoma"/>
                <w:b/>
                <w:bCs/>
                <w:szCs w:val="18"/>
              </w:rPr>
              <w:t>Disponibilità del Programma</w:t>
            </w:r>
          </w:p>
        </w:tc>
        <w:tc>
          <w:tcPr>
            <w:tcW w:w="1578" w:type="dxa"/>
            <w:tcBorders>
              <w:top w:val="single" w:sz="4" w:space="0" w:color="auto"/>
              <w:left w:val="nil"/>
              <w:bottom w:val="single" w:sz="4" w:space="0" w:color="auto"/>
              <w:right w:val="single" w:sz="4" w:space="0" w:color="auto"/>
            </w:tcBorders>
            <w:shd w:val="clear" w:color="auto" w:fill="FABF8F"/>
            <w:vAlign w:val="bottom"/>
          </w:tcPr>
          <w:p w:rsidR="005D4DAB" w:rsidRPr="003410C7" w:rsidRDefault="005D4DAB" w:rsidP="005D4DAB">
            <w:pPr>
              <w:jc w:val="center"/>
              <w:rPr>
                <w:rFonts w:cs="Tahoma"/>
                <w:b/>
                <w:bCs/>
                <w:szCs w:val="18"/>
              </w:rPr>
            </w:pPr>
            <w:r w:rsidRPr="003410C7">
              <w:rPr>
                <w:rFonts w:cs="Tahoma"/>
                <w:b/>
                <w:bCs/>
                <w:szCs w:val="18"/>
              </w:rPr>
              <w:t>Licenze Disponibili per l</w:t>
            </w:r>
            <w:r w:rsidR="004525CA">
              <w:rPr>
                <w:rFonts w:cs="Tahoma"/>
                <w:b/>
                <w:bCs/>
                <w:szCs w:val="18"/>
              </w:rPr>
              <w:t>’</w:t>
            </w:r>
            <w:r w:rsidRPr="003410C7">
              <w:rPr>
                <w:rFonts w:cs="Tahoma"/>
                <w:b/>
                <w:bCs/>
                <w:szCs w:val="18"/>
              </w:rPr>
              <w:t>Acquisto</w:t>
            </w:r>
          </w:p>
        </w:tc>
        <w:tc>
          <w:tcPr>
            <w:tcW w:w="1340" w:type="dxa"/>
            <w:tcBorders>
              <w:top w:val="single" w:sz="4" w:space="0" w:color="auto"/>
              <w:left w:val="single" w:sz="4" w:space="0" w:color="auto"/>
              <w:bottom w:val="single" w:sz="4" w:space="0" w:color="auto"/>
              <w:right w:val="single" w:sz="8" w:space="0" w:color="auto"/>
            </w:tcBorders>
            <w:shd w:val="clear" w:color="auto" w:fill="FABF8F"/>
            <w:tcMar>
              <w:top w:w="0" w:type="dxa"/>
              <w:left w:w="108" w:type="dxa"/>
              <w:bottom w:w="0" w:type="dxa"/>
              <w:right w:w="108" w:type="dxa"/>
            </w:tcMar>
            <w:vAlign w:val="bottom"/>
            <w:hideMark/>
          </w:tcPr>
          <w:p w:rsidR="005D4DAB" w:rsidRPr="00451078" w:rsidRDefault="005D4DAB" w:rsidP="005D4DAB">
            <w:pPr>
              <w:jc w:val="center"/>
              <w:rPr>
                <w:rFonts w:eastAsia="Calibri" w:cs="Tahoma"/>
                <w:b/>
                <w:bCs/>
                <w:szCs w:val="18"/>
                <w:lang w:val="it-IT"/>
              </w:rPr>
            </w:pPr>
            <w:r w:rsidRPr="00451078">
              <w:rPr>
                <w:rFonts w:cs="Tahoma"/>
                <w:b/>
                <w:bCs/>
                <w:szCs w:val="18"/>
                <w:lang w:val="it-IT"/>
              </w:rPr>
              <w:t>Disponibili come Vantaggio di Software Assurance</w:t>
            </w:r>
          </w:p>
        </w:tc>
      </w:tr>
      <w:tr w:rsidR="005D4DAB" w:rsidRPr="003410C7" w:rsidTr="0003390D">
        <w:trPr>
          <w:trHeight w:val="337"/>
        </w:trPr>
        <w:tc>
          <w:tcPr>
            <w:tcW w:w="2920" w:type="dxa"/>
            <w:tcBorders>
              <w:top w:val="single" w:sz="4" w:space="0" w:color="auto"/>
              <w:left w:val="single" w:sz="4" w:space="0" w:color="auto"/>
              <w:bottom w:val="single" w:sz="4" w:space="0" w:color="auto"/>
              <w:right w:val="single" w:sz="4" w:space="0" w:color="auto"/>
            </w:tcBorders>
            <w:noWrap/>
            <w:tcMar>
              <w:top w:w="0" w:type="dxa"/>
              <w:left w:w="108" w:type="dxa"/>
              <w:bottom w:w="0" w:type="dxa"/>
              <w:right w:w="108" w:type="dxa"/>
            </w:tcMar>
            <w:vAlign w:val="center"/>
            <w:hideMark/>
          </w:tcPr>
          <w:p w:rsidR="005D4DAB" w:rsidRPr="003410C7" w:rsidRDefault="005D4DAB" w:rsidP="005D4DAB">
            <w:pPr>
              <w:jc w:val="center"/>
              <w:rPr>
                <w:rFonts w:eastAsia="Calibri" w:cs="Tahoma"/>
                <w:b/>
                <w:bCs/>
                <w:szCs w:val="18"/>
              </w:rPr>
            </w:pPr>
            <w:r w:rsidRPr="003410C7">
              <w:rPr>
                <w:rFonts w:cs="Tahoma"/>
                <w:b/>
                <w:bCs/>
                <w:szCs w:val="18"/>
              </w:rPr>
              <w:t>Licenza Open</w:t>
            </w:r>
          </w:p>
        </w:tc>
        <w:tc>
          <w:tcPr>
            <w:tcW w:w="1578" w:type="dxa"/>
            <w:tcBorders>
              <w:top w:val="single" w:sz="4" w:space="0" w:color="auto"/>
              <w:left w:val="single" w:sz="4" w:space="0" w:color="auto"/>
              <w:bottom w:val="single" w:sz="4" w:space="0" w:color="auto"/>
              <w:right w:val="single" w:sz="4" w:space="0" w:color="auto"/>
            </w:tcBorders>
            <w:vAlign w:val="center"/>
          </w:tcPr>
          <w:p w:rsidR="005D4DAB" w:rsidRPr="003410C7" w:rsidRDefault="005D4DAB" w:rsidP="005D4DAB">
            <w:pPr>
              <w:jc w:val="center"/>
              <w:rPr>
                <w:rFonts w:cs="Tahoma"/>
                <w:szCs w:val="18"/>
              </w:rPr>
            </w:pPr>
            <w:r w:rsidRPr="003410C7">
              <w:rPr>
                <w:rFonts w:cs="Tahoma"/>
                <w:szCs w:val="18"/>
              </w:rPr>
              <w:t>x</w:t>
            </w:r>
          </w:p>
        </w:tc>
        <w:tc>
          <w:tcPr>
            <w:tcW w:w="1340" w:type="dxa"/>
            <w:tcBorders>
              <w:top w:val="single" w:sz="4" w:space="0" w:color="auto"/>
              <w:left w:val="single" w:sz="4" w:space="0" w:color="auto"/>
              <w:bottom w:val="single" w:sz="4" w:space="0" w:color="auto"/>
              <w:right w:val="single" w:sz="4" w:space="0" w:color="auto"/>
            </w:tcBorders>
            <w:noWrap/>
            <w:tcMar>
              <w:top w:w="0" w:type="dxa"/>
              <w:left w:w="108" w:type="dxa"/>
              <w:bottom w:w="0" w:type="dxa"/>
              <w:right w:w="108" w:type="dxa"/>
            </w:tcMar>
            <w:vAlign w:val="center"/>
            <w:hideMark/>
          </w:tcPr>
          <w:p w:rsidR="005D4DAB" w:rsidRPr="003410C7" w:rsidRDefault="005D4DAB" w:rsidP="005D4DAB">
            <w:pPr>
              <w:jc w:val="center"/>
              <w:rPr>
                <w:rFonts w:eastAsia="Calibri" w:cs="Tahoma"/>
                <w:szCs w:val="18"/>
              </w:rPr>
            </w:pPr>
          </w:p>
        </w:tc>
      </w:tr>
      <w:tr w:rsidR="005D4DAB" w:rsidRPr="003410C7" w:rsidTr="0003390D">
        <w:trPr>
          <w:trHeight w:val="337"/>
        </w:trPr>
        <w:tc>
          <w:tcPr>
            <w:tcW w:w="2920" w:type="dxa"/>
            <w:tcBorders>
              <w:top w:val="single" w:sz="4" w:space="0" w:color="auto"/>
              <w:left w:val="single" w:sz="4" w:space="0" w:color="auto"/>
              <w:bottom w:val="single" w:sz="4" w:space="0" w:color="auto"/>
              <w:right w:val="single" w:sz="4" w:space="0" w:color="auto"/>
            </w:tcBorders>
            <w:noWrap/>
            <w:tcMar>
              <w:top w:w="0" w:type="dxa"/>
              <w:left w:w="108" w:type="dxa"/>
              <w:bottom w:w="0" w:type="dxa"/>
              <w:right w:w="108" w:type="dxa"/>
            </w:tcMar>
            <w:vAlign w:val="center"/>
          </w:tcPr>
          <w:p w:rsidR="005D4DAB" w:rsidRPr="003410C7" w:rsidRDefault="005D4DAB" w:rsidP="005D4DAB">
            <w:pPr>
              <w:jc w:val="center"/>
              <w:rPr>
                <w:rFonts w:cs="Tahoma"/>
                <w:b/>
                <w:bCs/>
                <w:szCs w:val="18"/>
              </w:rPr>
            </w:pPr>
            <w:r w:rsidRPr="003410C7">
              <w:rPr>
                <w:rFonts w:cs="Tahoma"/>
                <w:b/>
                <w:bCs/>
                <w:szCs w:val="18"/>
              </w:rPr>
              <w:t>Select/Select Plus</w:t>
            </w:r>
          </w:p>
        </w:tc>
        <w:tc>
          <w:tcPr>
            <w:tcW w:w="1578" w:type="dxa"/>
            <w:tcBorders>
              <w:top w:val="single" w:sz="4" w:space="0" w:color="auto"/>
              <w:left w:val="single" w:sz="4" w:space="0" w:color="auto"/>
              <w:bottom w:val="single" w:sz="4" w:space="0" w:color="auto"/>
              <w:right w:val="single" w:sz="4" w:space="0" w:color="auto"/>
            </w:tcBorders>
            <w:vAlign w:val="center"/>
          </w:tcPr>
          <w:p w:rsidR="005D4DAB" w:rsidRPr="003410C7" w:rsidRDefault="005D4DAB" w:rsidP="005D4DAB">
            <w:pPr>
              <w:jc w:val="center"/>
              <w:rPr>
                <w:rFonts w:cs="Tahoma"/>
                <w:szCs w:val="18"/>
              </w:rPr>
            </w:pPr>
            <w:r w:rsidRPr="003410C7">
              <w:rPr>
                <w:rFonts w:cs="Tahoma"/>
                <w:szCs w:val="18"/>
              </w:rPr>
              <w:t>x</w:t>
            </w:r>
          </w:p>
        </w:tc>
        <w:tc>
          <w:tcPr>
            <w:tcW w:w="1340" w:type="dxa"/>
            <w:tcBorders>
              <w:top w:val="single" w:sz="4" w:space="0" w:color="auto"/>
              <w:left w:val="single" w:sz="4" w:space="0" w:color="auto"/>
              <w:bottom w:val="single" w:sz="4" w:space="0" w:color="auto"/>
              <w:right w:val="single" w:sz="4" w:space="0" w:color="auto"/>
            </w:tcBorders>
            <w:noWrap/>
            <w:tcMar>
              <w:top w:w="0" w:type="dxa"/>
              <w:left w:w="108" w:type="dxa"/>
              <w:bottom w:w="0" w:type="dxa"/>
              <w:right w:w="108" w:type="dxa"/>
            </w:tcMar>
            <w:vAlign w:val="center"/>
          </w:tcPr>
          <w:p w:rsidR="005D4DAB" w:rsidRPr="003410C7" w:rsidRDefault="005D4DAB" w:rsidP="005D4DAB">
            <w:pPr>
              <w:jc w:val="center"/>
              <w:rPr>
                <w:rFonts w:eastAsia="Calibri" w:cs="Tahoma"/>
                <w:szCs w:val="18"/>
              </w:rPr>
            </w:pPr>
            <w:r w:rsidRPr="003410C7">
              <w:rPr>
                <w:rFonts w:eastAsia="Calibri" w:cs="Tahoma"/>
                <w:szCs w:val="18"/>
              </w:rPr>
              <w:t>x</w:t>
            </w:r>
          </w:p>
        </w:tc>
      </w:tr>
      <w:tr w:rsidR="005D4DAB" w:rsidRPr="003410C7" w:rsidTr="0003390D">
        <w:trPr>
          <w:trHeight w:val="337"/>
        </w:trPr>
        <w:tc>
          <w:tcPr>
            <w:tcW w:w="2920" w:type="dxa"/>
            <w:tcBorders>
              <w:top w:val="single" w:sz="4" w:space="0" w:color="auto"/>
              <w:left w:val="single" w:sz="4" w:space="0" w:color="auto"/>
              <w:bottom w:val="single" w:sz="4" w:space="0" w:color="auto"/>
              <w:right w:val="single" w:sz="4" w:space="0" w:color="auto"/>
            </w:tcBorders>
            <w:noWrap/>
            <w:tcMar>
              <w:top w:w="0" w:type="dxa"/>
              <w:left w:w="108" w:type="dxa"/>
              <w:bottom w:w="0" w:type="dxa"/>
              <w:right w:w="108" w:type="dxa"/>
            </w:tcMar>
            <w:vAlign w:val="center"/>
          </w:tcPr>
          <w:p w:rsidR="005D4DAB" w:rsidRPr="003410C7" w:rsidRDefault="005D4DAB" w:rsidP="005D4DAB">
            <w:pPr>
              <w:jc w:val="center"/>
              <w:rPr>
                <w:rFonts w:cs="Tahoma"/>
                <w:b/>
                <w:bCs/>
                <w:szCs w:val="18"/>
              </w:rPr>
            </w:pPr>
            <w:r w:rsidRPr="003410C7">
              <w:rPr>
                <w:rFonts w:cs="Tahoma"/>
                <w:b/>
                <w:bCs/>
                <w:szCs w:val="18"/>
              </w:rPr>
              <w:t>Contratto Enterprise / EAS</w:t>
            </w:r>
          </w:p>
        </w:tc>
        <w:tc>
          <w:tcPr>
            <w:tcW w:w="1578" w:type="dxa"/>
            <w:tcBorders>
              <w:top w:val="single" w:sz="4" w:space="0" w:color="auto"/>
              <w:left w:val="single" w:sz="4" w:space="0" w:color="auto"/>
              <w:bottom w:val="single" w:sz="4" w:space="0" w:color="auto"/>
              <w:right w:val="single" w:sz="4" w:space="0" w:color="auto"/>
            </w:tcBorders>
            <w:vAlign w:val="center"/>
          </w:tcPr>
          <w:p w:rsidR="005D4DAB" w:rsidRPr="003410C7" w:rsidRDefault="005D4DAB" w:rsidP="005D4DAB">
            <w:pPr>
              <w:jc w:val="center"/>
              <w:rPr>
                <w:rFonts w:cs="Tahoma"/>
                <w:szCs w:val="18"/>
              </w:rPr>
            </w:pPr>
          </w:p>
        </w:tc>
        <w:tc>
          <w:tcPr>
            <w:tcW w:w="1340" w:type="dxa"/>
            <w:tcBorders>
              <w:top w:val="single" w:sz="4" w:space="0" w:color="auto"/>
              <w:left w:val="single" w:sz="4" w:space="0" w:color="auto"/>
              <w:bottom w:val="single" w:sz="4" w:space="0" w:color="auto"/>
              <w:right w:val="single" w:sz="4" w:space="0" w:color="auto"/>
            </w:tcBorders>
            <w:noWrap/>
            <w:tcMar>
              <w:top w:w="0" w:type="dxa"/>
              <w:left w:w="108" w:type="dxa"/>
              <w:bottom w:w="0" w:type="dxa"/>
              <w:right w:w="108" w:type="dxa"/>
            </w:tcMar>
            <w:vAlign w:val="center"/>
          </w:tcPr>
          <w:p w:rsidR="005D4DAB" w:rsidRPr="003410C7" w:rsidRDefault="005D4DAB" w:rsidP="005D4DAB">
            <w:pPr>
              <w:jc w:val="center"/>
              <w:rPr>
                <w:rFonts w:eastAsia="Calibri" w:cs="Tahoma"/>
                <w:szCs w:val="18"/>
              </w:rPr>
            </w:pPr>
            <w:r w:rsidRPr="003410C7">
              <w:rPr>
                <w:rFonts w:eastAsia="Calibri" w:cs="Tahoma"/>
                <w:szCs w:val="18"/>
              </w:rPr>
              <w:t>x</w:t>
            </w:r>
          </w:p>
        </w:tc>
      </w:tr>
      <w:tr w:rsidR="00755633" w:rsidRPr="003410C7" w:rsidTr="0003390D">
        <w:trPr>
          <w:trHeight w:val="337"/>
        </w:trPr>
        <w:tc>
          <w:tcPr>
            <w:tcW w:w="2920" w:type="dxa"/>
            <w:tcBorders>
              <w:top w:val="single" w:sz="4" w:space="0" w:color="auto"/>
              <w:left w:val="single" w:sz="4" w:space="0" w:color="auto"/>
              <w:bottom w:val="single" w:sz="4" w:space="0" w:color="auto"/>
              <w:right w:val="single" w:sz="4" w:space="0" w:color="auto"/>
            </w:tcBorders>
            <w:noWrap/>
            <w:tcMar>
              <w:top w:w="0" w:type="dxa"/>
              <w:left w:w="108" w:type="dxa"/>
              <w:bottom w:w="0" w:type="dxa"/>
              <w:right w:w="108" w:type="dxa"/>
            </w:tcMar>
            <w:vAlign w:val="center"/>
          </w:tcPr>
          <w:p w:rsidR="00755633" w:rsidRPr="003410C7" w:rsidRDefault="00755633" w:rsidP="005D4DAB">
            <w:pPr>
              <w:jc w:val="center"/>
              <w:rPr>
                <w:rFonts w:cs="Tahoma"/>
                <w:b/>
                <w:bCs/>
                <w:szCs w:val="18"/>
              </w:rPr>
            </w:pPr>
            <w:r w:rsidRPr="003410C7">
              <w:rPr>
                <w:rFonts w:cs="Tahoma"/>
                <w:b/>
                <w:bCs/>
                <w:szCs w:val="18"/>
              </w:rPr>
              <w:t>EES</w:t>
            </w:r>
          </w:p>
        </w:tc>
        <w:tc>
          <w:tcPr>
            <w:tcW w:w="1578" w:type="dxa"/>
            <w:tcBorders>
              <w:top w:val="single" w:sz="4" w:space="0" w:color="auto"/>
              <w:left w:val="single" w:sz="4" w:space="0" w:color="auto"/>
              <w:bottom w:val="single" w:sz="4" w:space="0" w:color="auto"/>
              <w:right w:val="single" w:sz="4" w:space="0" w:color="auto"/>
            </w:tcBorders>
            <w:vAlign w:val="center"/>
          </w:tcPr>
          <w:p w:rsidR="00755633" w:rsidRPr="003410C7" w:rsidRDefault="00755633" w:rsidP="005D4DAB">
            <w:pPr>
              <w:jc w:val="center"/>
              <w:rPr>
                <w:rFonts w:cs="Tahoma"/>
                <w:szCs w:val="18"/>
              </w:rPr>
            </w:pPr>
          </w:p>
        </w:tc>
        <w:tc>
          <w:tcPr>
            <w:tcW w:w="1340" w:type="dxa"/>
            <w:tcBorders>
              <w:top w:val="single" w:sz="4" w:space="0" w:color="auto"/>
              <w:left w:val="single" w:sz="4" w:space="0" w:color="auto"/>
              <w:bottom w:val="single" w:sz="4" w:space="0" w:color="auto"/>
              <w:right w:val="single" w:sz="4" w:space="0" w:color="auto"/>
            </w:tcBorders>
            <w:noWrap/>
            <w:tcMar>
              <w:top w:w="0" w:type="dxa"/>
              <w:left w:w="108" w:type="dxa"/>
              <w:bottom w:w="0" w:type="dxa"/>
              <w:right w:w="108" w:type="dxa"/>
            </w:tcMar>
            <w:vAlign w:val="center"/>
          </w:tcPr>
          <w:p w:rsidR="00755633" w:rsidRPr="003410C7" w:rsidRDefault="00755633" w:rsidP="005D4DAB">
            <w:pPr>
              <w:jc w:val="center"/>
              <w:rPr>
                <w:rFonts w:eastAsia="Calibri" w:cs="Tahoma"/>
                <w:szCs w:val="18"/>
              </w:rPr>
            </w:pPr>
            <w:r w:rsidRPr="003410C7">
              <w:rPr>
                <w:rFonts w:eastAsia="Calibri" w:cs="Tahoma"/>
                <w:szCs w:val="18"/>
              </w:rPr>
              <w:t>x</w:t>
            </w:r>
          </w:p>
        </w:tc>
      </w:tr>
    </w:tbl>
    <w:p w:rsidR="005D4DAB" w:rsidRDefault="005D4DAB" w:rsidP="00572128">
      <w:pPr>
        <w:ind w:left="900"/>
      </w:pPr>
    </w:p>
    <w:p w:rsidR="005D4DAB" w:rsidRPr="00451078" w:rsidRDefault="005D4DAB" w:rsidP="00EE035D">
      <w:pPr>
        <w:ind w:left="720"/>
        <w:rPr>
          <w:lang w:val="it-IT"/>
        </w:rPr>
      </w:pPr>
      <w:r w:rsidRPr="00451078">
        <w:rPr>
          <w:rFonts w:cs="Tahoma"/>
          <w:szCs w:val="18"/>
          <w:lang w:val="it-IT"/>
        </w:rPr>
        <w:t>Windows Enterprise Sideloading consente alla società di installare le nuove Applicazioni di Windows 8 direttamente su un dispositivo senza passare per Windows Store.</w:t>
      </w:r>
      <w:r w:rsidR="00082E1C" w:rsidRPr="00451078">
        <w:rPr>
          <w:rFonts w:cs="Tahoma"/>
          <w:szCs w:val="18"/>
          <w:lang w:val="it-IT"/>
        </w:rPr>
        <w:t xml:space="preserve"> </w:t>
      </w:r>
      <w:r w:rsidRPr="00451078">
        <w:rPr>
          <w:rFonts w:cs="Tahoma"/>
          <w:szCs w:val="18"/>
          <w:lang w:val="it-IT"/>
        </w:rPr>
        <w:t>I dispositivi aggiunti al dominio in cui è in esecuzione l</w:t>
      </w:r>
      <w:r w:rsidR="004525CA">
        <w:rPr>
          <w:rFonts w:cs="Tahoma"/>
          <w:szCs w:val="18"/>
          <w:lang w:val="it-IT"/>
        </w:rPr>
        <w:t>’</w:t>
      </w:r>
      <w:r w:rsidRPr="00451078">
        <w:rPr>
          <w:rFonts w:cs="Tahoma"/>
          <w:szCs w:val="18"/>
          <w:lang w:val="it-IT"/>
        </w:rPr>
        <w:t>edizione Windows 8 Enterprise, con qualsiasi Contratto Multilicenza, sono dotati di funzionalità abilitate per Windows Enterprise Sideloading.</w:t>
      </w:r>
      <w:r w:rsidR="00082E1C" w:rsidRPr="00451078">
        <w:rPr>
          <w:rFonts w:cs="Tahoma"/>
          <w:szCs w:val="18"/>
          <w:lang w:val="it-IT"/>
        </w:rPr>
        <w:t xml:space="preserve"> </w:t>
      </w:r>
      <w:r w:rsidRPr="00451078">
        <w:rPr>
          <w:rFonts w:cs="Tahoma"/>
          <w:szCs w:val="18"/>
          <w:lang w:val="it-IT"/>
        </w:rPr>
        <w:t>Windows Enterprise Sideloading può essere attivato anche su dispositivi in cui è in esecuzione Windows 8 Enterprise che non sono stati aggiunti al dominio e su dispositivi in cui si trova Windows 8 Pro o Windows RT mediante l</w:t>
      </w:r>
      <w:r w:rsidR="004525CA">
        <w:rPr>
          <w:rFonts w:cs="Tahoma"/>
          <w:szCs w:val="18"/>
          <w:lang w:val="it-IT"/>
        </w:rPr>
        <w:t>’</w:t>
      </w:r>
      <w:r w:rsidRPr="00451078">
        <w:rPr>
          <w:rFonts w:cs="Tahoma"/>
          <w:szCs w:val="18"/>
          <w:lang w:val="it-IT"/>
        </w:rPr>
        <w:t>utilizzo di un codice Product Key.</w:t>
      </w:r>
      <w:r w:rsidR="00082E1C" w:rsidRPr="00451078">
        <w:rPr>
          <w:rFonts w:cs="Tahoma"/>
          <w:szCs w:val="18"/>
          <w:lang w:val="it-IT"/>
        </w:rPr>
        <w:t xml:space="preserve"> </w:t>
      </w:r>
      <w:r w:rsidRPr="00451078">
        <w:rPr>
          <w:rFonts w:cs="Tahoma"/>
          <w:szCs w:val="18"/>
          <w:lang w:val="it-IT"/>
        </w:rPr>
        <w:t>In tutti i casi Windows Enterprise Sideloading potrà essere utilizzato esclusivamente per distribuire Applicazioni che apporteranno benefici alla società con Contratti Multilicenza.</w:t>
      </w:r>
      <w:r w:rsidR="00082E1C" w:rsidRPr="00451078">
        <w:rPr>
          <w:rFonts w:cs="Tahoma"/>
          <w:szCs w:val="18"/>
          <w:lang w:val="it-IT"/>
        </w:rPr>
        <w:t xml:space="preserve"> </w:t>
      </w:r>
      <w:r w:rsidRPr="00451078">
        <w:rPr>
          <w:rFonts w:cs="Tahoma"/>
          <w:szCs w:val="18"/>
          <w:lang w:val="it-IT"/>
        </w:rPr>
        <w:t>La funzionalità Windows Enterprise Sideloading integra il Sistema Operativo Desktop Windows e di conseguenza le condizioni di licenza per il Sistema Operativo Desktop Windows fornite qui si applicano all</w:t>
      </w:r>
      <w:r w:rsidR="004525CA">
        <w:rPr>
          <w:rFonts w:cs="Tahoma"/>
          <w:szCs w:val="18"/>
          <w:lang w:val="it-IT"/>
        </w:rPr>
        <w:t>’</w:t>
      </w:r>
      <w:r w:rsidRPr="00451078">
        <w:rPr>
          <w:rFonts w:cs="Tahoma"/>
          <w:szCs w:val="18"/>
          <w:lang w:val="it-IT"/>
        </w:rPr>
        <w:t>utilizzo di tale funzionalità da parte delle società.</w:t>
      </w:r>
    </w:p>
    <w:p w:rsidR="005D4DAB" w:rsidRPr="00451078" w:rsidRDefault="005D4DAB" w:rsidP="00572128">
      <w:pPr>
        <w:ind w:left="900"/>
        <w:rPr>
          <w:lang w:val="it-IT"/>
        </w:rPr>
      </w:pPr>
    </w:p>
    <w:p w:rsidR="005D4DAB" w:rsidRPr="00451078" w:rsidRDefault="005D4DAB" w:rsidP="009B2474">
      <w:pPr>
        <w:spacing w:after="60"/>
        <w:ind w:left="720"/>
        <w:rPr>
          <w:lang w:val="it-IT"/>
        </w:rPr>
      </w:pPr>
      <w:r w:rsidRPr="00451078">
        <w:rPr>
          <w:rFonts w:cs="Tahoma"/>
          <w:b/>
          <w:szCs w:val="18"/>
          <w:lang w:val="it-IT"/>
        </w:rPr>
        <w:lastRenderedPageBreak/>
        <w:t>Vantaggi di Software Assurance</w:t>
      </w:r>
    </w:p>
    <w:p w:rsidR="005D4DAB" w:rsidRPr="00451078" w:rsidRDefault="005D4DAB" w:rsidP="00EE035D">
      <w:pPr>
        <w:ind w:left="720"/>
        <w:rPr>
          <w:lang w:val="it-IT"/>
        </w:rPr>
      </w:pPr>
      <w:r w:rsidRPr="00451078">
        <w:rPr>
          <w:rFonts w:cs="Tahoma"/>
          <w:szCs w:val="18"/>
          <w:lang w:val="it-IT"/>
        </w:rPr>
        <w:t>Per attivare Windows Enterprise Sideloading su uno dei seguenti dispositivi potrà essere utilizzato un codice Product Key:</w:t>
      </w:r>
    </w:p>
    <w:p w:rsidR="009B2474" w:rsidRPr="00451078" w:rsidRDefault="009B2474" w:rsidP="00EE035D">
      <w:pPr>
        <w:ind w:left="720"/>
        <w:rPr>
          <w:lang w:val="it-IT"/>
        </w:rPr>
      </w:pPr>
    </w:p>
    <w:p w:rsidR="005D4DAB" w:rsidRPr="00451078" w:rsidRDefault="005D4DAB" w:rsidP="00745AB3">
      <w:pPr>
        <w:pStyle w:val="ListParagraph"/>
        <w:numPr>
          <w:ilvl w:val="0"/>
          <w:numId w:val="82"/>
        </w:numPr>
        <w:spacing w:after="60"/>
        <w:ind w:left="1440"/>
        <w:contextualSpacing w:val="0"/>
        <w:rPr>
          <w:rFonts w:ascii="Tahoma" w:hAnsi="Tahoma" w:cs="Tahoma"/>
          <w:sz w:val="18"/>
          <w:szCs w:val="18"/>
          <w:lang w:val="it-IT"/>
        </w:rPr>
      </w:pPr>
      <w:r w:rsidRPr="00451078">
        <w:rPr>
          <w:rFonts w:ascii="Tahoma" w:hAnsi="Tahoma" w:cs="Tahoma"/>
          <w:sz w:val="18"/>
          <w:szCs w:val="18"/>
          <w:lang w:val="it-IT"/>
        </w:rPr>
        <w:t>Dispositivi con copertura Windows Software Assurance attiva</w:t>
      </w:r>
    </w:p>
    <w:p w:rsidR="005D4DAB" w:rsidRPr="00451078" w:rsidRDefault="005D4DAB" w:rsidP="00745AB3">
      <w:pPr>
        <w:pStyle w:val="ListParagraph"/>
        <w:numPr>
          <w:ilvl w:val="0"/>
          <w:numId w:val="82"/>
        </w:numPr>
        <w:spacing w:after="60"/>
        <w:ind w:left="1440"/>
        <w:contextualSpacing w:val="0"/>
        <w:rPr>
          <w:rFonts w:ascii="Tahoma" w:hAnsi="Tahoma" w:cs="Tahoma"/>
          <w:sz w:val="18"/>
          <w:szCs w:val="18"/>
          <w:lang w:val="it-IT"/>
        </w:rPr>
      </w:pPr>
      <w:r w:rsidRPr="00451078">
        <w:rPr>
          <w:rFonts w:ascii="Tahoma" w:hAnsi="Tahoma" w:cs="Tahoma"/>
          <w:sz w:val="18"/>
          <w:szCs w:val="18"/>
          <w:lang w:val="it-IT"/>
        </w:rPr>
        <w:t xml:space="preserve">Dispositivi con una licenza </w:t>
      </w:r>
      <w:r w:rsidR="001A3EC5" w:rsidRPr="00451078">
        <w:rPr>
          <w:rFonts w:ascii="Tahoma" w:hAnsi="Tahoma" w:cs="Tahoma"/>
          <w:sz w:val="18"/>
          <w:szCs w:val="18"/>
          <w:lang w:val="it-IT"/>
        </w:rPr>
        <w:t>“</w:t>
      </w:r>
      <w:r w:rsidRPr="00451078">
        <w:rPr>
          <w:rFonts w:ascii="Tahoma" w:hAnsi="Tahoma" w:cs="Tahoma"/>
          <w:sz w:val="18"/>
          <w:szCs w:val="18"/>
          <w:lang w:val="it-IT"/>
        </w:rPr>
        <w:t>Subscription</w:t>
      </w:r>
      <w:r w:rsidR="001A3EC5" w:rsidRPr="00451078">
        <w:rPr>
          <w:rFonts w:ascii="Tahoma" w:hAnsi="Tahoma" w:cs="Tahoma"/>
          <w:sz w:val="18"/>
          <w:szCs w:val="18"/>
          <w:lang w:val="it-IT"/>
        </w:rPr>
        <w:t>”</w:t>
      </w:r>
      <w:r w:rsidRPr="00451078">
        <w:rPr>
          <w:rFonts w:ascii="Tahoma" w:hAnsi="Tahoma" w:cs="Tahoma"/>
          <w:sz w:val="18"/>
          <w:szCs w:val="18"/>
          <w:lang w:val="it-IT"/>
        </w:rPr>
        <w:t xml:space="preserve"> per Windows Intune (Per Dispositivo) o VDA attiva</w:t>
      </w:r>
    </w:p>
    <w:p w:rsidR="005D4DAB" w:rsidRPr="0003390D" w:rsidRDefault="005D4DAB" w:rsidP="00745AB3">
      <w:pPr>
        <w:pStyle w:val="ListParagraph"/>
        <w:numPr>
          <w:ilvl w:val="0"/>
          <w:numId w:val="82"/>
        </w:numPr>
        <w:spacing w:after="60"/>
        <w:ind w:left="1440"/>
        <w:contextualSpacing w:val="0"/>
        <w:rPr>
          <w:rFonts w:ascii="Tahoma" w:hAnsi="Tahoma" w:cs="Tahoma"/>
          <w:sz w:val="18"/>
          <w:szCs w:val="18"/>
        </w:rPr>
      </w:pPr>
      <w:r w:rsidRPr="0003390D">
        <w:rPr>
          <w:rFonts w:ascii="Tahoma" w:hAnsi="Tahoma" w:cs="Tahoma"/>
          <w:sz w:val="18"/>
          <w:szCs w:val="18"/>
        </w:rPr>
        <w:t>Dispositivi con Windows RT</w:t>
      </w:r>
    </w:p>
    <w:p w:rsidR="00EB2B3F" w:rsidRPr="00451078" w:rsidRDefault="00EB2B3F" w:rsidP="00745AB3">
      <w:pPr>
        <w:pStyle w:val="ListParagraph"/>
        <w:numPr>
          <w:ilvl w:val="0"/>
          <w:numId w:val="82"/>
        </w:numPr>
        <w:spacing w:after="60"/>
        <w:ind w:left="1440"/>
        <w:contextualSpacing w:val="0"/>
        <w:rPr>
          <w:rFonts w:ascii="Tahoma" w:hAnsi="Tahoma" w:cs="Tahoma"/>
          <w:sz w:val="18"/>
          <w:szCs w:val="18"/>
          <w:lang w:val="it-IT"/>
        </w:rPr>
      </w:pPr>
      <w:r w:rsidRPr="00451078">
        <w:rPr>
          <w:rFonts w:ascii="Tahoma" w:hAnsi="Tahoma" w:cs="Tahoma"/>
          <w:sz w:val="18"/>
          <w:szCs w:val="18"/>
          <w:lang w:val="it-IT"/>
        </w:rPr>
        <w:t xml:space="preserve">Dispositivi coperti dalla Licenza </w:t>
      </w:r>
      <w:r w:rsidR="001A3EC5" w:rsidRPr="00451078">
        <w:rPr>
          <w:rFonts w:ascii="Tahoma" w:hAnsi="Tahoma" w:cs="Tahoma"/>
          <w:sz w:val="18"/>
          <w:szCs w:val="18"/>
          <w:lang w:val="it-IT"/>
        </w:rPr>
        <w:t>“</w:t>
      </w:r>
      <w:r w:rsidRPr="00451078">
        <w:rPr>
          <w:rFonts w:ascii="Tahoma" w:hAnsi="Tahoma" w:cs="Tahoma"/>
          <w:sz w:val="18"/>
          <w:szCs w:val="18"/>
          <w:lang w:val="it-IT"/>
        </w:rPr>
        <w:t>Subscription</w:t>
      </w:r>
      <w:r w:rsidR="001A3EC5" w:rsidRPr="00451078">
        <w:rPr>
          <w:rFonts w:ascii="Tahoma" w:hAnsi="Tahoma" w:cs="Tahoma"/>
          <w:sz w:val="18"/>
          <w:szCs w:val="18"/>
          <w:lang w:val="it-IT"/>
        </w:rPr>
        <w:t>”</w:t>
      </w:r>
      <w:r w:rsidRPr="00451078">
        <w:rPr>
          <w:rFonts w:ascii="Tahoma" w:hAnsi="Tahoma" w:cs="Tahoma"/>
          <w:sz w:val="18"/>
          <w:szCs w:val="18"/>
          <w:lang w:val="it-IT"/>
        </w:rPr>
        <w:t xml:space="preserve"> per Windows Companion</w:t>
      </w:r>
    </w:p>
    <w:p w:rsidR="005D4DAB" w:rsidRPr="00451078" w:rsidRDefault="005D4DAB" w:rsidP="00572128">
      <w:pPr>
        <w:ind w:left="900"/>
        <w:rPr>
          <w:lang w:val="it-IT"/>
        </w:rPr>
      </w:pPr>
    </w:p>
    <w:p w:rsidR="005D4DAB" w:rsidRPr="00451078" w:rsidRDefault="005D4DAB" w:rsidP="00EE035D">
      <w:pPr>
        <w:ind w:left="720"/>
        <w:rPr>
          <w:lang w:val="it-IT"/>
        </w:rPr>
      </w:pPr>
      <w:r w:rsidRPr="00451078">
        <w:rPr>
          <w:rFonts w:cs="Tahoma"/>
          <w:szCs w:val="18"/>
          <w:lang w:val="it-IT"/>
        </w:rPr>
        <w:t xml:space="preserve">Windows Enterprise Sideloading potrà essere attivato su un qualsiasi dispositivo autorizzato solo prima della scadenza della copertura Software Assurance o della Licenza </w:t>
      </w:r>
      <w:r w:rsidR="001A3EC5" w:rsidRPr="00451078">
        <w:rPr>
          <w:rFonts w:cs="Tahoma"/>
          <w:szCs w:val="18"/>
          <w:lang w:val="it-IT"/>
        </w:rPr>
        <w:t>“</w:t>
      </w:r>
      <w:r w:rsidRPr="00451078">
        <w:rPr>
          <w:rFonts w:cs="Tahoma"/>
          <w:szCs w:val="18"/>
          <w:lang w:val="it-IT"/>
        </w:rPr>
        <w:t>Subscription</w:t>
      </w:r>
      <w:r w:rsidR="001A3EC5" w:rsidRPr="00451078">
        <w:rPr>
          <w:rFonts w:cs="Tahoma"/>
          <w:szCs w:val="18"/>
          <w:lang w:val="it-IT"/>
        </w:rPr>
        <w:t>”</w:t>
      </w:r>
      <w:r w:rsidRPr="00451078">
        <w:rPr>
          <w:rFonts w:cs="Tahoma"/>
          <w:szCs w:val="18"/>
          <w:lang w:val="it-IT"/>
        </w:rPr>
        <w:t xml:space="preserve"> corrispondente. </w:t>
      </w:r>
      <w:r w:rsidRPr="00451078">
        <w:rPr>
          <w:lang w:val="it-IT"/>
        </w:rPr>
        <w:t>Nei programmi didattici Windows Enterprise Sideloading potrà essere attivato solo su dispositivi di proprietà di istituti</w:t>
      </w:r>
      <w:r w:rsidRPr="00451078">
        <w:rPr>
          <w:rFonts w:cs="Tahoma"/>
          <w:szCs w:val="18"/>
          <w:lang w:val="it-IT"/>
        </w:rPr>
        <w:t>.</w:t>
      </w:r>
    </w:p>
    <w:p w:rsidR="005D4DAB" w:rsidRPr="00451078" w:rsidRDefault="005D4DAB" w:rsidP="00572128">
      <w:pPr>
        <w:ind w:left="900"/>
        <w:rPr>
          <w:lang w:val="it-IT"/>
        </w:rPr>
      </w:pPr>
    </w:p>
    <w:p w:rsidR="005D4DAB" w:rsidRPr="00451078" w:rsidRDefault="009B2474" w:rsidP="009B2474">
      <w:pPr>
        <w:spacing w:after="60"/>
        <w:ind w:left="720"/>
        <w:rPr>
          <w:lang w:val="it-IT"/>
        </w:rPr>
      </w:pPr>
      <w:r w:rsidRPr="00451078">
        <w:rPr>
          <w:rFonts w:cs="Tahoma"/>
          <w:b/>
          <w:szCs w:val="18"/>
          <w:lang w:val="it-IT"/>
        </w:rPr>
        <w:t>Licenza per Enterprise Sideloading Disponibile per l</w:t>
      </w:r>
      <w:r w:rsidR="004525CA">
        <w:rPr>
          <w:rFonts w:cs="Tahoma"/>
          <w:b/>
          <w:szCs w:val="18"/>
          <w:lang w:val="it-IT"/>
        </w:rPr>
        <w:t>’</w:t>
      </w:r>
      <w:r w:rsidRPr="00451078">
        <w:rPr>
          <w:rFonts w:cs="Tahoma"/>
          <w:b/>
          <w:szCs w:val="18"/>
          <w:lang w:val="it-IT"/>
        </w:rPr>
        <w:t>Acquisto</w:t>
      </w:r>
    </w:p>
    <w:p w:rsidR="00697E59" w:rsidRPr="00451078" w:rsidRDefault="005D4DAB" w:rsidP="00AF3B19">
      <w:pPr>
        <w:ind w:left="720"/>
        <w:rPr>
          <w:lang w:val="it-IT"/>
        </w:rPr>
      </w:pPr>
      <w:r w:rsidRPr="00451078">
        <w:rPr>
          <w:rFonts w:cs="Tahoma"/>
          <w:szCs w:val="18"/>
          <w:lang w:val="it-IT"/>
        </w:rPr>
        <w:t>Le società potranno acquistare licenze per Enterprise Sideloading.</w:t>
      </w:r>
      <w:r w:rsidR="00082E1C" w:rsidRPr="00451078">
        <w:rPr>
          <w:rFonts w:cs="Tahoma"/>
          <w:szCs w:val="18"/>
          <w:lang w:val="it-IT"/>
        </w:rPr>
        <w:t xml:space="preserve"> </w:t>
      </w:r>
      <w:r w:rsidRPr="00451078">
        <w:rPr>
          <w:rFonts w:cs="Tahoma"/>
          <w:szCs w:val="18"/>
          <w:lang w:val="it-IT"/>
        </w:rPr>
        <w:t xml:space="preserve">Ciascuna di tali licenze per Enterprise Sideloading dovrà essere ceduta in modo definitivo a un dispositivo singolo. </w:t>
      </w:r>
      <w:r w:rsidRPr="00451078">
        <w:rPr>
          <w:lang w:val="it-IT"/>
        </w:rPr>
        <w:t>Nei programmi didattici Windows Enterprise Sideloading potrà essere attivato solo su dispositivi di proprietà di istituti</w:t>
      </w:r>
      <w:r w:rsidRPr="00451078">
        <w:rPr>
          <w:rFonts w:cs="Tahoma"/>
          <w:szCs w:val="18"/>
          <w:lang w:val="it-IT"/>
        </w:rPr>
        <w:t>.</w:t>
      </w:r>
      <w:bookmarkStart w:id="1121" w:name="_Toc336338285"/>
    </w:p>
    <w:p w:rsidR="00AF3B19" w:rsidRPr="00451078" w:rsidRDefault="00AF3B19" w:rsidP="00B50A5B">
      <w:pPr>
        <w:spacing w:after="60"/>
        <w:rPr>
          <w:lang w:val="it-IT"/>
        </w:rPr>
      </w:pPr>
    </w:p>
    <w:p w:rsidR="005C55EB" w:rsidRPr="00451078" w:rsidRDefault="005C55EB" w:rsidP="00B50A5B">
      <w:pPr>
        <w:spacing w:after="60"/>
        <w:ind w:left="720"/>
        <w:rPr>
          <w:lang w:val="it-IT"/>
        </w:rPr>
      </w:pPr>
      <w:r w:rsidRPr="00451078">
        <w:rPr>
          <w:rFonts w:cs="Tahoma"/>
          <w:b/>
          <w:szCs w:val="18"/>
          <w:lang w:val="it-IT"/>
        </w:rPr>
        <w:t>Windows Embedded 8 Pro Sideloading</w:t>
      </w:r>
    </w:p>
    <w:p w:rsidR="005C55EB" w:rsidRPr="00451078" w:rsidRDefault="005C55EB" w:rsidP="005C55EB">
      <w:pPr>
        <w:ind w:left="720"/>
        <w:rPr>
          <w:lang w:val="it-IT"/>
        </w:rPr>
      </w:pPr>
      <w:r w:rsidRPr="00451078">
        <w:rPr>
          <w:rFonts w:cs="Tahoma"/>
          <w:szCs w:val="18"/>
          <w:lang w:val="it-IT"/>
        </w:rPr>
        <w:t>Le società che acquistano dispositivi con Windows Embedded 8 Pro tramite un OEM potranno acquistare licenze per Windows 8 Enterprise Sideloading per tali dispositivi.</w:t>
      </w:r>
    </w:p>
    <w:p w:rsidR="005C55EB" w:rsidRPr="00451078" w:rsidRDefault="005C55EB" w:rsidP="00AF3B19">
      <w:pPr>
        <w:rPr>
          <w:rFonts w:cs="Tahoma"/>
          <w:szCs w:val="18"/>
          <w:lang w:val="it-IT"/>
        </w:rPr>
      </w:pPr>
    </w:p>
    <w:p w:rsidR="00AF3B19" w:rsidRPr="00451078" w:rsidRDefault="00AF3B19" w:rsidP="00AF3B19">
      <w:pPr>
        <w:rPr>
          <w:rFonts w:cs="Tahoma"/>
          <w:szCs w:val="18"/>
          <w:lang w:val="it-IT"/>
        </w:rPr>
      </w:pPr>
    </w:p>
    <w:p w:rsidR="00C646B3" w:rsidRPr="00451078" w:rsidRDefault="00B26237" w:rsidP="00C646B3">
      <w:pPr>
        <w:pStyle w:val="Heading3"/>
        <w:rPr>
          <w:lang w:val="it-IT"/>
        </w:rPr>
      </w:pPr>
      <w:bookmarkStart w:id="1122" w:name="Sys_25WindowsPartnersLearning"/>
      <w:bookmarkStart w:id="1123" w:name="_Toc352234879"/>
      <w:r w:rsidRPr="00451078">
        <w:rPr>
          <w:rFonts w:ascii="Tahoma" w:hAnsi="Tahoma"/>
          <w:caps/>
          <w:color w:val="F66400"/>
          <w:sz w:val="22"/>
          <w:vertAlign w:val="superscript"/>
          <w:lang w:val="it-IT"/>
        </w:rPr>
        <w:t>27</w:t>
      </w:r>
      <w:r w:rsidRPr="00451078">
        <w:rPr>
          <w:rFonts w:ascii="Tahoma" w:hAnsi="Tahoma"/>
          <w:color w:val="F66400"/>
          <w:sz w:val="22"/>
          <w:lang w:val="it-IT"/>
        </w:rPr>
        <w:t xml:space="preserve"> Windows</w:t>
      </w:r>
      <w:r w:rsidR="003410C7" w:rsidRPr="00451078">
        <w:rPr>
          <w:rFonts w:ascii="Tahoma" w:hAnsi="Tahoma"/>
          <w:color w:val="F66400"/>
          <w:sz w:val="22"/>
          <w:vertAlign w:val="superscript"/>
          <w:lang w:val="it-IT"/>
        </w:rPr>
        <w:t>®</w:t>
      </w:r>
      <w:r w:rsidRPr="00451078">
        <w:rPr>
          <w:rFonts w:ascii="Tahoma" w:hAnsi="Tahoma"/>
          <w:color w:val="F66400"/>
          <w:sz w:val="22"/>
          <w:lang w:val="it-IT"/>
        </w:rPr>
        <w:t xml:space="preserve"> 7 Partners in Learning</w:t>
      </w:r>
      <w:bookmarkEnd w:id="1111"/>
      <w:bookmarkEnd w:id="1121"/>
      <w:bookmarkEnd w:id="1122"/>
      <w:bookmarkEnd w:id="1123"/>
    </w:p>
    <w:p w:rsidR="00C646B3" w:rsidRPr="00451078" w:rsidRDefault="00C646B3" w:rsidP="00C646B3">
      <w:pPr>
        <w:rPr>
          <w:lang w:val="it-IT"/>
        </w:rPr>
      </w:pPr>
    </w:p>
    <w:p w:rsidR="00C646B3" w:rsidRPr="00451078" w:rsidRDefault="00C646B3" w:rsidP="00EE035D">
      <w:pPr>
        <w:ind w:left="720" w:right="-810"/>
        <w:rPr>
          <w:lang w:val="it-IT"/>
        </w:rPr>
      </w:pPr>
      <w:r w:rsidRPr="00451078">
        <w:rPr>
          <w:rFonts w:cs="Tahoma"/>
          <w:color w:val="000000"/>
          <w:szCs w:val="18"/>
          <w:lang w:val="it-IT"/>
        </w:rPr>
        <w:t>Per i requisiti di idoneità e l</w:t>
      </w:r>
      <w:r w:rsidR="004525CA">
        <w:rPr>
          <w:rFonts w:cs="Tahoma"/>
          <w:color w:val="000000"/>
          <w:szCs w:val="18"/>
          <w:lang w:val="it-IT"/>
        </w:rPr>
        <w:t>’</w:t>
      </w:r>
      <w:r w:rsidRPr="00451078">
        <w:rPr>
          <w:rFonts w:cs="Tahoma"/>
          <w:color w:val="000000"/>
          <w:szCs w:val="18"/>
          <w:lang w:val="it-IT"/>
        </w:rPr>
        <w:t xml:space="preserve">iscrizione dei partner, la società dovrà fare riferimento alla pagina </w:t>
      </w:r>
      <w:hyperlink r:id="rId45" w:history="1">
        <w:r w:rsidRPr="00451078">
          <w:rPr>
            <w:rStyle w:val="Hyperlink"/>
            <w:rFonts w:cs="Tahoma"/>
            <w:szCs w:val="18"/>
            <w:lang w:val="it-IT"/>
          </w:rPr>
          <w:t>http://www.microsoft.com/education/pil/partnersinlearning.aspx</w:t>
        </w:r>
      </w:hyperlink>
      <w:r w:rsidRPr="00451078">
        <w:rPr>
          <w:color w:val="000000"/>
          <w:lang w:val="it-IT"/>
        </w:rPr>
        <w:t xml:space="preserve"> </w:t>
      </w:r>
    </w:p>
    <w:p w:rsidR="00435C70" w:rsidRPr="00451078" w:rsidRDefault="00435C70" w:rsidP="00435C70">
      <w:pPr>
        <w:ind w:right="-810"/>
        <w:rPr>
          <w:lang w:val="it-IT"/>
        </w:rPr>
      </w:pPr>
    </w:p>
    <w:p w:rsidR="00435C70" w:rsidRPr="00451078" w:rsidRDefault="00435C70" w:rsidP="00435C70">
      <w:pPr>
        <w:ind w:right="-810"/>
        <w:rPr>
          <w:lang w:val="it-IT"/>
        </w:rPr>
      </w:pPr>
    </w:p>
    <w:p w:rsidR="00B73A46" w:rsidRPr="00451078" w:rsidRDefault="00B26237" w:rsidP="00B73A46">
      <w:pPr>
        <w:pStyle w:val="Heading3"/>
        <w:rPr>
          <w:lang w:val="it-IT"/>
        </w:rPr>
      </w:pPr>
      <w:bookmarkStart w:id="1124" w:name="_28_Aggiornamento_per"/>
      <w:bookmarkStart w:id="1125" w:name="_Toc336338286"/>
      <w:bookmarkStart w:id="1126" w:name="_Toc352234880"/>
      <w:bookmarkStart w:id="1127" w:name="Sys_27Win7ProUpgradeWinIntune"/>
      <w:bookmarkStart w:id="1128" w:name="Sys_26WinVistaBizUpgrade"/>
      <w:bookmarkStart w:id="1129" w:name="Sys_23Windows7ProUpgrade"/>
      <w:bookmarkStart w:id="1130" w:name="Sys_27WindowsVistaProUpgrade"/>
      <w:bookmarkEnd w:id="1124"/>
      <w:r w:rsidRPr="00451078">
        <w:rPr>
          <w:rFonts w:ascii="Tahoma" w:hAnsi="Tahoma"/>
          <w:caps/>
          <w:color w:val="F66400"/>
          <w:sz w:val="22"/>
          <w:vertAlign w:val="superscript"/>
          <w:lang w:val="it-IT"/>
        </w:rPr>
        <w:t>28</w:t>
      </w:r>
      <w:r w:rsidRPr="00451078">
        <w:rPr>
          <w:rFonts w:ascii="Tahoma" w:hAnsi="Tahoma"/>
          <w:color w:val="F66400"/>
          <w:sz w:val="22"/>
          <w:lang w:val="it-IT"/>
        </w:rPr>
        <w:t xml:space="preserve"> </w:t>
      </w:r>
      <w:r w:rsidRPr="00451078">
        <w:rPr>
          <w:rFonts w:ascii="Tahoma" w:hAnsi="Tahoma"/>
          <w:color w:val="FF6D09"/>
          <w:sz w:val="22"/>
          <w:lang w:val="it-IT"/>
        </w:rPr>
        <w:t>Aggiornamento per Windows</w:t>
      </w:r>
      <w:r w:rsidR="003410C7" w:rsidRPr="00451078">
        <w:rPr>
          <w:rFonts w:ascii="Tahoma" w:hAnsi="Tahoma"/>
          <w:color w:val="FF6D09"/>
          <w:sz w:val="22"/>
          <w:vertAlign w:val="superscript"/>
          <w:lang w:val="it-IT"/>
        </w:rPr>
        <w:t>®</w:t>
      </w:r>
      <w:r w:rsidRPr="00451078">
        <w:rPr>
          <w:rFonts w:ascii="Tahoma" w:hAnsi="Tahoma"/>
          <w:color w:val="FF6D09"/>
          <w:sz w:val="22"/>
          <w:lang w:val="it-IT"/>
        </w:rPr>
        <w:t xml:space="preserve"> 8 Pro e Windows Intune</w:t>
      </w:r>
      <w:bookmarkEnd w:id="1125"/>
      <w:r w:rsidRPr="00451078">
        <w:rPr>
          <w:rFonts w:ascii="Tahoma" w:hAnsi="Tahoma"/>
          <w:color w:val="FF6D09"/>
          <w:sz w:val="22"/>
          <w:lang w:val="it-IT"/>
        </w:rPr>
        <w:t xml:space="preserve"> (Per Dispositivo)</w:t>
      </w:r>
      <w:bookmarkEnd w:id="1126"/>
    </w:p>
    <w:bookmarkEnd w:id="1127"/>
    <w:p w:rsidR="003C65F4" w:rsidRPr="00451078" w:rsidRDefault="003C65F4" w:rsidP="003C65F4">
      <w:pPr>
        <w:rPr>
          <w:lang w:val="it-IT"/>
        </w:rPr>
      </w:pPr>
    </w:p>
    <w:p w:rsidR="00B73A46" w:rsidRPr="00451078" w:rsidRDefault="00B73A46" w:rsidP="00435C70">
      <w:pPr>
        <w:pStyle w:val="FootnoteBulletLevel1"/>
        <w:tabs>
          <w:tab w:val="clear" w:pos="900"/>
        </w:tabs>
        <w:adjustRightInd/>
        <w:spacing w:before="0" w:after="60"/>
        <w:ind w:left="720" w:firstLine="0"/>
        <w:textAlignment w:val="auto"/>
        <w:rPr>
          <w:lang w:val="it-IT"/>
        </w:rPr>
      </w:pPr>
      <w:r w:rsidRPr="00451078">
        <w:rPr>
          <w:rFonts w:ascii="Tahoma" w:hAnsi="Tahoma" w:cs="Tahoma"/>
          <w:b/>
          <w:bCs/>
          <w:sz w:val="18"/>
          <w:szCs w:val="18"/>
          <w:lang w:val="it-IT"/>
        </w:rPr>
        <w:t>Aggiornamento per Windows 8 Pro</w:t>
      </w:r>
    </w:p>
    <w:p w:rsidR="00B73A46" w:rsidRPr="00451078" w:rsidRDefault="00B73A46" w:rsidP="00435C70">
      <w:pPr>
        <w:ind w:left="720"/>
        <w:rPr>
          <w:lang w:val="it-IT"/>
        </w:rPr>
      </w:pPr>
      <w:r w:rsidRPr="00451078">
        <w:rPr>
          <w:rFonts w:cs="Tahoma"/>
          <w:szCs w:val="18"/>
          <w:u w:val="single"/>
          <w:lang w:val="it-IT"/>
        </w:rPr>
        <w:t>Licenza di Aggiornamento per il Sistema Operativo (OS)</w:t>
      </w:r>
    </w:p>
    <w:p w:rsidR="00B73A46" w:rsidRPr="00451078" w:rsidRDefault="00B73A46" w:rsidP="00435C70">
      <w:pPr>
        <w:pStyle w:val="FootnoteBulletLevel1"/>
        <w:tabs>
          <w:tab w:val="clear" w:pos="900"/>
        </w:tabs>
        <w:adjustRightInd/>
        <w:spacing w:before="0" w:after="0"/>
        <w:ind w:left="720" w:hanging="7"/>
        <w:textAlignment w:val="auto"/>
        <w:rPr>
          <w:lang w:val="it-IT"/>
        </w:rPr>
      </w:pPr>
      <w:r w:rsidRPr="00451078">
        <w:rPr>
          <w:rFonts w:ascii="Tahoma" w:hAnsi="Tahoma" w:cs="Tahoma"/>
          <w:sz w:val="18"/>
          <w:szCs w:val="18"/>
          <w:lang w:val="it-IT"/>
        </w:rPr>
        <w:t>Le licenze per sistemi operativi desktop fornite in base ai presenti programmi sono unicamente licenze di</w:t>
      </w:r>
      <w:r w:rsidR="0003390D" w:rsidRPr="00451078">
        <w:rPr>
          <w:rFonts w:ascii="Tahoma" w:hAnsi="Tahoma" w:cs="Tahoma"/>
          <w:sz w:val="18"/>
          <w:szCs w:val="18"/>
          <w:lang w:val="it-IT"/>
        </w:rPr>
        <w:t> </w:t>
      </w:r>
      <w:r w:rsidRPr="00451078">
        <w:rPr>
          <w:rFonts w:ascii="Tahoma" w:hAnsi="Tahoma" w:cs="Tahoma"/>
          <w:sz w:val="18"/>
          <w:szCs w:val="18"/>
          <w:lang w:val="it-IT"/>
        </w:rPr>
        <w:t>aggiornamento. I presenti programmi non prevedono licenze complete per sistemi operativi desktop. Pertanto, ogni desktop per cui sia stato acquistato e su cui sia installato l</w:t>
      </w:r>
      <w:r w:rsidR="004525CA">
        <w:rPr>
          <w:rFonts w:ascii="Tahoma" w:hAnsi="Tahoma" w:cs="Tahoma"/>
          <w:sz w:val="18"/>
          <w:szCs w:val="18"/>
          <w:lang w:val="it-IT"/>
        </w:rPr>
        <w:t>’</w:t>
      </w:r>
      <w:r w:rsidRPr="00451078">
        <w:rPr>
          <w:rFonts w:ascii="Tahoma" w:hAnsi="Tahoma" w:cs="Tahoma"/>
          <w:sz w:val="18"/>
          <w:szCs w:val="18"/>
          <w:lang w:val="it-IT"/>
        </w:rPr>
        <w:t>Aggiornamento per Windows 8 Pro</w:t>
      </w:r>
      <w:r w:rsidR="0003390D" w:rsidRPr="00451078">
        <w:rPr>
          <w:rFonts w:ascii="Tahoma" w:hAnsi="Tahoma" w:cs="Tahoma"/>
          <w:sz w:val="18"/>
          <w:szCs w:val="18"/>
          <w:lang w:val="it-IT"/>
        </w:rPr>
        <w:t> </w:t>
      </w:r>
      <w:r w:rsidRPr="00451078">
        <w:rPr>
          <w:rFonts w:ascii="Tahoma" w:hAnsi="Tahoma" w:cs="Tahoma"/>
          <w:sz w:val="18"/>
          <w:szCs w:val="18"/>
          <w:lang w:val="it-IT"/>
        </w:rPr>
        <w:t>dovrà avere la licenza per eseguire uno dei sistemi operativi qualificanti indicati sotto.</w:t>
      </w:r>
    </w:p>
    <w:p w:rsidR="00435C70" w:rsidRPr="00451078" w:rsidRDefault="00435C70" w:rsidP="00435C70">
      <w:pPr>
        <w:ind w:left="720"/>
        <w:rPr>
          <w:lang w:val="it-IT"/>
        </w:rPr>
      </w:pPr>
    </w:p>
    <w:p w:rsidR="00B24C9D" w:rsidRPr="00451078" w:rsidRDefault="00B73A46" w:rsidP="009C2B6B">
      <w:pPr>
        <w:ind w:left="720"/>
        <w:rPr>
          <w:lang w:val="it-IT"/>
        </w:rPr>
      </w:pPr>
      <w:r w:rsidRPr="00451078">
        <w:rPr>
          <w:rFonts w:cs="Tahoma"/>
          <w:szCs w:val="18"/>
          <w:u w:val="single"/>
          <w:lang w:val="it-IT"/>
        </w:rPr>
        <w:t>Regole per i Sistemi Operativi Qualificanti</w:t>
      </w:r>
    </w:p>
    <w:p w:rsidR="00B73A46" w:rsidRPr="00451078" w:rsidRDefault="00B73A46" w:rsidP="00745AB3">
      <w:pPr>
        <w:numPr>
          <w:ilvl w:val="1"/>
          <w:numId w:val="83"/>
        </w:numPr>
        <w:spacing w:after="60"/>
        <w:ind w:left="1440"/>
        <w:rPr>
          <w:lang w:val="it-IT"/>
        </w:rPr>
      </w:pPr>
      <w:r w:rsidRPr="00451078">
        <w:rPr>
          <w:rFonts w:cs="Tahoma"/>
          <w:szCs w:val="18"/>
          <w:lang w:val="it-IT"/>
        </w:rPr>
        <w:t>L</w:t>
      </w:r>
      <w:r w:rsidR="004525CA">
        <w:rPr>
          <w:rFonts w:cs="Tahoma"/>
          <w:szCs w:val="18"/>
          <w:lang w:val="it-IT"/>
        </w:rPr>
        <w:t>’</w:t>
      </w:r>
      <w:r w:rsidRPr="00451078">
        <w:rPr>
          <w:rFonts w:cs="Tahoma"/>
          <w:szCs w:val="18"/>
          <w:lang w:val="it-IT"/>
        </w:rPr>
        <w:t>OS qualificante deve essere installato sul dispositivo a cui deve essere assegnata la licenza di</w:t>
      </w:r>
      <w:r w:rsidR="0003390D" w:rsidRPr="00451078">
        <w:rPr>
          <w:rFonts w:cs="Tahoma"/>
          <w:szCs w:val="18"/>
          <w:lang w:val="it-IT"/>
        </w:rPr>
        <w:t> </w:t>
      </w:r>
      <w:r w:rsidRPr="00451078">
        <w:rPr>
          <w:rFonts w:cs="Tahoma"/>
          <w:szCs w:val="18"/>
          <w:lang w:val="it-IT"/>
        </w:rPr>
        <w:t>Aggiornamento VL.</w:t>
      </w:r>
    </w:p>
    <w:p w:rsidR="00827F06" w:rsidRPr="00451078" w:rsidRDefault="00827F06" w:rsidP="00745AB3">
      <w:pPr>
        <w:numPr>
          <w:ilvl w:val="2"/>
          <w:numId w:val="84"/>
        </w:numPr>
        <w:spacing w:after="60"/>
        <w:ind w:left="1980"/>
        <w:rPr>
          <w:lang w:val="it-IT"/>
        </w:rPr>
      </w:pPr>
      <w:r w:rsidRPr="00451078">
        <w:rPr>
          <w:color w:val="000000"/>
          <w:lang w:val="it-IT"/>
        </w:rPr>
        <w:t>Apple Macintosh è solamente un Sistema Operativo qualificante qualora sia preinstallato dal produttore autorizzato prima della vendita iniziale del computer.</w:t>
      </w:r>
    </w:p>
    <w:p w:rsidR="00B73A46" w:rsidRPr="00451078" w:rsidRDefault="00B73A46" w:rsidP="00745AB3">
      <w:pPr>
        <w:numPr>
          <w:ilvl w:val="1"/>
          <w:numId w:val="85"/>
        </w:numPr>
        <w:spacing w:after="60"/>
        <w:ind w:left="1440"/>
        <w:rPr>
          <w:lang w:val="it-IT"/>
        </w:rPr>
      </w:pPr>
      <w:r w:rsidRPr="00451078">
        <w:rPr>
          <w:rFonts w:cs="Tahoma"/>
          <w:szCs w:val="18"/>
          <w:lang w:val="it-IT"/>
        </w:rPr>
        <w:t xml:space="preserve">Salvo quanto previsto di seguito, le società dovranno rimuovere il Sistema Operativo qualificante dal dispositivo per distribuire la licenza di Aggiornamento VL. </w:t>
      </w:r>
    </w:p>
    <w:p w:rsidR="00B31BB3" w:rsidRPr="00451078" w:rsidRDefault="00B73A46" w:rsidP="00745AB3">
      <w:pPr>
        <w:numPr>
          <w:ilvl w:val="1"/>
          <w:numId w:val="85"/>
        </w:numPr>
        <w:spacing w:after="60"/>
        <w:ind w:left="1440"/>
        <w:rPr>
          <w:lang w:val="it-IT"/>
        </w:rPr>
      </w:pPr>
      <w:r w:rsidRPr="00451078">
        <w:rPr>
          <w:rFonts w:cs="Tahoma"/>
          <w:szCs w:val="18"/>
          <w:lang w:val="it-IT"/>
        </w:rPr>
        <w:t>Le società che intendono installare o eseguire più di un sistema operativo con licenza alla volta (compreso il sistema operativo qualificante) potranno acquistare Software Assurance per la licenza di Aggiornamento VL.</w:t>
      </w:r>
    </w:p>
    <w:p w:rsidR="00B73A46" w:rsidRPr="00451078" w:rsidRDefault="00B73A46" w:rsidP="00745AB3">
      <w:pPr>
        <w:numPr>
          <w:ilvl w:val="1"/>
          <w:numId w:val="85"/>
        </w:numPr>
        <w:spacing w:after="60"/>
        <w:ind w:left="1440"/>
        <w:rPr>
          <w:lang w:val="it-IT"/>
        </w:rPr>
      </w:pPr>
      <w:r w:rsidRPr="00451078">
        <w:rPr>
          <w:rFonts w:cs="Tahoma"/>
          <w:szCs w:val="18"/>
          <w:lang w:val="it-IT"/>
        </w:rPr>
        <w:t>Le società che dispongono di una copertura Software Assurance attiva non hanno l</w:t>
      </w:r>
      <w:r w:rsidR="004525CA">
        <w:rPr>
          <w:rFonts w:cs="Tahoma"/>
          <w:szCs w:val="18"/>
          <w:lang w:val="it-IT"/>
        </w:rPr>
        <w:t>’</w:t>
      </w:r>
      <w:r w:rsidRPr="00451078">
        <w:rPr>
          <w:rFonts w:cs="Tahoma"/>
          <w:szCs w:val="18"/>
          <w:lang w:val="it-IT"/>
        </w:rPr>
        <w:t>obbligo di</w:t>
      </w:r>
      <w:r w:rsidR="0003390D" w:rsidRPr="00451078">
        <w:rPr>
          <w:rFonts w:cs="Tahoma"/>
          <w:szCs w:val="18"/>
          <w:lang w:val="it-IT"/>
        </w:rPr>
        <w:t> </w:t>
      </w:r>
      <w:r w:rsidRPr="00451078">
        <w:rPr>
          <w:rFonts w:cs="Tahoma"/>
          <w:szCs w:val="18"/>
          <w:lang w:val="it-IT"/>
        </w:rPr>
        <w:t>disinstallare l</w:t>
      </w:r>
      <w:r w:rsidR="004525CA">
        <w:rPr>
          <w:rFonts w:cs="Tahoma"/>
          <w:szCs w:val="18"/>
          <w:lang w:val="it-IT"/>
        </w:rPr>
        <w:t>’</w:t>
      </w:r>
      <w:r w:rsidRPr="00451078">
        <w:rPr>
          <w:rFonts w:cs="Tahoma"/>
          <w:szCs w:val="18"/>
          <w:lang w:val="it-IT"/>
        </w:rPr>
        <w:t>OS qualificante e potranno installare ed eseguire contemporaneamente l</w:t>
      </w:r>
      <w:r w:rsidR="004525CA">
        <w:rPr>
          <w:rFonts w:cs="Tahoma"/>
          <w:szCs w:val="18"/>
          <w:lang w:val="it-IT"/>
        </w:rPr>
        <w:t>’</w:t>
      </w:r>
      <w:r w:rsidRPr="00451078">
        <w:rPr>
          <w:rFonts w:cs="Tahoma"/>
          <w:szCs w:val="18"/>
          <w:lang w:val="it-IT"/>
        </w:rPr>
        <w:t xml:space="preserve">OS qualificante e Windows 8. </w:t>
      </w:r>
    </w:p>
    <w:p w:rsidR="00B73A46" w:rsidRPr="00451078" w:rsidRDefault="00B73A46" w:rsidP="002A6416">
      <w:pPr>
        <w:pStyle w:val="EndnoteText"/>
        <w:ind w:left="770"/>
        <w:rPr>
          <w:lang w:val="it-IT"/>
        </w:rPr>
      </w:pPr>
      <w:r w:rsidRPr="00451078">
        <w:rPr>
          <w:rFonts w:ascii="Tahoma" w:hAnsi="Tahoma" w:cs="Tahoma"/>
          <w:sz w:val="18"/>
          <w:szCs w:val="18"/>
          <w:lang w:val="it-IT"/>
        </w:rPr>
        <w:t>I sistemi operativi qualificanti in base al tipo di Programma sono:</w:t>
      </w:r>
    </w:p>
    <w:p w:rsidR="00B73A46" w:rsidRPr="00451078" w:rsidRDefault="00B73A46" w:rsidP="00B73A46">
      <w:pPr>
        <w:pStyle w:val="EndnoteText"/>
        <w:rPr>
          <w:lang w:val="it-IT"/>
        </w:rPr>
      </w:pPr>
    </w:p>
    <w:tbl>
      <w:tblPr>
        <w:tblW w:w="9055" w:type="dxa"/>
        <w:tblInd w:w="878" w:type="dxa"/>
        <w:tblCellMar>
          <w:left w:w="0" w:type="dxa"/>
          <w:right w:w="0" w:type="dxa"/>
        </w:tblCellMar>
        <w:tblLook w:val="04A0" w:firstRow="1" w:lastRow="0" w:firstColumn="1" w:lastColumn="0" w:noHBand="0" w:noVBand="1"/>
      </w:tblPr>
      <w:tblGrid>
        <w:gridCol w:w="3158"/>
        <w:gridCol w:w="1240"/>
        <w:gridCol w:w="1340"/>
        <w:gridCol w:w="1060"/>
        <w:gridCol w:w="1249"/>
        <w:gridCol w:w="1085"/>
      </w:tblGrid>
      <w:tr w:rsidR="00290BBF" w:rsidRPr="003410C7" w:rsidTr="00731D02">
        <w:trPr>
          <w:trHeight w:val="900"/>
          <w:tblHeader/>
        </w:trPr>
        <w:tc>
          <w:tcPr>
            <w:tcW w:w="0" w:type="auto"/>
            <w:tcBorders>
              <w:top w:val="single" w:sz="8" w:space="0" w:color="auto"/>
              <w:left w:val="single" w:sz="8" w:space="0" w:color="auto"/>
              <w:bottom w:val="single" w:sz="8" w:space="0" w:color="000000"/>
              <w:right w:val="single" w:sz="8" w:space="0" w:color="auto"/>
            </w:tcBorders>
            <w:shd w:val="clear" w:color="auto" w:fill="FABF8F"/>
            <w:vAlign w:val="center"/>
            <w:hideMark/>
          </w:tcPr>
          <w:p w:rsidR="00B73A46" w:rsidRPr="003410C7" w:rsidRDefault="009B3FA2" w:rsidP="00026546">
            <w:pPr>
              <w:jc w:val="center"/>
              <w:rPr>
                <w:rFonts w:eastAsia="Calibri" w:cs="Tahoma"/>
                <w:b/>
                <w:bCs/>
                <w:szCs w:val="18"/>
              </w:rPr>
            </w:pPr>
            <w:r w:rsidRPr="003410C7">
              <w:rPr>
                <w:rFonts w:cs="Tahoma"/>
                <w:b/>
                <w:bCs/>
                <w:szCs w:val="18"/>
              </w:rPr>
              <w:lastRenderedPageBreak/>
              <w:t>Sistemi Operativi Qualificanti</w:t>
            </w:r>
          </w:p>
        </w:tc>
        <w:tc>
          <w:tcPr>
            <w:tcW w:w="1240" w:type="dxa"/>
            <w:tcBorders>
              <w:top w:val="single" w:sz="4" w:space="0" w:color="auto"/>
              <w:left w:val="nil"/>
              <w:bottom w:val="single" w:sz="8" w:space="0" w:color="auto"/>
              <w:right w:val="single" w:sz="8" w:space="0" w:color="auto"/>
            </w:tcBorders>
            <w:shd w:val="clear" w:color="auto" w:fill="FABF8F"/>
            <w:tcMar>
              <w:top w:w="0" w:type="dxa"/>
              <w:left w:w="108" w:type="dxa"/>
              <w:bottom w:w="0" w:type="dxa"/>
              <w:right w:w="108" w:type="dxa"/>
            </w:tcMar>
            <w:vAlign w:val="center"/>
            <w:hideMark/>
          </w:tcPr>
          <w:p w:rsidR="00B73A46" w:rsidRPr="003410C7" w:rsidRDefault="00B73A46" w:rsidP="009B3FA2">
            <w:pPr>
              <w:jc w:val="center"/>
              <w:rPr>
                <w:rFonts w:eastAsia="Calibri" w:cs="Tahoma"/>
                <w:b/>
                <w:bCs/>
                <w:sz w:val="16"/>
                <w:szCs w:val="18"/>
              </w:rPr>
            </w:pPr>
            <w:r w:rsidRPr="003410C7">
              <w:rPr>
                <w:rFonts w:cs="Tahoma"/>
                <w:b/>
                <w:bCs/>
                <w:sz w:val="16"/>
                <w:szCs w:val="18"/>
              </w:rPr>
              <w:t>Nuovo EA/</w:t>
            </w:r>
            <w:r w:rsidRPr="003410C7">
              <w:rPr>
                <w:rFonts w:cs="Tahoma"/>
                <w:b/>
                <w:bCs/>
                <w:sz w:val="16"/>
                <w:szCs w:val="18"/>
              </w:rPr>
              <w:br/>
              <w:t>OV-CW</w:t>
            </w:r>
          </w:p>
        </w:tc>
        <w:tc>
          <w:tcPr>
            <w:tcW w:w="1340" w:type="dxa"/>
            <w:tcBorders>
              <w:top w:val="single" w:sz="4" w:space="0" w:color="auto"/>
              <w:left w:val="nil"/>
              <w:bottom w:val="single" w:sz="8" w:space="0" w:color="auto"/>
              <w:right w:val="single" w:sz="8" w:space="0" w:color="auto"/>
            </w:tcBorders>
            <w:shd w:val="clear" w:color="auto" w:fill="FABF8F"/>
            <w:tcMar>
              <w:top w:w="0" w:type="dxa"/>
              <w:left w:w="108" w:type="dxa"/>
              <w:bottom w:w="0" w:type="dxa"/>
              <w:right w:w="108" w:type="dxa"/>
            </w:tcMar>
            <w:vAlign w:val="center"/>
            <w:hideMark/>
          </w:tcPr>
          <w:p w:rsidR="00B73A46" w:rsidRPr="003410C7" w:rsidRDefault="00B73A46" w:rsidP="009B3FA2">
            <w:pPr>
              <w:jc w:val="center"/>
              <w:rPr>
                <w:rFonts w:eastAsia="Calibri" w:cs="Tahoma"/>
                <w:b/>
                <w:bCs/>
                <w:sz w:val="16"/>
                <w:szCs w:val="18"/>
              </w:rPr>
            </w:pPr>
            <w:r w:rsidRPr="003410C7">
              <w:rPr>
                <w:rFonts w:cs="Tahoma"/>
                <w:b/>
                <w:bCs/>
                <w:sz w:val="16"/>
                <w:szCs w:val="18"/>
              </w:rPr>
              <w:t>EA/OV-CW Esistente</w:t>
            </w:r>
          </w:p>
        </w:tc>
        <w:tc>
          <w:tcPr>
            <w:tcW w:w="1060" w:type="dxa"/>
            <w:tcBorders>
              <w:top w:val="single" w:sz="4" w:space="0" w:color="auto"/>
              <w:left w:val="nil"/>
              <w:bottom w:val="single" w:sz="8" w:space="0" w:color="auto"/>
              <w:right w:val="single" w:sz="8" w:space="0" w:color="auto"/>
            </w:tcBorders>
            <w:shd w:val="clear" w:color="auto" w:fill="FABF8F"/>
            <w:tcMar>
              <w:top w:w="0" w:type="dxa"/>
              <w:left w:w="108" w:type="dxa"/>
              <w:bottom w:w="0" w:type="dxa"/>
              <w:right w:w="108" w:type="dxa"/>
            </w:tcMar>
            <w:vAlign w:val="center"/>
            <w:hideMark/>
          </w:tcPr>
          <w:p w:rsidR="00B73A46" w:rsidRPr="003410C7" w:rsidRDefault="00B73A46" w:rsidP="009B3FA2">
            <w:pPr>
              <w:jc w:val="center"/>
              <w:rPr>
                <w:rFonts w:eastAsia="Calibri" w:cs="Tahoma"/>
                <w:b/>
                <w:bCs/>
                <w:sz w:val="16"/>
                <w:szCs w:val="18"/>
              </w:rPr>
            </w:pPr>
            <w:r w:rsidRPr="003410C7">
              <w:rPr>
                <w:rFonts w:cs="Tahoma"/>
                <w:b/>
                <w:bCs/>
                <w:sz w:val="16"/>
                <w:szCs w:val="18"/>
              </w:rPr>
              <w:t>Select (Tutti tranne Academic)</w:t>
            </w:r>
          </w:p>
        </w:tc>
        <w:tc>
          <w:tcPr>
            <w:tcW w:w="1172" w:type="dxa"/>
            <w:tcBorders>
              <w:top w:val="single" w:sz="4" w:space="0" w:color="auto"/>
              <w:left w:val="nil"/>
              <w:bottom w:val="single" w:sz="8" w:space="0" w:color="auto"/>
              <w:right w:val="single" w:sz="8" w:space="0" w:color="auto"/>
            </w:tcBorders>
            <w:shd w:val="clear" w:color="auto" w:fill="FABF8F"/>
            <w:tcMar>
              <w:top w:w="0" w:type="dxa"/>
              <w:left w:w="108" w:type="dxa"/>
              <w:bottom w:w="0" w:type="dxa"/>
              <w:right w:w="108" w:type="dxa"/>
            </w:tcMar>
            <w:vAlign w:val="center"/>
            <w:hideMark/>
          </w:tcPr>
          <w:p w:rsidR="00B73A46" w:rsidRPr="003410C7" w:rsidRDefault="00B73A46" w:rsidP="00731D02">
            <w:pPr>
              <w:jc w:val="center"/>
              <w:rPr>
                <w:rFonts w:eastAsia="Calibri" w:cs="Tahoma"/>
                <w:b/>
                <w:bCs/>
                <w:sz w:val="16"/>
                <w:szCs w:val="18"/>
              </w:rPr>
            </w:pPr>
            <w:r w:rsidRPr="003410C7">
              <w:rPr>
                <w:rFonts w:cs="Tahoma"/>
                <w:b/>
                <w:bCs/>
                <w:sz w:val="16"/>
                <w:szCs w:val="18"/>
              </w:rPr>
              <w:t>Open (Tutti</w:t>
            </w:r>
            <w:r w:rsidR="00731D02">
              <w:rPr>
                <w:rFonts w:cs="Tahoma"/>
                <w:b/>
                <w:bCs/>
                <w:sz w:val="16"/>
                <w:szCs w:val="18"/>
              </w:rPr>
              <w:t> </w:t>
            </w:r>
            <w:r w:rsidRPr="003410C7">
              <w:rPr>
                <w:rFonts w:cs="Tahoma"/>
                <w:b/>
                <w:bCs/>
                <w:sz w:val="16"/>
                <w:szCs w:val="18"/>
              </w:rPr>
              <w:t>tranne Academic, Charity &amp; OV-CW)</w:t>
            </w:r>
          </w:p>
        </w:tc>
        <w:tc>
          <w:tcPr>
            <w:tcW w:w="1085" w:type="dxa"/>
            <w:tcBorders>
              <w:top w:val="single" w:sz="4" w:space="0" w:color="auto"/>
              <w:left w:val="nil"/>
              <w:bottom w:val="single" w:sz="8" w:space="0" w:color="auto"/>
              <w:right w:val="single" w:sz="8" w:space="0" w:color="auto"/>
            </w:tcBorders>
            <w:shd w:val="clear" w:color="auto" w:fill="FABF8F"/>
            <w:tcMar>
              <w:top w:w="0" w:type="dxa"/>
              <w:left w:w="108" w:type="dxa"/>
              <w:bottom w:w="0" w:type="dxa"/>
              <w:right w:w="108" w:type="dxa"/>
            </w:tcMar>
            <w:vAlign w:val="center"/>
            <w:hideMark/>
          </w:tcPr>
          <w:p w:rsidR="00B73A46" w:rsidRPr="003410C7" w:rsidRDefault="00B73A46" w:rsidP="0050116B">
            <w:pPr>
              <w:jc w:val="center"/>
              <w:rPr>
                <w:rFonts w:eastAsia="Calibri" w:cs="Tahoma"/>
                <w:b/>
                <w:bCs/>
                <w:sz w:val="16"/>
                <w:szCs w:val="18"/>
              </w:rPr>
            </w:pPr>
            <w:r w:rsidRPr="003410C7">
              <w:rPr>
                <w:rFonts w:cs="Tahoma"/>
                <w:b/>
                <w:bCs/>
                <w:sz w:val="16"/>
                <w:szCs w:val="18"/>
              </w:rPr>
              <w:t>Academic &amp; Charity</w:t>
            </w:r>
          </w:p>
        </w:tc>
      </w:tr>
      <w:tr w:rsidR="008643A3" w:rsidRPr="003410C7" w:rsidTr="00731D02">
        <w:trPr>
          <w:trHeight w:val="255"/>
        </w:trPr>
        <w:tc>
          <w:tcPr>
            <w:tcW w:w="3158"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tcPr>
          <w:p w:rsidR="008643A3" w:rsidRPr="003410C7" w:rsidRDefault="008643A3" w:rsidP="00713A6C">
            <w:pPr>
              <w:rPr>
                <w:rFonts w:cs="Tahoma"/>
                <w:b/>
                <w:bCs/>
                <w:szCs w:val="18"/>
              </w:rPr>
            </w:pPr>
            <w:r w:rsidRPr="003410C7">
              <w:rPr>
                <w:rFonts w:cs="Tahoma"/>
                <w:b/>
                <w:bCs/>
                <w:szCs w:val="18"/>
              </w:rPr>
              <w:t>Windows 8 (32-bit o 64-bit)</w:t>
            </w:r>
          </w:p>
        </w:tc>
        <w:tc>
          <w:tcPr>
            <w:tcW w:w="124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8643A3" w:rsidRPr="003410C7" w:rsidRDefault="008643A3" w:rsidP="00713A6C">
            <w:pPr>
              <w:jc w:val="center"/>
              <w:rPr>
                <w:rFonts w:cs="Tahoma"/>
                <w:szCs w:val="18"/>
              </w:rPr>
            </w:pPr>
          </w:p>
        </w:tc>
        <w:tc>
          <w:tcPr>
            <w:tcW w:w="134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8643A3" w:rsidRPr="003410C7" w:rsidRDefault="008643A3" w:rsidP="00713A6C">
            <w:pPr>
              <w:jc w:val="center"/>
              <w:rPr>
                <w:rFonts w:cs="Tahoma"/>
                <w:szCs w:val="18"/>
              </w:rPr>
            </w:pPr>
          </w:p>
        </w:tc>
        <w:tc>
          <w:tcPr>
            <w:tcW w:w="106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8643A3" w:rsidRPr="003410C7" w:rsidRDefault="008643A3" w:rsidP="00713A6C">
            <w:pPr>
              <w:jc w:val="center"/>
              <w:rPr>
                <w:rFonts w:cs="Tahoma"/>
                <w:szCs w:val="18"/>
              </w:rPr>
            </w:pPr>
          </w:p>
        </w:tc>
        <w:tc>
          <w:tcPr>
            <w:tcW w:w="1172"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8643A3" w:rsidRPr="003410C7" w:rsidRDefault="008643A3" w:rsidP="00713A6C">
            <w:pPr>
              <w:jc w:val="center"/>
              <w:rPr>
                <w:rFonts w:cs="Tahoma"/>
                <w:szCs w:val="18"/>
              </w:rPr>
            </w:pPr>
          </w:p>
        </w:tc>
        <w:tc>
          <w:tcPr>
            <w:tcW w:w="1085"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8643A3" w:rsidRPr="003410C7" w:rsidRDefault="008643A3" w:rsidP="00713A6C">
            <w:pPr>
              <w:jc w:val="center"/>
              <w:rPr>
                <w:rFonts w:cs="Tahoma"/>
                <w:szCs w:val="18"/>
              </w:rPr>
            </w:pPr>
          </w:p>
        </w:tc>
      </w:tr>
      <w:tr w:rsidR="008643A3" w:rsidRPr="003410C7" w:rsidTr="00731D02">
        <w:trPr>
          <w:trHeight w:val="255"/>
        </w:trPr>
        <w:tc>
          <w:tcPr>
            <w:tcW w:w="3158"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tcPr>
          <w:p w:rsidR="008643A3" w:rsidRPr="003410C7" w:rsidRDefault="008643A3" w:rsidP="00EF7CDD">
            <w:pPr>
              <w:ind w:left="522"/>
              <w:rPr>
                <w:rFonts w:cs="Tahoma"/>
                <w:b/>
                <w:bCs/>
                <w:szCs w:val="18"/>
              </w:rPr>
            </w:pPr>
            <w:r w:rsidRPr="003410C7">
              <w:rPr>
                <w:rFonts w:cs="Tahoma"/>
                <w:szCs w:val="18"/>
              </w:rPr>
              <w:t>Enterprise (N, K, KN)</w:t>
            </w:r>
          </w:p>
        </w:tc>
        <w:tc>
          <w:tcPr>
            <w:tcW w:w="124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8643A3" w:rsidRPr="003410C7" w:rsidRDefault="006C2A69" w:rsidP="00713A6C">
            <w:pPr>
              <w:jc w:val="center"/>
              <w:rPr>
                <w:rFonts w:cs="Tahoma"/>
                <w:szCs w:val="18"/>
              </w:rPr>
            </w:pPr>
            <w:r w:rsidRPr="003410C7">
              <w:rPr>
                <w:rFonts w:cs="Tahoma"/>
                <w:szCs w:val="18"/>
              </w:rPr>
              <w:t>x</w:t>
            </w:r>
          </w:p>
        </w:tc>
        <w:tc>
          <w:tcPr>
            <w:tcW w:w="134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8643A3" w:rsidRPr="003410C7" w:rsidRDefault="006C2A69" w:rsidP="00713A6C">
            <w:pPr>
              <w:jc w:val="center"/>
              <w:rPr>
                <w:rFonts w:cs="Tahoma"/>
                <w:szCs w:val="18"/>
              </w:rPr>
            </w:pPr>
            <w:r w:rsidRPr="003410C7">
              <w:rPr>
                <w:rFonts w:cs="Tahoma"/>
                <w:szCs w:val="18"/>
              </w:rPr>
              <w:t>x</w:t>
            </w:r>
          </w:p>
        </w:tc>
        <w:tc>
          <w:tcPr>
            <w:tcW w:w="106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8643A3" w:rsidRPr="003410C7" w:rsidRDefault="006C2A69" w:rsidP="00713A6C">
            <w:pPr>
              <w:jc w:val="center"/>
              <w:rPr>
                <w:rFonts w:cs="Tahoma"/>
                <w:szCs w:val="18"/>
              </w:rPr>
            </w:pPr>
            <w:r w:rsidRPr="003410C7">
              <w:rPr>
                <w:rFonts w:cs="Tahoma"/>
                <w:szCs w:val="18"/>
              </w:rPr>
              <w:t>x</w:t>
            </w:r>
          </w:p>
        </w:tc>
        <w:tc>
          <w:tcPr>
            <w:tcW w:w="1172"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8643A3" w:rsidRPr="003410C7" w:rsidRDefault="006C2A69" w:rsidP="00713A6C">
            <w:pPr>
              <w:jc w:val="center"/>
              <w:rPr>
                <w:rFonts w:cs="Tahoma"/>
                <w:szCs w:val="18"/>
              </w:rPr>
            </w:pPr>
            <w:r w:rsidRPr="003410C7">
              <w:rPr>
                <w:rFonts w:cs="Tahoma"/>
                <w:szCs w:val="18"/>
              </w:rPr>
              <w:t>x</w:t>
            </w:r>
          </w:p>
        </w:tc>
        <w:tc>
          <w:tcPr>
            <w:tcW w:w="1085"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8643A3" w:rsidRPr="003410C7" w:rsidRDefault="008335B9" w:rsidP="00713A6C">
            <w:pPr>
              <w:jc w:val="center"/>
              <w:rPr>
                <w:rFonts w:cs="Tahoma"/>
                <w:szCs w:val="18"/>
              </w:rPr>
            </w:pPr>
            <w:r w:rsidRPr="003410C7">
              <w:rPr>
                <w:rFonts w:cs="Tahoma"/>
                <w:szCs w:val="18"/>
              </w:rPr>
              <w:t>x</w:t>
            </w:r>
          </w:p>
        </w:tc>
      </w:tr>
      <w:tr w:rsidR="008643A3" w:rsidRPr="003410C7" w:rsidTr="00731D02">
        <w:trPr>
          <w:trHeight w:val="255"/>
        </w:trPr>
        <w:tc>
          <w:tcPr>
            <w:tcW w:w="3158"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tcPr>
          <w:p w:rsidR="008643A3" w:rsidRPr="003410C7" w:rsidRDefault="006C2A69" w:rsidP="00394D71">
            <w:pPr>
              <w:ind w:left="522"/>
              <w:rPr>
                <w:rFonts w:cs="Tahoma"/>
                <w:b/>
                <w:bCs/>
                <w:szCs w:val="18"/>
              </w:rPr>
            </w:pPr>
            <w:r w:rsidRPr="003410C7">
              <w:rPr>
                <w:rFonts w:cs="Tahoma"/>
                <w:szCs w:val="18"/>
              </w:rPr>
              <w:t>Pro (N, K, KN)</w:t>
            </w:r>
          </w:p>
        </w:tc>
        <w:tc>
          <w:tcPr>
            <w:tcW w:w="124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8643A3" w:rsidRPr="003410C7" w:rsidRDefault="006C2A69" w:rsidP="00713A6C">
            <w:pPr>
              <w:jc w:val="center"/>
              <w:rPr>
                <w:rFonts w:cs="Tahoma"/>
                <w:szCs w:val="18"/>
              </w:rPr>
            </w:pPr>
            <w:r w:rsidRPr="003410C7">
              <w:rPr>
                <w:rFonts w:cs="Tahoma"/>
                <w:szCs w:val="18"/>
              </w:rPr>
              <w:t>x</w:t>
            </w:r>
          </w:p>
        </w:tc>
        <w:tc>
          <w:tcPr>
            <w:tcW w:w="134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8643A3" w:rsidRPr="003410C7" w:rsidRDefault="006C2A69" w:rsidP="00713A6C">
            <w:pPr>
              <w:jc w:val="center"/>
              <w:rPr>
                <w:rFonts w:cs="Tahoma"/>
                <w:szCs w:val="18"/>
              </w:rPr>
            </w:pPr>
            <w:r w:rsidRPr="003410C7">
              <w:rPr>
                <w:rFonts w:cs="Tahoma"/>
                <w:szCs w:val="18"/>
              </w:rPr>
              <w:t>x</w:t>
            </w:r>
          </w:p>
        </w:tc>
        <w:tc>
          <w:tcPr>
            <w:tcW w:w="106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8643A3" w:rsidRPr="003410C7" w:rsidRDefault="006C2A69" w:rsidP="00713A6C">
            <w:pPr>
              <w:jc w:val="center"/>
              <w:rPr>
                <w:rFonts w:cs="Tahoma"/>
                <w:szCs w:val="18"/>
              </w:rPr>
            </w:pPr>
            <w:r w:rsidRPr="003410C7">
              <w:rPr>
                <w:rFonts w:cs="Tahoma"/>
                <w:szCs w:val="18"/>
              </w:rPr>
              <w:t>x</w:t>
            </w:r>
          </w:p>
        </w:tc>
        <w:tc>
          <w:tcPr>
            <w:tcW w:w="1172"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8643A3" w:rsidRPr="003410C7" w:rsidRDefault="006C2A69" w:rsidP="00713A6C">
            <w:pPr>
              <w:jc w:val="center"/>
              <w:rPr>
                <w:rFonts w:cs="Tahoma"/>
                <w:szCs w:val="18"/>
              </w:rPr>
            </w:pPr>
            <w:r w:rsidRPr="003410C7">
              <w:rPr>
                <w:rFonts w:cs="Tahoma"/>
                <w:szCs w:val="18"/>
              </w:rPr>
              <w:t>x</w:t>
            </w:r>
          </w:p>
        </w:tc>
        <w:tc>
          <w:tcPr>
            <w:tcW w:w="1085"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8643A3" w:rsidRPr="003410C7" w:rsidRDefault="008335B9" w:rsidP="00713A6C">
            <w:pPr>
              <w:jc w:val="center"/>
              <w:rPr>
                <w:rFonts w:cs="Tahoma"/>
                <w:szCs w:val="18"/>
              </w:rPr>
            </w:pPr>
            <w:r w:rsidRPr="003410C7">
              <w:rPr>
                <w:rFonts w:cs="Tahoma"/>
                <w:szCs w:val="18"/>
              </w:rPr>
              <w:t>x</w:t>
            </w:r>
          </w:p>
        </w:tc>
      </w:tr>
      <w:tr w:rsidR="008643A3" w:rsidRPr="003410C7" w:rsidTr="00731D02">
        <w:trPr>
          <w:trHeight w:val="255"/>
        </w:trPr>
        <w:tc>
          <w:tcPr>
            <w:tcW w:w="3158"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tcPr>
          <w:p w:rsidR="008643A3" w:rsidRPr="003410C7" w:rsidRDefault="006C2A69" w:rsidP="00EF7CDD">
            <w:pPr>
              <w:ind w:left="522"/>
              <w:rPr>
                <w:rFonts w:cs="Tahoma"/>
                <w:b/>
                <w:bCs/>
                <w:szCs w:val="18"/>
              </w:rPr>
            </w:pPr>
            <w:r w:rsidRPr="003410C7">
              <w:rPr>
                <w:rFonts w:cs="Tahoma"/>
                <w:szCs w:val="18"/>
              </w:rPr>
              <w:t>Windows 8</w:t>
            </w:r>
          </w:p>
        </w:tc>
        <w:tc>
          <w:tcPr>
            <w:tcW w:w="124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8643A3" w:rsidRPr="003410C7" w:rsidRDefault="008643A3" w:rsidP="00713A6C">
            <w:pPr>
              <w:jc w:val="center"/>
              <w:rPr>
                <w:rFonts w:cs="Tahoma"/>
                <w:szCs w:val="18"/>
              </w:rPr>
            </w:pPr>
          </w:p>
        </w:tc>
        <w:tc>
          <w:tcPr>
            <w:tcW w:w="134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8643A3" w:rsidRPr="003410C7" w:rsidRDefault="008643A3" w:rsidP="00713A6C">
            <w:pPr>
              <w:jc w:val="center"/>
              <w:rPr>
                <w:rFonts w:cs="Tahoma"/>
                <w:szCs w:val="18"/>
              </w:rPr>
            </w:pPr>
          </w:p>
        </w:tc>
        <w:tc>
          <w:tcPr>
            <w:tcW w:w="106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8643A3" w:rsidRPr="003410C7" w:rsidRDefault="008643A3" w:rsidP="00713A6C">
            <w:pPr>
              <w:jc w:val="center"/>
              <w:rPr>
                <w:rFonts w:cs="Tahoma"/>
                <w:szCs w:val="18"/>
              </w:rPr>
            </w:pPr>
          </w:p>
        </w:tc>
        <w:tc>
          <w:tcPr>
            <w:tcW w:w="1172"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8643A3" w:rsidRPr="003410C7" w:rsidRDefault="008643A3" w:rsidP="00713A6C">
            <w:pPr>
              <w:jc w:val="center"/>
              <w:rPr>
                <w:rFonts w:cs="Tahoma"/>
                <w:szCs w:val="18"/>
              </w:rPr>
            </w:pPr>
          </w:p>
        </w:tc>
        <w:tc>
          <w:tcPr>
            <w:tcW w:w="1085"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8643A3" w:rsidRPr="003410C7" w:rsidRDefault="006C2A69" w:rsidP="00713A6C">
            <w:pPr>
              <w:jc w:val="center"/>
              <w:rPr>
                <w:rFonts w:cs="Tahoma"/>
                <w:szCs w:val="18"/>
              </w:rPr>
            </w:pPr>
            <w:r w:rsidRPr="003410C7">
              <w:rPr>
                <w:rFonts w:cs="Tahoma"/>
                <w:szCs w:val="18"/>
              </w:rPr>
              <w:t>x</w:t>
            </w:r>
          </w:p>
        </w:tc>
      </w:tr>
      <w:tr w:rsidR="00EF7CDD" w:rsidRPr="003410C7" w:rsidTr="00731D02">
        <w:trPr>
          <w:trHeight w:val="255"/>
        </w:trPr>
        <w:tc>
          <w:tcPr>
            <w:tcW w:w="3158"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tcPr>
          <w:p w:rsidR="00EF7CDD" w:rsidRPr="003410C7" w:rsidRDefault="00EF7CDD" w:rsidP="00EF7CDD">
            <w:pPr>
              <w:ind w:left="522"/>
              <w:rPr>
                <w:rFonts w:cs="Tahoma"/>
                <w:szCs w:val="18"/>
              </w:rPr>
            </w:pPr>
            <w:r w:rsidRPr="003410C7">
              <w:rPr>
                <w:rFonts w:cs="Tahoma"/>
                <w:szCs w:val="18"/>
              </w:rPr>
              <w:t>Windows 8 Single Language</w:t>
            </w:r>
          </w:p>
        </w:tc>
        <w:tc>
          <w:tcPr>
            <w:tcW w:w="124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EF7CDD" w:rsidRPr="003410C7" w:rsidRDefault="00EF7CDD" w:rsidP="00713A6C">
            <w:pPr>
              <w:jc w:val="center"/>
              <w:rPr>
                <w:rFonts w:cs="Tahoma"/>
                <w:szCs w:val="18"/>
              </w:rPr>
            </w:pPr>
          </w:p>
        </w:tc>
        <w:tc>
          <w:tcPr>
            <w:tcW w:w="134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EF7CDD" w:rsidRPr="003410C7" w:rsidRDefault="00EF7CDD" w:rsidP="00713A6C">
            <w:pPr>
              <w:jc w:val="center"/>
              <w:rPr>
                <w:rFonts w:cs="Tahoma"/>
                <w:szCs w:val="18"/>
              </w:rPr>
            </w:pPr>
          </w:p>
        </w:tc>
        <w:tc>
          <w:tcPr>
            <w:tcW w:w="106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EF7CDD" w:rsidRPr="003410C7" w:rsidRDefault="00EF7CDD" w:rsidP="00713A6C">
            <w:pPr>
              <w:jc w:val="center"/>
              <w:rPr>
                <w:rFonts w:cs="Tahoma"/>
                <w:szCs w:val="18"/>
              </w:rPr>
            </w:pPr>
          </w:p>
        </w:tc>
        <w:tc>
          <w:tcPr>
            <w:tcW w:w="1172"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EF7CDD" w:rsidRPr="003410C7" w:rsidRDefault="00EF7CDD" w:rsidP="00713A6C">
            <w:pPr>
              <w:jc w:val="center"/>
              <w:rPr>
                <w:rFonts w:cs="Tahoma"/>
                <w:szCs w:val="18"/>
              </w:rPr>
            </w:pPr>
          </w:p>
        </w:tc>
        <w:tc>
          <w:tcPr>
            <w:tcW w:w="1085"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EF7CDD" w:rsidRPr="003410C7" w:rsidRDefault="00EF7CDD" w:rsidP="00713A6C">
            <w:pPr>
              <w:jc w:val="center"/>
              <w:rPr>
                <w:rFonts w:cs="Tahoma"/>
                <w:szCs w:val="18"/>
              </w:rPr>
            </w:pPr>
            <w:r w:rsidRPr="003410C7">
              <w:rPr>
                <w:rFonts w:cs="Tahoma"/>
                <w:szCs w:val="18"/>
              </w:rPr>
              <w:t>x</w:t>
            </w:r>
          </w:p>
        </w:tc>
      </w:tr>
      <w:tr w:rsidR="00290BBF" w:rsidRPr="003410C7" w:rsidTr="00731D02">
        <w:trPr>
          <w:trHeight w:val="255"/>
        </w:trPr>
        <w:tc>
          <w:tcPr>
            <w:tcW w:w="3158"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rsidR="00B73A46" w:rsidRPr="003410C7" w:rsidRDefault="00B73A46" w:rsidP="00713A6C">
            <w:pPr>
              <w:rPr>
                <w:rFonts w:eastAsia="Calibri" w:cs="Tahoma"/>
                <w:b/>
                <w:bCs/>
                <w:szCs w:val="18"/>
              </w:rPr>
            </w:pPr>
            <w:r w:rsidRPr="003410C7">
              <w:rPr>
                <w:rFonts w:cs="Tahoma"/>
                <w:b/>
                <w:bCs/>
                <w:szCs w:val="18"/>
              </w:rPr>
              <w:t>Windows 7 (32-bit o 64-bit)</w:t>
            </w:r>
          </w:p>
        </w:tc>
        <w:tc>
          <w:tcPr>
            <w:tcW w:w="124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3410C7" w:rsidRDefault="00B73A46" w:rsidP="00713A6C">
            <w:pPr>
              <w:jc w:val="center"/>
              <w:rPr>
                <w:rFonts w:eastAsia="Calibri" w:cs="Tahoma"/>
                <w:szCs w:val="18"/>
              </w:rPr>
            </w:pPr>
            <w:r w:rsidRPr="003410C7">
              <w:rPr>
                <w:rFonts w:cs="Tahoma"/>
                <w:szCs w:val="18"/>
              </w:rPr>
              <w:t> </w:t>
            </w:r>
          </w:p>
        </w:tc>
        <w:tc>
          <w:tcPr>
            <w:tcW w:w="134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3410C7" w:rsidRDefault="00B73A46" w:rsidP="00713A6C">
            <w:pPr>
              <w:jc w:val="center"/>
              <w:rPr>
                <w:rFonts w:eastAsia="Calibri" w:cs="Tahoma"/>
                <w:szCs w:val="18"/>
              </w:rPr>
            </w:pPr>
            <w:r w:rsidRPr="003410C7">
              <w:rPr>
                <w:rFonts w:cs="Tahoma"/>
                <w:szCs w:val="18"/>
              </w:rPr>
              <w:t> </w:t>
            </w:r>
          </w:p>
        </w:tc>
        <w:tc>
          <w:tcPr>
            <w:tcW w:w="106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3410C7" w:rsidRDefault="00B73A46" w:rsidP="00713A6C">
            <w:pPr>
              <w:jc w:val="center"/>
              <w:rPr>
                <w:rFonts w:eastAsia="Calibri" w:cs="Tahoma"/>
                <w:szCs w:val="18"/>
              </w:rPr>
            </w:pPr>
            <w:r w:rsidRPr="003410C7">
              <w:rPr>
                <w:rFonts w:cs="Tahoma"/>
                <w:szCs w:val="18"/>
              </w:rPr>
              <w:t> </w:t>
            </w:r>
          </w:p>
        </w:tc>
        <w:tc>
          <w:tcPr>
            <w:tcW w:w="1172"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3410C7" w:rsidRDefault="00B73A46" w:rsidP="00713A6C">
            <w:pPr>
              <w:jc w:val="center"/>
              <w:rPr>
                <w:rFonts w:eastAsia="Calibri" w:cs="Tahoma"/>
                <w:szCs w:val="18"/>
              </w:rPr>
            </w:pPr>
            <w:r w:rsidRPr="003410C7">
              <w:rPr>
                <w:rFonts w:cs="Tahoma"/>
                <w:szCs w:val="18"/>
              </w:rPr>
              <w:t> </w:t>
            </w:r>
          </w:p>
        </w:tc>
        <w:tc>
          <w:tcPr>
            <w:tcW w:w="1085"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3410C7" w:rsidRDefault="00B73A46" w:rsidP="00713A6C">
            <w:pPr>
              <w:jc w:val="center"/>
              <w:rPr>
                <w:rFonts w:eastAsia="Calibri" w:cs="Tahoma"/>
                <w:szCs w:val="18"/>
              </w:rPr>
            </w:pPr>
            <w:r w:rsidRPr="003410C7">
              <w:rPr>
                <w:rFonts w:cs="Tahoma"/>
                <w:szCs w:val="18"/>
              </w:rPr>
              <w:t> </w:t>
            </w:r>
          </w:p>
        </w:tc>
      </w:tr>
      <w:tr w:rsidR="00290BBF" w:rsidRPr="003410C7" w:rsidTr="00731D02">
        <w:trPr>
          <w:trHeight w:val="255"/>
        </w:trPr>
        <w:tc>
          <w:tcPr>
            <w:tcW w:w="3158"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rsidR="00B73A46" w:rsidRPr="003410C7" w:rsidRDefault="00B73A46" w:rsidP="00713A6C">
            <w:pPr>
              <w:ind w:firstLine="540"/>
              <w:rPr>
                <w:rFonts w:eastAsia="Calibri" w:cs="Tahoma"/>
                <w:szCs w:val="18"/>
              </w:rPr>
            </w:pPr>
            <w:r w:rsidRPr="003410C7">
              <w:rPr>
                <w:rFonts w:cs="Tahoma"/>
                <w:szCs w:val="18"/>
              </w:rPr>
              <w:t>Enterprise (N, K, KN)</w:t>
            </w:r>
          </w:p>
        </w:tc>
        <w:tc>
          <w:tcPr>
            <w:tcW w:w="124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3410C7" w:rsidRDefault="00B73A46" w:rsidP="00713A6C">
            <w:pPr>
              <w:jc w:val="center"/>
              <w:rPr>
                <w:rFonts w:eastAsia="Calibri" w:cs="Tahoma"/>
                <w:szCs w:val="18"/>
              </w:rPr>
            </w:pPr>
            <w:r w:rsidRPr="003410C7">
              <w:rPr>
                <w:rFonts w:cs="Tahoma"/>
                <w:szCs w:val="18"/>
              </w:rPr>
              <w:t>x</w:t>
            </w:r>
          </w:p>
        </w:tc>
        <w:tc>
          <w:tcPr>
            <w:tcW w:w="134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3410C7" w:rsidRDefault="00B73A46" w:rsidP="00713A6C">
            <w:pPr>
              <w:jc w:val="center"/>
              <w:rPr>
                <w:rFonts w:eastAsia="Calibri" w:cs="Tahoma"/>
                <w:szCs w:val="18"/>
              </w:rPr>
            </w:pPr>
            <w:r w:rsidRPr="003410C7">
              <w:rPr>
                <w:rFonts w:cs="Tahoma"/>
                <w:szCs w:val="18"/>
              </w:rPr>
              <w:t>x</w:t>
            </w:r>
          </w:p>
        </w:tc>
        <w:tc>
          <w:tcPr>
            <w:tcW w:w="106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3410C7" w:rsidRDefault="00B73A46" w:rsidP="00713A6C">
            <w:pPr>
              <w:jc w:val="center"/>
              <w:rPr>
                <w:rFonts w:eastAsia="Calibri" w:cs="Tahoma"/>
                <w:szCs w:val="18"/>
              </w:rPr>
            </w:pPr>
            <w:r w:rsidRPr="003410C7">
              <w:rPr>
                <w:rFonts w:cs="Tahoma"/>
                <w:szCs w:val="18"/>
              </w:rPr>
              <w:t>x</w:t>
            </w:r>
          </w:p>
        </w:tc>
        <w:tc>
          <w:tcPr>
            <w:tcW w:w="1172"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3410C7" w:rsidRDefault="00B73A46" w:rsidP="00713A6C">
            <w:pPr>
              <w:jc w:val="center"/>
              <w:rPr>
                <w:rFonts w:eastAsia="Calibri" w:cs="Tahoma"/>
                <w:szCs w:val="18"/>
              </w:rPr>
            </w:pPr>
            <w:r w:rsidRPr="003410C7">
              <w:rPr>
                <w:rFonts w:cs="Tahoma"/>
                <w:szCs w:val="18"/>
              </w:rPr>
              <w:t>x</w:t>
            </w:r>
          </w:p>
        </w:tc>
        <w:tc>
          <w:tcPr>
            <w:tcW w:w="1085"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3410C7" w:rsidRDefault="00B73A46" w:rsidP="00713A6C">
            <w:pPr>
              <w:jc w:val="center"/>
              <w:rPr>
                <w:rFonts w:eastAsia="Calibri" w:cs="Tahoma"/>
                <w:szCs w:val="18"/>
              </w:rPr>
            </w:pPr>
            <w:r w:rsidRPr="003410C7">
              <w:rPr>
                <w:rFonts w:cs="Tahoma"/>
                <w:szCs w:val="18"/>
              </w:rPr>
              <w:t>x</w:t>
            </w:r>
          </w:p>
        </w:tc>
      </w:tr>
      <w:tr w:rsidR="00290BBF" w:rsidRPr="003410C7" w:rsidTr="00731D02">
        <w:trPr>
          <w:trHeight w:val="255"/>
        </w:trPr>
        <w:tc>
          <w:tcPr>
            <w:tcW w:w="3158"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rsidR="00B73A46" w:rsidRPr="00451078" w:rsidRDefault="00B73A46" w:rsidP="00D47417">
            <w:pPr>
              <w:ind w:left="522" w:firstLine="18"/>
              <w:rPr>
                <w:rFonts w:eastAsia="Calibri" w:cs="Tahoma"/>
                <w:szCs w:val="18"/>
                <w:lang w:val="pt-BR"/>
              </w:rPr>
            </w:pPr>
            <w:r w:rsidRPr="00451078">
              <w:rPr>
                <w:rFonts w:cs="Tahoma"/>
                <w:szCs w:val="18"/>
                <w:lang w:val="pt-BR"/>
              </w:rPr>
              <w:t>Professional (N, K, KN, diskless)</w:t>
            </w:r>
          </w:p>
        </w:tc>
        <w:tc>
          <w:tcPr>
            <w:tcW w:w="124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3410C7" w:rsidRDefault="00B73A46" w:rsidP="00713A6C">
            <w:pPr>
              <w:jc w:val="center"/>
              <w:rPr>
                <w:rFonts w:eastAsia="Calibri" w:cs="Tahoma"/>
                <w:szCs w:val="18"/>
              </w:rPr>
            </w:pPr>
            <w:r w:rsidRPr="003410C7">
              <w:rPr>
                <w:rFonts w:cs="Tahoma"/>
                <w:szCs w:val="18"/>
              </w:rPr>
              <w:t>x</w:t>
            </w:r>
          </w:p>
        </w:tc>
        <w:tc>
          <w:tcPr>
            <w:tcW w:w="134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3410C7" w:rsidRDefault="00B73A46" w:rsidP="00713A6C">
            <w:pPr>
              <w:jc w:val="center"/>
              <w:rPr>
                <w:rFonts w:eastAsia="Calibri" w:cs="Tahoma"/>
                <w:szCs w:val="18"/>
              </w:rPr>
            </w:pPr>
            <w:r w:rsidRPr="003410C7">
              <w:rPr>
                <w:rFonts w:cs="Tahoma"/>
                <w:szCs w:val="18"/>
              </w:rPr>
              <w:t>x</w:t>
            </w:r>
          </w:p>
        </w:tc>
        <w:tc>
          <w:tcPr>
            <w:tcW w:w="106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3410C7" w:rsidRDefault="00B73A46" w:rsidP="00713A6C">
            <w:pPr>
              <w:jc w:val="center"/>
              <w:rPr>
                <w:rFonts w:eastAsia="Calibri" w:cs="Tahoma"/>
                <w:szCs w:val="18"/>
              </w:rPr>
            </w:pPr>
            <w:r w:rsidRPr="003410C7">
              <w:rPr>
                <w:rFonts w:cs="Tahoma"/>
                <w:szCs w:val="18"/>
              </w:rPr>
              <w:t>x</w:t>
            </w:r>
          </w:p>
        </w:tc>
        <w:tc>
          <w:tcPr>
            <w:tcW w:w="1172"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3410C7" w:rsidRDefault="00B73A46" w:rsidP="00713A6C">
            <w:pPr>
              <w:jc w:val="center"/>
              <w:rPr>
                <w:rFonts w:eastAsia="Calibri" w:cs="Tahoma"/>
                <w:szCs w:val="18"/>
              </w:rPr>
            </w:pPr>
            <w:r w:rsidRPr="003410C7">
              <w:rPr>
                <w:rFonts w:cs="Tahoma"/>
                <w:szCs w:val="18"/>
              </w:rPr>
              <w:t>x</w:t>
            </w:r>
          </w:p>
        </w:tc>
        <w:tc>
          <w:tcPr>
            <w:tcW w:w="1085"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3410C7" w:rsidRDefault="00B73A46" w:rsidP="00713A6C">
            <w:pPr>
              <w:jc w:val="center"/>
              <w:rPr>
                <w:rFonts w:eastAsia="Calibri" w:cs="Tahoma"/>
                <w:szCs w:val="18"/>
              </w:rPr>
            </w:pPr>
            <w:r w:rsidRPr="003410C7">
              <w:rPr>
                <w:rFonts w:cs="Tahoma"/>
                <w:szCs w:val="18"/>
              </w:rPr>
              <w:t>x</w:t>
            </w:r>
          </w:p>
        </w:tc>
      </w:tr>
      <w:tr w:rsidR="00290BBF" w:rsidRPr="003410C7" w:rsidTr="00731D02">
        <w:trPr>
          <w:trHeight w:val="255"/>
        </w:trPr>
        <w:tc>
          <w:tcPr>
            <w:tcW w:w="3158"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rsidR="00B73A46" w:rsidRPr="003410C7" w:rsidRDefault="00B73A46" w:rsidP="00713A6C">
            <w:pPr>
              <w:ind w:firstLine="540"/>
              <w:rPr>
                <w:rFonts w:eastAsia="Calibri" w:cs="Tahoma"/>
                <w:szCs w:val="18"/>
              </w:rPr>
            </w:pPr>
            <w:r w:rsidRPr="003410C7">
              <w:rPr>
                <w:rFonts w:cs="Tahoma"/>
                <w:szCs w:val="18"/>
              </w:rPr>
              <w:t>Ultimate</w:t>
            </w:r>
          </w:p>
        </w:tc>
        <w:tc>
          <w:tcPr>
            <w:tcW w:w="124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3410C7" w:rsidRDefault="00B73A46" w:rsidP="00713A6C">
            <w:pPr>
              <w:jc w:val="center"/>
              <w:rPr>
                <w:rFonts w:eastAsia="Calibri" w:cs="Tahoma"/>
                <w:szCs w:val="18"/>
              </w:rPr>
            </w:pPr>
            <w:r w:rsidRPr="003410C7">
              <w:rPr>
                <w:rFonts w:cs="Tahoma"/>
                <w:szCs w:val="18"/>
              </w:rPr>
              <w:t>x</w:t>
            </w:r>
          </w:p>
        </w:tc>
        <w:tc>
          <w:tcPr>
            <w:tcW w:w="134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3410C7" w:rsidRDefault="00B73A46" w:rsidP="00713A6C">
            <w:pPr>
              <w:jc w:val="center"/>
              <w:rPr>
                <w:rFonts w:eastAsia="Calibri" w:cs="Tahoma"/>
                <w:szCs w:val="18"/>
              </w:rPr>
            </w:pPr>
            <w:r w:rsidRPr="003410C7">
              <w:rPr>
                <w:rFonts w:cs="Tahoma"/>
                <w:szCs w:val="18"/>
              </w:rPr>
              <w:t>x</w:t>
            </w:r>
          </w:p>
        </w:tc>
        <w:tc>
          <w:tcPr>
            <w:tcW w:w="106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3410C7" w:rsidRDefault="00B73A46" w:rsidP="00713A6C">
            <w:pPr>
              <w:jc w:val="center"/>
              <w:rPr>
                <w:rFonts w:eastAsia="Calibri" w:cs="Tahoma"/>
                <w:szCs w:val="18"/>
              </w:rPr>
            </w:pPr>
            <w:r w:rsidRPr="003410C7">
              <w:rPr>
                <w:rFonts w:cs="Tahoma"/>
                <w:szCs w:val="18"/>
              </w:rPr>
              <w:t>x</w:t>
            </w:r>
          </w:p>
        </w:tc>
        <w:tc>
          <w:tcPr>
            <w:tcW w:w="1172"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3410C7" w:rsidRDefault="00B73A46" w:rsidP="00713A6C">
            <w:pPr>
              <w:jc w:val="center"/>
              <w:rPr>
                <w:rFonts w:eastAsia="Calibri" w:cs="Tahoma"/>
                <w:szCs w:val="18"/>
              </w:rPr>
            </w:pPr>
            <w:r w:rsidRPr="003410C7">
              <w:rPr>
                <w:rFonts w:cs="Tahoma"/>
                <w:szCs w:val="18"/>
              </w:rPr>
              <w:t>x</w:t>
            </w:r>
          </w:p>
        </w:tc>
        <w:tc>
          <w:tcPr>
            <w:tcW w:w="1085"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3410C7" w:rsidRDefault="00B73A46" w:rsidP="00713A6C">
            <w:pPr>
              <w:jc w:val="center"/>
              <w:rPr>
                <w:rFonts w:eastAsia="Calibri" w:cs="Tahoma"/>
                <w:szCs w:val="18"/>
              </w:rPr>
            </w:pPr>
            <w:r w:rsidRPr="003410C7">
              <w:rPr>
                <w:rFonts w:cs="Tahoma"/>
                <w:szCs w:val="18"/>
              </w:rPr>
              <w:t>x</w:t>
            </w:r>
          </w:p>
        </w:tc>
      </w:tr>
      <w:tr w:rsidR="00290BBF" w:rsidRPr="003410C7" w:rsidTr="00731D02">
        <w:trPr>
          <w:trHeight w:val="255"/>
        </w:trPr>
        <w:tc>
          <w:tcPr>
            <w:tcW w:w="3158"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rsidR="00B73A46" w:rsidRPr="003410C7" w:rsidRDefault="00B73A46" w:rsidP="00713A6C">
            <w:pPr>
              <w:ind w:firstLine="540"/>
              <w:rPr>
                <w:rFonts w:eastAsia="Calibri" w:cs="Tahoma"/>
                <w:szCs w:val="18"/>
              </w:rPr>
            </w:pPr>
            <w:r w:rsidRPr="003410C7">
              <w:rPr>
                <w:rFonts w:cs="Tahoma"/>
                <w:szCs w:val="18"/>
              </w:rPr>
              <w:t>Home Premium</w:t>
            </w:r>
          </w:p>
        </w:tc>
        <w:tc>
          <w:tcPr>
            <w:tcW w:w="124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3410C7" w:rsidRDefault="00B73A46" w:rsidP="00713A6C">
            <w:pPr>
              <w:jc w:val="center"/>
              <w:rPr>
                <w:rFonts w:eastAsia="Calibri" w:cs="Tahoma"/>
                <w:szCs w:val="18"/>
              </w:rPr>
            </w:pPr>
            <w:r w:rsidRPr="003410C7">
              <w:rPr>
                <w:rFonts w:cs="Tahoma"/>
                <w:szCs w:val="18"/>
              </w:rPr>
              <w:t> </w:t>
            </w:r>
          </w:p>
        </w:tc>
        <w:tc>
          <w:tcPr>
            <w:tcW w:w="134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3410C7" w:rsidRDefault="00B73A46" w:rsidP="00713A6C">
            <w:pPr>
              <w:jc w:val="center"/>
              <w:rPr>
                <w:rFonts w:eastAsia="Calibri" w:cs="Tahoma"/>
                <w:szCs w:val="18"/>
              </w:rPr>
            </w:pPr>
            <w:r w:rsidRPr="003410C7">
              <w:rPr>
                <w:rFonts w:cs="Tahoma"/>
                <w:szCs w:val="18"/>
              </w:rPr>
              <w:t> </w:t>
            </w:r>
          </w:p>
        </w:tc>
        <w:tc>
          <w:tcPr>
            <w:tcW w:w="106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3410C7" w:rsidRDefault="00B73A46" w:rsidP="00713A6C">
            <w:pPr>
              <w:jc w:val="center"/>
              <w:rPr>
                <w:rFonts w:eastAsia="Calibri" w:cs="Tahoma"/>
                <w:szCs w:val="18"/>
              </w:rPr>
            </w:pPr>
            <w:r w:rsidRPr="003410C7">
              <w:rPr>
                <w:rFonts w:cs="Tahoma"/>
                <w:szCs w:val="18"/>
              </w:rPr>
              <w:t> </w:t>
            </w:r>
          </w:p>
        </w:tc>
        <w:tc>
          <w:tcPr>
            <w:tcW w:w="1172"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3410C7" w:rsidRDefault="00B73A46" w:rsidP="00713A6C">
            <w:pPr>
              <w:jc w:val="center"/>
              <w:rPr>
                <w:rFonts w:eastAsia="Calibri" w:cs="Tahoma"/>
                <w:szCs w:val="18"/>
              </w:rPr>
            </w:pPr>
            <w:r w:rsidRPr="003410C7">
              <w:rPr>
                <w:rFonts w:cs="Tahoma"/>
                <w:szCs w:val="18"/>
              </w:rPr>
              <w:t> </w:t>
            </w:r>
          </w:p>
        </w:tc>
        <w:tc>
          <w:tcPr>
            <w:tcW w:w="1085"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3410C7" w:rsidRDefault="00B73A46" w:rsidP="00713A6C">
            <w:pPr>
              <w:jc w:val="center"/>
              <w:rPr>
                <w:rFonts w:eastAsia="Calibri" w:cs="Tahoma"/>
                <w:szCs w:val="18"/>
              </w:rPr>
            </w:pPr>
            <w:r w:rsidRPr="003410C7">
              <w:rPr>
                <w:rFonts w:cs="Tahoma"/>
                <w:szCs w:val="18"/>
              </w:rPr>
              <w:t>x</w:t>
            </w:r>
          </w:p>
        </w:tc>
      </w:tr>
      <w:tr w:rsidR="00290BBF" w:rsidRPr="003410C7" w:rsidTr="00731D02">
        <w:trPr>
          <w:trHeight w:val="255"/>
        </w:trPr>
        <w:tc>
          <w:tcPr>
            <w:tcW w:w="3158"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rsidR="00B73A46" w:rsidRPr="003410C7" w:rsidRDefault="00B73A46" w:rsidP="00713A6C">
            <w:pPr>
              <w:ind w:firstLine="540"/>
              <w:rPr>
                <w:rFonts w:eastAsia="Calibri" w:cs="Tahoma"/>
                <w:szCs w:val="18"/>
              </w:rPr>
            </w:pPr>
            <w:r w:rsidRPr="003410C7">
              <w:rPr>
                <w:rFonts w:cs="Tahoma"/>
                <w:szCs w:val="18"/>
              </w:rPr>
              <w:t>Home Basic</w:t>
            </w:r>
          </w:p>
        </w:tc>
        <w:tc>
          <w:tcPr>
            <w:tcW w:w="124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3410C7" w:rsidRDefault="00B73A46" w:rsidP="00713A6C">
            <w:pPr>
              <w:jc w:val="center"/>
              <w:rPr>
                <w:rFonts w:eastAsia="Calibri" w:cs="Tahoma"/>
                <w:szCs w:val="18"/>
              </w:rPr>
            </w:pPr>
            <w:r w:rsidRPr="003410C7">
              <w:rPr>
                <w:rFonts w:cs="Tahoma"/>
                <w:szCs w:val="18"/>
              </w:rPr>
              <w:t> </w:t>
            </w:r>
          </w:p>
        </w:tc>
        <w:tc>
          <w:tcPr>
            <w:tcW w:w="134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3410C7" w:rsidRDefault="00B73A46" w:rsidP="00713A6C">
            <w:pPr>
              <w:jc w:val="center"/>
              <w:rPr>
                <w:rFonts w:eastAsia="Calibri" w:cs="Tahoma"/>
                <w:szCs w:val="18"/>
              </w:rPr>
            </w:pPr>
            <w:r w:rsidRPr="003410C7">
              <w:rPr>
                <w:rFonts w:cs="Tahoma"/>
                <w:szCs w:val="18"/>
              </w:rPr>
              <w:t> </w:t>
            </w:r>
          </w:p>
        </w:tc>
        <w:tc>
          <w:tcPr>
            <w:tcW w:w="106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3410C7" w:rsidRDefault="00B73A46" w:rsidP="00713A6C">
            <w:pPr>
              <w:jc w:val="center"/>
              <w:rPr>
                <w:rFonts w:eastAsia="Calibri" w:cs="Tahoma"/>
                <w:szCs w:val="18"/>
              </w:rPr>
            </w:pPr>
            <w:r w:rsidRPr="003410C7">
              <w:rPr>
                <w:rFonts w:cs="Tahoma"/>
                <w:szCs w:val="18"/>
              </w:rPr>
              <w:t> </w:t>
            </w:r>
          </w:p>
        </w:tc>
        <w:tc>
          <w:tcPr>
            <w:tcW w:w="1172"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3410C7" w:rsidRDefault="00B73A46" w:rsidP="00713A6C">
            <w:pPr>
              <w:jc w:val="center"/>
              <w:rPr>
                <w:rFonts w:eastAsia="Calibri" w:cs="Tahoma"/>
                <w:szCs w:val="18"/>
              </w:rPr>
            </w:pPr>
            <w:r w:rsidRPr="003410C7">
              <w:rPr>
                <w:rFonts w:cs="Tahoma"/>
                <w:szCs w:val="18"/>
              </w:rPr>
              <w:t> </w:t>
            </w:r>
          </w:p>
        </w:tc>
        <w:tc>
          <w:tcPr>
            <w:tcW w:w="1085"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3410C7" w:rsidRDefault="00B73A46" w:rsidP="00713A6C">
            <w:pPr>
              <w:jc w:val="center"/>
              <w:rPr>
                <w:rFonts w:eastAsia="Calibri" w:cs="Tahoma"/>
                <w:szCs w:val="18"/>
              </w:rPr>
            </w:pPr>
            <w:r w:rsidRPr="003410C7">
              <w:rPr>
                <w:rFonts w:cs="Tahoma"/>
                <w:szCs w:val="18"/>
              </w:rPr>
              <w:t>x</w:t>
            </w:r>
          </w:p>
        </w:tc>
      </w:tr>
      <w:tr w:rsidR="00290BBF" w:rsidRPr="003410C7" w:rsidTr="00731D02">
        <w:trPr>
          <w:trHeight w:val="255"/>
        </w:trPr>
        <w:tc>
          <w:tcPr>
            <w:tcW w:w="3158"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rsidR="00B73A46" w:rsidRPr="003410C7" w:rsidRDefault="00B73A46" w:rsidP="00EF7CDD">
            <w:pPr>
              <w:ind w:left="522"/>
              <w:rPr>
                <w:rFonts w:eastAsia="Calibri" w:cs="Tahoma"/>
                <w:szCs w:val="18"/>
              </w:rPr>
            </w:pPr>
            <w:r w:rsidRPr="003410C7">
              <w:rPr>
                <w:rFonts w:cs="Tahoma"/>
                <w:szCs w:val="18"/>
              </w:rPr>
              <w:t>Starter Edition</w:t>
            </w:r>
          </w:p>
        </w:tc>
        <w:tc>
          <w:tcPr>
            <w:tcW w:w="124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B73A46" w:rsidRPr="003410C7" w:rsidRDefault="00B73A46" w:rsidP="00713A6C">
            <w:pPr>
              <w:jc w:val="center"/>
              <w:rPr>
                <w:rFonts w:eastAsia="Calibri" w:cs="Tahoma"/>
                <w:szCs w:val="18"/>
              </w:rPr>
            </w:pPr>
          </w:p>
        </w:tc>
        <w:tc>
          <w:tcPr>
            <w:tcW w:w="134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B73A46" w:rsidRPr="003410C7" w:rsidRDefault="00B73A46" w:rsidP="00713A6C">
            <w:pPr>
              <w:jc w:val="center"/>
              <w:rPr>
                <w:rFonts w:eastAsia="Calibri" w:cs="Tahoma"/>
                <w:szCs w:val="18"/>
              </w:rPr>
            </w:pPr>
          </w:p>
        </w:tc>
        <w:tc>
          <w:tcPr>
            <w:tcW w:w="106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B73A46" w:rsidRPr="003410C7" w:rsidRDefault="00B73A46" w:rsidP="00713A6C">
            <w:pPr>
              <w:jc w:val="center"/>
              <w:rPr>
                <w:rFonts w:eastAsia="Calibri" w:cs="Tahoma"/>
                <w:szCs w:val="18"/>
              </w:rPr>
            </w:pPr>
          </w:p>
        </w:tc>
        <w:tc>
          <w:tcPr>
            <w:tcW w:w="1172"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B73A46" w:rsidRPr="003410C7" w:rsidRDefault="00B73A46" w:rsidP="00713A6C">
            <w:pPr>
              <w:jc w:val="center"/>
              <w:rPr>
                <w:rFonts w:eastAsia="Calibri" w:cs="Tahoma"/>
                <w:szCs w:val="18"/>
              </w:rPr>
            </w:pPr>
          </w:p>
        </w:tc>
        <w:tc>
          <w:tcPr>
            <w:tcW w:w="1085"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3410C7" w:rsidRDefault="00B73A46" w:rsidP="00713A6C">
            <w:pPr>
              <w:jc w:val="center"/>
              <w:rPr>
                <w:rFonts w:eastAsia="Calibri" w:cs="Tahoma"/>
                <w:szCs w:val="18"/>
              </w:rPr>
            </w:pPr>
            <w:r w:rsidRPr="003410C7">
              <w:rPr>
                <w:rFonts w:cs="Tahoma"/>
                <w:szCs w:val="18"/>
              </w:rPr>
              <w:t>x</w:t>
            </w:r>
          </w:p>
        </w:tc>
      </w:tr>
      <w:tr w:rsidR="00290BBF" w:rsidRPr="00DC1102" w:rsidTr="00731D02">
        <w:trPr>
          <w:trHeight w:val="255"/>
        </w:trPr>
        <w:tc>
          <w:tcPr>
            <w:tcW w:w="3158"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rsidR="00B73A46" w:rsidRPr="00451078" w:rsidRDefault="00B73A46" w:rsidP="00713A6C">
            <w:pPr>
              <w:rPr>
                <w:rFonts w:eastAsia="Calibri" w:cs="Tahoma"/>
                <w:b/>
                <w:bCs/>
                <w:szCs w:val="18"/>
                <w:lang w:val="pt-BR"/>
              </w:rPr>
            </w:pPr>
            <w:r w:rsidRPr="00451078">
              <w:rPr>
                <w:rFonts w:cs="Tahoma"/>
                <w:b/>
                <w:bCs/>
                <w:szCs w:val="18"/>
                <w:lang w:val="pt-BR"/>
              </w:rPr>
              <w:t>Windows Vista (32-bit o 64-bit)</w:t>
            </w:r>
          </w:p>
        </w:tc>
        <w:tc>
          <w:tcPr>
            <w:tcW w:w="124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451078" w:rsidRDefault="00B73A46" w:rsidP="00713A6C">
            <w:pPr>
              <w:jc w:val="center"/>
              <w:rPr>
                <w:rFonts w:eastAsia="Calibri" w:cs="Tahoma"/>
                <w:szCs w:val="18"/>
                <w:lang w:val="pt-BR"/>
              </w:rPr>
            </w:pPr>
            <w:r w:rsidRPr="00451078">
              <w:rPr>
                <w:rFonts w:cs="Tahoma"/>
                <w:szCs w:val="18"/>
                <w:lang w:val="pt-BR"/>
              </w:rPr>
              <w:t> </w:t>
            </w:r>
          </w:p>
        </w:tc>
        <w:tc>
          <w:tcPr>
            <w:tcW w:w="134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451078" w:rsidRDefault="00B73A46" w:rsidP="00713A6C">
            <w:pPr>
              <w:jc w:val="center"/>
              <w:rPr>
                <w:rFonts w:eastAsia="Calibri" w:cs="Tahoma"/>
                <w:szCs w:val="18"/>
                <w:lang w:val="pt-BR"/>
              </w:rPr>
            </w:pPr>
            <w:r w:rsidRPr="00451078">
              <w:rPr>
                <w:rFonts w:cs="Tahoma"/>
                <w:szCs w:val="18"/>
                <w:lang w:val="pt-BR"/>
              </w:rPr>
              <w:t> </w:t>
            </w:r>
          </w:p>
        </w:tc>
        <w:tc>
          <w:tcPr>
            <w:tcW w:w="106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451078" w:rsidRDefault="00B73A46" w:rsidP="00713A6C">
            <w:pPr>
              <w:jc w:val="center"/>
              <w:rPr>
                <w:rFonts w:eastAsia="Calibri" w:cs="Tahoma"/>
                <w:szCs w:val="18"/>
                <w:lang w:val="pt-BR"/>
              </w:rPr>
            </w:pPr>
            <w:r w:rsidRPr="00451078">
              <w:rPr>
                <w:rFonts w:cs="Tahoma"/>
                <w:szCs w:val="18"/>
                <w:lang w:val="pt-BR"/>
              </w:rPr>
              <w:t> </w:t>
            </w:r>
          </w:p>
        </w:tc>
        <w:tc>
          <w:tcPr>
            <w:tcW w:w="1172"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451078" w:rsidRDefault="00B73A46" w:rsidP="00713A6C">
            <w:pPr>
              <w:jc w:val="center"/>
              <w:rPr>
                <w:rFonts w:eastAsia="Calibri" w:cs="Tahoma"/>
                <w:szCs w:val="18"/>
                <w:lang w:val="pt-BR"/>
              </w:rPr>
            </w:pPr>
            <w:r w:rsidRPr="00451078">
              <w:rPr>
                <w:rFonts w:cs="Tahoma"/>
                <w:szCs w:val="18"/>
                <w:lang w:val="pt-BR"/>
              </w:rPr>
              <w:t> </w:t>
            </w:r>
          </w:p>
        </w:tc>
        <w:tc>
          <w:tcPr>
            <w:tcW w:w="1085"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451078" w:rsidRDefault="00B73A46" w:rsidP="00713A6C">
            <w:pPr>
              <w:jc w:val="center"/>
              <w:rPr>
                <w:rFonts w:eastAsia="Calibri" w:cs="Tahoma"/>
                <w:szCs w:val="18"/>
                <w:lang w:val="pt-BR"/>
              </w:rPr>
            </w:pPr>
            <w:r w:rsidRPr="00451078">
              <w:rPr>
                <w:rFonts w:cs="Tahoma"/>
                <w:szCs w:val="18"/>
                <w:lang w:val="pt-BR"/>
              </w:rPr>
              <w:t> </w:t>
            </w:r>
          </w:p>
        </w:tc>
      </w:tr>
      <w:tr w:rsidR="00290BBF" w:rsidRPr="003410C7" w:rsidTr="00731D02">
        <w:trPr>
          <w:trHeight w:val="255"/>
        </w:trPr>
        <w:tc>
          <w:tcPr>
            <w:tcW w:w="3158"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rsidR="00B73A46" w:rsidRPr="003410C7" w:rsidRDefault="00B73A46" w:rsidP="00713A6C">
            <w:pPr>
              <w:ind w:firstLine="540"/>
              <w:rPr>
                <w:rFonts w:eastAsia="Calibri" w:cs="Tahoma"/>
                <w:szCs w:val="18"/>
              </w:rPr>
            </w:pPr>
            <w:r w:rsidRPr="003410C7">
              <w:rPr>
                <w:rFonts w:cs="Tahoma"/>
                <w:szCs w:val="18"/>
              </w:rPr>
              <w:t>Enterprise (N, K, KN)</w:t>
            </w:r>
          </w:p>
        </w:tc>
        <w:tc>
          <w:tcPr>
            <w:tcW w:w="124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3410C7" w:rsidRDefault="00B73A46" w:rsidP="00713A6C">
            <w:pPr>
              <w:jc w:val="center"/>
              <w:rPr>
                <w:rFonts w:eastAsia="Calibri" w:cs="Tahoma"/>
                <w:szCs w:val="18"/>
              </w:rPr>
            </w:pPr>
            <w:r w:rsidRPr="003410C7">
              <w:rPr>
                <w:rFonts w:cs="Tahoma"/>
                <w:szCs w:val="18"/>
              </w:rPr>
              <w:t>x</w:t>
            </w:r>
          </w:p>
        </w:tc>
        <w:tc>
          <w:tcPr>
            <w:tcW w:w="134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B73A46" w:rsidRPr="003410C7" w:rsidRDefault="00B73A46" w:rsidP="00713A6C">
            <w:pPr>
              <w:jc w:val="center"/>
              <w:rPr>
                <w:rFonts w:eastAsia="Calibri" w:cs="Tahoma"/>
                <w:szCs w:val="18"/>
              </w:rPr>
            </w:pPr>
          </w:p>
        </w:tc>
        <w:tc>
          <w:tcPr>
            <w:tcW w:w="106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3410C7" w:rsidRDefault="00B73A46" w:rsidP="00713A6C">
            <w:pPr>
              <w:jc w:val="center"/>
              <w:rPr>
                <w:rFonts w:eastAsia="Calibri" w:cs="Tahoma"/>
                <w:szCs w:val="18"/>
              </w:rPr>
            </w:pPr>
            <w:r w:rsidRPr="003410C7">
              <w:rPr>
                <w:rFonts w:cs="Tahoma"/>
                <w:szCs w:val="18"/>
              </w:rPr>
              <w:t>x</w:t>
            </w:r>
          </w:p>
        </w:tc>
        <w:tc>
          <w:tcPr>
            <w:tcW w:w="1172"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3410C7" w:rsidRDefault="00B73A46" w:rsidP="00713A6C">
            <w:pPr>
              <w:jc w:val="center"/>
              <w:rPr>
                <w:rFonts w:eastAsia="Calibri" w:cs="Tahoma"/>
                <w:szCs w:val="18"/>
              </w:rPr>
            </w:pPr>
            <w:r w:rsidRPr="003410C7">
              <w:rPr>
                <w:rFonts w:cs="Tahoma"/>
                <w:szCs w:val="18"/>
              </w:rPr>
              <w:t>x</w:t>
            </w:r>
          </w:p>
        </w:tc>
        <w:tc>
          <w:tcPr>
            <w:tcW w:w="1085"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3410C7" w:rsidRDefault="00B73A46" w:rsidP="00713A6C">
            <w:pPr>
              <w:jc w:val="center"/>
              <w:rPr>
                <w:rFonts w:eastAsia="Calibri" w:cs="Tahoma"/>
                <w:szCs w:val="18"/>
              </w:rPr>
            </w:pPr>
            <w:r w:rsidRPr="003410C7">
              <w:rPr>
                <w:rFonts w:cs="Tahoma"/>
                <w:szCs w:val="18"/>
              </w:rPr>
              <w:t>x</w:t>
            </w:r>
          </w:p>
        </w:tc>
      </w:tr>
      <w:tr w:rsidR="00290BBF" w:rsidRPr="003410C7" w:rsidTr="00731D02">
        <w:trPr>
          <w:trHeight w:val="255"/>
        </w:trPr>
        <w:tc>
          <w:tcPr>
            <w:tcW w:w="3158"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rsidR="00B73A46" w:rsidRPr="003410C7" w:rsidRDefault="00B73A46" w:rsidP="00713A6C">
            <w:pPr>
              <w:ind w:firstLine="540"/>
              <w:rPr>
                <w:rFonts w:eastAsia="Calibri" w:cs="Tahoma"/>
                <w:szCs w:val="18"/>
              </w:rPr>
            </w:pPr>
            <w:r w:rsidRPr="003410C7">
              <w:rPr>
                <w:rFonts w:cs="Tahoma"/>
                <w:szCs w:val="18"/>
              </w:rPr>
              <w:t>Business (N, K, KN, Blade)</w:t>
            </w:r>
          </w:p>
        </w:tc>
        <w:tc>
          <w:tcPr>
            <w:tcW w:w="124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3410C7" w:rsidRDefault="00B73A46" w:rsidP="00713A6C">
            <w:pPr>
              <w:jc w:val="center"/>
              <w:rPr>
                <w:rFonts w:eastAsia="Calibri" w:cs="Tahoma"/>
                <w:szCs w:val="18"/>
              </w:rPr>
            </w:pPr>
            <w:r w:rsidRPr="003410C7">
              <w:rPr>
                <w:rFonts w:cs="Tahoma"/>
                <w:szCs w:val="18"/>
              </w:rPr>
              <w:t>x</w:t>
            </w:r>
          </w:p>
        </w:tc>
        <w:tc>
          <w:tcPr>
            <w:tcW w:w="134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B73A46" w:rsidRPr="003410C7" w:rsidRDefault="00B73A46" w:rsidP="00713A6C">
            <w:pPr>
              <w:jc w:val="center"/>
              <w:rPr>
                <w:rFonts w:eastAsia="Calibri" w:cs="Tahoma"/>
                <w:szCs w:val="18"/>
              </w:rPr>
            </w:pPr>
          </w:p>
        </w:tc>
        <w:tc>
          <w:tcPr>
            <w:tcW w:w="106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3410C7" w:rsidRDefault="00B73A46" w:rsidP="00713A6C">
            <w:pPr>
              <w:jc w:val="center"/>
              <w:rPr>
                <w:rFonts w:eastAsia="Calibri" w:cs="Tahoma"/>
                <w:szCs w:val="18"/>
              </w:rPr>
            </w:pPr>
            <w:r w:rsidRPr="003410C7">
              <w:rPr>
                <w:rFonts w:cs="Tahoma"/>
                <w:szCs w:val="18"/>
              </w:rPr>
              <w:t>x</w:t>
            </w:r>
          </w:p>
        </w:tc>
        <w:tc>
          <w:tcPr>
            <w:tcW w:w="1172"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3410C7" w:rsidRDefault="00B73A46" w:rsidP="00713A6C">
            <w:pPr>
              <w:jc w:val="center"/>
              <w:rPr>
                <w:rFonts w:eastAsia="Calibri" w:cs="Tahoma"/>
                <w:szCs w:val="18"/>
              </w:rPr>
            </w:pPr>
            <w:r w:rsidRPr="003410C7">
              <w:rPr>
                <w:rFonts w:cs="Tahoma"/>
                <w:szCs w:val="18"/>
              </w:rPr>
              <w:t>x</w:t>
            </w:r>
          </w:p>
        </w:tc>
        <w:tc>
          <w:tcPr>
            <w:tcW w:w="1085"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3410C7" w:rsidRDefault="00B73A46" w:rsidP="00713A6C">
            <w:pPr>
              <w:jc w:val="center"/>
              <w:rPr>
                <w:rFonts w:eastAsia="Calibri" w:cs="Tahoma"/>
                <w:szCs w:val="18"/>
              </w:rPr>
            </w:pPr>
            <w:r w:rsidRPr="003410C7">
              <w:rPr>
                <w:rFonts w:cs="Tahoma"/>
                <w:szCs w:val="18"/>
              </w:rPr>
              <w:t>x</w:t>
            </w:r>
          </w:p>
        </w:tc>
      </w:tr>
      <w:tr w:rsidR="00290BBF" w:rsidRPr="003410C7" w:rsidTr="00731D02">
        <w:trPr>
          <w:trHeight w:val="255"/>
        </w:trPr>
        <w:tc>
          <w:tcPr>
            <w:tcW w:w="3158"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rsidR="00B73A46" w:rsidRPr="003410C7" w:rsidRDefault="00B73A46" w:rsidP="00713A6C">
            <w:pPr>
              <w:ind w:firstLine="540"/>
              <w:rPr>
                <w:rFonts w:eastAsia="Calibri" w:cs="Tahoma"/>
                <w:szCs w:val="18"/>
              </w:rPr>
            </w:pPr>
            <w:r w:rsidRPr="003410C7">
              <w:rPr>
                <w:rFonts w:cs="Tahoma"/>
                <w:szCs w:val="18"/>
              </w:rPr>
              <w:t>Ultimate</w:t>
            </w:r>
          </w:p>
        </w:tc>
        <w:tc>
          <w:tcPr>
            <w:tcW w:w="124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3410C7" w:rsidRDefault="00B73A46" w:rsidP="00713A6C">
            <w:pPr>
              <w:jc w:val="center"/>
              <w:rPr>
                <w:rFonts w:eastAsia="Calibri" w:cs="Tahoma"/>
                <w:szCs w:val="18"/>
              </w:rPr>
            </w:pPr>
            <w:r w:rsidRPr="003410C7">
              <w:rPr>
                <w:rFonts w:cs="Tahoma"/>
                <w:szCs w:val="18"/>
              </w:rPr>
              <w:t>x</w:t>
            </w:r>
          </w:p>
        </w:tc>
        <w:tc>
          <w:tcPr>
            <w:tcW w:w="134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B73A46" w:rsidRPr="003410C7" w:rsidRDefault="00B73A46" w:rsidP="00713A6C">
            <w:pPr>
              <w:jc w:val="center"/>
              <w:rPr>
                <w:rFonts w:eastAsia="Calibri" w:cs="Tahoma"/>
                <w:szCs w:val="18"/>
              </w:rPr>
            </w:pPr>
          </w:p>
        </w:tc>
        <w:tc>
          <w:tcPr>
            <w:tcW w:w="106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3410C7" w:rsidRDefault="00B73A46" w:rsidP="00713A6C">
            <w:pPr>
              <w:jc w:val="center"/>
              <w:rPr>
                <w:rFonts w:eastAsia="Calibri" w:cs="Tahoma"/>
                <w:szCs w:val="18"/>
              </w:rPr>
            </w:pPr>
            <w:r w:rsidRPr="003410C7">
              <w:rPr>
                <w:rFonts w:cs="Tahoma"/>
                <w:szCs w:val="18"/>
              </w:rPr>
              <w:t>x</w:t>
            </w:r>
          </w:p>
        </w:tc>
        <w:tc>
          <w:tcPr>
            <w:tcW w:w="1172"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3410C7" w:rsidRDefault="00B73A46" w:rsidP="00713A6C">
            <w:pPr>
              <w:jc w:val="center"/>
              <w:rPr>
                <w:rFonts w:eastAsia="Calibri" w:cs="Tahoma"/>
                <w:szCs w:val="18"/>
              </w:rPr>
            </w:pPr>
            <w:r w:rsidRPr="003410C7">
              <w:rPr>
                <w:rFonts w:cs="Tahoma"/>
                <w:szCs w:val="18"/>
              </w:rPr>
              <w:t>x</w:t>
            </w:r>
          </w:p>
        </w:tc>
        <w:tc>
          <w:tcPr>
            <w:tcW w:w="1085"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3410C7" w:rsidRDefault="00B73A46" w:rsidP="00713A6C">
            <w:pPr>
              <w:jc w:val="center"/>
              <w:rPr>
                <w:rFonts w:eastAsia="Calibri" w:cs="Tahoma"/>
                <w:szCs w:val="18"/>
              </w:rPr>
            </w:pPr>
            <w:r w:rsidRPr="003410C7">
              <w:rPr>
                <w:rFonts w:cs="Tahoma"/>
                <w:szCs w:val="18"/>
              </w:rPr>
              <w:t>x</w:t>
            </w:r>
          </w:p>
        </w:tc>
      </w:tr>
      <w:tr w:rsidR="00290BBF" w:rsidRPr="003410C7" w:rsidTr="00731D02">
        <w:trPr>
          <w:trHeight w:val="255"/>
        </w:trPr>
        <w:tc>
          <w:tcPr>
            <w:tcW w:w="3158"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rsidR="00B73A46" w:rsidRPr="003410C7" w:rsidRDefault="00B73A46" w:rsidP="00713A6C">
            <w:pPr>
              <w:ind w:firstLine="540"/>
              <w:rPr>
                <w:rFonts w:eastAsia="Calibri" w:cs="Tahoma"/>
                <w:szCs w:val="18"/>
              </w:rPr>
            </w:pPr>
            <w:r w:rsidRPr="003410C7">
              <w:rPr>
                <w:rFonts w:cs="Tahoma"/>
                <w:szCs w:val="18"/>
              </w:rPr>
              <w:t>Home Premium</w:t>
            </w:r>
          </w:p>
        </w:tc>
        <w:tc>
          <w:tcPr>
            <w:tcW w:w="124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B73A46" w:rsidRPr="003410C7" w:rsidRDefault="00B73A46" w:rsidP="00713A6C">
            <w:pPr>
              <w:jc w:val="center"/>
              <w:rPr>
                <w:rFonts w:eastAsia="Calibri" w:cs="Tahoma"/>
                <w:szCs w:val="18"/>
              </w:rPr>
            </w:pPr>
          </w:p>
        </w:tc>
        <w:tc>
          <w:tcPr>
            <w:tcW w:w="134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B73A46" w:rsidRPr="003410C7" w:rsidRDefault="00B73A46" w:rsidP="00713A6C">
            <w:pPr>
              <w:jc w:val="center"/>
              <w:rPr>
                <w:rFonts w:eastAsia="Calibri" w:cs="Tahoma"/>
                <w:szCs w:val="18"/>
              </w:rPr>
            </w:pPr>
          </w:p>
        </w:tc>
        <w:tc>
          <w:tcPr>
            <w:tcW w:w="106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B73A46" w:rsidRPr="003410C7" w:rsidRDefault="00B73A46" w:rsidP="00713A6C">
            <w:pPr>
              <w:jc w:val="center"/>
              <w:rPr>
                <w:rFonts w:eastAsia="Calibri" w:cs="Tahoma"/>
                <w:szCs w:val="18"/>
              </w:rPr>
            </w:pPr>
          </w:p>
        </w:tc>
        <w:tc>
          <w:tcPr>
            <w:tcW w:w="1172"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B73A46" w:rsidRPr="003410C7" w:rsidRDefault="00B73A46" w:rsidP="00713A6C">
            <w:pPr>
              <w:jc w:val="center"/>
              <w:rPr>
                <w:rFonts w:eastAsia="Calibri" w:cs="Tahoma"/>
                <w:szCs w:val="18"/>
              </w:rPr>
            </w:pPr>
          </w:p>
        </w:tc>
        <w:tc>
          <w:tcPr>
            <w:tcW w:w="1085"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3410C7" w:rsidRDefault="00B73A46" w:rsidP="00713A6C">
            <w:pPr>
              <w:jc w:val="center"/>
              <w:rPr>
                <w:rFonts w:eastAsia="Calibri" w:cs="Tahoma"/>
                <w:szCs w:val="18"/>
              </w:rPr>
            </w:pPr>
            <w:r w:rsidRPr="003410C7">
              <w:rPr>
                <w:rFonts w:cs="Tahoma"/>
                <w:szCs w:val="18"/>
              </w:rPr>
              <w:t>x</w:t>
            </w:r>
          </w:p>
        </w:tc>
      </w:tr>
      <w:tr w:rsidR="00290BBF" w:rsidRPr="003410C7" w:rsidTr="00731D02">
        <w:trPr>
          <w:trHeight w:val="255"/>
        </w:trPr>
        <w:tc>
          <w:tcPr>
            <w:tcW w:w="3158"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rsidR="00B73A46" w:rsidRPr="003410C7" w:rsidRDefault="00B73A46" w:rsidP="00713A6C">
            <w:pPr>
              <w:ind w:firstLine="540"/>
              <w:rPr>
                <w:rFonts w:eastAsia="Calibri" w:cs="Tahoma"/>
                <w:szCs w:val="18"/>
              </w:rPr>
            </w:pPr>
            <w:r w:rsidRPr="003410C7">
              <w:rPr>
                <w:rFonts w:cs="Tahoma"/>
                <w:szCs w:val="18"/>
              </w:rPr>
              <w:t>Home Basic</w:t>
            </w:r>
          </w:p>
        </w:tc>
        <w:tc>
          <w:tcPr>
            <w:tcW w:w="124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3410C7" w:rsidRDefault="00B73A46" w:rsidP="00713A6C">
            <w:pPr>
              <w:jc w:val="center"/>
              <w:rPr>
                <w:rFonts w:eastAsia="Calibri" w:cs="Tahoma"/>
                <w:szCs w:val="18"/>
              </w:rPr>
            </w:pPr>
            <w:r w:rsidRPr="003410C7">
              <w:rPr>
                <w:rFonts w:cs="Tahoma"/>
                <w:szCs w:val="18"/>
              </w:rPr>
              <w:t> </w:t>
            </w:r>
          </w:p>
        </w:tc>
        <w:tc>
          <w:tcPr>
            <w:tcW w:w="134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3410C7" w:rsidRDefault="00B73A46" w:rsidP="00713A6C">
            <w:pPr>
              <w:jc w:val="center"/>
              <w:rPr>
                <w:rFonts w:eastAsia="Calibri" w:cs="Tahoma"/>
                <w:szCs w:val="18"/>
              </w:rPr>
            </w:pPr>
            <w:r w:rsidRPr="003410C7">
              <w:rPr>
                <w:rFonts w:cs="Tahoma"/>
                <w:szCs w:val="18"/>
              </w:rPr>
              <w:t> </w:t>
            </w:r>
          </w:p>
        </w:tc>
        <w:tc>
          <w:tcPr>
            <w:tcW w:w="106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3410C7" w:rsidRDefault="00B73A46" w:rsidP="00713A6C">
            <w:pPr>
              <w:jc w:val="center"/>
              <w:rPr>
                <w:rFonts w:eastAsia="Calibri" w:cs="Tahoma"/>
                <w:szCs w:val="18"/>
              </w:rPr>
            </w:pPr>
            <w:r w:rsidRPr="003410C7">
              <w:rPr>
                <w:rFonts w:cs="Tahoma"/>
                <w:szCs w:val="18"/>
              </w:rPr>
              <w:t> </w:t>
            </w:r>
          </w:p>
        </w:tc>
        <w:tc>
          <w:tcPr>
            <w:tcW w:w="1172"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3410C7" w:rsidRDefault="00B73A46" w:rsidP="00713A6C">
            <w:pPr>
              <w:jc w:val="center"/>
              <w:rPr>
                <w:rFonts w:eastAsia="Calibri" w:cs="Tahoma"/>
                <w:szCs w:val="18"/>
              </w:rPr>
            </w:pPr>
            <w:r w:rsidRPr="003410C7">
              <w:rPr>
                <w:rFonts w:cs="Tahoma"/>
                <w:szCs w:val="18"/>
              </w:rPr>
              <w:t> </w:t>
            </w:r>
          </w:p>
        </w:tc>
        <w:tc>
          <w:tcPr>
            <w:tcW w:w="1085"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3410C7" w:rsidRDefault="00B73A46" w:rsidP="00713A6C">
            <w:pPr>
              <w:jc w:val="center"/>
              <w:rPr>
                <w:rFonts w:eastAsia="Calibri" w:cs="Tahoma"/>
                <w:szCs w:val="18"/>
              </w:rPr>
            </w:pPr>
            <w:r w:rsidRPr="003410C7">
              <w:rPr>
                <w:rFonts w:cs="Tahoma"/>
                <w:szCs w:val="18"/>
              </w:rPr>
              <w:t>x</w:t>
            </w:r>
          </w:p>
        </w:tc>
      </w:tr>
      <w:tr w:rsidR="00290BBF" w:rsidRPr="003410C7" w:rsidTr="00731D02">
        <w:trPr>
          <w:trHeight w:val="255"/>
        </w:trPr>
        <w:tc>
          <w:tcPr>
            <w:tcW w:w="3158"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rsidR="00B73A46" w:rsidRPr="003410C7" w:rsidRDefault="00B73A46" w:rsidP="004C3222">
            <w:pPr>
              <w:ind w:left="522"/>
              <w:rPr>
                <w:rFonts w:eastAsia="Calibri" w:cs="Tahoma"/>
                <w:bCs/>
                <w:szCs w:val="18"/>
              </w:rPr>
            </w:pPr>
            <w:r w:rsidRPr="003410C7">
              <w:rPr>
                <w:rFonts w:cs="Tahoma"/>
                <w:szCs w:val="18"/>
              </w:rPr>
              <w:t>Starter Edition</w:t>
            </w:r>
          </w:p>
        </w:tc>
        <w:tc>
          <w:tcPr>
            <w:tcW w:w="124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3410C7" w:rsidRDefault="00B73A46" w:rsidP="00713A6C">
            <w:pPr>
              <w:jc w:val="center"/>
              <w:rPr>
                <w:rFonts w:eastAsia="Calibri" w:cs="Tahoma"/>
                <w:szCs w:val="18"/>
              </w:rPr>
            </w:pPr>
            <w:r w:rsidRPr="003410C7">
              <w:rPr>
                <w:rFonts w:cs="Tahoma"/>
                <w:szCs w:val="18"/>
              </w:rPr>
              <w:t> </w:t>
            </w:r>
          </w:p>
        </w:tc>
        <w:tc>
          <w:tcPr>
            <w:tcW w:w="134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3410C7" w:rsidRDefault="00B73A46" w:rsidP="00713A6C">
            <w:pPr>
              <w:jc w:val="center"/>
              <w:rPr>
                <w:rFonts w:eastAsia="Calibri" w:cs="Tahoma"/>
                <w:szCs w:val="18"/>
              </w:rPr>
            </w:pPr>
            <w:r w:rsidRPr="003410C7">
              <w:rPr>
                <w:rFonts w:cs="Tahoma"/>
                <w:szCs w:val="18"/>
              </w:rPr>
              <w:t> </w:t>
            </w:r>
          </w:p>
        </w:tc>
        <w:tc>
          <w:tcPr>
            <w:tcW w:w="106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3410C7" w:rsidRDefault="00B73A46" w:rsidP="00713A6C">
            <w:pPr>
              <w:jc w:val="center"/>
              <w:rPr>
                <w:rFonts w:eastAsia="Calibri" w:cs="Tahoma"/>
                <w:szCs w:val="18"/>
              </w:rPr>
            </w:pPr>
            <w:r w:rsidRPr="003410C7">
              <w:rPr>
                <w:rFonts w:cs="Tahoma"/>
                <w:szCs w:val="18"/>
              </w:rPr>
              <w:t> </w:t>
            </w:r>
          </w:p>
        </w:tc>
        <w:tc>
          <w:tcPr>
            <w:tcW w:w="1172"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3410C7" w:rsidRDefault="00B73A46" w:rsidP="00713A6C">
            <w:pPr>
              <w:jc w:val="center"/>
              <w:rPr>
                <w:rFonts w:eastAsia="Calibri" w:cs="Tahoma"/>
                <w:szCs w:val="18"/>
              </w:rPr>
            </w:pPr>
            <w:r w:rsidRPr="003410C7">
              <w:rPr>
                <w:rFonts w:cs="Tahoma"/>
                <w:szCs w:val="18"/>
              </w:rPr>
              <w:t> </w:t>
            </w:r>
          </w:p>
        </w:tc>
        <w:tc>
          <w:tcPr>
            <w:tcW w:w="1085"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3410C7" w:rsidRDefault="00B73A46" w:rsidP="00713A6C">
            <w:pPr>
              <w:jc w:val="center"/>
              <w:rPr>
                <w:rFonts w:eastAsia="Calibri" w:cs="Tahoma"/>
                <w:szCs w:val="18"/>
              </w:rPr>
            </w:pPr>
            <w:r w:rsidRPr="003410C7">
              <w:rPr>
                <w:rFonts w:cs="Tahoma"/>
                <w:szCs w:val="18"/>
              </w:rPr>
              <w:t>x</w:t>
            </w:r>
          </w:p>
        </w:tc>
      </w:tr>
      <w:tr w:rsidR="00290BBF" w:rsidRPr="003410C7" w:rsidTr="00731D02">
        <w:trPr>
          <w:trHeight w:val="255"/>
        </w:trPr>
        <w:tc>
          <w:tcPr>
            <w:tcW w:w="3158"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rsidR="00B73A46" w:rsidRPr="003410C7" w:rsidRDefault="00B73A46" w:rsidP="00713A6C">
            <w:pPr>
              <w:rPr>
                <w:rFonts w:eastAsia="Calibri" w:cs="Tahoma"/>
                <w:b/>
                <w:szCs w:val="18"/>
              </w:rPr>
            </w:pPr>
            <w:r w:rsidRPr="003410C7">
              <w:rPr>
                <w:rFonts w:cs="Tahoma"/>
                <w:b/>
                <w:bCs/>
                <w:szCs w:val="18"/>
              </w:rPr>
              <w:t>Windows XP (32-bit o 64-bit)</w:t>
            </w:r>
          </w:p>
        </w:tc>
        <w:tc>
          <w:tcPr>
            <w:tcW w:w="124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3410C7" w:rsidRDefault="00B73A46" w:rsidP="00713A6C">
            <w:pPr>
              <w:jc w:val="center"/>
              <w:rPr>
                <w:rFonts w:eastAsia="Calibri" w:cs="Tahoma"/>
                <w:szCs w:val="18"/>
              </w:rPr>
            </w:pPr>
            <w:r w:rsidRPr="003410C7">
              <w:rPr>
                <w:rFonts w:cs="Tahoma"/>
                <w:szCs w:val="18"/>
              </w:rPr>
              <w:t> </w:t>
            </w:r>
          </w:p>
        </w:tc>
        <w:tc>
          <w:tcPr>
            <w:tcW w:w="134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3410C7" w:rsidRDefault="00B73A46" w:rsidP="00713A6C">
            <w:pPr>
              <w:jc w:val="center"/>
              <w:rPr>
                <w:rFonts w:eastAsia="Calibri" w:cs="Tahoma"/>
                <w:szCs w:val="18"/>
              </w:rPr>
            </w:pPr>
            <w:r w:rsidRPr="003410C7">
              <w:rPr>
                <w:rFonts w:cs="Tahoma"/>
                <w:szCs w:val="18"/>
              </w:rPr>
              <w:t> </w:t>
            </w:r>
          </w:p>
        </w:tc>
        <w:tc>
          <w:tcPr>
            <w:tcW w:w="106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3410C7" w:rsidRDefault="00B73A46" w:rsidP="00713A6C">
            <w:pPr>
              <w:jc w:val="center"/>
              <w:rPr>
                <w:rFonts w:eastAsia="Calibri" w:cs="Tahoma"/>
                <w:szCs w:val="18"/>
              </w:rPr>
            </w:pPr>
            <w:r w:rsidRPr="003410C7">
              <w:rPr>
                <w:rFonts w:cs="Tahoma"/>
                <w:szCs w:val="18"/>
              </w:rPr>
              <w:t> </w:t>
            </w:r>
          </w:p>
        </w:tc>
        <w:tc>
          <w:tcPr>
            <w:tcW w:w="1172"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3410C7" w:rsidRDefault="00B73A46" w:rsidP="00713A6C">
            <w:pPr>
              <w:jc w:val="center"/>
              <w:rPr>
                <w:rFonts w:eastAsia="Calibri" w:cs="Tahoma"/>
                <w:szCs w:val="18"/>
              </w:rPr>
            </w:pPr>
            <w:r w:rsidRPr="003410C7">
              <w:rPr>
                <w:rFonts w:cs="Tahoma"/>
                <w:szCs w:val="18"/>
              </w:rPr>
              <w:t> </w:t>
            </w:r>
          </w:p>
        </w:tc>
        <w:tc>
          <w:tcPr>
            <w:tcW w:w="1085"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3410C7" w:rsidRDefault="00B73A46" w:rsidP="00713A6C">
            <w:pPr>
              <w:jc w:val="center"/>
              <w:rPr>
                <w:rFonts w:eastAsia="Calibri" w:cs="Tahoma"/>
                <w:szCs w:val="18"/>
              </w:rPr>
            </w:pPr>
            <w:r w:rsidRPr="003410C7">
              <w:rPr>
                <w:rFonts w:cs="Tahoma"/>
                <w:szCs w:val="18"/>
              </w:rPr>
              <w:t> </w:t>
            </w:r>
          </w:p>
        </w:tc>
      </w:tr>
      <w:tr w:rsidR="00290BBF" w:rsidRPr="003410C7" w:rsidTr="00731D02">
        <w:trPr>
          <w:trHeight w:val="255"/>
        </w:trPr>
        <w:tc>
          <w:tcPr>
            <w:tcW w:w="3158"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rsidR="00B73A46" w:rsidRPr="003410C7" w:rsidRDefault="00B73A46" w:rsidP="00713A6C">
            <w:pPr>
              <w:ind w:left="564"/>
              <w:rPr>
                <w:rFonts w:eastAsia="Calibri" w:cs="Tahoma"/>
                <w:szCs w:val="18"/>
                <w:lang w:val="pt-BR"/>
              </w:rPr>
            </w:pPr>
            <w:r w:rsidRPr="00A348BF">
              <w:rPr>
                <w:rFonts w:cs="Tahoma"/>
                <w:szCs w:val="18"/>
                <w:lang w:val="pt-BR"/>
              </w:rPr>
              <w:t>Professional (N, K, KN, Blade)</w:t>
            </w:r>
          </w:p>
        </w:tc>
        <w:tc>
          <w:tcPr>
            <w:tcW w:w="124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3410C7" w:rsidRDefault="00B73A46" w:rsidP="00713A6C">
            <w:pPr>
              <w:jc w:val="center"/>
              <w:rPr>
                <w:rFonts w:eastAsia="Calibri" w:cs="Tahoma"/>
                <w:szCs w:val="18"/>
              </w:rPr>
            </w:pPr>
            <w:r w:rsidRPr="003410C7">
              <w:rPr>
                <w:rFonts w:cs="Tahoma"/>
                <w:szCs w:val="18"/>
              </w:rPr>
              <w:t>x</w:t>
            </w:r>
          </w:p>
        </w:tc>
        <w:tc>
          <w:tcPr>
            <w:tcW w:w="134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B73A46" w:rsidRPr="003410C7" w:rsidRDefault="00B73A46" w:rsidP="00713A6C">
            <w:pPr>
              <w:jc w:val="center"/>
              <w:rPr>
                <w:rFonts w:eastAsia="Calibri" w:cs="Tahoma"/>
                <w:szCs w:val="18"/>
              </w:rPr>
            </w:pPr>
          </w:p>
        </w:tc>
        <w:tc>
          <w:tcPr>
            <w:tcW w:w="106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3410C7" w:rsidRDefault="00B73A46" w:rsidP="00713A6C">
            <w:pPr>
              <w:jc w:val="center"/>
              <w:rPr>
                <w:rFonts w:eastAsia="Calibri" w:cs="Tahoma"/>
                <w:szCs w:val="18"/>
              </w:rPr>
            </w:pPr>
            <w:r w:rsidRPr="003410C7">
              <w:rPr>
                <w:rFonts w:cs="Tahoma"/>
                <w:szCs w:val="18"/>
              </w:rPr>
              <w:t>x</w:t>
            </w:r>
          </w:p>
        </w:tc>
        <w:tc>
          <w:tcPr>
            <w:tcW w:w="1172"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3410C7" w:rsidRDefault="00B73A46" w:rsidP="00713A6C">
            <w:pPr>
              <w:jc w:val="center"/>
              <w:rPr>
                <w:rFonts w:eastAsia="Calibri" w:cs="Tahoma"/>
                <w:szCs w:val="18"/>
              </w:rPr>
            </w:pPr>
            <w:r w:rsidRPr="003410C7">
              <w:rPr>
                <w:rFonts w:cs="Tahoma"/>
                <w:szCs w:val="18"/>
              </w:rPr>
              <w:t>x</w:t>
            </w:r>
          </w:p>
        </w:tc>
        <w:tc>
          <w:tcPr>
            <w:tcW w:w="1085"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3410C7" w:rsidRDefault="00B73A46" w:rsidP="00713A6C">
            <w:pPr>
              <w:jc w:val="center"/>
              <w:rPr>
                <w:rFonts w:eastAsia="Calibri" w:cs="Tahoma"/>
                <w:szCs w:val="18"/>
              </w:rPr>
            </w:pPr>
            <w:r w:rsidRPr="003410C7">
              <w:rPr>
                <w:rFonts w:cs="Tahoma"/>
                <w:szCs w:val="18"/>
              </w:rPr>
              <w:t>x</w:t>
            </w:r>
          </w:p>
        </w:tc>
      </w:tr>
      <w:tr w:rsidR="00290BBF" w:rsidRPr="003410C7" w:rsidTr="00731D02">
        <w:trPr>
          <w:trHeight w:val="255"/>
        </w:trPr>
        <w:tc>
          <w:tcPr>
            <w:tcW w:w="3158"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rsidR="00B73A46" w:rsidRPr="00A348BF" w:rsidRDefault="00B73A46" w:rsidP="00713A6C">
            <w:pPr>
              <w:ind w:left="564"/>
              <w:rPr>
                <w:rFonts w:eastAsia="Calibri" w:cs="Tahoma"/>
                <w:szCs w:val="18"/>
                <w:lang w:val="da-DK"/>
              </w:rPr>
            </w:pPr>
            <w:r w:rsidRPr="00A348BF">
              <w:rPr>
                <w:rFonts w:cs="Tahoma"/>
                <w:szCs w:val="18"/>
                <w:lang w:val="da-DK"/>
              </w:rPr>
              <w:t>Tablet Edition (N, K, KN, Blade)</w:t>
            </w:r>
          </w:p>
        </w:tc>
        <w:tc>
          <w:tcPr>
            <w:tcW w:w="124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3410C7" w:rsidRDefault="00B73A46" w:rsidP="00713A6C">
            <w:pPr>
              <w:jc w:val="center"/>
              <w:rPr>
                <w:rFonts w:eastAsia="Calibri" w:cs="Tahoma"/>
                <w:szCs w:val="18"/>
              </w:rPr>
            </w:pPr>
            <w:r w:rsidRPr="003410C7">
              <w:rPr>
                <w:rFonts w:cs="Tahoma"/>
                <w:szCs w:val="18"/>
              </w:rPr>
              <w:t>x</w:t>
            </w:r>
          </w:p>
        </w:tc>
        <w:tc>
          <w:tcPr>
            <w:tcW w:w="134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B73A46" w:rsidRPr="003410C7" w:rsidRDefault="00B73A46" w:rsidP="00713A6C">
            <w:pPr>
              <w:jc w:val="center"/>
              <w:rPr>
                <w:rFonts w:eastAsia="Calibri" w:cs="Tahoma"/>
                <w:szCs w:val="18"/>
              </w:rPr>
            </w:pPr>
          </w:p>
        </w:tc>
        <w:tc>
          <w:tcPr>
            <w:tcW w:w="106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3410C7" w:rsidRDefault="00B73A46" w:rsidP="00713A6C">
            <w:pPr>
              <w:jc w:val="center"/>
              <w:rPr>
                <w:rFonts w:eastAsia="Calibri" w:cs="Tahoma"/>
                <w:szCs w:val="18"/>
              </w:rPr>
            </w:pPr>
            <w:r w:rsidRPr="003410C7">
              <w:rPr>
                <w:rFonts w:cs="Tahoma"/>
                <w:szCs w:val="18"/>
              </w:rPr>
              <w:t>x</w:t>
            </w:r>
          </w:p>
        </w:tc>
        <w:tc>
          <w:tcPr>
            <w:tcW w:w="1172"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3410C7" w:rsidRDefault="00B73A46" w:rsidP="00713A6C">
            <w:pPr>
              <w:jc w:val="center"/>
              <w:rPr>
                <w:rFonts w:eastAsia="Calibri" w:cs="Tahoma"/>
                <w:szCs w:val="18"/>
              </w:rPr>
            </w:pPr>
            <w:r w:rsidRPr="003410C7">
              <w:rPr>
                <w:rFonts w:cs="Tahoma"/>
                <w:szCs w:val="18"/>
              </w:rPr>
              <w:t>x</w:t>
            </w:r>
          </w:p>
        </w:tc>
        <w:tc>
          <w:tcPr>
            <w:tcW w:w="1085"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3410C7" w:rsidRDefault="00B73A46" w:rsidP="00713A6C">
            <w:pPr>
              <w:jc w:val="center"/>
              <w:rPr>
                <w:rFonts w:eastAsia="Calibri" w:cs="Tahoma"/>
                <w:szCs w:val="18"/>
              </w:rPr>
            </w:pPr>
            <w:r w:rsidRPr="003410C7">
              <w:rPr>
                <w:rFonts w:cs="Tahoma"/>
                <w:szCs w:val="18"/>
              </w:rPr>
              <w:t>x</w:t>
            </w:r>
          </w:p>
        </w:tc>
      </w:tr>
      <w:tr w:rsidR="00290BBF" w:rsidRPr="003410C7" w:rsidTr="00731D02">
        <w:trPr>
          <w:trHeight w:val="255"/>
        </w:trPr>
        <w:tc>
          <w:tcPr>
            <w:tcW w:w="3158"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rsidR="00B73A46" w:rsidRPr="003410C7" w:rsidRDefault="00B73A46" w:rsidP="00713A6C">
            <w:pPr>
              <w:ind w:left="564"/>
              <w:rPr>
                <w:rFonts w:eastAsia="Calibri" w:cs="Tahoma"/>
                <w:szCs w:val="18"/>
              </w:rPr>
            </w:pPr>
            <w:r w:rsidRPr="003410C7">
              <w:rPr>
                <w:rFonts w:cs="Tahoma"/>
                <w:szCs w:val="18"/>
              </w:rPr>
              <w:t>XP Pro N</w:t>
            </w:r>
          </w:p>
        </w:tc>
        <w:tc>
          <w:tcPr>
            <w:tcW w:w="124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3410C7" w:rsidRDefault="00B73A46" w:rsidP="00713A6C">
            <w:pPr>
              <w:jc w:val="center"/>
              <w:rPr>
                <w:rFonts w:eastAsia="Calibri" w:cs="Tahoma"/>
                <w:szCs w:val="18"/>
              </w:rPr>
            </w:pPr>
            <w:r w:rsidRPr="003410C7">
              <w:rPr>
                <w:rFonts w:cs="Tahoma"/>
                <w:szCs w:val="18"/>
              </w:rPr>
              <w:t>x</w:t>
            </w:r>
          </w:p>
        </w:tc>
        <w:tc>
          <w:tcPr>
            <w:tcW w:w="134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B73A46" w:rsidRPr="003410C7" w:rsidRDefault="00B73A46" w:rsidP="00713A6C">
            <w:pPr>
              <w:jc w:val="center"/>
              <w:rPr>
                <w:rFonts w:eastAsia="Calibri" w:cs="Tahoma"/>
                <w:szCs w:val="18"/>
              </w:rPr>
            </w:pPr>
          </w:p>
        </w:tc>
        <w:tc>
          <w:tcPr>
            <w:tcW w:w="106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3410C7" w:rsidRDefault="00B73A46" w:rsidP="00713A6C">
            <w:pPr>
              <w:jc w:val="center"/>
              <w:rPr>
                <w:rFonts w:eastAsia="Calibri" w:cs="Tahoma"/>
                <w:szCs w:val="18"/>
              </w:rPr>
            </w:pPr>
            <w:r w:rsidRPr="003410C7">
              <w:rPr>
                <w:rFonts w:cs="Tahoma"/>
                <w:szCs w:val="18"/>
              </w:rPr>
              <w:t>x</w:t>
            </w:r>
          </w:p>
        </w:tc>
        <w:tc>
          <w:tcPr>
            <w:tcW w:w="1172"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3410C7" w:rsidRDefault="00B73A46" w:rsidP="00713A6C">
            <w:pPr>
              <w:jc w:val="center"/>
              <w:rPr>
                <w:rFonts w:eastAsia="Calibri" w:cs="Tahoma"/>
                <w:szCs w:val="18"/>
              </w:rPr>
            </w:pPr>
            <w:r w:rsidRPr="003410C7">
              <w:rPr>
                <w:rFonts w:cs="Tahoma"/>
                <w:szCs w:val="18"/>
              </w:rPr>
              <w:t>x</w:t>
            </w:r>
          </w:p>
        </w:tc>
        <w:tc>
          <w:tcPr>
            <w:tcW w:w="1085"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3410C7" w:rsidRDefault="00B73A46" w:rsidP="00713A6C">
            <w:pPr>
              <w:jc w:val="center"/>
              <w:rPr>
                <w:rFonts w:eastAsia="Calibri" w:cs="Tahoma"/>
                <w:szCs w:val="18"/>
              </w:rPr>
            </w:pPr>
            <w:r w:rsidRPr="003410C7">
              <w:rPr>
                <w:rFonts w:cs="Tahoma"/>
                <w:szCs w:val="18"/>
              </w:rPr>
              <w:t>x</w:t>
            </w:r>
          </w:p>
        </w:tc>
      </w:tr>
      <w:tr w:rsidR="00290BBF" w:rsidRPr="003410C7" w:rsidTr="00731D02">
        <w:trPr>
          <w:trHeight w:val="255"/>
        </w:trPr>
        <w:tc>
          <w:tcPr>
            <w:tcW w:w="3158"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rsidR="00B73A46" w:rsidRPr="003410C7" w:rsidRDefault="00B73A46" w:rsidP="00713A6C">
            <w:pPr>
              <w:ind w:left="564"/>
              <w:rPr>
                <w:rFonts w:eastAsia="Calibri" w:cs="Tahoma"/>
                <w:szCs w:val="18"/>
              </w:rPr>
            </w:pPr>
            <w:r w:rsidRPr="003410C7">
              <w:rPr>
                <w:rFonts w:cs="Tahoma"/>
                <w:szCs w:val="18"/>
              </w:rPr>
              <w:t>XP Pro Blade PC</w:t>
            </w:r>
          </w:p>
        </w:tc>
        <w:tc>
          <w:tcPr>
            <w:tcW w:w="124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3410C7" w:rsidRDefault="00B73A46" w:rsidP="00713A6C">
            <w:pPr>
              <w:jc w:val="center"/>
              <w:rPr>
                <w:rFonts w:eastAsia="Calibri" w:cs="Tahoma"/>
                <w:szCs w:val="18"/>
              </w:rPr>
            </w:pPr>
            <w:r w:rsidRPr="003410C7">
              <w:rPr>
                <w:rFonts w:cs="Tahoma"/>
                <w:szCs w:val="18"/>
              </w:rPr>
              <w:t>x</w:t>
            </w:r>
          </w:p>
        </w:tc>
        <w:tc>
          <w:tcPr>
            <w:tcW w:w="134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B73A46" w:rsidRPr="003410C7" w:rsidRDefault="00B73A46" w:rsidP="00713A6C">
            <w:pPr>
              <w:jc w:val="center"/>
              <w:rPr>
                <w:rFonts w:eastAsia="Calibri" w:cs="Tahoma"/>
                <w:szCs w:val="18"/>
              </w:rPr>
            </w:pPr>
          </w:p>
        </w:tc>
        <w:tc>
          <w:tcPr>
            <w:tcW w:w="106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3410C7" w:rsidRDefault="00B73A46" w:rsidP="00713A6C">
            <w:pPr>
              <w:jc w:val="center"/>
              <w:rPr>
                <w:rFonts w:eastAsia="Calibri" w:cs="Tahoma"/>
                <w:szCs w:val="18"/>
              </w:rPr>
            </w:pPr>
            <w:r w:rsidRPr="003410C7">
              <w:rPr>
                <w:rFonts w:cs="Tahoma"/>
                <w:szCs w:val="18"/>
              </w:rPr>
              <w:t>x</w:t>
            </w:r>
          </w:p>
        </w:tc>
        <w:tc>
          <w:tcPr>
            <w:tcW w:w="1172"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3410C7" w:rsidRDefault="00B73A46" w:rsidP="00713A6C">
            <w:pPr>
              <w:jc w:val="center"/>
              <w:rPr>
                <w:rFonts w:eastAsia="Calibri" w:cs="Tahoma"/>
                <w:szCs w:val="18"/>
              </w:rPr>
            </w:pPr>
            <w:r w:rsidRPr="003410C7">
              <w:rPr>
                <w:rFonts w:cs="Tahoma"/>
                <w:szCs w:val="18"/>
              </w:rPr>
              <w:t>x</w:t>
            </w:r>
          </w:p>
        </w:tc>
        <w:tc>
          <w:tcPr>
            <w:tcW w:w="1085"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3410C7" w:rsidRDefault="00B73A46" w:rsidP="00713A6C">
            <w:pPr>
              <w:jc w:val="center"/>
              <w:rPr>
                <w:rFonts w:eastAsia="Calibri" w:cs="Tahoma"/>
                <w:szCs w:val="18"/>
              </w:rPr>
            </w:pPr>
            <w:r w:rsidRPr="003410C7">
              <w:rPr>
                <w:rFonts w:cs="Tahoma"/>
                <w:szCs w:val="18"/>
              </w:rPr>
              <w:t>x</w:t>
            </w:r>
          </w:p>
        </w:tc>
      </w:tr>
      <w:tr w:rsidR="00290BBF" w:rsidRPr="003410C7" w:rsidTr="00731D02">
        <w:trPr>
          <w:trHeight w:val="255"/>
        </w:trPr>
        <w:tc>
          <w:tcPr>
            <w:tcW w:w="3158"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rsidR="00B73A46" w:rsidRPr="003410C7" w:rsidRDefault="00B73A46" w:rsidP="00713A6C">
            <w:pPr>
              <w:ind w:left="564"/>
              <w:rPr>
                <w:rFonts w:eastAsia="Calibri" w:cs="Tahoma"/>
                <w:szCs w:val="18"/>
              </w:rPr>
            </w:pPr>
            <w:r w:rsidRPr="003410C7">
              <w:rPr>
                <w:rFonts w:cs="Tahoma"/>
                <w:szCs w:val="18"/>
              </w:rPr>
              <w:t>Home e Starter Edition</w:t>
            </w:r>
          </w:p>
        </w:tc>
        <w:tc>
          <w:tcPr>
            <w:tcW w:w="124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3410C7" w:rsidRDefault="00B73A46" w:rsidP="00713A6C">
            <w:pPr>
              <w:jc w:val="center"/>
              <w:rPr>
                <w:rFonts w:eastAsia="Calibri" w:cs="Tahoma"/>
                <w:szCs w:val="18"/>
              </w:rPr>
            </w:pPr>
            <w:r w:rsidRPr="003410C7">
              <w:rPr>
                <w:rFonts w:cs="Tahoma"/>
                <w:szCs w:val="18"/>
              </w:rPr>
              <w:t> </w:t>
            </w:r>
          </w:p>
        </w:tc>
        <w:tc>
          <w:tcPr>
            <w:tcW w:w="134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3410C7" w:rsidRDefault="00B73A46" w:rsidP="00713A6C">
            <w:pPr>
              <w:rPr>
                <w:rFonts w:eastAsia="Times New Roman" w:cs="Tahoma"/>
                <w:szCs w:val="18"/>
              </w:rPr>
            </w:pPr>
          </w:p>
        </w:tc>
        <w:tc>
          <w:tcPr>
            <w:tcW w:w="106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3410C7" w:rsidRDefault="00B73A46" w:rsidP="00713A6C">
            <w:pPr>
              <w:jc w:val="center"/>
              <w:rPr>
                <w:rFonts w:eastAsia="Calibri" w:cs="Tahoma"/>
                <w:szCs w:val="18"/>
              </w:rPr>
            </w:pPr>
            <w:r w:rsidRPr="003410C7">
              <w:rPr>
                <w:rFonts w:cs="Tahoma"/>
                <w:szCs w:val="18"/>
              </w:rPr>
              <w:t> </w:t>
            </w:r>
          </w:p>
        </w:tc>
        <w:tc>
          <w:tcPr>
            <w:tcW w:w="1172"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3410C7" w:rsidRDefault="00B73A46" w:rsidP="00713A6C">
            <w:pPr>
              <w:jc w:val="center"/>
              <w:rPr>
                <w:rFonts w:eastAsia="Calibri" w:cs="Tahoma"/>
                <w:szCs w:val="18"/>
              </w:rPr>
            </w:pPr>
            <w:r w:rsidRPr="003410C7">
              <w:rPr>
                <w:rFonts w:cs="Tahoma"/>
                <w:szCs w:val="18"/>
              </w:rPr>
              <w:t> </w:t>
            </w:r>
          </w:p>
        </w:tc>
        <w:tc>
          <w:tcPr>
            <w:tcW w:w="1085"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3410C7" w:rsidRDefault="00B73A46" w:rsidP="00713A6C">
            <w:pPr>
              <w:jc w:val="center"/>
              <w:rPr>
                <w:rFonts w:eastAsia="Calibri" w:cs="Tahoma"/>
                <w:szCs w:val="18"/>
              </w:rPr>
            </w:pPr>
            <w:r w:rsidRPr="003410C7">
              <w:rPr>
                <w:rFonts w:cs="Tahoma"/>
                <w:szCs w:val="18"/>
              </w:rPr>
              <w:t>x</w:t>
            </w:r>
          </w:p>
        </w:tc>
      </w:tr>
      <w:tr w:rsidR="00290BBF" w:rsidRPr="003410C7" w:rsidTr="00731D02">
        <w:trPr>
          <w:trHeight w:val="255"/>
        </w:trPr>
        <w:tc>
          <w:tcPr>
            <w:tcW w:w="3158" w:type="dxa"/>
            <w:tcBorders>
              <w:top w:val="nil"/>
              <w:left w:val="single" w:sz="8" w:space="0" w:color="auto"/>
              <w:bottom w:val="single" w:sz="8" w:space="0" w:color="auto"/>
              <w:right w:val="single" w:sz="8" w:space="0" w:color="auto"/>
            </w:tcBorders>
            <w:noWrap/>
            <w:tcMar>
              <w:top w:w="0" w:type="dxa"/>
              <w:left w:w="108" w:type="dxa"/>
              <w:bottom w:w="0" w:type="dxa"/>
              <w:right w:w="108" w:type="dxa"/>
            </w:tcMar>
            <w:hideMark/>
          </w:tcPr>
          <w:p w:rsidR="00B73A46" w:rsidRPr="003410C7" w:rsidRDefault="00B73A46" w:rsidP="00713A6C">
            <w:pPr>
              <w:rPr>
                <w:rFonts w:eastAsia="Calibri" w:cs="Tahoma"/>
                <w:b/>
                <w:szCs w:val="18"/>
              </w:rPr>
            </w:pPr>
            <w:r w:rsidRPr="003410C7">
              <w:rPr>
                <w:rFonts w:cs="Tahoma"/>
                <w:b/>
                <w:bCs/>
                <w:szCs w:val="18"/>
              </w:rPr>
              <w:t>Windows 2000 Professional</w:t>
            </w:r>
          </w:p>
        </w:tc>
        <w:tc>
          <w:tcPr>
            <w:tcW w:w="124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3410C7" w:rsidRDefault="00B73A46" w:rsidP="00713A6C">
            <w:pPr>
              <w:jc w:val="center"/>
              <w:rPr>
                <w:rFonts w:eastAsia="Calibri" w:cs="Tahoma"/>
                <w:szCs w:val="18"/>
              </w:rPr>
            </w:pPr>
            <w:r w:rsidRPr="003410C7">
              <w:rPr>
                <w:rFonts w:cs="Tahoma"/>
                <w:szCs w:val="18"/>
              </w:rPr>
              <w:t>x</w:t>
            </w:r>
          </w:p>
        </w:tc>
        <w:tc>
          <w:tcPr>
            <w:tcW w:w="134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3410C7" w:rsidRDefault="00B73A46" w:rsidP="00713A6C">
            <w:pPr>
              <w:rPr>
                <w:rFonts w:eastAsia="Times New Roman" w:cs="Tahoma"/>
                <w:szCs w:val="18"/>
              </w:rPr>
            </w:pPr>
          </w:p>
        </w:tc>
        <w:tc>
          <w:tcPr>
            <w:tcW w:w="106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3410C7" w:rsidRDefault="00B73A46" w:rsidP="00713A6C">
            <w:pPr>
              <w:jc w:val="center"/>
              <w:rPr>
                <w:rFonts w:eastAsia="Calibri" w:cs="Tahoma"/>
                <w:szCs w:val="18"/>
              </w:rPr>
            </w:pPr>
            <w:r w:rsidRPr="003410C7">
              <w:rPr>
                <w:rFonts w:cs="Tahoma"/>
                <w:szCs w:val="18"/>
              </w:rPr>
              <w:t>x</w:t>
            </w:r>
          </w:p>
        </w:tc>
        <w:tc>
          <w:tcPr>
            <w:tcW w:w="1172"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3410C7" w:rsidRDefault="00B73A46" w:rsidP="00713A6C">
            <w:pPr>
              <w:jc w:val="center"/>
              <w:rPr>
                <w:rFonts w:eastAsia="Calibri" w:cs="Tahoma"/>
                <w:szCs w:val="18"/>
              </w:rPr>
            </w:pPr>
            <w:r w:rsidRPr="003410C7">
              <w:rPr>
                <w:rFonts w:cs="Tahoma"/>
                <w:szCs w:val="18"/>
              </w:rPr>
              <w:t>x</w:t>
            </w:r>
          </w:p>
        </w:tc>
        <w:tc>
          <w:tcPr>
            <w:tcW w:w="1085"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3410C7" w:rsidRDefault="00B73A46" w:rsidP="00713A6C">
            <w:pPr>
              <w:jc w:val="center"/>
              <w:rPr>
                <w:rFonts w:eastAsia="Calibri" w:cs="Tahoma"/>
                <w:szCs w:val="18"/>
              </w:rPr>
            </w:pPr>
            <w:r w:rsidRPr="003410C7">
              <w:rPr>
                <w:rFonts w:cs="Tahoma"/>
                <w:szCs w:val="18"/>
              </w:rPr>
              <w:t>x</w:t>
            </w:r>
          </w:p>
        </w:tc>
      </w:tr>
      <w:tr w:rsidR="00290BBF" w:rsidRPr="003410C7" w:rsidTr="00731D02">
        <w:trPr>
          <w:trHeight w:val="255"/>
        </w:trPr>
        <w:tc>
          <w:tcPr>
            <w:tcW w:w="3158" w:type="dxa"/>
            <w:tcBorders>
              <w:top w:val="nil"/>
              <w:left w:val="single" w:sz="8" w:space="0" w:color="auto"/>
              <w:bottom w:val="single" w:sz="8" w:space="0" w:color="auto"/>
              <w:right w:val="single" w:sz="8" w:space="0" w:color="auto"/>
            </w:tcBorders>
            <w:noWrap/>
            <w:tcMar>
              <w:top w:w="0" w:type="dxa"/>
              <w:left w:w="108" w:type="dxa"/>
              <w:bottom w:w="0" w:type="dxa"/>
              <w:right w:w="108" w:type="dxa"/>
            </w:tcMar>
            <w:hideMark/>
          </w:tcPr>
          <w:p w:rsidR="00B73A46" w:rsidRPr="003410C7" w:rsidRDefault="00B73A46" w:rsidP="00713A6C">
            <w:pPr>
              <w:rPr>
                <w:rFonts w:eastAsia="Calibri" w:cs="Tahoma"/>
                <w:b/>
                <w:bCs/>
                <w:szCs w:val="18"/>
              </w:rPr>
            </w:pPr>
            <w:r w:rsidRPr="003410C7">
              <w:rPr>
                <w:rFonts w:cs="Tahoma"/>
                <w:b/>
                <w:bCs/>
                <w:szCs w:val="18"/>
              </w:rPr>
              <w:t>Windows NT Workstation 4.0</w:t>
            </w:r>
          </w:p>
        </w:tc>
        <w:tc>
          <w:tcPr>
            <w:tcW w:w="124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3410C7" w:rsidRDefault="00B73A46" w:rsidP="00713A6C">
            <w:pPr>
              <w:jc w:val="center"/>
              <w:rPr>
                <w:rFonts w:eastAsia="Calibri" w:cs="Tahoma"/>
                <w:szCs w:val="18"/>
              </w:rPr>
            </w:pPr>
            <w:r w:rsidRPr="003410C7">
              <w:rPr>
                <w:rFonts w:cs="Tahoma"/>
                <w:szCs w:val="18"/>
              </w:rPr>
              <w:t>x</w:t>
            </w:r>
          </w:p>
        </w:tc>
        <w:tc>
          <w:tcPr>
            <w:tcW w:w="134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3410C7" w:rsidRDefault="00B73A46" w:rsidP="00713A6C">
            <w:pPr>
              <w:rPr>
                <w:rFonts w:eastAsia="Times New Roman" w:cs="Tahoma"/>
                <w:szCs w:val="18"/>
              </w:rPr>
            </w:pPr>
          </w:p>
        </w:tc>
        <w:tc>
          <w:tcPr>
            <w:tcW w:w="106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3410C7" w:rsidRDefault="00B73A46" w:rsidP="00713A6C">
            <w:pPr>
              <w:jc w:val="center"/>
              <w:rPr>
                <w:rFonts w:eastAsia="Calibri" w:cs="Tahoma"/>
                <w:szCs w:val="18"/>
              </w:rPr>
            </w:pPr>
            <w:r w:rsidRPr="003410C7">
              <w:rPr>
                <w:rFonts w:cs="Tahoma"/>
                <w:szCs w:val="18"/>
              </w:rPr>
              <w:t>x</w:t>
            </w:r>
          </w:p>
        </w:tc>
        <w:tc>
          <w:tcPr>
            <w:tcW w:w="1172"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3410C7" w:rsidRDefault="00B73A46" w:rsidP="00713A6C">
            <w:pPr>
              <w:jc w:val="center"/>
              <w:rPr>
                <w:rFonts w:eastAsia="Calibri" w:cs="Tahoma"/>
                <w:szCs w:val="18"/>
              </w:rPr>
            </w:pPr>
            <w:r w:rsidRPr="003410C7">
              <w:rPr>
                <w:rFonts w:cs="Tahoma"/>
                <w:szCs w:val="18"/>
              </w:rPr>
              <w:t>x</w:t>
            </w:r>
          </w:p>
        </w:tc>
        <w:tc>
          <w:tcPr>
            <w:tcW w:w="1085"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3410C7" w:rsidRDefault="00B73A46" w:rsidP="00713A6C">
            <w:pPr>
              <w:jc w:val="center"/>
              <w:rPr>
                <w:rFonts w:eastAsia="Calibri" w:cs="Tahoma"/>
                <w:szCs w:val="18"/>
              </w:rPr>
            </w:pPr>
            <w:r w:rsidRPr="003410C7">
              <w:rPr>
                <w:rFonts w:cs="Tahoma"/>
                <w:szCs w:val="18"/>
              </w:rPr>
              <w:t>x</w:t>
            </w:r>
          </w:p>
        </w:tc>
      </w:tr>
      <w:tr w:rsidR="00290BBF" w:rsidRPr="003410C7" w:rsidTr="00731D02">
        <w:trPr>
          <w:cantSplit/>
          <w:trHeight w:val="255"/>
        </w:trPr>
        <w:tc>
          <w:tcPr>
            <w:tcW w:w="3158" w:type="dxa"/>
            <w:tcBorders>
              <w:top w:val="nil"/>
              <w:left w:val="single" w:sz="8" w:space="0" w:color="auto"/>
              <w:bottom w:val="single" w:sz="8" w:space="0" w:color="auto"/>
              <w:right w:val="single" w:sz="8" w:space="0" w:color="auto"/>
            </w:tcBorders>
            <w:noWrap/>
            <w:tcMar>
              <w:top w:w="0" w:type="dxa"/>
              <w:left w:w="108" w:type="dxa"/>
              <w:bottom w:w="0" w:type="dxa"/>
              <w:right w:w="108" w:type="dxa"/>
            </w:tcMar>
            <w:hideMark/>
          </w:tcPr>
          <w:p w:rsidR="00B73A46" w:rsidRPr="00451078" w:rsidRDefault="00B73A46" w:rsidP="00713A6C">
            <w:pPr>
              <w:rPr>
                <w:rFonts w:eastAsia="Calibri" w:cs="Tahoma"/>
                <w:b/>
                <w:bCs/>
                <w:szCs w:val="18"/>
                <w:lang w:val="it-IT"/>
              </w:rPr>
            </w:pPr>
            <w:r w:rsidRPr="00451078">
              <w:rPr>
                <w:rFonts w:cs="Tahoma"/>
                <w:b/>
                <w:bCs/>
                <w:szCs w:val="18"/>
                <w:lang w:val="it-IT"/>
              </w:rPr>
              <w:t>Windows 98 (inclusa la seconda versione)</w:t>
            </w:r>
          </w:p>
        </w:tc>
        <w:tc>
          <w:tcPr>
            <w:tcW w:w="124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3410C7" w:rsidRDefault="00B73A46" w:rsidP="00713A6C">
            <w:pPr>
              <w:jc w:val="center"/>
              <w:rPr>
                <w:rFonts w:eastAsia="Calibri" w:cs="Tahoma"/>
                <w:szCs w:val="18"/>
              </w:rPr>
            </w:pPr>
            <w:r w:rsidRPr="003410C7">
              <w:rPr>
                <w:rFonts w:cs="Tahoma"/>
                <w:szCs w:val="18"/>
              </w:rPr>
              <w:t>x</w:t>
            </w:r>
          </w:p>
        </w:tc>
        <w:tc>
          <w:tcPr>
            <w:tcW w:w="134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3410C7" w:rsidRDefault="00B73A46" w:rsidP="00713A6C">
            <w:pPr>
              <w:rPr>
                <w:rFonts w:eastAsia="Times New Roman" w:cs="Tahoma"/>
                <w:szCs w:val="18"/>
              </w:rPr>
            </w:pPr>
          </w:p>
        </w:tc>
        <w:tc>
          <w:tcPr>
            <w:tcW w:w="106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3410C7" w:rsidRDefault="00B73A46" w:rsidP="00713A6C">
            <w:pPr>
              <w:jc w:val="center"/>
              <w:rPr>
                <w:rFonts w:eastAsia="Calibri" w:cs="Tahoma"/>
                <w:szCs w:val="18"/>
              </w:rPr>
            </w:pPr>
            <w:r w:rsidRPr="003410C7">
              <w:rPr>
                <w:rFonts w:cs="Tahoma"/>
                <w:szCs w:val="18"/>
              </w:rPr>
              <w:t>x</w:t>
            </w:r>
          </w:p>
        </w:tc>
        <w:tc>
          <w:tcPr>
            <w:tcW w:w="1172"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3410C7" w:rsidRDefault="00B73A46" w:rsidP="00713A6C">
            <w:pPr>
              <w:jc w:val="center"/>
              <w:rPr>
                <w:rFonts w:eastAsia="Calibri" w:cs="Tahoma"/>
                <w:szCs w:val="18"/>
              </w:rPr>
            </w:pPr>
            <w:r w:rsidRPr="003410C7">
              <w:rPr>
                <w:rFonts w:cs="Tahoma"/>
                <w:szCs w:val="18"/>
              </w:rPr>
              <w:t>x</w:t>
            </w:r>
          </w:p>
        </w:tc>
        <w:tc>
          <w:tcPr>
            <w:tcW w:w="1085"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3410C7" w:rsidRDefault="00B73A46" w:rsidP="00713A6C">
            <w:pPr>
              <w:jc w:val="center"/>
              <w:rPr>
                <w:rFonts w:eastAsia="Calibri" w:cs="Tahoma"/>
                <w:szCs w:val="18"/>
              </w:rPr>
            </w:pPr>
            <w:r w:rsidRPr="003410C7">
              <w:rPr>
                <w:rFonts w:cs="Tahoma"/>
                <w:szCs w:val="18"/>
              </w:rPr>
              <w:t>x</w:t>
            </w:r>
          </w:p>
        </w:tc>
      </w:tr>
      <w:tr w:rsidR="00290BBF" w:rsidRPr="003410C7" w:rsidTr="00731D02">
        <w:trPr>
          <w:trHeight w:val="255"/>
        </w:trPr>
        <w:tc>
          <w:tcPr>
            <w:tcW w:w="3158" w:type="dxa"/>
            <w:tcBorders>
              <w:top w:val="nil"/>
              <w:left w:val="single" w:sz="8" w:space="0" w:color="auto"/>
              <w:bottom w:val="single" w:sz="8" w:space="0" w:color="auto"/>
              <w:right w:val="single" w:sz="8" w:space="0" w:color="auto"/>
            </w:tcBorders>
            <w:noWrap/>
            <w:tcMar>
              <w:top w:w="0" w:type="dxa"/>
              <w:left w:w="108" w:type="dxa"/>
              <w:bottom w:w="0" w:type="dxa"/>
              <w:right w:w="108" w:type="dxa"/>
            </w:tcMar>
            <w:hideMark/>
          </w:tcPr>
          <w:p w:rsidR="00B73A46" w:rsidRPr="003410C7" w:rsidRDefault="00B73A46" w:rsidP="00713A6C">
            <w:pPr>
              <w:rPr>
                <w:rFonts w:eastAsia="Calibri" w:cs="Tahoma"/>
                <w:b/>
                <w:bCs/>
                <w:szCs w:val="18"/>
              </w:rPr>
            </w:pPr>
            <w:r w:rsidRPr="003410C7">
              <w:rPr>
                <w:rFonts w:cs="Tahoma"/>
                <w:b/>
                <w:bCs/>
                <w:szCs w:val="18"/>
              </w:rPr>
              <w:t>Apple Macintosh</w:t>
            </w:r>
          </w:p>
        </w:tc>
        <w:tc>
          <w:tcPr>
            <w:tcW w:w="124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3410C7" w:rsidRDefault="00B73A46" w:rsidP="00713A6C">
            <w:pPr>
              <w:jc w:val="center"/>
              <w:rPr>
                <w:rFonts w:eastAsia="Calibri" w:cs="Tahoma"/>
                <w:szCs w:val="18"/>
              </w:rPr>
            </w:pPr>
            <w:r w:rsidRPr="003410C7">
              <w:rPr>
                <w:rFonts w:cs="Tahoma"/>
                <w:szCs w:val="18"/>
              </w:rPr>
              <w:t>x</w:t>
            </w:r>
          </w:p>
        </w:tc>
        <w:tc>
          <w:tcPr>
            <w:tcW w:w="134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3410C7" w:rsidRDefault="00B73A46" w:rsidP="00713A6C">
            <w:pPr>
              <w:rPr>
                <w:rFonts w:eastAsia="Times New Roman" w:cs="Tahoma"/>
                <w:szCs w:val="18"/>
              </w:rPr>
            </w:pPr>
          </w:p>
        </w:tc>
        <w:tc>
          <w:tcPr>
            <w:tcW w:w="106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3410C7" w:rsidRDefault="00B73A46" w:rsidP="00713A6C">
            <w:pPr>
              <w:jc w:val="center"/>
              <w:rPr>
                <w:rFonts w:eastAsia="Calibri" w:cs="Tahoma"/>
                <w:szCs w:val="18"/>
              </w:rPr>
            </w:pPr>
            <w:r w:rsidRPr="003410C7">
              <w:rPr>
                <w:rFonts w:cs="Tahoma"/>
                <w:szCs w:val="18"/>
              </w:rPr>
              <w:t>x</w:t>
            </w:r>
          </w:p>
        </w:tc>
        <w:tc>
          <w:tcPr>
            <w:tcW w:w="1172"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3410C7" w:rsidRDefault="00B73A46" w:rsidP="00713A6C">
            <w:pPr>
              <w:jc w:val="center"/>
              <w:rPr>
                <w:rFonts w:eastAsia="Calibri" w:cs="Tahoma"/>
                <w:szCs w:val="18"/>
              </w:rPr>
            </w:pPr>
            <w:r w:rsidRPr="003410C7">
              <w:rPr>
                <w:rFonts w:cs="Tahoma"/>
                <w:szCs w:val="18"/>
              </w:rPr>
              <w:t>x</w:t>
            </w:r>
          </w:p>
        </w:tc>
        <w:tc>
          <w:tcPr>
            <w:tcW w:w="1085"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3410C7" w:rsidRDefault="00B73A46" w:rsidP="00713A6C">
            <w:pPr>
              <w:jc w:val="center"/>
              <w:rPr>
                <w:rFonts w:eastAsia="Calibri" w:cs="Tahoma"/>
                <w:szCs w:val="18"/>
              </w:rPr>
            </w:pPr>
            <w:r w:rsidRPr="003410C7">
              <w:rPr>
                <w:rFonts w:cs="Tahoma"/>
                <w:szCs w:val="18"/>
              </w:rPr>
              <w:t>x</w:t>
            </w:r>
          </w:p>
        </w:tc>
      </w:tr>
    </w:tbl>
    <w:p w:rsidR="00B73A46" w:rsidRPr="00C1436A" w:rsidRDefault="00B73A46" w:rsidP="000862BC">
      <w:pPr>
        <w:ind w:left="770"/>
        <w:rPr>
          <w:sz w:val="14"/>
          <w:szCs w:val="14"/>
        </w:rPr>
      </w:pPr>
      <w:r w:rsidRPr="00C1436A">
        <w:rPr>
          <w:rFonts w:cs="Tahoma"/>
          <w:bCs/>
          <w:i/>
          <w:iCs/>
          <w:sz w:val="14"/>
          <w:szCs w:val="14"/>
          <w:u w:val="single"/>
        </w:rPr>
        <w:t>Nota</w:t>
      </w:r>
      <w:r w:rsidRPr="00C1436A">
        <w:rPr>
          <w:rFonts w:cs="Tahoma"/>
          <w:i/>
          <w:iCs/>
          <w:sz w:val="14"/>
          <w:szCs w:val="14"/>
        </w:rPr>
        <w:t xml:space="preserve">: </w:t>
      </w:r>
      <w:r w:rsidRPr="00C1436A">
        <w:rPr>
          <w:rFonts w:cs="Tahoma"/>
          <w:i/>
          <w:iCs/>
          <w:sz w:val="14"/>
          <w:szCs w:val="14"/>
        </w:rPr>
        <w:br/>
        <w:t>Academic include i Programmi Contratto Campus e School, Open Value Subscription - Education Solutions, Select - Academic e Open - Academic</w:t>
      </w:r>
      <w:r w:rsidRPr="00C1436A">
        <w:rPr>
          <w:rFonts w:cs="Tahoma"/>
          <w:i/>
          <w:iCs/>
          <w:sz w:val="14"/>
          <w:szCs w:val="14"/>
        </w:rPr>
        <w:br/>
        <w:t>EA = Contratto Enterprise</w:t>
      </w:r>
      <w:r w:rsidRPr="00C1436A">
        <w:rPr>
          <w:rFonts w:cs="Tahoma"/>
          <w:i/>
          <w:iCs/>
          <w:sz w:val="14"/>
          <w:szCs w:val="14"/>
        </w:rPr>
        <w:br/>
        <w:t>OV-CW = Open Value - Opzione a livello aziendale</w:t>
      </w:r>
    </w:p>
    <w:p w:rsidR="00B73A46" w:rsidRPr="00451078" w:rsidRDefault="00474A64" w:rsidP="00E2472C">
      <w:pPr>
        <w:ind w:left="770"/>
        <w:rPr>
          <w:sz w:val="14"/>
          <w:szCs w:val="14"/>
          <w:lang w:val="it-IT"/>
        </w:rPr>
      </w:pPr>
      <w:r w:rsidRPr="00474A64">
        <w:rPr>
          <w:rFonts w:cs="Tahoma"/>
          <w:i/>
          <w:iCs/>
          <w:sz w:val="14"/>
          <w:szCs w:val="14"/>
          <w:lang w:val="it-IT"/>
        </w:rPr>
        <w:t>“</w:t>
      </w:r>
      <w:r w:rsidR="00B73A46" w:rsidRPr="00451078">
        <w:rPr>
          <w:rFonts w:cs="Tahoma"/>
          <w:i/>
          <w:iCs/>
          <w:sz w:val="14"/>
          <w:szCs w:val="14"/>
          <w:lang w:val="it-IT"/>
        </w:rPr>
        <w:t>N</w:t>
      </w:r>
      <w:r w:rsidR="001A3EC5" w:rsidRPr="00474A64">
        <w:rPr>
          <w:rFonts w:cs="Tahoma"/>
          <w:i/>
          <w:iCs/>
          <w:sz w:val="14"/>
          <w:szCs w:val="14"/>
          <w:lang w:val="it-IT"/>
        </w:rPr>
        <w:t>”</w:t>
      </w:r>
      <w:r w:rsidR="00B73A46" w:rsidRPr="00451078">
        <w:rPr>
          <w:rFonts w:cs="Tahoma"/>
          <w:i/>
          <w:iCs/>
          <w:sz w:val="14"/>
          <w:szCs w:val="14"/>
          <w:lang w:val="it-IT"/>
        </w:rPr>
        <w:t xml:space="preserve">, </w:t>
      </w:r>
      <w:r w:rsidR="001A3EC5" w:rsidRPr="00451078">
        <w:rPr>
          <w:rFonts w:cs="Tahoma"/>
          <w:i/>
          <w:iCs/>
          <w:sz w:val="14"/>
          <w:szCs w:val="14"/>
          <w:lang w:val="it-IT"/>
        </w:rPr>
        <w:t>“</w:t>
      </w:r>
      <w:r w:rsidR="00B73A46" w:rsidRPr="00451078">
        <w:rPr>
          <w:rFonts w:cs="Tahoma"/>
          <w:i/>
          <w:iCs/>
          <w:sz w:val="14"/>
          <w:szCs w:val="14"/>
          <w:lang w:val="it-IT"/>
        </w:rPr>
        <w:t>K</w:t>
      </w:r>
      <w:r w:rsidR="001A3EC5" w:rsidRPr="00451078">
        <w:rPr>
          <w:rFonts w:cs="Tahoma"/>
          <w:i/>
          <w:iCs/>
          <w:sz w:val="14"/>
          <w:szCs w:val="14"/>
          <w:lang w:val="it-IT"/>
        </w:rPr>
        <w:t>”</w:t>
      </w:r>
      <w:r w:rsidR="004525CA">
        <w:rPr>
          <w:rFonts w:cs="Tahoma"/>
          <w:i/>
          <w:iCs/>
          <w:sz w:val="14"/>
          <w:szCs w:val="14"/>
          <w:lang w:val="it-IT"/>
        </w:rPr>
        <w:t>‘</w:t>
      </w:r>
      <w:r w:rsidR="00B73A46" w:rsidRPr="00451078">
        <w:rPr>
          <w:rFonts w:cs="Tahoma"/>
          <w:i/>
          <w:iCs/>
          <w:sz w:val="14"/>
          <w:szCs w:val="14"/>
          <w:lang w:val="it-IT"/>
        </w:rPr>
        <w:t xml:space="preserve"> e </w:t>
      </w:r>
      <w:r w:rsidR="001A3EC5" w:rsidRPr="00451078">
        <w:rPr>
          <w:rFonts w:cs="Tahoma"/>
          <w:i/>
          <w:iCs/>
          <w:sz w:val="14"/>
          <w:szCs w:val="14"/>
          <w:lang w:val="it-IT"/>
        </w:rPr>
        <w:t>“</w:t>
      </w:r>
      <w:r w:rsidR="00B73A46" w:rsidRPr="00451078">
        <w:rPr>
          <w:rFonts w:cs="Tahoma"/>
          <w:i/>
          <w:iCs/>
          <w:sz w:val="14"/>
          <w:szCs w:val="14"/>
          <w:lang w:val="it-IT"/>
        </w:rPr>
        <w:t>KN</w:t>
      </w:r>
      <w:r w:rsidR="001A3EC5" w:rsidRPr="00451078">
        <w:rPr>
          <w:rFonts w:cs="Tahoma"/>
          <w:i/>
          <w:iCs/>
          <w:sz w:val="14"/>
          <w:szCs w:val="14"/>
          <w:lang w:val="it-IT"/>
        </w:rPr>
        <w:t>”</w:t>
      </w:r>
      <w:r w:rsidR="00B73A46" w:rsidRPr="00451078">
        <w:rPr>
          <w:rFonts w:cs="Tahoma"/>
          <w:i/>
          <w:iCs/>
          <w:sz w:val="14"/>
          <w:szCs w:val="14"/>
          <w:lang w:val="it-IT"/>
        </w:rPr>
        <w:t xml:space="preserve"> sono edizioni specializzate disponibili su alcuni mercati.</w:t>
      </w:r>
    </w:p>
    <w:p w:rsidR="00B73A46" w:rsidRPr="00451078" w:rsidRDefault="00B73A46" w:rsidP="00731D02">
      <w:pPr>
        <w:ind w:left="837"/>
        <w:rPr>
          <w:lang w:val="it-IT"/>
        </w:rPr>
      </w:pPr>
    </w:p>
    <w:p w:rsidR="00B73A46" w:rsidRPr="00451078" w:rsidRDefault="00B73A46" w:rsidP="00B24C9D">
      <w:pPr>
        <w:ind w:left="720"/>
        <w:rPr>
          <w:lang w:val="it-IT"/>
        </w:rPr>
      </w:pPr>
      <w:r w:rsidRPr="00451078">
        <w:rPr>
          <w:rFonts w:cs="Tahoma"/>
          <w:szCs w:val="18"/>
          <w:lang w:val="it-IT"/>
        </w:rPr>
        <w:t>Le seguenti condizioni si applicano a Windows XP Starter Edition (SE), Windows Vista Starter Edition (SE) e</w:t>
      </w:r>
      <w:r w:rsidR="00847115" w:rsidRPr="00451078">
        <w:rPr>
          <w:rFonts w:cs="Tahoma"/>
          <w:szCs w:val="18"/>
          <w:lang w:val="it-IT"/>
        </w:rPr>
        <w:t> </w:t>
      </w:r>
      <w:r w:rsidRPr="00451078">
        <w:rPr>
          <w:rFonts w:cs="Tahoma"/>
          <w:szCs w:val="18"/>
          <w:lang w:val="it-IT"/>
        </w:rPr>
        <w:t>Windows 7 Starter Edition:</w:t>
      </w:r>
    </w:p>
    <w:p w:rsidR="00B73A46" w:rsidRPr="00451078" w:rsidRDefault="00B73A46" w:rsidP="00B24C9D">
      <w:pPr>
        <w:ind w:left="720"/>
        <w:rPr>
          <w:lang w:val="it-IT"/>
        </w:rPr>
      </w:pPr>
    </w:p>
    <w:p w:rsidR="00B73A46" w:rsidRPr="00451078" w:rsidRDefault="00B73A46" w:rsidP="00745AB3">
      <w:pPr>
        <w:pStyle w:val="ColorfulList-Accent11"/>
        <w:numPr>
          <w:ilvl w:val="0"/>
          <w:numId w:val="33"/>
        </w:numPr>
        <w:ind w:left="1440"/>
        <w:rPr>
          <w:lang w:val="it-IT"/>
        </w:rPr>
      </w:pPr>
      <w:r w:rsidRPr="00451078">
        <w:rPr>
          <w:rFonts w:ascii="Tahoma" w:hAnsi="Tahoma" w:cs="Tahoma"/>
          <w:sz w:val="18"/>
          <w:szCs w:val="18"/>
          <w:lang w:val="it-IT"/>
        </w:rPr>
        <w:t>Le società che hanno stipulato un contratto Academic (Academic Select, Academic Open, CASA e</w:t>
      </w:r>
      <w:r w:rsidR="00847115" w:rsidRPr="00451078">
        <w:rPr>
          <w:rFonts w:ascii="Tahoma" w:hAnsi="Tahoma" w:cs="Tahoma"/>
          <w:sz w:val="18"/>
          <w:szCs w:val="18"/>
          <w:lang w:val="it-IT"/>
        </w:rPr>
        <w:t> </w:t>
      </w:r>
      <w:r w:rsidRPr="00451078">
        <w:rPr>
          <w:rFonts w:ascii="Tahoma" w:hAnsi="Tahoma" w:cs="Tahoma"/>
          <w:sz w:val="18"/>
          <w:szCs w:val="18"/>
          <w:lang w:val="it-IT"/>
        </w:rPr>
        <w:t>Open Value Subscription - Education Solutions) sono autorizzate ad acquistare una licenza di Aggiornamento Windows utilizzando Windows XP Starter Edition, Windows Vista Starter Edition o</w:t>
      </w:r>
      <w:r w:rsidR="00847115" w:rsidRPr="00451078">
        <w:rPr>
          <w:rFonts w:ascii="Tahoma" w:hAnsi="Tahoma" w:cs="Tahoma"/>
          <w:sz w:val="18"/>
          <w:szCs w:val="18"/>
          <w:lang w:val="it-IT"/>
        </w:rPr>
        <w:t> </w:t>
      </w:r>
      <w:r w:rsidRPr="00451078">
        <w:rPr>
          <w:rFonts w:ascii="Tahoma" w:hAnsi="Tahoma" w:cs="Tahoma"/>
          <w:sz w:val="18"/>
          <w:szCs w:val="18"/>
          <w:lang w:val="it-IT"/>
        </w:rPr>
        <w:t xml:space="preserve">Windows 7 Starter Edition come sistema operativo qualificante. </w:t>
      </w:r>
    </w:p>
    <w:p w:rsidR="00B73A46" w:rsidRPr="00451078" w:rsidRDefault="00B73A46" w:rsidP="00B24C9D">
      <w:pPr>
        <w:pStyle w:val="ColorfulList-Accent11"/>
        <w:rPr>
          <w:lang w:val="it-IT"/>
        </w:rPr>
      </w:pPr>
      <w:r w:rsidRPr="00451078">
        <w:rPr>
          <w:rFonts w:ascii="Tahoma" w:hAnsi="Tahoma" w:cs="Tahoma"/>
          <w:sz w:val="18"/>
          <w:szCs w:val="18"/>
          <w:lang w:val="it-IT"/>
        </w:rPr>
        <w:t>Le società che acquistano l</w:t>
      </w:r>
      <w:r w:rsidR="004525CA">
        <w:rPr>
          <w:rFonts w:ascii="Tahoma" w:hAnsi="Tahoma" w:cs="Tahoma"/>
          <w:sz w:val="18"/>
          <w:szCs w:val="18"/>
          <w:lang w:val="it-IT"/>
        </w:rPr>
        <w:t>’</w:t>
      </w:r>
      <w:r w:rsidRPr="00451078">
        <w:rPr>
          <w:rFonts w:ascii="Tahoma" w:hAnsi="Tahoma" w:cs="Tahoma"/>
          <w:sz w:val="18"/>
          <w:szCs w:val="18"/>
          <w:lang w:val="it-IT"/>
        </w:rPr>
        <w:t>aggiornamento su questa base rinunciano a qualunque diritto di trasferire la</w:t>
      </w:r>
      <w:r w:rsidR="00847115" w:rsidRPr="00451078">
        <w:rPr>
          <w:rFonts w:ascii="Tahoma" w:hAnsi="Tahoma" w:cs="Tahoma"/>
          <w:sz w:val="18"/>
          <w:szCs w:val="18"/>
          <w:lang w:val="it-IT"/>
        </w:rPr>
        <w:t> </w:t>
      </w:r>
      <w:r w:rsidRPr="00451078">
        <w:rPr>
          <w:rFonts w:ascii="Tahoma" w:hAnsi="Tahoma" w:cs="Tahoma"/>
          <w:sz w:val="18"/>
          <w:szCs w:val="18"/>
          <w:lang w:val="it-IT"/>
        </w:rPr>
        <w:t xml:space="preserve">licenza al di fuori del paese in cui è stata acquistata. </w:t>
      </w:r>
    </w:p>
    <w:p w:rsidR="00B73A46" w:rsidRPr="00451078" w:rsidRDefault="00B73A46" w:rsidP="00B24C9D">
      <w:pPr>
        <w:pStyle w:val="EndnoteText"/>
        <w:ind w:left="360"/>
        <w:rPr>
          <w:lang w:val="it-IT"/>
        </w:rPr>
      </w:pPr>
    </w:p>
    <w:p w:rsidR="00B73A46" w:rsidRPr="00451078" w:rsidRDefault="00B73A46" w:rsidP="00B24C9D">
      <w:pPr>
        <w:pStyle w:val="FootnoteBulletLevel1"/>
        <w:tabs>
          <w:tab w:val="clear" w:pos="900"/>
        </w:tabs>
        <w:spacing w:before="0" w:after="0"/>
        <w:ind w:left="720" w:firstLine="0"/>
        <w:rPr>
          <w:lang w:val="it-IT"/>
        </w:rPr>
      </w:pPr>
      <w:r w:rsidRPr="00451078">
        <w:rPr>
          <w:rFonts w:ascii="Tahoma" w:hAnsi="Tahoma" w:cs="Tahoma"/>
          <w:sz w:val="18"/>
          <w:szCs w:val="18"/>
          <w:lang w:val="it-IT"/>
        </w:rPr>
        <w:lastRenderedPageBreak/>
        <w:t>I sistemi operativi non inclusi nel precedente elenco non sono OS qualificanti, ad esempio:</w:t>
      </w:r>
    </w:p>
    <w:p w:rsidR="00B24C9D" w:rsidRPr="00451078" w:rsidRDefault="00B24C9D" w:rsidP="00B24C9D">
      <w:pPr>
        <w:pStyle w:val="FootnoteBulletLevel1"/>
        <w:tabs>
          <w:tab w:val="clear" w:pos="900"/>
        </w:tabs>
        <w:spacing w:before="0" w:after="0"/>
        <w:ind w:left="720" w:firstLine="0"/>
        <w:rPr>
          <w:lang w:val="it-IT"/>
        </w:rPr>
      </w:pPr>
    </w:p>
    <w:p w:rsidR="00B73A46" w:rsidRPr="00451078" w:rsidRDefault="00B73A46" w:rsidP="00745AB3">
      <w:pPr>
        <w:pStyle w:val="FootnoteBulletLevel2"/>
        <w:numPr>
          <w:ilvl w:val="0"/>
          <w:numId w:val="34"/>
        </w:numPr>
        <w:adjustRightInd/>
        <w:spacing w:before="0" w:after="60"/>
        <w:ind w:left="1440"/>
        <w:textAlignment w:val="auto"/>
        <w:rPr>
          <w:lang w:val="it-IT"/>
        </w:rPr>
      </w:pPr>
      <w:r w:rsidRPr="00451078">
        <w:rPr>
          <w:rFonts w:ascii="Tahoma" w:hAnsi="Tahoma" w:cs="Tahoma"/>
          <w:sz w:val="18"/>
          <w:szCs w:val="18"/>
          <w:lang w:val="it-IT"/>
        </w:rPr>
        <w:t>I Sistemi Incorporati (ad esempio Windows 9.x for embedded, Windows XP embedded) non si</w:t>
      </w:r>
      <w:r w:rsidR="00847115" w:rsidRPr="00451078">
        <w:rPr>
          <w:rFonts w:ascii="Tahoma" w:hAnsi="Tahoma" w:cs="Tahoma"/>
          <w:sz w:val="18"/>
          <w:szCs w:val="18"/>
          <w:lang w:val="it-IT"/>
        </w:rPr>
        <w:t> </w:t>
      </w:r>
      <w:r w:rsidRPr="00451078">
        <w:rPr>
          <w:rFonts w:ascii="Tahoma" w:hAnsi="Tahoma" w:cs="Tahoma"/>
          <w:sz w:val="18"/>
          <w:szCs w:val="18"/>
          <w:lang w:val="it-IT"/>
        </w:rPr>
        <w:t>qualificano per gli Aggiornamenti per Windows 8 Pro.</w:t>
      </w:r>
    </w:p>
    <w:p w:rsidR="00B73A46" w:rsidRPr="00451078" w:rsidRDefault="00B73A46" w:rsidP="00745AB3">
      <w:pPr>
        <w:pStyle w:val="FootnoteBulletLevel2"/>
        <w:numPr>
          <w:ilvl w:val="0"/>
          <w:numId w:val="34"/>
        </w:numPr>
        <w:adjustRightInd/>
        <w:spacing w:before="0" w:after="60"/>
        <w:ind w:left="1440"/>
        <w:textAlignment w:val="auto"/>
        <w:rPr>
          <w:lang w:val="it-IT"/>
        </w:rPr>
      </w:pPr>
      <w:r w:rsidRPr="00451078">
        <w:rPr>
          <w:rFonts w:ascii="Tahoma" w:hAnsi="Tahoma" w:cs="Tahoma"/>
          <w:sz w:val="18"/>
          <w:szCs w:val="18"/>
          <w:lang w:val="it-IT"/>
        </w:rPr>
        <w:t>Linux o OS/2 non si qualifica per gli Aggiornamenti per Windows 8 Pro.</w:t>
      </w:r>
    </w:p>
    <w:p w:rsidR="00B73A46" w:rsidRPr="00451078" w:rsidRDefault="00B73A46" w:rsidP="00745AB3">
      <w:pPr>
        <w:pStyle w:val="FootnoteBulletLevel2"/>
        <w:numPr>
          <w:ilvl w:val="0"/>
          <w:numId w:val="34"/>
        </w:numPr>
        <w:adjustRightInd/>
        <w:spacing w:before="0" w:after="60"/>
        <w:ind w:left="1440"/>
        <w:textAlignment w:val="auto"/>
        <w:rPr>
          <w:lang w:val="it-IT"/>
        </w:rPr>
      </w:pPr>
      <w:r w:rsidRPr="00451078">
        <w:rPr>
          <w:rFonts w:ascii="Tahoma" w:hAnsi="Tahoma" w:cs="Tahoma"/>
          <w:sz w:val="18"/>
          <w:szCs w:val="18"/>
          <w:lang w:val="it-IT"/>
        </w:rPr>
        <w:t>La Licenza CAL per i Servizi Terminal di Windows non si qualifica per gli Aggiornamenti per Windows 8 Pro.</w:t>
      </w:r>
    </w:p>
    <w:p w:rsidR="00B24C9D" w:rsidRPr="00451078" w:rsidRDefault="00B24C9D" w:rsidP="00B24C9D">
      <w:pPr>
        <w:pStyle w:val="FootnoteBulletLevel2"/>
        <w:tabs>
          <w:tab w:val="clear" w:pos="1260"/>
        </w:tabs>
        <w:adjustRightInd/>
        <w:spacing w:before="0"/>
        <w:ind w:left="1080" w:firstLine="0"/>
        <w:textAlignment w:val="auto"/>
        <w:rPr>
          <w:lang w:val="it-IT"/>
        </w:rPr>
      </w:pPr>
    </w:p>
    <w:p w:rsidR="00B24C9D" w:rsidRPr="00451078" w:rsidRDefault="00B73A46" w:rsidP="00B24C9D">
      <w:pPr>
        <w:pStyle w:val="FootnoteBulletLevel2"/>
        <w:tabs>
          <w:tab w:val="clear" w:pos="1260"/>
        </w:tabs>
        <w:spacing w:before="0"/>
        <w:ind w:left="720" w:firstLine="0"/>
        <w:rPr>
          <w:lang w:val="it-IT"/>
        </w:rPr>
      </w:pPr>
      <w:r w:rsidRPr="00451078">
        <w:rPr>
          <w:rFonts w:ascii="Tahoma" w:hAnsi="Tahoma" w:cs="Tahoma"/>
          <w:sz w:val="18"/>
          <w:szCs w:val="18"/>
          <w:lang w:val="it-IT"/>
        </w:rPr>
        <w:t>I seguenti requisiti sono applicabili al re-imaging di Windows:</w:t>
      </w:r>
    </w:p>
    <w:p w:rsidR="00B73A46" w:rsidRPr="00451078" w:rsidRDefault="00B73A46" w:rsidP="00B24C9D">
      <w:pPr>
        <w:pStyle w:val="FootnoteBulletLevel2"/>
        <w:tabs>
          <w:tab w:val="clear" w:pos="1260"/>
        </w:tabs>
        <w:spacing w:before="0"/>
        <w:ind w:left="720" w:firstLine="0"/>
        <w:rPr>
          <w:lang w:val="it-IT"/>
        </w:rPr>
      </w:pPr>
    </w:p>
    <w:p w:rsidR="00B73A46" w:rsidRPr="00451078" w:rsidRDefault="00B73A46" w:rsidP="00B24C9D">
      <w:pPr>
        <w:pStyle w:val="FootnoteBulletLevel2"/>
        <w:tabs>
          <w:tab w:val="clear" w:pos="1260"/>
        </w:tabs>
        <w:spacing w:before="0"/>
        <w:ind w:left="720" w:firstLine="0"/>
        <w:rPr>
          <w:lang w:val="it-IT"/>
        </w:rPr>
      </w:pPr>
      <w:r w:rsidRPr="00451078">
        <w:rPr>
          <w:rFonts w:ascii="Tahoma" w:hAnsi="Tahoma" w:cs="Tahoma"/>
          <w:sz w:val="18"/>
          <w:szCs w:val="18"/>
          <w:lang w:val="it-IT"/>
        </w:rPr>
        <w:t xml:space="preserve">Qualora un terzo effettui il re-imaging di Windows sui PC di una società, la società dovrà prima di tutto fornire a tale terzo (a) un modulo compilato relativo alla Verifica della Licenza Microsoft della Società per </w:t>
      </w:r>
      <w:r w:rsidR="00847115" w:rsidRPr="00451078">
        <w:rPr>
          <w:rFonts w:ascii="Tahoma" w:hAnsi="Tahoma" w:cs="Tahoma"/>
          <w:sz w:val="18"/>
          <w:szCs w:val="18"/>
          <w:lang w:val="it-IT"/>
        </w:rPr>
        <w:t>I </w:t>
      </w:r>
      <w:r w:rsidRPr="00451078">
        <w:rPr>
          <w:rFonts w:ascii="Tahoma" w:hAnsi="Tahoma" w:cs="Tahoma"/>
          <w:sz w:val="18"/>
          <w:szCs w:val="18"/>
          <w:lang w:val="it-IT"/>
        </w:rPr>
        <w:t>Servizi di Installazione degli Aggiornamenti per il Software del Sistema Operativo Microsoft Windows da</w:t>
      </w:r>
      <w:r w:rsidR="00847115" w:rsidRPr="00451078">
        <w:rPr>
          <w:rFonts w:ascii="Tahoma" w:hAnsi="Tahoma" w:cs="Tahoma"/>
          <w:sz w:val="18"/>
          <w:szCs w:val="18"/>
          <w:lang w:val="it-IT"/>
        </w:rPr>
        <w:t> </w:t>
      </w:r>
      <w:r w:rsidRPr="00451078">
        <w:rPr>
          <w:rFonts w:ascii="Tahoma" w:hAnsi="Tahoma" w:cs="Tahoma"/>
          <w:sz w:val="18"/>
          <w:szCs w:val="18"/>
          <w:lang w:val="it-IT"/>
        </w:rPr>
        <w:t>Parte di Terzi oppure (b) copie del modulo per la sottoscrizione appartenenti al Contratto Multilicenza Microsoft applicabile al software di aggiornamento del sistema operativo Microsoft che viene installato. Il</w:t>
      </w:r>
      <w:r w:rsidR="00847115" w:rsidRPr="00451078">
        <w:rPr>
          <w:rFonts w:ascii="Tahoma" w:hAnsi="Tahoma" w:cs="Tahoma"/>
          <w:sz w:val="18"/>
          <w:szCs w:val="18"/>
          <w:lang w:val="it-IT"/>
        </w:rPr>
        <w:t> </w:t>
      </w:r>
      <w:r w:rsidRPr="00451078">
        <w:rPr>
          <w:rFonts w:ascii="Tahoma" w:hAnsi="Tahoma" w:cs="Tahoma"/>
          <w:sz w:val="18"/>
          <w:szCs w:val="18"/>
          <w:lang w:val="it-IT"/>
        </w:rPr>
        <w:t xml:space="preserve">modulo per la </w:t>
      </w:r>
      <w:r w:rsidR="001A3EC5" w:rsidRPr="00451078">
        <w:rPr>
          <w:rFonts w:ascii="Tahoma" w:hAnsi="Tahoma" w:cs="Tahoma"/>
          <w:sz w:val="18"/>
          <w:szCs w:val="18"/>
          <w:lang w:val="it-IT"/>
        </w:rPr>
        <w:t>“</w:t>
      </w:r>
      <w:r w:rsidRPr="00451078">
        <w:rPr>
          <w:rFonts w:ascii="Tahoma" w:hAnsi="Tahoma" w:cs="Tahoma"/>
          <w:sz w:val="18"/>
          <w:szCs w:val="18"/>
          <w:lang w:val="it-IT"/>
        </w:rPr>
        <w:t>Verifica della Licenza Microsoft per l</w:t>
      </w:r>
      <w:r w:rsidR="004525CA">
        <w:rPr>
          <w:rFonts w:ascii="Tahoma" w:hAnsi="Tahoma" w:cs="Tahoma"/>
          <w:sz w:val="18"/>
          <w:szCs w:val="18"/>
          <w:lang w:val="it-IT"/>
        </w:rPr>
        <w:t>’</w:t>
      </w:r>
      <w:r w:rsidRPr="00451078">
        <w:rPr>
          <w:rFonts w:ascii="Tahoma" w:hAnsi="Tahoma" w:cs="Tahoma"/>
          <w:sz w:val="18"/>
          <w:szCs w:val="18"/>
          <w:lang w:val="it-IT"/>
        </w:rPr>
        <w:t>Esecuzione dell</w:t>
      </w:r>
      <w:r w:rsidR="004525CA">
        <w:rPr>
          <w:rFonts w:ascii="Tahoma" w:hAnsi="Tahoma" w:cs="Tahoma"/>
          <w:sz w:val="18"/>
          <w:szCs w:val="18"/>
          <w:lang w:val="it-IT"/>
        </w:rPr>
        <w:t>’</w:t>
      </w:r>
      <w:r w:rsidRPr="00451078">
        <w:rPr>
          <w:rFonts w:ascii="Tahoma" w:hAnsi="Tahoma" w:cs="Tahoma"/>
          <w:sz w:val="18"/>
          <w:szCs w:val="18"/>
          <w:lang w:val="it-IT"/>
        </w:rPr>
        <w:t>Imaging/Installazione da parte di</w:t>
      </w:r>
      <w:r w:rsidR="00847115" w:rsidRPr="00451078">
        <w:rPr>
          <w:rFonts w:ascii="Tahoma" w:hAnsi="Tahoma" w:cs="Tahoma"/>
          <w:sz w:val="18"/>
          <w:szCs w:val="18"/>
          <w:lang w:val="it-IT"/>
        </w:rPr>
        <w:t> </w:t>
      </w:r>
      <w:r w:rsidRPr="00451078">
        <w:rPr>
          <w:rFonts w:ascii="Tahoma" w:hAnsi="Tahoma" w:cs="Tahoma"/>
          <w:sz w:val="18"/>
          <w:szCs w:val="18"/>
          <w:lang w:val="it-IT"/>
        </w:rPr>
        <w:t>Terzi</w:t>
      </w:r>
      <w:r w:rsidR="00847115" w:rsidRPr="00451078">
        <w:rPr>
          <w:rFonts w:ascii="Tahoma" w:hAnsi="Tahoma" w:cs="Tahoma"/>
          <w:sz w:val="18"/>
          <w:szCs w:val="18"/>
          <w:lang w:val="it-IT"/>
        </w:rPr>
        <w:t> </w:t>
      </w:r>
      <w:r w:rsidRPr="00451078">
        <w:rPr>
          <w:rFonts w:ascii="Tahoma" w:hAnsi="Tahoma" w:cs="Tahoma"/>
          <w:sz w:val="18"/>
          <w:szCs w:val="18"/>
          <w:lang w:val="it-IT"/>
        </w:rPr>
        <w:t>del Software del Sistema Operativo Microsoft</w:t>
      </w:r>
      <w:r w:rsidR="001A3EC5" w:rsidRPr="00451078">
        <w:rPr>
          <w:rFonts w:ascii="Tahoma" w:hAnsi="Tahoma" w:cs="Tahoma"/>
          <w:sz w:val="18"/>
          <w:szCs w:val="18"/>
          <w:lang w:val="it-IT"/>
        </w:rPr>
        <w:t>”</w:t>
      </w:r>
      <w:r w:rsidRPr="00451078">
        <w:rPr>
          <w:rFonts w:ascii="Tahoma" w:hAnsi="Tahoma" w:cs="Tahoma"/>
          <w:sz w:val="18"/>
          <w:szCs w:val="18"/>
          <w:lang w:val="it-IT"/>
        </w:rPr>
        <w:t xml:space="preserve"> è disponibile all</w:t>
      </w:r>
      <w:r w:rsidR="004525CA">
        <w:rPr>
          <w:rFonts w:ascii="Tahoma" w:hAnsi="Tahoma" w:cs="Tahoma"/>
          <w:sz w:val="18"/>
          <w:szCs w:val="18"/>
          <w:lang w:val="it-IT"/>
        </w:rPr>
        <w:t>’</w:t>
      </w:r>
      <w:r w:rsidRPr="00451078">
        <w:rPr>
          <w:rFonts w:ascii="Tahoma" w:hAnsi="Tahoma" w:cs="Tahoma"/>
          <w:sz w:val="18"/>
          <w:szCs w:val="18"/>
          <w:lang w:val="it-IT"/>
        </w:rPr>
        <w:t xml:space="preserve">indirizzo </w:t>
      </w:r>
      <w:hyperlink r:id="rId46" w:history="1">
        <w:r w:rsidRPr="00451078">
          <w:rPr>
            <w:rStyle w:val="Hyperlink"/>
            <w:rFonts w:ascii="Tahoma" w:hAnsi="Tahoma" w:cs="Tahoma"/>
            <w:color w:val="auto"/>
            <w:sz w:val="18"/>
            <w:szCs w:val="18"/>
            <w:u w:val="none"/>
            <w:lang w:val="it-IT"/>
          </w:rPr>
          <w:t>www.microsoft.com/licensing/contracts</w:t>
        </w:r>
      </w:hyperlink>
      <w:r w:rsidRPr="00451078">
        <w:rPr>
          <w:rFonts w:ascii="Tahoma" w:hAnsi="Tahoma" w:cs="Tahoma"/>
          <w:sz w:val="18"/>
          <w:szCs w:val="18"/>
          <w:lang w:val="it-IT"/>
        </w:rPr>
        <w:t>.</w:t>
      </w:r>
    </w:p>
    <w:p w:rsidR="00B24C9D" w:rsidRPr="00451078" w:rsidRDefault="00B24C9D" w:rsidP="00B24C9D">
      <w:pPr>
        <w:pStyle w:val="FootnoteBulletLevel1"/>
        <w:tabs>
          <w:tab w:val="clear" w:pos="900"/>
        </w:tabs>
        <w:adjustRightInd/>
        <w:spacing w:before="0" w:after="0"/>
        <w:ind w:left="720" w:firstLine="0"/>
        <w:textAlignment w:val="auto"/>
        <w:rPr>
          <w:lang w:val="it-IT"/>
        </w:rPr>
      </w:pPr>
    </w:p>
    <w:p w:rsidR="00B73A46" w:rsidRPr="00451078" w:rsidRDefault="005D46BA" w:rsidP="00B24C9D">
      <w:pPr>
        <w:pStyle w:val="FootnoteBulletLevel1"/>
        <w:tabs>
          <w:tab w:val="clear" w:pos="900"/>
        </w:tabs>
        <w:adjustRightInd/>
        <w:spacing w:before="0" w:after="60"/>
        <w:ind w:left="720" w:firstLine="0"/>
        <w:textAlignment w:val="auto"/>
        <w:rPr>
          <w:lang w:val="it-IT"/>
        </w:rPr>
      </w:pPr>
      <w:r w:rsidRPr="00451078">
        <w:rPr>
          <w:rFonts w:ascii="Tahoma" w:hAnsi="Tahoma" w:cs="Tahoma"/>
          <w:b/>
          <w:bCs/>
          <w:sz w:val="18"/>
          <w:szCs w:val="18"/>
          <w:lang w:val="it-IT"/>
        </w:rPr>
        <w:t>Windows Intune (Per Dispositivo)</w:t>
      </w:r>
    </w:p>
    <w:p w:rsidR="00B24C9D" w:rsidRPr="00451078" w:rsidRDefault="0071258F" w:rsidP="00B24C9D">
      <w:pPr>
        <w:ind w:left="720"/>
        <w:rPr>
          <w:lang w:val="it-IT"/>
        </w:rPr>
      </w:pPr>
      <w:r w:rsidRPr="00451078">
        <w:rPr>
          <w:rFonts w:cs="Tahoma"/>
          <w:szCs w:val="18"/>
          <w:lang w:val="it-IT"/>
        </w:rPr>
        <w:t xml:space="preserve">Windows Intune (Per Dispositivo) è disponibile ai sensi di una licenza </w:t>
      </w:r>
      <w:r w:rsidR="001A3EC5" w:rsidRPr="00451078">
        <w:rPr>
          <w:rFonts w:cs="Tahoma"/>
          <w:szCs w:val="18"/>
          <w:lang w:val="it-IT"/>
        </w:rPr>
        <w:t>“</w:t>
      </w:r>
      <w:r w:rsidRPr="00451078">
        <w:rPr>
          <w:rFonts w:cs="Tahoma"/>
          <w:szCs w:val="18"/>
          <w:lang w:val="it-IT"/>
        </w:rPr>
        <w:t>Subscription</w:t>
      </w:r>
      <w:r w:rsidR="001A3EC5" w:rsidRPr="00451078">
        <w:rPr>
          <w:rFonts w:cs="Tahoma"/>
          <w:szCs w:val="18"/>
          <w:lang w:val="it-IT"/>
        </w:rPr>
        <w:t>”</w:t>
      </w:r>
      <w:r w:rsidRPr="00451078">
        <w:rPr>
          <w:rFonts w:cs="Tahoma"/>
          <w:szCs w:val="18"/>
          <w:lang w:val="it-IT"/>
        </w:rPr>
        <w:t>. Include i diritti per</w:t>
      </w:r>
      <w:r w:rsidR="00847115" w:rsidRPr="00451078">
        <w:rPr>
          <w:rFonts w:cs="Tahoma"/>
          <w:szCs w:val="18"/>
          <w:lang w:val="it-IT"/>
        </w:rPr>
        <w:t> </w:t>
      </w:r>
      <w:r w:rsidRPr="00451078">
        <w:rPr>
          <w:rFonts w:cs="Tahoma"/>
          <w:szCs w:val="18"/>
          <w:lang w:val="it-IT"/>
        </w:rPr>
        <w:t>eseguire l</w:t>
      </w:r>
      <w:r w:rsidR="004525CA">
        <w:rPr>
          <w:rFonts w:cs="Tahoma"/>
          <w:szCs w:val="18"/>
          <w:lang w:val="it-IT"/>
        </w:rPr>
        <w:t>’</w:t>
      </w:r>
      <w:r w:rsidRPr="00451078">
        <w:rPr>
          <w:rFonts w:cs="Tahoma"/>
          <w:szCs w:val="18"/>
          <w:lang w:val="it-IT"/>
        </w:rPr>
        <w:t>aggiornamento al sistema operativo desktop Windows e utilizzarlo. Pertanto, come con l</w:t>
      </w:r>
      <w:r w:rsidR="004525CA">
        <w:rPr>
          <w:rFonts w:cs="Tahoma"/>
          <w:szCs w:val="18"/>
          <w:lang w:val="it-IT"/>
        </w:rPr>
        <w:t>’</w:t>
      </w:r>
      <w:r w:rsidRPr="00451078">
        <w:rPr>
          <w:rFonts w:cs="Tahoma"/>
          <w:szCs w:val="18"/>
          <w:lang w:val="it-IT"/>
        </w:rPr>
        <w:t>Aggiornamento per Windows Pro, ogni desktop per il quale si acquista e sul quale si eseguirà Windows Intune (Per Dispositivo) dovrà avere la licenza per eseguire uno dei sistemi operativi qualificanti applicabili indicati sopra.</w:t>
      </w:r>
    </w:p>
    <w:p w:rsidR="00B73A46" w:rsidRPr="00451078" w:rsidRDefault="00B73A46" w:rsidP="00B24C9D">
      <w:pPr>
        <w:ind w:left="720"/>
        <w:rPr>
          <w:lang w:val="it-IT"/>
        </w:rPr>
      </w:pPr>
    </w:p>
    <w:p w:rsidR="00B73A46" w:rsidRPr="00451078" w:rsidRDefault="00B73A46" w:rsidP="00B24C9D">
      <w:pPr>
        <w:ind w:left="720"/>
        <w:rPr>
          <w:lang w:val="it-IT"/>
        </w:rPr>
      </w:pPr>
      <w:r w:rsidRPr="00451078">
        <w:rPr>
          <w:rFonts w:cs="Tahoma"/>
          <w:szCs w:val="18"/>
          <w:lang w:val="it-IT"/>
        </w:rPr>
        <w:t>Le condizioni valide per l</w:t>
      </w:r>
      <w:r w:rsidR="004525CA">
        <w:rPr>
          <w:rFonts w:cs="Tahoma"/>
          <w:szCs w:val="18"/>
          <w:lang w:val="it-IT"/>
        </w:rPr>
        <w:t>’</w:t>
      </w:r>
      <w:r w:rsidRPr="00451078">
        <w:rPr>
          <w:rFonts w:cs="Tahoma"/>
          <w:szCs w:val="18"/>
          <w:lang w:val="it-IT"/>
        </w:rPr>
        <w:t xml:space="preserve">acquisto della Licenza di Aggiornamento per Windows Pro descritte sopra in </w:t>
      </w:r>
      <w:r w:rsidR="001A3EC5" w:rsidRPr="00451078">
        <w:rPr>
          <w:rFonts w:cs="Tahoma"/>
          <w:szCs w:val="18"/>
          <w:lang w:val="it-IT"/>
        </w:rPr>
        <w:t>“</w:t>
      </w:r>
      <w:r w:rsidRPr="00451078">
        <w:rPr>
          <w:rFonts w:cs="Tahoma"/>
          <w:szCs w:val="18"/>
          <w:lang w:val="it-IT"/>
        </w:rPr>
        <w:t>Regole per i Sistemi Operativi Qualificanti</w:t>
      </w:r>
      <w:r w:rsidR="001A3EC5" w:rsidRPr="00451078">
        <w:rPr>
          <w:rFonts w:cs="Tahoma"/>
          <w:szCs w:val="18"/>
          <w:lang w:val="it-IT"/>
        </w:rPr>
        <w:t>”</w:t>
      </w:r>
      <w:r w:rsidRPr="00451078">
        <w:rPr>
          <w:rFonts w:cs="Tahoma"/>
          <w:szCs w:val="18"/>
          <w:lang w:val="it-IT"/>
        </w:rPr>
        <w:t xml:space="preserve"> si applicano all</w:t>
      </w:r>
      <w:r w:rsidR="004525CA">
        <w:rPr>
          <w:rFonts w:cs="Tahoma"/>
          <w:szCs w:val="18"/>
          <w:lang w:val="it-IT"/>
        </w:rPr>
        <w:t>’</w:t>
      </w:r>
      <w:r w:rsidRPr="00451078">
        <w:rPr>
          <w:rFonts w:cs="Tahoma"/>
          <w:szCs w:val="18"/>
          <w:lang w:val="it-IT"/>
        </w:rPr>
        <w:t>acquisto delle licenze per Windows Intune (Per</w:t>
      </w:r>
      <w:r w:rsidR="00847115" w:rsidRPr="00451078">
        <w:rPr>
          <w:rFonts w:cs="Tahoma"/>
          <w:szCs w:val="18"/>
          <w:lang w:val="it-IT"/>
        </w:rPr>
        <w:t> </w:t>
      </w:r>
      <w:r w:rsidRPr="00451078">
        <w:rPr>
          <w:rFonts w:cs="Tahoma"/>
          <w:szCs w:val="18"/>
          <w:lang w:val="it-IT"/>
        </w:rPr>
        <w:t>Dispositivo).</w:t>
      </w:r>
    </w:p>
    <w:p w:rsidR="00B24C9D" w:rsidRPr="00451078" w:rsidRDefault="00B24C9D" w:rsidP="00B24C9D">
      <w:pPr>
        <w:ind w:left="720"/>
        <w:rPr>
          <w:lang w:val="it-IT"/>
        </w:rPr>
      </w:pPr>
    </w:p>
    <w:p w:rsidR="00B24C9D" w:rsidRPr="00451078" w:rsidRDefault="0085061F" w:rsidP="00B24C9D">
      <w:pPr>
        <w:keepNext/>
        <w:ind w:left="720"/>
        <w:rPr>
          <w:lang w:val="it-IT"/>
        </w:rPr>
      </w:pPr>
      <w:r w:rsidRPr="00451078">
        <w:rPr>
          <w:rFonts w:eastAsia="Calibri" w:cs="Tahoma"/>
          <w:szCs w:val="18"/>
          <w:lang w:val="it-IT"/>
        </w:rPr>
        <w:t xml:space="preserve">Per quanto riguarda Windows Intune (Per Dispositivo) acquistato come Servizio Online Enterprise al fine di soddisfare i requisiti per i Prodotti Enterprise: fare riferimento alla colonna </w:t>
      </w:r>
      <w:r w:rsidR="001A3EC5" w:rsidRPr="00451078">
        <w:rPr>
          <w:rFonts w:eastAsia="Calibri" w:cs="Tahoma"/>
          <w:szCs w:val="18"/>
          <w:lang w:val="it-IT"/>
        </w:rPr>
        <w:t>“</w:t>
      </w:r>
      <w:r w:rsidRPr="00451078">
        <w:rPr>
          <w:rFonts w:eastAsia="Calibri" w:cs="Tahoma"/>
          <w:szCs w:val="18"/>
          <w:lang w:val="it-IT"/>
        </w:rPr>
        <w:t>Nuovo EA/OV-CW</w:t>
      </w:r>
      <w:r w:rsidR="001A3EC5" w:rsidRPr="00451078">
        <w:rPr>
          <w:rFonts w:eastAsia="Calibri" w:cs="Tahoma"/>
          <w:szCs w:val="18"/>
          <w:lang w:val="it-IT"/>
        </w:rPr>
        <w:t>”</w:t>
      </w:r>
      <w:r w:rsidRPr="00451078">
        <w:rPr>
          <w:rFonts w:eastAsia="Calibri" w:cs="Tahoma"/>
          <w:szCs w:val="18"/>
          <w:lang w:val="it-IT"/>
        </w:rPr>
        <w:t xml:space="preserve"> nella tabella precedente per le licenze acquistate al momento della sottoscrizione e alla colonna </w:t>
      </w:r>
      <w:r w:rsidR="001A3EC5" w:rsidRPr="00451078">
        <w:rPr>
          <w:rFonts w:eastAsia="Calibri" w:cs="Tahoma"/>
          <w:szCs w:val="18"/>
          <w:lang w:val="it-IT"/>
        </w:rPr>
        <w:t>“</w:t>
      </w:r>
      <w:r w:rsidRPr="00451078">
        <w:rPr>
          <w:rFonts w:eastAsia="Calibri" w:cs="Tahoma"/>
          <w:szCs w:val="18"/>
          <w:lang w:val="it-IT"/>
        </w:rPr>
        <w:t>EA/OV-CW Esistente</w:t>
      </w:r>
      <w:r w:rsidR="001A3EC5" w:rsidRPr="00451078">
        <w:rPr>
          <w:rFonts w:eastAsia="Calibri" w:cs="Tahoma"/>
          <w:szCs w:val="18"/>
          <w:lang w:val="it-IT"/>
        </w:rPr>
        <w:t>”</w:t>
      </w:r>
      <w:r w:rsidRPr="00451078">
        <w:rPr>
          <w:rFonts w:eastAsia="Calibri" w:cs="Tahoma"/>
          <w:szCs w:val="18"/>
          <w:lang w:val="it-IT"/>
        </w:rPr>
        <w:t xml:space="preserve"> nella tabella precedente per le licenze acquistate in qualsiasi altro momento o riassegnate secondo la modalità autorizzata nell</w:t>
      </w:r>
      <w:r w:rsidR="004525CA">
        <w:rPr>
          <w:rFonts w:eastAsia="Calibri" w:cs="Tahoma"/>
          <w:szCs w:val="18"/>
          <w:lang w:val="it-IT"/>
        </w:rPr>
        <w:t>’</w:t>
      </w:r>
      <w:r w:rsidRPr="00451078">
        <w:rPr>
          <w:rFonts w:eastAsia="Calibri" w:cs="Tahoma"/>
          <w:szCs w:val="18"/>
          <w:lang w:val="it-IT"/>
        </w:rPr>
        <w:t xml:space="preserve">Articolo </w:t>
      </w:r>
      <w:r w:rsidR="001A3EC5" w:rsidRPr="00451078">
        <w:rPr>
          <w:rFonts w:eastAsia="Calibri" w:cs="Tahoma"/>
          <w:szCs w:val="18"/>
          <w:lang w:val="it-IT"/>
        </w:rPr>
        <w:t>“</w:t>
      </w:r>
      <w:r w:rsidRPr="00451078">
        <w:rPr>
          <w:rFonts w:eastAsia="Calibri" w:cs="Tahoma"/>
          <w:szCs w:val="18"/>
          <w:lang w:val="it-IT"/>
        </w:rPr>
        <w:t>Riassegnazione delle Licenze</w:t>
      </w:r>
      <w:r w:rsidR="001A3EC5" w:rsidRPr="00451078">
        <w:rPr>
          <w:rFonts w:eastAsia="Calibri" w:cs="Tahoma"/>
          <w:szCs w:val="18"/>
          <w:lang w:val="it-IT"/>
        </w:rPr>
        <w:t>”</w:t>
      </w:r>
      <w:r w:rsidRPr="00451078">
        <w:rPr>
          <w:rFonts w:eastAsia="Calibri" w:cs="Tahoma"/>
          <w:szCs w:val="18"/>
          <w:lang w:val="it-IT"/>
        </w:rPr>
        <w:t xml:space="preserve"> che segue.</w:t>
      </w:r>
    </w:p>
    <w:p w:rsidR="0085061F" w:rsidRPr="00451078" w:rsidRDefault="0085061F" w:rsidP="00B24C9D">
      <w:pPr>
        <w:keepNext/>
        <w:ind w:left="720"/>
        <w:rPr>
          <w:rFonts w:cs="Tahoma"/>
          <w:szCs w:val="18"/>
          <w:lang w:val="it-IT"/>
        </w:rPr>
      </w:pPr>
    </w:p>
    <w:p w:rsidR="0053437B" w:rsidRPr="00451078" w:rsidRDefault="0053437B" w:rsidP="00B24C9D">
      <w:pPr>
        <w:ind w:left="720"/>
        <w:rPr>
          <w:rFonts w:cs="Tahoma"/>
          <w:szCs w:val="18"/>
          <w:lang w:val="it-IT"/>
        </w:rPr>
      </w:pPr>
      <w:r w:rsidRPr="00451078">
        <w:rPr>
          <w:rFonts w:eastAsia="Calibri" w:cs="Tahoma"/>
          <w:szCs w:val="18"/>
          <w:lang w:val="it-IT"/>
        </w:rPr>
        <w:t xml:space="preserve">Come eccezione alla regole precedente, per quanto riguarda Windows Intune (Per Dispositivo) acquistato come Servizio Online Enterprise, ma non al fine di soddisfare i requisiti per i Prodotti Enterprise: fare riferimento alla colonna </w:t>
      </w:r>
      <w:r w:rsidR="001A3EC5" w:rsidRPr="00451078">
        <w:rPr>
          <w:rFonts w:eastAsia="Calibri" w:cs="Tahoma"/>
          <w:szCs w:val="18"/>
          <w:lang w:val="it-IT"/>
        </w:rPr>
        <w:t>“</w:t>
      </w:r>
      <w:r w:rsidRPr="00451078">
        <w:rPr>
          <w:rFonts w:eastAsia="Calibri" w:cs="Tahoma"/>
          <w:szCs w:val="18"/>
          <w:lang w:val="it-IT"/>
        </w:rPr>
        <w:t>Nuovo EA/OV-CW</w:t>
      </w:r>
      <w:r w:rsidR="001A3EC5" w:rsidRPr="00451078">
        <w:rPr>
          <w:rFonts w:eastAsia="Calibri" w:cs="Tahoma"/>
          <w:szCs w:val="18"/>
          <w:lang w:val="it-IT"/>
        </w:rPr>
        <w:t>”</w:t>
      </w:r>
      <w:r w:rsidRPr="00451078">
        <w:rPr>
          <w:rFonts w:eastAsia="Calibri" w:cs="Tahoma"/>
          <w:szCs w:val="18"/>
          <w:lang w:val="it-IT"/>
        </w:rPr>
        <w:t xml:space="preserve"> nella tabella precedente per le nuove licenze.</w:t>
      </w:r>
    </w:p>
    <w:p w:rsidR="00B24C9D" w:rsidRPr="00451078" w:rsidRDefault="00B24C9D" w:rsidP="00B24C9D">
      <w:pPr>
        <w:ind w:left="720"/>
        <w:rPr>
          <w:rFonts w:cs="Tahoma"/>
          <w:szCs w:val="18"/>
          <w:lang w:val="it-IT"/>
        </w:rPr>
      </w:pPr>
    </w:p>
    <w:p w:rsidR="00B73A46" w:rsidRPr="00451078" w:rsidRDefault="00B73A46" w:rsidP="008905FE">
      <w:pPr>
        <w:pStyle w:val="FootnoteBulletLevel2"/>
        <w:spacing w:before="0"/>
        <w:ind w:left="720" w:firstLine="0"/>
        <w:rPr>
          <w:rFonts w:ascii="Tahoma" w:hAnsi="Tahoma" w:cs="Tahoma"/>
          <w:sz w:val="18"/>
          <w:szCs w:val="18"/>
          <w:lang w:val="it-IT"/>
        </w:rPr>
      </w:pPr>
      <w:r w:rsidRPr="00451078">
        <w:rPr>
          <w:rFonts w:ascii="Tahoma" w:hAnsi="Tahoma" w:cs="Tahoma"/>
          <w:sz w:val="18"/>
          <w:szCs w:val="18"/>
          <w:lang w:val="it-IT"/>
        </w:rPr>
        <w:t xml:space="preserve">Le società che dispongono di licenze </w:t>
      </w:r>
      <w:r w:rsidR="001A3EC5" w:rsidRPr="00451078">
        <w:rPr>
          <w:rFonts w:ascii="Tahoma" w:hAnsi="Tahoma" w:cs="Tahoma"/>
          <w:sz w:val="18"/>
          <w:szCs w:val="18"/>
          <w:lang w:val="it-IT"/>
        </w:rPr>
        <w:t>“</w:t>
      </w:r>
      <w:r w:rsidRPr="00451078">
        <w:rPr>
          <w:rFonts w:ascii="Tahoma" w:hAnsi="Tahoma" w:cs="Tahoma"/>
          <w:sz w:val="18"/>
          <w:szCs w:val="18"/>
          <w:lang w:val="it-IT"/>
        </w:rPr>
        <w:t>Subscription</w:t>
      </w:r>
      <w:r w:rsidR="001A3EC5" w:rsidRPr="00451078">
        <w:rPr>
          <w:rFonts w:ascii="Tahoma" w:hAnsi="Tahoma" w:cs="Tahoma"/>
          <w:sz w:val="18"/>
          <w:szCs w:val="18"/>
          <w:lang w:val="it-IT"/>
        </w:rPr>
        <w:t>”</w:t>
      </w:r>
      <w:r w:rsidRPr="00451078">
        <w:rPr>
          <w:rFonts w:ascii="Tahoma" w:hAnsi="Tahoma" w:cs="Tahoma"/>
          <w:sz w:val="18"/>
          <w:szCs w:val="18"/>
          <w:lang w:val="it-IT"/>
        </w:rPr>
        <w:t>per Windows Intune (Per Dispositivo) non devono disinstallare il sistema operativo qualificante sul loro dispositivo con licenza e potranno installare ed eseguire</w:t>
      </w:r>
      <w:r w:rsidR="008905FE">
        <w:rPr>
          <w:rFonts w:ascii="Tahoma" w:hAnsi="Tahoma" w:cs="Tahoma"/>
          <w:sz w:val="18"/>
          <w:szCs w:val="18"/>
          <w:lang w:val="it-IT"/>
        </w:rPr>
        <w:t> </w:t>
      </w:r>
      <w:r w:rsidRPr="00451078">
        <w:rPr>
          <w:rFonts w:ascii="Tahoma" w:hAnsi="Tahoma" w:cs="Tahoma"/>
          <w:sz w:val="18"/>
          <w:szCs w:val="18"/>
          <w:lang w:val="it-IT"/>
        </w:rPr>
        <w:t xml:space="preserve">contemporaneamente il sistema operativo qualificante e il sistema operativo desktop Windows. </w:t>
      </w:r>
    </w:p>
    <w:p w:rsidR="00B73A46" w:rsidRPr="00451078" w:rsidRDefault="00B73A46" w:rsidP="00B24C9D">
      <w:pPr>
        <w:pStyle w:val="FootnoteBulletLevel1"/>
        <w:spacing w:before="0" w:after="0"/>
        <w:ind w:left="720" w:firstLine="0"/>
        <w:rPr>
          <w:rFonts w:ascii="Tahoma" w:hAnsi="Tahoma" w:cs="Tahoma"/>
          <w:sz w:val="18"/>
          <w:szCs w:val="18"/>
          <w:lang w:val="it-IT"/>
        </w:rPr>
      </w:pPr>
    </w:p>
    <w:p w:rsidR="00B24C9D" w:rsidRPr="00451078" w:rsidRDefault="00B24C9D" w:rsidP="00B24C9D">
      <w:pPr>
        <w:tabs>
          <w:tab w:val="left" w:pos="900"/>
        </w:tabs>
        <w:ind w:left="720"/>
        <w:rPr>
          <w:rFonts w:cs="Tahoma"/>
          <w:szCs w:val="18"/>
          <w:lang w:val="it-IT"/>
        </w:rPr>
      </w:pPr>
      <w:r w:rsidRPr="00451078">
        <w:rPr>
          <w:rFonts w:cs="Tahoma"/>
          <w:szCs w:val="18"/>
          <w:u w:val="single"/>
          <w:lang w:val="it-IT"/>
        </w:rPr>
        <w:t>Cessione della Licenza</w:t>
      </w:r>
      <w:r w:rsidRPr="00451078">
        <w:rPr>
          <w:rFonts w:cs="Tahoma"/>
          <w:szCs w:val="18"/>
          <w:lang w:val="it-IT"/>
        </w:rPr>
        <w:t> </w:t>
      </w:r>
    </w:p>
    <w:p w:rsidR="00B73A46" w:rsidRPr="00451078" w:rsidRDefault="00B73A46" w:rsidP="00B24C9D">
      <w:pPr>
        <w:tabs>
          <w:tab w:val="left" w:pos="900"/>
        </w:tabs>
        <w:ind w:left="720"/>
        <w:rPr>
          <w:rFonts w:cs="Tahoma"/>
          <w:szCs w:val="18"/>
          <w:lang w:val="it-IT"/>
        </w:rPr>
      </w:pPr>
      <w:r w:rsidRPr="00451078">
        <w:rPr>
          <w:rFonts w:cs="Tahoma"/>
          <w:szCs w:val="18"/>
          <w:lang w:val="it-IT"/>
        </w:rPr>
        <w:t xml:space="preserve">Le società dovranno cedere la loro licenza </w:t>
      </w:r>
      <w:r w:rsidR="001A3EC5" w:rsidRPr="00451078">
        <w:rPr>
          <w:rFonts w:cs="Tahoma"/>
          <w:szCs w:val="18"/>
          <w:lang w:val="it-IT"/>
        </w:rPr>
        <w:t>“</w:t>
      </w:r>
      <w:r w:rsidRPr="00451078">
        <w:rPr>
          <w:rFonts w:cs="Tahoma"/>
          <w:szCs w:val="18"/>
          <w:lang w:val="it-IT"/>
        </w:rPr>
        <w:t>subscription</w:t>
      </w:r>
      <w:r w:rsidR="001A3EC5" w:rsidRPr="00451078">
        <w:rPr>
          <w:rFonts w:cs="Tahoma"/>
          <w:szCs w:val="18"/>
          <w:lang w:val="it-IT"/>
        </w:rPr>
        <w:t>”</w:t>
      </w:r>
      <w:r w:rsidRPr="00451078">
        <w:rPr>
          <w:rFonts w:cs="Tahoma"/>
          <w:szCs w:val="18"/>
          <w:lang w:val="it-IT"/>
        </w:rPr>
        <w:t xml:space="preserve"> per Windows Intune (Per Dispositivo) al dispositivo sul quale è installato il sistema operativo qualificante. </w:t>
      </w:r>
    </w:p>
    <w:p w:rsidR="00B73A46" w:rsidRPr="00451078" w:rsidRDefault="00B73A46" w:rsidP="00B24C9D">
      <w:pPr>
        <w:pStyle w:val="FootnoteBulletLevel2"/>
        <w:spacing w:before="0"/>
        <w:ind w:left="907" w:firstLine="0"/>
        <w:rPr>
          <w:rFonts w:ascii="Tahoma" w:hAnsi="Tahoma" w:cs="Tahoma"/>
          <w:sz w:val="18"/>
          <w:szCs w:val="18"/>
          <w:lang w:val="it-IT"/>
        </w:rPr>
      </w:pPr>
    </w:p>
    <w:p w:rsidR="00B73A46" w:rsidRPr="00451078" w:rsidRDefault="00B73A46" w:rsidP="00B24C9D">
      <w:pPr>
        <w:pStyle w:val="FootnoteBulletLevel1"/>
        <w:tabs>
          <w:tab w:val="clear" w:pos="900"/>
        </w:tabs>
        <w:spacing w:before="0" w:after="60"/>
        <w:ind w:left="720" w:firstLine="0"/>
        <w:rPr>
          <w:lang w:val="it-IT"/>
        </w:rPr>
      </w:pPr>
      <w:r w:rsidRPr="00451078">
        <w:rPr>
          <w:rFonts w:ascii="Tahoma" w:hAnsi="Tahoma" w:cs="Tahoma"/>
          <w:b/>
          <w:sz w:val="18"/>
          <w:szCs w:val="18"/>
          <w:lang w:val="it-IT"/>
        </w:rPr>
        <w:t>Riassegnazione della Licenza</w:t>
      </w:r>
      <w:r w:rsidRPr="00451078">
        <w:rPr>
          <w:rFonts w:ascii="Tahoma" w:hAnsi="Tahoma" w:cs="Tahoma"/>
          <w:b/>
          <w:bCs/>
          <w:sz w:val="18"/>
          <w:szCs w:val="18"/>
          <w:lang w:val="it-IT"/>
        </w:rPr>
        <w:t xml:space="preserve"> per Windows Intune (Per Dispositivo)</w:t>
      </w:r>
    </w:p>
    <w:p w:rsidR="00B73A46" w:rsidRPr="00451078" w:rsidRDefault="00B73A46" w:rsidP="00B24C9D">
      <w:pPr>
        <w:pStyle w:val="BodyText"/>
        <w:spacing w:before="0" w:after="0" w:line="240" w:lineRule="auto"/>
        <w:ind w:left="720"/>
        <w:rPr>
          <w:lang w:val="it-IT"/>
        </w:rPr>
      </w:pPr>
      <w:r w:rsidRPr="00451078">
        <w:rPr>
          <w:rFonts w:ascii="Tahoma" w:hAnsi="Tahoma" w:cs="Tahoma"/>
          <w:color w:val="auto"/>
          <w:sz w:val="18"/>
          <w:szCs w:val="18"/>
          <w:lang w:val="it-IT"/>
        </w:rPr>
        <w:t>Le società potranno riassegnare le licenze per Windows Intune (Per Dispositivo), ma non a breve termine, vale a dire non prima di 90 giorni dall</w:t>
      </w:r>
      <w:r w:rsidR="004525CA">
        <w:rPr>
          <w:rFonts w:ascii="Tahoma" w:hAnsi="Tahoma" w:cs="Tahoma"/>
          <w:color w:val="auto"/>
          <w:sz w:val="18"/>
          <w:szCs w:val="18"/>
          <w:lang w:val="it-IT"/>
        </w:rPr>
        <w:t>’</w:t>
      </w:r>
      <w:r w:rsidRPr="00451078">
        <w:rPr>
          <w:rFonts w:ascii="Tahoma" w:hAnsi="Tahoma" w:cs="Tahoma"/>
          <w:color w:val="auto"/>
          <w:sz w:val="18"/>
          <w:szCs w:val="18"/>
          <w:lang w:val="it-IT"/>
        </w:rPr>
        <w:t>ultima cessione. Le società potranno riassegnare prima una licenza per</w:t>
      </w:r>
      <w:r w:rsidR="00847115" w:rsidRPr="00451078">
        <w:rPr>
          <w:rFonts w:ascii="Tahoma" w:hAnsi="Tahoma" w:cs="Tahoma"/>
          <w:color w:val="auto"/>
          <w:sz w:val="18"/>
          <w:szCs w:val="18"/>
          <w:lang w:val="it-IT"/>
        </w:rPr>
        <w:t> </w:t>
      </w:r>
      <w:r w:rsidRPr="00451078">
        <w:rPr>
          <w:rFonts w:ascii="Tahoma" w:hAnsi="Tahoma" w:cs="Tahoma"/>
          <w:color w:val="auto"/>
          <w:sz w:val="18"/>
          <w:szCs w:val="18"/>
          <w:lang w:val="it-IT"/>
        </w:rPr>
        <w:t>Windows Intune (Per Dispositivo) nel caso in cui ritirino il dispositivo con licenza esistente a causa di un problema hardware permanente. Il dispositivo al quale viene riassegnata una licenza per Windows Intune (Per Dispositivo) dovrà soddisfare i requisiti del sistema operativo qualificante descritti sopra. Il software dovrà essere rimosso e l</w:t>
      </w:r>
      <w:r w:rsidR="004525CA">
        <w:rPr>
          <w:rFonts w:ascii="Tahoma" w:hAnsi="Tahoma" w:cs="Tahoma"/>
          <w:color w:val="auto"/>
          <w:sz w:val="18"/>
          <w:szCs w:val="18"/>
          <w:lang w:val="it-IT"/>
        </w:rPr>
        <w:t>’</w:t>
      </w:r>
      <w:r w:rsidRPr="00451078">
        <w:rPr>
          <w:rFonts w:ascii="Tahoma" w:hAnsi="Tahoma" w:cs="Tahoma"/>
          <w:color w:val="auto"/>
          <w:sz w:val="18"/>
          <w:szCs w:val="18"/>
          <w:lang w:val="it-IT"/>
        </w:rPr>
        <w:t>utilizzo del servizio Windows Intune (Per Dispositivo) o l</w:t>
      </w:r>
      <w:r w:rsidR="004525CA">
        <w:rPr>
          <w:rFonts w:ascii="Tahoma" w:hAnsi="Tahoma" w:cs="Tahoma"/>
          <w:color w:val="auto"/>
          <w:sz w:val="18"/>
          <w:szCs w:val="18"/>
          <w:lang w:val="it-IT"/>
        </w:rPr>
        <w:t>’</w:t>
      </w:r>
      <w:r w:rsidRPr="00451078">
        <w:rPr>
          <w:rFonts w:ascii="Tahoma" w:hAnsi="Tahoma" w:cs="Tahoma"/>
          <w:color w:val="auto"/>
          <w:sz w:val="18"/>
          <w:szCs w:val="18"/>
          <w:lang w:val="it-IT"/>
        </w:rPr>
        <w:t>accesso ad esso dovrà essere interrotto dal dispositivo dal quale viene riassegnata la licenza.</w:t>
      </w:r>
    </w:p>
    <w:p w:rsidR="00B24C9D" w:rsidRPr="00451078" w:rsidRDefault="00B24C9D" w:rsidP="00B24C9D">
      <w:pPr>
        <w:pStyle w:val="BodyText"/>
        <w:spacing w:before="0" w:after="0" w:line="240" w:lineRule="auto"/>
        <w:ind w:left="720"/>
        <w:rPr>
          <w:rFonts w:ascii="Tahoma" w:hAnsi="Tahoma" w:cs="Tahoma"/>
          <w:sz w:val="18"/>
          <w:szCs w:val="18"/>
          <w:lang w:val="it-IT"/>
        </w:rPr>
      </w:pPr>
    </w:p>
    <w:p w:rsidR="00B73A46" w:rsidRPr="00451078" w:rsidRDefault="00B73A46" w:rsidP="0090057A">
      <w:pPr>
        <w:autoSpaceDN w:val="0"/>
        <w:ind w:left="720"/>
        <w:rPr>
          <w:rFonts w:cs="Tahoma"/>
          <w:szCs w:val="18"/>
          <w:lang w:val="it-IT"/>
        </w:rPr>
      </w:pPr>
      <w:r w:rsidRPr="00451078">
        <w:rPr>
          <w:rFonts w:cs="Tahoma"/>
          <w:szCs w:val="18"/>
          <w:lang w:val="it-IT"/>
        </w:rPr>
        <w:lastRenderedPageBreak/>
        <w:t>Come eccezione ai requisiti del sistema operativo qualificante per Windows Intune (Per Dispositivo) concesso in licenza come Servizio Online Enterprise per soddisfare i requisiti per i Prodotti, le società</w:t>
      </w:r>
      <w:r w:rsidRPr="00451078">
        <w:rPr>
          <w:rFonts w:cs="Tahoma"/>
          <w:strike/>
          <w:szCs w:val="18"/>
          <w:lang w:val="it-IT"/>
        </w:rPr>
        <w:t xml:space="preserve"> </w:t>
      </w:r>
      <w:r w:rsidRPr="00451078">
        <w:rPr>
          <w:rFonts w:cs="Tahoma"/>
          <w:szCs w:val="18"/>
          <w:lang w:val="it-IT"/>
        </w:rPr>
        <w:t xml:space="preserve">potranno riassegnare le licenze per Windows Intune (Per Dispositivo) a uno dei seguenti dispositivi, purché abbiano la licenza per uno dei sistemi operativi qualificanti identificati nella colonna </w:t>
      </w:r>
      <w:r w:rsidR="001A3EC5" w:rsidRPr="00451078">
        <w:rPr>
          <w:rFonts w:cs="Tahoma"/>
          <w:szCs w:val="18"/>
          <w:lang w:val="it-IT"/>
        </w:rPr>
        <w:t>“</w:t>
      </w:r>
      <w:r w:rsidRPr="00451078">
        <w:rPr>
          <w:rFonts w:cs="Tahoma"/>
          <w:szCs w:val="18"/>
          <w:lang w:val="it-IT"/>
        </w:rPr>
        <w:t>Nuovo EA/OV-CW</w:t>
      </w:r>
      <w:r w:rsidR="001A3EC5" w:rsidRPr="00451078">
        <w:rPr>
          <w:rFonts w:cs="Tahoma"/>
          <w:szCs w:val="18"/>
          <w:lang w:val="it-IT"/>
        </w:rPr>
        <w:t>”</w:t>
      </w:r>
      <w:r w:rsidRPr="00451078">
        <w:rPr>
          <w:rFonts w:cs="Tahoma"/>
          <w:szCs w:val="18"/>
          <w:lang w:val="it-IT"/>
        </w:rPr>
        <w:t xml:space="preserve"> della</w:t>
      </w:r>
      <w:r w:rsidR="0090057A">
        <w:rPr>
          <w:rFonts w:cs="Tahoma"/>
          <w:szCs w:val="18"/>
          <w:lang w:val="it-IT"/>
        </w:rPr>
        <w:t> </w:t>
      </w:r>
      <w:r w:rsidRPr="00451078">
        <w:rPr>
          <w:rFonts w:cs="Tahoma"/>
          <w:szCs w:val="18"/>
          <w:lang w:val="it-IT"/>
        </w:rPr>
        <w:t xml:space="preserve">tabella precedente e tale sistema operativo qualificante sia installato su di essi: </w:t>
      </w:r>
    </w:p>
    <w:p w:rsidR="00B24C9D" w:rsidRPr="00451078" w:rsidRDefault="00B24C9D" w:rsidP="00B24C9D">
      <w:pPr>
        <w:autoSpaceDN w:val="0"/>
        <w:ind w:left="720"/>
        <w:rPr>
          <w:rFonts w:cs="Tahoma"/>
          <w:szCs w:val="18"/>
          <w:lang w:val="it-IT"/>
        </w:rPr>
      </w:pPr>
    </w:p>
    <w:p w:rsidR="00B73A46" w:rsidRPr="00451078" w:rsidRDefault="00B73A46" w:rsidP="00745AB3">
      <w:pPr>
        <w:numPr>
          <w:ilvl w:val="3"/>
          <w:numId w:val="27"/>
        </w:numPr>
        <w:autoSpaceDN w:val="0"/>
        <w:spacing w:after="60"/>
        <w:ind w:left="1440"/>
        <w:rPr>
          <w:lang w:val="it-IT"/>
        </w:rPr>
      </w:pPr>
      <w:r w:rsidRPr="00451078">
        <w:rPr>
          <w:rFonts w:cs="Tahoma"/>
          <w:szCs w:val="18"/>
          <w:lang w:val="it-IT"/>
        </w:rPr>
        <w:t xml:space="preserve">dispositivi che il licenziatario acquista in seguito a una fusione o acquisizione e </w:t>
      </w:r>
    </w:p>
    <w:p w:rsidR="00DA7284" w:rsidRPr="00451078" w:rsidRDefault="00B73A46" w:rsidP="00745AB3">
      <w:pPr>
        <w:numPr>
          <w:ilvl w:val="3"/>
          <w:numId w:val="27"/>
        </w:numPr>
        <w:autoSpaceDN w:val="0"/>
        <w:spacing w:after="60"/>
        <w:ind w:left="1440"/>
        <w:rPr>
          <w:lang w:val="it-IT"/>
        </w:rPr>
      </w:pPr>
      <w:r w:rsidRPr="00451078">
        <w:rPr>
          <w:rFonts w:cs="Tahoma"/>
          <w:szCs w:val="18"/>
          <w:lang w:val="it-IT"/>
        </w:rPr>
        <w:t>dispositivi di proprietà dei collaboratori e dei dipendenti.</w:t>
      </w:r>
    </w:p>
    <w:p w:rsidR="00A84DF7" w:rsidRPr="00451078" w:rsidRDefault="00A84DF7" w:rsidP="00A84DF7">
      <w:pPr>
        <w:autoSpaceDN w:val="0"/>
        <w:spacing w:after="60"/>
        <w:rPr>
          <w:lang w:val="it-IT"/>
        </w:rPr>
      </w:pPr>
    </w:p>
    <w:p w:rsidR="00B73A46" w:rsidRPr="00451078" w:rsidRDefault="00B73A46" w:rsidP="00A84DF7">
      <w:pPr>
        <w:pStyle w:val="FootnoteBulletLevel1"/>
        <w:tabs>
          <w:tab w:val="clear" w:pos="900"/>
        </w:tabs>
        <w:adjustRightInd/>
        <w:spacing w:before="0" w:after="60"/>
        <w:ind w:left="720" w:firstLine="0"/>
        <w:textAlignment w:val="auto"/>
        <w:rPr>
          <w:lang w:val="it-IT"/>
        </w:rPr>
      </w:pPr>
      <w:r w:rsidRPr="00451078">
        <w:rPr>
          <w:rFonts w:ascii="Tahoma" w:hAnsi="Tahoma" w:cs="Tahoma"/>
          <w:b/>
          <w:bCs/>
          <w:sz w:val="18"/>
          <w:szCs w:val="18"/>
          <w:lang w:val="it-IT"/>
        </w:rPr>
        <w:t>Software Assurance per</w:t>
      </w:r>
      <w:r w:rsidRPr="00451078">
        <w:rPr>
          <w:rFonts w:ascii="Tahoma" w:hAnsi="Tahoma" w:cs="Tahoma"/>
          <w:b/>
          <w:bCs/>
          <w:i/>
          <w:iCs/>
          <w:sz w:val="18"/>
          <w:szCs w:val="18"/>
          <w:lang w:val="it-IT"/>
        </w:rPr>
        <w:t xml:space="preserve"> </w:t>
      </w:r>
      <w:r w:rsidRPr="00451078">
        <w:rPr>
          <w:rFonts w:ascii="Tahoma" w:hAnsi="Tahoma" w:cs="Tahoma"/>
          <w:b/>
          <w:bCs/>
          <w:sz w:val="18"/>
          <w:szCs w:val="18"/>
          <w:lang w:val="it-IT"/>
        </w:rPr>
        <w:t>Windows 8 Pro</w:t>
      </w:r>
      <w:r w:rsidRPr="00451078">
        <w:rPr>
          <w:rFonts w:ascii="Tahoma" w:hAnsi="Tahoma" w:cs="Tahoma"/>
          <w:b/>
          <w:sz w:val="18"/>
          <w:szCs w:val="18"/>
          <w:u w:val="single"/>
          <w:lang w:val="it-IT"/>
        </w:rPr>
        <w:t xml:space="preserve"> </w:t>
      </w:r>
    </w:p>
    <w:p w:rsidR="00B73A46" w:rsidRPr="00451078" w:rsidRDefault="00B73A46" w:rsidP="00A84DF7">
      <w:pPr>
        <w:pStyle w:val="FootnoteBulletLevel1"/>
        <w:spacing w:before="0" w:after="0"/>
        <w:ind w:left="720" w:firstLine="0"/>
        <w:rPr>
          <w:lang w:val="it-IT"/>
        </w:rPr>
      </w:pPr>
      <w:r w:rsidRPr="00451078">
        <w:rPr>
          <w:rFonts w:ascii="Tahoma" w:hAnsi="Tahoma" w:cs="Tahoma"/>
          <w:sz w:val="18"/>
          <w:szCs w:val="18"/>
          <w:lang w:val="it-IT"/>
        </w:rPr>
        <w:t>Le società che intendono iscriversi a Software Assurance per Windows 8 Pro dispongono delle seguenti</w:t>
      </w:r>
      <w:r w:rsidR="00847115" w:rsidRPr="00451078">
        <w:rPr>
          <w:rFonts w:ascii="Tahoma" w:hAnsi="Tahoma" w:cs="Tahoma"/>
          <w:sz w:val="18"/>
          <w:szCs w:val="18"/>
          <w:lang w:val="it-IT"/>
        </w:rPr>
        <w:t> </w:t>
      </w:r>
      <w:r w:rsidRPr="00451078">
        <w:rPr>
          <w:rFonts w:ascii="Tahoma" w:hAnsi="Tahoma" w:cs="Tahoma"/>
          <w:sz w:val="18"/>
          <w:szCs w:val="18"/>
          <w:lang w:val="it-IT"/>
        </w:rPr>
        <w:t>opzioni:</w:t>
      </w:r>
    </w:p>
    <w:p w:rsidR="00A84DF7" w:rsidRPr="00451078" w:rsidRDefault="00A84DF7" w:rsidP="00A84DF7">
      <w:pPr>
        <w:pStyle w:val="FootnoteBulletLevel1"/>
        <w:spacing w:before="0" w:after="0"/>
        <w:ind w:left="720" w:firstLine="0"/>
        <w:rPr>
          <w:rFonts w:ascii="Tahoma" w:hAnsi="Tahoma" w:cs="Tahoma"/>
          <w:sz w:val="18"/>
          <w:szCs w:val="18"/>
          <w:lang w:val="it-IT"/>
        </w:rPr>
      </w:pPr>
    </w:p>
    <w:p w:rsidR="00A84DF7" w:rsidRPr="00451078" w:rsidRDefault="00B73A46" w:rsidP="00745AB3">
      <w:pPr>
        <w:pStyle w:val="FootnoteBulletLevel1"/>
        <w:numPr>
          <w:ilvl w:val="0"/>
          <w:numId w:val="29"/>
        </w:numPr>
        <w:adjustRightInd/>
        <w:spacing w:before="0" w:after="60"/>
        <w:textAlignment w:val="auto"/>
        <w:rPr>
          <w:rFonts w:ascii="Tahoma" w:hAnsi="Tahoma" w:cs="Tahoma"/>
          <w:sz w:val="18"/>
          <w:szCs w:val="18"/>
          <w:lang w:val="it-IT"/>
        </w:rPr>
      </w:pPr>
      <w:r w:rsidRPr="00451078">
        <w:rPr>
          <w:rFonts w:ascii="Tahoma" w:hAnsi="Tahoma" w:cs="Tahoma"/>
          <w:sz w:val="18"/>
          <w:szCs w:val="18"/>
          <w:lang w:val="it-IT"/>
        </w:rPr>
        <w:t>Programmi Select, Open Value (opzione non per l</w:t>
      </w:r>
      <w:r w:rsidR="004525CA">
        <w:rPr>
          <w:rFonts w:ascii="Tahoma" w:hAnsi="Tahoma" w:cs="Tahoma"/>
          <w:sz w:val="18"/>
          <w:szCs w:val="18"/>
          <w:lang w:val="it-IT"/>
        </w:rPr>
        <w:t>’</w:t>
      </w:r>
      <w:r w:rsidRPr="00451078">
        <w:rPr>
          <w:rFonts w:ascii="Tahoma" w:hAnsi="Tahoma" w:cs="Tahoma"/>
          <w:sz w:val="18"/>
          <w:szCs w:val="18"/>
          <w:lang w:val="it-IT"/>
        </w:rPr>
        <w:t xml:space="preserve">intera azienda) e Open License </w:t>
      </w:r>
    </w:p>
    <w:p w:rsidR="00B73A46" w:rsidRPr="00451078" w:rsidRDefault="00B73A46" w:rsidP="00745AB3">
      <w:pPr>
        <w:numPr>
          <w:ilvl w:val="0"/>
          <w:numId w:val="30"/>
        </w:numPr>
        <w:spacing w:after="60"/>
        <w:ind w:left="1800"/>
        <w:rPr>
          <w:rFonts w:cs="Tahoma"/>
          <w:szCs w:val="18"/>
          <w:lang w:val="it-IT"/>
        </w:rPr>
      </w:pPr>
      <w:r w:rsidRPr="00451078">
        <w:rPr>
          <w:rFonts w:cs="Tahoma"/>
          <w:szCs w:val="18"/>
          <w:bdr w:val="none" w:sz="0" w:space="0" w:color="auto" w:frame="1"/>
          <w:lang w:val="it-IT"/>
        </w:rPr>
        <w:t xml:space="preserve">Acquistare la copertura Software Assurance per Windows 8 Pro o Windows 7 Professional (32 bit o 64 bit o edizioni N, K o KN) tramite licenza OEM, Retail Get Genuine Windows Agreement (GGWA) (anche conosciuta, in alcuni paesi, come </w:t>
      </w:r>
      <w:r w:rsidR="001A3EC5" w:rsidRPr="00451078">
        <w:rPr>
          <w:rFonts w:cs="Tahoma"/>
          <w:szCs w:val="18"/>
          <w:bdr w:val="none" w:sz="0" w:space="0" w:color="auto" w:frame="1"/>
          <w:lang w:val="it-IT"/>
        </w:rPr>
        <w:t>“</w:t>
      </w:r>
      <w:r w:rsidRPr="00451078">
        <w:rPr>
          <w:rFonts w:cs="Tahoma"/>
          <w:szCs w:val="18"/>
          <w:bdr w:val="none" w:sz="0" w:space="0" w:color="auto" w:frame="1"/>
          <w:lang w:val="it-IT"/>
        </w:rPr>
        <w:t>Get Genuine Solution</w:t>
      </w:r>
      <w:r w:rsidR="001A3EC5" w:rsidRPr="00451078">
        <w:rPr>
          <w:rFonts w:cs="Tahoma"/>
          <w:szCs w:val="18"/>
          <w:bdr w:val="none" w:sz="0" w:space="0" w:color="auto" w:frame="1"/>
          <w:lang w:val="it-IT"/>
        </w:rPr>
        <w:t>”</w:t>
      </w:r>
      <w:r w:rsidRPr="00451078">
        <w:rPr>
          <w:rFonts w:cs="Tahoma"/>
          <w:szCs w:val="18"/>
          <w:bdr w:val="none" w:sz="0" w:space="0" w:color="auto" w:frame="1"/>
          <w:lang w:val="it-IT"/>
        </w:rPr>
        <w:t>) entro 90 giorni dalla data di acquisto della licenza OEM, Retail o GGWA (a partire dal 1 settembre 2009).</w:t>
      </w:r>
    </w:p>
    <w:p w:rsidR="00B73A46" w:rsidRPr="00451078" w:rsidRDefault="00B73A46" w:rsidP="00745AB3">
      <w:pPr>
        <w:pStyle w:val="Footnotedash"/>
        <w:numPr>
          <w:ilvl w:val="0"/>
          <w:numId w:val="30"/>
        </w:numPr>
        <w:adjustRightInd/>
        <w:spacing w:before="0"/>
        <w:ind w:left="1800"/>
        <w:textAlignment w:val="auto"/>
        <w:rPr>
          <w:rFonts w:ascii="Tahoma" w:hAnsi="Tahoma" w:cs="Tahoma"/>
          <w:sz w:val="18"/>
          <w:szCs w:val="18"/>
          <w:lang w:val="it-IT"/>
        </w:rPr>
      </w:pPr>
      <w:r w:rsidRPr="00451078">
        <w:rPr>
          <w:rFonts w:ascii="Tahoma" w:hAnsi="Tahoma" w:cs="Tahoma"/>
          <w:sz w:val="18"/>
          <w:szCs w:val="18"/>
          <w:lang w:val="it-IT"/>
        </w:rPr>
        <w:t xml:space="preserve">Rinnovare Software Assurance per il sistema operativo desktop alla scadenza della copertura Software Assurance per Windows 8 Pro o Windows 7 Professional. </w:t>
      </w:r>
    </w:p>
    <w:p w:rsidR="00B73A46" w:rsidRPr="00847115" w:rsidRDefault="00B73A46" w:rsidP="00A84DF7">
      <w:pPr>
        <w:pStyle w:val="Footnotedash"/>
        <w:spacing w:before="0" w:after="0"/>
        <w:ind w:left="720" w:firstLine="0"/>
        <w:rPr>
          <w:rFonts w:ascii="Tahoma" w:hAnsi="Tahoma" w:cs="Tahoma"/>
          <w:sz w:val="18"/>
          <w:szCs w:val="18"/>
        </w:rPr>
      </w:pPr>
      <w:r w:rsidRPr="00451078">
        <w:rPr>
          <w:rFonts w:ascii="Tahoma" w:hAnsi="Tahoma" w:cs="Tahoma"/>
          <w:sz w:val="18"/>
          <w:szCs w:val="18"/>
          <w:lang w:val="it-IT"/>
        </w:rPr>
        <w:t xml:space="preserve">Il periodo di tempo indicato in precedenza potrebbe essere prorogato per finalità promozionali per un tempo limitato. </w:t>
      </w:r>
      <w:r w:rsidRPr="00847115">
        <w:rPr>
          <w:rFonts w:ascii="Tahoma" w:hAnsi="Tahoma" w:cs="Tahoma"/>
          <w:sz w:val="18"/>
          <w:szCs w:val="18"/>
        </w:rPr>
        <w:t>Per ulteriori dettagli, consultare l</w:t>
      </w:r>
      <w:r w:rsidR="004525CA">
        <w:rPr>
          <w:rFonts w:ascii="Tahoma" w:hAnsi="Tahoma" w:cs="Tahoma"/>
          <w:sz w:val="18"/>
          <w:szCs w:val="18"/>
        </w:rPr>
        <w:t>’</w:t>
      </w:r>
      <w:hyperlink w:anchor="_SECTION_3_–" w:history="1">
        <w:r w:rsidRPr="00847115">
          <w:rPr>
            <w:rStyle w:val="Hyperlink"/>
            <w:rFonts w:ascii="Tahoma" w:hAnsi="Tahoma" w:cs="Tahoma"/>
            <w:color w:val="auto"/>
            <w:sz w:val="18"/>
            <w:szCs w:val="18"/>
            <w:u w:val="none"/>
          </w:rPr>
          <w:t>Articolo 3</w:t>
        </w:r>
      </w:hyperlink>
      <w:r w:rsidRPr="00847115">
        <w:rPr>
          <w:rFonts w:ascii="Tahoma" w:hAnsi="Tahoma" w:cs="Tahoma"/>
          <w:sz w:val="18"/>
          <w:szCs w:val="18"/>
        </w:rPr>
        <w:t>.</w:t>
      </w:r>
    </w:p>
    <w:p w:rsidR="00A84DF7" w:rsidRPr="00847115" w:rsidRDefault="00A84DF7" w:rsidP="00A84DF7">
      <w:pPr>
        <w:pStyle w:val="Footnotedash"/>
        <w:spacing w:before="0" w:after="0"/>
        <w:ind w:left="720" w:firstLine="0"/>
        <w:rPr>
          <w:rFonts w:ascii="Tahoma" w:hAnsi="Tahoma" w:cs="Tahoma"/>
          <w:sz w:val="18"/>
          <w:szCs w:val="18"/>
        </w:rPr>
      </w:pPr>
    </w:p>
    <w:p w:rsidR="00B73A46" w:rsidRPr="00451078" w:rsidRDefault="00B73A46" w:rsidP="00745AB3">
      <w:pPr>
        <w:pStyle w:val="FootnoteBulletLevel2"/>
        <w:numPr>
          <w:ilvl w:val="0"/>
          <w:numId w:val="25"/>
        </w:numPr>
        <w:adjustRightInd/>
        <w:spacing w:before="0"/>
        <w:ind w:left="1440"/>
        <w:textAlignment w:val="auto"/>
        <w:rPr>
          <w:lang w:val="it-IT"/>
        </w:rPr>
      </w:pPr>
      <w:r w:rsidRPr="00451078">
        <w:rPr>
          <w:rFonts w:ascii="Tahoma" w:hAnsi="Tahoma" w:cs="Tahoma"/>
          <w:sz w:val="18"/>
          <w:szCs w:val="18"/>
          <w:lang w:val="it-IT"/>
        </w:rPr>
        <w:t>Iscrizioni Enterprise: alla scadenza di un</w:t>
      </w:r>
      <w:r w:rsidR="004525CA">
        <w:rPr>
          <w:rFonts w:ascii="Tahoma" w:hAnsi="Tahoma" w:cs="Tahoma"/>
          <w:sz w:val="18"/>
          <w:szCs w:val="18"/>
          <w:lang w:val="it-IT"/>
        </w:rPr>
        <w:t>’</w:t>
      </w:r>
      <w:r w:rsidRPr="00451078">
        <w:rPr>
          <w:rFonts w:ascii="Tahoma" w:hAnsi="Tahoma" w:cs="Tahoma"/>
          <w:sz w:val="18"/>
          <w:szCs w:val="18"/>
          <w:lang w:val="it-IT"/>
        </w:rPr>
        <w:t>Iscrizione Enterprise già esistente relativa al Sistema Operativo Windows Desktop, è possibile rinnovare tale copertura con una nuova Iscrizione Enterprise per il Sistema Operativo Windows Desktop.</w:t>
      </w:r>
    </w:p>
    <w:p w:rsidR="00A84DF7" w:rsidRPr="00451078" w:rsidRDefault="00A84DF7" w:rsidP="00A84DF7">
      <w:pPr>
        <w:pStyle w:val="FootnoteBulletLevel2"/>
        <w:tabs>
          <w:tab w:val="clear" w:pos="1260"/>
        </w:tabs>
        <w:adjustRightInd/>
        <w:spacing w:before="0"/>
        <w:ind w:left="0" w:firstLine="0"/>
        <w:textAlignment w:val="auto"/>
        <w:rPr>
          <w:lang w:val="it-IT"/>
        </w:rPr>
      </w:pPr>
    </w:p>
    <w:p w:rsidR="002F7FB8" w:rsidRPr="00451078" w:rsidRDefault="002F7FB8" w:rsidP="00846611">
      <w:pPr>
        <w:pStyle w:val="FootnoteBulletLevel1"/>
        <w:tabs>
          <w:tab w:val="clear" w:pos="900"/>
        </w:tabs>
        <w:adjustRightInd/>
        <w:spacing w:before="0" w:after="60"/>
        <w:ind w:left="720" w:firstLine="0"/>
        <w:textAlignment w:val="auto"/>
        <w:rPr>
          <w:lang w:val="it-IT"/>
        </w:rPr>
      </w:pPr>
      <w:r w:rsidRPr="00451078">
        <w:rPr>
          <w:rFonts w:ascii="Tahoma" w:hAnsi="Tahoma" w:cs="Tahoma"/>
          <w:b/>
          <w:bCs/>
          <w:sz w:val="18"/>
          <w:szCs w:val="18"/>
          <w:lang w:val="it-IT"/>
        </w:rPr>
        <w:t>Aggiornamento per Windows 8 Pro e Software Assurance</w:t>
      </w:r>
    </w:p>
    <w:p w:rsidR="002F7FB8" w:rsidRPr="00451078" w:rsidRDefault="002F7FB8" w:rsidP="00846611">
      <w:pPr>
        <w:pStyle w:val="FootnoteBulletLevel1"/>
        <w:spacing w:before="0" w:after="0"/>
        <w:ind w:left="720" w:firstLine="0"/>
        <w:rPr>
          <w:lang w:val="it-IT"/>
        </w:rPr>
      </w:pPr>
      <w:r w:rsidRPr="00451078">
        <w:rPr>
          <w:rFonts w:ascii="Tahoma" w:hAnsi="Tahoma" w:cs="Tahoma"/>
          <w:sz w:val="18"/>
          <w:szCs w:val="18"/>
          <w:u w:val="single"/>
          <w:lang w:val="it-IT"/>
        </w:rPr>
        <w:t>Licenza di Aggiornamento per il Sistema Operativo (OS)</w:t>
      </w:r>
    </w:p>
    <w:p w:rsidR="002F7FB8" w:rsidRPr="00451078" w:rsidRDefault="002F7FB8" w:rsidP="00846611">
      <w:pPr>
        <w:pStyle w:val="FootnoteBulletLevel2"/>
        <w:tabs>
          <w:tab w:val="clear" w:pos="1260"/>
        </w:tabs>
        <w:adjustRightInd/>
        <w:spacing w:before="0"/>
        <w:ind w:left="720" w:firstLine="0"/>
        <w:textAlignment w:val="auto"/>
        <w:rPr>
          <w:lang w:val="it-IT"/>
        </w:rPr>
      </w:pPr>
      <w:r w:rsidRPr="00451078">
        <w:rPr>
          <w:rFonts w:ascii="Tahoma" w:hAnsi="Tahoma" w:cs="Tahoma"/>
          <w:sz w:val="18"/>
          <w:szCs w:val="18"/>
          <w:lang w:val="it-IT"/>
        </w:rPr>
        <w:t>Le licenze per sistemi operativi desktop fornite in base ai presenti programmi sono unicamente licenze di</w:t>
      </w:r>
      <w:r w:rsidR="00847115" w:rsidRPr="00451078">
        <w:rPr>
          <w:rFonts w:ascii="Tahoma" w:hAnsi="Tahoma" w:cs="Tahoma"/>
          <w:sz w:val="18"/>
          <w:szCs w:val="18"/>
          <w:lang w:val="it-IT"/>
        </w:rPr>
        <w:t> </w:t>
      </w:r>
      <w:r w:rsidRPr="00451078">
        <w:rPr>
          <w:rFonts w:ascii="Tahoma" w:hAnsi="Tahoma" w:cs="Tahoma"/>
          <w:sz w:val="18"/>
          <w:szCs w:val="18"/>
          <w:lang w:val="it-IT"/>
        </w:rPr>
        <w:t>aggiornamento. I presenti programmi non prevedono licenze complete per sistemi operativi desktop. Pertanto, la società dovrà avere ottenuto in licenza e installato su ogni desktop per il quale acquista e sul quale eseguirà l</w:t>
      </w:r>
      <w:r w:rsidR="004525CA">
        <w:rPr>
          <w:rFonts w:ascii="Tahoma" w:hAnsi="Tahoma" w:cs="Tahoma"/>
          <w:sz w:val="18"/>
          <w:szCs w:val="18"/>
          <w:lang w:val="it-IT"/>
        </w:rPr>
        <w:t>’</w:t>
      </w:r>
      <w:r w:rsidRPr="00451078">
        <w:rPr>
          <w:rFonts w:ascii="Tahoma" w:hAnsi="Tahoma" w:cs="Tahoma"/>
          <w:sz w:val="18"/>
          <w:szCs w:val="18"/>
          <w:lang w:val="it-IT"/>
        </w:rPr>
        <w:t>Aggiornamento per Windows 8 Pro uno dei sistemi operativi qualificanti applicabili indicati nella precedente tabella.</w:t>
      </w:r>
    </w:p>
    <w:p w:rsidR="00846611" w:rsidRPr="00451078" w:rsidRDefault="00846611" w:rsidP="00846611">
      <w:pPr>
        <w:pStyle w:val="FootnoteBulletLevel2"/>
        <w:tabs>
          <w:tab w:val="clear" w:pos="1260"/>
        </w:tabs>
        <w:adjustRightInd/>
        <w:spacing w:before="0"/>
        <w:ind w:left="720" w:firstLine="0"/>
        <w:textAlignment w:val="auto"/>
        <w:rPr>
          <w:rFonts w:ascii="Tahoma" w:hAnsi="Tahoma" w:cs="Tahoma"/>
          <w:sz w:val="18"/>
          <w:szCs w:val="18"/>
          <w:lang w:val="it-IT"/>
        </w:rPr>
      </w:pPr>
    </w:p>
    <w:p w:rsidR="002F7FB8" w:rsidRPr="00451078" w:rsidRDefault="002F7FB8" w:rsidP="00846611">
      <w:pPr>
        <w:pStyle w:val="FootnoteBulletLevel2"/>
        <w:tabs>
          <w:tab w:val="clear" w:pos="1260"/>
        </w:tabs>
        <w:adjustRightInd/>
        <w:spacing w:before="0"/>
        <w:ind w:left="720" w:firstLine="0"/>
        <w:textAlignment w:val="auto"/>
        <w:rPr>
          <w:lang w:val="it-IT"/>
        </w:rPr>
      </w:pPr>
      <w:r w:rsidRPr="00451078">
        <w:rPr>
          <w:rFonts w:ascii="Tahoma" w:hAnsi="Tahoma" w:cs="Tahoma"/>
          <w:sz w:val="18"/>
          <w:szCs w:val="18"/>
          <w:lang w:val="it-IT"/>
        </w:rPr>
        <w:t>Le società che intendono acquistare sia gli Aggiornamenti per Windows 8 Pro che Software Assurance dispongono delle seguenti opzioni:</w:t>
      </w:r>
    </w:p>
    <w:p w:rsidR="00B04B81" w:rsidRPr="00451078" w:rsidRDefault="00B04B81" w:rsidP="00846611">
      <w:pPr>
        <w:pStyle w:val="FootnoteBulletLevel2"/>
        <w:tabs>
          <w:tab w:val="clear" w:pos="1260"/>
        </w:tabs>
        <w:adjustRightInd/>
        <w:spacing w:before="0"/>
        <w:ind w:left="720" w:firstLine="0"/>
        <w:textAlignment w:val="auto"/>
        <w:rPr>
          <w:rFonts w:ascii="Tahoma" w:hAnsi="Tahoma" w:cs="Tahoma"/>
          <w:sz w:val="18"/>
          <w:szCs w:val="18"/>
          <w:lang w:val="it-IT"/>
        </w:rPr>
      </w:pPr>
    </w:p>
    <w:p w:rsidR="002F7FB8" w:rsidRPr="00451078" w:rsidRDefault="002F7FB8" w:rsidP="00745AB3">
      <w:pPr>
        <w:pStyle w:val="FootnoteBulletLevel2"/>
        <w:numPr>
          <w:ilvl w:val="0"/>
          <w:numId w:val="25"/>
        </w:numPr>
        <w:adjustRightInd/>
        <w:spacing w:before="0" w:after="60"/>
        <w:ind w:left="1440"/>
        <w:textAlignment w:val="auto"/>
        <w:rPr>
          <w:lang w:val="it-IT"/>
        </w:rPr>
      </w:pPr>
      <w:r w:rsidRPr="00451078">
        <w:rPr>
          <w:rFonts w:ascii="Tahoma" w:hAnsi="Tahoma" w:cs="Tahoma"/>
          <w:sz w:val="18"/>
          <w:szCs w:val="18"/>
          <w:lang w:val="it-IT"/>
        </w:rPr>
        <w:t>Programmi Select, Open Value (opzione non per l</w:t>
      </w:r>
      <w:r w:rsidR="004525CA">
        <w:rPr>
          <w:rFonts w:ascii="Tahoma" w:hAnsi="Tahoma" w:cs="Tahoma"/>
          <w:sz w:val="18"/>
          <w:szCs w:val="18"/>
          <w:lang w:val="it-IT"/>
        </w:rPr>
        <w:t>’</w:t>
      </w:r>
      <w:r w:rsidRPr="00451078">
        <w:rPr>
          <w:rFonts w:ascii="Tahoma" w:hAnsi="Tahoma" w:cs="Tahoma"/>
          <w:sz w:val="18"/>
          <w:szCs w:val="18"/>
          <w:lang w:val="it-IT"/>
        </w:rPr>
        <w:t>intera azienda) e Open License:</w:t>
      </w:r>
    </w:p>
    <w:p w:rsidR="002F7FB8" w:rsidRPr="00451078" w:rsidRDefault="002F7FB8" w:rsidP="00745AB3">
      <w:pPr>
        <w:pStyle w:val="Footnotedash"/>
        <w:numPr>
          <w:ilvl w:val="1"/>
          <w:numId w:val="31"/>
        </w:numPr>
        <w:spacing w:before="0"/>
        <w:ind w:left="1800"/>
        <w:rPr>
          <w:lang w:val="it-IT"/>
        </w:rPr>
      </w:pPr>
      <w:r w:rsidRPr="00451078">
        <w:rPr>
          <w:rFonts w:ascii="Tahoma" w:eastAsia="Calibri" w:hAnsi="Tahoma" w:cs="Tahoma"/>
          <w:color w:val="000000"/>
          <w:sz w:val="18"/>
          <w:szCs w:val="18"/>
          <w:lang w:val="it-IT"/>
        </w:rPr>
        <w:t>Acquistare gli Aggiornamenti per Windows 8 Pro e Software Assurance per i desktop per i quali la società ha ottenuto in licenza e installato uno dei sistemi operativi qualificanti elencati nella precedente tabella degli Aggiornamenti per Windows.</w:t>
      </w:r>
    </w:p>
    <w:p w:rsidR="002F7FB8" w:rsidRPr="00451078" w:rsidRDefault="002F7FB8" w:rsidP="00745AB3">
      <w:pPr>
        <w:pStyle w:val="Footnotedash"/>
        <w:numPr>
          <w:ilvl w:val="2"/>
          <w:numId w:val="84"/>
        </w:numPr>
        <w:spacing w:before="0"/>
        <w:ind w:left="1800"/>
        <w:rPr>
          <w:lang w:val="it-IT"/>
        </w:rPr>
      </w:pPr>
      <w:r w:rsidRPr="00451078">
        <w:rPr>
          <w:rFonts w:ascii="Tahoma" w:eastAsia="Calibri" w:hAnsi="Tahoma" w:cs="Tahoma"/>
          <w:color w:val="000000"/>
          <w:sz w:val="18"/>
          <w:szCs w:val="18"/>
          <w:lang w:val="it-IT"/>
        </w:rPr>
        <w:t>La società potrà riassegnare la copertura Software Assurance per i sistemi operativi desktop dal desktop originale a un desktop sostitutivo, ma non a breve termine, ovvero non entro 90 giorni dall</w:t>
      </w:r>
      <w:r w:rsidR="004525CA">
        <w:rPr>
          <w:rFonts w:ascii="Tahoma" w:eastAsia="Calibri" w:hAnsi="Tahoma" w:cs="Tahoma"/>
          <w:color w:val="000000"/>
          <w:sz w:val="18"/>
          <w:szCs w:val="18"/>
          <w:lang w:val="it-IT"/>
        </w:rPr>
        <w:t>’</w:t>
      </w:r>
      <w:r w:rsidRPr="00451078">
        <w:rPr>
          <w:rFonts w:ascii="Tahoma" w:eastAsia="Calibri" w:hAnsi="Tahoma" w:cs="Tahoma"/>
          <w:color w:val="000000"/>
          <w:sz w:val="18"/>
          <w:szCs w:val="18"/>
          <w:lang w:val="it-IT"/>
        </w:rPr>
        <w:t>ultima cessione, a condizione che (1) la società abbia ottenuto in licenza e installato sul desktop sostitutivo l</w:t>
      </w:r>
      <w:r w:rsidR="004525CA">
        <w:rPr>
          <w:rFonts w:ascii="Tahoma" w:eastAsia="Calibri" w:hAnsi="Tahoma" w:cs="Tahoma"/>
          <w:color w:val="000000"/>
          <w:sz w:val="18"/>
          <w:szCs w:val="18"/>
          <w:lang w:val="it-IT"/>
        </w:rPr>
        <w:t>’</w:t>
      </w:r>
      <w:r w:rsidRPr="00451078">
        <w:rPr>
          <w:rFonts w:ascii="Tahoma" w:eastAsia="Calibri" w:hAnsi="Tahoma" w:cs="Tahoma"/>
          <w:color w:val="000000"/>
          <w:sz w:val="18"/>
          <w:szCs w:val="18"/>
          <w:lang w:val="it-IT"/>
        </w:rPr>
        <w:t>ultima versione del sistema operativo e (2) la società rimuova qualsiasi aggiornamento del sistema operativo desktop correlato dal desktop originale.</w:t>
      </w:r>
    </w:p>
    <w:p w:rsidR="00A84DF7" w:rsidRPr="00451078" w:rsidRDefault="002F7FB8" w:rsidP="00745AB3">
      <w:pPr>
        <w:pStyle w:val="FootnoteBulletLevel2"/>
        <w:numPr>
          <w:ilvl w:val="0"/>
          <w:numId w:val="25"/>
        </w:numPr>
        <w:adjustRightInd/>
        <w:spacing w:before="0" w:after="60"/>
        <w:ind w:left="1440"/>
        <w:textAlignment w:val="auto"/>
        <w:rPr>
          <w:lang w:val="it-IT"/>
        </w:rPr>
      </w:pPr>
      <w:r w:rsidRPr="00451078">
        <w:rPr>
          <w:rFonts w:ascii="Tahoma" w:hAnsi="Tahoma" w:cs="Tahoma"/>
          <w:sz w:val="18"/>
          <w:szCs w:val="18"/>
          <w:lang w:val="it-IT"/>
        </w:rPr>
        <w:t>Iscrizioni Enterprise e Contratti Open Value per l</w:t>
      </w:r>
      <w:r w:rsidR="004525CA">
        <w:rPr>
          <w:rFonts w:ascii="Tahoma" w:hAnsi="Tahoma" w:cs="Tahoma"/>
          <w:sz w:val="18"/>
          <w:szCs w:val="18"/>
          <w:lang w:val="it-IT"/>
        </w:rPr>
        <w:t>’</w:t>
      </w:r>
      <w:r w:rsidRPr="00451078">
        <w:rPr>
          <w:rFonts w:ascii="Tahoma" w:hAnsi="Tahoma" w:cs="Tahoma"/>
          <w:sz w:val="18"/>
          <w:szCs w:val="18"/>
          <w:lang w:val="it-IT"/>
        </w:rPr>
        <w:t>intera organizzazione (perpetui e subscription):</w:t>
      </w:r>
    </w:p>
    <w:p w:rsidR="00A84DF7" w:rsidRPr="00451078" w:rsidRDefault="002F7FB8" w:rsidP="00745AB3">
      <w:pPr>
        <w:pStyle w:val="Footnotedash"/>
        <w:numPr>
          <w:ilvl w:val="1"/>
          <w:numId w:val="31"/>
        </w:numPr>
        <w:spacing w:before="0"/>
        <w:ind w:left="1800"/>
        <w:rPr>
          <w:lang w:val="it-IT"/>
        </w:rPr>
      </w:pPr>
      <w:r w:rsidRPr="00451078">
        <w:rPr>
          <w:rFonts w:ascii="Tahoma" w:eastAsia="Calibri" w:hAnsi="Tahoma" w:cs="Tahoma"/>
          <w:color w:val="000000"/>
          <w:sz w:val="18"/>
          <w:szCs w:val="18"/>
          <w:lang w:val="it-IT"/>
        </w:rPr>
        <w:t xml:space="preserve">Iscrizioni Enterprise Iniziali o Contratti Open Value (base installata): </w:t>
      </w:r>
    </w:p>
    <w:p w:rsidR="00A84DF7" w:rsidRPr="00451078" w:rsidRDefault="002F7FB8" w:rsidP="00745AB3">
      <w:pPr>
        <w:pStyle w:val="Footnotedash"/>
        <w:numPr>
          <w:ilvl w:val="1"/>
          <w:numId w:val="31"/>
        </w:numPr>
        <w:spacing w:before="0"/>
        <w:ind w:left="1800"/>
        <w:rPr>
          <w:lang w:val="it-IT"/>
        </w:rPr>
      </w:pPr>
      <w:r w:rsidRPr="00451078">
        <w:rPr>
          <w:rFonts w:ascii="Tahoma" w:eastAsia="Calibri" w:hAnsi="Tahoma" w:cs="Tahoma"/>
          <w:color w:val="000000"/>
          <w:sz w:val="18"/>
          <w:szCs w:val="18"/>
          <w:lang w:val="it-IT"/>
        </w:rPr>
        <w:t>Acquistare l</w:t>
      </w:r>
      <w:r w:rsidR="004525CA">
        <w:rPr>
          <w:rFonts w:ascii="Tahoma" w:eastAsia="Calibri" w:hAnsi="Tahoma" w:cs="Tahoma"/>
          <w:color w:val="000000"/>
          <w:sz w:val="18"/>
          <w:szCs w:val="18"/>
          <w:lang w:val="it-IT"/>
        </w:rPr>
        <w:t>’</w:t>
      </w:r>
      <w:r w:rsidRPr="00451078">
        <w:rPr>
          <w:rFonts w:ascii="Tahoma" w:eastAsia="Calibri" w:hAnsi="Tahoma" w:cs="Tahoma"/>
          <w:color w:val="000000"/>
          <w:sz w:val="18"/>
          <w:szCs w:val="18"/>
          <w:lang w:val="it-IT"/>
        </w:rPr>
        <w:t xml:space="preserve">Aggiornamento per Windows 8 Pro e Software Assurance per tutti i desktop qualificati della base installata. La </w:t>
      </w:r>
      <w:r w:rsidR="001A3EC5" w:rsidRPr="00451078">
        <w:rPr>
          <w:rFonts w:ascii="Tahoma" w:eastAsia="Calibri" w:hAnsi="Tahoma" w:cs="Tahoma"/>
          <w:color w:val="000000"/>
          <w:sz w:val="18"/>
          <w:szCs w:val="18"/>
          <w:lang w:val="it-IT"/>
        </w:rPr>
        <w:t>“</w:t>
      </w:r>
      <w:r w:rsidRPr="00451078">
        <w:rPr>
          <w:rFonts w:ascii="Tahoma" w:eastAsia="Calibri" w:hAnsi="Tahoma" w:cs="Tahoma"/>
          <w:color w:val="000000"/>
          <w:sz w:val="18"/>
          <w:szCs w:val="18"/>
          <w:lang w:val="it-IT"/>
        </w:rPr>
        <w:t>base installata</w:t>
      </w:r>
      <w:r w:rsidR="001A3EC5" w:rsidRPr="00451078">
        <w:rPr>
          <w:rFonts w:ascii="Tahoma" w:eastAsia="Calibri" w:hAnsi="Tahoma" w:cs="Tahoma"/>
          <w:color w:val="000000"/>
          <w:sz w:val="18"/>
          <w:szCs w:val="18"/>
          <w:lang w:val="it-IT"/>
        </w:rPr>
        <w:t>”</w:t>
      </w:r>
      <w:r w:rsidRPr="00451078">
        <w:rPr>
          <w:rFonts w:ascii="Tahoma" w:eastAsia="Calibri" w:hAnsi="Tahoma" w:cs="Tahoma"/>
          <w:color w:val="000000"/>
          <w:sz w:val="18"/>
          <w:szCs w:val="18"/>
          <w:lang w:val="it-IT"/>
        </w:rPr>
        <w:t xml:space="preserve"> è costituita da tutti i desktop qualificati della società e delle consociate della società alla data di entrata in vigore dell</w:t>
      </w:r>
      <w:r w:rsidR="004525CA">
        <w:rPr>
          <w:rFonts w:ascii="Tahoma" w:eastAsia="Calibri" w:hAnsi="Tahoma" w:cs="Tahoma"/>
          <w:color w:val="000000"/>
          <w:sz w:val="18"/>
          <w:szCs w:val="18"/>
          <w:lang w:val="it-IT"/>
        </w:rPr>
        <w:t>’</w:t>
      </w:r>
      <w:r w:rsidRPr="00451078">
        <w:rPr>
          <w:rFonts w:ascii="Tahoma" w:eastAsia="Calibri" w:hAnsi="Tahoma" w:cs="Tahoma"/>
          <w:color w:val="000000"/>
          <w:sz w:val="18"/>
          <w:szCs w:val="18"/>
          <w:lang w:val="it-IT"/>
        </w:rPr>
        <w:t>iscrizione o</w:t>
      </w:r>
      <w:r w:rsidR="00847115" w:rsidRPr="00451078">
        <w:rPr>
          <w:rFonts w:ascii="Tahoma" w:eastAsia="Calibri" w:hAnsi="Tahoma" w:cs="Tahoma"/>
          <w:color w:val="000000"/>
          <w:sz w:val="18"/>
          <w:szCs w:val="18"/>
          <w:lang w:val="it-IT"/>
        </w:rPr>
        <w:t> </w:t>
      </w:r>
      <w:r w:rsidRPr="00451078">
        <w:rPr>
          <w:rFonts w:ascii="Tahoma" w:eastAsia="Calibri" w:hAnsi="Tahoma" w:cs="Tahoma"/>
          <w:color w:val="000000"/>
          <w:sz w:val="18"/>
          <w:szCs w:val="18"/>
          <w:lang w:val="it-IT"/>
        </w:rPr>
        <w:t>del</w:t>
      </w:r>
      <w:r w:rsidR="00847115" w:rsidRPr="00451078">
        <w:rPr>
          <w:rFonts w:ascii="Tahoma" w:eastAsia="Calibri" w:hAnsi="Tahoma" w:cs="Tahoma"/>
          <w:color w:val="000000"/>
          <w:sz w:val="18"/>
          <w:szCs w:val="18"/>
          <w:lang w:val="it-IT"/>
        </w:rPr>
        <w:t> </w:t>
      </w:r>
      <w:r w:rsidRPr="00451078">
        <w:rPr>
          <w:rFonts w:ascii="Tahoma" w:eastAsia="Calibri" w:hAnsi="Tahoma" w:cs="Tahoma"/>
          <w:color w:val="000000"/>
          <w:sz w:val="18"/>
          <w:szCs w:val="18"/>
          <w:lang w:val="it-IT"/>
        </w:rPr>
        <w:t>contratto.</w:t>
      </w:r>
      <w:r w:rsidR="00082E1C" w:rsidRPr="00451078">
        <w:rPr>
          <w:rFonts w:ascii="Tahoma" w:eastAsia="Calibri" w:hAnsi="Tahoma" w:cs="Tahoma"/>
          <w:color w:val="000000"/>
          <w:sz w:val="18"/>
          <w:szCs w:val="18"/>
          <w:lang w:val="it-IT"/>
        </w:rPr>
        <w:t xml:space="preserve"> </w:t>
      </w:r>
      <w:r w:rsidRPr="00451078">
        <w:rPr>
          <w:rFonts w:ascii="Tahoma" w:eastAsia="Calibri" w:hAnsi="Tahoma" w:cs="Tahoma"/>
          <w:color w:val="000000"/>
          <w:sz w:val="18"/>
          <w:szCs w:val="18"/>
          <w:lang w:val="it-IT"/>
        </w:rPr>
        <w:t xml:space="preserve">La società dovrà disporre della licenza per e avere installato uno dei sistemi operativi qualificanti indicati nella precedente tabella degli Aggiornamenti di Windows, nella colonna </w:t>
      </w:r>
      <w:r w:rsidR="001A3EC5" w:rsidRPr="00451078">
        <w:rPr>
          <w:rFonts w:ascii="Tahoma" w:eastAsia="Calibri" w:hAnsi="Tahoma" w:cs="Tahoma"/>
          <w:color w:val="000000"/>
          <w:sz w:val="18"/>
          <w:szCs w:val="18"/>
          <w:lang w:val="it-IT"/>
        </w:rPr>
        <w:t>“</w:t>
      </w:r>
      <w:r w:rsidRPr="00451078">
        <w:rPr>
          <w:rFonts w:ascii="Tahoma" w:eastAsia="Calibri" w:hAnsi="Tahoma" w:cs="Tahoma"/>
          <w:color w:val="000000"/>
          <w:sz w:val="18"/>
          <w:szCs w:val="18"/>
          <w:lang w:val="it-IT"/>
        </w:rPr>
        <w:t>Nuovo EA/OV-CW</w:t>
      </w:r>
      <w:r w:rsidR="001A3EC5" w:rsidRPr="00451078">
        <w:rPr>
          <w:rFonts w:ascii="Tahoma" w:eastAsia="Calibri" w:hAnsi="Tahoma" w:cs="Tahoma"/>
          <w:color w:val="000000"/>
          <w:sz w:val="18"/>
          <w:szCs w:val="18"/>
          <w:lang w:val="it-IT"/>
        </w:rPr>
        <w:t>”</w:t>
      </w:r>
      <w:r w:rsidRPr="00451078">
        <w:rPr>
          <w:rFonts w:ascii="Tahoma" w:eastAsia="Calibri" w:hAnsi="Tahoma" w:cs="Tahoma"/>
          <w:color w:val="000000"/>
          <w:sz w:val="18"/>
          <w:szCs w:val="18"/>
          <w:lang w:val="it-IT"/>
        </w:rPr>
        <w:t xml:space="preserve"> su tutti i desktop qualificati della base installata su cui sarà eseguito il sistema operativo Windows.</w:t>
      </w:r>
    </w:p>
    <w:p w:rsidR="002F7FB8" w:rsidRPr="00451078" w:rsidRDefault="002F7FB8" w:rsidP="00745AB3">
      <w:pPr>
        <w:pStyle w:val="Footnotedash"/>
        <w:numPr>
          <w:ilvl w:val="1"/>
          <w:numId w:val="31"/>
        </w:numPr>
        <w:spacing w:before="0"/>
        <w:ind w:left="1800"/>
        <w:rPr>
          <w:lang w:val="it-IT"/>
        </w:rPr>
      </w:pPr>
      <w:r w:rsidRPr="00451078">
        <w:rPr>
          <w:rFonts w:ascii="Tahoma" w:eastAsia="Calibri" w:hAnsi="Tahoma" w:cs="Tahoma"/>
          <w:color w:val="000000"/>
          <w:sz w:val="18"/>
          <w:szCs w:val="18"/>
          <w:lang w:val="it-IT"/>
        </w:rPr>
        <w:lastRenderedPageBreak/>
        <w:t>Iscrizioni Enterprise Esistenti o Contratti Open Value (true-up e sostituzioni):</w:t>
      </w:r>
    </w:p>
    <w:p w:rsidR="002F7FB8" w:rsidRPr="00451078" w:rsidRDefault="002F7FB8" w:rsidP="00745AB3">
      <w:pPr>
        <w:pStyle w:val="Footnotedash"/>
        <w:numPr>
          <w:ilvl w:val="1"/>
          <w:numId w:val="31"/>
        </w:numPr>
        <w:spacing w:before="0"/>
        <w:ind w:left="1800"/>
        <w:rPr>
          <w:lang w:val="it-IT"/>
        </w:rPr>
      </w:pPr>
      <w:r w:rsidRPr="00451078">
        <w:rPr>
          <w:rFonts w:ascii="Tahoma" w:eastAsia="Calibri" w:hAnsi="Tahoma" w:cs="Tahoma"/>
          <w:color w:val="000000"/>
          <w:sz w:val="18"/>
          <w:szCs w:val="18"/>
          <w:lang w:val="it-IT"/>
        </w:rPr>
        <w:t>Acquistare l</w:t>
      </w:r>
      <w:r w:rsidR="004525CA">
        <w:rPr>
          <w:rFonts w:ascii="Tahoma" w:eastAsia="Calibri" w:hAnsi="Tahoma" w:cs="Tahoma"/>
          <w:color w:val="000000"/>
          <w:sz w:val="18"/>
          <w:szCs w:val="18"/>
          <w:lang w:val="it-IT"/>
        </w:rPr>
        <w:t>’</w:t>
      </w:r>
      <w:r w:rsidRPr="00451078">
        <w:rPr>
          <w:rFonts w:ascii="Tahoma" w:eastAsia="Calibri" w:hAnsi="Tahoma" w:cs="Tahoma"/>
          <w:color w:val="000000"/>
          <w:sz w:val="18"/>
          <w:szCs w:val="18"/>
          <w:lang w:val="it-IT"/>
        </w:rPr>
        <w:t xml:space="preserve">Aggiornamento per Windows 8 Pro e Software Assurance per tutti i nuovi desktop o dispositivi qualificati su cui verrà eseguito il sistema operativo Windows. La società dovrà avere ottenuto in licenza e installato su tali desktop e dispositivi qualificati, sia nuovi che sostitutivi, acquisiti da una fonte qualsiasi, tranne una fusione o acquisizione, uno dei sistemi operativi qualificanti indicati nella precedente tabella degli Aggiornamenti di Windows, nella colonna </w:t>
      </w:r>
      <w:r w:rsidR="001A3EC5" w:rsidRPr="00451078">
        <w:rPr>
          <w:rFonts w:ascii="Tahoma" w:eastAsia="Calibri" w:hAnsi="Tahoma" w:cs="Tahoma"/>
          <w:color w:val="000000"/>
          <w:sz w:val="18"/>
          <w:szCs w:val="18"/>
          <w:lang w:val="it-IT"/>
        </w:rPr>
        <w:t>“</w:t>
      </w:r>
      <w:r w:rsidRPr="00451078">
        <w:rPr>
          <w:rFonts w:ascii="Tahoma" w:eastAsia="Calibri" w:hAnsi="Tahoma" w:cs="Tahoma"/>
          <w:color w:val="000000"/>
          <w:sz w:val="18"/>
          <w:szCs w:val="18"/>
          <w:lang w:val="it-IT"/>
        </w:rPr>
        <w:t>EA/OV-CW Esistente</w:t>
      </w:r>
      <w:r w:rsidR="001A3EC5" w:rsidRPr="00451078">
        <w:rPr>
          <w:rFonts w:ascii="Tahoma" w:eastAsia="Calibri" w:hAnsi="Tahoma" w:cs="Tahoma"/>
          <w:color w:val="000000"/>
          <w:sz w:val="18"/>
          <w:szCs w:val="18"/>
          <w:lang w:val="it-IT"/>
        </w:rPr>
        <w:t>”</w:t>
      </w:r>
      <w:r w:rsidRPr="00451078">
        <w:rPr>
          <w:rFonts w:ascii="Tahoma" w:eastAsia="Calibri" w:hAnsi="Tahoma" w:cs="Tahoma"/>
          <w:color w:val="000000"/>
          <w:sz w:val="18"/>
          <w:szCs w:val="18"/>
          <w:lang w:val="it-IT"/>
        </w:rPr>
        <w:t xml:space="preserve">. La società dovrà avere ottenuto in licenza e installato su tali desktop qualificati, sia nuovi che sostitutivi, acquisiti tramite una fusione o acquisizione, uno dei sistemi operativi qualificanti indicati nella precedente tabella degli Aggiornamenti di Windows, nella colonna </w:t>
      </w:r>
      <w:r w:rsidR="001A3EC5" w:rsidRPr="00451078">
        <w:rPr>
          <w:rFonts w:ascii="Tahoma" w:eastAsia="Calibri" w:hAnsi="Tahoma" w:cs="Tahoma"/>
          <w:color w:val="000000"/>
          <w:sz w:val="18"/>
          <w:szCs w:val="18"/>
          <w:lang w:val="it-IT"/>
        </w:rPr>
        <w:t>“</w:t>
      </w:r>
      <w:r w:rsidRPr="00451078">
        <w:rPr>
          <w:rFonts w:ascii="Tahoma" w:eastAsia="Calibri" w:hAnsi="Tahoma" w:cs="Tahoma"/>
          <w:color w:val="000000"/>
          <w:sz w:val="18"/>
          <w:szCs w:val="18"/>
          <w:lang w:val="it-IT"/>
        </w:rPr>
        <w:t>Nuovo EA/OV-CW</w:t>
      </w:r>
      <w:r w:rsidR="001A3EC5" w:rsidRPr="00451078">
        <w:rPr>
          <w:rFonts w:ascii="Tahoma" w:eastAsia="Calibri" w:hAnsi="Tahoma" w:cs="Tahoma"/>
          <w:color w:val="000000"/>
          <w:sz w:val="18"/>
          <w:szCs w:val="18"/>
          <w:lang w:val="it-IT"/>
        </w:rPr>
        <w:t>”</w:t>
      </w:r>
      <w:r w:rsidRPr="00451078">
        <w:rPr>
          <w:rFonts w:ascii="Tahoma" w:eastAsia="Calibri" w:hAnsi="Tahoma" w:cs="Tahoma"/>
          <w:color w:val="000000"/>
          <w:sz w:val="18"/>
          <w:szCs w:val="18"/>
          <w:lang w:val="it-IT"/>
        </w:rPr>
        <w:t>.</w:t>
      </w:r>
    </w:p>
    <w:p w:rsidR="002F7FB8" w:rsidRPr="00451078" w:rsidRDefault="002F7FB8" w:rsidP="00745AB3">
      <w:pPr>
        <w:pStyle w:val="FootnoteBulletLevel2"/>
        <w:numPr>
          <w:ilvl w:val="0"/>
          <w:numId w:val="25"/>
        </w:numPr>
        <w:adjustRightInd/>
        <w:spacing w:before="0" w:after="60"/>
        <w:ind w:left="1440"/>
        <w:textAlignment w:val="auto"/>
        <w:rPr>
          <w:lang w:val="it-IT"/>
        </w:rPr>
      </w:pPr>
      <w:r w:rsidRPr="00451078">
        <w:rPr>
          <w:rFonts w:ascii="Tahoma" w:hAnsi="Tahoma" w:cs="Tahoma"/>
          <w:sz w:val="18"/>
          <w:szCs w:val="18"/>
          <w:lang w:val="it-IT"/>
        </w:rPr>
        <w:t xml:space="preserve">Le società con Contratti Campus e School e Open Value Subscription - Education Solutions: </w:t>
      </w:r>
    </w:p>
    <w:p w:rsidR="002F7FB8" w:rsidRPr="00451078" w:rsidRDefault="002F7FB8" w:rsidP="00745AB3">
      <w:pPr>
        <w:pStyle w:val="Footnotedash"/>
        <w:numPr>
          <w:ilvl w:val="1"/>
          <w:numId w:val="31"/>
        </w:numPr>
        <w:spacing w:before="0"/>
        <w:ind w:left="1800"/>
        <w:rPr>
          <w:lang w:val="it-IT"/>
        </w:rPr>
      </w:pPr>
      <w:r w:rsidRPr="00451078">
        <w:rPr>
          <w:rFonts w:ascii="Tahoma" w:eastAsia="Calibri" w:hAnsi="Tahoma" w:cs="Tahoma"/>
          <w:color w:val="000000"/>
          <w:sz w:val="18"/>
          <w:szCs w:val="18"/>
          <w:lang w:val="it-IT"/>
        </w:rPr>
        <w:t>Il sistema operativo Windows è concesso in licenza esclusivamente come aggiornamento. Di conseguenza, le società che intendono eseguire il sistema operativo Windows devono prima avere ottenuto in licenza e installato un sistema operativo qualificante sul loro desktop. Per essere qualificante, il sistema operativo deve essere inserito nell</w:t>
      </w:r>
      <w:r w:rsidR="004525CA">
        <w:rPr>
          <w:rFonts w:ascii="Tahoma" w:eastAsia="Calibri" w:hAnsi="Tahoma" w:cs="Tahoma"/>
          <w:color w:val="000000"/>
          <w:sz w:val="18"/>
          <w:szCs w:val="18"/>
          <w:lang w:val="it-IT"/>
        </w:rPr>
        <w:t>’</w:t>
      </w:r>
      <w:r w:rsidRPr="00451078">
        <w:rPr>
          <w:rFonts w:ascii="Tahoma" w:eastAsia="Calibri" w:hAnsi="Tahoma" w:cs="Tahoma"/>
          <w:color w:val="000000"/>
          <w:sz w:val="18"/>
          <w:szCs w:val="18"/>
          <w:lang w:val="it-IT"/>
        </w:rPr>
        <w:t xml:space="preserve">elenco dei sistemi operativi qualificanti indicati nella tabella degli Aggiornamenti di Windows nella colonna </w:t>
      </w:r>
      <w:r w:rsidR="001A3EC5" w:rsidRPr="00451078">
        <w:rPr>
          <w:rFonts w:ascii="Tahoma" w:eastAsia="Calibri" w:hAnsi="Tahoma" w:cs="Tahoma"/>
          <w:color w:val="000000"/>
          <w:sz w:val="18"/>
          <w:szCs w:val="18"/>
          <w:lang w:val="it-IT"/>
        </w:rPr>
        <w:t>“</w:t>
      </w:r>
      <w:r w:rsidRPr="00451078">
        <w:rPr>
          <w:rFonts w:ascii="Tahoma" w:eastAsia="Calibri" w:hAnsi="Tahoma" w:cs="Tahoma"/>
          <w:color w:val="000000"/>
          <w:sz w:val="18"/>
          <w:szCs w:val="18"/>
          <w:lang w:val="it-IT"/>
        </w:rPr>
        <w:t>Academic</w:t>
      </w:r>
      <w:r w:rsidR="001A3EC5" w:rsidRPr="00451078">
        <w:rPr>
          <w:rFonts w:ascii="Tahoma" w:eastAsia="Calibri" w:hAnsi="Tahoma" w:cs="Tahoma"/>
          <w:color w:val="000000"/>
          <w:sz w:val="18"/>
          <w:szCs w:val="18"/>
          <w:lang w:val="it-IT"/>
        </w:rPr>
        <w:t>”</w:t>
      </w:r>
      <w:r w:rsidRPr="00451078">
        <w:rPr>
          <w:rFonts w:ascii="Tahoma" w:eastAsia="Calibri" w:hAnsi="Tahoma" w:cs="Tahoma"/>
          <w:color w:val="000000"/>
          <w:sz w:val="18"/>
          <w:szCs w:val="18"/>
          <w:lang w:val="it-IT"/>
        </w:rPr>
        <w:t xml:space="preserve">. </w:t>
      </w:r>
    </w:p>
    <w:p w:rsidR="00B47893" w:rsidRPr="00451078" w:rsidRDefault="002F7FB8" w:rsidP="00745AB3">
      <w:pPr>
        <w:pStyle w:val="Footnotedash"/>
        <w:numPr>
          <w:ilvl w:val="1"/>
          <w:numId w:val="31"/>
        </w:numPr>
        <w:spacing w:before="0" w:after="0"/>
        <w:ind w:left="1800"/>
        <w:rPr>
          <w:lang w:val="it-IT"/>
        </w:rPr>
      </w:pPr>
      <w:r w:rsidRPr="00451078">
        <w:rPr>
          <w:rFonts w:ascii="Tahoma" w:eastAsia="Calibri" w:hAnsi="Tahoma" w:cs="Tahoma"/>
          <w:color w:val="000000"/>
          <w:sz w:val="18"/>
          <w:szCs w:val="18"/>
          <w:lang w:val="it-IT"/>
        </w:rPr>
        <w:t>Nonostante eventuali disposizioni contrarie dei Diritti di Utilizzo del Prodotto, agli istituti che scelgono l</w:t>
      </w:r>
      <w:r w:rsidR="004525CA">
        <w:rPr>
          <w:rFonts w:ascii="Tahoma" w:eastAsia="Calibri" w:hAnsi="Tahoma" w:cs="Tahoma"/>
          <w:color w:val="000000"/>
          <w:sz w:val="18"/>
          <w:szCs w:val="18"/>
          <w:lang w:val="it-IT"/>
        </w:rPr>
        <w:t>’</w:t>
      </w:r>
      <w:r w:rsidRPr="00451078">
        <w:rPr>
          <w:rFonts w:ascii="Tahoma" w:eastAsia="Calibri" w:hAnsi="Tahoma" w:cs="Tahoma"/>
          <w:color w:val="000000"/>
          <w:sz w:val="18"/>
          <w:szCs w:val="18"/>
          <w:lang w:val="it-IT"/>
        </w:rPr>
        <w:t>Opzione per Studente viene concessa una sola istanza di Windows To Go per ogni dispositivo con licenza in dotazione a uno studente.</w:t>
      </w:r>
      <w:r w:rsidR="00082E1C" w:rsidRPr="00451078">
        <w:rPr>
          <w:rFonts w:ascii="Tahoma" w:eastAsia="Calibri" w:hAnsi="Tahoma" w:cs="Tahoma"/>
          <w:color w:val="000000"/>
          <w:sz w:val="18"/>
          <w:szCs w:val="18"/>
          <w:lang w:val="it-IT"/>
        </w:rPr>
        <w:t xml:space="preserve"> </w:t>
      </w:r>
      <w:r w:rsidRPr="00451078">
        <w:rPr>
          <w:rFonts w:ascii="Tahoma" w:eastAsia="Calibri" w:hAnsi="Tahoma" w:cs="Tahoma"/>
          <w:color w:val="000000"/>
          <w:sz w:val="18"/>
          <w:szCs w:val="18"/>
          <w:lang w:val="it-IT"/>
        </w:rPr>
        <w:t>Gli istituti dovranno verificare che gli studenti che non sono più iscritti all</w:t>
      </w:r>
      <w:r w:rsidR="004525CA">
        <w:rPr>
          <w:rFonts w:ascii="Tahoma" w:eastAsia="Calibri" w:hAnsi="Tahoma" w:cs="Tahoma"/>
          <w:color w:val="000000"/>
          <w:sz w:val="18"/>
          <w:szCs w:val="18"/>
          <w:lang w:val="it-IT"/>
        </w:rPr>
        <w:t>’</w:t>
      </w:r>
      <w:r w:rsidRPr="00451078">
        <w:rPr>
          <w:rFonts w:ascii="Tahoma" w:eastAsia="Calibri" w:hAnsi="Tahoma" w:cs="Tahoma"/>
          <w:color w:val="000000"/>
          <w:sz w:val="18"/>
          <w:szCs w:val="18"/>
          <w:lang w:val="it-IT"/>
        </w:rPr>
        <w:t>istituto cessino di utilizzare Windows To Go e restituiscano all</w:t>
      </w:r>
      <w:r w:rsidR="004525CA">
        <w:rPr>
          <w:rFonts w:ascii="Tahoma" w:eastAsia="Calibri" w:hAnsi="Tahoma" w:cs="Tahoma"/>
          <w:color w:val="000000"/>
          <w:sz w:val="18"/>
          <w:szCs w:val="18"/>
          <w:lang w:val="it-IT"/>
        </w:rPr>
        <w:t>’</w:t>
      </w:r>
      <w:r w:rsidRPr="00451078">
        <w:rPr>
          <w:rFonts w:ascii="Tahoma" w:eastAsia="Calibri" w:hAnsi="Tahoma" w:cs="Tahoma"/>
          <w:color w:val="000000"/>
          <w:sz w:val="18"/>
          <w:szCs w:val="18"/>
          <w:lang w:val="it-IT"/>
        </w:rPr>
        <w:t>istituto i dispositivi USB in cui è installata un</w:t>
      </w:r>
      <w:r w:rsidR="004525CA">
        <w:rPr>
          <w:rFonts w:ascii="Tahoma" w:eastAsia="Calibri" w:hAnsi="Tahoma" w:cs="Tahoma"/>
          <w:color w:val="000000"/>
          <w:sz w:val="18"/>
          <w:szCs w:val="18"/>
          <w:lang w:val="it-IT"/>
        </w:rPr>
        <w:t>’</w:t>
      </w:r>
      <w:r w:rsidRPr="00451078">
        <w:rPr>
          <w:rFonts w:ascii="Tahoma" w:eastAsia="Calibri" w:hAnsi="Tahoma" w:cs="Tahoma"/>
          <w:color w:val="000000"/>
          <w:sz w:val="18"/>
          <w:szCs w:val="18"/>
          <w:lang w:val="it-IT"/>
        </w:rPr>
        <w:t xml:space="preserve">istanza di Windows To Go. </w:t>
      </w:r>
      <w:r w:rsidRPr="00451078">
        <w:rPr>
          <w:rFonts w:ascii="Tahoma" w:hAnsi="Tahoma" w:cs="Tahoma"/>
          <w:sz w:val="18"/>
          <w:szCs w:val="18"/>
          <w:lang w:val="it-IT"/>
        </w:rPr>
        <w:t>Gli istituti che scelgono l</w:t>
      </w:r>
      <w:r w:rsidR="004525CA">
        <w:rPr>
          <w:rFonts w:ascii="Tahoma" w:hAnsi="Tahoma" w:cs="Tahoma"/>
          <w:sz w:val="18"/>
          <w:szCs w:val="18"/>
          <w:lang w:val="it-IT"/>
        </w:rPr>
        <w:t>’</w:t>
      </w:r>
      <w:r w:rsidRPr="00451078">
        <w:rPr>
          <w:rFonts w:ascii="Tahoma" w:hAnsi="Tahoma" w:cs="Tahoma"/>
          <w:sz w:val="18"/>
          <w:szCs w:val="18"/>
          <w:lang w:val="it-IT"/>
        </w:rPr>
        <w:t>Opzione per Studente non potranno installare Windows Enterprise sui dispositivi di</w:t>
      </w:r>
      <w:r w:rsidR="00847115" w:rsidRPr="00451078">
        <w:rPr>
          <w:rFonts w:ascii="Tahoma" w:hAnsi="Tahoma" w:cs="Tahoma"/>
          <w:sz w:val="18"/>
          <w:szCs w:val="18"/>
          <w:lang w:val="it-IT"/>
        </w:rPr>
        <w:t> </w:t>
      </w:r>
      <w:r w:rsidRPr="00451078">
        <w:rPr>
          <w:rFonts w:ascii="Tahoma" w:hAnsi="Tahoma" w:cs="Tahoma"/>
          <w:sz w:val="18"/>
          <w:szCs w:val="18"/>
          <w:lang w:val="it-IT"/>
        </w:rPr>
        <w:t>proprietà degli studenti.</w:t>
      </w:r>
    </w:p>
    <w:p w:rsidR="00973A93" w:rsidRPr="00451078" w:rsidRDefault="00973A93" w:rsidP="00AF3B19">
      <w:pPr>
        <w:rPr>
          <w:lang w:val="it-IT"/>
        </w:rPr>
      </w:pPr>
    </w:p>
    <w:p w:rsidR="00B73A46" w:rsidRPr="00451078" w:rsidRDefault="00B73A46" w:rsidP="00F64DEA">
      <w:pPr>
        <w:pStyle w:val="FootnoteBulletLevel1"/>
        <w:tabs>
          <w:tab w:val="clear" w:pos="900"/>
        </w:tabs>
        <w:adjustRightInd/>
        <w:spacing w:before="0" w:after="60"/>
        <w:ind w:left="720" w:firstLine="0"/>
        <w:textAlignment w:val="auto"/>
        <w:rPr>
          <w:lang w:val="it-IT"/>
        </w:rPr>
      </w:pPr>
      <w:r w:rsidRPr="00451078">
        <w:rPr>
          <w:rFonts w:ascii="Tahoma" w:hAnsi="Tahoma" w:cs="Tahoma"/>
          <w:b/>
          <w:bCs/>
          <w:sz w:val="18"/>
          <w:szCs w:val="18"/>
          <w:lang w:val="it-IT"/>
        </w:rPr>
        <w:t>Microsoft Windows XP Professional N (non contiene Windows Media Player)</w:t>
      </w:r>
    </w:p>
    <w:p w:rsidR="00B73A46" w:rsidRPr="00451078" w:rsidRDefault="00B73A46" w:rsidP="00F64DEA">
      <w:pPr>
        <w:pStyle w:val="FootnoteBulletLevel2"/>
        <w:tabs>
          <w:tab w:val="clear" w:pos="1260"/>
          <w:tab w:val="num" w:pos="900"/>
        </w:tabs>
        <w:spacing w:before="0"/>
        <w:ind w:left="720" w:firstLine="0"/>
        <w:rPr>
          <w:lang w:val="it-IT"/>
        </w:rPr>
      </w:pPr>
      <w:r w:rsidRPr="00451078">
        <w:rPr>
          <w:rFonts w:ascii="Tahoma" w:hAnsi="Tahoma" w:cs="Tahoma"/>
          <w:sz w:val="18"/>
          <w:szCs w:val="18"/>
          <w:u w:val="single"/>
          <w:lang w:val="it-IT"/>
        </w:rPr>
        <w:t>Requisiti di Idoneità</w:t>
      </w:r>
      <w:r w:rsidRPr="00451078">
        <w:rPr>
          <w:rFonts w:ascii="Tahoma" w:hAnsi="Tahoma" w:cs="Tahoma"/>
          <w:sz w:val="18"/>
          <w:szCs w:val="18"/>
          <w:lang w:val="it-IT"/>
        </w:rPr>
        <w:t>:</w:t>
      </w:r>
      <w:r w:rsidRPr="00451078">
        <w:rPr>
          <w:rFonts w:ascii="Tahoma" w:hAnsi="Tahoma" w:cs="Tahoma"/>
          <w:sz w:val="18"/>
          <w:szCs w:val="18"/>
          <w:lang w:val="it-IT"/>
        </w:rPr>
        <w:br/>
        <w:t>le società che hanno stipulato un contratto multilicenza e che soddisfano tutti i criteri che seguono sono idonee ad acquistare il supporto per Microsoft Windows XP Professional N.</w:t>
      </w:r>
    </w:p>
    <w:p w:rsidR="00F64DEA" w:rsidRPr="00451078" w:rsidRDefault="00F64DEA" w:rsidP="00F64DEA">
      <w:pPr>
        <w:pStyle w:val="FootnoteBulletLevel2"/>
        <w:tabs>
          <w:tab w:val="clear" w:pos="1260"/>
          <w:tab w:val="num" w:pos="900"/>
        </w:tabs>
        <w:spacing w:before="0"/>
        <w:ind w:left="720" w:firstLine="0"/>
        <w:rPr>
          <w:rFonts w:ascii="Tahoma" w:hAnsi="Tahoma" w:cs="Tahoma"/>
          <w:sz w:val="18"/>
          <w:szCs w:val="18"/>
          <w:lang w:val="it-IT"/>
        </w:rPr>
      </w:pPr>
    </w:p>
    <w:p w:rsidR="00B73A46" w:rsidRPr="00451078" w:rsidRDefault="00B73A46" w:rsidP="00F64DEA">
      <w:pPr>
        <w:pStyle w:val="Footnotedash"/>
        <w:tabs>
          <w:tab w:val="clear" w:pos="1620"/>
          <w:tab w:val="num" w:pos="2160"/>
        </w:tabs>
        <w:spacing w:before="0" w:after="0"/>
        <w:ind w:left="720" w:firstLine="7"/>
        <w:rPr>
          <w:lang w:val="it-IT"/>
        </w:rPr>
      </w:pPr>
      <w:r w:rsidRPr="00451078">
        <w:rPr>
          <w:rFonts w:ascii="Tahoma" w:hAnsi="Tahoma" w:cs="Tahoma"/>
          <w:sz w:val="18"/>
          <w:szCs w:val="18"/>
          <w:lang w:val="it-IT"/>
        </w:rPr>
        <w:t xml:space="preserve">Devono disporre di almeno uno dei seguenti contratti o iscrizioni attivi con Microsoft Ireland Operations Ltd: </w:t>
      </w:r>
    </w:p>
    <w:p w:rsidR="00F64DEA" w:rsidRPr="00451078" w:rsidRDefault="00F64DEA" w:rsidP="00F64DEA">
      <w:pPr>
        <w:pStyle w:val="Footnotedash"/>
        <w:tabs>
          <w:tab w:val="clear" w:pos="1620"/>
          <w:tab w:val="num" w:pos="2160"/>
        </w:tabs>
        <w:spacing w:before="0" w:after="0"/>
        <w:ind w:left="720" w:firstLine="7"/>
        <w:rPr>
          <w:rFonts w:ascii="Tahoma" w:hAnsi="Tahoma" w:cs="Tahoma"/>
          <w:sz w:val="18"/>
          <w:szCs w:val="18"/>
          <w:lang w:val="it-IT"/>
        </w:rPr>
      </w:pPr>
    </w:p>
    <w:p w:rsidR="00B73A46" w:rsidRPr="003410C7" w:rsidRDefault="00B73A46" w:rsidP="00745AB3">
      <w:pPr>
        <w:pStyle w:val="Footnotedash"/>
        <w:numPr>
          <w:ilvl w:val="0"/>
          <w:numId w:val="32"/>
        </w:numPr>
        <w:adjustRightInd/>
        <w:spacing w:before="0"/>
        <w:ind w:left="1440"/>
        <w:textAlignment w:val="auto"/>
      </w:pPr>
      <w:r w:rsidRPr="003410C7">
        <w:rPr>
          <w:rFonts w:ascii="Tahoma" w:hAnsi="Tahoma" w:cs="Tahoma"/>
          <w:sz w:val="18"/>
          <w:szCs w:val="18"/>
        </w:rPr>
        <w:t>Iscrizione Select, Enterprise o Enterprise Subscription</w:t>
      </w:r>
    </w:p>
    <w:p w:rsidR="00B73A46" w:rsidRPr="003410C7" w:rsidRDefault="00B73A46" w:rsidP="00745AB3">
      <w:pPr>
        <w:pStyle w:val="Footnotedash"/>
        <w:numPr>
          <w:ilvl w:val="0"/>
          <w:numId w:val="32"/>
        </w:numPr>
        <w:adjustRightInd/>
        <w:spacing w:before="0"/>
        <w:ind w:left="1440"/>
        <w:textAlignment w:val="auto"/>
      </w:pPr>
      <w:r w:rsidRPr="003410C7">
        <w:rPr>
          <w:rFonts w:ascii="Tahoma" w:hAnsi="Tahoma" w:cs="Tahoma"/>
          <w:sz w:val="18"/>
          <w:szCs w:val="18"/>
        </w:rPr>
        <w:t xml:space="preserve">Contratti Open License*, Open Value, Campus e School, Open Value Subscription - Education Solutions </w:t>
      </w:r>
    </w:p>
    <w:p w:rsidR="00B73A46" w:rsidRPr="00451078" w:rsidRDefault="00B73A46" w:rsidP="00F64DEA">
      <w:pPr>
        <w:pStyle w:val="Footnotedash"/>
        <w:spacing w:before="0"/>
        <w:ind w:left="1440" w:firstLine="0"/>
        <w:rPr>
          <w:lang w:val="it-IT"/>
        </w:rPr>
      </w:pPr>
      <w:r w:rsidRPr="00451078">
        <w:rPr>
          <w:rFonts w:ascii="Tahoma" w:hAnsi="Tahoma" w:cs="Tahoma"/>
          <w:sz w:val="18"/>
          <w:szCs w:val="18"/>
          <w:lang w:val="it-IT"/>
        </w:rPr>
        <w:t xml:space="preserve">(*Ai fini del Contratto Open License, un </w:t>
      </w:r>
      <w:r w:rsidR="001A3EC5" w:rsidRPr="00451078">
        <w:rPr>
          <w:rFonts w:ascii="Tahoma" w:hAnsi="Tahoma" w:cs="Tahoma"/>
          <w:sz w:val="18"/>
          <w:szCs w:val="18"/>
          <w:lang w:val="it-IT"/>
        </w:rPr>
        <w:t>“</w:t>
      </w:r>
      <w:r w:rsidRPr="00451078">
        <w:rPr>
          <w:rFonts w:ascii="Tahoma" w:hAnsi="Tahoma" w:cs="Tahoma"/>
          <w:sz w:val="18"/>
          <w:szCs w:val="18"/>
          <w:lang w:val="it-IT"/>
        </w:rPr>
        <w:t>contratto attivo</w:t>
      </w:r>
      <w:r w:rsidR="001A3EC5" w:rsidRPr="00451078">
        <w:rPr>
          <w:rFonts w:ascii="Tahoma" w:hAnsi="Tahoma" w:cs="Tahoma"/>
          <w:sz w:val="18"/>
          <w:szCs w:val="18"/>
          <w:lang w:val="it-IT"/>
        </w:rPr>
        <w:t>”</w:t>
      </w:r>
      <w:r w:rsidRPr="00451078">
        <w:rPr>
          <w:rFonts w:ascii="Tahoma" w:hAnsi="Tahoma" w:cs="Tahoma"/>
          <w:sz w:val="18"/>
          <w:szCs w:val="18"/>
          <w:lang w:val="it-IT"/>
        </w:rPr>
        <w:t xml:space="preserve"> è un contratto associato a un Numero di</w:t>
      </w:r>
      <w:r w:rsidR="00847115" w:rsidRPr="00451078">
        <w:rPr>
          <w:rFonts w:ascii="Tahoma" w:hAnsi="Tahoma" w:cs="Tahoma"/>
          <w:sz w:val="18"/>
          <w:szCs w:val="18"/>
          <w:lang w:val="it-IT"/>
        </w:rPr>
        <w:t> </w:t>
      </w:r>
      <w:r w:rsidRPr="00451078">
        <w:rPr>
          <w:rFonts w:ascii="Tahoma" w:hAnsi="Tahoma" w:cs="Tahoma"/>
          <w:sz w:val="18"/>
          <w:szCs w:val="18"/>
          <w:lang w:val="it-IT"/>
        </w:rPr>
        <w:t>Autorizzazione Open License attivo).</w:t>
      </w:r>
    </w:p>
    <w:p w:rsidR="00F64DEA" w:rsidRPr="00451078" w:rsidRDefault="00F64DEA" w:rsidP="00F64DEA">
      <w:pPr>
        <w:pStyle w:val="Footnotedash"/>
        <w:spacing w:before="0" w:after="0"/>
        <w:ind w:left="1440" w:firstLine="0"/>
        <w:rPr>
          <w:rFonts w:ascii="Tahoma" w:hAnsi="Tahoma" w:cs="Tahoma"/>
          <w:sz w:val="18"/>
          <w:szCs w:val="18"/>
          <w:lang w:val="it-IT"/>
        </w:rPr>
      </w:pPr>
    </w:p>
    <w:p w:rsidR="00B73A46" w:rsidRPr="00451078" w:rsidRDefault="00B73A46" w:rsidP="00F64DEA">
      <w:pPr>
        <w:pStyle w:val="Footnotedash"/>
        <w:tabs>
          <w:tab w:val="left" w:pos="1620"/>
        </w:tabs>
        <w:spacing w:before="0" w:after="0"/>
        <w:ind w:left="720" w:firstLine="7"/>
        <w:rPr>
          <w:lang w:val="it-IT"/>
        </w:rPr>
      </w:pPr>
      <w:r w:rsidRPr="00451078">
        <w:rPr>
          <w:rFonts w:ascii="Tahoma" w:hAnsi="Tahoma" w:cs="Tahoma"/>
          <w:sz w:val="18"/>
          <w:szCs w:val="18"/>
          <w:lang w:val="it-IT"/>
        </w:rPr>
        <w:t>Devono disporre di una copertura Software Assurance attiva per le licenze di aggiornamento per il Sistema</w:t>
      </w:r>
      <w:r w:rsidR="00847115" w:rsidRPr="00451078">
        <w:rPr>
          <w:rFonts w:ascii="Tahoma" w:hAnsi="Tahoma" w:cs="Tahoma"/>
          <w:sz w:val="18"/>
          <w:szCs w:val="18"/>
          <w:lang w:val="it-IT"/>
        </w:rPr>
        <w:t> </w:t>
      </w:r>
      <w:r w:rsidRPr="00451078">
        <w:rPr>
          <w:rFonts w:ascii="Tahoma" w:hAnsi="Tahoma" w:cs="Tahoma"/>
          <w:sz w:val="18"/>
          <w:szCs w:val="18"/>
          <w:lang w:val="it-IT"/>
        </w:rPr>
        <w:t>Operativo Desktop Windows o per Windows XP Professional acquistate a partire dalla data del 2</w:t>
      </w:r>
      <w:r w:rsidR="00847115" w:rsidRPr="00451078">
        <w:rPr>
          <w:rFonts w:ascii="Tahoma" w:hAnsi="Tahoma" w:cs="Tahoma"/>
          <w:sz w:val="18"/>
          <w:szCs w:val="18"/>
          <w:lang w:val="it-IT"/>
        </w:rPr>
        <w:t> </w:t>
      </w:r>
      <w:r w:rsidRPr="00451078">
        <w:rPr>
          <w:rFonts w:ascii="Tahoma" w:hAnsi="Tahoma" w:cs="Tahoma"/>
          <w:sz w:val="18"/>
          <w:szCs w:val="18"/>
          <w:lang w:val="it-IT"/>
        </w:rPr>
        <w:t>febbraio</w:t>
      </w:r>
      <w:r w:rsidR="00847115" w:rsidRPr="00451078">
        <w:rPr>
          <w:rFonts w:ascii="Tahoma" w:hAnsi="Tahoma" w:cs="Tahoma"/>
          <w:sz w:val="18"/>
          <w:szCs w:val="18"/>
          <w:lang w:val="it-IT"/>
        </w:rPr>
        <w:t> </w:t>
      </w:r>
      <w:r w:rsidRPr="00451078">
        <w:rPr>
          <w:rFonts w:ascii="Tahoma" w:hAnsi="Tahoma" w:cs="Tahoma"/>
          <w:sz w:val="18"/>
          <w:szCs w:val="18"/>
          <w:lang w:val="it-IT"/>
        </w:rPr>
        <w:t>2005.</w:t>
      </w:r>
    </w:p>
    <w:p w:rsidR="00F64DEA" w:rsidRPr="00451078" w:rsidRDefault="00F64DEA" w:rsidP="00F64DEA">
      <w:pPr>
        <w:pStyle w:val="Footnotedash"/>
        <w:tabs>
          <w:tab w:val="left" w:pos="1620"/>
        </w:tabs>
        <w:spacing w:before="0" w:after="0"/>
        <w:ind w:left="720" w:firstLine="7"/>
        <w:rPr>
          <w:rFonts w:ascii="Tahoma" w:hAnsi="Tahoma" w:cs="Tahoma"/>
          <w:sz w:val="18"/>
          <w:szCs w:val="18"/>
          <w:lang w:val="it-IT"/>
        </w:rPr>
      </w:pPr>
    </w:p>
    <w:p w:rsidR="00766C40" w:rsidRPr="00451078" w:rsidRDefault="00B73A46" w:rsidP="00F64DEA">
      <w:pPr>
        <w:pStyle w:val="Footnotedash"/>
        <w:tabs>
          <w:tab w:val="left" w:pos="1620"/>
        </w:tabs>
        <w:spacing w:before="0" w:after="0"/>
        <w:ind w:left="720" w:firstLine="7"/>
        <w:rPr>
          <w:lang w:val="it-IT"/>
        </w:rPr>
      </w:pPr>
      <w:r w:rsidRPr="00451078">
        <w:rPr>
          <w:rFonts w:ascii="Tahoma" w:hAnsi="Tahoma" w:cs="Tahoma"/>
          <w:sz w:val="18"/>
          <w:szCs w:val="18"/>
          <w:lang w:val="it-IT"/>
        </w:rPr>
        <w:t>Devono avere sede in a) uno dei paesi dell</w:t>
      </w:r>
      <w:r w:rsidR="004525CA">
        <w:rPr>
          <w:rFonts w:ascii="Tahoma" w:hAnsi="Tahoma" w:cs="Tahoma"/>
          <w:sz w:val="18"/>
          <w:szCs w:val="18"/>
          <w:lang w:val="it-IT"/>
        </w:rPr>
        <w:t>’</w:t>
      </w:r>
      <w:r w:rsidRPr="00451078">
        <w:rPr>
          <w:rFonts w:ascii="Tahoma" w:hAnsi="Tahoma" w:cs="Tahoma"/>
          <w:sz w:val="18"/>
          <w:szCs w:val="18"/>
          <w:lang w:val="it-IT"/>
        </w:rPr>
        <w:t>Unione Europea (UE), b) in uno stato membro dell</w:t>
      </w:r>
      <w:r w:rsidR="004525CA">
        <w:rPr>
          <w:rFonts w:ascii="Tahoma" w:hAnsi="Tahoma" w:cs="Tahoma"/>
          <w:sz w:val="18"/>
          <w:szCs w:val="18"/>
          <w:lang w:val="it-IT"/>
        </w:rPr>
        <w:t>’</w:t>
      </w:r>
      <w:r w:rsidRPr="00451078">
        <w:rPr>
          <w:rFonts w:ascii="Tahoma" w:hAnsi="Tahoma" w:cs="Tahoma"/>
          <w:sz w:val="18"/>
          <w:szCs w:val="18"/>
          <w:lang w:val="it-IT"/>
        </w:rPr>
        <w:t xml:space="preserve">Associazione Europea per il Libero Scambio (EFTA), c) in Bulgaria, in Croazia, in Romania o in Svizzera. </w:t>
      </w:r>
    </w:p>
    <w:p w:rsidR="00F64DEA" w:rsidRPr="00451078" w:rsidRDefault="00F64DEA" w:rsidP="00847115">
      <w:pPr>
        <w:pStyle w:val="Footnotedash"/>
        <w:tabs>
          <w:tab w:val="left" w:pos="1620"/>
        </w:tabs>
        <w:spacing w:before="0" w:after="0"/>
        <w:ind w:left="720" w:firstLine="7"/>
        <w:rPr>
          <w:rFonts w:ascii="Tahoma" w:hAnsi="Tahoma" w:cs="Tahoma"/>
          <w:sz w:val="18"/>
          <w:szCs w:val="18"/>
          <w:lang w:val="it-IT"/>
        </w:rPr>
      </w:pPr>
    </w:p>
    <w:p w:rsidR="00B73A46" w:rsidRPr="00451078" w:rsidRDefault="00B73A46" w:rsidP="00F64DEA">
      <w:pPr>
        <w:pStyle w:val="FootnoteBulletLevel1"/>
        <w:tabs>
          <w:tab w:val="clear" w:pos="900"/>
        </w:tabs>
        <w:adjustRightInd/>
        <w:spacing w:before="0" w:after="60"/>
        <w:ind w:left="720" w:firstLine="0"/>
        <w:textAlignment w:val="auto"/>
        <w:rPr>
          <w:lang w:val="it-IT"/>
        </w:rPr>
      </w:pPr>
      <w:r w:rsidRPr="00451078">
        <w:rPr>
          <w:rFonts w:ascii="Tahoma" w:hAnsi="Tahoma" w:cs="Tahoma"/>
          <w:b/>
          <w:bCs/>
          <w:sz w:val="18"/>
          <w:szCs w:val="18"/>
          <w:lang w:val="it-IT"/>
        </w:rPr>
        <w:t>Windows XP Professional</w:t>
      </w:r>
    </w:p>
    <w:p w:rsidR="00B73A46" w:rsidRPr="00451078" w:rsidRDefault="00B73A46" w:rsidP="00F64DEA">
      <w:pPr>
        <w:pStyle w:val="FootnoteBulletLevel2"/>
        <w:spacing w:before="0"/>
        <w:ind w:left="720" w:firstLine="0"/>
        <w:rPr>
          <w:lang w:val="it-IT"/>
        </w:rPr>
      </w:pPr>
      <w:r w:rsidRPr="00451078">
        <w:rPr>
          <w:rFonts w:ascii="Tahoma" w:hAnsi="Tahoma" w:cs="Tahoma"/>
          <w:sz w:val="18"/>
          <w:szCs w:val="18"/>
          <w:lang w:val="it-IT"/>
        </w:rPr>
        <w:t>Limitazioni all</w:t>
      </w:r>
      <w:r w:rsidR="004525CA">
        <w:rPr>
          <w:rFonts w:ascii="Tahoma" w:hAnsi="Tahoma" w:cs="Tahoma"/>
          <w:sz w:val="18"/>
          <w:szCs w:val="18"/>
          <w:lang w:val="it-IT"/>
        </w:rPr>
        <w:t>’</w:t>
      </w:r>
      <w:r w:rsidRPr="00451078">
        <w:rPr>
          <w:rFonts w:ascii="Tahoma" w:hAnsi="Tahoma" w:cs="Tahoma"/>
          <w:sz w:val="18"/>
          <w:szCs w:val="18"/>
          <w:lang w:val="it-IT"/>
        </w:rPr>
        <w:t>utilizzo di Windows XP Professional in Corea.</w:t>
      </w:r>
    </w:p>
    <w:p w:rsidR="00B73A46" w:rsidRPr="00451078" w:rsidRDefault="00B73A46" w:rsidP="00F64DEA">
      <w:pPr>
        <w:pStyle w:val="FootnoteBulletLevel2"/>
        <w:spacing w:before="0"/>
        <w:ind w:left="720" w:firstLine="0"/>
        <w:rPr>
          <w:lang w:val="it-IT"/>
        </w:rPr>
      </w:pPr>
      <w:r w:rsidRPr="00451078">
        <w:rPr>
          <w:rFonts w:ascii="Tahoma" w:hAnsi="Tahoma" w:cs="Tahoma"/>
          <w:sz w:val="18"/>
          <w:szCs w:val="18"/>
          <w:lang w:val="it-IT"/>
        </w:rPr>
        <w:t>Tali limitazioni si applicano anche all</w:t>
      </w:r>
      <w:r w:rsidR="004525CA">
        <w:rPr>
          <w:rFonts w:ascii="Tahoma" w:hAnsi="Tahoma" w:cs="Tahoma"/>
          <w:sz w:val="18"/>
          <w:szCs w:val="18"/>
          <w:lang w:val="it-IT"/>
        </w:rPr>
        <w:t>’</w:t>
      </w:r>
      <w:r w:rsidRPr="00451078">
        <w:rPr>
          <w:rFonts w:ascii="Tahoma" w:hAnsi="Tahoma" w:cs="Tahoma"/>
          <w:sz w:val="18"/>
          <w:szCs w:val="18"/>
          <w:lang w:val="it-IT"/>
        </w:rPr>
        <w:t>utilizzo di Windows XP Professional in conformità ai diritti di downgrade.</w:t>
      </w:r>
    </w:p>
    <w:p w:rsidR="00F64DEA" w:rsidRPr="00451078" w:rsidRDefault="00F64DEA" w:rsidP="00F64DEA">
      <w:pPr>
        <w:pStyle w:val="FootnoteBulletLevel2"/>
        <w:spacing w:before="0"/>
        <w:ind w:left="720" w:firstLine="0"/>
        <w:rPr>
          <w:lang w:val="it-IT"/>
        </w:rPr>
      </w:pPr>
    </w:p>
    <w:p w:rsidR="00B73A46" w:rsidRPr="00451078" w:rsidRDefault="00B73A46" w:rsidP="00745AB3">
      <w:pPr>
        <w:pStyle w:val="Footnotedash"/>
        <w:numPr>
          <w:ilvl w:val="0"/>
          <w:numId w:val="32"/>
        </w:numPr>
        <w:adjustRightInd/>
        <w:spacing w:before="0"/>
        <w:ind w:left="1440"/>
        <w:textAlignment w:val="auto"/>
        <w:rPr>
          <w:lang w:val="it-IT"/>
        </w:rPr>
      </w:pPr>
      <w:r w:rsidRPr="00451078">
        <w:rPr>
          <w:rFonts w:ascii="Tahoma" w:hAnsi="Tahoma" w:cs="Tahoma"/>
          <w:sz w:val="18"/>
          <w:szCs w:val="18"/>
          <w:lang w:val="it-IT"/>
        </w:rPr>
        <w:t xml:space="preserve">La KFTC (Korean Fair Trade Commission) prevede alcune limitazioni relative alla possibilità per le società che abbiano stipulato contratti Volume License e le loro consociate di distribuire la versione in lingua coreana di Windows XP Professional per utilizzarla in Corea. </w:t>
      </w:r>
    </w:p>
    <w:p w:rsidR="00B73A46" w:rsidRPr="00451078" w:rsidRDefault="00B73A46" w:rsidP="00745AB3">
      <w:pPr>
        <w:pStyle w:val="Footnotedash"/>
        <w:numPr>
          <w:ilvl w:val="0"/>
          <w:numId w:val="32"/>
        </w:numPr>
        <w:adjustRightInd/>
        <w:spacing w:before="0"/>
        <w:ind w:left="1440"/>
        <w:textAlignment w:val="auto"/>
        <w:rPr>
          <w:lang w:val="it-IT"/>
        </w:rPr>
      </w:pPr>
      <w:r w:rsidRPr="00451078">
        <w:rPr>
          <w:rFonts w:ascii="Tahoma" w:hAnsi="Tahoma" w:cs="Tahoma"/>
          <w:sz w:val="18"/>
          <w:szCs w:val="18"/>
          <w:lang w:val="it-IT"/>
        </w:rPr>
        <w:t xml:space="preserve">Tali limitazioni non si applicano alle licenze acquistate dalle società nella versione in lingua coreana di Windows XP Professional prima del 24 agosto 2006. </w:t>
      </w:r>
    </w:p>
    <w:p w:rsidR="00B73A46" w:rsidRPr="00451078" w:rsidRDefault="00B73A46" w:rsidP="00745AB3">
      <w:pPr>
        <w:pStyle w:val="Footnotedash"/>
        <w:numPr>
          <w:ilvl w:val="0"/>
          <w:numId w:val="32"/>
        </w:numPr>
        <w:adjustRightInd/>
        <w:spacing w:before="0"/>
        <w:ind w:left="1440"/>
        <w:textAlignment w:val="auto"/>
        <w:rPr>
          <w:lang w:val="it-IT"/>
        </w:rPr>
      </w:pPr>
      <w:r w:rsidRPr="00451078">
        <w:rPr>
          <w:rFonts w:ascii="Tahoma" w:hAnsi="Tahoma" w:cs="Tahoma"/>
          <w:sz w:val="18"/>
          <w:szCs w:val="18"/>
          <w:lang w:val="it-IT"/>
        </w:rPr>
        <w:t>Tali limitazioni non si applicano neppure alle società multinazionali la cui sede sia al di fuori della Corea e che utilizzano un</w:t>
      </w:r>
      <w:r w:rsidR="004525CA">
        <w:rPr>
          <w:rFonts w:ascii="Tahoma" w:hAnsi="Tahoma" w:cs="Tahoma"/>
          <w:sz w:val="18"/>
          <w:szCs w:val="18"/>
          <w:lang w:val="it-IT"/>
        </w:rPr>
        <w:t>’</w:t>
      </w:r>
      <w:r w:rsidRPr="00451078">
        <w:rPr>
          <w:rFonts w:ascii="Tahoma" w:hAnsi="Tahoma" w:cs="Tahoma"/>
          <w:sz w:val="18"/>
          <w:szCs w:val="18"/>
          <w:lang w:val="it-IT"/>
        </w:rPr>
        <w:t>unica immagine del software.</w:t>
      </w:r>
    </w:p>
    <w:p w:rsidR="00B73A46" w:rsidRPr="00451078" w:rsidRDefault="00B73A46" w:rsidP="00745AB3">
      <w:pPr>
        <w:pStyle w:val="Footnotedash"/>
        <w:numPr>
          <w:ilvl w:val="0"/>
          <w:numId w:val="32"/>
        </w:numPr>
        <w:adjustRightInd/>
        <w:spacing w:before="0"/>
        <w:ind w:left="1440"/>
        <w:textAlignment w:val="auto"/>
        <w:rPr>
          <w:lang w:val="it-IT"/>
        </w:rPr>
      </w:pPr>
      <w:r w:rsidRPr="00451078">
        <w:rPr>
          <w:rFonts w:ascii="Tahoma" w:hAnsi="Tahoma" w:cs="Tahoma"/>
          <w:sz w:val="18"/>
          <w:szCs w:val="18"/>
          <w:lang w:val="it-IT"/>
        </w:rPr>
        <w:lastRenderedPageBreak/>
        <w:t>Tali limitazioni non si applicano alle società che abbiano stipulato contratti in vigore al 23 agosto 2006 e che, in circostanze eccezionali, utilizzino un</w:t>
      </w:r>
      <w:r w:rsidR="004525CA">
        <w:rPr>
          <w:rFonts w:ascii="Tahoma" w:hAnsi="Tahoma" w:cs="Tahoma"/>
          <w:sz w:val="18"/>
          <w:szCs w:val="18"/>
          <w:lang w:val="it-IT"/>
        </w:rPr>
        <w:t>’</w:t>
      </w:r>
      <w:r w:rsidRPr="00451078">
        <w:rPr>
          <w:rFonts w:ascii="Tahoma" w:hAnsi="Tahoma" w:cs="Tahoma"/>
          <w:sz w:val="18"/>
          <w:szCs w:val="18"/>
          <w:lang w:val="it-IT"/>
        </w:rPr>
        <w:t>unica immagine del software in via continuativa.</w:t>
      </w:r>
    </w:p>
    <w:p w:rsidR="00B73A46" w:rsidRPr="00451078" w:rsidRDefault="00B73A46" w:rsidP="00745AB3">
      <w:pPr>
        <w:pStyle w:val="Footnotedash"/>
        <w:numPr>
          <w:ilvl w:val="0"/>
          <w:numId w:val="32"/>
        </w:numPr>
        <w:adjustRightInd/>
        <w:spacing w:before="0"/>
        <w:ind w:left="1440"/>
        <w:textAlignment w:val="auto"/>
        <w:rPr>
          <w:lang w:val="it-IT"/>
        </w:rPr>
      </w:pPr>
      <w:r w:rsidRPr="00451078">
        <w:rPr>
          <w:rFonts w:ascii="Tahoma" w:hAnsi="Tahoma" w:cs="Tahoma"/>
          <w:sz w:val="18"/>
          <w:szCs w:val="18"/>
          <w:lang w:val="it-IT"/>
        </w:rPr>
        <w:t>La KFTC non ha imposto limitazioni relative all</w:t>
      </w:r>
      <w:r w:rsidR="004525CA">
        <w:rPr>
          <w:rFonts w:ascii="Tahoma" w:hAnsi="Tahoma" w:cs="Tahoma"/>
          <w:sz w:val="18"/>
          <w:szCs w:val="18"/>
          <w:lang w:val="it-IT"/>
        </w:rPr>
        <w:t>’</w:t>
      </w:r>
      <w:r w:rsidRPr="00451078">
        <w:rPr>
          <w:rFonts w:ascii="Tahoma" w:hAnsi="Tahoma" w:cs="Tahoma"/>
          <w:sz w:val="18"/>
          <w:szCs w:val="18"/>
          <w:lang w:val="it-IT"/>
        </w:rPr>
        <w:t xml:space="preserve">utilizzo delle versioni in lingue diverse dal coreano. </w:t>
      </w:r>
    </w:p>
    <w:p w:rsidR="00B73A46" w:rsidRPr="00451078" w:rsidRDefault="00B73A46" w:rsidP="00745AB3">
      <w:pPr>
        <w:pStyle w:val="Footnotedash"/>
        <w:numPr>
          <w:ilvl w:val="0"/>
          <w:numId w:val="32"/>
        </w:numPr>
        <w:adjustRightInd/>
        <w:spacing w:before="0"/>
        <w:ind w:left="1440"/>
        <w:textAlignment w:val="auto"/>
        <w:rPr>
          <w:lang w:val="it-IT"/>
        </w:rPr>
      </w:pPr>
      <w:r w:rsidRPr="00451078">
        <w:rPr>
          <w:rFonts w:ascii="Tahoma" w:hAnsi="Tahoma" w:cs="Tahoma"/>
          <w:sz w:val="18"/>
          <w:szCs w:val="18"/>
          <w:lang w:val="it-IT"/>
        </w:rPr>
        <w:t>La KFTC non ha imposto limitazioni relative alle edizioni Tablet PC o 64-bit in qualunque versione linguistica.</w:t>
      </w:r>
    </w:p>
    <w:p w:rsidR="00F64DEA" w:rsidRPr="00451078" w:rsidRDefault="00F64DEA" w:rsidP="00847115">
      <w:pPr>
        <w:pStyle w:val="Footnotedash"/>
        <w:tabs>
          <w:tab w:val="left" w:pos="1620"/>
        </w:tabs>
        <w:spacing w:before="0" w:after="0"/>
        <w:ind w:left="720" w:firstLine="7"/>
        <w:rPr>
          <w:rFonts w:ascii="Tahoma" w:hAnsi="Tahoma" w:cs="Tahoma"/>
          <w:sz w:val="18"/>
          <w:szCs w:val="18"/>
          <w:lang w:val="it-IT"/>
        </w:rPr>
      </w:pPr>
    </w:p>
    <w:p w:rsidR="00B73A46" w:rsidRPr="00451078" w:rsidRDefault="00B73A46" w:rsidP="00F64DEA">
      <w:pPr>
        <w:pStyle w:val="FootnoteBulletLevel2"/>
        <w:spacing w:before="0"/>
        <w:ind w:left="720" w:hanging="7"/>
        <w:rPr>
          <w:lang w:val="it-IT"/>
        </w:rPr>
      </w:pPr>
      <w:r w:rsidRPr="00451078">
        <w:rPr>
          <w:rFonts w:ascii="Tahoma" w:hAnsi="Tahoma" w:cs="Tahoma"/>
          <w:sz w:val="18"/>
          <w:szCs w:val="18"/>
          <w:u w:val="single"/>
          <w:lang w:val="it-IT"/>
        </w:rPr>
        <w:t>Limitazioni</w:t>
      </w:r>
      <w:r w:rsidRPr="00451078">
        <w:rPr>
          <w:rFonts w:ascii="Tahoma" w:hAnsi="Tahoma" w:cs="Tahoma"/>
          <w:sz w:val="18"/>
          <w:szCs w:val="18"/>
          <w:lang w:val="it-IT"/>
        </w:rPr>
        <w:t>:</w:t>
      </w:r>
    </w:p>
    <w:p w:rsidR="00B73A46" w:rsidRPr="00451078" w:rsidRDefault="00B73A46" w:rsidP="00F64DEA">
      <w:pPr>
        <w:pStyle w:val="FootnoteBulletLevel2"/>
        <w:spacing w:before="0"/>
        <w:ind w:left="720" w:hanging="7"/>
        <w:rPr>
          <w:lang w:val="it-IT"/>
        </w:rPr>
      </w:pPr>
      <w:r w:rsidRPr="00451078">
        <w:rPr>
          <w:rFonts w:ascii="Tahoma" w:hAnsi="Tahoma" w:cs="Tahoma"/>
          <w:sz w:val="18"/>
          <w:szCs w:val="18"/>
          <w:lang w:val="it-IT"/>
        </w:rPr>
        <w:t>Al 24 agosto 2006, le società che abbiano stipulato contratti Volume License in Corea, che non soddisfano i criteri previsti per le eccezioni e che intendono utilizzare le versioni in lingua coreana devono distribuire Windows XP Professional K o Windows XP Professional KN.</w:t>
      </w:r>
    </w:p>
    <w:p w:rsidR="00F64DEA" w:rsidRPr="00451078" w:rsidRDefault="00F64DEA" w:rsidP="00847115">
      <w:pPr>
        <w:pStyle w:val="Footnotedash"/>
        <w:tabs>
          <w:tab w:val="left" w:pos="1620"/>
        </w:tabs>
        <w:spacing w:before="0" w:after="0"/>
        <w:ind w:left="720" w:firstLine="7"/>
        <w:rPr>
          <w:rFonts w:ascii="Tahoma" w:hAnsi="Tahoma" w:cs="Tahoma"/>
          <w:sz w:val="18"/>
          <w:szCs w:val="18"/>
          <w:lang w:val="it-IT"/>
        </w:rPr>
      </w:pPr>
    </w:p>
    <w:p w:rsidR="00B73A46" w:rsidRPr="00451078" w:rsidRDefault="00B73A46" w:rsidP="00F64DEA">
      <w:pPr>
        <w:pStyle w:val="FootnoteBulletLevel1"/>
        <w:tabs>
          <w:tab w:val="clear" w:pos="900"/>
        </w:tabs>
        <w:adjustRightInd/>
        <w:spacing w:before="0" w:after="60"/>
        <w:ind w:left="720" w:firstLine="0"/>
        <w:textAlignment w:val="auto"/>
        <w:rPr>
          <w:lang w:val="it-IT"/>
        </w:rPr>
      </w:pPr>
      <w:r w:rsidRPr="00451078">
        <w:rPr>
          <w:rFonts w:ascii="Tahoma" w:hAnsi="Tahoma" w:cs="Tahoma"/>
          <w:b/>
          <w:bCs/>
          <w:sz w:val="18"/>
          <w:szCs w:val="18"/>
          <w:lang w:val="it-IT"/>
        </w:rPr>
        <w:t>Windows XP Professional K e KN</w:t>
      </w:r>
    </w:p>
    <w:p w:rsidR="00B73A46" w:rsidRPr="00451078" w:rsidRDefault="00B73A46" w:rsidP="00F64DEA">
      <w:pPr>
        <w:pStyle w:val="FootnoteBulletLevel2"/>
        <w:spacing w:before="0"/>
        <w:ind w:left="720" w:hanging="7"/>
        <w:rPr>
          <w:lang w:val="it-IT"/>
        </w:rPr>
      </w:pPr>
      <w:r w:rsidRPr="00451078">
        <w:rPr>
          <w:rFonts w:ascii="Tahoma" w:hAnsi="Tahoma" w:cs="Tahoma"/>
          <w:sz w:val="18"/>
          <w:szCs w:val="18"/>
          <w:lang w:val="it-IT"/>
        </w:rPr>
        <w:t>Le società che abbiano stipulato contratti Volume License e le loro consociate potranno distribuire Windows XP Professional K o KN esclusivamente per l</w:t>
      </w:r>
      <w:r w:rsidR="004525CA">
        <w:rPr>
          <w:rFonts w:ascii="Tahoma" w:hAnsi="Tahoma" w:cs="Tahoma"/>
          <w:sz w:val="18"/>
          <w:szCs w:val="18"/>
          <w:lang w:val="it-IT"/>
        </w:rPr>
        <w:t>’</w:t>
      </w:r>
      <w:r w:rsidRPr="00451078">
        <w:rPr>
          <w:rFonts w:ascii="Tahoma" w:hAnsi="Tahoma" w:cs="Tahoma"/>
          <w:sz w:val="18"/>
          <w:szCs w:val="18"/>
          <w:lang w:val="it-IT"/>
        </w:rPr>
        <w:t xml:space="preserve">utilizzo in Corea. </w:t>
      </w:r>
    </w:p>
    <w:p w:rsidR="00F64DEA" w:rsidRPr="00451078" w:rsidRDefault="00F64DEA" w:rsidP="00847115">
      <w:pPr>
        <w:pStyle w:val="Footnotedash"/>
        <w:tabs>
          <w:tab w:val="left" w:pos="1620"/>
        </w:tabs>
        <w:spacing w:before="0" w:after="0"/>
        <w:ind w:left="720" w:firstLine="7"/>
        <w:rPr>
          <w:rFonts w:ascii="Tahoma" w:hAnsi="Tahoma" w:cs="Tahoma"/>
          <w:sz w:val="18"/>
          <w:szCs w:val="18"/>
          <w:lang w:val="it-IT"/>
        </w:rPr>
      </w:pPr>
    </w:p>
    <w:p w:rsidR="00B73A46" w:rsidRPr="00451078" w:rsidRDefault="00B73A46" w:rsidP="00F64DEA">
      <w:pPr>
        <w:pStyle w:val="FootnoteBulletLevel1"/>
        <w:tabs>
          <w:tab w:val="clear" w:pos="900"/>
        </w:tabs>
        <w:adjustRightInd/>
        <w:spacing w:before="0" w:after="60"/>
        <w:ind w:left="720" w:firstLine="0"/>
        <w:textAlignment w:val="auto"/>
        <w:rPr>
          <w:lang w:val="it-IT"/>
        </w:rPr>
      </w:pPr>
      <w:r w:rsidRPr="00451078">
        <w:rPr>
          <w:rFonts w:ascii="Tahoma" w:hAnsi="Tahoma" w:cs="Tahoma"/>
          <w:b/>
          <w:bCs/>
          <w:sz w:val="18"/>
          <w:szCs w:val="18"/>
          <w:lang w:val="it-IT"/>
        </w:rPr>
        <w:t>Windows Vista Business KN</w:t>
      </w:r>
    </w:p>
    <w:p w:rsidR="00B73A46" w:rsidRPr="00451078" w:rsidRDefault="00B73A46" w:rsidP="00F64DEA">
      <w:pPr>
        <w:pStyle w:val="FootnoteBulletLevel2"/>
        <w:spacing w:before="0"/>
        <w:ind w:left="720" w:hanging="7"/>
        <w:rPr>
          <w:lang w:val="it-IT"/>
        </w:rPr>
      </w:pPr>
      <w:r w:rsidRPr="00451078">
        <w:rPr>
          <w:rFonts w:ascii="Tahoma" w:hAnsi="Tahoma" w:cs="Tahoma"/>
          <w:sz w:val="18"/>
          <w:szCs w:val="18"/>
          <w:u w:val="single"/>
          <w:lang w:val="it-IT"/>
        </w:rPr>
        <w:t>Requisiti di Idoneità</w:t>
      </w:r>
      <w:r w:rsidRPr="00451078">
        <w:rPr>
          <w:rFonts w:ascii="Tahoma" w:hAnsi="Tahoma" w:cs="Tahoma"/>
          <w:sz w:val="18"/>
          <w:szCs w:val="18"/>
          <w:lang w:val="it-IT"/>
        </w:rPr>
        <w:t>:</w:t>
      </w:r>
      <w:r w:rsidRPr="00451078">
        <w:rPr>
          <w:rFonts w:ascii="Tahoma" w:hAnsi="Tahoma" w:cs="Tahoma"/>
          <w:sz w:val="18"/>
          <w:szCs w:val="18"/>
          <w:lang w:val="it-IT"/>
        </w:rPr>
        <w:br/>
        <w:t>le società con sede in Corea che hanno stipulato Contratti Multilicenza e che dispongono di un</w:t>
      </w:r>
      <w:r w:rsidR="004525CA">
        <w:rPr>
          <w:rFonts w:ascii="Tahoma" w:hAnsi="Tahoma" w:cs="Tahoma"/>
          <w:sz w:val="18"/>
          <w:szCs w:val="18"/>
          <w:lang w:val="it-IT"/>
        </w:rPr>
        <w:t>’</w:t>
      </w:r>
      <w:r w:rsidRPr="00451078">
        <w:rPr>
          <w:rFonts w:ascii="Tahoma" w:hAnsi="Tahoma" w:cs="Tahoma"/>
          <w:sz w:val="18"/>
          <w:szCs w:val="18"/>
          <w:lang w:val="it-IT"/>
        </w:rPr>
        <w:t>iscrizione o</w:t>
      </w:r>
      <w:r w:rsidR="00847115" w:rsidRPr="00451078">
        <w:rPr>
          <w:rFonts w:ascii="Tahoma" w:hAnsi="Tahoma" w:cs="Tahoma"/>
          <w:sz w:val="18"/>
          <w:szCs w:val="18"/>
          <w:lang w:val="it-IT"/>
        </w:rPr>
        <w:t> </w:t>
      </w:r>
      <w:r w:rsidRPr="00451078">
        <w:rPr>
          <w:rFonts w:ascii="Tahoma" w:hAnsi="Tahoma" w:cs="Tahoma"/>
          <w:sz w:val="18"/>
          <w:szCs w:val="18"/>
          <w:lang w:val="it-IT"/>
        </w:rPr>
        <w:t>di</w:t>
      </w:r>
      <w:r w:rsidR="00847115" w:rsidRPr="00451078">
        <w:rPr>
          <w:rFonts w:ascii="Tahoma" w:hAnsi="Tahoma" w:cs="Tahoma"/>
          <w:sz w:val="18"/>
          <w:szCs w:val="18"/>
          <w:lang w:val="it-IT"/>
        </w:rPr>
        <w:t> </w:t>
      </w:r>
      <w:r w:rsidRPr="00451078">
        <w:rPr>
          <w:rFonts w:ascii="Tahoma" w:hAnsi="Tahoma" w:cs="Tahoma"/>
          <w:sz w:val="18"/>
          <w:szCs w:val="18"/>
          <w:lang w:val="it-IT"/>
        </w:rPr>
        <w:t>un contratto multilicenza attivo con Microsoft Operations Pte Ltd sono idonee ad acquistare i supporti di memorizzazione per Windows Vista Business KN per la distribuzione e l</w:t>
      </w:r>
      <w:r w:rsidR="004525CA">
        <w:rPr>
          <w:rFonts w:ascii="Tahoma" w:hAnsi="Tahoma" w:cs="Tahoma"/>
          <w:sz w:val="18"/>
          <w:szCs w:val="18"/>
          <w:lang w:val="it-IT"/>
        </w:rPr>
        <w:t>’</w:t>
      </w:r>
      <w:r w:rsidRPr="00451078">
        <w:rPr>
          <w:rFonts w:ascii="Tahoma" w:hAnsi="Tahoma" w:cs="Tahoma"/>
          <w:sz w:val="18"/>
          <w:szCs w:val="18"/>
          <w:lang w:val="it-IT"/>
        </w:rPr>
        <w:t>utilizzo in Corea. Nessun altro utilizzo è consentito.</w:t>
      </w:r>
    </w:p>
    <w:p w:rsidR="00F64DEA" w:rsidRPr="00451078" w:rsidRDefault="00F64DEA" w:rsidP="00847115">
      <w:pPr>
        <w:pStyle w:val="Footnotedash"/>
        <w:tabs>
          <w:tab w:val="left" w:pos="1620"/>
        </w:tabs>
        <w:spacing w:before="0" w:after="0"/>
        <w:ind w:left="720" w:firstLine="7"/>
        <w:rPr>
          <w:rFonts w:ascii="Tahoma" w:hAnsi="Tahoma" w:cs="Tahoma"/>
          <w:sz w:val="18"/>
          <w:szCs w:val="18"/>
          <w:lang w:val="it-IT"/>
        </w:rPr>
      </w:pPr>
    </w:p>
    <w:p w:rsidR="00B73A46" w:rsidRPr="00451078" w:rsidRDefault="00B73A46" w:rsidP="00F64DEA">
      <w:pPr>
        <w:pStyle w:val="FootnoteBulletLevel1"/>
        <w:tabs>
          <w:tab w:val="clear" w:pos="900"/>
        </w:tabs>
        <w:adjustRightInd/>
        <w:spacing w:before="0" w:after="60"/>
        <w:ind w:left="720" w:firstLine="0"/>
        <w:textAlignment w:val="auto"/>
        <w:rPr>
          <w:lang w:val="it-IT"/>
        </w:rPr>
      </w:pPr>
      <w:r w:rsidRPr="00451078">
        <w:rPr>
          <w:rFonts w:ascii="Tahoma" w:hAnsi="Tahoma" w:cs="Tahoma"/>
          <w:b/>
          <w:bCs/>
          <w:sz w:val="18"/>
          <w:szCs w:val="18"/>
          <w:lang w:val="it-IT"/>
        </w:rPr>
        <w:t>Windows 7 Professional KN</w:t>
      </w:r>
    </w:p>
    <w:p w:rsidR="00B47893" w:rsidRPr="00451078" w:rsidRDefault="00B73A46" w:rsidP="00F64DEA">
      <w:pPr>
        <w:pStyle w:val="FootnoteBulletLevel2"/>
        <w:spacing w:before="0"/>
        <w:ind w:left="720" w:hanging="7"/>
        <w:rPr>
          <w:lang w:val="it-IT"/>
        </w:rPr>
      </w:pPr>
      <w:r w:rsidRPr="00451078">
        <w:rPr>
          <w:rFonts w:ascii="Tahoma" w:hAnsi="Tahoma" w:cs="Tahoma"/>
          <w:sz w:val="18"/>
          <w:szCs w:val="18"/>
          <w:u w:val="single"/>
          <w:lang w:val="it-IT"/>
        </w:rPr>
        <w:t>Requisiti di Idoneità</w:t>
      </w:r>
      <w:r w:rsidRPr="00451078">
        <w:rPr>
          <w:rFonts w:ascii="Tahoma" w:hAnsi="Tahoma" w:cs="Tahoma"/>
          <w:sz w:val="18"/>
          <w:szCs w:val="18"/>
          <w:lang w:val="it-IT"/>
        </w:rPr>
        <w:t>:</w:t>
      </w:r>
      <w:r w:rsidRPr="00451078">
        <w:rPr>
          <w:rFonts w:ascii="Tahoma" w:hAnsi="Tahoma" w:cs="Tahoma"/>
          <w:sz w:val="18"/>
          <w:szCs w:val="18"/>
          <w:u w:val="single"/>
          <w:lang w:val="it-IT"/>
        </w:rPr>
        <w:br/>
      </w:r>
      <w:r w:rsidRPr="00451078">
        <w:rPr>
          <w:rFonts w:ascii="Tahoma" w:hAnsi="Tahoma" w:cs="Tahoma"/>
          <w:sz w:val="18"/>
          <w:szCs w:val="18"/>
          <w:lang w:val="it-IT"/>
        </w:rPr>
        <w:t>le società con sede in Corea che hanno stipulato Contratti Multilicenza e che dispongono di un</w:t>
      </w:r>
      <w:r w:rsidR="004525CA">
        <w:rPr>
          <w:rFonts w:ascii="Tahoma" w:hAnsi="Tahoma" w:cs="Tahoma"/>
          <w:sz w:val="18"/>
          <w:szCs w:val="18"/>
          <w:lang w:val="it-IT"/>
        </w:rPr>
        <w:t>’</w:t>
      </w:r>
      <w:r w:rsidRPr="00451078">
        <w:rPr>
          <w:rFonts w:ascii="Tahoma" w:hAnsi="Tahoma" w:cs="Tahoma"/>
          <w:sz w:val="18"/>
          <w:szCs w:val="18"/>
          <w:lang w:val="it-IT"/>
        </w:rPr>
        <w:t>iscrizione o</w:t>
      </w:r>
      <w:r w:rsidR="00847115" w:rsidRPr="00451078">
        <w:rPr>
          <w:rFonts w:ascii="Tahoma" w:hAnsi="Tahoma" w:cs="Tahoma"/>
          <w:sz w:val="18"/>
          <w:szCs w:val="18"/>
          <w:lang w:val="it-IT"/>
        </w:rPr>
        <w:t> </w:t>
      </w:r>
      <w:r w:rsidRPr="00451078">
        <w:rPr>
          <w:rFonts w:ascii="Tahoma" w:hAnsi="Tahoma" w:cs="Tahoma"/>
          <w:sz w:val="18"/>
          <w:szCs w:val="18"/>
          <w:lang w:val="it-IT"/>
        </w:rPr>
        <w:t>di</w:t>
      </w:r>
      <w:r w:rsidR="00847115" w:rsidRPr="00451078">
        <w:rPr>
          <w:rFonts w:ascii="Tahoma" w:hAnsi="Tahoma" w:cs="Tahoma"/>
          <w:sz w:val="18"/>
          <w:szCs w:val="18"/>
          <w:lang w:val="it-IT"/>
        </w:rPr>
        <w:t> </w:t>
      </w:r>
      <w:r w:rsidRPr="00451078">
        <w:rPr>
          <w:rFonts w:ascii="Tahoma" w:hAnsi="Tahoma" w:cs="Tahoma"/>
          <w:sz w:val="18"/>
          <w:szCs w:val="18"/>
          <w:lang w:val="it-IT"/>
        </w:rPr>
        <w:t>un contratto multilicenza attivo con Microsoft Operations Pte Ltd sono idonee ad acquistare i supporti di memorizzazione per Windows 7 Professional KN per la distribuzione e l</w:t>
      </w:r>
      <w:r w:rsidR="004525CA">
        <w:rPr>
          <w:rFonts w:ascii="Tahoma" w:hAnsi="Tahoma" w:cs="Tahoma"/>
          <w:sz w:val="18"/>
          <w:szCs w:val="18"/>
          <w:lang w:val="it-IT"/>
        </w:rPr>
        <w:t>’</w:t>
      </w:r>
      <w:r w:rsidRPr="00451078">
        <w:rPr>
          <w:rFonts w:ascii="Tahoma" w:hAnsi="Tahoma" w:cs="Tahoma"/>
          <w:sz w:val="18"/>
          <w:szCs w:val="18"/>
          <w:lang w:val="it-IT"/>
        </w:rPr>
        <w:t>utilizzo in Corea. Nessun altro utilizzo è consentito.</w:t>
      </w:r>
    </w:p>
    <w:p w:rsidR="00F64DEA" w:rsidRPr="00451078" w:rsidRDefault="00F64DEA" w:rsidP="00847115">
      <w:pPr>
        <w:pStyle w:val="Footnotedash"/>
        <w:tabs>
          <w:tab w:val="left" w:pos="1620"/>
        </w:tabs>
        <w:spacing w:before="0" w:after="0"/>
        <w:ind w:left="720" w:firstLine="7"/>
        <w:rPr>
          <w:rFonts w:ascii="Tahoma" w:hAnsi="Tahoma" w:cs="Tahoma"/>
          <w:sz w:val="18"/>
          <w:szCs w:val="18"/>
          <w:lang w:val="it-IT"/>
        </w:rPr>
      </w:pPr>
    </w:p>
    <w:p w:rsidR="00B73A46" w:rsidRPr="00451078" w:rsidRDefault="00B73A46" w:rsidP="00F64DEA">
      <w:pPr>
        <w:pStyle w:val="FootnoteBulletLevel1"/>
        <w:tabs>
          <w:tab w:val="clear" w:pos="900"/>
        </w:tabs>
        <w:adjustRightInd/>
        <w:spacing w:before="0" w:after="60"/>
        <w:ind w:left="720" w:firstLine="0"/>
        <w:textAlignment w:val="auto"/>
        <w:rPr>
          <w:lang w:val="it-IT"/>
        </w:rPr>
      </w:pPr>
      <w:r w:rsidRPr="00451078">
        <w:rPr>
          <w:rFonts w:ascii="Tahoma" w:hAnsi="Tahoma" w:cs="Tahoma"/>
          <w:b/>
          <w:bCs/>
          <w:sz w:val="18"/>
          <w:szCs w:val="18"/>
          <w:lang w:val="it-IT"/>
        </w:rPr>
        <w:t>Windows Vista Business N (non contiene Windows Media Player)</w:t>
      </w:r>
    </w:p>
    <w:p w:rsidR="00B73A46" w:rsidRPr="00451078" w:rsidRDefault="00B73A46" w:rsidP="00F64DEA">
      <w:pPr>
        <w:pStyle w:val="FootnoteBulletLevel2"/>
        <w:spacing w:before="0"/>
        <w:ind w:left="720" w:hanging="7"/>
        <w:rPr>
          <w:lang w:val="it-IT"/>
        </w:rPr>
      </w:pPr>
      <w:r w:rsidRPr="00451078">
        <w:rPr>
          <w:rFonts w:ascii="Tahoma" w:hAnsi="Tahoma" w:cs="Tahoma"/>
          <w:sz w:val="18"/>
          <w:szCs w:val="18"/>
          <w:u w:val="single"/>
          <w:lang w:val="it-IT"/>
        </w:rPr>
        <w:t>Requisiti di Idoneità</w:t>
      </w:r>
      <w:r w:rsidRPr="00451078">
        <w:rPr>
          <w:rFonts w:ascii="Tahoma" w:hAnsi="Tahoma" w:cs="Tahoma"/>
          <w:sz w:val="18"/>
          <w:szCs w:val="18"/>
          <w:lang w:val="it-IT"/>
        </w:rPr>
        <w:t>:</w:t>
      </w:r>
      <w:r w:rsidRPr="00451078">
        <w:rPr>
          <w:rFonts w:ascii="Tahoma" w:hAnsi="Tahoma" w:cs="Tahoma"/>
          <w:sz w:val="18"/>
          <w:szCs w:val="18"/>
          <w:u w:val="single"/>
          <w:lang w:val="it-IT"/>
        </w:rPr>
        <w:br/>
      </w:r>
      <w:r w:rsidRPr="00451078">
        <w:rPr>
          <w:rFonts w:ascii="Tahoma" w:hAnsi="Tahoma" w:cs="Tahoma"/>
          <w:sz w:val="18"/>
          <w:szCs w:val="18"/>
          <w:lang w:val="it-IT"/>
        </w:rPr>
        <w:t>le società che hanno stipulato Contratti Multilicenza e che soddisfano tutti i criteri che seguono sono idonee ad acquistare i supporti di memorizzazione per Microsoft Windows Vista Business N esclusivamente per la distribuzione e l</w:t>
      </w:r>
      <w:r w:rsidR="004525CA">
        <w:rPr>
          <w:rFonts w:ascii="Tahoma" w:hAnsi="Tahoma" w:cs="Tahoma"/>
          <w:sz w:val="18"/>
          <w:szCs w:val="18"/>
          <w:lang w:val="it-IT"/>
        </w:rPr>
        <w:t>’</w:t>
      </w:r>
      <w:r w:rsidRPr="00451078">
        <w:rPr>
          <w:rFonts w:ascii="Tahoma" w:hAnsi="Tahoma" w:cs="Tahoma"/>
          <w:sz w:val="18"/>
          <w:szCs w:val="18"/>
          <w:lang w:val="it-IT"/>
        </w:rPr>
        <w:t>utilizzo nell</w:t>
      </w:r>
      <w:r w:rsidR="004525CA">
        <w:rPr>
          <w:rFonts w:ascii="Tahoma" w:hAnsi="Tahoma" w:cs="Tahoma"/>
          <w:sz w:val="18"/>
          <w:szCs w:val="18"/>
          <w:lang w:val="it-IT"/>
        </w:rPr>
        <w:t>’</w:t>
      </w:r>
      <w:r w:rsidRPr="00451078">
        <w:rPr>
          <w:rFonts w:ascii="Tahoma" w:hAnsi="Tahoma" w:cs="Tahoma"/>
          <w:sz w:val="18"/>
          <w:szCs w:val="18"/>
          <w:lang w:val="it-IT"/>
        </w:rPr>
        <w:t>Unione Europea (UE), in uno stato membro dell</w:t>
      </w:r>
      <w:r w:rsidR="004525CA">
        <w:rPr>
          <w:rFonts w:ascii="Tahoma" w:hAnsi="Tahoma" w:cs="Tahoma"/>
          <w:sz w:val="18"/>
          <w:szCs w:val="18"/>
          <w:lang w:val="it-IT"/>
        </w:rPr>
        <w:t>’</w:t>
      </w:r>
      <w:r w:rsidRPr="00451078">
        <w:rPr>
          <w:rFonts w:ascii="Tahoma" w:hAnsi="Tahoma" w:cs="Tahoma"/>
          <w:sz w:val="18"/>
          <w:szCs w:val="18"/>
          <w:lang w:val="it-IT"/>
        </w:rPr>
        <w:t>Associazione Europea per il Libero Scambio (EFTA), in Bulgaria, in Croazia, in Romania o in Svizzera.</w:t>
      </w:r>
    </w:p>
    <w:p w:rsidR="00F64DEA" w:rsidRPr="00451078" w:rsidRDefault="00F64DEA" w:rsidP="00847115">
      <w:pPr>
        <w:pStyle w:val="Footnotedash"/>
        <w:tabs>
          <w:tab w:val="left" w:pos="1620"/>
        </w:tabs>
        <w:spacing w:before="0" w:after="0"/>
        <w:ind w:left="720" w:firstLine="7"/>
        <w:rPr>
          <w:rFonts w:ascii="Tahoma" w:hAnsi="Tahoma" w:cs="Tahoma"/>
          <w:sz w:val="18"/>
          <w:szCs w:val="18"/>
          <w:lang w:val="it-IT"/>
        </w:rPr>
      </w:pPr>
    </w:p>
    <w:p w:rsidR="00B73A46" w:rsidRPr="00451078" w:rsidRDefault="00B73A46" w:rsidP="00F64DEA">
      <w:pPr>
        <w:pStyle w:val="Footnotedash"/>
        <w:spacing w:before="0" w:after="0"/>
        <w:ind w:left="720" w:hanging="7"/>
        <w:rPr>
          <w:lang w:val="it-IT"/>
        </w:rPr>
      </w:pPr>
      <w:r w:rsidRPr="00451078">
        <w:rPr>
          <w:rFonts w:ascii="Tahoma" w:hAnsi="Tahoma" w:cs="Tahoma"/>
          <w:sz w:val="18"/>
          <w:szCs w:val="18"/>
          <w:lang w:val="it-IT"/>
        </w:rPr>
        <w:t xml:space="preserve">Devono disporre di almeno uno dei seguenti contratti o iscrizioni attivi con Microsoft Ireland Operations Ltd: </w:t>
      </w:r>
    </w:p>
    <w:p w:rsidR="00F64DEA" w:rsidRPr="00451078" w:rsidRDefault="00F64DEA" w:rsidP="00847115">
      <w:pPr>
        <w:pStyle w:val="Footnotedash"/>
        <w:tabs>
          <w:tab w:val="left" w:pos="1620"/>
        </w:tabs>
        <w:spacing w:before="0" w:after="0"/>
        <w:ind w:left="720" w:firstLine="7"/>
        <w:rPr>
          <w:rFonts w:ascii="Tahoma" w:hAnsi="Tahoma" w:cs="Tahoma"/>
          <w:sz w:val="18"/>
          <w:szCs w:val="18"/>
          <w:lang w:val="it-IT"/>
        </w:rPr>
      </w:pPr>
    </w:p>
    <w:p w:rsidR="00B73A46" w:rsidRPr="003410C7" w:rsidRDefault="00B73A46" w:rsidP="00745AB3">
      <w:pPr>
        <w:pStyle w:val="Footnotedash"/>
        <w:numPr>
          <w:ilvl w:val="0"/>
          <w:numId w:val="32"/>
        </w:numPr>
        <w:adjustRightInd/>
        <w:spacing w:before="0"/>
        <w:ind w:left="1440"/>
        <w:textAlignment w:val="auto"/>
      </w:pPr>
      <w:r w:rsidRPr="003410C7">
        <w:rPr>
          <w:rFonts w:ascii="Tahoma" w:hAnsi="Tahoma" w:cs="Tahoma"/>
          <w:sz w:val="18"/>
          <w:szCs w:val="18"/>
        </w:rPr>
        <w:t>Iscrizione Select, Enterprise o Enterprise Subscription</w:t>
      </w:r>
    </w:p>
    <w:p w:rsidR="00B73A46" w:rsidRPr="003410C7" w:rsidRDefault="00B73A46" w:rsidP="00745AB3">
      <w:pPr>
        <w:pStyle w:val="Footnotedash"/>
        <w:numPr>
          <w:ilvl w:val="0"/>
          <w:numId w:val="32"/>
        </w:numPr>
        <w:adjustRightInd/>
        <w:spacing w:before="0"/>
        <w:ind w:left="1440"/>
        <w:textAlignment w:val="auto"/>
      </w:pPr>
      <w:r w:rsidRPr="003410C7">
        <w:rPr>
          <w:rFonts w:ascii="Tahoma" w:hAnsi="Tahoma" w:cs="Tahoma"/>
          <w:sz w:val="18"/>
          <w:szCs w:val="18"/>
        </w:rPr>
        <w:t xml:space="preserve">Contratti Open License*, Open Value, Campus e School, Open Value Subscription - Education Solutions </w:t>
      </w:r>
    </w:p>
    <w:p w:rsidR="00B73A46" w:rsidRPr="00451078" w:rsidRDefault="00B73A46" w:rsidP="00F64DEA">
      <w:pPr>
        <w:pStyle w:val="Footnotedash"/>
        <w:tabs>
          <w:tab w:val="clear" w:pos="1620"/>
        </w:tabs>
        <w:adjustRightInd/>
        <w:spacing w:before="0"/>
        <w:ind w:left="1440" w:firstLine="0"/>
        <w:textAlignment w:val="auto"/>
        <w:rPr>
          <w:lang w:val="it-IT"/>
        </w:rPr>
      </w:pPr>
      <w:r w:rsidRPr="00451078">
        <w:rPr>
          <w:rFonts w:ascii="Tahoma" w:hAnsi="Tahoma" w:cs="Tahoma"/>
          <w:sz w:val="18"/>
          <w:szCs w:val="18"/>
          <w:lang w:val="it-IT"/>
        </w:rPr>
        <w:t xml:space="preserve">(*Ai fini del Contratto Open License, un </w:t>
      </w:r>
      <w:r w:rsidR="001A3EC5" w:rsidRPr="00451078">
        <w:rPr>
          <w:rFonts w:ascii="Tahoma" w:hAnsi="Tahoma" w:cs="Tahoma"/>
          <w:sz w:val="18"/>
          <w:szCs w:val="18"/>
          <w:lang w:val="it-IT"/>
        </w:rPr>
        <w:t>“</w:t>
      </w:r>
      <w:r w:rsidRPr="00451078">
        <w:rPr>
          <w:rFonts w:ascii="Tahoma" w:hAnsi="Tahoma" w:cs="Tahoma"/>
          <w:sz w:val="18"/>
          <w:szCs w:val="18"/>
          <w:lang w:val="it-IT"/>
        </w:rPr>
        <w:t>contratto attivo</w:t>
      </w:r>
      <w:r w:rsidR="001A3EC5" w:rsidRPr="00451078">
        <w:rPr>
          <w:rFonts w:ascii="Tahoma" w:hAnsi="Tahoma" w:cs="Tahoma"/>
          <w:sz w:val="18"/>
          <w:szCs w:val="18"/>
          <w:lang w:val="it-IT"/>
        </w:rPr>
        <w:t>”</w:t>
      </w:r>
      <w:r w:rsidRPr="00451078">
        <w:rPr>
          <w:rFonts w:ascii="Tahoma" w:hAnsi="Tahoma" w:cs="Tahoma"/>
          <w:sz w:val="18"/>
          <w:szCs w:val="18"/>
          <w:lang w:val="it-IT"/>
        </w:rPr>
        <w:t xml:space="preserve"> è un contratto associato a un Numero di</w:t>
      </w:r>
      <w:r w:rsidR="00847115" w:rsidRPr="00451078">
        <w:rPr>
          <w:rFonts w:ascii="Tahoma" w:hAnsi="Tahoma" w:cs="Tahoma"/>
          <w:sz w:val="18"/>
          <w:szCs w:val="18"/>
          <w:lang w:val="it-IT"/>
        </w:rPr>
        <w:t> </w:t>
      </w:r>
      <w:r w:rsidRPr="00451078">
        <w:rPr>
          <w:rFonts w:ascii="Tahoma" w:hAnsi="Tahoma" w:cs="Tahoma"/>
          <w:sz w:val="18"/>
          <w:szCs w:val="18"/>
          <w:lang w:val="it-IT"/>
        </w:rPr>
        <w:t>Autorizzazione Open License attivo).</w:t>
      </w:r>
    </w:p>
    <w:p w:rsidR="00F64DEA" w:rsidRPr="00451078" w:rsidRDefault="00F64DEA" w:rsidP="00847115">
      <w:pPr>
        <w:pStyle w:val="Footnotedash"/>
        <w:tabs>
          <w:tab w:val="left" w:pos="1620"/>
        </w:tabs>
        <w:spacing w:before="0" w:after="0"/>
        <w:ind w:left="720" w:firstLine="7"/>
        <w:rPr>
          <w:rFonts w:ascii="Tahoma" w:hAnsi="Tahoma" w:cs="Tahoma"/>
          <w:sz w:val="18"/>
          <w:szCs w:val="18"/>
          <w:lang w:val="it-IT"/>
        </w:rPr>
      </w:pPr>
    </w:p>
    <w:p w:rsidR="00B73A46" w:rsidRPr="00451078" w:rsidRDefault="00B73A46" w:rsidP="00F64DEA">
      <w:pPr>
        <w:pStyle w:val="Footnotedash"/>
        <w:spacing w:before="0" w:after="0"/>
        <w:ind w:left="720" w:hanging="7"/>
        <w:rPr>
          <w:lang w:val="it-IT"/>
        </w:rPr>
      </w:pPr>
      <w:r w:rsidRPr="00451078">
        <w:rPr>
          <w:rFonts w:ascii="Tahoma" w:hAnsi="Tahoma" w:cs="Tahoma"/>
          <w:sz w:val="18"/>
          <w:szCs w:val="18"/>
          <w:lang w:val="it-IT"/>
        </w:rPr>
        <w:t>Devono disporre di una copertura Software Assurance attiva per le licenze di aggiornamento per il Sistema Operativo Desktop Windows o per Windows Vista Business.</w:t>
      </w:r>
    </w:p>
    <w:p w:rsidR="00F64DEA" w:rsidRPr="00451078" w:rsidRDefault="00F64DEA" w:rsidP="00F64DEA">
      <w:pPr>
        <w:pStyle w:val="Footnotedash"/>
        <w:spacing w:before="0" w:after="0"/>
        <w:ind w:left="720" w:hanging="7"/>
        <w:rPr>
          <w:rFonts w:ascii="Tahoma" w:hAnsi="Tahoma" w:cs="Tahoma"/>
          <w:sz w:val="18"/>
          <w:szCs w:val="18"/>
          <w:lang w:val="it-IT"/>
        </w:rPr>
      </w:pPr>
    </w:p>
    <w:p w:rsidR="00B73A46" w:rsidRPr="00451078" w:rsidRDefault="00B73A46" w:rsidP="00F64DEA">
      <w:pPr>
        <w:pStyle w:val="Footnotedash"/>
        <w:spacing w:before="0" w:after="0"/>
        <w:ind w:left="720" w:hanging="7"/>
        <w:rPr>
          <w:lang w:val="it-IT"/>
        </w:rPr>
      </w:pPr>
      <w:r w:rsidRPr="00451078">
        <w:rPr>
          <w:rFonts w:ascii="Tahoma" w:hAnsi="Tahoma" w:cs="Tahoma"/>
          <w:sz w:val="18"/>
          <w:szCs w:val="18"/>
          <w:lang w:val="it-IT"/>
        </w:rPr>
        <w:t>Devono avere sede in uno dei paesi dell</w:t>
      </w:r>
      <w:r w:rsidR="004525CA">
        <w:rPr>
          <w:rFonts w:ascii="Tahoma" w:hAnsi="Tahoma" w:cs="Tahoma"/>
          <w:sz w:val="18"/>
          <w:szCs w:val="18"/>
          <w:lang w:val="it-IT"/>
        </w:rPr>
        <w:t>’</w:t>
      </w:r>
      <w:r w:rsidRPr="00451078">
        <w:rPr>
          <w:rFonts w:ascii="Tahoma" w:hAnsi="Tahoma" w:cs="Tahoma"/>
          <w:sz w:val="18"/>
          <w:szCs w:val="18"/>
          <w:lang w:val="it-IT"/>
        </w:rPr>
        <w:t>Unione Europea (UE), in uno stato membro dell</w:t>
      </w:r>
      <w:r w:rsidR="004525CA">
        <w:rPr>
          <w:rFonts w:ascii="Tahoma" w:hAnsi="Tahoma" w:cs="Tahoma"/>
          <w:sz w:val="18"/>
          <w:szCs w:val="18"/>
          <w:lang w:val="it-IT"/>
        </w:rPr>
        <w:t>’</w:t>
      </w:r>
      <w:r w:rsidRPr="00451078">
        <w:rPr>
          <w:rFonts w:ascii="Tahoma" w:hAnsi="Tahoma" w:cs="Tahoma"/>
          <w:sz w:val="18"/>
          <w:szCs w:val="18"/>
          <w:lang w:val="it-IT"/>
        </w:rPr>
        <w:t xml:space="preserve">Associazione Europea per il Libero Scambio (EFTA), in Bulgaria, in Croazia, in Romania o in Svizzera. </w:t>
      </w:r>
    </w:p>
    <w:p w:rsidR="00EB3E62" w:rsidRDefault="00EB3E62" w:rsidP="00F64DEA">
      <w:pPr>
        <w:pStyle w:val="Footnotedash"/>
        <w:spacing w:before="0" w:after="0"/>
        <w:ind w:left="720" w:hanging="7"/>
        <w:rPr>
          <w:rFonts w:ascii="Tahoma" w:hAnsi="Tahoma" w:cs="Tahoma"/>
          <w:sz w:val="18"/>
          <w:szCs w:val="18"/>
          <w:lang w:val="it-IT"/>
        </w:rPr>
      </w:pPr>
    </w:p>
    <w:p w:rsidR="00C64CD1" w:rsidRPr="00451078" w:rsidRDefault="00C64CD1" w:rsidP="00F64DEA">
      <w:pPr>
        <w:pStyle w:val="Footnotedash"/>
        <w:spacing w:before="0" w:after="0"/>
        <w:ind w:left="720" w:hanging="7"/>
        <w:rPr>
          <w:rFonts w:ascii="Tahoma" w:hAnsi="Tahoma" w:cs="Tahoma"/>
          <w:sz w:val="18"/>
          <w:szCs w:val="18"/>
          <w:lang w:val="it-IT"/>
        </w:rPr>
      </w:pPr>
    </w:p>
    <w:p w:rsidR="00B73A46" w:rsidRPr="003410C7" w:rsidRDefault="00B73A46" w:rsidP="00EB3E62">
      <w:pPr>
        <w:pStyle w:val="FootnoteBulletLevel1"/>
        <w:tabs>
          <w:tab w:val="clear" w:pos="900"/>
        </w:tabs>
        <w:adjustRightInd/>
        <w:spacing w:before="0" w:after="60"/>
        <w:ind w:left="720" w:firstLine="0"/>
        <w:textAlignment w:val="auto"/>
      </w:pPr>
      <w:r w:rsidRPr="003410C7">
        <w:rPr>
          <w:rFonts w:ascii="Tahoma" w:hAnsi="Tahoma" w:cs="Tahoma"/>
          <w:b/>
          <w:bCs/>
          <w:sz w:val="18"/>
          <w:szCs w:val="18"/>
        </w:rPr>
        <w:t>Windows 7 Professional N (non contiene Windows Media Player)</w:t>
      </w:r>
    </w:p>
    <w:p w:rsidR="00B73A46" w:rsidRPr="00451078" w:rsidRDefault="00B73A46" w:rsidP="00EB3E62">
      <w:pPr>
        <w:pStyle w:val="FootnoteBulletLevel2"/>
        <w:spacing w:before="0"/>
        <w:ind w:left="720" w:firstLine="0"/>
        <w:rPr>
          <w:rFonts w:ascii="Tahoma" w:hAnsi="Tahoma" w:cs="Tahoma"/>
          <w:sz w:val="18"/>
          <w:szCs w:val="18"/>
          <w:lang w:val="it-IT"/>
        </w:rPr>
      </w:pPr>
      <w:r w:rsidRPr="00451078">
        <w:rPr>
          <w:rFonts w:ascii="Tahoma" w:hAnsi="Tahoma" w:cs="Tahoma"/>
          <w:sz w:val="18"/>
          <w:szCs w:val="18"/>
          <w:u w:val="single"/>
          <w:lang w:val="it-IT"/>
        </w:rPr>
        <w:t>Requisiti di Idoneità</w:t>
      </w:r>
      <w:r w:rsidRPr="00451078">
        <w:rPr>
          <w:rFonts w:ascii="Tahoma" w:hAnsi="Tahoma" w:cs="Tahoma"/>
          <w:sz w:val="18"/>
          <w:szCs w:val="18"/>
          <w:lang w:val="it-IT"/>
        </w:rPr>
        <w:t>:</w:t>
      </w:r>
      <w:r w:rsidRPr="00451078">
        <w:rPr>
          <w:rFonts w:ascii="Tahoma" w:hAnsi="Tahoma" w:cs="Tahoma"/>
          <w:sz w:val="18"/>
          <w:szCs w:val="18"/>
          <w:u w:val="single"/>
          <w:lang w:val="it-IT"/>
        </w:rPr>
        <w:br/>
      </w:r>
      <w:r w:rsidRPr="00451078">
        <w:rPr>
          <w:rFonts w:ascii="Tahoma" w:hAnsi="Tahoma" w:cs="Tahoma"/>
          <w:sz w:val="18"/>
          <w:szCs w:val="18"/>
          <w:lang w:val="it-IT"/>
        </w:rPr>
        <w:t>le società che hanno stipulato Contratti Multilicenza e che soddisfano tutti i criteri che seguono sono idonee ad acquistare i supporti di memorizzazione per Microsoft Windows 7 Professional N esclusivamente per la distribuzione e l</w:t>
      </w:r>
      <w:r w:rsidR="004525CA">
        <w:rPr>
          <w:rFonts w:ascii="Tahoma" w:hAnsi="Tahoma" w:cs="Tahoma"/>
          <w:sz w:val="18"/>
          <w:szCs w:val="18"/>
          <w:lang w:val="it-IT"/>
        </w:rPr>
        <w:t>’</w:t>
      </w:r>
      <w:r w:rsidRPr="00451078">
        <w:rPr>
          <w:rFonts w:ascii="Tahoma" w:hAnsi="Tahoma" w:cs="Tahoma"/>
          <w:sz w:val="18"/>
          <w:szCs w:val="18"/>
          <w:lang w:val="it-IT"/>
        </w:rPr>
        <w:t>utilizzo nell</w:t>
      </w:r>
      <w:r w:rsidR="004525CA">
        <w:rPr>
          <w:rFonts w:ascii="Tahoma" w:hAnsi="Tahoma" w:cs="Tahoma"/>
          <w:sz w:val="18"/>
          <w:szCs w:val="18"/>
          <w:lang w:val="it-IT"/>
        </w:rPr>
        <w:t>’</w:t>
      </w:r>
      <w:r w:rsidRPr="00451078">
        <w:rPr>
          <w:rFonts w:ascii="Tahoma" w:hAnsi="Tahoma" w:cs="Tahoma"/>
          <w:sz w:val="18"/>
          <w:szCs w:val="18"/>
          <w:lang w:val="it-IT"/>
        </w:rPr>
        <w:t>Unione Europea (UE), in uno stato membro dell</w:t>
      </w:r>
      <w:r w:rsidR="004525CA">
        <w:rPr>
          <w:rFonts w:ascii="Tahoma" w:hAnsi="Tahoma" w:cs="Tahoma"/>
          <w:sz w:val="18"/>
          <w:szCs w:val="18"/>
          <w:lang w:val="it-IT"/>
        </w:rPr>
        <w:t>’</w:t>
      </w:r>
      <w:r w:rsidRPr="00451078">
        <w:rPr>
          <w:rFonts w:ascii="Tahoma" w:hAnsi="Tahoma" w:cs="Tahoma"/>
          <w:sz w:val="18"/>
          <w:szCs w:val="18"/>
          <w:lang w:val="it-IT"/>
        </w:rPr>
        <w:t>Associazione Europea per il Libero Scambio (EFTA), in Bulgaria, in Croazia, in Romania o in Svizzera.</w:t>
      </w:r>
    </w:p>
    <w:p w:rsidR="00B73A46" w:rsidRPr="00451078" w:rsidRDefault="00B73A46" w:rsidP="00EB3E62">
      <w:pPr>
        <w:pStyle w:val="Footnotedash"/>
        <w:spacing w:before="0" w:after="0"/>
        <w:ind w:left="720" w:firstLine="0"/>
        <w:rPr>
          <w:rFonts w:ascii="Tahoma" w:hAnsi="Tahoma" w:cs="Tahoma"/>
          <w:sz w:val="18"/>
          <w:szCs w:val="18"/>
          <w:lang w:val="it-IT"/>
        </w:rPr>
      </w:pPr>
      <w:r w:rsidRPr="00451078">
        <w:rPr>
          <w:rFonts w:ascii="Tahoma" w:hAnsi="Tahoma" w:cs="Tahoma"/>
          <w:sz w:val="18"/>
          <w:szCs w:val="18"/>
          <w:lang w:val="it-IT"/>
        </w:rPr>
        <w:lastRenderedPageBreak/>
        <w:t xml:space="preserve">Devono disporre di almeno uno dei seguenti contratti o iscrizioni attivi con Microsoft Ireland Operations Ltd: </w:t>
      </w:r>
    </w:p>
    <w:p w:rsidR="00B73A46" w:rsidRPr="00847115" w:rsidRDefault="00B73A46" w:rsidP="00745AB3">
      <w:pPr>
        <w:pStyle w:val="Footnotedash"/>
        <w:numPr>
          <w:ilvl w:val="0"/>
          <w:numId w:val="32"/>
        </w:numPr>
        <w:adjustRightInd/>
        <w:spacing w:before="0"/>
        <w:ind w:left="1440"/>
        <w:textAlignment w:val="auto"/>
        <w:rPr>
          <w:rFonts w:ascii="Tahoma" w:hAnsi="Tahoma" w:cs="Tahoma"/>
          <w:sz w:val="18"/>
          <w:szCs w:val="18"/>
        </w:rPr>
      </w:pPr>
      <w:r w:rsidRPr="00847115">
        <w:rPr>
          <w:rFonts w:ascii="Tahoma" w:hAnsi="Tahoma" w:cs="Tahoma"/>
          <w:sz w:val="18"/>
          <w:szCs w:val="18"/>
        </w:rPr>
        <w:t>Iscrizione Select, Enterprise o Enterprise Subscription</w:t>
      </w:r>
    </w:p>
    <w:p w:rsidR="00B73A46" w:rsidRPr="00847115" w:rsidRDefault="00B73A46" w:rsidP="00745AB3">
      <w:pPr>
        <w:pStyle w:val="Footnotedash"/>
        <w:numPr>
          <w:ilvl w:val="0"/>
          <w:numId w:val="32"/>
        </w:numPr>
        <w:adjustRightInd/>
        <w:spacing w:before="0"/>
        <w:ind w:left="1440"/>
        <w:textAlignment w:val="auto"/>
        <w:rPr>
          <w:rFonts w:ascii="Tahoma" w:hAnsi="Tahoma" w:cs="Tahoma"/>
          <w:sz w:val="18"/>
          <w:szCs w:val="18"/>
        </w:rPr>
      </w:pPr>
      <w:r w:rsidRPr="00847115">
        <w:rPr>
          <w:rFonts w:ascii="Tahoma" w:hAnsi="Tahoma" w:cs="Tahoma"/>
          <w:sz w:val="18"/>
          <w:szCs w:val="18"/>
        </w:rPr>
        <w:t xml:space="preserve">Contratti Open License*, Open Value, Campus e School, Open Value Subscription - Education Solutions </w:t>
      </w:r>
    </w:p>
    <w:p w:rsidR="00B73A46" w:rsidRPr="00451078" w:rsidRDefault="00B73A46" w:rsidP="00EB3E62">
      <w:pPr>
        <w:pStyle w:val="Footnotedash"/>
        <w:tabs>
          <w:tab w:val="clear" w:pos="1620"/>
        </w:tabs>
        <w:adjustRightInd/>
        <w:spacing w:before="0"/>
        <w:ind w:left="1440" w:firstLine="0"/>
        <w:textAlignment w:val="auto"/>
        <w:rPr>
          <w:lang w:val="it-IT"/>
        </w:rPr>
      </w:pPr>
      <w:r w:rsidRPr="00451078">
        <w:rPr>
          <w:rFonts w:ascii="Tahoma" w:hAnsi="Tahoma" w:cs="Tahoma"/>
          <w:sz w:val="18"/>
          <w:szCs w:val="18"/>
          <w:lang w:val="it-IT"/>
        </w:rPr>
        <w:t xml:space="preserve">(*Ai fini del Contratto Open License, un </w:t>
      </w:r>
      <w:r w:rsidR="001A3EC5" w:rsidRPr="00451078">
        <w:rPr>
          <w:rFonts w:ascii="Tahoma" w:hAnsi="Tahoma" w:cs="Tahoma"/>
          <w:sz w:val="18"/>
          <w:szCs w:val="18"/>
          <w:lang w:val="it-IT"/>
        </w:rPr>
        <w:t>“</w:t>
      </w:r>
      <w:r w:rsidRPr="00451078">
        <w:rPr>
          <w:rFonts w:ascii="Tahoma" w:hAnsi="Tahoma" w:cs="Tahoma"/>
          <w:sz w:val="18"/>
          <w:szCs w:val="18"/>
          <w:lang w:val="it-IT"/>
        </w:rPr>
        <w:t>contratto attivo</w:t>
      </w:r>
      <w:r w:rsidR="001A3EC5" w:rsidRPr="00451078">
        <w:rPr>
          <w:rFonts w:ascii="Tahoma" w:hAnsi="Tahoma" w:cs="Tahoma"/>
          <w:sz w:val="18"/>
          <w:szCs w:val="18"/>
          <w:lang w:val="it-IT"/>
        </w:rPr>
        <w:t>”</w:t>
      </w:r>
      <w:r w:rsidRPr="00451078">
        <w:rPr>
          <w:rFonts w:ascii="Tahoma" w:hAnsi="Tahoma" w:cs="Tahoma"/>
          <w:sz w:val="18"/>
          <w:szCs w:val="18"/>
          <w:lang w:val="it-IT"/>
        </w:rPr>
        <w:t xml:space="preserve"> è un contratto associato a un Numero di</w:t>
      </w:r>
      <w:r w:rsidR="00847115" w:rsidRPr="00451078">
        <w:rPr>
          <w:rFonts w:ascii="Tahoma" w:hAnsi="Tahoma" w:cs="Tahoma"/>
          <w:sz w:val="18"/>
          <w:szCs w:val="18"/>
          <w:lang w:val="it-IT"/>
        </w:rPr>
        <w:t> </w:t>
      </w:r>
      <w:r w:rsidRPr="00451078">
        <w:rPr>
          <w:rFonts w:ascii="Tahoma" w:hAnsi="Tahoma" w:cs="Tahoma"/>
          <w:sz w:val="18"/>
          <w:szCs w:val="18"/>
          <w:lang w:val="it-IT"/>
        </w:rPr>
        <w:t>Autorizzazione Open License attivo).</w:t>
      </w:r>
    </w:p>
    <w:p w:rsidR="00B73A46" w:rsidRPr="00451078" w:rsidRDefault="00B73A46" w:rsidP="00EB3E62">
      <w:pPr>
        <w:pStyle w:val="Footnotedash"/>
        <w:spacing w:before="0" w:after="0"/>
        <w:ind w:left="720" w:firstLine="0"/>
        <w:rPr>
          <w:rFonts w:ascii="Tahoma" w:hAnsi="Tahoma" w:cs="Tahoma"/>
          <w:sz w:val="18"/>
          <w:szCs w:val="18"/>
          <w:lang w:val="it-IT"/>
        </w:rPr>
      </w:pPr>
      <w:r w:rsidRPr="00451078">
        <w:rPr>
          <w:rFonts w:ascii="Tahoma" w:hAnsi="Tahoma" w:cs="Tahoma"/>
          <w:sz w:val="18"/>
          <w:szCs w:val="18"/>
          <w:lang w:val="it-IT"/>
        </w:rPr>
        <w:t>Devono disporre di una copertura Software Assurance attiva per le licenze di aggiornamento per il Sistema Operativo Desktop Windows o per Windows 8 Pro.</w:t>
      </w:r>
    </w:p>
    <w:p w:rsidR="00EB3E62" w:rsidRPr="00451078" w:rsidRDefault="00EB3E62" w:rsidP="00EB3E62">
      <w:pPr>
        <w:pStyle w:val="Footnotedash"/>
        <w:spacing w:before="0" w:after="0"/>
        <w:ind w:left="720" w:firstLine="0"/>
        <w:rPr>
          <w:rFonts w:ascii="Tahoma" w:hAnsi="Tahoma" w:cs="Tahoma"/>
          <w:sz w:val="18"/>
          <w:szCs w:val="18"/>
          <w:lang w:val="it-IT"/>
        </w:rPr>
      </w:pPr>
    </w:p>
    <w:p w:rsidR="00B73A46" w:rsidRPr="00451078" w:rsidRDefault="00B73A46" w:rsidP="00EB3E62">
      <w:pPr>
        <w:pStyle w:val="Footnotedash"/>
        <w:spacing w:before="0" w:after="0"/>
        <w:ind w:left="720" w:firstLine="0"/>
        <w:rPr>
          <w:rFonts w:ascii="Tahoma" w:hAnsi="Tahoma" w:cs="Tahoma"/>
          <w:sz w:val="18"/>
          <w:szCs w:val="18"/>
          <w:lang w:val="it-IT"/>
        </w:rPr>
      </w:pPr>
      <w:r w:rsidRPr="00451078">
        <w:rPr>
          <w:rFonts w:ascii="Tahoma" w:hAnsi="Tahoma" w:cs="Tahoma"/>
          <w:sz w:val="18"/>
          <w:szCs w:val="18"/>
          <w:lang w:val="it-IT"/>
        </w:rPr>
        <w:t>Devono avere sede in uno dei paesi dell</w:t>
      </w:r>
      <w:r w:rsidR="004525CA">
        <w:rPr>
          <w:rFonts w:ascii="Tahoma" w:hAnsi="Tahoma" w:cs="Tahoma"/>
          <w:sz w:val="18"/>
          <w:szCs w:val="18"/>
          <w:lang w:val="it-IT"/>
        </w:rPr>
        <w:t>’</w:t>
      </w:r>
      <w:r w:rsidRPr="00451078">
        <w:rPr>
          <w:rFonts w:ascii="Tahoma" w:hAnsi="Tahoma" w:cs="Tahoma"/>
          <w:sz w:val="18"/>
          <w:szCs w:val="18"/>
          <w:lang w:val="it-IT"/>
        </w:rPr>
        <w:t>Unione Europea (UE), in uno stato membro dell</w:t>
      </w:r>
      <w:r w:rsidR="004525CA">
        <w:rPr>
          <w:rFonts w:ascii="Tahoma" w:hAnsi="Tahoma" w:cs="Tahoma"/>
          <w:sz w:val="18"/>
          <w:szCs w:val="18"/>
          <w:lang w:val="it-IT"/>
        </w:rPr>
        <w:t>’</w:t>
      </w:r>
      <w:r w:rsidRPr="00451078">
        <w:rPr>
          <w:rFonts w:ascii="Tahoma" w:hAnsi="Tahoma" w:cs="Tahoma"/>
          <w:sz w:val="18"/>
          <w:szCs w:val="18"/>
          <w:lang w:val="it-IT"/>
        </w:rPr>
        <w:t xml:space="preserve">Associazione Europea per il Libero Scambio (EFTA), in Bulgaria, in Croazia, in Romania o in Svizzera. </w:t>
      </w:r>
    </w:p>
    <w:p w:rsidR="00EB3E62" w:rsidRPr="00451078" w:rsidRDefault="00EB3E62" w:rsidP="00EB3E62">
      <w:pPr>
        <w:pStyle w:val="Footnotedash"/>
        <w:spacing w:before="0" w:after="0"/>
        <w:ind w:left="720" w:firstLine="0"/>
        <w:rPr>
          <w:rFonts w:ascii="Tahoma" w:hAnsi="Tahoma" w:cs="Tahoma"/>
          <w:sz w:val="18"/>
          <w:szCs w:val="18"/>
          <w:lang w:val="it-IT"/>
        </w:rPr>
      </w:pPr>
    </w:p>
    <w:p w:rsidR="00697E59" w:rsidRPr="00451078" w:rsidRDefault="00B73A46" w:rsidP="00EB3E62">
      <w:pPr>
        <w:pStyle w:val="Footnotedash"/>
        <w:spacing w:before="0" w:after="0"/>
        <w:ind w:left="720" w:firstLine="0"/>
        <w:rPr>
          <w:rFonts w:ascii="Tahoma" w:hAnsi="Tahoma" w:cs="Tahoma"/>
          <w:sz w:val="18"/>
          <w:szCs w:val="18"/>
          <w:lang w:val="it-IT"/>
        </w:rPr>
      </w:pPr>
      <w:r w:rsidRPr="00451078">
        <w:rPr>
          <w:rFonts w:ascii="Tahoma" w:hAnsi="Tahoma" w:cs="Tahoma"/>
          <w:sz w:val="18"/>
          <w:szCs w:val="18"/>
          <w:lang w:val="it-IT"/>
        </w:rPr>
        <w:t>Le società possono ignorare la comunicazione contenuta nei Diritti di Utilizzo del Prodotto di luglio 2009 e</w:t>
      </w:r>
      <w:r w:rsidR="009B7950" w:rsidRPr="00451078">
        <w:rPr>
          <w:rFonts w:ascii="Tahoma" w:hAnsi="Tahoma" w:cs="Tahoma"/>
          <w:sz w:val="18"/>
          <w:szCs w:val="18"/>
          <w:lang w:val="it-IT"/>
        </w:rPr>
        <w:t> </w:t>
      </w:r>
      <w:r w:rsidRPr="00451078">
        <w:rPr>
          <w:rFonts w:ascii="Tahoma" w:hAnsi="Tahoma" w:cs="Tahoma"/>
          <w:sz w:val="18"/>
          <w:szCs w:val="18"/>
          <w:lang w:val="it-IT"/>
        </w:rPr>
        <w:t>relativa all</w:t>
      </w:r>
      <w:r w:rsidR="004525CA">
        <w:rPr>
          <w:rFonts w:ascii="Tahoma" w:hAnsi="Tahoma" w:cs="Tahoma"/>
          <w:sz w:val="18"/>
          <w:szCs w:val="18"/>
          <w:lang w:val="it-IT"/>
        </w:rPr>
        <w:t>’</w:t>
      </w:r>
      <w:r w:rsidRPr="00451078">
        <w:rPr>
          <w:rFonts w:ascii="Tahoma" w:hAnsi="Tahoma" w:cs="Tahoma"/>
          <w:sz w:val="18"/>
          <w:szCs w:val="18"/>
          <w:lang w:val="it-IT"/>
        </w:rPr>
        <w:t xml:space="preserve">assenza della funzionalità Internet Explorer 8 e la relativa esclusione di garanzie. </w:t>
      </w:r>
    </w:p>
    <w:p w:rsidR="00804794" w:rsidRPr="00451078" w:rsidRDefault="00804794" w:rsidP="00804794">
      <w:pPr>
        <w:pStyle w:val="FootnoteBulletLevel1"/>
        <w:tabs>
          <w:tab w:val="clear" w:pos="900"/>
        </w:tabs>
        <w:adjustRightInd/>
        <w:spacing w:before="0" w:after="0"/>
        <w:ind w:left="720" w:firstLine="0"/>
        <w:textAlignment w:val="auto"/>
        <w:rPr>
          <w:rFonts w:ascii="Tahoma" w:hAnsi="Tahoma" w:cs="Tahoma"/>
          <w:sz w:val="18"/>
          <w:szCs w:val="18"/>
          <w:lang w:val="it-IT"/>
        </w:rPr>
      </w:pPr>
    </w:p>
    <w:p w:rsidR="008A5D64" w:rsidRPr="00451078" w:rsidRDefault="008A5D64" w:rsidP="00804794">
      <w:pPr>
        <w:pStyle w:val="FootnoteBulletLevel1"/>
        <w:tabs>
          <w:tab w:val="clear" w:pos="900"/>
        </w:tabs>
        <w:adjustRightInd/>
        <w:spacing w:before="0" w:after="60"/>
        <w:ind w:left="720" w:firstLine="0"/>
        <w:textAlignment w:val="auto"/>
        <w:rPr>
          <w:lang w:val="it-IT"/>
        </w:rPr>
      </w:pPr>
      <w:r w:rsidRPr="00451078">
        <w:rPr>
          <w:rFonts w:ascii="Tahoma" w:hAnsi="Tahoma" w:cs="Tahoma"/>
          <w:b/>
          <w:bCs/>
          <w:sz w:val="18"/>
          <w:szCs w:val="18"/>
          <w:lang w:val="it-IT"/>
        </w:rPr>
        <w:t>Windows 8 Pro KN</w:t>
      </w:r>
    </w:p>
    <w:p w:rsidR="008A5D64" w:rsidRPr="00451078" w:rsidRDefault="008A5D64" w:rsidP="00804794">
      <w:pPr>
        <w:pStyle w:val="FootnoteBulletLevel2"/>
        <w:spacing w:before="0"/>
        <w:ind w:left="720" w:hanging="7"/>
        <w:rPr>
          <w:lang w:val="it-IT"/>
        </w:rPr>
      </w:pPr>
      <w:r w:rsidRPr="00451078">
        <w:rPr>
          <w:rFonts w:ascii="Tahoma" w:hAnsi="Tahoma" w:cs="Tahoma"/>
          <w:sz w:val="18"/>
          <w:szCs w:val="18"/>
          <w:u w:val="single"/>
          <w:lang w:val="it-IT"/>
        </w:rPr>
        <w:t>Requisiti di Idoneità</w:t>
      </w:r>
      <w:r w:rsidRPr="00451078">
        <w:rPr>
          <w:rFonts w:ascii="Tahoma" w:hAnsi="Tahoma" w:cs="Tahoma"/>
          <w:sz w:val="18"/>
          <w:szCs w:val="18"/>
          <w:lang w:val="it-IT"/>
        </w:rPr>
        <w:t>:</w:t>
      </w:r>
      <w:r w:rsidRPr="00451078">
        <w:rPr>
          <w:rFonts w:ascii="Tahoma" w:hAnsi="Tahoma" w:cs="Tahoma"/>
          <w:sz w:val="18"/>
          <w:szCs w:val="18"/>
          <w:u w:val="single"/>
          <w:lang w:val="it-IT"/>
        </w:rPr>
        <w:br/>
      </w:r>
      <w:r w:rsidRPr="00451078">
        <w:rPr>
          <w:rFonts w:ascii="Tahoma" w:hAnsi="Tahoma" w:cs="Tahoma"/>
          <w:sz w:val="18"/>
          <w:szCs w:val="18"/>
          <w:lang w:val="it-IT"/>
        </w:rPr>
        <w:t>le società con sede in Corea che hanno stipulato Contratti Multilicenza e che dispongono di un</w:t>
      </w:r>
      <w:r w:rsidR="004525CA">
        <w:rPr>
          <w:rFonts w:ascii="Tahoma" w:hAnsi="Tahoma" w:cs="Tahoma"/>
          <w:sz w:val="18"/>
          <w:szCs w:val="18"/>
          <w:lang w:val="it-IT"/>
        </w:rPr>
        <w:t>’</w:t>
      </w:r>
      <w:r w:rsidRPr="00451078">
        <w:rPr>
          <w:rFonts w:ascii="Tahoma" w:hAnsi="Tahoma" w:cs="Tahoma"/>
          <w:sz w:val="18"/>
          <w:szCs w:val="18"/>
          <w:lang w:val="it-IT"/>
        </w:rPr>
        <w:t>iscrizione o</w:t>
      </w:r>
      <w:r w:rsidR="009B7950" w:rsidRPr="00451078">
        <w:rPr>
          <w:rFonts w:ascii="Tahoma" w:hAnsi="Tahoma" w:cs="Tahoma"/>
          <w:sz w:val="18"/>
          <w:szCs w:val="18"/>
          <w:lang w:val="it-IT"/>
        </w:rPr>
        <w:t> </w:t>
      </w:r>
      <w:r w:rsidRPr="00451078">
        <w:rPr>
          <w:rFonts w:ascii="Tahoma" w:hAnsi="Tahoma" w:cs="Tahoma"/>
          <w:sz w:val="18"/>
          <w:szCs w:val="18"/>
          <w:lang w:val="it-IT"/>
        </w:rPr>
        <w:t>di</w:t>
      </w:r>
      <w:r w:rsidR="009B7950" w:rsidRPr="00451078">
        <w:rPr>
          <w:rFonts w:ascii="Tahoma" w:hAnsi="Tahoma" w:cs="Tahoma"/>
          <w:sz w:val="18"/>
          <w:szCs w:val="18"/>
          <w:lang w:val="it-IT"/>
        </w:rPr>
        <w:t> </w:t>
      </w:r>
      <w:r w:rsidRPr="00451078">
        <w:rPr>
          <w:rFonts w:ascii="Tahoma" w:hAnsi="Tahoma" w:cs="Tahoma"/>
          <w:sz w:val="18"/>
          <w:szCs w:val="18"/>
          <w:lang w:val="it-IT"/>
        </w:rPr>
        <w:t>un contratto multilicenza attivo con Microsoft Operations Pte Ltd sono idonee ad acquistare i supporti di</w:t>
      </w:r>
      <w:r w:rsidR="009B7950" w:rsidRPr="00451078">
        <w:rPr>
          <w:rFonts w:ascii="Tahoma" w:hAnsi="Tahoma" w:cs="Tahoma"/>
          <w:sz w:val="18"/>
          <w:szCs w:val="18"/>
          <w:lang w:val="it-IT"/>
        </w:rPr>
        <w:t> </w:t>
      </w:r>
      <w:r w:rsidRPr="00451078">
        <w:rPr>
          <w:rFonts w:ascii="Tahoma" w:hAnsi="Tahoma" w:cs="Tahoma"/>
          <w:sz w:val="18"/>
          <w:szCs w:val="18"/>
          <w:lang w:val="it-IT"/>
        </w:rPr>
        <w:t>memorizzazione per Windows 8 Pro KN per la distribuzione e l</w:t>
      </w:r>
      <w:r w:rsidR="004525CA">
        <w:rPr>
          <w:rFonts w:ascii="Tahoma" w:hAnsi="Tahoma" w:cs="Tahoma"/>
          <w:sz w:val="18"/>
          <w:szCs w:val="18"/>
          <w:lang w:val="it-IT"/>
        </w:rPr>
        <w:t>’</w:t>
      </w:r>
      <w:r w:rsidRPr="00451078">
        <w:rPr>
          <w:rFonts w:ascii="Tahoma" w:hAnsi="Tahoma" w:cs="Tahoma"/>
          <w:sz w:val="18"/>
          <w:szCs w:val="18"/>
          <w:lang w:val="it-IT"/>
        </w:rPr>
        <w:t>utilizzo in Corea. Nessun altro utilizzo è</w:t>
      </w:r>
      <w:r w:rsidR="009B7950" w:rsidRPr="00451078">
        <w:rPr>
          <w:rFonts w:ascii="Tahoma" w:hAnsi="Tahoma" w:cs="Tahoma"/>
          <w:sz w:val="18"/>
          <w:szCs w:val="18"/>
          <w:lang w:val="it-IT"/>
        </w:rPr>
        <w:t> </w:t>
      </w:r>
      <w:r w:rsidRPr="00451078">
        <w:rPr>
          <w:rFonts w:ascii="Tahoma" w:hAnsi="Tahoma" w:cs="Tahoma"/>
          <w:sz w:val="18"/>
          <w:szCs w:val="18"/>
          <w:lang w:val="it-IT"/>
        </w:rPr>
        <w:t>consentito.</w:t>
      </w:r>
    </w:p>
    <w:p w:rsidR="00804794" w:rsidRPr="00451078" w:rsidRDefault="00804794" w:rsidP="00804794">
      <w:pPr>
        <w:pStyle w:val="FootnoteBulletLevel1"/>
        <w:tabs>
          <w:tab w:val="clear" w:pos="900"/>
        </w:tabs>
        <w:adjustRightInd/>
        <w:spacing w:before="0" w:after="0"/>
        <w:ind w:left="720" w:firstLine="0"/>
        <w:textAlignment w:val="auto"/>
        <w:rPr>
          <w:rFonts w:ascii="Tahoma" w:hAnsi="Tahoma" w:cs="Tahoma"/>
          <w:sz w:val="18"/>
          <w:szCs w:val="18"/>
          <w:lang w:val="it-IT"/>
        </w:rPr>
      </w:pPr>
    </w:p>
    <w:p w:rsidR="008A5D64" w:rsidRPr="00451078" w:rsidRDefault="008A5D64" w:rsidP="00804794">
      <w:pPr>
        <w:pStyle w:val="FootnoteBulletLevel1"/>
        <w:tabs>
          <w:tab w:val="clear" w:pos="900"/>
        </w:tabs>
        <w:adjustRightInd/>
        <w:spacing w:before="0" w:after="60"/>
        <w:ind w:left="720" w:firstLine="0"/>
        <w:textAlignment w:val="auto"/>
        <w:rPr>
          <w:lang w:val="it-IT"/>
        </w:rPr>
      </w:pPr>
      <w:r w:rsidRPr="00451078">
        <w:rPr>
          <w:rFonts w:ascii="Tahoma" w:hAnsi="Tahoma" w:cs="Tahoma"/>
          <w:b/>
          <w:bCs/>
          <w:sz w:val="18"/>
          <w:szCs w:val="18"/>
          <w:lang w:val="it-IT"/>
        </w:rPr>
        <w:t>Windows 8 Pro N (non contiene Windows Media Player)</w:t>
      </w:r>
    </w:p>
    <w:p w:rsidR="008A5D64" w:rsidRPr="00451078" w:rsidRDefault="008A5D64" w:rsidP="00804794">
      <w:pPr>
        <w:pStyle w:val="FootnoteBulletLevel2"/>
        <w:spacing w:before="0"/>
        <w:ind w:left="720" w:firstLine="0"/>
        <w:rPr>
          <w:lang w:val="it-IT"/>
        </w:rPr>
      </w:pPr>
      <w:r w:rsidRPr="00451078">
        <w:rPr>
          <w:rFonts w:ascii="Tahoma" w:hAnsi="Tahoma" w:cs="Tahoma"/>
          <w:sz w:val="18"/>
          <w:szCs w:val="18"/>
          <w:u w:val="single"/>
          <w:lang w:val="it-IT"/>
        </w:rPr>
        <w:t>Requisiti di Idoneità</w:t>
      </w:r>
      <w:r w:rsidRPr="00451078">
        <w:rPr>
          <w:rFonts w:ascii="Tahoma" w:hAnsi="Tahoma" w:cs="Tahoma"/>
          <w:sz w:val="18"/>
          <w:szCs w:val="18"/>
          <w:lang w:val="it-IT"/>
        </w:rPr>
        <w:t>:</w:t>
      </w:r>
      <w:r w:rsidRPr="00451078">
        <w:rPr>
          <w:rFonts w:ascii="Tahoma" w:hAnsi="Tahoma" w:cs="Tahoma"/>
          <w:sz w:val="18"/>
          <w:szCs w:val="18"/>
          <w:u w:val="single"/>
          <w:lang w:val="it-IT"/>
        </w:rPr>
        <w:br/>
      </w:r>
      <w:r w:rsidRPr="00451078">
        <w:rPr>
          <w:rFonts w:ascii="Tahoma" w:hAnsi="Tahoma" w:cs="Tahoma"/>
          <w:sz w:val="18"/>
          <w:szCs w:val="18"/>
          <w:lang w:val="it-IT"/>
        </w:rPr>
        <w:t>le società che hanno stipulato Contratti Multilicenza e che soddisfano tutti i criteri che seguono sono idonee</w:t>
      </w:r>
      <w:r w:rsidR="009B7950" w:rsidRPr="00451078">
        <w:rPr>
          <w:rFonts w:ascii="Tahoma" w:hAnsi="Tahoma" w:cs="Tahoma"/>
          <w:sz w:val="18"/>
          <w:szCs w:val="18"/>
          <w:lang w:val="it-IT"/>
        </w:rPr>
        <w:t> </w:t>
      </w:r>
      <w:r w:rsidRPr="00451078">
        <w:rPr>
          <w:rFonts w:ascii="Tahoma" w:hAnsi="Tahoma" w:cs="Tahoma"/>
          <w:sz w:val="18"/>
          <w:szCs w:val="18"/>
          <w:lang w:val="it-IT"/>
        </w:rPr>
        <w:t>ad acquistare i supporti di memorizzazione per Microsoft Windows 8 Pro N esclusivamente per la</w:t>
      </w:r>
      <w:r w:rsidR="00F21723" w:rsidRPr="00451078">
        <w:rPr>
          <w:rFonts w:ascii="Tahoma" w:hAnsi="Tahoma" w:cs="Tahoma"/>
          <w:sz w:val="18"/>
          <w:szCs w:val="18"/>
          <w:lang w:val="it-IT"/>
        </w:rPr>
        <w:t> </w:t>
      </w:r>
      <w:r w:rsidRPr="00451078">
        <w:rPr>
          <w:rFonts w:ascii="Tahoma" w:hAnsi="Tahoma" w:cs="Tahoma"/>
          <w:sz w:val="18"/>
          <w:szCs w:val="18"/>
          <w:lang w:val="it-IT"/>
        </w:rPr>
        <w:t>distribuzione e l</w:t>
      </w:r>
      <w:r w:rsidR="004525CA">
        <w:rPr>
          <w:rFonts w:ascii="Tahoma" w:hAnsi="Tahoma" w:cs="Tahoma"/>
          <w:sz w:val="18"/>
          <w:szCs w:val="18"/>
          <w:lang w:val="it-IT"/>
        </w:rPr>
        <w:t>’</w:t>
      </w:r>
      <w:r w:rsidRPr="00451078">
        <w:rPr>
          <w:rFonts w:ascii="Tahoma" w:hAnsi="Tahoma" w:cs="Tahoma"/>
          <w:sz w:val="18"/>
          <w:szCs w:val="18"/>
          <w:lang w:val="it-IT"/>
        </w:rPr>
        <w:t>utilizzo nell</w:t>
      </w:r>
      <w:r w:rsidR="004525CA">
        <w:rPr>
          <w:rFonts w:ascii="Tahoma" w:hAnsi="Tahoma" w:cs="Tahoma"/>
          <w:sz w:val="18"/>
          <w:szCs w:val="18"/>
          <w:lang w:val="it-IT"/>
        </w:rPr>
        <w:t>’</w:t>
      </w:r>
      <w:r w:rsidRPr="00451078">
        <w:rPr>
          <w:rFonts w:ascii="Tahoma" w:hAnsi="Tahoma" w:cs="Tahoma"/>
          <w:sz w:val="18"/>
          <w:szCs w:val="18"/>
          <w:lang w:val="it-IT"/>
        </w:rPr>
        <w:t>Unione Europea (UE), in uno stato membro dell</w:t>
      </w:r>
      <w:r w:rsidR="004525CA">
        <w:rPr>
          <w:rFonts w:ascii="Tahoma" w:hAnsi="Tahoma" w:cs="Tahoma"/>
          <w:sz w:val="18"/>
          <w:szCs w:val="18"/>
          <w:lang w:val="it-IT"/>
        </w:rPr>
        <w:t>’</w:t>
      </w:r>
      <w:r w:rsidRPr="00451078">
        <w:rPr>
          <w:rFonts w:ascii="Tahoma" w:hAnsi="Tahoma" w:cs="Tahoma"/>
          <w:sz w:val="18"/>
          <w:szCs w:val="18"/>
          <w:lang w:val="it-IT"/>
        </w:rPr>
        <w:t>Associazione Europea per il</w:t>
      </w:r>
      <w:r w:rsidR="009B7950" w:rsidRPr="00451078">
        <w:rPr>
          <w:rFonts w:ascii="Tahoma" w:hAnsi="Tahoma" w:cs="Tahoma"/>
          <w:sz w:val="18"/>
          <w:szCs w:val="18"/>
          <w:lang w:val="it-IT"/>
        </w:rPr>
        <w:t> </w:t>
      </w:r>
      <w:r w:rsidRPr="00451078">
        <w:rPr>
          <w:rFonts w:ascii="Tahoma" w:hAnsi="Tahoma" w:cs="Tahoma"/>
          <w:sz w:val="18"/>
          <w:szCs w:val="18"/>
          <w:lang w:val="it-IT"/>
        </w:rPr>
        <w:t>Libero Scambio (EFTA), in Bulgaria, in Croazia, in Romania o in Svizzera.</w:t>
      </w:r>
    </w:p>
    <w:p w:rsidR="008A5D64" w:rsidRPr="00451078" w:rsidRDefault="008A5D64" w:rsidP="00804794">
      <w:pPr>
        <w:pStyle w:val="Footnotedash"/>
        <w:spacing w:before="0" w:after="0"/>
        <w:ind w:left="720" w:hanging="7"/>
        <w:rPr>
          <w:lang w:val="it-IT"/>
        </w:rPr>
      </w:pPr>
      <w:r w:rsidRPr="00451078">
        <w:rPr>
          <w:rFonts w:ascii="Tahoma" w:hAnsi="Tahoma" w:cs="Tahoma"/>
          <w:sz w:val="18"/>
          <w:szCs w:val="18"/>
          <w:lang w:val="it-IT"/>
        </w:rPr>
        <w:t xml:space="preserve">Devono disporre di almeno uno dei seguenti contratti o iscrizioni attivi con Microsoft Ireland Operations Ltd: </w:t>
      </w:r>
    </w:p>
    <w:p w:rsidR="00804794" w:rsidRPr="00451078" w:rsidRDefault="00804794" w:rsidP="00804794">
      <w:pPr>
        <w:pStyle w:val="Footnotedash"/>
        <w:spacing w:before="0" w:after="0"/>
        <w:ind w:left="720" w:hanging="7"/>
        <w:rPr>
          <w:rFonts w:ascii="Tahoma" w:hAnsi="Tahoma" w:cs="Tahoma"/>
          <w:sz w:val="18"/>
          <w:szCs w:val="18"/>
          <w:lang w:val="it-IT"/>
        </w:rPr>
      </w:pPr>
    </w:p>
    <w:p w:rsidR="008A5D64" w:rsidRPr="009B7950" w:rsidRDefault="008A5D64" w:rsidP="00745AB3">
      <w:pPr>
        <w:pStyle w:val="Footnotedash"/>
        <w:numPr>
          <w:ilvl w:val="0"/>
          <w:numId w:val="32"/>
        </w:numPr>
        <w:adjustRightInd/>
        <w:spacing w:before="0"/>
        <w:ind w:left="1440"/>
        <w:textAlignment w:val="auto"/>
        <w:rPr>
          <w:sz w:val="18"/>
          <w:szCs w:val="18"/>
        </w:rPr>
      </w:pPr>
      <w:r w:rsidRPr="009B7950">
        <w:rPr>
          <w:rFonts w:ascii="Tahoma" w:hAnsi="Tahoma" w:cs="Tahoma"/>
          <w:sz w:val="18"/>
          <w:szCs w:val="18"/>
        </w:rPr>
        <w:t>Iscrizione Select, Enterprise o Enterprise Subscription</w:t>
      </w:r>
    </w:p>
    <w:p w:rsidR="008A5D64" w:rsidRPr="009B7950" w:rsidRDefault="008A5D64" w:rsidP="00745AB3">
      <w:pPr>
        <w:pStyle w:val="Footnotedash"/>
        <w:numPr>
          <w:ilvl w:val="0"/>
          <w:numId w:val="32"/>
        </w:numPr>
        <w:adjustRightInd/>
        <w:spacing w:before="0"/>
        <w:ind w:left="1440"/>
        <w:textAlignment w:val="auto"/>
        <w:rPr>
          <w:sz w:val="18"/>
          <w:szCs w:val="18"/>
        </w:rPr>
      </w:pPr>
      <w:r w:rsidRPr="009B7950">
        <w:rPr>
          <w:rFonts w:ascii="Tahoma" w:hAnsi="Tahoma" w:cs="Tahoma"/>
          <w:sz w:val="18"/>
          <w:szCs w:val="18"/>
        </w:rPr>
        <w:t xml:space="preserve">Contratti Open License*, Open Value, Campus e School, Open Value Subscription - Education Solutions </w:t>
      </w:r>
    </w:p>
    <w:p w:rsidR="008A5D64" w:rsidRPr="00451078" w:rsidRDefault="008A5D64" w:rsidP="00804794">
      <w:pPr>
        <w:pStyle w:val="Footnotedash"/>
        <w:tabs>
          <w:tab w:val="clear" w:pos="1620"/>
        </w:tabs>
        <w:adjustRightInd/>
        <w:spacing w:before="0"/>
        <w:ind w:left="1440" w:firstLine="0"/>
        <w:textAlignment w:val="auto"/>
        <w:rPr>
          <w:sz w:val="18"/>
          <w:szCs w:val="18"/>
          <w:lang w:val="it-IT"/>
        </w:rPr>
      </w:pPr>
      <w:r w:rsidRPr="00451078">
        <w:rPr>
          <w:rFonts w:ascii="Tahoma" w:hAnsi="Tahoma" w:cs="Tahoma"/>
          <w:sz w:val="18"/>
          <w:szCs w:val="18"/>
          <w:lang w:val="it-IT"/>
        </w:rPr>
        <w:t xml:space="preserve">(*Ai fini del Contratto Open License, un </w:t>
      </w:r>
      <w:r w:rsidR="001A3EC5" w:rsidRPr="00451078">
        <w:rPr>
          <w:rFonts w:ascii="Tahoma" w:hAnsi="Tahoma" w:cs="Tahoma"/>
          <w:sz w:val="18"/>
          <w:szCs w:val="18"/>
          <w:lang w:val="it-IT"/>
        </w:rPr>
        <w:t>“</w:t>
      </w:r>
      <w:r w:rsidRPr="00451078">
        <w:rPr>
          <w:rFonts w:ascii="Tahoma" w:hAnsi="Tahoma" w:cs="Tahoma"/>
          <w:sz w:val="18"/>
          <w:szCs w:val="18"/>
          <w:lang w:val="it-IT"/>
        </w:rPr>
        <w:t>contratto attivo</w:t>
      </w:r>
      <w:r w:rsidR="001A3EC5" w:rsidRPr="00451078">
        <w:rPr>
          <w:rFonts w:ascii="Tahoma" w:hAnsi="Tahoma" w:cs="Tahoma"/>
          <w:sz w:val="18"/>
          <w:szCs w:val="18"/>
          <w:lang w:val="it-IT"/>
        </w:rPr>
        <w:t>”</w:t>
      </w:r>
      <w:r w:rsidRPr="00451078">
        <w:rPr>
          <w:rFonts w:ascii="Tahoma" w:hAnsi="Tahoma" w:cs="Tahoma"/>
          <w:sz w:val="18"/>
          <w:szCs w:val="18"/>
          <w:lang w:val="it-IT"/>
        </w:rPr>
        <w:t xml:space="preserve"> è un contratto associato a un Numero di</w:t>
      </w:r>
      <w:r w:rsidR="009B7950" w:rsidRPr="00451078">
        <w:rPr>
          <w:rFonts w:ascii="Tahoma" w:hAnsi="Tahoma" w:cs="Tahoma"/>
          <w:sz w:val="18"/>
          <w:szCs w:val="18"/>
          <w:lang w:val="it-IT"/>
        </w:rPr>
        <w:t> </w:t>
      </w:r>
      <w:r w:rsidRPr="00451078">
        <w:rPr>
          <w:rFonts w:ascii="Tahoma" w:hAnsi="Tahoma" w:cs="Tahoma"/>
          <w:sz w:val="18"/>
          <w:szCs w:val="18"/>
          <w:lang w:val="it-IT"/>
        </w:rPr>
        <w:t>Autorizzazione Open License attivo).</w:t>
      </w:r>
    </w:p>
    <w:p w:rsidR="00804794" w:rsidRPr="00451078" w:rsidRDefault="00804794" w:rsidP="00804794">
      <w:pPr>
        <w:pStyle w:val="Footnotedash"/>
        <w:tabs>
          <w:tab w:val="clear" w:pos="1620"/>
        </w:tabs>
        <w:adjustRightInd/>
        <w:spacing w:before="0" w:after="0"/>
        <w:ind w:left="1440" w:firstLine="0"/>
        <w:textAlignment w:val="auto"/>
        <w:rPr>
          <w:rFonts w:ascii="Tahoma" w:hAnsi="Tahoma" w:cs="Tahoma"/>
          <w:sz w:val="18"/>
          <w:szCs w:val="18"/>
          <w:lang w:val="it-IT"/>
        </w:rPr>
      </w:pPr>
    </w:p>
    <w:p w:rsidR="008A5D64" w:rsidRPr="00451078" w:rsidRDefault="008A5D64" w:rsidP="00804794">
      <w:pPr>
        <w:pStyle w:val="Footnotedash"/>
        <w:spacing w:before="0" w:after="0"/>
        <w:ind w:left="720" w:hanging="7"/>
        <w:rPr>
          <w:lang w:val="it-IT"/>
        </w:rPr>
      </w:pPr>
      <w:r w:rsidRPr="00451078">
        <w:rPr>
          <w:rFonts w:ascii="Tahoma" w:hAnsi="Tahoma" w:cs="Tahoma"/>
          <w:sz w:val="18"/>
          <w:szCs w:val="18"/>
          <w:lang w:val="it-IT"/>
        </w:rPr>
        <w:t>Devono disporre di una copertura Software Assurance attiva per le licenze di aggiornamento per il Sistema Operativo Desktop Windows o per Windows 8 Pro.</w:t>
      </w:r>
    </w:p>
    <w:p w:rsidR="00804794" w:rsidRPr="00451078" w:rsidRDefault="00804794" w:rsidP="00804794">
      <w:pPr>
        <w:pStyle w:val="Footnotedash"/>
        <w:spacing w:before="0" w:after="0"/>
        <w:ind w:left="720" w:hanging="7"/>
        <w:rPr>
          <w:rFonts w:ascii="Tahoma" w:hAnsi="Tahoma" w:cs="Tahoma"/>
          <w:sz w:val="18"/>
          <w:szCs w:val="18"/>
          <w:lang w:val="it-IT"/>
        </w:rPr>
      </w:pPr>
    </w:p>
    <w:p w:rsidR="008A5D64" w:rsidRPr="00451078" w:rsidRDefault="008A5D64" w:rsidP="00804794">
      <w:pPr>
        <w:pStyle w:val="Footnotedash"/>
        <w:spacing w:before="0" w:after="0"/>
        <w:ind w:left="720" w:hanging="7"/>
        <w:rPr>
          <w:lang w:val="it-IT"/>
        </w:rPr>
      </w:pPr>
      <w:r w:rsidRPr="00451078">
        <w:rPr>
          <w:rFonts w:ascii="Tahoma" w:hAnsi="Tahoma" w:cs="Tahoma"/>
          <w:sz w:val="18"/>
          <w:szCs w:val="18"/>
          <w:lang w:val="it-IT"/>
        </w:rPr>
        <w:t>Devono avere sede in uno dei paesi dell</w:t>
      </w:r>
      <w:r w:rsidR="004525CA">
        <w:rPr>
          <w:rFonts w:ascii="Tahoma" w:hAnsi="Tahoma" w:cs="Tahoma"/>
          <w:sz w:val="18"/>
          <w:szCs w:val="18"/>
          <w:lang w:val="it-IT"/>
        </w:rPr>
        <w:t>’</w:t>
      </w:r>
      <w:r w:rsidRPr="00451078">
        <w:rPr>
          <w:rFonts w:ascii="Tahoma" w:hAnsi="Tahoma" w:cs="Tahoma"/>
          <w:sz w:val="18"/>
          <w:szCs w:val="18"/>
          <w:lang w:val="it-IT"/>
        </w:rPr>
        <w:t>Unione Europea (UE), in uno stato membro dell</w:t>
      </w:r>
      <w:r w:rsidR="004525CA">
        <w:rPr>
          <w:rFonts w:ascii="Tahoma" w:hAnsi="Tahoma" w:cs="Tahoma"/>
          <w:sz w:val="18"/>
          <w:szCs w:val="18"/>
          <w:lang w:val="it-IT"/>
        </w:rPr>
        <w:t>’</w:t>
      </w:r>
      <w:r w:rsidRPr="00451078">
        <w:rPr>
          <w:rFonts w:ascii="Tahoma" w:hAnsi="Tahoma" w:cs="Tahoma"/>
          <w:sz w:val="18"/>
          <w:szCs w:val="18"/>
          <w:lang w:val="it-IT"/>
        </w:rPr>
        <w:t>Associazione Europea per il Libero Scambio (EFTA), in Bulgaria, in Croazia, in Romania o in Svizzera.</w:t>
      </w:r>
    </w:p>
    <w:p w:rsidR="00804794" w:rsidRPr="00451078" w:rsidRDefault="00804794" w:rsidP="00804794">
      <w:pPr>
        <w:pStyle w:val="FootnoteBulletLevel1"/>
        <w:tabs>
          <w:tab w:val="clear" w:pos="900"/>
        </w:tabs>
        <w:adjustRightInd/>
        <w:spacing w:before="0" w:after="0"/>
        <w:ind w:left="720" w:firstLine="0"/>
        <w:textAlignment w:val="auto"/>
        <w:rPr>
          <w:rFonts w:ascii="Tahoma" w:hAnsi="Tahoma" w:cs="Tahoma"/>
          <w:sz w:val="18"/>
          <w:szCs w:val="18"/>
          <w:lang w:val="it-IT"/>
        </w:rPr>
      </w:pPr>
    </w:p>
    <w:p w:rsidR="00B73A46" w:rsidRPr="00451078" w:rsidRDefault="00B73A46" w:rsidP="00804794">
      <w:pPr>
        <w:pStyle w:val="FootnoteBulletLevel1"/>
        <w:tabs>
          <w:tab w:val="clear" w:pos="900"/>
        </w:tabs>
        <w:adjustRightInd/>
        <w:spacing w:before="0" w:after="60"/>
        <w:ind w:left="720" w:firstLine="0"/>
        <w:textAlignment w:val="auto"/>
        <w:rPr>
          <w:lang w:val="it-IT"/>
        </w:rPr>
      </w:pPr>
      <w:r w:rsidRPr="00451078">
        <w:rPr>
          <w:rFonts w:ascii="Tahoma" w:hAnsi="Tahoma" w:cs="Tahoma"/>
          <w:b/>
          <w:bCs/>
          <w:sz w:val="18"/>
          <w:szCs w:val="18"/>
          <w:lang w:val="it-IT"/>
        </w:rPr>
        <w:t>Diritti di Noleggio per Windows</w:t>
      </w:r>
    </w:p>
    <w:p w:rsidR="00B73A46" w:rsidRPr="00451078" w:rsidRDefault="00B73A46" w:rsidP="00804794">
      <w:pPr>
        <w:pStyle w:val="FootnoteBulletLevel1"/>
        <w:tabs>
          <w:tab w:val="clear" w:pos="900"/>
        </w:tabs>
        <w:adjustRightInd/>
        <w:spacing w:before="0" w:after="0"/>
        <w:ind w:left="720" w:firstLine="0"/>
        <w:textAlignment w:val="auto"/>
        <w:rPr>
          <w:lang w:val="it-IT"/>
        </w:rPr>
      </w:pPr>
      <w:r w:rsidRPr="00451078">
        <w:rPr>
          <w:rFonts w:ascii="Tahoma" w:hAnsi="Tahoma" w:cs="Tahoma"/>
          <w:sz w:val="18"/>
          <w:szCs w:val="18"/>
          <w:u w:val="single"/>
          <w:lang w:val="it-IT"/>
        </w:rPr>
        <w:t>Licenze per i Diritti di Noleggio</w:t>
      </w:r>
      <w:r w:rsidRPr="00451078">
        <w:rPr>
          <w:rFonts w:ascii="Tahoma" w:hAnsi="Tahoma" w:cs="Tahoma"/>
          <w:sz w:val="18"/>
          <w:szCs w:val="18"/>
          <w:lang w:val="it-IT"/>
        </w:rPr>
        <w:t>:</w:t>
      </w:r>
      <w:r w:rsidRPr="00451078">
        <w:rPr>
          <w:rFonts w:ascii="Tahoma" w:hAnsi="Tahoma" w:cs="Tahoma"/>
          <w:sz w:val="18"/>
          <w:szCs w:val="18"/>
          <w:lang w:val="it-IT"/>
        </w:rPr>
        <w:br/>
        <w:t>le licenze per i diritti di noleggio concesse in base ai presenti programmi sono unicamente licenze add-on. Tali licenze non costituiscono né un sistema operativo completo, né una sostituzione per l</w:t>
      </w:r>
      <w:r w:rsidR="004525CA">
        <w:rPr>
          <w:rFonts w:ascii="Tahoma" w:hAnsi="Tahoma" w:cs="Tahoma"/>
          <w:sz w:val="18"/>
          <w:szCs w:val="18"/>
          <w:lang w:val="it-IT"/>
        </w:rPr>
        <w:t>’</w:t>
      </w:r>
      <w:r w:rsidRPr="00451078">
        <w:rPr>
          <w:rFonts w:ascii="Tahoma" w:hAnsi="Tahoma" w:cs="Tahoma"/>
          <w:sz w:val="18"/>
          <w:szCs w:val="18"/>
          <w:lang w:val="it-IT"/>
        </w:rPr>
        <w:t>aggiornamento Volume License. Pertanto, ogni desktop a cui la società assegni una licenza per i diritti di noleggio dovrà avere la licenza per eseguire uno dei sistemi operativi qualificanti indicati di seguito.</w:t>
      </w:r>
    </w:p>
    <w:p w:rsidR="00804794" w:rsidRDefault="00804794" w:rsidP="00804794">
      <w:pPr>
        <w:pStyle w:val="FootnoteBulletLevel1"/>
        <w:tabs>
          <w:tab w:val="clear" w:pos="900"/>
        </w:tabs>
        <w:adjustRightInd/>
        <w:spacing w:before="0" w:after="0"/>
        <w:ind w:left="720" w:firstLine="0"/>
        <w:textAlignment w:val="auto"/>
        <w:rPr>
          <w:rFonts w:ascii="Tahoma" w:hAnsi="Tahoma" w:cs="Tahoma"/>
          <w:sz w:val="18"/>
          <w:szCs w:val="18"/>
          <w:lang w:val="it-IT"/>
        </w:rPr>
      </w:pPr>
    </w:p>
    <w:p w:rsidR="005F52C6" w:rsidRPr="003410C7" w:rsidRDefault="00B73A46" w:rsidP="00804794">
      <w:pPr>
        <w:pStyle w:val="FootnoteBulletLevel1"/>
        <w:tabs>
          <w:tab w:val="clear" w:pos="900"/>
        </w:tabs>
        <w:adjustRightInd/>
        <w:spacing w:before="0" w:after="0"/>
        <w:ind w:left="720" w:firstLine="0"/>
        <w:textAlignment w:val="auto"/>
      </w:pPr>
      <w:r w:rsidRPr="003410C7">
        <w:rPr>
          <w:rFonts w:ascii="Tahoma" w:hAnsi="Tahoma" w:cs="Tahoma"/>
          <w:sz w:val="18"/>
          <w:szCs w:val="18"/>
          <w:u w:val="single"/>
        </w:rPr>
        <w:t>Windows Vista, Windows 7 Professional e Windows 8 Pro</w:t>
      </w:r>
      <w:r w:rsidRPr="00F21723">
        <w:rPr>
          <w:rFonts w:ascii="Tahoma" w:hAnsi="Tahoma" w:cs="Tahoma"/>
          <w:sz w:val="18"/>
          <w:szCs w:val="18"/>
        </w:rPr>
        <w:t>:</w:t>
      </w:r>
    </w:p>
    <w:p w:rsidR="00B73A46" w:rsidRPr="00451078" w:rsidRDefault="00B73A46" w:rsidP="00804794">
      <w:pPr>
        <w:pStyle w:val="FootnoteBulletLevel1"/>
        <w:tabs>
          <w:tab w:val="clear" w:pos="900"/>
        </w:tabs>
        <w:adjustRightInd/>
        <w:spacing w:before="0" w:after="0"/>
        <w:ind w:left="720" w:firstLine="0"/>
        <w:textAlignment w:val="auto"/>
        <w:rPr>
          <w:lang w:val="it-IT"/>
        </w:rPr>
      </w:pPr>
      <w:r w:rsidRPr="00451078">
        <w:rPr>
          <w:rFonts w:ascii="Tahoma" w:hAnsi="Tahoma" w:cs="Tahoma"/>
          <w:sz w:val="18"/>
          <w:szCs w:val="18"/>
          <w:lang w:val="it-IT"/>
        </w:rPr>
        <w:t>Le società che intendono acquistare licenze per i diritti di noleggio attraverso i programmi Select o Open License devono prima disporre della licenza relativa a un sistema operativo qualificante e installarlo sul loro desktop</w:t>
      </w:r>
      <w:r w:rsidRPr="00451078">
        <w:rPr>
          <w:rFonts w:ascii="Tahoma" w:hAnsi="Tahoma" w:cs="Tahoma"/>
          <w:i/>
          <w:iCs/>
          <w:sz w:val="18"/>
          <w:szCs w:val="18"/>
          <w:lang w:val="it-IT"/>
        </w:rPr>
        <w:t>.</w:t>
      </w:r>
      <w:r w:rsidRPr="00451078">
        <w:rPr>
          <w:rFonts w:ascii="Tahoma" w:hAnsi="Tahoma" w:cs="Tahoma"/>
          <w:sz w:val="18"/>
          <w:szCs w:val="18"/>
          <w:lang w:val="it-IT"/>
        </w:rPr>
        <w:t xml:space="preserve"> I sistemi operativi con licenza qualificanti includono anche licenze acquistate tramite il Contratto Get Genuine Windows nell</w:t>
      </w:r>
      <w:r w:rsidR="004525CA">
        <w:rPr>
          <w:rFonts w:ascii="Tahoma" w:hAnsi="Tahoma" w:cs="Tahoma"/>
          <w:sz w:val="18"/>
          <w:szCs w:val="18"/>
          <w:lang w:val="it-IT"/>
        </w:rPr>
        <w:t>’</w:t>
      </w:r>
      <w:r w:rsidRPr="00451078">
        <w:rPr>
          <w:rFonts w:ascii="Tahoma" w:hAnsi="Tahoma" w:cs="Tahoma"/>
          <w:sz w:val="18"/>
          <w:szCs w:val="18"/>
          <w:lang w:val="it-IT"/>
        </w:rPr>
        <w:t>ambito di tali programmi.</w:t>
      </w:r>
    </w:p>
    <w:p w:rsidR="00B73A46" w:rsidRPr="00451078" w:rsidRDefault="00B73A46" w:rsidP="00804794">
      <w:pPr>
        <w:ind w:left="720"/>
        <w:rPr>
          <w:lang w:val="it-IT"/>
        </w:rPr>
      </w:pPr>
    </w:p>
    <w:p w:rsidR="00B73A46" w:rsidRPr="00451078" w:rsidRDefault="00B73A46" w:rsidP="00804794">
      <w:pPr>
        <w:ind w:left="720"/>
        <w:rPr>
          <w:lang w:val="it-IT"/>
        </w:rPr>
      </w:pPr>
      <w:r w:rsidRPr="00451078">
        <w:rPr>
          <w:rFonts w:cs="Tahoma"/>
          <w:szCs w:val="18"/>
          <w:u w:val="single"/>
          <w:lang w:val="it-IT"/>
        </w:rPr>
        <w:t>Regole per i Sistemi Operativi Qualificanti</w:t>
      </w:r>
      <w:r w:rsidRPr="00451078">
        <w:rPr>
          <w:rFonts w:cs="Tahoma"/>
          <w:szCs w:val="18"/>
          <w:lang w:val="it-IT"/>
        </w:rPr>
        <w:t>: (ciascuna di queste condizioni deve essere soddisfatta affinché il</w:t>
      </w:r>
      <w:r w:rsidR="00F21723" w:rsidRPr="00451078">
        <w:rPr>
          <w:rFonts w:cs="Tahoma"/>
          <w:szCs w:val="18"/>
          <w:lang w:val="it-IT"/>
        </w:rPr>
        <w:t> </w:t>
      </w:r>
      <w:r w:rsidRPr="00451078">
        <w:rPr>
          <w:rFonts w:cs="Tahoma"/>
          <w:szCs w:val="18"/>
          <w:lang w:val="it-IT"/>
        </w:rPr>
        <w:t xml:space="preserve">Sistema Operativo qualifichi la società per ottenere la licenza relativa ai Diritti di Noleggio): </w:t>
      </w:r>
    </w:p>
    <w:p w:rsidR="00B73A46" w:rsidRPr="00451078" w:rsidRDefault="00B73A46" w:rsidP="00745AB3">
      <w:pPr>
        <w:numPr>
          <w:ilvl w:val="0"/>
          <w:numId w:val="28"/>
        </w:numPr>
        <w:ind w:left="1440"/>
        <w:rPr>
          <w:lang w:val="it-IT"/>
        </w:rPr>
      </w:pPr>
      <w:r w:rsidRPr="00451078">
        <w:rPr>
          <w:rFonts w:cs="Tahoma"/>
          <w:szCs w:val="18"/>
          <w:lang w:val="it-IT"/>
        </w:rPr>
        <w:lastRenderedPageBreak/>
        <w:t>La licenza per l</w:t>
      </w:r>
      <w:r w:rsidR="004525CA">
        <w:rPr>
          <w:rFonts w:cs="Tahoma"/>
          <w:szCs w:val="18"/>
          <w:lang w:val="it-IT"/>
        </w:rPr>
        <w:t>’</w:t>
      </w:r>
      <w:r w:rsidRPr="00451078">
        <w:rPr>
          <w:rFonts w:cs="Tahoma"/>
          <w:szCs w:val="18"/>
          <w:lang w:val="it-IT"/>
        </w:rPr>
        <w:t>OS qualificante deve essere assegnata allo stesso dispositivo a cui deve essere assegnata la licenza per i Diritti di Noleggio VL.</w:t>
      </w:r>
    </w:p>
    <w:p w:rsidR="00B73A46" w:rsidRPr="00451078" w:rsidRDefault="00B73A46" w:rsidP="00745AB3">
      <w:pPr>
        <w:numPr>
          <w:ilvl w:val="0"/>
          <w:numId w:val="28"/>
        </w:numPr>
        <w:ind w:left="1440"/>
        <w:rPr>
          <w:lang w:val="it-IT"/>
        </w:rPr>
      </w:pPr>
      <w:r w:rsidRPr="00451078">
        <w:rPr>
          <w:rFonts w:cs="Tahoma"/>
          <w:szCs w:val="18"/>
          <w:lang w:val="it-IT"/>
        </w:rPr>
        <w:t>L</w:t>
      </w:r>
      <w:r w:rsidR="004525CA">
        <w:rPr>
          <w:rFonts w:cs="Tahoma"/>
          <w:szCs w:val="18"/>
          <w:lang w:val="it-IT"/>
        </w:rPr>
        <w:t>’</w:t>
      </w:r>
      <w:r w:rsidRPr="00451078">
        <w:rPr>
          <w:rFonts w:cs="Tahoma"/>
          <w:szCs w:val="18"/>
          <w:lang w:val="it-IT"/>
        </w:rPr>
        <w:t>OS qualificante deve essere installata su tale dispositivo.</w:t>
      </w:r>
    </w:p>
    <w:p w:rsidR="00E31CC0" w:rsidRPr="00451078" w:rsidRDefault="00E31CC0" w:rsidP="00997D81">
      <w:pPr>
        <w:rPr>
          <w:lang w:val="it-IT"/>
        </w:rPr>
      </w:pPr>
    </w:p>
    <w:p w:rsidR="00B73A46" w:rsidRPr="00451078" w:rsidRDefault="00B73A46" w:rsidP="00EE035D">
      <w:pPr>
        <w:pStyle w:val="EndnoteText"/>
        <w:ind w:left="720"/>
        <w:rPr>
          <w:lang w:val="it-IT"/>
        </w:rPr>
      </w:pPr>
      <w:r w:rsidRPr="00451078">
        <w:rPr>
          <w:rFonts w:ascii="Tahoma" w:hAnsi="Tahoma" w:cs="Tahoma"/>
          <w:sz w:val="18"/>
          <w:szCs w:val="18"/>
          <w:lang w:val="it-IT"/>
        </w:rPr>
        <w:t>I sistemi operativi qualificanti in base al tipo di Programma sono:</w:t>
      </w:r>
    </w:p>
    <w:p w:rsidR="00B73A46" w:rsidRPr="00B33A19" w:rsidRDefault="00B73A46" w:rsidP="00B73A46">
      <w:pPr>
        <w:pStyle w:val="EndnoteText"/>
        <w:rPr>
          <w:rFonts w:ascii="Tahoma" w:hAnsi="Tahoma" w:cs="Tahoma"/>
          <w:sz w:val="16"/>
          <w:szCs w:val="16"/>
          <w:lang w:val="it-IT"/>
        </w:rPr>
      </w:pPr>
    </w:p>
    <w:tbl>
      <w:tblPr>
        <w:tblW w:w="8492" w:type="dxa"/>
        <w:tblInd w:w="878" w:type="dxa"/>
        <w:tblCellMar>
          <w:left w:w="0" w:type="dxa"/>
          <w:right w:w="0" w:type="dxa"/>
        </w:tblCellMar>
        <w:tblLook w:val="04A0" w:firstRow="1" w:lastRow="0" w:firstColumn="1" w:lastColumn="0" w:noHBand="0" w:noVBand="1"/>
      </w:tblPr>
      <w:tblGrid>
        <w:gridCol w:w="4064"/>
        <w:gridCol w:w="916"/>
        <w:gridCol w:w="1340"/>
        <w:gridCol w:w="1156"/>
        <w:gridCol w:w="1000"/>
        <w:gridCol w:w="16"/>
      </w:tblGrid>
      <w:tr w:rsidR="00B73A46" w:rsidRPr="003410C7" w:rsidTr="00B33A19">
        <w:trPr>
          <w:trHeight w:val="864"/>
          <w:tblHeader/>
        </w:trPr>
        <w:tc>
          <w:tcPr>
            <w:tcW w:w="4064" w:type="dxa"/>
            <w:tcBorders>
              <w:top w:val="single" w:sz="8" w:space="0" w:color="auto"/>
              <w:left w:val="single" w:sz="8" w:space="0" w:color="auto"/>
              <w:bottom w:val="single" w:sz="8" w:space="0" w:color="000000"/>
              <w:right w:val="single" w:sz="8" w:space="0" w:color="auto"/>
            </w:tcBorders>
            <w:shd w:val="clear" w:color="auto" w:fill="FABF8F"/>
            <w:vAlign w:val="center"/>
            <w:hideMark/>
          </w:tcPr>
          <w:p w:rsidR="00B73A46" w:rsidRPr="00451078" w:rsidRDefault="009B3FA2" w:rsidP="00B33A19">
            <w:pPr>
              <w:ind w:left="32"/>
              <w:rPr>
                <w:rFonts w:eastAsia="Calibri" w:cs="Tahoma"/>
                <w:bCs/>
                <w:szCs w:val="18"/>
                <w:lang w:val="it-IT"/>
              </w:rPr>
            </w:pPr>
            <w:r w:rsidRPr="00451078">
              <w:rPr>
                <w:rFonts w:cs="Tahoma"/>
                <w:b/>
                <w:bCs/>
                <w:szCs w:val="18"/>
                <w:lang w:val="it-IT"/>
              </w:rPr>
              <w:t>Sistemi Operativi Qualificanti per l</w:t>
            </w:r>
            <w:r w:rsidR="004525CA">
              <w:rPr>
                <w:rFonts w:cs="Tahoma"/>
                <w:b/>
                <w:bCs/>
                <w:szCs w:val="18"/>
                <w:lang w:val="it-IT"/>
              </w:rPr>
              <w:t>’</w:t>
            </w:r>
            <w:r w:rsidRPr="00451078">
              <w:rPr>
                <w:rFonts w:cs="Tahoma"/>
                <w:b/>
                <w:bCs/>
                <w:szCs w:val="18"/>
                <w:lang w:val="it-IT"/>
              </w:rPr>
              <w:t>acquisto dei Diritti di Noleggio per</w:t>
            </w:r>
            <w:r w:rsidR="00B33A19" w:rsidRPr="00451078">
              <w:rPr>
                <w:rFonts w:cs="Tahoma"/>
                <w:b/>
                <w:bCs/>
                <w:szCs w:val="18"/>
                <w:lang w:val="it-IT"/>
              </w:rPr>
              <w:t xml:space="preserve"> </w:t>
            </w:r>
            <w:r w:rsidRPr="00451078">
              <w:rPr>
                <w:rFonts w:cs="Tahoma"/>
                <w:b/>
                <w:bCs/>
                <w:szCs w:val="18"/>
                <w:lang w:val="it-IT"/>
              </w:rPr>
              <w:t>Windows</w:t>
            </w:r>
          </w:p>
        </w:tc>
        <w:tc>
          <w:tcPr>
            <w:tcW w:w="916" w:type="dxa"/>
            <w:tcBorders>
              <w:top w:val="single" w:sz="4" w:space="0" w:color="auto"/>
              <w:left w:val="nil"/>
              <w:bottom w:val="single" w:sz="8" w:space="0" w:color="auto"/>
              <w:right w:val="single" w:sz="8" w:space="0" w:color="auto"/>
            </w:tcBorders>
            <w:shd w:val="clear" w:color="auto" w:fill="FABF8F"/>
            <w:tcMar>
              <w:top w:w="0" w:type="dxa"/>
              <w:left w:w="108" w:type="dxa"/>
              <w:bottom w:w="0" w:type="dxa"/>
              <w:right w:w="108" w:type="dxa"/>
            </w:tcMar>
            <w:vAlign w:val="center"/>
            <w:hideMark/>
          </w:tcPr>
          <w:p w:rsidR="00B73A46" w:rsidRPr="003410C7" w:rsidRDefault="00B73A46" w:rsidP="009B3FA2">
            <w:pPr>
              <w:jc w:val="center"/>
              <w:rPr>
                <w:rFonts w:eastAsia="Calibri" w:cs="Tahoma"/>
                <w:b/>
                <w:bCs/>
                <w:sz w:val="14"/>
                <w:szCs w:val="18"/>
              </w:rPr>
            </w:pPr>
            <w:r w:rsidRPr="003410C7">
              <w:rPr>
                <w:rFonts w:cs="Tahoma"/>
                <w:b/>
                <w:bCs/>
                <w:sz w:val="14"/>
                <w:szCs w:val="18"/>
              </w:rPr>
              <w:t>OEM</w:t>
            </w:r>
          </w:p>
        </w:tc>
        <w:tc>
          <w:tcPr>
            <w:tcW w:w="1340" w:type="dxa"/>
            <w:tcBorders>
              <w:top w:val="single" w:sz="4" w:space="0" w:color="auto"/>
              <w:left w:val="nil"/>
              <w:bottom w:val="single" w:sz="8" w:space="0" w:color="auto"/>
              <w:right w:val="single" w:sz="8" w:space="0" w:color="auto"/>
            </w:tcBorders>
            <w:shd w:val="clear" w:color="auto" w:fill="FABF8F"/>
            <w:tcMar>
              <w:top w:w="0" w:type="dxa"/>
              <w:left w:w="108" w:type="dxa"/>
              <w:bottom w:w="0" w:type="dxa"/>
              <w:right w:w="108" w:type="dxa"/>
            </w:tcMar>
            <w:vAlign w:val="center"/>
            <w:hideMark/>
          </w:tcPr>
          <w:p w:rsidR="00B73A46" w:rsidRPr="003410C7" w:rsidRDefault="00B73A46" w:rsidP="001B15A5">
            <w:pPr>
              <w:jc w:val="center"/>
              <w:rPr>
                <w:rFonts w:eastAsia="Calibri" w:cs="Tahoma"/>
                <w:b/>
                <w:bCs/>
                <w:sz w:val="14"/>
                <w:szCs w:val="18"/>
              </w:rPr>
            </w:pPr>
            <w:r w:rsidRPr="003410C7">
              <w:rPr>
                <w:rFonts w:cs="Tahoma"/>
                <w:b/>
                <w:bCs/>
                <w:sz w:val="14"/>
                <w:szCs w:val="18"/>
              </w:rPr>
              <w:t>FPP</w:t>
            </w:r>
          </w:p>
        </w:tc>
        <w:tc>
          <w:tcPr>
            <w:tcW w:w="1156" w:type="dxa"/>
            <w:tcBorders>
              <w:top w:val="single" w:sz="4" w:space="0" w:color="auto"/>
              <w:left w:val="nil"/>
              <w:bottom w:val="single" w:sz="8" w:space="0" w:color="auto"/>
              <w:right w:val="single" w:sz="8" w:space="0" w:color="auto"/>
            </w:tcBorders>
            <w:shd w:val="clear" w:color="auto" w:fill="FABF8F"/>
            <w:tcMar>
              <w:top w:w="0" w:type="dxa"/>
              <w:left w:w="108" w:type="dxa"/>
              <w:bottom w:w="0" w:type="dxa"/>
              <w:right w:w="108" w:type="dxa"/>
            </w:tcMar>
            <w:vAlign w:val="center"/>
            <w:hideMark/>
          </w:tcPr>
          <w:p w:rsidR="00B73A46" w:rsidRPr="003410C7" w:rsidRDefault="00B73A46" w:rsidP="0050116B">
            <w:pPr>
              <w:jc w:val="center"/>
              <w:rPr>
                <w:rFonts w:eastAsia="Calibri" w:cs="Tahoma"/>
                <w:b/>
                <w:bCs/>
                <w:sz w:val="14"/>
                <w:szCs w:val="18"/>
              </w:rPr>
            </w:pPr>
            <w:r w:rsidRPr="003410C7">
              <w:rPr>
                <w:rFonts w:cs="Tahoma"/>
                <w:b/>
                <w:bCs/>
                <w:sz w:val="14"/>
                <w:szCs w:val="18"/>
              </w:rPr>
              <w:t>Select/Select Plus</w:t>
            </w:r>
          </w:p>
        </w:tc>
        <w:tc>
          <w:tcPr>
            <w:tcW w:w="1000" w:type="dxa"/>
            <w:tcBorders>
              <w:top w:val="single" w:sz="4" w:space="0" w:color="auto"/>
              <w:left w:val="nil"/>
              <w:bottom w:val="single" w:sz="8" w:space="0" w:color="auto"/>
              <w:right w:val="single" w:sz="8" w:space="0" w:color="auto"/>
            </w:tcBorders>
            <w:shd w:val="clear" w:color="auto" w:fill="FABF8F"/>
            <w:tcMar>
              <w:top w:w="0" w:type="dxa"/>
              <w:left w:w="108" w:type="dxa"/>
              <w:bottom w:w="0" w:type="dxa"/>
              <w:right w:w="108" w:type="dxa"/>
            </w:tcMar>
            <w:vAlign w:val="center"/>
            <w:hideMark/>
          </w:tcPr>
          <w:p w:rsidR="00B73A46" w:rsidRPr="003410C7" w:rsidRDefault="00B73A46" w:rsidP="005F0406">
            <w:pPr>
              <w:jc w:val="center"/>
              <w:rPr>
                <w:rFonts w:eastAsia="Calibri" w:cs="Tahoma"/>
                <w:b/>
                <w:bCs/>
                <w:sz w:val="14"/>
                <w:szCs w:val="18"/>
              </w:rPr>
            </w:pPr>
            <w:r w:rsidRPr="003410C7">
              <w:rPr>
                <w:rFonts w:cs="Tahoma"/>
                <w:b/>
                <w:bCs/>
                <w:sz w:val="14"/>
                <w:szCs w:val="18"/>
              </w:rPr>
              <w:t>Licenza Open</w:t>
            </w:r>
          </w:p>
        </w:tc>
        <w:tc>
          <w:tcPr>
            <w:tcW w:w="16" w:type="dxa"/>
            <w:vAlign w:val="center"/>
          </w:tcPr>
          <w:p w:rsidR="00B73A46" w:rsidRPr="003410C7" w:rsidRDefault="00B73A46" w:rsidP="00713A6C">
            <w:pPr>
              <w:rPr>
                <w:rFonts w:eastAsia="Calibri" w:cs="Tahoma"/>
                <w:szCs w:val="18"/>
              </w:rPr>
            </w:pPr>
          </w:p>
        </w:tc>
      </w:tr>
      <w:tr w:rsidR="00BF7A97" w:rsidRPr="003410C7" w:rsidTr="00B33A19">
        <w:trPr>
          <w:trHeight w:val="255"/>
        </w:trPr>
        <w:tc>
          <w:tcPr>
            <w:tcW w:w="4064"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tcPr>
          <w:p w:rsidR="00BF7A97" w:rsidRPr="003410C7" w:rsidRDefault="00BF7A97" w:rsidP="00713A6C">
            <w:pPr>
              <w:rPr>
                <w:rFonts w:cs="Tahoma"/>
                <w:b/>
                <w:bCs/>
                <w:szCs w:val="18"/>
              </w:rPr>
            </w:pPr>
            <w:r w:rsidRPr="003410C7">
              <w:rPr>
                <w:rFonts w:cs="Tahoma"/>
                <w:b/>
                <w:bCs/>
                <w:szCs w:val="18"/>
              </w:rPr>
              <w:t>Windows 8 (32-bit o 64-bit)</w:t>
            </w:r>
          </w:p>
        </w:tc>
        <w:tc>
          <w:tcPr>
            <w:tcW w:w="916"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BF7A97" w:rsidRPr="003410C7" w:rsidRDefault="00BF7A97" w:rsidP="00BF7A97">
            <w:pPr>
              <w:jc w:val="center"/>
              <w:rPr>
                <w:rFonts w:eastAsia="Times New Roman" w:cs="Tahoma"/>
                <w:szCs w:val="18"/>
              </w:rPr>
            </w:pPr>
          </w:p>
        </w:tc>
        <w:tc>
          <w:tcPr>
            <w:tcW w:w="134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BF7A97" w:rsidRPr="003410C7" w:rsidRDefault="00BF7A97" w:rsidP="00BF7A97">
            <w:pPr>
              <w:jc w:val="center"/>
              <w:rPr>
                <w:rFonts w:eastAsia="Times New Roman" w:cs="Tahoma"/>
                <w:szCs w:val="18"/>
              </w:rPr>
            </w:pPr>
          </w:p>
        </w:tc>
        <w:tc>
          <w:tcPr>
            <w:tcW w:w="1156"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BF7A97" w:rsidRPr="003410C7" w:rsidRDefault="00BF7A97" w:rsidP="00BF7A97">
            <w:pPr>
              <w:jc w:val="center"/>
              <w:rPr>
                <w:rFonts w:eastAsia="Times New Roman" w:cs="Tahoma"/>
                <w:szCs w:val="18"/>
              </w:rPr>
            </w:pPr>
          </w:p>
        </w:tc>
        <w:tc>
          <w:tcPr>
            <w:tcW w:w="100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BF7A97" w:rsidRPr="003410C7" w:rsidRDefault="00BF7A97" w:rsidP="00BF7A97">
            <w:pPr>
              <w:jc w:val="center"/>
              <w:rPr>
                <w:rFonts w:eastAsia="Times New Roman" w:cs="Tahoma"/>
                <w:szCs w:val="18"/>
              </w:rPr>
            </w:pPr>
          </w:p>
        </w:tc>
        <w:tc>
          <w:tcPr>
            <w:tcW w:w="16" w:type="dxa"/>
            <w:vAlign w:val="center"/>
          </w:tcPr>
          <w:p w:rsidR="00BF7A97" w:rsidRPr="003410C7" w:rsidRDefault="00BF7A97" w:rsidP="00713A6C">
            <w:pPr>
              <w:rPr>
                <w:rFonts w:eastAsia="Calibri" w:cs="Tahoma"/>
                <w:szCs w:val="18"/>
              </w:rPr>
            </w:pPr>
          </w:p>
        </w:tc>
      </w:tr>
      <w:tr w:rsidR="00BF7A97" w:rsidRPr="003410C7" w:rsidTr="00B33A19">
        <w:trPr>
          <w:trHeight w:val="255"/>
        </w:trPr>
        <w:tc>
          <w:tcPr>
            <w:tcW w:w="4064"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tcPr>
          <w:p w:rsidR="00BF7A97" w:rsidRPr="003410C7" w:rsidRDefault="00BF7A97" w:rsidP="00BF7A97">
            <w:pPr>
              <w:ind w:left="522"/>
              <w:rPr>
                <w:rFonts w:cs="Tahoma"/>
                <w:b/>
                <w:bCs/>
                <w:szCs w:val="18"/>
              </w:rPr>
            </w:pPr>
            <w:r w:rsidRPr="003410C7">
              <w:rPr>
                <w:rFonts w:cs="Tahoma"/>
                <w:szCs w:val="18"/>
              </w:rPr>
              <w:t>Pro (K, KN)</w:t>
            </w:r>
          </w:p>
        </w:tc>
        <w:tc>
          <w:tcPr>
            <w:tcW w:w="916"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BF7A97" w:rsidRPr="003410C7" w:rsidRDefault="00BF7A97" w:rsidP="00BF7A97">
            <w:pPr>
              <w:jc w:val="center"/>
              <w:rPr>
                <w:rFonts w:eastAsia="Times New Roman" w:cs="Tahoma"/>
                <w:szCs w:val="18"/>
              </w:rPr>
            </w:pPr>
            <w:r w:rsidRPr="003410C7">
              <w:rPr>
                <w:rFonts w:eastAsia="Times New Roman" w:cs="Tahoma"/>
                <w:szCs w:val="18"/>
              </w:rPr>
              <w:t>x</w:t>
            </w:r>
          </w:p>
        </w:tc>
        <w:tc>
          <w:tcPr>
            <w:tcW w:w="134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BF7A97" w:rsidRPr="003410C7" w:rsidRDefault="00BF7A97" w:rsidP="00BF7A97">
            <w:pPr>
              <w:jc w:val="center"/>
              <w:rPr>
                <w:rFonts w:eastAsia="Times New Roman" w:cs="Tahoma"/>
                <w:szCs w:val="18"/>
              </w:rPr>
            </w:pPr>
          </w:p>
        </w:tc>
        <w:tc>
          <w:tcPr>
            <w:tcW w:w="1156"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BF7A97" w:rsidRPr="003410C7" w:rsidRDefault="00BF7A97" w:rsidP="00BF7A97">
            <w:pPr>
              <w:jc w:val="center"/>
              <w:rPr>
                <w:rFonts w:eastAsia="Times New Roman" w:cs="Tahoma"/>
                <w:szCs w:val="18"/>
              </w:rPr>
            </w:pPr>
            <w:r w:rsidRPr="003410C7">
              <w:rPr>
                <w:rFonts w:eastAsia="Times New Roman" w:cs="Tahoma"/>
                <w:szCs w:val="18"/>
              </w:rPr>
              <w:t>x</w:t>
            </w:r>
          </w:p>
        </w:tc>
        <w:tc>
          <w:tcPr>
            <w:tcW w:w="100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BF7A97" w:rsidRPr="003410C7" w:rsidRDefault="00BF7A97" w:rsidP="00BF7A97">
            <w:pPr>
              <w:jc w:val="center"/>
              <w:rPr>
                <w:rFonts w:eastAsia="Times New Roman" w:cs="Tahoma"/>
                <w:szCs w:val="18"/>
              </w:rPr>
            </w:pPr>
            <w:r w:rsidRPr="003410C7">
              <w:rPr>
                <w:rFonts w:eastAsia="Times New Roman" w:cs="Tahoma"/>
                <w:szCs w:val="18"/>
              </w:rPr>
              <w:t>x</w:t>
            </w:r>
          </w:p>
        </w:tc>
        <w:tc>
          <w:tcPr>
            <w:tcW w:w="16" w:type="dxa"/>
            <w:vAlign w:val="center"/>
          </w:tcPr>
          <w:p w:rsidR="00BF7A97" w:rsidRPr="003410C7" w:rsidRDefault="00BF7A97" w:rsidP="00713A6C">
            <w:pPr>
              <w:rPr>
                <w:rFonts w:eastAsia="Calibri" w:cs="Tahoma"/>
                <w:szCs w:val="18"/>
              </w:rPr>
            </w:pPr>
          </w:p>
        </w:tc>
      </w:tr>
      <w:tr w:rsidR="00B73A46" w:rsidRPr="003410C7" w:rsidTr="00B33A19">
        <w:trPr>
          <w:trHeight w:val="255"/>
        </w:trPr>
        <w:tc>
          <w:tcPr>
            <w:tcW w:w="4064"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rsidR="00B73A46" w:rsidRPr="003410C7" w:rsidRDefault="00B73A46" w:rsidP="00713A6C">
            <w:pPr>
              <w:rPr>
                <w:rFonts w:eastAsia="Calibri" w:cs="Tahoma"/>
                <w:b/>
                <w:bCs/>
                <w:szCs w:val="18"/>
              </w:rPr>
            </w:pPr>
            <w:r w:rsidRPr="003410C7">
              <w:rPr>
                <w:rFonts w:cs="Tahoma"/>
                <w:b/>
                <w:bCs/>
                <w:szCs w:val="18"/>
              </w:rPr>
              <w:t>Windows 7 (32-bit o 64-bit)</w:t>
            </w:r>
          </w:p>
        </w:tc>
        <w:tc>
          <w:tcPr>
            <w:tcW w:w="916"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3410C7" w:rsidRDefault="00B73A46" w:rsidP="00BF7A97">
            <w:pPr>
              <w:jc w:val="center"/>
              <w:rPr>
                <w:rFonts w:eastAsia="Times New Roman" w:cs="Tahoma"/>
                <w:szCs w:val="18"/>
              </w:rPr>
            </w:pPr>
          </w:p>
        </w:tc>
        <w:tc>
          <w:tcPr>
            <w:tcW w:w="134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3410C7" w:rsidRDefault="00B73A46" w:rsidP="00BF7A97">
            <w:pPr>
              <w:jc w:val="center"/>
              <w:rPr>
                <w:rFonts w:eastAsia="Times New Roman" w:cs="Tahoma"/>
                <w:szCs w:val="18"/>
              </w:rPr>
            </w:pPr>
          </w:p>
        </w:tc>
        <w:tc>
          <w:tcPr>
            <w:tcW w:w="1156"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3410C7" w:rsidRDefault="00B73A46" w:rsidP="00BF7A97">
            <w:pPr>
              <w:jc w:val="center"/>
              <w:rPr>
                <w:rFonts w:eastAsia="Times New Roman" w:cs="Tahoma"/>
                <w:szCs w:val="18"/>
              </w:rPr>
            </w:pPr>
          </w:p>
        </w:tc>
        <w:tc>
          <w:tcPr>
            <w:tcW w:w="100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3410C7" w:rsidRDefault="00B73A46" w:rsidP="00BF7A97">
            <w:pPr>
              <w:jc w:val="center"/>
              <w:rPr>
                <w:rFonts w:eastAsia="Times New Roman" w:cs="Tahoma"/>
                <w:szCs w:val="18"/>
              </w:rPr>
            </w:pPr>
          </w:p>
        </w:tc>
        <w:tc>
          <w:tcPr>
            <w:tcW w:w="16" w:type="dxa"/>
            <w:vAlign w:val="center"/>
          </w:tcPr>
          <w:p w:rsidR="00B73A46" w:rsidRPr="003410C7" w:rsidRDefault="00B73A46" w:rsidP="00713A6C">
            <w:pPr>
              <w:rPr>
                <w:rFonts w:eastAsia="Calibri" w:cs="Tahoma"/>
                <w:szCs w:val="18"/>
              </w:rPr>
            </w:pPr>
          </w:p>
        </w:tc>
      </w:tr>
      <w:tr w:rsidR="00B73A46" w:rsidRPr="003410C7" w:rsidTr="00B33A19">
        <w:trPr>
          <w:trHeight w:val="255"/>
        </w:trPr>
        <w:tc>
          <w:tcPr>
            <w:tcW w:w="4064"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rsidR="00B73A46" w:rsidRPr="003410C7" w:rsidRDefault="00B73A46" w:rsidP="00BF7A97">
            <w:pPr>
              <w:ind w:left="522"/>
              <w:rPr>
                <w:rFonts w:eastAsia="Calibri" w:cs="Tahoma"/>
                <w:bCs/>
                <w:szCs w:val="18"/>
              </w:rPr>
            </w:pPr>
            <w:r w:rsidRPr="003410C7">
              <w:rPr>
                <w:rFonts w:cs="Tahoma"/>
                <w:szCs w:val="18"/>
              </w:rPr>
              <w:t>Professional (K, KN)</w:t>
            </w:r>
          </w:p>
        </w:tc>
        <w:tc>
          <w:tcPr>
            <w:tcW w:w="916"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3410C7" w:rsidRDefault="00B73A46" w:rsidP="00713A6C">
            <w:pPr>
              <w:jc w:val="center"/>
              <w:rPr>
                <w:rFonts w:eastAsia="Calibri" w:cs="Tahoma"/>
                <w:szCs w:val="18"/>
              </w:rPr>
            </w:pPr>
            <w:r w:rsidRPr="003410C7">
              <w:rPr>
                <w:rFonts w:cs="Tahoma"/>
                <w:szCs w:val="18"/>
              </w:rPr>
              <w:t>x</w:t>
            </w:r>
          </w:p>
        </w:tc>
        <w:tc>
          <w:tcPr>
            <w:tcW w:w="134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3410C7" w:rsidRDefault="00B73A46" w:rsidP="00713A6C">
            <w:pPr>
              <w:jc w:val="center"/>
              <w:rPr>
                <w:rFonts w:eastAsia="Calibri" w:cs="Tahoma"/>
                <w:szCs w:val="18"/>
              </w:rPr>
            </w:pPr>
            <w:r w:rsidRPr="003410C7">
              <w:rPr>
                <w:rFonts w:cs="Tahoma"/>
                <w:szCs w:val="18"/>
              </w:rPr>
              <w:t>x</w:t>
            </w:r>
          </w:p>
        </w:tc>
        <w:tc>
          <w:tcPr>
            <w:tcW w:w="1156"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3410C7" w:rsidRDefault="00B73A46" w:rsidP="00713A6C">
            <w:pPr>
              <w:jc w:val="center"/>
              <w:rPr>
                <w:rFonts w:eastAsia="Calibri" w:cs="Tahoma"/>
                <w:szCs w:val="18"/>
              </w:rPr>
            </w:pPr>
            <w:r w:rsidRPr="003410C7">
              <w:rPr>
                <w:rFonts w:cs="Tahoma"/>
                <w:szCs w:val="18"/>
              </w:rPr>
              <w:t>x</w:t>
            </w:r>
          </w:p>
        </w:tc>
        <w:tc>
          <w:tcPr>
            <w:tcW w:w="100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3410C7" w:rsidRDefault="00B73A46" w:rsidP="00713A6C">
            <w:pPr>
              <w:jc w:val="center"/>
              <w:rPr>
                <w:rFonts w:eastAsia="Calibri" w:cs="Tahoma"/>
                <w:szCs w:val="18"/>
              </w:rPr>
            </w:pPr>
            <w:r w:rsidRPr="003410C7">
              <w:rPr>
                <w:rFonts w:cs="Tahoma"/>
                <w:szCs w:val="18"/>
              </w:rPr>
              <w:t>x</w:t>
            </w:r>
          </w:p>
        </w:tc>
        <w:tc>
          <w:tcPr>
            <w:tcW w:w="16" w:type="dxa"/>
            <w:vAlign w:val="center"/>
          </w:tcPr>
          <w:p w:rsidR="00B73A46" w:rsidRPr="003410C7" w:rsidRDefault="00B73A46" w:rsidP="00713A6C">
            <w:pPr>
              <w:rPr>
                <w:rFonts w:eastAsia="Calibri" w:cs="Tahoma"/>
                <w:szCs w:val="18"/>
              </w:rPr>
            </w:pPr>
          </w:p>
        </w:tc>
      </w:tr>
      <w:tr w:rsidR="00B73A46" w:rsidRPr="00DC1102" w:rsidTr="00B33A19">
        <w:trPr>
          <w:trHeight w:val="255"/>
        </w:trPr>
        <w:tc>
          <w:tcPr>
            <w:tcW w:w="4064"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rsidR="00B73A46" w:rsidRPr="00451078" w:rsidRDefault="00B73A46" w:rsidP="00713A6C">
            <w:pPr>
              <w:rPr>
                <w:rFonts w:eastAsia="Calibri" w:cs="Tahoma"/>
                <w:b/>
                <w:bCs/>
                <w:szCs w:val="18"/>
                <w:lang w:val="pt-BR"/>
              </w:rPr>
            </w:pPr>
            <w:r w:rsidRPr="00451078">
              <w:rPr>
                <w:rFonts w:cs="Tahoma"/>
                <w:b/>
                <w:bCs/>
                <w:szCs w:val="18"/>
                <w:lang w:val="pt-BR"/>
              </w:rPr>
              <w:t>Windows Vista (32-bit o 64-bit)</w:t>
            </w:r>
          </w:p>
        </w:tc>
        <w:tc>
          <w:tcPr>
            <w:tcW w:w="916"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451078" w:rsidRDefault="00B73A46" w:rsidP="00713A6C">
            <w:pPr>
              <w:jc w:val="center"/>
              <w:rPr>
                <w:rFonts w:eastAsia="Calibri" w:cs="Tahoma"/>
                <w:szCs w:val="18"/>
                <w:lang w:val="pt-BR"/>
              </w:rPr>
            </w:pPr>
            <w:r w:rsidRPr="00451078">
              <w:rPr>
                <w:rFonts w:cs="Tahoma"/>
                <w:szCs w:val="18"/>
                <w:lang w:val="pt-BR"/>
              </w:rPr>
              <w:t> </w:t>
            </w:r>
          </w:p>
        </w:tc>
        <w:tc>
          <w:tcPr>
            <w:tcW w:w="134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451078" w:rsidRDefault="00B73A46" w:rsidP="00713A6C">
            <w:pPr>
              <w:jc w:val="center"/>
              <w:rPr>
                <w:rFonts w:eastAsia="Calibri" w:cs="Tahoma"/>
                <w:szCs w:val="18"/>
                <w:lang w:val="pt-BR"/>
              </w:rPr>
            </w:pPr>
            <w:r w:rsidRPr="00451078">
              <w:rPr>
                <w:rFonts w:cs="Tahoma"/>
                <w:szCs w:val="18"/>
                <w:lang w:val="pt-BR"/>
              </w:rPr>
              <w:t> </w:t>
            </w:r>
          </w:p>
        </w:tc>
        <w:tc>
          <w:tcPr>
            <w:tcW w:w="1156"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451078" w:rsidRDefault="00B73A46" w:rsidP="00713A6C">
            <w:pPr>
              <w:jc w:val="center"/>
              <w:rPr>
                <w:rFonts w:eastAsia="Calibri" w:cs="Tahoma"/>
                <w:szCs w:val="18"/>
                <w:lang w:val="pt-BR"/>
              </w:rPr>
            </w:pPr>
            <w:r w:rsidRPr="00451078">
              <w:rPr>
                <w:rFonts w:cs="Tahoma"/>
                <w:szCs w:val="18"/>
                <w:lang w:val="pt-BR"/>
              </w:rPr>
              <w:t> </w:t>
            </w:r>
          </w:p>
        </w:tc>
        <w:tc>
          <w:tcPr>
            <w:tcW w:w="100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451078" w:rsidRDefault="00B73A46" w:rsidP="00713A6C">
            <w:pPr>
              <w:jc w:val="center"/>
              <w:rPr>
                <w:rFonts w:eastAsia="Calibri" w:cs="Tahoma"/>
                <w:szCs w:val="18"/>
                <w:lang w:val="pt-BR"/>
              </w:rPr>
            </w:pPr>
            <w:r w:rsidRPr="00451078">
              <w:rPr>
                <w:rFonts w:cs="Tahoma"/>
                <w:szCs w:val="18"/>
                <w:lang w:val="pt-BR"/>
              </w:rPr>
              <w:t> </w:t>
            </w:r>
          </w:p>
        </w:tc>
        <w:tc>
          <w:tcPr>
            <w:tcW w:w="16" w:type="dxa"/>
            <w:vAlign w:val="center"/>
          </w:tcPr>
          <w:p w:rsidR="00B73A46" w:rsidRPr="00451078" w:rsidRDefault="00B73A46" w:rsidP="00713A6C">
            <w:pPr>
              <w:rPr>
                <w:rFonts w:eastAsia="Calibri" w:cs="Tahoma"/>
                <w:szCs w:val="18"/>
                <w:lang w:val="pt-BR"/>
              </w:rPr>
            </w:pPr>
          </w:p>
        </w:tc>
      </w:tr>
      <w:tr w:rsidR="00B73A46" w:rsidRPr="003410C7" w:rsidTr="00B33A19">
        <w:trPr>
          <w:trHeight w:val="255"/>
        </w:trPr>
        <w:tc>
          <w:tcPr>
            <w:tcW w:w="4064"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rsidR="00B73A46" w:rsidRPr="003410C7" w:rsidRDefault="00B73A46" w:rsidP="00713A6C">
            <w:pPr>
              <w:ind w:firstLine="540"/>
              <w:rPr>
                <w:rFonts w:eastAsia="Calibri" w:cs="Tahoma"/>
                <w:szCs w:val="18"/>
              </w:rPr>
            </w:pPr>
            <w:r w:rsidRPr="003410C7">
              <w:rPr>
                <w:rFonts w:cs="Tahoma"/>
                <w:szCs w:val="18"/>
              </w:rPr>
              <w:t>Business (K, KN)</w:t>
            </w:r>
          </w:p>
        </w:tc>
        <w:tc>
          <w:tcPr>
            <w:tcW w:w="916"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3410C7" w:rsidRDefault="00B73A46" w:rsidP="00713A6C">
            <w:pPr>
              <w:jc w:val="center"/>
              <w:rPr>
                <w:rFonts w:eastAsia="Calibri" w:cs="Tahoma"/>
                <w:szCs w:val="18"/>
              </w:rPr>
            </w:pPr>
            <w:r w:rsidRPr="003410C7">
              <w:rPr>
                <w:rFonts w:cs="Tahoma"/>
                <w:szCs w:val="18"/>
              </w:rPr>
              <w:t>x</w:t>
            </w:r>
          </w:p>
        </w:tc>
        <w:tc>
          <w:tcPr>
            <w:tcW w:w="134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3410C7" w:rsidRDefault="00B73A46" w:rsidP="00713A6C">
            <w:pPr>
              <w:jc w:val="center"/>
              <w:rPr>
                <w:rFonts w:eastAsia="Calibri" w:cs="Tahoma"/>
                <w:szCs w:val="18"/>
              </w:rPr>
            </w:pPr>
            <w:r w:rsidRPr="003410C7">
              <w:rPr>
                <w:rFonts w:cs="Tahoma"/>
                <w:szCs w:val="18"/>
              </w:rPr>
              <w:t>x</w:t>
            </w:r>
          </w:p>
        </w:tc>
        <w:tc>
          <w:tcPr>
            <w:tcW w:w="1156"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3410C7" w:rsidRDefault="00B73A46" w:rsidP="00713A6C">
            <w:pPr>
              <w:jc w:val="center"/>
              <w:rPr>
                <w:rFonts w:eastAsia="Calibri" w:cs="Tahoma"/>
                <w:szCs w:val="18"/>
              </w:rPr>
            </w:pPr>
            <w:r w:rsidRPr="003410C7">
              <w:rPr>
                <w:rFonts w:cs="Tahoma"/>
                <w:szCs w:val="18"/>
              </w:rPr>
              <w:t>x</w:t>
            </w:r>
          </w:p>
        </w:tc>
        <w:tc>
          <w:tcPr>
            <w:tcW w:w="100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3410C7" w:rsidRDefault="00B73A46" w:rsidP="00713A6C">
            <w:pPr>
              <w:jc w:val="center"/>
              <w:rPr>
                <w:rFonts w:eastAsia="Calibri" w:cs="Tahoma"/>
                <w:szCs w:val="18"/>
              </w:rPr>
            </w:pPr>
            <w:r w:rsidRPr="003410C7">
              <w:rPr>
                <w:rFonts w:cs="Tahoma"/>
                <w:szCs w:val="18"/>
              </w:rPr>
              <w:t>x</w:t>
            </w:r>
          </w:p>
        </w:tc>
        <w:tc>
          <w:tcPr>
            <w:tcW w:w="16" w:type="dxa"/>
            <w:vAlign w:val="center"/>
          </w:tcPr>
          <w:p w:rsidR="00B73A46" w:rsidRPr="003410C7" w:rsidRDefault="00B73A46" w:rsidP="00713A6C">
            <w:pPr>
              <w:rPr>
                <w:rFonts w:eastAsia="Calibri" w:cs="Tahoma"/>
                <w:szCs w:val="18"/>
              </w:rPr>
            </w:pPr>
          </w:p>
        </w:tc>
      </w:tr>
    </w:tbl>
    <w:p w:rsidR="00B73A46" w:rsidRPr="00877B33" w:rsidRDefault="00B73A46" w:rsidP="00B73A46">
      <w:pPr>
        <w:rPr>
          <w:sz w:val="16"/>
          <w:szCs w:val="16"/>
        </w:rPr>
      </w:pPr>
    </w:p>
    <w:p w:rsidR="00B73A46" w:rsidRPr="00451078" w:rsidRDefault="00B73A46" w:rsidP="00EE035D">
      <w:pPr>
        <w:ind w:left="720"/>
        <w:rPr>
          <w:lang w:val="it-IT"/>
        </w:rPr>
      </w:pPr>
      <w:r w:rsidRPr="00451078">
        <w:rPr>
          <w:rFonts w:cs="Tahoma"/>
          <w:szCs w:val="18"/>
          <w:lang w:val="it-IT"/>
        </w:rPr>
        <w:t>Le società che acquistano la licenza relativa ai diritti di noleggio in aggiunta alla licenza per il sistema operativo qualificante</w:t>
      </w:r>
      <w:r w:rsidRPr="00451078">
        <w:rPr>
          <w:rStyle w:val="CommentReference"/>
          <w:rFonts w:cs="Tahoma"/>
          <w:sz w:val="18"/>
          <w:szCs w:val="18"/>
          <w:lang w:val="it-IT"/>
        </w:rPr>
        <w:t> </w:t>
      </w:r>
      <w:r w:rsidRPr="00451078">
        <w:rPr>
          <w:rFonts w:cs="Tahoma"/>
          <w:szCs w:val="18"/>
          <w:lang w:val="it-IT"/>
        </w:rPr>
        <w:t>beneficeranno di un</w:t>
      </w:r>
      <w:r w:rsidR="004525CA">
        <w:rPr>
          <w:rFonts w:cs="Tahoma"/>
          <w:szCs w:val="18"/>
          <w:lang w:val="it-IT"/>
        </w:rPr>
        <w:t>’</w:t>
      </w:r>
      <w:r w:rsidRPr="00451078">
        <w:rPr>
          <w:rFonts w:cs="Tahoma"/>
          <w:szCs w:val="18"/>
          <w:lang w:val="it-IT"/>
        </w:rPr>
        <w:t>estensione dei diritti contemplati dalla licenza</w:t>
      </w:r>
      <w:r w:rsidRPr="00451078">
        <w:rPr>
          <w:rStyle w:val="CommentReference"/>
          <w:rFonts w:cs="Tahoma"/>
          <w:sz w:val="18"/>
          <w:szCs w:val="18"/>
          <w:lang w:val="it-IT"/>
        </w:rPr>
        <w:t> </w:t>
      </w:r>
      <w:r w:rsidRPr="00451078">
        <w:rPr>
          <w:rFonts w:cs="Tahoma"/>
          <w:szCs w:val="18"/>
          <w:lang w:val="it-IT"/>
        </w:rPr>
        <w:t>del sistema operativo qualificante per consentire l</w:t>
      </w:r>
      <w:r w:rsidR="004525CA">
        <w:rPr>
          <w:rFonts w:cs="Tahoma"/>
          <w:szCs w:val="18"/>
          <w:lang w:val="it-IT"/>
        </w:rPr>
        <w:t>’</w:t>
      </w:r>
      <w:r w:rsidRPr="00451078">
        <w:rPr>
          <w:rFonts w:cs="Tahoma"/>
          <w:szCs w:val="18"/>
          <w:lang w:val="it-IT"/>
        </w:rPr>
        <w:t xml:space="preserve">utilizzo da parte di terzi dello stesso software. La licenza di noleggio non costituisce una concessione per un aggiornamento della versione. </w:t>
      </w:r>
    </w:p>
    <w:p w:rsidR="00B73A46" w:rsidRPr="00877B33" w:rsidRDefault="00B73A46" w:rsidP="00804794">
      <w:pPr>
        <w:ind w:left="720"/>
        <w:rPr>
          <w:sz w:val="16"/>
          <w:szCs w:val="16"/>
          <w:lang w:val="it-IT"/>
        </w:rPr>
      </w:pPr>
    </w:p>
    <w:p w:rsidR="00B73A46" w:rsidRPr="00451078" w:rsidRDefault="00B73A46" w:rsidP="00804794">
      <w:pPr>
        <w:ind w:left="720"/>
        <w:rPr>
          <w:lang w:val="it-IT"/>
        </w:rPr>
      </w:pPr>
      <w:r w:rsidRPr="00451078">
        <w:rPr>
          <w:rFonts w:cs="Tahoma"/>
          <w:szCs w:val="18"/>
          <w:u w:val="single"/>
          <w:lang w:val="it-IT"/>
        </w:rPr>
        <w:t>Eccezione per Software Assurance</w:t>
      </w:r>
    </w:p>
    <w:p w:rsidR="00B73A46" w:rsidRPr="00877B33" w:rsidRDefault="00B73A46" w:rsidP="00845031">
      <w:pPr>
        <w:ind w:left="720"/>
        <w:rPr>
          <w:spacing w:val="-1"/>
          <w:lang w:val="it-IT"/>
        </w:rPr>
      </w:pPr>
      <w:r w:rsidRPr="00877B33">
        <w:rPr>
          <w:rFonts w:cs="Tahoma"/>
          <w:spacing w:val="-1"/>
          <w:szCs w:val="18"/>
          <w:lang w:val="it-IT"/>
        </w:rPr>
        <w:t>Le società che acquistano licenze per i diritti di noleggio non sono idonee a ricevere Software Assurance per</w:t>
      </w:r>
      <w:r w:rsidR="00F21723" w:rsidRPr="00877B33">
        <w:rPr>
          <w:rFonts w:cs="Tahoma"/>
          <w:spacing w:val="-1"/>
          <w:szCs w:val="18"/>
          <w:lang w:val="it-IT"/>
        </w:rPr>
        <w:t> </w:t>
      </w:r>
      <w:r w:rsidRPr="00877B33">
        <w:rPr>
          <w:rFonts w:cs="Tahoma"/>
          <w:spacing w:val="-1"/>
          <w:szCs w:val="18"/>
          <w:lang w:val="it-IT"/>
        </w:rPr>
        <w:t>le stesse licenze software sottostanti. Tuttavia, gli utenti che prendono in locazione/leasing e utilizzano dispositivi a cui sono assegnate licenze per i diritti di noleggio potranno acquistare Aggiornamenti o</w:t>
      </w:r>
      <w:r w:rsidR="00F21723" w:rsidRPr="00877B33">
        <w:rPr>
          <w:rFonts w:cs="Tahoma"/>
          <w:spacing w:val="-1"/>
          <w:szCs w:val="18"/>
          <w:lang w:val="it-IT"/>
        </w:rPr>
        <w:t> </w:t>
      </w:r>
      <w:r w:rsidRPr="00877B33">
        <w:rPr>
          <w:rFonts w:cs="Tahoma"/>
          <w:spacing w:val="-1"/>
          <w:szCs w:val="18"/>
          <w:lang w:val="it-IT"/>
        </w:rPr>
        <w:t>Aggiornamenti &amp; Software Assurance per le licenze software sottostanti, conformemente alle condizioni del</w:t>
      </w:r>
      <w:r w:rsidR="00845031">
        <w:rPr>
          <w:rFonts w:cs="Tahoma"/>
          <w:spacing w:val="-1"/>
          <w:szCs w:val="18"/>
          <w:lang w:val="it-IT"/>
        </w:rPr>
        <w:t> </w:t>
      </w:r>
      <w:r w:rsidRPr="00877B33">
        <w:rPr>
          <w:rFonts w:cs="Tahoma"/>
          <w:spacing w:val="-1"/>
          <w:szCs w:val="18"/>
          <w:lang w:val="it-IT"/>
        </w:rPr>
        <w:t>contratto che disciplina l</w:t>
      </w:r>
      <w:r w:rsidR="004525CA">
        <w:rPr>
          <w:rFonts w:cs="Tahoma"/>
          <w:spacing w:val="-1"/>
          <w:szCs w:val="18"/>
          <w:lang w:val="it-IT"/>
        </w:rPr>
        <w:t>’</w:t>
      </w:r>
      <w:r w:rsidRPr="00877B33">
        <w:rPr>
          <w:rFonts w:cs="Tahoma"/>
          <w:spacing w:val="-1"/>
          <w:szCs w:val="18"/>
          <w:lang w:val="it-IT"/>
        </w:rPr>
        <w:t>acquisizione degli Aggiornamenti e di Software Assurance. Nonostante quanto diversamente stabilito nel contratto della società relativamente alla maturazione di diritti perpetui, il diritto di</w:t>
      </w:r>
      <w:r w:rsidR="00F21723" w:rsidRPr="00877B33">
        <w:rPr>
          <w:rFonts w:cs="Tahoma"/>
          <w:spacing w:val="-1"/>
          <w:szCs w:val="18"/>
          <w:lang w:val="it-IT"/>
        </w:rPr>
        <w:t> </w:t>
      </w:r>
      <w:r w:rsidRPr="00877B33">
        <w:rPr>
          <w:rFonts w:cs="Tahoma"/>
          <w:spacing w:val="-1"/>
          <w:szCs w:val="18"/>
          <w:lang w:val="it-IT"/>
        </w:rPr>
        <w:t>utilizzo del software ai sensi di tale copertura cesserà alla scadenza delle relative licenze per i diritti di</w:t>
      </w:r>
      <w:r w:rsidR="00F21723" w:rsidRPr="00877B33">
        <w:rPr>
          <w:rFonts w:cs="Tahoma"/>
          <w:spacing w:val="-1"/>
          <w:szCs w:val="18"/>
          <w:lang w:val="it-IT"/>
        </w:rPr>
        <w:t> </w:t>
      </w:r>
      <w:r w:rsidRPr="00877B33">
        <w:rPr>
          <w:rFonts w:cs="Tahoma"/>
          <w:spacing w:val="-1"/>
          <w:szCs w:val="18"/>
          <w:lang w:val="it-IT"/>
        </w:rPr>
        <w:t xml:space="preserve">noleggio. </w:t>
      </w:r>
    </w:p>
    <w:p w:rsidR="00B73A46" w:rsidRPr="00877B33" w:rsidRDefault="00B73A46" w:rsidP="00B73A46">
      <w:pPr>
        <w:rPr>
          <w:sz w:val="16"/>
          <w:szCs w:val="16"/>
          <w:lang w:val="it-IT"/>
        </w:rPr>
      </w:pPr>
    </w:p>
    <w:bookmarkEnd w:id="1128"/>
    <w:bookmarkEnd w:id="1129"/>
    <w:bookmarkEnd w:id="1130"/>
    <w:p w:rsidR="00104195" w:rsidRPr="00877B33" w:rsidRDefault="00104195" w:rsidP="00104195">
      <w:pPr>
        <w:tabs>
          <w:tab w:val="left" w:pos="1440"/>
        </w:tabs>
        <w:ind w:left="1080"/>
        <w:contextualSpacing/>
        <w:rPr>
          <w:sz w:val="16"/>
          <w:szCs w:val="16"/>
          <w:lang w:val="it-IT"/>
        </w:rPr>
      </w:pPr>
    </w:p>
    <w:p w:rsidR="00104195" w:rsidRPr="00451078" w:rsidRDefault="00104195" w:rsidP="00104195">
      <w:pPr>
        <w:pStyle w:val="Heading2"/>
        <w:ind w:hanging="720"/>
        <w:rPr>
          <w:lang w:val="it-IT"/>
        </w:rPr>
      </w:pPr>
      <w:bookmarkStart w:id="1131" w:name="_98_Windows_Multipoint"/>
      <w:bookmarkStart w:id="1132" w:name="_98Windows_Intune_Add-on"/>
      <w:bookmarkStart w:id="1133" w:name="_97_Windows_Intune"/>
      <w:bookmarkStart w:id="1134" w:name="_29_Componente_Aggiuntivo"/>
      <w:bookmarkStart w:id="1135" w:name="Srv_110WindowsIntuneAddOn"/>
      <w:bookmarkStart w:id="1136" w:name="_Toc336338366"/>
      <w:bookmarkStart w:id="1137" w:name="_Toc352234881"/>
      <w:bookmarkStart w:id="1138" w:name="Srv_104WindowsIntuneAddOn"/>
      <w:bookmarkEnd w:id="1131"/>
      <w:bookmarkEnd w:id="1132"/>
      <w:bookmarkEnd w:id="1133"/>
      <w:bookmarkEnd w:id="1134"/>
      <w:r w:rsidRPr="00451078">
        <w:rPr>
          <w:rFonts w:ascii="Tahoma" w:hAnsi="Tahoma" w:cs="Tahoma"/>
          <w:caps/>
          <w:color w:val="EE6000"/>
          <w:sz w:val="22"/>
          <w:szCs w:val="18"/>
          <w:vertAlign w:val="superscript"/>
          <w:lang w:val="it-IT"/>
        </w:rPr>
        <w:t>29</w:t>
      </w:r>
      <w:r w:rsidRPr="00451078">
        <w:rPr>
          <w:rFonts w:ascii="Tahoma" w:hAnsi="Tahoma" w:cs="Tahoma"/>
          <w:caps/>
          <w:color w:val="EE6000"/>
          <w:sz w:val="22"/>
          <w:szCs w:val="18"/>
          <w:lang w:val="it-IT"/>
        </w:rPr>
        <w:t xml:space="preserve"> </w:t>
      </w:r>
      <w:r w:rsidRPr="00451078">
        <w:rPr>
          <w:rFonts w:ascii="Tahoma" w:hAnsi="Tahoma" w:cs="Tahoma"/>
          <w:color w:val="EE6000"/>
          <w:sz w:val="22"/>
          <w:szCs w:val="18"/>
          <w:lang w:val="it-IT"/>
        </w:rPr>
        <w:t>Componente Aggiuntivo per Windows Intune</w:t>
      </w:r>
      <w:bookmarkEnd w:id="1135"/>
      <w:bookmarkEnd w:id="1136"/>
      <w:r w:rsidRPr="00451078">
        <w:rPr>
          <w:rFonts w:ascii="Tahoma" w:hAnsi="Tahoma" w:cs="Tahoma"/>
          <w:color w:val="EE6000"/>
          <w:sz w:val="22"/>
          <w:szCs w:val="18"/>
          <w:lang w:val="it-IT"/>
        </w:rPr>
        <w:t xml:space="preserve"> (Per Dispositivo)</w:t>
      </w:r>
      <w:bookmarkEnd w:id="1137"/>
    </w:p>
    <w:bookmarkEnd w:id="1138"/>
    <w:p w:rsidR="00104195" w:rsidRPr="00877B33" w:rsidRDefault="00104195" w:rsidP="00104195">
      <w:pPr>
        <w:ind w:left="720"/>
        <w:rPr>
          <w:sz w:val="16"/>
          <w:szCs w:val="16"/>
          <w:lang w:val="it-IT"/>
        </w:rPr>
      </w:pPr>
    </w:p>
    <w:p w:rsidR="00104195" w:rsidRPr="00451078" w:rsidRDefault="00104195" w:rsidP="00104195">
      <w:pPr>
        <w:ind w:left="720"/>
        <w:rPr>
          <w:lang w:val="it-IT"/>
        </w:rPr>
      </w:pPr>
      <w:r w:rsidRPr="00451078">
        <w:rPr>
          <w:lang w:val="it-IT"/>
        </w:rPr>
        <w:t>Le società Enterprise che desiderano acquistare licenze Add-on per Windows Intune (Per Dispositivo) aggiuntive dovranno innanzitutto avere acquistato e ceduto al proprio desktop, per il quale stanno acquistando le licenze Add-on per Windows Intune, la copertura Windows Software Assurance attiva o una licenza attiva per Windows Virtual Desktop Access (Windows VDA).</w:t>
      </w:r>
      <w:r w:rsidR="00082E1C" w:rsidRPr="00451078">
        <w:rPr>
          <w:lang w:val="it-IT"/>
        </w:rPr>
        <w:t xml:space="preserve"> </w:t>
      </w:r>
      <w:r w:rsidRPr="00451078">
        <w:rPr>
          <w:lang w:val="it-IT"/>
        </w:rPr>
        <w:t xml:space="preserve">Le licenze Add-on per Windows Intune (Per Dispositivo) dovranno essere acquistate ai sensi della stessa iscrizione della copertura Software Assurance o della licenza per Windows VDA corrispondente. </w:t>
      </w:r>
    </w:p>
    <w:p w:rsidR="00104195" w:rsidRPr="00877B33" w:rsidRDefault="00104195" w:rsidP="00104195">
      <w:pPr>
        <w:ind w:left="720"/>
        <w:rPr>
          <w:sz w:val="16"/>
          <w:szCs w:val="16"/>
          <w:lang w:val="it-IT"/>
        </w:rPr>
      </w:pPr>
    </w:p>
    <w:p w:rsidR="00104195" w:rsidRPr="00451078" w:rsidRDefault="00104195" w:rsidP="00104195">
      <w:pPr>
        <w:spacing w:after="60"/>
        <w:ind w:left="720"/>
        <w:rPr>
          <w:lang w:val="it-IT"/>
        </w:rPr>
      </w:pPr>
      <w:r w:rsidRPr="00451078">
        <w:rPr>
          <w:b/>
          <w:lang w:val="it-IT"/>
        </w:rPr>
        <w:t>Riassegnazione delle Licenze</w:t>
      </w:r>
    </w:p>
    <w:p w:rsidR="00104195" w:rsidRPr="00451078" w:rsidRDefault="00104195" w:rsidP="00104195">
      <w:pPr>
        <w:ind w:left="720"/>
        <w:rPr>
          <w:lang w:val="it-IT"/>
        </w:rPr>
      </w:pPr>
      <w:r w:rsidRPr="00451078">
        <w:rPr>
          <w:lang w:val="it-IT"/>
        </w:rPr>
        <w:t>Le società potranno riassegnare le licenze Add-on per Windows Intune (Per Dispositivo), ma non a breve termine, vale a dire non prima di 90 giorni dall</w:t>
      </w:r>
      <w:r w:rsidR="004525CA">
        <w:rPr>
          <w:lang w:val="it-IT"/>
        </w:rPr>
        <w:t>’</w:t>
      </w:r>
      <w:r w:rsidRPr="00451078">
        <w:rPr>
          <w:lang w:val="it-IT"/>
        </w:rPr>
        <w:t>ultima cessione.</w:t>
      </w:r>
      <w:r w:rsidR="00082E1C" w:rsidRPr="00451078">
        <w:rPr>
          <w:lang w:val="it-IT"/>
        </w:rPr>
        <w:t xml:space="preserve"> </w:t>
      </w:r>
      <w:r w:rsidRPr="00451078">
        <w:rPr>
          <w:lang w:val="it-IT"/>
        </w:rPr>
        <w:t>Le società potranno riassegnare prima una licenza Add-on per Windows Intune (Per Dispositivo), nel caso in cui ritirino il dispositivo con licenza esistente a causa di un problema hardware permanente.</w:t>
      </w:r>
      <w:r w:rsidR="00082E1C" w:rsidRPr="00451078">
        <w:rPr>
          <w:lang w:val="it-IT"/>
        </w:rPr>
        <w:t xml:space="preserve"> </w:t>
      </w:r>
      <w:r w:rsidRPr="00451078">
        <w:rPr>
          <w:lang w:val="it-IT"/>
        </w:rPr>
        <w:t xml:space="preserve">Il dispositivo al quale è stata riassegnata una licenza Add-on per Windows Intune (Per Dispositivo) dovrà disporre di una copertura Windows Software Assurance attiva o di una licenza per Windows VDA attiva acquistata ai sensi della stessa iscrizione della licenza Add-on per Windows Intune (Per Dispositivo). </w:t>
      </w:r>
    </w:p>
    <w:p w:rsidR="00023FE7" w:rsidRPr="003410C7" w:rsidRDefault="00113665">
      <w:pPr>
        <w:pStyle w:val="Heading2"/>
        <w:ind w:left="0"/>
      </w:pPr>
      <w:r w:rsidRPr="005E4903">
        <w:rPr>
          <w:rFonts w:ascii="Tahoma" w:hAnsi="Tahoma" w:cs="Tahoma"/>
          <w:sz w:val="28"/>
          <w:lang w:val="en-US"/>
        </w:rPr>
        <w:br w:type="page"/>
      </w:r>
      <w:bookmarkStart w:id="1139" w:name="_Toc336338287"/>
      <w:bookmarkStart w:id="1140" w:name="_Toc352234882"/>
      <w:r w:rsidRPr="003410C7">
        <w:rPr>
          <w:rFonts w:ascii="Tahoma" w:hAnsi="Tahoma" w:cs="Tahoma"/>
          <w:sz w:val="28"/>
        </w:rPr>
        <w:lastRenderedPageBreak/>
        <w:t>Pool di Server</w:t>
      </w:r>
      <w:bookmarkEnd w:id="1139"/>
      <w:bookmarkEnd w:id="1140"/>
    </w:p>
    <w:p w:rsidR="00023FE7" w:rsidRPr="003851BA" w:rsidRDefault="00023FE7">
      <w:pPr>
        <w:pStyle w:val="EndnoteText"/>
        <w:rPr>
          <w:rFonts w:ascii="Tahoma" w:hAnsi="Tahoma" w:cs="Tahoma"/>
        </w:rPr>
      </w:pPr>
    </w:p>
    <w:p w:rsidR="003C75C8" w:rsidRPr="003851BA" w:rsidRDefault="003C75C8" w:rsidP="003C75C8">
      <w:pPr>
        <w:pStyle w:val="EndnoteText"/>
        <w:rPr>
          <w:sz w:val="18"/>
        </w:rPr>
      </w:pPr>
      <w:bookmarkStart w:id="1141" w:name="Srv_25BingMapsandAddons"/>
    </w:p>
    <w:p w:rsidR="004640EC" w:rsidRDefault="00104195" w:rsidP="00B87AFA">
      <w:pPr>
        <w:pStyle w:val="Heading2"/>
        <w:ind w:left="259" w:hanging="259"/>
        <w:rPr>
          <w:rFonts w:ascii="Tahoma" w:hAnsi="Tahoma" w:cs="Tahoma"/>
          <w:color w:val="EE6000"/>
          <w:sz w:val="22"/>
          <w:szCs w:val="22"/>
        </w:rPr>
      </w:pPr>
      <w:bookmarkStart w:id="1142" w:name="Srv_27BingMapsSvrandContentPack"/>
      <w:bookmarkStart w:id="1143" w:name="_Toc336338288"/>
      <w:bookmarkStart w:id="1144" w:name="_Toc352234883"/>
      <w:r w:rsidRPr="00B87AFA">
        <w:rPr>
          <w:rFonts w:ascii="Tahoma" w:hAnsi="Tahoma" w:cs="Tahoma"/>
          <w:caps/>
          <w:color w:val="EE6000"/>
          <w:sz w:val="22"/>
          <w:szCs w:val="22"/>
          <w:vertAlign w:val="superscript"/>
        </w:rPr>
        <w:t>30</w:t>
      </w:r>
      <w:r w:rsidRPr="00B87AFA">
        <w:rPr>
          <w:rFonts w:ascii="Tahoma" w:hAnsi="Tahoma" w:cs="Tahoma"/>
          <w:color w:val="EE6000"/>
          <w:sz w:val="22"/>
          <w:szCs w:val="22"/>
        </w:rPr>
        <w:t xml:space="preserve"> SL Add-On per Bing Maps Public Website Usage e Bing Maps Internal Website</w:t>
      </w:r>
      <w:r w:rsidR="004E422F">
        <w:rPr>
          <w:rFonts w:ascii="Tahoma" w:hAnsi="Tahoma" w:cs="Tahoma"/>
          <w:color w:val="EE6000"/>
          <w:sz w:val="22"/>
          <w:szCs w:val="22"/>
        </w:rPr>
        <w:t> </w:t>
      </w:r>
      <w:r w:rsidRPr="00B87AFA">
        <w:rPr>
          <w:rFonts w:ascii="Tahoma" w:hAnsi="Tahoma" w:cs="Tahoma"/>
          <w:color w:val="EE6000"/>
          <w:sz w:val="22"/>
          <w:szCs w:val="22"/>
        </w:rPr>
        <w:t>Usage</w:t>
      </w:r>
      <w:bookmarkEnd w:id="1142"/>
      <w:bookmarkEnd w:id="1143"/>
      <w:bookmarkEnd w:id="1144"/>
    </w:p>
    <w:p w:rsidR="00B87AFA" w:rsidRPr="00B87AFA" w:rsidRDefault="00B87AFA" w:rsidP="00B87AFA"/>
    <w:p w:rsidR="004640EC" w:rsidRPr="00451078" w:rsidRDefault="004640EC" w:rsidP="004640EC">
      <w:pPr>
        <w:pStyle w:val="NormalWeb"/>
        <w:spacing w:before="0" w:beforeAutospacing="0" w:after="0" w:afterAutospacing="0"/>
        <w:ind w:left="720"/>
        <w:rPr>
          <w:lang w:val="it-IT"/>
        </w:rPr>
      </w:pPr>
      <w:r w:rsidRPr="00451078">
        <w:rPr>
          <w:rFonts w:ascii="Tahoma" w:hAnsi="Tahoma" w:cs="Tahoma"/>
          <w:sz w:val="18"/>
          <w:szCs w:val="18"/>
          <w:lang w:val="it-IT"/>
        </w:rPr>
        <w:t>Ciascuna offerta di SL Add-on per Bing Maps Public Website Usage e per Bing Maps Internal Website Usage</w:t>
      </w:r>
      <w:r w:rsidR="00B87AFA" w:rsidRPr="00451078">
        <w:rPr>
          <w:rFonts w:ascii="Tahoma" w:hAnsi="Tahoma" w:cs="Tahoma"/>
          <w:sz w:val="18"/>
          <w:szCs w:val="18"/>
          <w:lang w:val="it-IT"/>
        </w:rPr>
        <w:t> </w:t>
      </w:r>
      <w:r w:rsidRPr="00451078">
        <w:rPr>
          <w:rFonts w:ascii="Tahoma" w:hAnsi="Tahoma" w:cs="Tahoma"/>
          <w:sz w:val="18"/>
          <w:szCs w:val="18"/>
          <w:lang w:val="it-IT"/>
        </w:rPr>
        <w:t>è composta da un numero variabile di Transazione Fatturabili (definite nel presente documento).</w:t>
      </w:r>
      <w:r w:rsidR="00082E1C" w:rsidRPr="00451078">
        <w:rPr>
          <w:rFonts w:ascii="Tahoma" w:hAnsi="Tahoma" w:cs="Tahoma"/>
          <w:sz w:val="18"/>
          <w:szCs w:val="18"/>
          <w:lang w:val="it-IT"/>
        </w:rPr>
        <w:t xml:space="preserve"> </w:t>
      </w:r>
      <w:r w:rsidR="001A3EC5" w:rsidRPr="00451078">
        <w:rPr>
          <w:rFonts w:ascii="Tahoma" w:hAnsi="Tahoma" w:cs="Tahoma"/>
          <w:sz w:val="18"/>
          <w:szCs w:val="18"/>
          <w:lang w:val="it-IT"/>
        </w:rPr>
        <w:t>“</w:t>
      </w:r>
      <w:r w:rsidRPr="00451078">
        <w:rPr>
          <w:rFonts w:ascii="Tahoma" w:hAnsi="Tahoma" w:cs="Tahoma"/>
          <w:sz w:val="18"/>
          <w:szCs w:val="18"/>
          <w:lang w:val="it-IT"/>
        </w:rPr>
        <w:t>Transazioni Fatturabili</w:t>
      </w:r>
      <w:r w:rsidR="001A3EC5" w:rsidRPr="00451078">
        <w:rPr>
          <w:rFonts w:ascii="Tahoma" w:hAnsi="Tahoma" w:cs="Tahoma"/>
          <w:sz w:val="18"/>
          <w:szCs w:val="18"/>
          <w:lang w:val="it-IT"/>
        </w:rPr>
        <w:t>”</w:t>
      </w:r>
      <w:r w:rsidRPr="00451078">
        <w:rPr>
          <w:rFonts w:ascii="Tahoma" w:hAnsi="Tahoma" w:cs="Tahoma"/>
          <w:sz w:val="18"/>
          <w:szCs w:val="18"/>
          <w:lang w:val="it-IT"/>
        </w:rPr>
        <w:t xml:space="preserve"> indica quanto segue (con tutti i termini in maiuscolo come definiti negli SDK della Piattaforma Bing Maps o nelle Condizioni per l</w:t>
      </w:r>
      <w:r w:rsidR="004525CA">
        <w:rPr>
          <w:rFonts w:ascii="Tahoma" w:hAnsi="Tahoma" w:cs="Tahoma"/>
          <w:sz w:val="18"/>
          <w:szCs w:val="18"/>
          <w:lang w:val="it-IT"/>
        </w:rPr>
        <w:t>’</w:t>
      </w:r>
      <w:r w:rsidRPr="00451078">
        <w:rPr>
          <w:rFonts w:ascii="Tahoma" w:hAnsi="Tahoma" w:cs="Tahoma"/>
          <w:sz w:val="18"/>
          <w:szCs w:val="18"/>
          <w:lang w:val="it-IT"/>
        </w:rPr>
        <w:t>Utilizzo delle API della Piattaforma Microsoft Bing Maps): (a)</w:t>
      </w:r>
      <w:r w:rsidR="00B87AFA" w:rsidRPr="00451078">
        <w:rPr>
          <w:rFonts w:ascii="Tahoma" w:hAnsi="Tahoma" w:cs="Tahoma"/>
          <w:sz w:val="18"/>
          <w:szCs w:val="18"/>
          <w:lang w:val="it-IT"/>
        </w:rPr>
        <w:t> </w:t>
      </w:r>
      <w:r w:rsidRPr="00451078">
        <w:rPr>
          <w:rFonts w:ascii="Tahoma" w:hAnsi="Tahoma" w:cs="Tahoma"/>
          <w:sz w:val="18"/>
          <w:szCs w:val="18"/>
          <w:lang w:val="it-IT"/>
        </w:rPr>
        <w:t>metodi dei servizi Web, inclusi, a titolo esemplificativo, Imagery, Route, Geocode, Spatial e Search nei</w:t>
      </w:r>
      <w:r w:rsidR="00B87AFA" w:rsidRPr="00451078">
        <w:rPr>
          <w:rFonts w:ascii="Tahoma" w:hAnsi="Tahoma" w:cs="Tahoma"/>
          <w:sz w:val="18"/>
          <w:szCs w:val="18"/>
          <w:lang w:val="it-IT"/>
        </w:rPr>
        <w:t> </w:t>
      </w:r>
      <w:r w:rsidRPr="00451078">
        <w:rPr>
          <w:rFonts w:ascii="Tahoma" w:hAnsi="Tahoma" w:cs="Tahoma"/>
          <w:sz w:val="18"/>
          <w:szCs w:val="18"/>
          <w:lang w:val="it-IT"/>
        </w:rPr>
        <w:t>Servizi, (b) una sessione nell</w:t>
      </w:r>
      <w:r w:rsidR="004525CA">
        <w:rPr>
          <w:rFonts w:ascii="Tahoma" w:hAnsi="Tahoma" w:cs="Tahoma"/>
          <w:sz w:val="18"/>
          <w:szCs w:val="18"/>
          <w:lang w:val="it-IT"/>
        </w:rPr>
        <w:t>’</w:t>
      </w:r>
      <w:r w:rsidRPr="00451078">
        <w:rPr>
          <w:rFonts w:ascii="Tahoma" w:hAnsi="Tahoma" w:cs="Tahoma"/>
          <w:sz w:val="18"/>
          <w:szCs w:val="18"/>
          <w:lang w:val="it-IT"/>
        </w:rPr>
        <w:t>API di Bing Maps AJAX Control, nella versione beta dell</w:t>
      </w:r>
      <w:r w:rsidR="004525CA">
        <w:rPr>
          <w:rFonts w:ascii="Tahoma" w:hAnsi="Tahoma" w:cs="Tahoma"/>
          <w:sz w:val="18"/>
          <w:szCs w:val="18"/>
          <w:lang w:val="it-IT"/>
        </w:rPr>
        <w:t>’</w:t>
      </w:r>
      <w:r w:rsidRPr="00451078">
        <w:rPr>
          <w:rFonts w:ascii="Tahoma" w:hAnsi="Tahoma" w:cs="Tahoma"/>
          <w:sz w:val="18"/>
          <w:szCs w:val="18"/>
          <w:lang w:val="it-IT"/>
        </w:rPr>
        <w:t>API di Bing Maps Windows Presentation Foundation o nell</w:t>
      </w:r>
      <w:r w:rsidR="004525CA">
        <w:rPr>
          <w:rFonts w:ascii="Tahoma" w:hAnsi="Tahoma" w:cs="Tahoma"/>
          <w:sz w:val="18"/>
          <w:szCs w:val="18"/>
          <w:lang w:val="it-IT"/>
        </w:rPr>
        <w:t>’</w:t>
      </w:r>
      <w:r w:rsidRPr="00451078">
        <w:rPr>
          <w:rFonts w:ascii="Tahoma" w:hAnsi="Tahoma" w:cs="Tahoma"/>
          <w:sz w:val="18"/>
          <w:szCs w:val="18"/>
          <w:lang w:val="it-IT"/>
        </w:rPr>
        <w:t>API di Bing Maps Silverlight Control, dove la sessione ha inizio con il</w:t>
      </w:r>
      <w:r w:rsidR="00B87AFA" w:rsidRPr="00451078">
        <w:rPr>
          <w:rFonts w:ascii="Tahoma" w:hAnsi="Tahoma" w:cs="Tahoma"/>
          <w:sz w:val="18"/>
          <w:szCs w:val="18"/>
          <w:lang w:val="it-IT"/>
        </w:rPr>
        <w:t> </w:t>
      </w:r>
      <w:r w:rsidRPr="00451078">
        <w:rPr>
          <w:rFonts w:ascii="Tahoma" w:hAnsi="Tahoma" w:cs="Tahoma"/>
          <w:sz w:val="18"/>
          <w:szCs w:val="18"/>
          <w:lang w:val="it-IT"/>
        </w:rPr>
        <w:t>caricamento di uno dei suddetti controlli in un browser dell</w:t>
      </w:r>
      <w:r w:rsidR="004525CA">
        <w:rPr>
          <w:rFonts w:ascii="Tahoma" w:hAnsi="Tahoma" w:cs="Tahoma"/>
          <w:sz w:val="18"/>
          <w:szCs w:val="18"/>
          <w:lang w:val="it-IT"/>
        </w:rPr>
        <w:t>’</w:t>
      </w:r>
      <w:r w:rsidRPr="00451078">
        <w:rPr>
          <w:rFonts w:ascii="Tahoma" w:hAnsi="Tahoma" w:cs="Tahoma"/>
          <w:sz w:val="18"/>
          <w:szCs w:val="18"/>
          <w:lang w:val="it-IT"/>
        </w:rPr>
        <w:t>utente e include tutte le transazioni fino alla chiusura del browser o allo spostamento dell</w:t>
      </w:r>
      <w:r w:rsidR="004525CA">
        <w:rPr>
          <w:rFonts w:ascii="Tahoma" w:hAnsi="Tahoma" w:cs="Tahoma"/>
          <w:sz w:val="18"/>
          <w:szCs w:val="18"/>
          <w:lang w:val="it-IT"/>
        </w:rPr>
        <w:t>’</w:t>
      </w:r>
      <w:r w:rsidRPr="00451078">
        <w:rPr>
          <w:rFonts w:ascii="Tahoma" w:hAnsi="Tahoma" w:cs="Tahoma"/>
          <w:sz w:val="18"/>
          <w:szCs w:val="18"/>
          <w:lang w:val="it-IT"/>
        </w:rPr>
        <w:t xml:space="preserve">utente su una pagina diversa e (c) eventuali nuove funzionalità dei Servizi potranno costituire una Transazione Fatturabile come descritto negli SDK. </w:t>
      </w:r>
    </w:p>
    <w:p w:rsidR="004640EC" w:rsidRPr="00451078" w:rsidRDefault="004640EC" w:rsidP="004640EC">
      <w:pPr>
        <w:ind w:left="720"/>
        <w:rPr>
          <w:lang w:val="it-IT"/>
        </w:rPr>
      </w:pPr>
    </w:p>
    <w:p w:rsidR="004640EC" w:rsidRPr="00451078" w:rsidRDefault="004640EC" w:rsidP="004640EC">
      <w:pPr>
        <w:ind w:left="720"/>
        <w:rPr>
          <w:lang w:val="it-IT"/>
        </w:rPr>
      </w:pPr>
      <w:r w:rsidRPr="00451078">
        <w:rPr>
          <w:rFonts w:cs="Tahoma"/>
          <w:szCs w:val="18"/>
          <w:lang w:val="it-IT"/>
        </w:rPr>
        <w:t>Le società potranno acquistare più offerte di SL Add-on per Bing Maps Public Website Usage e di SL Add-on per Bing Maps Internal Website Usage allo scopo di comprare ogni mese più Transazione Fatturabili, ad eccezione della SL Add-on per Bing Maps Unlimited che può essere acquistata una sola volta.</w:t>
      </w:r>
      <w:r w:rsidR="00082E1C" w:rsidRPr="00451078">
        <w:rPr>
          <w:rFonts w:cs="Tahoma"/>
          <w:szCs w:val="18"/>
          <w:lang w:val="it-IT"/>
        </w:rPr>
        <w:t xml:space="preserve"> </w:t>
      </w:r>
      <w:r w:rsidRPr="00451078">
        <w:rPr>
          <w:rFonts w:cs="Tahoma"/>
          <w:szCs w:val="18"/>
          <w:lang w:val="it-IT"/>
        </w:rPr>
        <w:t>Le Transazioni Fatturabili mensili non utilizzate potranno essere cumulate su base mensile fino alla data di scadenza dell</w:t>
      </w:r>
      <w:r w:rsidR="004525CA">
        <w:rPr>
          <w:rFonts w:cs="Tahoma"/>
          <w:szCs w:val="18"/>
          <w:lang w:val="it-IT"/>
        </w:rPr>
        <w:t>’</w:t>
      </w:r>
      <w:r w:rsidRPr="00451078">
        <w:rPr>
          <w:rFonts w:cs="Tahoma"/>
          <w:szCs w:val="18"/>
          <w:lang w:val="it-IT"/>
        </w:rPr>
        <w:t>iscrizione.</w:t>
      </w:r>
      <w:r w:rsidR="00082E1C" w:rsidRPr="00451078">
        <w:rPr>
          <w:rFonts w:cs="Tahoma"/>
          <w:szCs w:val="18"/>
          <w:lang w:val="it-IT"/>
        </w:rPr>
        <w:t xml:space="preserve"> </w:t>
      </w:r>
      <w:r w:rsidRPr="00451078">
        <w:rPr>
          <w:rFonts w:cs="Tahoma"/>
          <w:szCs w:val="18"/>
          <w:lang w:val="it-IT"/>
        </w:rPr>
        <w:t>In tale data tutte le Transazioni Fatturabili non utilizzate acquistate andranno perse. Le società potranno superare il numero di Transazioni Fatturabili acquistate in un mese, purché il numero totale di Transazioni Fatturabili utilizzate non superi il numero totale di Transazioni Fatturabili acquistate durante il</w:t>
      </w:r>
      <w:r w:rsidR="00B87AFA" w:rsidRPr="00451078">
        <w:rPr>
          <w:rFonts w:cs="Tahoma"/>
          <w:szCs w:val="18"/>
          <w:lang w:val="it-IT"/>
        </w:rPr>
        <w:t> </w:t>
      </w:r>
      <w:r w:rsidRPr="00451078">
        <w:rPr>
          <w:rFonts w:cs="Tahoma"/>
          <w:szCs w:val="18"/>
          <w:lang w:val="it-IT"/>
        </w:rPr>
        <w:t>periodo di validità dell</w:t>
      </w:r>
      <w:r w:rsidR="004525CA">
        <w:rPr>
          <w:rFonts w:cs="Tahoma"/>
          <w:szCs w:val="18"/>
          <w:lang w:val="it-IT"/>
        </w:rPr>
        <w:t>’</w:t>
      </w:r>
      <w:r w:rsidRPr="00451078">
        <w:rPr>
          <w:rFonts w:cs="Tahoma"/>
          <w:szCs w:val="18"/>
          <w:lang w:val="it-IT"/>
        </w:rPr>
        <w:t>iscrizione.</w:t>
      </w:r>
      <w:r w:rsidR="00082E1C" w:rsidRPr="00451078">
        <w:rPr>
          <w:rFonts w:cs="Tahoma"/>
          <w:szCs w:val="18"/>
          <w:lang w:val="it-IT"/>
        </w:rPr>
        <w:t xml:space="preserve"> </w:t>
      </w:r>
      <w:r w:rsidRPr="00451078">
        <w:rPr>
          <w:rFonts w:cs="Tahoma"/>
          <w:szCs w:val="18"/>
          <w:lang w:val="it-IT"/>
        </w:rPr>
        <w:t>Qualora una società superi il numero totale di Transazioni Fatturabili acquistate, entro 30 giorni dalla comunicazione di Microsoft la società dovrà acquistare offerte aggiuntive di</w:t>
      </w:r>
      <w:r w:rsidR="00B87AFA" w:rsidRPr="00451078">
        <w:rPr>
          <w:rFonts w:cs="Tahoma"/>
          <w:szCs w:val="18"/>
          <w:lang w:val="it-IT"/>
        </w:rPr>
        <w:t> </w:t>
      </w:r>
      <w:r w:rsidRPr="00451078">
        <w:rPr>
          <w:rFonts w:cs="Tahoma"/>
          <w:szCs w:val="18"/>
          <w:lang w:val="it-IT"/>
        </w:rPr>
        <w:t>SL Add-on per Bing Maps Public Website Usage o per Bing Maps Internal Website Usage per coprire le</w:t>
      </w:r>
      <w:r w:rsidR="00B87AFA" w:rsidRPr="00451078">
        <w:rPr>
          <w:rFonts w:cs="Tahoma"/>
          <w:szCs w:val="18"/>
          <w:lang w:val="it-IT"/>
        </w:rPr>
        <w:t> </w:t>
      </w:r>
      <w:r w:rsidRPr="00451078">
        <w:rPr>
          <w:rFonts w:cs="Tahoma"/>
          <w:szCs w:val="18"/>
          <w:lang w:val="it-IT"/>
        </w:rPr>
        <w:t>Transazioni Fatturabili in eccesso e le Transazioni Fatturabili future previste per il tempo residuo del periodo</w:t>
      </w:r>
      <w:r w:rsidR="00B87AFA" w:rsidRPr="00451078">
        <w:rPr>
          <w:rFonts w:cs="Tahoma"/>
          <w:szCs w:val="18"/>
          <w:lang w:val="it-IT"/>
        </w:rPr>
        <w:t> </w:t>
      </w:r>
      <w:r w:rsidRPr="00451078">
        <w:rPr>
          <w:rFonts w:cs="Tahoma"/>
          <w:szCs w:val="18"/>
          <w:lang w:val="it-IT"/>
        </w:rPr>
        <w:t>di validità dell</w:t>
      </w:r>
      <w:r w:rsidR="004525CA">
        <w:rPr>
          <w:rFonts w:cs="Tahoma"/>
          <w:szCs w:val="18"/>
          <w:lang w:val="it-IT"/>
        </w:rPr>
        <w:t>’</w:t>
      </w:r>
      <w:r w:rsidRPr="00451078">
        <w:rPr>
          <w:rFonts w:cs="Tahoma"/>
          <w:szCs w:val="18"/>
          <w:lang w:val="it-IT"/>
        </w:rPr>
        <w:t>iscrizione. In alternativa, Microsoft potrà interrompere l</w:t>
      </w:r>
      <w:r w:rsidR="004525CA">
        <w:rPr>
          <w:rFonts w:cs="Tahoma"/>
          <w:szCs w:val="18"/>
          <w:lang w:val="it-IT"/>
        </w:rPr>
        <w:t>’</w:t>
      </w:r>
      <w:r w:rsidRPr="00451078">
        <w:rPr>
          <w:rFonts w:cs="Tahoma"/>
          <w:szCs w:val="18"/>
          <w:lang w:val="it-IT"/>
        </w:rPr>
        <w:t>accesso a Bing Maps da parte</w:t>
      </w:r>
      <w:r w:rsidR="00B87AFA" w:rsidRPr="00451078">
        <w:rPr>
          <w:rFonts w:cs="Tahoma"/>
          <w:szCs w:val="18"/>
          <w:lang w:val="it-IT"/>
        </w:rPr>
        <w:t> </w:t>
      </w:r>
      <w:r w:rsidRPr="00451078">
        <w:rPr>
          <w:rFonts w:cs="Tahoma"/>
          <w:szCs w:val="18"/>
          <w:lang w:val="it-IT"/>
        </w:rPr>
        <w:t>del cliente.</w:t>
      </w:r>
    </w:p>
    <w:p w:rsidR="004640EC" w:rsidRPr="00451078" w:rsidRDefault="004640EC" w:rsidP="004640EC">
      <w:pPr>
        <w:ind w:left="720"/>
        <w:rPr>
          <w:lang w:val="it-IT"/>
        </w:rPr>
      </w:pPr>
    </w:p>
    <w:p w:rsidR="004640EC" w:rsidRPr="003410C7" w:rsidRDefault="004640EC" w:rsidP="004640EC">
      <w:pPr>
        <w:spacing w:after="60"/>
        <w:ind w:left="720"/>
      </w:pPr>
      <w:r w:rsidRPr="003410C7">
        <w:rPr>
          <w:rFonts w:cs="Tahoma"/>
          <w:b/>
          <w:color w:val="000000" w:themeColor="text1"/>
          <w:szCs w:val="18"/>
        </w:rPr>
        <w:t>SL Add-on per Bing Maps Unlimited</w:t>
      </w:r>
    </w:p>
    <w:p w:rsidR="004640EC" w:rsidRPr="00451078" w:rsidRDefault="004640EC" w:rsidP="004640EC">
      <w:pPr>
        <w:pStyle w:val="NormalWeb"/>
        <w:spacing w:before="0" w:beforeAutospacing="0" w:after="0" w:afterAutospacing="0"/>
        <w:ind w:left="720"/>
        <w:rPr>
          <w:lang w:val="it-IT"/>
        </w:rPr>
      </w:pPr>
      <w:r w:rsidRPr="00451078">
        <w:rPr>
          <w:rFonts w:ascii="Tahoma" w:hAnsi="Tahoma" w:cs="Tahoma"/>
          <w:sz w:val="18"/>
          <w:szCs w:val="18"/>
          <w:lang w:val="it-IT"/>
        </w:rPr>
        <w:t>L</w:t>
      </w:r>
      <w:r w:rsidR="004525CA">
        <w:rPr>
          <w:rFonts w:ascii="Tahoma" w:hAnsi="Tahoma" w:cs="Tahoma"/>
          <w:sz w:val="18"/>
          <w:szCs w:val="18"/>
          <w:lang w:val="it-IT"/>
        </w:rPr>
        <w:t>’</w:t>
      </w:r>
      <w:r w:rsidRPr="00451078">
        <w:rPr>
          <w:rFonts w:ascii="Tahoma" w:hAnsi="Tahoma" w:cs="Tahoma"/>
          <w:sz w:val="18"/>
          <w:szCs w:val="18"/>
          <w:lang w:val="it-IT"/>
        </w:rPr>
        <w:t>offerta di SL Add-on per Bing Maps Unlimited presenta un limite di utilizzo di 400 milioni di Transazioni Fatturabili all</w:t>
      </w:r>
      <w:r w:rsidR="004525CA">
        <w:rPr>
          <w:rFonts w:ascii="Tahoma" w:hAnsi="Tahoma" w:cs="Tahoma"/>
          <w:sz w:val="18"/>
          <w:szCs w:val="18"/>
          <w:lang w:val="it-IT"/>
        </w:rPr>
        <w:t>’</w:t>
      </w:r>
      <w:r w:rsidRPr="00451078">
        <w:rPr>
          <w:rFonts w:ascii="Tahoma" w:hAnsi="Tahoma" w:cs="Tahoma"/>
          <w:sz w:val="18"/>
          <w:szCs w:val="18"/>
          <w:lang w:val="it-IT"/>
        </w:rPr>
        <w:t>anno.</w:t>
      </w:r>
      <w:r w:rsidR="00082E1C" w:rsidRPr="00451078">
        <w:rPr>
          <w:rFonts w:ascii="Tahoma" w:hAnsi="Tahoma" w:cs="Tahoma"/>
          <w:sz w:val="18"/>
          <w:szCs w:val="18"/>
          <w:lang w:val="it-IT"/>
        </w:rPr>
        <w:t xml:space="preserve"> </w:t>
      </w:r>
      <w:r w:rsidRPr="00451078">
        <w:rPr>
          <w:rFonts w:ascii="Tahoma" w:hAnsi="Tahoma" w:cs="Tahoma"/>
          <w:sz w:val="18"/>
          <w:szCs w:val="18"/>
          <w:lang w:val="it-IT"/>
        </w:rPr>
        <w:t>Qualora durante un qualsiasi anno del periodo di validità dell</w:t>
      </w:r>
      <w:r w:rsidR="004525CA">
        <w:rPr>
          <w:rFonts w:ascii="Tahoma" w:hAnsi="Tahoma" w:cs="Tahoma"/>
          <w:sz w:val="18"/>
          <w:szCs w:val="18"/>
          <w:lang w:val="it-IT"/>
        </w:rPr>
        <w:t>’</w:t>
      </w:r>
      <w:r w:rsidRPr="00451078">
        <w:rPr>
          <w:rFonts w:ascii="Tahoma" w:hAnsi="Tahoma" w:cs="Tahoma"/>
          <w:sz w:val="18"/>
          <w:szCs w:val="18"/>
          <w:lang w:val="it-IT"/>
        </w:rPr>
        <w:t>iscrizione una società superi il limite di utilizzo di 400 milioni di Transazioni Fatturabili, entro 60 giorni dalla comunicazione di Microsoft la società dovrà acquistare offerte aggiuntive di SL Add-on per Bing Maps Public Website Usage o</w:t>
      </w:r>
      <w:r w:rsidR="00B87AFA" w:rsidRPr="00451078">
        <w:rPr>
          <w:rFonts w:ascii="Tahoma" w:hAnsi="Tahoma" w:cs="Tahoma"/>
          <w:sz w:val="18"/>
          <w:szCs w:val="18"/>
          <w:lang w:val="it-IT"/>
        </w:rPr>
        <w:t> </w:t>
      </w:r>
      <w:r w:rsidRPr="00451078">
        <w:rPr>
          <w:rFonts w:ascii="Tahoma" w:hAnsi="Tahoma" w:cs="Tahoma"/>
          <w:sz w:val="18"/>
          <w:szCs w:val="18"/>
          <w:lang w:val="it-IT"/>
        </w:rPr>
        <w:t>per Bing Maps Internal Website Usage per coprire le Transazioni Fatturabili in eccesso e le Transazioni Fatturabili future previste per il tempo residuo del periodo di validità dell</w:t>
      </w:r>
      <w:r w:rsidR="004525CA">
        <w:rPr>
          <w:rFonts w:ascii="Tahoma" w:hAnsi="Tahoma" w:cs="Tahoma"/>
          <w:sz w:val="18"/>
          <w:szCs w:val="18"/>
          <w:lang w:val="it-IT"/>
        </w:rPr>
        <w:t>’</w:t>
      </w:r>
      <w:r w:rsidRPr="00451078">
        <w:rPr>
          <w:rFonts w:ascii="Tahoma" w:hAnsi="Tahoma" w:cs="Tahoma"/>
          <w:sz w:val="18"/>
          <w:szCs w:val="18"/>
          <w:lang w:val="it-IT"/>
        </w:rPr>
        <w:t>iscrizione. In alternativa, Microsoft potrà interrompere l</w:t>
      </w:r>
      <w:r w:rsidR="004525CA">
        <w:rPr>
          <w:rFonts w:ascii="Tahoma" w:hAnsi="Tahoma" w:cs="Tahoma"/>
          <w:sz w:val="18"/>
          <w:szCs w:val="18"/>
          <w:lang w:val="it-IT"/>
        </w:rPr>
        <w:t>’</w:t>
      </w:r>
      <w:r w:rsidRPr="00451078">
        <w:rPr>
          <w:rFonts w:ascii="Tahoma" w:hAnsi="Tahoma" w:cs="Tahoma"/>
          <w:sz w:val="18"/>
          <w:szCs w:val="18"/>
          <w:lang w:val="it-IT"/>
        </w:rPr>
        <w:t>accesso a Bing Maps da parte del cliente.</w:t>
      </w:r>
    </w:p>
    <w:p w:rsidR="004640EC" w:rsidRPr="00451078" w:rsidRDefault="004640EC" w:rsidP="004640EC">
      <w:pPr>
        <w:pStyle w:val="NormalWeb"/>
        <w:spacing w:before="0" w:beforeAutospacing="0" w:after="0" w:afterAutospacing="0"/>
        <w:ind w:left="720"/>
        <w:rPr>
          <w:rFonts w:ascii="Tahoma" w:hAnsi="Tahoma" w:cs="Tahoma"/>
          <w:sz w:val="18"/>
          <w:szCs w:val="18"/>
          <w:lang w:val="it-IT"/>
        </w:rPr>
      </w:pPr>
    </w:p>
    <w:p w:rsidR="004640EC" w:rsidRPr="00451078" w:rsidRDefault="004640EC" w:rsidP="004640EC">
      <w:pPr>
        <w:spacing w:after="60"/>
        <w:ind w:left="720"/>
        <w:rPr>
          <w:lang w:val="it-IT"/>
        </w:rPr>
      </w:pPr>
      <w:r w:rsidRPr="00451078">
        <w:rPr>
          <w:rFonts w:cs="Tahoma"/>
          <w:b/>
          <w:color w:val="000000" w:themeColor="text1"/>
          <w:szCs w:val="18"/>
          <w:lang w:val="it-IT"/>
        </w:rPr>
        <w:t>Supporto Tecnico per Bing Maps</w:t>
      </w:r>
    </w:p>
    <w:p w:rsidR="004640EC" w:rsidRPr="00451078" w:rsidRDefault="004640EC" w:rsidP="004640EC">
      <w:pPr>
        <w:pStyle w:val="NormalWeb"/>
        <w:spacing w:before="0" w:beforeAutospacing="0" w:after="0" w:afterAutospacing="0"/>
        <w:ind w:left="720"/>
        <w:rPr>
          <w:lang w:val="it-IT"/>
        </w:rPr>
      </w:pPr>
      <w:r w:rsidRPr="00451078">
        <w:rPr>
          <w:rFonts w:ascii="Tahoma" w:hAnsi="Tahoma" w:cs="Tahoma"/>
          <w:sz w:val="18"/>
          <w:szCs w:val="18"/>
          <w:lang w:val="it-IT"/>
        </w:rPr>
        <w:t>Il Supporto Tecnico per Bing Maps è disponibile per tutte le società che hanno acquistato Bing Maps nella modalità definita di seguito.</w:t>
      </w:r>
    </w:p>
    <w:p w:rsidR="004640EC" w:rsidRPr="00451078" w:rsidRDefault="004640EC" w:rsidP="004640EC">
      <w:pPr>
        <w:pStyle w:val="NormalWeb"/>
        <w:spacing w:before="0" w:beforeAutospacing="0" w:after="0" w:afterAutospacing="0"/>
        <w:ind w:left="720"/>
        <w:rPr>
          <w:rFonts w:ascii="Tahoma" w:hAnsi="Tahoma" w:cs="Tahoma"/>
          <w:sz w:val="18"/>
          <w:szCs w:val="18"/>
          <w:lang w:val="it-IT"/>
        </w:rPr>
      </w:pPr>
    </w:p>
    <w:p w:rsidR="004640EC" w:rsidRPr="00451078" w:rsidRDefault="004640EC" w:rsidP="004640EC">
      <w:pPr>
        <w:spacing w:after="60"/>
        <w:ind w:left="720"/>
        <w:rPr>
          <w:lang w:val="it-IT"/>
        </w:rPr>
      </w:pPr>
      <w:r w:rsidRPr="00451078">
        <w:rPr>
          <w:rFonts w:cs="Tahoma"/>
          <w:b/>
          <w:bCs/>
          <w:color w:val="000000"/>
          <w:szCs w:val="18"/>
          <w:lang w:val="it-IT"/>
        </w:rPr>
        <w:t>Il Supporto tecnico per Bing Maps Include:</w:t>
      </w:r>
    </w:p>
    <w:p w:rsidR="004640EC" w:rsidRPr="00451078" w:rsidRDefault="004640EC" w:rsidP="004640EC">
      <w:pPr>
        <w:ind w:left="720"/>
        <w:rPr>
          <w:lang w:val="it-IT"/>
        </w:rPr>
      </w:pPr>
      <w:r w:rsidRPr="00451078">
        <w:rPr>
          <w:rFonts w:cs="Tahoma"/>
          <w:color w:val="000000"/>
          <w:szCs w:val="18"/>
          <w:lang w:val="it-IT"/>
        </w:rPr>
        <w:t>Accesso diretto al Team del Supporto Tecnico di Bing Maps tramite posta elettronica, telefono e Web durante l</w:t>
      </w:r>
      <w:r w:rsidR="004525CA">
        <w:rPr>
          <w:rFonts w:cs="Tahoma"/>
          <w:color w:val="000000"/>
          <w:szCs w:val="18"/>
          <w:lang w:val="it-IT"/>
        </w:rPr>
        <w:t>’</w:t>
      </w:r>
      <w:r w:rsidRPr="00451078">
        <w:rPr>
          <w:rFonts w:cs="Tahoma"/>
          <w:color w:val="000000"/>
          <w:szCs w:val="18"/>
          <w:lang w:val="it-IT"/>
        </w:rPr>
        <w:t>orario di lavoro 8 - 2 GMT, da lunedì a venerdì, escluse le festività pubbliche statunitensi. La società può inoltre accedere al Team di Supporto per i problemi correlati al servizio di emergenza anche al</w:t>
      </w:r>
      <w:r w:rsidR="00B87AFA" w:rsidRPr="00451078">
        <w:rPr>
          <w:rFonts w:cs="Tahoma"/>
          <w:color w:val="000000"/>
          <w:szCs w:val="18"/>
          <w:lang w:val="it-IT"/>
        </w:rPr>
        <w:t> </w:t>
      </w:r>
      <w:r w:rsidRPr="00451078">
        <w:rPr>
          <w:rFonts w:cs="Tahoma"/>
          <w:color w:val="000000"/>
          <w:szCs w:val="18"/>
          <w:lang w:val="it-IT"/>
        </w:rPr>
        <w:t>di</w:t>
      </w:r>
      <w:r w:rsidR="00B87AFA" w:rsidRPr="00451078">
        <w:rPr>
          <w:rFonts w:cs="Tahoma"/>
          <w:color w:val="000000"/>
          <w:szCs w:val="18"/>
          <w:lang w:val="it-IT"/>
        </w:rPr>
        <w:t> </w:t>
      </w:r>
      <w:r w:rsidRPr="00451078">
        <w:rPr>
          <w:rFonts w:cs="Tahoma"/>
          <w:color w:val="000000"/>
          <w:szCs w:val="18"/>
          <w:lang w:val="it-IT"/>
        </w:rPr>
        <w:t>fuori dell</w:t>
      </w:r>
      <w:r w:rsidR="004525CA">
        <w:rPr>
          <w:rFonts w:cs="Tahoma"/>
          <w:color w:val="000000"/>
          <w:szCs w:val="18"/>
          <w:lang w:val="it-IT"/>
        </w:rPr>
        <w:t>’</w:t>
      </w:r>
      <w:r w:rsidRPr="00451078">
        <w:rPr>
          <w:rFonts w:cs="Tahoma"/>
          <w:color w:val="000000"/>
          <w:szCs w:val="18"/>
          <w:lang w:val="it-IT"/>
        </w:rPr>
        <w:t>orario apposito (2 - 8 GMT) solo telefonicamente al numero riportato di seguito. Tutti gli altri problemi segnalati al di fuori di tale orario verranno trattati durante il normale orario di lavoro. Il Team di</w:t>
      </w:r>
      <w:r w:rsidR="00B87AFA" w:rsidRPr="00451078">
        <w:rPr>
          <w:rFonts w:cs="Tahoma"/>
          <w:color w:val="000000"/>
          <w:szCs w:val="18"/>
          <w:lang w:val="it-IT"/>
        </w:rPr>
        <w:t> </w:t>
      </w:r>
      <w:r w:rsidRPr="00451078">
        <w:rPr>
          <w:rFonts w:cs="Tahoma"/>
          <w:color w:val="000000"/>
          <w:szCs w:val="18"/>
          <w:lang w:val="it-IT"/>
        </w:rPr>
        <w:t>Supporto può essere contattato nei seguenti modi o in eventuali altri modi che verranno comunicati:</w:t>
      </w:r>
    </w:p>
    <w:p w:rsidR="004640EC" w:rsidRPr="00451078" w:rsidRDefault="004640EC" w:rsidP="004640EC">
      <w:pPr>
        <w:ind w:left="720"/>
        <w:rPr>
          <w:lang w:val="it-IT"/>
        </w:rPr>
      </w:pPr>
    </w:p>
    <w:p w:rsidR="004640EC" w:rsidRPr="00451078" w:rsidRDefault="004640EC" w:rsidP="004640EC">
      <w:pPr>
        <w:ind w:left="720"/>
        <w:rPr>
          <w:lang w:val="it-IT"/>
        </w:rPr>
      </w:pPr>
      <w:r w:rsidRPr="00451078">
        <w:rPr>
          <w:rFonts w:cs="Tahoma"/>
          <w:color w:val="000000"/>
          <w:szCs w:val="18"/>
          <w:lang w:val="it-IT"/>
        </w:rPr>
        <w:t>Indirizzo di posta elettronica:</w:t>
      </w:r>
    </w:p>
    <w:p w:rsidR="004640EC" w:rsidRPr="00451078" w:rsidRDefault="00FC1A4D" w:rsidP="004640EC">
      <w:pPr>
        <w:ind w:left="720"/>
        <w:rPr>
          <w:lang w:val="it-IT"/>
        </w:rPr>
      </w:pPr>
      <w:hyperlink r:id="rId47" w:history="1">
        <w:r w:rsidR="000D77F6" w:rsidRPr="00451078">
          <w:rPr>
            <w:rStyle w:val="Hyperlink"/>
            <w:rFonts w:cs="Tahoma"/>
            <w:szCs w:val="18"/>
            <w:lang w:val="it-IT"/>
          </w:rPr>
          <w:t>bmesupp@microsoft.com</w:t>
        </w:r>
      </w:hyperlink>
    </w:p>
    <w:p w:rsidR="004640EC" w:rsidRDefault="004640EC" w:rsidP="004640EC">
      <w:pPr>
        <w:ind w:left="720"/>
        <w:rPr>
          <w:lang w:val="it-IT"/>
        </w:rPr>
      </w:pPr>
    </w:p>
    <w:p w:rsidR="00440CC3" w:rsidRDefault="00440CC3" w:rsidP="004640EC">
      <w:pPr>
        <w:ind w:left="720"/>
        <w:rPr>
          <w:lang w:val="it-IT"/>
        </w:rPr>
      </w:pPr>
    </w:p>
    <w:p w:rsidR="00440CC3" w:rsidRDefault="00440CC3" w:rsidP="004640EC">
      <w:pPr>
        <w:ind w:left="720"/>
        <w:rPr>
          <w:lang w:val="it-IT"/>
        </w:rPr>
      </w:pPr>
    </w:p>
    <w:p w:rsidR="00A84CD1" w:rsidRPr="00451078" w:rsidRDefault="00A84CD1" w:rsidP="004640EC">
      <w:pPr>
        <w:ind w:left="720"/>
        <w:rPr>
          <w:lang w:val="it-IT"/>
        </w:rPr>
      </w:pPr>
    </w:p>
    <w:p w:rsidR="004640EC" w:rsidRPr="00451078" w:rsidRDefault="004640EC" w:rsidP="004640EC">
      <w:pPr>
        <w:ind w:left="720"/>
        <w:rPr>
          <w:lang w:val="it-IT"/>
        </w:rPr>
      </w:pPr>
      <w:r w:rsidRPr="00451078">
        <w:rPr>
          <w:rFonts w:cs="Tahoma"/>
          <w:color w:val="000000"/>
          <w:szCs w:val="18"/>
          <w:lang w:val="it-IT"/>
        </w:rPr>
        <w:lastRenderedPageBreak/>
        <w:t>Telefono:</w:t>
      </w:r>
    </w:p>
    <w:p w:rsidR="004640EC" w:rsidRPr="00451078" w:rsidRDefault="004640EC" w:rsidP="004640EC">
      <w:pPr>
        <w:ind w:left="720"/>
        <w:rPr>
          <w:lang w:val="it-IT"/>
        </w:rPr>
      </w:pPr>
      <w:r w:rsidRPr="00451078">
        <w:rPr>
          <w:rFonts w:cs="Tahoma"/>
          <w:color w:val="000000"/>
          <w:szCs w:val="18"/>
          <w:lang w:val="it-IT"/>
        </w:rPr>
        <w:t>+1 (800) 552-8872 (se all</w:t>
      </w:r>
      <w:r w:rsidR="004525CA">
        <w:rPr>
          <w:rFonts w:cs="Tahoma"/>
          <w:color w:val="000000"/>
          <w:szCs w:val="18"/>
          <w:lang w:val="it-IT"/>
        </w:rPr>
        <w:t>’</w:t>
      </w:r>
      <w:r w:rsidRPr="00451078">
        <w:rPr>
          <w:rFonts w:cs="Tahoma"/>
          <w:color w:val="000000"/>
          <w:szCs w:val="18"/>
          <w:lang w:val="it-IT"/>
        </w:rPr>
        <w:t>interno degli Stati Uniti e del Canada)</w:t>
      </w:r>
    </w:p>
    <w:p w:rsidR="004640EC" w:rsidRPr="00451078" w:rsidRDefault="004640EC" w:rsidP="004640EC">
      <w:pPr>
        <w:ind w:left="720"/>
        <w:rPr>
          <w:lang w:val="it-IT"/>
        </w:rPr>
      </w:pPr>
      <w:r w:rsidRPr="00451078">
        <w:rPr>
          <w:rFonts w:cs="Tahoma"/>
          <w:color w:val="000000"/>
          <w:szCs w:val="18"/>
          <w:lang w:val="it-IT"/>
        </w:rPr>
        <w:t>+1 (425) 705-2737 (se al di fuori degli Stati Uniti e del Canada)</w:t>
      </w:r>
    </w:p>
    <w:p w:rsidR="004640EC" w:rsidRPr="00451078" w:rsidRDefault="004640EC" w:rsidP="004640EC">
      <w:pPr>
        <w:ind w:left="720"/>
        <w:rPr>
          <w:lang w:val="it-IT"/>
        </w:rPr>
      </w:pPr>
    </w:p>
    <w:p w:rsidR="004640EC" w:rsidRPr="00451078" w:rsidRDefault="004640EC" w:rsidP="004640EC">
      <w:pPr>
        <w:ind w:left="720"/>
        <w:rPr>
          <w:lang w:val="it-IT"/>
        </w:rPr>
      </w:pPr>
      <w:r w:rsidRPr="00451078">
        <w:rPr>
          <w:rFonts w:cs="Tahoma"/>
          <w:color w:val="000000"/>
          <w:szCs w:val="18"/>
          <w:lang w:val="it-IT"/>
        </w:rPr>
        <w:t>Modulo Web</w:t>
      </w:r>
    </w:p>
    <w:p w:rsidR="004640EC" w:rsidRPr="00451078" w:rsidRDefault="00FC1A4D" w:rsidP="004640EC">
      <w:pPr>
        <w:ind w:left="720"/>
        <w:rPr>
          <w:lang w:val="it-IT"/>
        </w:rPr>
      </w:pPr>
      <w:hyperlink r:id="rId48" w:history="1">
        <w:r w:rsidR="000D77F6" w:rsidRPr="00451078">
          <w:rPr>
            <w:rStyle w:val="Hyperlink"/>
            <w:rFonts w:cs="Tahoma"/>
            <w:szCs w:val="18"/>
            <w:lang w:val="it-IT"/>
          </w:rPr>
          <w:t>https://support.microsoft.com/oas/default.aspx?prid=13766&amp;st=1</w:t>
        </w:r>
      </w:hyperlink>
    </w:p>
    <w:p w:rsidR="004640EC" w:rsidRPr="00451078" w:rsidRDefault="004640EC" w:rsidP="004640EC">
      <w:pPr>
        <w:ind w:left="720"/>
        <w:rPr>
          <w:lang w:val="it-IT"/>
        </w:rPr>
      </w:pPr>
    </w:p>
    <w:p w:rsidR="004640EC" w:rsidRPr="00451078" w:rsidRDefault="004640EC" w:rsidP="004640EC">
      <w:pPr>
        <w:ind w:left="720"/>
        <w:rPr>
          <w:lang w:val="it-IT"/>
        </w:rPr>
      </w:pPr>
      <w:r w:rsidRPr="00451078">
        <w:rPr>
          <w:rFonts w:cs="Tahoma"/>
          <w:b/>
          <w:bCs/>
          <w:color w:val="000000"/>
          <w:szCs w:val="18"/>
          <w:lang w:val="it-IT"/>
        </w:rPr>
        <w:t>Priorità</w:t>
      </w:r>
      <w:r w:rsidRPr="00451078">
        <w:rPr>
          <w:rFonts w:cs="Tahoma"/>
          <w:b/>
          <w:color w:val="000000"/>
          <w:szCs w:val="18"/>
          <w:lang w:val="it-IT"/>
        </w:rPr>
        <w:t>.</w:t>
      </w:r>
      <w:r w:rsidRPr="00451078">
        <w:rPr>
          <w:rFonts w:cs="Tahoma"/>
          <w:color w:val="000000"/>
          <w:szCs w:val="18"/>
          <w:lang w:val="it-IT"/>
        </w:rPr>
        <w:t> Tutte le richieste di supporto tecnico per Bing Maps effettuate al Team del Supporto Tecnico verranno designate come Livello di Gravità A, B, C o D secondo quanto descritto nel grafico dei Livelli di Gravità e dei Tempi di Risposta Prefissati che segue. Un Tecnico del Supporto interverrà in conformità ai Tempi di Risposta Prefissati dichiarati nel grafico che segue e in base alla Descrizione dei Problemi del Servizio riportati determinerà il livello di gravità finale.</w:t>
      </w:r>
    </w:p>
    <w:p w:rsidR="00B87AFA" w:rsidRPr="00451078" w:rsidRDefault="00B87AFA" w:rsidP="004640EC">
      <w:pPr>
        <w:ind w:left="720"/>
        <w:rPr>
          <w:rFonts w:cs="Tahoma"/>
          <w:bCs/>
          <w:color w:val="000000"/>
          <w:szCs w:val="18"/>
          <w:lang w:val="it-IT"/>
        </w:rPr>
      </w:pPr>
    </w:p>
    <w:p w:rsidR="004640EC" w:rsidRPr="00451078" w:rsidRDefault="004640EC" w:rsidP="004640EC">
      <w:pPr>
        <w:ind w:left="720"/>
        <w:rPr>
          <w:lang w:val="it-IT"/>
        </w:rPr>
      </w:pPr>
      <w:r w:rsidRPr="00451078">
        <w:rPr>
          <w:rFonts w:cs="Tahoma"/>
          <w:b/>
          <w:bCs/>
          <w:color w:val="000000"/>
          <w:szCs w:val="18"/>
          <w:lang w:val="it-IT"/>
        </w:rPr>
        <w:t xml:space="preserve">Livelli di Gravità durante il Normale Orario di Lavoro e Tempi di Risposta Prefissati: </w:t>
      </w:r>
    </w:p>
    <w:p w:rsidR="004640EC" w:rsidRPr="00451078" w:rsidRDefault="004640EC" w:rsidP="004640EC">
      <w:pPr>
        <w:ind w:left="720"/>
        <w:rPr>
          <w:lang w:val="it-IT"/>
        </w:rPr>
      </w:pPr>
    </w:p>
    <w:p w:rsidR="004640EC" w:rsidRPr="00451078" w:rsidRDefault="004640EC" w:rsidP="004640EC">
      <w:pPr>
        <w:ind w:left="720"/>
        <w:rPr>
          <w:lang w:val="it-IT"/>
        </w:rPr>
      </w:pPr>
    </w:p>
    <w:tbl>
      <w:tblPr>
        <w:tblW w:w="9045" w:type="dxa"/>
        <w:tblInd w:w="738" w:type="dxa"/>
        <w:tblCellMar>
          <w:left w:w="0" w:type="dxa"/>
          <w:right w:w="0" w:type="dxa"/>
        </w:tblCellMar>
        <w:tblLook w:val="04A0" w:firstRow="1" w:lastRow="0" w:firstColumn="1" w:lastColumn="0" w:noHBand="0" w:noVBand="1"/>
      </w:tblPr>
      <w:tblGrid>
        <w:gridCol w:w="1576"/>
        <w:gridCol w:w="2052"/>
        <w:gridCol w:w="5417"/>
      </w:tblGrid>
      <w:tr w:rsidR="004640EC" w:rsidRPr="00DC1102" w:rsidTr="00B87AFA">
        <w:trPr>
          <w:trHeight w:val="549"/>
        </w:trPr>
        <w:tc>
          <w:tcPr>
            <w:tcW w:w="1576" w:type="dxa"/>
            <w:tcBorders>
              <w:top w:val="single" w:sz="8" w:space="0" w:color="auto"/>
              <w:left w:val="single" w:sz="8" w:space="0" w:color="auto"/>
              <w:bottom w:val="single" w:sz="8" w:space="0" w:color="auto"/>
              <w:right w:val="single" w:sz="8" w:space="0" w:color="auto"/>
            </w:tcBorders>
            <w:shd w:val="clear" w:color="auto" w:fill="E0E0E0"/>
            <w:tcMar>
              <w:top w:w="0" w:type="dxa"/>
              <w:left w:w="108" w:type="dxa"/>
              <w:bottom w:w="0" w:type="dxa"/>
              <w:right w:w="108" w:type="dxa"/>
            </w:tcMar>
            <w:vAlign w:val="center"/>
            <w:hideMark/>
          </w:tcPr>
          <w:p w:rsidR="004640EC" w:rsidRPr="00451078" w:rsidRDefault="004640EC" w:rsidP="00136585">
            <w:pPr>
              <w:rPr>
                <w:rFonts w:cs="Tahoma"/>
                <w:color w:val="000000"/>
                <w:szCs w:val="18"/>
                <w:lang w:val="it-IT"/>
              </w:rPr>
            </w:pPr>
            <w:r w:rsidRPr="00451078">
              <w:rPr>
                <w:rFonts w:cs="Tahoma"/>
                <w:b/>
                <w:bCs/>
                <w:color w:val="000000"/>
                <w:szCs w:val="18"/>
                <w:lang w:val="it-IT"/>
              </w:rPr>
              <w:t>Livello di Gravità del Problema</w:t>
            </w:r>
          </w:p>
        </w:tc>
        <w:tc>
          <w:tcPr>
            <w:tcW w:w="2052" w:type="dxa"/>
            <w:tcBorders>
              <w:top w:val="single" w:sz="8" w:space="0" w:color="auto"/>
              <w:left w:val="nil"/>
              <w:bottom w:val="single" w:sz="8" w:space="0" w:color="auto"/>
              <w:right w:val="single" w:sz="8" w:space="0" w:color="auto"/>
            </w:tcBorders>
            <w:shd w:val="clear" w:color="auto" w:fill="E0E0E0"/>
            <w:tcMar>
              <w:top w:w="0" w:type="dxa"/>
              <w:left w:w="108" w:type="dxa"/>
              <w:bottom w:w="0" w:type="dxa"/>
              <w:right w:w="108" w:type="dxa"/>
            </w:tcMar>
            <w:vAlign w:val="center"/>
            <w:hideMark/>
          </w:tcPr>
          <w:p w:rsidR="004640EC" w:rsidRPr="003410C7" w:rsidRDefault="004640EC" w:rsidP="00136585">
            <w:pPr>
              <w:rPr>
                <w:rFonts w:cs="Tahoma"/>
                <w:color w:val="000000"/>
                <w:szCs w:val="18"/>
              </w:rPr>
            </w:pPr>
            <w:r w:rsidRPr="003410C7">
              <w:rPr>
                <w:rFonts w:cs="Tahoma"/>
                <w:b/>
                <w:bCs/>
                <w:color w:val="000000"/>
                <w:szCs w:val="18"/>
              </w:rPr>
              <w:t>Tempo di Risposta Prefissato</w:t>
            </w:r>
          </w:p>
        </w:tc>
        <w:tc>
          <w:tcPr>
            <w:tcW w:w="5417" w:type="dxa"/>
            <w:tcBorders>
              <w:top w:val="single" w:sz="8" w:space="0" w:color="auto"/>
              <w:left w:val="nil"/>
              <w:bottom w:val="single" w:sz="8" w:space="0" w:color="auto"/>
              <w:right w:val="single" w:sz="8" w:space="0" w:color="auto"/>
            </w:tcBorders>
            <w:shd w:val="clear" w:color="auto" w:fill="E0E0E0"/>
            <w:tcMar>
              <w:top w:w="0" w:type="dxa"/>
              <w:left w:w="108" w:type="dxa"/>
              <w:bottom w:w="0" w:type="dxa"/>
              <w:right w:w="108" w:type="dxa"/>
            </w:tcMar>
            <w:vAlign w:val="center"/>
            <w:hideMark/>
          </w:tcPr>
          <w:p w:rsidR="004640EC" w:rsidRPr="00451078" w:rsidRDefault="004640EC" w:rsidP="00136585">
            <w:pPr>
              <w:rPr>
                <w:rFonts w:cs="Tahoma"/>
                <w:color w:val="000000"/>
                <w:szCs w:val="18"/>
                <w:lang w:val="it-IT"/>
              </w:rPr>
            </w:pPr>
            <w:r w:rsidRPr="00451078">
              <w:rPr>
                <w:rFonts w:cs="Tahoma"/>
                <w:b/>
                <w:bCs/>
                <w:color w:val="000000"/>
                <w:szCs w:val="18"/>
                <w:lang w:val="it-IT"/>
              </w:rPr>
              <w:t>Descrizione dei Problemi del Servizio</w:t>
            </w:r>
          </w:p>
        </w:tc>
      </w:tr>
      <w:tr w:rsidR="004640EC" w:rsidRPr="00DC1102" w:rsidTr="00B87AFA">
        <w:trPr>
          <w:trHeight w:val="549"/>
        </w:trPr>
        <w:tc>
          <w:tcPr>
            <w:tcW w:w="1576"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4640EC" w:rsidRPr="003410C7" w:rsidRDefault="004640EC" w:rsidP="00136585">
            <w:pPr>
              <w:rPr>
                <w:rFonts w:cs="Tahoma"/>
                <w:color w:val="000000"/>
                <w:szCs w:val="18"/>
              </w:rPr>
            </w:pPr>
            <w:r w:rsidRPr="003410C7">
              <w:rPr>
                <w:rFonts w:cs="Tahoma"/>
                <w:color w:val="000000"/>
                <w:szCs w:val="18"/>
              </w:rPr>
              <w:t>Gravità A</w:t>
            </w:r>
          </w:p>
        </w:tc>
        <w:tc>
          <w:tcPr>
            <w:tcW w:w="2052"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4640EC" w:rsidRPr="003410C7" w:rsidRDefault="004640EC" w:rsidP="00136585">
            <w:pPr>
              <w:rPr>
                <w:rFonts w:cs="Tahoma"/>
                <w:color w:val="000000"/>
                <w:szCs w:val="18"/>
              </w:rPr>
            </w:pPr>
            <w:r w:rsidRPr="003410C7">
              <w:rPr>
                <w:rFonts w:cs="Tahoma"/>
                <w:color w:val="000000"/>
                <w:szCs w:val="18"/>
              </w:rPr>
              <w:t>1 Ora Lavorativa</w:t>
            </w:r>
          </w:p>
        </w:tc>
        <w:tc>
          <w:tcPr>
            <w:tcW w:w="5417"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4640EC" w:rsidRPr="00451078" w:rsidRDefault="004640EC" w:rsidP="00136585">
            <w:pPr>
              <w:rPr>
                <w:rFonts w:cs="Tahoma"/>
                <w:color w:val="000000"/>
                <w:szCs w:val="18"/>
                <w:lang w:val="it-IT"/>
              </w:rPr>
            </w:pPr>
            <w:r w:rsidRPr="00451078">
              <w:rPr>
                <w:rFonts w:cs="Tahoma"/>
                <w:color w:val="000000"/>
                <w:szCs w:val="18"/>
                <w:lang w:val="it-IT"/>
              </w:rPr>
              <w:t>La società segnala un</w:t>
            </w:r>
            <w:r w:rsidR="004525CA">
              <w:rPr>
                <w:rFonts w:cs="Tahoma"/>
                <w:color w:val="000000"/>
                <w:szCs w:val="18"/>
                <w:lang w:val="it-IT"/>
              </w:rPr>
              <w:t>’</w:t>
            </w:r>
            <w:r w:rsidRPr="00451078">
              <w:rPr>
                <w:rFonts w:cs="Tahoma"/>
                <w:color w:val="000000"/>
                <w:szCs w:val="18"/>
                <w:lang w:val="it-IT"/>
              </w:rPr>
              <w:t>interruzione dei Servizi o altro problema critico per le applicazioni produttive.</w:t>
            </w:r>
          </w:p>
        </w:tc>
      </w:tr>
      <w:tr w:rsidR="004640EC" w:rsidRPr="00DC1102" w:rsidTr="00B87AFA">
        <w:trPr>
          <w:trHeight w:val="549"/>
        </w:trPr>
        <w:tc>
          <w:tcPr>
            <w:tcW w:w="1576"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4640EC" w:rsidRPr="003410C7" w:rsidRDefault="004640EC" w:rsidP="00136585">
            <w:pPr>
              <w:rPr>
                <w:rFonts w:cs="Tahoma"/>
                <w:color w:val="000000"/>
                <w:szCs w:val="18"/>
              </w:rPr>
            </w:pPr>
            <w:r w:rsidRPr="003410C7">
              <w:rPr>
                <w:rFonts w:cs="Tahoma"/>
                <w:color w:val="000000"/>
                <w:szCs w:val="18"/>
              </w:rPr>
              <w:t>Gravità B</w:t>
            </w:r>
          </w:p>
        </w:tc>
        <w:tc>
          <w:tcPr>
            <w:tcW w:w="2052"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4640EC" w:rsidRPr="003410C7" w:rsidRDefault="004640EC" w:rsidP="00136585">
            <w:pPr>
              <w:rPr>
                <w:rFonts w:cs="Tahoma"/>
                <w:color w:val="000000"/>
                <w:szCs w:val="18"/>
              </w:rPr>
            </w:pPr>
            <w:r w:rsidRPr="003410C7">
              <w:rPr>
                <w:rFonts w:cs="Tahoma"/>
                <w:color w:val="000000"/>
                <w:szCs w:val="18"/>
              </w:rPr>
              <w:t>4 Ore Lavorative</w:t>
            </w:r>
          </w:p>
        </w:tc>
        <w:tc>
          <w:tcPr>
            <w:tcW w:w="5417"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4640EC" w:rsidRPr="00451078" w:rsidRDefault="004640EC" w:rsidP="00B87AFA">
            <w:pPr>
              <w:rPr>
                <w:rFonts w:cs="Tahoma"/>
                <w:color w:val="000000"/>
                <w:szCs w:val="18"/>
                <w:lang w:val="it-IT"/>
              </w:rPr>
            </w:pPr>
            <w:r w:rsidRPr="00451078">
              <w:rPr>
                <w:rFonts w:cs="Tahoma"/>
                <w:color w:val="000000"/>
                <w:szCs w:val="18"/>
                <w:lang w:val="it-IT"/>
              </w:rPr>
              <w:t>La società segnala un problema più grave che provoca un effettivo</w:t>
            </w:r>
            <w:r w:rsidR="00B87AFA" w:rsidRPr="00451078">
              <w:rPr>
                <w:rFonts w:cs="Tahoma"/>
                <w:color w:val="000000"/>
                <w:szCs w:val="18"/>
                <w:lang w:val="it-IT"/>
              </w:rPr>
              <w:t> </w:t>
            </w:r>
            <w:r w:rsidRPr="00451078">
              <w:rPr>
                <w:rFonts w:cs="Tahoma"/>
                <w:color w:val="000000"/>
                <w:szCs w:val="18"/>
                <w:lang w:val="it-IT"/>
              </w:rPr>
              <w:t>malfunzionamento delle applicazioni produttive.</w:t>
            </w:r>
          </w:p>
        </w:tc>
      </w:tr>
      <w:tr w:rsidR="004640EC" w:rsidRPr="00DC1102" w:rsidTr="00B87AFA">
        <w:trPr>
          <w:trHeight w:val="549"/>
        </w:trPr>
        <w:tc>
          <w:tcPr>
            <w:tcW w:w="1576"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4640EC" w:rsidRPr="003410C7" w:rsidRDefault="004640EC" w:rsidP="00136585">
            <w:pPr>
              <w:rPr>
                <w:rFonts w:cs="Tahoma"/>
                <w:color w:val="000000"/>
                <w:szCs w:val="18"/>
              </w:rPr>
            </w:pPr>
            <w:r w:rsidRPr="003410C7">
              <w:rPr>
                <w:rFonts w:cs="Tahoma"/>
                <w:color w:val="000000"/>
                <w:szCs w:val="18"/>
              </w:rPr>
              <w:t>Gravità C</w:t>
            </w:r>
          </w:p>
        </w:tc>
        <w:tc>
          <w:tcPr>
            <w:tcW w:w="2052"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4640EC" w:rsidRPr="003410C7" w:rsidRDefault="004640EC" w:rsidP="00136585">
            <w:pPr>
              <w:rPr>
                <w:rFonts w:cs="Tahoma"/>
                <w:color w:val="000000"/>
                <w:szCs w:val="18"/>
              </w:rPr>
            </w:pPr>
            <w:r w:rsidRPr="003410C7">
              <w:rPr>
                <w:rFonts w:cs="Tahoma"/>
                <w:color w:val="000000"/>
                <w:szCs w:val="18"/>
              </w:rPr>
              <w:t>1 Giorno Lavorativo</w:t>
            </w:r>
          </w:p>
        </w:tc>
        <w:tc>
          <w:tcPr>
            <w:tcW w:w="5417"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4640EC" w:rsidRPr="00451078" w:rsidRDefault="004640EC" w:rsidP="00136585">
            <w:pPr>
              <w:rPr>
                <w:rFonts w:cs="Tahoma"/>
                <w:color w:val="000000"/>
                <w:szCs w:val="18"/>
                <w:lang w:val="it-IT"/>
              </w:rPr>
            </w:pPr>
            <w:r w:rsidRPr="00451078">
              <w:rPr>
                <w:rFonts w:cs="Tahoma"/>
                <w:color w:val="000000"/>
                <w:szCs w:val="18"/>
                <w:lang w:val="it-IT"/>
              </w:rPr>
              <w:t>La società segnala problemi non critici, ad esempio questioni riguardanti la produzione o lo sviluppo generale.</w:t>
            </w:r>
          </w:p>
        </w:tc>
      </w:tr>
      <w:tr w:rsidR="004640EC" w:rsidRPr="00DC1102" w:rsidTr="00B87AFA">
        <w:trPr>
          <w:trHeight w:val="549"/>
        </w:trPr>
        <w:tc>
          <w:tcPr>
            <w:tcW w:w="1576"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4640EC" w:rsidRPr="003410C7" w:rsidRDefault="004640EC" w:rsidP="00136585">
            <w:pPr>
              <w:rPr>
                <w:rFonts w:cs="Tahoma"/>
                <w:color w:val="000000"/>
                <w:szCs w:val="18"/>
              </w:rPr>
            </w:pPr>
            <w:r w:rsidRPr="003410C7">
              <w:rPr>
                <w:rFonts w:cs="Tahoma"/>
                <w:color w:val="000000"/>
                <w:szCs w:val="18"/>
              </w:rPr>
              <w:t>Gravità D</w:t>
            </w:r>
          </w:p>
        </w:tc>
        <w:tc>
          <w:tcPr>
            <w:tcW w:w="2052"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4640EC" w:rsidRPr="003410C7" w:rsidRDefault="004640EC" w:rsidP="00136585">
            <w:pPr>
              <w:rPr>
                <w:rFonts w:cs="Tahoma"/>
                <w:color w:val="000000"/>
                <w:szCs w:val="18"/>
              </w:rPr>
            </w:pPr>
            <w:r w:rsidRPr="003410C7">
              <w:rPr>
                <w:rFonts w:cs="Tahoma"/>
                <w:color w:val="000000"/>
                <w:szCs w:val="18"/>
              </w:rPr>
              <w:t>3 Giorni Lavorativi</w:t>
            </w:r>
          </w:p>
        </w:tc>
        <w:tc>
          <w:tcPr>
            <w:tcW w:w="5417"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4640EC" w:rsidRPr="00451078" w:rsidRDefault="004640EC" w:rsidP="00B87AFA">
            <w:pPr>
              <w:rPr>
                <w:rFonts w:cs="Tahoma"/>
                <w:color w:val="000000"/>
                <w:szCs w:val="18"/>
                <w:lang w:val="it-IT"/>
              </w:rPr>
            </w:pPr>
            <w:r w:rsidRPr="00451078">
              <w:rPr>
                <w:rFonts w:cs="Tahoma"/>
                <w:color w:val="000000"/>
                <w:szCs w:val="18"/>
                <w:lang w:val="it-IT"/>
              </w:rPr>
              <w:t>La società fornisce commenti riguardo a problemi con le mappe, le</w:t>
            </w:r>
            <w:r w:rsidR="00B87AFA" w:rsidRPr="00451078">
              <w:rPr>
                <w:rFonts w:cs="Tahoma"/>
                <w:color w:val="000000"/>
                <w:szCs w:val="18"/>
                <w:lang w:val="it-IT"/>
              </w:rPr>
              <w:t> </w:t>
            </w:r>
            <w:r w:rsidRPr="00451078">
              <w:rPr>
                <w:rFonts w:cs="Tahoma"/>
                <w:color w:val="000000"/>
                <w:szCs w:val="18"/>
                <w:lang w:val="it-IT"/>
              </w:rPr>
              <w:t>indicazioni stradali o il geocoding.</w:t>
            </w:r>
          </w:p>
        </w:tc>
      </w:tr>
    </w:tbl>
    <w:p w:rsidR="004640EC" w:rsidRPr="00451078" w:rsidRDefault="004640EC" w:rsidP="004640EC">
      <w:pPr>
        <w:ind w:left="720"/>
        <w:rPr>
          <w:lang w:val="it-IT"/>
        </w:rPr>
      </w:pPr>
    </w:p>
    <w:p w:rsidR="004640EC" w:rsidRPr="00451078" w:rsidRDefault="004640EC" w:rsidP="004640EC">
      <w:pPr>
        <w:ind w:left="720"/>
        <w:rPr>
          <w:lang w:val="it-IT"/>
        </w:rPr>
      </w:pPr>
      <w:r w:rsidRPr="00451078">
        <w:rPr>
          <w:rFonts w:cs="Tahoma"/>
          <w:b/>
          <w:bCs/>
          <w:color w:val="000000"/>
          <w:szCs w:val="18"/>
          <w:lang w:val="it-IT"/>
        </w:rPr>
        <w:t>Informazioni di Contatto 24x7 per il Supporto di Emergenza in caso di Interruzione di</w:t>
      </w:r>
      <w:r w:rsidR="00B87AFA" w:rsidRPr="00451078">
        <w:rPr>
          <w:rFonts w:cs="Tahoma"/>
          <w:b/>
          <w:bCs/>
          <w:color w:val="000000"/>
          <w:szCs w:val="18"/>
          <w:lang w:val="it-IT"/>
        </w:rPr>
        <w:t> </w:t>
      </w:r>
      <w:r w:rsidRPr="00451078">
        <w:rPr>
          <w:rFonts w:cs="Tahoma"/>
          <w:b/>
          <w:bCs/>
          <w:color w:val="000000"/>
          <w:szCs w:val="18"/>
          <w:lang w:val="it-IT"/>
        </w:rPr>
        <w:t>Bing</w:t>
      </w:r>
      <w:r w:rsidR="00B87AFA" w:rsidRPr="00451078">
        <w:rPr>
          <w:rFonts w:cs="Tahoma"/>
          <w:b/>
          <w:bCs/>
          <w:color w:val="000000"/>
          <w:szCs w:val="18"/>
          <w:lang w:val="it-IT"/>
        </w:rPr>
        <w:t> </w:t>
      </w:r>
      <w:r w:rsidRPr="00451078">
        <w:rPr>
          <w:rFonts w:cs="Tahoma"/>
          <w:b/>
          <w:bCs/>
          <w:color w:val="000000"/>
          <w:szCs w:val="18"/>
          <w:lang w:val="it-IT"/>
        </w:rPr>
        <w:t xml:space="preserve">Maps: </w:t>
      </w:r>
    </w:p>
    <w:p w:rsidR="004640EC" w:rsidRPr="00451078" w:rsidRDefault="004640EC" w:rsidP="004640EC">
      <w:pPr>
        <w:ind w:left="720"/>
        <w:rPr>
          <w:lang w:val="it-IT"/>
        </w:rPr>
      </w:pPr>
    </w:p>
    <w:p w:rsidR="004640EC" w:rsidRPr="00451078" w:rsidRDefault="004640EC" w:rsidP="004640EC">
      <w:pPr>
        <w:ind w:left="720"/>
        <w:rPr>
          <w:lang w:val="it-IT"/>
        </w:rPr>
      </w:pPr>
      <w:r w:rsidRPr="00451078">
        <w:rPr>
          <w:rFonts w:cs="Tahoma"/>
          <w:szCs w:val="18"/>
          <w:lang w:val="it-IT"/>
        </w:rPr>
        <w:t>Telefono:</w:t>
      </w:r>
    </w:p>
    <w:p w:rsidR="004640EC" w:rsidRPr="00451078" w:rsidRDefault="004640EC" w:rsidP="004640EC">
      <w:pPr>
        <w:ind w:left="720"/>
        <w:rPr>
          <w:lang w:val="it-IT"/>
        </w:rPr>
      </w:pPr>
      <w:r w:rsidRPr="00451078">
        <w:rPr>
          <w:rFonts w:cs="Tahoma"/>
          <w:color w:val="000000"/>
          <w:szCs w:val="18"/>
          <w:lang w:val="it-IT"/>
        </w:rPr>
        <w:t>+1 (800) 552-8872 (se all</w:t>
      </w:r>
      <w:r w:rsidR="004525CA">
        <w:rPr>
          <w:rFonts w:cs="Tahoma"/>
          <w:color w:val="000000"/>
          <w:szCs w:val="18"/>
          <w:lang w:val="it-IT"/>
        </w:rPr>
        <w:t>’</w:t>
      </w:r>
      <w:r w:rsidRPr="00451078">
        <w:rPr>
          <w:rFonts w:cs="Tahoma"/>
          <w:color w:val="000000"/>
          <w:szCs w:val="18"/>
          <w:lang w:val="it-IT"/>
        </w:rPr>
        <w:t xml:space="preserve">interno degli Stati Uniti e del Canada) </w:t>
      </w:r>
    </w:p>
    <w:p w:rsidR="004640EC" w:rsidRPr="00451078" w:rsidRDefault="004640EC" w:rsidP="004640EC">
      <w:pPr>
        <w:ind w:left="720"/>
        <w:rPr>
          <w:lang w:val="it-IT"/>
        </w:rPr>
      </w:pPr>
      <w:r w:rsidRPr="00451078">
        <w:rPr>
          <w:rFonts w:cs="Tahoma"/>
          <w:color w:val="000000"/>
          <w:szCs w:val="18"/>
          <w:lang w:val="it-IT"/>
        </w:rPr>
        <w:t xml:space="preserve">+1 (425) 705-2737 (se al di fuori degli Stati Uniti e del Canada) </w:t>
      </w:r>
    </w:p>
    <w:p w:rsidR="004640EC" w:rsidRPr="00451078" w:rsidRDefault="004640EC" w:rsidP="004640EC">
      <w:pPr>
        <w:ind w:left="720"/>
        <w:rPr>
          <w:lang w:val="it-IT"/>
        </w:rPr>
      </w:pPr>
    </w:p>
    <w:p w:rsidR="004640EC" w:rsidRPr="00451078" w:rsidRDefault="004640EC" w:rsidP="004640EC">
      <w:pPr>
        <w:ind w:left="720"/>
        <w:rPr>
          <w:lang w:val="it-IT"/>
        </w:rPr>
      </w:pPr>
      <w:r w:rsidRPr="00451078">
        <w:rPr>
          <w:rFonts w:cs="Tahoma"/>
          <w:color w:val="000000"/>
          <w:szCs w:val="18"/>
          <w:lang w:val="it-IT"/>
        </w:rPr>
        <w:t>Comunicazione Importante: il supporto tecnico in caso di emergenza 24x7 (al di fuori dell</w:t>
      </w:r>
      <w:r w:rsidR="004525CA">
        <w:rPr>
          <w:rFonts w:cs="Tahoma"/>
          <w:color w:val="000000"/>
          <w:szCs w:val="18"/>
          <w:lang w:val="it-IT"/>
        </w:rPr>
        <w:t>’</w:t>
      </w:r>
      <w:r w:rsidRPr="00451078">
        <w:rPr>
          <w:rFonts w:cs="Tahoma"/>
          <w:color w:val="000000"/>
          <w:szCs w:val="18"/>
          <w:lang w:val="it-IT"/>
        </w:rPr>
        <w:t>orario) è</w:t>
      </w:r>
      <w:r w:rsidR="00B87AFA" w:rsidRPr="00451078">
        <w:rPr>
          <w:rFonts w:cs="Tahoma"/>
          <w:color w:val="000000"/>
          <w:szCs w:val="18"/>
          <w:lang w:val="it-IT"/>
        </w:rPr>
        <w:t> </w:t>
      </w:r>
      <w:r w:rsidRPr="00451078">
        <w:rPr>
          <w:rFonts w:cs="Tahoma"/>
          <w:color w:val="000000"/>
          <w:szCs w:val="18"/>
          <w:lang w:val="it-IT"/>
        </w:rPr>
        <w:t>disponibile solo per i problemi che rientrano nel Livello di Gravità A (interruzione dei Servizi o deterioramento dei Servizi con conseguenze sulle applicazioni produttive della Società). Il giorno lavorativo successivo Microsoft si farà carico di tutti gli altri problemi che si verificano al di fuori dell</w:t>
      </w:r>
      <w:r w:rsidR="004525CA">
        <w:rPr>
          <w:rFonts w:cs="Tahoma"/>
          <w:color w:val="000000"/>
          <w:szCs w:val="18"/>
          <w:lang w:val="it-IT"/>
        </w:rPr>
        <w:t>’</w:t>
      </w:r>
      <w:r w:rsidRPr="00451078">
        <w:rPr>
          <w:rFonts w:cs="Tahoma"/>
          <w:color w:val="000000"/>
          <w:szCs w:val="18"/>
          <w:lang w:val="it-IT"/>
        </w:rPr>
        <w:t>orario e che non rientrano nel Livello di Gravità A, sulla base del Tempo di Risposta Prefissato delineato sopra. Le richieste di</w:t>
      </w:r>
      <w:r w:rsidR="00B87AFA" w:rsidRPr="00451078">
        <w:rPr>
          <w:rFonts w:cs="Tahoma"/>
          <w:color w:val="000000"/>
          <w:szCs w:val="18"/>
          <w:lang w:val="it-IT"/>
        </w:rPr>
        <w:t> </w:t>
      </w:r>
      <w:r w:rsidRPr="00451078">
        <w:rPr>
          <w:rFonts w:cs="Tahoma"/>
          <w:color w:val="000000"/>
          <w:szCs w:val="18"/>
          <w:lang w:val="it-IT"/>
        </w:rPr>
        <w:t>assistenza presentate tramite posta elettronica (</w:t>
      </w:r>
      <w:hyperlink r:id="rId49" w:history="1">
        <w:r w:rsidRPr="00451078">
          <w:rPr>
            <w:rStyle w:val="Hyperlink"/>
            <w:rFonts w:cs="Tahoma"/>
            <w:szCs w:val="18"/>
            <w:lang w:val="it-IT"/>
          </w:rPr>
          <w:t>bmesupp@microsoft.com</w:t>
        </w:r>
      </w:hyperlink>
      <w:r w:rsidRPr="00451078">
        <w:rPr>
          <w:rFonts w:cs="Tahoma"/>
          <w:color w:val="000000"/>
          <w:szCs w:val="18"/>
          <w:lang w:val="it-IT"/>
        </w:rPr>
        <w:t xml:space="preserve">) o modulo Web non vengono monitorate al di fuori del normale orario di lavoro del Team di Supporto di Bing Maps. </w:t>
      </w:r>
    </w:p>
    <w:p w:rsidR="004640EC" w:rsidRPr="00451078" w:rsidRDefault="004640EC" w:rsidP="004640EC">
      <w:pPr>
        <w:ind w:left="720"/>
        <w:rPr>
          <w:lang w:val="it-IT"/>
        </w:rPr>
      </w:pPr>
    </w:p>
    <w:p w:rsidR="004640EC" w:rsidRPr="00451078" w:rsidRDefault="004640EC" w:rsidP="004640EC">
      <w:pPr>
        <w:ind w:left="720"/>
        <w:rPr>
          <w:lang w:val="it-IT"/>
        </w:rPr>
      </w:pPr>
      <w:r w:rsidRPr="00451078">
        <w:rPr>
          <w:rFonts w:cs="Tahoma"/>
          <w:b/>
          <w:bCs/>
          <w:color w:val="000000"/>
          <w:szCs w:val="18"/>
          <w:lang w:val="it-IT"/>
        </w:rPr>
        <w:t>Livelli di Gravità al di fuori dell</w:t>
      </w:r>
      <w:r w:rsidR="004525CA">
        <w:rPr>
          <w:rFonts w:cs="Tahoma"/>
          <w:b/>
          <w:bCs/>
          <w:color w:val="000000"/>
          <w:szCs w:val="18"/>
          <w:lang w:val="it-IT"/>
        </w:rPr>
        <w:t>’</w:t>
      </w:r>
      <w:r w:rsidRPr="00451078">
        <w:rPr>
          <w:rFonts w:cs="Tahoma"/>
          <w:b/>
          <w:bCs/>
          <w:color w:val="000000"/>
          <w:szCs w:val="18"/>
          <w:lang w:val="it-IT"/>
        </w:rPr>
        <w:t>Orario di Emergenza e Tempi di Risposta Prefissati:</w:t>
      </w:r>
    </w:p>
    <w:p w:rsidR="004640EC" w:rsidRPr="00451078" w:rsidRDefault="004640EC" w:rsidP="004640EC">
      <w:pPr>
        <w:ind w:left="720"/>
        <w:rPr>
          <w:lang w:val="it-IT"/>
        </w:rPr>
      </w:pPr>
    </w:p>
    <w:tbl>
      <w:tblPr>
        <w:tblW w:w="9027" w:type="dxa"/>
        <w:tblInd w:w="738" w:type="dxa"/>
        <w:tblCellMar>
          <w:left w:w="0" w:type="dxa"/>
          <w:right w:w="0" w:type="dxa"/>
        </w:tblCellMar>
        <w:tblLook w:val="04A0" w:firstRow="1" w:lastRow="0" w:firstColumn="1" w:lastColumn="0" w:noHBand="0" w:noVBand="1"/>
      </w:tblPr>
      <w:tblGrid>
        <w:gridCol w:w="1647"/>
        <w:gridCol w:w="1983"/>
        <w:gridCol w:w="5397"/>
      </w:tblGrid>
      <w:tr w:rsidR="004640EC" w:rsidRPr="00DC1102" w:rsidTr="00B87AFA">
        <w:trPr>
          <w:trHeight w:val="549"/>
        </w:trPr>
        <w:tc>
          <w:tcPr>
            <w:tcW w:w="1647" w:type="dxa"/>
            <w:tcBorders>
              <w:top w:val="single" w:sz="8" w:space="0" w:color="auto"/>
              <w:left w:val="single" w:sz="8" w:space="0" w:color="auto"/>
              <w:bottom w:val="single" w:sz="8" w:space="0" w:color="auto"/>
              <w:right w:val="single" w:sz="8" w:space="0" w:color="auto"/>
            </w:tcBorders>
            <w:shd w:val="clear" w:color="auto" w:fill="E0E0E0"/>
            <w:tcMar>
              <w:top w:w="0" w:type="dxa"/>
              <w:left w:w="108" w:type="dxa"/>
              <w:bottom w:w="0" w:type="dxa"/>
              <w:right w:w="108" w:type="dxa"/>
            </w:tcMar>
            <w:vAlign w:val="center"/>
            <w:hideMark/>
          </w:tcPr>
          <w:p w:rsidR="004640EC" w:rsidRPr="00451078" w:rsidRDefault="004640EC" w:rsidP="00136585">
            <w:pPr>
              <w:rPr>
                <w:rFonts w:cs="Tahoma"/>
                <w:color w:val="000000"/>
                <w:szCs w:val="18"/>
                <w:lang w:val="it-IT"/>
              </w:rPr>
            </w:pPr>
            <w:r w:rsidRPr="00451078">
              <w:rPr>
                <w:rFonts w:cs="Tahoma"/>
                <w:b/>
                <w:bCs/>
                <w:color w:val="000000"/>
                <w:szCs w:val="18"/>
                <w:lang w:val="it-IT"/>
              </w:rPr>
              <w:t>Livello di Gravità del Problema</w:t>
            </w:r>
          </w:p>
        </w:tc>
        <w:tc>
          <w:tcPr>
            <w:tcW w:w="1983" w:type="dxa"/>
            <w:tcBorders>
              <w:top w:val="single" w:sz="8" w:space="0" w:color="auto"/>
              <w:left w:val="nil"/>
              <w:bottom w:val="single" w:sz="8" w:space="0" w:color="auto"/>
              <w:right w:val="single" w:sz="8" w:space="0" w:color="auto"/>
            </w:tcBorders>
            <w:shd w:val="clear" w:color="auto" w:fill="E0E0E0"/>
            <w:tcMar>
              <w:top w:w="0" w:type="dxa"/>
              <w:left w:w="108" w:type="dxa"/>
              <w:bottom w:w="0" w:type="dxa"/>
              <w:right w:w="108" w:type="dxa"/>
            </w:tcMar>
            <w:vAlign w:val="center"/>
            <w:hideMark/>
          </w:tcPr>
          <w:p w:rsidR="004640EC" w:rsidRPr="003410C7" w:rsidRDefault="004640EC" w:rsidP="00136585">
            <w:pPr>
              <w:rPr>
                <w:rFonts w:cs="Tahoma"/>
                <w:color w:val="000000"/>
                <w:szCs w:val="18"/>
              </w:rPr>
            </w:pPr>
            <w:r w:rsidRPr="003410C7">
              <w:rPr>
                <w:rFonts w:cs="Tahoma"/>
                <w:b/>
                <w:bCs/>
                <w:color w:val="000000"/>
                <w:szCs w:val="18"/>
              </w:rPr>
              <w:t>Tempo di Risposta Prefissato</w:t>
            </w:r>
          </w:p>
        </w:tc>
        <w:tc>
          <w:tcPr>
            <w:tcW w:w="5397" w:type="dxa"/>
            <w:tcBorders>
              <w:top w:val="single" w:sz="8" w:space="0" w:color="auto"/>
              <w:left w:val="nil"/>
              <w:bottom w:val="single" w:sz="8" w:space="0" w:color="auto"/>
              <w:right w:val="single" w:sz="8" w:space="0" w:color="auto"/>
            </w:tcBorders>
            <w:shd w:val="clear" w:color="auto" w:fill="E0E0E0"/>
            <w:tcMar>
              <w:top w:w="0" w:type="dxa"/>
              <w:left w:w="108" w:type="dxa"/>
              <w:bottom w:w="0" w:type="dxa"/>
              <w:right w:w="108" w:type="dxa"/>
            </w:tcMar>
            <w:vAlign w:val="center"/>
            <w:hideMark/>
          </w:tcPr>
          <w:p w:rsidR="004640EC" w:rsidRPr="00451078" w:rsidRDefault="004640EC" w:rsidP="00136585">
            <w:pPr>
              <w:rPr>
                <w:rFonts w:cs="Tahoma"/>
                <w:color w:val="000000"/>
                <w:szCs w:val="18"/>
                <w:lang w:val="it-IT"/>
              </w:rPr>
            </w:pPr>
            <w:r w:rsidRPr="00451078">
              <w:rPr>
                <w:rFonts w:cs="Tahoma"/>
                <w:b/>
                <w:bCs/>
                <w:color w:val="000000"/>
                <w:szCs w:val="18"/>
                <w:lang w:val="it-IT"/>
              </w:rPr>
              <w:t>Descrizione dei Problemi del Servizio</w:t>
            </w:r>
          </w:p>
        </w:tc>
      </w:tr>
      <w:tr w:rsidR="004640EC" w:rsidRPr="00DC1102" w:rsidTr="00B87AFA">
        <w:trPr>
          <w:trHeight w:val="549"/>
        </w:trPr>
        <w:tc>
          <w:tcPr>
            <w:tcW w:w="1647"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4640EC" w:rsidRPr="003410C7" w:rsidRDefault="004640EC" w:rsidP="00136585">
            <w:pPr>
              <w:rPr>
                <w:rFonts w:cs="Tahoma"/>
                <w:color w:val="000000"/>
                <w:szCs w:val="18"/>
              </w:rPr>
            </w:pPr>
            <w:r w:rsidRPr="003410C7">
              <w:rPr>
                <w:rFonts w:cs="Tahoma"/>
                <w:color w:val="000000"/>
                <w:szCs w:val="18"/>
              </w:rPr>
              <w:t>Gravità A</w:t>
            </w:r>
          </w:p>
        </w:tc>
        <w:tc>
          <w:tcPr>
            <w:tcW w:w="1983"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4640EC" w:rsidRPr="003410C7" w:rsidRDefault="004640EC" w:rsidP="00136585">
            <w:pPr>
              <w:rPr>
                <w:rFonts w:cs="Tahoma"/>
                <w:color w:val="000000"/>
                <w:szCs w:val="18"/>
              </w:rPr>
            </w:pPr>
            <w:r w:rsidRPr="003410C7">
              <w:rPr>
                <w:rFonts w:cs="Tahoma"/>
                <w:color w:val="000000"/>
                <w:szCs w:val="18"/>
              </w:rPr>
              <w:t>1 Ora Lavorativa</w:t>
            </w:r>
          </w:p>
        </w:tc>
        <w:tc>
          <w:tcPr>
            <w:tcW w:w="5397"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4640EC" w:rsidRPr="00451078" w:rsidRDefault="004640EC" w:rsidP="00136585">
            <w:pPr>
              <w:rPr>
                <w:rFonts w:cs="Tahoma"/>
                <w:color w:val="000000"/>
                <w:szCs w:val="18"/>
                <w:lang w:val="it-IT"/>
              </w:rPr>
            </w:pPr>
            <w:r w:rsidRPr="00451078">
              <w:rPr>
                <w:rFonts w:cs="Tahoma"/>
                <w:color w:val="000000"/>
                <w:szCs w:val="18"/>
                <w:lang w:val="it-IT"/>
              </w:rPr>
              <w:t>La società segnala un</w:t>
            </w:r>
            <w:r w:rsidR="004525CA">
              <w:rPr>
                <w:rFonts w:cs="Tahoma"/>
                <w:color w:val="000000"/>
                <w:szCs w:val="18"/>
                <w:lang w:val="it-IT"/>
              </w:rPr>
              <w:t>’</w:t>
            </w:r>
            <w:r w:rsidRPr="00451078">
              <w:rPr>
                <w:rFonts w:cs="Tahoma"/>
                <w:color w:val="000000"/>
                <w:szCs w:val="18"/>
                <w:lang w:val="it-IT"/>
              </w:rPr>
              <w:t>interruzione dei Servizi o altro problema critico per le applicazioni produttive.</w:t>
            </w:r>
          </w:p>
        </w:tc>
      </w:tr>
    </w:tbl>
    <w:p w:rsidR="004640EC" w:rsidRPr="00451078" w:rsidRDefault="004640EC" w:rsidP="004640EC">
      <w:pPr>
        <w:ind w:left="720"/>
        <w:rPr>
          <w:lang w:val="it-IT"/>
        </w:rPr>
      </w:pPr>
    </w:p>
    <w:p w:rsidR="00761D3C" w:rsidRDefault="00761D3C" w:rsidP="004640EC">
      <w:pPr>
        <w:ind w:left="720"/>
        <w:rPr>
          <w:lang w:val="it-IT"/>
        </w:rPr>
      </w:pPr>
    </w:p>
    <w:p w:rsidR="00A84CD1" w:rsidRDefault="00A84CD1" w:rsidP="004640EC">
      <w:pPr>
        <w:ind w:left="720"/>
        <w:rPr>
          <w:lang w:val="it-IT"/>
        </w:rPr>
      </w:pPr>
    </w:p>
    <w:p w:rsidR="00A84CD1" w:rsidRDefault="00A84CD1" w:rsidP="004640EC">
      <w:pPr>
        <w:ind w:left="720"/>
        <w:rPr>
          <w:lang w:val="it-IT"/>
        </w:rPr>
      </w:pPr>
    </w:p>
    <w:p w:rsidR="00A84CD1" w:rsidRDefault="00A84CD1" w:rsidP="004640EC">
      <w:pPr>
        <w:ind w:left="720"/>
        <w:rPr>
          <w:lang w:val="it-IT"/>
        </w:rPr>
      </w:pPr>
    </w:p>
    <w:p w:rsidR="00A84CD1" w:rsidRPr="00451078" w:rsidRDefault="00A84CD1" w:rsidP="004640EC">
      <w:pPr>
        <w:ind w:left="720"/>
        <w:rPr>
          <w:lang w:val="it-IT"/>
        </w:rPr>
      </w:pPr>
    </w:p>
    <w:p w:rsidR="008233B3" w:rsidRPr="00451078" w:rsidRDefault="004640EC" w:rsidP="008233B3">
      <w:pPr>
        <w:pStyle w:val="Heading3"/>
        <w:rPr>
          <w:lang w:val="it-IT"/>
        </w:rPr>
      </w:pPr>
      <w:bookmarkStart w:id="1145" w:name="_29_BizTalk®_Server"/>
      <w:bookmarkStart w:id="1146" w:name="_31_BizTalk_Server®"/>
      <w:bookmarkStart w:id="1147" w:name="_Toc352234884"/>
      <w:bookmarkEnd w:id="1141"/>
      <w:bookmarkEnd w:id="1145"/>
      <w:bookmarkEnd w:id="1146"/>
      <w:r w:rsidRPr="00451078">
        <w:rPr>
          <w:rFonts w:ascii="Tahoma" w:hAnsi="Tahoma" w:cs="Tahoma"/>
          <w:caps/>
          <w:color w:val="F66400"/>
          <w:sz w:val="22"/>
          <w:vertAlign w:val="superscript"/>
          <w:lang w:val="it-IT"/>
        </w:rPr>
        <w:lastRenderedPageBreak/>
        <w:t>31</w:t>
      </w:r>
      <w:r w:rsidRPr="00451078">
        <w:rPr>
          <w:rFonts w:ascii="Tahoma" w:hAnsi="Tahoma" w:cs="Tahoma"/>
          <w:caps/>
          <w:color w:val="F66400"/>
          <w:sz w:val="22"/>
          <w:lang w:val="it-IT"/>
        </w:rPr>
        <w:t xml:space="preserve"> </w:t>
      </w:r>
      <w:r w:rsidRPr="00451078">
        <w:rPr>
          <w:rFonts w:ascii="Tahoma" w:hAnsi="Tahoma" w:cs="Tahoma"/>
          <w:color w:val="F66400"/>
          <w:sz w:val="22"/>
          <w:lang w:val="it-IT"/>
        </w:rPr>
        <w:t>BizTalk Server</w:t>
      </w:r>
      <w:r w:rsidR="003410C7" w:rsidRPr="00451078">
        <w:rPr>
          <w:rFonts w:ascii="Tahoma" w:hAnsi="Tahoma" w:cs="Tahoma"/>
          <w:color w:val="F66400"/>
          <w:sz w:val="22"/>
          <w:vertAlign w:val="superscript"/>
          <w:lang w:val="it-IT"/>
        </w:rPr>
        <w:t>®</w:t>
      </w:r>
      <w:r w:rsidRPr="00451078">
        <w:rPr>
          <w:rFonts w:ascii="Tahoma" w:hAnsi="Tahoma" w:cs="Tahoma"/>
          <w:color w:val="F66400"/>
          <w:sz w:val="22"/>
          <w:lang w:val="it-IT"/>
        </w:rPr>
        <w:t xml:space="preserve"> 2013 Branch</w:t>
      </w:r>
      <w:bookmarkEnd w:id="1147"/>
    </w:p>
    <w:p w:rsidR="008233B3" w:rsidRPr="00451078" w:rsidRDefault="008233B3" w:rsidP="008233B3">
      <w:pPr>
        <w:rPr>
          <w:lang w:val="it-IT"/>
        </w:rPr>
      </w:pPr>
    </w:p>
    <w:p w:rsidR="008233B3" w:rsidRPr="00451078" w:rsidRDefault="008233B3" w:rsidP="008233B3">
      <w:pPr>
        <w:spacing w:after="60"/>
        <w:ind w:left="720"/>
        <w:rPr>
          <w:lang w:val="it-IT"/>
        </w:rPr>
      </w:pPr>
      <w:r w:rsidRPr="00451078">
        <w:rPr>
          <w:rFonts w:eastAsia="Calibri" w:cs="Tahoma"/>
          <w:b/>
          <w:color w:val="000000"/>
          <w:szCs w:val="18"/>
          <w:lang w:val="it-IT"/>
        </w:rPr>
        <w:t>Concessioni di Licenza Associate alla Variazione del Modello di Licenza</w:t>
      </w:r>
    </w:p>
    <w:p w:rsidR="008233B3" w:rsidRPr="00451078" w:rsidRDefault="008233B3" w:rsidP="008233B3">
      <w:pPr>
        <w:ind w:left="720"/>
        <w:rPr>
          <w:lang w:val="it-IT"/>
        </w:rPr>
      </w:pPr>
      <w:r w:rsidRPr="00451078">
        <w:rPr>
          <w:rFonts w:eastAsia="Calibri" w:cs="Tahoma"/>
          <w:color w:val="000000"/>
          <w:szCs w:val="18"/>
          <w:lang w:val="it-IT"/>
        </w:rPr>
        <w:t>BizTalk Server 2010 sarà l</w:t>
      </w:r>
      <w:r w:rsidR="004525CA">
        <w:rPr>
          <w:rFonts w:eastAsia="Calibri" w:cs="Tahoma"/>
          <w:color w:val="000000"/>
          <w:szCs w:val="18"/>
          <w:lang w:val="it-IT"/>
        </w:rPr>
        <w:t>’</w:t>
      </w:r>
      <w:r w:rsidRPr="00451078">
        <w:rPr>
          <w:rFonts w:eastAsia="Calibri" w:cs="Tahoma"/>
          <w:color w:val="000000"/>
          <w:szCs w:val="18"/>
          <w:lang w:val="it-IT"/>
        </w:rPr>
        <w:t>ultima versione di BizTalk Server concessa in licenza ai sensi del modello di licenza per processore.</w:t>
      </w:r>
      <w:r w:rsidR="00082E1C" w:rsidRPr="00451078">
        <w:rPr>
          <w:rFonts w:eastAsia="Calibri" w:cs="Tahoma"/>
          <w:color w:val="000000"/>
          <w:szCs w:val="18"/>
          <w:lang w:val="it-IT"/>
        </w:rPr>
        <w:t xml:space="preserve"> </w:t>
      </w:r>
      <w:r w:rsidRPr="00451078">
        <w:rPr>
          <w:rFonts w:eastAsia="Calibri" w:cs="Tahoma"/>
          <w:color w:val="000000"/>
          <w:szCs w:val="18"/>
          <w:lang w:val="it-IT"/>
        </w:rPr>
        <w:t>In via eccezionale, alle società con contratti multilicenza e copertura Software Assurance attiva per le licenze per processore per BizTalk Server 2010 Branch in data 1 aprile 2013 (</w:t>
      </w:r>
      <w:r w:rsidR="001A3EC5" w:rsidRPr="00451078">
        <w:rPr>
          <w:rFonts w:eastAsia="Calibri" w:cs="Tahoma"/>
          <w:color w:val="000000"/>
          <w:szCs w:val="18"/>
          <w:lang w:val="it-IT"/>
        </w:rPr>
        <w:t>“</w:t>
      </w:r>
      <w:r w:rsidRPr="00451078">
        <w:rPr>
          <w:rFonts w:eastAsia="Calibri" w:cs="Tahoma"/>
          <w:color w:val="000000"/>
          <w:szCs w:val="18"/>
          <w:lang w:val="it-IT"/>
        </w:rPr>
        <w:t>licenze</w:t>
      </w:r>
      <w:r w:rsidR="00B45EE3" w:rsidRPr="00451078">
        <w:rPr>
          <w:rFonts w:eastAsia="Calibri" w:cs="Tahoma"/>
          <w:color w:val="000000"/>
          <w:szCs w:val="18"/>
          <w:lang w:val="it-IT"/>
        </w:rPr>
        <w:t> </w:t>
      </w:r>
      <w:r w:rsidRPr="00451078">
        <w:rPr>
          <w:rFonts w:eastAsia="Calibri" w:cs="Tahoma"/>
          <w:color w:val="000000"/>
          <w:szCs w:val="18"/>
          <w:lang w:val="it-IT"/>
        </w:rPr>
        <w:t>qualificanti</w:t>
      </w:r>
      <w:r w:rsidR="001A3EC5" w:rsidRPr="00451078">
        <w:rPr>
          <w:rFonts w:eastAsia="Calibri" w:cs="Tahoma"/>
          <w:color w:val="000000"/>
          <w:szCs w:val="18"/>
          <w:lang w:val="it-IT"/>
        </w:rPr>
        <w:t>”</w:t>
      </w:r>
      <w:r w:rsidRPr="00451078">
        <w:rPr>
          <w:rFonts w:eastAsia="Calibri" w:cs="Tahoma"/>
          <w:color w:val="000000"/>
          <w:szCs w:val="18"/>
          <w:lang w:val="it-IT"/>
        </w:rPr>
        <w:t xml:space="preserve">) vengono offerte le opzioni che seguono. Le licenze per processore per BizTalk Server 2010 Branch </w:t>
      </w:r>
      <w:r w:rsidRPr="00451078">
        <w:rPr>
          <w:rFonts w:cs="Tahoma"/>
          <w:bCs/>
          <w:color w:val="000000"/>
          <w:szCs w:val="18"/>
          <w:lang w:val="it-IT"/>
        </w:rPr>
        <w:t>acquistate successivamente nello stesso periodo di validità dell</w:t>
      </w:r>
      <w:r w:rsidR="004525CA">
        <w:rPr>
          <w:rFonts w:cs="Tahoma"/>
          <w:bCs/>
          <w:color w:val="000000"/>
          <w:szCs w:val="18"/>
          <w:lang w:val="it-IT"/>
        </w:rPr>
        <w:t>’</w:t>
      </w:r>
      <w:r w:rsidRPr="00451078">
        <w:rPr>
          <w:rFonts w:cs="Tahoma"/>
          <w:bCs/>
          <w:color w:val="000000"/>
          <w:szCs w:val="18"/>
          <w:lang w:val="it-IT"/>
        </w:rPr>
        <w:t>iscrizione nell</w:t>
      </w:r>
      <w:r w:rsidR="004525CA">
        <w:rPr>
          <w:rFonts w:cs="Tahoma"/>
          <w:bCs/>
          <w:color w:val="000000"/>
          <w:szCs w:val="18"/>
          <w:lang w:val="it-IT"/>
        </w:rPr>
        <w:t>’</w:t>
      </w:r>
      <w:r w:rsidRPr="00451078">
        <w:rPr>
          <w:rFonts w:cs="Tahoma"/>
          <w:bCs/>
          <w:color w:val="000000"/>
          <w:szCs w:val="18"/>
          <w:lang w:val="it-IT"/>
        </w:rPr>
        <w:t>ambito di una procedura pianificata di true-up della società Enterprise, Enterprise Subscription, Open Value Subscription o</w:t>
      </w:r>
      <w:r w:rsidR="00B45EE3" w:rsidRPr="00451078">
        <w:rPr>
          <w:rFonts w:cs="Tahoma"/>
          <w:bCs/>
          <w:color w:val="000000"/>
          <w:szCs w:val="18"/>
          <w:lang w:val="it-IT"/>
        </w:rPr>
        <w:t> </w:t>
      </w:r>
      <w:r w:rsidRPr="00451078">
        <w:rPr>
          <w:rFonts w:cs="Tahoma"/>
          <w:bCs/>
          <w:color w:val="000000"/>
          <w:szCs w:val="18"/>
          <w:lang w:val="it-IT"/>
        </w:rPr>
        <w:t>EES sono anch</w:t>
      </w:r>
      <w:r w:rsidR="004525CA">
        <w:rPr>
          <w:rFonts w:cs="Tahoma"/>
          <w:bCs/>
          <w:color w:val="000000"/>
          <w:szCs w:val="18"/>
          <w:lang w:val="it-IT"/>
        </w:rPr>
        <w:t>’</w:t>
      </w:r>
      <w:r w:rsidRPr="00451078">
        <w:rPr>
          <w:rFonts w:cs="Tahoma"/>
          <w:bCs/>
          <w:color w:val="000000"/>
          <w:szCs w:val="18"/>
          <w:lang w:val="it-IT"/>
        </w:rPr>
        <w:t>esse licenze qualificanti per gli scopi previsti da tali opzioni.</w:t>
      </w:r>
      <w:r w:rsidR="00082E1C" w:rsidRPr="00451078">
        <w:rPr>
          <w:rFonts w:cs="Tahoma"/>
          <w:bCs/>
          <w:color w:val="000000"/>
          <w:szCs w:val="18"/>
          <w:lang w:val="it-IT"/>
        </w:rPr>
        <w:t xml:space="preserve"> </w:t>
      </w:r>
      <w:r w:rsidRPr="00451078">
        <w:rPr>
          <w:rFonts w:cs="Tahoma"/>
          <w:bCs/>
          <w:color w:val="000000"/>
          <w:szCs w:val="18"/>
          <w:lang w:val="it-IT"/>
        </w:rPr>
        <w:t>Le licenze acquistate in un periodo di validità dell</w:t>
      </w:r>
      <w:r w:rsidR="004525CA">
        <w:rPr>
          <w:rFonts w:cs="Tahoma"/>
          <w:bCs/>
          <w:color w:val="000000"/>
          <w:szCs w:val="18"/>
          <w:lang w:val="it-IT"/>
        </w:rPr>
        <w:t>’</w:t>
      </w:r>
      <w:r w:rsidRPr="00451078">
        <w:rPr>
          <w:rFonts w:cs="Tahoma"/>
          <w:bCs/>
          <w:color w:val="000000"/>
          <w:szCs w:val="18"/>
          <w:lang w:val="it-IT"/>
        </w:rPr>
        <w:t>iscrizione successivo, ai sensi di un contratto specifico o di un</w:t>
      </w:r>
      <w:r w:rsidR="004525CA">
        <w:rPr>
          <w:rFonts w:cs="Tahoma"/>
          <w:bCs/>
          <w:color w:val="000000"/>
          <w:szCs w:val="18"/>
          <w:lang w:val="it-IT"/>
        </w:rPr>
        <w:t>’</w:t>
      </w:r>
      <w:r w:rsidRPr="00451078">
        <w:rPr>
          <w:rFonts w:cs="Tahoma"/>
          <w:bCs/>
          <w:color w:val="000000"/>
          <w:szCs w:val="18"/>
          <w:lang w:val="it-IT"/>
        </w:rPr>
        <w:t>iscrizione con la data di</w:t>
      </w:r>
      <w:r w:rsidR="00B45EE3" w:rsidRPr="00451078">
        <w:rPr>
          <w:rFonts w:cs="Tahoma"/>
          <w:bCs/>
          <w:color w:val="000000"/>
          <w:szCs w:val="18"/>
          <w:lang w:val="it-IT"/>
        </w:rPr>
        <w:t> </w:t>
      </w:r>
      <w:r w:rsidRPr="00451078">
        <w:rPr>
          <w:rFonts w:cs="Tahoma"/>
          <w:bCs/>
          <w:color w:val="000000"/>
          <w:szCs w:val="18"/>
          <w:lang w:val="it-IT"/>
        </w:rPr>
        <w:t>entrata in vigore posteriore al 1 aprile 2013, non sono licenze qualificanti.</w:t>
      </w:r>
    </w:p>
    <w:p w:rsidR="008233B3" w:rsidRPr="00451078" w:rsidRDefault="008233B3" w:rsidP="008233B3">
      <w:pPr>
        <w:ind w:left="720"/>
        <w:rPr>
          <w:lang w:val="it-IT"/>
        </w:rPr>
      </w:pPr>
    </w:p>
    <w:p w:rsidR="008233B3" w:rsidRPr="00451078" w:rsidRDefault="008233B3" w:rsidP="008233B3">
      <w:pPr>
        <w:spacing w:after="60"/>
        <w:ind w:left="720"/>
        <w:rPr>
          <w:lang w:val="it-IT"/>
        </w:rPr>
      </w:pPr>
      <w:r w:rsidRPr="00451078">
        <w:rPr>
          <w:rFonts w:eastAsia="Calibri" w:cs="Tahoma"/>
          <w:b/>
          <w:color w:val="000000"/>
          <w:szCs w:val="18"/>
          <w:lang w:val="it-IT"/>
        </w:rPr>
        <w:t>Periodo di Validità Corrente</w:t>
      </w:r>
    </w:p>
    <w:p w:rsidR="008233B3" w:rsidRPr="00451078" w:rsidRDefault="008233B3" w:rsidP="008233B3">
      <w:pPr>
        <w:ind w:left="720"/>
        <w:rPr>
          <w:lang w:val="it-IT"/>
        </w:rPr>
      </w:pPr>
      <w:r w:rsidRPr="00451078">
        <w:rPr>
          <w:rFonts w:eastAsia="Calibri" w:cs="Tahoma"/>
          <w:color w:val="000000"/>
          <w:szCs w:val="18"/>
          <w:lang w:val="it-IT"/>
        </w:rPr>
        <w:t xml:space="preserve">Durante il periodo di validità corrente della copertura Software Assurance a decorrere dal 1 aprile 2013 le società (incluse le società titolari di contratti </w:t>
      </w:r>
      <w:r w:rsidR="001A3EC5" w:rsidRPr="00451078">
        <w:rPr>
          <w:rFonts w:eastAsia="Calibri" w:cs="Tahoma"/>
          <w:color w:val="000000"/>
          <w:szCs w:val="18"/>
          <w:lang w:val="it-IT"/>
        </w:rPr>
        <w:t>“</w:t>
      </w:r>
      <w:r w:rsidRPr="00451078">
        <w:rPr>
          <w:rFonts w:eastAsia="Calibri" w:cs="Tahoma"/>
          <w:color w:val="000000"/>
          <w:szCs w:val="18"/>
          <w:lang w:val="it-IT"/>
        </w:rPr>
        <w:t>subscription</w:t>
      </w:r>
      <w:r w:rsidR="001A3EC5" w:rsidRPr="00451078">
        <w:rPr>
          <w:rFonts w:eastAsia="Calibri" w:cs="Tahoma"/>
          <w:color w:val="000000"/>
          <w:szCs w:val="18"/>
          <w:lang w:val="it-IT"/>
        </w:rPr>
        <w:t>”</w:t>
      </w:r>
      <w:r w:rsidRPr="00451078">
        <w:rPr>
          <w:rFonts w:eastAsia="Calibri" w:cs="Tahoma"/>
          <w:color w:val="000000"/>
          <w:szCs w:val="18"/>
          <w:lang w:val="it-IT"/>
        </w:rPr>
        <w:t>) potranno, ai sensi di una licenza qualificante, effettuare l</w:t>
      </w:r>
      <w:r w:rsidR="004525CA">
        <w:rPr>
          <w:rFonts w:eastAsia="Calibri" w:cs="Tahoma"/>
          <w:color w:val="000000"/>
          <w:szCs w:val="18"/>
          <w:lang w:val="it-IT"/>
        </w:rPr>
        <w:t>’</w:t>
      </w:r>
      <w:r w:rsidRPr="00451078">
        <w:rPr>
          <w:rFonts w:eastAsia="Calibri" w:cs="Tahoma"/>
          <w:color w:val="000000"/>
          <w:szCs w:val="18"/>
          <w:lang w:val="it-IT"/>
        </w:rPr>
        <w:t>aggiornamento al software BizTalk Server 2013 Branch e utilizzarlo al posto di BizTalk Server 2010 Branch in conformità ai diritti di utilizzo del prodotto previsti dalla licenza per processore BizTalk Server</w:t>
      </w:r>
      <w:r w:rsidR="00B45EE3" w:rsidRPr="00451078">
        <w:rPr>
          <w:rFonts w:eastAsia="Calibri" w:cs="Tahoma"/>
          <w:color w:val="000000"/>
          <w:szCs w:val="18"/>
          <w:lang w:val="it-IT"/>
        </w:rPr>
        <w:t> </w:t>
      </w:r>
      <w:r w:rsidRPr="00451078">
        <w:rPr>
          <w:rFonts w:eastAsia="Calibri" w:cs="Tahoma"/>
          <w:color w:val="000000"/>
          <w:szCs w:val="18"/>
          <w:lang w:val="it-IT"/>
        </w:rPr>
        <w:t xml:space="preserve">2010 Branch (come indicato nei Diritti di Utilizzo del Prodotto del mese di gennaio 2013). </w:t>
      </w:r>
    </w:p>
    <w:p w:rsidR="008233B3" w:rsidRPr="00451078" w:rsidRDefault="008233B3" w:rsidP="008233B3">
      <w:pPr>
        <w:ind w:left="720"/>
        <w:rPr>
          <w:lang w:val="it-IT"/>
        </w:rPr>
      </w:pPr>
    </w:p>
    <w:p w:rsidR="008233B3" w:rsidRPr="00451078" w:rsidRDefault="008233B3" w:rsidP="008233B3">
      <w:pPr>
        <w:spacing w:after="60"/>
        <w:ind w:left="720"/>
        <w:rPr>
          <w:lang w:val="it-IT"/>
        </w:rPr>
      </w:pPr>
      <w:r w:rsidRPr="00451078">
        <w:rPr>
          <w:rFonts w:eastAsia="Calibri" w:cs="Tahoma"/>
          <w:b/>
          <w:color w:val="000000"/>
          <w:szCs w:val="18"/>
          <w:lang w:val="it-IT"/>
        </w:rPr>
        <w:t>Primo Periodo di Rinnovo</w:t>
      </w:r>
    </w:p>
    <w:p w:rsidR="008233B3" w:rsidRPr="00451078" w:rsidRDefault="008233B3" w:rsidP="008233B3">
      <w:pPr>
        <w:tabs>
          <w:tab w:val="left" w:pos="1800"/>
        </w:tabs>
        <w:spacing w:after="60"/>
        <w:ind w:left="720"/>
        <w:rPr>
          <w:lang w:val="it-IT"/>
        </w:rPr>
      </w:pPr>
      <w:r w:rsidRPr="00451078">
        <w:rPr>
          <w:rFonts w:eastAsia="Calibri" w:cs="Tahoma"/>
          <w:color w:val="000000"/>
          <w:szCs w:val="18"/>
          <w:lang w:val="it-IT"/>
        </w:rPr>
        <w:t xml:space="preserve">In occasione del primo rinnovo di Software Assurance in data 1 aprile 2013 o successiva, per ogni server che una società ha ricevuto validamente in licenza in conformità ai diritti di utilizzo del prodotto previsti dalla licenza per processore BizTalk Server 2010, la società potrà acquistare la copertura Software Assurance per le licenze core per BizTalk Server Branch senza dovere acquistare le licenze core sottostanti per un numero di licenze core pari al numero di licenze per processore qualificanti cedute al server moltiplicato per il maggiore tra: </w:t>
      </w:r>
    </w:p>
    <w:p w:rsidR="008233B3" w:rsidRPr="003410C7" w:rsidRDefault="008233B3" w:rsidP="00745AB3">
      <w:pPr>
        <w:numPr>
          <w:ilvl w:val="3"/>
          <w:numId w:val="92"/>
        </w:numPr>
        <w:tabs>
          <w:tab w:val="left" w:pos="2160"/>
        </w:tabs>
        <w:spacing w:after="60"/>
        <w:ind w:left="2160"/>
      </w:pPr>
      <w:r w:rsidRPr="003410C7">
        <w:rPr>
          <w:rFonts w:eastAsia="Calibri" w:cs="Tahoma"/>
          <w:color w:val="000000"/>
          <w:szCs w:val="18"/>
        </w:rPr>
        <w:t>quattro O</w:t>
      </w:r>
    </w:p>
    <w:p w:rsidR="008233B3" w:rsidRPr="00451078" w:rsidRDefault="008233B3" w:rsidP="00745AB3">
      <w:pPr>
        <w:numPr>
          <w:ilvl w:val="3"/>
          <w:numId w:val="92"/>
        </w:numPr>
        <w:tabs>
          <w:tab w:val="left" w:pos="2160"/>
        </w:tabs>
        <w:spacing w:after="60"/>
        <w:ind w:left="2160"/>
        <w:rPr>
          <w:lang w:val="it-IT"/>
        </w:rPr>
      </w:pPr>
      <w:r w:rsidRPr="00451078">
        <w:rPr>
          <w:rFonts w:eastAsia="Calibri" w:cs="Tahoma"/>
          <w:color w:val="000000"/>
          <w:szCs w:val="18"/>
          <w:lang w:val="it-IT"/>
        </w:rPr>
        <w:t>il numero effettivo di core per processore fisico moltiplicato per il fattore core appropriato.</w:t>
      </w:r>
      <w:r w:rsidR="00082E1C" w:rsidRPr="00451078">
        <w:rPr>
          <w:rFonts w:eastAsia="Calibri" w:cs="Tahoma"/>
          <w:color w:val="000000"/>
          <w:szCs w:val="18"/>
          <w:lang w:val="it-IT"/>
        </w:rPr>
        <w:t xml:space="preserve"> </w:t>
      </w:r>
      <w:r w:rsidRPr="00451078">
        <w:rPr>
          <w:rFonts w:eastAsia="Calibri" w:cs="Tahoma"/>
          <w:color w:val="000000"/>
          <w:szCs w:val="18"/>
          <w:lang w:val="it-IT"/>
        </w:rPr>
        <w:t>(Nei casi in cui il numero effettivo di core per processore fisico superi quattro, le società dovranno conservare un record della configurazione del software BizTalk Server in esecuzione sul server (istanze con licenza in esecuzione negli ambienti del sistema operativo sul server con licenza) e l</w:t>
      </w:r>
      <w:r w:rsidR="004525CA">
        <w:rPr>
          <w:rFonts w:eastAsia="Calibri" w:cs="Tahoma"/>
          <w:color w:val="000000"/>
          <w:szCs w:val="18"/>
          <w:lang w:val="it-IT"/>
        </w:rPr>
        <w:t>’</w:t>
      </w:r>
      <w:r w:rsidRPr="00451078">
        <w:rPr>
          <w:rFonts w:eastAsia="Calibri" w:cs="Tahoma"/>
          <w:color w:val="000000"/>
          <w:szCs w:val="18"/>
          <w:lang w:val="it-IT"/>
        </w:rPr>
        <w:t xml:space="preserve">hardware fisico che supporta tale software appena prima del rinnovo di Software Assurance utilizzando lo strumento MAP di Microsoft o un software equivalente). </w:t>
      </w:r>
    </w:p>
    <w:p w:rsidR="008233B3" w:rsidRPr="00451078" w:rsidRDefault="008233B3" w:rsidP="008233B3">
      <w:pPr>
        <w:tabs>
          <w:tab w:val="left" w:pos="1800"/>
        </w:tabs>
        <w:ind w:left="1080"/>
        <w:rPr>
          <w:lang w:val="it-IT"/>
        </w:rPr>
      </w:pPr>
    </w:p>
    <w:p w:rsidR="008233B3" w:rsidRPr="00451078" w:rsidRDefault="008233B3" w:rsidP="008233B3">
      <w:pPr>
        <w:spacing w:after="60"/>
        <w:ind w:left="720"/>
        <w:rPr>
          <w:lang w:val="it-IT"/>
        </w:rPr>
      </w:pPr>
      <w:r w:rsidRPr="00451078">
        <w:rPr>
          <w:rFonts w:eastAsia="Calibri" w:cs="Tahoma"/>
          <w:color w:val="000000"/>
          <w:szCs w:val="18"/>
          <w:lang w:val="it-IT"/>
        </w:rPr>
        <w:t xml:space="preserve">Le licenze per processore delle società non sono più valide se si acquista la copertura Software Assurance per licenze core ai sensi della presente offerta. </w:t>
      </w:r>
      <w:r w:rsidRPr="00451078">
        <w:rPr>
          <w:rFonts w:eastAsia="Calibri" w:cs="Tahoma"/>
          <w:szCs w:val="18"/>
          <w:lang w:val="it-IT"/>
        </w:rPr>
        <w:t>L</w:t>
      </w:r>
      <w:r w:rsidR="004525CA">
        <w:rPr>
          <w:rFonts w:eastAsia="Calibri" w:cs="Tahoma"/>
          <w:szCs w:val="18"/>
          <w:lang w:val="it-IT"/>
        </w:rPr>
        <w:t>’</w:t>
      </w:r>
      <w:r w:rsidRPr="00451078">
        <w:rPr>
          <w:rFonts w:eastAsia="Calibri" w:cs="Tahoma"/>
          <w:szCs w:val="18"/>
          <w:lang w:val="it-IT"/>
        </w:rPr>
        <w:t>opzione di acquistare Software Assurance per le licenze core per BizTalk Server non è applicabile al rinnovo della copertura ai sensi dei programmi di sottoscrizione.</w:t>
      </w:r>
      <w:r w:rsidR="00082E1C" w:rsidRPr="00451078">
        <w:rPr>
          <w:rFonts w:eastAsia="Calibri" w:cs="Tahoma"/>
          <w:szCs w:val="18"/>
          <w:lang w:val="it-IT"/>
        </w:rPr>
        <w:t xml:space="preserve"> </w:t>
      </w:r>
    </w:p>
    <w:p w:rsidR="008233B3" w:rsidRPr="00451078" w:rsidRDefault="008233B3" w:rsidP="008233B3">
      <w:pPr>
        <w:ind w:left="1440"/>
        <w:rPr>
          <w:lang w:val="it-IT"/>
        </w:rPr>
      </w:pPr>
    </w:p>
    <w:p w:rsidR="008233B3" w:rsidRPr="00451078" w:rsidRDefault="008233B3" w:rsidP="008233B3">
      <w:pPr>
        <w:tabs>
          <w:tab w:val="left" w:pos="1440"/>
        </w:tabs>
        <w:spacing w:after="60"/>
        <w:ind w:left="720"/>
        <w:rPr>
          <w:lang w:val="it-IT"/>
        </w:rPr>
      </w:pPr>
      <w:r w:rsidRPr="00451078">
        <w:rPr>
          <w:rFonts w:eastAsia="Calibri" w:cs="Tahoma"/>
          <w:b/>
          <w:color w:val="000000"/>
          <w:szCs w:val="18"/>
          <w:lang w:val="it-IT"/>
        </w:rPr>
        <w:t>Per le Società con copertura Software Assurance che scelgono di non effettuare il rinnovo</w:t>
      </w:r>
    </w:p>
    <w:p w:rsidR="008233B3" w:rsidRPr="00451078" w:rsidRDefault="008233B3" w:rsidP="008233B3">
      <w:pPr>
        <w:tabs>
          <w:tab w:val="left" w:pos="1440"/>
        </w:tabs>
        <w:ind w:left="720"/>
        <w:rPr>
          <w:lang w:val="it-IT"/>
        </w:rPr>
      </w:pPr>
      <w:r w:rsidRPr="00451078">
        <w:rPr>
          <w:rFonts w:eastAsia="Calibri" w:cs="Tahoma"/>
          <w:color w:val="000000"/>
          <w:szCs w:val="18"/>
          <w:lang w:val="it-IT"/>
        </w:rPr>
        <w:t xml:space="preserve">le società titolari di contratti Enterprise Subscription </w:t>
      </w:r>
      <w:r w:rsidRPr="00451078">
        <w:rPr>
          <w:rFonts w:cs="Tahoma"/>
          <w:bCs/>
          <w:color w:val="000000"/>
          <w:szCs w:val="18"/>
          <w:lang w:val="it-IT"/>
        </w:rPr>
        <w:t xml:space="preserve">e Open Value Subscription </w:t>
      </w:r>
      <w:r w:rsidRPr="00451078">
        <w:rPr>
          <w:rFonts w:eastAsia="Calibri" w:cs="Tahoma"/>
          <w:color w:val="000000"/>
          <w:szCs w:val="18"/>
          <w:lang w:val="it-IT"/>
        </w:rPr>
        <w:t>che scelgono di effettuare il</w:t>
      </w:r>
      <w:r w:rsidR="00B45EE3" w:rsidRPr="00451078">
        <w:rPr>
          <w:rFonts w:eastAsia="Calibri" w:cs="Tahoma"/>
          <w:color w:val="000000"/>
          <w:szCs w:val="18"/>
          <w:lang w:val="it-IT"/>
        </w:rPr>
        <w:t> </w:t>
      </w:r>
      <w:r w:rsidRPr="00451078">
        <w:rPr>
          <w:rFonts w:eastAsia="Calibri" w:cs="Tahoma"/>
          <w:color w:val="000000"/>
          <w:szCs w:val="18"/>
          <w:lang w:val="it-IT"/>
        </w:rPr>
        <w:t>buy-out delle licenze per processore e le altre società che acquistano licenze perpetue ai sensi del loro contratto e scelgono di non rinnovare Software Assurance potranno eseguire BizTalk Server 2010 o BizTalk Server 2013 ai sensi di tali licenze come indicato sotto:</w:t>
      </w:r>
    </w:p>
    <w:p w:rsidR="008233B3" w:rsidRPr="00451078" w:rsidRDefault="008233B3" w:rsidP="008233B3">
      <w:pPr>
        <w:tabs>
          <w:tab w:val="left" w:pos="1440"/>
        </w:tabs>
        <w:ind w:left="720"/>
        <w:rPr>
          <w:lang w:val="it-IT"/>
        </w:rPr>
      </w:pPr>
    </w:p>
    <w:p w:rsidR="008233B3" w:rsidRPr="00451078" w:rsidRDefault="008233B3" w:rsidP="00745AB3">
      <w:pPr>
        <w:numPr>
          <w:ilvl w:val="0"/>
          <w:numId w:val="52"/>
        </w:numPr>
        <w:spacing w:after="60"/>
        <w:ind w:left="1440"/>
        <w:rPr>
          <w:lang w:val="it-IT"/>
        </w:rPr>
      </w:pPr>
      <w:r w:rsidRPr="00451078">
        <w:rPr>
          <w:rFonts w:eastAsia="Calibri" w:cs="Tahoma"/>
          <w:b/>
          <w:color w:val="000000"/>
          <w:szCs w:val="18"/>
          <w:lang w:val="it-IT"/>
        </w:rPr>
        <w:t>BizTalk Server 2010 Branch:</w:t>
      </w:r>
      <w:r w:rsidRPr="00451078">
        <w:rPr>
          <w:rFonts w:eastAsia="Calibri" w:cs="Tahoma"/>
          <w:color w:val="000000"/>
          <w:szCs w:val="18"/>
          <w:lang w:val="it-IT"/>
        </w:rPr>
        <w:t xml:space="preserve"> L</w:t>
      </w:r>
      <w:r w:rsidR="004525CA">
        <w:rPr>
          <w:rFonts w:eastAsia="Calibri" w:cs="Tahoma"/>
          <w:color w:val="000000"/>
          <w:szCs w:val="18"/>
          <w:lang w:val="it-IT"/>
        </w:rPr>
        <w:t>’</w:t>
      </w:r>
      <w:r w:rsidRPr="00451078">
        <w:rPr>
          <w:rFonts w:eastAsia="Calibri" w:cs="Tahoma"/>
          <w:color w:val="000000"/>
          <w:szCs w:val="18"/>
          <w:lang w:val="it-IT"/>
        </w:rPr>
        <w:t>utilizzo continuativo di questo software è soggetto ai diritti di utilizzo del prodotto previsti dalla licenza per processore per BizTalk Server 2010 Branch; tuttavia, le società non disporranno più di Mobilità delle Licenze tramite Software Assurance.</w:t>
      </w:r>
    </w:p>
    <w:p w:rsidR="008233B3" w:rsidRPr="00451078" w:rsidRDefault="008233B3" w:rsidP="00745AB3">
      <w:pPr>
        <w:numPr>
          <w:ilvl w:val="0"/>
          <w:numId w:val="52"/>
        </w:numPr>
        <w:tabs>
          <w:tab w:val="left" w:pos="1800"/>
        </w:tabs>
        <w:spacing w:after="60"/>
        <w:ind w:left="1440"/>
        <w:rPr>
          <w:lang w:val="it-IT"/>
        </w:rPr>
      </w:pPr>
      <w:r w:rsidRPr="00451078">
        <w:rPr>
          <w:rFonts w:eastAsia="Calibri" w:cs="Tahoma"/>
          <w:b/>
          <w:color w:val="000000"/>
          <w:szCs w:val="18"/>
          <w:lang w:val="it-IT"/>
        </w:rPr>
        <w:t xml:space="preserve">BizTalk Server 2013 Branch: </w:t>
      </w:r>
      <w:r w:rsidRPr="00451078">
        <w:rPr>
          <w:rFonts w:eastAsia="Calibri" w:cs="Tahoma"/>
          <w:color w:val="000000"/>
          <w:szCs w:val="18"/>
          <w:lang w:val="it-IT"/>
        </w:rPr>
        <w:t>l</w:t>
      </w:r>
      <w:r w:rsidR="004525CA">
        <w:rPr>
          <w:rFonts w:eastAsia="Calibri" w:cs="Tahoma"/>
          <w:color w:val="000000"/>
          <w:szCs w:val="18"/>
          <w:lang w:val="it-IT"/>
        </w:rPr>
        <w:t>’</w:t>
      </w:r>
      <w:r w:rsidRPr="00451078">
        <w:rPr>
          <w:rFonts w:eastAsia="Calibri" w:cs="Tahoma"/>
          <w:color w:val="000000"/>
          <w:szCs w:val="18"/>
          <w:lang w:val="it-IT"/>
        </w:rPr>
        <w:t xml:space="preserve">utilizzo di tale versione del software è soggetto ai diritti di utilizzo del prodotto previsti dalla licenza per processore per BizTalk Server 2010 Branch, tuttavia: </w:t>
      </w:r>
    </w:p>
    <w:p w:rsidR="008233B3" w:rsidRPr="00451078" w:rsidRDefault="008233B3" w:rsidP="00745AB3">
      <w:pPr>
        <w:numPr>
          <w:ilvl w:val="1"/>
          <w:numId w:val="52"/>
        </w:numPr>
        <w:tabs>
          <w:tab w:val="left" w:pos="2160"/>
        </w:tabs>
        <w:spacing w:after="60"/>
        <w:ind w:left="2160"/>
        <w:rPr>
          <w:rFonts w:cs="Tahoma"/>
          <w:szCs w:val="18"/>
          <w:lang w:val="it-IT"/>
        </w:rPr>
      </w:pPr>
      <w:r w:rsidRPr="00451078">
        <w:rPr>
          <w:rFonts w:eastAsia="Calibri" w:cs="Tahoma"/>
          <w:color w:val="000000"/>
          <w:szCs w:val="18"/>
          <w:lang w:val="it-IT"/>
        </w:rPr>
        <w:t>le società non disporranno più della Mobilità delle Licenze all</w:t>
      </w:r>
      <w:r w:rsidR="004525CA">
        <w:rPr>
          <w:rFonts w:eastAsia="Calibri" w:cs="Tahoma"/>
          <w:color w:val="000000"/>
          <w:szCs w:val="18"/>
          <w:lang w:val="it-IT"/>
        </w:rPr>
        <w:t>’</w:t>
      </w:r>
      <w:r w:rsidRPr="00451078">
        <w:rPr>
          <w:rFonts w:eastAsia="Calibri" w:cs="Tahoma"/>
          <w:color w:val="000000"/>
          <w:szCs w:val="18"/>
          <w:lang w:val="it-IT"/>
        </w:rPr>
        <w:t xml:space="preserve">interno di Server Farm o della Mobilità delle Licenze tramite Software Assurance e </w:t>
      </w:r>
    </w:p>
    <w:p w:rsidR="008233B3" w:rsidRPr="00451078" w:rsidRDefault="008233B3" w:rsidP="00745AB3">
      <w:pPr>
        <w:numPr>
          <w:ilvl w:val="1"/>
          <w:numId w:val="52"/>
        </w:numPr>
        <w:tabs>
          <w:tab w:val="left" w:pos="2160"/>
          <w:tab w:val="left" w:pos="2970"/>
        </w:tabs>
        <w:spacing w:after="60"/>
        <w:ind w:left="2160"/>
        <w:rPr>
          <w:rFonts w:cs="Tahoma"/>
          <w:szCs w:val="18"/>
          <w:lang w:val="it-IT"/>
        </w:rPr>
      </w:pPr>
      <w:r w:rsidRPr="00451078">
        <w:rPr>
          <w:rFonts w:eastAsia="Calibri" w:cs="Tahoma"/>
          <w:color w:val="000000"/>
          <w:szCs w:val="18"/>
          <w:lang w:val="it-IT"/>
        </w:rPr>
        <w:t>l</w:t>
      </w:r>
      <w:r w:rsidR="004525CA">
        <w:rPr>
          <w:rFonts w:eastAsia="Calibri" w:cs="Tahoma"/>
          <w:color w:val="000000"/>
          <w:szCs w:val="18"/>
          <w:lang w:val="it-IT"/>
        </w:rPr>
        <w:t>’</w:t>
      </w:r>
      <w:r w:rsidRPr="00451078">
        <w:rPr>
          <w:rFonts w:eastAsia="Calibri" w:cs="Tahoma"/>
          <w:color w:val="000000"/>
          <w:szCs w:val="18"/>
          <w:lang w:val="it-IT"/>
        </w:rPr>
        <w:t xml:space="preserve">eventuale riassegnazione di licenze è soggetta ai limiti che seguono relativi alla loro </w:t>
      </w:r>
      <w:r w:rsidR="001A3EC5" w:rsidRPr="00451078">
        <w:rPr>
          <w:rFonts w:eastAsia="Calibri" w:cs="Tahoma"/>
          <w:color w:val="000000"/>
          <w:szCs w:val="18"/>
          <w:lang w:val="it-IT"/>
        </w:rPr>
        <w:t>“</w:t>
      </w:r>
      <w:r w:rsidRPr="00451078">
        <w:rPr>
          <w:rFonts w:eastAsia="Calibri" w:cs="Tahoma"/>
          <w:color w:val="000000"/>
          <w:szCs w:val="18"/>
          <w:lang w:val="it-IT"/>
        </w:rPr>
        <w:t>equivalenza di licenze core</w:t>
      </w:r>
      <w:r w:rsidR="001A3EC5" w:rsidRPr="00451078">
        <w:rPr>
          <w:rFonts w:eastAsia="Calibri" w:cs="Tahoma"/>
          <w:color w:val="000000"/>
          <w:szCs w:val="18"/>
          <w:lang w:val="it-IT"/>
        </w:rPr>
        <w:t>”</w:t>
      </w:r>
      <w:r w:rsidRPr="00451078">
        <w:rPr>
          <w:rFonts w:eastAsia="Calibri" w:cs="Tahoma"/>
          <w:color w:val="000000"/>
          <w:szCs w:val="18"/>
          <w:lang w:val="it-IT"/>
        </w:rPr>
        <w:t>. L</w:t>
      </w:r>
      <w:r w:rsidR="004525CA">
        <w:rPr>
          <w:rFonts w:eastAsia="Calibri" w:cs="Tahoma"/>
          <w:color w:val="000000"/>
          <w:szCs w:val="18"/>
          <w:lang w:val="it-IT"/>
        </w:rPr>
        <w:t>’</w:t>
      </w:r>
      <w:r w:rsidRPr="00451078">
        <w:rPr>
          <w:rFonts w:eastAsia="Calibri" w:cs="Tahoma"/>
          <w:color w:val="000000"/>
          <w:szCs w:val="18"/>
          <w:lang w:val="it-IT"/>
        </w:rPr>
        <w:t xml:space="preserve">equivalenza di licenze core è determinata come di seguito riportato. </w:t>
      </w:r>
    </w:p>
    <w:p w:rsidR="008233B3" w:rsidRPr="00451078" w:rsidRDefault="008233B3" w:rsidP="00745AB3">
      <w:pPr>
        <w:numPr>
          <w:ilvl w:val="2"/>
          <w:numId w:val="52"/>
        </w:numPr>
        <w:tabs>
          <w:tab w:val="left" w:pos="2520"/>
        </w:tabs>
        <w:spacing w:after="60"/>
        <w:ind w:left="2520"/>
        <w:rPr>
          <w:lang w:val="it-IT"/>
        </w:rPr>
      </w:pPr>
      <w:r w:rsidRPr="00451078">
        <w:rPr>
          <w:rFonts w:eastAsia="Calibri" w:cs="Tahoma"/>
          <w:color w:val="000000"/>
          <w:szCs w:val="18"/>
          <w:lang w:val="it-IT"/>
        </w:rPr>
        <w:lastRenderedPageBreak/>
        <w:t>Per ogni licenza qualificante ceduta al server, l</w:t>
      </w:r>
      <w:r w:rsidR="004525CA">
        <w:rPr>
          <w:rFonts w:eastAsia="Calibri" w:cs="Tahoma"/>
          <w:color w:val="000000"/>
          <w:szCs w:val="18"/>
          <w:lang w:val="it-IT"/>
        </w:rPr>
        <w:t>’</w:t>
      </w:r>
      <w:r w:rsidRPr="00451078">
        <w:rPr>
          <w:rFonts w:eastAsia="Calibri" w:cs="Tahoma"/>
          <w:color w:val="000000"/>
          <w:szCs w:val="18"/>
          <w:lang w:val="it-IT"/>
        </w:rPr>
        <w:t xml:space="preserve">equivalenza di licenze core è il numero maggiore tra: </w:t>
      </w:r>
    </w:p>
    <w:p w:rsidR="008233B3" w:rsidRPr="00451078" w:rsidRDefault="008233B3" w:rsidP="00745AB3">
      <w:pPr>
        <w:numPr>
          <w:ilvl w:val="4"/>
          <w:numId w:val="125"/>
        </w:numPr>
        <w:tabs>
          <w:tab w:val="left" w:pos="2880"/>
        </w:tabs>
        <w:spacing w:after="60"/>
        <w:ind w:left="2880"/>
        <w:rPr>
          <w:lang w:val="it-IT"/>
        </w:rPr>
      </w:pPr>
      <w:r w:rsidRPr="00451078">
        <w:rPr>
          <w:rFonts w:eastAsia="Calibri" w:cs="Tahoma"/>
          <w:color w:val="000000"/>
          <w:szCs w:val="18"/>
          <w:lang w:val="it-IT"/>
        </w:rPr>
        <w:t xml:space="preserve">quattro core per licenza per processore O </w:t>
      </w:r>
    </w:p>
    <w:p w:rsidR="008233B3" w:rsidRPr="00451078" w:rsidRDefault="008233B3" w:rsidP="00745AB3">
      <w:pPr>
        <w:numPr>
          <w:ilvl w:val="4"/>
          <w:numId w:val="125"/>
        </w:numPr>
        <w:tabs>
          <w:tab w:val="left" w:pos="2880"/>
        </w:tabs>
        <w:spacing w:after="60"/>
        <w:ind w:left="2880"/>
        <w:rPr>
          <w:lang w:val="it-IT"/>
        </w:rPr>
      </w:pPr>
      <w:r w:rsidRPr="00451078">
        <w:rPr>
          <w:rFonts w:eastAsia="Calibri" w:cs="Tahoma"/>
          <w:color w:val="000000"/>
          <w:szCs w:val="18"/>
          <w:lang w:val="it-IT"/>
        </w:rPr>
        <w:t>un numero di core per licenza per processore basato sul numero effettivo di core per processore fisico moltiplicato per il fattore core appropriato. (Nei casi in cui il numero effettivo di core per processore fisico superi quattro, le società dovranno conservare un record della configurazione del software BizTalk Server in esecuzione sul server (istanze con licenza in esecuzione negli ambienti del sistema operativo sul server con licenza) e l</w:t>
      </w:r>
      <w:r w:rsidR="004525CA">
        <w:rPr>
          <w:rFonts w:eastAsia="Calibri" w:cs="Tahoma"/>
          <w:color w:val="000000"/>
          <w:szCs w:val="18"/>
          <w:lang w:val="it-IT"/>
        </w:rPr>
        <w:t>’</w:t>
      </w:r>
      <w:r w:rsidRPr="00451078">
        <w:rPr>
          <w:rFonts w:eastAsia="Calibri" w:cs="Tahoma"/>
          <w:color w:val="000000"/>
          <w:szCs w:val="18"/>
          <w:lang w:val="it-IT"/>
        </w:rPr>
        <w:t xml:space="preserve">hardware fisico che supporta tale software appena prima della scadenza di Software Assurance utilizzando lo strumento MAP di Microsoft o un software equivalente). </w:t>
      </w:r>
    </w:p>
    <w:p w:rsidR="008233B3" w:rsidRPr="00451078" w:rsidRDefault="008233B3" w:rsidP="00745AB3">
      <w:pPr>
        <w:numPr>
          <w:ilvl w:val="1"/>
          <w:numId w:val="127"/>
        </w:numPr>
        <w:tabs>
          <w:tab w:val="left" w:pos="1800"/>
        </w:tabs>
        <w:spacing w:after="60"/>
        <w:rPr>
          <w:lang w:val="it-IT"/>
        </w:rPr>
      </w:pPr>
      <w:r w:rsidRPr="00451078">
        <w:rPr>
          <w:rFonts w:eastAsia="Calibri" w:cs="Tahoma"/>
          <w:color w:val="000000"/>
          <w:szCs w:val="18"/>
          <w:lang w:val="it-IT"/>
        </w:rPr>
        <w:t xml:space="preserve">Le società </w:t>
      </w:r>
      <w:r w:rsidRPr="00451078">
        <w:rPr>
          <w:rFonts w:eastAsia="Calibri" w:cs="Tahoma"/>
          <w:szCs w:val="18"/>
          <w:lang w:val="it-IT"/>
        </w:rPr>
        <w:t>potranno riassegnare le licenze a un altro server. Tuttavia, qualora la società riassegni una licenza a un altro server, dovrà attenersi ai diritti sull</w:t>
      </w:r>
      <w:r w:rsidR="004525CA">
        <w:rPr>
          <w:rFonts w:eastAsia="Calibri" w:cs="Tahoma"/>
          <w:szCs w:val="18"/>
          <w:lang w:val="it-IT"/>
        </w:rPr>
        <w:t>’</w:t>
      </w:r>
      <w:r w:rsidRPr="00451078">
        <w:rPr>
          <w:rFonts w:eastAsia="Calibri" w:cs="Tahoma"/>
          <w:szCs w:val="18"/>
          <w:lang w:val="it-IT"/>
        </w:rPr>
        <w:t>utilizzo di BizTalk Server 2013. Quando cede licenze core a server ai sensi dei diritti sull</w:t>
      </w:r>
      <w:r w:rsidR="004525CA">
        <w:rPr>
          <w:rFonts w:eastAsia="Calibri" w:cs="Tahoma"/>
          <w:szCs w:val="18"/>
          <w:lang w:val="it-IT"/>
        </w:rPr>
        <w:t>’</w:t>
      </w:r>
      <w:r w:rsidRPr="00451078">
        <w:rPr>
          <w:rFonts w:eastAsia="Calibri" w:cs="Tahoma"/>
          <w:szCs w:val="18"/>
          <w:lang w:val="it-IT"/>
        </w:rPr>
        <w:t>utilizzo per BizTalk 2013, la società potrà combinare l</w:t>
      </w:r>
      <w:r w:rsidR="004525CA">
        <w:rPr>
          <w:rFonts w:eastAsia="Calibri" w:cs="Tahoma"/>
          <w:szCs w:val="18"/>
          <w:lang w:val="it-IT"/>
        </w:rPr>
        <w:t>’</w:t>
      </w:r>
      <w:r w:rsidRPr="00451078">
        <w:rPr>
          <w:rFonts w:eastAsia="Calibri" w:cs="Tahoma"/>
          <w:szCs w:val="18"/>
          <w:lang w:val="it-IT"/>
        </w:rPr>
        <w:t>equivalenza core delle licenze esistenti con le licenze core per BizTalk Server 2013 aggiuntive.</w:t>
      </w:r>
    </w:p>
    <w:p w:rsidR="008233B3" w:rsidRPr="00451078" w:rsidRDefault="008233B3" w:rsidP="00745AB3">
      <w:pPr>
        <w:numPr>
          <w:ilvl w:val="1"/>
          <w:numId w:val="127"/>
        </w:numPr>
        <w:tabs>
          <w:tab w:val="left" w:pos="1800"/>
          <w:tab w:val="left" w:pos="2970"/>
        </w:tabs>
        <w:spacing w:after="60"/>
        <w:rPr>
          <w:lang w:val="it-IT"/>
        </w:rPr>
      </w:pPr>
      <w:r w:rsidRPr="00451078">
        <w:rPr>
          <w:rFonts w:eastAsia="Calibri" w:cs="Tahoma"/>
          <w:color w:val="000000"/>
          <w:szCs w:val="18"/>
          <w:lang w:val="it-IT"/>
        </w:rPr>
        <w:t>L</w:t>
      </w:r>
      <w:r w:rsidR="004525CA">
        <w:rPr>
          <w:rFonts w:eastAsia="Calibri" w:cs="Tahoma"/>
          <w:color w:val="000000"/>
          <w:szCs w:val="18"/>
          <w:lang w:val="it-IT"/>
        </w:rPr>
        <w:t>’</w:t>
      </w:r>
      <w:r w:rsidRPr="00451078">
        <w:rPr>
          <w:rFonts w:eastAsia="Calibri" w:cs="Tahoma"/>
          <w:color w:val="000000"/>
          <w:szCs w:val="18"/>
          <w:lang w:val="it-IT"/>
        </w:rPr>
        <w:t>equivalenza di licenze core stimata delle società non implica che esse possano cedere una licenza singola per processore a core attraverso due o più processori.</w:t>
      </w:r>
    </w:p>
    <w:p w:rsidR="008233B3" w:rsidRPr="00451078" w:rsidRDefault="008233B3" w:rsidP="008233B3">
      <w:pPr>
        <w:ind w:left="1440"/>
        <w:rPr>
          <w:lang w:val="it-IT"/>
        </w:rPr>
      </w:pPr>
    </w:p>
    <w:p w:rsidR="008233B3" w:rsidRPr="00451078" w:rsidRDefault="008233B3" w:rsidP="008233B3">
      <w:pPr>
        <w:tabs>
          <w:tab w:val="left" w:pos="720"/>
        </w:tabs>
        <w:spacing w:after="60"/>
        <w:ind w:left="720"/>
        <w:rPr>
          <w:lang w:val="it-IT"/>
        </w:rPr>
      </w:pPr>
      <w:r w:rsidRPr="00451078">
        <w:rPr>
          <w:b/>
          <w:lang w:val="it-IT"/>
        </w:rPr>
        <w:t>Per le società con sede nella Repubblica popolare</w:t>
      </w:r>
      <w:r w:rsidRPr="00451078">
        <w:rPr>
          <w:lang w:val="it-IT"/>
        </w:rPr>
        <w:t xml:space="preserve"> </w:t>
      </w:r>
      <w:r w:rsidRPr="00451078">
        <w:rPr>
          <w:b/>
          <w:lang w:val="it-IT"/>
        </w:rPr>
        <w:t>cinese, dove acquistano licenze per processore e Software Assurance per BizTalk Server 2010</w:t>
      </w:r>
    </w:p>
    <w:p w:rsidR="008233B3" w:rsidRPr="00451078" w:rsidRDefault="008233B3" w:rsidP="008233B3">
      <w:pPr>
        <w:tabs>
          <w:tab w:val="left" w:pos="720"/>
        </w:tabs>
        <w:ind w:left="720"/>
        <w:rPr>
          <w:lang w:val="it-IT"/>
        </w:rPr>
      </w:pPr>
      <w:r w:rsidRPr="00451078">
        <w:rPr>
          <w:lang w:val="it-IT"/>
        </w:rPr>
        <w:t>Non si applica il riferimento al 1 aprile 2013 presente in questa nota relativa alla lista dei prodotti. La</w:t>
      </w:r>
      <w:r w:rsidR="00B45EE3" w:rsidRPr="00451078">
        <w:rPr>
          <w:lang w:val="it-IT"/>
        </w:rPr>
        <w:t> </w:t>
      </w:r>
      <w:r w:rsidRPr="00451078">
        <w:rPr>
          <w:lang w:val="it-IT"/>
        </w:rPr>
        <w:t>data</w:t>
      </w:r>
      <w:r w:rsidR="00B45EE3" w:rsidRPr="00451078">
        <w:rPr>
          <w:lang w:val="it-IT"/>
        </w:rPr>
        <w:t> </w:t>
      </w:r>
      <w:r w:rsidRPr="00451078">
        <w:rPr>
          <w:lang w:val="it-IT"/>
        </w:rPr>
        <w:t>applicabile per queste società sarebbe il 1 maggio 2013.</w:t>
      </w:r>
    </w:p>
    <w:p w:rsidR="008233B3" w:rsidRPr="00451078" w:rsidRDefault="008233B3" w:rsidP="008233B3">
      <w:pPr>
        <w:rPr>
          <w:lang w:val="it-IT"/>
        </w:rPr>
      </w:pPr>
    </w:p>
    <w:p w:rsidR="008233B3" w:rsidRPr="00451078" w:rsidRDefault="00A7003F" w:rsidP="008233B3">
      <w:pPr>
        <w:pStyle w:val="Heading3"/>
        <w:rPr>
          <w:lang w:val="it-IT"/>
        </w:rPr>
      </w:pPr>
      <w:bookmarkStart w:id="1148" w:name="_32_BizTalk_Server®"/>
      <w:bookmarkStart w:id="1149" w:name="_Toc352234885"/>
      <w:bookmarkStart w:id="1150" w:name="_Toc343596567"/>
      <w:bookmarkEnd w:id="1148"/>
      <w:r w:rsidRPr="00451078">
        <w:rPr>
          <w:rFonts w:ascii="Tahoma" w:hAnsi="Tahoma"/>
          <w:caps/>
          <w:color w:val="F66400"/>
          <w:sz w:val="22"/>
          <w:vertAlign w:val="superscript"/>
          <w:lang w:val="it-IT"/>
        </w:rPr>
        <w:t>32</w:t>
      </w:r>
      <w:r w:rsidRPr="00451078">
        <w:rPr>
          <w:rFonts w:ascii="Tahoma" w:hAnsi="Tahoma"/>
          <w:caps/>
          <w:color w:val="F66400"/>
          <w:sz w:val="22"/>
          <w:lang w:val="it-IT"/>
        </w:rPr>
        <w:t xml:space="preserve"> </w:t>
      </w:r>
      <w:r w:rsidRPr="00451078">
        <w:rPr>
          <w:rFonts w:ascii="Tahoma" w:hAnsi="Tahoma"/>
          <w:color w:val="F66400"/>
          <w:sz w:val="22"/>
          <w:lang w:val="it-IT"/>
        </w:rPr>
        <w:t>BizTalk Server</w:t>
      </w:r>
      <w:r w:rsidR="003410C7" w:rsidRPr="00451078">
        <w:rPr>
          <w:rFonts w:ascii="Tahoma" w:hAnsi="Tahoma"/>
          <w:color w:val="F66400"/>
          <w:sz w:val="22"/>
          <w:vertAlign w:val="superscript"/>
          <w:lang w:val="it-IT"/>
        </w:rPr>
        <w:t>®</w:t>
      </w:r>
      <w:r w:rsidRPr="00451078">
        <w:rPr>
          <w:rFonts w:ascii="Tahoma" w:hAnsi="Tahoma"/>
          <w:color w:val="F66400"/>
          <w:sz w:val="22"/>
          <w:lang w:val="it-IT"/>
        </w:rPr>
        <w:t xml:space="preserve"> 2013 Enterprise</w:t>
      </w:r>
      <w:bookmarkEnd w:id="1149"/>
      <w:r w:rsidRPr="00451078">
        <w:rPr>
          <w:rFonts w:ascii="Tahoma" w:hAnsi="Tahoma"/>
          <w:color w:val="F66400"/>
          <w:sz w:val="22"/>
          <w:lang w:val="it-IT"/>
        </w:rPr>
        <w:t xml:space="preserve"> </w:t>
      </w:r>
      <w:bookmarkEnd w:id="1150"/>
    </w:p>
    <w:p w:rsidR="008233B3" w:rsidRPr="00451078" w:rsidRDefault="008233B3" w:rsidP="008233B3">
      <w:pPr>
        <w:ind w:left="720"/>
        <w:rPr>
          <w:lang w:val="it-IT"/>
        </w:rPr>
      </w:pPr>
    </w:p>
    <w:p w:rsidR="008233B3" w:rsidRPr="00451078" w:rsidRDefault="008233B3" w:rsidP="008233B3">
      <w:pPr>
        <w:spacing w:after="60"/>
        <w:ind w:left="720"/>
        <w:rPr>
          <w:lang w:val="it-IT"/>
        </w:rPr>
      </w:pPr>
      <w:r w:rsidRPr="00451078">
        <w:rPr>
          <w:rFonts w:eastAsia="Calibri" w:cs="Tahoma"/>
          <w:b/>
          <w:color w:val="000000"/>
          <w:szCs w:val="18"/>
          <w:lang w:val="it-IT"/>
        </w:rPr>
        <w:t>Concessioni di Licenza Associate alla Variazione del Modello di Licenza</w:t>
      </w:r>
    </w:p>
    <w:p w:rsidR="008233B3" w:rsidRPr="00451078" w:rsidRDefault="008233B3" w:rsidP="008233B3">
      <w:pPr>
        <w:ind w:left="720"/>
        <w:rPr>
          <w:lang w:val="it-IT"/>
        </w:rPr>
      </w:pPr>
      <w:r w:rsidRPr="00451078">
        <w:rPr>
          <w:rFonts w:eastAsia="Calibri" w:cs="Tahoma"/>
          <w:color w:val="000000"/>
          <w:szCs w:val="18"/>
          <w:lang w:val="it-IT"/>
        </w:rPr>
        <w:t>BizTalk Server 2010 sarà l</w:t>
      </w:r>
      <w:r w:rsidR="004525CA">
        <w:rPr>
          <w:rFonts w:eastAsia="Calibri" w:cs="Tahoma"/>
          <w:color w:val="000000"/>
          <w:szCs w:val="18"/>
          <w:lang w:val="it-IT"/>
        </w:rPr>
        <w:t>’</w:t>
      </w:r>
      <w:r w:rsidRPr="00451078">
        <w:rPr>
          <w:rFonts w:eastAsia="Calibri" w:cs="Tahoma"/>
          <w:color w:val="000000"/>
          <w:szCs w:val="18"/>
          <w:lang w:val="it-IT"/>
        </w:rPr>
        <w:t>ultima versione di BizTalk Server concessa in licenza ai sensi del modello di licenza per processore.</w:t>
      </w:r>
      <w:r w:rsidR="00082E1C" w:rsidRPr="00451078">
        <w:rPr>
          <w:rFonts w:eastAsia="Calibri" w:cs="Tahoma"/>
          <w:color w:val="000000"/>
          <w:szCs w:val="18"/>
          <w:lang w:val="it-IT"/>
        </w:rPr>
        <w:t xml:space="preserve"> </w:t>
      </w:r>
      <w:r w:rsidRPr="00451078">
        <w:rPr>
          <w:rFonts w:eastAsia="Calibri" w:cs="Tahoma"/>
          <w:color w:val="000000"/>
          <w:szCs w:val="18"/>
          <w:lang w:val="it-IT"/>
        </w:rPr>
        <w:t>In via eccezionale, alle società con contratti multilicenza e copertura Software Assurance attiva per le licenze per processore per BizTalk Server 2010 Enterprise in data 1 aprile 2013 (</w:t>
      </w:r>
      <w:r w:rsidR="001A3EC5" w:rsidRPr="00451078">
        <w:rPr>
          <w:rFonts w:eastAsia="Calibri" w:cs="Tahoma"/>
          <w:color w:val="000000"/>
          <w:szCs w:val="18"/>
          <w:lang w:val="it-IT"/>
        </w:rPr>
        <w:t>“</w:t>
      </w:r>
      <w:r w:rsidRPr="00451078">
        <w:rPr>
          <w:rFonts w:eastAsia="Calibri" w:cs="Tahoma"/>
          <w:color w:val="000000"/>
          <w:szCs w:val="18"/>
          <w:lang w:val="it-IT"/>
        </w:rPr>
        <w:t>licenze qualificanti</w:t>
      </w:r>
      <w:r w:rsidR="001A3EC5" w:rsidRPr="00451078">
        <w:rPr>
          <w:rFonts w:eastAsia="Calibri" w:cs="Tahoma"/>
          <w:color w:val="000000"/>
          <w:szCs w:val="18"/>
          <w:lang w:val="it-IT"/>
        </w:rPr>
        <w:t>”</w:t>
      </w:r>
      <w:r w:rsidRPr="00451078">
        <w:rPr>
          <w:rFonts w:eastAsia="Calibri" w:cs="Tahoma"/>
          <w:color w:val="000000"/>
          <w:szCs w:val="18"/>
          <w:lang w:val="it-IT"/>
        </w:rPr>
        <w:t xml:space="preserve">) vengono offerte le opzioni che seguono. Le licenze per processore per BizTalk Server 2010 Enterprise </w:t>
      </w:r>
      <w:r w:rsidRPr="00451078">
        <w:rPr>
          <w:rFonts w:cs="Tahoma"/>
          <w:bCs/>
          <w:color w:val="000000"/>
          <w:szCs w:val="18"/>
          <w:lang w:val="it-IT"/>
        </w:rPr>
        <w:t>acquistate successivamente nello stesso periodo di validità dell</w:t>
      </w:r>
      <w:r w:rsidR="004525CA">
        <w:rPr>
          <w:rFonts w:cs="Tahoma"/>
          <w:bCs/>
          <w:color w:val="000000"/>
          <w:szCs w:val="18"/>
          <w:lang w:val="it-IT"/>
        </w:rPr>
        <w:t>’</w:t>
      </w:r>
      <w:r w:rsidRPr="00451078">
        <w:rPr>
          <w:rFonts w:cs="Tahoma"/>
          <w:bCs/>
          <w:color w:val="000000"/>
          <w:szCs w:val="18"/>
          <w:lang w:val="it-IT"/>
        </w:rPr>
        <w:t>iscrizione nell</w:t>
      </w:r>
      <w:r w:rsidR="004525CA">
        <w:rPr>
          <w:rFonts w:cs="Tahoma"/>
          <w:bCs/>
          <w:color w:val="000000"/>
          <w:szCs w:val="18"/>
          <w:lang w:val="it-IT"/>
        </w:rPr>
        <w:t>’</w:t>
      </w:r>
      <w:r w:rsidRPr="00451078">
        <w:rPr>
          <w:rFonts w:cs="Tahoma"/>
          <w:bCs/>
          <w:color w:val="000000"/>
          <w:szCs w:val="18"/>
          <w:lang w:val="it-IT"/>
        </w:rPr>
        <w:t>ambito di una procedura pianificata di true-up della società Enterprise, Enterprise Subscription, Open Value Subscription o</w:t>
      </w:r>
      <w:r w:rsidR="00B45EE3" w:rsidRPr="00451078">
        <w:rPr>
          <w:rFonts w:cs="Tahoma"/>
          <w:bCs/>
          <w:color w:val="000000"/>
          <w:szCs w:val="18"/>
          <w:lang w:val="it-IT"/>
        </w:rPr>
        <w:t> </w:t>
      </w:r>
      <w:r w:rsidRPr="00451078">
        <w:rPr>
          <w:rFonts w:cs="Tahoma"/>
          <w:bCs/>
          <w:color w:val="000000"/>
          <w:szCs w:val="18"/>
          <w:lang w:val="it-IT"/>
        </w:rPr>
        <w:t>EES sono anch</w:t>
      </w:r>
      <w:r w:rsidR="004525CA">
        <w:rPr>
          <w:rFonts w:cs="Tahoma"/>
          <w:bCs/>
          <w:color w:val="000000"/>
          <w:szCs w:val="18"/>
          <w:lang w:val="it-IT"/>
        </w:rPr>
        <w:t>’</w:t>
      </w:r>
      <w:r w:rsidRPr="00451078">
        <w:rPr>
          <w:rFonts w:cs="Tahoma"/>
          <w:bCs/>
          <w:color w:val="000000"/>
          <w:szCs w:val="18"/>
          <w:lang w:val="it-IT"/>
        </w:rPr>
        <w:t>esse licenze qualificanti per gli scopi previsti da tali opzioni.</w:t>
      </w:r>
      <w:r w:rsidR="00082E1C" w:rsidRPr="00451078">
        <w:rPr>
          <w:rFonts w:cs="Tahoma"/>
          <w:bCs/>
          <w:color w:val="000000"/>
          <w:szCs w:val="18"/>
          <w:lang w:val="it-IT"/>
        </w:rPr>
        <w:t xml:space="preserve"> </w:t>
      </w:r>
      <w:r w:rsidRPr="00451078">
        <w:rPr>
          <w:rFonts w:cs="Tahoma"/>
          <w:bCs/>
          <w:color w:val="000000"/>
          <w:szCs w:val="18"/>
          <w:lang w:val="it-IT"/>
        </w:rPr>
        <w:t>Le licenze acquistate in un periodo di validità dell</w:t>
      </w:r>
      <w:r w:rsidR="004525CA">
        <w:rPr>
          <w:rFonts w:cs="Tahoma"/>
          <w:bCs/>
          <w:color w:val="000000"/>
          <w:szCs w:val="18"/>
          <w:lang w:val="it-IT"/>
        </w:rPr>
        <w:t>’</w:t>
      </w:r>
      <w:r w:rsidRPr="00451078">
        <w:rPr>
          <w:rFonts w:cs="Tahoma"/>
          <w:bCs/>
          <w:color w:val="000000"/>
          <w:szCs w:val="18"/>
          <w:lang w:val="it-IT"/>
        </w:rPr>
        <w:t>iscrizione successivo, ai sensi di un contratto specifico o di un</w:t>
      </w:r>
      <w:r w:rsidR="004525CA">
        <w:rPr>
          <w:rFonts w:cs="Tahoma"/>
          <w:bCs/>
          <w:color w:val="000000"/>
          <w:szCs w:val="18"/>
          <w:lang w:val="it-IT"/>
        </w:rPr>
        <w:t>’</w:t>
      </w:r>
      <w:r w:rsidRPr="00451078">
        <w:rPr>
          <w:rFonts w:cs="Tahoma"/>
          <w:bCs/>
          <w:color w:val="000000"/>
          <w:szCs w:val="18"/>
          <w:lang w:val="it-IT"/>
        </w:rPr>
        <w:t>iscrizione con la data di</w:t>
      </w:r>
      <w:r w:rsidR="00B45EE3" w:rsidRPr="00451078">
        <w:rPr>
          <w:rFonts w:cs="Tahoma"/>
          <w:bCs/>
          <w:color w:val="000000"/>
          <w:szCs w:val="18"/>
          <w:lang w:val="it-IT"/>
        </w:rPr>
        <w:t> </w:t>
      </w:r>
      <w:r w:rsidRPr="00451078">
        <w:rPr>
          <w:rFonts w:cs="Tahoma"/>
          <w:bCs/>
          <w:color w:val="000000"/>
          <w:szCs w:val="18"/>
          <w:lang w:val="it-IT"/>
        </w:rPr>
        <w:t>entrata in vigore posteriore al 1 aprile 2013, non sono licenze qualificanti.</w:t>
      </w:r>
    </w:p>
    <w:p w:rsidR="008233B3" w:rsidRPr="00451078" w:rsidRDefault="008233B3" w:rsidP="008233B3">
      <w:pPr>
        <w:ind w:left="720"/>
        <w:rPr>
          <w:lang w:val="it-IT"/>
        </w:rPr>
      </w:pPr>
    </w:p>
    <w:p w:rsidR="008233B3" w:rsidRPr="00451078" w:rsidRDefault="008233B3" w:rsidP="008233B3">
      <w:pPr>
        <w:spacing w:after="60"/>
        <w:ind w:left="720"/>
        <w:rPr>
          <w:lang w:val="it-IT"/>
        </w:rPr>
      </w:pPr>
      <w:r w:rsidRPr="00451078">
        <w:rPr>
          <w:rFonts w:eastAsia="Calibri" w:cs="Tahoma"/>
          <w:b/>
          <w:color w:val="000000"/>
          <w:szCs w:val="18"/>
          <w:lang w:val="it-IT"/>
        </w:rPr>
        <w:t>Periodo di Validità Corrente</w:t>
      </w:r>
    </w:p>
    <w:p w:rsidR="008233B3" w:rsidRPr="00451078" w:rsidRDefault="008233B3" w:rsidP="008233B3">
      <w:pPr>
        <w:ind w:left="720"/>
        <w:rPr>
          <w:szCs w:val="18"/>
          <w:lang w:val="it-IT"/>
        </w:rPr>
      </w:pPr>
      <w:r w:rsidRPr="00451078">
        <w:rPr>
          <w:rFonts w:eastAsia="Calibri" w:cs="Tahoma"/>
          <w:color w:val="000000"/>
          <w:szCs w:val="18"/>
          <w:lang w:val="it-IT"/>
        </w:rPr>
        <w:t xml:space="preserve">Durante il periodo di validità corrente della copertura Software Assurance a decorrere dal 1 aprile 2013 le società (incluse le società titolari di contratti </w:t>
      </w:r>
      <w:r w:rsidR="001A3EC5" w:rsidRPr="00451078">
        <w:rPr>
          <w:rFonts w:eastAsia="Calibri" w:cs="Tahoma"/>
          <w:color w:val="000000"/>
          <w:szCs w:val="18"/>
          <w:lang w:val="it-IT"/>
        </w:rPr>
        <w:t>“</w:t>
      </w:r>
      <w:r w:rsidRPr="00451078">
        <w:rPr>
          <w:rFonts w:eastAsia="Calibri" w:cs="Tahoma"/>
          <w:color w:val="000000"/>
          <w:szCs w:val="18"/>
          <w:lang w:val="it-IT"/>
        </w:rPr>
        <w:t>subscription</w:t>
      </w:r>
      <w:r w:rsidR="001A3EC5" w:rsidRPr="00451078">
        <w:rPr>
          <w:rFonts w:eastAsia="Calibri" w:cs="Tahoma"/>
          <w:color w:val="000000"/>
          <w:szCs w:val="18"/>
          <w:lang w:val="it-IT"/>
        </w:rPr>
        <w:t>”</w:t>
      </w:r>
      <w:r w:rsidRPr="00451078">
        <w:rPr>
          <w:rFonts w:eastAsia="Calibri" w:cs="Tahoma"/>
          <w:color w:val="000000"/>
          <w:szCs w:val="18"/>
          <w:lang w:val="it-IT"/>
        </w:rPr>
        <w:t>) potranno, ai sensi di una licenza qualificante, effettuare l</w:t>
      </w:r>
      <w:r w:rsidR="004525CA">
        <w:rPr>
          <w:rFonts w:eastAsia="Calibri" w:cs="Tahoma"/>
          <w:color w:val="000000"/>
          <w:szCs w:val="18"/>
          <w:lang w:val="it-IT"/>
        </w:rPr>
        <w:t>’</w:t>
      </w:r>
      <w:r w:rsidRPr="00451078">
        <w:rPr>
          <w:rFonts w:eastAsia="Calibri" w:cs="Tahoma"/>
          <w:color w:val="000000"/>
          <w:szCs w:val="18"/>
          <w:lang w:val="it-IT"/>
        </w:rPr>
        <w:t xml:space="preserve">aggiornamento al software BizTalk Server 2013 Enterprise e utilizzarlo al posto di BizTalk Server 2010 Enterprise in conformità ai diritti di utilizzo del prodotto previsti dalla licenza per processore per BizTalk Server 2010 Enterprise (come indicato nei Diritti di Utilizzo del Prodotto del mese di gennaio 2013). </w:t>
      </w:r>
    </w:p>
    <w:p w:rsidR="008233B3" w:rsidRPr="00451078" w:rsidRDefault="008233B3" w:rsidP="008233B3">
      <w:pPr>
        <w:ind w:left="720"/>
        <w:rPr>
          <w:lang w:val="it-IT"/>
        </w:rPr>
      </w:pPr>
    </w:p>
    <w:p w:rsidR="008233B3" w:rsidRPr="00451078" w:rsidRDefault="008233B3" w:rsidP="008233B3">
      <w:pPr>
        <w:spacing w:after="60"/>
        <w:ind w:left="720"/>
        <w:rPr>
          <w:lang w:val="it-IT"/>
        </w:rPr>
      </w:pPr>
      <w:r w:rsidRPr="00451078">
        <w:rPr>
          <w:rFonts w:eastAsia="Calibri" w:cs="Tahoma"/>
          <w:b/>
          <w:color w:val="000000"/>
          <w:szCs w:val="18"/>
          <w:lang w:val="it-IT"/>
        </w:rPr>
        <w:t>Primo Periodo di Rinnovo</w:t>
      </w:r>
    </w:p>
    <w:p w:rsidR="008233B3" w:rsidRPr="00451078" w:rsidRDefault="008233B3" w:rsidP="008233B3">
      <w:pPr>
        <w:tabs>
          <w:tab w:val="left" w:pos="1800"/>
        </w:tabs>
        <w:spacing w:after="60"/>
        <w:ind w:left="720"/>
        <w:rPr>
          <w:lang w:val="it-IT"/>
        </w:rPr>
      </w:pPr>
      <w:r w:rsidRPr="00451078">
        <w:rPr>
          <w:rFonts w:eastAsia="Calibri" w:cs="Tahoma"/>
          <w:color w:val="000000"/>
          <w:szCs w:val="18"/>
          <w:lang w:val="it-IT"/>
        </w:rPr>
        <w:t>In occasione del primo rinnovo di Software Assurance in data 1 aprile 2013 o successiva, per ogni server che una società ha ricevuto validamente in licenza in conformità ai diritti di utilizzo del prodotto previsti dalla licenza per processore BizTalk Server 2010, la società potrà acquistare la copertura Software Assurance per</w:t>
      </w:r>
      <w:r w:rsidR="00B45EE3" w:rsidRPr="00451078">
        <w:rPr>
          <w:rFonts w:eastAsia="Calibri" w:cs="Tahoma"/>
          <w:color w:val="000000"/>
          <w:szCs w:val="18"/>
          <w:lang w:val="it-IT"/>
        </w:rPr>
        <w:t> </w:t>
      </w:r>
      <w:r w:rsidRPr="00451078">
        <w:rPr>
          <w:rFonts w:eastAsia="Calibri" w:cs="Tahoma"/>
          <w:color w:val="000000"/>
          <w:szCs w:val="18"/>
          <w:lang w:val="it-IT"/>
        </w:rPr>
        <w:t>le licenze core per BizTalk Server Enterprise senza dovere acquistare le licenze core sottostanti per un</w:t>
      </w:r>
      <w:r w:rsidR="00B45EE3" w:rsidRPr="00451078">
        <w:rPr>
          <w:rFonts w:eastAsia="Calibri" w:cs="Tahoma"/>
          <w:color w:val="000000"/>
          <w:szCs w:val="18"/>
          <w:lang w:val="it-IT"/>
        </w:rPr>
        <w:t> </w:t>
      </w:r>
      <w:r w:rsidRPr="00451078">
        <w:rPr>
          <w:rFonts w:eastAsia="Calibri" w:cs="Tahoma"/>
          <w:color w:val="000000"/>
          <w:szCs w:val="18"/>
          <w:lang w:val="it-IT"/>
        </w:rPr>
        <w:t>numero di licenze core pari al numero di licenze per processore qualificanti cedute al server moltiplicato per</w:t>
      </w:r>
      <w:r w:rsidR="00B45EE3" w:rsidRPr="00451078">
        <w:rPr>
          <w:rFonts w:eastAsia="Calibri" w:cs="Tahoma"/>
          <w:color w:val="000000"/>
          <w:szCs w:val="18"/>
          <w:lang w:val="it-IT"/>
        </w:rPr>
        <w:t> </w:t>
      </w:r>
      <w:r w:rsidRPr="00451078">
        <w:rPr>
          <w:rFonts w:eastAsia="Calibri" w:cs="Tahoma"/>
          <w:color w:val="000000"/>
          <w:szCs w:val="18"/>
          <w:lang w:val="it-IT"/>
        </w:rPr>
        <w:t xml:space="preserve">il maggiore tra: </w:t>
      </w:r>
    </w:p>
    <w:p w:rsidR="008233B3" w:rsidRPr="003410C7" w:rsidRDefault="008233B3" w:rsidP="00745AB3">
      <w:pPr>
        <w:numPr>
          <w:ilvl w:val="3"/>
          <w:numId w:val="92"/>
        </w:numPr>
        <w:tabs>
          <w:tab w:val="left" w:pos="2160"/>
        </w:tabs>
        <w:spacing w:after="60"/>
        <w:ind w:left="2160"/>
      </w:pPr>
      <w:r w:rsidRPr="003410C7">
        <w:rPr>
          <w:rFonts w:eastAsia="Calibri" w:cs="Tahoma"/>
          <w:color w:val="000000"/>
          <w:szCs w:val="18"/>
        </w:rPr>
        <w:t>quattro O</w:t>
      </w:r>
    </w:p>
    <w:p w:rsidR="008233B3" w:rsidRPr="00451078" w:rsidRDefault="008233B3" w:rsidP="00745AB3">
      <w:pPr>
        <w:numPr>
          <w:ilvl w:val="3"/>
          <w:numId w:val="92"/>
        </w:numPr>
        <w:tabs>
          <w:tab w:val="left" w:pos="2160"/>
        </w:tabs>
        <w:spacing w:after="60"/>
        <w:ind w:left="2160"/>
        <w:rPr>
          <w:lang w:val="it-IT"/>
        </w:rPr>
      </w:pPr>
      <w:r w:rsidRPr="00451078">
        <w:rPr>
          <w:rFonts w:eastAsia="Calibri" w:cs="Tahoma"/>
          <w:color w:val="000000"/>
          <w:szCs w:val="18"/>
          <w:lang w:val="it-IT"/>
        </w:rPr>
        <w:t>il numero effettivo di core per processore fisico moltiplicato per il fattore core appropriato.</w:t>
      </w:r>
      <w:r w:rsidR="00082E1C" w:rsidRPr="00451078">
        <w:rPr>
          <w:rFonts w:eastAsia="Calibri" w:cs="Tahoma"/>
          <w:color w:val="000000"/>
          <w:szCs w:val="18"/>
          <w:lang w:val="it-IT"/>
        </w:rPr>
        <w:t xml:space="preserve"> </w:t>
      </w:r>
      <w:r w:rsidRPr="00451078">
        <w:rPr>
          <w:rFonts w:eastAsia="Calibri" w:cs="Tahoma"/>
          <w:color w:val="000000"/>
          <w:szCs w:val="18"/>
          <w:lang w:val="it-IT"/>
        </w:rPr>
        <w:t>(Nei casi in cui il numero effettivo di core per processore fisico superi quattro, le società dovranno conservare un record della configurazione del software BizTalk Server in esecuzione sul server (istanze con licenza in esecuzione negli ambienti del sistema operativo sul server con licenza) e l</w:t>
      </w:r>
      <w:r w:rsidR="004525CA">
        <w:rPr>
          <w:rFonts w:eastAsia="Calibri" w:cs="Tahoma"/>
          <w:color w:val="000000"/>
          <w:szCs w:val="18"/>
          <w:lang w:val="it-IT"/>
        </w:rPr>
        <w:t>’</w:t>
      </w:r>
      <w:r w:rsidRPr="00451078">
        <w:rPr>
          <w:rFonts w:eastAsia="Calibri" w:cs="Tahoma"/>
          <w:color w:val="000000"/>
          <w:szCs w:val="18"/>
          <w:lang w:val="it-IT"/>
        </w:rPr>
        <w:t xml:space="preserve">hardware fisico che supporta tale software appena </w:t>
      </w:r>
      <w:r w:rsidRPr="00451078">
        <w:rPr>
          <w:rFonts w:eastAsia="Calibri" w:cs="Tahoma"/>
          <w:color w:val="000000"/>
          <w:szCs w:val="18"/>
          <w:lang w:val="it-IT"/>
        </w:rPr>
        <w:lastRenderedPageBreak/>
        <w:t xml:space="preserve">prima del rinnovo di Software Assurance utilizzando lo strumento MAP di Microsoft o un software equivalente). </w:t>
      </w:r>
    </w:p>
    <w:p w:rsidR="008233B3" w:rsidRPr="00451078" w:rsidRDefault="008233B3" w:rsidP="008233B3">
      <w:pPr>
        <w:tabs>
          <w:tab w:val="left" w:pos="1800"/>
        </w:tabs>
        <w:ind w:left="1080"/>
        <w:rPr>
          <w:lang w:val="it-IT"/>
        </w:rPr>
      </w:pPr>
    </w:p>
    <w:p w:rsidR="008233B3" w:rsidRPr="00451078" w:rsidRDefault="008233B3" w:rsidP="008233B3">
      <w:pPr>
        <w:spacing w:after="60"/>
        <w:ind w:left="720"/>
        <w:rPr>
          <w:lang w:val="it-IT"/>
        </w:rPr>
      </w:pPr>
      <w:r w:rsidRPr="00451078">
        <w:rPr>
          <w:rFonts w:eastAsia="Calibri" w:cs="Tahoma"/>
          <w:color w:val="000000"/>
          <w:szCs w:val="18"/>
          <w:lang w:val="it-IT"/>
        </w:rPr>
        <w:t xml:space="preserve">Le licenze per processore delle società non sono più valide se si acquista la copertura Software Assurance per licenze core ai sensi della presente offerta. </w:t>
      </w:r>
      <w:r w:rsidRPr="00451078">
        <w:rPr>
          <w:rFonts w:eastAsia="Calibri" w:cs="Tahoma"/>
          <w:szCs w:val="18"/>
          <w:lang w:val="it-IT"/>
        </w:rPr>
        <w:t>L</w:t>
      </w:r>
      <w:r w:rsidR="004525CA">
        <w:rPr>
          <w:rFonts w:eastAsia="Calibri" w:cs="Tahoma"/>
          <w:szCs w:val="18"/>
          <w:lang w:val="it-IT"/>
        </w:rPr>
        <w:t>’</w:t>
      </w:r>
      <w:r w:rsidRPr="00451078">
        <w:rPr>
          <w:rFonts w:eastAsia="Calibri" w:cs="Tahoma"/>
          <w:szCs w:val="18"/>
          <w:lang w:val="it-IT"/>
        </w:rPr>
        <w:t>opzione di acquistare Software Assurance per le licenze core per BizTalk Server non è applicabile al rinnovo della copertura ai sensi dei programmi di sottoscrizione.</w:t>
      </w:r>
      <w:r w:rsidR="00082E1C" w:rsidRPr="00451078">
        <w:rPr>
          <w:rFonts w:eastAsia="Calibri" w:cs="Tahoma"/>
          <w:szCs w:val="18"/>
          <w:lang w:val="it-IT"/>
        </w:rPr>
        <w:t xml:space="preserve"> </w:t>
      </w:r>
    </w:p>
    <w:p w:rsidR="008233B3" w:rsidRPr="00451078" w:rsidRDefault="008233B3" w:rsidP="008233B3">
      <w:pPr>
        <w:ind w:left="1440"/>
        <w:rPr>
          <w:lang w:val="it-IT"/>
        </w:rPr>
      </w:pPr>
    </w:p>
    <w:p w:rsidR="008233B3" w:rsidRPr="00451078" w:rsidRDefault="008233B3" w:rsidP="008233B3">
      <w:pPr>
        <w:tabs>
          <w:tab w:val="left" w:pos="1440"/>
        </w:tabs>
        <w:spacing w:after="60"/>
        <w:ind w:left="720"/>
        <w:rPr>
          <w:lang w:val="it-IT"/>
        </w:rPr>
      </w:pPr>
      <w:r w:rsidRPr="00451078">
        <w:rPr>
          <w:rFonts w:eastAsia="Calibri" w:cs="Tahoma"/>
          <w:b/>
          <w:color w:val="000000"/>
          <w:szCs w:val="18"/>
          <w:lang w:val="it-IT"/>
        </w:rPr>
        <w:t>Per le Società con copertura Software Assurance che scelgono di non effettuare il rinnovo</w:t>
      </w:r>
    </w:p>
    <w:p w:rsidR="008233B3" w:rsidRPr="00451078" w:rsidRDefault="008233B3" w:rsidP="008233B3">
      <w:pPr>
        <w:tabs>
          <w:tab w:val="left" w:pos="1440"/>
        </w:tabs>
        <w:ind w:left="720"/>
        <w:rPr>
          <w:lang w:val="it-IT"/>
        </w:rPr>
      </w:pPr>
      <w:r w:rsidRPr="00451078">
        <w:rPr>
          <w:rFonts w:eastAsia="Calibri" w:cs="Tahoma"/>
          <w:color w:val="000000"/>
          <w:szCs w:val="18"/>
          <w:lang w:val="it-IT"/>
        </w:rPr>
        <w:t xml:space="preserve">le società titolari di contratti Enterprise Subscription </w:t>
      </w:r>
      <w:r w:rsidRPr="00451078">
        <w:rPr>
          <w:rFonts w:cs="Tahoma"/>
          <w:bCs/>
          <w:color w:val="000000"/>
          <w:szCs w:val="18"/>
          <w:lang w:val="it-IT"/>
        </w:rPr>
        <w:t xml:space="preserve">e Open Value Subscription </w:t>
      </w:r>
      <w:r w:rsidRPr="00451078">
        <w:rPr>
          <w:rFonts w:eastAsia="Calibri" w:cs="Tahoma"/>
          <w:color w:val="000000"/>
          <w:szCs w:val="18"/>
          <w:lang w:val="it-IT"/>
        </w:rPr>
        <w:t>che scelgono di effettuare il</w:t>
      </w:r>
      <w:r w:rsidR="00B45EE3" w:rsidRPr="00451078">
        <w:rPr>
          <w:rFonts w:eastAsia="Calibri" w:cs="Tahoma"/>
          <w:color w:val="000000"/>
          <w:szCs w:val="18"/>
          <w:lang w:val="it-IT"/>
        </w:rPr>
        <w:t> </w:t>
      </w:r>
      <w:r w:rsidRPr="00451078">
        <w:rPr>
          <w:rFonts w:eastAsia="Calibri" w:cs="Tahoma"/>
          <w:color w:val="000000"/>
          <w:szCs w:val="18"/>
          <w:lang w:val="it-IT"/>
        </w:rPr>
        <w:t>buy-out delle licenze per processore e le altre società che acquistano licenze perpetue ai sensi del loro contratto e scelgono di non rinnovare Software Assurance potranno eseguire BizTalk Server 2010 o BizTalk Server 2013 ai sensi di tali licenze come indicato sotto:</w:t>
      </w:r>
    </w:p>
    <w:p w:rsidR="008233B3" w:rsidRPr="00451078" w:rsidRDefault="008233B3" w:rsidP="008233B3">
      <w:pPr>
        <w:tabs>
          <w:tab w:val="left" w:pos="1440"/>
        </w:tabs>
        <w:ind w:left="720"/>
        <w:rPr>
          <w:lang w:val="it-IT"/>
        </w:rPr>
      </w:pPr>
    </w:p>
    <w:p w:rsidR="008233B3" w:rsidRPr="00451078" w:rsidRDefault="008233B3" w:rsidP="00745AB3">
      <w:pPr>
        <w:numPr>
          <w:ilvl w:val="0"/>
          <w:numId w:val="52"/>
        </w:numPr>
        <w:spacing w:after="60"/>
        <w:ind w:left="1440"/>
        <w:rPr>
          <w:lang w:val="it-IT"/>
        </w:rPr>
      </w:pPr>
      <w:r w:rsidRPr="00451078">
        <w:rPr>
          <w:rFonts w:eastAsia="Calibri" w:cs="Tahoma"/>
          <w:b/>
          <w:color w:val="000000"/>
          <w:szCs w:val="18"/>
          <w:lang w:val="it-IT"/>
        </w:rPr>
        <w:t>BizTalk Server 2010 Enterprise:</w:t>
      </w:r>
      <w:r w:rsidRPr="00451078">
        <w:rPr>
          <w:rFonts w:eastAsia="Calibri" w:cs="Tahoma"/>
          <w:color w:val="000000"/>
          <w:szCs w:val="18"/>
          <w:lang w:val="it-IT"/>
        </w:rPr>
        <w:t xml:space="preserve"> L</w:t>
      </w:r>
      <w:r w:rsidR="004525CA">
        <w:rPr>
          <w:rFonts w:eastAsia="Calibri" w:cs="Tahoma"/>
          <w:color w:val="000000"/>
          <w:szCs w:val="18"/>
          <w:lang w:val="it-IT"/>
        </w:rPr>
        <w:t>’</w:t>
      </w:r>
      <w:r w:rsidRPr="00451078">
        <w:rPr>
          <w:rFonts w:eastAsia="Calibri" w:cs="Tahoma"/>
          <w:color w:val="000000"/>
          <w:szCs w:val="18"/>
          <w:lang w:val="it-IT"/>
        </w:rPr>
        <w:t>utilizzo continuativo di questo software è soggetto ai diritti di</w:t>
      </w:r>
      <w:r w:rsidR="00B45EE3" w:rsidRPr="00451078">
        <w:rPr>
          <w:rFonts w:eastAsia="Calibri" w:cs="Tahoma"/>
          <w:color w:val="000000"/>
          <w:szCs w:val="18"/>
          <w:lang w:val="it-IT"/>
        </w:rPr>
        <w:t> </w:t>
      </w:r>
      <w:r w:rsidRPr="00451078">
        <w:rPr>
          <w:rFonts w:eastAsia="Calibri" w:cs="Tahoma"/>
          <w:color w:val="000000"/>
          <w:szCs w:val="18"/>
          <w:lang w:val="it-IT"/>
        </w:rPr>
        <w:t>utilizzo del prodotto previsti dalla licenza per processore per BizTalk Server 2010 Enterprise; tuttavia, le società non disporranno più di Mobilità delle Licenze tramite Software Assurance.</w:t>
      </w:r>
    </w:p>
    <w:p w:rsidR="008233B3" w:rsidRPr="00451078" w:rsidRDefault="008233B3" w:rsidP="00745AB3">
      <w:pPr>
        <w:numPr>
          <w:ilvl w:val="0"/>
          <w:numId w:val="52"/>
        </w:numPr>
        <w:tabs>
          <w:tab w:val="left" w:pos="1800"/>
        </w:tabs>
        <w:spacing w:after="60"/>
        <w:ind w:left="1440"/>
        <w:rPr>
          <w:lang w:val="it-IT"/>
        </w:rPr>
      </w:pPr>
      <w:r w:rsidRPr="00451078">
        <w:rPr>
          <w:rFonts w:eastAsia="Calibri" w:cs="Tahoma"/>
          <w:b/>
          <w:color w:val="000000"/>
          <w:szCs w:val="18"/>
          <w:lang w:val="it-IT"/>
        </w:rPr>
        <w:t xml:space="preserve">BizTalk Server 2013 Enterprise: </w:t>
      </w:r>
      <w:r w:rsidRPr="00451078">
        <w:rPr>
          <w:rFonts w:eastAsia="Calibri" w:cs="Tahoma"/>
          <w:color w:val="000000"/>
          <w:szCs w:val="18"/>
          <w:lang w:val="it-IT"/>
        </w:rPr>
        <w:t>l</w:t>
      </w:r>
      <w:r w:rsidR="004525CA">
        <w:rPr>
          <w:rFonts w:eastAsia="Calibri" w:cs="Tahoma"/>
          <w:color w:val="000000"/>
          <w:szCs w:val="18"/>
          <w:lang w:val="it-IT"/>
        </w:rPr>
        <w:t>’</w:t>
      </w:r>
      <w:r w:rsidRPr="00451078">
        <w:rPr>
          <w:rFonts w:eastAsia="Calibri" w:cs="Tahoma"/>
          <w:color w:val="000000"/>
          <w:szCs w:val="18"/>
          <w:lang w:val="it-IT"/>
        </w:rPr>
        <w:t xml:space="preserve">utilizzo di tale versione del software è soggetto ai diritti di utilizzo del prodotto previsti dalla licenza per processore per BizTalk Server 2010 Enterprise, tuttavia: </w:t>
      </w:r>
    </w:p>
    <w:p w:rsidR="008233B3" w:rsidRPr="00451078" w:rsidRDefault="008233B3" w:rsidP="00745AB3">
      <w:pPr>
        <w:numPr>
          <w:ilvl w:val="1"/>
          <w:numId w:val="52"/>
        </w:numPr>
        <w:tabs>
          <w:tab w:val="left" w:pos="2160"/>
        </w:tabs>
        <w:spacing w:after="60"/>
        <w:ind w:left="2160"/>
        <w:rPr>
          <w:lang w:val="it-IT"/>
        </w:rPr>
      </w:pPr>
      <w:r w:rsidRPr="00451078">
        <w:rPr>
          <w:rFonts w:eastAsia="Calibri" w:cs="Tahoma"/>
          <w:color w:val="000000"/>
          <w:szCs w:val="18"/>
          <w:lang w:val="it-IT"/>
        </w:rPr>
        <w:t>le società non disporranno più della Mobilità delle Licenze all</w:t>
      </w:r>
      <w:r w:rsidR="004525CA">
        <w:rPr>
          <w:rFonts w:eastAsia="Calibri" w:cs="Tahoma"/>
          <w:color w:val="000000"/>
          <w:szCs w:val="18"/>
          <w:lang w:val="it-IT"/>
        </w:rPr>
        <w:t>’</w:t>
      </w:r>
      <w:r w:rsidRPr="00451078">
        <w:rPr>
          <w:rFonts w:eastAsia="Calibri" w:cs="Tahoma"/>
          <w:color w:val="000000"/>
          <w:szCs w:val="18"/>
          <w:lang w:val="it-IT"/>
        </w:rPr>
        <w:t xml:space="preserve">interno di Server Farm o della Mobilità delle Licenze tramite Software Assurance e </w:t>
      </w:r>
    </w:p>
    <w:p w:rsidR="008233B3" w:rsidRPr="00451078" w:rsidRDefault="008233B3" w:rsidP="00745AB3">
      <w:pPr>
        <w:numPr>
          <w:ilvl w:val="1"/>
          <w:numId w:val="52"/>
        </w:numPr>
        <w:tabs>
          <w:tab w:val="left" w:pos="2160"/>
          <w:tab w:val="left" w:pos="2970"/>
        </w:tabs>
        <w:spacing w:after="60"/>
        <w:ind w:left="2160"/>
        <w:rPr>
          <w:lang w:val="it-IT"/>
        </w:rPr>
      </w:pPr>
      <w:r w:rsidRPr="00451078">
        <w:rPr>
          <w:rFonts w:eastAsia="Calibri" w:cs="Tahoma"/>
          <w:color w:val="000000"/>
          <w:szCs w:val="18"/>
          <w:lang w:val="it-IT"/>
        </w:rPr>
        <w:t>l</w:t>
      </w:r>
      <w:r w:rsidR="004525CA">
        <w:rPr>
          <w:rFonts w:eastAsia="Calibri" w:cs="Tahoma"/>
          <w:color w:val="000000"/>
          <w:szCs w:val="18"/>
          <w:lang w:val="it-IT"/>
        </w:rPr>
        <w:t>’</w:t>
      </w:r>
      <w:r w:rsidRPr="00451078">
        <w:rPr>
          <w:rFonts w:eastAsia="Calibri" w:cs="Tahoma"/>
          <w:color w:val="000000"/>
          <w:szCs w:val="18"/>
          <w:lang w:val="it-IT"/>
        </w:rPr>
        <w:t xml:space="preserve">eventuale riassegnazione di licenze è soggetta ai limiti che seguono relativi alla loro </w:t>
      </w:r>
      <w:r w:rsidR="001A3EC5" w:rsidRPr="00451078">
        <w:rPr>
          <w:rFonts w:eastAsia="Calibri" w:cs="Tahoma"/>
          <w:color w:val="000000"/>
          <w:szCs w:val="18"/>
          <w:lang w:val="it-IT"/>
        </w:rPr>
        <w:t>“</w:t>
      </w:r>
      <w:r w:rsidRPr="00451078">
        <w:rPr>
          <w:rFonts w:eastAsia="Calibri" w:cs="Tahoma"/>
          <w:color w:val="000000"/>
          <w:szCs w:val="18"/>
          <w:lang w:val="it-IT"/>
        </w:rPr>
        <w:t>equivalenza di licenze core</w:t>
      </w:r>
      <w:r w:rsidR="001A3EC5" w:rsidRPr="00451078">
        <w:rPr>
          <w:rFonts w:eastAsia="Calibri" w:cs="Tahoma"/>
          <w:color w:val="000000"/>
          <w:szCs w:val="18"/>
          <w:lang w:val="it-IT"/>
        </w:rPr>
        <w:t>”</w:t>
      </w:r>
      <w:r w:rsidRPr="00451078">
        <w:rPr>
          <w:rFonts w:eastAsia="Calibri" w:cs="Tahoma"/>
          <w:color w:val="000000"/>
          <w:szCs w:val="18"/>
          <w:lang w:val="it-IT"/>
        </w:rPr>
        <w:t>. L</w:t>
      </w:r>
      <w:r w:rsidR="004525CA">
        <w:rPr>
          <w:rFonts w:eastAsia="Calibri" w:cs="Tahoma"/>
          <w:color w:val="000000"/>
          <w:szCs w:val="18"/>
          <w:lang w:val="it-IT"/>
        </w:rPr>
        <w:t>’</w:t>
      </w:r>
      <w:r w:rsidRPr="00451078">
        <w:rPr>
          <w:rFonts w:eastAsia="Calibri" w:cs="Tahoma"/>
          <w:color w:val="000000"/>
          <w:szCs w:val="18"/>
          <w:lang w:val="it-IT"/>
        </w:rPr>
        <w:t xml:space="preserve">equivalenza di licenze core è determinata come di seguito riportato. </w:t>
      </w:r>
    </w:p>
    <w:p w:rsidR="008233B3" w:rsidRPr="00451078" w:rsidRDefault="008233B3" w:rsidP="00745AB3">
      <w:pPr>
        <w:numPr>
          <w:ilvl w:val="2"/>
          <w:numId w:val="52"/>
        </w:numPr>
        <w:tabs>
          <w:tab w:val="left" w:pos="2520"/>
        </w:tabs>
        <w:spacing w:after="60"/>
        <w:ind w:left="2520"/>
        <w:rPr>
          <w:lang w:val="it-IT"/>
        </w:rPr>
      </w:pPr>
      <w:r w:rsidRPr="00451078">
        <w:rPr>
          <w:rFonts w:eastAsia="Calibri" w:cs="Tahoma"/>
          <w:color w:val="000000"/>
          <w:szCs w:val="18"/>
          <w:lang w:val="it-IT"/>
        </w:rPr>
        <w:t>Per ogni licenza qualificante ceduta al server, l</w:t>
      </w:r>
      <w:r w:rsidR="004525CA">
        <w:rPr>
          <w:rFonts w:eastAsia="Calibri" w:cs="Tahoma"/>
          <w:color w:val="000000"/>
          <w:szCs w:val="18"/>
          <w:lang w:val="it-IT"/>
        </w:rPr>
        <w:t>’</w:t>
      </w:r>
      <w:r w:rsidRPr="00451078">
        <w:rPr>
          <w:rFonts w:eastAsia="Calibri" w:cs="Tahoma"/>
          <w:color w:val="000000"/>
          <w:szCs w:val="18"/>
          <w:lang w:val="it-IT"/>
        </w:rPr>
        <w:t xml:space="preserve">equivalenza di licenze core è il numero maggiore tra: </w:t>
      </w:r>
    </w:p>
    <w:p w:rsidR="008233B3" w:rsidRPr="00451078" w:rsidRDefault="008233B3" w:rsidP="00745AB3">
      <w:pPr>
        <w:numPr>
          <w:ilvl w:val="4"/>
          <w:numId w:val="125"/>
        </w:numPr>
        <w:tabs>
          <w:tab w:val="left" w:pos="2880"/>
        </w:tabs>
        <w:spacing w:after="60"/>
        <w:ind w:left="2880"/>
        <w:rPr>
          <w:lang w:val="it-IT"/>
        </w:rPr>
      </w:pPr>
      <w:r w:rsidRPr="00451078">
        <w:rPr>
          <w:rFonts w:eastAsia="Calibri" w:cs="Tahoma"/>
          <w:color w:val="000000"/>
          <w:szCs w:val="18"/>
          <w:lang w:val="it-IT"/>
        </w:rPr>
        <w:t xml:space="preserve">quattro core per licenza per processore O </w:t>
      </w:r>
    </w:p>
    <w:p w:rsidR="008233B3" w:rsidRPr="00451078" w:rsidRDefault="008233B3" w:rsidP="00745AB3">
      <w:pPr>
        <w:numPr>
          <w:ilvl w:val="4"/>
          <w:numId w:val="125"/>
        </w:numPr>
        <w:tabs>
          <w:tab w:val="left" w:pos="2880"/>
        </w:tabs>
        <w:spacing w:after="60"/>
        <w:ind w:left="2880"/>
        <w:rPr>
          <w:lang w:val="it-IT"/>
        </w:rPr>
      </w:pPr>
      <w:r w:rsidRPr="00451078">
        <w:rPr>
          <w:rFonts w:eastAsia="Calibri" w:cs="Tahoma"/>
          <w:color w:val="000000"/>
          <w:szCs w:val="18"/>
          <w:lang w:val="it-IT"/>
        </w:rPr>
        <w:t>un numero di core per licenza per processore basato sul numero effettivo di core per processore fisico moltiplicato per il fattore core appropriato. (Nei casi in cui il numero effettivo di core per processore fisico superi quattro, le società dovranno conservare un record della configurazione del software BizTalk Server in esecuzione sul server (istanze con licenza in esecuzione negli ambienti del sistema operativo sul server con licenza) e l</w:t>
      </w:r>
      <w:r w:rsidR="004525CA">
        <w:rPr>
          <w:rFonts w:eastAsia="Calibri" w:cs="Tahoma"/>
          <w:color w:val="000000"/>
          <w:szCs w:val="18"/>
          <w:lang w:val="it-IT"/>
        </w:rPr>
        <w:t>’</w:t>
      </w:r>
      <w:r w:rsidRPr="00451078">
        <w:rPr>
          <w:rFonts w:eastAsia="Calibri" w:cs="Tahoma"/>
          <w:color w:val="000000"/>
          <w:szCs w:val="18"/>
          <w:lang w:val="it-IT"/>
        </w:rPr>
        <w:t xml:space="preserve">hardware fisico che supporta tale software appena prima della scadenza di Software Assurance utilizzando lo strumento MAP di Microsoft o un software equivalente). </w:t>
      </w:r>
    </w:p>
    <w:p w:rsidR="008233B3" w:rsidRPr="00451078" w:rsidRDefault="008233B3" w:rsidP="00745AB3">
      <w:pPr>
        <w:numPr>
          <w:ilvl w:val="1"/>
          <w:numId w:val="126"/>
        </w:numPr>
        <w:tabs>
          <w:tab w:val="left" w:pos="1800"/>
        </w:tabs>
        <w:spacing w:after="60"/>
        <w:rPr>
          <w:lang w:val="it-IT"/>
        </w:rPr>
      </w:pPr>
      <w:r w:rsidRPr="00451078">
        <w:rPr>
          <w:rFonts w:eastAsia="Calibri" w:cs="Tahoma"/>
          <w:color w:val="000000"/>
          <w:szCs w:val="18"/>
          <w:lang w:val="it-IT"/>
        </w:rPr>
        <w:t>Le società potranno riassegnare le licenze a un altro server. Tuttavia, qualora la società riassegni una licenza a un altro server, dovrà attenersi ai diritti sull</w:t>
      </w:r>
      <w:r w:rsidR="004525CA">
        <w:rPr>
          <w:rFonts w:eastAsia="Calibri" w:cs="Tahoma"/>
          <w:color w:val="000000"/>
          <w:szCs w:val="18"/>
          <w:lang w:val="it-IT"/>
        </w:rPr>
        <w:t>’</w:t>
      </w:r>
      <w:r w:rsidRPr="00451078">
        <w:rPr>
          <w:rFonts w:eastAsia="Calibri" w:cs="Tahoma"/>
          <w:color w:val="000000"/>
          <w:szCs w:val="18"/>
          <w:lang w:val="it-IT"/>
        </w:rPr>
        <w:t>utilizzo di BizTalk Server 2013. Quando cede licenze core a server ai sensi dei diritti sull</w:t>
      </w:r>
      <w:r w:rsidR="004525CA">
        <w:rPr>
          <w:rFonts w:eastAsia="Calibri" w:cs="Tahoma"/>
          <w:color w:val="000000"/>
          <w:szCs w:val="18"/>
          <w:lang w:val="it-IT"/>
        </w:rPr>
        <w:t>’</w:t>
      </w:r>
      <w:r w:rsidRPr="00451078">
        <w:rPr>
          <w:rFonts w:eastAsia="Calibri" w:cs="Tahoma"/>
          <w:color w:val="000000"/>
          <w:szCs w:val="18"/>
          <w:lang w:val="it-IT"/>
        </w:rPr>
        <w:t>utilizzo per BizTalk 2013, la società potrà combinare l</w:t>
      </w:r>
      <w:r w:rsidR="004525CA">
        <w:rPr>
          <w:rFonts w:eastAsia="Calibri" w:cs="Tahoma"/>
          <w:color w:val="000000"/>
          <w:szCs w:val="18"/>
          <w:lang w:val="it-IT"/>
        </w:rPr>
        <w:t>’</w:t>
      </w:r>
      <w:r w:rsidRPr="00451078">
        <w:rPr>
          <w:rFonts w:eastAsia="Calibri" w:cs="Tahoma"/>
          <w:color w:val="000000"/>
          <w:szCs w:val="18"/>
          <w:lang w:val="it-IT"/>
        </w:rPr>
        <w:t>equivalenza core delle licenze esistenti con le licenze core per BizTalk Server 2013 aggiuntive.</w:t>
      </w:r>
    </w:p>
    <w:p w:rsidR="008233B3" w:rsidRPr="004A3437" w:rsidRDefault="008233B3" w:rsidP="00745AB3">
      <w:pPr>
        <w:numPr>
          <w:ilvl w:val="1"/>
          <w:numId w:val="126"/>
        </w:numPr>
        <w:tabs>
          <w:tab w:val="left" w:pos="1800"/>
          <w:tab w:val="left" w:pos="2970"/>
        </w:tabs>
        <w:spacing w:after="60"/>
        <w:rPr>
          <w:lang w:val="it-IT"/>
        </w:rPr>
      </w:pPr>
      <w:r w:rsidRPr="00451078">
        <w:rPr>
          <w:rFonts w:eastAsia="Calibri" w:cs="Tahoma"/>
          <w:color w:val="000000"/>
          <w:szCs w:val="18"/>
          <w:lang w:val="it-IT"/>
        </w:rPr>
        <w:t>L</w:t>
      </w:r>
      <w:r w:rsidR="004525CA">
        <w:rPr>
          <w:rFonts w:eastAsia="Calibri" w:cs="Tahoma"/>
          <w:color w:val="000000"/>
          <w:szCs w:val="18"/>
          <w:lang w:val="it-IT"/>
        </w:rPr>
        <w:t>’</w:t>
      </w:r>
      <w:r w:rsidRPr="00451078">
        <w:rPr>
          <w:rFonts w:eastAsia="Calibri" w:cs="Tahoma"/>
          <w:color w:val="000000"/>
          <w:szCs w:val="18"/>
          <w:lang w:val="it-IT"/>
        </w:rPr>
        <w:t>equivalenza di licenze core stimata delle società non implica che esse possano cedere una licenza singola per processore a core attraverso due o più processori.</w:t>
      </w:r>
    </w:p>
    <w:p w:rsidR="004A3437" w:rsidRPr="00451078" w:rsidRDefault="004A3437" w:rsidP="004A3437">
      <w:pPr>
        <w:tabs>
          <w:tab w:val="left" w:pos="1800"/>
          <w:tab w:val="left" w:pos="2970"/>
        </w:tabs>
        <w:spacing w:after="60"/>
        <w:ind w:left="1080"/>
        <w:rPr>
          <w:lang w:val="it-IT"/>
        </w:rPr>
      </w:pPr>
    </w:p>
    <w:p w:rsidR="008233B3" w:rsidRPr="00451078" w:rsidRDefault="008233B3" w:rsidP="008233B3">
      <w:pPr>
        <w:tabs>
          <w:tab w:val="left" w:pos="720"/>
        </w:tabs>
        <w:spacing w:after="60"/>
        <w:ind w:left="720"/>
        <w:rPr>
          <w:lang w:val="it-IT"/>
        </w:rPr>
      </w:pPr>
      <w:r w:rsidRPr="00451078">
        <w:rPr>
          <w:b/>
          <w:lang w:val="it-IT"/>
        </w:rPr>
        <w:t>Per le società con sede nella Repubblica popolare</w:t>
      </w:r>
      <w:r w:rsidRPr="00451078">
        <w:rPr>
          <w:lang w:val="it-IT"/>
        </w:rPr>
        <w:t xml:space="preserve"> </w:t>
      </w:r>
      <w:r w:rsidRPr="00451078">
        <w:rPr>
          <w:b/>
          <w:lang w:val="it-IT"/>
        </w:rPr>
        <w:t>cinese, dove acquistano licenze per</w:t>
      </w:r>
      <w:r w:rsidR="00B45EE3" w:rsidRPr="00451078">
        <w:rPr>
          <w:b/>
          <w:lang w:val="it-IT"/>
        </w:rPr>
        <w:t> </w:t>
      </w:r>
      <w:r w:rsidRPr="00451078">
        <w:rPr>
          <w:b/>
          <w:lang w:val="it-IT"/>
        </w:rPr>
        <w:t>processore e Software Assurance per BizTalk Server 2010</w:t>
      </w:r>
    </w:p>
    <w:p w:rsidR="008233B3" w:rsidRPr="00451078" w:rsidRDefault="008233B3" w:rsidP="008233B3">
      <w:pPr>
        <w:tabs>
          <w:tab w:val="left" w:pos="720"/>
        </w:tabs>
        <w:ind w:left="720"/>
        <w:rPr>
          <w:lang w:val="it-IT"/>
        </w:rPr>
      </w:pPr>
      <w:r w:rsidRPr="00451078">
        <w:rPr>
          <w:lang w:val="it-IT"/>
        </w:rPr>
        <w:t>Non si applica il riferimento al 1 aprile 2013 presente in questa nota relativa alla lista dei prodotti. La data applicabile per queste società sarebbe il 1 maggio 2013.</w:t>
      </w:r>
    </w:p>
    <w:p w:rsidR="008233B3" w:rsidRPr="00451078" w:rsidRDefault="008233B3" w:rsidP="008233B3">
      <w:pPr>
        <w:ind w:left="720"/>
        <w:rPr>
          <w:lang w:val="it-IT"/>
        </w:rPr>
      </w:pPr>
    </w:p>
    <w:p w:rsidR="008233B3" w:rsidRPr="00451078" w:rsidRDefault="008233B3" w:rsidP="008233B3">
      <w:pPr>
        <w:pStyle w:val="Heading3"/>
        <w:rPr>
          <w:lang w:val="it-IT"/>
        </w:rPr>
      </w:pPr>
      <w:bookmarkStart w:id="1151" w:name="_33_BizTalk_Server®"/>
      <w:bookmarkStart w:id="1152" w:name="_Toc352234886"/>
      <w:bookmarkStart w:id="1153" w:name="_Toc343596569"/>
      <w:bookmarkEnd w:id="1151"/>
      <w:r w:rsidRPr="00451078">
        <w:rPr>
          <w:rFonts w:ascii="Tahoma" w:hAnsi="Tahoma" w:cs="Tahoma"/>
          <w:caps/>
          <w:color w:val="F66400"/>
          <w:sz w:val="22"/>
          <w:vertAlign w:val="superscript"/>
          <w:lang w:val="it-IT"/>
        </w:rPr>
        <w:t>33</w:t>
      </w:r>
      <w:r w:rsidRPr="00451078">
        <w:rPr>
          <w:rFonts w:ascii="Tahoma" w:hAnsi="Tahoma" w:cs="Tahoma"/>
          <w:color w:val="F66400"/>
          <w:sz w:val="22"/>
          <w:lang w:val="it-IT"/>
        </w:rPr>
        <w:t xml:space="preserve"> BizTalk Server</w:t>
      </w:r>
      <w:r w:rsidR="003410C7" w:rsidRPr="00451078">
        <w:rPr>
          <w:rFonts w:ascii="Tahoma" w:hAnsi="Tahoma" w:cs="Tahoma"/>
          <w:color w:val="F66400"/>
          <w:sz w:val="22"/>
          <w:vertAlign w:val="superscript"/>
          <w:lang w:val="it-IT"/>
        </w:rPr>
        <w:t>®</w:t>
      </w:r>
      <w:r w:rsidRPr="00451078">
        <w:rPr>
          <w:rFonts w:ascii="Tahoma" w:hAnsi="Tahoma" w:cs="Tahoma"/>
          <w:color w:val="F66400"/>
          <w:sz w:val="22"/>
          <w:lang w:val="it-IT"/>
        </w:rPr>
        <w:t xml:space="preserve"> 2013 Standard</w:t>
      </w:r>
      <w:bookmarkEnd w:id="1152"/>
      <w:r w:rsidRPr="00451078">
        <w:rPr>
          <w:rFonts w:ascii="Tahoma" w:eastAsia="Calibri" w:hAnsi="Tahoma" w:cs="Tahoma"/>
          <w:color w:val="F66400"/>
          <w:sz w:val="22"/>
          <w:szCs w:val="18"/>
          <w:lang w:val="it-IT"/>
        </w:rPr>
        <w:t xml:space="preserve"> </w:t>
      </w:r>
      <w:bookmarkEnd w:id="1153"/>
    </w:p>
    <w:p w:rsidR="008233B3" w:rsidRPr="00451078" w:rsidRDefault="008233B3" w:rsidP="008233B3">
      <w:pPr>
        <w:rPr>
          <w:lang w:val="it-IT"/>
        </w:rPr>
      </w:pPr>
    </w:p>
    <w:p w:rsidR="008233B3" w:rsidRPr="00451078" w:rsidRDefault="008233B3" w:rsidP="008233B3">
      <w:pPr>
        <w:spacing w:after="60"/>
        <w:ind w:left="720"/>
        <w:rPr>
          <w:lang w:val="it-IT"/>
        </w:rPr>
      </w:pPr>
      <w:r w:rsidRPr="00451078">
        <w:rPr>
          <w:rFonts w:eastAsia="Calibri" w:cs="Tahoma"/>
          <w:b/>
          <w:color w:val="000000"/>
          <w:szCs w:val="18"/>
          <w:lang w:val="it-IT"/>
        </w:rPr>
        <w:t>Concessioni di Licenza Associate alla Variazione del Modello di Licenza</w:t>
      </w:r>
    </w:p>
    <w:p w:rsidR="008233B3" w:rsidRPr="00451078" w:rsidRDefault="008233B3" w:rsidP="008233B3">
      <w:pPr>
        <w:ind w:left="720"/>
        <w:rPr>
          <w:lang w:val="it-IT"/>
        </w:rPr>
      </w:pPr>
      <w:r w:rsidRPr="00451078">
        <w:rPr>
          <w:rFonts w:eastAsia="Calibri" w:cs="Tahoma"/>
          <w:color w:val="000000"/>
          <w:szCs w:val="18"/>
          <w:lang w:val="it-IT"/>
        </w:rPr>
        <w:t>BizTalk Server 2010 sarà l</w:t>
      </w:r>
      <w:r w:rsidR="004525CA">
        <w:rPr>
          <w:rFonts w:eastAsia="Calibri" w:cs="Tahoma"/>
          <w:color w:val="000000"/>
          <w:szCs w:val="18"/>
          <w:lang w:val="it-IT"/>
        </w:rPr>
        <w:t>’</w:t>
      </w:r>
      <w:r w:rsidRPr="00451078">
        <w:rPr>
          <w:rFonts w:eastAsia="Calibri" w:cs="Tahoma"/>
          <w:color w:val="000000"/>
          <w:szCs w:val="18"/>
          <w:lang w:val="it-IT"/>
        </w:rPr>
        <w:t>ultima versione di BizTalk Server concessa in licenza ai sensi del modello di licenza per processore.</w:t>
      </w:r>
      <w:r w:rsidR="00082E1C" w:rsidRPr="00451078">
        <w:rPr>
          <w:rFonts w:eastAsia="Calibri" w:cs="Tahoma"/>
          <w:color w:val="000000"/>
          <w:szCs w:val="18"/>
          <w:lang w:val="it-IT"/>
        </w:rPr>
        <w:t xml:space="preserve"> </w:t>
      </w:r>
      <w:r w:rsidRPr="00451078">
        <w:rPr>
          <w:rFonts w:eastAsia="Calibri" w:cs="Tahoma"/>
          <w:color w:val="000000"/>
          <w:szCs w:val="18"/>
          <w:lang w:val="it-IT"/>
        </w:rPr>
        <w:t>In via eccezionale, alle società con contratti multilicenza e copertura Software Assurance attiva per le licenze per processore per BizTalk Server 2010 Standard in data 1 aprile 2013 (</w:t>
      </w:r>
      <w:r w:rsidR="001A3EC5" w:rsidRPr="00451078">
        <w:rPr>
          <w:rFonts w:eastAsia="Calibri" w:cs="Tahoma"/>
          <w:color w:val="000000"/>
          <w:szCs w:val="18"/>
          <w:lang w:val="it-IT"/>
        </w:rPr>
        <w:t>“</w:t>
      </w:r>
      <w:r w:rsidRPr="00451078">
        <w:rPr>
          <w:rFonts w:eastAsia="Calibri" w:cs="Tahoma"/>
          <w:color w:val="000000"/>
          <w:szCs w:val="18"/>
          <w:lang w:val="it-IT"/>
        </w:rPr>
        <w:t>licenze qualificanti</w:t>
      </w:r>
      <w:r w:rsidR="001A3EC5" w:rsidRPr="00451078">
        <w:rPr>
          <w:rFonts w:eastAsia="Calibri" w:cs="Tahoma"/>
          <w:color w:val="000000"/>
          <w:szCs w:val="18"/>
          <w:lang w:val="it-IT"/>
        </w:rPr>
        <w:t>”</w:t>
      </w:r>
      <w:r w:rsidRPr="00451078">
        <w:rPr>
          <w:rFonts w:eastAsia="Calibri" w:cs="Tahoma"/>
          <w:color w:val="000000"/>
          <w:szCs w:val="18"/>
          <w:lang w:val="it-IT"/>
        </w:rPr>
        <w:t xml:space="preserve">) vengono offerte le opzioni che seguono. Le licenze per processore per BizTalk Server </w:t>
      </w:r>
      <w:r w:rsidRPr="00451078">
        <w:rPr>
          <w:rFonts w:eastAsia="Calibri" w:cs="Tahoma"/>
          <w:color w:val="000000"/>
          <w:szCs w:val="18"/>
          <w:lang w:val="it-IT"/>
        </w:rPr>
        <w:lastRenderedPageBreak/>
        <w:t xml:space="preserve">2010 Standard </w:t>
      </w:r>
      <w:r w:rsidRPr="00451078">
        <w:rPr>
          <w:rFonts w:cs="Tahoma"/>
          <w:bCs/>
          <w:color w:val="000000"/>
          <w:szCs w:val="18"/>
          <w:lang w:val="it-IT"/>
        </w:rPr>
        <w:t>acquistate successivamente nello stesso periodo di validità dell</w:t>
      </w:r>
      <w:r w:rsidR="004525CA">
        <w:rPr>
          <w:rFonts w:cs="Tahoma"/>
          <w:bCs/>
          <w:color w:val="000000"/>
          <w:szCs w:val="18"/>
          <w:lang w:val="it-IT"/>
        </w:rPr>
        <w:t>’</w:t>
      </w:r>
      <w:r w:rsidRPr="00451078">
        <w:rPr>
          <w:rFonts w:cs="Tahoma"/>
          <w:bCs/>
          <w:color w:val="000000"/>
          <w:szCs w:val="18"/>
          <w:lang w:val="it-IT"/>
        </w:rPr>
        <w:t>iscrizione nell</w:t>
      </w:r>
      <w:r w:rsidR="004525CA">
        <w:rPr>
          <w:rFonts w:cs="Tahoma"/>
          <w:bCs/>
          <w:color w:val="000000"/>
          <w:szCs w:val="18"/>
          <w:lang w:val="it-IT"/>
        </w:rPr>
        <w:t>’</w:t>
      </w:r>
      <w:r w:rsidRPr="00451078">
        <w:rPr>
          <w:rFonts w:cs="Tahoma"/>
          <w:bCs/>
          <w:color w:val="000000"/>
          <w:szCs w:val="18"/>
          <w:lang w:val="it-IT"/>
        </w:rPr>
        <w:t>ambito di una procedura pianificata di true-up della società Enterprise, Enterprise Subscription, Open Value Subscription o</w:t>
      </w:r>
      <w:r w:rsidR="00711E9A" w:rsidRPr="00451078">
        <w:rPr>
          <w:rFonts w:cs="Tahoma"/>
          <w:bCs/>
          <w:color w:val="000000"/>
          <w:szCs w:val="18"/>
          <w:lang w:val="it-IT"/>
        </w:rPr>
        <w:t> </w:t>
      </w:r>
      <w:r w:rsidRPr="00451078">
        <w:rPr>
          <w:rFonts w:cs="Tahoma"/>
          <w:bCs/>
          <w:color w:val="000000"/>
          <w:szCs w:val="18"/>
          <w:lang w:val="it-IT"/>
        </w:rPr>
        <w:t>EES sono anch</w:t>
      </w:r>
      <w:r w:rsidR="004525CA">
        <w:rPr>
          <w:rFonts w:cs="Tahoma"/>
          <w:bCs/>
          <w:color w:val="000000"/>
          <w:szCs w:val="18"/>
          <w:lang w:val="it-IT"/>
        </w:rPr>
        <w:t>’</w:t>
      </w:r>
      <w:r w:rsidRPr="00451078">
        <w:rPr>
          <w:rFonts w:cs="Tahoma"/>
          <w:bCs/>
          <w:color w:val="000000"/>
          <w:szCs w:val="18"/>
          <w:lang w:val="it-IT"/>
        </w:rPr>
        <w:t>esse licenze qualificanti per gli scopi previsti da tali opzioni.</w:t>
      </w:r>
      <w:r w:rsidR="00082E1C" w:rsidRPr="00451078">
        <w:rPr>
          <w:rFonts w:cs="Tahoma"/>
          <w:bCs/>
          <w:color w:val="000000"/>
          <w:szCs w:val="18"/>
          <w:lang w:val="it-IT"/>
        </w:rPr>
        <w:t xml:space="preserve"> </w:t>
      </w:r>
      <w:r w:rsidRPr="00451078">
        <w:rPr>
          <w:rFonts w:cs="Tahoma"/>
          <w:bCs/>
          <w:color w:val="000000"/>
          <w:szCs w:val="18"/>
          <w:lang w:val="it-IT"/>
        </w:rPr>
        <w:t>Le licenze acquistate in un periodo di validità dell</w:t>
      </w:r>
      <w:r w:rsidR="004525CA">
        <w:rPr>
          <w:rFonts w:cs="Tahoma"/>
          <w:bCs/>
          <w:color w:val="000000"/>
          <w:szCs w:val="18"/>
          <w:lang w:val="it-IT"/>
        </w:rPr>
        <w:t>’</w:t>
      </w:r>
      <w:r w:rsidRPr="00451078">
        <w:rPr>
          <w:rFonts w:cs="Tahoma"/>
          <w:bCs/>
          <w:color w:val="000000"/>
          <w:szCs w:val="18"/>
          <w:lang w:val="it-IT"/>
        </w:rPr>
        <w:t>iscrizione successivo, ai sensi di un contratto specifico o di un</w:t>
      </w:r>
      <w:r w:rsidR="004525CA">
        <w:rPr>
          <w:rFonts w:cs="Tahoma"/>
          <w:bCs/>
          <w:color w:val="000000"/>
          <w:szCs w:val="18"/>
          <w:lang w:val="it-IT"/>
        </w:rPr>
        <w:t>’</w:t>
      </w:r>
      <w:r w:rsidRPr="00451078">
        <w:rPr>
          <w:rFonts w:cs="Tahoma"/>
          <w:bCs/>
          <w:color w:val="000000"/>
          <w:szCs w:val="18"/>
          <w:lang w:val="it-IT"/>
        </w:rPr>
        <w:t>iscrizione con la data di</w:t>
      </w:r>
      <w:r w:rsidR="00711E9A" w:rsidRPr="00451078">
        <w:rPr>
          <w:rFonts w:cs="Tahoma"/>
          <w:bCs/>
          <w:color w:val="000000"/>
          <w:szCs w:val="18"/>
          <w:lang w:val="it-IT"/>
        </w:rPr>
        <w:t> </w:t>
      </w:r>
      <w:r w:rsidRPr="00451078">
        <w:rPr>
          <w:rFonts w:cs="Tahoma"/>
          <w:bCs/>
          <w:color w:val="000000"/>
          <w:szCs w:val="18"/>
          <w:lang w:val="it-IT"/>
        </w:rPr>
        <w:t>entrata in vigore posteriore al 1 aprile 2013, non sono licenze qualificanti.</w:t>
      </w:r>
    </w:p>
    <w:p w:rsidR="008233B3" w:rsidRPr="00451078" w:rsidRDefault="008233B3" w:rsidP="008233B3">
      <w:pPr>
        <w:ind w:left="720"/>
        <w:rPr>
          <w:lang w:val="it-IT"/>
        </w:rPr>
      </w:pPr>
    </w:p>
    <w:p w:rsidR="008233B3" w:rsidRPr="00451078" w:rsidRDefault="008233B3" w:rsidP="008233B3">
      <w:pPr>
        <w:spacing w:after="60"/>
        <w:ind w:left="720"/>
        <w:rPr>
          <w:lang w:val="it-IT"/>
        </w:rPr>
      </w:pPr>
      <w:r w:rsidRPr="00451078">
        <w:rPr>
          <w:rFonts w:eastAsia="Calibri" w:cs="Tahoma"/>
          <w:b/>
          <w:color w:val="000000"/>
          <w:szCs w:val="18"/>
          <w:lang w:val="it-IT"/>
        </w:rPr>
        <w:t>Periodo di Validità Corrente</w:t>
      </w:r>
    </w:p>
    <w:p w:rsidR="008233B3" w:rsidRPr="00451078" w:rsidRDefault="008233B3" w:rsidP="008233B3">
      <w:pPr>
        <w:ind w:left="720"/>
        <w:rPr>
          <w:lang w:val="it-IT"/>
        </w:rPr>
      </w:pPr>
      <w:r w:rsidRPr="00451078">
        <w:rPr>
          <w:rFonts w:eastAsia="Calibri" w:cs="Tahoma"/>
          <w:color w:val="000000"/>
          <w:szCs w:val="18"/>
          <w:lang w:val="it-IT"/>
        </w:rPr>
        <w:t xml:space="preserve">Durante il periodo di validità corrente della copertura Software Assurance a decorrere dal 1 aprile 2013 le società (incluse le società titolari di contratti </w:t>
      </w:r>
      <w:r w:rsidR="001A3EC5" w:rsidRPr="00451078">
        <w:rPr>
          <w:rFonts w:eastAsia="Calibri" w:cs="Tahoma"/>
          <w:color w:val="000000"/>
          <w:szCs w:val="18"/>
          <w:lang w:val="it-IT"/>
        </w:rPr>
        <w:t>“</w:t>
      </w:r>
      <w:r w:rsidRPr="00451078">
        <w:rPr>
          <w:rFonts w:eastAsia="Calibri" w:cs="Tahoma"/>
          <w:color w:val="000000"/>
          <w:szCs w:val="18"/>
          <w:lang w:val="it-IT"/>
        </w:rPr>
        <w:t>subscription</w:t>
      </w:r>
      <w:r w:rsidR="001A3EC5" w:rsidRPr="00451078">
        <w:rPr>
          <w:rFonts w:eastAsia="Calibri" w:cs="Tahoma"/>
          <w:color w:val="000000"/>
          <w:szCs w:val="18"/>
          <w:lang w:val="it-IT"/>
        </w:rPr>
        <w:t>”</w:t>
      </w:r>
      <w:r w:rsidRPr="00451078">
        <w:rPr>
          <w:rFonts w:eastAsia="Calibri" w:cs="Tahoma"/>
          <w:color w:val="000000"/>
          <w:szCs w:val="18"/>
          <w:lang w:val="it-IT"/>
        </w:rPr>
        <w:t>) potranno, ai sensi di una licenza qualificante, effettuare l</w:t>
      </w:r>
      <w:r w:rsidR="004525CA">
        <w:rPr>
          <w:rFonts w:eastAsia="Calibri" w:cs="Tahoma"/>
          <w:color w:val="000000"/>
          <w:szCs w:val="18"/>
          <w:lang w:val="it-IT"/>
        </w:rPr>
        <w:t>’</w:t>
      </w:r>
      <w:r w:rsidRPr="00451078">
        <w:rPr>
          <w:rFonts w:eastAsia="Calibri" w:cs="Tahoma"/>
          <w:color w:val="000000"/>
          <w:szCs w:val="18"/>
          <w:lang w:val="it-IT"/>
        </w:rPr>
        <w:t xml:space="preserve">aggiornamento al software BizTalk Server 2013 Standard e utilizzarlo al posto di BizTalk Server 2010 Standard in conformità ai diritti di utilizzo del prodotto previsti dalla licenza per processore per BizTalk Server 2010 Standard (come indicato nei Diritti di Utilizzo del Prodotto del mese di gennaio 2013). </w:t>
      </w:r>
    </w:p>
    <w:p w:rsidR="008233B3" w:rsidRPr="00451078" w:rsidRDefault="008233B3" w:rsidP="008233B3">
      <w:pPr>
        <w:ind w:left="720"/>
        <w:rPr>
          <w:lang w:val="it-IT"/>
        </w:rPr>
      </w:pPr>
    </w:p>
    <w:p w:rsidR="008233B3" w:rsidRPr="00451078" w:rsidRDefault="008233B3" w:rsidP="008233B3">
      <w:pPr>
        <w:spacing w:after="60"/>
        <w:ind w:left="720"/>
        <w:rPr>
          <w:lang w:val="it-IT"/>
        </w:rPr>
      </w:pPr>
      <w:r w:rsidRPr="00451078">
        <w:rPr>
          <w:rFonts w:eastAsia="Calibri" w:cs="Tahoma"/>
          <w:b/>
          <w:color w:val="000000"/>
          <w:szCs w:val="18"/>
          <w:lang w:val="it-IT"/>
        </w:rPr>
        <w:t>Primo Periodo di Rinnovo</w:t>
      </w:r>
    </w:p>
    <w:p w:rsidR="008233B3" w:rsidRPr="00451078" w:rsidRDefault="008233B3" w:rsidP="008233B3">
      <w:pPr>
        <w:tabs>
          <w:tab w:val="left" w:pos="1800"/>
        </w:tabs>
        <w:spacing w:after="60"/>
        <w:ind w:left="720"/>
        <w:rPr>
          <w:lang w:val="it-IT"/>
        </w:rPr>
      </w:pPr>
      <w:r w:rsidRPr="00451078">
        <w:rPr>
          <w:rFonts w:eastAsia="Calibri" w:cs="Tahoma"/>
          <w:color w:val="000000"/>
          <w:szCs w:val="18"/>
          <w:lang w:val="it-IT"/>
        </w:rPr>
        <w:t xml:space="preserve">In occasione del primo rinnovo di Software Assurance in data 1 aprile 2013 o successiva, per ogni server che una società ha ricevuto validamente in licenza in conformità ai diritti di utilizzo del prodotto previsti dalla licenza per processore per BizTalk Server 2010, la società potrà acquistare la copertura Software Assurance per le licenze core per BizTalk Server Standard senza dovere acquistare le licenze core sottostanti per un numero di licenze core pari al numero di licenze per processore qualificanti cedute al server moltiplicato per il maggiore tra: </w:t>
      </w:r>
    </w:p>
    <w:p w:rsidR="008233B3" w:rsidRPr="003410C7" w:rsidRDefault="008233B3" w:rsidP="00745AB3">
      <w:pPr>
        <w:numPr>
          <w:ilvl w:val="3"/>
          <w:numId w:val="92"/>
        </w:numPr>
        <w:tabs>
          <w:tab w:val="left" w:pos="2160"/>
        </w:tabs>
        <w:spacing w:after="60"/>
        <w:ind w:left="2160"/>
      </w:pPr>
      <w:r w:rsidRPr="003410C7">
        <w:rPr>
          <w:rFonts w:eastAsia="Calibri" w:cs="Tahoma"/>
          <w:color w:val="000000"/>
          <w:szCs w:val="18"/>
        </w:rPr>
        <w:t>quattro O</w:t>
      </w:r>
    </w:p>
    <w:p w:rsidR="008233B3" w:rsidRPr="00451078" w:rsidRDefault="008233B3" w:rsidP="00745AB3">
      <w:pPr>
        <w:numPr>
          <w:ilvl w:val="3"/>
          <w:numId w:val="92"/>
        </w:numPr>
        <w:tabs>
          <w:tab w:val="left" w:pos="2160"/>
        </w:tabs>
        <w:spacing w:after="60"/>
        <w:ind w:left="2160"/>
        <w:rPr>
          <w:lang w:val="it-IT"/>
        </w:rPr>
      </w:pPr>
      <w:r w:rsidRPr="00451078">
        <w:rPr>
          <w:rFonts w:eastAsia="Calibri" w:cs="Tahoma"/>
          <w:color w:val="000000"/>
          <w:szCs w:val="18"/>
          <w:lang w:val="it-IT"/>
        </w:rPr>
        <w:t>il numero effettivo di core per processore fisico moltiplicato per il fattore core appropriato.</w:t>
      </w:r>
      <w:r w:rsidR="00082E1C" w:rsidRPr="00451078">
        <w:rPr>
          <w:rFonts w:eastAsia="Calibri" w:cs="Tahoma"/>
          <w:color w:val="000000"/>
          <w:szCs w:val="18"/>
          <w:lang w:val="it-IT"/>
        </w:rPr>
        <w:t xml:space="preserve"> </w:t>
      </w:r>
      <w:r w:rsidRPr="00451078">
        <w:rPr>
          <w:rFonts w:eastAsia="Calibri" w:cs="Tahoma"/>
          <w:color w:val="000000"/>
          <w:szCs w:val="18"/>
          <w:lang w:val="it-IT"/>
        </w:rPr>
        <w:t>(Nei casi in cui il numero effettivo di core per processore fisico superi quattro, le società dovranno conservare un record della configurazione del software BizTalk Server in esecuzione sul server (istanze con licenza in esecuzione negli ambienti del sistema operativo sul server con licenza) e l</w:t>
      </w:r>
      <w:r w:rsidR="004525CA">
        <w:rPr>
          <w:rFonts w:eastAsia="Calibri" w:cs="Tahoma"/>
          <w:color w:val="000000"/>
          <w:szCs w:val="18"/>
          <w:lang w:val="it-IT"/>
        </w:rPr>
        <w:t>’</w:t>
      </w:r>
      <w:r w:rsidRPr="00451078">
        <w:rPr>
          <w:rFonts w:eastAsia="Calibri" w:cs="Tahoma"/>
          <w:color w:val="000000"/>
          <w:szCs w:val="18"/>
          <w:lang w:val="it-IT"/>
        </w:rPr>
        <w:t xml:space="preserve">hardware fisico che supporta tale software appena prima del rinnovo di Software Assurance utilizzando lo strumento MAP di Microsoft o un software equivalente). </w:t>
      </w:r>
    </w:p>
    <w:p w:rsidR="008233B3" w:rsidRPr="00451078" w:rsidRDefault="008233B3" w:rsidP="008233B3">
      <w:pPr>
        <w:tabs>
          <w:tab w:val="left" w:pos="1800"/>
        </w:tabs>
        <w:ind w:left="1080"/>
        <w:rPr>
          <w:lang w:val="it-IT"/>
        </w:rPr>
      </w:pPr>
    </w:p>
    <w:p w:rsidR="008233B3" w:rsidRPr="00451078" w:rsidRDefault="008233B3" w:rsidP="008233B3">
      <w:pPr>
        <w:spacing w:after="60"/>
        <w:ind w:left="720"/>
        <w:rPr>
          <w:lang w:val="it-IT"/>
        </w:rPr>
      </w:pPr>
      <w:r w:rsidRPr="00451078">
        <w:rPr>
          <w:rFonts w:eastAsia="Calibri" w:cs="Tahoma"/>
          <w:color w:val="000000"/>
          <w:szCs w:val="18"/>
          <w:lang w:val="it-IT"/>
        </w:rPr>
        <w:t xml:space="preserve">Le licenze per processore delle società non sono più valide se si acquista la copertura Software Assurance per licenze core ai sensi della presente offerta. </w:t>
      </w:r>
      <w:r w:rsidRPr="00451078">
        <w:rPr>
          <w:rFonts w:eastAsia="Calibri" w:cs="Tahoma"/>
          <w:szCs w:val="18"/>
          <w:lang w:val="it-IT"/>
        </w:rPr>
        <w:t>L</w:t>
      </w:r>
      <w:r w:rsidR="004525CA">
        <w:rPr>
          <w:rFonts w:eastAsia="Calibri" w:cs="Tahoma"/>
          <w:szCs w:val="18"/>
          <w:lang w:val="it-IT"/>
        </w:rPr>
        <w:t>’</w:t>
      </w:r>
      <w:r w:rsidRPr="00451078">
        <w:rPr>
          <w:rFonts w:eastAsia="Calibri" w:cs="Tahoma"/>
          <w:szCs w:val="18"/>
          <w:lang w:val="it-IT"/>
        </w:rPr>
        <w:t>opzione di acquistare Software Assurance per le licenze core per BizTalk Server non è applicabile al rinnovo della copertura ai sensi dei programmi di sottoscrizione.</w:t>
      </w:r>
      <w:r w:rsidR="00082E1C" w:rsidRPr="00451078">
        <w:rPr>
          <w:rFonts w:eastAsia="Calibri" w:cs="Tahoma"/>
          <w:szCs w:val="18"/>
          <w:lang w:val="it-IT"/>
        </w:rPr>
        <w:t xml:space="preserve"> </w:t>
      </w:r>
    </w:p>
    <w:p w:rsidR="008233B3" w:rsidRPr="00451078" w:rsidRDefault="008233B3" w:rsidP="008233B3">
      <w:pPr>
        <w:ind w:left="1440"/>
        <w:rPr>
          <w:lang w:val="it-IT"/>
        </w:rPr>
      </w:pPr>
    </w:p>
    <w:p w:rsidR="008233B3" w:rsidRPr="00451078" w:rsidRDefault="008233B3" w:rsidP="008233B3">
      <w:pPr>
        <w:tabs>
          <w:tab w:val="left" w:pos="1440"/>
        </w:tabs>
        <w:spacing w:after="60"/>
        <w:ind w:left="720"/>
        <w:rPr>
          <w:lang w:val="it-IT"/>
        </w:rPr>
      </w:pPr>
      <w:r w:rsidRPr="00451078">
        <w:rPr>
          <w:rFonts w:eastAsia="Calibri" w:cs="Tahoma"/>
          <w:b/>
          <w:color w:val="000000"/>
          <w:szCs w:val="18"/>
          <w:lang w:val="it-IT"/>
        </w:rPr>
        <w:t>Per le Società con copertura Software Assurance che scelgono di non effettuare il rinnovo</w:t>
      </w:r>
    </w:p>
    <w:p w:rsidR="008233B3" w:rsidRPr="00451078" w:rsidRDefault="008233B3" w:rsidP="008233B3">
      <w:pPr>
        <w:tabs>
          <w:tab w:val="left" w:pos="1440"/>
        </w:tabs>
        <w:ind w:left="720"/>
        <w:rPr>
          <w:lang w:val="it-IT"/>
        </w:rPr>
      </w:pPr>
      <w:r w:rsidRPr="00451078">
        <w:rPr>
          <w:rFonts w:eastAsia="Calibri" w:cs="Tahoma"/>
          <w:color w:val="000000"/>
          <w:szCs w:val="18"/>
          <w:lang w:val="it-IT"/>
        </w:rPr>
        <w:t xml:space="preserve">le società titolari di contratti Enterprise Subscription </w:t>
      </w:r>
      <w:r w:rsidRPr="00451078">
        <w:rPr>
          <w:rFonts w:cs="Tahoma"/>
          <w:bCs/>
          <w:color w:val="000000"/>
          <w:szCs w:val="18"/>
          <w:lang w:val="it-IT"/>
        </w:rPr>
        <w:t xml:space="preserve">e Open Value Subscription </w:t>
      </w:r>
      <w:r w:rsidRPr="00451078">
        <w:rPr>
          <w:rFonts w:eastAsia="Calibri" w:cs="Tahoma"/>
          <w:color w:val="000000"/>
          <w:szCs w:val="18"/>
          <w:lang w:val="it-IT"/>
        </w:rPr>
        <w:t>che scelgono di effettuare il</w:t>
      </w:r>
      <w:r w:rsidR="00711E9A" w:rsidRPr="00451078">
        <w:rPr>
          <w:rFonts w:eastAsia="Calibri" w:cs="Tahoma"/>
          <w:color w:val="000000"/>
          <w:szCs w:val="18"/>
          <w:lang w:val="it-IT"/>
        </w:rPr>
        <w:t> </w:t>
      </w:r>
      <w:r w:rsidRPr="00451078">
        <w:rPr>
          <w:rFonts w:eastAsia="Calibri" w:cs="Tahoma"/>
          <w:color w:val="000000"/>
          <w:szCs w:val="18"/>
          <w:lang w:val="it-IT"/>
        </w:rPr>
        <w:t>buy-out delle licenze per processore e le altre società che acquistano licenze perpetue ai sensi del loro contratto e scelgono di non rinnovare Software Assurance potranno eseguire BizTalk Server 2010 o BizTalk Server 2013 ai sensi di tali licenze come indicato sotto:</w:t>
      </w:r>
    </w:p>
    <w:p w:rsidR="008233B3" w:rsidRPr="00451078" w:rsidRDefault="008233B3" w:rsidP="008233B3">
      <w:pPr>
        <w:tabs>
          <w:tab w:val="left" w:pos="1440"/>
        </w:tabs>
        <w:ind w:left="720"/>
        <w:rPr>
          <w:lang w:val="it-IT"/>
        </w:rPr>
      </w:pPr>
    </w:p>
    <w:p w:rsidR="008233B3" w:rsidRPr="00451078" w:rsidRDefault="008233B3" w:rsidP="00745AB3">
      <w:pPr>
        <w:numPr>
          <w:ilvl w:val="0"/>
          <w:numId w:val="52"/>
        </w:numPr>
        <w:spacing w:after="60"/>
        <w:ind w:left="1440"/>
        <w:rPr>
          <w:lang w:val="it-IT"/>
        </w:rPr>
      </w:pPr>
      <w:r w:rsidRPr="00451078">
        <w:rPr>
          <w:rFonts w:eastAsia="Calibri" w:cs="Tahoma"/>
          <w:b/>
          <w:color w:val="000000"/>
          <w:szCs w:val="18"/>
          <w:lang w:val="it-IT"/>
        </w:rPr>
        <w:t>BizTalk Server 2010 Standard:</w:t>
      </w:r>
      <w:r w:rsidRPr="00451078">
        <w:rPr>
          <w:rFonts w:eastAsia="Calibri" w:cs="Tahoma"/>
          <w:color w:val="000000"/>
          <w:szCs w:val="18"/>
          <w:lang w:val="it-IT"/>
        </w:rPr>
        <w:t xml:space="preserve"> L</w:t>
      </w:r>
      <w:r w:rsidR="004525CA">
        <w:rPr>
          <w:rFonts w:eastAsia="Calibri" w:cs="Tahoma"/>
          <w:color w:val="000000"/>
          <w:szCs w:val="18"/>
          <w:lang w:val="it-IT"/>
        </w:rPr>
        <w:t>’</w:t>
      </w:r>
      <w:r w:rsidRPr="00451078">
        <w:rPr>
          <w:rFonts w:eastAsia="Calibri" w:cs="Tahoma"/>
          <w:color w:val="000000"/>
          <w:szCs w:val="18"/>
          <w:lang w:val="it-IT"/>
        </w:rPr>
        <w:t>utilizzo continuativo di questo software è soggetto ai diritti di utilizzo del prodotto previsti dalla licenza per processore per BizTalk Server 2010 Standard; tuttavia, le società non disporranno più di Mobilità delle Licenze tramite Software Assurance.</w:t>
      </w:r>
    </w:p>
    <w:p w:rsidR="008233B3" w:rsidRPr="00451078" w:rsidRDefault="008233B3" w:rsidP="00745AB3">
      <w:pPr>
        <w:numPr>
          <w:ilvl w:val="0"/>
          <w:numId w:val="52"/>
        </w:numPr>
        <w:tabs>
          <w:tab w:val="left" w:pos="1800"/>
        </w:tabs>
        <w:spacing w:after="60"/>
        <w:ind w:left="1440"/>
        <w:rPr>
          <w:lang w:val="it-IT"/>
        </w:rPr>
      </w:pPr>
      <w:r w:rsidRPr="00451078">
        <w:rPr>
          <w:rFonts w:eastAsia="Calibri" w:cs="Tahoma"/>
          <w:b/>
          <w:color w:val="000000"/>
          <w:szCs w:val="18"/>
          <w:lang w:val="it-IT"/>
        </w:rPr>
        <w:t xml:space="preserve">BizTalk Server 2013 Standard: </w:t>
      </w:r>
      <w:r w:rsidRPr="00451078">
        <w:rPr>
          <w:rFonts w:eastAsia="Calibri" w:cs="Tahoma"/>
          <w:color w:val="000000"/>
          <w:szCs w:val="18"/>
          <w:lang w:val="it-IT"/>
        </w:rPr>
        <w:t>l</w:t>
      </w:r>
      <w:r w:rsidR="004525CA">
        <w:rPr>
          <w:rFonts w:eastAsia="Calibri" w:cs="Tahoma"/>
          <w:color w:val="000000"/>
          <w:szCs w:val="18"/>
          <w:lang w:val="it-IT"/>
        </w:rPr>
        <w:t>’</w:t>
      </w:r>
      <w:r w:rsidRPr="00451078">
        <w:rPr>
          <w:rFonts w:eastAsia="Calibri" w:cs="Tahoma"/>
          <w:color w:val="000000"/>
          <w:szCs w:val="18"/>
          <w:lang w:val="it-IT"/>
        </w:rPr>
        <w:t xml:space="preserve">utilizzo di tale versione del software è soggetto ai diritti di utilizzo del prodotto previsti dalla licenza per processore per BizTalk Server 2010 Standard, tuttavia: </w:t>
      </w:r>
    </w:p>
    <w:p w:rsidR="008233B3" w:rsidRPr="00451078" w:rsidRDefault="008233B3" w:rsidP="00745AB3">
      <w:pPr>
        <w:numPr>
          <w:ilvl w:val="1"/>
          <w:numId w:val="52"/>
        </w:numPr>
        <w:tabs>
          <w:tab w:val="left" w:pos="2160"/>
        </w:tabs>
        <w:spacing w:after="60"/>
        <w:ind w:left="2160"/>
        <w:rPr>
          <w:lang w:val="it-IT"/>
        </w:rPr>
      </w:pPr>
      <w:r w:rsidRPr="00451078">
        <w:rPr>
          <w:rFonts w:eastAsia="Calibri" w:cs="Tahoma"/>
          <w:color w:val="000000"/>
          <w:szCs w:val="18"/>
          <w:lang w:val="it-IT"/>
        </w:rPr>
        <w:t>le società non disporranno più della Mobilità delle Licenze all</w:t>
      </w:r>
      <w:r w:rsidR="004525CA">
        <w:rPr>
          <w:rFonts w:eastAsia="Calibri" w:cs="Tahoma"/>
          <w:color w:val="000000"/>
          <w:szCs w:val="18"/>
          <w:lang w:val="it-IT"/>
        </w:rPr>
        <w:t>’</w:t>
      </w:r>
      <w:r w:rsidRPr="00451078">
        <w:rPr>
          <w:rFonts w:eastAsia="Calibri" w:cs="Tahoma"/>
          <w:color w:val="000000"/>
          <w:szCs w:val="18"/>
          <w:lang w:val="it-IT"/>
        </w:rPr>
        <w:t xml:space="preserve">interno di Server Farm o della Mobilità delle Licenze tramite Software Assurance e </w:t>
      </w:r>
    </w:p>
    <w:p w:rsidR="008233B3" w:rsidRPr="00451078" w:rsidRDefault="008233B3" w:rsidP="00745AB3">
      <w:pPr>
        <w:numPr>
          <w:ilvl w:val="1"/>
          <w:numId w:val="52"/>
        </w:numPr>
        <w:tabs>
          <w:tab w:val="left" w:pos="2160"/>
          <w:tab w:val="left" w:pos="2970"/>
        </w:tabs>
        <w:spacing w:after="60"/>
        <w:ind w:left="2160"/>
        <w:rPr>
          <w:lang w:val="it-IT"/>
        </w:rPr>
      </w:pPr>
      <w:r w:rsidRPr="00451078">
        <w:rPr>
          <w:rFonts w:eastAsia="Calibri" w:cs="Tahoma"/>
          <w:color w:val="000000"/>
          <w:szCs w:val="18"/>
          <w:lang w:val="it-IT"/>
        </w:rPr>
        <w:t>l</w:t>
      </w:r>
      <w:r w:rsidR="004525CA">
        <w:rPr>
          <w:rFonts w:eastAsia="Calibri" w:cs="Tahoma"/>
          <w:color w:val="000000"/>
          <w:szCs w:val="18"/>
          <w:lang w:val="it-IT"/>
        </w:rPr>
        <w:t>’</w:t>
      </w:r>
      <w:r w:rsidRPr="00451078">
        <w:rPr>
          <w:rFonts w:eastAsia="Calibri" w:cs="Tahoma"/>
          <w:color w:val="000000"/>
          <w:szCs w:val="18"/>
          <w:lang w:val="it-IT"/>
        </w:rPr>
        <w:t xml:space="preserve">eventuale riassegnazione di licenze è soggetta ai limiti che seguono relativi alla loro </w:t>
      </w:r>
      <w:r w:rsidR="001A3EC5" w:rsidRPr="00451078">
        <w:rPr>
          <w:rFonts w:eastAsia="Calibri" w:cs="Tahoma"/>
          <w:color w:val="000000"/>
          <w:szCs w:val="18"/>
          <w:lang w:val="it-IT"/>
        </w:rPr>
        <w:t>“</w:t>
      </w:r>
      <w:r w:rsidRPr="00451078">
        <w:rPr>
          <w:rFonts w:eastAsia="Calibri" w:cs="Tahoma"/>
          <w:color w:val="000000"/>
          <w:szCs w:val="18"/>
          <w:lang w:val="it-IT"/>
        </w:rPr>
        <w:t>equivalenza di licenze core</w:t>
      </w:r>
      <w:r w:rsidR="001A3EC5" w:rsidRPr="00451078">
        <w:rPr>
          <w:rFonts w:eastAsia="Calibri" w:cs="Tahoma"/>
          <w:color w:val="000000"/>
          <w:szCs w:val="18"/>
          <w:lang w:val="it-IT"/>
        </w:rPr>
        <w:t>”</w:t>
      </w:r>
      <w:r w:rsidRPr="00451078">
        <w:rPr>
          <w:rFonts w:eastAsia="Calibri" w:cs="Tahoma"/>
          <w:color w:val="000000"/>
          <w:szCs w:val="18"/>
          <w:lang w:val="it-IT"/>
        </w:rPr>
        <w:t>. L</w:t>
      </w:r>
      <w:r w:rsidR="004525CA">
        <w:rPr>
          <w:rFonts w:eastAsia="Calibri" w:cs="Tahoma"/>
          <w:color w:val="000000"/>
          <w:szCs w:val="18"/>
          <w:lang w:val="it-IT"/>
        </w:rPr>
        <w:t>’</w:t>
      </w:r>
      <w:r w:rsidRPr="00451078">
        <w:rPr>
          <w:rFonts w:eastAsia="Calibri" w:cs="Tahoma"/>
          <w:color w:val="000000"/>
          <w:szCs w:val="18"/>
          <w:lang w:val="it-IT"/>
        </w:rPr>
        <w:t xml:space="preserve">equivalenza di licenze core è determinata come di seguito riportato. </w:t>
      </w:r>
    </w:p>
    <w:p w:rsidR="008233B3" w:rsidRPr="00451078" w:rsidRDefault="008233B3" w:rsidP="00745AB3">
      <w:pPr>
        <w:numPr>
          <w:ilvl w:val="2"/>
          <w:numId w:val="52"/>
        </w:numPr>
        <w:tabs>
          <w:tab w:val="left" w:pos="2520"/>
        </w:tabs>
        <w:spacing w:after="60"/>
        <w:ind w:left="2520"/>
        <w:rPr>
          <w:lang w:val="it-IT"/>
        </w:rPr>
      </w:pPr>
      <w:r w:rsidRPr="00451078">
        <w:rPr>
          <w:rFonts w:eastAsia="Calibri" w:cs="Tahoma"/>
          <w:color w:val="000000"/>
          <w:szCs w:val="18"/>
          <w:lang w:val="it-IT"/>
        </w:rPr>
        <w:t>Per ogni licenza qualificante ceduta al server, l</w:t>
      </w:r>
      <w:r w:rsidR="004525CA">
        <w:rPr>
          <w:rFonts w:eastAsia="Calibri" w:cs="Tahoma"/>
          <w:color w:val="000000"/>
          <w:szCs w:val="18"/>
          <w:lang w:val="it-IT"/>
        </w:rPr>
        <w:t>’</w:t>
      </w:r>
      <w:r w:rsidRPr="00451078">
        <w:rPr>
          <w:rFonts w:eastAsia="Calibri" w:cs="Tahoma"/>
          <w:color w:val="000000"/>
          <w:szCs w:val="18"/>
          <w:lang w:val="it-IT"/>
        </w:rPr>
        <w:t xml:space="preserve">equivalenza di licenze core è il numero maggiore tra: </w:t>
      </w:r>
    </w:p>
    <w:p w:rsidR="008233B3" w:rsidRPr="00451078" w:rsidRDefault="008233B3" w:rsidP="00745AB3">
      <w:pPr>
        <w:numPr>
          <w:ilvl w:val="4"/>
          <w:numId w:val="125"/>
        </w:numPr>
        <w:tabs>
          <w:tab w:val="left" w:pos="2880"/>
        </w:tabs>
        <w:spacing w:after="60"/>
        <w:ind w:left="2880"/>
        <w:rPr>
          <w:lang w:val="it-IT"/>
        </w:rPr>
      </w:pPr>
      <w:r w:rsidRPr="00451078">
        <w:rPr>
          <w:rFonts w:eastAsia="Calibri" w:cs="Tahoma"/>
          <w:color w:val="000000"/>
          <w:szCs w:val="18"/>
          <w:lang w:val="it-IT"/>
        </w:rPr>
        <w:t xml:space="preserve">quattro core per licenza per processore O </w:t>
      </w:r>
    </w:p>
    <w:p w:rsidR="008233B3" w:rsidRPr="00451078" w:rsidRDefault="008233B3" w:rsidP="00745AB3">
      <w:pPr>
        <w:numPr>
          <w:ilvl w:val="4"/>
          <w:numId w:val="125"/>
        </w:numPr>
        <w:tabs>
          <w:tab w:val="left" w:pos="2880"/>
        </w:tabs>
        <w:spacing w:after="60"/>
        <w:ind w:left="2880"/>
        <w:rPr>
          <w:lang w:val="it-IT"/>
        </w:rPr>
      </w:pPr>
      <w:r w:rsidRPr="00451078">
        <w:rPr>
          <w:rFonts w:eastAsia="Calibri" w:cs="Tahoma"/>
          <w:color w:val="000000"/>
          <w:szCs w:val="18"/>
          <w:lang w:val="it-IT"/>
        </w:rPr>
        <w:t xml:space="preserve">un numero di core per licenza per processore basato sul numero effettivo di core per processore fisico moltiplicato per il fattore core appropriato. (Nei casi in cui il numero effettivo di core per processore fisico superi quattro, le società dovranno </w:t>
      </w:r>
      <w:r w:rsidRPr="00451078">
        <w:rPr>
          <w:rFonts w:eastAsia="Calibri" w:cs="Tahoma"/>
          <w:color w:val="000000"/>
          <w:szCs w:val="18"/>
          <w:lang w:val="it-IT"/>
        </w:rPr>
        <w:lastRenderedPageBreak/>
        <w:t>conservare un record della configurazione del software BizTalk Server in esecuzione sul server (istanze con licenza in esecuzione negli ambienti del sistema operativo sul server con licenza) e l</w:t>
      </w:r>
      <w:r w:rsidR="004525CA">
        <w:rPr>
          <w:rFonts w:eastAsia="Calibri" w:cs="Tahoma"/>
          <w:color w:val="000000"/>
          <w:szCs w:val="18"/>
          <w:lang w:val="it-IT"/>
        </w:rPr>
        <w:t>’</w:t>
      </w:r>
      <w:r w:rsidRPr="00451078">
        <w:rPr>
          <w:rFonts w:eastAsia="Calibri" w:cs="Tahoma"/>
          <w:color w:val="000000"/>
          <w:szCs w:val="18"/>
          <w:lang w:val="it-IT"/>
        </w:rPr>
        <w:t xml:space="preserve">hardware fisico che supporta tale software appena prima della scadenza di Software Assurance utilizzando lo strumento MAP di Microsoft o un software equivalente). </w:t>
      </w:r>
    </w:p>
    <w:p w:rsidR="008233B3" w:rsidRPr="00451078" w:rsidRDefault="008233B3" w:rsidP="00745AB3">
      <w:pPr>
        <w:numPr>
          <w:ilvl w:val="1"/>
          <w:numId w:val="127"/>
        </w:numPr>
        <w:tabs>
          <w:tab w:val="left" w:pos="1800"/>
        </w:tabs>
        <w:spacing w:after="60"/>
        <w:rPr>
          <w:rFonts w:cs="Tahoma"/>
          <w:szCs w:val="18"/>
          <w:lang w:val="it-IT"/>
        </w:rPr>
      </w:pPr>
      <w:r w:rsidRPr="00451078">
        <w:rPr>
          <w:rFonts w:eastAsia="Calibri" w:cs="Tahoma"/>
          <w:color w:val="000000"/>
          <w:szCs w:val="18"/>
          <w:lang w:val="it-IT"/>
        </w:rPr>
        <w:t xml:space="preserve">Le società </w:t>
      </w:r>
      <w:r w:rsidRPr="00451078">
        <w:rPr>
          <w:rFonts w:eastAsia="Calibri" w:cs="Tahoma"/>
          <w:szCs w:val="18"/>
          <w:lang w:val="it-IT"/>
        </w:rPr>
        <w:t>potranno riassegnare le licenze a un altro server. Tuttavia, qualora la società riassegni una licenza a un altro server, dovrà attenersi ai diritti sull</w:t>
      </w:r>
      <w:r w:rsidR="004525CA">
        <w:rPr>
          <w:rFonts w:eastAsia="Calibri" w:cs="Tahoma"/>
          <w:szCs w:val="18"/>
          <w:lang w:val="it-IT"/>
        </w:rPr>
        <w:t>’</w:t>
      </w:r>
      <w:r w:rsidRPr="00451078">
        <w:rPr>
          <w:rFonts w:eastAsia="Calibri" w:cs="Tahoma"/>
          <w:szCs w:val="18"/>
          <w:lang w:val="it-IT"/>
        </w:rPr>
        <w:t>utilizzo di BizTalk Server 2013. Quando cede licenze core a server ai sensi dei diritti sull</w:t>
      </w:r>
      <w:r w:rsidR="004525CA">
        <w:rPr>
          <w:rFonts w:eastAsia="Calibri" w:cs="Tahoma"/>
          <w:szCs w:val="18"/>
          <w:lang w:val="it-IT"/>
        </w:rPr>
        <w:t>’</w:t>
      </w:r>
      <w:r w:rsidRPr="00451078">
        <w:rPr>
          <w:rFonts w:eastAsia="Calibri" w:cs="Tahoma"/>
          <w:szCs w:val="18"/>
          <w:lang w:val="it-IT"/>
        </w:rPr>
        <w:t>utilizzo per BizTalk 2013, la società potrà combinare l</w:t>
      </w:r>
      <w:r w:rsidR="004525CA">
        <w:rPr>
          <w:rFonts w:eastAsia="Calibri" w:cs="Tahoma"/>
          <w:szCs w:val="18"/>
          <w:lang w:val="it-IT"/>
        </w:rPr>
        <w:t>’</w:t>
      </w:r>
      <w:r w:rsidRPr="00451078">
        <w:rPr>
          <w:rFonts w:eastAsia="Calibri" w:cs="Tahoma"/>
          <w:szCs w:val="18"/>
          <w:lang w:val="it-IT"/>
        </w:rPr>
        <w:t>equivalenza core delle licenze esistenti con le licenze core per BizTalk Server 2013 aggiuntive.</w:t>
      </w:r>
    </w:p>
    <w:p w:rsidR="008233B3" w:rsidRPr="00451078" w:rsidRDefault="008233B3" w:rsidP="00745AB3">
      <w:pPr>
        <w:numPr>
          <w:ilvl w:val="1"/>
          <w:numId w:val="127"/>
        </w:numPr>
        <w:tabs>
          <w:tab w:val="left" w:pos="1800"/>
          <w:tab w:val="left" w:pos="2970"/>
        </w:tabs>
        <w:spacing w:after="60"/>
        <w:rPr>
          <w:rFonts w:cs="Tahoma"/>
          <w:szCs w:val="18"/>
          <w:lang w:val="it-IT"/>
        </w:rPr>
      </w:pPr>
      <w:r w:rsidRPr="00451078">
        <w:rPr>
          <w:rFonts w:eastAsia="Calibri" w:cs="Tahoma"/>
          <w:color w:val="000000"/>
          <w:szCs w:val="18"/>
          <w:lang w:val="it-IT"/>
        </w:rPr>
        <w:t>L</w:t>
      </w:r>
      <w:r w:rsidR="004525CA">
        <w:rPr>
          <w:rFonts w:eastAsia="Calibri" w:cs="Tahoma"/>
          <w:color w:val="000000"/>
          <w:szCs w:val="18"/>
          <w:lang w:val="it-IT"/>
        </w:rPr>
        <w:t>’</w:t>
      </w:r>
      <w:r w:rsidRPr="00451078">
        <w:rPr>
          <w:rFonts w:eastAsia="Calibri" w:cs="Tahoma"/>
          <w:color w:val="000000"/>
          <w:szCs w:val="18"/>
          <w:lang w:val="it-IT"/>
        </w:rPr>
        <w:t>equivalenza di licenze core stimata delle società non implica che esse possano cedere una licenza singola per processore a core attraverso due o più processori.</w:t>
      </w:r>
    </w:p>
    <w:p w:rsidR="008233B3" w:rsidRPr="00451078" w:rsidRDefault="008233B3" w:rsidP="008233B3">
      <w:pPr>
        <w:ind w:left="1440"/>
        <w:rPr>
          <w:lang w:val="it-IT"/>
        </w:rPr>
      </w:pPr>
    </w:p>
    <w:p w:rsidR="008233B3" w:rsidRPr="00451078" w:rsidRDefault="008233B3" w:rsidP="008233B3">
      <w:pPr>
        <w:tabs>
          <w:tab w:val="left" w:pos="720"/>
        </w:tabs>
        <w:spacing w:after="60"/>
        <w:ind w:left="720"/>
        <w:rPr>
          <w:lang w:val="it-IT"/>
        </w:rPr>
      </w:pPr>
      <w:r w:rsidRPr="00451078">
        <w:rPr>
          <w:b/>
          <w:lang w:val="it-IT"/>
        </w:rPr>
        <w:t>Per le società con sede nella Repubblica popolare</w:t>
      </w:r>
      <w:r w:rsidRPr="00451078">
        <w:rPr>
          <w:lang w:val="it-IT"/>
        </w:rPr>
        <w:t xml:space="preserve"> </w:t>
      </w:r>
      <w:r w:rsidRPr="00451078">
        <w:rPr>
          <w:b/>
          <w:lang w:val="it-IT"/>
        </w:rPr>
        <w:t>cinese, dove acquistano licenze per processore e Software Assurance per BizTalk Server 2010</w:t>
      </w:r>
    </w:p>
    <w:p w:rsidR="008233B3" w:rsidRPr="00451078" w:rsidRDefault="008233B3" w:rsidP="008233B3">
      <w:pPr>
        <w:tabs>
          <w:tab w:val="left" w:pos="720"/>
        </w:tabs>
        <w:ind w:left="720"/>
        <w:rPr>
          <w:lang w:val="it-IT"/>
        </w:rPr>
      </w:pPr>
      <w:r w:rsidRPr="00451078">
        <w:rPr>
          <w:lang w:val="it-IT"/>
        </w:rPr>
        <w:t>Non si applica il riferimento al 1 aprile 2013 presente in questa nota relativa alla lista dei prodotti. La data applicabile per queste società sarebbe il 1 maggio 2013.</w:t>
      </w:r>
    </w:p>
    <w:p w:rsidR="003540FA" w:rsidRDefault="003540FA" w:rsidP="00A66BD2">
      <w:pPr>
        <w:ind w:left="540"/>
        <w:rPr>
          <w:lang w:val="it-IT"/>
        </w:rPr>
      </w:pPr>
    </w:p>
    <w:p w:rsidR="003367F4" w:rsidRPr="00451078" w:rsidRDefault="003367F4" w:rsidP="00A66BD2">
      <w:pPr>
        <w:ind w:left="540"/>
        <w:rPr>
          <w:lang w:val="it-IT"/>
        </w:rPr>
      </w:pPr>
    </w:p>
    <w:p w:rsidR="007B48BC" w:rsidRPr="00451078" w:rsidRDefault="00B26237" w:rsidP="000773D2">
      <w:pPr>
        <w:pStyle w:val="Heading3"/>
        <w:ind w:left="270" w:hanging="270"/>
        <w:rPr>
          <w:lang w:val="it-IT"/>
        </w:rPr>
      </w:pPr>
      <w:bookmarkStart w:id="1154" w:name="_Toc336338293"/>
      <w:bookmarkStart w:id="1155" w:name="_Toc352234887"/>
      <w:bookmarkStart w:id="1156" w:name="Srv_35BusinessIntellApp2012"/>
      <w:bookmarkStart w:id="1157" w:name="Srv_35CoreCALBridgeWinIntune"/>
      <w:r w:rsidRPr="00451078">
        <w:rPr>
          <w:rFonts w:ascii="Tahoma" w:hAnsi="Tahoma"/>
          <w:caps/>
          <w:color w:val="F66400"/>
          <w:sz w:val="22"/>
          <w:vertAlign w:val="superscript"/>
          <w:lang w:val="it-IT"/>
        </w:rPr>
        <w:t>34</w:t>
      </w:r>
      <w:r w:rsidRPr="00451078">
        <w:rPr>
          <w:rFonts w:ascii="Tahoma" w:hAnsi="Tahoma"/>
          <w:caps/>
          <w:color w:val="F66400"/>
          <w:sz w:val="22"/>
          <w:lang w:val="it-IT"/>
        </w:rPr>
        <w:t xml:space="preserve"> </w:t>
      </w:r>
      <w:r w:rsidRPr="00451078">
        <w:rPr>
          <w:rFonts w:ascii="Tahoma" w:hAnsi="Tahoma"/>
          <w:color w:val="F66400"/>
          <w:sz w:val="22"/>
          <w:lang w:val="it-IT"/>
        </w:rPr>
        <w:t>Business Intelligence Appliance 2012</w:t>
      </w:r>
      <w:bookmarkEnd w:id="1154"/>
      <w:bookmarkEnd w:id="1155"/>
      <w:r w:rsidRPr="00451078">
        <w:rPr>
          <w:rFonts w:ascii="Tahoma" w:hAnsi="Tahoma"/>
          <w:caps/>
          <w:color w:val="F66400"/>
          <w:sz w:val="22"/>
          <w:vertAlign w:val="superscript"/>
          <w:lang w:val="it-IT"/>
        </w:rPr>
        <w:t xml:space="preserve"> </w:t>
      </w:r>
    </w:p>
    <w:bookmarkEnd w:id="1156"/>
    <w:p w:rsidR="007B48BC" w:rsidRPr="00451078" w:rsidRDefault="007B48BC" w:rsidP="007B48BC">
      <w:pPr>
        <w:rPr>
          <w:lang w:val="it-IT"/>
        </w:rPr>
      </w:pPr>
    </w:p>
    <w:p w:rsidR="00E03856" w:rsidRPr="00451078" w:rsidRDefault="00E50460" w:rsidP="00A66BD2">
      <w:pPr>
        <w:ind w:left="720"/>
        <w:rPr>
          <w:lang w:val="it-IT"/>
        </w:rPr>
      </w:pPr>
      <w:r w:rsidRPr="00451078">
        <w:rPr>
          <w:rFonts w:cs="Tahoma"/>
          <w:szCs w:val="18"/>
          <w:lang w:val="it-IT"/>
        </w:rPr>
        <w:t>Il software Business Intelligence Appliance 2012, che incorpora SQL Server 2008 R2 e SharePoint Server 2010, è disponibile solo nelle configurazioni hardware e software approvate da Microsoft.</w:t>
      </w:r>
      <w:r w:rsidR="00082E1C" w:rsidRPr="00451078">
        <w:rPr>
          <w:rFonts w:cs="Tahoma"/>
          <w:szCs w:val="18"/>
          <w:lang w:val="it-IT"/>
        </w:rPr>
        <w:t xml:space="preserve"> </w:t>
      </w:r>
      <w:r w:rsidRPr="00451078">
        <w:rPr>
          <w:rFonts w:cs="Tahoma"/>
          <w:szCs w:val="18"/>
          <w:lang w:val="it-IT"/>
        </w:rPr>
        <w:t>L</w:t>
      </w:r>
      <w:r w:rsidR="004525CA">
        <w:rPr>
          <w:rFonts w:cs="Tahoma"/>
          <w:szCs w:val="18"/>
          <w:lang w:val="it-IT"/>
        </w:rPr>
        <w:t>’</w:t>
      </w:r>
      <w:r w:rsidRPr="00451078">
        <w:rPr>
          <w:rFonts w:cs="Tahoma"/>
          <w:szCs w:val="18"/>
          <w:lang w:val="it-IT"/>
        </w:rPr>
        <w:t>utilizzo del software in altre configurazioni non è supportato e potrà influire sulle prestazioni.</w:t>
      </w:r>
      <w:r w:rsidR="00082E1C" w:rsidRPr="00451078">
        <w:rPr>
          <w:rFonts w:cs="Tahoma"/>
          <w:szCs w:val="18"/>
          <w:lang w:val="it-IT"/>
        </w:rPr>
        <w:t xml:space="preserve"> </w:t>
      </w:r>
      <w:r w:rsidRPr="00451078">
        <w:rPr>
          <w:rFonts w:cs="Tahoma"/>
          <w:szCs w:val="18"/>
          <w:lang w:val="it-IT"/>
        </w:rPr>
        <w:t>Per ulteriori informazioni, visitare la pagina</w:t>
      </w:r>
      <w:r w:rsidRPr="00451078">
        <w:rPr>
          <w:rFonts w:cs="Tahoma"/>
          <w:color w:val="1F497D"/>
          <w:szCs w:val="18"/>
          <w:lang w:val="it-IT"/>
        </w:rPr>
        <w:t xml:space="preserve"> </w:t>
      </w:r>
      <w:hyperlink r:id="rId50" w:tooltip="http://www.microsoft.com/sqlserver/en/us/get-sql-server/how-to-buy.aspx" w:history="1">
        <w:r w:rsidRPr="00451078">
          <w:rPr>
            <w:rStyle w:val="Hyperlink"/>
            <w:rFonts w:cs="Tahoma"/>
            <w:szCs w:val="18"/>
            <w:lang w:val="it-IT"/>
          </w:rPr>
          <w:t>http://www.microsoft.com/sqlserver/en/us/get-sql-server/how-to-buy.aspx</w:t>
        </w:r>
      </w:hyperlink>
      <w:r w:rsidRPr="00451078">
        <w:rPr>
          <w:rFonts w:cs="Tahoma"/>
          <w:szCs w:val="18"/>
          <w:lang w:val="it-IT"/>
        </w:rPr>
        <w:t>.</w:t>
      </w:r>
      <w:r w:rsidR="00082E1C" w:rsidRPr="00451078">
        <w:rPr>
          <w:rFonts w:cs="Tahoma"/>
          <w:szCs w:val="18"/>
          <w:lang w:val="it-IT"/>
        </w:rPr>
        <w:t xml:space="preserve"> </w:t>
      </w:r>
    </w:p>
    <w:p w:rsidR="00A66BD2" w:rsidRPr="00451078" w:rsidRDefault="00A66BD2" w:rsidP="00A66BD2">
      <w:pPr>
        <w:rPr>
          <w:lang w:val="it-IT"/>
        </w:rPr>
      </w:pPr>
    </w:p>
    <w:p w:rsidR="00A66BD2" w:rsidRPr="00451078" w:rsidRDefault="00A66BD2" w:rsidP="00A66BD2">
      <w:pPr>
        <w:rPr>
          <w:lang w:val="it-IT"/>
        </w:rPr>
      </w:pPr>
    </w:p>
    <w:p w:rsidR="003540FA" w:rsidRPr="00451078" w:rsidRDefault="00B26237" w:rsidP="000773D2">
      <w:pPr>
        <w:pStyle w:val="Heading3"/>
        <w:ind w:left="270" w:hanging="270"/>
        <w:rPr>
          <w:lang w:val="it-IT"/>
        </w:rPr>
      </w:pPr>
      <w:bookmarkStart w:id="1158" w:name="_35_Core_CAL"/>
      <w:bookmarkStart w:id="1159" w:name="_Toc336338294"/>
      <w:bookmarkStart w:id="1160" w:name="_Toc352234888"/>
      <w:bookmarkEnd w:id="1158"/>
      <w:r w:rsidRPr="00451078">
        <w:rPr>
          <w:rFonts w:ascii="Tahoma" w:hAnsi="Tahoma"/>
          <w:caps/>
          <w:color w:val="F66400"/>
          <w:sz w:val="22"/>
          <w:vertAlign w:val="superscript"/>
          <w:lang w:val="it-IT"/>
        </w:rPr>
        <w:t>35</w:t>
      </w:r>
      <w:r w:rsidRPr="00451078">
        <w:rPr>
          <w:rFonts w:ascii="Tahoma" w:hAnsi="Tahoma"/>
          <w:color w:val="F66400"/>
          <w:sz w:val="22"/>
          <w:lang w:val="it-IT"/>
        </w:rPr>
        <w:t xml:space="preserve"> Core </w:t>
      </w:r>
      <w:r w:rsidRPr="00451078">
        <w:rPr>
          <w:rFonts w:ascii="Tahoma" w:hAnsi="Tahoma"/>
          <w:color w:val="FF6600"/>
          <w:sz w:val="22"/>
          <w:lang w:val="it-IT"/>
        </w:rPr>
        <w:t>CAL Suite Bridge per Office 365, Core CAL Suite Bridge per Office 365 e</w:t>
      </w:r>
      <w:r w:rsidR="00153E38" w:rsidRPr="00451078">
        <w:rPr>
          <w:rFonts w:ascii="Tahoma" w:hAnsi="Tahoma"/>
          <w:color w:val="FF6600"/>
          <w:sz w:val="22"/>
          <w:lang w:val="it-IT"/>
        </w:rPr>
        <w:t> </w:t>
      </w:r>
      <w:r w:rsidRPr="00451078">
        <w:rPr>
          <w:rFonts w:ascii="Tahoma" w:hAnsi="Tahoma"/>
          <w:color w:val="FF6600"/>
          <w:sz w:val="22"/>
          <w:lang w:val="it-IT"/>
        </w:rPr>
        <w:t>Windows Intune e Core CAL Suite Bridge per Windows Intune</w:t>
      </w:r>
      <w:bookmarkEnd w:id="1159"/>
      <w:bookmarkEnd w:id="1160"/>
    </w:p>
    <w:bookmarkEnd w:id="1157"/>
    <w:p w:rsidR="003540FA" w:rsidRPr="00451078" w:rsidRDefault="003540FA" w:rsidP="00A66BD2">
      <w:pPr>
        <w:ind w:left="540"/>
        <w:rPr>
          <w:lang w:val="it-IT"/>
        </w:rPr>
      </w:pPr>
    </w:p>
    <w:p w:rsidR="00A66BD2" w:rsidRPr="000750C2" w:rsidRDefault="000773D2" w:rsidP="00A66BD2">
      <w:pPr>
        <w:spacing w:after="60"/>
        <w:ind w:left="720"/>
        <w:rPr>
          <w:szCs w:val="18"/>
          <w:lang w:val="it-IT"/>
        </w:rPr>
      </w:pPr>
      <w:r w:rsidRPr="000750C2">
        <w:rPr>
          <w:b/>
          <w:szCs w:val="18"/>
          <w:lang w:val="it-IT"/>
        </w:rPr>
        <w:t>Definizione</w:t>
      </w:r>
    </w:p>
    <w:p w:rsidR="000773D2" w:rsidRPr="000750C2" w:rsidRDefault="001A3EC5" w:rsidP="00A66BD2">
      <w:pPr>
        <w:ind w:left="720"/>
        <w:rPr>
          <w:szCs w:val="18"/>
          <w:lang w:val="it-IT"/>
        </w:rPr>
      </w:pPr>
      <w:r w:rsidRPr="000750C2">
        <w:rPr>
          <w:szCs w:val="18"/>
          <w:lang w:val="it-IT"/>
        </w:rPr>
        <w:t>“</w:t>
      </w:r>
      <w:r w:rsidR="00A66BD2" w:rsidRPr="000750C2">
        <w:rPr>
          <w:szCs w:val="18"/>
          <w:lang w:val="it-IT"/>
        </w:rPr>
        <w:t>Transizione</w:t>
      </w:r>
      <w:r w:rsidRPr="000750C2">
        <w:rPr>
          <w:szCs w:val="18"/>
          <w:lang w:val="it-IT"/>
        </w:rPr>
        <w:t>”</w:t>
      </w:r>
      <w:r w:rsidR="00A66BD2" w:rsidRPr="000750C2">
        <w:rPr>
          <w:szCs w:val="18"/>
          <w:lang w:val="it-IT"/>
        </w:rPr>
        <w:t xml:space="preserve"> indica la conversione di una Licenza </w:t>
      </w:r>
      <w:r w:rsidR="00A66BD2" w:rsidRPr="000750C2">
        <w:rPr>
          <w:rFonts w:cs="Tahoma"/>
          <w:szCs w:val="18"/>
          <w:lang w:val="it-IT"/>
        </w:rPr>
        <w:t xml:space="preserve">con copertura Software Assurance attiva in una licenza </w:t>
      </w:r>
      <w:r w:rsidRPr="000750C2">
        <w:rPr>
          <w:rFonts w:cs="Tahoma"/>
          <w:szCs w:val="18"/>
          <w:lang w:val="it-IT"/>
        </w:rPr>
        <w:t>“</w:t>
      </w:r>
      <w:r w:rsidR="00A66BD2" w:rsidRPr="000750C2">
        <w:rPr>
          <w:rFonts w:cs="Tahoma"/>
          <w:szCs w:val="18"/>
          <w:lang w:val="it-IT"/>
        </w:rPr>
        <w:t>Subscription</w:t>
      </w:r>
      <w:r w:rsidRPr="000750C2">
        <w:rPr>
          <w:rFonts w:cs="Tahoma"/>
          <w:szCs w:val="18"/>
          <w:lang w:val="it-IT"/>
        </w:rPr>
        <w:t>”</w:t>
      </w:r>
      <w:r w:rsidR="00A66BD2" w:rsidRPr="000750C2">
        <w:rPr>
          <w:rFonts w:cs="Tahoma"/>
          <w:szCs w:val="18"/>
          <w:lang w:val="it-IT"/>
        </w:rPr>
        <w:t xml:space="preserve"> o viceversa.</w:t>
      </w:r>
      <w:r w:rsidR="00082E1C" w:rsidRPr="000750C2">
        <w:rPr>
          <w:rFonts w:cs="Tahoma"/>
          <w:szCs w:val="18"/>
          <w:lang w:val="it-IT"/>
        </w:rPr>
        <w:t xml:space="preserve"> </w:t>
      </w:r>
    </w:p>
    <w:p w:rsidR="00A66BD2" w:rsidRPr="000750C2" w:rsidRDefault="00A66BD2" w:rsidP="00A66BD2">
      <w:pPr>
        <w:ind w:left="720"/>
        <w:rPr>
          <w:szCs w:val="18"/>
          <w:lang w:val="it-IT"/>
        </w:rPr>
      </w:pPr>
    </w:p>
    <w:p w:rsidR="00A66BD2" w:rsidRPr="000750C2" w:rsidRDefault="000773D2" w:rsidP="00A66BD2">
      <w:pPr>
        <w:spacing w:after="60"/>
        <w:ind w:left="720"/>
        <w:rPr>
          <w:szCs w:val="18"/>
          <w:lang w:val="it-IT"/>
        </w:rPr>
      </w:pPr>
      <w:r w:rsidRPr="000750C2">
        <w:rPr>
          <w:b/>
          <w:szCs w:val="18"/>
          <w:lang w:val="it-IT"/>
        </w:rPr>
        <w:t>Diritti sull</w:t>
      </w:r>
      <w:r w:rsidR="004525CA">
        <w:rPr>
          <w:b/>
          <w:szCs w:val="18"/>
          <w:lang w:val="it-IT"/>
        </w:rPr>
        <w:t>’</w:t>
      </w:r>
      <w:r w:rsidRPr="000750C2">
        <w:rPr>
          <w:b/>
          <w:szCs w:val="18"/>
          <w:lang w:val="it-IT"/>
        </w:rPr>
        <w:t xml:space="preserve">Utilizzo Applicabili </w:t>
      </w:r>
    </w:p>
    <w:p w:rsidR="000773D2" w:rsidRPr="000750C2" w:rsidRDefault="000773D2" w:rsidP="00A66BD2">
      <w:pPr>
        <w:spacing w:line="276" w:lineRule="auto"/>
        <w:ind w:left="720"/>
        <w:rPr>
          <w:szCs w:val="18"/>
          <w:lang w:val="it-IT"/>
        </w:rPr>
      </w:pPr>
      <w:r w:rsidRPr="000750C2">
        <w:rPr>
          <w:rFonts w:eastAsia="Calibri" w:cs="Tahoma"/>
          <w:szCs w:val="18"/>
          <w:lang w:val="it-IT"/>
        </w:rPr>
        <w:t>Una licenza CAL Suite Bridge non dispone di versioni e i Diritti di Utilizzo del Prodotto sono determinati dallo</w:t>
      </w:r>
      <w:r w:rsidR="00153E38" w:rsidRPr="000750C2">
        <w:rPr>
          <w:rFonts w:eastAsia="Calibri" w:cs="Tahoma"/>
          <w:szCs w:val="18"/>
          <w:lang w:val="it-IT"/>
        </w:rPr>
        <w:t> </w:t>
      </w:r>
      <w:r w:rsidRPr="000750C2">
        <w:rPr>
          <w:rFonts w:eastAsia="Calibri" w:cs="Tahoma"/>
          <w:szCs w:val="18"/>
          <w:lang w:val="it-IT"/>
        </w:rPr>
        <w:t>stato della copertura Software Assurance per tale licenza. Qualora la copertura Software Assurance sia scaduta, i diritti di accesso attribuiti da Licenze perpetue sono determinati sulla base dei Diritti di Utilizzo del Prodotto in vigore prima della scadenza della copertura. Una Licenza per una CAL Suite Bridge è una licenza singola che dovrà essere ceduta a un utente o dispositivo singolo.</w:t>
      </w:r>
    </w:p>
    <w:p w:rsidR="00A66BD2" w:rsidRPr="000750C2" w:rsidRDefault="00A66BD2" w:rsidP="00A66BD2">
      <w:pPr>
        <w:spacing w:line="276" w:lineRule="auto"/>
        <w:ind w:left="720"/>
        <w:rPr>
          <w:szCs w:val="18"/>
          <w:lang w:val="it-IT"/>
        </w:rPr>
      </w:pPr>
    </w:p>
    <w:p w:rsidR="00A66BD2" w:rsidRPr="000750C2" w:rsidRDefault="000773D2" w:rsidP="00A66BD2">
      <w:pPr>
        <w:spacing w:after="60"/>
        <w:ind w:left="720"/>
        <w:rPr>
          <w:szCs w:val="18"/>
          <w:lang w:val="it-IT"/>
        </w:rPr>
      </w:pPr>
      <w:r w:rsidRPr="000750C2">
        <w:rPr>
          <w:b/>
          <w:szCs w:val="18"/>
          <w:lang w:val="it-IT"/>
        </w:rPr>
        <w:t>Requisiti</w:t>
      </w:r>
    </w:p>
    <w:p w:rsidR="000773D2" w:rsidRPr="000750C2" w:rsidRDefault="000773D2" w:rsidP="00A66BD2">
      <w:pPr>
        <w:spacing w:line="276" w:lineRule="auto"/>
        <w:ind w:left="720"/>
        <w:rPr>
          <w:szCs w:val="18"/>
          <w:lang w:val="it-IT"/>
        </w:rPr>
      </w:pPr>
      <w:r w:rsidRPr="000750C2">
        <w:rPr>
          <w:rFonts w:eastAsia="Calibri" w:cs="Tahoma"/>
          <w:szCs w:val="18"/>
          <w:lang w:val="it-IT"/>
        </w:rPr>
        <w:t>Una CAL Suite Bridge potrà essere richiesta durante la Transizione da una CAL Suite a una combinazione di</w:t>
      </w:r>
      <w:r w:rsidR="00E82D1F" w:rsidRPr="000750C2">
        <w:rPr>
          <w:rFonts w:eastAsia="Calibri" w:cs="Tahoma"/>
          <w:szCs w:val="18"/>
          <w:lang w:val="it-IT"/>
        </w:rPr>
        <w:t> </w:t>
      </w:r>
      <w:r w:rsidRPr="000750C2">
        <w:rPr>
          <w:rFonts w:eastAsia="Calibri" w:cs="Tahoma"/>
          <w:szCs w:val="18"/>
          <w:lang w:val="it-IT"/>
        </w:rPr>
        <w:t>Servizi Online e Prodotti paragonabili. Quando una Transizione richiede una CAL Suite Bridge e la Licenza qualificante è stata pagata totalmente dalla Società, l</w:t>
      </w:r>
      <w:r w:rsidR="004525CA">
        <w:rPr>
          <w:rFonts w:eastAsia="Calibri" w:cs="Tahoma"/>
          <w:szCs w:val="18"/>
          <w:lang w:val="it-IT"/>
        </w:rPr>
        <w:t>’</w:t>
      </w:r>
      <w:r w:rsidRPr="000750C2">
        <w:rPr>
          <w:rFonts w:eastAsia="Calibri" w:cs="Tahoma"/>
          <w:szCs w:val="18"/>
          <w:lang w:val="it-IT"/>
        </w:rPr>
        <w:t>acquisto di una Licenza per la CAL Suite Bridge non sarà necessario. La copertura Software Assurance potrà invece essere acquistata per la CAL Suite Bridge in</w:t>
      </w:r>
      <w:r w:rsidR="00E82D1F" w:rsidRPr="000750C2">
        <w:rPr>
          <w:rFonts w:eastAsia="Calibri" w:cs="Tahoma"/>
          <w:szCs w:val="18"/>
          <w:lang w:val="it-IT"/>
        </w:rPr>
        <w:t> </w:t>
      </w:r>
      <w:r w:rsidRPr="000750C2">
        <w:rPr>
          <w:rFonts w:eastAsia="Calibri" w:cs="Tahoma"/>
          <w:szCs w:val="18"/>
          <w:lang w:val="it-IT"/>
        </w:rPr>
        <w:t>occasione della ricorrenza dell</w:t>
      </w:r>
      <w:r w:rsidR="004525CA">
        <w:rPr>
          <w:rFonts w:eastAsia="Calibri" w:cs="Tahoma"/>
          <w:szCs w:val="18"/>
          <w:lang w:val="it-IT"/>
        </w:rPr>
        <w:t>’</w:t>
      </w:r>
      <w:r w:rsidRPr="000750C2">
        <w:rPr>
          <w:rFonts w:eastAsia="Calibri" w:cs="Tahoma"/>
          <w:szCs w:val="18"/>
          <w:lang w:val="it-IT"/>
        </w:rPr>
        <w:t>Iscrizione durante la quale la Transizione è in vigore. In tali circostanze il</w:t>
      </w:r>
      <w:r w:rsidR="00E82D1F" w:rsidRPr="000750C2">
        <w:rPr>
          <w:rFonts w:eastAsia="Calibri" w:cs="Tahoma"/>
          <w:szCs w:val="18"/>
          <w:lang w:val="it-IT"/>
        </w:rPr>
        <w:t> </w:t>
      </w:r>
      <w:r w:rsidRPr="000750C2">
        <w:rPr>
          <w:rFonts w:eastAsia="Calibri" w:cs="Tahoma"/>
          <w:szCs w:val="18"/>
          <w:lang w:val="it-IT"/>
        </w:rPr>
        <w:t>rapporto della Transizione potrà essere solo di una copertura Software Assurance per CAL Suite Bridge per</w:t>
      </w:r>
      <w:r w:rsidR="00E82D1F" w:rsidRPr="000750C2">
        <w:rPr>
          <w:rFonts w:eastAsia="Calibri" w:cs="Tahoma"/>
          <w:szCs w:val="18"/>
          <w:lang w:val="it-IT"/>
        </w:rPr>
        <w:t> </w:t>
      </w:r>
      <w:r w:rsidRPr="000750C2">
        <w:rPr>
          <w:rFonts w:eastAsia="Calibri" w:cs="Tahoma"/>
          <w:szCs w:val="18"/>
          <w:lang w:val="it-IT"/>
        </w:rPr>
        <w:t>una copertura Software Assurance per CAL Suite e per la stessa Licenza per utente o dispositivo della CAL Suite qualificante.</w:t>
      </w:r>
      <w:r w:rsidR="00082E1C" w:rsidRPr="000750C2">
        <w:rPr>
          <w:rFonts w:eastAsia="Calibri" w:cs="Tahoma"/>
          <w:szCs w:val="18"/>
          <w:lang w:val="it-IT"/>
        </w:rPr>
        <w:t xml:space="preserve"> </w:t>
      </w:r>
    </w:p>
    <w:p w:rsidR="00A66BD2" w:rsidRPr="000750C2" w:rsidRDefault="00A66BD2" w:rsidP="00A66BD2">
      <w:pPr>
        <w:spacing w:line="276" w:lineRule="auto"/>
        <w:ind w:left="720"/>
        <w:rPr>
          <w:szCs w:val="18"/>
          <w:lang w:val="it-IT"/>
        </w:rPr>
      </w:pPr>
    </w:p>
    <w:p w:rsidR="000773D2" w:rsidRPr="00451078" w:rsidRDefault="000773D2" w:rsidP="00A66BD2">
      <w:pPr>
        <w:spacing w:line="276" w:lineRule="auto"/>
        <w:ind w:left="720"/>
        <w:rPr>
          <w:lang w:val="it-IT"/>
        </w:rPr>
      </w:pPr>
      <w:r w:rsidRPr="00451078">
        <w:rPr>
          <w:rFonts w:eastAsia="Calibri" w:cs="Tahoma"/>
          <w:szCs w:val="18"/>
          <w:lang w:val="it-IT"/>
        </w:rPr>
        <w:t>Una CAL Suite Bridge è un Prodotto Enterprise e potrà essere ottenuto in licenza solo insieme al Servizio Online qualificante per soddisfare il requisito a livello aziendale sia della CAL Suite Bridge che della CAL</w:t>
      </w:r>
      <w:r w:rsidR="00E82D1F" w:rsidRPr="00451078">
        <w:rPr>
          <w:rFonts w:eastAsia="Calibri" w:cs="Tahoma"/>
          <w:szCs w:val="18"/>
          <w:lang w:val="it-IT"/>
        </w:rPr>
        <w:t> </w:t>
      </w:r>
      <w:r w:rsidRPr="00451078">
        <w:rPr>
          <w:rFonts w:eastAsia="Calibri" w:cs="Tahoma"/>
          <w:szCs w:val="18"/>
          <w:lang w:val="it-IT"/>
        </w:rPr>
        <w:t>Suite</w:t>
      </w:r>
      <w:r w:rsidR="00E82D1F" w:rsidRPr="00451078">
        <w:rPr>
          <w:rFonts w:eastAsia="Calibri" w:cs="Tahoma"/>
          <w:szCs w:val="18"/>
          <w:lang w:val="it-IT"/>
        </w:rPr>
        <w:t> </w:t>
      </w:r>
      <w:r w:rsidRPr="00451078">
        <w:rPr>
          <w:rFonts w:eastAsia="Calibri" w:cs="Tahoma"/>
          <w:szCs w:val="18"/>
          <w:lang w:val="it-IT"/>
        </w:rPr>
        <w:t>principale.</w:t>
      </w:r>
    </w:p>
    <w:p w:rsidR="002A6416" w:rsidRPr="00451078" w:rsidRDefault="002A6416" w:rsidP="002A6416">
      <w:pPr>
        <w:spacing w:line="276" w:lineRule="auto"/>
        <w:ind w:left="720"/>
        <w:rPr>
          <w:lang w:val="it-IT"/>
        </w:rPr>
      </w:pPr>
    </w:p>
    <w:tbl>
      <w:tblPr>
        <w:tblW w:w="4366" w:type="pct"/>
        <w:tblInd w:w="730" w:type="dxa"/>
        <w:tblCellMar>
          <w:left w:w="0" w:type="dxa"/>
          <w:right w:w="0" w:type="dxa"/>
        </w:tblCellMar>
        <w:tblLook w:val="04A0" w:firstRow="1" w:lastRow="0" w:firstColumn="1" w:lastColumn="0" w:noHBand="0" w:noVBand="1"/>
      </w:tblPr>
      <w:tblGrid>
        <w:gridCol w:w="2791"/>
        <w:gridCol w:w="2610"/>
        <w:gridCol w:w="2790"/>
      </w:tblGrid>
      <w:tr w:rsidR="005A36EF" w:rsidRPr="003410C7" w:rsidTr="002A6416">
        <w:trPr>
          <w:tblHeader/>
        </w:trPr>
        <w:tc>
          <w:tcPr>
            <w:tcW w:w="1704" w:type="pct"/>
            <w:tcBorders>
              <w:top w:val="single" w:sz="8" w:space="0" w:color="auto"/>
              <w:left w:val="single" w:sz="8" w:space="0" w:color="auto"/>
              <w:bottom w:val="single" w:sz="8" w:space="0" w:color="auto"/>
              <w:right w:val="single" w:sz="8" w:space="0" w:color="auto"/>
            </w:tcBorders>
            <w:shd w:val="clear" w:color="auto" w:fill="FABF8F"/>
            <w:vAlign w:val="center"/>
            <w:hideMark/>
          </w:tcPr>
          <w:p w:rsidR="000773D2" w:rsidRPr="003410C7" w:rsidRDefault="000773D2" w:rsidP="000773D2">
            <w:pPr>
              <w:spacing w:before="80" w:after="200" w:line="276" w:lineRule="auto"/>
              <w:jc w:val="center"/>
              <w:rPr>
                <w:rFonts w:eastAsia="Calibri" w:cs="Tahoma"/>
                <w:b/>
                <w:bCs/>
                <w:color w:val="000000"/>
                <w:szCs w:val="18"/>
                <w:lang w:eastAsia="ja-JP"/>
              </w:rPr>
            </w:pPr>
            <w:r w:rsidRPr="003410C7">
              <w:rPr>
                <w:rFonts w:eastAsia="Calibri" w:cs="Tahoma"/>
                <w:b/>
                <w:bCs/>
                <w:szCs w:val="18"/>
              </w:rPr>
              <w:lastRenderedPageBreak/>
              <w:t>CAL Suite Bridge</w:t>
            </w:r>
          </w:p>
        </w:tc>
        <w:tc>
          <w:tcPr>
            <w:tcW w:w="1593" w:type="pct"/>
            <w:tcBorders>
              <w:top w:val="single" w:sz="8" w:space="0" w:color="auto"/>
              <w:left w:val="nil"/>
              <w:bottom w:val="single" w:sz="8" w:space="0" w:color="auto"/>
              <w:right w:val="single" w:sz="8" w:space="0" w:color="auto"/>
            </w:tcBorders>
            <w:shd w:val="clear" w:color="auto" w:fill="FABF8F"/>
            <w:vAlign w:val="center"/>
            <w:hideMark/>
          </w:tcPr>
          <w:p w:rsidR="000773D2" w:rsidRPr="003410C7" w:rsidRDefault="000773D2" w:rsidP="000773D2">
            <w:pPr>
              <w:spacing w:before="80" w:after="200" w:line="276" w:lineRule="auto"/>
              <w:jc w:val="center"/>
              <w:rPr>
                <w:rFonts w:eastAsia="Calibri" w:cs="Tahoma"/>
                <w:b/>
                <w:bCs/>
                <w:color w:val="000000"/>
                <w:szCs w:val="18"/>
                <w:lang w:eastAsia="ja-JP"/>
              </w:rPr>
            </w:pPr>
            <w:r w:rsidRPr="003410C7">
              <w:rPr>
                <w:rFonts w:eastAsia="Calibri" w:cs="Tahoma"/>
                <w:b/>
                <w:bCs/>
                <w:szCs w:val="18"/>
              </w:rPr>
              <w:t>CAL Suite Principale</w:t>
            </w:r>
          </w:p>
        </w:tc>
        <w:tc>
          <w:tcPr>
            <w:tcW w:w="1703" w:type="pct"/>
            <w:tcBorders>
              <w:top w:val="single" w:sz="8" w:space="0" w:color="auto"/>
              <w:left w:val="nil"/>
              <w:bottom w:val="single" w:sz="8" w:space="0" w:color="auto"/>
              <w:right w:val="single" w:sz="8" w:space="0" w:color="auto"/>
            </w:tcBorders>
            <w:shd w:val="clear" w:color="auto" w:fill="FABF8F"/>
            <w:hideMark/>
          </w:tcPr>
          <w:p w:rsidR="000773D2" w:rsidRPr="003410C7" w:rsidRDefault="000773D2" w:rsidP="005A36EF">
            <w:pPr>
              <w:spacing w:before="80" w:after="200" w:line="276" w:lineRule="auto"/>
              <w:ind w:left="180" w:right="180"/>
              <w:jc w:val="center"/>
              <w:rPr>
                <w:rFonts w:eastAsia="Calibri" w:cs="Tahoma"/>
                <w:b/>
                <w:bCs/>
                <w:color w:val="000000"/>
                <w:szCs w:val="18"/>
                <w:lang w:eastAsia="ja-JP"/>
              </w:rPr>
            </w:pPr>
            <w:r w:rsidRPr="003410C7">
              <w:rPr>
                <w:rFonts w:eastAsia="Calibri" w:cs="Tahoma"/>
                <w:b/>
                <w:bCs/>
                <w:szCs w:val="18"/>
              </w:rPr>
              <w:t>Servizi Online Qualificanti</w:t>
            </w:r>
          </w:p>
        </w:tc>
      </w:tr>
      <w:tr w:rsidR="005A36EF" w:rsidRPr="003410C7" w:rsidTr="002A6416">
        <w:trPr>
          <w:trHeight w:val="576"/>
        </w:trPr>
        <w:tc>
          <w:tcPr>
            <w:tcW w:w="1704" w:type="pct"/>
            <w:tcBorders>
              <w:top w:val="nil"/>
              <w:left w:val="single" w:sz="8" w:space="0" w:color="auto"/>
              <w:bottom w:val="single" w:sz="8" w:space="0" w:color="auto"/>
              <w:right w:val="single" w:sz="8" w:space="0" w:color="auto"/>
            </w:tcBorders>
          </w:tcPr>
          <w:p w:rsidR="000773D2" w:rsidRPr="003410C7" w:rsidRDefault="000773D2" w:rsidP="00745AB3">
            <w:pPr>
              <w:numPr>
                <w:ilvl w:val="0"/>
                <w:numId w:val="40"/>
              </w:numPr>
              <w:spacing w:before="120" w:after="200" w:line="276" w:lineRule="auto"/>
              <w:ind w:left="679" w:right="181" w:hanging="450"/>
              <w:rPr>
                <w:rFonts w:eastAsia="Calibri" w:cs="Tahoma"/>
                <w:color w:val="000000"/>
                <w:szCs w:val="18"/>
              </w:rPr>
            </w:pPr>
            <w:r w:rsidRPr="003410C7">
              <w:rPr>
                <w:rFonts w:eastAsia="Calibri" w:cs="Tahoma"/>
                <w:color w:val="000000"/>
                <w:szCs w:val="18"/>
              </w:rPr>
              <w:t>Core CAL Suite Bridge per Office 365</w:t>
            </w:r>
          </w:p>
        </w:tc>
        <w:tc>
          <w:tcPr>
            <w:tcW w:w="1593" w:type="pct"/>
            <w:tcBorders>
              <w:top w:val="nil"/>
              <w:left w:val="nil"/>
              <w:bottom w:val="single" w:sz="8" w:space="0" w:color="auto"/>
              <w:right w:val="single" w:sz="8" w:space="0" w:color="auto"/>
            </w:tcBorders>
          </w:tcPr>
          <w:p w:rsidR="000773D2" w:rsidRPr="003410C7" w:rsidRDefault="000773D2" w:rsidP="00745AB3">
            <w:pPr>
              <w:numPr>
                <w:ilvl w:val="0"/>
                <w:numId w:val="41"/>
              </w:numPr>
              <w:spacing w:before="120" w:after="200" w:line="276" w:lineRule="auto"/>
              <w:ind w:left="682" w:hanging="450"/>
              <w:rPr>
                <w:rFonts w:eastAsia="Calibri" w:cs="Tahoma"/>
                <w:color w:val="000000"/>
                <w:szCs w:val="18"/>
              </w:rPr>
            </w:pPr>
            <w:r w:rsidRPr="003410C7">
              <w:rPr>
                <w:rFonts w:eastAsia="Calibri" w:cs="Tahoma"/>
                <w:color w:val="000000"/>
                <w:szCs w:val="18"/>
              </w:rPr>
              <w:t>Core CAL Suite</w:t>
            </w:r>
          </w:p>
        </w:tc>
        <w:tc>
          <w:tcPr>
            <w:tcW w:w="1703" w:type="pct"/>
            <w:tcBorders>
              <w:top w:val="nil"/>
              <w:left w:val="nil"/>
              <w:bottom w:val="single" w:sz="8" w:space="0" w:color="auto"/>
              <w:right w:val="single" w:sz="8" w:space="0" w:color="auto"/>
            </w:tcBorders>
          </w:tcPr>
          <w:p w:rsidR="000773D2" w:rsidRPr="003410C7" w:rsidRDefault="000773D2" w:rsidP="00745AB3">
            <w:pPr>
              <w:numPr>
                <w:ilvl w:val="0"/>
                <w:numId w:val="42"/>
              </w:numPr>
              <w:spacing w:before="120" w:after="200" w:line="276" w:lineRule="auto"/>
              <w:ind w:left="684" w:right="181" w:hanging="450"/>
            </w:pPr>
            <w:r w:rsidRPr="003410C7">
              <w:rPr>
                <w:rFonts w:eastAsia="Calibri" w:cs="Tahoma"/>
                <w:color w:val="000000"/>
                <w:szCs w:val="18"/>
              </w:rPr>
              <w:t>Office 365 Enterprise E1 o</w:t>
            </w:r>
          </w:p>
          <w:p w:rsidR="000773D2" w:rsidRPr="003410C7" w:rsidRDefault="000773D2" w:rsidP="00745AB3">
            <w:pPr>
              <w:numPr>
                <w:ilvl w:val="0"/>
                <w:numId w:val="42"/>
              </w:numPr>
              <w:spacing w:before="120" w:after="200" w:line="276" w:lineRule="auto"/>
              <w:ind w:left="684" w:right="181" w:hanging="450"/>
            </w:pPr>
            <w:r w:rsidRPr="003410C7">
              <w:rPr>
                <w:rFonts w:eastAsia="Calibri" w:cs="Tahoma"/>
                <w:color w:val="000000"/>
                <w:szCs w:val="18"/>
              </w:rPr>
              <w:t>Office 365 Enterprise E2 o</w:t>
            </w:r>
          </w:p>
          <w:p w:rsidR="000773D2" w:rsidRPr="003410C7" w:rsidRDefault="000773D2" w:rsidP="00745AB3">
            <w:pPr>
              <w:numPr>
                <w:ilvl w:val="0"/>
                <w:numId w:val="42"/>
              </w:numPr>
              <w:spacing w:before="120" w:after="200" w:line="276" w:lineRule="auto"/>
              <w:ind w:left="684" w:right="181" w:hanging="450"/>
            </w:pPr>
            <w:r w:rsidRPr="003410C7">
              <w:rPr>
                <w:rFonts w:eastAsia="Calibri" w:cs="Tahoma"/>
                <w:color w:val="000000"/>
                <w:szCs w:val="18"/>
              </w:rPr>
              <w:t>Office 365 Enterprise E3 o</w:t>
            </w:r>
          </w:p>
          <w:p w:rsidR="000773D2" w:rsidRPr="003410C7" w:rsidRDefault="000773D2" w:rsidP="00745AB3">
            <w:pPr>
              <w:numPr>
                <w:ilvl w:val="0"/>
                <w:numId w:val="42"/>
              </w:numPr>
              <w:spacing w:before="120" w:after="200" w:line="276" w:lineRule="auto"/>
              <w:ind w:left="684" w:right="181" w:hanging="450"/>
              <w:rPr>
                <w:rFonts w:eastAsia="Calibri" w:cs="Tahoma"/>
                <w:color w:val="000000"/>
                <w:szCs w:val="18"/>
              </w:rPr>
            </w:pPr>
            <w:r w:rsidRPr="003410C7">
              <w:rPr>
                <w:rFonts w:eastAsia="Calibri" w:cs="Tahoma"/>
                <w:color w:val="000000"/>
                <w:szCs w:val="18"/>
              </w:rPr>
              <w:t>Office 365 Enterprise E4</w:t>
            </w:r>
          </w:p>
        </w:tc>
      </w:tr>
      <w:tr w:rsidR="005A36EF" w:rsidRPr="003410C7" w:rsidTr="002A6416">
        <w:trPr>
          <w:trHeight w:val="576"/>
        </w:trPr>
        <w:tc>
          <w:tcPr>
            <w:tcW w:w="1704" w:type="pct"/>
            <w:tcBorders>
              <w:top w:val="nil"/>
              <w:left w:val="single" w:sz="8" w:space="0" w:color="auto"/>
              <w:bottom w:val="single" w:sz="8" w:space="0" w:color="auto"/>
              <w:right w:val="single" w:sz="8" w:space="0" w:color="auto"/>
            </w:tcBorders>
          </w:tcPr>
          <w:p w:rsidR="000773D2" w:rsidRPr="003410C7" w:rsidRDefault="000773D2" w:rsidP="00745AB3">
            <w:pPr>
              <w:numPr>
                <w:ilvl w:val="0"/>
                <w:numId w:val="40"/>
              </w:numPr>
              <w:spacing w:before="120" w:after="200" w:line="276" w:lineRule="auto"/>
              <w:ind w:left="679" w:right="181" w:hanging="450"/>
              <w:rPr>
                <w:rFonts w:eastAsia="Calibri" w:cs="Tahoma"/>
                <w:color w:val="000000"/>
                <w:szCs w:val="18"/>
              </w:rPr>
            </w:pPr>
            <w:r w:rsidRPr="003410C7">
              <w:rPr>
                <w:rFonts w:eastAsia="Calibri" w:cs="Tahoma"/>
                <w:color w:val="000000"/>
                <w:szCs w:val="18"/>
              </w:rPr>
              <w:t>Core CAL Suite Bridge per Office 365 e Windows Intune</w:t>
            </w:r>
          </w:p>
        </w:tc>
        <w:tc>
          <w:tcPr>
            <w:tcW w:w="1593" w:type="pct"/>
            <w:tcBorders>
              <w:top w:val="nil"/>
              <w:left w:val="nil"/>
              <w:bottom w:val="single" w:sz="8" w:space="0" w:color="auto"/>
              <w:right w:val="single" w:sz="8" w:space="0" w:color="auto"/>
            </w:tcBorders>
          </w:tcPr>
          <w:p w:rsidR="000773D2" w:rsidRPr="003410C7" w:rsidRDefault="000773D2" w:rsidP="00745AB3">
            <w:pPr>
              <w:numPr>
                <w:ilvl w:val="0"/>
                <w:numId w:val="41"/>
              </w:numPr>
              <w:spacing w:before="120" w:after="200" w:line="276" w:lineRule="auto"/>
              <w:ind w:left="682" w:hanging="450"/>
              <w:rPr>
                <w:rFonts w:eastAsia="Calibri" w:cs="Tahoma"/>
                <w:color w:val="000000"/>
                <w:szCs w:val="18"/>
              </w:rPr>
            </w:pPr>
            <w:r w:rsidRPr="003410C7">
              <w:rPr>
                <w:rFonts w:eastAsia="Calibri" w:cs="Tahoma"/>
                <w:color w:val="000000"/>
                <w:szCs w:val="18"/>
              </w:rPr>
              <w:t>Core CAL Suite</w:t>
            </w:r>
          </w:p>
        </w:tc>
        <w:tc>
          <w:tcPr>
            <w:tcW w:w="1703" w:type="pct"/>
            <w:tcBorders>
              <w:top w:val="nil"/>
              <w:left w:val="nil"/>
              <w:bottom w:val="single" w:sz="8" w:space="0" w:color="auto"/>
              <w:right w:val="single" w:sz="8" w:space="0" w:color="auto"/>
            </w:tcBorders>
          </w:tcPr>
          <w:p w:rsidR="000773D2" w:rsidRPr="003410C7" w:rsidRDefault="000773D2" w:rsidP="00745AB3">
            <w:pPr>
              <w:numPr>
                <w:ilvl w:val="0"/>
                <w:numId w:val="42"/>
              </w:numPr>
              <w:spacing w:before="120" w:after="200" w:line="276" w:lineRule="auto"/>
              <w:ind w:left="684" w:right="181" w:hanging="450"/>
            </w:pPr>
            <w:r w:rsidRPr="003410C7">
              <w:rPr>
                <w:rFonts w:eastAsia="Calibri" w:cs="Tahoma"/>
                <w:color w:val="000000"/>
                <w:szCs w:val="18"/>
              </w:rPr>
              <w:t>Office 365 Enterprise E1 e Windows Intune o</w:t>
            </w:r>
          </w:p>
          <w:p w:rsidR="000773D2" w:rsidRPr="003410C7" w:rsidRDefault="000773D2" w:rsidP="00745AB3">
            <w:pPr>
              <w:numPr>
                <w:ilvl w:val="0"/>
                <w:numId w:val="42"/>
              </w:numPr>
              <w:spacing w:before="120" w:after="200" w:line="276" w:lineRule="auto"/>
              <w:ind w:left="684" w:right="181" w:hanging="450"/>
            </w:pPr>
            <w:r w:rsidRPr="003410C7">
              <w:rPr>
                <w:rFonts w:eastAsia="Calibri" w:cs="Tahoma"/>
                <w:color w:val="000000"/>
                <w:szCs w:val="18"/>
              </w:rPr>
              <w:t>Office 365 Enterprise E2 e Windows Intune o</w:t>
            </w:r>
          </w:p>
          <w:p w:rsidR="000773D2" w:rsidRPr="003410C7" w:rsidRDefault="000773D2" w:rsidP="00745AB3">
            <w:pPr>
              <w:numPr>
                <w:ilvl w:val="0"/>
                <w:numId w:val="42"/>
              </w:numPr>
              <w:spacing w:before="120" w:after="200" w:line="276" w:lineRule="auto"/>
              <w:ind w:left="684" w:right="181" w:hanging="450"/>
            </w:pPr>
            <w:r w:rsidRPr="003410C7">
              <w:rPr>
                <w:rFonts w:eastAsia="Calibri" w:cs="Tahoma"/>
                <w:color w:val="000000"/>
                <w:szCs w:val="18"/>
              </w:rPr>
              <w:t>Office 365 Enterprise E3 e Windows Intune o</w:t>
            </w:r>
          </w:p>
          <w:p w:rsidR="000773D2" w:rsidRPr="003410C7" w:rsidRDefault="000773D2" w:rsidP="00745AB3">
            <w:pPr>
              <w:numPr>
                <w:ilvl w:val="0"/>
                <w:numId w:val="42"/>
              </w:numPr>
              <w:spacing w:before="120" w:after="200" w:line="276" w:lineRule="auto"/>
              <w:ind w:left="684" w:right="181" w:hanging="450"/>
              <w:rPr>
                <w:rFonts w:eastAsia="Calibri" w:cs="Tahoma"/>
                <w:color w:val="000000"/>
                <w:szCs w:val="18"/>
              </w:rPr>
            </w:pPr>
            <w:r w:rsidRPr="003410C7">
              <w:rPr>
                <w:rFonts w:eastAsia="Calibri" w:cs="Tahoma"/>
                <w:color w:val="000000"/>
                <w:szCs w:val="18"/>
              </w:rPr>
              <w:t>Office 365 Enterprise E4 e Windows Intune</w:t>
            </w:r>
          </w:p>
        </w:tc>
      </w:tr>
      <w:tr w:rsidR="00A2083B" w:rsidRPr="003410C7" w:rsidTr="002A6416">
        <w:trPr>
          <w:trHeight w:val="576"/>
        </w:trPr>
        <w:tc>
          <w:tcPr>
            <w:tcW w:w="1704" w:type="pct"/>
            <w:tcBorders>
              <w:top w:val="single" w:sz="8" w:space="0" w:color="auto"/>
              <w:left w:val="single" w:sz="8" w:space="0" w:color="auto"/>
              <w:bottom w:val="single" w:sz="8" w:space="0" w:color="auto"/>
              <w:right w:val="single" w:sz="8" w:space="0" w:color="auto"/>
            </w:tcBorders>
          </w:tcPr>
          <w:p w:rsidR="00A2083B" w:rsidRPr="003410C7" w:rsidRDefault="00A2083B" w:rsidP="00745AB3">
            <w:pPr>
              <w:numPr>
                <w:ilvl w:val="0"/>
                <w:numId w:val="40"/>
              </w:numPr>
              <w:spacing w:before="120" w:after="200" w:line="276" w:lineRule="auto"/>
              <w:ind w:left="679" w:right="181" w:hanging="450"/>
              <w:rPr>
                <w:rFonts w:eastAsia="Calibri" w:cs="Tahoma"/>
                <w:color w:val="000000"/>
                <w:szCs w:val="18"/>
              </w:rPr>
            </w:pPr>
            <w:r w:rsidRPr="003410C7">
              <w:rPr>
                <w:rFonts w:cs="Tahoma"/>
                <w:color w:val="000000"/>
                <w:szCs w:val="18"/>
              </w:rPr>
              <w:t>Core CAL Suite Bridge per Windows Intune</w:t>
            </w:r>
          </w:p>
        </w:tc>
        <w:tc>
          <w:tcPr>
            <w:tcW w:w="1593" w:type="pct"/>
            <w:tcBorders>
              <w:top w:val="single" w:sz="8" w:space="0" w:color="auto"/>
              <w:left w:val="nil"/>
              <w:bottom w:val="single" w:sz="8" w:space="0" w:color="auto"/>
              <w:right w:val="single" w:sz="8" w:space="0" w:color="auto"/>
            </w:tcBorders>
          </w:tcPr>
          <w:p w:rsidR="00A2083B" w:rsidRPr="003410C7" w:rsidRDefault="00A2083B" w:rsidP="00745AB3">
            <w:pPr>
              <w:numPr>
                <w:ilvl w:val="0"/>
                <w:numId w:val="41"/>
              </w:numPr>
              <w:spacing w:before="120" w:after="200" w:line="276" w:lineRule="auto"/>
              <w:ind w:left="682" w:hanging="450"/>
              <w:rPr>
                <w:rFonts w:eastAsia="Calibri" w:cs="Tahoma"/>
                <w:color w:val="000000"/>
                <w:szCs w:val="18"/>
              </w:rPr>
            </w:pPr>
            <w:r w:rsidRPr="003410C7">
              <w:rPr>
                <w:rFonts w:cs="Tahoma"/>
                <w:color w:val="000000"/>
                <w:szCs w:val="18"/>
              </w:rPr>
              <w:t>Core CAL Suite</w:t>
            </w:r>
          </w:p>
        </w:tc>
        <w:tc>
          <w:tcPr>
            <w:tcW w:w="1703" w:type="pct"/>
            <w:tcBorders>
              <w:top w:val="single" w:sz="8" w:space="0" w:color="auto"/>
              <w:left w:val="nil"/>
              <w:bottom w:val="single" w:sz="8" w:space="0" w:color="auto"/>
              <w:right w:val="single" w:sz="8" w:space="0" w:color="auto"/>
            </w:tcBorders>
          </w:tcPr>
          <w:p w:rsidR="00A2083B" w:rsidRPr="003410C7" w:rsidRDefault="00A2083B" w:rsidP="00745AB3">
            <w:pPr>
              <w:numPr>
                <w:ilvl w:val="0"/>
                <w:numId w:val="42"/>
              </w:numPr>
              <w:spacing w:before="120" w:after="200" w:line="276" w:lineRule="auto"/>
              <w:ind w:left="684" w:right="181" w:hanging="450"/>
              <w:rPr>
                <w:rFonts w:eastAsia="Calibri" w:cs="Tahoma"/>
                <w:color w:val="000000"/>
                <w:szCs w:val="18"/>
              </w:rPr>
            </w:pPr>
            <w:r w:rsidRPr="003410C7">
              <w:rPr>
                <w:rFonts w:cs="Tahoma"/>
                <w:color w:val="000000"/>
                <w:szCs w:val="18"/>
              </w:rPr>
              <w:t>Windows</w:t>
            </w:r>
            <w:r w:rsidRPr="003410C7">
              <w:rPr>
                <w:rFonts w:cs="Tahoma"/>
                <w:color w:val="000000"/>
                <w:szCs w:val="18"/>
                <w:vertAlign w:val="superscript"/>
              </w:rPr>
              <w:t xml:space="preserve"> </w:t>
            </w:r>
            <w:r w:rsidRPr="003410C7">
              <w:rPr>
                <w:rFonts w:cs="Tahoma"/>
                <w:color w:val="000000"/>
                <w:szCs w:val="18"/>
              </w:rPr>
              <w:t>Intune</w:t>
            </w:r>
          </w:p>
        </w:tc>
      </w:tr>
    </w:tbl>
    <w:p w:rsidR="00A66BD2" w:rsidRPr="003410C7" w:rsidRDefault="00A66BD2" w:rsidP="00AF3B19">
      <w:pPr>
        <w:pStyle w:val="Heading3"/>
      </w:pPr>
      <w:bookmarkStart w:id="1161" w:name="_Toc336338295"/>
      <w:bookmarkStart w:id="1162" w:name="Srv_34CoreCALSuite"/>
      <w:bookmarkStart w:id="1163" w:name="Srv_31CoreCALSuite"/>
    </w:p>
    <w:p w:rsidR="00A66BD2" w:rsidRDefault="00A66BD2" w:rsidP="00AF3B19">
      <w:pPr>
        <w:pStyle w:val="Heading3"/>
      </w:pPr>
    </w:p>
    <w:p w:rsidR="00023FE7" w:rsidRPr="003410C7" w:rsidRDefault="00B26237">
      <w:pPr>
        <w:pStyle w:val="Heading3"/>
      </w:pPr>
      <w:bookmarkStart w:id="1164" w:name="_36_Core_CAL"/>
      <w:bookmarkStart w:id="1165" w:name="_Toc352234889"/>
      <w:bookmarkEnd w:id="1164"/>
      <w:r w:rsidRPr="003410C7">
        <w:rPr>
          <w:rFonts w:ascii="Tahoma" w:hAnsi="Tahoma"/>
          <w:caps/>
          <w:color w:val="F66400"/>
          <w:sz w:val="22"/>
          <w:vertAlign w:val="superscript"/>
        </w:rPr>
        <w:t>36</w:t>
      </w:r>
      <w:r w:rsidRPr="003410C7">
        <w:rPr>
          <w:rFonts w:ascii="Tahoma" w:hAnsi="Tahoma"/>
          <w:color w:val="F66400"/>
          <w:sz w:val="22"/>
        </w:rPr>
        <w:t xml:space="preserve"> Core CAL Suite</w:t>
      </w:r>
      <w:bookmarkEnd w:id="1161"/>
      <w:bookmarkEnd w:id="1165"/>
    </w:p>
    <w:bookmarkEnd w:id="1162"/>
    <w:bookmarkEnd w:id="1163"/>
    <w:p w:rsidR="00023FE7" w:rsidRPr="003410C7" w:rsidRDefault="00023FE7">
      <w:pPr>
        <w:ind w:firstLine="540"/>
      </w:pPr>
    </w:p>
    <w:p w:rsidR="000D76F0" w:rsidRPr="00451078" w:rsidRDefault="000D76F0" w:rsidP="001154B5">
      <w:pPr>
        <w:ind w:left="720"/>
        <w:rPr>
          <w:lang w:val="it-IT"/>
        </w:rPr>
      </w:pPr>
      <w:r w:rsidRPr="00451078">
        <w:rPr>
          <w:rFonts w:cs="Tahoma"/>
          <w:szCs w:val="20"/>
          <w:lang w:val="it-IT"/>
        </w:rPr>
        <w:t xml:space="preserve">Core CAL Suite non dispone di versioni e i diritti di utilizzo del prodotto sono determinati dallo stato della copertura Software Assurance per Core CAL Suite. Qualora la copertura sia scaduta, i diritti di accesso attribuiti da licenze perpetue sono determinati sulla base dei diritti di utilizzo del prodotto in vigore prima della scadenza della copertura. A partire dal 1 dicembre 2012 una licenza per Core </w:t>
      </w:r>
      <w:r w:rsidRPr="00451078">
        <w:rPr>
          <w:rFonts w:cs="Tahoma"/>
          <w:color w:val="000000"/>
          <w:szCs w:val="20"/>
          <w:lang w:val="it-IT"/>
        </w:rPr>
        <w:t xml:space="preserve">CAL Suite con copertura Software Assurance attiva concede diritti equivalenti ai seguenti prodotti: CAL per Windows Server 2012, Standard CAL per Exchange Server 2013, </w:t>
      </w:r>
      <w:r w:rsidRPr="00451078">
        <w:rPr>
          <w:color w:val="000000"/>
          <w:lang w:val="it-IT"/>
        </w:rPr>
        <w:t xml:space="preserve">Standard CAL per Lync Server 2013, </w:t>
      </w:r>
      <w:r w:rsidRPr="00451078">
        <w:rPr>
          <w:rFonts w:cs="Tahoma"/>
          <w:color w:val="000000"/>
          <w:szCs w:val="20"/>
          <w:lang w:val="it-IT"/>
        </w:rPr>
        <w:t>Standard CAL per SharePoint</w:t>
      </w:r>
      <w:r w:rsidRPr="00451078">
        <w:rPr>
          <w:rFonts w:cs="Tahoma"/>
          <w:szCs w:val="20"/>
          <w:lang w:val="it-IT"/>
        </w:rPr>
        <w:t xml:space="preserve"> Server 2013, Licenza di Gestione Client per System Center 2012 Configuration Manager e System Center 2012 Endpoint Protection</w:t>
      </w:r>
      <w:r w:rsidRPr="00451078">
        <w:rPr>
          <w:rFonts w:cs="Tahoma"/>
          <w:color w:val="000000"/>
          <w:szCs w:val="20"/>
          <w:lang w:val="it-IT"/>
        </w:rPr>
        <w:t>.</w:t>
      </w:r>
      <w:r w:rsidR="00082E1C" w:rsidRPr="00451078">
        <w:rPr>
          <w:rFonts w:cs="Tahoma"/>
          <w:color w:val="000000"/>
          <w:szCs w:val="20"/>
          <w:lang w:val="it-IT"/>
        </w:rPr>
        <w:t xml:space="preserve"> </w:t>
      </w:r>
      <w:r w:rsidRPr="00451078">
        <w:rPr>
          <w:rFonts w:cs="Tahoma"/>
          <w:color w:val="000000"/>
          <w:szCs w:val="18"/>
          <w:lang w:val="it-IT"/>
        </w:rPr>
        <w:t>Una licenza per Core CAL Suite è una licenza singola che deve essere ceduta a un singolo utente o dispositivo. Secondo quanto previsto nel relativo contratto multilicenza, le società non sono autorizzate a separare i diritti di Core CAL Suite per consentire a due o più utenti o dispositivi di accedere contemporaneamente ai diversi componenti. </w:t>
      </w:r>
    </w:p>
    <w:p w:rsidR="00023FE7" w:rsidRPr="00451078" w:rsidRDefault="00023FE7" w:rsidP="001154B5">
      <w:pPr>
        <w:ind w:left="720"/>
        <w:rPr>
          <w:lang w:val="it-IT"/>
        </w:rPr>
      </w:pPr>
    </w:p>
    <w:p w:rsidR="00023FE7" w:rsidRPr="00451078" w:rsidRDefault="00023FE7" w:rsidP="00A66BD2">
      <w:pPr>
        <w:spacing w:after="60"/>
        <w:ind w:left="720"/>
        <w:rPr>
          <w:lang w:val="it-IT"/>
        </w:rPr>
      </w:pPr>
      <w:r w:rsidRPr="00451078">
        <w:rPr>
          <w:rFonts w:cs="Tahoma"/>
          <w:b/>
          <w:bCs/>
          <w:color w:val="000000"/>
          <w:szCs w:val="20"/>
          <w:lang w:val="it-IT"/>
        </w:rPr>
        <w:t>CAL Solo per Studenti (Academic Open License e Academic Select)</w:t>
      </w:r>
    </w:p>
    <w:p w:rsidR="00023FE7" w:rsidRDefault="00023FE7" w:rsidP="001154B5">
      <w:pPr>
        <w:ind w:left="720"/>
        <w:rPr>
          <w:rFonts w:cs="Tahoma"/>
          <w:szCs w:val="20"/>
          <w:lang w:val="it-IT"/>
        </w:rPr>
      </w:pPr>
      <w:r w:rsidRPr="00451078">
        <w:rPr>
          <w:rFonts w:cs="Tahoma"/>
          <w:szCs w:val="20"/>
          <w:lang w:val="it-IT"/>
        </w:rPr>
        <w:t>Le CAL Solo per Studenti sono limitate ai PC di proprietà dello studente titolare della licenza o ai PC di</w:t>
      </w:r>
      <w:r w:rsidR="00E82D1F" w:rsidRPr="00451078">
        <w:rPr>
          <w:rFonts w:cs="Tahoma"/>
          <w:szCs w:val="20"/>
          <w:lang w:val="it-IT"/>
        </w:rPr>
        <w:t> </w:t>
      </w:r>
      <w:r w:rsidRPr="00451078">
        <w:rPr>
          <w:rFonts w:cs="Tahoma"/>
          <w:szCs w:val="20"/>
          <w:lang w:val="it-IT"/>
        </w:rPr>
        <w:t>proprietà dell</w:t>
      </w:r>
      <w:r w:rsidR="004525CA">
        <w:rPr>
          <w:rFonts w:cs="Tahoma"/>
          <w:szCs w:val="20"/>
          <w:lang w:val="it-IT"/>
        </w:rPr>
        <w:t>’</w:t>
      </w:r>
      <w:r w:rsidRPr="00451078">
        <w:rPr>
          <w:rFonts w:cs="Tahoma"/>
          <w:szCs w:val="20"/>
          <w:lang w:val="it-IT"/>
        </w:rPr>
        <w:t>Istituto che siano assegnati a un singolo studente e NON siano utilizzati nei laboratori o</w:t>
      </w:r>
      <w:r w:rsidR="00E82D1F" w:rsidRPr="00451078">
        <w:rPr>
          <w:rFonts w:cs="Tahoma"/>
          <w:szCs w:val="20"/>
          <w:lang w:val="it-IT"/>
        </w:rPr>
        <w:t> </w:t>
      </w:r>
      <w:r w:rsidRPr="00451078">
        <w:rPr>
          <w:rFonts w:cs="Tahoma"/>
          <w:szCs w:val="20"/>
          <w:lang w:val="it-IT"/>
        </w:rPr>
        <w:t>in</w:t>
      </w:r>
      <w:r w:rsidR="00E82D1F" w:rsidRPr="00451078">
        <w:rPr>
          <w:rFonts w:cs="Tahoma"/>
          <w:szCs w:val="20"/>
          <w:lang w:val="it-IT"/>
        </w:rPr>
        <w:t> </w:t>
      </w:r>
      <w:r w:rsidRPr="00451078">
        <w:rPr>
          <w:rFonts w:cs="Tahoma"/>
          <w:szCs w:val="20"/>
          <w:lang w:val="it-IT"/>
        </w:rPr>
        <w:t>classe.</w:t>
      </w:r>
    </w:p>
    <w:p w:rsidR="00391302" w:rsidRDefault="00391302" w:rsidP="001154B5">
      <w:pPr>
        <w:ind w:left="720"/>
        <w:rPr>
          <w:rFonts w:cs="Tahoma"/>
          <w:szCs w:val="20"/>
          <w:lang w:val="it-IT"/>
        </w:rPr>
      </w:pPr>
    </w:p>
    <w:p w:rsidR="00391302" w:rsidRDefault="00391302" w:rsidP="001154B5">
      <w:pPr>
        <w:ind w:left="720"/>
        <w:rPr>
          <w:rFonts w:cs="Tahoma"/>
          <w:szCs w:val="20"/>
          <w:lang w:val="it-IT"/>
        </w:rPr>
      </w:pPr>
    </w:p>
    <w:p w:rsidR="00391302" w:rsidRDefault="00391302" w:rsidP="001154B5">
      <w:pPr>
        <w:ind w:left="720"/>
        <w:rPr>
          <w:rFonts w:cs="Tahoma"/>
          <w:szCs w:val="20"/>
          <w:lang w:val="it-IT"/>
        </w:rPr>
      </w:pPr>
    </w:p>
    <w:p w:rsidR="00391302" w:rsidRDefault="00391302" w:rsidP="001154B5">
      <w:pPr>
        <w:ind w:left="720"/>
        <w:rPr>
          <w:rFonts w:cs="Tahoma"/>
          <w:szCs w:val="20"/>
          <w:lang w:val="it-IT"/>
        </w:rPr>
      </w:pPr>
    </w:p>
    <w:p w:rsidR="00391302" w:rsidRPr="00451078" w:rsidRDefault="00391302" w:rsidP="001154B5">
      <w:pPr>
        <w:ind w:left="720"/>
        <w:rPr>
          <w:lang w:val="it-IT"/>
        </w:rPr>
      </w:pPr>
    </w:p>
    <w:p w:rsidR="00B947E4" w:rsidRPr="00451078" w:rsidRDefault="00B26237" w:rsidP="00416294">
      <w:pPr>
        <w:pStyle w:val="Heading3"/>
        <w:rPr>
          <w:lang w:val="it-IT"/>
        </w:rPr>
      </w:pPr>
      <w:bookmarkStart w:id="1166" w:name="_37_Core_Infrastructure"/>
      <w:bookmarkStart w:id="1167" w:name="_Toc336338296"/>
      <w:bookmarkStart w:id="1168" w:name="_Toc352234890"/>
      <w:bookmarkStart w:id="1169" w:name="Srv_35CoreInfraServerSuiteStd"/>
      <w:bookmarkStart w:id="1170" w:name="Srv_32CoreInfraServerSuiteStd"/>
      <w:bookmarkStart w:id="1171" w:name="Srv_35DynCRMWorkProEnt"/>
      <w:bookmarkEnd w:id="1166"/>
      <w:r w:rsidRPr="00451078">
        <w:rPr>
          <w:rFonts w:ascii="Tahoma" w:hAnsi="Tahoma"/>
          <w:caps/>
          <w:color w:val="F66400"/>
          <w:sz w:val="22"/>
          <w:vertAlign w:val="superscript"/>
          <w:lang w:val="it-IT"/>
        </w:rPr>
        <w:lastRenderedPageBreak/>
        <w:t>37</w:t>
      </w:r>
      <w:r w:rsidRPr="00451078">
        <w:rPr>
          <w:rFonts w:ascii="Tahoma" w:hAnsi="Tahoma"/>
          <w:color w:val="F66400"/>
          <w:sz w:val="22"/>
          <w:lang w:val="it-IT"/>
        </w:rPr>
        <w:t xml:space="preserve"> Core Infrastructure Server Suite Standard</w:t>
      </w:r>
      <w:bookmarkEnd w:id="1167"/>
      <w:bookmarkEnd w:id="1168"/>
    </w:p>
    <w:bookmarkEnd w:id="1169"/>
    <w:bookmarkEnd w:id="1170"/>
    <w:p w:rsidR="004D776B" w:rsidRPr="00451078" w:rsidRDefault="004D776B" w:rsidP="00416294">
      <w:pPr>
        <w:rPr>
          <w:lang w:val="it-IT"/>
        </w:rPr>
      </w:pPr>
    </w:p>
    <w:p w:rsidR="004D776B" w:rsidRPr="00451078" w:rsidRDefault="00A66BD2" w:rsidP="00A66BD2">
      <w:pPr>
        <w:spacing w:after="60"/>
        <w:ind w:left="720"/>
        <w:rPr>
          <w:lang w:val="it-IT"/>
        </w:rPr>
      </w:pPr>
      <w:r w:rsidRPr="00451078">
        <w:rPr>
          <w:rFonts w:eastAsia="Calibri" w:cs="Tahoma"/>
          <w:b/>
          <w:szCs w:val="18"/>
          <w:lang w:val="it-IT"/>
        </w:rPr>
        <w:t>Migrazione al Nuovo Modello di Licenza</w:t>
      </w:r>
    </w:p>
    <w:p w:rsidR="004D776B" w:rsidRPr="00451078" w:rsidRDefault="004D776B" w:rsidP="00A66BD2">
      <w:pPr>
        <w:ind w:left="720"/>
        <w:rPr>
          <w:lang w:val="it-IT"/>
        </w:rPr>
      </w:pPr>
      <w:r w:rsidRPr="00451078">
        <w:rPr>
          <w:rFonts w:eastAsia="Calibri" w:cs="Tahoma"/>
          <w:szCs w:val="18"/>
          <w:lang w:val="it-IT"/>
        </w:rPr>
        <w:t>In data 1 aprile 2012 il modello di licenza per CIS è cambiato. Le licenze acquistate ai sensi di nuove iscrizioni in vigore dopo il 1 aprile 2012 possono coprire fino a due processori fisici.</w:t>
      </w:r>
    </w:p>
    <w:p w:rsidR="004D776B" w:rsidRPr="00451078" w:rsidRDefault="004D776B" w:rsidP="00A66BD2">
      <w:pPr>
        <w:ind w:left="720"/>
        <w:rPr>
          <w:lang w:val="it-IT"/>
        </w:rPr>
      </w:pPr>
      <w:r w:rsidRPr="00451078">
        <w:rPr>
          <w:rFonts w:eastAsia="Calibri" w:cs="Tahoma"/>
          <w:szCs w:val="18"/>
          <w:lang w:val="it-IT"/>
        </w:rPr>
        <w:t>Le società con iscrizioni esistenti in data 1 aprile 2012 (in vigore in data 1 aprile 2012 o antecedente) possono continuare a effettuare il true-up delle licenze acquistate ai sensi del modello precedente in base al</w:t>
      </w:r>
      <w:r w:rsidR="00E82D1F" w:rsidRPr="00451078">
        <w:rPr>
          <w:rFonts w:eastAsia="Calibri" w:cs="Tahoma"/>
          <w:szCs w:val="18"/>
          <w:lang w:val="it-IT"/>
        </w:rPr>
        <w:t> </w:t>
      </w:r>
      <w:r w:rsidRPr="00451078">
        <w:rPr>
          <w:rFonts w:eastAsia="Calibri" w:cs="Tahoma"/>
          <w:szCs w:val="18"/>
          <w:lang w:val="it-IT"/>
        </w:rPr>
        <w:t>quale ciascuna licenza può autorizzare un solo processore. I seguenti diritti di migrazione si applicano alle licenze di queste società:</w:t>
      </w:r>
    </w:p>
    <w:p w:rsidR="004D776B" w:rsidRPr="00451078" w:rsidRDefault="004D776B" w:rsidP="00A66BD2">
      <w:pPr>
        <w:pStyle w:val="ListParagraph"/>
        <w:contextualSpacing w:val="0"/>
        <w:rPr>
          <w:lang w:val="it-IT"/>
        </w:rPr>
      </w:pPr>
      <w:r w:rsidRPr="00451078">
        <w:rPr>
          <w:rFonts w:ascii="Tahoma" w:eastAsia="Calibri" w:hAnsi="Tahoma" w:cs="Tahoma"/>
          <w:sz w:val="18"/>
          <w:szCs w:val="18"/>
          <w:lang w:val="it-IT"/>
        </w:rPr>
        <w:t>Per la durata dell</w:t>
      </w:r>
      <w:r w:rsidR="004525CA">
        <w:rPr>
          <w:rFonts w:ascii="Tahoma" w:eastAsia="Calibri" w:hAnsi="Tahoma" w:cs="Tahoma"/>
          <w:sz w:val="18"/>
          <w:szCs w:val="18"/>
          <w:lang w:val="it-IT"/>
        </w:rPr>
        <w:t>’</w:t>
      </w:r>
      <w:r w:rsidRPr="00451078">
        <w:rPr>
          <w:rFonts w:ascii="Tahoma" w:eastAsia="Calibri" w:hAnsi="Tahoma" w:cs="Tahoma"/>
          <w:sz w:val="18"/>
          <w:szCs w:val="18"/>
          <w:lang w:val="it-IT"/>
        </w:rPr>
        <w:t>iscrizione in essere le licenze nuove ed esistenti delle società, acquistate ai sensi del modello precedente, saranno considerate equivalenti alle licenze previste dal nuovo modello in percentuale di 1:1. In occasione del rinnovo le società possono rinnovare la copertura Software Assurance per le licenze del nuovo modello.</w:t>
      </w:r>
    </w:p>
    <w:p w:rsidR="00973A93" w:rsidRPr="00451078" w:rsidRDefault="00973A93">
      <w:pPr>
        <w:rPr>
          <w:lang w:val="it-IT"/>
        </w:rPr>
      </w:pPr>
    </w:p>
    <w:p w:rsidR="004D776B" w:rsidRPr="00451078" w:rsidRDefault="004D776B" w:rsidP="00A66BD2">
      <w:pPr>
        <w:spacing w:after="60"/>
        <w:ind w:left="720"/>
        <w:rPr>
          <w:lang w:val="it-IT"/>
        </w:rPr>
      </w:pPr>
      <w:r w:rsidRPr="00451078">
        <w:rPr>
          <w:rFonts w:eastAsia="Calibri" w:cs="Tahoma"/>
          <w:b/>
          <w:szCs w:val="18"/>
          <w:lang w:val="it-IT"/>
        </w:rPr>
        <w:t>Rilascio di una Nuova Versione di Windows Server</w:t>
      </w:r>
    </w:p>
    <w:p w:rsidR="004D776B" w:rsidRPr="00451078" w:rsidRDefault="004D776B" w:rsidP="00A66BD2">
      <w:pPr>
        <w:ind w:left="720"/>
        <w:rPr>
          <w:lang w:val="it-IT"/>
        </w:rPr>
      </w:pPr>
      <w:r w:rsidRPr="00451078">
        <w:rPr>
          <w:rFonts w:eastAsia="Calibri" w:cs="Tahoma"/>
          <w:szCs w:val="18"/>
          <w:lang w:val="it-IT"/>
        </w:rPr>
        <w:t>Le società titolari di licenze per Core Infrastructure Server Suite Standard con copertura Software Assurance attiva in data 1 settembre 2012 avranno il diritto di utilizzare i seguenti prodotti in conformità ai diritti di utilizzo del prodotto per Core Infrastructure Server Suite Standard:</w:t>
      </w:r>
    </w:p>
    <w:p w:rsidR="00A66BD2" w:rsidRPr="00451078" w:rsidRDefault="00A66BD2" w:rsidP="00A66BD2">
      <w:pPr>
        <w:ind w:left="720"/>
        <w:rPr>
          <w:lang w:val="it-IT"/>
        </w:rPr>
      </w:pPr>
    </w:p>
    <w:p w:rsidR="004D776B" w:rsidRPr="00E82D1F" w:rsidRDefault="004D776B" w:rsidP="00745AB3">
      <w:pPr>
        <w:numPr>
          <w:ilvl w:val="0"/>
          <w:numId w:val="23"/>
        </w:numPr>
        <w:tabs>
          <w:tab w:val="left" w:pos="1440"/>
          <w:tab w:val="left" w:pos="3510"/>
        </w:tabs>
        <w:spacing w:after="60"/>
        <w:rPr>
          <w:szCs w:val="18"/>
        </w:rPr>
      </w:pPr>
      <w:r w:rsidRPr="00E82D1F">
        <w:rPr>
          <w:rFonts w:eastAsia="Calibri" w:cs="Tahoma"/>
          <w:szCs w:val="18"/>
        </w:rPr>
        <w:t>Windows Server 2012 Standard</w:t>
      </w:r>
    </w:p>
    <w:p w:rsidR="004D776B" w:rsidRPr="00E82D1F" w:rsidRDefault="004D776B" w:rsidP="00745AB3">
      <w:pPr>
        <w:numPr>
          <w:ilvl w:val="0"/>
          <w:numId w:val="23"/>
        </w:numPr>
        <w:tabs>
          <w:tab w:val="left" w:pos="1440"/>
          <w:tab w:val="left" w:pos="3510"/>
        </w:tabs>
        <w:spacing w:after="60"/>
        <w:rPr>
          <w:szCs w:val="18"/>
        </w:rPr>
      </w:pPr>
      <w:r w:rsidRPr="00E82D1F">
        <w:rPr>
          <w:rFonts w:eastAsia="Calibri" w:cs="Tahoma"/>
          <w:szCs w:val="18"/>
        </w:rPr>
        <w:t>System Center 2012 Standard</w:t>
      </w:r>
    </w:p>
    <w:p w:rsidR="00A66BD2" w:rsidRPr="003410C7" w:rsidRDefault="00A66BD2" w:rsidP="00A66BD2">
      <w:pPr>
        <w:tabs>
          <w:tab w:val="left" w:pos="1440"/>
          <w:tab w:val="left" w:pos="3510"/>
        </w:tabs>
      </w:pPr>
    </w:p>
    <w:p w:rsidR="004D776B" w:rsidRPr="00451078" w:rsidRDefault="004D776B" w:rsidP="00A66BD2">
      <w:pPr>
        <w:ind w:left="720"/>
        <w:rPr>
          <w:lang w:val="it-IT"/>
        </w:rPr>
      </w:pPr>
      <w:r w:rsidRPr="00451078">
        <w:rPr>
          <w:rFonts w:eastAsia="Calibri" w:cs="Tahoma"/>
          <w:szCs w:val="18"/>
          <w:lang w:val="it-IT"/>
        </w:rPr>
        <w:t>Per i server che dispongono di una licenza valida per Core Infrastructure Server Suite Standard le società potranno eseguire un</w:t>
      </w:r>
      <w:r w:rsidR="004525CA">
        <w:rPr>
          <w:rFonts w:eastAsia="Calibri" w:cs="Tahoma"/>
          <w:szCs w:val="18"/>
          <w:lang w:val="it-IT"/>
        </w:rPr>
        <w:t>’</w:t>
      </w:r>
      <w:r w:rsidRPr="00451078">
        <w:rPr>
          <w:rFonts w:eastAsia="Calibri" w:cs="Tahoma"/>
          <w:szCs w:val="18"/>
          <w:lang w:val="it-IT"/>
        </w:rPr>
        <w:t>istanza di Windows Server 2008 R2 Enterprise anziché di Windows Server Standard.</w:t>
      </w:r>
    </w:p>
    <w:p w:rsidR="00A66BD2" w:rsidRPr="00451078" w:rsidRDefault="00A66BD2" w:rsidP="00A66BD2">
      <w:pPr>
        <w:ind w:left="720"/>
        <w:rPr>
          <w:lang w:val="it-IT"/>
        </w:rPr>
      </w:pPr>
    </w:p>
    <w:p w:rsidR="004D776B" w:rsidRPr="00451078" w:rsidRDefault="004D776B" w:rsidP="00A66BD2">
      <w:pPr>
        <w:spacing w:after="60"/>
        <w:ind w:left="720"/>
        <w:rPr>
          <w:lang w:val="it-IT"/>
        </w:rPr>
      </w:pPr>
      <w:r w:rsidRPr="00451078">
        <w:rPr>
          <w:rFonts w:eastAsia="Calibri" w:cs="Tahoma"/>
          <w:b/>
          <w:szCs w:val="18"/>
          <w:lang w:val="it-IT"/>
        </w:rPr>
        <w:t>Offerta di Rinnovo di Software Assurance per le Società Titolari di Windows Server Standard e System Center Standard e per le Società Titolari di Windows Server Enterprise e System Center Standard</w:t>
      </w:r>
    </w:p>
    <w:p w:rsidR="004D776B" w:rsidRPr="00451078" w:rsidRDefault="004D776B" w:rsidP="00A66BD2">
      <w:pPr>
        <w:ind w:left="720"/>
        <w:rPr>
          <w:lang w:val="it-IT"/>
        </w:rPr>
      </w:pPr>
      <w:r w:rsidRPr="00451078">
        <w:rPr>
          <w:rFonts w:eastAsia="Calibri" w:cs="Tahoma"/>
          <w:szCs w:val="18"/>
          <w:lang w:val="it-IT"/>
        </w:rPr>
        <w:t>Le società titolari di licenze con copertura Software Assurance attiva per tutti i prodotti indicati nella Tabella</w:t>
      </w:r>
      <w:r w:rsidR="00E82D1F" w:rsidRPr="00451078">
        <w:rPr>
          <w:rFonts w:eastAsia="Calibri" w:cs="Tahoma"/>
          <w:szCs w:val="18"/>
          <w:lang w:val="it-IT"/>
        </w:rPr>
        <w:t> </w:t>
      </w:r>
      <w:r w:rsidRPr="00451078">
        <w:rPr>
          <w:rFonts w:eastAsia="Calibri" w:cs="Tahoma"/>
          <w:szCs w:val="18"/>
          <w:lang w:val="it-IT"/>
        </w:rPr>
        <w:t>A che segue potranno, alla scadenza di tale copertura, acquistare Software Assurance per Core Infrastructure Server Suite Standard senza dover acquistare la sottostante licenza per Core Infrastructure Server Suite Standard.</w:t>
      </w:r>
    </w:p>
    <w:p w:rsidR="00A66BD2" w:rsidRPr="00451078" w:rsidRDefault="00A66BD2" w:rsidP="00A66BD2">
      <w:pPr>
        <w:ind w:left="720"/>
        <w:rPr>
          <w:lang w:val="it-IT"/>
        </w:rPr>
      </w:pPr>
    </w:p>
    <w:tbl>
      <w:tblPr>
        <w:tblW w:w="0" w:type="auto"/>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3619"/>
      </w:tblGrid>
      <w:tr w:rsidR="004D776B" w:rsidRPr="003410C7" w:rsidTr="007E466C">
        <w:trPr>
          <w:jc w:val="center"/>
        </w:trPr>
        <w:tc>
          <w:tcPr>
            <w:tcW w:w="3619" w:type="dxa"/>
            <w:tcBorders>
              <w:top w:val="single" w:sz="4" w:space="0" w:color="000000"/>
              <w:left w:val="single" w:sz="4" w:space="0" w:color="000000"/>
              <w:bottom w:val="single" w:sz="4" w:space="0" w:color="000000"/>
              <w:right w:val="single" w:sz="4" w:space="0" w:color="000000"/>
            </w:tcBorders>
            <w:shd w:val="clear" w:color="auto" w:fill="FABF8F"/>
            <w:vAlign w:val="center"/>
            <w:hideMark/>
          </w:tcPr>
          <w:p w:rsidR="004D776B" w:rsidRPr="003410C7" w:rsidRDefault="004D776B" w:rsidP="007E466C">
            <w:pPr>
              <w:spacing w:before="120" w:after="120" w:line="276" w:lineRule="auto"/>
              <w:ind w:left="-404"/>
              <w:jc w:val="center"/>
              <w:rPr>
                <w:rFonts w:eastAsia="Calibri" w:cs="Tahoma"/>
                <w:b/>
                <w:szCs w:val="18"/>
              </w:rPr>
            </w:pPr>
            <w:r w:rsidRPr="003410C7">
              <w:rPr>
                <w:rFonts w:eastAsia="Calibri" w:cs="Tahoma"/>
                <w:b/>
                <w:szCs w:val="18"/>
              </w:rPr>
              <w:t>Tabella A</w:t>
            </w:r>
          </w:p>
        </w:tc>
      </w:tr>
      <w:tr w:rsidR="004D776B" w:rsidRPr="003410C7" w:rsidTr="007E466C">
        <w:trPr>
          <w:trHeight w:val="530"/>
          <w:jc w:val="center"/>
        </w:trPr>
        <w:tc>
          <w:tcPr>
            <w:tcW w:w="3619" w:type="dxa"/>
            <w:tcBorders>
              <w:top w:val="single" w:sz="4" w:space="0" w:color="000000"/>
              <w:left w:val="single" w:sz="4" w:space="0" w:color="000000"/>
              <w:bottom w:val="single" w:sz="4" w:space="0" w:color="000000"/>
              <w:right w:val="single" w:sz="4" w:space="0" w:color="000000"/>
            </w:tcBorders>
            <w:vAlign w:val="center"/>
            <w:hideMark/>
          </w:tcPr>
          <w:p w:rsidR="004D776B" w:rsidRPr="003410C7" w:rsidRDefault="004D776B" w:rsidP="007E466C">
            <w:pPr>
              <w:spacing w:before="120" w:after="120" w:line="276" w:lineRule="auto"/>
              <w:ind w:left="-404"/>
              <w:jc w:val="center"/>
              <w:rPr>
                <w:rFonts w:eastAsia="Calibri" w:cs="Tahoma"/>
                <w:szCs w:val="18"/>
              </w:rPr>
            </w:pPr>
            <w:r w:rsidRPr="003410C7">
              <w:rPr>
                <w:rFonts w:eastAsia="Calibri" w:cs="Tahoma"/>
                <w:szCs w:val="18"/>
              </w:rPr>
              <w:t>Windows Server Standard</w:t>
            </w:r>
          </w:p>
        </w:tc>
      </w:tr>
      <w:tr w:rsidR="004D776B" w:rsidRPr="003410C7" w:rsidTr="007E466C">
        <w:trPr>
          <w:jc w:val="center"/>
        </w:trPr>
        <w:tc>
          <w:tcPr>
            <w:tcW w:w="3619" w:type="dxa"/>
            <w:tcBorders>
              <w:top w:val="single" w:sz="4" w:space="0" w:color="000000"/>
              <w:left w:val="single" w:sz="4" w:space="0" w:color="000000"/>
              <w:bottom w:val="single" w:sz="4" w:space="0" w:color="000000"/>
              <w:right w:val="single" w:sz="4" w:space="0" w:color="000000"/>
            </w:tcBorders>
            <w:vAlign w:val="center"/>
            <w:hideMark/>
          </w:tcPr>
          <w:p w:rsidR="004D776B" w:rsidRPr="003410C7" w:rsidRDefault="004D776B" w:rsidP="007E466C">
            <w:pPr>
              <w:spacing w:before="120" w:after="120" w:line="276" w:lineRule="auto"/>
              <w:ind w:left="-404"/>
              <w:jc w:val="center"/>
              <w:rPr>
                <w:rFonts w:eastAsia="Calibri" w:cs="Tahoma"/>
                <w:szCs w:val="18"/>
              </w:rPr>
            </w:pPr>
            <w:r w:rsidRPr="003410C7">
              <w:rPr>
                <w:rFonts w:eastAsia="Calibri" w:cs="Tahoma"/>
                <w:szCs w:val="18"/>
              </w:rPr>
              <w:t>System Center Standard</w:t>
            </w:r>
          </w:p>
        </w:tc>
      </w:tr>
    </w:tbl>
    <w:p w:rsidR="00416294" w:rsidRPr="003410C7" w:rsidRDefault="00416294" w:rsidP="00416294">
      <w:pPr>
        <w:ind w:left="547"/>
      </w:pPr>
    </w:p>
    <w:p w:rsidR="004D776B" w:rsidRPr="00451078" w:rsidRDefault="004D776B" w:rsidP="00A66BD2">
      <w:pPr>
        <w:ind w:left="720"/>
        <w:rPr>
          <w:lang w:val="it-IT"/>
        </w:rPr>
      </w:pPr>
      <w:r w:rsidRPr="00451078">
        <w:rPr>
          <w:rFonts w:eastAsia="Calibri" w:cs="Tahoma"/>
          <w:szCs w:val="18"/>
          <w:lang w:val="it-IT"/>
        </w:rPr>
        <w:t xml:space="preserve">Per ogni gruppo composto da una di ciascuna delle licenze qualificanti della Tabella A, le società potranno acquistare Software Assurance per una licenza di Core Infrastructure Server Suite Standard. </w:t>
      </w:r>
    </w:p>
    <w:p w:rsidR="00A66BD2" w:rsidRPr="00451078" w:rsidRDefault="00A66BD2" w:rsidP="00A66BD2">
      <w:pPr>
        <w:ind w:left="720"/>
        <w:rPr>
          <w:lang w:val="it-IT"/>
        </w:rPr>
      </w:pPr>
    </w:p>
    <w:p w:rsidR="004D776B" w:rsidRPr="00451078" w:rsidRDefault="004D776B" w:rsidP="00A66BD2">
      <w:pPr>
        <w:ind w:left="720"/>
        <w:rPr>
          <w:lang w:val="it-IT"/>
        </w:rPr>
      </w:pPr>
      <w:r w:rsidRPr="00451078">
        <w:rPr>
          <w:rFonts w:eastAsia="Calibri" w:cs="Tahoma"/>
          <w:szCs w:val="18"/>
          <w:lang w:val="it-IT"/>
        </w:rPr>
        <w:t>Le società che ricevono in licenza e utilizzano Core Infrastructure Server Suite Standard in base alla presente offerta non potranno più utilizzare il software ai sensi delle relative licenze qualificanti. Le licenze e</w:t>
      </w:r>
      <w:r w:rsidR="00E82D1F" w:rsidRPr="00451078">
        <w:rPr>
          <w:rFonts w:eastAsia="Calibri" w:cs="Tahoma"/>
          <w:szCs w:val="18"/>
          <w:lang w:val="it-IT"/>
        </w:rPr>
        <w:t> </w:t>
      </w:r>
      <w:r w:rsidRPr="00451078">
        <w:rPr>
          <w:rFonts w:eastAsia="Calibri" w:cs="Tahoma"/>
          <w:szCs w:val="18"/>
          <w:lang w:val="it-IT"/>
        </w:rPr>
        <w:t>Software Assurance acquistate nell</w:t>
      </w:r>
      <w:r w:rsidR="004525CA">
        <w:rPr>
          <w:rFonts w:eastAsia="Calibri" w:cs="Tahoma"/>
          <w:szCs w:val="18"/>
          <w:lang w:val="it-IT"/>
        </w:rPr>
        <w:t>’</w:t>
      </w:r>
      <w:r w:rsidRPr="00451078">
        <w:rPr>
          <w:rFonts w:eastAsia="Calibri" w:cs="Tahoma"/>
          <w:szCs w:val="18"/>
          <w:lang w:val="it-IT"/>
        </w:rPr>
        <w:t xml:space="preserve">ambito di un contratto </w:t>
      </w:r>
      <w:r w:rsidR="001A3EC5" w:rsidRPr="00451078">
        <w:rPr>
          <w:rFonts w:eastAsia="Calibri" w:cs="Tahoma"/>
          <w:szCs w:val="18"/>
          <w:lang w:val="it-IT"/>
        </w:rPr>
        <w:t>“</w:t>
      </w:r>
      <w:r w:rsidRPr="00451078">
        <w:rPr>
          <w:rFonts w:eastAsia="Calibri" w:cs="Tahoma"/>
          <w:szCs w:val="18"/>
          <w:lang w:val="it-IT"/>
        </w:rPr>
        <w:t>subscription</w:t>
      </w:r>
      <w:r w:rsidR="001A3EC5" w:rsidRPr="00451078">
        <w:rPr>
          <w:rFonts w:eastAsia="Calibri" w:cs="Tahoma"/>
          <w:szCs w:val="18"/>
          <w:lang w:val="it-IT"/>
        </w:rPr>
        <w:t>”</w:t>
      </w:r>
      <w:r w:rsidRPr="00451078">
        <w:rPr>
          <w:rFonts w:eastAsia="Calibri" w:cs="Tahoma"/>
          <w:szCs w:val="18"/>
          <w:lang w:val="it-IT"/>
        </w:rPr>
        <w:t xml:space="preserve"> non si qualificano ai fini di questa</w:t>
      </w:r>
      <w:r w:rsidR="00E82D1F" w:rsidRPr="00451078">
        <w:rPr>
          <w:rFonts w:eastAsia="Calibri" w:cs="Tahoma"/>
          <w:szCs w:val="18"/>
          <w:lang w:val="it-IT"/>
        </w:rPr>
        <w:t> </w:t>
      </w:r>
      <w:r w:rsidRPr="00451078">
        <w:rPr>
          <w:rFonts w:eastAsia="Calibri" w:cs="Tahoma"/>
          <w:szCs w:val="18"/>
          <w:lang w:val="it-IT"/>
        </w:rPr>
        <w:t>offerta.</w:t>
      </w:r>
    </w:p>
    <w:p w:rsidR="00A66BD2" w:rsidRPr="00451078" w:rsidRDefault="00A66BD2" w:rsidP="00A66BD2">
      <w:pPr>
        <w:ind w:left="720"/>
        <w:rPr>
          <w:lang w:val="it-IT"/>
        </w:rPr>
      </w:pPr>
    </w:p>
    <w:p w:rsidR="00A66BD2" w:rsidRPr="003410C7" w:rsidRDefault="004D776B" w:rsidP="00A66BD2">
      <w:pPr>
        <w:spacing w:after="60"/>
        <w:ind w:left="720"/>
      </w:pPr>
      <w:r w:rsidRPr="003410C7">
        <w:rPr>
          <w:rFonts w:eastAsia="Calibri" w:cs="Tahoma"/>
          <w:b/>
          <w:szCs w:val="18"/>
        </w:rPr>
        <w:t>Step-Up da Windows Server Standard o da System Center Standard a Core Infrastructure Server Suite Standard</w:t>
      </w:r>
    </w:p>
    <w:p w:rsidR="004D776B" w:rsidRPr="00451078" w:rsidRDefault="004D776B" w:rsidP="00A66BD2">
      <w:pPr>
        <w:ind w:left="720"/>
        <w:rPr>
          <w:lang w:val="it-IT"/>
        </w:rPr>
      </w:pPr>
      <w:r w:rsidRPr="00451078">
        <w:rPr>
          <w:rFonts w:eastAsia="Calibri" w:cs="Tahoma"/>
          <w:szCs w:val="18"/>
          <w:lang w:val="it-IT"/>
        </w:rPr>
        <w:t>Le società potranno eseguire lo step-up da Windows Server Standard o System Center Standard a Core Infrastructure Server Suite Standard acquistando la licenza di Step-Up appropriata per Core Infrastructure Server Suite Standard. Le società dovranno disporre di una copertura Software Assurance attiva per la loro licenza per Windows Server Standard o System Center Standard, al fine di acquistare tale licenza di Step-Up.</w:t>
      </w:r>
      <w:r w:rsidR="00082E1C" w:rsidRPr="00451078">
        <w:rPr>
          <w:rFonts w:eastAsia="Calibri" w:cs="Tahoma"/>
          <w:szCs w:val="18"/>
          <w:lang w:val="it-IT"/>
        </w:rPr>
        <w:t xml:space="preserve"> </w:t>
      </w:r>
    </w:p>
    <w:p w:rsidR="00A66BD2" w:rsidRPr="00451078" w:rsidRDefault="00A66BD2" w:rsidP="00A66BD2">
      <w:pPr>
        <w:ind w:left="720"/>
        <w:rPr>
          <w:lang w:val="it-IT"/>
        </w:rPr>
      </w:pPr>
    </w:p>
    <w:p w:rsidR="004D776B" w:rsidRPr="00451078" w:rsidRDefault="004D776B" w:rsidP="00A66BD2">
      <w:pPr>
        <w:ind w:left="720"/>
        <w:rPr>
          <w:lang w:val="it-IT"/>
        </w:rPr>
      </w:pPr>
      <w:r w:rsidRPr="00451078">
        <w:rPr>
          <w:rFonts w:eastAsia="Calibri" w:cs="Tahoma"/>
          <w:szCs w:val="18"/>
          <w:lang w:val="it-IT"/>
        </w:rPr>
        <w:t>Per ogni licenza qualificante per Windows Server Standard in possesso della società, la società potrà acquistare una licenza Step-Up per Core Infrastructure Server Suite Standard.</w:t>
      </w:r>
    </w:p>
    <w:p w:rsidR="00A66BD2" w:rsidRPr="00451078" w:rsidRDefault="00A66BD2" w:rsidP="00A66BD2">
      <w:pPr>
        <w:ind w:left="720"/>
        <w:rPr>
          <w:lang w:val="it-IT"/>
        </w:rPr>
      </w:pPr>
    </w:p>
    <w:p w:rsidR="004D776B" w:rsidRPr="00451078" w:rsidRDefault="004D776B" w:rsidP="00A66BD2">
      <w:pPr>
        <w:ind w:left="720"/>
        <w:rPr>
          <w:lang w:val="it-IT"/>
        </w:rPr>
      </w:pPr>
      <w:r w:rsidRPr="00451078">
        <w:rPr>
          <w:rFonts w:eastAsia="Calibri" w:cs="Tahoma"/>
          <w:szCs w:val="18"/>
          <w:lang w:val="it-IT"/>
        </w:rPr>
        <w:t>Per ogni licenza qualificante per System Center Standard in possesso della società, la società potrà acquistare una licenza Step-Up per Core Infrastructure Server Suite Standard.</w:t>
      </w:r>
    </w:p>
    <w:p w:rsidR="00A66BD2" w:rsidRPr="00451078" w:rsidRDefault="00A66BD2" w:rsidP="00A66BD2">
      <w:pPr>
        <w:ind w:left="720"/>
        <w:rPr>
          <w:lang w:val="it-IT"/>
        </w:rPr>
      </w:pPr>
    </w:p>
    <w:p w:rsidR="004D776B" w:rsidRPr="00451078" w:rsidRDefault="004D776B" w:rsidP="00A66BD2">
      <w:pPr>
        <w:ind w:left="720"/>
        <w:rPr>
          <w:lang w:val="it-IT"/>
        </w:rPr>
      </w:pPr>
      <w:r w:rsidRPr="00451078">
        <w:rPr>
          <w:rFonts w:eastAsia="Calibri" w:cs="Tahoma"/>
          <w:szCs w:val="18"/>
          <w:lang w:val="it-IT"/>
        </w:rPr>
        <w:t>Il diritto delle società di utilizzare il software ai sensi della licenza per Core Infrastructure Server Suite Standard è condizionato dall</w:t>
      </w:r>
      <w:r w:rsidR="004525CA">
        <w:rPr>
          <w:rFonts w:eastAsia="Calibri" w:cs="Tahoma"/>
          <w:szCs w:val="18"/>
          <w:lang w:val="it-IT"/>
        </w:rPr>
        <w:t>’</w:t>
      </w:r>
      <w:r w:rsidRPr="00451078">
        <w:rPr>
          <w:rFonts w:eastAsia="Calibri" w:cs="Tahoma"/>
          <w:szCs w:val="18"/>
          <w:lang w:val="it-IT"/>
        </w:rPr>
        <w:t>adempimento da parte delle società delle obbligazioni di pagamento residue della licenza per il prodotto qualificante. La licenza per Core Infrastructure Server Suite Standard delle società prevalgono e sostituiscono la licenza sottostante per il prodotto qualificante.</w:t>
      </w:r>
    </w:p>
    <w:p w:rsidR="00A66BD2" w:rsidRPr="00451078" w:rsidRDefault="00A66BD2" w:rsidP="007E466C">
      <w:pPr>
        <w:rPr>
          <w:lang w:val="it-IT"/>
        </w:rPr>
      </w:pPr>
    </w:p>
    <w:tbl>
      <w:tblPr>
        <w:tblW w:w="8190" w:type="dxa"/>
        <w:tblInd w:w="878" w:type="dxa"/>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tblCellMar>
          <w:left w:w="0" w:type="dxa"/>
          <w:right w:w="0" w:type="dxa"/>
        </w:tblCellMar>
        <w:tblLook w:val="04A0" w:firstRow="1" w:lastRow="0" w:firstColumn="1" w:lastColumn="0" w:noHBand="0" w:noVBand="1"/>
      </w:tblPr>
      <w:tblGrid>
        <w:gridCol w:w="4140"/>
        <w:gridCol w:w="4050"/>
      </w:tblGrid>
      <w:tr w:rsidR="004D776B" w:rsidRPr="003410C7" w:rsidTr="001051D1">
        <w:trPr>
          <w:tblHeader/>
        </w:trPr>
        <w:tc>
          <w:tcPr>
            <w:tcW w:w="4140" w:type="dxa"/>
            <w:shd w:val="clear" w:color="auto" w:fill="FABF8F"/>
            <w:tcMar>
              <w:top w:w="0" w:type="dxa"/>
              <w:left w:w="108" w:type="dxa"/>
              <w:bottom w:w="0" w:type="dxa"/>
              <w:right w:w="108" w:type="dxa"/>
            </w:tcMar>
            <w:hideMark/>
          </w:tcPr>
          <w:p w:rsidR="004D776B" w:rsidRPr="003410C7" w:rsidRDefault="004D776B" w:rsidP="007E466C">
            <w:pPr>
              <w:spacing w:before="120" w:after="120" w:line="276" w:lineRule="auto"/>
              <w:jc w:val="center"/>
              <w:rPr>
                <w:rFonts w:eastAsia="Calibri" w:cs="Tahoma"/>
                <w:b/>
                <w:szCs w:val="18"/>
              </w:rPr>
            </w:pPr>
            <w:r w:rsidRPr="003410C7">
              <w:rPr>
                <w:rFonts w:eastAsia="Calibri" w:cs="Tahoma"/>
                <w:b/>
                <w:szCs w:val="18"/>
              </w:rPr>
              <w:t>Prodotto Qualificante</w:t>
            </w:r>
          </w:p>
        </w:tc>
        <w:tc>
          <w:tcPr>
            <w:tcW w:w="4050" w:type="dxa"/>
            <w:shd w:val="clear" w:color="auto" w:fill="FABF8F"/>
            <w:tcMar>
              <w:top w:w="0" w:type="dxa"/>
              <w:left w:w="108" w:type="dxa"/>
              <w:bottom w:w="0" w:type="dxa"/>
              <w:right w:w="108" w:type="dxa"/>
            </w:tcMar>
            <w:hideMark/>
          </w:tcPr>
          <w:p w:rsidR="004D776B" w:rsidRPr="003410C7" w:rsidRDefault="004D776B" w:rsidP="007E466C">
            <w:pPr>
              <w:spacing w:before="120" w:after="120" w:line="276" w:lineRule="auto"/>
              <w:jc w:val="center"/>
              <w:rPr>
                <w:rFonts w:eastAsia="Calibri" w:cs="Tahoma"/>
                <w:b/>
                <w:szCs w:val="18"/>
              </w:rPr>
            </w:pPr>
            <w:r w:rsidRPr="003410C7">
              <w:rPr>
                <w:rFonts w:eastAsia="Calibri" w:cs="Tahoma"/>
                <w:b/>
                <w:szCs w:val="18"/>
              </w:rPr>
              <w:t>Step-Up A</w:t>
            </w:r>
          </w:p>
        </w:tc>
      </w:tr>
      <w:tr w:rsidR="004D776B" w:rsidRPr="00DC1102" w:rsidTr="001051D1">
        <w:tc>
          <w:tcPr>
            <w:tcW w:w="4140" w:type="dxa"/>
            <w:tcMar>
              <w:top w:w="0" w:type="dxa"/>
              <w:left w:w="108" w:type="dxa"/>
              <w:bottom w:w="0" w:type="dxa"/>
              <w:right w:w="108" w:type="dxa"/>
            </w:tcMar>
            <w:hideMark/>
          </w:tcPr>
          <w:p w:rsidR="004D776B" w:rsidRPr="003410C7" w:rsidRDefault="004D776B" w:rsidP="007E466C">
            <w:pPr>
              <w:spacing w:before="120" w:after="120" w:line="276" w:lineRule="auto"/>
              <w:rPr>
                <w:rFonts w:eastAsia="Calibri" w:cs="Tahoma"/>
                <w:szCs w:val="18"/>
              </w:rPr>
            </w:pPr>
            <w:r w:rsidRPr="003410C7">
              <w:rPr>
                <w:rFonts w:eastAsia="Calibri" w:cs="Tahoma"/>
                <w:szCs w:val="18"/>
              </w:rPr>
              <w:t>Windows Server Standard</w:t>
            </w:r>
          </w:p>
        </w:tc>
        <w:tc>
          <w:tcPr>
            <w:tcW w:w="4050" w:type="dxa"/>
            <w:tcMar>
              <w:top w:w="0" w:type="dxa"/>
              <w:left w:w="108" w:type="dxa"/>
              <w:bottom w:w="0" w:type="dxa"/>
              <w:right w:w="108" w:type="dxa"/>
            </w:tcMar>
            <w:hideMark/>
          </w:tcPr>
          <w:p w:rsidR="004D776B" w:rsidRPr="003410C7" w:rsidRDefault="004D776B" w:rsidP="007E466C">
            <w:pPr>
              <w:spacing w:before="120" w:after="120" w:line="276" w:lineRule="auto"/>
              <w:rPr>
                <w:rFonts w:eastAsia="Calibri" w:cs="Tahoma"/>
                <w:szCs w:val="18"/>
                <w:lang w:val="fr-FR"/>
              </w:rPr>
            </w:pPr>
            <w:r w:rsidRPr="00451078">
              <w:rPr>
                <w:rFonts w:eastAsia="Calibri" w:cs="Tahoma"/>
                <w:szCs w:val="18"/>
                <w:lang w:val="fr-FR"/>
              </w:rPr>
              <w:t>Core Infrastructure Server Suite Standard</w:t>
            </w:r>
          </w:p>
        </w:tc>
      </w:tr>
      <w:tr w:rsidR="004D776B" w:rsidRPr="00DC1102" w:rsidTr="001051D1">
        <w:tc>
          <w:tcPr>
            <w:tcW w:w="4140" w:type="dxa"/>
            <w:tcMar>
              <w:top w:w="0" w:type="dxa"/>
              <w:left w:w="108" w:type="dxa"/>
              <w:bottom w:w="0" w:type="dxa"/>
              <w:right w:w="108" w:type="dxa"/>
            </w:tcMar>
          </w:tcPr>
          <w:p w:rsidR="004D776B" w:rsidRPr="003410C7" w:rsidRDefault="004D776B" w:rsidP="00026546">
            <w:pPr>
              <w:spacing w:before="120" w:after="120" w:line="276" w:lineRule="auto"/>
              <w:rPr>
                <w:rFonts w:eastAsia="Calibri" w:cs="Tahoma"/>
                <w:szCs w:val="18"/>
              </w:rPr>
            </w:pPr>
            <w:r w:rsidRPr="003410C7">
              <w:rPr>
                <w:rFonts w:eastAsia="Calibri" w:cs="Tahoma"/>
                <w:szCs w:val="18"/>
              </w:rPr>
              <w:t>System Center Standard</w:t>
            </w:r>
          </w:p>
        </w:tc>
        <w:tc>
          <w:tcPr>
            <w:tcW w:w="4050" w:type="dxa"/>
            <w:tcMar>
              <w:top w:w="0" w:type="dxa"/>
              <w:left w:w="108" w:type="dxa"/>
              <w:bottom w:w="0" w:type="dxa"/>
              <w:right w:w="108" w:type="dxa"/>
            </w:tcMar>
          </w:tcPr>
          <w:p w:rsidR="004D776B" w:rsidRPr="003410C7" w:rsidRDefault="004D776B" w:rsidP="00026546">
            <w:pPr>
              <w:spacing w:before="120" w:after="120" w:line="276" w:lineRule="auto"/>
              <w:rPr>
                <w:rFonts w:eastAsia="Calibri" w:cs="Tahoma"/>
                <w:szCs w:val="18"/>
                <w:lang w:val="fr-FR"/>
              </w:rPr>
            </w:pPr>
            <w:r w:rsidRPr="00451078">
              <w:rPr>
                <w:rFonts w:eastAsia="Calibri" w:cs="Tahoma"/>
                <w:szCs w:val="18"/>
                <w:lang w:val="fr-FR"/>
              </w:rPr>
              <w:t>Core Infrastructure Server Suite Standard</w:t>
            </w:r>
          </w:p>
        </w:tc>
      </w:tr>
    </w:tbl>
    <w:p w:rsidR="004D776B" w:rsidRPr="00451078" w:rsidRDefault="004D776B" w:rsidP="00A66BD2">
      <w:pPr>
        <w:rPr>
          <w:lang w:val="fr-FR"/>
        </w:rPr>
      </w:pPr>
    </w:p>
    <w:p w:rsidR="00B947E4" w:rsidRPr="00451078" w:rsidRDefault="00B26237" w:rsidP="00B947E4">
      <w:pPr>
        <w:pStyle w:val="Heading3"/>
        <w:rPr>
          <w:lang w:val="it-IT"/>
        </w:rPr>
      </w:pPr>
      <w:bookmarkStart w:id="1172" w:name="_38_Core_Infrastructure"/>
      <w:bookmarkStart w:id="1173" w:name="_Toc336338297"/>
      <w:bookmarkStart w:id="1174" w:name="_Toc352234891"/>
      <w:bookmarkStart w:id="1175" w:name="Srv_36CoreInfraServerSuiteEnt"/>
      <w:bookmarkStart w:id="1176" w:name="Srv_33CoreInfrastructureSvrSuiteEnt"/>
      <w:bookmarkEnd w:id="1172"/>
      <w:r w:rsidRPr="00451078">
        <w:rPr>
          <w:rFonts w:ascii="Tahoma" w:hAnsi="Tahoma"/>
          <w:caps/>
          <w:color w:val="F66400"/>
          <w:sz w:val="22"/>
          <w:vertAlign w:val="superscript"/>
          <w:lang w:val="it-IT"/>
        </w:rPr>
        <w:t>38</w:t>
      </w:r>
      <w:r w:rsidRPr="00451078">
        <w:rPr>
          <w:rFonts w:ascii="Tahoma" w:hAnsi="Tahoma"/>
          <w:color w:val="F66400"/>
          <w:sz w:val="22"/>
          <w:lang w:val="it-IT"/>
        </w:rPr>
        <w:t xml:space="preserve"> Core Infrastructure Server Suite Enterprise</w:t>
      </w:r>
      <w:bookmarkEnd w:id="1173"/>
      <w:bookmarkEnd w:id="1174"/>
    </w:p>
    <w:p w:rsidR="000A297A" w:rsidRPr="00451078" w:rsidRDefault="000A297A" w:rsidP="00A66BD2">
      <w:pPr>
        <w:rPr>
          <w:lang w:val="it-IT"/>
        </w:rPr>
      </w:pPr>
    </w:p>
    <w:bookmarkEnd w:id="1175"/>
    <w:bookmarkEnd w:id="1176"/>
    <w:p w:rsidR="00B947E4" w:rsidRPr="00451078" w:rsidRDefault="001E68E2" w:rsidP="00A66BD2">
      <w:pPr>
        <w:ind w:left="720"/>
        <w:rPr>
          <w:lang w:val="it-IT"/>
        </w:rPr>
      </w:pPr>
      <w:r w:rsidRPr="00451078">
        <w:rPr>
          <w:rFonts w:eastAsia="Calibri" w:cs="Tahoma"/>
          <w:szCs w:val="18"/>
          <w:lang w:val="it-IT"/>
        </w:rPr>
        <w:t>A partire dal 1 aprile 2012 Microsoft interromperà l</w:t>
      </w:r>
      <w:r w:rsidR="004525CA">
        <w:rPr>
          <w:rFonts w:eastAsia="Calibri" w:cs="Tahoma"/>
          <w:szCs w:val="18"/>
          <w:lang w:val="it-IT"/>
        </w:rPr>
        <w:t>’</w:t>
      </w:r>
      <w:r w:rsidRPr="00451078">
        <w:rPr>
          <w:rFonts w:eastAsia="Calibri" w:cs="Tahoma"/>
          <w:szCs w:val="18"/>
          <w:lang w:val="it-IT"/>
        </w:rPr>
        <w:t>offerta di Core Infrastructure Server Suite Enterprise. Le</w:t>
      </w:r>
      <w:r w:rsidR="00E82D1F" w:rsidRPr="00451078">
        <w:rPr>
          <w:rFonts w:eastAsia="Calibri" w:cs="Tahoma"/>
          <w:szCs w:val="18"/>
          <w:lang w:val="it-IT"/>
        </w:rPr>
        <w:t> </w:t>
      </w:r>
      <w:r w:rsidRPr="00451078">
        <w:rPr>
          <w:rFonts w:eastAsia="Calibri" w:cs="Tahoma"/>
          <w:szCs w:val="18"/>
          <w:lang w:val="it-IT"/>
        </w:rPr>
        <w:t>società titolari di licenze Core Infrastructure Server Suite Enterprise con copertura Software Assurance attiva a partire dal 1 aprile 2012 saranno idonee a ricevere una licenza per Core Infrastructure Server Standard per ciascuna licenza per Core Infrastructure Server Suite Enterprise con Software Assurance in</w:t>
      </w:r>
      <w:r w:rsidR="00E82D1F" w:rsidRPr="00451078">
        <w:rPr>
          <w:rFonts w:eastAsia="Calibri" w:cs="Tahoma"/>
          <w:szCs w:val="18"/>
          <w:lang w:val="it-IT"/>
        </w:rPr>
        <w:t> </w:t>
      </w:r>
      <w:r w:rsidRPr="00451078">
        <w:rPr>
          <w:rFonts w:eastAsia="Calibri" w:cs="Tahoma"/>
          <w:szCs w:val="18"/>
          <w:lang w:val="it-IT"/>
        </w:rPr>
        <w:t>loro</w:t>
      </w:r>
      <w:r w:rsidR="00E82D1F" w:rsidRPr="00451078">
        <w:rPr>
          <w:rFonts w:eastAsia="Calibri" w:cs="Tahoma"/>
          <w:szCs w:val="18"/>
          <w:lang w:val="it-IT"/>
        </w:rPr>
        <w:t> </w:t>
      </w:r>
      <w:r w:rsidRPr="00451078">
        <w:rPr>
          <w:rFonts w:eastAsia="Calibri" w:cs="Tahoma"/>
          <w:szCs w:val="18"/>
          <w:lang w:val="it-IT"/>
        </w:rPr>
        <w:t>possesso a partire da quella data.</w:t>
      </w:r>
      <w:r w:rsidR="00082E1C" w:rsidRPr="00451078">
        <w:rPr>
          <w:rFonts w:eastAsia="Calibri" w:cs="Tahoma"/>
          <w:szCs w:val="18"/>
          <w:lang w:val="it-IT"/>
        </w:rPr>
        <w:t xml:space="preserve"> </w:t>
      </w:r>
      <w:r w:rsidRPr="00451078">
        <w:rPr>
          <w:rFonts w:eastAsia="Calibri" w:cs="Tahoma"/>
          <w:szCs w:val="18"/>
          <w:lang w:val="it-IT"/>
        </w:rPr>
        <w:t>Le licenze per Core Infrastructure Server Suite Standard concesse in</w:t>
      </w:r>
      <w:r w:rsidR="00E82D1F" w:rsidRPr="00451078">
        <w:rPr>
          <w:rFonts w:eastAsia="Calibri" w:cs="Tahoma"/>
          <w:szCs w:val="18"/>
          <w:lang w:val="it-IT"/>
        </w:rPr>
        <w:t> </w:t>
      </w:r>
      <w:r w:rsidRPr="00451078">
        <w:rPr>
          <w:rFonts w:eastAsia="Calibri" w:cs="Tahoma"/>
          <w:szCs w:val="18"/>
          <w:lang w:val="it-IT"/>
        </w:rPr>
        <w:t>base</w:t>
      </w:r>
      <w:r w:rsidR="00E82D1F" w:rsidRPr="00451078">
        <w:rPr>
          <w:rFonts w:eastAsia="Calibri" w:cs="Tahoma"/>
          <w:szCs w:val="18"/>
          <w:lang w:val="it-IT"/>
        </w:rPr>
        <w:t> </w:t>
      </w:r>
      <w:r w:rsidRPr="00451078">
        <w:rPr>
          <w:rFonts w:eastAsia="Calibri" w:cs="Tahoma"/>
          <w:szCs w:val="18"/>
          <w:lang w:val="it-IT"/>
        </w:rPr>
        <w:t>alla presente offerta includeranno la copertura Software Assurance che cesserà alla scadenza della copertura per le licenze qualificanti per Core Infrastructure Server Suite Enterprise. Le società che utilizzano Core Infrastructure Server Suite Standard in base alla presente offerta non potranno più utilizzare il software ai sensi delle relative licenze qualificanti.</w:t>
      </w:r>
      <w:r w:rsidR="00082E1C" w:rsidRPr="00451078">
        <w:rPr>
          <w:rFonts w:eastAsia="Calibri" w:cs="Tahoma"/>
          <w:szCs w:val="18"/>
          <w:lang w:val="it-IT"/>
        </w:rPr>
        <w:t xml:space="preserve"> </w:t>
      </w:r>
      <w:r w:rsidRPr="00451078">
        <w:rPr>
          <w:rFonts w:eastAsia="Calibri" w:cs="Tahoma"/>
          <w:szCs w:val="18"/>
          <w:lang w:val="it-IT"/>
        </w:rPr>
        <w:t>La nota relativa al prodotto e la documentazione delle licenze qualificanti della società attestano il diritto della società di utilizzare Core Infrastructure Server Suite Standard in base alla presente offerta.</w:t>
      </w:r>
      <w:r w:rsidR="00082E1C" w:rsidRPr="00451078">
        <w:rPr>
          <w:rFonts w:eastAsia="Calibri" w:cs="Tahoma"/>
          <w:szCs w:val="18"/>
          <w:lang w:val="it-IT"/>
        </w:rPr>
        <w:t xml:space="preserve"> </w:t>
      </w:r>
      <w:r w:rsidRPr="00451078">
        <w:rPr>
          <w:rFonts w:eastAsia="Calibri" w:cs="Tahoma"/>
          <w:szCs w:val="18"/>
          <w:lang w:val="it-IT"/>
        </w:rPr>
        <w:t xml:space="preserve">Tale diritto cesserà alla </w:t>
      </w:r>
      <w:bookmarkStart w:id="1177" w:name="Srv_34CoreInfraSvrSuiteDatacenter"/>
      <w:r w:rsidRPr="00451078">
        <w:rPr>
          <w:rFonts w:eastAsia="Calibri" w:cs="Tahoma"/>
          <w:szCs w:val="18"/>
          <w:lang w:val="it-IT"/>
        </w:rPr>
        <w:t>scadenza delle licenze qualificanti.</w:t>
      </w:r>
    </w:p>
    <w:p w:rsidR="00285E3D" w:rsidRPr="00451078" w:rsidRDefault="00285E3D" w:rsidP="00A66BD2">
      <w:pPr>
        <w:rPr>
          <w:lang w:val="it-IT"/>
        </w:rPr>
      </w:pPr>
    </w:p>
    <w:p w:rsidR="00A66BD2" w:rsidRPr="00451078" w:rsidRDefault="00A66BD2" w:rsidP="00A66BD2">
      <w:pPr>
        <w:rPr>
          <w:lang w:val="it-IT"/>
        </w:rPr>
      </w:pPr>
    </w:p>
    <w:p w:rsidR="00B947E4" w:rsidRPr="00451078" w:rsidRDefault="001D5998" w:rsidP="00B947E4">
      <w:pPr>
        <w:pStyle w:val="Heading3"/>
        <w:rPr>
          <w:lang w:val="it-IT"/>
        </w:rPr>
      </w:pPr>
      <w:bookmarkStart w:id="1178" w:name="_39_Core_Infrastructure"/>
      <w:bookmarkStart w:id="1179" w:name="_Toc336338298"/>
      <w:bookmarkStart w:id="1180" w:name="_Toc352234892"/>
      <w:bookmarkStart w:id="1181" w:name="Srv_37CoreInfraServerSuiteData"/>
      <w:bookmarkEnd w:id="1178"/>
      <w:r w:rsidRPr="00451078">
        <w:rPr>
          <w:rFonts w:ascii="Tahoma" w:hAnsi="Tahoma"/>
          <w:caps/>
          <w:color w:val="F66400"/>
          <w:sz w:val="22"/>
          <w:vertAlign w:val="superscript"/>
          <w:lang w:val="it-IT"/>
        </w:rPr>
        <w:t>39</w:t>
      </w:r>
      <w:r w:rsidRPr="00451078">
        <w:rPr>
          <w:rFonts w:ascii="Tahoma" w:hAnsi="Tahoma"/>
          <w:color w:val="F66400"/>
          <w:sz w:val="22"/>
          <w:lang w:val="it-IT"/>
        </w:rPr>
        <w:t xml:space="preserve"> Core Infrastructure Server Suite Datacenter</w:t>
      </w:r>
      <w:bookmarkEnd w:id="1177"/>
      <w:bookmarkEnd w:id="1179"/>
      <w:bookmarkEnd w:id="1180"/>
    </w:p>
    <w:bookmarkEnd w:id="1181"/>
    <w:p w:rsidR="00B947E4" w:rsidRPr="00451078" w:rsidRDefault="00B947E4" w:rsidP="00B947E4">
      <w:pPr>
        <w:rPr>
          <w:lang w:val="it-IT"/>
        </w:rPr>
      </w:pPr>
    </w:p>
    <w:p w:rsidR="004D776B" w:rsidRPr="00451078" w:rsidRDefault="004D776B" w:rsidP="00A66BD2">
      <w:pPr>
        <w:spacing w:after="60"/>
        <w:ind w:left="720"/>
        <w:rPr>
          <w:lang w:val="it-IT"/>
        </w:rPr>
      </w:pPr>
      <w:r w:rsidRPr="00451078">
        <w:rPr>
          <w:rFonts w:eastAsia="Calibri" w:cs="Tahoma"/>
          <w:b/>
          <w:szCs w:val="18"/>
          <w:lang w:val="it-IT"/>
        </w:rPr>
        <w:t>Migrazione al Nuovo Modello di Licenza</w:t>
      </w:r>
    </w:p>
    <w:p w:rsidR="004D776B" w:rsidRPr="00451078" w:rsidRDefault="004D776B" w:rsidP="00A66BD2">
      <w:pPr>
        <w:ind w:left="720"/>
        <w:rPr>
          <w:lang w:val="it-IT"/>
        </w:rPr>
      </w:pPr>
      <w:r w:rsidRPr="00451078">
        <w:rPr>
          <w:rFonts w:eastAsia="Calibri" w:cs="Tahoma"/>
          <w:szCs w:val="18"/>
          <w:lang w:val="it-IT"/>
        </w:rPr>
        <w:t>In data 1 aprile 2012 il modello di licenza per CIS è cambiato. Le licenze acquistate ai sensi di nuove iscrizioni in vigore dopo il 1 aprile 2012 possono coprire fino a due processori fisici.</w:t>
      </w:r>
    </w:p>
    <w:p w:rsidR="00A66BD2" w:rsidRPr="00451078" w:rsidRDefault="00A66BD2" w:rsidP="00A66BD2">
      <w:pPr>
        <w:ind w:left="720"/>
        <w:rPr>
          <w:lang w:val="it-IT"/>
        </w:rPr>
      </w:pPr>
    </w:p>
    <w:p w:rsidR="004D776B" w:rsidRPr="00451078" w:rsidRDefault="004D776B" w:rsidP="00A66BD2">
      <w:pPr>
        <w:ind w:left="720"/>
        <w:rPr>
          <w:lang w:val="it-IT"/>
        </w:rPr>
      </w:pPr>
      <w:r w:rsidRPr="00451078">
        <w:rPr>
          <w:rFonts w:eastAsia="Calibri" w:cs="Tahoma"/>
          <w:szCs w:val="18"/>
          <w:lang w:val="it-IT"/>
        </w:rPr>
        <w:t>Le società con iscrizioni esistenti in data 1 aprile 2012 (in vigore in data 1 aprile 2012 o antecedente) possono continuare a effettuare il true-up delle licenze acquistate ai sensi del modello precedente in base al</w:t>
      </w:r>
      <w:r w:rsidR="00E82D1F" w:rsidRPr="00451078">
        <w:rPr>
          <w:rFonts w:eastAsia="Calibri" w:cs="Tahoma"/>
          <w:szCs w:val="18"/>
          <w:lang w:val="it-IT"/>
        </w:rPr>
        <w:t> </w:t>
      </w:r>
      <w:r w:rsidRPr="00451078">
        <w:rPr>
          <w:rFonts w:eastAsia="Calibri" w:cs="Tahoma"/>
          <w:szCs w:val="18"/>
          <w:lang w:val="it-IT"/>
        </w:rPr>
        <w:t>quale ciascuna licenza può autorizzare un solo processore. I seguenti diritti di migrazione si applicano alle</w:t>
      </w:r>
      <w:r w:rsidR="00E82D1F" w:rsidRPr="00451078">
        <w:rPr>
          <w:rFonts w:eastAsia="Calibri" w:cs="Tahoma"/>
          <w:szCs w:val="18"/>
          <w:lang w:val="it-IT"/>
        </w:rPr>
        <w:t> </w:t>
      </w:r>
      <w:r w:rsidRPr="00451078">
        <w:rPr>
          <w:rFonts w:eastAsia="Calibri" w:cs="Tahoma"/>
          <w:szCs w:val="18"/>
          <w:lang w:val="it-IT"/>
        </w:rPr>
        <w:t>licenze di queste società:</w:t>
      </w:r>
    </w:p>
    <w:p w:rsidR="00A66BD2" w:rsidRPr="00451078" w:rsidRDefault="00A66BD2" w:rsidP="00A66BD2">
      <w:pPr>
        <w:ind w:left="720"/>
        <w:rPr>
          <w:lang w:val="it-IT"/>
        </w:rPr>
      </w:pPr>
    </w:p>
    <w:p w:rsidR="004D776B" w:rsidRPr="00451078" w:rsidRDefault="004D776B" w:rsidP="00A66BD2">
      <w:pPr>
        <w:pStyle w:val="ListParagraph"/>
        <w:contextualSpacing w:val="0"/>
        <w:rPr>
          <w:lang w:val="it-IT"/>
        </w:rPr>
      </w:pPr>
      <w:r w:rsidRPr="00451078">
        <w:rPr>
          <w:rFonts w:ascii="Tahoma" w:eastAsia="Calibri" w:hAnsi="Tahoma" w:cs="Tahoma"/>
          <w:sz w:val="18"/>
          <w:szCs w:val="18"/>
          <w:lang w:val="it-IT"/>
        </w:rPr>
        <w:t>Per la durata dell</w:t>
      </w:r>
      <w:r w:rsidR="004525CA">
        <w:rPr>
          <w:rFonts w:ascii="Tahoma" w:eastAsia="Calibri" w:hAnsi="Tahoma" w:cs="Tahoma"/>
          <w:sz w:val="18"/>
          <w:szCs w:val="18"/>
          <w:lang w:val="it-IT"/>
        </w:rPr>
        <w:t>’</w:t>
      </w:r>
      <w:r w:rsidRPr="00451078">
        <w:rPr>
          <w:rFonts w:ascii="Tahoma" w:eastAsia="Calibri" w:hAnsi="Tahoma" w:cs="Tahoma"/>
          <w:sz w:val="18"/>
          <w:szCs w:val="18"/>
          <w:lang w:val="it-IT"/>
        </w:rPr>
        <w:t>iscrizione in essere le licenze nuove ed esistenti delle società, acquistate ai sensi del modello precedente, saranno considerate equivalenti alle licenze previste dal nuovo modello in percentuale di 2:1, vale a dire due licenze ai sensi del modello precedente saranno equivalenti a una licenza ai sensi del nuovo modello. In occasione del rinnovo le società possono rinnovare la copertura Software Assurance per le licenze del nuovo modello.</w:t>
      </w:r>
    </w:p>
    <w:p w:rsidR="00857EF7" w:rsidRPr="00451078" w:rsidRDefault="00857EF7" w:rsidP="00A66BD2">
      <w:pPr>
        <w:ind w:left="720"/>
        <w:rPr>
          <w:lang w:val="it-IT"/>
        </w:rPr>
      </w:pPr>
    </w:p>
    <w:p w:rsidR="004D776B" w:rsidRPr="00451078" w:rsidRDefault="004D776B" w:rsidP="00857EF7">
      <w:pPr>
        <w:spacing w:after="60"/>
        <w:ind w:left="720"/>
        <w:rPr>
          <w:lang w:val="it-IT"/>
        </w:rPr>
      </w:pPr>
      <w:r w:rsidRPr="00451078">
        <w:rPr>
          <w:rFonts w:eastAsia="Calibri" w:cs="Tahoma"/>
          <w:b/>
          <w:szCs w:val="18"/>
          <w:lang w:val="it-IT"/>
        </w:rPr>
        <w:t>Rilascio di una Nuova Versione di Windows Server</w:t>
      </w:r>
    </w:p>
    <w:p w:rsidR="004D776B" w:rsidRPr="00451078" w:rsidRDefault="004D776B" w:rsidP="00A66BD2">
      <w:pPr>
        <w:ind w:left="720"/>
        <w:rPr>
          <w:lang w:val="it-IT"/>
        </w:rPr>
      </w:pPr>
      <w:r w:rsidRPr="00451078">
        <w:rPr>
          <w:rFonts w:eastAsia="Calibri" w:cs="Tahoma"/>
          <w:szCs w:val="18"/>
          <w:lang w:val="it-IT"/>
        </w:rPr>
        <w:t>Le società titolari di licenze per Core Infrastructure Server Suite Datacenter con copertura Software Assurance attiva il 1 settembre 2012 avranno il diritto di utilizzare i seguenti prodotti in conformità ai diritti di utilizzo del prodotto per Core Infrastructure Server Suite Datacenter:</w:t>
      </w:r>
    </w:p>
    <w:p w:rsidR="00857EF7" w:rsidRPr="00451078" w:rsidRDefault="00857EF7" w:rsidP="00A66BD2">
      <w:pPr>
        <w:ind w:left="720"/>
        <w:rPr>
          <w:lang w:val="it-IT"/>
        </w:rPr>
      </w:pPr>
    </w:p>
    <w:p w:rsidR="004D776B" w:rsidRPr="003410C7" w:rsidRDefault="004D776B" w:rsidP="00745AB3">
      <w:pPr>
        <w:numPr>
          <w:ilvl w:val="0"/>
          <w:numId w:val="114"/>
        </w:numPr>
        <w:spacing w:after="60"/>
        <w:ind w:left="1440"/>
      </w:pPr>
      <w:r w:rsidRPr="003410C7">
        <w:rPr>
          <w:rFonts w:eastAsia="Calibri" w:cs="Tahoma"/>
          <w:szCs w:val="18"/>
        </w:rPr>
        <w:t>Windows Server 2012 Datacenter</w:t>
      </w:r>
    </w:p>
    <w:p w:rsidR="004D776B" w:rsidRPr="003410C7" w:rsidRDefault="004D776B" w:rsidP="00745AB3">
      <w:pPr>
        <w:numPr>
          <w:ilvl w:val="0"/>
          <w:numId w:val="114"/>
        </w:numPr>
        <w:spacing w:after="60"/>
        <w:ind w:left="1440"/>
      </w:pPr>
      <w:r w:rsidRPr="003410C7">
        <w:rPr>
          <w:rFonts w:eastAsia="Calibri" w:cs="Tahoma"/>
          <w:szCs w:val="18"/>
        </w:rPr>
        <w:t>System Center 2012 Datacenter</w:t>
      </w:r>
    </w:p>
    <w:p w:rsidR="004D776B" w:rsidRDefault="004D776B" w:rsidP="00857EF7">
      <w:pPr>
        <w:spacing w:after="60"/>
        <w:ind w:left="720"/>
        <w:rPr>
          <w:rFonts w:eastAsia="Calibri" w:cs="Tahoma"/>
          <w:b/>
          <w:szCs w:val="18"/>
          <w:lang w:val="it-IT"/>
        </w:rPr>
      </w:pPr>
      <w:r w:rsidRPr="00451078">
        <w:rPr>
          <w:rFonts w:eastAsia="Calibri" w:cs="Tahoma"/>
          <w:b/>
          <w:szCs w:val="18"/>
          <w:lang w:val="it-IT"/>
        </w:rPr>
        <w:t>Offerta di Rinnovo di Software Assurance per le Società Titolari di Windows Server Datacenter e System Center Datacenter</w:t>
      </w:r>
    </w:p>
    <w:p w:rsidR="004D776B" w:rsidRPr="00451078" w:rsidRDefault="004D776B" w:rsidP="00A66BD2">
      <w:pPr>
        <w:ind w:left="720"/>
        <w:rPr>
          <w:lang w:val="it-IT"/>
        </w:rPr>
      </w:pPr>
      <w:r w:rsidRPr="00451078">
        <w:rPr>
          <w:rFonts w:eastAsia="Calibri" w:cs="Tahoma"/>
          <w:szCs w:val="18"/>
          <w:lang w:val="it-IT"/>
        </w:rPr>
        <w:lastRenderedPageBreak/>
        <w:t>Le società titolari di licenze con copertura Software Assurance attiva per i tutti prodotti indicati nella Tabella C che segue potranno, all</w:t>
      </w:r>
      <w:r w:rsidR="004525CA">
        <w:rPr>
          <w:rFonts w:eastAsia="Calibri" w:cs="Tahoma"/>
          <w:szCs w:val="18"/>
          <w:lang w:val="it-IT"/>
        </w:rPr>
        <w:t>’</w:t>
      </w:r>
      <w:r w:rsidRPr="00451078">
        <w:rPr>
          <w:rFonts w:eastAsia="Calibri" w:cs="Tahoma"/>
          <w:szCs w:val="18"/>
          <w:lang w:val="it-IT"/>
        </w:rPr>
        <w:t>atto della scadenza di tale copertura, acquistare Software Assurance per Core Infrastructure Server Suite Datacenter senza dover acquistare le sottostanti licenze per Core Infrastructure Server Suite Datacenter.</w:t>
      </w:r>
    </w:p>
    <w:tbl>
      <w:tblPr>
        <w:tblW w:w="0" w:type="auto"/>
        <w:tblInd w:w="229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4788"/>
      </w:tblGrid>
      <w:tr w:rsidR="004D776B" w:rsidRPr="003410C7" w:rsidTr="003A458C">
        <w:tc>
          <w:tcPr>
            <w:tcW w:w="4788" w:type="dxa"/>
            <w:tcBorders>
              <w:top w:val="single" w:sz="4" w:space="0" w:color="000000"/>
              <w:left w:val="single" w:sz="4" w:space="0" w:color="000000"/>
              <w:bottom w:val="single" w:sz="4" w:space="0" w:color="000000"/>
              <w:right w:val="single" w:sz="4" w:space="0" w:color="000000"/>
            </w:tcBorders>
            <w:shd w:val="clear" w:color="auto" w:fill="FABF8F"/>
            <w:hideMark/>
          </w:tcPr>
          <w:p w:rsidR="004D776B" w:rsidRPr="003410C7" w:rsidRDefault="004D776B" w:rsidP="00026546">
            <w:pPr>
              <w:keepNext/>
              <w:tabs>
                <w:tab w:val="left" w:pos="3120"/>
                <w:tab w:val="center" w:pos="3591"/>
              </w:tabs>
              <w:spacing w:before="120" w:after="120" w:line="276" w:lineRule="auto"/>
              <w:jc w:val="center"/>
              <w:rPr>
                <w:rFonts w:eastAsia="Calibri" w:cs="Tahoma"/>
                <w:b/>
                <w:szCs w:val="18"/>
              </w:rPr>
            </w:pPr>
            <w:r w:rsidRPr="003410C7">
              <w:rPr>
                <w:rFonts w:eastAsia="Calibri" w:cs="Tahoma"/>
                <w:b/>
                <w:szCs w:val="18"/>
              </w:rPr>
              <w:t>Tabella C</w:t>
            </w:r>
          </w:p>
        </w:tc>
      </w:tr>
      <w:tr w:rsidR="004D776B" w:rsidRPr="003410C7" w:rsidTr="00C066F9">
        <w:tc>
          <w:tcPr>
            <w:tcW w:w="4788" w:type="dxa"/>
            <w:tcBorders>
              <w:top w:val="single" w:sz="4" w:space="0" w:color="000000"/>
              <w:left w:val="single" w:sz="4" w:space="0" w:color="000000"/>
              <w:bottom w:val="single" w:sz="4" w:space="0" w:color="000000"/>
              <w:right w:val="single" w:sz="4" w:space="0" w:color="000000"/>
            </w:tcBorders>
            <w:vAlign w:val="center"/>
            <w:hideMark/>
          </w:tcPr>
          <w:p w:rsidR="004D776B" w:rsidRPr="003410C7" w:rsidRDefault="004D776B" w:rsidP="00026546">
            <w:pPr>
              <w:keepNext/>
              <w:tabs>
                <w:tab w:val="left" w:pos="3120"/>
                <w:tab w:val="center" w:pos="3591"/>
              </w:tabs>
              <w:spacing w:before="120" w:after="120" w:line="276" w:lineRule="auto"/>
              <w:jc w:val="center"/>
              <w:rPr>
                <w:rFonts w:eastAsia="Calibri" w:cs="Tahoma"/>
                <w:b/>
                <w:szCs w:val="18"/>
              </w:rPr>
            </w:pPr>
            <w:r w:rsidRPr="003410C7">
              <w:rPr>
                <w:rFonts w:eastAsia="Calibri" w:cs="Tahoma"/>
                <w:b/>
                <w:szCs w:val="18"/>
              </w:rPr>
              <w:t>Windows Server Datacenter</w:t>
            </w:r>
          </w:p>
        </w:tc>
      </w:tr>
      <w:tr w:rsidR="004D776B" w:rsidRPr="003410C7" w:rsidTr="00C066F9">
        <w:tc>
          <w:tcPr>
            <w:tcW w:w="4788" w:type="dxa"/>
            <w:tcBorders>
              <w:top w:val="single" w:sz="4" w:space="0" w:color="000000"/>
              <w:left w:val="single" w:sz="4" w:space="0" w:color="000000"/>
              <w:bottom w:val="single" w:sz="4" w:space="0" w:color="000000"/>
              <w:right w:val="single" w:sz="4" w:space="0" w:color="000000"/>
            </w:tcBorders>
            <w:vAlign w:val="center"/>
            <w:hideMark/>
          </w:tcPr>
          <w:p w:rsidR="004D776B" w:rsidRPr="003410C7" w:rsidRDefault="004D776B" w:rsidP="00026546">
            <w:pPr>
              <w:keepNext/>
              <w:tabs>
                <w:tab w:val="left" w:pos="3120"/>
                <w:tab w:val="center" w:pos="3591"/>
              </w:tabs>
              <w:spacing w:before="120" w:after="120" w:line="276" w:lineRule="auto"/>
              <w:jc w:val="center"/>
              <w:rPr>
                <w:rFonts w:eastAsia="Calibri" w:cs="Tahoma"/>
                <w:b/>
                <w:szCs w:val="18"/>
              </w:rPr>
            </w:pPr>
            <w:r w:rsidRPr="003410C7">
              <w:rPr>
                <w:rFonts w:eastAsia="Calibri" w:cs="Tahoma"/>
                <w:b/>
                <w:szCs w:val="18"/>
              </w:rPr>
              <w:t>System Center Datacenter</w:t>
            </w:r>
          </w:p>
        </w:tc>
      </w:tr>
    </w:tbl>
    <w:p w:rsidR="00416294" w:rsidRDefault="00416294" w:rsidP="00416294">
      <w:pPr>
        <w:ind w:left="547"/>
      </w:pPr>
    </w:p>
    <w:p w:rsidR="004D776B" w:rsidRPr="00451078" w:rsidRDefault="004D776B" w:rsidP="001154B5">
      <w:pPr>
        <w:ind w:left="720"/>
        <w:rPr>
          <w:lang w:val="it-IT"/>
        </w:rPr>
      </w:pPr>
      <w:r w:rsidRPr="00451078">
        <w:rPr>
          <w:rFonts w:eastAsia="Calibri" w:cs="Tahoma"/>
          <w:color w:val="000000"/>
          <w:szCs w:val="18"/>
          <w:lang w:val="it-IT"/>
        </w:rPr>
        <w:t>Per ogni gruppo composto da una licenza qualificante per Windows Server Datacenter e da una licenza qualificante per System Center Datacenter le società potranno acquistare Software Assurance per una licenza di Core Infrastructure Server Suite Datacenter. Le società che ricevono in licenza e utilizzano Core Infrastructure Server Suite Datacenter in base alla presente offerta non potranno più utilizzare il software ai sensi delle relative licenze qualificanti. Le licenze e Software Assurance acquistate nell</w:t>
      </w:r>
      <w:r w:rsidR="004525CA">
        <w:rPr>
          <w:rFonts w:eastAsia="Calibri" w:cs="Tahoma"/>
          <w:color w:val="000000"/>
          <w:szCs w:val="18"/>
          <w:lang w:val="it-IT"/>
        </w:rPr>
        <w:t>’</w:t>
      </w:r>
      <w:r w:rsidRPr="00451078">
        <w:rPr>
          <w:rFonts w:eastAsia="Calibri" w:cs="Tahoma"/>
          <w:color w:val="000000"/>
          <w:szCs w:val="18"/>
          <w:lang w:val="it-IT"/>
        </w:rPr>
        <w:t xml:space="preserve">ambito di un contratto </w:t>
      </w:r>
      <w:r w:rsidR="001A3EC5" w:rsidRPr="00451078">
        <w:rPr>
          <w:rFonts w:eastAsia="Calibri" w:cs="Tahoma"/>
          <w:color w:val="000000"/>
          <w:szCs w:val="18"/>
          <w:lang w:val="it-IT"/>
        </w:rPr>
        <w:t>“</w:t>
      </w:r>
      <w:r w:rsidRPr="00451078">
        <w:rPr>
          <w:rFonts w:eastAsia="Calibri" w:cs="Tahoma"/>
          <w:color w:val="000000"/>
          <w:szCs w:val="18"/>
          <w:lang w:val="it-IT"/>
        </w:rPr>
        <w:t>subscription</w:t>
      </w:r>
      <w:r w:rsidR="001A3EC5" w:rsidRPr="00451078">
        <w:rPr>
          <w:rFonts w:eastAsia="Calibri" w:cs="Tahoma"/>
          <w:color w:val="000000"/>
          <w:szCs w:val="18"/>
          <w:lang w:val="it-IT"/>
        </w:rPr>
        <w:t>”</w:t>
      </w:r>
      <w:r w:rsidRPr="00451078">
        <w:rPr>
          <w:rFonts w:eastAsia="Calibri" w:cs="Tahoma"/>
          <w:color w:val="000000"/>
          <w:szCs w:val="18"/>
          <w:lang w:val="it-IT"/>
        </w:rPr>
        <w:t xml:space="preserve"> non si qualificano ai fini di questa offerta.</w:t>
      </w:r>
    </w:p>
    <w:p w:rsidR="00973A93" w:rsidRPr="00451078" w:rsidRDefault="00973A93" w:rsidP="0050116B">
      <w:pPr>
        <w:ind w:left="540"/>
        <w:rPr>
          <w:lang w:val="it-IT"/>
        </w:rPr>
      </w:pPr>
    </w:p>
    <w:p w:rsidR="004D776B" w:rsidRPr="00451078" w:rsidRDefault="004D776B" w:rsidP="00857EF7">
      <w:pPr>
        <w:spacing w:after="60"/>
        <w:ind w:left="720"/>
        <w:rPr>
          <w:lang w:val="pt-BR"/>
        </w:rPr>
      </w:pPr>
      <w:r w:rsidRPr="00451078">
        <w:rPr>
          <w:rFonts w:eastAsia="Calibri" w:cs="Tahoma"/>
          <w:b/>
          <w:szCs w:val="18"/>
          <w:lang w:val="pt-BR"/>
        </w:rPr>
        <w:t>Step-Up da Windows Server Datacenter o System Center Datacenter a Core Infrastructure Server Suite Datacenter</w:t>
      </w:r>
    </w:p>
    <w:p w:rsidR="004D776B" w:rsidRPr="00451078" w:rsidRDefault="004D776B" w:rsidP="00857EF7">
      <w:pPr>
        <w:ind w:left="720"/>
        <w:rPr>
          <w:lang w:val="it-IT"/>
        </w:rPr>
      </w:pPr>
      <w:r w:rsidRPr="00451078">
        <w:rPr>
          <w:rFonts w:eastAsia="Calibri" w:cs="Tahoma"/>
          <w:szCs w:val="18"/>
          <w:lang w:val="pt-BR"/>
        </w:rPr>
        <w:t xml:space="preserve">Le società potranno eseguire lo step-up da Windows Server Datacenter o System Center Datacenter a Core Infrastructure Server Suite Datacenter acquistando la licenza di Step-Up appropriata per Core Infrastructure Server Suite Datacenter. </w:t>
      </w:r>
      <w:r w:rsidRPr="00451078">
        <w:rPr>
          <w:rFonts w:eastAsia="Calibri" w:cs="Tahoma"/>
          <w:szCs w:val="18"/>
          <w:lang w:val="it-IT"/>
        </w:rPr>
        <w:t xml:space="preserve">Le società dovranno disporre di una copertura Software Assurance attiva per la loro licenza per Windows Server Datacenter o System Center Datacenter, al fine di acquistare tale licenza di Step-Up. </w:t>
      </w:r>
    </w:p>
    <w:p w:rsidR="00857EF7" w:rsidRPr="00451078" w:rsidRDefault="00857EF7" w:rsidP="00857EF7">
      <w:pPr>
        <w:ind w:left="720"/>
        <w:rPr>
          <w:lang w:val="it-IT"/>
        </w:rPr>
      </w:pPr>
    </w:p>
    <w:p w:rsidR="004D776B" w:rsidRPr="00451078" w:rsidRDefault="004D776B" w:rsidP="00857EF7">
      <w:pPr>
        <w:ind w:left="720"/>
        <w:rPr>
          <w:lang w:val="it-IT"/>
        </w:rPr>
      </w:pPr>
      <w:r w:rsidRPr="00451078">
        <w:rPr>
          <w:rFonts w:eastAsia="Calibri" w:cs="Tahoma"/>
          <w:szCs w:val="18"/>
          <w:lang w:val="it-IT"/>
        </w:rPr>
        <w:t>Per ogni licenza qualificante di Windows Server Datacenter in suo possesso, la società potrà acquistare una licenza Step-Up per Core Infrastructure Server Suite Datacenter.</w:t>
      </w:r>
      <w:r w:rsidR="00082E1C" w:rsidRPr="00451078">
        <w:rPr>
          <w:rFonts w:eastAsia="Calibri" w:cs="Tahoma"/>
          <w:szCs w:val="18"/>
          <w:lang w:val="it-IT"/>
        </w:rPr>
        <w:t xml:space="preserve"> </w:t>
      </w:r>
    </w:p>
    <w:p w:rsidR="00857EF7" w:rsidRPr="00451078" w:rsidRDefault="00857EF7" w:rsidP="00857EF7">
      <w:pPr>
        <w:ind w:left="720"/>
        <w:rPr>
          <w:lang w:val="it-IT"/>
        </w:rPr>
      </w:pPr>
    </w:p>
    <w:p w:rsidR="004D776B" w:rsidRPr="00451078" w:rsidRDefault="004D776B" w:rsidP="00857EF7">
      <w:pPr>
        <w:ind w:left="720"/>
        <w:rPr>
          <w:lang w:val="it-IT"/>
        </w:rPr>
      </w:pPr>
      <w:r w:rsidRPr="00451078">
        <w:rPr>
          <w:rFonts w:eastAsia="Calibri" w:cs="Tahoma"/>
          <w:szCs w:val="18"/>
          <w:lang w:val="it-IT"/>
        </w:rPr>
        <w:t>Per ogni licenza qualificante di Systems Center Datacenter in suo possesso, la società potrà acquistare una licenza Step-Up per Core Infrastructure Server Suite Datacenter.</w:t>
      </w:r>
      <w:r w:rsidR="00082E1C" w:rsidRPr="00451078">
        <w:rPr>
          <w:rFonts w:eastAsia="Calibri" w:cs="Tahoma"/>
          <w:szCs w:val="18"/>
          <w:lang w:val="it-IT"/>
        </w:rPr>
        <w:t xml:space="preserve"> </w:t>
      </w:r>
    </w:p>
    <w:p w:rsidR="00857EF7" w:rsidRPr="00451078" w:rsidRDefault="00857EF7" w:rsidP="00857EF7">
      <w:pPr>
        <w:ind w:left="720"/>
        <w:rPr>
          <w:lang w:val="it-IT"/>
        </w:rPr>
      </w:pPr>
    </w:p>
    <w:p w:rsidR="004D776B" w:rsidRPr="00451078" w:rsidRDefault="004D776B" w:rsidP="00857EF7">
      <w:pPr>
        <w:ind w:left="720"/>
        <w:rPr>
          <w:lang w:val="it-IT"/>
        </w:rPr>
      </w:pPr>
      <w:r w:rsidRPr="00451078">
        <w:rPr>
          <w:rFonts w:eastAsia="Calibri" w:cs="Tahoma"/>
          <w:szCs w:val="18"/>
          <w:lang w:val="it-IT"/>
        </w:rPr>
        <w:t>Il diritto delle società di utilizzare il software ai sensi della licenza per Core Infrastructure Server Suite Datacenter, è condizionato dall</w:t>
      </w:r>
      <w:r w:rsidR="004525CA">
        <w:rPr>
          <w:rFonts w:eastAsia="Calibri" w:cs="Tahoma"/>
          <w:szCs w:val="18"/>
          <w:lang w:val="it-IT"/>
        </w:rPr>
        <w:t>’</w:t>
      </w:r>
      <w:r w:rsidRPr="00451078">
        <w:rPr>
          <w:rFonts w:eastAsia="Calibri" w:cs="Tahoma"/>
          <w:szCs w:val="18"/>
          <w:lang w:val="it-IT"/>
        </w:rPr>
        <w:t>adempimento da parte delle società delle obbligazioni di pagamento residue della licenza per il prodotto qualificante. La licenza per Core Infrastructure Server Suite Datacenter delle società prevalgono e sostituiscono la licenza sottostante per il prodotto qualificante.</w:t>
      </w:r>
    </w:p>
    <w:p w:rsidR="00857EF7" w:rsidRPr="00451078" w:rsidRDefault="00857EF7" w:rsidP="00857EF7">
      <w:pPr>
        <w:ind w:left="720"/>
        <w:rPr>
          <w:lang w:val="it-IT"/>
        </w:rPr>
      </w:pPr>
    </w:p>
    <w:tbl>
      <w:tblPr>
        <w:tblW w:w="7740" w:type="dxa"/>
        <w:tblInd w:w="878" w:type="dxa"/>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tblCellMar>
          <w:left w:w="0" w:type="dxa"/>
          <w:right w:w="0" w:type="dxa"/>
        </w:tblCellMar>
        <w:tblLook w:val="04A0" w:firstRow="1" w:lastRow="0" w:firstColumn="1" w:lastColumn="0" w:noHBand="0" w:noVBand="1"/>
      </w:tblPr>
      <w:tblGrid>
        <w:gridCol w:w="3870"/>
        <w:gridCol w:w="3870"/>
      </w:tblGrid>
      <w:tr w:rsidR="004D776B" w:rsidRPr="003410C7" w:rsidTr="00C066F9">
        <w:trPr>
          <w:tblHeader/>
        </w:trPr>
        <w:tc>
          <w:tcPr>
            <w:tcW w:w="3870" w:type="dxa"/>
            <w:shd w:val="clear" w:color="auto" w:fill="FABF8F"/>
            <w:tcMar>
              <w:top w:w="0" w:type="dxa"/>
              <w:left w:w="108" w:type="dxa"/>
              <w:bottom w:w="0" w:type="dxa"/>
              <w:right w:w="108" w:type="dxa"/>
            </w:tcMar>
            <w:vAlign w:val="center"/>
            <w:hideMark/>
          </w:tcPr>
          <w:p w:rsidR="004D776B" w:rsidRPr="003410C7" w:rsidRDefault="004D776B" w:rsidP="007E466C">
            <w:pPr>
              <w:spacing w:before="120" w:after="120" w:line="276" w:lineRule="auto"/>
              <w:jc w:val="center"/>
              <w:rPr>
                <w:rFonts w:eastAsia="Calibri" w:cs="Tahoma"/>
                <w:b/>
                <w:szCs w:val="18"/>
              </w:rPr>
            </w:pPr>
            <w:r w:rsidRPr="003410C7">
              <w:rPr>
                <w:rFonts w:eastAsia="Calibri" w:cs="Tahoma"/>
                <w:b/>
                <w:szCs w:val="18"/>
              </w:rPr>
              <w:t>Prodotto Qualificante</w:t>
            </w:r>
          </w:p>
        </w:tc>
        <w:tc>
          <w:tcPr>
            <w:tcW w:w="3870" w:type="dxa"/>
            <w:shd w:val="clear" w:color="auto" w:fill="FABF8F"/>
            <w:tcMar>
              <w:top w:w="0" w:type="dxa"/>
              <w:left w:w="108" w:type="dxa"/>
              <w:bottom w:w="0" w:type="dxa"/>
              <w:right w:w="108" w:type="dxa"/>
            </w:tcMar>
            <w:vAlign w:val="center"/>
            <w:hideMark/>
          </w:tcPr>
          <w:p w:rsidR="004D776B" w:rsidRPr="003410C7" w:rsidRDefault="004D776B" w:rsidP="007E466C">
            <w:pPr>
              <w:spacing w:before="120" w:after="120" w:line="276" w:lineRule="auto"/>
              <w:jc w:val="center"/>
              <w:rPr>
                <w:rFonts w:eastAsia="Calibri" w:cs="Tahoma"/>
                <w:b/>
                <w:szCs w:val="18"/>
              </w:rPr>
            </w:pPr>
            <w:r w:rsidRPr="003410C7">
              <w:rPr>
                <w:rFonts w:eastAsia="Calibri" w:cs="Tahoma"/>
                <w:b/>
                <w:szCs w:val="18"/>
              </w:rPr>
              <w:t>Step-Up A</w:t>
            </w:r>
          </w:p>
        </w:tc>
      </w:tr>
      <w:tr w:rsidR="004D776B" w:rsidRPr="00DC1102" w:rsidTr="001051D1">
        <w:tc>
          <w:tcPr>
            <w:tcW w:w="3870" w:type="dxa"/>
            <w:tcMar>
              <w:top w:w="0" w:type="dxa"/>
              <w:left w:w="108" w:type="dxa"/>
              <w:bottom w:w="0" w:type="dxa"/>
              <w:right w:w="108" w:type="dxa"/>
            </w:tcMar>
            <w:hideMark/>
          </w:tcPr>
          <w:p w:rsidR="004D776B" w:rsidRPr="003410C7" w:rsidRDefault="004D776B" w:rsidP="007E466C">
            <w:pPr>
              <w:spacing w:before="120" w:after="120" w:line="276" w:lineRule="auto"/>
              <w:rPr>
                <w:rFonts w:eastAsia="Calibri" w:cs="Tahoma"/>
                <w:szCs w:val="18"/>
              </w:rPr>
            </w:pPr>
            <w:r w:rsidRPr="003410C7">
              <w:rPr>
                <w:rFonts w:eastAsia="Calibri" w:cs="Tahoma"/>
                <w:szCs w:val="18"/>
              </w:rPr>
              <w:t>Windows Server Datacenter</w:t>
            </w:r>
          </w:p>
        </w:tc>
        <w:tc>
          <w:tcPr>
            <w:tcW w:w="3870" w:type="dxa"/>
            <w:tcMar>
              <w:top w:w="0" w:type="dxa"/>
              <w:left w:w="108" w:type="dxa"/>
              <w:bottom w:w="0" w:type="dxa"/>
              <w:right w:w="108" w:type="dxa"/>
            </w:tcMar>
            <w:hideMark/>
          </w:tcPr>
          <w:p w:rsidR="004D776B" w:rsidRPr="003410C7" w:rsidRDefault="004D776B" w:rsidP="007E466C">
            <w:pPr>
              <w:spacing w:before="120" w:after="120" w:line="276" w:lineRule="auto"/>
              <w:rPr>
                <w:rFonts w:eastAsia="Calibri" w:cs="Tahoma"/>
                <w:szCs w:val="18"/>
                <w:lang w:val="fr-FR"/>
              </w:rPr>
            </w:pPr>
            <w:r w:rsidRPr="00451078">
              <w:rPr>
                <w:rFonts w:eastAsia="Calibri" w:cs="Tahoma"/>
                <w:szCs w:val="18"/>
                <w:lang w:val="fr-FR"/>
              </w:rPr>
              <w:t>Core Infrastructure Server Suite Datacenter</w:t>
            </w:r>
          </w:p>
        </w:tc>
      </w:tr>
      <w:tr w:rsidR="004D776B" w:rsidRPr="00DC1102" w:rsidTr="001051D1">
        <w:tc>
          <w:tcPr>
            <w:tcW w:w="3870" w:type="dxa"/>
            <w:tcMar>
              <w:top w:w="0" w:type="dxa"/>
              <w:left w:w="108" w:type="dxa"/>
              <w:bottom w:w="0" w:type="dxa"/>
              <w:right w:w="108" w:type="dxa"/>
            </w:tcMar>
          </w:tcPr>
          <w:p w:rsidR="004D776B" w:rsidRPr="003410C7" w:rsidRDefault="004D776B" w:rsidP="007E466C">
            <w:pPr>
              <w:spacing w:before="120" w:after="120" w:line="276" w:lineRule="auto"/>
              <w:rPr>
                <w:rFonts w:eastAsia="Calibri" w:cs="Tahoma"/>
                <w:szCs w:val="18"/>
              </w:rPr>
            </w:pPr>
            <w:r w:rsidRPr="003410C7">
              <w:rPr>
                <w:rFonts w:eastAsia="Calibri" w:cs="Tahoma"/>
                <w:szCs w:val="18"/>
              </w:rPr>
              <w:t>System Center Datacenter</w:t>
            </w:r>
          </w:p>
        </w:tc>
        <w:tc>
          <w:tcPr>
            <w:tcW w:w="3870" w:type="dxa"/>
            <w:tcMar>
              <w:top w:w="0" w:type="dxa"/>
              <w:left w:w="108" w:type="dxa"/>
              <w:bottom w:w="0" w:type="dxa"/>
              <w:right w:w="108" w:type="dxa"/>
            </w:tcMar>
          </w:tcPr>
          <w:p w:rsidR="004D776B" w:rsidRPr="003410C7" w:rsidRDefault="004D776B" w:rsidP="007E466C">
            <w:pPr>
              <w:spacing w:before="120" w:after="120" w:line="276" w:lineRule="auto"/>
              <w:rPr>
                <w:rFonts w:eastAsia="Calibri" w:cs="Tahoma"/>
                <w:szCs w:val="18"/>
                <w:lang w:val="fr-FR"/>
              </w:rPr>
            </w:pPr>
            <w:r w:rsidRPr="00451078">
              <w:rPr>
                <w:rFonts w:eastAsia="Calibri" w:cs="Tahoma"/>
                <w:szCs w:val="18"/>
                <w:lang w:val="fr-FR"/>
              </w:rPr>
              <w:t>Core Infrastructure Server Suite Datacenter</w:t>
            </w:r>
          </w:p>
        </w:tc>
      </w:tr>
    </w:tbl>
    <w:p w:rsidR="00BC62D4" w:rsidRPr="00451078" w:rsidRDefault="00BC62D4" w:rsidP="00857EF7">
      <w:pPr>
        <w:ind w:left="907"/>
        <w:rPr>
          <w:lang w:val="fr-FR"/>
        </w:rPr>
      </w:pPr>
      <w:bookmarkStart w:id="1182" w:name="Srv_38DynCRMWorkProEnt"/>
    </w:p>
    <w:p w:rsidR="00E03856" w:rsidRPr="00451078" w:rsidRDefault="00E03856" w:rsidP="00857EF7">
      <w:pPr>
        <w:ind w:left="907"/>
        <w:rPr>
          <w:lang w:val="fr-FR"/>
        </w:rPr>
      </w:pPr>
    </w:p>
    <w:p w:rsidR="00E82D1F" w:rsidRPr="00451078" w:rsidRDefault="00E82D1F" w:rsidP="00857EF7">
      <w:pPr>
        <w:rPr>
          <w:lang w:val="fr-FR"/>
        </w:rPr>
      </w:pPr>
      <w:bookmarkStart w:id="1183" w:name="Srv_38DynamicsCRMOnline"/>
      <w:bookmarkStart w:id="1184" w:name="Srv_37DynamicsCRMOnline"/>
      <w:bookmarkStart w:id="1185" w:name="Srv_37EntCALSuite"/>
      <w:bookmarkEnd w:id="1171"/>
      <w:bookmarkEnd w:id="1182"/>
    </w:p>
    <w:p w:rsidR="00E82D1F" w:rsidRPr="00451078" w:rsidRDefault="00E82D1F" w:rsidP="00857EF7">
      <w:pPr>
        <w:rPr>
          <w:lang w:val="fr-FR"/>
        </w:rPr>
      </w:pPr>
    </w:p>
    <w:p w:rsidR="00652B0A" w:rsidRPr="00451078" w:rsidRDefault="00A7003F" w:rsidP="00652B0A">
      <w:pPr>
        <w:pStyle w:val="Heading3"/>
        <w:rPr>
          <w:lang w:val="it-IT"/>
        </w:rPr>
      </w:pPr>
      <w:bookmarkStart w:id="1186" w:name="_40_Dynamics_CRM"/>
      <w:bookmarkStart w:id="1187" w:name="_40_39_Dynamics"/>
      <w:bookmarkStart w:id="1188" w:name="_4240_Dynamics_CRM"/>
      <w:bookmarkStart w:id="1189" w:name="_Toc336338300"/>
      <w:bookmarkStart w:id="1190" w:name="_Toc352234893"/>
      <w:bookmarkEnd w:id="1186"/>
      <w:bookmarkEnd w:id="1187"/>
      <w:bookmarkEnd w:id="1188"/>
      <w:r w:rsidRPr="00451078">
        <w:rPr>
          <w:rFonts w:ascii="Tahoma" w:hAnsi="Tahoma"/>
          <w:caps/>
          <w:color w:val="F66400"/>
          <w:sz w:val="22"/>
          <w:vertAlign w:val="superscript"/>
          <w:lang w:val="it-IT"/>
        </w:rPr>
        <w:t>40</w:t>
      </w:r>
      <w:r w:rsidRPr="00451078">
        <w:rPr>
          <w:rFonts w:ascii="Tahoma" w:hAnsi="Tahoma"/>
          <w:color w:val="F66400"/>
          <w:sz w:val="22"/>
          <w:lang w:val="it-IT"/>
        </w:rPr>
        <w:t xml:space="preserve"> Dynamics CRM Online</w:t>
      </w:r>
      <w:bookmarkEnd w:id="1189"/>
      <w:bookmarkEnd w:id="1190"/>
    </w:p>
    <w:bookmarkEnd w:id="1183"/>
    <w:bookmarkEnd w:id="1184"/>
    <w:p w:rsidR="00652B0A" w:rsidRPr="00451078" w:rsidRDefault="00652B0A">
      <w:pPr>
        <w:pStyle w:val="Heading3"/>
        <w:rPr>
          <w:rFonts w:ascii="Tahoma" w:hAnsi="Tahoma" w:cs="Tahoma"/>
          <w:b w:val="0"/>
          <w:sz w:val="18"/>
          <w:szCs w:val="18"/>
          <w:lang w:val="it-IT"/>
        </w:rPr>
      </w:pPr>
    </w:p>
    <w:p w:rsidR="0040633A" w:rsidRPr="00451078" w:rsidRDefault="00857EF7" w:rsidP="001154B5">
      <w:pPr>
        <w:ind w:left="720"/>
        <w:rPr>
          <w:lang w:val="it-IT"/>
        </w:rPr>
      </w:pPr>
      <w:r w:rsidRPr="00451078">
        <w:rPr>
          <w:rFonts w:cs="Tahoma"/>
          <w:b/>
          <w:color w:val="000000"/>
          <w:szCs w:val="18"/>
          <w:lang w:val="it-IT"/>
        </w:rPr>
        <w:t>Paesi Dove Dynamics CRM Online è Disponibile</w:t>
      </w:r>
    </w:p>
    <w:p w:rsidR="00E952D9" w:rsidRPr="00451078" w:rsidRDefault="00E952D9" w:rsidP="0040633A">
      <w:pPr>
        <w:ind w:left="540"/>
        <w:rPr>
          <w:lang w:val="it-IT"/>
        </w:rPr>
      </w:pPr>
    </w:p>
    <w:tbl>
      <w:tblPr>
        <w:tblW w:w="8020" w:type="dxa"/>
        <w:tblInd w:w="878" w:type="dxa"/>
        <w:tblCellMar>
          <w:left w:w="0" w:type="dxa"/>
          <w:right w:w="0" w:type="dxa"/>
        </w:tblCellMar>
        <w:tblLook w:val="04A0" w:firstRow="1" w:lastRow="0" w:firstColumn="1" w:lastColumn="0" w:noHBand="0" w:noVBand="1"/>
      </w:tblPr>
      <w:tblGrid>
        <w:gridCol w:w="2680"/>
        <w:gridCol w:w="2670"/>
        <w:gridCol w:w="2670"/>
      </w:tblGrid>
      <w:tr w:rsidR="00781A60" w:rsidRPr="003410C7" w:rsidTr="002A6416">
        <w:tc>
          <w:tcPr>
            <w:tcW w:w="2680" w:type="dxa"/>
            <w:tcBorders>
              <w:top w:val="single" w:sz="8" w:space="0" w:color="000000"/>
              <w:left w:val="single" w:sz="8" w:space="0" w:color="000000"/>
              <w:bottom w:val="single" w:sz="8" w:space="0" w:color="000000"/>
              <w:right w:val="single" w:sz="8" w:space="0" w:color="000000"/>
            </w:tcBorders>
            <w:shd w:val="clear" w:color="auto" w:fill="FABF8F"/>
            <w:tcMar>
              <w:top w:w="0" w:type="dxa"/>
              <w:left w:w="108" w:type="dxa"/>
              <w:bottom w:w="0" w:type="dxa"/>
              <w:right w:w="108" w:type="dxa"/>
            </w:tcMar>
          </w:tcPr>
          <w:p w:rsidR="00781A60" w:rsidRPr="003410C7" w:rsidRDefault="00781A60" w:rsidP="007E466C">
            <w:pPr>
              <w:keepNext/>
              <w:jc w:val="center"/>
              <w:rPr>
                <w:rFonts w:cs="Tahoma"/>
                <w:b/>
                <w:bCs/>
                <w:szCs w:val="20"/>
              </w:rPr>
            </w:pPr>
            <w:r w:rsidRPr="003410C7">
              <w:rPr>
                <w:rFonts w:cs="Tahoma"/>
                <w:b/>
                <w:bCs/>
                <w:szCs w:val="20"/>
              </w:rPr>
              <w:lastRenderedPageBreak/>
              <w:t>Americhe</w:t>
            </w:r>
          </w:p>
        </w:tc>
        <w:tc>
          <w:tcPr>
            <w:tcW w:w="2670" w:type="dxa"/>
            <w:tcBorders>
              <w:top w:val="single" w:sz="8" w:space="0" w:color="000000"/>
              <w:left w:val="nil"/>
              <w:bottom w:val="single" w:sz="8" w:space="0" w:color="000000"/>
              <w:right w:val="single" w:sz="4" w:space="0" w:color="auto"/>
            </w:tcBorders>
            <w:shd w:val="clear" w:color="auto" w:fill="FABF8F"/>
          </w:tcPr>
          <w:p w:rsidR="00781A60" w:rsidRPr="003410C7" w:rsidRDefault="00781A60" w:rsidP="007E466C">
            <w:pPr>
              <w:keepNext/>
              <w:jc w:val="center"/>
              <w:rPr>
                <w:rFonts w:cs="Tahoma"/>
                <w:b/>
                <w:bCs/>
                <w:szCs w:val="20"/>
              </w:rPr>
            </w:pPr>
            <w:r w:rsidRPr="003410C7">
              <w:rPr>
                <w:rFonts w:cs="Tahoma"/>
                <w:b/>
                <w:bCs/>
                <w:szCs w:val="20"/>
              </w:rPr>
              <w:t>Europa</w:t>
            </w:r>
          </w:p>
        </w:tc>
        <w:tc>
          <w:tcPr>
            <w:tcW w:w="2670" w:type="dxa"/>
            <w:tcBorders>
              <w:top w:val="single" w:sz="8" w:space="0" w:color="000000"/>
              <w:left w:val="single" w:sz="4" w:space="0" w:color="auto"/>
              <w:bottom w:val="single" w:sz="8" w:space="0" w:color="000000"/>
              <w:right w:val="single" w:sz="8" w:space="0" w:color="auto"/>
            </w:tcBorders>
            <w:shd w:val="clear" w:color="auto" w:fill="FABF8F"/>
          </w:tcPr>
          <w:p w:rsidR="00781A60" w:rsidRPr="003410C7" w:rsidRDefault="00781A60" w:rsidP="007E466C">
            <w:pPr>
              <w:keepNext/>
              <w:jc w:val="center"/>
              <w:rPr>
                <w:rFonts w:cs="Tahoma"/>
                <w:b/>
                <w:bCs/>
                <w:szCs w:val="20"/>
              </w:rPr>
            </w:pPr>
            <w:r w:rsidRPr="003410C7">
              <w:rPr>
                <w:rFonts w:cs="Tahoma"/>
                <w:b/>
                <w:bCs/>
                <w:szCs w:val="20"/>
              </w:rPr>
              <w:t>Asia, Area del Pacifico</w:t>
            </w:r>
          </w:p>
        </w:tc>
      </w:tr>
      <w:tr w:rsidR="00781A60" w:rsidRPr="003410C7" w:rsidTr="002A6416">
        <w:tc>
          <w:tcPr>
            <w:tcW w:w="2680" w:type="dxa"/>
            <w:tcBorders>
              <w:top w:val="nil"/>
              <w:left w:val="single" w:sz="8" w:space="0" w:color="000000"/>
              <w:bottom w:val="single" w:sz="4" w:space="0" w:color="000000"/>
              <w:right w:val="single" w:sz="8" w:space="0" w:color="000000"/>
            </w:tcBorders>
            <w:tcMar>
              <w:top w:w="0" w:type="dxa"/>
              <w:left w:w="108" w:type="dxa"/>
              <w:bottom w:w="0" w:type="dxa"/>
              <w:right w:w="108" w:type="dxa"/>
            </w:tcMar>
          </w:tcPr>
          <w:p w:rsidR="00781A60" w:rsidRPr="003410C7" w:rsidRDefault="00781A60" w:rsidP="007E466C">
            <w:pPr>
              <w:keepNext/>
              <w:jc w:val="center"/>
              <w:rPr>
                <w:rFonts w:cs="Tahoma"/>
                <w:color w:val="000000"/>
                <w:szCs w:val="20"/>
              </w:rPr>
            </w:pPr>
            <w:r w:rsidRPr="003410C7">
              <w:rPr>
                <w:rFonts w:cs="Arial"/>
              </w:rPr>
              <w:t>Brasile</w:t>
            </w:r>
          </w:p>
        </w:tc>
        <w:tc>
          <w:tcPr>
            <w:tcW w:w="2670" w:type="dxa"/>
            <w:tcBorders>
              <w:top w:val="nil"/>
              <w:left w:val="nil"/>
              <w:bottom w:val="single" w:sz="4" w:space="0" w:color="000000"/>
              <w:right w:val="single" w:sz="4" w:space="0" w:color="auto"/>
            </w:tcBorders>
          </w:tcPr>
          <w:p w:rsidR="00781A60" w:rsidRPr="003410C7" w:rsidRDefault="00781A60" w:rsidP="007E466C">
            <w:pPr>
              <w:pStyle w:val="ColorfulList-Accent11"/>
              <w:keepNext/>
              <w:spacing w:line="276" w:lineRule="auto"/>
              <w:ind w:left="0"/>
              <w:jc w:val="center"/>
              <w:rPr>
                <w:rFonts w:ascii="Tahoma" w:hAnsi="Tahoma" w:cs="Tahoma"/>
                <w:color w:val="000000"/>
                <w:sz w:val="18"/>
                <w:szCs w:val="18"/>
              </w:rPr>
            </w:pPr>
            <w:r w:rsidRPr="003410C7">
              <w:rPr>
                <w:rFonts w:ascii="Tahoma" w:hAnsi="Tahoma" w:cs="Tahoma"/>
                <w:sz w:val="18"/>
                <w:szCs w:val="18"/>
              </w:rPr>
              <w:t>Austria</w:t>
            </w:r>
          </w:p>
        </w:tc>
        <w:tc>
          <w:tcPr>
            <w:tcW w:w="2670" w:type="dxa"/>
            <w:tcBorders>
              <w:top w:val="nil"/>
              <w:left w:val="single" w:sz="4" w:space="0" w:color="auto"/>
              <w:bottom w:val="single" w:sz="4" w:space="0" w:color="000000"/>
              <w:right w:val="single" w:sz="8" w:space="0" w:color="000000"/>
            </w:tcBorders>
          </w:tcPr>
          <w:p w:rsidR="00781A60" w:rsidRPr="003410C7" w:rsidRDefault="00781A60" w:rsidP="007E466C">
            <w:pPr>
              <w:pStyle w:val="ColorfulList-Accent11"/>
              <w:keepNext/>
              <w:spacing w:line="276" w:lineRule="auto"/>
              <w:ind w:left="0"/>
              <w:jc w:val="center"/>
              <w:rPr>
                <w:rFonts w:ascii="Tahoma" w:hAnsi="Tahoma" w:cs="Tahoma"/>
                <w:color w:val="000000"/>
                <w:sz w:val="18"/>
                <w:szCs w:val="18"/>
              </w:rPr>
            </w:pPr>
            <w:r w:rsidRPr="003410C7">
              <w:rPr>
                <w:rFonts w:ascii="Tahoma" w:hAnsi="Tahoma" w:cs="Tahoma"/>
                <w:sz w:val="18"/>
                <w:szCs w:val="18"/>
              </w:rPr>
              <w:t>Australia</w:t>
            </w:r>
          </w:p>
        </w:tc>
      </w:tr>
      <w:tr w:rsidR="00781A60" w:rsidRPr="003410C7" w:rsidTr="002A6416">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rsidR="00781A60" w:rsidRPr="003410C7" w:rsidRDefault="00781A60" w:rsidP="007E466C">
            <w:pPr>
              <w:keepNext/>
              <w:jc w:val="center"/>
              <w:rPr>
                <w:rFonts w:cs="Tahoma"/>
                <w:color w:val="000000"/>
                <w:szCs w:val="20"/>
              </w:rPr>
            </w:pPr>
            <w:r w:rsidRPr="003410C7">
              <w:rPr>
                <w:rFonts w:cs="Arial"/>
              </w:rPr>
              <w:t>Canada</w:t>
            </w:r>
          </w:p>
        </w:tc>
        <w:tc>
          <w:tcPr>
            <w:tcW w:w="2670" w:type="dxa"/>
            <w:tcBorders>
              <w:top w:val="single" w:sz="4" w:space="0" w:color="000000"/>
              <w:left w:val="nil"/>
              <w:bottom w:val="single" w:sz="4" w:space="0" w:color="000000"/>
              <w:right w:val="single" w:sz="4" w:space="0" w:color="auto"/>
            </w:tcBorders>
          </w:tcPr>
          <w:p w:rsidR="00781A60" w:rsidRPr="003410C7" w:rsidRDefault="00781A60" w:rsidP="007E466C">
            <w:pPr>
              <w:pStyle w:val="ColorfulList-Accent11"/>
              <w:keepNext/>
              <w:spacing w:line="276" w:lineRule="auto"/>
              <w:ind w:left="0"/>
              <w:jc w:val="center"/>
              <w:rPr>
                <w:rFonts w:ascii="Tahoma" w:hAnsi="Tahoma" w:cs="Tahoma"/>
                <w:color w:val="000000"/>
                <w:sz w:val="18"/>
                <w:szCs w:val="18"/>
              </w:rPr>
            </w:pPr>
            <w:r w:rsidRPr="003410C7">
              <w:rPr>
                <w:rFonts w:ascii="Tahoma" w:hAnsi="Tahoma" w:cs="Tahoma"/>
                <w:sz w:val="18"/>
                <w:szCs w:val="18"/>
              </w:rPr>
              <w:t>Belgio</w:t>
            </w:r>
          </w:p>
        </w:tc>
        <w:tc>
          <w:tcPr>
            <w:tcW w:w="2670" w:type="dxa"/>
            <w:tcBorders>
              <w:top w:val="single" w:sz="4" w:space="0" w:color="000000"/>
              <w:left w:val="single" w:sz="4" w:space="0" w:color="auto"/>
              <w:bottom w:val="single" w:sz="4" w:space="0" w:color="000000"/>
              <w:right w:val="single" w:sz="4" w:space="0" w:color="000000"/>
            </w:tcBorders>
          </w:tcPr>
          <w:p w:rsidR="00781A60" w:rsidRPr="003410C7" w:rsidRDefault="00781A60" w:rsidP="007E466C">
            <w:pPr>
              <w:pStyle w:val="ColorfulList-Accent11"/>
              <w:keepNext/>
              <w:spacing w:line="276" w:lineRule="auto"/>
              <w:ind w:left="0"/>
              <w:jc w:val="center"/>
              <w:rPr>
                <w:rFonts w:ascii="Tahoma" w:hAnsi="Tahoma" w:cs="Tahoma"/>
                <w:color w:val="000000"/>
                <w:sz w:val="18"/>
                <w:szCs w:val="18"/>
              </w:rPr>
            </w:pPr>
            <w:r w:rsidRPr="003410C7">
              <w:rPr>
                <w:rFonts w:ascii="Tahoma" w:hAnsi="Tahoma" w:cs="Tahoma"/>
                <w:sz w:val="18"/>
                <w:szCs w:val="18"/>
              </w:rPr>
              <w:t>Hong Kong</w:t>
            </w:r>
          </w:p>
        </w:tc>
      </w:tr>
      <w:tr w:rsidR="00781A60" w:rsidRPr="003410C7" w:rsidTr="002A6416">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rsidR="00781A60" w:rsidRPr="003410C7" w:rsidRDefault="00781A60" w:rsidP="007E466C">
            <w:pPr>
              <w:keepNext/>
              <w:jc w:val="center"/>
              <w:rPr>
                <w:rFonts w:cs="Tahoma"/>
                <w:color w:val="000000"/>
                <w:szCs w:val="20"/>
              </w:rPr>
            </w:pPr>
            <w:r w:rsidRPr="003410C7">
              <w:rPr>
                <w:rFonts w:cs="Arial"/>
              </w:rPr>
              <w:t>Colombia</w:t>
            </w:r>
          </w:p>
        </w:tc>
        <w:tc>
          <w:tcPr>
            <w:tcW w:w="2670" w:type="dxa"/>
            <w:tcBorders>
              <w:top w:val="single" w:sz="4" w:space="0" w:color="000000"/>
              <w:left w:val="nil"/>
              <w:bottom w:val="single" w:sz="4" w:space="0" w:color="000000"/>
              <w:right w:val="single" w:sz="4" w:space="0" w:color="auto"/>
            </w:tcBorders>
          </w:tcPr>
          <w:p w:rsidR="00781A60" w:rsidRPr="003410C7" w:rsidRDefault="00781A60" w:rsidP="007E466C">
            <w:pPr>
              <w:pStyle w:val="ColorfulList-Accent11"/>
              <w:keepNext/>
              <w:spacing w:line="276" w:lineRule="auto"/>
              <w:ind w:left="0"/>
              <w:jc w:val="center"/>
              <w:rPr>
                <w:rFonts w:ascii="Tahoma" w:hAnsi="Tahoma" w:cs="Tahoma"/>
                <w:color w:val="000000"/>
                <w:sz w:val="18"/>
                <w:szCs w:val="18"/>
              </w:rPr>
            </w:pPr>
            <w:r w:rsidRPr="003410C7">
              <w:rPr>
                <w:rFonts w:ascii="Tahoma" w:hAnsi="Tahoma" w:cs="Tahoma"/>
                <w:sz w:val="18"/>
                <w:szCs w:val="18"/>
              </w:rPr>
              <w:t>Cipro</w:t>
            </w:r>
          </w:p>
        </w:tc>
        <w:tc>
          <w:tcPr>
            <w:tcW w:w="2670" w:type="dxa"/>
            <w:tcBorders>
              <w:top w:val="single" w:sz="4" w:space="0" w:color="000000"/>
              <w:left w:val="single" w:sz="4" w:space="0" w:color="auto"/>
              <w:bottom w:val="single" w:sz="4" w:space="0" w:color="000000"/>
              <w:right w:val="single" w:sz="4" w:space="0" w:color="000000"/>
            </w:tcBorders>
          </w:tcPr>
          <w:p w:rsidR="00781A60" w:rsidRPr="003410C7" w:rsidRDefault="00781A60" w:rsidP="007E466C">
            <w:pPr>
              <w:pStyle w:val="ColorfulList-Accent11"/>
              <w:keepNext/>
              <w:spacing w:line="276" w:lineRule="auto"/>
              <w:ind w:left="0"/>
              <w:jc w:val="center"/>
              <w:rPr>
                <w:rFonts w:ascii="Tahoma" w:hAnsi="Tahoma" w:cs="Tahoma"/>
                <w:color w:val="000000"/>
                <w:sz w:val="18"/>
                <w:szCs w:val="18"/>
              </w:rPr>
            </w:pPr>
            <w:r w:rsidRPr="003410C7">
              <w:rPr>
                <w:rFonts w:ascii="Tahoma" w:hAnsi="Tahoma" w:cs="Tahoma"/>
                <w:sz w:val="18"/>
                <w:szCs w:val="18"/>
              </w:rPr>
              <w:t>India</w:t>
            </w:r>
          </w:p>
        </w:tc>
      </w:tr>
      <w:tr w:rsidR="00781A60" w:rsidRPr="003410C7" w:rsidTr="002A6416">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rsidR="00781A60" w:rsidRPr="003410C7" w:rsidRDefault="00781A60" w:rsidP="007E466C">
            <w:pPr>
              <w:keepNext/>
              <w:jc w:val="center"/>
              <w:rPr>
                <w:rFonts w:cs="Arial"/>
              </w:rPr>
            </w:pPr>
            <w:r w:rsidRPr="003410C7">
              <w:rPr>
                <w:rFonts w:cs="Arial"/>
              </w:rPr>
              <w:t>Costa Rica</w:t>
            </w:r>
          </w:p>
        </w:tc>
        <w:tc>
          <w:tcPr>
            <w:tcW w:w="2670" w:type="dxa"/>
            <w:tcBorders>
              <w:top w:val="single" w:sz="4" w:space="0" w:color="000000"/>
              <w:left w:val="nil"/>
              <w:bottom w:val="single" w:sz="4" w:space="0" w:color="000000"/>
              <w:right w:val="single" w:sz="4" w:space="0" w:color="auto"/>
            </w:tcBorders>
          </w:tcPr>
          <w:p w:rsidR="00781A60" w:rsidRPr="003410C7" w:rsidRDefault="00781A60" w:rsidP="007E466C">
            <w:pPr>
              <w:pStyle w:val="ColorfulList-Accent11"/>
              <w:keepNext/>
              <w:spacing w:line="276" w:lineRule="auto"/>
              <w:ind w:left="0"/>
              <w:jc w:val="center"/>
              <w:rPr>
                <w:rFonts w:ascii="Tahoma" w:hAnsi="Tahoma" w:cs="Tahoma"/>
                <w:color w:val="000000"/>
                <w:sz w:val="18"/>
                <w:szCs w:val="18"/>
              </w:rPr>
            </w:pPr>
            <w:r w:rsidRPr="003410C7">
              <w:rPr>
                <w:rFonts w:ascii="Tahoma" w:hAnsi="Tahoma" w:cs="Tahoma"/>
                <w:sz w:val="18"/>
                <w:szCs w:val="18"/>
              </w:rPr>
              <w:t>Repubblica Ceca</w:t>
            </w:r>
          </w:p>
        </w:tc>
        <w:tc>
          <w:tcPr>
            <w:tcW w:w="2670" w:type="dxa"/>
            <w:tcBorders>
              <w:top w:val="single" w:sz="4" w:space="0" w:color="000000"/>
              <w:left w:val="single" w:sz="4" w:space="0" w:color="auto"/>
              <w:bottom w:val="single" w:sz="4" w:space="0" w:color="000000"/>
              <w:right w:val="single" w:sz="4" w:space="0" w:color="000000"/>
            </w:tcBorders>
          </w:tcPr>
          <w:p w:rsidR="00781A60" w:rsidRPr="003410C7" w:rsidRDefault="00781A60" w:rsidP="007E466C">
            <w:pPr>
              <w:pStyle w:val="ColorfulList-Accent11"/>
              <w:keepNext/>
              <w:spacing w:line="276" w:lineRule="auto"/>
              <w:ind w:left="0"/>
              <w:jc w:val="center"/>
              <w:rPr>
                <w:rFonts w:ascii="Tahoma" w:hAnsi="Tahoma" w:cs="Tahoma"/>
                <w:color w:val="000000"/>
                <w:sz w:val="18"/>
                <w:szCs w:val="18"/>
              </w:rPr>
            </w:pPr>
            <w:r w:rsidRPr="003410C7">
              <w:rPr>
                <w:rFonts w:ascii="Tahoma" w:hAnsi="Tahoma" w:cs="Tahoma"/>
                <w:sz w:val="18"/>
                <w:szCs w:val="18"/>
              </w:rPr>
              <w:t>Giappone</w:t>
            </w:r>
          </w:p>
        </w:tc>
      </w:tr>
      <w:tr w:rsidR="00B40674" w:rsidRPr="003410C7" w:rsidTr="002A6416">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rsidR="00B40674" w:rsidRPr="003410C7" w:rsidRDefault="00B40674" w:rsidP="007E466C">
            <w:pPr>
              <w:keepNext/>
              <w:jc w:val="center"/>
              <w:rPr>
                <w:rFonts w:cs="Arial"/>
              </w:rPr>
            </w:pPr>
            <w:r w:rsidRPr="003410C7">
              <w:rPr>
                <w:rFonts w:cs="Arial"/>
              </w:rPr>
              <w:t>Cile</w:t>
            </w:r>
          </w:p>
        </w:tc>
        <w:tc>
          <w:tcPr>
            <w:tcW w:w="2670" w:type="dxa"/>
            <w:tcBorders>
              <w:top w:val="single" w:sz="4" w:space="0" w:color="000000"/>
              <w:left w:val="nil"/>
              <w:bottom w:val="single" w:sz="4" w:space="0" w:color="000000"/>
              <w:right w:val="single" w:sz="4" w:space="0" w:color="auto"/>
            </w:tcBorders>
          </w:tcPr>
          <w:p w:rsidR="00B40674" w:rsidRPr="003410C7" w:rsidRDefault="00B40674" w:rsidP="007E466C">
            <w:pPr>
              <w:pStyle w:val="ColorfulList-Accent11"/>
              <w:keepNext/>
              <w:spacing w:line="276" w:lineRule="auto"/>
              <w:ind w:left="0"/>
              <w:jc w:val="center"/>
              <w:rPr>
                <w:rFonts w:ascii="Tahoma" w:hAnsi="Tahoma" w:cs="Tahoma"/>
                <w:color w:val="000000"/>
                <w:sz w:val="18"/>
                <w:szCs w:val="18"/>
              </w:rPr>
            </w:pPr>
            <w:r w:rsidRPr="003410C7">
              <w:rPr>
                <w:rFonts w:ascii="Tahoma" w:hAnsi="Tahoma" w:cs="Tahoma"/>
                <w:sz w:val="18"/>
                <w:szCs w:val="18"/>
              </w:rPr>
              <w:t>Danimarca</w:t>
            </w:r>
          </w:p>
        </w:tc>
        <w:tc>
          <w:tcPr>
            <w:tcW w:w="2670" w:type="dxa"/>
            <w:tcBorders>
              <w:top w:val="single" w:sz="4" w:space="0" w:color="000000"/>
              <w:left w:val="single" w:sz="4" w:space="0" w:color="auto"/>
              <w:bottom w:val="single" w:sz="4" w:space="0" w:color="000000"/>
              <w:right w:val="single" w:sz="4" w:space="0" w:color="000000"/>
            </w:tcBorders>
          </w:tcPr>
          <w:p w:rsidR="00B40674" w:rsidRPr="003410C7" w:rsidRDefault="00B40674" w:rsidP="007E466C">
            <w:pPr>
              <w:pStyle w:val="ColorfulList-Accent11"/>
              <w:keepNext/>
              <w:spacing w:line="276" w:lineRule="auto"/>
              <w:ind w:left="0"/>
              <w:jc w:val="center"/>
              <w:rPr>
                <w:rFonts w:ascii="Tahoma" w:hAnsi="Tahoma" w:cs="Tahoma"/>
                <w:color w:val="000000"/>
                <w:sz w:val="18"/>
                <w:szCs w:val="18"/>
              </w:rPr>
            </w:pPr>
            <w:r w:rsidRPr="003410C7">
              <w:rPr>
                <w:rFonts w:ascii="Tahoma" w:hAnsi="Tahoma" w:cs="Tahoma"/>
                <w:sz w:val="18"/>
                <w:szCs w:val="18"/>
              </w:rPr>
              <w:t>Corea</w:t>
            </w:r>
          </w:p>
        </w:tc>
      </w:tr>
      <w:tr w:rsidR="00B40674" w:rsidRPr="003410C7" w:rsidTr="002A6416">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rsidR="00B40674" w:rsidRPr="003410C7" w:rsidRDefault="00B40674" w:rsidP="007E466C">
            <w:pPr>
              <w:keepNext/>
              <w:jc w:val="center"/>
              <w:rPr>
                <w:rFonts w:cs="Arial"/>
              </w:rPr>
            </w:pPr>
            <w:r w:rsidRPr="003410C7">
              <w:rPr>
                <w:rFonts w:cs="Arial"/>
              </w:rPr>
              <w:t>Messico</w:t>
            </w:r>
          </w:p>
        </w:tc>
        <w:tc>
          <w:tcPr>
            <w:tcW w:w="2670" w:type="dxa"/>
            <w:tcBorders>
              <w:top w:val="single" w:sz="4" w:space="0" w:color="000000"/>
              <w:left w:val="nil"/>
              <w:bottom w:val="single" w:sz="4" w:space="0" w:color="000000"/>
              <w:right w:val="single" w:sz="4" w:space="0" w:color="auto"/>
            </w:tcBorders>
          </w:tcPr>
          <w:p w:rsidR="00B40674" w:rsidRPr="003410C7" w:rsidRDefault="00B40674" w:rsidP="007E466C">
            <w:pPr>
              <w:pStyle w:val="ColorfulList-Accent11"/>
              <w:keepNext/>
              <w:spacing w:line="276" w:lineRule="auto"/>
              <w:ind w:left="0"/>
              <w:jc w:val="center"/>
              <w:rPr>
                <w:rFonts w:ascii="Tahoma" w:hAnsi="Tahoma" w:cs="Tahoma"/>
                <w:color w:val="000000"/>
                <w:sz w:val="18"/>
                <w:szCs w:val="18"/>
              </w:rPr>
            </w:pPr>
            <w:r w:rsidRPr="003410C7">
              <w:rPr>
                <w:rFonts w:ascii="Tahoma" w:hAnsi="Tahoma" w:cs="Tahoma"/>
                <w:sz w:val="18"/>
                <w:szCs w:val="18"/>
              </w:rPr>
              <w:t>Finlandia</w:t>
            </w:r>
          </w:p>
        </w:tc>
        <w:tc>
          <w:tcPr>
            <w:tcW w:w="2670" w:type="dxa"/>
            <w:tcBorders>
              <w:top w:val="single" w:sz="4" w:space="0" w:color="000000"/>
              <w:left w:val="single" w:sz="4" w:space="0" w:color="auto"/>
              <w:bottom w:val="single" w:sz="4" w:space="0" w:color="000000"/>
              <w:right w:val="single" w:sz="4" w:space="0" w:color="000000"/>
            </w:tcBorders>
          </w:tcPr>
          <w:p w:rsidR="00B40674" w:rsidRPr="003410C7" w:rsidRDefault="00B40674" w:rsidP="007E466C">
            <w:pPr>
              <w:pStyle w:val="ColorfulList-Accent11"/>
              <w:keepNext/>
              <w:spacing w:line="276" w:lineRule="auto"/>
              <w:ind w:left="0"/>
              <w:jc w:val="center"/>
              <w:rPr>
                <w:rFonts w:ascii="Tahoma" w:hAnsi="Tahoma" w:cs="Tahoma"/>
                <w:color w:val="000000"/>
                <w:sz w:val="18"/>
                <w:szCs w:val="18"/>
              </w:rPr>
            </w:pPr>
            <w:r w:rsidRPr="003410C7">
              <w:rPr>
                <w:rFonts w:ascii="Tahoma" w:hAnsi="Tahoma" w:cs="Tahoma"/>
                <w:sz w:val="18"/>
                <w:szCs w:val="18"/>
              </w:rPr>
              <w:t>Malaysia</w:t>
            </w:r>
          </w:p>
        </w:tc>
      </w:tr>
      <w:tr w:rsidR="00B40674" w:rsidRPr="003410C7" w:rsidTr="002A6416">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rsidR="00B40674" w:rsidRPr="003410C7" w:rsidRDefault="00B40674" w:rsidP="007E466C">
            <w:pPr>
              <w:keepNext/>
              <w:jc w:val="center"/>
              <w:rPr>
                <w:rFonts w:cs="Arial"/>
              </w:rPr>
            </w:pPr>
            <w:r w:rsidRPr="003410C7">
              <w:rPr>
                <w:rFonts w:cs="Arial"/>
              </w:rPr>
              <w:t>Perù</w:t>
            </w:r>
          </w:p>
        </w:tc>
        <w:tc>
          <w:tcPr>
            <w:tcW w:w="2670" w:type="dxa"/>
            <w:tcBorders>
              <w:top w:val="single" w:sz="4" w:space="0" w:color="000000"/>
              <w:left w:val="nil"/>
              <w:bottom w:val="single" w:sz="4" w:space="0" w:color="000000"/>
              <w:right w:val="single" w:sz="4" w:space="0" w:color="auto"/>
            </w:tcBorders>
          </w:tcPr>
          <w:p w:rsidR="00B40674" w:rsidRPr="003410C7" w:rsidRDefault="00B40674" w:rsidP="007E466C">
            <w:pPr>
              <w:pStyle w:val="ColorfulList-Accent11"/>
              <w:keepNext/>
              <w:spacing w:line="276" w:lineRule="auto"/>
              <w:ind w:left="0"/>
              <w:jc w:val="center"/>
              <w:rPr>
                <w:rFonts w:ascii="Tahoma" w:hAnsi="Tahoma" w:cs="Tahoma"/>
                <w:color w:val="000000"/>
                <w:sz w:val="18"/>
                <w:szCs w:val="18"/>
              </w:rPr>
            </w:pPr>
            <w:r w:rsidRPr="003410C7">
              <w:rPr>
                <w:rFonts w:ascii="Tahoma" w:hAnsi="Tahoma" w:cs="Tahoma"/>
                <w:sz w:val="18"/>
                <w:szCs w:val="18"/>
              </w:rPr>
              <w:t>Francia</w:t>
            </w:r>
          </w:p>
        </w:tc>
        <w:tc>
          <w:tcPr>
            <w:tcW w:w="2670" w:type="dxa"/>
            <w:tcBorders>
              <w:top w:val="single" w:sz="4" w:space="0" w:color="000000"/>
              <w:left w:val="single" w:sz="4" w:space="0" w:color="auto"/>
              <w:bottom w:val="single" w:sz="4" w:space="0" w:color="000000"/>
              <w:right w:val="single" w:sz="4" w:space="0" w:color="000000"/>
            </w:tcBorders>
          </w:tcPr>
          <w:p w:rsidR="00B40674" w:rsidRPr="003410C7" w:rsidRDefault="00B40674" w:rsidP="007E466C">
            <w:pPr>
              <w:pStyle w:val="ColorfulList-Accent11"/>
              <w:keepNext/>
              <w:spacing w:line="276" w:lineRule="auto"/>
              <w:ind w:left="0"/>
              <w:jc w:val="center"/>
              <w:rPr>
                <w:rFonts w:ascii="Tahoma" w:hAnsi="Tahoma" w:cs="Tahoma"/>
                <w:color w:val="000000"/>
                <w:sz w:val="18"/>
                <w:szCs w:val="18"/>
              </w:rPr>
            </w:pPr>
            <w:r w:rsidRPr="003410C7">
              <w:rPr>
                <w:rFonts w:ascii="Tahoma" w:hAnsi="Tahoma" w:cs="Tahoma"/>
                <w:sz w:val="18"/>
                <w:szCs w:val="18"/>
              </w:rPr>
              <w:t>Nuova Zelanda</w:t>
            </w:r>
          </w:p>
        </w:tc>
      </w:tr>
      <w:tr w:rsidR="00B40674" w:rsidRPr="003410C7" w:rsidTr="002A6416">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rsidR="00B40674" w:rsidRPr="003410C7" w:rsidRDefault="00B40674" w:rsidP="007E466C">
            <w:pPr>
              <w:keepNext/>
              <w:jc w:val="center"/>
              <w:rPr>
                <w:rFonts w:cs="Arial"/>
              </w:rPr>
            </w:pPr>
            <w:r w:rsidRPr="003410C7">
              <w:rPr>
                <w:rFonts w:cs="Arial"/>
              </w:rPr>
              <w:t>Portorico</w:t>
            </w:r>
          </w:p>
        </w:tc>
        <w:tc>
          <w:tcPr>
            <w:tcW w:w="2670" w:type="dxa"/>
            <w:tcBorders>
              <w:top w:val="single" w:sz="4" w:space="0" w:color="000000"/>
              <w:left w:val="nil"/>
              <w:bottom w:val="single" w:sz="4" w:space="0" w:color="000000"/>
              <w:right w:val="single" w:sz="4" w:space="0" w:color="auto"/>
            </w:tcBorders>
          </w:tcPr>
          <w:p w:rsidR="00B40674" w:rsidRPr="003410C7" w:rsidRDefault="00B40674" w:rsidP="007E466C">
            <w:pPr>
              <w:pStyle w:val="ColorfulList-Accent11"/>
              <w:keepNext/>
              <w:spacing w:line="276" w:lineRule="auto"/>
              <w:ind w:left="0"/>
              <w:jc w:val="center"/>
              <w:rPr>
                <w:rFonts w:ascii="Tahoma" w:hAnsi="Tahoma" w:cs="Tahoma"/>
                <w:color w:val="000000"/>
                <w:sz w:val="18"/>
                <w:szCs w:val="18"/>
              </w:rPr>
            </w:pPr>
            <w:r w:rsidRPr="003410C7">
              <w:rPr>
                <w:rFonts w:ascii="Tahoma" w:hAnsi="Tahoma" w:cs="Tahoma"/>
                <w:sz w:val="18"/>
                <w:szCs w:val="18"/>
              </w:rPr>
              <w:t>Germania</w:t>
            </w:r>
          </w:p>
        </w:tc>
        <w:tc>
          <w:tcPr>
            <w:tcW w:w="2670" w:type="dxa"/>
            <w:tcBorders>
              <w:top w:val="single" w:sz="4" w:space="0" w:color="000000"/>
              <w:left w:val="single" w:sz="4" w:space="0" w:color="auto"/>
              <w:bottom w:val="single" w:sz="4" w:space="0" w:color="000000"/>
              <w:right w:val="single" w:sz="4" w:space="0" w:color="000000"/>
            </w:tcBorders>
          </w:tcPr>
          <w:p w:rsidR="00B40674" w:rsidRPr="003410C7" w:rsidRDefault="00B40674" w:rsidP="007E466C">
            <w:pPr>
              <w:pStyle w:val="ColorfulList-Accent11"/>
              <w:keepNext/>
              <w:spacing w:line="276" w:lineRule="auto"/>
              <w:ind w:left="540"/>
              <w:jc w:val="center"/>
              <w:rPr>
                <w:rFonts w:ascii="Tahoma" w:hAnsi="Tahoma" w:cs="Tahoma"/>
                <w:color w:val="000000"/>
                <w:sz w:val="18"/>
                <w:szCs w:val="20"/>
              </w:rPr>
            </w:pPr>
            <w:r w:rsidRPr="003410C7">
              <w:rPr>
                <w:rFonts w:ascii="Tahoma" w:hAnsi="Tahoma" w:cs="Tahoma"/>
                <w:color w:val="000000"/>
                <w:sz w:val="18"/>
                <w:szCs w:val="20"/>
              </w:rPr>
              <w:t>Singapore</w:t>
            </w:r>
          </w:p>
        </w:tc>
      </w:tr>
      <w:tr w:rsidR="00781A60" w:rsidRPr="003410C7" w:rsidTr="002A6416">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rsidR="00781A60" w:rsidRPr="003410C7" w:rsidRDefault="00781A60" w:rsidP="007E466C">
            <w:pPr>
              <w:keepNext/>
              <w:jc w:val="center"/>
              <w:rPr>
                <w:rFonts w:cs="Arial"/>
              </w:rPr>
            </w:pPr>
            <w:r w:rsidRPr="003410C7">
              <w:rPr>
                <w:rFonts w:cs="Arial"/>
              </w:rPr>
              <w:t>Trinidad e Tobago</w:t>
            </w:r>
          </w:p>
        </w:tc>
        <w:tc>
          <w:tcPr>
            <w:tcW w:w="2670" w:type="dxa"/>
            <w:tcBorders>
              <w:top w:val="single" w:sz="4" w:space="0" w:color="000000"/>
              <w:left w:val="nil"/>
              <w:bottom w:val="single" w:sz="4" w:space="0" w:color="000000"/>
              <w:right w:val="single" w:sz="4" w:space="0" w:color="auto"/>
            </w:tcBorders>
          </w:tcPr>
          <w:p w:rsidR="00781A60" w:rsidRPr="003410C7" w:rsidRDefault="00781A60" w:rsidP="007E466C">
            <w:pPr>
              <w:pStyle w:val="ColorfulList-Accent11"/>
              <w:keepNext/>
              <w:spacing w:line="276" w:lineRule="auto"/>
              <w:ind w:left="0"/>
              <w:jc w:val="center"/>
              <w:rPr>
                <w:rFonts w:ascii="Tahoma" w:hAnsi="Tahoma" w:cs="Tahoma"/>
                <w:color w:val="000000"/>
                <w:sz w:val="18"/>
                <w:szCs w:val="18"/>
              </w:rPr>
            </w:pPr>
            <w:r w:rsidRPr="003410C7">
              <w:rPr>
                <w:rFonts w:ascii="Tahoma" w:hAnsi="Tahoma" w:cs="Tahoma"/>
                <w:sz w:val="18"/>
                <w:szCs w:val="18"/>
              </w:rPr>
              <w:t>Grecia</w:t>
            </w:r>
          </w:p>
        </w:tc>
        <w:tc>
          <w:tcPr>
            <w:tcW w:w="2670" w:type="dxa"/>
            <w:tcBorders>
              <w:top w:val="single" w:sz="4" w:space="0" w:color="000000"/>
              <w:left w:val="single" w:sz="4" w:space="0" w:color="auto"/>
              <w:bottom w:val="single" w:sz="4" w:space="0" w:color="000000"/>
              <w:right w:val="single" w:sz="4" w:space="0" w:color="000000"/>
            </w:tcBorders>
          </w:tcPr>
          <w:p w:rsidR="00781A60" w:rsidRPr="003410C7" w:rsidRDefault="00781A60" w:rsidP="007E466C">
            <w:pPr>
              <w:pStyle w:val="ColorfulList-Accent11"/>
              <w:keepNext/>
              <w:spacing w:line="276" w:lineRule="auto"/>
              <w:ind w:left="540"/>
              <w:jc w:val="center"/>
              <w:rPr>
                <w:rFonts w:ascii="Tahoma" w:hAnsi="Tahoma" w:cs="Tahoma"/>
                <w:color w:val="000000"/>
                <w:sz w:val="18"/>
                <w:szCs w:val="20"/>
              </w:rPr>
            </w:pPr>
          </w:p>
        </w:tc>
      </w:tr>
      <w:tr w:rsidR="00781A60" w:rsidRPr="003410C7" w:rsidTr="002A6416">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rsidR="00781A60" w:rsidRPr="003410C7" w:rsidRDefault="00781A60" w:rsidP="007E466C">
            <w:pPr>
              <w:keepNext/>
              <w:jc w:val="center"/>
              <w:rPr>
                <w:rFonts w:cs="Arial"/>
              </w:rPr>
            </w:pPr>
            <w:r w:rsidRPr="003410C7">
              <w:rPr>
                <w:rFonts w:cs="Arial"/>
              </w:rPr>
              <w:t>Stati Uniti</w:t>
            </w:r>
          </w:p>
        </w:tc>
        <w:tc>
          <w:tcPr>
            <w:tcW w:w="2670" w:type="dxa"/>
            <w:tcBorders>
              <w:top w:val="single" w:sz="4" w:space="0" w:color="000000"/>
              <w:left w:val="nil"/>
              <w:bottom w:val="single" w:sz="4" w:space="0" w:color="000000"/>
              <w:right w:val="single" w:sz="4" w:space="0" w:color="auto"/>
            </w:tcBorders>
          </w:tcPr>
          <w:p w:rsidR="00781A60" w:rsidRPr="003410C7" w:rsidRDefault="00781A60" w:rsidP="007E466C">
            <w:pPr>
              <w:pStyle w:val="ColorfulList-Accent11"/>
              <w:keepNext/>
              <w:spacing w:line="276" w:lineRule="auto"/>
              <w:ind w:left="0"/>
              <w:jc w:val="center"/>
              <w:rPr>
                <w:rFonts w:ascii="Tahoma" w:hAnsi="Tahoma" w:cs="Tahoma"/>
                <w:color w:val="000000"/>
                <w:sz w:val="18"/>
                <w:szCs w:val="18"/>
              </w:rPr>
            </w:pPr>
            <w:r w:rsidRPr="003410C7">
              <w:rPr>
                <w:rFonts w:ascii="Tahoma" w:hAnsi="Tahoma" w:cs="Tahoma"/>
                <w:sz w:val="18"/>
                <w:szCs w:val="18"/>
              </w:rPr>
              <w:t>Ungheria</w:t>
            </w:r>
          </w:p>
        </w:tc>
        <w:tc>
          <w:tcPr>
            <w:tcW w:w="2670" w:type="dxa"/>
            <w:tcBorders>
              <w:top w:val="single" w:sz="4" w:space="0" w:color="000000"/>
              <w:left w:val="single" w:sz="4" w:space="0" w:color="auto"/>
              <w:bottom w:val="single" w:sz="4" w:space="0" w:color="000000"/>
              <w:right w:val="single" w:sz="4" w:space="0" w:color="000000"/>
            </w:tcBorders>
          </w:tcPr>
          <w:p w:rsidR="00781A60" w:rsidRPr="003410C7" w:rsidRDefault="00781A60" w:rsidP="007E466C">
            <w:pPr>
              <w:pStyle w:val="ColorfulList-Accent11"/>
              <w:keepNext/>
              <w:spacing w:line="276" w:lineRule="auto"/>
              <w:ind w:left="540"/>
              <w:jc w:val="center"/>
              <w:rPr>
                <w:rFonts w:ascii="Tahoma" w:hAnsi="Tahoma" w:cs="Tahoma"/>
                <w:color w:val="000000"/>
                <w:sz w:val="18"/>
                <w:szCs w:val="20"/>
              </w:rPr>
            </w:pPr>
          </w:p>
        </w:tc>
      </w:tr>
      <w:tr w:rsidR="00781A60" w:rsidRPr="003410C7" w:rsidTr="002A6416">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rsidR="00781A60" w:rsidRPr="003410C7" w:rsidRDefault="00781A60" w:rsidP="007E466C">
            <w:pPr>
              <w:keepNext/>
              <w:ind w:left="540"/>
              <w:jc w:val="center"/>
              <w:rPr>
                <w:rFonts w:cs="Arial"/>
              </w:rPr>
            </w:pPr>
          </w:p>
        </w:tc>
        <w:tc>
          <w:tcPr>
            <w:tcW w:w="2670" w:type="dxa"/>
            <w:tcBorders>
              <w:top w:val="single" w:sz="4" w:space="0" w:color="000000"/>
              <w:left w:val="nil"/>
              <w:bottom w:val="single" w:sz="4" w:space="0" w:color="000000"/>
              <w:right w:val="single" w:sz="4" w:space="0" w:color="auto"/>
            </w:tcBorders>
          </w:tcPr>
          <w:p w:rsidR="00781A60" w:rsidRPr="003410C7" w:rsidRDefault="00781A60" w:rsidP="007E466C">
            <w:pPr>
              <w:pStyle w:val="ColorfulList-Accent11"/>
              <w:keepNext/>
              <w:spacing w:line="276" w:lineRule="auto"/>
              <w:ind w:left="0"/>
              <w:jc w:val="center"/>
              <w:rPr>
                <w:rFonts w:ascii="Tahoma" w:hAnsi="Tahoma" w:cs="Tahoma"/>
                <w:sz w:val="18"/>
                <w:szCs w:val="18"/>
              </w:rPr>
            </w:pPr>
            <w:r w:rsidRPr="003410C7">
              <w:rPr>
                <w:rFonts w:ascii="Tahoma" w:hAnsi="Tahoma" w:cs="Tahoma"/>
                <w:sz w:val="18"/>
                <w:szCs w:val="18"/>
              </w:rPr>
              <w:t>Irlanda</w:t>
            </w:r>
          </w:p>
        </w:tc>
        <w:tc>
          <w:tcPr>
            <w:tcW w:w="2670" w:type="dxa"/>
            <w:tcBorders>
              <w:top w:val="single" w:sz="4" w:space="0" w:color="000000"/>
              <w:left w:val="single" w:sz="4" w:space="0" w:color="auto"/>
              <w:bottom w:val="single" w:sz="4" w:space="0" w:color="000000"/>
              <w:right w:val="single" w:sz="4" w:space="0" w:color="000000"/>
            </w:tcBorders>
          </w:tcPr>
          <w:p w:rsidR="00781A60" w:rsidRPr="003410C7" w:rsidRDefault="00781A60" w:rsidP="007E466C">
            <w:pPr>
              <w:pStyle w:val="ColorfulList-Accent11"/>
              <w:keepNext/>
              <w:spacing w:line="276" w:lineRule="auto"/>
              <w:ind w:left="540"/>
              <w:jc w:val="center"/>
              <w:rPr>
                <w:rFonts w:ascii="Tahoma" w:hAnsi="Tahoma" w:cs="Tahoma"/>
                <w:color w:val="000000"/>
                <w:sz w:val="18"/>
                <w:szCs w:val="20"/>
              </w:rPr>
            </w:pPr>
          </w:p>
        </w:tc>
      </w:tr>
      <w:tr w:rsidR="00781A60" w:rsidRPr="003410C7" w:rsidTr="002A6416">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rsidR="00781A60" w:rsidRPr="003410C7" w:rsidRDefault="00781A60" w:rsidP="007E466C">
            <w:pPr>
              <w:keepNext/>
              <w:ind w:left="540"/>
              <w:jc w:val="center"/>
              <w:rPr>
                <w:rFonts w:cs="Arial"/>
              </w:rPr>
            </w:pPr>
          </w:p>
        </w:tc>
        <w:tc>
          <w:tcPr>
            <w:tcW w:w="2670" w:type="dxa"/>
            <w:tcBorders>
              <w:top w:val="single" w:sz="4" w:space="0" w:color="000000"/>
              <w:left w:val="nil"/>
              <w:bottom w:val="single" w:sz="4" w:space="0" w:color="000000"/>
              <w:right w:val="single" w:sz="4" w:space="0" w:color="auto"/>
            </w:tcBorders>
          </w:tcPr>
          <w:p w:rsidR="00781A60" w:rsidRPr="003410C7" w:rsidRDefault="00781A60" w:rsidP="007E466C">
            <w:pPr>
              <w:pStyle w:val="ColorfulList-Accent11"/>
              <w:keepNext/>
              <w:spacing w:line="276" w:lineRule="auto"/>
              <w:ind w:left="0"/>
              <w:jc w:val="center"/>
              <w:rPr>
                <w:rFonts w:ascii="Tahoma" w:hAnsi="Tahoma" w:cs="Tahoma"/>
                <w:sz w:val="18"/>
                <w:szCs w:val="18"/>
              </w:rPr>
            </w:pPr>
            <w:r w:rsidRPr="003410C7">
              <w:rPr>
                <w:rFonts w:ascii="Tahoma" w:hAnsi="Tahoma" w:cs="Tahoma"/>
                <w:sz w:val="18"/>
                <w:szCs w:val="18"/>
              </w:rPr>
              <w:t>Israele</w:t>
            </w:r>
          </w:p>
        </w:tc>
        <w:tc>
          <w:tcPr>
            <w:tcW w:w="2670" w:type="dxa"/>
            <w:tcBorders>
              <w:top w:val="single" w:sz="4" w:space="0" w:color="000000"/>
              <w:left w:val="single" w:sz="4" w:space="0" w:color="auto"/>
              <w:bottom w:val="single" w:sz="4" w:space="0" w:color="000000"/>
              <w:right w:val="single" w:sz="4" w:space="0" w:color="000000"/>
            </w:tcBorders>
          </w:tcPr>
          <w:p w:rsidR="00781A60" w:rsidRPr="003410C7" w:rsidRDefault="00781A60" w:rsidP="007E466C">
            <w:pPr>
              <w:pStyle w:val="ColorfulList-Accent11"/>
              <w:keepNext/>
              <w:spacing w:line="276" w:lineRule="auto"/>
              <w:ind w:left="540"/>
              <w:jc w:val="center"/>
              <w:rPr>
                <w:rFonts w:ascii="Tahoma" w:hAnsi="Tahoma" w:cs="Tahoma"/>
                <w:color w:val="000000"/>
                <w:sz w:val="18"/>
                <w:szCs w:val="20"/>
              </w:rPr>
            </w:pPr>
          </w:p>
        </w:tc>
      </w:tr>
      <w:tr w:rsidR="00781A60" w:rsidRPr="003410C7" w:rsidTr="002A6416">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rsidR="00781A60" w:rsidRPr="003410C7" w:rsidRDefault="00781A60" w:rsidP="007E466C">
            <w:pPr>
              <w:keepNext/>
              <w:ind w:left="540"/>
              <w:jc w:val="center"/>
              <w:rPr>
                <w:rFonts w:cs="Arial"/>
              </w:rPr>
            </w:pPr>
          </w:p>
        </w:tc>
        <w:tc>
          <w:tcPr>
            <w:tcW w:w="2670" w:type="dxa"/>
            <w:tcBorders>
              <w:top w:val="single" w:sz="4" w:space="0" w:color="000000"/>
              <w:left w:val="nil"/>
              <w:bottom w:val="single" w:sz="4" w:space="0" w:color="000000"/>
              <w:right w:val="single" w:sz="4" w:space="0" w:color="auto"/>
            </w:tcBorders>
          </w:tcPr>
          <w:p w:rsidR="00781A60" w:rsidRPr="003410C7" w:rsidRDefault="00781A60" w:rsidP="007E466C">
            <w:pPr>
              <w:pStyle w:val="ColorfulList-Accent11"/>
              <w:keepNext/>
              <w:spacing w:line="276" w:lineRule="auto"/>
              <w:ind w:left="0"/>
              <w:jc w:val="center"/>
              <w:rPr>
                <w:rFonts w:ascii="Tahoma" w:hAnsi="Tahoma" w:cs="Tahoma"/>
                <w:sz w:val="18"/>
                <w:szCs w:val="18"/>
              </w:rPr>
            </w:pPr>
            <w:r w:rsidRPr="003410C7">
              <w:rPr>
                <w:rFonts w:ascii="Tahoma" w:hAnsi="Tahoma" w:cs="Tahoma"/>
                <w:sz w:val="18"/>
                <w:szCs w:val="18"/>
              </w:rPr>
              <w:t>Italia</w:t>
            </w:r>
          </w:p>
        </w:tc>
        <w:tc>
          <w:tcPr>
            <w:tcW w:w="2670" w:type="dxa"/>
            <w:tcBorders>
              <w:top w:val="single" w:sz="4" w:space="0" w:color="000000"/>
              <w:left w:val="single" w:sz="4" w:space="0" w:color="auto"/>
              <w:bottom w:val="single" w:sz="4" w:space="0" w:color="000000"/>
              <w:right w:val="single" w:sz="4" w:space="0" w:color="000000"/>
            </w:tcBorders>
          </w:tcPr>
          <w:p w:rsidR="00781A60" w:rsidRPr="003410C7" w:rsidRDefault="00781A60" w:rsidP="007E466C">
            <w:pPr>
              <w:pStyle w:val="ColorfulList-Accent11"/>
              <w:keepNext/>
              <w:spacing w:line="276" w:lineRule="auto"/>
              <w:ind w:left="540"/>
              <w:jc w:val="center"/>
              <w:rPr>
                <w:rFonts w:ascii="Tahoma" w:hAnsi="Tahoma" w:cs="Tahoma"/>
                <w:color w:val="000000"/>
                <w:sz w:val="18"/>
                <w:szCs w:val="20"/>
              </w:rPr>
            </w:pPr>
          </w:p>
        </w:tc>
      </w:tr>
      <w:tr w:rsidR="00781A60" w:rsidRPr="003410C7" w:rsidTr="002A6416">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rsidR="00781A60" w:rsidRPr="003410C7" w:rsidRDefault="00781A60" w:rsidP="007E466C">
            <w:pPr>
              <w:keepNext/>
              <w:ind w:left="540"/>
              <w:jc w:val="center"/>
              <w:rPr>
                <w:rFonts w:cs="Arial"/>
              </w:rPr>
            </w:pPr>
          </w:p>
        </w:tc>
        <w:tc>
          <w:tcPr>
            <w:tcW w:w="2670" w:type="dxa"/>
            <w:tcBorders>
              <w:top w:val="single" w:sz="4" w:space="0" w:color="000000"/>
              <w:left w:val="nil"/>
              <w:bottom w:val="single" w:sz="4" w:space="0" w:color="000000"/>
              <w:right w:val="single" w:sz="4" w:space="0" w:color="auto"/>
            </w:tcBorders>
          </w:tcPr>
          <w:p w:rsidR="00781A60" w:rsidRPr="003410C7" w:rsidRDefault="00781A60" w:rsidP="007E466C">
            <w:pPr>
              <w:pStyle w:val="ColorfulList-Accent11"/>
              <w:keepNext/>
              <w:spacing w:line="276" w:lineRule="auto"/>
              <w:ind w:left="0"/>
              <w:jc w:val="center"/>
              <w:rPr>
                <w:rFonts w:ascii="Tahoma" w:hAnsi="Tahoma" w:cs="Tahoma"/>
                <w:sz w:val="18"/>
                <w:szCs w:val="18"/>
              </w:rPr>
            </w:pPr>
            <w:r w:rsidRPr="003410C7">
              <w:rPr>
                <w:rFonts w:ascii="Tahoma" w:hAnsi="Tahoma" w:cs="Tahoma"/>
                <w:sz w:val="18"/>
                <w:szCs w:val="18"/>
              </w:rPr>
              <w:t>Lussemburgo</w:t>
            </w:r>
          </w:p>
        </w:tc>
        <w:tc>
          <w:tcPr>
            <w:tcW w:w="2670" w:type="dxa"/>
            <w:tcBorders>
              <w:top w:val="single" w:sz="4" w:space="0" w:color="000000"/>
              <w:left w:val="single" w:sz="4" w:space="0" w:color="auto"/>
              <w:bottom w:val="single" w:sz="4" w:space="0" w:color="000000"/>
              <w:right w:val="single" w:sz="4" w:space="0" w:color="000000"/>
            </w:tcBorders>
          </w:tcPr>
          <w:p w:rsidR="00781A60" w:rsidRPr="003410C7" w:rsidRDefault="00781A60" w:rsidP="007E466C">
            <w:pPr>
              <w:pStyle w:val="ColorfulList-Accent11"/>
              <w:keepNext/>
              <w:spacing w:line="276" w:lineRule="auto"/>
              <w:ind w:left="540"/>
              <w:jc w:val="center"/>
              <w:rPr>
                <w:rFonts w:ascii="Tahoma" w:hAnsi="Tahoma" w:cs="Tahoma"/>
                <w:color w:val="000000"/>
                <w:sz w:val="18"/>
                <w:szCs w:val="20"/>
              </w:rPr>
            </w:pPr>
          </w:p>
        </w:tc>
      </w:tr>
      <w:tr w:rsidR="00781A60" w:rsidRPr="003410C7" w:rsidTr="002A6416">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rsidR="00781A60" w:rsidRPr="003410C7" w:rsidRDefault="00781A60" w:rsidP="007E466C">
            <w:pPr>
              <w:keepNext/>
              <w:ind w:left="540"/>
              <w:jc w:val="center"/>
              <w:rPr>
                <w:rFonts w:cs="Arial"/>
              </w:rPr>
            </w:pPr>
          </w:p>
        </w:tc>
        <w:tc>
          <w:tcPr>
            <w:tcW w:w="2670" w:type="dxa"/>
            <w:tcBorders>
              <w:top w:val="single" w:sz="4" w:space="0" w:color="000000"/>
              <w:left w:val="nil"/>
              <w:bottom w:val="single" w:sz="4" w:space="0" w:color="000000"/>
              <w:right w:val="single" w:sz="4" w:space="0" w:color="auto"/>
            </w:tcBorders>
          </w:tcPr>
          <w:p w:rsidR="00781A60" w:rsidRPr="003410C7" w:rsidRDefault="00781A60" w:rsidP="007E466C">
            <w:pPr>
              <w:pStyle w:val="ColorfulList-Accent11"/>
              <w:keepNext/>
              <w:spacing w:line="276" w:lineRule="auto"/>
              <w:ind w:left="0"/>
              <w:jc w:val="center"/>
              <w:rPr>
                <w:rFonts w:ascii="Tahoma" w:hAnsi="Tahoma" w:cs="Tahoma"/>
                <w:sz w:val="18"/>
                <w:szCs w:val="18"/>
              </w:rPr>
            </w:pPr>
            <w:r w:rsidRPr="003410C7">
              <w:rPr>
                <w:rFonts w:ascii="Tahoma" w:hAnsi="Tahoma" w:cs="Tahoma"/>
                <w:sz w:val="18"/>
                <w:szCs w:val="18"/>
              </w:rPr>
              <w:t>Paesi Bassi</w:t>
            </w:r>
          </w:p>
        </w:tc>
        <w:tc>
          <w:tcPr>
            <w:tcW w:w="2670" w:type="dxa"/>
            <w:tcBorders>
              <w:top w:val="single" w:sz="4" w:space="0" w:color="000000"/>
              <w:left w:val="single" w:sz="4" w:space="0" w:color="auto"/>
              <w:bottom w:val="single" w:sz="4" w:space="0" w:color="000000"/>
              <w:right w:val="single" w:sz="4" w:space="0" w:color="000000"/>
            </w:tcBorders>
          </w:tcPr>
          <w:p w:rsidR="00781A60" w:rsidRPr="003410C7" w:rsidRDefault="00781A60" w:rsidP="007E466C">
            <w:pPr>
              <w:pStyle w:val="ColorfulList-Accent11"/>
              <w:keepNext/>
              <w:spacing w:line="276" w:lineRule="auto"/>
              <w:ind w:left="540"/>
              <w:jc w:val="center"/>
              <w:rPr>
                <w:rFonts w:ascii="Tahoma" w:hAnsi="Tahoma" w:cs="Tahoma"/>
                <w:color w:val="000000"/>
                <w:sz w:val="18"/>
                <w:szCs w:val="20"/>
              </w:rPr>
            </w:pPr>
          </w:p>
        </w:tc>
      </w:tr>
      <w:tr w:rsidR="00781A60" w:rsidRPr="003410C7" w:rsidTr="002A6416">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rsidR="00781A60" w:rsidRPr="003410C7" w:rsidRDefault="00781A60" w:rsidP="007E466C">
            <w:pPr>
              <w:keepNext/>
              <w:ind w:left="540"/>
              <w:jc w:val="center"/>
              <w:rPr>
                <w:rFonts w:cs="Arial"/>
              </w:rPr>
            </w:pPr>
          </w:p>
        </w:tc>
        <w:tc>
          <w:tcPr>
            <w:tcW w:w="2670" w:type="dxa"/>
            <w:tcBorders>
              <w:top w:val="single" w:sz="4" w:space="0" w:color="000000"/>
              <w:left w:val="nil"/>
              <w:bottom w:val="single" w:sz="4" w:space="0" w:color="000000"/>
              <w:right w:val="single" w:sz="4" w:space="0" w:color="auto"/>
            </w:tcBorders>
          </w:tcPr>
          <w:p w:rsidR="00781A60" w:rsidRPr="003410C7" w:rsidRDefault="00781A60" w:rsidP="007E466C">
            <w:pPr>
              <w:pStyle w:val="ColorfulList-Accent11"/>
              <w:keepNext/>
              <w:spacing w:line="276" w:lineRule="auto"/>
              <w:ind w:left="0"/>
              <w:jc w:val="center"/>
              <w:rPr>
                <w:rFonts w:ascii="Tahoma" w:hAnsi="Tahoma" w:cs="Tahoma"/>
                <w:sz w:val="18"/>
                <w:szCs w:val="18"/>
              </w:rPr>
            </w:pPr>
            <w:r w:rsidRPr="003410C7">
              <w:rPr>
                <w:rFonts w:ascii="Tahoma" w:hAnsi="Tahoma" w:cs="Tahoma"/>
                <w:sz w:val="18"/>
                <w:szCs w:val="18"/>
              </w:rPr>
              <w:t>Norvegia</w:t>
            </w:r>
          </w:p>
        </w:tc>
        <w:tc>
          <w:tcPr>
            <w:tcW w:w="2670" w:type="dxa"/>
            <w:tcBorders>
              <w:top w:val="single" w:sz="4" w:space="0" w:color="000000"/>
              <w:left w:val="single" w:sz="4" w:space="0" w:color="auto"/>
              <w:bottom w:val="single" w:sz="4" w:space="0" w:color="000000"/>
              <w:right w:val="single" w:sz="4" w:space="0" w:color="000000"/>
            </w:tcBorders>
          </w:tcPr>
          <w:p w:rsidR="00781A60" w:rsidRPr="003410C7" w:rsidRDefault="00781A60" w:rsidP="007E466C">
            <w:pPr>
              <w:pStyle w:val="ColorfulList-Accent11"/>
              <w:keepNext/>
              <w:spacing w:line="276" w:lineRule="auto"/>
              <w:ind w:left="540"/>
              <w:jc w:val="center"/>
              <w:rPr>
                <w:rFonts w:ascii="Tahoma" w:hAnsi="Tahoma" w:cs="Tahoma"/>
                <w:color w:val="000000"/>
                <w:sz w:val="18"/>
                <w:szCs w:val="20"/>
              </w:rPr>
            </w:pPr>
          </w:p>
        </w:tc>
      </w:tr>
      <w:tr w:rsidR="00781A60" w:rsidRPr="003410C7" w:rsidTr="002A6416">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rsidR="00781A60" w:rsidRPr="003410C7" w:rsidRDefault="00781A60" w:rsidP="007E466C">
            <w:pPr>
              <w:keepNext/>
              <w:ind w:left="540"/>
              <w:jc w:val="center"/>
              <w:rPr>
                <w:rFonts w:cs="Arial"/>
              </w:rPr>
            </w:pPr>
          </w:p>
        </w:tc>
        <w:tc>
          <w:tcPr>
            <w:tcW w:w="2670" w:type="dxa"/>
            <w:tcBorders>
              <w:top w:val="single" w:sz="4" w:space="0" w:color="000000"/>
              <w:left w:val="nil"/>
              <w:bottom w:val="single" w:sz="4" w:space="0" w:color="000000"/>
              <w:right w:val="single" w:sz="4" w:space="0" w:color="auto"/>
            </w:tcBorders>
          </w:tcPr>
          <w:p w:rsidR="00781A60" w:rsidRPr="003410C7" w:rsidRDefault="00781A60" w:rsidP="007E466C">
            <w:pPr>
              <w:pStyle w:val="ColorfulList-Accent11"/>
              <w:keepNext/>
              <w:spacing w:line="276" w:lineRule="auto"/>
              <w:ind w:left="0"/>
              <w:jc w:val="center"/>
              <w:rPr>
                <w:rFonts w:ascii="Tahoma" w:hAnsi="Tahoma" w:cs="Tahoma"/>
                <w:sz w:val="18"/>
                <w:szCs w:val="18"/>
              </w:rPr>
            </w:pPr>
            <w:r w:rsidRPr="003410C7">
              <w:rPr>
                <w:rFonts w:ascii="Tahoma" w:hAnsi="Tahoma" w:cs="Tahoma"/>
                <w:sz w:val="18"/>
                <w:szCs w:val="18"/>
              </w:rPr>
              <w:t>Polonia</w:t>
            </w:r>
          </w:p>
        </w:tc>
        <w:tc>
          <w:tcPr>
            <w:tcW w:w="2670" w:type="dxa"/>
            <w:tcBorders>
              <w:top w:val="single" w:sz="4" w:space="0" w:color="000000"/>
              <w:left w:val="single" w:sz="4" w:space="0" w:color="auto"/>
              <w:bottom w:val="single" w:sz="4" w:space="0" w:color="000000"/>
              <w:right w:val="single" w:sz="4" w:space="0" w:color="000000"/>
            </w:tcBorders>
          </w:tcPr>
          <w:p w:rsidR="00781A60" w:rsidRPr="003410C7" w:rsidRDefault="00781A60" w:rsidP="007E466C">
            <w:pPr>
              <w:pStyle w:val="ColorfulList-Accent11"/>
              <w:keepNext/>
              <w:spacing w:line="276" w:lineRule="auto"/>
              <w:ind w:left="540"/>
              <w:jc w:val="center"/>
              <w:rPr>
                <w:rFonts w:ascii="Tahoma" w:hAnsi="Tahoma" w:cs="Tahoma"/>
                <w:color w:val="000000"/>
                <w:sz w:val="18"/>
                <w:szCs w:val="20"/>
              </w:rPr>
            </w:pPr>
          </w:p>
        </w:tc>
      </w:tr>
      <w:tr w:rsidR="00781A60" w:rsidRPr="003410C7" w:rsidTr="002A6416">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rsidR="00781A60" w:rsidRPr="003410C7" w:rsidRDefault="00781A60" w:rsidP="007E466C">
            <w:pPr>
              <w:keepNext/>
              <w:ind w:left="540"/>
              <w:jc w:val="center"/>
              <w:rPr>
                <w:rFonts w:cs="Arial"/>
              </w:rPr>
            </w:pPr>
          </w:p>
        </w:tc>
        <w:tc>
          <w:tcPr>
            <w:tcW w:w="2670" w:type="dxa"/>
            <w:tcBorders>
              <w:top w:val="single" w:sz="4" w:space="0" w:color="000000"/>
              <w:left w:val="nil"/>
              <w:bottom w:val="single" w:sz="4" w:space="0" w:color="000000"/>
              <w:right w:val="single" w:sz="4" w:space="0" w:color="auto"/>
            </w:tcBorders>
          </w:tcPr>
          <w:p w:rsidR="00781A60" w:rsidRPr="003410C7" w:rsidRDefault="00781A60" w:rsidP="007E466C">
            <w:pPr>
              <w:pStyle w:val="ColorfulList-Accent11"/>
              <w:keepNext/>
              <w:spacing w:line="276" w:lineRule="auto"/>
              <w:ind w:left="0"/>
              <w:jc w:val="center"/>
              <w:rPr>
                <w:rFonts w:ascii="Tahoma" w:hAnsi="Tahoma" w:cs="Tahoma"/>
                <w:sz w:val="18"/>
                <w:szCs w:val="18"/>
              </w:rPr>
            </w:pPr>
            <w:r w:rsidRPr="003410C7">
              <w:rPr>
                <w:rFonts w:ascii="Tahoma" w:hAnsi="Tahoma" w:cs="Tahoma"/>
                <w:sz w:val="18"/>
                <w:szCs w:val="18"/>
              </w:rPr>
              <w:t>Portogallo</w:t>
            </w:r>
          </w:p>
        </w:tc>
        <w:tc>
          <w:tcPr>
            <w:tcW w:w="2670" w:type="dxa"/>
            <w:tcBorders>
              <w:top w:val="single" w:sz="4" w:space="0" w:color="000000"/>
              <w:left w:val="single" w:sz="4" w:space="0" w:color="auto"/>
              <w:bottom w:val="single" w:sz="4" w:space="0" w:color="000000"/>
              <w:right w:val="single" w:sz="4" w:space="0" w:color="000000"/>
            </w:tcBorders>
          </w:tcPr>
          <w:p w:rsidR="00781A60" w:rsidRPr="003410C7" w:rsidRDefault="00781A60" w:rsidP="007E466C">
            <w:pPr>
              <w:pStyle w:val="ColorfulList-Accent11"/>
              <w:keepNext/>
              <w:spacing w:line="276" w:lineRule="auto"/>
              <w:ind w:left="540"/>
              <w:jc w:val="center"/>
              <w:rPr>
                <w:rFonts w:ascii="Tahoma" w:hAnsi="Tahoma" w:cs="Tahoma"/>
                <w:color w:val="000000"/>
                <w:sz w:val="18"/>
                <w:szCs w:val="20"/>
              </w:rPr>
            </w:pPr>
          </w:p>
        </w:tc>
      </w:tr>
      <w:tr w:rsidR="00781A60" w:rsidRPr="003410C7" w:rsidTr="002A6416">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rsidR="00781A60" w:rsidRPr="003410C7" w:rsidRDefault="00781A60" w:rsidP="007E466C">
            <w:pPr>
              <w:keepNext/>
              <w:ind w:left="540"/>
              <w:jc w:val="center"/>
              <w:rPr>
                <w:rFonts w:cs="Arial"/>
              </w:rPr>
            </w:pPr>
          </w:p>
        </w:tc>
        <w:tc>
          <w:tcPr>
            <w:tcW w:w="2670" w:type="dxa"/>
            <w:tcBorders>
              <w:top w:val="single" w:sz="4" w:space="0" w:color="000000"/>
              <w:left w:val="nil"/>
              <w:bottom w:val="single" w:sz="4" w:space="0" w:color="000000"/>
              <w:right w:val="single" w:sz="4" w:space="0" w:color="auto"/>
            </w:tcBorders>
          </w:tcPr>
          <w:p w:rsidR="00781A60" w:rsidRPr="003410C7" w:rsidRDefault="00781A60" w:rsidP="007E466C">
            <w:pPr>
              <w:pStyle w:val="ColorfulList-Accent11"/>
              <w:keepNext/>
              <w:spacing w:line="276" w:lineRule="auto"/>
              <w:ind w:left="0"/>
              <w:jc w:val="center"/>
              <w:rPr>
                <w:rFonts w:ascii="Tahoma" w:hAnsi="Tahoma" w:cs="Tahoma"/>
                <w:sz w:val="18"/>
                <w:szCs w:val="18"/>
              </w:rPr>
            </w:pPr>
            <w:r w:rsidRPr="003410C7">
              <w:rPr>
                <w:rFonts w:ascii="Tahoma" w:hAnsi="Tahoma" w:cs="Tahoma"/>
                <w:sz w:val="18"/>
                <w:szCs w:val="18"/>
              </w:rPr>
              <w:t>Romania</w:t>
            </w:r>
          </w:p>
        </w:tc>
        <w:tc>
          <w:tcPr>
            <w:tcW w:w="2670" w:type="dxa"/>
            <w:tcBorders>
              <w:top w:val="single" w:sz="4" w:space="0" w:color="000000"/>
              <w:left w:val="single" w:sz="4" w:space="0" w:color="auto"/>
              <w:bottom w:val="single" w:sz="4" w:space="0" w:color="000000"/>
              <w:right w:val="single" w:sz="4" w:space="0" w:color="000000"/>
            </w:tcBorders>
          </w:tcPr>
          <w:p w:rsidR="00781A60" w:rsidRPr="003410C7" w:rsidRDefault="00781A60" w:rsidP="007E466C">
            <w:pPr>
              <w:pStyle w:val="ColorfulList-Accent11"/>
              <w:keepNext/>
              <w:spacing w:line="276" w:lineRule="auto"/>
              <w:ind w:left="540"/>
              <w:jc w:val="center"/>
              <w:rPr>
                <w:rFonts w:ascii="Tahoma" w:hAnsi="Tahoma" w:cs="Tahoma"/>
                <w:color w:val="000000"/>
                <w:sz w:val="18"/>
                <w:szCs w:val="20"/>
              </w:rPr>
            </w:pPr>
          </w:p>
        </w:tc>
      </w:tr>
      <w:tr w:rsidR="00E822D9" w:rsidRPr="003410C7" w:rsidTr="002A6416">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rsidR="00E822D9" w:rsidRPr="003410C7" w:rsidRDefault="00E822D9" w:rsidP="007E466C">
            <w:pPr>
              <w:keepNext/>
              <w:ind w:left="540"/>
              <w:jc w:val="center"/>
              <w:rPr>
                <w:rFonts w:cs="Arial"/>
              </w:rPr>
            </w:pPr>
          </w:p>
        </w:tc>
        <w:tc>
          <w:tcPr>
            <w:tcW w:w="2670" w:type="dxa"/>
            <w:tcBorders>
              <w:top w:val="single" w:sz="4" w:space="0" w:color="000000"/>
              <w:left w:val="nil"/>
              <w:bottom w:val="single" w:sz="4" w:space="0" w:color="000000"/>
              <w:right w:val="single" w:sz="4" w:space="0" w:color="auto"/>
            </w:tcBorders>
          </w:tcPr>
          <w:p w:rsidR="00E822D9" w:rsidRPr="003410C7" w:rsidRDefault="00E822D9" w:rsidP="007E466C">
            <w:pPr>
              <w:pStyle w:val="ColorfulList-Accent11"/>
              <w:keepNext/>
              <w:spacing w:line="276" w:lineRule="auto"/>
              <w:ind w:left="0"/>
              <w:jc w:val="center"/>
              <w:rPr>
                <w:rFonts w:ascii="Tahoma" w:hAnsi="Tahoma" w:cs="Tahoma"/>
                <w:sz w:val="18"/>
                <w:szCs w:val="18"/>
              </w:rPr>
            </w:pPr>
            <w:r w:rsidRPr="003410C7">
              <w:rPr>
                <w:rFonts w:ascii="Tahoma" w:hAnsi="Tahoma" w:cs="Tahoma"/>
                <w:sz w:val="18"/>
                <w:szCs w:val="18"/>
              </w:rPr>
              <w:t>Russia</w:t>
            </w:r>
          </w:p>
        </w:tc>
        <w:tc>
          <w:tcPr>
            <w:tcW w:w="2670" w:type="dxa"/>
            <w:tcBorders>
              <w:top w:val="single" w:sz="4" w:space="0" w:color="000000"/>
              <w:left w:val="single" w:sz="4" w:space="0" w:color="auto"/>
              <w:bottom w:val="single" w:sz="4" w:space="0" w:color="000000"/>
              <w:right w:val="single" w:sz="4" w:space="0" w:color="000000"/>
            </w:tcBorders>
          </w:tcPr>
          <w:p w:rsidR="00E822D9" w:rsidRPr="003410C7" w:rsidRDefault="00E822D9" w:rsidP="007E466C">
            <w:pPr>
              <w:pStyle w:val="ColorfulList-Accent11"/>
              <w:keepNext/>
              <w:spacing w:line="276" w:lineRule="auto"/>
              <w:ind w:left="540"/>
              <w:jc w:val="center"/>
              <w:rPr>
                <w:rFonts w:ascii="Tahoma" w:hAnsi="Tahoma" w:cs="Tahoma"/>
                <w:color w:val="000000"/>
                <w:sz w:val="18"/>
                <w:szCs w:val="20"/>
              </w:rPr>
            </w:pPr>
          </w:p>
        </w:tc>
      </w:tr>
      <w:tr w:rsidR="00781A60" w:rsidRPr="003410C7" w:rsidTr="002A6416">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rsidR="00781A60" w:rsidRPr="003410C7" w:rsidRDefault="00781A60" w:rsidP="007E466C">
            <w:pPr>
              <w:keepNext/>
              <w:ind w:left="540"/>
              <w:jc w:val="center"/>
              <w:rPr>
                <w:rFonts w:cs="Arial"/>
              </w:rPr>
            </w:pPr>
          </w:p>
        </w:tc>
        <w:tc>
          <w:tcPr>
            <w:tcW w:w="2670" w:type="dxa"/>
            <w:tcBorders>
              <w:top w:val="single" w:sz="4" w:space="0" w:color="000000"/>
              <w:left w:val="nil"/>
              <w:bottom w:val="single" w:sz="4" w:space="0" w:color="000000"/>
              <w:right w:val="single" w:sz="4" w:space="0" w:color="auto"/>
            </w:tcBorders>
          </w:tcPr>
          <w:p w:rsidR="00781A60" w:rsidRPr="003410C7" w:rsidRDefault="00781A60" w:rsidP="007E466C">
            <w:pPr>
              <w:pStyle w:val="ColorfulList-Accent11"/>
              <w:keepNext/>
              <w:spacing w:line="276" w:lineRule="auto"/>
              <w:ind w:left="0"/>
              <w:jc w:val="center"/>
              <w:rPr>
                <w:rFonts w:ascii="Tahoma" w:hAnsi="Tahoma" w:cs="Tahoma"/>
                <w:sz w:val="18"/>
                <w:szCs w:val="18"/>
              </w:rPr>
            </w:pPr>
            <w:r w:rsidRPr="003410C7">
              <w:rPr>
                <w:rFonts w:ascii="Tahoma" w:hAnsi="Tahoma" w:cs="Tahoma"/>
                <w:sz w:val="18"/>
                <w:szCs w:val="18"/>
              </w:rPr>
              <w:t>Spagna</w:t>
            </w:r>
          </w:p>
        </w:tc>
        <w:tc>
          <w:tcPr>
            <w:tcW w:w="2670" w:type="dxa"/>
            <w:tcBorders>
              <w:top w:val="single" w:sz="4" w:space="0" w:color="000000"/>
              <w:left w:val="single" w:sz="4" w:space="0" w:color="auto"/>
              <w:bottom w:val="single" w:sz="4" w:space="0" w:color="000000"/>
              <w:right w:val="single" w:sz="4" w:space="0" w:color="000000"/>
            </w:tcBorders>
          </w:tcPr>
          <w:p w:rsidR="00781A60" w:rsidRPr="003410C7" w:rsidRDefault="00781A60" w:rsidP="007E466C">
            <w:pPr>
              <w:pStyle w:val="ColorfulList-Accent11"/>
              <w:keepNext/>
              <w:spacing w:line="276" w:lineRule="auto"/>
              <w:ind w:left="540"/>
              <w:jc w:val="center"/>
              <w:rPr>
                <w:rFonts w:ascii="Tahoma" w:hAnsi="Tahoma" w:cs="Tahoma"/>
                <w:color w:val="000000"/>
                <w:sz w:val="18"/>
                <w:szCs w:val="20"/>
              </w:rPr>
            </w:pPr>
          </w:p>
        </w:tc>
      </w:tr>
      <w:tr w:rsidR="00781A60" w:rsidRPr="003410C7" w:rsidTr="002A6416">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rsidR="00781A60" w:rsidRPr="003410C7" w:rsidRDefault="00781A60" w:rsidP="007E466C">
            <w:pPr>
              <w:keepNext/>
              <w:ind w:left="540"/>
              <w:jc w:val="center"/>
              <w:rPr>
                <w:rFonts w:cs="Arial"/>
              </w:rPr>
            </w:pPr>
          </w:p>
        </w:tc>
        <w:tc>
          <w:tcPr>
            <w:tcW w:w="2670" w:type="dxa"/>
            <w:tcBorders>
              <w:top w:val="single" w:sz="4" w:space="0" w:color="000000"/>
              <w:left w:val="nil"/>
              <w:bottom w:val="single" w:sz="4" w:space="0" w:color="000000"/>
              <w:right w:val="single" w:sz="4" w:space="0" w:color="auto"/>
            </w:tcBorders>
          </w:tcPr>
          <w:p w:rsidR="00781A60" w:rsidRPr="003410C7" w:rsidRDefault="00781A60" w:rsidP="007E466C">
            <w:pPr>
              <w:pStyle w:val="ColorfulList-Accent11"/>
              <w:keepNext/>
              <w:spacing w:line="276" w:lineRule="auto"/>
              <w:ind w:left="0"/>
              <w:jc w:val="center"/>
              <w:rPr>
                <w:rFonts w:ascii="Tahoma" w:hAnsi="Tahoma" w:cs="Tahoma"/>
                <w:sz w:val="18"/>
                <w:szCs w:val="18"/>
              </w:rPr>
            </w:pPr>
            <w:r w:rsidRPr="003410C7">
              <w:rPr>
                <w:rFonts w:ascii="Tahoma" w:hAnsi="Tahoma" w:cs="Tahoma"/>
                <w:sz w:val="18"/>
                <w:szCs w:val="18"/>
              </w:rPr>
              <w:t>Svezia</w:t>
            </w:r>
          </w:p>
        </w:tc>
        <w:tc>
          <w:tcPr>
            <w:tcW w:w="2670" w:type="dxa"/>
            <w:tcBorders>
              <w:top w:val="single" w:sz="4" w:space="0" w:color="000000"/>
              <w:left w:val="single" w:sz="4" w:space="0" w:color="auto"/>
              <w:bottom w:val="single" w:sz="4" w:space="0" w:color="000000"/>
              <w:right w:val="single" w:sz="4" w:space="0" w:color="000000"/>
            </w:tcBorders>
          </w:tcPr>
          <w:p w:rsidR="00781A60" w:rsidRPr="003410C7" w:rsidRDefault="00781A60" w:rsidP="007E466C">
            <w:pPr>
              <w:pStyle w:val="ColorfulList-Accent11"/>
              <w:keepNext/>
              <w:spacing w:line="276" w:lineRule="auto"/>
              <w:ind w:left="540"/>
              <w:jc w:val="center"/>
              <w:rPr>
                <w:rFonts w:ascii="Tahoma" w:hAnsi="Tahoma" w:cs="Tahoma"/>
                <w:color w:val="000000"/>
                <w:sz w:val="18"/>
                <w:szCs w:val="20"/>
              </w:rPr>
            </w:pPr>
          </w:p>
        </w:tc>
      </w:tr>
      <w:tr w:rsidR="00781A60" w:rsidRPr="003410C7" w:rsidTr="002A6416">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rsidR="00781A60" w:rsidRPr="003410C7" w:rsidRDefault="00781A60" w:rsidP="007E466C">
            <w:pPr>
              <w:keepNext/>
              <w:ind w:left="540"/>
              <w:jc w:val="center"/>
              <w:rPr>
                <w:rFonts w:cs="Arial"/>
              </w:rPr>
            </w:pPr>
          </w:p>
        </w:tc>
        <w:tc>
          <w:tcPr>
            <w:tcW w:w="2670" w:type="dxa"/>
            <w:tcBorders>
              <w:top w:val="single" w:sz="4" w:space="0" w:color="000000"/>
              <w:left w:val="nil"/>
              <w:bottom w:val="single" w:sz="4" w:space="0" w:color="000000"/>
              <w:right w:val="single" w:sz="4" w:space="0" w:color="auto"/>
            </w:tcBorders>
          </w:tcPr>
          <w:p w:rsidR="00781A60" w:rsidRPr="003410C7" w:rsidRDefault="00781A60" w:rsidP="007E466C">
            <w:pPr>
              <w:pStyle w:val="ColorfulList-Accent11"/>
              <w:keepNext/>
              <w:spacing w:line="276" w:lineRule="auto"/>
              <w:ind w:left="0"/>
              <w:jc w:val="center"/>
              <w:rPr>
                <w:rFonts w:ascii="Tahoma" w:hAnsi="Tahoma" w:cs="Tahoma"/>
                <w:sz w:val="18"/>
                <w:szCs w:val="18"/>
              </w:rPr>
            </w:pPr>
            <w:r w:rsidRPr="003410C7">
              <w:rPr>
                <w:rFonts w:ascii="Tahoma" w:hAnsi="Tahoma" w:cs="Tahoma"/>
                <w:sz w:val="18"/>
                <w:szCs w:val="18"/>
              </w:rPr>
              <w:t>Svizzera</w:t>
            </w:r>
          </w:p>
        </w:tc>
        <w:tc>
          <w:tcPr>
            <w:tcW w:w="2670" w:type="dxa"/>
            <w:tcBorders>
              <w:top w:val="single" w:sz="4" w:space="0" w:color="000000"/>
              <w:left w:val="single" w:sz="4" w:space="0" w:color="auto"/>
              <w:bottom w:val="single" w:sz="4" w:space="0" w:color="000000"/>
              <w:right w:val="single" w:sz="4" w:space="0" w:color="000000"/>
            </w:tcBorders>
          </w:tcPr>
          <w:p w:rsidR="00781A60" w:rsidRPr="003410C7" w:rsidRDefault="00781A60" w:rsidP="007E466C">
            <w:pPr>
              <w:pStyle w:val="ColorfulList-Accent11"/>
              <w:keepNext/>
              <w:spacing w:line="276" w:lineRule="auto"/>
              <w:ind w:left="540"/>
              <w:jc w:val="center"/>
              <w:rPr>
                <w:rFonts w:ascii="Tahoma" w:hAnsi="Tahoma" w:cs="Tahoma"/>
                <w:color w:val="000000"/>
                <w:sz w:val="18"/>
                <w:szCs w:val="20"/>
              </w:rPr>
            </w:pPr>
          </w:p>
        </w:tc>
      </w:tr>
      <w:tr w:rsidR="00781A60" w:rsidRPr="003410C7" w:rsidTr="002A6416">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rsidR="00781A60" w:rsidRPr="003410C7" w:rsidRDefault="00781A60" w:rsidP="007E466C">
            <w:pPr>
              <w:keepNext/>
              <w:ind w:left="540"/>
              <w:jc w:val="center"/>
              <w:rPr>
                <w:rFonts w:cs="Arial"/>
              </w:rPr>
            </w:pPr>
          </w:p>
        </w:tc>
        <w:tc>
          <w:tcPr>
            <w:tcW w:w="2670" w:type="dxa"/>
            <w:tcBorders>
              <w:top w:val="single" w:sz="4" w:space="0" w:color="000000"/>
              <w:left w:val="nil"/>
              <w:bottom w:val="single" w:sz="4" w:space="0" w:color="000000"/>
              <w:right w:val="single" w:sz="4" w:space="0" w:color="auto"/>
            </w:tcBorders>
          </w:tcPr>
          <w:p w:rsidR="00781A60" w:rsidRPr="003410C7" w:rsidRDefault="00781A60" w:rsidP="007E466C">
            <w:pPr>
              <w:pStyle w:val="ColorfulList-Accent11"/>
              <w:keepNext/>
              <w:spacing w:line="276" w:lineRule="auto"/>
              <w:ind w:left="0"/>
              <w:jc w:val="center"/>
              <w:rPr>
                <w:rFonts w:ascii="Tahoma" w:hAnsi="Tahoma" w:cs="Tahoma"/>
                <w:sz w:val="18"/>
                <w:szCs w:val="18"/>
              </w:rPr>
            </w:pPr>
            <w:r w:rsidRPr="003410C7">
              <w:rPr>
                <w:rFonts w:ascii="Tahoma" w:hAnsi="Tahoma" w:cs="Tahoma"/>
                <w:sz w:val="18"/>
                <w:szCs w:val="18"/>
              </w:rPr>
              <w:t>Regno Unito</w:t>
            </w:r>
          </w:p>
        </w:tc>
        <w:tc>
          <w:tcPr>
            <w:tcW w:w="2670" w:type="dxa"/>
            <w:tcBorders>
              <w:top w:val="single" w:sz="4" w:space="0" w:color="000000"/>
              <w:left w:val="single" w:sz="4" w:space="0" w:color="auto"/>
              <w:bottom w:val="single" w:sz="4" w:space="0" w:color="000000"/>
              <w:right w:val="single" w:sz="4" w:space="0" w:color="000000"/>
            </w:tcBorders>
          </w:tcPr>
          <w:p w:rsidR="00781A60" w:rsidRPr="003410C7" w:rsidRDefault="00781A60" w:rsidP="007E466C">
            <w:pPr>
              <w:pStyle w:val="ColorfulList-Accent11"/>
              <w:keepNext/>
              <w:spacing w:line="276" w:lineRule="auto"/>
              <w:ind w:left="540"/>
              <w:jc w:val="center"/>
              <w:rPr>
                <w:rFonts w:ascii="Tahoma" w:hAnsi="Tahoma" w:cs="Tahoma"/>
                <w:color w:val="000000"/>
                <w:sz w:val="18"/>
                <w:szCs w:val="20"/>
              </w:rPr>
            </w:pPr>
          </w:p>
        </w:tc>
      </w:tr>
    </w:tbl>
    <w:p w:rsidR="00D47417" w:rsidRPr="003410C7" w:rsidRDefault="00D47417" w:rsidP="0040633A">
      <w:pPr>
        <w:ind w:left="540"/>
      </w:pPr>
    </w:p>
    <w:p w:rsidR="0040633A" w:rsidRPr="003410C7" w:rsidRDefault="0040633A" w:rsidP="00857EF7">
      <w:pPr>
        <w:spacing w:after="60"/>
        <w:ind w:left="720"/>
      </w:pPr>
      <w:r w:rsidRPr="003410C7">
        <w:rPr>
          <w:rFonts w:cs="Tahoma"/>
          <w:b/>
          <w:bCs/>
          <w:color w:val="000000"/>
          <w:szCs w:val="18"/>
        </w:rPr>
        <w:t>Contratto Campus e School</w:t>
      </w:r>
    </w:p>
    <w:p w:rsidR="00532ABF" w:rsidRPr="00451078" w:rsidRDefault="0040633A" w:rsidP="005614CA">
      <w:pPr>
        <w:ind w:left="720"/>
        <w:rPr>
          <w:lang w:val="it-IT"/>
        </w:rPr>
      </w:pPr>
      <w:r w:rsidRPr="00451078">
        <w:rPr>
          <w:rFonts w:cs="Tahoma"/>
          <w:color w:val="000000"/>
          <w:szCs w:val="18"/>
          <w:lang w:val="it-IT"/>
        </w:rPr>
        <w:t xml:space="preserve">Le licenze </w:t>
      </w:r>
      <w:r w:rsidR="001A3EC5" w:rsidRPr="00451078">
        <w:rPr>
          <w:rFonts w:cs="Tahoma"/>
          <w:color w:val="000000"/>
          <w:szCs w:val="18"/>
          <w:lang w:val="it-IT"/>
        </w:rPr>
        <w:t>“</w:t>
      </w:r>
      <w:r w:rsidRPr="00451078">
        <w:rPr>
          <w:rFonts w:cs="Tahoma"/>
          <w:color w:val="000000"/>
          <w:szCs w:val="18"/>
          <w:lang w:val="it-IT"/>
        </w:rPr>
        <w:t>Subscription</w:t>
      </w:r>
      <w:r w:rsidR="001A3EC5" w:rsidRPr="00451078">
        <w:rPr>
          <w:rFonts w:cs="Tahoma"/>
          <w:color w:val="000000"/>
          <w:szCs w:val="18"/>
          <w:lang w:val="it-IT"/>
        </w:rPr>
        <w:t>”</w:t>
      </w:r>
      <w:r w:rsidRPr="00451078">
        <w:rPr>
          <w:rFonts w:cs="Tahoma"/>
          <w:color w:val="000000"/>
          <w:szCs w:val="18"/>
          <w:lang w:val="it-IT"/>
        </w:rPr>
        <w:t xml:space="preserve"> per Dynamics CRM online vendute nel quadro del contratto CASA possono essere acquistate per l</w:t>
      </w:r>
      <w:r w:rsidR="004525CA">
        <w:rPr>
          <w:rFonts w:cs="Tahoma"/>
          <w:color w:val="000000"/>
          <w:szCs w:val="18"/>
          <w:lang w:val="it-IT"/>
        </w:rPr>
        <w:t>’</w:t>
      </w:r>
      <w:r w:rsidRPr="00451078">
        <w:rPr>
          <w:rFonts w:cs="Tahoma"/>
          <w:color w:val="000000"/>
          <w:szCs w:val="18"/>
          <w:lang w:val="it-IT"/>
        </w:rPr>
        <w:t>intero Istituto oppure non per l</w:t>
      </w:r>
      <w:r w:rsidR="004525CA">
        <w:rPr>
          <w:rFonts w:cs="Tahoma"/>
          <w:color w:val="000000"/>
          <w:szCs w:val="18"/>
          <w:lang w:val="it-IT"/>
        </w:rPr>
        <w:t>’</w:t>
      </w:r>
      <w:r w:rsidRPr="00451078">
        <w:rPr>
          <w:rFonts w:cs="Tahoma"/>
          <w:color w:val="000000"/>
          <w:szCs w:val="18"/>
          <w:lang w:val="it-IT"/>
        </w:rPr>
        <w:t xml:space="preserve">intero Istituto. Le licenze </w:t>
      </w:r>
      <w:r w:rsidR="001A3EC5" w:rsidRPr="00451078">
        <w:rPr>
          <w:rFonts w:cs="Tahoma"/>
          <w:color w:val="000000"/>
          <w:szCs w:val="18"/>
          <w:lang w:val="it-IT"/>
        </w:rPr>
        <w:t>“</w:t>
      </w:r>
      <w:r w:rsidRPr="00451078">
        <w:rPr>
          <w:rFonts w:cs="Tahoma"/>
          <w:color w:val="000000"/>
          <w:szCs w:val="18"/>
          <w:lang w:val="it-IT"/>
        </w:rPr>
        <w:t>Subscription</w:t>
      </w:r>
      <w:r w:rsidR="001A3EC5" w:rsidRPr="00451078">
        <w:rPr>
          <w:rFonts w:cs="Tahoma"/>
          <w:color w:val="000000"/>
          <w:szCs w:val="18"/>
          <w:lang w:val="it-IT"/>
        </w:rPr>
        <w:t>”</w:t>
      </w:r>
      <w:r w:rsidRPr="00451078">
        <w:rPr>
          <w:rFonts w:cs="Tahoma"/>
          <w:color w:val="000000"/>
          <w:szCs w:val="18"/>
          <w:lang w:val="it-IT"/>
        </w:rPr>
        <w:t xml:space="preserve"> devono essere concesse nella modalità Per Utente. Qualora occorressero Licenze </w:t>
      </w:r>
      <w:r w:rsidR="001A3EC5" w:rsidRPr="00451078">
        <w:rPr>
          <w:rFonts w:cs="Tahoma"/>
          <w:color w:val="000000"/>
          <w:szCs w:val="18"/>
          <w:lang w:val="it-IT"/>
        </w:rPr>
        <w:t>“</w:t>
      </w:r>
      <w:r w:rsidRPr="00451078">
        <w:rPr>
          <w:rFonts w:cs="Tahoma"/>
          <w:color w:val="000000"/>
          <w:szCs w:val="18"/>
          <w:lang w:val="it-IT"/>
        </w:rPr>
        <w:t>Subscription</w:t>
      </w:r>
      <w:r w:rsidR="001A3EC5" w:rsidRPr="00451078">
        <w:rPr>
          <w:rFonts w:cs="Tahoma"/>
          <w:color w:val="000000"/>
          <w:szCs w:val="18"/>
          <w:lang w:val="it-IT"/>
        </w:rPr>
        <w:t>”</w:t>
      </w:r>
      <w:r w:rsidRPr="00451078">
        <w:rPr>
          <w:rFonts w:cs="Tahoma"/>
          <w:color w:val="000000"/>
          <w:szCs w:val="18"/>
          <w:lang w:val="it-IT"/>
        </w:rPr>
        <w:t xml:space="preserve"> per Utente per accedere a</w:t>
      </w:r>
      <w:r w:rsidR="00E82D1F" w:rsidRPr="00451078">
        <w:rPr>
          <w:rFonts w:cs="Tahoma"/>
          <w:color w:val="000000"/>
          <w:szCs w:val="18"/>
          <w:lang w:val="it-IT"/>
        </w:rPr>
        <w:t> </w:t>
      </w:r>
      <w:r w:rsidRPr="00451078">
        <w:rPr>
          <w:rFonts w:cs="Tahoma"/>
          <w:color w:val="000000"/>
          <w:szCs w:val="18"/>
          <w:lang w:val="it-IT"/>
        </w:rPr>
        <w:t xml:space="preserve">Dynamics CRM, si dovrà ordinare lo stesso numero di Licenze </w:t>
      </w:r>
      <w:bookmarkStart w:id="1191" w:name="Srv_41DuetEnterpriseforOfficeandSAP"/>
      <w:bookmarkStart w:id="1192" w:name="Srv_38EntCALSuite"/>
      <w:r w:rsidR="001A3EC5" w:rsidRPr="00451078">
        <w:rPr>
          <w:rFonts w:cs="Tahoma"/>
          <w:color w:val="000000"/>
          <w:szCs w:val="18"/>
          <w:lang w:val="it-IT"/>
        </w:rPr>
        <w:t>“</w:t>
      </w:r>
      <w:r w:rsidRPr="00451078">
        <w:rPr>
          <w:rFonts w:cs="Tahoma"/>
          <w:color w:val="000000"/>
          <w:szCs w:val="18"/>
          <w:lang w:val="it-IT"/>
        </w:rPr>
        <w:t>Subscription</w:t>
      </w:r>
      <w:r w:rsidR="001A3EC5" w:rsidRPr="00451078">
        <w:rPr>
          <w:rFonts w:cs="Tahoma"/>
          <w:color w:val="000000"/>
          <w:szCs w:val="18"/>
          <w:lang w:val="it-IT"/>
        </w:rPr>
        <w:t>”</w:t>
      </w:r>
      <w:r w:rsidRPr="00451078">
        <w:rPr>
          <w:rFonts w:cs="Tahoma"/>
          <w:color w:val="000000"/>
          <w:szCs w:val="18"/>
          <w:lang w:val="it-IT"/>
        </w:rPr>
        <w:t xml:space="preserve"> per Utente.</w:t>
      </w:r>
    </w:p>
    <w:p w:rsidR="006E28CC" w:rsidRPr="00451078" w:rsidRDefault="006E28CC" w:rsidP="005614CA">
      <w:pPr>
        <w:ind w:left="720"/>
        <w:rPr>
          <w:lang w:val="it-IT"/>
        </w:rPr>
      </w:pPr>
    </w:p>
    <w:p w:rsidR="006E28CC" w:rsidRPr="00451078" w:rsidRDefault="006E28CC" w:rsidP="006D6A83">
      <w:pPr>
        <w:spacing w:after="60"/>
        <w:ind w:left="720"/>
        <w:rPr>
          <w:lang w:val="it-IT"/>
        </w:rPr>
      </w:pPr>
      <w:r w:rsidRPr="00451078">
        <w:rPr>
          <w:b/>
          <w:lang w:val="it-IT"/>
        </w:rPr>
        <w:t>Microsoft Dynamics CRM Online - Microsoft Dynamics Marketing Online Integration Grant</w:t>
      </w:r>
    </w:p>
    <w:p w:rsidR="003165D6" w:rsidRPr="00451078" w:rsidRDefault="006E28CC" w:rsidP="009B3FA2">
      <w:pPr>
        <w:ind w:left="720"/>
        <w:rPr>
          <w:lang w:val="it-IT"/>
        </w:rPr>
      </w:pPr>
      <w:r w:rsidRPr="00451078">
        <w:rPr>
          <w:lang w:val="it-IT"/>
        </w:rPr>
        <w:t>La rinuncia di licenza che segue si applica agli utenti in possesso della licenza per Microsoft Dynamics Marketing Online con l</w:t>
      </w:r>
      <w:r w:rsidR="004525CA">
        <w:rPr>
          <w:lang w:val="it-IT"/>
        </w:rPr>
        <w:t>’</w:t>
      </w:r>
      <w:r w:rsidRPr="00451078">
        <w:rPr>
          <w:lang w:val="it-IT"/>
        </w:rPr>
        <w:t xml:space="preserve">opzione Maintenance Support and Upgrade attiva che accedono al servizio Microsoft Dynamics CRM Online direttamente o indirettamente tramite il Software </w:t>
      </w:r>
      <w:r w:rsidRPr="00451078">
        <w:rPr>
          <w:bCs/>
          <w:lang w:val="it-IT"/>
        </w:rPr>
        <w:t xml:space="preserve">MarketingPilot Connector per Microsoft Dynamics CRM </w:t>
      </w:r>
      <w:r w:rsidRPr="00451078">
        <w:rPr>
          <w:lang w:val="it-IT"/>
        </w:rPr>
        <w:t>al solo scopo di sincronizzare i dati della società. Tali utenti non richiedono una USL per Microsoft Dynamics CRM Online. Tale rinuncia si applica fino al</w:t>
      </w:r>
      <w:r w:rsidRPr="00451078">
        <w:rPr>
          <w:rFonts w:eastAsia="Calibri"/>
          <w:lang w:val="it-IT"/>
        </w:rPr>
        <w:t xml:space="preserve"> </w:t>
      </w:r>
      <w:r w:rsidRPr="00451078">
        <w:rPr>
          <w:lang w:val="it-IT"/>
        </w:rPr>
        <w:t>30 giugno 2014. Dopo tale data Microsoft si riserva il diritto di richiedere le USL appropriate.</w:t>
      </w:r>
      <w:bookmarkStart w:id="1193" w:name="Srv_45EntCALBridgeWinIntune"/>
      <w:bookmarkEnd w:id="1191"/>
    </w:p>
    <w:p w:rsidR="003165D6" w:rsidRPr="00451078" w:rsidRDefault="003165D6" w:rsidP="00162A93">
      <w:pPr>
        <w:pStyle w:val="Heading3"/>
        <w:ind w:left="180" w:hanging="180"/>
        <w:rPr>
          <w:lang w:val="it-IT"/>
        </w:rPr>
      </w:pPr>
    </w:p>
    <w:p w:rsidR="00101859" w:rsidRPr="00451078" w:rsidRDefault="00101859" w:rsidP="00101859">
      <w:pPr>
        <w:rPr>
          <w:lang w:val="it-IT"/>
        </w:rPr>
      </w:pPr>
    </w:p>
    <w:p w:rsidR="00162A93" w:rsidRPr="00451078" w:rsidRDefault="00A7003F" w:rsidP="00E82D1F">
      <w:pPr>
        <w:pStyle w:val="Heading3"/>
        <w:ind w:left="230" w:hanging="230"/>
        <w:rPr>
          <w:lang w:val="it-IT"/>
        </w:rPr>
      </w:pPr>
      <w:bookmarkStart w:id="1194" w:name="_41_Enterprise_CAL"/>
      <w:bookmarkStart w:id="1195" w:name="_Toc336338303"/>
      <w:bookmarkStart w:id="1196" w:name="_Toc352234894"/>
      <w:bookmarkEnd w:id="1194"/>
      <w:r w:rsidRPr="00451078">
        <w:rPr>
          <w:rFonts w:ascii="Tahoma" w:hAnsi="Tahoma" w:cs="Tahoma"/>
          <w:caps/>
          <w:color w:val="F66400"/>
          <w:sz w:val="22"/>
          <w:vertAlign w:val="superscript"/>
          <w:lang w:val="it-IT"/>
        </w:rPr>
        <w:t xml:space="preserve">41 </w:t>
      </w:r>
      <w:r w:rsidRPr="00451078">
        <w:rPr>
          <w:rFonts w:ascii="Tahoma" w:hAnsi="Tahoma"/>
          <w:color w:val="F66400"/>
          <w:sz w:val="22"/>
          <w:lang w:val="it-IT"/>
        </w:rPr>
        <w:t>Enterprise CAL Suite Bridge per Office 365, Enterprise CAL Suite Bridge per Office 365 e Windows Intune ed Enterprise CAL Suite Bridge per Windows Intune</w:t>
      </w:r>
      <w:bookmarkEnd w:id="1195"/>
      <w:bookmarkEnd w:id="1196"/>
      <w:r w:rsidRPr="00451078">
        <w:rPr>
          <w:rFonts w:ascii="Tahoma" w:hAnsi="Tahoma"/>
          <w:color w:val="F66400"/>
          <w:sz w:val="22"/>
          <w:lang w:val="it-IT"/>
        </w:rPr>
        <w:t xml:space="preserve"> </w:t>
      </w:r>
    </w:p>
    <w:p w:rsidR="00BD2BE7" w:rsidRPr="00451078" w:rsidRDefault="00BD2BE7" w:rsidP="0084072C">
      <w:pPr>
        <w:rPr>
          <w:lang w:val="it-IT"/>
        </w:rPr>
      </w:pPr>
    </w:p>
    <w:bookmarkEnd w:id="1193"/>
    <w:p w:rsidR="0084072C" w:rsidRPr="00451078" w:rsidRDefault="00162A93" w:rsidP="0084072C">
      <w:pPr>
        <w:spacing w:after="60"/>
        <w:ind w:left="720"/>
        <w:rPr>
          <w:lang w:val="it-IT"/>
        </w:rPr>
      </w:pPr>
      <w:r w:rsidRPr="00451078">
        <w:rPr>
          <w:rFonts w:cs="Tahoma"/>
          <w:b/>
          <w:szCs w:val="18"/>
          <w:lang w:val="it-IT"/>
        </w:rPr>
        <w:t>Definizione</w:t>
      </w:r>
    </w:p>
    <w:p w:rsidR="00162A93" w:rsidRPr="00451078" w:rsidRDefault="001A3EC5" w:rsidP="0084072C">
      <w:pPr>
        <w:ind w:left="720"/>
        <w:rPr>
          <w:lang w:val="it-IT"/>
        </w:rPr>
      </w:pPr>
      <w:r w:rsidRPr="00451078">
        <w:rPr>
          <w:rFonts w:cs="Tahoma"/>
          <w:szCs w:val="18"/>
          <w:lang w:val="it-IT"/>
        </w:rPr>
        <w:t>“</w:t>
      </w:r>
      <w:r w:rsidR="00162A93" w:rsidRPr="00451078">
        <w:rPr>
          <w:rFonts w:cs="Tahoma"/>
          <w:szCs w:val="18"/>
          <w:lang w:val="it-IT"/>
        </w:rPr>
        <w:t>Transizione</w:t>
      </w:r>
      <w:r w:rsidRPr="00451078">
        <w:rPr>
          <w:rFonts w:cs="Tahoma"/>
          <w:szCs w:val="18"/>
          <w:lang w:val="it-IT"/>
        </w:rPr>
        <w:t>”</w:t>
      </w:r>
      <w:r w:rsidR="00162A93" w:rsidRPr="00451078">
        <w:rPr>
          <w:rFonts w:cs="Tahoma"/>
          <w:szCs w:val="18"/>
          <w:lang w:val="it-IT"/>
        </w:rPr>
        <w:t xml:space="preserve"> indica la conversione di una Licenza con copertura Software Assurance attiva in una licenza </w:t>
      </w:r>
      <w:r w:rsidRPr="00451078">
        <w:rPr>
          <w:rFonts w:cs="Tahoma"/>
          <w:szCs w:val="18"/>
          <w:lang w:val="it-IT"/>
        </w:rPr>
        <w:t>“</w:t>
      </w:r>
      <w:r w:rsidR="00162A93" w:rsidRPr="00451078">
        <w:rPr>
          <w:rFonts w:cs="Tahoma"/>
          <w:szCs w:val="18"/>
          <w:lang w:val="it-IT"/>
        </w:rPr>
        <w:t>Subscription</w:t>
      </w:r>
      <w:r w:rsidRPr="00451078">
        <w:rPr>
          <w:rFonts w:cs="Tahoma"/>
          <w:szCs w:val="18"/>
          <w:lang w:val="it-IT"/>
        </w:rPr>
        <w:t>”</w:t>
      </w:r>
      <w:r w:rsidR="00162A93" w:rsidRPr="00451078">
        <w:rPr>
          <w:rFonts w:cs="Tahoma"/>
          <w:szCs w:val="18"/>
          <w:lang w:val="it-IT"/>
        </w:rPr>
        <w:t xml:space="preserve"> o viceversa.</w:t>
      </w:r>
      <w:r w:rsidR="00082E1C" w:rsidRPr="00451078">
        <w:rPr>
          <w:rFonts w:cs="Tahoma"/>
          <w:szCs w:val="18"/>
          <w:lang w:val="it-IT"/>
        </w:rPr>
        <w:t xml:space="preserve"> </w:t>
      </w:r>
    </w:p>
    <w:p w:rsidR="0084072C" w:rsidRDefault="0084072C" w:rsidP="0084072C">
      <w:pPr>
        <w:ind w:left="720"/>
        <w:rPr>
          <w:lang w:val="it-IT"/>
        </w:rPr>
      </w:pPr>
    </w:p>
    <w:p w:rsidR="00BC068F" w:rsidRPr="00451078" w:rsidRDefault="00BC068F" w:rsidP="0084072C">
      <w:pPr>
        <w:ind w:left="720"/>
        <w:rPr>
          <w:lang w:val="it-IT"/>
        </w:rPr>
      </w:pPr>
    </w:p>
    <w:p w:rsidR="0084072C" w:rsidRPr="00451078" w:rsidRDefault="0084072C" w:rsidP="0084072C">
      <w:pPr>
        <w:spacing w:after="60"/>
        <w:ind w:left="720"/>
        <w:rPr>
          <w:lang w:val="it-IT"/>
        </w:rPr>
      </w:pPr>
      <w:r w:rsidRPr="00451078">
        <w:rPr>
          <w:rFonts w:cs="Tahoma"/>
          <w:b/>
          <w:szCs w:val="18"/>
          <w:lang w:val="it-IT"/>
        </w:rPr>
        <w:t>Diritti sull</w:t>
      </w:r>
      <w:r w:rsidR="004525CA">
        <w:rPr>
          <w:rFonts w:cs="Tahoma"/>
          <w:b/>
          <w:szCs w:val="18"/>
          <w:lang w:val="it-IT"/>
        </w:rPr>
        <w:t>’</w:t>
      </w:r>
      <w:r w:rsidRPr="00451078">
        <w:rPr>
          <w:rFonts w:cs="Tahoma"/>
          <w:b/>
          <w:szCs w:val="18"/>
          <w:lang w:val="it-IT"/>
        </w:rPr>
        <w:t>Utilizzo Applicabili</w:t>
      </w:r>
    </w:p>
    <w:p w:rsidR="00162A93" w:rsidRPr="00451078" w:rsidRDefault="00162A93" w:rsidP="0084072C">
      <w:pPr>
        <w:ind w:left="720"/>
        <w:rPr>
          <w:lang w:val="it-IT"/>
        </w:rPr>
      </w:pPr>
      <w:r w:rsidRPr="00451078">
        <w:rPr>
          <w:rFonts w:eastAsia="Calibri" w:cs="Tahoma"/>
          <w:szCs w:val="18"/>
          <w:lang w:val="it-IT"/>
        </w:rPr>
        <w:t xml:space="preserve">Una licenza CAL Suite Bridge non dispone di versioni e i Diritti di Utilizzo del Prodotto sono determinati dallo stato della copertura Software Assurance per tale licenza. Qualora la copertura Software Assurance sia scaduta, i diritti di accesso attribuiti da Licenze perpetue sono determinati sulla base dei Diritti di Utilizzo del </w:t>
      </w:r>
      <w:r w:rsidRPr="00451078">
        <w:rPr>
          <w:rFonts w:eastAsia="Calibri" w:cs="Tahoma"/>
          <w:szCs w:val="18"/>
          <w:lang w:val="it-IT"/>
        </w:rPr>
        <w:lastRenderedPageBreak/>
        <w:t>Prodotto in vigore prima della scadenza della copertura. Una Licenza per una CAL Suite Bridge è una licenza singola che dovrà essere ceduta a un utente o dispositivo singolo.</w:t>
      </w:r>
    </w:p>
    <w:p w:rsidR="0084072C" w:rsidRPr="00451078" w:rsidRDefault="0084072C" w:rsidP="0084072C">
      <w:pPr>
        <w:ind w:left="720"/>
        <w:rPr>
          <w:lang w:val="it-IT"/>
        </w:rPr>
      </w:pPr>
    </w:p>
    <w:p w:rsidR="0084072C" w:rsidRPr="00451078" w:rsidRDefault="00162A93" w:rsidP="0084072C">
      <w:pPr>
        <w:spacing w:after="60"/>
        <w:ind w:left="720"/>
        <w:rPr>
          <w:lang w:val="it-IT"/>
        </w:rPr>
      </w:pPr>
      <w:r w:rsidRPr="00451078">
        <w:rPr>
          <w:rFonts w:cs="Tahoma"/>
          <w:b/>
          <w:szCs w:val="18"/>
          <w:lang w:val="it-IT"/>
        </w:rPr>
        <w:t>Requisiti</w:t>
      </w:r>
    </w:p>
    <w:p w:rsidR="00162A93" w:rsidRPr="00451078" w:rsidRDefault="00162A93" w:rsidP="0084072C">
      <w:pPr>
        <w:ind w:left="720"/>
        <w:rPr>
          <w:lang w:val="it-IT"/>
        </w:rPr>
      </w:pPr>
      <w:r w:rsidRPr="00451078">
        <w:rPr>
          <w:rFonts w:eastAsia="Calibri" w:cs="Tahoma"/>
          <w:szCs w:val="18"/>
          <w:lang w:val="it-IT"/>
        </w:rPr>
        <w:t>Una CAL Suite Bridge potrà essere richiesta durante la Transizione da una CAL Suite a una combinazione di</w:t>
      </w:r>
      <w:r w:rsidR="00E82D1F" w:rsidRPr="00451078">
        <w:rPr>
          <w:rFonts w:eastAsia="Calibri" w:cs="Tahoma"/>
          <w:szCs w:val="18"/>
          <w:lang w:val="it-IT"/>
        </w:rPr>
        <w:t> </w:t>
      </w:r>
      <w:r w:rsidRPr="00451078">
        <w:rPr>
          <w:rFonts w:eastAsia="Calibri" w:cs="Tahoma"/>
          <w:szCs w:val="18"/>
          <w:lang w:val="it-IT"/>
        </w:rPr>
        <w:t>Servizi Online e Prodotti paragonabili. Quando una Transizione richiede una CAL Suite Bridge e la Licenza qualificante è stata pagata totalmente dalla Società, l</w:t>
      </w:r>
      <w:r w:rsidR="004525CA">
        <w:rPr>
          <w:rFonts w:eastAsia="Calibri" w:cs="Tahoma"/>
          <w:szCs w:val="18"/>
          <w:lang w:val="it-IT"/>
        </w:rPr>
        <w:t>’</w:t>
      </w:r>
      <w:r w:rsidRPr="00451078">
        <w:rPr>
          <w:rFonts w:eastAsia="Calibri" w:cs="Tahoma"/>
          <w:szCs w:val="18"/>
          <w:lang w:val="it-IT"/>
        </w:rPr>
        <w:t>acquisto di una Licenza per la CAL Suite Bridge non sarà necessario. La copertura Software Assurance potrà invece essere acquistata per la CAL Suite Bridge in</w:t>
      </w:r>
      <w:r w:rsidR="00E82D1F" w:rsidRPr="00451078">
        <w:rPr>
          <w:rFonts w:eastAsia="Calibri" w:cs="Tahoma"/>
          <w:szCs w:val="18"/>
          <w:lang w:val="it-IT"/>
        </w:rPr>
        <w:t> </w:t>
      </w:r>
      <w:r w:rsidRPr="00451078">
        <w:rPr>
          <w:rFonts w:eastAsia="Calibri" w:cs="Tahoma"/>
          <w:szCs w:val="18"/>
          <w:lang w:val="it-IT"/>
        </w:rPr>
        <w:t>occasione della ricorrenza dell</w:t>
      </w:r>
      <w:r w:rsidR="004525CA">
        <w:rPr>
          <w:rFonts w:eastAsia="Calibri" w:cs="Tahoma"/>
          <w:szCs w:val="18"/>
          <w:lang w:val="it-IT"/>
        </w:rPr>
        <w:t>’</w:t>
      </w:r>
      <w:r w:rsidRPr="00451078">
        <w:rPr>
          <w:rFonts w:eastAsia="Calibri" w:cs="Tahoma"/>
          <w:szCs w:val="18"/>
          <w:lang w:val="it-IT"/>
        </w:rPr>
        <w:t>Iscrizione durante la quale la Transizione è in vigore. In tali circostanze il</w:t>
      </w:r>
      <w:r w:rsidR="00E82D1F" w:rsidRPr="00451078">
        <w:rPr>
          <w:rFonts w:eastAsia="Calibri" w:cs="Tahoma"/>
          <w:szCs w:val="18"/>
          <w:lang w:val="it-IT"/>
        </w:rPr>
        <w:t> </w:t>
      </w:r>
      <w:r w:rsidRPr="00451078">
        <w:rPr>
          <w:rFonts w:eastAsia="Calibri" w:cs="Tahoma"/>
          <w:szCs w:val="18"/>
          <w:lang w:val="it-IT"/>
        </w:rPr>
        <w:t>rapporto della Transizione potrà essere solo di una copertura Software Assurance per CAL Suite Bridge per</w:t>
      </w:r>
      <w:r w:rsidR="00E82D1F" w:rsidRPr="00451078">
        <w:rPr>
          <w:rFonts w:eastAsia="Calibri" w:cs="Tahoma"/>
          <w:szCs w:val="18"/>
          <w:lang w:val="it-IT"/>
        </w:rPr>
        <w:t> </w:t>
      </w:r>
      <w:r w:rsidRPr="00451078">
        <w:rPr>
          <w:rFonts w:eastAsia="Calibri" w:cs="Tahoma"/>
          <w:szCs w:val="18"/>
          <w:lang w:val="it-IT"/>
        </w:rPr>
        <w:t>una copertura Software Assurance per CAL Suite e per la stessa Licenza per utente o dispositivo della CAL Suite qualificante.</w:t>
      </w:r>
      <w:r w:rsidR="00082E1C" w:rsidRPr="00451078">
        <w:rPr>
          <w:rFonts w:eastAsia="Calibri" w:cs="Tahoma"/>
          <w:szCs w:val="18"/>
          <w:lang w:val="it-IT"/>
        </w:rPr>
        <w:t xml:space="preserve"> </w:t>
      </w:r>
    </w:p>
    <w:p w:rsidR="0084072C" w:rsidRPr="00451078" w:rsidRDefault="0084072C" w:rsidP="0084072C">
      <w:pPr>
        <w:ind w:left="720"/>
        <w:rPr>
          <w:lang w:val="it-IT"/>
        </w:rPr>
      </w:pPr>
    </w:p>
    <w:p w:rsidR="00162A93" w:rsidRPr="00451078" w:rsidRDefault="00162A93" w:rsidP="0084072C">
      <w:pPr>
        <w:ind w:left="720"/>
        <w:rPr>
          <w:lang w:val="it-IT"/>
        </w:rPr>
      </w:pPr>
      <w:r w:rsidRPr="00451078">
        <w:rPr>
          <w:rFonts w:eastAsia="Calibri" w:cs="Tahoma"/>
          <w:szCs w:val="18"/>
          <w:lang w:val="it-IT"/>
        </w:rPr>
        <w:t>Una CAL Suite Bridge è un Prodotto Enterprise e potrà essere ottenuto in licenza solo insieme al Servizio Online qualificante per soddisfare il requisito a livello aziendale sia della CAL Suite Bridge che della CAL Suite</w:t>
      </w:r>
      <w:r w:rsidR="00E82D1F" w:rsidRPr="00451078">
        <w:rPr>
          <w:rFonts w:eastAsia="Calibri" w:cs="Tahoma"/>
          <w:szCs w:val="18"/>
          <w:lang w:val="it-IT"/>
        </w:rPr>
        <w:t> </w:t>
      </w:r>
      <w:r w:rsidRPr="00451078">
        <w:rPr>
          <w:rFonts w:eastAsia="Calibri" w:cs="Tahoma"/>
          <w:szCs w:val="18"/>
          <w:lang w:val="it-IT"/>
        </w:rPr>
        <w:t>principale.</w:t>
      </w:r>
    </w:p>
    <w:p w:rsidR="0084072C" w:rsidRPr="00451078" w:rsidRDefault="0084072C" w:rsidP="0084072C">
      <w:pPr>
        <w:ind w:left="720"/>
        <w:rPr>
          <w:lang w:val="it-IT"/>
        </w:rPr>
      </w:pPr>
    </w:p>
    <w:p w:rsidR="00162A93" w:rsidRPr="00451078" w:rsidRDefault="00162A93" w:rsidP="0084072C">
      <w:pPr>
        <w:ind w:left="720"/>
        <w:rPr>
          <w:lang w:val="it-IT"/>
        </w:rPr>
      </w:pPr>
    </w:p>
    <w:tbl>
      <w:tblPr>
        <w:tblW w:w="4394" w:type="pct"/>
        <w:jc w:val="center"/>
        <w:tblCellMar>
          <w:left w:w="0" w:type="dxa"/>
          <w:right w:w="0" w:type="dxa"/>
        </w:tblCellMar>
        <w:tblLook w:val="04A0" w:firstRow="1" w:lastRow="0" w:firstColumn="1" w:lastColumn="0" w:noHBand="0" w:noVBand="1"/>
      </w:tblPr>
      <w:tblGrid>
        <w:gridCol w:w="2565"/>
        <w:gridCol w:w="2709"/>
        <w:gridCol w:w="2969"/>
      </w:tblGrid>
      <w:tr w:rsidR="00162A93" w:rsidRPr="003410C7" w:rsidTr="00E82D1F">
        <w:trPr>
          <w:tblHeader/>
          <w:jc w:val="center"/>
        </w:trPr>
        <w:tc>
          <w:tcPr>
            <w:tcW w:w="1556" w:type="pct"/>
            <w:tcBorders>
              <w:top w:val="single" w:sz="8" w:space="0" w:color="auto"/>
              <w:left w:val="single" w:sz="8" w:space="0" w:color="auto"/>
              <w:bottom w:val="single" w:sz="8" w:space="0" w:color="auto"/>
              <w:right w:val="single" w:sz="8" w:space="0" w:color="auto"/>
            </w:tcBorders>
            <w:shd w:val="clear" w:color="auto" w:fill="FABF8F"/>
            <w:vAlign w:val="center"/>
            <w:hideMark/>
          </w:tcPr>
          <w:p w:rsidR="00162A93" w:rsidRPr="003410C7" w:rsidRDefault="00162A93" w:rsidP="007E466C">
            <w:pPr>
              <w:spacing w:before="120" w:after="120" w:line="276" w:lineRule="auto"/>
              <w:ind w:left="175"/>
              <w:jc w:val="center"/>
              <w:rPr>
                <w:rFonts w:eastAsia="Calibri" w:cs="Tahoma"/>
                <w:b/>
                <w:bCs/>
                <w:color w:val="000000"/>
                <w:szCs w:val="18"/>
                <w:lang w:eastAsia="ja-JP"/>
              </w:rPr>
            </w:pPr>
            <w:r w:rsidRPr="003410C7">
              <w:rPr>
                <w:rFonts w:eastAsia="Calibri" w:cs="Tahoma"/>
                <w:b/>
                <w:bCs/>
                <w:szCs w:val="18"/>
              </w:rPr>
              <w:t>CAL Suite Bridge</w:t>
            </w:r>
          </w:p>
        </w:tc>
        <w:tc>
          <w:tcPr>
            <w:tcW w:w="1643" w:type="pct"/>
            <w:tcBorders>
              <w:top w:val="single" w:sz="8" w:space="0" w:color="auto"/>
              <w:left w:val="nil"/>
              <w:bottom w:val="single" w:sz="8" w:space="0" w:color="auto"/>
              <w:right w:val="single" w:sz="8" w:space="0" w:color="auto"/>
            </w:tcBorders>
            <w:shd w:val="clear" w:color="auto" w:fill="FABF8F"/>
            <w:vAlign w:val="center"/>
            <w:hideMark/>
          </w:tcPr>
          <w:p w:rsidR="00162A93" w:rsidRPr="003410C7" w:rsidRDefault="00162A93" w:rsidP="007E466C">
            <w:pPr>
              <w:spacing w:before="120" w:after="120" w:line="276" w:lineRule="auto"/>
              <w:ind w:left="180"/>
              <w:jc w:val="center"/>
              <w:rPr>
                <w:rFonts w:eastAsia="Calibri" w:cs="Tahoma"/>
                <w:b/>
                <w:bCs/>
                <w:color w:val="000000"/>
                <w:szCs w:val="18"/>
                <w:lang w:eastAsia="ja-JP"/>
              </w:rPr>
            </w:pPr>
            <w:r w:rsidRPr="003410C7">
              <w:rPr>
                <w:rFonts w:eastAsia="Calibri" w:cs="Tahoma"/>
                <w:b/>
                <w:bCs/>
                <w:szCs w:val="18"/>
              </w:rPr>
              <w:t>CAL Suite Principale</w:t>
            </w:r>
          </w:p>
        </w:tc>
        <w:tc>
          <w:tcPr>
            <w:tcW w:w="1801" w:type="pct"/>
            <w:tcBorders>
              <w:top w:val="single" w:sz="8" w:space="0" w:color="auto"/>
              <w:left w:val="nil"/>
              <w:bottom w:val="single" w:sz="8" w:space="0" w:color="auto"/>
              <w:right w:val="single" w:sz="8" w:space="0" w:color="auto"/>
            </w:tcBorders>
            <w:shd w:val="clear" w:color="auto" w:fill="FABF8F"/>
            <w:vAlign w:val="center"/>
            <w:hideMark/>
          </w:tcPr>
          <w:p w:rsidR="00162A93" w:rsidRPr="003410C7" w:rsidRDefault="00162A93" w:rsidP="007E466C">
            <w:pPr>
              <w:spacing w:before="120" w:after="120" w:line="276" w:lineRule="auto"/>
              <w:ind w:left="180" w:right="247"/>
              <w:jc w:val="center"/>
              <w:rPr>
                <w:rFonts w:eastAsia="Calibri" w:cs="Tahoma"/>
                <w:b/>
                <w:bCs/>
                <w:color w:val="000000"/>
                <w:szCs w:val="18"/>
                <w:lang w:eastAsia="ja-JP"/>
              </w:rPr>
            </w:pPr>
            <w:r w:rsidRPr="003410C7">
              <w:rPr>
                <w:rFonts w:eastAsia="Calibri" w:cs="Tahoma"/>
                <w:b/>
                <w:bCs/>
                <w:szCs w:val="18"/>
              </w:rPr>
              <w:t>Servizi Online Qualificanti</w:t>
            </w:r>
          </w:p>
        </w:tc>
      </w:tr>
      <w:tr w:rsidR="00162A93" w:rsidRPr="003410C7" w:rsidTr="00E82D1F">
        <w:trPr>
          <w:trHeight w:val="576"/>
          <w:jc w:val="center"/>
        </w:trPr>
        <w:tc>
          <w:tcPr>
            <w:tcW w:w="1556" w:type="pct"/>
            <w:tcBorders>
              <w:top w:val="nil"/>
              <w:left w:val="single" w:sz="8" w:space="0" w:color="auto"/>
              <w:bottom w:val="single" w:sz="8" w:space="0" w:color="auto"/>
              <w:right w:val="single" w:sz="8" w:space="0" w:color="auto"/>
            </w:tcBorders>
          </w:tcPr>
          <w:p w:rsidR="00162A93" w:rsidRPr="003410C7" w:rsidRDefault="00162A93" w:rsidP="00745AB3">
            <w:pPr>
              <w:numPr>
                <w:ilvl w:val="0"/>
                <w:numId w:val="43"/>
              </w:numPr>
              <w:spacing w:before="60" w:after="60" w:line="276" w:lineRule="auto"/>
              <w:ind w:left="535" w:right="180"/>
              <w:rPr>
                <w:rFonts w:eastAsia="Calibri" w:cs="Tahoma"/>
                <w:szCs w:val="18"/>
              </w:rPr>
            </w:pPr>
            <w:r w:rsidRPr="003410C7">
              <w:rPr>
                <w:rFonts w:eastAsia="Calibri" w:cs="Tahoma"/>
                <w:color w:val="000000"/>
                <w:szCs w:val="18"/>
              </w:rPr>
              <w:t>Enterprise CAL Suite Bridge per Office 365</w:t>
            </w:r>
          </w:p>
        </w:tc>
        <w:tc>
          <w:tcPr>
            <w:tcW w:w="1643" w:type="pct"/>
            <w:tcBorders>
              <w:top w:val="nil"/>
              <w:left w:val="nil"/>
              <w:bottom w:val="single" w:sz="8" w:space="0" w:color="auto"/>
              <w:right w:val="single" w:sz="8" w:space="0" w:color="auto"/>
            </w:tcBorders>
          </w:tcPr>
          <w:p w:rsidR="00162A93" w:rsidRPr="003410C7" w:rsidRDefault="00162A93" w:rsidP="00745AB3">
            <w:pPr>
              <w:numPr>
                <w:ilvl w:val="0"/>
                <w:numId w:val="44"/>
              </w:numPr>
              <w:spacing w:before="80" w:after="200" w:line="276" w:lineRule="auto"/>
              <w:ind w:left="449" w:hanging="270"/>
              <w:jc w:val="both"/>
              <w:rPr>
                <w:rFonts w:eastAsia="Calibri" w:cs="Tahoma"/>
                <w:szCs w:val="18"/>
              </w:rPr>
            </w:pPr>
            <w:r w:rsidRPr="003410C7">
              <w:rPr>
                <w:rFonts w:eastAsia="Calibri" w:cs="Tahoma"/>
                <w:color w:val="000000"/>
                <w:szCs w:val="18"/>
              </w:rPr>
              <w:t>Enterprise CAL Suite</w:t>
            </w:r>
          </w:p>
        </w:tc>
        <w:tc>
          <w:tcPr>
            <w:tcW w:w="1801" w:type="pct"/>
            <w:tcBorders>
              <w:top w:val="nil"/>
              <w:left w:val="nil"/>
              <w:bottom w:val="single" w:sz="8" w:space="0" w:color="auto"/>
              <w:right w:val="single" w:sz="8" w:space="0" w:color="auto"/>
            </w:tcBorders>
          </w:tcPr>
          <w:p w:rsidR="00162A93" w:rsidRPr="003410C7" w:rsidRDefault="00162A93" w:rsidP="00745AB3">
            <w:pPr>
              <w:numPr>
                <w:ilvl w:val="0"/>
                <w:numId w:val="45"/>
              </w:numPr>
              <w:spacing w:before="80" w:after="200" w:line="276" w:lineRule="auto"/>
              <w:ind w:left="630"/>
            </w:pPr>
            <w:r w:rsidRPr="003410C7">
              <w:rPr>
                <w:rFonts w:eastAsia="Calibri" w:cs="Tahoma"/>
                <w:color w:val="000000"/>
                <w:szCs w:val="18"/>
              </w:rPr>
              <w:t>Office 365 Enterprise E3 o</w:t>
            </w:r>
          </w:p>
          <w:p w:rsidR="00162A93" w:rsidRPr="003410C7" w:rsidRDefault="00162A93" w:rsidP="00745AB3">
            <w:pPr>
              <w:numPr>
                <w:ilvl w:val="0"/>
                <w:numId w:val="45"/>
              </w:numPr>
              <w:spacing w:before="80" w:after="200" w:line="276" w:lineRule="auto"/>
              <w:ind w:left="630"/>
              <w:rPr>
                <w:rFonts w:eastAsia="Calibri" w:cs="Tahoma"/>
                <w:color w:val="000000"/>
                <w:szCs w:val="18"/>
              </w:rPr>
            </w:pPr>
            <w:r w:rsidRPr="003410C7">
              <w:rPr>
                <w:rFonts w:eastAsia="Calibri" w:cs="Tahoma"/>
                <w:color w:val="000000"/>
                <w:szCs w:val="18"/>
              </w:rPr>
              <w:t>Office 365 Enterprise E4</w:t>
            </w:r>
          </w:p>
        </w:tc>
      </w:tr>
      <w:tr w:rsidR="00162A93" w:rsidRPr="003410C7" w:rsidTr="00E82D1F">
        <w:trPr>
          <w:trHeight w:val="576"/>
          <w:jc w:val="center"/>
        </w:trPr>
        <w:tc>
          <w:tcPr>
            <w:tcW w:w="1556" w:type="pct"/>
            <w:tcBorders>
              <w:top w:val="nil"/>
              <w:left w:val="single" w:sz="8" w:space="0" w:color="auto"/>
              <w:bottom w:val="single" w:sz="8" w:space="0" w:color="auto"/>
              <w:right w:val="single" w:sz="8" w:space="0" w:color="auto"/>
            </w:tcBorders>
          </w:tcPr>
          <w:p w:rsidR="00162A93" w:rsidRPr="003410C7" w:rsidRDefault="00162A93" w:rsidP="00745AB3">
            <w:pPr>
              <w:numPr>
                <w:ilvl w:val="0"/>
                <w:numId w:val="43"/>
              </w:numPr>
              <w:spacing w:before="60" w:after="60" w:line="276" w:lineRule="auto"/>
              <w:ind w:left="535" w:right="180"/>
              <w:rPr>
                <w:rFonts w:eastAsia="Calibri" w:cs="Tahoma"/>
                <w:szCs w:val="18"/>
              </w:rPr>
            </w:pPr>
            <w:r w:rsidRPr="003410C7">
              <w:rPr>
                <w:rFonts w:eastAsia="Calibri" w:cs="Tahoma"/>
                <w:color w:val="000000"/>
                <w:szCs w:val="18"/>
              </w:rPr>
              <w:t>Enterprise CAL Suite Bridge per Office 365 e</w:t>
            </w:r>
            <w:r w:rsidR="00E82D1F">
              <w:rPr>
                <w:rFonts w:eastAsia="Calibri" w:cs="Tahoma"/>
                <w:color w:val="000000"/>
                <w:szCs w:val="18"/>
              </w:rPr>
              <w:t> </w:t>
            </w:r>
            <w:r w:rsidRPr="003410C7">
              <w:rPr>
                <w:rFonts w:eastAsia="Calibri" w:cs="Tahoma"/>
                <w:color w:val="000000"/>
                <w:szCs w:val="18"/>
              </w:rPr>
              <w:t>Windows Intune</w:t>
            </w:r>
          </w:p>
        </w:tc>
        <w:tc>
          <w:tcPr>
            <w:tcW w:w="1643" w:type="pct"/>
            <w:tcBorders>
              <w:top w:val="nil"/>
              <w:left w:val="nil"/>
              <w:bottom w:val="single" w:sz="8" w:space="0" w:color="auto"/>
              <w:right w:val="single" w:sz="8" w:space="0" w:color="auto"/>
            </w:tcBorders>
          </w:tcPr>
          <w:p w:rsidR="00162A93" w:rsidRPr="003410C7" w:rsidRDefault="00162A93" w:rsidP="00745AB3">
            <w:pPr>
              <w:numPr>
                <w:ilvl w:val="0"/>
                <w:numId w:val="44"/>
              </w:numPr>
              <w:spacing w:before="80" w:after="200" w:line="276" w:lineRule="auto"/>
              <w:ind w:left="449" w:hanging="270"/>
              <w:jc w:val="both"/>
              <w:rPr>
                <w:rFonts w:eastAsia="Calibri" w:cs="Tahoma"/>
                <w:szCs w:val="18"/>
              </w:rPr>
            </w:pPr>
            <w:r w:rsidRPr="003410C7">
              <w:rPr>
                <w:rFonts w:eastAsia="Calibri" w:cs="Tahoma"/>
                <w:color w:val="000000"/>
                <w:szCs w:val="18"/>
              </w:rPr>
              <w:t>Enterprise CAL Suite</w:t>
            </w:r>
          </w:p>
        </w:tc>
        <w:tc>
          <w:tcPr>
            <w:tcW w:w="1801" w:type="pct"/>
            <w:tcBorders>
              <w:top w:val="nil"/>
              <w:left w:val="nil"/>
              <w:bottom w:val="single" w:sz="8" w:space="0" w:color="auto"/>
              <w:right w:val="single" w:sz="8" w:space="0" w:color="auto"/>
            </w:tcBorders>
          </w:tcPr>
          <w:p w:rsidR="00162A93" w:rsidRPr="003410C7" w:rsidRDefault="00162A93" w:rsidP="00745AB3">
            <w:pPr>
              <w:numPr>
                <w:ilvl w:val="0"/>
                <w:numId w:val="45"/>
              </w:numPr>
              <w:spacing w:before="80" w:after="200" w:line="276" w:lineRule="auto"/>
              <w:ind w:left="630"/>
            </w:pPr>
            <w:r w:rsidRPr="003410C7">
              <w:rPr>
                <w:rFonts w:eastAsia="Calibri" w:cs="Tahoma"/>
                <w:color w:val="000000"/>
                <w:szCs w:val="18"/>
              </w:rPr>
              <w:t>Office 365 Enterprise E3 e</w:t>
            </w:r>
            <w:r w:rsidR="00E82D1F">
              <w:rPr>
                <w:rFonts w:eastAsia="Calibri" w:cs="Tahoma"/>
                <w:color w:val="000000"/>
                <w:szCs w:val="18"/>
              </w:rPr>
              <w:t> </w:t>
            </w:r>
            <w:r w:rsidRPr="003410C7">
              <w:rPr>
                <w:rFonts w:eastAsia="Calibri" w:cs="Tahoma"/>
                <w:color w:val="000000"/>
                <w:szCs w:val="18"/>
              </w:rPr>
              <w:t>Windows Intune o</w:t>
            </w:r>
          </w:p>
          <w:p w:rsidR="00162A93" w:rsidRPr="003410C7" w:rsidRDefault="00162A93" w:rsidP="00745AB3">
            <w:pPr>
              <w:numPr>
                <w:ilvl w:val="0"/>
                <w:numId w:val="45"/>
              </w:numPr>
              <w:spacing w:before="80" w:after="200" w:line="276" w:lineRule="auto"/>
              <w:ind w:left="630"/>
              <w:rPr>
                <w:rFonts w:eastAsia="Calibri" w:cs="Tahoma"/>
                <w:color w:val="000000"/>
                <w:szCs w:val="18"/>
              </w:rPr>
            </w:pPr>
            <w:r w:rsidRPr="003410C7">
              <w:rPr>
                <w:rFonts w:eastAsia="Calibri" w:cs="Tahoma"/>
                <w:color w:val="000000"/>
                <w:szCs w:val="18"/>
              </w:rPr>
              <w:t>Office 365 Enterprise E4 e</w:t>
            </w:r>
            <w:r w:rsidR="00E82D1F">
              <w:rPr>
                <w:rFonts w:eastAsia="Calibri" w:cs="Tahoma"/>
                <w:color w:val="000000"/>
                <w:szCs w:val="18"/>
              </w:rPr>
              <w:t> </w:t>
            </w:r>
            <w:r w:rsidRPr="003410C7">
              <w:rPr>
                <w:rFonts w:eastAsia="Calibri" w:cs="Tahoma"/>
                <w:color w:val="000000"/>
                <w:szCs w:val="18"/>
              </w:rPr>
              <w:t>Windows Intune</w:t>
            </w:r>
          </w:p>
        </w:tc>
      </w:tr>
      <w:tr w:rsidR="00162A93" w:rsidRPr="003410C7" w:rsidTr="00E82D1F">
        <w:trPr>
          <w:trHeight w:val="576"/>
          <w:jc w:val="center"/>
        </w:trPr>
        <w:tc>
          <w:tcPr>
            <w:tcW w:w="1556" w:type="pct"/>
            <w:tcBorders>
              <w:top w:val="nil"/>
              <w:left w:val="single" w:sz="8" w:space="0" w:color="auto"/>
              <w:bottom w:val="single" w:sz="8" w:space="0" w:color="auto"/>
              <w:right w:val="single" w:sz="8" w:space="0" w:color="auto"/>
            </w:tcBorders>
            <w:hideMark/>
          </w:tcPr>
          <w:p w:rsidR="00162A93" w:rsidRPr="003410C7" w:rsidRDefault="00162A93" w:rsidP="00745AB3">
            <w:pPr>
              <w:numPr>
                <w:ilvl w:val="0"/>
                <w:numId w:val="43"/>
              </w:numPr>
              <w:spacing w:before="60" w:after="60" w:line="276" w:lineRule="auto"/>
              <w:ind w:left="535" w:right="180"/>
              <w:rPr>
                <w:rFonts w:eastAsia="Calibri" w:cs="Tahoma"/>
                <w:color w:val="000000"/>
                <w:szCs w:val="18"/>
                <w:lang w:eastAsia="ja-JP"/>
              </w:rPr>
            </w:pPr>
            <w:r w:rsidRPr="003410C7">
              <w:rPr>
                <w:rFonts w:eastAsia="Calibri" w:cs="Tahoma"/>
                <w:szCs w:val="18"/>
              </w:rPr>
              <w:t>Enterprise CAL Suite Bridge per Windows Intune</w:t>
            </w:r>
          </w:p>
        </w:tc>
        <w:tc>
          <w:tcPr>
            <w:tcW w:w="1643" w:type="pct"/>
            <w:tcBorders>
              <w:top w:val="nil"/>
              <w:left w:val="nil"/>
              <w:bottom w:val="single" w:sz="8" w:space="0" w:color="auto"/>
              <w:right w:val="single" w:sz="8" w:space="0" w:color="auto"/>
            </w:tcBorders>
            <w:hideMark/>
          </w:tcPr>
          <w:p w:rsidR="00162A93" w:rsidRPr="003410C7" w:rsidRDefault="00162A93" w:rsidP="00745AB3">
            <w:pPr>
              <w:numPr>
                <w:ilvl w:val="0"/>
                <w:numId w:val="44"/>
              </w:numPr>
              <w:spacing w:before="80" w:after="200" w:line="276" w:lineRule="auto"/>
              <w:ind w:left="449" w:hanging="270"/>
              <w:jc w:val="both"/>
              <w:rPr>
                <w:rFonts w:eastAsia="Calibri" w:cs="Tahoma"/>
                <w:color w:val="000000"/>
                <w:szCs w:val="18"/>
                <w:lang w:eastAsia="ja-JP"/>
              </w:rPr>
            </w:pPr>
            <w:r w:rsidRPr="003410C7">
              <w:rPr>
                <w:rFonts w:eastAsia="Calibri" w:cs="Tahoma"/>
                <w:szCs w:val="18"/>
              </w:rPr>
              <w:t>Enterprise CAL Suite</w:t>
            </w:r>
          </w:p>
        </w:tc>
        <w:tc>
          <w:tcPr>
            <w:tcW w:w="1801" w:type="pct"/>
            <w:tcBorders>
              <w:top w:val="nil"/>
              <w:left w:val="nil"/>
              <w:bottom w:val="single" w:sz="8" w:space="0" w:color="auto"/>
              <w:right w:val="single" w:sz="8" w:space="0" w:color="auto"/>
            </w:tcBorders>
            <w:hideMark/>
          </w:tcPr>
          <w:p w:rsidR="00162A93" w:rsidRPr="003410C7" w:rsidRDefault="00162A93" w:rsidP="00745AB3">
            <w:pPr>
              <w:numPr>
                <w:ilvl w:val="0"/>
                <w:numId w:val="45"/>
              </w:numPr>
              <w:spacing w:before="80" w:after="200" w:line="276" w:lineRule="auto"/>
              <w:ind w:left="630"/>
              <w:rPr>
                <w:rFonts w:cs="Tahoma"/>
                <w:color w:val="000000"/>
                <w:szCs w:val="18"/>
              </w:rPr>
            </w:pPr>
            <w:r w:rsidRPr="003410C7">
              <w:rPr>
                <w:rFonts w:eastAsia="Calibri" w:cs="Tahoma"/>
                <w:color w:val="000000"/>
                <w:szCs w:val="18"/>
              </w:rPr>
              <w:t>Windows Intune</w:t>
            </w:r>
          </w:p>
        </w:tc>
      </w:tr>
    </w:tbl>
    <w:p w:rsidR="005614CA" w:rsidRPr="003410C7" w:rsidRDefault="005614CA" w:rsidP="00E03856">
      <w:pPr>
        <w:pStyle w:val="Heading3"/>
      </w:pPr>
      <w:bookmarkStart w:id="1197" w:name="_Toc336338304"/>
      <w:bookmarkStart w:id="1198" w:name="Srv_43EnterpriseCALSuite"/>
      <w:bookmarkEnd w:id="1185"/>
      <w:bookmarkEnd w:id="1192"/>
    </w:p>
    <w:p w:rsidR="005614CA" w:rsidRDefault="005614CA" w:rsidP="005614CA"/>
    <w:p w:rsidR="00652053" w:rsidRPr="003410C7" w:rsidRDefault="00A7003F" w:rsidP="00652053">
      <w:pPr>
        <w:pStyle w:val="Heading3"/>
      </w:pPr>
      <w:bookmarkStart w:id="1199" w:name="_42_Enterprise_CAL"/>
      <w:bookmarkStart w:id="1200" w:name="_Toc352234895"/>
      <w:bookmarkEnd w:id="1199"/>
      <w:r w:rsidRPr="003410C7">
        <w:rPr>
          <w:rFonts w:ascii="Tahoma" w:hAnsi="Tahoma"/>
          <w:caps/>
          <w:color w:val="F66400"/>
          <w:sz w:val="22"/>
          <w:vertAlign w:val="superscript"/>
        </w:rPr>
        <w:t>42</w:t>
      </w:r>
      <w:r w:rsidRPr="003410C7">
        <w:rPr>
          <w:rFonts w:ascii="Tahoma" w:hAnsi="Tahoma"/>
          <w:color w:val="F66400"/>
          <w:sz w:val="22"/>
        </w:rPr>
        <w:t xml:space="preserve"> Enterprise CAL Suite</w:t>
      </w:r>
      <w:bookmarkEnd w:id="1197"/>
      <w:bookmarkEnd w:id="1200"/>
      <w:r w:rsidRPr="003410C7">
        <w:rPr>
          <w:rFonts w:ascii="Tahoma" w:hAnsi="Tahoma"/>
          <w:color w:val="F66400"/>
          <w:sz w:val="22"/>
        </w:rPr>
        <w:t xml:space="preserve"> </w:t>
      </w:r>
    </w:p>
    <w:bookmarkEnd w:id="1198"/>
    <w:p w:rsidR="00023FE7" w:rsidRPr="003410C7" w:rsidRDefault="00023FE7" w:rsidP="0084072C"/>
    <w:p w:rsidR="009A727E" w:rsidRPr="00451078" w:rsidRDefault="008446D1" w:rsidP="0084072C">
      <w:pPr>
        <w:ind w:left="720"/>
        <w:rPr>
          <w:lang w:val="it-IT"/>
        </w:rPr>
      </w:pPr>
      <w:r w:rsidRPr="00451078">
        <w:rPr>
          <w:rFonts w:cs="Tahoma"/>
          <w:szCs w:val="20"/>
          <w:lang w:val="it-IT"/>
        </w:rPr>
        <w:t>Enterprise CAL Suite non dispone di versioni e i diritti di utilizzo del prodotto sono determinati dallo stato della copertura Software Assurance per Enterprise CAL Suite.</w:t>
      </w:r>
      <w:r w:rsidR="00082E1C" w:rsidRPr="00451078">
        <w:rPr>
          <w:rFonts w:cs="Tahoma"/>
          <w:szCs w:val="20"/>
          <w:lang w:val="it-IT"/>
        </w:rPr>
        <w:t xml:space="preserve"> </w:t>
      </w:r>
      <w:r w:rsidRPr="00451078">
        <w:rPr>
          <w:rFonts w:cs="Tahoma"/>
          <w:szCs w:val="20"/>
          <w:lang w:val="it-IT"/>
        </w:rPr>
        <w:t>Qualora la copertura sia scaduta, i diritti di</w:t>
      </w:r>
      <w:r w:rsidR="00E82D1F" w:rsidRPr="00451078">
        <w:rPr>
          <w:rFonts w:cs="Tahoma"/>
          <w:szCs w:val="20"/>
          <w:lang w:val="it-IT"/>
        </w:rPr>
        <w:t> </w:t>
      </w:r>
      <w:r w:rsidRPr="00451078">
        <w:rPr>
          <w:rFonts w:cs="Tahoma"/>
          <w:szCs w:val="20"/>
          <w:lang w:val="it-IT"/>
        </w:rPr>
        <w:t>accesso attribuiti da licenze perpetue sono determinati sulla base dei diritti di utilizzo del prodotto in vigore</w:t>
      </w:r>
      <w:r w:rsidR="00E82D1F" w:rsidRPr="00451078">
        <w:rPr>
          <w:rFonts w:cs="Tahoma"/>
          <w:szCs w:val="20"/>
          <w:lang w:val="it-IT"/>
        </w:rPr>
        <w:t> </w:t>
      </w:r>
      <w:r w:rsidRPr="00451078">
        <w:rPr>
          <w:rFonts w:cs="Tahoma"/>
          <w:szCs w:val="20"/>
          <w:lang w:val="it-IT"/>
        </w:rPr>
        <w:t>prima della scadenza della copertura.</w:t>
      </w:r>
      <w:r w:rsidR="00082E1C" w:rsidRPr="00451078">
        <w:rPr>
          <w:rFonts w:cs="Tahoma"/>
          <w:szCs w:val="20"/>
          <w:lang w:val="it-IT"/>
        </w:rPr>
        <w:t xml:space="preserve"> </w:t>
      </w:r>
      <w:r w:rsidRPr="00451078">
        <w:rPr>
          <w:rFonts w:cs="Tahoma"/>
          <w:szCs w:val="20"/>
          <w:lang w:val="it-IT"/>
        </w:rPr>
        <w:t>I diritti associati alle offerte dei Servizi Online cesseranno alla scadenza della copertura Software Assurance, indipendentemente dal fatto che l</w:t>
      </w:r>
      <w:r w:rsidR="004525CA">
        <w:rPr>
          <w:rFonts w:cs="Tahoma"/>
          <w:szCs w:val="20"/>
          <w:lang w:val="it-IT"/>
        </w:rPr>
        <w:t>’</w:t>
      </w:r>
      <w:r w:rsidRPr="00451078">
        <w:rPr>
          <w:rFonts w:cs="Tahoma"/>
          <w:szCs w:val="20"/>
          <w:lang w:val="it-IT"/>
        </w:rPr>
        <w:t>Enterprise CAL suite sia perpetua o meno.</w:t>
      </w:r>
      <w:r w:rsidR="00082E1C" w:rsidRPr="00451078">
        <w:rPr>
          <w:rFonts w:cs="Tahoma"/>
          <w:szCs w:val="20"/>
          <w:lang w:val="it-IT"/>
        </w:rPr>
        <w:t xml:space="preserve"> </w:t>
      </w:r>
      <w:r w:rsidRPr="00451078">
        <w:rPr>
          <w:rFonts w:cs="Tahoma"/>
          <w:szCs w:val="20"/>
          <w:lang w:val="it-IT"/>
        </w:rPr>
        <w:t>A decorrere dal 1 aprile 2013 una licenza per Enterprise CAL Suite con copertura Software Assurance attiva concede diritti equivalenti ai seguenti prodotti: tutti i componenti attuali di Core CAL Suite, Exchange Enterprise CAL con Services 2013, Archiviazione Exchange Online per Exchange Server, SharePoint Server Enterprise CAL 2013, Lync Server Enterprise CAL 2013, CAL per Windows Server 2012 Active Directory Rights Management Services e tutti i componenti attuali di System Center 2012 Client Management Suite.</w:t>
      </w:r>
      <w:r w:rsidR="00082E1C" w:rsidRPr="00451078">
        <w:rPr>
          <w:rFonts w:cs="Tahoma"/>
          <w:szCs w:val="20"/>
          <w:lang w:val="it-IT"/>
        </w:rPr>
        <w:t xml:space="preserve"> </w:t>
      </w:r>
      <w:r w:rsidRPr="00451078">
        <w:rPr>
          <w:rFonts w:cs="Tahoma"/>
          <w:szCs w:val="20"/>
          <w:lang w:val="it-IT"/>
        </w:rPr>
        <w:t>Una licenza per Enterprise CAL Suite è una licenza singola che deve essere assegnata a un singolo utente o dispositivo.</w:t>
      </w:r>
      <w:r w:rsidR="00082E1C" w:rsidRPr="00451078">
        <w:rPr>
          <w:rFonts w:cs="Tahoma"/>
          <w:szCs w:val="20"/>
          <w:lang w:val="it-IT"/>
        </w:rPr>
        <w:t xml:space="preserve"> </w:t>
      </w:r>
      <w:r w:rsidRPr="00451078">
        <w:rPr>
          <w:rFonts w:cs="Tahoma"/>
          <w:szCs w:val="20"/>
          <w:lang w:val="it-IT"/>
        </w:rPr>
        <w:t>Secondo quanto previsto nel relativo contratto multilicenza, la società non può separare i diritti di Enterprise CAL Suite per consentire a due o più utenti o dispositivi di accedere contemporaneamente ai diversi componenti.</w:t>
      </w:r>
      <w:r w:rsidR="00082E1C" w:rsidRPr="00451078">
        <w:rPr>
          <w:rFonts w:cs="Tahoma"/>
          <w:szCs w:val="20"/>
          <w:lang w:val="it-IT"/>
        </w:rPr>
        <w:t xml:space="preserve"> </w:t>
      </w:r>
    </w:p>
    <w:p w:rsidR="00163658" w:rsidRPr="00451078" w:rsidRDefault="00163658" w:rsidP="0084072C">
      <w:pPr>
        <w:ind w:left="720"/>
        <w:rPr>
          <w:lang w:val="it-IT"/>
        </w:rPr>
      </w:pPr>
      <w:r w:rsidRPr="00451078">
        <w:rPr>
          <w:rFonts w:cs="Tahoma"/>
          <w:b/>
          <w:szCs w:val="20"/>
          <w:lang w:val="it-IT"/>
        </w:rPr>
        <w:t>Erogazione dei Servizi Online inclusi nell</w:t>
      </w:r>
      <w:r w:rsidR="004525CA">
        <w:rPr>
          <w:rFonts w:cs="Tahoma"/>
          <w:b/>
          <w:szCs w:val="20"/>
          <w:lang w:val="it-IT"/>
        </w:rPr>
        <w:t>’</w:t>
      </w:r>
      <w:r w:rsidRPr="00451078">
        <w:rPr>
          <w:rFonts w:cs="Tahoma"/>
          <w:b/>
          <w:szCs w:val="20"/>
          <w:lang w:val="it-IT"/>
        </w:rPr>
        <w:t>Enterprise CAL Suite</w:t>
      </w:r>
    </w:p>
    <w:p w:rsidR="00391D38" w:rsidRPr="00451078" w:rsidRDefault="00391D38" w:rsidP="0084072C">
      <w:pPr>
        <w:ind w:left="720"/>
        <w:rPr>
          <w:lang w:val="it-IT"/>
        </w:rPr>
      </w:pPr>
    </w:p>
    <w:p w:rsidR="00163658" w:rsidRPr="00451078" w:rsidRDefault="00163658" w:rsidP="0084072C">
      <w:pPr>
        <w:ind w:left="720"/>
        <w:rPr>
          <w:lang w:val="it-IT"/>
        </w:rPr>
      </w:pPr>
      <w:r w:rsidRPr="00451078">
        <w:rPr>
          <w:rFonts w:cs="Tahoma"/>
          <w:szCs w:val="20"/>
          <w:lang w:val="it-IT"/>
        </w:rPr>
        <w:t>A decorrere dal 1 aprile 2013 una licenza per Enterprise CAL Suite con copertura Software Assurance attiva include i diritti per Archiviazione Exchange Online per Exchange Server, Prevenzione della Perdita dei Dati ed</w:t>
      </w:r>
      <w:r w:rsidR="00E82D1F" w:rsidRPr="00451078">
        <w:rPr>
          <w:rFonts w:cs="Tahoma"/>
          <w:szCs w:val="20"/>
          <w:lang w:val="it-IT"/>
        </w:rPr>
        <w:t> </w:t>
      </w:r>
      <w:r w:rsidRPr="00451078">
        <w:rPr>
          <w:rFonts w:cs="Tahoma"/>
          <w:szCs w:val="20"/>
          <w:lang w:val="it-IT"/>
        </w:rPr>
        <w:t xml:space="preserve">Exchange Online Protection. </w:t>
      </w:r>
    </w:p>
    <w:p w:rsidR="00163658" w:rsidRPr="00451078" w:rsidRDefault="00163658" w:rsidP="0084072C">
      <w:pPr>
        <w:ind w:left="720"/>
        <w:rPr>
          <w:lang w:val="it-IT"/>
        </w:rPr>
      </w:pPr>
      <w:r w:rsidRPr="00451078">
        <w:rPr>
          <w:rFonts w:cs="Tahoma"/>
          <w:szCs w:val="20"/>
          <w:lang w:val="it-IT"/>
        </w:rPr>
        <w:lastRenderedPageBreak/>
        <w:t>Per iniziare a utilizzare questi servizi, la società dovrà contattare il proprio Microsoft Partner, che può avviare il processo di erogazione necessario per l</w:t>
      </w:r>
      <w:r w:rsidR="004525CA">
        <w:rPr>
          <w:rFonts w:cs="Tahoma"/>
          <w:szCs w:val="20"/>
          <w:lang w:val="it-IT"/>
        </w:rPr>
        <w:t>’</w:t>
      </w:r>
      <w:r w:rsidRPr="00451078">
        <w:rPr>
          <w:rFonts w:cs="Tahoma"/>
          <w:szCs w:val="20"/>
          <w:lang w:val="it-IT"/>
        </w:rPr>
        <w:t>attivazione di ciascun servizio.</w:t>
      </w:r>
    </w:p>
    <w:p w:rsidR="00103AD5" w:rsidRPr="00451078" w:rsidRDefault="00103AD5" w:rsidP="0084072C">
      <w:pPr>
        <w:ind w:left="720"/>
        <w:rPr>
          <w:lang w:val="it-IT"/>
        </w:rPr>
      </w:pPr>
    </w:p>
    <w:p w:rsidR="00391D38" w:rsidRPr="00451078" w:rsidRDefault="00391D38" w:rsidP="00391D38">
      <w:pPr>
        <w:ind w:left="720"/>
        <w:rPr>
          <w:lang w:val="it-IT"/>
        </w:rPr>
      </w:pPr>
      <w:r w:rsidRPr="00451078">
        <w:rPr>
          <w:rFonts w:cs="Tahoma"/>
          <w:szCs w:val="20"/>
          <w:lang w:val="it-IT"/>
        </w:rPr>
        <w:t>Qualora la società o la propria Consociata Iscritta utilizzi Archiviazione Exchange Online per Exchange Server, Prevenzione della Perdita dei Dati o Exchange Online Protection nell</w:t>
      </w:r>
      <w:r w:rsidR="004525CA">
        <w:rPr>
          <w:rFonts w:cs="Tahoma"/>
          <w:szCs w:val="20"/>
          <w:lang w:val="it-IT"/>
        </w:rPr>
        <w:t>’</w:t>
      </w:r>
      <w:r w:rsidRPr="00451078">
        <w:rPr>
          <w:rFonts w:cs="Tahoma"/>
          <w:szCs w:val="20"/>
          <w:lang w:val="it-IT"/>
        </w:rPr>
        <w:t>ambito della propria Enterprise CAL Suite (ai fini dell</w:t>
      </w:r>
      <w:r w:rsidR="004525CA">
        <w:rPr>
          <w:rFonts w:cs="Tahoma"/>
          <w:szCs w:val="20"/>
          <w:lang w:val="it-IT"/>
        </w:rPr>
        <w:t>’</w:t>
      </w:r>
      <w:r w:rsidRPr="00451078">
        <w:rPr>
          <w:rFonts w:cs="Tahoma"/>
          <w:szCs w:val="20"/>
          <w:lang w:val="it-IT"/>
        </w:rPr>
        <w:t xml:space="preserve">interpretazione della presente nota </w:t>
      </w:r>
      <w:r w:rsidR="001A3EC5" w:rsidRPr="00451078">
        <w:rPr>
          <w:rFonts w:cs="Tahoma"/>
          <w:szCs w:val="20"/>
          <w:lang w:val="it-IT"/>
        </w:rPr>
        <w:t>“</w:t>
      </w:r>
      <w:r w:rsidRPr="00451078">
        <w:rPr>
          <w:rFonts w:cs="Tahoma"/>
          <w:szCs w:val="20"/>
          <w:lang w:val="it-IT"/>
        </w:rPr>
        <w:t>Servizi Online</w:t>
      </w:r>
      <w:r w:rsidR="001A3EC5" w:rsidRPr="00451078">
        <w:rPr>
          <w:rFonts w:cs="Tahoma"/>
          <w:szCs w:val="20"/>
          <w:lang w:val="it-IT"/>
        </w:rPr>
        <w:t>”</w:t>
      </w:r>
      <w:r w:rsidRPr="00451078">
        <w:rPr>
          <w:rFonts w:cs="Tahoma"/>
          <w:szCs w:val="20"/>
          <w:lang w:val="it-IT"/>
        </w:rPr>
        <w:t>), le seguenti Condizioni Supplementari per i Servizi Online (</w:t>
      </w:r>
      <w:r w:rsidR="001A3EC5" w:rsidRPr="00451078">
        <w:rPr>
          <w:rFonts w:cs="Tahoma"/>
          <w:szCs w:val="20"/>
          <w:lang w:val="it-IT"/>
        </w:rPr>
        <w:t>“</w:t>
      </w:r>
      <w:r w:rsidRPr="00451078">
        <w:rPr>
          <w:rFonts w:cs="Tahoma"/>
          <w:szCs w:val="20"/>
          <w:lang w:val="it-IT"/>
        </w:rPr>
        <w:t>Condizioni Supplementari</w:t>
      </w:r>
      <w:r w:rsidR="001A3EC5" w:rsidRPr="00451078">
        <w:rPr>
          <w:rFonts w:cs="Tahoma"/>
          <w:szCs w:val="20"/>
          <w:lang w:val="it-IT"/>
        </w:rPr>
        <w:t>”</w:t>
      </w:r>
      <w:r w:rsidRPr="00451078">
        <w:rPr>
          <w:rFonts w:cs="Tahoma"/>
          <w:szCs w:val="20"/>
          <w:lang w:val="it-IT"/>
        </w:rPr>
        <w:t>) si applicheranno a tale utilizzo, anziché eventuali condizioni contraddittorie presenti nel Contratto Multilicenza della società</w:t>
      </w:r>
      <w:r w:rsidRPr="00451078">
        <w:rPr>
          <w:rFonts w:cs="Tahoma"/>
          <w:bCs/>
          <w:iCs/>
          <w:snapToGrid w:val="0"/>
          <w:szCs w:val="18"/>
          <w:lang w:val="it-IT"/>
        </w:rPr>
        <w:t xml:space="preserve">: </w:t>
      </w:r>
    </w:p>
    <w:p w:rsidR="00391D38" w:rsidRPr="00451078" w:rsidRDefault="00391D38" w:rsidP="00391D38">
      <w:pPr>
        <w:keepNext/>
        <w:spacing w:before="120" w:after="60"/>
        <w:ind w:left="1440"/>
        <w:outlineLvl w:val="0"/>
        <w:rPr>
          <w:lang w:val="it-IT"/>
        </w:rPr>
      </w:pPr>
      <w:r w:rsidRPr="00451078">
        <w:rPr>
          <w:rFonts w:cs="Tahoma"/>
          <w:b/>
          <w:bCs/>
          <w:iCs/>
          <w:snapToGrid w:val="0"/>
          <w:szCs w:val="18"/>
          <w:lang w:val="it-IT"/>
        </w:rPr>
        <w:t>Definizioni.</w:t>
      </w:r>
    </w:p>
    <w:p w:rsidR="00391D38" w:rsidRPr="00451078" w:rsidRDefault="001A3EC5" w:rsidP="007E466C">
      <w:pPr>
        <w:ind w:left="1440"/>
        <w:jc w:val="both"/>
        <w:rPr>
          <w:lang w:val="it-IT"/>
        </w:rPr>
      </w:pPr>
      <w:r w:rsidRPr="00451078">
        <w:rPr>
          <w:rFonts w:cs="Tahoma"/>
          <w:snapToGrid w:val="0"/>
          <w:color w:val="000000"/>
          <w:szCs w:val="18"/>
          <w:lang w:val="it-IT"/>
        </w:rPr>
        <w:t>“</w:t>
      </w:r>
      <w:r w:rsidR="00391D38" w:rsidRPr="00451078">
        <w:rPr>
          <w:rFonts w:cs="Tahoma"/>
          <w:snapToGrid w:val="0"/>
          <w:color w:val="000000"/>
          <w:szCs w:val="18"/>
          <w:lang w:val="it-IT"/>
        </w:rPr>
        <w:t>Dati della Società</w:t>
      </w:r>
      <w:r w:rsidRPr="00451078">
        <w:rPr>
          <w:rFonts w:cs="Tahoma"/>
          <w:snapToGrid w:val="0"/>
          <w:color w:val="000000"/>
          <w:szCs w:val="18"/>
          <w:lang w:val="it-IT"/>
        </w:rPr>
        <w:t>”</w:t>
      </w:r>
      <w:r w:rsidR="00391D38" w:rsidRPr="00451078">
        <w:rPr>
          <w:rFonts w:cs="Tahoma"/>
          <w:snapToGrid w:val="0"/>
          <w:color w:val="000000"/>
          <w:szCs w:val="18"/>
          <w:lang w:val="it-IT"/>
        </w:rPr>
        <w:t xml:space="preserve"> indica tutti i dati, inclusi tutti i file di testo, audio, software e immagine forniti a</w:t>
      </w:r>
      <w:r w:rsidR="00E82D1F" w:rsidRPr="00451078">
        <w:rPr>
          <w:rFonts w:cs="Tahoma"/>
          <w:snapToGrid w:val="0"/>
          <w:color w:val="000000"/>
          <w:szCs w:val="18"/>
          <w:lang w:val="it-IT"/>
        </w:rPr>
        <w:t> </w:t>
      </w:r>
      <w:r w:rsidR="00391D38" w:rsidRPr="00451078">
        <w:rPr>
          <w:rFonts w:cs="Tahoma"/>
          <w:snapToGrid w:val="0"/>
          <w:color w:val="000000"/>
          <w:szCs w:val="18"/>
          <w:lang w:val="it-IT"/>
        </w:rPr>
        <w:t>Microsoft dalla o per conto della società tramite l</w:t>
      </w:r>
      <w:r w:rsidR="004525CA">
        <w:rPr>
          <w:rFonts w:cs="Tahoma"/>
          <w:snapToGrid w:val="0"/>
          <w:color w:val="000000"/>
          <w:szCs w:val="18"/>
          <w:lang w:val="it-IT"/>
        </w:rPr>
        <w:t>’</w:t>
      </w:r>
      <w:r w:rsidR="00391D38" w:rsidRPr="00451078">
        <w:rPr>
          <w:rFonts w:cs="Tahoma"/>
          <w:snapToGrid w:val="0"/>
          <w:color w:val="000000"/>
          <w:szCs w:val="18"/>
          <w:lang w:val="it-IT"/>
        </w:rPr>
        <w:t>utilizzo dei Servizi Online da parte della società.</w:t>
      </w:r>
    </w:p>
    <w:p w:rsidR="00391D38" w:rsidRPr="00451078" w:rsidRDefault="001A3EC5" w:rsidP="00391D38">
      <w:pPr>
        <w:spacing w:before="120"/>
        <w:ind w:left="1440"/>
        <w:jc w:val="both"/>
        <w:rPr>
          <w:lang w:val="it-IT"/>
        </w:rPr>
      </w:pPr>
      <w:r w:rsidRPr="00451078">
        <w:rPr>
          <w:rFonts w:cs="Tahoma"/>
          <w:snapToGrid w:val="0"/>
          <w:color w:val="000000"/>
          <w:szCs w:val="18"/>
          <w:lang w:val="it-IT"/>
        </w:rPr>
        <w:t>“</w:t>
      </w:r>
      <w:r w:rsidR="00391D38" w:rsidRPr="00451078">
        <w:rPr>
          <w:rFonts w:cs="Tahoma"/>
          <w:snapToGrid w:val="0"/>
          <w:color w:val="000000"/>
          <w:szCs w:val="18"/>
          <w:lang w:val="it-IT"/>
        </w:rPr>
        <w:t>Contratto di Servizio</w:t>
      </w:r>
      <w:r w:rsidRPr="00451078">
        <w:rPr>
          <w:rFonts w:cs="Tahoma"/>
          <w:snapToGrid w:val="0"/>
          <w:color w:val="000000"/>
          <w:szCs w:val="18"/>
          <w:lang w:val="it-IT"/>
        </w:rPr>
        <w:t>”</w:t>
      </w:r>
      <w:r w:rsidR="00391D38" w:rsidRPr="00451078">
        <w:rPr>
          <w:rFonts w:cs="Tahoma"/>
          <w:snapToGrid w:val="0"/>
          <w:color w:val="000000"/>
          <w:szCs w:val="18"/>
          <w:lang w:val="it-IT"/>
        </w:rPr>
        <w:t xml:space="preserve"> indica il documento in cui vengono specificati gli standard cui Microsoft accetta di aderire e tramite i quali misura il livello di servizio per un Servizio Online.</w:t>
      </w:r>
    </w:p>
    <w:p w:rsidR="00391D38" w:rsidRPr="00451078" w:rsidRDefault="00391D38" w:rsidP="007E466C">
      <w:pPr>
        <w:keepNext/>
        <w:spacing w:before="120" w:after="60"/>
        <w:ind w:left="1440"/>
        <w:outlineLvl w:val="0"/>
        <w:rPr>
          <w:lang w:val="it-IT"/>
        </w:rPr>
      </w:pPr>
      <w:r w:rsidRPr="00451078">
        <w:rPr>
          <w:rFonts w:cs="Tahoma"/>
          <w:b/>
          <w:bCs/>
          <w:iCs/>
          <w:snapToGrid w:val="0"/>
          <w:szCs w:val="18"/>
          <w:lang w:val="it-IT"/>
        </w:rPr>
        <w:t>Ambito di Applicazione delle Condizioni Supplementari.</w:t>
      </w:r>
    </w:p>
    <w:p w:rsidR="00391D38" w:rsidRPr="00451078" w:rsidRDefault="00391D38" w:rsidP="007E466C">
      <w:pPr>
        <w:ind w:left="1440"/>
        <w:jc w:val="both"/>
        <w:rPr>
          <w:lang w:val="it-IT"/>
        </w:rPr>
      </w:pPr>
      <w:r w:rsidRPr="00451078">
        <w:rPr>
          <w:rFonts w:cs="Tahoma"/>
          <w:snapToGrid w:val="0"/>
          <w:color w:val="000000"/>
          <w:szCs w:val="18"/>
          <w:lang w:val="it-IT"/>
        </w:rPr>
        <w:t>Le presenti Condizioni Supplementari si applicano esclusivamente all</w:t>
      </w:r>
      <w:r w:rsidR="004525CA">
        <w:rPr>
          <w:rFonts w:cs="Tahoma"/>
          <w:snapToGrid w:val="0"/>
          <w:color w:val="000000"/>
          <w:szCs w:val="18"/>
          <w:lang w:val="it-IT"/>
        </w:rPr>
        <w:t>’</w:t>
      </w:r>
      <w:r w:rsidRPr="00451078">
        <w:rPr>
          <w:rFonts w:cs="Tahoma"/>
          <w:snapToGrid w:val="0"/>
          <w:color w:val="000000"/>
          <w:szCs w:val="18"/>
          <w:lang w:val="it-IT"/>
        </w:rPr>
        <w:t>acquisto e all</w:t>
      </w:r>
      <w:r w:rsidR="004525CA">
        <w:rPr>
          <w:rFonts w:cs="Tahoma"/>
          <w:snapToGrid w:val="0"/>
          <w:color w:val="000000"/>
          <w:szCs w:val="18"/>
          <w:lang w:val="it-IT"/>
        </w:rPr>
        <w:t>’</w:t>
      </w:r>
      <w:r w:rsidRPr="00451078">
        <w:rPr>
          <w:rFonts w:cs="Tahoma"/>
          <w:snapToGrid w:val="0"/>
          <w:color w:val="000000"/>
          <w:szCs w:val="18"/>
          <w:lang w:val="it-IT"/>
        </w:rPr>
        <w:t>utilizzo dei Servizi Online e dei Servizi da parte della società.</w:t>
      </w:r>
      <w:r w:rsidR="00082E1C" w:rsidRPr="00451078">
        <w:rPr>
          <w:rFonts w:cs="Tahoma"/>
          <w:snapToGrid w:val="0"/>
          <w:color w:val="000000"/>
          <w:szCs w:val="18"/>
          <w:lang w:val="it-IT"/>
        </w:rPr>
        <w:t xml:space="preserve"> </w:t>
      </w:r>
      <w:r w:rsidRPr="00451078">
        <w:rPr>
          <w:rFonts w:cs="Tahoma"/>
          <w:snapToGrid w:val="0"/>
          <w:color w:val="000000"/>
          <w:szCs w:val="18"/>
          <w:lang w:val="it-IT"/>
        </w:rPr>
        <w:t>Nell</w:t>
      </w:r>
      <w:r w:rsidR="004525CA">
        <w:rPr>
          <w:rFonts w:cs="Tahoma"/>
          <w:snapToGrid w:val="0"/>
          <w:color w:val="000000"/>
          <w:szCs w:val="18"/>
          <w:lang w:val="it-IT"/>
        </w:rPr>
        <w:t>’</w:t>
      </w:r>
      <w:r w:rsidRPr="00451078">
        <w:rPr>
          <w:rFonts w:cs="Tahoma"/>
          <w:snapToGrid w:val="0"/>
          <w:color w:val="000000"/>
          <w:szCs w:val="18"/>
          <w:lang w:val="it-IT"/>
        </w:rPr>
        <w:t>eventualità di una discrepanza tra le presenti Condizioni Supplementari e le condizioni dell</w:t>
      </w:r>
      <w:r w:rsidR="004525CA">
        <w:rPr>
          <w:rFonts w:cs="Tahoma"/>
          <w:snapToGrid w:val="0"/>
          <w:color w:val="000000"/>
          <w:szCs w:val="18"/>
          <w:lang w:val="it-IT"/>
        </w:rPr>
        <w:t>’</w:t>
      </w:r>
      <w:r w:rsidRPr="00451078">
        <w:rPr>
          <w:rFonts w:cs="Tahoma"/>
          <w:snapToGrid w:val="0"/>
          <w:color w:val="000000"/>
          <w:szCs w:val="18"/>
          <w:lang w:val="it-IT"/>
        </w:rPr>
        <w:t>Accordo Principale o del Contratto che non possano essere espressamente risolte dalle condizioni di tali documenti, le Condizioni Supplementari avranno prevalenza:</w:t>
      </w:r>
    </w:p>
    <w:p w:rsidR="00391D38" w:rsidRPr="00451078" w:rsidRDefault="00391D38" w:rsidP="007E466C">
      <w:pPr>
        <w:keepNext/>
        <w:spacing w:before="120" w:after="60"/>
        <w:ind w:left="1440"/>
        <w:outlineLvl w:val="0"/>
        <w:rPr>
          <w:lang w:val="it-IT"/>
        </w:rPr>
      </w:pPr>
      <w:r w:rsidRPr="00451078">
        <w:rPr>
          <w:rFonts w:cs="Tahoma"/>
          <w:b/>
          <w:bCs/>
          <w:iCs/>
          <w:snapToGrid w:val="0"/>
          <w:szCs w:val="18"/>
          <w:lang w:val="it-IT"/>
        </w:rPr>
        <w:t>Garanzia Limitata per i Servizi Online.</w:t>
      </w:r>
    </w:p>
    <w:p w:rsidR="00391D38" w:rsidRPr="00451078" w:rsidRDefault="00391D38" w:rsidP="007E466C">
      <w:pPr>
        <w:ind w:left="1440"/>
        <w:jc w:val="both"/>
        <w:rPr>
          <w:lang w:val="it-IT"/>
        </w:rPr>
      </w:pPr>
      <w:r w:rsidRPr="00451078">
        <w:rPr>
          <w:rFonts w:cs="Tahoma"/>
          <w:snapToGrid w:val="0"/>
          <w:color w:val="000000"/>
          <w:szCs w:val="18"/>
          <w:lang w:val="it-IT"/>
        </w:rPr>
        <w:t>Microsoft garantisce che i Servizi Online funzioneranno in conformità al Contratto di Servizio (SLA,</w:t>
      </w:r>
      <w:r w:rsidR="00E82D1F" w:rsidRPr="00451078">
        <w:rPr>
          <w:rFonts w:cs="Tahoma"/>
          <w:snapToGrid w:val="0"/>
          <w:color w:val="000000"/>
          <w:szCs w:val="18"/>
          <w:lang w:val="it-IT"/>
        </w:rPr>
        <w:t> </w:t>
      </w:r>
      <w:r w:rsidRPr="00451078">
        <w:rPr>
          <w:rFonts w:cs="Tahoma"/>
          <w:snapToGrid w:val="0"/>
          <w:color w:val="000000"/>
          <w:szCs w:val="18"/>
          <w:lang w:val="it-IT"/>
        </w:rPr>
        <w:t>Service Level Agreement) applicabile.</w:t>
      </w:r>
      <w:r w:rsidR="00082E1C" w:rsidRPr="00451078">
        <w:rPr>
          <w:rFonts w:cs="Tahoma"/>
          <w:snapToGrid w:val="0"/>
          <w:color w:val="000000"/>
          <w:szCs w:val="18"/>
          <w:lang w:val="it-IT"/>
        </w:rPr>
        <w:t xml:space="preserve"> </w:t>
      </w:r>
      <w:r w:rsidRPr="00451078">
        <w:rPr>
          <w:rFonts w:cs="Tahoma"/>
          <w:snapToGrid w:val="0"/>
          <w:color w:val="000000"/>
          <w:szCs w:val="18"/>
          <w:lang w:val="it-IT"/>
        </w:rPr>
        <w:t>La presente garanzia limitata è valida per tutta la durata dell</w:t>
      </w:r>
      <w:r w:rsidR="004525CA">
        <w:rPr>
          <w:rFonts w:cs="Tahoma"/>
          <w:snapToGrid w:val="0"/>
          <w:color w:val="000000"/>
          <w:szCs w:val="18"/>
          <w:lang w:val="it-IT"/>
        </w:rPr>
        <w:t>’</w:t>
      </w:r>
      <w:r w:rsidRPr="00451078">
        <w:rPr>
          <w:rFonts w:cs="Tahoma"/>
          <w:snapToGrid w:val="0"/>
          <w:color w:val="000000"/>
          <w:szCs w:val="18"/>
          <w:lang w:val="it-IT"/>
        </w:rPr>
        <w:t>utilizzo del Servizio Online da parte della società a condizione che vengano rispettati i requisiti in materia di comunicazioni specificati nel Contratto di Servizio applicabile.</w:t>
      </w:r>
    </w:p>
    <w:p w:rsidR="00391D38" w:rsidRPr="00451078" w:rsidRDefault="00391D38" w:rsidP="00391D38">
      <w:pPr>
        <w:spacing w:before="120"/>
        <w:ind w:left="1440"/>
        <w:jc w:val="both"/>
        <w:rPr>
          <w:rFonts w:cs="Tahoma"/>
          <w:snapToGrid w:val="0"/>
          <w:color w:val="000000"/>
          <w:szCs w:val="18"/>
          <w:lang w:val="it-IT"/>
        </w:rPr>
      </w:pPr>
      <w:r w:rsidRPr="00451078">
        <w:rPr>
          <w:rFonts w:cs="Tahoma"/>
          <w:snapToGrid w:val="0"/>
          <w:color w:val="000000"/>
          <w:szCs w:val="18"/>
          <w:lang w:val="it-IT"/>
        </w:rPr>
        <w:t>Qualora Microsoft non rispetti la presente garanzia limitata e la società ne dia comunicazione a</w:t>
      </w:r>
      <w:r w:rsidR="00E82D1F" w:rsidRPr="00451078">
        <w:rPr>
          <w:rFonts w:cs="Tahoma"/>
          <w:snapToGrid w:val="0"/>
          <w:color w:val="000000"/>
          <w:szCs w:val="18"/>
          <w:lang w:val="it-IT"/>
        </w:rPr>
        <w:t> </w:t>
      </w:r>
      <w:r w:rsidRPr="00451078">
        <w:rPr>
          <w:rFonts w:cs="Tahoma"/>
          <w:snapToGrid w:val="0"/>
          <w:color w:val="000000"/>
          <w:szCs w:val="18"/>
          <w:lang w:val="it-IT"/>
        </w:rPr>
        <w:t>Microsoft entro il periodo di validità della garanzia, Microsoft fornirà i rimedi indicati nel Contratto di Servizio per il Servizio Online interessato.</w:t>
      </w:r>
      <w:r w:rsidR="00082E1C" w:rsidRPr="00451078">
        <w:rPr>
          <w:rFonts w:cs="Tahoma"/>
          <w:snapToGrid w:val="0"/>
          <w:color w:val="000000"/>
          <w:szCs w:val="18"/>
          <w:lang w:val="it-IT"/>
        </w:rPr>
        <w:t xml:space="preserve"> </w:t>
      </w:r>
      <w:r w:rsidRPr="00451078">
        <w:rPr>
          <w:rFonts w:cs="Tahoma"/>
          <w:snapToGrid w:val="0"/>
          <w:color w:val="000000"/>
          <w:szCs w:val="18"/>
          <w:lang w:val="it-IT"/>
        </w:rPr>
        <w:t>Questi sono gli unici rimedi della società relativi all</w:t>
      </w:r>
      <w:r w:rsidR="004525CA">
        <w:rPr>
          <w:rFonts w:cs="Tahoma"/>
          <w:snapToGrid w:val="0"/>
          <w:color w:val="000000"/>
          <w:szCs w:val="18"/>
          <w:lang w:val="it-IT"/>
        </w:rPr>
        <w:t>’</w:t>
      </w:r>
      <w:r w:rsidRPr="00451078">
        <w:rPr>
          <w:rFonts w:cs="Tahoma"/>
          <w:snapToGrid w:val="0"/>
          <w:color w:val="000000"/>
          <w:szCs w:val="18"/>
          <w:lang w:val="it-IT"/>
        </w:rPr>
        <w:t>inadempimento della garanzia limitata, fatti salvi gli eventuali altri rimedi previsti dalla legge applicabile.</w:t>
      </w:r>
    </w:p>
    <w:p w:rsidR="00391D38" w:rsidRPr="00451078" w:rsidRDefault="00391D38" w:rsidP="00391D38">
      <w:pPr>
        <w:spacing w:before="120"/>
        <w:ind w:left="1440"/>
        <w:jc w:val="both"/>
        <w:rPr>
          <w:lang w:val="it-IT"/>
        </w:rPr>
      </w:pPr>
      <w:r w:rsidRPr="00451078">
        <w:rPr>
          <w:rFonts w:cs="Tahoma"/>
          <w:snapToGrid w:val="0"/>
          <w:color w:val="000000"/>
          <w:szCs w:val="18"/>
          <w:lang w:val="it-IT"/>
        </w:rPr>
        <w:t>Tale garanzia limitata è soggetta alle seguenti limitazioni:</w:t>
      </w:r>
    </w:p>
    <w:p w:rsidR="00391D38" w:rsidRPr="00451078" w:rsidRDefault="00391D38" w:rsidP="00745AB3">
      <w:pPr>
        <w:numPr>
          <w:ilvl w:val="0"/>
          <w:numId w:val="123"/>
        </w:numPr>
        <w:spacing w:before="120"/>
        <w:ind w:left="1800"/>
        <w:contextualSpacing/>
        <w:jc w:val="both"/>
        <w:rPr>
          <w:lang w:val="it-IT"/>
        </w:rPr>
      </w:pPr>
      <w:r w:rsidRPr="00451078">
        <w:rPr>
          <w:rFonts w:cs="Tahoma"/>
          <w:snapToGrid w:val="0"/>
          <w:color w:val="000000"/>
          <w:szCs w:val="18"/>
          <w:lang w:val="it-IT"/>
        </w:rPr>
        <w:t>qualsiasi garanzia o condizione implicita di legge, che non può essere esclusa contrattualmente avrà validità di un anno dalla data di inizio della garanzia limitata;</w:t>
      </w:r>
    </w:p>
    <w:p w:rsidR="00391D38" w:rsidRPr="00451078" w:rsidRDefault="00391D38" w:rsidP="00745AB3">
      <w:pPr>
        <w:numPr>
          <w:ilvl w:val="0"/>
          <w:numId w:val="123"/>
        </w:numPr>
        <w:spacing w:before="120"/>
        <w:ind w:left="1800"/>
        <w:contextualSpacing/>
        <w:jc w:val="both"/>
        <w:rPr>
          <w:lang w:val="it-IT"/>
        </w:rPr>
      </w:pPr>
      <w:r w:rsidRPr="00451078">
        <w:rPr>
          <w:rFonts w:cs="Tahoma"/>
          <w:snapToGrid w:val="0"/>
          <w:color w:val="000000"/>
          <w:szCs w:val="18"/>
          <w:lang w:val="it-IT"/>
        </w:rPr>
        <w:t>la garanzia limitata non copre problemi causati da incidenti, da un uso improprio o da un utilizzo non conforme alle disposizioni del presente Contratto Multilicenza della società o</w:t>
      </w:r>
      <w:r w:rsidR="00E82D1F" w:rsidRPr="00451078">
        <w:rPr>
          <w:rFonts w:cs="Tahoma"/>
          <w:snapToGrid w:val="0"/>
          <w:color w:val="000000"/>
          <w:szCs w:val="18"/>
          <w:lang w:val="it-IT"/>
        </w:rPr>
        <w:t> </w:t>
      </w:r>
      <w:r w:rsidRPr="00451078">
        <w:rPr>
          <w:rFonts w:cs="Tahoma"/>
          <w:snapToGrid w:val="0"/>
          <w:color w:val="000000"/>
          <w:szCs w:val="18"/>
          <w:lang w:val="it-IT"/>
        </w:rPr>
        <w:t>ai</w:t>
      </w:r>
      <w:r w:rsidR="00E82D1F" w:rsidRPr="00451078">
        <w:rPr>
          <w:rFonts w:cs="Tahoma"/>
          <w:snapToGrid w:val="0"/>
          <w:color w:val="000000"/>
          <w:szCs w:val="18"/>
          <w:lang w:val="it-IT"/>
        </w:rPr>
        <w:t> </w:t>
      </w:r>
      <w:r w:rsidRPr="00451078">
        <w:rPr>
          <w:rFonts w:cs="Tahoma"/>
          <w:snapToGrid w:val="0"/>
          <w:color w:val="000000"/>
          <w:szCs w:val="18"/>
          <w:lang w:val="it-IT"/>
        </w:rPr>
        <w:t>Diritti di Utilizzo del Prodotto oppure derivanti da eventi non soggetti al ragionevole controllo da parte di Microsoft;</w:t>
      </w:r>
    </w:p>
    <w:p w:rsidR="00391D38" w:rsidRPr="00451078" w:rsidRDefault="00391D38" w:rsidP="00745AB3">
      <w:pPr>
        <w:numPr>
          <w:ilvl w:val="0"/>
          <w:numId w:val="123"/>
        </w:numPr>
        <w:spacing w:before="120"/>
        <w:ind w:left="1800"/>
        <w:contextualSpacing/>
        <w:jc w:val="both"/>
        <w:rPr>
          <w:lang w:val="it-IT"/>
        </w:rPr>
      </w:pPr>
      <w:r w:rsidRPr="00451078">
        <w:rPr>
          <w:rFonts w:cs="Tahoma"/>
          <w:snapToGrid w:val="0"/>
          <w:color w:val="000000"/>
          <w:szCs w:val="18"/>
          <w:lang w:val="it-IT"/>
        </w:rPr>
        <w:t>la garanzia limitata non si applica a prodotti gratuiti, di valutazione, in versione preliminare o</w:t>
      </w:r>
      <w:r w:rsidR="00E82D1F" w:rsidRPr="00451078">
        <w:rPr>
          <w:rFonts w:cs="Tahoma"/>
          <w:snapToGrid w:val="0"/>
          <w:color w:val="000000"/>
          <w:szCs w:val="18"/>
          <w:lang w:val="it-IT"/>
        </w:rPr>
        <w:t> </w:t>
      </w:r>
      <w:r w:rsidRPr="00451078">
        <w:rPr>
          <w:rFonts w:cs="Tahoma"/>
          <w:snapToGrid w:val="0"/>
          <w:color w:val="000000"/>
          <w:szCs w:val="18"/>
          <w:lang w:val="it-IT"/>
        </w:rPr>
        <w:t>in</w:t>
      </w:r>
      <w:r w:rsidR="00E82D1F" w:rsidRPr="00451078">
        <w:rPr>
          <w:rFonts w:cs="Tahoma"/>
          <w:snapToGrid w:val="0"/>
          <w:color w:val="000000"/>
          <w:szCs w:val="18"/>
          <w:lang w:val="it-IT"/>
        </w:rPr>
        <w:t> </w:t>
      </w:r>
      <w:r w:rsidRPr="00451078">
        <w:rPr>
          <w:rFonts w:cs="Tahoma"/>
          <w:snapToGrid w:val="0"/>
          <w:color w:val="000000"/>
          <w:szCs w:val="18"/>
          <w:lang w:val="it-IT"/>
        </w:rPr>
        <w:t>versione beta dei Servizi Online e</w:t>
      </w:r>
    </w:p>
    <w:p w:rsidR="00391D38" w:rsidRPr="00451078" w:rsidRDefault="00391D38" w:rsidP="00745AB3">
      <w:pPr>
        <w:numPr>
          <w:ilvl w:val="0"/>
          <w:numId w:val="123"/>
        </w:numPr>
        <w:spacing w:before="120"/>
        <w:ind w:left="1800"/>
        <w:contextualSpacing/>
        <w:jc w:val="both"/>
        <w:rPr>
          <w:lang w:val="it-IT"/>
        </w:rPr>
      </w:pPr>
      <w:r w:rsidRPr="00451078">
        <w:rPr>
          <w:rFonts w:cs="Tahoma"/>
          <w:snapToGrid w:val="0"/>
          <w:color w:val="000000"/>
          <w:szCs w:val="18"/>
          <w:lang w:val="it-IT"/>
        </w:rPr>
        <w:t>la garanzia limitata non si applica a problemi dovuti al mancato soddisfacimento dei requisiti minimi di sistema.</w:t>
      </w:r>
    </w:p>
    <w:p w:rsidR="00391D38" w:rsidRPr="00451078" w:rsidRDefault="00391D38" w:rsidP="00391D38">
      <w:pPr>
        <w:spacing w:before="120"/>
        <w:ind w:left="1440"/>
        <w:jc w:val="both"/>
        <w:rPr>
          <w:lang w:val="it-IT"/>
        </w:rPr>
      </w:pPr>
      <w:r w:rsidRPr="00451078">
        <w:rPr>
          <w:rFonts w:cs="Tahoma"/>
          <w:b/>
          <w:bCs/>
          <w:snapToGrid w:val="0"/>
          <w:color w:val="000000"/>
          <w:szCs w:val="18"/>
          <w:lang w:val="it-IT"/>
        </w:rPr>
        <w:t>OLTRE ALLA PRESENTE GARANZIA LIMITATA, MICROSOFT NON FORNISCE ALTRE GARANZIE NÉ CONDIZIONI ESPRESSE O IMPLICITE. MICROSOFT NON RICONOSCE ALCUNA GARANZIA, DICHIARAZIONE NÉ CONDIZIONE IMPLICITA, INCLUSE LE GARANZIE DI COMMERCIABILITÀ (QUALITÀ NON INFERIORE ALLA MEDIA), ADEGUATEZZA PER UNO SCOPO SPECIFICO, QUALITÀ SODDISFACENTE, TITOLARITÀ O</w:t>
      </w:r>
      <w:r w:rsidR="00E82D1F" w:rsidRPr="00451078">
        <w:rPr>
          <w:rFonts w:cs="Tahoma"/>
          <w:b/>
          <w:bCs/>
          <w:snapToGrid w:val="0"/>
          <w:color w:val="000000"/>
          <w:szCs w:val="18"/>
          <w:lang w:val="it-IT"/>
        </w:rPr>
        <w:t> </w:t>
      </w:r>
      <w:r w:rsidRPr="00451078">
        <w:rPr>
          <w:rFonts w:cs="Tahoma"/>
          <w:b/>
          <w:bCs/>
          <w:snapToGrid w:val="0"/>
          <w:color w:val="000000"/>
          <w:szCs w:val="18"/>
          <w:lang w:val="it-IT"/>
        </w:rPr>
        <w:t>NON VIOLAZIONE DI DIRITTI DI TERZI.</w:t>
      </w:r>
      <w:r w:rsidR="00082E1C" w:rsidRPr="00451078">
        <w:rPr>
          <w:rFonts w:cs="Tahoma"/>
          <w:b/>
          <w:bCs/>
          <w:snapToGrid w:val="0"/>
          <w:color w:val="000000"/>
          <w:szCs w:val="18"/>
          <w:lang w:val="it-IT"/>
        </w:rPr>
        <w:t xml:space="preserve"> </w:t>
      </w:r>
      <w:r w:rsidRPr="00451078">
        <w:rPr>
          <w:rFonts w:cs="Tahoma"/>
          <w:b/>
          <w:bCs/>
          <w:snapToGrid w:val="0"/>
          <w:color w:val="000000"/>
          <w:szCs w:val="18"/>
          <w:lang w:val="it-IT"/>
        </w:rPr>
        <w:t>LE PRESENTI ESCLUSIONI SI APPLICHERANNO NELLA MISURA MASSIMA CONSENTITA DALLA LEGGE APPLICABILE.</w:t>
      </w:r>
    </w:p>
    <w:p w:rsidR="00391D38" w:rsidRPr="00451078" w:rsidRDefault="00391D38" w:rsidP="007E466C">
      <w:pPr>
        <w:keepNext/>
        <w:spacing w:before="120" w:after="60"/>
        <w:ind w:left="1440"/>
        <w:outlineLvl w:val="0"/>
        <w:rPr>
          <w:lang w:val="it-IT"/>
        </w:rPr>
      </w:pPr>
      <w:r w:rsidRPr="00451078">
        <w:rPr>
          <w:rFonts w:cs="Tahoma"/>
          <w:b/>
          <w:bCs/>
          <w:iCs/>
          <w:snapToGrid w:val="0"/>
          <w:szCs w:val="18"/>
          <w:lang w:val="it-IT"/>
        </w:rPr>
        <w:t>Sicurezza e diritto alla protezione dei dati personali.</w:t>
      </w:r>
    </w:p>
    <w:p w:rsidR="00391D38" w:rsidRPr="00451078" w:rsidRDefault="00391D38" w:rsidP="00745AB3">
      <w:pPr>
        <w:numPr>
          <w:ilvl w:val="1"/>
          <w:numId w:val="128"/>
        </w:numPr>
        <w:spacing w:before="120"/>
        <w:ind w:left="1800"/>
        <w:contextualSpacing/>
        <w:jc w:val="both"/>
        <w:rPr>
          <w:lang w:val="it-IT"/>
        </w:rPr>
      </w:pPr>
      <w:r w:rsidRPr="00451078">
        <w:rPr>
          <w:rFonts w:cs="Tahoma"/>
          <w:snapToGrid w:val="0"/>
          <w:color w:val="000000"/>
          <w:szCs w:val="18"/>
          <w:lang w:val="it-IT"/>
        </w:rPr>
        <w:t>Microsoft e la Società si atterranno a tutte le leggi e a tutti i regolamenti applicabili (inclusa la legge applicabile in materia di notifica dell</w:t>
      </w:r>
      <w:r w:rsidR="004525CA">
        <w:rPr>
          <w:rFonts w:cs="Tahoma"/>
          <w:snapToGrid w:val="0"/>
          <w:color w:val="000000"/>
          <w:szCs w:val="18"/>
          <w:lang w:val="it-IT"/>
        </w:rPr>
        <w:t>’</w:t>
      </w:r>
      <w:r w:rsidRPr="00451078">
        <w:rPr>
          <w:rFonts w:cs="Tahoma"/>
          <w:snapToGrid w:val="0"/>
          <w:color w:val="000000"/>
          <w:szCs w:val="18"/>
          <w:lang w:val="it-IT"/>
        </w:rPr>
        <w:t>inadempimento delle obbligazioni di protezione).</w:t>
      </w:r>
      <w:r w:rsidR="00082E1C" w:rsidRPr="00451078">
        <w:rPr>
          <w:rFonts w:cs="Tahoma"/>
          <w:snapToGrid w:val="0"/>
          <w:color w:val="000000"/>
          <w:szCs w:val="18"/>
          <w:lang w:val="it-IT"/>
        </w:rPr>
        <w:t xml:space="preserve"> </w:t>
      </w:r>
      <w:r w:rsidRPr="00451078">
        <w:rPr>
          <w:rFonts w:cs="Tahoma"/>
          <w:snapToGrid w:val="0"/>
          <w:color w:val="000000"/>
          <w:szCs w:val="18"/>
          <w:lang w:val="it-IT"/>
        </w:rPr>
        <w:t>Microsoft non è tuttavia responsabile della conformità alle leggi o ai regolamenti applicabili da parte della società o da parte del settore cui la società appartiene che non siano generalmente applicabili ai fornitori di servizi informatici.</w:t>
      </w:r>
      <w:r w:rsidR="00082E1C" w:rsidRPr="00451078">
        <w:rPr>
          <w:rFonts w:cs="Tahoma"/>
          <w:snapToGrid w:val="0"/>
          <w:color w:val="000000"/>
          <w:szCs w:val="18"/>
          <w:lang w:val="it-IT"/>
        </w:rPr>
        <w:t xml:space="preserve"> </w:t>
      </w:r>
      <w:r w:rsidRPr="00451078">
        <w:rPr>
          <w:rFonts w:cs="Tahoma"/>
          <w:snapToGrid w:val="0"/>
          <w:color w:val="000000"/>
          <w:szCs w:val="18"/>
          <w:lang w:val="it-IT"/>
        </w:rPr>
        <w:t>La società autorizza Microsoft e coloro che agiscono per suo conto a elaborare le informazioni personali al fine di agevolare l</w:t>
      </w:r>
      <w:r w:rsidR="004525CA">
        <w:rPr>
          <w:rFonts w:cs="Tahoma"/>
          <w:snapToGrid w:val="0"/>
          <w:color w:val="000000"/>
          <w:szCs w:val="18"/>
          <w:lang w:val="it-IT"/>
        </w:rPr>
        <w:t>’</w:t>
      </w:r>
      <w:r w:rsidRPr="00451078">
        <w:rPr>
          <w:rFonts w:cs="Tahoma"/>
          <w:snapToGrid w:val="0"/>
          <w:color w:val="000000"/>
          <w:szCs w:val="18"/>
          <w:lang w:val="it-IT"/>
        </w:rPr>
        <w:t>esecuzione del Contratto, incluse le presenti Condizioni Supplementari.</w:t>
      </w:r>
    </w:p>
    <w:p w:rsidR="00391D38" w:rsidRPr="00451078" w:rsidRDefault="00391D38" w:rsidP="00745AB3">
      <w:pPr>
        <w:numPr>
          <w:ilvl w:val="1"/>
          <w:numId w:val="128"/>
        </w:numPr>
        <w:spacing w:before="120"/>
        <w:ind w:left="1800"/>
        <w:contextualSpacing/>
        <w:jc w:val="both"/>
        <w:rPr>
          <w:lang w:val="it-IT"/>
        </w:rPr>
      </w:pPr>
      <w:r w:rsidRPr="00451078">
        <w:rPr>
          <w:rFonts w:cs="Tahoma"/>
          <w:snapToGrid w:val="0"/>
          <w:color w:val="000000"/>
          <w:szCs w:val="18"/>
          <w:lang w:val="it-IT"/>
        </w:rPr>
        <w:lastRenderedPageBreak/>
        <w:t>In relazione all</w:t>
      </w:r>
      <w:r w:rsidR="004525CA">
        <w:rPr>
          <w:rFonts w:cs="Tahoma"/>
          <w:snapToGrid w:val="0"/>
          <w:color w:val="000000"/>
          <w:szCs w:val="18"/>
          <w:lang w:val="it-IT"/>
        </w:rPr>
        <w:t>’</w:t>
      </w:r>
      <w:r w:rsidRPr="00451078">
        <w:rPr>
          <w:rFonts w:cs="Tahoma"/>
          <w:snapToGrid w:val="0"/>
          <w:color w:val="000000"/>
          <w:szCs w:val="18"/>
          <w:lang w:val="it-IT"/>
        </w:rPr>
        <w:t>utilizzo dei Servizi Online o nell</w:t>
      </w:r>
      <w:r w:rsidR="004525CA">
        <w:rPr>
          <w:rFonts w:cs="Tahoma"/>
          <w:snapToGrid w:val="0"/>
          <w:color w:val="000000"/>
          <w:szCs w:val="18"/>
          <w:lang w:val="it-IT"/>
        </w:rPr>
        <w:t>’</w:t>
      </w:r>
      <w:r w:rsidRPr="00451078">
        <w:rPr>
          <w:rFonts w:cs="Tahoma"/>
          <w:snapToGrid w:val="0"/>
          <w:color w:val="000000"/>
          <w:szCs w:val="18"/>
          <w:lang w:val="it-IT"/>
        </w:rPr>
        <w:t>ambito del Contratto la società potrà decidere di</w:t>
      </w:r>
      <w:r w:rsidR="00E82D1F" w:rsidRPr="00451078">
        <w:rPr>
          <w:rFonts w:cs="Tahoma"/>
          <w:snapToGrid w:val="0"/>
          <w:color w:val="000000"/>
          <w:szCs w:val="18"/>
          <w:lang w:val="it-IT"/>
        </w:rPr>
        <w:t> </w:t>
      </w:r>
      <w:r w:rsidRPr="00451078">
        <w:rPr>
          <w:rFonts w:cs="Tahoma"/>
          <w:snapToGrid w:val="0"/>
          <w:color w:val="000000"/>
          <w:szCs w:val="18"/>
          <w:lang w:val="it-IT"/>
        </w:rPr>
        <w:t>fornire a Microsoft informazioni personali per conto di terzi (compresi i contatti, i rivenditori, i distributori, gli amministratori e i dipendenti della società).</w:t>
      </w:r>
      <w:r w:rsidR="00082E1C" w:rsidRPr="00451078">
        <w:rPr>
          <w:rFonts w:cs="Tahoma"/>
          <w:snapToGrid w:val="0"/>
          <w:color w:val="000000"/>
          <w:szCs w:val="18"/>
          <w:lang w:val="it-IT"/>
        </w:rPr>
        <w:t xml:space="preserve"> </w:t>
      </w:r>
      <w:r w:rsidRPr="00451078">
        <w:rPr>
          <w:rFonts w:cs="Tahoma"/>
          <w:snapToGrid w:val="0"/>
          <w:color w:val="000000"/>
          <w:szCs w:val="18"/>
          <w:lang w:val="it-IT"/>
        </w:rPr>
        <w:t>Prima di fornire informazioni personali a Microsoft, la società otterrà dai terzi interessati tutte le approvazioni necessarie ai</w:t>
      </w:r>
      <w:r w:rsidR="00E82D1F" w:rsidRPr="00451078">
        <w:rPr>
          <w:rFonts w:cs="Tahoma"/>
          <w:snapToGrid w:val="0"/>
          <w:color w:val="000000"/>
          <w:szCs w:val="18"/>
          <w:lang w:val="it-IT"/>
        </w:rPr>
        <w:t> </w:t>
      </w:r>
      <w:r w:rsidRPr="00451078">
        <w:rPr>
          <w:rFonts w:cs="Tahoma"/>
          <w:snapToGrid w:val="0"/>
          <w:color w:val="000000"/>
          <w:szCs w:val="18"/>
          <w:lang w:val="it-IT"/>
        </w:rPr>
        <w:t>sensi delle leggi applicabili in merito al diritto alla protezione dei dati personali.</w:t>
      </w:r>
    </w:p>
    <w:p w:rsidR="00391D38" w:rsidRPr="00451078" w:rsidRDefault="00391D38" w:rsidP="00745AB3">
      <w:pPr>
        <w:numPr>
          <w:ilvl w:val="1"/>
          <w:numId w:val="128"/>
        </w:numPr>
        <w:spacing w:before="120"/>
        <w:ind w:left="1800"/>
        <w:contextualSpacing/>
        <w:jc w:val="both"/>
        <w:rPr>
          <w:lang w:val="it-IT"/>
        </w:rPr>
      </w:pPr>
      <w:r w:rsidRPr="00451078">
        <w:rPr>
          <w:rFonts w:cs="Tahoma"/>
          <w:snapToGrid w:val="0"/>
          <w:color w:val="000000"/>
          <w:szCs w:val="18"/>
          <w:lang w:val="it-IT"/>
        </w:rPr>
        <w:t>Le informazioni personali che la società fornisce in relazione al Contratto o all</w:t>
      </w:r>
      <w:r w:rsidR="004525CA">
        <w:rPr>
          <w:rFonts w:cs="Tahoma"/>
          <w:snapToGrid w:val="0"/>
          <w:color w:val="000000"/>
          <w:szCs w:val="18"/>
          <w:lang w:val="it-IT"/>
        </w:rPr>
        <w:t>’</w:t>
      </w:r>
      <w:r w:rsidRPr="00451078">
        <w:rPr>
          <w:rFonts w:cs="Tahoma"/>
          <w:snapToGrid w:val="0"/>
          <w:color w:val="000000"/>
          <w:szCs w:val="18"/>
          <w:lang w:val="it-IT"/>
        </w:rPr>
        <w:t>utilizzo dei Servizi Online verranno elaborate ai sensi dell</w:t>
      </w:r>
      <w:r w:rsidR="004525CA">
        <w:rPr>
          <w:rFonts w:cs="Tahoma"/>
          <w:snapToGrid w:val="0"/>
          <w:color w:val="000000"/>
          <w:szCs w:val="18"/>
          <w:lang w:val="it-IT"/>
        </w:rPr>
        <w:t>’</w:t>
      </w:r>
      <w:r w:rsidRPr="00451078">
        <w:rPr>
          <w:rFonts w:cs="Tahoma"/>
          <w:snapToGrid w:val="0"/>
          <w:color w:val="000000"/>
          <w:szCs w:val="18"/>
          <w:lang w:val="it-IT"/>
        </w:rPr>
        <w:t>informativa sulla privacy disponibile all</w:t>
      </w:r>
      <w:r w:rsidR="004525CA">
        <w:rPr>
          <w:rFonts w:cs="Tahoma"/>
          <w:snapToGrid w:val="0"/>
          <w:color w:val="000000"/>
          <w:szCs w:val="18"/>
          <w:lang w:val="it-IT"/>
        </w:rPr>
        <w:t>’</w:t>
      </w:r>
      <w:r w:rsidRPr="00451078">
        <w:rPr>
          <w:rFonts w:cs="Tahoma"/>
          <w:snapToGrid w:val="0"/>
          <w:color w:val="000000"/>
          <w:szCs w:val="18"/>
          <w:lang w:val="it-IT"/>
        </w:rPr>
        <w:t xml:space="preserve">indirizzo </w:t>
      </w:r>
      <w:hyperlink r:id="rId51" w:history="1">
        <w:r w:rsidRPr="00451078">
          <w:rPr>
            <w:rFonts w:cs="Tahoma"/>
            <w:snapToGrid w:val="0"/>
            <w:color w:val="0000FF"/>
            <w:szCs w:val="18"/>
            <w:u w:val="single"/>
            <w:lang w:val="it-IT"/>
          </w:rPr>
          <w:t>https://www.microsoft.com/licensing/servicecenter</w:t>
        </w:r>
      </w:hyperlink>
      <w:r w:rsidRPr="00451078">
        <w:rPr>
          <w:rFonts w:cs="Tahoma"/>
          <w:snapToGrid w:val="0"/>
          <w:color w:val="000000"/>
          <w:szCs w:val="18"/>
          <w:lang w:val="it-IT"/>
        </w:rPr>
        <w:t>, fatta eccezione per eventuali informative sulla privacy specifiche per ciascun Prodotto e per i dettagli aggiuntivi relativi alla sicurezza e</w:t>
      </w:r>
      <w:r w:rsidR="00E82D1F" w:rsidRPr="00451078">
        <w:rPr>
          <w:rFonts w:cs="Tahoma"/>
          <w:snapToGrid w:val="0"/>
          <w:color w:val="000000"/>
          <w:szCs w:val="18"/>
          <w:lang w:val="it-IT"/>
        </w:rPr>
        <w:t> </w:t>
      </w:r>
      <w:r w:rsidRPr="00451078">
        <w:rPr>
          <w:rFonts w:cs="Tahoma"/>
          <w:snapToGrid w:val="0"/>
          <w:color w:val="000000"/>
          <w:szCs w:val="18"/>
          <w:lang w:val="it-IT"/>
        </w:rPr>
        <w:t>al</w:t>
      </w:r>
      <w:r w:rsidR="00E82D1F" w:rsidRPr="00451078">
        <w:rPr>
          <w:rFonts w:cs="Tahoma"/>
          <w:snapToGrid w:val="0"/>
          <w:color w:val="000000"/>
          <w:szCs w:val="18"/>
          <w:lang w:val="it-IT"/>
        </w:rPr>
        <w:t> </w:t>
      </w:r>
      <w:r w:rsidRPr="00451078">
        <w:rPr>
          <w:rFonts w:cs="Tahoma"/>
          <w:snapToGrid w:val="0"/>
          <w:color w:val="000000"/>
          <w:szCs w:val="18"/>
          <w:lang w:val="it-IT"/>
        </w:rPr>
        <w:t>diritto alla protezione dei dati personali indicati nei Diritti di Utilizzo del Prodotto.</w:t>
      </w:r>
      <w:r w:rsidR="00082E1C" w:rsidRPr="00451078">
        <w:rPr>
          <w:rFonts w:cs="Tahoma"/>
          <w:snapToGrid w:val="0"/>
          <w:color w:val="000000"/>
          <w:szCs w:val="18"/>
          <w:lang w:val="it-IT"/>
        </w:rPr>
        <w:t xml:space="preserve"> </w:t>
      </w:r>
      <w:r w:rsidRPr="00451078">
        <w:rPr>
          <w:rFonts w:cs="Tahoma"/>
          <w:snapToGrid w:val="0"/>
          <w:color w:val="000000"/>
          <w:szCs w:val="18"/>
          <w:lang w:val="it-IT"/>
        </w:rPr>
        <w:t>I dati personali raccolti da Microsoft tramite i Servizi Online o i Servizi potranno essere trasferiti, archiviati ed elaborati negli Stati Uniti o in qualsiasi altro paese in cui è presente Microsoft o</w:t>
      </w:r>
      <w:r w:rsidR="00E82D1F" w:rsidRPr="00451078">
        <w:rPr>
          <w:rFonts w:cs="Tahoma"/>
          <w:snapToGrid w:val="0"/>
          <w:color w:val="000000"/>
          <w:szCs w:val="18"/>
          <w:lang w:val="it-IT"/>
        </w:rPr>
        <w:t> </w:t>
      </w:r>
      <w:r w:rsidRPr="00451078">
        <w:rPr>
          <w:rFonts w:cs="Tahoma"/>
          <w:snapToGrid w:val="0"/>
          <w:color w:val="000000"/>
          <w:szCs w:val="18"/>
          <w:lang w:val="it-IT"/>
        </w:rPr>
        <w:t>i</w:t>
      </w:r>
      <w:r w:rsidR="00E82D1F" w:rsidRPr="00451078">
        <w:rPr>
          <w:rFonts w:cs="Tahoma"/>
          <w:snapToGrid w:val="0"/>
          <w:color w:val="000000"/>
          <w:szCs w:val="18"/>
          <w:lang w:val="it-IT"/>
        </w:rPr>
        <w:t> </w:t>
      </w:r>
      <w:r w:rsidRPr="00451078">
        <w:rPr>
          <w:rFonts w:cs="Tahoma"/>
          <w:snapToGrid w:val="0"/>
          <w:color w:val="000000"/>
          <w:szCs w:val="18"/>
          <w:lang w:val="it-IT"/>
        </w:rPr>
        <w:t>provider di servizi che operano per suo conto.</w:t>
      </w:r>
      <w:r w:rsidR="00082E1C" w:rsidRPr="00451078">
        <w:rPr>
          <w:rFonts w:cs="Tahoma"/>
          <w:snapToGrid w:val="0"/>
          <w:color w:val="000000"/>
          <w:szCs w:val="18"/>
          <w:lang w:val="it-IT"/>
        </w:rPr>
        <w:t xml:space="preserve"> </w:t>
      </w:r>
      <w:r w:rsidRPr="00451078">
        <w:rPr>
          <w:rFonts w:cs="Tahoma"/>
          <w:snapToGrid w:val="0"/>
          <w:color w:val="000000"/>
          <w:szCs w:val="18"/>
          <w:lang w:val="it-IT"/>
        </w:rPr>
        <w:t>Utilizzando i Servizi Online, la società accetta le condizioni sopra indicate.</w:t>
      </w:r>
      <w:r w:rsidR="00082E1C" w:rsidRPr="00451078">
        <w:rPr>
          <w:rFonts w:cs="Tahoma"/>
          <w:snapToGrid w:val="0"/>
          <w:color w:val="000000"/>
          <w:szCs w:val="18"/>
          <w:lang w:val="it-IT"/>
        </w:rPr>
        <w:t xml:space="preserve"> </w:t>
      </w:r>
      <w:r w:rsidRPr="00451078">
        <w:rPr>
          <w:rFonts w:cs="Tahoma"/>
          <w:snapToGrid w:val="0"/>
          <w:color w:val="000000"/>
          <w:szCs w:val="18"/>
          <w:lang w:val="it-IT"/>
        </w:rPr>
        <w:t>Microsoft aderisce al protocollo di Safe Harbor dell</w:t>
      </w:r>
      <w:r w:rsidR="004525CA">
        <w:rPr>
          <w:rFonts w:cs="Tahoma"/>
          <w:snapToGrid w:val="0"/>
          <w:color w:val="000000"/>
          <w:szCs w:val="18"/>
          <w:lang w:val="it-IT"/>
        </w:rPr>
        <w:t>’</w:t>
      </w:r>
      <w:r w:rsidRPr="00451078">
        <w:rPr>
          <w:rFonts w:cs="Tahoma"/>
          <w:snapToGrid w:val="0"/>
          <w:color w:val="000000"/>
          <w:szCs w:val="18"/>
          <w:lang w:val="it-IT"/>
        </w:rPr>
        <w:t>Unione Europea (EU Safe Harbor) e di Safe Harbour della Svizzera (Swiss Safe Harbor) come stabilito dal Department of Commerce degli Stati Uniti relativamente alla raccolta, al trattamento e alla conservazione dei dati provenienti dall</w:t>
      </w:r>
      <w:r w:rsidR="004525CA">
        <w:rPr>
          <w:rFonts w:cs="Tahoma"/>
          <w:snapToGrid w:val="0"/>
          <w:color w:val="000000"/>
          <w:szCs w:val="18"/>
          <w:lang w:val="it-IT"/>
        </w:rPr>
        <w:t>’</w:t>
      </w:r>
      <w:r w:rsidRPr="00451078">
        <w:rPr>
          <w:rFonts w:cs="Tahoma"/>
          <w:snapToGrid w:val="0"/>
          <w:color w:val="000000"/>
          <w:szCs w:val="18"/>
          <w:lang w:val="it-IT"/>
        </w:rPr>
        <w:t>Unione Europea, dallo Spazio Economico Europeo e</w:t>
      </w:r>
      <w:r w:rsidR="00E82D1F" w:rsidRPr="00451078">
        <w:rPr>
          <w:rFonts w:cs="Tahoma"/>
          <w:snapToGrid w:val="0"/>
          <w:color w:val="000000"/>
          <w:szCs w:val="18"/>
          <w:lang w:val="it-IT"/>
        </w:rPr>
        <w:t> </w:t>
      </w:r>
      <w:r w:rsidRPr="00451078">
        <w:rPr>
          <w:rFonts w:cs="Tahoma"/>
          <w:snapToGrid w:val="0"/>
          <w:color w:val="000000"/>
          <w:szCs w:val="18"/>
          <w:lang w:val="it-IT"/>
        </w:rPr>
        <w:t>dalla Svizzera.</w:t>
      </w:r>
      <w:r w:rsidR="00082E1C" w:rsidRPr="00451078">
        <w:rPr>
          <w:rFonts w:cs="Tahoma"/>
          <w:snapToGrid w:val="0"/>
          <w:color w:val="000000"/>
          <w:szCs w:val="18"/>
          <w:lang w:val="it-IT"/>
        </w:rPr>
        <w:t xml:space="preserve"> </w:t>
      </w:r>
    </w:p>
    <w:p w:rsidR="00391D38" w:rsidRPr="00451078" w:rsidRDefault="00391D38" w:rsidP="007E466C">
      <w:pPr>
        <w:keepNext/>
        <w:spacing w:before="120" w:after="60"/>
        <w:ind w:left="1440"/>
        <w:outlineLvl w:val="0"/>
        <w:rPr>
          <w:lang w:val="it-IT"/>
        </w:rPr>
      </w:pPr>
      <w:r w:rsidRPr="00451078">
        <w:rPr>
          <w:rFonts w:cs="Tahoma"/>
          <w:b/>
          <w:bCs/>
          <w:iCs/>
          <w:snapToGrid w:val="0"/>
          <w:szCs w:val="18"/>
          <w:lang w:val="it-IT"/>
        </w:rPr>
        <w:t>Tutela da parte della società.</w:t>
      </w:r>
    </w:p>
    <w:p w:rsidR="00391D38" w:rsidRPr="00451078" w:rsidRDefault="00391D38" w:rsidP="007E466C">
      <w:pPr>
        <w:ind w:left="1440"/>
        <w:jc w:val="both"/>
        <w:rPr>
          <w:lang w:val="it-IT"/>
        </w:rPr>
      </w:pPr>
      <w:r w:rsidRPr="00451078">
        <w:rPr>
          <w:rFonts w:cs="Tahoma"/>
          <w:snapToGrid w:val="0"/>
          <w:color w:val="000000"/>
          <w:szCs w:val="18"/>
          <w:lang w:val="it-IT"/>
        </w:rPr>
        <w:t>La società si impegna a difendere Microsoft nel caso in cui terzi che non siano consociate propongano un reclamo che:</w:t>
      </w:r>
    </w:p>
    <w:p w:rsidR="00391D38" w:rsidRPr="00451078" w:rsidRDefault="00391D38" w:rsidP="00745AB3">
      <w:pPr>
        <w:numPr>
          <w:ilvl w:val="0"/>
          <w:numId w:val="129"/>
        </w:numPr>
        <w:spacing w:before="120"/>
        <w:ind w:left="1980" w:hanging="540"/>
        <w:contextualSpacing/>
        <w:jc w:val="both"/>
        <w:rPr>
          <w:lang w:val="it-IT"/>
        </w:rPr>
      </w:pPr>
      <w:r w:rsidRPr="00451078">
        <w:rPr>
          <w:rFonts w:cs="Tahoma"/>
          <w:snapToGrid w:val="0"/>
          <w:color w:val="000000"/>
          <w:szCs w:val="18"/>
          <w:lang w:val="it-IT"/>
        </w:rPr>
        <w:t>sostenga che i Dati della Società o i prodotti software non Microsoft ospitati da Microsoft per conto della società violino i diritti di brevetto, copyright o marchio di terzi o facciano un utilizzo illecito di un Segreto Commerciale oppure</w:t>
      </w:r>
    </w:p>
    <w:p w:rsidR="00391D38" w:rsidRPr="00451078" w:rsidRDefault="00391D38" w:rsidP="00745AB3">
      <w:pPr>
        <w:numPr>
          <w:ilvl w:val="0"/>
          <w:numId w:val="129"/>
        </w:numPr>
        <w:spacing w:before="120"/>
        <w:ind w:left="1980" w:hanging="540"/>
        <w:contextualSpacing/>
        <w:jc w:val="both"/>
        <w:rPr>
          <w:lang w:val="it-IT"/>
        </w:rPr>
      </w:pPr>
      <w:r w:rsidRPr="00451078">
        <w:rPr>
          <w:rFonts w:cs="Tahoma"/>
          <w:snapToGrid w:val="0"/>
          <w:color w:val="000000"/>
          <w:szCs w:val="18"/>
          <w:lang w:val="it-IT"/>
        </w:rPr>
        <w:t>risulti dalla violazione delle condizioni dei Criteri di Utilizzo descritti nei Diritti di Utilizzo del</w:t>
      </w:r>
      <w:r w:rsidR="00E82D1F" w:rsidRPr="00451078">
        <w:rPr>
          <w:rFonts w:cs="Tahoma"/>
          <w:snapToGrid w:val="0"/>
          <w:color w:val="000000"/>
          <w:szCs w:val="18"/>
          <w:lang w:val="it-IT"/>
        </w:rPr>
        <w:t> </w:t>
      </w:r>
      <w:r w:rsidRPr="00451078">
        <w:rPr>
          <w:rFonts w:cs="Tahoma"/>
          <w:snapToGrid w:val="0"/>
          <w:color w:val="000000"/>
          <w:szCs w:val="18"/>
          <w:lang w:val="it-IT"/>
        </w:rPr>
        <w:t>Prodotto.</w:t>
      </w:r>
    </w:p>
    <w:p w:rsidR="00391D38" w:rsidRPr="00451078" w:rsidRDefault="00391D38" w:rsidP="00391D38">
      <w:pPr>
        <w:spacing w:before="120"/>
        <w:ind w:left="1440"/>
        <w:jc w:val="both"/>
        <w:rPr>
          <w:lang w:val="it-IT"/>
        </w:rPr>
      </w:pPr>
      <w:r w:rsidRPr="00451078">
        <w:rPr>
          <w:rFonts w:cs="Tahoma"/>
          <w:snapToGrid w:val="0"/>
          <w:color w:val="000000"/>
          <w:szCs w:val="18"/>
          <w:lang w:val="it-IT"/>
        </w:rPr>
        <w:t>In tali casi la società dovrà pagare l</w:t>
      </w:r>
      <w:r w:rsidR="004525CA">
        <w:rPr>
          <w:rFonts w:cs="Tahoma"/>
          <w:snapToGrid w:val="0"/>
          <w:color w:val="000000"/>
          <w:szCs w:val="18"/>
          <w:lang w:val="it-IT"/>
        </w:rPr>
        <w:t>’</w:t>
      </w:r>
      <w:r w:rsidRPr="00451078">
        <w:rPr>
          <w:rFonts w:cs="Tahoma"/>
          <w:snapToGrid w:val="0"/>
          <w:color w:val="000000"/>
          <w:szCs w:val="18"/>
          <w:lang w:val="it-IT"/>
        </w:rPr>
        <w:t>importo liquidato in una sentenza definitiva di condanna (o in un accordo transattivo a cui la società abbia prestato il proprio consenso).</w:t>
      </w:r>
      <w:r w:rsidR="00082E1C" w:rsidRPr="00451078">
        <w:rPr>
          <w:rFonts w:cs="Tahoma"/>
          <w:snapToGrid w:val="0"/>
          <w:color w:val="000000"/>
          <w:szCs w:val="18"/>
          <w:lang w:val="it-IT"/>
        </w:rPr>
        <w:t xml:space="preserve"> </w:t>
      </w:r>
      <w:r w:rsidRPr="00451078">
        <w:rPr>
          <w:rFonts w:cs="Tahoma"/>
          <w:snapToGrid w:val="0"/>
          <w:color w:val="000000"/>
          <w:szCs w:val="18"/>
          <w:lang w:val="it-IT"/>
        </w:rPr>
        <w:t>Nel presente Articolo viene riportato il rimedio esclusivo di Microsoft relativo a tali reclami.</w:t>
      </w:r>
    </w:p>
    <w:p w:rsidR="00391D38" w:rsidRPr="00451078" w:rsidRDefault="00391D38" w:rsidP="00391D38">
      <w:pPr>
        <w:spacing w:before="120"/>
        <w:ind w:left="1440"/>
        <w:jc w:val="both"/>
        <w:rPr>
          <w:lang w:val="it-IT"/>
        </w:rPr>
      </w:pPr>
      <w:r w:rsidRPr="00451078">
        <w:rPr>
          <w:rFonts w:cs="Tahoma"/>
          <w:snapToGrid w:val="0"/>
          <w:color w:val="000000"/>
          <w:szCs w:val="18"/>
          <w:lang w:val="it-IT"/>
        </w:rPr>
        <w:t>Microsoft dovrà informare tempestivamente la società dando preavviso scritto del reclamo in conformità al presente Articolo.</w:t>
      </w:r>
      <w:r w:rsidR="00082E1C" w:rsidRPr="00451078">
        <w:rPr>
          <w:rFonts w:cs="Tahoma"/>
          <w:snapToGrid w:val="0"/>
          <w:color w:val="000000"/>
          <w:szCs w:val="18"/>
          <w:lang w:val="it-IT"/>
        </w:rPr>
        <w:t xml:space="preserve"> </w:t>
      </w:r>
      <w:r w:rsidRPr="00451078">
        <w:rPr>
          <w:rFonts w:cs="Tahoma"/>
          <w:snapToGrid w:val="0"/>
          <w:color w:val="000000"/>
          <w:szCs w:val="18"/>
          <w:lang w:val="it-IT"/>
        </w:rPr>
        <w:t>Microsoft dovrà (1) affidare alla società l</w:t>
      </w:r>
      <w:r w:rsidR="004525CA">
        <w:rPr>
          <w:rFonts w:cs="Tahoma"/>
          <w:snapToGrid w:val="0"/>
          <w:color w:val="000000"/>
          <w:szCs w:val="18"/>
          <w:lang w:val="it-IT"/>
        </w:rPr>
        <w:t>’</w:t>
      </w:r>
      <w:r w:rsidRPr="00451078">
        <w:rPr>
          <w:rFonts w:cs="Tahoma"/>
          <w:snapToGrid w:val="0"/>
          <w:color w:val="000000"/>
          <w:szCs w:val="18"/>
          <w:lang w:val="it-IT"/>
        </w:rPr>
        <w:t>esclusivo controllo della sua linea di difesa o dell</w:t>
      </w:r>
      <w:r w:rsidR="004525CA">
        <w:rPr>
          <w:rFonts w:cs="Tahoma"/>
          <w:snapToGrid w:val="0"/>
          <w:color w:val="000000"/>
          <w:szCs w:val="18"/>
          <w:lang w:val="it-IT"/>
        </w:rPr>
        <w:t>’</w:t>
      </w:r>
      <w:r w:rsidRPr="00451078">
        <w:rPr>
          <w:rFonts w:cs="Tahoma"/>
          <w:snapToGrid w:val="0"/>
          <w:color w:val="000000"/>
          <w:szCs w:val="18"/>
          <w:lang w:val="it-IT"/>
        </w:rPr>
        <w:t>accordo transattivo di tale reclamo e (2) compiere ogni ragionevole sforzo per assistere la società nella definizione della linea di difesa. La società rimborserà inoltre a</w:t>
      </w:r>
      <w:r w:rsidR="00E82D1F" w:rsidRPr="00451078">
        <w:rPr>
          <w:rFonts w:cs="Tahoma"/>
          <w:snapToGrid w:val="0"/>
          <w:color w:val="000000"/>
          <w:szCs w:val="18"/>
          <w:lang w:val="it-IT"/>
        </w:rPr>
        <w:t> </w:t>
      </w:r>
      <w:r w:rsidRPr="00451078">
        <w:rPr>
          <w:rFonts w:cs="Tahoma"/>
          <w:snapToGrid w:val="0"/>
          <w:color w:val="000000"/>
          <w:szCs w:val="18"/>
          <w:lang w:val="it-IT"/>
        </w:rPr>
        <w:t>Microsoft tutte le spese esposte in misura ragionevole e sostenute per fornire tale assistenza.</w:t>
      </w:r>
    </w:p>
    <w:p w:rsidR="00391D38" w:rsidRPr="00451078" w:rsidRDefault="00391D38" w:rsidP="007E466C">
      <w:pPr>
        <w:keepNext/>
        <w:spacing w:before="120" w:after="60"/>
        <w:ind w:left="1440"/>
        <w:outlineLvl w:val="0"/>
        <w:rPr>
          <w:lang w:val="it-IT"/>
        </w:rPr>
      </w:pPr>
      <w:r w:rsidRPr="00451078">
        <w:rPr>
          <w:rFonts w:cs="Tahoma"/>
          <w:b/>
          <w:bCs/>
          <w:iCs/>
          <w:snapToGrid w:val="0"/>
          <w:szCs w:val="18"/>
          <w:lang w:val="it-IT"/>
        </w:rPr>
        <w:t>Limitazione di responsabilità.</w:t>
      </w:r>
    </w:p>
    <w:p w:rsidR="00391D38" w:rsidRPr="000F0F42" w:rsidRDefault="00391D38" w:rsidP="007E466C">
      <w:pPr>
        <w:ind w:left="1440"/>
        <w:jc w:val="both"/>
      </w:pPr>
      <w:r w:rsidRPr="000F0F42">
        <w:rPr>
          <w:rFonts w:cs="Tahoma"/>
          <w:snapToGrid w:val="0"/>
          <w:color w:val="000000"/>
          <w:szCs w:val="18"/>
          <w:lang w:val="it-IT"/>
        </w:rPr>
        <w:t>Nella misura massima consentita dalla legge applicabile, la responsabilità di ciascuna delle parti, delle relative Consociate e dei relativi Collaboratori in relazione ai Servizi Online sarà limitata ai</w:t>
      </w:r>
      <w:r w:rsidR="00E82D1F" w:rsidRPr="000F0F42">
        <w:rPr>
          <w:rFonts w:cs="Tahoma"/>
          <w:snapToGrid w:val="0"/>
          <w:color w:val="000000"/>
          <w:szCs w:val="18"/>
          <w:lang w:val="it-IT"/>
        </w:rPr>
        <w:t> </w:t>
      </w:r>
      <w:r w:rsidRPr="000F0F42">
        <w:rPr>
          <w:rFonts w:cs="Tahoma"/>
          <w:snapToGrid w:val="0"/>
          <w:color w:val="000000"/>
          <w:szCs w:val="18"/>
          <w:lang w:val="it-IT"/>
        </w:rPr>
        <w:t>danni diretti fino alla concorrenza dell</w:t>
      </w:r>
      <w:r w:rsidR="004525CA">
        <w:rPr>
          <w:rFonts w:cs="Tahoma"/>
          <w:snapToGrid w:val="0"/>
          <w:color w:val="000000"/>
          <w:szCs w:val="18"/>
          <w:lang w:val="it-IT"/>
        </w:rPr>
        <w:t>’</w:t>
      </w:r>
      <w:r w:rsidRPr="000F0F42">
        <w:rPr>
          <w:rFonts w:cs="Tahoma"/>
          <w:snapToGrid w:val="0"/>
          <w:color w:val="000000"/>
          <w:szCs w:val="18"/>
          <w:lang w:val="it-IT"/>
        </w:rPr>
        <w:t>importo che la società ha pagato per i Servizi Online che hanno dato origine a tale responsabilità durante i 12 mesi precedenti.</w:t>
      </w:r>
      <w:r w:rsidR="00082E1C" w:rsidRPr="000F0F42">
        <w:rPr>
          <w:rFonts w:cs="Tahoma"/>
          <w:snapToGrid w:val="0"/>
          <w:color w:val="000000"/>
          <w:szCs w:val="18"/>
          <w:lang w:val="it-IT"/>
        </w:rPr>
        <w:t xml:space="preserve"> </w:t>
      </w:r>
      <w:r w:rsidRPr="000F0F42">
        <w:rPr>
          <w:rFonts w:cs="Tahoma"/>
          <w:snapToGrid w:val="0"/>
          <w:color w:val="000000"/>
          <w:szCs w:val="18"/>
          <w:lang w:val="it-IT"/>
        </w:rPr>
        <w:t>Le presenti limitazioni si applicano indipendentemente dal fondamento giuridico delle azioni risarcitorie poste in essere dalla società, siano esse relative a inadempimento contrattuale, illecito civile (inclusa la negligenza), responsabilità oggettiva o violazione delle garanzie.</w:t>
      </w:r>
      <w:r w:rsidR="00082E1C" w:rsidRPr="000F0F42">
        <w:rPr>
          <w:rFonts w:cs="Tahoma"/>
          <w:snapToGrid w:val="0"/>
          <w:color w:val="000000"/>
          <w:szCs w:val="18"/>
          <w:lang w:val="it-IT"/>
        </w:rPr>
        <w:t xml:space="preserve"> </w:t>
      </w:r>
      <w:r w:rsidRPr="000F0F42">
        <w:rPr>
          <w:rFonts w:cs="Tahoma"/>
          <w:snapToGrid w:val="0"/>
          <w:color w:val="000000"/>
          <w:szCs w:val="18"/>
        </w:rPr>
        <w:t>Tuttavia, tali limitazioni monetarie non si</w:t>
      </w:r>
      <w:r w:rsidR="00E82D1F" w:rsidRPr="000F0F42">
        <w:rPr>
          <w:rFonts w:cs="Tahoma"/>
          <w:snapToGrid w:val="0"/>
          <w:color w:val="000000"/>
          <w:szCs w:val="18"/>
        </w:rPr>
        <w:t> </w:t>
      </w:r>
      <w:r w:rsidRPr="000F0F42">
        <w:rPr>
          <w:rFonts w:cs="Tahoma"/>
          <w:snapToGrid w:val="0"/>
          <w:color w:val="000000"/>
          <w:szCs w:val="18"/>
        </w:rPr>
        <w:t>applicheranno:</w:t>
      </w:r>
    </w:p>
    <w:p w:rsidR="00391D38" w:rsidRPr="00451078" w:rsidRDefault="00391D38" w:rsidP="00745AB3">
      <w:pPr>
        <w:numPr>
          <w:ilvl w:val="0"/>
          <w:numId w:val="124"/>
        </w:numPr>
        <w:spacing w:before="120"/>
        <w:ind w:left="1890" w:hanging="450"/>
        <w:contextualSpacing/>
        <w:jc w:val="both"/>
        <w:rPr>
          <w:lang w:val="it-IT"/>
        </w:rPr>
      </w:pPr>
      <w:r w:rsidRPr="00451078">
        <w:rPr>
          <w:rFonts w:cs="Tahoma"/>
          <w:snapToGrid w:val="0"/>
          <w:color w:val="000000"/>
          <w:szCs w:val="18"/>
          <w:lang w:val="it-IT"/>
        </w:rPr>
        <w:t>alle obbligazioni di Microsoft ai sensi dell</w:t>
      </w:r>
      <w:r w:rsidR="004525CA">
        <w:rPr>
          <w:rFonts w:cs="Tahoma"/>
          <w:snapToGrid w:val="0"/>
          <w:color w:val="000000"/>
          <w:szCs w:val="18"/>
          <w:lang w:val="it-IT"/>
        </w:rPr>
        <w:t>’</w:t>
      </w:r>
      <w:r w:rsidRPr="00451078">
        <w:rPr>
          <w:rFonts w:cs="Tahoma"/>
          <w:snapToGrid w:val="0"/>
          <w:color w:val="000000"/>
          <w:szCs w:val="18"/>
          <w:lang w:val="it-IT"/>
        </w:rPr>
        <w:t>Articolo dell</w:t>
      </w:r>
      <w:r w:rsidR="004525CA">
        <w:rPr>
          <w:rFonts w:cs="Tahoma"/>
          <w:snapToGrid w:val="0"/>
          <w:color w:val="000000"/>
          <w:szCs w:val="18"/>
          <w:lang w:val="it-IT"/>
        </w:rPr>
        <w:t>’</w:t>
      </w:r>
      <w:r w:rsidRPr="00451078">
        <w:rPr>
          <w:rFonts w:cs="Tahoma"/>
          <w:snapToGrid w:val="0"/>
          <w:color w:val="000000"/>
          <w:szCs w:val="18"/>
          <w:lang w:val="it-IT"/>
        </w:rPr>
        <w:t xml:space="preserve">Accordo Principale relativo alla </w:t>
      </w:r>
      <w:r w:rsidR="001A3EC5" w:rsidRPr="00451078">
        <w:rPr>
          <w:rFonts w:cs="Tahoma"/>
          <w:snapToGrid w:val="0"/>
          <w:color w:val="000000"/>
          <w:szCs w:val="18"/>
          <w:lang w:val="it-IT"/>
        </w:rPr>
        <w:t>“</w:t>
      </w:r>
      <w:r w:rsidRPr="00451078">
        <w:rPr>
          <w:rFonts w:cs="Tahoma"/>
          <w:snapToGrid w:val="0"/>
          <w:color w:val="000000"/>
          <w:szCs w:val="18"/>
          <w:lang w:val="it-IT"/>
        </w:rPr>
        <w:t>Difesa dai reclami di terzi aventi ad oggetto la violazione dei diritti e l</w:t>
      </w:r>
      <w:r w:rsidR="004525CA">
        <w:rPr>
          <w:rFonts w:cs="Tahoma"/>
          <w:snapToGrid w:val="0"/>
          <w:color w:val="000000"/>
          <w:szCs w:val="18"/>
          <w:lang w:val="it-IT"/>
        </w:rPr>
        <w:t>’</w:t>
      </w:r>
      <w:r w:rsidRPr="00451078">
        <w:rPr>
          <w:rFonts w:cs="Tahoma"/>
          <w:snapToGrid w:val="0"/>
          <w:color w:val="000000"/>
          <w:szCs w:val="18"/>
          <w:lang w:val="it-IT"/>
        </w:rPr>
        <w:t>appropriazione indebita</w:t>
      </w:r>
      <w:r w:rsidR="001A3EC5" w:rsidRPr="00451078">
        <w:rPr>
          <w:rFonts w:cs="Tahoma"/>
          <w:snapToGrid w:val="0"/>
          <w:color w:val="000000"/>
          <w:szCs w:val="18"/>
          <w:lang w:val="it-IT"/>
        </w:rPr>
        <w:t>”</w:t>
      </w:r>
      <w:r w:rsidRPr="00451078">
        <w:rPr>
          <w:rFonts w:cs="Tahoma"/>
          <w:snapToGrid w:val="0"/>
          <w:color w:val="000000"/>
          <w:szCs w:val="18"/>
          <w:lang w:val="it-IT"/>
        </w:rPr>
        <w:t>, né alle obbligazioni della società ai sensi dell</w:t>
      </w:r>
      <w:r w:rsidR="004525CA">
        <w:rPr>
          <w:rFonts w:cs="Tahoma"/>
          <w:snapToGrid w:val="0"/>
          <w:color w:val="000000"/>
          <w:szCs w:val="18"/>
          <w:lang w:val="it-IT"/>
        </w:rPr>
        <w:t>’</w:t>
      </w:r>
      <w:r w:rsidRPr="00451078">
        <w:rPr>
          <w:rFonts w:cs="Tahoma"/>
          <w:snapToGrid w:val="0"/>
          <w:color w:val="000000"/>
          <w:szCs w:val="18"/>
          <w:lang w:val="it-IT"/>
        </w:rPr>
        <w:t xml:space="preserve">Articolo delle presenti Condizioni Supplementari intitolato </w:t>
      </w:r>
      <w:r w:rsidR="001A3EC5" w:rsidRPr="00451078">
        <w:rPr>
          <w:rFonts w:cs="Tahoma"/>
          <w:snapToGrid w:val="0"/>
          <w:color w:val="000000"/>
          <w:szCs w:val="18"/>
          <w:lang w:val="it-IT"/>
        </w:rPr>
        <w:t>“</w:t>
      </w:r>
      <w:r w:rsidRPr="00451078">
        <w:rPr>
          <w:rFonts w:cs="Tahoma"/>
          <w:snapToGrid w:val="0"/>
          <w:color w:val="000000"/>
          <w:szCs w:val="18"/>
          <w:lang w:val="it-IT"/>
        </w:rPr>
        <w:t>Tutela da parte della Società</w:t>
      </w:r>
      <w:r w:rsidR="001A3EC5" w:rsidRPr="00451078">
        <w:rPr>
          <w:rFonts w:cs="Tahoma"/>
          <w:snapToGrid w:val="0"/>
          <w:color w:val="000000"/>
          <w:szCs w:val="18"/>
          <w:lang w:val="it-IT"/>
        </w:rPr>
        <w:t>”</w:t>
      </w:r>
      <w:r w:rsidRPr="00451078">
        <w:rPr>
          <w:rFonts w:cs="Tahoma"/>
          <w:snapToGrid w:val="0"/>
          <w:color w:val="000000"/>
          <w:szCs w:val="18"/>
          <w:lang w:val="it-IT"/>
        </w:rPr>
        <w:t>;</w:t>
      </w:r>
    </w:p>
    <w:p w:rsidR="00391D38" w:rsidRPr="00451078" w:rsidRDefault="00391D38" w:rsidP="00745AB3">
      <w:pPr>
        <w:numPr>
          <w:ilvl w:val="0"/>
          <w:numId w:val="124"/>
        </w:numPr>
        <w:spacing w:before="120"/>
        <w:ind w:left="1890" w:hanging="450"/>
        <w:contextualSpacing/>
        <w:jc w:val="both"/>
        <w:rPr>
          <w:lang w:val="it-IT"/>
        </w:rPr>
      </w:pPr>
      <w:r w:rsidRPr="00451078">
        <w:rPr>
          <w:rFonts w:cs="Tahoma"/>
          <w:snapToGrid w:val="0"/>
          <w:color w:val="000000"/>
          <w:szCs w:val="18"/>
          <w:lang w:val="it-IT"/>
        </w:rPr>
        <w:t>alle responsabilità derivanti da qualsiasi inadempimento di una delle parti delle obbligazioni previste ai sensi dell</w:t>
      </w:r>
      <w:r w:rsidR="004525CA">
        <w:rPr>
          <w:rFonts w:cs="Tahoma"/>
          <w:snapToGrid w:val="0"/>
          <w:color w:val="000000"/>
          <w:szCs w:val="18"/>
          <w:lang w:val="it-IT"/>
        </w:rPr>
        <w:t>’</w:t>
      </w:r>
      <w:r w:rsidRPr="00451078">
        <w:rPr>
          <w:rFonts w:cs="Tahoma"/>
          <w:snapToGrid w:val="0"/>
          <w:color w:val="000000"/>
          <w:szCs w:val="18"/>
          <w:lang w:val="it-IT"/>
        </w:rPr>
        <w:t>Articolo delle Condizioni dell</w:t>
      </w:r>
      <w:r w:rsidR="004525CA">
        <w:rPr>
          <w:rFonts w:cs="Tahoma"/>
          <w:snapToGrid w:val="0"/>
          <w:color w:val="000000"/>
          <w:szCs w:val="18"/>
          <w:lang w:val="it-IT"/>
        </w:rPr>
        <w:t>’</w:t>
      </w:r>
      <w:r w:rsidRPr="00451078">
        <w:rPr>
          <w:rFonts w:cs="Tahoma"/>
          <w:snapToGrid w:val="0"/>
          <w:color w:val="000000"/>
          <w:szCs w:val="18"/>
          <w:lang w:val="it-IT"/>
        </w:rPr>
        <w:t xml:space="preserve">Accordo Principale intitolato </w:t>
      </w:r>
      <w:r w:rsidR="001A3EC5" w:rsidRPr="00451078">
        <w:rPr>
          <w:rFonts w:cs="Tahoma"/>
          <w:snapToGrid w:val="0"/>
          <w:color w:val="000000"/>
          <w:szCs w:val="18"/>
          <w:lang w:val="it-IT"/>
        </w:rPr>
        <w:t>“</w:t>
      </w:r>
      <w:r w:rsidRPr="00451078">
        <w:rPr>
          <w:rFonts w:cs="Tahoma"/>
          <w:snapToGrid w:val="0"/>
          <w:color w:val="000000"/>
          <w:szCs w:val="18"/>
          <w:lang w:val="it-IT"/>
        </w:rPr>
        <w:t>Riservatezza</w:t>
      </w:r>
      <w:r w:rsidR="001A3EC5" w:rsidRPr="00451078">
        <w:rPr>
          <w:rFonts w:cs="Tahoma"/>
          <w:snapToGrid w:val="0"/>
          <w:color w:val="000000"/>
          <w:szCs w:val="18"/>
          <w:lang w:val="it-IT"/>
        </w:rPr>
        <w:t>”</w:t>
      </w:r>
      <w:r w:rsidRPr="00451078">
        <w:rPr>
          <w:rFonts w:cs="Tahoma"/>
          <w:snapToGrid w:val="0"/>
          <w:color w:val="000000"/>
          <w:szCs w:val="18"/>
          <w:lang w:val="it-IT"/>
        </w:rPr>
        <w:t>, fatto salvo che la responsabilità di Microsoft derivante da o in relazione ai Dati della Società sarà in tutti i casi limitata all</w:t>
      </w:r>
      <w:r w:rsidR="004525CA">
        <w:rPr>
          <w:rFonts w:cs="Tahoma"/>
          <w:snapToGrid w:val="0"/>
          <w:color w:val="000000"/>
          <w:szCs w:val="18"/>
          <w:lang w:val="it-IT"/>
        </w:rPr>
        <w:t>’</w:t>
      </w:r>
      <w:r w:rsidRPr="00451078">
        <w:rPr>
          <w:rFonts w:cs="Tahoma"/>
          <w:snapToGrid w:val="0"/>
          <w:color w:val="000000"/>
          <w:szCs w:val="18"/>
          <w:lang w:val="it-IT"/>
        </w:rPr>
        <w:t xml:space="preserve">importo pagato dalla società per i Servizi Online che hanno dato origine a tale responsabilità nei 12 mesi precedenti e </w:t>
      </w:r>
    </w:p>
    <w:p w:rsidR="00391D38" w:rsidRPr="00451078" w:rsidRDefault="00391D38" w:rsidP="00745AB3">
      <w:pPr>
        <w:numPr>
          <w:ilvl w:val="0"/>
          <w:numId w:val="124"/>
        </w:numPr>
        <w:spacing w:before="120"/>
        <w:ind w:left="1890" w:hanging="450"/>
        <w:contextualSpacing/>
        <w:jc w:val="both"/>
        <w:rPr>
          <w:lang w:val="it-IT"/>
        </w:rPr>
      </w:pPr>
      <w:r w:rsidRPr="00451078">
        <w:rPr>
          <w:rFonts w:cs="Tahoma"/>
          <w:snapToGrid w:val="0"/>
          <w:color w:val="000000"/>
          <w:szCs w:val="18"/>
          <w:lang w:val="it-IT"/>
        </w:rPr>
        <w:t>alla violazione a opera di una delle parti dei diritti di proprietà intellettuale dell</w:t>
      </w:r>
      <w:r w:rsidR="004525CA">
        <w:rPr>
          <w:rFonts w:cs="Tahoma"/>
          <w:snapToGrid w:val="0"/>
          <w:color w:val="000000"/>
          <w:szCs w:val="18"/>
          <w:lang w:val="it-IT"/>
        </w:rPr>
        <w:t>’</w:t>
      </w:r>
      <w:r w:rsidRPr="00451078">
        <w:rPr>
          <w:rFonts w:cs="Tahoma"/>
          <w:snapToGrid w:val="0"/>
          <w:color w:val="000000"/>
          <w:szCs w:val="18"/>
          <w:lang w:val="it-IT"/>
        </w:rPr>
        <w:t>altra parte.</w:t>
      </w:r>
    </w:p>
    <w:p w:rsidR="00391D38" w:rsidRPr="00451078" w:rsidRDefault="00391D38" w:rsidP="00391D38">
      <w:pPr>
        <w:spacing w:before="120"/>
        <w:ind w:left="1440"/>
        <w:jc w:val="both"/>
        <w:rPr>
          <w:lang w:val="it-IT"/>
        </w:rPr>
      </w:pPr>
      <w:r w:rsidRPr="00451078">
        <w:rPr>
          <w:rFonts w:cs="Tahoma"/>
          <w:b/>
          <w:bCs/>
          <w:snapToGrid w:val="0"/>
          <w:color w:val="000000"/>
          <w:szCs w:val="18"/>
          <w:lang w:val="it-IT"/>
        </w:rPr>
        <w:t>NELLA MISURA MASSIMA CONSENTITA DALLA LEGGE APPLICABILE, INDIPENDENTEMENTE DAL FONDAMENTO GIURIDICO DEL RECLAMO, LE PARTI, LE</w:t>
      </w:r>
      <w:r w:rsidR="00E82D1F" w:rsidRPr="00451078">
        <w:rPr>
          <w:rFonts w:cs="Tahoma"/>
          <w:b/>
          <w:bCs/>
          <w:snapToGrid w:val="0"/>
          <w:color w:val="000000"/>
          <w:szCs w:val="18"/>
          <w:lang w:val="it-IT"/>
        </w:rPr>
        <w:t> </w:t>
      </w:r>
      <w:r w:rsidRPr="00451078">
        <w:rPr>
          <w:rFonts w:cs="Tahoma"/>
          <w:b/>
          <w:bCs/>
          <w:snapToGrid w:val="0"/>
          <w:color w:val="000000"/>
          <w:szCs w:val="18"/>
          <w:lang w:val="it-IT"/>
        </w:rPr>
        <w:t xml:space="preserve">RISPETTIVE CONSOCIATE O I RISPETTIVI COLLABORATORI NON SARANNO RESPONSABILI DI DANNI INDIRETTI, CONSEQUENZIALI, SPECIALI O INCIDENTALI NÉ </w:t>
      </w:r>
      <w:r w:rsidRPr="00451078">
        <w:rPr>
          <w:rFonts w:cs="Tahoma"/>
          <w:b/>
          <w:bCs/>
          <w:snapToGrid w:val="0"/>
          <w:color w:val="000000"/>
          <w:szCs w:val="18"/>
          <w:lang w:val="it-IT"/>
        </w:rPr>
        <w:lastRenderedPageBreak/>
        <w:t>DI DANNI DOVUTI A LUCRO CESSANTE, INTERRUZIONE DELL</w:t>
      </w:r>
      <w:r w:rsidR="004525CA">
        <w:rPr>
          <w:rFonts w:cs="Tahoma"/>
          <w:b/>
          <w:bCs/>
          <w:snapToGrid w:val="0"/>
          <w:color w:val="000000"/>
          <w:szCs w:val="18"/>
          <w:lang w:val="it-IT"/>
        </w:rPr>
        <w:t>’</w:t>
      </w:r>
      <w:r w:rsidRPr="00451078">
        <w:rPr>
          <w:rFonts w:cs="Tahoma"/>
          <w:b/>
          <w:bCs/>
          <w:snapToGrid w:val="0"/>
          <w:color w:val="000000"/>
          <w:szCs w:val="18"/>
          <w:lang w:val="it-IT"/>
        </w:rPr>
        <w:t>ATTIVITÀ O PERDITA DI INFORMAZIONI RELATIVI AL CONTRATTO O ALLE PRESENTI CONDIZIONI SUPPLEMENTARI, ANCHE NEL CASO IN CUI I SOGGETTI DI CUI SOPRA SIANO STATI INFORMATI DELLA POSSIBILITÀ DEL VERIFICARSI DI TALI DANNI O TALE POSSIBILITÀ FOSSE RAGIONEVOLMENTE PREVEDIBILE.</w:t>
      </w:r>
      <w:r w:rsidR="00082E1C" w:rsidRPr="00451078">
        <w:rPr>
          <w:rFonts w:cs="Tahoma"/>
          <w:b/>
          <w:bCs/>
          <w:snapToGrid w:val="0"/>
          <w:color w:val="000000"/>
          <w:szCs w:val="18"/>
          <w:lang w:val="it-IT"/>
        </w:rPr>
        <w:t xml:space="preserve"> </w:t>
      </w:r>
      <w:r w:rsidRPr="00451078">
        <w:rPr>
          <w:rFonts w:cs="Tahoma"/>
          <w:b/>
          <w:bCs/>
          <w:snapToGrid w:val="0"/>
          <w:color w:val="000000"/>
          <w:szCs w:val="18"/>
          <w:lang w:val="it-IT"/>
        </w:rPr>
        <w:t>TUTTAVIA, TALE ESCLUSIONE DI RESPONSABILITÀ NON SI APPLICA NEL CASO DI INADEMPIMENTO DELLE OBBLIGAZIONI DI RISERVATEZZA (FATTA ECCEZIONE PER I CASI IN CUI TALE VIOLAZIONE NON RIGUARDI I DATI DELLA SOCIETÀ) DI UNA PARTE NEI CONFRONTI DELL</w:t>
      </w:r>
      <w:r w:rsidR="004525CA">
        <w:rPr>
          <w:rFonts w:cs="Tahoma"/>
          <w:b/>
          <w:bCs/>
          <w:snapToGrid w:val="0"/>
          <w:color w:val="000000"/>
          <w:szCs w:val="18"/>
          <w:lang w:val="it-IT"/>
        </w:rPr>
        <w:t>’</w:t>
      </w:r>
      <w:r w:rsidRPr="00451078">
        <w:rPr>
          <w:rFonts w:cs="Tahoma"/>
          <w:b/>
          <w:bCs/>
          <w:snapToGrid w:val="0"/>
          <w:color w:val="000000"/>
          <w:szCs w:val="18"/>
          <w:lang w:val="it-IT"/>
        </w:rPr>
        <w:t>ALTRA NÉ NEL CASO DI VIOLAZIONE DEI DIRITTI DI PROPRIETÀ INTELLETTUALE DELL</w:t>
      </w:r>
      <w:r w:rsidR="004525CA">
        <w:rPr>
          <w:rFonts w:cs="Tahoma"/>
          <w:b/>
          <w:bCs/>
          <w:snapToGrid w:val="0"/>
          <w:color w:val="000000"/>
          <w:szCs w:val="18"/>
          <w:lang w:val="it-IT"/>
        </w:rPr>
        <w:t>’</w:t>
      </w:r>
      <w:r w:rsidRPr="00451078">
        <w:rPr>
          <w:rFonts w:cs="Tahoma"/>
          <w:b/>
          <w:bCs/>
          <w:snapToGrid w:val="0"/>
          <w:color w:val="000000"/>
          <w:szCs w:val="18"/>
          <w:lang w:val="it-IT"/>
        </w:rPr>
        <w:t>ALTRA PARTE, DELLE OBBLIGAZIONI DI MICROSOFT DEFINITE AI SENSI DELL</w:t>
      </w:r>
      <w:r w:rsidR="004525CA">
        <w:rPr>
          <w:rFonts w:cs="Tahoma"/>
          <w:b/>
          <w:bCs/>
          <w:snapToGrid w:val="0"/>
          <w:color w:val="000000"/>
          <w:szCs w:val="18"/>
          <w:lang w:val="it-IT"/>
        </w:rPr>
        <w:t>’</w:t>
      </w:r>
      <w:r w:rsidRPr="00451078">
        <w:rPr>
          <w:rFonts w:cs="Tahoma"/>
          <w:b/>
          <w:bCs/>
          <w:snapToGrid w:val="0"/>
          <w:color w:val="000000"/>
          <w:szCs w:val="18"/>
          <w:lang w:val="it-IT"/>
        </w:rPr>
        <w:t>ARTICOLO CONTENUTO NELLE CONDIZIONI DELL</w:t>
      </w:r>
      <w:r w:rsidR="004525CA">
        <w:rPr>
          <w:rFonts w:cs="Tahoma"/>
          <w:b/>
          <w:bCs/>
          <w:snapToGrid w:val="0"/>
          <w:color w:val="000000"/>
          <w:szCs w:val="18"/>
          <w:lang w:val="it-IT"/>
        </w:rPr>
        <w:t>’</w:t>
      </w:r>
      <w:r w:rsidRPr="00451078">
        <w:rPr>
          <w:rFonts w:cs="Tahoma"/>
          <w:b/>
          <w:bCs/>
          <w:snapToGrid w:val="0"/>
          <w:color w:val="000000"/>
          <w:szCs w:val="18"/>
          <w:lang w:val="it-IT"/>
        </w:rPr>
        <w:t xml:space="preserve">ACCORDO PRINCIPALE INTITOLATO </w:t>
      </w:r>
      <w:r w:rsidR="001A3EC5" w:rsidRPr="00451078">
        <w:rPr>
          <w:rFonts w:cs="Tahoma"/>
          <w:b/>
          <w:bCs/>
          <w:snapToGrid w:val="0"/>
          <w:color w:val="000000"/>
          <w:szCs w:val="18"/>
          <w:lang w:val="it-IT"/>
        </w:rPr>
        <w:t>“</w:t>
      </w:r>
      <w:r w:rsidRPr="00451078">
        <w:rPr>
          <w:rFonts w:cs="Tahoma"/>
          <w:b/>
          <w:bCs/>
          <w:snapToGrid w:val="0"/>
          <w:color w:val="000000"/>
          <w:szCs w:val="18"/>
          <w:lang w:val="it-IT"/>
        </w:rPr>
        <w:t>DIFESA DAI RECLAMI DI TERZI AVENTI AD OGGETTO LA VIOLAZIONE DEI DIRITTI E L</w:t>
      </w:r>
      <w:r w:rsidR="004525CA">
        <w:rPr>
          <w:rFonts w:cs="Tahoma"/>
          <w:b/>
          <w:bCs/>
          <w:snapToGrid w:val="0"/>
          <w:color w:val="000000"/>
          <w:szCs w:val="18"/>
          <w:lang w:val="it-IT"/>
        </w:rPr>
        <w:t>’</w:t>
      </w:r>
      <w:r w:rsidRPr="00451078">
        <w:rPr>
          <w:rFonts w:cs="Tahoma"/>
          <w:b/>
          <w:bCs/>
          <w:snapToGrid w:val="0"/>
          <w:color w:val="000000"/>
          <w:szCs w:val="18"/>
          <w:lang w:val="it-IT"/>
        </w:rPr>
        <w:t>APPROPRIAZIONE INDEBITA</w:t>
      </w:r>
      <w:r w:rsidR="001A3EC5" w:rsidRPr="00451078">
        <w:rPr>
          <w:rFonts w:cs="Tahoma"/>
          <w:b/>
          <w:bCs/>
          <w:snapToGrid w:val="0"/>
          <w:color w:val="000000"/>
          <w:szCs w:val="18"/>
          <w:lang w:val="it-IT"/>
        </w:rPr>
        <w:t>”</w:t>
      </w:r>
      <w:r w:rsidRPr="00451078">
        <w:rPr>
          <w:rFonts w:cs="Tahoma"/>
          <w:b/>
          <w:bCs/>
          <w:snapToGrid w:val="0"/>
          <w:color w:val="000000"/>
          <w:szCs w:val="18"/>
          <w:lang w:val="it-IT"/>
        </w:rPr>
        <w:t xml:space="preserve"> O DELLE OBBLIGAZIONI DELLA SOCIETÀ PREVISTE AI SENSI DELL</w:t>
      </w:r>
      <w:r w:rsidR="004525CA">
        <w:rPr>
          <w:rFonts w:cs="Tahoma"/>
          <w:b/>
          <w:bCs/>
          <w:snapToGrid w:val="0"/>
          <w:color w:val="000000"/>
          <w:szCs w:val="18"/>
          <w:lang w:val="it-IT"/>
        </w:rPr>
        <w:t>’</w:t>
      </w:r>
      <w:r w:rsidRPr="00451078">
        <w:rPr>
          <w:rFonts w:cs="Tahoma"/>
          <w:b/>
          <w:bCs/>
          <w:snapToGrid w:val="0"/>
          <w:color w:val="000000"/>
          <w:szCs w:val="18"/>
          <w:lang w:val="it-IT"/>
        </w:rPr>
        <w:t xml:space="preserve">ARTICOLO CONTENUTO NELLE PRESENTI CONDIZIONI SUPPLEMENTARI E INTITOLATO </w:t>
      </w:r>
      <w:r w:rsidR="001A3EC5" w:rsidRPr="00451078">
        <w:rPr>
          <w:rFonts w:cs="Tahoma"/>
          <w:b/>
          <w:bCs/>
          <w:snapToGrid w:val="0"/>
          <w:color w:val="000000"/>
          <w:szCs w:val="18"/>
          <w:lang w:val="it-IT"/>
        </w:rPr>
        <w:t>“</w:t>
      </w:r>
      <w:r w:rsidRPr="00451078">
        <w:rPr>
          <w:rFonts w:cs="Tahoma"/>
          <w:b/>
          <w:bCs/>
          <w:snapToGrid w:val="0"/>
          <w:color w:val="000000"/>
          <w:szCs w:val="18"/>
          <w:lang w:val="it-IT"/>
        </w:rPr>
        <w:t>TUTELA DA PARTE DELLA SOCIETÀ</w:t>
      </w:r>
      <w:r w:rsidR="001A3EC5" w:rsidRPr="00451078">
        <w:rPr>
          <w:rFonts w:cs="Tahoma"/>
          <w:b/>
          <w:bCs/>
          <w:snapToGrid w:val="0"/>
          <w:color w:val="000000"/>
          <w:szCs w:val="18"/>
          <w:lang w:val="it-IT"/>
        </w:rPr>
        <w:t>”</w:t>
      </w:r>
      <w:r w:rsidRPr="00451078">
        <w:rPr>
          <w:rFonts w:cs="Tahoma"/>
          <w:b/>
          <w:bCs/>
          <w:snapToGrid w:val="0"/>
          <w:color w:val="000000"/>
          <w:szCs w:val="18"/>
          <w:lang w:val="it-IT"/>
        </w:rPr>
        <w:t>.</w:t>
      </w:r>
    </w:p>
    <w:p w:rsidR="00391D38" w:rsidRPr="00451078" w:rsidRDefault="00391D38" w:rsidP="007E466C">
      <w:pPr>
        <w:keepNext/>
        <w:spacing w:before="120" w:after="60"/>
        <w:ind w:left="1440"/>
        <w:outlineLvl w:val="0"/>
        <w:rPr>
          <w:lang w:val="it-IT"/>
        </w:rPr>
      </w:pPr>
      <w:r w:rsidRPr="00451078">
        <w:rPr>
          <w:rFonts w:cs="Tahoma"/>
          <w:b/>
          <w:bCs/>
          <w:iCs/>
          <w:snapToGrid w:val="0"/>
          <w:szCs w:val="18"/>
          <w:lang w:val="it-IT"/>
        </w:rPr>
        <w:t>Subappaltatori.</w:t>
      </w:r>
    </w:p>
    <w:p w:rsidR="00391D38" w:rsidRPr="00451078" w:rsidRDefault="00391D38" w:rsidP="00391D38">
      <w:pPr>
        <w:ind w:left="1440"/>
        <w:rPr>
          <w:lang w:val="it-IT"/>
        </w:rPr>
      </w:pPr>
      <w:r w:rsidRPr="00451078">
        <w:rPr>
          <w:rFonts w:cs="Tahoma"/>
          <w:snapToGrid w:val="0"/>
          <w:szCs w:val="18"/>
          <w:lang w:val="it-IT"/>
        </w:rPr>
        <w:t>Microsoft potrà ricorrere all</w:t>
      </w:r>
      <w:r w:rsidR="004525CA">
        <w:rPr>
          <w:rFonts w:cs="Tahoma"/>
          <w:snapToGrid w:val="0"/>
          <w:szCs w:val="18"/>
          <w:lang w:val="it-IT"/>
        </w:rPr>
        <w:t>’</w:t>
      </w:r>
      <w:r w:rsidRPr="00451078">
        <w:rPr>
          <w:rFonts w:cs="Tahoma"/>
          <w:snapToGrid w:val="0"/>
          <w:szCs w:val="18"/>
          <w:lang w:val="it-IT"/>
        </w:rPr>
        <w:t>attività prestata da Collaboratori per supportare i Servizi Online.</w:t>
      </w:r>
      <w:r w:rsidR="00082E1C" w:rsidRPr="00451078">
        <w:rPr>
          <w:rFonts w:cs="Tahoma"/>
          <w:snapToGrid w:val="0"/>
          <w:szCs w:val="18"/>
          <w:lang w:val="it-IT"/>
        </w:rPr>
        <w:t xml:space="preserve"> </w:t>
      </w:r>
      <w:r w:rsidRPr="00451078">
        <w:rPr>
          <w:rFonts w:cs="Tahoma"/>
          <w:snapToGrid w:val="0"/>
          <w:szCs w:val="18"/>
          <w:lang w:val="it-IT"/>
        </w:rPr>
        <w:t>Microsoft sarà responsabile delle loro prestazioni secondo quanto previsto dalle condizioni del</w:t>
      </w:r>
      <w:r w:rsidR="00786F27" w:rsidRPr="00451078">
        <w:rPr>
          <w:rFonts w:cs="Tahoma"/>
          <w:snapToGrid w:val="0"/>
          <w:szCs w:val="18"/>
          <w:lang w:val="it-IT"/>
        </w:rPr>
        <w:t> </w:t>
      </w:r>
      <w:r w:rsidRPr="00451078">
        <w:rPr>
          <w:rFonts w:cs="Tahoma"/>
          <w:snapToGrid w:val="0"/>
          <w:szCs w:val="18"/>
          <w:lang w:val="it-IT"/>
        </w:rPr>
        <w:t>Contratto Multilicenza della società.</w:t>
      </w:r>
    </w:p>
    <w:p w:rsidR="00391D38" w:rsidRPr="00451078" w:rsidRDefault="00391D38" w:rsidP="0084072C">
      <w:pPr>
        <w:ind w:left="720"/>
        <w:rPr>
          <w:lang w:val="it-IT"/>
        </w:rPr>
      </w:pPr>
    </w:p>
    <w:p w:rsidR="00707E03" w:rsidRDefault="00707E03" w:rsidP="00707E03">
      <w:pPr>
        <w:spacing w:after="60"/>
        <w:ind w:left="720"/>
        <w:rPr>
          <w:rFonts w:cs="Tahoma"/>
        </w:rPr>
      </w:pPr>
      <w:r>
        <w:rPr>
          <w:rFonts w:cs="Tahoma"/>
          <w:b/>
          <w:color w:val="000000"/>
          <w:lang w:val="it-IT"/>
        </w:rPr>
        <w:t>Diritti di True-Up</w:t>
      </w:r>
    </w:p>
    <w:p w:rsidR="00707E03" w:rsidRDefault="00707E03" w:rsidP="00707E03">
      <w:pPr>
        <w:ind w:left="720"/>
        <w:rPr>
          <w:rFonts w:cs="Tahoma"/>
        </w:rPr>
      </w:pPr>
      <w:r>
        <w:rPr>
          <w:rFonts w:cs="Tahoma"/>
          <w:color w:val="000000"/>
          <w:lang w:val="it-IT"/>
        </w:rPr>
        <w:t>Nonostante eventuali disposizioni contrarie dei Diritti di Utilizzo del Prodotto per Forefront Unified Access Gateway 2010 dal 1 dicembre 2012, per le Società Qualificanti, le licenze Enterprise CAL Suite acquistate ai sensi dei diritti di true-up dopo il 1 dicembre 2012 consentono l'accesso a Forefront Unified Access Gateway 2010. Le “Società Qualificanti” sono società titolari di iscrizioni Enterprise o Enterprise Subscription, società titolari di contratti Open Value Subscription (OVS) o società titolari di contratti Enrollment for Education Solutions che hanno acquistato Enterprise CAL Suite per la prima volta in data precedente al 1 dicembre 2012 e godono del diritto, attribuito dalla medesima iscrizione o dal medesimo contratto OVS, di acquistare licenze aggiuntive dopo il 1 dicembre 2012 ai sensi della procedura di true-up. Tale eccezione si applica solo alle licenze acquistate ai sensi di diritti di true-up prima del primo rinnovo effettuato dalla Società Qualificante successivamente al 1 dicembre 2012. Vedere l'articolo “Diritti sull'Utilizzo Estesi per i prodotti Forefront” di seguito per informazioni sui diritti sull'utilizzo estesi ai sensi della Enterprise CAL Suite per i componenti della Forefront Protection Suite (parte della Enterprise CAL Suite fino al 30 novembre 2012).</w:t>
      </w:r>
    </w:p>
    <w:p w:rsidR="00707E03" w:rsidRDefault="00707E03" w:rsidP="00707E03">
      <w:pPr>
        <w:ind w:left="720"/>
        <w:rPr>
          <w:rFonts w:cs="Tahoma"/>
        </w:rPr>
      </w:pPr>
    </w:p>
    <w:p w:rsidR="00707E03" w:rsidRDefault="00707E03" w:rsidP="00707E03">
      <w:pPr>
        <w:ind w:left="720"/>
        <w:rPr>
          <w:rFonts w:cs="Tahoma"/>
        </w:rPr>
      </w:pPr>
      <w:r>
        <w:rPr>
          <w:rFonts w:cs="Tahoma"/>
          <w:color w:val="000000"/>
          <w:lang w:val="it-IT"/>
        </w:rPr>
        <w:t>Rinnovo della copertura Software Assurance per Forefront Unified Access Gateway al di fuori della Enterprise CAL Suite</w:t>
      </w:r>
    </w:p>
    <w:p w:rsidR="00707E03" w:rsidRDefault="00707E03" w:rsidP="00707E03">
      <w:pPr>
        <w:ind w:left="720"/>
        <w:rPr>
          <w:rFonts w:cs="Tahoma"/>
        </w:rPr>
      </w:pPr>
      <w:r>
        <w:rPr>
          <w:rFonts w:cs="Tahoma"/>
          <w:color w:val="000000"/>
          <w:lang w:val="it-IT"/>
        </w:rPr>
        <w:t>Le società autorizzate all'utilizzo di Forefront Unified Access Gateway ai sensi di licenze Enterprise CAL Suite con copertura Software Assurance (con licenze acquistate prima del 1 dicembre 2012 o con diritti di true-up, come descritto in precedenza), al primo rinnovo di tale copertura a partire dal 1 dicembre 2012 dispongono dell'opzione di acquistare la copertura Software Assurance per Forefront Unified Access Gateway al di fuori della Enterprise CAL Suite senza prima acquistare una licenza separata per Forefront Unified Access Gateway.</w:t>
      </w:r>
      <w:r>
        <w:rPr>
          <w:rFonts w:cs="Tahoma"/>
          <w:lang w:val="it-IT"/>
        </w:rPr>
        <w:t xml:space="preserve"> </w:t>
      </w:r>
      <w:r>
        <w:rPr>
          <w:rFonts w:cs="Tahoma"/>
          <w:color w:val="000000"/>
          <w:lang w:val="it-IT"/>
        </w:rPr>
        <w:t>Tale offerta di acquisto di Forefront Unified Access Gateway è valida per un numero massimo di licenze pari al numero totale di licenze Enterprise CAL Suite con copertura Software Assurance in possesso della società immediatamente prima del rinnovo.</w:t>
      </w:r>
      <w:r>
        <w:rPr>
          <w:rFonts w:cs="Tahoma"/>
          <w:lang w:val="it-IT"/>
        </w:rPr>
        <w:t xml:space="preserve"> </w:t>
      </w:r>
    </w:p>
    <w:p w:rsidR="00707E03" w:rsidRDefault="00707E03" w:rsidP="0084072C">
      <w:pPr>
        <w:spacing w:after="60"/>
        <w:ind w:left="720"/>
        <w:rPr>
          <w:rFonts w:cs="Tahoma"/>
          <w:b/>
          <w:color w:val="000000"/>
          <w:szCs w:val="20"/>
          <w:lang w:val="it-IT"/>
        </w:rPr>
      </w:pPr>
    </w:p>
    <w:p w:rsidR="004E3869" w:rsidRPr="00451078" w:rsidRDefault="00A2724A" w:rsidP="0084072C">
      <w:pPr>
        <w:spacing w:after="60"/>
        <w:ind w:left="720"/>
        <w:rPr>
          <w:lang w:val="it-IT"/>
        </w:rPr>
      </w:pPr>
      <w:r w:rsidRPr="00451078">
        <w:rPr>
          <w:rFonts w:cs="Tahoma"/>
          <w:b/>
          <w:color w:val="000000"/>
          <w:szCs w:val="20"/>
          <w:lang w:val="it-IT"/>
        </w:rPr>
        <w:t>Diritti sull</w:t>
      </w:r>
      <w:r w:rsidR="004525CA">
        <w:rPr>
          <w:rFonts w:cs="Tahoma"/>
          <w:b/>
          <w:color w:val="000000"/>
          <w:szCs w:val="20"/>
          <w:lang w:val="it-IT"/>
        </w:rPr>
        <w:t>’</w:t>
      </w:r>
      <w:r w:rsidRPr="00451078">
        <w:rPr>
          <w:rFonts w:cs="Tahoma"/>
          <w:b/>
          <w:color w:val="000000"/>
          <w:szCs w:val="20"/>
          <w:lang w:val="it-IT"/>
        </w:rPr>
        <w:t>Utilizzo Estesi per i prodotti Forefront</w:t>
      </w:r>
    </w:p>
    <w:p w:rsidR="00C349AE" w:rsidRDefault="00793CBD" w:rsidP="0084072C">
      <w:pPr>
        <w:ind w:left="720"/>
        <w:rPr>
          <w:rFonts w:cs="Tahoma"/>
          <w:bCs/>
          <w:color w:val="000000"/>
          <w:szCs w:val="18"/>
          <w:lang w:val="it-IT"/>
        </w:rPr>
      </w:pPr>
      <w:r w:rsidRPr="00DA34B7">
        <w:rPr>
          <w:rFonts w:cs="Tahoma"/>
          <w:bCs/>
          <w:color w:val="000000"/>
          <w:szCs w:val="18"/>
          <w:lang w:val="it-IT"/>
        </w:rPr>
        <w:t>Le società con copertura Software Assurance attiva per Enterprise CAL Suite a partire dal 30 novembre 2012 potranno continuare a utilizzare i servizi componenti di Forefront Protection Suite (che in precedenza appartenevano a Enterprise CAL Suite) fino alla scadenza e/o al rinnovo di tale copertura.</w:t>
      </w:r>
      <w:r w:rsidR="00082E1C" w:rsidRPr="00DA34B7">
        <w:rPr>
          <w:rFonts w:cs="Tahoma"/>
          <w:bCs/>
          <w:color w:val="000000"/>
          <w:szCs w:val="18"/>
          <w:lang w:val="it-IT"/>
        </w:rPr>
        <w:t xml:space="preserve"> </w:t>
      </w:r>
      <w:r w:rsidRPr="00DA34B7">
        <w:rPr>
          <w:rFonts w:cs="Tahoma"/>
          <w:bCs/>
          <w:color w:val="000000"/>
          <w:szCs w:val="18"/>
          <w:lang w:val="it-IT"/>
        </w:rPr>
        <w:t xml:space="preserve">Tali società potranno inoltre continuare a utilizzare i componenti </w:t>
      </w:r>
      <w:r w:rsidRPr="00DA34B7">
        <w:rPr>
          <w:rFonts w:cs="Tahoma"/>
          <w:color w:val="000000"/>
          <w:szCs w:val="20"/>
          <w:lang w:val="it-IT"/>
        </w:rPr>
        <w:t xml:space="preserve">Forefront for Office Communications Server, Forefront Protection 2010 for Exchange Server, Forefront Threat Management Gateway Web Protection Service e Forefront Protection 2010 for SharePoint Server </w:t>
      </w:r>
      <w:r w:rsidRPr="00DA34B7">
        <w:rPr>
          <w:rFonts w:cs="Tahoma"/>
          <w:bCs/>
          <w:color w:val="000000"/>
          <w:szCs w:val="18"/>
          <w:lang w:val="it-IT"/>
        </w:rPr>
        <w:t>della famiglia di prodotti fino al 31 dicembre 2015. Tali condizioni si applicano anche alle licenze Enterprise CAL Suite successive acquistate da tali società prima del 31 dicembre 2015. L</w:t>
      </w:r>
      <w:r w:rsidR="004525CA">
        <w:rPr>
          <w:rFonts w:cs="Tahoma"/>
          <w:bCs/>
          <w:color w:val="000000"/>
          <w:szCs w:val="18"/>
          <w:lang w:val="it-IT"/>
        </w:rPr>
        <w:t>’</w:t>
      </w:r>
      <w:r w:rsidRPr="00DA34B7">
        <w:rPr>
          <w:rFonts w:cs="Tahoma"/>
          <w:bCs/>
          <w:color w:val="000000"/>
          <w:szCs w:val="18"/>
          <w:lang w:val="it-IT"/>
        </w:rPr>
        <w:t>utilizzo continuato dei servizi online dei componenti rimane soggetto alle condizioni del Contratto Multilicenza della società, ai diritti di utilizzo del prodotto per i servizi online e alle presenti condizioni.</w:t>
      </w:r>
    </w:p>
    <w:p w:rsidR="00DA34B7" w:rsidRPr="00DA34B7" w:rsidRDefault="00DA34B7" w:rsidP="0084072C">
      <w:pPr>
        <w:ind w:left="720"/>
        <w:rPr>
          <w:lang w:val="it-IT"/>
        </w:rPr>
      </w:pPr>
    </w:p>
    <w:p w:rsidR="00707E03" w:rsidRDefault="00707E03">
      <w:pPr>
        <w:rPr>
          <w:rFonts w:cs="Tahoma"/>
          <w:b/>
          <w:color w:val="000000"/>
          <w:szCs w:val="20"/>
          <w:lang w:val="it-IT"/>
        </w:rPr>
      </w:pPr>
      <w:r>
        <w:rPr>
          <w:rFonts w:cs="Tahoma"/>
          <w:b/>
          <w:color w:val="000000"/>
          <w:szCs w:val="20"/>
          <w:lang w:val="it-IT"/>
        </w:rPr>
        <w:br w:type="page"/>
      </w:r>
    </w:p>
    <w:p w:rsidR="004E3869" w:rsidRPr="00451078" w:rsidRDefault="004E3869" w:rsidP="0084072C">
      <w:pPr>
        <w:spacing w:after="60"/>
        <w:ind w:left="720"/>
        <w:rPr>
          <w:lang w:val="it-IT"/>
        </w:rPr>
      </w:pPr>
      <w:r w:rsidRPr="00451078">
        <w:rPr>
          <w:rFonts w:cs="Tahoma"/>
          <w:b/>
          <w:color w:val="000000"/>
          <w:szCs w:val="20"/>
          <w:lang w:val="it-IT"/>
        </w:rPr>
        <w:lastRenderedPageBreak/>
        <w:t xml:space="preserve">Forefront Protection Suite </w:t>
      </w:r>
    </w:p>
    <w:p w:rsidR="004E3869" w:rsidRPr="00451078" w:rsidRDefault="004E3869" w:rsidP="0084072C">
      <w:pPr>
        <w:ind w:left="720"/>
        <w:rPr>
          <w:lang w:val="it-IT"/>
        </w:rPr>
      </w:pPr>
      <w:r w:rsidRPr="00451078">
        <w:rPr>
          <w:rFonts w:cs="Tahoma"/>
          <w:color w:val="000000"/>
          <w:szCs w:val="20"/>
          <w:lang w:val="it-IT"/>
        </w:rPr>
        <w:t>Un abbonamento a Forefront Protection Suite è costituito dai seguenti servizi online:</w:t>
      </w:r>
      <w:r w:rsidR="00082E1C" w:rsidRPr="00451078">
        <w:rPr>
          <w:rFonts w:cs="Tahoma"/>
          <w:color w:val="000000"/>
          <w:szCs w:val="20"/>
          <w:lang w:val="it-IT"/>
        </w:rPr>
        <w:t xml:space="preserve"> </w:t>
      </w:r>
      <w:r w:rsidRPr="00451078">
        <w:rPr>
          <w:rFonts w:cs="Tahoma"/>
          <w:color w:val="000000"/>
          <w:szCs w:val="20"/>
          <w:lang w:val="it-IT"/>
        </w:rPr>
        <w:t xml:space="preserve">System Center 2012 Endpoint Protection, Forefront for Office Communications Server (ex Antigen for Instant Messaging), Forefront Online Protection for Exchange (ex Exchange Hosted Filtering), Forefront Protection 2010 for Exchange Server, Forefront Threat Management Gateway Web Protection Service e Forefront Protection 2010 for SharePoint Server. </w:t>
      </w:r>
    </w:p>
    <w:p w:rsidR="00B2460D" w:rsidRPr="00451078" w:rsidRDefault="00B2460D" w:rsidP="0084072C">
      <w:pPr>
        <w:ind w:left="720"/>
        <w:rPr>
          <w:lang w:val="it-IT"/>
        </w:rPr>
      </w:pPr>
    </w:p>
    <w:p w:rsidR="00023FE7" w:rsidRPr="00451078" w:rsidRDefault="00023FE7" w:rsidP="0084072C">
      <w:pPr>
        <w:spacing w:after="60"/>
        <w:ind w:left="720"/>
        <w:rPr>
          <w:lang w:val="it-IT"/>
        </w:rPr>
      </w:pPr>
      <w:r w:rsidRPr="00451078">
        <w:rPr>
          <w:rFonts w:cs="Tahoma"/>
          <w:b/>
          <w:color w:val="000000"/>
          <w:szCs w:val="20"/>
          <w:lang w:val="it-IT"/>
        </w:rPr>
        <w:t>CAL Solo per Studenti (Academic Open License e Academic Select)</w:t>
      </w:r>
    </w:p>
    <w:p w:rsidR="00026546" w:rsidRPr="00451078" w:rsidRDefault="00023FE7" w:rsidP="00707E03">
      <w:pPr>
        <w:ind w:left="720"/>
        <w:rPr>
          <w:lang w:val="it-IT"/>
        </w:rPr>
      </w:pPr>
      <w:r w:rsidRPr="00451078">
        <w:rPr>
          <w:rFonts w:cs="Tahoma"/>
          <w:szCs w:val="20"/>
          <w:lang w:val="it-IT"/>
        </w:rPr>
        <w:t>Le CAL Solo per Studenti sono limitate ai PC di proprietà dello studente titolare della licenza o ai PC di</w:t>
      </w:r>
      <w:r w:rsidR="00E82D1F" w:rsidRPr="00451078">
        <w:rPr>
          <w:rFonts w:cs="Tahoma"/>
          <w:szCs w:val="20"/>
          <w:lang w:val="it-IT"/>
        </w:rPr>
        <w:t> </w:t>
      </w:r>
      <w:r w:rsidRPr="00451078">
        <w:rPr>
          <w:rFonts w:cs="Tahoma"/>
          <w:szCs w:val="20"/>
          <w:lang w:val="it-IT"/>
        </w:rPr>
        <w:t>proprietà dell</w:t>
      </w:r>
      <w:r w:rsidR="004525CA">
        <w:rPr>
          <w:rFonts w:cs="Tahoma"/>
          <w:szCs w:val="20"/>
          <w:lang w:val="it-IT"/>
        </w:rPr>
        <w:t>’</w:t>
      </w:r>
      <w:r w:rsidRPr="00451078">
        <w:rPr>
          <w:rFonts w:cs="Tahoma"/>
          <w:szCs w:val="20"/>
          <w:lang w:val="it-IT"/>
        </w:rPr>
        <w:t>Istituto che siano assegnati a un singolo studente e NON siano utilizzati nei laboratori o</w:t>
      </w:r>
      <w:r w:rsidR="00E82D1F" w:rsidRPr="00451078">
        <w:rPr>
          <w:rFonts w:cs="Tahoma"/>
          <w:szCs w:val="20"/>
          <w:lang w:val="it-IT"/>
        </w:rPr>
        <w:t> </w:t>
      </w:r>
      <w:r w:rsidRPr="00451078">
        <w:rPr>
          <w:rFonts w:cs="Tahoma"/>
          <w:szCs w:val="20"/>
          <w:lang w:val="it-IT"/>
        </w:rPr>
        <w:t>in</w:t>
      </w:r>
      <w:r w:rsidR="00E82D1F" w:rsidRPr="00451078">
        <w:rPr>
          <w:rFonts w:cs="Tahoma"/>
          <w:szCs w:val="20"/>
          <w:lang w:val="it-IT"/>
        </w:rPr>
        <w:t> </w:t>
      </w:r>
      <w:r w:rsidRPr="00451078">
        <w:rPr>
          <w:rFonts w:cs="Tahoma"/>
          <w:szCs w:val="20"/>
          <w:lang w:val="it-IT"/>
        </w:rPr>
        <w:t>classe.</w:t>
      </w:r>
    </w:p>
    <w:p w:rsidR="00D70D2C" w:rsidRDefault="00D70D2C" w:rsidP="0084072C">
      <w:pPr>
        <w:ind w:left="540"/>
        <w:rPr>
          <w:lang w:val="it-IT"/>
        </w:rPr>
      </w:pPr>
    </w:p>
    <w:p w:rsidR="00B14006" w:rsidRDefault="00B14006" w:rsidP="0084072C">
      <w:pPr>
        <w:ind w:left="540"/>
        <w:rPr>
          <w:lang w:val="it-IT"/>
        </w:rPr>
      </w:pPr>
    </w:p>
    <w:p w:rsidR="00241885" w:rsidRPr="00451078" w:rsidRDefault="00A7003F" w:rsidP="00241885">
      <w:pPr>
        <w:pStyle w:val="Heading3"/>
        <w:rPr>
          <w:lang w:val="it-IT"/>
        </w:rPr>
      </w:pPr>
      <w:bookmarkStart w:id="1201" w:name="_43_Exchange_Enterprise"/>
      <w:bookmarkStart w:id="1202" w:name="_Toc352234896"/>
      <w:bookmarkStart w:id="1203" w:name="_Toc336338305"/>
      <w:bookmarkStart w:id="1204" w:name="Srv_45ExchOnlineArchivingUserSL"/>
      <w:bookmarkEnd w:id="1201"/>
      <w:r w:rsidRPr="00451078">
        <w:rPr>
          <w:rFonts w:ascii="Tahoma" w:hAnsi="Tahoma"/>
          <w:caps/>
          <w:color w:val="F66400"/>
          <w:sz w:val="22"/>
          <w:vertAlign w:val="superscript"/>
          <w:lang w:val="it-IT"/>
        </w:rPr>
        <w:t>43</w:t>
      </w:r>
      <w:r w:rsidRPr="00451078">
        <w:rPr>
          <w:rFonts w:ascii="Tahoma" w:hAnsi="Tahoma"/>
          <w:color w:val="F66400"/>
          <w:sz w:val="22"/>
          <w:lang w:val="it-IT"/>
        </w:rPr>
        <w:t xml:space="preserve"> Exchange Enterprise CAL con Services 2013</w:t>
      </w:r>
      <w:bookmarkEnd w:id="1202"/>
    </w:p>
    <w:p w:rsidR="00241885" w:rsidRPr="00451078" w:rsidRDefault="00241885" w:rsidP="00241885">
      <w:pPr>
        <w:rPr>
          <w:lang w:val="it-IT"/>
        </w:rPr>
      </w:pPr>
    </w:p>
    <w:p w:rsidR="00241885" w:rsidRPr="00451078" w:rsidRDefault="00241885" w:rsidP="00241885">
      <w:pPr>
        <w:ind w:left="720"/>
        <w:rPr>
          <w:lang w:val="it-IT"/>
        </w:rPr>
      </w:pPr>
      <w:r w:rsidRPr="00451078">
        <w:rPr>
          <w:rFonts w:cs="Tahoma"/>
          <w:szCs w:val="20"/>
          <w:lang w:val="it-IT"/>
        </w:rPr>
        <w:t xml:space="preserve">A decorrere dal 1 aprile 2013 una Exchange Enterprise CAL con Services 2013 con copertura Software Assurance attiva include i diritti per Prevenzione della Perdita dei Dati ed Exchange Online Protection. </w:t>
      </w:r>
    </w:p>
    <w:p w:rsidR="00241885" w:rsidRPr="00451078" w:rsidRDefault="00241885" w:rsidP="00241885">
      <w:pPr>
        <w:ind w:left="720"/>
        <w:rPr>
          <w:lang w:val="it-IT"/>
        </w:rPr>
      </w:pPr>
    </w:p>
    <w:p w:rsidR="00241885" w:rsidRPr="00451078" w:rsidRDefault="00241885" w:rsidP="00241885">
      <w:pPr>
        <w:ind w:left="720"/>
        <w:rPr>
          <w:lang w:val="it-IT"/>
        </w:rPr>
      </w:pPr>
      <w:r w:rsidRPr="00451078">
        <w:rPr>
          <w:rFonts w:cs="Tahoma"/>
          <w:szCs w:val="20"/>
          <w:lang w:val="it-IT"/>
        </w:rPr>
        <w:t>Per iniziare a utilizzare questi servizi, la società dovrà contattare il proprio Microsoft Partner, che può avviare il processo di erogazione necessario per l</w:t>
      </w:r>
      <w:r w:rsidR="004525CA">
        <w:rPr>
          <w:rFonts w:cs="Tahoma"/>
          <w:szCs w:val="20"/>
          <w:lang w:val="it-IT"/>
        </w:rPr>
        <w:t>’</w:t>
      </w:r>
      <w:r w:rsidRPr="00451078">
        <w:rPr>
          <w:rFonts w:cs="Tahoma"/>
          <w:szCs w:val="20"/>
          <w:lang w:val="it-IT"/>
        </w:rPr>
        <w:t>attivazione di ciascun servizio.</w:t>
      </w:r>
    </w:p>
    <w:p w:rsidR="002512D3" w:rsidRPr="00451078" w:rsidRDefault="002512D3">
      <w:pPr>
        <w:rPr>
          <w:lang w:val="it-IT"/>
        </w:rPr>
      </w:pPr>
    </w:p>
    <w:p w:rsidR="00C175DE" w:rsidRPr="00451078" w:rsidRDefault="00C175DE" w:rsidP="00C175DE">
      <w:pPr>
        <w:spacing w:after="60"/>
        <w:ind w:left="720"/>
        <w:rPr>
          <w:lang w:val="it-IT"/>
        </w:rPr>
      </w:pPr>
      <w:r w:rsidRPr="00451078">
        <w:rPr>
          <w:rFonts w:cs="Tahoma"/>
          <w:b/>
          <w:color w:val="000000"/>
          <w:szCs w:val="20"/>
          <w:lang w:val="it-IT"/>
        </w:rPr>
        <w:t>Servizi Online</w:t>
      </w:r>
    </w:p>
    <w:p w:rsidR="00C175DE" w:rsidRPr="00451078" w:rsidRDefault="00C175DE" w:rsidP="00C175DE">
      <w:pPr>
        <w:spacing w:after="60"/>
        <w:ind w:left="720"/>
        <w:rPr>
          <w:lang w:val="it-IT"/>
        </w:rPr>
      </w:pPr>
      <w:r w:rsidRPr="00451078">
        <w:rPr>
          <w:snapToGrid w:val="0"/>
          <w:lang w:val="it-IT"/>
        </w:rPr>
        <w:t>Qualora la società o la propria Consociata Iscritta utilizzi Prevenzione della Perdita dei Dati o Exchange Online Protection nell</w:t>
      </w:r>
      <w:r w:rsidR="004525CA">
        <w:rPr>
          <w:snapToGrid w:val="0"/>
          <w:lang w:val="it-IT"/>
        </w:rPr>
        <w:t>’</w:t>
      </w:r>
      <w:r w:rsidRPr="00451078">
        <w:rPr>
          <w:snapToGrid w:val="0"/>
          <w:lang w:val="it-IT"/>
        </w:rPr>
        <w:t>ambito della propria Exchange Enterprise CAL con Services 2013 (ai fini dell</w:t>
      </w:r>
      <w:r w:rsidR="004525CA">
        <w:rPr>
          <w:snapToGrid w:val="0"/>
          <w:lang w:val="it-IT"/>
        </w:rPr>
        <w:t>’</w:t>
      </w:r>
      <w:r w:rsidRPr="00451078">
        <w:rPr>
          <w:snapToGrid w:val="0"/>
          <w:lang w:val="it-IT"/>
        </w:rPr>
        <w:t xml:space="preserve">interpretazione della presente nota </w:t>
      </w:r>
      <w:r w:rsidR="001A3EC5" w:rsidRPr="00451078">
        <w:rPr>
          <w:snapToGrid w:val="0"/>
          <w:lang w:val="it-IT"/>
        </w:rPr>
        <w:t>“</w:t>
      </w:r>
      <w:r w:rsidRPr="00451078">
        <w:rPr>
          <w:snapToGrid w:val="0"/>
          <w:lang w:val="it-IT"/>
        </w:rPr>
        <w:t>Servizi Online</w:t>
      </w:r>
      <w:r w:rsidR="001A3EC5" w:rsidRPr="00451078">
        <w:rPr>
          <w:snapToGrid w:val="0"/>
          <w:lang w:val="it-IT"/>
        </w:rPr>
        <w:t>”</w:t>
      </w:r>
      <w:r w:rsidRPr="00451078">
        <w:rPr>
          <w:snapToGrid w:val="0"/>
          <w:lang w:val="it-IT"/>
        </w:rPr>
        <w:t xml:space="preserve">), </w:t>
      </w:r>
      <w:r w:rsidRPr="00451078">
        <w:rPr>
          <w:rFonts w:cs="Tahoma"/>
          <w:szCs w:val="20"/>
          <w:lang w:val="it-IT"/>
        </w:rPr>
        <w:t>le seguenti Condizioni Supplementari per i</w:t>
      </w:r>
      <w:r w:rsidR="00E82D1F" w:rsidRPr="00451078">
        <w:rPr>
          <w:rFonts w:cs="Tahoma"/>
          <w:szCs w:val="20"/>
          <w:lang w:val="it-IT"/>
        </w:rPr>
        <w:t> </w:t>
      </w:r>
      <w:r w:rsidRPr="00451078">
        <w:rPr>
          <w:rFonts w:cs="Tahoma"/>
          <w:szCs w:val="20"/>
          <w:lang w:val="it-IT"/>
        </w:rPr>
        <w:t>Servizi</w:t>
      </w:r>
      <w:r w:rsidR="00E82D1F" w:rsidRPr="00451078">
        <w:rPr>
          <w:rFonts w:cs="Tahoma"/>
          <w:szCs w:val="20"/>
          <w:lang w:val="it-IT"/>
        </w:rPr>
        <w:t> </w:t>
      </w:r>
      <w:r w:rsidRPr="00451078">
        <w:rPr>
          <w:rFonts w:cs="Tahoma"/>
          <w:szCs w:val="20"/>
          <w:lang w:val="it-IT"/>
        </w:rPr>
        <w:t>Online (</w:t>
      </w:r>
      <w:r w:rsidR="001A3EC5" w:rsidRPr="00451078">
        <w:rPr>
          <w:rFonts w:cs="Tahoma"/>
          <w:szCs w:val="20"/>
          <w:lang w:val="it-IT"/>
        </w:rPr>
        <w:t>“</w:t>
      </w:r>
      <w:r w:rsidRPr="00451078">
        <w:rPr>
          <w:rFonts w:cs="Tahoma"/>
          <w:szCs w:val="20"/>
          <w:lang w:val="it-IT"/>
        </w:rPr>
        <w:t>Condizioni Supplementari</w:t>
      </w:r>
      <w:r w:rsidR="001A3EC5" w:rsidRPr="00451078">
        <w:rPr>
          <w:rFonts w:cs="Tahoma"/>
          <w:szCs w:val="20"/>
          <w:lang w:val="it-IT"/>
        </w:rPr>
        <w:t>”</w:t>
      </w:r>
      <w:r w:rsidRPr="00451078">
        <w:rPr>
          <w:rFonts w:cs="Tahoma"/>
          <w:szCs w:val="20"/>
          <w:lang w:val="it-IT"/>
        </w:rPr>
        <w:t>) si applicheranno a tale utilizzo, anziché eventuali condizioni contraddittorie presenti nel Contratto Multilicenza della società</w:t>
      </w:r>
      <w:r w:rsidRPr="00451078">
        <w:rPr>
          <w:rFonts w:cs="Tahoma"/>
          <w:bCs/>
          <w:iCs/>
          <w:snapToGrid w:val="0"/>
          <w:szCs w:val="18"/>
          <w:lang w:val="it-IT"/>
        </w:rPr>
        <w:t>:</w:t>
      </w:r>
    </w:p>
    <w:p w:rsidR="00B0658B" w:rsidRPr="00451078" w:rsidRDefault="00B0658B" w:rsidP="007E466C">
      <w:pPr>
        <w:keepNext/>
        <w:spacing w:before="240" w:after="60"/>
        <w:ind w:left="1440"/>
        <w:outlineLvl w:val="0"/>
        <w:rPr>
          <w:lang w:val="it-IT"/>
        </w:rPr>
      </w:pPr>
      <w:r w:rsidRPr="00451078">
        <w:rPr>
          <w:rFonts w:cs="Tahoma"/>
          <w:b/>
          <w:bCs/>
          <w:iCs/>
          <w:snapToGrid w:val="0"/>
          <w:szCs w:val="18"/>
          <w:lang w:val="it-IT"/>
        </w:rPr>
        <w:t>Definizioni.</w:t>
      </w:r>
    </w:p>
    <w:p w:rsidR="00B0658B" w:rsidRPr="00451078" w:rsidRDefault="001A3EC5" w:rsidP="007E466C">
      <w:pPr>
        <w:ind w:left="1440"/>
        <w:jc w:val="both"/>
        <w:rPr>
          <w:lang w:val="it-IT"/>
        </w:rPr>
      </w:pPr>
      <w:r w:rsidRPr="00451078">
        <w:rPr>
          <w:rFonts w:cs="Tahoma"/>
          <w:snapToGrid w:val="0"/>
          <w:color w:val="000000"/>
          <w:szCs w:val="18"/>
          <w:lang w:val="it-IT"/>
        </w:rPr>
        <w:t>“</w:t>
      </w:r>
      <w:r w:rsidR="00B0658B" w:rsidRPr="00451078">
        <w:rPr>
          <w:rFonts w:cs="Tahoma"/>
          <w:snapToGrid w:val="0"/>
          <w:color w:val="000000"/>
          <w:szCs w:val="18"/>
          <w:lang w:val="it-IT"/>
        </w:rPr>
        <w:t>Dati della Società</w:t>
      </w:r>
      <w:r w:rsidRPr="00451078">
        <w:rPr>
          <w:rFonts w:cs="Tahoma"/>
          <w:snapToGrid w:val="0"/>
          <w:color w:val="000000"/>
          <w:szCs w:val="18"/>
          <w:lang w:val="it-IT"/>
        </w:rPr>
        <w:t>”</w:t>
      </w:r>
      <w:r w:rsidR="00B0658B" w:rsidRPr="00451078">
        <w:rPr>
          <w:rFonts w:cs="Tahoma"/>
          <w:snapToGrid w:val="0"/>
          <w:color w:val="000000"/>
          <w:szCs w:val="18"/>
          <w:lang w:val="it-IT"/>
        </w:rPr>
        <w:t xml:space="preserve"> indica tutti i dati, inclusi tutti i file di testo, audio, software e immagine forniti a</w:t>
      </w:r>
      <w:r w:rsidR="00E82D1F" w:rsidRPr="00451078">
        <w:rPr>
          <w:rFonts w:cs="Tahoma"/>
          <w:snapToGrid w:val="0"/>
          <w:color w:val="000000"/>
          <w:szCs w:val="18"/>
          <w:lang w:val="it-IT"/>
        </w:rPr>
        <w:t> </w:t>
      </w:r>
      <w:r w:rsidR="00B0658B" w:rsidRPr="00451078">
        <w:rPr>
          <w:rFonts w:cs="Tahoma"/>
          <w:snapToGrid w:val="0"/>
          <w:color w:val="000000"/>
          <w:szCs w:val="18"/>
          <w:lang w:val="it-IT"/>
        </w:rPr>
        <w:t>Microsoft dalla o per conto della società tramite l</w:t>
      </w:r>
      <w:r w:rsidR="004525CA">
        <w:rPr>
          <w:rFonts w:cs="Tahoma"/>
          <w:snapToGrid w:val="0"/>
          <w:color w:val="000000"/>
          <w:szCs w:val="18"/>
          <w:lang w:val="it-IT"/>
        </w:rPr>
        <w:t>’</w:t>
      </w:r>
      <w:r w:rsidR="00B0658B" w:rsidRPr="00451078">
        <w:rPr>
          <w:rFonts w:cs="Tahoma"/>
          <w:snapToGrid w:val="0"/>
          <w:color w:val="000000"/>
          <w:szCs w:val="18"/>
          <w:lang w:val="it-IT"/>
        </w:rPr>
        <w:t>utilizzo dei Servizi Online da parte della società.</w:t>
      </w:r>
    </w:p>
    <w:p w:rsidR="00B0658B" w:rsidRPr="00451078" w:rsidRDefault="001A3EC5" w:rsidP="00B0658B">
      <w:pPr>
        <w:spacing w:before="120"/>
        <w:ind w:left="1440"/>
        <w:jc w:val="both"/>
        <w:rPr>
          <w:lang w:val="it-IT"/>
        </w:rPr>
      </w:pPr>
      <w:r w:rsidRPr="00451078">
        <w:rPr>
          <w:rFonts w:cs="Tahoma"/>
          <w:snapToGrid w:val="0"/>
          <w:color w:val="000000"/>
          <w:szCs w:val="18"/>
          <w:lang w:val="it-IT"/>
        </w:rPr>
        <w:t>“</w:t>
      </w:r>
      <w:r w:rsidR="00B0658B" w:rsidRPr="00451078">
        <w:rPr>
          <w:rFonts w:cs="Tahoma"/>
          <w:snapToGrid w:val="0"/>
          <w:color w:val="000000"/>
          <w:szCs w:val="18"/>
          <w:lang w:val="it-IT"/>
        </w:rPr>
        <w:t>Contratto di Servizio</w:t>
      </w:r>
      <w:r w:rsidRPr="00451078">
        <w:rPr>
          <w:rFonts w:cs="Tahoma"/>
          <w:snapToGrid w:val="0"/>
          <w:color w:val="000000"/>
          <w:szCs w:val="18"/>
          <w:lang w:val="it-IT"/>
        </w:rPr>
        <w:t>”</w:t>
      </w:r>
      <w:r w:rsidR="00B0658B" w:rsidRPr="00451078">
        <w:rPr>
          <w:rFonts w:cs="Tahoma"/>
          <w:snapToGrid w:val="0"/>
          <w:color w:val="000000"/>
          <w:szCs w:val="18"/>
          <w:lang w:val="it-IT"/>
        </w:rPr>
        <w:t xml:space="preserve"> indica il documento in cui vengono specificati gli standard cui Microsoft accetta di aderire e tramite i quali misura il livello di servizio per un Servizio Online.</w:t>
      </w:r>
    </w:p>
    <w:p w:rsidR="00B0658B" w:rsidRPr="00451078" w:rsidRDefault="00B0658B" w:rsidP="007E466C">
      <w:pPr>
        <w:keepNext/>
        <w:spacing w:before="240" w:after="60"/>
        <w:ind w:left="1440"/>
        <w:outlineLvl w:val="0"/>
        <w:rPr>
          <w:lang w:val="it-IT"/>
        </w:rPr>
      </w:pPr>
      <w:r w:rsidRPr="00451078">
        <w:rPr>
          <w:rFonts w:cs="Tahoma"/>
          <w:b/>
          <w:bCs/>
          <w:iCs/>
          <w:snapToGrid w:val="0"/>
          <w:szCs w:val="18"/>
          <w:lang w:val="it-IT"/>
        </w:rPr>
        <w:t>Ambito di Applicazione delle Condizioni Supplementari.</w:t>
      </w:r>
    </w:p>
    <w:p w:rsidR="00B0658B" w:rsidRPr="00451078" w:rsidRDefault="00B0658B" w:rsidP="007E466C">
      <w:pPr>
        <w:ind w:left="1440"/>
        <w:jc w:val="both"/>
        <w:rPr>
          <w:lang w:val="it-IT"/>
        </w:rPr>
      </w:pPr>
      <w:r w:rsidRPr="00451078">
        <w:rPr>
          <w:rFonts w:cs="Tahoma"/>
          <w:snapToGrid w:val="0"/>
          <w:color w:val="000000"/>
          <w:szCs w:val="18"/>
          <w:lang w:val="it-IT"/>
        </w:rPr>
        <w:t>Le presenti Condizioni Supplementari si applicano esclusivamente all</w:t>
      </w:r>
      <w:r w:rsidR="004525CA">
        <w:rPr>
          <w:rFonts w:cs="Tahoma"/>
          <w:snapToGrid w:val="0"/>
          <w:color w:val="000000"/>
          <w:szCs w:val="18"/>
          <w:lang w:val="it-IT"/>
        </w:rPr>
        <w:t>’</w:t>
      </w:r>
      <w:r w:rsidRPr="00451078">
        <w:rPr>
          <w:rFonts w:cs="Tahoma"/>
          <w:snapToGrid w:val="0"/>
          <w:color w:val="000000"/>
          <w:szCs w:val="18"/>
          <w:lang w:val="it-IT"/>
        </w:rPr>
        <w:t>acquisto e all</w:t>
      </w:r>
      <w:r w:rsidR="004525CA">
        <w:rPr>
          <w:rFonts w:cs="Tahoma"/>
          <w:snapToGrid w:val="0"/>
          <w:color w:val="000000"/>
          <w:szCs w:val="18"/>
          <w:lang w:val="it-IT"/>
        </w:rPr>
        <w:t>’</w:t>
      </w:r>
      <w:r w:rsidRPr="00451078">
        <w:rPr>
          <w:rFonts w:cs="Tahoma"/>
          <w:snapToGrid w:val="0"/>
          <w:color w:val="000000"/>
          <w:szCs w:val="18"/>
          <w:lang w:val="it-IT"/>
        </w:rPr>
        <w:t>utilizzo dei Servizi Online e dei Servizi da parte della società.</w:t>
      </w:r>
      <w:r w:rsidR="00082E1C" w:rsidRPr="00451078">
        <w:rPr>
          <w:rFonts w:cs="Tahoma"/>
          <w:snapToGrid w:val="0"/>
          <w:color w:val="000000"/>
          <w:szCs w:val="18"/>
          <w:lang w:val="it-IT"/>
        </w:rPr>
        <w:t xml:space="preserve"> </w:t>
      </w:r>
      <w:r w:rsidRPr="00451078">
        <w:rPr>
          <w:rFonts w:cs="Tahoma"/>
          <w:snapToGrid w:val="0"/>
          <w:color w:val="000000"/>
          <w:szCs w:val="18"/>
          <w:lang w:val="it-IT"/>
        </w:rPr>
        <w:t>Nell</w:t>
      </w:r>
      <w:r w:rsidR="004525CA">
        <w:rPr>
          <w:rFonts w:cs="Tahoma"/>
          <w:snapToGrid w:val="0"/>
          <w:color w:val="000000"/>
          <w:szCs w:val="18"/>
          <w:lang w:val="it-IT"/>
        </w:rPr>
        <w:t>’</w:t>
      </w:r>
      <w:r w:rsidRPr="00451078">
        <w:rPr>
          <w:rFonts w:cs="Tahoma"/>
          <w:snapToGrid w:val="0"/>
          <w:color w:val="000000"/>
          <w:szCs w:val="18"/>
          <w:lang w:val="it-IT"/>
        </w:rPr>
        <w:t>eventualità di una discrepanza tra le presenti Condizioni Supplementari e le condizioni dell</w:t>
      </w:r>
      <w:r w:rsidR="004525CA">
        <w:rPr>
          <w:rFonts w:cs="Tahoma"/>
          <w:snapToGrid w:val="0"/>
          <w:color w:val="000000"/>
          <w:szCs w:val="18"/>
          <w:lang w:val="it-IT"/>
        </w:rPr>
        <w:t>’</w:t>
      </w:r>
      <w:r w:rsidRPr="00451078">
        <w:rPr>
          <w:rFonts w:cs="Tahoma"/>
          <w:snapToGrid w:val="0"/>
          <w:color w:val="000000"/>
          <w:szCs w:val="18"/>
          <w:lang w:val="it-IT"/>
        </w:rPr>
        <w:t>Accordo Principale o del Contratto che non possano essere espressamente risolte dalle condizioni di tali documenti, le Condizioni Supplementari avranno prevalenza:</w:t>
      </w:r>
    </w:p>
    <w:p w:rsidR="00B0658B" w:rsidRPr="00451078" w:rsidRDefault="00B0658B" w:rsidP="007E466C">
      <w:pPr>
        <w:keepNext/>
        <w:spacing w:before="240" w:after="60"/>
        <w:ind w:left="1440"/>
        <w:outlineLvl w:val="0"/>
        <w:rPr>
          <w:lang w:val="it-IT"/>
        </w:rPr>
      </w:pPr>
      <w:r w:rsidRPr="00451078">
        <w:rPr>
          <w:rFonts w:cs="Tahoma"/>
          <w:b/>
          <w:bCs/>
          <w:iCs/>
          <w:snapToGrid w:val="0"/>
          <w:szCs w:val="18"/>
          <w:lang w:val="it-IT"/>
        </w:rPr>
        <w:t>Garanzia Limitata per i Servizi Online.</w:t>
      </w:r>
    </w:p>
    <w:p w:rsidR="00B0658B" w:rsidRPr="00451078" w:rsidRDefault="00B0658B" w:rsidP="006053E2">
      <w:pPr>
        <w:ind w:left="1440"/>
        <w:jc w:val="both"/>
        <w:rPr>
          <w:lang w:val="it-IT"/>
        </w:rPr>
      </w:pPr>
      <w:r w:rsidRPr="00451078">
        <w:rPr>
          <w:rFonts w:cs="Tahoma"/>
          <w:snapToGrid w:val="0"/>
          <w:color w:val="000000"/>
          <w:szCs w:val="18"/>
          <w:lang w:val="it-IT"/>
        </w:rPr>
        <w:t>Microsoft garantisce che i Servizi Online funzioneranno in conformità al Contratto di Servizio (SLA,</w:t>
      </w:r>
      <w:r w:rsidR="006053E2">
        <w:rPr>
          <w:rFonts w:cs="Tahoma"/>
          <w:snapToGrid w:val="0"/>
          <w:color w:val="000000"/>
          <w:szCs w:val="18"/>
          <w:lang w:val="it-IT"/>
        </w:rPr>
        <w:t> </w:t>
      </w:r>
      <w:r w:rsidRPr="00451078">
        <w:rPr>
          <w:rFonts w:cs="Tahoma"/>
          <w:snapToGrid w:val="0"/>
          <w:color w:val="000000"/>
          <w:szCs w:val="18"/>
          <w:lang w:val="it-IT"/>
        </w:rPr>
        <w:t>Service Level Agreement) applicabile.</w:t>
      </w:r>
      <w:r w:rsidR="00082E1C" w:rsidRPr="00451078">
        <w:rPr>
          <w:rFonts w:cs="Tahoma"/>
          <w:snapToGrid w:val="0"/>
          <w:color w:val="000000"/>
          <w:szCs w:val="18"/>
          <w:lang w:val="it-IT"/>
        </w:rPr>
        <w:t xml:space="preserve"> </w:t>
      </w:r>
      <w:r w:rsidRPr="00451078">
        <w:rPr>
          <w:rFonts w:cs="Tahoma"/>
          <w:snapToGrid w:val="0"/>
          <w:color w:val="000000"/>
          <w:szCs w:val="18"/>
          <w:lang w:val="it-IT"/>
        </w:rPr>
        <w:t>La presente garanzia limitata è valida per tutta la durata dell</w:t>
      </w:r>
      <w:r w:rsidR="004525CA">
        <w:rPr>
          <w:rFonts w:cs="Tahoma"/>
          <w:snapToGrid w:val="0"/>
          <w:color w:val="000000"/>
          <w:szCs w:val="18"/>
          <w:lang w:val="it-IT"/>
        </w:rPr>
        <w:t>’</w:t>
      </w:r>
      <w:r w:rsidRPr="00451078">
        <w:rPr>
          <w:rFonts w:cs="Tahoma"/>
          <w:snapToGrid w:val="0"/>
          <w:color w:val="000000"/>
          <w:szCs w:val="18"/>
          <w:lang w:val="it-IT"/>
        </w:rPr>
        <w:t>utilizzo del Servizio Online da parte della società a condizione che vengano rispettati i requisiti in materia di comunicazioni specificati nel Contratto di Servizio applicabile.</w:t>
      </w:r>
    </w:p>
    <w:p w:rsidR="00B0658B" w:rsidRPr="00451078" w:rsidRDefault="00B0658B" w:rsidP="00B0658B">
      <w:pPr>
        <w:spacing w:before="120"/>
        <w:ind w:left="1440"/>
        <w:jc w:val="both"/>
        <w:rPr>
          <w:rFonts w:cs="Tahoma"/>
          <w:snapToGrid w:val="0"/>
          <w:color w:val="000000"/>
          <w:szCs w:val="18"/>
          <w:lang w:val="it-IT"/>
        </w:rPr>
      </w:pPr>
      <w:r w:rsidRPr="00451078">
        <w:rPr>
          <w:rFonts w:cs="Tahoma"/>
          <w:snapToGrid w:val="0"/>
          <w:color w:val="000000"/>
          <w:szCs w:val="18"/>
          <w:lang w:val="it-IT"/>
        </w:rPr>
        <w:t>Qualora Microsoft non rispetti la presente garanzia limitata e la società ne dia comunicazione a</w:t>
      </w:r>
      <w:r w:rsidR="00E82D1F" w:rsidRPr="00451078">
        <w:rPr>
          <w:rFonts w:cs="Tahoma"/>
          <w:snapToGrid w:val="0"/>
          <w:color w:val="000000"/>
          <w:szCs w:val="18"/>
          <w:lang w:val="it-IT"/>
        </w:rPr>
        <w:t> </w:t>
      </w:r>
      <w:r w:rsidRPr="00451078">
        <w:rPr>
          <w:rFonts w:cs="Tahoma"/>
          <w:snapToGrid w:val="0"/>
          <w:color w:val="000000"/>
          <w:szCs w:val="18"/>
          <w:lang w:val="it-IT"/>
        </w:rPr>
        <w:t>Microsoft entro il periodo di validità della garanzia, Microsoft fornirà i rimedi indicati nel Contratto di Servizio per il Servizio Online interessato.</w:t>
      </w:r>
      <w:r w:rsidR="00082E1C" w:rsidRPr="00451078">
        <w:rPr>
          <w:rFonts w:cs="Tahoma"/>
          <w:snapToGrid w:val="0"/>
          <w:color w:val="000000"/>
          <w:szCs w:val="18"/>
          <w:lang w:val="it-IT"/>
        </w:rPr>
        <w:t xml:space="preserve"> </w:t>
      </w:r>
      <w:r w:rsidRPr="00451078">
        <w:rPr>
          <w:rFonts w:cs="Tahoma"/>
          <w:snapToGrid w:val="0"/>
          <w:color w:val="000000"/>
          <w:szCs w:val="18"/>
          <w:lang w:val="it-IT"/>
        </w:rPr>
        <w:t>Questi sono gli unici rimedi della società relativi all</w:t>
      </w:r>
      <w:r w:rsidR="004525CA">
        <w:rPr>
          <w:rFonts w:cs="Tahoma"/>
          <w:snapToGrid w:val="0"/>
          <w:color w:val="000000"/>
          <w:szCs w:val="18"/>
          <w:lang w:val="it-IT"/>
        </w:rPr>
        <w:t>’</w:t>
      </w:r>
      <w:r w:rsidRPr="00451078">
        <w:rPr>
          <w:rFonts w:cs="Tahoma"/>
          <w:snapToGrid w:val="0"/>
          <w:color w:val="000000"/>
          <w:szCs w:val="18"/>
          <w:lang w:val="it-IT"/>
        </w:rPr>
        <w:t>inadempimento della garanzia limitata, fatti salvi gli eventuali altri rimedi previsti dalla legge applicabile.</w:t>
      </w:r>
    </w:p>
    <w:p w:rsidR="00B0658B" w:rsidRPr="00451078" w:rsidRDefault="00B0658B" w:rsidP="00B0658B">
      <w:pPr>
        <w:spacing w:before="120"/>
        <w:ind w:left="1440"/>
        <w:jc w:val="both"/>
        <w:rPr>
          <w:lang w:val="it-IT"/>
        </w:rPr>
      </w:pPr>
      <w:r w:rsidRPr="00451078">
        <w:rPr>
          <w:rFonts w:cs="Tahoma"/>
          <w:snapToGrid w:val="0"/>
          <w:color w:val="000000"/>
          <w:szCs w:val="18"/>
          <w:lang w:val="it-IT"/>
        </w:rPr>
        <w:t>Tale garanzia limitata è soggetta alle seguenti limitazioni:</w:t>
      </w:r>
    </w:p>
    <w:p w:rsidR="00B0658B" w:rsidRPr="00451078" w:rsidRDefault="00B0658B" w:rsidP="00745AB3">
      <w:pPr>
        <w:numPr>
          <w:ilvl w:val="0"/>
          <w:numId w:val="130"/>
        </w:numPr>
        <w:tabs>
          <w:tab w:val="left" w:pos="1800"/>
        </w:tabs>
        <w:spacing w:before="120"/>
        <w:ind w:left="1800"/>
        <w:contextualSpacing/>
        <w:jc w:val="both"/>
        <w:rPr>
          <w:lang w:val="it-IT"/>
        </w:rPr>
      </w:pPr>
      <w:r w:rsidRPr="00451078">
        <w:rPr>
          <w:rFonts w:cs="Tahoma"/>
          <w:snapToGrid w:val="0"/>
          <w:color w:val="000000"/>
          <w:szCs w:val="18"/>
          <w:lang w:val="it-IT"/>
        </w:rPr>
        <w:t>qualsiasi garanzia o condizione implicita di legge, che non può essere esclusa contrattualmente avrà validità di un anno dalla data di inizio della garanzia limitata;</w:t>
      </w:r>
    </w:p>
    <w:p w:rsidR="00B0658B" w:rsidRPr="00451078" w:rsidRDefault="00B0658B" w:rsidP="00745AB3">
      <w:pPr>
        <w:numPr>
          <w:ilvl w:val="0"/>
          <w:numId w:val="130"/>
        </w:numPr>
        <w:tabs>
          <w:tab w:val="left" w:pos="1800"/>
        </w:tabs>
        <w:spacing w:before="120"/>
        <w:ind w:left="1800"/>
        <w:contextualSpacing/>
        <w:jc w:val="both"/>
        <w:rPr>
          <w:lang w:val="it-IT"/>
        </w:rPr>
      </w:pPr>
      <w:r w:rsidRPr="00451078">
        <w:rPr>
          <w:rFonts w:cs="Tahoma"/>
          <w:snapToGrid w:val="0"/>
          <w:color w:val="000000"/>
          <w:szCs w:val="18"/>
          <w:lang w:val="it-IT"/>
        </w:rPr>
        <w:t xml:space="preserve">la garanzia limitata non copre problemi causati da incidenti, da un uso improprio o da un utilizzo non conforme alle disposizioni del presente Contratto Multilicenza della società </w:t>
      </w:r>
      <w:r w:rsidRPr="00451078">
        <w:rPr>
          <w:rFonts w:cs="Tahoma"/>
          <w:snapToGrid w:val="0"/>
          <w:color w:val="000000"/>
          <w:szCs w:val="18"/>
          <w:lang w:val="it-IT"/>
        </w:rPr>
        <w:lastRenderedPageBreak/>
        <w:t>o</w:t>
      </w:r>
      <w:r w:rsidR="00E82D1F" w:rsidRPr="00451078">
        <w:rPr>
          <w:rFonts w:cs="Tahoma"/>
          <w:snapToGrid w:val="0"/>
          <w:color w:val="000000"/>
          <w:szCs w:val="18"/>
          <w:lang w:val="it-IT"/>
        </w:rPr>
        <w:t> </w:t>
      </w:r>
      <w:r w:rsidRPr="00451078">
        <w:rPr>
          <w:rFonts w:cs="Tahoma"/>
          <w:snapToGrid w:val="0"/>
          <w:color w:val="000000"/>
          <w:szCs w:val="18"/>
          <w:lang w:val="it-IT"/>
        </w:rPr>
        <w:t>ai</w:t>
      </w:r>
      <w:r w:rsidR="00E82D1F" w:rsidRPr="00451078">
        <w:rPr>
          <w:rFonts w:cs="Tahoma"/>
          <w:snapToGrid w:val="0"/>
          <w:color w:val="000000"/>
          <w:szCs w:val="18"/>
          <w:lang w:val="it-IT"/>
        </w:rPr>
        <w:t> </w:t>
      </w:r>
      <w:r w:rsidRPr="00451078">
        <w:rPr>
          <w:rFonts w:cs="Tahoma"/>
          <w:snapToGrid w:val="0"/>
          <w:color w:val="000000"/>
          <w:szCs w:val="18"/>
          <w:lang w:val="it-IT"/>
        </w:rPr>
        <w:t>Diritti di Utilizzo del Prodotto oppure derivanti da eventi non soggetti al ragionevole controllo da parte di Microsoft;</w:t>
      </w:r>
    </w:p>
    <w:p w:rsidR="00B0658B" w:rsidRPr="00451078" w:rsidRDefault="00B0658B" w:rsidP="00745AB3">
      <w:pPr>
        <w:numPr>
          <w:ilvl w:val="0"/>
          <w:numId w:val="130"/>
        </w:numPr>
        <w:tabs>
          <w:tab w:val="left" w:pos="1800"/>
        </w:tabs>
        <w:spacing w:before="120"/>
        <w:ind w:left="1800"/>
        <w:contextualSpacing/>
        <w:jc w:val="both"/>
        <w:rPr>
          <w:lang w:val="it-IT"/>
        </w:rPr>
      </w:pPr>
      <w:r w:rsidRPr="00451078">
        <w:rPr>
          <w:rFonts w:cs="Tahoma"/>
          <w:snapToGrid w:val="0"/>
          <w:color w:val="000000"/>
          <w:szCs w:val="18"/>
          <w:lang w:val="it-IT"/>
        </w:rPr>
        <w:t>la garanzia limitata non si applica a prodotti gratuiti, di valutazione, in versione preliminare o in versione beta dei Servizi Online e</w:t>
      </w:r>
    </w:p>
    <w:p w:rsidR="00B0658B" w:rsidRPr="00451078" w:rsidRDefault="00B0658B" w:rsidP="00745AB3">
      <w:pPr>
        <w:numPr>
          <w:ilvl w:val="0"/>
          <w:numId w:val="130"/>
        </w:numPr>
        <w:tabs>
          <w:tab w:val="left" w:pos="1800"/>
        </w:tabs>
        <w:spacing w:before="120"/>
        <w:ind w:left="1800"/>
        <w:contextualSpacing/>
        <w:jc w:val="both"/>
        <w:rPr>
          <w:lang w:val="it-IT"/>
        </w:rPr>
      </w:pPr>
      <w:r w:rsidRPr="00451078">
        <w:rPr>
          <w:rFonts w:cs="Tahoma"/>
          <w:snapToGrid w:val="0"/>
          <w:color w:val="000000"/>
          <w:szCs w:val="18"/>
          <w:lang w:val="it-IT"/>
        </w:rPr>
        <w:t>la garanzia limitata non si applica a problemi dovuti al mancato soddisfacimento dei requisiti minimi di sistema.</w:t>
      </w:r>
    </w:p>
    <w:p w:rsidR="00B0658B" w:rsidRPr="00451078" w:rsidRDefault="00B0658B" w:rsidP="00B0658B">
      <w:pPr>
        <w:spacing w:before="120"/>
        <w:ind w:left="1440"/>
        <w:jc w:val="both"/>
        <w:rPr>
          <w:lang w:val="it-IT"/>
        </w:rPr>
      </w:pPr>
      <w:r w:rsidRPr="00451078">
        <w:rPr>
          <w:rFonts w:cs="Tahoma"/>
          <w:b/>
          <w:bCs/>
          <w:snapToGrid w:val="0"/>
          <w:color w:val="000000"/>
          <w:szCs w:val="18"/>
          <w:lang w:val="it-IT"/>
        </w:rPr>
        <w:t>OLTRE ALLA PRESENTE GARANZIA LIMITATA, MICROSOFT NON FORNISCE ALTRE GARANZIE NÉ CONDIZIONI ESPRESSE O IMPLICITE. MICROSOFT NON RICONOSCE ALCUNA GARANZIA, DICHIARAZIONE NÉ CONDIZIONE IMPLICITA, INCLUSE LE GARANZIE DI COMMERCIABILITÀ (QUALITÀ NON INFERIORE ALLA MEDIA), ADEGUATEZZA PER UNO SCOPO SPECIFICO, QUALITÀ SODDISFACENTE, TITOLARITÀ O</w:t>
      </w:r>
      <w:r w:rsidR="00E82D1F" w:rsidRPr="00451078">
        <w:rPr>
          <w:rFonts w:cs="Tahoma"/>
          <w:b/>
          <w:bCs/>
          <w:snapToGrid w:val="0"/>
          <w:color w:val="000000"/>
          <w:szCs w:val="18"/>
          <w:lang w:val="it-IT"/>
        </w:rPr>
        <w:t> </w:t>
      </w:r>
      <w:r w:rsidRPr="00451078">
        <w:rPr>
          <w:rFonts w:cs="Tahoma"/>
          <w:b/>
          <w:bCs/>
          <w:snapToGrid w:val="0"/>
          <w:color w:val="000000"/>
          <w:szCs w:val="18"/>
          <w:lang w:val="it-IT"/>
        </w:rPr>
        <w:t>NON VIOLAZIONE DI DIRITTI DI TERZI.</w:t>
      </w:r>
      <w:r w:rsidR="00082E1C" w:rsidRPr="00451078">
        <w:rPr>
          <w:rFonts w:cs="Tahoma"/>
          <w:b/>
          <w:bCs/>
          <w:snapToGrid w:val="0"/>
          <w:color w:val="000000"/>
          <w:szCs w:val="18"/>
          <w:lang w:val="it-IT"/>
        </w:rPr>
        <w:t xml:space="preserve"> </w:t>
      </w:r>
      <w:r w:rsidRPr="00451078">
        <w:rPr>
          <w:rFonts w:cs="Tahoma"/>
          <w:b/>
          <w:bCs/>
          <w:snapToGrid w:val="0"/>
          <w:color w:val="000000"/>
          <w:szCs w:val="18"/>
          <w:lang w:val="it-IT"/>
        </w:rPr>
        <w:t>LE PRESENTI ESCLUSIONI SI APPLICHERANNO NELLA MISURA MASSIMA CONSENTITA DALLA LEGGE APPLICABILE.</w:t>
      </w:r>
    </w:p>
    <w:p w:rsidR="00B0658B" w:rsidRPr="00451078" w:rsidRDefault="00B0658B" w:rsidP="007E466C">
      <w:pPr>
        <w:keepNext/>
        <w:spacing w:before="240" w:after="60"/>
        <w:ind w:left="1440"/>
        <w:outlineLvl w:val="0"/>
        <w:rPr>
          <w:lang w:val="it-IT"/>
        </w:rPr>
      </w:pPr>
      <w:r w:rsidRPr="00451078">
        <w:rPr>
          <w:rFonts w:cs="Tahoma"/>
          <w:b/>
          <w:bCs/>
          <w:iCs/>
          <w:snapToGrid w:val="0"/>
          <w:szCs w:val="18"/>
          <w:lang w:val="it-IT"/>
        </w:rPr>
        <w:t>Sicurezza e diritto alla protezione dei dati personali.</w:t>
      </w:r>
    </w:p>
    <w:p w:rsidR="00B0658B" w:rsidRPr="00451078" w:rsidRDefault="00B0658B" w:rsidP="007E466C">
      <w:pPr>
        <w:spacing w:before="120"/>
        <w:ind w:left="1440" w:hanging="360"/>
        <w:contextualSpacing/>
        <w:jc w:val="both"/>
        <w:rPr>
          <w:lang w:val="it-IT"/>
        </w:rPr>
      </w:pPr>
      <w:r w:rsidRPr="00451078">
        <w:rPr>
          <w:rFonts w:cs="Tahoma"/>
          <w:snapToGrid w:val="0"/>
          <w:color w:val="000000"/>
          <w:szCs w:val="18"/>
          <w:lang w:val="it-IT"/>
        </w:rPr>
        <w:t>a.</w:t>
      </w:r>
      <w:r w:rsidRPr="00451078">
        <w:rPr>
          <w:rFonts w:cs="Tahoma"/>
          <w:snapToGrid w:val="0"/>
          <w:color w:val="000000"/>
          <w:szCs w:val="18"/>
          <w:lang w:val="it-IT"/>
        </w:rPr>
        <w:tab/>
        <w:t>Microsoft e la Società si atterranno a tutte le leggi e a tutti i regolamenti applicabili (inclusa la legge applicabile in materia di notifica dell</w:t>
      </w:r>
      <w:r w:rsidR="004525CA">
        <w:rPr>
          <w:rFonts w:cs="Tahoma"/>
          <w:snapToGrid w:val="0"/>
          <w:color w:val="000000"/>
          <w:szCs w:val="18"/>
          <w:lang w:val="it-IT"/>
        </w:rPr>
        <w:t>’</w:t>
      </w:r>
      <w:r w:rsidRPr="00451078">
        <w:rPr>
          <w:rFonts w:cs="Tahoma"/>
          <w:snapToGrid w:val="0"/>
          <w:color w:val="000000"/>
          <w:szCs w:val="18"/>
          <w:lang w:val="it-IT"/>
        </w:rPr>
        <w:t>inadempimento delle obbligazioni di protezione).</w:t>
      </w:r>
      <w:r w:rsidR="00082E1C" w:rsidRPr="00451078">
        <w:rPr>
          <w:rFonts w:cs="Tahoma"/>
          <w:snapToGrid w:val="0"/>
          <w:color w:val="000000"/>
          <w:szCs w:val="18"/>
          <w:lang w:val="it-IT"/>
        </w:rPr>
        <w:t xml:space="preserve"> </w:t>
      </w:r>
      <w:r w:rsidRPr="00451078">
        <w:rPr>
          <w:rFonts w:cs="Tahoma"/>
          <w:snapToGrid w:val="0"/>
          <w:color w:val="000000"/>
          <w:szCs w:val="18"/>
          <w:lang w:val="it-IT"/>
        </w:rPr>
        <w:t>Microsoft non è tuttavia responsabile della conformità alle leggi o ai regolamenti applicabili da parte della società o da parte del settore cui la società appartiene che non siano generalmente applicabili ai fornitori di</w:t>
      </w:r>
      <w:r w:rsidR="00E82D1F" w:rsidRPr="00451078">
        <w:rPr>
          <w:rFonts w:cs="Tahoma"/>
          <w:snapToGrid w:val="0"/>
          <w:color w:val="000000"/>
          <w:szCs w:val="18"/>
          <w:lang w:val="it-IT"/>
        </w:rPr>
        <w:t> </w:t>
      </w:r>
      <w:r w:rsidRPr="00451078">
        <w:rPr>
          <w:rFonts w:cs="Tahoma"/>
          <w:snapToGrid w:val="0"/>
          <w:color w:val="000000"/>
          <w:szCs w:val="18"/>
          <w:lang w:val="it-IT"/>
        </w:rPr>
        <w:t>servizi informatici.</w:t>
      </w:r>
      <w:r w:rsidR="00082E1C" w:rsidRPr="00451078">
        <w:rPr>
          <w:rFonts w:cs="Tahoma"/>
          <w:snapToGrid w:val="0"/>
          <w:color w:val="000000"/>
          <w:szCs w:val="18"/>
          <w:lang w:val="it-IT"/>
        </w:rPr>
        <w:t xml:space="preserve"> </w:t>
      </w:r>
      <w:r w:rsidRPr="00451078">
        <w:rPr>
          <w:rFonts w:cs="Tahoma"/>
          <w:snapToGrid w:val="0"/>
          <w:color w:val="000000"/>
          <w:szCs w:val="18"/>
          <w:lang w:val="it-IT"/>
        </w:rPr>
        <w:t>La società autorizza Microsoft e coloro che agiscono per suo conto a elaborare le informazioni personali al fine di agevolare l</w:t>
      </w:r>
      <w:r w:rsidR="004525CA">
        <w:rPr>
          <w:rFonts w:cs="Tahoma"/>
          <w:snapToGrid w:val="0"/>
          <w:color w:val="000000"/>
          <w:szCs w:val="18"/>
          <w:lang w:val="it-IT"/>
        </w:rPr>
        <w:t>’</w:t>
      </w:r>
      <w:r w:rsidRPr="00451078">
        <w:rPr>
          <w:rFonts w:cs="Tahoma"/>
          <w:snapToGrid w:val="0"/>
          <w:color w:val="000000"/>
          <w:szCs w:val="18"/>
          <w:lang w:val="it-IT"/>
        </w:rPr>
        <w:t>esecuzione del Contratto, incluse le presenti Condizioni Supplementari.</w:t>
      </w:r>
    </w:p>
    <w:p w:rsidR="00B0658B" w:rsidRPr="00451078" w:rsidRDefault="00B0658B" w:rsidP="007E466C">
      <w:pPr>
        <w:spacing w:before="120"/>
        <w:ind w:left="1440" w:hanging="360"/>
        <w:contextualSpacing/>
        <w:jc w:val="both"/>
        <w:rPr>
          <w:lang w:val="it-IT"/>
        </w:rPr>
      </w:pPr>
      <w:r w:rsidRPr="00451078">
        <w:rPr>
          <w:rFonts w:cs="Tahoma"/>
          <w:snapToGrid w:val="0"/>
          <w:color w:val="000000"/>
          <w:szCs w:val="18"/>
          <w:lang w:val="it-IT"/>
        </w:rPr>
        <w:t>b.</w:t>
      </w:r>
      <w:r w:rsidRPr="00451078">
        <w:rPr>
          <w:rFonts w:cs="Tahoma"/>
          <w:snapToGrid w:val="0"/>
          <w:color w:val="000000"/>
          <w:szCs w:val="18"/>
          <w:lang w:val="it-IT"/>
        </w:rPr>
        <w:tab/>
        <w:t>In relazione all</w:t>
      </w:r>
      <w:r w:rsidR="0073727D">
        <w:rPr>
          <w:rFonts w:cs="Tahoma"/>
          <w:snapToGrid w:val="0"/>
          <w:color w:val="000000"/>
          <w:szCs w:val="18"/>
          <w:lang w:val="it-IT"/>
        </w:rPr>
        <w:t>’</w:t>
      </w:r>
      <w:r w:rsidRPr="00451078">
        <w:rPr>
          <w:rFonts w:cs="Tahoma"/>
          <w:snapToGrid w:val="0"/>
          <w:color w:val="000000"/>
          <w:szCs w:val="18"/>
          <w:lang w:val="it-IT"/>
        </w:rPr>
        <w:t>utilizzo dei Servizi Online o nell</w:t>
      </w:r>
      <w:r w:rsidR="0073727D">
        <w:rPr>
          <w:rFonts w:cs="Tahoma"/>
          <w:snapToGrid w:val="0"/>
          <w:color w:val="000000"/>
          <w:szCs w:val="18"/>
          <w:lang w:val="it-IT"/>
        </w:rPr>
        <w:t>’</w:t>
      </w:r>
      <w:r w:rsidRPr="00451078">
        <w:rPr>
          <w:rFonts w:cs="Tahoma"/>
          <w:snapToGrid w:val="0"/>
          <w:color w:val="000000"/>
          <w:szCs w:val="18"/>
          <w:lang w:val="it-IT"/>
        </w:rPr>
        <w:t>ambito del Contratto la società potrà decidere di</w:t>
      </w:r>
      <w:r w:rsidR="00E82D1F" w:rsidRPr="00451078">
        <w:rPr>
          <w:rFonts w:cs="Tahoma"/>
          <w:snapToGrid w:val="0"/>
          <w:color w:val="000000"/>
          <w:szCs w:val="18"/>
          <w:lang w:val="it-IT"/>
        </w:rPr>
        <w:t> </w:t>
      </w:r>
      <w:r w:rsidRPr="00451078">
        <w:rPr>
          <w:rFonts w:cs="Tahoma"/>
          <w:snapToGrid w:val="0"/>
          <w:color w:val="000000"/>
          <w:szCs w:val="18"/>
          <w:lang w:val="it-IT"/>
        </w:rPr>
        <w:t>fornire a Microsoft informazioni personali per conto di terzi (compresi i contatti, i rivenditori, i distributori, gli amministratori e i dipendenti della società).</w:t>
      </w:r>
      <w:r w:rsidR="00082E1C" w:rsidRPr="00451078">
        <w:rPr>
          <w:rFonts w:cs="Tahoma"/>
          <w:snapToGrid w:val="0"/>
          <w:color w:val="000000"/>
          <w:szCs w:val="18"/>
          <w:lang w:val="it-IT"/>
        </w:rPr>
        <w:t xml:space="preserve"> </w:t>
      </w:r>
      <w:r w:rsidRPr="00451078">
        <w:rPr>
          <w:rFonts w:cs="Tahoma"/>
          <w:snapToGrid w:val="0"/>
          <w:color w:val="000000"/>
          <w:szCs w:val="18"/>
          <w:lang w:val="it-IT"/>
        </w:rPr>
        <w:t>Prima di fornire informazioni personali a</w:t>
      </w:r>
      <w:r w:rsidR="00E82D1F" w:rsidRPr="00451078">
        <w:rPr>
          <w:rFonts w:cs="Tahoma"/>
          <w:snapToGrid w:val="0"/>
          <w:color w:val="000000"/>
          <w:szCs w:val="18"/>
          <w:lang w:val="it-IT"/>
        </w:rPr>
        <w:t> </w:t>
      </w:r>
      <w:r w:rsidRPr="00451078">
        <w:rPr>
          <w:rFonts w:cs="Tahoma"/>
          <w:snapToGrid w:val="0"/>
          <w:color w:val="000000"/>
          <w:szCs w:val="18"/>
          <w:lang w:val="it-IT"/>
        </w:rPr>
        <w:t>Microsoft, la società otterrà dai terzi interessati tutte le approvazioni necessarie ai sensi delle leggi applicabili in merito al diritto alla protezione dei dati personali.</w:t>
      </w:r>
    </w:p>
    <w:p w:rsidR="00B0658B" w:rsidRPr="00451078" w:rsidRDefault="00B0658B" w:rsidP="007E466C">
      <w:pPr>
        <w:spacing w:before="120"/>
        <w:ind w:left="1440" w:hanging="360"/>
        <w:contextualSpacing/>
        <w:jc w:val="both"/>
        <w:rPr>
          <w:lang w:val="it-IT"/>
        </w:rPr>
      </w:pPr>
      <w:r w:rsidRPr="00451078">
        <w:rPr>
          <w:rFonts w:cs="Tahoma"/>
          <w:snapToGrid w:val="0"/>
          <w:color w:val="000000"/>
          <w:szCs w:val="18"/>
          <w:lang w:val="it-IT"/>
        </w:rPr>
        <w:t>c.</w:t>
      </w:r>
      <w:r w:rsidRPr="00451078">
        <w:rPr>
          <w:rFonts w:cs="Tahoma"/>
          <w:snapToGrid w:val="0"/>
          <w:color w:val="000000"/>
          <w:szCs w:val="18"/>
          <w:lang w:val="it-IT"/>
        </w:rPr>
        <w:tab/>
        <w:t>Le informazioni personali che la società fornisce in relazione al Contratto o all</w:t>
      </w:r>
      <w:r w:rsidR="0073727D">
        <w:rPr>
          <w:rFonts w:cs="Tahoma"/>
          <w:snapToGrid w:val="0"/>
          <w:color w:val="000000"/>
          <w:szCs w:val="18"/>
          <w:lang w:val="it-IT"/>
        </w:rPr>
        <w:t>’</w:t>
      </w:r>
      <w:r w:rsidRPr="00451078">
        <w:rPr>
          <w:rFonts w:cs="Tahoma"/>
          <w:snapToGrid w:val="0"/>
          <w:color w:val="000000"/>
          <w:szCs w:val="18"/>
          <w:lang w:val="it-IT"/>
        </w:rPr>
        <w:t>utilizzo dei Servizi Online verranno elaborate ai sensi dell</w:t>
      </w:r>
      <w:r w:rsidR="0073727D">
        <w:rPr>
          <w:rFonts w:cs="Tahoma"/>
          <w:snapToGrid w:val="0"/>
          <w:color w:val="000000"/>
          <w:szCs w:val="18"/>
          <w:lang w:val="it-IT"/>
        </w:rPr>
        <w:t>’</w:t>
      </w:r>
      <w:r w:rsidRPr="00451078">
        <w:rPr>
          <w:rFonts w:cs="Tahoma"/>
          <w:snapToGrid w:val="0"/>
          <w:color w:val="000000"/>
          <w:szCs w:val="18"/>
          <w:lang w:val="it-IT"/>
        </w:rPr>
        <w:t>informativa sulla privacy disponibile all</w:t>
      </w:r>
      <w:r w:rsidR="0073727D">
        <w:rPr>
          <w:rFonts w:cs="Tahoma"/>
          <w:snapToGrid w:val="0"/>
          <w:color w:val="000000"/>
          <w:szCs w:val="18"/>
          <w:lang w:val="it-IT"/>
        </w:rPr>
        <w:t>’</w:t>
      </w:r>
      <w:r w:rsidRPr="00451078">
        <w:rPr>
          <w:rFonts w:cs="Tahoma"/>
          <w:snapToGrid w:val="0"/>
          <w:color w:val="000000"/>
          <w:szCs w:val="18"/>
          <w:lang w:val="it-IT"/>
        </w:rPr>
        <w:t xml:space="preserve">indirizzo </w:t>
      </w:r>
      <w:hyperlink r:id="rId52" w:history="1">
        <w:r w:rsidRPr="00451078">
          <w:rPr>
            <w:rFonts w:cs="Tahoma"/>
            <w:snapToGrid w:val="0"/>
            <w:color w:val="0000FF"/>
            <w:szCs w:val="18"/>
            <w:u w:val="single"/>
            <w:lang w:val="it-IT"/>
          </w:rPr>
          <w:t>https://www.microsoft.com/licensing/servicecenter</w:t>
        </w:r>
      </w:hyperlink>
      <w:r w:rsidRPr="00451078">
        <w:rPr>
          <w:rFonts w:cs="Tahoma"/>
          <w:snapToGrid w:val="0"/>
          <w:color w:val="000000"/>
          <w:szCs w:val="18"/>
          <w:lang w:val="it-IT"/>
        </w:rPr>
        <w:t>, fatta eccezione per eventuali informative sulla privacy specifiche per ciascun Prodotto e per i dettagli aggiuntivi relativi alla sicurezza e al diritto alla protezione dei dati personali indicati nei Diritti di Utilizzo del Prodotto.</w:t>
      </w:r>
      <w:r w:rsidR="00082E1C" w:rsidRPr="00451078">
        <w:rPr>
          <w:rFonts w:cs="Tahoma"/>
          <w:snapToGrid w:val="0"/>
          <w:color w:val="000000"/>
          <w:szCs w:val="18"/>
          <w:lang w:val="it-IT"/>
        </w:rPr>
        <w:t xml:space="preserve"> </w:t>
      </w:r>
      <w:r w:rsidRPr="00451078">
        <w:rPr>
          <w:rFonts w:cs="Tahoma"/>
          <w:snapToGrid w:val="0"/>
          <w:color w:val="000000"/>
          <w:szCs w:val="18"/>
          <w:lang w:val="it-IT"/>
        </w:rPr>
        <w:t>I dati personali raccolti da Microsoft tramite i Servizi Online o i Servizi potranno essere trasferiti, archiviati ed elaborati negli Stati Uniti o in qualsiasi altro paese in cui è presente Microsoft o i provider di servizi che operano per suo conto.</w:t>
      </w:r>
      <w:r w:rsidR="00082E1C" w:rsidRPr="00451078">
        <w:rPr>
          <w:rFonts w:cs="Tahoma"/>
          <w:snapToGrid w:val="0"/>
          <w:color w:val="000000"/>
          <w:szCs w:val="18"/>
          <w:lang w:val="it-IT"/>
        </w:rPr>
        <w:t xml:space="preserve"> </w:t>
      </w:r>
      <w:r w:rsidRPr="00451078">
        <w:rPr>
          <w:rFonts w:cs="Tahoma"/>
          <w:snapToGrid w:val="0"/>
          <w:color w:val="000000"/>
          <w:szCs w:val="18"/>
          <w:lang w:val="it-IT"/>
        </w:rPr>
        <w:t>Utilizzando i Servizi Online, la società accetta le condizioni sopra indicate.</w:t>
      </w:r>
      <w:r w:rsidR="00082E1C" w:rsidRPr="00451078">
        <w:rPr>
          <w:rFonts w:cs="Tahoma"/>
          <w:snapToGrid w:val="0"/>
          <w:color w:val="000000"/>
          <w:szCs w:val="18"/>
          <w:lang w:val="it-IT"/>
        </w:rPr>
        <w:t xml:space="preserve"> </w:t>
      </w:r>
      <w:r w:rsidRPr="00451078">
        <w:rPr>
          <w:rFonts w:cs="Tahoma"/>
          <w:snapToGrid w:val="0"/>
          <w:color w:val="000000"/>
          <w:szCs w:val="18"/>
          <w:lang w:val="it-IT"/>
        </w:rPr>
        <w:t>Microsoft aderisce al protocollo di Safe Harbor dell</w:t>
      </w:r>
      <w:r w:rsidR="0073727D">
        <w:rPr>
          <w:rFonts w:cs="Tahoma"/>
          <w:snapToGrid w:val="0"/>
          <w:color w:val="000000"/>
          <w:szCs w:val="18"/>
          <w:lang w:val="it-IT"/>
        </w:rPr>
        <w:t>’</w:t>
      </w:r>
      <w:r w:rsidRPr="00451078">
        <w:rPr>
          <w:rFonts w:cs="Tahoma"/>
          <w:snapToGrid w:val="0"/>
          <w:color w:val="000000"/>
          <w:szCs w:val="18"/>
          <w:lang w:val="it-IT"/>
        </w:rPr>
        <w:t>Unione Europea (EU Safe Harbor) e di Safe Harbour della Svizzera (Swiss Safe Harbor) come stabilito dal Department of Commerce degli Stati Uniti relativamente alla raccolta, al trattamento e alla conservazione dei dati provenienti dall</w:t>
      </w:r>
      <w:r w:rsidR="0073727D">
        <w:rPr>
          <w:rFonts w:cs="Tahoma"/>
          <w:snapToGrid w:val="0"/>
          <w:color w:val="000000"/>
          <w:szCs w:val="18"/>
          <w:lang w:val="it-IT"/>
        </w:rPr>
        <w:t>’</w:t>
      </w:r>
      <w:r w:rsidRPr="00451078">
        <w:rPr>
          <w:rFonts w:cs="Tahoma"/>
          <w:snapToGrid w:val="0"/>
          <w:color w:val="000000"/>
          <w:szCs w:val="18"/>
          <w:lang w:val="it-IT"/>
        </w:rPr>
        <w:t>Unione Europea, dallo Spazio Economico Europeo e dalla Svizzera.</w:t>
      </w:r>
      <w:r w:rsidR="00082E1C" w:rsidRPr="00451078">
        <w:rPr>
          <w:rFonts w:cs="Tahoma"/>
          <w:snapToGrid w:val="0"/>
          <w:color w:val="000000"/>
          <w:szCs w:val="18"/>
          <w:lang w:val="it-IT"/>
        </w:rPr>
        <w:t xml:space="preserve"> </w:t>
      </w:r>
    </w:p>
    <w:p w:rsidR="00B0658B" w:rsidRPr="00451078" w:rsidRDefault="00B0658B" w:rsidP="007E466C">
      <w:pPr>
        <w:keepNext/>
        <w:spacing w:before="240" w:after="60"/>
        <w:ind w:left="1440"/>
        <w:outlineLvl w:val="0"/>
        <w:rPr>
          <w:lang w:val="it-IT"/>
        </w:rPr>
      </w:pPr>
      <w:r w:rsidRPr="00451078">
        <w:rPr>
          <w:rFonts w:cs="Tahoma"/>
          <w:b/>
          <w:bCs/>
          <w:iCs/>
          <w:snapToGrid w:val="0"/>
          <w:szCs w:val="18"/>
          <w:lang w:val="it-IT"/>
        </w:rPr>
        <w:t>Tutela da parte della società.</w:t>
      </w:r>
    </w:p>
    <w:p w:rsidR="00B0658B" w:rsidRPr="00451078" w:rsidRDefault="00B0658B" w:rsidP="007E466C">
      <w:pPr>
        <w:ind w:left="1440"/>
        <w:jc w:val="both"/>
        <w:rPr>
          <w:lang w:val="it-IT"/>
        </w:rPr>
      </w:pPr>
      <w:r w:rsidRPr="00451078">
        <w:rPr>
          <w:rFonts w:cs="Tahoma"/>
          <w:snapToGrid w:val="0"/>
          <w:color w:val="000000"/>
          <w:szCs w:val="18"/>
          <w:lang w:val="it-IT"/>
        </w:rPr>
        <w:t>La società si impegna a difendere Microsoft nel caso in cui terzi che non siano consociate propongano un reclamo che:</w:t>
      </w:r>
    </w:p>
    <w:p w:rsidR="00B0658B" w:rsidRPr="00451078" w:rsidRDefault="00B0658B" w:rsidP="00745AB3">
      <w:pPr>
        <w:numPr>
          <w:ilvl w:val="0"/>
          <w:numId w:val="131"/>
        </w:numPr>
        <w:spacing w:before="120"/>
        <w:ind w:left="1800"/>
        <w:contextualSpacing/>
        <w:jc w:val="both"/>
        <w:rPr>
          <w:lang w:val="it-IT"/>
        </w:rPr>
      </w:pPr>
      <w:r w:rsidRPr="00451078">
        <w:rPr>
          <w:rFonts w:cs="Tahoma"/>
          <w:snapToGrid w:val="0"/>
          <w:color w:val="000000"/>
          <w:szCs w:val="18"/>
          <w:lang w:val="it-IT"/>
        </w:rPr>
        <w:t>sostenga che i Dati della Società o i prodotti software non Microsoft ospitati da Microsoft per conto della società violino i diritti di brevetto, copyright o marchio di terzi o facciano un utilizzo illecito di un Segreto Commerciale oppure</w:t>
      </w:r>
    </w:p>
    <w:p w:rsidR="00B0658B" w:rsidRPr="00451078" w:rsidRDefault="00B0658B" w:rsidP="00745AB3">
      <w:pPr>
        <w:numPr>
          <w:ilvl w:val="0"/>
          <w:numId w:val="131"/>
        </w:numPr>
        <w:spacing w:before="120"/>
        <w:ind w:left="1800"/>
        <w:contextualSpacing/>
        <w:jc w:val="both"/>
        <w:rPr>
          <w:lang w:val="it-IT"/>
        </w:rPr>
      </w:pPr>
      <w:r w:rsidRPr="00451078">
        <w:rPr>
          <w:rFonts w:cs="Tahoma"/>
          <w:snapToGrid w:val="0"/>
          <w:color w:val="000000"/>
          <w:szCs w:val="18"/>
          <w:lang w:val="it-IT"/>
        </w:rPr>
        <w:t>risulti dalla violazione delle condizioni dei Criteri di Utilizzo descritti nei Diritti di Utilizzo del Prodotto.</w:t>
      </w:r>
    </w:p>
    <w:p w:rsidR="00B0658B" w:rsidRPr="00451078" w:rsidRDefault="00B0658B" w:rsidP="00B0658B">
      <w:pPr>
        <w:spacing w:before="120"/>
        <w:ind w:left="1440"/>
        <w:jc w:val="both"/>
        <w:rPr>
          <w:lang w:val="it-IT"/>
        </w:rPr>
      </w:pPr>
      <w:r w:rsidRPr="00451078">
        <w:rPr>
          <w:rFonts w:cs="Tahoma"/>
          <w:snapToGrid w:val="0"/>
          <w:color w:val="000000"/>
          <w:szCs w:val="18"/>
          <w:lang w:val="it-IT"/>
        </w:rPr>
        <w:t>In tali casi la società dovrà pagare l</w:t>
      </w:r>
      <w:r w:rsidR="0073727D">
        <w:rPr>
          <w:rFonts w:cs="Tahoma"/>
          <w:snapToGrid w:val="0"/>
          <w:color w:val="000000"/>
          <w:szCs w:val="18"/>
          <w:lang w:val="it-IT"/>
        </w:rPr>
        <w:t>’</w:t>
      </w:r>
      <w:r w:rsidRPr="00451078">
        <w:rPr>
          <w:rFonts w:cs="Tahoma"/>
          <w:snapToGrid w:val="0"/>
          <w:color w:val="000000"/>
          <w:szCs w:val="18"/>
          <w:lang w:val="it-IT"/>
        </w:rPr>
        <w:t>importo liquidato in una sentenza definitiva di condanna (o in un accordo transattivo a cui la società abbia prestato il proprio consenso).</w:t>
      </w:r>
      <w:r w:rsidR="00082E1C" w:rsidRPr="00451078">
        <w:rPr>
          <w:rFonts w:cs="Tahoma"/>
          <w:snapToGrid w:val="0"/>
          <w:color w:val="000000"/>
          <w:szCs w:val="18"/>
          <w:lang w:val="it-IT"/>
        </w:rPr>
        <w:t xml:space="preserve"> </w:t>
      </w:r>
      <w:r w:rsidRPr="00451078">
        <w:rPr>
          <w:rFonts w:cs="Tahoma"/>
          <w:snapToGrid w:val="0"/>
          <w:color w:val="000000"/>
          <w:szCs w:val="18"/>
          <w:lang w:val="it-IT"/>
        </w:rPr>
        <w:t>Nel presente Articolo viene riportato il rimedio esclusivo di Microsoft relativo a tali reclami.</w:t>
      </w:r>
    </w:p>
    <w:p w:rsidR="00B0658B" w:rsidRPr="00451078" w:rsidRDefault="00B0658B" w:rsidP="00B0658B">
      <w:pPr>
        <w:spacing w:before="120"/>
        <w:ind w:left="1440"/>
        <w:jc w:val="both"/>
        <w:rPr>
          <w:lang w:val="it-IT"/>
        </w:rPr>
      </w:pPr>
      <w:r w:rsidRPr="00451078">
        <w:rPr>
          <w:rFonts w:cs="Tahoma"/>
          <w:snapToGrid w:val="0"/>
          <w:color w:val="000000"/>
          <w:szCs w:val="18"/>
          <w:lang w:val="it-IT"/>
        </w:rPr>
        <w:t>Microsoft dovrà informare tempestivamente la società dando preavviso scritto del reclamo in conformità al presente Articolo.</w:t>
      </w:r>
      <w:r w:rsidR="00082E1C" w:rsidRPr="00451078">
        <w:rPr>
          <w:rFonts w:cs="Tahoma"/>
          <w:snapToGrid w:val="0"/>
          <w:color w:val="000000"/>
          <w:szCs w:val="18"/>
          <w:lang w:val="it-IT"/>
        </w:rPr>
        <w:t xml:space="preserve"> </w:t>
      </w:r>
      <w:r w:rsidRPr="00451078">
        <w:rPr>
          <w:rFonts w:cs="Tahoma"/>
          <w:snapToGrid w:val="0"/>
          <w:color w:val="000000"/>
          <w:szCs w:val="18"/>
          <w:lang w:val="it-IT"/>
        </w:rPr>
        <w:t>Microsoft dovrà (1) affidare alla società l</w:t>
      </w:r>
      <w:r w:rsidR="0073727D">
        <w:rPr>
          <w:rFonts w:cs="Tahoma"/>
          <w:snapToGrid w:val="0"/>
          <w:color w:val="000000"/>
          <w:szCs w:val="18"/>
          <w:lang w:val="it-IT"/>
        </w:rPr>
        <w:t>’</w:t>
      </w:r>
      <w:r w:rsidRPr="00451078">
        <w:rPr>
          <w:rFonts w:cs="Tahoma"/>
          <w:snapToGrid w:val="0"/>
          <w:color w:val="000000"/>
          <w:szCs w:val="18"/>
          <w:lang w:val="it-IT"/>
        </w:rPr>
        <w:t>esclusivo controllo della sua linea di difesa o dell</w:t>
      </w:r>
      <w:r w:rsidR="0073727D">
        <w:rPr>
          <w:rFonts w:cs="Tahoma"/>
          <w:snapToGrid w:val="0"/>
          <w:color w:val="000000"/>
          <w:szCs w:val="18"/>
          <w:lang w:val="it-IT"/>
        </w:rPr>
        <w:t>’</w:t>
      </w:r>
      <w:r w:rsidRPr="00451078">
        <w:rPr>
          <w:rFonts w:cs="Tahoma"/>
          <w:snapToGrid w:val="0"/>
          <w:color w:val="000000"/>
          <w:szCs w:val="18"/>
          <w:lang w:val="it-IT"/>
        </w:rPr>
        <w:t>accordo transattivo di tale reclamo e (2) compiere ogni ragionevole sforzo per assistere la società nella definizione della linea di difesa. La società rimborserà inoltre a Microsoft tutte le spese esposte in misura ragionevole e sostenute per fornire tale assistenza.</w:t>
      </w:r>
    </w:p>
    <w:p w:rsidR="00B0658B" w:rsidRPr="00451078" w:rsidRDefault="00B0658B" w:rsidP="007E466C">
      <w:pPr>
        <w:keepNext/>
        <w:spacing w:before="240" w:after="60"/>
        <w:ind w:left="1440"/>
        <w:outlineLvl w:val="0"/>
        <w:rPr>
          <w:lang w:val="it-IT"/>
        </w:rPr>
      </w:pPr>
      <w:r w:rsidRPr="00815DCF">
        <w:rPr>
          <w:rFonts w:cs="Tahoma"/>
          <w:b/>
          <w:bCs/>
          <w:iCs/>
          <w:snapToGrid w:val="0"/>
          <w:szCs w:val="18"/>
          <w:lang w:val="it-IT"/>
        </w:rPr>
        <w:lastRenderedPageBreak/>
        <w:t>Li</w:t>
      </w:r>
      <w:r w:rsidRPr="00451078">
        <w:rPr>
          <w:rFonts w:cs="Tahoma"/>
          <w:b/>
          <w:bCs/>
          <w:iCs/>
          <w:snapToGrid w:val="0"/>
          <w:szCs w:val="18"/>
          <w:lang w:val="it-IT"/>
        </w:rPr>
        <w:t>mitazione di responsabilità.</w:t>
      </w:r>
    </w:p>
    <w:p w:rsidR="00B0658B" w:rsidRPr="003410C7" w:rsidRDefault="00B0658B" w:rsidP="007E466C">
      <w:pPr>
        <w:ind w:left="1440"/>
        <w:jc w:val="both"/>
      </w:pPr>
      <w:r w:rsidRPr="00451078">
        <w:rPr>
          <w:rFonts w:cs="Tahoma"/>
          <w:snapToGrid w:val="0"/>
          <w:color w:val="000000"/>
          <w:szCs w:val="18"/>
          <w:lang w:val="it-IT"/>
        </w:rPr>
        <w:t>Nella misura massima consentita dalla legge applicabile, la responsabilità di ciascuna delle parti, delle relative Consociate e dei relativi Collaboratori in relazione ai Servizi Online sarà limitata ai danni diretti fino alla concorrenza dell</w:t>
      </w:r>
      <w:r w:rsidR="0073727D">
        <w:rPr>
          <w:rFonts w:cs="Tahoma"/>
          <w:snapToGrid w:val="0"/>
          <w:color w:val="000000"/>
          <w:szCs w:val="18"/>
          <w:lang w:val="it-IT"/>
        </w:rPr>
        <w:t>’</w:t>
      </w:r>
      <w:r w:rsidRPr="00451078">
        <w:rPr>
          <w:rFonts w:cs="Tahoma"/>
          <w:snapToGrid w:val="0"/>
          <w:color w:val="000000"/>
          <w:szCs w:val="18"/>
          <w:lang w:val="it-IT"/>
        </w:rPr>
        <w:t>importo che la società ha pagato per i Servizi Online che hanno dato origine a tale responsabilità durante i 12 mesi precedenti.</w:t>
      </w:r>
      <w:r w:rsidR="00082E1C" w:rsidRPr="00451078">
        <w:rPr>
          <w:rFonts w:cs="Tahoma"/>
          <w:snapToGrid w:val="0"/>
          <w:color w:val="000000"/>
          <w:szCs w:val="18"/>
          <w:lang w:val="it-IT"/>
        </w:rPr>
        <w:t xml:space="preserve"> </w:t>
      </w:r>
      <w:r w:rsidRPr="00451078">
        <w:rPr>
          <w:rFonts w:cs="Tahoma"/>
          <w:snapToGrid w:val="0"/>
          <w:color w:val="000000"/>
          <w:szCs w:val="18"/>
          <w:lang w:val="it-IT"/>
        </w:rPr>
        <w:t>Le presenti limitazioni si applicano indipendentemente dal fondamento giuridico delle azioni risarcitorie poste in essere dalla società, siano esse relative a inadempimento contrattuale, illecito civile (inclusa la negligenza), responsabilità oggettiva o violazione delle garanzie.</w:t>
      </w:r>
      <w:r w:rsidR="00082E1C" w:rsidRPr="00451078">
        <w:rPr>
          <w:rFonts w:cs="Tahoma"/>
          <w:snapToGrid w:val="0"/>
          <w:color w:val="000000"/>
          <w:szCs w:val="18"/>
          <w:lang w:val="it-IT"/>
        </w:rPr>
        <w:t xml:space="preserve"> </w:t>
      </w:r>
      <w:r w:rsidRPr="003410C7">
        <w:rPr>
          <w:rFonts w:cs="Tahoma"/>
          <w:snapToGrid w:val="0"/>
          <w:color w:val="000000"/>
          <w:szCs w:val="18"/>
        </w:rPr>
        <w:t>Tuttavia, tali limitazioni monetarie non si applicheranno:</w:t>
      </w:r>
    </w:p>
    <w:p w:rsidR="00B0658B" w:rsidRPr="00451078" w:rsidRDefault="00B0658B" w:rsidP="00745AB3">
      <w:pPr>
        <w:numPr>
          <w:ilvl w:val="0"/>
          <w:numId w:val="132"/>
        </w:numPr>
        <w:spacing w:before="120"/>
        <w:ind w:left="1890" w:hanging="450"/>
        <w:contextualSpacing/>
        <w:jc w:val="both"/>
        <w:rPr>
          <w:lang w:val="it-IT"/>
        </w:rPr>
      </w:pPr>
      <w:r w:rsidRPr="00451078">
        <w:rPr>
          <w:rFonts w:cs="Tahoma"/>
          <w:snapToGrid w:val="0"/>
          <w:color w:val="000000"/>
          <w:szCs w:val="18"/>
          <w:lang w:val="it-IT"/>
        </w:rPr>
        <w:t>alle obbligazioni di Microsoft ai sensi dell</w:t>
      </w:r>
      <w:r w:rsidR="0073727D">
        <w:rPr>
          <w:rFonts w:cs="Tahoma"/>
          <w:snapToGrid w:val="0"/>
          <w:color w:val="000000"/>
          <w:szCs w:val="18"/>
          <w:lang w:val="it-IT"/>
        </w:rPr>
        <w:t>’</w:t>
      </w:r>
      <w:r w:rsidRPr="00451078">
        <w:rPr>
          <w:rFonts w:cs="Tahoma"/>
          <w:snapToGrid w:val="0"/>
          <w:color w:val="000000"/>
          <w:szCs w:val="18"/>
          <w:lang w:val="it-IT"/>
        </w:rPr>
        <w:t>Articolo dell</w:t>
      </w:r>
      <w:r w:rsidR="0073727D">
        <w:rPr>
          <w:rFonts w:cs="Tahoma"/>
          <w:snapToGrid w:val="0"/>
          <w:color w:val="000000"/>
          <w:szCs w:val="18"/>
          <w:lang w:val="it-IT"/>
        </w:rPr>
        <w:t>’</w:t>
      </w:r>
      <w:r w:rsidRPr="00451078">
        <w:rPr>
          <w:rFonts w:cs="Tahoma"/>
          <w:snapToGrid w:val="0"/>
          <w:color w:val="000000"/>
          <w:szCs w:val="18"/>
          <w:lang w:val="it-IT"/>
        </w:rPr>
        <w:t xml:space="preserve">Accordo Principale relativo alla </w:t>
      </w:r>
      <w:r w:rsidR="001A3EC5" w:rsidRPr="00451078">
        <w:rPr>
          <w:rFonts w:cs="Tahoma"/>
          <w:snapToGrid w:val="0"/>
          <w:color w:val="000000"/>
          <w:szCs w:val="18"/>
          <w:lang w:val="it-IT"/>
        </w:rPr>
        <w:t>“</w:t>
      </w:r>
      <w:r w:rsidRPr="00451078">
        <w:rPr>
          <w:rFonts w:cs="Tahoma"/>
          <w:snapToGrid w:val="0"/>
          <w:color w:val="000000"/>
          <w:szCs w:val="18"/>
          <w:lang w:val="it-IT"/>
        </w:rPr>
        <w:t>Difesa dai reclami di terzi aventi ad oggetto la violazione dei diritti e l</w:t>
      </w:r>
      <w:r w:rsidR="0073727D">
        <w:rPr>
          <w:rFonts w:cs="Tahoma"/>
          <w:snapToGrid w:val="0"/>
          <w:color w:val="000000"/>
          <w:szCs w:val="18"/>
          <w:lang w:val="it-IT"/>
        </w:rPr>
        <w:t>’</w:t>
      </w:r>
      <w:r w:rsidRPr="00451078">
        <w:rPr>
          <w:rFonts w:cs="Tahoma"/>
          <w:snapToGrid w:val="0"/>
          <w:color w:val="000000"/>
          <w:szCs w:val="18"/>
          <w:lang w:val="it-IT"/>
        </w:rPr>
        <w:t>appropriazione indebita</w:t>
      </w:r>
      <w:r w:rsidR="001A3EC5" w:rsidRPr="00451078">
        <w:rPr>
          <w:rFonts w:cs="Tahoma"/>
          <w:snapToGrid w:val="0"/>
          <w:color w:val="000000"/>
          <w:szCs w:val="18"/>
          <w:lang w:val="it-IT"/>
        </w:rPr>
        <w:t>”</w:t>
      </w:r>
      <w:r w:rsidRPr="00451078">
        <w:rPr>
          <w:rFonts w:cs="Tahoma"/>
          <w:snapToGrid w:val="0"/>
          <w:color w:val="000000"/>
          <w:szCs w:val="18"/>
          <w:lang w:val="it-IT"/>
        </w:rPr>
        <w:t>, né alle obbligazioni della società ai sensi dell</w:t>
      </w:r>
      <w:r w:rsidR="0073727D">
        <w:rPr>
          <w:rFonts w:cs="Tahoma"/>
          <w:snapToGrid w:val="0"/>
          <w:color w:val="000000"/>
          <w:szCs w:val="18"/>
          <w:lang w:val="it-IT"/>
        </w:rPr>
        <w:t>’</w:t>
      </w:r>
      <w:r w:rsidRPr="00451078">
        <w:rPr>
          <w:rFonts w:cs="Tahoma"/>
          <w:snapToGrid w:val="0"/>
          <w:color w:val="000000"/>
          <w:szCs w:val="18"/>
          <w:lang w:val="it-IT"/>
        </w:rPr>
        <w:t xml:space="preserve">Articolo delle presenti Condizioni Supplementari intitolato </w:t>
      </w:r>
      <w:r w:rsidR="001A3EC5" w:rsidRPr="00451078">
        <w:rPr>
          <w:rFonts w:cs="Tahoma"/>
          <w:snapToGrid w:val="0"/>
          <w:color w:val="000000"/>
          <w:szCs w:val="18"/>
          <w:lang w:val="it-IT"/>
        </w:rPr>
        <w:t>“</w:t>
      </w:r>
      <w:r w:rsidRPr="00451078">
        <w:rPr>
          <w:rFonts w:cs="Tahoma"/>
          <w:snapToGrid w:val="0"/>
          <w:color w:val="000000"/>
          <w:szCs w:val="18"/>
          <w:lang w:val="it-IT"/>
        </w:rPr>
        <w:t>Tutela da parte della Società</w:t>
      </w:r>
      <w:r w:rsidR="001A3EC5" w:rsidRPr="00451078">
        <w:rPr>
          <w:rFonts w:cs="Tahoma"/>
          <w:snapToGrid w:val="0"/>
          <w:color w:val="000000"/>
          <w:szCs w:val="18"/>
          <w:lang w:val="it-IT"/>
        </w:rPr>
        <w:t>”</w:t>
      </w:r>
      <w:r w:rsidRPr="00451078">
        <w:rPr>
          <w:rFonts w:cs="Tahoma"/>
          <w:snapToGrid w:val="0"/>
          <w:color w:val="000000"/>
          <w:szCs w:val="18"/>
          <w:lang w:val="it-IT"/>
        </w:rPr>
        <w:t>;</w:t>
      </w:r>
    </w:p>
    <w:p w:rsidR="00B0658B" w:rsidRPr="00451078" w:rsidRDefault="00B0658B" w:rsidP="00745AB3">
      <w:pPr>
        <w:numPr>
          <w:ilvl w:val="0"/>
          <w:numId w:val="132"/>
        </w:numPr>
        <w:spacing w:before="120"/>
        <w:ind w:left="1890" w:hanging="450"/>
        <w:contextualSpacing/>
        <w:jc w:val="both"/>
        <w:rPr>
          <w:lang w:val="it-IT"/>
        </w:rPr>
      </w:pPr>
      <w:r w:rsidRPr="00451078">
        <w:rPr>
          <w:rFonts w:cs="Tahoma"/>
          <w:snapToGrid w:val="0"/>
          <w:color w:val="000000"/>
          <w:szCs w:val="18"/>
          <w:lang w:val="it-IT"/>
        </w:rPr>
        <w:t>alle responsabilità derivanti da qualsiasi inadempimento di una delle parti delle obbligazioni previste ai sensi dell</w:t>
      </w:r>
      <w:r w:rsidR="0073727D">
        <w:rPr>
          <w:rFonts w:cs="Tahoma"/>
          <w:snapToGrid w:val="0"/>
          <w:color w:val="000000"/>
          <w:szCs w:val="18"/>
          <w:lang w:val="it-IT"/>
        </w:rPr>
        <w:t>’</w:t>
      </w:r>
      <w:r w:rsidRPr="00451078">
        <w:rPr>
          <w:rFonts w:cs="Tahoma"/>
          <w:snapToGrid w:val="0"/>
          <w:color w:val="000000"/>
          <w:szCs w:val="18"/>
          <w:lang w:val="it-IT"/>
        </w:rPr>
        <w:t>Articolo delle Condizioni dell</w:t>
      </w:r>
      <w:r w:rsidR="0073727D">
        <w:rPr>
          <w:rFonts w:cs="Tahoma"/>
          <w:snapToGrid w:val="0"/>
          <w:color w:val="000000"/>
          <w:szCs w:val="18"/>
          <w:lang w:val="it-IT"/>
        </w:rPr>
        <w:t>’</w:t>
      </w:r>
      <w:r w:rsidRPr="00451078">
        <w:rPr>
          <w:rFonts w:cs="Tahoma"/>
          <w:snapToGrid w:val="0"/>
          <w:color w:val="000000"/>
          <w:szCs w:val="18"/>
          <w:lang w:val="it-IT"/>
        </w:rPr>
        <w:t xml:space="preserve">Accordo Principale intitolato </w:t>
      </w:r>
      <w:r w:rsidR="001A3EC5" w:rsidRPr="00451078">
        <w:rPr>
          <w:rFonts w:cs="Tahoma"/>
          <w:snapToGrid w:val="0"/>
          <w:color w:val="000000"/>
          <w:szCs w:val="18"/>
          <w:lang w:val="it-IT"/>
        </w:rPr>
        <w:t>“</w:t>
      </w:r>
      <w:r w:rsidRPr="00451078">
        <w:rPr>
          <w:rFonts w:cs="Tahoma"/>
          <w:snapToGrid w:val="0"/>
          <w:color w:val="000000"/>
          <w:szCs w:val="18"/>
          <w:lang w:val="it-IT"/>
        </w:rPr>
        <w:t>Riservatezza</w:t>
      </w:r>
      <w:r w:rsidR="001A3EC5" w:rsidRPr="00451078">
        <w:rPr>
          <w:rFonts w:cs="Tahoma"/>
          <w:snapToGrid w:val="0"/>
          <w:color w:val="000000"/>
          <w:szCs w:val="18"/>
          <w:lang w:val="it-IT"/>
        </w:rPr>
        <w:t>”</w:t>
      </w:r>
      <w:r w:rsidRPr="00451078">
        <w:rPr>
          <w:rFonts w:cs="Tahoma"/>
          <w:snapToGrid w:val="0"/>
          <w:color w:val="000000"/>
          <w:szCs w:val="18"/>
          <w:lang w:val="it-IT"/>
        </w:rPr>
        <w:t>, fatto salvo che la responsabilità di Microsoft derivante da o in relazione ai Dati della Società sarà in tutti i casi limitata all</w:t>
      </w:r>
      <w:r w:rsidR="0073727D">
        <w:rPr>
          <w:rFonts w:cs="Tahoma"/>
          <w:snapToGrid w:val="0"/>
          <w:color w:val="000000"/>
          <w:szCs w:val="18"/>
          <w:lang w:val="it-IT"/>
        </w:rPr>
        <w:t>’</w:t>
      </w:r>
      <w:r w:rsidRPr="00451078">
        <w:rPr>
          <w:rFonts w:cs="Tahoma"/>
          <w:snapToGrid w:val="0"/>
          <w:color w:val="000000"/>
          <w:szCs w:val="18"/>
          <w:lang w:val="it-IT"/>
        </w:rPr>
        <w:t xml:space="preserve">importo pagato dalla società per i Servizi Online che hanno dato origine a tale responsabilità nei 12 mesi precedenti e </w:t>
      </w:r>
    </w:p>
    <w:p w:rsidR="00B0658B" w:rsidRPr="00451078" w:rsidRDefault="00B0658B" w:rsidP="00745AB3">
      <w:pPr>
        <w:numPr>
          <w:ilvl w:val="0"/>
          <w:numId w:val="132"/>
        </w:numPr>
        <w:spacing w:before="120"/>
        <w:ind w:left="1890" w:hanging="450"/>
        <w:contextualSpacing/>
        <w:jc w:val="both"/>
        <w:rPr>
          <w:lang w:val="it-IT"/>
        </w:rPr>
      </w:pPr>
      <w:r w:rsidRPr="00451078">
        <w:rPr>
          <w:rFonts w:cs="Tahoma"/>
          <w:snapToGrid w:val="0"/>
          <w:color w:val="000000"/>
          <w:szCs w:val="18"/>
          <w:lang w:val="it-IT"/>
        </w:rPr>
        <w:t>alla violazione a opera di una delle parti dei diritti di proprietà intellettuale dell</w:t>
      </w:r>
      <w:r w:rsidR="0073727D">
        <w:rPr>
          <w:rFonts w:cs="Tahoma"/>
          <w:snapToGrid w:val="0"/>
          <w:color w:val="000000"/>
          <w:szCs w:val="18"/>
          <w:lang w:val="it-IT"/>
        </w:rPr>
        <w:t>’</w:t>
      </w:r>
      <w:r w:rsidRPr="00451078">
        <w:rPr>
          <w:rFonts w:cs="Tahoma"/>
          <w:snapToGrid w:val="0"/>
          <w:color w:val="000000"/>
          <w:szCs w:val="18"/>
          <w:lang w:val="it-IT"/>
        </w:rPr>
        <w:t>altra parte.</w:t>
      </w:r>
    </w:p>
    <w:p w:rsidR="00B0658B" w:rsidRPr="00451078" w:rsidRDefault="00B0658B" w:rsidP="00B0658B">
      <w:pPr>
        <w:spacing w:before="120"/>
        <w:ind w:left="1440"/>
        <w:jc w:val="both"/>
        <w:rPr>
          <w:lang w:val="it-IT"/>
        </w:rPr>
      </w:pPr>
      <w:r w:rsidRPr="00451078">
        <w:rPr>
          <w:rFonts w:cs="Tahoma"/>
          <w:b/>
          <w:bCs/>
          <w:snapToGrid w:val="0"/>
          <w:color w:val="000000"/>
          <w:szCs w:val="18"/>
          <w:lang w:val="it-IT"/>
        </w:rPr>
        <w:t>NELLA MISURA MASSIMA CONSENTITA DALLA LEGGE APPLICABILE, INDIPENDENTEMENTE DAL FONDAMENTO GIURIDICO DEL RECLAMO, LE PARTI, LE RISPETTIVE CONSOCIATE O I RISPETTIVI COLLABORATORI NON SARANNO RESPONSABILI DI DANNI INDIRETTI, CONSEQUENZIALI, SPECIALI O INCIDENTALI NÉ DI DANNI DOVUTI A LUCRO CESSANTE, INTERRUZIONE DELL</w:t>
      </w:r>
      <w:r w:rsidR="0073727D">
        <w:rPr>
          <w:rFonts w:cs="Tahoma"/>
          <w:b/>
          <w:bCs/>
          <w:snapToGrid w:val="0"/>
          <w:color w:val="000000"/>
          <w:szCs w:val="18"/>
          <w:lang w:val="it-IT"/>
        </w:rPr>
        <w:t>’</w:t>
      </w:r>
      <w:r w:rsidRPr="00451078">
        <w:rPr>
          <w:rFonts w:cs="Tahoma"/>
          <w:b/>
          <w:bCs/>
          <w:snapToGrid w:val="0"/>
          <w:color w:val="000000"/>
          <w:szCs w:val="18"/>
          <w:lang w:val="it-IT"/>
        </w:rPr>
        <w:t>ATTIVITÀ O PERDITA DI INFORMAZIONI RELATIVI AL CONTRATTO O ALLE PRESENTI CONDIZIONI SUPPLEMENTARI, ANCHE NEL CASO IN CUI I SOGGETTI DI CUI SOPRA SIANO STATI INFORMATI DELLA POSSIBILITÀ DEL VERIFICARSI DI TALI DANNI O TALE POSSIBILITÀ FOSSE RAGIONEVOLMENTE PREVEDIBILE.</w:t>
      </w:r>
      <w:r w:rsidR="00082E1C" w:rsidRPr="00451078">
        <w:rPr>
          <w:rFonts w:cs="Tahoma"/>
          <w:b/>
          <w:bCs/>
          <w:snapToGrid w:val="0"/>
          <w:color w:val="000000"/>
          <w:szCs w:val="18"/>
          <w:lang w:val="it-IT"/>
        </w:rPr>
        <w:t xml:space="preserve"> </w:t>
      </w:r>
      <w:r w:rsidRPr="00451078">
        <w:rPr>
          <w:rFonts w:cs="Tahoma"/>
          <w:b/>
          <w:bCs/>
          <w:snapToGrid w:val="0"/>
          <w:color w:val="000000"/>
          <w:szCs w:val="18"/>
          <w:lang w:val="it-IT"/>
        </w:rPr>
        <w:t>TUTTAVIA, TALE ESCLUSIONE DI RESPONSABILITÀ NON SI APPLICA NEL CASO DI INADEMPIMENTO DELLE OBBLIGAZIONI DI RISERVATEZZA (FATTA ECCEZIONE PER I CASI IN CUI TALE VIOLAZIONE NON RIGUARDI I DATI DELLA SOCIETÀ) DI UNA PARTE NEI CONFRONTI DELL</w:t>
      </w:r>
      <w:r w:rsidR="0073727D">
        <w:rPr>
          <w:rFonts w:cs="Tahoma"/>
          <w:b/>
          <w:bCs/>
          <w:snapToGrid w:val="0"/>
          <w:color w:val="000000"/>
          <w:szCs w:val="18"/>
          <w:lang w:val="it-IT"/>
        </w:rPr>
        <w:t>’</w:t>
      </w:r>
      <w:r w:rsidRPr="00451078">
        <w:rPr>
          <w:rFonts w:cs="Tahoma"/>
          <w:b/>
          <w:bCs/>
          <w:snapToGrid w:val="0"/>
          <w:color w:val="000000"/>
          <w:szCs w:val="18"/>
          <w:lang w:val="it-IT"/>
        </w:rPr>
        <w:t>ALTRA NÉ NEL CASO DI VIOLAZIONE DEI DIRITTI DI PROPRIETÀ INTELLETTUALE DELL</w:t>
      </w:r>
      <w:r w:rsidR="0073727D">
        <w:rPr>
          <w:rFonts w:cs="Tahoma"/>
          <w:b/>
          <w:bCs/>
          <w:snapToGrid w:val="0"/>
          <w:color w:val="000000"/>
          <w:szCs w:val="18"/>
          <w:lang w:val="it-IT"/>
        </w:rPr>
        <w:t>’</w:t>
      </w:r>
      <w:r w:rsidRPr="00451078">
        <w:rPr>
          <w:rFonts w:cs="Tahoma"/>
          <w:b/>
          <w:bCs/>
          <w:snapToGrid w:val="0"/>
          <w:color w:val="000000"/>
          <w:szCs w:val="18"/>
          <w:lang w:val="it-IT"/>
        </w:rPr>
        <w:t>ALTRA PARTE, DELLE OBBLIGAZIONI DI MICROSOFT DEFINITE AI SENSI DELL</w:t>
      </w:r>
      <w:r w:rsidR="0073727D">
        <w:rPr>
          <w:rFonts w:cs="Tahoma"/>
          <w:b/>
          <w:bCs/>
          <w:snapToGrid w:val="0"/>
          <w:color w:val="000000"/>
          <w:szCs w:val="18"/>
          <w:lang w:val="it-IT"/>
        </w:rPr>
        <w:t>’</w:t>
      </w:r>
      <w:r w:rsidRPr="00451078">
        <w:rPr>
          <w:rFonts w:cs="Tahoma"/>
          <w:b/>
          <w:bCs/>
          <w:snapToGrid w:val="0"/>
          <w:color w:val="000000"/>
          <w:szCs w:val="18"/>
          <w:lang w:val="it-IT"/>
        </w:rPr>
        <w:t>ARTICOLO CONTENUTO NELLE CONDIZIONI DELL</w:t>
      </w:r>
      <w:r w:rsidR="0073727D">
        <w:rPr>
          <w:rFonts w:cs="Tahoma"/>
          <w:b/>
          <w:bCs/>
          <w:snapToGrid w:val="0"/>
          <w:color w:val="000000"/>
          <w:szCs w:val="18"/>
          <w:lang w:val="it-IT"/>
        </w:rPr>
        <w:t>’</w:t>
      </w:r>
      <w:r w:rsidRPr="00451078">
        <w:rPr>
          <w:rFonts w:cs="Tahoma"/>
          <w:b/>
          <w:bCs/>
          <w:snapToGrid w:val="0"/>
          <w:color w:val="000000"/>
          <w:szCs w:val="18"/>
          <w:lang w:val="it-IT"/>
        </w:rPr>
        <w:t xml:space="preserve">ACCORDO PRINCIPALE INTITOLATO </w:t>
      </w:r>
      <w:r w:rsidR="001A3EC5" w:rsidRPr="00451078">
        <w:rPr>
          <w:rFonts w:cs="Tahoma"/>
          <w:b/>
          <w:bCs/>
          <w:snapToGrid w:val="0"/>
          <w:color w:val="000000"/>
          <w:szCs w:val="18"/>
          <w:lang w:val="it-IT"/>
        </w:rPr>
        <w:t>“</w:t>
      </w:r>
      <w:r w:rsidRPr="00451078">
        <w:rPr>
          <w:rFonts w:cs="Tahoma"/>
          <w:b/>
          <w:bCs/>
          <w:snapToGrid w:val="0"/>
          <w:color w:val="000000"/>
          <w:szCs w:val="18"/>
          <w:lang w:val="it-IT"/>
        </w:rPr>
        <w:t>DIFESA DAI RECLAMI DI TERZI AVENTI AD OGGETTO LA VIOLAZIONE DEI DIRITTI E L</w:t>
      </w:r>
      <w:r w:rsidR="0073727D">
        <w:rPr>
          <w:rFonts w:cs="Tahoma"/>
          <w:b/>
          <w:bCs/>
          <w:snapToGrid w:val="0"/>
          <w:color w:val="000000"/>
          <w:szCs w:val="18"/>
          <w:lang w:val="it-IT"/>
        </w:rPr>
        <w:t>’</w:t>
      </w:r>
      <w:r w:rsidRPr="00451078">
        <w:rPr>
          <w:rFonts w:cs="Tahoma"/>
          <w:b/>
          <w:bCs/>
          <w:snapToGrid w:val="0"/>
          <w:color w:val="000000"/>
          <w:szCs w:val="18"/>
          <w:lang w:val="it-IT"/>
        </w:rPr>
        <w:t>APPROPRIAZIONE INDEBITA</w:t>
      </w:r>
      <w:r w:rsidR="001A3EC5" w:rsidRPr="00451078">
        <w:rPr>
          <w:rFonts w:cs="Tahoma"/>
          <w:b/>
          <w:bCs/>
          <w:snapToGrid w:val="0"/>
          <w:color w:val="000000"/>
          <w:szCs w:val="18"/>
          <w:lang w:val="it-IT"/>
        </w:rPr>
        <w:t>”</w:t>
      </w:r>
      <w:r w:rsidRPr="00451078">
        <w:rPr>
          <w:rFonts w:cs="Tahoma"/>
          <w:b/>
          <w:bCs/>
          <w:snapToGrid w:val="0"/>
          <w:color w:val="000000"/>
          <w:szCs w:val="18"/>
          <w:lang w:val="it-IT"/>
        </w:rPr>
        <w:t xml:space="preserve"> O DELLE OBBLIGAZIONI DELLA SOCIETÀ PREVISTE AI SENSI DELL</w:t>
      </w:r>
      <w:r w:rsidR="0073727D">
        <w:rPr>
          <w:rFonts w:cs="Tahoma"/>
          <w:b/>
          <w:bCs/>
          <w:snapToGrid w:val="0"/>
          <w:color w:val="000000"/>
          <w:szCs w:val="18"/>
          <w:lang w:val="it-IT"/>
        </w:rPr>
        <w:t>’</w:t>
      </w:r>
      <w:r w:rsidRPr="00451078">
        <w:rPr>
          <w:rFonts w:cs="Tahoma"/>
          <w:b/>
          <w:bCs/>
          <w:snapToGrid w:val="0"/>
          <w:color w:val="000000"/>
          <w:szCs w:val="18"/>
          <w:lang w:val="it-IT"/>
        </w:rPr>
        <w:t xml:space="preserve">ARTICOLO CONTENUTO NELLE PRESENTI CONDIZIONI SUPPLEMENTARI E INTITOLATO </w:t>
      </w:r>
      <w:r w:rsidR="001A3EC5" w:rsidRPr="00451078">
        <w:rPr>
          <w:rFonts w:cs="Tahoma"/>
          <w:b/>
          <w:bCs/>
          <w:snapToGrid w:val="0"/>
          <w:color w:val="000000"/>
          <w:szCs w:val="18"/>
          <w:lang w:val="it-IT"/>
        </w:rPr>
        <w:t>“</w:t>
      </w:r>
      <w:r w:rsidRPr="00451078">
        <w:rPr>
          <w:rFonts w:cs="Tahoma"/>
          <w:b/>
          <w:bCs/>
          <w:snapToGrid w:val="0"/>
          <w:color w:val="000000"/>
          <w:szCs w:val="18"/>
          <w:lang w:val="it-IT"/>
        </w:rPr>
        <w:t>TUTELA DA PARTE DELLA SOCIETÀ</w:t>
      </w:r>
      <w:r w:rsidR="001A3EC5" w:rsidRPr="00451078">
        <w:rPr>
          <w:rFonts w:cs="Tahoma"/>
          <w:b/>
          <w:bCs/>
          <w:snapToGrid w:val="0"/>
          <w:color w:val="000000"/>
          <w:szCs w:val="18"/>
          <w:lang w:val="it-IT"/>
        </w:rPr>
        <w:t>”</w:t>
      </w:r>
      <w:r w:rsidRPr="00451078">
        <w:rPr>
          <w:rFonts w:cs="Tahoma"/>
          <w:b/>
          <w:bCs/>
          <w:snapToGrid w:val="0"/>
          <w:color w:val="000000"/>
          <w:szCs w:val="18"/>
          <w:lang w:val="it-IT"/>
        </w:rPr>
        <w:t>.</w:t>
      </w:r>
    </w:p>
    <w:p w:rsidR="00B0658B" w:rsidRPr="00451078" w:rsidRDefault="00B0658B" w:rsidP="007E466C">
      <w:pPr>
        <w:keepNext/>
        <w:spacing w:before="240" w:after="60"/>
        <w:ind w:left="1440"/>
        <w:outlineLvl w:val="0"/>
        <w:rPr>
          <w:lang w:val="it-IT"/>
        </w:rPr>
      </w:pPr>
      <w:r w:rsidRPr="00451078">
        <w:rPr>
          <w:rFonts w:cs="Tahoma"/>
          <w:b/>
          <w:bCs/>
          <w:iCs/>
          <w:snapToGrid w:val="0"/>
          <w:szCs w:val="18"/>
          <w:lang w:val="it-IT"/>
        </w:rPr>
        <w:t>Subappaltatori.</w:t>
      </w:r>
    </w:p>
    <w:p w:rsidR="00B0658B" w:rsidRPr="00451078" w:rsidRDefault="00B0658B" w:rsidP="00B0658B">
      <w:pPr>
        <w:ind w:left="1440"/>
        <w:rPr>
          <w:lang w:val="it-IT"/>
        </w:rPr>
      </w:pPr>
      <w:r w:rsidRPr="00451078">
        <w:rPr>
          <w:rFonts w:cs="Tahoma"/>
          <w:snapToGrid w:val="0"/>
          <w:szCs w:val="18"/>
          <w:lang w:val="it-IT"/>
        </w:rPr>
        <w:t>Microsoft potrà ricorrere all</w:t>
      </w:r>
      <w:r w:rsidR="0073727D">
        <w:rPr>
          <w:rFonts w:cs="Tahoma"/>
          <w:snapToGrid w:val="0"/>
          <w:szCs w:val="18"/>
          <w:lang w:val="it-IT"/>
        </w:rPr>
        <w:t>’</w:t>
      </w:r>
      <w:r w:rsidRPr="00451078">
        <w:rPr>
          <w:rFonts w:cs="Tahoma"/>
          <w:snapToGrid w:val="0"/>
          <w:szCs w:val="18"/>
          <w:lang w:val="it-IT"/>
        </w:rPr>
        <w:t>attività prestata da Collaboratori per supportare i Servizi Online.</w:t>
      </w:r>
      <w:r w:rsidR="00082E1C" w:rsidRPr="00451078">
        <w:rPr>
          <w:rFonts w:cs="Tahoma"/>
          <w:snapToGrid w:val="0"/>
          <w:szCs w:val="18"/>
          <w:lang w:val="it-IT"/>
        </w:rPr>
        <w:t xml:space="preserve"> </w:t>
      </w:r>
      <w:r w:rsidRPr="00451078">
        <w:rPr>
          <w:rFonts w:cs="Tahoma"/>
          <w:snapToGrid w:val="0"/>
          <w:szCs w:val="18"/>
          <w:lang w:val="it-IT"/>
        </w:rPr>
        <w:t>Microsoft sarà responsabile delle loro prestazioni secondo quanto previsto dalle condizioni del</w:t>
      </w:r>
      <w:r w:rsidR="00E82D1F" w:rsidRPr="00451078">
        <w:rPr>
          <w:rFonts w:cs="Tahoma"/>
          <w:snapToGrid w:val="0"/>
          <w:szCs w:val="18"/>
          <w:lang w:val="it-IT"/>
        </w:rPr>
        <w:t> </w:t>
      </w:r>
      <w:r w:rsidRPr="00451078">
        <w:rPr>
          <w:rFonts w:cs="Tahoma"/>
          <w:snapToGrid w:val="0"/>
          <w:szCs w:val="18"/>
          <w:lang w:val="it-IT"/>
        </w:rPr>
        <w:t>Contratto Multilicenza della società.</w:t>
      </w:r>
    </w:p>
    <w:p w:rsidR="00D40AC6" w:rsidRDefault="00D40AC6" w:rsidP="00C175DE">
      <w:pPr>
        <w:spacing w:after="60"/>
        <w:ind w:left="720"/>
        <w:rPr>
          <w:lang w:val="it-IT"/>
        </w:rPr>
      </w:pPr>
    </w:p>
    <w:p w:rsidR="00D40AC6" w:rsidRPr="002B01D6" w:rsidRDefault="00D40AC6" w:rsidP="00D40AC6">
      <w:pPr>
        <w:rPr>
          <w:rFonts w:cs="Tahoma"/>
          <w:b/>
          <w:color w:val="F26200"/>
          <w:sz w:val="20"/>
          <w:szCs w:val="24"/>
          <w:vertAlign w:val="superscript"/>
          <w:lang w:val="it-IT" w:eastAsia="x-none"/>
        </w:rPr>
      </w:pPr>
    </w:p>
    <w:p w:rsidR="00D70D2C" w:rsidRPr="00451078" w:rsidRDefault="001D5998" w:rsidP="00D70D2C">
      <w:pPr>
        <w:pStyle w:val="Heading2"/>
        <w:ind w:left="270" w:hanging="270"/>
        <w:rPr>
          <w:lang w:val="it-IT"/>
        </w:rPr>
      </w:pPr>
      <w:bookmarkStart w:id="1205" w:name="_44_Exchange_Online"/>
      <w:bookmarkStart w:id="1206" w:name="_Toc352234897"/>
      <w:bookmarkEnd w:id="1205"/>
      <w:r w:rsidRPr="00451078">
        <w:rPr>
          <w:rFonts w:ascii="Tahoma" w:hAnsi="Tahoma" w:cs="Tahoma"/>
          <w:color w:val="F26200"/>
          <w:sz w:val="20"/>
          <w:vertAlign w:val="superscript"/>
          <w:lang w:val="it-IT"/>
        </w:rPr>
        <w:t>44</w:t>
      </w:r>
      <w:r w:rsidRPr="00451078">
        <w:rPr>
          <w:rFonts w:ascii="Tahoma" w:hAnsi="Tahoma" w:cs="Tahoma"/>
          <w:color w:val="F26200"/>
          <w:lang w:val="it-IT"/>
        </w:rPr>
        <w:t xml:space="preserve"> </w:t>
      </w:r>
      <w:r w:rsidRPr="00451078">
        <w:rPr>
          <w:rFonts w:ascii="Tahoma" w:hAnsi="Tahoma" w:cs="Tahoma"/>
          <w:color w:val="F26200"/>
          <w:sz w:val="22"/>
          <w:lang w:val="it-IT"/>
        </w:rPr>
        <w:t>Archiviazione Exchange Online (SL per Utente)</w:t>
      </w:r>
      <w:bookmarkEnd w:id="1203"/>
      <w:bookmarkEnd w:id="1206"/>
    </w:p>
    <w:bookmarkEnd w:id="1204"/>
    <w:p w:rsidR="00D70D2C" w:rsidRPr="00451078" w:rsidRDefault="00D70D2C" w:rsidP="00D70D2C">
      <w:pPr>
        <w:ind w:left="900"/>
        <w:rPr>
          <w:lang w:val="it-IT"/>
        </w:rPr>
      </w:pPr>
    </w:p>
    <w:p w:rsidR="00D70D2C" w:rsidRPr="00451078" w:rsidRDefault="00D70D2C" w:rsidP="00E62BC4">
      <w:pPr>
        <w:pStyle w:val="ListParagraph"/>
        <w:rPr>
          <w:lang w:val="it-IT"/>
        </w:rPr>
      </w:pPr>
      <w:r w:rsidRPr="00451078">
        <w:rPr>
          <w:rFonts w:ascii="Tahoma" w:hAnsi="Tahoma" w:cs="Tahoma"/>
          <w:color w:val="000000"/>
          <w:sz w:val="18"/>
          <w:szCs w:val="18"/>
          <w:lang w:val="it-IT"/>
        </w:rPr>
        <w:t>Archiviazione Exchange Online è un servizio online che succede a Exchange Hosted Archive.</w:t>
      </w:r>
    </w:p>
    <w:p w:rsidR="00D70D2C" w:rsidRPr="00451078" w:rsidRDefault="00D70D2C" w:rsidP="00E62BC4">
      <w:pPr>
        <w:pStyle w:val="ListParagraph"/>
        <w:rPr>
          <w:lang w:val="it-IT"/>
        </w:rPr>
      </w:pPr>
    </w:p>
    <w:p w:rsidR="00D70D2C" w:rsidRPr="00451078" w:rsidRDefault="00D70D2C" w:rsidP="00E62BC4">
      <w:pPr>
        <w:ind w:left="720"/>
        <w:rPr>
          <w:lang w:val="it-IT"/>
        </w:rPr>
      </w:pPr>
      <w:r w:rsidRPr="00451078">
        <w:rPr>
          <w:rFonts w:cs="Tahoma"/>
          <w:color w:val="000000"/>
          <w:szCs w:val="18"/>
          <w:lang w:val="it-IT"/>
        </w:rPr>
        <w:t>Qualora la società effettui il rinnovo passando da Exchange Hosted Archive ad Archiviazione Exchange Online e non abbia ancora eseguito la migrazione ad Archiviazione Exchange</w:t>
      </w:r>
      <w:r w:rsidRPr="00451078">
        <w:rPr>
          <w:color w:val="000000"/>
          <w:lang w:val="it-IT"/>
        </w:rPr>
        <w:t xml:space="preserve"> Online, gli utenti in possesso di</w:t>
      </w:r>
      <w:r w:rsidR="00E82D1F" w:rsidRPr="00451078">
        <w:rPr>
          <w:color w:val="000000"/>
          <w:lang w:val="it-IT"/>
        </w:rPr>
        <w:t> </w:t>
      </w:r>
      <w:r w:rsidRPr="00451078">
        <w:rPr>
          <w:color w:val="000000"/>
          <w:lang w:val="it-IT"/>
        </w:rPr>
        <w:t>licenza potranno continuare a utilizzare il servizio Exchange Hosted Archive in conformità alle condizioni del PUR di marzo 2011 fino alla migrazione ad Archiviazione Exchange Online e alla scadenza della sottoscrizione di Archiviazione Exchange Online, a seconda di quale dei due eventi si verificherà per primo.</w:t>
      </w:r>
    </w:p>
    <w:p w:rsidR="00B23BE6" w:rsidRPr="00451078" w:rsidRDefault="00B23BE6" w:rsidP="00E62BC4">
      <w:pPr>
        <w:ind w:left="720"/>
        <w:rPr>
          <w:lang w:val="it-IT"/>
        </w:rPr>
      </w:pPr>
    </w:p>
    <w:p w:rsidR="00B23BE6" w:rsidRPr="00451078" w:rsidRDefault="00B23BE6" w:rsidP="0084072C">
      <w:pPr>
        <w:spacing w:after="60"/>
        <w:ind w:left="720"/>
        <w:rPr>
          <w:lang w:val="it-IT"/>
        </w:rPr>
      </w:pPr>
      <w:r w:rsidRPr="00451078">
        <w:rPr>
          <w:rFonts w:eastAsia="Calibri" w:cs="Tahoma"/>
          <w:b/>
          <w:color w:val="000000"/>
          <w:szCs w:val="18"/>
          <w:lang w:val="it-IT"/>
        </w:rPr>
        <w:t>Community Cloud per Enti Pubblici (solo Stati Uniti)</w:t>
      </w:r>
    </w:p>
    <w:p w:rsidR="00B23BE6" w:rsidRPr="00451078" w:rsidRDefault="00B23BE6" w:rsidP="00E62BC4">
      <w:pPr>
        <w:ind w:left="720"/>
        <w:rPr>
          <w:lang w:val="it-IT"/>
        </w:rPr>
      </w:pPr>
      <w:r w:rsidRPr="00451078">
        <w:rPr>
          <w:rFonts w:eastAsia="Calibri" w:cs="Tahoma"/>
          <w:color w:val="000000"/>
          <w:szCs w:val="18"/>
          <w:lang w:val="it-IT"/>
        </w:rPr>
        <w:t>Alcuni servizi online della famiglia di prodotti Office 365 (incluso Archiviazione Exchange Online) sono offerti come servizi di community cloud per enti pubblici e come servizi di community cloud per enti non pubblici.</w:t>
      </w:r>
      <w:r w:rsidR="00082E1C" w:rsidRPr="00451078">
        <w:rPr>
          <w:rFonts w:eastAsia="Calibri" w:cs="Tahoma"/>
          <w:color w:val="000000"/>
          <w:szCs w:val="18"/>
          <w:lang w:val="it-IT"/>
        </w:rPr>
        <w:t xml:space="preserve"> </w:t>
      </w:r>
      <w:r w:rsidRPr="00451078">
        <w:rPr>
          <w:rFonts w:eastAsia="Calibri" w:cs="Tahoma"/>
          <w:color w:val="000000"/>
          <w:szCs w:val="18"/>
          <w:lang w:val="it-IT"/>
        </w:rPr>
        <w:lastRenderedPageBreak/>
        <w:t>Alle società potrà essere effettuato il provisioning come ente pubblico o non pubblico, ma non come una combinazione di entrambi.</w:t>
      </w:r>
      <w:r w:rsidR="00082E1C" w:rsidRPr="00451078">
        <w:rPr>
          <w:rFonts w:eastAsia="Calibri" w:cs="Tahoma"/>
          <w:color w:val="000000"/>
          <w:szCs w:val="18"/>
          <w:lang w:val="it-IT"/>
        </w:rPr>
        <w:t xml:space="preserve"> </w:t>
      </w:r>
      <w:r w:rsidRPr="00451078">
        <w:rPr>
          <w:rFonts w:eastAsia="Calibri" w:cs="Tahoma"/>
          <w:color w:val="000000"/>
          <w:szCs w:val="18"/>
          <w:lang w:val="it-IT"/>
        </w:rPr>
        <w:t>I Servizi Online designati come community cloud per enti pubblici non potranno essere distribuiti nello stesso dominio in cui vengono distribuiti servizi specifici di community cloud per enti non pubblici. Tale limitazione si estende a qualsiasi servizio online facente parte della famiglia di prodotti Office 365, inclusi Exchange Online, SharePoint Online e Lync Online.</w:t>
      </w:r>
      <w:r w:rsidR="00082E1C" w:rsidRPr="00451078">
        <w:rPr>
          <w:rFonts w:eastAsia="Calibri" w:cs="Tahoma"/>
          <w:color w:val="000000"/>
          <w:szCs w:val="18"/>
          <w:lang w:val="it-IT"/>
        </w:rPr>
        <w:t xml:space="preserve"> </w:t>
      </w:r>
    </w:p>
    <w:p w:rsidR="00B23BE6" w:rsidRPr="00451078" w:rsidRDefault="00B23BE6" w:rsidP="00E62BC4">
      <w:pPr>
        <w:ind w:left="720"/>
        <w:rPr>
          <w:lang w:val="it-IT"/>
        </w:rPr>
      </w:pPr>
    </w:p>
    <w:p w:rsidR="00B23BE6" w:rsidRPr="00451078" w:rsidRDefault="00B23BE6" w:rsidP="00E62BC4">
      <w:pPr>
        <w:ind w:left="720"/>
        <w:rPr>
          <w:lang w:val="it-IT"/>
        </w:rPr>
      </w:pPr>
      <w:r w:rsidRPr="00451078">
        <w:rPr>
          <w:rFonts w:eastAsia="Calibri" w:cs="Tahoma"/>
          <w:color w:val="000000"/>
          <w:szCs w:val="18"/>
          <w:lang w:val="it-IT"/>
        </w:rPr>
        <w:t>Quando verrà effettuato il provisioning di un servizio online nel community cloud per enti pubblici, rimarrà tale per tutto il periodo di validità della sottoscrizione. Le società che sono enti pubblici federali, statali, locali o tribali negli Stati Uniti dovranno essere in possesso di un</w:t>
      </w:r>
      <w:r w:rsidR="0073727D">
        <w:rPr>
          <w:rFonts w:eastAsia="Calibri" w:cs="Tahoma"/>
          <w:color w:val="000000"/>
          <w:szCs w:val="18"/>
          <w:lang w:val="it-IT"/>
        </w:rPr>
        <w:t>’</w:t>
      </w:r>
      <w:r w:rsidRPr="00451078">
        <w:rPr>
          <w:rFonts w:eastAsia="Calibri" w:cs="Tahoma"/>
          <w:color w:val="000000"/>
          <w:szCs w:val="18"/>
          <w:lang w:val="it-IT"/>
        </w:rPr>
        <w:t>Iscrizione Enterprise o Enterprise Subscription per Enti Pubblici Statunitensi per essere idonei all</w:t>
      </w:r>
      <w:r w:rsidR="0073727D">
        <w:rPr>
          <w:rFonts w:eastAsia="Calibri" w:cs="Tahoma"/>
          <w:color w:val="000000"/>
          <w:szCs w:val="18"/>
          <w:lang w:val="it-IT"/>
        </w:rPr>
        <w:t>’</w:t>
      </w:r>
      <w:r w:rsidRPr="00451078">
        <w:rPr>
          <w:rFonts w:eastAsia="Calibri" w:cs="Tahoma"/>
          <w:color w:val="000000"/>
          <w:szCs w:val="18"/>
          <w:lang w:val="it-IT"/>
        </w:rPr>
        <w:t>acquisto di servizi online designati come community cloud per enti pubblici.</w:t>
      </w:r>
      <w:r w:rsidR="00082E1C" w:rsidRPr="00451078">
        <w:rPr>
          <w:rFonts w:eastAsia="Calibri" w:cs="Tahoma"/>
          <w:color w:val="000000"/>
          <w:szCs w:val="18"/>
          <w:lang w:val="it-IT"/>
        </w:rPr>
        <w:t xml:space="preserve"> </w:t>
      </w:r>
      <w:r w:rsidRPr="00451078">
        <w:rPr>
          <w:rFonts w:eastAsia="Calibri" w:cs="Tahoma"/>
          <w:color w:val="000000"/>
          <w:szCs w:val="18"/>
          <w:lang w:val="it-IT"/>
        </w:rPr>
        <w:t>I Diritti sull</w:t>
      </w:r>
      <w:r w:rsidR="0073727D">
        <w:rPr>
          <w:rFonts w:eastAsia="Calibri" w:cs="Tahoma"/>
          <w:color w:val="000000"/>
          <w:szCs w:val="18"/>
          <w:lang w:val="it-IT"/>
        </w:rPr>
        <w:t>’</w:t>
      </w:r>
      <w:r w:rsidRPr="00451078">
        <w:rPr>
          <w:rFonts w:eastAsia="Calibri" w:cs="Tahoma"/>
          <w:color w:val="000000"/>
          <w:szCs w:val="18"/>
          <w:lang w:val="it-IT"/>
        </w:rPr>
        <w:t>Utilizzo relativi ai servizi di community cloud per enti pubblici sono simili a quelli dei loro equivalenti multi-tenant standard.</w:t>
      </w:r>
      <w:r w:rsidR="00082E1C" w:rsidRPr="00451078">
        <w:rPr>
          <w:rFonts w:eastAsia="Calibri" w:cs="Tahoma"/>
          <w:color w:val="000000"/>
          <w:szCs w:val="18"/>
          <w:lang w:val="it-IT"/>
        </w:rPr>
        <w:t xml:space="preserve"> </w:t>
      </w:r>
      <w:r w:rsidRPr="00451078">
        <w:rPr>
          <w:rFonts w:eastAsia="Calibri" w:cs="Tahoma"/>
          <w:color w:val="000000"/>
          <w:szCs w:val="18"/>
          <w:lang w:val="it-IT"/>
        </w:rPr>
        <w:t>I servizi di community cloud per enti pubblici non sono in questa fase idonei alla Prenotazione di Licenze e alle Transizioni.</w:t>
      </w:r>
    </w:p>
    <w:p w:rsidR="00B23BE6" w:rsidRPr="00451078" w:rsidRDefault="00B23BE6" w:rsidP="00D70D2C">
      <w:pPr>
        <w:ind w:left="540"/>
        <w:rPr>
          <w:lang w:val="it-IT"/>
        </w:rPr>
      </w:pPr>
    </w:p>
    <w:p w:rsidR="00EC1F23" w:rsidRPr="00451078" w:rsidRDefault="00EC1F23" w:rsidP="0084072C">
      <w:pPr>
        <w:pStyle w:val="Heading2"/>
        <w:ind w:left="0"/>
        <w:rPr>
          <w:rFonts w:ascii="Tahoma" w:hAnsi="Tahoma" w:cs="Tahoma"/>
          <w:sz w:val="18"/>
          <w:szCs w:val="18"/>
          <w:lang w:val="it-IT"/>
        </w:rPr>
      </w:pPr>
    </w:p>
    <w:p w:rsidR="00EC1F23" w:rsidRPr="003410C7" w:rsidRDefault="00B26237" w:rsidP="00465757">
      <w:pPr>
        <w:pStyle w:val="Heading2"/>
        <w:ind w:left="270" w:hanging="270"/>
      </w:pPr>
      <w:bookmarkStart w:id="1207" w:name="_45_Exchange_Hosted"/>
      <w:bookmarkStart w:id="1208" w:name="_Toc336338306"/>
      <w:bookmarkStart w:id="1209" w:name="_Toc352234898"/>
      <w:bookmarkStart w:id="1210" w:name="Srv_44ExchHostArchiveandStorage"/>
      <w:bookmarkEnd w:id="1207"/>
      <w:r w:rsidRPr="003410C7">
        <w:rPr>
          <w:rFonts w:ascii="Tahoma" w:hAnsi="Tahoma" w:cs="Tahoma"/>
          <w:color w:val="F26200"/>
          <w:sz w:val="20"/>
          <w:vertAlign w:val="superscript"/>
        </w:rPr>
        <w:t>45</w:t>
      </w:r>
      <w:r w:rsidRPr="003410C7">
        <w:rPr>
          <w:rFonts w:ascii="Tahoma" w:hAnsi="Tahoma" w:cs="Tahoma"/>
          <w:color w:val="F26200"/>
        </w:rPr>
        <w:t xml:space="preserve"> </w:t>
      </w:r>
      <w:r w:rsidRPr="003410C7">
        <w:rPr>
          <w:rFonts w:ascii="Tahoma" w:hAnsi="Tahoma" w:cs="Tahoma"/>
          <w:color w:val="F26200"/>
          <w:sz w:val="22"/>
        </w:rPr>
        <w:t>Exchange Hosted Archive (SL per Utente), Exchange Hosted Archive Extra Storage (SL Add-on)</w:t>
      </w:r>
      <w:bookmarkEnd w:id="1208"/>
      <w:bookmarkEnd w:id="1209"/>
      <w:r w:rsidRPr="003410C7">
        <w:rPr>
          <w:rFonts w:ascii="Tahoma" w:hAnsi="Tahoma" w:cs="Tahoma"/>
          <w:color w:val="F26200"/>
          <w:sz w:val="22"/>
        </w:rPr>
        <w:t xml:space="preserve"> </w:t>
      </w:r>
      <w:bookmarkEnd w:id="1210"/>
    </w:p>
    <w:p w:rsidR="00EC1F23" w:rsidRPr="003410C7" w:rsidRDefault="00EC1F23" w:rsidP="00EC1F23">
      <w:pPr>
        <w:ind w:left="900"/>
      </w:pPr>
    </w:p>
    <w:p w:rsidR="00EC1F23" w:rsidRPr="00451078" w:rsidRDefault="00EC1F23" w:rsidP="0084072C">
      <w:pPr>
        <w:spacing w:after="60"/>
        <w:ind w:left="720"/>
        <w:rPr>
          <w:lang w:val="it-IT"/>
        </w:rPr>
      </w:pPr>
      <w:r w:rsidRPr="00451078">
        <w:rPr>
          <w:rFonts w:eastAsia="Calibri" w:cs="Tahoma"/>
          <w:b/>
          <w:bCs/>
          <w:iCs/>
          <w:color w:val="000000"/>
          <w:lang w:val="it-IT"/>
        </w:rPr>
        <w:t>Concessione di Licenza del 1 Maggio 2011 per Società Exchange Hosted Archive</w:t>
      </w:r>
      <w:r w:rsidRPr="00451078">
        <w:rPr>
          <w:rFonts w:eastAsia="Calibri" w:cs="Tahoma"/>
          <w:b/>
          <w:iCs/>
          <w:color w:val="000000"/>
          <w:lang w:val="it-IT"/>
        </w:rPr>
        <w:t xml:space="preserve"> </w:t>
      </w:r>
    </w:p>
    <w:p w:rsidR="00EC1F23" w:rsidRPr="00451078" w:rsidRDefault="00EC1F23" w:rsidP="00E62BC4">
      <w:pPr>
        <w:ind w:left="720"/>
        <w:rPr>
          <w:lang w:val="it-IT"/>
        </w:rPr>
      </w:pPr>
      <w:r w:rsidRPr="00451078">
        <w:rPr>
          <w:rFonts w:eastAsia="Calibri" w:cs="Tahoma"/>
          <w:iCs/>
          <w:color w:val="000000"/>
          <w:lang w:val="it-IT"/>
        </w:rPr>
        <w:t>Alle società viene concessa un</w:t>
      </w:r>
      <w:r w:rsidR="0073727D">
        <w:rPr>
          <w:rFonts w:eastAsia="Calibri" w:cs="Tahoma"/>
          <w:iCs/>
          <w:color w:val="000000"/>
          <w:lang w:val="it-IT"/>
        </w:rPr>
        <w:t>’</w:t>
      </w:r>
      <w:r w:rsidRPr="00451078">
        <w:rPr>
          <w:rFonts w:eastAsia="Calibri" w:cs="Tahoma"/>
          <w:iCs/>
          <w:color w:val="000000"/>
          <w:lang w:val="it-IT"/>
        </w:rPr>
        <w:t>ulteriore quantità di licenze (</w:t>
      </w:r>
      <w:r w:rsidR="001A3EC5" w:rsidRPr="00451078">
        <w:rPr>
          <w:rFonts w:eastAsia="Calibri" w:cs="Tahoma"/>
          <w:iCs/>
          <w:color w:val="000000"/>
          <w:lang w:val="it-IT"/>
        </w:rPr>
        <w:t>“</w:t>
      </w:r>
      <w:r w:rsidRPr="00451078">
        <w:rPr>
          <w:rFonts w:eastAsia="Calibri" w:cs="Tahoma"/>
          <w:iCs/>
          <w:color w:val="000000"/>
          <w:lang w:val="it-IT"/>
        </w:rPr>
        <w:t>licenze gratuite</w:t>
      </w:r>
      <w:r w:rsidR="001A3EC5" w:rsidRPr="00451078">
        <w:rPr>
          <w:rFonts w:eastAsia="Calibri" w:cs="Tahoma"/>
          <w:iCs/>
          <w:color w:val="000000"/>
          <w:lang w:val="it-IT"/>
        </w:rPr>
        <w:t>”</w:t>
      </w:r>
      <w:r w:rsidRPr="00451078">
        <w:rPr>
          <w:rFonts w:eastAsia="Calibri" w:cs="Tahoma"/>
          <w:iCs/>
          <w:color w:val="000000"/>
          <w:lang w:val="it-IT"/>
        </w:rPr>
        <w:t>) pari al 15% del numero delle</w:t>
      </w:r>
      <w:r w:rsidR="00E82D1F" w:rsidRPr="00451078">
        <w:rPr>
          <w:rFonts w:eastAsia="Calibri" w:cs="Tahoma"/>
          <w:iCs/>
          <w:color w:val="000000"/>
          <w:lang w:val="it-IT"/>
        </w:rPr>
        <w:t> </w:t>
      </w:r>
      <w:r w:rsidRPr="00451078">
        <w:rPr>
          <w:rFonts w:eastAsia="Calibri" w:cs="Tahoma"/>
          <w:iCs/>
          <w:color w:val="000000"/>
          <w:lang w:val="it-IT"/>
        </w:rPr>
        <w:t>licenze Exchange Hosted Archive (EHA) acquistate e attive in data 1 maggio 2011 (</w:t>
      </w:r>
      <w:r w:rsidR="001A3EC5" w:rsidRPr="00451078">
        <w:rPr>
          <w:rFonts w:eastAsia="Calibri" w:cs="Tahoma"/>
          <w:iCs/>
          <w:color w:val="000000"/>
          <w:lang w:val="it-IT"/>
        </w:rPr>
        <w:t>“</w:t>
      </w:r>
      <w:r w:rsidRPr="00451078">
        <w:rPr>
          <w:rFonts w:eastAsia="Calibri" w:cs="Tahoma"/>
          <w:iCs/>
          <w:color w:val="000000"/>
          <w:lang w:val="it-IT"/>
        </w:rPr>
        <w:t>licenze qualificanti</w:t>
      </w:r>
      <w:r w:rsidR="001A3EC5" w:rsidRPr="00451078">
        <w:rPr>
          <w:rFonts w:eastAsia="Calibri" w:cs="Tahoma"/>
          <w:iCs/>
          <w:color w:val="000000"/>
          <w:lang w:val="it-IT"/>
        </w:rPr>
        <w:t>”</w:t>
      </w:r>
      <w:r w:rsidRPr="00451078">
        <w:rPr>
          <w:rFonts w:eastAsia="Calibri" w:cs="Tahoma"/>
          <w:iCs/>
          <w:color w:val="000000"/>
          <w:lang w:val="it-IT"/>
        </w:rPr>
        <w:t>). Fintantoché le licenze qualificanti della società rimangono attive, le licenze gratuite rimarranno valide fino al termine della sottoscrizione che coinciderà con la migrazione della società da EHA a un Servizio Online successivo come specificato nella tabella di migrazione qui sotto. Alle società che desiderano continuare a utilizzare il Servizio Online successivo dopo la scadenza delle loro licenze gratuite verrà richiesto di ordinare un numero di licenze uguale al numero totale degli utenti che eseguiranno l</w:t>
      </w:r>
      <w:r w:rsidR="0073727D">
        <w:rPr>
          <w:rFonts w:eastAsia="Calibri" w:cs="Tahoma"/>
          <w:iCs/>
          <w:color w:val="000000"/>
          <w:lang w:val="it-IT"/>
        </w:rPr>
        <w:t>’</w:t>
      </w:r>
      <w:r w:rsidRPr="00451078">
        <w:rPr>
          <w:rFonts w:eastAsia="Calibri" w:cs="Tahoma"/>
          <w:iCs/>
          <w:color w:val="000000"/>
          <w:lang w:val="it-IT"/>
        </w:rPr>
        <w:t>accesso a</w:t>
      </w:r>
      <w:r w:rsidR="00E82D1F" w:rsidRPr="00451078">
        <w:rPr>
          <w:rFonts w:eastAsia="Calibri" w:cs="Tahoma"/>
          <w:iCs/>
          <w:color w:val="000000"/>
          <w:lang w:val="it-IT"/>
        </w:rPr>
        <w:t> </w:t>
      </w:r>
      <w:r w:rsidRPr="00451078">
        <w:rPr>
          <w:rFonts w:eastAsia="Calibri" w:cs="Tahoma"/>
          <w:iCs/>
          <w:color w:val="000000"/>
          <w:lang w:val="it-IT"/>
        </w:rPr>
        <w:t xml:space="preserve">tale Servizio Online o che lo utilizzeranno. </w:t>
      </w:r>
    </w:p>
    <w:p w:rsidR="00BA1490" w:rsidRPr="00451078" w:rsidRDefault="00BA1490" w:rsidP="0084072C">
      <w:pPr>
        <w:rPr>
          <w:lang w:val="it-IT"/>
        </w:rPr>
      </w:pPr>
    </w:p>
    <w:p w:rsidR="00EA6918" w:rsidRPr="00451078" w:rsidRDefault="00EC1F23" w:rsidP="0084072C">
      <w:pPr>
        <w:spacing w:after="60"/>
        <w:ind w:left="720"/>
        <w:rPr>
          <w:lang w:val="it-IT"/>
        </w:rPr>
      </w:pPr>
      <w:r w:rsidRPr="00451078">
        <w:rPr>
          <w:rFonts w:eastAsia="Calibri" w:cs="Tahoma"/>
          <w:b/>
          <w:bCs/>
          <w:iCs/>
          <w:color w:val="000000"/>
          <w:lang w:val="it-IT"/>
        </w:rPr>
        <w:t>Concessione di Licenza di Migrazione per Società Exchange Hosted Archive</w:t>
      </w:r>
    </w:p>
    <w:p w:rsidR="00EC1F23" w:rsidRPr="00451078" w:rsidRDefault="00EC1F23" w:rsidP="00E62BC4">
      <w:pPr>
        <w:ind w:left="720"/>
        <w:rPr>
          <w:lang w:val="it-IT"/>
        </w:rPr>
      </w:pPr>
      <w:r w:rsidRPr="00451078">
        <w:rPr>
          <w:rFonts w:eastAsia="Calibri" w:cs="Tahoma"/>
          <w:iCs/>
          <w:color w:val="000000"/>
          <w:lang w:val="it-IT"/>
        </w:rPr>
        <w:t xml:space="preserve">Alle società EHA che eseguono la migrazione ai Servizi Online successivi verrà concesso un numero totale di licenze sostitutive per i Servizi Online successivi uguale al numero totale di licenze EHA qualificanti e gratuite di cui dispongono, mostrate nella tabella seguente. Tali licenze sostitutive scadranno al termine del periodo di validità della sottoscrizione coincidente con la migrazione della società da EHA ai Servizi Online successivi. </w:t>
      </w:r>
    </w:p>
    <w:p w:rsidR="00EC1F23" w:rsidRPr="00451078" w:rsidRDefault="00EC1F23" w:rsidP="00E62BC4">
      <w:pPr>
        <w:ind w:left="720"/>
        <w:rPr>
          <w:lang w:val="it-IT"/>
        </w:rPr>
      </w:pPr>
    </w:p>
    <w:p w:rsidR="002512D3" w:rsidRPr="00451078" w:rsidRDefault="00EC1F23" w:rsidP="003165D6">
      <w:pPr>
        <w:ind w:left="720"/>
        <w:rPr>
          <w:lang w:val="it-IT"/>
        </w:rPr>
      </w:pPr>
      <w:r w:rsidRPr="00451078">
        <w:rPr>
          <w:rFonts w:eastAsia="Calibri" w:cs="Tahoma"/>
          <w:iCs/>
          <w:color w:val="000000"/>
          <w:lang w:val="it-IT"/>
        </w:rPr>
        <w:t>Le SL per Utente per Exchange Online Piano 2 concesse ai sensi di questa offerta di migrazione devono essere cedute all</w:t>
      </w:r>
      <w:r w:rsidR="0073727D">
        <w:rPr>
          <w:rFonts w:eastAsia="Calibri" w:cs="Tahoma"/>
          <w:iCs/>
          <w:color w:val="000000"/>
          <w:lang w:val="it-IT"/>
        </w:rPr>
        <w:t>’</w:t>
      </w:r>
      <w:r w:rsidRPr="00451078">
        <w:rPr>
          <w:rFonts w:eastAsia="Calibri" w:cs="Tahoma"/>
          <w:iCs/>
          <w:color w:val="000000"/>
          <w:lang w:val="it-IT"/>
        </w:rPr>
        <w:t>utente al quale è ceduta la corrispondente SL per Utente per Exchange Online Standard, Exchange Online Piano 2, BPOS Standard, Office 365 Enterprise E1, BPOS Deskless, Exchange Online Deskless o Chiosco Exchange Online. Se la SL per Utente corrispondente viene riassegnata a un nuovo utente, anche Exchange Online Piano 2 dovrà essere riassegnata allo stesso nuovo utente. </w:t>
      </w:r>
    </w:p>
    <w:p w:rsidR="00EC1F23" w:rsidRPr="00451078" w:rsidRDefault="00EC1F23" w:rsidP="00EC1F23">
      <w:pPr>
        <w:rPr>
          <w:lang w:val="it-IT"/>
        </w:rPr>
      </w:pPr>
    </w:p>
    <w:p w:rsidR="00E82D1F" w:rsidRPr="00451078" w:rsidRDefault="00E82D1F" w:rsidP="00EC1F23">
      <w:pPr>
        <w:rPr>
          <w:lang w:val="it-IT"/>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960"/>
        <w:gridCol w:w="3780"/>
      </w:tblGrid>
      <w:tr w:rsidR="00EC1F23" w:rsidRPr="00DC1102" w:rsidTr="00C066F9">
        <w:trPr>
          <w:jc w:val="center"/>
        </w:trPr>
        <w:tc>
          <w:tcPr>
            <w:tcW w:w="7740" w:type="dxa"/>
            <w:gridSpan w:val="2"/>
            <w:shd w:val="clear" w:color="auto" w:fill="FABF8F"/>
          </w:tcPr>
          <w:p w:rsidR="00EC1F23" w:rsidRPr="00451078" w:rsidRDefault="00EC1F23" w:rsidP="00022FBE">
            <w:pPr>
              <w:jc w:val="center"/>
              <w:rPr>
                <w:rFonts w:eastAsia="Calibri" w:cs="Tahoma"/>
                <w:b/>
                <w:iCs/>
                <w:color w:val="000000"/>
                <w:lang w:val="it-IT"/>
              </w:rPr>
            </w:pPr>
            <w:r w:rsidRPr="00451078">
              <w:rPr>
                <w:rFonts w:eastAsia="Calibri" w:cs="Tahoma"/>
                <w:b/>
                <w:iCs/>
                <w:color w:val="000000"/>
                <w:lang w:val="it-IT"/>
              </w:rPr>
              <w:t>Concessione della Licenza di Migrazione</w:t>
            </w:r>
          </w:p>
        </w:tc>
      </w:tr>
      <w:tr w:rsidR="00EC1F23" w:rsidRPr="003410C7" w:rsidTr="00C066F9">
        <w:trPr>
          <w:jc w:val="center"/>
        </w:trPr>
        <w:tc>
          <w:tcPr>
            <w:tcW w:w="3960" w:type="dxa"/>
            <w:shd w:val="clear" w:color="auto" w:fill="auto"/>
          </w:tcPr>
          <w:p w:rsidR="00EC1F23" w:rsidRPr="003410C7" w:rsidRDefault="00EC1F23" w:rsidP="00022FBE">
            <w:pPr>
              <w:jc w:val="center"/>
              <w:rPr>
                <w:rFonts w:eastAsia="Calibri" w:cs="Tahoma"/>
                <w:iCs/>
                <w:color w:val="000000"/>
              </w:rPr>
            </w:pPr>
            <w:r w:rsidRPr="003410C7">
              <w:rPr>
                <w:rFonts w:eastAsia="Calibri" w:cs="Tahoma"/>
                <w:iCs/>
                <w:color w:val="000000"/>
              </w:rPr>
              <w:t>Posizione della licenza qualificante</w:t>
            </w:r>
          </w:p>
        </w:tc>
        <w:tc>
          <w:tcPr>
            <w:tcW w:w="3780" w:type="dxa"/>
            <w:shd w:val="clear" w:color="auto" w:fill="auto"/>
          </w:tcPr>
          <w:p w:rsidR="00EC1F23" w:rsidRPr="003410C7" w:rsidRDefault="00EC1F23" w:rsidP="00022FBE">
            <w:pPr>
              <w:jc w:val="center"/>
              <w:rPr>
                <w:rFonts w:eastAsia="Calibri" w:cs="Tahoma"/>
                <w:iCs/>
                <w:color w:val="000000"/>
              </w:rPr>
            </w:pPr>
            <w:r w:rsidRPr="003410C7">
              <w:rPr>
                <w:rFonts w:eastAsia="Calibri" w:cs="Tahoma"/>
                <w:iCs/>
                <w:color w:val="000000"/>
              </w:rPr>
              <w:t>Concessione di Licenza</w:t>
            </w:r>
          </w:p>
        </w:tc>
      </w:tr>
      <w:tr w:rsidR="00EC1F23" w:rsidRPr="00DC1102" w:rsidTr="00C066F9">
        <w:trPr>
          <w:jc w:val="center"/>
        </w:trPr>
        <w:tc>
          <w:tcPr>
            <w:tcW w:w="3960" w:type="dxa"/>
            <w:shd w:val="clear" w:color="auto" w:fill="auto"/>
          </w:tcPr>
          <w:p w:rsidR="00EE53FF" w:rsidRPr="00451078" w:rsidRDefault="00EE53FF" w:rsidP="001051D1">
            <w:pPr>
              <w:spacing w:before="60" w:after="60"/>
              <w:ind w:left="158" w:right="346"/>
              <w:rPr>
                <w:lang w:val="it-IT"/>
              </w:rPr>
            </w:pPr>
            <w:r w:rsidRPr="00451078">
              <w:rPr>
                <w:rFonts w:eastAsia="Calibri" w:cs="Tahoma"/>
                <w:iCs/>
                <w:color w:val="000000"/>
                <w:lang w:val="it-IT"/>
              </w:rPr>
              <w:t>SL per Utente per EHA (utilizzato insieme a una CAL per Exchange on-premise)</w:t>
            </w:r>
          </w:p>
          <w:p w:rsidR="00EC1F23" w:rsidRPr="00451078" w:rsidRDefault="00EC1F23" w:rsidP="001051D1">
            <w:pPr>
              <w:spacing w:before="60" w:after="60"/>
              <w:ind w:left="158" w:right="346"/>
              <w:rPr>
                <w:lang w:val="it-IT"/>
              </w:rPr>
            </w:pPr>
            <w:r w:rsidRPr="00451078">
              <w:rPr>
                <w:rFonts w:eastAsia="Calibri" w:cs="Tahoma"/>
                <w:iCs/>
                <w:color w:val="000000"/>
                <w:lang w:val="it-IT"/>
              </w:rPr>
              <w:t>SL per Utente per EHA (utilizzata insieme a SL per Utente per Exchange Online Standard, Exchange Online Plan</w:t>
            </w:r>
          </w:p>
          <w:p w:rsidR="00EC1F23" w:rsidRPr="00451078" w:rsidRDefault="00EC1F23" w:rsidP="00E82D1F">
            <w:pPr>
              <w:spacing w:before="60" w:after="60"/>
              <w:ind w:left="158" w:right="346"/>
              <w:rPr>
                <w:rFonts w:eastAsia="Calibri" w:cs="Tahoma"/>
                <w:iCs/>
                <w:color w:val="000000"/>
                <w:lang w:val="it-IT"/>
              </w:rPr>
            </w:pPr>
            <w:r w:rsidRPr="00451078">
              <w:rPr>
                <w:rFonts w:eastAsia="Calibri" w:cs="Tahoma"/>
                <w:iCs/>
                <w:color w:val="000000"/>
                <w:lang w:val="it-IT"/>
              </w:rPr>
              <w:t>2, BPOS Standard, Office 365 E1, BPOS Deskless, Exchange Online Deskless o</w:t>
            </w:r>
            <w:r w:rsidR="00E82D1F" w:rsidRPr="00451078">
              <w:rPr>
                <w:rFonts w:eastAsia="Calibri" w:cs="Tahoma"/>
                <w:iCs/>
                <w:color w:val="000000"/>
                <w:lang w:val="it-IT"/>
              </w:rPr>
              <w:t> </w:t>
            </w:r>
            <w:r w:rsidRPr="00451078">
              <w:rPr>
                <w:rFonts w:eastAsia="Calibri" w:cs="Tahoma"/>
                <w:iCs/>
                <w:color w:val="000000"/>
                <w:lang w:val="it-IT"/>
              </w:rPr>
              <w:t>Chiosco Exchange Online)</w:t>
            </w:r>
          </w:p>
        </w:tc>
        <w:tc>
          <w:tcPr>
            <w:tcW w:w="3780" w:type="dxa"/>
            <w:shd w:val="clear" w:color="auto" w:fill="auto"/>
          </w:tcPr>
          <w:p w:rsidR="00EC1F23" w:rsidRPr="00451078" w:rsidRDefault="00EC1F23" w:rsidP="00745AB3">
            <w:pPr>
              <w:numPr>
                <w:ilvl w:val="0"/>
                <w:numId w:val="46"/>
              </w:numPr>
              <w:spacing w:before="60" w:after="60"/>
              <w:ind w:right="342"/>
              <w:rPr>
                <w:rFonts w:eastAsia="Calibri" w:cs="Tahoma"/>
                <w:iCs/>
                <w:color w:val="000000"/>
                <w:lang w:val="it-IT"/>
              </w:rPr>
            </w:pPr>
            <w:r w:rsidRPr="00451078">
              <w:rPr>
                <w:rFonts w:eastAsia="Calibri" w:cs="Tahoma"/>
                <w:iCs/>
                <w:color w:val="000000"/>
                <w:lang w:val="it-IT"/>
              </w:rPr>
              <w:t>SL per Utente per Exchange Online Piano 2</w:t>
            </w:r>
          </w:p>
        </w:tc>
      </w:tr>
    </w:tbl>
    <w:p w:rsidR="00DD39C7" w:rsidRPr="00451078" w:rsidRDefault="00DD39C7" w:rsidP="0084072C">
      <w:pPr>
        <w:rPr>
          <w:lang w:val="it-IT"/>
        </w:rPr>
      </w:pPr>
    </w:p>
    <w:p w:rsidR="00DD39C7" w:rsidRPr="00451078" w:rsidRDefault="00DD39C7" w:rsidP="0084072C">
      <w:pPr>
        <w:spacing w:after="60"/>
        <w:ind w:left="720"/>
        <w:rPr>
          <w:lang w:val="it-IT"/>
        </w:rPr>
      </w:pPr>
      <w:r w:rsidRPr="00451078">
        <w:rPr>
          <w:b/>
          <w:color w:val="000000"/>
          <w:lang w:val="it-IT"/>
        </w:rPr>
        <w:t>L</w:t>
      </w:r>
      <w:r w:rsidR="0073727D">
        <w:rPr>
          <w:b/>
          <w:color w:val="000000"/>
          <w:lang w:val="it-IT"/>
        </w:rPr>
        <w:t>’</w:t>
      </w:r>
      <w:r w:rsidRPr="00451078">
        <w:rPr>
          <w:b/>
          <w:color w:val="000000"/>
          <w:lang w:val="it-IT"/>
        </w:rPr>
        <w:t>Utilizzo Continuativo di Exchange Hosted Archive (EHA) con Sottoscrizioni Attive di Business Productivity Online Subscription (BPOS) e di Exchange Online Standard</w:t>
      </w:r>
    </w:p>
    <w:p w:rsidR="00DD39C7" w:rsidRPr="00451078" w:rsidRDefault="00DD39C7" w:rsidP="00DD39C7">
      <w:pPr>
        <w:ind w:left="720"/>
        <w:rPr>
          <w:lang w:val="it-IT"/>
        </w:rPr>
      </w:pPr>
      <w:r w:rsidRPr="00451078">
        <w:rPr>
          <w:iCs/>
          <w:color w:val="000000"/>
          <w:lang w:val="it-IT"/>
        </w:rPr>
        <w:t>Le società con sottoscrizioni EHA in scadenza che non hanno ancora effettuato la migrazione a Office 365 e</w:t>
      </w:r>
      <w:r w:rsidR="00E82D1F" w:rsidRPr="00451078">
        <w:rPr>
          <w:iCs/>
          <w:color w:val="000000"/>
          <w:lang w:val="it-IT"/>
        </w:rPr>
        <w:t> </w:t>
      </w:r>
      <w:r w:rsidRPr="00451078">
        <w:rPr>
          <w:iCs/>
          <w:color w:val="000000"/>
          <w:lang w:val="it-IT"/>
        </w:rPr>
        <w:t xml:space="preserve">sono attualmente implementate su BPOS o Exchange Online Standard potranno continuare a utilizzare </w:t>
      </w:r>
      <w:r w:rsidRPr="00451078">
        <w:rPr>
          <w:iCs/>
          <w:color w:val="000000"/>
          <w:lang w:val="it-IT"/>
        </w:rPr>
        <w:lastRenderedPageBreak/>
        <w:t>EHA dopo la scadenza della loro sottoscrizione e fino (i) alla migrazione a Office 365 o (ii) alla scadenza della loro sottoscrizione di BPOS o Exchange Online Standard.</w:t>
      </w:r>
      <w:r w:rsidR="00082E1C" w:rsidRPr="00451078">
        <w:rPr>
          <w:iCs/>
          <w:color w:val="000000"/>
          <w:lang w:val="it-IT"/>
        </w:rPr>
        <w:t xml:space="preserve"> </w:t>
      </w:r>
      <w:r w:rsidRPr="00451078">
        <w:rPr>
          <w:iCs/>
          <w:color w:val="000000"/>
          <w:lang w:val="it-IT"/>
        </w:rPr>
        <w:t>L</w:t>
      </w:r>
      <w:r w:rsidR="0073727D">
        <w:rPr>
          <w:iCs/>
          <w:color w:val="000000"/>
          <w:lang w:val="it-IT"/>
        </w:rPr>
        <w:t>’</w:t>
      </w:r>
      <w:r w:rsidRPr="00451078">
        <w:rPr>
          <w:iCs/>
          <w:color w:val="000000"/>
          <w:lang w:val="it-IT"/>
        </w:rPr>
        <w:t>utilizzo di EHA da parte delle società ai sensi della presente offerta è soggetto alle condizioni del Contratto Multilicenza e alle condizioni di licenza EHA presenti nei Diritti di Utilizzo del Prodotto del mese di gennaio 2011. Le società saranno ritenute titolari di</w:t>
      </w:r>
      <w:r w:rsidR="00E82D1F" w:rsidRPr="00451078">
        <w:rPr>
          <w:iCs/>
          <w:color w:val="000000"/>
          <w:lang w:val="it-IT"/>
        </w:rPr>
        <w:t> </w:t>
      </w:r>
      <w:r w:rsidRPr="00451078">
        <w:rPr>
          <w:iCs/>
          <w:color w:val="000000"/>
          <w:lang w:val="it-IT"/>
        </w:rPr>
        <w:t xml:space="preserve">una licenza </w:t>
      </w:r>
      <w:r w:rsidR="001A3EC5" w:rsidRPr="00451078">
        <w:rPr>
          <w:iCs/>
          <w:color w:val="000000"/>
          <w:lang w:val="it-IT"/>
        </w:rPr>
        <w:t>“</w:t>
      </w:r>
      <w:r w:rsidRPr="00451078">
        <w:rPr>
          <w:iCs/>
          <w:color w:val="000000"/>
          <w:lang w:val="it-IT"/>
        </w:rPr>
        <w:t>Subscription</w:t>
      </w:r>
      <w:r w:rsidR="001A3EC5" w:rsidRPr="00451078">
        <w:rPr>
          <w:iCs/>
          <w:color w:val="000000"/>
          <w:lang w:val="it-IT"/>
        </w:rPr>
        <w:t>”</w:t>
      </w:r>
      <w:r w:rsidRPr="00451078">
        <w:rPr>
          <w:iCs/>
          <w:color w:val="000000"/>
          <w:lang w:val="it-IT"/>
        </w:rPr>
        <w:t xml:space="preserve"> per utente o dispositivo EHA temporanea per ciascuna delle loro licenze </w:t>
      </w:r>
      <w:r w:rsidR="001A3EC5" w:rsidRPr="00451078">
        <w:rPr>
          <w:iCs/>
          <w:color w:val="000000"/>
          <w:lang w:val="it-IT"/>
        </w:rPr>
        <w:t>“</w:t>
      </w:r>
      <w:r w:rsidRPr="00451078">
        <w:rPr>
          <w:iCs/>
          <w:color w:val="000000"/>
          <w:lang w:val="it-IT"/>
        </w:rPr>
        <w:t>Subscription</w:t>
      </w:r>
      <w:r w:rsidR="001A3EC5" w:rsidRPr="00451078">
        <w:rPr>
          <w:iCs/>
          <w:color w:val="000000"/>
          <w:lang w:val="it-IT"/>
        </w:rPr>
        <w:t>”</w:t>
      </w:r>
      <w:r w:rsidRPr="00451078">
        <w:rPr>
          <w:iCs/>
          <w:color w:val="000000"/>
          <w:lang w:val="it-IT"/>
        </w:rPr>
        <w:t xml:space="preserve"> per utente o dispositivo EHA in scadenza. Tali licenze </w:t>
      </w:r>
      <w:r w:rsidR="001A3EC5" w:rsidRPr="00451078">
        <w:rPr>
          <w:iCs/>
          <w:color w:val="000000"/>
          <w:lang w:val="it-IT"/>
        </w:rPr>
        <w:t>“</w:t>
      </w:r>
      <w:r w:rsidRPr="00451078">
        <w:rPr>
          <w:iCs/>
          <w:color w:val="000000"/>
          <w:lang w:val="it-IT"/>
        </w:rPr>
        <w:t>Subscription</w:t>
      </w:r>
      <w:r w:rsidR="001A3EC5" w:rsidRPr="00451078">
        <w:rPr>
          <w:iCs/>
          <w:color w:val="000000"/>
          <w:lang w:val="it-IT"/>
        </w:rPr>
        <w:t>”</w:t>
      </w:r>
      <w:r w:rsidRPr="00451078">
        <w:rPr>
          <w:iCs/>
          <w:color w:val="000000"/>
          <w:lang w:val="it-IT"/>
        </w:rPr>
        <w:t xml:space="preserve"> per utente o dispositivo EHA temporanee potranno essere cedute solo agli utenti e ai dispositivi ai quali vengono cedute licenze per BPOS o Exchange Online Standard.</w:t>
      </w:r>
      <w:r w:rsidR="00082E1C" w:rsidRPr="00451078">
        <w:rPr>
          <w:iCs/>
          <w:color w:val="000000"/>
          <w:lang w:val="it-IT"/>
        </w:rPr>
        <w:t xml:space="preserve"> </w:t>
      </w:r>
      <w:r w:rsidRPr="00451078">
        <w:rPr>
          <w:iCs/>
          <w:color w:val="000000"/>
          <w:lang w:val="it-IT"/>
        </w:rPr>
        <w:t>EHA viene concesso in licenza com</w:t>
      </w:r>
      <w:r w:rsidR="0073727D">
        <w:rPr>
          <w:iCs/>
          <w:color w:val="000000"/>
          <w:lang w:val="it-IT"/>
        </w:rPr>
        <w:t>’</w:t>
      </w:r>
      <w:r w:rsidRPr="00451078">
        <w:rPr>
          <w:iCs/>
          <w:color w:val="000000"/>
          <w:lang w:val="it-IT"/>
        </w:rPr>
        <w:t>è, senza alcun tipo di garanzia.</w:t>
      </w:r>
      <w:r w:rsidR="00082E1C" w:rsidRPr="00451078">
        <w:rPr>
          <w:iCs/>
          <w:color w:val="000000"/>
          <w:lang w:val="it-IT"/>
        </w:rPr>
        <w:t xml:space="preserve"> </w:t>
      </w:r>
    </w:p>
    <w:p w:rsidR="00DD39C7" w:rsidRPr="00451078" w:rsidRDefault="00DD39C7" w:rsidP="00DD39C7">
      <w:pPr>
        <w:ind w:left="720"/>
        <w:rPr>
          <w:lang w:val="it-IT"/>
        </w:rPr>
      </w:pPr>
    </w:p>
    <w:p w:rsidR="00827D38" w:rsidRPr="00451078" w:rsidRDefault="00B26237" w:rsidP="00B52F10">
      <w:pPr>
        <w:pStyle w:val="Heading2"/>
        <w:ind w:left="0"/>
        <w:rPr>
          <w:lang w:val="sv-SE"/>
        </w:rPr>
      </w:pPr>
      <w:bookmarkStart w:id="1211" w:name="_46_Exchange_Hosted"/>
      <w:bookmarkStart w:id="1212" w:name="_Toc336338307"/>
      <w:bookmarkStart w:id="1213" w:name="_Toc352234899"/>
      <w:bookmarkStart w:id="1214" w:name="Srv_39ExchangeOnDeskWork"/>
      <w:bookmarkEnd w:id="1211"/>
      <w:r w:rsidRPr="00451078">
        <w:rPr>
          <w:rFonts w:ascii="Tahoma" w:hAnsi="Tahoma" w:cs="Tahoma"/>
          <w:color w:val="E25B00"/>
          <w:sz w:val="22"/>
          <w:szCs w:val="22"/>
          <w:vertAlign w:val="superscript"/>
          <w:lang w:val="sv-SE"/>
        </w:rPr>
        <w:t>46</w:t>
      </w:r>
      <w:r w:rsidRPr="00451078">
        <w:rPr>
          <w:rFonts w:ascii="Tahoma" w:hAnsi="Tahoma" w:cs="Tahoma"/>
          <w:color w:val="EE6000"/>
          <w:sz w:val="22"/>
          <w:szCs w:val="22"/>
          <w:lang w:val="sv-SE"/>
        </w:rPr>
        <w:t xml:space="preserve"> </w:t>
      </w:r>
      <w:r w:rsidRPr="00451078">
        <w:rPr>
          <w:rFonts w:ascii="Tahoma" w:hAnsi="Tahoma" w:cs="Tahoma"/>
          <w:color w:val="F66400"/>
          <w:sz w:val="22"/>
          <w:szCs w:val="22"/>
          <w:lang w:val="sv-SE"/>
        </w:rPr>
        <w:t>Exchange Hosted Encryption (SL per Utente)</w:t>
      </w:r>
      <w:bookmarkEnd w:id="1212"/>
      <w:bookmarkEnd w:id="1213"/>
    </w:p>
    <w:p w:rsidR="00827D38" w:rsidRPr="00451078" w:rsidRDefault="00827D38" w:rsidP="00827D38">
      <w:pPr>
        <w:ind w:left="900"/>
        <w:rPr>
          <w:lang w:val="sv-SE"/>
        </w:rPr>
      </w:pPr>
    </w:p>
    <w:p w:rsidR="00827D38" w:rsidRPr="00451078" w:rsidRDefault="00827D38" w:rsidP="00E62BC4">
      <w:pPr>
        <w:ind w:left="720"/>
        <w:rPr>
          <w:lang w:val="it-IT"/>
        </w:rPr>
      </w:pPr>
      <w:r w:rsidRPr="00451078">
        <w:rPr>
          <w:lang w:val="it-IT"/>
        </w:rPr>
        <w:t>Le società dovrebbero utilizzare la stessa iscrizione del contratto Select attivo, l</w:t>
      </w:r>
      <w:r w:rsidR="0073727D">
        <w:rPr>
          <w:lang w:val="it-IT"/>
        </w:rPr>
        <w:t>’</w:t>
      </w:r>
      <w:r w:rsidRPr="00451078">
        <w:rPr>
          <w:lang w:val="it-IT"/>
        </w:rPr>
        <w:t>iscrizione del contratto Enterprise o il contratto Open Value per effettuare ordini successivamente all</w:t>
      </w:r>
      <w:r w:rsidR="0073727D">
        <w:rPr>
          <w:lang w:val="it-IT"/>
        </w:rPr>
        <w:t>’</w:t>
      </w:r>
      <w:r w:rsidRPr="00451078">
        <w:rPr>
          <w:lang w:val="it-IT"/>
        </w:rPr>
        <w:t>ordine iniziale.</w:t>
      </w:r>
    </w:p>
    <w:p w:rsidR="00827D38" w:rsidRPr="00451078" w:rsidRDefault="00827D38" w:rsidP="00E62BC4">
      <w:pPr>
        <w:ind w:left="720"/>
        <w:rPr>
          <w:lang w:val="it-IT"/>
        </w:rPr>
      </w:pPr>
    </w:p>
    <w:p w:rsidR="00023FE7" w:rsidRPr="00451078" w:rsidRDefault="00827D38" w:rsidP="00626D4E">
      <w:pPr>
        <w:ind w:left="720"/>
        <w:rPr>
          <w:lang w:val="it-IT"/>
        </w:rPr>
      </w:pPr>
      <w:r w:rsidRPr="00451078">
        <w:rPr>
          <w:lang w:val="it-IT"/>
        </w:rPr>
        <w:t>Fare riferimento all</w:t>
      </w:r>
      <w:r w:rsidR="0073727D">
        <w:rPr>
          <w:lang w:val="it-IT"/>
        </w:rPr>
        <w:t>’</w:t>
      </w:r>
      <w:hyperlink w:anchor="_Articolo_5_-_1" w:history="1">
        <w:r w:rsidR="00626D4E" w:rsidRPr="00451078">
          <w:rPr>
            <w:rStyle w:val="Hyperlink"/>
            <w:lang w:val="it-IT"/>
          </w:rPr>
          <w:t>Articolo 5</w:t>
        </w:r>
      </w:hyperlink>
      <w:r w:rsidRPr="00451078">
        <w:rPr>
          <w:lang w:val="it-IT"/>
        </w:rPr>
        <w:t xml:space="preserve"> per i prezzi dei servizi online e le condizioni di pagamento.</w:t>
      </w:r>
    </w:p>
    <w:p w:rsidR="00827D38" w:rsidRPr="00451078" w:rsidRDefault="00827D38" w:rsidP="00827D38">
      <w:pPr>
        <w:ind w:left="900"/>
        <w:rPr>
          <w:lang w:val="it-IT"/>
        </w:rPr>
      </w:pPr>
    </w:p>
    <w:p w:rsidR="00827D38" w:rsidRPr="00451078" w:rsidRDefault="00827D38" w:rsidP="00827D38">
      <w:pPr>
        <w:ind w:left="900"/>
        <w:rPr>
          <w:lang w:val="it-IT"/>
        </w:rPr>
      </w:pPr>
    </w:p>
    <w:p w:rsidR="00023FE7" w:rsidRPr="00451078" w:rsidRDefault="0095763C">
      <w:pPr>
        <w:pStyle w:val="Heading3"/>
        <w:rPr>
          <w:lang w:val="it-IT"/>
        </w:rPr>
      </w:pPr>
      <w:bookmarkStart w:id="1215" w:name="_Toc336338308"/>
      <w:bookmarkStart w:id="1216" w:name="_Toc352234900"/>
      <w:bookmarkStart w:id="1217" w:name="Srv_40ExchangeOnDeskWork"/>
      <w:bookmarkStart w:id="1218" w:name="Srv_45ExchangeOnDeskWork"/>
      <w:r w:rsidRPr="00451078">
        <w:rPr>
          <w:rFonts w:ascii="Tahoma" w:hAnsi="Tahoma"/>
          <w:caps/>
          <w:color w:val="F66400"/>
          <w:sz w:val="22"/>
          <w:vertAlign w:val="superscript"/>
          <w:lang w:val="it-IT"/>
        </w:rPr>
        <w:t>47</w:t>
      </w:r>
      <w:r w:rsidRPr="00451078">
        <w:rPr>
          <w:rFonts w:ascii="Tahoma" w:hAnsi="Tahoma"/>
          <w:color w:val="F66400"/>
          <w:sz w:val="22"/>
          <w:lang w:val="it-IT"/>
        </w:rPr>
        <w:t xml:space="preserve"> Exchange Online Kiosk (SL per Utente)</w:t>
      </w:r>
      <w:bookmarkEnd w:id="1215"/>
      <w:bookmarkEnd w:id="1216"/>
    </w:p>
    <w:bookmarkEnd w:id="1214"/>
    <w:bookmarkEnd w:id="1217"/>
    <w:bookmarkEnd w:id="1218"/>
    <w:p w:rsidR="00023FE7" w:rsidRPr="00451078" w:rsidRDefault="00023FE7">
      <w:pPr>
        <w:pStyle w:val="EndnoteText"/>
        <w:rPr>
          <w:lang w:val="it-IT"/>
        </w:rPr>
      </w:pPr>
    </w:p>
    <w:p w:rsidR="00040ADC" w:rsidRPr="00451078" w:rsidRDefault="00040ADC" w:rsidP="00E62BC4">
      <w:pPr>
        <w:ind w:left="720"/>
        <w:rPr>
          <w:lang w:val="it-IT"/>
        </w:rPr>
      </w:pPr>
      <w:r w:rsidRPr="00451078">
        <w:rPr>
          <w:rFonts w:cs="Tahoma"/>
          <w:color w:val="000000"/>
          <w:szCs w:val="18"/>
          <w:lang w:val="it-IT"/>
        </w:rPr>
        <w:t>Nonostante quanto diversamente stabilito nei contratti di licenza delle società, gli utenti qualificati non includono gli utenti titolari di licenza Chiosco Exchange Online.</w:t>
      </w:r>
    </w:p>
    <w:p w:rsidR="00040ADC" w:rsidRPr="00451078" w:rsidRDefault="00040ADC" w:rsidP="00E62BC4">
      <w:pPr>
        <w:ind w:left="720"/>
        <w:rPr>
          <w:lang w:val="it-IT"/>
        </w:rPr>
      </w:pPr>
    </w:p>
    <w:p w:rsidR="00040ADC" w:rsidRPr="00451078" w:rsidRDefault="00040ADC" w:rsidP="00E62BC4">
      <w:pPr>
        <w:ind w:left="720"/>
        <w:rPr>
          <w:lang w:val="it-IT"/>
        </w:rPr>
      </w:pPr>
      <w:r w:rsidRPr="00451078">
        <w:rPr>
          <w:rFonts w:cs="Tahoma"/>
          <w:color w:val="000000"/>
          <w:szCs w:val="18"/>
          <w:lang w:val="it-IT"/>
        </w:rPr>
        <w:t>Il Chiosco Exchange Online era precedentemente noto come Exchange Online Deskless Worker.</w:t>
      </w:r>
    </w:p>
    <w:p w:rsidR="00352135" w:rsidRPr="00451078" w:rsidRDefault="00352135" w:rsidP="00E62BC4">
      <w:pPr>
        <w:ind w:left="720"/>
        <w:rPr>
          <w:lang w:val="it-IT"/>
        </w:rPr>
      </w:pPr>
    </w:p>
    <w:p w:rsidR="00A84CD1" w:rsidRDefault="00A84CD1" w:rsidP="00AF3B19">
      <w:pPr>
        <w:spacing w:after="60"/>
        <w:ind w:left="720"/>
        <w:rPr>
          <w:rFonts w:eastAsia="Calibri" w:cs="Tahoma"/>
          <w:b/>
          <w:color w:val="000000"/>
          <w:szCs w:val="18"/>
          <w:lang w:val="it-IT"/>
        </w:rPr>
      </w:pPr>
    </w:p>
    <w:p w:rsidR="00702931" w:rsidRPr="00451078" w:rsidRDefault="00702931" w:rsidP="00AF3B19">
      <w:pPr>
        <w:spacing w:after="60"/>
        <w:ind w:left="720"/>
        <w:rPr>
          <w:lang w:val="it-IT"/>
        </w:rPr>
      </w:pPr>
      <w:r w:rsidRPr="00451078">
        <w:rPr>
          <w:rFonts w:eastAsia="Calibri" w:cs="Tahoma"/>
          <w:b/>
          <w:color w:val="000000"/>
          <w:szCs w:val="18"/>
          <w:lang w:val="it-IT"/>
        </w:rPr>
        <w:t>Community Cloud per Enti Pubblici (solo Stati Uniti)</w:t>
      </w:r>
    </w:p>
    <w:p w:rsidR="00702931" w:rsidRPr="00451078" w:rsidRDefault="00702931" w:rsidP="00E62BC4">
      <w:pPr>
        <w:ind w:left="720"/>
        <w:rPr>
          <w:lang w:val="it-IT"/>
        </w:rPr>
      </w:pPr>
      <w:r w:rsidRPr="00451078">
        <w:rPr>
          <w:rFonts w:eastAsia="Calibri" w:cs="Tahoma"/>
          <w:color w:val="000000"/>
          <w:szCs w:val="18"/>
          <w:lang w:val="it-IT"/>
        </w:rPr>
        <w:t>Alcuni servizi online della famiglia di prodotti Office 365 (incluso Chiosco Exchange Online) sono offerti come</w:t>
      </w:r>
      <w:r w:rsidR="00E82D1F" w:rsidRPr="00451078">
        <w:rPr>
          <w:rFonts w:eastAsia="Calibri" w:cs="Tahoma"/>
          <w:color w:val="000000"/>
          <w:szCs w:val="18"/>
          <w:lang w:val="it-IT"/>
        </w:rPr>
        <w:t> </w:t>
      </w:r>
      <w:r w:rsidRPr="00451078">
        <w:rPr>
          <w:rFonts w:eastAsia="Calibri" w:cs="Tahoma"/>
          <w:color w:val="000000"/>
          <w:szCs w:val="18"/>
          <w:lang w:val="it-IT"/>
        </w:rPr>
        <w:t>servizi di community cloud per enti pubblici e come servizi di community cloud per enti non pubblici.</w:t>
      </w:r>
      <w:r w:rsidR="00082E1C" w:rsidRPr="00451078">
        <w:rPr>
          <w:rFonts w:eastAsia="Calibri" w:cs="Tahoma"/>
          <w:color w:val="000000"/>
          <w:szCs w:val="18"/>
          <w:lang w:val="it-IT"/>
        </w:rPr>
        <w:t xml:space="preserve"> </w:t>
      </w:r>
      <w:r w:rsidRPr="00451078">
        <w:rPr>
          <w:rFonts w:eastAsia="Calibri" w:cs="Tahoma"/>
          <w:color w:val="000000"/>
          <w:szCs w:val="18"/>
          <w:lang w:val="it-IT"/>
        </w:rPr>
        <w:t>Alle</w:t>
      </w:r>
      <w:r w:rsidR="00E82D1F" w:rsidRPr="00451078">
        <w:rPr>
          <w:rFonts w:eastAsia="Calibri" w:cs="Tahoma"/>
          <w:color w:val="000000"/>
          <w:szCs w:val="18"/>
          <w:lang w:val="it-IT"/>
        </w:rPr>
        <w:t> </w:t>
      </w:r>
      <w:r w:rsidRPr="00451078">
        <w:rPr>
          <w:rFonts w:eastAsia="Calibri" w:cs="Tahoma"/>
          <w:color w:val="000000"/>
          <w:szCs w:val="18"/>
          <w:lang w:val="it-IT"/>
        </w:rPr>
        <w:t>società potrà essere effettuato il provisioning come ente pubblico o non pubblico, ma non come una combinazione di entrambi.</w:t>
      </w:r>
      <w:r w:rsidR="00082E1C" w:rsidRPr="00451078">
        <w:rPr>
          <w:rFonts w:eastAsia="Calibri" w:cs="Tahoma"/>
          <w:color w:val="000000"/>
          <w:szCs w:val="18"/>
          <w:lang w:val="it-IT"/>
        </w:rPr>
        <w:t xml:space="preserve"> </w:t>
      </w:r>
      <w:r w:rsidRPr="00451078">
        <w:rPr>
          <w:rFonts w:eastAsia="Calibri" w:cs="Tahoma"/>
          <w:color w:val="000000"/>
          <w:szCs w:val="18"/>
          <w:lang w:val="it-IT"/>
        </w:rPr>
        <w:t>I Servizi Online designati come community cloud per enti pubblici non potranno essere distribuiti nello stesso dominio in cui vengono distribuiti servizi specifici di community cloud per enti non pubblici. Tale limitazione si estende a qualsiasi servizio online facente parte della famiglia di prodotti Office 365, inclusi Exchange Online, SharePoint Online e Lync Online.</w:t>
      </w:r>
      <w:r w:rsidR="00082E1C" w:rsidRPr="00451078">
        <w:rPr>
          <w:rFonts w:eastAsia="Calibri" w:cs="Tahoma"/>
          <w:color w:val="000000"/>
          <w:szCs w:val="18"/>
          <w:lang w:val="it-IT"/>
        </w:rPr>
        <w:t xml:space="preserve"> </w:t>
      </w:r>
    </w:p>
    <w:p w:rsidR="00702931" w:rsidRPr="00451078" w:rsidRDefault="00702931" w:rsidP="00E62BC4">
      <w:pPr>
        <w:ind w:left="720"/>
        <w:rPr>
          <w:lang w:val="it-IT"/>
        </w:rPr>
      </w:pPr>
    </w:p>
    <w:p w:rsidR="00702931" w:rsidRDefault="00702931" w:rsidP="00E62BC4">
      <w:pPr>
        <w:ind w:left="720"/>
        <w:rPr>
          <w:rFonts w:eastAsia="Calibri" w:cs="Tahoma"/>
          <w:color w:val="000000"/>
          <w:szCs w:val="18"/>
          <w:lang w:val="it-IT"/>
        </w:rPr>
      </w:pPr>
      <w:r w:rsidRPr="00451078">
        <w:rPr>
          <w:rFonts w:eastAsia="Calibri" w:cs="Tahoma"/>
          <w:color w:val="000000"/>
          <w:szCs w:val="18"/>
          <w:lang w:val="it-IT"/>
        </w:rPr>
        <w:t>Quando verrà effettuato il provisioning di un servizio online nel community cloud per enti pubblici, rimarrà tale per tutto il periodo di validità della sottoscrizione. Le società che sono enti pubblici federali, statali, locali o tribali negli Stati Uniti dovranno essere in possesso di un</w:t>
      </w:r>
      <w:r w:rsidR="0073727D">
        <w:rPr>
          <w:rFonts w:eastAsia="Calibri" w:cs="Tahoma"/>
          <w:color w:val="000000"/>
          <w:szCs w:val="18"/>
          <w:lang w:val="it-IT"/>
        </w:rPr>
        <w:t>’</w:t>
      </w:r>
      <w:r w:rsidRPr="00451078">
        <w:rPr>
          <w:rFonts w:eastAsia="Calibri" w:cs="Tahoma"/>
          <w:color w:val="000000"/>
          <w:szCs w:val="18"/>
          <w:lang w:val="it-IT"/>
        </w:rPr>
        <w:t>Iscrizione Enterprise o Enterprise Subscription per Enti Pubblici Statunitensi per essere idonei all</w:t>
      </w:r>
      <w:r w:rsidR="0073727D">
        <w:rPr>
          <w:rFonts w:eastAsia="Calibri" w:cs="Tahoma"/>
          <w:color w:val="000000"/>
          <w:szCs w:val="18"/>
          <w:lang w:val="it-IT"/>
        </w:rPr>
        <w:t>’</w:t>
      </w:r>
      <w:r w:rsidRPr="00451078">
        <w:rPr>
          <w:rFonts w:eastAsia="Calibri" w:cs="Tahoma"/>
          <w:color w:val="000000"/>
          <w:szCs w:val="18"/>
          <w:lang w:val="it-IT"/>
        </w:rPr>
        <w:t>acquisto di servizi online designati come community cloud per enti pubblici.</w:t>
      </w:r>
      <w:r w:rsidR="00082E1C" w:rsidRPr="00451078">
        <w:rPr>
          <w:rFonts w:eastAsia="Calibri" w:cs="Tahoma"/>
          <w:color w:val="000000"/>
          <w:szCs w:val="18"/>
          <w:lang w:val="it-IT"/>
        </w:rPr>
        <w:t xml:space="preserve"> </w:t>
      </w:r>
      <w:r w:rsidRPr="00451078">
        <w:rPr>
          <w:rFonts w:eastAsia="Calibri" w:cs="Tahoma"/>
          <w:color w:val="000000"/>
          <w:szCs w:val="18"/>
          <w:lang w:val="it-IT"/>
        </w:rPr>
        <w:t>I Diritti sull</w:t>
      </w:r>
      <w:r w:rsidR="0073727D">
        <w:rPr>
          <w:rFonts w:eastAsia="Calibri" w:cs="Tahoma"/>
          <w:color w:val="000000"/>
          <w:szCs w:val="18"/>
          <w:lang w:val="it-IT"/>
        </w:rPr>
        <w:t>’</w:t>
      </w:r>
      <w:r w:rsidRPr="00451078">
        <w:rPr>
          <w:rFonts w:eastAsia="Calibri" w:cs="Tahoma"/>
          <w:color w:val="000000"/>
          <w:szCs w:val="18"/>
          <w:lang w:val="it-IT"/>
        </w:rPr>
        <w:t>Utilizzo relativi ai servizi di community cloud per enti pubblici sono simili a quelli dei loro equivalenti multi-tenant standard.</w:t>
      </w:r>
      <w:r w:rsidR="00082E1C" w:rsidRPr="00451078">
        <w:rPr>
          <w:rFonts w:eastAsia="Calibri" w:cs="Tahoma"/>
          <w:color w:val="000000"/>
          <w:szCs w:val="18"/>
          <w:lang w:val="it-IT"/>
        </w:rPr>
        <w:t xml:space="preserve"> </w:t>
      </w:r>
    </w:p>
    <w:p w:rsidR="0052794C" w:rsidRDefault="0052794C" w:rsidP="00E62BC4">
      <w:pPr>
        <w:ind w:left="720"/>
        <w:rPr>
          <w:rFonts w:eastAsia="Calibri" w:cs="Tahoma"/>
          <w:color w:val="000000"/>
          <w:szCs w:val="18"/>
          <w:lang w:val="it-IT"/>
        </w:rPr>
      </w:pPr>
    </w:p>
    <w:p w:rsidR="0052794C" w:rsidRPr="00451078" w:rsidRDefault="0052794C" w:rsidP="00E62BC4">
      <w:pPr>
        <w:ind w:left="720"/>
        <w:rPr>
          <w:lang w:val="it-IT"/>
        </w:rPr>
      </w:pPr>
    </w:p>
    <w:p w:rsidR="00371299" w:rsidRPr="00451078" w:rsidRDefault="0095763C" w:rsidP="00B17EFB">
      <w:pPr>
        <w:pStyle w:val="Heading3"/>
        <w:rPr>
          <w:lang w:val="it-IT"/>
        </w:rPr>
      </w:pPr>
      <w:bookmarkStart w:id="1219" w:name="_48_Exchange_Online"/>
      <w:bookmarkStart w:id="1220" w:name="_Toc336338309"/>
      <w:bookmarkStart w:id="1221" w:name="_Toc352234901"/>
      <w:bookmarkStart w:id="1222" w:name="Srv_46ExhangeOnlinePlan1"/>
      <w:bookmarkStart w:id="1223" w:name="Srv_41ExchangeSvr07EntCAL"/>
      <w:bookmarkStart w:id="1224" w:name="Srv_42ExchangeSvr2010EntCAL"/>
      <w:bookmarkStart w:id="1225" w:name="Srv_47ExchangeSvr2010EntCAL"/>
      <w:bookmarkEnd w:id="1219"/>
      <w:r w:rsidRPr="00451078">
        <w:rPr>
          <w:rFonts w:ascii="Tahoma" w:hAnsi="Tahoma" w:cs="Tahoma"/>
          <w:caps/>
          <w:color w:val="F66400"/>
          <w:sz w:val="22"/>
          <w:szCs w:val="22"/>
          <w:vertAlign w:val="superscript"/>
          <w:lang w:val="it-IT"/>
        </w:rPr>
        <w:t>48</w:t>
      </w:r>
      <w:r w:rsidRPr="00451078">
        <w:rPr>
          <w:rFonts w:ascii="Tahoma" w:hAnsi="Tahoma" w:cs="Tahoma"/>
          <w:color w:val="F66400"/>
          <w:sz w:val="22"/>
          <w:szCs w:val="22"/>
          <w:lang w:val="it-IT"/>
        </w:rPr>
        <w:t xml:space="preserve"> Exchange Online Piano 1</w:t>
      </w:r>
      <w:bookmarkEnd w:id="1220"/>
      <w:bookmarkEnd w:id="1221"/>
    </w:p>
    <w:bookmarkEnd w:id="1222"/>
    <w:p w:rsidR="00371299" w:rsidRPr="00451078" w:rsidRDefault="00371299" w:rsidP="00371299">
      <w:pPr>
        <w:outlineLvl w:val="2"/>
        <w:rPr>
          <w:lang w:val="it-IT"/>
        </w:rPr>
      </w:pPr>
    </w:p>
    <w:p w:rsidR="00371299" w:rsidRPr="00451078" w:rsidRDefault="00371299" w:rsidP="00371299">
      <w:pPr>
        <w:ind w:left="720"/>
        <w:contextualSpacing/>
        <w:rPr>
          <w:lang w:val="it-IT"/>
        </w:rPr>
      </w:pPr>
      <w:r w:rsidRPr="00451078">
        <w:rPr>
          <w:rFonts w:cs="Tahoma"/>
          <w:szCs w:val="20"/>
          <w:lang w:val="it-IT"/>
        </w:rPr>
        <w:t>Exchange Online Piano 1 era precedentemente noto come Exchange Online Standard.</w:t>
      </w:r>
    </w:p>
    <w:p w:rsidR="00A61080" w:rsidRPr="00451078" w:rsidRDefault="00A61080" w:rsidP="00C066F9">
      <w:pPr>
        <w:ind w:left="720"/>
        <w:contextualSpacing/>
        <w:rPr>
          <w:lang w:val="it-IT"/>
        </w:rPr>
      </w:pPr>
    </w:p>
    <w:p w:rsidR="00A61080" w:rsidRPr="0052794C" w:rsidRDefault="00A61080" w:rsidP="003E7ADB">
      <w:pPr>
        <w:ind w:left="720"/>
        <w:rPr>
          <w:rFonts w:cs="Tahoma"/>
          <w:lang w:val="it-IT"/>
        </w:rPr>
      </w:pPr>
      <w:r w:rsidRPr="0052794C">
        <w:rPr>
          <w:rFonts w:eastAsia="Calibri" w:cs="Tahoma"/>
          <w:color w:val="000000"/>
          <w:szCs w:val="18"/>
          <w:lang w:val="it-IT"/>
        </w:rPr>
        <w:t>Nonostante eventuali disposizioni contrarie dei diritti di utilizzo del prodotto, un Exchange Online Piano 1 (SL</w:t>
      </w:r>
      <w:r w:rsidR="003E7ADB">
        <w:rPr>
          <w:rFonts w:eastAsia="Calibri" w:cs="Tahoma"/>
          <w:color w:val="000000"/>
          <w:szCs w:val="18"/>
          <w:lang w:val="it-IT"/>
        </w:rPr>
        <w:t> </w:t>
      </w:r>
      <w:r w:rsidRPr="0052794C">
        <w:rPr>
          <w:rFonts w:eastAsia="Calibri" w:cs="Tahoma"/>
          <w:color w:val="000000"/>
          <w:szCs w:val="18"/>
          <w:lang w:val="it-IT"/>
        </w:rPr>
        <w:t>per Utente) acquistato ai sensi di un contratto Campus e School, non consente l</w:t>
      </w:r>
      <w:r w:rsidR="0073727D">
        <w:rPr>
          <w:rFonts w:eastAsia="Calibri" w:cs="Tahoma"/>
          <w:color w:val="000000"/>
          <w:szCs w:val="18"/>
          <w:lang w:val="it-IT"/>
        </w:rPr>
        <w:t>’</w:t>
      </w:r>
      <w:r w:rsidRPr="0052794C">
        <w:rPr>
          <w:rFonts w:eastAsia="Calibri" w:cs="Tahoma"/>
          <w:color w:val="000000"/>
          <w:szCs w:val="18"/>
          <w:lang w:val="it-IT"/>
        </w:rPr>
        <w:t>accesso all</w:t>
      </w:r>
      <w:r w:rsidR="0073727D">
        <w:rPr>
          <w:rFonts w:eastAsia="Calibri" w:cs="Tahoma"/>
          <w:color w:val="000000"/>
          <w:szCs w:val="18"/>
          <w:lang w:val="it-IT"/>
        </w:rPr>
        <w:t>’</w:t>
      </w:r>
      <w:r w:rsidRPr="0052794C">
        <w:rPr>
          <w:rFonts w:eastAsia="Calibri" w:cs="Tahoma"/>
          <w:color w:val="000000"/>
          <w:szCs w:val="18"/>
          <w:lang w:val="it-IT"/>
        </w:rPr>
        <w:t>Exchange Server.</w:t>
      </w:r>
    </w:p>
    <w:p w:rsidR="00B23BE6" w:rsidRPr="00451078" w:rsidRDefault="00B23BE6" w:rsidP="00A61080">
      <w:pPr>
        <w:ind w:left="720"/>
        <w:rPr>
          <w:lang w:val="it-IT"/>
        </w:rPr>
      </w:pPr>
    </w:p>
    <w:p w:rsidR="00702931" w:rsidRPr="00451078" w:rsidRDefault="00702931" w:rsidP="0067725A">
      <w:pPr>
        <w:spacing w:after="60"/>
        <w:ind w:left="720"/>
        <w:rPr>
          <w:lang w:val="it-IT"/>
        </w:rPr>
      </w:pPr>
      <w:r w:rsidRPr="00451078">
        <w:rPr>
          <w:rFonts w:eastAsia="Calibri" w:cs="Tahoma"/>
          <w:b/>
          <w:color w:val="000000"/>
          <w:szCs w:val="18"/>
          <w:lang w:val="it-IT"/>
        </w:rPr>
        <w:t>Community Cloud per Enti Pubblici (solo Stati Uniti)</w:t>
      </w:r>
    </w:p>
    <w:p w:rsidR="00702931" w:rsidRPr="00451078" w:rsidRDefault="00702931" w:rsidP="00702931">
      <w:pPr>
        <w:ind w:left="720"/>
        <w:rPr>
          <w:lang w:val="it-IT"/>
        </w:rPr>
      </w:pPr>
      <w:r w:rsidRPr="00451078">
        <w:rPr>
          <w:rFonts w:eastAsia="Calibri" w:cs="Tahoma"/>
          <w:color w:val="000000"/>
          <w:szCs w:val="18"/>
          <w:lang w:val="it-IT"/>
        </w:rPr>
        <w:t>Alcuni servizi online della famiglia di prodotti Office 365 (incluso Exchange Online Piano 1) sono offerti come</w:t>
      </w:r>
      <w:r w:rsidR="00E82D1F" w:rsidRPr="00451078">
        <w:rPr>
          <w:rFonts w:eastAsia="Calibri" w:cs="Tahoma"/>
          <w:color w:val="000000"/>
          <w:szCs w:val="18"/>
          <w:lang w:val="it-IT"/>
        </w:rPr>
        <w:t> </w:t>
      </w:r>
      <w:r w:rsidRPr="00451078">
        <w:rPr>
          <w:rFonts w:eastAsia="Calibri" w:cs="Tahoma"/>
          <w:color w:val="000000"/>
          <w:szCs w:val="18"/>
          <w:lang w:val="it-IT"/>
        </w:rPr>
        <w:t>servizi di community cloud per enti pubblici e come servizi di community cloud per enti non pubblici.</w:t>
      </w:r>
      <w:r w:rsidR="00082E1C" w:rsidRPr="00451078">
        <w:rPr>
          <w:rFonts w:eastAsia="Calibri" w:cs="Tahoma"/>
          <w:color w:val="000000"/>
          <w:szCs w:val="18"/>
          <w:lang w:val="it-IT"/>
        </w:rPr>
        <w:t xml:space="preserve"> </w:t>
      </w:r>
      <w:r w:rsidRPr="00451078">
        <w:rPr>
          <w:rFonts w:eastAsia="Calibri" w:cs="Tahoma"/>
          <w:color w:val="000000"/>
          <w:szCs w:val="18"/>
          <w:lang w:val="it-IT"/>
        </w:rPr>
        <w:t>Alle</w:t>
      </w:r>
      <w:r w:rsidR="00E82D1F" w:rsidRPr="00451078">
        <w:rPr>
          <w:rFonts w:eastAsia="Calibri" w:cs="Tahoma"/>
          <w:color w:val="000000"/>
          <w:szCs w:val="18"/>
          <w:lang w:val="it-IT"/>
        </w:rPr>
        <w:t> </w:t>
      </w:r>
      <w:r w:rsidRPr="00451078">
        <w:rPr>
          <w:rFonts w:eastAsia="Calibri" w:cs="Tahoma"/>
          <w:color w:val="000000"/>
          <w:szCs w:val="18"/>
          <w:lang w:val="it-IT"/>
        </w:rPr>
        <w:t>società potrà essere effettuato il provisioning come ente pubblico o non pubblico, ma non come una combinazione di entrambi.</w:t>
      </w:r>
      <w:r w:rsidR="00082E1C" w:rsidRPr="00451078">
        <w:rPr>
          <w:rFonts w:eastAsia="Calibri" w:cs="Tahoma"/>
          <w:color w:val="000000"/>
          <w:szCs w:val="18"/>
          <w:lang w:val="it-IT"/>
        </w:rPr>
        <w:t xml:space="preserve"> </w:t>
      </w:r>
      <w:r w:rsidRPr="00451078">
        <w:rPr>
          <w:rFonts w:eastAsia="Calibri" w:cs="Tahoma"/>
          <w:color w:val="000000"/>
          <w:szCs w:val="18"/>
          <w:lang w:val="it-IT"/>
        </w:rPr>
        <w:t>I Servizi Online designati come community cloud per enti pubblici non potranno essere distribuiti nello stesso dominio in cui vengono distribuiti servizi specifici di community cloud per enti non pubblici. Tale limitazione si estende a qualsiasi servizio online facente parte della famiglia di prodotti Office 365, inclusi Exchange Online, SharePoint Online e Lync Online.</w:t>
      </w:r>
      <w:r w:rsidR="00082E1C" w:rsidRPr="00451078">
        <w:rPr>
          <w:rFonts w:eastAsia="Calibri" w:cs="Tahoma"/>
          <w:color w:val="000000"/>
          <w:szCs w:val="18"/>
          <w:lang w:val="it-IT"/>
        </w:rPr>
        <w:t xml:space="preserve"> </w:t>
      </w:r>
    </w:p>
    <w:p w:rsidR="00702931" w:rsidRPr="00451078" w:rsidRDefault="00702931" w:rsidP="00702931">
      <w:pPr>
        <w:ind w:left="720"/>
        <w:rPr>
          <w:lang w:val="it-IT"/>
        </w:rPr>
      </w:pPr>
    </w:p>
    <w:p w:rsidR="00702931" w:rsidRPr="00451078" w:rsidRDefault="00702931" w:rsidP="00702931">
      <w:pPr>
        <w:ind w:left="720"/>
        <w:rPr>
          <w:lang w:val="it-IT"/>
        </w:rPr>
      </w:pPr>
      <w:r w:rsidRPr="00451078">
        <w:rPr>
          <w:rFonts w:eastAsia="Calibri" w:cs="Tahoma"/>
          <w:color w:val="000000"/>
          <w:szCs w:val="18"/>
          <w:lang w:val="it-IT"/>
        </w:rPr>
        <w:t>Quando verrà effettuato il provisioning di un servizio online nel community cloud per enti pubblici, rimarrà tale per tutto il periodo di validità della sottoscrizione. Le società che sono enti pubblici federali, statali, locali o tribali negli Stati Uniti dovranno essere in possesso di un</w:t>
      </w:r>
      <w:r w:rsidR="0073727D">
        <w:rPr>
          <w:rFonts w:eastAsia="Calibri" w:cs="Tahoma"/>
          <w:color w:val="000000"/>
          <w:szCs w:val="18"/>
          <w:lang w:val="it-IT"/>
        </w:rPr>
        <w:t>’</w:t>
      </w:r>
      <w:r w:rsidRPr="00451078">
        <w:rPr>
          <w:rFonts w:eastAsia="Calibri" w:cs="Tahoma"/>
          <w:color w:val="000000"/>
          <w:szCs w:val="18"/>
          <w:lang w:val="it-IT"/>
        </w:rPr>
        <w:t>Iscrizione Enterprise o Enterprise Subscription per Enti Pubblici Statunitensi per essere idonei all</w:t>
      </w:r>
      <w:r w:rsidR="0073727D">
        <w:rPr>
          <w:rFonts w:eastAsia="Calibri" w:cs="Tahoma"/>
          <w:color w:val="000000"/>
          <w:szCs w:val="18"/>
          <w:lang w:val="it-IT"/>
        </w:rPr>
        <w:t>’</w:t>
      </w:r>
      <w:r w:rsidRPr="00451078">
        <w:rPr>
          <w:rFonts w:eastAsia="Calibri" w:cs="Tahoma"/>
          <w:color w:val="000000"/>
          <w:szCs w:val="18"/>
          <w:lang w:val="it-IT"/>
        </w:rPr>
        <w:t>acquisto di servizi online designati come community cloud per enti pubblici.</w:t>
      </w:r>
      <w:r w:rsidR="00082E1C" w:rsidRPr="00451078">
        <w:rPr>
          <w:rFonts w:eastAsia="Calibri" w:cs="Tahoma"/>
          <w:color w:val="000000"/>
          <w:szCs w:val="18"/>
          <w:lang w:val="it-IT"/>
        </w:rPr>
        <w:t xml:space="preserve"> </w:t>
      </w:r>
      <w:r w:rsidRPr="00451078">
        <w:rPr>
          <w:rFonts w:eastAsia="Calibri" w:cs="Tahoma"/>
          <w:color w:val="000000"/>
          <w:szCs w:val="18"/>
          <w:lang w:val="it-IT"/>
        </w:rPr>
        <w:t>I Diritti sull</w:t>
      </w:r>
      <w:r w:rsidR="0073727D">
        <w:rPr>
          <w:rFonts w:eastAsia="Calibri" w:cs="Tahoma"/>
          <w:color w:val="000000"/>
          <w:szCs w:val="18"/>
          <w:lang w:val="it-IT"/>
        </w:rPr>
        <w:t>’</w:t>
      </w:r>
      <w:r w:rsidRPr="00451078">
        <w:rPr>
          <w:rFonts w:eastAsia="Calibri" w:cs="Tahoma"/>
          <w:color w:val="000000"/>
          <w:szCs w:val="18"/>
          <w:lang w:val="it-IT"/>
        </w:rPr>
        <w:t>Utilizzo relativi ai servizi di community cloud per enti pubblici sono simili a quelli dei loro equivalenti multi-tenant standard.</w:t>
      </w:r>
      <w:r w:rsidR="00082E1C" w:rsidRPr="00451078">
        <w:rPr>
          <w:rFonts w:eastAsia="Calibri" w:cs="Tahoma"/>
          <w:color w:val="000000"/>
          <w:szCs w:val="18"/>
          <w:lang w:val="it-IT"/>
        </w:rPr>
        <w:t xml:space="preserve"> </w:t>
      </w:r>
    </w:p>
    <w:p w:rsidR="00B23BE6" w:rsidRPr="00451078" w:rsidRDefault="00B23BE6" w:rsidP="00A61080">
      <w:pPr>
        <w:ind w:left="720"/>
        <w:rPr>
          <w:rFonts w:ascii="Arial" w:hAnsi="Arial" w:cs="Arial"/>
          <w:lang w:val="it-IT"/>
        </w:rPr>
      </w:pPr>
    </w:p>
    <w:p w:rsidR="00D70D2C" w:rsidRDefault="00D70D2C" w:rsidP="00A61080">
      <w:pPr>
        <w:ind w:left="720"/>
        <w:rPr>
          <w:rFonts w:ascii="Arial" w:hAnsi="Arial" w:cs="Arial"/>
          <w:lang w:val="it-IT"/>
        </w:rPr>
      </w:pPr>
    </w:p>
    <w:p w:rsidR="00D70D2C" w:rsidRPr="00451078" w:rsidRDefault="001D5998" w:rsidP="00D70D2C">
      <w:pPr>
        <w:pStyle w:val="Heading2"/>
        <w:ind w:left="0"/>
        <w:rPr>
          <w:lang w:val="it-IT"/>
        </w:rPr>
      </w:pPr>
      <w:bookmarkStart w:id="1226" w:name="_49_Exchange_Online"/>
      <w:bookmarkStart w:id="1227" w:name="_Toc352234902"/>
      <w:bookmarkStart w:id="1228" w:name="Srv_50ExchangeOnlinePlan2"/>
      <w:bookmarkEnd w:id="1226"/>
      <w:r w:rsidRPr="00451078">
        <w:rPr>
          <w:rFonts w:ascii="Tahoma" w:hAnsi="Tahoma" w:cs="Tahoma"/>
          <w:caps/>
          <w:color w:val="F66400"/>
          <w:sz w:val="22"/>
          <w:szCs w:val="20"/>
          <w:vertAlign w:val="superscript"/>
          <w:lang w:val="it-IT"/>
        </w:rPr>
        <w:t>49</w:t>
      </w:r>
      <w:r w:rsidRPr="00451078">
        <w:rPr>
          <w:rFonts w:ascii="Tahoma" w:hAnsi="Tahoma" w:cs="Tahoma"/>
          <w:color w:val="F66400"/>
          <w:sz w:val="22"/>
          <w:szCs w:val="20"/>
          <w:lang w:val="it-IT"/>
        </w:rPr>
        <w:t xml:space="preserve"> Exchange Online Piano 2</w:t>
      </w:r>
      <w:bookmarkEnd w:id="1227"/>
    </w:p>
    <w:bookmarkEnd w:id="1228"/>
    <w:p w:rsidR="00D70D2C" w:rsidRPr="00451078" w:rsidRDefault="00D70D2C" w:rsidP="00D70D2C">
      <w:pPr>
        <w:outlineLvl w:val="2"/>
        <w:rPr>
          <w:lang w:val="it-IT"/>
        </w:rPr>
      </w:pPr>
    </w:p>
    <w:p w:rsidR="00D70D2C" w:rsidRPr="00451078" w:rsidRDefault="00D70D2C" w:rsidP="00D70D2C">
      <w:pPr>
        <w:pStyle w:val="ListParagraph"/>
        <w:rPr>
          <w:lang w:val="it-IT"/>
        </w:rPr>
      </w:pPr>
      <w:r w:rsidRPr="00451078">
        <w:rPr>
          <w:rFonts w:ascii="Tahoma" w:hAnsi="Tahoma" w:cs="Tahoma"/>
          <w:color w:val="000000"/>
          <w:sz w:val="18"/>
          <w:szCs w:val="18"/>
          <w:lang w:val="it-IT"/>
        </w:rPr>
        <w:t>Exchange Online Piano 2 è un servizio online che succede a Exchange Hosted Archive.</w:t>
      </w:r>
    </w:p>
    <w:p w:rsidR="00D70D2C" w:rsidRPr="00451078" w:rsidRDefault="00D70D2C" w:rsidP="00D70D2C">
      <w:pPr>
        <w:pStyle w:val="ListParagraph"/>
        <w:rPr>
          <w:rFonts w:ascii="Tahoma" w:hAnsi="Tahoma" w:cs="Tahoma"/>
          <w:sz w:val="18"/>
          <w:szCs w:val="18"/>
          <w:lang w:val="it-IT"/>
        </w:rPr>
      </w:pPr>
    </w:p>
    <w:p w:rsidR="00D70D2C" w:rsidRPr="00451078" w:rsidRDefault="00D70D2C" w:rsidP="00D70D2C">
      <w:pPr>
        <w:ind w:left="720"/>
        <w:rPr>
          <w:lang w:val="it-IT"/>
        </w:rPr>
      </w:pPr>
      <w:r w:rsidRPr="00451078">
        <w:rPr>
          <w:rFonts w:cs="Tahoma"/>
          <w:color w:val="000000"/>
          <w:szCs w:val="18"/>
          <w:lang w:val="it-IT"/>
        </w:rPr>
        <w:t>Qualora la società effettui il rinnovo passando da Exchange Hosted Archive ad Exchange Online Piano 2 e</w:t>
      </w:r>
      <w:r w:rsidR="00E82D1F" w:rsidRPr="00451078">
        <w:rPr>
          <w:rFonts w:cs="Tahoma"/>
          <w:color w:val="000000"/>
          <w:szCs w:val="18"/>
          <w:lang w:val="it-IT"/>
        </w:rPr>
        <w:t> </w:t>
      </w:r>
      <w:r w:rsidRPr="00451078">
        <w:rPr>
          <w:rFonts w:cs="Tahoma"/>
          <w:color w:val="000000"/>
          <w:szCs w:val="18"/>
          <w:lang w:val="it-IT"/>
        </w:rPr>
        <w:t>non abbia ancora eseguito la migrazione a Exchange Online Piano 2,</w:t>
      </w:r>
      <w:r w:rsidRPr="00451078">
        <w:rPr>
          <w:color w:val="000000"/>
          <w:lang w:val="it-IT"/>
        </w:rPr>
        <w:t xml:space="preserve"> gli utenti in possesso di licenza potranno continuare a utilizzare il servizio Exchange Hosted Archive in conformità alle condizioni dei Diritti di</w:t>
      </w:r>
      <w:r w:rsidR="00E82D1F" w:rsidRPr="00451078">
        <w:rPr>
          <w:color w:val="000000"/>
          <w:lang w:val="it-IT"/>
        </w:rPr>
        <w:t> </w:t>
      </w:r>
      <w:r w:rsidRPr="00451078">
        <w:rPr>
          <w:color w:val="000000"/>
          <w:lang w:val="it-IT"/>
        </w:rPr>
        <w:t>Utilizzo del Prodotto di marzo 2011 fino alla migrazione a Exchange Online Piano 2 e alla scadenza della sottoscrizione di Exchange Online Piano 2, a seconda di quale dei due eventi si verificherà per primo.</w:t>
      </w:r>
    </w:p>
    <w:p w:rsidR="00702931" w:rsidRPr="00451078" w:rsidRDefault="00702931" w:rsidP="00D70D2C">
      <w:pPr>
        <w:ind w:left="720"/>
        <w:rPr>
          <w:lang w:val="it-IT"/>
        </w:rPr>
      </w:pPr>
    </w:p>
    <w:p w:rsidR="00702931" w:rsidRPr="00451078" w:rsidRDefault="00702931" w:rsidP="0067725A">
      <w:pPr>
        <w:spacing w:after="60"/>
        <w:ind w:left="720"/>
        <w:rPr>
          <w:lang w:val="it-IT"/>
        </w:rPr>
      </w:pPr>
      <w:r w:rsidRPr="00451078">
        <w:rPr>
          <w:rFonts w:eastAsia="Calibri" w:cs="Tahoma"/>
          <w:b/>
          <w:color w:val="000000"/>
          <w:szCs w:val="18"/>
          <w:lang w:val="it-IT"/>
        </w:rPr>
        <w:t>Community Cloud per Enti Pubblici (solo Stati Uniti)</w:t>
      </w:r>
    </w:p>
    <w:p w:rsidR="00702931" w:rsidRPr="00451078" w:rsidRDefault="00702931" w:rsidP="00702931">
      <w:pPr>
        <w:ind w:left="720"/>
        <w:rPr>
          <w:lang w:val="it-IT"/>
        </w:rPr>
      </w:pPr>
      <w:r w:rsidRPr="00451078">
        <w:rPr>
          <w:rFonts w:eastAsia="Calibri" w:cs="Tahoma"/>
          <w:color w:val="000000"/>
          <w:szCs w:val="18"/>
          <w:lang w:val="it-IT"/>
        </w:rPr>
        <w:t>Alcuni servizi online della famiglia di prodotti Office 365 (incluso Exchange Online Piano 2) sono offerti come</w:t>
      </w:r>
      <w:r w:rsidR="00E82D1F" w:rsidRPr="00451078">
        <w:rPr>
          <w:rFonts w:eastAsia="Calibri" w:cs="Tahoma"/>
          <w:color w:val="000000"/>
          <w:szCs w:val="18"/>
          <w:lang w:val="it-IT"/>
        </w:rPr>
        <w:t> </w:t>
      </w:r>
      <w:r w:rsidRPr="00451078">
        <w:rPr>
          <w:rFonts w:eastAsia="Calibri" w:cs="Tahoma"/>
          <w:color w:val="000000"/>
          <w:szCs w:val="18"/>
          <w:lang w:val="it-IT"/>
        </w:rPr>
        <w:t>servizi di community cloud per enti pubblici e come servizi di community cloud per enti non pubblici.</w:t>
      </w:r>
      <w:r w:rsidR="00082E1C" w:rsidRPr="00451078">
        <w:rPr>
          <w:rFonts w:eastAsia="Calibri" w:cs="Tahoma"/>
          <w:color w:val="000000"/>
          <w:szCs w:val="18"/>
          <w:lang w:val="it-IT"/>
        </w:rPr>
        <w:t xml:space="preserve"> </w:t>
      </w:r>
      <w:r w:rsidRPr="00451078">
        <w:rPr>
          <w:rFonts w:eastAsia="Calibri" w:cs="Tahoma"/>
          <w:color w:val="000000"/>
          <w:szCs w:val="18"/>
          <w:lang w:val="it-IT"/>
        </w:rPr>
        <w:t>Alle società potrà essere effettuato il provisioning come ente pubblico o non pubblico, ma non come una combinazione di entrambi.</w:t>
      </w:r>
      <w:r w:rsidR="00082E1C" w:rsidRPr="00451078">
        <w:rPr>
          <w:rFonts w:eastAsia="Calibri" w:cs="Tahoma"/>
          <w:color w:val="000000"/>
          <w:szCs w:val="18"/>
          <w:lang w:val="it-IT"/>
        </w:rPr>
        <w:t xml:space="preserve"> </w:t>
      </w:r>
      <w:r w:rsidRPr="00451078">
        <w:rPr>
          <w:rFonts w:eastAsia="Calibri" w:cs="Tahoma"/>
          <w:color w:val="000000"/>
          <w:szCs w:val="18"/>
          <w:lang w:val="it-IT"/>
        </w:rPr>
        <w:t>I Servizi Online designati come community cloud per enti pubblici non potranno essere distribuiti nello stesso dominio in cui vengono distribuiti servizi specifici di community cloud per enti non pubblici. Tale limitazione si estende a qualsiasi servizio online facente parte della famiglia di prodotti Office 365, inclusi Exchange Online, SharePoint Online e Lync Online.</w:t>
      </w:r>
      <w:r w:rsidR="00082E1C" w:rsidRPr="00451078">
        <w:rPr>
          <w:rFonts w:eastAsia="Calibri" w:cs="Tahoma"/>
          <w:color w:val="000000"/>
          <w:szCs w:val="18"/>
          <w:lang w:val="it-IT"/>
        </w:rPr>
        <w:t xml:space="preserve"> </w:t>
      </w:r>
    </w:p>
    <w:p w:rsidR="00702931" w:rsidRPr="00451078" w:rsidRDefault="00702931" w:rsidP="00702931">
      <w:pPr>
        <w:ind w:left="720"/>
        <w:rPr>
          <w:lang w:val="it-IT"/>
        </w:rPr>
      </w:pPr>
    </w:p>
    <w:p w:rsidR="00B2460D" w:rsidRPr="00451078" w:rsidRDefault="00702931" w:rsidP="00697E59">
      <w:pPr>
        <w:ind w:left="720"/>
        <w:rPr>
          <w:lang w:val="it-IT"/>
        </w:rPr>
      </w:pPr>
      <w:r w:rsidRPr="00451078">
        <w:rPr>
          <w:rFonts w:eastAsia="Calibri" w:cs="Tahoma"/>
          <w:color w:val="000000"/>
          <w:szCs w:val="18"/>
          <w:lang w:val="it-IT"/>
        </w:rPr>
        <w:t>Quando verrà effettuato il provisioning di un servizio online nel community cloud per enti pubblici, rimarrà tale per tutto il periodo di validità della sottoscrizione. Le società che sono enti pubblici federali, statali, locali o tribali negli Stati Uniti dovranno essere in possesso di un</w:t>
      </w:r>
      <w:r w:rsidR="0073727D">
        <w:rPr>
          <w:rFonts w:eastAsia="Calibri" w:cs="Tahoma"/>
          <w:color w:val="000000"/>
          <w:szCs w:val="18"/>
          <w:lang w:val="it-IT"/>
        </w:rPr>
        <w:t>’</w:t>
      </w:r>
      <w:r w:rsidRPr="00451078">
        <w:rPr>
          <w:rFonts w:eastAsia="Calibri" w:cs="Tahoma"/>
          <w:color w:val="000000"/>
          <w:szCs w:val="18"/>
          <w:lang w:val="it-IT"/>
        </w:rPr>
        <w:t>Iscrizione Enterprise o Enterprise Subscription per Enti Pubblici Statunitensi per essere idonei all</w:t>
      </w:r>
      <w:r w:rsidR="0073727D">
        <w:rPr>
          <w:rFonts w:eastAsia="Calibri" w:cs="Tahoma"/>
          <w:color w:val="000000"/>
          <w:szCs w:val="18"/>
          <w:lang w:val="it-IT"/>
        </w:rPr>
        <w:t>’</w:t>
      </w:r>
      <w:r w:rsidRPr="00451078">
        <w:rPr>
          <w:rFonts w:eastAsia="Calibri" w:cs="Tahoma"/>
          <w:color w:val="000000"/>
          <w:szCs w:val="18"/>
          <w:lang w:val="it-IT"/>
        </w:rPr>
        <w:t>acquisto di servizi online designati come community cloud per enti pubblici.</w:t>
      </w:r>
      <w:r w:rsidR="00082E1C" w:rsidRPr="00451078">
        <w:rPr>
          <w:rFonts w:eastAsia="Calibri" w:cs="Tahoma"/>
          <w:color w:val="000000"/>
          <w:szCs w:val="18"/>
          <w:lang w:val="it-IT"/>
        </w:rPr>
        <w:t xml:space="preserve"> </w:t>
      </w:r>
      <w:r w:rsidRPr="00451078">
        <w:rPr>
          <w:rFonts w:eastAsia="Calibri" w:cs="Tahoma"/>
          <w:color w:val="000000"/>
          <w:szCs w:val="18"/>
          <w:lang w:val="it-IT"/>
        </w:rPr>
        <w:t>I Diritti sull</w:t>
      </w:r>
      <w:r w:rsidR="0073727D">
        <w:rPr>
          <w:rFonts w:eastAsia="Calibri" w:cs="Tahoma"/>
          <w:color w:val="000000"/>
          <w:szCs w:val="18"/>
          <w:lang w:val="it-IT"/>
        </w:rPr>
        <w:t>’</w:t>
      </w:r>
      <w:r w:rsidRPr="00451078">
        <w:rPr>
          <w:rFonts w:eastAsia="Calibri" w:cs="Tahoma"/>
          <w:color w:val="000000"/>
          <w:szCs w:val="18"/>
          <w:lang w:val="it-IT"/>
        </w:rPr>
        <w:t>Utilizzo relativi ai servizi di community cloud per enti pubblici sono simili a quelli dei loro equivalenti multi-tenant standard.</w:t>
      </w:r>
      <w:r w:rsidR="00082E1C" w:rsidRPr="00451078">
        <w:rPr>
          <w:rFonts w:eastAsia="Calibri" w:cs="Tahoma"/>
          <w:color w:val="000000"/>
          <w:szCs w:val="18"/>
          <w:lang w:val="it-IT"/>
        </w:rPr>
        <w:t xml:space="preserve"> </w:t>
      </w:r>
      <w:bookmarkStart w:id="1229" w:name="_51_Exchange_Server"/>
      <w:bookmarkEnd w:id="1223"/>
      <w:bookmarkEnd w:id="1224"/>
      <w:bookmarkEnd w:id="1225"/>
      <w:bookmarkEnd w:id="1229"/>
    </w:p>
    <w:p w:rsidR="00023FE7" w:rsidRPr="00451078" w:rsidRDefault="00023FE7" w:rsidP="00C066F9">
      <w:pPr>
        <w:pStyle w:val="EndnoteText"/>
        <w:ind w:left="1620" w:hanging="900"/>
        <w:rPr>
          <w:rFonts w:ascii="Tahoma" w:hAnsi="Tahoma" w:cs="Tahoma"/>
          <w:sz w:val="18"/>
          <w:szCs w:val="18"/>
          <w:lang w:val="it-IT"/>
        </w:rPr>
      </w:pPr>
      <w:bookmarkStart w:id="1230" w:name="Srv_43ExchangeSvr2010"/>
    </w:p>
    <w:p w:rsidR="00C066F9" w:rsidRPr="00451078" w:rsidRDefault="00C066F9" w:rsidP="00C066F9">
      <w:pPr>
        <w:pStyle w:val="EndnoteText"/>
        <w:ind w:left="1620" w:hanging="900"/>
        <w:rPr>
          <w:rFonts w:ascii="Tahoma" w:hAnsi="Tahoma" w:cs="Tahoma"/>
          <w:sz w:val="18"/>
          <w:szCs w:val="18"/>
          <w:lang w:val="it-IT"/>
        </w:rPr>
      </w:pPr>
    </w:p>
    <w:p w:rsidR="00453CAC" w:rsidRPr="00451078" w:rsidRDefault="00A7003F" w:rsidP="009D3013">
      <w:pPr>
        <w:pStyle w:val="Heading2"/>
        <w:ind w:left="0"/>
        <w:rPr>
          <w:lang w:val="it-IT"/>
        </w:rPr>
      </w:pPr>
      <w:bookmarkStart w:id="1231" w:name="_49_Exchange_Server"/>
      <w:bookmarkStart w:id="1232" w:name="_51_50_Exchange"/>
      <w:bookmarkStart w:id="1233" w:name="_Toc352234903"/>
      <w:bookmarkStart w:id="1234" w:name="_Toc336338311"/>
      <w:bookmarkStart w:id="1235" w:name="Srv_50ExchangeServer2010StdCAL"/>
      <w:bookmarkEnd w:id="1230"/>
      <w:bookmarkEnd w:id="1231"/>
      <w:bookmarkEnd w:id="1232"/>
      <w:r w:rsidRPr="00451078">
        <w:rPr>
          <w:rFonts w:ascii="Tahoma" w:hAnsi="Tahoma" w:cs="Tahoma"/>
          <w:caps/>
          <w:color w:val="FA6500"/>
          <w:sz w:val="22"/>
          <w:vertAlign w:val="superscript"/>
          <w:lang w:val="it-IT"/>
        </w:rPr>
        <w:t>50</w:t>
      </w:r>
      <w:r w:rsidRPr="00451078">
        <w:rPr>
          <w:rFonts w:ascii="Tahoma" w:hAnsi="Tahoma" w:cs="Tahoma"/>
          <w:caps/>
          <w:color w:val="FA6500"/>
          <w:sz w:val="22"/>
          <w:lang w:val="it-IT"/>
        </w:rPr>
        <w:t xml:space="preserve"> </w:t>
      </w:r>
      <w:r w:rsidRPr="00451078">
        <w:rPr>
          <w:rFonts w:ascii="Tahoma" w:hAnsi="Tahoma" w:cs="Tahoma"/>
          <w:color w:val="F66400"/>
          <w:sz w:val="22"/>
          <w:szCs w:val="20"/>
          <w:lang w:val="it-IT"/>
        </w:rPr>
        <w:t>Exchange Online Protection (SL per Utente)</w:t>
      </w:r>
      <w:bookmarkEnd w:id="1233"/>
    </w:p>
    <w:p w:rsidR="00453CAC" w:rsidRPr="00451078" w:rsidRDefault="00453CAC" w:rsidP="00453CAC">
      <w:pPr>
        <w:ind w:left="720"/>
        <w:rPr>
          <w:lang w:val="it-IT"/>
        </w:rPr>
      </w:pPr>
    </w:p>
    <w:p w:rsidR="007D4770" w:rsidRDefault="007D4770" w:rsidP="00453CAC">
      <w:pPr>
        <w:ind w:left="720"/>
        <w:rPr>
          <w:rFonts w:cs="Tahoma"/>
          <w:color w:val="444444"/>
          <w:szCs w:val="18"/>
          <w:lang w:val="it-IT"/>
        </w:rPr>
      </w:pPr>
      <w:r w:rsidRPr="00451078">
        <w:rPr>
          <w:rFonts w:cs="Tahoma"/>
          <w:color w:val="444444"/>
          <w:szCs w:val="18"/>
          <w:lang w:val="it-IT"/>
        </w:rPr>
        <w:t>Poiché questo servizio online viene erogato in base al dominio, tutti gli utenti di qualunque dominio interessato devono disporre di SL per Utente.</w:t>
      </w:r>
      <w:r w:rsidR="00082E1C" w:rsidRPr="00451078">
        <w:rPr>
          <w:rFonts w:cs="Tahoma"/>
          <w:color w:val="444444"/>
          <w:szCs w:val="18"/>
          <w:lang w:val="it-IT"/>
        </w:rPr>
        <w:t xml:space="preserve"> </w:t>
      </w:r>
      <w:r w:rsidRPr="00451078">
        <w:rPr>
          <w:rFonts w:cs="Tahoma"/>
          <w:color w:val="444444"/>
          <w:szCs w:val="18"/>
          <w:lang w:val="it-IT"/>
        </w:rPr>
        <w:t>Le società che desiderano che il servizio sia erogato a un sottoinsieme dei loro utenti possono creare sottodomini per un</w:t>
      </w:r>
      <w:r w:rsidR="0073727D">
        <w:rPr>
          <w:rFonts w:cs="Tahoma"/>
          <w:color w:val="444444"/>
          <w:szCs w:val="18"/>
          <w:lang w:val="it-IT"/>
        </w:rPr>
        <w:t>’</w:t>
      </w:r>
      <w:r w:rsidRPr="00451078">
        <w:rPr>
          <w:rFonts w:cs="Tahoma"/>
          <w:color w:val="444444"/>
          <w:szCs w:val="18"/>
          <w:lang w:val="it-IT"/>
        </w:rPr>
        <w:t>erogazione del servizio più mirata. Solo gli</w:t>
      </w:r>
      <w:r w:rsidR="00E82D1F" w:rsidRPr="00451078">
        <w:rPr>
          <w:rFonts w:cs="Tahoma"/>
          <w:color w:val="444444"/>
          <w:szCs w:val="18"/>
          <w:lang w:val="it-IT"/>
        </w:rPr>
        <w:t> </w:t>
      </w:r>
      <w:r w:rsidRPr="00451078">
        <w:rPr>
          <w:rFonts w:cs="Tahoma"/>
          <w:color w:val="444444"/>
          <w:szCs w:val="18"/>
          <w:lang w:val="it-IT"/>
        </w:rPr>
        <w:t>utenti che rientrano nel sottodominio incluso devono disporre di SL per Utente.</w:t>
      </w:r>
    </w:p>
    <w:p w:rsidR="000D32B3" w:rsidRDefault="000D32B3" w:rsidP="00453CAC">
      <w:pPr>
        <w:ind w:left="720"/>
        <w:rPr>
          <w:rFonts w:cs="Tahoma"/>
          <w:color w:val="444444"/>
          <w:szCs w:val="18"/>
          <w:lang w:val="it-IT"/>
        </w:rPr>
      </w:pPr>
    </w:p>
    <w:p w:rsidR="000D32B3" w:rsidRPr="00451078" w:rsidRDefault="000D32B3" w:rsidP="00453CAC">
      <w:pPr>
        <w:ind w:left="720"/>
        <w:rPr>
          <w:lang w:val="it-IT"/>
        </w:rPr>
      </w:pPr>
    </w:p>
    <w:p w:rsidR="009D3013" w:rsidRPr="00451078" w:rsidRDefault="00A7003F" w:rsidP="009D3013">
      <w:pPr>
        <w:pStyle w:val="Heading2"/>
        <w:ind w:left="0"/>
        <w:rPr>
          <w:lang w:val="it-IT"/>
        </w:rPr>
      </w:pPr>
      <w:bookmarkStart w:id="1236" w:name="_52_51_Exchange"/>
      <w:bookmarkStart w:id="1237" w:name="_Toc352234904"/>
      <w:bookmarkEnd w:id="1236"/>
      <w:r w:rsidRPr="00451078">
        <w:rPr>
          <w:rFonts w:ascii="Tahoma" w:hAnsi="Tahoma" w:cs="Tahoma"/>
          <w:caps/>
          <w:color w:val="FA6500"/>
          <w:sz w:val="22"/>
          <w:vertAlign w:val="superscript"/>
          <w:lang w:val="it-IT"/>
        </w:rPr>
        <w:t>51</w:t>
      </w:r>
      <w:r w:rsidRPr="00451078">
        <w:rPr>
          <w:rFonts w:ascii="Tahoma" w:hAnsi="Tahoma" w:cs="Tahoma"/>
          <w:caps/>
          <w:color w:val="FA6500"/>
          <w:sz w:val="22"/>
          <w:lang w:val="it-IT"/>
        </w:rPr>
        <w:t xml:space="preserve"> </w:t>
      </w:r>
      <w:r w:rsidRPr="00451078">
        <w:rPr>
          <w:rFonts w:ascii="Tahoma" w:hAnsi="Tahoma" w:cs="Tahoma"/>
          <w:color w:val="FA6500"/>
          <w:sz w:val="22"/>
          <w:lang w:val="it-IT"/>
        </w:rPr>
        <w:t xml:space="preserve">Exchange Server 2013, Edizioni Enterprise e </w:t>
      </w:r>
      <w:bookmarkEnd w:id="1234"/>
      <w:r w:rsidRPr="00451078">
        <w:rPr>
          <w:rFonts w:ascii="Tahoma" w:hAnsi="Tahoma" w:cs="Tahoma"/>
          <w:color w:val="FA6500"/>
          <w:sz w:val="22"/>
          <w:lang w:val="it-IT"/>
        </w:rPr>
        <w:t>Standard</w:t>
      </w:r>
      <w:bookmarkEnd w:id="1237"/>
    </w:p>
    <w:p w:rsidR="009D3013" w:rsidRPr="00451078" w:rsidRDefault="009D3013" w:rsidP="009D3013">
      <w:pPr>
        <w:ind w:left="720"/>
        <w:rPr>
          <w:lang w:val="it-IT"/>
        </w:rPr>
      </w:pPr>
    </w:p>
    <w:p w:rsidR="009D3013" w:rsidRPr="00451078" w:rsidRDefault="009D3013" w:rsidP="009D3013">
      <w:pPr>
        <w:ind w:left="720"/>
        <w:rPr>
          <w:lang w:val="it-IT"/>
        </w:rPr>
      </w:pPr>
      <w:r w:rsidRPr="00451078">
        <w:rPr>
          <w:rFonts w:cs="Tahoma"/>
          <w:color w:val="000000"/>
          <w:szCs w:val="18"/>
          <w:lang w:val="it-IT"/>
        </w:rPr>
        <w:t>Exchange Server 2013 è l</w:t>
      </w:r>
      <w:r w:rsidR="0073727D">
        <w:rPr>
          <w:rFonts w:cs="Tahoma"/>
          <w:color w:val="000000"/>
          <w:szCs w:val="18"/>
          <w:lang w:val="it-IT"/>
        </w:rPr>
        <w:t>’</w:t>
      </w:r>
      <w:r w:rsidRPr="00451078">
        <w:rPr>
          <w:rFonts w:cs="Tahoma"/>
          <w:color w:val="000000"/>
          <w:szCs w:val="18"/>
          <w:lang w:val="it-IT"/>
        </w:rPr>
        <w:t>ultima versione di Exchange Server.</w:t>
      </w:r>
    </w:p>
    <w:p w:rsidR="009D3013" w:rsidRPr="00451078" w:rsidRDefault="009D3013" w:rsidP="0067725A">
      <w:pPr>
        <w:rPr>
          <w:lang w:val="it-IT"/>
        </w:rPr>
      </w:pPr>
    </w:p>
    <w:p w:rsidR="009D3013" w:rsidRPr="00451078" w:rsidRDefault="009D3013" w:rsidP="0067725A">
      <w:pPr>
        <w:spacing w:after="60"/>
        <w:ind w:left="720"/>
        <w:rPr>
          <w:lang w:val="it-IT"/>
        </w:rPr>
      </w:pPr>
      <w:r w:rsidRPr="00451078">
        <w:rPr>
          <w:rFonts w:cs="Tahoma"/>
          <w:b/>
          <w:color w:val="000000"/>
          <w:szCs w:val="18"/>
          <w:lang w:val="it-IT"/>
        </w:rPr>
        <w:t>Concessione di Licenza per le Società Titolari di Licenza External Connector per Exchange Server 2010</w:t>
      </w:r>
    </w:p>
    <w:p w:rsidR="009D3013" w:rsidRPr="00451078" w:rsidRDefault="009D3013" w:rsidP="0067725A">
      <w:pPr>
        <w:ind w:left="720"/>
        <w:rPr>
          <w:lang w:val="it-IT"/>
        </w:rPr>
      </w:pPr>
      <w:r w:rsidRPr="00451078">
        <w:rPr>
          <w:rFonts w:cs="Tahoma"/>
          <w:color w:val="000000"/>
          <w:szCs w:val="18"/>
          <w:lang w:val="it-IT"/>
        </w:rPr>
        <w:t xml:space="preserve">La versione 2010 della Licenza </w:t>
      </w:r>
      <w:bookmarkStart w:id="1238" w:name="Srv_42ExchangeSvr07"/>
      <w:bookmarkStart w:id="1239" w:name="Srv_48ExchangeSvr2010"/>
      <w:r w:rsidRPr="00451078">
        <w:rPr>
          <w:rFonts w:cs="Tahoma"/>
          <w:color w:val="000000"/>
          <w:szCs w:val="18"/>
          <w:lang w:val="it-IT"/>
        </w:rPr>
        <w:t>External Connector</w:t>
      </w:r>
      <w:bookmarkEnd w:id="1238"/>
      <w:bookmarkEnd w:id="1239"/>
      <w:r w:rsidRPr="00451078">
        <w:rPr>
          <w:rFonts w:cs="Tahoma"/>
          <w:color w:val="000000"/>
          <w:szCs w:val="18"/>
          <w:lang w:val="it-IT"/>
        </w:rPr>
        <w:t xml:space="preserve"> per Exchange Server 2010 è la versione finale di tale licenza.</w:t>
      </w:r>
      <w:r w:rsidR="00082E1C" w:rsidRPr="00451078">
        <w:rPr>
          <w:rFonts w:cs="Tahoma"/>
          <w:color w:val="000000"/>
          <w:szCs w:val="18"/>
          <w:lang w:val="it-IT"/>
        </w:rPr>
        <w:t xml:space="preserve"> </w:t>
      </w:r>
      <w:r w:rsidRPr="00451078">
        <w:rPr>
          <w:rFonts w:cs="Tahoma"/>
          <w:color w:val="000000"/>
          <w:szCs w:val="18"/>
          <w:lang w:val="it-IT"/>
        </w:rPr>
        <w:t>Alla luce di ciò, le società titolari di Licenze External Connector per Exchange Server 2010 con copertura Software Assurance attiva al 1 dicembre 2012 sono idonee a ricevere la concessione di licenza che</w:t>
      </w:r>
      <w:r w:rsidR="00C55342" w:rsidRPr="00451078">
        <w:rPr>
          <w:rFonts w:cs="Tahoma"/>
          <w:color w:val="000000"/>
          <w:szCs w:val="18"/>
          <w:lang w:val="it-IT"/>
        </w:rPr>
        <w:t> </w:t>
      </w:r>
      <w:r w:rsidRPr="00451078">
        <w:rPr>
          <w:rFonts w:cs="Tahoma"/>
          <w:color w:val="000000"/>
          <w:szCs w:val="18"/>
          <w:lang w:val="it-IT"/>
        </w:rPr>
        <w:t>segue.</w:t>
      </w:r>
    </w:p>
    <w:p w:rsidR="009D3013" w:rsidRPr="00451078" w:rsidRDefault="009D3013" w:rsidP="009D3013">
      <w:pPr>
        <w:ind w:left="900"/>
        <w:rPr>
          <w:lang w:val="it-IT"/>
        </w:rPr>
      </w:pPr>
    </w:p>
    <w:tbl>
      <w:tblPr>
        <w:tblW w:w="0" w:type="auto"/>
        <w:tblInd w:w="82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4158"/>
        <w:gridCol w:w="3942"/>
      </w:tblGrid>
      <w:tr w:rsidR="009D3013" w:rsidRPr="003410C7" w:rsidTr="00C55342">
        <w:trPr>
          <w:trHeight w:val="332"/>
        </w:trPr>
        <w:tc>
          <w:tcPr>
            <w:tcW w:w="4158" w:type="dxa"/>
            <w:shd w:val="clear" w:color="auto" w:fill="FABF8F"/>
          </w:tcPr>
          <w:p w:rsidR="009D3013" w:rsidRPr="003410C7" w:rsidRDefault="009D3013" w:rsidP="002C3AB1">
            <w:pPr>
              <w:rPr>
                <w:rFonts w:cs="Tahoma"/>
                <w:b/>
                <w:color w:val="000000"/>
                <w:szCs w:val="18"/>
              </w:rPr>
            </w:pPr>
            <w:r w:rsidRPr="003410C7">
              <w:rPr>
                <w:rFonts w:cs="Tahoma"/>
                <w:b/>
                <w:color w:val="000000"/>
                <w:szCs w:val="18"/>
              </w:rPr>
              <w:t>Licenza Qualificante</w:t>
            </w:r>
          </w:p>
        </w:tc>
        <w:tc>
          <w:tcPr>
            <w:tcW w:w="3942" w:type="dxa"/>
            <w:shd w:val="clear" w:color="auto" w:fill="FABF8F"/>
          </w:tcPr>
          <w:p w:rsidR="009D3013" w:rsidRPr="003410C7" w:rsidRDefault="009D3013" w:rsidP="002C3AB1">
            <w:pPr>
              <w:rPr>
                <w:rFonts w:cs="Tahoma"/>
                <w:b/>
                <w:color w:val="000000"/>
                <w:szCs w:val="18"/>
              </w:rPr>
            </w:pPr>
            <w:r w:rsidRPr="003410C7">
              <w:rPr>
                <w:rFonts w:cs="Tahoma"/>
                <w:b/>
                <w:color w:val="000000"/>
                <w:szCs w:val="18"/>
              </w:rPr>
              <w:t>Licenza Gratuita e Vantaggi</w:t>
            </w:r>
          </w:p>
        </w:tc>
      </w:tr>
      <w:tr w:rsidR="009D3013" w:rsidRPr="00815DCF" w:rsidTr="00C55342">
        <w:trPr>
          <w:trHeight w:val="70"/>
        </w:trPr>
        <w:tc>
          <w:tcPr>
            <w:tcW w:w="4158" w:type="dxa"/>
            <w:shd w:val="clear" w:color="auto" w:fill="auto"/>
          </w:tcPr>
          <w:p w:rsidR="009D3013" w:rsidRPr="00451078" w:rsidRDefault="009D3013" w:rsidP="00C55342">
            <w:pPr>
              <w:rPr>
                <w:rFonts w:cs="Tahoma"/>
                <w:color w:val="000000"/>
                <w:szCs w:val="18"/>
                <w:lang w:val="it-IT"/>
              </w:rPr>
            </w:pPr>
            <w:r w:rsidRPr="00451078">
              <w:rPr>
                <w:rFonts w:cs="Tahoma"/>
                <w:color w:val="000000"/>
                <w:szCs w:val="18"/>
                <w:lang w:val="it-IT"/>
              </w:rPr>
              <w:t xml:space="preserve">Licenza External Connector per Exchange Server 2010 con Software Assurance attiva a partire </w:t>
            </w:r>
            <w:r w:rsidRPr="00451078">
              <w:rPr>
                <w:rFonts w:cs="Tahoma"/>
                <w:color w:val="000000"/>
                <w:szCs w:val="18"/>
                <w:lang w:val="it-IT"/>
              </w:rPr>
              <w:lastRenderedPageBreak/>
              <w:t>dal</w:t>
            </w:r>
            <w:r w:rsidR="00C55342" w:rsidRPr="00451078">
              <w:rPr>
                <w:rFonts w:cs="Tahoma"/>
                <w:color w:val="000000"/>
                <w:szCs w:val="18"/>
                <w:lang w:val="it-IT"/>
              </w:rPr>
              <w:t> </w:t>
            </w:r>
            <w:r w:rsidRPr="00451078">
              <w:rPr>
                <w:rFonts w:cs="Tahoma"/>
                <w:color w:val="000000"/>
                <w:szCs w:val="18"/>
                <w:lang w:val="it-IT"/>
              </w:rPr>
              <w:t>1 dicembre 2012</w:t>
            </w:r>
          </w:p>
        </w:tc>
        <w:tc>
          <w:tcPr>
            <w:tcW w:w="3942" w:type="dxa"/>
            <w:shd w:val="clear" w:color="auto" w:fill="auto"/>
          </w:tcPr>
          <w:p w:rsidR="009D3013" w:rsidRPr="00451078" w:rsidRDefault="009D3013" w:rsidP="002C3AB1">
            <w:pPr>
              <w:rPr>
                <w:rFonts w:cs="Tahoma"/>
                <w:color w:val="000000"/>
                <w:szCs w:val="18"/>
                <w:lang w:val="it-IT"/>
              </w:rPr>
            </w:pPr>
            <w:r w:rsidRPr="00451078">
              <w:rPr>
                <w:rFonts w:cs="Tahoma"/>
                <w:color w:val="000000"/>
                <w:szCs w:val="18"/>
                <w:lang w:val="it-IT"/>
              </w:rPr>
              <w:lastRenderedPageBreak/>
              <w:t>Licenza Enterprise per Exchange Server 2013</w:t>
            </w:r>
          </w:p>
        </w:tc>
      </w:tr>
    </w:tbl>
    <w:p w:rsidR="009D3013" w:rsidRPr="00451078" w:rsidRDefault="009D3013" w:rsidP="0067725A">
      <w:pPr>
        <w:rPr>
          <w:lang w:val="it-IT"/>
        </w:rPr>
      </w:pPr>
    </w:p>
    <w:p w:rsidR="009D3013" w:rsidRPr="00451078" w:rsidRDefault="009D3013" w:rsidP="009D3013">
      <w:pPr>
        <w:ind w:left="720"/>
        <w:rPr>
          <w:lang w:val="it-IT"/>
        </w:rPr>
      </w:pPr>
      <w:r w:rsidRPr="00451078">
        <w:rPr>
          <w:rFonts w:cs="Tahoma"/>
          <w:color w:val="000000"/>
          <w:szCs w:val="18"/>
          <w:lang w:val="it-IT"/>
        </w:rPr>
        <w:t>Le condizioni che seguono si applicano alle concessioni di licenze riportate sopra:</w:t>
      </w:r>
    </w:p>
    <w:p w:rsidR="009D3013" w:rsidRPr="00451078" w:rsidRDefault="009D3013" w:rsidP="009D3013">
      <w:pPr>
        <w:ind w:left="720"/>
        <w:rPr>
          <w:lang w:val="it-IT"/>
        </w:rPr>
      </w:pPr>
    </w:p>
    <w:p w:rsidR="009D3013" w:rsidRPr="00451078" w:rsidRDefault="009D3013" w:rsidP="00745AB3">
      <w:pPr>
        <w:numPr>
          <w:ilvl w:val="0"/>
          <w:numId w:val="100"/>
        </w:numPr>
        <w:spacing w:after="60"/>
        <w:ind w:left="1440"/>
        <w:rPr>
          <w:lang w:val="it-IT"/>
        </w:rPr>
      </w:pPr>
      <w:r w:rsidRPr="00451078">
        <w:rPr>
          <w:rFonts w:cs="Tahoma"/>
          <w:bCs/>
          <w:color w:val="000000"/>
          <w:szCs w:val="18"/>
          <w:lang w:val="it-IT"/>
        </w:rPr>
        <w:t>Percorso di Migrazione</w:t>
      </w:r>
      <w:r w:rsidRPr="00451078">
        <w:rPr>
          <w:rFonts w:cs="Tahoma"/>
          <w:color w:val="000000"/>
          <w:szCs w:val="18"/>
          <w:lang w:val="it-IT"/>
        </w:rPr>
        <w:t>: Le società con copertura Software Assurance attiva per una determinata Licenza Qualificante a partire dal 1 dicembre 2012 e in occasione del rilascio della versione commerciale di Exchange Server 2013 sono idonee a effettuare l</w:t>
      </w:r>
      <w:r w:rsidR="0073727D">
        <w:rPr>
          <w:rFonts w:cs="Tahoma"/>
          <w:color w:val="000000"/>
          <w:szCs w:val="18"/>
          <w:lang w:val="it-IT"/>
        </w:rPr>
        <w:t>’</w:t>
      </w:r>
      <w:r w:rsidRPr="00451078">
        <w:rPr>
          <w:rFonts w:cs="Tahoma"/>
          <w:color w:val="000000"/>
          <w:szCs w:val="18"/>
          <w:lang w:val="it-IT"/>
        </w:rPr>
        <w:t>aggiornamento al software Exchange Server 2013 e a utilizzarlo ai sensi della Licenza Gratuita al posto del software Exchange Server 2010 ai sensi della corrispondente licenza External Connector qualificante.</w:t>
      </w:r>
      <w:r w:rsidR="00082E1C" w:rsidRPr="00451078">
        <w:rPr>
          <w:rFonts w:cs="Tahoma"/>
          <w:color w:val="000000"/>
          <w:szCs w:val="18"/>
          <w:lang w:val="it-IT"/>
        </w:rPr>
        <w:t xml:space="preserve"> </w:t>
      </w:r>
    </w:p>
    <w:p w:rsidR="009D3013" w:rsidRPr="00451078" w:rsidRDefault="009D3013" w:rsidP="00745AB3">
      <w:pPr>
        <w:numPr>
          <w:ilvl w:val="0"/>
          <w:numId w:val="100"/>
        </w:numPr>
        <w:spacing w:after="60"/>
        <w:ind w:left="1440"/>
        <w:rPr>
          <w:lang w:val="it-IT"/>
        </w:rPr>
      </w:pPr>
      <w:r w:rsidRPr="00451078">
        <w:rPr>
          <w:rFonts w:cs="Tahoma"/>
          <w:color w:val="000000"/>
          <w:szCs w:val="18"/>
          <w:lang w:val="it-IT"/>
        </w:rPr>
        <w:t>Diritti sull</w:t>
      </w:r>
      <w:r w:rsidR="0073727D">
        <w:rPr>
          <w:rFonts w:cs="Tahoma"/>
          <w:color w:val="000000"/>
          <w:szCs w:val="18"/>
          <w:lang w:val="it-IT"/>
        </w:rPr>
        <w:t>’</w:t>
      </w:r>
      <w:r w:rsidRPr="00451078">
        <w:rPr>
          <w:rFonts w:cs="Tahoma"/>
          <w:color w:val="000000"/>
          <w:szCs w:val="18"/>
          <w:lang w:val="it-IT"/>
        </w:rPr>
        <w:t>utilizzo: il diritto di utilizzo del software ai sensi della Licenza Gratuita della presente offerta scadrà alla scadenza del diritto di utilizzo del software ai sensi della Licenza Qualificante.</w:t>
      </w:r>
      <w:r w:rsidR="00082E1C" w:rsidRPr="00451078">
        <w:rPr>
          <w:rFonts w:cs="Tahoma"/>
          <w:color w:val="000000"/>
          <w:szCs w:val="18"/>
          <w:lang w:val="it-IT"/>
        </w:rPr>
        <w:t xml:space="preserve"> </w:t>
      </w:r>
      <w:r w:rsidRPr="00451078">
        <w:rPr>
          <w:rFonts w:cs="Tahoma"/>
          <w:color w:val="000000"/>
          <w:szCs w:val="18"/>
          <w:lang w:val="it-IT"/>
        </w:rPr>
        <w:t>L</w:t>
      </w:r>
      <w:r w:rsidR="0073727D">
        <w:rPr>
          <w:rFonts w:cs="Tahoma"/>
          <w:color w:val="000000"/>
          <w:szCs w:val="18"/>
          <w:lang w:val="it-IT"/>
        </w:rPr>
        <w:t>’</w:t>
      </w:r>
      <w:r w:rsidRPr="00451078">
        <w:rPr>
          <w:rFonts w:cs="Tahoma"/>
          <w:color w:val="000000"/>
          <w:szCs w:val="18"/>
          <w:lang w:val="it-IT"/>
        </w:rPr>
        <w:t>utilizzo di tale software è disciplinato dai diritti sull</w:t>
      </w:r>
      <w:r w:rsidR="0073727D">
        <w:rPr>
          <w:rFonts w:cs="Tahoma"/>
          <w:color w:val="000000"/>
          <w:szCs w:val="18"/>
          <w:lang w:val="it-IT"/>
        </w:rPr>
        <w:t>’</w:t>
      </w:r>
      <w:r w:rsidRPr="00451078">
        <w:rPr>
          <w:rFonts w:cs="Tahoma"/>
          <w:color w:val="000000"/>
          <w:szCs w:val="18"/>
          <w:lang w:val="it-IT"/>
        </w:rPr>
        <w:t>utilizzo del software e dalle condizioni del contratto multilicenza della società.</w:t>
      </w:r>
      <w:r w:rsidR="00082E1C" w:rsidRPr="00451078">
        <w:rPr>
          <w:rFonts w:cs="Tahoma"/>
          <w:color w:val="000000"/>
          <w:szCs w:val="18"/>
          <w:lang w:val="it-IT"/>
        </w:rPr>
        <w:t xml:space="preserve"> </w:t>
      </w:r>
      <w:r w:rsidRPr="00451078">
        <w:rPr>
          <w:rFonts w:cs="Tahoma"/>
          <w:color w:val="000000"/>
          <w:szCs w:val="18"/>
          <w:lang w:val="it-IT"/>
        </w:rPr>
        <w:t>Questa nota relativa alle condizioni del prodotto e la prova da</w:t>
      </w:r>
      <w:r w:rsidR="00C55342" w:rsidRPr="00451078">
        <w:rPr>
          <w:rFonts w:cs="Tahoma"/>
          <w:color w:val="000000"/>
          <w:szCs w:val="18"/>
          <w:lang w:val="it-IT"/>
        </w:rPr>
        <w:t> </w:t>
      </w:r>
      <w:r w:rsidRPr="00451078">
        <w:rPr>
          <w:rFonts w:cs="Tahoma"/>
          <w:color w:val="000000"/>
          <w:szCs w:val="18"/>
          <w:lang w:val="it-IT"/>
        </w:rPr>
        <w:t>parte della società della corrispondente Licenza e Software Assurance (L&amp;SA) Qualificante costituiscono insieme la prova del diritto di utilizzo del software ai sensi della Licenza Gratuita della</w:t>
      </w:r>
      <w:r w:rsidR="00C55342" w:rsidRPr="00451078">
        <w:rPr>
          <w:rFonts w:cs="Tahoma"/>
          <w:color w:val="000000"/>
          <w:szCs w:val="18"/>
          <w:lang w:val="it-IT"/>
        </w:rPr>
        <w:t> </w:t>
      </w:r>
      <w:r w:rsidRPr="00451078">
        <w:rPr>
          <w:rFonts w:cs="Tahoma"/>
          <w:color w:val="000000"/>
          <w:szCs w:val="18"/>
          <w:lang w:val="it-IT"/>
        </w:rPr>
        <w:t>presente offerta.</w:t>
      </w:r>
      <w:r w:rsidR="00082E1C" w:rsidRPr="00451078">
        <w:rPr>
          <w:rFonts w:cs="Tahoma"/>
          <w:color w:val="000000"/>
          <w:szCs w:val="18"/>
          <w:lang w:val="it-IT"/>
        </w:rPr>
        <w:t xml:space="preserve"> </w:t>
      </w:r>
    </w:p>
    <w:p w:rsidR="009D3013" w:rsidRPr="00451078" w:rsidRDefault="009D3013" w:rsidP="005427B6">
      <w:pPr>
        <w:numPr>
          <w:ilvl w:val="0"/>
          <w:numId w:val="8"/>
        </w:numPr>
        <w:spacing w:after="60"/>
        <w:ind w:left="1440"/>
        <w:rPr>
          <w:lang w:val="it-IT"/>
        </w:rPr>
      </w:pPr>
      <w:r w:rsidRPr="00451078">
        <w:rPr>
          <w:rFonts w:cs="Tahoma"/>
          <w:color w:val="000000"/>
          <w:szCs w:val="18"/>
          <w:lang w:val="it-IT"/>
        </w:rPr>
        <w:t>Licenza e Software Assurance (L&amp;SA): la Licenza Gratuita include la copertura Software Assurance.</w:t>
      </w:r>
      <w:r w:rsidR="00082E1C" w:rsidRPr="00451078">
        <w:rPr>
          <w:rFonts w:cs="Tahoma"/>
          <w:color w:val="000000"/>
          <w:szCs w:val="18"/>
          <w:lang w:val="it-IT"/>
        </w:rPr>
        <w:t xml:space="preserve"> </w:t>
      </w:r>
      <w:r w:rsidRPr="00451078">
        <w:rPr>
          <w:rFonts w:cs="Tahoma"/>
          <w:color w:val="000000"/>
          <w:szCs w:val="18"/>
          <w:lang w:val="it-IT"/>
        </w:rPr>
        <w:t>La copertura Software Assurance per la Licenza Gratuita scadrà alla scadenza della copertura per la Licenza Qualificante.</w:t>
      </w:r>
      <w:r w:rsidR="00082E1C" w:rsidRPr="00451078">
        <w:rPr>
          <w:rFonts w:cs="Tahoma"/>
          <w:color w:val="000000"/>
          <w:szCs w:val="18"/>
          <w:lang w:val="it-IT"/>
        </w:rPr>
        <w:t xml:space="preserve"> </w:t>
      </w:r>
      <w:r w:rsidRPr="00451078">
        <w:rPr>
          <w:rFonts w:cs="Tahoma"/>
          <w:color w:val="000000"/>
          <w:szCs w:val="18"/>
          <w:lang w:val="it-IT"/>
        </w:rPr>
        <w:t>Alla scadenza della copertura Software Assurance per la Licenza Qualificante, la società potrà rinnovare Software Assurance per la Licenza Gratuita senza dover acquistare una nuova licenza specifica.</w:t>
      </w:r>
    </w:p>
    <w:p w:rsidR="009D3013" w:rsidRPr="00451078" w:rsidRDefault="009D3013" w:rsidP="00745AB3">
      <w:pPr>
        <w:numPr>
          <w:ilvl w:val="0"/>
          <w:numId w:val="101"/>
        </w:numPr>
        <w:spacing w:after="60"/>
        <w:ind w:left="1440"/>
        <w:rPr>
          <w:lang w:val="it-IT"/>
        </w:rPr>
      </w:pPr>
      <w:r w:rsidRPr="00451078">
        <w:rPr>
          <w:rFonts w:eastAsia="Calibri" w:cs="Tahoma"/>
          <w:color w:val="000000"/>
          <w:szCs w:val="18"/>
          <w:lang w:val="it-IT"/>
        </w:rPr>
        <w:t>True-up</w:t>
      </w:r>
      <w:r w:rsidRPr="00451078">
        <w:rPr>
          <w:rFonts w:eastAsia="Calibri" w:cs="Tahoma"/>
          <w:b/>
          <w:color w:val="000000"/>
          <w:szCs w:val="18"/>
          <w:lang w:val="it-IT"/>
        </w:rPr>
        <w:t>:</w:t>
      </w:r>
      <w:r w:rsidR="00082E1C" w:rsidRPr="00451078">
        <w:rPr>
          <w:rFonts w:eastAsia="Calibri" w:cs="Tahoma"/>
          <w:color w:val="000000"/>
          <w:szCs w:val="18"/>
          <w:lang w:val="it-IT"/>
        </w:rPr>
        <w:t xml:space="preserve"> </w:t>
      </w:r>
      <w:r w:rsidRPr="00451078">
        <w:rPr>
          <w:rFonts w:eastAsia="Calibri" w:cs="Tahoma"/>
          <w:color w:val="000000"/>
          <w:szCs w:val="18"/>
          <w:lang w:val="it-IT"/>
        </w:rPr>
        <w:t>Per le società titolari di un Contratto Enterprise idonee a ricevere tali licenze gratuite e</w:t>
      </w:r>
      <w:r w:rsidR="00C55342" w:rsidRPr="00451078">
        <w:rPr>
          <w:rFonts w:eastAsia="Calibri" w:cs="Tahoma"/>
          <w:color w:val="000000"/>
          <w:szCs w:val="18"/>
          <w:lang w:val="it-IT"/>
        </w:rPr>
        <w:t> </w:t>
      </w:r>
      <w:r w:rsidRPr="00451078">
        <w:rPr>
          <w:rFonts w:eastAsia="Calibri" w:cs="Tahoma"/>
          <w:color w:val="000000"/>
          <w:szCs w:val="18"/>
          <w:lang w:val="it-IT"/>
        </w:rPr>
        <w:t>i</w:t>
      </w:r>
      <w:r w:rsidR="00C55342" w:rsidRPr="00451078">
        <w:rPr>
          <w:rFonts w:eastAsia="Calibri" w:cs="Tahoma"/>
          <w:color w:val="000000"/>
          <w:szCs w:val="18"/>
          <w:lang w:val="it-IT"/>
        </w:rPr>
        <w:t> </w:t>
      </w:r>
      <w:r w:rsidRPr="00451078">
        <w:rPr>
          <w:rFonts w:eastAsia="Calibri" w:cs="Tahoma"/>
          <w:color w:val="000000"/>
          <w:szCs w:val="18"/>
          <w:lang w:val="it-IT"/>
        </w:rPr>
        <w:t>diritti descritti in precedenza, le licenze External Connector per Exchange Server 2010 acquistate nell</w:t>
      </w:r>
      <w:r w:rsidR="0073727D">
        <w:rPr>
          <w:rFonts w:eastAsia="Calibri" w:cs="Tahoma"/>
          <w:color w:val="000000"/>
          <w:szCs w:val="18"/>
          <w:lang w:val="it-IT"/>
        </w:rPr>
        <w:t>’</w:t>
      </w:r>
      <w:r w:rsidRPr="00451078">
        <w:rPr>
          <w:rFonts w:eastAsia="Calibri" w:cs="Tahoma"/>
          <w:color w:val="000000"/>
          <w:szCs w:val="18"/>
          <w:lang w:val="it-IT"/>
        </w:rPr>
        <w:t xml:space="preserve">ambito di una procedura </w:t>
      </w:r>
      <w:r w:rsidRPr="00451078">
        <w:rPr>
          <w:rFonts w:cs="Tahoma"/>
          <w:color w:val="000000"/>
          <w:szCs w:val="18"/>
          <w:lang w:val="it-IT"/>
        </w:rPr>
        <w:t>annuale di true-up sono, anch</w:t>
      </w:r>
      <w:r w:rsidR="0073727D">
        <w:rPr>
          <w:rFonts w:cs="Tahoma"/>
          <w:color w:val="000000"/>
          <w:szCs w:val="18"/>
          <w:lang w:val="it-IT"/>
        </w:rPr>
        <w:t>’</w:t>
      </w:r>
      <w:r w:rsidRPr="00451078">
        <w:rPr>
          <w:rFonts w:cs="Tahoma"/>
          <w:color w:val="000000"/>
          <w:szCs w:val="18"/>
          <w:lang w:val="it-IT"/>
        </w:rPr>
        <w:t>esse, Licenze Qualificanti.</w:t>
      </w:r>
    </w:p>
    <w:p w:rsidR="009D3013" w:rsidRPr="00451078" w:rsidRDefault="009D3013" w:rsidP="00745AB3">
      <w:pPr>
        <w:numPr>
          <w:ilvl w:val="0"/>
          <w:numId w:val="101"/>
        </w:numPr>
        <w:spacing w:after="60"/>
        <w:ind w:left="1440"/>
        <w:rPr>
          <w:lang w:val="it-IT"/>
        </w:rPr>
      </w:pPr>
      <w:r w:rsidRPr="00451078">
        <w:rPr>
          <w:rFonts w:cs="Tahoma"/>
          <w:color w:val="000000"/>
          <w:szCs w:val="18"/>
          <w:lang w:val="it-IT"/>
        </w:rPr>
        <w:t xml:space="preserve">Contratti </w:t>
      </w:r>
      <w:r w:rsidR="001A3EC5" w:rsidRPr="00451078">
        <w:rPr>
          <w:rFonts w:cs="Tahoma"/>
          <w:color w:val="000000"/>
          <w:szCs w:val="18"/>
          <w:lang w:val="it-IT"/>
        </w:rPr>
        <w:t>“</w:t>
      </w:r>
      <w:r w:rsidRPr="00451078">
        <w:rPr>
          <w:rFonts w:cs="Tahoma"/>
          <w:color w:val="000000"/>
          <w:szCs w:val="18"/>
          <w:lang w:val="it-IT"/>
        </w:rPr>
        <w:t>Subscription</w:t>
      </w:r>
      <w:r w:rsidR="001A3EC5" w:rsidRPr="00451078">
        <w:rPr>
          <w:rFonts w:cs="Tahoma"/>
          <w:color w:val="000000"/>
          <w:szCs w:val="18"/>
          <w:lang w:val="it-IT"/>
        </w:rPr>
        <w:t>”</w:t>
      </w:r>
      <w:r w:rsidRPr="00451078">
        <w:rPr>
          <w:rFonts w:cs="Tahoma"/>
          <w:color w:val="000000"/>
          <w:szCs w:val="18"/>
          <w:lang w:val="it-IT"/>
        </w:rPr>
        <w:t>:</w:t>
      </w:r>
      <w:r w:rsidR="00082E1C" w:rsidRPr="00451078">
        <w:rPr>
          <w:rFonts w:cs="Tahoma"/>
          <w:color w:val="000000"/>
          <w:szCs w:val="18"/>
          <w:lang w:val="it-IT"/>
        </w:rPr>
        <w:t xml:space="preserve"> </w:t>
      </w:r>
      <w:r w:rsidRPr="00451078">
        <w:rPr>
          <w:rFonts w:cs="Tahoma"/>
          <w:color w:val="000000"/>
          <w:szCs w:val="18"/>
          <w:lang w:val="it-IT"/>
        </w:rPr>
        <w:t xml:space="preserve">per quanto riguarda i Contratti Enterprise Subscription, </w:t>
      </w:r>
      <w:r w:rsidRPr="00451078">
        <w:rPr>
          <w:rFonts w:cs="Tahoma"/>
          <w:szCs w:val="18"/>
          <w:lang w:val="it-IT"/>
        </w:rPr>
        <w:t>Open Value Subscription, Campus e School, Enrollment for Education Solutions e Open Value Subscription-Education Solutions, gli stessi diritti verranno concessi temporaneamente, in base alle medesime condizioni,</w:t>
      </w:r>
      <w:r w:rsidRPr="00451078">
        <w:rPr>
          <w:rFonts w:cs="Tahoma"/>
          <w:color w:val="000000"/>
          <w:szCs w:val="18"/>
          <w:lang w:val="it-IT"/>
        </w:rPr>
        <w:t xml:space="preserve"> fino al termine del periodo di validità corrente dell</w:t>
      </w:r>
      <w:r w:rsidR="0073727D">
        <w:rPr>
          <w:rFonts w:cs="Tahoma"/>
          <w:color w:val="000000"/>
          <w:szCs w:val="18"/>
          <w:lang w:val="it-IT"/>
        </w:rPr>
        <w:t>’</w:t>
      </w:r>
      <w:r w:rsidRPr="00451078">
        <w:rPr>
          <w:rFonts w:cs="Tahoma"/>
          <w:color w:val="000000"/>
          <w:szCs w:val="18"/>
          <w:lang w:val="it-IT"/>
        </w:rPr>
        <w:t>iscrizione (o del periodo di validità del</w:t>
      </w:r>
      <w:r w:rsidR="00C55342" w:rsidRPr="00451078">
        <w:rPr>
          <w:rFonts w:cs="Tahoma"/>
          <w:color w:val="000000"/>
          <w:szCs w:val="18"/>
          <w:lang w:val="it-IT"/>
        </w:rPr>
        <w:t> </w:t>
      </w:r>
      <w:r w:rsidRPr="00451078">
        <w:rPr>
          <w:rFonts w:cs="Tahoma"/>
          <w:color w:val="000000"/>
          <w:szCs w:val="18"/>
          <w:lang w:val="it-IT"/>
        </w:rPr>
        <w:t>contratto nel caso di Open Value).</w:t>
      </w:r>
      <w:r w:rsidR="00082E1C" w:rsidRPr="00451078">
        <w:rPr>
          <w:rFonts w:cs="Tahoma"/>
          <w:color w:val="000000"/>
          <w:szCs w:val="18"/>
          <w:lang w:val="it-IT"/>
        </w:rPr>
        <w:t xml:space="preserve"> </w:t>
      </w:r>
      <w:r w:rsidRPr="00451078">
        <w:rPr>
          <w:rFonts w:cs="Tahoma"/>
          <w:color w:val="000000"/>
          <w:szCs w:val="18"/>
          <w:lang w:val="it-IT"/>
        </w:rPr>
        <w:t>La società dovrà mantenere la copertura dell</w:t>
      </w:r>
      <w:r w:rsidR="0073727D">
        <w:rPr>
          <w:rFonts w:cs="Tahoma"/>
          <w:color w:val="000000"/>
          <w:szCs w:val="18"/>
          <w:lang w:val="it-IT"/>
        </w:rPr>
        <w:t>’</w:t>
      </w:r>
      <w:r w:rsidRPr="00451078">
        <w:rPr>
          <w:rFonts w:cs="Tahoma"/>
          <w:color w:val="000000"/>
          <w:szCs w:val="18"/>
          <w:lang w:val="it-IT"/>
        </w:rPr>
        <w:t>abbonamento in via continuativa.</w:t>
      </w:r>
      <w:r w:rsidR="00082E1C" w:rsidRPr="00451078">
        <w:rPr>
          <w:rFonts w:cs="Tahoma"/>
          <w:color w:val="000000"/>
          <w:szCs w:val="18"/>
          <w:lang w:val="it-IT"/>
        </w:rPr>
        <w:t xml:space="preserve"> </w:t>
      </w:r>
      <w:bookmarkStart w:id="1240" w:name="_Toc336338313"/>
      <w:r w:rsidRPr="00451078">
        <w:rPr>
          <w:rFonts w:cs="Tahoma"/>
          <w:color w:val="000000"/>
          <w:szCs w:val="18"/>
          <w:lang w:val="it-IT"/>
        </w:rPr>
        <w:t>Tali diritti diventeranno permanenti soltanto all</w:t>
      </w:r>
      <w:r w:rsidR="0073727D">
        <w:rPr>
          <w:rFonts w:cs="Tahoma"/>
          <w:color w:val="000000"/>
          <w:szCs w:val="18"/>
          <w:lang w:val="it-IT"/>
        </w:rPr>
        <w:t>’</w:t>
      </w:r>
      <w:r w:rsidRPr="00451078">
        <w:rPr>
          <w:rFonts w:cs="Tahoma"/>
          <w:color w:val="000000"/>
          <w:szCs w:val="18"/>
          <w:lang w:val="it-IT"/>
        </w:rPr>
        <w:t>esercizio dell</w:t>
      </w:r>
      <w:r w:rsidR="0073727D">
        <w:rPr>
          <w:rFonts w:cs="Tahoma"/>
          <w:color w:val="000000"/>
          <w:szCs w:val="18"/>
          <w:lang w:val="it-IT"/>
        </w:rPr>
        <w:t>’</w:t>
      </w:r>
      <w:r w:rsidRPr="00451078">
        <w:rPr>
          <w:rFonts w:cs="Tahoma"/>
          <w:color w:val="000000"/>
          <w:szCs w:val="18"/>
          <w:lang w:val="it-IT"/>
        </w:rPr>
        <w:t>opzione buy-out e</w:t>
      </w:r>
      <w:r w:rsidR="00C55342" w:rsidRPr="00451078">
        <w:rPr>
          <w:rFonts w:cs="Tahoma"/>
          <w:color w:val="000000"/>
          <w:szCs w:val="18"/>
          <w:lang w:val="it-IT"/>
        </w:rPr>
        <w:t> </w:t>
      </w:r>
      <w:r w:rsidRPr="00451078">
        <w:rPr>
          <w:rFonts w:cs="Tahoma"/>
          <w:color w:val="000000"/>
          <w:szCs w:val="18"/>
          <w:lang w:val="it-IT"/>
        </w:rPr>
        <w:t>resteranno soggetti a tutte le condizioni del contratto di licenza della società.</w:t>
      </w:r>
    </w:p>
    <w:p w:rsidR="009D3013" w:rsidRPr="00451078" w:rsidRDefault="009D3013" w:rsidP="00745AB3">
      <w:pPr>
        <w:numPr>
          <w:ilvl w:val="0"/>
          <w:numId w:val="102"/>
        </w:numPr>
        <w:spacing w:after="60"/>
        <w:ind w:left="1440"/>
        <w:rPr>
          <w:lang w:val="it-IT"/>
        </w:rPr>
      </w:pPr>
      <w:r w:rsidRPr="00451078">
        <w:rPr>
          <w:rFonts w:cs="Tahoma"/>
          <w:szCs w:val="18"/>
          <w:lang w:val="it-IT"/>
        </w:rPr>
        <w:t>Transizioni ai Contratti Campus e School: Per quanto riguarda le società che a metà del periodo di</w:t>
      </w:r>
      <w:r w:rsidR="00C55342" w:rsidRPr="00451078">
        <w:rPr>
          <w:rFonts w:cs="Tahoma"/>
          <w:szCs w:val="18"/>
          <w:lang w:val="it-IT"/>
        </w:rPr>
        <w:t> </w:t>
      </w:r>
      <w:r w:rsidRPr="00451078">
        <w:rPr>
          <w:rFonts w:cs="Tahoma"/>
          <w:szCs w:val="18"/>
          <w:lang w:val="it-IT"/>
        </w:rPr>
        <w:t>validità effettuano la transizione dai contratti Campus e School al contratto Enrollment for Education Solutions o Open Value Subscription-Education Solutions mantenendo la copertura della</w:t>
      </w:r>
      <w:r w:rsidR="00C55342" w:rsidRPr="00451078">
        <w:rPr>
          <w:rFonts w:cs="Tahoma"/>
          <w:szCs w:val="18"/>
          <w:lang w:val="it-IT"/>
        </w:rPr>
        <w:t> </w:t>
      </w:r>
      <w:r w:rsidRPr="00451078">
        <w:rPr>
          <w:rFonts w:cs="Tahoma"/>
          <w:szCs w:val="18"/>
          <w:lang w:val="it-IT"/>
        </w:rPr>
        <w:t>sottoscrizione in via continuativa:</w:t>
      </w:r>
    </w:p>
    <w:p w:rsidR="009D3013" w:rsidRPr="00451078" w:rsidRDefault="009D3013" w:rsidP="00745AB3">
      <w:pPr>
        <w:pStyle w:val="ListParagraph"/>
        <w:numPr>
          <w:ilvl w:val="0"/>
          <w:numId w:val="86"/>
        </w:numPr>
        <w:spacing w:after="60"/>
        <w:ind w:left="1980"/>
        <w:contextualSpacing w:val="0"/>
        <w:rPr>
          <w:rFonts w:ascii="Tahoma" w:hAnsi="Tahoma" w:cs="Tahoma"/>
          <w:sz w:val="18"/>
          <w:szCs w:val="18"/>
          <w:lang w:val="it-IT"/>
        </w:rPr>
      </w:pPr>
      <w:r w:rsidRPr="00451078">
        <w:rPr>
          <w:rFonts w:ascii="Tahoma" w:hAnsi="Tahoma" w:cs="Tahoma"/>
          <w:sz w:val="18"/>
          <w:szCs w:val="18"/>
          <w:lang w:val="it-IT"/>
        </w:rPr>
        <w:t xml:space="preserve">Vengono concessi gli stessi diritti su base temporanea, ai sensi delle medesime condizioni, fino al termine, rispettivamente, del loro contratto Enrollment for Education Solutions o Open Value Subscription-Education Solutions. </w:t>
      </w:r>
    </w:p>
    <w:p w:rsidR="0073424F" w:rsidRDefault="0073424F" w:rsidP="00745AB3">
      <w:pPr>
        <w:pStyle w:val="ListParagraph"/>
        <w:numPr>
          <w:ilvl w:val="0"/>
          <w:numId w:val="86"/>
        </w:numPr>
        <w:spacing w:after="60"/>
        <w:ind w:left="1980"/>
        <w:contextualSpacing w:val="0"/>
        <w:rPr>
          <w:rFonts w:ascii="Tahoma" w:hAnsi="Tahoma" w:cs="Tahoma"/>
          <w:sz w:val="18"/>
          <w:szCs w:val="18"/>
          <w:lang w:val="it-IT"/>
        </w:rPr>
      </w:pPr>
      <w:r w:rsidRPr="00451078">
        <w:rPr>
          <w:rFonts w:ascii="Tahoma" w:hAnsi="Tahoma" w:cs="Tahoma"/>
          <w:sz w:val="18"/>
          <w:szCs w:val="18"/>
          <w:lang w:val="it-IT"/>
        </w:rPr>
        <w:t>Tali diritti diventeranno permanenti soltanto all</w:t>
      </w:r>
      <w:r w:rsidR="0073727D">
        <w:rPr>
          <w:rFonts w:ascii="Tahoma" w:hAnsi="Tahoma" w:cs="Tahoma"/>
          <w:sz w:val="18"/>
          <w:szCs w:val="18"/>
          <w:lang w:val="it-IT"/>
        </w:rPr>
        <w:t>’</w:t>
      </w:r>
      <w:r w:rsidRPr="00451078">
        <w:rPr>
          <w:rFonts w:ascii="Tahoma" w:hAnsi="Tahoma" w:cs="Tahoma"/>
          <w:sz w:val="18"/>
          <w:szCs w:val="18"/>
          <w:lang w:val="it-IT"/>
        </w:rPr>
        <w:t>esercizio dell</w:t>
      </w:r>
      <w:r w:rsidR="0073727D">
        <w:rPr>
          <w:rFonts w:ascii="Tahoma" w:hAnsi="Tahoma" w:cs="Tahoma"/>
          <w:sz w:val="18"/>
          <w:szCs w:val="18"/>
          <w:lang w:val="it-IT"/>
        </w:rPr>
        <w:t>’</w:t>
      </w:r>
      <w:r w:rsidRPr="00451078">
        <w:rPr>
          <w:rFonts w:ascii="Tahoma" w:hAnsi="Tahoma" w:cs="Tahoma"/>
          <w:sz w:val="18"/>
          <w:szCs w:val="18"/>
          <w:lang w:val="it-IT"/>
        </w:rPr>
        <w:t>opzione buy-out e resteranno soggetti a tutte le condizioni del contratto di licenza della società.</w:t>
      </w:r>
    </w:p>
    <w:p w:rsidR="00C3025E" w:rsidRPr="002B01D6" w:rsidRDefault="00C3025E" w:rsidP="005F02E0">
      <w:pPr>
        <w:pStyle w:val="EndnoteText"/>
        <w:ind w:left="540"/>
        <w:rPr>
          <w:rFonts w:ascii="Tahoma" w:hAnsi="Tahoma" w:cs="Tahoma"/>
          <w:sz w:val="18"/>
          <w:szCs w:val="18"/>
          <w:lang w:val="it-IT"/>
        </w:rPr>
      </w:pPr>
    </w:p>
    <w:p w:rsidR="004069A4" w:rsidRPr="00451078" w:rsidRDefault="004069A4" w:rsidP="009D3013">
      <w:pPr>
        <w:pStyle w:val="EndnoteText"/>
        <w:ind w:left="540"/>
        <w:rPr>
          <w:lang w:val="it-IT"/>
        </w:rPr>
      </w:pPr>
    </w:p>
    <w:p w:rsidR="004069A4" w:rsidRPr="003410C7" w:rsidRDefault="00A7003F" w:rsidP="004069A4">
      <w:pPr>
        <w:pStyle w:val="Heading3"/>
      </w:pPr>
      <w:bookmarkStart w:id="1241" w:name="_50_Exchange_Server"/>
      <w:bookmarkStart w:id="1242" w:name="_53_52_Exchange"/>
      <w:bookmarkStart w:id="1243" w:name="_Toc352234905"/>
      <w:bookmarkEnd w:id="1241"/>
      <w:bookmarkEnd w:id="1242"/>
      <w:r w:rsidRPr="003410C7">
        <w:rPr>
          <w:rFonts w:ascii="Tahoma" w:hAnsi="Tahoma"/>
          <w:caps/>
          <w:color w:val="F66400"/>
          <w:sz w:val="22"/>
          <w:vertAlign w:val="superscript"/>
        </w:rPr>
        <w:t>52</w:t>
      </w:r>
      <w:r w:rsidRPr="003410C7">
        <w:rPr>
          <w:rFonts w:ascii="Tahoma" w:hAnsi="Tahoma"/>
          <w:color w:val="F66400"/>
          <w:sz w:val="22"/>
        </w:rPr>
        <w:t xml:space="preserve"> Standard CAL per Exchange Server 2010</w:t>
      </w:r>
      <w:bookmarkEnd w:id="1240"/>
      <w:bookmarkEnd w:id="1243"/>
    </w:p>
    <w:bookmarkEnd w:id="1235"/>
    <w:p w:rsidR="004069A4" w:rsidRPr="003410C7" w:rsidRDefault="004069A4" w:rsidP="004069A4"/>
    <w:p w:rsidR="004069A4" w:rsidRPr="003410C7" w:rsidRDefault="004069A4" w:rsidP="005427B6">
      <w:pPr>
        <w:spacing w:after="60"/>
        <w:ind w:left="720"/>
      </w:pPr>
      <w:r w:rsidRPr="003410C7">
        <w:rPr>
          <w:rFonts w:cs="Tahoma"/>
          <w:b/>
          <w:color w:val="000000"/>
          <w:szCs w:val="18"/>
        </w:rPr>
        <w:t>Managed Default Folders Concesso in Licenza con Exchange Server 2010 Standard CAL</w:t>
      </w:r>
    </w:p>
    <w:p w:rsidR="004069A4" w:rsidRPr="00451078" w:rsidRDefault="004069A4" w:rsidP="00E62BC4">
      <w:pPr>
        <w:ind w:left="720"/>
        <w:rPr>
          <w:lang w:val="it-IT"/>
        </w:rPr>
      </w:pPr>
      <w:r w:rsidRPr="00451078">
        <w:rPr>
          <w:rFonts w:cs="Tahoma"/>
          <w:color w:val="000000"/>
          <w:szCs w:val="18"/>
          <w:lang w:val="it-IT"/>
        </w:rPr>
        <w:t>Il diritto di accedere alla funzionalità Cartella Predefinita Gestita di Exchange Server 2010 è concesso ai sensi della licenza Standard CAL per Exchange Server 2010 o di licenze CAL equivalenti.</w:t>
      </w:r>
      <w:r w:rsidR="00082E1C" w:rsidRPr="00451078">
        <w:rPr>
          <w:rFonts w:cs="Tahoma"/>
          <w:color w:val="000000"/>
          <w:szCs w:val="18"/>
          <w:lang w:val="it-IT"/>
        </w:rPr>
        <w:t xml:space="preserve"> </w:t>
      </w:r>
      <w:r w:rsidRPr="00451078">
        <w:rPr>
          <w:rFonts w:cs="Tahoma"/>
          <w:color w:val="000000"/>
          <w:szCs w:val="18"/>
          <w:lang w:val="it-IT"/>
        </w:rPr>
        <w:t xml:space="preserve">Per accedere alla funzionalità Managed Custom Folder occorre essere titolari di una licenza Exchange Server 2010 Enterprise CAL o CAL equivalente, ma tale condizione non deve essere soddisfatta per accedere alla funzionalità Managed Default Folder. </w:t>
      </w:r>
    </w:p>
    <w:p w:rsidR="004069A4" w:rsidRPr="00451078" w:rsidRDefault="004069A4" w:rsidP="00E62BC4">
      <w:pPr>
        <w:ind w:left="720"/>
        <w:rPr>
          <w:lang w:val="it-IT"/>
        </w:rPr>
      </w:pPr>
    </w:p>
    <w:p w:rsidR="00031547" w:rsidRPr="00451078" w:rsidRDefault="00031547" w:rsidP="005427B6">
      <w:pPr>
        <w:spacing w:after="60"/>
        <w:ind w:left="720"/>
        <w:rPr>
          <w:lang w:val="it-IT"/>
        </w:rPr>
      </w:pPr>
      <w:r w:rsidRPr="00451078">
        <w:rPr>
          <w:rFonts w:cs="Tahoma"/>
          <w:b/>
          <w:color w:val="000000"/>
          <w:szCs w:val="18"/>
          <w:lang w:val="it-IT"/>
        </w:rPr>
        <w:t>Funzionalità Ricerca in più cassette postali Concessa in Licenza con Exchange Server 2010 Standard CAL</w:t>
      </w:r>
    </w:p>
    <w:p w:rsidR="00031547" w:rsidRPr="00451078" w:rsidRDefault="00031547" w:rsidP="00BA1490">
      <w:pPr>
        <w:ind w:left="720"/>
        <w:rPr>
          <w:lang w:val="it-IT"/>
        </w:rPr>
      </w:pPr>
      <w:r w:rsidRPr="00451078">
        <w:rPr>
          <w:rFonts w:cs="Tahoma"/>
          <w:bCs/>
          <w:szCs w:val="20"/>
          <w:lang w:val="it-IT"/>
        </w:rPr>
        <w:t>Microsoft sta aggiornando i diritti sull</w:t>
      </w:r>
      <w:r w:rsidR="0073727D">
        <w:rPr>
          <w:rFonts w:cs="Tahoma"/>
          <w:bCs/>
          <w:szCs w:val="20"/>
          <w:lang w:val="it-IT"/>
        </w:rPr>
        <w:t>’</w:t>
      </w:r>
      <w:r w:rsidRPr="00451078">
        <w:rPr>
          <w:rFonts w:cs="Tahoma"/>
          <w:bCs/>
          <w:szCs w:val="20"/>
          <w:lang w:val="it-IT"/>
        </w:rPr>
        <w:t>utilizzo di Exchange Server 2010 per evidenziare che il diritto di accedere alla funzionalità di ricerca in più cassette postali di Exchange Server 2010 è concesso ai sensi della</w:t>
      </w:r>
      <w:r w:rsidR="004F638C" w:rsidRPr="00451078">
        <w:rPr>
          <w:rFonts w:cs="Tahoma"/>
          <w:bCs/>
          <w:szCs w:val="20"/>
          <w:lang w:val="it-IT"/>
        </w:rPr>
        <w:t> </w:t>
      </w:r>
      <w:r w:rsidRPr="00451078">
        <w:rPr>
          <w:rFonts w:cs="Tahoma"/>
          <w:bCs/>
          <w:szCs w:val="20"/>
          <w:lang w:val="it-IT"/>
        </w:rPr>
        <w:t>licenza Standard CAL per Exchange Server 2010 e di licenze CAL equivalenti. Tale aggiornamento è</w:t>
      </w:r>
      <w:r w:rsidR="004F638C" w:rsidRPr="00451078">
        <w:rPr>
          <w:rFonts w:cs="Tahoma"/>
          <w:bCs/>
          <w:szCs w:val="20"/>
          <w:lang w:val="it-IT"/>
        </w:rPr>
        <w:t> </w:t>
      </w:r>
      <w:r w:rsidRPr="00451078">
        <w:rPr>
          <w:rFonts w:cs="Tahoma"/>
          <w:bCs/>
          <w:szCs w:val="20"/>
          <w:lang w:val="it-IT"/>
        </w:rPr>
        <w:t>applicabile a tutte le licenze per Exchange Server 2010.</w:t>
      </w:r>
    </w:p>
    <w:p w:rsidR="004D0019" w:rsidRPr="00451078" w:rsidRDefault="004D0019" w:rsidP="00E62BC4">
      <w:pPr>
        <w:ind w:left="720"/>
        <w:rPr>
          <w:lang w:val="it-IT"/>
        </w:rPr>
      </w:pPr>
    </w:p>
    <w:p w:rsidR="004069A4" w:rsidRPr="00451078" w:rsidRDefault="004069A4" w:rsidP="005427B6">
      <w:pPr>
        <w:spacing w:after="60"/>
        <w:ind w:left="720"/>
        <w:rPr>
          <w:lang w:val="it-IT"/>
        </w:rPr>
      </w:pPr>
      <w:r w:rsidRPr="00451078">
        <w:rPr>
          <w:rFonts w:cs="Tahoma"/>
          <w:b/>
          <w:color w:val="000000"/>
          <w:szCs w:val="18"/>
          <w:lang w:val="it-IT"/>
        </w:rPr>
        <w:t>CAL Solo per Studenti (Academic Open License e Academic Select)</w:t>
      </w:r>
    </w:p>
    <w:p w:rsidR="004069A4" w:rsidRDefault="004069A4" w:rsidP="00E62BC4">
      <w:pPr>
        <w:ind w:left="720"/>
        <w:rPr>
          <w:rFonts w:cs="Tahoma"/>
          <w:szCs w:val="20"/>
          <w:lang w:val="it-IT"/>
        </w:rPr>
      </w:pPr>
      <w:r w:rsidRPr="00451078">
        <w:rPr>
          <w:rFonts w:cs="Tahoma"/>
          <w:szCs w:val="20"/>
          <w:lang w:val="it-IT"/>
        </w:rPr>
        <w:t>Le CAL Solo per Studenti sono limitate ai PC di proprietà dello studente titolare della licenza o ai PC di</w:t>
      </w:r>
      <w:r w:rsidR="004F638C" w:rsidRPr="00451078">
        <w:rPr>
          <w:rFonts w:cs="Tahoma"/>
          <w:szCs w:val="20"/>
          <w:lang w:val="it-IT"/>
        </w:rPr>
        <w:t> </w:t>
      </w:r>
      <w:r w:rsidRPr="00451078">
        <w:rPr>
          <w:rFonts w:cs="Tahoma"/>
          <w:szCs w:val="20"/>
          <w:lang w:val="it-IT"/>
        </w:rPr>
        <w:t>proprietà dell</w:t>
      </w:r>
      <w:r w:rsidR="0073727D">
        <w:rPr>
          <w:rFonts w:cs="Tahoma"/>
          <w:szCs w:val="20"/>
          <w:lang w:val="it-IT"/>
        </w:rPr>
        <w:t>’</w:t>
      </w:r>
      <w:r w:rsidRPr="00451078">
        <w:rPr>
          <w:rFonts w:cs="Tahoma"/>
          <w:szCs w:val="20"/>
          <w:lang w:val="it-IT"/>
        </w:rPr>
        <w:t>Istituto che siano assegnati a un singolo studente e NON siano utilizzati nei laboratori o</w:t>
      </w:r>
      <w:r w:rsidR="004F638C" w:rsidRPr="00451078">
        <w:rPr>
          <w:rFonts w:cs="Tahoma"/>
          <w:szCs w:val="20"/>
          <w:lang w:val="it-IT"/>
        </w:rPr>
        <w:t> </w:t>
      </w:r>
      <w:r w:rsidRPr="00451078">
        <w:rPr>
          <w:rFonts w:cs="Tahoma"/>
          <w:szCs w:val="20"/>
          <w:lang w:val="it-IT"/>
        </w:rPr>
        <w:t>in</w:t>
      </w:r>
      <w:r w:rsidR="004F638C" w:rsidRPr="00451078">
        <w:rPr>
          <w:rFonts w:cs="Tahoma"/>
          <w:szCs w:val="20"/>
          <w:lang w:val="it-IT"/>
        </w:rPr>
        <w:t> </w:t>
      </w:r>
      <w:r w:rsidRPr="00451078">
        <w:rPr>
          <w:rFonts w:cs="Tahoma"/>
          <w:szCs w:val="20"/>
          <w:lang w:val="it-IT"/>
        </w:rPr>
        <w:t>classe.</w:t>
      </w:r>
    </w:p>
    <w:p w:rsidR="00A84CD1" w:rsidRDefault="00A84CD1" w:rsidP="00E62BC4">
      <w:pPr>
        <w:ind w:left="720"/>
        <w:rPr>
          <w:rFonts w:cs="Tahoma"/>
          <w:szCs w:val="20"/>
          <w:lang w:val="it-IT"/>
        </w:rPr>
      </w:pPr>
    </w:p>
    <w:p w:rsidR="00A84CD1" w:rsidRPr="00451078" w:rsidRDefault="00A84CD1" w:rsidP="00E62BC4">
      <w:pPr>
        <w:ind w:left="720"/>
        <w:rPr>
          <w:lang w:val="it-IT"/>
        </w:rPr>
      </w:pPr>
    </w:p>
    <w:p w:rsidR="00CC1B99" w:rsidRPr="00451078" w:rsidRDefault="00B26237" w:rsidP="00CC1B99">
      <w:pPr>
        <w:pStyle w:val="Heading3"/>
        <w:rPr>
          <w:lang w:val="it-IT"/>
        </w:rPr>
      </w:pPr>
      <w:bookmarkStart w:id="1244" w:name="_53_Forefront_Endpoint"/>
      <w:bookmarkStart w:id="1245" w:name="_Toc336338314"/>
      <w:bookmarkStart w:id="1246" w:name="_Toc352234906"/>
      <w:bookmarkStart w:id="1247" w:name="Srv_51ForfrontEndpointProtection"/>
      <w:bookmarkStart w:id="1248" w:name="Srv_50ForfrontEndpointProtection"/>
      <w:bookmarkStart w:id="1249" w:name="Srv_43ExchangeSvr07StdCAL"/>
      <w:bookmarkStart w:id="1250" w:name="Srv_44ExchangeSvr2010StdCAL"/>
      <w:bookmarkStart w:id="1251" w:name="Srv_42ExchangeSvr07StdCAL"/>
      <w:bookmarkEnd w:id="1244"/>
      <w:r w:rsidRPr="00451078">
        <w:rPr>
          <w:rFonts w:ascii="Tahoma" w:hAnsi="Tahoma"/>
          <w:caps/>
          <w:color w:val="F66400"/>
          <w:sz w:val="22"/>
          <w:vertAlign w:val="superscript"/>
          <w:lang w:val="it-IT"/>
        </w:rPr>
        <w:t>53</w:t>
      </w:r>
      <w:r w:rsidRPr="00451078">
        <w:rPr>
          <w:rFonts w:ascii="Tahoma" w:hAnsi="Tahoma"/>
          <w:color w:val="F66400"/>
          <w:sz w:val="22"/>
          <w:lang w:val="it-IT"/>
        </w:rPr>
        <w:t xml:space="preserve"> Forefront Endpoint Protection</w:t>
      </w:r>
      <w:bookmarkEnd w:id="1245"/>
      <w:bookmarkEnd w:id="1246"/>
    </w:p>
    <w:bookmarkEnd w:id="1247"/>
    <w:bookmarkEnd w:id="1248"/>
    <w:p w:rsidR="00CC1B99" w:rsidRPr="00451078" w:rsidRDefault="00CC1B99" w:rsidP="00E62BC4">
      <w:pPr>
        <w:ind w:left="720"/>
        <w:rPr>
          <w:lang w:val="it-IT"/>
        </w:rPr>
      </w:pPr>
    </w:p>
    <w:p w:rsidR="008A1A57" w:rsidRPr="00451078" w:rsidRDefault="008A1A57" w:rsidP="00E62BC4">
      <w:pPr>
        <w:tabs>
          <w:tab w:val="left" w:pos="1920"/>
        </w:tabs>
        <w:ind w:left="720"/>
        <w:rPr>
          <w:lang w:val="it-IT"/>
        </w:rPr>
      </w:pPr>
      <w:r w:rsidRPr="00451078">
        <w:rPr>
          <w:lang w:val="it-IT"/>
        </w:rPr>
        <w:t xml:space="preserve">A partire dal 1 aprile 2012 </w:t>
      </w:r>
      <w:r w:rsidRPr="00451078">
        <w:rPr>
          <w:rFonts w:eastAsia="Calibri" w:cs="Tahoma"/>
          <w:szCs w:val="18"/>
          <w:lang w:val="it-IT"/>
        </w:rPr>
        <w:t>Forefront Endpoint Protection, trattandosi di un</w:t>
      </w:r>
      <w:r w:rsidR="0073727D">
        <w:rPr>
          <w:rFonts w:eastAsia="Calibri" w:cs="Tahoma"/>
          <w:szCs w:val="18"/>
          <w:lang w:val="it-IT"/>
        </w:rPr>
        <w:t>’</w:t>
      </w:r>
      <w:r w:rsidRPr="00451078">
        <w:rPr>
          <w:rFonts w:eastAsia="Calibri" w:cs="Tahoma"/>
          <w:szCs w:val="18"/>
          <w:lang w:val="it-IT"/>
        </w:rPr>
        <w:t xml:space="preserve">offerta per la protezione client, sarà sostituita da </w:t>
      </w:r>
      <w:r w:rsidRPr="00451078">
        <w:rPr>
          <w:lang w:val="it-IT"/>
        </w:rPr>
        <w:t>System Center 2012 Endpoint Protection. System Center 2012 Endpoint Protection, trattandosi di un</w:t>
      </w:r>
      <w:r w:rsidR="0073727D">
        <w:rPr>
          <w:lang w:val="it-IT"/>
        </w:rPr>
        <w:t>’</w:t>
      </w:r>
      <w:r w:rsidRPr="00451078">
        <w:rPr>
          <w:lang w:val="it-IT"/>
        </w:rPr>
        <w:t>offerta standalone, conferisce diritti sull</w:t>
      </w:r>
      <w:r w:rsidR="0073727D">
        <w:rPr>
          <w:lang w:val="it-IT"/>
        </w:rPr>
        <w:t>’</w:t>
      </w:r>
      <w:r w:rsidRPr="00451078">
        <w:rPr>
          <w:lang w:val="it-IT"/>
        </w:rPr>
        <w:t>utilizzo solo per proteggere i dispositivi client. I</w:t>
      </w:r>
      <w:r w:rsidR="004F638C" w:rsidRPr="00451078">
        <w:rPr>
          <w:lang w:val="it-IT"/>
        </w:rPr>
        <w:t> </w:t>
      </w:r>
      <w:r w:rsidRPr="00451078">
        <w:rPr>
          <w:lang w:val="it-IT"/>
        </w:rPr>
        <w:t>diritti sull</w:t>
      </w:r>
      <w:r w:rsidR="0073727D">
        <w:rPr>
          <w:lang w:val="it-IT"/>
        </w:rPr>
        <w:t>’</w:t>
      </w:r>
      <w:r w:rsidRPr="00451078">
        <w:rPr>
          <w:lang w:val="it-IT"/>
        </w:rPr>
        <w:t>utilizzo per la protezione dei dispositivi server possono essere acquistati solo tramite l</w:t>
      </w:r>
      <w:r w:rsidR="0073727D">
        <w:rPr>
          <w:lang w:val="it-IT"/>
        </w:rPr>
        <w:t>’</w:t>
      </w:r>
      <w:r w:rsidRPr="00451078">
        <w:rPr>
          <w:lang w:val="it-IT"/>
        </w:rPr>
        <w:t>acquisto di</w:t>
      </w:r>
      <w:r w:rsidR="004F638C" w:rsidRPr="00451078">
        <w:rPr>
          <w:lang w:val="it-IT"/>
        </w:rPr>
        <w:t> </w:t>
      </w:r>
      <w:r w:rsidRPr="00451078">
        <w:rPr>
          <w:lang w:val="it-IT"/>
        </w:rPr>
        <w:t>licenze di gestione per System Center 2012 Standard o Datacenter.</w:t>
      </w:r>
    </w:p>
    <w:p w:rsidR="008A1A57" w:rsidRPr="00451078" w:rsidRDefault="008A1A57" w:rsidP="00E62BC4">
      <w:pPr>
        <w:tabs>
          <w:tab w:val="left" w:pos="1920"/>
        </w:tabs>
        <w:ind w:left="720"/>
        <w:rPr>
          <w:lang w:val="it-IT"/>
        </w:rPr>
      </w:pPr>
    </w:p>
    <w:p w:rsidR="008A1A57" w:rsidRPr="00451078" w:rsidRDefault="008A1A57" w:rsidP="00E62BC4">
      <w:pPr>
        <w:tabs>
          <w:tab w:val="left" w:pos="1920"/>
        </w:tabs>
        <w:ind w:left="720"/>
        <w:rPr>
          <w:lang w:val="it-IT"/>
        </w:rPr>
      </w:pPr>
      <w:r w:rsidRPr="00451078">
        <w:rPr>
          <w:rFonts w:eastAsia="Calibri" w:cs="Tahoma"/>
          <w:szCs w:val="18"/>
          <w:lang w:val="it-IT"/>
        </w:rPr>
        <w:t>Gli utenti con sottoscrizioni di Forefront Endpoint Protection attive</w:t>
      </w:r>
      <w:r w:rsidRPr="00451078">
        <w:rPr>
          <w:lang w:val="it-IT"/>
        </w:rPr>
        <w:t xml:space="preserve"> che utilizzano il servizio per proteggere i</w:t>
      </w:r>
      <w:r w:rsidR="004F638C" w:rsidRPr="00451078">
        <w:rPr>
          <w:lang w:val="it-IT"/>
        </w:rPr>
        <w:t> </w:t>
      </w:r>
      <w:r w:rsidRPr="00451078">
        <w:rPr>
          <w:lang w:val="it-IT"/>
        </w:rPr>
        <w:t>dispositivi client possono effettuare l</w:t>
      </w:r>
      <w:r w:rsidR="0073727D">
        <w:rPr>
          <w:lang w:val="it-IT"/>
        </w:rPr>
        <w:t>’</w:t>
      </w:r>
      <w:r w:rsidRPr="00451078">
        <w:rPr>
          <w:lang w:val="it-IT"/>
        </w:rPr>
        <w:t>aggiornamento a System Center 2012 Endpoint Protection per lo stesso scopo.</w:t>
      </w:r>
    </w:p>
    <w:p w:rsidR="008A1A57" w:rsidRPr="00451078" w:rsidRDefault="008A1A57" w:rsidP="00E62BC4">
      <w:pPr>
        <w:tabs>
          <w:tab w:val="left" w:pos="1920"/>
        </w:tabs>
        <w:ind w:left="720"/>
        <w:rPr>
          <w:lang w:val="it-IT"/>
        </w:rPr>
      </w:pPr>
    </w:p>
    <w:p w:rsidR="008A1A57" w:rsidRPr="00451078" w:rsidRDefault="008A1A57" w:rsidP="00E62BC4">
      <w:pPr>
        <w:tabs>
          <w:tab w:val="left" w:pos="1920"/>
        </w:tabs>
        <w:ind w:left="720"/>
        <w:rPr>
          <w:lang w:val="it-IT"/>
        </w:rPr>
      </w:pPr>
      <w:r w:rsidRPr="00451078">
        <w:rPr>
          <w:rFonts w:eastAsia="Calibri" w:cs="Tahoma"/>
          <w:szCs w:val="18"/>
          <w:lang w:val="it-IT"/>
        </w:rPr>
        <w:t>Gli utenti con sottoscrizioni di Forefront Endpoint Protection attive</w:t>
      </w:r>
      <w:r w:rsidRPr="00451078">
        <w:rPr>
          <w:lang w:val="it-IT"/>
        </w:rPr>
        <w:t xml:space="preserve"> che si servono del servizio per proteggere i dispositivi server potranno continuare a utilizzare il servizio Forefront Endpoint Protection.</w:t>
      </w:r>
    </w:p>
    <w:p w:rsidR="008A1A57" w:rsidRPr="00451078" w:rsidRDefault="008A1A57" w:rsidP="00E62BC4">
      <w:pPr>
        <w:ind w:left="720"/>
        <w:rPr>
          <w:lang w:val="it-IT"/>
        </w:rPr>
      </w:pPr>
    </w:p>
    <w:p w:rsidR="008A1A57" w:rsidRPr="00451078" w:rsidRDefault="008A1A57" w:rsidP="00E62BC4">
      <w:pPr>
        <w:ind w:left="720"/>
        <w:rPr>
          <w:lang w:val="it-IT"/>
        </w:rPr>
      </w:pPr>
      <w:r w:rsidRPr="00451078">
        <w:rPr>
          <w:rFonts w:eastAsia="Calibri" w:cs="Tahoma"/>
          <w:szCs w:val="18"/>
          <w:lang w:val="it-IT"/>
        </w:rPr>
        <w:t>System Center Configuration Manager 2007 R2 o R3 è la console di gestione di Forefront Endpoint Protection 2010. Le società dovranno disporre della licenza per System Center Configuration Manager 2007 R2 o R3 per fornire funzionalità di gestione a Forefront Endpoint Protection 2010. Forefront Endpoint Protection 2010 può essere utilizzato senza funzionalità di gestione e senza dovere acquistare la licenza per System Center Configuration Manager.</w:t>
      </w:r>
      <w:r w:rsidR="00082E1C" w:rsidRPr="00451078">
        <w:rPr>
          <w:rFonts w:eastAsia="Calibri" w:cs="Tahoma"/>
          <w:szCs w:val="18"/>
          <w:lang w:val="it-IT"/>
        </w:rPr>
        <w:t xml:space="preserve"> </w:t>
      </w:r>
    </w:p>
    <w:p w:rsidR="008A1A57" w:rsidRPr="00451078" w:rsidRDefault="008A1A57" w:rsidP="00E62BC4">
      <w:pPr>
        <w:ind w:left="720"/>
        <w:rPr>
          <w:lang w:val="it-IT"/>
        </w:rPr>
      </w:pPr>
    </w:p>
    <w:p w:rsidR="008A1A57" w:rsidRPr="00451078" w:rsidRDefault="005427B6" w:rsidP="005427B6">
      <w:pPr>
        <w:spacing w:after="60"/>
        <w:ind w:left="720"/>
        <w:rPr>
          <w:lang w:val="it-IT"/>
        </w:rPr>
      </w:pPr>
      <w:r w:rsidRPr="00451078">
        <w:rPr>
          <w:rFonts w:eastAsia="Calibri" w:cs="Tahoma"/>
          <w:b/>
          <w:szCs w:val="18"/>
          <w:lang w:val="it-IT"/>
        </w:rPr>
        <w:t>Home Use Program</w:t>
      </w:r>
    </w:p>
    <w:p w:rsidR="008A1A57" w:rsidRPr="00451078" w:rsidRDefault="008A1A57" w:rsidP="00E62BC4">
      <w:pPr>
        <w:ind w:left="720"/>
        <w:rPr>
          <w:lang w:val="it-IT"/>
        </w:rPr>
      </w:pPr>
      <w:r w:rsidRPr="00451078">
        <w:rPr>
          <w:rFonts w:eastAsia="Calibri" w:cs="Tahoma"/>
          <w:szCs w:val="18"/>
          <w:lang w:val="it-IT"/>
        </w:rPr>
        <w:t xml:space="preserve">Le società in possesso di Licenze </w:t>
      </w:r>
      <w:r w:rsidR="001A3EC5" w:rsidRPr="00451078">
        <w:rPr>
          <w:rFonts w:eastAsia="Calibri" w:cs="Tahoma"/>
          <w:szCs w:val="18"/>
          <w:lang w:val="it-IT"/>
        </w:rPr>
        <w:t>“</w:t>
      </w:r>
      <w:r w:rsidRPr="00451078">
        <w:rPr>
          <w:rFonts w:eastAsia="Calibri" w:cs="Tahoma"/>
          <w:szCs w:val="18"/>
          <w:lang w:val="it-IT"/>
        </w:rPr>
        <w:t>Subscription</w:t>
      </w:r>
      <w:r w:rsidR="001A3EC5" w:rsidRPr="00451078">
        <w:rPr>
          <w:rFonts w:eastAsia="Calibri" w:cs="Tahoma"/>
          <w:szCs w:val="18"/>
          <w:lang w:val="it-IT"/>
        </w:rPr>
        <w:t>”</w:t>
      </w:r>
      <w:r w:rsidRPr="00451078">
        <w:rPr>
          <w:rFonts w:eastAsia="Calibri" w:cs="Tahoma"/>
          <w:szCs w:val="18"/>
          <w:lang w:val="it-IT"/>
        </w:rPr>
        <w:t xml:space="preserve"> per Utente attive per Forefront Endpoint Protection 2010 si qualificano per il programma Home Use Program.</w:t>
      </w:r>
    </w:p>
    <w:p w:rsidR="00BA1490" w:rsidRPr="00451078" w:rsidRDefault="00BA1490" w:rsidP="00BA1490">
      <w:pPr>
        <w:rPr>
          <w:lang w:val="it-IT"/>
        </w:rPr>
      </w:pPr>
      <w:bookmarkStart w:id="1252" w:name="_Toc254758297"/>
      <w:bookmarkStart w:id="1253" w:name="Srv_44ForefrontOnSecforExch"/>
      <w:bookmarkStart w:id="1254" w:name="Srv_43ForefrontOnSecforExch"/>
      <w:bookmarkEnd w:id="1249"/>
      <w:bookmarkEnd w:id="1250"/>
      <w:bookmarkEnd w:id="1251"/>
    </w:p>
    <w:p w:rsidR="00BA1490" w:rsidRPr="00451078" w:rsidRDefault="00BA1490" w:rsidP="00BA1490">
      <w:pPr>
        <w:rPr>
          <w:lang w:val="it-IT"/>
        </w:rPr>
      </w:pPr>
    </w:p>
    <w:p w:rsidR="009E4FDD" w:rsidRPr="00451078" w:rsidRDefault="00B26237" w:rsidP="009E4FDD">
      <w:pPr>
        <w:pStyle w:val="Heading3"/>
        <w:rPr>
          <w:lang w:val="it-IT"/>
        </w:rPr>
      </w:pPr>
      <w:bookmarkStart w:id="1255" w:name="_54_Forefront_Identity"/>
      <w:bookmarkStart w:id="1256" w:name="_Toc336338315"/>
      <w:bookmarkStart w:id="1257" w:name="_Toc352234907"/>
      <w:bookmarkStart w:id="1258" w:name="Srv_43ForefrontIdMgr2010"/>
      <w:bookmarkStart w:id="1259" w:name="Srv_48ForefrontIdMgr2010"/>
      <w:bookmarkStart w:id="1260" w:name="Srv_45ForefrontIdMgr2010"/>
      <w:bookmarkEnd w:id="1255"/>
      <w:r w:rsidRPr="00451078">
        <w:rPr>
          <w:rFonts w:ascii="Tahoma" w:hAnsi="Tahoma"/>
          <w:caps/>
          <w:color w:val="F66400"/>
          <w:sz w:val="22"/>
          <w:vertAlign w:val="superscript"/>
          <w:lang w:val="it-IT"/>
        </w:rPr>
        <w:t>54</w:t>
      </w:r>
      <w:r w:rsidRPr="00451078">
        <w:rPr>
          <w:rFonts w:ascii="Tahoma" w:hAnsi="Tahoma"/>
          <w:caps/>
          <w:color w:val="F66400"/>
          <w:sz w:val="22"/>
          <w:lang w:val="it-IT"/>
        </w:rPr>
        <w:t xml:space="preserve"> </w:t>
      </w:r>
      <w:r w:rsidRPr="00451078">
        <w:rPr>
          <w:rFonts w:ascii="Tahoma" w:hAnsi="Tahoma"/>
          <w:color w:val="F66400"/>
          <w:sz w:val="22"/>
          <w:lang w:val="it-IT"/>
        </w:rPr>
        <w:t>Forefront Identity Manager 2010</w:t>
      </w:r>
      <w:bookmarkEnd w:id="1252"/>
      <w:r w:rsidRPr="00451078">
        <w:rPr>
          <w:rFonts w:ascii="Tahoma" w:hAnsi="Tahoma"/>
          <w:color w:val="F66400"/>
          <w:sz w:val="22"/>
          <w:lang w:val="it-IT"/>
        </w:rPr>
        <w:t xml:space="preserve"> R2</w:t>
      </w:r>
      <w:bookmarkEnd w:id="1256"/>
      <w:bookmarkEnd w:id="1257"/>
    </w:p>
    <w:bookmarkEnd w:id="1258"/>
    <w:bookmarkEnd w:id="1259"/>
    <w:bookmarkEnd w:id="1260"/>
    <w:p w:rsidR="009E4FDD" w:rsidRPr="00451078" w:rsidRDefault="009E4FDD" w:rsidP="009E4FDD">
      <w:pPr>
        <w:ind w:left="720"/>
        <w:rPr>
          <w:lang w:val="it-IT"/>
        </w:rPr>
      </w:pPr>
    </w:p>
    <w:p w:rsidR="009E4FDD" w:rsidRPr="00451078" w:rsidRDefault="009E4FDD" w:rsidP="005427B6">
      <w:pPr>
        <w:spacing w:after="60"/>
        <w:ind w:left="720"/>
        <w:rPr>
          <w:lang w:val="it-IT"/>
        </w:rPr>
      </w:pPr>
      <w:r w:rsidRPr="00451078">
        <w:rPr>
          <w:rFonts w:cs="Tahoma"/>
          <w:b/>
          <w:color w:val="000000"/>
          <w:szCs w:val="18"/>
          <w:lang w:val="it-IT"/>
        </w:rPr>
        <w:t>Versione</w:t>
      </w:r>
    </w:p>
    <w:p w:rsidR="009E4FDD" w:rsidRPr="00451078" w:rsidRDefault="009E4FDD" w:rsidP="005427B6">
      <w:pPr>
        <w:ind w:left="720"/>
        <w:rPr>
          <w:lang w:val="it-IT"/>
        </w:rPr>
      </w:pPr>
      <w:r w:rsidRPr="00451078">
        <w:rPr>
          <w:rFonts w:cs="Tahoma"/>
          <w:color w:val="000000"/>
          <w:szCs w:val="18"/>
          <w:lang w:val="it-IT"/>
        </w:rPr>
        <w:t>Forefront Identity Manager 2010 R2 è la versione successiva di Forefront Identity Manager 2010.</w:t>
      </w:r>
    </w:p>
    <w:p w:rsidR="005427B6" w:rsidRDefault="005427B6" w:rsidP="005427B6">
      <w:pPr>
        <w:rPr>
          <w:lang w:val="it-IT"/>
        </w:rPr>
      </w:pPr>
    </w:p>
    <w:p w:rsidR="0017708B" w:rsidRPr="00451078" w:rsidRDefault="0017708B" w:rsidP="005427B6">
      <w:pPr>
        <w:rPr>
          <w:lang w:val="it-IT"/>
        </w:rPr>
      </w:pPr>
    </w:p>
    <w:p w:rsidR="00936C19" w:rsidRPr="003410C7" w:rsidRDefault="00B26237" w:rsidP="005427B6">
      <w:pPr>
        <w:pStyle w:val="Heading2"/>
        <w:ind w:left="0"/>
      </w:pPr>
      <w:bookmarkStart w:id="1261" w:name="_55_Forefront_Identity"/>
      <w:bookmarkStart w:id="1262" w:name="_Toc336338316"/>
      <w:bookmarkStart w:id="1263" w:name="Srv_54ForefrontIDMgrWinLiveEd"/>
      <w:bookmarkStart w:id="1264" w:name="_Toc352234908"/>
      <w:bookmarkStart w:id="1265" w:name="Srv_46ForefrontOnlineProforExch"/>
      <w:bookmarkEnd w:id="1261"/>
      <w:r w:rsidRPr="003410C7">
        <w:rPr>
          <w:rFonts w:ascii="Tahoma" w:hAnsi="Tahoma" w:cs="Tahoma"/>
          <w:caps/>
          <w:color w:val="F26200"/>
          <w:sz w:val="20"/>
          <w:vertAlign w:val="superscript"/>
        </w:rPr>
        <w:t>55</w:t>
      </w:r>
      <w:r w:rsidRPr="003410C7">
        <w:rPr>
          <w:rFonts w:ascii="Tahoma" w:hAnsi="Tahoma" w:cs="Tahoma"/>
          <w:color w:val="F26200"/>
        </w:rPr>
        <w:t xml:space="preserve"> </w:t>
      </w:r>
      <w:r w:rsidRPr="003410C7">
        <w:rPr>
          <w:rFonts w:ascii="Tahoma" w:hAnsi="Tahoma" w:cs="Tahoma"/>
          <w:color w:val="F26200"/>
          <w:sz w:val="22"/>
        </w:rPr>
        <w:t>Forefront Identity Manager 2010 – Windows Live Edition</w:t>
      </w:r>
      <w:bookmarkEnd w:id="1262"/>
      <w:bookmarkEnd w:id="1263"/>
      <w:bookmarkEnd w:id="1264"/>
    </w:p>
    <w:p w:rsidR="005427B6" w:rsidRPr="003410C7" w:rsidRDefault="005427B6" w:rsidP="005427B6"/>
    <w:p w:rsidR="005D346C" w:rsidRPr="003410C7" w:rsidRDefault="005D346C" w:rsidP="005427B6">
      <w:pPr>
        <w:spacing w:after="60"/>
        <w:ind w:left="720"/>
      </w:pPr>
      <w:r w:rsidRPr="003410C7">
        <w:rPr>
          <w:rFonts w:cs="Tahoma"/>
          <w:b/>
          <w:color w:val="000000"/>
          <w:szCs w:val="18"/>
        </w:rPr>
        <w:t>Versione</w:t>
      </w:r>
    </w:p>
    <w:p w:rsidR="005D346C" w:rsidRPr="003410C7" w:rsidRDefault="005D346C" w:rsidP="00E62BC4">
      <w:pPr>
        <w:ind w:left="720"/>
      </w:pPr>
      <w:r w:rsidRPr="003410C7">
        <w:rPr>
          <w:color w:val="000000"/>
        </w:rPr>
        <w:t>Forefront Identity Manager 2010 – Windows Live Edition è la versione successiva di Identity Lifecycle Manager 2007 – Windows Live Edition</w:t>
      </w:r>
    </w:p>
    <w:p w:rsidR="00586FCE" w:rsidRPr="003410C7" w:rsidRDefault="00586FCE" w:rsidP="00E62BC4">
      <w:pPr>
        <w:ind w:left="720"/>
      </w:pPr>
    </w:p>
    <w:p w:rsidR="00BF1889" w:rsidRPr="003410C7" w:rsidRDefault="00BF1889" w:rsidP="00697E59">
      <w:pPr>
        <w:pStyle w:val="EndnoteText"/>
        <w:ind w:left="0"/>
      </w:pPr>
      <w:bookmarkStart w:id="1266" w:name="Srv_47ForefrontProforExcSvrandShare"/>
      <w:bookmarkEnd w:id="1253"/>
      <w:bookmarkEnd w:id="1254"/>
      <w:bookmarkEnd w:id="1265"/>
    </w:p>
    <w:p w:rsidR="00273685" w:rsidRPr="003410C7" w:rsidRDefault="00273685" w:rsidP="00221A57">
      <w:pPr>
        <w:pStyle w:val="EndnoteText"/>
        <w:ind w:left="0"/>
      </w:pPr>
      <w:bookmarkStart w:id="1267" w:name="Srv_48ForefrontProtectionSuite"/>
      <w:bookmarkEnd w:id="1266"/>
    </w:p>
    <w:p w:rsidR="00273685" w:rsidRPr="003410C7" w:rsidRDefault="00273685" w:rsidP="004F638C">
      <w:pPr>
        <w:pStyle w:val="Heading3"/>
        <w:ind w:left="245" w:hanging="245"/>
      </w:pPr>
      <w:bookmarkStart w:id="1268" w:name="_54_Forefront_Protection"/>
      <w:bookmarkStart w:id="1269" w:name="_55_Forefront_Protection"/>
      <w:bookmarkStart w:id="1270" w:name="_56_Forefront_Protection"/>
      <w:bookmarkStart w:id="1271" w:name="_Toc336338318"/>
      <w:bookmarkStart w:id="1272" w:name="_Toc352234909"/>
      <w:bookmarkStart w:id="1273" w:name="Srv_44ForefrontSecforExcSharep"/>
      <w:bookmarkStart w:id="1274" w:name="Srv_45ForefrontSecforExcSharep"/>
      <w:bookmarkEnd w:id="1268"/>
      <w:bookmarkEnd w:id="1269"/>
      <w:bookmarkEnd w:id="1270"/>
      <w:r w:rsidRPr="003410C7">
        <w:rPr>
          <w:rFonts w:ascii="Tahoma" w:hAnsi="Tahoma"/>
          <w:caps/>
          <w:color w:val="F66400"/>
          <w:sz w:val="22"/>
          <w:vertAlign w:val="superscript"/>
        </w:rPr>
        <w:t>56</w:t>
      </w:r>
      <w:r w:rsidRPr="003410C7">
        <w:rPr>
          <w:rFonts w:ascii="Tahoma" w:hAnsi="Tahoma"/>
          <w:color w:val="F66400"/>
          <w:sz w:val="22"/>
        </w:rPr>
        <w:t xml:space="preserve"> Forefront Protection 2010 for Exchange Server (SL per Dispositivo e Utente), Forefront Protection 2010 for SharePoint (SL per Dispositivo e Utente)</w:t>
      </w:r>
      <w:bookmarkEnd w:id="1271"/>
      <w:r w:rsidRPr="003410C7">
        <w:rPr>
          <w:rFonts w:ascii="Tahoma" w:hAnsi="Tahoma"/>
          <w:color w:val="F66400"/>
          <w:sz w:val="22"/>
        </w:rPr>
        <w:t xml:space="preserve"> e</w:t>
      </w:r>
      <w:r w:rsidR="004F638C">
        <w:rPr>
          <w:rFonts w:ascii="Tahoma" w:hAnsi="Tahoma"/>
          <w:color w:val="F66400"/>
          <w:sz w:val="22"/>
        </w:rPr>
        <w:t> </w:t>
      </w:r>
      <w:r w:rsidRPr="003410C7">
        <w:rPr>
          <w:rFonts w:ascii="Tahoma" w:hAnsi="Tahoma"/>
          <w:color w:val="F66400"/>
          <w:sz w:val="22"/>
        </w:rPr>
        <w:t>Forefront</w:t>
      </w:r>
      <w:r w:rsidR="004F638C">
        <w:rPr>
          <w:rFonts w:ascii="Tahoma" w:hAnsi="Tahoma"/>
          <w:color w:val="F66400"/>
          <w:sz w:val="22"/>
        </w:rPr>
        <w:t> </w:t>
      </w:r>
      <w:r w:rsidRPr="003410C7">
        <w:rPr>
          <w:rFonts w:ascii="Tahoma" w:hAnsi="Tahoma"/>
          <w:color w:val="F66400"/>
          <w:sz w:val="22"/>
        </w:rPr>
        <w:t>Protection 2010 per Siti Internet (SL Add-on)</w:t>
      </w:r>
      <w:bookmarkEnd w:id="1272"/>
    </w:p>
    <w:bookmarkEnd w:id="1273"/>
    <w:bookmarkEnd w:id="1274"/>
    <w:p w:rsidR="00273685" w:rsidRPr="003410C7" w:rsidRDefault="00273685" w:rsidP="00273685">
      <w:pPr>
        <w:ind w:left="720"/>
      </w:pPr>
    </w:p>
    <w:p w:rsidR="00273685" w:rsidRPr="00451078" w:rsidRDefault="00273685" w:rsidP="00273685">
      <w:pPr>
        <w:ind w:left="720"/>
        <w:rPr>
          <w:lang w:val="it-IT"/>
        </w:rPr>
      </w:pPr>
      <w:r w:rsidRPr="003410C7">
        <w:rPr>
          <w:rFonts w:cs="Tahoma"/>
          <w:bCs/>
          <w:color w:val="000000"/>
          <w:szCs w:val="18"/>
        </w:rPr>
        <w:t xml:space="preserve">Forefront Protection 2010 for SharePoint, Forefront Protection 2010 for Exchange Server e Forefront Protection 2010 per Siti Internet non saranno più disponibili a partire dal 1 dicembre 2012. </w:t>
      </w:r>
      <w:r w:rsidRPr="00451078">
        <w:rPr>
          <w:rFonts w:cs="Tahoma"/>
          <w:bCs/>
          <w:color w:val="000000"/>
          <w:szCs w:val="18"/>
          <w:lang w:val="it-IT"/>
        </w:rPr>
        <w:t>Le società che disporranno di sottoscrizioni attive dei servizi online alla data del 30 novembre 2012 potranno continuare a</w:t>
      </w:r>
      <w:r w:rsidR="00072428" w:rsidRPr="00451078">
        <w:rPr>
          <w:rFonts w:cs="Tahoma"/>
          <w:bCs/>
          <w:color w:val="000000"/>
          <w:szCs w:val="18"/>
          <w:lang w:val="it-IT"/>
        </w:rPr>
        <w:t> </w:t>
      </w:r>
      <w:r w:rsidRPr="00451078">
        <w:rPr>
          <w:rFonts w:cs="Tahoma"/>
          <w:bCs/>
          <w:color w:val="000000"/>
          <w:szCs w:val="18"/>
          <w:lang w:val="it-IT"/>
        </w:rPr>
        <w:t xml:space="preserve">utilizzare i servizi online fino al 31 dicembre 2015. </w:t>
      </w:r>
      <w:r w:rsidRPr="00451078">
        <w:rPr>
          <w:lang w:val="it-IT"/>
        </w:rPr>
        <w:t xml:space="preserve">Le società esistenti potranno inoltre aggiungere nuovi utenti in base alle proprie esigenze senza dovere ordinare Licenze </w:t>
      </w:r>
      <w:r w:rsidR="001A3EC5" w:rsidRPr="00451078">
        <w:rPr>
          <w:lang w:val="it-IT"/>
        </w:rPr>
        <w:t>“</w:t>
      </w:r>
      <w:r w:rsidRPr="00451078">
        <w:rPr>
          <w:lang w:val="it-IT"/>
        </w:rPr>
        <w:t>Subscription</w:t>
      </w:r>
      <w:r w:rsidR="001A3EC5" w:rsidRPr="00451078">
        <w:rPr>
          <w:lang w:val="it-IT"/>
        </w:rPr>
        <w:t>”</w:t>
      </w:r>
      <w:r w:rsidRPr="00451078">
        <w:rPr>
          <w:lang w:val="it-IT"/>
        </w:rPr>
        <w:t xml:space="preserve"> per Utente aggiuntive.</w:t>
      </w:r>
      <w:r w:rsidR="00082E1C" w:rsidRPr="00451078">
        <w:rPr>
          <w:lang w:val="it-IT"/>
        </w:rPr>
        <w:t xml:space="preserve"> </w:t>
      </w:r>
      <w:r w:rsidRPr="00451078">
        <w:rPr>
          <w:rFonts w:cs="Tahoma"/>
          <w:bCs/>
          <w:color w:val="000000"/>
          <w:szCs w:val="18"/>
          <w:lang w:val="it-IT"/>
        </w:rPr>
        <w:lastRenderedPageBreak/>
        <w:t>L</w:t>
      </w:r>
      <w:r w:rsidR="0073727D">
        <w:rPr>
          <w:rFonts w:cs="Tahoma"/>
          <w:bCs/>
          <w:color w:val="000000"/>
          <w:szCs w:val="18"/>
          <w:lang w:val="it-IT"/>
        </w:rPr>
        <w:t>’</w:t>
      </w:r>
      <w:r w:rsidRPr="00451078">
        <w:rPr>
          <w:rFonts w:cs="Tahoma"/>
          <w:bCs/>
          <w:color w:val="000000"/>
          <w:szCs w:val="18"/>
          <w:lang w:val="it-IT"/>
        </w:rPr>
        <w:t xml:space="preserve">utilizzo continuato dei servizi online rimane soggetto alle condizioni del Contratto Multilicenza della società, ai diritti di utilizzo del prodotto relativi al servizio online e alle presenti condizioni. </w:t>
      </w:r>
    </w:p>
    <w:p w:rsidR="00273685" w:rsidRPr="00451078" w:rsidRDefault="00273685" w:rsidP="00273685">
      <w:pPr>
        <w:ind w:left="720"/>
        <w:rPr>
          <w:lang w:val="it-IT"/>
        </w:rPr>
      </w:pPr>
    </w:p>
    <w:p w:rsidR="00273685" w:rsidRPr="00451078" w:rsidRDefault="00273685" w:rsidP="00221A57">
      <w:pPr>
        <w:spacing w:after="60"/>
        <w:ind w:left="720"/>
        <w:rPr>
          <w:lang w:val="it-IT"/>
        </w:rPr>
      </w:pPr>
      <w:r w:rsidRPr="00451078">
        <w:rPr>
          <w:rFonts w:cs="Tahoma"/>
          <w:b/>
          <w:szCs w:val="20"/>
          <w:lang w:val="it-IT"/>
        </w:rPr>
        <w:t>Diritto di Migrazione per Forefront Protection 2010 for Exchange Server</w:t>
      </w:r>
    </w:p>
    <w:p w:rsidR="00273685" w:rsidRPr="00451078" w:rsidRDefault="00273685" w:rsidP="00221A57">
      <w:pPr>
        <w:ind w:left="720"/>
        <w:rPr>
          <w:lang w:val="it-IT"/>
        </w:rPr>
      </w:pPr>
      <w:r w:rsidRPr="00451078">
        <w:rPr>
          <w:rFonts w:cs="Tahoma"/>
          <w:color w:val="000000"/>
          <w:szCs w:val="20"/>
          <w:lang w:val="it-IT"/>
        </w:rPr>
        <w:t>Le società che hanno stipulato un contratto multilicenza e che hanno acquistato una licenza per Forefront Protection 2010 for Exchange Server sono idonee a utilizzare Antigen for Exchange, Antigen for SMTP Gateways e Antigen Spam Manager al posto di Forefront Protection 2010 for Exchange Server. L</w:t>
      </w:r>
      <w:r w:rsidR="0073727D">
        <w:rPr>
          <w:rFonts w:cs="Tahoma"/>
          <w:color w:val="000000"/>
          <w:szCs w:val="20"/>
          <w:lang w:val="it-IT"/>
        </w:rPr>
        <w:t>’</w:t>
      </w:r>
      <w:r w:rsidRPr="00451078">
        <w:rPr>
          <w:rFonts w:cs="Tahoma"/>
          <w:color w:val="000000"/>
          <w:szCs w:val="20"/>
          <w:lang w:val="it-IT"/>
        </w:rPr>
        <w:t>utilizzo di Antigen for Exchange, Antigen for SMTP Gateways e Antigen Spam Manager è soggetto al relativo contratto di licenza e ai diritti sull</w:t>
      </w:r>
      <w:r w:rsidR="0073727D">
        <w:rPr>
          <w:rFonts w:cs="Tahoma"/>
          <w:color w:val="000000"/>
          <w:szCs w:val="20"/>
          <w:lang w:val="it-IT"/>
        </w:rPr>
        <w:t>’</w:t>
      </w:r>
      <w:r w:rsidRPr="00451078">
        <w:rPr>
          <w:rFonts w:cs="Tahoma"/>
          <w:color w:val="000000"/>
          <w:szCs w:val="20"/>
          <w:lang w:val="it-IT"/>
        </w:rPr>
        <w:t>utilizzo di Forefront Protection 2010 for Exchange Server.* I diritti delle società di utilizzare Antigen for Exchange, Antigen for SMTP Gateways e Antigen Spam Manager cesseranno alla scadenza dei diritti concessi dalla loro licenza per Forefront Protection 2010 for Exchange Server.</w:t>
      </w:r>
    </w:p>
    <w:p w:rsidR="00273685" w:rsidRPr="00451078" w:rsidRDefault="00273685" w:rsidP="00221A57">
      <w:pPr>
        <w:ind w:left="720"/>
        <w:rPr>
          <w:lang w:val="it-IT"/>
        </w:rPr>
      </w:pPr>
    </w:p>
    <w:p w:rsidR="00273685" w:rsidRPr="00451078" w:rsidRDefault="00273685" w:rsidP="00221A57">
      <w:pPr>
        <w:ind w:left="720"/>
        <w:rPr>
          <w:lang w:val="it-IT"/>
        </w:rPr>
      </w:pPr>
      <w:r w:rsidRPr="00451078">
        <w:rPr>
          <w:rFonts w:cs="Tahoma"/>
          <w:color w:val="000000"/>
          <w:szCs w:val="20"/>
          <w:lang w:val="it-IT"/>
        </w:rPr>
        <w:t>*Il diritto di utilizzo di Antigen al posto di Forefront Security non si applica alle società che hanno inizialmente acquistato licenze per uno o più servizi Antigen e che successivamente migrano a Forefront Protection 2010 for Exchange Server. Ad esempio, le società titolari di una licenza Antigen for Exchange non</w:t>
      </w:r>
      <w:r w:rsidR="00072428" w:rsidRPr="00451078">
        <w:rPr>
          <w:rFonts w:cs="Tahoma"/>
          <w:color w:val="000000"/>
          <w:szCs w:val="20"/>
          <w:lang w:val="it-IT"/>
        </w:rPr>
        <w:t> </w:t>
      </w:r>
      <w:r w:rsidRPr="00451078">
        <w:rPr>
          <w:rFonts w:cs="Tahoma"/>
          <w:color w:val="000000"/>
          <w:szCs w:val="20"/>
          <w:lang w:val="it-IT"/>
        </w:rPr>
        <w:t>sono autorizzate a utilizzare Antigen for SMTP Gateways o Antigen Spam Manager nell</w:t>
      </w:r>
      <w:r w:rsidR="0073727D">
        <w:rPr>
          <w:rFonts w:cs="Tahoma"/>
          <w:color w:val="000000"/>
          <w:szCs w:val="20"/>
          <w:lang w:val="it-IT"/>
        </w:rPr>
        <w:t>’</w:t>
      </w:r>
      <w:r w:rsidRPr="00451078">
        <w:rPr>
          <w:rFonts w:cs="Tahoma"/>
          <w:color w:val="000000"/>
          <w:szCs w:val="20"/>
          <w:lang w:val="it-IT"/>
        </w:rPr>
        <w:t>ambito delle rispettive licenze Antigen for Exchange ai sensi dei diritti di migrazione a Forefront Protection 2010 for Exchange Server previsti da tale licenza.</w:t>
      </w:r>
      <w:r w:rsidR="00082E1C" w:rsidRPr="00451078">
        <w:rPr>
          <w:rFonts w:cs="Tahoma"/>
          <w:color w:val="000000"/>
          <w:szCs w:val="20"/>
          <w:lang w:val="it-IT"/>
        </w:rPr>
        <w:t xml:space="preserve"> </w:t>
      </w:r>
    </w:p>
    <w:p w:rsidR="00973A93" w:rsidRPr="00451078" w:rsidRDefault="00973A93">
      <w:pPr>
        <w:rPr>
          <w:lang w:val="it-IT"/>
        </w:rPr>
      </w:pPr>
    </w:p>
    <w:p w:rsidR="00273685" w:rsidRPr="003410C7" w:rsidRDefault="00273685" w:rsidP="00221A57">
      <w:pPr>
        <w:spacing w:after="60"/>
        <w:ind w:left="720"/>
      </w:pPr>
      <w:r w:rsidRPr="003410C7">
        <w:rPr>
          <w:rFonts w:cs="Tahoma"/>
          <w:b/>
          <w:szCs w:val="20"/>
        </w:rPr>
        <w:t>Diritto di Downgrade per Forefront Security for SharePoint</w:t>
      </w:r>
    </w:p>
    <w:p w:rsidR="00273685" w:rsidRPr="00451078" w:rsidRDefault="00273685" w:rsidP="00221A57">
      <w:pPr>
        <w:ind w:left="720"/>
        <w:rPr>
          <w:lang w:val="it-IT"/>
        </w:rPr>
      </w:pPr>
      <w:r w:rsidRPr="00451078">
        <w:rPr>
          <w:rFonts w:cs="Tahoma"/>
          <w:szCs w:val="20"/>
          <w:lang w:val="it-IT"/>
        </w:rPr>
        <w:t>Le società che abbiano stipulato contratti Volume License e che abbiano acquistato una licenza per Forefront Protection 2010 for SharePoint sono idonee a effettuare il downgrade a e utilizzare Antigen for SharePoint al posto delle licenze Forefront Protection 2010 for SharePoint. L</w:t>
      </w:r>
      <w:r w:rsidR="0073727D">
        <w:rPr>
          <w:rFonts w:cs="Tahoma"/>
          <w:szCs w:val="20"/>
          <w:lang w:val="it-IT"/>
        </w:rPr>
        <w:t>’</w:t>
      </w:r>
      <w:r w:rsidRPr="00451078">
        <w:rPr>
          <w:rFonts w:cs="Tahoma"/>
          <w:szCs w:val="20"/>
          <w:lang w:val="it-IT"/>
        </w:rPr>
        <w:t>utilizzo di Antigen for SharePoint è soggetto alle condizioni del contratto di licenza e ai diritti di utilizzo di Forefront Protection 2010 for SharePoint. I</w:t>
      </w:r>
      <w:r w:rsidR="00072428" w:rsidRPr="00451078">
        <w:rPr>
          <w:rFonts w:cs="Tahoma"/>
          <w:szCs w:val="20"/>
          <w:lang w:val="it-IT"/>
        </w:rPr>
        <w:t> </w:t>
      </w:r>
      <w:r w:rsidRPr="00451078">
        <w:rPr>
          <w:rFonts w:cs="Tahoma"/>
          <w:szCs w:val="20"/>
          <w:lang w:val="it-IT"/>
        </w:rPr>
        <w:t>diritti delle società di utilizzare Antigen for SharePoint cesseranno alla scadenza dei diritti della licenza Forefront Protection 2010 for SharePoint.</w:t>
      </w:r>
    </w:p>
    <w:p w:rsidR="00273685" w:rsidRPr="00451078" w:rsidRDefault="00273685" w:rsidP="00221A57">
      <w:pPr>
        <w:ind w:left="720"/>
        <w:rPr>
          <w:lang w:val="it-IT"/>
        </w:rPr>
      </w:pPr>
    </w:p>
    <w:p w:rsidR="00273685" w:rsidRPr="00451078" w:rsidRDefault="00273685" w:rsidP="00221A57">
      <w:pPr>
        <w:ind w:left="720"/>
        <w:rPr>
          <w:lang w:val="it-IT"/>
        </w:rPr>
      </w:pPr>
      <w:r w:rsidRPr="00451078">
        <w:rPr>
          <w:rFonts w:cs="Tahoma"/>
          <w:bCs/>
          <w:color w:val="000000"/>
          <w:szCs w:val="20"/>
          <w:lang w:val="it-IT"/>
        </w:rPr>
        <w:t>Tutti gli utenti (o i dispositivi) che accedono a un server protetto devono disporre di licenze SL per Utente (o</w:t>
      </w:r>
      <w:r w:rsidR="00072428" w:rsidRPr="00451078">
        <w:rPr>
          <w:rFonts w:cs="Tahoma"/>
          <w:bCs/>
          <w:color w:val="000000"/>
          <w:szCs w:val="20"/>
          <w:lang w:val="it-IT"/>
        </w:rPr>
        <w:t> </w:t>
      </w:r>
      <w:r w:rsidRPr="00451078">
        <w:rPr>
          <w:rFonts w:cs="Tahoma"/>
          <w:bCs/>
          <w:color w:val="000000"/>
          <w:szCs w:val="20"/>
          <w:lang w:val="it-IT"/>
        </w:rPr>
        <w:t>Dispositivo), a meno che non siano in possesso di una licenza External Connector per Forefront for Exchange o di una licenza SL Add-on per Forefront Security for SharePoint per Siti Internet.</w:t>
      </w:r>
    </w:p>
    <w:p w:rsidR="00273685" w:rsidRPr="00451078" w:rsidRDefault="00273685" w:rsidP="00221A57">
      <w:pPr>
        <w:pStyle w:val="EndnoteText"/>
        <w:ind w:left="720"/>
        <w:rPr>
          <w:lang w:val="it-IT"/>
        </w:rPr>
      </w:pPr>
    </w:p>
    <w:p w:rsidR="00023FE7" w:rsidRPr="00626D4E" w:rsidRDefault="00273685" w:rsidP="00626D4E">
      <w:pPr>
        <w:pStyle w:val="EndnoteText"/>
        <w:ind w:left="720"/>
        <w:rPr>
          <w:rFonts w:ascii="Tahoma" w:hAnsi="Tahoma" w:cs="Tahoma"/>
          <w:lang w:val="it-IT"/>
        </w:rPr>
      </w:pPr>
      <w:r w:rsidRPr="00626D4E">
        <w:rPr>
          <w:rFonts w:ascii="Tahoma" w:hAnsi="Tahoma" w:cs="Tahoma"/>
          <w:bCs/>
          <w:color w:val="000000"/>
          <w:szCs w:val="20"/>
          <w:lang w:val="it-IT"/>
        </w:rPr>
        <w:t>Fare riferimento all</w:t>
      </w:r>
      <w:r w:rsidR="0073727D">
        <w:rPr>
          <w:rFonts w:ascii="Tahoma" w:hAnsi="Tahoma" w:cs="Tahoma"/>
          <w:bCs/>
          <w:color w:val="000000"/>
          <w:szCs w:val="20"/>
          <w:lang w:val="it-IT"/>
        </w:rPr>
        <w:t>’</w:t>
      </w:r>
      <w:hyperlink w:anchor="_Section_5_–" w:history="1">
        <w:r w:rsidRPr="00626D4E">
          <w:rPr>
            <w:rFonts w:ascii="Tahoma" w:hAnsi="Tahoma" w:cs="Tahoma"/>
            <w:lang w:val="it-IT"/>
          </w:rPr>
          <w:t xml:space="preserve"> </w:t>
        </w:r>
        <w:hyperlink w:anchor="_Articolo_5_-_1" w:history="1">
          <w:r w:rsidR="00626D4E" w:rsidRPr="00626D4E">
            <w:rPr>
              <w:rStyle w:val="Hyperlink"/>
              <w:rFonts w:ascii="Tahoma" w:hAnsi="Tahoma" w:cs="Tahoma"/>
              <w:lang w:val="it-IT"/>
            </w:rPr>
            <w:t>Articolo 5</w:t>
          </w:r>
        </w:hyperlink>
      </w:hyperlink>
      <w:r w:rsidRPr="00626D4E">
        <w:rPr>
          <w:rFonts w:ascii="Tahoma" w:hAnsi="Tahoma" w:cs="Tahoma"/>
          <w:bCs/>
          <w:color w:val="000000"/>
          <w:szCs w:val="20"/>
          <w:lang w:val="it-IT"/>
        </w:rPr>
        <w:t xml:space="preserve"> per i prezzi dei servizi online e le condizioni di pagamento.</w:t>
      </w:r>
    </w:p>
    <w:p w:rsidR="00273685" w:rsidRPr="00451078" w:rsidRDefault="00273685" w:rsidP="00273685">
      <w:pPr>
        <w:pStyle w:val="EndnoteText"/>
        <w:rPr>
          <w:lang w:val="it-IT"/>
        </w:rPr>
      </w:pPr>
    </w:p>
    <w:p w:rsidR="00586FCE" w:rsidRPr="00451078" w:rsidRDefault="00586FCE" w:rsidP="00273685">
      <w:pPr>
        <w:pStyle w:val="EndnoteText"/>
        <w:rPr>
          <w:lang w:val="it-IT"/>
        </w:rPr>
      </w:pPr>
    </w:p>
    <w:p w:rsidR="00796FF5" w:rsidRPr="00451078" w:rsidRDefault="00AD4C5F" w:rsidP="00796FF5">
      <w:pPr>
        <w:pStyle w:val="Heading3"/>
        <w:rPr>
          <w:lang w:val="it-IT"/>
        </w:rPr>
      </w:pPr>
      <w:bookmarkStart w:id="1275" w:name="_57_Forefront_Protection"/>
      <w:bookmarkStart w:id="1276" w:name="_Toc336338319"/>
      <w:bookmarkStart w:id="1277" w:name="_Toc352234910"/>
      <w:bookmarkStart w:id="1278" w:name="Srv_45ForefrontSecfoOffComm"/>
      <w:bookmarkStart w:id="1279" w:name="Srv_46ForefrontSecfoOffComm"/>
      <w:bookmarkEnd w:id="1275"/>
      <w:r w:rsidRPr="00451078">
        <w:rPr>
          <w:rFonts w:ascii="Tahoma" w:hAnsi="Tahoma"/>
          <w:caps/>
          <w:color w:val="F66400"/>
          <w:sz w:val="22"/>
          <w:vertAlign w:val="superscript"/>
          <w:lang w:val="it-IT"/>
        </w:rPr>
        <w:t>57</w:t>
      </w:r>
      <w:r w:rsidRPr="00451078">
        <w:rPr>
          <w:rFonts w:ascii="Tahoma" w:hAnsi="Tahoma"/>
          <w:color w:val="F66400"/>
          <w:sz w:val="22"/>
          <w:lang w:val="it-IT"/>
        </w:rPr>
        <w:t xml:space="preserve"> Forefront Protection Suite (Dispositivo e Utente)</w:t>
      </w:r>
      <w:bookmarkEnd w:id="1276"/>
      <w:bookmarkEnd w:id="1277"/>
    </w:p>
    <w:bookmarkEnd w:id="1267"/>
    <w:p w:rsidR="00796FF5" w:rsidRPr="00451078" w:rsidRDefault="00796FF5" w:rsidP="00796FF5">
      <w:pPr>
        <w:rPr>
          <w:lang w:val="it-IT"/>
        </w:rPr>
      </w:pPr>
    </w:p>
    <w:p w:rsidR="009115D6" w:rsidRPr="00451078" w:rsidRDefault="009115D6" w:rsidP="00796FF5">
      <w:pPr>
        <w:ind w:left="720"/>
        <w:rPr>
          <w:lang w:val="it-IT"/>
        </w:rPr>
      </w:pPr>
      <w:r w:rsidRPr="00451078">
        <w:rPr>
          <w:rFonts w:cs="Tahoma"/>
          <w:bCs/>
          <w:color w:val="000000"/>
          <w:szCs w:val="18"/>
          <w:lang w:val="it-IT"/>
        </w:rPr>
        <w:t>Forefront Protection Suite non sarà più disponibile a partire dal 1 dicembre 2012. Le società con abbonamenti attivi al servizio online in data 30 novembre 2012 potranno continuare a utilizzare i servizi online dei componenti fino alla scadenza dell</w:t>
      </w:r>
      <w:r w:rsidR="0073727D">
        <w:rPr>
          <w:rFonts w:cs="Tahoma"/>
          <w:bCs/>
          <w:color w:val="000000"/>
          <w:szCs w:val="18"/>
          <w:lang w:val="it-IT"/>
        </w:rPr>
        <w:t>’</w:t>
      </w:r>
      <w:r w:rsidRPr="00451078">
        <w:rPr>
          <w:rFonts w:cs="Tahoma"/>
          <w:bCs/>
          <w:color w:val="000000"/>
          <w:szCs w:val="18"/>
          <w:lang w:val="it-IT"/>
        </w:rPr>
        <w:t>abbonamento.</w:t>
      </w:r>
      <w:r w:rsidR="00082E1C" w:rsidRPr="00451078">
        <w:rPr>
          <w:rFonts w:cs="Tahoma"/>
          <w:bCs/>
          <w:color w:val="000000"/>
          <w:szCs w:val="18"/>
          <w:lang w:val="it-IT"/>
        </w:rPr>
        <w:t xml:space="preserve"> </w:t>
      </w:r>
      <w:r w:rsidRPr="00451078">
        <w:rPr>
          <w:rFonts w:cs="Tahoma"/>
          <w:bCs/>
          <w:color w:val="000000"/>
          <w:szCs w:val="18"/>
          <w:lang w:val="it-IT"/>
        </w:rPr>
        <w:t>Tali società potranno inoltre continuare a</w:t>
      </w:r>
      <w:r w:rsidR="00786F27" w:rsidRPr="00451078">
        <w:rPr>
          <w:rFonts w:cs="Tahoma"/>
          <w:bCs/>
          <w:color w:val="000000"/>
          <w:szCs w:val="18"/>
          <w:lang w:val="it-IT"/>
        </w:rPr>
        <w:t> </w:t>
      </w:r>
      <w:r w:rsidRPr="00451078">
        <w:rPr>
          <w:rFonts w:cs="Tahoma"/>
          <w:bCs/>
          <w:color w:val="000000"/>
          <w:szCs w:val="18"/>
          <w:lang w:val="it-IT"/>
        </w:rPr>
        <w:t xml:space="preserve">utilizzare i componenti </w:t>
      </w:r>
      <w:r w:rsidRPr="00451078">
        <w:rPr>
          <w:rFonts w:cs="Tahoma"/>
          <w:color w:val="000000"/>
          <w:szCs w:val="20"/>
          <w:lang w:val="it-IT"/>
        </w:rPr>
        <w:t>Forefront Security for Office Communications Server, Forefront Protection 2010 for</w:t>
      </w:r>
      <w:r w:rsidR="00786F27" w:rsidRPr="00451078">
        <w:rPr>
          <w:rFonts w:cs="Tahoma"/>
          <w:color w:val="000000"/>
          <w:szCs w:val="20"/>
          <w:lang w:val="it-IT"/>
        </w:rPr>
        <w:t> </w:t>
      </w:r>
      <w:r w:rsidRPr="00451078">
        <w:rPr>
          <w:rFonts w:cs="Tahoma"/>
          <w:color w:val="000000"/>
          <w:szCs w:val="20"/>
          <w:lang w:val="it-IT"/>
        </w:rPr>
        <w:t xml:space="preserve">Exchange Server, Forefront Threat Management Gateway Web Protection Service e Forefront Protection 2010 for SharePoint Server </w:t>
      </w:r>
      <w:r w:rsidRPr="00451078">
        <w:rPr>
          <w:rFonts w:cs="Tahoma"/>
          <w:bCs/>
          <w:color w:val="000000"/>
          <w:szCs w:val="18"/>
          <w:lang w:val="it-IT"/>
        </w:rPr>
        <w:t xml:space="preserve">della famiglia di prodotti fino al 31 dicembre 2015. </w:t>
      </w:r>
      <w:r w:rsidRPr="00451078">
        <w:rPr>
          <w:lang w:val="it-IT"/>
        </w:rPr>
        <w:t>Le società esistenti potranno</w:t>
      </w:r>
      <w:r w:rsidR="00072428" w:rsidRPr="00451078">
        <w:rPr>
          <w:lang w:val="it-IT"/>
        </w:rPr>
        <w:t> </w:t>
      </w:r>
      <w:r w:rsidRPr="00451078">
        <w:rPr>
          <w:lang w:val="it-IT"/>
        </w:rPr>
        <w:t xml:space="preserve">inoltre aggiungere nuovi utenti in base alle proprie esigenze per Forefront Security for Office Communications Server, Forefront Protection 2010 for Exchange Server, Forefront Threat Management Gateway Web Protection Service e Forefront Protection for SharePoint Server senza dovere ordinare Licenze </w:t>
      </w:r>
      <w:r w:rsidR="001A3EC5" w:rsidRPr="00451078">
        <w:rPr>
          <w:lang w:val="it-IT"/>
        </w:rPr>
        <w:t>“</w:t>
      </w:r>
      <w:r w:rsidRPr="00451078">
        <w:rPr>
          <w:lang w:val="it-IT"/>
        </w:rPr>
        <w:t>Subscription</w:t>
      </w:r>
      <w:r w:rsidR="001A3EC5" w:rsidRPr="00451078">
        <w:rPr>
          <w:lang w:val="it-IT"/>
        </w:rPr>
        <w:t>”</w:t>
      </w:r>
      <w:r w:rsidRPr="00451078">
        <w:rPr>
          <w:lang w:val="it-IT"/>
        </w:rPr>
        <w:t xml:space="preserve"> per Utente aggiuntive.</w:t>
      </w:r>
      <w:r w:rsidRPr="00451078">
        <w:rPr>
          <w:rFonts w:cs="Tahoma"/>
          <w:bCs/>
          <w:szCs w:val="18"/>
          <w:lang w:val="it-IT"/>
        </w:rPr>
        <w:t xml:space="preserve"> </w:t>
      </w:r>
      <w:r w:rsidRPr="00451078">
        <w:rPr>
          <w:rFonts w:cs="Tahoma"/>
          <w:bCs/>
          <w:color w:val="000000"/>
          <w:szCs w:val="18"/>
          <w:lang w:val="it-IT"/>
        </w:rPr>
        <w:t>L</w:t>
      </w:r>
      <w:r w:rsidR="0073727D">
        <w:rPr>
          <w:rFonts w:cs="Tahoma"/>
          <w:bCs/>
          <w:color w:val="000000"/>
          <w:szCs w:val="18"/>
          <w:lang w:val="it-IT"/>
        </w:rPr>
        <w:t>’</w:t>
      </w:r>
      <w:r w:rsidRPr="00451078">
        <w:rPr>
          <w:rFonts w:cs="Tahoma"/>
          <w:bCs/>
          <w:color w:val="000000"/>
          <w:szCs w:val="18"/>
          <w:lang w:val="it-IT"/>
        </w:rPr>
        <w:t>utilizzo continuato dei servizi online dei componenti rimane soggetto alle condizioni del Contratto Multilicenza della società, ai diritti di utilizzo del prodotto relativi ai servizi online e alle presenti condizioni.</w:t>
      </w:r>
    </w:p>
    <w:p w:rsidR="009115D6" w:rsidRPr="00451078" w:rsidRDefault="009115D6" w:rsidP="00796FF5">
      <w:pPr>
        <w:ind w:left="720"/>
        <w:rPr>
          <w:lang w:val="it-IT"/>
        </w:rPr>
      </w:pPr>
    </w:p>
    <w:p w:rsidR="00796FF5" w:rsidRPr="00A348BF" w:rsidRDefault="00796FF5" w:rsidP="00796FF5">
      <w:pPr>
        <w:ind w:left="720"/>
      </w:pPr>
      <w:r w:rsidRPr="00A348BF">
        <w:rPr>
          <w:rFonts w:cs="Tahoma"/>
          <w:color w:val="000000"/>
          <w:szCs w:val="20"/>
        </w:rPr>
        <w:t>Un abbonamento a Forefront Protection Suite è costituito dai seguenti servizi online: Forefront Endpoint Protection, Forefront for Office Communications Server (ex Antigen for Instant Messaging), Forefront Online Protection for Exchange (ex Exchange Hosted Filtering), Forefront Protection 2010 for Exchange Server, Forefront Threat Management Gateway Web Protection Service e Forefront Protection 2010 for SharePoint</w:t>
      </w:r>
      <w:r w:rsidR="00072428" w:rsidRPr="00A348BF">
        <w:rPr>
          <w:rFonts w:cs="Tahoma"/>
          <w:color w:val="000000"/>
          <w:szCs w:val="20"/>
        </w:rPr>
        <w:t> </w:t>
      </w:r>
      <w:r w:rsidRPr="00A348BF">
        <w:rPr>
          <w:rFonts w:cs="Tahoma"/>
          <w:color w:val="000000"/>
          <w:szCs w:val="20"/>
        </w:rPr>
        <w:t xml:space="preserve">Server. </w:t>
      </w:r>
    </w:p>
    <w:p w:rsidR="00796FF5" w:rsidRPr="00A348BF" w:rsidRDefault="00796FF5" w:rsidP="00796FF5">
      <w:pPr>
        <w:ind w:left="720"/>
      </w:pPr>
    </w:p>
    <w:p w:rsidR="006E5A58" w:rsidRPr="00451078" w:rsidRDefault="00796FF5" w:rsidP="00626D4E">
      <w:pPr>
        <w:ind w:left="720"/>
        <w:rPr>
          <w:lang w:val="it-IT"/>
        </w:rPr>
      </w:pPr>
      <w:r w:rsidRPr="00451078">
        <w:rPr>
          <w:rFonts w:cs="Tahoma"/>
          <w:bCs/>
          <w:color w:val="000000"/>
          <w:szCs w:val="20"/>
          <w:lang w:val="it-IT"/>
        </w:rPr>
        <w:t>Fare riferimento all</w:t>
      </w:r>
      <w:r w:rsidR="0073727D">
        <w:rPr>
          <w:rFonts w:cs="Tahoma"/>
          <w:bCs/>
          <w:color w:val="000000"/>
          <w:szCs w:val="20"/>
          <w:lang w:val="it-IT"/>
        </w:rPr>
        <w:t>’</w:t>
      </w:r>
      <w:hyperlink w:anchor="_Articolo_5_-_1" w:history="1">
        <w:r w:rsidR="00626D4E" w:rsidRPr="00451078">
          <w:rPr>
            <w:rStyle w:val="Hyperlink"/>
            <w:lang w:val="it-IT"/>
          </w:rPr>
          <w:t>Articolo 5</w:t>
        </w:r>
      </w:hyperlink>
      <w:r w:rsidRPr="00451078">
        <w:rPr>
          <w:rFonts w:cs="Tahoma"/>
          <w:bCs/>
          <w:color w:val="000000"/>
          <w:szCs w:val="20"/>
          <w:lang w:val="it-IT"/>
        </w:rPr>
        <w:t xml:space="preserve"> per i prezzi dei servizi online e le condizioni di pagamento. </w:t>
      </w:r>
    </w:p>
    <w:p w:rsidR="00796FF5" w:rsidRPr="00451078" w:rsidRDefault="00796FF5" w:rsidP="00221A57">
      <w:pPr>
        <w:rPr>
          <w:lang w:val="it-IT"/>
        </w:rPr>
      </w:pPr>
    </w:p>
    <w:p w:rsidR="009C2B6B" w:rsidRPr="00451078" w:rsidRDefault="009C2B6B" w:rsidP="00221A57">
      <w:pPr>
        <w:rPr>
          <w:lang w:val="it-IT"/>
        </w:rPr>
      </w:pPr>
    </w:p>
    <w:p w:rsidR="00023FE7" w:rsidRPr="00A348BF" w:rsidRDefault="0099402E">
      <w:pPr>
        <w:pStyle w:val="Heading3"/>
        <w:rPr>
          <w:lang w:val="it-IT"/>
        </w:rPr>
      </w:pPr>
      <w:bookmarkStart w:id="1280" w:name="_58_Forefront_Security"/>
      <w:bookmarkStart w:id="1281" w:name="_Toc336338320"/>
      <w:bookmarkStart w:id="1282" w:name="_Toc352234911"/>
      <w:bookmarkStart w:id="1283" w:name="Srv_49ForefrontSecfoOffComm"/>
      <w:bookmarkEnd w:id="1280"/>
      <w:r w:rsidRPr="00A348BF">
        <w:rPr>
          <w:rFonts w:ascii="Tahoma" w:hAnsi="Tahoma"/>
          <w:caps/>
          <w:color w:val="F66400"/>
          <w:sz w:val="22"/>
          <w:vertAlign w:val="superscript"/>
          <w:lang w:val="it-IT"/>
        </w:rPr>
        <w:t>58</w:t>
      </w:r>
      <w:r w:rsidRPr="00A348BF">
        <w:rPr>
          <w:rFonts w:ascii="Tahoma" w:hAnsi="Tahoma"/>
          <w:caps/>
          <w:color w:val="F66400"/>
          <w:sz w:val="22"/>
          <w:lang w:val="it-IT"/>
        </w:rPr>
        <w:t xml:space="preserve"> </w:t>
      </w:r>
      <w:r w:rsidRPr="00A348BF">
        <w:rPr>
          <w:rFonts w:ascii="Tahoma" w:hAnsi="Tahoma"/>
          <w:color w:val="F66400"/>
          <w:sz w:val="22"/>
          <w:lang w:val="it-IT"/>
        </w:rPr>
        <w:t>Forefront Security for Office Communications Server (SL per Utente e Dispositivo)</w:t>
      </w:r>
      <w:bookmarkEnd w:id="1281"/>
      <w:bookmarkEnd w:id="1282"/>
    </w:p>
    <w:bookmarkEnd w:id="1283"/>
    <w:p w:rsidR="00023FE7" w:rsidRPr="00A348BF" w:rsidRDefault="00023FE7">
      <w:pPr>
        <w:pStyle w:val="EndnoteText"/>
        <w:ind w:left="0"/>
        <w:rPr>
          <w:lang w:val="it-IT"/>
        </w:rPr>
      </w:pPr>
    </w:p>
    <w:bookmarkEnd w:id="1278"/>
    <w:bookmarkEnd w:id="1279"/>
    <w:p w:rsidR="009115D6" w:rsidRPr="00451078" w:rsidRDefault="009115D6" w:rsidP="009115D6">
      <w:pPr>
        <w:ind w:left="720"/>
        <w:rPr>
          <w:lang w:val="it-IT"/>
        </w:rPr>
      </w:pPr>
      <w:r w:rsidRPr="00451078">
        <w:rPr>
          <w:rFonts w:cs="Tahoma"/>
          <w:bCs/>
          <w:color w:val="000000"/>
          <w:szCs w:val="18"/>
          <w:lang w:val="it-IT"/>
        </w:rPr>
        <w:t xml:space="preserve">Forefront Security for Office Communications Server non sarà più disponibile a partire dal 1 dicembre 2012. Le società che disporranno di sottoscrizioni attive del servizio online alla data del 30 novembre 2012 potranno continuare a utilizzare il servizio online fino al 31 dicembre 2015. </w:t>
      </w:r>
      <w:r w:rsidRPr="00451078">
        <w:rPr>
          <w:lang w:val="it-IT"/>
        </w:rPr>
        <w:t xml:space="preserve">Le società esistenti potranno inoltre aggiungere nuovi utenti in base alle proprie esigenze senza dovere ordinare Licenze </w:t>
      </w:r>
      <w:r w:rsidR="001A3EC5" w:rsidRPr="00451078">
        <w:rPr>
          <w:lang w:val="it-IT"/>
        </w:rPr>
        <w:t>“</w:t>
      </w:r>
      <w:r w:rsidRPr="00451078">
        <w:rPr>
          <w:lang w:val="it-IT"/>
        </w:rPr>
        <w:t>Subscription</w:t>
      </w:r>
      <w:r w:rsidR="001A3EC5" w:rsidRPr="00451078">
        <w:rPr>
          <w:lang w:val="it-IT"/>
        </w:rPr>
        <w:t>”</w:t>
      </w:r>
      <w:r w:rsidRPr="00451078">
        <w:rPr>
          <w:lang w:val="it-IT"/>
        </w:rPr>
        <w:t xml:space="preserve"> per Utente aggiuntive.</w:t>
      </w:r>
      <w:r w:rsidR="00082E1C" w:rsidRPr="00451078">
        <w:rPr>
          <w:lang w:val="it-IT"/>
        </w:rPr>
        <w:t xml:space="preserve"> </w:t>
      </w:r>
      <w:r w:rsidRPr="00451078">
        <w:rPr>
          <w:rFonts w:cs="Tahoma"/>
          <w:bCs/>
          <w:color w:val="000000"/>
          <w:szCs w:val="18"/>
          <w:lang w:val="it-IT"/>
        </w:rPr>
        <w:t>L</w:t>
      </w:r>
      <w:r w:rsidR="0073727D">
        <w:rPr>
          <w:rFonts w:cs="Tahoma"/>
          <w:bCs/>
          <w:color w:val="000000"/>
          <w:szCs w:val="18"/>
          <w:lang w:val="it-IT"/>
        </w:rPr>
        <w:t>’</w:t>
      </w:r>
      <w:r w:rsidRPr="00451078">
        <w:rPr>
          <w:rFonts w:cs="Tahoma"/>
          <w:bCs/>
          <w:color w:val="000000"/>
          <w:szCs w:val="18"/>
          <w:lang w:val="it-IT"/>
        </w:rPr>
        <w:t xml:space="preserve">utilizzo continuato del servizio online rimane soggetto alle condizioni del Contratto Multilicenza della società, ai diritti di utilizzo del prodotto relativi al servizio online e alle presenti condizioni. </w:t>
      </w:r>
    </w:p>
    <w:p w:rsidR="009115D6" w:rsidRPr="00451078" w:rsidRDefault="009115D6" w:rsidP="009115D6">
      <w:pPr>
        <w:ind w:left="720"/>
        <w:rPr>
          <w:lang w:val="it-IT"/>
        </w:rPr>
      </w:pPr>
    </w:p>
    <w:p w:rsidR="00023FE7" w:rsidRPr="00451078" w:rsidRDefault="00023FE7" w:rsidP="00E62BC4">
      <w:pPr>
        <w:pStyle w:val="EndnoteText"/>
        <w:ind w:left="720"/>
        <w:rPr>
          <w:lang w:val="it-IT"/>
        </w:rPr>
      </w:pPr>
      <w:r w:rsidRPr="00451078">
        <w:rPr>
          <w:rFonts w:ascii="Tahoma" w:hAnsi="Tahoma" w:cs="Tahoma"/>
          <w:bCs/>
          <w:color w:val="000000"/>
          <w:sz w:val="18"/>
          <w:szCs w:val="20"/>
          <w:lang w:val="it-IT"/>
        </w:rPr>
        <w:t>Tutti gli utenti (o dispositivi) che accedono a un server protetto hanno bisogno di SL Utente (o Dispositivo).</w:t>
      </w:r>
      <w:r w:rsidR="00082E1C" w:rsidRPr="00451078">
        <w:rPr>
          <w:rFonts w:ascii="Tahoma" w:hAnsi="Tahoma" w:cs="Tahoma"/>
          <w:bCs/>
          <w:color w:val="000000"/>
          <w:sz w:val="18"/>
          <w:szCs w:val="20"/>
          <w:lang w:val="it-IT"/>
        </w:rPr>
        <w:t xml:space="preserve"> </w:t>
      </w:r>
      <w:r w:rsidRPr="00451078">
        <w:rPr>
          <w:rFonts w:ascii="Tahoma" w:hAnsi="Tahoma" w:cs="Tahoma"/>
          <w:bCs/>
          <w:color w:val="000000"/>
          <w:sz w:val="18"/>
          <w:szCs w:val="20"/>
          <w:lang w:val="it-IT"/>
        </w:rPr>
        <w:t>Questo servizio online era precedentemente noto come Antigen for Instant Messaging.</w:t>
      </w:r>
      <w:r w:rsidR="00082E1C" w:rsidRPr="00451078">
        <w:rPr>
          <w:rFonts w:ascii="Tahoma" w:hAnsi="Tahoma" w:cs="Tahoma"/>
          <w:bCs/>
          <w:color w:val="000000"/>
          <w:sz w:val="18"/>
          <w:szCs w:val="20"/>
          <w:lang w:val="it-IT"/>
        </w:rPr>
        <w:t xml:space="preserve"> </w:t>
      </w:r>
    </w:p>
    <w:p w:rsidR="00023FE7" w:rsidRPr="00451078" w:rsidRDefault="00023FE7" w:rsidP="00697E59">
      <w:pPr>
        <w:rPr>
          <w:lang w:val="it-IT"/>
        </w:rPr>
      </w:pPr>
      <w:bookmarkStart w:id="1284" w:name="Srv_48ForefrontSvrSecMgmtConsole"/>
    </w:p>
    <w:p w:rsidR="00EE30F1" w:rsidRPr="00451078" w:rsidRDefault="00EE30F1" w:rsidP="00221A57">
      <w:pPr>
        <w:rPr>
          <w:lang w:val="it-IT"/>
        </w:rPr>
      </w:pPr>
      <w:bookmarkStart w:id="1285" w:name="_49_Forefront_Threat"/>
      <w:bookmarkStart w:id="1286" w:name="Srv_52ForefrontUnifiedAccessGtwy2010"/>
      <w:bookmarkStart w:id="1287" w:name="Srv_56ForefrontUnifiedAccessGtwy2010"/>
      <w:bookmarkEnd w:id="1284"/>
      <w:bookmarkEnd w:id="1285"/>
    </w:p>
    <w:p w:rsidR="0079439D" w:rsidRPr="003410C7" w:rsidRDefault="0099402E" w:rsidP="00221A57">
      <w:pPr>
        <w:pStyle w:val="Heading3"/>
      </w:pPr>
      <w:bookmarkStart w:id="1288" w:name="_50__Forefront"/>
      <w:bookmarkStart w:id="1289" w:name="_57_Forefront_Threat"/>
      <w:bookmarkStart w:id="1290" w:name="_59_Forefront_Threat"/>
      <w:bookmarkStart w:id="1291" w:name="_Toc336338321"/>
      <w:bookmarkStart w:id="1292" w:name="Srv_51ForefrontThreatMgmtGtwy2010"/>
      <w:bookmarkStart w:id="1293" w:name="_Toc352234912"/>
      <w:bookmarkEnd w:id="1288"/>
      <w:bookmarkEnd w:id="1289"/>
      <w:bookmarkEnd w:id="1290"/>
      <w:r w:rsidRPr="003410C7">
        <w:rPr>
          <w:rFonts w:ascii="Tahoma" w:hAnsi="Tahoma"/>
          <w:caps/>
          <w:color w:val="F66400"/>
          <w:sz w:val="22"/>
          <w:vertAlign w:val="superscript"/>
        </w:rPr>
        <w:t>59</w:t>
      </w:r>
      <w:r w:rsidRPr="00072428">
        <w:rPr>
          <w:rFonts w:ascii="Tahoma" w:hAnsi="Tahoma"/>
          <w:caps/>
          <w:color w:val="F66400"/>
          <w:sz w:val="22"/>
        </w:rPr>
        <w:t xml:space="preserve"> </w:t>
      </w:r>
      <w:r w:rsidRPr="003410C7">
        <w:rPr>
          <w:rFonts w:ascii="Tahoma" w:hAnsi="Tahoma"/>
          <w:color w:val="F66400"/>
          <w:sz w:val="22"/>
        </w:rPr>
        <w:t xml:space="preserve">Forefront Threat Management Gateway </w:t>
      </w:r>
      <w:bookmarkEnd w:id="1291"/>
      <w:r w:rsidRPr="003410C7">
        <w:rPr>
          <w:rFonts w:ascii="Tahoma" w:hAnsi="Tahoma"/>
          <w:color w:val="F66400"/>
          <w:sz w:val="22"/>
        </w:rPr>
        <w:t>Web Protection Service</w:t>
      </w:r>
      <w:bookmarkEnd w:id="1292"/>
      <w:bookmarkEnd w:id="1293"/>
    </w:p>
    <w:p w:rsidR="00221A57" w:rsidRPr="003410C7" w:rsidRDefault="00221A57" w:rsidP="00221A57"/>
    <w:p w:rsidR="00586FCE" w:rsidRPr="00451078" w:rsidRDefault="0079439D" w:rsidP="00221A57">
      <w:pPr>
        <w:ind w:left="720"/>
        <w:rPr>
          <w:lang w:val="it-IT"/>
        </w:rPr>
      </w:pPr>
      <w:bookmarkStart w:id="1294" w:name="_Toc336338322"/>
      <w:r w:rsidRPr="00451078">
        <w:rPr>
          <w:rFonts w:cs="Tahoma"/>
          <w:bCs/>
          <w:color w:val="000000"/>
          <w:szCs w:val="18"/>
          <w:lang w:val="it-IT"/>
        </w:rPr>
        <w:t xml:space="preserve">Forefront Threat Management Gateway Web Protection Service non sarà più disponibile a partire dal 1 dicembre 2012. Le società che disporranno di sottoscrizioni attive del servizio online alla data del 30 novembre 2012 potranno continuare a utilizzare il servizio online fino al 31 dicembre 2015. </w:t>
      </w:r>
      <w:r w:rsidRPr="00451078">
        <w:rPr>
          <w:lang w:val="it-IT"/>
        </w:rPr>
        <w:t xml:space="preserve">Le società esistenti potranno inoltre aggiungere nuovi utenti in base alle proprie esigenze senza dovere ordinare Licenze </w:t>
      </w:r>
      <w:r w:rsidR="001A3EC5" w:rsidRPr="00451078">
        <w:rPr>
          <w:lang w:val="it-IT"/>
        </w:rPr>
        <w:t>“</w:t>
      </w:r>
      <w:r w:rsidRPr="00451078">
        <w:rPr>
          <w:lang w:val="it-IT"/>
        </w:rPr>
        <w:t>Subscription</w:t>
      </w:r>
      <w:r w:rsidR="001A3EC5" w:rsidRPr="00451078">
        <w:rPr>
          <w:lang w:val="it-IT"/>
        </w:rPr>
        <w:t>”</w:t>
      </w:r>
      <w:r w:rsidRPr="00451078">
        <w:rPr>
          <w:lang w:val="it-IT"/>
        </w:rPr>
        <w:t xml:space="preserve"> per Utente aggiuntive.</w:t>
      </w:r>
      <w:r w:rsidR="00082E1C" w:rsidRPr="00451078">
        <w:rPr>
          <w:rFonts w:cs="Tahoma"/>
          <w:bCs/>
          <w:szCs w:val="18"/>
          <w:lang w:val="it-IT"/>
        </w:rPr>
        <w:t xml:space="preserve"> </w:t>
      </w:r>
      <w:r w:rsidRPr="00451078">
        <w:rPr>
          <w:rFonts w:cs="Tahoma"/>
          <w:bCs/>
          <w:color w:val="000000"/>
          <w:szCs w:val="18"/>
          <w:lang w:val="it-IT"/>
        </w:rPr>
        <w:t>L</w:t>
      </w:r>
      <w:r w:rsidR="0073727D">
        <w:rPr>
          <w:rFonts w:cs="Tahoma"/>
          <w:bCs/>
          <w:color w:val="000000"/>
          <w:szCs w:val="18"/>
          <w:lang w:val="it-IT"/>
        </w:rPr>
        <w:t>’</w:t>
      </w:r>
      <w:r w:rsidRPr="00451078">
        <w:rPr>
          <w:rFonts w:cs="Tahoma"/>
          <w:bCs/>
          <w:color w:val="000000"/>
          <w:szCs w:val="18"/>
          <w:lang w:val="it-IT"/>
        </w:rPr>
        <w:t>utilizzo continuato del servizio online rimane soggetto alle</w:t>
      </w:r>
      <w:r w:rsidR="00072428" w:rsidRPr="00451078">
        <w:rPr>
          <w:rFonts w:cs="Tahoma"/>
          <w:bCs/>
          <w:color w:val="000000"/>
          <w:szCs w:val="18"/>
          <w:lang w:val="it-IT"/>
        </w:rPr>
        <w:t> </w:t>
      </w:r>
      <w:r w:rsidRPr="00451078">
        <w:rPr>
          <w:rFonts w:cs="Tahoma"/>
          <w:bCs/>
          <w:color w:val="000000"/>
          <w:szCs w:val="18"/>
          <w:lang w:val="it-IT"/>
        </w:rPr>
        <w:t xml:space="preserve">condizioni del Contratto Multilicenza della società, ai diritti di utilizzo del prodotto relativi al servizio online e alle presenti condizioni. </w:t>
      </w:r>
    </w:p>
    <w:p w:rsidR="00221A57" w:rsidRPr="00451078" w:rsidRDefault="00221A57" w:rsidP="00221A57">
      <w:pPr>
        <w:rPr>
          <w:lang w:val="it-IT"/>
        </w:rPr>
      </w:pPr>
    </w:p>
    <w:p w:rsidR="00221A57" w:rsidRDefault="00221A57" w:rsidP="00221A57">
      <w:pPr>
        <w:rPr>
          <w:lang w:val="it-IT"/>
        </w:rPr>
      </w:pPr>
    </w:p>
    <w:p w:rsidR="00A84CD1" w:rsidRPr="00451078" w:rsidRDefault="00A84CD1" w:rsidP="00221A57">
      <w:pPr>
        <w:rPr>
          <w:lang w:val="it-IT"/>
        </w:rPr>
      </w:pPr>
    </w:p>
    <w:p w:rsidR="009E4FDD" w:rsidRPr="003410C7" w:rsidRDefault="00A7003F" w:rsidP="009E4FDD">
      <w:pPr>
        <w:pStyle w:val="Heading3"/>
      </w:pPr>
      <w:bookmarkStart w:id="1295" w:name="_60_Forefront_Unified"/>
      <w:bookmarkStart w:id="1296" w:name="_Toc352234913"/>
      <w:bookmarkEnd w:id="1295"/>
      <w:r w:rsidRPr="003410C7">
        <w:rPr>
          <w:rFonts w:ascii="Tahoma" w:hAnsi="Tahoma"/>
          <w:caps/>
          <w:color w:val="F66400"/>
          <w:sz w:val="22"/>
          <w:vertAlign w:val="superscript"/>
        </w:rPr>
        <w:t>60</w:t>
      </w:r>
      <w:r w:rsidRPr="00854AAB">
        <w:rPr>
          <w:rFonts w:ascii="Tahoma" w:hAnsi="Tahoma"/>
          <w:caps/>
          <w:color w:val="F66400"/>
          <w:sz w:val="22"/>
        </w:rPr>
        <w:t xml:space="preserve"> </w:t>
      </w:r>
      <w:r w:rsidRPr="003410C7">
        <w:rPr>
          <w:rFonts w:ascii="Tahoma" w:hAnsi="Tahoma"/>
          <w:color w:val="F66400"/>
          <w:sz w:val="22"/>
        </w:rPr>
        <w:t>Forefront Unified Access Gateway 2010</w:t>
      </w:r>
      <w:bookmarkEnd w:id="1294"/>
      <w:bookmarkEnd w:id="1296"/>
    </w:p>
    <w:bookmarkEnd w:id="1286"/>
    <w:bookmarkEnd w:id="1287"/>
    <w:p w:rsidR="009E4FDD" w:rsidRPr="003410C7" w:rsidRDefault="009E4FDD" w:rsidP="009E4FDD"/>
    <w:p w:rsidR="009E4FDD" w:rsidRPr="003410C7" w:rsidRDefault="009E4FDD" w:rsidP="00221A57">
      <w:pPr>
        <w:spacing w:after="60"/>
        <w:ind w:left="720"/>
      </w:pPr>
      <w:r w:rsidRPr="003410C7">
        <w:rPr>
          <w:rFonts w:cs="Tahoma"/>
          <w:b/>
          <w:color w:val="000000"/>
          <w:szCs w:val="18"/>
        </w:rPr>
        <w:t>Versione</w:t>
      </w:r>
    </w:p>
    <w:p w:rsidR="009E4FDD" w:rsidRPr="003410C7" w:rsidRDefault="009E4FDD" w:rsidP="009E4FDD">
      <w:pPr>
        <w:ind w:left="720"/>
      </w:pPr>
      <w:r w:rsidRPr="003410C7">
        <w:rPr>
          <w:rFonts w:cs="Tahoma"/>
          <w:color w:val="000000"/>
          <w:szCs w:val="18"/>
        </w:rPr>
        <w:t>Forefront Unified Access Gateway 2010 è la versione successiva di Whale Intelligent Application Gateway</w:t>
      </w:r>
      <w:r w:rsidR="00072428">
        <w:rPr>
          <w:rFonts w:cs="Tahoma"/>
          <w:color w:val="000000"/>
          <w:szCs w:val="18"/>
        </w:rPr>
        <w:t> </w:t>
      </w:r>
      <w:r w:rsidRPr="003410C7">
        <w:rPr>
          <w:rFonts w:cs="Tahoma"/>
          <w:color w:val="000000"/>
          <w:szCs w:val="18"/>
        </w:rPr>
        <w:t>2007</w:t>
      </w:r>
    </w:p>
    <w:p w:rsidR="00EE30F1" w:rsidRPr="003410C7" w:rsidRDefault="00EE30F1">
      <w:pPr>
        <w:ind w:left="720"/>
      </w:pPr>
    </w:p>
    <w:p w:rsidR="001979E9" w:rsidRDefault="001979E9">
      <w:pPr>
        <w:ind w:left="720"/>
      </w:pPr>
    </w:p>
    <w:p w:rsidR="00023FE7" w:rsidRPr="003410C7" w:rsidRDefault="00A7003F" w:rsidP="00416294">
      <w:pPr>
        <w:pStyle w:val="Heading3"/>
      </w:pPr>
      <w:bookmarkStart w:id="1297" w:name="_51_High_Performance"/>
      <w:bookmarkStart w:id="1298" w:name="_63_61_HPC"/>
      <w:bookmarkStart w:id="1299" w:name="_Toc336338323"/>
      <w:bookmarkStart w:id="1300" w:name="_Toc352234914"/>
      <w:bookmarkStart w:id="1301" w:name="Srv_48HighPerfComputingPack"/>
      <w:bookmarkStart w:id="1302" w:name="Srv_54HighPerfComputingPack"/>
      <w:bookmarkStart w:id="1303" w:name="Srv_49HighPerfComputingPack"/>
      <w:bookmarkEnd w:id="1297"/>
      <w:bookmarkEnd w:id="1298"/>
      <w:r w:rsidRPr="003410C7">
        <w:rPr>
          <w:rFonts w:ascii="Tahoma" w:hAnsi="Tahoma"/>
          <w:caps/>
          <w:color w:val="F66400"/>
          <w:sz w:val="22"/>
          <w:vertAlign w:val="superscript"/>
        </w:rPr>
        <w:t>61</w:t>
      </w:r>
      <w:r w:rsidRPr="00072428">
        <w:rPr>
          <w:rFonts w:ascii="Tahoma" w:hAnsi="Tahoma"/>
          <w:caps/>
          <w:color w:val="F66400"/>
          <w:sz w:val="22"/>
        </w:rPr>
        <w:t xml:space="preserve"> </w:t>
      </w:r>
      <w:r w:rsidRPr="003410C7">
        <w:rPr>
          <w:rFonts w:ascii="Tahoma" w:hAnsi="Tahoma"/>
          <w:color w:val="F66400"/>
          <w:sz w:val="22"/>
        </w:rPr>
        <w:t>HPC Pack 2008 R2 Enterprise</w:t>
      </w:r>
      <w:bookmarkEnd w:id="1299"/>
      <w:bookmarkEnd w:id="1300"/>
    </w:p>
    <w:bookmarkEnd w:id="1301"/>
    <w:bookmarkEnd w:id="1302"/>
    <w:p w:rsidR="00023FE7" w:rsidRPr="003410C7" w:rsidRDefault="00023FE7" w:rsidP="00416294">
      <w:pPr>
        <w:ind w:left="720"/>
      </w:pPr>
    </w:p>
    <w:bookmarkEnd w:id="1303"/>
    <w:p w:rsidR="00221A57" w:rsidRPr="00451078" w:rsidRDefault="001978C7" w:rsidP="00221A57">
      <w:pPr>
        <w:spacing w:after="60"/>
        <w:ind w:left="720"/>
        <w:rPr>
          <w:lang w:val="it-IT"/>
        </w:rPr>
      </w:pPr>
      <w:r w:rsidRPr="00451078">
        <w:rPr>
          <w:b/>
          <w:color w:val="000000"/>
          <w:lang w:val="it-IT"/>
        </w:rPr>
        <w:t>Concessioni di licenza associate alla fine del ciclo di vita di HPC Pack Enterprise</w:t>
      </w:r>
    </w:p>
    <w:p w:rsidR="00221A57" w:rsidRPr="00451078" w:rsidRDefault="001978C7" w:rsidP="00221A57">
      <w:pPr>
        <w:ind w:left="720"/>
        <w:rPr>
          <w:lang w:val="it-IT"/>
        </w:rPr>
      </w:pPr>
      <w:r w:rsidRPr="00451078">
        <w:rPr>
          <w:color w:val="000000"/>
          <w:lang w:val="it-IT"/>
        </w:rPr>
        <w:t>HPC Pack 2008 R2 Enterprise sarà l</w:t>
      </w:r>
      <w:r w:rsidR="0073727D">
        <w:rPr>
          <w:color w:val="000000"/>
          <w:lang w:val="it-IT"/>
        </w:rPr>
        <w:t>’</w:t>
      </w:r>
      <w:r w:rsidRPr="00451078">
        <w:rPr>
          <w:color w:val="000000"/>
          <w:lang w:val="it-IT"/>
        </w:rPr>
        <w:t>ultima versione del software HPC Pack Enterprise venduta nel Programma Multilicenza. Le prossime versioni saranno disponibili come download gratuiti. Le società titolari di contratti multilicenza con copertura Software Assurance attiva per le licenze per HPC Pack 2008 R2 Enterprise in data 1 settembre 2012 o in occasione della prima disponibilità di Windows Server 2012 per il download dal sito Web Volume Licensing Service Center, a seconda di quale evento si verificherà per primo, (</w:t>
      </w:r>
      <w:r w:rsidR="001A3EC5" w:rsidRPr="00451078">
        <w:rPr>
          <w:color w:val="000000"/>
          <w:lang w:val="it-IT"/>
        </w:rPr>
        <w:t>“</w:t>
      </w:r>
      <w:r w:rsidRPr="00451078">
        <w:rPr>
          <w:color w:val="000000"/>
          <w:lang w:val="it-IT"/>
        </w:rPr>
        <w:t>Licenze Qualificanti</w:t>
      </w:r>
      <w:r w:rsidR="001A3EC5" w:rsidRPr="00451078">
        <w:rPr>
          <w:color w:val="000000"/>
          <w:lang w:val="it-IT"/>
        </w:rPr>
        <w:t>”</w:t>
      </w:r>
      <w:r w:rsidRPr="00451078">
        <w:rPr>
          <w:color w:val="000000"/>
          <w:lang w:val="it-IT"/>
        </w:rPr>
        <w:t xml:space="preserve">) saranno autorizzate a </w:t>
      </w:r>
      <w:r w:rsidRPr="00451078">
        <w:rPr>
          <w:rFonts w:eastAsia="Calibri" w:cs="Tahoma"/>
          <w:szCs w:val="18"/>
          <w:lang w:val="it-IT"/>
        </w:rPr>
        <w:t>utilizzare il software Windows Server 2012 Standard. Per agevolare tale utilizzo, per ogni due Licenze Qualificanti in suo possesso, alla società verrà concessa una licenza per processore per Windows Server 2012 Standard in base alla disponibilità di Windows Server 2012.</w:t>
      </w:r>
    </w:p>
    <w:p w:rsidR="001978C7" w:rsidRPr="00451078" w:rsidRDefault="001978C7" w:rsidP="00221A57">
      <w:pPr>
        <w:ind w:left="720"/>
        <w:rPr>
          <w:lang w:val="it-IT"/>
        </w:rPr>
      </w:pPr>
    </w:p>
    <w:p w:rsidR="001978C7" w:rsidRPr="00451078" w:rsidRDefault="001978C7" w:rsidP="00745AB3">
      <w:pPr>
        <w:numPr>
          <w:ilvl w:val="0"/>
          <w:numId w:val="55"/>
        </w:numPr>
        <w:tabs>
          <w:tab w:val="clear" w:pos="360"/>
          <w:tab w:val="left" w:pos="1440"/>
        </w:tabs>
        <w:spacing w:after="60"/>
        <w:ind w:left="1440"/>
        <w:rPr>
          <w:rFonts w:cs="Tahoma"/>
          <w:szCs w:val="18"/>
          <w:lang w:val="it-IT"/>
        </w:rPr>
      </w:pPr>
      <w:r w:rsidRPr="00451078">
        <w:rPr>
          <w:rFonts w:cs="Tahoma"/>
          <w:color w:val="000000"/>
          <w:szCs w:val="18"/>
          <w:lang w:val="it-IT"/>
        </w:rPr>
        <w:t>Qualora una società disponga di un numero dispari di licenze per HPC Pack Enterprise, dovrà arrotondarle al successivo numero pari per determinare la quantità concessa.</w:t>
      </w:r>
      <w:r w:rsidR="00082E1C" w:rsidRPr="00451078">
        <w:rPr>
          <w:rFonts w:cs="Tahoma"/>
          <w:color w:val="000000"/>
          <w:szCs w:val="18"/>
          <w:lang w:val="it-IT"/>
        </w:rPr>
        <w:t xml:space="preserve"> </w:t>
      </w:r>
      <w:r w:rsidRPr="00451078">
        <w:rPr>
          <w:rFonts w:cs="Tahoma"/>
          <w:color w:val="000000"/>
          <w:szCs w:val="18"/>
          <w:lang w:val="it-IT"/>
        </w:rPr>
        <w:t>Ad esempio, una società titolare di tre licenze per HPC Pack Enterprise riceverà in totale due licenze per Windows Server 2012 Standard.</w:t>
      </w:r>
    </w:p>
    <w:p w:rsidR="001978C7" w:rsidRPr="00451078" w:rsidRDefault="001978C7" w:rsidP="00745AB3">
      <w:pPr>
        <w:pStyle w:val="ListParagraph"/>
        <w:numPr>
          <w:ilvl w:val="0"/>
          <w:numId w:val="55"/>
        </w:numPr>
        <w:tabs>
          <w:tab w:val="clear" w:pos="360"/>
          <w:tab w:val="left" w:pos="1440"/>
        </w:tabs>
        <w:spacing w:after="60"/>
        <w:ind w:left="1440"/>
        <w:contextualSpacing w:val="0"/>
        <w:rPr>
          <w:rFonts w:ascii="Tahoma" w:hAnsi="Tahoma" w:cs="Tahoma"/>
          <w:sz w:val="18"/>
          <w:szCs w:val="18"/>
          <w:lang w:val="it-IT"/>
        </w:rPr>
      </w:pPr>
      <w:r w:rsidRPr="00451078">
        <w:rPr>
          <w:rFonts w:ascii="Tahoma" w:eastAsia="Calibri" w:hAnsi="Tahoma" w:cs="Tahoma"/>
          <w:sz w:val="18"/>
          <w:szCs w:val="18"/>
          <w:lang w:val="it-IT"/>
        </w:rPr>
        <w:t>Le licenze acquistate ai sensi della presente concessione includono la copertura Software Assurance.</w:t>
      </w:r>
      <w:r w:rsidR="00082E1C" w:rsidRPr="00451078">
        <w:rPr>
          <w:rFonts w:ascii="Tahoma" w:eastAsia="Calibri" w:hAnsi="Tahoma" w:cs="Tahoma"/>
          <w:sz w:val="18"/>
          <w:szCs w:val="18"/>
          <w:lang w:val="it-IT"/>
        </w:rPr>
        <w:t xml:space="preserve"> </w:t>
      </w:r>
      <w:r w:rsidRPr="00451078">
        <w:rPr>
          <w:rFonts w:ascii="Tahoma" w:eastAsia="Calibri" w:hAnsi="Tahoma" w:cs="Tahoma"/>
          <w:sz w:val="18"/>
          <w:szCs w:val="18"/>
          <w:lang w:val="it-IT"/>
        </w:rPr>
        <w:t>Tale copertura cessa alla scadenza della corrispondente copertura per le Licenze Qualificanti.</w:t>
      </w:r>
    </w:p>
    <w:p w:rsidR="001978C7" w:rsidRPr="00451078" w:rsidRDefault="001978C7" w:rsidP="00745AB3">
      <w:pPr>
        <w:pStyle w:val="ListParagraph"/>
        <w:numPr>
          <w:ilvl w:val="0"/>
          <w:numId w:val="55"/>
        </w:numPr>
        <w:tabs>
          <w:tab w:val="clear" w:pos="360"/>
          <w:tab w:val="left" w:pos="1440"/>
        </w:tabs>
        <w:spacing w:after="60"/>
        <w:ind w:left="1440"/>
        <w:contextualSpacing w:val="0"/>
        <w:rPr>
          <w:rFonts w:ascii="Tahoma" w:hAnsi="Tahoma" w:cs="Tahoma"/>
          <w:sz w:val="18"/>
          <w:szCs w:val="18"/>
          <w:lang w:val="it-IT"/>
        </w:rPr>
      </w:pPr>
      <w:r w:rsidRPr="00451078">
        <w:rPr>
          <w:rFonts w:ascii="Tahoma" w:eastAsia="Calibri" w:hAnsi="Tahoma" w:cs="Tahoma"/>
          <w:sz w:val="18"/>
          <w:szCs w:val="18"/>
          <w:lang w:val="it-IT"/>
        </w:rPr>
        <w:t>Nel caso in cui le società abbiano acquistato diritti perpetui per utilizzare software ai sensi di Licenze Qualificanti, le licenze acquistate ai sensi della presente concessione saranno anch</w:t>
      </w:r>
      <w:r w:rsidR="0073727D">
        <w:rPr>
          <w:rFonts w:ascii="Tahoma" w:eastAsia="Calibri" w:hAnsi="Tahoma" w:cs="Tahoma"/>
          <w:sz w:val="18"/>
          <w:szCs w:val="18"/>
          <w:lang w:val="it-IT"/>
        </w:rPr>
        <w:t>’</w:t>
      </w:r>
      <w:r w:rsidRPr="00451078">
        <w:rPr>
          <w:rFonts w:ascii="Tahoma" w:eastAsia="Calibri" w:hAnsi="Tahoma" w:cs="Tahoma"/>
          <w:sz w:val="18"/>
          <w:szCs w:val="18"/>
          <w:lang w:val="it-IT"/>
        </w:rPr>
        <w:t>esse perpetue; diversamente, le licenze acquistate ai sensi della presente concessione cesseranno alla scadenza delle Licenze Qualificanti sottostanti.</w:t>
      </w:r>
    </w:p>
    <w:p w:rsidR="001978C7" w:rsidRPr="00451078" w:rsidRDefault="001978C7" w:rsidP="00745AB3">
      <w:pPr>
        <w:numPr>
          <w:ilvl w:val="0"/>
          <w:numId w:val="55"/>
        </w:numPr>
        <w:tabs>
          <w:tab w:val="clear" w:pos="360"/>
          <w:tab w:val="left" w:pos="1440"/>
          <w:tab w:val="left" w:pos="2160"/>
        </w:tabs>
        <w:spacing w:after="60"/>
        <w:ind w:left="1440"/>
        <w:rPr>
          <w:rFonts w:cs="Tahoma"/>
          <w:szCs w:val="18"/>
          <w:lang w:val="it-IT"/>
        </w:rPr>
      </w:pPr>
      <w:r w:rsidRPr="00451078">
        <w:rPr>
          <w:rFonts w:eastAsia="Calibri" w:cs="Tahoma"/>
          <w:szCs w:val="18"/>
          <w:lang w:val="it-IT"/>
        </w:rPr>
        <w:t>Eseguendo l</w:t>
      </w:r>
      <w:r w:rsidR="0073727D">
        <w:rPr>
          <w:rFonts w:eastAsia="Calibri" w:cs="Tahoma"/>
          <w:szCs w:val="18"/>
          <w:lang w:val="it-IT"/>
        </w:rPr>
        <w:t>’</w:t>
      </w:r>
      <w:r w:rsidRPr="00451078">
        <w:rPr>
          <w:rFonts w:eastAsia="Calibri" w:cs="Tahoma"/>
          <w:szCs w:val="18"/>
          <w:lang w:val="it-IT"/>
        </w:rPr>
        <w:t xml:space="preserve">aggiornamento a Windows Server 2012 Standard ai sensi della presente concessione, le licenze in essere per </w:t>
      </w:r>
      <w:r w:rsidRPr="00451078">
        <w:rPr>
          <w:rFonts w:cs="Tahoma"/>
          <w:color w:val="000000"/>
          <w:szCs w:val="18"/>
          <w:lang w:val="it-IT"/>
        </w:rPr>
        <w:t>HPC Pack Enterprise</w:t>
      </w:r>
      <w:r w:rsidRPr="00451078">
        <w:rPr>
          <w:rFonts w:eastAsia="Calibri" w:cs="Tahoma"/>
          <w:szCs w:val="18"/>
          <w:lang w:val="it-IT"/>
        </w:rPr>
        <w:t xml:space="preserve"> rimangono valide.</w:t>
      </w:r>
    </w:p>
    <w:p w:rsidR="001978C7" w:rsidRPr="00451078" w:rsidRDefault="001978C7" w:rsidP="00745AB3">
      <w:pPr>
        <w:numPr>
          <w:ilvl w:val="0"/>
          <w:numId w:val="55"/>
        </w:numPr>
        <w:tabs>
          <w:tab w:val="clear" w:pos="360"/>
          <w:tab w:val="left" w:pos="1440"/>
          <w:tab w:val="left" w:pos="2160"/>
        </w:tabs>
        <w:spacing w:after="60"/>
        <w:ind w:left="1440"/>
        <w:rPr>
          <w:rFonts w:cs="Tahoma"/>
          <w:szCs w:val="18"/>
          <w:lang w:val="it-IT"/>
        </w:rPr>
      </w:pPr>
      <w:r w:rsidRPr="00451078">
        <w:rPr>
          <w:rFonts w:cs="Tahoma"/>
          <w:szCs w:val="18"/>
          <w:lang w:val="it-IT"/>
        </w:rPr>
        <w:lastRenderedPageBreak/>
        <w:t xml:space="preserve">Le licenze per </w:t>
      </w:r>
      <w:r w:rsidRPr="00451078">
        <w:rPr>
          <w:rFonts w:cs="Tahoma"/>
          <w:color w:val="000000"/>
          <w:szCs w:val="18"/>
          <w:lang w:val="it-IT"/>
        </w:rPr>
        <w:t>HPC Pack 2008 R2 Enterprise</w:t>
      </w:r>
      <w:r w:rsidR="00082E1C" w:rsidRPr="00451078">
        <w:rPr>
          <w:rFonts w:cs="Tahoma"/>
          <w:color w:val="000000"/>
          <w:szCs w:val="18"/>
          <w:lang w:val="it-IT"/>
        </w:rPr>
        <w:t xml:space="preserve"> </w:t>
      </w:r>
      <w:r w:rsidRPr="00451078">
        <w:rPr>
          <w:rFonts w:cs="Tahoma"/>
          <w:bCs/>
          <w:color w:val="000000"/>
          <w:szCs w:val="18"/>
          <w:lang w:val="it-IT"/>
        </w:rPr>
        <w:t>acquistate successivamente nello stesso periodo di validità dell</w:t>
      </w:r>
      <w:r w:rsidR="0073727D">
        <w:rPr>
          <w:rFonts w:cs="Tahoma"/>
          <w:bCs/>
          <w:color w:val="000000"/>
          <w:szCs w:val="18"/>
          <w:lang w:val="it-IT"/>
        </w:rPr>
        <w:t>’</w:t>
      </w:r>
      <w:r w:rsidRPr="00451078">
        <w:rPr>
          <w:rFonts w:cs="Tahoma"/>
          <w:bCs/>
          <w:color w:val="000000"/>
          <w:szCs w:val="18"/>
          <w:lang w:val="it-IT"/>
        </w:rPr>
        <w:t>iscrizione nell</w:t>
      </w:r>
      <w:r w:rsidR="0073727D">
        <w:rPr>
          <w:rFonts w:cs="Tahoma"/>
          <w:bCs/>
          <w:color w:val="000000"/>
          <w:szCs w:val="18"/>
          <w:lang w:val="it-IT"/>
        </w:rPr>
        <w:t>’</w:t>
      </w:r>
      <w:r w:rsidRPr="00451078">
        <w:rPr>
          <w:rFonts w:cs="Tahoma"/>
          <w:bCs/>
          <w:color w:val="000000"/>
          <w:szCs w:val="18"/>
          <w:lang w:val="it-IT"/>
        </w:rPr>
        <w:t>ambito di una procedura pianificata di true-up di una società Enterprise, Enterprise Subscription, Open Value Subscription o EES sono anch</w:t>
      </w:r>
      <w:r w:rsidR="0073727D">
        <w:rPr>
          <w:rFonts w:cs="Tahoma"/>
          <w:bCs/>
          <w:color w:val="000000"/>
          <w:szCs w:val="18"/>
          <w:lang w:val="it-IT"/>
        </w:rPr>
        <w:t>’</w:t>
      </w:r>
      <w:r w:rsidRPr="00451078">
        <w:rPr>
          <w:rFonts w:cs="Tahoma"/>
          <w:bCs/>
          <w:color w:val="000000"/>
          <w:szCs w:val="18"/>
          <w:lang w:val="it-IT"/>
        </w:rPr>
        <w:t>esse Licenze Qualificanti per gli scopi previsti dalla suddetta concessione.</w:t>
      </w:r>
    </w:p>
    <w:p w:rsidR="001978C7" w:rsidRPr="00451078" w:rsidRDefault="001978C7" w:rsidP="00745AB3">
      <w:pPr>
        <w:numPr>
          <w:ilvl w:val="0"/>
          <w:numId w:val="55"/>
        </w:numPr>
        <w:tabs>
          <w:tab w:val="clear" w:pos="360"/>
          <w:tab w:val="left" w:pos="1440"/>
          <w:tab w:val="left" w:pos="2160"/>
        </w:tabs>
        <w:spacing w:after="60"/>
        <w:ind w:left="1440"/>
        <w:rPr>
          <w:rFonts w:cs="Tahoma"/>
          <w:szCs w:val="18"/>
          <w:lang w:val="it-IT"/>
        </w:rPr>
      </w:pPr>
      <w:r w:rsidRPr="00451078">
        <w:rPr>
          <w:rFonts w:cs="Tahoma"/>
          <w:bCs/>
          <w:color w:val="000000"/>
          <w:szCs w:val="18"/>
          <w:lang w:val="it-IT"/>
        </w:rPr>
        <w:t>Nonostante la concessione di licenze per Windows Server 2012 Standard e di aggiornamenti per tale versione, le obbligazioni di pagamento degli importi scaduti e dovuti per le Licenze Qualificanti e la copertura rimangono pienamente vincolanti ed efficaci.</w:t>
      </w:r>
    </w:p>
    <w:p w:rsidR="00221A57" w:rsidRPr="00451078" w:rsidRDefault="00221A57" w:rsidP="00221A57">
      <w:pPr>
        <w:tabs>
          <w:tab w:val="left" w:pos="1440"/>
          <w:tab w:val="left" w:pos="2160"/>
        </w:tabs>
        <w:ind w:left="1080"/>
        <w:contextualSpacing/>
        <w:rPr>
          <w:rFonts w:cs="Tahoma"/>
          <w:szCs w:val="18"/>
          <w:lang w:val="it-IT"/>
        </w:rPr>
      </w:pPr>
    </w:p>
    <w:p w:rsidR="00221A57" w:rsidRPr="00451078" w:rsidRDefault="001978C7" w:rsidP="00221A57">
      <w:pPr>
        <w:tabs>
          <w:tab w:val="left" w:pos="1440"/>
          <w:tab w:val="left" w:pos="2160"/>
        </w:tabs>
        <w:spacing w:after="60"/>
        <w:ind w:left="1080"/>
        <w:rPr>
          <w:rFonts w:cs="Tahoma"/>
          <w:szCs w:val="18"/>
          <w:lang w:val="it-IT"/>
        </w:rPr>
      </w:pPr>
      <w:r w:rsidRPr="00451078">
        <w:rPr>
          <w:rFonts w:eastAsia="Calibri" w:cs="Tahoma"/>
          <w:b/>
          <w:szCs w:val="18"/>
          <w:lang w:val="it-IT"/>
        </w:rPr>
        <w:t>Informazioni aggiuntive sull</w:t>
      </w:r>
      <w:r w:rsidR="0073727D">
        <w:rPr>
          <w:rFonts w:eastAsia="Calibri" w:cs="Tahoma"/>
          <w:b/>
          <w:szCs w:val="18"/>
          <w:lang w:val="it-IT"/>
        </w:rPr>
        <w:t>’</w:t>
      </w:r>
      <w:r w:rsidRPr="00451078">
        <w:rPr>
          <w:rFonts w:eastAsia="Calibri" w:cs="Tahoma"/>
          <w:b/>
          <w:szCs w:val="18"/>
          <w:lang w:val="it-IT"/>
        </w:rPr>
        <w:t>utilizzo di Windows Server 2012 High Performance Computing</w:t>
      </w:r>
      <w:r w:rsidR="00072428" w:rsidRPr="00451078">
        <w:rPr>
          <w:rFonts w:eastAsia="Calibri" w:cs="Tahoma"/>
          <w:b/>
          <w:szCs w:val="18"/>
          <w:lang w:val="it-IT"/>
        </w:rPr>
        <w:t> </w:t>
      </w:r>
      <w:r w:rsidRPr="00451078">
        <w:rPr>
          <w:rFonts w:eastAsia="Calibri" w:cs="Tahoma"/>
          <w:b/>
          <w:szCs w:val="18"/>
          <w:lang w:val="it-IT"/>
        </w:rPr>
        <w:t>(HPC)</w:t>
      </w:r>
    </w:p>
    <w:p w:rsidR="00E62BC4" w:rsidRPr="00451078" w:rsidRDefault="001978C7" w:rsidP="00221A57">
      <w:pPr>
        <w:tabs>
          <w:tab w:val="left" w:pos="1440"/>
          <w:tab w:val="left" w:pos="2160"/>
        </w:tabs>
        <w:ind w:left="1080"/>
        <w:contextualSpacing/>
        <w:rPr>
          <w:rFonts w:cs="Tahoma"/>
          <w:szCs w:val="18"/>
          <w:lang w:val="it-IT"/>
        </w:rPr>
      </w:pPr>
      <w:r w:rsidRPr="00451078">
        <w:rPr>
          <w:rFonts w:eastAsia="Calibri" w:cs="Tahoma"/>
          <w:szCs w:val="18"/>
          <w:lang w:val="it-IT"/>
        </w:rPr>
        <w:t xml:space="preserve">Quando Windows Server 2012 Standard o Datacenter viene utilizzato per High Performance Computing, non servono licenze CAL per accedere al software. Un </w:t>
      </w:r>
      <w:r w:rsidR="001A3EC5" w:rsidRPr="00451078">
        <w:rPr>
          <w:rFonts w:eastAsia="Calibri" w:cs="Tahoma"/>
          <w:szCs w:val="18"/>
          <w:lang w:val="it-IT"/>
        </w:rPr>
        <w:t>“</w:t>
      </w:r>
      <w:r w:rsidRPr="00451078">
        <w:rPr>
          <w:rFonts w:cs="Tahoma"/>
          <w:szCs w:val="18"/>
          <w:lang w:val="it-IT"/>
        </w:rPr>
        <w:t>Carico di Lavoro High Performance Computing (</w:t>
      </w:r>
      <w:r w:rsidR="001A3EC5" w:rsidRPr="00451078">
        <w:rPr>
          <w:rFonts w:cs="Tahoma"/>
          <w:szCs w:val="18"/>
          <w:lang w:val="it-IT"/>
        </w:rPr>
        <w:t>“</w:t>
      </w:r>
      <w:r w:rsidRPr="00451078">
        <w:rPr>
          <w:rFonts w:cs="Tahoma"/>
          <w:szCs w:val="18"/>
          <w:lang w:val="it-IT"/>
        </w:rPr>
        <w:t>HPC</w:t>
      </w:r>
      <w:r w:rsidR="001A3EC5" w:rsidRPr="00451078">
        <w:rPr>
          <w:rFonts w:cs="Tahoma"/>
          <w:szCs w:val="18"/>
          <w:lang w:val="it-IT"/>
        </w:rPr>
        <w:t>”</w:t>
      </w:r>
      <w:r w:rsidRPr="00451078">
        <w:rPr>
          <w:rFonts w:cs="Tahoma"/>
          <w:szCs w:val="18"/>
          <w:lang w:val="it-IT"/>
        </w:rPr>
        <w:t>)</w:t>
      </w:r>
      <w:r w:rsidR="001A3EC5" w:rsidRPr="00451078">
        <w:rPr>
          <w:rFonts w:cs="Tahoma"/>
          <w:szCs w:val="18"/>
          <w:lang w:val="it-IT"/>
        </w:rPr>
        <w:t>”</w:t>
      </w:r>
      <w:r w:rsidRPr="00451078">
        <w:rPr>
          <w:rFonts w:cs="Tahoma"/>
          <w:b/>
          <w:bCs/>
          <w:szCs w:val="18"/>
          <w:lang w:val="it-IT"/>
        </w:rPr>
        <w:t xml:space="preserve"> </w:t>
      </w:r>
      <w:r w:rsidRPr="00451078">
        <w:rPr>
          <w:rFonts w:cs="Tahoma"/>
          <w:szCs w:val="18"/>
          <w:lang w:val="it-IT"/>
        </w:rPr>
        <w:t xml:space="preserve">indica un carico di lavoro nel quale il software server </w:t>
      </w:r>
      <w:r w:rsidRPr="00451078">
        <w:rPr>
          <w:rFonts w:cs="Tahoma"/>
          <w:szCs w:val="18"/>
          <w:u w:val="single"/>
          <w:lang w:val="it-IT"/>
        </w:rPr>
        <w:t>viene utilizzato</w:t>
      </w:r>
      <w:r w:rsidRPr="00451078">
        <w:rPr>
          <w:rFonts w:cs="Tahoma"/>
          <w:szCs w:val="18"/>
          <w:lang w:val="it-IT"/>
        </w:rPr>
        <w:t xml:space="preserve"> per eseguire un Nodo del Cluster e per consentire, insieme ad altro software, la gestione dei sistemi, la gestione della protezione e dell</w:t>
      </w:r>
      <w:r w:rsidR="0073727D">
        <w:rPr>
          <w:rFonts w:cs="Tahoma"/>
          <w:szCs w:val="18"/>
          <w:lang w:val="it-IT"/>
        </w:rPr>
        <w:t>’</w:t>
      </w:r>
      <w:r w:rsidRPr="00451078">
        <w:rPr>
          <w:rFonts w:cs="Tahoma"/>
          <w:szCs w:val="18"/>
          <w:lang w:val="it-IT"/>
        </w:rPr>
        <w:t>archiviazione o il miglioramento delle prestazioni in un nodo del cluster allo scopo di supportare le Applicazioni HPC con cluster.</w:t>
      </w:r>
      <w:r w:rsidRPr="00451078">
        <w:rPr>
          <w:rFonts w:eastAsia="Calibri" w:cs="Tahoma"/>
          <w:szCs w:val="18"/>
          <w:lang w:val="it-IT"/>
        </w:rPr>
        <w:t xml:space="preserve"> Ulteriori dettagli sono disponibili nei Diritti di Utilizzo del Prodotto.</w:t>
      </w:r>
    </w:p>
    <w:p w:rsidR="00023FE7" w:rsidRPr="00451078" w:rsidRDefault="00023FE7" w:rsidP="00221A57">
      <w:pPr>
        <w:ind w:left="216"/>
        <w:rPr>
          <w:rFonts w:cs="Tahoma"/>
          <w:szCs w:val="18"/>
          <w:lang w:val="it-IT"/>
        </w:rPr>
      </w:pPr>
    </w:p>
    <w:p w:rsidR="00586FCE" w:rsidRPr="00451078" w:rsidRDefault="00586FCE" w:rsidP="00221A57">
      <w:pPr>
        <w:ind w:left="216"/>
        <w:rPr>
          <w:lang w:val="it-IT"/>
        </w:rPr>
      </w:pPr>
    </w:p>
    <w:p w:rsidR="00023FE7" w:rsidRPr="00451078" w:rsidRDefault="00A7003F" w:rsidP="00416294">
      <w:pPr>
        <w:pStyle w:val="Heading3"/>
        <w:rPr>
          <w:lang w:val="it-IT"/>
        </w:rPr>
      </w:pPr>
      <w:bookmarkStart w:id="1304" w:name="_58_Learning_Solutions"/>
      <w:bookmarkStart w:id="1305" w:name="_54_Learning_Solutions"/>
      <w:bookmarkStart w:id="1306" w:name="_64_62_Learning"/>
      <w:bookmarkStart w:id="1307" w:name="Srv_60LearningSolMCP1ExamVouch"/>
      <w:bookmarkStart w:id="1308" w:name="_Toc336338324"/>
      <w:bookmarkStart w:id="1309" w:name="_Toc352234915"/>
      <w:bookmarkStart w:id="1310" w:name="Srv_55LearningSolMCP1ExamVouch"/>
      <w:bookmarkStart w:id="1311" w:name="Srv_56LearningSolMCP1ExamVouch"/>
      <w:bookmarkEnd w:id="1304"/>
      <w:bookmarkEnd w:id="1305"/>
      <w:bookmarkEnd w:id="1306"/>
      <w:r w:rsidRPr="00451078">
        <w:rPr>
          <w:rFonts w:ascii="Tahoma" w:hAnsi="Tahoma"/>
          <w:caps/>
          <w:color w:val="F66400"/>
          <w:sz w:val="22"/>
          <w:vertAlign w:val="superscript"/>
          <w:lang w:val="it-IT"/>
        </w:rPr>
        <w:t>62</w:t>
      </w:r>
      <w:r w:rsidRPr="00451078">
        <w:rPr>
          <w:rFonts w:ascii="Tahoma" w:hAnsi="Tahoma"/>
          <w:color w:val="F66400"/>
          <w:sz w:val="22"/>
          <w:lang w:val="it-IT"/>
        </w:rPr>
        <w:t xml:space="preserve"> Learning Solutions MCP Exam Vouchers</w:t>
      </w:r>
      <w:bookmarkEnd w:id="1307"/>
      <w:bookmarkEnd w:id="1308"/>
      <w:bookmarkEnd w:id="1309"/>
    </w:p>
    <w:bookmarkEnd w:id="1310"/>
    <w:p w:rsidR="00023FE7" w:rsidRPr="00451078" w:rsidRDefault="00023FE7" w:rsidP="00416294">
      <w:pPr>
        <w:pStyle w:val="EndnoteText"/>
        <w:rPr>
          <w:lang w:val="it-IT"/>
        </w:rPr>
      </w:pPr>
    </w:p>
    <w:bookmarkEnd w:id="1311"/>
    <w:p w:rsidR="002A760F" w:rsidRPr="00626D4E" w:rsidRDefault="002A760F" w:rsidP="00626D4E">
      <w:pPr>
        <w:pStyle w:val="EndnoteText"/>
        <w:ind w:left="720"/>
        <w:rPr>
          <w:rFonts w:ascii="Tahoma" w:hAnsi="Tahoma" w:cs="Tahoma"/>
          <w:lang w:val="it-IT"/>
        </w:rPr>
      </w:pPr>
      <w:r w:rsidRPr="00626D4E">
        <w:rPr>
          <w:rFonts w:ascii="Tahoma" w:hAnsi="Tahoma" w:cs="Tahoma"/>
          <w:sz w:val="18"/>
          <w:lang w:val="it-IT"/>
        </w:rPr>
        <w:t xml:space="preserve">Tutti i voucher verranno consegna anticipatamente e potranno essere utilizzati in qualunque momento entro 12 mesi dalla data di acquisto. </w:t>
      </w:r>
      <w:r w:rsidRPr="00626D4E">
        <w:rPr>
          <w:rFonts w:ascii="Tahoma" w:hAnsi="Tahoma" w:cs="Tahoma"/>
          <w:bCs/>
          <w:color w:val="000000"/>
          <w:sz w:val="18"/>
          <w:szCs w:val="20"/>
          <w:lang w:val="it-IT"/>
        </w:rPr>
        <w:t>Fare riferimento all</w:t>
      </w:r>
      <w:r w:rsidR="0073727D">
        <w:rPr>
          <w:rFonts w:ascii="Tahoma" w:hAnsi="Tahoma" w:cs="Tahoma"/>
          <w:bCs/>
          <w:color w:val="000000"/>
          <w:sz w:val="18"/>
          <w:szCs w:val="20"/>
          <w:lang w:val="it-IT"/>
        </w:rPr>
        <w:t>’</w:t>
      </w:r>
      <w:hyperlink w:anchor="_Section_5_–" w:history="1">
        <w:r w:rsidRPr="00626D4E">
          <w:rPr>
            <w:rFonts w:ascii="Tahoma" w:hAnsi="Tahoma" w:cs="Tahoma"/>
            <w:sz w:val="18"/>
            <w:szCs w:val="22"/>
            <w:lang w:val="it-IT"/>
          </w:rPr>
          <w:t xml:space="preserve"> </w:t>
        </w:r>
        <w:hyperlink w:anchor="_Articolo_5_-_1" w:history="1">
          <w:r w:rsidR="00626D4E" w:rsidRPr="00626D4E">
            <w:rPr>
              <w:rStyle w:val="Hyperlink"/>
              <w:rFonts w:ascii="Tahoma" w:hAnsi="Tahoma" w:cs="Tahoma"/>
              <w:lang w:val="it-IT"/>
            </w:rPr>
            <w:t>Articolo 5</w:t>
          </w:r>
        </w:hyperlink>
      </w:hyperlink>
      <w:r w:rsidRPr="00626D4E">
        <w:rPr>
          <w:rFonts w:ascii="Tahoma" w:hAnsi="Tahoma" w:cs="Tahoma"/>
          <w:bCs/>
          <w:color w:val="000000"/>
          <w:sz w:val="18"/>
          <w:szCs w:val="20"/>
          <w:lang w:val="it-IT"/>
        </w:rPr>
        <w:t xml:space="preserve"> per i prezzi dei servizi online e le condizioni di</w:t>
      </w:r>
      <w:r w:rsidR="00072428" w:rsidRPr="00626D4E">
        <w:rPr>
          <w:rFonts w:ascii="Tahoma" w:hAnsi="Tahoma" w:cs="Tahoma"/>
          <w:bCs/>
          <w:color w:val="000000"/>
          <w:sz w:val="18"/>
          <w:szCs w:val="20"/>
          <w:lang w:val="it-IT"/>
        </w:rPr>
        <w:t> </w:t>
      </w:r>
      <w:r w:rsidRPr="00626D4E">
        <w:rPr>
          <w:rFonts w:ascii="Tahoma" w:hAnsi="Tahoma" w:cs="Tahoma"/>
          <w:bCs/>
          <w:color w:val="000000"/>
          <w:sz w:val="18"/>
          <w:szCs w:val="20"/>
          <w:lang w:val="it-IT"/>
        </w:rPr>
        <w:t xml:space="preserve">pagamento. </w:t>
      </w:r>
    </w:p>
    <w:p w:rsidR="00F42FD5" w:rsidRPr="00451078" w:rsidRDefault="00F42FD5" w:rsidP="00416294">
      <w:pPr>
        <w:pStyle w:val="EndnoteText"/>
        <w:ind w:left="720"/>
        <w:rPr>
          <w:lang w:val="it-IT"/>
        </w:rPr>
      </w:pPr>
    </w:p>
    <w:p w:rsidR="00F42FD5" w:rsidRPr="00451078" w:rsidRDefault="0099402E" w:rsidP="00416294">
      <w:pPr>
        <w:pStyle w:val="Heading2"/>
        <w:ind w:left="0"/>
        <w:rPr>
          <w:lang w:val="it-IT"/>
        </w:rPr>
      </w:pPr>
      <w:bookmarkStart w:id="1312" w:name="_65_63_Lync"/>
      <w:bookmarkStart w:id="1313" w:name="_Toc336338325"/>
      <w:bookmarkStart w:id="1314" w:name="_Toc352234916"/>
      <w:bookmarkStart w:id="1315" w:name="Srv_65LyncOnlinePlan1and2"/>
      <w:bookmarkEnd w:id="1312"/>
      <w:r w:rsidRPr="00451078">
        <w:rPr>
          <w:rFonts w:ascii="Tahoma" w:hAnsi="Tahoma" w:cs="Tahoma"/>
          <w:caps/>
          <w:color w:val="FF6600"/>
          <w:sz w:val="22"/>
          <w:vertAlign w:val="superscript"/>
          <w:lang w:val="it-IT"/>
        </w:rPr>
        <w:t>63</w:t>
      </w:r>
      <w:r w:rsidRPr="00451078">
        <w:rPr>
          <w:rFonts w:ascii="Tahoma" w:hAnsi="Tahoma" w:cs="Tahoma"/>
          <w:color w:val="FF6600"/>
          <w:lang w:val="it-IT"/>
        </w:rPr>
        <w:t xml:space="preserve"> </w:t>
      </w:r>
      <w:r w:rsidRPr="00451078">
        <w:rPr>
          <w:rFonts w:ascii="Tahoma" w:hAnsi="Tahoma" w:cs="Tahoma"/>
          <w:color w:val="FF6600"/>
          <w:sz w:val="22"/>
          <w:lang w:val="it-IT"/>
        </w:rPr>
        <w:t>Lync Online Piani 1, 2 e 3</w:t>
      </w:r>
      <w:bookmarkEnd w:id="1313"/>
      <w:bookmarkEnd w:id="1314"/>
    </w:p>
    <w:bookmarkEnd w:id="1315"/>
    <w:p w:rsidR="00F42FD5" w:rsidRPr="00451078" w:rsidRDefault="00F42FD5" w:rsidP="00F42FD5">
      <w:pPr>
        <w:rPr>
          <w:lang w:val="it-IT"/>
        </w:rPr>
      </w:pPr>
    </w:p>
    <w:p w:rsidR="00693524" w:rsidRPr="00451078" w:rsidRDefault="00194DAF" w:rsidP="00693524">
      <w:pPr>
        <w:ind w:left="720"/>
        <w:rPr>
          <w:lang w:val="it-IT"/>
        </w:rPr>
      </w:pPr>
      <w:r w:rsidRPr="00451078">
        <w:rPr>
          <w:color w:val="000000"/>
          <w:lang w:val="it-IT"/>
        </w:rPr>
        <w:t>Lync Online Piano 1 e Piano 2 richiedono l</w:t>
      </w:r>
      <w:r w:rsidR="0073727D">
        <w:rPr>
          <w:color w:val="000000"/>
          <w:lang w:val="it-IT"/>
        </w:rPr>
        <w:t>’</w:t>
      </w:r>
      <w:r w:rsidRPr="00451078">
        <w:rPr>
          <w:color w:val="000000"/>
          <w:lang w:val="it-IT"/>
        </w:rPr>
        <w:t>acquisto e l</w:t>
      </w:r>
      <w:r w:rsidR="0073727D">
        <w:rPr>
          <w:color w:val="000000"/>
          <w:lang w:val="it-IT"/>
        </w:rPr>
        <w:t>’</w:t>
      </w:r>
      <w:r w:rsidRPr="00451078">
        <w:rPr>
          <w:color w:val="000000"/>
          <w:lang w:val="it-IT"/>
        </w:rPr>
        <w:t>installazione separati di Microsoft Lync 2013 (o di Lync per Mac 2011) per accedere al set completo di funzionalità di Lync Online Piano 1 e Piano 2. Grazie a un</w:t>
      </w:r>
      <w:r w:rsidR="0073727D">
        <w:rPr>
          <w:color w:val="000000"/>
          <w:lang w:val="it-IT"/>
        </w:rPr>
        <w:t>’</w:t>
      </w:r>
      <w:r w:rsidRPr="00451078">
        <w:rPr>
          <w:color w:val="000000"/>
          <w:lang w:val="it-IT"/>
        </w:rPr>
        <w:t xml:space="preserve">offerta di durata limitata, le società titolari di licenza per Lync Online riceveranno gratuitamente in licenza una copia di Lync per Mac 2011 per ciascuna licenza </w:t>
      </w:r>
      <w:r w:rsidR="001A3EC5" w:rsidRPr="00451078">
        <w:rPr>
          <w:color w:val="000000"/>
          <w:lang w:val="it-IT"/>
        </w:rPr>
        <w:t>“</w:t>
      </w:r>
      <w:r w:rsidRPr="00451078">
        <w:rPr>
          <w:color w:val="000000"/>
          <w:lang w:val="it-IT"/>
        </w:rPr>
        <w:t>subscription</w:t>
      </w:r>
      <w:r w:rsidR="001A3EC5" w:rsidRPr="00451078">
        <w:rPr>
          <w:color w:val="000000"/>
          <w:lang w:val="it-IT"/>
        </w:rPr>
        <w:t>”</w:t>
      </w:r>
      <w:r w:rsidRPr="00451078">
        <w:rPr>
          <w:color w:val="000000"/>
          <w:lang w:val="it-IT"/>
        </w:rPr>
        <w:t xml:space="preserve"> acquistata o in versione di valutazione di</w:t>
      </w:r>
      <w:r w:rsidR="00072428" w:rsidRPr="00451078">
        <w:rPr>
          <w:color w:val="000000"/>
          <w:lang w:val="it-IT"/>
        </w:rPr>
        <w:t> </w:t>
      </w:r>
      <w:r w:rsidRPr="00451078">
        <w:rPr>
          <w:color w:val="000000"/>
          <w:lang w:val="it-IT"/>
        </w:rPr>
        <w:t>Lync Online. Il software potrà essere utilizzato esclusivamente con Lync Online e tutti i diritti di utilizzo del</w:t>
      </w:r>
      <w:r w:rsidR="00072428" w:rsidRPr="00451078">
        <w:rPr>
          <w:color w:val="000000"/>
          <w:lang w:val="it-IT"/>
        </w:rPr>
        <w:t> </w:t>
      </w:r>
      <w:r w:rsidRPr="00451078">
        <w:rPr>
          <w:color w:val="000000"/>
          <w:lang w:val="it-IT"/>
        </w:rPr>
        <w:t xml:space="preserve">software cesseranno alla scadenza della licenza </w:t>
      </w:r>
      <w:r w:rsidR="001A3EC5" w:rsidRPr="00451078">
        <w:rPr>
          <w:color w:val="000000"/>
          <w:lang w:val="it-IT"/>
        </w:rPr>
        <w:t>“</w:t>
      </w:r>
      <w:r w:rsidRPr="00451078">
        <w:rPr>
          <w:color w:val="000000"/>
          <w:lang w:val="it-IT"/>
        </w:rPr>
        <w:t>subscription</w:t>
      </w:r>
      <w:r w:rsidR="001A3EC5" w:rsidRPr="00451078">
        <w:rPr>
          <w:color w:val="000000"/>
          <w:lang w:val="it-IT"/>
        </w:rPr>
        <w:t>”</w:t>
      </w:r>
      <w:r w:rsidRPr="00451078">
        <w:rPr>
          <w:color w:val="000000"/>
          <w:lang w:val="it-IT"/>
        </w:rPr>
        <w:t xml:space="preserve"> sottostante oppure in occasione della migrazione alla successiva nuova versione principale di Lync Online, a seconda di quale evento si verificherà per primo. Le società potranno utilizzare il client gratuito Lync Basic 2013 per i loro utenti finali in possesso di Windows. </w:t>
      </w:r>
    </w:p>
    <w:p w:rsidR="00194DAF" w:rsidRPr="00451078" w:rsidRDefault="00194DAF" w:rsidP="008A36D8">
      <w:pPr>
        <w:ind w:left="720"/>
        <w:rPr>
          <w:lang w:val="it-IT"/>
        </w:rPr>
      </w:pPr>
    </w:p>
    <w:p w:rsidR="006D33A5" w:rsidRPr="00451078" w:rsidRDefault="006D33A5" w:rsidP="008A36D8">
      <w:pPr>
        <w:ind w:left="720"/>
        <w:rPr>
          <w:lang w:val="it-IT"/>
        </w:rPr>
      </w:pPr>
    </w:p>
    <w:p w:rsidR="006D33A5" w:rsidRPr="00451078" w:rsidRDefault="006D33A5" w:rsidP="003D0252">
      <w:pPr>
        <w:spacing w:after="60"/>
        <w:ind w:left="720"/>
        <w:rPr>
          <w:lang w:val="it-IT"/>
        </w:rPr>
      </w:pPr>
      <w:r w:rsidRPr="00451078">
        <w:rPr>
          <w:rFonts w:eastAsia="Calibri" w:cs="Tahoma"/>
          <w:b/>
          <w:color w:val="000000"/>
          <w:szCs w:val="18"/>
          <w:lang w:val="it-IT"/>
        </w:rPr>
        <w:t>Community Cloud per Enti Pubblici (solo Stati Uniti)</w:t>
      </w:r>
    </w:p>
    <w:p w:rsidR="006D33A5" w:rsidRPr="00451078" w:rsidRDefault="006D33A5" w:rsidP="006D33A5">
      <w:pPr>
        <w:ind w:left="720"/>
        <w:rPr>
          <w:lang w:val="it-IT"/>
        </w:rPr>
      </w:pPr>
      <w:r w:rsidRPr="00451078">
        <w:rPr>
          <w:rFonts w:eastAsia="Calibri" w:cs="Tahoma"/>
          <w:color w:val="000000"/>
          <w:szCs w:val="18"/>
          <w:lang w:val="it-IT"/>
        </w:rPr>
        <w:t>Alcuni servizi online della famiglia di prodotti Office 365 (incluso Lync Online Piano 1,2 e 3) sono offerti come servizi di community cloud per enti pubblici e come servizi di community cloud per enti non pubblici.</w:t>
      </w:r>
      <w:r w:rsidR="00082E1C" w:rsidRPr="00451078">
        <w:rPr>
          <w:rFonts w:eastAsia="Calibri" w:cs="Tahoma"/>
          <w:color w:val="000000"/>
          <w:szCs w:val="18"/>
          <w:lang w:val="it-IT"/>
        </w:rPr>
        <w:t xml:space="preserve"> </w:t>
      </w:r>
      <w:r w:rsidRPr="00451078">
        <w:rPr>
          <w:rFonts w:eastAsia="Calibri" w:cs="Tahoma"/>
          <w:color w:val="000000"/>
          <w:szCs w:val="18"/>
          <w:lang w:val="it-IT"/>
        </w:rPr>
        <w:t>Alle società potrà essere effettuato il provisioning come ente pubblico o non pubblico, ma non come una combinazione di entrambi.</w:t>
      </w:r>
      <w:r w:rsidR="00082E1C" w:rsidRPr="00451078">
        <w:rPr>
          <w:rFonts w:eastAsia="Calibri" w:cs="Tahoma"/>
          <w:color w:val="000000"/>
          <w:szCs w:val="18"/>
          <w:lang w:val="it-IT"/>
        </w:rPr>
        <w:t xml:space="preserve"> </w:t>
      </w:r>
      <w:r w:rsidRPr="00451078">
        <w:rPr>
          <w:rFonts w:eastAsia="Calibri" w:cs="Tahoma"/>
          <w:color w:val="000000"/>
          <w:szCs w:val="18"/>
          <w:lang w:val="it-IT"/>
        </w:rPr>
        <w:t>I Servizi Online designati come community cloud per enti pubblici non potranno essere distribuiti nello stesso dominio in cui vengono distribuiti servizi specifici di community cloud per enti non pubblici. Tale limitazione si estende a qualsiasi servizio online facente parte della famiglia di prodotti Office 365, inclusi Exchange Online, SharePoint Online e Lync Online.</w:t>
      </w:r>
      <w:r w:rsidR="00082E1C" w:rsidRPr="00451078">
        <w:rPr>
          <w:rFonts w:eastAsia="Calibri" w:cs="Tahoma"/>
          <w:color w:val="000000"/>
          <w:szCs w:val="18"/>
          <w:lang w:val="it-IT"/>
        </w:rPr>
        <w:t xml:space="preserve"> </w:t>
      </w:r>
    </w:p>
    <w:p w:rsidR="006D33A5" w:rsidRPr="00451078" w:rsidRDefault="006D33A5" w:rsidP="006D33A5">
      <w:pPr>
        <w:ind w:left="720"/>
        <w:rPr>
          <w:lang w:val="it-IT"/>
        </w:rPr>
      </w:pPr>
    </w:p>
    <w:p w:rsidR="006D33A5" w:rsidRPr="00451078" w:rsidRDefault="006D33A5" w:rsidP="006D33A5">
      <w:pPr>
        <w:ind w:left="720"/>
        <w:rPr>
          <w:lang w:val="it-IT"/>
        </w:rPr>
      </w:pPr>
      <w:r w:rsidRPr="00451078">
        <w:rPr>
          <w:rFonts w:eastAsia="Calibri" w:cs="Tahoma"/>
          <w:color w:val="000000"/>
          <w:szCs w:val="18"/>
          <w:lang w:val="it-IT"/>
        </w:rPr>
        <w:t>Quando verrà effettuato il provisioning di un servizio online nel community cloud per enti pubblici, rimarrà tale per tutto il periodo di validità della sottoscrizione. Le società che sono enti pubblici federali, statali, locali o tribali negli Stati Uniti dovranno essere in possesso di un</w:t>
      </w:r>
      <w:r w:rsidR="0073727D">
        <w:rPr>
          <w:rFonts w:eastAsia="Calibri" w:cs="Tahoma"/>
          <w:color w:val="000000"/>
          <w:szCs w:val="18"/>
          <w:lang w:val="it-IT"/>
        </w:rPr>
        <w:t>’</w:t>
      </w:r>
      <w:r w:rsidRPr="00451078">
        <w:rPr>
          <w:rFonts w:eastAsia="Calibri" w:cs="Tahoma"/>
          <w:color w:val="000000"/>
          <w:szCs w:val="18"/>
          <w:lang w:val="it-IT"/>
        </w:rPr>
        <w:t>Iscrizione Enterprise o Enterprise Subscription per Enti Pubblici Statunitensi per essere idonei all</w:t>
      </w:r>
      <w:r w:rsidR="0073727D">
        <w:rPr>
          <w:rFonts w:eastAsia="Calibri" w:cs="Tahoma"/>
          <w:color w:val="000000"/>
          <w:szCs w:val="18"/>
          <w:lang w:val="it-IT"/>
        </w:rPr>
        <w:t>’</w:t>
      </w:r>
      <w:r w:rsidRPr="00451078">
        <w:rPr>
          <w:rFonts w:eastAsia="Calibri" w:cs="Tahoma"/>
          <w:color w:val="000000"/>
          <w:szCs w:val="18"/>
          <w:lang w:val="it-IT"/>
        </w:rPr>
        <w:t>acquisto di servizi online designati come community cloud per enti pubblici.</w:t>
      </w:r>
      <w:r w:rsidR="00082E1C" w:rsidRPr="00451078">
        <w:rPr>
          <w:rFonts w:eastAsia="Calibri" w:cs="Tahoma"/>
          <w:color w:val="000000"/>
          <w:szCs w:val="18"/>
          <w:lang w:val="it-IT"/>
        </w:rPr>
        <w:t xml:space="preserve"> </w:t>
      </w:r>
      <w:r w:rsidRPr="00451078">
        <w:rPr>
          <w:rFonts w:eastAsia="Calibri" w:cs="Tahoma"/>
          <w:color w:val="000000"/>
          <w:szCs w:val="18"/>
          <w:lang w:val="it-IT"/>
        </w:rPr>
        <w:t>I Diritti sull</w:t>
      </w:r>
      <w:r w:rsidR="0073727D">
        <w:rPr>
          <w:rFonts w:eastAsia="Calibri" w:cs="Tahoma"/>
          <w:color w:val="000000"/>
          <w:szCs w:val="18"/>
          <w:lang w:val="it-IT"/>
        </w:rPr>
        <w:t>’</w:t>
      </w:r>
      <w:r w:rsidRPr="00451078">
        <w:rPr>
          <w:rFonts w:eastAsia="Calibri" w:cs="Tahoma"/>
          <w:color w:val="000000"/>
          <w:szCs w:val="18"/>
          <w:lang w:val="it-IT"/>
        </w:rPr>
        <w:t>Utilizzo relativi ai servizi di community cloud per enti pubblici sono simili a quelli dei loro equivalenti multi-tenant standard.</w:t>
      </w:r>
      <w:r w:rsidR="00082E1C" w:rsidRPr="00451078">
        <w:rPr>
          <w:rFonts w:eastAsia="Calibri" w:cs="Tahoma"/>
          <w:color w:val="000000"/>
          <w:szCs w:val="18"/>
          <w:lang w:val="it-IT"/>
        </w:rPr>
        <w:t xml:space="preserve"> </w:t>
      </w:r>
    </w:p>
    <w:p w:rsidR="00FC31B7" w:rsidRPr="00451078" w:rsidRDefault="00FC31B7" w:rsidP="00FC31B7">
      <w:pPr>
        <w:ind w:left="720"/>
        <w:rPr>
          <w:lang w:val="it-IT"/>
        </w:rPr>
      </w:pPr>
    </w:p>
    <w:p w:rsidR="00586FCE" w:rsidRPr="00451078" w:rsidRDefault="00586FCE" w:rsidP="00FC31B7">
      <w:pPr>
        <w:ind w:left="720"/>
        <w:rPr>
          <w:lang w:val="it-IT"/>
        </w:rPr>
      </w:pPr>
    </w:p>
    <w:p w:rsidR="004E0852" w:rsidRPr="00451078" w:rsidRDefault="0099402E" w:rsidP="004E0852">
      <w:pPr>
        <w:pStyle w:val="Heading2"/>
        <w:ind w:left="0"/>
        <w:rPr>
          <w:lang w:val="it-IT"/>
        </w:rPr>
      </w:pPr>
      <w:bookmarkStart w:id="1316" w:name="_62_Lync_Server"/>
      <w:bookmarkStart w:id="1317" w:name="_Toc352234917"/>
      <w:bookmarkStart w:id="1318" w:name="_Toc336338326"/>
      <w:bookmarkStart w:id="1319" w:name="Srv_62LyncServer2010StandEnt"/>
      <w:bookmarkEnd w:id="1316"/>
      <w:r w:rsidRPr="00451078">
        <w:rPr>
          <w:rFonts w:ascii="Tahoma" w:hAnsi="Tahoma" w:cs="Tahoma"/>
          <w:caps/>
          <w:color w:val="FA6500"/>
          <w:sz w:val="22"/>
          <w:vertAlign w:val="superscript"/>
          <w:lang w:val="it-IT"/>
        </w:rPr>
        <w:t>64</w:t>
      </w:r>
      <w:r w:rsidRPr="00451078">
        <w:rPr>
          <w:rFonts w:ascii="Tahoma" w:hAnsi="Tahoma" w:cs="Tahoma"/>
          <w:caps/>
          <w:color w:val="FA6500"/>
          <w:sz w:val="22"/>
          <w:lang w:val="it-IT"/>
        </w:rPr>
        <w:t xml:space="preserve"> </w:t>
      </w:r>
      <w:r w:rsidRPr="00451078">
        <w:rPr>
          <w:rFonts w:ascii="Tahoma" w:hAnsi="Tahoma" w:cs="Tahoma"/>
          <w:color w:val="FA6500"/>
          <w:sz w:val="22"/>
          <w:lang w:val="it-IT"/>
        </w:rPr>
        <w:t>Lync Server 2013</w:t>
      </w:r>
      <w:bookmarkEnd w:id="1317"/>
      <w:r w:rsidRPr="00451078">
        <w:rPr>
          <w:rFonts w:ascii="Tahoma" w:hAnsi="Tahoma" w:cs="Tahoma"/>
          <w:color w:val="FA6500"/>
          <w:sz w:val="22"/>
          <w:lang w:val="it-IT"/>
        </w:rPr>
        <w:t xml:space="preserve"> </w:t>
      </w:r>
    </w:p>
    <w:p w:rsidR="004E0852" w:rsidRPr="00451078" w:rsidRDefault="004E0852" w:rsidP="004E0852">
      <w:pPr>
        <w:ind w:left="720"/>
        <w:rPr>
          <w:lang w:val="it-IT"/>
        </w:rPr>
      </w:pPr>
    </w:p>
    <w:p w:rsidR="004E0852" w:rsidRPr="00451078" w:rsidRDefault="004E0852" w:rsidP="004E0852">
      <w:pPr>
        <w:ind w:left="720"/>
        <w:rPr>
          <w:lang w:val="it-IT"/>
        </w:rPr>
      </w:pPr>
      <w:r w:rsidRPr="00451078">
        <w:rPr>
          <w:rFonts w:cs="Tahoma"/>
          <w:color w:val="000000"/>
          <w:szCs w:val="18"/>
          <w:lang w:val="it-IT"/>
        </w:rPr>
        <w:lastRenderedPageBreak/>
        <w:t>Lync Server 2013 è l</w:t>
      </w:r>
      <w:r w:rsidR="0073727D">
        <w:rPr>
          <w:rFonts w:cs="Tahoma"/>
          <w:color w:val="000000"/>
          <w:szCs w:val="18"/>
          <w:lang w:val="it-IT"/>
        </w:rPr>
        <w:t>’</w:t>
      </w:r>
      <w:r w:rsidRPr="00451078">
        <w:rPr>
          <w:rFonts w:cs="Tahoma"/>
          <w:color w:val="000000"/>
          <w:szCs w:val="18"/>
          <w:lang w:val="it-IT"/>
        </w:rPr>
        <w:t>ultima versione di Lync Server.</w:t>
      </w:r>
      <w:r w:rsidR="00082E1C" w:rsidRPr="00451078">
        <w:rPr>
          <w:rFonts w:cs="Tahoma"/>
          <w:color w:val="000000"/>
          <w:szCs w:val="18"/>
          <w:lang w:val="it-IT"/>
        </w:rPr>
        <w:t xml:space="preserve"> </w:t>
      </w:r>
      <w:r w:rsidRPr="00451078">
        <w:rPr>
          <w:rFonts w:cs="Tahoma"/>
          <w:color w:val="000000"/>
          <w:szCs w:val="18"/>
          <w:lang w:val="it-IT"/>
        </w:rPr>
        <w:t xml:space="preserve">Le società con Software Assurance attiva per Lync Server 2010 Standard o Enterprise </w:t>
      </w:r>
      <w:bookmarkEnd w:id="1318"/>
      <w:r w:rsidRPr="00451078">
        <w:rPr>
          <w:rFonts w:cs="Tahoma"/>
          <w:color w:val="000000"/>
          <w:szCs w:val="18"/>
          <w:lang w:val="it-IT"/>
        </w:rPr>
        <w:t>al 1 dicembre 2012 potranno eseguire l</w:t>
      </w:r>
      <w:r w:rsidR="0073727D">
        <w:rPr>
          <w:rFonts w:cs="Tahoma"/>
          <w:color w:val="000000"/>
          <w:szCs w:val="18"/>
          <w:lang w:val="it-IT"/>
        </w:rPr>
        <w:t>’</w:t>
      </w:r>
      <w:r w:rsidRPr="00451078">
        <w:rPr>
          <w:rFonts w:cs="Tahoma"/>
          <w:color w:val="000000"/>
          <w:szCs w:val="18"/>
          <w:lang w:val="it-IT"/>
        </w:rPr>
        <w:t>aggiornamento a Lync Server 2013 e utilizzare questo prodotto al posto delle corrispondenti copie con licenza di Lync Server 2010.</w:t>
      </w:r>
    </w:p>
    <w:bookmarkEnd w:id="1319"/>
    <w:p w:rsidR="00CD0D74" w:rsidRPr="00451078" w:rsidRDefault="00CD0D74" w:rsidP="00CD0D74">
      <w:pPr>
        <w:ind w:left="720"/>
        <w:rPr>
          <w:lang w:val="it-IT"/>
        </w:rPr>
      </w:pPr>
    </w:p>
    <w:p w:rsidR="00CD0D74" w:rsidRPr="00451078" w:rsidRDefault="00CD0D74" w:rsidP="00CD0D74">
      <w:pPr>
        <w:ind w:left="720"/>
        <w:rPr>
          <w:lang w:val="it-IT"/>
        </w:rPr>
      </w:pPr>
      <w:r w:rsidRPr="00451078">
        <w:rPr>
          <w:rFonts w:cs="Tahoma"/>
          <w:color w:val="000000"/>
          <w:szCs w:val="18"/>
          <w:lang w:val="it-IT"/>
        </w:rPr>
        <w:t>Le licenze CAL per Lync Server 2013 sono le versioni successive delle licenze CAL per Lync Server 2010.</w:t>
      </w:r>
      <w:r w:rsidR="00082E1C" w:rsidRPr="00451078">
        <w:rPr>
          <w:rFonts w:cs="Tahoma"/>
          <w:color w:val="000000"/>
          <w:szCs w:val="18"/>
          <w:lang w:val="it-IT"/>
        </w:rPr>
        <w:t xml:space="preserve"> </w:t>
      </w:r>
    </w:p>
    <w:p w:rsidR="00CD0D74" w:rsidRPr="00451078" w:rsidRDefault="00CD0D74" w:rsidP="00CD0D74">
      <w:pPr>
        <w:ind w:left="720"/>
        <w:rPr>
          <w:lang w:val="it-IT"/>
        </w:rPr>
      </w:pPr>
    </w:p>
    <w:tbl>
      <w:tblPr>
        <w:tblW w:w="8190" w:type="dxa"/>
        <w:tblInd w:w="82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4550"/>
        <w:gridCol w:w="3640"/>
      </w:tblGrid>
      <w:tr w:rsidR="00CD0D74" w:rsidRPr="003410C7" w:rsidTr="0057135E">
        <w:trPr>
          <w:trHeight w:val="332"/>
        </w:trPr>
        <w:tc>
          <w:tcPr>
            <w:tcW w:w="4500" w:type="dxa"/>
            <w:shd w:val="clear" w:color="auto" w:fill="FABF8F"/>
          </w:tcPr>
          <w:p w:rsidR="00CD0D74" w:rsidRPr="00451078" w:rsidRDefault="00CD0D74" w:rsidP="0057135E">
            <w:pPr>
              <w:rPr>
                <w:rFonts w:cs="Tahoma"/>
                <w:b/>
                <w:color w:val="000000"/>
                <w:szCs w:val="18"/>
                <w:lang w:val="it-IT"/>
              </w:rPr>
            </w:pPr>
            <w:r w:rsidRPr="00451078">
              <w:rPr>
                <w:rFonts w:cs="Tahoma"/>
                <w:b/>
                <w:color w:val="000000"/>
                <w:szCs w:val="18"/>
                <w:lang w:val="it-IT"/>
              </w:rPr>
              <w:t>Licenza CAL per Lync Server 2010</w:t>
            </w:r>
          </w:p>
        </w:tc>
        <w:tc>
          <w:tcPr>
            <w:tcW w:w="3600" w:type="dxa"/>
            <w:shd w:val="clear" w:color="auto" w:fill="FABF8F"/>
          </w:tcPr>
          <w:p w:rsidR="00CD0D74" w:rsidRPr="003410C7" w:rsidRDefault="00CD0D74" w:rsidP="0057135E">
            <w:pPr>
              <w:rPr>
                <w:rFonts w:cs="Tahoma"/>
                <w:b/>
                <w:color w:val="000000"/>
                <w:szCs w:val="18"/>
              </w:rPr>
            </w:pPr>
            <w:r w:rsidRPr="003410C7">
              <w:rPr>
                <w:rFonts w:cs="Tahoma"/>
                <w:b/>
                <w:color w:val="000000"/>
                <w:szCs w:val="18"/>
              </w:rPr>
              <w:t>Versione Successiva</w:t>
            </w:r>
          </w:p>
        </w:tc>
      </w:tr>
      <w:tr w:rsidR="00CD0D74" w:rsidRPr="00DC1102" w:rsidTr="0057135E">
        <w:trPr>
          <w:trHeight w:val="70"/>
        </w:trPr>
        <w:tc>
          <w:tcPr>
            <w:tcW w:w="4500" w:type="dxa"/>
            <w:shd w:val="clear" w:color="auto" w:fill="auto"/>
          </w:tcPr>
          <w:p w:rsidR="00CD0D74" w:rsidRPr="00451078" w:rsidRDefault="00CD0D74" w:rsidP="0057135E">
            <w:pPr>
              <w:rPr>
                <w:rFonts w:cs="Tahoma"/>
                <w:color w:val="000000"/>
                <w:szCs w:val="18"/>
                <w:lang w:val="fr-FR"/>
              </w:rPr>
            </w:pPr>
            <w:r w:rsidRPr="00451078">
              <w:rPr>
                <w:rFonts w:cs="Tahoma"/>
                <w:color w:val="000000"/>
                <w:szCs w:val="18"/>
                <w:lang w:val="fr-FR"/>
              </w:rPr>
              <w:t xml:space="preserve">Plus CAL per Lync Server 2010 </w:t>
            </w:r>
          </w:p>
        </w:tc>
        <w:tc>
          <w:tcPr>
            <w:tcW w:w="3600" w:type="dxa"/>
            <w:shd w:val="clear" w:color="auto" w:fill="auto"/>
          </w:tcPr>
          <w:p w:rsidR="00CD0D74" w:rsidRPr="00451078" w:rsidRDefault="00CD0D74" w:rsidP="0057135E">
            <w:pPr>
              <w:rPr>
                <w:rFonts w:cs="Tahoma"/>
                <w:color w:val="000000"/>
                <w:szCs w:val="18"/>
                <w:lang w:val="fr-FR"/>
              </w:rPr>
            </w:pPr>
            <w:r w:rsidRPr="00451078">
              <w:rPr>
                <w:rFonts w:cs="Tahoma"/>
                <w:color w:val="000000"/>
                <w:szCs w:val="18"/>
                <w:lang w:val="fr-FR"/>
              </w:rPr>
              <w:t>Plus CAL per Lync Server 2013</w:t>
            </w:r>
          </w:p>
        </w:tc>
      </w:tr>
      <w:tr w:rsidR="00CD0D74" w:rsidRPr="003410C7" w:rsidTr="0057135E">
        <w:trPr>
          <w:trHeight w:val="70"/>
        </w:trPr>
        <w:tc>
          <w:tcPr>
            <w:tcW w:w="4500" w:type="dxa"/>
            <w:shd w:val="clear" w:color="auto" w:fill="auto"/>
          </w:tcPr>
          <w:p w:rsidR="00CD0D74" w:rsidRPr="003410C7" w:rsidRDefault="00CD0D74" w:rsidP="0057135E">
            <w:pPr>
              <w:rPr>
                <w:rFonts w:cs="Tahoma"/>
                <w:color w:val="000000"/>
                <w:szCs w:val="18"/>
              </w:rPr>
            </w:pPr>
            <w:r w:rsidRPr="003410C7">
              <w:rPr>
                <w:rFonts w:cs="Tahoma"/>
                <w:color w:val="000000"/>
                <w:szCs w:val="18"/>
              </w:rPr>
              <w:t xml:space="preserve">Enterprise CAL per Lync Server 2010 </w:t>
            </w:r>
          </w:p>
        </w:tc>
        <w:tc>
          <w:tcPr>
            <w:tcW w:w="3600" w:type="dxa"/>
            <w:shd w:val="clear" w:color="auto" w:fill="auto"/>
          </w:tcPr>
          <w:p w:rsidR="00CD0D74" w:rsidRPr="003410C7" w:rsidRDefault="00CD0D74" w:rsidP="0057135E">
            <w:pPr>
              <w:rPr>
                <w:rFonts w:cs="Tahoma"/>
                <w:color w:val="000000"/>
                <w:szCs w:val="18"/>
              </w:rPr>
            </w:pPr>
            <w:r w:rsidRPr="003410C7">
              <w:rPr>
                <w:rFonts w:cs="Tahoma"/>
                <w:color w:val="000000"/>
                <w:szCs w:val="18"/>
              </w:rPr>
              <w:t>Enterprise CAL per Lync Server 2013</w:t>
            </w:r>
          </w:p>
        </w:tc>
      </w:tr>
      <w:tr w:rsidR="00CD0D74" w:rsidRPr="003410C7" w:rsidTr="0057135E">
        <w:trPr>
          <w:trHeight w:val="70"/>
        </w:trPr>
        <w:tc>
          <w:tcPr>
            <w:tcW w:w="4500" w:type="dxa"/>
            <w:shd w:val="clear" w:color="auto" w:fill="auto"/>
          </w:tcPr>
          <w:p w:rsidR="00CD0D74" w:rsidRPr="003410C7" w:rsidRDefault="00CD0D74" w:rsidP="0057135E">
            <w:pPr>
              <w:rPr>
                <w:rFonts w:cs="Tahoma"/>
                <w:color w:val="000000"/>
                <w:szCs w:val="18"/>
              </w:rPr>
            </w:pPr>
            <w:r w:rsidRPr="003410C7">
              <w:rPr>
                <w:rFonts w:cs="Tahoma"/>
                <w:color w:val="000000"/>
                <w:szCs w:val="18"/>
              </w:rPr>
              <w:t xml:space="preserve">Standard CAL per Lync Server 2010 </w:t>
            </w:r>
          </w:p>
        </w:tc>
        <w:tc>
          <w:tcPr>
            <w:tcW w:w="3600" w:type="dxa"/>
            <w:shd w:val="clear" w:color="auto" w:fill="auto"/>
          </w:tcPr>
          <w:p w:rsidR="00CD0D74" w:rsidRPr="003410C7" w:rsidRDefault="00CD0D74" w:rsidP="0057135E">
            <w:pPr>
              <w:rPr>
                <w:rFonts w:cs="Tahoma"/>
                <w:color w:val="000000"/>
                <w:szCs w:val="18"/>
              </w:rPr>
            </w:pPr>
            <w:r w:rsidRPr="003410C7">
              <w:rPr>
                <w:rFonts w:cs="Tahoma"/>
                <w:color w:val="000000"/>
                <w:szCs w:val="18"/>
              </w:rPr>
              <w:t>Standard CAL per Lync Server 2013</w:t>
            </w:r>
          </w:p>
        </w:tc>
      </w:tr>
    </w:tbl>
    <w:p w:rsidR="004E0852" w:rsidRPr="003410C7" w:rsidRDefault="004E0852" w:rsidP="003D0252"/>
    <w:p w:rsidR="004E0852" w:rsidRPr="00451078" w:rsidRDefault="004E0852" w:rsidP="0080323A">
      <w:pPr>
        <w:spacing w:after="60"/>
        <w:ind w:left="720"/>
        <w:rPr>
          <w:lang w:val="it-IT"/>
        </w:rPr>
      </w:pPr>
      <w:r w:rsidRPr="00451078">
        <w:rPr>
          <w:rFonts w:cs="Tahoma"/>
          <w:b/>
          <w:color w:val="000000"/>
          <w:szCs w:val="18"/>
          <w:lang w:val="it-IT"/>
        </w:rPr>
        <w:t>Concessione di Licenza per le Società Titolari della Licenza External Connector per Lync Server 2010 Enterprise, della Licenza External Connector per Lync Server 2010 Plus e della Licenza External Connector per Lync Server 2010 Standard</w:t>
      </w:r>
    </w:p>
    <w:p w:rsidR="004E0852" w:rsidRPr="00451078" w:rsidRDefault="004E0852" w:rsidP="003D0252">
      <w:pPr>
        <w:ind w:left="720"/>
        <w:rPr>
          <w:lang w:val="it-IT"/>
        </w:rPr>
      </w:pPr>
      <w:r w:rsidRPr="00451078">
        <w:rPr>
          <w:rFonts w:cs="Tahoma"/>
          <w:color w:val="000000"/>
          <w:szCs w:val="18"/>
          <w:lang w:val="it-IT"/>
        </w:rPr>
        <w:t>La versione 2010 della Licenza External Connector per Lync Server Enterprise, della Licenza External Connector per Lync Server Plus e della Licenza External Connector per Lync Server Standard è la versione finale di tali licenze.</w:t>
      </w:r>
      <w:r w:rsidR="00082E1C" w:rsidRPr="00451078">
        <w:rPr>
          <w:rFonts w:cs="Tahoma"/>
          <w:color w:val="000000"/>
          <w:szCs w:val="18"/>
          <w:lang w:val="it-IT"/>
        </w:rPr>
        <w:t xml:space="preserve"> </w:t>
      </w:r>
      <w:r w:rsidRPr="00451078">
        <w:rPr>
          <w:rFonts w:cs="Tahoma"/>
          <w:color w:val="000000"/>
          <w:szCs w:val="18"/>
          <w:lang w:val="it-IT"/>
        </w:rPr>
        <w:t>Alla luce di ciò, le società con licenze External Connector per Lync Server 2010 Enterprise, External Connector per Lync Server 2010 Plus ed External Connector per Lync Server 2010 Standard con copertura Software Assurance attiva a partire dal 1 dicembre 2012 sono idonee alle concessioni di licenze che seguono.</w:t>
      </w:r>
    </w:p>
    <w:p w:rsidR="004E0852" w:rsidRPr="00451078" w:rsidRDefault="004E0852" w:rsidP="004E0852">
      <w:pPr>
        <w:ind w:left="900"/>
        <w:rPr>
          <w:lang w:val="it-IT"/>
        </w:rPr>
      </w:pPr>
    </w:p>
    <w:tbl>
      <w:tblPr>
        <w:tblW w:w="0" w:type="auto"/>
        <w:tblInd w:w="82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4500"/>
        <w:gridCol w:w="3600"/>
      </w:tblGrid>
      <w:tr w:rsidR="00BD1A6A" w:rsidRPr="003410C7" w:rsidTr="00A84CD1">
        <w:trPr>
          <w:trHeight w:val="332"/>
          <w:tblHeader/>
        </w:trPr>
        <w:tc>
          <w:tcPr>
            <w:tcW w:w="4500" w:type="dxa"/>
            <w:shd w:val="clear" w:color="auto" w:fill="FABF8F"/>
          </w:tcPr>
          <w:p w:rsidR="00BD1A6A" w:rsidRPr="003410C7" w:rsidRDefault="00BD1A6A" w:rsidP="002C3AB1">
            <w:pPr>
              <w:rPr>
                <w:rFonts w:cs="Tahoma"/>
                <w:b/>
                <w:color w:val="000000"/>
                <w:szCs w:val="18"/>
              </w:rPr>
            </w:pPr>
            <w:r w:rsidRPr="003410C7">
              <w:rPr>
                <w:rFonts w:cs="Tahoma"/>
                <w:b/>
                <w:color w:val="000000"/>
                <w:szCs w:val="18"/>
              </w:rPr>
              <w:t>Licenza Qualificante</w:t>
            </w:r>
          </w:p>
        </w:tc>
        <w:tc>
          <w:tcPr>
            <w:tcW w:w="3600" w:type="dxa"/>
            <w:shd w:val="clear" w:color="auto" w:fill="FABF8F"/>
          </w:tcPr>
          <w:p w:rsidR="00BD1A6A" w:rsidRPr="003410C7" w:rsidRDefault="00BD1A6A" w:rsidP="002C3AB1">
            <w:pPr>
              <w:rPr>
                <w:rFonts w:cs="Tahoma"/>
                <w:b/>
                <w:color w:val="000000"/>
                <w:szCs w:val="18"/>
              </w:rPr>
            </w:pPr>
            <w:r w:rsidRPr="003410C7">
              <w:rPr>
                <w:rFonts w:cs="Tahoma"/>
                <w:b/>
                <w:color w:val="000000"/>
                <w:szCs w:val="18"/>
              </w:rPr>
              <w:t>Licenza Gratuita e Vantaggi</w:t>
            </w:r>
          </w:p>
        </w:tc>
      </w:tr>
      <w:tr w:rsidR="00BD1A6A" w:rsidRPr="003410C7" w:rsidTr="00BD1A6A">
        <w:trPr>
          <w:trHeight w:val="70"/>
        </w:trPr>
        <w:tc>
          <w:tcPr>
            <w:tcW w:w="4500" w:type="dxa"/>
            <w:shd w:val="clear" w:color="auto" w:fill="auto"/>
          </w:tcPr>
          <w:p w:rsidR="00BD1A6A" w:rsidRPr="00451078" w:rsidRDefault="00BD1A6A" w:rsidP="00072428">
            <w:pPr>
              <w:rPr>
                <w:rFonts w:cs="Tahoma"/>
                <w:color w:val="000000"/>
                <w:szCs w:val="18"/>
                <w:lang w:val="it-IT"/>
              </w:rPr>
            </w:pPr>
            <w:r w:rsidRPr="00451078">
              <w:rPr>
                <w:rFonts w:cs="Tahoma"/>
                <w:color w:val="000000"/>
                <w:szCs w:val="18"/>
                <w:lang w:val="it-IT"/>
              </w:rPr>
              <w:t>Licenza External Connector per Lync Server 2010 Enterprise con Software Assurance attiva a partire dal</w:t>
            </w:r>
            <w:r w:rsidR="00072428" w:rsidRPr="00451078">
              <w:rPr>
                <w:rFonts w:cs="Tahoma"/>
                <w:color w:val="000000"/>
                <w:szCs w:val="18"/>
                <w:lang w:val="it-IT"/>
              </w:rPr>
              <w:t> </w:t>
            </w:r>
            <w:r w:rsidRPr="00451078">
              <w:rPr>
                <w:rFonts w:cs="Tahoma"/>
                <w:color w:val="000000"/>
                <w:szCs w:val="18"/>
                <w:lang w:val="it-IT"/>
              </w:rPr>
              <w:t>1 dicembre 2012</w:t>
            </w:r>
          </w:p>
        </w:tc>
        <w:tc>
          <w:tcPr>
            <w:tcW w:w="3600" w:type="dxa"/>
            <w:shd w:val="clear" w:color="auto" w:fill="auto"/>
          </w:tcPr>
          <w:p w:rsidR="00BD1A6A" w:rsidRPr="003410C7" w:rsidRDefault="00BD1A6A" w:rsidP="002C3AB1">
            <w:pPr>
              <w:rPr>
                <w:rFonts w:cs="Tahoma"/>
                <w:color w:val="000000"/>
                <w:szCs w:val="18"/>
              </w:rPr>
            </w:pPr>
            <w:r w:rsidRPr="003410C7">
              <w:rPr>
                <w:rFonts w:cs="Tahoma"/>
                <w:color w:val="000000"/>
                <w:szCs w:val="18"/>
              </w:rPr>
              <w:t>Licenza per Lync Server 2013</w:t>
            </w:r>
          </w:p>
        </w:tc>
      </w:tr>
      <w:tr w:rsidR="00BD1A6A" w:rsidRPr="003410C7" w:rsidTr="00A84CD1">
        <w:trPr>
          <w:cantSplit/>
          <w:trHeight w:val="70"/>
        </w:trPr>
        <w:tc>
          <w:tcPr>
            <w:tcW w:w="4500" w:type="dxa"/>
            <w:shd w:val="clear" w:color="auto" w:fill="auto"/>
          </w:tcPr>
          <w:p w:rsidR="00BD1A6A" w:rsidRPr="00451078" w:rsidRDefault="00BD1A6A" w:rsidP="00072428">
            <w:pPr>
              <w:rPr>
                <w:rFonts w:cs="Tahoma"/>
                <w:color w:val="000000"/>
                <w:szCs w:val="18"/>
                <w:lang w:val="it-IT"/>
              </w:rPr>
            </w:pPr>
            <w:r w:rsidRPr="00451078">
              <w:rPr>
                <w:rFonts w:cs="Tahoma"/>
                <w:color w:val="000000"/>
                <w:szCs w:val="18"/>
                <w:lang w:val="it-IT"/>
              </w:rPr>
              <w:t>Licenza External Connector per Lync Server 2010 Plus</w:t>
            </w:r>
            <w:r w:rsidR="00072428" w:rsidRPr="00451078">
              <w:rPr>
                <w:rFonts w:cs="Tahoma"/>
                <w:color w:val="000000"/>
                <w:szCs w:val="18"/>
                <w:lang w:val="it-IT"/>
              </w:rPr>
              <w:t> </w:t>
            </w:r>
            <w:r w:rsidRPr="00451078">
              <w:rPr>
                <w:rFonts w:cs="Tahoma"/>
                <w:color w:val="000000"/>
                <w:szCs w:val="18"/>
                <w:lang w:val="it-IT"/>
              </w:rPr>
              <w:t>con Software Assurance attiva a partire dal 1 dicembre 2012</w:t>
            </w:r>
          </w:p>
        </w:tc>
        <w:tc>
          <w:tcPr>
            <w:tcW w:w="3600" w:type="dxa"/>
            <w:shd w:val="clear" w:color="auto" w:fill="auto"/>
          </w:tcPr>
          <w:p w:rsidR="00BD1A6A" w:rsidRPr="003410C7" w:rsidRDefault="00BD1A6A" w:rsidP="002C3AB1">
            <w:pPr>
              <w:rPr>
                <w:rFonts w:cs="Tahoma"/>
                <w:color w:val="000000"/>
                <w:szCs w:val="18"/>
              </w:rPr>
            </w:pPr>
            <w:r w:rsidRPr="003410C7">
              <w:rPr>
                <w:rFonts w:cs="Tahoma"/>
                <w:color w:val="000000"/>
                <w:szCs w:val="18"/>
              </w:rPr>
              <w:t>Licenza per Lync Server 2013</w:t>
            </w:r>
          </w:p>
        </w:tc>
      </w:tr>
      <w:tr w:rsidR="00BD1A6A" w:rsidRPr="003410C7" w:rsidTr="00BD1A6A">
        <w:trPr>
          <w:trHeight w:val="70"/>
        </w:trPr>
        <w:tc>
          <w:tcPr>
            <w:tcW w:w="4500" w:type="dxa"/>
            <w:shd w:val="clear" w:color="auto" w:fill="auto"/>
          </w:tcPr>
          <w:p w:rsidR="00BD1A6A" w:rsidRPr="00451078" w:rsidRDefault="00BD1A6A" w:rsidP="00072428">
            <w:pPr>
              <w:rPr>
                <w:rFonts w:cs="Tahoma"/>
                <w:color w:val="000000"/>
                <w:szCs w:val="18"/>
                <w:lang w:val="it-IT"/>
              </w:rPr>
            </w:pPr>
            <w:r w:rsidRPr="00451078">
              <w:rPr>
                <w:rFonts w:cs="Tahoma"/>
                <w:color w:val="000000"/>
                <w:szCs w:val="18"/>
                <w:lang w:val="it-IT"/>
              </w:rPr>
              <w:t>Licenza External Connector per Lync Server 2010 Standard con Software Assurance attiva a partire dal</w:t>
            </w:r>
            <w:r w:rsidR="00072428" w:rsidRPr="00451078">
              <w:rPr>
                <w:rFonts w:cs="Tahoma"/>
                <w:color w:val="000000"/>
                <w:szCs w:val="18"/>
                <w:lang w:val="it-IT"/>
              </w:rPr>
              <w:t> </w:t>
            </w:r>
            <w:r w:rsidRPr="00451078">
              <w:rPr>
                <w:rFonts w:cs="Tahoma"/>
                <w:color w:val="000000"/>
                <w:szCs w:val="18"/>
                <w:lang w:val="it-IT"/>
              </w:rPr>
              <w:t>1 dicembre 2012</w:t>
            </w:r>
          </w:p>
        </w:tc>
        <w:tc>
          <w:tcPr>
            <w:tcW w:w="3600" w:type="dxa"/>
            <w:shd w:val="clear" w:color="auto" w:fill="auto"/>
          </w:tcPr>
          <w:p w:rsidR="00BD1A6A" w:rsidRPr="003410C7" w:rsidRDefault="00BD1A6A" w:rsidP="002C3AB1">
            <w:pPr>
              <w:rPr>
                <w:rFonts w:cs="Tahoma"/>
                <w:color w:val="000000"/>
                <w:szCs w:val="18"/>
              </w:rPr>
            </w:pPr>
            <w:r w:rsidRPr="003410C7">
              <w:rPr>
                <w:rFonts w:cs="Tahoma"/>
                <w:color w:val="000000"/>
                <w:szCs w:val="18"/>
              </w:rPr>
              <w:t>Licenza per Lync Server 2013</w:t>
            </w:r>
          </w:p>
        </w:tc>
      </w:tr>
    </w:tbl>
    <w:p w:rsidR="004E0852" w:rsidRPr="003410C7" w:rsidRDefault="004E0852" w:rsidP="004E0852">
      <w:pPr>
        <w:ind w:left="720"/>
        <w:jc w:val="both"/>
      </w:pPr>
    </w:p>
    <w:p w:rsidR="004E0852" w:rsidRPr="00451078" w:rsidRDefault="004E0852" w:rsidP="004E0852">
      <w:pPr>
        <w:ind w:left="720"/>
        <w:rPr>
          <w:lang w:val="it-IT"/>
        </w:rPr>
      </w:pPr>
      <w:r w:rsidRPr="00451078">
        <w:rPr>
          <w:rFonts w:cs="Tahoma"/>
          <w:color w:val="000000"/>
          <w:szCs w:val="18"/>
          <w:lang w:val="it-IT"/>
        </w:rPr>
        <w:t>Le condizioni che seguono si applicano alle concessioni di licenze riportate sopra.</w:t>
      </w:r>
    </w:p>
    <w:p w:rsidR="004E0852" w:rsidRPr="00451078" w:rsidRDefault="004E0852" w:rsidP="004E0852">
      <w:pPr>
        <w:ind w:left="720"/>
        <w:rPr>
          <w:lang w:val="it-IT"/>
        </w:rPr>
      </w:pPr>
    </w:p>
    <w:p w:rsidR="004E0852" w:rsidRPr="00451078" w:rsidRDefault="004E0852" w:rsidP="00745AB3">
      <w:pPr>
        <w:numPr>
          <w:ilvl w:val="0"/>
          <w:numId w:val="100"/>
        </w:numPr>
        <w:spacing w:after="60"/>
        <w:ind w:left="1440"/>
        <w:rPr>
          <w:rFonts w:cs="Tahoma"/>
          <w:szCs w:val="18"/>
          <w:lang w:val="it-IT"/>
        </w:rPr>
      </w:pPr>
      <w:r w:rsidRPr="00451078">
        <w:rPr>
          <w:rFonts w:cs="Tahoma"/>
          <w:bCs/>
          <w:color w:val="000000"/>
          <w:szCs w:val="18"/>
          <w:u w:val="single"/>
          <w:lang w:val="it-IT"/>
        </w:rPr>
        <w:t>Percorso di Migrazione</w:t>
      </w:r>
      <w:r w:rsidRPr="00451078">
        <w:rPr>
          <w:rFonts w:cs="Tahoma"/>
          <w:color w:val="000000"/>
          <w:szCs w:val="18"/>
          <w:lang w:val="it-IT"/>
        </w:rPr>
        <w:t>: le società con copertura Software Assurance attiva per una determinata Licenza Qualificante a partire dal 1 dicembre 2012 e in occasione del rilascio della versione commerciale di Lync Server 2013 sono idonee a effettuare l</w:t>
      </w:r>
      <w:r w:rsidR="0073727D">
        <w:rPr>
          <w:rFonts w:cs="Tahoma"/>
          <w:color w:val="000000"/>
          <w:szCs w:val="18"/>
          <w:lang w:val="it-IT"/>
        </w:rPr>
        <w:t>’</w:t>
      </w:r>
      <w:r w:rsidRPr="00451078">
        <w:rPr>
          <w:rFonts w:cs="Tahoma"/>
          <w:color w:val="000000"/>
          <w:szCs w:val="18"/>
          <w:lang w:val="it-IT"/>
        </w:rPr>
        <w:t>aggiornamento al software Lync Server 2013 e a utilizzarlo ai sensi della Licenza Gratuita al posto del software Lync Server 2010 ai sensi della corrispondente licenza External Connector qualificante.</w:t>
      </w:r>
      <w:r w:rsidR="00082E1C" w:rsidRPr="00451078">
        <w:rPr>
          <w:rFonts w:cs="Tahoma"/>
          <w:color w:val="000000"/>
          <w:szCs w:val="18"/>
          <w:lang w:val="it-IT"/>
        </w:rPr>
        <w:t xml:space="preserve"> </w:t>
      </w:r>
    </w:p>
    <w:p w:rsidR="004E0852" w:rsidRPr="00451078" w:rsidRDefault="004E0852" w:rsidP="00745AB3">
      <w:pPr>
        <w:numPr>
          <w:ilvl w:val="0"/>
          <w:numId w:val="100"/>
        </w:numPr>
        <w:spacing w:after="60"/>
        <w:ind w:left="1440"/>
        <w:rPr>
          <w:rFonts w:cs="Tahoma"/>
          <w:szCs w:val="18"/>
          <w:lang w:val="it-IT"/>
        </w:rPr>
      </w:pPr>
      <w:r w:rsidRPr="00451078">
        <w:rPr>
          <w:rFonts w:cs="Tahoma"/>
          <w:color w:val="000000"/>
          <w:szCs w:val="18"/>
          <w:u w:val="single"/>
          <w:lang w:val="it-IT"/>
        </w:rPr>
        <w:t>Diritti sull</w:t>
      </w:r>
      <w:r w:rsidR="0073727D">
        <w:rPr>
          <w:rFonts w:cs="Tahoma"/>
          <w:color w:val="000000"/>
          <w:szCs w:val="18"/>
          <w:u w:val="single"/>
          <w:lang w:val="it-IT"/>
        </w:rPr>
        <w:t>’</w:t>
      </w:r>
      <w:r w:rsidRPr="00451078">
        <w:rPr>
          <w:rFonts w:cs="Tahoma"/>
          <w:color w:val="000000"/>
          <w:szCs w:val="18"/>
          <w:u w:val="single"/>
          <w:lang w:val="it-IT"/>
        </w:rPr>
        <w:t>utilizzo</w:t>
      </w:r>
      <w:r w:rsidRPr="00451078">
        <w:rPr>
          <w:rFonts w:cs="Tahoma"/>
          <w:color w:val="000000"/>
          <w:szCs w:val="18"/>
          <w:lang w:val="it-IT"/>
        </w:rPr>
        <w:t>: il diritto di utilizzo del software ai sensi della Licenza Gratuita della presente offerta scadrà alla scadenza del diritto di utilizzo del software ai sensi della Licenza Qualificante.</w:t>
      </w:r>
      <w:r w:rsidR="00082E1C" w:rsidRPr="00451078">
        <w:rPr>
          <w:rFonts w:cs="Tahoma"/>
          <w:color w:val="000000"/>
          <w:szCs w:val="18"/>
          <w:lang w:val="it-IT"/>
        </w:rPr>
        <w:t xml:space="preserve"> </w:t>
      </w:r>
      <w:r w:rsidRPr="00451078">
        <w:rPr>
          <w:rFonts w:cs="Tahoma"/>
          <w:color w:val="000000"/>
          <w:szCs w:val="18"/>
          <w:lang w:val="it-IT"/>
        </w:rPr>
        <w:t>L</w:t>
      </w:r>
      <w:r w:rsidR="0073727D">
        <w:rPr>
          <w:rFonts w:cs="Tahoma"/>
          <w:color w:val="000000"/>
          <w:szCs w:val="18"/>
          <w:lang w:val="it-IT"/>
        </w:rPr>
        <w:t>’</w:t>
      </w:r>
      <w:r w:rsidRPr="00451078">
        <w:rPr>
          <w:rFonts w:cs="Tahoma"/>
          <w:color w:val="000000"/>
          <w:szCs w:val="18"/>
          <w:lang w:val="it-IT"/>
        </w:rPr>
        <w:t>utilizzo di tale software è disciplinato dai diritti sull</w:t>
      </w:r>
      <w:r w:rsidR="0073727D">
        <w:rPr>
          <w:rFonts w:cs="Tahoma"/>
          <w:color w:val="000000"/>
          <w:szCs w:val="18"/>
          <w:lang w:val="it-IT"/>
        </w:rPr>
        <w:t>’</w:t>
      </w:r>
      <w:r w:rsidRPr="00451078">
        <w:rPr>
          <w:rFonts w:cs="Tahoma"/>
          <w:color w:val="000000"/>
          <w:szCs w:val="18"/>
          <w:lang w:val="it-IT"/>
        </w:rPr>
        <w:t>utilizzo del software e dalle condizioni del contratto multilicenza della società.</w:t>
      </w:r>
      <w:r w:rsidR="00082E1C" w:rsidRPr="00451078">
        <w:rPr>
          <w:rFonts w:cs="Tahoma"/>
          <w:color w:val="000000"/>
          <w:szCs w:val="18"/>
          <w:lang w:val="it-IT"/>
        </w:rPr>
        <w:t xml:space="preserve"> </w:t>
      </w:r>
      <w:r w:rsidRPr="00451078">
        <w:rPr>
          <w:rFonts w:cs="Tahoma"/>
          <w:color w:val="000000"/>
          <w:szCs w:val="18"/>
          <w:lang w:val="it-IT"/>
        </w:rPr>
        <w:t>Questa nota relativa alle condizioni del prodotto e la prova da</w:t>
      </w:r>
      <w:r w:rsidR="00072428" w:rsidRPr="00451078">
        <w:rPr>
          <w:rFonts w:cs="Tahoma"/>
          <w:color w:val="000000"/>
          <w:szCs w:val="18"/>
          <w:lang w:val="it-IT"/>
        </w:rPr>
        <w:t> </w:t>
      </w:r>
      <w:r w:rsidRPr="00451078">
        <w:rPr>
          <w:rFonts w:cs="Tahoma"/>
          <w:color w:val="000000"/>
          <w:szCs w:val="18"/>
          <w:lang w:val="it-IT"/>
        </w:rPr>
        <w:t>parte della società della corrispondente Licenza e Software Assurance (L&amp;SA) Qualificante costituiscono insieme la prova del diritto di utilizzo del software ai sensi della Licenza Gratuita della</w:t>
      </w:r>
      <w:r w:rsidR="00786F27" w:rsidRPr="00451078">
        <w:rPr>
          <w:rFonts w:cs="Tahoma"/>
          <w:color w:val="000000"/>
          <w:szCs w:val="18"/>
          <w:lang w:val="it-IT"/>
        </w:rPr>
        <w:t> </w:t>
      </w:r>
      <w:r w:rsidRPr="00451078">
        <w:rPr>
          <w:rFonts w:cs="Tahoma"/>
          <w:color w:val="000000"/>
          <w:szCs w:val="18"/>
          <w:lang w:val="it-IT"/>
        </w:rPr>
        <w:t xml:space="preserve">presente offerta. </w:t>
      </w:r>
    </w:p>
    <w:p w:rsidR="004E0852" w:rsidRPr="00451078" w:rsidRDefault="004E0852" w:rsidP="003D0252">
      <w:pPr>
        <w:numPr>
          <w:ilvl w:val="0"/>
          <w:numId w:val="8"/>
        </w:numPr>
        <w:spacing w:after="60"/>
        <w:ind w:left="1440"/>
        <w:rPr>
          <w:rFonts w:cs="Tahoma"/>
          <w:szCs w:val="18"/>
          <w:lang w:val="it-IT"/>
        </w:rPr>
      </w:pPr>
      <w:r w:rsidRPr="00451078">
        <w:rPr>
          <w:rFonts w:cs="Tahoma"/>
          <w:color w:val="000000"/>
          <w:szCs w:val="18"/>
          <w:u w:val="single"/>
          <w:lang w:val="it-IT"/>
        </w:rPr>
        <w:t>Licenza e Software Assurance (L&amp;SA)</w:t>
      </w:r>
      <w:r w:rsidRPr="00451078">
        <w:rPr>
          <w:rFonts w:cs="Tahoma"/>
          <w:color w:val="000000"/>
          <w:szCs w:val="18"/>
          <w:lang w:val="it-IT"/>
        </w:rPr>
        <w:t>: la Licenza Gratuita include la copertura Software Assurance.</w:t>
      </w:r>
      <w:r w:rsidR="00082E1C" w:rsidRPr="00451078">
        <w:rPr>
          <w:rFonts w:cs="Tahoma"/>
          <w:color w:val="000000"/>
          <w:szCs w:val="18"/>
          <w:lang w:val="it-IT"/>
        </w:rPr>
        <w:t xml:space="preserve"> </w:t>
      </w:r>
      <w:r w:rsidRPr="00451078">
        <w:rPr>
          <w:rFonts w:cs="Tahoma"/>
          <w:color w:val="000000"/>
          <w:szCs w:val="18"/>
          <w:lang w:val="it-IT"/>
        </w:rPr>
        <w:t>La copertura Software Assurance per la Licenza Gratuita scadrà alla scadenza della copertura per la Licenza Qualificante.</w:t>
      </w:r>
      <w:r w:rsidR="00082E1C" w:rsidRPr="00451078">
        <w:rPr>
          <w:rFonts w:cs="Tahoma"/>
          <w:color w:val="000000"/>
          <w:szCs w:val="18"/>
          <w:lang w:val="it-IT"/>
        </w:rPr>
        <w:t xml:space="preserve"> </w:t>
      </w:r>
      <w:r w:rsidRPr="00451078">
        <w:rPr>
          <w:rFonts w:cs="Tahoma"/>
          <w:color w:val="000000"/>
          <w:szCs w:val="18"/>
          <w:lang w:val="it-IT"/>
        </w:rPr>
        <w:t>Alla scadenza della copertura Software Assurance per la Licenza Qualificante, la società potrà rinnovare Software Assurance per la Licenza Gratuita senza dover acquistare una nuova licenza specifica.</w:t>
      </w:r>
    </w:p>
    <w:p w:rsidR="004E0852" w:rsidRPr="00451078" w:rsidRDefault="004E0852" w:rsidP="00745AB3">
      <w:pPr>
        <w:numPr>
          <w:ilvl w:val="0"/>
          <w:numId w:val="101"/>
        </w:numPr>
        <w:spacing w:after="60"/>
        <w:ind w:left="1440"/>
        <w:rPr>
          <w:rFonts w:cs="Tahoma"/>
          <w:szCs w:val="18"/>
          <w:lang w:val="it-IT"/>
        </w:rPr>
      </w:pPr>
      <w:r w:rsidRPr="00451078">
        <w:rPr>
          <w:rFonts w:eastAsia="Calibri" w:cs="Tahoma"/>
          <w:color w:val="000000"/>
          <w:szCs w:val="18"/>
          <w:u w:val="single"/>
          <w:lang w:val="it-IT"/>
        </w:rPr>
        <w:t>True-up</w:t>
      </w:r>
      <w:r w:rsidRPr="00451078">
        <w:rPr>
          <w:rFonts w:eastAsia="Calibri" w:cs="Tahoma"/>
          <w:color w:val="000000"/>
          <w:szCs w:val="18"/>
          <w:lang w:val="it-IT"/>
        </w:rPr>
        <w:t>:</w:t>
      </w:r>
      <w:r w:rsidR="00082E1C" w:rsidRPr="00451078">
        <w:rPr>
          <w:rFonts w:eastAsia="Calibri" w:cs="Tahoma"/>
          <w:color w:val="000000"/>
          <w:szCs w:val="18"/>
          <w:lang w:val="it-IT"/>
        </w:rPr>
        <w:t xml:space="preserve"> </w:t>
      </w:r>
      <w:r w:rsidRPr="00451078">
        <w:rPr>
          <w:rFonts w:eastAsia="Calibri" w:cs="Tahoma"/>
          <w:color w:val="000000"/>
          <w:szCs w:val="18"/>
          <w:lang w:val="it-IT"/>
        </w:rPr>
        <w:t>per le società con un Contratto Enterprise idonee a ricevere tali licenze e diritti gratuiti descritti in precedenza, le licenze Enterprise External Connector per Lync Server 2010, Plus External Connector per Lync Server 2010 e Standard External Connector per Lync Server 2010 acquistate nell</w:t>
      </w:r>
      <w:r w:rsidR="0073727D">
        <w:rPr>
          <w:rFonts w:eastAsia="Calibri" w:cs="Tahoma"/>
          <w:color w:val="000000"/>
          <w:szCs w:val="18"/>
          <w:lang w:val="it-IT"/>
        </w:rPr>
        <w:t>’</w:t>
      </w:r>
      <w:r w:rsidRPr="00451078">
        <w:rPr>
          <w:rFonts w:eastAsia="Calibri" w:cs="Tahoma"/>
          <w:color w:val="000000"/>
          <w:szCs w:val="18"/>
          <w:lang w:val="it-IT"/>
        </w:rPr>
        <w:t xml:space="preserve">ambito di una </w:t>
      </w:r>
      <w:r w:rsidRPr="00451078">
        <w:rPr>
          <w:rFonts w:cs="Tahoma"/>
          <w:color w:val="000000"/>
          <w:szCs w:val="18"/>
          <w:lang w:val="it-IT"/>
        </w:rPr>
        <w:t>procedura annuale di true-up sono, anch</w:t>
      </w:r>
      <w:r w:rsidR="0073727D">
        <w:rPr>
          <w:rFonts w:cs="Tahoma"/>
          <w:color w:val="000000"/>
          <w:szCs w:val="18"/>
          <w:lang w:val="it-IT"/>
        </w:rPr>
        <w:t>’</w:t>
      </w:r>
      <w:r w:rsidRPr="00451078">
        <w:rPr>
          <w:rFonts w:cs="Tahoma"/>
          <w:color w:val="000000"/>
          <w:szCs w:val="18"/>
          <w:lang w:val="it-IT"/>
        </w:rPr>
        <w:t xml:space="preserve">esse, licenze qualificanti. </w:t>
      </w:r>
    </w:p>
    <w:p w:rsidR="004E0852" w:rsidRPr="00451078" w:rsidRDefault="003D0252" w:rsidP="00745AB3">
      <w:pPr>
        <w:numPr>
          <w:ilvl w:val="0"/>
          <w:numId w:val="101"/>
        </w:numPr>
        <w:spacing w:after="60"/>
        <w:ind w:left="1440"/>
        <w:rPr>
          <w:rFonts w:cs="Tahoma"/>
          <w:szCs w:val="18"/>
          <w:lang w:val="it-IT"/>
        </w:rPr>
      </w:pPr>
      <w:r w:rsidRPr="00451078">
        <w:rPr>
          <w:rFonts w:cs="Tahoma"/>
          <w:color w:val="000000"/>
          <w:szCs w:val="18"/>
          <w:u w:val="single"/>
          <w:lang w:val="it-IT"/>
        </w:rPr>
        <w:t xml:space="preserve">Contratti </w:t>
      </w:r>
      <w:r w:rsidR="001A3EC5" w:rsidRPr="00451078">
        <w:rPr>
          <w:rFonts w:cs="Tahoma"/>
          <w:color w:val="000000"/>
          <w:szCs w:val="18"/>
          <w:u w:val="single"/>
          <w:lang w:val="it-IT"/>
        </w:rPr>
        <w:t>“</w:t>
      </w:r>
      <w:r w:rsidRPr="00451078">
        <w:rPr>
          <w:rFonts w:cs="Tahoma"/>
          <w:color w:val="000000"/>
          <w:szCs w:val="18"/>
          <w:u w:val="single"/>
          <w:lang w:val="it-IT"/>
        </w:rPr>
        <w:t>Subscription</w:t>
      </w:r>
      <w:r w:rsidR="001A3EC5" w:rsidRPr="00451078">
        <w:rPr>
          <w:rFonts w:cs="Tahoma"/>
          <w:color w:val="000000"/>
          <w:szCs w:val="18"/>
          <w:lang w:val="it-IT"/>
        </w:rPr>
        <w:t>”</w:t>
      </w:r>
      <w:r w:rsidRPr="00451078">
        <w:rPr>
          <w:rFonts w:cs="Tahoma"/>
          <w:color w:val="000000"/>
          <w:szCs w:val="18"/>
          <w:lang w:val="it-IT"/>
        </w:rPr>
        <w:t>:</w:t>
      </w:r>
      <w:r w:rsidR="00082E1C" w:rsidRPr="00451078">
        <w:rPr>
          <w:rFonts w:cs="Tahoma"/>
          <w:color w:val="000000"/>
          <w:szCs w:val="18"/>
          <w:lang w:val="it-IT"/>
        </w:rPr>
        <w:t xml:space="preserve"> </w:t>
      </w:r>
      <w:r w:rsidRPr="00451078">
        <w:rPr>
          <w:rFonts w:cs="Tahoma"/>
          <w:color w:val="000000"/>
          <w:szCs w:val="18"/>
          <w:lang w:val="it-IT"/>
        </w:rPr>
        <w:t xml:space="preserve">per quanto riguarda i Contratti Enterprise Subscription, </w:t>
      </w:r>
      <w:r w:rsidRPr="00451078">
        <w:rPr>
          <w:rFonts w:cs="Tahoma"/>
          <w:szCs w:val="18"/>
          <w:lang w:val="it-IT"/>
        </w:rPr>
        <w:t>Open Value Subscription, Campus e School, Enrollment for Education Solutions e Open Value Subscription-</w:t>
      </w:r>
      <w:r w:rsidRPr="00451078">
        <w:rPr>
          <w:rFonts w:cs="Tahoma"/>
          <w:szCs w:val="18"/>
          <w:lang w:val="it-IT"/>
        </w:rPr>
        <w:lastRenderedPageBreak/>
        <w:t>Education Solutions, gli stessi diritti verranno concessi temporaneamente, in base alle medesime condizioni,</w:t>
      </w:r>
      <w:r w:rsidRPr="00451078">
        <w:rPr>
          <w:rFonts w:cs="Tahoma"/>
          <w:color w:val="000000"/>
          <w:szCs w:val="18"/>
          <w:lang w:val="it-IT"/>
        </w:rPr>
        <w:t xml:space="preserve"> fino al termine del periodo di validità corrente dell</w:t>
      </w:r>
      <w:r w:rsidR="0073727D">
        <w:rPr>
          <w:rFonts w:cs="Tahoma"/>
          <w:color w:val="000000"/>
          <w:szCs w:val="18"/>
          <w:lang w:val="it-IT"/>
        </w:rPr>
        <w:t>’</w:t>
      </w:r>
      <w:r w:rsidRPr="00451078">
        <w:rPr>
          <w:rFonts w:cs="Tahoma"/>
          <w:color w:val="000000"/>
          <w:szCs w:val="18"/>
          <w:lang w:val="it-IT"/>
        </w:rPr>
        <w:t>iscrizione (o del periodo di validità del</w:t>
      </w:r>
      <w:r w:rsidR="000C172E" w:rsidRPr="00451078">
        <w:rPr>
          <w:rFonts w:cs="Tahoma"/>
          <w:color w:val="000000"/>
          <w:szCs w:val="18"/>
          <w:lang w:val="it-IT"/>
        </w:rPr>
        <w:t> </w:t>
      </w:r>
      <w:r w:rsidRPr="00451078">
        <w:rPr>
          <w:rFonts w:cs="Tahoma"/>
          <w:color w:val="000000"/>
          <w:szCs w:val="18"/>
          <w:lang w:val="it-IT"/>
        </w:rPr>
        <w:t>contratto nel caso di Open Value).</w:t>
      </w:r>
      <w:r w:rsidR="00082E1C" w:rsidRPr="00451078">
        <w:rPr>
          <w:rFonts w:cs="Tahoma"/>
          <w:color w:val="000000"/>
          <w:szCs w:val="18"/>
          <w:lang w:val="it-IT"/>
        </w:rPr>
        <w:t xml:space="preserve"> </w:t>
      </w:r>
      <w:r w:rsidRPr="00451078">
        <w:rPr>
          <w:rFonts w:cs="Tahoma"/>
          <w:color w:val="000000"/>
          <w:szCs w:val="18"/>
          <w:lang w:val="it-IT"/>
        </w:rPr>
        <w:t>La società dovrà mantenere la copertura dell</w:t>
      </w:r>
      <w:r w:rsidR="0073727D">
        <w:rPr>
          <w:rFonts w:cs="Tahoma"/>
          <w:color w:val="000000"/>
          <w:szCs w:val="18"/>
          <w:lang w:val="it-IT"/>
        </w:rPr>
        <w:t>’</w:t>
      </w:r>
      <w:r w:rsidRPr="00451078">
        <w:rPr>
          <w:rFonts w:cs="Tahoma"/>
          <w:color w:val="000000"/>
          <w:szCs w:val="18"/>
          <w:lang w:val="it-IT"/>
        </w:rPr>
        <w:t>abbonamento in via continuativa.</w:t>
      </w:r>
      <w:r w:rsidR="00082E1C" w:rsidRPr="00451078">
        <w:rPr>
          <w:rFonts w:cs="Tahoma"/>
          <w:color w:val="000000"/>
          <w:szCs w:val="18"/>
          <w:lang w:val="it-IT"/>
        </w:rPr>
        <w:t xml:space="preserve"> </w:t>
      </w:r>
      <w:r w:rsidRPr="00451078">
        <w:rPr>
          <w:rFonts w:cs="Tahoma"/>
          <w:color w:val="000000"/>
          <w:szCs w:val="18"/>
          <w:lang w:val="it-IT"/>
        </w:rPr>
        <w:t>Tali diritti diventeranno permanenti soltanto all</w:t>
      </w:r>
      <w:r w:rsidR="0073727D">
        <w:rPr>
          <w:rFonts w:cs="Tahoma"/>
          <w:color w:val="000000"/>
          <w:szCs w:val="18"/>
          <w:lang w:val="it-IT"/>
        </w:rPr>
        <w:t>’</w:t>
      </w:r>
      <w:r w:rsidRPr="00451078">
        <w:rPr>
          <w:rFonts w:cs="Tahoma"/>
          <w:color w:val="000000"/>
          <w:szCs w:val="18"/>
          <w:lang w:val="it-IT"/>
        </w:rPr>
        <w:t>esercizio dell</w:t>
      </w:r>
      <w:r w:rsidR="0073727D">
        <w:rPr>
          <w:rFonts w:cs="Tahoma"/>
          <w:color w:val="000000"/>
          <w:szCs w:val="18"/>
          <w:lang w:val="it-IT"/>
        </w:rPr>
        <w:t>’</w:t>
      </w:r>
      <w:r w:rsidRPr="00451078">
        <w:rPr>
          <w:rFonts w:cs="Tahoma"/>
          <w:color w:val="000000"/>
          <w:szCs w:val="18"/>
          <w:lang w:val="it-IT"/>
        </w:rPr>
        <w:t>opzione buy-out e</w:t>
      </w:r>
      <w:r w:rsidR="000C172E" w:rsidRPr="00451078">
        <w:rPr>
          <w:rFonts w:cs="Tahoma"/>
          <w:color w:val="000000"/>
          <w:szCs w:val="18"/>
          <w:lang w:val="it-IT"/>
        </w:rPr>
        <w:t> </w:t>
      </w:r>
      <w:r w:rsidRPr="00451078">
        <w:rPr>
          <w:rFonts w:cs="Tahoma"/>
          <w:color w:val="000000"/>
          <w:szCs w:val="18"/>
          <w:lang w:val="it-IT"/>
        </w:rPr>
        <w:t>resteranno soggetti a tutte le condizioni del contratto di licenza della società.</w:t>
      </w:r>
    </w:p>
    <w:p w:rsidR="004E0852" w:rsidRPr="00451078" w:rsidRDefault="004E0852" w:rsidP="00745AB3">
      <w:pPr>
        <w:numPr>
          <w:ilvl w:val="0"/>
          <w:numId w:val="102"/>
        </w:numPr>
        <w:spacing w:after="60"/>
        <w:ind w:left="1440"/>
        <w:rPr>
          <w:rFonts w:cs="Tahoma"/>
          <w:szCs w:val="18"/>
          <w:lang w:val="it-IT"/>
        </w:rPr>
      </w:pPr>
      <w:r w:rsidRPr="00451078">
        <w:rPr>
          <w:rFonts w:cs="Tahoma"/>
          <w:szCs w:val="18"/>
          <w:u w:val="single"/>
          <w:lang w:val="it-IT"/>
        </w:rPr>
        <w:t>Transizioni ai Contratti Campus e School</w:t>
      </w:r>
      <w:r w:rsidRPr="00451078">
        <w:rPr>
          <w:rFonts w:cs="Tahoma"/>
          <w:szCs w:val="18"/>
          <w:lang w:val="it-IT"/>
        </w:rPr>
        <w:t>: Per quanto riguarda le società che a metà del periodo di</w:t>
      </w:r>
      <w:r w:rsidR="000C172E" w:rsidRPr="00451078">
        <w:rPr>
          <w:rFonts w:cs="Tahoma"/>
          <w:szCs w:val="18"/>
          <w:lang w:val="it-IT"/>
        </w:rPr>
        <w:t> </w:t>
      </w:r>
      <w:r w:rsidRPr="00451078">
        <w:rPr>
          <w:rFonts w:cs="Tahoma"/>
          <w:szCs w:val="18"/>
          <w:lang w:val="it-IT"/>
        </w:rPr>
        <w:t>validità effettuano la transizione dai contratti Campus e School al contratto Enrollment for Education Solutions o Open Value Subscription-Education Solutions mantenendo la copertura della</w:t>
      </w:r>
      <w:r w:rsidR="000C172E" w:rsidRPr="00451078">
        <w:rPr>
          <w:rFonts w:cs="Tahoma"/>
          <w:szCs w:val="18"/>
          <w:lang w:val="it-IT"/>
        </w:rPr>
        <w:t> </w:t>
      </w:r>
      <w:r w:rsidRPr="00451078">
        <w:rPr>
          <w:rFonts w:cs="Tahoma"/>
          <w:szCs w:val="18"/>
          <w:lang w:val="it-IT"/>
        </w:rPr>
        <w:t>sottoscrizione in via continuativa:</w:t>
      </w:r>
    </w:p>
    <w:p w:rsidR="004E0852" w:rsidRPr="00451078" w:rsidRDefault="004E0852" w:rsidP="00745AB3">
      <w:pPr>
        <w:pStyle w:val="ListParagraph"/>
        <w:numPr>
          <w:ilvl w:val="0"/>
          <w:numId w:val="86"/>
        </w:numPr>
        <w:spacing w:after="60"/>
        <w:ind w:left="1980"/>
        <w:contextualSpacing w:val="0"/>
        <w:rPr>
          <w:rFonts w:ascii="Tahoma" w:hAnsi="Tahoma" w:cs="Tahoma"/>
          <w:sz w:val="18"/>
          <w:szCs w:val="18"/>
          <w:lang w:val="it-IT"/>
        </w:rPr>
      </w:pPr>
      <w:r w:rsidRPr="00451078">
        <w:rPr>
          <w:rFonts w:ascii="Tahoma" w:hAnsi="Tahoma" w:cs="Tahoma"/>
          <w:sz w:val="18"/>
          <w:szCs w:val="18"/>
          <w:lang w:val="it-IT"/>
        </w:rPr>
        <w:t>Vengono concessi gli stessi diritti su base temporanea, ai sensi delle medesime condizioni, fino al termine, rispettivamente, del loro contratto Enrollment for Education Solutions o</w:t>
      </w:r>
      <w:r w:rsidR="000C172E" w:rsidRPr="00451078">
        <w:rPr>
          <w:rFonts w:ascii="Tahoma" w:hAnsi="Tahoma" w:cs="Tahoma"/>
          <w:sz w:val="18"/>
          <w:szCs w:val="18"/>
          <w:lang w:val="it-IT"/>
        </w:rPr>
        <w:t> </w:t>
      </w:r>
      <w:r w:rsidRPr="00451078">
        <w:rPr>
          <w:rFonts w:ascii="Tahoma" w:hAnsi="Tahoma" w:cs="Tahoma"/>
          <w:sz w:val="18"/>
          <w:szCs w:val="18"/>
          <w:lang w:val="it-IT"/>
        </w:rPr>
        <w:t xml:space="preserve">Open Value Subscription-Education Solutions. </w:t>
      </w:r>
    </w:p>
    <w:p w:rsidR="00BA1490" w:rsidRPr="00451078" w:rsidRDefault="004E0852" w:rsidP="00745AB3">
      <w:pPr>
        <w:pStyle w:val="ListParagraph"/>
        <w:numPr>
          <w:ilvl w:val="0"/>
          <w:numId w:val="86"/>
        </w:numPr>
        <w:spacing w:after="60"/>
        <w:ind w:left="1980"/>
        <w:contextualSpacing w:val="0"/>
        <w:rPr>
          <w:rFonts w:ascii="Tahoma" w:hAnsi="Tahoma" w:cs="Tahoma"/>
          <w:sz w:val="18"/>
          <w:szCs w:val="18"/>
          <w:lang w:val="it-IT"/>
        </w:rPr>
      </w:pPr>
      <w:r w:rsidRPr="00451078">
        <w:rPr>
          <w:rFonts w:ascii="Tahoma" w:hAnsi="Tahoma" w:cs="Tahoma"/>
          <w:sz w:val="18"/>
          <w:szCs w:val="18"/>
          <w:lang w:val="it-IT"/>
        </w:rPr>
        <w:t>Tali diritti diventeranno permanenti soltanto all</w:t>
      </w:r>
      <w:r w:rsidR="0073727D">
        <w:rPr>
          <w:rFonts w:ascii="Tahoma" w:hAnsi="Tahoma" w:cs="Tahoma"/>
          <w:sz w:val="18"/>
          <w:szCs w:val="18"/>
          <w:lang w:val="it-IT"/>
        </w:rPr>
        <w:t>’</w:t>
      </w:r>
      <w:r w:rsidRPr="00451078">
        <w:rPr>
          <w:rFonts w:ascii="Tahoma" w:hAnsi="Tahoma" w:cs="Tahoma"/>
          <w:sz w:val="18"/>
          <w:szCs w:val="18"/>
          <w:lang w:val="it-IT"/>
        </w:rPr>
        <w:t>esercizio dell</w:t>
      </w:r>
      <w:r w:rsidR="0073727D">
        <w:rPr>
          <w:rFonts w:ascii="Tahoma" w:hAnsi="Tahoma" w:cs="Tahoma"/>
          <w:sz w:val="18"/>
          <w:szCs w:val="18"/>
          <w:lang w:val="it-IT"/>
        </w:rPr>
        <w:t>’</w:t>
      </w:r>
      <w:r w:rsidRPr="00451078">
        <w:rPr>
          <w:rFonts w:ascii="Tahoma" w:hAnsi="Tahoma" w:cs="Tahoma"/>
          <w:sz w:val="18"/>
          <w:szCs w:val="18"/>
          <w:lang w:val="it-IT"/>
        </w:rPr>
        <w:t>opzione buy-out e resteranno soggetti a tutte le condizioni del contratto di licenza della società.</w:t>
      </w:r>
      <w:bookmarkStart w:id="1320" w:name="_66_Lync_Server"/>
      <w:bookmarkStart w:id="1321" w:name="_Toc336338327"/>
      <w:bookmarkStart w:id="1322" w:name="Srv_57OfficeCommSvrOnlineStd"/>
      <w:bookmarkEnd w:id="1320"/>
    </w:p>
    <w:p w:rsidR="00586FCE" w:rsidRPr="00451078" w:rsidRDefault="00586FCE" w:rsidP="003D0252">
      <w:pPr>
        <w:rPr>
          <w:lang w:val="it-IT"/>
        </w:rPr>
      </w:pPr>
      <w:bookmarkStart w:id="1323" w:name="Srv_56MicrosoftDynamicsCRM2011"/>
      <w:bookmarkStart w:id="1324" w:name="Srv_67MicrosoftDynamicsCRM2011"/>
    </w:p>
    <w:p w:rsidR="002512D3" w:rsidRPr="00451078" w:rsidRDefault="002512D3">
      <w:pPr>
        <w:rPr>
          <w:lang w:val="it-IT"/>
        </w:rPr>
      </w:pPr>
    </w:p>
    <w:p w:rsidR="00253288" w:rsidRPr="00451078" w:rsidRDefault="0099402E" w:rsidP="00D47417">
      <w:pPr>
        <w:pStyle w:val="Heading3"/>
        <w:rPr>
          <w:lang w:val="it-IT"/>
        </w:rPr>
      </w:pPr>
      <w:bookmarkStart w:id="1325" w:name="_65_Microsoft_Dynamics"/>
      <w:bookmarkStart w:id="1326" w:name="_Toc352234918"/>
      <w:bookmarkEnd w:id="1325"/>
      <w:r w:rsidRPr="00451078">
        <w:rPr>
          <w:rFonts w:ascii="Tahoma" w:hAnsi="Tahoma"/>
          <w:color w:val="F66400"/>
          <w:sz w:val="22"/>
          <w:vertAlign w:val="superscript"/>
          <w:lang w:val="it-IT"/>
        </w:rPr>
        <w:t>65</w:t>
      </w:r>
      <w:r w:rsidRPr="00451078">
        <w:rPr>
          <w:rFonts w:ascii="Tahoma" w:hAnsi="Tahoma"/>
          <w:color w:val="F66400"/>
          <w:sz w:val="22"/>
          <w:lang w:val="it-IT"/>
        </w:rPr>
        <w:t xml:space="preserve"> Microsoft Dynamics AX 2012</w:t>
      </w:r>
      <w:bookmarkEnd w:id="1321"/>
      <w:r w:rsidRPr="00451078">
        <w:rPr>
          <w:rFonts w:ascii="Tahoma" w:hAnsi="Tahoma"/>
          <w:color w:val="F66400"/>
          <w:sz w:val="22"/>
          <w:lang w:val="it-IT"/>
        </w:rPr>
        <w:t xml:space="preserve"> R2</w:t>
      </w:r>
      <w:bookmarkEnd w:id="1326"/>
    </w:p>
    <w:p w:rsidR="003D0252" w:rsidRPr="00451078" w:rsidRDefault="003D0252" w:rsidP="003D0252">
      <w:pPr>
        <w:rPr>
          <w:lang w:val="it-IT"/>
        </w:rPr>
      </w:pPr>
    </w:p>
    <w:p w:rsidR="00047874" w:rsidRPr="00451078" w:rsidRDefault="00860CF0" w:rsidP="007B699C">
      <w:pPr>
        <w:spacing w:after="60"/>
        <w:ind w:left="734" w:hanging="14"/>
        <w:rPr>
          <w:lang w:val="it-IT"/>
        </w:rPr>
      </w:pPr>
      <w:r w:rsidRPr="00451078">
        <w:rPr>
          <w:rFonts w:cs="Tahoma"/>
          <w:b/>
          <w:bCs/>
          <w:szCs w:val="20"/>
          <w:lang w:val="it-IT"/>
        </w:rPr>
        <w:t>Localizzazioni e Traduzioni</w:t>
      </w:r>
    </w:p>
    <w:p w:rsidR="00253288" w:rsidRPr="00451078" w:rsidRDefault="00047874" w:rsidP="00737831">
      <w:pPr>
        <w:ind w:left="734" w:hanging="14"/>
        <w:rPr>
          <w:lang w:val="it-IT"/>
        </w:rPr>
      </w:pPr>
      <w:r w:rsidRPr="00451078">
        <w:rPr>
          <w:rFonts w:cs="Tahoma"/>
          <w:color w:val="000000"/>
          <w:szCs w:val="20"/>
          <w:lang w:val="it-IT"/>
        </w:rPr>
        <w:t xml:space="preserve">Microsoft Dynamics AX è localizzato, tradotto e supportato da Microsoft, nonché reso disponibile al pubblico in determinati paesi e lingue. Informazioni sulla disponibilità di traduzioni e localizzazioni Microsoft sono reperibili alla pagina </w:t>
      </w:r>
      <w:hyperlink r:id="rId53" w:history="1">
        <w:r w:rsidRPr="00451078">
          <w:rPr>
            <w:rFonts w:cs="Tahoma"/>
            <w:color w:val="000000"/>
            <w:szCs w:val="20"/>
            <w:lang w:val="it-IT"/>
          </w:rPr>
          <w:t>http://www.microsoft.com/en-us/dynamics/erp-explore-ax-capabilities.aspx</w:t>
        </w:r>
      </w:hyperlink>
      <w:r w:rsidRPr="00451078">
        <w:rPr>
          <w:rFonts w:cs="Tahoma"/>
          <w:color w:val="000000"/>
          <w:szCs w:val="20"/>
          <w:lang w:val="it-IT"/>
        </w:rPr>
        <w:t>.</w:t>
      </w:r>
    </w:p>
    <w:p w:rsidR="00860CF0" w:rsidRPr="00451078" w:rsidRDefault="00860CF0" w:rsidP="00737831">
      <w:pPr>
        <w:ind w:left="720"/>
        <w:rPr>
          <w:lang w:val="it-IT"/>
        </w:rPr>
      </w:pPr>
    </w:p>
    <w:p w:rsidR="00860CF0" w:rsidRPr="00451078" w:rsidRDefault="00860CF0" w:rsidP="00737831">
      <w:pPr>
        <w:pStyle w:val="PURBody-Indented"/>
        <w:spacing w:after="0"/>
        <w:ind w:left="720"/>
        <w:rPr>
          <w:lang w:val="it-IT"/>
        </w:rPr>
      </w:pPr>
      <w:r w:rsidRPr="00451078">
        <w:rPr>
          <w:rFonts w:ascii="Tahoma" w:hAnsi="Tahoma" w:cs="Tahoma"/>
          <w:color w:val="000000"/>
          <w:sz w:val="18"/>
          <w:lang w:val="it-IT"/>
        </w:rPr>
        <w:t>Microsoft comprende che in talune circostanze la società desideri utilizzare determinati moduli o funzionalità, localizzati e/o tradotti per uno specifico Paese, al di fuori di esso.</w:t>
      </w:r>
      <w:r w:rsidR="00082E1C" w:rsidRPr="00451078">
        <w:rPr>
          <w:rFonts w:ascii="Tahoma" w:hAnsi="Tahoma" w:cs="Tahoma"/>
          <w:color w:val="000000"/>
          <w:sz w:val="18"/>
          <w:lang w:val="it-IT"/>
        </w:rPr>
        <w:t xml:space="preserve"> </w:t>
      </w:r>
      <w:r w:rsidRPr="00451078">
        <w:rPr>
          <w:rFonts w:ascii="Tahoma" w:hAnsi="Tahoma" w:cs="Tahoma"/>
          <w:color w:val="000000"/>
          <w:sz w:val="18"/>
          <w:lang w:val="it-IT"/>
        </w:rPr>
        <w:t>Poiché leggi e regolamenti variano da Paese a Paese, le differenze normative potrebbero influire sull</w:t>
      </w:r>
      <w:r w:rsidR="0073727D">
        <w:rPr>
          <w:rFonts w:ascii="Tahoma" w:hAnsi="Tahoma" w:cs="Tahoma"/>
          <w:color w:val="000000"/>
          <w:sz w:val="18"/>
          <w:lang w:val="it-IT"/>
        </w:rPr>
        <w:t>’</w:t>
      </w:r>
      <w:r w:rsidRPr="00451078">
        <w:rPr>
          <w:rFonts w:ascii="Tahoma" w:hAnsi="Tahoma" w:cs="Tahoma"/>
          <w:color w:val="000000"/>
          <w:sz w:val="18"/>
          <w:lang w:val="it-IT"/>
        </w:rPr>
        <w:t>utilizzo della funzionalità desiderata in Paesi per i quali non è stata creata.</w:t>
      </w:r>
      <w:r w:rsidR="00082E1C" w:rsidRPr="00451078">
        <w:rPr>
          <w:rFonts w:ascii="Tahoma" w:hAnsi="Tahoma" w:cs="Tahoma"/>
          <w:color w:val="000000"/>
          <w:sz w:val="18"/>
          <w:lang w:val="it-IT"/>
        </w:rPr>
        <w:t xml:space="preserve"> </w:t>
      </w:r>
      <w:r w:rsidRPr="00451078">
        <w:rPr>
          <w:rFonts w:ascii="Tahoma" w:hAnsi="Tahoma" w:cs="Tahoma"/>
          <w:color w:val="000000"/>
          <w:sz w:val="18"/>
          <w:lang w:val="it-IT"/>
        </w:rPr>
        <w:t>Microsoft non fornisce alcuna dichiarazione o garanzia (espressa, implicita o</w:t>
      </w:r>
      <w:r w:rsidR="000C172E" w:rsidRPr="00451078">
        <w:rPr>
          <w:rFonts w:ascii="Tahoma" w:hAnsi="Tahoma" w:cs="Tahoma"/>
          <w:color w:val="000000"/>
          <w:sz w:val="18"/>
          <w:lang w:val="it-IT"/>
        </w:rPr>
        <w:t> </w:t>
      </w:r>
      <w:r w:rsidRPr="00451078">
        <w:rPr>
          <w:rFonts w:ascii="Tahoma" w:hAnsi="Tahoma" w:cs="Tahoma"/>
          <w:color w:val="000000"/>
          <w:sz w:val="18"/>
          <w:lang w:val="it-IT"/>
        </w:rPr>
        <w:t>altro) né assicurazione sulle prestazioni o sull</w:t>
      </w:r>
      <w:r w:rsidR="0073727D">
        <w:rPr>
          <w:rFonts w:ascii="Tahoma" w:hAnsi="Tahoma" w:cs="Tahoma"/>
          <w:color w:val="000000"/>
          <w:sz w:val="18"/>
          <w:lang w:val="it-IT"/>
        </w:rPr>
        <w:t>’</w:t>
      </w:r>
      <w:r w:rsidRPr="00451078">
        <w:rPr>
          <w:rFonts w:ascii="Tahoma" w:hAnsi="Tahoma" w:cs="Tahoma"/>
          <w:color w:val="000000"/>
          <w:sz w:val="18"/>
          <w:lang w:val="it-IT"/>
        </w:rPr>
        <w:t>idoneità di qualsiasi versione localizzata e/o tradotta del software (inclusi i servizi online disponibili tramite tale software) utilizzato al di fuori del territorio per il quale</w:t>
      </w:r>
      <w:r w:rsidR="000C172E" w:rsidRPr="00451078">
        <w:rPr>
          <w:rFonts w:ascii="Tahoma" w:hAnsi="Tahoma" w:cs="Tahoma"/>
          <w:color w:val="000000"/>
          <w:sz w:val="18"/>
          <w:lang w:val="it-IT"/>
        </w:rPr>
        <w:t> </w:t>
      </w:r>
      <w:r w:rsidRPr="00451078">
        <w:rPr>
          <w:rFonts w:ascii="Tahoma" w:hAnsi="Tahoma" w:cs="Tahoma"/>
          <w:color w:val="000000"/>
          <w:sz w:val="18"/>
          <w:lang w:val="it-IT"/>
        </w:rPr>
        <w:t>è stato creato e in cui Microsoft normalmente commercializza tali software e servizi.</w:t>
      </w:r>
      <w:r w:rsidR="00082E1C" w:rsidRPr="00451078">
        <w:rPr>
          <w:rFonts w:ascii="Tahoma" w:hAnsi="Tahoma" w:cs="Tahoma"/>
          <w:color w:val="000000"/>
          <w:sz w:val="18"/>
          <w:lang w:val="it-IT"/>
        </w:rPr>
        <w:t xml:space="preserve"> </w:t>
      </w:r>
      <w:r w:rsidRPr="00451078">
        <w:rPr>
          <w:rFonts w:ascii="Tahoma" w:hAnsi="Tahoma" w:cs="Tahoma"/>
          <w:color w:val="000000"/>
          <w:sz w:val="18"/>
          <w:lang w:val="it-IT"/>
        </w:rPr>
        <w:t>Verificare con un</w:t>
      </w:r>
      <w:r w:rsidR="000C172E" w:rsidRPr="00451078">
        <w:rPr>
          <w:rFonts w:ascii="Tahoma" w:hAnsi="Tahoma" w:cs="Tahoma"/>
          <w:color w:val="000000"/>
          <w:sz w:val="18"/>
          <w:lang w:val="it-IT"/>
        </w:rPr>
        <w:t> </w:t>
      </w:r>
      <w:r w:rsidRPr="00451078">
        <w:rPr>
          <w:rFonts w:ascii="Tahoma" w:hAnsi="Tahoma" w:cs="Tahoma"/>
          <w:color w:val="000000"/>
          <w:sz w:val="18"/>
          <w:lang w:val="it-IT"/>
        </w:rPr>
        <w:t>esperto locale in materia fiscale se sia opportuno utilizzare in tale Paese la funzionalità del software desiderata.</w:t>
      </w:r>
    </w:p>
    <w:p w:rsidR="00047874" w:rsidRPr="00451078" w:rsidRDefault="00047874" w:rsidP="00E62BC4">
      <w:pPr>
        <w:ind w:left="720" w:hanging="180"/>
        <w:rPr>
          <w:lang w:val="it-IT"/>
        </w:rPr>
      </w:pPr>
    </w:p>
    <w:p w:rsidR="00253288" w:rsidRPr="00451078" w:rsidRDefault="00047874" w:rsidP="007B699C">
      <w:pPr>
        <w:spacing w:after="60"/>
        <w:ind w:left="734" w:hanging="187"/>
        <w:rPr>
          <w:lang w:val="it-IT"/>
        </w:rPr>
      </w:pPr>
      <w:r w:rsidRPr="00451078">
        <w:rPr>
          <w:rFonts w:cs="Tahoma"/>
          <w:b/>
          <w:bCs/>
          <w:szCs w:val="20"/>
          <w:lang w:val="it-IT"/>
        </w:rPr>
        <w:t>Diritti sull</w:t>
      </w:r>
      <w:r w:rsidR="0073727D">
        <w:rPr>
          <w:rFonts w:cs="Tahoma"/>
          <w:b/>
          <w:bCs/>
          <w:szCs w:val="20"/>
          <w:lang w:val="it-IT"/>
        </w:rPr>
        <w:t>’</w:t>
      </w:r>
      <w:r w:rsidRPr="00451078">
        <w:rPr>
          <w:rFonts w:cs="Tahoma"/>
          <w:b/>
          <w:bCs/>
          <w:szCs w:val="20"/>
          <w:lang w:val="it-IT"/>
        </w:rPr>
        <w:t>utilizzo delle Licenze CAL</w:t>
      </w:r>
    </w:p>
    <w:p w:rsidR="00047874" w:rsidRPr="00451078" w:rsidRDefault="00047874" w:rsidP="000C172E">
      <w:pPr>
        <w:ind w:left="547"/>
        <w:rPr>
          <w:lang w:val="it-IT"/>
        </w:rPr>
      </w:pPr>
      <w:r w:rsidRPr="00451078">
        <w:rPr>
          <w:rFonts w:eastAsia="Calibri" w:cs="Tahoma"/>
          <w:szCs w:val="18"/>
          <w:lang w:val="it-IT"/>
        </w:rPr>
        <w:t>Gli utilizzi autorizzati ai sensi delle diverse licenze CAL per Microsoft Dynamics AX 2012 R2 sono delineati nella seguente tabella:</w:t>
      </w:r>
    </w:p>
    <w:p w:rsidR="00047874" w:rsidRPr="00451078" w:rsidRDefault="00047874" w:rsidP="00944DAD">
      <w:pPr>
        <w:ind w:firstLine="540"/>
        <w:rPr>
          <w:lang w:val="it-IT"/>
        </w:rPr>
      </w:pPr>
    </w:p>
    <w:p w:rsidR="00047874" w:rsidRPr="003410C7" w:rsidRDefault="00047874" w:rsidP="00745AB3">
      <w:pPr>
        <w:numPr>
          <w:ilvl w:val="1"/>
          <w:numId w:val="65"/>
        </w:numPr>
        <w:tabs>
          <w:tab w:val="clear" w:pos="1440"/>
          <w:tab w:val="num" w:pos="900"/>
        </w:tabs>
        <w:autoSpaceDE w:val="0"/>
        <w:autoSpaceDN w:val="0"/>
        <w:adjustRightInd w:val="0"/>
        <w:ind w:left="900" w:right="720"/>
      </w:pPr>
      <w:r w:rsidRPr="003410C7">
        <w:rPr>
          <w:rFonts w:eastAsia="Calibri" w:cs="Tahoma"/>
          <w:b/>
          <w:szCs w:val="18"/>
        </w:rPr>
        <w:t>Self-Serve CAL (CAL Base)</w:t>
      </w:r>
    </w:p>
    <w:p w:rsidR="00047874" w:rsidRPr="003410C7" w:rsidRDefault="00047874" w:rsidP="00745AB3">
      <w:pPr>
        <w:numPr>
          <w:ilvl w:val="1"/>
          <w:numId w:val="87"/>
        </w:numPr>
        <w:tabs>
          <w:tab w:val="left" w:pos="1260"/>
        </w:tabs>
        <w:autoSpaceDE w:val="0"/>
        <w:autoSpaceDN w:val="0"/>
        <w:adjustRightInd w:val="0"/>
        <w:ind w:left="1260" w:right="720" w:hanging="360"/>
      </w:pPr>
      <w:r w:rsidRPr="003410C7">
        <w:rPr>
          <w:rFonts w:eastAsia="Calibri" w:cs="Tahoma"/>
          <w:szCs w:val="18"/>
        </w:rPr>
        <w:t>creazione di note spese;</w:t>
      </w:r>
    </w:p>
    <w:p w:rsidR="00047874" w:rsidRPr="00451078" w:rsidRDefault="00047874" w:rsidP="00745AB3">
      <w:pPr>
        <w:numPr>
          <w:ilvl w:val="1"/>
          <w:numId w:val="87"/>
        </w:numPr>
        <w:tabs>
          <w:tab w:val="left" w:pos="1260"/>
        </w:tabs>
        <w:autoSpaceDE w:val="0"/>
        <w:autoSpaceDN w:val="0"/>
        <w:adjustRightInd w:val="0"/>
        <w:ind w:left="1260" w:right="720" w:hanging="360"/>
        <w:rPr>
          <w:lang w:val="it-IT"/>
        </w:rPr>
      </w:pPr>
      <w:r w:rsidRPr="00451078">
        <w:rPr>
          <w:rFonts w:eastAsia="Calibri" w:cs="Tahoma"/>
          <w:szCs w:val="18"/>
          <w:lang w:val="it-IT"/>
        </w:rPr>
        <w:t>gestione di dati personali, ad esempio le iscrizioni ai vantaggi;</w:t>
      </w:r>
    </w:p>
    <w:p w:rsidR="00047874" w:rsidRPr="00451078" w:rsidRDefault="00047874" w:rsidP="00745AB3">
      <w:pPr>
        <w:numPr>
          <w:ilvl w:val="1"/>
          <w:numId w:val="87"/>
        </w:numPr>
        <w:tabs>
          <w:tab w:val="left" w:pos="1260"/>
        </w:tabs>
        <w:autoSpaceDE w:val="0"/>
        <w:autoSpaceDN w:val="0"/>
        <w:adjustRightInd w:val="0"/>
        <w:ind w:left="1260" w:right="720" w:hanging="360"/>
        <w:rPr>
          <w:lang w:val="it-IT"/>
        </w:rPr>
      </w:pPr>
      <w:r w:rsidRPr="00451078">
        <w:rPr>
          <w:rFonts w:eastAsia="Calibri" w:cs="Tahoma"/>
          <w:szCs w:val="18"/>
          <w:lang w:val="it-IT"/>
        </w:rPr>
        <w:t>creazione di voci relative a orari e presenze, ad esempio registrazione delle ore di entrata e di uscita;</w:t>
      </w:r>
    </w:p>
    <w:p w:rsidR="00047874" w:rsidRPr="00451078" w:rsidRDefault="00047874" w:rsidP="00745AB3">
      <w:pPr>
        <w:numPr>
          <w:ilvl w:val="1"/>
          <w:numId w:val="87"/>
        </w:numPr>
        <w:tabs>
          <w:tab w:val="left" w:pos="1260"/>
        </w:tabs>
        <w:autoSpaceDE w:val="0"/>
        <w:autoSpaceDN w:val="0"/>
        <w:adjustRightInd w:val="0"/>
        <w:ind w:left="1260" w:right="720" w:hanging="360"/>
        <w:rPr>
          <w:lang w:val="it-IT"/>
        </w:rPr>
      </w:pPr>
      <w:r w:rsidRPr="00451078">
        <w:rPr>
          <w:rFonts w:eastAsia="Calibri" w:cs="Tahoma"/>
          <w:szCs w:val="18"/>
          <w:lang w:val="it-IT"/>
        </w:rPr>
        <w:t>inserimento di richieste di servizio dei dipendenti;</w:t>
      </w:r>
    </w:p>
    <w:p w:rsidR="00047874" w:rsidRPr="00451078" w:rsidRDefault="00047874" w:rsidP="00745AB3">
      <w:pPr>
        <w:numPr>
          <w:ilvl w:val="1"/>
          <w:numId w:val="87"/>
        </w:numPr>
        <w:tabs>
          <w:tab w:val="left" w:pos="1260"/>
        </w:tabs>
        <w:autoSpaceDE w:val="0"/>
        <w:autoSpaceDN w:val="0"/>
        <w:adjustRightInd w:val="0"/>
        <w:ind w:left="1260" w:right="720" w:hanging="360"/>
        <w:rPr>
          <w:lang w:val="it-IT"/>
        </w:rPr>
      </w:pPr>
      <w:r w:rsidRPr="00451078">
        <w:rPr>
          <w:rFonts w:eastAsia="Calibri" w:cs="Tahoma"/>
          <w:szCs w:val="18"/>
          <w:lang w:val="it-IT"/>
        </w:rPr>
        <w:t>preparazione di richieste indirette di approvvigionamento di prodotti o servizi per l</w:t>
      </w:r>
      <w:r w:rsidR="0073727D">
        <w:rPr>
          <w:rFonts w:eastAsia="Calibri" w:cs="Tahoma"/>
          <w:szCs w:val="18"/>
          <w:lang w:val="it-IT"/>
        </w:rPr>
        <w:t>’</w:t>
      </w:r>
      <w:r w:rsidRPr="00451078">
        <w:rPr>
          <w:rFonts w:eastAsia="Calibri" w:cs="Tahoma"/>
          <w:szCs w:val="18"/>
          <w:lang w:val="it-IT"/>
        </w:rPr>
        <w:t>utente-dipendente, ad esempio viaggi, attrezzatura per l</w:t>
      </w:r>
      <w:r w:rsidR="0073727D">
        <w:rPr>
          <w:rFonts w:eastAsia="Calibri" w:cs="Tahoma"/>
          <w:szCs w:val="18"/>
          <w:lang w:val="it-IT"/>
        </w:rPr>
        <w:t>’</w:t>
      </w:r>
      <w:r w:rsidRPr="00451078">
        <w:rPr>
          <w:rFonts w:eastAsia="Calibri" w:cs="Tahoma"/>
          <w:szCs w:val="18"/>
          <w:lang w:val="it-IT"/>
        </w:rPr>
        <w:t>ufficio, cancelleria e/o e di richieste di aggiunta o iscrizione di fornitori.</w:t>
      </w:r>
      <w:r w:rsidRPr="00451078">
        <w:rPr>
          <w:rFonts w:eastAsia="Calibri" w:cs="Tahoma"/>
          <w:szCs w:val="18"/>
          <w:lang w:val="it-IT"/>
        </w:rPr>
        <w:br/>
      </w:r>
    </w:p>
    <w:p w:rsidR="00047874" w:rsidRPr="003410C7" w:rsidRDefault="00047874" w:rsidP="00745AB3">
      <w:pPr>
        <w:numPr>
          <w:ilvl w:val="0"/>
          <w:numId w:val="87"/>
        </w:numPr>
        <w:autoSpaceDE w:val="0"/>
        <w:autoSpaceDN w:val="0"/>
        <w:adjustRightInd w:val="0"/>
        <w:ind w:left="900" w:right="720"/>
      </w:pPr>
      <w:r w:rsidRPr="003410C7">
        <w:rPr>
          <w:rFonts w:eastAsia="Calibri" w:cs="Tahoma"/>
          <w:b/>
          <w:szCs w:val="18"/>
        </w:rPr>
        <w:t>Task CAL (Self-Serve CAL + Task Additive CAL)</w:t>
      </w:r>
    </w:p>
    <w:p w:rsidR="00B10F79" w:rsidRPr="00451078" w:rsidRDefault="00B10F79" w:rsidP="00745AB3">
      <w:pPr>
        <w:numPr>
          <w:ilvl w:val="1"/>
          <w:numId w:val="87"/>
        </w:numPr>
        <w:ind w:left="1260" w:right="720" w:hanging="360"/>
        <w:rPr>
          <w:lang w:val="it-IT"/>
        </w:rPr>
      </w:pPr>
      <w:r w:rsidRPr="00451078">
        <w:rPr>
          <w:rFonts w:eastAsia="Calibri" w:cs="Tahoma"/>
          <w:szCs w:val="18"/>
          <w:lang w:val="it-IT"/>
        </w:rPr>
        <w:t>inclusione dei diritti sull</w:t>
      </w:r>
      <w:r w:rsidR="0073727D">
        <w:rPr>
          <w:rFonts w:eastAsia="Calibri" w:cs="Tahoma"/>
          <w:szCs w:val="18"/>
          <w:lang w:val="it-IT"/>
        </w:rPr>
        <w:t>’</w:t>
      </w:r>
      <w:r w:rsidRPr="00451078">
        <w:rPr>
          <w:rFonts w:eastAsia="Calibri" w:cs="Tahoma"/>
          <w:szCs w:val="18"/>
          <w:lang w:val="it-IT"/>
        </w:rPr>
        <w:t>utilizzo di Self-Serve CAL</w:t>
      </w:r>
    </w:p>
    <w:p w:rsidR="00047874" w:rsidRPr="003410C7" w:rsidRDefault="00B10F79" w:rsidP="00745AB3">
      <w:pPr>
        <w:numPr>
          <w:ilvl w:val="1"/>
          <w:numId w:val="87"/>
        </w:numPr>
        <w:ind w:left="1260" w:right="720" w:hanging="360"/>
      </w:pPr>
      <w:r w:rsidRPr="003410C7">
        <w:rPr>
          <w:rFonts w:eastAsia="Calibri" w:cs="Tahoma"/>
          <w:szCs w:val="18"/>
        </w:rPr>
        <w:t>inserimento del tempo fatturabile;</w:t>
      </w:r>
    </w:p>
    <w:p w:rsidR="00047874" w:rsidRPr="003410C7" w:rsidRDefault="00B10F79" w:rsidP="00745AB3">
      <w:pPr>
        <w:numPr>
          <w:ilvl w:val="1"/>
          <w:numId w:val="87"/>
        </w:numPr>
        <w:ind w:left="1260" w:right="720" w:hanging="360"/>
      </w:pPr>
      <w:r w:rsidRPr="003410C7">
        <w:rPr>
          <w:rFonts w:eastAsia="Calibri" w:cs="Tahoma"/>
          <w:szCs w:val="18"/>
        </w:rPr>
        <w:t>inserimento delle spese fatturabili;</w:t>
      </w:r>
    </w:p>
    <w:p w:rsidR="00047874" w:rsidRPr="00451078" w:rsidRDefault="00B10F79" w:rsidP="00745AB3">
      <w:pPr>
        <w:numPr>
          <w:ilvl w:val="1"/>
          <w:numId w:val="87"/>
        </w:numPr>
        <w:ind w:left="1260" w:right="720" w:hanging="360"/>
        <w:rPr>
          <w:lang w:val="it-IT"/>
        </w:rPr>
      </w:pPr>
      <w:r w:rsidRPr="00451078">
        <w:rPr>
          <w:rFonts w:eastAsia="Calibri" w:cs="Tahoma"/>
          <w:szCs w:val="18"/>
          <w:lang w:val="it-IT"/>
        </w:rPr>
        <w:t>gestione delle revisioni annuali e delle prestazioni, della definizione degli obiettivi e delle competenze;</w:t>
      </w:r>
    </w:p>
    <w:p w:rsidR="00047874" w:rsidRPr="00451078" w:rsidRDefault="00B10F79" w:rsidP="00745AB3">
      <w:pPr>
        <w:numPr>
          <w:ilvl w:val="1"/>
          <w:numId w:val="87"/>
        </w:numPr>
        <w:ind w:left="1260" w:right="720" w:hanging="360"/>
        <w:rPr>
          <w:lang w:val="it-IT"/>
        </w:rPr>
      </w:pPr>
      <w:r w:rsidRPr="00451078">
        <w:rPr>
          <w:rFonts w:eastAsia="Calibri" w:cs="Tahoma"/>
          <w:szCs w:val="18"/>
          <w:lang w:val="it-IT"/>
        </w:rPr>
        <w:t>funzionamento di un dispositivo per punto di vendita al dettaglio;</w:t>
      </w:r>
    </w:p>
    <w:p w:rsidR="00047874" w:rsidRPr="00451078" w:rsidRDefault="00B10F79" w:rsidP="00745AB3">
      <w:pPr>
        <w:numPr>
          <w:ilvl w:val="1"/>
          <w:numId w:val="87"/>
        </w:numPr>
        <w:ind w:left="1260" w:right="720" w:hanging="360"/>
        <w:rPr>
          <w:lang w:val="it-IT"/>
        </w:rPr>
      </w:pPr>
      <w:r w:rsidRPr="00451078">
        <w:rPr>
          <w:rFonts w:eastAsia="Calibri" w:cs="Tahoma"/>
          <w:szCs w:val="18"/>
          <w:lang w:val="it-IT"/>
        </w:rPr>
        <w:t>approvazione di fatture relative all</w:t>
      </w:r>
      <w:r w:rsidR="0073727D">
        <w:rPr>
          <w:rFonts w:eastAsia="Calibri" w:cs="Tahoma"/>
          <w:szCs w:val="18"/>
          <w:lang w:val="it-IT"/>
        </w:rPr>
        <w:t>’</w:t>
      </w:r>
      <w:r w:rsidRPr="00451078">
        <w:rPr>
          <w:rFonts w:eastAsia="Calibri" w:cs="Tahoma"/>
          <w:szCs w:val="18"/>
          <w:lang w:val="it-IT"/>
        </w:rPr>
        <w:t>approvvigionamento indiretto e</w:t>
      </w:r>
    </w:p>
    <w:p w:rsidR="00047874" w:rsidRPr="00451078" w:rsidRDefault="00047874" w:rsidP="00745AB3">
      <w:pPr>
        <w:numPr>
          <w:ilvl w:val="1"/>
          <w:numId w:val="87"/>
        </w:numPr>
        <w:ind w:left="1260" w:right="720" w:hanging="360"/>
        <w:rPr>
          <w:lang w:val="it-IT"/>
        </w:rPr>
      </w:pPr>
      <w:r w:rsidRPr="00451078">
        <w:rPr>
          <w:rFonts w:eastAsia="Calibri" w:cs="Tahoma"/>
          <w:szCs w:val="18"/>
          <w:lang w:val="it-IT"/>
        </w:rPr>
        <w:t>gli utenti in possesso di Task CAL non possono eseguire le approvazioni del flusso di lavoro.</w:t>
      </w:r>
      <w:r w:rsidRPr="00451078">
        <w:rPr>
          <w:szCs w:val="18"/>
          <w:lang w:val="it-IT"/>
        </w:rPr>
        <w:t xml:space="preserve"> </w:t>
      </w:r>
    </w:p>
    <w:p w:rsidR="00047874" w:rsidRPr="00451078" w:rsidRDefault="00047874" w:rsidP="00944DAD">
      <w:pPr>
        <w:autoSpaceDE w:val="0"/>
        <w:autoSpaceDN w:val="0"/>
        <w:adjustRightInd w:val="0"/>
        <w:ind w:left="1260" w:right="720"/>
        <w:rPr>
          <w:lang w:val="it-IT"/>
        </w:rPr>
      </w:pPr>
    </w:p>
    <w:p w:rsidR="00047874" w:rsidRPr="003410C7" w:rsidRDefault="00047874" w:rsidP="00745AB3">
      <w:pPr>
        <w:numPr>
          <w:ilvl w:val="0"/>
          <w:numId w:val="87"/>
        </w:numPr>
        <w:ind w:left="900" w:right="720"/>
      </w:pPr>
      <w:r w:rsidRPr="003410C7">
        <w:rPr>
          <w:rFonts w:eastAsia="Calibri" w:cs="Tahoma"/>
          <w:b/>
          <w:szCs w:val="18"/>
        </w:rPr>
        <w:t>Functional CAL (Task CAL + Functional Additive CAL)</w:t>
      </w:r>
    </w:p>
    <w:p w:rsidR="00B10F79" w:rsidRPr="00451078" w:rsidRDefault="00B10F79" w:rsidP="00745AB3">
      <w:pPr>
        <w:numPr>
          <w:ilvl w:val="1"/>
          <w:numId w:val="87"/>
        </w:numPr>
        <w:ind w:left="1260" w:right="720" w:hanging="360"/>
        <w:rPr>
          <w:lang w:val="it-IT"/>
        </w:rPr>
      </w:pPr>
      <w:r w:rsidRPr="00451078">
        <w:rPr>
          <w:rFonts w:eastAsia="Calibri" w:cs="Tahoma"/>
          <w:szCs w:val="18"/>
          <w:lang w:val="it-IT"/>
        </w:rPr>
        <w:lastRenderedPageBreak/>
        <w:t>inclusione dei diritti sull</w:t>
      </w:r>
      <w:r w:rsidR="0073727D">
        <w:rPr>
          <w:rFonts w:eastAsia="Calibri" w:cs="Tahoma"/>
          <w:szCs w:val="18"/>
          <w:lang w:val="it-IT"/>
        </w:rPr>
        <w:t>’</w:t>
      </w:r>
      <w:r w:rsidRPr="00451078">
        <w:rPr>
          <w:rFonts w:eastAsia="Calibri" w:cs="Tahoma"/>
          <w:szCs w:val="18"/>
          <w:lang w:val="it-IT"/>
        </w:rPr>
        <w:t>utilizzo di Task CAL</w:t>
      </w:r>
    </w:p>
    <w:p w:rsidR="00047874" w:rsidRPr="00451078" w:rsidRDefault="00B10F79" w:rsidP="00745AB3">
      <w:pPr>
        <w:numPr>
          <w:ilvl w:val="1"/>
          <w:numId w:val="87"/>
        </w:numPr>
        <w:ind w:left="1260" w:right="720" w:hanging="360"/>
        <w:rPr>
          <w:lang w:val="it-IT"/>
        </w:rPr>
      </w:pPr>
      <w:r w:rsidRPr="00451078">
        <w:rPr>
          <w:rFonts w:eastAsia="Calibri" w:cs="Tahoma"/>
          <w:szCs w:val="18"/>
          <w:lang w:val="it-IT"/>
        </w:rPr>
        <w:t>gestione di uno Shop Floor in un ciclo di produzione o fabbricazione;</w:t>
      </w:r>
    </w:p>
    <w:p w:rsidR="00047874" w:rsidRPr="00451078" w:rsidRDefault="00B10F79" w:rsidP="00745AB3">
      <w:pPr>
        <w:numPr>
          <w:ilvl w:val="1"/>
          <w:numId w:val="87"/>
        </w:numPr>
        <w:ind w:left="1260" w:right="720" w:hanging="360"/>
        <w:rPr>
          <w:lang w:val="it-IT"/>
        </w:rPr>
      </w:pPr>
      <w:r w:rsidRPr="00451078">
        <w:rPr>
          <w:rFonts w:eastAsia="Calibri" w:cs="Tahoma"/>
          <w:szCs w:val="18"/>
          <w:lang w:val="it-IT"/>
        </w:rPr>
        <w:t>gestione di progetti e risorse;</w:t>
      </w:r>
    </w:p>
    <w:p w:rsidR="00047874" w:rsidRPr="00451078" w:rsidRDefault="00B10F79" w:rsidP="00745AB3">
      <w:pPr>
        <w:numPr>
          <w:ilvl w:val="1"/>
          <w:numId w:val="87"/>
        </w:numPr>
        <w:ind w:left="1260" w:right="720" w:hanging="360"/>
        <w:rPr>
          <w:lang w:val="it-IT"/>
        </w:rPr>
      </w:pPr>
      <w:r w:rsidRPr="00451078">
        <w:rPr>
          <w:rFonts w:eastAsia="Calibri" w:cs="Tahoma"/>
          <w:szCs w:val="18"/>
          <w:lang w:val="it-IT"/>
        </w:rPr>
        <w:t>gestione di cicli di risorse umane;</w:t>
      </w:r>
    </w:p>
    <w:p w:rsidR="00047874" w:rsidRPr="00451078" w:rsidRDefault="00B10F79" w:rsidP="00745AB3">
      <w:pPr>
        <w:numPr>
          <w:ilvl w:val="1"/>
          <w:numId w:val="87"/>
        </w:numPr>
        <w:ind w:left="1260" w:right="720" w:hanging="360"/>
        <w:rPr>
          <w:lang w:val="it-IT"/>
        </w:rPr>
      </w:pPr>
      <w:r w:rsidRPr="00451078">
        <w:rPr>
          <w:rFonts w:eastAsia="Calibri" w:cs="Tahoma"/>
          <w:szCs w:val="18"/>
          <w:lang w:val="it-IT"/>
        </w:rPr>
        <w:t>gestione di trasferimenti di budget e richieste organizzative;</w:t>
      </w:r>
    </w:p>
    <w:p w:rsidR="00047874" w:rsidRPr="00451078" w:rsidRDefault="00B10F79" w:rsidP="00745AB3">
      <w:pPr>
        <w:numPr>
          <w:ilvl w:val="1"/>
          <w:numId w:val="87"/>
        </w:numPr>
        <w:ind w:left="1260" w:right="720" w:hanging="360"/>
        <w:rPr>
          <w:lang w:val="it-IT"/>
        </w:rPr>
      </w:pPr>
      <w:r w:rsidRPr="00451078">
        <w:rPr>
          <w:rFonts w:eastAsia="Calibri" w:cs="Tahoma"/>
          <w:szCs w:val="18"/>
          <w:lang w:val="it-IT"/>
        </w:rPr>
        <w:t>creazione di record di dati master per candidati o impiegati;</w:t>
      </w:r>
    </w:p>
    <w:p w:rsidR="00047874" w:rsidRPr="00451078" w:rsidRDefault="00B10F79" w:rsidP="00745AB3">
      <w:pPr>
        <w:numPr>
          <w:ilvl w:val="1"/>
          <w:numId w:val="87"/>
        </w:numPr>
        <w:ind w:left="1260" w:right="720" w:hanging="360"/>
        <w:rPr>
          <w:lang w:val="it-IT"/>
        </w:rPr>
      </w:pPr>
      <w:r w:rsidRPr="00451078">
        <w:rPr>
          <w:rFonts w:eastAsia="Calibri" w:cs="Tahoma"/>
          <w:szCs w:val="18"/>
          <w:lang w:val="it-IT"/>
        </w:rPr>
        <w:t xml:space="preserve">creazione di richieste di copertura di mansioni o posizioni; </w:t>
      </w:r>
    </w:p>
    <w:p w:rsidR="00047874" w:rsidRPr="00451078" w:rsidRDefault="00B10F79" w:rsidP="00745AB3">
      <w:pPr>
        <w:numPr>
          <w:ilvl w:val="1"/>
          <w:numId w:val="87"/>
        </w:numPr>
        <w:ind w:left="1260" w:right="720" w:hanging="360"/>
        <w:rPr>
          <w:lang w:val="it-IT"/>
        </w:rPr>
      </w:pPr>
      <w:r w:rsidRPr="00451078">
        <w:rPr>
          <w:rFonts w:eastAsia="Calibri" w:cs="Tahoma"/>
          <w:szCs w:val="18"/>
          <w:lang w:val="it-IT"/>
        </w:rPr>
        <w:t xml:space="preserve">escalation o richiesta di approvazioni di fatture relative a clienti; </w:t>
      </w:r>
    </w:p>
    <w:p w:rsidR="00047874" w:rsidRPr="00451078" w:rsidRDefault="00B10F79" w:rsidP="00745AB3">
      <w:pPr>
        <w:numPr>
          <w:ilvl w:val="1"/>
          <w:numId w:val="87"/>
        </w:numPr>
        <w:ind w:left="1260" w:right="720" w:hanging="360"/>
        <w:rPr>
          <w:lang w:val="it-IT"/>
        </w:rPr>
      </w:pPr>
      <w:r w:rsidRPr="00451078">
        <w:rPr>
          <w:rFonts w:eastAsia="Calibri" w:cs="Tahoma"/>
          <w:szCs w:val="18"/>
          <w:lang w:val="it-IT"/>
        </w:rPr>
        <w:t>approvazione di fatture fornitori o giustificativi per servizi resi;</w:t>
      </w:r>
    </w:p>
    <w:p w:rsidR="00047874" w:rsidRPr="00451078" w:rsidRDefault="00B10F79" w:rsidP="008B5229">
      <w:pPr>
        <w:numPr>
          <w:ilvl w:val="1"/>
          <w:numId w:val="87"/>
        </w:numPr>
        <w:tabs>
          <w:tab w:val="left" w:pos="1287"/>
        </w:tabs>
        <w:ind w:left="1260" w:right="720" w:hanging="360"/>
        <w:rPr>
          <w:lang w:val="it-IT"/>
        </w:rPr>
      </w:pPr>
      <w:r w:rsidRPr="00451078">
        <w:rPr>
          <w:rFonts w:eastAsia="Calibri" w:cs="Tahoma"/>
          <w:szCs w:val="18"/>
          <w:lang w:val="it-IT"/>
        </w:rPr>
        <w:t>creazione e gestione di record di dati master relativi a società, fornitori, inventario o</w:t>
      </w:r>
      <w:r w:rsidR="000C172E" w:rsidRPr="00451078">
        <w:rPr>
          <w:rFonts w:eastAsia="Calibri" w:cs="Tahoma"/>
          <w:szCs w:val="18"/>
          <w:lang w:val="it-IT"/>
        </w:rPr>
        <w:t> </w:t>
      </w:r>
      <w:r w:rsidRPr="00451078">
        <w:rPr>
          <w:rFonts w:eastAsia="Calibri" w:cs="Tahoma"/>
          <w:szCs w:val="18"/>
          <w:lang w:val="it-IT"/>
        </w:rPr>
        <w:t>cataloghi di prodotti e/o</w:t>
      </w:r>
    </w:p>
    <w:p w:rsidR="00047874" w:rsidRPr="00451078" w:rsidRDefault="00B10F79" w:rsidP="00745AB3">
      <w:pPr>
        <w:numPr>
          <w:ilvl w:val="1"/>
          <w:numId w:val="87"/>
        </w:numPr>
        <w:ind w:left="1260" w:right="720" w:hanging="360"/>
        <w:rPr>
          <w:lang w:val="it-IT"/>
        </w:rPr>
      </w:pPr>
      <w:r w:rsidRPr="00451078">
        <w:rPr>
          <w:rFonts w:eastAsia="Calibri" w:cs="Tahoma"/>
          <w:szCs w:val="18"/>
          <w:lang w:val="it-IT"/>
        </w:rPr>
        <w:t>approvazione di richieste di utenti in possesso di Self-Serve CAL o Task CAL.</w:t>
      </w:r>
    </w:p>
    <w:p w:rsidR="00047874" w:rsidRPr="00451078" w:rsidRDefault="00047874" w:rsidP="00B20F02">
      <w:pPr>
        <w:autoSpaceDE w:val="0"/>
        <w:autoSpaceDN w:val="0"/>
        <w:adjustRightInd w:val="0"/>
        <w:ind w:left="1260" w:right="720" w:hanging="360"/>
        <w:rPr>
          <w:lang w:val="it-IT"/>
        </w:rPr>
      </w:pPr>
    </w:p>
    <w:p w:rsidR="00047874" w:rsidRPr="003410C7" w:rsidRDefault="00047874" w:rsidP="00745AB3">
      <w:pPr>
        <w:numPr>
          <w:ilvl w:val="0"/>
          <w:numId w:val="87"/>
        </w:numPr>
        <w:ind w:left="900" w:right="720"/>
      </w:pPr>
      <w:r w:rsidRPr="003410C7">
        <w:rPr>
          <w:rFonts w:eastAsia="Calibri" w:cs="Tahoma"/>
          <w:b/>
          <w:szCs w:val="18"/>
        </w:rPr>
        <w:t>Enterprise CAL (Functional CAL + Enterprise Additive CAL)</w:t>
      </w:r>
    </w:p>
    <w:p w:rsidR="00047874" w:rsidRPr="003410C7" w:rsidRDefault="00047874" w:rsidP="00745AB3">
      <w:pPr>
        <w:numPr>
          <w:ilvl w:val="1"/>
          <w:numId w:val="87"/>
        </w:numPr>
        <w:ind w:left="1260" w:right="720" w:hanging="360"/>
      </w:pPr>
      <w:r w:rsidRPr="003410C7">
        <w:rPr>
          <w:rFonts w:eastAsia="Calibri" w:cs="Tahoma"/>
          <w:szCs w:val="18"/>
        </w:rPr>
        <w:t>Diritti di Utilizzo Completo</w:t>
      </w:r>
    </w:p>
    <w:p w:rsidR="00047874" w:rsidRPr="003410C7" w:rsidRDefault="00047874" w:rsidP="00944DAD">
      <w:pPr>
        <w:autoSpaceDE w:val="0"/>
        <w:autoSpaceDN w:val="0"/>
        <w:adjustRightInd w:val="0"/>
        <w:ind w:left="900" w:right="720"/>
      </w:pPr>
    </w:p>
    <w:p w:rsidR="00047874" w:rsidRPr="00451078" w:rsidRDefault="00047874" w:rsidP="00944DAD">
      <w:pPr>
        <w:autoSpaceDE w:val="0"/>
        <w:autoSpaceDN w:val="0"/>
        <w:adjustRightInd w:val="0"/>
        <w:ind w:left="720" w:right="720"/>
        <w:rPr>
          <w:lang w:val="it-IT"/>
        </w:rPr>
      </w:pPr>
      <w:r w:rsidRPr="00451078">
        <w:rPr>
          <w:rFonts w:eastAsia="Calibri" w:cs="Tahoma"/>
          <w:szCs w:val="18"/>
          <w:lang w:val="it-IT"/>
        </w:rPr>
        <w:t xml:space="preserve">Per una maggiore granularità e comprensione delle licenze CAL richieste la società potrà fare riferimento alla Guida relativa alle Licenze per Microsoft Dynamics AX 2012 R2 del mese di luglio 2012 disponibile sul sito </w:t>
      </w:r>
      <w:hyperlink r:id="rId54" w:history="1">
        <w:r w:rsidRPr="00451078">
          <w:rPr>
            <w:rStyle w:val="Hyperlink"/>
            <w:rFonts w:eastAsia="Calibri" w:cs="Tahoma"/>
            <w:szCs w:val="18"/>
            <w:lang w:val="it-IT"/>
          </w:rPr>
          <w:t>www.microsoft.com</w:t>
        </w:r>
      </w:hyperlink>
      <w:r w:rsidRPr="00451078">
        <w:rPr>
          <w:rFonts w:eastAsia="Calibri" w:cs="Tahoma"/>
          <w:szCs w:val="18"/>
          <w:lang w:val="it-IT"/>
        </w:rPr>
        <w:t>.</w:t>
      </w:r>
    </w:p>
    <w:p w:rsidR="00A6185F" w:rsidRPr="00451078" w:rsidRDefault="00A6185F" w:rsidP="00A6185F">
      <w:pPr>
        <w:ind w:left="720" w:hanging="180"/>
        <w:rPr>
          <w:lang w:val="it-IT"/>
        </w:rPr>
      </w:pPr>
    </w:p>
    <w:p w:rsidR="00A6185F" w:rsidRPr="00451078" w:rsidRDefault="00A6185F" w:rsidP="00C066F9">
      <w:pPr>
        <w:spacing w:after="60"/>
        <w:ind w:left="734" w:hanging="194"/>
        <w:rPr>
          <w:lang w:val="it-IT"/>
        </w:rPr>
      </w:pPr>
      <w:r w:rsidRPr="00451078">
        <w:rPr>
          <w:rFonts w:cs="Tahoma"/>
          <w:b/>
          <w:bCs/>
          <w:lang w:val="it-IT"/>
        </w:rPr>
        <w:t>Condizioni di Licenza Supplementari</w:t>
      </w:r>
    </w:p>
    <w:p w:rsidR="00A6185F" w:rsidRPr="008B5229" w:rsidRDefault="00A6185F" w:rsidP="00C066F9">
      <w:pPr>
        <w:pStyle w:val="PURBody-Indented"/>
        <w:spacing w:after="0"/>
        <w:ind w:left="547"/>
        <w:rPr>
          <w:rFonts w:ascii="Tahoma" w:hAnsi="Tahoma" w:cs="Tahoma"/>
          <w:sz w:val="18"/>
          <w:szCs w:val="18"/>
          <w:lang w:val="it-IT"/>
        </w:rPr>
      </w:pPr>
      <w:r w:rsidRPr="008B5229">
        <w:rPr>
          <w:rFonts w:ascii="Tahoma" w:eastAsia="Calibri" w:hAnsi="Tahoma" w:cs="Tahoma"/>
          <w:sz w:val="18"/>
          <w:szCs w:val="18"/>
          <w:lang w:val="it-IT"/>
        </w:rPr>
        <w:t>L</w:t>
      </w:r>
      <w:r w:rsidR="0073727D">
        <w:rPr>
          <w:rFonts w:ascii="Tahoma" w:eastAsia="Calibri" w:hAnsi="Tahoma" w:cs="Tahoma"/>
          <w:sz w:val="18"/>
          <w:szCs w:val="18"/>
          <w:lang w:val="it-IT"/>
        </w:rPr>
        <w:t>’</w:t>
      </w:r>
      <w:r w:rsidRPr="008B5229">
        <w:rPr>
          <w:rFonts w:ascii="Tahoma" w:eastAsia="Calibri" w:hAnsi="Tahoma" w:cs="Tahoma"/>
          <w:sz w:val="18"/>
          <w:szCs w:val="18"/>
          <w:lang w:val="it-IT"/>
        </w:rPr>
        <w:t xml:space="preserve">utilizzo da parte della società di Componenti e-Commerce, Componenti Point of Sale e aggiornamenti e supplementi simili per Microsoft Dynamics AX 2012 R2 è disciplinato dalle Condizioni di Licenza Supplementari disponibili al seguente indirizzo: </w:t>
      </w:r>
      <w:hyperlink r:id="rId55" w:history="1">
        <w:r w:rsidRPr="008B5229">
          <w:rPr>
            <w:rFonts w:ascii="Tahoma" w:eastAsia="Calibri" w:hAnsi="Tahoma" w:cs="Tahoma"/>
            <w:sz w:val="18"/>
            <w:szCs w:val="18"/>
            <w:lang w:val="it-IT"/>
          </w:rPr>
          <w:t>http://www.microsoft.com/en-us/dynamics/erp-buy-ax-software.aspx</w:t>
        </w:r>
      </w:hyperlink>
      <w:r w:rsidRPr="008B5229">
        <w:rPr>
          <w:rFonts w:ascii="Tahoma" w:eastAsia="Calibri" w:hAnsi="Tahoma" w:cs="Tahoma"/>
          <w:sz w:val="18"/>
          <w:szCs w:val="18"/>
          <w:lang w:val="it-IT"/>
        </w:rPr>
        <w:t>.</w:t>
      </w:r>
    </w:p>
    <w:p w:rsidR="00D47417" w:rsidRPr="00451078" w:rsidRDefault="0099402E" w:rsidP="00D47417">
      <w:pPr>
        <w:pStyle w:val="Heading3"/>
        <w:rPr>
          <w:lang w:val="it-IT"/>
        </w:rPr>
      </w:pPr>
      <w:bookmarkStart w:id="1327" w:name="_68_Microsoft_Dynamics"/>
      <w:bookmarkStart w:id="1328" w:name="_Toc336338328"/>
      <w:bookmarkStart w:id="1329" w:name="_Toc352234919"/>
      <w:bookmarkEnd w:id="1327"/>
      <w:r w:rsidRPr="00451078">
        <w:rPr>
          <w:rFonts w:ascii="Tahoma" w:hAnsi="Tahoma"/>
          <w:color w:val="F66400"/>
          <w:sz w:val="22"/>
          <w:vertAlign w:val="superscript"/>
          <w:lang w:val="it-IT"/>
        </w:rPr>
        <w:t>66</w:t>
      </w:r>
      <w:r w:rsidRPr="00451078">
        <w:rPr>
          <w:rFonts w:ascii="Tahoma" w:hAnsi="Tahoma"/>
          <w:color w:val="F66400"/>
          <w:sz w:val="22"/>
          <w:lang w:val="it-IT"/>
        </w:rPr>
        <w:t xml:space="preserve"> Microsoft Dynamics CRM 2011</w:t>
      </w:r>
      <w:bookmarkEnd w:id="1328"/>
      <w:bookmarkEnd w:id="1329"/>
    </w:p>
    <w:bookmarkEnd w:id="1323"/>
    <w:bookmarkEnd w:id="1324"/>
    <w:p w:rsidR="00D47417" w:rsidRPr="00451078" w:rsidRDefault="00D47417" w:rsidP="00D47417">
      <w:pPr>
        <w:rPr>
          <w:lang w:val="it-IT"/>
        </w:rPr>
      </w:pPr>
    </w:p>
    <w:p w:rsidR="00944BDF" w:rsidRPr="00451078" w:rsidRDefault="00944BDF" w:rsidP="007B699C">
      <w:pPr>
        <w:spacing w:after="60"/>
        <w:ind w:left="720"/>
        <w:rPr>
          <w:lang w:val="it-IT"/>
        </w:rPr>
      </w:pPr>
      <w:r w:rsidRPr="00451078">
        <w:rPr>
          <w:rFonts w:cs="Tahoma"/>
          <w:b/>
          <w:bCs/>
          <w:color w:val="000000"/>
          <w:szCs w:val="20"/>
          <w:lang w:val="it-IT"/>
        </w:rPr>
        <w:t>Percorso di Migrazione di Software Assurance per Microsoft Dynamics CRM 4.0</w:t>
      </w:r>
    </w:p>
    <w:p w:rsidR="00944BDF" w:rsidRPr="00451078" w:rsidRDefault="00944BDF" w:rsidP="00E62BC4">
      <w:pPr>
        <w:ind w:left="720"/>
        <w:rPr>
          <w:lang w:val="it-IT"/>
        </w:rPr>
      </w:pPr>
      <w:r w:rsidRPr="00451078">
        <w:rPr>
          <w:rFonts w:cs="Tahoma"/>
          <w:color w:val="000000"/>
          <w:szCs w:val="20"/>
          <w:lang w:val="it-IT"/>
        </w:rPr>
        <w:t>Le società che hanno acquistato le licenze per Microsoft Dynamics CRM 4.0 e dispongono di una copertura Software Assurance attiva per tali licenze in data 1 aprile 2011 o successiva potranno effettuare l</w:t>
      </w:r>
      <w:r w:rsidR="0073727D">
        <w:rPr>
          <w:rFonts w:cs="Tahoma"/>
          <w:color w:val="000000"/>
          <w:szCs w:val="20"/>
          <w:lang w:val="it-IT"/>
        </w:rPr>
        <w:t>’</w:t>
      </w:r>
      <w:r w:rsidRPr="00451078">
        <w:rPr>
          <w:rFonts w:cs="Tahoma"/>
          <w:color w:val="000000"/>
          <w:szCs w:val="20"/>
          <w:lang w:val="it-IT"/>
        </w:rPr>
        <w:t>aggiornamento di tali licenze, come indicato di seguito:</w:t>
      </w:r>
    </w:p>
    <w:p w:rsidR="00944BDF" w:rsidRPr="00451078" w:rsidRDefault="00944BDF" w:rsidP="00944BDF">
      <w:pPr>
        <w:rPr>
          <w:lang w:val="it-IT"/>
        </w:rPr>
      </w:pPr>
    </w:p>
    <w:tbl>
      <w:tblPr>
        <w:tblW w:w="0" w:type="auto"/>
        <w:tblInd w:w="878" w:type="dxa"/>
        <w:tblBorders>
          <w:top w:val="single" w:sz="4" w:space="0" w:color="000000"/>
          <w:left w:val="single" w:sz="4" w:space="0" w:color="000000"/>
          <w:bottom w:val="single" w:sz="4" w:space="0" w:color="000000"/>
          <w:right w:val="single" w:sz="4" w:space="0" w:color="000000"/>
          <w:insideH w:val="single" w:sz="6" w:space="0" w:color="000000"/>
          <w:insideV w:val="single" w:sz="6" w:space="0" w:color="000000"/>
        </w:tblBorders>
        <w:shd w:val="clear" w:color="auto" w:fill="FFFFFF"/>
        <w:tblLook w:val="04A0" w:firstRow="1" w:lastRow="0" w:firstColumn="1" w:lastColumn="0" w:noHBand="0" w:noVBand="1"/>
      </w:tblPr>
      <w:tblGrid>
        <w:gridCol w:w="4248"/>
        <w:gridCol w:w="4212"/>
      </w:tblGrid>
      <w:tr w:rsidR="00944BDF" w:rsidRPr="003410C7" w:rsidTr="00CA14C9">
        <w:tc>
          <w:tcPr>
            <w:tcW w:w="4248" w:type="dxa"/>
            <w:tcBorders>
              <w:top w:val="single" w:sz="4" w:space="0" w:color="000000"/>
              <w:bottom w:val="single" w:sz="6" w:space="0" w:color="000000"/>
            </w:tcBorders>
            <w:shd w:val="clear" w:color="auto" w:fill="FABF8F"/>
          </w:tcPr>
          <w:p w:rsidR="00944BDF" w:rsidRPr="00451078" w:rsidRDefault="00944BDF" w:rsidP="000C172E">
            <w:pPr>
              <w:jc w:val="center"/>
              <w:rPr>
                <w:rFonts w:cs="Tahoma"/>
                <w:b/>
                <w:color w:val="000000"/>
                <w:szCs w:val="20"/>
                <w:lang w:val="it-IT"/>
              </w:rPr>
            </w:pPr>
            <w:r w:rsidRPr="00451078">
              <w:rPr>
                <w:rFonts w:cs="Tahoma"/>
                <w:b/>
                <w:color w:val="000000"/>
                <w:szCs w:val="20"/>
                <w:lang w:val="it-IT"/>
              </w:rPr>
              <w:t>Licenze Qualificanti per Microsoft Dynamics</w:t>
            </w:r>
            <w:r w:rsidR="000C172E" w:rsidRPr="00451078">
              <w:rPr>
                <w:rFonts w:cs="Tahoma"/>
                <w:b/>
                <w:color w:val="000000"/>
                <w:szCs w:val="20"/>
                <w:lang w:val="it-IT"/>
              </w:rPr>
              <w:t> </w:t>
            </w:r>
            <w:r w:rsidRPr="00451078">
              <w:rPr>
                <w:rFonts w:cs="Tahoma"/>
                <w:b/>
                <w:color w:val="000000"/>
                <w:szCs w:val="20"/>
                <w:lang w:val="it-IT"/>
              </w:rPr>
              <w:t>CRM 4.0</w:t>
            </w:r>
          </w:p>
        </w:tc>
        <w:tc>
          <w:tcPr>
            <w:tcW w:w="4212" w:type="dxa"/>
            <w:tcBorders>
              <w:top w:val="single" w:sz="4" w:space="0" w:color="000000"/>
              <w:bottom w:val="single" w:sz="6" w:space="0" w:color="000000"/>
            </w:tcBorders>
            <w:shd w:val="clear" w:color="auto" w:fill="FABF8F"/>
          </w:tcPr>
          <w:p w:rsidR="00944BDF" w:rsidRPr="003410C7" w:rsidRDefault="00944BDF" w:rsidP="00E6206A">
            <w:pPr>
              <w:jc w:val="center"/>
              <w:rPr>
                <w:rFonts w:cs="Tahoma"/>
                <w:b/>
                <w:color w:val="000000"/>
                <w:szCs w:val="20"/>
              </w:rPr>
            </w:pPr>
            <w:r w:rsidRPr="003410C7">
              <w:rPr>
                <w:rFonts w:cs="Tahoma"/>
                <w:b/>
                <w:color w:val="000000"/>
                <w:szCs w:val="20"/>
              </w:rPr>
              <w:t>Licenze Corrispondenti per CRM 2011</w:t>
            </w:r>
          </w:p>
        </w:tc>
      </w:tr>
      <w:tr w:rsidR="00944BDF" w:rsidRPr="00DC1102" w:rsidTr="00CA14C9">
        <w:tc>
          <w:tcPr>
            <w:tcW w:w="4248" w:type="dxa"/>
            <w:tcBorders>
              <w:top w:val="single" w:sz="6" w:space="0" w:color="000000"/>
            </w:tcBorders>
            <w:shd w:val="clear" w:color="auto" w:fill="FFFFFF"/>
          </w:tcPr>
          <w:p w:rsidR="00944BDF" w:rsidRPr="00451078" w:rsidRDefault="00944BDF" w:rsidP="00E6206A">
            <w:pPr>
              <w:rPr>
                <w:rFonts w:cs="Tahoma"/>
                <w:color w:val="000000"/>
                <w:szCs w:val="20"/>
                <w:lang w:val="it-IT"/>
              </w:rPr>
            </w:pPr>
            <w:r w:rsidRPr="00451078">
              <w:rPr>
                <w:rFonts w:cs="Tahoma"/>
                <w:color w:val="000000"/>
                <w:szCs w:val="20"/>
                <w:lang w:val="it-IT"/>
              </w:rPr>
              <w:t>CAL Aggiuntiva per l</w:t>
            </w:r>
            <w:r w:rsidR="0073727D">
              <w:rPr>
                <w:rFonts w:cs="Tahoma"/>
                <w:color w:val="000000"/>
                <w:szCs w:val="20"/>
                <w:lang w:val="it-IT"/>
              </w:rPr>
              <w:t>’</w:t>
            </w:r>
            <w:r w:rsidRPr="00451078">
              <w:rPr>
                <w:rFonts w:cs="Tahoma"/>
                <w:color w:val="000000"/>
                <w:szCs w:val="20"/>
                <w:lang w:val="it-IT"/>
              </w:rPr>
              <w:t>Utilizzo Completo di Microsoft Dynamics CRM 4.0</w:t>
            </w:r>
          </w:p>
        </w:tc>
        <w:tc>
          <w:tcPr>
            <w:tcW w:w="4212" w:type="dxa"/>
            <w:tcBorders>
              <w:top w:val="single" w:sz="6" w:space="0" w:color="000000"/>
            </w:tcBorders>
            <w:shd w:val="clear" w:color="auto" w:fill="FFFFFF"/>
          </w:tcPr>
          <w:p w:rsidR="00944BDF" w:rsidRPr="00451078" w:rsidRDefault="00944BDF" w:rsidP="00E6206A">
            <w:pPr>
              <w:rPr>
                <w:rFonts w:cs="Tahoma"/>
                <w:color w:val="000000"/>
                <w:szCs w:val="20"/>
                <w:lang w:val="it-IT"/>
              </w:rPr>
            </w:pPr>
            <w:r w:rsidRPr="00451078">
              <w:rPr>
                <w:rFonts w:cs="Tahoma"/>
                <w:color w:val="000000"/>
                <w:szCs w:val="20"/>
                <w:lang w:val="it-IT"/>
              </w:rPr>
              <w:t>1 CAL Aggiuntiva per l</w:t>
            </w:r>
            <w:r w:rsidR="0073727D">
              <w:rPr>
                <w:rFonts w:cs="Tahoma"/>
                <w:color w:val="000000"/>
                <w:szCs w:val="20"/>
                <w:lang w:val="it-IT"/>
              </w:rPr>
              <w:t>’</w:t>
            </w:r>
            <w:r w:rsidRPr="00451078">
              <w:rPr>
                <w:rFonts w:cs="Tahoma"/>
                <w:color w:val="000000"/>
                <w:szCs w:val="20"/>
                <w:lang w:val="it-IT"/>
              </w:rPr>
              <w:t>Utilizzo Completo di Microsoft Dynamics CRM 2011</w:t>
            </w:r>
          </w:p>
        </w:tc>
      </w:tr>
      <w:tr w:rsidR="00944BDF" w:rsidRPr="00DC1102" w:rsidTr="00CA14C9">
        <w:tc>
          <w:tcPr>
            <w:tcW w:w="4248" w:type="dxa"/>
            <w:tcBorders>
              <w:top w:val="single" w:sz="6" w:space="0" w:color="000000"/>
            </w:tcBorders>
            <w:shd w:val="clear" w:color="auto" w:fill="FFFFFF"/>
          </w:tcPr>
          <w:p w:rsidR="00944BDF" w:rsidRPr="00451078" w:rsidRDefault="00944BDF" w:rsidP="00E6206A">
            <w:pPr>
              <w:rPr>
                <w:rFonts w:cs="Tahoma"/>
                <w:color w:val="000000"/>
                <w:szCs w:val="20"/>
                <w:lang w:val="it-IT"/>
              </w:rPr>
            </w:pPr>
            <w:r w:rsidRPr="00451078">
              <w:rPr>
                <w:rFonts w:cs="Tahoma"/>
                <w:color w:val="000000"/>
                <w:szCs w:val="20"/>
                <w:lang w:val="it-IT"/>
              </w:rPr>
              <w:t>CAL Limitata per Microsoft Dynamics CRM 4.0</w:t>
            </w:r>
          </w:p>
        </w:tc>
        <w:tc>
          <w:tcPr>
            <w:tcW w:w="4212" w:type="dxa"/>
            <w:tcBorders>
              <w:top w:val="single" w:sz="6" w:space="0" w:color="000000"/>
            </w:tcBorders>
            <w:shd w:val="clear" w:color="auto" w:fill="FFFFFF"/>
          </w:tcPr>
          <w:p w:rsidR="00944BDF" w:rsidRPr="00451078" w:rsidRDefault="00944BDF" w:rsidP="00E6206A">
            <w:pPr>
              <w:rPr>
                <w:rFonts w:cs="Tahoma"/>
                <w:color w:val="000000"/>
                <w:szCs w:val="20"/>
                <w:lang w:val="it-IT"/>
              </w:rPr>
            </w:pPr>
            <w:r w:rsidRPr="00451078">
              <w:rPr>
                <w:rFonts w:cs="Tahoma"/>
                <w:color w:val="000000"/>
                <w:szCs w:val="20"/>
                <w:lang w:val="it-IT"/>
              </w:rPr>
              <w:t>1 licenza Self Service CAL per Microsoft Dynamics CRM 2011 Employee e 1 licenza CAL Aggiuntiva per l</w:t>
            </w:r>
            <w:r w:rsidR="0073727D">
              <w:rPr>
                <w:rFonts w:cs="Tahoma"/>
                <w:color w:val="000000"/>
                <w:szCs w:val="20"/>
                <w:lang w:val="it-IT"/>
              </w:rPr>
              <w:t>’</w:t>
            </w:r>
            <w:r w:rsidRPr="00451078">
              <w:rPr>
                <w:rFonts w:cs="Tahoma"/>
                <w:color w:val="000000"/>
                <w:szCs w:val="20"/>
                <w:lang w:val="it-IT"/>
              </w:rPr>
              <w:t>Utilizzo Limitato di Microsoft Dynamics CRM 2011</w:t>
            </w:r>
          </w:p>
        </w:tc>
      </w:tr>
      <w:tr w:rsidR="00944BDF" w:rsidRPr="003410C7" w:rsidTr="00CA14C9">
        <w:tc>
          <w:tcPr>
            <w:tcW w:w="4248" w:type="dxa"/>
            <w:tcBorders>
              <w:top w:val="single" w:sz="6" w:space="0" w:color="000000"/>
            </w:tcBorders>
            <w:shd w:val="clear" w:color="auto" w:fill="FFFFFF"/>
          </w:tcPr>
          <w:p w:rsidR="00944BDF" w:rsidRPr="00451078" w:rsidRDefault="00944BDF" w:rsidP="00E6206A">
            <w:pPr>
              <w:rPr>
                <w:lang w:val="it-IT"/>
              </w:rPr>
            </w:pPr>
            <w:r w:rsidRPr="00451078">
              <w:rPr>
                <w:rFonts w:cs="Tahoma"/>
                <w:color w:val="000000"/>
                <w:szCs w:val="20"/>
                <w:lang w:val="it-IT"/>
              </w:rPr>
              <w:t>Licenza External Connector Limitata per Microsoft Dynamics CRM 4.0</w:t>
            </w:r>
          </w:p>
          <w:p w:rsidR="00944BDF" w:rsidRPr="00451078" w:rsidRDefault="00944BDF" w:rsidP="00E6206A">
            <w:pPr>
              <w:rPr>
                <w:rFonts w:cs="Tahoma"/>
                <w:color w:val="000000"/>
                <w:szCs w:val="20"/>
                <w:lang w:val="it-IT"/>
              </w:rPr>
            </w:pPr>
            <w:r w:rsidRPr="00451078">
              <w:rPr>
                <w:rFonts w:cs="Tahoma"/>
                <w:color w:val="000000"/>
                <w:szCs w:val="20"/>
                <w:lang w:val="it-IT"/>
              </w:rPr>
              <w:t xml:space="preserve">(da sola </w:t>
            </w:r>
            <w:r w:rsidRPr="00451078">
              <w:rPr>
                <w:color w:val="000000"/>
                <w:lang w:val="it-IT"/>
              </w:rPr>
              <w:t>o come parte del gruppo di Licenze External Connector Limitate per Microsoft Dynamics CRM 4.0</w:t>
            </w:r>
            <w:r w:rsidR="00082E1C" w:rsidRPr="00451078">
              <w:rPr>
                <w:rFonts w:cs="Tahoma"/>
                <w:color w:val="000000"/>
                <w:szCs w:val="18"/>
                <w:lang w:val="it-IT"/>
              </w:rPr>
              <w:t xml:space="preserve"> </w:t>
            </w:r>
            <w:r w:rsidRPr="00451078">
              <w:rPr>
                <w:color w:val="000000"/>
                <w:lang w:val="it-IT"/>
              </w:rPr>
              <w:t>e</w:t>
            </w:r>
            <w:r w:rsidR="00082E1C" w:rsidRPr="00451078">
              <w:rPr>
                <w:color w:val="000000"/>
                <w:lang w:val="it-IT"/>
              </w:rPr>
              <w:t xml:space="preserve"> </w:t>
            </w:r>
            <w:r w:rsidRPr="00451078">
              <w:rPr>
                <w:color w:val="000000"/>
                <w:lang w:val="it-IT"/>
              </w:rPr>
              <w:t>del gruppo di Licenze External Connector Aggiuntive per l</w:t>
            </w:r>
            <w:r w:rsidR="0073727D">
              <w:rPr>
                <w:color w:val="000000"/>
                <w:lang w:val="it-IT"/>
              </w:rPr>
              <w:t>’</w:t>
            </w:r>
            <w:r w:rsidRPr="00451078">
              <w:rPr>
                <w:color w:val="000000"/>
                <w:lang w:val="it-IT"/>
              </w:rPr>
              <w:t>Utilizzo Completo di Microsoft Dynamics CRM 4.0)</w:t>
            </w:r>
          </w:p>
        </w:tc>
        <w:tc>
          <w:tcPr>
            <w:tcW w:w="4212" w:type="dxa"/>
            <w:tcBorders>
              <w:top w:val="single" w:sz="6" w:space="0" w:color="000000"/>
            </w:tcBorders>
            <w:shd w:val="clear" w:color="auto" w:fill="FFFFFF"/>
          </w:tcPr>
          <w:p w:rsidR="00944BDF" w:rsidRPr="003410C7" w:rsidRDefault="00944BDF" w:rsidP="000C172E">
            <w:pPr>
              <w:rPr>
                <w:rFonts w:cs="Tahoma"/>
                <w:color w:val="000000"/>
                <w:szCs w:val="20"/>
              </w:rPr>
            </w:pPr>
            <w:r w:rsidRPr="003410C7">
              <w:rPr>
                <w:rFonts w:cs="Tahoma"/>
                <w:color w:val="000000"/>
                <w:szCs w:val="20"/>
              </w:rPr>
              <w:t>1 External Connector per Microsoft Dynamics CRM</w:t>
            </w:r>
            <w:r w:rsidR="000C172E">
              <w:rPr>
                <w:rFonts w:cs="Tahoma"/>
                <w:color w:val="000000"/>
                <w:szCs w:val="20"/>
              </w:rPr>
              <w:t> </w:t>
            </w:r>
            <w:r w:rsidRPr="003410C7">
              <w:rPr>
                <w:rFonts w:cs="Tahoma"/>
                <w:color w:val="000000"/>
                <w:szCs w:val="20"/>
              </w:rPr>
              <w:t>2011</w:t>
            </w:r>
            <w:r w:rsidRPr="003410C7">
              <w:rPr>
                <w:rFonts w:cs="Tahoma"/>
                <w:color w:val="000000"/>
                <w:szCs w:val="20"/>
                <w:vertAlign w:val="superscript"/>
              </w:rPr>
              <w:t>1</w:t>
            </w:r>
          </w:p>
        </w:tc>
      </w:tr>
      <w:tr w:rsidR="00944BDF" w:rsidRPr="003410C7" w:rsidTr="00CA14C9">
        <w:tc>
          <w:tcPr>
            <w:tcW w:w="4248" w:type="dxa"/>
            <w:tcBorders>
              <w:top w:val="single" w:sz="6" w:space="0" w:color="000000"/>
            </w:tcBorders>
            <w:shd w:val="clear" w:color="auto" w:fill="FFFFFF"/>
          </w:tcPr>
          <w:p w:rsidR="00944BDF" w:rsidRPr="003410C7" w:rsidRDefault="00944BDF" w:rsidP="00E6206A">
            <w:pPr>
              <w:rPr>
                <w:rFonts w:cs="Tahoma"/>
                <w:color w:val="000000"/>
                <w:szCs w:val="20"/>
              </w:rPr>
            </w:pPr>
            <w:r w:rsidRPr="003410C7">
              <w:rPr>
                <w:rFonts w:cs="Tahoma"/>
                <w:color w:val="000000"/>
                <w:szCs w:val="20"/>
              </w:rPr>
              <w:t>Microsoft Dynamics CRM 4.0 Workgroup Server</w:t>
            </w:r>
          </w:p>
        </w:tc>
        <w:tc>
          <w:tcPr>
            <w:tcW w:w="4212" w:type="dxa"/>
            <w:tcBorders>
              <w:top w:val="single" w:sz="6" w:space="0" w:color="000000"/>
            </w:tcBorders>
            <w:shd w:val="clear" w:color="auto" w:fill="FFFFFF"/>
          </w:tcPr>
          <w:p w:rsidR="00944BDF" w:rsidRPr="003410C7" w:rsidRDefault="00944BDF" w:rsidP="00E6206A">
            <w:pPr>
              <w:rPr>
                <w:rFonts w:cs="Tahoma"/>
                <w:color w:val="000000"/>
                <w:szCs w:val="20"/>
              </w:rPr>
            </w:pPr>
            <w:r w:rsidRPr="003410C7">
              <w:rPr>
                <w:rFonts w:cs="Tahoma"/>
                <w:color w:val="000000"/>
                <w:szCs w:val="20"/>
              </w:rPr>
              <w:t>1 Microsoft Dynamics CRM Workgroup Server 2011</w:t>
            </w:r>
          </w:p>
        </w:tc>
      </w:tr>
      <w:tr w:rsidR="00944BDF" w:rsidRPr="003410C7" w:rsidTr="00CA14C9">
        <w:tc>
          <w:tcPr>
            <w:tcW w:w="4248" w:type="dxa"/>
            <w:shd w:val="clear" w:color="auto" w:fill="FFFFFF"/>
          </w:tcPr>
          <w:p w:rsidR="00944BDF" w:rsidRPr="003410C7" w:rsidRDefault="00944BDF" w:rsidP="00E6206A">
            <w:pPr>
              <w:rPr>
                <w:rFonts w:cs="Tahoma"/>
                <w:color w:val="000000"/>
                <w:szCs w:val="20"/>
              </w:rPr>
            </w:pPr>
            <w:r w:rsidRPr="003410C7">
              <w:rPr>
                <w:rFonts w:cs="Tahoma"/>
                <w:color w:val="000000"/>
                <w:szCs w:val="20"/>
              </w:rPr>
              <w:t>Microsoft Dynamics CRM 4.0 Professional Server</w:t>
            </w:r>
          </w:p>
        </w:tc>
        <w:tc>
          <w:tcPr>
            <w:tcW w:w="4212" w:type="dxa"/>
            <w:shd w:val="clear" w:color="auto" w:fill="FFFFFF"/>
          </w:tcPr>
          <w:p w:rsidR="00944BDF" w:rsidRPr="003410C7" w:rsidRDefault="00944BDF" w:rsidP="00E6206A">
            <w:pPr>
              <w:rPr>
                <w:rFonts w:cs="Tahoma"/>
                <w:color w:val="000000"/>
                <w:szCs w:val="20"/>
              </w:rPr>
            </w:pPr>
            <w:r w:rsidRPr="003410C7">
              <w:rPr>
                <w:rFonts w:cs="Tahoma"/>
                <w:color w:val="000000"/>
                <w:szCs w:val="20"/>
              </w:rPr>
              <w:t>1 Microsoft Dynamics CRM Server 2011</w:t>
            </w:r>
          </w:p>
        </w:tc>
      </w:tr>
      <w:tr w:rsidR="00944BDF" w:rsidRPr="003410C7" w:rsidTr="00CA14C9">
        <w:tc>
          <w:tcPr>
            <w:tcW w:w="4248" w:type="dxa"/>
            <w:shd w:val="clear" w:color="auto" w:fill="FFFFFF"/>
          </w:tcPr>
          <w:p w:rsidR="00944BDF" w:rsidRPr="00451078" w:rsidRDefault="00944BDF" w:rsidP="00E6206A">
            <w:pPr>
              <w:rPr>
                <w:rFonts w:cs="Tahoma"/>
                <w:color w:val="000000"/>
                <w:szCs w:val="20"/>
                <w:lang w:val="fr-FR"/>
              </w:rPr>
            </w:pPr>
            <w:r w:rsidRPr="00451078">
              <w:rPr>
                <w:rFonts w:cs="Tahoma"/>
                <w:color w:val="000000"/>
                <w:szCs w:val="20"/>
                <w:lang w:val="fr-FR"/>
              </w:rPr>
              <w:t>Microsoft Dynamics CRM 4.0 Enterprise Server</w:t>
            </w:r>
          </w:p>
        </w:tc>
        <w:tc>
          <w:tcPr>
            <w:tcW w:w="4212" w:type="dxa"/>
            <w:shd w:val="clear" w:color="auto" w:fill="FFFFFF"/>
          </w:tcPr>
          <w:p w:rsidR="00944BDF" w:rsidRPr="003410C7" w:rsidRDefault="00944BDF" w:rsidP="00E6206A">
            <w:pPr>
              <w:rPr>
                <w:rFonts w:cs="Tahoma"/>
                <w:color w:val="000000"/>
                <w:szCs w:val="20"/>
              </w:rPr>
            </w:pPr>
            <w:r w:rsidRPr="003410C7">
              <w:rPr>
                <w:rFonts w:cs="Tahoma"/>
                <w:color w:val="000000"/>
                <w:szCs w:val="20"/>
              </w:rPr>
              <w:t>1 Microsoft Dynamics CRM Server 2011</w:t>
            </w:r>
          </w:p>
        </w:tc>
      </w:tr>
    </w:tbl>
    <w:p w:rsidR="00944BDF" w:rsidRPr="003410C7" w:rsidRDefault="00944BDF" w:rsidP="00944BDF">
      <w:pPr>
        <w:ind w:left="540"/>
      </w:pPr>
    </w:p>
    <w:p w:rsidR="00944BDF" w:rsidRPr="00451078" w:rsidRDefault="00944BDF" w:rsidP="00E62BC4">
      <w:pPr>
        <w:ind w:left="810"/>
        <w:rPr>
          <w:lang w:val="it-IT"/>
        </w:rPr>
      </w:pPr>
      <w:r w:rsidRPr="00451078">
        <w:rPr>
          <w:rFonts w:cs="Tahoma"/>
          <w:i/>
          <w:color w:val="000000"/>
          <w:sz w:val="16"/>
          <w:szCs w:val="18"/>
          <w:bdr w:val="none" w:sz="0" w:space="0" w:color="auto" w:frame="1"/>
          <w:vertAlign w:val="superscript"/>
          <w:lang w:val="it-IT"/>
        </w:rPr>
        <w:t>1</w:t>
      </w:r>
      <w:r w:rsidRPr="00451078">
        <w:rPr>
          <w:i/>
          <w:color w:val="000000"/>
          <w:sz w:val="16"/>
          <w:bdr w:val="none" w:sz="0" w:space="0" w:color="auto" w:frame="1"/>
          <w:lang w:val="it-IT"/>
        </w:rPr>
        <w:t>La licenza External Connector per CRM 2011 è l</w:t>
      </w:r>
      <w:r w:rsidR="0073727D">
        <w:rPr>
          <w:i/>
          <w:color w:val="000000"/>
          <w:sz w:val="16"/>
          <w:bdr w:val="none" w:sz="0" w:space="0" w:color="auto" w:frame="1"/>
          <w:lang w:val="it-IT"/>
        </w:rPr>
        <w:t>’</w:t>
      </w:r>
      <w:r w:rsidRPr="00451078">
        <w:rPr>
          <w:i/>
          <w:color w:val="000000"/>
          <w:sz w:val="16"/>
          <w:bdr w:val="none" w:sz="0" w:space="0" w:color="auto" w:frame="1"/>
          <w:lang w:val="it-IT"/>
        </w:rPr>
        <w:t xml:space="preserve">unica licenza external connector disponibile in questa versione. </w:t>
      </w:r>
      <w:r w:rsidRPr="00451078">
        <w:rPr>
          <w:i/>
          <w:color w:val="000000"/>
          <w:sz w:val="16"/>
          <w:lang w:val="it-IT"/>
        </w:rPr>
        <w:t>Le società disporranno dei diritti di aggiornamento a una licenza External Connector per CRM 2011 per ogni licenza External Connector Limitata qualificante per CRM 4.0 in loro possesso, sia che la licenza External Connector Limitata per CRM 4.0 sia stata utilizzata da sola per consentire l</w:t>
      </w:r>
      <w:r w:rsidR="0073727D">
        <w:rPr>
          <w:i/>
          <w:color w:val="000000"/>
          <w:sz w:val="16"/>
          <w:lang w:val="it-IT"/>
        </w:rPr>
        <w:t>’</w:t>
      </w:r>
      <w:r w:rsidRPr="00451078">
        <w:rPr>
          <w:i/>
          <w:color w:val="000000"/>
          <w:sz w:val="16"/>
          <w:lang w:val="it-IT"/>
        </w:rPr>
        <w:t>accesso alla funzionalità corrispondente a tale licenza di base sia che sia stata utilizzata insieme a una licenza External Connector Aggiuntiva per l</w:t>
      </w:r>
      <w:r w:rsidR="0073727D">
        <w:rPr>
          <w:i/>
          <w:color w:val="000000"/>
          <w:sz w:val="16"/>
          <w:lang w:val="it-IT"/>
        </w:rPr>
        <w:t>’</w:t>
      </w:r>
      <w:r w:rsidRPr="00451078">
        <w:rPr>
          <w:i/>
          <w:color w:val="000000"/>
          <w:sz w:val="16"/>
          <w:lang w:val="it-IT"/>
        </w:rPr>
        <w:t>Utilizzo Completo di CRM 4.0 per consentire l</w:t>
      </w:r>
      <w:r w:rsidR="0073727D">
        <w:rPr>
          <w:i/>
          <w:color w:val="000000"/>
          <w:sz w:val="16"/>
          <w:lang w:val="it-IT"/>
        </w:rPr>
        <w:t>’</w:t>
      </w:r>
      <w:r w:rsidRPr="00451078">
        <w:rPr>
          <w:i/>
          <w:color w:val="000000"/>
          <w:sz w:val="16"/>
          <w:lang w:val="it-IT"/>
        </w:rPr>
        <w:t>accesso a tutte le Funzionalità di CRM 4.0. Le società disporranno di un numero di licenze External Connector per CRM Server 2011 uguale al numero di licenze External Connector Limitate qualificanti per CRM 4.0 in loro possesso</w:t>
      </w:r>
      <w:r w:rsidRPr="00451078">
        <w:rPr>
          <w:rFonts w:cs="Tahoma"/>
          <w:i/>
          <w:color w:val="000000"/>
          <w:sz w:val="16"/>
          <w:szCs w:val="18"/>
          <w:bdr w:val="none" w:sz="0" w:space="0" w:color="auto" w:frame="1"/>
          <w:lang w:val="it-IT"/>
        </w:rPr>
        <w:t>.</w:t>
      </w:r>
    </w:p>
    <w:p w:rsidR="00944BDF" w:rsidRPr="00451078" w:rsidRDefault="00944BDF" w:rsidP="00E62BC4">
      <w:pPr>
        <w:ind w:left="720"/>
        <w:rPr>
          <w:lang w:val="it-IT"/>
        </w:rPr>
      </w:pPr>
    </w:p>
    <w:p w:rsidR="00944BDF" w:rsidRPr="00451078" w:rsidRDefault="00944BDF" w:rsidP="00E62BC4">
      <w:pPr>
        <w:ind w:left="720"/>
        <w:rPr>
          <w:lang w:val="it-IT"/>
        </w:rPr>
      </w:pPr>
      <w:r w:rsidRPr="00451078">
        <w:rPr>
          <w:rFonts w:cs="Tahoma"/>
          <w:color w:val="000000"/>
          <w:szCs w:val="20"/>
          <w:lang w:val="it-IT"/>
        </w:rPr>
        <w:lastRenderedPageBreak/>
        <w:t>Il diritto di utilizzo del software Microsoft Dynamics CRM 2011 da parte della società è attestato dalla presente nota relativa alle condizioni del prodotto e dalla prova delle licenze corrispondenti e di Software Assurance per Microsoft Dynamics CRM 4.0. Il diritto di utilizzo del software Microsoft Dynamics CRM 2011 da parte di una società, ai sensi della presente concessione per la migrazione, è soggetto alle condizioni del</w:t>
      </w:r>
      <w:r w:rsidR="000C172E" w:rsidRPr="00451078">
        <w:rPr>
          <w:rFonts w:cs="Tahoma"/>
          <w:color w:val="000000"/>
          <w:szCs w:val="20"/>
          <w:lang w:val="it-IT"/>
        </w:rPr>
        <w:t> </w:t>
      </w:r>
      <w:r w:rsidRPr="00451078">
        <w:rPr>
          <w:rFonts w:cs="Tahoma"/>
          <w:color w:val="000000"/>
          <w:szCs w:val="20"/>
          <w:lang w:val="it-IT"/>
        </w:rPr>
        <w:t>relativo contratto multilicenza. Tale</w:t>
      </w:r>
      <w:r w:rsidRPr="00451078">
        <w:rPr>
          <w:rStyle w:val="CommentReference"/>
          <w:sz w:val="18"/>
          <w:szCs w:val="20"/>
          <w:lang w:val="it-IT"/>
        </w:rPr>
        <w:t> </w:t>
      </w:r>
      <w:r w:rsidRPr="00451078">
        <w:rPr>
          <w:rFonts w:cs="Tahoma"/>
          <w:color w:val="000000"/>
          <w:szCs w:val="20"/>
          <w:lang w:val="it-IT"/>
        </w:rPr>
        <w:t>diritto cesserà alla scadenza o alla risoluzione del diritto di utilizzo di</w:t>
      </w:r>
      <w:r w:rsidR="000C172E" w:rsidRPr="00451078">
        <w:rPr>
          <w:rFonts w:cs="Tahoma"/>
          <w:color w:val="000000"/>
          <w:szCs w:val="20"/>
          <w:lang w:val="it-IT"/>
        </w:rPr>
        <w:t> </w:t>
      </w:r>
      <w:r w:rsidRPr="00451078">
        <w:rPr>
          <w:rFonts w:cs="Tahoma"/>
          <w:color w:val="000000"/>
          <w:szCs w:val="20"/>
          <w:lang w:val="it-IT"/>
        </w:rPr>
        <w:t>Microsoft Dynamics CRM 4.0 ai sensi delle corrispondenti licenze qualificanti per Microsoft Dynamics CRM 4.0. Alla scadenza della copertura SA per le licenze Microsoft Dynamics CRM 4.0, la società potrà rinnovare SA per le licenze Microsoft Dynamics CRM 2011 in concessione.</w:t>
      </w:r>
      <w:r w:rsidR="00082E1C" w:rsidRPr="00451078">
        <w:rPr>
          <w:rFonts w:cs="Tahoma"/>
          <w:color w:val="000000"/>
          <w:szCs w:val="20"/>
          <w:lang w:val="it-IT"/>
        </w:rPr>
        <w:t xml:space="preserve"> </w:t>
      </w:r>
    </w:p>
    <w:p w:rsidR="00944BDF" w:rsidRPr="00451078" w:rsidRDefault="00944BDF" w:rsidP="00E62BC4">
      <w:pPr>
        <w:ind w:left="720"/>
        <w:rPr>
          <w:lang w:val="it-IT"/>
        </w:rPr>
      </w:pPr>
    </w:p>
    <w:p w:rsidR="00944BDF" w:rsidRPr="00451078" w:rsidRDefault="00944BDF" w:rsidP="00E62BC4">
      <w:pPr>
        <w:ind w:left="720"/>
        <w:rPr>
          <w:lang w:val="it-IT"/>
        </w:rPr>
      </w:pPr>
      <w:r w:rsidRPr="00451078">
        <w:rPr>
          <w:rFonts w:cs="Tahoma"/>
          <w:color w:val="000000"/>
          <w:lang w:val="it-IT"/>
        </w:rPr>
        <w:t>La presente offerta è valida anche per le società che abbiano ottenuto le rispettive licenze Microsoft Dynamics CRM 4.0 in seguito alla migrazione da un altro prodotto, nella misura in cui le società dispongano di una copertura SA attiva per quelle licenze in data 1 aprile 2011.</w:t>
      </w:r>
    </w:p>
    <w:p w:rsidR="00944BDF" w:rsidRPr="00451078" w:rsidRDefault="00944BDF" w:rsidP="00E62BC4">
      <w:pPr>
        <w:ind w:left="720"/>
        <w:rPr>
          <w:lang w:val="it-IT"/>
        </w:rPr>
      </w:pPr>
    </w:p>
    <w:p w:rsidR="00944BDF" w:rsidRPr="00451078" w:rsidRDefault="00944BDF" w:rsidP="00E62BC4">
      <w:pPr>
        <w:pStyle w:val="EndnoteText"/>
        <w:ind w:left="720"/>
        <w:rPr>
          <w:lang w:val="it-IT"/>
        </w:rPr>
      </w:pPr>
      <w:r w:rsidRPr="00451078">
        <w:rPr>
          <w:rFonts w:ascii="Tahoma" w:hAnsi="Tahoma" w:cs="Tahoma"/>
          <w:bCs/>
          <w:sz w:val="18"/>
          <w:szCs w:val="18"/>
          <w:lang w:val="it-IT"/>
        </w:rPr>
        <w:t>Per le società con un Contratto Enterprise idonee a ricevere le presenti licenze gratuite e i diritti descritti in precedenza, le licenze per Microsoft Dynamics CRM 4.0 acquistate nell</w:t>
      </w:r>
      <w:r w:rsidR="0073727D">
        <w:rPr>
          <w:rFonts w:ascii="Tahoma" w:hAnsi="Tahoma" w:cs="Tahoma"/>
          <w:bCs/>
          <w:sz w:val="18"/>
          <w:szCs w:val="18"/>
          <w:lang w:val="it-IT"/>
        </w:rPr>
        <w:t>’</w:t>
      </w:r>
      <w:r w:rsidRPr="00451078">
        <w:rPr>
          <w:rFonts w:ascii="Tahoma" w:hAnsi="Tahoma" w:cs="Tahoma"/>
          <w:bCs/>
          <w:sz w:val="18"/>
          <w:szCs w:val="18"/>
          <w:lang w:val="it-IT"/>
        </w:rPr>
        <w:t>ambito della procedura annuale di true-up durante il periodo di validità dell</w:t>
      </w:r>
      <w:r w:rsidR="0073727D">
        <w:rPr>
          <w:rFonts w:ascii="Tahoma" w:hAnsi="Tahoma" w:cs="Tahoma"/>
          <w:bCs/>
          <w:sz w:val="18"/>
          <w:szCs w:val="18"/>
          <w:lang w:val="it-IT"/>
        </w:rPr>
        <w:t>’</w:t>
      </w:r>
      <w:r w:rsidRPr="00451078">
        <w:rPr>
          <w:rFonts w:ascii="Tahoma" w:hAnsi="Tahoma" w:cs="Tahoma"/>
          <w:bCs/>
          <w:sz w:val="18"/>
          <w:szCs w:val="18"/>
          <w:lang w:val="it-IT"/>
        </w:rPr>
        <w:t>iscrizione attuale costituiscono, anch</w:t>
      </w:r>
      <w:r w:rsidR="0073727D">
        <w:rPr>
          <w:rFonts w:ascii="Tahoma" w:hAnsi="Tahoma" w:cs="Tahoma"/>
          <w:bCs/>
          <w:sz w:val="18"/>
          <w:szCs w:val="18"/>
          <w:lang w:val="it-IT"/>
        </w:rPr>
        <w:t>’</w:t>
      </w:r>
      <w:r w:rsidRPr="00451078">
        <w:rPr>
          <w:rFonts w:ascii="Tahoma" w:hAnsi="Tahoma" w:cs="Tahoma"/>
          <w:bCs/>
          <w:sz w:val="18"/>
          <w:szCs w:val="18"/>
          <w:lang w:val="it-IT"/>
        </w:rPr>
        <w:t>esse, licenze qualificanti.</w:t>
      </w:r>
    </w:p>
    <w:p w:rsidR="00944BDF" w:rsidRPr="00451078" w:rsidRDefault="00944BDF" w:rsidP="00E62BC4">
      <w:pPr>
        <w:pStyle w:val="EndnoteText"/>
        <w:ind w:left="720"/>
        <w:rPr>
          <w:lang w:val="it-IT"/>
        </w:rPr>
      </w:pPr>
    </w:p>
    <w:p w:rsidR="00944BDF" w:rsidRPr="00451078" w:rsidRDefault="00944BDF" w:rsidP="00E62BC4">
      <w:pPr>
        <w:pStyle w:val="EndnoteText"/>
        <w:ind w:left="720"/>
        <w:rPr>
          <w:highlight w:val="yellow"/>
          <w:lang w:val="it-IT"/>
        </w:rPr>
      </w:pPr>
      <w:r w:rsidRPr="00451078">
        <w:rPr>
          <w:rFonts w:ascii="Tahoma" w:hAnsi="Tahoma" w:cs="Tahoma"/>
          <w:bCs/>
          <w:color w:val="000000"/>
          <w:sz w:val="18"/>
          <w:szCs w:val="18"/>
          <w:lang w:val="it-IT"/>
        </w:rPr>
        <w:t>Per Contratti Enterprise Subscription, Campus e School e Open Value Subscription, gli stessi diritti verranno concessi temporaneamente fino al termine del periodo di validità dell</w:t>
      </w:r>
      <w:r w:rsidR="0073727D">
        <w:rPr>
          <w:rFonts w:ascii="Tahoma" w:hAnsi="Tahoma" w:cs="Tahoma"/>
          <w:bCs/>
          <w:color w:val="000000"/>
          <w:sz w:val="18"/>
          <w:szCs w:val="18"/>
          <w:lang w:val="it-IT"/>
        </w:rPr>
        <w:t>’</w:t>
      </w:r>
      <w:r w:rsidRPr="00451078">
        <w:rPr>
          <w:rFonts w:ascii="Tahoma" w:hAnsi="Tahoma" w:cs="Tahoma"/>
          <w:bCs/>
          <w:color w:val="000000"/>
          <w:sz w:val="18"/>
          <w:szCs w:val="18"/>
          <w:lang w:val="it-IT"/>
        </w:rPr>
        <w:t>iscrizione della licenza, qualora le</w:t>
      </w:r>
      <w:r w:rsidR="000C172E" w:rsidRPr="00451078">
        <w:rPr>
          <w:rFonts w:ascii="Tahoma" w:hAnsi="Tahoma" w:cs="Tahoma"/>
          <w:bCs/>
          <w:color w:val="000000"/>
          <w:sz w:val="18"/>
          <w:szCs w:val="18"/>
          <w:lang w:val="it-IT"/>
        </w:rPr>
        <w:t> </w:t>
      </w:r>
      <w:r w:rsidRPr="00451078">
        <w:rPr>
          <w:rFonts w:ascii="Tahoma" w:hAnsi="Tahoma" w:cs="Tahoma"/>
          <w:bCs/>
          <w:color w:val="000000"/>
          <w:sz w:val="18"/>
          <w:szCs w:val="18"/>
          <w:lang w:val="it-IT"/>
        </w:rPr>
        <w:t>Licenze e la copertura Software Assurance siano valide durante il periodo di concessione e la società mantenga la copertura dell</w:t>
      </w:r>
      <w:r w:rsidR="0073727D">
        <w:rPr>
          <w:rFonts w:ascii="Tahoma" w:hAnsi="Tahoma" w:cs="Tahoma"/>
          <w:bCs/>
          <w:color w:val="000000"/>
          <w:sz w:val="18"/>
          <w:szCs w:val="18"/>
          <w:lang w:val="it-IT"/>
        </w:rPr>
        <w:t>’</w:t>
      </w:r>
      <w:r w:rsidRPr="00451078">
        <w:rPr>
          <w:rFonts w:ascii="Tahoma" w:hAnsi="Tahoma" w:cs="Tahoma"/>
          <w:bCs/>
          <w:color w:val="000000"/>
          <w:sz w:val="18"/>
          <w:szCs w:val="18"/>
          <w:lang w:val="it-IT"/>
        </w:rPr>
        <w:t>abbonamento in via continuativa.</w:t>
      </w:r>
      <w:r w:rsidR="00082E1C" w:rsidRPr="00451078">
        <w:rPr>
          <w:rFonts w:ascii="Tahoma" w:hAnsi="Tahoma" w:cs="Tahoma"/>
          <w:bCs/>
          <w:color w:val="000000"/>
          <w:sz w:val="18"/>
          <w:szCs w:val="18"/>
          <w:lang w:val="it-IT"/>
        </w:rPr>
        <w:t xml:space="preserve"> </w:t>
      </w:r>
      <w:r w:rsidRPr="00451078">
        <w:rPr>
          <w:rFonts w:ascii="Tahoma" w:hAnsi="Tahoma" w:cs="Tahoma"/>
          <w:bCs/>
          <w:color w:val="000000"/>
          <w:sz w:val="18"/>
          <w:szCs w:val="18"/>
          <w:lang w:val="it-IT"/>
        </w:rPr>
        <w:t>Tali diritti diventeranno permanenti soltanto all</w:t>
      </w:r>
      <w:r w:rsidR="0073727D">
        <w:rPr>
          <w:rFonts w:ascii="Tahoma" w:hAnsi="Tahoma" w:cs="Tahoma"/>
          <w:bCs/>
          <w:color w:val="000000"/>
          <w:sz w:val="18"/>
          <w:szCs w:val="18"/>
          <w:lang w:val="it-IT"/>
        </w:rPr>
        <w:t>’</w:t>
      </w:r>
      <w:r w:rsidRPr="00451078">
        <w:rPr>
          <w:rFonts w:ascii="Tahoma" w:hAnsi="Tahoma" w:cs="Tahoma"/>
          <w:bCs/>
          <w:color w:val="000000"/>
          <w:sz w:val="18"/>
          <w:szCs w:val="18"/>
          <w:lang w:val="it-IT"/>
        </w:rPr>
        <w:t>esercizio dell</w:t>
      </w:r>
      <w:r w:rsidR="0073727D">
        <w:rPr>
          <w:rFonts w:ascii="Tahoma" w:hAnsi="Tahoma" w:cs="Tahoma"/>
          <w:bCs/>
          <w:color w:val="000000"/>
          <w:sz w:val="18"/>
          <w:szCs w:val="18"/>
          <w:lang w:val="it-IT"/>
        </w:rPr>
        <w:t>’</w:t>
      </w:r>
      <w:r w:rsidRPr="00451078">
        <w:rPr>
          <w:rFonts w:ascii="Tahoma" w:hAnsi="Tahoma" w:cs="Tahoma"/>
          <w:bCs/>
          <w:color w:val="000000"/>
          <w:sz w:val="18"/>
          <w:szCs w:val="18"/>
          <w:lang w:val="it-IT"/>
        </w:rPr>
        <w:t>opzione buy-out e resteranno soggetti a tutte le condizioni del contratto di licenza della società.</w:t>
      </w:r>
    </w:p>
    <w:p w:rsidR="00944BDF" w:rsidRDefault="00944BDF" w:rsidP="00E62BC4">
      <w:pPr>
        <w:ind w:left="720"/>
        <w:rPr>
          <w:lang w:val="it-IT"/>
        </w:rPr>
      </w:pPr>
    </w:p>
    <w:p w:rsidR="0060383F" w:rsidRPr="00451078" w:rsidRDefault="0060383F" w:rsidP="00E62BC4">
      <w:pPr>
        <w:ind w:left="720"/>
        <w:rPr>
          <w:lang w:val="it-IT"/>
        </w:rPr>
      </w:pPr>
    </w:p>
    <w:p w:rsidR="00944BDF" w:rsidRPr="00451078" w:rsidRDefault="00944BDF" w:rsidP="007B699C">
      <w:pPr>
        <w:spacing w:after="60"/>
        <w:ind w:left="720"/>
        <w:rPr>
          <w:lang w:val="it-IT"/>
        </w:rPr>
      </w:pPr>
      <w:r w:rsidRPr="00451078">
        <w:rPr>
          <w:rFonts w:cs="Tahoma"/>
          <w:b/>
          <w:bCs/>
          <w:szCs w:val="20"/>
          <w:lang w:val="it-IT"/>
        </w:rPr>
        <w:t xml:space="preserve">Diritti di Downgrade per Microsoft Dynamics CRM 2011 </w:t>
      </w:r>
    </w:p>
    <w:p w:rsidR="00944BDF" w:rsidRPr="00451078" w:rsidRDefault="00944BDF" w:rsidP="00E62BC4">
      <w:pPr>
        <w:ind w:left="720"/>
        <w:rPr>
          <w:lang w:val="it-IT"/>
        </w:rPr>
      </w:pPr>
      <w:r w:rsidRPr="00451078">
        <w:rPr>
          <w:rFonts w:cs="Tahoma"/>
          <w:szCs w:val="20"/>
          <w:lang w:val="it-IT"/>
        </w:rPr>
        <w:t>Le società che dispongono di licenze per Microsoft Dynamics CRM 2011 potranno utilizzare Microsoft Dynamics CRM 4.0 anziché Microsoft Dynamics CRM 2011. Le loro licenze per Microsoft Dynamics CRM 2011 potranno essere distribuite come licenze per CRM 4.0 nella modalità che segue:</w:t>
      </w:r>
    </w:p>
    <w:p w:rsidR="00944BDF" w:rsidRPr="002B01D6" w:rsidRDefault="00944BDF" w:rsidP="000C172E">
      <w:pPr>
        <w:ind w:left="720"/>
        <w:rPr>
          <w:rFonts w:cs="Tahoma"/>
          <w:szCs w:val="20"/>
          <w:lang w:val="it-IT"/>
        </w:rPr>
      </w:pPr>
    </w:p>
    <w:tbl>
      <w:tblPr>
        <w:tblW w:w="8280" w:type="dxa"/>
        <w:tblInd w:w="878" w:type="dxa"/>
        <w:tblCellMar>
          <w:left w:w="0" w:type="dxa"/>
          <w:right w:w="0" w:type="dxa"/>
        </w:tblCellMar>
        <w:tblLook w:val="04A0" w:firstRow="1" w:lastRow="0" w:firstColumn="1" w:lastColumn="0" w:noHBand="0" w:noVBand="1"/>
      </w:tblPr>
      <w:tblGrid>
        <w:gridCol w:w="4140"/>
        <w:gridCol w:w="4140"/>
      </w:tblGrid>
      <w:tr w:rsidR="00944BDF" w:rsidRPr="003410C7" w:rsidTr="00CA14C9">
        <w:tc>
          <w:tcPr>
            <w:tcW w:w="4140" w:type="dxa"/>
            <w:tcBorders>
              <w:top w:val="single" w:sz="8" w:space="0" w:color="000000"/>
              <w:left w:val="single" w:sz="8" w:space="0" w:color="000000"/>
              <w:bottom w:val="single" w:sz="8" w:space="0" w:color="000000"/>
              <w:right w:val="single" w:sz="8" w:space="0" w:color="000000"/>
            </w:tcBorders>
            <w:shd w:val="clear" w:color="auto" w:fill="FABF8F"/>
            <w:tcMar>
              <w:top w:w="0" w:type="dxa"/>
              <w:left w:w="108" w:type="dxa"/>
              <w:bottom w:w="0" w:type="dxa"/>
              <w:right w:w="108" w:type="dxa"/>
            </w:tcMar>
          </w:tcPr>
          <w:p w:rsidR="00944BDF" w:rsidRPr="00451078" w:rsidRDefault="00944BDF" w:rsidP="00E6206A">
            <w:pPr>
              <w:ind w:left="360"/>
              <w:rPr>
                <w:rFonts w:cs="Tahoma"/>
                <w:b/>
                <w:bCs/>
                <w:szCs w:val="20"/>
                <w:lang w:val="it-IT"/>
              </w:rPr>
            </w:pPr>
            <w:r w:rsidRPr="00451078">
              <w:rPr>
                <w:rFonts w:cs="Tahoma"/>
                <w:b/>
                <w:bCs/>
                <w:szCs w:val="20"/>
                <w:lang w:val="it-IT"/>
              </w:rPr>
              <w:t>Licenza Qualificante per Microsoft Dynamics CRM 2011</w:t>
            </w:r>
          </w:p>
        </w:tc>
        <w:tc>
          <w:tcPr>
            <w:tcW w:w="4140" w:type="dxa"/>
            <w:tcBorders>
              <w:top w:val="single" w:sz="8" w:space="0" w:color="000000"/>
              <w:left w:val="nil"/>
              <w:bottom w:val="single" w:sz="8" w:space="0" w:color="000000"/>
              <w:right w:val="single" w:sz="8" w:space="0" w:color="auto"/>
            </w:tcBorders>
            <w:shd w:val="clear" w:color="auto" w:fill="FABF8F"/>
          </w:tcPr>
          <w:p w:rsidR="00944BDF" w:rsidRPr="003410C7" w:rsidRDefault="00944BDF" w:rsidP="00E6206A">
            <w:pPr>
              <w:ind w:left="360"/>
              <w:rPr>
                <w:rFonts w:cs="Tahoma"/>
                <w:b/>
                <w:bCs/>
                <w:szCs w:val="20"/>
              </w:rPr>
            </w:pPr>
            <w:r w:rsidRPr="003410C7">
              <w:rPr>
                <w:rFonts w:cs="Tahoma"/>
                <w:b/>
                <w:bCs/>
                <w:szCs w:val="20"/>
              </w:rPr>
              <w:t>Licenze Corrispondenti per CRM 4.0</w:t>
            </w:r>
          </w:p>
        </w:tc>
      </w:tr>
      <w:tr w:rsidR="00944BDF" w:rsidRPr="00DC1102" w:rsidTr="00CA14C9">
        <w:tc>
          <w:tcPr>
            <w:tcW w:w="4140" w:type="dxa"/>
            <w:tcBorders>
              <w:top w:val="nil"/>
              <w:left w:val="single" w:sz="8" w:space="0" w:color="000000"/>
              <w:bottom w:val="single" w:sz="8" w:space="0" w:color="000000"/>
              <w:right w:val="single" w:sz="8" w:space="0" w:color="000000"/>
            </w:tcBorders>
            <w:tcMar>
              <w:top w:w="0" w:type="dxa"/>
              <w:left w:w="108" w:type="dxa"/>
              <w:bottom w:w="0" w:type="dxa"/>
              <w:right w:w="108" w:type="dxa"/>
            </w:tcMar>
            <w:vAlign w:val="center"/>
          </w:tcPr>
          <w:p w:rsidR="00944BDF" w:rsidRPr="00451078" w:rsidRDefault="00944BDF" w:rsidP="000C172E">
            <w:pPr>
              <w:rPr>
                <w:rFonts w:cs="Tahoma"/>
                <w:color w:val="000000"/>
                <w:szCs w:val="20"/>
                <w:lang w:val="it-IT"/>
              </w:rPr>
            </w:pPr>
            <w:r w:rsidRPr="00451078">
              <w:rPr>
                <w:rFonts w:cs="Tahoma"/>
                <w:szCs w:val="20"/>
                <w:lang w:val="it-IT"/>
              </w:rPr>
              <w:t>CAL Aggiuntiva per l</w:t>
            </w:r>
            <w:r w:rsidR="0073727D">
              <w:rPr>
                <w:rFonts w:cs="Tahoma"/>
                <w:szCs w:val="20"/>
                <w:lang w:val="it-IT"/>
              </w:rPr>
              <w:t>’</w:t>
            </w:r>
            <w:r w:rsidRPr="00451078">
              <w:rPr>
                <w:rFonts w:cs="Tahoma"/>
                <w:szCs w:val="20"/>
                <w:lang w:val="it-IT"/>
              </w:rPr>
              <w:t>Utilizzo Completo di</w:t>
            </w:r>
            <w:r w:rsidR="000C172E" w:rsidRPr="00451078">
              <w:rPr>
                <w:rFonts w:cs="Tahoma"/>
                <w:szCs w:val="20"/>
                <w:lang w:val="it-IT"/>
              </w:rPr>
              <w:t> </w:t>
            </w:r>
            <w:r w:rsidRPr="00451078">
              <w:rPr>
                <w:rFonts w:cs="Tahoma"/>
                <w:szCs w:val="20"/>
                <w:lang w:val="it-IT"/>
              </w:rPr>
              <w:t>Microsoft Dynamics CRM 2011</w:t>
            </w:r>
          </w:p>
        </w:tc>
        <w:tc>
          <w:tcPr>
            <w:tcW w:w="4140" w:type="dxa"/>
            <w:tcBorders>
              <w:top w:val="nil"/>
              <w:left w:val="nil"/>
              <w:bottom w:val="single" w:sz="8" w:space="0" w:color="000000"/>
              <w:right w:val="single" w:sz="8" w:space="0" w:color="000000"/>
            </w:tcBorders>
            <w:vAlign w:val="center"/>
          </w:tcPr>
          <w:p w:rsidR="00944BDF" w:rsidRPr="00451078" w:rsidRDefault="00944BDF" w:rsidP="00C3284F">
            <w:pPr>
              <w:pStyle w:val="ColorfulList-Accent11"/>
              <w:spacing w:line="276" w:lineRule="auto"/>
              <w:ind w:left="265" w:right="162" w:hanging="157"/>
              <w:rPr>
                <w:rFonts w:ascii="Tahoma" w:hAnsi="Tahoma" w:cs="Tahoma"/>
                <w:sz w:val="18"/>
                <w:szCs w:val="20"/>
                <w:lang w:val="it-IT"/>
              </w:rPr>
            </w:pPr>
            <w:r w:rsidRPr="00451078">
              <w:rPr>
                <w:rFonts w:ascii="Tahoma" w:hAnsi="Tahoma" w:cs="Tahoma"/>
                <w:sz w:val="18"/>
                <w:szCs w:val="20"/>
                <w:lang w:val="it-IT"/>
              </w:rPr>
              <w:t>1 CAL Aggiuntiva per l</w:t>
            </w:r>
            <w:r w:rsidR="0073727D">
              <w:rPr>
                <w:rFonts w:ascii="Tahoma" w:hAnsi="Tahoma" w:cs="Tahoma"/>
                <w:sz w:val="18"/>
                <w:szCs w:val="20"/>
                <w:lang w:val="it-IT"/>
              </w:rPr>
              <w:t>’</w:t>
            </w:r>
            <w:r w:rsidRPr="00451078">
              <w:rPr>
                <w:rFonts w:ascii="Tahoma" w:hAnsi="Tahoma" w:cs="Tahoma"/>
                <w:sz w:val="18"/>
                <w:szCs w:val="20"/>
                <w:lang w:val="it-IT"/>
              </w:rPr>
              <w:t>Utilizzo Completo di Microsoft Dynamics CRM 4.0</w:t>
            </w:r>
          </w:p>
        </w:tc>
      </w:tr>
      <w:tr w:rsidR="00944BDF" w:rsidRPr="00DC1102" w:rsidTr="00CA14C9">
        <w:tc>
          <w:tcPr>
            <w:tcW w:w="4140" w:type="dxa"/>
            <w:tcBorders>
              <w:top w:val="nil"/>
              <w:left w:val="single" w:sz="8" w:space="0" w:color="000000"/>
              <w:bottom w:val="single" w:sz="8" w:space="0" w:color="000000"/>
              <w:right w:val="single" w:sz="8" w:space="0" w:color="000000"/>
            </w:tcBorders>
            <w:tcMar>
              <w:top w:w="0" w:type="dxa"/>
              <w:left w:w="108" w:type="dxa"/>
              <w:bottom w:w="0" w:type="dxa"/>
              <w:right w:w="108" w:type="dxa"/>
            </w:tcMar>
            <w:vAlign w:val="center"/>
          </w:tcPr>
          <w:p w:rsidR="00944BDF" w:rsidRPr="00451078" w:rsidRDefault="00944BDF" w:rsidP="000C172E">
            <w:pPr>
              <w:rPr>
                <w:rFonts w:cs="Tahoma"/>
                <w:color w:val="000000"/>
                <w:szCs w:val="20"/>
                <w:lang w:val="it-IT"/>
              </w:rPr>
            </w:pPr>
            <w:r w:rsidRPr="00451078">
              <w:rPr>
                <w:rFonts w:cs="Tahoma"/>
                <w:szCs w:val="20"/>
                <w:lang w:val="it-IT"/>
              </w:rPr>
              <w:t>CAL Aggiuntiva per l</w:t>
            </w:r>
            <w:r w:rsidR="0073727D">
              <w:rPr>
                <w:rFonts w:cs="Tahoma"/>
                <w:szCs w:val="20"/>
                <w:lang w:val="it-IT"/>
              </w:rPr>
              <w:t>’</w:t>
            </w:r>
            <w:r w:rsidRPr="00451078">
              <w:rPr>
                <w:rFonts w:cs="Tahoma"/>
                <w:szCs w:val="20"/>
                <w:lang w:val="it-IT"/>
              </w:rPr>
              <w:t>Utilizzo Limitato di</w:t>
            </w:r>
            <w:r w:rsidR="000C172E" w:rsidRPr="00451078">
              <w:rPr>
                <w:rFonts w:cs="Tahoma"/>
                <w:szCs w:val="20"/>
                <w:lang w:val="it-IT"/>
              </w:rPr>
              <w:t> </w:t>
            </w:r>
            <w:r w:rsidRPr="00451078">
              <w:rPr>
                <w:rFonts w:cs="Tahoma"/>
                <w:szCs w:val="20"/>
                <w:lang w:val="it-IT"/>
              </w:rPr>
              <w:t>Microsoft</w:t>
            </w:r>
            <w:r w:rsidR="000C172E" w:rsidRPr="00451078">
              <w:rPr>
                <w:rFonts w:cs="Tahoma"/>
                <w:szCs w:val="20"/>
                <w:lang w:val="it-IT"/>
              </w:rPr>
              <w:t> </w:t>
            </w:r>
            <w:r w:rsidRPr="00451078">
              <w:rPr>
                <w:rFonts w:cs="Tahoma"/>
                <w:szCs w:val="20"/>
                <w:lang w:val="it-IT"/>
              </w:rPr>
              <w:t>Dynamics CRM 2011</w:t>
            </w:r>
          </w:p>
        </w:tc>
        <w:tc>
          <w:tcPr>
            <w:tcW w:w="4140" w:type="dxa"/>
            <w:tcBorders>
              <w:top w:val="nil"/>
              <w:left w:val="nil"/>
              <w:bottom w:val="single" w:sz="8" w:space="0" w:color="000000"/>
              <w:right w:val="single" w:sz="8" w:space="0" w:color="000000"/>
            </w:tcBorders>
            <w:vAlign w:val="center"/>
          </w:tcPr>
          <w:p w:rsidR="00944BDF" w:rsidRPr="00451078" w:rsidRDefault="00944BDF" w:rsidP="00C3284F">
            <w:pPr>
              <w:pStyle w:val="ColorfulList-Accent11"/>
              <w:spacing w:line="276" w:lineRule="auto"/>
              <w:ind w:left="265" w:right="162" w:hanging="157"/>
              <w:rPr>
                <w:rFonts w:ascii="Tahoma" w:hAnsi="Tahoma" w:cs="Tahoma"/>
                <w:sz w:val="18"/>
                <w:szCs w:val="20"/>
                <w:lang w:val="it-IT"/>
              </w:rPr>
            </w:pPr>
            <w:r w:rsidRPr="00451078">
              <w:rPr>
                <w:rFonts w:ascii="Tahoma" w:hAnsi="Tahoma" w:cs="Tahoma"/>
                <w:sz w:val="18"/>
                <w:szCs w:val="20"/>
                <w:lang w:val="it-IT"/>
              </w:rPr>
              <w:t>1 CAL Limitata per Microsoft Dynamics CRM 4.0</w:t>
            </w:r>
          </w:p>
        </w:tc>
      </w:tr>
      <w:tr w:rsidR="00944BDF" w:rsidRPr="00DC1102" w:rsidTr="00CA14C9">
        <w:tc>
          <w:tcPr>
            <w:tcW w:w="4140" w:type="dxa"/>
            <w:tcBorders>
              <w:top w:val="nil"/>
              <w:left w:val="single" w:sz="8" w:space="0" w:color="000000"/>
              <w:bottom w:val="single" w:sz="8" w:space="0" w:color="000000"/>
              <w:right w:val="single" w:sz="8" w:space="0" w:color="000000"/>
            </w:tcBorders>
            <w:tcMar>
              <w:top w:w="0" w:type="dxa"/>
              <w:left w:w="108" w:type="dxa"/>
              <w:bottom w:w="0" w:type="dxa"/>
              <w:right w:w="108" w:type="dxa"/>
            </w:tcMar>
            <w:vAlign w:val="center"/>
          </w:tcPr>
          <w:p w:rsidR="00944BDF" w:rsidRPr="003410C7" w:rsidRDefault="00944BDF" w:rsidP="00E6206A">
            <w:pPr>
              <w:rPr>
                <w:rFonts w:cs="Tahoma"/>
                <w:szCs w:val="20"/>
              </w:rPr>
            </w:pPr>
            <w:r w:rsidRPr="003410C7">
              <w:rPr>
                <w:rFonts w:cs="Tahoma"/>
                <w:szCs w:val="20"/>
              </w:rPr>
              <w:t>Microsoft Dynamics CRM 2011 External Connector</w:t>
            </w:r>
          </w:p>
        </w:tc>
        <w:tc>
          <w:tcPr>
            <w:tcW w:w="4140" w:type="dxa"/>
            <w:tcBorders>
              <w:top w:val="nil"/>
              <w:left w:val="nil"/>
              <w:bottom w:val="single" w:sz="8" w:space="0" w:color="000000"/>
              <w:right w:val="single" w:sz="8" w:space="0" w:color="000000"/>
            </w:tcBorders>
            <w:vAlign w:val="center"/>
          </w:tcPr>
          <w:p w:rsidR="00944BDF" w:rsidRPr="00C3284F" w:rsidRDefault="00944BDF" w:rsidP="00C3284F">
            <w:pPr>
              <w:pStyle w:val="ColorfulList-Accent11"/>
              <w:spacing w:line="276" w:lineRule="auto"/>
              <w:ind w:left="265" w:right="162" w:hanging="157"/>
              <w:rPr>
                <w:rFonts w:ascii="Tahoma" w:hAnsi="Tahoma" w:cs="Tahoma"/>
                <w:sz w:val="18"/>
                <w:szCs w:val="20"/>
                <w:lang w:val="it-IT"/>
              </w:rPr>
            </w:pPr>
            <w:r w:rsidRPr="00451078">
              <w:rPr>
                <w:rFonts w:ascii="Tahoma" w:hAnsi="Tahoma" w:cs="Tahoma"/>
                <w:sz w:val="18"/>
                <w:szCs w:val="20"/>
                <w:lang w:val="it-IT"/>
              </w:rPr>
              <w:t>1 Licenza External Connector Limitata per Microsoft Dynamics CRM 4.0</w:t>
            </w:r>
          </w:p>
          <w:p w:rsidR="00944BDF" w:rsidRPr="00C3284F" w:rsidRDefault="00944BDF" w:rsidP="00E6206A">
            <w:pPr>
              <w:pStyle w:val="ColorfulList-Accent11"/>
              <w:spacing w:line="276" w:lineRule="auto"/>
              <w:ind w:left="288" w:right="162" w:hanging="180"/>
              <w:jc w:val="center"/>
              <w:rPr>
                <w:rFonts w:ascii="Tahoma" w:hAnsi="Tahoma" w:cs="Tahoma"/>
                <w:sz w:val="18"/>
                <w:szCs w:val="20"/>
                <w:lang w:val="it-IT"/>
              </w:rPr>
            </w:pPr>
            <w:r w:rsidRPr="00451078">
              <w:rPr>
                <w:rFonts w:ascii="Tahoma" w:hAnsi="Tahoma" w:cs="Tahoma"/>
                <w:sz w:val="18"/>
                <w:szCs w:val="20"/>
                <w:lang w:val="it-IT"/>
              </w:rPr>
              <w:t>E</w:t>
            </w:r>
          </w:p>
          <w:p w:rsidR="00944BDF" w:rsidRPr="00451078" w:rsidRDefault="00944BDF" w:rsidP="00C3284F">
            <w:pPr>
              <w:pStyle w:val="ColorfulList-Accent11"/>
              <w:spacing w:line="276" w:lineRule="auto"/>
              <w:ind w:left="265" w:right="162" w:hanging="157"/>
              <w:rPr>
                <w:rFonts w:ascii="Tahoma" w:hAnsi="Tahoma" w:cs="Tahoma"/>
                <w:sz w:val="18"/>
                <w:szCs w:val="20"/>
                <w:lang w:val="it-IT"/>
              </w:rPr>
            </w:pPr>
            <w:r w:rsidRPr="00451078">
              <w:rPr>
                <w:rFonts w:ascii="Tahoma" w:hAnsi="Tahoma" w:cs="Tahoma"/>
                <w:sz w:val="18"/>
                <w:szCs w:val="20"/>
                <w:lang w:val="it-IT"/>
              </w:rPr>
              <w:t>1 Licenza External Connector Aggiuntiva per l</w:t>
            </w:r>
            <w:r w:rsidR="0073727D">
              <w:rPr>
                <w:rFonts w:ascii="Tahoma" w:hAnsi="Tahoma" w:cs="Tahoma"/>
                <w:sz w:val="18"/>
                <w:szCs w:val="20"/>
                <w:lang w:val="it-IT"/>
              </w:rPr>
              <w:t>’</w:t>
            </w:r>
            <w:r w:rsidRPr="00451078">
              <w:rPr>
                <w:rFonts w:ascii="Tahoma" w:hAnsi="Tahoma" w:cs="Tahoma"/>
                <w:sz w:val="18"/>
                <w:szCs w:val="20"/>
                <w:lang w:val="it-IT"/>
              </w:rPr>
              <w:t>Utilizzo Completo di Microsoft Dynamics CRM</w:t>
            </w:r>
            <w:r w:rsidR="000C172E" w:rsidRPr="00451078">
              <w:rPr>
                <w:rFonts w:ascii="Tahoma" w:hAnsi="Tahoma" w:cs="Tahoma"/>
                <w:sz w:val="18"/>
                <w:szCs w:val="20"/>
                <w:lang w:val="it-IT"/>
              </w:rPr>
              <w:t> </w:t>
            </w:r>
            <w:r w:rsidRPr="00451078">
              <w:rPr>
                <w:rFonts w:ascii="Tahoma" w:hAnsi="Tahoma" w:cs="Tahoma"/>
                <w:sz w:val="18"/>
                <w:szCs w:val="20"/>
                <w:lang w:val="it-IT"/>
              </w:rPr>
              <w:t>4.0</w:t>
            </w:r>
          </w:p>
        </w:tc>
      </w:tr>
      <w:tr w:rsidR="00944BDF" w:rsidRPr="003410C7" w:rsidTr="00CA14C9">
        <w:tc>
          <w:tcPr>
            <w:tcW w:w="4140" w:type="dxa"/>
            <w:tcBorders>
              <w:top w:val="nil"/>
              <w:left w:val="single" w:sz="8" w:space="0" w:color="000000"/>
              <w:bottom w:val="single" w:sz="8" w:space="0" w:color="000000"/>
              <w:right w:val="single" w:sz="8" w:space="0" w:color="000000"/>
            </w:tcBorders>
            <w:tcMar>
              <w:top w:w="0" w:type="dxa"/>
              <w:left w:w="108" w:type="dxa"/>
              <w:bottom w:w="0" w:type="dxa"/>
              <w:right w:w="108" w:type="dxa"/>
            </w:tcMar>
          </w:tcPr>
          <w:p w:rsidR="00944BDF" w:rsidRPr="003410C7" w:rsidRDefault="00944BDF" w:rsidP="00E6206A">
            <w:pPr>
              <w:rPr>
                <w:rFonts w:cs="Tahoma"/>
                <w:color w:val="000000"/>
                <w:szCs w:val="20"/>
              </w:rPr>
            </w:pPr>
            <w:r w:rsidRPr="003410C7">
              <w:rPr>
                <w:rFonts w:cs="Tahoma"/>
                <w:color w:val="000000"/>
                <w:szCs w:val="20"/>
              </w:rPr>
              <w:t>Microsoft Dynamics CRM Server 2011</w:t>
            </w:r>
          </w:p>
        </w:tc>
        <w:tc>
          <w:tcPr>
            <w:tcW w:w="4140" w:type="dxa"/>
            <w:tcBorders>
              <w:top w:val="nil"/>
              <w:left w:val="nil"/>
              <w:bottom w:val="single" w:sz="8" w:space="0" w:color="000000"/>
              <w:right w:val="single" w:sz="8" w:space="0" w:color="000000"/>
            </w:tcBorders>
          </w:tcPr>
          <w:p w:rsidR="00944BDF" w:rsidRPr="003410C7" w:rsidRDefault="00944BDF" w:rsidP="00C3284F">
            <w:pPr>
              <w:pStyle w:val="ColorfulList-Accent11"/>
              <w:spacing w:line="276" w:lineRule="auto"/>
              <w:ind w:left="265" w:right="162" w:hanging="157"/>
            </w:pPr>
            <w:r w:rsidRPr="003410C7">
              <w:rPr>
                <w:rFonts w:ascii="Tahoma" w:hAnsi="Tahoma" w:cs="Tahoma"/>
                <w:sz w:val="18"/>
                <w:szCs w:val="20"/>
              </w:rPr>
              <w:t xml:space="preserve">1 Microsoft Dynamics CRM 4.0 Professional Server </w:t>
            </w:r>
          </w:p>
          <w:p w:rsidR="00944BDF" w:rsidRPr="003410C7" w:rsidRDefault="00944BDF" w:rsidP="00E6206A">
            <w:pPr>
              <w:pStyle w:val="ColorfulList-Accent11"/>
              <w:spacing w:line="276" w:lineRule="auto"/>
              <w:ind w:left="288" w:right="162" w:hanging="180"/>
              <w:jc w:val="center"/>
            </w:pPr>
            <w:r w:rsidRPr="003410C7">
              <w:rPr>
                <w:rFonts w:ascii="Tahoma" w:hAnsi="Tahoma" w:cs="Tahoma"/>
                <w:sz w:val="18"/>
                <w:szCs w:val="20"/>
              </w:rPr>
              <w:t>O</w:t>
            </w:r>
          </w:p>
          <w:p w:rsidR="00944BDF" w:rsidRPr="003410C7" w:rsidRDefault="00944BDF" w:rsidP="00287758">
            <w:pPr>
              <w:pStyle w:val="ColorfulList-Accent11"/>
              <w:spacing w:line="276" w:lineRule="auto"/>
              <w:ind w:left="288" w:right="162" w:hanging="180"/>
              <w:rPr>
                <w:rFonts w:ascii="Tahoma" w:hAnsi="Tahoma" w:cs="Tahoma"/>
                <w:sz w:val="18"/>
                <w:szCs w:val="20"/>
              </w:rPr>
            </w:pPr>
            <w:r w:rsidRPr="003410C7">
              <w:rPr>
                <w:rFonts w:ascii="Tahoma" w:hAnsi="Tahoma" w:cs="Tahoma"/>
                <w:sz w:val="18"/>
                <w:szCs w:val="20"/>
              </w:rPr>
              <w:t xml:space="preserve">1 Microsoft Dynamics CRM 4.0 Enterprise Server </w:t>
            </w:r>
          </w:p>
        </w:tc>
      </w:tr>
      <w:tr w:rsidR="00944BDF" w:rsidRPr="003410C7" w:rsidTr="00CA14C9">
        <w:trPr>
          <w:trHeight w:val="340"/>
        </w:trPr>
        <w:tc>
          <w:tcPr>
            <w:tcW w:w="4140" w:type="dxa"/>
            <w:tcBorders>
              <w:top w:val="nil"/>
              <w:left w:val="single" w:sz="8" w:space="0" w:color="000000"/>
              <w:bottom w:val="single" w:sz="8" w:space="0" w:color="000000"/>
              <w:right w:val="single" w:sz="8" w:space="0" w:color="000000"/>
            </w:tcBorders>
            <w:tcMar>
              <w:top w:w="0" w:type="dxa"/>
              <w:left w:w="108" w:type="dxa"/>
              <w:bottom w:w="0" w:type="dxa"/>
              <w:right w:w="108" w:type="dxa"/>
            </w:tcMar>
          </w:tcPr>
          <w:p w:rsidR="00944BDF" w:rsidRPr="003410C7" w:rsidRDefault="00944BDF" w:rsidP="00E6206A">
            <w:pPr>
              <w:rPr>
                <w:rFonts w:cs="Tahoma"/>
                <w:color w:val="000000"/>
                <w:szCs w:val="20"/>
              </w:rPr>
            </w:pPr>
            <w:r w:rsidRPr="003410C7">
              <w:rPr>
                <w:rFonts w:cs="Tahoma"/>
                <w:color w:val="000000"/>
                <w:szCs w:val="20"/>
              </w:rPr>
              <w:t>Microsoft Dynamics CRM Workgroup Server 2011</w:t>
            </w:r>
          </w:p>
        </w:tc>
        <w:tc>
          <w:tcPr>
            <w:tcW w:w="4140" w:type="dxa"/>
            <w:tcBorders>
              <w:top w:val="nil"/>
              <w:left w:val="nil"/>
              <w:bottom w:val="single" w:sz="8" w:space="0" w:color="000000"/>
              <w:right w:val="single" w:sz="8" w:space="0" w:color="000000"/>
            </w:tcBorders>
          </w:tcPr>
          <w:p w:rsidR="00944BDF" w:rsidRPr="003410C7" w:rsidRDefault="00944BDF" w:rsidP="00C3284F">
            <w:pPr>
              <w:pStyle w:val="ColorfulList-Accent11"/>
              <w:spacing w:line="276" w:lineRule="auto"/>
              <w:ind w:left="265" w:right="162" w:hanging="157"/>
              <w:rPr>
                <w:rFonts w:ascii="Tahoma" w:hAnsi="Tahoma" w:cs="Tahoma"/>
                <w:sz w:val="18"/>
                <w:szCs w:val="20"/>
              </w:rPr>
            </w:pPr>
            <w:r w:rsidRPr="003410C7">
              <w:rPr>
                <w:rFonts w:ascii="Tahoma" w:hAnsi="Tahoma" w:cs="Tahoma"/>
                <w:sz w:val="18"/>
                <w:szCs w:val="20"/>
              </w:rPr>
              <w:t xml:space="preserve">1 Microsoft Dynamics CRM 4.0 Workgroup Server </w:t>
            </w:r>
          </w:p>
        </w:tc>
      </w:tr>
    </w:tbl>
    <w:p w:rsidR="00944BDF" w:rsidRPr="003410C7" w:rsidRDefault="00944BDF" w:rsidP="00944BDF"/>
    <w:p w:rsidR="00BF7FDE" w:rsidRPr="00451078" w:rsidRDefault="00944BDF" w:rsidP="00586FCE">
      <w:pPr>
        <w:ind w:left="720"/>
        <w:rPr>
          <w:lang w:val="it-IT"/>
        </w:rPr>
      </w:pPr>
      <w:r w:rsidRPr="00451078">
        <w:rPr>
          <w:rFonts w:cs="Tahoma"/>
          <w:szCs w:val="20"/>
          <w:lang w:val="it-IT"/>
        </w:rPr>
        <w:t>Il diritto della società di utilizzare Microsoft Dynamics CRM 4.0 è soggetto alle condizioni di un contratto di</w:t>
      </w:r>
      <w:r w:rsidR="000C172E" w:rsidRPr="00451078">
        <w:rPr>
          <w:rFonts w:cs="Tahoma"/>
          <w:szCs w:val="20"/>
          <w:lang w:val="it-IT"/>
        </w:rPr>
        <w:t> </w:t>
      </w:r>
      <w:r w:rsidRPr="00451078">
        <w:rPr>
          <w:rFonts w:cs="Tahoma"/>
          <w:szCs w:val="20"/>
          <w:lang w:val="it-IT"/>
        </w:rPr>
        <w:t xml:space="preserve">licenza della società, ai diritti di utilizzo del prodotto relativi a Microsoft Dynamics CRM 4.0 e alle presenti condizioni. Tale diritto cesserà alla scadenza o alla risoluzione del diritto di utilizzo di Microsoft Dynamics CRM 2011 ai sensi delle relative licenze qualificanti per Microsoft Dynamics CRM 2011. </w:t>
      </w:r>
    </w:p>
    <w:p w:rsidR="00944BDF" w:rsidRPr="00451078" w:rsidRDefault="00944BDF" w:rsidP="00944BDF">
      <w:pPr>
        <w:ind w:left="540"/>
        <w:rPr>
          <w:lang w:val="it-IT"/>
        </w:rPr>
      </w:pPr>
    </w:p>
    <w:p w:rsidR="000C172E" w:rsidRPr="00451078" w:rsidRDefault="000C172E" w:rsidP="00944BDF">
      <w:pPr>
        <w:ind w:left="540"/>
        <w:rPr>
          <w:lang w:val="it-IT"/>
        </w:rPr>
      </w:pPr>
    </w:p>
    <w:p w:rsidR="000C172E" w:rsidRPr="00451078" w:rsidRDefault="000C172E" w:rsidP="00944BDF">
      <w:pPr>
        <w:ind w:left="540"/>
        <w:rPr>
          <w:lang w:val="it-IT"/>
        </w:rPr>
      </w:pPr>
    </w:p>
    <w:p w:rsidR="000C172E" w:rsidRPr="00451078" w:rsidRDefault="000C172E" w:rsidP="00944BDF">
      <w:pPr>
        <w:ind w:left="540"/>
        <w:rPr>
          <w:lang w:val="it-IT"/>
        </w:rPr>
      </w:pPr>
    </w:p>
    <w:p w:rsidR="00944BDF" w:rsidRPr="00451078" w:rsidRDefault="00944BDF" w:rsidP="007B699C">
      <w:pPr>
        <w:spacing w:after="60"/>
        <w:ind w:left="720"/>
        <w:rPr>
          <w:lang w:val="it-IT"/>
        </w:rPr>
      </w:pPr>
      <w:r w:rsidRPr="00451078">
        <w:rPr>
          <w:rFonts w:cs="Tahoma"/>
          <w:b/>
          <w:bCs/>
          <w:color w:val="000000"/>
          <w:szCs w:val="20"/>
          <w:lang w:val="it-IT"/>
        </w:rPr>
        <w:lastRenderedPageBreak/>
        <w:t>Opzioni delle Licenze CAL ed External Connector</w:t>
      </w:r>
    </w:p>
    <w:p w:rsidR="00944BDF" w:rsidRPr="00451078" w:rsidRDefault="00944BDF" w:rsidP="00E62BC4">
      <w:pPr>
        <w:ind w:left="720"/>
        <w:rPr>
          <w:lang w:val="it-IT"/>
        </w:rPr>
      </w:pPr>
      <w:r w:rsidRPr="00451078">
        <w:rPr>
          <w:rFonts w:cs="Tahoma"/>
          <w:color w:val="000000"/>
          <w:szCs w:val="20"/>
          <w:lang w:val="it-IT"/>
        </w:rPr>
        <w:t>Gli utilizzi autorizzati ai sensi delle diverse licenze CAL per Microsoft Dynamics CRM 2011 sono delineati nella</w:t>
      </w:r>
      <w:r w:rsidR="000C172E" w:rsidRPr="00451078">
        <w:rPr>
          <w:rFonts w:cs="Tahoma"/>
          <w:color w:val="000000"/>
          <w:szCs w:val="20"/>
          <w:lang w:val="it-IT"/>
        </w:rPr>
        <w:t> </w:t>
      </w:r>
      <w:r w:rsidRPr="00451078">
        <w:rPr>
          <w:rFonts w:cs="Tahoma"/>
          <w:color w:val="000000"/>
          <w:szCs w:val="20"/>
          <w:lang w:val="it-IT"/>
        </w:rPr>
        <w:t>tabella che segue.</w:t>
      </w:r>
      <w:r w:rsidR="00082E1C" w:rsidRPr="00451078">
        <w:rPr>
          <w:rFonts w:cs="Tahoma"/>
          <w:color w:val="000000"/>
          <w:szCs w:val="20"/>
          <w:lang w:val="it-IT"/>
        </w:rPr>
        <w:t xml:space="preserve"> </w:t>
      </w:r>
      <w:r w:rsidRPr="00451078">
        <w:rPr>
          <w:rFonts w:cs="Tahoma"/>
          <w:color w:val="000000"/>
          <w:szCs w:val="20"/>
          <w:lang w:val="it-IT"/>
        </w:rPr>
        <w:t>La CAL Limitata e la CAL Completa sono offerte che includono più licenze.</w:t>
      </w:r>
    </w:p>
    <w:p w:rsidR="0033725C" w:rsidRPr="00451078" w:rsidRDefault="0033725C" w:rsidP="0033725C">
      <w:pPr>
        <w:pStyle w:val="ListParagraph"/>
        <w:ind w:left="0"/>
        <w:rPr>
          <w:lang w:val="it-IT"/>
        </w:rPr>
      </w:pPr>
    </w:p>
    <w:tbl>
      <w:tblPr>
        <w:tblW w:w="8878" w:type="dxa"/>
        <w:tblInd w:w="828" w:type="dxa"/>
        <w:tblLayout w:type="fixed"/>
        <w:tblCellMar>
          <w:left w:w="58" w:type="dxa"/>
          <w:right w:w="58" w:type="dxa"/>
        </w:tblCellMar>
        <w:tblLook w:val="04A0" w:firstRow="1" w:lastRow="0" w:firstColumn="1" w:lastColumn="0" w:noHBand="0" w:noVBand="1"/>
      </w:tblPr>
      <w:tblGrid>
        <w:gridCol w:w="2020"/>
        <w:gridCol w:w="972"/>
        <w:gridCol w:w="1053"/>
        <w:gridCol w:w="1152"/>
        <w:gridCol w:w="1125"/>
        <w:gridCol w:w="1305"/>
        <w:gridCol w:w="1251"/>
      </w:tblGrid>
      <w:tr w:rsidR="000C172E" w:rsidRPr="003410C7" w:rsidTr="000C172E">
        <w:trPr>
          <w:trHeight w:val="226"/>
          <w:tblHeader/>
        </w:trPr>
        <w:tc>
          <w:tcPr>
            <w:tcW w:w="2020" w:type="dxa"/>
            <w:tcBorders>
              <w:top w:val="single" w:sz="4" w:space="0" w:color="auto"/>
              <w:left w:val="single" w:sz="4" w:space="0" w:color="auto"/>
              <w:bottom w:val="single" w:sz="4" w:space="0" w:color="auto"/>
              <w:right w:val="single" w:sz="4" w:space="0" w:color="auto"/>
            </w:tcBorders>
            <w:shd w:val="clear" w:color="auto" w:fill="FABF8F"/>
          </w:tcPr>
          <w:p w:rsidR="0033725C" w:rsidRPr="003410C7" w:rsidRDefault="0033725C" w:rsidP="00A73DBD">
            <w:pPr>
              <w:pStyle w:val="TableHeading"/>
              <w:rPr>
                <w:rFonts w:ascii="Tahoma" w:hAnsi="Tahoma" w:cs="Tahoma"/>
                <w:color w:val="000000"/>
                <w:sz w:val="18"/>
                <w:szCs w:val="18"/>
              </w:rPr>
            </w:pPr>
            <w:r w:rsidRPr="003410C7">
              <w:rPr>
                <w:rFonts w:ascii="Tahoma" w:hAnsi="Tahoma" w:cs="Tahoma"/>
                <w:color w:val="000000"/>
                <w:sz w:val="18"/>
                <w:szCs w:val="18"/>
              </w:rPr>
              <w:t>Diritti sull</w:t>
            </w:r>
            <w:r w:rsidR="0073727D">
              <w:rPr>
                <w:rFonts w:ascii="Tahoma" w:hAnsi="Tahoma" w:cs="Tahoma"/>
                <w:color w:val="000000"/>
                <w:sz w:val="18"/>
                <w:szCs w:val="18"/>
              </w:rPr>
              <w:t>’</w:t>
            </w:r>
            <w:r w:rsidRPr="003410C7">
              <w:rPr>
                <w:rFonts w:ascii="Tahoma" w:hAnsi="Tahoma" w:cs="Tahoma"/>
                <w:color w:val="000000"/>
                <w:sz w:val="18"/>
                <w:szCs w:val="18"/>
              </w:rPr>
              <w:t>Utilizzo</w:t>
            </w:r>
          </w:p>
        </w:tc>
        <w:tc>
          <w:tcPr>
            <w:tcW w:w="972" w:type="dxa"/>
            <w:tcBorders>
              <w:top w:val="single" w:sz="4" w:space="0" w:color="auto"/>
              <w:left w:val="single" w:sz="4" w:space="0" w:color="auto"/>
              <w:bottom w:val="single" w:sz="4" w:space="0" w:color="auto"/>
              <w:right w:val="single" w:sz="4" w:space="0" w:color="auto"/>
            </w:tcBorders>
            <w:shd w:val="clear" w:color="auto" w:fill="FABF8F"/>
          </w:tcPr>
          <w:p w:rsidR="0033725C" w:rsidRPr="003410C7" w:rsidRDefault="0033725C" w:rsidP="00A73DBD">
            <w:pPr>
              <w:pStyle w:val="TableHeading"/>
              <w:rPr>
                <w:rFonts w:ascii="Tahoma" w:hAnsi="Tahoma" w:cs="Tahoma"/>
                <w:color w:val="000000"/>
                <w:sz w:val="18"/>
                <w:szCs w:val="18"/>
              </w:rPr>
            </w:pPr>
            <w:r w:rsidRPr="003410C7">
              <w:rPr>
                <w:rFonts w:ascii="Tahoma" w:hAnsi="Tahoma" w:cs="Tahoma"/>
                <w:color w:val="000000"/>
                <w:sz w:val="18"/>
                <w:szCs w:val="18"/>
              </w:rPr>
              <w:t>CAL per ESS</w:t>
            </w:r>
          </w:p>
        </w:tc>
        <w:tc>
          <w:tcPr>
            <w:tcW w:w="1053" w:type="dxa"/>
            <w:tcBorders>
              <w:top w:val="single" w:sz="4" w:space="0" w:color="auto"/>
              <w:left w:val="single" w:sz="4" w:space="0" w:color="auto"/>
              <w:bottom w:val="single" w:sz="4" w:space="0" w:color="auto"/>
              <w:right w:val="single" w:sz="4" w:space="0" w:color="auto"/>
            </w:tcBorders>
            <w:shd w:val="clear" w:color="auto" w:fill="FABF8F"/>
          </w:tcPr>
          <w:p w:rsidR="0033725C" w:rsidRPr="003410C7" w:rsidRDefault="0033725C" w:rsidP="00A73DBD">
            <w:pPr>
              <w:pStyle w:val="TableHeading"/>
              <w:rPr>
                <w:rFonts w:ascii="Tahoma" w:hAnsi="Tahoma" w:cs="Tahoma"/>
                <w:color w:val="000000"/>
                <w:sz w:val="18"/>
                <w:szCs w:val="18"/>
              </w:rPr>
            </w:pPr>
            <w:r w:rsidRPr="003410C7">
              <w:rPr>
                <w:rFonts w:ascii="Tahoma" w:hAnsi="Tahoma" w:cs="Tahoma"/>
                <w:color w:val="000000"/>
                <w:sz w:val="18"/>
                <w:szCs w:val="18"/>
              </w:rPr>
              <w:t>CAL Limitata</w:t>
            </w:r>
          </w:p>
        </w:tc>
        <w:tc>
          <w:tcPr>
            <w:tcW w:w="1152" w:type="dxa"/>
            <w:tcBorders>
              <w:top w:val="single" w:sz="4" w:space="0" w:color="auto"/>
              <w:left w:val="single" w:sz="4" w:space="0" w:color="auto"/>
              <w:bottom w:val="single" w:sz="4" w:space="0" w:color="auto"/>
              <w:right w:val="single" w:sz="4" w:space="0" w:color="auto"/>
            </w:tcBorders>
            <w:shd w:val="clear" w:color="auto" w:fill="FABF8F"/>
          </w:tcPr>
          <w:p w:rsidR="0033725C" w:rsidRPr="003410C7" w:rsidRDefault="0033725C" w:rsidP="00A73DBD">
            <w:pPr>
              <w:pStyle w:val="TableHeading"/>
              <w:rPr>
                <w:rFonts w:ascii="Tahoma" w:hAnsi="Tahoma" w:cs="Tahoma"/>
                <w:color w:val="000000"/>
                <w:sz w:val="18"/>
                <w:szCs w:val="18"/>
              </w:rPr>
            </w:pPr>
            <w:r w:rsidRPr="003410C7">
              <w:rPr>
                <w:rFonts w:ascii="Tahoma" w:hAnsi="Tahoma" w:cs="Tahoma"/>
                <w:color w:val="000000"/>
                <w:sz w:val="18"/>
                <w:szCs w:val="18"/>
              </w:rPr>
              <w:t>CAL Completa</w:t>
            </w:r>
          </w:p>
        </w:tc>
        <w:tc>
          <w:tcPr>
            <w:tcW w:w="1125" w:type="dxa"/>
            <w:tcBorders>
              <w:top w:val="single" w:sz="4" w:space="0" w:color="auto"/>
              <w:left w:val="single" w:sz="4" w:space="0" w:color="auto"/>
              <w:bottom w:val="single" w:sz="4" w:space="0" w:color="auto"/>
              <w:right w:val="single" w:sz="4" w:space="0" w:color="auto"/>
            </w:tcBorders>
            <w:shd w:val="clear" w:color="auto" w:fill="FABF8F"/>
          </w:tcPr>
          <w:p w:rsidR="0033725C" w:rsidRPr="00451078" w:rsidRDefault="0033725C" w:rsidP="00A73DBD">
            <w:pPr>
              <w:pStyle w:val="TableHeading"/>
              <w:rPr>
                <w:rFonts w:ascii="Tahoma" w:hAnsi="Tahoma" w:cs="Tahoma"/>
                <w:color w:val="000000"/>
                <w:sz w:val="18"/>
                <w:szCs w:val="18"/>
                <w:lang w:val="it-IT"/>
              </w:rPr>
            </w:pPr>
            <w:r w:rsidRPr="00451078">
              <w:rPr>
                <w:rFonts w:ascii="Tahoma" w:hAnsi="Tahoma" w:cs="Tahoma"/>
                <w:color w:val="000000"/>
                <w:sz w:val="18"/>
                <w:szCs w:val="18"/>
                <w:lang w:val="it-IT"/>
              </w:rPr>
              <w:t>CAL Aggiunta per l</w:t>
            </w:r>
            <w:r w:rsidR="0073727D">
              <w:rPr>
                <w:rFonts w:ascii="Tahoma" w:hAnsi="Tahoma" w:cs="Tahoma"/>
                <w:color w:val="000000"/>
                <w:sz w:val="18"/>
                <w:szCs w:val="18"/>
                <w:lang w:val="it-IT"/>
              </w:rPr>
              <w:t>’</w:t>
            </w:r>
            <w:r w:rsidRPr="00451078">
              <w:rPr>
                <w:rFonts w:ascii="Tahoma" w:hAnsi="Tahoma" w:cs="Tahoma"/>
                <w:color w:val="000000"/>
                <w:sz w:val="18"/>
                <w:szCs w:val="18"/>
                <w:lang w:val="it-IT"/>
              </w:rPr>
              <w:t>Utilizzo Limitato</w:t>
            </w:r>
          </w:p>
        </w:tc>
        <w:tc>
          <w:tcPr>
            <w:tcW w:w="1305" w:type="dxa"/>
            <w:tcBorders>
              <w:top w:val="single" w:sz="4" w:space="0" w:color="auto"/>
              <w:left w:val="single" w:sz="4" w:space="0" w:color="auto"/>
              <w:bottom w:val="single" w:sz="4" w:space="0" w:color="auto"/>
              <w:right w:val="single" w:sz="4" w:space="0" w:color="auto"/>
            </w:tcBorders>
            <w:shd w:val="clear" w:color="auto" w:fill="FABF8F"/>
          </w:tcPr>
          <w:p w:rsidR="0033725C" w:rsidRPr="00451078" w:rsidRDefault="0033725C" w:rsidP="00A73DBD">
            <w:pPr>
              <w:pStyle w:val="TableHeading"/>
              <w:rPr>
                <w:rFonts w:ascii="Tahoma" w:hAnsi="Tahoma" w:cs="Tahoma"/>
                <w:color w:val="000000"/>
                <w:sz w:val="18"/>
                <w:szCs w:val="18"/>
                <w:lang w:val="it-IT"/>
              </w:rPr>
            </w:pPr>
            <w:r w:rsidRPr="00451078">
              <w:rPr>
                <w:rFonts w:ascii="Tahoma" w:hAnsi="Tahoma" w:cs="Tahoma"/>
                <w:color w:val="000000"/>
                <w:sz w:val="18"/>
                <w:szCs w:val="18"/>
                <w:lang w:val="it-IT"/>
              </w:rPr>
              <w:t>CAL Aggiuntiva per l</w:t>
            </w:r>
            <w:r w:rsidR="0073727D">
              <w:rPr>
                <w:rFonts w:ascii="Tahoma" w:hAnsi="Tahoma" w:cs="Tahoma"/>
                <w:color w:val="000000"/>
                <w:sz w:val="18"/>
                <w:szCs w:val="18"/>
                <w:lang w:val="it-IT"/>
              </w:rPr>
              <w:t>’</w:t>
            </w:r>
            <w:r w:rsidRPr="00451078">
              <w:rPr>
                <w:rFonts w:ascii="Tahoma" w:hAnsi="Tahoma" w:cs="Tahoma"/>
                <w:color w:val="000000"/>
                <w:sz w:val="18"/>
                <w:szCs w:val="18"/>
                <w:lang w:val="it-IT"/>
              </w:rPr>
              <w:t>Utilizzo Completo</w:t>
            </w:r>
          </w:p>
        </w:tc>
        <w:tc>
          <w:tcPr>
            <w:tcW w:w="1251" w:type="dxa"/>
            <w:tcBorders>
              <w:top w:val="single" w:sz="4" w:space="0" w:color="auto"/>
              <w:left w:val="single" w:sz="4" w:space="0" w:color="auto"/>
              <w:bottom w:val="single" w:sz="4" w:space="0" w:color="auto"/>
              <w:right w:val="single" w:sz="4" w:space="0" w:color="auto"/>
            </w:tcBorders>
            <w:shd w:val="clear" w:color="auto" w:fill="FABF8F"/>
          </w:tcPr>
          <w:p w:rsidR="0033725C" w:rsidRPr="003410C7" w:rsidRDefault="0033725C" w:rsidP="00A73DBD">
            <w:pPr>
              <w:pStyle w:val="TableHeading"/>
              <w:rPr>
                <w:rFonts w:ascii="Tahoma" w:hAnsi="Tahoma" w:cs="Tahoma"/>
                <w:color w:val="000000"/>
                <w:sz w:val="18"/>
                <w:szCs w:val="18"/>
              </w:rPr>
            </w:pPr>
            <w:r w:rsidRPr="003410C7">
              <w:rPr>
                <w:rFonts w:ascii="Tahoma" w:hAnsi="Tahoma" w:cs="Tahoma"/>
                <w:color w:val="000000"/>
                <w:sz w:val="18"/>
                <w:szCs w:val="18"/>
              </w:rPr>
              <w:t>External Connector</w:t>
            </w:r>
          </w:p>
        </w:tc>
      </w:tr>
      <w:tr w:rsidR="000C172E" w:rsidRPr="003410C7" w:rsidTr="000C172E">
        <w:trPr>
          <w:trHeight w:val="199"/>
        </w:trPr>
        <w:tc>
          <w:tcPr>
            <w:tcW w:w="2020" w:type="dxa"/>
            <w:tcBorders>
              <w:top w:val="single" w:sz="4" w:space="0" w:color="auto"/>
              <w:left w:val="single" w:sz="4" w:space="0" w:color="072B61"/>
              <w:bottom w:val="single" w:sz="6" w:space="0" w:color="1F497D"/>
              <w:right w:val="single" w:sz="6" w:space="0" w:color="1F497D"/>
            </w:tcBorders>
            <w:shd w:val="clear" w:color="auto" w:fill="FFFFFF"/>
          </w:tcPr>
          <w:p w:rsidR="0033725C" w:rsidRPr="00451078" w:rsidRDefault="0033725C" w:rsidP="00A73DBD">
            <w:pPr>
              <w:pStyle w:val="TableText"/>
              <w:jc w:val="left"/>
              <w:rPr>
                <w:rFonts w:ascii="Tahoma" w:eastAsia="Calibri" w:hAnsi="Tahoma" w:cs="Tahoma"/>
                <w:sz w:val="18"/>
                <w:szCs w:val="18"/>
                <w:lang w:val="it-IT"/>
              </w:rPr>
            </w:pPr>
            <w:r w:rsidRPr="00451078">
              <w:rPr>
                <w:rFonts w:ascii="Tahoma" w:eastAsia="Calibri" w:hAnsi="Tahoma" w:cs="Tahoma"/>
                <w:sz w:val="18"/>
                <w:szCs w:val="18"/>
                <w:lang w:val="it-IT"/>
              </w:rPr>
              <w:t>Creazione di Account utilizzando l</w:t>
            </w:r>
            <w:r w:rsidR="0073727D">
              <w:rPr>
                <w:rFonts w:ascii="Tahoma" w:eastAsia="Calibri" w:hAnsi="Tahoma" w:cs="Tahoma"/>
                <w:sz w:val="18"/>
                <w:szCs w:val="18"/>
                <w:lang w:val="it-IT"/>
              </w:rPr>
              <w:t>’</w:t>
            </w:r>
            <w:r w:rsidRPr="00451078">
              <w:rPr>
                <w:rFonts w:ascii="Tahoma" w:eastAsia="Calibri" w:hAnsi="Tahoma" w:cs="Tahoma"/>
                <w:sz w:val="18"/>
                <w:szCs w:val="18"/>
                <w:lang w:val="it-IT"/>
              </w:rPr>
              <w:t>Accesso alle API</w:t>
            </w:r>
          </w:p>
        </w:tc>
        <w:tc>
          <w:tcPr>
            <w:tcW w:w="972" w:type="dxa"/>
            <w:tcBorders>
              <w:top w:val="single" w:sz="4" w:space="0" w:color="auto"/>
              <w:left w:val="single" w:sz="6" w:space="0" w:color="1F497D"/>
              <w:bottom w:val="single" w:sz="6" w:space="0" w:color="1F497D"/>
              <w:right w:val="single" w:sz="6" w:space="0" w:color="1F497D"/>
            </w:tcBorders>
            <w:shd w:val="clear" w:color="auto" w:fill="FFFFFF"/>
          </w:tcPr>
          <w:p w:rsidR="0033725C" w:rsidRPr="003410C7" w:rsidRDefault="0033725C" w:rsidP="00A73DBD">
            <w:pPr>
              <w:pStyle w:val="TableText"/>
              <w:rPr>
                <w:rFonts w:ascii="Segoe" w:eastAsia="Calibri" w:hAnsi="Segoe"/>
              </w:rPr>
            </w:pPr>
            <w:r w:rsidRPr="003410C7">
              <w:rPr>
                <w:rFonts w:eastAsia="Calibri" w:cs="Segoe UI"/>
                <w:b/>
                <w:sz w:val="24"/>
                <w:szCs w:val="24"/>
              </w:rPr>
              <w:sym w:font="Wingdings" w:char="00FC"/>
            </w:r>
          </w:p>
        </w:tc>
        <w:tc>
          <w:tcPr>
            <w:tcW w:w="1053" w:type="dxa"/>
            <w:tcBorders>
              <w:top w:val="single" w:sz="4" w:space="0" w:color="auto"/>
              <w:left w:val="single" w:sz="6" w:space="0" w:color="1F497D"/>
              <w:bottom w:val="single" w:sz="6" w:space="0" w:color="1F497D"/>
              <w:right w:val="single" w:sz="6" w:space="0" w:color="1F497D"/>
            </w:tcBorders>
            <w:shd w:val="clear" w:color="auto" w:fill="FFFFFF"/>
          </w:tcPr>
          <w:p w:rsidR="0033725C" w:rsidRPr="003410C7" w:rsidRDefault="0033725C" w:rsidP="00A73DBD">
            <w:pPr>
              <w:pStyle w:val="TableText"/>
              <w:rPr>
                <w:rFonts w:ascii="Segoe" w:eastAsia="Calibri" w:hAnsi="Segoe"/>
              </w:rPr>
            </w:pPr>
            <w:r w:rsidRPr="003410C7">
              <w:rPr>
                <w:rFonts w:eastAsia="Calibri" w:cs="Segoe UI"/>
                <w:b/>
                <w:sz w:val="24"/>
                <w:szCs w:val="24"/>
              </w:rPr>
              <w:sym w:font="Wingdings" w:char="00FC"/>
            </w:r>
          </w:p>
        </w:tc>
        <w:tc>
          <w:tcPr>
            <w:tcW w:w="1152" w:type="dxa"/>
            <w:tcBorders>
              <w:top w:val="single" w:sz="4" w:space="0" w:color="auto"/>
              <w:left w:val="single" w:sz="6" w:space="0" w:color="1F497D"/>
              <w:bottom w:val="single" w:sz="6" w:space="0" w:color="1F497D"/>
              <w:right w:val="single" w:sz="6" w:space="0" w:color="1F497D"/>
            </w:tcBorders>
            <w:shd w:val="clear" w:color="auto" w:fill="FFFFFF"/>
          </w:tcPr>
          <w:p w:rsidR="0033725C" w:rsidRPr="003410C7" w:rsidRDefault="0033725C" w:rsidP="00A73DBD">
            <w:pPr>
              <w:pStyle w:val="TableText"/>
              <w:rPr>
                <w:rFonts w:ascii="Segoe" w:eastAsia="Calibri" w:hAnsi="Segoe"/>
              </w:rPr>
            </w:pPr>
            <w:r w:rsidRPr="003410C7">
              <w:rPr>
                <w:rFonts w:eastAsia="Calibri" w:cs="Segoe UI"/>
                <w:b/>
                <w:sz w:val="24"/>
                <w:szCs w:val="24"/>
              </w:rPr>
              <w:sym w:font="Wingdings" w:char="00FC"/>
            </w:r>
          </w:p>
        </w:tc>
        <w:tc>
          <w:tcPr>
            <w:tcW w:w="1125" w:type="dxa"/>
            <w:tcBorders>
              <w:top w:val="single" w:sz="4" w:space="0" w:color="auto"/>
              <w:left w:val="single" w:sz="6" w:space="0" w:color="1F497D"/>
              <w:bottom w:val="single" w:sz="6" w:space="0" w:color="1F497D"/>
              <w:right w:val="single" w:sz="6" w:space="0" w:color="1F497D"/>
            </w:tcBorders>
            <w:shd w:val="clear" w:color="auto" w:fill="FFFFFF"/>
          </w:tcPr>
          <w:p w:rsidR="0033725C" w:rsidRPr="003410C7" w:rsidRDefault="0033725C" w:rsidP="00A73DBD">
            <w:pPr>
              <w:pStyle w:val="TableText"/>
              <w:rPr>
                <w:rFonts w:eastAsia="Calibri" w:cs="Segoe UI"/>
                <w:b/>
                <w:sz w:val="24"/>
                <w:szCs w:val="24"/>
              </w:rPr>
            </w:pPr>
          </w:p>
        </w:tc>
        <w:tc>
          <w:tcPr>
            <w:tcW w:w="1305" w:type="dxa"/>
            <w:tcBorders>
              <w:top w:val="single" w:sz="4" w:space="0" w:color="auto"/>
              <w:left w:val="single" w:sz="6" w:space="0" w:color="1F497D"/>
              <w:bottom w:val="single" w:sz="6" w:space="0" w:color="1F497D"/>
              <w:right w:val="single" w:sz="6" w:space="0" w:color="1F497D"/>
            </w:tcBorders>
            <w:shd w:val="clear" w:color="auto" w:fill="FFFFFF"/>
          </w:tcPr>
          <w:p w:rsidR="0033725C" w:rsidRPr="003410C7" w:rsidRDefault="0033725C" w:rsidP="00A73DBD">
            <w:pPr>
              <w:pStyle w:val="TableText"/>
              <w:rPr>
                <w:rFonts w:eastAsia="Calibri" w:cs="Segoe UI"/>
                <w:b/>
                <w:sz w:val="24"/>
                <w:szCs w:val="24"/>
              </w:rPr>
            </w:pPr>
          </w:p>
        </w:tc>
        <w:tc>
          <w:tcPr>
            <w:tcW w:w="1251" w:type="dxa"/>
            <w:tcBorders>
              <w:top w:val="single" w:sz="4" w:space="0" w:color="auto"/>
              <w:left w:val="single" w:sz="6" w:space="0" w:color="1F497D"/>
              <w:bottom w:val="single" w:sz="6" w:space="0" w:color="1F497D"/>
              <w:right w:val="single" w:sz="6" w:space="0" w:color="1F497D"/>
            </w:tcBorders>
            <w:shd w:val="clear" w:color="auto" w:fill="FFFFFF"/>
          </w:tcPr>
          <w:p w:rsidR="0033725C" w:rsidRPr="003410C7" w:rsidRDefault="0033725C" w:rsidP="00A73DBD">
            <w:pPr>
              <w:pStyle w:val="TableText"/>
              <w:rPr>
                <w:rFonts w:ascii="Segoe" w:eastAsia="Calibri" w:hAnsi="Segoe"/>
              </w:rPr>
            </w:pPr>
            <w:r w:rsidRPr="003410C7">
              <w:rPr>
                <w:rFonts w:eastAsia="Calibri" w:cs="Segoe UI"/>
                <w:b/>
                <w:sz w:val="24"/>
                <w:szCs w:val="24"/>
              </w:rPr>
              <w:sym w:font="Wingdings" w:char="00FC"/>
            </w:r>
          </w:p>
        </w:tc>
      </w:tr>
      <w:tr w:rsidR="000C172E" w:rsidRPr="003410C7" w:rsidTr="000C172E">
        <w:trPr>
          <w:trHeight w:val="352"/>
        </w:trPr>
        <w:tc>
          <w:tcPr>
            <w:tcW w:w="2020" w:type="dxa"/>
            <w:tcBorders>
              <w:top w:val="single" w:sz="6" w:space="0" w:color="1F497D"/>
              <w:left w:val="single" w:sz="4" w:space="0" w:color="072B61"/>
              <w:bottom w:val="single" w:sz="6" w:space="0" w:color="1F497D"/>
              <w:right w:val="single" w:sz="6" w:space="0" w:color="1F497D"/>
            </w:tcBorders>
            <w:shd w:val="clear" w:color="auto" w:fill="FFFFFF"/>
          </w:tcPr>
          <w:p w:rsidR="0033725C" w:rsidRPr="00451078" w:rsidRDefault="0033725C" w:rsidP="00A73DBD">
            <w:pPr>
              <w:pStyle w:val="TableText"/>
              <w:jc w:val="left"/>
              <w:rPr>
                <w:rFonts w:ascii="Tahoma" w:eastAsia="Calibri" w:hAnsi="Tahoma" w:cs="Tahoma"/>
                <w:sz w:val="18"/>
                <w:szCs w:val="18"/>
                <w:lang w:val="it-IT"/>
              </w:rPr>
            </w:pPr>
            <w:r w:rsidRPr="00451078">
              <w:rPr>
                <w:rFonts w:ascii="Tahoma" w:eastAsia="Calibri" w:hAnsi="Tahoma" w:cs="Tahoma"/>
                <w:sz w:val="18"/>
                <w:szCs w:val="18"/>
                <w:lang w:val="it-IT"/>
              </w:rPr>
              <w:t>Creazione di Contatti utilizzando l</w:t>
            </w:r>
            <w:r w:rsidR="0073727D">
              <w:rPr>
                <w:rFonts w:ascii="Tahoma" w:eastAsia="Calibri" w:hAnsi="Tahoma" w:cs="Tahoma"/>
                <w:sz w:val="18"/>
                <w:szCs w:val="18"/>
                <w:lang w:val="it-IT"/>
              </w:rPr>
              <w:t>’</w:t>
            </w:r>
            <w:r w:rsidRPr="00451078">
              <w:rPr>
                <w:rFonts w:ascii="Tahoma" w:eastAsia="Calibri" w:hAnsi="Tahoma" w:cs="Tahoma"/>
                <w:sz w:val="18"/>
                <w:szCs w:val="18"/>
                <w:lang w:val="it-IT"/>
              </w:rPr>
              <w:t>Accesso alle API</w:t>
            </w:r>
          </w:p>
        </w:tc>
        <w:tc>
          <w:tcPr>
            <w:tcW w:w="972" w:type="dxa"/>
            <w:tcBorders>
              <w:top w:val="single" w:sz="6" w:space="0" w:color="1F497D"/>
              <w:left w:val="single" w:sz="6" w:space="0" w:color="1F497D"/>
              <w:bottom w:val="single" w:sz="6" w:space="0" w:color="1F497D"/>
              <w:right w:val="single" w:sz="6" w:space="0" w:color="1F497D"/>
            </w:tcBorders>
            <w:shd w:val="clear" w:color="auto" w:fill="FFFFFF"/>
          </w:tcPr>
          <w:p w:rsidR="0033725C" w:rsidRPr="003410C7" w:rsidRDefault="0033725C" w:rsidP="00A73DBD">
            <w:pPr>
              <w:pStyle w:val="TableText"/>
              <w:rPr>
                <w:rFonts w:ascii="Segoe" w:eastAsia="Calibri" w:hAnsi="Segoe"/>
              </w:rPr>
            </w:pPr>
            <w:r w:rsidRPr="003410C7">
              <w:rPr>
                <w:rFonts w:eastAsia="Calibri" w:cs="Segoe UI"/>
                <w:b/>
                <w:sz w:val="24"/>
                <w:szCs w:val="24"/>
              </w:rPr>
              <w:sym w:font="Wingdings" w:char="00FC"/>
            </w:r>
          </w:p>
        </w:tc>
        <w:tc>
          <w:tcPr>
            <w:tcW w:w="1053" w:type="dxa"/>
            <w:tcBorders>
              <w:top w:val="single" w:sz="6" w:space="0" w:color="1F497D"/>
              <w:left w:val="single" w:sz="6" w:space="0" w:color="1F497D"/>
              <w:bottom w:val="single" w:sz="6" w:space="0" w:color="1F497D"/>
              <w:right w:val="single" w:sz="6" w:space="0" w:color="1F497D"/>
            </w:tcBorders>
            <w:shd w:val="clear" w:color="auto" w:fill="FFFFFF"/>
          </w:tcPr>
          <w:p w:rsidR="0033725C" w:rsidRPr="003410C7" w:rsidRDefault="0033725C" w:rsidP="00A73DBD">
            <w:pPr>
              <w:pStyle w:val="TableText"/>
              <w:rPr>
                <w:rFonts w:ascii="Segoe" w:eastAsia="Calibri" w:hAnsi="Segoe"/>
              </w:rPr>
            </w:pPr>
            <w:r w:rsidRPr="003410C7">
              <w:rPr>
                <w:rFonts w:eastAsia="Calibri" w:cs="Segoe UI"/>
                <w:b/>
                <w:sz w:val="24"/>
                <w:szCs w:val="24"/>
              </w:rPr>
              <w:sym w:font="Wingdings" w:char="00FC"/>
            </w:r>
          </w:p>
        </w:tc>
        <w:tc>
          <w:tcPr>
            <w:tcW w:w="1152" w:type="dxa"/>
            <w:tcBorders>
              <w:top w:val="single" w:sz="6" w:space="0" w:color="1F497D"/>
              <w:left w:val="single" w:sz="6" w:space="0" w:color="1F497D"/>
              <w:bottom w:val="single" w:sz="6" w:space="0" w:color="1F497D"/>
              <w:right w:val="single" w:sz="6" w:space="0" w:color="1F497D"/>
            </w:tcBorders>
            <w:shd w:val="clear" w:color="auto" w:fill="FFFFFF"/>
          </w:tcPr>
          <w:p w:rsidR="0033725C" w:rsidRPr="003410C7" w:rsidRDefault="0033725C" w:rsidP="00A73DBD">
            <w:pPr>
              <w:pStyle w:val="TableText"/>
              <w:rPr>
                <w:rFonts w:ascii="Segoe" w:eastAsia="Calibri" w:hAnsi="Segoe"/>
              </w:rPr>
            </w:pPr>
            <w:r w:rsidRPr="003410C7">
              <w:rPr>
                <w:rFonts w:eastAsia="Calibri" w:cs="Segoe UI"/>
                <w:b/>
                <w:sz w:val="24"/>
                <w:szCs w:val="24"/>
              </w:rPr>
              <w:sym w:font="Wingdings" w:char="00FC"/>
            </w:r>
          </w:p>
        </w:tc>
        <w:tc>
          <w:tcPr>
            <w:tcW w:w="1125" w:type="dxa"/>
            <w:tcBorders>
              <w:top w:val="single" w:sz="6" w:space="0" w:color="1F497D"/>
              <w:left w:val="single" w:sz="6" w:space="0" w:color="1F497D"/>
              <w:bottom w:val="single" w:sz="6" w:space="0" w:color="1F497D"/>
              <w:right w:val="single" w:sz="6" w:space="0" w:color="1F497D"/>
            </w:tcBorders>
            <w:shd w:val="clear" w:color="auto" w:fill="FFFFFF"/>
          </w:tcPr>
          <w:p w:rsidR="0033725C" w:rsidRPr="003410C7" w:rsidRDefault="0033725C" w:rsidP="00A73DBD">
            <w:pPr>
              <w:pStyle w:val="TableText"/>
              <w:rPr>
                <w:rFonts w:eastAsia="Calibri" w:cs="Segoe UI"/>
                <w:b/>
                <w:sz w:val="24"/>
                <w:szCs w:val="24"/>
              </w:rPr>
            </w:pPr>
          </w:p>
        </w:tc>
        <w:tc>
          <w:tcPr>
            <w:tcW w:w="1305" w:type="dxa"/>
            <w:tcBorders>
              <w:top w:val="single" w:sz="6" w:space="0" w:color="1F497D"/>
              <w:left w:val="single" w:sz="6" w:space="0" w:color="1F497D"/>
              <w:bottom w:val="single" w:sz="6" w:space="0" w:color="1F497D"/>
              <w:right w:val="single" w:sz="6" w:space="0" w:color="1F497D"/>
            </w:tcBorders>
            <w:shd w:val="clear" w:color="auto" w:fill="FFFFFF"/>
          </w:tcPr>
          <w:p w:rsidR="0033725C" w:rsidRPr="003410C7" w:rsidRDefault="0033725C" w:rsidP="00A73DBD">
            <w:pPr>
              <w:pStyle w:val="TableText"/>
              <w:rPr>
                <w:rFonts w:eastAsia="Calibri" w:cs="Segoe UI"/>
                <w:b/>
                <w:sz w:val="24"/>
                <w:szCs w:val="24"/>
              </w:rPr>
            </w:pPr>
          </w:p>
        </w:tc>
        <w:tc>
          <w:tcPr>
            <w:tcW w:w="1251" w:type="dxa"/>
            <w:tcBorders>
              <w:top w:val="single" w:sz="6" w:space="0" w:color="1F497D"/>
              <w:left w:val="single" w:sz="6" w:space="0" w:color="1F497D"/>
              <w:bottom w:val="single" w:sz="6" w:space="0" w:color="1F497D"/>
              <w:right w:val="single" w:sz="6" w:space="0" w:color="1F497D"/>
            </w:tcBorders>
            <w:shd w:val="clear" w:color="auto" w:fill="FFFFFF"/>
          </w:tcPr>
          <w:p w:rsidR="0033725C" w:rsidRPr="003410C7" w:rsidRDefault="0033725C" w:rsidP="00A73DBD">
            <w:pPr>
              <w:pStyle w:val="TableText"/>
              <w:rPr>
                <w:rFonts w:ascii="Segoe" w:eastAsia="Calibri" w:hAnsi="Segoe"/>
              </w:rPr>
            </w:pPr>
            <w:r w:rsidRPr="003410C7">
              <w:rPr>
                <w:rFonts w:eastAsia="Calibri" w:cs="Segoe UI"/>
                <w:b/>
                <w:sz w:val="24"/>
                <w:szCs w:val="24"/>
              </w:rPr>
              <w:sym w:font="Wingdings" w:char="00FC"/>
            </w:r>
          </w:p>
        </w:tc>
      </w:tr>
      <w:tr w:rsidR="000C172E" w:rsidRPr="003410C7" w:rsidTr="000C172E">
        <w:tc>
          <w:tcPr>
            <w:tcW w:w="2020" w:type="dxa"/>
            <w:tcBorders>
              <w:top w:val="single" w:sz="6" w:space="0" w:color="1F497D"/>
              <w:left w:val="single" w:sz="4" w:space="0" w:color="072B61"/>
              <w:bottom w:val="single" w:sz="6" w:space="0" w:color="1F497D"/>
              <w:right w:val="single" w:sz="6" w:space="0" w:color="1F497D"/>
            </w:tcBorders>
            <w:shd w:val="clear" w:color="auto" w:fill="FFFFFF"/>
          </w:tcPr>
          <w:p w:rsidR="0033725C" w:rsidRPr="00451078" w:rsidRDefault="0033725C" w:rsidP="00A73DBD">
            <w:pPr>
              <w:pStyle w:val="TableText"/>
              <w:jc w:val="left"/>
              <w:rPr>
                <w:rFonts w:ascii="Tahoma" w:eastAsia="Calibri" w:hAnsi="Tahoma" w:cs="Tahoma"/>
                <w:sz w:val="18"/>
                <w:szCs w:val="18"/>
                <w:lang w:val="it-IT"/>
              </w:rPr>
            </w:pPr>
            <w:r w:rsidRPr="00451078">
              <w:rPr>
                <w:rFonts w:ascii="Tahoma" w:eastAsia="Calibri" w:hAnsi="Tahoma" w:cs="Tahoma"/>
                <w:sz w:val="18"/>
                <w:szCs w:val="18"/>
                <w:lang w:val="it-IT"/>
              </w:rPr>
              <w:t>Creazione di Casi utilizzando l</w:t>
            </w:r>
            <w:r w:rsidR="0073727D">
              <w:rPr>
                <w:rFonts w:ascii="Tahoma" w:eastAsia="Calibri" w:hAnsi="Tahoma" w:cs="Tahoma"/>
                <w:sz w:val="18"/>
                <w:szCs w:val="18"/>
                <w:lang w:val="it-IT"/>
              </w:rPr>
              <w:t>’</w:t>
            </w:r>
            <w:r w:rsidRPr="00451078">
              <w:rPr>
                <w:rFonts w:ascii="Tahoma" w:eastAsia="Calibri" w:hAnsi="Tahoma" w:cs="Tahoma"/>
                <w:sz w:val="18"/>
                <w:szCs w:val="18"/>
                <w:lang w:val="it-IT"/>
              </w:rPr>
              <w:t>Accesso alle API</w:t>
            </w:r>
          </w:p>
        </w:tc>
        <w:tc>
          <w:tcPr>
            <w:tcW w:w="972" w:type="dxa"/>
            <w:tcBorders>
              <w:top w:val="single" w:sz="6" w:space="0" w:color="1F497D"/>
              <w:left w:val="single" w:sz="6" w:space="0" w:color="1F497D"/>
              <w:bottom w:val="single" w:sz="6" w:space="0" w:color="1F497D"/>
              <w:right w:val="single" w:sz="6" w:space="0" w:color="1F497D"/>
            </w:tcBorders>
            <w:shd w:val="clear" w:color="auto" w:fill="FFFFFF"/>
          </w:tcPr>
          <w:p w:rsidR="0033725C" w:rsidRPr="003410C7" w:rsidRDefault="0033725C" w:rsidP="00A73DBD">
            <w:pPr>
              <w:pStyle w:val="TableText"/>
              <w:rPr>
                <w:rFonts w:ascii="Segoe" w:eastAsia="Calibri" w:hAnsi="Segoe"/>
              </w:rPr>
            </w:pPr>
            <w:r w:rsidRPr="003410C7">
              <w:rPr>
                <w:rFonts w:eastAsia="Calibri" w:cs="Segoe UI"/>
                <w:b/>
                <w:sz w:val="24"/>
                <w:szCs w:val="24"/>
              </w:rPr>
              <w:sym w:font="Wingdings" w:char="00FC"/>
            </w:r>
          </w:p>
        </w:tc>
        <w:tc>
          <w:tcPr>
            <w:tcW w:w="1053" w:type="dxa"/>
            <w:tcBorders>
              <w:top w:val="single" w:sz="6" w:space="0" w:color="1F497D"/>
              <w:left w:val="single" w:sz="6" w:space="0" w:color="1F497D"/>
              <w:bottom w:val="single" w:sz="6" w:space="0" w:color="1F497D"/>
              <w:right w:val="single" w:sz="6" w:space="0" w:color="1F497D"/>
            </w:tcBorders>
            <w:shd w:val="clear" w:color="auto" w:fill="FFFFFF"/>
          </w:tcPr>
          <w:p w:rsidR="0033725C" w:rsidRPr="003410C7" w:rsidRDefault="0033725C" w:rsidP="00A73DBD">
            <w:pPr>
              <w:pStyle w:val="TableText"/>
              <w:rPr>
                <w:rFonts w:ascii="Segoe" w:eastAsia="Calibri" w:hAnsi="Segoe"/>
              </w:rPr>
            </w:pPr>
            <w:r w:rsidRPr="003410C7">
              <w:rPr>
                <w:rFonts w:eastAsia="Calibri" w:cs="Segoe UI"/>
                <w:b/>
                <w:sz w:val="24"/>
                <w:szCs w:val="24"/>
              </w:rPr>
              <w:sym w:font="Wingdings" w:char="00FC"/>
            </w:r>
          </w:p>
        </w:tc>
        <w:tc>
          <w:tcPr>
            <w:tcW w:w="1152" w:type="dxa"/>
            <w:tcBorders>
              <w:top w:val="single" w:sz="6" w:space="0" w:color="1F497D"/>
              <w:left w:val="single" w:sz="6" w:space="0" w:color="1F497D"/>
              <w:bottom w:val="single" w:sz="6" w:space="0" w:color="1F497D"/>
              <w:right w:val="single" w:sz="6" w:space="0" w:color="1F497D"/>
            </w:tcBorders>
            <w:shd w:val="clear" w:color="auto" w:fill="FFFFFF"/>
          </w:tcPr>
          <w:p w:rsidR="0033725C" w:rsidRPr="003410C7" w:rsidRDefault="0033725C" w:rsidP="00A73DBD">
            <w:pPr>
              <w:pStyle w:val="TableText"/>
              <w:rPr>
                <w:rFonts w:ascii="Segoe" w:eastAsia="Calibri" w:hAnsi="Segoe"/>
              </w:rPr>
            </w:pPr>
            <w:r w:rsidRPr="003410C7">
              <w:rPr>
                <w:rFonts w:eastAsia="Calibri" w:cs="Segoe UI"/>
                <w:b/>
                <w:sz w:val="24"/>
                <w:szCs w:val="24"/>
              </w:rPr>
              <w:sym w:font="Wingdings" w:char="00FC"/>
            </w:r>
          </w:p>
        </w:tc>
        <w:tc>
          <w:tcPr>
            <w:tcW w:w="1125" w:type="dxa"/>
            <w:tcBorders>
              <w:top w:val="single" w:sz="6" w:space="0" w:color="1F497D"/>
              <w:left w:val="single" w:sz="6" w:space="0" w:color="1F497D"/>
              <w:bottom w:val="single" w:sz="6" w:space="0" w:color="1F497D"/>
              <w:right w:val="single" w:sz="6" w:space="0" w:color="1F497D"/>
            </w:tcBorders>
            <w:shd w:val="clear" w:color="auto" w:fill="FFFFFF"/>
          </w:tcPr>
          <w:p w:rsidR="0033725C" w:rsidRPr="003410C7" w:rsidRDefault="0033725C" w:rsidP="00A73DBD">
            <w:pPr>
              <w:pStyle w:val="TableText"/>
              <w:rPr>
                <w:rFonts w:eastAsia="Calibri" w:cs="Segoe UI"/>
                <w:b/>
                <w:sz w:val="24"/>
                <w:szCs w:val="24"/>
              </w:rPr>
            </w:pPr>
          </w:p>
        </w:tc>
        <w:tc>
          <w:tcPr>
            <w:tcW w:w="1305" w:type="dxa"/>
            <w:tcBorders>
              <w:top w:val="single" w:sz="6" w:space="0" w:color="1F497D"/>
              <w:left w:val="single" w:sz="6" w:space="0" w:color="1F497D"/>
              <w:bottom w:val="single" w:sz="6" w:space="0" w:color="1F497D"/>
              <w:right w:val="single" w:sz="6" w:space="0" w:color="1F497D"/>
            </w:tcBorders>
            <w:shd w:val="clear" w:color="auto" w:fill="FFFFFF"/>
          </w:tcPr>
          <w:p w:rsidR="0033725C" w:rsidRPr="003410C7" w:rsidRDefault="0033725C" w:rsidP="00A73DBD">
            <w:pPr>
              <w:pStyle w:val="TableText"/>
              <w:rPr>
                <w:rFonts w:eastAsia="Calibri" w:cs="Segoe UI"/>
                <w:b/>
                <w:sz w:val="24"/>
                <w:szCs w:val="24"/>
              </w:rPr>
            </w:pPr>
          </w:p>
        </w:tc>
        <w:tc>
          <w:tcPr>
            <w:tcW w:w="1251" w:type="dxa"/>
            <w:tcBorders>
              <w:top w:val="single" w:sz="6" w:space="0" w:color="1F497D"/>
              <w:left w:val="single" w:sz="6" w:space="0" w:color="1F497D"/>
              <w:bottom w:val="single" w:sz="6" w:space="0" w:color="1F497D"/>
              <w:right w:val="single" w:sz="6" w:space="0" w:color="1F497D"/>
            </w:tcBorders>
            <w:shd w:val="clear" w:color="auto" w:fill="FFFFFF"/>
          </w:tcPr>
          <w:p w:rsidR="0033725C" w:rsidRPr="003410C7" w:rsidRDefault="0033725C" w:rsidP="00A73DBD">
            <w:pPr>
              <w:pStyle w:val="TableText"/>
              <w:rPr>
                <w:rFonts w:ascii="Segoe" w:eastAsia="Calibri" w:hAnsi="Segoe"/>
              </w:rPr>
            </w:pPr>
            <w:r w:rsidRPr="003410C7">
              <w:rPr>
                <w:rFonts w:eastAsia="Calibri" w:cs="Segoe UI"/>
                <w:b/>
                <w:sz w:val="24"/>
                <w:szCs w:val="24"/>
              </w:rPr>
              <w:sym w:font="Wingdings" w:char="00FC"/>
            </w:r>
          </w:p>
        </w:tc>
      </w:tr>
      <w:tr w:rsidR="000C172E" w:rsidRPr="003410C7" w:rsidTr="000C172E">
        <w:tc>
          <w:tcPr>
            <w:tcW w:w="2020" w:type="dxa"/>
            <w:tcBorders>
              <w:top w:val="single" w:sz="6" w:space="0" w:color="1F497D"/>
              <w:left w:val="single" w:sz="4" w:space="0" w:color="072B61"/>
              <w:bottom w:val="single" w:sz="6" w:space="0" w:color="1F497D"/>
              <w:right w:val="single" w:sz="6" w:space="0" w:color="1F497D"/>
            </w:tcBorders>
            <w:shd w:val="clear" w:color="auto" w:fill="FFFFFF"/>
          </w:tcPr>
          <w:p w:rsidR="0033725C" w:rsidRPr="00451078" w:rsidRDefault="0033725C" w:rsidP="00A73DBD">
            <w:pPr>
              <w:pStyle w:val="TableText"/>
              <w:jc w:val="left"/>
              <w:rPr>
                <w:rFonts w:ascii="Tahoma" w:eastAsia="Calibri" w:hAnsi="Tahoma" w:cs="Tahoma"/>
                <w:sz w:val="18"/>
                <w:szCs w:val="18"/>
                <w:lang w:val="it-IT"/>
              </w:rPr>
            </w:pPr>
            <w:r w:rsidRPr="00451078">
              <w:rPr>
                <w:rFonts w:ascii="Tahoma" w:eastAsia="Calibri" w:hAnsi="Tahoma" w:cs="Tahoma"/>
                <w:sz w:val="18"/>
                <w:szCs w:val="18"/>
                <w:lang w:val="it-IT"/>
              </w:rPr>
              <w:t>Creazione di Lead utilizzando l</w:t>
            </w:r>
            <w:r w:rsidR="0073727D">
              <w:rPr>
                <w:rFonts w:ascii="Tahoma" w:eastAsia="Calibri" w:hAnsi="Tahoma" w:cs="Tahoma"/>
                <w:sz w:val="18"/>
                <w:szCs w:val="18"/>
                <w:lang w:val="it-IT"/>
              </w:rPr>
              <w:t>’</w:t>
            </w:r>
            <w:r w:rsidRPr="00451078">
              <w:rPr>
                <w:rFonts w:ascii="Tahoma" w:eastAsia="Calibri" w:hAnsi="Tahoma" w:cs="Tahoma"/>
                <w:sz w:val="18"/>
                <w:szCs w:val="18"/>
                <w:lang w:val="it-IT"/>
              </w:rPr>
              <w:t>Accesso alle API</w:t>
            </w:r>
          </w:p>
        </w:tc>
        <w:tc>
          <w:tcPr>
            <w:tcW w:w="972" w:type="dxa"/>
            <w:tcBorders>
              <w:top w:val="single" w:sz="6" w:space="0" w:color="1F497D"/>
              <w:left w:val="single" w:sz="6" w:space="0" w:color="1F497D"/>
              <w:bottom w:val="single" w:sz="6" w:space="0" w:color="1F497D"/>
              <w:right w:val="single" w:sz="6" w:space="0" w:color="1F497D"/>
            </w:tcBorders>
            <w:shd w:val="clear" w:color="auto" w:fill="FFFFFF"/>
          </w:tcPr>
          <w:p w:rsidR="0033725C" w:rsidRPr="003410C7" w:rsidRDefault="0033725C" w:rsidP="00A73DBD">
            <w:pPr>
              <w:pStyle w:val="TableText"/>
              <w:rPr>
                <w:rFonts w:ascii="Segoe" w:eastAsia="Calibri" w:hAnsi="Segoe"/>
              </w:rPr>
            </w:pPr>
            <w:r w:rsidRPr="003410C7">
              <w:rPr>
                <w:rFonts w:eastAsia="Calibri" w:cs="Segoe UI"/>
                <w:b/>
                <w:sz w:val="24"/>
                <w:szCs w:val="24"/>
              </w:rPr>
              <w:sym w:font="Wingdings" w:char="00FC"/>
            </w:r>
          </w:p>
        </w:tc>
        <w:tc>
          <w:tcPr>
            <w:tcW w:w="1053" w:type="dxa"/>
            <w:tcBorders>
              <w:top w:val="single" w:sz="6" w:space="0" w:color="1F497D"/>
              <w:left w:val="single" w:sz="6" w:space="0" w:color="1F497D"/>
              <w:bottom w:val="single" w:sz="6" w:space="0" w:color="1F497D"/>
              <w:right w:val="single" w:sz="6" w:space="0" w:color="1F497D"/>
            </w:tcBorders>
            <w:shd w:val="clear" w:color="auto" w:fill="FFFFFF"/>
          </w:tcPr>
          <w:p w:rsidR="0033725C" w:rsidRPr="003410C7" w:rsidRDefault="0033725C" w:rsidP="00A73DBD">
            <w:pPr>
              <w:pStyle w:val="TableText"/>
              <w:rPr>
                <w:rFonts w:ascii="Segoe" w:eastAsia="Calibri" w:hAnsi="Segoe"/>
              </w:rPr>
            </w:pPr>
            <w:r w:rsidRPr="003410C7">
              <w:rPr>
                <w:rFonts w:eastAsia="Calibri" w:cs="Segoe UI"/>
                <w:b/>
                <w:sz w:val="24"/>
                <w:szCs w:val="24"/>
              </w:rPr>
              <w:sym w:font="Wingdings" w:char="00FC"/>
            </w:r>
          </w:p>
        </w:tc>
        <w:tc>
          <w:tcPr>
            <w:tcW w:w="1152" w:type="dxa"/>
            <w:tcBorders>
              <w:top w:val="single" w:sz="6" w:space="0" w:color="1F497D"/>
              <w:left w:val="single" w:sz="6" w:space="0" w:color="1F497D"/>
              <w:bottom w:val="single" w:sz="6" w:space="0" w:color="1F497D"/>
              <w:right w:val="single" w:sz="6" w:space="0" w:color="1F497D"/>
            </w:tcBorders>
            <w:shd w:val="clear" w:color="auto" w:fill="FFFFFF"/>
          </w:tcPr>
          <w:p w:rsidR="0033725C" w:rsidRPr="003410C7" w:rsidRDefault="0033725C" w:rsidP="00A73DBD">
            <w:pPr>
              <w:pStyle w:val="TableText"/>
              <w:rPr>
                <w:rFonts w:ascii="Segoe" w:eastAsia="Calibri" w:hAnsi="Segoe"/>
              </w:rPr>
            </w:pPr>
            <w:r w:rsidRPr="003410C7">
              <w:rPr>
                <w:rFonts w:eastAsia="Calibri" w:cs="Segoe UI"/>
                <w:b/>
                <w:sz w:val="24"/>
                <w:szCs w:val="24"/>
              </w:rPr>
              <w:sym w:font="Wingdings" w:char="00FC"/>
            </w:r>
          </w:p>
        </w:tc>
        <w:tc>
          <w:tcPr>
            <w:tcW w:w="1125" w:type="dxa"/>
            <w:tcBorders>
              <w:top w:val="single" w:sz="6" w:space="0" w:color="1F497D"/>
              <w:left w:val="single" w:sz="6" w:space="0" w:color="1F497D"/>
              <w:bottom w:val="single" w:sz="6" w:space="0" w:color="1F497D"/>
              <w:right w:val="single" w:sz="6" w:space="0" w:color="1F497D"/>
            </w:tcBorders>
            <w:shd w:val="clear" w:color="auto" w:fill="FFFFFF"/>
          </w:tcPr>
          <w:p w:rsidR="0033725C" w:rsidRPr="003410C7" w:rsidRDefault="0033725C" w:rsidP="00A73DBD">
            <w:pPr>
              <w:pStyle w:val="TableText"/>
              <w:rPr>
                <w:rFonts w:eastAsia="Calibri" w:cs="Segoe UI"/>
                <w:b/>
                <w:sz w:val="24"/>
                <w:szCs w:val="24"/>
              </w:rPr>
            </w:pPr>
          </w:p>
        </w:tc>
        <w:tc>
          <w:tcPr>
            <w:tcW w:w="1305" w:type="dxa"/>
            <w:tcBorders>
              <w:top w:val="single" w:sz="6" w:space="0" w:color="1F497D"/>
              <w:left w:val="single" w:sz="6" w:space="0" w:color="1F497D"/>
              <w:bottom w:val="single" w:sz="6" w:space="0" w:color="1F497D"/>
              <w:right w:val="single" w:sz="6" w:space="0" w:color="1F497D"/>
            </w:tcBorders>
            <w:shd w:val="clear" w:color="auto" w:fill="FFFFFF"/>
          </w:tcPr>
          <w:p w:rsidR="0033725C" w:rsidRPr="003410C7" w:rsidRDefault="0033725C" w:rsidP="00A73DBD">
            <w:pPr>
              <w:pStyle w:val="TableText"/>
              <w:rPr>
                <w:rFonts w:eastAsia="Calibri" w:cs="Segoe UI"/>
                <w:b/>
                <w:sz w:val="24"/>
                <w:szCs w:val="24"/>
              </w:rPr>
            </w:pPr>
          </w:p>
        </w:tc>
        <w:tc>
          <w:tcPr>
            <w:tcW w:w="1251" w:type="dxa"/>
            <w:tcBorders>
              <w:top w:val="single" w:sz="6" w:space="0" w:color="1F497D"/>
              <w:left w:val="single" w:sz="6" w:space="0" w:color="1F497D"/>
              <w:bottom w:val="single" w:sz="6" w:space="0" w:color="1F497D"/>
              <w:right w:val="single" w:sz="6" w:space="0" w:color="1F497D"/>
            </w:tcBorders>
            <w:shd w:val="clear" w:color="auto" w:fill="FFFFFF"/>
          </w:tcPr>
          <w:p w:rsidR="0033725C" w:rsidRPr="003410C7" w:rsidRDefault="0033725C" w:rsidP="00A73DBD">
            <w:pPr>
              <w:pStyle w:val="TableText"/>
              <w:rPr>
                <w:rFonts w:ascii="Segoe" w:eastAsia="Calibri" w:hAnsi="Segoe"/>
              </w:rPr>
            </w:pPr>
            <w:r w:rsidRPr="003410C7">
              <w:rPr>
                <w:rFonts w:eastAsia="Calibri" w:cs="Segoe UI"/>
                <w:b/>
                <w:sz w:val="24"/>
                <w:szCs w:val="24"/>
              </w:rPr>
              <w:sym w:font="Wingdings" w:char="00FC"/>
            </w:r>
          </w:p>
        </w:tc>
      </w:tr>
      <w:tr w:rsidR="000C172E" w:rsidRPr="003410C7" w:rsidTr="000C172E">
        <w:tc>
          <w:tcPr>
            <w:tcW w:w="2020" w:type="dxa"/>
            <w:tcBorders>
              <w:top w:val="single" w:sz="6" w:space="0" w:color="1F497D"/>
              <w:left w:val="single" w:sz="4" w:space="0" w:color="072B61"/>
              <w:bottom w:val="single" w:sz="6" w:space="0" w:color="1F497D"/>
              <w:right w:val="single" w:sz="6" w:space="0" w:color="1F497D"/>
            </w:tcBorders>
            <w:shd w:val="clear" w:color="auto" w:fill="FFFFFF"/>
          </w:tcPr>
          <w:p w:rsidR="0033725C" w:rsidRPr="00451078" w:rsidRDefault="0033725C" w:rsidP="00A73DBD">
            <w:pPr>
              <w:pStyle w:val="TableText"/>
              <w:jc w:val="left"/>
              <w:rPr>
                <w:rFonts w:ascii="Tahoma" w:eastAsia="Calibri" w:hAnsi="Tahoma" w:cs="Tahoma"/>
                <w:sz w:val="18"/>
                <w:szCs w:val="18"/>
                <w:lang w:val="it-IT"/>
              </w:rPr>
            </w:pPr>
            <w:r w:rsidRPr="00451078">
              <w:rPr>
                <w:rFonts w:ascii="Tahoma" w:eastAsia="Calibri" w:hAnsi="Tahoma" w:cs="Tahoma"/>
                <w:sz w:val="18"/>
                <w:szCs w:val="18"/>
                <w:lang w:val="it-IT"/>
              </w:rPr>
              <w:t>Creazione di Attività utilizzando l</w:t>
            </w:r>
            <w:r w:rsidR="0073727D">
              <w:rPr>
                <w:rFonts w:ascii="Tahoma" w:eastAsia="Calibri" w:hAnsi="Tahoma" w:cs="Tahoma"/>
                <w:sz w:val="18"/>
                <w:szCs w:val="18"/>
                <w:lang w:val="it-IT"/>
              </w:rPr>
              <w:t>’</w:t>
            </w:r>
            <w:r w:rsidRPr="00451078">
              <w:rPr>
                <w:rFonts w:ascii="Tahoma" w:eastAsia="Calibri" w:hAnsi="Tahoma" w:cs="Tahoma"/>
                <w:sz w:val="18"/>
                <w:szCs w:val="18"/>
                <w:lang w:val="it-IT"/>
              </w:rPr>
              <w:t>Accesso alle API</w:t>
            </w:r>
          </w:p>
        </w:tc>
        <w:tc>
          <w:tcPr>
            <w:tcW w:w="972" w:type="dxa"/>
            <w:tcBorders>
              <w:top w:val="single" w:sz="6" w:space="0" w:color="1F497D"/>
              <w:left w:val="single" w:sz="6" w:space="0" w:color="1F497D"/>
              <w:bottom w:val="single" w:sz="6" w:space="0" w:color="1F497D"/>
              <w:right w:val="single" w:sz="6" w:space="0" w:color="1F497D"/>
            </w:tcBorders>
            <w:shd w:val="clear" w:color="auto" w:fill="FFFFFF"/>
          </w:tcPr>
          <w:p w:rsidR="0033725C" w:rsidRPr="003410C7" w:rsidRDefault="0033725C" w:rsidP="00A73DBD">
            <w:pPr>
              <w:pStyle w:val="TableText"/>
              <w:rPr>
                <w:rFonts w:ascii="Segoe" w:eastAsia="Calibri" w:hAnsi="Segoe"/>
              </w:rPr>
            </w:pPr>
            <w:r w:rsidRPr="003410C7">
              <w:rPr>
                <w:rFonts w:eastAsia="Calibri" w:cs="Segoe UI"/>
                <w:b/>
                <w:sz w:val="24"/>
                <w:szCs w:val="24"/>
              </w:rPr>
              <w:sym w:font="Wingdings" w:char="00FC"/>
            </w:r>
          </w:p>
        </w:tc>
        <w:tc>
          <w:tcPr>
            <w:tcW w:w="1053" w:type="dxa"/>
            <w:tcBorders>
              <w:top w:val="single" w:sz="6" w:space="0" w:color="1F497D"/>
              <w:left w:val="single" w:sz="6" w:space="0" w:color="1F497D"/>
              <w:bottom w:val="single" w:sz="6" w:space="0" w:color="1F497D"/>
              <w:right w:val="single" w:sz="6" w:space="0" w:color="1F497D"/>
            </w:tcBorders>
            <w:shd w:val="clear" w:color="auto" w:fill="FFFFFF"/>
          </w:tcPr>
          <w:p w:rsidR="0033725C" w:rsidRPr="003410C7" w:rsidRDefault="0033725C" w:rsidP="00A73DBD">
            <w:pPr>
              <w:pStyle w:val="TableText"/>
              <w:rPr>
                <w:rFonts w:ascii="Segoe" w:eastAsia="Calibri" w:hAnsi="Segoe"/>
              </w:rPr>
            </w:pPr>
            <w:r w:rsidRPr="003410C7">
              <w:rPr>
                <w:rFonts w:eastAsia="Calibri" w:cs="Segoe UI"/>
                <w:b/>
                <w:sz w:val="24"/>
                <w:szCs w:val="24"/>
              </w:rPr>
              <w:sym w:font="Wingdings" w:char="00FC"/>
            </w:r>
          </w:p>
        </w:tc>
        <w:tc>
          <w:tcPr>
            <w:tcW w:w="1152" w:type="dxa"/>
            <w:tcBorders>
              <w:top w:val="single" w:sz="6" w:space="0" w:color="1F497D"/>
              <w:left w:val="single" w:sz="6" w:space="0" w:color="1F497D"/>
              <w:bottom w:val="single" w:sz="6" w:space="0" w:color="1F497D"/>
              <w:right w:val="single" w:sz="6" w:space="0" w:color="1F497D"/>
            </w:tcBorders>
            <w:shd w:val="clear" w:color="auto" w:fill="FFFFFF"/>
          </w:tcPr>
          <w:p w:rsidR="0033725C" w:rsidRPr="003410C7" w:rsidRDefault="0033725C" w:rsidP="00A73DBD">
            <w:pPr>
              <w:pStyle w:val="TableText"/>
              <w:rPr>
                <w:rFonts w:ascii="Segoe" w:eastAsia="Calibri" w:hAnsi="Segoe"/>
              </w:rPr>
            </w:pPr>
            <w:r w:rsidRPr="003410C7">
              <w:rPr>
                <w:rFonts w:eastAsia="Calibri" w:cs="Segoe UI"/>
                <w:b/>
                <w:sz w:val="24"/>
                <w:szCs w:val="24"/>
              </w:rPr>
              <w:sym w:font="Wingdings" w:char="00FC"/>
            </w:r>
          </w:p>
        </w:tc>
        <w:tc>
          <w:tcPr>
            <w:tcW w:w="1125" w:type="dxa"/>
            <w:tcBorders>
              <w:top w:val="single" w:sz="6" w:space="0" w:color="1F497D"/>
              <w:left w:val="single" w:sz="6" w:space="0" w:color="1F497D"/>
              <w:bottom w:val="single" w:sz="6" w:space="0" w:color="1F497D"/>
              <w:right w:val="single" w:sz="6" w:space="0" w:color="1F497D"/>
            </w:tcBorders>
            <w:shd w:val="clear" w:color="auto" w:fill="FFFFFF"/>
          </w:tcPr>
          <w:p w:rsidR="0033725C" w:rsidRPr="003410C7" w:rsidRDefault="0033725C" w:rsidP="00A73DBD">
            <w:pPr>
              <w:pStyle w:val="TableText"/>
              <w:rPr>
                <w:rFonts w:eastAsia="Calibri" w:cs="Segoe UI"/>
                <w:b/>
                <w:sz w:val="24"/>
                <w:szCs w:val="24"/>
              </w:rPr>
            </w:pPr>
          </w:p>
        </w:tc>
        <w:tc>
          <w:tcPr>
            <w:tcW w:w="1305" w:type="dxa"/>
            <w:tcBorders>
              <w:top w:val="single" w:sz="6" w:space="0" w:color="1F497D"/>
              <w:left w:val="single" w:sz="6" w:space="0" w:color="1F497D"/>
              <w:bottom w:val="single" w:sz="6" w:space="0" w:color="1F497D"/>
              <w:right w:val="single" w:sz="6" w:space="0" w:color="1F497D"/>
            </w:tcBorders>
            <w:shd w:val="clear" w:color="auto" w:fill="FFFFFF"/>
          </w:tcPr>
          <w:p w:rsidR="0033725C" w:rsidRPr="003410C7" w:rsidRDefault="0033725C" w:rsidP="00A73DBD">
            <w:pPr>
              <w:pStyle w:val="TableText"/>
              <w:rPr>
                <w:rFonts w:eastAsia="Calibri" w:cs="Segoe UI"/>
                <w:b/>
                <w:sz w:val="24"/>
                <w:szCs w:val="24"/>
              </w:rPr>
            </w:pPr>
          </w:p>
        </w:tc>
        <w:tc>
          <w:tcPr>
            <w:tcW w:w="1251" w:type="dxa"/>
            <w:tcBorders>
              <w:top w:val="single" w:sz="6" w:space="0" w:color="1F497D"/>
              <w:left w:val="single" w:sz="6" w:space="0" w:color="1F497D"/>
              <w:bottom w:val="single" w:sz="6" w:space="0" w:color="1F497D"/>
              <w:right w:val="single" w:sz="6" w:space="0" w:color="1F497D"/>
            </w:tcBorders>
            <w:shd w:val="clear" w:color="auto" w:fill="FFFFFF"/>
          </w:tcPr>
          <w:p w:rsidR="0033725C" w:rsidRPr="003410C7" w:rsidRDefault="0033725C" w:rsidP="00A73DBD">
            <w:pPr>
              <w:pStyle w:val="TableText"/>
              <w:rPr>
                <w:rFonts w:ascii="Segoe" w:eastAsia="Calibri" w:hAnsi="Segoe"/>
              </w:rPr>
            </w:pPr>
            <w:r w:rsidRPr="003410C7">
              <w:rPr>
                <w:rFonts w:eastAsia="Calibri" w:cs="Segoe UI"/>
                <w:b/>
                <w:sz w:val="24"/>
                <w:szCs w:val="24"/>
              </w:rPr>
              <w:sym w:font="Wingdings" w:char="00FC"/>
            </w:r>
          </w:p>
        </w:tc>
      </w:tr>
      <w:tr w:rsidR="000C172E" w:rsidRPr="003410C7" w:rsidTr="000C172E">
        <w:tc>
          <w:tcPr>
            <w:tcW w:w="2020" w:type="dxa"/>
            <w:tcBorders>
              <w:top w:val="single" w:sz="6" w:space="0" w:color="1F497D"/>
              <w:left w:val="single" w:sz="4" w:space="0" w:color="072B61"/>
              <w:bottom w:val="single" w:sz="6" w:space="0" w:color="1F497D"/>
              <w:right w:val="single" w:sz="6" w:space="0" w:color="1F497D"/>
            </w:tcBorders>
            <w:shd w:val="clear" w:color="auto" w:fill="FFFFFF"/>
          </w:tcPr>
          <w:p w:rsidR="0033725C" w:rsidRPr="00451078" w:rsidRDefault="0033725C" w:rsidP="00A73DBD">
            <w:pPr>
              <w:pStyle w:val="TableText"/>
              <w:jc w:val="left"/>
              <w:rPr>
                <w:rFonts w:ascii="Tahoma" w:eastAsia="Calibri" w:hAnsi="Tahoma" w:cs="Tahoma"/>
                <w:sz w:val="18"/>
                <w:szCs w:val="18"/>
                <w:lang w:val="it-IT"/>
              </w:rPr>
            </w:pPr>
            <w:r w:rsidRPr="00451078">
              <w:rPr>
                <w:rFonts w:ascii="Tahoma" w:eastAsia="Calibri" w:hAnsi="Tahoma" w:cs="Tahoma"/>
                <w:sz w:val="18"/>
                <w:szCs w:val="18"/>
                <w:lang w:val="it-IT"/>
              </w:rPr>
              <w:t>Creazione di Note utilizzando l</w:t>
            </w:r>
            <w:r w:rsidR="0073727D">
              <w:rPr>
                <w:rFonts w:ascii="Tahoma" w:eastAsia="Calibri" w:hAnsi="Tahoma" w:cs="Tahoma"/>
                <w:sz w:val="18"/>
                <w:szCs w:val="18"/>
                <w:lang w:val="it-IT"/>
              </w:rPr>
              <w:t>’</w:t>
            </w:r>
            <w:r w:rsidRPr="00451078">
              <w:rPr>
                <w:rFonts w:ascii="Tahoma" w:eastAsia="Calibri" w:hAnsi="Tahoma" w:cs="Tahoma"/>
                <w:sz w:val="18"/>
                <w:szCs w:val="18"/>
                <w:lang w:val="it-IT"/>
              </w:rPr>
              <w:t>Accesso alle API</w:t>
            </w:r>
          </w:p>
        </w:tc>
        <w:tc>
          <w:tcPr>
            <w:tcW w:w="972" w:type="dxa"/>
            <w:tcBorders>
              <w:top w:val="single" w:sz="6" w:space="0" w:color="1F497D"/>
              <w:left w:val="single" w:sz="6" w:space="0" w:color="1F497D"/>
              <w:bottom w:val="single" w:sz="6" w:space="0" w:color="1F497D"/>
              <w:right w:val="single" w:sz="6" w:space="0" w:color="1F497D"/>
            </w:tcBorders>
            <w:shd w:val="clear" w:color="auto" w:fill="FFFFFF"/>
          </w:tcPr>
          <w:p w:rsidR="0033725C" w:rsidRPr="003410C7" w:rsidRDefault="0033725C" w:rsidP="00A73DBD">
            <w:pPr>
              <w:pStyle w:val="TableText"/>
              <w:rPr>
                <w:rFonts w:ascii="Segoe" w:eastAsia="Calibri" w:hAnsi="Segoe"/>
              </w:rPr>
            </w:pPr>
            <w:r w:rsidRPr="003410C7">
              <w:rPr>
                <w:rFonts w:eastAsia="Calibri" w:cs="Segoe UI"/>
                <w:b/>
                <w:sz w:val="24"/>
                <w:szCs w:val="24"/>
              </w:rPr>
              <w:sym w:font="Wingdings" w:char="00FC"/>
            </w:r>
          </w:p>
        </w:tc>
        <w:tc>
          <w:tcPr>
            <w:tcW w:w="1053" w:type="dxa"/>
            <w:tcBorders>
              <w:top w:val="single" w:sz="6" w:space="0" w:color="1F497D"/>
              <w:left w:val="single" w:sz="6" w:space="0" w:color="1F497D"/>
              <w:bottom w:val="single" w:sz="6" w:space="0" w:color="1F497D"/>
              <w:right w:val="single" w:sz="6" w:space="0" w:color="1F497D"/>
            </w:tcBorders>
            <w:shd w:val="clear" w:color="auto" w:fill="FFFFFF"/>
          </w:tcPr>
          <w:p w:rsidR="0033725C" w:rsidRPr="003410C7" w:rsidRDefault="0033725C" w:rsidP="00A73DBD">
            <w:pPr>
              <w:pStyle w:val="TableText"/>
              <w:rPr>
                <w:rFonts w:ascii="Segoe" w:eastAsia="Calibri" w:hAnsi="Segoe"/>
              </w:rPr>
            </w:pPr>
            <w:r w:rsidRPr="003410C7">
              <w:rPr>
                <w:rFonts w:eastAsia="Calibri" w:cs="Segoe UI"/>
                <w:b/>
                <w:sz w:val="24"/>
                <w:szCs w:val="24"/>
              </w:rPr>
              <w:sym w:font="Wingdings" w:char="00FC"/>
            </w:r>
          </w:p>
        </w:tc>
        <w:tc>
          <w:tcPr>
            <w:tcW w:w="1152" w:type="dxa"/>
            <w:tcBorders>
              <w:top w:val="single" w:sz="6" w:space="0" w:color="1F497D"/>
              <w:left w:val="single" w:sz="6" w:space="0" w:color="1F497D"/>
              <w:bottom w:val="single" w:sz="6" w:space="0" w:color="1F497D"/>
              <w:right w:val="single" w:sz="6" w:space="0" w:color="1F497D"/>
            </w:tcBorders>
            <w:shd w:val="clear" w:color="auto" w:fill="FFFFFF"/>
          </w:tcPr>
          <w:p w:rsidR="0033725C" w:rsidRPr="003410C7" w:rsidRDefault="0033725C" w:rsidP="00A73DBD">
            <w:pPr>
              <w:pStyle w:val="TableText"/>
              <w:rPr>
                <w:rFonts w:ascii="Segoe" w:eastAsia="Calibri" w:hAnsi="Segoe"/>
              </w:rPr>
            </w:pPr>
            <w:r w:rsidRPr="003410C7">
              <w:rPr>
                <w:rFonts w:eastAsia="Calibri" w:cs="Segoe UI"/>
                <w:b/>
                <w:sz w:val="24"/>
                <w:szCs w:val="24"/>
              </w:rPr>
              <w:sym w:font="Wingdings" w:char="00FC"/>
            </w:r>
          </w:p>
        </w:tc>
        <w:tc>
          <w:tcPr>
            <w:tcW w:w="1125" w:type="dxa"/>
            <w:tcBorders>
              <w:top w:val="single" w:sz="6" w:space="0" w:color="1F497D"/>
              <w:left w:val="single" w:sz="6" w:space="0" w:color="1F497D"/>
              <w:bottom w:val="single" w:sz="6" w:space="0" w:color="1F497D"/>
              <w:right w:val="single" w:sz="6" w:space="0" w:color="1F497D"/>
            </w:tcBorders>
            <w:shd w:val="clear" w:color="auto" w:fill="FFFFFF"/>
          </w:tcPr>
          <w:p w:rsidR="0033725C" w:rsidRPr="003410C7" w:rsidRDefault="0033725C" w:rsidP="00A73DBD">
            <w:pPr>
              <w:pStyle w:val="TableText"/>
              <w:rPr>
                <w:rFonts w:eastAsia="Calibri" w:cs="Segoe UI"/>
                <w:b/>
                <w:sz w:val="24"/>
                <w:szCs w:val="24"/>
              </w:rPr>
            </w:pPr>
          </w:p>
        </w:tc>
        <w:tc>
          <w:tcPr>
            <w:tcW w:w="1305" w:type="dxa"/>
            <w:tcBorders>
              <w:top w:val="single" w:sz="6" w:space="0" w:color="1F497D"/>
              <w:left w:val="single" w:sz="6" w:space="0" w:color="1F497D"/>
              <w:bottom w:val="single" w:sz="6" w:space="0" w:color="1F497D"/>
              <w:right w:val="single" w:sz="6" w:space="0" w:color="1F497D"/>
            </w:tcBorders>
            <w:shd w:val="clear" w:color="auto" w:fill="FFFFFF"/>
          </w:tcPr>
          <w:p w:rsidR="0033725C" w:rsidRPr="003410C7" w:rsidRDefault="0033725C" w:rsidP="00A73DBD">
            <w:pPr>
              <w:pStyle w:val="TableText"/>
              <w:rPr>
                <w:rFonts w:eastAsia="Calibri" w:cs="Segoe UI"/>
                <w:b/>
                <w:sz w:val="24"/>
                <w:szCs w:val="24"/>
              </w:rPr>
            </w:pPr>
          </w:p>
        </w:tc>
        <w:tc>
          <w:tcPr>
            <w:tcW w:w="1251" w:type="dxa"/>
            <w:tcBorders>
              <w:top w:val="single" w:sz="6" w:space="0" w:color="1F497D"/>
              <w:left w:val="single" w:sz="6" w:space="0" w:color="1F497D"/>
              <w:bottom w:val="single" w:sz="6" w:space="0" w:color="1F497D"/>
              <w:right w:val="single" w:sz="6" w:space="0" w:color="1F497D"/>
            </w:tcBorders>
            <w:shd w:val="clear" w:color="auto" w:fill="FFFFFF"/>
          </w:tcPr>
          <w:p w:rsidR="0033725C" w:rsidRPr="003410C7" w:rsidRDefault="0033725C" w:rsidP="00A73DBD">
            <w:pPr>
              <w:pStyle w:val="TableText"/>
              <w:rPr>
                <w:rFonts w:ascii="Segoe" w:eastAsia="Calibri" w:hAnsi="Segoe"/>
              </w:rPr>
            </w:pPr>
            <w:r w:rsidRPr="003410C7">
              <w:rPr>
                <w:rFonts w:eastAsia="Calibri" w:cs="Segoe UI"/>
                <w:b/>
                <w:sz w:val="24"/>
                <w:szCs w:val="24"/>
              </w:rPr>
              <w:sym w:font="Wingdings" w:char="00FC"/>
            </w:r>
          </w:p>
        </w:tc>
      </w:tr>
      <w:tr w:rsidR="000C172E" w:rsidRPr="003410C7" w:rsidTr="000C172E">
        <w:tc>
          <w:tcPr>
            <w:tcW w:w="2020" w:type="dxa"/>
            <w:tcBorders>
              <w:top w:val="single" w:sz="6" w:space="0" w:color="1F497D"/>
              <w:left w:val="single" w:sz="4" w:space="0" w:color="072B61"/>
              <w:bottom w:val="single" w:sz="6" w:space="0" w:color="1F497D"/>
              <w:right w:val="single" w:sz="6" w:space="0" w:color="1F497D"/>
            </w:tcBorders>
            <w:shd w:val="clear" w:color="auto" w:fill="FFFFFF"/>
          </w:tcPr>
          <w:p w:rsidR="0033725C" w:rsidRPr="00451078" w:rsidRDefault="0033725C" w:rsidP="00A73DBD">
            <w:pPr>
              <w:pStyle w:val="TableText"/>
              <w:jc w:val="left"/>
              <w:rPr>
                <w:rFonts w:ascii="Tahoma" w:eastAsia="Calibri" w:hAnsi="Tahoma" w:cs="Tahoma"/>
                <w:sz w:val="18"/>
                <w:szCs w:val="18"/>
                <w:lang w:val="it-IT"/>
              </w:rPr>
            </w:pPr>
            <w:r w:rsidRPr="00451078">
              <w:rPr>
                <w:rFonts w:ascii="Tahoma" w:eastAsia="Calibri" w:hAnsi="Tahoma" w:cs="Tahoma"/>
                <w:sz w:val="18"/>
                <w:szCs w:val="18"/>
                <w:lang w:val="it-IT"/>
              </w:rPr>
              <w:t>Creazione di record delle persone giuridiche personalizzati utilizzando l</w:t>
            </w:r>
            <w:r w:rsidR="0073727D">
              <w:rPr>
                <w:rFonts w:ascii="Tahoma" w:eastAsia="Calibri" w:hAnsi="Tahoma" w:cs="Tahoma"/>
                <w:sz w:val="18"/>
                <w:szCs w:val="18"/>
                <w:lang w:val="it-IT"/>
              </w:rPr>
              <w:t>’</w:t>
            </w:r>
            <w:r w:rsidRPr="00451078">
              <w:rPr>
                <w:rFonts w:ascii="Tahoma" w:eastAsia="Calibri" w:hAnsi="Tahoma" w:cs="Tahoma"/>
                <w:sz w:val="18"/>
                <w:szCs w:val="18"/>
                <w:lang w:val="it-IT"/>
              </w:rPr>
              <w:t>Accesso alle API</w:t>
            </w:r>
          </w:p>
        </w:tc>
        <w:tc>
          <w:tcPr>
            <w:tcW w:w="972" w:type="dxa"/>
            <w:tcBorders>
              <w:top w:val="single" w:sz="6" w:space="0" w:color="1F497D"/>
              <w:left w:val="single" w:sz="6" w:space="0" w:color="1F497D"/>
              <w:bottom w:val="single" w:sz="6" w:space="0" w:color="1F497D"/>
              <w:right w:val="single" w:sz="6" w:space="0" w:color="1F497D"/>
            </w:tcBorders>
            <w:shd w:val="clear" w:color="auto" w:fill="FFFFFF"/>
          </w:tcPr>
          <w:p w:rsidR="0033725C" w:rsidRPr="003410C7" w:rsidRDefault="0033725C" w:rsidP="00A73DBD">
            <w:pPr>
              <w:pStyle w:val="TableText"/>
              <w:rPr>
                <w:rFonts w:ascii="Segoe" w:eastAsia="Calibri" w:hAnsi="Segoe"/>
              </w:rPr>
            </w:pPr>
            <w:r w:rsidRPr="003410C7">
              <w:rPr>
                <w:rFonts w:eastAsia="Calibri" w:cs="Segoe UI"/>
                <w:b/>
                <w:sz w:val="24"/>
                <w:szCs w:val="24"/>
              </w:rPr>
              <w:sym w:font="Wingdings" w:char="00FC"/>
            </w:r>
          </w:p>
        </w:tc>
        <w:tc>
          <w:tcPr>
            <w:tcW w:w="1053" w:type="dxa"/>
            <w:tcBorders>
              <w:top w:val="single" w:sz="6" w:space="0" w:color="1F497D"/>
              <w:left w:val="single" w:sz="6" w:space="0" w:color="1F497D"/>
              <w:bottom w:val="single" w:sz="6" w:space="0" w:color="1F497D"/>
              <w:right w:val="single" w:sz="6" w:space="0" w:color="1F497D"/>
            </w:tcBorders>
            <w:shd w:val="clear" w:color="auto" w:fill="FFFFFF"/>
          </w:tcPr>
          <w:p w:rsidR="0033725C" w:rsidRPr="003410C7" w:rsidRDefault="0033725C" w:rsidP="00A73DBD">
            <w:pPr>
              <w:pStyle w:val="TableText"/>
              <w:rPr>
                <w:rFonts w:ascii="Segoe" w:eastAsia="Calibri" w:hAnsi="Segoe"/>
              </w:rPr>
            </w:pPr>
            <w:r w:rsidRPr="003410C7">
              <w:rPr>
                <w:rFonts w:eastAsia="Calibri" w:cs="Segoe UI"/>
                <w:b/>
                <w:sz w:val="24"/>
                <w:szCs w:val="24"/>
              </w:rPr>
              <w:sym w:font="Wingdings" w:char="00FC"/>
            </w:r>
          </w:p>
        </w:tc>
        <w:tc>
          <w:tcPr>
            <w:tcW w:w="1152" w:type="dxa"/>
            <w:tcBorders>
              <w:top w:val="single" w:sz="6" w:space="0" w:color="1F497D"/>
              <w:left w:val="single" w:sz="6" w:space="0" w:color="1F497D"/>
              <w:bottom w:val="single" w:sz="6" w:space="0" w:color="1F497D"/>
              <w:right w:val="single" w:sz="6" w:space="0" w:color="1F497D"/>
            </w:tcBorders>
            <w:shd w:val="clear" w:color="auto" w:fill="FFFFFF"/>
          </w:tcPr>
          <w:p w:rsidR="0033725C" w:rsidRPr="003410C7" w:rsidRDefault="0033725C" w:rsidP="00A73DBD">
            <w:pPr>
              <w:pStyle w:val="TableText"/>
              <w:rPr>
                <w:rFonts w:ascii="Segoe" w:eastAsia="Calibri" w:hAnsi="Segoe"/>
              </w:rPr>
            </w:pPr>
            <w:r w:rsidRPr="003410C7">
              <w:rPr>
                <w:rFonts w:eastAsia="Calibri" w:cs="Segoe UI"/>
                <w:b/>
                <w:sz w:val="24"/>
                <w:szCs w:val="24"/>
              </w:rPr>
              <w:sym w:font="Wingdings" w:char="00FC"/>
            </w:r>
          </w:p>
        </w:tc>
        <w:tc>
          <w:tcPr>
            <w:tcW w:w="1125" w:type="dxa"/>
            <w:tcBorders>
              <w:top w:val="single" w:sz="6" w:space="0" w:color="1F497D"/>
              <w:left w:val="single" w:sz="6" w:space="0" w:color="1F497D"/>
              <w:bottom w:val="single" w:sz="6" w:space="0" w:color="1F497D"/>
              <w:right w:val="single" w:sz="6" w:space="0" w:color="1F497D"/>
            </w:tcBorders>
            <w:shd w:val="clear" w:color="auto" w:fill="FFFFFF"/>
          </w:tcPr>
          <w:p w:rsidR="0033725C" w:rsidRPr="003410C7" w:rsidRDefault="0033725C" w:rsidP="00A73DBD">
            <w:pPr>
              <w:pStyle w:val="TableText"/>
              <w:rPr>
                <w:rFonts w:eastAsia="Calibri" w:cs="Segoe UI"/>
                <w:b/>
                <w:sz w:val="24"/>
                <w:szCs w:val="24"/>
              </w:rPr>
            </w:pPr>
          </w:p>
        </w:tc>
        <w:tc>
          <w:tcPr>
            <w:tcW w:w="1305" w:type="dxa"/>
            <w:tcBorders>
              <w:top w:val="single" w:sz="6" w:space="0" w:color="1F497D"/>
              <w:left w:val="single" w:sz="6" w:space="0" w:color="1F497D"/>
              <w:bottom w:val="single" w:sz="6" w:space="0" w:color="1F497D"/>
              <w:right w:val="single" w:sz="6" w:space="0" w:color="1F497D"/>
            </w:tcBorders>
            <w:shd w:val="clear" w:color="auto" w:fill="FFFFFF"/>
          </w:tcPr>
          <w:p w:rsidR="0033725C" w:rsidRPr="003410C7" w:rsidRDefault="0033725C" w:rsidP="00A73DBD">
            <w:pPr>
              <w:pStyle w:val="TableText"/>
              <w:rPr>
                <w:rFonts w:eastAsia="Calibri" w:cs="Segoe UI"/>
                <w:b/>
                <w:sz w:val="24"/>
                <w:szCs w:val="24"/>
              </w:rPr>
            </w:pPr>
          </w:p>
        </w:tc>
        <w:tc>
          <w:tcPr>
            <w:tcW w:w="1251" w:type="dxa"/>
            <w:tcBorders>
              <w:top w:val="single" w:sz="6" w:space="0" w:color="1F497D"/>
              <w:left w:val="single" w:sz="6" w:space="0" w:color="1F497D"/>
              <w:bottom w:val="single" w:sz="6" w:space="0" w:color="1F497D"/>
              <w:right w:val="single" w:sz="6" w:space="0" w:color="1F497D"/>
            </w:tcBorders>
            <w:shd w:val="clear" w:color="auto" w:fill="FFFFFF"/>
          </w:tcPr>
          <w:p w:rsidR="0033725C" w:rsidRPr="003410C7" w:rsidRDefault="0033725C" w:rsidP="00A73DBD">
            <w:pPr>
              <w:pStyle w:val="TableText"/>
              <w:rPr>
                <w:rFonts w:ascii="Segoe" w:eastAsia="Calibri" w:hAnsi="Segoe"/>
              </w:rPr>
            </w:pPr>
            <w:r w:rsidRPr="003410C7">
              <w:rPr>
                <w:rFonts w:eastAsia="Calibri" w:cs="Segoe UI"/>
                <w:b/>
                <w:sz w:val="24"/>
                <w:szCs w:val="24"/>
              </w:rPr>
              <w:sym w:font="Wingdings" w:char="00FC"/>
            </w:r>
          </w:p>
        </w:tc>
      </w:tr>
      <w:tr w:rsidR="000C172E" w:rsidRPr="003410C7" w:rsidTr="000C172E">
        <w:tc>
          <w:tcPr>
            <w:tcW w:w="2020" w:type="dxa"/>
            <w:tcBorders>
              <w:top w:val="single" w:sz="6" w:space="0" w:color="1F497D"/>
              <w:left w:val="single" w:sz="4" w:space="0" w:color="072B61"/>
              <w:bottom w:val="single" w:sz="6" w:space="0" w:color="1F497D"/>
              <w:right w:val="single" w:sz="6" w:space="0" w:color="1F497D"/>
            </w:tcBorders>
            <w:shd w:val="clear" w:color="auto" w:fill="FFFFFF"/>
          </w:tcPr>
          <w:p w:rsidR="0033725C" w:rsidRPr="00451078" w:rsidRDefault="0033725C" w:rsidP="00A73DBD">
            <w:pPr>
              <w:pStyle w:val="TableText"/>
              <w:jc w:val="left"/>
              <w:rPr>
                <w:rFonts w:ascii="Tahoma" w:eastAsia="Calibri" w:hAnsi="Tahoma" w:cs="Tahoma"/>
                <w:sz w:val="18"/>
                <w:szCs w:val="18"/>
                <w:lang w:val="it-IT"/>
              </w:rPr>
            </w:pPr>
            <w:r w:rsidRPr="00451078">
              <w:rPr>
                <w:rFonts w:ascii="Tahoma" w:eastAsia="Calibri" w:hAnsi="Tahoma" w:cs="Tahoma"/>
                <w:sz w:val="18"/>
                <w:szCs w:val="18"/>
                <w:lang w:val="it-IT"/>
              </w:rPr>
              <w:t>Aggiornamento di Account utilizzando l</w:t>
            </w:r>
            <w:r w:rsidR="0073727D">
              <w:rPr>
                <w:rFonts w:ascii="Tahoma" w:eastAsia="Calibri" w:hAnsi="Tahoma" w:cs="Tahoma"/>
                <w:sz w:val="18"/>
                <w:szCs w:val="18"/>
                <w:lang w:val="it-IT"/>
              </w:rPr>
              <w:t>’</w:t>
            </w:r>
            <w:r w:rsidRPr="00451078">
              <w:rPr>
                <w:rFonts w:ascii="Tahoma" w:eastAsia="Calibri" w:hAnsi="Tahoma" w:cs="Tahoma"/>
                <w:sz w:val="18"/>
                <w:szCs w:val="18"/>
                <w:lang w:val="it-IT"/>
              </w:rPr>
              <w:t>Accesso alle API</w:t>
            </w:r>
          </w:p>
        </w:tc>
        <w:tc>
          <w:tcPr>
            <w:tcW w:w="972" w:type="dxa"/>
            <w:tcBorders>
              <w:top w:val="single" w:sz="6" w:space="0" w:color="1F497D"/>
              <w:left w:val="single" w:sz="6" w:space="0" w:color="1F497D"/>
              <w:bottom w:val="single" w:sz="6" w:space="0" w:color="1F497D"/>
              <w:right w:val="single" w:sz="6" w:space="0" w:color="1F497D"/>
            </w:tcBorders>
            <w:shd w:val="clear" w:color="auto" w:fill="FFFFFF"/>
          </w:tcPr>
          <w:p w:rsidR="0033725C" w:rsidRPr="003410C7" w:rsidRDefault="0033725C" w:rsidP="00A73DBD">
            <w:pPr>
              <w:pStyle w:val="TableText"/>
              <w:rPr>
                <w:rFonts w:ascii="Segoe" w:eastAsia="Calibri" w:hAnsi="Segoe"/>
              </w:rPr>
            </w:pPr>
            <w:r w:rsidRPr="003410C7">
              <w:rPr>
                <w:rFonts w:eastAsia="Calibri" w:cs="Segoe UI"/>
                <w:b/>
                <w:sz w:val="24"/>
                <w:szCs w:val="24"/>
              </w:rPr>
              <w:sym w:font="Wingdings" w:char="00FC"/>
            </w:r>
          </w:p>
        </w:tc>
        <w:tc>
          <w:tcPr>
            <w:tcW w:w="1053" w:type="dxa"/>
            <w:tcBorders>
              <w:top w:val="single" w:sz="6" w:space="0" w:color="1F497D"/>
              <w:left w:val="single" w:sz="6" w:space="0" w:color="1F497D"/>
              <w:bottom w:val="single" w:sz="6" w:space="0" w:color="1F497D"/>
              <w:right w:val="single" w:sz="6" w:space="0" w:color="1F497D"/>
            </w:tcBorders>
            <w:shd w:val="clear" w:color="auto" w:fill="FFFFFF"/>
          </w:tcPr>
          <w:p w:rsidR="0033725C" w:rsidRPr="003410C7" w:rsidRDefault="0033725C" w:rsidP="00A73DBD">
            <w:pPr>
              <w:pStyle w:val="TableText"/>
              <w:rPr>
                <w:rFonts w:ascii="Segoe" w:eastAsia="Calibri" w:hAnsi="Segoe"/>
              </w:rPr>
            </w:pPr>
            <w:r w:rsidRPr="003410C7">
              <w:rPr>
                <w:rFonts w:eastAsia="Calibri" w:cs="Segoe UI"/>
                <w:b/>
                <w:sz w:val="24"/>
                <w:szCs w:val="24"/>
              </w:rPr>
              <w:sym w:font="Wingdings" w:char="00FC"/>
            </w:r>
          </w:p>
        </w:tc>
        <w:tc>
          <w:tcPr>
            <w:tcW w:w="1152" w:type="dxa"/>
            <w:tcBorders>
              <w:top w:val="single" w:sz="6" w:space="0" w:color="1F497D"/>
              <w:left w:val="single" w:sz="6" w:space="0" w:color="1F497D"/>
              <w:bottom w:val="single" w:sz="6" w:space="0" w:color="1F497D"/>
              <w:right w:val="single" w:sz="6" w:space="0" w:color="1F497D"/>
            </w:tcBorders>
            <w:shd w:val="clear" w:color="auto" w:fill="FFFFFF"/>
          </w:tcPr>
          <w:p w:rsidR="0033725C" w:rsidRPr="003410C7" w:rsidRDefault="0033725C" w:rsidP="00A73DBD">
            <w:pPr>
              <w:pStyle w:val="TableText"/>
              <w:rPr>
                <w:rFonts w:ascii="Segoe" w:eastAsia="Calibri" w:hAnsi="Segoe"/>
              </w:rPr>
            </w:pPr>
            <w:r w:rsidRPr="003410C7">
              <w:rPr>
                <w:rFonts w:eastAsia="Calibri" w:cs="Segoe UI"/>
                <w:b/>
                <w:sz w:val="24"/>
                <w:szCs w:val="24"/>
              </w:rPr>
              <w:sym w:font="Wingdings" w:char="00FC"/>
            </w:r>
          </w:p>
        </w:tc>
        <w:tc>
          <w:tcPr>
            <w:tcW w:w="1125" w:type="dxa"/>
            <w:tcBorders>
              <w:top w:val="single" w:sz="6" w:space="0" w:color="1F497D"/>
              <w:left w:val="single" w:sz="6" w:space="0" w:color="1F497D"/>
              <w:bottom w:val="single" w:sz="6" w:space="0" w:color="1F497D"/>
              <w:right w:val="single" w:sz="6" w:space="0" w:color="1F497D"/>
            </w:tcBorders>
            <w:shd w:val="clear" w:color="auto" w:fill="FFFFFF"/>
          </w:tcPr>
          <w:p w:rsidR="0033725C" w:rsidRPr="003410C7" w:rsidRDefault="0033725C" w:rsidP="00A73DBD">
            <w:pPr>
              <w:pStyle w:val="TableText"/>
              <w:rPr>
                <w:rFonts w:eastAsia="Calibri" w:cs="Segoe UI"/>
                <w:b/>
                <w:sz w:val="24"/>
                <w:szCs w:val="24"/>
              </w:rPr>
            </w:pPr>
          </w:p>
        </w:tc>
        <w:tc>
          <w:tcPr>
            <w:tcW w:w="1305" w:type="dxa"/>
            <w:tcBorders>
              <w:top w:val="single" w:sz="6" w:space="0" w:color="1F497D"/>
              <w:left w:val="single" w:sz="6" w:space="0" w:color="1F497D"/>
              <w:bottom w:val="single" w:sz="6" w:space="0" w:color="1F497D"/>
              <w:right w:val="single" w:sz="6" w:space="0" w:color="1F497D"/>
            </w:tcBorders>
            <w:shd w:val="clear" w:color="auto" w:fill="FFFFFF"/>
          </w:tcPr>
          <w:p w:rsidR="0033725C" w:rsidRPr="003410C7" w:rsidRDefault="0033725C" w:rsidP="00A73DBD">
            <w:pPr>
              <w:pStyle w:val="TableText"/>
              <w:rPr>
                <w:rFonts w:eastAsia="Calibri" w:cs="Segoe UI"/>
                <w:b/>
                <w:sz w:val="24"/>
                <w:szCs w:val="24"/>
              </w:rPr>
            </w:pPr>
          </w:p>
        </w:tc>
        <w:tc>
          <w:tcPr>
            <w:tcW w:w="1251" w:type="dxa"/>
            <w:tcBorders>
              <w:top w:val="single" w:sz="6" w:space="0" w:color="1F497D"/>
              <w:left w:val="single" w:sz="6" w:space="0" w:color="1F497D"/>
              <w:bottom w:val="single" w:sz="6" w:space="0" w:color="1F497D"/>
              <w:right w:val="single" w:sz="6" w:space="0" w:color="1F497D"/>
            </w:tcBorders>
            <w:shd w:val="clear" w:color="auto" w:fill="FFFFFF"/>
          </w:tcPr>
          <w:p w:rsidR="0033725C" w:rsidRPr="003410C7" w:rsidRDefault="0033725C" w:rsidP="00A73DBD">
            <w:pPr>
              <w:pStyle w:val="TableText"/>
              <w:rPr>
                <w:rFonts w:ascii="Segoe" w:eastAsia="Calibri" w:hAnsi="Segoe"/>
              </w:rPr>
            </w:pPr>
            <w:r w:rsidRPr="003410C7">
              <w:rPr>
                <w:rFonts w:eastAsia="Calibri" w:cs="Segoe UI"/>
                <w:b/>
                <w:sz w:val="24"/>
                <w:szCs w:val="24"/>
              </w:rPr>
              <w:sym w:font="Wingdings" w:char="00FC"/>
            </w:r>
          </w:p>
        </w:tc>
      </w:tr>
      <w:tr w:rsidR="000C172E" w:rsidRPr="003410C7" w:rsidTr="000C172E">
        <w:tc>
          <w:tcPr>
            <w:tcW w:w="2020" w:type="dxa"/>
            <w:tcBorders>
              <w:top w:val="single" w:sz="6" w:space="0" w:color="1F497D"/>
              <w:left w:val="single" w:sz="4" w:space="0" w:color="072B61"/>
              <w:bottom w:val="single" w:sz="6" w:space="0" w:color="1F497D"/>
              <w:right w:val="single" w:sz="6" w:space="0" w:color="1F497D"/>
            </w:tcBorders>
            <w:shd w:val="clear" w:color="auto" w:fill="FFFFFF"/>
          </w:tcPr>
          <w:p w:rsidR="0033725C" w:rsidRPr="00451078" w:rsidRDefault="0033725C" w:rsidP="00A73DBD">
            <w:pPr>
              <w:pStyle w:val="TableText"/>
              <w:jc w:val="left"/>
              <w:rPr>
                <w:rFonts w:ascii="Tahoma" w:eastAsia="Calibri" w:hAnsi="Tahoma" w:cs="Tahoma"/>
                <w:sz w:val="18"/>
                <w:szCs w:val="18"/>
                <w:lang w:val="it-IT"/>
              </w:rPr>
            </w:pPr>
            <w:r w:rsidRPr="00451078">
              <w:rPr>
                <w:rFonts w:ascii="Tahoma" w:eastAsia="Calibri" w:hAnsi="Tahoma" w:cs="Tahoma"/>
                <w:sz w:val="18"/>
                <w:szCs w:val="18"/>
                <w:lang w:val="it-IT"/>
              </w:rPr>
              <w:t>Aggiornamento di Contatti utilizzando l</w:t>
            </w:r>
            <w:r w:rsidR="0073727D">
              <w:rPr>
                <w:rFonts w:ascii="Tahoma" w:eastAsia="Calibri" w:hAnsi="Tahoma" w:cs="Tahoma"/>
                <w:sz w:val="18"/>
                <w:szCs w:val="18"/>
                <w:lang w:val="it-IT"/>
              </w:rPr>
              <w:t>’</w:t>
            </w:r>
            <w:r w:rsidRPr="00451078">
              <w:rPr>
                <w:rFonts w:ascii="Tahoma" w:eastAsia="Calibri" w:hAnsi="Tahoma" w:cs="Tahoma"/>
                <w:sz w:val="18"/>
                <w:szCs w:val="18"/>
                <w:lang w:val="it-IT"/>
              </w:rPr>
              <w:t>Accesso alle API</w:t>
            </w:r>
          </w:p>
        </w:tc>
        <w:tc>
          <w:tcPr>
            <w:tcW w:w="972" w:type="dxa"/>
            <w:tcBorders>
              <w:top w:val="single" w:sz="6" w:space="0" w:color="1F497D"/>
              <w:left w:val="single" w:sz="6" w:space="0" w:color="1F497D"/>
              <w:bottom w:val="single" w:sz="6" w:space="0" w:color="1F497D"/>
              <w:right w:val="single" w:sz="6" w:space="0" w:color="1F497D"/>
            </w:tcBorders>
            <w:shd w:val="clear" w:color="auto" w:fill="FFFFFF"/>
          </w:tcPr>
          <w:p w:rsidR="0033725C" w:rsidRPr="003410C7" w:rsidRDefault="0033725C" w:rsidP="00A73DBD">
            <w:pPr>
              <w:pStyle w:val="TableText"/>
              <w:rPr>
                <w:rFonts w:ascii="Segoe" w:eastAsia="Calibri" w:hAnsi="Segoe"/>
              </w:rPr>
            </w:pPr>
            <w:r w:rsidRPr="003410C7">
              <w:rPr>
                <w:rFonts w:eastAsia="Calibri" w:cs="Segoe UI"/>
                <w:b/>
                <w:sz w:val="24"/>
                <w:szCs w:val="24"/>
              </w:rPr>
              <w:sym w:font="Wingdings" w:char="00FC"/>
            </w:r>
          </w:p>
        </w:tc>
        <w:tc>
          <w:tcPr>
            <w:tcW w:w="1053" w:type="dxa"/>
            <w:tcBorders>
              <w:top w:val="single" w:sz="6" w:space="0" w:color="1F497D"/>
              <w:left w:val="single" w:sz="6" w:space="0" w:color="1F497D"/>
              <w:bottom w:val="single" w:sz="6" w:space="0" w:color="1F497D"/>
              <w:right w:val="single" w:sz="6" w:space="0" w:color="1F497D"/>
            </w:tcBorders>
            <w:shd w:val="clear" w:color="auto" w:fill="FFFFFF"/>
          </w:tcPr>
          <w:p w:rsidR="0033725C" w:rsidRPr="003410C7" w:rsidRDefault="0033725C" w:rsidP="00A73DBD">
            <w:pPr>
              <w:pStyle w:val="TableText"/>
              <w:rPr>
                <w:rFonts w:ascii="Segoe" w:eastAsia="Calibri" w:hAnsi="Segoe"/>
              </w:rPr>
            </w:pPr>
            <w:r w:rsidRPr="003410C7">
              <w:rPr>
                <w:rFonts w:eastAsia="Calibri" w:cs="Segoe UI"/>
                <w:b/>
                <w:sz w:val="24"/>
                <w:szCs w:val="24"/>
              </w:rPr>
              <w:sym w:font="Wingdings" w:char="00FC"/>
            </w:r>
          </w:p>
        </w:tc>
        <w:tc>
          <w:tcPr>
            <w:tcW w:w="1152" w:type="dxa"/>
            <w:tcBorders>
              <w:top w:val="single" w:sz="6" w:space="0" w:color="1F497D"/>
              <w:left w:val="single" w:sz="6" w:space="0" w:color="1F497D"/>
              <w:bottom w:val="single" w:sz="6" w:space="0" w:color="1F497D"/>
              <w:right w:val="single" w:sz="6" w:space="0" w:color="1F497D"/>
            </w:tcBorders>
            <w:shd w:val="clear" w:color="auto" w:fill="FFFFFF"/>
          </w:tcPr>
          <w:p w:rsidR="0033725C" w:rsidRPr="003410C7" w:rsidRDefault="0033725C" w:rsidP="00A73DBD">
            <w:pPr>
              <w:pStyle w:val="TableText"/>
              <w:rPr>
                <w:rFonts w:ascii="Segoe" w:eastAsia="Calibri" w:hAnsi="Segoe"/>
              </w:rPr>
            </w:pPr>
            <w:r w:rsidRPr="003410C7">
              <w:rPr>
                <w:rFonts w:eastAsia="Calibri" w:cs="Segoe UI"/>
                <w:b/>
                <w:sz w:val="24"/>
                <w:szCs w:val="24"/>
              </w:rPr>
              <w:sym w:font="Wingdings" w:char="00FC"/>
            </w:r>
          </w:p>
        </w:tc>
        <w:tc>
          <w:tcPr>
            <w:tcW w:w="1125" w:type="dxa"/>
            <w:tcBorders>
              <w:top w:val="single" w:sz="6" w:space="0" w:color="1F497D"/>
              <w:left w:val="single" w:sz="6" w:space="0" w:color="1F497D"/>
              <w:bottom w:val="single" w:sz="6" w:space="0" w:color="1F497D"/>
              <w:right w:val="single" w:sz="6" w:space="0" w:color="1F497D"/>
            </w:tcBorders>
            <w:shd w:val="clear" w:color="auto" w:fill="FFFFFF"/>
          </w:tcPr>
          <w:p w:rsidR="0033725C" w:rsidRPr="003410C7" w:rsidRDefault="0033725C" w:rsidP="00A73DBD">
            <w:pPr>
              <w:pStyle w:val="TableText"/>
              <w:rPr>
                <w:rFonts w:eastAsia="Calibri" w:cs="Segoe UI"/>
                <w:b/>
                <w:sz w:val="24"/>
                <w:szCs w:val="24"/>
              </w:rPr>
            </w:pPr>
          </w:p>
        </w:tc>
        <w:tc>
          <w:tcPr>
            <w:tcW w:w="1305" w:type="dxa"/>
            <w:tcBorders>
              <w:top w:val="single" w:sz="6" w:space="0" w:color="1F497D"/>
              <w:left w:val="single" w:sz="6" w:space="0" w:color="1F497D"/>
              <w:bottom w:val="single" w:sz="6" w:space="0" w:color="1F497D"/>
              <w:right w:val="single" w:sz="6" w:space="0" w:color="1F497D"/>
            </w:tcBorders>
            <w:shd w:val="clear" w:color="auto" w:fill="FFFFFF"/>
          </w:tcPr>
          <w:p w:rsidR="0033725C" w:rsidRPr="003410C7" w:rsidRDefault="0033725C" w:rsidP="00A73DBD">
            <w:pPr>
              <w:pStyle w:val="TableText"/>
              <w:rPr>
                <w:rFonts w:eastAsia="Calibri" w:cs="Segoe UI"/>
                <w:b/>
                <w:sz w:val="24"/>
                <w:szCs w:val="24"/>
              </w:rPr>
            </w:pPr>
          </w:p>
        </w:tc>
        <w:tc>
          <w:tcPr>
            <w:tcW w:w="1251" w:type="dxa"/>
            <w:tcBorders>
              <w:top w:val="single" w:sz="6" w:space="0" w:color="1F497D"/>
              <w:left w:val="single" w:sz="6" w:space="0" w:color="1F497D"/>
              <w:bottom w:val="single" w:sz="6" w:space="0" w:color="1F497D"/>
              <w:right w:val="single" w:sz="6" w:space="0" w:color="1F497D"/>
            </w:tcBorders>
            <w:shd w:val="clear" w:color="auto" w:fill="FFFFFF"/>
          </w:tcPr>
          <w:p w:rsidR="0033725C" w:rsidRPr="003410C7" w:rsidRDefault="0033725C" w:rsidP="00A73DBD">
            <w:pPr>
              <w:pStyle w:val="TableText"/>
              <w:rPr>
                <w:rFonts w:ascii="Segoe" w:eastAsia="Calibri" w:hAnsi="Segoe"/>
              </w:rPr>
            </w:pPr>
            <w:r w:rsidRPr="003410C7">
              <w:rPr>
                <w:rFonts w:eastAsia="Calibri" w:cs="Segoe UI"/>
                <w:b/>
                <w:sz w:val="24"/>
                <w:szCs w:val="24"/>
              </w:rPr>
              <w:sym w:font="Wingdings" w:char="00FC"/>
            </w:r>
          </w:p>
        </w:tc>
      </w:tr>
      <w:tr w:rsidR="000C172E" w:rsidRPr="003410C7" w:rsidTr="000C172E">
        <w:tc>
          <w:tcPr>
            <w:tcW w:w="2020" w:type="dxa"/>
            <w:tcBorders>
              <w:top w:val="single" w:sz="6" w:space="0" w:color="1F497D"/>
              <w:left w:val="single" w:sz="4" w:space="0" w:color="072B61"/>
              <w:bottom w:val="single" w:sz="6" w:space="0" w:color="1F497D"/>
              <w:right w:val="single" w:sz="6" w:space="0" w:color="1F497D"/>
            </w:tcBorders>
            <w:shd w:val="clear" w:color="auto" w:fill="FFFFFF"/>
          </w:tcPr>
          <w:p w:rsidR="0033725C" w:rsidRPr="00451078" w:rsidRDefault="0033725C" w:rsidP="00A73DBD">
            <w:pPr>
              <w:pStyle w:val="TableText"/>
              <w:jc w:val="left"/>
              <w:rPr>
                <w:rFonts w:ascii="Tahoma" w:eastAsia="Calibri" w:hAnsi="Tahoma" w:cs="Tahoma"/>
                <w:sz w:val="18"/>
                <w:szCs w:val="18"/>
                <w:lang w:val="it-IT"/>
              </w:rPr>
            </w:pPr>
            <w:r w:rsidRPr="00451078">
              <w:rPr>
                <w:rFonts w:ascii="Tahoma" w:eastAsia="Calibri" w:hAnsi="Tahoma" w:cs="Tahoma"/>
                <w:sz w:val="18"/>
                <w:szCs w:val="18"/>
                <w:lang w:val="it-IT"/>
              </w:rPr>
              <w:t>Aggiornamento di Casi utilizzando l</w:t>
            </w:r>
            <w:r w:rsidR="0073727D">
              <w:rPr>
                <w:rFonts w:ascii="Tahoma" w:eastAsia="Calibri" w:hAnsi="Tahoma" w:cs="Tahoma"/>
                <w:sz w:val="18"/>
                <w:szCs w:val="18"/>
                <w:lang w:val="it-IT"/>
              </w:rPr>
              <w:t>’</w:t>
            </w:r>
            <w:r w:rsidRPr="00451078">
              <w:rPr>
                <w:rFonts w:ascii="Tahoma" w:eastAsia="Calibri" w:hAnsi="Tahoma" w:cs="Tahoma"/>
                <w:sz w:val="18"/>
                <w:szCs w:val="18"/>
                <w:lang w:val="it-IT"/>
              </w:rPr>
              <w:t>Accesso alle API</w:t>
            </w:r>
          </w:p>
        </w:tc>
        <w:tc>
          <w:tcPr>
            <w:tcW w:w="972" w:type="dxa"/>
            <w:tcBorders>
              <w:top w:val="single" w:sz="6" w:space="0" w:color="1F497D"/>
              <w:left w:val="single" w:sz="6" w:space="0" w:color="1F497D"/>
              <w:bottom w:val="single" w:sz="6" w:space="0" w:color="1F497D"/>
              <w:right w:val="single" w:sz="6" w:space="0" w:color="1F497D"/>
            </w:tcBorders>
            <w:shd w:val="clear" w:color="auto" w:fill="FFFFFF"/>
          </w:tcPr>
          <w:p w:rsidR="0033725C" w:rsidRPr="003410C7" w:rsidRDefault="0033725C" w:rsidP="00A73DBD">
            <w:pPr>
              <w:pStyle w:val="TableText"/>
              <w:rPr>
                <w:rFonts w:ascii="Segoe" w:eastAsia="Calibri" w:hAnsi="Segoe"/>
              </w:rPr>
            </w:pPr>
            <w:r w:rsidRPr="003410C7">
              <w:rPr>
                <w:rFonts w:eastAsia="Calibri" w:cs="Segoe UI"/>
                <w:b/>
                <w:sz w:val="24"/>
                <w:szCs w:val="24"/>
              </w:rPr>
              <w:sym w:font="Wingdings" w:char="00FC"/>
            </w:r>
          </w:p>
        </w:tc>
        <w:tc>
          <w:tcPr>
            <w:tcW w:w="1053" w:type="dxa"/>
            <w:tcBorders>
              <w:top w:val="single" w:sz="6" w:space="0" w:color="1F497D"/>
              <w:left w:val="single" w:sz="6" w:space="0" w:color="1F497D"/>
              <w:bottom w:val="single" w:sz="6" w:space="0" w:color="1F497D"/>
              <w:right w:val="single" w:sz="6" w:space="0" w:color="1F497D"/>
            </w:tcBorders>
            <w:shd w:val="clear" w:color="auto" w:fill="FFFFFF"/>
          </w:tcPr>
          <w:p w:rsidR="0033725C" w:rsidRPr="003410C7" w:rsidRDefault="0033725C" w:rsidP="00A73DBD">
            <w:pPr>
              <w:pStyle w:val="TableText"/>
              <w:rPr>
                <w:rFonts w:ascii="Segoe" w:eastAsia="Calibri" w:hAnsi="Segoe"/>
              </w:rPr>
            </w:pPr>
            <w:r w:rsidRPr="003410C7">
              <w:rPr>
                <w:rFonts w:eastAsia="Calibri" w:cs="Segoe UI"/>
                <w:b/>
                <w:sz w:val="24"/>
                <w:szCs w:val="24"/>
              </w:rPr>
              <w:sym w:font="Wingdings" w:char="00FC"/>
            </w:r>
          </w:p>
        </w:tc>
        <w:tc>
          <w:tcPr>
            <w:tcW w:w="1152" w:type="dxa"/>
            <w:tcBorders>
              <w:top w:val="single" w:sz="6" w:space="0" w:color="1F497D"/>
              <w:left w:val="single" w:sz="6" w:space="0" w:color="1F497D"/>
              <w:bottom w:val="single" w:sz="6" w:space="0" w:color="1F497D"/>
              <w:right w:val="single" w:sz="6" w:space="0" w:color="1F497D"/>
            </w:tcBorders>
            <w:shd w:val="clear" w:color="auto" w:fill="FFFFFF"/>
          </w:tcPr>
          <w:p w:rsidR="0033725C" w:rsidRPr="003410C7" w:rsidRDefault="0033725C" w:rsidP="00A73DBD">
            <w:pPr>
              <w:pStyle w:val="TableText"/>
              <w:rPr>
                <w:rFonts w:ascii="Segoe" w:eastAsia="Calibri" w:hAnsi="Segoe"/>
              </w:rPr>
            </w:pPr>
            <w:r w:rsidRPr="003410C7">
              <w:rPr>
                <w:rFonts w:eastAsia="Calibri" w:cs="Segoe UI"/>
                <w:b/>
                <w:sz w:val="24"/>
                <w:szCs w:val="24"/>
              </w:rPr>
              <w:sym w:font="Wingdings" w:char="00FC"/>
            </w:r>
          </w:p>
        </w:tc>
        <w:tc>
          <w:tcPr>
            <w:tcW w:w="1125" w:type="dxa"/>
            <w:tcBorders>
              <w:top w:val="single" w:sz="6" w:space="0" w:color="1F497D"/>
              <w:left w:val="single" w:sz="6" w:space="0" w:color="1F497D"/>
              <w:bottom w:val="single" w:sz="6" w:space="0" w:color="1F497D"/>
              <w:right w:val="single" w:sz="6" w:space="0" w:color="1F497D"/>
            </w:tcBorders>
            <w:shd w:val="clear" w:color="auto" w:fill="FFFFFF"/>
          </w:tcPr>
          <w:p w:rsidR="0033725C" w:rsidRPr="003410C7" w:rsidRDefault="0033725C" w:rsidP="00A73DBD">
            <w:pPr>
              <w:pStyle w:val="TableText"/>
              <w:rPr>
                <w:rFonts w:eastAsia="Calibri" w:cs="Segoe UI"/>
                <w:b/>
                <w:sz w:val="24"/>
                <w:szCs w:val="24"/>
              </w:rPr>
            </w:pPr>
          </w:p>
        </w:tc>
        <w:tc>
          <w:tcPr>
            <w:tcW w:w="1305" w:type="dxa"/>
            <w:tcBorders>
              <w:top w:val="single" w:sz="6" w:space="0" w:color="1F497D"/>
              <w:left w:val="single" w:sz="6" w:space="0" w:color="1F497D"/>
              <w:bottom w:val="single" w:sz="6" w:space="0" w:color="1F497D"/>
              <w:right w:val="single" w:sz="6" w:space="0" w:color="1F497D"/>
            </w:tcBorders>
            <w:shd w:val="clear" w:color="auto" w:fill="FFFFFF"/>
          </w:tcPr>
          <w:p w:rsidR="0033725C" w:rsidRPr="003410C7" w:rsidRDefault="0033725C" w:rsidP="00A73DBD">
            <w:pPr>
              <w:pStyle w:val="TableText"/>
              <w:rPr>
                <w:rFonts w:eastAsia="Calibri" w:cs="Segoe UI"/>
                <w:b/>
                <w:sz w:val="24"/>
                <w:szCs w:val="24"/>
              </w:rPr>
            </w:pPr>
          </w:p>
        </w:tc>
        <w:tc>
          <w:tcPr>
            <w:tcW w:w="1251" w:type="dxa"/>
            <w:tcBorders>
              <w:top w:val="single" w:sz="6" w:space="0" w:color="1F497D"/>
              <w:left w:val="single" w:sz="6" w:space="0" w:color="1F497D"/>
              <w:bottom w:val="single" w:sz="6" w:space="0" w:color="1F497D"/>
              <w:right w:val="single" w:sz="6" w:space="0" w:color="1F497D"/>
            </w:tcBorders>
            <w:shd w:val="clear" w:color="auto" w:fill="FFFFFF"/>
          </w:tcPr>
          <w:p w:rsidR="0033725C" w:rsidRPr="003410C7" w:rsidRDefault="0033725C" w:rsidP="00A73DBD">
            <w:pPr>
              <w:pStyle w:val="TableText"/>
              <w:rPr>
                <w:rFonts w:ascii="Segoe" w:eastAsia="Calibri" w:hAnsi="Segoe"/>
              </w:rPr>
            </w:pPr>
            <w:r w:rsidRPr="003410C7">
              <w:rPr>
                <w:rFonts w:eastAsia="Calibri" w:cs="Segoe UI"/>
                <w:b/>
                <w:sz w:val="24"/>
                <w:szCs w:val="24"/>
              </w:rPr>
              <w:sym w:font="Wingdings" w:char="00FC"/>
            </w:r>
          </w:p>
        </w:tc>
      </w:tr>
      <w:tr w:rsidR="000C172E" w:rsidRPr="003410C7" w:rsidTr="000C172E">
        <w:tc>
          <w:tcPr>
            <w:tcW w:w="2020" w:type="dxa"/>
            <w:tcBorders>
              <w:top w:val="single" w:sz="6" w:space="0" w:color="1F497D"/>
              <w:left w:val="single" w:sz="4" w:space="0" w:color="072B61"/>
              <w:bottom w:val="single" w:sz="6" w:space="0" w:color="1F497D"/>
              <w:right w:val="single" w:sz="6" w:space="0" w:color="1F497D"/>
            </w:tcBorders>
            <w:shd w:val="clear" w:color="auto" w:fill="FFFFFF"/>
          </w:tcPr>
          <w:p w:rsidR="0033725C" w:rsidRPr="00451078" w:rsidRDefault="0033725C" w:rsidP="00A73DBD">
            <w:pPr>
              <w:pStyle w:val="TableText"/>
              <w:jc w:val="left"/>
              <w:rPr>
                <w:rFonts w:ascii="Tahoma" w:eastAsia="Calibri" w:hAnsi="Tahoma" w:cs="Tahoma"/>
                <w:sz w:val="18"/>
                <w:szCs w:val="18"/>
                <w:lang w:val="it-IT"/>
              </w:rPr>
            </w:pPr>
            <w:r w:rsidRPr="00451078">
              <w:rPr>
                <w:rFonts w:ascii="Tahoma" w:eastAsia="Calibri" w:hAnsi="Tahoma" w:cs="Tahoma"/>
                <w:sz w:val="18"/>
                <w:szCs w:val="18"/>
                <w:lang w:val="it-IT"/>
              </w:rPr>
              <w:t>Aggiornamento di Lead utilizzando l</w:t>
            </w:r>
            <w:r w:rsidR="0073727D">
              <w:rPr>
                <w:rFonts w:ascii="Tahoma" w:eastAsia="Calibri" w:hAnsi="Tahoma" w:cs="Tahoma"/>
                <w:sz w:val="18"/>
                <w:szCs w:val="18"/>
                <w:lang w:val="it-IT"/>
              </w:rPr>
              <w:t>’</w:t>
            </w:r>
            <w:r w:rsidRPr="00451078">
              <w:rPr>
                <w:rFonts w:ascii="Tahoma" w:eastAsia="Calibri" w:hAnsi="Tahoma" w:cs="Tahoma"/>
                <w:sz w:val="18"/>
                <w:szCs w:val="18"/>
                <w:lang w:val="it-IT"/>
              </w:rPr>
              <w:t>Accesso alle API</w:t>
            </w:r>
          </w:p>
        </w:tc>
        <w:tc>
          <w:tcPr>
            <w:tcW w:w="972" w:type="dxa"/>
            <w:tcBorders>
              <w:top w:val="single" w:sz="6" w:space="0" w:color="1F497D"/>
              <w:left w:val="single" w:sz="6" w:space="0" w:color="1F497D"/>
              <w:bottom w:val="single" w:sz="6" w:space="0" w:color="1F497D"/>
              <w:right w:val="single" w:sz="6" w:space="0" w:color="1F497D"/>
            </w:tcBorders>
            <w:shd w:val="clear" w:color="auto" w:fill="FFFFFF"/>
          </w:tcPr>
          <w:p w:rsidR="0033725C" w:rsidRPr="003410C7" w:rsidRDefault="0033725C" w:rsidP="00A73DBD">
            <w:pPr>
              <w:pStyle w:val="TableText"/>
              <w:rPr>
                <w:rFonts w:ascii="Segoe" w:eastAsia="Calibri" w:hAnsi="Segoe"/>
              </w:rPr>
            </w:pPr>
            <w:r w:rsidRPr="003410C7">
              <w:rPr>
                <w:rFonts w:eastAsia="Calibri" w:cs="Segoe UI"/>
                <w:b/>
                <w:sz w:val="24"/>
                <w:szCs w:val="24"/>
              </w:rPr>
              <w:sym w:font="Wingdings" w:char="00FC"/>
            </w:r>
          </w:p>
        </w:tc>
        <w:tc>
          <w:tcPr>
            <w:tcW w:w="1053" w:type="dxa"/>
            <w:tcBorders>
              <w:top w:val="single" w:sz="6" w:space="0" w:color="1F497D"/>
              <w:left w:val="single" w:sz="6" w:space="0" w:color="1F497D"/>
              <w:bottom w:val="single" w:sz="6" w:space="0" w:color="1F497D"/>
              <w:right w:val="single" w:sz="6" w:space="0" w:color="1F497D"/>
            </w:tcBorders>
            <w:shd w:val="clear" w:color="auto" w:fill="FFFFFF"/>
          </w:tcPr>
          <w:p w:rsidR="0033725C" w:rsidRPr="003410C7" w:rsidRDefault="0033725C" w:rsidP="00A73DBD">
            <w:pPr>
              <w:pStyle w:val="TableText"/>
              <w:rPr>
                <w:rFonts w:ascii="Segoe" w:eastAsia="Calibri" w:hAnsi="Segoe"/>
              </w:rPr>
            </w:pPr>
            <w:r w:rsidRPr="003410C7">
              <w:rPr>
                <w:rFonts w:eastAsia="Calibri" w:cs="Segoe UI"/>
                <w:b/>
                <w:sz w:val="24"/>
                <w:szCs w:val="24"/>
              </w:rPr>
              <w:sym w:font="Wingdings" w:char="00FC"/>
            </w:r>
          </w:p>
        </w:tc>
        <w:tc>
          <w:tcPr>
            <w:tcW w:w="1152" w:type="dxa"/>
            <w:tcBorders>
              <w:top w:val="single" w:sz="6" w:space="0" w:color="1F497D"/>
              <w:left w:val="single" w:sz="6" w:space="0" w:color="1F497D"/>
              <w:bottom w:val="single" w:sz="6" w:space="0" w:color="1F497D"/>
              <w:right w:val="single" w:sz="6" w:space="0" w:color="1F497D"/>
            </w:tcBorders>
            <w:shd w:val="clear" w:color="auto" w:fill="FFFFFF"/>
          </w:tcPr>
          <w:p w:rsidR="0033725C" w:rsidRPr="003410C7" w:rsidRDefault="0033725C" w:rsidP="00A73DBD">
            <w:pPr>
              <w:pStyle w:val="TableText"/>
              <w:rPr>
                <w:rFonts w:ascii="Segoe" w:eastAsia="Calibri" w:hAnsi="Segoe"/>
              </w:rPr>
            </w:pPr>
            <w:r w:rsidRPr="003410C7">
              <w:rPr>
                <w:rFonts w:eastAsia="Calibri" w:cs="Segoe UI"/>
                <w:b/>
                <w:sz w:val="24"/>
                <w:szCs w:val="24"/>
              </w:rPr>
              <w:sym w:font="Wingdings" w:char="00FC"/>
            </w:r>
          </w:p>
        </w:tc>
        <w:tc>
          <w:tcPr>
            <w:tcW w:w="1125" w:type="dxa"/>
            <w:tcBorders>
              <w:top w:val="single" w:sz="6" w:space="0" w:color="1F497D"/>
              <w:left w:val="single" w:sz="6" w:space="0" w:color="1F497D"/>
              <w:bottom w:val="single" w:sz="6" w:space="0" w:color="1F497D"/>
              <w:right w:val="single" w:sz="6" w:space="0" w:color="1F497D"/>
            </w:tcBorders>
            <w:shd w:val="clear" w:color="auto" w:fill="FFFFFF"/>
          </w:tcPr>
          <w:p w:rsidR="0033725C" w:rsidRPr="003410C7" w:rsidRDefault="0033725C" w:rsidP="00A73DBD">
            <w:pPr>
              <w:pStyle w:val="TableText"/>
              <w:rPr>
                <w:rFonts w:eastAsia="Calibri" w:cs="Segoe UI"/>
                <w:b/>
                <w:sz w:val="24"/>
                <w:szCs w:val="24"/>
              </w:rPr>
            </w:pPr>
          </w:p>
        </w:tc>
        <w:tc>
          <w:tcPr>
            <w:tcW w:w="1305" w:type="dxa"/>
            <w:tcBorders>
              <w:top w:val="single" w:sz="6" w:space="0" w:color="1F497D"/>
              <w:left w:val="single" w:sz="6" w:space="0" w:color="1F497D"/>
              <w:bottom w:val="single" w:sz="6" w:space="0" w:color="1F497D"/>
              <w:right w:val="single" w:sz="6" w:space="0" w:color="1F497D"/>
            </w:tcBorders>
            <w:shd w:val="clear" w:color="auto" w:fill="FFFFFF"/>
          </w:tcPr>
          <w:p w:rsidR="0033725C" w:rsidRPr="003410C7" w:rsidRDefault="0033725C" w:rsidP="00A73DBD">
            <w:pPr>
              <w:pStyle w:val="TableText"/>
              <w:rPr>
                <w:rFonts w:eastAsia="Calibri" w:cs="Segoe UI"/>
                <w:b/>
                <w:sz w:val="24"/>
                <w:szCs w:val="24"/>
              </w:rPr>
            </w:pPr>
          </w:p>
        </w:tc>
        <w:tc>
          <w:tcPr>
            <w:tcW w:w="1251" w:type="dxa"/>
            <w:tcBorders>
              <w:top w:val="single" w:sz="6" w:space="0" w:color="1F497D"/>
              <w:left w:val="single" w:sz="6" w:space="0" w:color="1F497D"/>
              <w:bottom w:val="single" w:sz="6" w:space="0" w:color="1F497D"/>
              <w:right w:val="single" w:sz="6" w:space="0" w:color="1F497D"/>
            </w:tcBorders>
            <w:shd w:val="clear" w:color="auto" w:fill="FFFFFF"/>
          </w:tcPr>
          <w:p w:rsidR="0033725C" w:rsidRPr="003410C7" w:rsidRDefault="0033725C" w:rsidP="00A73DBD">
            <w:pPr>
              <w:pStyle w:val="TableText"/>
              <w:rPr>
                <w:rFonts w:ascii="Segoe" w:eastAsia="Calibri" w:hAnsi="Segoe"/>
              </w:rPr>
            </w:pPr>
            <w:r w:rsidRPr="003410C7">
              <w:rPr>
                <w:rFonts w:eastAsia="Calibri" w:cs="Segoe UI"/>
                <w:b/>
                <w:sz w:val="24"/>
                <w:szCs w:val="24"/>
              </w:rPr>
              <w:sym w:font="Wingdings" w:char="00FC"/>
            </w:r>
          </w:p>
        </w:tc>
      </w:tr>
      <w:tr w:rsidR="000C172E" w:rsidRPr="003410C7" w:rsidTr="000C172E">
        <w:tc>
          <w:tcPr>
            <w:tcW w:w="2020" w:type="dxa"/>
            <w:tcBorders>
              <w:top w:val="single" w:sz="6" w:space="0" w:color="1F497D"/>
              <w:left w:val="single" w:sz="4" w:space="0" w:color="072B61"/>
              <w:bottom w:val="single" w:sz="6" w:space="0" w:color="1F497D"/>
              <w:right w:val="single" w:sz="6" w:space="0" w:color="1F497D"/>
            </w:tcBorders>
            <w:shd w:val="clear" w:color="auto" w:fill="FFFFFF"/>
          </w:tcPr>
          <w:p w:rsidR="0033725C" w:rsidRPr="00451078" w:rsidRDefault="0033725C" w:rsidP="00A73DBD">
            <w:pPr>
              <w:pStyle w:val="TableText"/>
              <w:jc w:val="left"/>
              <w:rPr>
                <w:rFonts w:ascii="Tahoma" w:eastAsia="Calibri" w:hAnsi="Tahoma" w:cs="Tahoma"/>
                <w:sz w:val="18"/>
                <w:szCs w:val="18"/>
                <w:lang w:val="it-IT"/>
              </w:rPr>
            </w:pPr>
            <w:r w:rsidRPr="00451078">
              <w:rPr>
                <w:rFonts w:ascii="Tahoma" w:eastAsia="Calibri" w:hAnsi="Tahoma" w:cs="Tahoma"/>
                <w:sz w:val="18"/>
                <w:szCs w:val="18"/>
                <w:lang w:val="it-IT"/>
              </w:rPr>
              <w:t>Aggiornamento di Attività utilizzando l</w:t>
            </w:r>
            <w:r w:rsidR="0073727D">
              <w:rPr>
                <w:rFonts w:ascii="Tahoma" w:eastAsia="Calibri" w:hAnsi="Tahoma" w:cs="Tahoma"/>
                <w:sz w:val="18"/>
                <w:szCs w:val="18"/>
                <w:lang w:val="it-IT"/>
              </w:rPr>
              <w:t>’</w:t>
            </w:r>
            <w:r w:rsidRPr="00451078">
              <w:rPr>
                <w:rFonts w:ascii="Tahoma" w:eastAsia="Calibri" w:hAnsi="Tahoma" w:cs="Tahoma"/>
                <w:sz w:val="18"/>
                <w:szCs w:val="18"/>
                <w:lang w:val="it-IT"/>
              </w:rPr>
              <w:t>Accesso alle API</w:t>
            </w:r>
          </w:p>
        </w:tc>
        <w:tc>
          <w:tcPr>
            <w:tcW w:w="972" w:type="dxa"/>
            <w:tcBorders>
              <w:top w:val="single" w:sz="6" w:space="0" w:color="1F497D"/>
              <w:left w:val="single" w:sz="6" w:space="0" w:color="1F497D"/>
              <w:bottom w:val="single" w:sz="6" w:space="0" w:color="1F497D"/>
              <w:right w:val="single" w:sz="6" w:space="0" w:color="1F497D"/>
            </w:tcBorders>
            <w:shd w:val="clear" w:color="auto" w:fill="FFFFFF"/>
          </w:tcPr>
          <w:p w:rsidR="0033725C" w:rsidRPr="003410C7" w:rsidRDefault="0033725C" w:rsidP="00A73DBD">
            <w:pPr>
              <w:pStyle w:val="TableText"/>
              <w:rPr>
                <w:rFonts w:ascii="Segoe" w:eastAsia="Calibri" w:hAnsi="Segoe"/>
              </w:rPr>
            </w:pPr>
            <w:r w:rsidRPr="003410C7">
              <w:rPr>
                <w:rFonts w:eastAsia="Calibri" w:cs="Segoe UI"/>
                <w:b/>
                <w:sz w:val="24"/>
                <w:szCs w:val="24"/>
              </w:rPr>
              <w:sym w:font="Wingdings" w:char="00FC"/>
            </w:r>
          </w:p>
        </w:tc>
        <w:tc>
          <w:tcPr>
            <w:tcW w:w="1053" w:type="dxa"/>
            <w:tcBorders>
              <w:top w:val="single" w:sz="6" w:space="0" w:color="1F497D"/>
              <w:left w:val="single" w:sz="6" w:space="0" w:color="1F497D"/>
              <w:bottom w:val="single" w:sz="6" w:space="0" w:color="1F497D"/>
              <w:right w:val="single" w:sz="6" w:space="0" w:color="1F497D"/>
            </w:tcBorders>
            <w:shd w:val="clear" w:color="auto" w:fill="FFFFFF"/>
          </w:tcPr>
          <w:p w:rsidR="0033725C" w:rsidRPr="003410C7" w:rsidRDefault="0033725C" w:rsidP="00A73DBD">
            <w:pPr>
              <w:pStyle w:val="TableText"/>
              <w:rPr>
                <w:rFonts w:ascii="Segoe" w:eastAsia="Calibri" w:hAnsi="Segoe"/>
              </w:rPr>
            </w:pPr>
            <w:r w:rsidRPr="003410C7">
              <w:rPr>
                <w:rFonts w:eastAsia="Calibri" w:cs="Segoe UI"/>
                <w:b/>
                <w:sz w:val="24"/>
                <w:szCs w:val="24"/>
              </w:rPr>
              <w:sym w:font="Wingdings" w:char="00FC"/>
            </w:r>
          </w:p>
        </w:tc>
        <w:tc>
          <w:tcPr>
            <w:tcW w:w="1152" w:type="dxa"/>
            <w:tcBorders>
              <w:top w:val="single" w:sz="6" w:space="0" w:color="1F497D"/>
              <w:left w:val="single" w:sz="6" w:space="0" w:color="1F497D"/>
              <w:bottom w:val="single" w:sz="6" w:space="0" w:color="1F497D"/>
              <w:right w:val="single" w:sz="6" w:space="0" w:color="1F497D"/>
            </w:tcBorders>
            <w:shd w:val="clear" w:color="auto" w:fill="FFFFFF"/>
          </w:tcPr>
          <w:p w:rsidR="0033725C" w:rsidRPr="003410C7" w:rsidRDefault="0033725C" w:rsidP="00A73DBD">
            <w:pPr>
              <w:pStyle w:val="TableText"/>
              <w:rPr>
                <w:rFonts w:ascii="Segoe" w:eastAsia="Calibri" w:hAnsi="Segoe"/>
              </w:rPr>
            </w:pPr>
            <w:r w:rsidRPr="003410C7">
              <w:rPr>
                <w:rFonts w:eastAsia="Calibri" w:cs="Segoe UI"/>
                <w:b/>
                <w:sz w:val="24"/>
                <w:szCs w:val="24"/>
              </w:rPr>
              <w:sym w:font="Wingdings" w:char="00FC"/>
            </w:r>
          </w:p>
        </w:tc>
        <w:tc>
          <w:tcPr>
            <w:tcW w:w="1125" w:type="dxa"/>
            <w:tcBorders>
              <w:top w:val="single" w:sz="6" w:space="0" w:color="1F497D"/>
              <w:left w:val="single" w:sz="6" w:space="0" w:color="1F497D"/>
              <w:bottom w:val="single" w:sz="6" w:space="0" w:color="1F497D"/>
              <w:right w:val="single" w:sz="6" w:space="0" w:color="1F497D"/>
            </w:tcBorders>
            <w:shd w:val="clear" w:color="auto" w:fill="FFFFFF"/>
          </w:tcPr>
          <w:p w:rsidR="0033725C" w:rsidRPr="003410C7" w:rsidRDefault="0033725C" w:rsidP="00A73DBD">
            <w:pPr>
              <w:pStyle w:val="TableText"/>
              <w:rPr>
                <w:rFonts w:eastAsia="Calibri" w:cs="Segoe UI"/>
                <w:b/>
                <w:sz w:val="24"/>
                <w:szCs w:val="24"/>
              </w:rPr>
            </w:pPr>
          </w:p>
        </w:tc>
        <w:tc>
          <w:tcPr>
            <w:tcW w:w="1305" w:type="dxa"/>
            <w:tcBorders>
              <w:top w:val="single" w:sz="6" w:space="0" w:color="1F497D"/>
              <w:left w:val="single" w:sz="6" w:space="0" w:color="1F497D"/>
              <w:bottom w:val="single" w:sz="6" w:space="0" w:color="1F497D"/>
              <w:right w:val="single" w:sz="6" w:space="0" w:color="1F497D"/>
            </w:tcBorders>
            <w:shd w:val="clear" w:color="auto" w:fill="FFFFFF"/>
          </w:tcPr>
          <w:p w:rsidR="0033725C" w:rsidRPr="003410C7" w:rsidRDefault="0033725C" w:rsidP="00A73DBD">
            <w:pPr>
              <w:pStyle w:val="TableText"/>
              <w:rPr>
                <w:rFonts w:eastAsia="Calibri" w:cs="Segoe UI"/>
                <w:b/>
                <w:sz w:val="24"/>
                <w:szCs w:val="24"/>
              </w:rPr>
            </w:pPr>
          </w:p>
        </w:tc>
        <w:tc>
          <w:tcPr>
            <w:tcW w:w="1251" w:type="dxa"/>
            <w:tcBorders>
              <w:top w:val="single" w:sz="6" w:space="0" w:color="1F497D"/>
              <w:left w:val="single" w:sz="6" w:space="0" w:color="1F497D"/>
              <w:bottom w:val="single" w:sz="6" w:space="0" w:color="1F497D"/>
              <w:right w:val="single" w:sz="6" w:space="0" w:color="1F497D"/>
            </w:tcBorders>
            <w:shd w:val="clear" w:color="auto" w:fill="FFFFFF"/>
          </w:tcPr>
          <w:p w:rsidR="0033725C" w:rsidRPr="003410C7" w:rsidRDefault="0033725C" w:rsidP="00A73DBD">
            <w:pPr>
              <w:pStyle w:val="TableText"/>
              <w:rPr>
                <w:rFonts w:ascii="Segoe" w:eastAsia="Calibri" w:hAnsi="Segoe"/>
              </w:rPr>
            </w:pPr>
            <w:r w:rsidRPr="003410C7">
              <w:rPr>
                <w:rFonts w:eastAsia="Calibri" w:cs="Segoe UI"/>
                <w:b/>
                <w:sz w:val="24"/>
                <w:szCs w:val="24"/>
              </w:rPr>
              <w:sym w:font="Wingdings" w:char="00FC"/>
            </w:r>
          </w:p>
        </w:tc>
      </w:tr>
      <w:tr w:rsidR="000C172E" w:rsidRPr="003410C7" w:rsidTr="000C172E">
        <w:tc>
          <w:tcPr>
            <w:tcW w:w="2020" w:type="dxa"/>
            <w:tcBorders>
              <w:top w:val="single" w:sz="6" w:space="0" w:color="1F497D"/>
              <w:left w:val="single" w:sz="4" w:space="0" w:color="072B61"/>
              <w:bottom w:val="single" w:sz="6" w:space="0" w:color="1F497D"/>
              <w:right w:val="single" w:sz="6" w:space="0" w:color="1F497D"/>
            </w:tcBorders>
            <w:shd w:val="clear" w:color="auto" w:fill="FFFFFF"/>
          </w:tcPr>
          <w:p w:rsidR="0033725C" w:rsidRPr="00451078" w:rsidRDefault="0033725C" w:rsidP="00A73DBD">
            <w:pPr>
              <w:pStyle w:val="TableText"/>
              <w:jc w:val="left"/>
              <w:rPr>
                <w:rFonts w:ascii="Tahoma" w:eastAsia="Calibri" w:hAnsi="Tahoma" w:cs="Tahoma"/>
                <w:sz w:val="18"/>
                <w:szCs w:val="18"/>
                <w:lang w:val="it-IT"/>
              </w:rPr>
            </w:pPr>
            <w:r w:rsidRPr="00451078">
              <w:rPr>
                <w:rFonts w:ascii="Tahoma" w:eastAsia="Calibri" w:hAnsi="Tahoma" w:cs="Tahoma"/>
                <w:sz w:val="18"/>
                <w:szCs w:val="18"/>
                <w:lang w:val="it-IT"/>
              </w:rPr>
              <w:t>Aggiornamento di Note utilizzando l</w:t>
            </w:r>
            <w:r w:rsidR="0073727D">
              <w:rPr>
                <w:rFonts w:ascii="Tahoma" w:eastAsia="Calibri" w:hAnsi="Tahoma" w:cs="Tahoma"/>
                <w:sz w:val="18"/>
                <w:szCs w:val="18"/>
                <w:lang w:val="it-IT"/>
              </w:rPr>
              <w:t>’</w:t>
            </w:r>
            <w:r w:rsidRPr="00451078">
              <w:rPr>
                <w:rFonts w:ascii="Tahoma" w:eastAsia="Calibri" w:hAnsi="Tahoma" w:cs="Tahoma"/>
                <w:sz w:val="18"/>
                <w:szCs w:val="18"/>
                <w:lang w:val="it-IT"/>
              </w:rPr>
              <w:t>Accesso alle API</w:t>
            </w:r>
          </w:p>
        </w:tc>
        <w:tc>
          <w:tcPr>
            <w:tcW w:w="972" w:type="dxa"/>
            <w:tcBorders>
              <w:top w:val="single" w:sz="6" w:space="0" w:color="1F497D"/>
              <w:left w:val="single" w:sz="6" w:space="0" w:color="1F497D"/>
              <w:bottom w:val="single" w:sz="6" w:space="0" w:color="1F497D"/>
              <w:right w:val="single" w:sz="6" w:space="0" w:color="1F497D"/>
            </w:tcBorders>
            <w:shd w:val="clear" w:color="auto" w:fill="FFFFFF"/>
          </w:tcPr>
          <w:p w:rsidR="0033725C" w:rsidRPr="003410C7" w:rsidRDefault="0033725C" w:rsidP="00A73DBD">
            <w:pPr>
              <w:pStyle w:val="TableText"/>
              <w:rPr>
                <w:rFonts w:ascii="Segoe" w:eastAsia="Calibri" w:hAnsi="Segoe"/>
              </w:rPr>
            </w:pPr>
            <w:r w:rsidRPr="003410C7">
              <w:rPr>
                <w:rFonts w:eastAsia="Calibri" w:cs="Segoe UI"/>
                <w:b/>
                <w:sz w:val="24"/>
                <w:szCs w:val="24"/>
              </w:rPr>
              <w:sym w:font="Wingdings" w:char="00FC"/>
            </w:r>
          </w:p>
        </w:tc>
        <w:tc>
          <w:tcPr>
            <w:tcW w:w="1053" w:type="dxa"/>
            <w:tcBorders>
              <w:top w:val="single" w:sz="6" w:space="0" w:color="1F497D"/>
              <w:left w:val="single" w:sz="6" w:space="0" w:color="1F497D"/>
              <w:bottom w:val="single" w:sz="6" w:space="0" w:color="1F497D"/>
              <w:right w:val="single" w:sz="6" w:space="0" w:color="1F497D"/>
            </w:tcBorders>
            <w:shd w:val="clear" w:color="auto" w:fill="FFFFFF"/>
          </w:tcPr>
          <w:p w:rsidR="0033725C" w:rsidRPr="003410C7" w:rsidRDefault="0033725C" w:rsidP="00A73DBD">
            <w:pPr>
              <w:pStyle w:val="TableText"/>
              <w:rPr>
                <w:rFonts w:ascii="Segoe" w:eastAsia="Calibri" w:hAnsi="Segoe"/>
              </w:rPr>
            </w:pPr>
            <w:r w:rsidRPr="003410C7">
              <w:rPr>
                <w:rFonts w:eastAsia="Calibri" w:cs="Segoe UI"/>
                <w:b/>
                <w:sz w:val="24"/>
                <w:szCs w:val="24"/>
              </w:rPr>
              <w:sym w:font="Wingdings" w:char="00FC"/>
            </w:r>
          </w:p>
        </w:tc>
        <w:tc>
          <w:tcPr>
            <w:tcW w:w="1152" w:type="dxa"/>
            <w:tcBorders>
              <w:top w:val="single" w:sz="6" w:space="0" w:color="1F497D"/>
              <w:left w:val="single" w:sz="6" w:space="0" w:color="1F497D"/>
              <w:bottom w:val="single" w:sz="6" w:space="0" w:color="1F497D"/>
              <w:right w:val="single" w:sz="6" w:space="0" w:color="1F497D"/>
            </w:tcBorders>
            <w:shd w:val="clear" w:color="auto" w:fill="FFFFFF"/>
          </w:tcPr>
          <w:p w:rsidR="0033725C" w:rsidRPr="003410C7" w:rsidRDefault="0033725C" w:rsidP="00A73DBD">
            <w:pPr>
              <w:pStyle w:val="TableText"/>
              <w:rPr>
                <w:rFonts w:ascii="Segoe" w:eastAsia="Calibri" w:hAnsi="Segoe"/>
              </w:rPr>
            </w:pPr>
            <w:r w:rsidRPr="003410C7">
              <w:rPr>
                <w:rFonts w:eastAsia="Calibri" w:cs="Segoe UI"/>
                <w:b/>
                <w:sz w:val="24"/>
                <w:szCs w:val="24"/>
              </w:rPr>
              <w:sym w:font="Wingdings" w:char="00FC"/>
            </w:r>
          </w:p>
        </w:tc>
        <w:tc>
          <w:tcPr>
            <w:tcW w:w="1125" w:type="dxa"/>
            <w:tcBorders>
              <w:top w:val="single" w:sz="6" w:space="0" w:color="1F497D"/>
              <w:left w:val="single" w:sz="6" w:space="0" w:color="1F497D"/>
              <w:bottom w:val="single" w:sz="6" w:space="0" w:color="1F497D"/>
              <w:right w:val="single" w:sz="6" w:space="0" w:color="1F497D"/>
            </w:tcBorders>
            <w:shd w:val="clear" w:color="auto" w:fill="FFFFFF"/>
          </w:tcPr>
          <w:p w:rsidR="0033725C" w:rsidRPr="003410C7" w:rsidRDefault="0033725C" w:rsidP="00A73DBD">
            <w:pPr>
              <w:pStyle w:val="TableText"/>
              <w:rPr>
                <w:rFonts w:eastAsia="Calibri" w:cs="Segoe UI"/>
                <w:b/>
                <w:sz w:val="24"/>
                <w:szCs w:val="24"/>
              </w:rPr>
            </w:pPr>
          </w:p>
        </w:tc>
        <w:tc>
          <w:tcPr>
            <w:tcW w:w="1305" w:type="dxa"/>
            <w:tcBorders>
              <w:top w:val="single" w:sz="6" w:space="0" w:color="1F497D"/>
              <w:left w:val="single" w:sz="6" w:space="0" w:color="1F497D"/>
              <w:bottom w:val="single" w:sz="6" w:space="0" w:color="1F497D"/>
              <w:right w:val="single" w:sz="6" w:space="0" w:color="1F497D"/>
            </w:tcBorders>
            <w:shd w:val="clear" w:color="auto" w:fill="FFFFFF"/>
          </w:tcPr>
          <w:p w:rsidR="0033725C" w:rsidRPr="003410C7" w:rsidRDefault="0033725C" w:rsidP="00A73DBD">
            <w:pPr>
              <w:pStyle w:val="TableText"/>
              <w:rPr>
                <w:rFonts w:eastAsia="Calibri" w:cs="Segoe UI"/>
                <w:b/>
                <w:sz w:val="24"/>
                <w:szCs w:val="24"/>
              </w:rPr>
            </w:pPr>
          </w:p>
        </w:tc>
        <w:tc>
          <w:tcPr>
            <w:tcW w:w="1251" w:type="dxa"/>
            <w:tcBorders>
              <w:top w:val="single" w:sz="6" w:space="0" w:color="1F497D"/>
              <w:left w:val="single" w:sz="6" w:space="0" w:color="1F497D"/>
              <w:bottom w:val="single" w:sz="6" w:space="0" w:color="1F497D"/>
              <w:right w:val="single" w:sz="6" w:space="0" w:color="1F497D"/>
            </w:tcBorders>
            <w:shd w:val="clear" w:color="auto" w:fill="FFFFFF"/>
          </w:tcPr>
          <w:p w:rsidR="0033725C" w:rsidRPr="003410C7" w:rsidRDefault="0033725C" w:rsidP="00A73DBD">
            <w:pPr>
              <w:pStyle w:val="TableText"/>
              <w:rPr>
                <w:rFonts w:ascii="Segoe" w:eastAsia="Calibri" w:hAnsi="Segoe"/>
              </w:rPr>
            </w:pPr>
            <w:r w:rsidRPr="003410C7">
              <w:rPr>
                <w:rFonts w:eastAsia="Calibri" w:cs="Segoe UI"/>
                <w:b/>
                <w:sz w:val="24"/>
                <w:szCs w:val="24"/>
              </w:rPr>
              <w:sym w:font="Wingdings" w:char="00FC"/>
            </w:r>
          </w:p>
        </w:tc>
      </w:tr>
      <w:tr w:rsidR="000C172E" w:rsidRPr="003410C7" w:rsidTr="000C172E">
        <w:tc>
          <w:tcPr>
            <w:tcW w:w="2020" w:type="dxa"/>
            <w:tcBorders>
              <w:top w:val="single" w:sz="6" w:space="0" w:color="1F497D"/>
              <w:left w:val="single" w:sz="4" w:space="0" w:color="072B61"/>
              <w:bottom w:val="single" w:sz="6" w:space="0" w:color="1F497D"/>
              <w:right w:val="single" w:sz="6" w:space="0" w:color="1F497D"/>
            </w:tcBorders>
            <w:shd w:val="clear" w:color="auto" w:fill="FFFFFF"/>
          </w:tcPr>
          <w:p w:rsidR="0033725C" w:rsidRPr="00451078" w:rsidRDefault="0033725C" w:rsidP="00A73DBD">
            <w:pPr>
              <w:pStyle w:val="TableText"/>
              <w:jc w:val="left"/>
              <w:rPr>
                <w:rFonts w:ascii="Tahoma" w:eastAsia="Calibri" w:hAnsi="Tahoma" w:cs="Tahoma"/>
                <w:sz w:val="18"/>
                <w:szCs w:val="18"/>
                <w:lang w:val="it-IT"/>
              </w:rPr>
            </w:pPr>
            <w:r w:rsidRPr="00451078">
              <w:rPr>
                <w:rFonts w:ascii="Tahoma" w:eastAsia="Calibri" w:hAnsi="Tahoma" w:cs="Tahoma"/>
                <w:sz w:val="18"/>
                <w:szCs w:val="18"/>
                <w:lang w:val="it-IT"/>
              </w:rPr>
              <w:t>Aggiornamento di record delle persone giuridiche personalizzati utilizzando l</w:t>
            </w:r>
            <w:r w:rsidR="0073727D">
              <w:rPr>
                <w:rFonts w:ascii="Tahoma" w:eastAsia="Calibri" w:hAnsi="Tahoma" w:cs="Tahoma"/>
                <w:sz w:val="18"/>
                <w:szCs w:val="18"/>
                <w:lang w:val="it-IT"/>
              </w:rPr>
              <w:t>’</w:t>
            </w:r>
            <w:r w:rsidRPr="00451078">
              <w:rPr>
                <w:rFonts w:ascii="Tahoma" w:eastAsia="Calibri" w:hAnsi="Tahoma" w:cs="Tahoma"/>
                <w:sz w:val="18"/>
                <w:szCs w:val="18"/>
                <w:lang w:val="it-IT"/>
              </w:rPr>
              <w:t>Accesso alle API</w:t>
            </w:r>
          </w:p>
        </w:tc>
        <w:tc>
          <w:tcPr>
            <w:tcW w:w="972" w:type="dxa"/>
            <w:tcBorders>
              <w:top w:val="single" w:sz="6" w:space="0" w:color="1F497D"/>
              <w:left w:val="single" w:sz="6" w:space="0" w:color="1F497D"/>
              <w:bottom w:val="single" w:sz="6" w:space="0" w:color="1F497D"/>
              <w:right w:val="single" w:sz="6" w:space="0" w:color="1F497D"/>
            </w:tcBorders>
            <w:shd w:val="clear" w:color="auto" w:fill="FFFFFF"/>
          </w:tcPr>
          <w:p w:rsidR="0033725C" w:rsidRPr="003410C7" w:rsidRDefault="0033725C" w:rsidP="00A73DBD">
            <w:pPr>
              <w:pStyle w:val="TableText"/>
              <w:rPr>
                <w:rFonts w:ascii="Segoe" w:eastAsia="Calibri" w:hAnsi="Segoe"/>
              </w:rPr>
            </w:pPr>
            <w:r w:rsidRPr="003410C7">
              <w:rPr>
                <w:rFonts w:eastAsia="Calibri" w:cs="Segoe UI"/>
                <w:b/>
                <w:sz w:val="24"/>
                <w:szCs w:val="24"/>
              </w:rPr>
              <w:sym w:font="Wingdings" w:char="00FC"/>
            </w:r>
          </w:p>
        </w:tc>
        <w:tc>
          <w:tcPr>
            <w:tcW w:w="1053" w:type="dxa"/>
            <w:tcBorders>
              <w:top w:val="single" w:sz="6" w:space="0" w:color="1F497D"/>
              <w:left w:val="single" w:sz="6" w:space="0" w:color="1F497D"/>
              <w:bottom w:val="single" w:sz="6" w:space="0" w:color="1F497D"/>
              <w:right w:val="single" w:sz="6" w:space="0" w:color="1F497D"/>
            </w:tcBorders>
            <w:shd w:val="clear" w:color="auto" w:fill="FFFFFF"/>
          </w:tcPr>
          <w:p w:rsidR="0033725C" w:rsidRPr="003410C7" w:rsidRDefault="0033725C" w:rsidP="00A73DBD">
            <w:pPr>
              <w:pStyle w:val="TableText"/>
              <w:rPr>
                <w:rFonts w:ascii="Segoe" w:eastAsia="Calibri" w:hAnsi="Segoe"/>
              </w:rPr>
            </w:pPr>
            <w:r w:rsidRPr="003410C7">
              <w:rPr>
                <w:rFonts w:eastAsia="Calibri" w:cs="Segoe UI"/>
                <w:b/>
                <w:sz w:val="24"/>
                <w:szCs w:val="24"/>
              </w:rPr>
              <w:sym w:font="Wingdings" w:char="00FC"/>
            </w:r>
          </w:p>
        </w:tc>
        <w:tc>
          <w:tcPr>
            <w:tcW w:w="1152" w:type="dxa"/>
            <w:tcBorders>
              <w:top w:val="single" w:sz="6" w:space="0" w:color="1F497D"/>
              <w:left w:val="single" w:sz="6" w:space="0" w:color="1F497D"/>
              <w:bottom w:val="single" w:sz="6" w:space="0" w:color="1F497D"/>
              <w:right w:val="single" w:sz="6" w:space="0" w:color="1F497D"/>
            </w:tcBorders>
            <w:shd w:val="clear" w:color="auto" w:fill="FFFFFF"/>
          </w:tcPr>
          <w:p w:rsidR="0033725C" w:rsidRPr="003410C7" w:rsidRDefault="0033725C" w:rsidP="00A73DBD">
            <w:pPr>
              <w:pStyle w:val="TableText"/>
              <w:rPr>
                <w:rFonts w:ascii="Segoe" w:eastAsia="Calibri" w:hAnsi="Segoe"/>
              </w:rPr>
            </w:pPr>
            <w:r w:rsidRPr="003410C7">
              <w:rPr>
                <w:rFonts w:eastAsia="Calibri" w:cs="Segoe UI"/>
                <w:b/>
                <w:sz w:val="24"/>
                <w:szCs w:val="24"/>
              </w:rPr>
              <w:sym w:font="Wingdings" w:char="00FC"/>
            </w:r>
          </w:p>
        </w:tc>
        <w:tc>
          <w:tcPr>
            <w:tcW w:w="1125" w:type="dxa"/>
            <w:tcBorders>
              <w:top w:val="single" w:sz="6" w:space="0" w:color="1F497D"/>
              <w:left w:val="single" w:sz="6" w:space="0" w:color="1F497D"/>
              <w:bottom w:val="single" w:sz="6" w:space="0" w:color="1F497D"/>
              <w:right w:val="single" w:sz="6" w:space="0" w:color="1F497D"/>
            </w:tcBorders>
            <w:shd w:val="clear" w:color="auto" w:fill="FFFFFF"/>
          </w:tcPr>
          <w:p w:rsidR="0033725C" w:rsidRPr="003410C7" w:rsidRDefault="0033725C" w:rsidP="00A73DBD">
            <w:pPr>
              <w:pStyle w:val="TableText"/>
              <w:rPr>
                <w:rFonts w:eastAsia="Calibri" w:cs="Segoe UI"/>
                <w:b/>
                <w:sz w:val="24"/>
                <w:szCs w:val="24"/>
              </w:rPr>
            </w:pPr>
          </w:p>
        </w:tc>
        <w:tc>
          <w:tcPr>
            <w:tcW w:w="1305" w:type="dxa"/>
            <w:tcBorders>
              <w:top w:val="single" w:sz="6" w:space="0" w:color="1F497D"/>
              <w:left w:val="single" w:sz="6" w:space="0" w:color="1F497D"/>
              <w:bottom w:val="single" w:sz="6" w:space="0" w:color="1F497D"/>
              <w:right w:val="single" w:sz="6" w:space="0" w:color="1F497D"/>
            </w:tcBorders>
            <w:shd w:val="clear" w:color="auto" w:fill="FFFFFF"/>
          </w:tcPr>
          <w:p w:rsidR="0033725C" w:rsidRPr="003410C7" w:rsidRDefault="0033725C" w:rsidP="00A73DBD">
            <w:pPr>
              <w:pStyle w:val="TableText"/>
              <w:rPr>
                <w:rFonts w:eastAsia="Calibri" w:cs="Segoe UI"/>
                <w:b/>
                <w:sz w:val="24"/>
                <w:szCs w:val="24"/>
              </w:rPr>
            </w:pPr>
          </w:p>
        </w:tc>
        <w:tc>
          <w:tcPr>
            <w:tcW w:w="1251" w:type="dxa"/>
            <w:tcBorders>
              <w:top w:val="single" w:sz="6" w:space="0" w:color="1F497D"/>
              <w:left w:val="single" w:sz="6" w:space="0" w:color="1F497D"/>
              <w:bottom w:val="single" w:sz="6" w:space="0" w:color="1F497D"/>
              <w:right w:val="single" w:sz="6" w:space="0" w:color="1F497D"/>
            </w:tcBorders>
            <w:shd w:val="clear" w:color="auto" w:fill="FFFFFF"/>
          </w:tcPr>
          <w:p w:rsidR="0033725C" w:rsidRPr="003410C7" w:rsidRDefault="0033725C" w:rsidP="00A73DBD">
            <w:pPr>
              <w:pStyle w:val="TableText"/>
              <w:rPr>
                <w:rFonts w:ascii="Segoe" w:eastAsia="Calibri" w:hAnsi="Segoe"/>
              </w:rPr>
            </w:pPr>
            <w:r w:rsidRPr="003410C7">
              <w:rPr>
                <w:rFonts w:eastAsia="Calibri" w:cs="Segoe UI"/>
                <w:b/>
                <w:sz w:val="24"/>
                <w:szCs w:val="24"/>
              </w:rPr>
              <w:sym w:font="Wingdings" w:char="00FC"/>
            </w:r>
          </w:p>
        </w:tc>
      </w:tr>
      <w:tr w:rsidR="000C172E" w:rsidRPr="003410C7" w:rsidTr="000C172E">
        <w:trPr>
          <w:cantSplit/>
        </w:trPr>
        <w:tc>
          <w:tcPr>
            <w:tcW w:w="2020" w:type="dxa"/>
            <w:tcBorders>
              <w:top w:val="single" w:sz="6" w:space="0" w:color="1F497D"/>
              <w:left w:val="single" w:sz="4" w:space="0" w:color="072B61"/>
              <w:bottom w:val="single" w:sz="6" w:space="0" w:color="1F497D"/>
              <w:right w:val="single" w:sz="6" w:space="0" w:color="1F497D"/>
            </w:tcBorders>
            <w:shd w:val="clear" w:color="auto" w:fill="FFFFFF"/>
          </w:tcPr>
          <w:p w:rsidR="0033725C" w:rsidRPr="00451078" w:rsidRDefault="0033725C" w:rsidP="00A73DBD">
            <w:pPr>
              <w:pStyle w:val="TableText"/>
              <w:jc w:val="left"/>
              <w:rPr>
                <w:rFonts w:ascii="Tahoma" w:eastAsia="Calibri" w:hAnsi="Tahoma" w:cs="Tahoma"/>
                <w:sz w:val="18"/>
                <w:szCs w:val="18"/>
                <w:lang w:val="it-IT"/>
              </w:rPr>
            </w:pPr>
            <w:r w:rsidRPr="00451078">
              <w:rPr>
                <w:rFonts w:ascii="Tahoma" w:eastAsia="Calibri" w:hAnsi="Tahoma" w:cs="Tahoma"/>
                <w:sz w:val="18"/>
                <w:szCs w:val="18"/>
                <w:lang w:val="it-IT"/>
              </w:rPr>
              <w:t>Aggiunta di Account utilizzando l</w:t>
            </w:r>
            <w:r w:rsidR="0073727D">
              <w:rPr>
                <w:rFonts w:ascii="Tahoma" w:eastAsia="Calibri" w:hAnsi="Tahoma" w:cs="Tahoma"/>
                <w:sz w:val="18"/>
                <w:szCs w:val="18"/>
                <w:lang w:val="it-IT"/>
              </w:rPr>
              <w:t>’</w:t>
            </w:r>
            <w:r w:rsidRPr="00451078">
              <w:rPr>
                <w:rFonts w:ascii="Tahoma" w:eastAsia="Calibri" w:hAnsi="Tahoma" w:cs="Tahoma"/>
                <w:sz w:val="18"/>
                <w:szCs w:val="18"/>
                <w:lang w:val="it-IT"/>
              </w:rPr>
              <w:t>Accesso alle API</w:t>
            </w:r>
          </w:p>
        </w:tc>
        <w:tc>
          <w:tcPr>
            <w:tcW w:w="972" w:type="dxa"/>
            <w:tcBorders>
              <w:top w:val="single" w:sz="6" w:space="0" w:color="1F497D"/>
              <w:left w:val="single" w:sz="6" w:space="0" w:color="1F497D"/>
              <w:bottom w:val="single" w:sz="6" w:space="0" w:color="1F497D"/>
              <w:right w:val="single" w:sz="6" w:space="0" w:color="1F497D"/>
            </w:tcBorders>
            <w:shd w:val="clear" w:color="auto" w:fill="FFFFFF"/>
          </w:tcPr>
          <w:p w:rsidR="0033725C" w:rsidRPr="003410C7" w:rsidRDefault="0033725C" w:rsidP="00A73DBD">
            <w:pPr>
              <w:pStyle w:val="TableText"/>
              <w:rPr>
                <w:rFonts w:ascii="Segoe" w:eastAsia="Calibri" w:hAnsi="Segoe"/>
              </w:rPr>
            </w:pPr>
            <w:r w:rsidRPr="003410C7">
              <w:rPr>
                <w:rFonts w:eastAsia="Calibri" w:cs="Segoe UI"/>
                <w:b/>
                <w:sz w:val="24"/>
                <w:szCs w:val="24"/>
              </w:rPr>
              <w:sym w:font="Wingdings" w:char="00FC"/>
            </w:r>
          </w:p>
        </w:tc>
        <w:tc>
          <w:tcPr>
            <w:tcW w:w="1053" w:type="dxa"/>
            <w:tcBorders>
              <w:top w:val="single" w:sz="6" w:space="0" w:color="1F497D"/>
              <w:left w:val="single" w:sz="6" w:space="0" w:color="1F497D"/>
              <w:bottom w:val="single" w:sz="6" w:space="0" w:color="1F497D"/>
              <w:right w:val="single" w:sz="6" w:space="0" w:color="1F497D"/>
            </w:tcBorders>
            <w:shd w:val="clear" w:color="auto" w:fill="FFFFFF"/>
          </w:tcPr>
          <w:p w:rsidR="0033725C" w:rsidRPr="003410C7" w:rsidRDefault="0033725C" w:rsidP="00A73DBD">
            <w:pPr>
              <w:pStyle w:val="TableText"/>
              <w:rPr>
                <w:rFonts w:ascii="Segoe" w:eastAsia="Calibri" w:hAnsi="Segoe"/>
              </w:rPr>
            </w:pPr>
            <w:r w:rsidRPr="003410C7">
              <w:rPr>
                <w:rFonts w:eastAsia="Calibri" w:cs="Segoe UI"/>
                <w:b/>
                <w:sz w:val="24"/>
                <w:szCs w:val="24"/>
              </w:rPr>
              <w:sym w:font="Wingdings" w:char="00FC"/>
            </w:r>
          </w:p>
        </w:tc>
        <w:tc>
          <w:tcPr>
            <w:tcW w:w="1152" w:type="dxa"/>
            <w:tcBorders>
              <w:top w:val="single" w:sz="6" w:space="0" w:color="1F497D"/>
              <w:left w:val="single" w:sz="6" w:space="0" w:color="1F497D"/>
              <w:bottom w:val="single" w:sz="6" w:space="0" w:color="1F497D"/>
              <w:right w:val="single" w:sz="6" w:space="0" w:color="1F497D"/>
            </w:tcBorders>
            <w:shd w:val="clear" w:color="auto" w:fill="FFFFFF"/>
          </w:tcPr>
          <w:p w:rsidR="0033725C" w:rsidRPr="003410C7" w:rsidRDefault="0033725C" w:rsidP="00A73DBD">
            <w:pPr>
              <w:pStyle w:val="TableText"/>
              <w:rPr>
                <w:rFonts w:ascii="Segoe" w:eastAsia="Calibri" w:hAnsi="Segoe"/>
              </w:rPr>
            </w:pPr>
            <w:r w:rsidRPr="003410C7">
              <w:rPr>
                <w:rFonts w:eastAsia="Calibri" w:cs="Segoe UI"/>
                <w:b/>
                <w:sz w:val="24"/>
                <w:szCs w:val="24"/>
              </w:rPr>
              <w:sym w:font="Wingdings" w:char="00FC"/>
            </w:r>
          </w:p>
        </w:tc>
        <w:tc>
          <w:tcPr>
            <w:tcW w:w="1125" w:type="dxa"/>
            <w:tcBorders>
              <w:top w:val="single" w:sz="6" w:space="0" w:color="1F497D"/>
              <w:left w:val="single" w:sz="6" w:space="0" w:color="1F497D"/>
              <w:bottom w:val="single" w:sz="6" w:space="0" w:color="1F497D"/>
              <w:right w:val="single" w:sz="6" w:space="0" w:color="1F497D"/>
            </w:tcBorders>
            <w:shd w:val="clear" w:color="auto" w:fill="FFFFFF"/>
          </w:tcPr>
          <w:p w:rsidR="0033725C" w:rsidRPr="003410C7" w:rsidRDefault="0033725C" w:rsidP="00A73DBD">
            <w:pPr>
              <w:pStyle w:val="TableText"/>
              <w:rPr>
                <w:rFonts w:eastAsia="Calibri" w:cs="Segoe UI"/>
                <w:b/>
                <w:sz w:val="24"/>
                <w:szCs w:val="24"/>
              </w:rPr>
            </w:pPr>
          </w:p>
        </w:tc>
        <w:tc>
          <w:tcPr>
            <w:tcW w:w="1305" w:type="dxa"/>
            <w:tcBorders>
              <w:top w:val="single" w:sz="6" w:space="0" w:color="1F497D"/>
              <w:left w:val="single" w:sz="6" w:space="0" w:color="1F497D"/>
              <w:bottom w:val="single" w:sz="6" w:space="0" w:color="1F497D"/>
              <w:right w:val="single" w:sz="6" w:space="0" w:color="1F497D"/>
            </w:tcBorders>
            <w:shd w:val="clear" w:color="auto" w:fill="FFFFFF"/>
          </w:tcPr>
          <w:p w:rsidR="0033725C" w:rsidRPr="003410C7" w:rsidRDefault="0033725C" w:rsidP="00A73DBD">
            <w:pPr>
              <w:pStyle w:val="TableText"/>
              <w:rPr>
                <w:rFonts w:eastAsia="Calibri" w:cs="Segoe UI"/>
                <w:b/>
                <w:sz w:val="24"/>
                <w:szCs w:val="24"/>
              </w:rPr>
            </w:pPr>
          </w:p>
        </w:tc>
        <w:tc>
          <w:tcPr>
            <w:tcW w:w="1251" w:type="dxa"/>
            <w:tcBorders>
              <w:top w:val="single" w:sz="6" w:space="0" w:color="1F497D"/>
              <w:left w:val="single" w:sz="6" w:space="0" w:color="1F497D"/>
              <w:bottom w:val="single" w:sz="6" w:space="0" w:color="1F497D"/>
              <w:right w:val="single" w:sz="6" w:space="0" w:color="1F497D"/>
            </w:tcBorders>
            <w:shd w:val="clear" w:color="auto" w:fill="FFFFFF"/>
          </w:tcPr>
          <w:p w:rsidR="0033725C" w:rsidRPr="003410C7" w:rsidRDefault="0033725C" w:rsidP="00A73DBD">
            <w:pPr>
              <w:pStyle w:val="TableText"/>
              <w:rPr>
                <w:rFonts w:ascii="Segoe" w:eastAsia="Calibri" w:hAnsi="Segoe"/>
              </w:rPr>
            </w:pPr>
            <w:r w:rsidRPr="003410C7">
              <w:rPr>
                <w:rFonts w:eastAsia="Calibri" w:cs="Segoe UI"/>
                <w:b/>
                <w:sz w:val="24"/>
                <w:szCs w:val="24"/>
              </w:rPr>
              <w:sym w:font="Wingdings" w:char="00FC"/>
            </w:r>
          </w:p>
        </w:tc>
      </w:tr>
      <w:tr w:rsidR="000C172E" w:rsidRPr="003410C7" w:rsidTr="000C172E">
        <w:tc>
          <w:tcPr>
            <w:tcW w:w="2020" w:type="dxa"/>
            <w:tcBorders>
              <w:top w:val="single" w:sz="6" w:space="0" w:color="1F497D"/>
              <w:left w:val="single" w:sz="4" w:space="0" w:color="072B61"/>
              <w:bottom w:val="single" w:sz="6" w:space="0" w:color="1F497D"/>
              <w:right w:val="single" w:sz="6" w:space="0" w:color="1F497D"/>
            </w:tcBorders>
            <w:shd w:val="clear" w:color="auto" w:fill="FFFFFF"/>
          </w:tcPr>
          <w:p w:rsidR="0033725C" w:rsidRPr="00451078" w:rsidRDefault="0033725C" w:rsidP="00A73DBD">
            <w:pPr>
              <w:pStyle w:val="TableText"/>
              <w:jc w:val="left"/>
              <w:rPr>
                <w:rFonts w:ascii="Tahoma" w:eastAsia="Calibri" w:hAnsi="Tahoma" w:cs="Tahoma"/>
                <w:sz w:val="18"/>
                <w:szCs w:val="18"/>
                <w:lang w:val="it-IT"/>
              </w:rPr>
            </w:pPr>
            <w:r w:rsidRPr="00451078">
              <w:rPr>
                <w:rFonts w:ascii="Tahoma" w:eastAsia="Calibri" w:hAnsi="Tahoma" w:cs="Tahoma"/>
                <w:sz w:val="18"/>
                <w:szCs w:val="18"/>
                <w:lang w:val="it-IT"/>
              </w:rPr>
              <w:lastRenderedPageBreak/>
              <w:t>Aggiunta di Contatti utilizzando l</w:t>
            </w:r>
            <w:r w:rsidR="0073727D">
              <w:rPr>
                <w:rFonts w:ascii="Tahoma" w:eastAsia="Calibri" w:hAnsi="Tahoma" w:cs="Tahoma"/>
                <w:sz w:val="18"/>
                <w:szCs w:val="18"/>
                <w:lang w:val="it-IT"/>
              </w:rPr>
              <w:t>’</w:t>
            </w:r>
            <w:r w:rsidRPr="00451078">
              <w:rPr>
                <w:rFonts w:ascii="Tahoma" w:eastAsia="Calibri" w:hAnsi="Tahoma" w:cs="Tahoma"/>
                <w:sz w:val="18"/>
                <w:szCs w:val="18"/>
                <w:lang w:val="it-IT"/>
              </w:rPr>
              <w:t>Accesso alle API</w:t>
            </w:r>
          </w:p>
        </w:tc>
        <w:tc>
          <w:tcPr>
            <w:tcW w:w="972" w:type="dxa"/>
            <w:tcBorders>
              <w:top w:val="single" w:sz="6" w:space="0" w:color="1F497D"/>
              <w:left w:val="single" w:sz="6" w:space="0" w:color="1F497D"/>
              <w:bottom w:val="single" w:sz="6" w:space="0" w:color="1F497D"/>
              <w:right w:val="single" w:sz="6" w:space="0" w:color="1F497D"/>
            </w:tcBorders>
            <w:shd w:val="clear" w:color="auto" w:fill="FFFFFF"/>
          </w:tcPr>
          <w:p w:rsidR="0033725C" w:rsidRPr="003410C7" w:rsidRDefault="0033725C" w:rsidP="00A73DBD">
            <w:pPr>
              <w:pStyle w:val="TableText"/>
              <w:rPr>
                <w:rFonts w:ascii="Segoe" w:eastAsia="Calibri" w:hAnsi="Segoe"/>
              </w:rPr>
            </w:pPr>
            <w:r w:rsidRPr="003410C7">
              <w:rPr>
                <w:rFonts w:eastAsia="Calibri" w:cs="Segoe UI"/>
                <w:b/>
                <w:sz w:val="24"/>
                <w:szCs w:val="24"/>
              </w:rPr>
              <w:sym w:font="Wingdings" w:char="00FC"/>
            </w:r>
          </w:p>
        </w:tc>
        <w:tc>
          <w:tcPr>
            <w:tcW w:w="1053" w:type="dxa"/>
            <w:tcBorders>
              <w:top w:val="single" w:sz="6" w:space="0" w:color="1F497D"/>
              <w:left w:val="single" w:sz="6" w:space="0" w:color="1F497D"/>
              <w:bottom w:val="single" w:sz="6" w:space="0" w:color="1F497D"/>
              <w:right w:val="single" w:sz="6" w:space="0" w:color="1F497D"/>
            </w:tcBorders>
            <w:shd w:val="clear" w:color="auto" w:fill="FFFFFF"/>
          </w:tcPr>
          <w:p w:rsidR="0033725C" w:rsidRPr="003410C7" w:rsidRDefault="0033725C" w:rsidP="00A73DBD">
            <w:pPr>
              <w:pStyle w:val="TableText"/>
              <w:rPr>
                <w:rFonts w:ascii="Segoe" w:eastAsia="Calibri" w:hAnsi="Segoe"/>
              </w:rPr>
            </w:pPr>
            <w:r w:rsidRPr="003410C7">
              <w:rPr>
                <w:rFonts w:eastAsia="Calibri" w:cs="Segoe UI"/>
                <w:b/>
                <w:sz w:val="24"/>
                <w:szCs w:val="24"/>
              </w:rPr>
              <w:sym w:font="Wingdings" w:char="00FC"/>
            </w:r>
          </w:p>
        </w:tc>
        <w:tc>
          <w:tcPr>
            <w:tcW w:w="1152" w:type="dxa"/>
            <w:tcBorders>
              <w:top w:val="single" w:sz="6" w:space="0" w:color="1F497D"/>
              <w:left w:val="single" w:sz="6" w:space="0" w:color="1F497D"/>
              <w:bottom w:val="single" w:sz="6" w:space="0" w:color="1F497D"/>
              <w:right w:val="single" w:sz="6" w:space="0" w:color="1F497D"/>
            </w:tcBorders>
            <w:shd w:val="clear" w:color="auto" w:fill="FFFFFF"/>
          </w:tcPr>
          <w:p w:rsidR="0033725C" w:rsidRPr="003410C7" w:rsidRDefault="0033725C" w:rsidP="00A73DBD">
            <w:pPr>
              <w:pStyle w:val="TableText"/>
              <w:rPr>
                <w:rFonts w:ascii="Segoe" w:eastAsia="Calibri" w:hAnsi="Segoe"/>
              </w:rPr>
            </w:pPr>
            <w:r w:rsidRPr="003410C7">
              <w:rPr>
                <w:rFonts w:eastAsia="Calibri" w:cs="Segoe UI"/>
                <w:b/>
                <w:sz w:val="24"/>
                <w:szCs w:val="24"/>
              </w:rPr>
              <w:sym w:font="Wingdings" w:char="00FC"/>
            </w:r>
          </w:p>
        </w:tc>
        <w:tc>
          <w:tcPr>
            <w:tcW w:w="1125" w:type="dxa"/>
            <w:tcBorders>
              <w:top w:val="single" w:sz="6" w:space="0" w:color="1F497D"/>
              <w:left w:val="single" w:sz="6" w:space="0" w:color="1F497D"/>
              <w:bottom w:val="single" w:sz="6" w:space="0" w:color="1F497D"/>
              <w:right w:val="single" w:sz="6" w:space="0" w:color="1F497D"/>
            </w:tcBorders>
            <w:shd w:val="clear" w:color="auto" w:fill="FFFFFF"/>
          </w:tcPr>
          <w:p w:rsidR="0033725C" w:rsidRPr="003410C7" w:rsidRDefault="0033725C" w:rsidP="00A73DBD">
            <w:pPr>
              <w:pStyle w:val="TableText"/>
              <w:rPr>
                <w:rFonts w:eastAsia="Calibri" w:cs="Segoe UI"/>
                <w:b/>
                <w:sz w:val="24"/>
                <w:szCs w:val="24"/>
              </w:rPr>
            </w:pPr>
          </w:p>
        </w:tc>
        <w:tc>
          <w:tcPr>
            <w:tcW w:w="1305" w:type="dxa"/>
            <w:tcBorders>
              <w:top w:val="single" w:sz="6" w:space="0" w:color="1F497D"/>
              <w:left w:val="single" w:sz="6" w:space="0" w:color="1F497D"/>
              <w:bottom w:val="single" w:sz="6" w:space="0" w:color="1F497D"/>
              <w:right w:val="single" w:sz="6" w:space="0" w:color="1F497D"/>
            </w:tcBorders>
            <w:shd w:val="clear" w:color="auto" w:fill="FFFFFF"/>
          </w:tcPr>
          <w:p w:rsidR="0033725C" w:rsidRPr="003410C7" w:rsidRDefault="0033725C" w:rsidP="00A73DBD">
            <w:pPr>
              <w:pStyle w:val="TableText"/>
              <w:rPr>
                <w:rFonts w:eastAsia="Calibri" w:cs="Segoe UI"/>
                <w:b/>
                <w:sz w:val="24"/>
                <w:szCs w:val="24"/>
              </w:rPr>
            </w:pPr>
          </w:p>
        </w:tc>
        <w:tc>
          <w:tcPr>
            <w:tcW w:w="1251" w:type="dxa"/>
            <w:tcBorders>
              <w:top w:val="single" w:sz="6" w:space="0" w:color="1F497D"/>
              <w:left w:val="single" w:sz="6" w:space="0" w:color="1F497D"/>
              <w:bottom w:val="single" w:sz="6" w:space="0" w:color="1F497D"/>
              <w:right w:val="single" w:sz="6" w:space="0" w:color="1F497D"/>
            </w:tcBorders>
            <w:shd w:val="clear" w:color="auto" w:fill="FFFFFF"/>
          </w:tcPr>
          <w:p w:rsidR="0033725C" w:rsidRPr="003410C7" w:rsidRDefault="0033725C" w:rsidP="00A73DBD">
            <w:pPr>
              <w:pStyle w:val="TableText"/>
              <w:rPr>
                <w:rFonts w:ascii="Segoe" w:eastAsia="Calibri" w:hAnsi="Segoe"/>
              </w:rPr>
            </w:pPr>
            <w:r w:rsidRPr="003410C7">
              <w:rPr>
                <w:rFonts w:eastAsia="Calibri" w:cs="Segoe UI"/>
                <w:b/>
                <w:sz w:val="24"/>
                <w:szCs w:val="24"/>
              </w:rPr>
              <w:sym w:font="Wingdings" w:char="00FC"/>
            </w:r>
          </w:p>
        </w:tc>
      </w:tr>
      <w:tr w:rsidR="000C172E" w:rsidRPr="003410C7" w:rsidTr="000C172E">
        <w:tc>
          <w:tcPr>
            <w:tcW w:w="2020" w:type="dxa"/>
            <w:tcBorders>
              <w:top w:val="single" w:sz="6" w:space="0" w:color="1F497D"/>
              <w:left w:val="single" w:sz="4" w:space="0" w:color="072B61"/>
              <w:bottom w:val="single" w:sz="6" w:space="0" w:color="1F497D"/>
              <w:right w:val="single" w:sz="6" w:space="0" w:color="1F497D"/>
            </w:tcBorders>
            <w:shd w:val="clear" w:color="auto" w:fill="FFFFFF"/>
          </w:tcPr>
          <w:p w:rsidR="0033725C" w:rsidRPr="00451078" w:rsidRDefault="0033725C" w:rsidP="00A73DBD">
            <w:pPr>
              <w:pStyle w:val="TableText"/>
              <w:jc w:val="left"/>
              <w:rPr>
                <w:rFonts w:ascii="Tahoma" w:eastAsia="Calibri" w:hAnsi="Tahoma" w:cs="Tahoma"/>
                <w:sz w:val="18"/>
                <w:szCs w:val="18"/>
                <w:lang w:val="it-IT"/>
              </w:rPr>
            </w:pPr>
            <w:r w:rsidRPr="00451078">
              <w:rPr>
                <w:rFonts w:ascii="Tahoma" w:eastAsia="Calibri" w:hAnsi="Tahoma" w:cs="Tahoma"/>
                <w:sz w:val="18"/>
                <w:szCs w:val="18"/>
                <w:lang w:val="it-IT"/>
              </w:rPr>
              <w:t>Aggiunta di Casi utilizzando l</w:t>
            </w:r>
            <w:r w:rsidR="0073727D">
              <w:rPr>
                <w:rFonts w:ascii="Tahoma" w:eastAsia="Calibri" w:hAnsi="Tahoma" w:cs="Tahoma"/>
                <w:sz w:val="18"/>
                <w:szCs w:val="18"/>
                <w:lang w:val="it-IT"/>
              </w:rPr>
              <w:t>’</w:t>
            </w:r>
            <w:r w:rsidRPr="00451078">
              <w:rPr>
                <w:rFonts w:ascii="Tahoma" w:eastAsia="Calibri" w:hAnsi="Tahoma" w:cs="Tahoma"/>
                <w:sz w:val="18"/>
                <w:szCs w:val="18"/>
                <w:lang w:val="it-IT"/>
              </w:rPr>
              <w:t>Accesso alle API</w:t>
            </w:r>
          </w:p>
        </w:tc>
        <w:tc>
          <w:tcPr>
            <w:tcW w:w="972" w:type="dxa"/>
            <w:tcBorders>
              <w:top w:val="single" w:sz="6" w:space="0" w:color="1F497D"/>
              <w:left w:val="single" w:sz="6" w:space="0" w:color="1F497D"/>
              <w:bottom w:val="single" w:sz="6" w:space="0" w:color="1F497D"/>
              <w:right w:val="single" w:sz="6" w:space="0" w:color="1F497D"/>
            </w:tcBorders>
            <w:shd w:val="clear" w:color="auto" w:fill="FFFFFF"/>
          </w:tcPr>
          <w:p w:rsidR="0033725C" w:rsidRPr="003410C7" w:rsidRDefault="0033725C" w:rsidP="00A73DBD">
            <w:pPr>
              <w:pStyle w:val="TableText"/>
              <w:rPr>
                <w:rFonts w:ascii="Segoe" w:eastAsia="Calibri" w:hAnsi="Segoe"/>
              </w:rPr>
            </w:pPr>
            <w:r w:rsidRPr="003410C7">
              <w:rPr>
                <w:rFonts w:eastAsia="Calibri" w:cs="Segoe UI"/>
                <w:b/>
                <w:sz w:val="24"/>
                <w:szCs w:val="24"/>
              </w:rPr>
              <w:sym w:font="Wingdings" w:char="00FC"/>
            </w:r>
          </w:p>
        </w:tc>
        <w:tc>
          <w:tcPr>
            <w:tcW w:w="1053" w:type="dxa"/>
            <w:tcBorders>
              <w:top w:val="single" w:sz="6" w:space="0" w:color="1F497D"/>
              <w:left w:val="single" w:sz="6" w:space="0" w:color="1F497D"/>
              <w:bottom w:val="single" w:sz="6" w:space="0" w:color="1F497D"/>
              <w:right w:val="single" w:sz="6" w:space="0" w:color="1F497D"/>
            </w:tcBorders>
            <w:shd w:val="clear" w:color="auto" w:fill="FFFFFF"/>
          </w:tcPr>
          <w:p w:rsidR="0033725C" w:rsidRPr="003410C7" w:rsidRDefault="0033725C" w:rsidP="00A73DBD">
            <w:pPr>
              <w:pStyle w:val="TableText"/>
              <w:rPr>
                <w:rFonts w:ascii="Segoe" w:eastAsia="Calibri" w:hAnsi="Segoe"/>
              </w:rPr>
            </w:pPr>
            <w:r w:rsidRPr="003410C7">
              <w:rPr>
                <w:rFonts w:eastAsia="Calibri" w:cs="Segoe UI"/>
                <w:b/>
                <w:sz w:val="24"/>
                <w:szCs w:val="24"/>
              </w:rPr>
              <w:sym w:font="Wingdings" w:char="00FC"/>
            </w:r>
          </w:p>
        </w:tc>
        <w:tc>
          <w:tcPr>
            <w:tcW w:w="1152" w:type="dxa"/>
            <w:tcBorders>
              <w:top w:val="single" w:sz="6" w:space="0" w:color="1F497D"/>
              <w:left w:val="single" w:sz="6" w:space="0" w:color="1F497D"/>
              <w:bottom w:val="single" w:sz="6" w:space="0" w:color="1F497D"/>
              <w:right w:val="single" w:sz="6" w:space="0" w:color="1F497D"/>
            </w:tcBorders>
            <w:shd w:val="clear" w:color="auto" w:fill="FFFFFF"/>
          </w:tcPr>
          <w:p w:rsidR="0033725C" w:rsidRPr="003410C7" w:rsidRDefault="0033725C" w:rsidP="00A73DBD">
            <w:pPr>
              <w:pStyle w:val="TableText"/>
              <w:rPr>
                <w:rFonts w:ascii="Segoe" w:eastAsia="Calibri" w:hAnsi="Segoe"/>
              </w:rPr>
            </w:pPr>
            <w:r w:rsidRPr="003410C7">
              <w:rPr>
                <w:rFonts w:eastAsia="Calibri" w:cs="Segoe UI"/>
                <w:b/>
                <w:sz w:val="24"/>
                <w:szCs w:val="24"/>
              </w:rPr>
              <w:sym w:font="Wingdings" w:char="00FC"/>
            </w:r>
          </w:p>
        </w:tc>
        <w:tc>
          <w:tcPr>
            <w:tcW w:w="1125" w:type="dxa"/>
            <w:tcBorders>
              <w:top w:val="single" w:sz="6" w:space="0" w:color="1F497D"/>
              <w:left w:val="single" w:sz="6" w:space="0" w:color="1F497D"/>
              <w:bottom w:val="single" w:sz="6" w:space="0" w:color="1F497D"/>
              <w:right w:val="single" w:sz="6" w:space="0" w:color="1F497D"/>
            </w:tcBorders>
            <w:shd w:val="clear" w:color="auto" w:fill="FFFFFF"/>
          </w:tcPr>
          <w:p w:rsidR="0033725C" w:rsidRPr="003410C7" w:rsidRDefault="0033725C" w:rsidP="00A73DBD">
            <w:pPr>
              <w:pStyle w:val="TableText"/>
              <w:rPr>
                <w:rFonts w:eastAsia="Calibri" w:cs="Segoe UI"/>
                <w:b/>
                <w:sz w:val="24"/>
                <w:szCs w:val="24"/>
              </w:rPr>
            </w:pPr>
          </w:p>
        </w:tc>
        <w:tc>
          <w:tcPr>
            <w:tcW w:w="1305" w:type="dxa"/>
            <w:tcBorders>
              <w:top w:val="single" w:sz="6" w:space="0" w:color="1F497D"/>
              <w:left w:val="single" w:sz="6" w:space="0" w:color="1F497D"/>
              <w:bottom w:val="single" w:sz="6" w:space="0" w:color="1F497D"/>
              <w:right w:val="single" w:sz="6" w:space="0" w:color="1F497D"/>
            </w:tcBorders>
            <w:shd w:val="clear" w:color="auto" w:fill="FFFFFF"/>
          </w:tcPr>
          <w:p w:rsidR="0033725C" w:rsidRPr="003410C7" w:rsidRDefault="0033725C" w:rsidP="00A73DBD">
            <w:pPr>
              <w:pStyle w:val="TableText"/>
              <w:rPr>
                <w:rFonts w:eastAsia="Calibri" w:cs="Segoe UI"/>
                <w:b/>
                <w:sz w:val="24"/>
                <w:szCs w:val="24"/>
              </w:rPr>
            </w:pPr>
          </w:p>
        </w:tc>
        <w:tc>
          <w:tcPr>
            <w:tcW w:w="1251" w:type="dxa"/>
            <w:tcBorders>
              <w:top w:val="single" w:sz="6" w:space="0" w:color="1F497D"/>
              <w:left w:val="single" w:sz="6" w:space="0" w:color="1F497D"/>
              <w:bottom w:val="single" w:sz="6" w:space="0" w:color="1F497D"/>
              <w:right w:val="single" w:sz="6" w:space="0" w:color="1F497D"/>
            </w:tcBorders>
            <w:shd w:val="clear" w:color="auto" w:fill="FFFFFF"/>
          </w:tcPr>
          <w:p w:rsidR="0033725C" w:rsidRPr="003410C7" w:rsidRDefault="0033725C" w:rsidP="00A73DBD">
            <w:pPr>
              <w:pStyle w:val="TableText"/>
              <w:rPr>
                <w:rFonts w:ascii="Segoe" w:eastAsia="Calibri" w:hAnsi="Segoe"/>
              </w:rPr>
            </w:pPr>
            <w:r w:rsidRPr="003410C7">
              <w:rPr>
                <w:rFonts w:eastAsia="Calibri" w:cs="Segoe UI"/>
                <w:b/>
                <w:sz w:val="24"/>
                <w:szCs w:val="24"/>
              </w:rPr>
              <w:sym w:font="Wingdings" w:char="00FC"/>
            </w:r>
          </w:p>
        </w:tc>
      </w:tr>
      <w:tr w:rsidR="000C172E" w:rsidRPr="003410C7" w:rsidTr="000C172E">
        <w:tc>
          <w:tcPr>
            <w:tcW w:w="2020" w:type="dxa"/>
            <w:tcBorders>
              <w:top w:val="single" w:sz="6" w:space="0" w:color="1F497D"/>
              <w:left w:val="single" w:sz="4" w:space="0" w:color="072B61"/>
              <w:bottom w:val="single" w:sz="6" w:space="0" w:color="1F497D"/>
              <w:right w:val="single" w:sz="6" w:space="0" w:color="1F497D"/>
            </w:tcBorders>
            <w:shd w:val="clear" w:color="auto" w:fill="FFFFFF"/>
          </w:tcPr>
          <w:p w:rsidR="0033725C" w:rsidRPr="00451078" w:rsidRDefault="0033725C" w:rsidP="00A73DBD">
            <w:pPr>
              <w:pStyle w:val="TableText"/>
              <w:jc w:val="left"/>
              <w:rPr>
                <w:rFonts w:ascii="Tahoma" w:eastAsia="Calibri" w:hAnsi="Tahoma" w:cs="Tahoma"/>
                <w:sz w:val="18"/>
                <w:szCs w:val="18"/>
                <w:lang w:val="it-IT"/>
              </w:rPr>
            </w:pPr>
            <w:r w:rsidRPr="00451078">
              <w:rPr>
                <w:rFonts w:ascii="Tahoma" w:eastAsia="Calibri" w:hAnsi="Tahoma" w:cs="Tahoma"/>
                <w:sz w:val="18"/>
                <w:szCs w:val="18"/>
                <w:lang w:val="it-IT"/>
              </w:rPr>
              <w:t>Aggiunta di Lead utilizzando l</w:t>
            </w:r>
            <w:r w:rsidR="0073727D">
              <w:rPr>
                <w:rFonts w:ascii="Tahoma" w:eastAsia="Calibri" w:hAnsi="Tahoma" w:cs="Tahoma"/>
                <w:sz w:val="18"/>
                <w:szCs w:val="18"/>
                <w:lang w:val="it-IT"/>
              </w:rPr>
              <w:t>’</w:t>
            </w:r>
            <w:r w:rsidRPr="00451078">
              <w:rPr>
                <w:rFonts w:ascii="Tahoma" w:eastAsia="Calibri" w:hAnsi="Tahoma" w:cs="Tahoma"/>
                <w:sz w:val="18"/>
                <w:szCs w:val="18"/>
                <w:lang w:val="it-IT"/>
              </w:rPr>
              <w:t>Accesso alle API</w:t>
            </w:r>
          </w:p>
        </w:tc>
        <w:tc>
          <w:tcPr>
            <w:tcW w:w="972" w:type="dxa"/>
            <w:tcBorders>
              <w:top w:val="single" w:sz="6" w:space="0" w:color="1F497D"/>
              <w:left w:val="single" w:sz="6" w:space="0" w:color="1F497D"/>
              <w:bottom w:val="single" w:sz="6" w:space="0" w:color="1F497D"/>
              <w:right w:val="single" w:sz="6" w:space="0" w:color="1F497D"/>
            </w:tcBorders>
            <w:shd w:val="clear" w:color="auto" w:fill="FFFFFF"/>
          </w:tcPr>
          <w:p w:rsidR="0033725C" w:rsidRPr="003410C7" w:rsidRDefault="0033725C" w:rsidP="00A73DBD">
            <w:pPr>
              <w:pStyle w:val="TableText"/>
              <w:rPr>
                <w:rFonts w:ascii="Segoe" w:eastAsia="Calibri" w:hAnsi="Segoe"/>
              </w:rPr>
            </w:pPr>
            <w:r w:rsidRPr="003410C7">
              <w:rPr>
                <w:rFonts w:eastAsia="Calibri" w:cs="Segoe UI"/>
                <w:b/>
                <w:sz w:val="24"/>
                <w:szCs w:val="24"/>
              </w:rPr>
              <w:sym w:font="Wingdings" w:char="00FC"/>
            </w:r>
          </w:p>
        </w:tc>
        <w:tc>
          <w:tcPr>
            <w:tcW w:w="1053" w:type="dxa"/>
            <w:tcBorders>
              <w:top w:val="single" w:sz="6" w:space="0" w:color="1F497D"/>
              <w:left w:val="single" w:sz="6" w:space="0" w:color="1F497D"/>
              <w:bottom w:val="single" w:sz="6" w:space="0" w:color="1F497D"/>
              <w:right w:val="single" w:sz="6" w:space="0" w:color="1F497D"/>
            </w:tcBorders>
            <w:shd w:val="clear" w:color="auto" w:fill="FFFFFF"/>
          </w:tcPr>
          <w:p w:rsidR="0033725C" w:rsidRPr="003410C7" w:rsidRDefault="0033725C" w:rsidP="00A73DBD">
            <w:pPr>
              <w:pStyle w:val="TableText"/>
              <w:rPr>
                <w:rFonts w:ascii="Segoe" w:eastAsia="Calibri" w:hAnsi="Segoe"/>
              </w:rPr>
            </w:pPr>
            <w:r w:rsidRPr="003410C7">
              <w:rPr>
                <w:rFonts w:eastAsia="Calibri" w:cs="Segoe UI"/>
                <w:b/>
                <w:sz w:val="24"/>
                <w:szCs w:val="24"/>
              </w:rPr>
              <w:sym w:font="Wingdings" w:char="00FC"/>
            </w:r>
          </w:p>
        </w:tc>
        <w:tc>
          <w:tcPr>
            <w:tcW w:w="1152" w:type="dxa"/>
            <w:tcBorders>
              <w:top w:val="single" w:sz="6" w:space="0" w:color="1F497D"/>
              <w:left w:val="single" w:sz="6" w:space="0" w:color="1F497D"/>
              <w:bottom w:val="single" w:sz="6" w:space="0" w:color="1F497D"/>
              <w:right w:val="single" w:sz="6" w:space="0" w:color="1F497D"/>
            </w:tcBorders>
            <w:shd w:val="clear" w:color="auto" w:fill="FFFFFF"/>
          </w:tcPr>
          <w:p w:rsidR="0033725C" w:rsidRPr="003410C7" w:rsidRDefault="0033725C" w:rsidP="00A73DBD">
            <w:pPr>
              <w:pStyle w:val="TableText"/>
              <w:rPr>
                <w:rFonts w:ascii="Segoe" w:eastAsia="Calibri" w:hAnsi="Segoe"/>
              </w:rPr>
            </w:pPr>
            <w:r w:rsidRPr="003410C7">
              <w:rPr>
                <w:rFonts w:eastAsia="Calibri" w:cs="Segoe UI"/>
                <w:b/>
                <w:sz w:val="24"/>
                <w:szCs w:val="24"/>
              </w:rPr>
              <w:sym w:font="Wingdings" w:char="00FC"/>
            </w:r>
          </w:p>
        </w:tc>
        <w:tc>
          <w:tcPr>
            <w:tcW w:w="1125" w:type="dxa"/>
            <w:tcBorders>
              <w:top w:val="single" w:sz="6" w:space="0" w:color="1F497D"/>
              <w:left w:val="single" w:sz="6" w:space="0" w:color="1F497D"/>
              <w:bottom w:val="single" w:sz="6" w:space="0" w:color="1F497D"/>
              <w:right w:val="single" w:sz="6" w:space="0" w:color="1F497D"/>
            </w:tcBorders>
            <w:shd w:val="clear" w:color="auto" w:fill="FFFFFF"/>
          </w:tcPr>
          <w:p w:rsidR="0033725C" w:rsidRPr="003410C7" w:rsidRDefault="0033725C" w:rsidP="00A73DBD">
            <w:pPr>
              <w:pStyle w:val="TableText"/>
              <w:rPr>
                <w:rFonts w:eastAsia="Calibri" w:cs="Segoe UI"/>
                <w:b/>
                <w:sz w:val="24"/>
                <w:szCs w:val="24"/>
              </w:rPr>
            </w:pPr>
          </w:p>
        </w:tc>
        <w:tc>
          <w:tcPr>
            <w:tcW w:w="1305" w:type="dxa"/>
            <w:tcBorders>
              <w:top w:val="single" w:sz="6" w:space="0" w:color="1F497D"/>
              <w:left w:val="single" w:sz="6" w:space="0" w:color="1F497D"/>
              <w:bottom w:val="single" w:sz="6" w:space="0" w:color="1F497D"/>
              <w:right w:val="single" w:sz="6" w:space="0" w:color="1F497D"/>
            </w:tcBorders>
            <w:shd w:val="clear" w:color="auto" w:fill="FFFFFF"/>
          </w:tcPr>
          <w:p w:rsidR="0033725C" w:rsidRPr="003410C7" w:rsidRDefault="0033725C" w:rsidP="00A73DBD">
            <w:pPr>
              <w:pStyle w:val="TableText"/>
              <w:rPr>
                <w:rFonts w:eastAsia="Calibri" w:cs="Segoe UI"/>
                <w:b/>
                <w:sz w:val="24"/>
                <w:szCs w:val="24"/>
              </w:rPr>
            </w:pPr>
          </w:p>
        </w:tc>
        <w:tc>
          <w:tcPr>
            <w:tcW w:w="1251" w:type="dxa"/>
            <w:tcBorders>
              <w:top w:val="single" w:sz="6" w:space="0" w:color="1F497D"/>
              <w:left w:val="single" w:sz="6" w:space="0" w:color="1F497D"/>
              <w:bottom w:val="single" w:sz="6" w:space="0" w:color="1F497D"/>
              <w:right w:val="single" w:sz="6" w:space="0" w:color="1F497D"/>
            </w:tcBorders>
            <w:shd w:val="clear" w:color="auto" w:fill="FFFFFF"/>
          </w:tcPr>
          <w:p w:rsidR="0033725C" w:rsidRPr="003410C7" w:rsidRDefault="0033725C" w:rsidP="00A73DBD">
            <w:pPr>
              <w:pStyle w:val="TableText"/>
              <w:rPr>
                <w:rFonts w:ascii="Segoe" w:eastAsia="Calibri" w:hAnsi="Segoe"/>
              </w:rPr>
            </w:pPr>
            <w:r w:rsidRPr="003410C7">
              <w:rPr>
                <w:rFonts w:eastAsia="Calibri" w:cs="Segoe UI"/>
                <w:b/>
                <w:sz w:val="24"/>
                <w:szCs w:val="24"/>
              </w:rPr>
              <w:sym w:font="Wingdings" w:char="00FC"/>
            </w:r>
          </w:p>
        </w:tc>
      </w:tr>
      <w:tr w:rsidR="000C172E" w:rsidRPr="003410C7" w:rsidTr="000C172E">
        <w:tc>
          <w:tcPr>
            <w:tcW w:w="2020" w:type="dxa"/>
            <w:tcBorders>
              <w:top w:val="single" w:sz="6" w:space="0" w:color="1F497D"/>
              <w:left w:val="single" w:sz="4" w:space="0" w:color="072B61"/>
              <w:bottom w:val="single" w:sz="6" w:space="0" w:color="1F497D"/>
              <w:right w:val="single" w:sz="6" w:space="0" w:color="1F497D"/>
            </w:tcBorders>
            <w:shd w:val="clear" w:color="auto" w:fill="FFFFFF"/>
          </w:tcPr>
          <w:p w:rsidR="0033725C" w:rsidRPr="00451078" w:rsidRDefault="0033725C" w:rsidP="00A73DBD">
            <w:pPr>
              <w:pStyle w:val="TableText"/>
              <w:jc w:val="left"/>
              <w:rPr>
                <w:rFonts w:ascii="Tahoma" w:eastAsia="Calibri" w:hAnsi="Tahoma" w:cs="Tahoma"/>
                <w:sz w:val="18"/>
                <w:szCs w:val="18"/>
                <w:lang w:val="it-IT"/>
              </w:rPr>
            </w:pPr>
            <w:r w:rsidRPr="00451078">
              <w:rPr>
                <w:rFonts w:ascii="Tahoma" w:eastAsia="Calibri" w:hAnsi="Tahoma" w:cs="Tahoma"/>
                <w:sz w:val="18"/>
                <w:szCs w:val="18"/>
                <w:lang w:val="it-IT"/>
              </w:rPr>
              <w:t>Aggiunta di Attività utilizzando l</w:t>
            </w:r>
            <w:r w:rsidR="0073727D">
              <w:rPr>
                <w:rFonts w:ascii="Tahoma" w:eastAsia="Calibri" w:hAnsi="Tahoma" w:cs="Tahoma"/>
                <w:sz w:val="18"/>
                <w:szCs w:val="18"/>
                <w:lang w:val="it-IT"/>
              </w:rPr>
              <w:t>’</w:t>
            </w:r>
            <w:r w:rsidRPr="00451078">
              <w:rPr>
                <w:rFonts w:ascii="Tahoma" w:eastAsia="Calibri" w:hAnsi="Tahoma" w:cs="Tahoma"/>
                <w:sz w:val="18"/>
                <w:szCs w:val="18"/>
                <w:lang w:val="it-IT"/>
              </w:rPr>
              <w:t>Accesso alle API</w:t>
            </w:r>
          </w:p>
        </w:tc>
        <w:tc>
          <w:tcPr>
            <w:tcW w:w="972" w:type="dxa"/>
            <w:tcBorders>
              <w:top w:val="single" w:sz="6" w:space="0" w:color="1F497D"/>
              <w:left w:val="single" w:sz="6" w:space="0" w:color="1F497D"/>
              <w:bottom w:val="single" w:sz="6" w:space="0" w:color="1F497D"/>
              <w:right w:val="single" w:sz="6" w:space="0" w:color="1F497D"/>
            </w:tcBorders>
            <w:shd w:val="clear" w:color="auto" w:fill="FFFFFF"/>
          </w:tcPr>
          <w:p w:rsidR="0033725C" w:rsidRPr="003410C7" w:rsidRDefault="0033725C" w:rsidP="00A73DBD">
            <w:pPr>
              <w:pStyle w:val="TableText"/>
              <w:rPr>
                <w:rFonts w:ascii="Segoe" w:eastAsia="Calibri" w:hAnsi="Segoe"/>
              </w:rPr>
            </w:pPr>
            <w:r w:rsidRPr="003410C7">
              <w:rPr>
                <w:rFonts w:eastAsia="Calibri" w:cs="Segoe UI"/>
                <w:b/>
                <w:sz w:val="24"/>
                <w:szCs w:val="24"/>
              </w:rPr>
              <w:sym w:font="Wingdings" w:char="00FC"/>
            </w:r>
          </w:p>
        </w:tc>
        <w:tc>
          <w:tcPr>
            <w:tcW w:w="1053" w:type="dxa"/>
            <w:tcBorders>
              <w:top w:val="single" w:sz="6" w:space="0" w:color="1F497D"/>
              <w:left w:val="single" w:sz="6" w:space="0" w:color="1F497D"/>
              <w:bottom w:val="single" w:sz="6" w:space="0" w:color="1F497D"/>
              <w:right w:val="single" w:sz="6" w:space="0" w:color="1F497D"/>
            </w:tcBorders>
            <w:shd w:val="clear" w:color="auto" w:fill="FFFFFF"/>
          </w:tcPr>
          <w:p w:rsidR="0033725C" w:rsidRPr="003410C7" w:rsidRDefault="0033725C" w:rsidP="00A73DBD">
            <w:pPr>
              <w:pStyle w:val="TableText"/>
              <w:rPr>
                <w:rFonts w:ascii="Segoe" w:eastAsia="Calibri" w:hAnsi="Segoe"/>
              </w:rPr>
            </w:pPr>
            <w:r w:rsidRPr="003410C7">
              <w:rPr>
                <w:rFonts w:eastAsia="Calibri" w:cs="Segoe UI"/>
                <w:b/>
                <w:sz w:val="24"/>
                <w:szCs w:val="24"/>
              </w:rPr>
              <w:sym w:font="Wingdings" w:char="00FC"/>
            </w:r>
          </w:p>
        </w:tc>
        <w:tc>
          <w:tcPr>
            <w:tcW w:w="1152" w:type="dxa"/>
            <w:tcBorders>
              <w:top w:val="single" w:sz="6" w:space="0" w:color="1F497D"/>
              <w:left w:val="single" w:sz="6" w:space="0" w:color="1F497D"/>
              <w:bottom w:val="single" w:sz="6" w:space="0" w:color="1F497D"/>
              <w:right w:val="single" w:sz="6" w:space="0" w:color="1F497D"/>
            </w:tcBorders>
            <w:shd w:val="clear" w:color="auto" w:fill="FFFFFF"/>
          </w:tcPr>
          <w:p w:rsidR="0033725C" w:rsidRPr="003410C7" w:rsidRDefault="0033725C" w:rsidP="00A73DBD">
            <w:pPr>
              <w:pStyle w:val="TableText"/>
              <w:rPr>
                <w:rFonts w:ascii="Segoe" w:eastAsia="Calibri" w:hAnsi="Segoe"/>
              </w:rPr>
            </w:pPr>
            <w:r w:rsidRPr="003410C7">
              <w:rPr>
                <w:rFonts w:eastAsia="Calibri" w:cs="Segoe UI"/>
                <w:b/>
                <w:sz w:val="24"/>
                <w:szCs w:val="24"/>
              </w:rPr>
              <w:sym w:font="Wingdings" w:char="00FC"/>
            </w:r>
          </w:p>
        </w:tc>
        <w:tc>
          <w:tcPr>
            <w:tcW w:w="1125" w:type="dxa"/>
            <w:tcBorders>
              <w:top w:val="single" w:sz="6" w:space="0" w:color="1F497D"/>
              <w:left w:val="single" w:sz="6" w:space="0" w:color="1F497D"/>
              <w:bottom w:val="single" w:sz="6" w:space="0" w:color="1F497D"/>
              <w:right w:val="single" w:sz="6" w:space="0" w:color="1F497D"/>
            </w:tcBorders>
            <w:shd w:val="clear" w:color="auto" w:fill="FFFFFF"/>
          </w:tcPr>
          <w:p w:rsidR="0033725C" w:rsidRPr="003410C7" w:rsidRDefault="0033725C" w:rsidP="00A73DBD">
            <w:pPr>
              <w:pStyle w:val="TableText"/>
              <w:rPr>
                <w:rFonts w:eastAsia="Calibri" w:cs="Segoe UI"/>
                <w:b/>
                <w:sz w:val="24"/>
                <w:szCs w:val="24"/>
              </w:rPr>
            </w:pPr>
          </w:p>
        </w:tc>
        <w:tc>
          <w:tcPr>
            <w:tcW w:w="1305" w:type="dxa"/>
            <w:tcBorders>
              <w:top w:val="single" w:sz="6" w:space="0" w:color="1F497D"/>
              <w:left w:val="single" w:sz="6" w:space="0" w:color="1F497D"/>
              <w:bottom w:val="single" w:sz="6" w:space="0" w:color="1F497D"/>
              <w:right w:val="single" w:sz="6" w:space="0" w:color="1F497D"/>
            </w:tcBorders>
            <w:shd w:val="clear" w:color="auto" w:fill="FFFFFF"/>
          </w:tcPr>
          <w:p w:rsidR="0033725C" w:rsidRPr="003410C7" w:rsidRDefault="0033725C" w:rsidP="00A73DBD">
            <w:pPr>
              <w:pStyle w:val="TableText"/>
              <w:rPr>
                <w:rFonts w:eastAsia="Calibri" w:cs="Segoe UI"/>
                <w:b/>
                <w:sz w:val="24"/>
                <w:szCs w:val="24"/>
              </w:rPr>
            </w:pPr>
          </w:p>
        </w:tc>
        <w:tc>
          <w:tcPr>
            <w:tcW w:w="1251" w:type="dxa"/>
            <w:tcBorders>
              <w:top w:val="single" w:sz="6" w:space="0" w:color="1F497D"/>
              <w:left w:val="single" w:sz="6" w:space="0" w:color="1F497D"/>
              <w:bottom w:val="single" w:sz="6" w:space="0" w:color="1F497D"/>
              <w:right w:val="single" w:sz="6" w:space="0" w:color="1F497D"/>
            </w:tcBorders>
            <w:shd w:val="clear" w:color="auto" w:fill="FFFFFF"/>
          </w:tcPr>
          <w:p w:rsidR="0033725C" w:rsidRPr="003410C7" w:rsidRDefault="0033725C" w:rsidP="00A73DBD">
            <w:pPr>
              <w:pStyle w:val="TableText"/>
              <w:rPr>
                <w:rFonts w:ascii="Segoe" w:eastAsia="Calibri" w:hAnsi="Segoe"/>
              </w:rPr>
            </w:pPr>
            <w:r w:rsidRPr="003410C7">
              <w:rPr>
                <w:rFonts w:eastAsia="Calibri" w:cs="Segoe UI"/>
                <w:b/>
                <w:sz w:val="24"/>
                <w:szCs w:val="24"/>
              </w:rPr>
              <w:sym w:font="Wingdings" w:char="00FC"/>
            </w:r>
          </w:p>
        </w:tc>
      </w:tr>
      <w:tr w:rsidR="000C172E" w:rsidRPr="003410C7" w:rsidTr="000C172E">
        <w:tc>
          <w:tcPr>
            <w:tcW w:w="2020" w:type="dxa"/>
            <w:tcBorders>
              <w:top w:val="single" w:sz="6" w:space="0" w:color="1F497D"/>
              <w:left w:val="single" w:sz="4" w:space="0" w:color="072B61"/>
              <w:bottom w:val="single" w:sz="6" w:space="0" w:color="1F497D"/>
              <w:right w:val="single" w:sz="6" w:space="0" w:color="1F497D"/>
            </w:tcBorders>
            <w:shd w:val="clear" w:color="auto" w:fill="FFFFFF"/>
          </w:tcPr>
          <w:p w:rsidR="0033725C" w:rsidRPr="00451078" w:rsidRDefault="0033725C" w:rsidP="00A73DBD">
            <w:pPr>
              <w:pStyle w:val="TableText"/>
              <w:jc w:val="left"/>
              <w:rPr>
                <w:rFonts w:ascii="Tahoma" w:eastAsia="Calibri" w:hAnsi="Tahoma" w:cs="Tahoma"/>
                <w:sz w:val="18"/>
                <w:szCs w:val="18"/>
                <w:lang w:val="it-IT"/>
              </w:rPr>
            </w:pPr>
            <w:r w:rsidRPr="00451078">
              <w:rPr>
                <w:rFonts w:ascii="Tahoma" w:eastAsia="Calibri" w:hAnsi="Tahoma" w:cs="Tahoma"/>
                <w:sz w:val="18"/>
                <w:szCs w:val="18"/>
                <w:lang w:val="it-IT"/>
              </w:rPr>
              <w:t>Aggiunta di Note utilizzando l</w:t>
            </w:r>
            <w:r w:rsidR="0073727D">
              <w:rPr>
                <w:rFonts w:ascii="Tahoma" w:eastAsia="Calibri" w:hAnsi="Tahoma" w:cs="Tahoma"/>
                <w:sz w:val="18"/>
                <w:szCs w:val="18"/>
                <w:lang w:val="it-IT"/>
              </w:rPr>
              <w:t>’</w:t>
            </w:r>
            <w:r w:rsidRPr="00451078">
              <w:rPr>
                <w:rFonts w:ascii="Tahoma" w:eastAsia="Calibri" w:hAnsi="Tahoma" w:cs="Tahoma"/>
                <w:sz w:val="18"/>
                <w:szCs w:val="18"/>
                <w:lang w:val="it-IT"/>
              </w:rPr>
              <w:t>Accesso alle API</w:t>
            </w:r>
          </w:p>
        </w:tc>
        <w:tc>
          <w:tcPr>
            <w:tcW w:w="972" w:type="dxa"/>
            <w:tcBorders>
              <w:top w:val="single" w:sz="6" w:space="0" w:color="1F497D"/>
              <w:left w:val="single" w:sz="6" w:space="0" w:color="1F497D"/>
              <w:bottom w:val="single" w:sz="6" w:space="0" w:color="1F497D"/>
              <w:right w:val="single" w:sz="6" w:space="0" w:color="1F497D"/>
            </w:tcBorders>
            <w:shd w:val="clear" w:color="auto" w:fill="FFFFFF"/>
          </w:tcPr>
          <w:p w:rsidR="0033725C" w:rsidRPr="003410C7" w:rsidRDefault="0033725C" w:rsidP="00A73DBD">
            <w:pPr>
              <w:pStyle w:val="TableText"/>
              <w:rPr>
                <w:rFonts w:ascii="Segoe" w:eastAsia="Calibri" w:hAnsi="Segoe"/>
              </w:rPr>
            </w:pPr>
            <w:r w:rsidRPr="003410C7">
              <w:rPr>
                <w:rFonts w:eastAsia="Calibri" w:cs="Segoe UI"/>
                <w:b/>
                <w:sz w:val="24"/>
                <w:szCs w:val="24"/>
              </w:rPr>
              <w:sym w:font="Wingdings" w:char="00FC"/>
            </w:r>
          </w:p>
        </w:tc>
        <w:tc>
          <w:tcPr>
            <w:tcW w:w="1053" w:type="dxa"/>
            <w:tcBorders>
              <w:top w:val="single" w:sz="6" w:space="0" w:color="1F497D"/>
              <w:left w:val="single" w:sz="6" w:space="0" w:color="1F497D"/>
              <w:bottom w:val="single" w:sz="6" w:space="0" w:color="1F497D"/>
              <w:right w:val="single" w:sz="6" w:space="0" w:color="1F497D"/>
            </w:tcBorders>
            <w:shd w:val="clear" w:color="auto" w:fill="FFFFFF"/>
          </w:tcPr>
          <w:p w:rsidR="0033725C" w:rsidRPr="003410C7" w:rsidRDefault="0033725C" w:rsidP="00A73DBD">
            <w:pPr>
              <w:pStyle w:val="TableText"/>
              <w:rPr>
                <w:rFonts w:ascii="Segoe" w:eastAsia="Calibri" w:hAnsi="Segoe"/>
              </w:rPr>
            </w:pPr>
            <w:r w:rsidRPr="003410C7">
              <w:rPr>
                <w:rFonts w:eastAsia="Calibri" w:cs="Segoe UI"/>
                <w:b/>
                <w:sz w:val="24"/>
                <w:szCs w:val="24"/>
              </w:rPr>
              <w:sym w:font="Wingdings" w:char="00FC"/>
            </w:r>
          </w:p>
        </w:tc>
        <w:tc>
          <w:tcPr>
            <w:tcW w:w="1152" w:type="dxa"/>
            <w:tcBorders>
              <w:top w:val="single" w:sz="6" w:space="0" w:color="1F497D"/>
              <w:left w:val="single" w:sz="6" w:space="0" w:color="1F497D"/>
              <w:bottom w:val="single" w:sz="6" w:space="0" w:color="1F497D"/>
              <w:right w:val="single" w:sz="6" w:space="0" w:color="1F497D"/>
            </w:tcBorders>
            <w:shd w:val="clear" w:color="auto" w:fill="FFFFFF"/>
          </w:tcPr>
          <w:p w:rsidR="0033725C" w:rsidRPr="003410C7" w:rsidRDefault="0033725C" w:rsidP="00A73DBD">
            <w:pPr>
              <w:pStyle w:val="TableText"/>
              <w:rPr>
                <w:rFonts w:ascii="Segoe" w:eastAsia="Calibri" w:hAnsi="Segoe"/>
              </w:rPr>
            </w:pPr>
            <w:r w:rsidRPr="003410C7">
              <w:rPr>
                <w:rFonts w:eastAsia="Calibri" w:cs="Segoe UI"/>
                <w:b/>
                <w:sz w:val="24"/>
                <w:szCs w:val="24"/>
              </w:rPr>
              <w:sym w:font="Wingdings" w:char="00FC"/>
            </w:r>
          </w:p>
        </w:tc>
        <w:tc>
          <w:tcPr>
            <w:tcW w:w="1125" w:type="dxa"/>
            <w:tcBorders>
              <w:top w:val="single" w:sz="6" w:space="0" w:color="1F497D"/>
              <w:left w:val="single" w:sz="6" w:space="0" w:color="1F497D"/>
              <w:bottom w:val="single" w:sz="6" w:space="0" w:color="1F497D"/>
              <w:right w:val="single" w:sz="6" w:space="0" w:color="1F497D"/>
            </w:tcBorders>
            <w:shd w:val="clear" w:color="auto" w:fill="FFFFFF"/>
          </w:tcPr>
          <w:p w:rsidR="0033725C" w:rsidRPr="003410C7" w:rsidRDefault="0033725C" w:rsidP="00A73DBD">
            <w:pPr>
              <w:pStyle w:val="TableText"/>
              <w:rPr>
                <w:rFonts w:eastAsia="Calibri" w:cs="Segoe UI"/>
                <w:b/>
                <w:sz w:val="24"/>
                <w:szCs w:val="24"/>
              </w:rPr>
            </w:pPr>
          </w:p>
        </w:tc>
        <w:tc>
          <w:tcPr>
            <w:tcW w:w="1305" w:type="dxa"/>
            <w:tcBorders>
              <w:top w:val="single" w:sz="6" w:space="0" w:color="1F497D"/>
              <w:left w:val="single" w:sz="6" w:space="0" w:color="1F497D"/>
              <w:bottom w:val="single" w:sz="6" w:space="0" w:color="1F497D"/>
              <w:right w:val="single" w:sz="6" w:space="0" w:color="1F497D"/>
            </w:tcBorders>
            <w:shd w:val="clear" w:color="auto" w:fill="FFFFFF"/>
          </w:tcPr>
          <w:p w:rsidR="0033725C" w:rsidRPr="003410C7" w:rsidRDefault="0033725C" w:rsidP="00A73DBD">
            <w:pPr>
              <w:pStyle w:val="TableText"/>
              <w:rPr>
                <w:rFonts w:eastAsia="Calibri" w:cs="Segoe UI"/>
                <w:b/>
                <w:sz w:val="24"/>
                <w:szCs w:val="24"/>
              </w:rPr>
            </w:pPr>
          </w:p>
        </w:tc>
        <w:tc>
          <w:tcPr>
            <w:tcW w:w="1251" w:type="dxa"/>
            <w:tcBorders>
              <w:top w:val="single" w:sz="6" w:space="0" w:color="1F497D"/>
              <w:left w:val="single" w:sz="6" w:space="0" w:color="1F497D"/>
              <w:bottom w:val="single" w:sz="6" w:space="0" w:color="1F497D"/>
              <w:right w:val="single" w:sz="6" w:space="0" w:color="1F497D"/>
            </w:tcBorders>
            <w:shd w:val="clear" w:color="auto" w:fill="FFFFFF"/>
          </w:tcPr>
          <w:p w:rsidR="0033725C" w:rsidRPr="003410C7" w:rsidRDefault="0033725C" w:rsidP="00A73DBD">
            <w:pPr>
              <w:pStyle w:val="TableText"/>
              <w:rPr>
                <w:rFonts w:ascii="Segoe" w:eastAsia="Calibri" w:hAnsi="Segoe"/>
              </w:rPr>
            </w:pPr>
            <w:r w:rsidRPr="003410C7">
              <w:rPr>
                <w:rFonts w:eastAsia="Calibri" w:cs="Segoe UI"/>
                <w:b/>
                <w:sz w:val="24"/>
                <w:szCs w:val="24"/>
              </w:rPr>
              <w:sym w:font="Wingdings" w:char="00FC"/>
            </w:r>
          </w:p>
        </w:tc>
      </w:tr>
      <w:tr w:rsidR="000C172E" w:rsidRPr="003410C7" w:rsidTr="000C172E">
        <w:tc>
          <w:tcPr>
            <w:tcW w:w="2020" w:type="dxa"/>
            <w:tcBorders>
              <w:top w:val="single" w:sz="6" w:space="0" w:color="1F497D"/>
              <w:left w:val="single" w:sz="4" w:space="0" w:color="072B61"/>
              <w:bottom w:val="single" w:sz="6" w:space="0" w:color="1F497D"/>
              <w:right w:val="single" w:sz="6" w:space="0" w:color="1F497D"/>
            </w:tcBorders>
            <w:shd w:val="clear" w:color="auto" w:fill="FFFFFF"/>
          </w:tcPr>
          <w:p w:rsidR="0033725C" w:rsidRPr="00451078" w:rsidRDefault="0033725C" w:rsidP="00A73DBD">
            <w:pPr>
              <w:pStyle w:val="TableText"/>
              <w:jc w:val="left"/>
              <w:rPr>
                <w:rFonts w:ascii="Tahoma" w:eastAsia="Calibri" w:hAnsi="Tahoma" w:cs="Tahoma"/>
                <w:sz w:val="18"/>
                <w:szCs w:val="18"/>
                <w:lang w:val="it-IT"/>
              </w:rPr>
            </w:pPr>
            <w:r w:rsidRPr="00451078">
              <w:rPr>
                <w:rFonts w:ascii="Tahoma" w:eastAsia="Calibri" w:hAnsi="Tahoma" w:cs="Tahoma"/>
                <w:sz w:val="18"/>
                <w:szCs w:val="18"/>
                <w:lang w:val="it-IT"/>
              </w:rPr>
              <w:t>Aggiunta di record delle persone giuridiche personalizzati utilizzando l</w:t>
            </w:r>
            <w:r w:rsidR="0073727D">
              <w:rPr>
                <w:rFonts w:ascii="Tahoma" w:eastAsia="Calibri" w:hAnsi="Tahoma" w:cs="Tahoma"/>
                <w:sz w:val="18"/>
                <w:szCs w:val="18"/>
                <w:lang w:val="it-IT"/>
              </w:rPr>
              <w:t>’</w:t>
            </w:r>
            <w:r w:rsidRPr="00451078">
              <w:rPr>
                <w:rFonts w:ascii="Tahoma" w:eastAsia="Calibri" w:hAnsi="Tahoma" w:cs="Tahoma"/>
                <w:sz w:val="18"/>
                <w:szCs w:val="18"/>
                <w:lang w:val="it-IT"/>
              </w:rPr>
              <w:t>Accesso alle API</w:t>
            </w:r>
          </w:p>
        </w:tc>
        <w:tc>
          <w:tcPr>
            <w:tcW w:w="972" w:type="dxa"/>
            <w:tcBorders>
              <w:top w:val="single" w:sz="6" w:space="0" w:color="1F497D"/>
              <w:left w:val="single" w:sz="6" w:space="0" w:color="1F497D"/>
              <w:bottom w:val="single" w:sz="6" w:space="0" w:color="1F497D"/>
              <w:right w:val="single" w:sz="6" w:space="0" w:color="1F497D"/>
            </w:tcBorders>
            <w:shd w:val="clear" w:color="auto" w:fill="FFFFFF"/>
          </w:tcPr>
          <w:p w:rsidR="0033725C" w:rsidRPr="003410C7" w:rsidRDefault="0033725C" w:rsidP="00A73DBD">
            <w:pPr>
              <w:pStyle w:val="TableText"/>
              <w:rPr>
                <w:rFonts w:ascii="Segoe" w:eastAsia="Calibri" w:hAnsi="Segoe"/>
              </w:rPr>
            </w:pPr>
            <w:r w:rsidRPr="003410C7">
              <w:rPr>
                <w:rFonts w:eastAsia="Calibri" w:cs="Segoe UI"/>
                <w:b/>
                <w:sz w:val="24"/>
                <w:szCs w:val="24"/>
              </w:rPr>
              <w:sym w:font="Wingdings" w:char="00FC"/>
            </w:r>
          </w:p>
        </w:tc>
        <w:tc>
          <w:tcPr>
            <w:tcW w:w="1053" w:type="dxa"/>
            <w:tcBorders>
              <w:top w:val="single" w:sz="6" w:space="0" w:color="1F497D"/>
              <w:left w:val="single" w:sz="6" w:space="0" w:color="1F497D"/>
              <w:bottom w:val="single" w:sz="6" w:space="0" w:color="1F497D"/>
              <w:right w:val="single" w:sz="6" w:space="0" w:color="1F497D"/>
            </w:tcBorders>
            <w:shd w:val="clear" w:color="auto" w:fill="FFFFFF"/>
          </w:tcPr>
          <w:p w:rsidR="0033725C" w:rsidRPr="003410C7" w:rsidRDefault="0033725C" w:rsidP="00A73DBD">
            <w:pPr>
              <w:pStyle w:val="TableText"/>
              <w:rPr>
                <w:rFonts w:ascii="Segoe" w:eastAsia="Calibri" w:hAnsi="Segoe"/>
              </w:rPr>
            </w:pPr>
            <w:r w:rsidRPr="003410C7">
              <w:rPr>
                <w:rFonts w:eastAsia="Calibri" w:cs="Segoe UI"/>
                <w:b/>
                <w:sz w:val="24"/>
                <w:szCs w:val="24"/>
              </w:rPr>
              <w:sym w:font="Wingdings" w:char="00FC"/>
            </w:r>
          </w:p>
        </w:tc>
        <w:tc>
          <w:tcPr>
            <w:tcW w:w="1152" w:type="dxa"/>
            <w:tcBorders>
              <w:top w:val="single" w:sz="6" w:space="0" w:color="1F497D"/>
              <w:left w:val="single" w:sz="6" w:space="0" w:color="1F497D"/>
              <w:bottom w:val="single" w:sz="6" w:space="0" w:color="1F497D"/>
              <w:right w:val="single" w:sz="6" w:space="0" w:color="1F497D"/>
            </w:tcBorders>
            <w:shd w:val="clear" w:color="auto" w:fill="FFFFFF"/>
          </w:tcPr>
          <w:p w:rsidR="0033725C" w:rsidRPr="003410C7" w:rsidRDefault="0033725C" w:rsidP="00A73DBD">
            <w:pPr>
              <w:pStyle w:val="TableText"/>
              <w:rPr>
                <w:rFonts w:ascii="Segoe" w:eastAsia="Calibri" w:hAnsi="Segoe"/>
              </w:rPr>
            </w:pPr>
            <w:r w:rsidRPr="003410C7">
              <w:rPr>
                <w:rFonts w:eastAsia="Calibri" w:cs="Segoe UI"/>
                <w:b/>
                <w:sz w:val="24"/>
                <w:szCs w:val="24"/>
              </w:rPr>
              <w:sym w:font="Wingdings" w:char="00FC"/>
            </w:r>
          </w:p>
        </w:tc>
        <w:tc>
          <w:tcPr>
            <w:tcW w:w="1125" w:type="dxa"/>
            <w:tcBorders>
              <w:top w:val="single" w:sz="6" w:space="0" w:color="1F497D"/>
              <w:left w:val="single" w:sz="6" w:space="0" w:color="1F497D"/>
              <w:bottom w:val="single" w:sz="6" w:space="0" w:color="1F497D"/>
              <w:right w:val="single" w:sz="6" w:space="0" w:color="1F497D"/>
            </w:tcBorders>
            <w:shd w:val="clear" w:color="auto" w:fill="FFFFFF"/>
          </w:tcPr>
          <w:p w:rsidR="0033725C" w:rsidRPr="003410C7" w:rsidRDefault="0033725C" w:rsidP="00A73DBD">
            <w:pPr>
              <w:pStyle w:val="TableText"/>
              <w:rPr>
                <w:rFonts w:eastAsia="Calibri" w:cs="Segoe UI"/>
                <w:b/>
                <w:sz w:val="24"/>
                <w:szCs w:val="24"/>
              </w:rPr>
            </w:pPr>
          </w:p>
        </w:tc>
        <w:tc>
          <w:tcPr>
            <w:tcW w:w="1305" w:type="dxa"/>
            <w:tcBorders>
              <w:top w:val="single" w:sz="6" w:space="0" w:color="1F497D"/>
              <w:left w:val="single" w:sz="6" w:space="0" w:color="1F497D"/>
              <w:bottom w:val="single" w:sz="6" w:space="0" w:color="1F497D"/>
              <w:right w:val="single" w:sz="6" w:space="0" w:color="1F497D"/>
            </w:tcBorders>
            <w:shd w:val="clear" w:color="auto" w:fill="FFFFFF"/>
          </w:tcPr>
          <w:p w:rsidR="0033725C" w:rsidRPr="003410C7" w:rsidRDefault="0033725C" w:rsidP="00A73DBD">
            <w:pPr>
              <w:pStyle w:val="TableText"/>
              <w:rPr>
                <w:rFonts w:eastAsia="Calibri" w:cs="Segoe UI"/>
                <w:b/>
                <w:sz w:val="24"/>
                <w:szCs w:val="24"/>
              </w:rPr>
            </w:pPr>
          </w:p>
        </w:tc>
        <w:tc>
          <w:tcPr>
            <w:tcW w:w="1251" w:type="dxa"/>
            <w:tcBorders>
              <w:top w:val="single" w:sz="6" w:space="0" w:color="1F497D"/>
              <w:left w:val="single" w:sz="6" w:space="0" w:color="1F497D"/>
              <w:bottom w:val="single" w:sz="6" w:space="0" w:color="1F497D"/>
              <w:right w:val="single" w:sz="6" w:space="0" w:color="1F497D"/>
            </w:tcBorders>
            <w:shd w:val="clear" w:color="auto" w:fill="FFFFFF"/>
          </w:tcPr>
          <w:p w:rsidR="0033725C" w:rsidRPr="003410C7" w:rsidRDefault="0033725C" w:rsidP="00A73DBD">
            <w:pPr>
              <w:pStyle w:val="TableText"/>
              <w:rPr>
                <w:rFonts w:ascii="Segoe" w:eastAsia="Calibri" w:hAnsi="Segoe"/>
              </w:rPr>
            </w:pPr>
            <w:r w:rsidRPr="003410C7">
              <w:rPr>
                <w:rFonts w:eastAsia="Calibri" w:cs="Segoe UI"/>
                <w:b/>
                <w:sz w:val="24"/>
                <w:szCs w:val="24"/>
              </w:rPr>
              <w:sym w:font="Wingdings" w:char="00FC"/>
            </w:r>
          </w:p>
        </w:tc>
      </w:tr>
      <w:tr w:rsidR="000C172E" w:rsidRPr="003410C7" w:rsidTr="000C172E">
        <w:tc>
          <w:tcPr>
            <w:tcW w:w="2020" w:type="dxa"/>
            <w:tcBorders>
              <w:top w:val="single" w:sz="6" w:space="0" w:color="1F497D"/>
              <w:left w:val="single" w:sz="4" w:space="0" w:color="072B61"/>
              <w:bottom w:val="single" w:sz="6" w:space="0" w:color="1F497D"/>
              <w:right w:val="single" w:sz="6" w:space="0" w:color="1F497D"/>
            </w:tcBorders>
            <w:shd w:val="clear" w:color="auto" w:fill="FFFFFF"/>
          </w:tcPr>
          <w:p w:rsidR="0033725C" w:rsidRPr="00451078" w:rsidRDefault="0033725C" w:rsidP="00A73DBD">
            <w:pPr>
              <w:pStyle w:val="TableText"/>
              <w:jc w:val="left"/>
              <w:rPr>
                <w:rFonts w:ascii="Tahoma" w:eastAsia="Calibri" w:hAnsi="Tahoma" w:cs="Tahoma"/>
                <w:sz w:val="18"/>
                <w:szCs w:val="18"/>
                <w:lang w:val="it-IT"/>
              </w:rPr>
            </w:pPr>
            <w:r w:rsidRPr="00451078">
              <w:rPr>
                <w:rFonts w:ascii="Tahoma" w:eastAsia="Calibri" w:hAnsi="Tahoma" w:cs="Tahoma"/>
                <w:sz w:val="18"/>
                <w:szCs w:val="18"/>
                <w:lang w:val="it-IT"/>
              </w:rPr>
              <w:t>Aggiunta ad Account utilizzando l</w:t>
            </w:r>
            <w:r w:rsidR="0073727D">
              <w:rPr>
                <w:rFonts w:ascii="Tahoma" w:eastAsia="Calibri" w:hAnsi="Tahoma" w:cs="Tahoma"/>
                <w:sz w:val="18"/>
                <w:szCs w:val="18"/>
                <w:lang w:val="it-IT"/>
              </w:rPr>
              <w:t>’</w:t>
            </w:r>
            <w:r w:rsidRPr="00451078">
              <w:rPr>
                <w:rFonts w:ascii="Tahoma" w:eastAsia="Calibri" w:hAnsi="Tahoma" w:cs="Tahoma"/>
                <w:sz w:val="18"/>
                <w:szCs w:val="18"/>
                <w:lang w:val="it-IT"/>
              </w:rPr>
              <w:t>Accesso alle API</w:t>
            </w:r>
          </w:p>
        </w:tc>
        <w:tc>
          <w:tcPr>
            <w:tcW w:w="972" w:type="dxa"/>
            <w:tcBorders>
              <w:top w:val="single" w:sz="6" w:space="0" w:color="1F497D"/>
              <w:left w:val="single" w:sz="6" w:space="0" w:color="1F497D"/>
              <w:bottom w:val="single" w:sz="6" w:space="0" w:color="1F497D"/>
              <w:right w:val="single" w:sz="6" w:space="0" w:color="1F497D"/>
            </w:tcBorders>
            <w:shd w:val="clear" w:color="auto" w:fill="FFFFFF"/>
          </w:tcPr>
          <w:p w:rsidR="0033725C" w:rsidRPr="003410C7" w:rsidRDefault="0033725C" w:rsidP="00A73DBD">
            <w:pPr>
              <w:pStyle w:val="TableText"/>
              <w:rPr>
                <w:rFonts w:ascii="Segoe" w:eastAsia="Calibri" w:hAnsi="Segoe"/>
              </w:rPr>
            </w:pPr>
            <w:r w:rsidRPr="003410C7">
              <w:rPr>
                <w:rFonts w:eastAsia="Calibri" w:cs="Segoe UI"/>
                <w:b/>
                <w:sz w:val="24"/>
                <w:szCs w:val="24"/>
              </w:rPr>
              <w:sym w:font="Wingdings" w:char="00FC"/>
            </w:r>
          </w:p>
        </w:tc>
        <w:tc>
          <w:tcPr>
            <w:tcW w:w="1053" w:type="dxa"/>
            <w:tcBorders>
              <w:top w:val="single" w:sz="6" w:space="0" w:color="1F497D"/>
              <w:left w:val="single" w:sz="6" w:space="0" w:color="1F497D"/>
              <w:bottom w:val="single" w:sz="6" w:space="0" w:color="1F497D"/>
              <w:right w:val="single" w:sz="6" w:space="0" w:color="1F497D"/>
            </w:tcBorders>
            <w:shd w:val="clear" w:color="auto" w:fill="FFFFFF"/>
          </w:tcPr>
          <w:p w:rsidR="0033725C" w:rsidRPr="003410C7" w:rsidRDefault="0033725C" w:rsidP="00A73DBD">
            <w:pPr>
              <w:pStyle w:val="TableText"/>
              <w:rPr>
                <w:rFonts w:ascii="Segoe" w:eastAsia="Calibri" w:hAnsi="Segoe"/>
              </w:rPr>
            </w:pPr>
            <w:r w:rsidRPr="003410C7">
              <w:rPr>
                <w:rFonts w:eastAsia="Calibri" w:cs="Segoe UI"/>
                <w:b/>
                <w:sz w:val="24"/>
                <w:szCs w:val="24"/>
              </w:rPr>
              <w:sym w:font="Wingdings" w:char="00FC"/>
            </w:r>
          </w:p>
        </w:tc>
        <w:tc>
          <w:tcPr>
            <w:tcW w:w="1152" w:type="dxa"/>
            <w:tcBorders>
              <w:top w:val="single" w:sz="6" w:space="0" w:color="1F497D"/>
              <w:left w:val="single" w:sz="6" w:space="0" w:color="1F497D"/>
              <w:bottom w:val="single" w:sz="6" w:space="0" w:color="1F497D"/>
              <w:right w:val="single" w:sz="6" w:space="0" w:color="1F497D"/>
            </w:tcBorders>
            <w:shd w:val="clear" w:color="auto" w:fill="FFFFFF"/>
          </w:tcPr>
          <w:p w:rsidR="0033725C" w:rsidRPr="003410C7" w:rsidRDefault="0033725C" w:rsidP="00A73DBD">
            <w:pPr>
              <w:pStyle w:val="TableText"/>
              <w:rPr>
                <w:rFonts w:ascii="Segoe" w:eastAsia="Calibri" w:hAnsi="Segoe"/>
              </w:rPr>
            </w:pPr>
            <w:r w:rsidRPr="003410C7">
              <w:rPr>
                <w:rFonts w:eastAsia="Calibri" w:cs="Segoe UI"/>
                <w:b/>
                <w:sz w:val="24"/>
                <w:szCs w:val="24"/>
              </w:rPr>
              <w:sym w:font="Wingdings" w:char="00FC"/>
            </w:r>
          </w:p>
        </w:tc>
        <w:tc>
          <w:tcPr>
            <w:tcW w:w="1125" w:type="dxa"/>
            <w:tcBorders>
              <w:top w:val="single" w:sz="6" w:space="0" w:color="1F497D"/>
              <w:left w:val="single" w:sz="6" w:space="0" w:color="1F497D"/>
              <w:bottom w:val="single" w:sz="6" w:space="0" w:color="1F497D"/>
              <w:right w:val="single" w:sz="6" w:space="0" w:color="1F497D"/>
            </w:tcBorders>
            <w:shd w:val="clear" w:color="auto" w:fill="FFFFFF"/>
          </w:tcPr>
          <w:p w:rsidR="0033725C" w:rsidRPr="003410C7" w:rsidRDefault="0033725C" w:rsidP="00A73DBD">
            <w:pPr>
              <w:pStyle w:val="TableText"/>
              <w:rPr>
                <w:rFonts w:eastAsia="Calibri" w:cs="Segoe UI"/>
                <w:b/>
                <w:sz w:val="24"/>
                <w:szCs w:val="24"/>
              </w:rPr>
            </w:pPr>
          </w:p>
        </w:tc>
        <w:tc>
          <w:tcPr>
            <w:tcW w:w="1305" w:type="dxa"/>
            <w:tcBorders>
              <w:top w:val="single" w:sz="6" w:space="0" w:color="1F497D"/>
              <w:left w:val="single" w:sz="6" w:space="0" w:color="1F497D"/>
              <w:bottom w:val="single" w:sz="6" w:space="0" w:color="1F497D"/>
              <w:right w:val="single" w:sz="6" w:space="0" w:color="1F497D"/>
            </w:tcBorders>
            <w:shd w:val="clear" w:color="auto" w:fill="FFFFFF"/>
          </w:tcPr>
          <w:p w:rsidR="0033725C" w:rsidRPr="003410C7" w:rsidRDefault="0033725C" w:rsidP="00A73DBD">
            <w:pPr>
              <w:pStyle w:val="TableText"/>
              <w:rPr>
                <w:rFonts w:eastAsia="Calibri" w:cs="Segoe UI"/>
                <w:b/>
                <w:sz w:val="24"/>
                <w:szCs w:val="24"/>
              </w:rPr>
            </w:pPr>
          </w:p>
        </w:tc>
        <w:tc>
          <w:tcPr>
            <w:tcW w:w="1251" w:type="dxa"/>
            <w:tcBorders>
              <w:top w:val="single" w:sz="6" w:space="0" w:color="1F497D"/>
              <w:left w:val="single" w:sz="6" w:space="0" w:color="1F497D"/>
              <w:bottom w:val="single" w:sz="6" w:space="0" w:color="1F497D"/>
              <w:right w:val="single" w:sz="6" w:space="0" w:color="1F497D"/>
            </w:tcBorders>
            <w:shd w:val="clear" w:color="auto" w:fill="FFFFFF"/>
          </w:tcPr>
          <w:p w:rsidR="0033725C" w:rsidRPr="003410C7" w:rsidRDefault="0033725C" w:rsidP="00A73DBD">
            <w:pPr>
              <w:pStyle w:val="TableText"/>
              <w:rPr>
                <w:rFonts w:ascii="Segoe" w:eastAsia="Calibri" w:hAnsi="Segoe"/>
              </w:rPr>
            </w:pPr>
            <w:r w:rsidRPr="003410C7">
              <w:rPr>
                <w:rFonts w:eastAsia="Calibri" w:cs="Segoe UI"/>
                <w:b/>
                <w:sz w:val="24"/>
                <w:szCs w:val="24"/>
              </w:rPr>
              <w:sym w:font="Wingdings" w:char="00FC"/>
            </w:r>
          </w:p>
        </w:tc>
      </w:tr>
      <w:tr w:rsidR="000C172E" w:rsidRPr="003410C7" w:rsidTr="000C172E">
        <w:tc>
          <w:tcPr>
            <w:tcW w:w="2020" w:type="dxa"/>
            <w:tcBorders>
              <w:top w:val="single" w:sz="6" w:space="0" w:color="1F497D"/>
              <w:left w:val="single" w:sz="4" w:space="0" w:color="072B61"/>
              <w:bottom w:val="single" w:sz="6" w:space="0" w:color="1F497D"/>
              <w:right w:val="single" w:sz="6" w:space="0" w:color="1F497D"/>
            </w:tcBorders>
            <w:shd w:val="clear" w:color="auto" w:fill="FFFFFF"/>
          </w:tcPr>
          <w:p w:rsidR="0033725C" w:rsidRPr="00451078" w:rsidRDefault="0033725C" w:rsidP="00A73DBD">
            <w:pPr>
              <w:pStyle w:val="TableText"/>
              <w:jc w:val="left"/>
              <w:rPr>
                <w:rFonts w:ascii="Tahoma" w:eastAsia="Calibri" w:hAnsi="Tahoma" w:cs="Tahoma"/>
                <w:sz w:val="18"/>
                <w:szCs w:val="18"/>
                <w:lang w:val="it-IT"/>
              </w:rPr>
            </w:pPr>
            <w:r w:rsidRPr="00451078">
              <w:rPr>
                <w:rFonts w:ascii="Tahoma" w:eastAsia="Calibri" w:hAnsi="Tahoma" w:cs="Tahoma"/>
                <w:sz w:val="18"/>
                <w:szCs w:val="18"/>
                <w:lang w:val="it-IT"/>
              </w:rPr>
              <w:t>Aggiunta a Contatti utilizzando l</w:t>
            </w:r>
            <w:r w:rsidR="0073727D">
              <w:rPr>
                <w:rFonts w:ascii="Tahoma" w:eastAsia="Calibri" w:hAnsi="Tahoma" w:cs="Tahoma"/>
                <w:sz w:val="18"/>
                <w:szCs w:val="18"/>
                <w:lang w:val="it-IT"/>
              </w:rPr>
              <w:t>’</w:t>
            </w:r>
            <w:r w:rsidRPr="00451078">
              <w:rPr>
                <w:rFonts w:ascii="Tahoma" w:eastAsia="Calibri" w:hAnsi="Tahoma" w:cs="Tahoma"/>
                <w:sz w:val="18"/>
                <w:szCs w:val="18"/>
                <w:lang w:val="it-IT"/>
              </w:rPr>
              <w:t>Accesso alle API</w:t>
            </w:r>
          </w:p>
        </w:tc>
        <w:tc>
          <w:tcPr>
            <w:tcW w:w="972" w:type="dxa"/>
            <w:tcBorders>
              <w:top w:val="single" w:sz="6" w:space="0" w:color="1F497D"/>
              <w:left w:val="single" w:sz="6" w:space="0" w:color="1F497D"/>
              <w:bottom w:val="single" w:sz="6" w:space="0" w:color="1F497D"/>
              <w:right w:val="single" w:sz="6" w:space="0" w:color="1F497D"/>
            </w:tcBorders>
            <w:shd w:val="clear" w:color="auto" w:fill="FFFFFF"/>
          </w:tcPr>
          <w:p w:rsidR="0033725C" w:rsidRPr="003410C7" w:rsidRDefault="0033725C" w:rsidP="00A73DBD">
            <w:pPr>
              <w:pStyle w:val="TableText"/>
              <w:rPr>
                <w:rFonts w:ascii="Segoe" w:eastAsia="Calibri" w:hAnsi="Segoe"/>
              </w:rPr>
            </w:pPr>
            <w:r w:rsidRPr="003410C7">
              <w:rPr>
                <w:rFonts w:eastAsia="Calibri" w:cs="Segoe UI"/>
                <w:b/>
                <w:sz w:val="24"/>
                <w:szCs w:val="24"/>
              </w:rPr>
              <w:sym w:font="Wingdings" w:char="00FC"/>
            </w:r>
          </w:p>
        </w:tc>
        <w:tc>
          <w:tcPr>
            <w:tcW w:w="1053" w:type="dxa"/>
            <w:tcBorders>
              <w:top w:val="single" w:sz="6" w:space="0" w:color="1F497D"/>
              <w:left w:val="single" w:sz="6" w:space="0" w:color="1F497D"/>
              <w:bottom w:val="single" w:sz="6" w:space="0" w:color="1F497D"/>
              <w:right w:val="single" w:sz="6" w:space="0" w:color="1F497D"/>
            </w:tcBorders>
            <w:shd w:val="clear" w:color="auto" w:fill="FFFFFF"/>
          </w:tcPr>
          <w:p w:rsidR="0033725C" w:rsidRPr="003410C7" w:rsidRDefault="0033725C" w:rsidP="00A73DBD">
            <w:pPr>
              <w:pStyle w:val="TableText"/>
              <w:rPr>
                <w:rFonts w:ascii="Segoe" w:eastAsia="Calibri" w:hAnsi="Segoe"/>
              </w:rPr>
            </w:pPr>
            <w:r w:rsidRPr="003410C7">
              <w:rPr>
                <w:rFonts w:eastAsia="Calibri" w:cs="Segoe UI"/>
                <w:b/>
                <w:sz w:val="24"/>
                <w:szCs w:val="24"/>
              </w:rPr>
              <w:sym w:font="Wingdings" w:char="00FC"/>
            </w:r>
          </w:p>
        </w:tc>
        <w:tc>
          <w:tcPr>
            <w:tcW w:w="1152" w:type="dxa"/>
            <w:tcBorders>
              <w:top w:val="single" w:sz="6" w:space="0" w:color="1F497D"/>
              <w:left w:val="single" w:sz="6" w:space="0" w:color="1F497D"/>
              <w:bottom w:val="single" w:sz="6" w:space="0" w:color="1F497D"/>
              <w:right w:val="single" w:sz="6" w:space="0" w:color="1F497D"/>
            </w:tcBorders>
            <w:shd w:val="clear" w:color="auto" w:fill="FFFFFF"/>
          </w:tcPr>
          <w:p w:rsidR="0033725C" w:rsidRPr="003410C7" w:rsidRDefault="0033725C" w:rsidP="00A73DBD">
            <w:pPr>
              <w:pStyle w:val="TableText"/>
              <w:rPr>
                <w:rFonts w:ascii="Segoe" w:eastAsia="Calibri" w:hAnsi="Segoe"/>
              </w:rPr>
            </w:pPr>
            <w:r w:rsidRPr="003410C7">
              <w:rPr>
                <w:rFonts w:eastAsia="Calibri" w:cs="Segoe UI"/>
                <w:b/>
                <w:sz w:val="24"/>
                <w:szCs w:val="24"/>
              </w:rPr>
              <w:sym w:font="Wingdings" w:char="00FC"/>
            </w:r>
          </w:p>
        </w:tc>
        <w:tc>
          <w:tcPr>
            <w:tcW w:w="1125" w:type="dxa"/>
            <w:tcBorders>
              <w:top w:val="single" w:sz="6" w:space="0" w:color="1F497D"/>
              <w:left w:val="single" w:sz="6" w:space="0" w:color="1F497D"/>
              <w:bottom w:val="single" w:sz="6" w:space="0" w:color="1F497D"/>
              <w:right w:val="single" w:sz="6" w:space="0" w:color="1F497D"/>
            </w:tcBorders>
            <w:shd w:val="clear" w:color="auto" w:fill="FFFFFF"/>
          </w:tcPr>
          <w:p w:rsidR="0033725C" w:rsidRPr="003410C7" w:rsidRDefault="0033725C" w:rsidP="00A73DBD">
            <w:pPr>
              <w:pStyle w:val="TableText"/>
              <w:rPr>
                <w:rFonts w:eastAsia="Calibri" w:cs="Segoe UI"/>
                <w:b/>
                <w:sz w:val="24"/>
                <w:szCs w:val="24"/>
              </w:rPr>
            </w:pPr>
          </w:p>
        </w:tc>
        <w:tc>
          <w:tcPr>
            <w:tcW w:w="1305" w:type="dxa"/>
            <w:tcBorders>
              <w:top w:val="single" w:sz="6" w:space="0" w:color="1F497D"/>
              <w:left w:val="single" w:sz="6" w:space="0" w:color="1F497D"/>
              <w:bottom w:val="single" w:sz="6" w:space="0" w:color="1F497D"/>
              <w:right w:val="single" w:sz="6" w:space="0" w:color="1F497D"/>
            </w:tcBorders>
            <w:shd w:val="clear" w:color="auto" w:fill="FFFFFF"/>
          </w:tcPr>
          <w:p w:rsidR="0033725C" w:rsidRPr="003410C7" w:rsidRDefault="0033725C" w:rsidP="00A73DBD">
            <w:pPr>
              <w:pStyle w:val="TableText"/>
              <w:rPr>
                <w:rFonts w:eastAsia="Calibri" w:cs="Segoe UI"/>
                <w:b/>
                <w:sz w:val="24"/>
                <w:szCs w:val="24"/>
              </w:rPr>
            </w:pPr>
          </w:p>
        </w:tc>
        <w:tc>
          <w:tcPr>
            <w:tcW w:w="1251" w:type="dxa"/>
            <w:tcBorders>
              <w:top w:val="single" w:sz="6" w:space="0" w:color="1F497D"/>
              <w:left w:val="single" w:sz="6" w:space="0" w:color="1F497D"/>
              <w:bottom w:val="single" w:sz="6" w:space="0" w:color="1F497D"/>
              <w:right w:val="single" w:sz="6" w:space="0" w:color="1F497D"/>
            </w:tcBorders>
            <w:shd w:val="clear" w:color="auto" w:fill="FFFFFF"/>
          </w:tcPr>
          <w:p w:rsidR="0033725C" w:rsidRPr="003410C7" w:rsidRDefault="0033725C" w:rsidP="00A73DBD">
            <w:pPr>
              <w:pStyle w:val="TableText"/>
              <w:rPr>
                <w:rFonts w:ascii="Segoe" w:eastAsia="Calibri" w:hAnsi="Segoe"/>
              </w:rPr>
            </w:pPr>
            <w:r w:rsidRPr="003410C7">
              <w:rPr>
                <w:rFonts w:eastAsia="Calibri" w:cs="Segoe UI"/>
                <w:b/>
                <w:sz w:val="24"/>
                <w:szCs w:val="24"/>
              </w:rPr>
              <w:sym w:font="Wingdings" w:char="00FC"/>
            </w:r>
          </w:p>
        </w:tc>
      </w:tr>
      <w:tr w:rsidR="000C172E" w:rsidRPr="003410C7" w:rsidTr="000C172E">
        <w:tc>
          <w:tcPr>
            <w:tcW w:w="2020" w:type="dxa"/>
            <w:tcBorders>
              <w:top w:val="single" w:sz="6" w:space="0" w:color="1F497D"/>
              <w:left w:val="single" w:sz="4" w:space="0" w:color="072B61"/>
              <w:bottom w:val="single" w:sz="6" w:space="0" w:color="1F497D"/>
              <w:right w:val="single" w:sz="6" w:space="0" w:color="1F497D"/>
            </w:tcBorders>
            <w:shd w:val="clear" w:color="auto" w:fill="FFFFFF"/>
          </w:tcPr>
          <w:p w:rsidR="0033725C" w:rsidRPr="00451078" w:rsidRDefault="0033725C" w:rsidP="00A73DBD">
            <w:pPr>
              <w:pStyle w:val="TableText"/>
              <w:jc w:val="left"/>
              <w:rPr>
                <w:rFonts w:ascii="Tahoma" w:eastAsia="Calibri" w:hAnsi="Tahoma" w:cs="Tahoma"/>
                <w:sz w:val="18"/>
                <w:szCs w:val="18"/>
                <w:lang w:val="it-IT"/>
              </w:rPr>
            </w:pPr>
            <w:r w:rsidRPr="00451078">
              <w:rPr>
                <w:rFonts w:ascii="Tahoma" w:eastAsia="Calibri" w:hAnsi="Tahoma" w:cs="Tahoma"/>
                <w:sz w:val="18"/>
                <w:szCs w:val="18"/>
                <w:lang w:val="it-IT"/>
              </w:rPr>
              <w:t>Aggiunta a Casi utilizzando l</w:t>
            </w:r>
            <w:r w:rsidR="0073727D">
              <w:rPr>
                <w:rFonts w:ascii="Tahoma" w:eastAsia="Calibri" w:hAnsi="Tahoma" w:cs="Tahoma"/>
                <w:sz w:val="18"/>
                <w:szCs w:val="18"/>
                <w:lang w:val="it-IT"/>
              </w:rPr>
              <w:t>’</w:t>
            </w:r>
            <w:r w:rsidRPr="00451078">
              <w:rPr>
                <w:rFonts w:ascii="Tahoma" w:eastAsia="Calibri" w:hAnsi="Tahoma" w:cs="Tahoma"/>
                <w:sz w:val="18"/>
                <w:szCs w:val="18"/>
                <w:lang w:val="it-IT"/>
              </w:rPr>
              <w:t>Accesso alle API</w:t>
            </w:r>
          </w:p>
        </w:tc>
        <w:tc>
          <w:tcPr>
            <w:tcW w:w="972" w:type="dxa"/>
            <w:tcBorders>
              <w:top w:val="single" w:sz="6" w:space="0" w:color="1F497D"/>
              <w:left w:val="single" w:sz="6" w:space="0" w:color="1F497D"/>
              <w:bottom w:val="single" w:sz="6" w:space="0" w:color="1F497D"/>
              <w:right w:val="single" w:sz="6" w:space="0" w:color="1F497D"/>
            </w:tcBorders>
            <w:shd w:val="clear" w:color="auto" w:fill="FFFFFF"/>
          </w:tcPr>
          <w:p w:rsidR="0033725C" w:rsidRPr="003410C7" w:rsidRDefault="0033725C" w:rsidP="00A73DBD">
            <w:pPr>
              <w:pStyle w:val="TableText"/>
              <w:rPr>
                <w:rFonts w:ascii="Segoe" w:eastAsia="Calibri" w:hAnsi="Segoe"/>
              </w:rPr>
            </w:pPr>
            <w:r w:rsidRPr="003410C7">
              <w:rPr>
                <w:rFonts w:eastAsia="Calibri" w:cs="Segoe UI"/>
                <w:b/>
                <w:sz w:val="24"/>
                <w:szCs w:val="24"/>
              </w:rPr>
              <w:sym w:font="Wingdings" w:char="00FC"/>
            </w:r>
          </w:p>
        </w:tc>
        <w:tc>
          <w:tcPr>
            <w:tcW w:w="1053" w:type="dxa"/>
            <w:tcBorders>
              <w:top w:val="single" w:sz="6" w:space="0" w:color="1F497D"/>
              <w:left w:val="single" w:sz="6" w:space="0" w:color="1F497D"/>
              <w:bottom w:val="single" w:sz="6" w:space="0" w:color="1F497D"/>
              <w:right w:val="single" w:sz="6" w:space="0" w:color="1F497D"/>
            </w:tcBorders>
            <w:shd w:val="clear" w:color="auto" w:fill="FFFFFF"/>
          </w:tcPr>
          <w:p w:rsidR="0033725C" w:rsidRPr="003410C7" w:rsidRDefault="0033725C" w:rsidP="00A73DBD">
            <w:pPr>
              <w:pStyle w:val="TableText"/>
              <w:rPr>
                <w:rFonts w:ascii="Segoe" w:eastAsia="Calibri" w:hAnsi="Segoe"/>
              </w:rPr>
            </w:pPr>
            <w:r w:rsidRPr="003410C7">
              <w:rPr>
                <w:rFonts w:eastAsia="Calibri" w:cs="Segoe UI"/>
                <w:b/>
                <w:sz w:val="24"/>
                <w:szCs w:val="24"/>
              </w:rPr>
              <w:sym w:font="Wingdings" w:char="00FC"/>
            </w:r>
          </w:p>
        </w:tc>
        <w:tc>
          <w:tcPr>
            <w:tcW w:w="1152" w:type="dxa"/>
            <w:tcBorders>
              <w:top w:val="single" w:sz="6" w:space="0" w:color="1F497D"/>
              <w:left w:val="single" w:sz="6" w:space="0" w:color="1F497D"/>
              <w:bottom w:val="single" w:sz="6" w:space="0" w:color="1F497D"/>
              <w:right w:val="single" w:sz="6" w:space="0" w:color="1F497D"/>
            </w:tcBorders>
            <w:shd w:val="clear" w:color="auto" w:fill="FFFFFF"/>
          </w:tcPr>
          <w:p w:rsidR="0033725C" w:rsidRPr="003410C7" w:rsidRDefault="0033725C" w:rsidP="00A73DBD">
            <w:pPr>
              <w:pStyle w:val="TableText"/>
              <w:rPr>
                <w:rFonts w:ascii="Segoe" w:eastAsia="Calibri" w:hAnsi="Segoe"/>
              </w:rPr>
            </w:pPr>
            <w:r w:rsidRPr="003410C7">
              <w:rPr>
                <w:rFonts w:eastAsia="Calibri" w:cs="Segoe UI"/>
                <w:b/>
                <w:sz w:val="24"/>
                <w:szCs w:val="24"/>
              </w:rPr>
              <w:sym w:font="Wingdings" w:char="00FC"/>
            </w:r>
          </w:p>
        </w:tc>
        <w:tc>
          <w:tcPr>
            <w:tcW w:w="1125" w:type="dxa"/>
            <w:tcBorders>
              <w:top w:val="single" w:sz="6" w:space="0" w:color="1F497D"/>
              <w:left w:val="single" w:sz="6" w:space="0" w:color="1F497D"/>
              <w:bottom w:val="single" w:sz="6" w:space="0" w:color="1F497D"/>
              <w:right w:val="single" w:sz="6" w:space="0" w:color="1F497D"/>
            </w:tcBorders>
            <w:shd w:val="clear" w:color="auto" w:fill="FFFFFF"/>
          </w:tcPr>
          <w:p w:rsidR="0033725C" w:rsidRPr="003410C7" w:rsidRDefault="0033725C" w:rsidP="00A73DBD">
            <w:pPr>
              <w:pStyle w:val="TableText"/>
              <w:rPr>
                <w:rFonts w:eastAsia="Calibri" w:cs="Segoe UI"/>
                <w:b/>
                <w:sz w:val="24"/>
                <w:szCs w:val="24"/>
              </w:rPr>
            </w:pPr>
          </w:p>
        </w:tc>
        <w:tc>
          <w:tcPr>
            <w:tcW w:w="1305" w:type="dxa"/>
            <w:tcBorders>
              <w:top w:val="single" w:sz="6" w:space="0" w:color="1F497D"/>
              <w:left w:val="single" w:sz="6" w:space="0" w:color="1F497D"/>
              <w:bottom w:val="single" w:sz="6" w:space="0" w:color="1F497D"/>
              <w:right w:val="single" w:sz="6" w:space="0" w:color="1F497D"/>
            </w:tcBorders>
            <w:shd w:val="clear" w:color="auto" w:fill="FFFFFF"/>
          </w:tcPr>
          <w:p w:rsidR="0033725C" w:rsidRPr="003410C7" w:rsidRDefault="0033725C" w:rsidP="00A73DBD">
            <w:pPr>
              <w:pStyle w:val="TableText"/>
              <w:rPr>
                <w:rFonts w:eastAsia="Calibri" w:cs="Segoe UI"/>
                <w:b/>
                <w:sz w:val="24"/>
                <w:szCs w:val="24"/>
              </w:rPr>
            </w:pPr>
          </w:p>
        </w:tc>
        <w:tc>
          <w:tcPr>
            <w:tcW w:w="1251" w:type="dxa"/>
            <w:tcBorders>
              <w:top w:val="single" w:sz="6" w:space="0" w:color="1F497D"/>
              <w:left w:val="single" w:sz="6" w:space="0" w:color="1F497D"/>
              <w:bottom w:val="single" w:sz="6" w:space="0" w:color="1F497D"/>
              <w:right w:val="single" w:sz="6" w:space="0" w:color="1F497D"/>
            </w:tcBorders>
            <w:shd w:val="clear" w:color="auto" w:fill="FFFFFF"/>
          </w:tcPr>
          <w:p w:rsidR="0033725C" w:rsidRPr="003410C7" w:rsidRDefault="0033725C" w:rsidP="00A73DBD">
            <w:pPr>
              <w:pStyle w:val="TableText"/>
              <w:rPr>
                <w:rFonts w:ascii="Segoe" w:eastAsia="Calibri" w:hAnsi="Segoe"/>
              </w:rPr>
            </w:pPr>
            <w:r w:rsidRPr="003410C7">
              <w:rPr>
                <w:rFonts w:eastAsia="Calibri" w:cs="Segoe UI"/>
                <w:b/>
                <w:sz w:val="24"/>
                <w:szCs w:val="24"/>
              </w:rPr>
              <w:sym w:font="Wingdings" w:char="00FC"/>
            </w:r>
          </w:p>
        </w:tc>
      </w:tr>
      <w:tr w:rsidR="000C172E" w:rsidRPr="003410C7" w:rsidTr="000C172E">
        <w:tc>
          <w:tcPr>
            <w:tcW w:w="2020" w:type="dxa"/>
            <w:tcBorders>
              <w:top w:val="single" w:sz="6" w:space="0" w:color="1F497D"/>
              <w:left w:val="single" w:sz="4" w:space="0" w:color="072B61"/>
              <w:bottom w:val="single" w:sz="6" w:space="0" w:color="1F497D"/>
              <w:right w:val="single" w:sz="6" w:space="0" w:color="1F497D"/>
            </w:tcBorders>
            <w:shd w:val="clear" w:color="auto" w:fill="FFFFFF"/>
          </w:tcPr>
          <w:p w:rsidR="0033725C" w:rsidRPr="00451078" w:rsidRDefault="0033725C" w:rsidP="00A73DBD">
            <w:pPr>
              <w:pStyle w:val="TableText"/>
              <w:jc w:val="left"/>
              <w:rPr>
                <w:rFonts w:ascii="Tahoma" w:eastAsia="Calibri" w:hAnsi="Tahoma" w:cs="Tahoma"/>
                <w:sz w:val="18"/>
                <w:szCs w:val="18"/>
                <w:lang w:val="it-IT"/>
              </w:rPr>
            </w:pPr>
            <w:r w:rsidRPr="00451078">
              <w:rPr>
                <w:rFonts w:ascii="Tahoma" w:eastAsia="Calibri" w:hAnsi="Tahoma" w:cs="Tahoma"/>
                <w:sz w:val="18"/>
                <w:szCs w:val="18"/>
                <w:lang w:val="it-IT"/>
              </w:rPr>
              <w:t>Aggiunta a Lead utilizzando l</w:t>
            </w:r>
            <w:r w:rsidR="0073727D">
              <w:rPr>
                <w:rFonts w:ascii="Tahoma" w:eastAsia="Calibri" w:hAnsi="Tahoma" w:cs="Tahoma"/>
                <w:sz w:val="18"/>
                <w:szCs w:val="18"/>
                <w:lang w:val="it-IT"/>
              </w:rPr>
              <w:t>’</w:t>
            </w:r>
            <w:r w:rsidRPr="00451078">
              <w:rPr>
                <w:rFonts w:ascii="Tahoma" w:eastAsia="Calibri" w:hAnsi="Tahoma" w:cs="Tahoma"/>
                <w:sz w:val="18"/>
                <w:szCs w:val="18"/>
                <w:lang w:val="it-IT"/>
              </w:rPr>
              <w:t>Accesso alle API</w:t>
            </w:r>
          </w:p>
        </w:tc>
        <w:tc>
          <w:tcPr>
            <w:tcW w:w="972" w:type="dxa"/>
            <w:tcBorders>
              <w:top w:val="single" w:sz="6" w:space="0" w:color="1F497D"/>
              <w:left w:val="single" w:sz="6" w:space="0" w:color="1F497D"/>
              <w:bottom w:val="single" w:sz="6" w:space="0" w:color="1F497D"/>
              <w:right w:val="single" w:sz="6" w:space="0" w:color="1F497D"/>
            </w:tcBorders>
            <w:shd w:val="clear" w:color="auto" w:fill="FFFFFF"/>
          </w:tcPr>
          <w:p w:rsidR="0033725C" w:rsidRPr="003410C7" w:rsidRDefault="0033725C" w:rsidP="00A73DBD">
            <w:pPr>
              <w:pStyle w:val="TableText"/>
              <w:rPr>
                <w:rFonts w:ascii="Segoe" w:eastAsia="Calibri" w:hAnsi="Segoe"/>
              </w:rPr>
            </w:pPr>
            <w:r w:rsidRPr="003410C7">
              <w:rPr>
                <w:rFonts w:eastAsia="Calibri" w:cs="Segoe UI"/>
                <w:b/>
                <w:sz w:val="24"/>
                <w:szCs w:val="24"/>
              </w:rPr>
              <w:sym w:font="Wingdings" w:char="00FC"/>
            </w:r>
          </w:p>
        </w:tc>
        <w:tc>
          <w:tcPr>
            <w:tcW w:w="1053" w:type="dxa"/>
            <w:tcBorders>
              <w:top w:val="single" w:sz="6" w:space="0" w:color="1F497D"/>
              <w:left w:val="single" w:sz="6" w:space="0" w:color="1F497D"/>
              <w:bottom w:val="single" w:sz="6" w:space="0" w:color="1F497D"/>
              <w:right w:val="single" w:sz="6" w:space="0" w:color="1F497D"/>
            </w:tcBorders>
            <w:shd w:val="clear" w:color="auto" w:fill="FFFFFF"/>
          </w:tcPr>
          <w:p w:rsidR="0033725C" w:rsidRPr="003410C7" w:rsidRDefault="0033725C" w:rsidP="00A73DBD">
            <w:pPr>
              <w:pStyle w:val="TableText"/>
              <w:rPr>
                <w:rFonts w:ascii="Segoe" w:eastAsia="Calibri" w:hAnsi="Segoe"/>
              </w:rPr>
            </w:pPr>
            <w:r w:rsidRPr="003410C7">
              <w:rPr>
                <w:rFonts w:eastAsia="Calibri" w:cs="Segoe UI"/>
                <w:b/>
                <w:sz w:val="24"/>
                <w:szCs w:val="24"/>
              </w:rPr>
              <w:sym w:font="Wingdings" w:char="00FC"/>
            </w:r>
          </w:p>
        </w:tc>
        <w:tc>
          <w:tcPr>
            <w:tcW w:w="1152" w:type="dxa"/>
            <w:tcBorders>
              <w:top w:val="single" w:sz="6" w:space="0" w:color="1F497D"/>
              <w:left w:val="single" w:sz="6" w:space="0" w:color="1F497D"/>
              <w:bottom w:val="single" w:sz="6" w:space="0" w:color="1F497D"/>
              <w:right w:val="single" w:sz="6" w:space="0" w:color="1F497D"/>
            </w:tcBorders>
            <w:shd w:val="clear" w:color="auto" w:fill="FFFFFF"/>
          </w:tcPr>
          <w:p w:rsidR="0033725C" w:rsidRPr="003410C7" w:rsidRDefault="0033725C" w:rsidP="00A73DBD">
            <w:pPr>
              <w:pStyle w:val="TableText"/>
              <w:rPr>
                <w:rFonts w:ascii="Segoe" w:eastAsia="Calibri" w:hAnsi="Segoe"/>
              </w:rPr>
            </w:pPr>
            <w:r w:rsidRPr="003410C7">
              <w:rPr>
                <w:rFonts w:eastAsia="Calibri" w:cs="Segoe UI"/>
                <w:b/>
                <w:sz w:val="24"/>
                <w:szCs w:val="24"/>
              </w:rPr>
              <w:sym w:font="Wingdings" w:char="00FC"/>
            </w:r>
          </w:p>
        </w:tc>
        <w:tc>
          <w:tcPr>
            <w:tcW w:w="1125" w:type="dxa"/>
            <w:tcBorders>
              <w:top w:val="single" w:sz="6" w:space="0" w:color="1F497D"/>
              <w:left w:val="single" w:sz="6" w:space="0" w:color="1F497D"/>
              <w:bottom w:val="single" w:sz="6" w:space="0" w:color="1F497D"/>
              <w:right w:val="single" w:sz="6" w:space="0" w:color="1F497D"/>
            </w:tcBorders>
            <w:shd w:val="clear" w:color="auto" w:fill="FFFFFF"/>
          </w:tcPr>
          <w:p w:rsidR="0033725C" w:rsidRPr="003410C7" w:rsidRDefault="0033725C" w:rsidP="00A73DBD">
            <w:pPr>
              <w:pStyle w:val="TableText"/>
              <w:rPr>
                <w:rFonts w:eastAsia="Calibri" w:cs="Segoe UI"/>
                <w:b/>
                <w:sz w:val="24"/>
                <w:szCs w:val="24"/>
              </w:rPr>
            </w:pPr>
          </w:p>
        </w:tc>
        <w:tc>
          <w:tcPr>
            <w:tcW w:w="1305" w:type="dxa"/>
            <w:tcBorders>
              <w:top w:val="single" w:sz="6" w:space="0" w:color="1F497D"/>
              <w:left w:val="single" w:sz="6" w:space="0" w:color="1F497D"/>
              <w:bottom w:val="single" w:sz="6" w:space="0" w:color="1F497D"/>
              <w:right w:val="single" w:sz="6" w:space="0" w:color="1F497D"/>
            </w:tcBorders>
            <w:shd w:val="clear" w:color="auto" w:fill="FFFFFF"/>
          </w:tcPr>
          <w:p w:rsidR="0033725C" w:rsidRPr="003410C7" w:rsidRDefault="0033725C" w:rsidP="00A73DBD">
            <w:pPr>
              <w:pStyle w:val="TableText"/>
              <w:rPr>
                <w:rFonts w:eastAsia="Calibri" w:cs="Segoe UI"/>
                <w:b/>
                <w:sz w:val="24"/>
                <w:szCs w:val="24"/>
              </w:rPr>
            </w:pPr>
          </w:p>
        </w:tc>
        <w:tc>
          <w:tcPr>
            <w:tcW w:w="1251" w:type="dxa"/>
            <w:tcBorders>
              <w:top w:val="single" w:sz="6" w:space="0" w:color="1F497D"/>
              <w:left w:val="single" w:sz="6" w:space="0" w:color="1F497D"/>
              <w:bottom w:val="single" w:sz="6" w:space="0" w:color="1F497D"/>
              <w:right w:val="single" w:sz="6" w:space="0" w:color="1F497D"/>
            </w:tcBorders>
            <w:shd w:val="clear" w:color="auto" w:fill="FFFFFF"/>
          </w:tcPr>
          <w:p w:rsidR="0033725C" w:rsidRPr="003410C7" w:rsidRDefault="0033725C" w:rsidP="00A73DBD">
            <w:pPr>
              <w:pStyle w:val="TableText"/>
              <w:rPr>
                <w:rFonts w:ascii="Segoe" w:eastAsia="Calibri" w:hAnsi="Segoe"/>
              </w:rPr>
            </w:pPr>
            <w:r w:rsidRPr="003410C7">
              <w:rPr>
                <w:rFonts w:eastAsia="Calibri" w:cs="Segoe UI"/>
                <w:b/>
                <w:sz w:val="24"/>
                <w:szCs w:val="24"/>
              </w:rPr>
              <w:sym w:font="Wingdings" w:char="00FC"/>
            </w:r>
          </w:p>
        </w:tc>
      </w:tr>
      <w:tr w:rsidR="000C172E" w:rsidRPr="003410C7" w:rsidTr="000C172E">
        <w:tc>
          <w:tcPr>
            <w:tcW w:w="2020" w:type="dxa"/>
            <w:tcBorders>
              <w:top w:val="single" w:sz="6" w:space="0" w:color="1F497D"/>
              <w:left w:val="single" w:sz="4" w:space="0" w:color="072B61"/>
              <w:bottom w:val="single" w:sz="6" w:space="0" w:color="1F497D"/>
              <w:right w:val="single" w:sz="6" w:space="0" w:color="1F497D"/>
            </w:tcBorders>
            <w:shd w:val="clear" w:color="auto" w:fill="FFFFFF"/>
          </w:tcPr>
          <w:p w:rsidR="0033725C" w:rsidRPr="00451078" w:rsidRDefault="0033725C" w:rsidP="00A73DBD">
            <w:pPr>
              <w:pStyle w:val="TableText"/>
              <w:jc w:val="left"/>
              <w:rPr>
                <w:rFonts w:ascii="Tahoma" w:eastAsia="Calibri" w:hAnsi="Tahoma" w:cs="Tahoma"/>
                <w:sz w:val="18"/>
                <w:szCs w:val="18"/>
                <w:lang w:val="it-IT"/>
              </w:rPr>
            </w:pPr>
            <w:r w:rsidRPr="00451078">
              <w:rPr>
                <w:rFonts w:ascii="Tahoma" w:eastAsia="Calibri" w:hAnsi="Tahoma" w:cs="Tahoma"/>
                <w:sz w:val="18"/>
                <w:szCs w:val="18"/>
                <w:lang w:val="it-IT"/>
              </w:rPr>
              <w:t>Aggiunta ad Attività utilizzando l</w:t>
            </w:r>
            <w:r w:rsidR="0073727D">
              <w:rPr>
                <w:rFonts w:ascii="Tahoma" w:eastAsia="Calibri" w:hAnsi="Tahoma" w:cs="Tahoma"/>
                <w:sz w:val="18"/>
                <w:szCs w:val="18"/>
                <w:lang w:val="it-IT"/>
              </w:rPr>
              <w:t>’</w:t>
            </w:r>
            <w:r w:rsidRPr="00451078">
              <w:rPr>
                <w:rFonts w:ascii="Tahoma" w:eastAsia="Calibri" w:hAnsi="Tahoma" w:cs="Tahoma"/>
                <w:sz w:val="18"/>
                <w:szCs w:val="18"/>
                <w:lang w:val="it-IT"/>
              </w:rPr>
              <w:t>Accesso alle API</w:t>
            </w:r>
          </w:p>
        </w:tc>
        <w:tc>
          <w:tcPr>
            <w:tcW w:w="972" w:type="dxa"/>
            <w:tcBorders>
              <w:top w:val="single" w:sz="6" w:space="0" w:color="1F497D"/>
              <w:left w:val="single" w:sz="6" w:space="0" w:color="1F497D"/>
              <w:bottom w:val="single" w:sz="6" w:space="0" w:color="1F497D"/>
              <w:right w:val="single" w:sz="6" w:space="0" w:color="1F497D"/>
            </w:tcBorders>
            <w:shd w:val="clear" w:color="auto" w:fill="FFFFFF"/>
          </w:tcPr>
          <w:p w:rsidR="0033725C" w:rsidRPr="003410C7" w:rsidRDefault="0033725C" w:rsidP="00A73DBD">
            <w:pPr>
              <w:pStyle w:val="TableText"/>
              <w:rPr>
                <w:rFonts w:ascii="Segoe" w:eastAsia="Calibri" w:hAnsi="Segoe"/>
              </w:rPr>
            </w:pPr>
            <w:r w:rsidRPr="003410C7">
              <w:rPr>
                <w:rFonts w:eastAsia="Calibri" w:cs="Segoe UI"/>
                <w:b/>
                <w:sz w:val="24"/>
                <w:szCs w:val="24"/>
              </w:rPr>
              <w:sym w:font="Wingdings" w:char="00FC"/>
            </w:r>
          </w:p>
        </w:tc>
        <w:tc>
          <w:tcPr>
            <w:tcW w:w="1053" w:type="dxa"/>
            <w:tcBorders>
              <w:top w:val="single" w:sz="6" w:space="0" w:color="1F497D"/>
              <w:left w:val="single" w:sz="6" w:space="0" w:color="1F497D"/>
              <w:bottom w:val="single" w:sz="6" w:space="0" w:color="1F497D"/>
              <w:right w:val="single" w:sz="6" w:space="0" w:color="1F497D"/>
            </w:tcBorders>
            <w:shd w:val="clear" w:color="auto" w:fill="FFFFFF"/>
          </w:tcPr>
          <w:p w:rsidR="0033725C" w:rsidRPr="003410C7" w:rsidRDefault="0033725C" w:rsidP="00A73DBD">
            <w:pPr>
              <w:pStyle w:val="TableText"/>
              <w:rPr>
                <w:rFonts w:ascii="Segoe" w:eastAsia="Calibri" w:hAnsi="Segoe"/>
              </w:rPr>
            </w:pPr>
            <w:r w:rsidRPr="003410C7">
              <w:rPr>
                <w:rFonts w:eastAsia="Calibri" w:cs="Segoe UI"/>
                <w:b/>
                <w:sz w:val="24"/>
                <w:szCs w:val="24"/>
              </w:rPr>
              <w:sym w:font="Wingdings" w:char="00FC"/>
            </w:r>
          </w:p>
        </w:tc>
        <w:tc>
          <w:tcPr>
            <w:tcW w:w="1152" w:type="dxa"/>
            <w:tcBorders>
              <w:top w:val="single" w:sz="6" w:space="0" w:color="1F497D"/>
              <w:left w:val="single" w:sz="6" w:space="0" w:color="1F497D"/>
              <w:bottom w:val="single" w:sz="6" w:space="0" w:color="1F497D"/>
              <w:right w:val="single" w:sz="6" w:space="0" w:color="1F497D"/>
            </w:tcBorders>
            <w:shd w:val="clear" w:color="auto" w:fill="FFFFFF"/>
          </w:tcPr>
          <w:p w:rsidR="0033725C" w:rsidRPr="003410C7" w:rsidRDefault="0033725C" w:rsidP="00A73DBD">
            <w:pPr>
              <w:pStyle w:val="TableText"/>
              <w:rPr>
                <w:rFonts w:ascii="Segoe" w:eastAsia="Calibri" w:hAnsi="Segoe"/>
              </w:rPr>
            </w:pPr>
            <w:r w:rsidRPr="003410C7">
              <w:rPr>
                <w:rFonts w:eastAsia="Calibri" w:cs="Segoe UI"/>
                <w:b/>
                <w:sz w:val="24"/>
                <w:szCs w:val="24"/>
              </w:rPr>
              <w:sym w:font="Wingdings" w:char="00FC"/>
            </w:r>
          </w:p>
        </w:tc>
        <w:tc>
          <w:tcPr>
            <w:tcW w:w="1125" w:type="dxa"/>
            <w:tcBorders>
              <w:top w:val="single" w:sz="6" w:space="0" w:color="1F497D"/>
              <w:left w:val="single" w:sz="6" w:space="0" w:color="1F497D"/>
              <w:bottom w:val="single" w:sz="6" w:space="0" w:color="1F497D"/>
              <w:right w:val="single" w:sz="6" w:space="0" w:color="1F497D"/>
            </w:tcBorders>
            <w:shd w:val="clear" w:color="auto" w:fill="FFFFFF"/>
          </w:tcPr>
          <w:p w:rsidR="0033725C" w:rsidRPr="003410C7" w:rsidRDefault="0033725C" w:rsidP="00A73DBD">
            <w:pPr>
              <w:pStyle w:val="TableText"/>
              <w:rPr>
                <w:rFonts w:eastAsia="Calibri" w:cs="Segoe UI"/>
                <w:b/>
                <w:sz w:val="24"/>
                <w:szCs w:val="24"/>
              </w:rPr>
            </w:pPr>
          </w:p>
        </w:tc>
        <w:tc>
          <w:tcPr>
            <w:tcW w:w="1305" w:type="dxa"/>
            <w:tcBorders>
              <w:top w:val="single" w:sz="6" w:space="0" w:color="1F497D"/>
              <w:left w:val="single" w:sz="6" w:space="0" w:color="1F497D"/>
              <w:bottom w:val="single" w:sz="6" w:space="0" w:color="1F497D"/>
              <w:right w:val="single" w:sz="6" w:space="0" w:color="1F497D"/>
            </w:tcBorders>
            <w:shd w:val="clear" w:color="auto" w:fill="FFFFFF"/>
          </w:tcPr>
          <w:p w:rsidR="0033725C" w:rsidRPr="003410C7" w:rsidRDefault="0033725C" w:rsidP="00A73DBD">
            <w:pPr>
              <w:pStyle w:val="TableText"/>
              <w:rPr>
                <w:rFonts w:eastAsia="Calibri" w:cs="Segoe UI"/>
                <w:b/>
                <w:sz w:val="24"/>
                <w:szCs w:val="24"/>
              </w:rPr>
            </w:pPr>
          </w:p>
        </w:tc>
        <w:tc>
          <w:tcPr>
            <w:tcW w:w="1251" w:type="dxa"/>
            <w:tcBorders>
              <w:top w:val="single" w:sz="6" w:space="0" w:color="1F497D"/>
              <w:left w:val="single" w:sz="6" w:space="0" w:color="1F497D"/>
              <w:bottom w:val="single" w:sz="6" w:space="0" w:color="1F497D"/>
              <w:right w:val="single" w:sz="6" w:space="0" w:color="1F497D"/>
            </w:tcBorders>
            <w:shd w:val="clear" w:color="auto" w:fill="FFFFFF"/>
          </w:tcPr>
          <w:p w:rsidR="0033725C" w:rsidRPr="003410C7" w:rsidRDefault="0033725C" w:rsidP="00A73DBD">
            <w:pPr>
              <w:pStyle w:val="TableText"/>
              <w:rPr>
                <w:rFonts w:ascii="Segoe" w:eastAsia="Calibri" w:hAnsi="Segoe"/>
              </w:rPr>
            </w:pPr>
            <w:r w:rsidRPr="003410C7">
              <w:rPr>
                <w:rFonts w:eastAsia="Calibri" w:cs="Segoe UI"/>
                <w:b/>
                <w:sz w:val="24"/>
                <w:szCs w:val="24"/>
              </w:rPr>
              <w:sym w:font="Wingdings" w:char="00FC"/>
            </w:r>
          </w:p>
        </w:tc>
      </w:tr>
      <w:tr w:rsidR="000C172E" w:rsidRPr="003410C7" w:rsidTr="000C172E">
        <w:tc>
          <w:tcPr>
            <w:tcW w:w="2020" w:type="dxa"/>
            <w:tcBorders>
              <w:top w:val="single" w:sz="6" w:space="0" w:color="1F497D"/>
              <w:left w:val="single" w:sz="4" w:space="0" w:color="072B61"/>
              <w:bottom w:val="single" w:sz="6" w:space="0" w:color="1F497D"/>
              <w:right w:val="single" w:sz="6" w:space="0" w:color="1F497D"/>
            </w:tcBorders>
            <w:shd w:val="clear" w:color="auto" w:fill="FFFFFF"/>
          </w:tcPr>
          <w:p w:rsidR="0033725C" w:rsidRPr="00451078" w:rsidRDefault="0033725C" w:rsidP="00A73DBD">
            <w:pPr>
              <w:pStyle w:val="TableText"/>
              <w:jc w:val="left"/>
              <w:rPr>
                <w:rFonts w:ascii="Tahoma" w:eastAsia="Calibri" w:hAnsi="Tahoma" w:cs="Tahoma"/>
                <w:sz w:val="18"/>
                <w:szCs w:val="18"/>
                <w:lang w:val="it-IT"/>
              </w:rPr>
            </w:pPr>
            <w:r w:rsidRPr="00451078">
              <w:rPr>
                <w:rFonts w:ascii="Tahoma" w:eastAsia="Calibri" w:hAnsi="Tahoma" w:cs="Tahoma"/>
                <w:sz w:val="18"/>
                <w:szCs w:val="18"/>
                <w:lang w:val="it-IT"/>
              </w:rPr>
              <w:t>Aggiunta a Note utilizzando l</w:t>
            </w:r>
            <w:r w:rsidR="0073727D">
              <w:rPr>
                <w:rFonts w:ascii="Tahoma" w:eastAsia="Calibri" w:hAnsi="Tahoma" w:cs="Tahoma"/>
                <w:sz w:val="18"/>
                <w:szCs w:val="18"/>
                <w:lang w:val="it-IT"/>
              </w:rPr>
              <w:t>’</w:t>
            </w:r>
            <w:r w:rsidRPr="00451078">
              <w:rPr>
                <w:rFonts w:ascii="Tahoma" w:eastAsia="Calibri" w:hAnsi="Tahoma" w:cs="Tahoma"/>
                <w:sz w:val="18"/>
                <w:szCs w:val="18"/>
                <w:lang w:val="it-IT"/>
              </w:rPr>
              <w:t>Accesso alle API</w:t>
            </w:r>
          </w:p>
        </w:tc>
        <w:tc>
          <w:tcPr>
            <w:tcW w:w="972" w:type="dxa"/>
            <w:tcBorders>
              <w:top w:val="single" w:sz="6" w:space="0" w:color="1F497D"/>
              <w:left w:val="single" w:sz="6" w:space="0" w:color="1F497D"/>
              <w:bottom w:val="single" w:sz="6" w:space="0" w:color="1F497D"/>
              <w:right w:val="single" w:sz="6" w:space="0" w:color="1F497D"/>
            </w:tcBorders>
            <w:shd w:val="clear" w:color="auto" w:fill="FFFFFF"/>
          </w:tcPr>
          <w:p w:rsidR="0033725C" w:rsidRPr="003410C7" w:rsidRDefault="0033725C" w:rsidP="00A73DBD">
            <w:pPr>
              <w:pStyle w:val="TableText"/>
              <w:rPr>
                <w:rFonts w:ascii="Segoe" w:eastAsia="Calibri" w:hAnsi="Segoe"/>
              </w:rPr>
            </w:pPr>
            <w:r w:rsidRPr="003410C7">
              <w:rPr>
                <w:rFonts w:eastAsia="Calibri" w:cs="Segoe UI"/>
                <w:b/>
                <w:sz w:val="24"/>
                <w:szCs w:val="24"/>
              </w:rPr>
              <w:sym w:font="Wingdings" w:char="00FC"/>
            </w:r>
          </w:p>
        </w:tc>
        <w:tc>
          <w:tcPr>
            <w:tcW w:w="1053" w:type="dxa"/>
            <w:tcBorders>
              <w:top w:val="single" w:sz="6" w:space="0" w:color="1F497D"/>
              <w:left w:val="single" w:sz="6" w:space="0" w:color="1F497D"/>
              <w:bottom w:val="single" w:sz="6" w:space="0" w:color="1F497D"/>
              <w:right w:val="single" w:sz="6" w:space="0" w:color="1F497D"/>
            </w:tcBorders>
            <w:shd w:val="clear" w:color="auto" w:fill="FFFFFF"/>
          </w:tcPr>
          <w:p w:rsidR="0033725C" w:rsidRPr="003410C7" w:rsidRDefault="0033725C" w:rsidP="00A73DBD">
            <w:pPr>
              <w:pStyle w:val="TableText"/>
              <w:rPr>
                <w:rFonts w:ascii="Segoe" w:eastAsia="Calibri" w:hAnsi="Segoe"/>
              </w:rPr>
            </w:pPr>
            <w:r w:rsidRPr="003410C7">
              <w:rPr>
                <w:rFonts w:eastAsia="Calibri" w:cs="Segoe UI"/>
                <w:b/>
                <w:sz w:val="24"/>
                <w:szCs w:val="24"/>
              </w:rPr>
              <w:sym w:font="Wingdings" w:char="00FC"/>
            </w:r>
          </w:p>
        </w:tc>
        <w:tc>
          <w:tcPr>
            <w:tcW w:w="1152" w:type="dxa"/>
            <w:tcBorders>
              <w:top w:val="single" w:sz="6" w:space="0" w:color="1F497D"/>
              <w:left w:val="single" w:sz="6" w:space="0" w:color="1F497D"/>
              <w:bottom w:val="single" w:sz="6" w:space="0" w:color="1F497D"/>
              <w:right w:val="single" w:sz="6" w:space="0" w:color="1F497D"/>
            </w:tcBorders>
            <w:shd w:val="clear" w:color="auto" w:fill="FFFFFF"/>
          </w:tcPr>
          <w:p w:rsidR="0033725C" w:rsidRPr="003410C7" w:rsidRDefault="0033725C" w:rsidP="00A73DBD">
            <w:pPr>
              <w:pStyle w:val="TableText"/>
              <w:rPr>
                <w:rFonts w:ascii="Segoe" w:eastAsia="Calibri" w:hAnsi="Segoe"/>
              </w:rPr>
            </w:pPr>
            <w:r w:rsidRPr="003410C7">
              <w:rPr>
                <w:rFonts w:eastAsia="Calibri" w:cs="Segoe UI"/>
                <w:b/>
                <w:sz w:val="24"/>
                <w:szCs w:val="24"/>
              </w:rPr>
              <w:sym w:font="Wingdings" w:char="00FC"/>
            </w:r>
          </w:p>
        </w:tc>
        <w:tc>
          <w:tcPr>
            <w:tcW w:w="1125" w:type="dxa"/>
            <w:tcBorders>
              <w:top w:val="single" w:sz="6" w:space="0" w:color="1F497D"/>
              <w:left w:val="single" w:sz="6" w:space="0" w:color="1F497D"/>
              <w:bottom w:val="single" w:sz="6" w:space="0" w:color="1F497D"/>
              <w:right w:val="single" w:sz="6" w:space="0" w:color="1F497D"/>
            </w:tcBorders>
            <w:shd w:val="clear" w:color="auto" w:fill="FFFFFF"/>
          </w:tcPr>
          <w:p w:rsidR="0033725C" w:rsidRPr="003410C7" w:rsidRDefault="0033725C" w:rsidP="00A73DBD">
            <w:pPr>
              <w:pStyle w:val="TableText"/>
              <w:rPr>
                <w:rFonts w:eastAsia="Calibri" w:cs="Segoe UI"/>
                <w:b/>
                <w:sz w:val="24"/>
                <w:szCs w:val="24"/>
              </w:rPr>
            </w:pPr>
          </w:p>
        </w:tc>
        <w:tc>
          <w:tcPr>
            <w:tcW w:w="1305" w:type="dxa"/>
            <w:tcBorders>
              <w:top w:val="single" w:sz="6" w:space="0" w:color="1F497D"/>
              <w:left w:val="single" w:sz="6" w:space="0" w:color="1F497D"/>
              <w:bottom w:val="single" w:sz="6" w:space="0" w:color="1F497D"/>
              <w:right w:val="single" w:sz="6" w:space="0" w:color="1F497D"/>
            </w:tcBorders>
            <w:shd w:val="clear" w:color="auto" w:fill="FFFFFF"/>
          </w:tcPr>
          <w:p w:rsidR="0033725C" w:rsidRPr="003410C7" w:rsidRDefault="0033725C" w:rsidP="00A73DBD">
            <w:pPr>
              <w:pStyle w:val="TableText"/>
              <w:rPr>
                <w:rFonts w:eastAsia="Calibri" w:cs="Segoe UI"/>
                <w:b/>
                <w:sz w:val="24"/>
                <w:szCs w:val="24"/>
              </w:rPr>
            </w:pPr>
          </w:p>
        </w:tc>
        <w:tc>
          <w:tcPr>
            <w:tcW w:w="1251" w:type="dxa"/>
            <w:tcBorders>
              <w:top w:val="single" w:sz="6" w:space="0" w:color="1F497D"/>
              <w:left w:val="single" w:sz="6" w:space="0" w:color="1F497D"/>
              <w:bottom w:val="single" w:sz="6" w:space="0" w:color="1F497D"/>
              <w:right w:val="single" w:sz="6" w:space="0" w:color="1F497D"/>
            </w:tcBorders>
            <w:shd w:val="clear" w:color="auto" w:fill="FFFFFF"/>
          </w:tcPr>
          <w:p w:rsidR="0033725C" w:rsidRPr="003410C7" w:rsidRDefault="0033725C" w:rsidP="00A73DBD">
            <w:pPr>
              <w:pStyle w:val="TableText"/>
              <w:rPr>
                <w:rFonts w:ascii="Segoe" w:eastAsia="Calibri" w:hAnsi="Segoe"/>
              </w:rPr>
            </w:pPr>
            <w:r w:rsidRPr="003410C7">
              <w:rPr>
                <w:rFonts w:eastAsia="Calibri" w:cs="Segoe UI"/>
                <w:b/>
                <w:sz w:val="24"/>
                <w:szCs w:val="24"/>
              </w:rPr>
              <w:sym w:font="Wingdings" w:char="00FC"/>
            </w:r>
          </w:p>
        </w:tc>
      </w:tr>
      <w:tr w:rsidR="000C172E" w:rsidRPr="003410C7" w:rsidTr="000C172E">
        <w:tc>
          <w:tcPr>
            <w:tcW w:w="2020" w:type="dxa"/>
            <w:tcBorders>
              <w:top w:val="single" w:sz="6" w:space="0" w:color="1F497D"/>
              <w:left w:val="single" w:sz="4" w:space="0" w:color="072B61"/>
              <w:bottom w:val="single" w:sz="6" w:space="0" w:color="1F497D"/>
              <w:right w:val="single" w:sz="6" w:space="0" w:color="1F497D"/>
            </w:tcBorders>
            <w:shd w:val="clear" w:color="auto" w:fill="FFFFFF"/>
          </w:tcPr>
          <w:p w:rsidR="0033725C" w:rsidRPr="00451078" w:rsidRDefault="0033725C" w:rsidP="00A73DBD">
            <w:pPr>
              <w:pStyle w:val="TableText"/>
              <w:jc w:val="left"/>
              <w:rPr>
                <w:rFonts w:ascii="Tahoma" w:eastAsia="Calibri" w:hAnsi="Tahoma" w:cs="Tahoma"/>
                <w:sz w:val="18"/>
                <w:szCs w:val="18"/>
                <w:lang w:val="it-IT"/>
              </w:rPr>
            </w:pPr>
            <w:r w:rsidRPr="00451078">
              <w:rPr>
                <w:rFonts w:ascii="Tahoma" w:eastAsia="Calibri" w:hAnsi="Tahoma" w:cs="Tahoma"/>
                <w:sz w:val="18"/>
                <w:szCs w:val="18"/>
                <w:lang w:val="it-IT"/>
              </w:rPr>
              <w:t>Aggiunta a record delle persone giuridiche personalizzati utilizzando l</w:t>
            </w:r>
            <w:r w:rsidR="0073727D">
              <w:rPr>
                <w:rFonts w:ascii="Tahoma" w:eastAsia="Calibri" w:hAnsi="Tahoma" w:cs="Tahoma"/>
                <w:sz w:val="18"/>
                <w:szCs w:val="18"/>
                <w:lang w:val="it-IT"/>
              </w:rPr>
              <w:t>’</w:t>
            </w:r>
            <w:r w:rsidRPr="00451078">
              <w:rPr>
                <w:rFonts w:ascii="Tahoma" w:eastAsia="Calibri" w:hAnsi="Tahoma" w:cs="Tahoma"/>
                <w:sz w:val="18"/>
                <w:szCs w:val="18"/>
                <w:lang w:val="it-IT"/>
              </w:rPr>
              <w:t>Accesso alle API</w:t>
            </w:r>
          </w:p>
        </w:tc>
        <w:tc>
          <w:tcPr>
            <w:tcW w:w="972" w:type="dxa"/>
            <w:tcBorders>
              <w:top w:val="single" w:sz="6" w:space="0" w:color="1F497D"/>
              <w:left w:val="single" w:sz="6" w:space="0" w:color="1F497D"/>
              <w:bottom w:val="single" w:sz="6" w:space="0" w:color="1F497D"/>
              <w:right w:val="single" w:sz="6" w:space="0" w:color="1F497D"/>
            </w:tcBorders>
            <w:shd w:val="clear" w:color="auto" w:fill="FFFFFF"/>
          </w:tcPr>
          <w:p w:rsidR="0033725C" w:rsidRPr="003410C7" w:rsidRDefault="0033725C" w:rsidP="00A73DBD">
            <w:pPr>
              <w:pStyle w:val="TableText"/>
              <w:rPr>
                <w:rFonts w:ascii="Segoe" w:eastAsia="Calibri" w:hAnsi="Segoe"/>
              </w:rPr>
            </w:pPr>
            <w:r w:rsidRPr="003410C7">
              <w:rPr>
                <w:rFonts w:eastAsia="Calibri" w:cs="Segoe UI"/>
                <w:b/>
                <w:sz w:val="24"/>
                <w:szCs w:val="24"/>
              </w:rPr>
              <w:sym w:font="Wingdings" w:char="00FC"/>
            </w:r>
          </w:p>
        </w:tc>
        <w:tc>
          <w:tcPr>
            <w:tcW w:w="1053" w:type="dxa"/>
            <w:tcBorders>
              <w:top w:val="single" w:sz="6" w:space="0" w:color="1F497D"/>
              <w:left w:val="single" w:sz="6" w:space="0" w:color="1F497D"/>
              <w:bottom w:val="single" w:sz="6" w:space="0" w:color="1F497D"/>
              <w:right w:val="single" w:sz="6" w:space="0" w:color="1F497D"/>
            </w:tcBorders>
            <w:shd w:val="clear" w:color="auto" w:fill="FFFFFF"/>
          </w:tcPr>
          <w:p w:rsidR="0033725C" w:rsidRPr="003410C7" w:rsidRDefault="0033725C" w:rsidP="00A73DBD">
            <w:pPr>
              <w:pStyle w:val="TableText"/>
              <w:rPr>
                <w:rFonts w:ascii="Segoe" w:eastAsia="Calibri" w:hAnsi="Segoe"/>
              </w:rPr>
            </w:pPr>
            <w:r w:rsidRPr="003410C7">
              <w:rPr>
                <w:rFonts w:eastAsia="Calibri" w:cs="Segoe UI"/>
                <w:b/>
                <w:sz w:val="24"/>
                <w:szCs w:val="24"/>
              </w:rPr>
              <w:sym w:font="Wingdings" w:char="00FC"/>
            </w:r>
          </w:p>
        </w:tc>
        <w:tc>
          <w:tcPr>
            <w:tcW w:w="1152" w:type="dxa"/>
            <w:tcBorders>
              <w:top w:val="single" w:sz="6" w:space="0" w:color="1F497D"/>
              <w:left w:val="single" w:sz="6" w:space="0" w:color="1F497D"/>
              <w:bottom w:val="single" w:sz="6" w:space="0" w:color="1F497D"/>
              <w:right w:val="single" w:sz="6" w:space="0" w:color="1F497D"/>
            </w:tcBorders>
            <w:shd w:val="clear" w:color="auto" w:fill="FFFFFF"/>
          </w:tcPr>
          <w:p w:rsidR="0033725C" w:rsidRPr="003410C7" w:rsidRDefault="0033725C" w:rsidP="00A73DBD">
            <w:pPr>
              <w:pStyle w:val="TableText"/>
              <w:rPr>
                <w:rFonts w:ascii="Segoe" w:eastAsia="Calibri" w:hAnsi="Segoe"/>
              </w:rPr>
            </w:pPr>
            <w:r w:rsidRPr="003410C7">
              <w:rPr>
                <w:rFonts w:eastAsia="Calibri" w:cs="Segoe UI"/>
                <w:b/>
                <w:sz w:val="24"/>
                <w:szCs w:val="24"/>
              </w:rPr>
              <w:sym w:font="Wingdings" w:char="00FC"/>
            </w:r>
          </w:p>
        </w:tc>
        <w:tc>
          <w:tcPr>
            <w:tcW w:w="1125" w:type="dxa"/>
            <w:tcBorders>
              <w:top w:val="single" w:sz="6" w:space="0" w:color="1F497D"/>
              <w:left w:val="single" w:sz="6" w:space="0" w:color="1F497D"/>
              <w:bottom w:val="single" w:sz="6" w:space="0" w:color="1F497D"/>
              <w:right w:val="single" w:sz="6" w:space="0" w:color="1F497D"/>
            </w:tcBorders>
            <w:shd w:val="clear" w:color="auto" w:fill="FFFFFF"/>
          </w:tcPr>
          <w:p w:rsidR="0033725C" w:rsidRPr="003410C7" w:rsidRDefault="0033725C" w:rsidP="00A73DBD">
            <w:pPr>
              <w:pStyle w:val="TableText"/>
              <w:rPr>
                <w:rFonts w:eastAsia="Calibri" w:cs="Segoe UI"/>
                <w:b/>
                <w:sz w:val="24"/>
                <w:szCs w:val="24"/>
              </w:rPr>
            </w:pPr>
          </w:p>
        </w:tc>
        <w:tc>
          <w:tcPr>
            <w:tcW w:w="1305" w:type="dxa"/>
            <w:tcBorders>
              <w:top w:val="single" w:sz="6" w:space="0" w:color="1F497D"/>
              <w:left w:val="single" w:sz="6" w:space="0" w:color="1F497D"/>
              <w:bottom w:val="single" w:sz="6" w:space="0" w:color="1F497D"/>
              <w:right w:val="single" w:sz="6" w:space="0" w:color="1F497D"/>
            </w:tcBorders>
            <w:shd w:val="clear" w:color="auto" w:fill="FFFFFF"/>
          </w:tcPr>
          <w:p w:rsidR="0033725C" w:rsidRPr="003410C7" w:rsidRDefault="0033725C" w:rsidP="00A73DBD">
            <w:pPr>
              <w:pStyle w:val="TableText"/>
              <w:rPr>
                <w:rFonts w:eastAsia="Calibri" w:cs="Segoe UI"/>
                <w:b/>
                <w:sz w:val="24"/>
                <w:szCs w:val="24"/>
              </w:rPr>
            </w:pPr>
          </w:p>
        </w:tc>
        <w:tc>
          <w:tcPr>
            <w:tcW w:w="1251" w:type="dxa"/>
            <w:tcBorders>
              <w:top w:val="single" w:sz="6" w:space="0" w:color="1F497D"/>
              <w:left w:val="single" w:sz="6" w:space="0" w:color="1F497D"/>
              <w:bottom w:val="single" w:sz="6" w:space="0" w:color="1F497D"/>
              <w:right w:val="single" w:sz="6" w:space="0" w:color="1F497D"/>
            </w:tcBorders>
            <w:shd w:val="clear" w:color="auto" w:fill="FFFFFF"/>
          </w:tcPr>
          <w:p w:rsidR="0033725C" w:rsidRPr="003410C7" w:rsidRDefault="0033725C" w:rsidP="00A73DBD">
            <w:pPr>
              <w:pStyle w:val="TableText"/>
              <w:rPr>
                <w:rFonts w:ascii="Segoe" w:eastAsia="Calibri" w:hAnsi="Segoe"/>
              </w:rPr>
            </w:pPr>
            <w:r w:rsidRPr="003410C7">
              <w:rPr>
                <w:rFonts w:eastAsia="Calibri" w:cs="Segoe UI"/>
                <w:b/>
                <w:sz w:val="24"/>
                <w:szCs w:val="24"/>
              </w:rPr>
              <w:sym w:font="Wingdings" w:char="00FC"/>
            </w:r>
          </w:p>
        </w:tc>
      </w:tr>
      <w:tr w:rsidR="000C172E" w:rsidRPr="003410C7" w:rsidTr="000C172E">
        <w:tc>
          <w:tcPr>
            <w:tcW w:w="2020" w:type="dxa"/>
            <w:tcBorders>
              <w:top w:val="single" w:sz="6" w:space="0" w:color="1F497D"/>
              <w:left w:val="single" w:sz="4" w:space="0" w:color="072B61"/>
              <w:bottom w:val="single" w:sz="6" w:space="0" w:color="1F497D"/>
              <w:right w:val="single" w:sz="6" w:space="0" w:color="1F497D"/>
            </w:tcBorders>
            <w:shd w:val="clear" w:color="auto" w:fill="FFFFFF"/>
          </w:tcPr>
          <w:p w:rsidR="0033725C" w:rsidRPr="00451078" w:rsidRDefault="0033725C" w:rsidP="00A73DBD">
            <w:pPr>
              <w:pStyle w:val="TableText"/>
              <w:jc w:val="left"/>
              <w:rPr>
                <w:rFonts w:ascii="Tahoma" w:eastAsia="Calibri" w:hAnsi="Tahoma" w:cs="Tahoma"/>
                <w:sz w:val="18"/>
                <w:szCs w:val="18"/>
                <w:lang w:val="it-IT"/>
              </w:rPr>
            </w:pPr>
            <w:r w:rsidRPr="00451078">
              <w:rPr>
                <w:rFonts w:ascii="Tahoma" w:eastAsia="Calibri" w:hAnsi="Tahoma" w:cs="Tahoma"/>
                <w:sz w:val="18"/>
                <w:szCs w:val="18"/>
                <w:lang w:val="it-IT"/>
              </w:rPr>
              <w:t>Eliminazione di Account utilizzando l</w:t>
            </w:r>
            <w:r w:rsidR="0073727D">
              <w:rPr>
                <w:rFonts w:ascii="Tahoma" w:eastAsia="Calibri" w:hAnsi="Tahoma" w:cs="Tahoma"/>
                <w:sz w:val="18"/>
                <w:szCs w:val="18"/>
                <w:lang w:val="it-IT"/>
              </w:rPr>
              <w:t>’</w:t>
            </w:r>
            <w:r w:rsidRPr="00451078">
              <w:rPr>
                <w:rFonts w:ascii="Tahoma" w:eastAsia="Calibri" w:hAnsi="Tahoma" w:cs="Tahoma"/>
                <w:sz w:val="18"/>
                <w:szCs w:val="18"/>
                <w:lang w:val="it-IT"/>
              </w:rPr>
              <w:t>Accesso alle API</w:t>
            </w:r>
          </w:p>
        </w:tc>
        <w:tc>
          <w:tcPr>
            <w:tcW w:w="972" w:type="dxa"/>
            <w:tcBorders>
              <w:top w:val="single" w:sz="6" w:space="0" w:color="1F497D"/>
              <w:left w:val="single" w:sz="6" w:space="0" w:color="1F497D"/>
              <w:bottom w:val="single" w:sz="6" w:space="0" w:color="1F497D"/>
              <w:right w:val="single" w:sz="6" w:space="0" w:color="1F497D"/>
            </w:tcBorders>
            <w:shd w:val="clear" w:color="auto" w:fill="FFFFFF"/>
          </w:tcPr>
          <w:p w:rsidR="0033725C" w:rsidRPr="00451078" w:rsidRDefault="0033725C" w:rsidP="00A73DBD">
            <w:pPr>
              <w:pStyle w:val="TableText"/>
              <w:rPr>
                <w:rFonts w:eastAsia="Calibri" w:cs="Segoe UI"/>
                <w:b/>
                <w:sz w:val="24"/>
                <w:szCs w:val="24"/>
                <w:lang w:val="it-IT"/>
              </w:rPr>
            </w:pPr>
          </w:p>
        </w:tc>
        <w:tc>
          <w:tcPr>
            <w:tcW w:w="1053" w:type="dxa"/>
            <w:tcBorders>
              <w:top w:val="single" w:sz="6" w:space="0" w:color="1F497D"/>
              <w:left w:val="single" w:sz="6" w:space="0" w:color="1F497D"/>
              <w:bottom w:val="single" w:sz="6" w:space="0" w:color="1F497D"/>
              <w:right w:val="single" w:sz="6" w:space="0" w:color="1F497D"/>
            </w:tcBorders>
            <w:shd w:val="clear" w:color="auto" w:fill="FFFFFF"/>
          </w:tcPr>
          <w:p w:rsidR="0033725C" w:rsidRPr="003410C7" w:rsidRDefault="0033725C" w:rsidP="00A73DBD">
            <w:pPr>
              <w:pStyle w:val="TableText"/>
              <w:rPr>
                <w:rFonts w:ascii="Segoe" w:eastAsia="Calibri" w:hAnsi="Segoe"/>
              </w:rPr>
            </w:pPr>
            <w:r w:rsidRPr="003410C7">
              <w:rPr>
                <w:rFonts w:eastAsia="Calibri" w:cs="Segoe UI"/>
                <w:b/>
                <w:sz w:val="24"/>
                <w:szCs w:val="24"/>
              </w:rPr>
              <w:sym w:font="Wingdings" w:char="00FC"/>
            </w:r>
            <w:r w:rsidRPr="003410C7">
              <w:rPr>
                <w:rFonts w:eastAsia="Calibri" w:cs="Segoe UI"/>
                <w:b/>
                <w:sz w:val="24"/>
                <w:szCs w:val="24"/>
                <w:vertAlign w:val="superscript"/>
              </w:rPr>
              <w:t>2</w:t>
            </w:r>
          </w:p>
        </w:tc>
        <w:tc>
          <w:tcPr>
            <w:tcW w:w="1152" w:type="dxa"/>
            <w:tcBorders>
              <w:top w:val="single" w:sz="6" w:space="0" w:color="1F497D"/>
              <w:left w:val="single" w:sz="6" w:space="0" w:color="1F497D"/>
              <w:bottom w:val="single" w:sz="6" w:space="0" w:color="1F497D"/>
              <w:right w:val="single" w:sz="6" w:space="0" w:color="1F497D"/>
            </w:tcBorders>
            <w:shd w:val="clear" w:color="auto" w:fill="FFFFFF"/>
          </w:tcPr>
          <w:p w:rsidR="0033725C" w:rsidRPr="003410C7" w:rsidRDefault="0033725C" w:rsidP="00A73DBD">
            <w:pPr>
              <w:pStyle w:val="TableText"/>
              <w:rPr>
                <w:rFonts w:ascii="Segoe" w:eastAsia="Calibri" w:hAnsi="Segoe"/>
              </w:rPr>
            </w:pPr>
            <w:r w:rsidRPr="003410C7">
              <w:rPr>
                <w:rFonts w:eastAsia="Calibri" w:cs="Segoe UI"/>
                <w:b/>
                <w:sz w:val="24"/>
                <w:szCs w:val="24"/>
              </w:rPr>
              <w:sym w:font="Wingdings" w:char="00FC"/>
            </w:r>
          </w:p>
        </w:tc>
        <w:tc>
          <w:tcPr>
            <w:tcW w:w="1125" w:type="dxa"/>
            <w:tcBorders>
              <w:top w:val="single" w:sz="6" w:space="0" w:color="1F497D"/>
              <w:left w:val="single" w:sz="6" w:space="0" w:color="1F497D"/>
              <w:bottom w:val="single" w:sz="6" w:space="0" w:color="1F497D"/>
              <w:right w:val="single" w:sz="6" w:space="0" w:color="1F497D"/>
            </w:tcBorders>
            <w:shd w:val="clear" w:color="auto" w:fill="FFFFFF"/>
          </w:tcPr>
          <w:p w:rsidR="0033725C" w:rsidRPr="003410C7" w:rsidRDefault="0033725C" w:rsidP="00A73DBD">
            <w:pPr>
              <w:pStyle w:val="TableText"/>
              <w:rPr>
                <w:rFonts w:eastAsia="Calibri" w:cs="Segoe UI"/>
                <w:b/>
                <w:sz w:val="24"/>
                <w:szCs w:val="24"/>
              </w:rPr>
            </w:pPr>
            <w:r w:rsidRPr="003410C7">
              <w:rPr>
                <w:rFonts w:eastAsia="Calibri" w:cs="Segoe UI"/>
                <w:b/>
                <w:sz w:val="24"/>
                <w:szCs w:val="24"/>
              </w:rPr>
              <w:sym w:font="Wingdings" w:char="00FC"/>
            </w:r>
            <w:r w:rsidRPr="003410C7">
              <w:rPr>
                <w:rFonts w:eastAsia="Calibri" w:cs="Segoe UI"/>
                <w:b/>
                <w:sz w:val="24"/>
                <w:szCs w:val="24"/>
                <w:vertAlign w:val="superscript"/>
              </w:rPr>
              <w:t>2</w:t>
            </w:r>
          </w:p>
        </w:tc>
        <w:tc>
          <w:tcPr>
            <w:tcW w:w="1305" w:type="dxa"/>
            <w:tcBorders>
              <w:top w:val="single" w:sz="6" w:space="0" w:color="1F497D"/>
              <w:left w:val="single" w:sz="6" w:space="0" w:color="1F497D"/>
              <w:bottom w:val="single" w:sz="6" w:space="0" w:color="1F497D"/>
              <w:right w:val="single" w:sz="6" w:space="0" w:color="1F497D"/>
            </w:tcBorders>
            <w:shd w:val="clear" w:color="auto" w:fill="FFFFFF"/>
          </w:tcPr>
          <w:p w:rsidR="0033725C" w:rsidRPr="003410C7" w:rsidRDefault="0033725C" w:rsidP="00A73DBD">
            <w:pPr>
              <w:pStyle w:val="TableText"/>
              <w:rPr>
                <w:rFonts w:eastAsia="Calibri" w:cs="Segoe UI"/>
                <w:b/>
                <w:sz w:val="24"/>
                <w:szCs w:val="24"/>
              </w:rPr>
            </w:pPr>
            <w:r w:rsidRPr="003410C7">
              <w:rPr>
                <w:rFonts w:eastAsia="Calibri" w:cs="Segoe UI"/>
                <w:b/>
                <w:sz w:val="24"/>
                <w:szCs w:val="24"/>
              </w:rPr>
              <w:sym w:font="Wingdings" w:char="00FC"/>
            </w:r>
          </w:p>
        </w:tc>
        <w:tc>
          <w:tcPr>
            <w:tcW w:w="1251" w:type="dxa"/>
            <w:tcBorders>
              <w:top w:val="single" w:sz="6" w:space="0" w:color="1F497D"/>
              <w:left w:val="single" w:sz="6" w:space="0" w:color="1F497D"/>
              <w:bottom w:val="single" w:sz="6" w:space="0" w:color="1F497D"/>
              <w:right w:val="single" w:sz="6" w:space="0" w:color="1F497D"/>
            </w:tcBorders>
            <w:shd w:val="clear" w:color="auto" w:fill="FFFFFF"/>
          </w:tcPr>
          <w:p w:rsidR="0033725C" w:rsidRPr="003410C7" w:rsidRDefault="0033725C" w:rsidP="00A73DBD">
            <w:pPr>
              <w:pStyle w:val="TableText"/>
              <w:rPr>
                <w:rFonts w:eastAsia="Calibri" w:cs="Segoe UI"/>
                <w:b/>
                <w:sz w:val="24"/>
                <w:szCs w:val="24"/>
              </w:rPr>
            </w:pPr>
          </w:p>
        </w:tc>
      </w:tr>
      <w:tr w:rsidR="000C172E" w:rsidRPr="003410C7" w:rsidTr="000C172E">
        <w:tc>
          <w:tcPr>
            <w:tcW w:w="2020" w:type="dxa"/>
            <w:tcBorders>
              <w:top w:val="single" w:sz="6" w:space="0" w:color="1F497D"/>
              <w:left w:val="single" w:sz="4" w:space="0" w:color="072B61"/>
              <w:bottom w:val="single" w:sz="6" w:space="0" w:color="1F497D"/>
              <w:right w:val="single" w:sz="6" w:space="0" w:color="1F497D"/>
            </w:tcBorders>
            <w:shd w:val="clear" w:color="auto" w:fill="FFFFFF"/>
          </w:tcPr>
          <w:p w:rsidR="0033725C" w:rsidRPr="00451078" w:rsidRDefault="0033725C" w:rsidP="00A73DBD">
            <w:pPr>
              <w:pStyle w:val="TableText"/>
              <w:jc w:val="left"/>
              <w:rPr>
                <w:rFonts w:ascii="Tahoma" w:eastAsia="Calibri" w:hAnsi="Tahoma" w:cs="Tahoma"/>
                <w:sz w:val="18"/>
                <w:szCs w:val="18"/>
                <w:lang w:val="it-IT"/>
              </w:rPr>
            </w:pPr>
            <w:r w:rsidRPr="00451078">
              <w:rPr>
                <w:rFonts w:ascii="Tahoma" w:eastAsia="Calibri" w:hAnsi="Tahoma" w:cs="Tahoma"/>
                <w:sz w:val="18"/>
                <w:szCs w:val="18"/>
                <w:lang w:val="it-IT"/>
              </w:rPr>
              <w:t>Eliminazione di Contatti utilizzando l</w:t>
            </w:r>
            <w:r w:rsidR="0073727D">
              <w:rPr>
                <w:rFonts w:ascii="Tahoma" w:eastAsia="Calibri" w:hAnsi="Tahoma" w:cs="Tahoma"/>
                <w:sz w:val="18"/>
                <w:szCs w:val="18"/>
                <w:lang w:val="it-IT"/>
              </w:rPr>
              <w:t>’</w:t>
            </w:r>
            <w:r w:rsidRPr="00451078">
              <w:rPr>
                <w:rFonts w:ascii="Tahoma" w:eastAsia="Calibri" w:hAnsi="Tahoma" w:cs="Tahoma"/>
                <w:sz w:val="18"/>
                <w:szCs w:val="18"/>
                <w:lang w:val="it-IT"/>
              </w:rPr>
              <w:t>Accesso alle API</w:t>
            </w:r>
          </w:p>
        </w:tc>
        <w:tc>
          <w:tcPr>
            <w:tcW w:w="972" w:type="dxa"/>
            <w:tcBorders>
              <w:top w:val="single" w:sz="6" w:space="0" w:color="1F497D"/>
              <w:left w:val="single" w:sz="6" w:space="0" w:color="1F497D"/>
              <w:bottom w:val="single" w:sz="6" w:space="0" w:color="1F497D"/>
              <w:right w:val="single" w:sz="6" w:space="0" w:color="1F497D"/>
            </w:tcBorders>
            <w:shd w:val="clear" w:color="auto" w:fill="FFFFFF"/>
          </w:tcPr>
          <w:p w:rsidR="0033725C" w:rsidRPr="00451078" w:rsidRDefault="0033725C" w:rsidP="00A73DBD">
            <w:pPr>
              <w:pStyle w:val="TableText"/>
              <w:rPr>
                <w:rFonts w:eastAsia="Calibri" w:cs="Segoe UI"/>
                <w:b/>
                <w:sz w:val="24"/>
                <w:szCs w:val="24"/>
                <w:lang w:val="it-IT"/>
              </w:rPr>
            </w:pPr>
          </w:p>
        </w:tc>
        <w:tc>
          <w:tcPr>
            <w:tcW w:w="1053" w:type="dxa"/>
            <w:tcBorders>
              <w:top w:val="single" w:sz="6" w:space="0" w:color="1F497D"/>
              <w:left w:val="single" w:sz="6" w:space="0" w:color="1F497D"/>
              <w:bottom w:val="single" w:sz="6" w:space="0" w:color="1F497D"/>
              <w:right w:val="single" w:sz="6" w:space="0" w:color="1F497D"/>
            </w:tcBorders>
            <w:shd w:val="clear" w:color="auto" w:fill="FFFFFF"/>
          </w:tcPr>
          <w:p w:rsidR="0033725C" w:rsidRPr="003410C7" w:rsidRDefault="0033725C" w:rsidP="00A73DBD">
            <w:pPr>
              <w:pStyle w:val="TableText"/>
              <w:rPr>
                <w:rFonts w:ascii="Segoe" w:eastAsia="Calibri" w:hAnsi="Segoe"/>
              </w:rPr>
            </w:pPr>
            <w:r w:rsidRPr="003410C7">
              <w:rPr>
                <w:rFonts w:eastAsia="Calibri" w:cs="Segoe UI"/>
                <w:b/>
                <w:sz w:val="24"/>
                <w:szCs w:val="24"/>
              </w:rPr>
              <w:sym w:font="Wingdings" w:char="00FC"/>
            </w:r>
            <w:r w:rsidRPr="003410C7">
              <w:rPr>
                <w:rFonts w:eastAsia="Calibri" w:cs="Segoe UI"/>
                <w:b/>
                <w:sz w:val="24"/>
                <w:szCs w:val="24"/>
                <w:vertAlign w:val="superscript"/>
              </w:rPr>
              <w:t>2</w:t>
            </w:r>
          </w:p>
        </w:tc>
        <w:tc>
          <w:tcPr>
            <w:tcW w:w="1152" w:type="dxa"/>
            <w:tcBorders>
              <w:top w:val="single" w:sz="6" w:space="0" w:color="1F497D"/>
              <w:left w:val="single" w:sz="6" w:space="0" w:color="1F497D"/>
              <w:bottom w:val="single" w:sz="6" w:space="0" w:color="1F497D"/>
              <w:right w:val="single" w:sz="6" w:space="0" w:color="1F497D"/>
            </w:tcBorders>
            <w:shd w:val="clear" w:color="auto" w:fill="FFFFFF"/>
          </w:tcPr>
          <w:p w:rsidR="0033725C" w:rsidRPr="003410C7" w:rsidRDefault="0033725C" w:rsidP="00A73DBD">
            <w:pPr>
              <w:pStyle w:val="TableText"/>
              <w:rPr>
                <w:rFonts w:ascii="Segoe" w:eastAsia="Calibri" w:hAnsi="Segoe"/>
              </w:rPr>
            </w:pPr>
            <w:r w:rsidRPr="003410C7">
              <w:rPr>
                <w:rFonts w:eastAsia="Calibri" w:cs="Segoe UI"/>
                <w:b/>
                <w:sz w:val="24"/>
                <w:szCs w:val="24"/>
              </w:rPr>
              <w:sym w:font="Wingdings" w:char="00FC"/>
            </w:r>
          </w:p>
        </w:tc>
        <w:tc>
          <w:tcPr>
            <w:tcW w:w="1125" w:type="dxa"/>
            <w:tcBorders>
              <w:top w:val="single" w:sz="6" w:space="0" w:color="1F497D"/>
              <w:left w:val="single" w:sz="6" w:space="0" w:color="1F497D"/>
              <w:bottom w:val="single" w:sz="6" w:space="0" w:color="1F497D"/>
              <w:right w:val="single" w:sz="6" w:space="0" w:color="1F497D"/>
            </w:tcBorders>
            <w:shd w:val="clear" w:color="auto" w:fill="FFFFFF"/>
          </w:tcPr>
          <w:p w:rsidR="0033725C" w:rsidRPr="003410C7" w:rsidRDefault="0033725C" w:rsidP="00A73DBD">
            <w:pPr>
              <w:pStyle w:val="TableText"/>
              <w:rPr>
                <w:rFonts w:eastAsia="Calibri" w:cs="Segoe UI"/>
                <w:b/>
                <w:sz w:val="24"/>
                <w:szCs w:val="24"/>
              </w:rPr>
            </w:pPr>
            <w:r w:rsidRPr="003410C7">
              <w:rPr>
                <w:rFonts w:eastAsia="Calibri" w:cs="Segoe UI"/>
                <w:b/>
                <w:sz w:val="24"/>
                <w:szCs w:val="24"/>
              </w:rPr>
              <w:sym w:font="Wingdings" w:char="00FC"/>
            </w:r>
            <w:r w:rsidRPr="003410C7">
              <w:rPr>
                <w:rFonts w:eastAsia="Calibri" w:cs="Segoe UI"/>
                <w:b/>
                <w:sz w:val="24"/>
                <w:szCs w:val="24"/>
                <w:vertAlign w:val="superscript"/>
              </w:rPr>
              <w:t>2</w:t>
            </w:r>
          </w:p>
        </w:tc>
        <w:tc>
          <w:tcPr>
            <w:tcW w:w="1305" w:type="dxa"/>
            <w:tcBorders>
              <w:top w:val="single" w:sz="6" w:space="0" w:color="1F497D"/>
              <w:left w:val="single" w:sz="6" w:space="0" w:color="1F497D"/>
              <w:bottom w:val="single" w:sz="6" w:space="0" w:color="1F497D"/>
              <w:right w:val="single" w:sz="6" w:space="0" w:color="1F497D"/>
            </w:tcBorders>
            <w:shd w:val="clear" w:color="auto" w:fill="FFFFFF"/>
          </w:tcPr>
          <w:p w:rsidR="0033725C" w:rsidRPr="003410C7" w:rsidRDefault="0033725C" w:rsidP="00A73DBD">
            <w:pPr>
              <w:pStyle w:val="TableText"/>
              <w:rPr>
                <w:rFonts w:eastAsia="Calibri" w:cs="Segoe UI"/>
                <w:b/>
                <w:sz w:val="24"/>
                <w:szCs w:val="24"/>
              </w:rPr>
            </w:pPr>
            <w:r w:rsidRPr="003410C7">
              <w:rPr>
                <w:rFonts w:eastAsia="Calibri" w:cs="Segoe UI"/>
                <w:b/>
                <w:sz w:val="24"/>
                <w:szCs w:val="24"/>
              </w:rPr>
              <w:sym w:font="Wingdings" w:char="00FC"/>
            </w:r>
          </w:p>
        </w:tc>
        <w:tc>
          <w:tcPr>
            <w:tcW w:w="1251" w:type="dxa"/>
            <w:tcBorders>
              <w:top w:val="single" w:sz="6" w:space="0" w:color="1F497D"/>
              <w:left w:val="single" w:sz="6" w:space="0" w:color="1F497D"/>
              <w:bottom w:val="single" w:sz="6" w:space="0" w:color="1F497D"/>
              <w:right w:val="single" w:sz="6" w:space="0" w:color="1F497D"/>
            </w:tcBorders>
            <w:shd w:val="clear" w:color="auto" w:fill="FFFFFF"/>
          </w:tcPr>
          <w:p w:rsidR="0033725C" w:rsidRPr="003410C7" w:rsidRDefault="0033725C" w:rsidP="00A73DBD">
            <w:pPr>
              <w:pStyle w:val="TableText"/>
              <w:rPr>
                <w:rFonts w:eastAsia="Calibri" w:cs="Segoe UI"/>
                <w:b/>
                <w:sz w:val="24"/>
                <w:szCs w:val="24"/>
              </w:rPr>
            </w:pPr>
          </w:p>
        </w:tc>
      </w:tr>
      <w:tr w:rsidR="000C172E" w:rsidRPr="003410C7" w:rsidTr="000C172E">
        <w:tc>
          <w:tcPr>
            <w:tcW w:w="2020" w:type="dxa"/>
            <w:tcBorders>
              <w:top w:val="single" w:sz="6" w:space="0" w:color="1F497D"/>
              <w:left w:val="single" w:sz="4" w:space="0" w:color="072B61"/>
              <w:bottom w:val="single" w:sz="6" w:space="0" w:color="1F497D"/>
              <w:right w:val="single" w:sz="6" w:space="0" w:color="1F497D"/>
            </w:tcBorders>
            <w:shd w:val="clear" w:color="auto" w:fill="FFFFFF"/>
          </w:tcPr>
          <w:p w:rsidR="0033725C" w:rsidRPr="00451078" w:rsidRDefault="0033725C" w:rsidP="00A73DBD">
            <w:pPr>
              <w:pStyle w:val="TableText"/>
              <w:jc w:val="left"/>
              <w:rPr>
                <w:rFonts w:ascii="Tahoma" w:eastAsia="Calibri" w:hAnsi="Tahoma" w:cs="Tahoma"/>
                <w:sz w:val="18"/>
                <w:szCs w:val="18"/>
                <w:lang w:val="it-IT"/>
              </w:rPr>
            </w:pPr>
            <w:r w:rsidRPr="00451078">
              <w:rPr>
                <w:rFonts w:ascii="Tahoma" w:eastAsia="Calibri" w:hAnsi="Tahoma" w:cs="Tahoma"/>
                <w:sz w:val="18"/>
                <w:szCs w:val="18"/>
                <w:lang w:val="it-IT"/>
              </w:rPr>
              <w:t>Eliminazione di Casi utilizzando l</w:t>
            </w:r>
            <w:r w:rsidR="0073727D">
              <w:rPr>
                <w:rFonts w:ascii="Tahoma" w:eastAsia="Calibri" w:hAnsi="Tahoma" w:cs="Tahoma"/>
                <w:sz w:val="18"/>
                <w:szCs w:val="18"/>
                <w:lang w:val="it-IT"/>
              </w:rPr>
              <w:t>’</w:t>
            </w:r>
            <w:r w:rsidRPr="00451078">
              <w:rPr>
                <w:rFonts w:ascii="Tahoma" w:eastAsia="Calibri" w:hAnsi="Tahoma" w:cs="Tahoma"/>
                <w:sz w:val="18"/>
                <w:szCs w:val="18"/>
                <w:lang w:val="it-IT"/>
              </w:rPr>
              <w:t>Accesso alle API</w:t>
            </w:r>
          </w:p>
        </w:tc>
        <w:tc>
          <w:tcPr>
            <w:tcW w:w="972" w:type="dxa"/>
            <w:tcBorders>
              <w:top w:val="single" w:sz="6" w:space="0" w:color="1F497D"/>
              <w:left w:val="single" w:sz="6" w:space="0" w:color="1F497D"/>
              <w:bottom w:val="single" w:sz="6" w:space="0" w:color="1F497D"/>
              <w:right w:val="single" w:sz="6" w:space="0" w:color="1F497D"/>
            </w:tcBorders>
            <w:shd w:val="clear" w:color="auto" w:fill="FFFFFF"/>
          </w:tcPr>
          <w:p w:rsidR="0033725C" w:rsidRPr="00451078" w:rsidRDefault="0033725C" w:rsidP="00A73DBD">
            <w:pPr>
              <w:pStyle w:val="TableText"/>
              <w:rPr>
                <w:rFonts w:eastAsia="Calibri" w:cs="Segoe UI"/>
                <w:b/>
                <w:sz w:val="24"/>
                <w:szCs w:val="24"/>
                <w:lang w:val="it-IT"/>
              </w:rPr>
            </w:pPr>
          </w:p>
        </w:tc>
        <w:tc>
          <w:tcPr>
            <w:tcW w:w="1053" w:type="dxa"/>
            <w:tcBorders>
              <w:top w:val="single" w:sz="6" w:space="0" w:color="1F497D"/>
              <w:left w:val="single" w:sz="6" w:space="0" w:color="1F497D"/>
              <w:bottom w:val="single" w:sz="6" w:space="0" w:color="1F497D"/>
              <w:right w:val="single" w:sz="6" w:space="0" w:color="1F497D"/>
            </w:tcBorders>
            <w:shd w:val="clear" w:color="auto" w:fill="FFFFFF"/>
          </w:tcPr>
          <w:p w:rsidR="0033725C" w:rsidRPr="003410C7" w:rsidRDefault="0033725C" w:rsidP="00A73DBD">
            <w:pPr>
              <w:pStyle w:val="TableText"/>
              <w:rPr>
                <w:rFonts w:ascii="Segoe" w:eastAsia="Calibri" w:hAnsi="Segoe"/>
              </w:rPr>
            </w:pPr>
            <w:r w:rsidRPr="003410C7">
              <w:rPr>
                <w:rFonts w:eastAsia="Calibri" w:cs="Segoe UI"/>
                <w:b/>
                <w:sz w:val="24"/>
                <w:szCs w:val="24"/>
              </w:rPr>
              <w:sym w:font="Wingdings" w:char="00FC"/>
            </w:r>
            <w:r w:rsidRPr="003410C7">
              <w:rPr>
                <w:rFonts w:eastAsia="Calibri" w:cs="Segoe UI"/>
                <w:b/>
                <w:sz w:val="24"/>
                <w:szCs w:val="24"/>
                <w:vertAlign w:val="superscript"/>
              </w:rPr>
              <w:t>2</w:t>
            </w:r>
          </w:p>
        </w:tc>
        <w:tc>
          <w:tcPr>
            <w:tcW w:w="1152" w:type="dxa"/>
            <w:tcBorders>
              <w:top w:val="single" w:sz="6" w:space="0" w:color="1F497D"/>
              <w:left w:val="single" w:sz="6" w:space="0" w:color="1F497D"/>
              <w:bottom w:val="single" w:sz="6" w:space="0" w:color="1F497D"/>
              <w:right w:val="single" w:sz="6" w:space="0" w:color="1F497D"/>
            </w:tcBorders>
            <w:shd w:val="clear" w:color="auto" w:fill="FFFFFF"/>
          </w:tcPr>
          <w:p w:rsidR="0033725C" w:rsidRPr="003410C7" w:rsidRDefault="0033725C" w:rsidP="00A73DBD">
            <w:pPr>
              <w:pStyle w:val="TableText"/>
              <w:rPr>
                <w:rFonts w:ascii="Segoe" w:eastAsia="Calibri" w:hAnsi="Segoe"/>
              </w:rPr>
            </w:pPr>
            <w:r w:rsidRPr="003410C7">
              <w:rPr>
                <w:rFonts w:eastAsia="Calibri" w:cs="Segoe UI"/>
                <w:b/>
                <w:sz w:val="24"/>
                <w:szCs w:val="24"/>
              </w:rPr>
              <w:sym w:font="Wingdings" w:char="00FC"/>
            </w:r>
          </w:p>
        </w:tc>
        <w:tc>
          <w:tcPr>
            <w:tcW w:w="1125" w:type="dxa"/>
            <w:tcBorders>
              <w:top w:val="single" w:sz="6" w:space="0" w:color="1F497D"/>
              <w:left w:val="single" w:sz="6" w:space="0" w:color="1F497D"/>
              <w:bottom w:val="single" w:sz="6" w:space="0" w:color="1F497D"/>
              <w:right w:val="single" w:sz="6" w:space="0" w:color="1F497D"/>
            </w:tcBorders>
            <w:shd w:val="clear" w:color="auto" w:fill="FFFFFF"/>
          </w:tcPr>
          <w:p w:rsidR="0033725C" w:rsidRPr="003410C7" w:rsidRDefault="0033725C" w:rsidP="00A73DBD">
            <w:pPr>
              <w:pStyle w:val="TableText"/>
              <w:rPr>
                <w:rFonts w:eastAsia="Calibri" w:cs="Segoe UI"/>
                <w:b/>
                <w:sz w:val="24"/>
                <w:szCs w:val="24"/>
              </w:rPr>
            </w:pPr>
            <w:r w:rsidRPr="003410C7">
              <w:rPr>
                <w:rFonts w:eastAsia="Calibri" w:cs="Segoe UI"/>
                <w:b/>
                <w:sz w:val="24"/>
                <w:szCs w:val="24"/>
              </w:rPr>
              <w:sym w:font="Wingdings" w:char="00FC"/>
            </w:r>
            <w:r w:rsidRPr="003410C7">
              <w:rPr>
                <w:rFonts w:eastAsia="Calibri" w:cs="Segoe UI"/>
                <w:b/>
                <w:sz w:val="24"/>
                <w:szCs w:val="24"/>
                <w:vertAlign w:val="superscript"/>
              </w:rPr>
              <w:t>2</w:t>
            </w:r>
          </w:p>
        </w:tc>
        <w:tc>
          <w:tcPr>
            <w:tcW w:w="1305" w:type="dxa"/>
            <w:tcBorders>
              <w:top w:val="single" w:sz="6" w:space="0" w:color="1F497D"/>
              <w:left w:val="single" w:sz="6" w:space="0" w:color="1F497D"/>
              <w:bottom w:val="single" w:sz="6" w:space="0" w:color="1F497D"/>
              <w:right w:val="single" w:sz="6" w:space="0" w:color="1F497D"/>
            </w:tcBorders>
            <w:shd w:val="clear" w:color="auto" w:fill="FFFFFF"/>
          </w:tcPr>
          <w:p w:rsidR="0033725C" w:rsidRPr="003410C7" w:rsidRDefault="0033725C" w:rsidP="00A73DBD">
            <w:pPr>
              <w:pStyle w:val="TableText"/>
              <w:rPr>
                <w:rFonts w:eastAsia="Calibri" w:cs="Segoe UI"/>
                <w:b/>
                <w:sz w:val="24"/>
                <w:szCs w:val="24"/>
              </w:rPr>
            </w:pPr>
            <w:r w:rsidRPr="003410C7">
              <w:rPr>
                <w:rFonts w:eastAsia="Calibri" w:cs="Segoe UI"/>
                <w:b/>
                <w:sz w:val="24"/>
                <w:szCs w:val="24"/>
              </w:rPr>
              <w:sym w:font="Wingdings" w:char="00FC"/>
            </w:r>
          </w:p>
        </w:tc>
        <w:tc>
          <w:tcPr>
            <w:tcW w:w="1251" w:type="dxa"/>
            <w:tcBorders>
              <w:top w:val="single" w:sz="6" w:space="0" w:color="1F497D"/>
              <w:left w:val="single" w:sz="6" w:space="0" w:color="1F497D"/>
              <w:bottom w:val="single" w:sz="6" w:space="0" w:color="1F497D"/>
              <w:right w:val="single" w:sz="6" w:space="0" w:color="1F497D"/>
            </w:tcBorders>
            <w:shd w:val="clear" w:color="auto" w:fill="FFFFFF"/>
          </w:tcPr>
          <w:p w:rsidR="0033725C" w:rsidRPr="003410C7" w:rsidRDefault="0033725C" w:rsidP="00A73DBD">
            <w:pPr>
              <w:pStyle w:val="TableText"/>
              <w:rPr>
                <w:rFonts w:eastAsia="Calibri" w:cs="Segoe UI"/>
                <w:b/>
                <w:sz w:val="24"/>
                <w:szCs w:val="24"/>
              </w:rPr>
            </w:pPr>
          </w:p>
        </w:tc>
      </w:tr>
      <w:tr w:rsidR="000C172E" w:rsidRPr="003410C7" w:rsidTr="000C172E">
        <w:tc>
          <w:tcPr>
            <w:tcW w:w="2020" w:type="dxa"/>
            <w:tcBorders>
              <w:top w:val="single" w:sz="6" w:space="0" w:color="1F497D"/>
              <w:left w:val="single" w:sz="4" w:space="0" w:color="072B61"/>
              <w:bottom w:val="single" w:sz="6" w:space="0" w:color="1F497D"/>
              <w:right w:val="single" w:sz="6" w:space="0" w:color="1F497D"/>
            </w:tcBorders>
            <w:shd w:val="clear" w:color="auto" w:fill="FFFFFF"/>
          </w:tcPr>
          <w:p w:rsidR="0033725C" w:rsidRPr="00451078" w:rsidRDefault="0033725C" w:rsidP="00A73DBD">
            <w:pPr>
              <w:pStyle w:val="TableText"/>
              <w:jc w:val="left"/>
              <w:rPr>
                <w:rFonts w:ascii="Tahoma" w:eastAsia="Calibri" w:hAnsi="Tahoma" w:cs="Tahoma"/>
                <w:sz w:val="18"/>
                <w:szCs w:val="18"/>
                <w:lang w:val="it-IT"/>
              </w:rPr>
            </w:pPr>
            <w:r w:rsidRPr="00451078">
              <w:rPr>
                <w:rFonts w:ascii="Tahoma" w:eastAsia="Calibri" w:hAnsi="Tahoma" w:cs="Tahoma"/>
                <w:sz w:val="18"/>
                <w:szCs w:val="18"/>
                <w:lang w:val="it-IT"/>
              </w:rPr>
              <w:t xml:space="preserve">Eliminazione di Lead </w:t>
            </w:r>
            <w:r w:rsidRPr="00451078">
              <w:rPr>
                <w:rFonts w:ascii="Tahoma" w:eastAsia="Calibri" w:hAnsi="Tahoma" w:cs="Tahoma"/>
                <w:sz w:val="18"/>
                <w:szCs w:val="18"/>
                <w:lang w:val="it-IT"/>
              </w:rPr>
              <w:lastRenderedPageBreak/>
              <w:t>utilizzando l</w:t>
            </w:r>
            <w:r w:rsidR="0073727D">
              <w:rPr>
                <w:rFonts w:ascii="Tahoma" w:eastAsia="Calibri" w:hAnsi="Tahoma" w:cs="Tahoma"/>
                <w:sz w:val="18"/>
                <w:szCs w:val="18"/>
                <w:lang w:val="it-IT"/>
              </w:rPr>
              <w:t>’</w:t>
            </w:r>
            <w:r w:rsidRPr="00451078">
              <w:rPr>
                <w:rFonts w:ascii="Tahoma" w:eastAsia="Calibri" w:hAnsi="Tahoma" w:cs="Tahoma"/>
                <w:sz w:val="18"/>
                <w:szCs w:val="18"/>
                <w:lang w:val="it-IT"/>
              </w:rPr>
              <w:t>Accesso alle API</w:t>
            </w:r>
          </w:p>
        </w:tc>
        <w:tc>
          <w:tcPr>
            <w:tcW w:w="972" w:type="dxa"/>
            <w:tcBorders>
              <w:top w:val="single" w:sz="6" w:space="0" w:color="1F497D"/>
              <w:left w:val="single" w:sz="6" w:space="0" w:color="1F497D"/>
              <w:bottom w:val="single" w:sz="6" w:space="0" w:color="1F497D"/>
              <w:right w:val="single" w:sz="6" w:space="0" w:color="1F497D"/>
            </w:tcBorders>
            <w:shd w:val="clear" w:color="auto" w:fill="FFFFFF"/>
          </w:tcPr>
          <w:p w:rsidR="0033725C" w:rsidRPr="00451078" w:rsidRDefault="0033725C" w:rsidP="00A73DBD">
            <w:pPr>
              <w:pStyle w:val="TableText"/>
              <w:rPr>
                <w:rFonts w:eastAsia="Calibri" w:cs="Segoe UI"/>
                <w:b/>
                <w:sz w:val="24"/>
                <w:szCs w:val="24"/>
                <w:lang w:val="it-IT"/>
              </w:rPr>
            </w:pPr>
          </w:p>
        </w:tc>
        <w:tc>
          <w:tcPr>
            <w:tcW w:w="1053" w:type="dxa"/>
            <w:tcBorders>
              <w:top w:val="single" w:sz="6" w:space="0" w:color="1F497D"/>
              <w:left w:val="single" w:sz="6" w:space="0" w:color="1F497D"/>
              <w:bottom w:val="single" w:sz="6" w:space="0" w:color="1F497D"/>
              <w:right w:val="single" w:sz="6" w:space="0" w:color="1F497D"/>
            </w:tcBorders>
            <w:shd w:val="clear" w:color="auto" w:fill="FFFFFF"/>
          </w:tcPr>
          <w:p w:rsidR="0033725C" w:rsidRPr="003410C7" w:rsidRDefault="0033725C" w:rsidP="00A73DBD">
            <w:pPr>
              <w:pStyle w:val="TableText"/>
              <w:rPr>
                <w:rFonts w:ascii="Segoe" w:eastAsia="Calibri" w:hAnsi="Segoe"/>
              </w:rPr>
            </w:pPr>
            <w:r w:rsidRPr="003410C7">
              <w:rPr>
                <w:rFonts w:eastAsia="Calibri" w:cs="Segoe UI"/>
                <w:b/>
                <w:sz w:val="24"/>
                <w:szCs w:val="24"/>
              </w:rPr>
              <w:sym w:font="Wingdings" w:char="00FC"/>
            </w:r>
            <w:r w:rsidRPr="003410C7">
              <w:rPr>
                <w:rFonts w:eastAsia="Calibri" w:cs="Segoe UI"/>
                <w:b/>
                <w:sz w:val="24"/>
                <w:szCs w:val="24"/>
                <w:vertAlign w:val="superscript"/>
              </w:rPr>
              <w:t>2</w:t>
            </w:r>
          </w:p>
        </w:tc>
        <w:tc>
          <w:tcPr>
            <w:tcW w:w="1152" w:type="dxa"/>
            <w:tcBorders>
              <w:top w:val="single" w:sz="6" w:space="0" w:color="1F497D"/>
              <w:left w:val="single" w:sz="6" w:space="0" w:color="1F497D"/>
              <w:bottom w:val="single" w:sz="6" w:space="0" w:color="1F497D"/>
              <w:right w:val="single" w:sz="6" w:space="0" w:color="1F497D"/>
            </w:tcBorders>
            <w:shd w:val="clear" w:color="auto" w:fill="FFFFFF"/>
          </w:tcPr>
          <w:p w:rsidR="0033725C" w:rsidRPr="003410C7" w:rsidRDefault="0033725C" w:rsidP="00A73DBD">
            <w:pPr>
              <w:pStyle w:val="TableText"/>
              <w:rPr>
                <w:rFonts w:ascii="Segoe" w:eastAsia="Calibri" w:hAnsi="Segoe"/>
              </w:rPr>
            </w:pPr>
            <w:r w:rsidRPr="003410C7">
              <w:rPr>
                <w:rFonts w:eastAsia="Calibri" w:cs="Segoe UI"/>
                <w:b/>
                <w:sz w:val="24"/>
                <w:szCs w:val="24"/>
              </w:rPr>
              <w:sym w:font="Wingdings" w:char="00FC"/>
            </w:r>
          </w:p>
        </w:tc>
        <w:tc>
          <w:tcPr>
            <w:tcW w:w="1125" w:type="dxa"/>
            <w:tcBorders>
              <w:top w:val="single" w:sz="6" w:space="0" w:color="1F497D"/>
              <w:left w:val="single" w:sz="6" w:space="0" w:color="1F497D"/>
              <w:bottom w:val="single" w:sz="6" w:space="0" w:color="1F497D"/>
              <w:right w:val="single" w:sz="6" w:space="0" w:color="1F497D"/>
            </w:tcBorders>
            <w:shd w:val="clear" w:color="auto" w:fill="FFFFFF"/>
          </w:tcPr>
          <w:p w:rsidR="0033725C" w:rsidRPr="003410C7" w:rsidRDefault="0033725C" w:rsidP="00A73DBD">
            <w:pPr>
              <w:pStyle w:val="TableText"/>
              <w:rPr>
                <w:rFonts w:eastAsia="Calibri" w:cs="Segoe UI"/>
                <w:b/>
                <w:sz w:val="24"/>
                <w:szCs w:val="24"/>
              </w:rPr>
            </w:pPr>
            <w:r w:rsidRPr="003410C7">
              <w:rPr>
                <w:rFonts w:eastAsia="Calibri" w:cs="Segoe UI"/>
                <w:b/>
                <w:sz w:val="24"/>
                <w:szCs w:val="24"/>
              </w:rPr>
              <w:sym w:font="Wingdings" w:char="00FC"/>
            </w:r>
            <w:r w:rsidRPr="003410C7">
              <w:rPr>
                <w:rFonts w:eastAsia="Calibri" w:cs="Segoe UI"/>
                <w:b/>
                <w:sz w:val="24"/>
                <w:szCs w:val="24"/>
                <w:vertAlign w:val="superscript"/>
              </w:rPr>
              <w:t>2</w:t>
            </w:r>
          </w:p>
        </w:tc>
        <w:tc>
          <w:tcPr>
            <w:tcW w:w="1305" w:type="dxa"/>
            <w:tcBorders>
              <w:top w:val="single" w:sz="6" w:space="0" w:color="1F497D"/>
              <w:left w:val="single" w:sz="6" w:space="0" w:color="1F497D"/>
              <w:bottom w:val="single" w:sz="6" w:space="0" w:color="1F497D"/>
              <w:right w:val="single" w:sz="6" w:space="0" w:color="1F497D"/>
            </w:tcBorders>
            <w:shd w:val="clear" w:color="auto" w:fill="FFFFFF"/>
          </w:tcPr>
          <w:p w:rsidR="0033725C" w:rsidRPr="003410C7" w:rsidRDefault="0033725C" w:rsidP="00A73DBD">
            <w:pPr>
              <w:pStyle w:val="TableText"/>
              <w:rPr>
                <w:rFonts w:eastAsia="Calibri" w:cs="Segoe UI"/>
                <w:b/>
                <w:sz w:val="24"/>
                <w:szCs w:val="24"/>
              </w:rPr>
            </w:pPr>
            <w:r w:rsidRPr="003410C7">
              <w:rPr>
                <w:rFonts w:eastAsia="Calibri" w:cs="Segoe UI"/>
                <w:b/>
                <w:sz w:val="24"/>
                <w:szCs w:val="24"/>
              </w:rPr>
              <w:sym w:font="Wingdings" w:char="00FC"/>
            </w:r>
          </w:p>
        </w:tc>
        <w:tc>
          <w:tcPr>
            <w:tcW w:w="1251" w:type="dxa"/>
            <w:tcBorders>
              <w:top w:val="single" w:sz="6" w:space="0" w:color="1F497D"/>
              <w:left w:val="single" w:sz="6" w:space="0" w:color="1F497D"/>
              <w:bottom w:val="single" w:sz="6" w:space="0" w:color="1F497D"/>
              <w:right w:val="single" w:sz="6" w:space="0" w:color="1F497D"/>
            </w:tcBorders>
            <w:shd w:val="clear" w:color="auto" w:fill="FFFFFF"/>
          </w:tcPr>
          <w:p w:rsidR="0033725C" w:rsidRPr="003410C7" w:rsidRDefault="0033725C" w:rsidP="00A73DBD">
            <w:pPr>
              <w:pStyle w:val="TableText"/>
              <w:rPr>
                <w:rFonts w:eastAsia="Calibri" w:cs="Segoe UI"/>
                <w:b/>
                <w:sz w:val="24"/>
                <w:szCs w:val="24"/>
              </w:rPr>
            </w:pPr>
          </w:p>
        </w:tc>
      </w:tr>
      <w:tr w:rsidR="000C172E" w:rsidRPr="003410C7" w:rsidTr="000C172E">
        <w:tc>
          <w:tcPr>
            <w:tcW w:w="2020" w:type="dxa"/>
            <w:tcBorders>
              <w:top w:val="single" w:sz="6" w:space="0" w:color="1F497D"/>
              <w:left w:val="single" w:sz="4" w:space="0" w:color="072B61"/>
              <w:bottom w:val="single" w:sz="6" w:space="0" w:color="1F497D"/>
              <w:right w:val="single" w:sz="6" w:space="0" w:color="1F497D"/>
            </w:tcBorders>
            <w:shd w:val="clear" w:color="auto" w:fill="FFFFFF"/>
          </w:tcPr>
          <w:p w:rsidR="0033725C" w:rsidRPr="00451078" w:rsidRDefault="0033725C" w:rsidP="00A73DBD">
            <w:pPr>
              <w:pStyle w:val="TableText"/>
              <w:jc w:val="left"/>
              <w:rPr>
                <w:rFonts w:ascii="Tahoma" w:eastAsia="Calibri" w:hAnsi="Tahoma" w:cs="Tahoma"/>
                <w:sz w:val="18"/>
                <w:szCs w:val="18"/>
                <w:lang w:val="it-IT"/>
              </w:rPr>
            </w:pPr>
            <w:r w:rsidRPr="00451078">
              <w:rPr>
                <w:rFonts w:ascii="Tahoma" w:eastAsia="Calibri" w:hAnsi="Tahoma" w:cs="Tahoma"/>
                <w:sz w:val="18"/>
                <w:szCs w:val="18"/>
                <w:lang w:val="it-IT"/>
              </w:rPr>
              <w:lastRenderedPageBreak/>
              <w:t>Eliminazione di Attività utilizzando l</w:t>
            </w:r>
            <w:r w:rsidR="0073727D">
              <w:rPr>
                <w:rFonts w:ascii="Tahoma" w:eastAsia="Calibri" w:hAnsi="Tahoma" w:cs="Tahoma"/>
                <w:sz w:val="18"/>
                <w:szCs w:val="18"/>
                <w:lang w:val="it-IT"/>
              </w:rPr>
              <w:t>’</w:t>
            </w:r>
            <w:r w:rsidRPr="00451078">
              <w:rPr>
                <w:rFonts w:ascii="Tahoma" w:eastAsia="Calibri" w:hAnsi="Tahoma" w:cs="Tahoma"/>
                <w:sz w:val="18"/>
                <w:szCs w:val="18"/>
                <w:lang w:val="it-IT"/>
              </w:rPr>
              <w:t>Accesso alle API</w:t>
            </w:r>
          </w:p>
        </w:tc>
        <w:tc>
          <w:tcPr>
            <w:tcW w:w="972" w:type="dxa"/>
            <w:tcBorders>
              <w:top w:val="single" w:sz="6" w:space="0" w:color="1F497D"/>
              <w:left w:val="single" w:sz="6" w:space="0" w:color="1F497D"/>
              <w:bottom w:val="single" w:sz="6" w:space="0" w:color="1F497D"/>
              <w:right w:val="single" w:sz="6" w:space="0" w:color="1F497D"/>
            </w:tcBorders>
            <w:shd w:val="clear" w:color="auto" w:fill="FFFFFF"/>
          </w:tcPr>
          <w:p w:rsidR="0033725C" w:rsidRPr="00451078" w:rsidRDefault="0033725C" w:rsidP="00A73DBD">
            <w:pPr>
              <w:pStyle w:val="TableText"/>
              <w:rPr>
                <w:rFonts w:eastAsia="Calibri" w:cs="Segoe UI"/>
                <w:b/>
                <w:sz w:val="24"/>
                <w:szCs w:val="24"/>
                <w:lang w:val="it-IT"/>
              </w:rPr>
            </w:pPr>
          </w:p>
        </w:tc>
        <w:tc>
          <w:tcPr>
            <w:tcW w:w="1053" w:type="dxa"/>
            <w:tcBorders>
              <w:top w:val="single" w:sz="6" w:space="0" w:color="1F497D"/>
              <w:left w:val="single" w:sz="6" w:space="0" w:color="1F497D"/>
              <w:bottom w:val="single" w:sz="6" w:space="0" w:color="1F497D"/>
              <w:right w:val="single" w:sz="6" w:space="0" w:color="1F497D"/>
            </w:tcBorders>
            <w:shd w:val="clear" w:color="auto" w:fill="FFFFFF"/>
          </w:tcPr>
          <w:p w:rsidR="0033725C" w:rsidRPr="003410C7" w:rsidRDefault="0033725C" w:rsidP="00A73DBD">
            <w:pPr>
              <w:pStyle w:val="TableText"/>
              <w:rPr>
                <w:rFonts w:ascii="Segoe" w:eastAsia="Calibri" w:hAnsi="Segoe"/>
              </w:rPr>
            </w:pPr>
            <w:r w:rsidRPr="003410C7">
              <w:rPr>
                <w:rFonts w:eastAsia="Calibri" w:cs="Segoe UI"/>
                <w:b/>
                <w:sz w:val="24"/>
                <w:szCs w:val="24"/>
              </w:rPr>
              <w:sym w:font="Wingdings" w:char="00FC"/>
            </w:r>
            <w:r w:rsidRPr="003410C7">
              <w:rPr>
                <w:rFonts w:eastAsia="Calibri" w:cs="Segoe UI"/>
                <w:b/>
                <w:sz w:val="24"/>
                <w:szCs w:val="24"/>
                <w:vertAlign w:val="superscript"/>
              </w:rPr>
              <w:t>2</w:t>
            </w:r>
          </w:p>
        </w:tc>
        <w:tc>
          <w:tcPr>
            <w:tcW w:w="1152" w:type="dxa"/>
            <w:tcBorders>
              <w:top w:val="single" w:sz="6" w:space="0" w:color="1F497D"/>
              <w:left w:val="single" w:sz="6" w:space="0" w:color="1F497D"/>
              <w:bottom w:val="single" w:sz="6" w:space="0" w:color="1F497D"/>
              <w:right w:val="single" w:sz="6" w:space="0" w:color="1F497D"/>
            </w:tcBorders>
            <w:shd w:val="clear" w:color="auto" w:fill="FFFFFF"/>
          </w:tcPr>
          <w:p w:rsidR="0033725C" w:rsidRPr="003410C7" w:rsidRDefault="0033725C" w:rsidP="00A73DBD">
            <w:pPr>
              <w:pStyle w:val="TableText"/>
              <w:rPr>
                <w:rFonts w:ascii="Segoe" w:eastAsia="Calibri" w:hAnsi="Segoe"/>
              </w:rPr>
            </w:pPr>
            <w:r w:rsidRPr="003410C7">
              <w:rPr>
                <w:rFonts w:eastAsia="Calibri" w:cs="Segoe UI"/>
                <w:b/>
                <w:sz w:val="24"/>
                <w:szCs w:val="24"/>
              </w:rPr>
              <w:sym w:font="Wingdings" w:char="00FC"/>
            </w:r>
          </w:p>
        </w:tc>
        <w:tc>
          <w:tcPr>
            <w:tcW w:w="1125" w:type="dxa"/>
            <w:tcBorders>
              <w:top w:val="single" w:sz="6" w:space="0" w:color="1F497D"/>
              <w:left w:val="single" w:sz="6" w:space="0" w:color="1F497D"/>
              <w:bottom w:val="single" w:sz="6" w:space="0" w:color="1F497D"/>
              <w:right w:val="single" w:sz="6" w:space="0" w:color="1F497D"/>
            </w:tcBorders>
            <w:shd w:val="clear" w:color="auto" w:fill="FFFFFF"/>
          </w:tcPr>
          <w:p w:rsidR="0033725C" w:rsidRPr="003410C7" w:rsidRDefault="0033725C" w:rsidP="00A73DBD">
            <w:pPr>
              <w:pStyle w:val="TableText"/>
              <w:rPr>
                <w:rFonts w:eastAsia="Calibri" w:cs="Segoe UI"/>
                <w:b/>
                <w:sz w:val="24"/>
                <w:szCs w:val="24"/>
              </w:rPr>
            </w:pPr>
            <w:r w:rsidRPr="003410C7">
              <w:rPr>
                <w:rFonts w:eastAsia="Calibri" w:cs="Segoe UI"/>
                <w:b/>
                <w:sz w:val="24"/>
                <w:szCs w:val="24"/>
              </w:rPr>
              <w:sym w:font="Wingdings" w:char="00FC"/>
            </w:r>
            <w:r w:rsidRPr="003410C7">
              <w:rPr>
                <w:rFonts w:eastAsia="Calibri" w:cs="Segoe UI"/>
                <w:b/>
                <w:sz w:val="24"/>
                <w:szCs w:val="24"/>
                <w:vertAlign w:val="superscript"/>
              </w:rPr>
              <w:t>2</w:t>
            </w:r>
          </w:p>
        </w:tc>
        <w:tc>
          <w:tcPr>
            <w:tcW w:w="1305" w:type="dxa"/>
            <w:tcBorders>
              <w:top w:val="single" w:sz="6" w:space="0" w:color="1F497D"/>
              <w:left w:val="single" w:sz="6" w:space="0" w:color="1F497D"/>
              <w:bottom w:val="single" w:sz="6" w:space="0" w:color="1F497D"/>
              <w:right w:val="single" w:sz="6" w:space="0" w:color="1F497D"/>
            </w:tcBorders>
            <w:shd w:val="clear" w:color="auto" w:fill="FFFFFF"/>
          </w:tcPr>
          <w:p w:rsidR="0033725C" w:rsidRPr="003410C7" w:rsidRDefault="0033725C" w:rsidP="00A73DBD">
            <w:pPr>
              <w:pStyle w:val="TableText"/>
              <w:rPr>
                <w:rFonts w:eastAsia="Calibri" w:cs="Segoe UI"/>
                <w:b/>
                <w:sz w:val="24"/>
                <w:szCs w:val="24"/>
              </w:rPr>
            </w:pPr>
            <w:r w:rsidRPr="003410C7">
              <w:rPr>
                <w:rFonts w:eastAsia="Calibri" w:cs="Segoe UI"/>
                <w:b/>
                <w:sz w:val="24"/>
                <w:szCs w:val="24"/>
              </w:rPr>
              <w:sym w:font="Wingdings" w:char="00FC"/>
            </w:r>
          </w:p>
        </w:tc>
        <w:tc>
          <w:tcPr>
            <w:tcW w:w="1251" w:type="dxa"/>
            <w:tcBorders>
              <w:top w:val="single" w:sz="6" w:space="0" w:color="1F497D"/>
              <w:left w:val="single" w:sz="6" w:space="0" w:color="1F497D"/>
              <w:bottom w:val="single" w:sz="6" w:space="0" w:color="1F497D"/>
              <w:right w:val="single" w:sz="6" w:space="0" w:color="1F497D"/>
            </w:tcBorders>
            <w:shd w:val="clear" w:color="auto" w:fill="FFFFFF"/>
          </w:tcPr>
          <w:p w:rsidR="0033725C" w:rsidRPr="003410C7" w:rsidRDefault="0033725C" w:rsidP="00A73DBD">
            <w:pPr>
              <w:pStyle w:val="TableText"/>
              <w:rPr>
                <w:rFonts w:eastAsia="Calibri" w:cs="Segoe UI"/>
                <w:b/>
                <w:sz w:val="24"/>
                <w:szCs w:val="24"/>
              </w:rPr>
            </w:pPr>
          </w:p>
        </w:tc>
      </w:tr>
      <w:tr w:rsidR="000C172E" w:rsidRPr="003410C7" w:rsidTr="000C172E">
        <w:tc>
          <w:tcPr>
            <w:tcW w:w="2020" w:type="dxa"/>
            <w:tcBorders>
              <w:top w:val="single" w:sz="6" w:space="0" w:color="1F497D"/>
              <w:left w:val="single" w:sz="4" w:space="0" w:color="072B61"/>
              <w:bottom w:val="single" w:sz="6" w:space="0" w:color="1F497D"/>
              <w:right w:val="single" w:sz="6" w:space="0" w:color="1F497D"/>
            </w:tcBorders>
            <w:shd w:val="clear" w:color="auto" w:fill="FFFFFF"/>
          </w:tcPr>
          <w:p w:rsidR="0033725C" w:rsidRPr="00451078" w:rsidRDefault="0033725C" w:rsidP="00A73DBD">
            <w:pPr>
              <w:pStyle w:val="TableText"/>
              <w:jc w:val="left"/>
              <w:rPr>
                <w:rFonts w:ascii="Tahoma" w:eastAsia="Calibri" w:hAnsi="Tahoma" w:cs="Tahoma"/>
                <w:sz w:val="18"/>
                <w:szCs w:val="18"/>
                <w:lang w:val="it-IT"/>
              </w:rPr>
            </w:pPr>
            <w:r w:rsidRPr="00451078">
              <w:rPr>
                <w:rFonts w:ascii="Tahoma" w:eastAsia="Calibri" w:hAnsi="Tahoma" w:cs="Tahoma"/>
                <w:sz w:val="18"/>
                <w:szCs w:val="18"/>
                <w:lang w:val="it-IT"/>
              </w:rPr>
              <w:t>Eliminazione di Note utilizzando l</w:t>
            </w:r>
            <w:r w:rsidR="0073727D">
              <w:rPr>
                <w:rFonts w:ascii="Tahoma" w:eastAsia="Calibri" w:hAnsi="Tahoma" w:cs="Tahoma"/>
                <w:sz w:val="18"/>
                <w:szCs w:val="18"/>
                <w:lang w:val="it-IT"/>
              </w:rPr>
              <w:t>’</w:t>
            </w:r>
            <w:r w:rsidRPr="00451078">
              <w:rPr>
                <w:rFonts w:ascii="Tahoma" w:eastAsia="Calibri" w:hAnsi="Tahoma" w:cs="Tahoma"/>
                <w:sz w:val="18"/>
                <w:szCs w:val="18"/>
                <w:lang w:val="it-IT"/>
              </w:rPr>
              <w:t>Accesso alle API</w:t>
            </w:r>
          </w:p>
        </w:tc>
        <w:tc>
          <w:tcPr>
            <w:tcW w:w="972" w:type="dxa"/>
            <w:tcBorders>
              <w:top w:val="single" w:sz="6" w:space="0" w:color="1F497D"/>
              <w:left w:val="single" w:sz="6" w:space="0" w:color="1F497D"/>
              <w:bottom w:val="single" w:sz="6" w:space="0" w:color="1F497D"/>
              <w:right w:val="single" w:sz="6" w:space="0" w:color="1F497D"/>
            </w:tcBorders>
            <w:shd w:val="clear" w:color="auto" w:fill="FFFFFF"/>
          </w:tcPr>
          <w:p w:rsidR="0033725C" w:rsidRPr="00451078" w:rsidRDefault="0033725C" w:rsidP="00A73DBD">
            <w:pPr>
              <w:pStyle w:val="TableText"/>
              <w:rPr>
                <w:rFonts w:eastAsia="Calibri" w:cs="Segoe UI"/>
                <w:b/>
                <w:sz w:val="24"/>
                <w:szCs w:val="24"/>
                <w:lang w:val="it-IT"/>
              </w:rPr>
            </w:pPr>
          </w:p>
        </w:tc>
        <w:tc>
          <w:tcPr>
            <w:tcW w:w="1053" w:type="dxa"/>
            <w:tcBorders>
              <w:top w:val="single" w:sz="6" w:space="0" w:color="1F497D"/>
              <w:left w:val="single" w:sz="6" w:space="0" w:color="1F497D"/>
              <w:bottom w:val="single" w:sz="6" w:space="0" w:color="1F497D"/>
              <w:right w:val="single" w:sz="6" w:space="0" w:color="1F497D"/>
            </w:tcBorders>
            <w:shd w:val="clear" w:color="auto" w:fill="FFFFFF"/>
          </w:tcPr>
          <w:p w:rsidR="0033725C" w:rsidRPr="003410C7" w:rsidRDefault="0033725C" w:rsidP="00A73DBD">
            <w:pPr>
              <w:pStyle w:val="TableText"/>
              <w:rPr>
                <w:rFonts w:ascii="Segoe" w:eastAsia="Calibri" w:hAnsi="Segoe"/>
              </w:rPr>
            </w:pPr>
            <w:r w:rsidRPr="003410C7">
              <w:rPr>
                <w:rFonts w:eastAsia="Calibri" w:cs="Segoe UI"/>
                <w:b/>
                <w:sz w:val="24"/>
                <w:szCs w:val="24"/>
              </w:rPr>
              <w:sym w:font="Wingdings" w:char="00FC"/>
            </w:r>
            <w:r w:rsidRPr="003410C7">
              <w:rPr>
                <w:rFonts w:eastAsia="Calibri" w:cs="Segoe UI"/>
                <w:b/>
                <w:sz w:val="24"/>
                <w:szCs w:val="24"/>
                <w:vertAlign w:val="superscript"/>
              </w:rPr>
              <w:t>2</w:t>
            </w:r>
          </w:p>
        </w:tc>
        <w:tc>
          <w:tcPr>
            <w:tcW w:w="1152" w:type="dxa"/>
            <w:tcBorders>
              <w:top w:val="single" w:sz="6" w:space="0" w:color="1F497D"/>
              <w:left w:val="single" w:sz="6" w:space="0" w:color="1F497D"/>
              <w:bottom w:val="single" w:sz="6" w:space="0" w:color="1F497D"/>
              <w:right w:val="single" w:sz="6" w:space="0" w:color="1F497D"/>
            </w:tcBorders>
            <w:shd w:val="clear" w:color="auto" w:fill="FFFFFF"/>
          </w:tcPr>
          <w:p w:rsidR="0033725C" w:rsidRPr="003410C7" w:rsidRDefault="0033725C" w:rsidP="00A73DBD">
            <w:pPr>
              <w:pStyle w:val="TableText"/>
              <w:rPr>
                <w:rFonts w:ascii="Segoe" w:eastAsia="Calibri" w:hAnsi="Segoe"/>
              </w:rPr>
            </w:pPr>
            <w:r w:rsidRPr="003410C7">
              <w:rPr>
                <w:rFonts w:eastAsia="Calibri" w:cs="Segoe UI"/>
                <w:b/>
                <w:sz w:val="24"/>
                <w:szCs w:val="24"/>
              </w:rPr>
              <w:sym w:font="Wingdings" w:char="00FC"/>
            </w:r>
          </w:p>
        </w:tc>
        <w:tc>
          <w:tcPr>
            <w:tcW w:w="1125" w:type="dxa"/>
            <w:tcBorders>
              <w:top w:val="single" w:sz="6" w:space="0" w:color="1F497D"/>
              <w:left w:val="single" w:sz="6" w:space="0" w:color="1F497D"/>
              <w:bottom w:val="single" w:sz="6" w:space="0" w:color="1F497D"/>
              <w:right w:val="single" w:sz="6" w:space="0" w:color="1F497D"/>
            </w:tcBorders>
            <w:shd w:val="clear" w:color="auto" w:fill="FFFFFF"/>
          </w:tcPr>
          <w:p w:rsidR="0033725C" w:rsidRPr="003410C7" w:rsidRDefault="0033725C" w:rsidP="00A73DBD">
            <w:pPr>
              <w:pStyle w:val="TableText"/>
              <w:rPr>
                <w:rFonts w:eastAsia="Calibri" w:cs="Segoe UI"/>
                <w:b/>
                <w:sz w:val="24"/>
                <w:szCs w:val="24"/>
              </w:rPr>
            </w:pPr>
            <w:r w:rsidRPr="003410C7">
              <w:rPr>
                <w:rFonts w:eastAsia="Calibri" w:cs="Segoe UI"/>
                <w:b/>
                <w:sz w:val="24"/>
                <w:szCs w:val="24"/>
              </w:rPr>
              <w:sym w:font="Wingdings" w:char="00FC"/>
            </w:r>
            <w:r w:rsidRPr="003410C7">
              <w:rPr>
                <w:rFonts w:eastAsia="Calibri" w:cs="Segoe UI"/>
                <w:b/>
                <w:sz w:val="24"/>
                <w:szCs w:val="24"/>
                <w:vertAlign w:val="superscript"/>
              </w:rPr>
              <w:t>2</w:t>
            </w:r>
          </w:p>
        </w:tc>
        <w:tc>
          <w:tcPr>
            <w:tcW w:w="1305" w:type="dxa"/>
            <w:tcBorders>
              <w:top w:val="single" w:sz="6" w:space="0" w:color="1F497D"/>
              <w:left w:val="single" w:sz="6" w:space="0" w:color="1F497D"/>
              <w:bottom w:val="single" w:sz="6" w:space="0" w:color="1F497D"/>
              <w:right w:val="single" w:sz="6" w:space="0" w:color="1F497D"/>
            </w:tcBorders>
            <w:shd w:val="clear" w:color="auto" w:fill="FFFFFF"/>
          </w:tcPr>
          <w:p w:rsidR="0033725C" w:rsidRPr="003410C7" w:rsidRDefault="0033725C" w:rsidP="00A73DBD">
            <w:pPr>
              <w:pStyle w:val="TableText"/>
              <w:rPr>
                <w:rFonts w:eastAsia="Calibri" w:cs="Segoe UI"/>
                <w:b/>
                <w:sz w:val="24"/>
                <w:szCs w:val="24"/>
              </w:rPr>
            </w:pPr>
            <w:r w:rsidRPr="003410C7">
              <w:rPr>
                <w:rFonts w:eastAsia="Calibri" w:cs="Segoe UI"/>
                <w:b/>
                <w:sz w:val="24"/>
                <w:szCs w:val="24"/>
              </w:rPr>
              <w:sym w:font="Wingdings" w:char="00FC"/>
            </w:r>
          </w:p>
        </w:tc>
        <w:tc>
          <w:tcPr>
            <w:tcW w:w="1251" w:type="dxa"/>
            <w:tcBorders>
              <w:top w:val="single" w:sz="6" w:space="0" w:color="1F497D"/>
              <w:left w:val="single" w:sz="6" w:space="0" w:color="1F497D"/>
              <w:bottom w:val="single" w:sz="6" w:space="0" w:color="1F497D"/>
              <w:right w:val="single" w:sz="6" w:space="0" w:color="1F497D"/>
            </w:tcBorders>
            <w:shd w:val="clear" w:color="auto" w:fill="FFFFFF"/>
          </w:tcPr>
          <w:p w:rsidR="0033725C" w:rsidRPr="003410C7" w:rsidRDefault="0033725C" w:rsidP="00A73DBD">
            <w:pPr>
              <w:pStyle w:val="TableText"/>
              <w:rPr>
                <w:rFonts w:eastAsia="Calibri" w:cs="Segoe UI"/>
                <w:b/>
                <w:sz w:val="24"/>
                <w:szCs w:val="24"/>
              </w:rPr>
            </w:pPr>
          </w:p>
        </w:tc>
      </w:tr>
      <w:tr w:rsidR="000C172E" w:rsidRPr="003410C7" w:rsidTr="000C172E">
        <w:tc>
          <w:tcPr>
            <w:tcW w:w="2020" w:type="dxa"/>
            <w:tcBorders>
              <w:top w:val="single" w:sz="6" w:space="0" w:color="1F497D"/>
              <w:left w:val="single" w:sz="4" w:space="0" w:color="072B61"/>
              <w:bottom w:val="single" w:sz="6" w:space="0" w:color="1F497D"/>
              <w:right w:val="single" w:sz="6" w:space="0" w:color="1F497D"/>
            </w:tcBorders>
            <w:shd w:val="clear" w:color="auto" w:fill="FFFFFF"/>
          </w:tcPr>
          <w:p w:rsidR="0033725C" w:rsidRPr="00451078" w:rsidRDefault="0033725C" w:rsidP="00A73DBD">
            <w:pPr>
              <w:pStyle w:val="TableText"/>
              <w:jc w:val="left"/>
              <w:rPr>
                <w:rFonts w:ascii="Tahoma" w:eastAsia="Calibri" w:hAnsi="Tahoma" w:cs="Tahoma"/>
                <w:sz w:val="18"/>
                <w:szCs w:val="18"/>
                <w:lang w:val="it-IT"/>
              </w:rPr>
            </w:pPr>
            <w:r w:rsidRPr="00451078">
              <w:rPr>
                <w:rFonts w:ascii="Tahoma" w:eastAsia="Calibri" w:hAnsi="Tahoma" w:cs="Tahoma"/>
                <w:sz w:val="18"/>
                <w:szCs w:val="18"/>
                <w:lang w:val="it-IT"/>
              </w:rPr>
              <w:t>Eliminazione di record delle persone giuridiche personalizzati utilizzando l</w:t>
            </w:r>
            <w:r w:rsidR="0073727D">
              <w:rPr>
                <w:rFonts w:ascii="Tahoma" w:eastAsia="Calibri" w:hAnsi="Tahoma" w:cs="Tahoma"/>
                <w:sz w:val="18"/>
                <w:szCs w:val="18"/>
                <w:lang w:val="it-IT"/>
              </w:rPr>
              <w:t>’</w:t>
            </w:r>
            <w:r w:rsidRPr="00451078">
              <w:rPr>
                <w:rFonts w:ascii="Tahoma" w:eastAsia="Calibri" w:hAnsi="Tahoma" w:cs="Tahoma"/>
                <w:sz w:val="18"/>
                <w:szCs w:val="18"/>
                <w:lang w:val="it-IT"/>
              </w:rPr>
              <w:t>Accesso alle API</w:t>
            </w:r>
          </w:p>
        </w:tc>
        <w:tc>
          <w:tcPr>
            <w:tcW w:w="972" w:type="dxa"/>
            <w:tcBorders>
              <w:top w:val="single" w:sz="6" w:space="0" w:color="1F497D"/>
              <w:left w:val="single" w:sz="6" w:space="0" w:color="1F497D"/>
              <w:bottom w:val="single" w:sz="6" w:space="0" w:color="1F497D"/>
              <w:right w:val="single" w:sz="6" w:space="0" w:color="1F497D"/>
            </w:tcBorders>
            <w:shd w:val="clear" w:color="auto" w:fill="FFFFFF"/>
          </w:tcPr>
          <w:p w:rsidR="0033725C" w:rsidRPr="00451078" w:rsidRDefault="0033725C" w:rsidP="00A73DBD">
            <w:pPr>
              <w:pStyle w:val="TableText"/>
              <w:rPr>
                <w:rFonts w:eastAsia="Calibri" w:cs="Segoe UI"/>
                <w:b/>
                <w:sz w:val="24"/>
                <w:szCs w:val="24"/>
                <w:lang w:val="it-IT"/>
              </w:rPr>
            </w:pPr>
          </w:p>
        </w:tc>
        <w:tc>
          <w:tcPr>
            <w:tcW w:w="1053" w:type="dxa"/>
            <w:tcBorders>
              <w:top w:val="single" w:sz="6" w:space="0" w:color="1F497D"/>
              <w:left w:val="single" w:sz="6" w:space="0" w:color="1F497D"/>
              <w:bottom w:val="single" w:sz="6" w:space="0" w:color="1F497D"/>
              <w:right w:val="single" w:sz="6" w:space="0" w:color="1F497D"/>
            </w:tcBorders>
            <w:shd w:val="clear" w:color="auto" w:fill="FFFFFF"/>
          </w:tcPr>
          <w:p w:rsidR="0033725C" w:rsidRPr="003410C7" w:rsidRDefault="0033725C" w:rsidP="00A73DBD">
            <w:pPr>
              <w:pStyle w:val="TableText"/>
              <w:rPr>
                <w:rFonts w:ascii="Segoe" w:eastAsia="Calibri" w:hAnsi="Segoe"/>
              </w:rPr>
            </w:pPr>
            <w:r w:rsidRPr="003410C7">
              <w:rPr>
                <w:rFonts w:eastAsia="Calibri" w:cs="Segoe UI"/>
                <w:b/>
                <w:sz w:val="24"/>
                <w:szCs w:val="24"/>
              </w:rPr>
              <w:sym w:font="Wingdings" w:char="00FC"/>
            </w:r>
            <w:r w:rsidRPr="003410C7">
              <w:rPr>
                <w:rFonts w:eastAsia="Calibri" w:cs="Segoe UI"/>
                <w:b/>
                <w:sz w:val="24"/>
                <w:szCs w:val="24"/>
                <w:vertAlign w:val="superscript"/>
              </w:rPr>
              <w:t>2</w:t>
            </w:r>
          </w:p>
        </w:tc>
        <w:tc>
          <w:tcPr>
            <w:tcW w:w="1152" w:type="dxa"/>
            <w:tcBorders>
              <w:top w:val="single" w:sz="6" w:space="0" w:color="1F497D"/>
              <w:left w:val="single" w:sz="6" w:space="0" w:color="1F497D"/>
              <w:bottom w:val="single" w:sz="6" w:space="0" w:color="1F497D"/>
              <w:right w:val="single" w:sz="6" w:space="0" w:color="1F497D"/>
            </w:tcBorders>
            <w:shd w:val="clear" w:color="auto" w:fill="FFFFFF"/>
          </w:tcPr>
          <w:p w:rsidR="0033725C" w:rsidRPr="003410C7" w:rsidRDefault="0033725C" w:rsidP="00A73DBD">
            <w:pPr>
              <w:pStyle w:val="TableText"/>
              <w:rPr>
                <w:rFonts w:ascii="Segoe" w:eastAsia="Calibri" w:hAnsi="Segoe"/>
              </w:rPr>
            </w:pPr>
            <w:r w:rsidRPr="003410C7">
              <w:rPr>
                <w:rFonts w:eastAsia="Calibri" w:cs="Segoe UI"/>
                <w:b/>
                <w:sz w:val="24"/>
                <w:szCs w:val="24"/>
              </w:rPr>
              <w:sym w:font="Wingdings" w:char="00FC"/>
            </w:r>
          </w:p>
        </w:tc>
        <w:tc>
          <w:tcPr>
            <w:tcW w:w="1125" w:type="dxa"/>
            <w:tcBorders>
              <w:top w:val="single" w:sz="6" w:space="0" w:color="1F497D"/>
              <w:left w:val="single" w:sz="6" w:space="0" w:color="1F497D"/>
              <w:bottom w:val="single" w:sz="6" w:space="0" w:color="1F497D"/>
              <w:right w:val="single" w:sz="6" w:space="0" w:color="1F497D"/>
            </w:tcBorders>
            <w:shd w:val="clear" w:color="auto" w:fill="FFFFFF"/>
          </w:tcPr>
          <w:p w:rsidR="0033725C" w:rsidRPr="003410C7" w:rsidRDefault="0033725C" w:rsidP="00A73DBD">
            <w:pPr>
              <w:pStyle w:val="TableText"/>
              <w:rPr>
                <w:rFonts w:eastAsia="Calibri" w:cs="Segoe UI"/>
                <w:b/>
                <w:sz w:val="24"/>
                <w:szCs w:val="24"/>
              </w:rPr>
            </w:pPr>
            <w:r w:rsidRPr="003410C7">
              <w:rPr>
                <w:rFonts w:eastAsia="Calibri" w:cs="Segoe UI"/>
                <w:b/>
                <w:sz w:val="24"/>
                <w:szCs w:val="24"/>
              </w:rPr>
              <w:sym w:font="Wingdings" w:char="00FC"/>
            </w:r>
            <w:r w:rsidRPr="003410C7">
              <w:rPr>
                <w:rFonts w:eastAsia="Calibri" w:cs="Segoe UI"/>
                <w:b/>
                <w:sz w:val="24"/>
                <w:szCs w:val="24"/>
                <w:vertAlign w:val="superscript"/>
              </w:rPr>
              <w:t>2</w:t>
            </w:r>
          </w:p>
        </w:tc>
        <w:tc>
          <w:tcPr>
            <w:tcW w:w="1305" w:type="dxa"/>
            <w:tcBorders>
              <w:top w:val="single" w:sz="6" w:space="0" w:color="1F497D"/>
              <w:left w:val="single" w:sz="6" w:space="0" w:color="1F497D"/>
              <w:bottom w:val="single" w:sz="6" w:space="0" w:color="1F497D"/>
              <w:right w:val="single" w:sz="6" w:space="0" w:color="1F497D"/>
            </w:tcBorders>
            <w:shd w:val="clear" w:color="auto" w:fill="FFFFFF"/>
          </w:tcPr>
          <w:p w:rsidR="0033725C" w:rsidRPr="003410C7" w:rsidRDefault="0033725C" w:rsidP="00A73DBD">
            <w:pPr>
              <w:pStyle w:val="TableText"/>
              <w:rPr>
                <w:rFonts w:eastAsia="Calibri" w:cs="Segoe UI"/>
                <w:b/>
                <w:sz w:val="24"/>
                <w:szCs w:val="24"/>
              </w:rPr>
            </w:pPr>
            <w:r w:rsidRPr="003410C7">
              <w:rPr>
                <w:rFonts w:eastAsia="Calibri" w:cs="Segoe UI"/>
                <w:b/>
                <w:sz w:val="24"/>
                <w:szCs w:val="24"/>
              </w:rPr>
              <w:sym w:font="Wingdings" w:char="00FC"/>
            </w:r>
          </w:p>
        </w:tc>
        <w:tc>
          <w:tcPr>
            <w:tcW w:w="1251" w:type="dxa"/>
            <w:tcBorders>
              <w:top w:val="single" w:sz="6" w:space="0" w:color="1F497D"/>
              <w:left w:val="single" w:sz="6" w:space="0" w:color="1F497D"/>
              <w:bottom w:val="single" w:sz="6" w:space="0" w:color="1F497D"/>
              <w:right w:val="single" w:sz="6" w:space="0" w:color="1F497D"/>
            </w:tcBorders>
            <w:shd w:val="clear" w:color="auto" w:fill="FFFFFF"/>
          </w:tcPr>
          <w:p w:rsidR="0033725C" w:rsidRPr="003410C7" w:rsidRDefault="0033725C" w:rsidP="00A73DBD">
            <w:pPr>
              <w:pStyle w:val="TableText"/>
              <w:rPr>
                <w:rFonts w:eastAsia="Calibri" w:cs="Segoe UI"/>
                <w:b/>
                <w:sz w:val="24"/>
                <w:szCs w:val="24"/>
              </w:rPr>
            </w:pPr>
          </w:p>
        </w:tc>
      </w:tr>
      <w:tr w:rsidR="000C172E" w:rsidRPr="003410C7" w:rsidTr="000C172E">
        <w:tc>
          <w:tcPr>
            <w:tcW w:w="2020" w:type="dxa"/>
            <w:tcBorders>
              <w:top w:val="single" w:sz="6" w:space="0" w:color="1F497D"/>
              <w:left w:val="single" w:sz="4" w:space="0" w:color="072B61"/>
              <w:bottom w:val="single" w:sz="6" w:space="0" w:color="1F497D"/>
              <w:right w:val="single" w:sz="6" w:space="0" w:color="1F497D"/>
            </w:tcBorders>
            <w:shd w:val="clear" w:color="auto" w:fill="FFFFFF"/>
          </w:tcPr>
          <w:p w:rsidR="0033725C" w:rsidRPr="00451078" w:rsidRDefault="0033725C" w:rsidP="00A73DBD">
            <w:pPr>
              <w:pStyle w:val="TableText"/>
              <w:jc w:val="left"/>
              <w:rPr>
                <w:rFonts w:ascii="Tahoma" w:eastAsia="Calibri" w:hAnsi="Tahoma" w:cs="Tahoma"/>
                <w:sz w:val="18"/>
                <w:szCs w:val="18"/>
                <w:lang w:val="it-IT"/>
              </w:rPr>
            </w:pPr>
            <w:r w:rsidRPr="00451078">
              <w:rPr>
                <w:rFonts w:ascii="Tahoma" w:eastAsia="Calibri" w:hAnsi="Tahoma" w:cs="Tahoma"/>
                <w:sz w:val="18"/>
                <w:szCs w:val="18"/>
                <w:lang w:val="it-IT"/>
              </w:rPr>
              <w:t>Assegnazione di Account utilizzando l</w:t>
            </w:r>
            <w:r w:rsidR="0073727D">
              <w:rPr>
                <w:rFonts w:ascii="Tahoma" w:eastAsia="Calibri" w:hAnsi="Tahoma" w:cs="Tahoma"/>
                <w:sz w:val="18"/>
                <w:szCs w:val="18"/>
                <w:lang w:val="it-IT"/>
              </w:rPr>
              <w:t>’</w:t>
            </w:r>
            <w:r w:rsidRPr="00451078">
              <w:rPr>
                <w:rFonts w:ascii="Tahoma" w:eastAsia="Calibri" w:hAnsi="Tahoma" w:cs="Tahoma"/>
                <w:sz w:val="18"/>
                <w:szCs w:val="18"/>
                <w:lang w:val="it-IT"/>
              </w:rPr>
              <w:t>Accesso alle API</w:t>
            </w:r>
          </w:p>
        </w:tc>
        <w:tc>
          <w:tcPr>
            <w:tcW w:w="972" w:type="dxa"/>
            <w:tcBorders>
              <w:top w:val="single" w:sz="6" w:space="0" w:color="1F497D"/>
              <w:left w:val="single" w:sz="6" w:space="0" w:color="1F497D"/>
              <w:bottom w:val="single" w:sz="6" w:space="0" w:color="1F497D"/>
              <w:right w:val="single" w:sz="6" w:space="0" w:color="1F497D"/>
            </w:tcBorders>
            <w:shd w:val="clear" w:color="auto" w:fill="FFFFFF"/>
          </w:tcPr>
          <w:p w:rsidR="0033725C" w:rsidRPr="00451078" w:rsidRDefault="0033725C" w:rsidP="00A73DBD">
            <w:pPr>
              <w:pStyle w:val="TableText"/>
              <w:rPr>
                <w:rFonts w:eastAsia="Calibri" w:cs="Segoe UI"/>
                <w:b/>
                <w:sz w:val="24"/>
                <w:szCs w:val="24"/>
                <w:lang w:val="it-IT"/>
              </w:rPr>
            </w:pPr>
          </w:p>
        </w:tc>
        <w:tc>
          <w:tcPr>
            <w:tcW w:w="1053" w:type="dxa"/>
            <w:tcBorders>
              <w:top w:val="single" w:sz="6" w:space="0" w:color="1F497D"/>
              <w:left w:val="single" w:sz="6" w:space="0" w:color="1F497D"/>
              <w:bottom w:val="single" w:sz="6" w:space="0" w:color="1F497D"/>
              <w:right w:val="single" w:sz="6" w:space="0" w:color="1F497D"/>
            </w:tcBorders>
            <w:shd w:val="clear" w:color="auto" w:fill="FFFFFF"/>
          </w:tcPr>
          <w:p w:rsidR="0033725C" w:rsidRPr="003410C7" w:rsidRDefault="0033725C" w:rsidP="00A73DBD">
            <w:pPr>
              <w:pStyle w:val="TableText"/>
              <w:rPr>
                <w:rFonts w:ascii="Segoe" w:eastAsia="Calibri" w:hAnsi="Segoe"/>
              </w:rPr>
            </w:pPr>
            <w:r w:rsidRPr="003410C7">
              <w:rPr>
                <w:rFonts w:eastAsia="Calibri" w:cs="Segoe UI"/>
                <w:b/>
                <w:sz w:val="24"/>
                <w:szCs w:val="24"/>
              </w:rPr>
              <w:sym w:font="Wingdings" w:char="00FC"/>
            </w:r>
            <w:r w:rsidRPr="003410C7">
              <w:rPr>
                <w:rFonts w:eastAsia="Calibri" w:cs="Segoe UI"/>
                <w:b/>
                <w:sz w:val="24"/>
                <w:szCs w:val="24"/>
                <w:vertAlign w:val="superscript"/>
              </w:rPr>
              <w:t>2</w:t>
            </w:r>
          </w:p>
        </w:tc>
        <w:tc>
          <w:tcPr>
            <w:tcW w:w="1152" w:type="dxa"/>
            <w:tcBorders>
              <w:top w:val="single" w:sz="6" w:space="0" w:color="1F497D"/>
              <w:left w:val="single" w:sz="6" w:space="0" w:color="1F497D"/>
              <w:bottom w:val="single" w:sz="6" w:space="0" w:color="1F497D"/>
              <w:right w:val="single" w:sz="6" w:space="0" w:color="1F497D"/>
            </w:tcBorders>
            <w:shd w:val="clear" w:color="auto" w:fill="FFFFFF"/>
          </w:tcPr>
          <w:p w:rsidR="0033725C" w:rsidRPr="003410C7" w:rsidRDefault="0033725C" w:rsidP="00A73DBD">
            <w:pPr>
              <w:pStyle w:val="TableText"/>
              <w:rPr>
                <w:rFonts w:ascii="Segoe" w:eastAsia="Calibri" w:hAnsi="Segoe"/>
              </w:rPr>
            </w:pPr>
            <w:r w:rsidRPr="003410C7">
              <w:rPr>
                <w:rFonts w:eastAsia="Calibri" w:cs="Segoe UI"/>
                <w:b/>
                <w:sz w:val="24"/>
                <w:szCs w:val="24"/>
              </w:rPr>
              <w:sym w:font="Wingdings" w:char="00FC"/>
            </w:r>
          </w:p>
        </w:tc>
        <w:tc>
          <w:tcPr>
            <w:tcW w:w="1125" w:type="dxa"/>
            <w:tcBorders>
              <w:top w:val="single" w:sz="6" w:space="0" w:color="1F497D"/>
              <w:left w:val="single" w:sz="6" w:space="0" w:color="1F497D"/>
              <w:bottom w:val="single" w:sz="6" w:space="0" w:color="1F497D"/>
              <w:right w:val="single" w:sz="6" w:space="0" w:color="1F497D"/>
            </w:tcBorders>
            <w:shd w:val="clear" w:color="auto" w:fill="FFFFFF"/>
          </w:tcPr>
          <w:p w:rsidR="0033725C" w:rsidRPr="003410C7" w:rsidRDefault="0033725C" w:rsidP="00A73DBD">
            <w:pPr>
              <w:pStyle w:val="TableText"/>
              <w:rPr>
                <w:rFonts w:eastAsia="Calibri" w:cs="Segoe UI"/>
                <w:b/>
                <w:sz w:val="24"/>
                <w:szCs w:val="24"/>
              </w:rPr>
            </w:pPr>
            <w:r w:rsidRPr="003410C7">
              <w:rPr>
                <w:rFonts w:eastAsia="Calibri" w:cs="Segoe UI"/>
                <w:b/>
                <w:sz w:val="24"/>
                <w:szCs w:val="24"/>
              </w:rPr>
              <w:sym w:font="Wingdings" w:char="00FC"/>
            </w:r>
            <w:r w:rsidRPr="003410C7">
              <w:rPr>
                <w:rFonts w:eastAsia="Calibri" w:cs="Segoe UI"/>
                <w:b/>
                <w:sz w:val="24"/>
                <w:szCs w:val="24"/>
                <w:vertAlign w:val="superscript"/>
              </w:rPr>
              <w:t>2</w:t>
            </w:r>
          </w:p>
        </w:tc>
        <w:tc>
          <w:tcPr>
            <w:tcW w:w="1305" w:type="dxa"/>
            <w:tcBorders>
              <w:top w:val="single" w:sz="6" w:space="0" w:color="1F497D"/>
              <w:left w:val="single" w:sz="6" w:space="0" w:color="1F497D"/>
              <w:bottom w:val="single" w:sz="6" w:space="0" w:color="1F497D"/>
              <w:right w:val="single" w:sz="6" w:space="0" w:color="1F497D"/>
            </w:tcBorders>
            <w:shd w:val="clear" w:color="auto" w:fill="FFFFFF"/>
          </w:tcPr>
          <w:p w:rsidR="0033725C" w:rsidRPr="003410C7" w:rsidRDefault="0033725C" w:rsidP="00A73DBD">
            <w:pPr>
              <w:pStyle w:val="TableText"/>
              <w:rPr>
                <w:rFonts w:eastAsia="Calibri" w:cs="Segoe UI"/>
                <w:b/>
                <w:sz w:val="24"/>
                <w:szCs w:val="24"/>
              </w:rPr>
            </w:pPr>
            <w:r w:rsidRPr="003410C7">
              <w:rPr>
                <w:rFonts w:eastAsia="Calibri" w:cs="Segoe UI"/>
                <w:b/>
                <w:sz w:val="24"/>
                <w:szCs w:val="24"/>
              </w:rPr>
              <w:sym w:font="Wingdings" w:char="00FC"/>
            </w:r>
          </w:p>
        </w:tc>
        <w:tc>
          <w:tcPr>
            <w:tcW w:w="1251" w:type="dxa"/>
            <w:tcBorders>
              <w:top w:val="single" w:sz="6" w:space="0" w:color="1F497D"/>
              <w:left w:val="single" w:sz="6" w:space="0" w:color="1F497D"/>
              <w:bottom w:val="single" w:sz="6" w:space="0" w:color="1F497D"/>
              <w:right w:val="single" w:sz="6" w:space="0" w:color="1F497D"/>
            </w:tcBorders>
            <w:shd w:val="clear" w:color="auto" w:fill="FFFFFF"/>
          </w:tcPr>
          <w:p w:rsidR="0033725C" w:rsidRPr="003410C7" w:rsidRDefault="0033725C" w:rsidP="00A73DBD">
            <w:pPr>
              <w:pStyle w:val="TableText"/>
              <w:rPr>
                <w:rFonts w:eastAsia="Calibri" w:cs="Segoe UI"/>
                <w:b/>
                <w:sz w:val="24"/>
                <w:szCs w:val="24"/>
              </w:rPr>
            </w:pPr>
          </w:p>
        </w:tc>
      </w:tr>
      <w:tr w:rsidR="000C172E" w:rsidRPr="003410C7" w:rsidTr="000C172E">
        <w:tc>
          <w:tcPr>
            <w:tcW w:w="2020" w:type="dxa"/>
            <w:tcBorders>
              <w:top w:val="single" w:sz="6" w:space="0" w:color="1F497D"/>
              <w:left w:val="single" w:sz="4" w:space="0" w:color="072B61"/>
              <w:bottom w:val="single" w:sz="6" w:space="0" w:color="1F497D"/>
              <w:right w:val="single" w:sz="6" w:space="0" w:color="1F497D"/>
            </w:tcBorders>
            <w:shd w:val="clear" w:color="auto" w:fill="FFFFFF"/>
          </w:tcPr>
          <w:p w:rsidR="0033725C" w:rsidRPr="00451078" w:rsidRDefault="0033725C" w:rsidP="00A73DBD">
            <w:pPr>
              <w:pStyle w:val="TableText"/>
              <w:jc w:val="left"/>
              <w:rPr>
                <w:rFonts w:ascii="Tahoma" w:eastAsia="Calibri" w:hAnsi="Tahoma" w:cs="Tahoma"/>
                <w:sz w:val="18"/>
                <w:szCs w:val="18"/>
                <w:lang w:val="it-IT"/>
              </w:rPr>
            </w:pPr>
            <w:r w:rsidRPr="00451078">
              <w:rPr>
                <w:rFonts w:ascii="Tahoma" w:eastAsia="Calibri" w:hAnsi="Tahoma" w:cs="Tahoma"/>
                <w:sz w:val="18"/>
                <w:szCs w:val="18"/>
                <w:lang w:val="it-IT"/>
              </w:rPr>
              <w:t>Assegnazione di Contatti utilizzando l</w:t>
            </w:r>
            <w:r w:rsidR="0073727D">
              <w:rPr>
                <w:rFonts w:ascii="Tahoma" w:eastAsia="Calibri" w:hAnsi="Tahoma" w:cs="Tahoma"/>
                <w:sz w:val="18"/>
                <w:szCs w:val="18"/>
                <w:lang w:val="it-IT"/>
              </w:rPr>
              <w:t>’</w:t>
            </w:r>
            <w:r w:rsidRPr="00451078">
              <w:rPr>
                <w:rFonts w:ascii="Tahoma" w:eastAsia="Calibri" w:hAnsi="Tahoma" w:cs="Tahoma"/>
                <w:sz w:val="18"/>
                <w:szCs w:val="18"/>
                <w:lang w:val="it-IT"/>
              </w:rPr>
              <w:t>Accesso alle API</w:t>
            </w:r>
          </w:p>
        </w:tc>
        <w:tc>
          <w:tcPr>
            <w:tcW w:w="972" w:type="dxa"/>
            <w:tcBorders>
              <w:top w:val="single" w:sz="6" w:space="0" w:color="1F497D"/>
              <w:left w:val="single" w:sz="6" w:space="0" w:color="1F497D"/>
              <w:bottom w:val="single" w:sz="6" w:space="0" w:color="1F497D"/>
              <w:right w:val="single" w:sz="6" w:space="0" w:color="1F497D"/>
            </w:tcBorders>
            <w:shd w:val="clear" w:color="auto" w:fill="FFFFFF"/>
          </w:tcPr>
          <w:p w:rsidR="0033725C" w:rsidRPr="00451078" w:rsidRDefault="0033725C" w:rsidP="00A73DBD">
            <w:pPr>
              <w:pStyle w:val="TableText"/>
              <w:rPr>
                <w:rFonts w:eastAsia="Calibri" w:cs="Segoe UI"/>
                <w:b/>
                <w:sz w:val="24"/>
                <w:szCs w:val="24"/>
                <w:lang w:val="it-IT"/>
              </w:rPr>
            </w:pPr>
          </w:p>
        </w:tc>
        <w:tc>
          <w:tcPr>
            <w:tcW w:w="1053" w:type="dxa"/>
            <w:tcBorders>
              <w:top w:val="single" w:sz="6" w:space="0" w:color="1F497D"/>
              <w:left w:val="single" w:sz="6" w:space="0" w:color="1F497D"/>
              <w:bottom w:val="single" w:sz="6" w:space="0" w:color="1F497D"/>
              <w:right w:val="single" w:sz="6" w:space="0" w:color="1F497D"/>
            </w:tcBorders>
            <w:shd w:val="clear" w:color="auto" w:fill="FFFFFF"/>
          </w:tcPr>
          <w:p w:rsidR="0033725C" w:rsidRPr="003410C7" w:rsidRDefault="0033725C" w:rsidP="00A73DBD">
            <w:pPr>
              <w:pStyle w:val="TableText"/>
              <w:rPr>
                <w:rFonts w:ascii="Segoe" w:eastAsia="Calibri" w:hAnsi="Segoe"/>
              </w:rPr>
            </w:pPr>
            <w:r w:rsidRPr="003410C7">
              <w:rPr>
                <w:rFonts w:eastAsia="Calibri" w:cs="Segoe UI"/>
                <w:b/>
                <w:sz w:val="24"/>
                <w:szCs w:val="24"/>
              </w:rPr>
              <w:sym w:font="Wingdings" w:char="00FC"/>
            </w:r>
            <w:r w:rsidRPr="003410C7">
              <w:rPr>
                <w:rFonts w:eastAsia="Calibri" w:cs="Segoe UI"/>
                <w:b/>
                <w:sz w:val="24"/>
                <w:szCs w:val="24"/>
                <w:vertAlign w:val="superscript"/>
              </w:rPr>
              <w:t>2</w:t>
            </w:r>
          </w:p>
        </w:tc>
        <w:tc>
          <w:tcPr>
            <w:tcW w:w="1152" w:type="dxa"/>
            <w:tcBorders>
              <w:top w:val="single" w:sz="6" w:space="0" w:color="1F497D"/>
              <w:left w:val="single" w:sz="6" w:space="0" w:color="1F497D"/>
              <w:bottom w:val="single" w:sz="6" w:space="0" w:color="1F497D"/>
              <w:right w:val="single" w:sz="6" w:space="0" w:color="1F497D"/>
            </w:tcBorders>
            <w:shd w:val="clear" w:color="auto" w:fill="FFFFFF"/>
          </w:tcPr>
          <w:p w:rsidR="0033725C" w:rsidRPr="003410C7" w:rsidRDefault="0033725C" w:rsidP="00A73DBD">
            <w:pPr>
              <w:pStyle w:val="TableText"/>
              <w:rPr>
                <w:rFonts w:ascii="Segoe" w:eastAsia="Calibri" w:hAnsi="Segoe"/>
              </w:rPr>
            </w:pPr>
            <w:r w:rsidRPr="003410C7">
              <w:rPr>
                <w:rFonts w:eastAsia="Calibri" w:cs="Segoe UI"/>
                <w:b/>
                <w:sz w:val="24"/>
                <w:szCs w:val="24"/>
              </w:rPr>
              <w:sym w:font="Wingdings" w:char="00FC"/>
            </w:r>
          </w:p>
        </w:tc>
        <w:tc>
          <w:tcPr>
            <w:tcW w:w="1125" w:type="dxa"/>
            <w:tcBorders>
              <w:top w:val="single" w:sz="6" w:space="0" w:color="1F497D"/>
              <w:left w:val="single" w:sz="6" w:space="0" w:color="1F497D"/>
              <w:bottom w:val="single" w:sz="6" w:space="0" w:color="1F497D"/>
              <w:right w:val="single" w:sz="6" w:space="0" w:color="1F497D"/>
            </w:tcBorders>
            <w:shd w:val="clear" w:color="auto" w:fill="FFFFFF"/>
          </w:tcPr>
          <w:p w:rsidR="0033725C" w:rsidRPr="003410C7" w:rsidRDefault="0033725C" w:rsidP="00A73DBD">
            <w:pPr>
              <w:pStyle w:val="TableText"/>
              <w:rPr>
                <w:rFonts w:eastAsia="Calibri" w:cs="Segoe UI"/>
                <w:b/>
                <w:sz w:val="24"/>
                <w:szCs w:val="24"/>
              </w:rPr>
            </w:pPr>
            <w:r w:rsidRPr="003410C7">
              <w:rPr>
                <w:rFonts w:eastAsia="Calibri" w:cs="Segoe UI"/>
                <w:b/>
                <w:sz w:val="24"/>
                <w:szCs w:val="24"/>
              </w:rPr>
              <w:sym w:font="Wingdings" w:char="00FC"/>
            </w:r>
            <w:r w:rsidRPr="003410C7">
              <w:rPr>
                <w:rFonts w:eastAsia="Calibri" w:cs="Segoe UI"/>
                <w:b/>
                <w:sz w:val="24"/>
                <w:szCs w:val="24"/>
                <w:vertAlign w:val="superscript"/>
              </w:rPr>
              <w:t>2</w:t>
            </w:r>
          </w:p>
        </w:tc>
        <w:tc>
          <w:tcPr>
            <w:tcW w:w="1305" w:type="dxa"/>
            <w:tcBorders>
              <w:top w:val="single" w:sz="6" w:space="0" w:color="1F497D"/>
              <w:left w:val="single" w:sz="6" w:space="0" w:color="1F497D"/>
              <w:bottom w:val="single" w:sz="6" w:space="0" w:color="1F497D"/>
              <w:right w:val="single" w:sz="6" w:space="0" w:color="1F497D"/>
            </w:tcBorders>
            <w:shd w:val="clear" w:color="auto" w:fill="FFFFFF"/>
          </w:tcPr>
          <w:p w:rsidR="0033725C" w:rsidRPr="003410C7" w:rsidRDefault="0033725C" w:rsidP="00A73DBD">
            <w:pPr>
              <w:pStyle w:val="TableText"/>
              <w:rPr>
                <w:rFonts w:eastAsia="Calibri" w:cs="Segoe UI"/>
                <w:b/>
                <w:sz w:val="24"/>
                <w:szCs w:val="24"/>
              </w:rPr>
            </w:pPr>
            <w:r w:rsidRPr="003410C7">
              <w:rPr>
                <w:rFonts w:eastAsia="Calibri" w:cs="Segoe UI"/>
                <w:b/>
                <w:sz w:val="24"/>
                <w:szCs w:val="24"/>
              </w:rPr>
              <w:sym w:font="Wingdings" w:char="00FC"/>
            </w:r>
          </w:p>
        </w:tc>
        <w:tc>
          <w:tcPr>
            <w:tcW w:w="1251" w:type="dxa"/>
            <w:tcBorders>
              <w:top w:val="single" w:sz="6" w:space="0" w:color="1F497D"/>
              <w:left w:val="single" w:sz="6" w:space="0" w:color="1F497D"/>
              <w:bottom w:val="single" w:sz="6" w:space="0" w:color="1F497D"/>
              <w:right w:val="single" w:sz="6" w:space="0" w:color="1F497D"/>
            </w:tcBorders>
            <w:shd w:val="clear" w:color="auto" w:fill="FFFFFF"/>
          </w:tcPr>
          <w:p w:rsidR="0033725C" w:rsidRPr="003410C7" w:rsidRDefault="0033725C" w:rsidP="00A73DBD">
            <w:pPr>
              <w:pStyle w:val="TableText"/>
              <w:rPr>
                <w:rFonts w:eastAsia="Calibri" w:cs="Segoe UI"/>
                <w:b/>
                <w:sz w:val="24"/>
                <w:szCs w:val="24"/>
              </w:rPr>
            </w:pPr>
          </w:p>
        </w:tc>
      </w:tr>
      <w:tr w:rsidR="000C172E" w:rsidRPr="003410C7" w:rsidTr="000C172E">
        <w:tc>
          <w:tcPr>
            <w:tcW w:w="2020" w:type="dxa"/>
            <w:tcBorders>
              <w:top w:val="single" w:sz="6" w:space="0" w:color="1F497D"/>
              <w:left w:val="single" w:sz="4" w:space="0" w:color="072B61"/>
              <w:bottom w:val="single" w:sz="6" w:space="0" w:color="1F497D"/>
              <w:right w:val="single" w:sz="6" w:space="0" w:color="1F497D"/>
            </w:tcBorders>
            <w:shd w:val="clear" w:color="auto" w:fill="FFFFFF"/>
          </w:tcPr>
          <w:p w:rsidR="0033725C" w:rsidRPr="00451078" w:rsidRDefault="0033725C" w:rsidP="00A73DBD">
            <w:pPr>
              <w:pStyle w:val="TableText"/>
              <w:jc w:val="left"/>
              <w:rPr>
                <w:rFonts w:ascii="Tahoma" w:eastAsia="Calibri" w:hAnsi="Tahoma" w:cs="Tahoma"/>
                <w:sz w:val="18"/>
                <w:szCs w:val="18"/>
                <w:lang w:val="it-IT"/>
              </w:rPr>
            </w:pPr>
            <w:r w:rsidRPr="00451078">
              <w:rPr>
                <w:rFonts w:ascii="Tahoma" w:eastAsia="Calibri" w:hAnsi="Tahoma" w:cs="Tahoma"/>
                <w:sz w:val="18"/>
                <w:szCs w:val="18"/>
                <w:lang w:val="it-IT"/>
              </w:rPr>
              <w:t>Assegnazione di Casi utilizzando l</w:t>
            </w:r>
            <w:r w:rsidR="0073727D">
              <w:rPr>
                <w:rFonts w:ascii="Tahoma" w:eastAsia="Calibri" w:hAnsi="Tahoma" w:cs="Tahoma"/>
                <w:sz w:val="18"/>
                <w:szCs w:val="18"/>
                <w:lang w:val="it-IT"/>
              </w:rPr>
              <w:t>’</w:t>
            </w:r>
            <w:r w:rsidRPr="00451078">
              <w:rPr>
                <w:rFonts w:ascii="Tahoma" w:eastAsia="Calibri" w:hAnsi="Tahoma" w:cs="Tahoma"/>
                <w:sz w:val="18"/>
                <w:szCs w:val="18"/>
                <w:lang w:val="it-IT"/>
              </w:rPr>
              <w:t>Accesso alle API</w:t>
            </w:r>
          </w:p>
        </w:tc>
        <w:tc>
          <w:tcPr>
            <w:tcW w:w="972" w:type="dxa"/>
            <w:tcBorders>
              <w:top w:val="single" w:sz="6" w:space="0" w:color="1F497D"/>
              <w:left w:val="single" w:sz="6" w:space="0" w:color="1F497D"/>
              <w:bottom w:val="single" w:sz="6" w:space="0" w:color="1F497D"/>
              <w:right w:val="single" w:sz="6" w:space="0" w:color="1F497D"/>
            </w:tcBorders>
            <w:shd w:val="clear" w:color="auto" w:fill="FFFFFF"/>
          </w:tcPr>
          <w:p w:rsidR="0033725C" w:rsidRPr="00451078" w:rsidRDefault="0033725C" w:rsidP="00A73DBD">
            <w:pPr>
              <w:pStyle w:val="TableText"/>
              <w:rPr>
                <w:rFonts w:eastAsia="Calibri" w:cs="Segoe UI"/>
                <w:b/>
                <w:sz w:val="24"/>
                <w:szCs w:val="24"/>
                <w:lang w:val="it-IT"/>
              </w:rPr>
            </w:pPr>
          </w:p>
        </w:tc>
        <w:tc>
          <w:tcPr>
            <w:tcW w:w="1053" w:type="dxa"/>
            <w:tcBorders>
              <w:top w:val="single" w:sz="6" w:space="0" w:color="1F497D"/>
              <w:left w:val="single" w:sz="6" w:space="0" w:color="1F497D"/>
              <w:bottom w:val="single" w:sz="6" w:space="0" w:color="1F497D"/>
              <w:right w:val="single" w:sz="6" w:space="0" w:color="1F497D"/>
            </w:tcBorders>
            <w:shd w:val="clear" w:color="auto" w:fill="FFFFFF"/>
          </w:tcPr>
          <w:p w:rsidR="0033725C" w:rsidRPr="003410C7" w:rsidRDefault="0033725C" w:rsidP="00A73DBD">
            <w:pPr>
              <w:pStyle w:val="TableText"/>
              <w:rPr>
                <w:rFonts w:ascii="Segoe" w:eastAsia="Calibri" w:hAnsi="Segoe"/>
              </w:rPr>
            </w:pPr>
            <w:r w:rsidRPr="003410C7">
              <w:rPr>
                <w:rFonts w:eastAsia="Calibri" w:cs="Segoe UI"/>
                <w:b/>
                <w:sz w:val="24"/>
                <w:szCs w:val="24"/>
              </w:rPr>
              <w:sym w:font="Wingdings" w:char="00FC"/>
            </w:r>
            <w:r w:rsidRPr="003410C7">
              <w:rPr>
                <w:rFonts w:eastAsia="Calibri" w:cs="Segoe UI"/>
                <w:b/>
                <w:sz w:val="24"/>
                <w:szCs w:val="24"/>
                <w:vertAlign w:val="superscript"/>
              </w:rPr>
              <w:t>2</w:t>
            </w:r>
          </w:p>
        </w:tc>
        <w:tc>
          <w:tcPr>
            <w:tcW w:w="1152" w:type="dxa"/>
            <w:tcBorders>
              <w:top w:val="single" w:sz="6" w:space="0" w:color="1F497D"/>
              <w:left w:val="single" w:sz="6" w:space="0" w:color="1F497D"/>
              <w:bottom w:val="single" w:sz="6" w:space="0" w:color="1F497D"/>
              <w:right w:val="single" w:sz="6" w:space="0" w:color="1F497D"/>
            </w:tcBorders>
            <w:shd w:val="clear" w:color="auto" w:fill="FFFFFF"/>
          </w:tcPr>
          <w:p w:rsidR="0033725C" w:rsidRPr="003410C7" w:rsidRDefault="0033725C" w:rsidP="00A73DBD">
            <w:pPr>
              <w:pStyle w:val="TableText"/>
              <w:rPr>
                <w:rFonts w:ascii="Segoe" w:eastAsia="Calibri" w:hAnsi="Segoe"/>
              </w:rPr>
            </w:pPr>
            <w:r w:rsidRPr="003410C7">
              <w:rPr>
                <w:rFonts w:eastAsia="Calibri" w:cs="Segoe UI"/>
                <w:b/>
                <w:sz w:val="24"/>
                <w:szCs w:val="24"/>
              </w:rPr>
              <w:sym w:font="Wingdings" w:char="00FC"/>
            </w:r>
          </w:p>
        </w:tc>
        <w:tc>
          <w:tcPr>
            <w:tcW w:w="1125" w:type="dxa"/>
            <w:tcBorders>
              <w:top w:val="single" w:sz="6" w:space="0" w:color="1F497D"/>
              <w:left w:val="single" w:sz="6" w:space="0" w:color="1F497D"/>
              <w:bottom w:val="single" w:sz="6" w:space="0" w:color="1F497D"/>
              <w:right w:val="single" w:sz="6" w:space="0" w:color="1F497D"/>
            </w:tcBorders>
            <w:shd w:val="clear" w:color="auto" w:fill="FFFFFF"/>
          </w:tcPr>
          <w:p w:rsidR="0033725C" w:rsidRPr="003410C7" w:rsidRDefault="0033725C" w:rsidP="00A73DBD">
            <w:pPr>
              <w:pStyle w:val="TableText"/>
              <w:rPr>
                <w:rFonts w:eastAsia="Calibri" w:cs="Segoe UI"/>
                <w:b/>
                <w:sz w:val="24"/>
                <w:szCs w:val="24"/>
              </w:rPr>
            </w:pPr>
            <w:r w:rsidRPr="003410C7">
              <w:rPr>
                <w:rFonts w:eastAsia="Calibri" w:cs="Segoe UI"/>
                <w:b/>
                <w:sz w:val="24"/>
                <w:szCs w:val="24"/>
              </w:rPr>
              <w:sym w:font="Wingdings" w:char="00FC"/>
            </w:r>
            <w:r w:rsidRPr="003410C7">
              <w:rPr>
                <w:rFonts w:eastAsia="Calibri" w:cs="Segoe UI"/>
                <w:b/>
                <w:sz w:val="24"/>
                <w:szCs w:val="24"/>
                <w:vertAlign w:val="superscript"/>
              </w:rPr>
              <w:t>2</w:t>
            </w:r>
          </w:p>
        </w:tc>
        <w:tc>
          <w:tcPr>
            <w:tcW w:w="1305" w:type="dxa"/>
            <w:tcBorders>
              <w:top w:val="single" w:sz="6" w:space="0" w:color="1F497D"/>
              <w:left w:val="single" w:sz="6" w:space="0" w:color="1F497D"/>
              <w:bottom w:val="single" w:sz="6" w:space="0" w:color="1F497D"/>
              <w:right w:val="single" w:sz="6" w:space="0" w:color="1F497D"/>
            </w:tcBorders>
            <w:shd w:val="clear" w:color="auto" w:fill="FFFFFF"/>
          </w:tcPr>
          <w:p w:rsidR="0033725C" w:rsidRPr="003410C7" w:rsidRDefault="0033725C" w:rsidP="00A73DBD">
            <w:pPr>
              <w:pStyle w:val="TableText"/>
              <w:rPr>
                <w:rFonts w:eastAsia="Calibri" w:cs="Segoe UI"/>
                <w:b/>
                <w:sz w:val="24"/>
                <w:szCs w:val="24"/>
              </w:rPr>
            </w:pPr>
            <w:r w:rsidRPr="003410C7">
              <w:rPr>
                <w:rFonts w:eastAsia="Calibri" w:cs="Segoe UI"/>
                <w:b/>
                <w:sz w:val="24"/>
                <w:szCs w:val="24"/>
              </w:rPr>
              <w:sym w:font="Wingdings" w:char="00FC"/>
            </w:r>
          </w:p>
        </w:tc>
        <w:tc>
          <w:tcPr>
            <w:tcW w:w="1251" w:type="dxa"/>
            <w:tcBorders>
              <w:top w:val="single" w:sz="6" w:space="0" w:color="1F497D"/>
              <w:left w:val="single" w:sz="6" w:space="0" w:color="1F497D"/>
              <w:bottom w:val="single" w:sz="6" w:space="0" w:color="1F497D"/>
              <w:right w:val="single" w:sz="6" w:space="0" w:color="1F497D"/>
            </w:tcBorders>
            <w:shd w:val="clear" w:color="auto" w:fill="FFFFFF"/>
          </w:tcPr>
          <w:p w:rsidR="0033725C" w:rsidRPr="003410C7" w:rsidRDefault="0033725C" w:rsidP="00A73DBD">
            <w:pPr>
              <w:pStyle w:val="TableText"/>
              <w:rPr>
                <w:rFonts w:eastAsia="Calibri" w:cs="Segoe UI"/>
                <w:b/>
                <w:sz w:val="24"/>
                <w:szCs w:val="24"/>
              </w:rPr>
            </w:pPr>
          </w:p>
        </w:tc>
      </w:tr>
      <w:tr w:rsidR="000C172E" w:rsidRPr="003410C7" w:rsidTr="000C172E">
        <w:tc>
          <w:tcPr>
            <w:tcW w:w="2020" w:type="dxa"/>
            <w:tcBorders>
              <w:top w:val="single" w:sz="6" w:space="0" w:color="1F497D"/>
              <w:left w:val="single" w:sz="4" w:space="0" w:color="072B61"/>
              <w:bottom w:val="single" w:sz="6" w:space="0" w:color="1F497D"/>
              <w:right w:val="single" w:sz="6" w:space="0" w:color="1F497D"/>
            </w:tcBorders>
            <w:shd w:val="clear" w:color="auto" w:fill="FFFFFF"/>
          </w:tcPr>
          <w:p w:rsidR="0033725C" w:rsidRPr="00451078" w:rsidRDefault="0033725C" w:rsidP="00A73DBD">
            <w:pPr>
              <w:pStyle w:val="TableText"/>
              <w:jc w:val="left"/>
              <w:rPr>
                <w:rFonts w:ascii="Tahoma" w:eastAsia="Calibri" w:hAnsi="Tahoma" w:cs="Tahoma"/>
                <w:sz w:val="18"/>
                <w:szCs w:val="18"/>
                <w:lang w:val="it-IT"/>
              </w:rPr>
            </w:pPr>
            <w:r w:rsidRPr="00451078">
              <w:rPr>
                <w:rFonts w:ascii="Tahoma" w:eastAsia="Calibri" w:hAnsi="Tahoma" w:cs="Tahoma"/>
                <w:sz w:val="18"/>
                <w:szCs w:val="18"/>
                <w:lang w:val="it-IT"/>
              </w:rPr>
              <w:t>Assegnazione di Lead utilizzando l</w:t>
            </w:r>
            <w:r w:rsidR="0073727D">
              <w:rPr>
                <w:rFonts w:ascii="Tahoma" w:eastAsia="Calibri" w:hAnsi="Tahoma" w:cs="Tahoma"/>
                <w:sz w:val="18"/>
                <w:szCs w:val="18"/>
                <w:lang w:val="it-IT"/>
              </w:rPr>
              <w:t>’</w:t>
            </w:r>
            <w:r w:rsidRPr="00451078">
              <w:rPr>
                <w:rFonts w:ascii="Tahoma" w:eastAsia="Calibri" w:hAnsi="Tahoma" w:cs="Tahoma"/>
                <w:sz w:val="18"/>
                <w:szCs w:val="18"/>
                <w:lang w:val="it-IT"/>
              </w:rPr>
              <w:t>Accesso alle API</w:t>
            </w:r>
          </w:p>
        </w:tc>
        <w:tc>
          <w:tcPr>
            <w:tcW w:w="972" w:type="dxa"/>
            <w:tcBorders>
              <w:top w:val="single" w:sz="6" w:space="0" w:color="1F497D"/>
              <w:left w:val="single" w:sz="6" w:space="0" w:color="1F497D"/>
              <w:bottom w:val="single" w:sz="6" w:space="0" w:color="1F497D"/>
              <w:right w:val="single" w:sz="6" w:space="0" w:color="1F497D"/>
            </w:tcBorders>
            <w:shd w:val="clear" w:color="auto" w:fill="FFFFFF"/>
          </w:tcPr>
          <w:p w:rsidR="0033725C" w:rsidRPr="00451078" w:rsidRDefault="0033725C" w:rsidP="00A73DBD">
            <w:pPr>
              <w:pStyle w:val="TableText"/>
              <w:rPr>
                <w:rFonts w:eastAsia="Calibri" w:cs="Segoe UI"/>
                <w:b/>
                <w:sz w:val="24"/>
                <w:szCs w:val="24"/>
                <w:lang w:val="it-IT"/>
              </w:rPr>
            </w:pPr>
          </w:p>
        </w:tc>
        <w:tc>
          <w:tcPr>
            <w:tcW w:w="1053" w:type="dxa"/>
            <w:tcBorders>
              <w:top w:val="single" w:sz="6" w:space="0" w:color="1F497D"/>
              <w:left w:val="single" w:sz="6" w:space="0" w:color="1F497D"/>
              <w:bottom w:val="single" w:sz="6" w:space="0" w:color="1F497D"/>
              <w:right w:val="single" w:sz="6" w:space="0" w:color="1F497D"/>
            </w:tcBorders>
            <w:shd w:val="clear" w:color="auto" w:fill="FFFFFF"/>
          </w:tcPr>
          <w:p w:rsidR="0033725C" w:rsidRPr="003410C7" w:rsidRDefault="0033725C" w:rsidP="00A73DBD">
            <w:pPr>
              <w:pStyle w:val="TableText"/>
              <w:rPr>
                <w:rFonts w:ascii="Segoe" w:eastAsia="Calibri" w:hAnsi="Segoe"/>
              </w:rPr>
            </w:pPr>
            <w:r w:rsidRPr="003410C7">
              <w:rPr>
                <w:rFonts w:eastAsia="Calibri" w:cs="Segoe UI"/>
                <w:b/>
                <w:sz w:val="24"/>
                <w:szCs w:val="24"/>
              </w:rPr>
              <w:sym w:font="Wingdings" w:char="00FC"/>
            </w:r>
            <w:r w:rsidRPr="003410C7">
              <w:rPr>
                <w:rFonts w:eastAsia="Calibri" w:cs="Segoe UI"/>
                <w:b/>
                <w:sz w:val="24"/>
                <w:szCs w:val="24"/>
                <w:vertAlign w:val="superscript"/>
              </w:rPr>
              <w:t>2</w:t>
            </w:r>
          </w:p>
        </w:tc>
        <w:tc>
          <w:tcPr>
            <w:tcW w:w="1152" w:type="dxa"/>
            <w:tcBorders>
              <w:top w:val="single" w:sz="6" w:space="0" w:color="1F497D"/>
              <w:left w:val="single" w:sz="6" w:space="0" w:color="1F497D"/>
              <w:bottom w:val="single" w:sz="6" w:space="0" w:color="1F497D"/>
              <w:right w:val="single" w:sz="6" w:space="0" w:color="1F497D"/>
            </w:tcBorders>
            <w:shd w:val="clear" w:color="auto" w:fill="FFFFFF"/>
          </w:tcPr>
          <w:p w:rsidR="0033725C" w:rsidRPr="003410C7" w:rsidRDefault="0033725C" w:rsidP="00A73DBD">
            <w:pPr>
              <w:pStyle w:val="TableText"/>
              <w:rPr>
                <w:rFonts w:ascii="Segoe" w:eastAsia="Calibri" w:hAnsi="Segoe"/>
              </w:rPr>
            </w:pPr>
            <w:r w:rsidRPr="003410C7">
              <w:rPr>
                <w:rFonts w:eastAsia="Calibri" w:cs="Segoe UI"/>
                <w:b/>
                <w:sz w:val="24"/>
                <w:szCs w:val="24"/>
              </w:rPr>
              <w:sym w:font="Wingdings" w:char="00FC"/>
            </w:r>
          </w:p>
        </w:tc>
        <w:tc>
          <w:tcPr>
            <w:tcW w:w="1125" w:type="dxa"/>
            <w:tcBorders>
              <w:top w:val="single" w:sz="6" w:space="0" w:color="1F497D"/>
              <w:left w:val="single" w:sz="6" w:space="0" w:color="1F497D"/>
              <w:bottom w:val="single" w:sz="6" w:space="0" w:color="1F497D"/>
              <w:right w:val="single" w:sz="6" w:space="0" w:color="1F497D"/>
            </w:tcBorders>
            <w:shd w:val="clear" w:color="auto" w:fill="FFFFFF"/>
          </w:tcPr>
          <w:p w:rsidR="0033725C" w:rsidRPr="003410C7" w:rsidRDefault="0033725C" w:rsidP="00A73DBD">
            <w:pPr>
              <w:pStyle w:val="TableText"/>
              <w:rPr>
                <w:rFonts w:eastAsia="Calibri" w:cs="Segoe UI"/>
                <w:b/>
                <w:sz w:val="24"/>
                <w:szCs w:val="24"/>
              </w:rPr>
            </w:pPr>
            <w:r w:rsidRPr="003410C7">
              <w:rPr>
                <w:rFonts w:eastAsia="Calibri" w:cs="Segoe UI"/>
                <w:b/>
                <w:sz w:val="24"/>
                <w:szCs w:val="24"/>
              </w:rPr>
              <w:sym w:font="Wingdings" w:char="00FC"/>
            </w:r>
            <w:r w:rsidRPr="003410C7">
              <w:rPr>
                <w:rFonts w:eastAsia="Calibri" w:cs="Segoe UI"/>
                <w:b/>
                <w:sz w:val="24"/>
                <w:szCs w:val="24"/>
                <w:vertAlign w:val="superscript"/>
              </w:rPr>
              <w:t>2</w:t>
            </w:r>
          </w:p>
        </w:tc>
        <w:tc>
          <w:tcPr>
            <w:tcW w:w="1305" w:type="dxa"/>
            <w:tcBorders>
              <w:top w:val="single" w:sz="6" w:space="0" w:color="1F497D"/>
              <w:left w:val="single" w:sz="6" w:space="0" w:color="1F497D"/>
              <w:bottom w:val="single" w:sz="6" w:space="0" w:color="1F497D"/>
              <w:right w:val="single" w:sz="6" w:space="0" w:color="1F497D"/>
            </w:tcBorders>
            <w:shd w:val="clear" w:color="auto" w:fill="FFFFFF"/>
          </w:tcPr>
          <w:p w:rsidR="0033725C" w:rsidRPr="003410C7" w:rsidRDefault="0033725C" w:rsidP="00A73DBD">
            <w:pPr>
              <w:pStyle w:val="TableText"/>
              <w:rPr>
                <w:rFonts w:eastAsia="Calibri" w:cs="Segoe UI"/>
                <w:b/>
                <w:sz w:val="24"/>
                <w:szCs w:val="24"/>
              </w:rPr>
            </w:pPr>
            <w:r w:rsidRPr="003410C7">
              <w:rPr>
                <w:rFonts w:eastAsia="Calibri" w:cs="Segoe UI"/>
                <w:b/>
                <w:sz w:val="24"/>
                <w:szCs w:val="24"/>
              </w:rPr>
              <w:sym w:font="Wingdings" w:char="00FC"/>
            </w:r>
          </w:p>
        </w:tc>
        <w:tc>
          <w:tcPr>
            <w:tcW w:w="1251" w:type="dxa"/>
            <w:tcBorders>
              <w:top w:val="single" w:sz="6" w:space="0" w:color="1F497D"/>
              <w:left w:val="single" w:sz="6" w:space="0" w:color="1F497D"/>
              <w:bottom w:val="single" w:sz="6" w:space="0" w:color="1F497D"/>
              <w:right w:val="single" w:sz="6" w:space="0" w:color="1F497D"/>
            </w:tcBorders>
            <w:shd w:val="clear" w:color="auto" w:fill="FFFFFF"/>
          </w:tcPr>
          <w:p w:rsidR="0033725C" w:rsidRPr="003410C7" w:rsidRDefault="0033725C" w:rsidP="00A73DBD">
            <w:pPr>
              <w:pStyle w:val="TableText"/>
              <w:rPr>
                <w:rFonts w:eastAsia="Calibri" w:cs="Segoe UI"/>
                <w:b/>
                <w:sz w:val="24"/>
                <w:szCs w:val="24"/>
              </w:rPr>
            </w:pPr>
          </w:p>
        </w:tc>
      </w:tr>
      <w:tr w:rsidR="000C172E" w:rsidRPr="003410C7" w:rsidTr="000C172E">
        <w:tc>
          <w:tcPr>
            <w:tcW w:w="2020" w:type="dxa"/>
            <w:tcBorders>
              <w:top w:val="single" w:sz="6" w:space="0" w:color="1F497D"/>
              <w:left w:val="single" w:sz="4" w:space="0" w:color="072B61"/>
              <w:bottom w:val="single" w:sz="6" w:space="0" w:color="1F497D"/>
              <w:right w:val="single" w:sz="6" w:space="0" w:color="1F497D"/>
            </w:tcBorders>
            <w:shd w:val="clear" w:color="auto" w:fill="FFFFFF"/>
          </w:tcPr>
          <w:p w:rsidR="0033725C" w:rsidRPr="00451078" w:rsidRDefault="0033725C" w:rsidP="00A73DBD">
            <w:pPr>
              <w:pStyle w:val="TableText"/>
              <w:jc w:val="left"/>
              <w:rPr>
                <w:rFonts w:ascii="Tahoma" w:eastAsia="Calibri" w:hAnsi="Tahoma" w:cs="Tahoma"/>
                <w:sz w:val="18"/>
                <w:szCs w:val="18"/>
                <w:lang w:val="it-IT"/>
              </w:rPr>
            </w:pPr>
            <w:r w:rsidRPr="00451078">
              <w:rPr>
                <w:rFonts w:ascii="Tahoma" w:eastAsia="Calibri" w:hAnsi="Tahoma" w:cs="Tahoma"/>
                <w:sz w:val="18"/>
                <w:szCs w:val="18"/>
                <w:lang w:val="it-IT"/>
              </w:rPr>
              <w:t>Assegnazione di Attività utilizzando l</w:t>
            </w:r>
            <w:r w:rsidR="0073727D">
              <w:rPr>
                <w:rFonts w:ascii="Tahoma" w:eastAsia="Calibri" w:hAnsi="Tahoma" w:cs="Tahoma"/>
                <w:sz w:val="18"/>
                <w:szCs w:val="18"/>
                <w:lang w:val="it-IT"/>
              </w:rPr>
              <w:t>’</w:t>
            </w:r>
            <w:r w:rsidRPr="00451078">
              <w:rPr>
                <w:rFonts w:ascii="Tahoma" w:eastAsia="Calibri" w:hAnsi="Tahoma" w:cs="Tahoma"/>
                <w:sz w:val="18"/>
                <w:szCs w:val="18"/>
                <w:lang w:val="it-IT"/>
              </w:rPr>
              <w:t>Accesso alle API</w:t>
            </w:r>
          </w:p>
        </w:tc>
        <w:tc>
          <w:tcPr>
            <w:tcW w:w="972" w:type="dxa"/>
            <w:tcBorders>
              <w:top w:val="single" w:sz="6" w:space="0" w:color="1F497D"/>
              <w:left w:val="single" w:sz="6" w:space="0" w:color="1F497D"/>
              <w:bottom w:val="single" w:sz="6" w:space="0" w:color="1F497D"/>
              <w:right w:val="single" w:sz="6" w:space="0" w:color="1F497D"/>
            </w:tcBorders>
            <w:shd w:val="clear" w:color="auto" w:fill="FFFFFF"/>
          </w:tcPr>
          <w:p w:rsidR="0033725C" w:rsidRPr="00451078" w:rsidRDefault="0033725C" w:rsidP="00A73DBD">
            <w:pPr>
              <w:pStyle w:val="TableText"/>
              <w:rPr>
                <w:rFonts w:eastAsia="Calibri" w:cs="Segoe UI"/>
                <w:b/>
                <w:sz w:val="24"/>
                <w:szCs w:val="24"/>
                <w:lang w:val="it-IT"/>
              </w:rPr>
            </w:pPr>
          </w:p>
        </w:tc>
        <w:tc>
          <w:tcPr>
            <w:tcW w:w="1053" w:type="dxa"/>
            <w:tcBorders>
              <w:top w:val="single" w:sz="6" w:space="0" w:color="1F497D"/>
              <w:left w:val="single" w:sz="6" w:space="0" w:color="1F497D"/>
              <w:bottom w:val="single" w:sz="6" w:space="0" w:color="1F497D"/>
              <w:right w:val="single" w:sz="6" w:space="0" w:color="1F497D"/>
            </w:tcBorders>
            <w:shd w:val="clear" w:color="auto" w:fill="FFFFFF"/>
          </w:tcPr>
          <w:p w:rsidR="0033725C" w:rsidRPr="003410C7" w:rsidRDefault="0033725C" w:rsidP="00A73DBD">
            <w:pPr>
              <w:pStyle w:val="TableText"/>
              <w:rPr>
                <w:rFonts w:ascii="Segoe" w:eastAsia="Calibri" w:hAnsi="Segoe"/>
              </w:rPr>
            </w:pPr>
            <w:r w:rsidRPr="003410C7">
              <w:rPr>
                <w:rFonts w:eastAsia="Calibri" w:cs="Segoe UI"/>
                <w:b/>
                <w:sz w:val="24"/>
                <w:szCs w:val="24"/>
              </w:rPr>
              <w:sym w:font="Wingdings" w:char="00FC"/>
            </w:r>
            <w:r w:rsidRPr="003410C7">
              <w:rPr>
                <w:rFonts w:eastAsia="Calibri" w:cs="Segoe UI"/>
                <w:b/>
                <w:sz w:val="24"/>
                <w:szCs w:val="24"/>
                <w:vertAlign w:val="superscript"/>
              </w:rPr>
              <w:t>2</w:t>
            </w:r>
          </w:p>
        </w:tc>
        <w:tc>
          <w:tcPr>
            <w:tcW w:w="1152" w:type="dxa"/>
            <w:tcBorders>
              <w:top w:val="single" w:sz="6" w:space="0" w:color="1F497D"/>
              <w:left w:val="single" w:sz="6" w:space="0" w:color="1F497D"/>
              <w:bottom w:val="single" w:sz="6" w:space="0" w:color="1F497D"/>
              <w:right w:val="single" w:sz="6" w:space="0" w:color="1F497D"/>
            </w:tcBorders>
            <w:shd w:val="clear" w:color="auto" w:fill="FFFFFF"/>
          </w:tcPr>
          <w:p w:rsidR="0033725C" w:rsidRPr="003410C7" w:rsidRDefault="0033725C" w:rsidP="00A73DBD">
            <w:pPr>
              <w:pStyle w:val="TableText"/>
              <w:rPr>
                <w:rFonts w:ascii="Segoe" w:eastAsia="Calibri" w:hAnsi="Segoe"/>
              </w:rPr>
            </w:pPr>
            <w:r w:rsidRPr="003410C7">
              <w:rPr>
                <w:rFonts w:eastAsia="Calibri" w:cs="Segoe UI"/>
                <w:b/>
                <w:sz w:val="24"/>
                <w:szCs w:val="24"/>
              </w:rPr>
              <w:sym w:font="Wingdings" w:char="00FC"/>
            </w:r>
          </w:p>
        </w:tc>
        <w:tc>
          <w:tcPr>
            <w:tcW w:w="1125" w:type="dxa"/>
            <w:tcBorders>
              <w:top w:val="single" w:sz="6" w:space="0" w:color="1F497D"/>
              <w:left w:val="single" w:sz="6" w:space="0" w:color="1F497D"/>
              <w:bottom w:val="single" w:sz="6" w:space="0" w:color="1F497D"/>
              <w:right w:val="single" w:sz="6" w:space="0" w:color="1F497D"/>
            </w:tcBorders>
            <w:shd w:val="clear" w:color="auto" w:fill="FFFFFF"/>
          </w:tcPr>
          <w:p w:rsidR="0033725C" w:rsidRPr="003410C7" w:rsidRDefault="0033725C" w:rsidP="00A73DBD">
            <w:pPr>
              <w:pStyle w:val="TableText"/>
              <w:rPr>
                <w:rFonts w:eastAsia="Calibri" w:cs="Segoe UI"/>
                <w:b/>
                <w:sz w:val="24"/>
                <w:szCs w:val="24"/>
              </w:rPr>
            </w:pPr>
            <w:r w:rsidRPr="003410C7">
              <w:rPr>
                <w:rFonts w:eastAsia="Calibri" w:cs="Segoe UI"/>
                <w:b/>
                <w:sz w:val="24"/>
                <w:szCs w:val="24"/>
              </w:rPr>
              <w:sym w:font="Wingdings" w:char="00FC"/>
            </w:r>
            <w:r w:rsidRPr="003410C7">
              <w:rPr>
                <w:rFonts w:eastAsia="Calibri" w:cs="Segoe UI"/>
                <w:b/>
                <w:sz w:val="24"/>
                <w:szCs w:val="24"/>
                <w:vertAlign w:val="superscript"/>
              </w:rPr>
              <w:t>2</w:t>
            </w:r>
          </w:p>
        </w:tc>
        <w:tc>
          <w:tcPr>
            <w:tcW w:w="1305" w:type="dxa"/>
            <w:tcBorders>
              <w:top w:val="single" w:sz="6" w:space="0" w:color="1F497D"/>
              <w:left w:val="single" w:sz="6" w:space="0" w:color="1F497D"/>
              <w:bottom w:val="single" w:sz="6" w:space="0" w:color="1F497D"/>
              <w:right w:val="single" w:sz="6" w:space="0" w:color="1F497D"/>
            </w:tcBorders>
            <w:shd w:val="clear" w:color="auto" w:fill="FFFFFF"/>
          </w:tcPr>
          <w:p w:rsidR="0033725C" w:rsidRPr="003410C7" w:rsidRDefault="0033725C" w:rsidP="00A73DBD">
            <w:pPr>
              <w:pStyle w:val="TableText"/>
              <w:rPr>
                <w:rFonts w:eastAsia="Calibri" w:cs="Segoe UI"/>
                <w:b/>
                <w:sz w:val="24"/>
                <w:szCs w:val="24"/>
              </w:rPr>
            </w:pPr>
            <w:r w:rsidRPr="003410C7">
              <w:rPr>
                <w:rFonts w:eastAsia="Calibri" w:cs="Segoe UI"/>
                <w:b/>
                <w:sz w:val="24"/>
                <w:szCs w:val="24"/>
              </w:rPr>
              <w:sym w:font="Wingdings" w:char="00FC"/>
            </w:r>
          </w:p>
        </w:tc>
        <w:tc>
          <w:tcPr>
            <w:tcW w:w="1251" w:type="dxa"/>
            <w:tcBorders>
              <w:top w:val="single" w:sz="6" w:space="0" w:color="1F497D"/>
              <w:left w:val="single" w:sz="6" w:space="0" w:color="1F497D"/>
              <w:bottom w:val="single" w:sz="6" w:space="0" w:color="1F497D"/>
              <w:right w:val="single" w:sz="6" w:space="0" w:color="1F497D"/>
            </w:tcBorders>
            <w:shd w:val="clear" w:color="auto" w:fill="FFFFFF"/>
          </w:tcPr>
          <w:p w:rsidR="0033725C" w:rsidRPr="003410C7" w:rsidRDefault="0033725C" w:rsidP="00A73DBD">
            <w:pPr>
              <w:pStyle w:val="TableText"/>
              <w:rPr>
                <w:rFonts w:eastAsia="Calibri" w:cs="Segoe UI"/>
                <w:b/>
                <w:sz w:val="24"/>
                <w:szCs w:val="24"/>
              </w:rPr>
            </w:pPr>
          </w:p>
        </w:tc>
      </w:tr>
      <w:tr w:rsidR="000C172E" w:rsidRPr="003410C7" w:rsidTr="000C172E">
        <w:tc>
          <w:tcPr>
            <w:tcW w:w="2020" w:type="dxa"/>
            <w:tcBorders>
              <w:top w:val="single" w:sz="6" w:space="0" w:color="1F497D"/>
              <w:left w:val="single" w:sz="4" w:space="0" w:color="072B61"/>
              <w:bottom w:val="single" w:sz="6" w:space="0" w:color="1F497D"/>
              <w:right w:val="single" w:sz="6" w:space="0" w:color="1F497D"/>
            </w:tcBorders>
            <w:shd w:val="clear" w:color="auto" w:fill="FFFFFF"/>
          </w:tcPr>
          <w:p w:rsidR="0033725C" w:rsidRPr="00451078" w:rsidRDefault="0033725C" w:rsidP="00A73DBD">
            <w:pPr>
              <w:pStyle w:val="TableText"/>
              <w:jc w:val="left"/>
              <w:rPr>
                <w:rFonts w:ascii="Tahoma" w:eastAsia="Calibri" w:hAnsi="Tahoma" w:cs="Tahoma"/>
                <w:sz w:val="18"/>
                <w:szCs w:val="18"/>
                <w:lang w:val="it-IT"/>
              </w:rPr>
            </w:pPr>
            <w:r w:rsidRPr="00451078">
              <w:rPr>
                <w:rFonts w:ascii="Tahoma" w:eastAsia="Calibri" w:hAnsi="Tahoma" w:cs="Tahoma"/>
                <w:sz w:val="18"/>
                <w:szCs w:val="18"/>
                <w:lang w:val="it-IT"/>
              </w:rPr>
              <w:t>Assegnazione di record delle persone giuridiche personalizzati utilizzando l</w:t>
            </w:r>
            <w:r w:rsidR="0073727D">
              <w:rPr>
                <w:rFonts w:ascii="Tahoma" w:eastAsia="Calibri" w:hAnsi="Tahoma" w:cs="Tahoma"/>
                <w:sz w:val="18"/>
                <w:szCs w:val="18"/>
                <w:lang w:val="it-IT"/>
              </w:rPr>
              <w:t>’</w:t>
            </w:r>
            <w:r w:rsidRPr="00451078">
              <w:rPr>
                <w:rFonts w:ascii="Tahoma" w:eastAsia="Calibri" w:hAnsi="Tahoma" w:cs="Tahoma"/>
                <w:sz w:val="18"/>
                <w:szCs w:val="18"/>
                <w:lang w:val="it-IT"/>
              </w:rPr>
              <w:t>Accesso alle API</w:t>
            </w:r>
          </w:p>
        </w:tc>
        <w:tc>
          <w:tcPr>
            <w:tcW w:w="972" w:type="dxa"/>
            <w:tcBorders>
              <w:top w:val="single" w:sz="6" w:space="0" w:color="1F497D"/>
              <w:left w:val="single" w:sz="6" w:space="0" w:color="1F497D"/>
              <w:bottom w:val="single" w:sz="6" w:space="0" w:color="1F497D"/>
              <w:right w:val="single" w:sz="6" w:space="0" w:color="1F497D"/>
            </w:tcBorders>
            <w:shd w:val="clear" w:color="auto" w:fill="FFFFFF"/>
          </w:tcPr>
          <w:p w:rsidR="0033725C" w:rsidRPr="00451078" w:rsidRDefault="0033725C" w:rsidP="00A73DBD">
            <w:pPr>
              <w:pStyle w:val="TableText"/>
              <w:rPr>
                <w:rFonts w:eastAsia="Calibri" w:cs="Segoe UI"/>
                <w:b/>
                <w:sz w:val="24"/>
                <w:szCs w:val="24"/>
                <w:lang w:val="it-IT"/>
              </w:rPr>
            </w:pPr>
          </w:p>
        </w:tc>
        <w:tc>
          <w:tcPr>
            <w:tcW w:w="1053" w:type="dxa"/>
            <w:tcBorders>
              <w:top w:val="single" w:sz="6" w:space="0" w:color="1F497D"/>
              <w:left w:val="single" w:sz="6" w:space="0" w:color="1F497D"/>
              <w:bottom w:val="single" w:sz="6" w:space="0" w:color="1F497D"/>
              <w:right w:val="single" w:sz="6" w:space="0" w:color="1F497D"/>
            </w:tcBorders>
            <w:shd w:val="clear" w:color="auto" w:fill="FFFFFF"/>
          </w:tcPr>
          <w:p w:rsidR="0033725C" w:rsidRPr="003410C7" w:rsidRDefault="0033725C" w:rsidP="00A73DBD">
            <w:pPr>
              <w:pStyle w:val="TableText"/>
              <w:rPr>
                <w:rFonts w:ascii="Segoe" w:eastAsia="Calibri" w:hAnsi="Segoe"/>
              </w:rPr>
            </w:pPr>
            <w:r w:rsidRPr="003410C7">
              <w:rPr>
                <w:rFonts w:eastAsia="Calibri" w:cs="Segoe UI"/>
                <w:b/>
                <w:sz w:val="24"/>
                <w:szCs w:val="24"/>
              </w:rPr>
              <w:sym w:font="Wingdings" w:char="00FC"/>
            </w:r>
            <w:r w:rsidRPr="003410C7">
              <w:rPr>
                <w:rFonts w:eastAsia="Calibri" w:cs="Segoe UI"/>
                <w:b/>
                <w:sz w:val="24"/>
                <w:szCs w:val="24"/>
                <w:vertAlign w:val="superscript"/>
              </w:rPr>
              <w:t>2</w:t>
            </w:r>
          </w:p>
        </w:tc>
        <w:tc>
          <w:tcPr>
            <w:tcW w:w="1152" w:type="dxa"/>
            <w:tcBorders>
              <w:top w:val="single" w:sz="6" w:space="0" w:color="1F497D"/>
              <w:left w:val="single" w:sz="6" w:space="0" w:color="1F497D"/>
              <w:bottom w:val="single" w:sz="6" w:space="0" w:color="1F497D"/>
              <w:right w:val="single" w:sz="6" w:space="0" w:color="1F497D"/>
            </w:tcBorders>
            <w:shd w:val="clear" w:color="auto" w:fill="FFFFFF"/>
          </w:tcPr>
          <w:p w:rsidR="0033725C" w:rsidRPr="003410C7" w:rsidRDefault="0033725C" w:rsidP="00A73DBD">
            <w:pPr>
              <w:pStyle w:val="TableText"/>
              <w:rPr>
                <w:rFonts w:ascii="Segoe" w:eastAsia="Calibri" w:hAnsi="Segoe"/>
              </w:rPr>
            </w:pPr>
            <w:r w:rsidRPr="003410C7">
              <w:rPr>
                <w:rFonts w:eastAsia="Calibri" w:cs="Segoe UI"/>
                <w:b/>
                <w:sz w:val="24"/>
                <w:szCs w:val="24"/>
              </w:rPr>
              <w:sym w:font="Wingdings" w:char="00FC"/>
            </w:r>
          </w:p>
        </w:tc>
        <w:tc>
          <w:tcPr>
            <w:tcW w:w="1125" w:type="dxa"/>
            <w:tcBorders>
              <w:top w:val="single" w:sz="6" w:space="0" w:color="1F497D"/>
              <w:left w:val="single" w:sz="6" w:space="0" w:color="1F497D"/>
              <w:bottom w:val="single" w:sz="6" w:space="0" w:color="1F497D"/>
              <w:right w:val="single" w:sz="6" w:space="0" w:color="1F497D"/>
            </w:tcBorders>
            <w:shd w:val="clear" w:color="auto" w:fill="FFFFFF"/>
          </w:tcPr>
          <w:p w:rsidR="0033725C" w:rsidRPr="003410C7" w:rsidRDefault="0033725C" w:rsidP="00A73DBD">
            <w:pPr>
              <w:pStyle w:val="TableText"/>
              <w:rPr>
                <w:rFonts w:eastAsia="Calibri" w:cs="Segoe UI"/>
                <w:b/>
                <w:sz w:val="24"/>
                <w:szCs w:val="24"/>
              </w:rPr>
            </w:pPr>
            <w:r w:rsidRPr="003410C7">
              <w:rPr>
                <w:rFonts w:eastAsia="Calibri" w:cs="Segoe UI"/>
                <w:b/>
                <w:sz w:val="24"/>
                <w:szCs w:val="24"/>
              </w:rPr>
              <w:sym w:font="Wingdings" w:char="00FC"/>
            </w:r>
            <w:r w:rsidRPr="003410C7">
              <w:rPr>
                <w:rFonts w:eastAsia="Calibri" w:cs="Segoe UI"/>
                <w:b/>
                <w:sz w:val="24"/>
                <w:szCs w:val="24"/>
                <w:vertAlign w:val="superscript"/>
              </w:rPr>
              <w:t>2</w:t>
            </w:r>
          </w:p>
        </w:tc>
        <w:tc>
          <w:tcPr>
            <w:tcW w:w="1305" w:type="dxa"/>
            <w:tcBorders>
              <w:top w:val="single" w:sz="6" w:space="0" w:color="1F497D"/>
              <w:left w:val="single" w:sz="6" w:space="0" w:color="1F497D"/>
              <w:bottom w:val="single" w:sz="6" w:space="0" w:color="1F497D"/>
              <w:right w:val="single" w:sz="6" w:space="0" w:color="1F497D"/>
            </w:tcBorders>
            <w:shd w:val="clear" w:color="auto" w:fill="FFFFFF"/>
          </w:tcPr>
          <w:p w:rsidR="0033725C" w:rsidRPr="003410C7" w:rsidRDefault="0033725C" w:rsidP="00A73DBD">
            <w:pPr>
              <w:pStyle w:val="TableText"/>
              <w:rPr>
                <w:rFonts w:eastAsia="Calibri" w:cs="Segoe UI"/>
                <w:b/>
                <w:sz w:val="24"/>
                <w:szCs w:val="24"/>
              </w:rPr>
            </w:pPr>
            <w:r w:rsidRPr="003410C7">
              <w:rPr>
                <w:rFonts w:eastAsia="Calibri" w:cs="Segoe UI"/>
                <w:b/>
                <w:sz w:val="24"/>
                <w:szCs w:val="24"/>
              </w:rPr>
              <w:sym w:font="Wingdings" w:char="00FC"/>
            </w:r>
          </w:p>
        </w:tc>
        <w:tc>
          <w:tcPr>
            <w:tcW w:w="1251" w:type="dxa"/>
            <w:tcBorders>
              <w:top w:val="single" w:sz="6" w:space="0" w:color="1F497D"/>
              <w:left w:val="single" w:sz="6" w:space="0" w:color="1F497D"/>
              <w:bottom w:val="single" w:sz="6" w:space="0" w:color="1F497D"/>
              <w:right w:val="single" w:sz="6" w:space="0" w:color="1F497D"/>
            </w:tcBorders>
            <w:shd w:val="clear" w:color="auto" w:fill="FFFFFF"/>
          </w:tcPr>
          <w:p w:rsidR="0033725C" w:rsidRPr="003410C7" w:rsidRDefault="0033725C" w:rsidP="00A73DBD">
            <w:pPr>
              <w:pStyle w:val="TableText"/>
              <w:rPr>
                <w:rFonts w:eastAsia="Calibri" w:cs="Segoe UI"/>
                <w:b/>
                <w:sz w:val="24"/>
                <w:szCs w:val="24"/>
              </w:rPr>
            </w:pPr>
          </w:p>
        </w:tc>
      </w:tr>
      <w:tr w:rsidR="000C172E" w:rsidRPr="003410C7" w:rsidTr="000C172E">
        <w:tc>
          <w:tcPr>
            <w:tcW w:w="2020" w:type="dxa"/>
            <w:tcBorders>
              <w:top w:val="single" w:sz="6" w:space="0" w:color="1F497D"/>
              <w:left w:val="single" w:sz="4" w:space="0" w:color="072B61"/>
              <w:bottom w:val="single" w:sz="6" w:space="0" w:color="1F497D"/>
              <w:right w:val="single" w:sz="6" w:space="0" w:color="1F497D"/>
            </w:tcBorders>
            <w:shd w:val="clear" w:color="auto" w:fill="FFFFFF"/>
          </w:tcPr>
          <w:p w:rsidR="0033725C" w:rsidRPr="00451078" w:rsidRDefault="0033725C" w:rsidP="00A73DBD">
            <w:pPr>
              <w:pStyle w:val="TableText"/>
              <w:jc w:val="left"/>
              <w:rPr>
                <w:rFonts w:ascii="Tahoma" w:eastAsia="Calibri" w:hAnsi="Tahoma" w:cs="Tahoma"/>
                <w:sz w:val="18"/>
                <w:szCs w:val="18"/>
                <w:lang w:val="it-IT"/>
              </w:rPr>
            </w:pPr>
            <w:r w:rsidRPr="00451078">
              <w:rPr>
                <w:rFonts w:ascii="Tahoma" w:eastAsia="Calibri" w:hAnsi="Tahoma" w:cs="Tahoma"/>
                <w:sz w:val="18"/>
                <w:szCs w:val="18"/>
                <w:lang w:val="it-IT"/>
              </w:rPr>
              <w:t>Condivisione di Account utilizzando l</w:t>
            </w:r>
            <w:r w:rsidR="0073727D">
              <w:rPr>
                <w:rFonts w:ascii="Tahoma" w:eastAsia="Calibri" w:hAnsi="Tahoma" w:cs="Tahoma"/>
                <w:sz w:val="18"/>
                <w:szCs w:val="18"/>
                <w:lang w:val="it-IT"/>
              </w:rPr>
              <w:t>’</w:t>
            </w:r>
            <w:r w:rsidRPr="00451078">
              <w:rPr>
                <w:rFonts w:ascii="Tahoma" w:eastAsia="Calibri" w:hAnsi="Tahoma" w:cs="Tahoma"/>
                <w:sz w:val="18"/>
                <w:szCs w:val="18"/>
                <w:lang w:val="it-IT"/>
              </w:rPr>
              <w:t>Accesso alle API</w:t>
            </w:r>
          </w:p>
        </w:tc>
        <w:tc>
          <w:tcPr>
            <w:tcW w:w="972" w:type="dxa"/>
            <w:tcBorders>
              <w:top w:val="single" w:sz="6" w:space="0" w:color="1F497D"/>
              <w:left w:val="single" w:sz="6" w:space="0" w:color="1F497D"/>
              <w:bottom w:val="single" w:sz="6" w:space="0" w:color="1F497D"/>
              <w:right w:val="single" w:sz="6" w:space="0" w:color="1F497D"/>
            </w:tcBorders>
            <w:shd w:val="clear" w:color="auto" w:fill="FFFFFF"/>
          </w:tcPr>
          <w:p w:rsidR="0033725C" w:rsidRPr="00451078" w:rsidRDefault="0033725C" w:rsidP="00A73DBD">
            <w:pPr>
              <w:pStyle w:val="TableText"/>
              <w:rPr>
                <w:rFonts w:eastAsia="Calibri" w:cs="Segoe UI"/>
                <w:b/>
                <w:sz w:val="24"/>
                <w:szCs w:val="24"/>
                <w:lang w:val="it-IT"/>
              </w:rPr>
            </w:pPr>
          </w:p>
        </w:tc>
        <w:tc>
          <w:tcPr>
            <w:tcW w:w="1053" w:type="dxa"/>
            <w:tcBorders>
              <w:top w:val="single" w:sz="6" w:space="0" w:color="1F497D"/>
              <w:left w:val="single" w:sz="6" w:space="0" w:color="1F497D"/>
              <w:bottom w:val="single" w:sz="6" w:space="0" w:color="1F497D"/>
              <w:right w:val="single" w:sz="6" w:space="0" w:color="1F497D"/>
            </w:tcBorders>
            <w:shd w:val="clear" w:color="auto" w:fill="FFFFFF"/>
          </w:tcPr>
          <w:p w:rsidR="0033725C" w:rsidRPr="003410C7" w:rsidRDefault="0033725C" w:rsidP="00A73DBD">
            <w:pPr>
              <w:pStyle w:val="TableText"/>
              <w:rPr>
                <w:rFonts w:ascii="Segoe" w:eastAsia="Calibri" w:hAnsi="Segoe"/>
              </w:rPr>
            </w:pPr>
            <w:r w:rsidRPr="003410C7">
              <w:rPr>
                <w:rFonts w:eastAsia="Calibri" w:cs="Segoe UI"/>
                <w:b/>
                <w:sz w:val="24"/>
                <w:szCs w:val="24"/>
              </w:rPr>
              <w:sym w:font="Wingdings" w:char="00FC"/>
            </w:r>
            <w:r w:rsidRPr="003410C7">
              <w:rPr>
                <w:rFonts w:eastAsia="Calibri" w:cs="Segoe UI"/>
                <w:b/>
                <w:sz w:val="24"/>
                <w:szCs w:val="24"/>
                <w:vertAlign w:val="superscript"/>
              </w:rPr>
              <w:t>2</w:t>
            </w:r>
          </w:p>
        </w:tc>
        <w:tc>
          <w:tcPr>
            <w:tcW w:w="1152" w:type="dxa"/>
            <w:tcBorders>
              <w:top w:val="single" w:sz="6" w:space="0" w:color="1F497D"/>
              <w:left w:val="single" w:sz="6" w:space="0" w:color="1F497D"/>
              <w:bottom w:val="single" w:sz="6" w:space="0" w:color="1F497D"/>
              <w:right w:val="single" w:sz="6" w:space="0" w:color="1F497D"/>
            </w:tcBorders>
            <w:shd w:val="clear" w:color="auto" w:fill="FFFFFF"/>
          </w:tcPr>
          <w:p w:rsidR="0033725C" w:rsidRPr="003410C7" w:rsidRDefault="0033725C" w:rsidP="00A73DBD">
            <w:pPr>
              <w:pStyle w:val="TableText"/>
              <w:rPr>
                <w:rFonts w:ascii="Segoe" w:eastAsia="Calibri" w:hAnsi="Segoe"/>
              </w:rPr>
            </w:pPr>
            <w:r w:rsidRPr="003410C7">
              <w:rPr>
                <w:rFonts w:eastAsia="Calibri" w:cs="Segoe UI"/>
                <w:b/>
                <w:sz w:val="24"/>
                <w:szCs w:val="24"/>
              </w:rPr>
              <w:sym w:font="Wingdings" w:char="00FC"/>
            </w:r>
          </w:p>
        </w:tc>
        <w:tc>
          <w:tcPr>
            <w:tcW w:w="1125" w:type="dxa"/>
            <w:tcBorders>
              <w:top w:val="single" w:sz="6" w:space="0" w:color="1F497D"/>
              <w:left w:val="single" w:sz="6" w:space="0" w:color="1F497D"/>
              <w:bottom w:val="single" w:sz="6" w:space="0" w:color="1F497D"/>
              <w:right w:val="single" w:sz="6" w:space="0" w:color="1F497D"/>
            </w:tcBorders>
            <w:shd w:val="clear" w:color="auto" w:fill="FFFFFF"/>
          </w:tcPr>
          <w:p w:rsidR="0033725C" w:rsidRPr="003410C7" w:rsidRDefault="0033725C" w:rsidP="00A73DBD">
            <w:pPr>
              <w:pStyle w:val="TableText"/>
              <w:rPr>
                <w:rFonts w:eastAsia="Calibri" w:cs="Segoe UI"/>
                <w:b/>
                <w:sz w:val="24"/>
                <w:szCs w:val="24"/>
              </w:rPr>
            </w:pPr>
            <w:r w:rsidRPr="003410C7">
              <w:rPr>
                <w:rFonts w:eastAsia="Calibri" w:cs="Segoe UI"/>
                <w:b/>
                <w:sz w:val="24"/>
                <w:szCs w:val="24"/>
              </w:rPr>
              <w:sym w:font="Wingdings" w:char="00FC"/>
            </w:r>
            <w:r w:rsidRPr="003410C7">
              <w:rPr>
                <w:rFonts w:eastAsia="Calibri" w:cs="Segoe UI"/>
                <w:b/>
                <w:sz w:val="24"/>
                <w:szCs w:val="24"/>
                <w:vertAlign w:val="superscript"/>
              </w:rPr>
              <w:t>2</w:t>
            </w:r>
          </w:p>
        </w:tc>
        <w:tc>
          <w:tcPr>
            <w:tcW w:w="1305" w:type="dxa"/>
            <w:tcBorders>
              <w:top w:val="single" w:sz="6" w:space="0" w:color="1F497D"/>
              <w:left w:val="single" w:sz="6" w:space="0" w:color="1F497D"/>
              <w:bottom w:val="single" w:sz="6" w:space="0" w:color="1F497D"/>
              <w:right w:val="single" w:sz="6" w:space="0" w:color="1F497D"/>
            </w:tcBorders>
            <w:shd w:val="clear" w:color="auto" w:fill="FFFFFF"/>
          </w:tcPr>
          <w:p w:rsidR="0033725C" w:rsidRPr="003410C7" w:rsidRDefault="0033725C" w:rsidP="00A73DBD">
            <w:pPr>
              <w:pStyle w:val="TableText"/>
              <w:rPr>
                <w:rFonts w:eastAsia="Calibri" w:cs="Segoe UI"/>
                <w:b/>
                <w:sz w:val="24"/>
                <w:szCs w:val="24"/>
              </w:rPr>
            </w:pPr>
            <w:r w:rsidRPr="003410C7">
              <w:rPr>
                <w:rFonts w:eastAsia="Calibri" w:cs="Segoe UI"/>
                <w:b/>
                <w:sz w:val="24"/>
                <w:szCs w:val="24"/>
              </w:rPr>
              <w:sym w:font="Wingdings" w:char="00FC"/>
            </w:r>
          </w:p>
        </w:tc>
        <w:tc>
          <w:tcPr>
            <w:tcW w:w="1251" w:type="dxa"/>
            <w:tcBorders>
              <w:top w:val="single" w:sz="6" w:space="0" w:color="1F497D"/>
              <w:left w:val="single" w:sz="6" w:space="0" w:color="1F497D"/>
              <w:bottom w:val="single" w:sz="6" w:space="0" w:color="1F497D"/>
              <w:right w:val="single" w:sz="6" w:space="0" w:color="1F497D"/>
            </w:tcBorders>
            <w:shd w:val="clear" w:color="auto" w:fill="FFFFFF"/>
          </w:tcPr>
          <w:p w:rsidR="0033725C" w:rsidRPr="003410C7" w:rsidRDefault="0033725C" w:rsidP="00A73DBD">
            <w:pPr>
              <w:pStyle w:val="TableText"/>
              <w:rPr>
                <w:rFonts w:eastAsia="Calibri" w:cs="Segoe UI"/>
                <w:b/>
                <w:sz w:val="24"/>
                <w:szCs w:val="24"/>
              </w:rPr>
            </w:pPr>
          </w:p>
        </w:tc>
      </w:tr>
      <w:tr w:rsidR="000C172E" w:rsidRPr="003410C7" w:rsidTr="000C172E">
        <w:tc>
          <w:tcPr>
            <w:tcW w:w="2020" w:type="dxa"/>
            <w:tcBorders>
              <w:top w:val="single" w:sz="6" w:space="0" w:color="1F497D"/>
              <w:left w:val="single" w:sz="4" w:space="0" w:color="072B61"/>
              <w:bottom w:val="single" w:sz="6" w:space="0" w:color="1F497D"/>
              <w:right w:val="single" w:sz="6" w:space="0" w:color="1F497D"/>
            </w:tcBorders>
            <w:shd w:val="clear" w:color="auto" w:fill="FFFFFF"/>
          </w:tcPr>
          <w:p w:rsidR="0033725C" w:rsidRPr="00451078" w:rsidRDefault="0033725C" w:rsidP="00A73DBD">
            <w:pPr>
              <w:pStyle w:val="TableText"/>
              <w:jc w:val="left"/>
              <w:rPr>
                <w:rFonts w:ascii="Tahoma" w:eastAsia="Calibri" w:hAnsi="Tahoma" w:cs="Tahoma"/>
                <w:sz w:val="18"/>
                <w:szCs w:val="18"/>
                <w:lang w:val="it-IT"/>
              </w:rPr>
            </w:pPr>
            <w:r w:rsidRPr="00451078">
              <w:rPr>
                <w:rFonts w:ascii="Tahoma" w:eastAsia="Calibri" w:hAnsi="Tahoma" w:cs="Tahoma"/>
                <w:sz w:val="18"/>
                <w:szCs w:val="18"/>
                <w:lang w:val="it-IT"/>
              </w:rPr>
              <w:t>Condivisione di Contatti utilizzando l</w:t>
            </w:r>
            <w:r w:rsidR="0073727D">
              <w:rPr>
                <w:rFonts w:ascii="Tahoma" w:eastAsia="Calibri" w:hAnsi="Tahoma" w:cs="Tahoma"/>
                <w:sz w:val="18"/>
                <w:szCs w:val="18"/>
                <w:lang w:val="it-IT"/>
              </w:rPr>
              <w:t>’</w:t>
            </w:r>
            <w:r w:rsidRPr="00451078">
              <w:rPr>
                <w:rFonts w:ascii="Tahoma" w:eastAsia="Calibri" w:hAnsi="Tahoma" w:cs="Tahoma"/>
                <w:sz w:val="18"/>
                <w:szCs w:val="18"/>
                <w:lang w:val="it-IT"/>
              </w:rPr>
              <w:t>Accesso alle API</w:t>
            </w:r>
          </w:p>
        </w:tc>
        <w:tc>
          <w:tcPr>
            <w:tcW w:w="972" w:type="dxa"/>
            <w:tcBorders>
              <w:top w:val="single" w:sz="6" w:space="0" w:color="1F497D"/>
              <w:left w:val="single" w:sz="6" w:space="0" w:color="1F497D"/>
              <w:bottom w:val="single" w:sz="6" w:space="0" w:color="1F497D"/>
              <w:right w:val="single" w:sz="6" w:space="0" w:color="1F497D"/>
            </w:tcBorders>
            <w:shd w:val="clear" w:color="auto" w:fill="FFFFFF"/>
          </w:tcPr>
          <w:p w:rsidR="0033725C" w:rsidRPr="00451078" w:rsidRDefault="0033725C" w:rsidP="00A73DBD">
            <w:pPr>
              <w:pStyle w:val="TableText"/>
              <w:rPr>
                <w:rFonts w:eastAsia="Calibri" w:cs="Segoe UI"/>
                <w:b/>
                <w:sz w:val="24"/>
                <w:szCs w:val="24"/>
                <w:lang w:val="it-IT"/>
              </w:rPr>
            </w:pPr>
          </w:p>
        </w:tc>
        <w:tc>
          <w:tcPr>
            <w:tcW w:w="1053" w:type="dxa"/>
            <w:tcBorders>
              <w:top w:val="single" w:sz="6" w:space="0" w:color="1F497D"/>
              <w:left w:val="single" w:sz="6" w:space="0" w:color="1F497D"/>
              <w:bottom w:val="single" w:sz="6" w:space="0" w:color="1F497D"/>
              <w:right w:val="single" w:sz="6" w:space="0" w:color="1F497D"/>
            </w:tcBorders>
            <w:shd w:val="clear" w:color="auto" w:fill="FFFFFF"/>
          </w:tcPr>
          <w:p w:rsidR="0033725C" w:rsidRPr="003410C7" w:rsidRDefault="0033725C" w:rsidP="00A73DBD">
            <w:pPr>
              <w:pStyle w:val="TableText"/>
              <w:rPr>
                <w:rFonts w:ascii="Segoe" w:eastAsia="Calibri" w:hAnsi="Segoe"/>
              </w:rPr>
            </w:pPr>
            <w:r w:rsidRPr="003410C7">
              <w:rPr>
                <w:rFonts w:eastAsia="Calibri" w:cs="Segoe UI"/>
                <w:b/>
                <w:sz w:val="24"/>
                <w:szCs w:val="24"/>
              </w:rPr>
              <w:sym w:font="Wingdings" w:char="00FC"/>
            </w:r>
            <w:r w:rsidRPr="003410C7">
              <w:rPr>
                <w:rFonts w:eastAsia="Calibri" w:cs="Segoe UI"/>
                <w:b/>
                <w:sz w:val="24"/>
                <w:szCs w:val="24"/>
                <w:vertAlign w:val="superscript"/>
              </w:rPr>
              <w:t>2</w:t>
            </w:r>
          </w:p>
        </w:tc>
        <w:tc>
          <w:tcPr>
            <w:tcW w:w="1152" w:type="dxa"/>
            <w:tcBorders>
              <w:top w:val="single" w:sz="6" w:space="0" w:color="1F497D"/>
              <w:left w:val="single" w:sz="6" w:space="0" w:color="1F497D"/>
              <w:bottom w:val="single" w:sz="6" w:space="0" w:color="1F497D"/>
              <w:right w:val="single" w:sz="6" w:space="0" w:color="1F497D"/>
            </w:tcBorders>
            <w:shd w:val="clear" w:color="auto" w:fill="FFFFFF"/>
          </w:tcPr>
          <w:p w:rsidR="0033725C" w:rsidRPr="003410C7" w:rsidRDefault="0033725C" w:rsidP="00A73DBD">
            <w:pPr>
              <w:pStyle w:val="TableText"/>
              <w:rPr>
                <w:rFonts w:ascii="Segoe" w:eastAsia="Calibri" w:hAnsi="Segoe"/>
              </w:rPr>
            </w:pPr>
            <w:r w:rsidRPr="003410C7">
              <w:rPr>
                <w:rFonts w:eastAsia="Calibri" w:cs="Segoe UI"/>
                <w:b/>
                <w:sz w:val="24"/>
                <w:szCs w:val="24"/>
              </w:rPr>
              <w:sym w:font="Wingdings" w:char="00FC"/>
            </w:r>
          </w:p>
        </w:tc>
        <w:tc>
          <w:tcPr>
            <w:tcW w:w="1125" w:type="dxa"/>
            <w:tcBorders>
              <w:top w:val="single" w:sz="6" w:space="0" w:color="1F497D"/>
              <w:left w:val="single" w:sz="6" w:space="0" w:color="1F497D"/>
              <w:bottom w:val="single" w:sz="6" w:space="0" w:color="1F497D"/>
              <w:right w:val="single" w:sz="6" w:space="0" w:color="1F497D"/>
            </w:tcBorders>
            <w:shd w:val="clear" w:color="auto" w:fill="FFFFFF"/>
          </w:tcPr>
          <w:p w:rsidR="0033725C" w:rsidRPr="003410C7" w:rsidRDefault="0033725C" w:rsidP="00A73DBD">
            <w:pPr>
              <w:pStyle w:val="TableText"/>
              <w:rPr>
                <w:rFonts w:eastAsia="Calibri" w:cs="Segoe UI"/>
                <w:b/>
                <w:sz w:val="24"/>
                <w:szCs w:val="24"/>
              </w:rPr>
            </w:pPr>
            <w:r w:rsidRPr="003410C7">
              <w:rPr>
                <w:rFonts w:eastAsia="Calibri" w:cs="Segoe UI"/>
                <w:b/>
                <w:sz w:val="24"/>
                <w:szCs w:val="24"/>
              </w:rPr>
              <w:sym w:font="Wingdings" w:char="00FC"/>
            </w:r>
            <w:r w:rsidRPr="003410C7">
              <w:rPr>
                <w:rFonts w:eastAsia="Calibri" w:cs="Segoe UI"/>
                <w:b/>
                <w:sz w:val="24"/>
                <w:szCs w:val="24"/>
                <w:vertAlign w:val="superscript"/>
              </w:rPr>
              <w:t>2</w:t>
            </w:r>
          </w:p>
        </w:tc>
        <w:tc>
          <w:tcPr>
            <w:tcW w:w="1305" w:type="dxa"/>
            <w:tcBorders>
              <w:top w:val="single" w:sz="6" w:space="0" w:color="1F497D"/>
              <w:left w:val="single" w:sz="6" w:space="0" w:color="1F497D"/>
              <w:bottom w:val="single" w:sz="6" w:space="0" w:color="1F497D"/>
              <w:right w:val="single" w:sz="6" w:space="0" w:color="1F497D"/>
            </w:tcBorders>
            <w:shd w:val="clear" w:color="auto" w:fill="FFFFFF"/>
          </w:tcPr>
          <w:p w:rsidR="0033725C" w:rsidRPr="003410C7" w:rsidRDefault="0033725C" w:rsidP="00A73DBD">
            <w:pPr>
              <w:pStyle w:val="TableText"/>
              <w:rPr>
                <w:rFonts w:eastAsia="Calibri" w:cs="Segoe UI"/>
                <w:b/>
                <w:sz w:val="24"/>
                <w:szCs w:val="24"/>
              </w:rPr>
            </w:pPr>
            <w:r w:rsidRPr="003410C7">
              <w:rPr>
                <w:rFonts w:eastAsia="Calibri" w:cs="Segoe UI"/>
                <w:b/>
                <w:sz w:val="24"/>
                <w:szCs w:val="24"/>
              </w:rPr>
              <w:sym w:font="Wingdings" w:char="00FC"/>
            </w:r>
          </w:p>
        </w:tc>
        <w:tc>
          <w:tcPr>
            <w:tcW w:w="1251" w:type="dxa"/>
            <w:tcBorders>
              <w:top w:val="single" w:sz="6" w:space="0" w:color="1F497D"/>
              <w:left w:val="single" w:sz="6" w:space="0" w:color="1F497D"/>
              <w:bottom w:val="single" w:sz="6" w:space="0" w:color="1F497D"/>
              <w:right w:val="single" w:sz="6" w:space="0" w:color="1F497D"/>
            </w:tcBorders>
            <w:shd w:val="clear" w:color="auto" w:fill="FFFFFF"/>
          </w:tcPr>
          <w:p w:rsidR="0033725C" w:rsidRPr="003410C7" w:rsidRDefault="0033725C" w:rsidP="00A73DBD">
            <w:pPr>
              <w:pStyle w:val="TableText"/>
              <w:rPr>
                <w:rFonts w:eastAsia="Calibri" w:cs="Segoe UI"/>
                <w:b/>
                <w:sz w:val="24"/>
                <w:szCs w:val="24"/>
              </w:rPr>
            </w:pPr>
          </w:p>
        </w:tc>
      </w:tr>
      <w:tr w:rsidR="000C172E" w:rsidRPr="003410C7" w:rsidTr="000C172E">
        <w:tc>
          <w:tcPr>
            <w:tcW w:w="2020" w:type="dxa"/>
            <w:tcBorders>
              <w:top w:val="single" w:sz="6" w:space="0" w:color="1F497D"/>
              <w:left w:val="single" w:sz="4" w:space="0" w:color="072B61"/>
              <w:bottom w:val="single" w:sz="6" w:space="0" w:color="1F497D"/>
              <w:right w:val="single" w:sz="6" w:space="0" w:color="1F497D"/>
            </w:tcBorders>
            <w:shd w:val="clear" w:color="auto" w:fill="FFFFFF"/>
          </w:tcPr>
          <w:p w:rsidR="0033725C" w:rsidRPr="00451078" w:rsidRDefault="0033725C" w:rsidP="00A73DBD">
            <w:pPr>
              <w:pStyle w:val="TableText"/>
              <w:jc w:val="left"/>
              <w:rPr>
                <w:rFonts w:ascii="Tahoma" w:eastAsia="Calibri" w:hAnsi="Tahoma" w:cs="Tahoma"/>
                <w:sz w:val="18"/>
                <w:szCs w:val="18"/>
                <w:lang w:val="it-IT"/>
              </w:rPr>
            </w:pPr>
            <w:r w:rsidRPr="00451078">
              <w:rPr>
                <w:rFonts w:ascii="Tahoma" w:eastAsia="Calibri" w:hAnsi="Tahoma" w:cs="Tahoma"/>
                <w:sz w:val="18"/>
                <w:szCs w:val="18"/>
                <w:lang w:val="it-IT"/>
              </w:rPr>
              <w:t>Condivisione di Casi utilizzando l</w:t>
            </w:r>
            <w:r w:rsidR="0073727D">
              <w:rPr>
                <w:rFonts w:ascii="Tahoma" w:eastAsia="Calibri" w:hAnsi="Tahoma" w:cs="Tahoma"/>
                <w:sz w:val="18"/>
                <w:szCs w:val="18"/>
                <w:lang w:val="it-IT"/>
              </w:rPr>
              <w:t>’</w:t>
            </w:r>
            <w:r w:rsidRPr="00451078">
              <w:rPr>
                <w:rFonts w:ascii="Tahoma" w:eastAsia="Calibri" w:hAnsi="Tahoma" w:cs="Tahoma"/>
                <w:sz w:val="18"/>
                <w:szCs w:val="18"/>
                <w:lang w:val="it-IT"/>
              </w:rPr>
              <w:t>Accesso alle API</w:t>
            </w:r>
          </w:p>
        </w:tc>
        <w:tc>
          <w:tcPr>
            <w:tcW w:w="972" w:type="dxa"/>
            <w:tcBorders>
              <w:top w:val="single" w:sz="6" w:space="0" w:color="1F497D"/>
              <w:left w:val="single" w:sz="6" w:space="0" w:color="1F497D"/>
              <w:bottom w:val="single" w:sz="6" w:space="0" w:color="1F497D"/>
              <w:right w:val="single" w:sz="6" w:space="0" w:color="1F497D"/>
            </w:tcBorders>
            <w:shd w:val="clear" w:color="auto" w:fill="FFFFFF"/>
          </w:tcPr>
          <w:p w:rsidR="0033725C" w:rsidRPr="00451078" w:rsidRDefault="0033725C" w:rsidP="00A73DBD">
            <w:pPr>
              <w:pStyle w:val="TableText"/>
              <w:rPr>
                <w:rFonts w:eastAsia="Calibri" w:cs="Segoe UI"/>
                <w:b/>
                <w:sz w:val="24"/>
                <w:szCs w:val="24"/>
                <w:lang w:val="it-IT"/>
              </w:rPr>
            </w:pPr>
          </w:p>
        </w:tc>
        <w:tc>
          <w:tcPr>
            <w:tcW w:w="1053" w:type="dxa"/>
            <w:tcBorders>
              <w:top w:val="single" w:sz="6" w:space="0" w:color="1F497D"/>
              <w:left w:val="single" w:sz="6" w:space="0" w:color="1F497D"/>
              <w:bottom w:val="single" w:sz="6" w:space="0" w:color="1F497D"/>
              <w:right w:val="single" w:sz="6" w:space="0" w:color="1F497D"/>
            </w:tcBorders>
            <w:shd w:val="clear" w:color="auto" w:fill="FFFFFF"/>
          </w:tcPr>
          <w:p w:rsidR="0033725C" w:rsidRPr="003410C7" w:rsidRDefault="0033725C" w:rsidP="00A73DBD">
            <w:pPr>
              <w:pStyle w:val="TableText"/>
              <w:rPr>
                <w:rFonts w:ascii="Segoe" w:eastAsia="Calibri" w:hAnsi="Segoe"/>
              </w:rPr>
            </w:pPr>
            <w:r w:rsidRPr="003410C7">
              <w:rPr>
                <w:rFonts w:eastAsia="Calibri" w:cs="Segoe UI"/>
                <w:b/>
                <w:sz w:val="24"/>
                <w:szCs w:val="24"/>
              </w:rPr>
              <w:sym w:font="Wingdings" w:char="00FC"/>
            </w:r>
            <w:r w:rsidRPr="003410C7">
              <w:rPr>
                <w:rFonts w:eastAsia="Calibri" w:cs="Segoe UI"/>
                <w:b/>
                <w:sz w:val="24"/>
                <w:szCs w:val="24"/>
                <w:vertAlign w:val="superscript"/>
              </w:rPr>
              <w:t>2</w:t>
            </w:r>
          </w:p>
        </w:tc>
        <w:tc>
          <w:tcPr>
            <w:tcW w:w="1152" w:type="dxa"/>
            <w:tcBorders>
              <w:top w:val="single" w:sz="6" w:space="0" w:color="1F497D"/>
              <w:left w:val="single" w:sz="6" w:space="0" w:color="1F497D"/>
              <w:bottom w:val="single" w:sz="6" w:space="0" w:color="1F497D"/>
              <w:right w:val="single" w:sz="6" w:space="0" w:color="1F497D"/>
            </w:tcBorders>
            <w:shd w:val="clear" w:color="auto" w:fill="FFFFFF"/>
          </w:tcPr>
          <w:p w:rsidR="0033725C" w:rsidRPr="003410C7" w:rsidRDefault="0033725C" w:rsidP="00A73DBD">
            <w:pPr>
              <w:pStyle w:val="TableText"/>
              <w:rPr>
                <w:rFonts w:ascii="Segoe" w:eastAsia="Calibri" w:hAnsi="Segoe"/>
              </w:rPr>
            </w:pPr>
            <w:r w:rsidRPr="003410C7">
              <w:rPr>
                <w:rFonts w:eastAsia="Calibri" w:cs="Segoe UI"/>
                <w:b/>
                <w:sz w:val="24"/>
                <w:szCs w:val="24"/>
              </w:rPr>
              <w:sym w:font="Wingdings" w:char="00FC"/>
            </w:r>
          </w:p>
        </w:tc>
        <w:tc>
          <w:tcPr>
            <w:tcW w:w="1125" w:type="dxa"/>
            <w:tcBorders>
              <w:top w:val="single" w:sz="6" w:space="0" w:color="1F497D"/>
              <w:left w:val="single" w:sz="6" w:space="0" w:color="1F497D"/>
              <w:bottom w:val="single" w:sz="6" w:space="0" w:color="1F497D"/>
              <w:right w:val="single" w:sz="6" w:space="0" w:color="1F497D"/>
            </w:tcBorders>
            <w:shd w:val="clear" w:color="auto" w:fill="FFFFFF"/>
          </w:tcPr>
          <w:p w:rsidR="0033725C" w:rsidRPr="003410C7" w:rsidRDefault="0033725C" w:rsidP="00A73DBD">
            <w:pPr>
              <w:pStyle w:val="TableText"/>
              <w:rPr>
                <w:rFonts w:eastAsia="Calibri" w:cs="Segoe UI"/>
                <w:b/>
                <w:sz w:val="24"/>
                <w:szCs w:val="24"/>
              </w:rPr>
            </w:pPr>
            <w:r w:rsidRPr="003410C7">
              <w:rPr>
                <w:rFonts w:eastAsia="Calibri" w:cs="Segoe UI"/>
                <w:b/>
                <w:sz w:val="24"/>
                <w:szCs w:val="24"/>
              </w:rPr>
              <w:sym w:font="Wingdings" w:char="00FC"/>
            </w:r>
            <w:r w:rsidRPr="003410C7">
              <w:rPr>
                <w:rFonts w:eastAsia="Calibri" w:cs="Segoe UI"/>
                <w:b/>
                <w:sz w:val="24"/>
                <w:szCs w:val="24"/>
                <w:vertAlign w:val="superscript"/>
              </w:rPr>
              <w:t>2</w:t>
            </w:r>
          </w:p>
        </w:tc>
        <w:tc>
          <w:tcPr>
            <w:tcW w:w="1305" w:type="dxa"/>
            <w:tcBorders>
              <w:top w:val="single" w:sz="6" w:space="0" w:color="1F497D"/>
              <w:left w:val="single" w:sz="6" w:space="0" w:color="1F497D"/>
              <w:bottom w:val="single" w:sz="6" w:space="0" w:color="1F497D"/>
              <w:right w:val="single" w:sz="6" w:space="0" w:color="1F497D"/>
            </w:tcBorders>
            <w:shd w:val="clear" w:color="auto" w:fill="FFFFFF"/>
          </w:tcPr>
          <w:p w:rsidR="0033725C" w:rsidRPr="003410C7" w:rsidRDefault="0033725C" w:rsidP="00A73DBD">
            <w:pPr>
              <w:pStyle w:val="TableText"/>
              <w:rPr>
                <w:rFonts w:eastAsia="Calibri" w:cs="Segoe UI"/>
                <w:b/>
                <w:sz w:val="24"/>
                <w:szCs w:val="24"/>
              </w:rPr>
            </w:pPr>
            <w:r w:rsidRPr="003410C7">
              <w:rPr>
                <w:rFonts w:eastAsia="Calibri" w:cs="Segoe UI"/>
                <w:b/>
                <w:sz w:val="24"/>
                <w:szCs w:val="24"/>
              </w:rPr>
              <w:sym w:font="Wingdings" w:char="00FC"/>
            </w:r>
          </w:p>
        </w:tc>
        <w:tc>
          <w:tcPr>
            <w:tcW w:w="1251" w:type="dxa"/>
            <w:tcBorders>
              <w:top w:val="single" w:sz="6" w:space="0" w:color="1F497D"/>
              <w:left w:val="single" w:sz="6" w:space="0" w:color="1F497D"/>
              <w:bottom w:val="single" w:sz="6" w:space="0" w:color="1F497D"/>
              <w:right w:val="single" w:sz="6" w:space="0" w:color="1F497D"/>
            </w:tcBorders>
            <w:shd w:val="clear" w:color="auto" w:fill="FFFFFF"/>
          </w:tcPr>
          <w:p w:rsidR="0033725C" w:rsidRPr="003410C7" w:rsidRDefault="0033725C" w:rsidP="00A73DBD">
            <w:pPr>
              <w:pStyle w:val="TableText"/>
              <w:rPr>
                <w:rFonts w:eastAsia="Calibri" w:cs="Segoe UI"/>
                <w:b/>
                <w:sz w:val="24"/>
                <w:szCs w:val="24"/>
              </w:rPr>
            </w:pPr>
          </w:p>
        </w:tc>
      </w:tr>
      <w:tr w:rsidR="000C172E" w:rsidRPr="003410C7" w:rsidTr="000C172E">
        <w:tc>
          <w:tcPr>
            <w:tcW w:w="2020" w:type="dxa"/>
            <w:tcBorders>
              <w:top w:val="single" w:sz="6" w:space="0" w:color="1F497D"/>
              <w:left w:val="single" w:sz="4" w:space="0" w:color="072B61"/>
              <w:bottom w:val="single" w:sz="6" w:space="0" w:color="1F497D"/>
              <w:right w:val="single" w:sz="6" w:space="0" w:color="1F497D"/>
            </w:tcBorders>
            <w:shd w:val="clear" w:color="auto" w:fill="FFFFFF"/>
          </w:tcPr>
          <w:p w:rsidR="0033725C" w:rsidRPr="00451078" w:rsidRDefault="0033725C" w:rsidP="00A73DBD">
            <w:pPr>
              <w:pStyle w:val="TableText"/>
              <w:jc w:val="left"/>
              <w:rPr>
                <w:rFonts w:ascii="Tahoma" w:eastAsia="Calibri" w:hAnsi="Tahoma" w:cs="Tahoma"/>
                <w:sz w:val="18"/>
                <w:szCs w:val="18"/>
                <w:lang w:val="it-IT"/>
              </w:rPr>
            </w:pPr>
            <w:r w:rsidRPr="00451078">
              <w:rPr>
                <w:rFonts w:ascii="Tahoma" w:eastAsia="Calibri" w:hAnsi="Tahoma" w:cs="Tahoma"/>
                <w:sz w:val="18"/>
                <w:szCs w:val="18"/>
                <w:lang w:val="it-IT"/>
              </w:rPr>
              <w:t>Condivisione di Lead utilizzando l</w:t>
            </w:r>
            <w:r w:rsidR="0073727D">
              <w:rPr>
                <w:rFonts w:ascii="Tahoma" w:eastAsia="Calibri" w:hAnsi="Tahoma" w:cs="Tahoma"/>
                <w:sz w:val="18"/>
                <w:szCs w:val="18"/>
                <w:lang w:val="it-IT"/>
              </w:rPr>
              <w:t>’</w:t>
            </w:r>
            <w:r w:rsidRPr="00451078">
              <w:rPr>
                <w:rFonts w:ascii="Tahoma" w:eastAsia="Calibri" w:hAnsi="Tahoma" w:cs="Tahoma"/>
                <w:sz w:val="18"/>
                <w:szCs w:val="18"/>
                <w:lang w:val="it-IT"/>
              </w:rPr>
              <w:t>Accesso alle API</w:t>
            </w:r>
          </w:p>
        </w:tc>
        <w:tc>
          <w:tcPr>
            <w:tcW w:w="972" w:type="dxa"/>
            <w:tcBorders>
              <w:top w:val="single" w:sz="6" w:space="0" w:color="1F497D"/>
              <w:left w:val="single" w:sz="6" w:space="0" w:color="1F497D"/>
              <w:bottom w:val="single" w:sz="6" w:space="0" w:color="1F497D"/>
              <w:right w:val="single" w:sz="6" w:space="0" w:color="1F497D"/>
            </w:tcBorders>
            <w:shd w:val="clear" w:color="auto" w:fill="FFFFFF"/>
          </w:tcPr>
          <w:p w:rsidR="0033725C" w:rsidRPr="00451078" w:rsidRDefault="0033725C" w:rsidP="00A73DBD">
            <w:pPr>
              <w:pStyle w:val="TableText"/>
              <w:rPr>
                <w:rFonts w:eastAsia="Calibri" w:cs="Segoe UI"/>
                <w:b/>
                <w:sz w:val="24"/>
                <w:szCs w:val="24"/>
                <w:lang w:val="it-IT"/>
              </w:rPr>
            </w:pPr>
          </w:p>
        </w:tc>
        <w:tc>
          <w:tcPr>
            <w:tcW w:w="1053" w:type="dxa"/>
            <w:tcBorders>
              <w:top w:val="single" w:sz="6" w:space="0" w:color="1F497D"/>
              <w:left w:val="single" w:sz="6" w:space="0" w:color="1F497D"/>
              <w:bottom w:val="single" w:sz="6" w:space="0" w:color="1F497D"/>
              <w:right w:val="single" w:sz="6" w:space="0" w:color="1F497D"/>
            </w:tcBorders>
            <w:shd w:val="clear" w:color="auto" w:fill="FFFFFF"/>
          </w:tcPr>
          <w:p w:rsidR="0033725C" w:rsidRPr="003410C7" w:rsidRDefault="0033725C" w:rsidP="00A73DBD">
            <w:pPr>
              <w:pStyle w:val="TableText"/>
              <w:rPr>
                <w:rFonts w:ascii="Segoe" w:eastAsia="Calibri" w:hAnsi="Segoe"/>
              </w:rPr>
            </w:pPr>
            <w:r w:rsidRPr="003410C7">
              <w:rPr>
                <w:rFonts w:eastAsia="Calibri" w:cs="Segoe UI"/>
                <w:b/>
                <w:sz w:val="24"/>
                <w:szCs w:val="24"/>
              </w:rPr>
              <w:sym w:font="Wingdings" w:char="00FC"/>
            </w:r>
            <w:r w:rsidRPr="003410C7">
              <w:rPr>
                <w:rFonts w:eastAsia="Calibri" w:cs="Segoe UI"/>
                <w:b/>
                <w:sz w:val="24"/>
                <w:szCs w:val="24"/>
                <w:vertAlign w:val="superscript"/>
              </w:rPr>
              <w:t>2</w:t>
            </w:r>
          </w:p>
        </w:tc>
        <w:tc>
          <w:tcPr>
            <w:tcW w:w="1152" w:type="dxa"/>
            <w:tcBorders>
              <w:top w:val="single" w:sz="6" w:space="0" w:color="1F497D"/>
              <w:left w:val="single" w:sz="6" w:space="0" w:color="1F497D"/>
              <w:bottom w:val="single" w:sz="6" w:space="0" w:color="1F497D"/>
              <w:right w:val="single" w:sz="6" w:space="0" w:color="1F497D"/>
            </w:tcBorders>
            <w:shd w:val="clear" w:color="auto" w:fill="FFFFFF"/>
          </w:tcPr>
          <w:p w:rsidR="0033725C" w:rsidRPr="003410C7" w:rsidRDefault="0033725C" w:rsidP="00A73DBD">
            <w:pPr>
              <w:pStyle w:val="TableText"/>
              <w:rPr>
                <w:rFonts w:ascii="Segoe" w:eastAsia="Calibri" w:hAnsi="Segoe"/>
              </w:rPr>
            </w:pPr>
            <w:r w:rsidRPr="003410C7">
              <w:rPr>
                <w:rFonts w:eastAsia="Calibri" w:cs="Segoe UI"/>
                <w:b/>
                <w:sz w:val="24"/>
                <w:szCs w:val="24"/>
              </w:rPr>
              <w:sym w:font="Wingdings" w:char="00FC"/>
            </w:r>
          </w:p>
        </w:tc>
        <w:tc>
          <w:tcPr>
            <w:tcW w:w="1125" w:type="dxa"/>
            <w:tcBorders>
              <w:top w:val="single" w:sz="6" w:space="0" w:color="1F497D"/>
              <w:left w:val="single" w:sz="6" w:space="0" w:color="1F497D"/>
              <w:bottom w:val="single" w:sz="6" w:space="0" w:color="1F497D"/>
              <w:right w:val="single" w:sz="6" w:space="0" w:color="1F497D"/>
            </w:tcBorders>
            <w:shd w:val="clear" w:color="auto" w:fill="FFFFFF"/>
          </w:tcPr>
          <w:p w:rsidR="0033725C" w:rsidRPr="003410C7" w:rsidRDefault="0033725C" w:rsidP="00A73DBD">
            <w:pPr>
              <w:pStyle w:val="TableText"/>
              <w:rPr>
                <w:rFonts w:eastAsia="Calibri" w:cs="Segoe UI"/>
                <w:b/>
                <w:sz w:val="24"/>
                <w:szCs w:val="24"/>
              </w:rPr>
            </w:pPr>
            <w:r w:rsidRPr="003410C7">
              <w:rPr>
                <w:rFonts w:eastAsia="Calibri" w:cs="Segoe UI"/>
                <w:b/>
                <w:sz w:val="24"/>
                <w:szCs w:val="24"/>
              </w:rPr>
              <w:sym w:font="Wingdings" w:char="00FC"/>
            </w:r>
            <w:r w:rsidRPr="003410C7">
              <w:rPr>
                <w:rFonts w:eastAsia="Calibri" w:cs="Segoe UI"/>
                <w:b/>
                <w:sz w:val="24"/>
                <w:szCs w:val="24"/>
                <w:vertAlign w:val="superscript"/>
              </w:rPr>
              <w:t>2</w:t>
            </w:r>
          </w:p>
        </w:tc>
        <w:tc>
          <w:tcPr>
            <w:tcW w:w="1305" w:type="dxa"/>
            <w:tcBorders>
              <w:top w:val="single" w:sz="6" w:space="0" w:color="1F497D"/>
              <w:left w:val="single" w:sz="6" w:space="0" w:color="1F497D"/>
              <w:bottom w:val="single" w:sz="6" w:space="0" w:color="1F497D"/>
              <w:right w:val="single" w:sz="6" w:space="0" w:color="1F497D"/>
            </w:tcBorders>
            <w:shd w:val="clear" w:color="auto" w:fill="FFFFFF"/>
          </w:tcPr>
          <w:p w:rsidR="0033725C" w:rsidRPr="003410C7" w:rsidRDefault="0033725C" w:rsidP="00A73DBD">
            <w:pPr>
              <w:pStyle w:val="TableText"/>
              <w:rPr>
                <w:rFonts w:eastAsia="Calibri" w:cs="Segoe UI"/>
                <w:b/>
                <w:sz w:val="24"/>
                <w:szCs w:val="24"/>
              </w:rPr>
            </w:pPr>
            <w:r w:rsidRPr="003410C7">
              <w:rPr>
                <w:rFonts w:eastAsia="Calibri" w:cs="Segoe UI"/>
                <w:b/>
                <w:sz w:val="24"/>
                <w:szCs w:val="24"/>
              </w:rPr>
              <w:sym w:font="Wingdings" w:char="00FC"/>
            </w:r>
          </w:p>
        </w:tc>
        <w:tc>
          <w:tcPr>
            <w:tcW w:w="1251" w:type="dxa"/>
            <w:tcBorders>
              <w:top w:val="single" w:sz="6" w:space="0" w:color="1F497D"/>
              <w:left w:val="single" w:sz="6" w:space="0" w:color="1F497D"/>
              <w:bottom w:val="single" w:sz="6" w:space="0" w:color="1F497D"/>
              <w:right w:val="single" w:sz="6" w:space="0" w:color="1F497D"/>
            </w:tcBorders>
            <w:shd w:val="clear" w:color="auto" w:fill="FFFFFF"/>
          </w:tcPr>
          <w:p w:rsidR="0033725C" w:rsidRPr="003410C7" w:rsidRDefault="0033725C" w:rsidP="00A73DBD">
            <w:pPr>
              <w:pStyle w:val="TableText"/>
              <w:rPr>
                <w:rFonts w:eastAsia="Calibri" w:cs="Segoe UI"/>
                <w:b/>
                <w:sz w:val="24"/>
                <w:szCs w:val="24"/>
              </w:rPr>
            </w:pPr>
          </w:p>
        </w:tc>
      </w:tr>
      <w:tr w:rsidR="000C172E" w:rsidRPr="003410C7" w:rsidTr="000C172E">
        <w:tc>
          <w:tcPr>
            <w:tcW w:w="2020" w:type="dxa"/>
            <w:tcBorders>
              <w:top w:val="single" w:sz="6" w:space="0" w:color="1F497D"/>
              <w:left w:val="single" w:sz="4" w:space="0" w:color="072B61"/>
              <w:bottom w:val="single" w:sz="6" w:space="0" w:color="1F497D"/>
              <w:right w:val="single" w:sz="6" w:space="0" w:color="1F497D"/>
            </w:tcBorders>
            <w:shd w:val="clear" w:color="auto" w:fill="FFFFFF"/>
          </w:tcPr>
          <w:p w:rsidR="0033725C" w:rsidRPr="00451078" w:rsidRDefault="0033725C" w:rsidP="00A73DBD">
            <w:pPr>
              <w:pStyle w:val="TableText"/>
              <w:jc w:val="left"/>
              <w:rPr>
                <w:rFonts w:ascii="Tahoma" w:eastAsia="Calibri" w:hAnsi="Tahoma" w:cs="Tahoma"/>
                <w:sz w:val="18"/>
                <w:szCs w:val="18"/>
                <w:lang w:val="it-IT"/>
              </w:rPr>
            </w:pPr>
            <w:r w:rsidRPr="00451078">
              <w:rPr>
                <w:rFonts w:ascii="Tahoma" w:eastAsia="Calibri" w:hAnsi="Tahoma" w:cs="Tahoma"/>
                <w:sz w:val="18"/>
                <w:szCs w:val="18"/>
                <w:lang w:val="it-IT"/>
              </w:rPr>
              <w:t>Condivisione di Attività utilizzando l</w:t>
            </w:r>
            <w:r w:rsidR="0073727D">
              <w:rPr>
                <w:rFonts w:ascii="Tahoma" w:eastAsia="Calibri" w:hAnsi="Tahoma" w:cs="Tahoma"/>
                <w:sz w:val="18"/>
                <w:szCs w:val="18"/>
                <w:lang w:val="it-IT"/>
              </w:rPr>
              <w:t>’</w:t>
            </w:r>
            <w:r w:rsidRPr="00451078">
              <w:rPr>
                <w:rFonts w:ascii="Tahoma" w:eastAsia="Calibri" w:hAnsi="Tahoma" w:cs="Tahoma"/>
                <w:sz w:val="18"/>
                <w:szCs w:val="18"/>
                <w:lang w:val="it-IT"/>
              </w:rPr>
              <w:t>Accesso alle API</w:t>
            </w:r>
          </w:p>
        </w:tc>
        <w:tc>
          <w:tcPr>
            <w:tcW w:w="972" w:type="dxa"/>
            <w:tcBorders>
              <w:top w:val="single" w:sz="6" w:space="0" w:color="1F497D"/>
              <w:left w:val="single" w:sz="6" w:space="0" w:color="1F497D"/>
              <w:bottom w:val="single" w:sz="6" w:space="0" w:color="1F497D"/>
              <w:right w:val="single" w:sz="6" w:space="0" w:color="1F497D"/>
            </w:tcBorders>
            <w:shd w:val="clear" w:color="auto" w:fill="FFFFFF"/>
          </w:tcPr>
          <w:p w:rsidR="0033725C" w:rsidRPr="00451078" w:rsidRDefault="0033725C" w:rsidP="00A73DBD">
            <w:pPr>
              <w:pStyle w:val="TableText"/>
              <w:rPr>
                <w:rFonts w:eastAsia="Calibri" w:cs="Segoe UI"/>
                <w:b/>
                <w:sz w:val="24"/>
                <w:szCs w:val="24"/>
                <w:lang w:val="it-IT"/>
              </w:rPr>
            </w:pPr>
          </w:p>
        </w:tc>
        <w:tc>
          <w:tcPr>
            <w:tcW w:w="1053" w:type="dxa"/>
            <w:tcBorders>
              <w:top w:val="single" w:sz="6" w:space="0" w:color="1F497D"/>
              <w:left w:val="single" w:sz="6" w:space="0" w:color="1F497D"/>
              <w:bottom w:val="single" w:sz="6" w:space="0" w:color="1F497D"/>
              <w:right w:val="single" w:sz="6" w:space="0" w:color="1F497D"/>
            </w:tcBorders>
            <w:shd w:val="clear" w:color="auto" w:fill="FFFFFF"/>
          </w:tcPr>
          <w:p w:rsidR="0033725C" w:rsidRPr="003410C7" w:rsidRDefault="0033725C" w:rsidP="00A73DBD">
            <w:pPr>
              <w:pStyle w:val="TableText"/>
              <w:rPr>
                <w:rFonts w:ascii="Segoe" w:eastAsia="Calibri" w:hAnsi="Segoe"/>
              </w:rPr>
            </w:pPr>
            <w:r w:rsidRPr="003410C7">
              <w:rPr>
                <w:rFonts w:eastAsia="Calibri" w:cs="Segoe UI"/>
                <w:b/>
                <w:sz w:val="24"/>
                <w:szCs w:val="24"/>
              </w:rPr>
              <w:sym w:font="Wingdings" w:char="00FC"/>
            </w:r>
            <w:r w:rsidRPr="003410C7">
              <w:rPr>
                <w:rFonts w:eastAsia="Calibri" w:cs="Segoe UI"/>
                <w:b/>
                <w:sz w:val="24"/>
                <w:szCs w:val="24"/>
                <w:vertAlign w:val="superscript"/>
              </w:rPr>
              <w:t>2</w:t>
            </w:r>
          </w:p>
        </w:tc>
        <w:tc>
          <w:tcPr>
            <w:tcW w:w="1152" w:type="dxa"/>
            <w:tcBorders>
              <w:top w:val="single" w:sz="6" w:space="0" w:color="1F497D"/>
              <w:left w:val="single" w:sz="6" w:space="0" w:color="1F497D"/>
              <w:bottom w:val="single" w:sz="6" w:space="0" w:color="1F497D"/>
              <w:right w:val="single" w:sz="6" w:space="0" w:color="1F497D"/>
            </w:tcBorders>
            <w:shd w:val="clear" w:color="auto" w:fill="FFFFFF"/>
          </w:tcPr>
          <w:p w:rsidR="0033725C" w:rsidRPr="003410C7" w:rsidRDefault="0033725C" w:rsidP="00A73DBD">
            <w:pPr>
              <w:pStyle w:val="TableText"/>
              <w:rPr>
                <w:rFonts w:ascii="Segoe" w:eastAsia="Calibri" w:hAnsi="Segoe"/>
              </w:rPr>
            </w:pPr>
            <w:r w:rsidRPr="003410C7">
              <w:rPr>
                <w:rFonts w:eastAsia="Calibri" w:cs="Segoe UI"/>
                <w:b/>
                <w:sz w:val="24"/>
                <w:szCs w:val="24"/>
              </w:rPr>
              <w:sym w:font="Wingdings" w:char="00FC"/>
            </w:r>
          </w:p>
        </w:tc>
        <w:tc>
          <w:tcPr>
            <w:tcW w:w="1125" w:type="dxa"/>
            <w:tcBorders>
              <w:top w:val="single" w:sz="6" w:space="0" w:color="1F497D"/>
              <w:left w:val="single" w:sz="6" w:space="0" w:color="1F497D"/>
              <w:bottom w:val="single" w:sz="6" w:space="0" w:color="1F497D"/>
              <w:right w:val="single" w:sz="6" w:space="0" w:color="1F497D"/>
            </w:tcBorders>
            <w:shd w:val="clear" w:color="auto" w:fill="FFFFFF"/>
          </w:tcPr>
          <w:p w:rsidR="0033725C" w:rsidRPr="003410C7" w:rsidRDefault="0033725C" w:rsidP="00A73DBD">
            <w:pPr>
              <w:pStyle w:val="TableText"/>
              <w:rPr>
                <w:rFonts w:eastAsia="Calibri" w:cs="Segoe UI"/>
                <w:b/>
                <w:sz w:val="24"/>
                <w:szCs w:val="24"/>
              </w:rPr>
            </w:pPr>
            <w:r w:rsidRPr="003410C7">
              <w:rPr>
                <w:rFonts w:eastAsia="Calibri" w:cs="Segoe UI"/>
                <w:b/>
                <w:sz w:val="24"/>
                <w:szCs w:val="24"/>
              </w:rPr>
              <w:sym w:font="Wingdings" w:char="00FC"/>
            </w:r>
            <w:r w:rsidRPr="003410C7">
              <w:rPr>
                <w:rFonts w:eastAsia="Calibri" w:cs="Segoe UI"/>
                <w:b/>
                <w:sz w:val="24"/>
                <w:szCs w:val="24"/>
                <w:vertAlign w:val="superscript"/>
              </w:rPr>
              <w:t>2</w:t>
            </w:r>
          </w:p>
        </w:tc>
        <w:tc>
          <w:tcPr>
            <w:tcW w:w="1305" w:type="dxa"/>
            <w:tcBorders>
              <w:top w:val="single" w:sz="6" w:space="0" w:color="1F497D"/>
              <w:left w:val="single" w:sz="6" w:space="0" w:color="1F497D"/>
              <w:bottom w:val="single" w:sz="6" w:space="0" w:color="1F497D"/>
              <w:right w:val="single" w:sz="6" w:space="0" w:color="1F497D"/>
            </w:tcBorders>
            <w:shd w:val="clear" w:color="auto" w:fill="FFFFFF"/>
          </w:tcPr>
          <w:p w:rsidR="0033725C" w:rsidRPr="003410C7" w:rsidRDefault="0033725C" w:rsidP="00A73DBD">
            <w:pPr>
              <w:pStyle w:val="TableText"/>
              <w:rPr>
                <w:rFonts w:eastAsia="Calibri" w:cs="Segoe UI"/>
                <w:b/>
                <w:sz w:val="24"/>
                <w:szCs w:val="24"/>
              </w:rPr>
            </w:pPr>
            <w:r w:rsidRPr="003410C7">
              <w:rPr>
                <w:rFonts w:eastAsia="Calibri" w:cs="Segoe UI"/>
                <w:b/>
                <w:sz w:val="24"/>
                <w:szCs w:val="24"/>
              </w:rPr>
              <w:sym w:font="Wingdings" w:char="00FC"/>
            </w:r>
          </w:p>
        </w:tc>
        <w:tc>
          <w:tcPr>
            <w:tcW w:w="1251" w:type="dxa"/>
            <w:tcBorders>
              <w:top w:val="single" w:sz="6" w:space="0" w:color="1F497D"/>
              <w:left w:val="single" w:sz="6" w:space="0" w:color="1F497D"/>
              <w:bottom w:val="single" w:sz="6" w:space="0" w:color="1F497D"/>
              <w:right w:val="single" w:sz="6" w:space="0" w:color="1F497D"/>
            </w:tcBorders>
            <w:shd w:val="clear" w:color="auto" w:fill="FFFFFF"/>
          </w:tcPr>
          <w:p w:rsidR="0033725C" w:rsidRPr="003410C7" w:rsidRDefault="0033725C" w:rsidP="00A73DBD">
            <w:pPr>
              <w:pStyle w:val="TableText"/>
              <w:rPr>
                <w:rFonts w:eastAsia="Calibri" w:cs="Segoe UI"/>
                <w:b/>
                <w:sz w:val="24"/>
                <w:szCs w:val="24"/>
              </w:rPr>
            </w:pPr>
          </w:p>
        </w:tc>
      </w:tr>
      <w:tr w:rsidR="000C172E" w:rsidRPr="003410C7" w:rsidTr="000C172E">
        <w:tc>
          <w:tcPr>
            <w:tcW w:w="2020" w:type="dxa"/>
            <w:tcBorders>
              <w:top w:val="single" w:sz="6" w:space="0" w:color="1F497D"/>
              <w:left w:val="single" w:sz="4" w:space="0" w:color="072B61"/>
              <w:bottom w:val="single" w:sz="6" w:space="0" w:color="1F497D"/>
              <w:right w:val="single" w:sz="6" w:space="0" w:color="1F497D"/>
            </w:tcBorders>
            <w:shd w:val="clear" w:color="auto" w:fill="FFFFFF"/>
          </w:tcPr>
          <w:p w:rsidR="0033725C" w:rsidRPr="00451078" w:rsidRDefault="0033725C" w:rsidP="00A73DBD">
            <w:pPr>
              <w:pStyle w:val="TableText"/>
              <w:jc w:val="left"/>
              <w:rPr>
                <w:rFonts w:ascii="Tahoma" w:eastAsia="Calibri" w:hAnsi="Tahoma" w:cs="Tahoma"/>
                <w:sz w:val="18"/>
                <w:szCs w:val="18"/>
                <w:lang w:val="it-IT"/>
              </w:rPr>
            </w:pPr>
            <w:r w:rsidRPr="00451078">
              <w:rPr>
                <w:rFonts w:ascii="Tahoma" w:eastAsia="Calibri" w:hAnsi="Tahoma" w:cs="Tahoma"/>
                <w:sz w:val="18"/>
                <w:szCs w:val="18"/>
                <w:lang w:val="it-IT"/>
              </w:rPr>
              <w:t>Condivisione di record delle persone giuridiche personalizzati utilizzando l</w:t>
            </w:r>
            <w:r w:rsidR="0073727D">
              <w:rPr>
                <w:rFonts w:ascii="Tahoma" w:eastAsia="Calibri" w:hAnsi="Tahoma" w:cs="Tahoma"/>
                <w:sz w:val="18"/>
                <w:szCs w:val="18"/>
                <w:lang w:val="it-IT"/>
              </w:rPr>
              <w:t>’</w:t>
            </w:r>
            <w:r w:rsidRPr="00451078">
              <w:rPr>
                <w:rFonts w:ascii="Tahoma" w:eastAsia="Calibri" w:hAnsi="Tahoma" w:cs="Tahoma"/>
                <w:sz w:val="18"/>
                <w:szCs w:val="18"/>
                <w:lang w:val="it-IT"/>
              </w:rPr>
              <w:t>Accesso alle API</w:t>
            </w:r>
          </w:p>
        </w:tc>
        <w:tc>
          <w:tcPr>
            <w:tcW w:w="972" w:type="dxa"/>
            <w:tcBorders>
              <w:top w:val="single" w:sz="6" w:space="0" w:color="1F497D"/>
              <w:left w:val="single" w:sz="6" w:space="0" w:color="1F497D"/>
              <w:bottom w:val="single" w:sz="6" w:space="0" w:color="1F497D"/>
              <w:right w:val="single" w:sz="6" w:space="0" w:color="1F497D"/>
            </w:tcBorders>
            <w:shd w:val="clear" w:color="auto" w:fill="FFFFFF"/>
          </w:tcPr>
          <w:p w:rsidR="0033725C" w:rsidRPr="00451078" w:rsidRDefault="0033725C" w:rsidP="00A73DBD">
            <w:pPr>
              <w:pStyle w:val="TableText"/>
              <w:rPr>
                <w:rFonts w:eastAsia="Calibri" w:cs="Segoe UI"/>
                <w:b/>
                <w:sz w:val="24"/>
                <w:szCs w:val="24"/>
                <w:lang w:val="it-IT"/>
              </w:rPr>
            </w:pPr>
          </w:p>
        </w:tc>
        <w:tc>
          <w:tcPr>
            <w:tcW w:w="1053" w:type="dxa"/>
            <w:tcBorders>
              <w:top w:val="single" w:sz="6" w:space="0" w:color="1F497D"/>
              <w:left w:val="single" w:sz="6" w:space="0" w:color="1F497D"/>
              <w:bottom w:val="single" w:sz="6" w:space="0" w:color="1F497D"/>
              <w:right w:val="single" w:sz="6" w:space="0" w:color="1F497D"/>
            </w:tcBorders>
            <w:shd w:val="clear" w:color="auto" w:fill="FFFFFF"/>
          </w:tcPr>
          <w:p w:rsidR="0033725C" w:rsidRPr="003410C7" w:rsidRDefault="0033725C" w:rsidP="00A73DBD">
            <w:pPr>
              <w:pStyle w:val="TableText"/>
              <w:rPr>
                <w:rFonts w:ascii="Segoe" w:eastAsia="Calibri" w:hAnsi="Segoe"/>
              </w:rPr>
            </w:pPr>
            <w:r w:rsidRPr="003410C7">
              <w:rPr>
                <w:rFonts w:eastAsia="Calibri" w:cs="Segoe UI"/>
                <w:b/>
                <w:sz w:val="24"/>
                <w:szCs w:val="24"/>
              </w:rPr>
              <w:sym w:font="Wingdings" w:char="00FC"/>
            </w:r>
            <w:r w:rsidRPr="003410C7">
              <w:rPr>
                <w:rFonts w:eastAsia="Calibri" w:cs="Segoe UI"/>
                <w:b/>
                <w:sz w:val="24"/>
                <w:szCs w:val="24"/>
                <w:vertAlign w:val="superscript"/>
              </w:rPr>
              <w:t>2</w:t>
            </w:r>
          </w:p>
        </w:tc>
        <w:tc>
          <w:tcPr>
            <w:tcW w:w="1152" w:type="dxa"/>
            <w:tcBorders>
              <w:top w:val="single" w:sz="6" w:space="0" w:color="1F497D"/>
              <w:left w:val="single" w:sz="6" w:space="0" w:color="1F497D"/>
              <w:bottom w:val="single" w:sz="6" w:space="0" w:color="1F497D"/>
              <w:right w:val="single" w:sz="6" w:space="0" w:color="1F497D"/>
            </w:tcBorders>
            <w:shd w:val="clear" w:color="auto" w:fill="FFFFFF"/>
          </w:tcPr>
          <w:p w:rsidR="0033725C" w:rsidRPr="003410C7" w:rsidRDefault="0033725C" w:rsidP="00A73DBD">
            <w:pPr>
              <w:pStyle w:val="TableText"/>
              <w:rPr>
                <w:rFonts w:ascii="Segoe" w:eastAsia="Calibri" w:hAnsi="Segoe"/>
              </w:rPr>
            </w:pPr>
            <w:r w:rsidRPr="003410C7">
              <w:rPr>
                <w:rFonts w:eastAsia="Calibri" w:cs="Segoe UI"/>
                <w:b/>
                <w:sz w:val="24"/>
                <w:szCs w:val="24"/>
              </w:rPr>
              <w:sym w:font="Wingdings" w:char="00FC"/>
            </w:r>
          </w:p>
        </w:tc>
        <w:tc>
          <w:tcPr>
            <w:tcW w:w="1125" w:type="dxa"/>
            <w:tcBorders>
              <w:top w:val="single" w:sz="6" w:space="0" w:color="1F497D"/>
              <w:left w:val="single" w:sz="6" w:space="0" w:color="1F497D"/>
              <w:bottom w:val="single" w:sz="6" w:space="0" w:color="1F497D"/>
              <w:right w:val="single" w:sz="6" w:space="0" w:color="1F497D"/>
            </w:tcBorders>
            <w:shd w:val="clear" w:color="auto" w:fill="FFFFFF"/>
          </w:tcPr>
          <w:p w:rsidR="0033725C" w:rsidRPr="003410C7" w:rsidRDefault="0033725C" w:rsidP="00A73DBD">
            <w:pPr>
              <w:pStyle w:val="TableText"/>
              <w:rPr>
                <w:rFonts w:eastAsia="Calibri" w:cs="Segoe UI"/>
                <w:b/>
                <w:sz w:val="24"/>
                <w:szCs w:val="24"/>
              </w:rPr>
            </w:pPr>
            <w:r w:rsidRPr="003410C7">
              <w:rPr>
                <w:rFonts w:eastAsia="Calibri" w:cs="Segoe UI"/>
                <w:b/>
                <w:sz w:val="24"/>
                <w:szCs w:val="24"/>
              </w:rPr>
              <w:sym w:font="Wingdings" w:char="00FC"/>
            </w:r>
            <w:r w:rsidRPr="003410C7">
              <w:rPr>
                <w:rFonts w:eastAsia="Calibri" w:cs="Segoe UI"/>
                <w:b/>
                <w:sz w:val="24"/>
                <w:szCs w:val="24"/>
                <w:vertAlign w:val="superscript"/>
              </w:rPr>
              <w:t>2</w:t>
            </w:r>
          </w:p>
        </w:tc>
        <w:tc>
          <w:tcPr>
            <w:tcW w:w="1305" w:type="dxa"/>
            <w:tcBorders>
              <w:top w:val="single" w:sz="6" w:space="0" w:color="1F497D"/>
              <w:left w:val="single" w:sz="6" w:space="0" w:color="1F497D"/>
              <w:bottom w:val="single" w:sz="6" w:space="0" w:color="1F497D"/>
              <w:right w:val="single" w:sz="6" w:space="0" w:color="1F497D"/>
            </w:tcBorders>
            <w:shd w:val="clear" w:color="auto" w:fill="FFFFFF"/>
          </w:tcPr>
          <w:p w:rsidR="0033725C" w:rsidRPr="003410C7" w:rsidRDefault="0033725C" w:rsidP="00A73DBD">
            <w:pPr>
              <w:pStyle w:val="TableText"/>
              <w:rPr>
                <w:rFonts w:eastAsia="Calibri" w:cs="Segoe UI"/>
                <w:b/>
                <w:sz w:val="24"/>
                <w:szCs w:val="24"/>
              </w:rPr>
            </w:pPr>
            <w:r w:rsidRPr="003410C7">
              <w:rPr>
                <w:rFonts w:eastAsia="Calibri" w:cs="Segoe UI"/>
                <w:b/>
                <w:sz w:val="24"/>
                <w:szCs w:val="24"/>
              </w:rPr>
              <w:sym w:font="Wingdings" w:char="00FC"/>
            </w:r>
          </w:p>
        </w:tc>
        <w:tc>
          <w:tcPr>
            <w:tcW w:w="1251" w:type="dxa"/>
            <w:tcBorders>
              <w:top w:val="single" w:sz="6" w:space="0" w:color="1F497D"/>
              <w:left w:val="single" w:sz="6" w:space="0" w:color="1F497D"/>
              <w:bottom w:val="single" w:sz="6" w:space="0" w:color="1F497D"/>
              <w:right w:val="single" w:sz="6" w:space="0" w:color="1F497D"/>
            </w:tcBorders>
            <w:shd w:val="clear" w:color="auto" w:fill="FFFFFF"/>
          </w:tcPr>
          <w:p w:rsidR="0033725C" w:rsidRPr="003410C7" w:rsidRDefault="0033725C" w:rsidP="00A73DBD">
            <w:pPr>
              <w:pStyle w:val="TableText"/>
              <w:rPr>
                <w:rFonts w:eastAsia="Calibri" w:cs="Segoe UI"/>
                <w:b/>
                <w:sz w:val="24"/>
                <w:szCs w:val="24"/>
              </w:rPr>
            </w:pPr>
          </w:p>
        </w:tc>
      </w:tr>
      <w:tr w:rsidR="000C172E" w:rsidRPr="003410C7" w:rsidTr="000C172E">
        <w:tc>
          <w:tcPr>
            <w:tcW w:w="2020" w:type="dxa"/>
            <w:tcBorders>
              <w:top w:val="single" w:sz="6" w:space="0" w:color="1F497D"/>
              <w:left w:val="single" w:sz="4" w:space="0" w:color="072B61"/>
              <w:bottom w:val="single" w:sz="6" w:space="0" w:color="1F497D"/>
              <w:right w:val="single" w:sz="6" w:space="0" w:color="1F497D"/>
            </w:tcBorders>
            <w:shd w:val="clear" w:color="auto" w:fill="FFFFFF"/>
          </w:tcPr>
          <w:p w:rsidR="0033725C" w:rsidRPr="00451078" w:rsidRDefault="0033725C" w:rsidP="000B5FBB">
            <w:pPr>
              <w:pStyle w:val="TableText"/>
              <w:jc w:val="left"/>
              <w:rPr>
                <w:rFonts w:ascii="Tahoma" w:eastAsia="Calibri" w:hAnsi="Tahoma" w:cs="Tahoma"/>
                <w:sz w:val="18"/>
                <w:szCs w:val="18"/>
                <w:lang w:val="it-IT"/>
              </w:rPr>
            </w:pPr>
            <w:r w:rsidRPr="00451078">
              <w:rPr>
                <w:rFonts w:ascii="Tahoma" w:eastAsia="Calibri" w:hAnsi="Tahoma" w:cs="Tahoma"/>
                <w:sz w:val="18"/>
                <w:szCs w:val="18"/>
                <w:lang w:val="it-IT"/>
              </w:rPr>
              <w:lastRenderedPageBreak/>
              <w:t>Creazione di Account utilizzando i client Microsoft Dynamics</w:t>
            </w:r>
            <w:r w:rsidR="000B5FBB" w:rsidRPr="00451078">
              <w:rPr>
                <w:rFonts w:ascii="Tahoma" w:eastAsia="Calibri" w:hAnsi="Tahoma" w:cs="Tahoma"/>
                <w:sz w:val="18"/>
                <w:szCs w:val="18"/>
                <w:lang w:val="it-IT"/>
              </w:rPr>
              <w:t> </w:t>
            </w:r>
            <w:r w:rsidRPr="00451078">
              <w:rPr>
                <w:rFonts w:ascii="Tahoma" w:eastAsia="Calibri" w:hAnsi="Tahoma" w:cs="Tahoma"/>
                <w:sz w:val="18"/>
                <w:szCs w:val="18"/>
                <w:lang w:val="it-IT"/>
              </w:rPr>
              <w:t>CRM</w:t>
            </w:r>
            <w:r w:rsidRPr="00451078">
              <w:rPr>
                <w:rFonts w:ascii="Tahoma" w:eastAsia="Calibri" w:hAnsi="Tahoma" w:cs="Tahoma"/>
                <w:b/>
                <w:sz w:val="18"/>
                <w:szCs w:val="18"/>
                <w:vertAlign w:val="superscript"/>
                <w:lang w:val="it-IT"/>
              </w:rPr>
              <w:t>1</w:t>
            </w:r>
          </w:p>
        </w:tc>
        <w:tc>
          <w:tcPr>
            <w:tcW w:w="972" w:type="dxa"/>
            <w:tcBorders>
              <w:top w:val="single" w:sz="6" w:space="0" w:color="1F497D"/>
              <w:left w:val="single" w:sz="6" w:space="0" w:color="1F497D"/>
              <w:bottom w:val="single" w:sz="6" w:space="0" w:color="1F497D"/>
              <w:right w:val="single" w:sz="6" w:space="0" w:color="1F497D"/>
            </w:tcBorders>
            <w:shd w:val="clear" w:color="auto" w:fill="FFFFFF"/>
          </w:tcPr>
          <w:p w:rsidR="0033725C" w:rsidRPr="00451078" w:rsidRDefault="0033725C" w:rsidP="00A73DBD">
            <w:pPr>
              <w:pStyle w:val="TableText"/>
              <w:rPr>
                <w:rFonts w:eastAsia="Calibri" w:cs="Segoe UI"/>
                <w:b/>
                <w:sz w:val="24"/>
                <w:szCs w:val="24"/>
                <w:lang w:val="it-IT"/>
              </w:rPr>
            </w:pPr>
          </w:p>
        </w:tc>
        <w:tc>
          <w:tcPr>
            <w:tcW w:w="1053" w:type="dxa"/>
            <w:tcBorders>
              <w:top w:val="single" w:sz="6" w:space="0" w:color="1F497D"/>
              <w:left w:val="single" w:sz="6" w:space="0" w:color="1F497D"/>
              <w:bottom w:val="single" w:sz="6" w:space="0" w:color="1F497D"/>
              <w:right w:val="single" w:sz="6" w:space="0" w:color="1F497D"/>
            </w:tcBorders>
            <w:shd w:val="clear" w:color="auto" w:fill="FFFFFF"/>
          </w:tcPr>
          <w:p w:rsidR="0033725C" w:rsidRPr="003410C7" w:rsidRDefault="0033725C" w:rsidP="00A73DBD">
            <w:pPr>
              <w:pStyle w:val="TableText"/>
              <w:rPr>
                <w:rFonts w:ascii="Segoe" w:eastAsia="Calibri" w:hAnsi="Segoe"/>
              </w:rPr>
            </w:pPr>
            <w:r w:rsidRPr="003410C7">
              <w:rPr>
                <w:rFonts w:eastAsia="Calibri" w:cs="Segoe UI"/>
                <w:b/>
                <w:sz w:val="24"/>
                <w:szCs w:val="24"/>
              </w:rPr>
              <w:sym w:font="Wingdings" w:char="00FC"/>
            </w:r>
          </w:p>
        </w:tc>
        <w:tc>
          <w:tcPr>
            <w:tcW w:w="1152" w:type="dxa"/>
            <w:tcBorders>
              <w:top w:val="single" w:sz="6" w:space="0" w:color="1F497D"/>
              <w:left w:val="single" w:sz="6" w:space="0" w:color="1F497D"/>
              <w:bottom w:val="single" w:sz="6" w:space="0" w:color="1F497D"/>
              <w:right w:val="single" w:sz="6" w:space="0" w:color="1F497D"/>
            </w:tcBorders>
            <w:shd w:val="clear" w:color="auto" w:fill="FFFFFF"/>
          </w:tcPr>
          <w:p w:rsidR="0033725C" w:rsidRPr="003410C7" w:rsidRDefault="0033725C" w:rsidP="00A73DBD">
            <w:pPr>
              <w:pStyle w:val="TableText"/>
              <w:rPr>
                <w:rFonts w:ascii="Segoe" w:eastAsia="Calibri" w:hAnsi="Segoe"/>
              </w:rPr>
            </w:pPr>
            <w:r w:rsidRPr="003410C7">
              <w:rPr>
                <w:rFonts w:eastAsia="Calibri" w:cs="Segoe UI"/>
                <w:b/>
                <w:sz w:val="24"/>
                <w:szCs w:val="24"/>
              </w:rPr>
              <w:sym w:font="Wingdings" w:char="00FC"/>
            </w:r>
          </w:p>
        </w:tc>
        <w:tc>
          <w:tcPr>
            <w:tcW w:w="1125" w:type="dxa"/>
            <w:tcBorders>
              <w:top w:val="single" w:sz="6" w:space="0" w:color="1F497D"/>
              <w:left w:val="single" w:sz="6" w:space="0" w:color="1F497D"/>
              <w:bottom w:val="single" w:sz="6" w:space="0" w:color="1F497D"/>
              <w:right w:val="single" w:sz="6" w:space="0" w:color="1F497D"/>
            </w:tcBorders>
            <w:shd w:val="clear" w:color="auto" w:fill="FFFFFF"/>
          </w:tcPr>
          <w:p w:rsidR="0033725C" w:rsidRPr="003410C7" w:rsidRDefault="0033725C" w:rsidP="00A73DBD">
            <w:pPr>
              <w:pStyle w:val="TableText"/>
              <w:rPr>
                <w:rFonts w:eastAsia="Calibri" w:cs="Segoe UI"/>
                <w:b/>
                <w:sz w:val="24"/>
                <w:szCs w:val="24"/>
              </w:rPr>
            </w:pPr>
            <w:r w:rsidRPr="003410C7">
              <w:rPr>
                <w:rFonts w:eastAsia="Calibri" w:cs="Segoe UI"/>
                <w:b/>
                <w:sz w:val="24"/>
                <w:szCs w:val="24"/>
              </w:rPr>
              <w:sym w:font="Wingdings" w:char="00FC"/>
            </w:r>
          </w:p>
        </w:tc>
        <w:tc>
          <w:tcPr>
            <w:tcW w:w="1305" w:type="dxa"/>
            <w:tcBorders>
              <w:top w:val="single" w:sz="6" w:space="0" w:color="1F497D"/>
              <w:left w:val="single" w:sz="6" w:space="0" w:color="1F497D"/>
              <w:bottom w:val="single" w:sz="6" w:space="0" w:color="1F497D"/>
              <w:right w:val="single" w:sz="6" w:space="0" w:color="1F497D"/>
            </w:tcBorders>
            <w:shd w:val="clear" w:color="auto" w:fill="FFFFFF"/>
          </w:tcPr>
          <w:p w:rsidR="0033725C" w:rsidRPr="003410C7" w:rsidRDefault="0033725C" w:rsidP="00A73DBD">
            <w:pPr>
              <w:pStyle w:val="TableText"/>
              <w:rPr>
                <w:rFonts w:eastAsia="Calibri" w:cs="Segoe UI"/>
                <w:b/>
                <w:sz w:val="24"/>
                <w:szCs w:val="24"/>
              </w:rPr>
            </w:pPr>
          </w:p>
        </w:tc>
        <w:tc>
          <w:tcPr>
            <w:tcW w:w="1251" w:type="dxa"/>
            <w:tcBorders>
              <w:top w:val="single" w:sz="6" w:space="0" w:color="1F497D"/>
              <w:left w:val="single" w:sz="6" w:space="0" w:color="1F497D"/>
              <w:bottom w:val="single" w:sz="6" w:space="0" w:color="1F497D"/>
              <w:right w:val="single" w:sz="6" w:space="0" w:color="1F497D"/>
            </w:tcBorders>
            <w:shd w:val="clear" w:color="auto" w:fill="FFFFFF"/>
          </w:tcPr>
          <w:p w:rsidR="0033725C" w:rsidRPr="003410C7" w:rsidRDefault="0033725C" w:rsidP="00A73DBD">
            <w:pPr>
              <w:pStyle w:val="TableText"/>
              <w:rPr>
                <w:rFonts w:eastAsia="Calibri" w:cs="Segoe UI"/>
                <w:b/>
                <w:sz w:val="24"/>
                <w:szCs w:val="24"/>
              </w:rPr>
            </w:pPr>
          </w:p>
        </w:tc>
      </w:tr>
      <w:tr w:rsidR="000C172E" w:rsidRPr="003410C7" w:rsidTr="000C172E">
        <w:tc>
          <w:tcPr>
            <w:tcW w:w="2020" w:type="dxa"/>
            <w:tcBorders>
              <w:top w:val="single" w:sz="6" w:space="0" w:color="1F497D"/>
              <w:left w:val="single" w:sz="4" w:space="0" w:color="072B61"/>
              <w:bottom w:val="single" w:sz="6" w:space="0" w:color="1F497D"/>
              <w:right w:val="single" w:sz="6" w:space="0" w:color="1F497D"/>
            </w:tcBorders>
            <w:shd w:val="clear" w:color="auto" w:fill="FFFFFF"/>
          </w:tcPr>
          <w:p w:rsidR="0033725C" w:rsidRPr="00451078" w:rsidRDefault="0033725C" w:rsidP="000C172E">
            <w:pPr>
              <w:pStyle w:val="TableText"/>
              <w:jc w:val="left"/>
              <w:rPr>
                <w:rFonts w:ascii="Tahoma" w:eastAsia="Calibri" w:hAnsi="Tahoma" w:cs="Tahoma"/>
                <w:sz w:val="18"/>
                <w:szCs w:val="18"/>
                <w:lang w:val="it-IT"/>
              </w:rPr>
            </w:pPr>
            <w:r w:rsidRPr="00451078">
              <w:rPr>
                <w:rFonts w:ascii="Tahoma" w:eastAsia="Calibri" w:hAnsi="Tahoma" w:cs="Tahoma"/>
                <w:sz w:val="18"/>
                <w:szCs w:val="18"/>
                <w:lang w:val="it-IT"/>
              </w:rPr>
              <w:t>Creazione di Contatti utilizzando i</w:t>
            </w:r>
            <w:r w:rsidR="000C172E" w:rsidRPr="00451078">
              <w:rPr>
                <w:rFonts w:ascii="Tahoma" w:eastAsia="Calibri" w:hAnsi="Tahoma" w:cs="Tahoma"/>
                <w:sz w:val="18"/>
                <w:szCs w:val="18"/>
                <w:lang w:val="it-IT"/>
              </w:rPr>
              <w:t> </w:t>
            </w:r>
            <w:r w:rsidRPr="00451078">
              <w:rPr>
                <w:rFonts w:ascii="Tahoma" w:eastAsia="Calibri" w:hAnsi="Tahoma" w:cs="Tahoma"/>
                <w:sz w:val="18"/>
                <w:szCs w:val="18"/>
                <w:lang w:val="it-IT"/>
              </w:rPr>
              <w:t>client</w:t>
            </w:r>
            <w:r w:rsidR="000C172E" w:rsidRPr="00451078">
              <w:rPr>
                <w:rFonts w:ascii="Tahoma" w:eastAsia="Calibri" w:hAnsi="Tahoma" w:cs="Tahoma"/>
                <w:sz w:val="18"/>
                <w:szCs w:val="18"/>
                <w:lang w:val="it-IT"/>
              </w:rPr>
              <w:t> </w:t>
            </w:r>
            <w:r w:rsidRPr="00451078">
              <w:rPr>
                <w:rFonts w:ascii="Tahoma" w:eastAsia="Calibri" w:hAnsi="Tahoma" w:cs="Tahoma"/>
                <w:sz w:val="18"/>
                <w:szCs w:val="18"/>
                <w:lang w:val="it-IT"/>
              </w:rPr>
              <w:t>Microsoft Dynamics</w:t>
            </w:r>
            <w:r w:rsidR="000C172E" w:rsidRPr="00451078">
              <w:rPr>
                <w:rFonts w:ascii="Tahoma" w:eastAsia="Calibri" w:hAnsi="Tahoma" w:cs="Tahoma"/>
                <w:sz w:val="18"/>
                <w:szCs w:val="18"/>
                <w:lang w:val="it-IT"/>
              </w:rPr>
              <w:t> </w:t>
            </w:r>
            <w:r w:rsidRPr="00451078">
              <w:rPr>
                <w:rFonts w:ascii="Tahoma" w:eastAsia="Calibri" w:hAnsi="Tahoma" w:cs="Tahoma"/>
                <w:sz w:val="18"/>
                <w:szCs w:val="18"/>
                <w:lang w:val="it-IT"/>
              </w:rPr>
              <w:t>CRM</w:t>
            </w:r>
          </w:p>
        </w:tc>
        <w:tc>
          <w:tcPr>
            <w:tcW w:w="972" w:type="dxa"/>
            <w:tcBorders>
              <w:top w:val="single" w:sz="6" w:space="0" w:color="1F497D"/>
              <w:left w:val="single" w:sz="6" w:space="0" w:color="1F497D"/>
              <w:bottom w:val="single" w:sz="6" w:space="0" w:color="1F497D"/>
              <w:right w:val="single" w:sz="6" w:space="0" w:color="1F497D"/>
            </w:tcBorders>
            <w:shd w:val="clear" w:color="auto" w:fill="FFFFFF"/>
          </w:tcPr>
          <w:p w:rsidR="0033725C" w:rsidRPr="00451078" w:rsidRDefault="0033725C" w:rsidP="00A73DBD">
            <w:pPr>
              <w:pStyle w:val="TableText"/>
              <w:rPr>
                <w:rFonts w:eastAsia="Calibri" w:cs="Segoe UI"/>
                <w:b/>
                <w:sz w:val="24"/>
                <w:szCs w:val="24"/>
                <w:lang w:val="it-IT"/>
              </w:rPr>
            </w:pPr>
          </w:p>
        </w:tc>
        <w:tc>
          <w:tcPr>
            <w:tcW w:w="1053" w:type="dxa"/>
            <w:tcBorders>
              <w:top w:val="single" w:sz="6" w:space="0" w:color="1F497D"/>
              <w:left w:val="single" w:sz="6" w:space="0" w:color="1F497D"/>
              <w:bottom w:val="single" w:sz="6" w:space="0" w:color="1F497D"/>
              <w:right w:val="single" w:sz="6" w:space="0" w:color="1F497D"/>
            </w:tcBorders>
            <w:shd w:val="clear" w:color="auto" w:fill="FFFFFF"/>
          </w:tcPr>
          <w:p w:rsidR="0033725C" w:rsidRPr="003410C7" w:rsidRDefault="0033725C" w:rsidP="00A73DBD">
            <w:pPr>
              <w:pStyle w:val="TableText"/>
              <w:rPr>
                <w:rFonts w:ascii="Segoe" w:eastAsia="Calibri" w:hAnsi="Segoe"/>
              </w:rPr>
            </w:pPr>
            <w:r w:rsidRPr="003410C7">
              <w:rPr>
                <w:rFonts w:eastAsia="Calibri" w:cs="Segoe UI"/>
                <w:b/>
                <w:sz w:val="24"/>
                <w:szCs w:val="24"/>
              </w:rPr>
              <w:sym w:font="Wingdings" w:char="00FC"/>
            </w:r>
          </w:p>
        </w:tc>
        <w:tc>
          <w:tcPr>
            <w:tcW w:w="1152" w:type="dxa"/>
            <w:tcBorders>
              <w:top w:val="single" w:sz="6" w:space="0" w:color="1F497D"/>
              <w:left w:val="single" w:sz="6" w:space="0" w:color="1F497D"/>
              <w:bottom w:val="single" w:sz="6" w:space="0" w:color="1F497D"/>
              <w:right w:val="single" w:sz="6" w:space="0" w:color="1F497D"/>
            </w:tcBorders>
            <w:shd w:val="clear" w:color="auto" w:fill="FFFFFF"/>
          </w:tcPr>
          <w:p w:rsidR="0033725C" w:rsidRPr="003410C7" w:rsidRDefault="0033725C" w:rsidP="00A73DBD">
            <w:pPr>
              <w:pStyle w:val="TableText"/>
              <w:rPr>
                <w:rFonts w:ascii="Segoe" w:eastAsia="Calibri" w:hAnsi="Segoe"/>
              </w:rPr>
            </w:pPr>
            <w:r w:rsidRPr="003410C7">
              <w:rPr>
                <w:rFonts w:eastAsia="Calibri" w:cs="Segoe UI"/>
                <w:b/>
                <w:sz w:val="24"/>
                <w:szCs w:val="24"/>
              </w:rPr>
              <w:sym w:font="Wingdings" w:char="00FC"/>
            </w:r>
          </w:p>
        </w:tc>
        <w:tc>
          <w:tcPr>
            <w:tcW w:w="1125" w:type="dxa"/>
            <w:tcBorders>
              <w:top w:val="single" w:sz="6" w:space="0" w:color="1F497D"/>
              <w:left w:val="single" w:sz="6" w:space="0" w:color="1F497D"/>
              <w:bottom w:val="single" w:sz="6" w:space="0" w:color="1F497D"/>
              <w:right w:val="single" w:sz="6" w:space="0" w:color="1F497D"/>
            </w:tcBorders>
            <w:shd w:val="clear" w:color="auto" w:fill="FFFFFF"/>
          </w:tcPr>
          <w:p w:rsidR="0033725C" w:rsidRPr="003410C7" w:rsidRDefault="0033725C" w:rsidP="00A73DBD">
            <w:pPr>
              <w:pStyle w:val="TableText"/>
              <w:rPr>
                <w:rFonts w:eastAsia="Calibri" w:cs="Segoe UI"/>
                <w:b/>
                <w:sz w:val="24"/>
                <w:szCs w:val="24"/>
              </w:rPr>
            </w:pPr>
            <w:r w:rsidRPr="003410C7">
              <w:rPr>
                <w:rFonts w:eastAsia="Calibri" w:cs="Segoe UI"/>
                <w:b/>
                <w:sz w:val="24"/>
                <w:szCs w:val="24"/>
              </w:rPr>
              <w:sym w:font="Wingdings" w:char="00FC"/>
            </w:r>
          </w:p>
        </w:tc>
        <w:tc>
          <w:tcPr>
            <w:tcW w:w="1305" w:type="dxa"/>
            <w:tcBorders>
              <w:top w:val="single" w:sz="6" w:space="0" w:color="1F497D"/>
              <w:left w:val="single" w:sz="6" w:space="0" w:color="1F497D"/>
              <w:bottom w:val="single" w:sz="6" w:space="0" w:color="1F497D"/>
              <w:right w:val="single" w:sz="6" w:space="0" w:color="1F497D"/>
            </w:tcBorders>
            <w:shd w:val="clear" w:color="auto" w:fill="FFFFFF"/>
          </w:tcPr>
          <w:p w:rsidR="0033725C" w:rsidRPr="003410C7" w:rsidRDefault="0033725C" w:rsidP="00A73DBD">
            <w:pPr>
              <w:pStyle w:val="TableText"/>
              <w:rPr>
                <w:rFonts w:eastAsia="Calibri" w:cs="Segoe UI"/>
                <w:b/>
                <w:sz w:val="24"/>
                <w:szCs w:val="24"/>
              </w:rPr>
            </w:pPr>
          </w:p>
        </w:tc>
        <w:tc>
          <w:tcPr>
            <w:tcW w:w="1251" w:type="dxa"/>
            <w:tcBorders>
              <w:top w:val="single" w:sz="6" w:space="0" w:color="1F497D"/>
              <w:left w:val="single" w:sz="6" w:space="0" w:color="1F497D"/>
              <w:bottom w:val="single" w:sz="6" w:space="0" w:color="1F497D"/>
              <w:right w:val="single" w:sz="6" w:space="0" w:color="1F497D"/>
            </w:tcBorders>
            <w:shd w:val="clear" w:color="auto" w:fill="FFFFFF"/>
          </w:tcPr>
          <w:p w:rsidR="0033725C" w:rsidRPr="003410C7" w:rsidRDefault="0033725C" w:rsidP="00A73DBD">
            <w:pPr>
              <w:pStyle w:val="TableText"/>
              <w:rPr>
                <w:rFonts w:eastAsia="Calibri" w:cs="Segoe UI"/>
                <w:b/>
                <w:sz w:val="24"/>
                <w:szCs w:val="24"/>
              </w:rPr>
            </w:pPr>
          </w:p>
        </w:tc>
      </w:tr>
      <w:tr w:rsidR="000C172E" w:rsidRPr="003410C7" w:rsidTr="000C172E">
        <w:tc>
          <w:tcPr>
            <w:tcW w:w="2020" w:type="dxa"/>
            <w:tcBorders>
              <w:top w:val="single" w:sz="6" w:space="0" w:color="1F497D"/>
              <w:left w:val="single" w:sz="4" w:space="0" w:color="072B61"/>
              <w:bottom w:val="single" w:sz="6" w:space="0" w:color="1F497D"/>
              <w:right w:val="single" w:sz="6" w:space="0" w:color="1F497D"/>
            </w:tcBorders>
            <w:shd w:val="clear" w:color="auto" w:fill="FFFFFF"/>
          </w:tcPr>
          <w:p w:rsidR="0033725C" w:rsidRPr="00451078" w:rsidRDefault="0033725C" w:rsidP="000B5FBB">
            <w:pPr>
              <w:pStyle w:val="TableText"/>
              <w:jc w:val="left"/>
              <w:rPr>
                <w:rFonts w:ascii="Tahoma" w:eastAsia="Calibri" w:hAnsi="Tahoma" w:cs="Tahoma"/>
                <w:sz w:val="18"/>
                <w:szCs w:val="18"/>
                <w:lang w:val="it-IT"/>
              </w:rPr>
            </w:pPr>
            <w:r w:rsidRPr="00451078">
              <w:rPr>
                <w:rFonts w:ascii="Tahoma" w:eastAsia="Calibri" w:hAnsi="Tahoma" w:cs="Tahoma"/>
                <w:sz w:val="18"/>
                <w:szCs w:val="18"/>
                <w:lang w:val="it-IT"/>
              </w:rPr>
              <w:t>Creazione di Casi utilizzando i client Microsoft Dynamics</w:t>
            </w:r>
            <w:r w:rsidR="000B5FBB" w:rsidRPr="00451078">
              <w:rPr>
                <w:rFonts w:ascii="Tahoma" w:eastAsia="Calibri" w:hAnsi="Tahoma" w:cs="Tahoma"/>
                <w:sz w:val="18"/>
                <w:szCs w:val="18"/>
                <w:lang w:val="it-IT"/>
              </w:rPr>
              <w:t> </w:t>
            </w:r>
            <w:r w:rsidRPr="00451078">
              <w:rPr>
                <w:rFonts w:ascii="Tahoma" w:eastAsia="Calibri" w:hAnsi="Tahoma" w:cs="Tahoma"/>
                <w:sz w:val="18"/>
                <w:szCs w:val="18"/>
                <w:lang w:val="it-IT"/>
              </w:rPr>
              <w:t>CRM</w:t>
            </w:r>
          </w:p>
        </w:tc>
        <w:tc>
          <w:tcPr>
            <w:tcW w:w="972" w:type="dxa"/>
            <w:tcBorders>
              <w:top w:val="single" w:sz="6" w:space="0" w:color="1F497D"/>
              <w:left w:val="single" w:sz="6" w:space="0" w:color="1F497D"/>
              <w:bottom w:val="single" w:sz="6" w:space="0" w:color="1F497D"/>
              <w:right w:val="single" w:sz="6" w:space="0" w:color="1F497D"/>
            </w:tcBorders>
            <w:shd w:val="clear" w:color="auto" w:fill="FFFFFF"/>
          </w:tcPr>
          <w:p w:rsidR="0033725C" w:rsidRPr="00451078" w:rsidRDefault="0033725C" w:rsidP="00A73DBD">
            <w:pPr>
              <w:pStyle w:val="TableText"/>
              <w:rPr>
                <w:rFonts w:eastAsia="Calibri" w:cs="Segoe UI"/>
                <w:b/>
                <w:sz w:val="24"/>
                <w:szCs w:val="24"/>
                <w:lang w:val="it-IT"/>
              </w:rPr>
            </w:pPr>
          </w:p>
        </w:tc>
        <w:tc>
          <w:tcPr>
            <w:tcW w:w="1053" w:type="dxa"/>
            <w:tcBorders>
              <w:top w:val="single" w:sz="6" w:space="0" w:color="1F497D"/>
              <w:left w:val="single" w:sz="6" w:space="0" w:color="1F497D"/>
              <w:bottom w:val="single" w:sz="6" w:space="0" w:color="1F497D"/>
              <w:right w:val="single" w:sz="6" w:space="0" w:color="1F497D"/>
            </w:tcBorders>
            <w:shd w:val="clear" w:color="auto" w:fill="FFFFFF"/>
          </w:tcPr>
          <w:p w:rsidR="0033725C" w:rsidRPr="003410C7" w:rsidRDefault="0033725C" w:rsidP="00A73DBD">
            <w:pPr>
              <w:pStyle w:val="TableText"/>
              <w:rPr>
                <w:rFonts w:ascii="Segoe" w:eastAsia="Calibri" w:hAnsi="Segoe"/>
              </w:rPr>
            </w:pPr>
            <w:r w:rsidRPr="003410C7">
              <w:rPr>
                <w:rFonts w:eastAsia="Calibri" w:cs="Segoe UI"/>
                <w:b/>
                <w:sz w:val="24"/>
                <w:szCs w:val="24"/>
              </w:rPr>
              <w:sym w:font="Wingdings" w:char="00FC"/>
            </w:r>
          </w:p>
        </w:tc>
        <w:tc>
          <w:tcPr>
            <w:tcW w:w="1152" w:type="dxa"/>
            <w:tcBorders>
              <w:top w:val="single" w:sz="6" w:space="0" w:color="1F497D"/>
              <w:left w:val="single" w:sz="6" w:space="0" w:color="1F497D"/>
              <w:bottom w:val="single" w:sz="6" w:space="0" w:color="1F497D"/>
              <w:right w:val="single" w:sz="6" w:space="0" w:color="1F497D"/>
            </w:tcBorders>
            <w:shd w:val="clear" w:color="auto" w:fill="FFFFFF"/>
          </w:tcPr>
          <w:p w:rsidR="0033725C" w:rsidRPr="003410C7" w:rsidRDefault="0033725C" w:rsidP="00A73DBD">
            <w:pPr>
              <w:pStyle w:val="TableText"/>
              <w:rPr>
                <w:rFonts w:ascii="Segoe" w:eastAsia="Calibri" w:hAnsi="Segoe"/>
              </w:rPr>
            </w:pPr>
            <w:r w:rsidRPr="003410C7">
              <w:rPr>
                <w:rFonts w:eastAsia="Calibri" w:cs="Segoe UI"/>
                <w:b/>
                <w:sz w:val="24"/>
                <w:szCs w:val="24"/>
              </w:rPr>
              <w:sym w:font="Wingdings" w:char="00FC"/>
            </w:r>
          </w:p>
        </w:tc>
        <w:tc>
          <w:tcPr>
            <w:tcW w:w="1125" w:type="dxa"/>
            <w:tcBorders>
              <w:top w:val="single" w:sz="6" w:space="0" w:color="1F497D"/>
              <w:left w:val="single" w:sz="6" w:space="0" w:color="1F497D"/>
              <w:bottom w:val="single" w:sz="6" w:space="0" w:color="1F497D"/>
              <w:right w:val="single" w:sz="6" w:space="0" w:color="1F497D"/>
            </w:tcBorders>
            <w:shd w:val="clear" w:color="auto" w:fill="FFFFFF"/>
          </w:tcPr>
          <w:p w:rsidR="0033725C" w:rsidRPr="003410C7" w:rsidRDefault="0033725C" w:rsidP="00A73DBD">
            <w:pPr>
              <w:pStyle w:val="TableText"/>
              <w:rPr>
                <w:rFonts w:eastAsia="Calibri" w:cs="Segoe UI"/>
                <w:b/>
                <w:sz w:val="24"/>
                <w:szCs w:val="24"/>
              </w:rPr>
            </w:pPr>
            <w:r w:rsidRPr="003410C7">
              <w:rPr>
                <w:rFonts w:eastAsia="Calibri" w:cs="Segoe UI"/>
                <w:b/>
                <w:sz w:val="24"/>
                <w:szCs w:val="24"/>
              </w:rPr>
              <w:sym w:font="Wingdings" w:char="00FC"/>
            </w:r>
          </w:p>
        </w:tc>
        <w:tc>
          <w:tcPr>
            <w:tcW w:w="1305" w:type="dxa"/>
            <w:tcBorders>
              <w:top w:val="single" w:sz="6" w:space="0" w:color="1F497D"/>
              <w:left w:val="single" w:sz="6" w:space="0" w:color="1F497D"/>
              <w:bottom w:val="single" w:sz="6" w:space="0" w:color="1F497D"/>
              <w:right w:val="single" w:sz="6" w:space="0" w:color="1F497D"/>
            </w:tcBorders>
            <w:shd w:val="clear" w:color="auto" w:fill="FFFFFF"/>
          </w:tcPr>
          <w:p w:rsidR="0033725C" w:rsidRPr="003410C7" w:rsidRDefault="0033725C" w:rsidP="00A73DBD">
            <w:pPr>
              <w:pStyle w:val="TableText"/>
              <w:rPr>
                <w:rFonts w:eastAsia="Calibri" w:cs="Segoe UI"/>
                <w:b/>
                <w:sz w:val="24"/>
                <w:szCs w:val="24"/>
              </w:rPr>
            </w:pPr>
          </w:p>
        </w:tc>
        <w:tc>
          <w:tcPr>
            <w:tcW w:w="1251" w:type="dxa"/>
            <w:tcBorders>
              <w:top w:val="single" w:sz="6" w:space="0" w:color="1F497D"/>
              <w:left w:val="single" w:sz="6" w:space="0" w:color="1F497D"/>
              <w:bottom w:val="single" w:sz="6" w:space="0" w:color="1F497D"/>
              <w:right w:val="single" w:sz="6" w:space="0" w:color="1F497D"/>
            </w:tcBorders>
            <w:shd w:val="clear" w:color="auto" w:fill="FFFFFF"/>
          </w:tcPr>
          <w:p w:rsidR="0033725C" w:rsidRPr="003410C7" w:rsidRDefault="0033725C" w:rsidP="00A73DBD">
            <w:pPr>
              <w:pStyle w:val="TableText"/>
              <w:rPr>
                <w:rFonts w:eastAsia="Calibri" w:cs="Segoe UI"/>
                <w:b/>
                <w:sz w:val="24"/>
                <w:szCs w:val="24"/>
              </w:rPr>
            </w:pPr>
          </w:p>
        </w:tc>
      </w:tr>
      <w:tr w:rsidR="000C172E" w:rsidRPr="003410C7" w:rsidTr="000C172E">
        <w:tc>
          <w:tcPr>
            <w:tcW w:w="2020" w:type="dxa"/>
            <w:tcBorders>
              <w:top w:val="single" w:sz="6" w:space="0" w:color="1F497D"/>
              <w:left w:val="single" w:sz="4" w:space="0" w:color="072B61"/>
              <w:bottom w:val="single" w:sz="6" w:space="0" w:color="1F497D"/>
              <w:right w:val="single" w:sz="6" w:space="0" w:color="1F497D"/>
            </w:tcBorders>
            <w:shd w:val="clear" w:color="auto" w:fill="FFFFFF"/>
          </w:tcPr>
          <w:p w:rsidR="0033725C" w:rsidRPr="00451078" w:rsidRDefault="0033725C" w:rsidP="000B5FBB">
            <w:pPr>
              <w:pStyle w:val="TableText"/>
              <w:jc w:val="left"/>
              <w:rPr>
                <w:rFonts w:ascii="Tahoma" w:eastAsia="Calibri" w:hAnsi="Tahoma" w:cs="Tahoma"/>
                <w:sz w:val="18"/>
                <w:szCs w:val="18"/>
                <w:lang w:val="it-IT"/>
              </w:rPr>
            </w:pPr>
            <w:r w:rsidRPr="00451078">
              <w:rPr>
                <w:rFonts w:ascii="Tahoma" w:eastAsia="Calibri" w:hAnsi="Tahoma" w:cs="Tahoma"/>
                <w:sz w:val="18"/>
                <w:szCs w:val="18"/>
                <w:lang w:val="it-IT"/>
              </w:rPr>
              <w:t>Creazione di Lead utilizzando i client Microsoft Dynamics</w:t>
            </w:r>
            <w:r w:rsidR="000B5FBB" w:rsidRPr="00451078">
              <w:rPr>
                <w:rFonts w:ascii="Tahoma" w:eastAsia="Calibri" w:hAnsi="Tahoma" w:cs="Tahoma"/>
                <w:sz w:val="18"/>
                <w:szCs w:val="18"/>
                <w:lang w:val="it-IT"/>
              </w:rPr>
              <w:t> </w:t>
            </w:r>
            <w:r w:rsidRPr="00451078">
              <w:rPr>
                <w:rFonts w:ascii="Tahoma" w:eastAsia="Calibri" w:hAnsi="Tahoma" w:cs="Tahoma"/>
                <w:sz w:val="18"/>
                <w:szCs w:val="18"/>
                <w:lang w:val="it-IT"/>
              </w:rPr>
              <w:t>CRM</w:t>
            </w:r>
          </w:p>
        </w:tc>
        <w:tc>
          <w:tcPr>
            <w:tcW w:w="972" w:type="dxa"/>
            <w:tcBorders>
              <w:top w:val="single" w:sz="6" w:space="0" w:color="1F497D"/>
              <w:left w:val="single" w:sz="6" w:space="0" w:color="1F497D"/>
              <w:bottom w:val="single" w:sz="6" w:space="0" w:color="1F497D"/>
              <w:right w:val="single" w:sz="6" w:space="0" w:color="1F497D"/>
            </w:tcBorders>
            <w:shd w:val="clear" w:color="auto" w:fill="FFFFFF"/>
          </w:tcPr>
          <w:p w:rsidR="0033725C" w:rsidRPr="00451078" w:rsidRDefault="0033725C" w:rsidP="00A73DBD">
            <w:pPr>
              <w:pStyle w:val="TableText"/>
              <w:rPr>
                <w:rFonts w:eastAsia="Calibri" w:cs="Segoe UI"/>
                <w:b/>
                <w:sz w:val="24"/>
                <w:szCs w:val="24"/>
                <w:lang w:val="it-IT"/>
              </w:rPr>
            </w:pPr>
          </w:p>
        </w:tc>
        <w:tc>
          <w:tcPr>
            <w:tcW w:w="1053" w:type="dxa"/>
            <w:tcBorders>
              <w:top w:val="single" w:sz="6" w:space="0" w:color="1F497D"/>
              <w:left w:val="single" w:sz="6" w:space="0" w:color="1F497D"/>
              <w:bottom w:val="single" w:sz="6" w:space="0" w:color="1F497D"/>
              <w:right w:val="single" w:sz="6" w:space="0" w:color="1F497D"/>
            </w:tcBorders>
            <w:shd w:val="clear" w:color="auto" w:fill="FFFFFF"/>
          </w:tcPr>
          <w:p w:rsidR="0033725C" w:rsidRPr="003410C7" w:rsidRDefault="0033725C" w:rsidP="00A73DBD">
            <w:pPr>
              <w:pStyle w:val="TableText"/>
              <w:rPr>
                <w:rFonts w:ascii="Segoe" w:eastAsia="Calibri" w:hAnsi="Segoe"/>
              </w:rPr>
            </w:pPr>
            <w:r w:rsidRPr="003410C7">
              <w:rPr>
                <w:rFonts w:eastAsia="Calibri" w:cs="Segoe UI"/>
                <w:b/>
                <w:sz w:val="24"/>
                <w:szCs w:val="24"/>
              </w:rPr>
              <w:sym w:font="Wingdings" w:char="00FC"/>
            </w:r>
          </w:p>
        </w:tc>
        <w:tc>
          <w:tcPr>
            <w:tcW w:w="1152" w:type="dxa"/>
            <w:tcBorders>
              <w:top w:val="single" w:sz="6" w:space="0" w:color="1F497D"/>
              <w:left w:val="single" w:sz="6" w:space="0" w:color="1F497D"/>
              <w:bottom w:val="single" w:sz="6" w:space="0" w:color="1F497D"/>
              <w:right w:val="single" w:sz="6" w:space="0" w:color="1F497D"/>
            </w:tcBorders>
            <w:shd w:val="clear" w:color="auto" w:fill="FFFFFF"/>
          </w:tcPr>
          <w:p w:rsidR="0033725C" w:rsidRPr="003410C7" w:rsidRDefault="0033725C" w:rsidP="00A73DBD">
            <w:pPr>
              <w:pStyle w:val="TableText"/>
              <w:rPr>
                <w:rFonts w:ascii="Segoe" w:eastAsia="Calibri" w:hAnsi="Segoe"/>
              </w:rPr>
            </w:pPr>
            <w:r w:rsidRPr="003410C7">
              <w:rPr>
                <w:rFonts w:eastAsia="Calibri" w:cs="Segoe UI"/>
                <w:b/>
                <w:sz w:val="24"/>
                <w:szCs w:val="24"/>
              </w:rPr>
              <w:sym w:font="Wingdings" w:char="00FC"/>
            </w:r>
          </w:p>
        </w:tc>
        <w:tc>
          <w:tcPr>
            <w:tcW w:w="1125" w:type="dxa"/>
            <w:tcBorders>
              <w:top w:val="single" w:sz="6" w:space="0" w:color="1F497D"/>
              <w:left w:val="single" w:sz="6" w:space="0" w:color="1F497D"/>
              <w:bottom w:val="single" w:sz="6" w:space="0" w:color="1F497D"/>
              <w:right w:val="single" w:sz="6" w:space="0" w:color="1F497D"/>
            </w:tcBorders>
            <w:shd w:val="clear" w:color="auto" w:fill="FFFFFF"/>
          </w:tcPr>
          <w:p w:rsidR="0033725C" w:rsidRPr="003410C7" w:rsidRDefault="0033725C" w:rsidP="00A73DBD">
            <w:pPr>
              <w:pStyle w:val="TableText"/>
              <w:rPr>
                <w:rFonts w:eastAsia="Calibri" w:cs="Segoe UI"/>
                <w:b/>
                <w:sz w:val="24"/>
                <w:szCs w:val="24"/>
              </w:rPr>
            </w:pPr>
            <w:r w:rsidRPr="003410C7">
              <w:rPr>
                <w:rFonts w:eastAsia="Calibri" w:cs="Segoe UI"/>
                <w:b/>
                <w:sz w:val="24"/>
                <w:szCs w:val="24"/>
              </w:rPr>
              <w:sym w:font="Wingdings" w:char="00FC"/>
            </w:r>
          </w:p>
        </w:tc>
        <w:tc>
          <w:tcPr>
            <w:tcW w:w="1305" w:type="dxa"/>
            <w:tcBorders>
              <w:top w:val="single" w:sz="6" w:space="0" w:color="1F497D"/>
              <w:left w:val="single" w:sz="6" w:space="0" w:color="1F497D"/>
              <w:bottom w:val="single" w:sz="6" w:space="0" w:color="1F497D"/>
              <w:right w:val="single" w:sz="6" w:space="0" w:color="1F497D"/>
            </w:tcBorders>
            <w:shd w:val="clear" w:color="auto" w:fill="FFFFFF"/>
          </w:tcPr>
          <w:p w:rsidR="0033725C" w:rsidRPr="003410C7" w:rsidRDefault="0033725C" w:rsidP="00A73DBD">
            <w:pPr>
              <w:pStyle w:val="TableText"/>
              <w:rPr>
                <w:rFonts w:eastAsia="Calibri" w:cs="Segoe UI"/>
                <w:b/>
                <w:sz w:val="24"/>
                <w:szCs w:val="24"/>
              </w:rPr>
            </w:pPr>
          </w:p>
        </w:tc>
        <w:tc>
          <w:tcPr>
            <w:tcW w:w="1251" w:type="dxa"/>
            <w:tcBorders>
              <w:top w:val="single" w:sz="6" w:space="0" w:color="1F497D"/>
              <w:left w:val="single" w:sz="6" w:space="0" w:color="1F497D"/>
              <w:bottom w:val="single" w:sz="6" w:space="0" w:color="1F497D"/>
              <w:right w:val="single" w:sz="6" w:space="0" w:color="1F497D"/>
            </w:tcBorders>
            <w:shd w:val="clear" w:color="auto" w:fill="FFFFFF"/>
          </w:tcPr>
          <w:p w:rsidR="0033725C" w:rsidRPr="003410C7" w:rsidRDefault="0033725C" w:rsidP="00A73DBD">
            <w:pPr>
              <w:pStyle w:val="TableText"/>
              <w:rPr>
                <w:rFonts w:eastAsia="Calibri" w:cs="Segoe UI"/>
                <w:b/>
                <w:sz w:val="24"/>
                <w:szCs w:val="24"/>
              </w:rPr>
            </w:pPr>
          </w:p>
        </w:tc>
      </w:tr>
      <w:tr w:rsidR="000C172E" w:rsidRPr="003410C7" w:rsidTr="000C172E">
        <w:tc>
          <w:tcPr>
            <w:tcW w:w="2020" w:type="dxa"/>
            <w:tcBorders>
              <w:top w:val="single" w:sz="6" w:space="0" w:color="1F497D"/>
              <w:left w:val="single" w:sz="4" w:space="0" w:color="072B61"/>
              <w:bottom w:val="single" w:sz="6" w:space="0" w:color="1F497D"/>
              <w:right w:val="single" w:sz="6" w:space="0" w:color="1F497D"/>
            </w:tcBorders>
            <w:shd w:val="clear" w:color="auto" w:fill="FFFFFF"/>
          </w:tcPr>
          <w:p w:rsidR="0033725C" w:rsidRPr="00451078" w:rsidRDefault="0033725C" w:rsidP="000B5FBB">
            <w:pPr>
              <w:pStyle w:val="TableText"/>
              <w:jc w:val="left"/>
              <w:rPr>
                <w:rFonts w:ascii="Tahoma" w:eastAsia="Calibri" w:hAnsi="Tahoma" w:cs="Tahoma"/>
                <w:sz w:val="18"/>
                <w:szCs w:val="18"/>
                <w:lang w:val="it-IT"/>
              </w:rPr>
            </w:pPr>
            <w:r w:rsidRPr="00451078">
              <w:rPr>
                <w:rFonts w:ascii="Tahoma" w:eastAsia="Calibri" w:hAnsi="Tahoma" w:cs="Tahoma"/>
                <w:sz w:val="18"/>
                <w:szCs w:val="18"/>
                <w:lang w:val="it-IT"/>
              </w:rPr>
              <w:t>Creazione di Attività utilizzando i client Microsoft Dynamics</w:t>
            </w:r>
            <w:r w:rsidR="000B5FBB" w:rsidRPr="00451078">
              <w:rPr>
                <w:rFonts w:ascii="Tahoma" w:eastAsia="Calibri" w:hAnsi="Tahoma" w:cs="Tahoma"/>
                <w:sz w:val="18"/>
                <w:szCs w:val="18"/>
                <w:lang w:val="it-IT"/>
              </w:rPr>
              <w:t> </w:t>
            </w:r>
            <w:r w:rsidRPr="00451078">
              <w:rPr>
                <w:rFonts w:ascii="Tahoma" w:eastAsia="Calibri" w:hAnsi="Tahoma" w:cs="Tahoma"/>
                <w:sz w:val="18"/>
                <w:szCs w:val="18"/>
                <w:lang w:val="it-IT"/>
              </w:rPr>
              <w:t>CRM</w:t>
            </w:r>
          </w:p>
        </w:tc>
        <w:tc>
          <w:tcPr>
            <w:tcW w:w="972" w:type="dxa"/>
            <w:tcBorders>
              <w:top w:val="single" w:sz="6" w:space="0" w:color="1F497D"/>
              <w:left w:val="single" w:sz="6" w:space="0" w:color="1F497D"/>
              <w:bottom w:val="single" w:sz="6" w:space="0" w:color="1F497D"/>
              <w:right w:val="single" w:sz="6" w:space="0" w:color="1F497D"/>
            </w:tcBorders>
            <w:shd w:val="clear" w:color="auto" w:fill="FFFFFF"/>
          </w:tcPr>
          <w:p w:rsidR="0033725C" w:rsidRPr="00451078" w:rsidRDefault="0033725C" w:rsidP="00A73DBD">
            <w:pPr>
              <w:pStyle w:val="TableText"/>
              <w:rPr>
                <w:rFonts w:eastAsia="Calibri" w:cs="Segoe UI"/>
                <w:b/>
                <w:sz w:val="24"/>
                <w:szCs w:val="24"/>
                <w:lang w:val="it-IT"/>
              </w:rPr>
            </w:pPr>
          </w:p>
        </w:tc>
        <w:tc>
          <w:tcPr>
            <w:tcW w:w="1053" w:type="dxa"/>
            <w:tcBorders>
              <w:top w:val="single" w:sz="6" w:space="0" w:color="1F497D"/>
              <w:left w:val="single" w:sz="6" w:space="0" w:color="1F497D"/>
              <w:bottom w:val="single" w:sz="6" w:space="0" w:color="1F497D"/>
              <w:right w:val="single" w:sz="6" w:space="0" w:color="1F497D"/>
            </w:tcBorders>
            <w:shd w:val="clear" w:color="auto" w:fill="FFFFFF"/>
          </w:tcPr>
          <w:p w:rsidR="0033725C" w:rsidRPr="003410C7" w:rsidRDefault="0033725C" w:rsidP="00A73DBD">
            <w:pPr>
              <w:pStyle w:val="TableText"/>
              <w:rPr>
                <w:rFonts w:ascii="Segoe" w:eastAsia="Calibri" w:hAnsi="Segoe"/>
              </w:rPr>
            </w:pPr>
            <w:r w:rsidRPr="003410C7">
              <w:rPr>
                <w:rFonts w:eastAsia="Calibri" w:cs="Segoe UI"/>
                <w:b/>
                <w:sz w:val="24"/>
                <w:szCs w:val="24"/>
              </w:rPr>
              <w:sym w:font="Wingdings" w:char="00FC"/>
            </w:r>
          </w:p>
        </w:tc>
        <w:tc>
          <w:tcPr>
            <w:tcW w:w="1152" w:type="dxa"/>
            <w:tcBorders>
              <w:top w:val="single" w:sz="6" w:space="0" w:color="1F497D"/>
              <w:left w:val="single" w:sz="6" w:space="0" w:color="1F497D"/>
              <w:bottom w:val="single" w:sz="6" w:space="0" w:color="1F497D"/>
              <w:right w:val="single" w:sz="6" w:space="0" w:color="1F497D"/>
            </w:tcBorders>
            <w:shd w:val="clear" w:color="auto" w:fill="FFFFFF"/>
          </w:tcPr>
          <w:p w:rsidR="0033725C" w:rsidRPr="003410C7" w:rsidRDefault="0033725C" w:rsidP="00A73DBD">
            <w:pPr>
              <w:pStyle w:val="TableText"/>
              <w:rPr>
                <w:rFonts w:ascii="Segoe" w:eastAsia="Calibri" w:hAnsi="Segoe"/>
              </w:rPr>
            </w:pPr>
            <w:r w:rsidRPr="003410C7">
              <w:rPr>
                <w:rFonts w:eastAsia="Calibri" w:cs="Segoe UI"/>
                <w:b/>
                <w:sz w:val="24"/>
                <w:szCs w:val="24"/>
              </w:rPr>
              <w:sym w:font="Wingdings" w:char="00FC"/>
            </w:r>
          </w:p>
        </w:tc>
        <w:tc>
          <w:tcPr>
            <w:tcW w:w="1125" w:type="dxa"/>
            <w:tcBorders>
              <w:top w:val="single" w:sz="6" w:space="0" w:color="1F497D"/>
              <w:left w:val="single" w:sz="6" w:space="0" w:color="1F497D"/>
              <w:bottom w:val="single" w:sz="6" w:space="0" w:color="1F497D"/>
              <w:right w:val="single" w:sz="6" w:space="0" w:color="1F497D"/>
            </w:tcBorders>
            <w:shd w:val="clear" w:color="auto" w:fill="FFFFFF"/>
          </w:tcPr>
          <w:p w:rsidR="0033725C" w:rsidRPr="003410C7" w:rsidRDefault="0033725C" w:rsidP="00A73DBD">
            <w:pPr>
              <w:pStyle w:val="TableText"/>
              <w:rPr>
                <w:rFonts w:eastAsia="Calibri" w:cs="Segoe UI"/>
                <w:b/>
                <w:sz w:val="24"/>
                <w:szCs w:val="24"/>
              </w:rPr>
            </w:pPr>
            <w:r w:rsidRPr="003410C7">
              <w:rPr>
                <w:rFonts w:eastAsia="Calibri" w:cs="Segoe UI"/>
                <w:b/>
                <w:sz w:val="24"/>
                <w:szCs w:val="24"/>
              </w:rPr>
              <w:sym w:font="Wingdings" w:char="00FC"/>
            </w:r>
          </w:p>
        </w:tc>
        <w:tc>
          <w:tcPr>
            <w:tcW w:w="1305" w:type="dxa"/>
            <w:tcBorders>
              <w:top w:val="single" w:sz="6" w:space="0" w:color="1F497D"/>
              <w:left w:val="single" w:sz="6" w:space="0" w:color="1F497D"/>
              <w:bottom w:val="single" w:sz="6" w:space="0" w:color="1F497D"/>
              <w:right w:val="single" w:sz="6" w:space="0" w:color="1F497D"/>
            </w:tcBorders>
            <w:shd w:val="clear" w:color="auto" w:fill="FFFFFF"/>
          </w:tcPr>
          <w:p w:rsidR="0033725C" w:rsidRPr="003410C7" w:rsidRDefault="0033725C" w:rsidP="00A73DBD">
            <w:pPr>
              <w:pStyle w:val="TableText"/>
              <w:rPr>
                <w:rFonts w:eastAsia="Calibri" w:cs="Segoe UI"/>
                <w:b/>
                <w:sz w:val="24"/>
                <w:szCs w:val="24"/>
              </w:rPr>
            </w:pPr>
          </w:p>
        </w:tc>
        <w:tc>
          <w:tcPr>
            <w:tcW w:w="1251" w:type="dxa"/>
            <w:tcBorders>
              <w:top w:val="single" w:sz="6" w:space="0" w:color="1F497D"/>
              <w:left w:val="single" w:sz="6" w:space="0" w:color="1F497D"/>
              <w:bottom w:val="single" w:sz="6" w:space="0" w:color="1F497D"/>
              <w:right w:val="single" w:sz="6" w:space="0" w:color="1F497D"/>
            </w:tcBorders>
            <w:shd w:val="clear" w:color="auto" w:fill="FFFFFF"/>
          </w:tcPr>
          <w:p w:rsidR="0033725C" w:rsidRPr="003410C7" w:rsidRDefault="0033725C" w:rsidP="00A73DBD">
            <w:pPr>
              <w:pStyle w:val="TableText"/>
              <w:rPr>
                <w:rFonts w:eastAsia="Calibri" w:cs="Segoe UI"/>
                <w:b/>
                <w:sz w:val="24"/>
                <w:szCs w:val="24"/>
              </w:rPr>
            </w:pPr>
          </w:p>
        </w:tc>
      </w:tr>
      <w:tr w:rsidR="000C172E" w:rsidRPr="003410C7" w:rsidTr="000C172E">
        <w:tc>
          <w:tcPr>
            <w:tcW w:w="2020" w:type="dxa"/>
            <w:tcBorders>
              <w:top w:val="single" w:sz="6" w:space="0" w:color="1F497D"/>
              <w:left w:val="single" w:sz="4" w:space="0" w:color="072B61"/>
              <w:bottom w:val="single" w:sz="6" w:space="0" w:color="1F497D"/>
              <w:right w:val="single" w:sz="6" w:space="0" w:color="1F497D"/>
            </w:tcBorders>
            <w:shd w:val="clear" w:color="auto" w:fill="FFFFFF"/>
          </w:tcPr>
          <w:p w:rsidR="0033725C" w:rsidRPr="00451078" w:rsidRDefault="0033725C" w:rsidP="000B5FBB">
            <w:pPr>
              <w:pStyle w:val="TableText"/>
              <w:jc w:val="left"/>
              <w:rPr>
                <w:rFonts w:ascii="Tahoma" w:eastAsia="Calibri" w:hAnsi="Tahoma" w:cs="Tahoma"/>
                <w:sz w:val="18"/>
                <w:szCs w:val="18"/>
                <w:lang w:val="it-IT"/>
              </w:rPr>
            </w:pPr>
            <w:r w:rsidRPr="00451078">
              <w:rPr>
                <w:rFonts w:ascii="Tahoma" w:eastAsia="Calibri" w:hAnsi="Tahoma" w:cs="Tahoma"/>
                <w:sz w:val="18"/>
                <w:szCs w:val="18"/>
                <w:lang w:val="it-IT"/>
              </w:rPr>
              <w:t>Creazione di Note utilizzando i client Microsoft Dynamics</w:t>
            </w:r>
            <w:r w:rsidR="000B5FBB" w:rsidRPr="00451078">
              <w:rPr>
                <w:rFonts w:ascii="Tahoma" w:eastAsia="Calibri" w:hAnsi="Tahoma" w:cs="Tahoma"/>
                <w:sz w:val="18"/>
                <w:szCs w:val="18"/>
                <w:lang w:val="it-IT"/>
              </w:rPr>
              <w:t> </w:t>
            </w:r>
            <w:r w:rsidRPr="00451078">
              <w:rPr>
                <w:rFonts w:ascii="Tahoma" w:eastAsia="Calibri" w:hAnsi="Tahoma" w:cs="Tahoma"/>
                <w:sz w:val="18"/>
                <w:szCs w:val="18"/>
                <w:lang w:val="it-IT"/>
              </w:rPr>
              <w:t>CRM</w:t>
            </w:r>
          </w:p>
        </w:tc>
        <w:tc>
          <w:tcPr>
            <w:tcW w:w="972" w:type="dxa"/>
            <w:tcBorders>
              <w:top w:val="single" w:sz="6" w:space="0" w:color="1F497D"/>
              <w:left w:val="single" w:sz="6" w:space="0" w:color="1F497D"/>
              <w:bottom w:val="single" w:sz="6" w:space="0" w:color="1F497D"/>
              <w:right w:val="single" w:sz="6" w:space="0" w:color="1F497D"/>
            </w:tcBorders>
            <w:shd w:val="clear" w:color="auto" w:fill="FFFFFF"/>
          </w:tcPr>
          <w:p w:rsidR="0033725C" w:rsidRPr="00451078" w:rsidRDefault="0033725C" w:rsidP="00A73DBD">
            <w:pPr>
              <w:pStyle w:val="TableText"/>
              <w:rPr>
                <w:rFonts w:eastAsia="Calibri" w:cs="Segoe UI"/>
                <w:b/>
                <w:sz w:val="24"/>
                <w:szCs w:val="24"/>
                <w:lang w:val="it-IT"/>
              </w:rPr>
            </w:pPr>
          </w:p>
        </w:tc>
        <w:tc>
          <w:tcPr>
            <w:tcW w:w="1053" w:type="dxa"/>
            <w:tcBorders>
              <w:top w:val="single" w:sz="6" w:space="0" w:color="1F497D"/>
              <w:left w:val="single" w:sz="6" w:space="0" w:color="1F497D"/>
              <w:bottom w:val="single" w:sz="6" w:space="0" w:color="1F497D"/>
              <w:right w:val="single" w:sz="6" w:space="0" w:color="1F497D"/>
            </w:tcBorders>
            <w:shd w:val="clear" w:color="auto" w:fill="FFFFFF"/>
          </w:tcPr>
          <w:p w:rsidR="0033725C" w:rsidRPr="003410C7" w:rsidRDefault="0033725C" w:rsidP="00A73DBD">
            <w:pPr>
              <w:pStyle w:val="TableText"/>
              <w:rPr>
                <w:rFonts w:ascii="Segoe" w:eastAsia="Calibri" w:hAnsi="Segoe"/>
              </w:rPr>
            </w:pPr>
            <w:r w:rsidRPr="003410C7">
              <w:rPr>
                <w:rFonts w:eastAsia="Calibri" w:cs="Segoe UI"/>
                <w:b/>
                <w:sz w:val="24"/>
                <w:szCs w:val="24"/>
              </w:rPr>
              <w:sym w:font="Wingdings" w:char="00FC"/>
            </w:r>
          </w:p>
        </w:tc>
        <w:tc>
          <w:tcPr>
            <w:tcW w:w="1152" w:type="dxa"/>
            <w:tcBorders>
              <w:top w:val="single" w:sz="6" w:space="0" w:color="1F497D"/>
              <w:left w:val="single" w:sz="6" w:space="0" w:color="1F497D"/>
              <w:bottom w:val="single" w:sz="6" w:space="0" w:color="1F497D"/>
              <w:right w:val="single" w:sz="6" w:space="0" w:color="1F497D"/>
            </w:tcBorders>
            <w:shd w:val="clear" w:color="auto" w:fill="FFFFFF"/>
          </w:tcPr>
          <w:p w:rsidR="0033725C" w:rsidRPr="003410C7" w:rsidRDefault="0033725C" w:rsidP="00A73DBD">
            <w:pPr>
              <w:pStyle w:val="TableText"/>
              <w:rPr>
                <w:rFonts w:ascii="Segoe" w:eastAsia="Calibri" w:hAnsi="Segoe"/>
              </w:rPr>
            </w:pPr>
            <w:r w:rsidRPr="003410C7">
              <w:rPr>
                <w:rFonts w:eastAsia="Calibri" w:cs="Segoe UI"/>
                <w:b/>
                <w:sz w:val="24"/>
                <w:szCs w:val="24"/>
              </w:rPr>
              <w:sym w:font="Wingdings" w:char="00FC"/>
            </w:r>
          </w:p>
        </w:tc>
        <w:tc>
          <w:tcPr>
            <w:tcW w:w="1125" w:type="dxa"/>
            <w:tcBorders>
              <w:top w:val="single" w:sz="6" w:space="0" w:color="1F497D"/>
              <w:left w:val="single" w:sz="6" w:space="0" w:color="1F497D"/>
              <w:bottom w:val="single" w:sz="6" w:space="0" w:color="1F497D"/>
              <w:right w:val="single" w:sz="6" w:space="0" w:color="1F497D"/>
            </w:tcBorders>
            <w:shd w:val="clear" w:color="auto" w:fill="FFFFFF"/>
          </w:tcPr>
          <w:p w:rsidR="0033725C" w:rsidRPr="003410C7" w:rsidRDefault="0033725C" w:rsidP="00A73DBD">
            <w:pPr>
              <w:pStyle w:val="TableText"/>
              <w:rPr>
                <w:rFonts w:eastAsia="Calibri" w:cs="Segoe UI"/>
                <w:b/>
                <w:sz w:val="24"/>
                <w:szCs w:val="24"/>
              </w:rPr>
            </w:pPr>
            <w:r w:rsidRPr="003410C7">
              <w:rPr>
                <w:rFonts w:eastAsia="Calibri" w:cs="Segoe UI"/>
                <w:b/>
                <w:sz w:val="24"/>
                <w:szCs w:val="24"/>
              </w:rPr>
              <w:sym w:font="Wingdings" w:char="00FC"/>
            </w:r>
          </w:p>
        </w:tc>
        <w:tc>
          <w:tcPr>
            <w:tcW w:w="1305" w:type="dxa"/>
            <w:tcBorders>
              <w:top w:val="single" w:sz="6" w:space="0" w:color="1F497D"/>
              <w:left w:val="single" w:sz="6" w:space="0" w:color="1F497D"/>
              <w:bottom w:val="single" w:sz="6" w:space="0" w:color="1F497D"/>
              <w:right w:val="single" w:sz="6" w:space="0" w:color="1F497D"/>
            </w:tcBorders>
            <w:shd w:val="clear" w:color="auto" w:fill="FFFFFF"/>
          </w:tcPr>
          <w:p w:rsidR="0033725C" w:rsidRPr="003410C7" w:rsidRDefault="0033725C" w:rsidP="00A73DBD">
            <w:pPr>
              <w:pStyle w:val="TableText"/>
              <w:rPr>
                <w:rFonts w:eastAsia="Calibri" w:cs="Segoe UI"/>
                <w:b/>
                <w:sz w:val="24"/>
                <w:szCs w:val="24"/>
              </w:rPr>
            </w:pPr>
          </w:p>
        </w:tc>
        <w:tc>
          <w:tcPr>
            <w:tcW w:w="1251" w:type="dxa"/>
            <w:tcBorders>
              <w:top w:val="single" w:sz="6" w:space="0" w:color="1F497D"/>
              <w:left w:val="single" w:sz="6" w:space="0" w:color="1F497D"/>
              <w:bottom w:val="single" w:sz="6" w:space="0" w:color="1F497D"/>
              <w:right w:val="single" w:sz="6" w:space="0" w:color="1F497D"/>
            </w:tcBorders>
            <w:shd w:val="clear" w:color="auto" w:fill="FFFFFF"/>
          </w:tcPr>
          <w:p w:rsidR="0033725C" w:rsidRPr="003410C7" w:rsidRDefault="0033725C" w:rsidP="00A73DBD">
            <w:pPr>
              <w:pStyle w:val="TableText"/>
              <w:rPr>
                <w:rFonts w:eastAsia="Calibri" w:cs="Segoe UI"/>
                <w:b/>
                <w:sz w:val="24"/>
                <w:szCs w:val="24"/>
              </w:rPr>
            </w:pPr>
          </w:p>
        </w:tc>
      </w:tr>
      <w:tr w:rsidR="000C172E" w:rsidRPr="003410C7" w:rsidTr="000C172E">
        <w:tc>
          <w:tcPr>
            <w:tcW w:w="2020" w:type="dxa"/>
            <w:tcBorders>
              <w:top w:val="single" w:sz="6" w:space="0" w:color="1F497D"/>
              <w:left w:val="single" w:sz="4" w:space="0" w:color="072B61"/>
              <w:bottom w:val="single" w:sz="6" w:space="0" w:color="1F497D"/>
              <w:right w:val="single" w:sz="6" w:space="0" w:color="1F497D"/>
            </w:tcBorders>
            <w:shd w:val="clear" w:color="auto" w:fill="FFFFFF"/>
          </w:tcPr>
          <w:p w:rsidR="0033725C" w:rsidRPr="00451078" w:rsidRDefault="0033725C" w:rsidP="000B5FBB">
            <w:pPr>
              <w:pStyle w:val="TableText"/>
              <w:jc w:val="left"/>
              <w:rPr>
                <w:rFonts w:ascii="Tahoma" w:eastAsia="Calibri" w:hAnsi="Tahoma" w:cs="Tahoma"/>
                <w:sz w:val="18"/>
                <w:szCs w:val="18"/>
                <w:lang w:val="it-IT"/>
              </w:rPr>
            </w:pPr>
            <w:r w:rsidRPr="00451078">
              <w:rPr>
                <w:rFonts w:ascii="Tahoma" w:eastAsia="Calibri" w:hAnsi="Tahoma" w:cs="Tahoma"/>
                <w:sz w:val="18"/>
                <w:szCs w:val="18"/>
                <w:lang w:val="it-IT"/>
              </w:rPr>
              <w:t>Aggiornamento di Account utilizzando i</w:t>
            </w:r>
            <w:r w:rsidR="000B5FBB" w:rsidRPr="00451078">
              <w:rPr>
                <w:rFonts w:ascii="Tahoma" w:eastAsia="Calibri" w:hAnsi="Tahoma" w:cs="Tahoma"/>
                <w:sz w:val="18"/>
                <w:szCs w:val="18"/>
                <w:lang w:val="it-IT"/>
              </w:rPr>
              <w:t> </w:t>
            </w:r>
            <w:r w:rsidRPr="00451078">
              <w:rPr>
                <w:rFonts w:ascii="Tahoma" w:eastAsia="Calibri" w:hAnsi="Tahoma" w:cs="Tahoma"/>
                <w:sz w:val="18"/>
                <w:szCs w:val="18"/>
                <w:lang w:val="it-IT"/>
              </w:rPr>
              <w:t>client Microsoft Dynamics CRM</w:t>
            </w:r>
          </w:p>
        </w:tc>
        <w:tc>
          <w:tcPr>
            <w:tcW w:w="972" w:type="dxa"/>
            <w:tcBorders>
              <w:top w:val="single" w:sz="6" w:space="0" w:color="1F497D"/>
              <w:left w:val="single" w:sz="6" w:space="0" w:color="1F497D"/>
              <w:bottom w:val="single" w:sz="6" w:space="0" w:color="1F497D"/>
              <w:right w:val="single" w:sz="6" w:space="0" w:color="1F497D"/>
            </w:tcBorders>
            <w:shd w:val="clear" w:color="auto" w:fill="FFFFFF"/>
          </w:tcPr>
          <w:p w:rsidR="0033725C" w:rsidRPr="00451078" w:rsidRDefault="0033725C" w:rsidP="00A73DBD">
            <w:pPr>
              <w:pStyle w:val="TableText"/>
              <w:rPr>
                <w:rFonts w:eastAsia="Calibri" w:cs="Segoe UI"/>
                <w:b/>
                <w:sz w:val="24"/>
                <w:szCs w:val="24"/>
                <w:lang w:val="it-IT"/>
              </w:rPr>
            </w:pPr>
          </w:p>
        </w:tc>
        <w:tc>
          <w:tcPr>
            <w:tcW w:w="1053" w:type="dxa"/>
            <w:tcBorders>
              <w:top w:val="single" w:sz="6" w:space="0" w:color="1F497D"/>
              <w:left w:val="single" w:sz="6" w:space="0" w:color="1F497D"/>
              <w:bottom w:val="single" w:sz="6" w:space="0" w:color="1F497D"/>
              <w:right w:val="single" w:sz="6" w:space="0" w:color="1F497D"/>
            </w:tcBorders>
            <w:shd w:val="clear" w:color="auto" w:fill="FFFFFF"/>
          </w:tcPr>
          <w:p w:rsidR="0033725C" w:rsidRPr="003410C7" w:rsidRDefault="0033725C" w:rsidP="00A73DBD">
            <w:pPr>
              <w:pStyle w:val="TableText"/>
              <w:rPr>
                <w:rFonts w:ascii="Segoe" w:eastAsia="Calibri" w:hAnsi="Segoe"/>
              </w:rPr>
            </w:pPr>
            <w:r w:rsidRPr="003410C7">
              <w:rPr>
                <w:rFonts w:eastAsia="Calibri" w:cs="Segoe UI"/>
                <w:b/>
                <w:sz w:val="24"/>
                <w:szCs w:val="24"/>
              </w:rPr>
              <w:sym w:font="Wingdings" w:char="00FC"/>
            </w:r>
          </w:p>
        </w:tc>
        <w:tc>
          <w:tcPr>
            <w:tcW w:w="1152" w:type="dxa"/>
            <w:tcBorders>
              <w:top w:val="single" w:sz="6" w:space="0" w:color="1F497D"/>
              <w:left w:val="single" w:sz="6" w:space="0" w:color="1F497D"/>
              <w:bottom w:val="single" w:sz="6" w:space="0" w:color="1F497D"/>
              <w:right w:val="single" w:sz="6" w:space="0" w:color="1F497D"/>
            </w:tcBorders>
            <w:shd w:val="clear" w:color="auto" w:fill="FFFFFF"/>
          </w:tcPr>
          <w:p w:rsidR="0033725C" w:rsidRPr="003410C7" w:rsidRDefault="0033725C" w:rsidP="00A73DBD">
            <w:pPr>
              <w:pStyle w:val="TableText"/>
              <w:rPr>
                <w:rFonts w:ascii="Segoe" w:eastAsia="Calibri" w:hAnsi="Segoe"/>
              </w:rPr>
            </w:pPr>
            <w:r w:rsidRPr="003410C7">
              <w:rPr>
                <w:rFonts w:eastAsia="Calibri" w:cs="Segoe UI"/>
                <w:b/>
                <w:sz w:val="24"/>
                <w:szCs w:val="24"/>
              </w:rPr>
              <w:sym w:font="Wingdings" w:char="00FC"/>
            </w:r>
          </w:p>
        </w:tc>
        <w:tc>
          <w:tcPr>
            <w:tcW w:w="1125" w:type="dxa"/>
            <w:tcBorders>
              <w:top w:val="single" w:sz="6" w:space="0" w:color="1F497D"/>
              <w:left w:val="single" w:sz="6" w:space="0" w:color="1F497D"/>
              <w:bottom w:val="single" w:sz="6" w:space="0" w:color="1F497D"/>
              <w:right w:val="single" w:sz="6" w:space="0" w:color="1F497D"/>
            </w:tcBorders>
            <w:shd w:val="clear" w:color="auto" w:fill="FFFFFF"/>
          </w:tcPr>
          <w:p w:rsidR="0033725C" w:rsidRPr="003410C7" w:rsidRDefault="0033725C" w:rsidP="00A73DBD">
            <w:pPr>
              <w:pStyle w:val="TableText"/>
              <w:rPr>
                <w:rFonts w:eastAsia="Calibri" w:cs="Segoe UI"/>
                <w:b/>
                <w:sz w:val="24"/>
                <w:szCs w:val="24"/>
              </w:rPr>
            </w:pPr>
            <w:r w:rsidRPr="003410C7">
              <w:rPr>
                <w:rFonts w:eastAsia="Calibri" w:cs="Segoe UI"/>
                <w:b/>
                <w:sz w:val="24"/>
                <w:szCs w:val="24"/>
              </w:rPr>
              <w:sym w:font="Wingdings" w:char="00FC"/>
            </w:r>
          </w:p>
        </w:tc>
        <w:tc>
          <w:tcPr>
            <w:tcW w:w="1305" w:type="dxa"/>
            <w:tcBorders>
              <w:top w:val="single" w:sz="6" w:space="0" w:color="1F497D"/>
              <w:left w:val="single" w:sz="6" w:space="0" w:color="1F497D"/>
              <w:bottom w:val="single" w:sz="6" w:space="0" w:color="1F497D"/>
              <w:right w:val="single" w:sz="6" w:space="0" w:color="1F497D"/>
            </w:tcBorders>
            <w:shd w:val="clear" w:color="auto" w:fill="FFFFFF"/>
          </w:tcPr>
          <w:p w:rsidR="0033725C" w:rsidRPr="003410C7" w:rsidRDefault="0033725C" w:rsidP="00A73DBD">
            <w:pPr>
              <w:pStyle w:val="TableText"/>
              <w:rPr>
                <w:rFonts w:eastAsia="Calibri" w:cs="Segoe UI"/>
                <w:b/>
                <w:sz w:val="24"/>
                <w:szCs w:val="24"/>
              </w:rPr>
            </w:pPr>
          </w:p>
        </w:tc>
        <w:tc>
          <w:tcPr>
            <w:tcW w:w="1251" w:type="dxa"/>
            <w:tcBorders>
              <w:top w:val="single" w:sz="6" w:space="0" w:color="1F497D"/>
              <w:left w:val="single" w:sz="6" w:space="0" w:color="1F497D"/>
              <w:bottom w:val="single" w:sz="6" w:space="0" w:color="1F497D"/>
              <w:right w:val="single" w:sz="6" w:space="0" w:color="1F497D"/>
            </w:tcBorders>
            <w:shd w:val="clear" w:color="auto" w:fill="FFFFFF"/>
          </w:tcPr>
          <w:p w:rsidR="0033725C" w:rsidRPr="003410C7" w:rsidRDefault="0033725C" w:rsidP="00A73DBD">
            <w:pPr>
              <w:pStyle w:val="TableText"/>
              <w:rPr>
                <w:rFonts w:eastAsia="Calibri" w:cs="Segoe UI"/>
                <w:b/>
                <w:sz w:val="24"/>
                <w:szCs w:val="24"/>
              </w:rPr>
            </w:pPr>
          </w:p>
        </w:tc>
      </w:tr>
      <w:tr w:rsidR="000C172E" w:rsidRPr="003410C7" w:rsidTr="000C172E">
        <w:tc>
          <w:tcPr>
            <w:tcW w:w="2020" w:type="dxa"/>
            <w:tcBorders>
              <w:top w:val="single" w:sz="6" w:space="0" w:color="1F497D"/>
              <w:left w:val="single" w:sz="4" w:space="0" w:color="072B61"/>
              <w:bottom w:val="single" w:sz="6" w:space="0" w:color="1F497D"/>
              <w:right w:val="single" w:sz="6" w:space="0" w:color="1F497D"/>
            </w:tcBorders>
            <w:shd w:val="clear" w:color="auto" w:fill="FFFFFF"/>
          </w:tcPr>
          <w:p w:rsidR="0033725C" w:rsidRPr="00451078" w:rsidRDefault="0033725C" w:rsidP="000B5FBB">
            <w:pPr>
              <w:pStyle w:val="TableText"/>
              <w:jc w:val="left"/>
              <w:rPr>
                <w:rFonts w:ascii="Tahoma" w:eastAsia="Calibri" w:hAnsi="Tahoma" w:cs="Tahoma"/>
                <w:sz w:val="18"/>
                <w:szCs w:val="18"/>
                <w:lang w:val="it-IT"/>
              </w:rPr>
            </w:pPr>
            <w:r w:rsidRPr="00451078">
              <w:rPr>
                <w:rFonts w:ascii="Tahoma" w:eastAsia="Calibri" w:hAnsi="Tahoma" w:cs="Tahoma"/>
                <w:sz w:val="18"/>
                <w:szCs w:val="18"/>
                <w:lang w:val="it-IT"/>
              </w:rPr>
              <w:t>Aggiornamento di Contatti utilizzando i</w:t>
            </w:r>
            <w:r w:rsidR="000B5FBB" w:rsidRPr="00451078">
              <w:rPr>
                <w:rFonts w:ascii="Tahoma" w:eastAsia="Calibri" w:hAnsi="Tahoma" w:cs="Tahoma"/>
                <w:sz w:val="18"/>
                <w:szCs w:val="18"/>
                <w:lang w:val="it-IT"/>
              </w:rPr>
              <w:t> </w:t>
            </w:r>
            <w:r w:rsidRPr="00451078">
              <w:rPr>
                <w:rFonts w:ascii="Tahoma" w:eastAsia="Calibri" w:hAnsi="Tahoma" w:cs="Tahoma"/>
                <w:sz w:val="18"/>
                <w:szCs w:val="18"/>
                <w:lang w:val="it-IT"/>
              </w:rPr>
              <w:t>client Microsoft Dynamics CRM</w:t>
            </w:r>
          </w:p>
        </w:tc>
        <w:tc>
          <w:tcPr>
            <w:tcW w:w="972" w:type="dxa"/>
            <w:tcBorders>
              <w:top w:val="single" w:sz="6" w:space="0" w:color="1F497D"/>
              <w:left w:val="single" w:sz="6" w:space="0" w:color="1F497D"/>
              <w:bottom w:val="single" w:sz="6" w:space="0" w:color="1F497D"/>
              <w:right w:val="single" w:sz="6" w:space="0" w:color="1F497D"/>
            </w:tcBorders>
            <w:shd w:val="clear" w:color="auto" w:fill="FFFFFF"/>
          </w:tcPr>
          <w:p w:rsidR="0033725C" w:rsidRPr="00451078" w:rsidRDefault="0033725C" w:rsidP="00A73DBD">
            <w:pPr>
              <w:pStyle w:val="TableText"/>
              <w:rPr>
                <w:rFonts w:eastAsia="Calibri" w:cs="Segoe UI"/>
                <w:b/>
                <w:sz w:val="24"/>
                <w:szCs w:val="24"/>
                <w:lang w:val="it-IT"/>
              </w:rPr>
            </w:pPr>
          </w:p>
        </w:tc>
        <w:tc>
          <w:tcPr>
            <w:tcW w:w="1053" w:type="dxa"/>
            <w:tcBorders>
              <w:top w:val="single" w:sz="6" w:space="0" w:color="1F497D"/>
              <w:left w:val="single" w:sz="6" w:space="0" w:color="1F497D"/>
              <w:bottom w:val="single" w:sz="6" w:space="0" w:color="1F497D"/>
              <w:right w:val="single" w:sz="6" w:space="0" w:color="1F497D"/>
            </w:tcBorders>
            <w:shd w:val="clear" w:color="auto" w:fill="FFFFFF"/>
          </w:tcPr>
          <w:p w:rsidR="0033725C" w:rsidRPr="003410C7" w:rsidRDefault="0033725C" w:rsidP="00A73DBD">
            <w:pPr>
              <w:pStyle w:val="TableText"/>
              <w:rPr>
                <w:rFonts w:ascii="Segoe" w:eastAsia="Calibri" w:hAnsi="Segoe"/>
              </w:rPr>
            </w:pPr>
            <w:r w:rsidRPr="003410C7">
              <w:rPr>
                <w:rFonts w:eastAsia="Calibri" w:cs="Segoe UI"/>
                <w:b/>
                <w:sz w:val="24"/>
                <w:szCs w:val="24"/>
              </w:rPr>
              <w:sym w:font="Wingdings" w:char="00FC"/>
            </w:r>
          </w:p>
        </w:tc>
        <w:tc>
          <w:tcPr>
            <w:tcW w:w="1152" w:type="dxa"/>
            <w:tcBorders>
              <w:top w:val="single" w:sz="6" w:space="0" w:color="1F497D"/>
              <w:left w:val="single" w:sz="6" w:space="0" w:color="1F497D"/>
              <w:bottom w:val="single" w:sz="6" w:space="0" w:color="1F497D"/>
              <w:right w:val="single" w:sz="6" w:space="0" w:color="1F497D"/>
            </w:tcBorders>
            <w:shd w:val="clear" w:color="auto" w:fill="FFFFFF"/>
          </w:tcPr>
          <w:p w:rsidR="0033725C" w:rsidRPr="003410C7" w:rsidRDefault="0033725C" w:rsidP="00A73DBD">
            <w:pPr>
              <w:pStyle w:val="TableText"/>
              <w:rPr>
                <w:rFonts w:ascii="Segoe" w:eastAsia="Calibri" w:hAnsi="Segoe"/>
              </w:rPr>
            </w:pPr>
            <w:r w:rsidRPr="003410C7">
              <w:rPr>
                <w:rFonts w:eastAsia="Calibri" w:cs="Segoe UI"/>
                <w:b/>
                <w:sz w:val="24"/>
                <w:szCs w:val="24"/>
              </w:rPr>
              <w:sym w:font="Wingdings" w:char="00FC"/>
            </w:r>
          </w:p>
        </w:tc>
        <w:tc>
          <w:tcPr>
            <w:tcW w:w="1125" w:type="dxa"/>
            <w:tcBorders>
              <w:top w:val="single" w:sz="6" w:space="0" w:color="1F497D"/>
              <w:left w:val="single" w:sz="6" w:space="0" w:color="1F497D"/>
              <w:bottom w:val="single" w:sz="6" w:space="0" w:color="1F497D"/>
              <w:right w:val="single" w:sz="6" w:space="0" w:color="1F497D"/>
            </w:tcBorders>
            <w:shd w:val="clear" w:color="auto" w:fill="FFFFFF"/>
          </w:tcPr>
          <w:p w:rsidR="0033725C" w:rsidRPr="003410C7" w:rsidRDefault="0033725C" w:rsidP="00A73DBD">
            <w:pPr>
              <w:pStyle w:val="TableText"/>
              <w:rPr>
                <w:rFonts w:eastAsia="Calibri" w:cs="Segoe UI"/>
                <w:b/>
                <w:sz w:val="24"/>
                <w:szCs w:val="24"/>
              </w:rPr>
            </w:pPr>
            <w:r w:rsidRPr="003410C7">
              <w:rPr>
                <w:rFonts w:eastAsia="Calibri" w:cs="Segoe UI"/>
                <w:b/>
                <w:sz w:val="24"/>
                <w:szCs w:val="24"/>
              </w:rPr>
              <w:sym w:font="Wingdings" w:char="00FC"/>
            </w:r>
          </w:p>
        </w:tc>
        <w:tc>
          <w:tcPr>
            <w:tcW w:w="1305" w:type="dxa"/>
            <w:tcBorders>
              <w:top w:val="single" w:sz="6" w:space="0" w:color="1F497D"/>
              <w:left w:val="single" w:sz="6" w:space="0" w:color="1F497D"/>
              <w:bottom w:val="single" w:sz="6" w:space="0" w:color="1F497D"/>
              <w:right w:val="single" w:sz="6" w:space="0" w:color="1F497D"/>
            </w:tcBorders>
            <w:shd w:val="clear" w:color="auto" w:fill="FFFFFF"/>
          </w:tcPr>
          <w:p w:rsidR="0033725C" w:rsidRPr="003410C7" w:rsidRDefault="0033725C" w:rsidP="00A73DBD">
            <w:pPr>
              <w:pStyle w:val="TableText"/>
              <w:rPr>
                <w:rFonts w:eastAsia="Calibri" w:cs="Segoe UI"/>
                <w:b/>
                <w:sz w:val="24"/>
                <w:szCs w:val="24"/>
              </w:rPr>
            </w:pPr>
          </w:p>
        </w:tc>
        <w:tc>
          <w:tcPr>
            <w:tcW w:w="1251" w:type="dxa"/>
            <w:tcBorders>
              <w:top w:val="single" w:sz="6" w:space="0" w:color="1F497D"/>
              <w:left w:val="single" w:sz="6" w:space="0" w:color="1F497D"/>
              <w:bottom w:val="single" w:sz="6" w:space="0" w:color="1F497D"/>
              <w:right w:val="single" w:sz="6" w:space="0" w:color="1F497D"/>
            </w:tcBorders>
            <w:shd w:val="clear" w:color="auto" w:fill="FFFFFF"/>
          </w:tcPr>
          <w:p w:rsidR="0033725C" w:rsidRPr="003410C7" w:rsidRDefault="0033725C" w:rsidP="00A73DBD">
            <w:pPr>
              <w:pStyle w:val="TableText"/>
              <w:rPr>
                <w:rFonts w:eastAsia="Calibri" w:cs="Segoe UI"/>
                <w:b/>
                <w:sz w:val="24"/>
                <w:szCs w:val="24"/>
              </w:rPr>
            </w:pPr>
          </w:p>
        </w:tc>
      </w:tr>
      <w:tr w:rsidR="000C172E" w:rsidRPr="003410C7" w:rsidTr="000C172E">
        <w:tc>
          <w:tcPr>
            <w:tcW w:w="2020" w:type="dxa"/>
            <w:tcBorders>
              <w:top w:val="single" w:sz="6" w:space="0" w:color="1F497D"/>
              <w:left w:val="single" w:sz="4" w:space="0" w:color="072B61"/>
              <w:bottom w:val="single" w:sz="6" w:space="0" w:color="1F497D"/>
              <w:right w:val="single" w:sz="6" w:space="0" w:color="1F497D"/>
            </w:tcBorders>
            <w:shd w:val="clear" w:color="auto" w:fill="FFFFFF"/>
          </w:tcPr>
          <w:p w:rsidR="0033725C" w:rsidRPr="00451078" w:rsidRDefault="0033725C" w:rsidP="000B5FBB">
            <w:pPr>
              <w:pStyle w:val="TableText"/>
              <w:jc w:val="left"/>
              <w:rPr>
                <w:rFonts w:ascii="Tahoma" w:eastAsia="Calibri" w:hAnsi="Tahoma" w:cs="Tahoma"/>
                <w:sz w:val="18"/>
                <w:szCs w:val="18"/>
                <w:lang w:val="it-IT"/>
              </w:rPr>
            </w:pPr>
            <w:r w:rsidRPr="00451078">
              <w:rPr>
                <w:rFonts w:ascii="Tahoma" w:eastAsia="Calibri" w:hAnsi="Tahoma" w:cs="Tahoma"/>
                <w:sz w:val="18"/>
                <w:szCs w:val="18"/>
                <w:lang w:val="it-IT"/>
              </w:rPr>
              <w:t>Aggiornamento di</w:t>
            </w:r>
            <w:r w:rsidR="000B5FBB" w:rsidRPr="00451078">
              <w:rPr>
                <w:rFonts w:ascii="Tahoma" w:eastAsia="Calibri" w:hAnsi="Tahoma" w:cs="Tahoma"/>
                <w:sz w:val="18"/>
                <w:szCs w:val="18"/>
                <w:lang w:val="it-IT"/>
              </w:rPr>
              <w:t> </w:t>
            </w:r>
            <w:r w:rsidRPr="00451078">
              <w:rPr>
                <w:rFonts w:ascii="Tahoma" w:eastAsia="Calibri" w:hAnsi="Tahoma" w:cs="Tahoma"/>
                <w:sz w:val="18"/>
                <w:szCs w:val="18"/>
                <w:lang w:val="it-IT"/>
              </w:rPr>
              <w:t>Casi</w:t>
            </w:r>
            <w:r w:rsidR="000B5FBB" w:rsidRPr="00451078">
              <w:rPr>
                <w:rFonts w:ascii="Tahoma" w:eastAsia="Calibri" w:hAnsi="Tahoma" w:cs="Tahoma"/>
                <w:sz w:val="18"/>
                <w:szCs w:val="18"/>
                <w:lang w:val="it-IT"/>
              </w:rPr>
              <w:t> </w:t>
            </w:r>
            <w:r w:rsidRPr="00451078">
              <w:rPr>
                <w:rFonts w:ascii="Tahoma" w:eastAsia="Calibri" w:hAnsi="Tahoma" w:cs="Tahoma"/>
                <w:sz w:val="18"/>
                <w:szCs w:val="18"/>
                <w:lang w:val="it-IT"/>
              </w:rPr>
              <w:t>utilizzando i</w:t>
            </w:r>
            <w:r w:rsidR="000B5FBB" w:rsidRPr="00451078">
              <w:rPr>
                <w:rFonts w:ascii="Tahoma" w:eastAsia="Calibri" w:hAnsi="Tahoma" w:cs="Tahoma"/>
                <w:sz w:val="18"/>
                <w:szCs w:val="18"/>
                <w:lang w:val="it-IT"/>
              </w:rPr>
              <w:t> </w:t>
            </w:r>
            <w:r w:rsidRPr="00451078">
              <w:rPr>
                <w:rFonts w:ascii="Tahoma" w:eastAsia="Calibri" w:hAnsi="Tahoma" w:cs="Tahoma"/>
                <w:sz w:val="18"/>
                <w:szCs w:val="18"/>
                <w:lang w:val="it-IT"/>
              </w:rPr>
              <w:t>client</w:t>
            </w:r>
            <w:r w:rsidR="000B5FBB" w:rsidRPr="00451078">
              <w:rPr>
                <w:rFonts w:ascii="Tahoma" w:eastAsia="Calibri" w:hAnsi="Tahoma" w:cs="Tahoma"/>
                <w:sz w:val="18"/>
                <w:szCs w:val="18"/>
                <w:lang w:val="it-IT"/>
              </w:rPr>
              <w:t> </w:t>
            </w:r>
            <w:r w:rsidRPr="00451078">
              <w:rPr>
                <w:rFonts w:ascii="Tahoma" w:eastAsia="Calibri" w:hAnsi="Tahoma" w:cs="Tahoma"/>
                <w:sz w:val="18"/>
                <w:szCs w:val="18"/>
                <w:lang w:val="it-IT"/>
              </w:rPr>
              <w:t>Microsoft Dynamics</w:t>
            </w:r>
            <w:r w:rsidR="000B5FBB" w:rsidRPr="00451078">
              <w:rPr>
                <w:rFonts w:ascii="Tahoma" w:eastAsia="Calibri" w:hAnsi="Tahoma" w:cs="Tahoma"/>
                <w:sz w:val="18"/>
                <w:szCs w:val="18"/>
                <w:lang w:val="it-IT"/>
              </w:rPr>
              <w:t> </w:t>
            </w:r>
            <w:r w:rsidRPr="00451078">
              <w:rPr>
                <w:rFonts w:ascii="Tahoma" w:eastAsia="Calibri" w:hAnsi="Tahoma" w:cs="Tahoma"/>
                <w:sz w:val="18"/>
                <w:szCs w:val="18"/>
                <w:lang w:val="it-IT"/>
              </w:rPr>
              <w:t>CRM</w:t>
            </w:r>
          </w:p>
        </w:tc>
        <w:tc>
          <w:tcPr>
            <w:tcW w:w="972" w:type="dxa"/>
            <w:tcBorders>
              <w:top w:val="single" w:sz="6" w:space="0" w:color="1F497D"/>
              <w:left w:val="single" w:sz="6" w:space="0" w:color="1F497D"/>
              <w:bottom w:val="single" w:sz="6" w:space="0" w:color="1F497D"/>
              <w:right w:val="single" w:sz="6" w:space="0" w:color="1F497D"/>
            </w:tcBorders>
            <w:shd w:val="clear" w:color="auto" w:fill="FFFFFF"/>
          </w:tcPr>
          <w:p w:rsidR="0033725C" w:rsidRPr="00451078" w:rsidRDefault="0033725C" w:rsidP="00A73DBD">
            <w:pPr>
              <w:pStyle w:val="TableText"/>
              <w:rPr>
                <w:rFonts w:eastAsia="Calibri" w:cs="Segoe UI"/>
                <w:b/>
                <w:sz w:val="24"/>
                <w:szCs w:val="24"/>
                <w:lang w:val="it-IT"/>
              </w:rPr>
            </w:pPr>
          </w:p>
        </w:tc>
        <w:tc>
          <w:tcPr>
            <w:tcW w:w="1053" w:type="dxa"/>
            <w:tcBorders>
              <w:top w:val="single" w:sz="6" w:space="0" w:color="1F497D"/>
              <w:left w:val="single" w:sz="6" w:space="0" w:color="1F497D"/>
              <w:bottom w:val="single" w:sz="6" w:space="0" w:color="1F497D"/>
              <w:right w:val="single" w:sz="6" w:space="0" w:color="1F497D"/>
            </w:tcBorders>
            <w:shd w:val="clear" w:color="auto" w:fill="FFFFFF"/>
          </w:tcPr>
          <w:p w:rsidR="0033725C" w:rsidRPr="003410C7" w:rsidRDefault="0033725C" w:rsidP="00A73DBD">
            <w:pPr>
              <w:pStyle w:val="TableText"/>
              <w:rPr>
                <w:rFonts w:ascii="Segoe" w:eastAsia="Calibri" w:hAnsi="Segoe"/>
              </w:rPr>
            </w:pPr>
            <w:r w:rsidRPr="003410C7">
              <w:rPr>
                <w:rFonts w:eastAsia="Calibri" w:cs="Segoe UI"/>
                <w:b/>
                <w:sz w:val="24"/>
                <w:szCs w:val="24"/>
              </w:rPr>
              <w:sym w:font="Wingdings" w:char="00FC"/>
            </w:r>
          </w:p>
        </w:tc>
        <w:tc>
          <w:tcPr>
            <w:tcW w:w="1152" w:type="dxa"/>
            <w:tcBorders>
              <w:top w:val="single" w:sz="6" w:space="0" w:color="1F497D"/>
              <w:left w:val="single" w:sz="6" w:space="0" w:color="1F497D"/>
              <w:bottom w:val="single" w:sz="6" w:space="0" w:color="1F497D"/>
              <w:right w:val="single" w:sz="6" w:space="0" w:color="1F497D"/>
            </w:tcBorders>
            <w:shd w:val="clear" w:color="auto" w:fill="FFFFFF"/>
          </w:tcPr>
          <w:p w:rsidR="0033725C" w:rsidRPr="003410C7" w:rsidRDefault="0033725C" w:rsidP="00A73DBD">
            <w:pPr>
              <w:pStyle w:val="TableText"/>
              <w:rPr>
                <w:rFonts w:ascii="Segoe" w:eastAsia="Calibri" w:hAnsi="Segoe"/>
              </w:rPr>
            </w:pPr>
            <w:r w:rsidRPr="003410C7">
              <w:rPr>
                <w:rFonts w:eastAsia="Calibri" w:cs="Segoe UI"/>
                <w:b/>
                <w:sz w:val="24"/>
                <w:szCs w:val="24"/>
              </w:rPr>
              <w:sym w:font="Wingdings" w:char="00FC"/>
            </w:r>
          </w:p>
        </w:tc>
        <w:tc>
          <w:tcPr>
            <w:tcW w:w="1125" w:type="dxa"/>
            <w:tcBorders>
              <w:top w:val="single" w:sz="6" w:space="0" w:color="1F497D"/>
              <w:left w:val="single" w:sz="6" w:space="0" w:color="1F497D"/>
              <w:bottom w:val="single" w:sz="6" w:space="0" w:color="1F497D"/>
              <w:right w:val="single" w:sz="6" w:space="0" w:color="1F497D"/>
            </w:tcBorders>
            <w:shd w:val="clear" w:color="auto" w:fill="FFFFFF"/>
          </w:tcPr>
          <w:p w:rsidR="0033725C" w:rsidRPr="003410C7" w:rsidRDefault="0033725C" w:rsidP="00A73DBD">
            <w:pPr>
              <w:pStyle w:val="TableText"/>
              <w:rPr>
                <w:rFonts w:eastAsia="Calibri" w:cs="Segoe UI"/>
                <w:b/>
                <w:sz w:val="24"/>
                <w:szCs w:val="24"/>
              </w:rPr>
            </w:pPr>
            <w:r w:rsidRPr="003410C7">
              <w:rPr>
                <w:rFonts w:eastAsia="Calibri" w:cs="Segoe UI"/>
                <w:b/>
                <w:sz w:val="24"/>
                <w:szCs w:val="24"/>
              </w:rPr>
              <w:sym w:font="Wingdings" w:char="00FC"/>
            </w:r>
          </w:p>
        </w:tc>
        <w:tc>
          <w:tcPr>
            <w:tcW w:w="1305" w:type="dxa"/>
            <w:tcBorders>
              <w:top w:val="single" w:sz="6" w:space="0" w:color="1F497D"/>
              <w:left w:val="single" w:sz="6" w:space="0" w:color="1F497D"/>
              <w:bottom w:val="single" w:sz="6" w:space="0" w:color="1F497D"/>
              <w:right w:val="single" w:sz="6" w:space="0" w:color="1F497D"/>
            </w:tcBorders>
            <w:shd w:val="clear" w:color="auto" w:fill="FFFFFF"/>
          </w:tcPr>
          <w:p w:rsidR="0033725C" w:rsidRPr="003410C7" w:rsidRDefault="0033725C" w:rsidP="00A73DBD">
            <w:pPr>
              <w:pStyle w:val="TableText"/>
              <w:rPr>
                <w:rFonts w:eastAsia="Calibri" w:cs="Segoe UI"/>
                <w:b/>
                <w:sz w:val="24"/>
                <w:szCs w:val="24"/>
              </w:rPr>
            </w:pPr>
          </w:p>
        </w:tc>
        <w:tc>
          <w:tcPr>
            <w:tcW w:w="1251" w:type="dxa"/>
            <w:tcBorders>
              <w:top w:val="single" w:sz="6" w:space="0" w:color="1F497D"/>
              <w:left w:val="single" w:sz="6" w:space="0" w:color="1F497D"/>
              <w:bottom w:val="single" w:sz="6" w:space="0" w:color="1F497D"/>
              <w:right w:val="single" w:sz="6" w:space="0" w:color="1F497D"/>
            </w:tcBorders>
            <w:shd w:val="clear" w:color="auto" w:fill="FFFFFF"/>
          </w:tcPr>
          <w:p w:rsidR="0033725C" w:rsidRPr="003410C7" w:rsidRDefault="0033725C" w:rsidP="00A73DBD">
            <w:pPr>
              <w:pStyle w:val="TableText"/>
              <w:rPr>
                <w:rFonts w:eastAsia="Calibri" w:cs="Segoe UI"/>
                <w:b/>
                <w:sz w:val="24"/>
                <w:szCs w:val="24"/>
              </w:rPr>
            </w:pPr>
          </w:p>
        </w:tc>
      </w:tr>
      <w:tr w:rsidR="000C172E" w:rsidRPr="003410C7" w:rsidTr="000C172E">
        <w:tc>
          <w:tcPr>
            <w:tcW w:w="2020" w:type="dxa"/>
            <w:tcBorders>
              <w:top w:val="single" w:sz="6" w:space="0" w:color="1F497D"/>
              <w:left w:val="single" w:sz="4" w:space="0" w:color="072B61"/>
              <w:bottom w:val="single" w:sz="6" w:space="0" w:color="1F497D"/>
              <w:right w:val="single" w:sz="6" w:space="0" w:color="1F497D"/>
            </w:tcBorders>
            <w:shd w:val="clear" w:color="auto" w:fill="FFFFFF"/>
          </w:tcPr>
          <w:p w:rsidR="0033725C" w:rsidRPr="00451078" w:rsidRDefault="0033725C" w:rsidP="000B5FBB">
            <w:pPr>
              <w:pStyle w:val="TableText"/>
              <w:jc w:val="left"/>
              <w:rPr>
                <w:rFonts w:ascii="Tahoma" w:eastAsia="Calibri" w:hAnsi="Tahoma" w:cs="Tahoma"/>
                <w:sz w:val="18"/>
                <w:szCs w:val="18"/>
                <w:lang w:val="it-IT"/>
              </w:rPr>
            </w:pPr>
            <w:r w:rsidRPr="00451078">
              <w:rPr>
                <w:rFonts w:ascii="Tahoma" w:eastAsia="Calibri" w:hAnsi="Tahoma" w:cs="Tahoma"/>
                <w:sz w:val="18"/>
                <w:szCs w:val="18"/>
                <w:lang w:val="it-IT"/>
              </w:rPr>
              <w:t>Aggiornamento di</w:t>
            </w:r>
            <w:r w:rsidR="000B5FBB" w:rsidRPr="00451078">
              <w:rPr>
                <w:rFonts w:ascii="Tahoma" w:eastAsia="Calibri" w:hAnsi="Tahoma" w:cs="Tahoma"/>
                <w:sz w:val="18"/>
                <w:szCs w:val="18"/>
                <w:lang w:val="it-IT"/>
              </w:rPr>
              <w:t> </w:t>
            </w:r>
            <w:r w:rsidRPr="00451078">
              <w:rPr>
                <w:rFonts w:ascii="Tahoma" w:eastAsia="Calibri" w:hAnsi="Tahoma" w:cs="Tahoma"/>
                <w:sz w:val="18"/>
                <w:szCs w:val="18"/>
                <w:lang w:val="it-IT"/>
              </w:rPr>
              <w:t>Lead</w:t>
            </w:r>
            <w:r w:rsidR="000B5FBB" w:rsidRPr="00451078">
              <w:rPr>
                <w:rFonts w:ascii="Tahoma" w:eastAsia="Calibri" w:hAnsi="Tahoma" w:cs="Tahoma"/>
                <w:sz w:val="18"/>
                <w:szCs w:val="18"/>
                <w:lang w:val="it-IT"/>
              </w:rPr>
              <w:t> </w:t>
            </w:r>
            <w:r w:rsidRPr="00451078">
              <w:rPr>
                <w:rFonts w:ascii="Tahoma" w:eastAsia="Calibri" w:hAnsi="Tahoma" w:cs="Tahoma"/>
                <w:sz w:val="18"/>
                <w:szCs w:val="18"/>
                <w:lang w:val="it-IT"/>
              </w:rPr>
              <w:t>utilizzando i</w:t>
            </w:r>
            <w:r w:rsidR="000B5FBB" w:rsidRPr="00451078">
              <w:rPr>
                <w:rFonts w:ascii="Tahoma" w:eastAsia="Calibri" w:hAnsi="Tahoma" w:cs="Tahoma"/>
                <w:sz w:val="18"/>
                <w:szCs w:val="18"/>
                <w:lang w:val="it-IT"/>
              </w:rPr>
              <w:t> </w:t>
            </w:r>
            <w:r w:rsidRPr="00451078">
              <w:rPr>
                <w:rFonts w:ascii="Tahoma" w:eastAsia="Calibri" w:hAnsi="Tahoma" w:cs="Tahoma"/>
                <w:sz w:val="18"/>
                <w:szCs w:val="18"/>
                <w:lang w:val="it-IT"/>
              </w:rPr>
              <w:t>client Microsoft Dynamics</w:t>
            </w:r>
            <w:r w:rsidR="000B5FBB" w:rsidRPr="00451078">
              <w:rPr>
                <w:rFonts w:ascii="Tahoma" w:eastAsia="Calibri" w:hAnsi="Tahoma" w:cs="Tahoma"/>
                <w:sz w:val="18"/>
                <w:szCs w:val="18"/>
                <w:lang w:val="it-IT"/>
              </w:rPr>
              <w:t> </w:t>
            </w:r>
            <w:r w:rsidRPr="00451078">
              <w:rPr>
                <w:rFonts w:ascii="Tahoma" w:eastAsia="Calibri" w:hAnsi="Tahoma" w:cs="Tahoma"/>
                <w:sz w:val="18"/>
                <w:szCs w:val="18"/>
                <w:lang w:val="it-IT"/>
              </w:rPr>
              <w:t>CRM</w:t>
            </w:r>
          </w:p>
        </w:tc>
        <w:tc>
          <w:tcPr>
            <w:tcW w:w="972" w:type="dxa"/>
            <w:tcBorders>
              <w:top w:val="single" w:sz="6" w:space="0" w:color="1F497D"/>
              <w:left w:val="single" w:sz="6" w:space="0" w:color="1F497D"/>
              <w:bottom w:val="single" w:sz="6" w:space="0" w:color="1F497D"/>
              <w:right w:val="single" w:sz="6" w:space="0" w:color="1F497D"/>
            </w:tcBorders>
            <w:shd w:val="clear" w:color="auto" w:fill="FFFFFF"/>
          </w:tcPr>
          <w:p w:rsidR="0033725C" w:rsidRPr="00451078" w:rsidRDefault="0033725C" w:rsidP="00A73DBD">
            <w:pPr>
              <w:pStyle w:val="TableText"/>
              <w:rPr>
                <w:rFonts w:eastAsia="Calibri" w:cs="Segoe UI"/>
                <w:b/>
                <w:sz w:val="24"/>
                <w:szCs w:val="24"/>
                <w:lang w:val="it-IT"/>
              </w:rPr>
            </w:pPr>
          </w:p>
        </w:tc>
        <w:tc>
          <w:tcPr>
            <w:tcW w:w="1053" w:type="dxa"/>
            <w:tcBorders>
              <w:top w:val="single" w:sz="6" w:space="0" w:color="1F497D"/>
              <w:left w:val="single" w:sz="6" w:space="0" w:color="1F497D"/>
              <w:bottom w:val="single" w:sz="6" w:space="0" w:color="1F497D"/>
              <w:right w:val="single" w:sz="6" w:space="0" w:color="1F497D"/>
            </w:tcBorders>
            <w:shd w:val="clear" w:color="auto" w:fill="FFFFFF"/>
          </w:tcPr>
          <w:p w:rsidR="0033725C" w:rsidRPr="003410C7" w:rsidRDefault="0033725C" w:rsidP="00A73DBD">
            <w:pPr>
              <w:pStyle w:val="TableText"/>
              <w:rPr>
                <w:rFonts w:ascii="Segoe" w:eastAsia="Calibri" w:hAnsi="Segoe"/>
              </w:rPr>
            </w:pPr>
            <w:r w:rsidRPr="003410C7">
              <w:rPr>
                <w:rFonts w:eastAsia="Calibri" w:cs="Segoe UI"/>
                <w:b/>
                <w:sz w:val="24"/>
                <w:szCs w:val="24"/>
              </w:rPr>
              <w:sym w:font="Wingdings" w:char="00FC"/>
            </w:r>
          </w:p>
        </w:tc>
        <w:tc>
          <w:tcPr>
            <w:tcW w:w="1152" w:type="dxa"/>
            <w:tcBorders>
              <w:top w:val="single" w:sz="6" w:space="0" w:color="1F497D"/>
              <w:left w:val="single" w:sz="6" w:space="0" w:color="1F497D"/>
              <w:bottom w:val="single" w:sz="6" w:space="0" w:color="1F497D"/>
              <w:right w:val="single" w:sz="6" w:space="0" w:color="1F497D"/>
            </w:tcBorders>
            <w:shd w:val="clear" w:color="auto" w:fill="FFFFFF"/>
          </w:tcPr>
          <w:p w:rsidR="0033725C" w:rsidRPr="003410C7" w:rsidRDefault="0033725C" w:rsidP="00A73DBD">
            <w:pPr>
              <w:pStyle w:val="TableText"/>
              <w:rPr>
                <w:rFonts w:ascii="Segoe" w:eastAsia="Calibri" w:hAnsi="Segoe"/>
              </w:rPr>
            </w:pPr>
            <w:r w:rsidRPr="003410C7">
              <w:rPr>
                <w:rFonts w:eastAsia="Calibri" w:cs="Segoe UI"/>
                <w:b/>
                <w:sz w:val="24"/>
                <w:szCs w:val="24"/>
              </w:rPr>
              <w:sym w:font="Wingdings" w:char="00FC"/>
            </w:r>
          </w:p>
        </w:tc>
        <w:tc>
          <w:tcPr>
            <w:tcW w:w="1125" w:type="dxa"/>
            <w:tcBorders>
              <w:top w:val="single" w:sz="6" w:space="0" w:color="1F497D"/>
              <w:left w:val="single" w:sz="6" w:space="0" w:color="1F497D"/>
              <w:bottom w:val="single" w:sz="6" w:space="0" w:color="1F497D"/>
              <w:right w:val="single" w:sz="6" w:space="0" w:color="1F497D"/>
            </w:tcBorders>
            <w:shd w:val="clear" w:color="auto" w:fill="FFFFFF"/>
          </w:tcPr>
          <w:p w:rsidR="0033725C" w:rsidRPr="003410C7" w:rsidRDefault="0033725C" w:rsidP="00A73DBD">
            <w:pPr>
              <w:pStyle w:val="TableText"/>
              <w:rPr>
                <w:rFonts w:eastAsia="Calibri" w:cs="Segoe UI"/>
                <w:b/>
                <w:sz w:val="24"/>
                <w:szCs w:val="24"/>
              </w:rPr>
            </w:pPr>
            <w:r w:rsidRPr="003410C7">
              <w:rPr>
                <w:rFonts w:eastAsia="Calibri" w:cs="Segoe UI"/>
                <w:b/>
                <w:sz w:val="24"/>
                <w:szCs w:val="24"/>
              </w:rPr>
              <w:sym w:font="Wingdings" w:char="00FC"/>
            </w:r>
          </w:p>
        </w:tc>
        <w:tc>
          <w:tcPr>
            <w:tcW w:w="1305" w:type="dxa"/>
            <w:tcBorders>
              <w:top w:val="single" w:sz="6" w:space="0" w:color="1F497D"/>
              <w:left w:val="single" w:sz="6" w:space="0" w:color="1F497D"/>
              <w:bottom w:val="single" w:sz="6" w:space="0" w:color="1F497D"/>
              <w:right w:val="single" w:sz="6" w:space="0" w:color="1F497D"/>
            </w:tcBorders>
            <w:shd w:val="clear" w:color="auto" w:fill="FFFFFF"/>
          </w:tcPr>
          <w:p w:rsidR="0033725C" w:rsidRPr="003410C7" w:rsidRDefault="0033725C" w:rsidP="00A73DBD">
            <w:pPr>
              <w:pStyle w:val="TableText"/>
              <w:rPr>
                <w:rFonts w:eastAsia="Calibri" w:cs="Segoe UI"/>
                <w:b/>
                <w:sz w:val="24"/>
                <w:szCs w:val="24"/>
              </w:rPr>
            </w:pPr>
          </w:p>
        </w:tc>
        <w:tc>
          <w:tcPr>
            <w:tcW w:w="1251" w:type="dxa"/>
            <w:tcBorders>
              <w:top w:val="single" w:sz="6" w:space="0" w:color="1F497D"/>
              <w:left w:val="single" w:sz="6" w:space="0" w:color="1F497D"/>
              <w:bottom w:val="single" w:sz="6" w:space="0" w:color="1F497D"/>
              <w:right w:val="single" w:sz="6" w:space="0" w:color="1F497D"/>
            </w:tcBorders>
            <w:shd w:val="clear" w:color="auto" w:fill="FFFFFF"/>
          </w:tcPr>
          <w:p w:rsidR="0033725C" w:rsidRPr="003410C7" w:rsidRDefault="0033725C" w:rsidP="00A73DBD">
            <w:pPr>
              <w:pStyle w:val="TableText"/>
              <w:rPr>
                <w:rFonts w:eastAsia="Calibri" w:cs="Segoe UI"/>
                <w:b/>
                <w:sz w:val="24"/>
                <w:szCs w:val="24"/>
              </w:rPr>
            </w:pPr>
          </w:p>
        </w:tc>
      </w:tr>
      <w:tr w:rsidR="000C172E" w:rsidRPr="003410C7" w:rsidTr="000C172E">
        <w:tc>
          <w:tcPr>
            <w:tcW w:w="2020" w:type="dxa"/>
            <w:tcBorders>
              <w:top w:val="single" w:sz="6" w:space="0" w:color="1F497D"/>
              <w:left w:val="single" w:sz="4" w:space="0" w:color="072B61"/>
              <w:bottom w:val="single" w:sz="6" w:space="0" w:color="1F497D"/>
              <w:right w:val="single" w:sz="6" w:space="0" w:color="1F497D"/>
            </w:tcBorders>
            <w:shd w:val="clear" w:color="auto" w:fill="FFFFFF"/>
          </w:tcPr>
          <w:p w:rsidR="0033725C" w:rsidRPr="00451078" w:rsidRDefault="0033725C" w:rsidP="000B5FBB">
            <w:pPr>
              <w:pStyle w:val="TableText"/>
              <w:jc w:val="left"/>
              <w:rPr>
                <w:rFonts w:ascii="Tahoma" w:eastAsia="Calibri" w:hAnsi="Tahoma" w:cs="Tahoma"/>
                <w:sz w:val="18"/>
                <w:szCs w:val="18"/>
                <w:lang w:val="it-IT"/>
              </w:rPr>
            </w:pPr>
            <w:r w:rsidRPr="00451078">
              <w:rPr>
                <w:rFonts w:ascii="Tahoma" w:eastAsia="Calibri" w:hAnsi="Tahoma" w:cs="Tahoma"/>
                <w:sz w:val="18"/>
                <w:szCs w:val="18"/>
                <w:lang w:val="it-IT"/>
              </w:rPr>
              <w:t>Aggiornamento di Attività utilizzando i</w:t>
            </w:r>
            <w:r w:rsidR="000B5FBB" w:rsidRPr="00451078">
              <w:rPr>
                <w:rFonts w:ascii="Tahoma" w:eastAsia="Calibri" w:hAnsi="Tahoma" w:cs="Tahoma"/>
                <w:sz w:val="18"/>
                <w:szCs w:val="18"/>
                <w:lang w:val="it-IT"/>
              </w:rPr>
              <w:t> </w:t>
            </w:r>
            <w:r w:rsidRPr="00451078">
              <w:rPr>
                <w:rFonts w:ascii="Tahoma" w:eastAsia="Calibri" w:hAnsi="Tahoma" w:cs="Tahoma"/>
                <w:sz w:val="18"/>
                <w:szCs w:val="18"/>
                <w:lang w:val="it-IT"/>
              </w:rPr>
              <w:t>client Microsoft Dynamics CRM</w:t>
            </w:r>
          </w:p>
        </w:tc>
        <w:tc>
          <w:tcPr>
            <w:tcW w:w="972" w:type="dxa"/>
            <w:tcBorders>
              <w:top w:val="single" w:sz="6" w:space="0" w:color="1F497D"/>
              <w:left w:val="single" w:sz="6" w:space="0" w:color="1F497D"/>
              <w:bottom w:val="single" w:sz="6" w:space="0" w:color="1F497D"/>
              <w:right w:val="single" w:sz="6" w:space="0" w:color="1F497D"/>
            </w:tcBorders>
            <w:shd w:val="clear" w:color="auto" w:fill="FFFFFF"/>
          </w:tcPr>
          <w:p w:rsidR="0033725C" w:rsidRPr="00451078" w:rsidRDefault="0033725C" w:rsidP="00A73DBD">
            <w:pPr>
              <w:pStyle w:val="TableText"/>
              <w:rPr>
                <w:rFonts w:eastAsia="Calibri" w:cs="Segoe UI"/>
                <w:b/>
                <w:sz w:val="24"/>
                <w:szCs w:val="24"/>
                <w:lang w:val="it-IT"/>
              </w:rPr>
            </w:pPr>
          </w:p>
        </w:tc>
        <w:tc>
          <w:tcPr>
            <w:tcW w:w="1053" w:type="dxa"/>
            <w:tcBorders>
              <w:top w:val="single" w:sz="6" w:space="0" w:color="1F497D"/>
              <w:left w:val="single" w:sz="6" w:space="0" w:color="1F497D"/>
              <w:bottom w:val="single" w:sz="6" w:space="0" w:color="1F497D"/>
              <w:right w:val="single" w:sz="6" w:space="0" w:color="1F497D"/>
            </w:tcBorders>
            <w:shd w:val="clear" w:color="auto" w:fill="FFFFFF"/>
          </w:tcPr>
          <w:p w:rsidR="0033725C" w:rsidRPr="003410C7" w:rsidRDefault="0033725C" w:rsidP="00A73DBD">
            <w:pPr>
              <w:pStyle w:val="TableText"/>
              <w:rPr>
                <w:rFonts w:ascii="Segoe" w:eastAsia="Calibri" w:hAnsi="Segoe"/>
              </w:rPr>
            </w:pPr>
            <w:r w:rsidRPr="003410C7">
              <w:rPr>
                <w:rFonts w:eastAsia="Calibri" w:cs="Segoe UI"/>
                <w:b/>
                <w:sz w:val="24"/>
                <w:szCs w:val="24"/>
              </w:rPr>
              <w:sym w:font="Wingdings" w:char="00FC"/>
            </w:r>
          </w:p>
        </w:tc>
        <w:tc>
          <w:tcPr>
            <w:tcW w:w="1152" w:type="dxa"/>
            <w:tcBorders>
              <w:top w:val="single" w:sz="6" w:space="0" w:color="1F497D"/>
              <w:left w:val="single" w:sz="6" w:space="0" w:color="1F497D"/>
              <w:bottom w:val="single" w:sz="6" w:space="0" w:color="1F497D"/>
              <w:right w:val="single" w:sz="6" w:space="0" w:color="1F497D"/>
            </w:tcBorders>
            <w:shd w:val="clear" w:color="auto" w:fill="FFFFFF"/>
          </w:tcPr>
          <w:p w:rsidR="0033725C" w:rsidRPr="003410C7" w:rsidRDefault="0033725C" w:rsidP="00A73DBD">
            <w:pPr>
              <w:pStyle w:val="TableText"/>
              <w:rPr>
                <w:rFonts w:ascii="Segoe" w:eastAsia="Calibri" w:hAnsi="Segoe"/>
              </w:rPr>
            </w:pPr>
            <w:r w:rsidRPr="003410C7">
              <w:rPr>
                <w:rFonts w:eastAsia="Calibri" w:cs="Segoe UI"/>
                <w:b/>
                <w:sz w:val="24"/>
                <w:szCs w:val="24"/>
              </w:rPr>
              <w:sym w:font="Wingdings" w:char="00FC"/>
            </w:r>
          </w:p>
        </w:tc>
        <w:tc>
          <w:tcPr>
            <w:tcW w:w="1125" w:type="dxa"/>
            <w:tcBorders>
              <w:top w:val="single" w:sz="6" w:space="0" w:color="1F497D"/>
              <w:left w:val="single" w:sz="6" w:space="0" w:color="1F497D"/>
              <w:bottom w:val="single" w:sz="6" w:space="0" w:color="1F497D"/>
              <w:right w:val="single" w:sz="6" w:space="0" w:color="1F497D"/>
            </w:tcBorders>
            <w:shd w:val="clear" w:color="auto" w:fill="FFFFFF"/>
          </w:tcPr>
          <w:p w:rsidR="0033725C" w:rsidRPr="003410C7" w:rsidRDefault="0033725C" w:rsidP="00A73DBD">
            <w:pPr>
              <w:pStyle w:val="TableText"/>
              <w:rPr>
                <w:rFonts w:eastAsia="Calibri" w:cs="Segoe UI"/>
                <w:b/>
                <w:sz w:val="24"/>
                <w:szCs w:val="24"/>
              </w:rPr>
            </w:pPr>
            <w:r w:rsidRPr="003410C7">
              <w:rPr>
                <w:rFonts w:eastAsia="Calibri" w:cs="Segoe UI"/>
                <w:b/>
                <w:sz w:val="24"/>
                <w:szCs w:val="24"/>
              </w:rPr>
              <w:sym w:font="Wingdings" w:char="00FC"/>
            </w:r>
          </w:p>
        </w:tc>
        <w:tc>
          <w:tcPr>
            <w:tcW w:w="1305" w:type="dxa"/>
            <w:tcBorders>
              <w:top w:val="single" w:sz="6" w:space="0" w:color="1F497D"/>
              <w:left w:val="single" w:sz="6" w:space="0" w:color="1F497D"/>
              <w:bottom w:val="single" w:sz="6" w:space="0" w:color="1F497D"/>
              <w:right w:val="single" w:sz="6" w:space="0" w:color="1F497D"/>
            </w:tcBorders>
            <w:shd w:val="clear" w:color="auto" w:fill="FFFFFF"/>
          </w:tcPr>
          <w:p w:rsidR="0033725C" w:rsidRPr="003410C7" w:rsidRDefault="0033725C" w:rsidP="00A73DBD">
            <w:pPr>
              <w:pStyle w:val="TableText"/>
              <w:rPr>
                <w:rFonts w:eastAsia="Calibri" w:cs="Segoe UI"/>
                <w:b/>
                <w:sz w:val="24"/>
                <w:szCs w:val="24"/>
              </w:rPr>
            </w:pPr>
          </w:p>
        </w:tc>
        <w:tc>
          <w:tcPr>
            <w:tcW w:w="1251" w:type="dxa"/>
            <w:tcBorders>
              <w:top w:val="single" w:sz="6" w:space="0" w:color="1F497D"/>
              <w:left w:val="single" w:sz="6" w:space="0" w:color="1F497D"/>
              <w:bottom w:val="single" w:sz="6" w:space="0" w:color="1F497D"/>
              <w:right w:val="single" w:sz="6" w:space="0" w:color="1F497D"/>
            </w:tcBorders>
            <w:shd w:val="clear" w:color="auto" w:fill="FFFFFF"/>
          </w:tcPr>
          <w:p w:rsidR="0033725C" w:rsidRPr="003410C7" w:rsidRDefault="0033725C" w:rsidP="00A73DBD">
            <w:pPr>
              <w:pStyle w:val="TableText"/>
              <w:rPr>
                <w:rFonts w:eastAsia="Calibri" w:cs="Segoe UI"/>
                <w:b/>
                <w:sz w:val="24"/>
                <w:szCs w:val="24"/>
              </w:rPr>
            </w:pPr>
          </w:p>
        </w:tc>
      </w:tr>
      <w:tr w:rsidR="000C172E" w:rsidRPr="003410C7" w:rsidTr="000B5FBB">
        <w:trPr>
          <w:cantSplit/>
        </w:trPr>
        <w:tc>
          <w:tcPr>
            <w:tcW w:w="2020" w:type="dxa"/>
            <w:tcBorders>
              <w:top w:val="single" w:sz="6" w:space="0" w:color="1F497D"/>
              <w:left w:val="single" w:sz="4" w:space="0" w:color="072B61"/>
              <w:bottom w:val="single" w:sz="6" w:space="0" w:color="1F497D"/>
              <w:right w:val="single" w:sz="6" w:space="0" w:color="1F497D"/>
            </w:tcBorders>
            <w:shd w:val="clear" w:color="auto" w:fill="FFFFFF"/>
          </w:tcPr>
          <w:p w:rsidR="0033725C" w:rsidRPr="00451078" w:rsidRDefault="0033725C" w:rsidP="000B5FBB">
            <w:pPr>
              <w:pStyle w:val="TableText"/>
              <w:jc w:val="left"/>
              <w:rPr>
                <w:rFonts w:ascii="Tahoma" w:eastAsia="Calibri" w:hAnsi="Tahoma" w:cs="Tahoma"/>
                <w:sz w:val="18"/>
                <w:szCs w:val="18"/>
                <w:lang w:val="it-IT"/>
              </w:rPr>
            </w:pPr>
            <w:r w:rsidRPr="00451078">
              <w:rPr>
                <w:rFonts w:ascii="Tahoma" w:eastAsia="Calibri" w:hAnsi="Tahoma" w:cs="Tahoma"/>
                <w:sz w:val="18"/>
                <w:szCs w:val="18"/>
                <w:lang w:val="it-IT"/>
              </w:rPr>
              <w:t>Aggiornamento di Note utilizzando i client Microsoft Dynamics</w:t>
            </w:r>
            <w:r w:rsidR="000B5FBB" w:rsidRPr="00451078">
              <w:rPr>
                <w:rFonts w:ascii="Tahoma" w:eastAsia="Calibri" w:hAnsi="Tahoma" w:cs="Tahoma"/>
                <w:sz w:val="18"/>
                <w:szCs w:val="18"/>
                <w:lang w:val="it-IT"/>
              </w:rPr>
              <w:t> </w:t>
            </w:r>
            <w:r w:rsidRPr="00451078">
              <w:rPr>
                <w:rFonts w:ascii="Tahoma" w:eastAsia="Calibri" w:hAnsi="Tahoma" w:cs="Tahoma"/>
                <w:sz w:val="18"/>
                <w:szCs w:val="18"/>
                <w:lang w:val="it-IT"/>
              </w:rPr>
              <w:t>CRM</w:t>
            </w:r>
          </w:p>
        </w:tc>
        <w:tc>
          <w:tcPr>
            <w:tcW w:w="972" w:type="dxa"/>
            <w:tcBorders>
              <w:top w:val="single" w:sz="6" w:space="0" w:color="1F497D"/>
              <w:left w:val="single" w:sz="6" w:space="0" w:color="1F497D"/>
              <w:bottom w:val="single" w:sz="6" w:space="0" w:color="1F497D"/>
              <w:right w:val="single" w:sz="6" w:space="0" w:color="1F497D"/>
            </w:tcBorders>
            <w:shd w:val="clear" w:color="auto" w:fill="FFFFFF"/>
          </w:tcPr>
          <w:p w:rsidR="0033725C" w:rsidRPr="00451078" w:rsidRDefault="0033725C" w:rsidP="00A73DBD">
            <w:pPr>
              <w:pStyle w:val="TableText"/>
              <w:rPr>
                <w:rFonts w:eastAsia="Calibri" w:cs="Segoe UI"/>
                <w:b/>
                <w:sz w:val="24"/>
                <w:szCs w:val="24"/>
                <w:lang w:val="it-IT"/>
              </w:rPr>
            </w:pPr>
          </w:p>
        </w:tc>
        <w:tc>
          <w:tcPr>
            <w:tcW w:w="1053" w:type="dxa"/>
            <w:tcBorders>
              <w:top w:val="single" w:sz="6" w:space="0" w:color="1F497D"/>
              <w:left w:val="single" w:sz="6" w:space="0" w:color="1F497D"/>
              <w:bottom w:val="single" w:sz="6" w:space="0" w:color="1F497D"/>
              <w:right w:val="single" w:sz="6" w:space="0" w:color="1F497D"/>
            </w:tcBorders>
            <w:shd w:val="clear" w:color="auto" w:fill="FFFFFF"/>
          </w:tcPr>
          <w:p w:rsidR="0033725C" w:rsidRPr="003410C7" w:rsidRDefault="0033725C" w:rsidP="00A73DBD">
            <w:pPr>
              <w:pStyle w:val="TableText"/>
              <w:rPr>
                <w:rFonts w:ascii="Segoe" w:eastAsia="Calibri" w:hAnsi="Segoe"/>
              </w:rPr>
            </w:pPr>
            <w:r w:rsidRPr="003410C7">
              <w:rPr>
                <w:rFonts w:eastAsia="Calibri" w:cs="Segoe UI"/>
                <w:b/>
                <w:sz w:val="24"/>
                <w:szCs w:val="24"/>
              </w:rPr>
              <w:sym w:font="Wingdings" w:char="00FC"/>
            </w:r>
          </w:p>
        </w:tc>
        <w:tc>
          <w:tcPr>
            <w:tcW w:w="1152" w:type="dxa"/>
            <w:tcBorders>
              <w:top w:val="single" w:sz="6" w:space="0" w:color="1F497D"/>
              <w:left w:val="single" w:sz="6" w:space="0" w:color="1F497D"/>
              <w:bottom w:val="single" w:sz="6" w:space="0" w:color="1F497D"/>
              <w:right w:val="single" w:sz="6" w:space="0" w:color="1F497D"/>
            </w:tcBorders>
            <w:shd w:val="clear" w:color="auto" w:fill="FFFFFF"/>
          </w:tcPr>
          <w:p w:rsidR="0033725C" w:rsidRPr="003410C7" w:rsidRDefault="0033725C" w:rsidP="00A73DBD">
            <w:pPr>
              <w:pStyle w:val="TableText"/>
              <w:rPr>
                <w:rFonts w:ascii="Segoe" w:eastAsia="Calibri" w:hAnsi="Segoe"/>
              </w:rPr>
            </w:pPr>
            <w:r w:rsidRPr="003410C7">
              <w:rPr>
                <w:rFonts w:eastAsia="Calibri" w:cs="Segoe UI"/>
                <w:b/>
                <w:sz w:val="24"/>
                <w:szCs w:val="24"/>
              </w:rPr>
              <w:sym w:font="Wingdings" w:char="00FC"/>
            </w:r>
          </w:p>
        </w:tc>
        <w:tc>
          <w:tcPr>
            <w:tcW w:w="1125" w:type="dxa"/>
            <w:tcBorders>
              <w:top w:val="single" w:sz="6" w:space="0" w:color="1F497D"/>
              <w:left w:val="single" w:sz="6" w:space="0" w:color="1F497D"/>
              <w:bottom w:val="single" w:sz="6" w:space="0" w:color="1F497D"/>
              <w:right w:val="single" w:sz="6" w:space="0" w:color="1F497D"/>
            </w:tcBorders>
            <w:shd w:val="clear" w:color="auto" w:fill="FFFFFF"/>
          </w:tcPr>
          <w:p w:rsidR="0033725C" w:rsidRPr="003410C7" w:rsidRDefault="0033725C" w:rsidP="00A73DBD">
            <w:pPr>
              <w:pStyle w:val="TableText"/>
              <w:rPr>
                <w:rFonts w:eastAsia="Calibri" w:cs="Segoe UI"/>
                <w:b/>
                <w:sz w:val="24"/>
                <w:szCs w:val="24"/>
              </w:rPr>
            </w:pPr>
            <w:r w:rsidRPr="003410C7">
              <w:rPr>
                <w:rFonts w:eastAsia="Calibri" w:cs="Segoe UI"/>
                <w:b/>
                <w:sz w:val="24"/>
                <w:szCs w:val="24"/>
              </w:rPr>
              <w:sym w:font="Wingdings" w:char="00FC"/>
            </w:r>
          </w:p>
        </w:tc>
        <w:tc>
          <w:tcPr>
            <w:tcW w:w="1305" w:type="dxa"/>
            <w:tcBorders>
              <w:top w:val="single" w:sz="6" w:space="0" w:color="1F497D"/>
              <w:left w:val="single" w:sz="6" w:space="0" w:color="1F497D"/>
              <w:bottom w:val="single" w:sz="6" w:space="0" w:color="1F497D"/>
              <w:right w:val="single" w:sz="6" w:space="0" w:color="1F497D"/>
            </w:tcBorders>
            <w:shd w:val="clear" w:color="auto" w:fill="FFFFFF"/>
          </w:tcPr>
          <w:p w:rsidR="0033725C" w:rsidRPr="003410C7" w:rsidRDefault="0033725C" w:rsidP="00A73DBD">
            <w:pPr>
              <w:pStyle w:val="TableText"/>
              <w:rPr>
                <w:rFonts w:eastAsia="Calibri" w:cs="Segoe UI"/>
                <w:b/>
                <w:sz w:val="24"/>
                <w:szCs w:val="24"/>
              </w:rPr>
            </w:pPr>
          </w:p>
        </w:tc>
        <w:tc>
          <w:tcPr>
            <w:tcW w:w="1251" w:type="dxa"/>
            <w:tcBorders>
              <w:top w:val="single" w:sz="6" w:space="0" w:color="1F497D"/>
              <w:left w:val="single" w:sz="6" w:space="0" w:color="1F497D"/>
              <w:bottom w:val="single" w:sz="6" w:space="0" w:color="1F497D"/>
              <w:right w:val="single" w:sz="6" w:space="0" w:color="1F497D"/>
            </w:tcBorders>
            <w:shd w:val="clear" w:color="auto" w:fill="FFFFFF"/>
          </w:tcPr>
          <w:p w:rsidR="0033725C" w:rsidRPr="003410C7" w:rsidRDefault="0033725C" w:rsidP="00A73DBD">
            <w:pPr>
              <w:pStyle w:val="TableText"/>
              <w:rPr>
                <w:rFonts w:eastAsia="Calibri" w:cs="Segoe UI"/>
                <w:b/>
                <w:sz w:val="24"/>
                <w:szCs w:val="24"/>
              </w:rPr>
            </w:pPr>
          </w:p>
        </w:tc>
      </w:tr>
      <w:tr w:rsidR="000C172E" w:rsidRPr="003410C7" w:rsidTr="000C172E">
        <w:tc>
          <w:tcPr>
            <w:tcW w:w="2020" w:type="dxa"/>
            <w:tcBorders>
              <w:top w:val="single" w:sz="6" w:space="0" w:color="1F497D"/>
              <w:left w:val="single" w:sz="4" w:space="0" w:color="072B61"/>
              <w:bottom w:val="single" w:sz="6" w:space="0" w:color="1F497D"/>
              <w:right w:val="single" w:sz="6" w:space="0" w:color="1F497D"/>
            </w:tcBorders>
            <w:shd w:val="clear" w:color="auto" w:fill="FFFFFF"/>
          </w:tcPr>
          <w:p w:rsidR="0033725C" w:rsidRPr="00451078" w:rsidRDefault="0033725C" w:rsidP="000B5FBB">
            <w:pPr>
              <w:pStyle w:val="TableText"/>
              <w:jc w:val="left"/>
              <w:rPr>
                <w:rFonts w:ascii="Tahoma" w:eastAsia="Calibri" w:hAnsi="Tahoma" w:cs="Tahoma"/>
                <w:sz w:val="18"/>
                <w:szCs w:val="18"/>
                <w:lang w:val="it-IT"/>
              </w:rPr>
            </w:pPr>
            <w:r w:rsidRPr="00451078">
              <w:rPr>
                <w:rFonts w:ascii="Tahoma" w:eastAsia="Calibri" w:hAnsi="Tahoma" w:cs="Tahoma"/>
                <w:sz w:val="18"/>
                <w:szCs w:val="18"/>
                <w:lang w:val="it-IT"/>
              </w:rPr>
              <w:t>Aggiunta di Account utilizzando i client Microsoft Dynamics</w:t>
            </w:r>
            <w:r w:rsidR="000B5FBB" w:rsidRPr="00451078">
              <w:rPr>
                <w:rFonts w:ascii="Tahoma" w:eastAsia="Calibri" w:hAnsi="Tahoma" w:cs="Tahoma"/>
                <w:sz w:val="18"/>
                <w:szCs w:val="18"/>
                <w:lang w:val="it-IT"/>
              </w:rPr>
              <w:t> </w:t>
            </w:r>
            <w:r w:rsidRPr="00451078">
              <w:rPr>
                <w:rFonts w:ascii="Tahoma" w:eastAsia="Calibri" w:hAnsi="Tahoma" w:cs="Tahoma"/>
                <w:sz w:val="18"/>
                <w:szCs w:val="18"/>
                <w:lang w:val="it-IT"/>
              </w:rPr>
              <w:t>CRM</w:t>
            </w:r>
          </w:p>
        </w:tc>
        <w:tc>
          <w:tcPr>
            <w:tcW w:w="972" w:type="dxa"/>
            <w:tcBorders>
              <w:top w:val="single" w:sz="6" w:space="0" w:color="1F497D"/>
              <w:left w:val="single" w:sz="6" w:space="0" w:color="1F497D"/>
              <w:bottom w:val="single" w:sz="6" w:space="0" w:color="1F497D"/>
              <w:right w:val="single" w:sz="6" w:space="0" w:color="1F497D"/>
            </w:tcBorders>
            <w:shd w:val="clear" w:color="auto" w:fill="FFFFFF"/>
          </w:tcPr>
          <w:p w:rsidR="0033725C" w:rsidRPr="00451078" w:rsidRDefault="0033725C" w:rsidP="00A73DBD">
            <w:pPr>
              <w:pStyle w:val="TableText"/>
              <w:rPr>
                <w:rFonts w:eastAsia="Calibri" w:cs="Segoe UI"/>
                <w:b/>
                <w:sz w:val="24"/>
                <w:szCs w:val="24"/>
                <w:lang w:val="it-IT"/>
              </w:rPr>
            </w:pPr>
          </w:p>
        </w:tc>
        <w:tc>
          <w:tcPr>
            <w:tcW w:w="1053" w:type="dxa"/>
            <w:tcBorders>
              <w:top w:val="single" w:sz="6" w:space="0" w:color="1F497D"/>
              <w:left w:val="single" w:sz="6" w:space="0" w:color="1F497D"/>
              <w:bottom w:val="single" w:sz="6" w:space="0" w:color="1F497D"/>
              <w:right w:val="single" w:sz="6" w:space="0" w:color="1F497D"/>
            </w:tcBorders>
            <w:shd w:val="clear" w:color="auto" w:fill="FFFFFF"/>
          </w:tcPr>
          <w:p w:rsidR="0033725C" w:rsidRPr="003410C7" w:rsidRDefault="0033725C" w:rsidP="00A73DBD">
            <w:pPr>
              <w:pStyle w:val="TableText"/>
              <w:rPr>
                <w:rFonts w:ascii="Segoe" w:eastAsia="Calibri" w:hAnsi="Segoe"/>
              </w:rPr>
            </w:pPr>
            <w:r w:rsidRPr="003410C7">
              <w:rPr>
                <w:rFonts w:eastAsia="Calibri" w:cs="Segoe UI"/>
                <w:b/>
                <w:sz w:val="24"/>
                <w:szCs w:val="24"/>
              </w:rPr>
              <w:sym w:font="Wingdings" w:char="00FC"/>
            </w:r>
          </w:p>
        </w:tc>
        <w:tc>
          <w:tcPr>
            <w:tcW w:w="1152" w:type="dxa"/>
            <w:tcBorders>
              <w:top w:val="single" w:sz="6" w:space="0" w:color="1F497D"/>
              <w:left w:val="single" w:sz="6" w:space="0" w:color="1F497D"/>
              <w:bottom w:val="single" w:sz="6" w:space="0" w:color="1F497D"/>
              <w:right w:val="single" w:sz="6" w:space="0" w:color="1F497D"/>
            </w:tcBorders>
            <w:shd w:val="clear" w:color="auto" w:fill="FFFFFF"/>
          </w:tcPr>
          <w:p w:rsidR="0033725C" w:rsidRPr="003410C7" w:rsidRDefault="0033725C" w:rsidP="00A73DBD">
            <w:pPr>
              <w:pStyle w:val="TableText"/>
              <w:rPr>
                <w:rFonts w:ascii="Segoe" w:eastAsia="Calibri" w:hAnsi="Segoe"/>
              </w:rPr>
            </w:pPr>
            <w:r w:rsidRPr="003410C7">
              <w:rPr>
                <w:rFonts w:eastAsia="Calibri" w:cs="Segoe UI"/>
                <w:b/>
                <w:sz w:val="24"/>
                <w:szCs w:val="24"/>
              </w:rPr>
              <w:sym w:font="Wingdings" w:char="00FC"/>
            </w:r>
          </w:p>
        </w:tc>
        <w:tc>
          <w:tcPr>
            <w:tcW w:w="1125" w:type="dxa"/>
            <w:tcBorders>
              <w:top w:val="single" w:sz="6" w:space="0" w:color="1F497D"/>
              <w:left w:val="single" w:sz="6" w:space="0" w:color="1F497D"/>
              <w:bottom w:val="single" w:sz="6" w:space="0" w:color="1F497D"/>
              <w:right w:val="single" w:sz="6" w:space="0" w:color="1F497D"/>
            </w:tcBorders>
            <w:shd w:val="clear" w:color="auto" w:fill="FFFFFF"/>
          </w:tcPr>
          <w:p w:rsidR="0033725C" w:rsidRPr="003410C7" w:rsidRDefault="0033725C" w:rsidP="00A73DBD">
            <w:pPr>
              <w:pStyle w:val="TableText"/>
              <w:rPr>
                <w:rFonts w:eastAsia="Calibri" w:cs="Segoe UI"/>
                <w:b/>
                <w:sz w:val="24"/>
                <w:szCs w:val="24"/>
              </w:rPr>
            </w:pPr>
            <w:r w:rsidRPr="003410C7">
              <w:rPr>
                <w:rFonts w:eastAsia="Calibri" w:cs="Segoe UI"/>
                <w:b/>
                <w:sz w:val="24"/>
                <w:szCs w:val="24"/>
              </w:rPr>
              <w:sym w:font="Wingdings" w:char="00FC"/>
            </w:r>
          </w:p>
        </w:tc>
        <w:tc>
          <w:tcPr>
            <w:tcW w:w="1305" w:type="dxa"/>
            <w:tcBorders>
              <w:top w:val="single" w:sz="6" w:space="0" w:color="1F497D"/>
              <w:left w:val="single" w:sz="6" w:space="0" w:color="1F497D"/>
              <w:bottom w:val="single" w:sz="6" w:space="0" w:color="1F497D"/>
              <w:right w:val="single" w:sz="6" w:space="0" w:color="1F497D"/>
            </w:tcBorders>
            <w:shd w:val="clear" w:color="auto" w:fill="FFFFFF"/>
          </w:tcPr>
          <w:p w:rsidR="0033725C" w:rsidRPr="003410C7" w:rsidRDefault="0033725C" w:rsidP="00A73DBD">
            <w:pPr>
              <w:pStyle w:val="TableText"/>
              <w:rPr>
                <w:rFonts w:eastAsia="Calibri" w:cs="Segoe UI"/>
                <w:b/>
                <w:sz w:val="24"/>
                <w:szCs w:val="24"/>
              </w:rPr>
            </w:pPr>
          </w:p>
        </w:tc>
        <w:tc>
          <w:tcPr>
            <w:tcW w:w="1251" w:type="dxa"/>
            <w:tcBorders>
              <w:top w:val="single" w:sz="6" w:space="0" w:color="1F497D"/>
              <w:left w:val="single" w:sz="6" w:space="0" w:color="1F497D"/>
              <w:bottom w:val="single" w:sz="6" w:space="0" w:color="1F497D"/>
              <w:right w:val="single" w:sz="6" w:space="0" w:color="1F497D"/>
            </w:tcBorders>
            <w:shd w:val="clear" w:color="auto" w:fill="FFFFFF"/>
          </w:tcPr>
          <w:p w:rsidR="0033725C" w:rsidRPr="003410C7" w:rsidRDefault="0033725C" w:rsidP="00A73DBD">
            <w:pPr>
              <w:pStyle w:val="TableText"/>
              <w:rPr>
                <w:rFonts w:eastAsia="Calibri" w:cs="Segoe UI"/>
                <w:b/>
                <w:sz w:val="24"/>
                <w:szCs w:val="24"/>
              </w:rPr>
            </w:pPr>
          </w:p>
        </w:tc>
      </w:tr>
      <w:tr w:rsidR="000C172E" w:rsidRPr="003410C7" w:rsidTr="000C172E">
        <w:tc>
          <w:tcPr>
            <w:tcW w:w="2020" w:type="dxa"/>
            <w:tcBorders>
              <w:top w:val="single" w:sz="6" w:space="0" w:color="1F497D"/>
              <w:left w:val="single" w:sz="4" w:space="0" w:color="072B61"/>
              <w:bottom w:val="single" w:sz="6" w:space="0" w:color="1F497D"/>
              <w:right w:val="single" w:sz="6" w:space="0" w:color="1F497D"/>
            </w:tcBorders>
            <w:shd w:val="clear" w:color="auto" w:fill="FFFFFF"/>
          </w:tcPr>
          <w:p w:rsidR="0033725C" w:rsidRPr="00451078" w:rsidRDefault="0033725C" w:rsidP="000B5FBB">
            <w:pPr>
              <w:pStyle w:val="TableText"/>
              <w:jc w:val="left"/>
              <w:rPr>
                <w:rFonts w:ascii="Tahoma" w:eastAsia="Calibri" w:hAnsi="Tahoma" w:cs="Tahoma"/>
                <w:sz w:val="18"/>
                <w:szCs w:val="18"/>
                <w:lang w:val="it-IT"/>
              </w:rPr>
            </w:pPr>
            <w:r w:rsidRPr="00451078">
              <w:rPr>
                <w:rFonts w:ascii="Tahoma" w:eastAsia="Calibri" w:hAnsi="Tahoma" w:cs="Tahoma"/>
                <w:sz w:val="18"/>
                <w:szCs w:val="18"/>
                <w:lang w:val="it-IT"/>
              </w:rPr>
              <w:t xml:space="preserve">Aggiunta di Contatti </w:t>
            </w:r>
            <w:r w:rsidRPr="00451078">
              <w:rPr>
                <w:rFonts w:ascii="Tahoma" w:eastAsia="Calibri" w:hAnsi="Tahoma" w:cs="Tahoma"/>
                <w:sz w:val="18"/>
                <w:szCs w:val="18"/>
                <w:lang w:val="it-IT"/>
              </w:rPr>
              <w:lastRenderedPageBreak/>
              <w:t>utilizzando i client Microsoft Dynamics</w:t>
            </w:r>
            <w:r w:rsidR="000B5FBB" w:rsidRPr="00451078">
              <w:rPr>
                <w:rFonts w:ascii="Tahoma" w:eastAsia="Calibri" w:hAnsi="Tahoma" w:cs="Tahoma"/>
                <w:sz w:val="18"/>
                <w:szCs w:val="18"/>
                <w:lang w:val="it-IT"/>
              </w:rPr>
              <w:t> </w:t>
            </w:r>
            <w:r w:rsidRPr="00451078">
              <w:rPr>
                <w:rFonts w:ascii="Tahoma" w:eastAsia="Calibri" w:hAnsi="Tahoma" w:cs="Tahoma"/>
                <w:sz w:val="18"/>
                <w:szCs w:val="18"/>
                <w:lang w:val="it-IT"/>
              </w:rPr>
              <w:t>CRM</w:t>
            </w:r>
          </w:p>
        </w:tc>
        <w:tc>
          <w:tcPr>
            <w:tcW w:w="972" w:type="dxa"/>
            <w:tcBorders>
              <w:top w:val="single" w:sz="6" w:space="0" w:color="1F497D"/>
              <w:left w:val="single" w:sz="6" w:space="0" w:color="1F497D"/>
              <w:bottom w:val="single" w:sz="6" w:space="0" w:color="1F497D"/>
              <w:right w:val="single" w:sz="6" w:space="0" w:color="1F497D"/>
            </w:tcBorders>
            <w:shd w:val="clear" w:color="auto" w:fill="FFFFFF"/>
          </w:tcPr>
          <w:p w:rsidR="0033725C" w:rsidRPr="00451078" w:rsidRDefault="0033725C" w:rsidP="00A73DBD">
            <w:pPr>
              <w:pStyle w:val="TableText"/>
              <w:rPr>
                <w:rFonts w:eastAsia="Calibri" w:cs="Segoe UI"/>
                <w:b/>
                <w:sz w:val="24"/>
                <w:szCs w:val="24"/>
                <w:lang w:val="it-IT"/>
              </w:rPr>
            </w:pPr>
          </w:p>
        </w:tc>
        <w:tc>
          <w:tcPr>
            <w:tcW w:w="1053" w:type="dxa"/>
            <w:tcBorders>
              <w:top w:val="single" w:sz="6" w:space="0" w:color="1F497D"/>
              <w:left w:val="single" w:sz="6" w:space="0" w:color="1F497D"/>
              <w:bottom w:val="single" w:sz="6" w:space="0" w:color="1F497D"/>
              <w:right w:val="single" w:sz="6" w:space="0" w:color="1F497D"/>
            </w:tcBorders>
            <w:shd w:val="clear" w:color="auto" w:fill="FFFFFF"/>
          </w:tcPr>
          <w:p w:rsidR="0033725C" w:rsidRPr="003410C7" w:rsidRDefault="0033725C" w:rsidP="00A73DBD">
            <w:pPr>
              <w:pStyle w:val="TableText"/>
              <w:rPr>
                <w:rFonts w:ascii="Segoe" w:eastAsia="Calibri" w:hAnsi="Segoe"/>
              </w:rPr>
            </w:pPr>
            <w:r w:rsidRPr="003410C7">
              <w:rPr>
                <w:rFonts w:eastAsia="Calibri" w:cs="Segoe UI"/>
                <w:b/>
                <w:sz w:val="24"/>
                <w:szCs w:val="24"/>
              </w:rPr>
              <w:sym w:font="Wingdings" w:char="00FC"/>
            </w:r>
          </w:p>
        </w:tc>
        <w:tc>
          <w:tcPr>
            <w:tcW w:w="1152" w:type="dxa"/>
            <w:tcBorders>
              <w:top w:val="single" w:sz="6" w:space="0" w:color="1F497D"/>
              <w:left w:val="single" w:sz="6" w:space="0" w:color="1F497D"/>
              <w:bottom w:val="single" w:sz="6" w:space="0" w:color="1F497D"/>
              <w:right w:val="single" w:sz="6" w:space="0" w:color="1F497D"/>
            </w:tcBorders>
            <w:shd w:val="clear" w:color="auto" w:fill="FFFFFF"/>
          </w:tcPr>
          <w:p w:rsidR="0033725C" w:rsidRPr="003410C7" w:rsidRDefault="0033725C" w:rsidP="00A73DBD">
            <w:pPr>
              <w:pStyle w:val="TableText"/>
              <w:rPr>
                <w:rFonts w:ascii="Segoe" w:eastAsia="Calibri" w:hAnsi="Segoe"/>
              </w:rPr>
            </w:pPr>
            <w:r w:rsidRPr="003410C7">
              <w:rPr>
                <w:rFonts w:eastAsia="Calibri" w:cs="Segoe UI"/>
                <w:b/>
                <w:sz w:val="24"/>
                <w:szCs w:val="24"/>
              </w:rPr>
              <w:sym w:font="Wingdings" w:char="00FC"/>
            </w:r>
          </w:p>
        </w:tc>
        <w:tc>
          <w:tcPr>
            <w:tcW w:w="1125" w:type="dxa"/>
            <w:tcBorders>
              <w:top w:val="single" w:sz="6" w:space="0" w:color="1F497D"/>
              <w:left w:val="single" w:sz="6" w:space="0" w:color="1F497D"/>
              <w:bottom w:val="single" w:sz="6" w:space="0" w:color="1F497D"/>
              <w:right w:val="single" w:sz="6" w:space="0" w:color="1F497D"/>
            </w:tcBorders>
            <w:shd w:val="clear" w:color="auto" w:fill="FFFFFF"/>
          </w:tcPr>
          <w:p w:rsidR="0033725C" w:rsidRPr="003410C7" w:rsidRDefault="0033725C" w:rsidP="00A73DBD">
            <w:pPr>
              <w:pStyle w:val="TableText"/>
              <w:rPr>
                <w:rFonts w:eastAsia="Calibri" w:cs="Segoe UI"/>
                <w:b/>
                <w:sz w:val="24"/>
                <w:szCs w:val="24"/>
              </w:rPr>
            </w:pPr>
            <w:r w:rsidRPr="003410C7">
              <w:rPr>
                <w:rFonts w:eastAsia="Calibri" w:cs="Segoe UI"/>
                <w:b/>
                <w:sz w:val="24"/>
                <w:szCs w:val="24"/>
              </w:rPr>
              <w:sym w:font="Wingdings" w:char="00FC"/>
            </w:r>
          </w:p>
        </w:tc>
        <w:tc>
          <w:tcPr>
            <w:tcW w:w="1305" w:type="dxa"/>
            <w:tcBorders>
              <w:top w:val="single" w:sz="6" w:space="0" w:color="1F497D"/>
              <w:left w:val="single" w:sz="6" w:space="0" w:color="1F497D"/>
              <w:bottom w:val="single" w:sz="6" w:space="0" w:color="1F497D"/>
              <w:right w:val="single" w:sz="6" w:space="0" w:color="1F497D"/>
            </w:tcBorders>
            <w:shd w:val="clear" w:color="auto" w:fill="FFFFFF"/>
          </w:tcPr>
          <w:p w:rsidR="0033725C" w:rsidRPr="003410C7" w:rsidRDefault="0033725C" w:rsidP="00A73DBD">
            <w:pPr>
              <w:pStyle w:val="TableText"/>
              <w:rPr>
                <w:rFonts w:eastAsia="Calibri" w:cs="Segoe UI"/>
                <w:b/>
                <w:sz w:val="24"/>
                <w:szCs w:val="24"/>
              </w:rPr>
            </w:pPr>
          </w:p>
        </w:tc>
        <w:tc>
          <w:tcPr>
            <w:tcW w:w="1251" w:type="dxa"/>
            <w:tcBorders>
              <w:top w:val="single" w:sz="6" w:space="0" w:color="1F497D"/>
              <w:left w:val="single" w:sz="6" w:space="0" w:color="1F497D"/>
              <w:bottom w:val="single" w:sz="6" w:space="0" w:color="1F497D"/>
              <w:right w:val="single" w:sz="6" w:space="0" w:color="1F497D"/>
            </w:tcBorders>
            <w:shd w:val="clear" w:color="auto" w:fill="FFFFFF"/>
          </w:tcPr>
          <w:p w:rsidR="0033725C" w:rsidRPr="003410C7" w:rsidRDefault="0033725C" w:rsidP="00A73DBD">
            <w:pPr>
              <w:pStyle w:val="TableText"/>
              <w:rPr>
                <w:rFonts w:eastAsia="Calibri" w:cs="Segoe UI"/>
                <w:b/>
                <w:sz w:val="24"/>
                <w:szCs w:val="24"/>
              </w:rPr>
            </w:pPr>
          </w:p>
        </w:tc>
      </w:tr>
      <w:tr w:rsidR="000C172E" w:rsidRPr="003410C7" w:rsidTr="000C172E">
        <w:tc>
          <w:tcPr>
            <w:tcW w:w="2020" w:type="dxa"/>
            <w:tcBorders>
              <w:top w:val="single" w:sz="6" w:space="0" w:color="1F497D"/>
              <w:left w:val="single" w:sz="4" w:space="0" w:color="072B61"/>
              <w:bottom w:val="single" w:sz="6" w:space="0" w:color="1F497D"/>
              <w:right w:val="single" w:sz="6" w:space="0" w:color="1F497D"/>
            </w:tcBorders>
            <w:shd w:val="clear" w:color="auto" w:fill="FFFFFF"/>
          </w:tcPr>
          <w:p w:rsidR="0033725C" w:rsidRPr="00451078" w:rsidRDefault="0033725C" w:rsidP="000B5FBB">
            <w:pPr>
              <w:pStyle w:val="TableText"/>
              <w:jc w:val="left"/>
              <w:rPr>
                <w:rFonts w:ascii="Tahoma" w:eastAsia="Calibri" w:hAnsi="Tahoma" w:cs="Tahoma"/>
                <w:sz w:val="18"/>
                <w:szCs w:val="18"/>
                <w:lang w:val="it-IT"/>
              </w:rPr>
            </w:pPr>
            <w:r w:rsidRPr="00451078">
              <w:rPr>
                <w:rFonts w:ascii="Tahoma" w:eastAsia="Calibri" w:hAnsi="Tahoma" w:cs="Tahoma"/>
                <w:sz w:val="18"/>
                <w:szCs w:val="18"/>
                <w:lang w:val="it-IT"/>
              </w:rPr>
              <w:lastRenderedPageBreak/>
              <w:t>Aggiunta di Casi utilizzando i client Microsoft Dynamics</w:t>
            </w:r>
            <w:r w:rsidR="000B5FBB" w:rsidRPr="00451078">
              <w:rPr>
                <w:rFonts w:ascii="Tahoma" w:eastAsia="Calibri" w:hAnsi="Tahoma" w:cs="Tahoma"/>
                <w:sz w:val="18"/>
                <w:szCs w:val="18"/>
                <w:lang w:val="it-IT"/>
              </w:rPr>
              <w:t> </w:t>
            </w:r>
            <w:r w:rsidRPr="00451078">
              <w:rPr>
                <w:rFonts w:ascii="Tahoma" w:eastAsia="Calibri" w:hAnsi="Tahoma" w:cs="Tahoma"/>
                <w:sz w:val="18"/>
                <w:szCs w:val="18"/>
                <w:lang w:val="it-IT"/>
              </w:rPr>
              <w:t>CRM</w:t>
            </w:r>
          </w:p>
        </w:tc>
        <w:tc>
          <w:tcPr>
            <w:tcW w:w="972" w:type="dxa"/>
            <w:tcBorders>
              <w:top w:val="single" w:sz="6" w:space="0" w:color="1F497D"/>
              <w:left w:val="single" w:sz="6" w:space="0" w:color="1F497D"/>
              <w:bottom w:val="single" w:sz="6" w:space="0" w:color="1F497D"/>
              <w:right w:val="single" w:sz="6" w:space="0" w:color="1F497D"/>
            </w:tcBorders>
            <w:shd w:val="clear" w:color="auto" w:fill="FFFFFF"/>
          </w:tcPr>
          <w:p w:rsidR="0033725C" w:rsidRPr="00451078" w:rsidRDefault="0033725C" w:rsidP="00A73DBD">
            <w:pPr>
              <w:pStyle w:val="TableText"/>
              <w:rPr>
                <w:rFonts w:eastAsia="Calibri" w:cs="Segoe UI"/>
                <w:b/>
                <w:sz w:val="24"/>
                <w:szCs w:val="24"/>
                <w:lang w:val="it-IT"/>
              </w:rPr>
            </w:pPr>
          </w:p>
        </w:tc>
        <w:tc>
          <w:tcPr>
            <w:tcW w:w="1053" w:type="dxa"/>
            <w:tcBorders>
              <w:top w:val="single" w:sz="6" w:space="0" w:color="1F497D"/>
              <w:left w:val="single" w:sz="6" w:space="0" w:color="1F497D"/>
              <w:bottom w:val="single" w:sz="6" w:space="0" w:color="1F497D"/>
              <w:right w:val="single" w:sz="6" w:space="0" w:color="1F497D"/>
            </w:tcBorders>
            <w:shd w:val="clear" w:color="auto" w:fill="FFFFFF"/>
          </w:tcPr>
          <w:p w:rsidR="0033725C" w:rsidRPr="003410C7" w:rsidRDefault="0033725C" w:rsidP="00A73DBD">
            <w:pPr>
              <w:pStyle w:val="TableText"/>
              <w:rPr>
                <w:rFonts w:ascii="Segoe" w:eastAsia="Calibri" w:hAnsi="Segoe"/>
              </w:rPr>
            </w:pPr>
            <w:r w:rsidRPr="003410C7">
              <w:rPr>
                <w:rFonts w:eastAsia="Calibri" w:cs="Segoe UI"/>
                <w:b/>
                <w:sz w:val="24"/>
                <w:szCs w:val="24"/>
              </w:rPr>
              <w:sym w:font="Wingdings" w:char="00FC"/>
            </w:r>
          </w:p>
        </w:tc>
        <w:tc>
          <w:tcPr>
            <w:tcW w:w="1152" w:type="dxa"/>
            <w:tcBorders>
              <w:top w:val="single" w:sz="6" w:space="0" w:color="1F497D"/>
              <w:left w:val="single" w:sz="6" w:space="0" w:color="1F497D"/>
              <w:bottom w:val="single" w:sz="6" w:space="0" w:color="1F497D"/>
              <w:right w:val="single" w:sz="6" w:space="0" w:color="1F497D"/>
            </w:tcBorders>
            <w:shd w:val="clear" w:color="auto" w:fill="FFFFFF"/>
          </w:tcPr>
          <w:p w:rsidR="0033725C" w:rsidRPr="003410C7" w:rsidRDefault="0033725C" w:rsidP="00A73DBD">
            <w:pPr>
              <w:pStyle w:val="TableText"/>
              <w:rPr>
                <w:rFonts w:ascii="Segoe" w:eastAsia="Calibri" w:hAnsi="Segoe"/>
              </w:rPr>
            </w:pPr>
            <w:r w:rsidRPr="003410C7">
              <w:rPr>
                <w:rFonts w:eastAsia="Calibri" w:cs="Segoe UI"/>
                <w:b/>
                <w:sz w:val="24"/>
                <w:szCs w:val="24"/>
              </w:rPr>
              <w:sym w:font="Wingdings" w:char="00FC"/>
            </w:r>
          </w:p>
        </w:tc>
        <w:tc>
          <w:tcPr>
            <w:tcW w:w="1125" w:type="dxa"/>
            <w:tcBorders>
              <w:top w:val="single" w:sz="6" w:space="0" w:color="1F497D"/>
              <w:left w:val="single" w:sz="6" w:space="0" w:color="1F497D"/>
              <w:bottom w:val="single" w:sz="6" w:space="0" w:color="1F497D"/>
              <w:right w:val="single" w:sz="6" w:space="0" w:color="1F497D"/>
            </w:tcBorders>
            <w:shd w:val="clear" w:color="auto" w:fill="FFFFFF"/>
          </w:tcPr>
          <w:p w:rsidR="0033725C" w:rsidRPr="003410C7" w:rsidRDefault="0033725C" w:rsidP="00A73DBD">
            <w:pPr>
              <w:pStyle w:val="TableText"/>
              <w:rPr>
                <w:rFonts w:eastAsia="Calibri" w:cs="Segoe UI"/>
                <w:b/>
                <w:sz w:val="24"/>
                <w:szCs w:val="24"/>
              </w:rPr>
            </w:pPr>
            <w:r w:rsidRPr="003410C7">
              <w:rPr>
                <w:rFonts w:eastAsia="Calibri" w:cs="Segoe UI"/>
                <w:b/>
                <w:sz w:val="24"/>
                <w:szCs w:val="24"/>
              </w:rPr>
              <w:sym w:font="Wingdings" w:char="00FC"/>
            </w:r>
          </w:p>
        </w:tc>
        <w:tc>
          <w:tcPr>
            <w:tcW w:w="1305" w:type="dxa"/>
            <w:tcBorders>
              <w:top w:val="single" w:sz="6" w:space="0" w:color="1F497D"/>
              <w:left w:val="single" w:sz="6" w:space="0" w:color="1F497D"/>
              <w:bottom w:val="single" w:sz="6" w:space="0" w:color="1F497D"/>
              <w:right w:val="single" w:sz="6" w:space="0" w:color="1F497D"/>
            </w:tcBorders>
            <w:shd w:val="clear" w:color="auto" w:fill="FFFFFF"/>
          </w:tcPr>
          <w:p w:rsidR="0033725C" w:rsidRPr="003410C7" w:rsidRDefault="0033725C" w:rsidP="00A73DBD">
            <w:pPr>
              <w:pStyle w:val="TableText"/>
              <w:rPr>
                <w:rFonts w:eastAsia="Calibri" w:cs="Segoe UI"/>
                <w:b/>
                <w:sz w:val="24"/>
                <w:szCs w:val="24"/>
              </w:rPr>
            </w:pPr>
          </w:p>
        </w:tc>
        <w:tc>
          <w:tcPr>
            <w:tcW w:w="1251" w:type="dxa"/>
            <w:tcBorders>
              <w:top w:val="single" w:sz="6" w:space="0" w:color="1F497D"/>
              <w:left w:val="single" w:sz="6" w:space="0" w:color="1F497D"/>
              <w:bottom w:val="single" w:sz="6" w:space="0" w:color="1F497D"/>
              <w:right w:val="single" w:sz="6" w:space="0" w:color="1F497D"/>
            </w:tcBorders>
            <w:shd w:val="clear" w:color="auto" w:fill="FFFFFF"/>
          </w:tcPr>
          <w:p w:rsidR="0033725C" w:rsidRPr="003410C7" w:rsidRDefault="0033725C" w:rsidP="00A73DBD">
            <w:pPr>
              <w:pStyle w:val="TableText"/>
              <w:rPr>
                <w:rFonts w:eastAsia="Calibri" w:cs="Segoe UI"/>
                <w:b/>
                <w:sz w:val="24"/>
                <w:szCs w:val="24"/>
              </w:rPr>
            </w:pPr>
          </w:p>
        </w:tc>
      </w:tr>
      <w:tr w:rsidR="000C172E" w:rsidRPr="003410C7" w:rsidTr="000C172E">
        <w:tc>
          <w:tcPr>
            <w:tcW w:w="2020" w:type="dxa"/>
            <w:tcBorders>
              <w:top w:val="single" w:sz="6" w:space="0" w:color="1F497D"/>
              <w:left w:val="single" w:sz="4" w:space="0" w:color="072B61"/>
              <w:bottom w:val="single" w:sz="6" w:space="0" w:color="1F497D"/>
              <w:right w:val="single" w:sz="6" w:space="0" w:color="1F497D"/>
            </w:tcBorders>
            <w:shd w:val="clear" w:color="auto" w:fill="FFFFFF"/>
          </w:tcPr>
          <w:p w:rsidR="0033725C" w:rsidRPr="00451078" w:rsidRDefault="0033725C" w:rsidP="000B5FBB">
            <w:pPr>
              <w:pStyle w:val="TableText"/>
              <w:jc w:val="left"/>
              <w:rPr>
                <w:rFonts w:ascii="Tahoma" w:eastAsia="Calibri" w:hAnsi="Tahoma" w:cs="Tahoma"/>
                <w:sz w:val="18"/>
                <w:szCs w:val="18"/>
                <w:lang w:val="it-IT"/>
              </w:rPr>
            </w:pPr>
            <w:r w:rsidRPr="00451078">
              <w:rPr>
                <w:rFonts w:ascii="Tahoma" w:eastAsia="Calibri" w:hAnsi="Tahoma" w:cs="Tahoma"/>
                <w:sz w:val="18"/>
                <w:szCs w:val="18"/>
                <w:lang w:val="it-IT"/>
              </w:rPr>
              <w:t>Aggiunta di Lead utilizzando i client Microsoft Dynamics</w:t>
            </w:r>
            <w:r w:rsidR="000B5FBB" w:rsidRPr="00451078">
              <w:rPr>
                <w:rFonts w:ascii="Tahoma" w:eastAsia="Calibri" w:hAnsi="Tahoma" w:cs="Tahoma"/>
                <w:sz w:val="18"/>
                <w:szCs w:val="18"/>
                <w:lang w:val="it-IT"/>
              </w:rPr>
              <w:t> </w:t>
            </w:r>
            <w:r w:rsidRPr="00451078">
              <w:rPr>
                <w:rFonts w:ascii="Tahoma" w:eastAsia="Calibri" w:hAnsi="Tahoma" w:cs="Tahoma"/>
                <w:sz w:val="18"/>
                <w:szCs w:val="18"/>
                <w:lang w:val="it-IT"/>
              </w:rPr>
              <w:t>CRM</w:t>
            </w:r>
          </w:p>
        </w:tc>
        <w:tc>
          <w:tcPr>
            <w:tcW w:w="972" w:type="dxa"/>
            <w:tcBorders>
              <w:top w:val="single" w:sz="6" w:space="0" w:color="1F497D"/>
              <w:left w:val="single" w:sz="6" w:space="0" w:color="1F497D"/>
              <w:bottom w:val="single" w:sz="6" w:space="0" w:color="1F497D"/>
              <w:right w:val="single" w:sz="6" w:space="0" w:color="1F497D"/>
            </w:tcBorders>
            <w:shd w:val="clear" w:color="auto" w:fill="FFFFFF"/>
          </w:tcPr>
          <w:p w:rsidR="0033725C" w:rsidRPr="00451078" w:rsidRDefault="0033725C" w:rsidP="00A73DBD">
            <w:pPr>
              <w:pStyle w:val="TableText"/>
              <w:rPr>
                <w:rFonts w:eastAsia="Calibri" w:cs="Segoe UI"/>
                <w:b/>
                <w:sz w:val="24"/>
                <w:szCs w:val="24"/>
                <w:lang w:val="it-IT"/>
              </w:rPr>
            </w:pPr>
          </w:p>
        </w:tc>
        <w:tc>
          <w:tcPr>
            <w:tcW w:w="1053" w:type="dxa"/>
            <w:tcBorders>
              <w:top w:val="single" w:sz="6" w:space="0" w:color="1F497D"/>
              <w:left w:val="single" w:sz="6" w:space="0" w:color="1F497D"/>
              <w:bottom w:val="single" w:sz="6" w:space="0" w:color="1F497D"/>
              <w:right w:val="single" w:sz="6" w:space="0" w:color="1F497D"/>
            </w:tcBorders>
            <w:shd w:val="clear" w:color="auto" w:fill="FFFFFF"/>
          </w:tcPr>
          <w:p w:rsidR="0033725C" w:rsidRPr="003410C7" w:rsidRDefault="0033725C" w:rsidP="00A73DBD">
            <w:pPr>
              <w:pStyle w:val="TableText"/>
              <w:rPr>
                <w:rFonts w:ascii="Segoe" w:eastAsia="Calibri" w:hAnsi="Segoe"/>
              </w:rPr>
            </w:pPr>
            <w:r w:rsidRPr="003410C7">
              <w:rPr>
                <w:rFonts w:eastAsia="Calibri" w:cs="Segoe UI"/>
                <w:b/>
                <w:sz w:val="24"/>
                <w:szCs w:val="24"/>
              </w:rPr>
              <w:sym w:font="Wingdings" w:char="00FC"/>
            </w:r>
          </w:p>
        </w:tc>
        <w:tc>
          <w:tcPr>
            <w:tcW w:w="1152" w:type="dxa"/>
            <w:tcBorders>
              <w:top w:val="single" w:sz="6" w:space="0" w:color="1F497D"/>
              <w:left w:val="single" w:sz="6" w:space="0" w:color="1F497D"/>
              <w:bottom w:val="single" w:sz="6" w:space="0" w:color="1F497D"/>
              <w:right w:val="single" w:sz="6" w:space="0" w:color="1F497D"/>
            </w:tcBorders>
            <w:shd w:val="clear" w:color="auto" w:fill="FFFFFF"/>
          </w:tcPr>
          <w:p w:rsidR="0033725C" w:rsidRPr="003410C7" w:rsidRDefault="0033725C" w:rsidP="00A73DBD">
            <w:pPr>
              <w:pStyle w:val="TableText"/>
              <w:rPr>
                <w:rFonts w:ascii="Segoe" w:eastAsia="Calibri" w:hAnsi="Segoe"/>
              </w:rPr>
            </w:pPr>
            <w:r w:rsidRPr="003410C7">
              <w:rPr>
                <w:rFonts w:eastAsia="Calibri" w:cs="Segoe UI"/>
                <w:b/>
                <w:sz w:val="24"/>
                <w:szCs w:val="24"/>
              </w:rPr>
              <w:sym w:font="Wingdings" w:char="00FC"/>
            </w:r>
          </w:p>
        </w:tc>
        <w:tc>
          <w:tcPr>
            <w:tcW w:w="1125" w:type="dxa"/>
            <w:tcBorders>
              <w:top w:val="single" w:sz="6" w:space="0" w:color="1F497D"/>
              <w:left w:val="single" w:sz="6" w:space="0" w:color="1F497D"/>
              <w:bottom w:val="single" w:sz="6" w:space="0" w:color="1F497D"/>
              <w:right w:val="single" w:sz="6" w:space="0" w:color="1F497D"/>
            </w:tcBorders>
            <w:shd w:val="clear" w:color="auto" w:fill="FFFFFF"/>
          </w:tcPr>
          <w:p w:rsidR="0033725C" w:rsidRPr="003410C7" w:rsidRDefault="0033725C" w:rsidP="00A73DBD">
            <w:pPr>
              <w:pStyle w:val="TableText"/>
              <w:rPr>
                <w:rFonts w:eastAsia="Calibri" w:cs="Segoe UI"/>
                <w:b/>
                <w:sz w:val="24"/>
                <w:szCs w:val="24"/>
              </w:rPr>
            </w:pPr>
            <w:r w:rsidRPr="003410C7">
              <w:rPr>
                <w:rFonts w:eastAsia="Calibri" w:cs="Segoe UI"/>
                <w:b/>
                <w:sz w:val="24"/>
                <w:szCs w:val="24"/>
              </w:rPr>
              <w:sym w:font="Wingdings" w:char="00FC"/>
            </w:r>
          </w:p>
        </w:tc>
        <w:tc>
          <w:tcPr>
            <w:tcW w:w="1305" w:type="dxa"/>
            <w:tcBorders>
              <w:top w:val="single" w:sz="6" w:space="0" w:color="1F497D"/>
              <w:left w:val="single" w:sz="6" w:space="0" w:color="1F497D"/>
              <w:bottom w:val="single" w:sz="6" w:space="0" w:color="1F497D"/>
              <w:right w:val="single" w:sz="6" w:space="0" w:color="1F497D"/>
            </w:tcBorders>
            <w:shd w:val="clear" w:color="auto" w:fill="FFFFFF"/>
          </w:tcPr>
          <w:p w:rsidR="0033725C" w:rsidRPr="003410C7" w:rsidRDefault="0033725C" w:rsidP="00A73DBD">
            <w:pPr>
              <w:pStyle w:val="TableText"/>
              <w:rPr>
                <w:rFonts w:eastAsia="Calibri" w:cs="Segoe UI"/>
                <w:b/>
                <w:sz w:val="24"/>
                <w:szCs w:val="24"/>
              </w:rPr>
            </w:pPr>
          </w:p>
        </w:tc>
        <w:tc>
          <w:tcPr>
            <w:tcW w:w="1251" w:type="dxa"/>
            <w:tcBorders>
              <w:top w:val="single" w:sz="6" w:space="0" w:color="1F497D"/>
              <w:left w:val="single" w:sz="6" w:space="0" w:color="1F497D"/>
              <w:bottom w:val="single" w:sz="6" w:space="0" w:color="1F497D"/>
              <w:right w:val="single" w:sz="6" w:space="0" w:color="1F497D"/>
            </w:tcBorders>
            <w:shd w:val="clear" w:color="auto" w:fill="FFFFFF"/>
          </w:tcPr>
          <w:p w:rsidR="0033725C" w:rsidRPr="003410C7" w:rsidRDefault="0033725C" w:rsidP="00A73DBD">
            <w:pPr>
              <w:pStyle w:val="TableText"/>
              <w:rPr>
                <w:rFonts w:eastAsia="Calibri" w:cs="Segoe UI"/>
                <w:b/>
                <w:sz w:val="24"/>
                <w:szCs w:val="24"/>
              </w:rPr>
            </w:pPr>
          </w:p>
        </w:tc>
      </w:tr>
      <w:tr w:rsidR="000C172E" w:rsidRPr="003410C7" w:rsidTr="000C172E">
        <w:tc>
          <w:tcPr>
            <w:tcW w:w="2020" w:type="dxa"/>
            <w:tcBorders>
              <w:top w:val="single" w:sz="6" w:space="0" w:color="1F497D"/>
              <w:left w:val="single" w:sz="4" w:space="0" w:color="072B61"/>
              <w:bottom w:val="single" w:sz="6" w:space="0" w:color="1F497D"/>
              <w:right w:val="single" w:sz="6" w:space="0" w:color="1F497D"/>
            </w:tcBorders>
            <w:shd w:val="clear" w:color="auto" w:fill="FFFFFF"/>
          </w:tcPr>
          <w:p w:rsidR="0033725C" w:rsidRPr="00451078" w:rsidRDefault="0033725C" w:rsidP="000B5FBB">
            <w:pPr>
              <w:pStyle w:val="TableText"/>
              <w:jc w:val="left"/>
              <w:rPr>
                <w:rFonts w:ascii="Tahoma" w:eastAsia="Calibri" w:hAnsi="Tahoma" w:cs="Tahoma"/>
                <w:sz w:val="18"/>
                <w:szCs w:val="18"/>
                <w:lang w:val="it-IT"/>
              </w:rPr>
            </w:pPr>
            <w:r w:rsidRPr="00451078">
              <w:rPr>
                <w:rFonts w:ascii="Tahoma" w:eastAsia="Calibri" w:hAnsi="Tahoma" w:cs="Tahoma"/>
                <w:sz w:val="18"/>
                <w:szCs w:val="18"/>
                <w:lang w:val="it-IT"/>
              </w:rPr>
              <w:t>Aggiunta di Attività utilizzando i client Microsoft Dynamics</w:t>
            </w:r>
            <w:r w:rsidR="000B5FBB" w:rsidRPr="00451078">
              <w:rPr>
                <w:rFonts w:ascii="Tahoma" w:eastAsia="Calibri" w:hAnsi="Tahoma" w:cs="Tahoma"/>
                <w:sz w:val="18"/>
                <w:szCs w:val="18"/>
                <w:lang w:val="it-IT"/>
              </w:rPr>
              <w:t> </w:t>
            </w:r>
            <w:r w:rsidRPr="00451078">
              <w:rPr>
                <w:rFonts w:ascii="Tahoma" w:eastAsia="Calibri" w:hAnsi="Tahoma" w:cs="Tahoma"/>
                <w:sz w:val="18"/>
                <w:szCs w:val="18"/>
                <w:lang w:val="it-IT"/>
              </w:rPr>
              <w:t>CRM</w:t>
            </w:r>
          </w:p>
        </w:tc>
        <w:tc>
          <w:tcPr>
            <w:tcW w:w="972" w:type="dxa"/>
            <w:tcBorders>
              <w:top w:val="single" w:sz="6" w:space="0" w:color="1F497D"/>
              <w:left w:val="single" w:sz="6" w:space="0" w:color="1F497D"/>
              <w:bottom w:val="single" w:sz="6" w:space="0" w:color="1F497D"/>
              <w:right w:val="single" w:sz="6" w:space="0" w:color="1F497D"/>
            </w:tcBorders>
            <w:shd w:val="clear" w:color="auto" w:fill="FFFFFF"/>
          </w:tcPr>
          <w:p w:rsidR="0033725C" w:rsidRPr="00451078" w:rsidRDefault="0033725C" w:rsidP="00A73DBD">
            <w:pPr>
              <w:pStyle w:val="TableText"/>
              <w:rPr>
                <w:rFonts w:eastAsia="Calibri" w:cs="Segoe UI"/>
                <w:b/>
                <w:sz w:val="24"/>
                <w:szCs w:val="24"/>
                <w:lang w:val="it-IT"/>
              </w:rPr>
            </w:pPr>
          </w:p>
        </w:tc>
        <w:tc>
          <w:tcPr>
            <w:tcW w:w="1053" w:type="dxa"/>
            <w:tcBorders>
              <w:top w:val="single" w:sz="6" w:space="0" w:color="1F497D"/>
              <w:left w:val="single" w:sz="6" w:space="0" w:color="1F497D"/>
              <w:bottom w:val="single" w:sz="6" w:space="0" w:color="1F497D"/>
              <w:right w:val="single" w:sz="6" w:space="0" w:color="1F497D"/>
            </w:tcBorders>
            <w:shd w:val="clear" w:color="auto" w:fill="FFFFFF"/>
          </w:tcPr>
          <w:p w:rsidR="0033725C" w:rsidRPr="003410C7" w:rsidRDefault="0033725C" w:rsidP="00A73DBD">
            <w:pPr>
              <w:pStyle w:val="TableText"/>
              <w:rPr>
                <w:rFonts w:ascii="Segoe" w:eastAsia="Calibri" w:hAnsi="Segoe"/>
              </w:rPr>
            </w:pPr>
            <w:r w:rsidRPr="003410C7">
              <w:rPr>
                <w:rFonts w:eastAsia="Calibri" w:cs="Segoe UI"/>
                <w:b/>
                <w:sz w:val="24"/>
                <w:szCs w:val="24"/>
              </w:rPr>
              <w:sym w:font="Wingdings" w:char="00FC"/>
            </w:r>
          </w:p>
        </w:tc>
        <w:tc>
          <w:tcPr>
            <w:tcW w:w="1152" w:type="dxa"/>
            <w:tcBorders>
              <w:top w:val="single" w:sz="6" w:space="0" w:color="1F497D"/>
              <w:left w:val="single" w:sz="6" w:space="0" w:color="1F497D"/>
              <w:bottom w:val="single" w:sz="6" w:space="0" w:color="1F497D"/>
              <w:right w:val="single" w:sz="6" w:space="0" w:color="1F497D"/>
            </w:tcBorders>
            <w:shd w:val="clear" w:color="auto" w:fill="FFFFFF"/>
          </w:tcPr>
          <w:p w:rsidR="0033725C" w:rsidRPr="003410C7" w:rsidRDefault="0033725C" w:rsidP="00A73DBD">
            <w:pPr>
              <w:pStyle w:val="TableText"/>
              <w:rPr>
                <w:rFonts w:ascii="Segoe" w:eastAsia="Calibri" w:hAnsi="Segoe"/>
              </w:rPr>
            </w:pPr>
            <w:r w:rsidRPr="003410C7">
              <w:rPr>
                <w:rFonts w:eastAsia="Calibri" w:cs="Segoe UI"/>
                <w:b/>
                <w:sz w:val="24"/>
                <w:szCs w:val="24"/>
              </w:rPr>
              <w:sym w:font="Wingdings" w:char="00FC"/>
            </w:r>
          </w:p>
        </w:tc>
        <w:tc>
          <w:tcPr>
            <w:tcW w:w="1125" w:type="dxa"/>
            <w:tcBorders>
              <w:top w:val="single" w:sz="6" w:space="0" w:color="1F497D"/>
              <w:left w:val="single" w:sz="6" w:space="0" w:color="1F497D"/>
              <w:bottom w:val="single" w:sz="6" w:space="0" w:color="1F497D"/>
              <w:right w:val="single" w:sz="6" w:space="0" w:color="1F497D"/>
            </w:tcBorders>
            <w:shd w:val="clear" w:color="auto" w:fill="FFFFFF"/>
          </w:tcPr>
          <w:p w:rsidR="0033725C" w:rsidRPr="003410C7" w:rsidRDefault="0033725C" w:rsidP="00A73DBD">
            <w:pPr>
              <w:pStyle w:val="TableText"/>
              <w:rPr>
                <w:rFonts w:eastAsia="Calibri" w:cs="Segoe UI"/>
                <w:b/>
                <w:sz w:val="24"/>
                <w:szCs w:val="24"/>
              </w:rPr>
            </w:pPr>
            <w:r w:rsidRPr="003410C7">
              <w:rPr>
                <w:rFonts w:eastAsia="Calibri" w:cs="Segoe UI"/>
                <w:b/>
                <w:sz w:val="24"/>
                <w:szCs w:val="24"/>
              </w:rPr>
              <w:sym w:font="Wingdings" w:char="00FC"/>
            </w:r>
          </w:p>
        </w:tc>
        <w:tc>
          <w:tcPr>
            <w:tcW w:w="1305" w:type="dxa"/>
            <w:tcBorders>
              <w:top w:val="single" w:sz="6" w:space="0" w:color="1F497D"/>
              <w:left w:val="single" w:sz="6" w:space="0" w:color="1F497D"/>
              <w:bottom w:val="single" w:sz="6" w:space="0" w:color="1F497D"/>
              <w:right w:val="single" w:sz="6" w:space="0" w:color="1F497D"/>
            </w:tcBorders>
            <w:shd w:val="clear" w:color="auto" w:fill="FFFFFF"/>
          </w:tcPr>
          <w:p w:rsidR="0033725C" w:rsidRPr="003410C7" w:rsidRDefault="0033725C" w:rsidP="00A73DBD">
            <w:pPr>
              <w:pStyle w:val="TableText"/>
              <w:rPr>
                <w:rFonts w:eastAsia="Calibri" w:cs="Segoe UI"/>
                <w:b/>
                <w:sz w:val="24"/>
                <w:szCs w:val="24"/>
              </w:rPr>
            </w:pPr>
          </w:p>
        </w:tc>
        <w:tc>
          <w:tcPr>
            <w:tcW w:w="1251" w:type="dxa"/>
            <w:tcBorders>
              <w:top w:val="single" w:sz="6" w:space="0" w:color="1F497D"/>
              <w:left w:val="single" w:sz="6" w:space="0" w:color="1F497D"/>
              <w:bottom w:val="single" w:sz="6" w:space="0" w:color="1F497D"/>
              <w:right w:val="single" w:sz="6" w:space="0" w:color="1F497D"/>
            </w:tcBorders>
            <w:shd w:val="clear" w:color="auto" w:fill="FFFFFF"/>
          </w:tcPr>
          <w:p w:rsidR="0033725C" w:rsidRPr="003410C7" w:rsidRDefault="0033725C" w:rsidP="00A73DBD">
            <w:pPr>
              <w:pStyle w:val="TableText"/>
              <w:rPr>
                <w:rFonts w:eastAsia="Calibri" w:cs="Segoe UI"/>
                <w:b/>
                <w:sz w:val="24"/>
                <w:szCs w:val="24"/>
              </w:rPr>
            </w:pPr>
          </w:p>
        </w:tc>
      </w:tr>
      <w:tr w:rsidR="000C172E" w:rsidRPr="003410C7" w:rsidTr="000C172E">
        <w:tc>
          <w:tcPr>
            <w:tcW w:w="2020" w:type="dxa"/>
            <w:tcBorders>
              <w:top w:val="single" w:sz="6" w:space="0" w:color="1F497D"/>
              <w:left w:val="single" w:sz="4" w:space="0" w:color="072B61"/>
              <w:bottom w:val="single" w:sz="6" w:space="0" w:color="1F497D"/>
              <w:right w:val="single" w:sz="6" w:space="0" w:color="1F497D"/>
            </w:tcBorders>
            <w:shd w:val="clear" w:color="auto" w:fill="FFFFFF"/>
          </w:tcPr>
          <w:p w:rsidR="0033725C" w:rsidRPr="00451078" w:rsidRDefault="0033725C" w:rsidP="000B5FBB">
            <w:pPr>
              <w:pStyle w:val="TableText"/>
              <w:jc w:val="left"/>
              <w:rPr>
                <w:rFonts w:ascii="Tahoma" w:eastAsia="Calibri" w:hAnsi="Tahoma" w:cs="Tahoma"/>
                <w:sz w:val="18"/>
                <w:szCs w:val="18"/>
                <w:lang w:val="it-IT"/>
              </w:rPr>
            </w:pPr>
            <w:r w:rsidRPr="00451078">
              <w:rPr>
                <w:rFonts w:ascii="Tahoma" w:eastAsia="Calibri" w:hAnsi="Tahoma" w:cs="Tahoma"/>
                <w:sz w:val="18"/>
                <w:szCs w:val="18"/>
                <w:lang w:val="it-IT"/>
              </w:rPr>
              <w:t>Aggiunta di Note utilizzando i client Microsoft Dynamics</w:t>
            </w:r>
            <w:r w:rsidR="000B5FBB" w:rsidRPr="00451078">
              <w:rPr>
                <w:rFonts w:ascii="Tahoma" w:eastAsia="Calibri" w:hAnsi="Tahoma" w:cs="Tahoma"/>
                <w:sz w:val="18"/>
                <w:szCs w:val="18"/>
                <w:lang w:val="it-IT"/>
              </w:rPr>
              <w:t> </w:t>
            </w:r>
            <w:r w:rsidRPr="00451078">
              <w:rPr>
                <w:rFonts w:ascii="Tahoma" w:eastAsia="Calibri" w:hAnsi="Tahoma" w:cs="Tahoma"/>
                <w:sz w:val="18"/>
                <w:szCs w:val="18"/>
                <w:lang w:val="it-IT"/>
              </w:rPr>
              <w:t>CRM</w:t>
            </w:r>
          </w:p>
        </w:tc>
        <w:tc>
          <w:tcPr>
            <w:tcW w:w="972" w:type="dxa"/>
            <w:tcBorders>
              <w:top w:val="single" w:sz="6" w:space="0" w:color="1F497D"/>
              <w:left w:val="single" w:sz="6" w:space="0" w:color="1F497D"/>
              <w:bottom w:val="single" w:sz="6" w:space="0" w:color="1F497D"/>
              <w:right w:val="single" w:sz="6" w:space="0" w:color="1F497D"/>
            </w:tcBorders>
            <w:shd w:val="clear" w:color="auto" w:fill="FFFFFF"/>
          </w:tcPr>
          <w:p w:rsidR="0033725C" w:rsidRPr="00451078" w:rsidRDefault="0033725C" w:rsidP="00A73DBD">
            <w:pPr>
              <w:pStyle w:val="TableText"/>
              <w:rPr>
                <w:rFonts w:eastAsia="Calibri" w:cs="Segoe UI"/>
                <w:b/>
                <w:sz w:val="24"/>
                <w:szCs w:val="24"/>
                <w:lang w:val="it-IT"/>
              </w:rPr>
            </w:pPr>
          </w:p>
        </w:tc>
        <w:tc>
          <w:tcPr>
            <w:tcW w:w="1053" w:type="dxa"/>
            <w:tcBorders>
              <w:top w:val="single" w:sz="6" w:space="0" w:color="1F497D"/>
              <w:left w:val="single" w:sz="6" w:space="0" w:color="1F497D"/>
              <w:bottom w:val="single" w:sz="6" w:space="0" w:color="1F497D"/>
              <w:right w:val="single" w:sz="6" w:space="0" w:color="1F497D"/>
            </w:tcBorders>
            <w:shd w:val="clear" w:color="auto" w:fill="FFFFFF"/>
          </w:tcPr>
          <w:p w:rsidR="0033725C" w:rsidRPr="003410C7" w:rsidRDefault="0033725C" w:rsidP="00A73DBD">
            <w:pPr>
              <w:pStyle w:val="TableText"/>
              <w:rPr>
                <w:rFonts w:ascii="Segoe" w:eastAsia="Calibri" w:hAnsi="Segoe"/>
              </w:rPr>
            </w:pPr>
            <w:r w:rsidRPr="003410C7">
              <w:rPr>
                <w:rFonts w:eastAsia="Calibri" w:cs="Segoe UI"/>
                <w:b/>
                <w:sz w:val="24"/>
                <w:szCs w:val="24"/>
              </w:rPr>
              <w:sym w:font="Wingdings" w:char="00FC"/>
            </w:r>
          </w:p>
        </w:tc>
        <w:tc>
          <w:tcPr>
            <w:tcW w:w="1152" w:type="dxa"/>
            <w:tcBorders>
              <w:top w:val="single" w:sz="6" w:space="0" w:color="1F497D"/>
              <w:left w:val="single" w:sz="6" w:space="0" w:color="1F497D"/>
              <w:bottom w:val="single" w:sz="6" w:space="0" w:color="1F497D"/>
              <w:right w:val="single" w:sz="6" w:space="0" w:color="1F497D"/>
            </w:tcBorders>
            <w:shd w:val="clear" w:color="auto" w:fill="FFFFFF"/>
          </w:tcPr>
          <w:p w:rsidR="0033725C" w:rsidRPr="003410C7" w:rsidRDefault="0033725C" w:rsidP="00A73DBD">
            <w:pPr>
              <w:pStyle w:val="TableText"/>
              <w:rPr>
                <w:rFonts w:ascii="Segoe" w:eastAsia="Calibri" w:hAnsi="Segoe"/>
              </w:rPr>
            </w:pPr>
            <w:r w:rsidRPr="003410C7">
              <w:rPr>
                <w:rFonts w:eastAsia="Calibri" w:cs="Segoe UI"/>
                <w:b/>
                <w:sz w:val="24"/>
                <w:szCs w:val="24"/>
              </w:rPr>
              <w:sym w:font="Wingdings" w:char="00FC"/>
            </w:r>
          </w:p>
        </w:tc>
        <w:tc>
          <w:tcPr>
            <w:tcW w:w="1125" w:type="dxa"/>
            <w:tcBorders>
              <w:top w:val="single" w:sz="6" w:space="0" w:color="1F497D"/>
              <w:left w:val="single" w:sz="6" w:space="0" w:color="1F497D"/>
              <w:bottom w:val="single" w:sz="6" w:space="0" w:color="1F497D"/>
              <w:right w:val="single" w:sz="6" w:space="0" w:color="1F497D"/>
            </w:tcBorders>
            <w:shd w:val="clear" w:color="auto" w:fill="FFFFFF"/>
          </w:tcPr>
          <w:p w:rsidR="0033725C" w:rsidRPr="003410C7" w:rsidRDefault="0033725C" w:rsidP="00A73DBD">
            <w:pPr>
              <w:pStyle w:val="TableText"/>
              <w:rPr>
                <w:rFonts w:eastAsia="Calibri" w:cs="Segoe UI"/>
                <w:b/>
                <w:sz w:val="24"/>
                <w:szCs w:val="24"/>
              </w:rPr>
            </w:pPr>
            <w:r w:rsidRPr="003410C7">
              <w:rPr>
                <w:rFonts w:eastAsia="Calibri" w:cs="Segoe UI"/>
                <w:b/>
                <w:sz w:val="24"/>
                <w:szCs w:val="24"/>
              </w:rPr>
              <w:sym w:font="Wingdings" w:char="00FC"/>
            </w:r>
          </w:p>
        </w:tc>
        <w:tc>
          <w:tcPr>
            <w:tcW w:w="1305" w:type="dxa"/>
            <w:tcBorders>
              <w:top w:val="single" w:sz="6" w:space="0" w:color="1F497D"/>
              <w:left w:val="single" w:sz="6" w:space="0" w:color="1F497D"/>
              <w:bottom w:val="single" w:sz="6" w:space="0" w:color="1F497D"/>
              <w:right w:val="single" w:sz="6" w:space="0" w:color="1F497D"/>
            </w:tcBorders>
            <w:shd w:val="clear" w:color="auto" w:fill="FFFFFF"/>
          </w:tcPr>
          <w:p w:rsidR="0033725C" w:rsidRPr="003410C7" w:rsidRDefault="0033725C" w:rsidP="00A73DBD">
            <w:pPr>
              <w:pStyle w:val="TableText"/>
              <w:rPr>
                <w:rFonts w:eastAsia="Calibri" w:cs="Segoe UI"/>
                <w:b/>
                <w:sz w:val="24"/>
                <w:szCs w:val="24"/>
              </w:rPr>
            </w:pPr>
          </w:p>
        </w:tc>
        <w:tc>
          <w:tcPr>
            <w:tcW w:w="1251" w:type="dxa"/>
            <w:tcBorders>
              <w:top w:val="single" w:sz="6" w:space="0" w:color="1F497D"/>
              <w:left w:val="single" w:sz="6" w:space="0" w:color="1F497D"/>
              <w:bottom w:val="single" w:sz="6" w:space="0" w:color="1F497D"/>
              <w:right w:val="single" w:sz="6" w:space="0" w:color="1F497D"/>
            </w:tcBorders>
            <w:shd w:val="clear" w:color="auto" w:fill="FFFFFF"/>
          </w:tcPr>
          <w:p w:rsidR="0033725C" w:rsidRPr="003410C7" w:rsidRDefault="0033725C" w:rsidP="00A73DBD">
            <w:pPr>
              <w:pStyle w:val="TableText"/>
              <w:rPr>
                <w:rFonts w:eastAsia="Calibri" w:cs="Segoe UI"/>
                <w:b/>
                <w:sz w:val="24"/>
                <w:szCs w:val="24"/>
              </w:rPr>
            </w:pPr>
          </w:p>
        </w:tc>
      </w:tr>
      <w:tr w:rsidR="000C172E" w:rsidRPr="003410C7" w:rsidTr="000C172E">
        <w:tc>
          <w:tcPr>
            <w:tcW w:w="2020" w:type="dxa"/>
            <w:tcBorders>
              <w:top w:val="single" w:sz="6" w:space="0" w:color="1F497D"/>
              <w:left w:val="single" w:sz="4" w:space="0" w:color="072B61"/>
              <w:bottom w:val="single" w:sz="6" w:space="0" w:color="1F497D"/>
              <w:right w:val="single" w:sz="6" w:space="0" w:color="1F497D"/>
            </w:tcBorders>
            <w:shd w:val="clear" w:color="auto" w:fill="FFFFFF"/>
          </w:tcPr>
          <w:p w:rsidR="0033725C" w:rsidRPr="00451078" w:rsidRDefault="0033725C" w:rsidP="000B5FBB">
            <w:pPr>
              <w:pStyle w:val="TableText"/>
              <w:jc w:val="left"/>
              <w:rPr>
                <w:rFonts w:ascii="Tahoma" w:eastAsia="Calibri" w:hAnsi="Tahoma" w:cs="Tahoma"/>
                <w:sz w:val="18"/>
                <w:szCs w:val="18"/>
                <w:lang w:val="it-IT"/>
              </w:rPr>
            </w:pPr>
            <w:r w:rsidRPr="00451078">
              <w:rPr>
                <w:rFonts w:ascii="Tahoma" w:eastAsia="Calibri" w:hAnsi="Tahoma" w:cs="Tahoma"/>
                <w:sz w:val="18"/>
                <w:szCs w:val="18"/>
                <w:lang w:val="it-IT"/>
              </w:rPr>
              <w:t>Aggiunta ad Account utilizzando i client Microsoft Dynamics</w:t>
            </w:r>
            <w:r w:rsidR="000B5FBB" w:rsidRPr="00451078">
              <w:rPr>
                <w:rFonts w:ascii="Tahoma" w:eastAsia="Calibri" w:hAnsi="Tahoma" w:cs="Tahoma"/>
                <w:sz w:val="18"/>
                <w:szCs w:val="18"/>
                <w:lang w:val="it-IT"/>
              </w:rPr>
              <w:t> </w:t>
            </w:r>
            <w:r w:rsidRPr="00451078">
              <w:rPr>
                <w:rFonts w:ascii="Tahoma" w:eastAsia="Calibri" w:hAnsi="Tahoma" w:cs="Tahoma"/>
                <w:sz w:val="18"/>
                <w:szCs w:val="18"/>
                <w:lang w:val="it-IT"/>
              </w:rPr>
              <w:t>CRM</w:t>
            </w:r>
          </w:p>
        </w:tc>
        <w:tc>
          <w:tcPr>
            <w:tcW w:w="972" w:type="dxa"/>
            <w:tcBorders>
              <w:top w:val="single" w:sz="6" w:space="0" w:color="1F497D"/>
              <w:left w:val="single" w:sz="6" w:space="0" w:color="1F497D"/>
              <w:bottom w:val="single" w:sz="6" w:space="0" w:color="1F497D"/>
              <w:right w:val="single" w:sz="6" w:space="0" w:color="1F497D"/>
            </w:tcBorders>
            <w:shd w:val="clear" w:color="auto" w:fill="FFFFFF"/>
          </w:tcPr>
          <w:p w:rsidR="0033725C" w:rsidRPr="00451078" w:rsidRDefault="0033725C" w:rsidP="00A73DBD">
            <w:pPr>
              <w:pStyle w:val="TableText"/>
              <w:rPr>
                <w:rFonts w:eastAsia="Calibri" w:cs="Segoe UI"/>
                <w:b/>
                <w:sz w:val="24"/>
                <w:szCs w:val="24"/>
                <w:lang w:val="it-IT"/>
              </w:rPr>
            </w:pPr>
          </w:p>
        </w:tc>
        <w:tc>
          <w:tcPr>
            <w:tcW w:w="1053" w:type="dxa"/>
            <w:tcBorders>
              <w:top w:val="single" w:sz="6" w:space="0" w:color="1F497D"/>
              <w:left w:val="single" w:sz="6" w:space="0" w:color="1F497D"/>
              <w:bottom w:val="single" w:sz="6" w:space="0" w:color="1F497D"/>
              <w:right w:val="single" w:sz="6" w:space="0" w:color="1F497D"/>
            </w:tcBorders>
            <w:shd w:val="clear" w:color="auto" w:fill="FFFFFF"/>
          </w:tcPr>
          <w:p w:rsidR="0033725C" w:rsidRPr="003410C7" w:rsidRDefault="0033725C" w:rsidP="00A73DBD">
            <w:pPr>
              <w:pStyle w:val="TableText"/>
              <w:rPr>
                <w:rFonts w:ascii="Segoe" w:eastAsia="Calibri" w:hAnsi="Segoe"/>
              </w:rPr>
            </w:pPr>
            <w:r w:rsidRPr="003410C7">
              <w:rPr>
                <w:rFonts w:eastAsia="Calibri" w:cs="Segoe UI"/>
                <w:b/>
                <w:sz w:val="24"/>
                <w:szCs w:val="24"/>
              </w:rPr>
              <w:sym w:font="Wingdings" w:char="00FC"/>
            </w:r>
          </w:p>
        </w:tc>
        <w:tc>
          <w:tcPr>
            <w:tcW w:w="1152" w:type="dxa"/>
            <w:tcBorders>
              <w:top w:val="single" w:sz="6" w:space="0" w:color="1F497D"/>
              <w:left w:val="single" w:sz="6" w:space="0" w:color="1F497D"/>
              <w:bottom w:val="single" w:sz="6" w:space="0" w:color="1F497D"/>
              <w:right w:val="single" w:sz="6" w:space="0" w:color="1F497D"/>
            </w:tcBorders>
            <w:shd w:val="clear" w:color="auto" w:fill="FFFFFF"/>
          </w:tcPr>
          <w:p w:rsidR="0033725C" w:rsidRPr="003410C7" w:rsidRDefault="0033725C" w:rsidP="00A73DBD">
            <w:pPr>
              <w:pStyle w:val="TableText"/>
              <w:rPr>
                <w:rFonts w:ascii="Segoe" w:eastAsia="Calibri" w:hAnsi="Segoe"/>
              </w:rPr>
            </w:pPr>
            <w:r w:rsidRPr="003410C7">
              <w:rPr>
                <w:rFonts w:eastAsia="Calibri" w:cs="Segoe UI"/>
                <w:b/>
                <w:sz w:val="24"/>
                <w:szCs w:val="24"/>
              </w:rPr>
              <w:sym w:font="Wingdings" w:char="00FC"/>
            </w:r>
          </w:p>
        </w:tc>
        <w:tc>
          <w:tcPr>
            <w:tcW w:w="1125" w:type="dxa"/>
            <w:tcBorders>
              <w:top w:val="single" w:sz="6" w:space="0" w:color="1F497D"/>
              <w:left w:val="single" w:sz="6" w:space="0" w:color="1F497D"/>
              <w:bottom w:val="single" w:sz="6" w:space="0" w:color="1F497D"/>
              <w:right w:val="single" w:sz="6" w:space="0" w:color="1F497D"/>
            </w:tcBorders>
            <w:shd w:val="clear" w:color="auto" w:fill="FFFFFF"/>
          </w:tcPr>
          <w:p w:rsidR="0033725C" w:rsidRPr="003410C7" w:rsidRDefault="0033725C" w:rsidP="00A73DBD">
            <w:pPr>
              <w:pStyle w:val="TableText"/>
              <w:rPr>
                <w:rFonts w:eastAsia="Calibri" w:cs="Segoe UI"/>
                <w:b/>
                <w:sz w:val="24"/>
                <w:szCs w:val="24"/>
              </w:rPr>
            </w:pPr>
            <w:r w:rsidRPr="003410C7">
              <w:rPr>
                <w:rFonts w:eastAsia="Calibri" w:cs="Segoe UI"/>
                <w:b/>
                <w:sz w:val="24"/>
                <w:szCs w:val="24"/>
              </w:rPr>
              <w:sym w:font="Wingdings" w:char="00FC"/>
            </w:r>
          </w:p>
        </w:tc>
        <w:tc>
          <w:tcPr>
            <w:tcW w:w="1305" w:type="dxa"/>
            <w:tcBorders>
              <w:top w:val="single" w:sz="6" w:space="0" w:color="1F497D"/>
              <w:left w:val="single" w:sz="6" w:space="0" w:color="1F497D"/>
              <w:bottom w:val="single" w:sz="6" w:space="0" w:color="1F497D"/>
              <w:right w:val="single" w:sz="6" w:space="0" w:color="1F497D"/>
            </w:tcBorders>
            <w:shd w:val="clear" w:color="auto" w:fill="FFFFFF"/>
          </w:tcPr>
          <w:p w:rsidR="0033725C" w:rsidRPr="003410C7" w:rsidRDefault="0033725C" w:rsidP="00A73DBD">
            <w:pPr>
              <w:pStyle w:val="TableText"/>
              <w:rPr>
                <w:rFonts w:eastAsia="Calibri" w:cs="Segoe UI"/>
                <w:b/>
                <w:sz w:val="24"/>
                <w:szCs w:val="24"/>
              </w:rPr>
            </w:pPr>
          </w:p>
        </w:tc>
        <w:tc>
          <w:tcPr>
            <w:tcW w:w="1251" w:type="dxa"/>
            <w:tcBorders>
              <w:top w:val="single" w:sz="6" w:space="0" w:color="1F497D"/>
              <w:left w:val="single" w:sz="6" w:space="0" w:color="1F497D"/>
              <w:bottom w:val="single" w:sz="6" w:space="0" w:color="1F497D"/>
              <w:right w:val="single" w:sz="6" w:space="0" w:color="1F497D"/>
            </w:tcBorders>
            <w:shd w:val="clear" w:color="auto" w:fill="FFFFFF"/>
          </w:tcPr>
          <w:p w:rsidR="0033725C" w:rsidRPr="003410C7" w:rsidRDefault="0033725C" w:rsidP="00A73DBD">
            <w:pPr>
              <w:pStyle w:val="TableText"/>
              <w:rPr>
                <w:rFonts w:eastAsia="Calibri" w:cs="Segoe UI"/>
                <w:b/>
                <w:sz w:val="24"/>
                <w:szCs w:val="24"/>
              </w:rPr>
            </w:pPr>
          </w:p>
        </w:tc>
      </w:tr>
      <w:tr w:rsidR="000C172E" w:rsidRPr="003410C7" w:rsidTr="000C172E">
        <w:tc>
          <w:tcPr>
            <w:tcW w:w="2020" w:type="dxa"/>
            <w:tcBorders>
              <w:top w:val="single" w:sz="6" w:space="0" w:color="1F497D"/>
              <w:left w:val="single" w:sz="4" w:space="0" w:color="072B61"/>
              <w:bottom w:val="single" w:sz="6" w:space="0" w:color="1F497D"/>
              <w:right w:val="single" w:sz="6" w:space="0" w:color="1F497D"/>
            </w:tcBorders>
            <w:shd w:val="clear" w:color="auto" w:fill="FFFFFF"/>
          </w:tcPr>
          <w:p w:rsidR="0033725C" w:rsidRPr="00451078" w:rsidRDefault="0033725C" w:rsidP="000B5FBB">
            <w:pPr>
              <w:pStyle w:val="TableText"/>
              <w:jc w:val="left"/>
              <w:rPr>
                <w:rFonts w:ascii="Tahoma" w:eastAsia="Calibri" w:hAnsi="Tahoma" w:cs="Tahoma"/>
                <w:sz w:val="18"/>
                <w:szCs w:val="18"/>
                <w:lang w:val="it-IT"/>
              </w:rPr>
            </w:pPr>
            <w:r w:rsidRPr="00451078">
              <w:rPr>
                <w:rFonts w:ascii="Tahoma" w:eastAsia="Calibri" w:hAnsi="Tahoma" w:cs="Tahoma"/>
                <w:sz w:val="18"/>
                <w:szCs w:val="18"/>
                <w:lang w:val="it-IT"/>
              </w:rPr>
              <w:t>Aggiunta a Contatti utilizzando i client Microsoft Dynamics</w:t>
            </w:r>
            <w:r w:rsidR="000B5FBB" w:rsidRPr="00451078">
              <w:rPr>
                <w:rFonts w:ascii="Tahoma" w:eastAsia="Calibri" w:hAnsi="Tahoma" w:cs="Tahoma"/>
                <w:sz w:val="18"/>
                <w:szCs w:val="18"/>
                <w:lang w:val="it-IT"/>
              </w:rPr>
              <w:t> </w:t>
            </w:r>
            <w:r w:rsidRPr="00451078">
              <w:rPr>
                <w:rFonts w:ascii="Tahoma" w:eastAsia="Calibri" w:hAnsi="Tahoma" w:cs="Tahoma"/>
                <w:sz w:val="18"/>
                <w:szCs w:val="18"/>
                <w:lang w:val="it-IT"/>
              </w:rPr>
              <w:t>CRM</w:t>
            </w:r>
          </w:p>
        </w:tc>
        <w:tc>
          <w:tcPr>
            <w:tcW w:w="972" w:type="dxa"/>
            <w:tcBorders>
              <w:top w:val="single" w:sz="6" w:space="0" w:color="1F497D"/>
              <w:left w:val="single" w:sz="6" w:space="0" w:color="1F497D"/>
              <w:bottom w:val="single" w:sz="6" w:space="0" w:color="1F497D"/>
              <w:right w:val="single" w:sz="6" w:space="0" w:color="1F497D"/>
            </w:tcBorders>
            <w:shd w:val="clear" w:color="auto" w:fill="FFFFFF"/>
          </w:tcPr>
          <w:p w:rsidR="0033725C" w:rsidRPr="00451078" w:rsidRDefault="0033725C" w:rsidP="00A73DBD">
            <w:pPr>
              <w:pStyle w:val="TableText"/>
              <w:rPr>
                <w:rFonts w:eastAsia="Calibri" w:cs="Segoe UI"/>
                <w:b/>
                <w:sz w:val="24"/>
                <w:szCs w:val="24"/>
                <w:lang w:val="it-IT"/>
              </w:rPr>
            </w:pPr>
          </w:p>
        </w:tc>
        <w:tc>
          <w:tcPr>
            <w:tcW w:w="1053" w:type="dxa"/>
            <w:tcBorders>
              <w:top w:val="single" w:sz="6" w:space="0" w:color="1F497D"/>
              <w:left w:val="single" w:sz="6" w:space="0" w:color="1F497D"/>
              <w:bottom w:val="single" w:sz="6" w:space="0" w:color="1F497D"/>
              <w:right w:val="single" w:sz="6" w:space="0" w:color="1F497D"/>
            </w:tcBorders>
            <w:shd w:val="clear" w:color="auto" w:fill="FFFFFF"/>
          </w:tcPr>
          <w:p w:rsidR="0033725C" w:rsidRPr="003410C7" w:rsidRDefault="0033725C" w:rsidP="00A73DBD">
            <w:pPr>
              <w:pStyle w:val="TableText"/>
              <w:rPr>
                <w:rFonts w:ascii="Segoe" w:eastAsia="Calibri" w:hAnsi="Segoe"/>
              </w:rPr>
            </w:pPr>
            <w:r w:rsidRPr="003410C7">
              <w:rPr>
                <w:rFonts w:eastAsia="Calibri" w:cs="Segoe UI"/>
                <w:b/>
                <w:sz w:val="24"/>
                <w:szCs w:val="24"/>
              </w:rPr>
              <w:sym w:font="Wingdings" w:char="00FC"/>
            </w:r>
          </w:p>
        </w:tc>
        <w:tc>
          <w:tcPr>
            <w:tcW w:w="1152" w:type="dxa"/>
            <w:tcBorders>
              <w:top w:val="single" w:sz="6" w:space="0" w:color="1F497D"/>
              <w:left w:val="single" w:sz="6" w:space="0" w:color="1F497D"/>
              <w:bottom w:val="single" w:sz="6" w:space="0" w:color="1F497D"/>
              <w:right w:val="single" w:sz="6" w:space="0" w:color="1F497D"/>
            </w:tcBorders>
            <w:shd w:val="clear" w:color="auto" w:fill="FFFFFF"/>
          </w:tcPr>
          <w:p w:rsidR="0033725C" w:rsidRPr="003410C7" w:rsidRDefault="0033725C" w:rsidP="00A73DBD">
            <w:pPr>
              <w:pStyle w:val="TableText"/>
              <w:rPr>
                <w:rFonts w:ascii="Segoe" w:eastAsia="Calibri" w:hAnsi="Segoe"/>
              </w:rPr>
            </w:pPr>
            <w:r w:rsidRPr="003410C7">
              <w:rPr>
                <w:rFonts w:eastAsia="Calibri" w:cs="Segoe UI"/>
                <w:b/>
                <w:sz w:val="24"/>
                <w:szCs w:val="24"/>
              </w:rPr>
              <w:sym w:font="Wingdings" w:char="00FC"/>
            </w:r>
          </w:p>
        </w:tc>
        <w:tc>
          <w:tcPr>
            <w:tcW w:w="1125" w:type="dxa"/>
            <w:tcBorders>
              <w:top w:val="single" w:sz="6" w:space="0" w:color="1F497D"/>
              <w:left w:val="single" w:sz="6" w:space="0" w:color="1F497D"/>
              <w:bottom w:val="single" w:sz="6" w:space="0" w:color="1F497D"/>
              <w:right w:val="single" w:sz="6" w:space="0" w:color="1F497D"/>
            </w:tcBorders>
            <w:shd w:val="clear" w:color="auto" w:fill="FFFFFF"/>
          </w:tcPr>
          <w:p w:rsidR="0033725C" w:rsidRPr="003410C7" w:rsidRDefault="0033725C" w:rsidP="00A73DBD">
            <w:pPr>
              <w:pStyle w:val="TableText"/>
              <w:rPr>
                <w:rFonts w:eastAsia="Calibri" w:cs="Segoe UI"/>
                <w:b/>
                <w:sz w:val="24"/>
                <w:szCs w:val="24"/>
              </w:rPr>
            </w:pPr>
            <w:r w:rsidRPr="003410C7">
              <w:rPr>
                <w:rFonts w:eastAsia="Calibri" w:cs="Segoe UI"/>
                <w:b/>
                <w:sz w:val="24"/>
                <w:szCs w:val="24"/>
              </w:rPr>
              <w:sym w:font="Wingdings" w:char="00FC"/>
            </w:r>
          </w:p>
        </w:tc>
        <w:tc>
          <w:tcPr>
            <w:tcW w:w="1305" w:type="dxa"/>
            <w:tcBorders>
              <w:top w:val="single" w:sz="6" w:space="0" w:color="1F497D"/>
              <w:left w:val="single" w:sz="6" w:space="0" w:color="1F497D"/>
              <w:bottom w:val="single" w:sz="6" w:space="0" w:color="1F497D"/>
              <w:right w:val="single" w:sz="6" w:space="0" w:color="1F497D"/>
            </w:tcBorders>
            <w:shd w:val="clear" w:color="auto" w:fill="FFFFFF"/>
          </w:tcPr>
          <w:p w:rsidR="0033725C" w:rsidRPr="003410C7" w:rsidRDefault="0033725C" w:rsidP="00A73DBD">
            <w:pPr>
              <w:pStyle w:val="TableText"/>
              <w:rPr>
                <w:rFonts w:eastAsia="Calibri" w:cs="Segoe UI"/>
                <w:b/>
                <w:sz w:val="24"/>
                <w:szCs w:val="24"/>
              </w:rPr>
            </w:pPr>
          </w:p>
        </w:tc>
        <w:tc>
          <w:tcPr>
            <w:tcW w:w="1251" w:type="dxa"/>
            <w:tcBorders>
              <w:top w:val="single" w:sz="6" w:space="0" w:color="1F497D"/>
              <w:left w:val="single" w:sz="6" w:space="0" w:color="1F497D"/>
              <w:bottom w:val="single" w:sz="6" w:space="0" w:color="1F497D"/>
              <w:right w:val="single" w:sz="6" w:space="0" w:color="1F497D"/>
            </w:tcBorders>
            <w:shd w:val="clear" w:color="auto" w:fill="FFFFFF"/>
          </w:tcPr>
          <w:p w:rsidR="0033725C" w:rsidRPr="003410C7" w:rsidRDefault="0033725C" w:rsidP="00A73DBD">
            <w:pPr>
              <w:pStyle w:val="TableText"/>
              <w:rPr>
                <w:rFonts w:eastAsia="Calibri" w:cs="Segoe UI"/>
                <w:b/>
                <w:sz w:val="24"/>
                <w:szCs w:val="24"/>
              </w:rPr>
            </w:pPr>
          </w:p>
        </w:tc>
      </w:tr>
      <w:tr w:rsidR="000C172E" w:rsidRPr="003410C7" w:rsidTr="000C172E">
        <w:tc>
          <w:tcPr>
            <w:tcW w:w="2020" w:type="dxa"/>
            <w:tcBorders>
              <w:top w:val="single" w:sz="6" w:space="0" w:color="1F497D"/>
              <w:left w:val="single" w:sz="4" w:space="0" w:color="072B61"/>
              <w:bottom w:val="single" w:sz="6" w:space="0" w:color="1F497D"/>
              <w:right w:val="single" w:sz="6" w:space="0" w:color="1F497D"/>
            </w:tcBorders>
            <w:shd w:val="clear" w:color="auto" w:fill="FFFFFF"/>
          </w:tcPr>
          <w:p w:rsidR="0033725C" w:rsidRPr="00451078" w:rsidRDefault="0033725C" w:rsidP="000B5FBB">
            <w:pPr>
              <w:pStyle w:val="TableText"/>
              <w:jc w:val="left"/>
              <w:rPr>
                <w:rFonts w:ascii="Tahoma" w:eastAsia="Calibri" w:hAnsi="Tahoma" w:cs="Tahoma"/>
                <w:sz w:val="18"/>
                <w:szCs w:val="18"/>
                <w:lang w:val="it-IT"/>
              </w:rPr>
            </w:pPr>
            <w:r w:rsidRPr="00451078">
              <w:rPr>
                <w:rFonts w:ascii="Tahoma" w:eastAsia="Calibri" w:hAnsi="Tahoma" w:cs="Tahoma"/>
                <w:sz w:val="18"/>
                <w:szCs w:val="18"/>
                <w:lang w:val="it-IT"/>
              </w:rPr>
              <w:t>Aggiunta a Casi utilizzando i client Microsoft Dynamics</w:t>
            </w:r>
            <w:r w:rsidR="000B5FBB" w:rsidRPr="00451078">
              <w:rPr>
                <w:rFonts w:ascii="Tahoma" w:eastAsia="Calibri" w:hAnsi="Tahoma" w:cs="Tahoma"/>
                <w:sz w:val="18"/>
                <w:szCs w:val="18"/>
                <w:lang w:val="it-IT"/>
              </w:rPr>
              <w:t> </w:t>
            </w:r>
            <w:r w:rsidRPr="00451078">
              <w:rPr>
                <w:rFonts w:ascii="Tahoma" w:eastAsia="Calibri" w:hAnsi="Tahoma" w:cs="Tahoma"/>
                <w:sz w:val="18"/>
                <w:szCs w:val="18"/>
                <w:lang w:val="it-IT"/>
              </w:rPr>
              <w:t>CRM</w:t>
            </w:r>
          </w:p>
        </w:tc>
        <w:tc>
          <w:tcPr>
            <w:tcW w:w="972" w:type="dxa"/>
            <w:tcBorders>
              <w:top w:val="single" w:sz="6" w:space="0" w:color="1F497D"/>
              <w:left w:val="single" w:sz="6" w:space="0" w:color="1F497D"/>
              <w:bottom w:val="single" w:sz="6" w:space="0" w:color="1F497D"/>
              <w:right w:val="single" w:sz="6" w:space="0" w:color="1F497D"/>
            </w:tcBorders>
            <w:shd w:val="clear" w:color="auto" w:fill="FFFFFF"/>
          </w:tcPr>
          <w:p w:rsidR="0033725C" w:rsidRPr="00451078" w:rsidRDefault="0033725C" w:rsidP="00A73DBD">
            <w:pPr>
              <w:pStyle w:val="TableText"/>
              <w:rPr>
                <w:rFonts w:eastAsia="Calibri" w:cs="Segoe UI"/>
                <w:b/>
                <w:sz w:val="24"/>
                <w:szCs w:val="24"/>
                <w:lang w:val="it-IT"/>
              </w:rPr>
            </w:pPr>
          </w:p>
        </w:tc>
        <w:tc>
          <w:tcPr>
            <w:tcW w:w="1053" w:type="dxa"/>
            <w:tcBorders>
              <w:top w:val="single" w:sz="6" w:space="0" w:color="1F497D"/>
              <w:left w:val="single" w:sz="6" w:space="0" w:color="1F497D"/>
              <w:bottom w:val="single" w:sz="6" w:space="0" w:color="1F497D"/>
              <w:right w:val="single" w:sz="6" w:space="0" w:color="1F497D"/>
            </w:tcBorders>
            <w:shd w:val="clear" w:color="auto" w:fill="FFFFFF"/>
          </w:tcPr>
          <w:p w:rsidR="0033725C" w:rsidRPr="003410C7" w:rsidRDefault="0033725C" w:rsidP="00A73DBD">
            <w:pPr>
              <w:pStyle w:val="TableText"/>
              <w:rPr>
                <w:rFonts w:ascii="Segoe" w:eastAsia="Calibri" w:hAnsi="Segoe"/>
              </w:rPr>
            </w:pPr>
            <w:r w:rsidRPr="003410C7">
              <w:rPr>
                <w:rFonts w:eastAsia="Calibri" w:cs="Segoe UI"/>
                <w:b/>
                <w:sz w:val="24"/>
                <w:szCs w:val="24"/>
              </w:rPr>
              <w:sym w:font="Wingdings" w:char="00FC"/>
            </w:r>
          </w:p>
        </w:tc>
        <w:tc>
          <w:tcPr>
            <w:tcW w:w="1152" w:type="dxa"/>
            <w:tcBorders>
              <w:top w:val="single" w:sz="6" w:space="0" w:color="1F497D"/>
              <w:left w:val="single" w:sz="6" w:space="0" w:color="1F497D"/>
              <w:bottom w:val="single" w:sz="6" w:space="0" w:color="1F497D"/>
              <w:right w:val="single" w:sz="6" w:space="0" w:color="1F497D"/>
            </w:tcBorders>
            <w:shd w:val="clear" w:color="auto" w:fill="FFFFFF"/>
          </w:tcPr>
          <w:p w:rsidR="0033725C" w:rsidRPr="003410C7" w:rsidRDefault="0033725C" w:rsidP="00A73DBD">
            <w:pPr>
              <w:pStyle w:val="TableText"/>
              <w:rPr>
                <w:rFonts w:ascii="Segoe" w:eastAsia="Calibri" w:hAnsi="Segoe"/>
              </w:rPr>
            </w:pPr>
            <w:r w:rsidRPr="003410C7">
              <w:rPr>
                <w:rFonts w:eastAsia="Calibri" w:cs="Segoe UI"/>
                <w:b/>
                <w:sz w:val="24"/>
                <w:szCs w:val="24"/>
              </w:rPr>
              <w:sym w:font="Wingdings" w:char="00FC"/>
            </w:r>
          </w:p>
        </w:tc>
        <w:tc>
          <w:tcPr>
            <w:tcW w:w="1125" w:type="dxa"/>
            <w:tcBorders>
              <w:top w:val="single" w:sz="6" w:space="0" w:color="1F497D"/>
              <w:left w:val="single" w:sz="6" w:space="0" w:color="1F497D"/>
              <w:bottom w:val="single" w:sz="6" w:space="0" w:color="1F497D"/>
              <w:right w:val="single" w:sz="6" w:space="0" w:color="1F497D"/>
            </w:tcBorders>
            <w:shd w:val="clear" w:color="auto" w:fill="FFFFFF"/>
          </w:tcPr>
          <w:p w:rsidR="0033725C" w:rsidRPr="003410C7" w:rsidRDefault="0033725C" w:rsidP="00A73DBD">
            <w:pPr>
              <w:pStyle w:val="TableText"/>
              <w:rPr>
                <w:rFonts w:eastAsia="Calibri" w:cs="Segoe UI"/>
                <w:b/>
                <w:sz w:val="24"/>
                <w:szCs w:val="24"/>
              </w:rPr>
            </w:pPr>
            <w:r w:rsidRPr="003410C7">
              <w:rPr>
                <w:rFonts w:eastAsia="Calibri" w:cs="Segoe UI"/>
                <w:b/>
                <w:sz w:val="24"/>
                <w:szCs w:val="24"/>
              </w:rPr>
              <w:sym w:font="Wingdings" w:char="00FC"/>
            </w:r>
          </w:p>
        </w:tc>
        <w:tc>
          <w:tcPr>
            <w:tcW w:w="1305" w:type="dxa"/>
            <w:tcBorders>
              <w:top w:val="single" w:sz="6" w:space="0" w:color="1F497D"/>
              <w:left w:val="single" w:sz="6" w:space="0" w:color="1F497D"/>
              <w:bottom w:val="single" w:sz="6" w:space="0" w:color="1F497D"/>
              <w:right w:val="single" w:sz="6" w:space="0" w:color="1F497D"/>
            </w:tcBorders>
            <w:shd w:val="clear" w:color="auto" w:fill="FFFFFF"/>
          </w:tcPr>
          <w:p w:rsidR="0033725C" w:rsidRPr="003410C7" w:rsidRDefault="0033725C" w:rsidP="00A73DBD">
            <w:pPr>
              <w:pStyle w:val="TableText"/>
              <w:rPr>
                <w:rFonts w:eastAsia="Calibri" w:cs="Segoe UI"/>
                <w:b/>
                <w:sz w:val="24"/>
                <w:szCs w:val="24"/>
              </w:rPr>
            </w:pPr>
          </w:p>
        </w:tc>
        <w:tc>
          <w:tcPr>
            <w:tcW w:w="1251" w:type="dxa"/>
            <w:tcBorders>
              <w:top w:val="single" w:sz="6" w:space="0" w:color="1F497D"/>
              <w:left w:val="single" w:sz="6" w:space="0" w:color="1F497D"/>
              <w:bottom w:val="single" w:sz="6" w:space="0" w:color="1F497D"/>
              <w:right w:val="single" w:sz="6" w:space="0" w:color="1F497D"/>
            </w:tcBorders>
            <w:shd w:val="clear" w:color="auto" w:fill="FFFFFF"/>
          </w:tcPr>
          <w:p w:rsidR="0033725C" w:rsidRPr="003410C7" w:rsidRDefault="0033725C" w:rsidP="00A73DBD">
            <w:pPr>
              <w:pStyle w:val="TableText"/>
              <w:rPr>
                <w:rFonts w:eastAsia="Calibri" w:cs="Segoe UI"/>
                <w:b/>
                <w:sz w:val="24"/>
                <w:szCs w:val="24"/>
              </w:rPr>
            </w:pPr>
          </w:p>
        </w:tc>
      </w:tr>
      <w:tr w:rsidR="000C172E" w:rsidRPr="003410C7" w:rsidTr="000C172E">
        <w:tc>
          <w:tcPr>
            <w:tcW w:w="2020" w:type="dxa"/>
            <w:tcBorders>
              <w:top w:val="single" w:sz="6" w:space="0" w:color="1F497D"/>
              <w:left w:val="single" w:sz="4" w:space="0" w:color="072B61"/>
              <w:bottom w:val="single" w:sz="6" w:space="0" w:color="1F497D"/>
              <w:right w:val="single" w:sz="6" w:space="0" w:color="1F497D"/>
            </w:tcBorders>
            <w:shd w:val="clear" w:color="auto" w:fill="FFFFFF"/>
          </w:tcPr>
          <w:p w:rsidR="0033725C" w:rsidRPr="00451078" w:rsidRDefault="0033725C" w:rsidP="000B5FBB">
            <w:pPr>
              <w:pStyle w:val="TableText"/>
              <w:jc w:val="left"/>
              <w:rPr>
                <w:rFonts w:ascii="Tahoma" w:eastAsia="Calibri" w:hAnsi="Tahoma" w:cs="Tahoma"/>
                <w:sz w:val="18"/>
                <w:szCs w:val="18"/>
                <w:lang w:val="it-IT"/>
              </w:rPr>
            </w:pPr>
            <w:r w:rsidRPr="00451078">
              <w:rPr>
                <w:rFonts w:ascii="Tahoma" w:eastAsia="Calibri" w:hAnsi="Tahoma" w:cs="Tahoma"/>
                <w:sz w:val="18"/>
                <w:szCs w:val="18"/>
                <w:lang w:val="it-IT"/>
              </w:rPr>
              <w:t>Aggiunta a Lead utilizzando i client Microsoft Dynamics</w:t>
            </w:r>
            <w:r w:rsidR="000B5FBB" w:rsidRPr="00451078">
              <w:rPr>
                <w:rFonts w:ascii="Tahoma" w:eastAsia="Calibri" w:hAnsi="Tahoma" w:cs="Tahoma"/>
                <w:sz w:val="18"/>
                <w:szCs w:val="18"/>
                <w:lang w:val="it-IT"/>
              </w:rPr>
              <w:t> </w:t>
            </w:r>
            <w:r w:rsidRPr="00451078">
              <w:rPr>
                <w:rFonts w:ascii="Tahoma" w:eastAsia="Calibri" w:hAnsi="Tahoma" w:cs="Tahoma"/>
                <w:sz w:val="18"/>
                <w:szCs w:val="18"/>
                <w:lang w:val="it-IT"/>
              </w:rPr>
              <w:t>CRM</w:t>
            </w:r>
          </w:p>
        </w:tc>
        <w:tc>
          <w:tcPr>
            <w:tcW w:w="972" w:type="dxa"/>
            <w:tcBorders>
              <w:top w:val="single" w:sz="6" w:space="0" w:color="1F497D"/>
              <w:left w:val="single" w:sz="6" w:space="0" w:color="1F497D"/>
              <w:bottom w:val="single" w:sz="6" w:space="0" w:color="1F497D"/>
              <w:right w:val="single" w:sz="6" w:space="0" w:color="1F497D"/>
            </w:tcBorders>
            <w:shd w:val="clear" w:color="auto" w:fill="FFFFFF"/>
          </w:tcPr>
          <w:p w:rsidR="0033725C" w:rsidRPr="00451078" w:rsidRDefault="0033725C" w:rsidP="00A73DBD">
            <w:pPr>
              <w:pStyle w:val="TableText"/>
              <w:rPr>
                <w:rFonts w:eastAsia="Calibri" w:cs="Segoe UI"/>
                <w:b/>
                <w:sz w:val="24"/>
                <w:szCs w:val="24"/>
                <w:lang w:val="it-IT"/>
              </w:rPr>
            </w:pPr>
          </w:p>
        </w:tc>
        <w:tc>
          <w:tcPr>
            <w:tcW w:w="1053" w:type="dxa"/>
            <w:tcBorders>
              <w:top w:val="single" w:sz="6" w:space="0" w:color="1F497D"/>
              <w:left w:val="single" w:sz="6" w:space="0" w:color="1F497D"/>
              <w:bottom w:val="single" w:sz="6" w:space="0" w:color="1F497D"/>
              <w:right w:val="single" w:sz="6" w:space="0" w:color="1F497D"/>
            </w:tcBorders>
            <w:shd w:val="clear" w:color="auto" w:fill="FFFFFF"/>
          </w:tcPr>
          <w:p w:rsidR="0033725C" w:rsidRPr="003410C7" w:rsidRDefault="0033725C" w:rsidP="00A73DBD">
            <w:pPr>
              <w:pStyle w:val="TableText"/>
              <w:rPr>
                <w:rFonts w:ascii="Segoe" w:eastAsia="Calibri" w:hAnsi="Segoe"/>
              </w:rPr>
            </w:pPr>
            <w:r w:rsidRPr="003410C7">
              <w:rPr>
                <w:rFonts w:eastAsia="Calibri" w:cs="Segoe UI"/>
                <w:b/>
                <w:sz w:val="24"/>
                <w:szCs w:val="24"/>
              </w:rPr>
              <w:sym w:font="Wingdings" w:char="00FC"/>
            </w:r>
          </w:p>
        </w:tc>
        <w:tc>
          <w:tcPr>
            <w:tcW w:w="1152" w:type="dxa"/>
            <w:tcBorders>
              <w:top w:val="single" w:sz="6" w:space="0" w:color="1F497D"/>
              <w:left w:val="single" w:sz="6" w:space="0" w:color="1F497D"/>
              <w:bottom w:val="single" w:sz="6" w:space="0" w:color="1F497D"/>
              <w:right w:val="single" w:sz="6" w:space="0" w:color="1F497D"/>
            </w:tcBorders>
            <w:shd w:val="clear" w:color="auto" w:fill="FFFFFF"/>
          </w:tcPr>
          <w:p w:rsidR="0033725C" w:rsidRPr="003410C7" w:rsidRDefault="0033725C" w:rsidP="00A73DBD">
            <w:pPr>
              <w:pStyle w:val="TableText"/>
              <w:rPr>
                <w:rFonts w:ascii="Segoe" w:eastAsia="Calibri" w:hAnsi="Segoe"/>
              </w:rPr>
            </w:pPr>
            <w:r w:rsidRPr="003410C7">
              <w:rPr>
                <w:rFonts w:eastAsia="Calibri" w:cs="Segoe UI"/>
                <w:b/>
                <w:sz w:val="24"/>
                <w:szCs w:val="24"/>
              </w:rPr>
              <w:sym w:font="Wingdings" w:char="00FC"/>
            </w:r>
          </w:p>
        </w:tc>
        <w:tc>
          <w:tcPr>
            <w:tcW w:w="1125" w:type="dxa"/>
            <w:tcBorders>
              <w:top w:val="single" w:sz="6" w:space="0" w:color="1F497D"/>
              <w:left w:val="single" w:sz="6" w:space="0" w:color="1F497D"/>
              <w:bottom w:val="single" w:sz="6" w:space="0" w:color="1F497D"/>
              <w:right w:val="single" w:sz="6" w:space="0" w:color="1F497D"/>
            </w:tcBorders>
            <w:shd w:val="clear" w:color="auto" w:fill="FFFFFF"/>
          </w:tcPr>
          <w:p w:rsidR="0033725C" w:rsidRPr="003410C7" w:rsidRDefault="0033725C" w:rsidP="00A73DBD">
            <w:pPr>
              <w:pStyle w:val="TableText"/>
              <w:rPr>
                <w:rFonts w:eastAsia="Calibri" w:cs="Segoe UI"/>
                <w:b/>
                <w:sz w:val="24"/>
                <w:szCs w:val="24"/>
              </w:rPr>
            </w:pPr>
            <w:r w:rsidRPr="003410C7">
              <w:rPr>
                <w:rFonts w:eastAsia="Calibri" w:cs="Segoe UI"/>
                <w:b/>
                <w:sz w:val="24"/>
                <w:szCs w:val="24"/>
              </w:rPr>
              <w:sym w:font="Wingdings" w:char="00FC"/>
            </w:r>
          </w:p>
        </w:tc>
        <w:tc>
          <w:tcPr>
            <w:tcW w:w="1305" w:type="dxa"/>
            <w:tcBorders>
              <w:top w:val="single" w:sz="6" w:space="0" w:color="1F497D"/>
              <w:left w:val="single" w:sz="6" w:space="0" w:color="1F497D"/>
              <w:bottom w:val="single" w:sz="6" w:space="0" w:color="1F497D"/>
              <w:right w:val="single" w:sz="6" w:space="0" w:color="1F497D"/>
            </w:tcBorders>
            <w:shd w:val="clear" w:color="auto" w:fill="FFFFFF"/>
          </w:tcPr>
          <w:p w:rsidR="0033725C" w:rsidRPr="003410C7" w:rsidRDefault="0033725C" w:rsidP="00A73DBD">
            <w:pPr>
              <w:pStyle w:val="TableText"/>
              <w:rPr>
                <w:rFonts w:eastAsia="Calibri" w:cs="Segoe UI"/>
                <w:b/>
                <w:sz w:val="24"/>
                <w:szCs w:val="24"/>
              </w:rPr>
            </w:pPr>
          </w:p>
        </w:tc>
        <w:tc>
          <w:tcPr>
            <w:tcW w:w="1251" w:type="dxa"/>
            <w:tcBorders>
              <w:top w:val="single" w:sz="6" w:space="0" w:color="1F497D"/>
              <w:left w:val="single" w:sz="6" w:space="0" w:color="1F497D"/>
              <w:bottom w:val="single" w:sz="6" w:space="0" w:color="1F497D"/>
              <w:right w:val="single" w:sz="6" w:space="0" w:color="1F497D"/>
            </w:tcBorders>
            <w:shd w:val="clear" w:color="auto" w:fill="FFFFFF"/>
          </w:tcPr>
          <w:p w:rsidR="0033725C" w:rsidRPr="003410C7" w:rsidRDefault="0033725C" w:rsidP="00A73DBD">
            <w:pPr>
              <w:pStyle w:val="TableText"/>
              <w:rPr>
                <w:rFonts w:eastAsia="Calibri" w:cs="Segoe UI"/>
                <w:b/>
                <w:sz w:val="24"/>
                <w:szCs w:val="24"/>
              </w:rPr>
            </w:pPr>
          </w:p>
        </w:tc>
      </w:tr>
      <w:tr w:rsidR="000C172E" w:rsidRPr="003410C7" w:rsidTr="000C172E">
        <w:tc>
          <w:tcPr>
            <w:tcW w:w="2020" w:type="dxa"/>
            <w:tcBorders>
              <w:top w:val="single" w:sz="6" w:space="0" w:color="1F497D"/>
              <w:left w:val="single" w:sz="4" w:space="0" w:color="072B61"/>
              <w:bottom w:val="single" w:sz="6" w:space="0" w:color="1F497D"/>
              <w:right w:val="single" w:sz="6" w:space="0" w:color="1F497D"/>
            </w:tcBorders>
            <w:shd w:val="clear" w:color="auto" w:fill="FFFFFF"/>
          </w:tcPr>
          <w:p w:rsidR="0033725C" w:rsidRPr="00451078" w:rsidRDefault="0033725C" w:rsidP="000B5FBB">
            <w:pPr>
              <w:pStyle w:val="TableText"/>
              <w:jc w:val="left"/>
              <w:rPr>
                <w:rFonts w:ascii="Tahoma" w:eastAsia="Calibri" w:hAnsi="Tahoma" w:cs="Tahoma"/>
                <w:sz w:val="18"/>
                <w:szCs w:val="18"/>
                <w:lang w:val="it-IT"/>
              </w:rPr>
            </w:pPr>
            <w:r w:rsidRPr="00451078">
              <w:rPr>
                <w:rFonts w:ascii="Tahoma" w:eastAsia="Calibri" w:hAnsi="Tahoma" w:cs="Tahoma"/>
                <w:sz w:val="18"/>
                <w:szCs w:val="18"/>
                <w:lang w:val="it-IT"/>
              </w:rPr>
              <w:t>Aggiunta ad Attività utilizzando i client Microsoft Dynamics</w:t>
            </w:r>
            <w:r w:rsidR="000B5FBB" w:rsidRPr="00451078">
              <w:rPr>
                <w:rFonts w:ascii="Tahoma" w:eastAsia="Calibri" w:hAnsi="Tahoma" w:cs="Tahoma"/>
                <w:sz w:val="18"/>
                <w:szCs w:val="18"/>
                <w:lang w:val="it-IT"/>
              </w:rPr>
              <w:t> </w:t>
            </w:r>
            <w:r w:rsidRPr="00451078">
              <w:rPr>
                <w:rFonts w:ascii="Tahoma" w:eastAsia="Calibri" w:hAnsi="Tahoma" w:cs="Tahoma"/>
                <w:sz w:val="18"/>
                <w:szCs w:val="18"/>
                <w:lang w:val="it-IT"/>
              </w:rPr>
              <w:t>CRM</w:t>
            </w:r>
          </w:p>
        </w:tc>
        <w:tc>
          <w:tcPr>
            <w:tcW w:w="972" w:type="dxa"/>
            <w:tcBorders>
              <w:top w:val="single" w:sz="6" w:space="0" w:color="1F497D"/>
              <w:left w:val="single" w:sz="6" w:space="0" w:color="1F497D"/>
              <w:bottom w:val="single" w:sz="6" w:space="0" w:color="1F497D"/>
              <w:right w:val="single" w:sz="6" w:space="0" w:color="1F497D"/>
            </w:tcBorders>
            <w:shd w:val="clear" w:color="auto" w:fill="FFFFFF"/>
          </w:tcPr>
          <w:p w:rsidR="0033725C" w:rsidRPr="00451078" w:rsidRDefault="0033725C" w:rsidP="00A73DBD">
            <w:pPr>
              <w:pStyle w:val="TableText"/>
              <w:rPr>
                <w:rFonts w:eastAsia="Calibri" w:cs="Segoe UI"/>
                <w:b/>
                <w:sz w:val="24"/>
                <w:szCs w:val="24"/>
                <w:lang w:val="it-IT"/>
              </w:rPr>
            </w:pPr>
          </w:p>
        </w:tc>
        <w:tc>
          <w:tcPr>
            <w:tcW w:w="1053" w:type="dxa"/>
            <w:tcBorders>
              <w:top w:val="single" w:sz="6" w:space="0" w:color="1F497D"/>
              <w:left w:val="single" w:sz="6" w:space="0" w:color="1F497D"/>
              <w:bottom w:val="single" w:sz="6" w:space="0" w:color="1F497D"/>
              <w:right w:val="single" w:sz="6" w:space="0" w:color="1F497D"/>
            </w:tcBorders>
            <w:shd w:val="clear" w:color="auto" w:fill="FFFFFF"/>
          </w:tcPr>
          <w:p w:rsidR="0033725C" w:rsidRPr="003410C7" w:rsidRDefault="0033725C" w:rsidP="00A73DBD">
            <w:pPr>
              <w:pStyle w:val="TableText"/>
              <w:rPr>
                <w:rFonts w:ascii="Segoe" w:eastAsia="Calibri" w:hAnsi="Segoe"/>
              </w:rPr>
            </w:pPr>
            <w:r w:rsidRPr="003410C7">
              <w:rPr>
                <w:rFonts w:eastAsia="Calibri" w:cs="Segoe UI"/>
                <w:b/>
                <w:sz w:val="24"/>
                <w:szCs w:val="24"/>
              </w:rPr>
              <w:sym w:font="Wingdings" w:char="00FC"/>
            </w:r>
          </w:p>
        </w:tc>
        <w:tc>
          <w:tcPr>
            <w:tcW w:w="1152" w:type="dxa"/>
            <w:tcBorders>
              <w:top w:val="single" w:sz="6" w:space="0" w:color="1F497D"/>
              <w:left w:val="single" w:sz="6" w:space="0" w:color="1F497D"/>
              <w:bottom w:val="single" w:sz="6" w:space="0" w:color="1F497D"/>
              <w:right w:val="single" w:sz="6" w:space="0" w:color="1F497D"/>
            </w:tcBorders>
            <w:shd w:val="clear" w:color="auto" w:fill="FFFFFF"/>
          </w:tcPr>
          <w:p w:rsidR="0033725C" w:rsidRPr="003410C7" w:rsidRDefault="0033725C" w:rsidP="00A73DBD">
            <w:pPr>
              <w:pStyle w:val="TableText"/>
              <w:rPr>
                <w:rFonts w:ascii="Segoe" w:eastAsia="Calibri" w:hAnsi="Segoe"/>
              </w:rPr>
            </w:pPr>
            <w:r w:rsidRPr="003410C7">
              <w:rPr>
                <w:rFonts w:eastAsia="Calibri" w:cs="Segoe UI"/>
                <w:b/>
                <w:sz w:val="24"/>
                <w:szCs w:val="24"/>
              </w:rPr>
              <w:sym w:font="Wingdings" w:char="00FC"/>
            </w:r>
          </w:p>
        </w:tc>
        <w:tc>
          <w:tcPr>
            <w:tcW w:w="1125" w:type="dxa"/>
            <w:tcBorders>
              <w:top w:val="single" w:sz="6" w:space="0" w:color="1F497D"/>
              <w:left w:val="single" w:sz="6" w:space="0" w:color="1F497D"/>
              <w:bottom w:val="single" w:sz="6" w:space="0" w:color="1F497D"/>
              <w:right w:val="single" w:sz="6" w:space="0" w:color="1F497D"/>
            </w:tcBorders>
            <w:shd w:val="clear" w:color="auto" w:fill="FFFFFF"/>
          </w:tcPr>
          <w:p w:rsidR="0033725C" w:rsidRPr="003410C7" w:rsidRDefault="0033725C" w:rsidP="00A73DBD">
            <w:pPr>
              <w:pStyle w:val="TableText"/>
              <w:rPr>
                <w:rFonts w:eastAsia="Calibri" w:cs="Segoe UI"/>
                <w:b/>
                <w:sz w:val="24"/>
                <w:szCs w:val="24"/>
              </w:rPr>
            </w:pPr>
            <w:r w:rsidRPr="003410C7">
              <w:rPr>
                <w:rFonts w:eastAsia="Calibri" w:cs="Segoe UI"/>
                <w:b/>
                <w:sz w:val="24"/>
                <w:szCs w:val="24"/>
              </w:rPr>
              <w:sym w:font="Wingdings" w:char="00FC"/>
            </w:r>
          </w:p>
        </w:tc>
        <w:tc>
          <w:tcPr>
            <w:tcW w:w="1305" w:type="dxa"/>
            <w:tcBorders>
              <w:top w:val="single" w:sz="6" w:space="0" w:color="1F497D"/>
              <w:left w:val="single" w:sz="6" w:space="0" w:color="1F497D"/>
              <w:bottom w:val="single" w:sz="6" w:space="0" w:color="1F497D"/>
              <w:right w:val="single" w:sz="6" w:space="0" w:color="1F497D"/>
            </w:tcBorders>
            <w:shd w:val="clear" w:color="auto" w:fill="FFFFFF"/>
          </w:tcPr>
          <w:p w:rsidR="0033725C" w:rsidRPr="003410C7" w:rsidRDefault="0033725C" w:rsidP="00A73DBD">
            <w:pPr>
              <w:pStyle w:val="TableText"/>
              <w:rPr>
                <w:rFonts w:eastAsia="Calibri" w:cs="Segoe UI"/>
                <w:b/>
                <w:sz w:val="24"/>
                <w:szCs w:val="24"/>
              </w:rPr>
            </w:pPr>
          </w:p>
        </w:tc>
        <w:tc>
          <w:tcPr>
            <w:tcW w:w="1251" w:type="dxa"/>
            <w:tcBorders>
              <w:top w:val="single" w:sz="6" w:space="0" w:color="1F497D"/>
              <w:left w:val="single" w:sz="6" w:space="0" w:color="1F497D"/>
              <w:bottom w:val="single" w:sz="6" w:space="0" w:color="1F497D"/>
              <w:right w:val="single" w:sz="6" w:space="0" w:color="1F497D"/>
            </w:tcBorders>
            <w:shd w:val="clear" w:color="auto" w:fill="FFFFFF"/>
          </w:tcPr>
          <w:p w:rsidR="0033725C" w:rsidRPr="003410C7" w:rsidRDefault="0033725C" w:rsidP="00A73DBD">
            <w:pPr>
              <w:pStyle w:val="TableText"/>
              <w:rPr>
                <w:rFonts w:eastAsia="Calibri" w:cs="Segoe UI"/>
                <w:b/>
                <w:sz w:val="24"/>
                <w:szCs w:val="24"/>
              </w:rPr>
            </w:pPr>
          </w:p>
        </w:tc>
      </w:tr>
      <w:tr w:rsidR="000C172E" w:rsidRPr="003410C7" w:rsidTr="000C172E">
        <w:tc>
          <w:tcPr>
            <w:tcW w:w="2020" w:type="dxa"/>
            <w:tcBorders>
              <w:top w:val="single" w:sz="6" w:space="0" w:color="1F497D"/>
              <w:left w:val="single" w:sz="4" w:space="0" w:color="072B61"/>
              <w:bottom w:val="single" w:sz="6" w:space="0" w:color="1F497D"/>
              <w:right w:val="single" w:sz="6" w:space="0" w:color="1F497D"/>
            </w:tcBorders>
            <w:shd w:val="clear" w:color="auto" w:fill="FFFFFF"/>
          </w:tcPr>
          <w:p w:rsidR="0033725C" w:rsidRPr="00451078" w:rsidRDefault="0033725C" w:rsidP="000B5FBB">
            <w:pPr>
              <w:pStyle w:val="TableText"/>
              <w:jc w:val="left"/>
              <w:rPr>
                <w:rFonts w:ascii="Tahoma" w:eastAsia="Calibri" w:hAnsi="Tahoma" w:cs="Tahoma"/>
                <w:sz w:val="18"/>
                <w:szCs w:val="18"/>
                <w:lang w:val="it-IT"/>
              </w:rPr>
            </w:pPr>
            <w:r w:rsidRPr="00451078">
              <w:rPr>
                <w:rFonts w:ascii="Tahoma" w:eastAsia="Calibri" w:hAnsi="Tahoma" w:cs="Tahoma"/>
                <w:sz w:val="18"/>
                <w:szCs w:val="18"/>
                <w:lang w:val="it-IT"/>
              </w:rPr>
              <w:t>Aggiunta a Note utilizzando i client Microsoft Dynamics</w:t>
            </w:r>
            <w:r w:rsidR="000B5FBB" w:rsidRPr="00451078">
              <w:rPr>
                <w:rFonts w:ascii="Tahoma" w:eastAsia="Calibri" w:hAnsi="Tahoma" w:cs="Tahoma"/>
                <w:sz w:val="18"/>
                <w:szCs w:val="18"/>
                <w:lang w:val="it-IT"/>
              </w:rPr>
              <w:t> </w:t>
            </w:r>
            <w:r w:rsidRPr="00451078">
              <w:rPr>
                <w:rFonts w:ascii="Tahoma" w:eastAsia="Calibri" w:hAnsi="Tahoma" w:cs="Tahoma"/>
                <w:sz w:val="18"/>
                <w:szCs w:val="18"/>
                <w:lang w:val="it-IT"/>
              </w:rPr>
              <w:t>CRM</w:t>
            </w:r>
          </w:p>
        </w:tc>
        <w:tc>
          <w:tcPr>
            <w:tcW w:w="972" w:type="dxa"/>
            <w:tcBorders>
              <w:top w:val="single" w:sz="6" w:space="0" w:color="1F497D"/>
              <w:left w:val="single" w:sz="6" w:space="0" w:color="1F497D"/>
              <w:bottom w:val="single" w:sz="6" w:space="0" w:color="1F497D"/>
              <w:right w:val="single" w:sz="6" w:space="0" w:color="1F497D"/>
            </w:tcBorders>
            <w:shd w:val="clear" w:color="auto" w:fill="FFFFFF"/>
          </w:tcPr>
          <w:p w:rsidR="0033725C" w:rsidRPr="00451078" w:rsidRDefault="0033725C" w:rsidP="00A73DBD">
            <w:pPr>
              <w:pStyle w:val="TableText"/>
              <w:rPr>
                <w:rFonts w:eastAsia="Calibri" w:cs="Segoe UI"/>
                <w:b/>
                <w:sz w:val="24"/>
                <w:szCs w:val="24"/>
                <w:lang w:val="it-IT"/>
              </w:rPr>
            </w:pPr>
          </w:p>
        </w:tc>
        <w:tc>
          <w:tcPr>
            <w:tcW w:w="1053" w:type="dxa"/>
            <w:tcBorders>
              <w:top w:val="single" w:sz="6" w:space="0" w:color="1F497D"/>
              <w:left w:val="single" w:sz="6" w:space="0" w:color="1F497D"/>
              <w:bottom w:val="single" w:sz="6" w:space="0" w:color="1F497D"/>
              <w:right w:val="single" w:sz="6" w:space="0" w:color="1F497D"/>
            </w:tcBorders>
            <w:shd w:val="clear" w:color="auto" w:fill="FFFFFF"/>
          </w:tcPr>
          <w:p w:rsidR="0033725C" w:rsidRPr="003410C7" w:rsidRDefault="0033725C" w:rsidP="00A73DBD">
            <w:pPr>
              <w:pStyle w:val="TableText"/>
              <w:rPr>
                <w:rFonts w:ascii="Segoe" w:eastAsia="Calibri" w:hAnsi="Segoe"/>
              </w:rPr>
            </w:pPr>
            <w:r w:rsidRPr="003410C7">
              <w:rPr>
                <w:rFonts w:eastAsia="Calibri" w:cs="Segoe UI"/>
                <w:b/>
                <w:sz w:val="24"/>
                <w:szCs w:val="24"/>
              </w:rPr>
              <w:sym w:font="Wingdings" w:char="00FC"/>
            </w:r>
          </w:p>
        </w:tc>
        <w:tc>
          <w:tcPr>
            <w:tcW w:w="1152" w:type="dxa"/>
            <w:tcBorders>
              <w:top w:val="single" w:sz="6" w:space="0" w:color="1F497D"/>
              <w:left w:val="single" w:sz="6" w:space="0" w:color="1F497D"/>
              <w:bottom w:val="single" w:sz="6" w:space="0" w:color="1F497D"/>
              <w:right w:val="single" w:sz="6" w:space="0" w:color="1F497D"/>
            </w:tcBorders>
            <w:shd w:val="clear" w:color="auto" w:fill="FFFFFF"/>
          </w:tcPr>
          <w:p w:rsidR="0033725C" w:rsidRPr="003410C7" w:rsidRDefault="0033725C" w:rsidP="00A73DBD">
            <w:pPr>
              <w:pStyle w:val="TableText"/>
              <w:rPr>
                <w:rFonts w:ascii="Segoe" w:eastAsia="Calibri" w:hAnsi="Segoe"/>
              </w:rPr>
            </w:pPr>
            <w:r w:rsidRPr="003410C7">
              <w:rPr>
                <w:rFonts w:eastAsia="Calibri" w:cs="Segoe UI"/>
                <w:b/>
                <w:sz w:val="24"/>
                <w:szCs w:val="24"/>
              </w:rPr>
              <w:sym w:font="Wingdings" w:char="00FC"/>
            </w:r>
          </w:p>
        </w:tc>
        <w:tc>
          <w:tcPr>
            <w:tcW w:w="1125" w:type="dxa"/>
            <w:tcBorders>
              <w:top w:val="single" w:sz="6" w:space="0" w:color="1F497D"/>
              <w:left w:val="single" w:sz="6" w:space="0" w:color="1F497D"/>
              <w:bottom w:val="single" w:sz="6" w:space="0" w:color="1F497D"/>
              <w:right w:val="single" w:sz="6" w:space="0" w:color="1F497D"/>
            </w:tcBorders>
            <w:shd w:val="clear" w:color="auto" w:fill="FFFFFF"/>
          </w:tcPr>
          <w:p w:rsidR="0033725C" w:rsidRPr="003410C7" w:rsidRDefault="0033725C" w:rsidP="00A73DBD">
            <w:pPr>
              <w:pStyle w:val="TableText"/>
              <w:rPr>
                <w:rFonts w:eastAsia="Calibri" w:cs="Segoe UI"/>
                <w:b/>
                <w:sz w:val="24"/>
                <w:szCs w:val="24"/>
              </w:rPr>
            </w:pPr>
            <w:r w:rsidRPr="003410C7">
              <w:rPr>
                <w:rFonts w:eastAsia="Calibri" w:cs="Segoe UI"/>
                <w:b/>
                <w:sz w:val="24"/>
                <w:szCs w:val="24"/>
              </w:rPr>
              <w:sym w:font="Wingdings" w:char="00FC"/>
            </w:r>
          </w:p>
        </w:tc>
        <w:tc>
          <w:tcPr>
            <w:tcW w:w="1305" w:type="dxa"/>
            <w:tcBorders>
              <w:top w:val="single" w:sz="6" w:space="0" w:color="1F497D"/>
              <w:left w:val="single" w:sz="6" w:space="0" w:color="1F497D"/>
              <w:bottom w:val="single" w:sz="6" w:space="0" w:color="1F497D"/>
              <w:right w:val="single" w:sz="6" w:space="0" w:color="1F497D"/>
            </w:tcBorders>
            <w:shd w:val="clear" w:color="auto" w:fill="FFFFFF"/>
          </w:tcPr>
          <w:p w:rsidR="0033725C" w:rsidRPr="003410C7" w:rsidRDefault="0033725C" w:rsidP="00A73DBD">
            <w:pPr>
              <w:pStyle w:val="TableText"/>
              <w:rPr>
                <w:rFonts w:eastAsia="Calibri" w:cs="Segoe UI"/>
                <w:b/>
                <w:sz w:val="24"/>
                <w:szCs w:val="24"/>
              </w:rPr>
            </w:pPr>
          </w:p>
        </w:tc>
        <w:tc>
          <w:tcPr>
            <w:tcW w:w="1251" w:type="dxa"/>
            <w:tcBorders>
              <w:top w:val="single" w:sz="6" w:space="0" w:color="1F497D"/>
              <w:left w:val="single" w:sz="6" w:space="0" w:color="1F497D"/>
              <w:bottom w:val="single" w:sz="6" w:space="0" w:color="1F497D"/>
              <w:right w:val="single" w:sz="6" w:space="0" w:color="1F497D"/>
            </w:tcBorders>
            <w:shd w:val="clear" w:color="auto" w:fill="FFFFFF"/>
          </w:tcPr>
          <w:p w:rsidR="0033725C" w:rsidRPr="003410C7" w:rsidRDefault="0033725C" w:rsidP="00A73DBD">
            <w:pPr>
              <w:pStyle w:val="TableText"/>
              <w:rPr>
                <w:rFonts w:eastAsia="Calibri" w:cs="Segoe UI"/>
                <w:b/>
                <w:sz w:val="24"/>
                <w:szCs w:val="24"/>
              </w:rPr>
            </w:pPr>
          </w:p>
        </w:tc>
      </w:tr>
      <w:tr w:rsidR="000C172E" w:rsidRPr="003410C7" w:rsidTr="000C172E">
        <w:tc>
          <w:tcPr>
            <w:tcW w:w="2020" w:type="dxa"/>
            <w:tcBorders>
              <w:top w:val="single" w:sz="6" w:space="0" w:color="1F497D"/>
              <w:left w:val="single" w:sz="4" w:space="0" w:color="072B61"/>
              <w:bottom w:val="single" w:sz="6" w:space="0" w:color="1F497D"/>
              <w:right w:val="single" w:sz="6" w:space="0" w:color="1F497D"/>
            </w:tcBorders>
            <w:shd w:val="clear" w:color="auto" w:fill="FFFFFF"/>
          </w:tcPr>
          <w:p w:rsidR="0033725C" w:rsidRPr="00451078" w:rsidRDefault="0033725C" w:rsidP="000B5FBB">
            <w:pPr>
              <w:pStyle w:val="TableText"/>
              <w:jc w:val="left"/>
              <w:rPr>
                <w:rFonts w:ascii="Tahoma" w:eastAsia="Calibri" w:hAnsi="Tahoma" w:cs="Tahoma"/>
                <w:sz w:val="18"/>
                <w:szCs w:val="18"/>
                <w:lang w:val="it-IT"/>
              </w:rPr>
            </w:pPr>
            <w:r w:rsidRPr="00451078">
              <w:rPr>
                <w:rFonts w:ascii="Tahoma" w:eastAsia="Calibri" w:hAnsi="Tahoma" w:cs="Tahoma"/>
                <w:sz w:val="18"/>
                <w:szCs w:val="18"/>
                <w:lang w:val="it-IT"/>
              </w:rPr>
              <w:t>Eliminazione di Account utilizzando i client Microsoft Dynamics</w:t>
            </w:r>
            <w:r w:rsidR="000B5FBB" w:rsidRPr="00451078">
              <w:rPr>
                <w:rFonts w:ascii="Tahoma" w:eastAsia="Calibri" w:hAnsi="Tahoma" w:cs="Tahoma"/>
                <w:sz w:val="18"/>
                <w:szCs w:val="18"/>
                <w:lang w:val="it-IT"/>
              </w:rPr>
              <w:t> </w:t>
            </w:r>
            <w:r w:rsidRPr="00451078">
              <w:rPr>
                <w:rFonts w:ascii="Tahoma" w:eastAsia="Calibri" w:hAnsi="Tahoma" w:cs="Tahoma"/>
                <w:sz w:val="18"/>
                <w:szCs w:val="18"/>
                <w:lang w:val="it-IT"/>
              </w:rPr>
              <w:t>CRM</w:t>
            </w:r>
          </w:p>
        </w:tc>
        <w:tc>
          <w:tcPr>
            <w:tcW w:w="972" w:type="dxa"/>
            <w:tcBorders>
              <w:top w:val="single" w:sz="6" w:space="0" w:color="1F497D"/>
              <w:left w:val="single" w:sz="6" w:space="0" w:color="1F497D"/>
              <w:bottom w:val="single" w:sz="6" w:space="0" w:color="1F497D"/>
              <w:right w:val="single" w:sz="6" w:space="0" w:color="1F497D"/>
            </w:tcBorders>
            <w:shd w:val="clear" w:color="auto" w:fill="FFFFFF"/>
          </w:tcPr>
          <w:p w:rsidR="0033725C" w:rsidRPr="00451078" w:rsidRDefault="0033725C" w:rsidP="00A73DBD">
            <w:pPr>
              <w:pStyle w:val="TableText"/>
              <w:rPr>
                <w:rFonts w:eastAsia="Calibri" w:cs="Segoe UI"/>
                <w:b/>
                <w:sz w:val="24"/>
                <w:szCs w:val="24"/>
                <w:lang w:val="it-IT"/>
              </w:rPr>
            </w:pPr>
          </w:p>
        </w:tc>
        <w:tc>
          <w:tcPr>
            <w:tcW w:w="1053" w:type="dxa"/>
            <w:tcBorders>
              <w:top w:val="single" w:sz="6" w:space="0" w:color="1F497D"/>
              <w:left w:val="single" w:sz="6" w:space="0" w:color="1F497D"/>
              <w:bottom w:val="single" w:sz="6" w:space="0" w:color="1F497D"/>
              <w:right w:val="single" w:sz="6" w:space="0" w:color="1F497D"/>
            </w:tcBorders>
            <w:shd w:val="clear" w:color="auto" w:fill="FFFFFF"/>
          </w:tcPr>
          <w:p w:rsidR="0033725C" w:rsidRPr="003410C7" w:rsidRDefault="0033725C" w:rsidP="00A73DBD">
            <w:pPr>
              <w:pStyle w:val="TableText"/>
              <w:rPr>
                <w:rFonts w:ascii="Segoe" w:eastAsia="Calibri" w:hAnsi="Segoe"/>
              </w:rPr>
            </w:pPr>
            <w:r w:rsidRPr="003410C7">
              <w:rPr>
                <w:rFonts w:eastAsia="Calibri" w:cs="Segoe UI"/>
                <w:b/>
                <w:sz w:val="24"/>
                <w:szCs w:val="24"/>
              </w:rPr>
              <w:sym w:font="Wingdings" w:char="00FC"/>
            </w:r>
            <w:r w:rsidRPr="003410C7">
              <w:rPr>
                <w:rFonts w:eastAsia="Calibri" w:cs="Segoe UI"/>
                <w:b/>
                <w:sz w:val="24"/>
                <w:szCs w:val="24"/>
                <w:vertAlign w:val="superscript"/>
              </w:rPr>
              <w:t>2</w:t>
            </w:r>
          </w:p>
        </w:tc>
        <w:tc>
          <w:tcPr>
            <w:tcW w:w="1152" w:type="dxa"/>
            <w:tcBorders>
              <w:top w:val="single" w:sz="6" w:space="0" w:color="1F497D"/>
              <w:left w:val="single" w:sz="6" w:space="0" w:color="1F497D"/>
              <w:bottom w:val="single" w:sz="6" w:space="0" w:color="1F497D"/>
              <w:right w:val="single" w:sz="6" w:space="0" w:color="1F497D"/>
            </w:tcBorders>
            <w:shd w:val="clear" w:color="auto" w:fill="FFFFFF"/>
          </w:tcPr>
          <w:p w:rsidR="0033725C" w:rsidRPr="003410C7" w:rsidRDefault="0033725C" w:rsidP="00A73DBD">
            <w:pPr>
              <w:pStyle w:val="TableText"/>
              <w:rPr>
                <w:rFonts w:ascii="Segoe" w:eastAsia="Calibri" w:hAnsi="Segoe"/>
              </w:rPr>
            </w:pPr>
            <w:r w:rsidRPr="003410C7">
              <w:rPr>
                <w:rFonts w:eastAsia="Calibri" w:cs="Segoe UI"/>
                <w:b/>
                <w:sz w:val="24"/>
                <w:szCs w:val="24"/>
              </w:rPr>
              <w:sym w:font="Wingdings" w:char="00FC"/>
            </w:r>
          </w:p>
        </w:tc>
        <w:tc>
          <w:tcPr>
            <w:tcW w:w="1125" w:type="dxa"/>
            <w:tcBorders>
              <w:top w:val="single" w:sz="6" w:space="0" w:color="1F497D"/>
              <w:left w:val="single" w:sz="6" w:space="0" w:color="1F497D"/>
              <w:bottom w:val="single" w:sz="6" w:space="0" w:color="1F497D"/>
              <w:right w:val="single" w:sz="6" w:space="0" w:color="1F497D"/>
            </w:tcBorders>
            <w:shd w:val="clear" w:color="auto" w:fill="FFFFFF"/>
          </w:tcPr>
          <w:p w:rsidR="0033725C" w:rsidRPr="003410C7" w:rsidRDefault="0033725C" w:rsidP="00A73DBD">
            <w:pPr>
              <w:pStyle w:val="TableText"/>
              <w:rPr>
                <w:rFonts w:eastAsia="Calibri" w:cs="Segoe UI"/>
                <w:b/>
                <w:sz w:val="24"/>
                <w:szCs w:val="24"/>
              </w:rPr>
            </w:pPr>
            <w:r w:rsidRPr="003410C7">
              <w:rPr>
                <w:rFonts w:eastAsia="Calibri" w:cs="Segoe UI"/>
                <w:b/>
                <w:sz w:val="24"/>
                <w:szCs w:val="24"/>
              </w:rPr>
              <w:sym w:font="Wingdings" w:char="00FC"/>
            </w:r>
            <w:r w:rsidRPr="003410C7">
              <w:rPr>
                <w:rFonts w:eastAsia="Calibri" w:cs="Segoe UI"/>
                <w:b/>
                <w:sz w:val="24"/>
                <w:szCs w:val="24"/>
                <w:vertAlign w:val="superscript"/>
              </w:rPr>
              <w:t>2</w:t>
            </w:r>
          </w:p>
        </w:tc>
        <w:tc>
          <w:tcPr>
            <w:tcW w:w="1305" w:type="dxa"/>
            <w:tcBorders>
              <w:top w:val="single" w:sz="6" w:space="0" w:color="1F497D"/>
              <w:left w:val="single" w:sz="6" w:space="0" w:color="1F497D"/>
              <w:bottom w:val="single" w:sz="6" w:space="0" w:color="1F497D"/>
              <w:right w:val="single" w:sz="6" w:space="0" w:color="1F497D"/>
            </w:tcBorders>
            <w:shd w:val="clear" w:color="auto" w:fill="FFFFFF"/>
          </w:tcPr>
          <w:p w:rsidR="0033725C" w:rsidRPr="003410C7" w:rsidRDefault="0033725C" w:rsidP="00A73DBD">
            <w:pPr>
              <w:pStyle w:val="TableText"/>
              <w:rPr>
                <w:rFonts w:eastAsia="Calibri" w:cs="Segoe UI"/>
                <w:b/>
                <w:sz w:val="24"/>
                <w:szCs w:val="24"/>
              </w:rPr>
            </w:pPr>
            <w:r w:rsidRPr="003410C7">
              <w:rPr>
                <w:rFonts w:eastAsia="Calibri" w:cs="Segoe UI"/>
                <w:b/>
                <w:sz w:val="24"/>
                <w:szCs w:val="24"/>
              </w:rPr>
              <w:sym w:font="Wingdings" w:char="00FC"/>
            </w:r>
          </w:p>
        </w:tc>
        <w:tc>
          <w:tcPr>
            <w:tcW w:w="1251" w:type="dxa"/>
            <w:tcBorders>
              <w:top w:val="single" w:sz="6" w:space="0" w:color="1F497D"/>
              <w:left w:val="single" w:sz="6" w:space="0" w:color="1F497D"/>
              <w:bottom w:val="single" w:sz="6" w:space="0" w:color="1F497D"/>
              <w:right w:val="single" w:sz="6" w:space="0" w:color="1F497D"/>
            </w:tcBorders>
            <w:shd w:val="clear" w:color="auto" w:fill="FFFFFF"/>
          </w:tcPr>
          <w:p w:rsidR="0033725C" w:rsidRPr="003410C7" w:rsidRDefault="0033725C" w:rsidP="00A73DBD">
            <w:pPr>
              <w:pStyle w:val="TableText"/>
              <w:rPr>
                <w:rFonts w:eastAsia="Calibri" w:cs="Segoe UI"/>
                <w:b/>
                <w:sz w:val="24"/>
                <w:szCs w:val="24"/>
              </w:rPr>
            </w:pPr>
          </w:p>
        </w:tc>
      </w:tr>
      <w:tr w:rsidR="000C172E" w:rsidRPr="003410C7" w:rsidTr="000C172E">
        <w:tc>
          <w:tcPr>
            <w:tcW w:w="2020" w:type="dxa"/>
            <w:tcBorders>
              <w:top w:val="single" w:sz="6" w:space="0" w:color="1F497D"/>
              <w:left w:val="single" w:sz="4" w:space="0" w:color="072B61"/>
              <w:bottom w:val="single" w:sz="6" w:space="0" w:color="1F497D"/>
              <w:right w:val="single" w:sz="6" w:space="0" w:color="1F497D"/>
            </w:tcBorders>
            <w:shd w:val="clear" w:color="auto" w:fill="FFFFFF"/>
          </w:tcPr>
          <w:p w:rsidR="0033725C" w:rsidRPr="00451078" w:rsidRDefault="0033725C" w:rsidP="000B5FBB">
            <w:pPr>
              <w:pStyle w:val="TableText"/>
              <w:jc w:val="left"/>
              <w:rPr>
                <w:rFonts w:ascii="Tahoma" w:eastAsia="Calibri" w:hAnsi="Tahoma" w:cs="Tahoma"/>
                <w:sz w:val="18"/>
                <w:szCs w:val="18"/>
                <w:lang w:val="it-IT"/>
              </w:rPr>
            </w:pPr>
            <w:r w:rsidRPr="00451078">
              <w:rPr>
                <w:rFonts w:ascii="Tahoma" w:eastAsia="Calibri" w:hAnsi="Tahoma" w:cs="Tahoma"/>
                <w:sz w:val="18"/>
                <w:szCs w:val="18"/>
                <w:lang w:val="it-IT"/>
              </w:rPr>
              <w:t>Eliminazione di Contatti utilizzando i client Microsoft Dynamics</w:t>
            </w:r>
            <w:r w:rsidR="000B5FBB" w:rsidRPr="00451078">
              <w:rPr>
                <w:rFonts w:ascii="Tahoma" w:eastAsia="Calibri" w:hAnsi="Tahoma" w:cs="Tahoma"/>
                <w:sz w:val="18"/>
                <w:szCs w:val="18"/>
                <w:lang w:val="it-IT"/>
              </w:rPr>
              <w:t> </w:t>
            </w:r>
            <w:r w:rsidRPr="00451078">
              <w:rPr>
                <w:rFonts w:ascii="Tahoma" w:eastAsia="Calibri" w:hAnsi="Tahoma" w:cs="Tahoma"/>
                <w:sz w:val="18"/>
                <w:szCs w:val="18"/>
                <w:lang w:val="it-IT"/>
              </w:rPr>
              <w:t>CRM</w:t>
            </w:r>
          </w:p>
        </w:tc>
        <w:tc>
          <w:tcPr>
            <w:tcW w:w="972" w:type="dxa"/>
            <w:tcBorders>
              <w:top w:val="single" w:sz="6" w:space="0" w:color="1F497D"/>
              <w:left w:val="single" w:sz="6" w:space="0" w:color="1F497D"/>
              <w:bottom w:val="single" w:sz="6" w:space="0" w:color="1F497D"/>
              <w:right w:val="single" w:sz="6" w:space="0" w:color="1F497D"/>
            </w:tcBorders>
            <w:shd w:val="clear" w:color="auto" w:fill="FFFFFF"/>
          </w:tcPr>
          <w:p w:rsidR="0033725C" w:rsidRPr="00451078" w:rsidRDefault="0033725C" w:rsidP="00A73DBD">
            <w:pPr>
              <w:pStyle w:val="TableText"/>
              <w:rPr>
                <w:rFonts w:eastAsia="Calibri" w:cs="Segoe UI"/>
                <w:b/>
                <w:sz w:val="24"/>
                <w:szCs w:val="24"/>
                <w:lang w:val="it-IT"/>
              </w:rPr>
            </w:pPr>
          </w:p>
        </w:tc>
        <w:tc>
          <w:tcPr>
            <w:tcW w:w="1053" w:type="dxa"/>
            <w:tcBorders>
              <w:top w:val="single" w:sz="6" w:space="0" w:color="1F497D"/>
              <w:left w:val="single" w:sz="6" w:space="0" w:color="1F497D"/>
              <w:bottom w:val="single" w:sz="6" w:space="0" w:color="1F497D"/>
              <w:right w:val="single" w:sz="6" w:space="0" w:color="1F497D"/>
            </w:tcBorders>
            <w:shd w:val="clear" w:color="auto" w:fill="FFFFFF"/>
          </w:tcPr>
          <w:p w:rsidR="0033725C" w:rsidRPr="003410C7" w:rsidRDefault="0033725C" w:rsidP="00A73DBD">
            <w:pPr>
              <w:pStyle w:val="TableText"/>
              <w:rPr>
                <w:rFonts w:ascii="Segoe" w:eastAsia="Calibri" w:hAnsi="Segoe"/>
              </w:rPr>
            </w:pPr>
            <w:r w:rsidRPr="003410C7">
              <w:rPr>
                <w:rFonts w:eastAsia="Calibri" w:cs="Segoe UI"/>
                <w:b/>
                <w:sz w:val="24"/>
                <w:szCs w:val="24"/>
              </w:rPr>
              <w:sym w:font="Wingdings" w:char="00FC"/>
            </w:r>
            <w:r w:rsidRPr="003410C7">
              <w:rPr>
                <w:rFonts w:eastAsia="Calibri" w:cs="Segoe UI"/>
                <w:b/>
                <w:sz w:val="24"/>
                <w:szCs w:val="24"/>
                <w:vertAlign w:val="superscript"/>
              </w:rPr>
              <w:t>2</w:t>
            </w:r>
          </w:p>
        </w:tc>
        <w:tc>
          <w:tcPr>
            <w:tcW w:w="1152" w:type="dxa"/>
            <w:tcBorders>
              <w:top w:val="single" w:sz="6" w:space="0" w:color="1F497D"/>
              <w:left w:val="single" w:sz="6" w:space="0" w:color="1F497D"/>
              <w:bottom w:val="single" w:sz="6" w:space="0" w:color="1F497D"/>
              <w:right w:val="single" w:sz="6" w:space="0" w:color="1F497D"/>
            </w:tcBorders>
            <w:shd w:val="clear" w:color="auto" w:fill="FFFFFF"/>
          </w:tcPr>
          <w:p w:rsidR="0033725C" w:rsidRPr="003410C7" w:rsidRDefault="0033725C" w:rsidP="00A73DBD">
            <w:pPr>
              <w:pStyle w:val="TableText"/>
              <w:rPr>
                <w:rFonts w:ascii="Segoe" w:eastAsia="Calibri" w:hAnsi="Segoe"/>
              </w:rPr>
            </w:pPr>
            <w:r w:rsidRPr="003410C7">
              <w:rPr>
                <w:rFonts w:eastAsia="Calibri" w:cs="Segoe UI"/>
                <w:b/>
                <w:sz w:val="24"/>
                <w:szCs w:val="24"/>
              </w:rPr>
              <w:sym w:font="Wingdings" w:char="00FC"/>
            </w:r>
          </w:p>
        </w:tc>
        <w:tc>
          <w:tcPr>
            <w:tcW w:w="1125" w:type="dxa"/>
            <w:tcBorders>
              <w:top w:val="single" w:sz="6" w:space="0" w:color="1F497D"/>
              <w:left w:val="single" w:sz="6" w:space="0" w:color="1F497D"/>
              <w:bottom w:val="single" w:sz="6" w:space="0" w:color="1F497D"/>
              <w:right w:val="single" w:sz="6" w:space="0" w:color="1F497D"/>
            </w:tcBorders>
            <w:shd w:val="clear" w:color="auto" w:fill="FFFFFF"/>
          </w:tcPr>
          <w:p w:rsidR="0033725C" w:rsidRPr="003410C7" w:rsidRDefault="0033725C" w:rsidP="00A73DBD">
            <w:pPr>
              <w:pStyle w:val="TableText"/>
              <w:rPr>
                <w:rFonts w:eastAsia="Calibri" w:cs="Segoe UI"/>
                <w:b/>
                <w:sz w:val="24"/>
                <w:szCs w:val="24"/>
              </w:rPr>
            </w:pPr>
            <w:r w:rsidRPr="003410C7">
              <w:rPr>
                <w:rFonts w:eastAsia="Calibri" w:cs="Segoe UI"/>
                <w:b/>
                <w:sz w:val="24"/>
                <w:szCs w:val="24"/>
              </w:rPr>
              <w:sym w:font="Wingdings" w:char="00FC"/>
            </w:r>
            <w:r w:rsidRPr="003410C7">
              <w:rPr>
                <w:rFonts w:eastAsia="Calibri" w:cs="Segoe UI"/>
                <w:b/>
                <w:sz w:val="24"/>
                <w:szCs w:val="24"/>
                <w:vertAlign w:val="superscript"/>
              </w:rPr>
              <w:t>2</w:t>
            </w:r>
          </w:p>
        </w:tc>
        <w:tc>
          <w:tcPr>
            <w:tcW w:w="1305" w:type="dxa"/>
            <w:tcBorders>
              <w:top w:val="single" w:sz="6" w:space="0" w:color="1F497D"/>
              <w:left w:val="single" w:sz="6" w:space="0" w:color="1F497D"/>
              <w:bottom w:val="single" w:sz="6" w:space="0" w:color="1F497D"/>
              <w:right w:val="single" w:sz="6" w:space="0" w:color="1F497D"/>
            </w:tcBorders>
            <w:shd w:val="clear" w:color="auto" w:fill="FFFFFF"/>
          </w:tcPr>
          <w:p w:rsidR="0033725C" w:rsidRPr="003410C7" w:rsidRDefault="0033725C" w:rsidP="00A73DBD">
            <w:pPr>
              <w:pStyle w:val="TableText"/>
              <w:rPr>
                <w:rFonts w:eastAsia="Calibri" w:cs="Segoe UI"/>
                <w:b/>
                <w:sz w:val="24"/>
                <w:szCs w:val="24"/>
              </w:rPr>
            </w:pPr>
            <w:r w:rsidRPr="003410C7">
              <w:rPr>
                <w:rFonts w:eastAsia="Calibri" w:cs="Segoe UI"/>
                <w:b/>
                <w:sz w:val="24"/>
                <w:szCs w:val="24"/>
              </w:rPr>
              <w:sym w:font="Wingdings" w:char="00FC"/>
            </w:r>
          </w:p>
        </w:tc>
        <w:tc>
          <w:tcPr>
            <w:tcW w:w="1251" w:type="dxa"/>
            <w:tcBorders>
              <w:top w:val="single" w:sz="6" w:space="0" w:color="1F497D"/>
              <w:left w:val="single" w:sz="6" w:space="0" w:color="1F497D"/>
              <w:bottom w:val="single" w:sz="6" w:space="0" w:color="1F497D"/>
              <w:right w:val="single" w:sz="6" w:space="0" w:color="1F497D"/>
            </w:tcBorders>
            <w:shd w:val="clear" w:color="auto" w:fill="FFFFFF"/>
          </w:tcPr>
          <w:p w:rsidR="0033725C" w:rsidRPr="003410C7" w:rsidRDefault="0033725C" w:rsidP="00A73DBD">
            <w:pPr>
              <w:pStyle w:val="TableText"/>
              <w:rPr>
                <w:rFonts w:eastAsia="Calibri" w:cs="Segoe UI"/>
                <w:b/>
                <w:sz w:val="24"/>
                <w:szCs w:val="24"/>
              </w:rPr>
            </w:pPr>
          </w:p>
        </w:tc>
      </w:tr>
      <w:tr w:rsidR="000C172E" w:rsidRPr="003410C7" w:rsidTr="000C172E">
        <w:tc>
          <w:tcPr>
            <w:tcW w:w="2020" w:type="dxa"/>
            <w:tcBorders>
              <w:top w:val="single" w:sz="6" w:space="0" w:color="1F497D"/>
              <w:left w:val="single" w:sz="4" w:space="0" w:color="072B61"/>
              <w:bottom w:val="single" w:sz="6" w:space="0" w:color="1F497D"/>
              <w:right w:val="single" w:sz="6" w:space="0" w:color="1F497D"/>
            </w:tcBorders>
            <w:shd w:val="clear" w:color="auto" w:fill="FFFFFF"/>
          </w:tcPr>
          <w:p w:rsidR="0033725C" w:rsidRPr="00451078" w:rsidRDefault="0033725C" w:rsidP="000B5FBB">
            <w:pPr>
              <w:pStyle w:val="TableText"/>
              <w:jc w:val="left"/>
              <w:rPr>
                <w:rFonts w:ascii="Tahoma" w:eastAsia="Calibri" w:hAnsi="Tahoma" w:cs="Tahoma"/>
                <w:sz w:val="18"/>
                <w:szCs w:val="18"/>
                <w:lang w:val="it-IT"/>
              </w:rPr>
            </w:pPr>
            <w:r w:rsidRPr="00451078">
              <w:rPr>
                <w:rFonts w:ascii="Tahoma" w:eastAsia="Calibri" w:hAnsi="Tahoma" w:cs="Tahoma"/>
                <w:sz w:val="18"/>
                <w:szCs w:val="18"/>
                <w:lang w:val="it-IT"/>
              </w:rPr>
              <w:t xml:space="preserve">Eliminazione di Casi utilizzando i client </w:t>
            </w:r>
            <w:r w:rsidRPr="00451078">
              <w:rPr>
                <w:rFonts w:ascii="Tahoma" w:eastAsia="Calibri" w:hAnsi="Tahoma" w:cs="Tahoma"/>
                <w:sz w:val="18"/>
                <w:szCs w:val="18"/>
                <w:lang w:val="it-IT"/>
              </w:rPr>
              <w:lastRenderedPageBreak/>
              <w:t>Microsoft Dynamics</w:t>
            </w:r>
            <w:r w:rsidR="000B5FBB" w:rsidRPr="00451078">
              <w:rPr>
                <w:rFonts w:ascii="Tahoma" w:eastAsia="Calibri" w:hAnsi="Tahoma" w:cs="Tahoma"/>
                <w:sz w:val="18"/>
                <w:szCs w:val="18"/>
                <w:lang w:val="it-IT"/>
              </w:rPr>
              <w:t> </w:t>
            </w:r>
            <w:r w:rsidRPr="00451078">
              <w:rPr>
                <w:rFonts w:ascii="Tahoma" w:eastAsia="Calibri" w:hAnsi="Tahoma" w:cs="Tahoma"/>
                <w:sz w:val="18"/>
                <w:szCs w:val="18"/>
                <w:lang w:val="it-IT"/>
              </w:rPr>
              <w:t>CRM</w:t>
            </w:r>
          </w:p>
        </w:tc>
        <w:tc>
          <w:tcPr>
            <w:tcW w:w="972" w:type="dxa"/>
            <w:tcBorders>
              <w:top w:val="single" w:sz="6" w:space="0" w:color="1F497D"/>
              <w:left w:val="single" w:sz="6" w:space="0" w:color="1F497D"/>
              <w:bottom w:val="single" w:sz="6" w:space="0" w:color="1F497D"/>
              <w:right w:val="single" w:sz="6" w:space="0" w:color="1F497D"/>
            </w:tcBorders>
            <w:shd w:val="clear" w:color="auto" w:fill="FFFFFF"/>
          </w:tcPr>
          <w:p w:rsidR="0033725C" w:rsidRPr="00451078" w:rsidRDefault="0033725C" w:rsidP="00A73DBD">
            <w:pPr>
              <w:pStyle w:val="TableText"/>
              <w:rPr>
                <w:rFonts w:eastAsia="Calibri" w:cs="Segoe UI"/>
                <w:b/>
                <w:sz w:val="24"/>
                <w:szCs w:val="24"/>
                <w:lang w:val="it-IT"/>
              </w:rPr>
            </w:pPr>
          </w:p>
        </w:tc>
        <w:tc>
          <w:tcPr>
            <w:tcW w:w="1053" w:type="dxa"/>
            <w:tcBorders>
              <w:top w:val="single" w:sz="6" w:space="0" w:color="1F497D"/>
              <w:left w:val="single" w:sz="6" w:space="0" w:color="1F497D"/>
              <w:bottom w:val="single" w:sz="6" w:space="0" w:color="1F497D"/>
              <w:right w:val="single" w:sz="6" w:space="0" w:color="1F497D"/>
            </w:tcBorders>
            <w:shd w:val="clear" w:color="auto" w:fill="FFFFFF"/>
          </w:tcPr>
          <w:p w:rsidR="0033725C" w:rsidRPr="003410C7" w:rsidRDefault="0033725C" w:rsidP="00A73DBD">
            <w:pPr>
              <w:pStyle w:val="TableText"/>
              <w:rPr>
                <w:rFonts w:ascii="Segoe" w:eastAsia="Calibri" w:hAnsi="Segoe"/>
              </w:rPr>
            </w:pPr>
            <w:r w:rsidRPr="003410C7">
              <w:rPr>
                <w:rFonts w:eastAsia="Calibri" w:cs="Segoe UI"/>
                <w:b/>
                <w:sz w:val="24"/>
                <w:szCs w:val="24"/>
              </w:rPr>
              <w:sym w:font="Wingdings" w:char="00FC"/>
            </w:r>
            <w:r w:rsidRPr="003410C7">
              <w:rPr>
                <w:rFonts w:eastAsia="Calibri" w:cs="Segoe UI"/>
                <w:b/>
                <w:sz w:val="24"/>
                <w:szCs w:val="24"/>
                <w:vertAlign w:val="superscript"/>
              </w:rPr>
              <w:t>2</w:t>
            </w:r>
          </w:p>
        </w:tc>
        <w:tc>
          <w:tcPr>
            <w:tcW w:w="1152" w:type="dxa"/>
            <w:tcBorders>
              <w:top w:val="single" w:sz="6" w:space="0" w:color="1F497D"/>
              <w:left w:val="single" w:sz="6" w:space="0" w:color="1F497D"/>
              <w:bottom w:val="single" w:sz="6" w:space="0" w:color="1F497D"/>
              <w:right w:val="single" w:sz="6" w:space="0" w:color="1F497D"/>
            </w:tcBorders>
            <w:shd w:val="clear" w:color="auto" w:fill="FFFFFF"/>
          </w:tcPr>
          <w:p w:rsidR="0033725C" w:rsidRPr="003410C7" w:rsidRDefault="0033725C" w:rsidP="00A73DBD">
            <w:pPr>
              <w:pStyle w:val="TableText"/>
              <w:rPr>
                <w:rFonts w:ascii="Segoe" w:eastAsia="Calibri" w:hAnsi="Segoe"/>
              </w:rPr>
            </w:pPr>
            <w:r w:rsidRPr="003410C7">
              <w:rPr>
                <w:rFonts w:eastAsia="Calibri" w:cs="Segoe UI"/>
                <w:b/>
                <w:sz w:val="24"/>
                <w:szCs w:val="24"/>
              </w:rPr>
              <w:sym w:font="Wingdings" w:char="00FC"/>
            </w:r>
          </w:p>
        </w:tc>
        <w:tc>
          <w:tcPr>
            <w:tcW w:w="1125" w:type="dxa"/>
            <w:tcBorders>
              <w:top w:val="single" w:sz="6" w:space="0" w:color="1F497D"/>
              <w:left w:val="single" w:sz="6" w:space="0" w:color="1F497D"/>
              <w:bottom w:val="single" w:sz="6" w:space="0" w:color="1F497D"/>
              <w:right w:val="single" w:sz="6" w:space="0" w:color="1F497D"/>
            </w:tcBorders>
            <w:shd w:val="clear" w:color="auto" w:fill="FFFFFF"/>
          </w:tcPr>
          <w:p w:rsidR="0033725C" w:rsidRPr="003410C7" w:rsidRDefault="0033725C" w:rsidP="00A73DBD">
            <w:pPr>
              <w:pStyle w:val="TableText"/>
              <w:rPr>
                <w:rFonts w:eastAsia="Calibri" w:cs="Segoe UI"/>
                <w:b/>
                <w:sz w:val="24"/>
                <w:szCs w:val="24"/>
              </w:rPr>
            </w:pPr>
            <w:r w:rsidRPr="003410C7">
              <w:rPr>
                <w:rFonts w:eastAsia="Calibri" w:cs="Segoe UI"/>
                <w:b/>
                <w:sz w:val="24"/>
                <w:szCs w:val="24"/>
              </w:rPr>
              <w:sym w:font="Wingdings" w:char="00FC"/>
            </w:r>
            <w:r w:rsidRPr="003410C7">
              <w:rPr>
                <w:rFonts w:eastAsia="Calibri" w:cs="Segoe UI"/>
                <w:b/>
                <w:sz w:val="24"/>
                <w:szCs w:val="24"/>
                <w:vertAlign w:val="superscript"/>
              </w:rPr>
              <w:t>2</w:t>
            </w:r>
          </w:p>
        </w:tc>
        <w:tc>
          <w:tcPr>
            <w:tcW w:w="1305" w:type="dxa"/>
            <w:tcBorders>
              <w:top w:val="single" w:sz="6" w:space="0" w:color="1F497D"/>
              <w:left w:val="single" w:sz="6" w:space="0" w:color="1F497D"/>
              <w:bottom w:val="single" w:sz="6" w:space="0" w:color="1F497D"/>
              <w:right w:val="single" w:sz="6" w:space="0" w:color="1F497D"/>
            </w:tcBorders>
            <w:shd w:val="clear" w:color="auto" w:fill="FFFFFF"/>
          </w:tcPr>
          <w:p w:rsidR="0033725C" w:rsidRPr="003410C7" w:rsidRDefault="0033725C" w:rsidP="00A73DBD">
            <w:pPr>
              <w:pStyle w:val="TableText"/>
              <w:rPr>
                <w:rFonts w:eastAsia="Calibri" w:cs="Segoe UI"/>
                <w:b/>
                <w:sz w:val="24"/>
                <w:szCs w:val="24"/>
              </w:rPr>
            </w:pPr>
            <w:r w:rsidRPr="003410C7">
              <w:rPr>
                <w:rFonts w:eastAsia="Calibri" w:cs="Segoe UI"/>
                <w:b/>
                <w:sz w:val="24"/>
                <w:szCs w:val="24"/>
              </w:rPr>
              <w:sym w:font="Wingdings" w:char="00FC"/>
            </w:r>
          </w:p>
        </w:tc>
        <w:tc>
          <w:tcPr>
            <w:tcW w:w="1251" w:type="dxa"/>
            <w:tcBorders>
              <w:top w:val="single" w:sz="6" w:space="0" w:color="1F497D"/>
              <w:left w:val="single" w:sz="6" w:space="0" w:color="1F497D"/>
              <w:bottom w:val="single" w:sz="6" w:space="0" w:color="1F497D"/>
              <w:right w:val="single" w:sz="6" w:space="0" w:color="1F497D"/>
            </w:tcBorders>
            <w:shd w:val="clear" w:color="auto" w:fill="FFFFFF"/>
          </w:tcPr>
          <w:p w:rsidR="0033725C" w:rsidRPr="003410C7" w:rsidRDefault="0033725C" w:rsidP="00A73DBD">
            <w:pPr>
              <w:pStyle w:val="TableText"/>
              <w:rPr>
                <w:rFonts w:eastAsia="Calibri" w:cs="Segoe UI"/>
                <w:b/>
                <w:sz w:val="24"/>
                <w:szCs w:val="24"/>
              </w:rPr>
            </w:pPr>
          </w:p>
        </w:tc>
      </w:tr>
      <w:tr w:rsidR="000C172E" w:rsidRPr="003410C7" w:rsidTr="000C172E">
        <w:tc>
          <w:tcPr>
            <w:tcW w:w="2020" w:type="dxa"/>
            <w:tcBorders>
              <w:top w:val="single" w:sz="6" w:space="0" w:color="1F497D"/>
              <w:left w:val="single" w:sz="4" w:space="0" w:color="072B61"/>
              <w:bottom w:val="single" w:sz="6" w:space="0" w:color="1F497D"/>
              <w:right w:val="single" w:sz="6" w:space="0" w:color="1F497D"/>
            </w:tcBorders>
            <w:shd w:val="clear" w:color="auto" w:fill="FFFFFF"/>
          </w:tcPr>
          <w:p w:rsidR="0033725C" w:rsidRPr="00451078" w:rsidRDefault="0033725C" w:rsidP="000B5FBB">
            <w:pPr>
              <w:pStyle w:val="TableText"/>
              <w:jc w:val="left"/>
              <w:rPr>
                <w:rFonts w:ascii="Tahoma" w:eastAsia="Calibri" w:hAnsi="Tahoma" w:cs="Tahoma"/>
                <w:sz w:val="18"/>
                <w:szCs w:val="18"/>
                <w:lang w:val="it-IT"/>
              </w:rPr>
            </w:pPr>
            <w:r w:rsidRPr="00451078">
              <w:rPr>
                <w:rFonts w:ascii="Tahoma" w:eastAsia="Calibri" w:hAnsi="Tahoma" w:cs="Tahoma"/>
                <w:sz w:val="18"/>
                <w:szCs w:val="18"/>
                <w:lang w:val="it-IT"/>
              </w:rPr>
              <w:lastRenderedPageBreak/>
              <w:t>Eliminazione di Lead utilizzando i client Microsoft Dynamics</w:t>
            </w:r>
            <w:r w:rsidR="000B5FBB" w:rsidRPr="00451078">
              <w:rPr>
                <w:rFonts w:ascii="Tahoma" w:eastAsia="Calibri" w:hAnsi="Tahoma" w:cs="Tahoma"/>
                <w:sz w:val="18"/>
                <w:szCs w:val="18"/>
                <w:lang w:val="it-IT"/>
              </w:rPr>
              <w:t> </w:t>
            </w:r>
            <w:r w:rsidRPr="00451078">
              <w:rPr>
                <w:rFonts w:ascii="Tahoma" w:eastAsia="Calibri" w:hAnsi="Tahoma" w:cs="Tahoma"/>
                <w:sz w:val="18"/>
                <w:szCs w:val="18"/>
                <w:lang w:val="it-IT"/>
              </w:rPr>
              <w:t>CRM</w:t>
            </w:r>
          </w:p>
        </w:tc>
        <w:tc>
          <w:tcPr>
            <w:tcW w:w="972" w:type="dxa"/>
            <w:tcBorders>
              <w:top w:val="single" w:sz="6" w:space="0" w:color="1F497D"/>
              <w:left w:val="single" w:sz="6" w:space="0" w:color="1F497D"/>
              <w:bottom w:val="single" w:sz="6" w:space="0" w:color="1F497D"/>
              <w:right w:val="single" w:sz="6" w:space="0" w:color="1F497D"/>
            </w:tcBorders>
            <w:shd w:val="clear" w:color="auto" w:fill="FFFFFF"/>
          </w:tcPr>
          <w:p w:rsidR="0033725C" w:rsidRPr="00451078" w:rsidRDefault="0033725C" w:rsidP="00A73DBD">
            <w:pPr>
              <w:pStyle w:val="TableText"/>
              <w:rPr>
                <w:rFonts w:eastAsia="Calibri" w:cs="Segoe UI"/>
                <w:b/>
                <w:sz w:val="24"/>
                <w:szCs w:val="24"/>
                <w:lang w:val="it-IT"/>
              </w:rPr>
            </w:pPr>
          </w:p>
        </w:tc>
        <w:tc>
          <w:tcPr>
            <w:tcW w:w="1053" w:type="dxa"/>
            <w:tcBorders>
              <w:top w:val="single" w:sz="6" w:space="0" w:color="1F497D"/>
              <w:left w:val="single" w:sz="6" w:space="0" w:color="1F497D"/>
              <w:bottom w:val="single" w:sz="6" w:space="0" w:color="1F497D"/>
              <w:right w:val="single" w:sz="6" w:space="0" w:color="1F497D"/>
            </w:tcBorders>
            <w:shd w:val="clear" w:color="auto" w:fill="FFFFFF"/>
          </w:tcPr>
          <w:p w:rsidR="0033725C" w:rsidRPr="003410C7" w:rsidRDefault="0033725C" w:rsidP="00A73DBD">
            <w:pPr>
              <w:pStyle w:val="TableText"/>
              <w:rPr>
                <w:rFonts w:ascii="Segoe" w:eastAsia="Calibri" w:hAnsi="Segoe"/>
              </w:rPr>
            </w:pPr>
            <w:r w:rsidRPr="003410C7">
              <w:rPr>
                <w:rFonts w:eastAsia="Calibri" w:cs="Segoe UI"/>
                <w:b/>
                <w:sz w:val="24"/>
                <w:szCs w:val="24"/>
              </w:rPr>
              <w:sym w:font="Wingdings" w:char="00FC"/>
            </w:r>
            <w:r w:rsidRPr="003410C7">
              <w:rPr>
                <w:rFonts w:eastAsia="Calibri" w:cs="Segoe UI"/>
                <w:b/>
                <w:sz w:val="24"/>
                <w:szCs w:val="24"/>
                <w:vertAlign w:val="superscript"/>
              </w:rPr>
              <w:t>2</w:t>
            </w:r>
          </w:p>
        </w:tc>
        <w:tc>
          <w:tcPr>
            <w:tcW w:w="1152" w:type="dxa"/>
            <w:tcBorders>
              <w:top w:val="single" w:sz="6" w:space="0" w:color="1F497D"/>
              <w:left w:val="single" w:sz="6" w:space="0" w:color="1F497D"/>
              <w:bottom w:val="single" w:sz="6" w:space="0" w:color="1F497D"/>
              <w:right w:val="single" w:sz="6" w:space="0" w:color="1F497D"/>
            </w:tcBorders>
            <w:shd w:val="clear" w:color="auto" w:fill="FFFFFF"/>
          </w:tcPr>
          <w:p w:rsidR="0033725C" w:rsidRPr="003410C7" w:rsidRDefault="0033725C" w:rsidP="00A73DBD">
            <w:pPr>
              <w:pStyle w:val="TableText"/>
              <w:rPr>
                <w:rFonts w:ascii="Segoe" w:eastAsia="Calibri" w:hAnsi="Segoe"/>
              </w:rPr>
            </w:pPr>
            <w:r w:rsidRPr="003410C7">
              <w:rPr>
                <w:rFonts w:eastAsia="Calibri" w:cs="Segoe UI"/>
                <w:b/>
                <w:sz w:val="24"/>
                <w:szCs w:val="24"/>
              </w:rPr>
              <w:sym w:font="Wingdings" w:char="00FC"/>
            </w:r>
          </w:p>
        </w:tc>
        <w:tc>
          <w:tcPr>
            <w:tcW w:w="1125" w:type="dxa"/>
            <w:tcBorders>
              <w:top w:val="single" w:sz="6" w:space="0" w:color="1F497D"/>
              <w:left w:val="single" w:sz="6" w:space="0" w:color="1F497D"/>
              <w:bottom w:val="single" w:sz="6" w:space="0" w:color="1F497D"/>
              <w:right w:val="single" w:sz="6" w:space="0" w:color="1F497D"/>
            </w:tcBorders>
            <w:shd w:val="clear" w:color="auto" w:fill="FFFFFF"/>
          </w:tcPr>
          <w:p w:rsidR="0033725C" w:rsidRPr="003410C7" w:rsidRDefault="0033725C" w:rsidP="00A73DBD">
            <w:pPr>
              <w:pStyle w:val="TableText"/>
              <w:rPr>
                <w:rFonts w:eastAsia="Calibri" w:cs="Segoe UI"/>
                <w:b/>
                <w:sz w:val="24"/>
                <w:szCs w:val="24"/>
              </w:rPr>
            </w:pPr>
            <w:r w:rsidRPr="003410C7">
              <w:rPr>
                <w:rFonts w:eastAsia="Calibri" w:cs="Segoe UI"/>
                <w:b/>
                <w:sz w:val="24"/>
                <w:szCs w:val="24"/>
              </w:rPr>
              <w:sym w:font="Wingdings" w:char="00FC"/>
            </w:r>
            <w:r w:rsidRPr="003410C7">
              <w:rPr>
                <w:rFonts w:eastAsia="Calibri" w:cs="Segoe UI"/>
                <w:b/>
                <w:sz w:val="24"/>
                <w:szCs w:val="24"/>
                <w:vertAlign w:val="superscript"/>
              </w:rPr>
              <w:t>2</w:t>
            </w:r>
          </w:p>
        </w:tc>
        <w:tc>
          <w:tcPr>
            <w:tcW w:w="1305" w:type="dxa"/>
            <w:tcBorders>
              <w:top w:val="single" w:sz="6" w:space="0" w:color="1F497D"/>
              <w:left w:val="single" w:sz="6" w:space="0" w:color="1F497D"/>
              <w:bottom w:val="single" w:sz="6" w:space="0" w:color="1F497D"/>
              <w:right w:val="single" w:sz="6" w:space="0" w:color="1F497D"/>
            </w:tcBorders>
            <w:shd w:val="clear" w:color="auto" w:fill="FFFFFF"/>
          </w:tcPr>
          <w:p w:rsidR="0033725C" w:rsidRPr="003410C7" w:rsidRDefault="0033725C" w:rsidP="00A73DBD">
            <w:pPr>
              <w:pStyle w:val="TableText"/>
              <w:rPr>
                <w:rFonts w:eastAsia="Calibri" w:cs="Segoe UI"/>
                <w:b/>
                <w:sz w:val="24"/>
                <w:szCs w:val="24"/>
              </w:rPr>
            </w:pPr>
            <w:r w:rsidRPr="003410C7">
              <w:rPr>
                <w:rFonts w:eastAsia="Calibri" w:cs="Segoe UI"/>
                <w:b/>
                <w:sz w:val="24"/>
                <w:szCs w:val="24"/>
              </w:rPr>
              <w:sym w:font="Wingdings" w:char="00FC"/>
            </w:r>
          </w:p>
        </w:tc>
        <w:tc>
          <w:tcPr>
            <w:tcW w:w="1251" w:type="dxa"/>
            <w:tcBorders>
              <w:top w:val="single" w:sz="6" w:space="0" w:color="1F497D"/>
              <w:left w:val="single" w:sz="6" w:space="0" w:color="1F497D"/>
              <w:bottom w:val="single" w:sz="6" w:space="0" w:color="1F497D"/>
              <w:right w:val="single" w:sz="6" w:space="0" w:color="1F497D"/>
            </w:tcBorders>
            <w:shd w:val="clear" w:color="auto" w:fill="FFFFFF"/>
          </w:tcPr>
          <w:p w:rsidR="0033725C" w:rsidRPr="003410C7" w:rsidRDefault="0033725C" w:rsidP="00A73DBD">
            <w:pPr>
              <w:pStyle w:val="TableText"/>
              <w:rPr>
                <w:rFonts w:eastAsia="Calibri" w:cs="Segoe UI"/>
                <w:b/>
                <w:sz w:val="24"/>
                <w:szCs w:val="24"/>
              </w:rPr>
            </w:pPr>
          </w:p>
        </w:tc>
      </w:tr>
      <w:tr w:rsidR="000C172E" w:rsidRPr="003410C7" w:rsidTr="000C172E">
        <w:tc>
          <w:tcPr>
            <w:tcW w:w="2020" w:type="dxa"/>
            <w:tcBorders>
              <w:top w:val="single" w:sz="6" w:space="0" w:color="1F497D"/>
              <w:left w:val="single" w:sz="4" w:space="0" w:color="072B61"/>
              <w:bottom w:val="single" w:sz="6" w:space="0" w:color="1F497D"/>
              <w:right w:val="single" w:sz="6" w:space="0" w:color="1F497D"/>
            </w:tcBorders>
            <w:shd w:val="clear" w:color="auto" w:fill="FFFFFF"/>
          </w:tcPr>
          <w:p w:rsidR="0033725C" w:rsidRPr="00451078" w:rsidRDefault="0033725C" w:rsidP="000B5FBB">
            <w:pPr>
              <w:pStyle w:val="TableText"/>
              <w:jc w:val="left"/>
              <w:rPr>
                <w:rFonts w:ascii="Tahoma" w:eastAsia="Calibri" w:hAnsi="Tahoma" w:cs="Tahoma"/>
                <w:sz w:val="18"/>
                <w:szCs w:val="18"/>
                <w:lang w:val="it-IT"/>
              </w:rPr>
            </w:pPr>
            <w:r w:rsidRPr="00451078">
              <w:rPr>
                <w:rFonts w:ascii="Tahoma" w:eastAsia="Calibri" w:hAnsi="Tahoma" w:cs="Tahoma"/>
                <w:sz w:val="18"/>
                <w:szCs w:val="18"/>
                <w:lang w:val="it-IT"/>
              </w:rPr>
              <w:t>Eliminazione di Attività utilizzando i client Microsoft Dynamics</w:t>
            </w:r>
            <w:r w:rsidR="000B5FBB" w:rsidRPr="00451078">
              <w:rPr>
                <w:rFonts w:ascii="Tahoma" w:eastAsia="Calibri" w:hAnsi="Tahoma" w:cs="Tahoma"/>
                <w:sz w:val="18"/>
                <w:szCs w:val="18"/>
                <w:lang w:val="it-IT"/>
              </w:rPr>
              <w:t> </w:t>
            </w:r>
            <w:r w:rsidRPr="00451078">
              <w:rPr>
                <w:rFonts w:ascii="Tahoma" w:eastAsia="Calibri" w:hAnsi="Tahoma" w:cs="Tahoma"/>
                <w:sz w:val="18"/>
                <w:szCs w:val="18"/>
                <w:lang w:val="it-IT"/>
              </w:rPr>
              <w:t>CRM</w:t>
            </w:r>
          </w:p>
        </w:tc>
        <w:tc>
          <w:tcPr>
            <w:tcW w:w="972" w:type="dxa"/>
            <w:tcBorders>
              <w:top w:val="single" w:sz="6" w:space="0" w:color="1F497D"/>
              <w:left w:val="single" w:sz="6" w:space="0" w:color="1F497D"/>
              <w:bottom w:val="single" w:sz="6" w:space="0" w:color="1F497D"/>
              <w:right w:val="single" w:sz="6" w:space="0" w:color="1F497D"/>
            </w:tcBorders>
            <w:shd w:val="clear" w:color="auto" w:fill="FFFFFF"/>
          </w:tcPr>
          <w:p w:rsidR="0033725C" w:rsidRPr="00451078" w:rsidRDefault="0033725C" w:rsidP="00A73DBD">
            <w:pPr>
              <w:pStyle w:val="TableText"/>
              <w:rPr>
                <w:rFonts w:eastAsia="Calibri" w:cs="Segoe UI"/>
                <w:b/>
                <w:sz w:val="24"/>
                <w:szCs w:val="24"/>
                <w:lang w:val="it-IT"/>
              </w:rPr>
            </w:pPr>
          </w:p>
        </w:tc>
        <w:tc>
          <w:tcPr>
            <w:tcW w:w="1053" w:type="dxa"/>
            <w:tcBorders>
              <w:top w:val="single" w:sz="6" w:space="0" w:color="1F497D"/>
              <w:left w:val="single" w:sz="6" w:space="0" w:color="1F497D"/>
              <w:bottom w:val="single" w:sz="6" w:space="0" w:color="1F497D"/>
              <w:right w:val="single" w:sz="6" w:space="0" w:color="1F497D"/>
            </w:tcBorders>
            <w:shd w:val="clear" w:color="auto" w:fill="FFFFFF"/>
          </w:tcPr>
          <w:p w:rsidR="0033725C" w:rsidRPr="003410C7" w:rsidRDefault="0033725C" w:rsidP="00A73DBD">
            <w:pPr>
              <w:pStyle w:val="TableText"/>
              <w:rPr>
                <w:rFonts w:ascii="Segoe" w:eastAsia="Calibri" w:hAnsi="Segoe"/>
              </w:rPr>
            </w:pPr>
            <w:r w:rsidRPr="003410C7">
              <w:rPr>
                <w:rFonts w:eastAsia="Calibri" w:cs="Segoe UI"/>
                <w:b/>
                <w:sz w:val="24"/>
                <w:szCs w:val="24"/>
              </w:rPr>
              <w:sym w:font="Wingdings" w:char="00FC"/>
            </w:r>
            <w:r w:rsidRPr="003410C7">
              <w:rPr>
                <w:rFonts w:eastAsia="Calibri" w:cs="Segoe UI"/>
                <w:b/>
                <w:sz w:val="24"/>
                <w:szCs w:val="24"/>
                <w:vertAlign w:val="superscript"/>
              </w:rPr>
              <w:t>2</w:t>
            </w:r>
          </w:p>
        </w:tc>
        <w:tc>
          <w:tcPr>
            <w:tcW w:w="1152" w:type="dxa"/>
            <w:tcBorders>
              <w:top w:val="single" w:sz="6" w:space="0" w:color="1F497D"/>
              <w:left w:val="single" w:sz="6" w:space="0" w:color="1F497D"/>
              <w:bottom w:val="single" w:sz="6" w:space="0" w:color="1F497D"/>
              <w:right w:val="single" w:sz="6" w:space="0" w:color="1F497D"/>
            </w:tcBorders>
            <w:shd w:val="clear" w:color="auto" w:fill="FFFFFF"/>
          </w:tcPr>
          <w:p w:rsidR="0033725C" w:rsidRPr="003410C7" w:rsidRDefault="0033725C" w:rsidP="00A73DBD">
            <w:pPr>
              <w:pStyle w:val="TableText"/>
              <w:rPr>
                <w:rFonts w:ascii="Segoe" w:eastAsia="Calibri" w:hAnsi="Segoe"/>
              </w:rPr>
            </w:pPr>
            <w:r w:rsidRPr="003410C7">
              <w:rPr>
                <w:rFonts w:eastAsia="Calibri" w:cs="Segoe UI"/>
                <w:b/>
                <w:sz w:val="24"/>
                <w:szCs w:val="24"/>
              </w:rPr>
              <w:sym w:font="Wingdings" w:char="00FC"/>
            </w:r>
          </w:p>
        </w:tc>
        <w:tc>
          <w:tcPr>
            <w:tcW w:w="1125" w:type="dxa"/>
            <w:tcBorders>
              <w:top w:val="single" w:sz="6" w:space="0" w:color="1F497D"/>
              <w:left w:val="single" w:sz="6" w:space="0" w:color="1F497D"/>
              <w:bottom w:val="single" w:sz="6" w:space="0" w:color="1F497D"/>
              <w:right w:val="single" w:sz="6" w:space="0" w:color="1F497D"/>
            </w:tcBorders>
            <w:shd w:val="clear" w:color="auto" w:fill="FFFFFF"/>
          </w:tcPr>
          <w:p w:rsidR="0033725C" w:rsidRPr="003410C7" w:rsidRDefault="0033725C" w:rsidP="00A73DBD">
            <w:pPr>
              <w:pStyle w:val="TableText"/>
              <w:rPr>
                <w:rFonts w:eastAsia="Calibri" w:cs="Segoe UI"/>
                <w:b/>
                <w:sz w:val="24"/>
                <w:szCs w:val="24"/>
              </w:rPr>
            </w:pPr>
            <w:r w:rsidRPr="003410C7">
              <w:rPr>
                <w:rFonts w:eastAsia="Calibri" w:cs="Segoe UI"/>
                <w:b/>
                <w:sz w:val="24"/>
                <w:szCs w:val="24"/>
              </w:rPr>
              <w:sym w:font="Wingdings" w:char="00FC"/>
            </w:r>
            <w:r w:rsidRPr="003410C7">
              <w:rPr>
                <w:rFonts w:eastAsia="Calibri" w:cs="Segoe UI"/>
                <w:b/>
                <w:sz w:val="24"/>
                <w:szCs w:val="24"/>
                <w:vertAlign w:val="superscript"/>
              </w:rPr>
              <w:t>2</w:t>
            </w:r>
          </w:p>
        </w:tc>
        <w:tc>
          <w:tcPr>
            <w:tcW w:w="1305" w:type="dxa"/>
            <w:tcBorders>
              <w:top w:val="single" w:sz="6" w:space="0" w:color="1F497D"/>
              <w:left w:val="single" w:sz="6" w:space="0" w:color="1F497D"/>
              <w:bottom w:val="single" w:sz="6" w:space="0" w:color="1F497D"/>
              <w:right w:val="single" w:sz="6" w:space="0" w:color="1F497D"/>
            </w:tcBorders>
            <w:shd w:val="clear" w:color="auto" w:fill="FFFFFF"/>
          </w:tcPr>
          <w:p w:rsidR="0033725C" w:rsidRPr="003410C7" w:rsidRDefault="0033725C" w:rsidP="00A73DBD">
            <w:pPr>
              <w:pStyle w:val="TableText"/>
              <w:rPr>
                <w:rFonts w:eastAsia="Calibri" w:cs="Segoe UI"/>
                <w:b/>
                <w:sz w:val="24"/>
                <w:szCs w:val="24"/>
              </w:rPr>
            </w:pPr>
            <w:r w:rsidRPr="003410C7">
              <w:rPr>
                <w:rFonts w:eastAsia="Calibri" w:cs="Segoe UI"/>
                <w:b/>
                <w:sz w:val="24"/>
                <w:szCs w:val="24"/>
              </w:rPr>
              <w:sym w:font="Wingdings" w:char="00FC"/>
            </w:r>
          </w:p>
        </w:tc>
        <w:tc>
          <w:tcPr>
            <w:tcW w:w="1251" w:type="dxa"/>
            <w:tcBorders>
              <w:top w:val="single" w:sz="6" w:space="0" w:color="1F497D"/>
              <w:left w:val="single" w:sz="6" w:space="0" w:color="1F497D"/>
              <w:bottom w:val="single" w:sz="6" w:space="0" w:color="1F497D"/>
              <w:right w:val="single" w:sz="6" w:space="0" w:color="1F497D"/>
            </w:tcBorders>
            <w:shd w:val="clear" w:color="auto" w:fill="FFFFFF"/>
          </w:tcPr>
          <w:p w:rsidR="0033725C" w:rsidRPr="003410C7" w:rsidRDefault="0033725C" w:rsidP="00A73DBD">
            <w:pPr>
              <w:pStyle w:val="TableText"/>
              <w:rPr>
                <w:rFonts w:eastAsia="Calibri" w:cs="Segoe UI"/>
                <w:b/>
                <w:sz w:val="24"/>
                <w:szCs w:val="24"/>
              </w:rPr>
            </w:pPr>
          </w:p>
        </w:tc>
      </w:tr>
      <w:tr w:rsidR="000C172E" w:rsidRPr="003410C7" w:rsidTr="000C172E">
        <w:tc>
          <w:tcPr>
            <w:tcW w:w="2020" w:type="dxa"/>
            <w:tcBorders>
              <w:top w:val="single" w:sz="6" w:space="0" w:color="1F497D"/>
              <w:left w:val="single" w:sz="4" w:space="0" w:color="072B61"/>
              <w:bottom w:val="single" w:sz="6" w:space="0" w:color="1F497D"/>
              <w:right w:val="single" w:sz="6" w:space="0" w:color="1F497D"/>
            </w:tcBorders>
            <w:shd w:val="clear" w:color="auto" w:fill="FFFFFF"/>
          </w:tcPr>
          <w:p w:rsidR="0033725C" w:rsidRPr="00451078" w:rsidRDefault="0033725C" w:rsidP="000B5FBB">
            <w:pPr>
              <w:pStyle w:val="TableText"/>
              <w:jc w:val="left"/>
              <w:rPr>
                <w:rFonts w:ascii="Tahoma" w:eastAsia="Calibri" w:hAnsi="Tahoma" w:cs="Tahoma"/>
                <w:sz w:val="18"/>
                <w:szCs w:val="18"/>
                <w:lang w:val="it-IT"/>
              </w:rPr>
            </w:pPr>
            <w:r w:rsidRPr="00451078">
              <w:rPr>
                <w:rFonts w:ascii="Tahoma" w:eastAsia="Calibri" w:hAnsi="Tahoma" w:cs="Tahoma"/>
                <w:sz w:val="18"/>
                <w:szCs w:val="18"/>
                <w:lang w:val="it-IT"/>
              </w:rPr>
              <w:t>Eliminazione di Note utilizzando i client Microsoft Dynamics</w:t>
            </w:r>
            <w:r w:rsidR="000B5FBB" w:rsidRPr="00451078">
              <w:rPr>
                <w:rFonts w:ascii="Tahoma" w:eastAsia="Calibri" w:hAnsi="Tahoma" w:cs="Tahoma"/>
                <w:sz w:val="18"/>
                <w:szCs w:val="18"/>
                <w:lang w:val="it-IT"/>
              </w:rPr>
              <w:t> </w:t>
            </w:r>
            <w:r w:rsidRPr="00451078">
              <w:rPr>
                <w:rFonts w:ascii="Tahoma" w:eastAsia="Calibri" w:hAnsi="Tahoma" w:cs="Tahoma"/>
                <w:sz w:val="18"/>
                <w:szCs w:val="18"/>
                <w:lang w:val="it-IT"/>
              </w:rPr>
              <w:t>CRM</w:t>
            </w:r>
          </w:p>
        </w:tc>
        <w:tc>
          <w:tcPr>
            <w:tcW w:w="972" w:type="dxa"/>
            <w:tcBorders>
              <w:top w:val="single" w:sz="6" w:space="0" w:color="1F497D"/>
              <w:left w:val="single" w:sz="6" w:space="0" w:color="1F497D"/>
              <w:bottom w:val="single" w:sz="6" w:space="0" w:color="1F497D"/>
              <w:right w:val="single" w:sz="6" w:space="0" w:color="1F497D"/>
            </w:tcBorders>
            <w:shd w:val="clear" w:color="auto" w:fill="FFFFFF"/>
          </w:tcPr>
          <w:p w:rsidR="0033725C" w:rsidRPr="00451078" w:rsidRDefault="0033725C" w:rsidP="00A73DBD">
            <w:pPr>
              <w:pStyle w:val="TableText"/>
              <w:rPr>
                <w:rFonts w:eastAsia="Calibri" w:cs="Segoe UI"/>
                <w:b/>
                <w:sz w:val="24"/>
                <w:szCs w:val="24"/>
                <w:lang w:val="it-IT"/>
              </w:rPr>
            </w:pPr>
          </w:p>
        </w:tc>
        <w:tc>
          <w:tcPr>
            <w:tcW w:w="1053" w:type="dxa"/>
            <w:tcBorders>
              <w:top w:val="single" w:sz="6" w:space="0" w:color="1F497D"/>
              <w:left w:val="single" w:sz="6" w:space="0" w:color="1F497D"/>
              <w:bottom w:val="single" w:sz="6" w:space="0" w:color="1F497D"/>
              <w:right w:val="single" w:sz="6" w:space="0" w:color="1F497D"/>
            </w:tcBorders>
            <w:shd w:val="clear" w:color="auto" w:fill="FFFFFF"/>
          </w:tcPr>
          <w:p w:rsidR="0033725C" w:rsidRPr="003410C7" w:rsidRDefault="0033725C" w:rsidP="00A73DBD">
            <w:pPr>
              <w:pStyle w:val="TableText"/>
              <w:rPr>
                <w:rFonts w:ascii="Segoe" w:eastAsia="Calibri" w:hAnsi="Segoe"/>
              </w:rPr>
            </w:pPr>
            <w:r w:rsidRPr="003410C7">
              <w:rPr>
                <w:rFonts w:eastAsia="Calibri" w:cs="Segoe UI"/>
                <w:b/>
                <w:sz w:val="24"/>
                <w:szCs w:val="24"/>
              </w:rPr>
              <w:sym w:font="Wingdings" w:char="00FC"/>
            </w:r>
            <w:r w:rsidRPr="003410C7">
              <w:rPr>
                <w:rFonts w:eastAsia="Calibri" w:cs="Segoe UI"/>
                <w:b/>
                <w:sz w:val="24"/>
                <w:szCs w:val="24"/>
                <w:vertAlign w:val="superscript"/>
              </w:rPr>
              <w:t>2</w:t>
            </w:r>
          </w:p>
        </w:tc>
        <w:tc>
          <w:tcPr>
            <w:tcW w:w="1152" w:type="dxa"/>
            <w:tcBorders>
              <w:top w:val="single" w:sz="6" w:space="0" w:color="1F497D"/>
              <w:left w:val="single" w:sz="6" w:space="0" w:color="1F497D"/>
              <w:bottom w:val="single" w:sz="6" w:space="0" w:color="1F497D"/>
              <w:right w:val="single" w:sz="6" w:space="0" w:color="1F497D"/>
            </w:tcBorders>
            <w:shd w:val="clear" w:color="auto" w:fill="FFFFFF"/>
          </w:tcPr>
          <w:p w:rsidR="0033725C" w:rsidRPr="003410C7" w:rsidRDefault="0033725C" w:rsidP="00A73DBD">
            <w:pPr>
              <w:pStyle w:val="TableText"/>
              <w:rPr>
                <w:rFonts w:ascii="Segoe" w:eastAsia="Calibri" w:hAnsi="Segoe"/>
              </w:rPr>
            </w:pPr>
            <w:r w:rsidRPr="003410C7">
              <w:rPr>
                <w:rFonts w:eastAsia="Calibri" w:cs="Segoe UI"/>
                <w:b/>
                <w:sz w:val="24"/>
                <w:szCs w:val="24"/>
              </w:rPr>
              <w:sym w:font="Wingdings" w:char="00FC"/>
            </w:r>
          </w:p>
        </w:tc>
        <w:tc>
          <w:tcPr>
            <w:tcW w:w="1125" w:type="dxa"/>
            <w:tcBorders>
              <w:top w:val="single" w:sz="6" w:space="0" w:color="1F497D"/>
              <w:left w:val="single" w:sz="6" w:space="0" w:color="1F497D"/>
              <w:bottom w:val="single" w:sz="6" w:space="0" w:color="1F497D"/>
              <w:right w:val="single" w:sz="6" w:space="0" w:color="1F497D"/>
            </w:tcBorders>
            <w:shd w:val="clear" w:color="auto" w:fill="FFFFFF"/>
          </w:tcPr>
          <w:p w:rsidR="0033725C" w:rsidRPr="003410C7" w:rsidRDefault="0033725C" w:rsidP="00A73DBD">
            <w:pPr>
              <w:pStyle w:val="TableText"/>
              <w:rPr>
                <w:rFonts w:eastAsia="Calibri" w:cs="Segoe UI"/>
                <w:b/>
                <w:sz w:val="24"/>
                <w:szCs w:val="24"/>
              </w:rPr>
            </w:pPr>
            <w:r w:rsidRPr="003410C7">
              <w:rPr>
                <w:rFonts w:eastAsia="Calibri" w:cs="Segoe UI"/>
                <w:b/>
                <w:sz w:val="24"/>
                <w:szCs w:val="24"/>
              </w:rPr>
              <w:sym w:font="Wingdings" w:char="00FC"/>
            </w:r>
            <w:r w:rsidRPr="003410C7">
              <w:rPr>
                <w:rFonts w:eastAsia="Calibri" w:cs="Segoe UI"/>
                <w:b/>
                <w:sz w:val="24"/>
                <w:szCs w:val="24"/>
                <w:vertAlign w:val="superscript"/>
              </w:rPr>
              <w:t>2</w:t>
            </w:r>
          </w:p>
        </w:tc>
        <w:tc>
          <w:tcPr>
            <w:tcW w:w="1305" w:type="dxa"/>
            <w:tcBorders>
              <w:top w:val="single" w:sz="6" w:space="0" w:color="1F497D"/>
              <w:left w:val="single" w:sz="6" w:space="0" w:color="1F497D"/>
              <w:bottom w:val="single" w:sz="6" w:space="0" w:color="1F497D"/>
              <w:right w:val="single" w:sz="6" w:space="0" w:color="1F497D"/>
            </w:tcBorders>
            <w:shd w:val="clear" w:color="auto" w:fill="FFFFFF"/>
          </w:tcPr>
          <w:p w:rsidR="0033725C" w:rsidRPr="003410C7" w:rsidRDefault="0033725C" w:rsidP="00A73DBD">
            <w:pPr>
              <w:pStyle w:val="TableText"/>
              <w:rPr>
                <w:rFonts w:eastAsia="Calibri" w:cs="Segoe UI"/>
                <w:b/>
                <w:sz w:val="24"/>
                <w:szCs w:val="24"/>
              </w:rPr>
            </w:pPr>
            <w:r w:rsidRPr="003410C7">
              <w:rPr>
                <w:rFonts w:eastAsia="Calibri" w:cs="Segoe UI"/>
                <w:b/>
                <w:sz w:val="24"/>
                <w:szCs w:val="24"/>
              </w:rPr>
              <w:sym w:font="Wingdings" w:char="00FC"/>
            </w:r>
          </w:p>
        </w:tc>
        <w:tc>
          <w:tcPr>
            <w:tcW w:w="1251" w:type="dxa"/>
            <w:tcBorders>
              <w:top w:val="single" w:sz="6" w:space="0" w:color="1F497D"/>
              <w:left w:val="single" w:sz="6" w:space="0" w:color="1F497D"/>
              <w:bottom w:val="single" w:sz="6" w:space="0" w:color="1F497D"/>
              <w:right w:val="single" w:sz="6" w:space="0" w:color="1F497D"/>
            </w:tcBorders>
            <w:shd w:val="clear" w:color="auto" w:fill="FFFFFF"/>
          </w:tcPr>
          <w:p w:rsidR="0033725C" w:rsidRPr="003410C7" w:rsidRDefault="0033725C" w:rsidP="00A73DBD">
            <w:pPr>
              <w:pStyle w:val="TableText"/>
              <w:rPr>
                <w:rFonts w:eastAsia="Calibri" w:cs="Segoe UI"/>
                <w:b/>
                <w:sz w:val="24"/>
                <w:szCs w:val="24"/>
              </w:rPr>
            </w:pPr>
          </w:p>
        </w:tc>
      </w:tr>
      <w:tr w:rsidR="000C172E" w:rsidRPr="003410C7" w:rsidTr="000C172E">
        <w:tc>
          <w:tcPr>
            <w:tcW w:w="2020" w:type="dxa"/>
            <w:tcBorders>
              <w:top w:val="single" w:sz="6" w:space="0" w:color="1F497D"/>
              <w:left w:val="single" w:sz="4" w:space="0" w:color="072B61"/>
              <w:bottom w:val="single" w:sz="6" w:space="0" w:color="1F497D"/>
              <w:right w:val="single" w:sz="6" w:space="0" w:color="1F497D"/>
            </w:tcBorders>
            <w:shd w:val="clear" w:color="auto" w:fill="FFFFFF"/>
          </w:tcPr>
          <w:p w:rsidR="0033725C" w:rsidRPr="00451078" w:rsidRDefault="0033725C" w:rsidP="000B5FBB">
            <w:pPr>
              <w:pStyle w:val="TableText"/>
              <w:jc w:val="left"/>
              <w:rPr>
                <w:rFonts w:ascii="Tahoma" w:eastAsia="Calibri" w:hAnsi="Tahoma" w:cs="Tahoma"/>
                <w:sz w:val="18"/>
                <w:szCs w:val="18"/>
                <w:lang w:val="it-IT"/>
              </w:rPr>
            </w:pPr>
            <w:r w:rsidRPr="00451078">
              <w:rPr>
                <w:rFonts w:ascii="Tahoma" w:eastAsia="Calibri" w:hAnsi="Tahoma" w:cs="Tahoma"/>
                <w:sz w:val="18"/>
                <w:szCs w:val="18"/>
                <w:lang w:val="it-IT"/>
              </w:rPr>
              <w:t>Assegnazione di Account utilizzando i</w:t>
            </w:r>
            <w:r w:rsidR="000B5FBB" w:rsidRPr="00451078">
              <w:rPr>
                <w:rFonts w:ascii="Tahoma" w:eastAsia="Calibri" w:hAnsi="Tahoma" w:cs="Tahoma"/>
                <w:sz w:val="18"/>
                <w:szCs w:val="18"/>
                <w:lang w:val="it-IT"/>
              </w:rPr>
              <w:t> </w:t>
            </w:r>
            <w:r w:rsidRPr="00451078">
              <w:rPr>
                <w:rFonts w:ascii="Tahoma" w:eastAsia="Calibri" w:hAnsi="Tahoma" w:cs="Tahoma"/>
                <w:sz w:val="18"/>
                <w:szCs w:val="18"/>
                <w:lang w:val="it-IT"/>
              </w:rPr>
              <w:t>client Microsoft Dynamics CRM</w:t>
            </w:r>
          </w:p>
        </w:tc>
        <w:tc>
          <w:tcPr>
            <w:tcW w:w="972" w:type="dxa"/>
            <w:tcBorders>
              <w:top w:val="single" w:sz="6" w:space="0" w:color="1F497D"/>
              <w:left w:val="single" w:sz="6" w:space="0" w:color="1F497D"/>
              <w:bottom w:val="single" w:sz="6" w:space="0" w:color="1F497D"/>
              <w:right w:val="single" w:sz="6" w:space="0" w:color="1F497D"/>
            </w:tcBorders>
            <w:shd w:val="clear" w:color="auto" w:fill="FFFFFF"/>
          </w:tcPr>
          <w:p w:rsidR="0033725C" w:rsidRPr="00451078" w:rsidRDefault="0033725C" w:rsidP="00A73DBD">
            <w:pPr>
              <w:pStyle w:val="TableText"/>
              <w:rPr>
                <w:rFonts w:eastAsia="Calibri" w:cs="Segoe UI"/>
                <w:b/>
                <w:sz w:val="24"/>
                <w:szCs w:val="24"/>
                <w:lang w:val="it-IT"/>
              </w:rPr>
            </w:pPr>
          </w:p>
        </w:tc>
        <w:tc>
          <w:tcPr>
            <w:tcW w:w="1053" w:type="dxa"/>
            <w:tcBorders>
              <w:top w:val="single" w:sz="6" w:space="0" w:color="1F497D"/>
              <w:left w:val="single" w:sz="6" w:space="0" w:color="1F497D"/>
              <w:bottom w:val="single" w:sz="6" w:space="0" w:color="1F497D"/>
              <w:right w:val="single" w:sz="6" w:space="0" w:color="1F497D"/>
            </w:tcBorders>
            <w:shd w:val="clear" w:color="auto" w:fill="FFFFFF"/>
          </w:tcPr>
          <w:p w:rsidR="0033725C" w:rsidRPr="003410C7" w:rsidRDefault="0033725C" w:rsidP="00A73DBD">
            <w:pPr>
              <w:pStyle w:val="TableText"/>
              <w:rPr>
                <w:rFonts w:ascii="Segoe" w:eastAsia="Calibri" w:hAnsi="Segoe"/>
              </w:rPr>
            </w:pPr>
            <w:r w:rsidRPr="003410C7">
              <w:rPr>
                <w:rFonts w:eastAsia="Calibri" w:cs="Segoe UI"/>
                <w:b/>
                <w:sz w:val="24"/>
                <w:szCs w:val="24"/>
              </w:rPr>
              <w:sym w:font="Wingdings" w:char="00FC"/>
            </w:r>
            <w:r w:rsidRPr="003410C7">
              <w:rPr>
                <w:rFonts w:eastAsia="Calibri" w:cs="Segoe UI"/>
                <w:b/>
                <w:sz w:val="24"/>
                <w:szCs w:val="24"/>
                <w:vertAlign w:val="superscript"/>
              </w:rPr>
              <w:t>2</w:t>
            </w:r>
          </w:p>
        </w:tc>
        <w:tc>
          <w:tcPr>
            <w:tcW w:w="1152" w:type="dxa"/>
            <w:tcBorders>
              <w:top w:val="single" w:sz="6" w:space="0" w:color="1F497D"/>
              <w:left w:val="single" w:sz="6" w:space="0" w:color="1F497D"/>
              <w:bottom w:val="single" w:sz="6" w:space="0" w:color="1F497D"/>
              <w:right w:val="single" w:sz="6" w:space="0" w:color="1F497D"/>
            </w:tcBorders>
            <w:shd w:val="clear" w:color="auto" w:fill="FFFFFF"/>
          </w:tcPr>
          <w:p w:rsidR="0033725C" w:rsidRPr="003410C7" w:rsidRDefault="0033725C" w:rsidP="00A73DBD">
            <w:pPr>
              <w:pStyle w:val="TableText"/>
              <w:rPr>
                <w:rFonts w:ascii="Segoe" w:eastAsia="Calibri" w:hAnsi="Segoe"/>
              </w:rPr>
            </w:pPr>
            <w:r w:rsidRPr="003410C7">
              <w:rPr>
                <w:rFonts w:eastAsia="Calibri" w:cs="Segoe UI"/>
                <w:b/>
                <w:sz w:val="24"/>
                <w:szCs w:val="24"/>
              </w:rPr>
              <w:sym w:font="Wingdings" w:char="00FC"/>
            </w:r>
          </w:p>
        </w:tc>
        <w:tc>
          <w:tcPr>
            <w:tcW w:w="1125" w:type="dxa"/>
            <w:tcBorders>
              <w:top w:val="single" w:sz="6" w:space="0" w:color="1F497D"/>
              <w:left w:val="single" w:sz="6" w:space="0" w:color="1F497D"/>
              <w:bottom w:val="single" w:sz="6" w:space="0" w:color="1F497D"/>
              <w:right w:val="single" w:sz="6" w:space="0" w:color="1F497D"/>
            </w:tcBorders>
            <w:shd w:val="clear" w:color="auto" w:fill="FFFFFF"/>
          </w:tcPr>
          <w:p w:rsidR="0033725C" w:rsidRPr="003410C7" w:rsidRDefault="0033725C" w:rsidP="00A73DBD">
            <w:pPr>
              <w:pStyle w:val="TableText"/>
              <w:rPr>
                <w:rFonts w:eastAsia="Calibri" w:cs="Segoe UI"/>
                <w:b/>
                <w:sz w:val="24"/>
                <w:szCs w:val="24"/>
              </w:rPr>
            </w:pPr>
            <w:r w:rsidRPr="003410C7">
              <w:rPr>
                <w:rFonts w:eastAsia="Calibri" w:cs="Segoe UI"/>
                <w:b/>
                <w:sz w:val="24"/>
                <w:szCs w:val="24"/>
              </w:rPr>
              <w:sym w:font="Wingdings" w:char="00FC"/>
            </w:r>
            <w:r w:rsidRPr="003410C7">
              <w:rPr>
                <w:rFonts w:eastAsia="Calibri" w:cs="Segoe UI"/>
                <w:b/>
                <w:sz w:val="24"/>
                <w:szCs w:val="24"/>
                <w:vertAlign w:val="superscript"/>
              </w:rPr>
              <w:t>2</w:t>
            </w:r>
          </w:p>
        </w:tc>
        <w:tc>
          <w:tcPr>
            <w:tcW w:w="1305" w:type="dxa"/>
            <w:tcBorders>
              <w:top w:val="single" w:sz="6" w:space="0" w:color="1F497D"/>
              <w:left w:val="single" w:sz="6" w:space="0" w:color="1F497D"/>
              <w:bottom w:val="single" w:sz="6" w:space="0" w:color="1F497D"/>
              <w:right w:val="single" w:sz="6" w:space="0" w:color="1F497D"/>
            </w:tcBorders>
            <w:shd w:val="clear" w:color="auto" w:fill="FFFFFF"/>
          </w:tcPr>
          <w:p w:rsidR="0033725C" w:rsidRPr="003410C7" w:rsidRDefault="0033725C" w:rsidP="00A73DBD">
            <w:pPr>
              <w:pStyle w:val="TableText"/>
              <w:rPr>
                <w:rFonts w:eastAsia="Calibri" w:cs="Segoe UI"/>
                <w:b/>
                <w:sz w:val="24"/>
                <w:szCs w:val="24"/>
              </w:rPr>
            </w:pPr>
            <w:r w:rsidRPr="003410C7">
              <w:rPr>
                <w:rFonts w:eastAsia="Calibri" w:cs="Segoe UI"/>
                <w:b/>
                <w:sz w:val="24"/>
                <w:szCs w:val="24"/>
              </w:rPr>
              <w:sym w:font="Wingdings" w:char="00FC"/>
            </w:r>
          </w:p>
        </w:tc>
        <w:tc>
          <w:tcPr>
            <w:tcW w:w="1251" w:type="dxa"/>
            <w:tcBorders>
              <w:top w:val="single" w:sz="6" w:space="0" w:color="1F497D"/>
              <w:left w:val="single" w:sz="6" w:space="0" w:color="1F497D"/>
              <w:bottom w:val="single" w:sz="6" w:space="0" w:color="1F497D"/>
              <w:right w:val="single" w:sz="6" w:space="0" w:color="1F497D"/>
            </w:tcBorders>
            <w:shd w:val="clear" w:color="auto" w:fill="FFFFFF"/>
          </w:tcPr>
          <w:p w:rsidR="0033725C" w:rsidRPr="003410C7" w:rsidRDefault="0033725C" w:rsidP="00A73DBD">
            <w:pPr>
              <w:pStyle w:val="TableText"/>
              <w:rPr>
                <w:rFonts w:eastAsia="Calibri" w:cs="Segoe UI"/>
                <w:b/>
                <w:sz w:val="24"/>
                <w:szCs w:val="24"/>
              </w:rPr>
            </w:pPr>
          </w:p>
        </w:tc>
      </w:tr>
      <w:tr w:rsidR="000C172E" w:rsidRPr="003410C7" w:rsidTr="000C172E">
        <w:tc>
          <w:tcPr>
            <w:tcW w:w="2020" w:type="dxa"/>
            <w:tcBorders>
              <w:top w:val="single" w:sz="6" w:space="0" w:color="1F497D"/>
              <w:left w:val="single" w:sz="4" w:space="0" w:color="072B61"/>
              <w:bottom w:val="single" w:sz="6" w:space="0" w:color="1F497D"/>
              <w:right w:val="single" w:sz="6" w:space="0" w:color="1F497D"/>
            </w:tcBorders>
            <w:shd w:val="clear" w:color="auto" w:fill="FFFFFF"/>
          </w:tcPr>
          <w:p w:rsidR="0033725C" w:rsidRPr="00451078" w:rsidRDefault="0033725C" w:rsidP="000B5FBB">
            <w:pPr>
              <w:pStyle w:val="TableText"/>
              <w:jc w:val="left"/>
              <w:rPr>
                <w:rFonts w:ascii="Tahoma" w:eastAsia="Calibri" w:hAnsi="Tahoma" w:cs="Tahoma"/>
                <w:sz w:val="18"/>
                <w:szCs w:val="18"/>
                <w:lang w:val="it-IT"/>
              </w:rPr>
            </w:pPr>
            <w:r w:rsidRPr="00451078">
              <w:rPr>
                <w:rFonts w:ascii="Tahoma" w:eastAsia="Calibri" w:hAnsi="Tahoma" w:cs="Tahoma"/>
                <w:sz w:val="18"/>
                <w:szCs w:val="18"/>
                <w:lang w:val="it-IT"/>
              </w:rPr>
              <w:t>Assegnazione di Contatti utilizzando i</w:t>
            </w:r>
            <w:r w:rsidR="000B5FBB" w:rsidRPr="00451078">
              <w:rPr>
                <w:rFonts w:ascii="Tahoma" w:eastAsia="Calibri" w:hAnsi="Tahoma" w:cs="Tahoma"/>
                <w:sz w:val="18"/>
                <w:szCs w:val="18"/>
                <w:lang w:val="it-IT"/>
              </w:rPr>
              <w:t> </w:t>
            </w:r>
            <w:r w:rsidRPr="00451078">
              <w:rPr>
                <w:rFonts w:ascii="Tahoma" w:eastAsia="Calibri" w:hAnsi="Tahoma" w:cs="Tahoma"/>
                <w:sz w:val="18"/>
                <w:szCs w:val="18"/>
                <w:lang w:val="it-IT"/>
              </w:rPr>
              <w:t>client Microsoft Dynamics CRM</w:t>
            </w:r>
          </w:p>
        </w:tc>
        <w:tc>
          <w:tcPr>
            <w:tcW w:w="972" w:type="dxa"/>
            <w:tcBorders>
              <w:top w:val="single" w:sz="6" w:space="0" w:color="1F497D"/>
              <w:left w:val="single" w:sz="6" w:space="0" w:color="1F497D"/>
              <w:bottom w:val="single" w:sz="6" w:space="0" w:color="1F497D"/>
              <w:right w:val="single" w:sz="6" w:space="0" w:color="1F497D"/>
            </w:tcBorders>
            <w:shd w:val="clear" w:color="auto" w:fill="FFFFFF"/>
          </w:tcPr>
          <w:p w:rsidR="0033725C" w:rsidRPr="00451078" w:rsidRDefault="0033725C" w:rsidP="00A73DBD">
            <w:pPr>
              <w:pStyle w:val="TableText"/>
              <w:rPr>
                <w:rFonts w:eastAsia="Calibri" w:cs="Segoe UI"/>
                <w:b/>
                <w:sz w:val="24"/>
                <w:szCs w:val="24"/>
                <w:lang w:val="it-IT"/>
              </w:rPr>
            </w:pPr>
          </w:p>
        </w:tc>
        <w:tc>
          <w:tcPr>
            <w:tcW w:w="1053" w:type="dxa"/>
            <w:tcBorders>
              <w:top w:val="single" w:sz="6" w:space="0" w:color="1F497D"/>
              <w:left w:val="single" w:sz="6" w:space="0" w:color="1F497D"/>
              <w:bottom w:val="single" w:sz="6" w:space="0" w:color="1F497D"/>
              <w:right w:val="single" w:sz="6" w:space="0" w:color="1F497D"/>
            </w:tcBorders>
            <w:shd w:val="clear" w:color="auto" w:fill="FFFFFF"/>
          </w:tcPr>
          <w:p w:rsidR="0033725C" w:rsidRPr="003410C7" w:rsidRDefault="0033725C" w:rsidP="00A73DBD">
            <w:pPr>
              <w:pStyle w:val="TableText"/>
              <w:rPr>
                <w:rFonts w:ascii="Segoe" w:eastAsia="Calibri" w:hAnsi="Segoe"/>
              </w:rPr>
            </w:pPr>
            <w:r w:rsidRPr="003410C7">
              <w:rPr>
                <w:rFonts w:eastAsia="Calibri" w:cs="Segoe UI"/>
                <w:b/>
                <w:sz w:val="24"/>
                <w:szCs w:val="24"/>
              </w:rPr>
              <w:sym w:font="Wingdings" w:char="00FC"/>
            </w:r>
            <w:r w:rsidRPr="003410C7">
              <w:rPr>
                <w:rFonts w:eastAsia="Calibri" w:cs="Segoe UI"/>
                <w:b/>
                <w:sz w:val="24"/>
                <w:szCs w:val="24"/>
                <w:vertAlign w:val="superscript"/>
              </w:rPr>
              <w:t>2</w:t>
            </w:r>
          </w:p>
        </w:tc>
        <w:tc>
          <w:tcPr>
            <w:tcW w:w="1152" w:type="dxa"/>
            <w:tcBorders>
              <w:top w:val="single" w:sz="6" w:space="0" w:color="1F497D"/>
              <w:left w:val="single" w:sz="6" w:space="0" w:color="1F497D"/>
              <w:bottom w:val="single" w:sz="6" w:space="0" w:color="1F497D"/>
              <w:right w:val="single" w:sz="6" w:space="0" w:color="1F497D"/>
            </w:tcBorders>
            <w:shd w:val="clear" w:color="auto" w:fill="FFFFFF"/>
          </w:tcPr>
          <w:p w:rsidR="0033725C" w:rsidRPr="003410C7" w:rsidRDefault="0033725C" w:rsidP="00A73DBD">
            <w:pPr>
              <w:pStyle w:val="TableText"/>
              <w:rPr>
                <w:rFonts w:ascii="Segoe" w:eastAsia="Calibri" w:hAnsi="Segoe"/>
              </w:rPr>
            </w:pPr>
            <w:r w:rsidRPr="003410C7">
              <w:rPr>
                <w:rFonts w:eastAsia="Calibri" w:cs="Segoe UI"/>
                <w:b/>
                <w:sz w:val="24"/>
                <w:szCs w:val="24"/>
              </w:rPr>
              <w:sym w:font="Wingdings" w:char="00FC"/>
            </w:r>
          </w:p>
        </w:tc>
        <w:tc>
          <w:tcPr>
            <w:tcW w:w="1125" w:type="dxa"/>
            <w:tcBorders>
              <w:top w:val="single" w:sz="6" w:space="0" w:color="1F497D"/>
              <w:left w:val="single" w:sz="6" w:space="0" w:color="1F497D"/>
              <w:bottom w:val="single" w:sz="6" w:space="0" w:color="1F497D"/>
              <w:right w:val="single" w:sz="6" w:space="0" w:color="1F497D"/>
            </w:tcBorders>
            <w:shd w:val="clear" w:color="auto" w:fill="FFFFFF"/>
          </w:tcPr>
          <w:p w:rsidR="0033725C" w:rsidRPr="003410C7" w:rsidRDefault="0033725C" w:rsidP="00A73DBD">
            <w:pPr>
              <w:pStyle w:val="TableText"/>
              <w:rPr>
                <w:rFonts w:eastAsia="Calibri" w:cs="Segoe UI"/>
                <w:b/>
                <w:sz w:val="24"/>
                <w:szCs w:val="24"/>
              </w:rPr>
            </w:pPr>
            <w:r w:rsidRPr="003410C7">
              <w:rPr>
                <w:rFonts w:eastAsia="Calibri" w:cs="Segoe UI"/>
                <w:b/>
                <w:sz w:val="24"/>
                <w:szCs w:val="24"/>
              </w:rPr>
              <w:sym w:font="Wingdings" w:char="00FC"/>
            </w:r>
            <w:r w:rsidRPr="003410C7">
              <w:rPr>
                <w:rFonts w:eastAsia="Calibri" w:cs="Segoe UI"/>
                <w:b/>
                <w:sz w:val="24"/>
                <w:szCs w:val="24"/>
                <w:vertAlign w:val="superscript"/>
              </w:rPr>
              <w:t>2</w:t>
            </w:r>
          </w:p>
        </w:tc>
        <w:tc>
          <w:tcPr>
            <w:tcW w:w="1305" w:type="dxa"/>
            <w:tcBorders>
              <w:top w:val="single" w:sz="6" w:space="0" w:color="1F497D"/>
              <w:left w:val="single" w:sz="6" w:space="0" w:color="1F497D"/>
              <w:bottom w:val="single" w:sz="6" w:space="0" w:color="1F497D"/>
              <w:right w:val="single" w:sz="6" w:space="0" w:color="1F497D"/>
            </w:tcBorders>
            <w:shd w:val="clear" w:color="auto" w:fill="FFFFFF"/>
          </w:tcPr>
          <w:p w:rsidR="0033725C" w:rsidRPr="003410C7" w:rsidRDefault="0033725C" w:rsidP="00A73DBD">
            <w:pPr>
              <w:pStyle w:val="TableText"/>
              <w:rPr>
                <w:rFonts w:eastAsia="Calibri" w:cs="Segoe UI"/>
                <w:b/>
                <w:sz w:val="24"/>
                <w:szCs w:val="24"/>
              </w:rPr>
            </w:pPr>
            <w:r w:rsidRPr="003410C7">
              <w:rPr>
                <w:rFonts w:eastAsia="Calibri" w:cs="Segoe UI"/>
                <w:b/>
                <w:sz w:val="24"/>
                <w:szCs w:val="24"/>
              </w:rPr>
              <w:sym w:font="Wingdings" w:char="00FC"/>
            </w:r>
          </w:p>
        </w:tc>
        <w:tc>
          <w:tcPr>
            <w:tcW w:w="1251" w:type="dxa"/>
            <w:tcBorders>
              <w:top w:val="single" w:sz="6" w:space="0" w:color="1F497D"/>
              <w:left w:val="single" w:sz="6" w:space="0" w:color="1F497D"/>
              <w:bottom w:val="single" w:sz="6" w:space="0" w:color="1F497D"/>
              <w:right w:val="single" w:sz="6" w:space="0" w:color="1F497D"/>
            </w:tcBorders>
            <w:shd w:val="clear" w:color="auto" w:fill="FFFFFF"/>
          </w:tcPr>
          <w:p w:rsidR="0033725C" w:rsidRPr="003410C7" w:rsidRDefault="0033725C" w:rsidP="00A73DBD">
            <w:pPr>
              <w:pStyle w:val="TableText"/>
              <w:rPr>
                <w:rFonts w:eastAsia="Calibri" w:cs="Segoe UI"/>
                <w:b/>
                <w:sz w:val="24"/>
                <w:szCs w:val="24"/>
              </w:rPr>
            </w:pPr>
          </w:p>
        </w:tc>
      </w:tr>
      <w:tr w:rsidR="000C172E" w:rsidRPr="003410C7" w:rsidTr="000C172E">
        <w:tc>
          <w:tcPr>
            <w:tcW w:w="2020" w:type="dxa"/>
            <w:tcBorders>
              <w:top w:val="single" w:sz="6" w:space="0" w:color="1F497D"/>
              <w:left w:val="single" w:sz="4" w:space="0" w:color="072B61"/>
              <w:bottom w:val="single" w:sz="6" w:space="0" w:color="1F497D"/>
              <w:right w:val="single" w:sz="6" w:space="0" w:color="1F497D"/>
            </w:tcBorders>
            <w:shd w:val="clear" w:color="auto" w:fill="FFFFFF"/>
          </w:tcPr>
          <w:p w:rsidR="0033725C" w:rsidRPr="00451078" w:rsidRDefault="0033725C" w:rsidP="000B5FBB">
            <w:pPr>
              <w:pStyle w:val="TableText"/>
              <w:jc w:val="left"/>
              <w:rPr>
                <w:rFonts w:ascii="Tahoma" w:eastAsia="Calibri" w:hAnsi="Tahoma" w:cs="Tahoma"/>
                <w:sz w:val="18"/>
                <w:szCs w:val="18"/>
                <w:lang w:val="it-IT"/>
              </w:rPr>
            </w:pPr>
            <w:r w:rsidRPr="00451078">
              <w:rPr>
                <w:rFonts w:ascii="Tahoma" w:eastAsia="Calibri" w:hAnsi="Tahoma" w:cs="Tahoma"/>
                <w:sz w:val="18"/>
                <w:szCs w:val="18"/>
                <w:lang w:val="it-IT"/>
              </w:rPr>
              <w:t>Assegnazione di Casi utilizzando i client Microsoft Dynamics</w:t>
            </w:r>
            <w:r w:rsidR="000B5FBB" w:rsidRPr="00451078">
              <w:rPr>
                <w:rFonts w:ascii="Tahoma" w:eastAsia="Calibri" w:hAnsi="Tahoma" w:cs="Tahoma"/>
                <w:sz w:val="18"/>
                <w:szCs w:val="18"/>
                <w:lang w:val="it-IT"/>
              </w:rPr>
              <w:t> </w:t>
            </w:r>
            <w:r w:rsidRPr="00451078">
              <w:rPr>
                <w:rFonts w:ascii="Tahoma" w:eastAsia="Calibri" w:hAnsi="Tahoma" w:cs="Tahoma"/>
                <w:sz w:val="18"/>
                <w:szCs w:val="18"/>
                <w:lang w:val="it-IT"/>
              </w:rPr>
              <w:t>CRM</w:t>
            </w:r>
          </w:p>
        </w:tc>
        <w:tc>
          <w:tcPr>
            <w:tcW w:w="972" w:type="dxa"/>
            <w:tcBorders>
              <w:top w:val="single" w:sz="6" w:space="0" w:color="1F497D"/>
              <w:left w:val="single" w:sz="6" w:space="0" w:color="1F497D"/>
              <w:bottom w:val="single" w:sz="6" w:space="0" w:color="1F497D"/>
              <w:right w:val="single" w:sz="6" w:space="0" w:color="1F497D"/>
            </w:tcBorders>
            <w:shd w:val="clear" w:color="auto" w:fill="FFFFFF"/>
          </w:tcPr>
          <w:p w:rsidR="0033725C" w:rsidRPr="00451078" w:rsidRDefault="0033725C" w:rsidP="00A73DBD">
            <w:pPr>
              <w:pStyle w:val="TableText"/>
              <w:rPr>
                <w:rFonts w:eastAsia="Calibri" w:cs="Segoe UI"/>
                <w:b/>
                <w:sz w:val="24"/>
                <w:szCs w:val="24"/>
                <w:lang w:val="it-IT"/>
              </w:rPr>
            </w:pPr>
          </w:p>
        </w:tc>
        <w:tc>
          <w:tcPr>
            <w:tcW w:w="1053" w:type="dxa"/>
            <w:tcBorders>
              <w:top w:val="single" w:sz="6" w:space="0" w:color="1F497D"/>
              <w:left w:val="single" w:sz="6" w:space="0" w:color="1F497D"/>
              <w:bottom w:val="single" w:sz="6" w:space="0" w:color="1F497D"/>
              <w:right w:val="single" w:sz="6" w:space="0" w:color="1F497D"/>
            </w:tcBorders>
            <w:shd w:val="clear" w:color="auto" w:fill="FFFFFF"/>
          </w:tcPr>
          <w:p w:rsidR="0033725C" w:rsidRPr="003410C7" w:rsidRDefault="0033725C" w:rsidP="00A73DBD">
            <w:pPr>
              <w:pStyle w:val="TableText"/>
              <w:rPr>
                <w:rFonts w:ascii="Segoe" w:eastAsia="Calibri" w:hAnsi="Segoe"/>
              </w:rPr>
            </w:pPr>
            <w:r w:rsidRPr="003410C7">
              <w:rPr>
                <w:rFonts w:eastAsia="Calibri" w:cs="Segoe UI"/>
                <w:b/>
                <w:sz w:val="24"/>
                <w:szCs w:val="24"/>
              </w:rPr>
              <w:sym w:font="Wingdings" w:char="00FC"/>
            </w:r>
            <w:r w:rsidRPr="003410C7">
              <w:rPr>
                <w:rFonts w:eastAsia="Calibri" w:cs="Segoe UI"/>
                <w:b/>
                <w:sz w:val="24"/>
                <w:szCs w:val="24"/>
                <w:vertAlign w:val="superscript"/>
              </w:rPr>
              <w:t>2</w:t>
            </w:r>
          </w:p>
        </w:tc>
        <w:tc>
          <w:tcPr>
            <w:tcW w:w="1152" w:type="dxa"/>
            <w:tcBorders>
              <w:top w:val="single" w:sz="6" w:space="0" w:color="1F497D"/>
              <w:left w:val="single" w:sz="6" w:space="0" w:color="1F497D"/>
              <w:bottom w:val="single" w:sz="6" w:space="0" w:color="1F497D"/>
              <w:right w:val="single" w:sz="6" w:space="0" w:color="1F497D"/>
            </w:tcBorders>
            <w:shd w:val="clear" w:color="auto" w:fill="FFFFFF"/>
          </w:tcPr>
          <w:p w:rsidR="0033725C" w:rsidRPr="003410C7" w:rsidRDefault="0033725C" w:rsidP="00A73DBD">
            <w:pPr>
              <w:pStyle w:val="TableText"/>
              <w:rPr>
                <w:rFonts w:ascii="Segoe" w:eastAsia="Calibri" w:hAnsi="Segoe"/>
              </w:rPr>
            </w:pPr>
            <w:r w:rsidRPr="003410C7">
              <w:rPr>
                <w:rFonts w:eastAsia="Calibri" w:cs="Segoe UI"/>
                <w:b/>
                <w:sz w:val="24"/>
                <w:szCs w:val="24"/>
              </w:rPr>
              <w:sym w:font="Wingdings" w:char="00FC"/>
            </w:r>
          </w:p>
        </w:tc>
        <w:tc>
          <w:tcPr>
            <w:tcW w:w="1125" w:type="dxa"/>
            <w:tcBorders>
              <w:top w:val="single" w:sz="6" w:space="0" w:color="1F497D"/>
              <w:left w:val="single" w:sz="6" w:space="0" w:color="1F497D"/>
              <w:bottom w:val="single" w:sz="6" w:space="0" w:color="1F497D"/>
              <w:right w:val="single" w:sz="6" w:space="0" w:color="1F497D"/>
            </w:tcBorders>
            <w:shd w:val="clear" w:color="auto" w:fill="FFFFFF"/>
          </w:tcPr>
          <w:p w:rsidR="0033725C" w:rsidRPr="003410C7" w:rsidRDefault="0033725C" w:rsidP="00A73DBD">
            <w:pPr>
              <w:pStyle w:val="TableText"/>
              <w:rPr>
                <w:rFonts w:eastAsia="Calibri" w:cs="Segoe UI"/>
                <w:b/>
                <w:sz w:val="24"/>
                <w:szCs w:val="24"/>
              </w:rPr>
            </w:pPr>
            <w:r w:rsidRPr="003410C7">
              <w:rPr>
                <w:rFonts w:eastAsia="Calibri" w:cs="Segoe UI"/>
                <w:b/>
                <w:sz w:val="24"/>
                <w:szCs w:val="24"/>
              </w:rPr>
              <w:sym w:font="Wingdings" w:char="00FC"/>
            </w:r>
            <w:r w:rsidRPr="003410C7">
              <w:rPr>
                <w:rFonts w:eastAsia="Calibri" w:cs="Segoe UI"/>
                <w:b/>
                <w:sz w:val="24"/>
                <w:szCs w:val="24"/>
                <w:vertAlign w:val="superscript"/>
              </w:rPr>
              <w:t>2</w:t>
            </w:r>
          </w:p>
        </w:tc>
        <w:tc>
          <w:tcPr>
            <w:tcW w:w="1305" w:type="dxa"/>
            <w:tcBorders>
              <w:top w:val="single" w:sz="6" w:space="0" w:color="1F497D"/>
              <w:left w:val="single" w:sz="6" w:space="0" w:color="1F497D"/>
              <w:bottom w:val="single" w:sz="6" w:space="0" w:color="1F497D"/>
              <w:right w:val="single" w:sz="6" w:space="0" w:color="1F497D"/>
            </w:tcBorders>
            <w:shd w:val="clear" w:color="auto" w:fill="FFFFFF"/>
          </w:tcPr>
          <w:p w:rsidR="0033725C" w:rsidRPr="003410C7" w:rsidRDefault="0033725C" w:rsidP="00A73DBD">
            <w:pPr>
              <w:pStyle w:val="TableText"/>
              <w:rPr>
                <w:rFonts w:eastAsia="Calibri" w:cs="Segoe UI"/>
                <w:b/>
                <w:sz w:val="24"/>
                <w:szCs w:val="24"/>
              </w:rPr>
            </w:pPr>
            <w:r w:rsidRPr="003410C7">
              <w:rPr>
                <w:rFonts w:eastAsia="Calibri" w:cs="Segoe UI"/>
                <w:b/>
                <w:sz w:val="24"/>
                <w:szCs w:val="24"/>
              </w:rPr>
              <w:sym w:font="Wingdings" w:char="00FC"/>
            </w:r>
          </w:p>
        </w:tc>
        <w:tc>
          <w:tcPr>
            <w:tcW w:w="1251" w:type="dxa"/>
            <w:tcBorders>
              <w:top w:val="single" w:sz="6" w:space="0" w:color="1F497D"/>
              <w:left w:val="single" w:sz="6" w:space="0" w:color="1F497D"/>
              <w:bottom w:val="single" w:sz="6" w:space="0" w:color="1F497D"/>
              <w:right w:val="single" w:sz="6" w:space="0" w:color="1F497D"/>
            </w:tcBorders>
            <w:shd w:val="clear" w:color="auto" w:fill="FFFFFF"/>
          </w:tcPr>
          <w:p w:rsidR="0033725C" w:rsidRPr="003410C7" w:rsidRDefault="0033725C" w:rsidP="00A73DBD">
            <w:pPr>
              <w:pStyle w:val="TableText"/>
              <w:rPr>
                <w:rFonts w:eastAsia="Calibri" w:cs="Segoe UI"/>
                <w:b/>
                <w:sz w:val="24"/>
                <w:szCs w:val="24"/>
              </w:rPr>
            </w:pPr>
          </w:p>
        </w:tc>
      </w:tr>
      <w:tr w:rsidR="000C172E" w:rsidRPr="003410C7" w:rsidTr="000C172E">
        <w:tc>
          <w:tcPr>
            <w:tcW w:w="2020" w:type="dxa"/>
            <w:tcBorders>
              <w:top w:val="single" w:sz="6" w:space="0" w:color="1F497D"/>
              <w:left w:val="single" w:sz="4" w:space="0" w:color="072B61"/>
              <w:bottom w:val="single" w:sz="6" w:space="0" w:color="1F497D"/>
              <w:right w:val="single" w:sz="6" w:space="0" w:color="1F497D"/>
            </w:tcBorders>
            <w:shd w:val="clear" w:color="auto" w:fill="FFFFFF"/>
          </w:tcPr>
          <w:p w:rsidR="0033725C" w:rsidRPr="00451078" w:rsidRDefault="0033725C" w:rsidP="000B5FBB">
            <w:pPr>
              <w:pStyle w:val="TableText"/>
              <w:jc w:val="left"/>
              <w:rPr>
                <w:rFonts w:ascii="Tahoma" w:eastAsia="Calibri" w:hAnsi="Tahoma" w:cs="Tahoma"/>
                <w:sz w:val="18"/>
                <w:szCs w:val="18"/>
                <w:lang w:val="it-IT"/>
              </w:rPr>
            </w:pPr>
            <w:r w:rsidRPr="00451078">
              <w:rPr>
                <w:rFonts w:ascii="Tahoma" w:eastAsia="Calibri" w:hAnsi="Tahoma" w:cs="Tahoma"/>
                <w:sz w:val="18"/>
                <w:szCs w:val="18"/>
                <w:lang w:val="it-IT"/>
              </w:rPr>
              <w:t>Assegnazione di Lead utilizzando i client Microsoft Dynamics</w:t>
            </w:r>
            <w:r w:rsidR="000B5FBB" w:rsidRPr="00451078">
              <w:rPr>
                <w:rFonts w:ascii="Tahoma" w:eastAsia="Calibri" w:hAnsi="Tahoma" w:cs="Tahoma"/>
                <w:sz w:val="18"/>
                <w:szCs w:val="18"/>
                <w:lang w:val="it-IT"/>
              </w:rPr>
              <w:t> </w:t>
            </w:r>
            <w:r w:rsidRPr="00451078">
              <w:rPr>
                <w:rFonts w:ascii="Tahoma" w:eastAsia="Calibri" w:hAnsi="Tahoma" w:cs="Tahoma"/>
                <w:sz w:val="18"/>
                <w:szCs w:val="18"/>
                <w:lang w:val="it-IT"/>
              </w:rPr>
              <w:t>CRM</w:t>
            </w:r>
          </w:p>
        </w:tc>
        <w:tc>
          <w:tcPr>
            <w:tcW w:w="972" w:type="dxa"/>
            <w:tcBorders>
              <w:top w:val="single" w:sz="6" w:space="0" w:color="1F497D"/>
              <w:left w:val="single" w:sz="6" w:space="0" w:color="1F497D"/>
              <w:bottom w:val="single" w:sz="6" w:space="0" w:color="1F497D"/>
              <w:right w:val="single" w:sz="6" w:space="0" w:color="1F497D"/>
            </w:tcBorders>
            <w:shd w:val="clear" w:color="auto" w:fill="FFFFFF"/>
          </w:tcPr>
          <w:p w:rsidR="0033725C" w:rsidRPr="00451078" w:rsidRDefault="0033725C" w:rsidP="00A73DBD">
            <w:pPr>
              <w:pStyle w:val="TableText"/>
              <w:rPr>
                <w:rFonts w:eastAsia="Calibri" w:cs="Segoe UI"/>
                <w:b/>
                <w:sz w:val="24"/>
                <w:szCs w:val="24"/>
                <w:lang w:val="it-IT"/>
              </w:rPr>
            </w:pPr>
          </w:p>
        </w:tc>
        <w:tc>
          <w:tcPr>
            <w:tcW w:w="1053" w:type="dxa"/>
            <w:tcBorders>
              <w:top w:val="single" w:sz="6" w:space="0" w:color="1F497D"/>
              <w:left w:val="single" w:sz="6" w:space="0" w:color="1F497D"/>
              <w:bottom w:val="single" w:sz="6" w:space="0" w:color="1F497D"/>
              <w:right w:val="single" w:sz="6" w:space="0" w:color="1F497D"/>
            </w:tcBorders>
            <w:shd w:val="clear" w:color="auto" w:fill="FFFFFF"/>
          </w:tcPr>
          <w:p w:rsidR="0033725C" w:rsidRPr="003410C7" w:rsidRDefault="0033725C" w:rsidP="00A73DBD">
            <w:pPr>
              <w:pStyle w:val="TableText"/>
              <w:rPr>
                <w:rFonts w:ascii="Segoe" w:eastAsia="Calibri" w:hAnsi="Segoe"/>
              </w:rPr>
            </w:pPr>
            <w:r w:rsidRPr="003410C7">
              <w:rPr>
                <w:rFonts w:eastAsia="Calibri" w:cs="Segoe UI"/>
                <w:b/>
                <w:sz w:val="24"/>
                <w:szCs w:val="24"/>
              </w:rPr>
              <w:sym w:font="Wingdings" w:char="00FC"/>
            </w:r>
            <w:r w:rsidRPr="003410C7">
              <w:rPr>
                <w:rFonts w:eastAsia="Calibri" w:cs="Segoe UI"/>
                <w:b/>
                <w:sz w:val="24"/>
                <w:szCs w:val="24"/>
                <w:vertAlign w:val="superscript"/>
              </w:rPr>
              <w:t>2</w:t>
            </w:r>
          </w:p>
        </w:tc>
        <w:tc>
          <w:tcPr>
            <w:tcW w:w="1152" w:type="dxa"/>
            <w:tcBorders>
              <w:top w:val="single" w:sz="6" w:space="0" w:color="1F497D"/>
              <w:left w:val="single" w:sz="6" w:space="0" w:color="1F497D"/>
              <w:bottom w:val="single" w:sz="6" w:space="0" w:color="1F497D"/>
              <w:right w:val="single" w:sz="6" w:space="0" w:color="1F497D"/>
            </w:tcBorders>
            <w:shd w:val="clear" w:color="auto" w:fill="FFFFFF"/>
          </w:tcPr>
          <w:p w:rsidR="0033725C" w:rsidRPr="003410C7" w:rsidRDefault="0033725C" w:rsidP="00A73DBD">
            <w:pPr>
              <w:pStyle w:val="TableText"/>
              <w:rPr>
                <w:rFonts w:ascii="Segoe" w:eastAsia="Calibri" w:hAnsi="Segoe"/>
              </w:rPr>
            </w:pPr>
            <w:r w:rsidRPr="003410C7">
              <w:rPr>
                <w:rFonts w:eastAsia="Calibri" w:cs="Segoe UI"/>
                <w:b/>
                <w:sz w:val="24"/>
                <w:szCs w:val="24"/>
              </w:rPr>
              <w:sym w:font="Wingdings" w:char="00FC"/>
            </w:r>
          </w:p>
        </w:tc>
        <w:tc>
          <w:tcPr>
            <w:tcW w:w="1125" w:type="dxa"/>
            <w:tcBorders>
              <w:top w:val="single" w:sz="6" w:space="0" w:color="1F497D"/>
              <w:left w:val="single" w:sz="6" w:space="0" w:color="1F497D"/>
              <w:bottom w:val="single" w:sz="6" w:space="0" w:color="1F497D"/>
              <w:right w:val="single" w:sz="6" w:space="0" w:color="1F497D"/>
            </w:tcBorders>
            <w:shd w:val="clear" w:color="auto" w:fill="FFFFFF"/>
          </w:tcPr>
          <w:p w:rsidR="0033725C" w:rsidRPr="003410C7" w:rsidRDefault="0033725C" w:rsidP="00A73DBD">
            <w:pPr>
              <w:pStyle w:val="TableText"/>
              <w:rPr>
                <w:rFonts w:eastAsia="Calibri" w:cs="Segoe UI"/>
                <w:b/>
                <w:sz w:val="24"/>
                <w:szCs w:val="24"/>
              </w:rPr>
            </w:pPr>
            <w:r w:rsidRPr="003410C7">
              <w:rPr>
                <w:rFonts w:eastAsia="Calibri" w:cs="Segoe UI"/>
                <w:b/>
                <w:sz w:val="24"/>
                <w:szCs w:val="24"/>
              </w:rPr>
              <w:sym w:font="Wingdings" w:char="00FC"/>
            </w:r>
            <w:r w:rsidRPr="003410C7">
              <w:rPr>
                <w:rFonts w:eastAsia="Calibri" w:cs="Segoe UI"/>
                <w:b/>
                <w:sz w:val="24"/>
                <w:szCs w:val="24"/>
                <w:vertAlign w:val="superscript"/>
              </w:rPr>
              <w:t>2</w:t>
            </w:r>
          </w:p>
        </w:tc>
        <w:tc>
          <w:tcPr>
            <w:tcW w:w="1305" w:type="dxa"/>
            <w:tcBorders>
              <w:top w:val="single" w:sz="6" w:space="0" w:color="1F497D"/>
              <w:left w:val="single" w:sz="6" w:space="0" w:color="1F497D"/>
              <w:bottom w:val="single" w:sz="6" w:space="0" w:color="1F497D"/>
              <w:right w:val="single" w:sz="6" w:space="0" w:color="1F497D"/>
            </w:tcBorders>
            <w:shd w:val="clear" w:color="auto" w:fill="FFFFFF"/>
          </w:tcPr>
          <w:p w:rsidR="0033725C" w:rsidRPr="003410C7" w:rsidRDefault="0033725C" w:rsidP="00A73DBD">
            <w:pPr>
              <w:pStyle w:val="TableText"/>
              <w:rPr>
                <w:rFonts w:eastAsia="Calibri" w:cs="Segoe UI"/>
                <w:b/>
                <w:sz w:val="24"/>
                <w:szCs w:val="24"/>
              </w:rPr>
            </w:pPr>
            <w:r w:rsidRPr="003410C7">
              <w:rPr>
                <w:rFonts w:eastAsia="Calibri" w:cs="Segoe UI"/>
                <w:b/>
                <w:sz w:val="24"/>
                <w:szCs w:val="24"/>
              </w:rPr>
              <w:sym w:font="Wingdings" w:char="00FC"/>
            </w:r>
          </w:p>
        </w:tc>
        <w:tc>
          <w:tcPr>
            <w:tcW w:w="1251" w:type="dxa"/>
            <w:tcBorders>
              <w:top w:val="single" w:sz="6" w:space="0" w:color="1F497D"/>
              <w:left w:val="single" w:sz="6" w:space="0" w:color="1F497D"/>
              <w:bottom w:val="single" w:sz="6" w:space="0" w:color="1F497D"/>
              <w:right w:val="single" w:sz="6" w:space="0" w:color="1F497D"/>
            </w:tcBorders>
            <w:shd w:val="clear" w:color="auto" w:fill="FFFFFF"/>
          </w:tcPr>
          <w:p w:rsidR="0033725C" w:rsidRPr="003410C7" w:rsidRDefault="0033725C" w:rsidP="00A73DBD">
            <w:pPr>
              <w:pStyle w:val="TableText"/>
              <w:rPr>
                <w:rFonts w:eastAsia="Calibri" w:cs="Segoe UI"/>
                <w:b/>
                <w:sz w:val="24"/>
                <w:szCs w:val="24"/>
              </w:rPr>
            </w:pPr>
          </w:p>
        </w:tc>
      </w:tr>
      <w:tr w:rsidR="000C172E" w:rsidRPr="003410C7" w:rsidTr="000C172E">
        <w:tc>
          <w:tcPr>
            <w:tcW w:w="2020" w:type="dxa"/>
            <w:tcBorders>
              <w:top w:val="single" w:sz="6" w:space="0" w:color="1F497D"/>
              <w:left w:val="single" w:sz="4" w:space="0" w:color="072B61"/>
              <w:bottom w:val="single" w:sz="6" w:space="0" w:color="1F497D"/>
              <w:right w:val="single" w:sz="6" w:space="0" w:color="1F497D"/>
            </w:tcBorders>
            <w:shd w:val="clear" w:color="auto" w:fill="FFFFFF"/>
          </w:tcPr>
          <w:p w:rsidR="0033725C" w:rsidRPr="00451078" w:rsidRDefault="0033725C" w:rsidP="000B5FBB">
            <w:pPr>
              <w:pStyle w:val="TableText"/>
              <w:jc w:val="left"/>
              <w:rPr>
                <w:rFonts w:ascii="Tahoma" w:eastAsia="Calibri" w:hAnsi="Tahoma" w:cs="Tahoma"/>
                <w:sz w:val="18"/>
                <w:szCs w:val="18"/>
                <w:lang w:val="it-IT"/>
              </w:rPr>
            </w:pPr>
            <w:r w:rsidRPr="00451078">
              <w:rPr>
                <w:rFonts w:ascii="Tahoma" w:eastAsia="Calibri" w:hAnsi="Tahoma" w:cs="Tahoma"/>
                <w:sz w:val="18"/>
                <w:szCs w:val="18"/>
                <w:lang w:val="it-IT"/>
              </w:rPr>
              <w:t>Assegnazione di Attività utilizzando i client Microsoft Dynamics</w:t>
            </w:r>
            <w:r w:rsidR="000B5FBB" w:rsidRPr="00451078">
              <w:rPr>
                <w:rFonts w:ascii="Tahoma" w:eastAsia="Calibri" w:hAnsi="Tahoma" w:cs="Tahoma"/>
                <w:sz w:val="18"/>
                <w:szCs w:val="18"/>
                <w:lang w:val="it-IT"/>
              </w:rPr>
              <w:t> </w:t>
            </w:r>
            <w:r w:rsidRPr="00451078">
              <w:rPr>
                <w:rFonts w:ascii="Tahoma" w:eastAsia="Calibri" w:hAnsi="Tahoma" w:cs="Tahoma"/>
                <w:sz w:val="18"/>
                <w:szCs w:val="18"/>
                <w:lang w:val="it-IT"/>
              </w:rPr>
              <w:t>CRM</w:t>
            </w:r>
          </w:p>
        </w:tc>
        <w:tc>
          <w:tcPr>
            <w:tcW w:w="972" w:type="dxa"/>
            <w:tcBorders>
              <w:top w:val="single" w:sz="6" w:space="0" w:color="1F497D"/>
              <w:left w:val="single" w:sz="6" w:space="0" w:color="1F497D"/>
              <w:bottom w:val="single" w:sz="6" w:space="0" w:color="1F497D"/>
              <w:right w:val="single" w:sz="6" w:space="0" w:color="1F497D"/>
            </w:tcBorders>
            <w:shd w:val="clear" w:color="auto" w:fill="FFFFFF"/>
          </w:tcPr>
          <w:p w:rsidR="0033725C" w:rsidRPr="00451078" w:rsidRDefault="0033725C" w:rsidP="00A73DBD">
            <w:pPr>
              <w:pStyle w:val="TableText"/>
              <w:rPr>
                <w:rFonts w:eastAsia="Calibri" w:cs="Segoe UI"/>
                <w:b/>
                <w:sz w:val="24"/>
                <w:szCs w:val="24"/>
                <w:lang w:val="it-IT"/>
              </w:rPr>
            </w:pPr>
          </w:p>
        </w:tc>
        <w:tc>
          <w:tcPr>
            <w:tcW w:w="1053" w:type="dxa"/>
            <w:tcBorders>
              <w:top w:val="single" w:sz="6" w:space="0" w:color="1F497D"/>
              <w:left w:val="single" w:sz="6" w:space="0" w:color="1F497D"/>
              <w:bottom w:val="single" w:sz="6" w:space="0" w:color="1F497D"/>
              <w:right w:val="single" w:sz="6" w:space="0" w:color="1F497D"/>
            </w:tcBorders>
            <w:shd w:val="clear" w:color="auto" w:fill="FFFFFF"/>
          </w:tcPr>
          <w:p w:rsidR="0033725C" w:rsidRPr="003410C7" w:rsidRDefault="0033725C" w:rsidP="00A73DBD">
            <w:pPr>
              <w:pStyle w:val="TableText"/>
              <w:rPr>
                <w:rFonts w:ascii="Segoe" w:eastAsia="Calibri" w:hAnsi="Segoe"/>
              </w:rPr>
            </w:pPr>
            <w:r w:rsidRPr="003410C7">
              <w:rPr>
                <w:rFonts w:eastAsia="Calibri" w:cs="Segoe UI"/>
                <w:b/>
                <w:sz w:val="24"/>
                <w:szCs w:val="24"/>
              </w:rPr>
              <w:sym w:font="Wingdings" w:char="00FC"/>
            </w:r>
            <w:r w:rsidRPr="003410C7">
              <w:rPr>
                <w:rFonts w:eastAsia="Calibri" w:cs="Segoe UI"/>
                <w:b/>
                <w:sz w:val="24"/>
                <w:szCs w:val="24"/>
                <w:vertAlign w:val="superscript"/>
              </w:rPr>
              <w:t>2</w:t>
            </w:r>
          </w:p>
        </w:tc>
        <w:tc>
          <w:tcPr>
            <w:tcW w:w="1152" w:type="dxa"/>
            <w:tcBorders>
              <w:top w:val="single" w:sz="6" w:space="0" w:color="1F497D"/>
              <w:left w:val="single" w:sz="6" w:space="0" w:color="1F497D"/>
              <w:bottom w:val="single" w:sz="6" w:space="0" w:color="1F497D"/>
              <w:right w:val="single" w:sz="6" w:space="0" w:color="1F497D"/>
            </w:tcBorders>
            <w:shd w:val="clear" w:color="auto" w:fill="FFFFFF"/>
          </w:tcPr>
          <w:p w:rsidR="0033725C" w:rsidRPr="003410C7" w:rsidRDefault="0033725C" w:rsidP="00A73DBD">
            <w:pPr>
              <w:pStyle w:val="TableText"/>
              <w:rPr>
                <w:rFonts w:ascii="Segoe" w:eastAsia="Calibri" w:hAnsi="Segoe"/>
              </w:rPr>
            </w:pPr>
            <w:r w:rsidRPr="003410C7">
              <w:rPr>
                <w:rFonts w:eastAsia="Calibri" w:cs="Segoe UI"/>
                <w:b/>
                <w:sz w:val="24"/>
                <w:szCs w:val="24"/>
              </w:rPr>
              <w:sym w:font="Wingdings" w:char="00FC"/>
            </w:r>
          </w:p>
        </w:tc>
        <w:tc>
          <w:tcPr>
            <w:tcW w:w="1125" w:type="dxa"/>
            <w:tcBorders>
              <w:top w:val="single" w:sz="6" w:space="0" w:color="1F497D"/>
              <w:left w:val="single" w:sz="6" w:space="0" w:color="1F497D"/>
              <w:bottom w:val="single" w:sz="6" w:space="0" w:color="1F497D"/>
              <w:right w:val="single" w:sz="6" w:space="0" w:color="1F497D"/>
            </w:tcBorders>
            <w:shd w:val="clear" w:color="auto" w:fill="FFFFFF"/>
          </w:tcPr>
          <w:p w:rsidR="0033725C" w:rsidRPr="003410C7" w:rsidRDefault="0033725C" w:rsidP="00A73DBD">
            <w:pPr>
              <w:pStyle w:val="TableText"/>
              <w:rPr>
                <w:rFonts w:eastAsia="Calibri" w:cs="Segoe UI"/>
                <w:b/>
                <w:sz w:val="24"/>
                <w:szCs w:val="24"/>
              </w:rPr>
            </w:pPr>
            <w:r w:rsidRPr="003410C7">
              <w:rPr>
                <w:rFonts w:eastAsia="Calibri" w:cs="Segoe UI"/>
                <w:b/>
                <w:sz w:val="24"/>
                <w:szCs w:val="24"/>
              </w:rPr>
              <w:sym w:font="Wingdings" w:char="00FC"/>
            </w:r>
            <w:r w:rsidRPr="003410C7">
              <w:rPr>
                <w:rFonts w:eastAsia="Calibri" w:cs="Segoe UI"/>
                <w:b/>
                <w:sz w:val="24"/>
                <w:szCs w:val="24"/>
                <w:vertAlign w:val="superscript"/>
              </w:rPr>
              <w:t>2</w:t>
            </w:r>
          </w:p>
        </w:tc>
        <w:tc>
          <w:tcPr>
            <w:tcW w:w="1305" w:type="dxa"/>
            <w:tcBorders>
              <w:top w:val="single" w:sz="6" w:space="0" w:color="1F497D"/>
              <w:left w:val="single" w:sz="6" w:space="0" w:color="1F497D"/>
              <w:bottom w:val="single" w:sz="6" w:space="0" w:color="1F497D"/>
              <w:right w:val="single" w:sz="6" w:space="0" w:color="1F497D"/>
            </w:tcBorders>
            <w:shd w:val="clear" w:color="auto" w:fill="FFFFFF"/>
          </w:tcPr>
          <w:p w:rsidR="0033725C" w:rsidRPr="003410C7" w:rsidRDefault="0033725C" w:rsidP="00A73DBD">
            <w:pPr>
              <w:pStyle w:val="TableText"/>
              <w:rPr>
                <w:rFonts w:eastAsia="Calibri" w:cs="Segoe UI"/>
                <w:b/>
                <w:sz w:val="24"/>
                <w:szCs w:val="24"/>
              </w:rPr>
            </w:pPr>
            <w:r w:rsidRPr="003410C7">
              <w:rPr>
                <w:rFonts w:eastAsia="Calibri" w:cs="Segoe UI"/>
                <w:b/>
                <w:sz w:val="24"/>
                <w:szCs w:val="24"/>
              </w:rPr>
              <w:sym w:font="Wingdings" w:char="00FC"/>
            </w:r>
          </w:p>
        </w:tc>
        <w:tc>
          <w:tcPr>
            <w:tcW w:w="1251" w:type="dxa"/>
            <w:tcBorders>
              <w:top w:val="single" w:sz="6" w:space="0" w:color="1F497D"/>
              <w:left w:val="single" w:sz="6" w:space="0" w:color="1F497D"/>
              <w:bottom w:val="single" w:sz="6" w:space="0" w:color="1F497D"/>
              <w:right w:val="single" w:sz="6" w:space="0" w:color="1F497D"/>
            </w:tcBorders>
            <w:shd w:val="clear" w:color="auto" w:fill="FFFFFF"/>
          </w:tcPr>
          <w:p w:rsidR="0033725C" w:rsidRPr="003410C7" w:rsidRDefault="0033725C" w:rsidP="00A73DBD">
            <w:pPr>
              <w:pStyle w:val="TableText"/>
              <w:rPr>
                <w:rFonts w:eastAsia="Calibri" w:cs="Segoe UI"/>
                <w:b/>
                <w:sz w:val="24"/>
                <w:szCs w:val="24"/>
              </w:rPr>
            </w:pPr>
          </w:p>
        </w:tc>
      </w:tr>
      <w:tr w:rsidR="000C172E" w:rsidRPr="003410C7" w:rsidTr="000C172E">
        <w:trPr>
          <w:trHeight w:val="309"/>
        </w:trPr>
        <w:tc>
          <w:tcPr>
            <w:tcW w:w="2020" w:type="dxa"/>
            <w:tcBorders>
              <w:top w:val="single" w:sz="6" w:space="0" w:color="1F497D"/>
              <w:left w:val="single" w:sz="4" w:space="0" w:color="072B61"/>
              <w:bottom w:val="single" w:sz="6" w:space="0" w:color="1F497D"/>
              <w:right w:val="single" w:sz="6" w:space="0" w:color="1F497D"/>
            </w:tcBorders>
            <w:shd w:val="clear" w:color="auto" w:fill="FFFFFF"/>
          </w:tcPr>
          <w:p w:rsidR="0033725C" w:rsidRPr="00451078" w:rsidRDefault="0033725C" w:rsidP="000B5FBB">
            <w:pPr>
              <w:pStyle w:val="TableText"/>
              <w:jc w:val="left"/>
              <w:rPr>
                <w:rFonts w:ascii="Tahoma" w:eastAsia="Calibri" w:hAnsi="Tahoma" w:cs="Tahoma"/>
                <w:sz w:val="18"/>
                <w:szCs w:val="18"/>
                <w:lang w:val="it-IT"/>
              </w:rPr>
            </w:pPr>
            <w:r w:rsidRPr="00451078">
              <w:rPr>
                <w:rFonts w:ascii="Tahoma" w:eastAsia="Calibri" w:hAnsi="Tahoma" w:cs="Tahoma"/>
                <w:sz w:val="18"/>
                <w:szCs w:val="18"/>
                <w:lang w:val="it-IT"/>
              </w:rPr>
              <w:t>Condivisione di Account utilizzando i client Microsoft Dynamics</w:t>
            </w:r>
            <w:r w:rsidR="000B5FBB" w:rsidRPr="00451078">
              <w:rPr>
                <w:rFonts w:ascii="Tahoma" w:eastAsia="Calibri" w:hAnsi="Tahoma" w:cs="Tahoma"/>
                <w:sz w:val="18"/>
                <w:szCs w:val="18"/>
                <w:lang w:val="it-IT"/>
              </w:rPr>
              <w:t> </w:t>
            </w:r>
            <w:r w:rsidRPr="00451078">
              <w:rPr>
                <w:rFonts w:ascii="Tahoma" w:eastAsia="Calibri" w:hAnsi="Tahoma" w:cs="Tahoma"/>
                <w:sz w:val="18"/>
                <w:szCs w:val="18"/>
                <w:lang w:val="it-IT"/>
              </w:rPr>
              <w:t>CRM</w:t>
            </w:r>
          </w:p>
        </w:tc>
        <w:tc>
          <w:tcPr>
            <w:tcW w:w="972" w:type="dxa"/>
            <w:tcBorders>
              <w:top w:val="single" w:sz="6" w:space="0" w:color="1F497D"/>
              <w:left w:val="single" w:sz="6" w:space="0" w:color="1F497D"/>
              <w:bottom w:val="single" w:sz="6" w:space="0" w:color="1F497D"/>
              <w:right w:val="single" w:sz="6" w:space="0" w:color="1F497D"/>
            </w:tcBorders>
            <w:shd w:val="clear" w:color="auto" w:fill="FFFFFF"/>
          </w:tcPr>
          <w:p w:rsidR="0033725C" w:rsidRPr="00451078" w:rsidRDefault="0033725C" w:rsidP="00A73DBD">
            <w:pPr>
              <w:pStyle w:val="TableText"/>
              <w:rPr>
                <w:rFonts w:eastAsia="Calibri" w:cs="Segoe UI"/>
                <w:b/>
                <w:sz w:val="24"/>
                <w:szCs w:val="24"/>
                <w:lang w:val="it-IT"/>
              </w:rPr>
            </w:pPr>
          </w:p>
        </w:tc>
        <w:tc>
          <w:tcPr>
            <w:tcW w:w="1053" w:type="dxa"/>
            <w:tcBorders>
              <w:top w:val="single" w:sz="6" w:space="0" w:color="1F497D"/>
              <w:left w:val="single" w:sz="6" w:space="0" w:color="1F497D"/>
              <w:bottom w:val="single" w:sz="6" w:space="0" w:color="1F497D"/>
              <w:right w:val="single" w:sz="6" w:space="0" w:color="1F497D"/>
            </w:tcBorders>
            <w:shd w:val="clear" w:color="auto" w:fill="FFFFFF"/>
          </w:tcPr>
          <w:p w:rsidR="0033725C" w:rsidRPr="003410C7" w:rsidRDefault="0033725C" w:rsidP="00A73DBD">
            <w:pPr>
              <w:pStyle w:val="TableText"/>
              <w:rPr>
                <w:rFonts w:ascii="Segoe" w:eastAsia="Calibri" w:hAnsi="Segoe"/>
              </w:rPr>
            </w:pPr>
            <w:r w:rsidRPr="003410C7">
              <w:rPr>
                <w:rFonts w:eastAsia="Calibri" w:cs="Segoe UI"/>
                <w:b/>
                <w:sz w:val="24"/>
                <w:szCs w:val="24"/>
              </w:rPr>
              <w:sym w:font="Wingdings" w:char="00FC"/>
            </w:r>
            <w:r w:rsidRPr="003410C7">
              <w:rPr>
                <w:rFonts w:eastAsia="Calibri" w:cs="Segoe UI"/>
                <w:b/>
                <w:sz w:val="24"/>
                <w:szCs w:val="24"/>
                <w:vertAlign w:val="superscript"/>
              </w:rPr>
              <w:t>2</w:t>
            </w:r>
          </w:p>
        </w:tc>
        <w:tc>
          <w:tcPr>
            <w:tcW w:w="1152" w:type="dxa"/>
            <w:tcBorders>
              <w:top w:val="single" w:sz="6" w:space="0" w:color="1F497D"/>
              <w:left w:val="single" w:sz="6" w:space="0" w:color="1F497D"/>
              <w:bottom w:val="single" w:sz="6" w:space="0" w:color="1F497D"/>
              <w:right w:val="single" w:sz="6" w:space="0" w:color="1F497D"/>
            </w:tcBorders>
            <w:shd w:val="clear" w:color="auto" w:fill="FFFFFF"/>
          </w:tcPr>
          <w:p w:rsidR="0033725C" w:rsidRPr="003410C7" w:rsidRDefault="0033725C" w:rsidP="00A73DBD">
            <w:pPr>
              <w:pStyle w:val="TableText"/>
              <w:rPr>
                <w:rFonts w:ascii="Segoe" w:eastAsia="Calibri" w:hAnsi="Segoe"/>
              </w:rPr>
            </w:pPr>
            <w:r w:rsidRPr="003410C7">
              <w:rPr>
                <w:rFonts w:eastAsia="Calibri" w:cs="Segoe UI"/>
                <w:b/>
                <w:sz w:val="24"/>
                <w:szCs w:val="24"/>
              </w:rPr>
              <w:sym w:font="Wingdings" w:char="00FC"/>
            </w:r>
          </w:p>
        </w:tc>
        <w:tc>
          <w:tcPr>
            <w:tcW w:w="1125" w:type="dxa"/>
            <w:tcBorders>
              <w:top w:val="single" w:sz="6" w:space="0" w:color="1F497D"/>
              <w:left w:val="single" w:sz="6" w:space="0" w:color="1F497D"/>
              <w:bottom w:val="single" w:sz="6" w:space="0" w:color="1F497D"/>
              <w:right w:val="single" w:sz="6" w:space="0" w:color="1F497D"/>
            </w:tcBorders>
            <w:shd w:val="clear" w:color="auto" w:fill="FFFFFF"/>
          </w:tcPr>
          <w:p w:rsidR="0033725C" w:rsidRPr="003410C7" w:rsidRDefault="0033725C" w:rsidP="00A73DBD">
            <w:pPr>
              <w:pStyle w:val="TableText"/>
              <w:rPr>
                <w:rFonts w:eastAsia="Calibri" w:cs="Segoe UI"/>
                <w:b/>
                <w:sz w:val="24"/>
                <w:szCs w:val="24"/>
              </w:rPr>
            </w:pPr>
            <w:r w:rsidRPr="003410C7">
              <w:rPr>
                <w:rFonts w:eastAsia="Calibri" w:cs="Segoe UI"/>
                <w:b/>
                <w:sz w:val="24"/>
                <w:szCs w:val="24"/>
              </w:rPr>
              <w:sym w:font="Wingdings" w:char="00FC"/>
            </w:r>
            <w:r w:rsidRPr="003410C7">
              <w:rPr>
                <w:rFonts w:eastAsia="Calibri" w:cs="Segoe UI"/>
                <w:b/>
                <w:sz w:val="24"/>
                <w:szCs w:val="24"/>
                <w:vertAlign w:val="superscript"/>
              </w:rPr>
              <w:t>2</w:t>
            </w:r>
          </w:p>
        </w:tc>
        <w:tc>
          <w:tcPr>
            <w:tcW w:w="1305" w:type="dxa"/>
            <w:tcBorders>
              <w:top w:val="single" w:sz="6" w:space="0" w:color="1F497D"/>
              <w:left w:val="single" w:sz="6" w:space="0" w:color="1F497D"/>
              <w:bottom w:val="single" w:sz="6" w:space="0" w:color="1F497D"/>
              <w:right w:val="single" w:sz="6" w:space="0" w:color="1F497D"/>
            </w:tcBorders>
            <w:shd w:val="clear" w:color="auto" w:fill="FFFFFF"/>
          </w:tcPr>
          <w:p w:rsidR="0033725C" w:rsidRPr="003410C7" w:rsidRDefault="0033725C" w:rsidP="00A73DBD">
            <w:pPr>
              <w:pStyle w:val="TableText"/>
              <w:rPr>
                <w:rFonts w:eastAsia="Calibri" w:cs="Segoe UI"/>
                <w:b/>
                <w:sz w:val="24"/>
                <w:szCs w:val="24"/>
              </w:rPr>
            </w:pPr>
            <w:r w:rsidRPr="003410C7">
              <w:rPr>
                <w:rFonts w:eastAsia="Calibri" w:cs="Segoe UI"/>
                <w:b/>
                <w:sz w:val="24"/>
                <w:szCs w:val="24"/>
              </w:rPr>
              <w:sym w:font="Wingdings" w:char="00FC"/>
            </w:r>
          </w:p>
        </w:tc>
        <w:tc>
          <w:tcPr>
            <w:tcW w:w="1251" w:type="dxa"/>
            <w:tcBorders>
              <w:top w:val="single" w:sz="6" w:space="0" w:color="1F497D"/>
              <w:left w:val="single" w:sz="6" w:space="0" w:color="1F497D"/>
              <w:bottom w:val="single" w:sz="6" w:space="0" w:color="1F497D"/>
              <w:right w:val="single" w:sz="6" w:space="0" w:color="1F497D"/>
            </w:tcBorders>
            <w:shd w:val="clear" w:color="auto" w:fill="FFFFFF"/>
          </w:tcPr>
          <w:p w:rsidR="0033725C" w:rsidRPr="003410C7" w:rsidRDefault="0033725C" w:rsidP="00A73DBD">
            <w:pPr>
              <w:pStyle w:val="TableText"/>
              <w:rPr>
                <w:rFonts w:eastAsia="Calibri" w:cs="Segoe UI"/>
                <w:b/>
                <w:sz w:val="24"/>
                <w:szCs w:val="24"/>
              </w:rPr>
            </w:pPr>
          </w:p>
        </w:tc>
      </w:tr>
      <w:tr w:rsidR="000C172E" w:rsidRPr="003410C7" w:rsidTr="000C172E">
        <w:tc>
          <w:tcPr>
            <w:tcW w:w="2020" w:type="dxa"/>
            <w:tcBorders>
              <w:top w:val="single" w:sz="6" w:space="0" w:color="1F497D"/>
              <w:left w:val="single" w:sz="4" w:space="0" w:color="072B61"/>
              <w:bottom w:val="single" w:sz="6" w:space="0" w:color="1F497D"/>
              <w:right w:val="single" w:sz="6" w:space="0" w:color="1F497D"/>
            </w:tcBorders>
            <w:shd w:val="clear" w:color="auto" w:fill="FFFFFF"/>
          </w:tcPr>
          <w:p w:rsidR="0033725C" w:rsidRPr="00451078" w:rsidRDefault="0033725C" w:rsidP="000B5FBB">
            <w:pPr>
              <w:pStyle w:val="TableText"/>
              <w:jc w:val="left"/>
              <w:rPr>
                <w:rFonts w:ascii="Tahoma" w:eastAsia="Calibri" w:hAnsi="Tahoma" w:cs="Tahoma"/>
                <w:sz w:val="18"/>
                <w:szCs w:val="18"/>
                <w:lang w:val="it-IT"/>
              </w:rPr>
            </w:pPr>
            <w:r w:rsidRPr="00451078">
              <w:rPr>
                <w:rFonts w:ascii="Tahoma" w:eastAsia="Calibri" w:hAnsi="Tahoma" w:cs="Tahoma"/>
                <w:sz w:val="18"/>
                <w:szCs w:val="18"/>
                <w:lang w:val="it-IT"/>
              </w:rPr>
              <w:t>Condivisione di Contatti utilizzando i client Microsoft Dynamics</w:t>
            </w:r>
            <w:r w:rsidR="000B5FBB" w:rsidRPr="00451078">
              <w:rPr>
                <w:rFonts w:ascii="Tahoma" w:eastAsia="Calibri" w:hAnsi="Tahoma" w:cs="Tahoma"/>
                <w:sz w:val="18"/>
                <w:szCs w:val="18"/>
                <w:lang w:val="it-IT"/>
              </w:rPr>
              <w:t> </w:t>
            </w:r>
            <w:r w:rsidRPr="00451078">
              <w:rPr>
                <w:rFonts w:ascii="Tahoma" w:eastAsia="Calibri" w:hAnsi="Tahoma" w:cs="Tahoma"/>
                <w:sz w:val="18"/>
                <w:szCs w:val="18"/>
                <w:lang w:val="it-IT"/>
              </w:rPr>
              <w:t>CRM</w:t>
            </w:r>
          </w:p>
        </w:tc>
        <w:tc>
          <w:tcPr>
            <w:tcW w:w="972" w:type="dxa"/>
            <w:tcBorders>
              <w:top w:val="single" w:sz="6" w:space="0" w:color="1F497D"/>
              <w:left w:val="single" w:sz="6" w:space="0" w:color="1F497D"/>
              <w:bottom w:val="single" w:sz="6" w:space="0" w:color="1F497D"/>
              <w:right w:val="single" w:sz="6" w:space="0" w:color="1F497D"/>
            </w:tcBorders>
            <w:shd w:val="clear" w:color="auto" w:fill="FFFFFF"/>
          </w:tcPr>
          <w:p w:rsidR="0033725C" w:rsidRPr="00451078" w:rsidRDefault="0033725C" w:rsidP="00A73DBD">
            <w:pPr>
              <w:pStyle w:val="TableText"/>
              <w:rPr>
                <w:rFonts w:eastAsia="Calibri" w:cs="Segoe UI"/>
                <w:b/>
                <w:sz w:val="24"/>
                <w:szCs w:val="24"/>
                <w:lang w:val="it-IT"/>
              </w:rPr>
            </w:pPr>
          </w:p>
        </w:tc>
        <w:tc>
          <w:tcPr>
            <w:tcW w:w="1053" w:type="dxa"/>
            <w:tcBorders>
              <w:top w:val="single" w:sz="6" w:space="0" w:color="1F497D"/>
              <w:left w:val="single" w:sz="6" w:space="0" w:color="1F497D"/>
              <w:bottom w:val="single" w:sz="6" w:space="0" w:color="1F497D"/>
              <w:right w:val="single" w:sz="6" w:space="0" w:color="1F497D"/>
            </w:tcBorders>
            <w:shd w:val="clear" w:color="auto" w:fill="FFFFFF"/>
          </w:tcPr>
          <w:p w:rsidR="0033725C" w:rsidRPr="003410C7" w:rsidRDefault="0033725C" w:rsidP="00A73DBD">
            <w:pPr>
              <w:pStyle w:val="TableText"/>
              <w:rPr>
                <w:rFonts w:ascii="Segoe" w:eastAsia="Calibri" w:hAnsi="Segoe"/>
              </w:rPr>
            </w:pPr>
            <w:r w:rsidRPr="003410C7">
              <w:rPr>
                <w:rFonts w:eastAsia="Calibri" w:cs="Segoe UI"/>
                <w:b/>
                <w:sz w:val="24"/>
                <w:szCs w:val="24"/>
              </w:rPr>
              <w:sym w:font="Wingdings" w:char="00FC"/>
            </w:r>
            <w:r w:rsidRPr="003410C7">
              <w:rPr>
                <w:rFonts w:eastAsia="Calibri" w:cs="Segoe UI"/>
                <w:b/>
                <w:sz w:val="24"/>
                <w:szCs w:val="24"/>
                <w:vertAlign w:val="superscript"/>
              </w:rPr>
              <w:t>2</w:t>
            </w:r>
          </w:p>
        </w:tc>
        <w:tc>
          <w:tcPr>
            <w:tcW w:w="1152" w:type="dxa"/>
            <w:tcBorders>
              <w:top w:val="single" w:sz="6" w:space="0" w:color="1F497D"/>
              <w:left w:val="single" w:sz="6" w:space="0" w:color="1F497D"/>
              <w:bottom w:val="single" w:sz="6" w:space="0" w:color="1F497D"/>
              <w:right w:val="single" w:sz="6" w:space="0" w:color="1F497D"/>
            </w:tcBorders>
            <w:shd w:val="clear" w:color="auto" w:fill="FFFFFF"/>
          </w:tcPr>
          <w:p w:rsidR="0033725C" w:rsidRPr="003410C7" w:rsidRDefault="0033725C" w:rsidP="00A73DBD">
            <w:pPr>
              <w:pStyle w:val="TableText"/>
              <w:rPr>
                <w:rFonts w:ascii="Segoe" w:eastAsia="Calibri" w:hAnsi="Segoe"/>
              </w:rPr>
            </w:pPr>
            <w:r w:rsidRPr="003410C7">
              <w:rPr>
                <w:rFonts w:eastAsia="Calibri" w:cs="Segoe UI"/>
                <w:b/>
                <w:sz w:val="24"/>
                <w:szCs w:val="24"/>
              </w:rPr>
              <w:sym w:font="Wingdings" w:char="00FC"/>
            </w:r>
          </w:p>
        </w:tc>
        <w:tc>
          <w:tcPr>
            <w:tcW w:w="1125" w:type="dxa"/>
            <w:tcBorders>
              <w:top w:val="single" w:sz="6" w:space="0" w:color="1F497D"/>
              <w:left w:val="single" w:sz="6" w:space="0" w:color="1F497D"/>
              <w:bottom w:val="single" w:sz="6" w:space="0" w:color="1F497D"/>
              <w:right w:val="single" w:sz="6" w:space="0" w:color="1F497D"/>
            </w:tcBorders>
            <w:shd w:val="clear" w:color="auto" w:fill="FFFFFF"/>
          </w:tcPr>
          <w:p w:rsidR="0033725C" w:rsidRPr="003410C7" w:rsidRDefault="0033725C" w:rsidP="00A73DBD">
            <w:pPr>
              <w:pStyle w:val="TableText"/>
              <w:rPr>
                <w:rFonts w:eastAsia="Calibri" w:cs="Segoe UI"/>
                <w:b/>
                <w:sz w:val="24"/>
                <w:szCs w:val="24"/>
              </w:rPr>
            </w:pPr>
            <w:r w:rsidRPr="003410C7">
              <w:rPr>
                <w:rFonts w:eastAsia="Calibri" w:cs="Segoe UI"/>
                <w:b/>
                <w:sz w:val="24"/>
                <w:szCs w:val="24"/>
              </w:rPr>
              <w:sym w:font="Wingdings" w:char="00FC"/>
            </w:r>
            <w:r w:rsidRPr="003410C7">
              <w:rPr>
                <w:rFonts w:eastAsia="Calibri" w:cs="Segoe UI"/>
                <w:b/>
                <w:sz w:val="24"/>
                <w:szCs w:val="24"/>
                <w:vertAlign w:val="superscript"/>
              </w:rPr>
              <w:t>2</w:t>
            </w:r>
          </w:p>
        </w:tc>
        <w:tc>
          <w:tcPr>
            <w:tcW w:w="1305" w:type="dxa"/>
            <w:tcBorders>
              <w:top w:val="single" w:sz="6" w:space="0" w:color="1F497D"/>
              <w:left w:val="single" w:sz="6" w:space="0" w:color="1F497D"/>
              <w:bottom w:val="single" w:sz="6" w:space="0" w:color="1F497D"/>
              <w:right w:val="single" w:sz="6" w:space="0" w:color="1F497D"/>
            </w:tcBorders>
            <w:shd w:val="clear" w:color="auto" w:fill="FFFFFF"/>
          </w:tcPr>
          <w:p w:rsidR="0033725C" w:rsidRPr="003410C7" w:rsidRDefault="0033725C" w:rsidP="00A73DBD">
            <w:pPr>
              <w:pStyle w:val="TableText"/>
              <w:rPr>
                <w:rFonts w:eastAsia="Calibri" w:cs="Segoe UI"/>
                <w:b/>
                <w:sz w:val="24"/>
                <w:szCs w:val="24"/>
              </w:rPr>
            </w:pPr>
            <w:r w:rsidRPr="003410C7">
              <w:rPr>
                <w:rFonts w:eastAsia="Calibri" w:cs="Segoe UI"/>
                <w:b/>
                <w:sz w:val="24"/>
                <w:szCs w:val="24"/>
              </w:rPr>
              <w:sym w:font="Wingdings" w:char="00FC"/>
            </w:r>
          </w:p>
        </w:tc>
        <w:tc>
          <w:tcPr>
            <w:tcW w:w="1251" w:type="dxa"/>
            <w:tcBorders>
              <w:top w:val="single" w:sz="6" w:space="0" w:color="1F497D"/>
              <w:left w:val="single" w:sz="6" w:space="0" w:color="1F497D"/>
              <w:bottom w:val="single" w:sz="6" w:space="0" w:color="1F497D"/>
              <w:right w:val="single" w:sz="6" w:space="0" w:color="1F497D"/>
            </w:tcBorders>
            <w:shd w:val="clear" w:color="auto" w:fill="FFFFFF"/>
          </w:tcPr>
          <w:p w:rsidR="0033725C" w:rsidRPr="003410C7" w:rsidRDefault="0033725C" w:rsidP="00A73DBD">
            <w:pPr>
              <w:pStyle w:val="TableText"/>
              <w:rPr>
                <w:rFonts w:eastAsia="Calibri" w:cs="Segoe UI"/>
                <w:b/>
                <w:sz w:val="24"/>
                <w:szCs w:val="24"/>
              </w:rPr>
            </w:pPr>
          </w:p>
        </w:tc>
      </w:tr>
      <w:tr w:rsidR="000C172E" w:rsidRPr="003410C7" w:rsidTr="000C172E">
        <w:tc>
          <w:tcPr>
            <w:tcW w:w="2020" w:type="dxa"/>
            <w:tcBorders>
              <w:top w:val="single" w:sz="6" w:space="0" w:color="1F497D"/>
              <w:left w:val="single" w:sz="4" w:space="0" w:color="072B61"/>
              <w:bottom w:val="single" w:sz="6" w:space="0" w:color="1F497D"/>
              <w:right w:val="single" w:sz="6" w:space="0" w:color="1F497D"/>
            </w:tcBorders>
            <w:shd w:val="clear" w:color="auto" w:fill="FFFFFF"/>
          </w:tcPr>
          <w:p w:rsidR="0033725C" w:rsidRPr="00451078" w:rsidRDefault="0033725C" w:rsidP="000B5FBB">
            <w:pPr>
              <w:pStyle w:val="TableText"/>
              <w:jc w:val="left"/>
              <w:rPr>
                <w:rFonts w:ascii="Tahoma" w:eastAsia="Calibri" w:hAnsi="Tahoma" w:cs="Tahoma"/>
                <w:sz w:val="18"/>
                <w:szCs w:val="18"/>
                <w:lang w:val="it-IT"/>
              </w:rPr>
            </w:pPr>
            <w:r w:rsidRPr="00451078">
              <w:rPr>
                <w:rFonts w:ascii="Tahoma" w:eastAsia="Calibri" w:hAnsi="Tahoma" w:cs="Tahoma"/>
                <w:sz w:val="18"/>
                <w:szCs w:val="18"/>
                <w:lang w:val="it-IT"/>
              </w:rPr>
              <w:t>Condivisione di Casi utilizzando i client Microsoft Dynamics</w:t>
            </w:r>
            <w:r w:rsidR="000B5FBB" w:rsidRPr="00451078">
              <w:rPr>
                <w:rFonts w:ascii="Tahoma" w:eastAsia="Calibri" w:hAnsi="Tahoma" w:cs="Tahoma"/>
                <w:sz w:val="18"/>
                <w:szCs w:val="18"/>
                <w:lang w:val="it-IT"/>
              </w:rPr>
              <w:t> </w:t>
            </w:r>
            <w:r w:rsidRPr="00451078">
              <w:rPr>
                <w:rFonts w:ascii="Tahoma" w:eastAsia="Calibri" w:hAnsi="Tahoma" w:cs="Tahoma"/>
                <w:sz w:val="18"/>
                <w:szCs w:val="18"/>
                <w:lang w:val="it-IT"/>
              </w:rPr>
              <w:t>CRM</w:t>
            </w:r>
          </w:p>
        </w:tc>
        <w:tc>
          <w:tcPr>
            <w:tcW w:w="972" w:type="dxa"/>
            <w:tcBorders>
              <w:top w:val="single" w:sz="6" w:space="0" w:color="1F497D"/>
              <w:left w:val="single" w:sz="6" w:space="0" w:color="1F497D"/>
              <w:bottom w:val="single" w:sz="6" w:space="0" w:color="1F497D"/>
              <w:right w:val="single" w:sz="6" w:space="0" w:color="1F497D"/>
            </w:tcBorders>
            <w:shd w:val="clear" w:color="auto" w:fill="FFFFFF"/>
          </w:tcPr>
          <w:p w:rsidR="0033725C" w:rsidRPr="00451078" w:rsidRDefault="0033725C" w:rsidP="00A73DBD">
            <w:pPr>
              <w:pStyle w:val="TableText"/>
              <w:rPr>
                <w:rFonts w:eastAsia="Calibri" w:cs="Segoe UI"/>
                <w:b/>
                <w:sz w:val="24"/>
                <w:szCs w:val="24"/>
                <w:lang w:val="it-IT"/>
              </w:rPr>
            </w:pPr>
          </w:p>
        </w:tc>
        <w:tc>
          <w:tcPr>
            <w:tcW w:w="1053" w:type="dxa"/>
            <w:tcBorders>
              <w:top w:val="single" w:sz="6" w:space="0" w:color="1F497D"/>
              <w:left w:val="single" w:sz="6" w:space="0" w:color="1F497D"/>
              <w:bottom w:val="single" w:sz="6" w:space="0" w:color="1F497D"/>
              <w:right w:val="single" w:sz="6" w:space="0" w:color="1F497D"/>
            </w:tcBorders>
            <w:shd w:val="clear" w:color="auto" w:fill="FFFFFF"/>
          </w:tcPr>
          <w:p w:rsidR="0033725C" w:rsidRPr="003410C7" w:rsidRDefault="0033725C" w:rsidP="00A73DBD">
            <w:pPr>
              <w:pStyle w:val="TableText"/>
              <w:rPr>
                <w:rFonts w:ascii="Segoe" w:eastAsia="Calibri" w:hAnsi="Segoe"/>
              </w:rPr>
            </w:pPr>
            <w:r w:rsidRPr="003410C7">
              <w:rPr>
                <w:rFonts w:eastAsia="Calibri" w:cs="Segoe UI"/>
                <w:b/>
                <w:sz w:val="24"/>
                <w:szCs w:val="24"/>
              </w:rPr>
              <w:sym w:font="Wingdings" w:char="00FC"/>
            </w:r>
            <w:r w:rsidRPr="003410C7">
              <w:rPr>
                <w:rFonts w:eastAsia="Calibri" w:cs="Segoe UI"/>
                <w:b/>
                <w:sz w:val="24"/>
                <w:szCs w:val="24"/>
                <w:vertAlign w:val="superscript"/>
              </w:rPr>
              <w:t>2</w:t>
            </w:r>
          </w:p>
        </w:tc>
        <w:tc>
          <w:tcPr>
            <w:tcW w:w="1152" w:type="dxa"/>
            <w:tcBorders>
              <w:top w:val="single" w:sz="6" w:space="0" w:color="1F497D"/>
              <w:left w:val="single" w:sz="6" w:space="0" w:color="1F497D"/>
              <w:bottom w:val="single" w:sz="6" w:space="0" w:color="1F497D"/>
              <w:right w:val="single" w:sz="6" w:space="0" w:color="1F497D"/>
            </w:tcBorders>
            <w:shd w:val="clear" w:color="auto" w:fill="FFFFFF"/>
          </w:tcPr>
          <w:p w:rsidR="0033725C" w:rsidRPr="003410C7" w:rsidRDefault="0033725C" w:rsidP="00A73DBD">
            <w:pPr>
              <w:pStyle w:val="TableText"/>
              <w:rPr>
                <w:rFonts w:ascii="Segoe" w:eastAsia="Calibri" w:hAnsi="Segoe"/>
              </w:rPr>
            </w:pPr>
            <w:r w:rsidRPr="003410C7">
              <w:rPr>
                <w:rFonts w:eastAsia="Calibri" w:cs="Segoe UI"/>
                <w:b/>
                <w:sz w:val="24"/>
                <w:szCs w:val="24"/>
              </w:rPr>
              <w:sym w:font="Wingdings" w:char="00FC"/>
            </w:r>
          </w:p>
        </w:tc>
        <w:tc>
          <w:tcPr>
            <w:tcW w:w="1125" w:type="dxa"/>
            <w:tcBorders>
              <w:top w:val="single" w:sz="6" w:space="0" w:color="1F497D"/>
              <w:left w:val="single" w:sz="6" w:space="0" w:color="1F497D"/>
              <w:bottom w:val="single" w:sz="6" w:space="0" w:color="1F497D"/>
              <w:right w:val="single" w:sz="6" w:space="0" w:color="1F497D"/>
            </w:tcBorders>
            <w:shd w:val="clear" w:color="auto" w:fill="FFFFFF"/>
          </w:tcPr>
          <w:p w:rsidR="0033725C" w:rsidRPr="003410C7" w:rsidRDefault="0033725C" w:rsidP="00A73DBD">
            <w:pPr>
              <w:pStyle w:val="TableText"/>
              <w:rPr>
                <w:rFonts w:eastAsia="Calibri" w:cs="Segoe UI"/>
                <w:b/>
                <w:sz w:val="24"/>
                <w:szCs w:val="24"/>
              </w:rPr>
            </w:pPr>
            <w:r w:rsidRPr="003410C7">
              <w:rPr>
                <w:rFonts w:eastAsia="Calibri" w:cs="Segoe UI"/>
                <w:b/>
                <w:sz w:val="24"/>
                <w:szCs w:val="24"/>
              </w:rPr>
              <w:sym w:font="Wingdings" w:char="00FC"/>
            </w:r>
            <w:r w:rsidRPr="003410C7">
              <w:rPr>
                <w:rFonts w:eastAsia="Calibri" w:cs="Segoe UI"/>
                <w:b/>
                <w:sz w:val="24"/>
                <w:szCs w:val="24"/>
                <w:vertAlign w:val="superscript"/>
              </w:rPr>
              <w:t>2</w:t>
            </w:r>
          </w:p>
        </w:tc>
        <w:tc>
          <w:tcPr>
            <w:tcW w:w="1305" w:type="dxa"/>
            <w:tcBorders>
              <w:top w:val="single" w:sz="6" w:space="0" w:color="1F497D"/>
              <w:left w:val="single" w:sz="6" w:space="0" w:color="1F497D"/>
              <w:bottom w:val="single" w:sz="6" w:space="0" w:color="1F497D"/>
              <w:right w:val="single" w:sz="6" w:space="0" w:color="1F497D"/>
            </w:tcBorders>
            <w:shd w:val="clear" w:color="auto" w:fill="FFFFFF"/>
          </w:tcPr>
          <w:p w:rsidR="0033725C" w:rsidRPr="003410C7" w:rsidRDefault="0033725C" w:rsidP="00A73DBD">
            <w:pPr>
              <w:pStyle w:val="TableText"/>
              <w:rPr>
                <w:rFonts w:eastAsia="Calibri" w:cs="Segoe UI"/>
                <w:b/>
                <w:sz w:val="24"/>
                <w:szCs w:val="24"/>
              </w:rPr>
            </w:pPr>
            <w:r w:rsidRPr="003410C7">
              <w:rPr>
                <w:rFonts w:eastAsia="Calibri" w:cs="Segoe UI"/>
                <w:b/>
                <w:sz w:val="24"/>
                <w:szCs w:val="24"/>
              </w:rPr>
              <w:sym w:font="Wingdings" w:char="00FC"/>
            </w:r>
          </w:p>
        </w:tc>
        <w:tc>
          <w:tcPr>
            <w:tcW w:w="1251" w:type="dxa"/>
            <w:tcBorders>
              <w:top w:val="single" w:sz="6" w:space="0" w:color="1F497D"/>
              <w:left w:val="single" w:sz="6" w:space="0" w:color="1F497D"/>
              <w:bottom w:val="single" w:sz="6" w:space="0" w:color="1F497D"/>
              <w:right w:val="single" w:sz="6" w:space="0" w:color="1F497D"/>
            </w:tcBorders>
            <w:shd w:val="clear" w:color="auto" w:fill="FFFFFF"/>
          </w:tcPr>
          <w:p w:rsidR="0033725C" w:rsidRPr="003410C7" w:rsidRDefault="0033725C" w:rsidP="00A73DBD">
            <w:pPr>
              <w:pStyle w:val="TableText"/>
              <w:rPr>
                <w:rFonts w:eastAsia="Calibri" w:cs="Segoe UI"/>
                <w:b/>
                <w:sz w:val="24"/>
                <w:szCs w:val="24"/>
              </w:rPr>
            </w:pPr>
          </w:p>
        </w:tc>
      </w:tr>
      <w:tr w:rsidR="000C172E" w:rsidRPr="003410C7" w:rsidTr="000C172E">
        <w:tc>
          <w:tcPr>
            <w:tcW w:w="2020" w:type="dxa"/>
            <w:tcBorders>
              <w:top w:val="single" w:sz="6" w:space="0" w:color="1F497D"/>
              <w:left w:val="single" w:sz="4" w:space="0" w:color="072B61"/>
              <w:bottom w:val="single" w:sz="6" w:space="0" w:color="1F497D"/>
              <w:right w:val="single" w:sz="6" w:space="0" w:color="1F497D"/>
            </w:tcBorders>
            <w:shd w:val="clear" w:color="auto" w:fill="FFFFFF"/>
          </w:tcPr>
          <w:p w:rsidR="0033725C" w:rsidRPr="00451078" w:rsidRDefault="0033725C" w:rsidP="000B5FBB">
            <w:pPr>
              <w:pStyle w:val="TableText"/>
              <w:jc w:val="left"/>
              <w:rPr>
                <w:rFonts w:ascii="Tahoma" w:eastAsia="Calibri" w:hAnsi="Tahoma" w:cs="Tahoma"/>
                <w:sz w:val="18"/>
                <w:szCs w:val="18"/>
                <w:lang w:val="it-IT"/>
              </w:rPr>
            </w:pPr>
            <w:r w:rsidRPr="00451078">
              <w:rPr>
                <w:rFonts w:ascii="Tahoma" w:eastAsia="Calibri" w:hAnsi="Tahoma" w:cs="Tahoma"/>
                <w:sz w:val="18"/>
                <w:szCs w:val="18"/>
                <w:lang w:val="it-IT"/>
              </w:rPr>
              <w:t>Condivisione di Lead utilizzando i client Microsoft Dynamics</w:t>
            </w:r>
            <w:r w:rsidR="000B5FBB" w:rsidRPr="00451078">
              <w:rPr>
                <w:rFonts w:ascii="Tahoma" w:eastAsia="Calibri" w:hAnsi="Tahoma" w:cs="Tahoma"/>
                <w:sz w:val="18"/>
                <w:szCs w:val="18"/>
                <w:lang w:val="it-IT"/>
              </w:rPr>
              <w:t> </w:t>
            </w:r>
            <w:r w:rsidRPr="00451078">
              <w:rPr>
                <w:rFonts w:ascii="Tahoma" w:eastAsia="Calibri" w:hAnsi="Tahoma" w:cs="Tahoma"/>
                <w:sz w:val="18"/>
                <w:szCs w:val="18"/>
                <w:lang w:val="it-IT"/>
              </w:rPr>
              <w:t>CRM</w:t>
            </w:r>
          </w:p>
        </w:tc>
        <w:tc>
          <w:tcPr>
            <w:tcW w:w="972" w:type="dxa"/>
            <w:tcBorders>
              <w:top w:val="single" w:sz="6" w:space="0" w:color="1F497D"/>
              <w:left w:val="single" w:sz="6" w:space="0" w:color="1F497D"/>
              <w:bottom w:val="single" w:sz="6" w:space="0" w:color="1F497D"/>
              <w:right w:val="single" w:sz="6" w:space="0" w:color="1F497D"/>
            </w:tcBorders>
            <w:shd w:val="clear" w:color="auto" w:fill="FFFFFF"/>
          </w:tcPr>
          <w:p w:rsidR="0033725C" w:rsidRPr="00451078" w:rsidRDefault="0033725C" w:rsidP="00A73DBD">
            <w:pPr>
              <w:pStyle w:val="TableText"/>
              <w:rPr>
                <w:rFonts w:eastAsia="Calibri" w:cs="Segoe UI"/>
                <w:b/>
                <w:sz w:val="24"/>
                <w:szCs w:val="24"/>
                <w:lang w:val="it-IT"/>
              </w:rPr>
            </w:pPr>
          </w:p>
        </w:tc>
        <w:tc>
          <w:tcPr>
            <w:tcW w:w="1053" w:type="dxa"/>
            <w:tcBorders>
              <w:top w:val="single" w:sz="6" w:space="0" w:color="1F497D"/>
              <w:left w:val="single" w:sz="6" w:space="0" w:color="1F497D"/>
              <w:bottom w:val="single" w:sz="6" w:space="0" w:color="1F497D"/>
              <w:right w:val="single" w:sz="6" w:space="0" w:color="1F497D"/>
            </w:tcBorders>
            <w:shd w:val="clear" w:color="auto" w:fill="FFFFFF"/>
          </w:tcPr>
          <w:p w:rsidR="0033725C" w:rsidRPr="003410C7" w:rsidRDefault="0033725C" w:rsidP="00A73DBD">
            <w:pPr>
              <w:pStyle w:val="TableText"/>
              <w:rPr>
                <w:rFonts w:ascii="Segoe" w:eastAsia="Calibri" w:hAnsi="Segoe"/>
              </w:rPr>
            </w:pPr>
            <w:r w:rsidRPr="003410C7">
              <w:rPr>
                <w:rFonts w:eastAsia="Calibri" w:cs="Segoe UI"/>
                <w:b/>
                <w:sz w:val="24"/>
                <w:szCs w:val="24"/>
              </w:rPr>
              <w:sym w:font="Wingdings" w:char="00FC"/>
            </w:r>
            <w:r w:rsidRPr="003410C7">
              <w:rPr>
                <w:rFonts w:eastAsia="Calibri" w:cs="Segoe UI"/>
                <w:b/>
                <w:sz w:val="24"/>
                <w:szCs w:val="24"/>
                <w:vertAlign w:val="superscript"/>
              </w:rPr>
              <w:t>2</w:t>
            </w:r>
          </w:p>
        </w:tc>
        <w:tc>
          <w:tcPr>
            <w:tcW w:w="1152" w:type="dxa"/>
            <w:tcBorders>
              <w:top w:val="single" w:sz="6" w:space="0" w:color="1F497D"/>
              <w:left w:val="single" w:sz="6" w:space="0" w:color="1F497D"/>
              <w:bottom w:val="single" w:sz="6" w:space="0" w:color="1F497D"/>
              <w:right w:val="single" w:sz="6" w:space="0" w:color="1F497D"/>
            </w:tcBorders>
            <w:shd w:val="clear" w:color="auto" w:fill="FFFFFF"/>
          </w:tcPr>
          <w:p w:rsidR="0033725C" w:rsidRPr="003410C7" w:rsidRDefault="0033725C" w:rsidP="00A73DBD">
            <w:pPr>
              <w:pStyle w:val="TableText"/>
              <w:rPr>
                <w:rFonts w:ascii="Segoe" w:eastAsia="Calibri" w:hAnsi="Segoe"/>
              </w:rPr>
            </w:pPr>
            <w:r w:rsidRPr="003410C7">
              <w:rPr>
                <w:rFonts w:eastAsia="Calibri" w:cs="Segoe UI"/>
                <w:b/>
                <w:sz w:val="24"/>
                <w:szCs w:val="24"/>
              </w:rPr>
              <w:sym w:font="Wingdings" w:char="00FC"/>
            </w:r>
          </w:p>
        </w:tc>
        <w:tc>
          <w:tcPr>
            <w:tcW w:w="1125" w:type="dxa"/>
            <w:tcBorders>
              <w:top w:val="single" w:sz="6" w:space="0" w:color="1F497D"/>
              <w:left w:val="single" w:sz="6" w:space="0" w:color="1F497D"/>
              <w:bottom w:val="single" w:sz="6" w:space="0" w:color="1F497D"/>
              <w:right w:val="single" w:sz="6" w:space="0" w:color="1F497D"/>
            </w:tcBorders>
            <w:shd w:val="clear" w:color="auto" w:fill="FFFFFF"/>
          </w:tcPr>
          <w:p w:rsidR="0033725C" w:rsidRPr="003410C7" w:rsidRDefault="0033725C" w:rsidP="00A73DBD">
            <w:pPr>
              <w:pStyle w:val="TableText"/>
              <w:rPr>
                <w:rFonts w:eastAsia="Calibri" w:cs="Segoe UI"/>
                <w:b/>
                <w:sz w:val="24"/>
                <w:szCs w:val="24"/>
              </w:rPr>
            </w:pPr>
            <w:r w:rsidRPr="003410C7">
              <w:rPr>
                <w:rFonts w:eastAsia="Calibri" w:cs="Segoe UI"/>
                <w:b/>
                <w:sz w:val="24"/>
                <w:szCs w:val="24"/>
              </w:rPr>
              <w:sym w:font="Wingdings" w:char="00FC"/>
            </w:r>
            <w:r w:rsidRPr="003410C7">
              <w:rPr>
                <w:rFonts w:eastAsia="Calibri" w:cs="Segoe UI"/>
                <w:b/>
                <w:sz w:val="24"/>
                <w:szCs w:val="24"/>
                <w:vertAlign w:val="superscript"/>
              </w:rPr>
              <w:t>2</w:t>
            </w:r>
          </w:p>
        </w:tc>
        <w:tc>
          <w:tcPr>
            <w:tcW w:w="1305" w:type="dxa"/>
            <w:tcBorders>
              <w:top w:val="single" w:sz="6" w:space="0" w:color="1F497D"/>
              <w:left w:val="single" w:sz="6" w:space="0" w:color="1F497D"/>
              <w:bottom w:val="single" w:sz="6" w:space="0" w:color="1F497D"/>
              <w:right w:val="single" w:sz="6" w:space="0" w:color="1F497D"/>
            </w:tcBorders>
            <w:shd w:val="clear" w:color="auto" w:fill="FFFFFF"/>
          </w:tcPr>
          <w:p w:rsidR="0033725C" w:rsidRPr="003410C7" w:rsidRDefault="0033725C" w:rsidP="00A73DBD">
            <w:pPr>
              <w:pStyle w:val="TableText"/>
              <w:rPr>
                <w:rFonts w:eastAsia="Calibri" w:cs="Segoe UI"/>
                <w:b/>
                <w:sz w:val="24"/>
                <w:szCs w:val="24"/>
              </w:rPr>
            </w:pPr>
            <w:r w:rsidRPr="003410C7">
              <w:rPr>
                <w:rFonts w:eastAsia="Calibri" w:cs="Segoe UI"/>
                <w:b/>
                <w:sz w:val="24"/>
                <w:szCs w:val="24"/>
              </w:rPr>
              <w:sym w:font="Wingdings" w:char="00FC"/>
            </w:r>
          </w:p>
        </w:tc>
        <w:tc>
          <w:tcPr>
            <w:tcW w:w="1251" w:type="dxa"/>
            <w:tcBorders>
              <w:top w:val="single" w:sz="6" w:space="0" w:color="1F497D"/>
              <w:left w:val="single" w:sz="6" w:space="0" w:color="1F497D"/>
              <w:bottom w:val="single" w:sz="6" w:space="0" w:color="1F497D"/>
              <w:right w:val="single" w:sz="6" w:space="0" w:color="1F497D"/>
            </w:tcBorders>
            <w:shd w:val="clear" w:color="auto" w:fill="FFFFFF"/>
          </w:tcPr>
          <w:p w:rsidR="0033725C" w:rsidRPr="003410C7" w:rsidRDefault="0033725C" w:rsidP="00A73DBD">
            <w:pPr>
              <w:pStyle w:val="TableText"/>
              <w:rPr>
                <w:rFonts w:eastAsia="Calibri" w:cs="Segoe UI"/>
                <w:b/>
                <w:sz w:val="24"/>
                <w:szCs w:val="24"/>
              </w:rPr>
            </w:pPr>
          </w:p>
        </w:tc>
      </w:tr>
      <w:tr w:rsidR="000C172E" w:rsidRPr="003410C7" w:rsidTr="000C172E">
        <w:tc>
          <w:tcPr>
            <w:tcW w:w="2020" w:type="dxa"/>
            <w:tcBorders>
              <w:top w:val="single" w:sz="6" w:space="0" w:color="1F497D"/>
              <w:left w:val="single" w:sz="4" w:space="0" w:color="072B61"/>
              <w:bottom w:val="single" w:sz="6" w:space="0" w:color="1F497D"/>
              <w:right w:val="single" w:sz="6" w:space="0" w:color="1F497D"/>
            </w:tcBorders>
            <w:shd w:val="clear" w:color="auto" w:fill="FFFFFF"/>
          </w:tcPr>
          <w:p w:rsidR="0033725C" w:rsidRPr="00451078" w:rsidRDefault="0033725C" w:rsidP="000B5FBB">
            <w:pPr>
              <w:pStyle w:val="TableText"/>
              <w:jc w:val="left"/>
              <w:rPr>
                <w:rFonts w:ascii="Tahoma" w:eastAsia="Calibri" w:hAnsi="Tahoma" w:cs="Tahoma"/>
                <w:sz w:val="18"/>
                <w:szCs w:val="18"/>
                <w:lang w:val="it-IT"/>
              </w:rPr>
            </w:pPr>
            <w:r w:rsidRPr="00451078">
              <w:rPr>
                <w:rFonts w:ascii="Tahoma" w:eastAsia="Calibri" w:hAnsi="Tahoma" w:cs="Tahoma"/>
                <w:sz w:val="18"/>
                <w:szCs w:val="18"/>
                <w:lang w:val="it-IT"/>
              </w:rPr>
              <w:t xml:space="preserve">Condivisione di Attività utilizzando i client Microsoft </w:t>
            </w:r>
            <w:r w:rsidRPr="00451078">
              <w:rPr>
                <w:rFonts w:ascii="Tahoma" w:eastAsia="Calibri" w:hAnsi="Tahoma" w:cs="Tahoma"/>
                <w:sz w:val="18"/>
                <w:szCs w:val="18"/>
                <w:lang w:val="it-IT"/>
              </w:rPr>
              <w:lastRenderedPageBreak/>
              <w:t>Dynamics</w:t>
            </w:r>
            <w:r w:rsidR="000B5FBB" w:rsidRPr="00451078">
              <w:rPr>
                <w:rFonts w:ascii="Tahoma" w:eastAsia="Calibri" w:hAnsi="Tahoma" w:cs="Tahoma"/>
                <w:sz w:val="18"/>
                <w:szCs w:val="18"/>
                <w:lang w:val="it-IT"/>
              </w:rPr>
              <w:t> </w:t>
            </w:r>
            <w:r w:rsidRPr="00451078">
              <w:rPr>
                <w:rFonts w:ascii="Tahoma" w:eastAsia="Calibri" w:hAnsi="Tahoma" w:cs="Tahoma"/>
                <w:sz w:val="18"/>
                <w:szCs w:val="18"/>
                <w:lang w:val="it-IT"/>
              </w:rPr>
              <w:t>CRM</w:t>
            </w:r>
          </w:p>
        </w:tc>
        <w:tc>
          <w:tcPr>
            <w:tcW w:w="972" w:type="dxa"/>
            <w:tcBorders>
              <w:top w:val="single" w:sz="6" w:space="0" w:color="1F497D"/>
              <w:left w:val="single" w:sz="6" w:space="0" w:color="1F497D"/>
              <w:bottom w:val="single" w:sz="6" w:space="0" w:color="1F497D"/>
              <w:right w:val="single" w:sz="6" w:space="0" w:color="1F497D"/>
            </w:tcBorders>
            <w:shd w:val="clear" w:color="auto" w:fill="FFFFFF"/>
          </w:tcPr>
          <w:p w:rsidR="0033725C" w:rsidRPr="00451078" w:rsidRDefault="0033725C" w:rsidP="00A73DBD">
            <w:pPr>
              <w:pStyle w:val="TableText"/>
              <w:rPr>
                <w:rFonts w:eastAsia="Calibri" w:cs="Segoe UI"/>
                <w:b/>
                <w:sz w:val="24"/>
                <w:szCs w:val="24"/>
                <w:lang w:val="it-IT"/>
              </w:rPr>
            </w:pPr>
          </w:p>
        </w:tc>
        <w:tc>
          <w:tcPr>
            <w:tcW w:w="1053" w:type="dxa"/>
            <w:tcBorders>
              <w:top w:val="single" w:sz="6" w:space="0" w:color="1F497D"/>
              <w:left w:val="single" w:sz="6" w:space="0" w:color="1F497D"/>
              <w:bottom w:val="single" w:sz="6" w:space="0" w:color="1F497D"/>
              <w:right w:val="single" w:sz="6" w:space="0" w:color="1F497D"/>
            </w:tcBorders>
            <w:shd w:val="clear" w:color="auto" w:fill="FFFFFF"/>
          </w:tcPr>
          <w:p w:rsidR="0033725C" w:rsidRPr="003410C7" w:rsidRDefault="0033725C" w:rsidP="00A73DBD">
            <w:pPr>
              <w:pStyle w:val="TableText"/>
              <w:rPr>
                <w:rFonts w:ascii="Segoe" w:eastAsia="Calibri" w:hAnsi="Segoe"/>
              </w:rPr>
            </w:pPr>
            <w:r w:rsidRPr="003410C7">
              <w:rPr>
                <w:rFonts w:eastAsia="Calibri" w:cs="Segoe UI"/>
                <w:b/>
                <w:sz w:val="24"/>
                <w:szCs w:val="24"/>
              </w:rPr>
              <w:sym w:font="Wingdings" w:char="00FC"/>
            </w:r>
            <w:r w:rsidRPr="003410C7">
              <w:rPr>
                <w:rFonts w:eastAsia="Calibri" w:cs="Segoe UI"/>
                <w:b/>
                <w:sz w:val="24"/>
                <w:szCs w:val="24"/>
                <w:vertAlign w:val="superscript"/>
              </w:rPr>
              <w:t>2</w:t>
            </w:r>
          </w:p>
        </w:tc>
        <w:tc>
          <w:tcPr>
            <w:tcW w:w="1152" w:type="dxa"/>
            <w:tcBorders>
              <w:top w:val="single" w:sz="6" w:space="0" w:color="1F497D"/>
              <w:left w:val="single" w:sz="6" w:space="0" w:color="1F497D"/>
              <w:bottom w:val="single" w:sz="6" w:space="0" w:color="1F497D"/>
              <w:right w:val="single" w:sz="6" w:space="0" w:color="1F497D"/>
            </w:tcBorders>
            <w:shd w:val="clear" w:color="auto" w:fill="FFFFFF"/>
          </w:tcPr>
          <w:p w:rsidR="0033725C" w:rsidRPr="003410C7" w:rsidRDefault="0033725C" w:rsidP="00A73DBD">
            <w:pPr>
              <w:pStyle w:val="TableText"/>
              <w:rPr>
                <w:rFonts w:ascii="Segoe" w:eastAsia="Calibri" w:hAnsi="Segoe"/>
              </w:rPr>
            </w:pPr>
            <w:r w:rsidRPr="003410C7">
              <w:rPr>
                <w:rFonts w:eastAsia="Calibri" w:cs="Segoe UI"/>
                <w:b/>
                <w:sz w:val="24"/>
                <w:szCs w:val="24"/>
              </w:rPr>
              <w:sym w:font="Wingdings" w:char="00FC"/>
            </w:r>
          </w:p>
        </w:tc>
        <w:tc>
          <w:tcPr>
            <w:tcW w:w="1125" w:type="dxa"/>
            <w:tcBorders>
              <w:top w:val="single" w:sz="6" w:space="0" w:color="1F497D"/>
              <w:left w:val="single" w:sz="6" w:space="0" w:color="1F497D"/>
              <w:bottom w:val="single" w:sz="6" w:space="0" w:color="1F497D"/>
              <w:right w:val="single" w:sz="6" w:space="0" w:color="1F497D"/>
            </w:tcBorders>
            <w:shd w:val="clear" w:color="auto" w:fill="FFFFFF"/>
          </w:tcPr>
          <w:p w:rsidR="0033725C" w:rsidRPr="003410C7" w:rsidRDefault="0033725C" w:rsidP="00A73DBD">
            <w:pPr>
              <w:pStyle w:val="TableText"/>
              <w:rPr>
                <w:rFonts w:eastAsia="Calibri" w:cs="Segoe UI"/>
                <w:b/>
                <w:sz w:val="24"/>
                <w:szCs w:val="24"/>
              </w:rPr>
            </w:pPr>
            <w:r w:rsidRPr="003410C7">
              <w:rPr>
                <w:rFonts w:eastAsia="Calibri" w:cs="Segoe UI"/>
                <w:b/>
                <w:sz w:val="24"/>
                <w:szCs w:val="24"/>
              </w:rPr>
              <w:sym w:font="Wingdings" w:char="00FC"/>
            </w:r>
            <w:r w:rsidRPr="003410C7">
              <w:rPr>
                <w:rFonts w:eastAsia="Calibri" w:cs="Segoe UI"/>
                <w:b/>
                <w:sz w:val="24"/>
                <w:szCs w:val="24"/>
                <w:vertAlign w:val="superscript"/>
              </w:rPr>
              <w:t>2</w:t>
            </w:r>
          </w:p>
        </w:tc>
        <w:tc>
          <w:tcPr>
            <w:tcW w:w="1305" w:type="dxa"/>
            <w:tcBorders>
              <w:top w:val="single" w:sz="6" w:space="0" w:color="1F497D"/>
              <w:left w:val="single" w:sz="6" w:space="0" w:color="1F497D"/>
              <w:bottom w:val="single" w:sz="6" w:space="0" w:color="1F497D"/>
              <w:right w:val="single" w:sz="6" w:space="0" w:color="1F497D"/>
            </w:tcBorders>
            <w:shd w:val="clear" w:color="auto" w:fill="FFFFFF"/>
          </w:tcPr>
          <w:p w:rsidR="0033725C" w:rsidRPr="003410C7" w:rsidRDefault="0033725C" w:rsidP="00A73DBD">
            <w:pPr>
              <w:pStyle w:val="TableText"/>
              <w:rPr>
                <w:rFonts w:eastAsia="Calibri" w:cs="Segoe UI"/>
                <w:b/>
                <w:sz w:val="24"/>
                <w:szCs w:val="24"/>
              </w:rPr>
            </w:pPr>
            <w:r w:rsidRPr="003410C7">
              <w:rPr>
                <w:rFonts w:eastAsia="Calibri" w:cs="Segoe UI"/>
                <w:b/>
                <w:sz w:val="24"/>
                <w:szCs w:val="24"/>
              </w:rPr>
              <w:sym w:font="Wingdings" w:char="00FC"/>
            </w:r>
          </w:p>
        </w:tc>
        <w:tc>
          <w:tcPr>
            <w:tcW w:w="1251" w:type="dxa"/>
            <w:tcBorders>
              <w:top w:val="single" w:sz="6" w:space="0" w:color="1F497D"/>
              <w:left w:val="single" w:sz="6" w:space="0" w:color="1F497D"/>
              <w:bottom w:val="single" w:sz="6" w:space="0" w:color="1F497D"/>
              <w:right w:val="single" w:sz="6" w:space="0" w:color="1F497D"/>
            </w:tcBorders>
            <w:shd w:val="clear" w:color="auto" w:fill="FFFFFF"/>
          </w:tcPr>
          <w:p w:rsidR="0033725C" w:rsidRPr="003410C7" w:rsidRDefault="0033725C" w:rsidP="00A73DBD">
            <w:pPr>
              <w:pStyle w:val="TableText"/>
              <w:rPr>
                <w:rFonts w:eastAsia="Calibri" w:cs="Segoe UI"/>
                <w:b/>
                <w:sz w:val="24"/>
                <w:szCs w:val="24"/>
              </w:rPr>
            </w:pPr>
          </w:p>
        </w:tc>
      </w:tr>
      <w:tr w:rsidR="000C172E" w:rsidRPr="003410C7" w:rsidTr="000C172E">
        <w:tc>
          <w:tcPr>
            <w:tcW w:w="2020" w:type="dxa"/>
            <w:tcBorders>
              <w:top w:val="single" w:sz="6" w:space="0" w:color="1F497D"/>
              <w:left w:val="single" w:sz="4" w:space="0" w:color="072B61"/>
              <w:bottom w:val="single" w:sz="6" w:space="0" w:color="1F497D"/>
              <w:right w:val="single" w:sz="6" w:space="0" w:color="1F497D"/>
            </w:tcBorders>
            <w:shd w:val="clear" w:color="auto" w:fill="FFFFFF"/>
          </w:tcPr>
          <w:p w:rsidR="0033725C" w:rsidRPr="00451078" w:rsidRDefault="0033725C" w:rsidP="000B5FBB">
            <w:pPr>
              <w:pStyle w:val="TableText"/>
              <w:jc w:val="left"/>
              <w:rPr>
                <w:rFonts w:ascii="Tahoma" w:eastAsia="Calibri" w:hAnsi="Tahoma" w:cs="Tahoma"/>
                <w:sz w:val="18"/>
                <w:szCs w:val="18"/>
                <w:lang w:val="it-IT"/>
              </w:rPr>
            </w:pPr>
            <w:r w:rsidRPr="00451078">
              <w:rPr>
                <w:rFonts w:ascii="Tahoma" w:eastAsia="Calibri" w:hAnsi="Tahoma" w:cs="Tahoma"/>
                <w:sz w:val="18"/>
                <w:szCs w:val="18"/>
                <w:lang w:val="it-IT"/>
              </w:rPr>
              <w:lastRenderedPageBreak/>
              <w:t>Creazione di record delle persone giuridiche personalizzati utilizzando i client Microsoft Dynamics</w:t>
            </w:r>
            <w:r w:rsidR="000B5FBB" w:rsidRPr="00451078">
              <w:rPr>
                <w:rFonts w:ascii="Tahoma" w:eastAsia="Calibri" w:hAnsi="Tahoma" w:cs="Tahoma"/>
                <w:sz w:val="18"/>
                <w:szCs w:val="18"/>
                <w:lang w:val="it-IT"/>
              </w:rPr>
              <w:t> </w:t>
            </w:r>
            <w:r w:rsidRPr="00451078">
              <w:rPr>
                <w:rFonts w:ascii="Tahoma" w:eastAsia="Calibri" w:hAnsi="Tahoma" w:cs="Tahoma"/>
                <w:sz w:val="18"/>
                <w:szCs w:val="18"/>
                <w:lang w:val="it-IT"/>
              </w:rPr>
              <w:t>CRM</w:t>
            </w:r>
          </w:p>
        </w:tc>
        <w:tc>
          <w:tcPr>
            <w:tcW w:w="972" w:type="dxa"/>
            <w:tcBorders>
              <w:top w:val="single" w:sz="6" w:space="0" w:color="1F497D"/>
              <w:left w:val="single" w:sz="6" w:space="0" w:color="1F497D"/>
              <w:bottom w:val="single" w:sz="6" w:space="0" w:color="1F497D"/>
              <w:right w:val="single" w:sz="6" w:space="0" w:color="1F497D"/>
            </w:tcBorders>
            <w:shd w:val="clear" w:color="auto" w:fill="FFFFFF"/>
          </w:tcPr>
          <w:p w:rsidR="0033725C" w:rsidRPr="00451078" w:rsidRDefault="0033725C" w:rsidP="00A73DBD">
            <w:pPr>
              <w:pStyle w:val="TableText"/>
              <w:rPr>
                <w:rFonts w:eastAsia="Calibri" w:cs="Segoe UI"/>
                <w:b/>
                <w:sz w:val="24"/>
                <w:szCs w:val="24"/>
                <w:lang w:val="it-IT"/>
              </w:rPr>
            </w:pPr>
          </w:p>
        </w:tc>
        <w:tc>
          <w:tcPr>
            <w:tcW w:w="1053" w:type="dxa"/>
            <w:tcBorders>
              <w:top w:val="single" w:sz="6" w:space="0" w:color="1F497D"/>
              <w:left w:val="single" w:sz="6" w:space="0" w:color="1F497D"/>
              <w:bottom w:val="single" w:sz="6" w:space="0" w:color="1F497D"/>
              <w:right w:val="single" w:sz="6" w:space="0" w:color="1F497D"/>
            </w:tcBorders>
            <w:shd w:val="clear" w:color="auto" w:fill="FFFFFF"/>
          </w:tcPr>
          <w:p w:rsidR="0033725C" w:rsidRPr="00451078" w:rsidRDefault="0033725C" w:rsidP="00A73DBD">
            <w:pPr>
              <w:pStyle w:val="TableText"/>
              <w:rPr>
                <w:rFonts w:eastAsia="Calibri" w:cs="Segoe UI"/>
                <w:b/>
                <w:sz w:val="24"/>
                <w:szCs w:val="24"/>
                <w:lang w:val="it-IT"/>
              </w:rPr>
            </w:pPr>
          </w:p>
        </w:tc>
        <w:tc>
          <w:tcPr>
            <w:tcW w:w="1152" w:type="dxa"/>
            <w:tcBorders>
              <w:top w:val="single" w:sz="6" w:space="0" w:color="1F497D"/>
              <w:left w:val="single" w:sz="6" w:space="0" w:color="1F497D"/>
              <w:bottom w:val="single" w:sz="6" w:space="0" w:color="1F497D"/>
              <w:right w:val="single" w:sz="6" w:space="0" w:color="1F497D"/>
            </w:tcBorders>
            <w:shd w:val="clear" w:color="auto" w:fill="FFFFFF"/>
          </w:tcPr>
          <w:p w:rsidR="0033725C" w:rsidRPr="003410C7" w:rsidRDefault="0033725C" w:rsidP="00A73DBD">
            <w:pPr>
              <w:pStyle w:val="TableText"/>
              <w:rPr>
                <w:rFonts w:eastAsia="Calibri" w:cs="Segoe UI"/>
                <w:b/>
                <w:sz w:val="24"/>
                <w:szCs w:val="24"/>
              </w:rPr>
            </w:pPr>
            <w:r w:rsidRPr="003410C7">
              <w:rPr>
                <w:rFonts w:eastAsia="Calibri" w:cs="Segoe UI"/>
                <w:b/>
                <w:sz w:val="24"/>
                <w:szCs w:val="24"/>
              </w:rPr>
              <w:sym w:font="Wingdings" w:char="00FC"/>
            </w:r>
          </w:p>
        </w:tc>
        <w:tc>
          <w:tcPr>
            <w:tcW w:w="1125" w:type="dxa"/>
            <w:tcBorders>
              <w:top w:val="single" w:sz="6" w:space="0" w:color="1F497D"/>
              <w:left w:val="single" w:sz="6" w:space="0" w:color="1F497D"/>
              <w:bottom w:val="single" w:sz="6" w:space="0" w:color="1F497D"/>
              <w:right w:val="single" w:sz="6" w:space="0" w:color="1F497D"/>
            </w:tcBorders>
            <w:shd w:val="clear" w:color="auto" w:fill="FFFFFF"/>
          </w:tcPr>
          <w:p w:rsidR="0033725C" w:rsidRPr="003410C7" w:rsidRDefault="0033725C" w:rsidP="00A73DBD">
            <w:pPr>
              <w:pStyle w:val="TableText"/>
              <w:rPr>
                <w:rFonts w:eastAsia="Calibri" w:cs="Segoe UI"/>
                <w:b/>
                <w:sz w:val="24"/>
                <w:szCs w:val="24"/>
              </w:rPr>
            </w:pPr>
          </w:p>
        </w:tc>
        <w:tc>
          <w:tcPr>
            <w:tcW w:w="1305" w:type="dxa"/>
            <w:tcBorders>
              <w:top w:val="single" w:sz="6" w:space="0" w:color="1F497D"/>
              <w:left w:val="single" w:sz="6" w:space="0" w:color="1F497D"/>
              <w:bottom w:val="single" w:sz="6" w:space="0" w:color="1F497D"/>
              <w:right w:val="single" w:sz="6" w:space="0" w:color="1F497D"/>
            </w:tcBorders>
            <w:shd w:val="clear" w:color="auto" w:fill="FFFFFF"/>
          </w:tcPr>
          <w:p w:rsidR="0033725C" w:rsidRPr="003410C7" w:rsidRDefault="0033725C" w:rsidP="00A73DBD">
            <w:pPr>
              <w:pStyle w:val="TableText"/>
              <w:rPr>
                <w:rFonts w:eastAsia="Calibri" w:cs="Segoe UI"/>
                <w:b/>
                <w:sz w:val="24"/>
                <w:szCs w:val="24"/>
              </w:rPr>
            </w:pPr>
            <w:r w:rsidRPr="003410C7">
              <w:rPr>
                <w:rFonts w:eastAsia="Calibri" w:cs="Segoe UI"/>
                <w:b/>
                <w:sz w:val="24"/>
                <w:szCs w:val="24"/>
              </w:rPr>
              <w:sym w:font="Wingdings" w:char="00FC"/>
            </w:r>
          </w:p>
        </w:tc>
        <w:tc>
          <w:tcPr>
            <w:tcW w:w="1251" w:type="dxa"/>
            <w:tcBorders>
              <w:top w:val="single" w:sz="6" w:space="0" w:color="1F497D"/>
              <w:left w:val="single" w:sz="6" w:space="0" w:color="1F497D"/>
              <w:bottom w:val="single" w:sz="6" w:space="0" w:color="1F497D"/>
              <w:right w:val="single" w:sz="6" w:space="0" w:color="1F497D"/>
            </w:tcBorders>
            <w:shd w:val="clear" w:color="auto" w:fill="FFFFFF"/>
          </w:tcPr>
          <w:p w:rsidR="0033725C" w:rsidRPr="003410C7" w:rsidRDefault="0033725C" w:rsidP="00A73DBD">
            <w:pPr>
              <w:pStyle w:val="TableText"/>
              <w:rPr>
                <w:rFonts w:eastAsia="Calibri" w:cs="Segoe UI"/>
                <w:b/>
                <w:sz w:val="24"/>
                <w:szCs w:val="24"/>
              </w:rPr>
            </w:pPr>
          </w:p>
        </w:tc>
      </w:tr>
      <w:tr w:rsidR="000C172E" w:rsidRPr="003410C7" w:rsidTr="000C172E">
        <w:tc>
          <w:tcPr>
            <w:tcW w:w="2020" w:type="dxa"/>
            <w:tcBorders>
              <w:top w:val="single" w:sz="6" w:space="0" w:color="1F497D"/>
              <w:left w:val="single" w:sz="4" w:space="0" w:color="072B61"/>
              <w:bottom w:val="single" w:sz="6" w:space="0" w:color="1F497D"/>
              <w:right w:val="single" w:sz="6" w:space="0" w:color="1F497D"/>
            </w:tcBorders>
            <w:shd w:val="clear" w:color="auto" w:fill="FFFFFF"/>
          </w:tcPr>
          <w:p w:rsidR="0033725C" w:rsidRPr="00451078" w:rsidRDefault="0033725C" w:rsidP="000B5FBB">
            <w:pPr>
              <w:pStyle w:val="TableText"/>
              <w:jc w:val="left"/>
              <w:rPr>
                <w:rFonts w:ascii="Tahoma" w:eastAsia="Calibri" w:hAnsi="Tahoma" w:cs="Tahoma"/>
                <w:sz w:val="18"/>
                <w:szCs w:val="18"/>
                <w:lang w:val="it-IT"/>
              </w:rPr>
            </w:pPr>
            <w:r w:rsidRPr="00451078">
              <w:rPr>
                <w:rFonts w:ascii="Tahoma" w:eastAsia="Calibri" w:hAnsi="Tahoma" w:cs="Tahoma"/>
                <w:sz w:val="18"/>
                <w:szCs w:val="18"/>
                <w:lang w:val="it-IT"/>
              </w:rPr>
              <w:t>Aggiornamento di record delle persone giuridiche personalizzati utilizzando i client Microsoft Dynamics</w:t>
            </w:r>
            <w:r w:rsidR="000B5FBB" w:rsidRPr="00451078">
              <w:rPr>
                <w:rFonts w:ascii="Tahoma" w:eastAsia="Calibri" w:hAnsi="Tahoma" w:cs="Tahoma"/>
                <w:sz w:val="18"/>
                <w:szCs w:val="18"/>
                <w:lang w:val="it-IT"/>
              </w:rPr>
              <w:t> </w:t>
            </w:r>
            <w:r w:rsidRPr="00451078">
              <w:rPr>
                <w:rFonts w:ascii="Tahoma" w:eastAsia="Calibri" w:hAnsi="Tahoma" w:cs="Tahoma"/>
                <w:sz w:val="18"/>
                <w:szCs w:val="18"/>
                <w:lang w:val="it-IT"/>
              </w:rPr>
              <w:t>CRM</w:t>
            </w:r>
          </w:p>
        </w:tc>
        <w:tc>
          <w:tcPr>
            <w:tcW w:w="972" w:type="dxa"/>
            <w:tcBorders>
              <w:top w:val="single" w:sz="6" w:space="0" w:color="1F497D"/>
              <w:left w:val="single" w:sz="6" w:space="0" w:color="1F497D"/>
              <w:bottom w:val="single" w:sz="6" w:space="0" w:color="1F497D"/>
              <w:right w:val="single" w:sz="6" w:space="0" w:color="1F497D"/>
            </w:tcBorders>
            <w:shd w:val="clear" w:color="auto" w:fill="FFFFFF"/>
          </w:tcPr>
          <w:p w:rsidR="0033725C" w:rsidRPr="00451078" w:rsidRDefault="0033725C" w:rsidP="00A73DBD">
            <w:pPr>
              <w:pStyle w:val="TableText"/>
              <w:rPr>
                <w:rFonts w:eastAsia="Calibri" w:cs="Segoe UI"/>
                <w:b/>
                <w:sz w:val="24"/>
                <w:szCs w:val="24"/>
                <w:lang w:val="it-IT"/>
              </w:rPr>
            </w:pPr>
          </w:p>
        </w:tc>
        <w:tc>
          <w:tcPr>
            <w:tcW w:w="1053" w:type="dxa"/>
            <w:tcBorders>
              <w:top w:val="single" w:sz="6" w:space="0" w:color="1F497D"/>
              <w:left w:val="single" w:sz="6" w:space="0" w:color="1F497D"/>
              <w:bottom w:val="single" w:sz="6" w:space="0" w:color="1F497D"/>
              <w:right w:val="single" w:sz="6" w:space="0" w:color="1F497D"/>
            </w:tcBorders>
            <w:shd w:val="clear" w:color="auto" w:fill="FFFFFF"/>
          </w:tcPr>
          <w:p w:rsidR="0033725C" w:rsidRPr="00451078" w:rsidRDefault="0033725C" w:rsidP="00A73DBD">
            <w:pPr>
              <w:pStyle w:val="TableText"/>
              <w:rPr>
                <w:rFonts w:eastAsia="Calibri" w:cs="Segoe UI"/>
                <w:b/>
                <w:sz w:val="24"/>
                <w:szCs w:val="24"/>
                <w:lang w:val="it-IT"/>
              </w:rPr>
            </w:pPr>
          </w:p>
        </w:tc>
        <w:tc>
          <w:tcPr>
            <w:tcW w:w="1152" w:type="dxa"/>
            <w:tcBorders>
              <w:top w:val="single" w:sz="6" w:space="0" w:color="1F497D"/>
              <w:left w:val="single" w:sz="6" w:space="0" w:color="1F497D"/>
              <w:bottom w:val="single" w:sz="6" w:space="0" w:color="1F497D"/>
              <w:right w:val="single" w:sz="6" w:space="0" w:color="1F497D"/>
            </w:tcBorders>
            <w:shd w:val="clear" w:color="auto" w:fill="FFFFFF"/>
          </w:tcPr>
          <w:p w:rsidR="0033725C" w:rsidRPr="003410C7" w:rsidRDefault="0033725C" w:rsidP="00A73DBD">
            <w:pPr>
              <w:pStyle w:val="TableText"/>
              <w:rPr>
                <w:rFonts w:eastAsia="Calibri" w:cs="Segoe UI"/>
                <w:b/>
                <w:sz w:val="24"/>
                <w:szCs w:val="24"/>
              </w:rPr>
            </w:pPr>
            <w:r w:rsidRPr="003410C7">
              <w:rPr>
                <w:rFonts w:eastAsia="Calibri" w:cs="Segoe UI"/>
                <w:b/>
                <w:sz w:val="24"/>
                <w:szCs w:val="24"/>
              </w:rPr>
              <w:sym w:font="Wingdings" w:char="00FC"/>
            </w:r>
          </w:p>
        </w:tc>
        <w:tc>
          <w:tcPr>
            <w:tcW w:w="1125" w:type="dxa"/>
            <w:tcBorders>
              <w:top w:val="single" w:sz="6" w:space="0" w:color="1F497D"/>
              <w:left w:val="single" w:sz="6" w:space="0" w:color="1F497D"/>
              <w:bottom w:val="single" w:sz="6" w:space="0" w:color="1F497D"/>
              <w:right w:val="single" w:sz="6" w:space="0" w:color="1F497D"/>
            </w:tcBorders>
            <w:shd w:val="clear" w:color="auto" w:fill="FFFFFF"/>
          </w:tcPr>
          <w:p w:rsidR="0033725C" w:rsidRPr="003410C7" w:rsidRDefault="0033725C" w:rsidP="00A73DBD">
            <w:pPr>
              <w:pStyle w:val="TableText"/>
              <w:rPr>
                <w:rFonts w:eastAsia="Calibri" w:cs="Segoe UI"/>
                <w:b/>
                <w:sz w:val="24"/>
                <w:szCs w:val="24"/>
              </w:rPr>
            </w:pPr>
          </w:p>
        </w:tc>
        <w:tc>
          <w:tcPr>
            <w:tcW w:w="1305" w:type="dxa"/>
            <w:tcBorders>
              <w:top w:val="single" w:sz="6" w:space="0" w:color="1F497D"/>
              <w:left w:val="single" w:sz="6" w:space="0" w:color="1F497D"/>
              <w:bottom w:val="single" w:sz="6" w:space="0" w:color="1F497D"/>
              <w:right w:val="single" w:sz="6" w:space="0" w:color="1F497D"/>
            </w:tcBorders>
            <w:shd w:val="clear" w:color="auto" w:fill="FFFFFF"/>
          </w:tcPr>
          <w:p w:rsidR="0033725C" w:rsidRPr="003410C7" w:rsidRDefault="0033725C" w:rsidP="00A73DBD">
            <w:pPr>
              <w:pStyle w:val="TableText"/>
              <w:rPr>
                <w:rFonts w:eastAsia="Calibri" w:cs="Segoe UI"/>
                <w:b/>
                <w:sz w:val="24"/>
                <w:szCs w:val="24"/>
              </w:rPr>
            </w:pPr>
            <w:r w:rsidRPr="003410C7">
              <w:rPr>
                <w:rFonts w:eastAsia="Calibri" w:cs="Segoe UI"/>
                <w:b/>
                <w:sz w:val="24"/>
                <w:szCs w:val="24"/>
              </w:rPr>
              <w:sym w:font="Wingdings" w:char="00FC"/>
            </w:r>
          </w:p>
        </w:tc>
        <w:tc>
          <w:tcPr>
            <w:tcW w:w="1251" w:type="dxa"/>
            <w:tcBorders>
              <w:top w:val="single" w:sz="6" w:space="0" w:color="1F497D"/>
              <w:left w:val="single" w:sz="6" w:space="0" w:color="1F497D"/>
              <w:bottom w:val="single" w:sz="6" w:space="0" w:color="1F497D"/>
              <w:right w:val="single" w:sz="6" w:space="0" w:color="1F497D"/>
            </w:tcBorders>
            <w:shd w:val="clear" w:color="auto" w:fill="FFFFFF"/>
          </w:tcPr>
          <w:p w:rsidR="0033725C" w:rsidRPr="003410C7" w:rsidRDefault="0033725C" w:rsidP="00A73DBD">
            <w:pPr>
              <w:pStyle w:val="TableText"/>
              <w:rPr>
                <w:rFonts w:eastAsia="Calibri" w:cs="Segoe UI"/>
                <w:b/>
                <w:sz w:val="24"/>
                <w:szCs w:val="24"/>
              </w:rPr>
            </w:pPr>
          </w:p>
        </w:tc>
      </w:tr>
      <w:tr w:rsidR="000C172E" w:rsidRPr="003410C7" w:rsidTr="000C172E">
        <w:tc>
          <w:tcPr>
            <w:tcW w:w="2020" w:type="dxa"/>
            <w:tcBorders>
              <w:top w:val="single" w:sz="6" w:space="0" w:color="1F497D"/>
              <w:left w:val="single" w:sz="4" w:space="0" w:color="072B61"/>
              <w:bottom w:val="single" w:sz="6" w:space="0" w:color="1F497D"/>
              <w:right w:val="single" w:sz="6" w:space="0" w:color="1F497D"/>
            </w:tcBorders>
            <w:shd w:val="clear" w:color="auto" w:fill="FFFFFF"/>
          </w:tcPr>
          <w:p w:rsidR="0033725C" w:rsidRPr="00451078" w:rsidRDefault="0033725C" w:rsidP="000B5FBB">
            <w:pPr>
              <w:pStyle w:val="TableText"/>
              <w:jc w:val="left"/>
              <w:rPr>
                <w:rFonts w:ascii="Tahoma" w:eastAsia="Calibri" w:hAnsi="Tahoma" w:cs="Tahoma"/>
                <w:sz w:val="18"/>
                <w:szCs w:val="18"/>
                <w:lang w:val="it-IT"/>
              </w:rPr>
            </w:pPr>
            <w:r w:rsidRPr="00451078">
              <w:rPr>
                <w:rFonts w:ascii="Tahoma" w:eastAsia="Calibri" w:hAnsi="Tahoma" w:cs="Tahoma"/>
                <w:sz w:val="18"/>
                <w:szCs w:val="18"/>
                <w:lang w:val="it-IT"/>
              </w:rPr>
              <w:t>Aggiunta di privilegi per i record delle attività personalizzati utilizzando i client Microsoft Dynamics</w:t>
            </w:r>
            <w:r w:rsidR="000B5FBB" w:rsidRPr="00451078">
              <w:rPr>
                <w:rFonts w:ascii="Tahoma" w:eastAsia="Calibri" w:hAnsi="Tahoma" w:cs="Tahoma"/>
                <w:sz w:val="18"/>
                <w:szCs w:val="18"/>
                <w:lang w:val="it-IT"/>
              </w:rPr>
              <w:t> </w:t>
            </w:r>
            <w:r w:rsidRPr="00451078">
              <w:rPr>
                <w:rFonts w:ascii="Tahoma" w:eastAsia="Calibri" w:hAnsi="Tahoma" w:cs="Tahoma"/>
                <w:sz w:val="18"/>
                <w:szCs w:val="18"/>
                <w:lang w:val="it-IT"/>
              </w:rPr>
              <w:t>CRM</w:t>
            </w:r>
          </w:p>
        </w:tc>
        <w:tc>
          <w:tcPr>
            <w:tcW w:w="972" w:type="dxa"/>
            <w:tcBorders>
              <w:top w:val="single" w:sz="6" w:space="0" w:color="1F497D"/>
              <w:left w:val="single" w:sz="6" w:space="0" w:color="1F497D"/>
              <w:bottom w:val="single" w:sz="6" w:space="0" w:color="1F497D"/>
              <w:right w:val="single" w:sz="6" w:space="0" w:color="1F497D"/>
            </w:tcBorders>
            <w:shd w:val="clear" w:color="auto" w:fill="FFFFFF"/>
          </w:tcPr>
          <w:p w:rsidR="0033725C" w:rsidRPr="00451078" w:rsidRDefault="0033725C" w:rsidP="00A73DBD">
            <w:pPr>
              <w:pStyle w:val="TableText"/>
              <w:rPr>
                <w:rFonts w:eastAsia="Calibri" w:cs="Segoe UI"/>
                <w:b/>
                <w:sz w:val="24"/>
                <w:szCs w:val="24"/>
                <w:lang w:val="it-IT"/>
              </w:rPr>
            </w:pPr>
          </w:p>
        </w:tc>
        <w:tc>
          <w:tcPr>
            <w:tcW w:w="1053" w:type="dxa"/>
            <w:tcBorders>
              <w:top w:val="single" w:sz="6" w:space="0" w:color="1F497D"/>
              <w:left w:val="single" w:sz="6" w:space="0" w:color="1F497D"/>
              <w:bottom w:val="single" w:sz="6" w:space="0" w:color="1F497D"/>
              <w:right w:val="single" w:sz="6" w:space="0" w:color="1F497D"/>
            </w:tcBorders>
            <w:shd w:val="clear" w:color="auto" w:fill="FFFFFF"/>
          </w:tcPr>
          <w:p w:rsidR="0033725C" w:rsidRPr="003410C7" w:rsidRDefault="0033725C" w:rsidP="00A73DBD">
            <w:pPr>
              <w:pStyle w:val="TableText"/>
              <w:rPr>
                <w:rFonts w:eastAsia="Calibri" w:cs="Segoe UI"/>
                <w:b/>
                <w:sz w:val="24"/>
                <w:szCs w:val="24"/>
              </w:rPr>
            </w:pPr>
            <w:r w:rsidRPr="003410C7">
              <w:rPr>
                <w:rFonts w:eastAsia="Calibri" w:cs="Segoe UI"/>
                <w:b/>
                <w:sz w:val="24"/>
                <w:szCs w:val="24"/>
              </w:rPr>
              <w:sym w:font="Wingdings" w:char="00FC"/>
            </w:r>
            <w:r w:rsidRPr="003410C7">
              <w:rPr>
                <w:rFonts w:eastAsia="Calibri" w:cs="Segoe UI"/>
                <w:b/>
                <w:sz w:val="24"/>
                <w:szCs w:val="24"/>
                <w:vertAlign w:val="superscript"/>
              </w:rPr>
              <w:t>3</w:t>
            </w:r>
          </w:p>
        </w:tc>
        <w:tc>
          <w:tcPr>
            <w:tcW w:w="1152" w:type="dxa"/>
            <w:tcBorders>
              <w:top w:val="single" w:sz="6" w:space="0" w:color="1F497D"/>
              <w:left w:val="single" w:sz="6" w:space="0" w:color="1F497D"/>
              <w:bottom w:val="single" w:sz="6" w:space="0" w:color="1F497D"/>
              <w:right w:val="single" w:sz="6" w:space="0" w:color="1F497D"/>
            </w:tcBorders>
            <w:shd w:val="clear" w:color="auto" w:fill="FFFFFF"/>
          </w:tcPr>
          <w:p w:rsidR="0033725C" w:rsidRPr="003410C7" w:rsidRDefault="0033725C" w:rsidP="00A73DBD">
            <w:pPr>
              <w:pStyle w:val="TableText"/>
              <w:rPr>
                <w:rFonts w:eastAsia="Calibri" w:cs="Segoe UI"/>
                <w:b/>
                <w:sz w:val="24"/>
                <w:szCs w:val="24"/>
              </w:rPr>
            </w:pPr>
            <w:r w:rsidRPr="003410C7">
              <w:rPr>
                <w:rFonts w:eastAsia="Calibri" w:cs="Segoe UI"/>
                <w:b/>
                <w:sz w:val="24"/>
                <w:szCs w:val="24"/>
              </w:rPr>
              <w:sym w:font="Wingdings" w:char="00FC"/>
            </w:r>
          </w:p>
        </w:tc>
        <w:tc>
          <w:tcPr>
            <w:tcW w:w="1125" w:type="dxa"/>
            <w:tcBorders>
              <w:top w:val="single" w:sz="6" w:space="0" w:color="1F497D"/>
              <w:left w:val="single" w:sz="6" w:space="0" w:color="1F497D"/>
              <w:bottom w:val="single" w:sz="6" w:space="0" w:color="1F497D"/>
              <w:right w:val="single" w:sz="6" w:space="0" w:color="1F497D"/>
            </w:tcBorders>
            <w:shd w:val="clear" w:color="auto" w:fill="FFFFFF"/>
          </w:tcPr>
          <w:p w:rsidR="0033725C" w:rsidRPr="003410C7" w:rsidRDefault="0033725C" w:rsidP="00A73DBD">
            <w:pPr>
              <w:pStyle w:val="TableText"/>
              <w:rPr>
                <w:rFonts w:eastAsia="Calibri" w:cs="Segoe UI"/>
                <w:b/>
                <w:sz w:val="24"/>
                <w:szCs w:val="24"/>
              </w:rPr>
            </w:pPr>
            <w:r w:rsidRPr="003410C7">
              <w:rPr>
                <w:rFonts w:eastAsia="Calibri" w:cs="Segoe UI"/>
                <w:b/>
                <w:sz w:val="24"/>
                <w:szCs w:val="24"/>
              </w:rPr>
              <w:sym w:font="Wingdings" w:char="00FC"/>
            </w:r>
            <w:r w:rsidRPr="003410C7">
              <w:rPr>
                <w:rFonts w:eastAsia="Calibri" w:cs="Segoe UI"/>
                <w:b/>
                <w:sz w:val="24"/>
                <w:szCs w:val="24"/>
                <w:vertAlign w:val="superscript"/>
              </w:rPr>
              <w:t>3</w:t>
            </w:r>
          </w:p>
        </w:tc>
        <w:tc>
          <w:tcPr>
            <w:tcW w:w="1305" w:type="dxa"/>
            <w:tcBorders>
              <w:top w:val="single" w:sz="6" w:space="0" w:color="1F497D"/>
              <w:left w:val="single" w:sz="6" w:space="0" w:color="1F497D"/>
              <w:bottom w:val="single" w:sz="6" w:space="0" w:color="1F497D"/>
              <w:right w:val="single" w:sz="6" w:space="0" w:color="1F497D"/>
            </w:tcBorders>
            <w:shd w:val="clear" w:color="auto" w:fill="FFFFFF"/>
          </w:tcPr>
          <w:p w:rsidR="0033725C" w:rsidRPr="003410C7" w:rsidRDefault="0033725C" w:rsidP="00A73DBD">
            <w:pPr>
              <w:pStyle w:val="TableText"/>
              <w:rPr>
                <w:rFonts w:eastAsia="Calibri" w:cs="Segoe UI"/>
                <w:b/>
                <w:sz w:val="24"/>
                <w:szCs w:val="24"/>
              </w:rPr>
            </w:pPr>
            <w:r w:rsidRPr="003410C7">
              <w:rPr>
                <w:rFonts w:eastAsia="Calibri" w:cs="Segoe UI"/>
                <w:b/>
                <w:sz w:val="24"/>
                <w:szCs w:val="24"/>
              </w:rPr>
              <w:sym w:font="Wingdings" w:char="00FC"/>
            </w:r>
          </w:p>
        </w:tc>
        <w:tc>
          <w:tcPr>
            <w:tcW w:w="1251" w:type="dxa"/>
            <w:tcBorders>
              <w:top w:val="single" w:sz="6" w:space="0" w:color="1F497D"/>
              <w:left w:val="single" w:sz="6" w:space="0" w:color="1F497D"/>
              <w:bottom w:val="single" w:sz="6" w:space="0" w:color="1F497D"/>
              <w:right w:val="single" w:sz="6" w:space="0" w:color="1F497D"/>
            </w:tcBorders>
            <w:shd w:val="clear" w:color="auto" w:fill="FFFFFF"/>
          </w:tcPr>
          <w:p w:rsidR="0033725C" w:rsidRPr="003410C7" w:rsidRDefault="0033725C" w:rsidP="00A73DBD">
            <w:pPr>
              <w:pStyle w:val="TableText"/>
              <w:rPr>
                <w:rFonts w:eastAsia="Calibri" w:cs="Segoe UI"/>
                <w:b/>
                <w:sz w:val="24"/>
                <w:szCs w:val="24"/>
              </w:rPr>
            </w:pPr>
          </w:p>
        </w:tc>
      </w:tr>
      <w:tr w:rsidR="000C172E" w:rsidRPr="003410C7" w:rsidTr="000C172E">
        <w:tc>
          <w:tcPr>
            <w:tcW w:w="2020" w:type="dxa"/>
            <w:tcBorders>
              <w:top w:val="single" w:sz="6" w:space="0" w:color="1F497D"/>
              <w:left w:val="single" w:sz="4" w:space="0" w:color="072B61"/>
              <w:bottom w:val="single" w:sz="6" w:space="0" w:color="1F497D"/>
              <w:right w:val="single" w:sz="6" w:space="0" w:color="1F497D"/>
            </w:tcBorders>
            <w:shd w:val="clear" w:color="auto" w:fill="FFFFFF"/>
          </w:tcPr>
          <w:p w:rsidR="0033725C" w:rsidRPr="00451078" w:rsidRDefault="0033725C" w:rsidP="000B5FBB">
            <w:pPr>
              <w:pStyle w:val="TableText"/>
              <w:jc w:val="left"/>
              <w:rPr>
                <w:rFonts w:ascii="Tahoma" w:eastAsia="Calibri" w:hAnsi="Tahoma" w:cs="Tahoma"/>
                <w:sz w:val="18"/>
                <w:szCs w:val="18"/>
                <w:lang w:val="it-IT"/>
              </w:rPr>
            </w:pPr>
            <w:r w:rsidRPr="00451078">
              <w:rPr>
                <w:rFonts w:ascii="Tahoma" w:eastAsia="Calibri" w:hAnsi="Tahoma" w:cs="Tahoma"/>
                <w:sz w:val="18"/>
                <w:szCs w:val="18"/>
                <w:lang w:val="it-IT"/>
              </w:rPr>
              <w:t>Aggiunta di privilegi per i record delle persone giuridiche personalizzati (ad eccezione dei record delle attività personalizzati) utilizzando i client Microsoft Dynamics</w:t>
            </w:r>
            <w:r w:rsidR="000B5FBB" w:rsidRPr="00451078">
              <w:rPr>
                <w:rFonts w:ascii="Tahoma" w:eastAsia="Calibri" w:hAnsi="Tahoma" w:cs="Tahoma"/>
                <w:sz w:val="18"/>
                <w:szCs w:val="18"/>
                <w:lang w:val="it-IT"/>
              </w:rPr>
              <w:t> </w:t>
            </w:r>
            <w:r w:rsidRPr="00451078">
              <w:rPr>
                <w:rFonts w:ascii="Tahoma" w:eastAsia="Calibri" w:hAnsi="Tahoma" w:cs="Tahoma"/>
                <w:sz w:val="18"/>
                <w:szCs w:val="18"/>
                <w:lang w:val="it-IT"/>
              </w:rPr>
              <w:t>CRM</w:t>
            </w:r>
          </w:p>
        </w:tc>
        <w:tc>
          <w:tcPr>
            <w:tcW w:w="972" w:type="dxa"/>
            <w:tcBorders>
              <w:top w:val="single" w:sz="6" w:space="0" w:color="1F497D"/>
              <w:left w:val="single" w:sz="6" w:space="0" w:color="1F497D"/>
              <w:bottom w:val="single" w:sz="6" w:space="0" w:color="1F497D"/>
              <w:right w:val="single" w:sz="6" w:space="0" w:color="1F497D"/>
            </w:tcBorders>
            <w:shd w:val="clear" w:color="auto" w:fill="FFFFFF"/>
          </w:tcPr>
          <w:p w:rsidR="0033725C" w:rsidRPr="00451078" w:rsidRDefault="0033725C" w:rsidP="00A73DBD">
            <w:pPr>
              <w:pStyle w:val="TableText"/>
              <w:rPr>
                <w:rFonts w:eastAsia="Calibri" w:cs="Segoe UI"/>
                <w:b/>
                <w:sz w:val="24"/>
                <w:szCs w:val="24"/>
                <w:lang w:val="it-IT"/>
              </w:rPr>
            </w:pPr>
          </w:p>
        </w:tc>
        <w:tc>
          <w:tcPr>
            <w:tcW w:w="1053" w:type="dxa"/>
            <w:tcBorders>
              <w:top w:val="single" w:sz="6" w:space="0" w:color="1F497D"/>
              <w:left w:val="single" w:sz="6" w:space="0" w:color="1F497D"/>
              <w:bottom w:val="single" w:sz="6" w:space="0" w:color="1F497D"/>
              <w:right w:val="single" w:sz="6" w:space="0" w:color="1F497D"/>
            </w:tcBorders>
            <w:shd w:val="clear" w:color="auto" w:fill="FFFFFF"/>
          </w:tcPr>
          <w:p w:rsidR="0033725C" w:rsidRPr="00451078" w:rsidRDefault="0033725C" w:rsidP="00A73DBD">
            <w:pPr>
              <w:pStyle w:val="TableText"/>
              <w:rPr>
                <w:rFonts w:eastAsia="Calibri" w:cs="Segoe UI"/>
                <w:b/>
                <w:sz w:val="24"/>
                <w:szCs w:val="24"/>
                <w:lang w:val="it-IT"/>
              </w:rPr>
            </w:pPr>
          </w:p>
        </w:tc>
        <w:tc>
          <w:tcPr>
            <w:tcW w:w="1152" w:type="dxa"/>
            <w:tcBorders>
              <w:top w:val="single" w:sz="6" w:space="0" w:color="1F497D"/>
              <w:left w:val="single" w:sz="6" w:space="0" w:color="1F497D"/>
              <w:bottom w:val="single" w:sz="6" w:space="0" w:color="1F497D"/>
              <w:right w:val="single" w:sz="6" w:space="0" w:color="1F497D"/>
            </w:tcBorders>
            <w:shd w:val="clear" w:color="auto" w:fill="FFFFFF"/>
          </w:tcPr>
          <w:p w:rsidR="0033725C" w:rsidRPr="003410C7" w:rsidRDefault="0033725C" w:rsidP="00A73DBD">
            <w:pPr>
              <w:pStyle w:val="TableText"/>
              <w:rPr>
                <w:rFonts w:eastAsia="Calibri" w:cs="Segoe UI"/>
                <w:b/>
                <w:sz w:val="24"/>
                <w:szCs w:val="24"/>
              </w:rPr>
            </w:pPr>
            <w:r w:rsidRPr="003410C7">
              <w:rPr>
                <w:rFonts w:eastAsia="Calibri" w:cs="Segoe UI"/>
                <w:b/>
                <w:sz w:val="24"/>
                <w:szCs w:val="24"/>
              </w:rPr>
              <w:sym w:font="Wingdings" w:char="00FC"/>
            </w:r>
          </w:p>
        </w:tc>
        <w:tc>
          <w:tcPr>
            <w:tcW w:w="1125" w:type="dxa"/>
            <w:tcBorders>
              <w:top w:val="single" w:sz="6" w:space="0" w:color="1F497D"/>
              <w:left w:val="single" w:sz="6" w:space="0" w:color="1F497D"/>
              <w:bottom w:val="single" w:sz="6" w:space="0" w:color="1F497D"/>
              <w:right w:val="single" w:sz="6" w:space="0" w:color="1F497D"/>
            </w:tcBorders>
            <w:shd w:val="clear" w:color="auto" w:fill="FFFFFF"/>
          </w:tcPr>
          <w:p w:rsidR="0033725C" w:rsidRPr="003410C7" w:rsidRDefault="0033725C" w:rsidP="00A73DBD">
            <w:pPr>
              <w:pStyle w:val="TableText"/>
              <w:rPr>
                <w:rFonts w:eastAsia="Calibri" w:cs="Segoe UI"/>
                <w:b/>
                <w:sz w:val="24"/>
                <w:szCs w:val="24"/>
              </w:rPr>
            </w:pPr>
          </w:p>
        </w:tc>
        <w:tc>
          <w:tcPr>
            <w:tcW w:w="1305" w:type="dxa"/>
            <w:tcBorders>
              <w:top w:val="single" w:sz="6" w:space="0" w:color="1F497D"/>
              <w:left w:val="single" w:sz="6" w:space="0" w:color="1F497D"/>
              <w:bottom w:val="single" w:sz="6" w:space="0" w:color="1F497D"/>
              <w:right w:val="single" w:sz="6" w:space="0" w:color="1F497D"/>
            </w:tcBorders>
            <w:shd w:val="clear" w:color="auto" w:fill="FFFFFF"/>
          </w:tcPr>
          <w:p w:rsidR="0033725C" w:rsidRPr="003410C7" w:rsidRDefault="0033725C" w:rsidP="00A73DBD">
            <w:pPr>
              <w:pStyle w:val="TableText"/>
              <w:rPr>
                <w:rFonts w:eastAsia="Calibri" w:cs="Segoe UI"/>
                <w:b/>
                <w:sz w:val="24"/>
                <w:szCs w:val="24"/>
              </w:rPr>
            </w:pPr>
            <w:r w:rsidRPr="003410C7">
              <w:rPr>
                <w:rFonts w:eastAsia="Calibri" w:cs="Segoe UI"/>
                <w:b/>
                <w:sz w:val="24"/>
                <w:szCs w:val="24"/>
              </w:rPr>
              <w:sym w:font="Wingdings" w:char="00FC"/>
            </w:r>
          </w:p>
        </w:tc>
        <w:tc>
          <w:tcPr>
            <w:tcW w:w="1251" w:type="dxa"/>
            <w:tcBorders>
              <w:top w:val="single" w:sz="6" w:space="0" w:color="1F497D"/>
              <w:left w:val="single" w:sz="6" w:space="0" w:color="1F497D"/>
              <w:bottom w:val="single" w:sz="6" w:space="0" w:color="1F497D"/>
              <w:right w:val="single" w:sz="6" w:space="0" w:color="1F497D"/>
            </w:tcBorders>
            <w:shd w:val="clear" w:color="auto" w:fill="FFFFFF"/>
          </w:tcPr>
          <w:p w:rsidR="0033725C" w:rsidRPr="003410C7" w:rsidRDefault="0033725C" w:rsidP="00A73DBD">
            <w:pPr>
              <w:pStyle w:val="TableText"/>
              <w:rPr>
                <w:rFonts w:eastAsia="Calibri" w:cs="Segoe UI"/>
                <w:b/>
                <w:sz w:val="24"/>
                <w:szCs w:val="24"/>
              </w:rPr>
            </w:pPr>
          </w:p>
        </w:tc>
      </w:tr>
      <w:tr w:rsidR="000C172E" w:rsidRPr="003410C7" w:rsidTr="000C172E">
        <w:tc>
          <w:tcPr>
            <w:tcW w:w="2020" w:type="dxa"/>
            <w:tcBorders>
              <w:top w:val="single" w:sz="6" w:space="0" w:color="1F497D"/>
              <w:left w:val="single" w:sz="4" w:space="0" w:color="072B61"/>
              <w:bottom w:val="single" w:sz="6" w:space="0" w:color="1F497D"/>
              <w:right w:val="single" w:sz="6" w:space="0" w:color="1F497D"/>
            </w:tcBorders>
            <w:shd w:val="clear" w:color="auto" w:fill="FFFFFF"/>
          </w:tcPr>
          <w:p w:rsidR="0033725C" w:rsidRPr="00451078" w:rsidRDefault="0033725C" w:rsidP="000B5FBB">
            <w:pPr>
              <w:pStyle w:val="TableText"/>
              <w:jc w:val="left"/>
              <w:rPr>
                <w:rFonts w:ascii="Tahoma" w:eastAsia="Calibri" w:hAnsi="Tahoma" w:cs="Tahoma"/>
                <w:sz w:val="18"/>
                <w:szCs w:val="18"/>
                <w:lang w:val="it-IT"/>
              </w:rPr>
            </w:pPr>
            <w:r w:rsidRPr="00451078">
              <w:rPr>
                <w:rFonts w:ascii="Tahoma" w:eastAsia="Calibri" w:hAnsi="Tahoma" w:cs="Tahoma"/>
                <w:sz w:val="18"/>
                <w:szCs w:val="18"/>
                <w:lang w:val="it-IT"/>
              </w:rPr>
              <w:t>Aggiunta a privilegi per i record delle persone giuridiche personalizzati utilizzando i client Microsoft Dynamics</w:t>
            </w:r>
            <w:r w:rsidR="000B5FBB" w:rsidRPr="00451078">
              <w:rPr>
                <w:rFonts w:ascii="Tahoma" w:eastAsia="Calibri" w:hAnsi="Tahoma" w:cs="Tahoma"/>
                <w:sz w:val="18"/>
                <w:szCs w:val="18"/>
                <w:lang w:val="it-IT"/>
              </w:rPr>
              <w:t> </w:t>
            </w:r>
            <w:r w:rsidRPr="00451078">
              <w:rPr>
                <w:rFonts w:ascii="Tahoma" w:eastAsia="Calibri" w:hAnsi="Tahoma" w:cs="Tahoma"/>
                <w:sz w:val="18"/>
                <w:szCs w:val="18"/>
                <w:lang w:val="it-IT"/>
              </w:rPr>
              <w:t>CRM</w:t>
            </w:r>
          </w:p>
        </w:tc>
        <w:tc>
          <w:tcPr>
            <w:tcW w:w="972" w:type="dxa"/>
            <w:tcBorders>
              <w:top w:val="single" w:sz="6" w:space="0" w:color="1F497D"/>
              <w:left w:val="single" w:sz="6" w:space="0" w:color="1F497D"/>
              <w:bottom w:val="single" w:sz="6" w:space="0" w:color="1F497D"/>
              <w:right w:val="single" w:sz="6" w:space="0" w:color="1F497D"/>
            </w:tcBorders>
            <w:shd w:val="clear" w:color="auto" w:fill="FFFFFF"/>
          </w:tcPr>
          <w:p w:rsidR="0033725C" w:rsidRPr="00451078" w:rsidRDefault="0033725C" w:rsidP="00A73DBD">
            <w:pPr>
              <w:pStyle w:val="TableText"/>
              <w:rPr>
                <w:rFonts w:eastAsia="Calibri" w:cs="Segoe UI"/>
                <w:b/>
                <w:sz w:val="24"/>
                <w:szCs w:val="24"/>
                <w:lang w:val="it-IT"/>
              </w:rPr>
            </w:pPr>
          </w:p>
        </w:tc>
        <w:tc>
          <w:tcPr>
            <w:tcW w:w="1053" w:type="dxa"/>
            <w:tcBorders>
              <w:top w:val="single" w:sz="6" w:space="0" w:color="1F497D"/>
              <w:left w:val="single" w:sz="6" w:space="0" w:color="1F497D"/>
              <w:bottom w:val="single" w:sz="6" w:space="0" w:color="1F497D"/>
              <w:right w:val="single" w:sz="6" w:space="0" w:color="1F497D"/>
            </w:tcBorders>
            <w:shd w:val="clear" w:color="auto" w:fill="FFFFFF"/>
          </w:tcPr>
          <w:p w:rsidR="0033725C" w:rsidRPr="003410C7" w:rsidRDefault="0033725C" w:rsidP="00A73DBD">
            <w:pPr>
              <w:pStyle w:val="TableText"/>
              <w:rPr>
                <w:rFonts w:eastAsia="Calibri" w:cs="Segoe UI"/>
                <w:b/>
                <w:sz w:val="24"/>
                <w:szCs w:val="24"/>
              </w:rPr>
            </w:pPr>
            <w:r w:rsidRPr="003410C7">
              <w:rPr>
                <w:rFonts w:eastAsia="Calibri" w:cs="Segoe UI"/>
                <w:b/>
                <w:sz w:val="24"/>
                <w:szCs w:val="24"/>
              </w:rPr>
              <w:sym w:font="Wingdings" w:char="00FC"/>
            </w:r>
          </w:p>
        </w:tc>
        <w:tc>
          <w:tcPr>
            <w:tcW w:w="1152" w:type="dxa"/>
            <w:tcBorders>
              <w:top w:val="single" w:sz="6" w:space="0" w:color="1F497D"/>
              <w:left w:val="single" w:sz="6" w:space="0" w:color="1F497D"/>
              <w:bottom w:val="single" w:sz="6" w:space="0" w:color="1F497D"/>
              <w:right w:val="single" w:sz="6" w:space="0" w:color="1F497D"/>
            </w:tcBorders>
            <w:shd w:val="clear" w:color="auto" w:fill="FFFFFF"/>
          </w:tcPr>
          <w:p w:rsidR="0033725C" w:rsidRPr="003410C7" w:rsidRDefault="0033725C" w:rsidP="00A73DBD">
            <w:pPr>
              <w:pStyle w:val="TableText"/>
              <w:rPr>
                <w:rFonts w:eastAsia="Calibri" w:cs="Segoe UI"/>
                <w:b/>
                <w:sz w:val="24"/>
                <w:szCs w:val="24"/>
              </w:rPr>
            </w:pPr>
            <w:r w:rsidRPr="003410C7">
              <w:rPr>
                <w:rFonts w:eastAsia="Calibri" w:cs="Segoe UI"/>
                <w:b/>
                <w:sz w:val="24"/>
                <w:szCs w:val="24"/>
              </w:rPr>
              <w:sym w:font="Wingdings" w:char="00FC"/>
            </w:r>
          </w:p>
        </w:tc>
        <w:tc>
          <w:tcPr>
            <w:tcW w:w="1125" w:type="dxa"/>
            <w:tcBorders>
              <w:top w:val="single" w:sz="6" w:space="0" w:color="1F497D"/>
              <w:left w:val="single" w:sz="6" w:space="0" w:color="1F497D"/>
              <w:bottom w:val="single" w:sz="6" w:space="0" w:color="1F497D"/>
              <w:right w:val="single" w:sz="6" w:space="0" w:color="1F497D"/>
            </w:tcBorders>
            <w:shd w:val="clear" w:color="auto" w:fill="FFFFFF"/>
          </w:tcPr>
          <w:p w:rsidR="0033725C" w:rsidRPr="003410C7" w:rsidRDefault="0033725C" w:rsidP="00A73DBD">
            <w:pPr>
              <w:pStyle w:val="TableText"/>
              <w:rPr>
                <w:rFonts w:eastAsia="Calibri" w:cs="Segoe UI"/>
                <w:b/>
                <w:sz w:val="24"/>
                <w:szCs w:val="24"/>
              </w:rPr>
            </w:pPr>
            <w:r w:rsidRPr="003410C7">
              <w:rPr>
                <w:rFonts w:eastAsia="Calibri" w:cs="Segoe UI"/>
                <w:b/>
                <w:sz w:val="24"/>
                <w:szCs w:val="24"/>
              </w:rPr>
              <w:sym w:font="Wingdings" w:char="00FC"/>
            </w:r>
          </w:p>
        </w:tc>
        <w:tc>
          <w:tcPr>
            <w:tcW w:w="1305" w:type="dxa"/>
            <w:tcBorders>
              <w:top w:val="single" w:sz="6" w:space="0" w:color="1F497D"/>
              <w:left w:val="single" w:sz="6" w:space="0" w:color="1F497D"/>
              <w:bottom w:val="single" w:sz="6" w:space="0" w:color="1F497D"/>
              <w:right w:val="single" w:sz="6" w:space="0" w:color="1F497D"/>
            </w:tcBorders>
            <w:shd w:val="clear" w:color="auto" w:fill="FFFFFF"/>
          </w:tcPr>
          <w:p w:rsidR="0033725C" w:rsidRPr="003410C7" w:rsidRDefault="0033725C" w:rsidP="00A73DBD">
            <w:pPr>
              <w:pStyle w:val="TableText"/>
              <w:rPr>
                <w:rFonts w:eastAsia="Calibri" w:cs="Segoe UI"/>
                <w:b/>
                <w:sz w:val="24"/>
                <w:szCs w:val="24"/>
              </w:rPr>
            </w:pPr>
          </w:p>
        </w:tc>
        <w:tc>
          <w:tcPr>
            <w:tcW w:w="1251" w:type="dxa"/>
            <w:tcBorders>
              <w:top w:val="single" w:sz="6" w:space="0" w:color="1F497D"/>
              <w:left w:val="single" w:sz="6" w:space="0" w:color="1F497D"/>
              <w:bottom w:val="single" w:sz="6" w:space="0" w:color="1F497D"/>
              <w:right w:val="single" w:sz="6" w:space="0" w:color="1F497D"/>
            </w:tcBorders>
            <w:shd w:val="clear" w:color="auto" w:fill="FFFFFF"/>
          </w:tcPr>
          <w:p w:rsidR="0033725C" w:rsidRPr="003410C7" w:rsidRDefault="0033725C" w:rsidP="00A73DBD">
            <w:pPr>
              <w:pStyle w:val="TableText"/>
              <w:rPr>
                <w:rFonts w:eastAsia="Calibri" w:cs="Segoe UI"/>
                <w:b/>
                <w:sz w:val="24"/>
                <w:szCs w:val="24"/>
              </w:rPr>
            </w:pPr>
          </w:p>
        </w:tc>
      </w:tr>
      <w:tr w:rsidR="000C172E" w:rsidRPr="003410C7" w:rsidTr="000C172E">
        <w:tc>
          <w:tcPr>
            <w:tcW w:w="2020" w:type="dxa"/>
            <w:tcBorders>
              <w:top w:val="single" w:sz="6" w:space="0" w:color="1F497D"/>
              <w:left w:val="single" w:sz="4" w:space="0" w:color="072B61"/>
              <w:bottom w:val="single" w:sz="6" w:space="0" w:color="1F497D"/>
              <w:right w:val="single" w:sz="6" w:space="0" w:color="1F497D"/>
            </w:tcBorders>
            <w:shd w:val="clear" w:color="auto" w:fill="FFFFFF"/>
          </w:tcPr>
          <w:p w:rsidR="0033725C" w:rsidRPr="00451078" w:rsidRDefault="0033725C" w:rsidP="000B5FBB">
            <w:pPr>
              <w:pStyle w:val="TableText"/>
              <w:jc w:val="left"/>
              <w:rPr>
                <w:rFonts w:ascii="Tahoma" w:eastAsia="Calibri" w:hAnsi="Tahoma" w:cs="Tahoma"/>
                <w:sz w:val="18"/>
                <w:szCs w:val="18"/>
                <w:lang w:val="it-IT"/>
              </w:rPr>
            </w:pPr>
            <w:r w:rsidRPr="00451078">
              <w:rPr>
                <w:rFonts w:ascii="Tahoma" w:eastAsia="Calibri" w:hAnsi="Tahoma" w:cs="Tahoma"/>
                <w:sz w:val="18"/>
                <w:szCs w:val="18"/>
                <w:lang w:val="it-IT"/>
              </w:rPr>
              <w:t>Eliminazione di record delle persone giuridiche personalizzati utilizzando i client Microsoft Dynamics</w:t>
            </w:r>
            <w:r w:rsidR="000B5FBB" w:rsidRPr="00451078">
              <w:rPr>
                <w:rFonts w:ascii="Tahoma" w:eastAsia="Calibri" w:hAnsi="Tahoma" w:cs="Tahoma"/>
                <w:sz w:val="18"/>
                <w:szCs w:val="18"/>
                <w:lang w:val="it-IT"/>
              </w:rPr>
              <w:t> </w:t>
            </w:r>
            <w:r w:rsidRPr="00451078">
              <w:rPr>
                <w:rFonts w:ascii="Tahoma" w:eastAsia="Calibri" w:hAnsi="Tahoma" w:cs="Tahoma"/>
                <w:sz w:val="18"/>
                <w:szCs w:val="18"/>
                <w:lang w:val="it-IT"/>
              </w:rPr>
              <w:t>CRM</w:t>
            </w:r>
          </w:p>
        </w:tc>
        <w:tc>
          <w:tcPr>
            <w:tcW w:w="972" w:type="dxa"/>
            <w:tcBorders>
              <w:top w:val="single" w:sz="6" w:space="0" w:color="1F497D"/>
              <w:left w:val="single" w:sz="6" w:space="0" w:color="1F497D"/>
              <w:bottom w:val="single" w:sz="6" w:space="0" w:color="1F497D"/>
              <w:right w:val="single" w:sz="6" w:space="0" w:color="1F497D"/>
            </w:tcBorders>
            <w:shd w:val="clear" w:color="auto" w:fill="FFFFFF"/>
          </w:tcPr>
          <w:p w:rsidR="0033725C" w:rsidRPr="00451078" w:rsidRDefault="0033725C" w:rsidP="00A73DBD">
            <w:pPr>
              <w:pStyle w:val="TableText"/>
              <w:rPr>
                <w:rFonts w:eastAsia="Calibri" w:cs="Segoe UI"/>
                <w:b/>
                <w:sz w:val="24"/>
                <w:szCs w:val="24"/>
                <w:lang w:val="it-IT"/>
              </w:rPr>
            </w:pPr>
          </w:p>
        </w:tc>
        <w:tc>
          <w:tcPr>
            <w:tcW w:w="1053" w:type="dxa"/>
            <w:tcBorders>
              <w:top w:val="single" w:sz="6" w:space="0" w:color="1F497D"/>
              <w:left w:val="single" w:sz="6" w:space="0" w:color="1F497D"/>
              <w:bottom w:val="single" w:sz="6" w:space="0" w:color="1F497D"/>
              <w:right w:val="single" w:sz="6" w:space="0" w:color="1F497D"/>
            </w:tcBorders>
            <w:shd w:val="clear" w:color="auto" w:fill="FFFFFF"/>
          </w:tcPr>
          <w:p w:rsidR="0033725C" w:rsidRPr="00451078" w:rsidRDefault="0033725C" w:rsidP="00A73DBD">
            <w:pPr>
              <w:pStyle w:val="TableText"/>
              <w:rPr>
                <w:rFonts w:eastAsia="Calibri" w:cs="Segoe UI"/>
                <w:b/>
                <w:sz w:val="24"/>
                <w:szCs w:val="24"/>
                <w:lang w:val="it-IT"/>
              </w:rPr>
            </w:pPr>
          </w:p>
        </w:tc>
        <w:tc>
          <w:tcPr>
            <w:tcW w:w="1152" w:type="dxa"/>
            <w:tcBorders>
              <w:top w:val="single" w:sz="6" w:space="0" w:color="1F497D"/>
              <w:left w:val="single" w:sz="6" w:space="0" w:color="1F497D"/>
              <w:bottom w:val="single" w:sz="6" w:space="0" w:color="1F497D"/>
              <w:right w:val="single" w:sz="6" w:space="0" w:color="1F497D"/>
            </w:tcBorders>
            <w:shd w:val="clear" w:color="auto" w:fill="FFFFFF"/>
          </w:tcPr>
          <w:p w:rsidR="0033725C" w:rsidRPr="003410C7" w:rsidRDefault="0033725C" w:rsidP="00A73DBD">
            <w:pPr>
              <w:pStyle w:val="TableText"/>
              <w:rPr>
                <w:rFonts w:eastAsia="Calibri" w:cs="Segoe UI"/>
                <w:b/>
                <w:sz w:val="24"/>
                <w:szCs w:val="24"/>
              </w:rPr>
            </w:pPr>
            <w:r w:rsidRPr="003410C7">
              <w:rPr>
                <w:rFonts w:eastAsia="Calibri" w:cs="Segoe UI"/>
                <w:b/>
                <w:sz w:val="24"/>
                <w:szCs w:val="24"/>
              </w:rPr>
              <w:sym w:font="Wingdings" w:char="00FC"/>
            </w:r>
          </w:p>
        </w:tc>
        <w:tc>
          <w:tcPr>
            <w:tcW w:w="1125" w:type="dxa"/>
            <w:tcBorders>
              <w:top w:val="single" w:sz="6" w:space="0" w:color="1F497D"/>
              <w:left w:val="single" w:sz="6" w:space="0" w:color="1F497D"/>
              <w:bottom w:val="single" w:sz="6" w:space="0" w:color="1F497D"/>
              <w:right w:val="single" w:sz="6" w:space="0" w:color="1F497D"/>
            </w:tcBorders>
            <w:shd w:val="clear" w:color="auto" w:fill="FFFFFF"/>
          </w:tcPr>
          <w:p w:rsidR="0033725C" w:rsidRPr="003410C7" w:rsidRDefault="0033725C" w:rsidP="00A73DBD">
            <w:pPr>
              <w:pStyle w:val="TableText"/>
              <w:rPr>
                <w:rFonts w:eastAsia="Calibri" w:cs="Segoe UI"/>
                <w:b/>
                <w:sz w:val="24"/>
                <w:szCs w:val="24"/>
              </w:rPr>
            </w:pPr>
          </w:p>
        </w:tc>
        <w:tc>
          <w:tcPr>
            <w:tcW w:w="1305" w:type="dxa"/>
            <w:tcBorders>
              <w:top w:val="single" w:sz="6" w:space="0" w:color="1F497D"/>
              <w:left w:val="single" w:sz="6" w:space="0" w:color="1F497D"/>
              <w:bottom w:val="single" w:sz="6" w:space="0" w:color="1F497D"/>
              <w:right w:val="single" w:sz="6" w:space="0" w:color="1F497D"/>
            </w:tcBorders>
            <w:shd w:val="clear" w:color="auto" w:fill="FFFFFF"/>
          </w:tcPr>
          <w:p w:rsidR="0033725C" w:rsidRPr="003410C7" w:rsidRDefault="0033725C" w:rsidP="00A73DBD">
            <w:pPr>
              <w:pStyle w:val="TableText"/>
              <w:rPr>
                <w:rFonts w:eastAsia="Calibri" w:cs="Segoe UI"/>
                <w:b/>
                <w:sz w:val="24"/>
                <w:szCs w:val="24"/>
              </w:rPr>
            </w:pPr>
            <w:r w:rsidRPr="003410C7">
              <w:rPr>
                <w:rFonts w:eastAsia="Calibri" w:cs="Segoe UI"/>
                <w:b/>
                <w:sz w:val="24"/>
                <w:szCs w:val="24"/>
              </w:rPr>
              <w:sym w:font="Wingdings" w:char="00FC"/>
            </w:r>
          </w:p>
        </w:tc>
        <w:tc>
          <w:tcPr>
            <w:tcW w:w="1251" w:type="dxa"/>
            <w:tcBorders>
              <w:top w:val="single" w:sz="6" w:space="0" w:color="1F497D"/>
              <w:left w:val="single" w:sz="6" w:space="0" w:color="1F497D"/>
              <w:bottom w:val="single" w:sz="6" w:space="0" w:color="1F497D"/>
              <w:right w:val="single" w:sz="6" w:space="0" w:color="1F497D"/>
            </w:tcBorders>
            <w:shd w:val="clear" w:color="auto" w:fill="FFFFFF"/>
          </w:tcPr>
          <w:p w:rsidR="0033725C" w:rsidRPr="003410C7" w:rsidRDefault="0033725C" w:rsidP="00A73DBD">
            <w:pPr>
              <w:pStyle w:val="TableText"/>
              <w:rPr>
                <w:rFonts w:eastAsia="Calibri" w:cs="Segoe UI"/>
                <w:b/>
                <w:sz w:val="24"/>
                <w:szCs w:val="24"/>
              </w:rPr>
            </w:pPr>
          </w:p>
        </w:tc>
      </w:tr>
      <w:tr w:rsidR="000C172E" w:rsidRPr="003410C7" w:rsidTr="000B5FBB">
        <w:trPr>
          <w:cantSplit/>
        </w:trPr>
        <w:tc>
          <w:tcPr>
            <w:tcW w:w="2020" w:type="dxa"/>
            <w:tcBorders>
              <w:top w:val="single" w:sz="6" w:space="0" w:color="1F497D"/>
              <w:left w:val="single" w:sz="4" w:space="0" w:color="072B61"/>
              <w:bottom w:val="single" w:sz="6" w:space="0" w:color="1F497D"/>
              <w:right w:val="single" w:sz="6" w:space="0" w:color="1F497D"/>
            </w:tcBorders>
            <w:shd w:val="clear" w:color="auto" w:fill="FFFFFF"/>
          </w:tcPr>
          <w:p w:rsidR="0033725C" w:rsidRPr="00451078" w:rsidRDefault="0033725C" w:rsidP="000B5FBB">
            <w:pPr>
              <w:pStyle w:val="TableText"/>
              <w:jc w:val="left"/>
              <w:rPr>
                <w:rFonts w:ascii="Tahoma" w:eastAsia="Calibri" w:hAnsi="Tahoma" w:cs="Tahoma"/>
                <w:sz w:val="18"/>
                <w:szCs w:val="18"/>
                <w:lang w:val="it-IT"/>
              </w:rPr>
            </w:pPr>
            <w:r w:rsidRPr="00451078">
              <w:rPr>
                <w:rFonts w:ascii="Tahoma" w:eastAsia="Calibri" w:hAnsi="Tahoma" w:cs="Tahoma"/>
                <w:sz w:val="18"/>
                <w:szCs w:val="18"/>
                <w:lang w:val="it-IT"/>
              </w:rPr>
              <w:t>Assegnazione di record delle persone giuridiche personalizzati utilizzando i client Microsoft Dynamics</w:t>
            </w:r>
            <w:r w:rsidR="000B5FBB" w:rsidRPr="00451078">
              <w:rPr>
                <w:rFonts w:ascii="Tahoma" w:eastAsia="Calibri" w:hAnsi="Tahoma" w:cs="Tahoma"/>
                <w:sz w:val="18"/>
                <w:szCs w:val="18"/>
                <w:lang w:val="it-IT"/>
              </w:rPr>
              <w:t> </w:t>
            </w:r>
            <w:r w:rsidRPr="00451078">
              <w:rPr>
                <w:rFonts w:ascii="Tahoma" w:eastAsia="Calibri" w:hAnsi="Tahoma" w:cs="Tahoma"/>
                <w:sz w:val="18"/>
                <w:szCs w:val="18"/>
                <w:lang w:val="it-IT"/>
              </w:rPr>
              <w:t>CRM</w:t>
            </w:r>
          </w:p>
        </w:tc>
        <w:tc>
          <w:tcPr>
            <w:tcW w:w="972" w:type="dxa"/>
            <w:tcBorders>
              <w:top w:val="single" w:sz="6" w:space="0" w:color="1F497D"/>
              <w:left w:val="single" w:sz="6" w:space="0" w:color="1F497D"/>
              <w:bottom w:val="single" w:sz="6" w:space="0" w:color="1F497D"/>
              <w:right w:val="single" w:sz="6" w:space="0" w:color="1F497D"/>
            </w:tcBorders>
            <w:shd w:val="clear" w:color="auto" w:fill="FFFFFF"/>
          </w:tcPr>
          <w:p w:rsidR="0033725C" w:rsidRPr="00451078" w:rsidRDefault="0033725C" w:rsidP="00A73DBD">
            <w:pPr>
              <w:pStyle w:val="TableText"/>
              <w:rPr>
                <w:rFonts w:eastAsia="Calibri" w:cs="Segoe UI"/>
                <w:b/>
                <w:sz w:val="24"/>
                <w:szCs w:val="24"/>
                <w:lang w:val="it-IT"/>
              </w:rPr>
            </w:pPr>
          </w:p>
        </w:tc>
        <w:tc>
          <w:tcPr>
            <w:tcW w:w="1053" w:type="dxa"/>
            <w:tcBorders>
              <w:top w:val="single" w:sz="6" w:space="0" w:color="1F497D"/>
              <w:left w:val="single" w:sz="6" w:space="0" w:color="1F497D"/>
              <w:bottom w:val="single" w:sz="6" w:space="0" w:color="1F497D"/>
              <w:right w:val="single" w:sz="6" w:space="0" w:color="1F497D"/>
            </w:tcBorders>
            <w:shd w:val="clear" w:color="auto" w:fill="FFFFFF"/>
          </w:tcPr>
          <w:p w:rsidR="0033725C" w:rsidRPr="00451078" w:rsidRDefault="0033725C" w:rsidP="00A73DBD">
            <w:pPr>
              <w:pStyle w:val="TableText"/>
              <w:rPr>
                <w:rFonts w:eastAsia="Calibri" w:cs="Segoe UI"/>
                <w:b/>
                <w:sz w:val="24"/>
                <w:szCs w:val="24"/>
                <w:lang w:val="it-IT"/>
              </w:rPr>
            </w:pPr>
          </w:p>
        </w:tc>
        <w:tc>
          <w:tcPr>
            <w:tcW w:w="1152" w:type="dxa"/>
            <w:tcBorders>
              <w:top w:val="single" w:sz="6" w:space="0" w:color="1F497D"/>
              <w:left w:val="single" w:sz="6" w:space="0" w:color="1F497D"/>
              <w:bottom w:val="single" w:sz="6" w:space="0" w:color="1F497D"/>
              <w:right w:val="single" w:sz="6" w:space="0" w:color="1F497D"/>
            </w:tcBorders>
            <w:shd w:val="clear" w:color="auto" w:fill="FFFFFF"/>
          </w:tcPr>
          <w:p w:rsidR="0033725C" w:rsidRPr="003410C7" w:rsidRDefault="0033725C" w:rsidP="00A73DBD">
            <w:pPr>
              <w:pStyle w:val="TableText"/>
              <w:rPr>
                <w:rFonts w:eastAsia="Calibri" w:cs="Segoe UI"/>
                <w:b/>
                <w:sz w:val="24"/>
                <w:szCs w:val="24"/>
              </w:rPr>
            </w:pPr>
            <w:r w:rsidRPr="003410C7">
              <w:rPr>
                <w:rFonts w:eastAsia="Calibri" w:cs="Segoe UI"/>
                <w:b/>
                <w:sz w:val="24"/>
                <w:szCs w:val="24"/>
              </w:rPr>
              <w:sym w:font="Wingdings" w:char="00FC"/>
            </w:r>
          </w:p>
        </w:tc>
        <w:tc>
          <w:tcPr>
            <w:tcW w:w="1125" w:type="dxa"/>
            <w:tcBorders>
              <w:top w:val="single" w:sz="6" w:space="0" w:color="1F497D"/>
              <w:left w:val="single" w:sz="6" w:space="0" w:color="1F497D"/>
              <w:bottom w:val="single" w:sz="6" w:space="0" w:color="1F497D"/>
              <w:right w:val="single" w:sz="6" w:space="0" w:color="1F497D"/>
            </w:tcBorders>
            <w:shd w:val="clear" w:color="auto" w:fill="FFFFFF"/>
          </w:tcPr>
          <w:p w:rsidR="0033725C" w:rsidRPr="003410C7" w:rsidRDefault="0033725C" w:rsidP="00A73DBD">
            <w:pPr>
              <w:pStyle w:val="TableText"/>
              <w:rPr>
                <w:rFonts w:eastAsia="Calibri" w:cs="Segoe UI"/>
                <w:b/>
                <w:sz w:val="24"/>
                <w:szCs w:val="24"/>
              </w:rPr>
            </w:pPr>
          </w:p>
        </w:tc>
        <w:tc>
          <w:tcPr>
            <w:tcW w:w="1305" w:type="dxa"/>
            <w:tcBorders>
              <w:top w:val="single" w:sz="6" w:space="0" w:color="1F497D"/>
              <w:left w:val="single" w:sz="6" w:space="0" w:color="1F497D"/>
              <w:bottom w:val="single" w:sz="6" w:space="0" w:color="1F497D"/>
              <w:right w:val="single" w:sz="6" w:space="0" w:color="1F497D"/>
            </w:tcBorders>
            <w:shd w:val="clear" w:color="auto" w:fill="FFFFFF"/>
          </w:tcPr>
          <w:p w:rsidR="0033725C" w:rsidRPr="003410C7" w:rsidRDefault="0033725C" w:rsidP="00A73DBD">
            <w:pPr>
              <w:pStyle w:val="TableText"/>
              <w:rPr>
                <w:rFonts w:eastAsia="Calibri" w:cs="Segoe UI"/>
                <w:b/>
                <w:sz w:val="24"/>
                <w:szCs w:val="24"/>
              </w:rPr>
            </w:pPr>
            <w:r w:rsidRPr="003410C7">
              <w:rPr>
                <w:rFonts w:eastAsia="Calibri" w:cs="Segoe UI"/>
                <w:b/>
                <w:sz w:val="24"/>
                <w:szCs w:val="24"/>
              </w:rPr>
              <w:sym w:font="Wingdings" w:char="00FC"/>
            </w:r>
          </w:p>
        </w:tc>
        <w:tc>
          <w:tcPr>
            <w:tcW w:w="1251" w:type="dxa"/>
            <w:tcBorders>
              <w:top w:val="single" w:sz="6" w:space="0" w:color="1F497D"/>
              <w:left w:val="single" w:sz="6" w:space="0" w:color="1F497D"/>
              <w:bottom w:val="single" w:sz="6" w:space="0" w:color="1F497D"/>
              <w:right w:val="single" w:sz="6" w:space="0" w:color="1F497D"/>
            </w:tcBorders>
            <w:shd w:val="clear" w:color="auto" w:fill="FFFFFF"/>
          </w:tcPr>
          <w:p w:rsidR="0033725C" w:rsidRPr="003410C7" w:rsidRDefault="0033725C" w:rsidP="00A73DBD">
            <w:pPr>
              <w:pStyle w:val="TableText"/>
              <w:rPr>
                <w:rFonts w:eastAsia="Calibri" w:cs="Segoe UI"/>
                <w:b/>
                <w:sz w:val="24"/>
                <w:szCs w:val="24"/>
              </w:rPr>
            </w:pPr>
          </w:p>
        </w:tc>
      </w:tr>
      <w:tr w:rsidR="000C172E" w:rsidRPr="003410C7" w:rsidTr="000C172E">
        <w:tc>
          <w:tcPr>
            <w:tcW w:w="2020" w:type="dxa"/>
            <w:tcBorders>
              <w:top w:val="single" w:sz="6" w:space="0" w:color="1F497D"/>
              <w:left w:val="single" w:sz="4" w:space="0" w:color="072B61"/>
              <w:bottom w:val="single" w:sz="6" w:space="0" w:color="1F497D"/>
              <w:right w:val="single" w:sz="6" w:space="0" w:color="1F497D"/>
            </w:tcBorders>
            <w:shd w:val="clear" w:color="auto" w:fill="FFFFFF"/>
          </w:tcPr>
          <w:p w:rsidR="0033725C" w:rsidRPr="00451078" w:rsidRDefault="0033725C" w:rsidP="000B5FBB">
            <w:pPr>
              <w:pStyle w:val="TableText"/>
              <w:jc w:val="left"/>
              <w:rPr>
                <w:rFonts w:ascii="Tahoma" w:eastAsia="Calibri" w:hAnsi="Tahoma" w:cs="Tahoma"/>
                <w:sz w:val="18"/>
                <w:szCs w:val="18"/>
                <w:lang w:val="it-IT"/>
              </w:rPr>
            </w:pPr>
            <w:r w:rsidRPr="00451078">
              <w:rPr>
                <w:rFonts w:ascii="Tahoma" w:eastAsia="Calibri" w:hAnsi="Tahoma" w:cs="Tahoma"/>
                <w:sz w:val="18"/>
                <w:szCs w:val="18"/>
                <w:lang w:val="it-IT"/>
              </w:rPr>
              <w:t>Condivisione di record delle persone giuridiche personalizzati utilizzando i client Microsoft Dynamics</w:t>
            </w:r>
            <w:r w:rsidR="000B5FBB" w:rsidRPr="00451078">
              <w:rPr>
                <w:rFonts w:ascii="Tahoma" w:eastAsia="Calibri" w:hAnsi="Tahoma" w:cs="Tahoma"/>
                <w:sz w:val="18"/>
                <w:szCs w:val="18"/>
                <w:lang w:val="it-IT"/>
              </w:rPr>
              <w:t> </w:t>
            </w:r>
            <w:r w:rsidRPr="00451078">
              <w:rPr>
                <w:rFonts w:ascii="Tahoma" w:eastAsia="Calibri" w:hAnsi="Tahoma" w:cs="Tahoma"/>
                <w:sz w:val="18"/>
                <w:szCs w:val="18"/>
                <w:lang w:val="it-IT"/>
              </w:rPr>
              <w:t>CRM</w:t>
            </w:r>
          </w:p>
        </w:tc>
        <w:tc>
          <w:tcPr>
            <w:tcW w:w="972" w:type="dxa"/>
            <w:tcBorders>
              <w:top w:val="single" w:sz="6" w:space="0" w:color="1F497D"/>
              <w:left w:val="single" w:sz="6" w:space="0" w:color="1F497D"/>
              <w:bottom w:val="single" w:sz="6" w:space="0" w:color="1F497D"/>
              <w:right w:val="single" w:sz="6" w:space="0" w:color="1F497D"/>
            </w:tcBorders>
            <w:shd w:val="clear" w:color="auto" w:fill="FFFFFF"/>
          </w:tcPr>
          <w:p w:rsidR="0033725C" w:rsidRPr="00451078" w:rsidRDefault="0033725C" w:rsidP="00A73DBD">
            <w:pPr>
              <w:pStyle w:val="TableText"/>
              <w:rPr>
                <w:rFonts w:eastAsia="Calibri" w:cs="Segoe UI"/>
                <w:b/>
                <w:sz w:val="24"/>
                <w:szCs w:val="24"/>
                <w:lang w:val="it-IT"/>
              </w:rPr>
            </w:pPr>
          </w:p>
        </w:tc>
        <w:tc>
          <w:tcPr>
            <w:tcW w:w="1053" w:type="dxa"/>
            <w:tcBorders>
              <w:top w:val="single" w:sz="6" w:space="0" w:color="1F497D"/>
              <w:left w:val="single" w:sz="6" w:space="0" w:color="1F497D"/>
              <w:bottom w:val="single" w:sz="6" w:space="0" w:color="1F497D"/>
              <w:right w:val="single" w:sz="6" w:space="0" w:color="1F497D"/>
            </w:tcBorders>
            <w:shd w:val="clear" w:color="auto" w:fill="FFFFFF"/>
          </w:tcPr>
          <w:p w:rsidR="0033725C" w:rsidRPr="00451078" w:rsidRDefault="0033725C" w:rsidP="00A73DBD">
            <w:pPr>
              <w:pStyle w:val="TableText"/>
              <w:rPr>
                <w:rFonts w:eastAsia="Calibri" w:cs="Segoe UI"/>
                <w:b/>
                <w:sz w:val="24"/>
                <w:szCs w:val="24"/>
                <w:lang w:val="it-IT"/>
              </w:rPr>
            </w:pPr>
          </w:p>
        </w:tc>
        <w:tc>
          <w:tcPr>
            <w:tcW w:w="1152" w:type="dxa"/>
            <w:tcBorders>
              <w:top w:val="single" w:sz="6" w:space="0" w:color="1F497D"/>
              <w:left w:val="single" w:sz="6" w:space="0" w:color="1F497D"/>
              <w:bottom w:val="single" w:sz="6" w:space="0" w:color="1F497D"/>
              <w:right w:val="single" w:sz="6" w:space="0" w:color="1F497D"/>
            </w:tcBorders>
            <w:shd w:val="clear" w:color="auto" w:fill="FFFFFF"/>
          </w:tcPr>
          <w:p w:rsidR="0033725C" w:rsidRPr="003410C7" w:rsidRDefault="0033725C" w:rsidP="00A73DBD">
            <w:pPr>
              <w:pStyle w:val="TableText"/>
              <w:rPr>
                <w:rFonts w:eastAsia="Calibri" w:cs="Segoe UI"/>
                <w:b/>
                <w:sz w:val="24"/>
                <w:szCs w:val="24"/>
              </w:rPr>
            </w:pPr>
            <w:r w:rsidRPr="003410C7">
              <w:rPr>
                <w:rFonts w:eastAsia="Calibri" w:cs="Segoe UI"/>
                <w:b/>
                <w:sz w:val="24"/>
                <w:szCs w:val="24"/>
              </w:rPr>
              <w:sym w:font="Wingdings" w:char="00FC"/>
            </w:r>
          </w:p>
        </w:tc>
        <w:tc>
          <w:tcPr>
            <w:tcW w:w="1125" w:type="dxa"/>
            <w:tcBorders>
              <w:top w:val="single" w:sz="6" w:space="0" w:color="1F497D"/>
              <w:left w:val="single" w:sz="6" w:space="0" w:color="1F497D"/>
              <w:bottom w:val="single" w:sz="6" w:space="0" w:color="1F497D"/>
              <w:right w:val="single" w:sz="6" w:space="0" w:color="1F497D"/>
            </w:tcBorders>
            <w:shd w:val="clear" w:color="auto" w:fill="FFFFFF"/>
          </w:tcPr>
          <w:p w:rsidR="0033725C" w:rsidRPr="003410C7" w:rsidRDefault="0033725C" w:rsidP="00A73DBD">
            <w:pPr>
              <w:pStyle w:val="TableText"/>
              <w:rPr>
                <w:rFonts w:eastAsia="Calibri" w:cs="Segoe UI"/>
                <w:b/>
                <w:sz w:val="24"/>
                <w:szCs w:val="24"/>
              </w:rPr>
            </w:pPr>
          </w:p>
        </w:tc>
        <w:tc>
          <w:tcPr>
            <w:tcW w:w="1305" w:type="dxa"/>
            <w:tcBorders>
              <w:top w:val="single" w:sz="6" w:space="0" w:color="1F497D"/>
              <w:left w:val="single" w:sz="6" w:space="0" w:color="1F497D"/>
              <w:bottom w:val="single" w:sz="6" w:space="0" w:color="1F497D"/>
              <w:right w:val="single" w:sz="6" w:space="0" w:color="1F497D"/>
            </w:tcBorders>
            <w:shd w:val="clear" w:color="auto" w:fill="FFFFFF"/>
          </w:tcPr>
          <w:p w:rsidR="0033725C" w:rsidRPr="003410C7" w:rsidRDefault="0033725C" w:rsidP="00A73DBD">
            <w:pPr>
              <w:pStyle w:val="TableText"/>
              <w:rPr>
                <w:rFonts w:eastAsia="Calibri" w:cs="Segoe UI"/>
                <w:b/>
                <w:sz w:val="24"/>
                <w:szCs w:val="24"/>
              </w:rPr>
            </w:pPr>
            <w:r w:rsidRPr="003410C7">
              <w:rPr>
                <w:rFonts w:eastAsia="Calibri" w:cs="Segoe UI"/>
                <w:b/>
                <w:sz w:val="24"/>
                <w:szCs w:val="24"/>
              </w:rPr>
              <w:sym w:font="Wingdings" w:char="00FC"/>
            </w:r>
          </w:p>
        </w:tc>
        <w:tc>
          <w:tcPr>
            <w:tcW w:w="1251" w:type="dxa"/>
            <w:tcBorders>
              <w:top w:val="single" w:sz="6" w:space="0" w:color="1F497D"/>
              <w:left w:val="single" w:sz="6" w:space="0" w:color="1F497D"/>
              <w:bottom w:val="single" w:sz="6" w:space="0" w:color="1F497D"/>
              <w:right w:val="single" w:sz="6" w:space="0" w:color="1F497D"/>
            </w:tcBorders>
            <w:shd w:val="clear" w:color="auto" w:fill="FFFFFF"/>
          </w:tcPr>
          <w:p w:rsidR="0033725C" w:rsidRPr="003410C7" w:rsidRDefault="0033725C" w:rsidP="00A73DBD">
            <w:pPr>
              <w:pStyle w:val="TableText"/>
              <w:rPr>
                <w:rFonts w:eastAsia="Calibri" w:cs="Segoe UI"/>
                <w:b/>
                <w:sz w:val="24"/>
                <w:szCs w:val="24"/>
              </w:rPr>
            </w:pPr>
          </w:p>
        </w:tc>
      </w:tr>
      <w:tr w:rsidR="000C172E" w:rsidRPr="003410C7" w:rsidTr="000C172E">
        <w:tc>
          <w:tcPr>
            <w:tcW w:w="2020" w:type="dxa"/>
            <w:tcBorders>
              <w:top w:val="single" w:sz="6" w:space="0" w:color="1F497D"/>
              <w:left w:val="single" w:sz="4" w:space="0" w:color="072B61"/>
              <w:bottom w:val="single" w:sz="6" w:space="0" w:color="1F497D"/>
              <w:right w:val="single" w:sz="6" w:space="0" w:color="1F497D"/>
            </w:tcBorders>
            <w:shd w:val="clear" w:color="auto" w:fill="FFFFFF"/>
          </w:tcPr>
          <w:p w:rsidR="0033725C" w:rsidRPr="003410C7" w:rsidRDefault="0033725C" w:rsidP="00A73DBD">
            <w:pPr>
              <w:pStyle w:val="TableText"/>
              <w:jc w:val="left"/>
              <w:rPr>
                <w:rFonts w:ascii="Tahoma" w:eastAsia="Calibri" w:hAnsi="Tahoma" w:cs="Tahoma"/>
                <w:sz w:val="18"/>
                <w:szCs w:val="18"/>
              </w:rPr>
            </w:pPr>
            <w:r w:rsidRPr="003410C7">
              <w:rPr>
                <w:rFonts w:ascii="Tahoma" w:eastAsia="Calibri" w:hAnsi="Tahoma" w:cs="Tahoma"/>
                <w:sz w:val="18"/>
                <w:szCs w:val="18"/>
              </w:rPr>
              <w:t>Customer Care Accelerator Framework</w:t>
            </w:r>
          </w:p>
        </w:tc>
        <w:tc>
          <w:tcPr>
            <w:tcW w:w="972" w:type="dxa"/>
            <w:tcBorders>
              <w:top w:val="single" w:sz="6" w:space="0" w:color="1F497D"/>
              <w:left w:val="single" w:sz="6" w:space="0" w:color="1F497D"/>
              <w:bottom w:val="single" w:sz="6" w:space="0" w:color="1F497D"/>
              <w:right w:val="single" w:sz="6" w:space="0" w:color="1F497D"/>
            </w:tcBorders>
            <w:shd w:val="clear" w:color="auto" w:fill="FFFFFF"/>
          </w:tcPr>
          <w:p w:rsidR="0033725C" w:rsidRPr="003410C7" w:rsidRDefault="0033725C" w:rsidP="00A73DBD">
            <w:pPr>
              <w:pStyle w:val="TableText"/>
              <w:rPr>
                <w:rFonts w:eastAsia="Calibri" w:cs="Segoe UI"/>
                <w:b/>
                <w:sz w:val="24"/>
                <w:szCs w:val="24"/>
              </w:rPr>
            </w:pPr>
          </w:p>
        </w:tc>
        <w:tc>
          <w:tcPr>
            <w:tcW w:w="1053" w:type="dxa"/>
            <w:tcBorders>
              <w:top w:val="single" w:sz="6" w:space="0" w:color="1F497D"/>
              <w:left w:val="single" w:sz="6" w:space="0" w:color="1F497D"/>
              <w:bottom w:val="single" w:sz="6" w:space="0" w:color="1F497D"/>
              <w:right w:val="single" w:sz="6" w:space="0" w:color="1F497D"/>
            </w:tcBorders>
            <w:shd w:val="clear" w:color="auto" w:fill="FFFFFF"/>
          </w:tcPr>
          <w:p w:rsidR="0033725C" w:rsidRPr="003410C7" w:rsidRDefault="0033725C" w:rsidP="00A73DBD">
            <w:pPr>
              <w:pStyle w:val="TableText"/>
              <w:rPr>
                <w:rFonts w:eastAsia="Calibri" w:cs="Segoe UI"/>
                <w:b/>
                <w:sz w:val="24"/>
                <w:szCs w:val="24"/>
              </w:rPr>
            </w:pPr>
            <w:r w:rsidRPr="003410C7">
              <w:rPr>
                <w:rFonts w:eastAsia="Calibri" w:cs="Segoe UI"/>
                <w:b/>
                <w:sz w:val="24"/>
                <w:szCs w:val="24"/>
              </w:rPr>
              <w:sym w:font="Wingdings" w:char="00FC"/>
            </w:r>
          </w:p>
        </w:tc>
        <w:tc>
          <w:tcPr>
            <w:tcW w:w="1152" w:type="dxa"/>
            <w:tcBorders>
              <w:top w:val="single" w:sz="6" w:space="0" w:color="1F497D"/>
              <w:left w:val="single" w:sz="6" w:space="0" w:color="1F497D"/>
              <w:bottom w:val="single" w:sz="6" w:space="0" w:color="1F497D"/>
              <w:right w:val="single" w:sz="6" w:space="0" w:color="1F497D"/>
            </w:tcBorders>
            <w:shd w:val="clear" w:color="auto" w:fill="FFFFFF"/>
          </w:tcPr>
          <w:p w:rsidR="0033725C" w:rsidRPr="003410C7" w:rsidRDefault="0033725C" w:rsidP="00A73DBD">
            <w:pPr>
              <w:pStyle w:val="TableText"/>
              <w:rPr>
                <w:rFonts w:eastAsia="Calibri" w:cs="Segoe UI"/>
                <w:b/>
                <w:sz w:val="24"/>
                <w:szCs w:val="24"/>
              </w:rPr>
            </w:pPr>
            <w:r w:rsidRPr="003410C7">
              <w:rPr>
                <w:rFonts w:eastAsia="Calibri" w:cs="Segoe UI"/>
                <w:b/>
                <w:sz w:val="24"/>
                <w:szCs w:val="24"/>
              </w:rPr>
              <w:sym w:font="Wingdings" w:char="00FC"/>
            </w:r>
          </w:p>
        </w:tc>
        <w:tc>
          <w:tcPr>
            <w:tcW w:w="1125" w:type="dxa"/>
            <w:tcBorders>
              <w:top w:val="single" w:sz="6" w:space="0" w:color="1F497D"/>
              <w:left w:val="single" w:sz="6" w:space="0" w:color="1F497D"/>
              <w:bottom w:val="single" w:sz="6" w:space="0" w:color="1F497D"/>
              <w:right w:val="single" w:sz="6" w:space="0" w:color="1F497D"/>
            </w:tcBorders>
            <w:shd w:val="clear" w:color="auto" w:fill="FFFFFF"/>
          </w:tcPr>
          <w:p w:rsidR="0033725C" w:rsidRPr="003410C7" w:rsidRDefault="0033725C" w:rsidP="00A73DBD">
            <w:pPr>
              <w:pStyle w:val="TableText"/>
              <w:rPr>
                <w:rFonts w:eastAsia="Calibri" w:cs="Segoe UI"/>
                <w:b/>
                <w:sz w:val="24"/>
                <w:szCs w:val="24"/>
              </w:rPr>
            </w:pPr>
            <w:r w:rsidRPr="003410C7">
              <w:rPr>
                <w:rFonts w:eastAsia="Calibri" w:cs="Segoe UI"/>
                <w:b/>
                <w:sz w:val="24"/>
                <w:szCs w:val="24"/>
              </w:rPr>
              <w:sym w:font="Wingdings" w:char="00FC"/>
            </w:r>
          </w:p>
        </w:tc>
        <w:tc>
          <w:tcPr>
            <w:tcW w:w="1305" w:type="dxa"/>
            <w:tcBorders>
              <w:top w:val="single" w:sz="6" w:space="0" w:color="1F497D"/>
              <w:left w:val="single" w:sz="6" w:space="0" w:color="1F497D"/>
              <w:bottom w:val="single" w:sz="6" w:space="0" w:color="1F497D"/>
              <w:right w:val="single" w:sz="6" w:space="0" w:color="1F497D"/>
            </w:tcBorders>
            <w:shd w:val="clear" w:color="auto" w:fill="FFFFFF"/>
          </w:tcPr>
          <w:p w:rsidR="0033725C" w:rsidRPr="003410C7" w:rsidRDefault="0033725C" w:rsidP="00A73DBD">
            <w:pPr>
              <w:pStyle w:val="TableText"/>
              <w:rPr>
                <w:rFonts w:eastAsia="Calibri" w:cs="Segoe UI"/>
                <w:b/>
                <w:sz w:val="24"/>
                <w:szCs w:val="24"/>
              </w:rPr>
            </w:pPr>
          </w:p>
        </w:tc>
        <w:tc>
          <w:tcPr>
            <w:tcW w:w="1251" w:type="dxa"/>
            <w:tcBorders>
              <w:top w:val="single" w:sz="6" w:space="0" w:color="1F497D"/>
              <w:left w:val="single" w:sz="6" w:space="0" w:color="1F497D"/>
              <w:bottom w:val="single" w:sz="6" w:space="0" w:color="1F497D"/>
              <w:right w:val="single" w:sz="6" w:space="0" w:color="1F497D"/>
            </w:tcBorders>
            <w:shd w:val="clear" w:color="auto" w:fill="FFFFFF"/>
          </w:tcPr>
          <w:p w:rsidR="0033725C" w:rsidRPr="003410C7" w:rsidRDefault="0033725C" w:rsidP="00A73DBD">
            <w:pPr>
              <w:pStyle w:val="TableText"/>
              <w:rPr>
                <w:rFonts w:eastAsia="Calibri" w:cs="Segoe UI"/>
                <w:b/>
                <w:sz w:val="24"/>
                <w:szCs w:val="24"/>
              </w:rPr>
            </w:pPr>
          </w:p>
        </w:tc>
      </w:tr>
      <w:tr w:rsidR="000C172E" w:rsidRPr="003410C7" w:rsidTr="000C172E">
        <w:tc>
          <w:tcPr>
            <w:tcW w:w="2020" w:type="dxa"/>
            <w:tcBorders>
              <w:top w:val="single" w:sz="6" w:space="0" w:color="1F497D"/>
              <w:left w:val="single" w:sz="4" w:space="0" w:color="072B61"/>
              <w:bottom w:val="single" w:sz="6" w:space="0" w:color="1F497D"/>
              <w:right w:val="single" w:sz="6" w:space="0" w:color="1F497D"/>
            </w:tcBorders>
            <w:shd w:val="clear" w:color="auto" w:fill="FFFFFF"/>
          </w:tcPr>
          <w:p w:rsidR="0033725C" w:rsidRPr="00451078" w:rsidRDefault="0033725C" w:rsidP="00A73DBD">
            <w:pPr>
              <w:pStyle w:val="TableText"/>
              <w:jc w:val="left"/>
              <w:rPr>
                <w:rFonts w:ascii="Tahoma" w:eastAsia="Calibri" w:hAnsi="Tahoma" w:cs="Tahoma"/>
                <w:sz w:val="18"/>
                <w:szCs w:val="18"/>
                <w:lang w:val="it-IT"/>
              </w:rPr>
            </w:pPr>
            <w:r w:rsidRPr="00451078">
              <w:rPr>
                <w:rFonts w:ascii="Tahoma" w:eastAsia="Calibri" w:hAnsi="Tahoma" w:cs="Tahoma"/>
                <w:sz w:val="18"/>
                <w:szCs w:val="18"/>
                <w:lang w:val="it-IT"/>
              </w:rPr>
              <w:lastRenderedPageBreak/>
              <w:t xml:space="preserve">Creazione di Query </w:t>
            </w:r>
            <w:r w:rsidR="001A3EC5" w:rsidRPr="00451078">
              <w:rPr>
                <w:rFonts w:ascii="Tahoma" w:eastAsia="Calibri" w:hAnsi="Tahoma" w:cs="Tahoma"/>
                <w:sz w:val="18"/>
                <w:szCs w:val="18"/>
                <w:lang w:val="it-IT"/>
              </w:rPr>
              <w:t>“</w:t>
            </w:r>
            <w:r w:rsidRPr="00451078">
              <w:rPr>
                <w:rFonts w:ascii="Tahoma" w:eastAsia="Calibri" w:hAnsi="Tahoma" w:cs="Tahoma"/>
                <w:sz w:val="18"/>
                <w:szCs w:val="18"/>
                <w:lang w:val="it-IT"/>
              </w:rPr>
              <w:t>Ricerca Avanzata</w:t>
            </w:r>
            <w:r w:rsidR="001A3EC5" w:rsidRPr="00451078">
              <w:rPr>
                <w:rFonts w:ascii="Tahoma" w:eastAsia="Calibri" w:hAnsi="Tahoma" w:cs="Tahoma"/>
                <w:sz w:val="18"/>
                <w:szCs w:val="18"/>
                <w:lang w:val="it-IT"/>
              </w:rPr>
              <w:t>”</w:t>
            </w:r>
          </w:p>
        </w:tc>
        <w:tc>
          <w:tcPr>
            <w:tcW w:w="972" w:type="dxa"/>
            <w:tcBorders>
              <w:top w:val="single" w:sz="6" w:space="0" w:color="1F497D"/>
              <w:left w:val="single" w:sz="6" w:space="0" w:color="1F497D"/>
              <w:bottom w:val="single" w:sz="6" w:space="0" w:color="1F497D"/>
              <w:right w:val="single" w:sz="6" w:space="0" w:color="1F497D"/>
            </w:tcBorders>
            <w:shd w:val="clear" w:color="auto" w:fill="FFFFFF"/>
          </w:tcPr>
          <w:p w:rsidR="0033725C" w:rsidRPr="00451078" w:rsidRDefault="0033725C" w:rsidP="00A73DBD">
            <w:pPr>
              <w:pStyle w:val="TableText"/>
              <w:rPr>
                <w:rFonts w:eastAsia="Calibri" w:cs="Segoe UI"/>
                <w:b/>
                <w:sz w:val="24"/>
                <w:szCs w:val="24"/>
                <w:lang w:val="it-IT"/>
              </w:rPr>
            </w:pPr>
          </w:p>
        </w:tc>
        <w:tc>
          <w:tcPr>
            <w:tcW w:w="1053" w:type="dxa"/>
            <w:tcBorders>
              <w:top w:val="single" w:sz="6" w:space="0" w:color="1F497D"/>
              <w:left w:val="single" w:sz="6" w:space="0" w:color="1F497D"/>
              <w:bottom w:val="single" w:sz="6" w:space="0" w:color="1F497D"/>
              <w:right w:val="single" w:sz="6" w:space="0" w:color="1F497D"/>
            </w:tcBorders>
            <w:shd w:val="clear" w:color="auto" w:fill="FFFFFF"/>
          </w:tcPr>
          <w:p w:rsidR="0033725C" w:rsidRPr="003410C7" w:rsidRDefault="0033725C" w:rsidP="00A73DBD">
            <w:pPr>
              <w:pStyle w:val="TableText"/>
              <w:rPr>
                <w:rFonts w:eastAsia="Calibri" w:cs="Segoe UI"/>
                <w:b/>
                <w:sz w:val="24"/>
                <w:szCs w:val="24"/>
              </w:rPr>
            </w:pPr>
            <w:r w:rsidRPr="003410C7">
              <w:rPr>
                <w:rFonts w:eastAsia="Calibri" w:cs="Segoe UI"/>
                <w:b/>
                <w:sz w:val="24"/>
                <w:szCs w:val="24"/>
              </w:rPr>
              <w:sym w:font="Wingdings" w:char="00FC"/>
            </w:r>
          </w:p>
        </w:tc>
        <w:tc>
          <w:tcPr>
            <w:tcW w:w="1152" w:type="dxa"/>
            <w:tcBorders>
              <w:top w:val="single" w:sz="6" w:space="0" w:color="1F497D"/>
              <w:left w:val="single" w:sz="6" w:space="0" w:color="1F497D"/>
              <w:bottom w:val="single" w:sz="6" w:space="0" w:color="1F497D"/>
              <w:right w:val="single" w:sz="6" w:space="0" w:color="1F497D"/>
            </w:tcBorders>
            <w:shd w:val="clear" w:color="auto" w:fill="FFFFFF"/>
          </w:tcPr>
          <w:p w:rsidR="0033725C" w:rsidRPr="003410C7" w:rsidRDefault="0033725C" w:rsidP="00A73DBD">
            <w:pPr>
              <w:pStyle w:val="TableText"/>
              <w:rPr>
                <w:rFonts w:eastAsia="Calibri" w:cs="Segoe UI"/>
                <w:b/>
                <w:sz w:val="24"/>
                <w:szCs w:val="24"/>
              </w:rPr>
            </w:pPr>
            <w:r w:rsidRPr="003410C7">
              <w:rPr>
                <w:rFonts w:eastAsia="Calibri" w:cs="Segoe UI"/>
                <w:b/>
                <w:sz w:val="24"/>
                <w:szCs w:val="24"/>
              </w:rPr>
              <w:sym w:font="Wingdings" w:char="00FC"/>
            </w:r>
          </w:p>
        </w:tc>
        <w:tc>
          <w:tcPr>
            <w:tcW w:w="1125" w:type="dxa"/>
            <w:tcBorders>
              <w:top w:val="single" w:sz="6" w:space="0" w:color="1F497D"/>
              <w:left w:val="single" w:sz="6" w:space="0" w:color="1F497D"/>
              <w:bottom w:val="single" w:sz="6" w:space="0" w:color="1F497D"/>
              <w:right w:val="single" w:sz="6" w:space="0" w:color="1F497D"/>
            </w:tcBorders>
            <w:shd w:val="clear" w:color="auto" w:fill="FFFFFF"/>
          </w:tcPr>
          <w:p w:rsidR="0033725C" w:rsidRPr="003410C7" w:rsidRDefault="0033725C" w:rsidP="00A73DBD">
            <w:pPr>
              <w:pStyle w:val="TableText"/>
              <w:rPr>
                <w:rFonts w:eastAsia="Calibri" w:cs="Segoe UI"/>
                <w:b/>
                <w:sz w:val="24"/>
                <w:szCs w:val="24"/>
              </w:rPr>
            </w:pPr>
            <w:r w:rsidRPr="003410C7">
              <w:rPr>
                <w:rFonts w:eastAsia="Calibri" w:cs="Segoe UI"/>
                <w:b/>
                <w:sz w:val="24"/>
                <w:szCs w:val="24"/>
              </w:rPr>
              <w:sym w:font="Wingdings" w:char="00FC"/>
            </w:r>
          </w:p>
        </w:tc>
        <w:tc>
          <w:tcPr>
            <w:tcW w:w="1305" w:type="dxa"/>
            <w:tcBorders>
              <w:top w:val="single" w:sz="6" w:space="0" w:color="1F497D"/>
              <w:left w:val="single" w:sz="6" w:space="0" w:color="1F497D"/>
              <w:bottom w:val="single" w:sz="6" w:space="0" w:color="1F497D"/>
              <w:right w:val="single" w:sz="6" w:space="0" w:color="1F497D"/>
            </w:tcBorders>
            <w:shd w:val="clear" w:color="auto" w:fill="FFFFFF"/>
          </w:tcPr>
          <w:p w:rsidR="0033725C" w:rsidRPr="003410C7" w:rsidRDefault="0033725C" w:rsidP="00A73DBD">
            <w:pPr>
              <w:pStyle w:val="TableText"/>
              <w:rPr>
                <w:rFonts w:eastAsia="Calibri" w:cs="Segoe UI"/>
                <w:b/>
                <w:sz w:val="24"/>
                <w:szCs w:val="24"/>
              </w:rPr>
            </w:pPr>
          </w:p>
        </w:tc>
        <w:tc>
          <w:tcPr>
            <w:tcW w:w="1251" w:type="dxa"/>
            <w:tcBorders>
              <w:top w:val="single" w:sz="6" w:space="0" w:color="1F497D"/>
              <w:left w:val="single" w:sz="6" w:space="0" w:color="1F497D"/>
              <w:bottom w:val="single" w:sz="6" w:space="0" w:color="1F497D"/>
              <w:right w:val="single" w:sz="6" w:space="0" w:color="1F497D"/>
            </w:tcBorders>
            <w:shd w:val="clear" w:color="auto" w:fill="FFFFFF"/>
          </w:tcPr>
          <w:p w:rsidR="0033725C" w:rsidRPr="003410C7" w:rsidRDefault="0033725C" w:rsidP="00A73DBD">
            <w:pPr>
              <w:pStyle w:val="TableText"/>
              <w:rPr>
                <w:rFonts w:eastAsia="Calibri" w:cs="Segoe UI"/>
                <w:b/>
                <w:sz w:val="24"/>
                <w:szCs w:val="24"/>
              </w:rPr>
            </w:pPr>
          </w:p>
        </w:tc>
      </w:tr>
      <w:tr w:rsidR="000C172E" w:rsidRPr="003410C7" w:rsidTr="000C172E">
        <w:tc>
          <w:tcPr>
            <w:tcW w:w="2020" w:type="dxa"/>
            <w:tcBorders>
              <w:top w:val="single" w:sz="6" w:space="0" w:color="1F497D"/>
              <w:left w:val="single" w:sz="4" w:space="0" w:color="072B61"/>
              <w:bottom w:val="single" w:sz="6" w:space="0" w:color="1F497D"/>
              <w:right w:val="single" w:sz="6" w:space="0" w:color="1F497D"/>
            </w:tcBorders>
            <w:shd w:val="clear" w:color="auto" w:fill="FFFFFF"/>
          </w:tcPr>
          <w:p w:rsidR="0033725C" w:rsidRPr="00451078" w:rsidRDefault="0033725C" w:rsidP="00A73DBD">
            <w:pPr>
              <w:pStyle w:val="TableText"/>
              <w:jc w:val="left"/>
              <w:rPr>
                <w:rFonts w:ascii="Tahoma" w:eastAsia="Calibri" w:hAnsi="Tahoma" w:cs="Tahoma"/>
                <w:sz w:val="18"/>
                <w:szCs w:val="18"/>
                <w:lang w:val="it-IT"/>
              </w:rPr>
            </w:pPr>
            <w:r w:rsidRPr="00451078">
              <w:rPr>
                <w:rFonts w:ascii="Tahoma" w:eastAsia="Calibri" w:hAnsi="Tahoma" w:cs="Tahoma"/>
                <w:sz w:val="18"/>
                <w:szCs w:val="18"/>
                <w:lang w:val="it-IT"/>
              </w:rPr>
              <w:t xml:space="preserve">Salvataggio di Query </w:t>
            </w:r>
            <w:r w:rsidR="001A3EC5" w:rsidRPr="00451078">
              <w:rPr>
                <w:rFonts w:ascii="Tahoma" w:eastAsia="Calibri" w:hAnsi="Tahoma" w:cs="Tahoma"/>
                <w:sz w:val="18"/>
                <w:szCs w:val="18"/>
                <w:lang w:val="it-IT"/>
              </w:rPr>
              <w:t>“</w:t>
            </w:r>
            <w:r w:rsidRPr="00451078">
              <w:rPr>
                <w:rFonts w:ascii="Tahoma" w:eastAsia="Calibri" w:hAnsi="Tahoma" w:cs="Tahoma"/>
                <w:sz w:val="18"/>
                <w:szCs w:val="18"/>
                <w:lang w:val="it-IT"/>
              </w:rPr>
              <w:t>Ricerca Avanzata</w:t>
            </w:r>
            <w:r w:rsidR="001A3EC5" w:rsidRPr="00451078">
              <w:rPr>
                <w:rFonts w:ascii="Tahoma" w:eastAsia="Calibri" w:hAnsi="Tahoma" w:cs="Tahoma"/>
                <w:sz w:val="18"/>
                <w:szCs w:val="18"/>
                <w:lang w:val="it-IT"/>
              </w:rPr>
              <w:t>”</w:t>
            </w:r>
          </w:p>
        </w:tc>
        <w:tc>
          <w:tcPr>
            <w:tcW w:w="972" w:type="dxa"/>
            <w:tcBorders>
              <w:top w:val="single" w:sz="6" w:space="0" w:color="1F497D"/>
              <w:left w:val="single" w:sz="6" w:space="0" w:color="1F497D"/>
              <w:bottom w:val="single" w:sz="6" w:space="0" w:color="1F497D"/>
              <w:right w:val="single" w:sz="6" w:space="0" w:color="1F497D"/>
            </w:tcBorders>
            <w:shd w:val="clear" w:color="auto" w:fill="FFFFFF"/>
          </w:tcPr>
          <w:p w:rsidR="0033725C" w:rsidRPr="00451078" w:rsidRDefault="0033725C" w:rsidP="00A73DBD">
            <w:pPr>
              <w:pStyle w:val="TableText"/>
              <w:rPr>
                <w:rFonts w:eastAsia="Calibri" w:cs="Segoe UI"/>
                <w:b/>
                <w:sz w:val="24"/>
                <w:szCs w:val="24"/>
                <w:lang w:val="it-IT"/>
              </w:rPr>
            </w:pPr>
          </w:p>
        </w:tc>
        <w:tc>
          <w:tcPr>
            <w:tcW w:w="1053" w:type="dxa"/>
            <w:tcBorders>
              <w:top w:val="single" w:sz="6" w:space="0" w:color="1F497D"/>
              <w:left w:val="single" w:sz="6" w:space="0" w:color="1F497D"/>
              <w:bottom w:val="single" w:sz="6" w:space="0" w:color="1F497D"/>
              <w:right w:val="single" w:sz="6" w:space="0" w:color="1F497D"/>
            </w:tcBorders>
            <w:shd w:val="clear" w:color="auto" w:fill="FFFFFF"/>
          </w:tcPr>
          <w:p w:rsidR="0033725C" w:rsidRPr="003410C7" w:rsidRDefault="0033725C" w:rsidP="00A73DBD">
            <w:pPr>
              <w:pStyle w:val="TableText"/>
              <w:rPr>
                <w:rFonts w:eastAsia="Calibri" w:cs="Segoe UI"/>
                <w:b/>
                <w:sz w:val="24"/>
                <w:szCs w:val="24"/>
              </w:rPr>
            </w:pPr>
            <w:r w:rsidRPr="003410C7">
              <w:rPr>
                <w:rFonts w:eastAsia="Calibri" w:cs="Segoe UI"/>
                <w:b/>
                <w:sz w:val="24"/>
                <w:szCs w:val="24"/>
              </w:rPr>
              <w:sym w:font="Wingdings" w:char="00FC"/>
            </w:r>
          </w:p>
        </w:tc>
        <w:tc>
          <w:tcPr>
            <w:tcW w:w="1152" w:type="dxa"/>
            <w:tcBorders>
              <w:top w:val="single" w:sz="6" w:space="0" w:color="1F497D"/>
              <w:left w:val="single" w:sz="6" w:space="0" w:color="1F497D"/>
              <w:bottom w:val="single" w:sz="6" w:space="0" w:color="1F497D"/>
              <w:right w:val="single" w:sz="6" w:space="0" w:color="1F497D"/>
            </w:tcBorders>
            <w:shd w:val="clear" w:color="auto" w:fill="FFFFFF"/>
          </w:tcPr>
          <w:p w:rsidR="0033725C" w:rsidRPr="003410C7" w:rsidRDefault="0033725C" w:rsidP="00A73DBD">
            <w:pPr>
              <w:pStyle w:val="TableText"/>
              <w:rPr>
                <w:rFonts w:eastAsia="Calibri" w:cs="Segoe UI"/>
                <w:b/>
                <w:sz w:val="24"/>
                <w:szCs w:val="24"/>
              </w:rPr>
            </w:pPr>
            <w:r w:rsidRPr="003410C7">
              <w:rPr>
                <w:rFonts w:eastAsia="Calibri" w:cs="Segoe UI"/>
                <w:b/>
                <w:sz w:val="24"/>
                <w:szCs w:val="24"/>
              </w:rPr>
              <w:sym w:font="Wingdings" w:char="00FC"/>
            </w:r>
          </w:p>
        </w:tc>
        <w:tc>
          <w:tcPr>
            <w:tcW w:w="1125" w:type="dxa"/>
            <w:tcBorders>
              <w:top w:val="single" w:sz="6" w:space="0" w:color="1F497D"/>
              <w:left w:val="single" w:sz="6" w:space="0" w:color="1F497D"/>
              <w:bottom w:val="single" w:sz="6" w:space="0" w:color="1F497D"/>
              <w:right w:val="single" w:sz="6" w:space="0" w:color="1F497D"/>
            </w:tcBorders>
            <w:shd w:val="clear" w:color="auto" w:fill="FFFFFF"/>
          </w:tcPr>
          <w:p w:rsidR="0033725C" w:rsidRPr="003410C7" w:rsidRDefault="0033725C" w:rsidP="00A73DBD">
            <w:pPr>
              <w:pStyle w:val="TableText"/>
              <w:rPr>
                <w:rFonts w:eastAsia="Calibri" w:cs="Segoe UI"/>
                <w:b/>
                <w:sz w:val="24"/>
                <w:szCs w:val="24"/>
              </w:rPr>
            </w:pPr>
            <w:r w:rsidRPr="003410C7">
              <w:rPr>
                <w:rFonts w:eastAsia="Calibri" w:cs="Segoe UI"/>
                <w:b/>
                <w:sz w:val="24"/>
                <w:szCs w:val="24"/>
              </w:rPr>
              <w:sym w:font="Wingdings" w:char="00FC"/>
            </w:r>
          </w:p>
        </w:tc>
        <w:tc>
          <w:tcPr>
            <w:tcW w:w="1305" w:type="dxa"/>
            <w:tcBorders>
              <w:top w:val="single" w:sz="6" w:space="0" w:color="1F497D"/>
              <w:left w:val="single" w:sz="6" w:space="0" w:color="1F497D"/>
              <w:bottom w:val="single" w:sz="6" w:space="0" w:color="1F497D"/>
              <w:right w:val="single" w:sz="6" w:space="0" w:color="1F497D"/>
            </w:tcBorders>
            <w:shd w:val="clear" w:color="auto" w:fill="FFFFFF"/>
          </w:tcPr>
          <w:p w:rsidR="0033725C" w:rsidRPr="003410C7" w:rsidRDefault="0033725C" w:rsidP="00A73DBD">
            <w:pPr>
              <w:pStyle w:val="TableText"/>
              <w:rPr>
                <w:rFonts w:eastAsia="Calibri" w:cs="Segoe UI"/>
                <w:b/>
                <w:sz w:val="24"/>
                <w:szCs w:val="24"/>
              </w:rPr>
            </w:pPr>
          </w:p>
        </w:tc>
        <w:tc>
          <w:tcPr>
            <w:tcW w:w="1251" w:type="dxa"/>
            <w:tcBorders>
              <w:top w:val="single" w:sz="6" w:space="0" w:color="1F497D"/>
              <w:left w:val="single" w:sz="6" w:space="0" w:color="1F497D"/>
              <w:bottom w:val="single" w:sz="6" w:space="0" w:color="1F497D"/>
              <w:right w:val="single" w:sz="6" w:space="0" w:color="1F497D"/>
            </w:tcBorders>
            <w:shd w:val="clear" w:color="auto" w:fill="FFFFFF"/>
          </w:tcPr>
          <w:p w:rsidR="0033725C" w:rsidRPr="003410C7" w:rsidRDefault="0033725C" w:rsidP="00A73DBD">
            <w:pPr>
              <w:pStyle w:val="TableText"/>
              <w:rPr>
                <w:rFonts w:eastAsia="Calibri" w:cs="Segoe UI"/>
                <w:b/>
                <w:sz w:val="24"/>
                <w:szCs w:val="24"/>
              </w:rPr>
            </w:pPr>
          </w:p>
        </w:tc>
      </w:tr>
      <w:tr w:rsidR="000C172E" w:rsidRPr="003410C7" w:rsidTr="000C172E">
        <w:tc>
          <w:tcPr>
            <w:tcW w:w="2020" w:type="dxa"/>
            <w:tcBorders>
              <w:top w:val="single" w:sz="6" w:space="0" w:color="1F497D"/>
              <w:left w:val="single" w:sz="4" w:space="0" w:color="072B61"/>
              <w:bottom w:val="single" w:sz="6" w:space="0" w:color="1F497D"/>
              <w:right w:val="single" w:sz="6" w:space="0" w:color="1F497D"/>
            </w:tcBorders>
            <w:shd w:val="clear" w:color="auto" w:fill="FFFFFF"/>
          </w:tcPr>
          <w:p w:rsidR="0033725C" w:rsidRPr="003410C7" w:rsidRDefault="0033725C" w:rsidP="00A73DBD">
            <w:pPr>
              <w:pStyle w:val="TableText"/>
              <w:jc w:val="left"/>
              <w:rPr>
                <w:rFonts w:ascii="Tahoma" w:eastAsia="Calibri" w:hAnsi="Tahoma" w:cs="Tahoma"/>
                <w:sz w:val="18"/>
                <w:szCs w:val="18"/>
              </w:rPr>
            </w:pPr>
            <w:r w:rsidRPr="003410C7">
              <w:rPr>
                <w:rFonts w:ascii="Tahoma" w:eastAsia="Calibri" w:hAnsi="Tahoma" w:cs="Tahoma"/>
                <w:sz w:val="18"/>
                <w:szCs w:val="18"/>
              </w:rPr>
              <w:t>Viste Personali</w:t>
            </w:r>
          </w:p>
        </w:tc>
        <w:tc>
          <w:tcPr>
            <w:tcW w:w="972" w:type="dxa"/>
            <w:tcBorders>
              <w:top w:val="single" w:sz="6" w:space="0" w:color="1F497D"/>
              <w:left w:val="single" w:sz="6" w:space="0" w:color="1F497D"/>
              <w:bottom w:val="single" w:sz="6" w:space="0" w:color="1F497D"/>
              <w:right w:val="single" w:sz="6" w:space="0" w:color="1F497D"/>
            </w:tcBorders>
            <w:shd w:val="clear" w:color="auto" w:fill="FFFFFF"/>
          </w:tcPr>
          <w:p w:rsidR="0033725C" w:rsidRPr="003410C7" w:rsidRDefault="0033725C" w:rsidP="00A73DBD">
            <w:pPr>
              <w:pStyle w:val="TableText"/>
              <w:rPr>
                <w:rFonts w:eastAsia="Calibri" w:cs="Segoe UI"/>
                <w:b/>
                <w:sz w:val="24"/>
                <w:szCs w:val="24"/>
              </w:rPr>
            </w:pPr>
          </w:p>
        </w:tc>
        <w:tc>
          <w:tcPr>
            <w:tcW w:w="1053" w:type="dxa"/>
            <w:tcBorders>
              <w:top w:val="single" w:sz="6" w:space="0" w:color="1F497D"/>
              <w:left w:val="single" w:sz="6" w:space="0" w:color="1F497D"/>
              <w:bottom w:val="single" w:sz="6" w:space="0" w:color="1F497D"/>
              <w:right w:val="single" w:sz="6" w:space="0" w:color="1F497D"/>
            </w:tcBorders>
            <w:shd w:val="clear" w:color="auto" w:fill="FFFFFF"/>
          </w:tcPr>
          <w:p w:rsidR="0033725C" w:rsidRPr="003410C7" w:rsidRDefault="0033725C" w:rsidP="00A73DBD">
            <w:pPr>
              <w:pStyle w:val="TableText"/>
              <w:rPr>
                <w:rFonts w:eastAsia="Calibri" w:cs="Segoe UI"/>
                <w:b/>
                <w:sz w:val="24"/>
                <w:szCs w:val="24"/>
              </w:rPr>
            </w:pPr>
            <w:r w:rsidRPr="003410C7">
              <w:rPr>
                <w:rFonts w:eastAsia="Calibri" w:cs="Segoe UI"/>
                <w:b/>
                <w:sz w:val="24"/>
                <w:szCs w:val="24"/>
              </w:rPr>
              <w:sym w:font="Wingdings" w:char="00FC"/>
            </w:r>
          </w:p>
        </w:tc>
        <w:tc>
          <w:tcPr>
            <w:tcW w:w="1152" w:type="dxa"/>
            <w:tcBorders>
              <w:top w:val="single" w:sz="6" w:space="0" w:color="1F497D"/>
              <w:left w:val="single" w:sz="6" w:space="0" w:color="1F497D"/>
              <w:bottom w:val="single" w:sz="6" w:space="0" w:color="1F497D"/>
              <w:right w:val="single" w:sz="6" w:space="0" w:color="1F497D"/>
            </w:tcBorders>
            <w:shd w:val="clear" w:color="auto" w:fill="FFFFFF"/>
          </w:tcPr>
          <w:p w:rsidR="0033725C" w:rsidRPr="003410C7" w:rsidRDefault="0033725C" w:rsidP="00A73DBD">
            <w:pPr>
              <w:pStyle w:val="TableText"/>
              <w:rPr>
                <w:rFonts w:eastAsia="Calibri" w:cs="Segoe UI"/>
                <w:b/>
                <w:sz w:val="24"/>
                <w:szCs w:val="24"/>
              </w:rPr>
            </w:pPr>
            <w:r w:rsidRPr="003410C7">
              <w:rPr>
                <w:rFonts w:eastAsia="Calibri" w:cs="Segoe UI"/>
                <w:b/>
                <w:sz w:val="24"/>
                <w:szCs w:val="24"/>
              </w:rPr>
              <w:sym w:font="Wingdings" w:char="00FC"/>
            </w:r>
          </w:p>
        </w:tc>
        <w:tc>
          <w:tcPr>
            <w:tcW w:w="1125" w:type="dxa"/>
            <w:tcBorders>
              <w:top w:val="single" w:sz="6" w:space="0" w:color="1F497D"/>
              <w:left w:val="single" w:sz="6" w:space="0" w:color="1F497D"/>
              <w:bottom w:val="single" w:sz="6" w:space="0" w:color="1F497D"/>
              <w:right w:val="single" w:sz="6" w:space="0" w:color="1F497D"/>
            </w:tcBorders>
            <w:shd w:val="clear" w:color="auto" w:fill="FFFFFF"/>
          </w:tcPr>
          <w:p w:rsidR="0033725C" w:rsidRPr="003410C7" w:rsidRDefault="0033725C" w:rsidP="00A73DBD">
            <w:pPr>
              <w:pStyle w:val="TableText"/>
              <w:rPr>
                <w:rFonts w:eastAsia="Calibri" w:cs="Segoe UI"/>
                <w:b/>
                <w:sz w:val="24"/>
                <w:szCs w:val="24"/>
              </w:rPr>
            </w:pPr>
            <w:r w:rsidRPr="003410C7">
              <w:rPr>
                <w:rFonts w:eastAsia="Calibri" w:cs="Segoe UI"/>
                <w:b/>
                <w:sz w:val="24"/>
                <w:szCs w:val="24"/>
              </w:rPr>
              <w:sym w:font="Wingdings" w:char="00FC"/>
            </w:r>
          </w:p>
        </w:tc>
        <w:tc>
          <w:tcPr>
            <w:tcW w:w="1305" w:type="dxa"/>
            <w:tcBorders>
              <w:top w:val="single" w:sz="6" w:space="0" w:color="1F497D"/>
              <w:left w:val="single" w:sz="6" w:space="0" w:color="1F497D"/>
              <w:bottom w:val="single" w:sz="6" w:space="0" w:color="1F497D"/>
              <w:right w:val="single" w:sz="6" w:space="0" w:color="1F497D"/>
            </w:tcBorders>
            <w:shd w:val="clear" w:color="auto" w:fill="FFFFFF"/>
          </w:tcPr>
          <w:p w:rsidR="0033725C" w:rsidRPr="003410C7" w:rsidRDefault="0033725C" w:rsidP="00A73DBD">
            <w:pPr>
              <w:pStyle w:val="TableText"/>
              <w:rPr>
                <w:rFonts w:eastAsia="Calibri" w:cs="Segoe UI"/>
                <w:b/>
                <w:sz w:val="24"/>
                <w:szCs w:val="24"/>
              </w:rPr>
            </w:pPr>
          </w:p>
        </w:tc>
        <w:tc>
          <w:tcPr>
            <w:tcW w:w="1251" w:type="dxa"/>
            <w:tcBorders>
              <w:top w:val="single" w:sz="6" w:space="0" w:color="1F497D"/>
              <w:left w:val="single" w:sz="6" w:space="0" w:color="1F497D"/>
              <w:bottom w:val="single" w:sz="6" w:space="0" w:color="1F497D"/>
              <w:right w:val="single" w:sz="6" w:space="0" w:color="1F497D"/>
            </w:tcBorders>
            <w:shd w:val="clear" w:color="auto" w:fill="FFFFFF"/>
          </w:tcPr>
          <w:p w:rsidR="0033725C" w:rsidRPr="003410C7" w:rsidRDefault="0033725C" w:rsidP="00A73DBD">
            <w:pPr>
              <w:pStyle w:val="TableText"/>
              <w:rPr>
                <w:rFonts w:eastAsia="Calibri" w:cs="Segoe UI"/>
                <w:b/>
                <w:sz w:val="24"/>
                <w:szCs w:val="24"/>
              </w:rPr>
            </w:pPr>
          </w:p>
        </w:tc>
      </w:tr>
      <w:tr w:rsidR="000C172E" w:rsidRPr="003410C7" w:rsidTr="000C172E">
        <w:tc>
          <w:tcPr>
            <w:tcW w:w="2020" w:type="dxa"/>
            <w:tcBorders>
              <w:top w:val="single" w:sz="6" w:space="0" w:color="1F497D"/>
              <w:left w:val="single" w:sz="4" w:space="0" w:color="072B61"/>
              <w:bottom w:val="single" w:sz="6" w:space="0" w:color="1F497D"/>
              <w:right w:val="single" w:sz="6" w:space="0" w:color="1F497D"/>
            </w:tcBorders>
            <w:shd w:val="clear" w:color="auto" w:fill="FFFFFF"/>
          </w:tcPr>
          <w:p w:rsidR="0033725C" w:rsidRPr="00451078" w:rsidRDefault="0033725C" w:rsidP="00A73DBD">
            <w:pPr>
              <w:pStyle w:val="TableText"/>
              <w:jc w:val="left"/>
              <w:rPr>
                <w:rFonts w:ascii="Tahoma" w:eastAsia="Calibri" w:hAnsi="Tahoma" w:cs="Tahoma"/>
                <w:sz w:val="18"/>
                <w:szCs w:val="18"/>
                <w:lang w:val="it-IT"/>
              </w:rPr>
            </w:pPr>
            <w:r w:rsidRPr="00451078">
              <w:rPr>
                <w:rFonts w:ascii="Tahoma" w:eastAsia="Calibri" w:hAnsi="Tahoma" w:cs="Tahoma"/>
                <w:sz w:val="18"/>
                <w:szCs w:val="18"/>
                <w:lang w:val="it-IT"/>
              </w:rPr>
              <w:t>Creazione del Dashboard di Sistema</w:t>
            </w:r>
          </w:p>
        </w:tc>
        <w:tc>
          <w:tcPr>
            <w:tcW w:w="972" w:type="dxa"/>
            <w:tcBorders>
              <w:top w:val="single" w:sz="6" w:space="0" w:color="1F497D"/>
              <w:left w:val="single" w:sz="6" w:space="0" w:color="1F497D"/>
              <w:bottom w:val="single" w:sz="6" w:space="0" w:color="1F497D"/>
              <w:right w:val="single" w:sz="6" w:space="0" w:color="1F497D"/>
            </w:tcBorders>
            <w:shd w:val="clear" w:color="auto" w:fill="FFFFFF"/>
          </w:tcPr>
          <w:p w:rsidR="0033725C" w:rsidRPr="00451078" w:rsidRDefault="0033725C" w:rsidP="00A73DBD">
            <w:pPr>
              <w:pStyle w:val="TableText"/>
              <w:rPr>
                <w:rFonts w:eastAsia="Calibri" w:cs="Segoe UI"/>
                <w:b/>
                <w:sz w:val="24"/>
                <w:szCs w:val="24"/>
                <w:lang w:val="it-IT"/>
              </w:rPr>
            </w:pPr>
          </w:p>
        </w:tc>
        <w:tc>
          <w:tcPr>
            <w:tcW w:w="1053" w:type="dxa"/>
            <w:tcBorders>
              <w:top w:val="single" w:sz="6" w:space="0" w:color="1F497D"/>
              <w:left w:val="single" w:sz="6" w:space="0" w:color="1F497D"/>
              <w:bottom w:val="single" w:sz="6" w:space="0" w:color="1F497D"/>
              <w:right w:val="single" w:sz="6" w:space="0" w:color="1F497D"/>
            </w:tcBorders>
            <w:shd w:val="clear" w:color="auto" w:fill="auto"/>
          </w:tcPr>
          <w:p w:rsidR="0033725C" w:rsidRPr="00451078" w:rsidRDefault="0033725C" w:rsidP="00A73DBD">
            <w:pPr>
              <w:pStyle w:val="TableText"/>
              <w:rPr>
                <w:rFonts w:eastAsia="Calibri" w:cs="Segoe UI"/>
                <w:b/>
                <w:sz w:val="24"/>
                <w:szCs w:val="24"/>
                <w:lang w:val="it-IT"/>
              </w:rPr>
            </w:pPr>
          </w:p>
        </w:tc>
        <w:tc>
          <w:tcPr>
            <w:tcW w:w="1152" w:type="dxa"/>
            <w:tcBorders>
              <w:top w:val="single" w:sz="6" w:space="0" w:color="1F497D"/>
              <w:left w:val="single" w:sz="6" w:space="0" w:color="1F497D"/>
              <w:bottom w:val="single" w:sz="6" w:space="0" w:color="1F497D"/>
              <w:right w:val="single" w:sz="6" w:space="0" w:color="1F497D"/>
            </w:tcBorders>
            <w:shd w:val="clear" w:color="auto" w:fill="FFFFFF"/>
          </w:tcPr>
          <w:p w:rsidR="0033725C" w:rsidRPr="003410C7" w:rsidRDefault="0033725C" w:rsidP="00A73DBD">
            <w:pPr>
              <w:pStyle w:val="TableText"/>
              <w:rPr>
                <w:rFonts w:eastAsia="Calibri" w:cs="Segoe UI"/>
                <w:b/>
                <w:sz w:val="24"/>
                <w:szCs w:val="24"/>
              </w:rPr>
            </w:pPr>
            <w:r w:rsidRPr="003410C7">
              <w:rPr>
                <w:rFonts w:eastAsia="Calibri" w:cs="Segoe UI"/>
                <w:b/>
                <w:sz w:val="24"/>
                <w:szCs w:val="24"/>
              </w:rPr>
              <w:sym w:font="Wingdings" w:char="00FC"/>
            </w:r>
          </w:p>
        </w:tc>
        <w:tc>
          <w:tcPr>
            <w:tcW w:w="1125" w:type="dxa"/>
            <w:tcBorders>
              <w:top w:val="single" w:sz="6" w:space="0" w:color="1F497D"/>
              <w:left w:val="single" w:sz="6" w:space="0" w:color="1F497D"/>
              <w:bottom w:val="single" w:sz="6" w:space="0" w:color="1F497D"/>
              <w:right w:val="single" w:sz="6" w:space="0" w:color="1F497D"/>
            </w:tcBorders>
            <w:shd w:val="clear" w:color="auto" w:fill="FFFFFF"/>
          </w:tcPr>
          <w:p w:rsidR="0033725C" w:rsidRPr="003410C7" w:rsidRDefault="0033725C" w:rsidP="00A73DBD">
            <w:pPr>
              <w:pStyle w:val="TableText"/>
              <w:rPr>
                <w:rFonts w:eastAsia="Calibri" w:cs="Segoe UI"/>
                <w:b/>
                <w:sz w:val="24"/>
                <w:szCs w:val="24"/>
              </w:rPr>
            </w:pPr>
          </w:p>
        </w:tc>
        <w:tc>
          <w:tcPr>
            <w:tcW w:w="1305" w:type="dxa"/>
            <w:tcBorders>
              <w:top w:val="single" w:sz="6" w:space="0" w:color="1F497D"/>
              <w:left w:val="single" w:sz="6" w:space="0" w:color="1F497D"/>
              <w:bottom w:val="single" w:sz="6" w:space="0" w:color="1F497D"/>
              <w:right w:val="single" w:sz="6" w:space="0" w:color="1F497D"/>
            </w:tcBorders>
            <w:shd w:val="clear" w:color="auto" w:fill="FFFFFF"/>
          </w:tcPr>
          <w:p w:rsidR="0033725C" w:rsidRPr="003410C7" w:rsidRDefault="0033725C" w:rsidP="00A73DBD">
            <w:pPr>
              <w:pStyle w:val="TableText"/>
              <w:rPr>
                <w:rFonts w:eastAsia="Calibri" w:cs="Segoe UI"/>
                <w:b/>
                <w:sz w:val="24"/>
                <w:szCs w:val="24"/>
              </w:rPr>
            </w:pPr>
            <w:r w:rsidRPr="003410C7">
              <w:rPr>
                <w:rFonts w:eastAsia="Calibri" w:cs="Segoe UI"/>
                <w:b/>
                <w:sz w:val="24"/>
                <w:szCs w:val="24"/>
              </w:rPr>
              <w:sym w:font="Wingdings" w:char="00FC"/>
            </w:r>
          </w:p>
        </w:tc>
        <w:tc>
          <w:tcPr>
            <w:tcW w:w="1251" w:type="dxa"/>
            <w:tcBorders>
              <w:top w:val="single" w:sz="6" w:space="0" w:color="1F497D"/>
              <w:left w:val="single" w:sz="6" w:space="0" w:color="1F497D"/>
              <w:bottom w:val="single" w:sz="6" w:space="0" w:color="1F497D"/>
              <w:right w:val="single" w:sz="6" w:space="0" w:color="1F497D"/>
            </w:tcBorders>
            <w:shd w:val="clear" w:color="auto" w:fill="FFFFFF"/>
          </w:tcPr>
          <w:p w:rsidR="0033725C" w:rsidRPr="003410C7" w:rsidRDefault="0033725C" w:rsidP="00A73DBD">
            <w:pPr>
              <w:pStyle w:val="TableText"/>
              <w:rPr>
                <w:rFonts w:eastAsia="Calibri" w:cs="Segoe UI"/>
                <w:b/>
                <w:sz w:val="24"/>
                <w:szCs w:val="24"/>
              </w:rPr>
            </w:pPr>
          </w:p>
        </w:tc>
      </w:tr>
      <w:tr w:rsidR="000C172E" w:rsidRPr="003410C7" w:rsidTr="000C172E">
        <w:tc>
          <w:tcPr>
            <w:tcW w:w="2020" w:type="dxa"/>
            <w:tcBorders>
              <w:top w:val="single" w:sz="6" w:space="0" w:color="1F497D"/>
              <w:left w:val="single" w:sz="4" w:space="0" w:color="072B61"/>
              <w:bottom w:val="single" w:sz="6" w:space="0" w:color="1F497D"/>
              <w:right w:val="single" w:sz="6" w:space="0" w:color="1F497D"/>
            </w:tcBorders>
            <w:shd w:val="clear" w:color="auto" w:fill="FFFFFF"/>
          </w:tcPr>
          <w:p w:rsidR="0033725C" w:rsidRPr="00451078" w:rsidRDefault="0033725C" w:rsidP="00A73DBD">
            <w:pPr>
              <w:pStyle w:val="TableText"/>
              <w:jc w:val="left"/>
              <w:rPr>
                <w:rFonts w:ascii="Tahoma" w:eastAsia="Calibri" w:hAnsi="Tahoma" w:cs="Tahoma"/>
                <w:sz w:val="18"/>
                <w:szCs w:val="18"/>
                <w:lang w:val="it-IT"/>
              </w:rPr>
            </w:pPr>
            <w:r w:rsidRPr="00451078">
              <w:rPr>
                <w:rFonts w:ascii="Tahoma" w:eastAsia="Calibri" w:hAnsi="Tahoma" w:cs="Tahoma"/>
                <w:sz w:val="18"/>
                <w:szCs w:val="18"/>
                <w:lang w:val="it-IT"/>
              </w:rPr>
              <w:t>Condivisione del Dashboard di Sistema</w:t>
            </w:r>
          </w:p>
        </w:tc>
        <w:tc>
          <w:tcPr>
            <w:tcW w:w="972" w:type="dxa"/>
            <w:tcBorders>
              <w:top w:val="single" w:sz="6" w:space="0" w:color="1F497D"/>
              <w:left w:val="single" w:sz="6" w:space="0" w:color="1F497D"/>
              <w:bottom w:val="single" w:sz="6" w:space="0" w:color="1F497D"/>
              <w:right w:val="single" w:sz="6" w:space="0" w:color="1F497D"/>
            </w:tcBorders>
            <w:shd w:val="clear" w:color="auto" w:fill="FFFFFF"/>
          </w:tcPr>
          <w:p w:rsidR="0033725C" w:rsidRPr="00451078" w:rsidRDefault="0033725C" w:rsidP="00A73DBD">
            <w:pPr>
              <w:pStyle w:val="TableText"/>
              <w:rPr>
                <w:rFonts w:eastAsia="Calibri" w:cs="Segoe UI"/>
                <w:b/>
                <w:sz w:val="24"/>
                <w:szCs w:val="24"/>
                <w:lang w:val="it-IT"/>
              </w:rPr>
            </w:pPr>
          </w:p>
        </w:tc>
        <w:tc>
          <w:tcPr>
            <w:tcW w:w="1053" w:type="dxa"/>
            <w:tcBorders>
              <w:top w:val="single" w:sz="6" w:space="0" w:color="1F497D"/>
              <w:left w:val="single" w:sz="6" w:space="0" w:color="1F497D"/>
              <w:bottom w:val="single" w:sz="6" w:space="0" w:color="1F497D"/>
              <w:right w:val="single" w:sz="6" w:space="0" w:color="1F497D"/>
            </w:tcBorders>
            <w:shd w:val="clear" w:color="auto" w:fill="auto"/>
          </w:tcPr>
          <w:p w:rsidR="0033725C" w:rsidRPr="00451078" w:rsidRDefault="0033725C" w:rsidP="00A73DBD">
            <w:pPr>
              <w:pStyle w:val="TableText"/>
              <w:rPr>
                <w:rFonts w:eastAsia="Calibri" w:cs="Segoe UI"/>
                <w:b/>
                <w:sz w:val="24"/>
                <w:szCs w:val="24"/>
                <w:lang w:val="it-IT"/>
              </w:rPr>
            </w:pPr>
          </w:p>
        </w:tc>
        <w:tc>
          <w:tcPr>
            <w:tcW w:w="1152" w:type="dxa"/>
            <w:tcBorders>
              <w:top w:val="single" w:sz="6" w:space="0" w:color="1F497D"/>
              <w:left w:val="single" w:sz="6" w:space="0" w:color="1F497D"/>
              <w:bottom w:val="single" w:sz="6" w:space="0" w:color="1F497D"/>
              <w:right w:val="single" w:sz="6" w:space="0" w:color="1F497D"/>
            </w:tcBorders>
            <w:shd w:val="clear" w:color="auto" w:fill="FFFFFF"/>
          </w:tcPr>
          <w:p w:rsidR="0033725C" w:rsidRPr="003410C7" w:rsidRDefault="0033725C" w:rsidP="00A73DBD">
            <w:pPr>
              <w:pStyle w:val="TableText"/>
              <w:rPr>
                <w:rFonts w:eastAsia="Calibri" w:cs="Segoe UI"/>
                <w:b/>
                <w:sz w:val="24"/>
                <w:szCs w:val="24"/>
              </w:rPr>
            </w:pPr>
            <w:r w:rsidRPr="003410C7">
              <w:rPr>
                <w:rFonts w:eastAsia="Calibri" w:cs="Segoe UI"/>
                <w:b/>
                <w:sz w:val="24"/>
                <w:szCs w:val="24"/>
              </w:rPr>
              <w:sym w:font="Wingdings" w:char="00FC"/>
            </w:r>
          </w:p>
        </w:tc>
        <w:tc>
          <w:tcPr>
            <w:tcW w:w="1125" w:type="dxa"/>
            <w:tcBorders>
              <w:top w:val="single" w:sz="6" w:space="0" w:color="1F497D"/>
              <w:left w:val="single" w:sz="6" w:space="0" w:color="1F497D"/>
              <w:bottom w:val="single" w:sz="6" w:space="0" w:color="1F497D"/>
              <w:right w:val="single" w:sz="6" w:space="0" w:color="1F497D"/>
            </w:tcBorders>
            <w:shd w:val="clear" w:color="auto" w:fill="FFFFFF"/>
          </w:tcPr>
          <w:p w:rsidR="0033725C" w:rsidRPr="003410C7" w:rsidRDefault="0033725C" w:rsidP="00A73DBD">
            <w:pPr>
              <w:pStyle w:val="TableText"/>
              <w:rPr>
                <w:rFonts w:eastAsia="Calibri" w:cs="Segoe UI"/>
                <w:b/>
                <w:sz w:val="24"/>
                <w:szCs w:val="24"/>
              </w:rPr>
            </w:pPr>
          </w:p>
        </w:tc>
        <w:tc>
          <w:tcPr>
            <w:tcW w:w="1305" w:type="dxa"/>
            <w:tcBorders>
              <w:top w:val="single" w:sz="6" w:space="0" w:color="1F497D"/>
              <w:left w:val="single" w:sz="6" w:space="0" w:color="1F497D"/>
              <w:bottom w:val="single" w:sz="6" w:space="0" w:color="1F497D"/>
              <w:right w:val="single" w:sz="6" w:space="0" w:color="1F497D"/>
            </w:tcBorders>
            <w:shd w:val="clear" w:color="auto" w:fill="FFFFFF"/>
          </w:tcPr>
          <w:p w:rsidR="0033725C" w:rsidRPr="003410C7" w:rsidRDefault="0033725C" w:rsidP="00A73DBD">
            <w:pPr>
              <w:pStyle w:val="TableText"/>
              <w:rPr>
                <w:rFonts w:eastAsia="Calibri" w:cs="Segoe UI"/>
                <w:b/>
                <w:sz w:val="24"/>
                <w:szCs w:val="24"/>
              </w:rPr>
            </w:pPr>
            <w:r w:rsidRPr="003410C7">
              <w:rPr>
                <w:rFonts w:eastAsia="Calibri" w:cs="Segoe UI"/>
                <w:b/>
                <w:sz w:val="24"/>
                <w:szCs w:val="24"/>
              </w:rPr>
              <w:sym w:font="Wingdings" w:char="00FC"/>
            </w:r>
          </w:p>
        </w:tc>
        <w:tc>
          <w:tcPr>
            <w:tcW w:w="1251" w:type="dxa"/>
            <w:tcBorders>
              <w:top w:val="single" w:sz="6" w:space="0" w:color="1F497D"/>
              <w:left w:val="single" w:sz="6" w:space="0" w:color="1F497D"/>
              <w:bottom w:val="single" w:sz="6" w:space="0" w:color="1F497D"/>
              <w:right w:val="single" w:sz="6" w:space="0" w:color="1F497D"/>
            </w:tcBorders>
            <w:shd w:val="clear" w:color="auto" w:fill="FFFFFF"/>
          </w:tcPr>
          <w:p w:rsidR="0033725C" w:rsidRPr="003410C7" w:rsidRDefault="0033725C" w:rsidP="00A73DBD">
            <w:pPr>
              <w:pStyle w:val="TableText"/>
              <w:rPr>
                <w:rFonts w:eastAsia="Calibri" w:cs="Segoe UI"/>
                <w:b/>
                <w:sz w:val="24"/>
                <w:szCs w:val="24"/>
              </w:rPr>
            </w:pPr>
          </w:p>
        </w:tc>
      </w:tr>
      <w:tr w:rsidR="000C172E" w:rsidRPr="003410C7" w:rsidTr="000C172E">
        <w:tc>
          <w:tcPr>
            <w:tcW w:w="2020" w:type="dxa"/>
            <w:tcBorders>
              <w:top w:val="single" w:sz="6" w:space="0" w:color="1F497D"/>
              <w:left w:val="single" w:sz="4" w:space="0" w:color="072B61"/>
              <w:bottom w:val="single" w:sz="6" w:space="0" w:color="1F497D"/>
              <w:right w:val="single" w:sz="6" w:space="0" w:color="1F497D"/>
            </w:tcBorders>
            <w:shd w:val="clear" w:color="auto" w:fill="FFFFFF"/>
          </w:tcPr>
          <w:p w:rsidR="0033725C" w:rsidRPr="003410C7" w:rsidRDefault="0033725C" w:rsidP="00A73DBD">
            <w:pPr>
              <w:pStyle w:val="TableText"/>
              <w:jc w:val="left"/>
              <w:rPr>
                <w:rFonts w:ascii="Tahoma" w:eastAsia="Calibri" w:hAnsi="Tahoma" w:cs="Tahoma"/>
                <w:sz w:val="18"/>
                <w:szCs w:val="18"/>
              </w:rPr>
            </w:pPr>
            <w:r w:rsidRPr="003410C7">
              <w:rPr>
                <w:rFonts w:ascii="Tahoma" w:eastAsia="Calibri" w:hAnsi="Tahoma" w:cs="Tahoma"/>
                <w:sz w:val="18"/>
                <w:szCs w:val="18"/>
              </w:rPr>
              <w:t>Creazione del Dashboard personale</w:t>
            </w:r>
          </w:p>
        </w:tc>
        <w:tc>
          <w:tcPr>
            <w:tcW w:w="972" w:type="dxa"/>
            <w:tcBorders>
              <w:top w:val="single" w:sz="6" w:space="0" w:color="1F497D"/>
              <w:left w:val="single" w:sz="6" w:space="0" w:color="1F497D"/>
              <w:bottom w:val="single" w:sz="6" w:space="0" w:color="1F497D"/>
              <w:right w:val="single" w:sz="6" w:space="0" w:color="1F497D"/>
            </w:tcBorders>
            <w:shd w:val="clear" w:color="auto" w:fill="FFFFFF"/>
          </w:tcPr>
          <w:p w:rsidR="0033725C" w:rsidRPr="003410C7" w:rsidRDefault="0033725C" w:rsidP="00A73DBD">
            <w:pPr>
              <w:pStyle w:val="TableText"/>
              <w:rPr>
                <w:rFonts w:eastAsia="Calibri" w:cs="Segoe UI"/>
                <w:b/>
                <w:sz w:val="24"/>
                <w:szCs w:val="24"/>
              </w:rPr>
            </w:pPr>
          </w:p>
        </w:tc>
        <w:tc>
          <w:tcPr>
            <w:tcW w:w="1053" w:type="dxa"/>
            <w:tcBorders>
              <w:top w:val="single" w:sz="6" w:space="0" w:color="1F497D"/>
              <w:left w:val="single" w:sz="6" w:space="0" w:color="1F497D"/>
              <w:bottom w:val="single" w:sz="6" w:space="0" w:color="1F497D"/>
              <w:right w:val="single" w:sz="6" w:space="0" w:color="1F497D"/>
            </w:tcBorders>
            <w:shd w:val="clear" w:color="auto" w:fill="FFFFFF"/>
          </w:tcPr>
          <w:p w:rsidR="0033725C" w:rsidRPr="003410C7" w:rsidRDefault="0033725C" w:rsidP="00A73DBD">
            <w:pPr>
              <w:pStyle w:val="TableText"/>
              <w:rPr>
                <w:rFonts w:eastAsia="Calibri" w:cs="Segoe UI"/>
                <w:b/>
                <w:sz w:val="24"/>
                <w:szCs w:val="24"/>
              </w:rPr>
            </w:pPr>
            <w:r w:rsidRPr="003410C7">
              <w:rPr>
                <w:rFonts w:eastAsia="Calibri" w:cs="Segoe UI"/>
                <w:b/>
                <w:sz w:val="24"/>
                <w:szCs w:val="24"/>
              </w:rPr>
              <w:sym w:font="Wingdings" w:char="00FC"/>
            </w:r>
          </w:p>
        </w:tc>
        <w:tc>
          <w:tcPr>
            <w:tcW w:w="1152" w:type="dxa"/>
            <w:tcBorders>
              <w:top w:val="single" w:sz="6" w:space="0" w:color="1F497D"/>
              <w:left w:val="single" w:sz="6" w:space="0" w:color="1F497D"/>
              <w:bottom w:val="single" w:sz="6" w:space="0" w:color="1F497D"/>
              <w:right w:val="single" w:sz="6" w:space="0" w:color="1F497D"/>
            </w:tcBorders>
            <w:shd w:val="clear" w:color="auto" w:fill="FFFFFF"/>
          </w:tcPr>
          <w:p w:rsidR="0033725C" w:rsidRPr="003410C7" w:rsidRDefault="0033725C" w:rsidP="00A73DBD">
            <w:pPr>
              <w:pStyle w:val="TableText"/>
              <w:rPr>
                <w:rFonts w:eastAsia="Calibri" w:cs="Segoe UI"/>
                <w:b/>
                <w:sz w:val="24"/>
                <w:szCs w:val="24"/>
              </w:rPr>
            </w:pPr>
            <w:r w:rsidRPr="003410C7">
              <w:rPr>
                <w:rFonts w:eastAsia="Calibri" w:cs="Segoe UI"/>
                <w:b/>
                <w:sz w:val="24"/>
                <w:szCs w:val="24"/>
              </w:rPr>
              <w:sym w:font="Wingdings" w:char="00FC"/>
            </w:r>
          </w:p>
        </w:tc>
        <w:tc>
          <w:tcPr>
            <w:tcW w:w="1125" w:type="dxa"/>
            <w:tcBorders>
              <w:top w:val="single" w:sz="6" w:space="0" w:color="1F497D"/>
              <w:left w:val="single" w:sz="6" w:space="0" w:color="1F497D"/>
              <w:bottom w:val="single" w:sz="6" w:space="0" w:color="1F497D"/>
              <w:right w:val="single" w:sz="6" w:space="0" w:color="1F497D"/>
            </w:tcBorders>
            <w:shd w:val="clear" w:color="auto" w:fill="FFFFFF"/>
          </w:tcPr>
          <w:p w:rsidR="0033725C" w:rsidRPr="003410C7" w:rsidRDefault="0033725C" w:rsidP="00A73DBD">
            <w:pPr>
              <w:pStyle w:val="TableText"/>
              <w:rPr>
                <w:rFonts w:eastAsia="Calibri" w:cs="Segoe UI"/>
                <w:b/>
                <w:sz w:val="24"/>
                <w:szCs w:val="24"/>
              </w:rPr>
            </w:pPr>
            <w:r w:rsidRPr="003410C7">
              <w:rPr>
                <w:rFonts w:eastAsia="Calibri" w:cs="Segoe UI"/>
                <w:b/>
                <w:sz w:val="24"/>
                <w:szCs w:val="24"/>
              </w:rPr>
              <w:sym w:font="Wingdings" w:char="00FC"/>
            </w:r>
          </w:p>
        </w:tc>
        <w:tc>
          <w:tcPr>
            <w:tcW w:w="1305" w:type="dxa"/>
            <w:tcBorders>
              <w:top w:val="single" w:sz="6" w:space="0" w:color="1F497D"/>
              <w:left w:val="single" w:sz="6" w:space="0" w:color="1F497D"/>
              <w:bottom w:val="single" w:sz="6" w:space="0" w:color="1F497D"/>
              <w:right w:val="single" w:sz="6" w:space="0" w:color="1F497D"/>
            </w:tcBorders>
            <w:shd w:val="clear" w:color="auto" w:fill="FFFFFF"/>
          </w:tcPr>
          <w:p w:rsidR="0033725C" w:rsidRPr="003410C7" w:rsidRDefault="0033725C" w:rsidP="00A73DBD">
            <w:pPr>
              <w:pStyle w:val="TableText"/>
              <w:rPr>
                <w:rFonts w:eastAsia="Calibri" w:cs="Segoe UI"/>
                <w:b/>
                <w:sz w:val="24"/>
                <w:szCs w:val="24"/>
              </w:rPr>
            </w:pPr>
          </w:p>
        </w:tc>
        <w:tc>
          <w:tcPr>
            <w:tcW w:w="1251" w:type="dxa"/>
            <w:tcBorders>
              <w:top w:val="single" w:sz="6" w:space="0" w:color="1F497D"/>
              <w:left w:val="single" w:sz="6" w:space="0" w:color="1F497D"/>
              <w:bottom w:val="single" w:sz="6" w:space="0" w:color="1F497D"/>
              <w:right w:val="single" w:sz="6" w:space="0" w:color="1F497D"/>
            </w:tcBorders>
            <w:shd w:val="clear" w:color="auto" w:fill="FFFFFF"/>
          </w:tcPr>
          <w:p w:rsidR="0033725C" w:rsidRPr="003410C7" w:rsidRDefault="0033725C" w:rsidP="00A73DBD">
            <w:pPr>
              <w:pStyle w:val="TableText"/>
              <w:rPr>
                <w:rFonts w:eastAsia="Calibri" w:cs="Segoe UI"/>
                <w:b/>
                <w:sz w:val="24"/>
                <w:szCs w:val="24"/>
              </w:rPr>
            </w:pPr>
          </w:p>
        </w:tc>
      </w:tr>
      <w:tr w:rsidR="000C172E" w:rsidRPr="003410C7" w:rsidTr="000C172E">
        <w:tc>
          <w:tcPr>
            <w:tcW w:w="2020" w:type="dxa"/>
            <w:tcBorders>
              <w:top w:val="single" w:sz="6" w:space="0" w:color="1F497D"/>
              <w:left w:val="single" w:sz="4" w:space="0" w:color="072B61"/>
              <w:bottom w:val="single" w:sz="6" w:space="0" w:color="1F497D"/>
              <w:right w:val="single" w:sz="6" w:space="0" w:color="1F497D"/>
            </w:tcBorders>
            <w:shd w:val="clear" w:color="auto" w:fill="FFFFFF"/>
          </w:tcPr>
          <w:p w:rsidR="0033725C" w:rsidRPr="003410C7" w:rsidRDefault="0033725C" w:rsidP="00A73DBD">
            <w:pPr>
              <w:pStyle w:val="TableText"/>
              <w:jc w:val="left"/>
              <w:rPr>
                <w:rFonts w:ascii="Tahoma" w:eastAsia="Calibri" w:hAnsi="Tahoma" w:cs="Tahoma"/>
                <w:sz w:val="18"/>
                <w:szCs w:val="18"/>
              </w:rPr>
            </w:pPr>
            <w:r w:rsidRPr="003410C7">
              <w:rPr>
                <w:rFonts w:ascii="Tahoma" w:eastAsia="Calibri" w:hAnsi="Tahoma" w:cs="Tahoma"/>
                <w:sz w:val="18"/>
                <w:szCs w:val="18"/>
              </w:rPr>
              <w:t>Condivisione del Dashboard personale</w:t>
            </w:r>
          </w:p>
        </w:tc>
        <w:tc>
          <w:tcPr>
            <w:tcW w:w="972" w:type="dxa"/>
            <w:tcBorders>
              <w:top w:val="single" w:sz="6" w:space="0" w:color="1F497D"/>
              <w:left w:val="single" w:sz="6" w:space="0" w:color="1F497D"/>
              <w:bottom w:val="single" w:sz="6" w:space="0" w:color="1F497D"/>
              <w:right w:val="single" w:sz="6" w:space="0" w:color="1F497D"/>
            </w:tcBorders>
            <w:shd w:val="clear" w:color="auto" w:fill="FFFFFF"/>
          </w:tcPr>
          <w:p w:rsidR="0033725C" w:rsidRPr="003410C7" w:rsidRDefault="0033725C" w:rsidP="00A73DBD">
            <w:pPr>
              <w:pStyle w:val="TableText"/>
              <w:rPr>
                <w:rFonts w:eastAsia="Calibri" w:cs="Segoe UI"/>
                <w:b/>
                <w:sz w:val="24"/>
                <w:szCs w:val="24"/>
              </w:rPr>
            </w:pPr>
          </w:p>
        </w:tc>
        <w:tc>
          <w:tcPr>
            <w:tcW w:w="1053" w:type="dxa"/>
            <w:tcBorders>
              <w:top w:val="single" w:sz="6" w:space="0" w:color="1F497D"/>
              <w:left w:val="single" w:sz="6" w:space="0" w:color="1F497D"/>
              <w:bottom w:val="single" w:sz="6" w:space="0" w:color="1F497D"/>
              <w:right w:val="single" w:sz="6" w:space="0" w:color="1F497D"/>
            </w:tcBorders>
            <w:shd w:val="clear" w:color="auto" w:fill="FFFFFF"/>
          </w:tcPr>
          <w:p w:rsidR="0033725C" w:rsidRPr="003410C7" w:rsidRDefault="0033725C" w:rsidP="00A73DBD">
            <w:pPr>
              <w:pStyle w:val="TableText"/>
              <w:rPr>
                <w:rFonts w:eastAsia="Calibri" w:cs="Segoe UI"/>
                <w:b/>
                <w:sz w:val="24"/>
                <w:szCs w:val="24"/>
              </w:rPr>
            </w:pPr>
            <w:r w:rsidRPr="003410C7">
              <w:rPr>
                <w:rFonts w:eastAsia="Calibri" w:cs="Segoe UI"/>
                <w:b/>
                <w:sz w:val="24"/>
                <w:szCs w:val="24"/>
              </w:rPr>
              <w:sym w:font="Wingdings" w:char="00FC"/>
            </w:r>
          </w:p>
        </w:tc>
        <w:tc>
          <w:tcPr>
            <w:tcW w:w="1152" w:type="dxa"/>
            <w:tcBorders>
              <w:top w:val="single" w:sz="6" w:space="0" w:color="1F497D"/>
              <w:left w:val="single" w:sz="6" w:space="0" w:color="1F497D"/>
              <w:bottom w:val="single" w:sz="6" w:space="0" w:color="1F497D"/>
              <w:right w:val="single" w:sz="6" w:space="0" w:color="1F497D"/>
            </w:tcBorders>
            <w:shd w:val="clear" w:color="auto" w:fill="FFFFFF"/>
          </w:tcPr>
          <w:p w:rsidR="0033725C" w:rsidRPr="003410C7" w:rsidRDefault="0033725C" w:rsidP="00A73DBD">
            <w:pPr>
              <w:pStyle w:val="TableText"/>
              <w:rPr>
                <w:rFonts w:eastAsia="Calibri" w:cs="Segoe UI"/>
                <w:b/>
                <w:sz w:val="24"/>
                <w:szCs w:val="24"/>
              </w:rPr>
            </w:pPr>
            <w:r w:rsidRPr="003410C7">
              <w:rPr>
                <w:rFonts w:eastAsia="Calibri" w:cs="Segoe UI"/>
                <w:b/>
                <w:sz w:val="24"/>
                <w:szCs w:val="24"/>
              </w:rPr>
              <w:sym w:font="Wingdings" w:char="00FC"/>
            </w:r>
          </w:p>
        </w:tc>
        <w:tc>
          <w:tcPr>
            <w:tcW w:w="1125" w:type="dxa"/>
            <w:tcBorders>
              <w:top w:val="single" w:sz="6" w:space="0" w:color="1F497D"/>
              <w:left w:val="single" w:sz="6" w:space="0" w:color="1F497D"/>
              <w:bottom w:val="single" w:sz="6" w:space="0" w:color="1F497D"/>
              <w:right w:val="single" w:sz="6" w:space="0" w:color="1F497D"/>
            </w:tcBorders>
            <w:shd w:val="clear" w:color="auto" w:fill="FFFFFF"/>
          </w:tcPr>
          <w:p w:rsidR="0033725C" w:rsidRPr="003410C7" w:rsidRDefault="0033725C" w:rsidP="00A73DBD">
            <w:pPr>
              <w:pStyle w:val="TableText"/>
              <w:rPr>
                <w:rFonts w:eastAsia="Calibri" w:cs="Segoe UI"/>
                <w:b/>
                <w:sz w:val="24"/>
                <w:szCs w:val="24"/>
              </w:rPr>
            </w:pPr>
            <w:r w:rsidRPr="003410C7">
              <w:rPr>
                <w:rFonts w:eastAsia="Calibri" w:cs="Segoe UI"/>
                <w:b/>
                <w:sz w:val="24"/>
                <w:szCs w:val="24"/>
              </w:rPr>
              <w:sym w:font="Wingdings" w:char="00FC"/>
            </w:r>
          </w:p>
        </w:tc>
        <w:tc>
          <w:tcPr>
            <w:tcW w:w="1305" w:type="dxa"/>
            <w:tcBorders>
              <w:top w:val="single" w:sz="6" w:space="0" w:color="1F497D"/>
              <w:left w:val="single" w:sz="6" w:space="0" w:color="1F497D"/>
              <w:bottom w:val="single" w:sz="6" w:space="0" w:color="1F497D"/>
              <w:right w:val="single" w:sz="6" w:space="0" w:color="1F497D"/>
            </w:tcBorders>
            <w:shd w:val="clear" w:color="auto" w:fill="FFFFFF"/>
          </w:tcPr>
          <w:p w:rsidR="0033725C" w:rsidRPr="003410C7" w:rsidRDefault="0033725C" w:rsidP="00A73DBD">
            <w:pPr>
              <w:pStyle w:val="TableText"/>
              <w:rPr>
                <w:rFonts w:eastAsia="Calibri" w:cs="Segoe UI"/>
                <w:b/>
                <w:sz w:val="24"/>
                <w:szCs w:val="24"/>
              </w:rPr>
            </w:pPr>
          </w:p>
        </w:tc>
        <w:tc>
          <w:tcPr>
            <w:tcW w:w="1251" w:type="dxa"/>
            <w:tcBorders>
              <w:top w:val="single" w:sz="6" w:space="0" w:color="1F497D"/>
              <w:left w:val="single" w:sz="6" w:space="0" w:color="1F497D"/>
              <w:bottom w:val="single" w:sz="6" w:space="0" w:color="1F497D"/>
              <w:right w:val="single" w:sz="6" w:space="0" w:color="1F497D"/>
            </w:tcBorders>
            <w:shd w:val="clear" w:color="auto" w:fill="FFFFFF"/>
          </w:tcPr>
          <w:p w:rsidR="0033725C" w:rsidRPr="003410C7" w:rsidRDefault="0033725C" w:rsidP="00A73DBD">
            <w:pPr>
              <w:pStyle w:val="TableText"/>
              <w:rPr>
                <w:rFonts w:eastAsia="Calibri" w:cs="Segoe UI"/>
                <w:b/>
                <w:sz w:val="24"/>
                <w:szCs w:val="24"/>
              </w:rPr>
            </w:pPr>
          </w:p>
        </w:tc>
      </w:tr>
      <w:tr w:rsidR="000C172E" w:rsidRPr="003410C7" w:rsidTr="000C172E">
        <w:tc>
          <w:tcPr>
            <w:tcW w:w="2020" w:type="dxa"/>
            <w:tcBorders>
              <w:top w:val="single" w:sz="6" w:space="0" w:color="1F497D"/>
              <w:left w:val="single" w:sz="4" w:space="0" w:color="072B61"/>
              <w:bottom w:val="single" w:sz="6" w:space="0" w:color="1F497D"/>
              <w:right w:val="single" w:sz="6" w:space="0" w:color="1F497D"/>
            </w:tcBorders>
            <w:shd w:val="clear" w:color="auto" w:fill="FFFFFF"/>
          </w:tcPr>
          <w:p w:rsidR="0033725C" w:rsidRPr="00451078" w:rsidRDefault="0033725C" w:rsidP="000B5FBB">
            <w:pPr>
              <w:pStyle w:val="TableText"/>
              <w:jc w:val="left"/>
              <w:rPr>
                <w:rFonts w:ascii="Tahoma" w:eastAsia="Calibri" w:hAnsi="Tahoma" w:cs="Tahoma"/>
                <w:sz w:val="18"/>
                <w:szCs w:val="18"/>
                <w:lang w:val="it-IT"/>
              </w:rPr>
            </w:pPr>
            <w:r w:rsidRPr="00451078">
              <w:rPr>
                <w:rFonts w:ascii="Tahoma" w:eastAsia="Calibri" w:hAnsi="Tahoma" w:cs="Tahoma"/>
                <w:sz w:val="18"/>
                <w:szCs w:val="18"/>
                <w:lang w:val="it-IT"/>
              </w:rPr>
              <w:t>Creazione del Flusso di</w:t>
            </w:r>
            <w:r w:rsidR="000B5FBB" w:rsidRPr="00451078">
              <w:rPr>
                <w:rFonts w:ascii="Tahoma" w:eastAsia="Calibri" w:hAnsi="Tahoma" w:cs="Tahoma"/>
                <w:sz w:val="18"/>
                <w:szCs w:val="18"/>
                <w:lang w:val="it-IT"/>
              </w:rPr>
              <w:t> </w:t>
            </w:r>
            <w:r w:rsidRPr="00451078">
              <w:rPr>
                <w:rFonts w:ascii="Tahoma" w:eastAsia="Calibri" w:hAnsi="Tahoma" w:cs="Tahoma"/>
                <w:sz w:val="18"/>
                <w:szCs w:val="18"/>
                <w:lang w:val="it-IT"/>
              </w:rPr>
              <w:t>Lavoro</w:t>
            </w:r>
          </w:p>
        </w:tc>
        <w:tc>
          <w:tcPr>
            <w:tcW w:w="972" w:type="dxa"/>
            <w:tcBorders>
              <w:top w:val="single" w:sz="6" w:space="0" w:color="1F497D"/>
              <w:left w:val="single" w:sz="6" w:space="0" w:color="1F497D"/>
              <w:bottom w:val="single" w:sz="6" w:space="0" w:color="1F497D"/>
              <w:right w:val="single" w:sz="6" w:space="0" w:color="1F497D"/>
            </w:tcBorders>
            <w:shd w:val="clear" w:color="auto" w:fill="FFFFFF"/>
          </w:tcPr>
          <w:p w:rsidR="0033725C" w:rsidRPr="00451078" w:rsidRDefault="0033725C" w:rsidP="00A73DBD">
            <w:pPr>
              <w:pStyle w:val="TableText"/>
              <w:rPr>
                <w:rFonts w:eastAsia="Calibri" w:cs="Segoe UI"/>
                <w:b/>
                <w:sz w:val="24"/>
                <w:szCs w:val="24"/>
                <w:lang w:val="it-IT"/>
              </w:rPr>
            </w:pPr>
          </w:p>
        </w:tc>
        <w:tc>
          <w:tcPr>
            <w:tcW w:w="1053" w:type="dxa"/>
            <w:tcBorders>
              <w:top w:val="single" w:sz="6" w:space="0" w:color="1F497D"/>
              <w:left w:val="single" w:sz="6" w:space="0" w:color="1F497D"/>
              <w:bottom w:val="single" w:sz="6" w:space="0" w:color="1F497D"/>
              <w:right w:val="single" w:sz="6" w:space="0" w:color="1F497D"/>
            </w:tcBorders>
            <w:shd w:val="clear" w:color="auto" w:fill="FFFFFF"/>
          </w:tcPr>
          <w:p w:rsidR="0033725C" w:rsidRPr="00451078" w:rsidRDefault="0033725C" w:rsidP="00A73DBD">
            <w:pPr>
              <w:pStyle w:val="TableText"/>
              <w:rPr>
                <w:rFonts w:eastAsia="Calibri" w:cs="Segoe UI"/>
                <w:b/>
                <w:sz w:val="24"/>
                <w:szCs w:val="24"/>
                <w:lang w:val="it-IT"/>
              </w:rPr>
            </w:pPr>
          </w:p>
        </w:tc>
        <w:tc>
          <w:tcPr>
            <w:tcW w:w="1152" w:type="dxa"/>
            <w:tcBorders>
              <w:top w:val="single" w:sz="6" w:space="0" w:color="1F497D"/>
              <w:left w:val="single" w:sz="6" w:space="0" w:color="1F497D"/>
              <w:bottom w:val="single" w:sz="6" w:space="0" w:color="1F497D"/>
              <w:right w:val="single" w:sz="6" w:space="0" w:color="1F497D"/>
            </w:tcBorders>
            <w:shd w:val="clear" w:color="auto" w:fill="FFFFFF"/>
          </w:tcPr>
          <w:p w:rsidR="0033725C" w:rsidRPr="003410C7" w:rsidRDefault="0033725C" w:rsidP="00A73DBD">
            <w:pPr>
              <w:pStyle w:val="TableText"/>
              <w:rPr>
                <w:rFonts w:eastAsia="Calibri" w:cs="Segoe UI"/>
                <w:b/>
                <w:sz w:val="24"/>
                <w:szCs w:val="24"/>
              </w:rPr>
            </w:pPr>
            <w:r w:rsidRPr="003410C7">
              <w:rPr>
                <w:rFonts w:eastAsia="Calibri" w:cs="Segoe UI"/>
                <w:b/>
                <w:sz w:val="24"/>
                <w:szCs w:val="24"/>
              </w:rPr>
              <w:sym w:font="Wingdings" w:char="00FC"/>
            </w:r>
          </w:p>
        </w:tc>
        <w:tc>
          <w:tcPr>
            <w:tcW w:w="1125" w:type="dxa"/>
            <w:tcBorders>
              <w:top w:val="single" w:sz="6" w:space="0" w:color="1F497D"/>
              <w:left w:val="single" w:sz="6" w:space="0" w:color="1F497D"/>
              <w:bottom w:val="single" w:sz="6" w:space="0" w:color="1F497D"/>
              <w:right w:val="single" w:sz="6" w:space="0" w:color="1F497D"/>
            </w:tcBorders>
            <w:shd w:val="clear" w:color="auto" w:fill="FFFFFF"/>
          </w:tcPr>
          <w:p w:rsidR="0033725C" w:rsidRPr="003410C7" w:rsidRDefault="0033725C" w:rsidP="00A73DBD">
            <w:pPr>
              <w:pStyle w:val="TableText"/>
              <w:rPr>
                <w:rFonts w:eastAsia="Calibri" w:cs="Segoe UI"/>
                <w:b/>
                <w:sz w:val="24"/>
                <w:szCs w:val="24"/>
              </w:rPr>
            </w:pPr>
          </w:p>
        </w:tc>
        <w:tc>
          <w:tcPr>
            <w:tcW w:w="1305" w:type="dxa"/>
            <w:tcBorders>
              <w:top w:val="single" w:sz="6" w:space="0" w:color="1F497D"/>
              <w:left w:val="single" w:sz="6" w:space="0" w:color="1F497D"/>
              <w:bottom w:val="single" w:sz="6" w:space="0" w:color="1F497D"/>
              <w:right w:val="single" w:sz="6" w:space="0" w:color="1F497D"/>
            </w:tcBorders>
            <w:shd w:val="clear" w:color="auto" w:fill="FFFFFF"/>
          </w:tcPr>
          <w:p w:rsidR="0033725C" w:rsidRPr="003410C7" w:rsidRDefault="0033725C" w:rsidP="00A73DBD">
            <w:pPr>
              <w:pStyle w:val="TableText"/>
              <w:rPr>
                <w:rFonts w:eastAsia="Calibri" w:cs="Segoe UI"/>
                <w:b/>
                <w:sz w:val="24"/>
                <w:szCs w:val="24"/>
              </w:rPr>
            </w:pPr>
            <w:r w:rsidRPr="003410C7">
              <w:rPr>
                <w:rFonts w:eastAsia="Calibri" w:cs="Segoe UI"/>
                <w:b/>
                <w:sz w:val="24"/>
                <w:szCs w:val="24"/>
              </w:rPr>
              <w:sym w:font="Wingdings" w:char="00FC"/>
            </w:r>
          </w:p>
        </w:tc>
        <w:tc>
          <w:tcPr>
            <w:tcW w:w="1251" w:type="dxa"/>
            <w:tcBorders>
              <w:top w:val="single" w:sz="6" w:space="0" w:color="1F497D"/>
              <w:left w:val="single" w:sz="6" w:space="0" w:color="1F497D"/>
              <w:bottom w:val="single" w:sz="6" w:space="0" w:color="1F497D"/>
              <w:right w:val="single" w:sz="6" w:space="0" w:color="1F497D"/>
            </w:tcBorders>
            <w:shd w:val="clear" w:color="auto" w:fill="FFFFFF"/>
          </w:tcPr>
          <w:p w:rsidR="0033725C" w:rsidRPr="003410C7" w:rsidRDefault="0033725C" w:rsidP="00A73DBD">
            <w:pPr>
              <w:pStyle w:val="TableText"/>
              <w:rPr>
                <w:rFonts w:eastAsia="Calibri" w:cs="Segoe UI"/>
                <w:b/>
                <w:sz w:val="24"/>
                <w:szCs w:val="24"/>
              </w:rPr>
            </w:pPr>
          </w:p>
        </w:tc>
      </w:tr>
      <w:tr w:rsidR="000C172E" w:rsidRPr="003410C7" w:rsidTr="000C172E">
        <w:tc>
          <w:tcPr>
            <w:tcW w:w="2020" w:type="dxa"/>
            <w:tcBorders>
              <w:top w:val="single" w:sz="6" w:space="0" w:color="1F497D"/>
              <w:left w:val="single" w:sz="4" w:space="0" w:color="072B61"/>
              <w:bottom w:val="single" w:sz="6" w:space="0" w:color="1F497D"/>
              <w:right w:val="single" w:sz="6" w:space="0" w:color="1F497D"/>
            </w:tcBorders>
            <w:shd w:val="clear" w:color="auto" w:fill="FFFFFF"/>
          </w:tcPr>
          <w:p w:rsidR="0033725C" w:rsidRPr="00451078" w:rsidRDefault="0033725C" w:rsidP="00A73DBD">
            <w:pPr>
              <w:pStyle w:val="TableText"/>
              <w:jc w:val="left"/>
              <w:rPr>
                <w:rFonts w:ascii="Tahoma" w:eastAsia="Calibri" w:hAnsi="Tahoma" w:cs="Tahoma"/>
                <w:sz w:val="18"/>
                <w:szCs w:val="18"/>
                <w:lang w:val="it-IT"/>
              </w:rPr>
            </w:pPr>
            <w:r w:rsidRPr="00451078">
              <w:rPr>
                <w:rFonts w:ascii="Tahoma" w:eastAsia="Calibri" w:hAnsi="Tahoma" w:cs="Tahoma"/>
                <w:sz w:val="18"/>
                <w:szCs w:val="18"/>
                <w:lang w:val="it-IT"/>
              </w:rPr>
              <w:t>Aggiornamento del Flusso di Lavoro</w:t>
            </w:r>
          </w:p>
        </w:tc>
        <w:tc>
          <w:tcPr>
            <w:tcW w:w="972" w:type="dxa"/>
            <w:tcBorders>
              <w:top w:val="single" w:sz="6" w:space="0" w:color="1F497D"/>
              <w:left w:val="single" w:sz="6" w:space="0" w:color="1F497D"/>
              <w:bottom w:val="single" w:sz="6" w:space="0" w:color="1F497D"/>
              <w:right w:val="single" w:sz="6" w:space="0" w:color="1F497D"/>
            </w:tcBorders>
            <w:shd w:val="clear" w:color="auto" w:fill="FFFFFF"/>
          </w:tcPr>
          <w:p w:rsidR="0033725C" w:rsidRPr="00451078" w:rsidRDefault="0033725C" w:rsidP="00A73DBD">
            <w:pPr>
              <w:pStyle w:val="TableText"/>
              <w:rPr>
                <w:rFonts w:eastAsia="Calibri" w:cs="Segoe UI"/>
                <w:b/>
                <w:sz w:val="24"/>
                <w:szCs w:val="24"/>
                <w:lang w:val="it-IT"/>
              </w:rPr>
            </w:pPr>
          </w:p>
        </w:tc>
        <w:tc>
          <w:tcPr>
            <w:tcW w:w="1053" w:type="dxa"/>
            <w:tcBorders>
              <w:top w:val="single" w:sz="6" w:space="0" w:color="1F497D"/>
              <w:left w:val="single" w:sz="6" w:space="0" w:color="1F497D"/>
              <w:bottom w:val="single" w:sz="6" w:space="0" w:color="1F497D"/>
              <w:right w:val="single" w:sz="6" w:space="0" w:color="1F497D"/>
            </w:tcBorders>
            <w:shd w:val="clear" w:color="auto" w:fill="FFFFFF"/>
          </w:tcPr>
          <w:p w:rsidR="0033725C" w:rsidRPr="00451078" w:rsidRDefault="0033725C" w:rsidP="00A73DBD">
            <w:pPr>
              <w:pStyle w:val="TableText"/>
              <w:rPr>
                <w:rFonts w:eastAsia="Calibri" w:cs="Segoe UI"/>
                <w:b/>
                <w:sz w:val="24"/>
                <w:szCs w:val="24"/>
                <w:lang w:val="it-IT"/>
              </w:rPr>
            </w:pPr>
          </w:p>
        </w:tc>
        <w:tc>
          <w:tcPr>
            <w:tcW w:w="1152" w:type="dxa"/>
            <w:tcBorders>
              <w:top w:val="single" w:sz="6" w:space="0" w:color="1F497D"/>
              <w:left w:val="single" w:sz="6" w:space="0" w:color="1F497D"/>
              <w:bottom w:val="single" w:sz="6" w:space="0" w:color="1F497D"/>
              <w:right w:val="single" w:sz="6" w:space="0" w:color="1F497D"/>
            </w:tcBorders>
            <w:shd w:val="clear" w:color="auto" w:fill="FFFFFF"/>
          </w:tcPr>
          <w:p w:rsidR="0033725C" w:rsidRPr="003410C7" w:rsidRDefault="0033725C" w:rsidP="00A73DBD">
            <w:pPr>
              <w:pStyle w:val="TableText"/>
              <w:rPr>
                <w:rFonts w:eastAsia="Calibri" w:cs="Segoe UI"/>
                <w:b/>
                <w:sz w:val="24"/>
                <w:szCs w:val="24"/>
              </w:rPr>
            </w:pPr>
            <w:r w:rsidRPr="003410C7">
              <w:rPr>
                <w:rFonts w:eastAsia="Calibri" w:cs="Segoe UI"/>
                <w:b/>
                <w:sz w:val="24"/>
                <w:szCs w:val="24"/>
              </w:rPr>
              <w:sym w:font="Wingdings" w:char="00FC"/>
            </w:r>
          </w:p>
        </w:tc>
        <w:tc>
          <w:tcPr>
            <w:tcW w:w="1125" w:type="dxa"/>
            <w:tcBorders>
              <w:top w:val="single" w:sz="6" w:space="0" w:color="1F497D"/>
              <w:left w:val="single" w:sz="6" w:space="0" w:color="1F497D"/>
              <w:bottom w:val="single" w:sz="6" w:space="0" w:color="1F497D"/>
              <w:right w:val="single" w:sz="6" w:space="0" w:color="1F497D"/>
            </w:tcBorders>
            <w:shd w:val="clear" w:color="auto" w:fill="FFFFFF"/>
          </w:tcPr>
          <w:p w:rsidR="0033725C" w:rsidRPr="003410C7" w:rsidRDefault="0033725C" w:rsidP="00A73DBD">
            <w:pPr>
              <w:pStyle w:val="TableText"/>
              <w:rPr>
                <w:rFonts w:eastAsia="Calibri" w:cs="Segoe UI"/>
                <w:b/>
                <w:sz w:val="24"/>
                <w:szCs w:val="24"/>
              </w:rPr>
            </w:pPr>
          </w:p>
        </w:tc>
        <w:tc>
          <w:tcPr>
            <w:tcW w:w="1305" w:type="dxa"/>
            <w:tcBorders>
              <w:top w:val="single" w:sz="6" w:space="0" w:color="1F497D"/>
              <w:left w:val="single" w:sz="6" w:space="0" w:color="1F497D"/>
              <w:bottom w:val="single" w:sz="6" w:space="0" w:color="1F497D"/>
              <w:right w:val="single" w:sz="6" w:space="0" w:color="1F497D"/>
            </w:tcBorders>
            <w:shd w:val="clear" w:color="auto" w:fill="FFFFFF"/>
          </w:tcPr>
          <w:p w:rsidR="0033725C" w:rsidRPr="003410C7" w:rsidRDefault="0033725C" w:rsidP="00A73DBD">
            <w:pPr>
              <w:pStyle w:val="TableText"/>
              <w:rPr>
                <w:rFonts w:eastAsia="Calibri" w:cs="Segoe UI"/>
                <w:b/>
                <w:sz w:val="24"/>
                <w:szCs w:val="24"/>
              </w:rPr>
            </w:pPr>
            <w:r w:rsidRPr="003410C7">
              <w:rPr>
                <w:rFonts w:eastAsia="Calibri" w:cs="Segoe UI"/>
                <w:b/>
                <w:sz w:val="24"/>
                <w:szCs w:val="24"/>
              </w:rPr>
              <w:sym w:font="Wingdings" w:char="00FC"/>
            </w:r>
          </w:p>
        </w:tc>
        <w:tc>
          <w:tcPr>
            <w:tcW w:w="1251" w:type="dxa"/>
            <w:tcBorders>
              <w:top w:val="single" w:sz="6" w:space="0" w:color="1F497D"/>
              <w:left w:val="single" w:sz="6" w:space="0" w:color="1F497D"/>
              <w:bottom w:val="single" w:sz="6" w:space="0" w:color="1F497D"/>
              <w:right w:val="single" w:sz="6" w:space="0" w:color="1F497D"/>
            </w:tcBorders>
            <w:shd w:val="clear" w:color="auto" w:fill="FFFFFF"/>
          </w:tcPr>
          <w:p w:rsidR="0033725C" w:rsidRPr="003410C7" w:rsidRDefault="0033725C" w:rsidP="00A73DBD">
            <w:pPr>
              <w:pStyle w:val="TableText"/>
              <w:rPr>
                <w:rFonts w:eastAsia="Calibri" w:cs="Segoe UI"/>
                <w:b/>
                <w:sz w:val="24"/>
                <w:szCs w:val="24"/>
              </w:rPr>
            </w:pPr>
          </w:p>
        </w:tc>
      </w:tr>
      <w:tr w:rsidR="000C172E" w:rsidRPr="003410C7" w:rsidTr="000C172E">
        <w:tc>
          <w:tcPr>
            <w:tcW w:w="2020" w:type="dxa"/>
            <w:tcBorders>
              <w:top w:val="single" w:sz="6" w:space="0" w:color="1F497D"/>
              <w:left w:val="single" w:sz="4" w:space="0" w:color="072B61"/>
              <w:bottom w:val="single" w:sz="6" w:space="0" w:color="1F497D"/>
              <w:right w:val="single" w:sz="6" w:space="0" w:color="1F497D"/>
            </w:tcBorders>
            <w:shd w:val="clear" w:color="auto" w:fill="FFFFFF"/>
          </w:tcPr>
          <w:p w:rsidR="0033725C" w:rsidRPr="00451078" w:rsidRDefault="0033725C" w:rsidP="000B5FBB">
            <w:pPr>
              <w:pStyle w:val="TableText"/>
              <w:jc w:val="left"/>
              <w:rPr>
                <w:rFonts w:ascii="Tahoma" w:eastAsia="Calibri" w:hAnsi="Tahoma" w:cs="Tahoma"/>
                <w:sz w:val="18"/>
                <w:szCs w:val="18"/>
                <w:lang w:val="it-IT"/>
              </w:rPr>
            </w:pPr>
            <w:r w:rsidRPr="00451078">
              <w:rPr>
                <w:rFonts w:ascii="Tahoma" w:eastAsia="Calibri" w:hAnsi="Tahoma" w:cs="Tahoma"/>
                <w:sz w:val="18"/>
                <w:szCs w:val="18"/>
                <w:lang w:val="it-IT"/>
              </w:rPr>
              <w:t>Esecuzione del flusso di</w:t>
            </w:r>
            <w:r w:rsidR="000B5FBB" w:rsidRPr="00451078">
              <w:rPr>
                <w:rFonts w:ascii="Tahoma" w:eastAsia="Calibri" w:hAnsi="Tahoma" w:cs="Tahoma"/>
                <w:sz w:val="18"/>
                <w:szCs w:val="18"/>
                <w:lang w:val="it-IT"/>
              </w:rPr>
              <w:t> </w:t>
            </w:r>
            <w:r w:rsidRPr="00451078">
              <w:rPr>
                <w:rFonts w:ascii="Tahoma" w:eastAsia="Calibri" w:hAnsi="Tahoma" w:cs="Tahoma"/>
                <w:sz w:val="18"/>
                <w:szCs w:val="18"/>
                <w:lang w:val="it-IT"/>
              </w:rPr>
              <w:t>lavoro automatizzato</w:t>
            </w:r>
          </w:p>
        </w:tc>
        <w:tc>
          <w:tcPr>
            <w:tcW w:w="972" w:type="dxa"/>
            <w:tcBorders>
              <w:top w:val="single" w:sz="6" w:space="0" w:color="1F497D"/>
              <w:left w:val="single" w:sz="6" w:space="0" w:color="1F497D"/>
              <w:bottom w:val="single" w:sz="6" w:space="0" w:color="1F497D"/>
              <w:right w:val="single" w:sz="6" w:space="0" w:color="1F497D"/>
            </w:tcBorders>
            <w:shd w:val="clear" w:color="auto" w:fill="FFFFFF"/>
          </w:tcPr>
          <w:p w:rsidR="0033725C" w:rsidRPr="00451078" w:rsidRDefault="0033725C" w:rsidP="00A73DBD">
            <w:pPr>
              <w:pStyle w:val="TableText"/>
              <w:rPr>
                <w:rFonts w:eastAsia="Calibri" w:cs="Segoe UI"/>
                <w:b/>
                <w:sz w:val="24"/>
                <w:szCs w:val="24"/>
                <w:lang w:val="it-IT"/>
              </w:rPr>
            </w:pPr>
          </w:p>
        </w:tc>
        <w:tc>
          <w:tcPr>
            <w:tcW w:w="1053" w:type="dxa"/>
            <w:tcBorders>
              <w:top w:val="single" w:sz="6" w:space="0" w:color="1F497D"/>
              <w:left w:val="single" w:sz="6" w:space="0" w:color="1F497D"/>
              <w:bottom w:val="single" w:sz="6" w:space="0" w:color="1F497D"/>
              <w:right w:val="single" w:sz="6" w:space="0" w:color="1F497D"/>
            </w:tcBorders>
            <w:shd w:val="clear" w:color="auto" w:fill="auto"/>
          </w:tcPr>
          <w:p w:rsidR="0033725C" w:rsidRPr="003410C7" w:rsidRDefault="0033725C" w:rsidP="00A73DBD">
            <w:pPr>
              <w:pStyle w:val="TableText"/>
              <w:rPr>
                <w:rFonts w:eastAsia="Calibri" w:cs="Segoe UI"/>
                <w:b/>
                <w:sz w:val="24"/>
                <w:szCs w:val="24"/>
              </w:rPr>
            </w:pPr>
            <w:r w:rsidRPr="003410C7">
              <w:rPr>
                <w:rFonts w:eastAsia="Calibri" w:cs="Segoe UI"/>
                <w:b/>
                <w:sz w:val="24"/>
                <w:szCs w:val="24"/>
              </w:rPr>
              <w:sym w:font="Wingdings" w:char="00FC"/>
            </w:r>
            <w:r w:rsidRPr="003410C7">
              <w:rPr>
                <w:rFonts w:eastAsia="Calibri" w:cs="Segoe UI"/>
                <w:b/>
                <w:sz w:val="24"/>
                <w:szCs w:val="24"/>
                <w:vertAlign w:val="superscript"/>
              </w:rPr>
              <w:t>5</w:t>
            </w:r>
          </w:p>
        </w:tc>
        <w:tc>
          <w:tcPr>
            <w:tcW w:w="1152" w:type="dxa"/>
            <w:tcBorders>
              <w:top w:val="single" w:sz="6" w:space="0" w:color="1F497D"/>
              <w:left w:val="single" w:sz="6" w:space="0" w:color="1F497D"/>
              <w:bottom w:val="single" w:sz="6" w:space="0" w:color="1F497D"/>
              <w:right w:val="single" w:sz="6" w:space="0" w:color="1F497D"/>
            </w:tcBorders>
            <w:shd w:val="clear" w:color="auto" w:fill="FFFFFF"/>
          </w:tcPr>
          <w:p w:rsidR="0033725C" w:rsidRPr="003410C7" w:rsidRDefault="0033725C" w:rsidP="00A73DBD">
            <w:pPr>
              <w:pStyle w:val="TableText"/>
              <w:rPr>
                <w:rFonts w:eastAsia="Calibri" w:cs="Segoe UI"/>
                <w:b/>
                <w:sz w:val="24"/>
                <w:szCs w:val="24"/>
              </w:rPr>
            </w:pPr>
            <w:r w:rsidRPr="003410C7">
              <w:rPr>
                <w:rFonts w:eastAsia="Calibri" w:cs="Segoe UI"/>
                <w:b/>
                <w:sz w:val="24"/>
                <w:szCs w:val="24"/>
              </w:rPr>
              <w:sym w:font="Wingdings" w:char="00FC"/>
            </w:r>
          </w:p>
        </w:tc>
        <w:tc>
          <w:tcPr>
            <w:tcW w:w="1125" w:type="dxa"/>
            <w:tcBorders>
              <w:top w:val="single" w:sz="6" w:space="0" w:color="1F497D"/>
              <w:left w:val="single" w:sz="6" w:space="0" w:color="1F497D"/>
              <w:bottom w:val="single" w:sz="6" w:space="0" w:color="1F497D"/>
              <w:right w:val="single" w:sz="6" w:space="0" w:color="1F497D"/>
            </w:tcBorders>
            <w:shd w:val="clear" w:color="auto" w:fill="FFFFFF"/>
          </w:tcPr>
          <w:p w:rsidR="0033725C" w:rsidRPr="003410C7" w:rsidRDefault="0033725C" w:rsidP="00A73DBD">
            <w:pPr>
              <w:pStyle w:val="TableText"/>
              <w:rPr>
                <w:rFonts w:eastAsia="Calibri" w:cs="Segoe UI"/>
                <w:b/>
                <w:sz w:val="24"/>
                <w:szCs w:val="24"/>
              </w:rPr>
            </w:pPr>
            <w:r w:rsidRPr="003410C7">
              <w:rPr>
                <w:rFonts w:eastAsia="Calibri" w:cs="Segoe UI"/>
                <w:b/>
                <w:sz w:val="24"/>
                <w:szCs w:val="24"/>
              </w:rPr>
              <w:sym w:font="Wingdings" w:char="00FC"/>
            </w:r>
            <w:r w:rsidRPr="003410C7">
              <w:rPr>
                <w:rFonts w:eastAsia="Calibri" w:cs="Segoe UI"/>
                <w:b/>
                <w:sz w:val="24"/>
                <w:szCs w:val="24"/>
                <w:vertAlign w:val="superscript"/>
              </w:rPr>
              <w:t>5</w:t>
            </w:r>
          </w:p>
        </w:tc>
        <w:tc>
          <w:tcPr>
            <w:tcW w:w="1305" w:type="dxa"/>
            <w:tcBorders>
              <w:top w:val="single" w:sz="6" w:space="0" w:color="1F497D"/>
              <w:left w:val="single" w:sz="6" w:space="0" w:color="1F497D"/>
              <w:bottom w:val="single" w:sz="6" w:space="0" w:color="1F497D"/>
              <w:right w:val="single" w:sz="6" w:space="0" w:color="1F497D"/>
            </w:tcBorders>
            <w:shd w:val="clear" w:color="auto" w:fill="FFFFFF"/>
          </w:tcPr>
          <w:p w:rsidR="0033725C" w:rsidRPr="003410C7" w:rsidRDefault="0033725C" w:rsidP="00A73DBD">
            <w:pPr>
              <w:pStyle w:val="TableText"/>
              <w:rPr>
                <w:rFonts w:eastAsia="Calibri" w:cs="Segoe UI"/>
                <w:b/>
                <w:sz w:val="24"/>
                <w:szCs w:val="24"/>
              </w:rPr>
            </w:pPr>
            <w:r w:rsidRPr="003410C7">
              <w:rPr>
                <w:rFonts w:eastAsia="Calibri" w:cs="Segoe UI"/>
                <w:b/>
                <w:sz w:val="24"/>
                <w:szCs w:val="24"/>
              </w:rPr>
              <w:sym w:font="Wingdings" w:char="00FC"/>
            </w:r>
          </w:p>
        </w:tc>
        <w:tc>
          <w:tcPr>
            <w:tcW w:w="1251" w:type="dxa"/>
            <w:tcBorders>
              <w:top w:val="single" w:sz="6" w:space="0" w:color="1F497D"/>
              <w:left w:val="single" w:sz="6" w:space="0" w:color="1F497D"/>
              <w:bottom w:val="single" w:sz="6" w:space="0" w:color="1F497D"/>
              <w:right w:val="single" w:sz="6" w:space="0" w:color="1F497D"/>
            </w:tcBorders>
            <w:shd w:val="clear" w:color="auto" w:fill="FFFFFF"/>
          </w:tcPr>
          <w:p w:rsidR="0033725C" w:rsidRPr="003410C7" w:rsidRDefault="0033725C" w:rsidP="00A73DBD">
            <w:pPr>
              <w:pStyle w:val="TableText"/>
              <w:rPr>
                <w:rFonts w:eastAsia="Calibri" w:cs="Segoe UI"/>
                <w:b/>
                <w:sz w:val="24"/>
                <w:szCs w:val="24"/>
              </w:rPr>
            </w:pPr>
          </w:p>
        </w:tc>
      </w:tr>
      <w:tr w:rsidR="000C172E" w:rsidRPr="003410C7" w:rsidTr="000C172E">
        <w:tc>
          <w:tcPr>
            <w:tcW w:w="2020" w:type="dxa"/>
            <w:tcBorders>
              <w:top w:val="single" w:sz="6" w:space="0" w:color="1F497D"/>
              <w:left w:val="single" w:sz="4" w:space="0" w:color="072B61"/>
              <w:bottom w:val="single" w:sz="6" w:space="0" w:color="1F497D"/>
              <w:right w:val="single" w:sz="6" w:space="0" w:color="1F497D"/>
            </w:tcBorders>
            <w:shd w:val="clear" w:color="auto" w:fill="FFFFFF"/>
          </w:tcPr>
          <w:p w:rsidR="0033725C" w:rsidRPr="00451078" w:rsidRDefault="0033725C" w:rsidP="000B5FBB">
            <w:pPr>
              <w:pStyle w:val="TableText"/>
              <w:jc w:val="left"/>
              <w:rPr>
                <w:rFonts w:ascii="Tahoma" w:eastAsia="Calibri" w:hAnsi="Tahoma" w:cs="Tahoma"/>
                <w:sz w:val="18"/>
                <w:szCs w:val="18"/>
                <w:lang w:val="it-IT"/>
              </w:rPr>
            </w:pPr>
            <w:r w:rsidRPr="00451078">
              <w:rPr>
                <w:rFonts w:ascii="Tahoma" w:eastAsia="Calibri" w:hAnsi="Tahoma" w:cs="Tahoma"/>
                <w:sz w:val="18"/>
                <w:szCs w:val="18"/>
                <w:lang w:val="it-IT"/>
              </w:rPr>
              <w:t>Esecuzione del flusso di</w:t>
            </w:r>
            <w:r w:rsidR="000B5FBB" w:rsidRPr="00451078">
              <w:rPr>
                <w:rFonts w:ascii="Tahoma" w:eastAsia="Calibri" w:hAnsi="Tahoma" w:cs="Tahoma"/>
                <w:sz w:val="18"/>
                <w:szCs w:val="18"/>
                <w:lang w:val="it-IT"/>
              </w:rPr>
              <w:t> </w:t>
            </w:r>
            <w:r w:rsidRPr="00451078">
              <w:rPr>
                <w:rFonts w:ascii="Tahoma" w:eastAsia="Calibri" w:hAnsi="Tahoma" w:cs="Tahoma"/>
                <w:sz w:val="18"/>
                <w:szCs w:val="18"/>
                <w:lang w:val="it-IT"/>
              </w:rPr>
              <w:t>lavoro Su richiesta</w:t>
            </w:r>
          </w:p>
        </w:tc>
        <w:tc>
          <w:tcPr>
            <w:tcW w:w="972" w:type="dxa"/>
            <w:tcBorders>
              <w:top w:val="single" w:sz="6" w:space="0" w:color="1F497D"/>
              <w:left w:val="single" w:sz="6" w:space="0" w:color="1F497D"/>
              <w:bottom w:val="single" w:sz="6" w:space="0" w:color="1F497D"/>
              <w:right w:val="single" w:sz="6" w:space="0" w:color="1F497D"/>
            </w:tcBorders>
            <w:shd w:val="clear" w:color="auto" w:fill="FFFFFF"/>
          </w:tcPr>
          <w:p w:rsidR="0033725C" w:rsidRPr="00451078" w:rsidRDefault="0033725C" w:rsidP="00A73DBD">
            <w:pPr>
              <w:pStyle w:val="TableText"/>
              <w:rPr>
                <w:rFonts w:eastAsia="Calibri" w:cs="Segoe UI"/>
                <w:b/>
                <w:sz w:val="24"/>
                <w:szCs w:val="24"/>
                <w:lang w:val="it-IT"/>
              </w:rPr>
            </w:pPr>
          </w:p>
        </w:tc>
        <w:tc>
          <w:tcPr>
            <w:tcW w:w="1053" w:type="dxa"/>
            <w:tcBorders>
              <w:top w:val="single" w:sz="6" w:space="0" w:color="1F497D"/>
              <w:left w:val="single" w:sz="6" w:space="0" w:color="1F497D"/>
              <w:bottom w:val="single" w:sz="6" w:space="0" w:color="1F497D"/>
              <w:right w:val="single" w:sz="6" w:space="0" w:color="1F497D"/>
            </w:tcBorders>
            <w:shd w:val="clear" w:color="auto" w:fill="auto"/>
          </w:tcPr>
          <w:p w:rsidR="0033725C" w:rsidRPr="00451078" w:rsidRDefault="0033725C" w:rsidP="00A73DBD">
            <w:pPr>
              <w:pStyle w:val="TableText"/>
              <w:rPr>
                <w:rFonts w:eastAsia="Calibri" w:cs="Segoe UI"/>
                <w:b/>
                <w:sz w:val="24"/>
                <w:szCs w:val="24"/>
                <w:lang w:val="it-IT"/>
              </w:rPr>
            </w:pPr>
          </w:p>
        </w:tc>
        <w:tc>
          <w:tcPr>
            <w:tcW w:w="1152" w:type="dxa"/>
            <w:tcBorders>
              <w:top w:val="single" w:sz="6" w:space="0" w:color="1F497D"/>
              <w:left w:val="single" w:sz="6" w:space="0" w:color="1F497D"/>
              <w:bottom w:val="single" w:sz="6" w:space="0" w:color="1F497D"/>
              <w:right w:val="single" w:sz="6" w:space="0" w:color="1F497D"/>
            </w:tcBorders>
            <w:shd w:val="clear" w:color="auto" w:fill="FFFFFF"/>
          </w:tcPr>
          <w:p w:rsidR="0033725C" w:rsidRPr="003410C7" w:rsidRDefault="0033725C" w:rsidP="00A73DBD">
            <w:pPr>
              <w:pStyle w:val="TableText"/>
              <w:rPr>
                <w:rFonts w:eastAsia="Calibri" w:cs="Segoe UI"/>
                <w:b/>
                <w:sz w:val="24"/>
                <w:szCs w:val="24"/>
              </w:rPr>
            </w:pPr>
            <w:r w:rsidRPr="003410C7">
              <w:rPr>
                <w:rFonts w:eastAsia="Calibri" w:cs="Segoe UI"/>
                <w:b/>
                <w:sz w:val="24"/>
                <w:szCs w:val="24"/>
              </w:rPr>
              <w:sym w:font="Wingdings" w:char="00FC"/>
            </w:r>
          </w:p>
        </w:tc>
        <w:tc>
          <w:tcPr>
            <w:tcW w:w="1125" w:type="dxa"/>
            <w:tcBorders>
              <w:top w:val="single" w:sz="6" w:space="0" w:color="1F497D"/>
              <w:left w:val="single" w:sz="6" w:space="0" w:color="1F497D"/>
              <w:bottom w:val="single" w:sz="6" w:space="0" w:color="1F497D"/>
              <w:right w:val="single" w:sz="6" w:space="0" w:color="1F497D"/>
            </w:tcBorders>
            <w:shd w:val="clear" w:color="auto" w:fill="FFFFFF"/>
          </w:tcPr>
          <w:p w:rsidR="0033725C" w:rsidRPr="003410C7" w:rsidRDefault="0033725C" w:rsidP="00A73DBD">
            <w:pPr>
              <w:pStyle w:val="TableText"/>
              <w:rPr>
                <w:rFonts w:eastAsia="Calibri" w:cs="Segoe UI"/>
                <w:b/>
                <w:sz w:val="24"/>
                <w:szCs w:val="24"/>
              </w:rPr>
            </w:pPr>
          </w:p>
        </w:tc>
        <w:tc>
          <w:tcPr>
            <w:tcW w:w="1305" w:type="dxa"/>
            <w:tcBorders>
              <w:top w:val="single" w:sz="6" w:space="0" w:color="1F497D"/>
              <w:left w:val="single" w:sz="6" w:space="0" w:color="1F497D"/>
              <w:bottom w:val="single" w:sz="6" w:space="0" w:color="1F497D"/>
              <w:right w:val="single" w:sz="6" w:space="0" w:color="1F497D"/>
            </w:tcBorders>
            <w:shd w:val="clear" w:color="auto" w:fill="FFFFFF"/>
          </w:tcPr>
          <w:p w:rsidR="0033725C" w:rsidRPr="003410C7" w:rsidRDefault="0033725C" w:rsidP="00A73DBD">
            <w:pPr>
              <w:pStyle w:val="TableText"/>
              <w:rPr>
                <w:rFonts w:eastAsia="Calibri" w:cs="Segoe UI"/>
                <w:b/>
                <w:sz w:val="24"/>
                <w:szCs w:val="24"/>
              </w:rPr>
            </w:pPr>
            <w:r w:rsidRPr="003410C7">
              <w:rPr>
                <w:rFonts w:eastAsia="Calibri" w:cs="Segoe UI"/>
                <w:b/>
                <w:sz w:val="24"/>
                <w:szCs w:val="24"/>
              </w:rPr>
              <w:sym w:font="Wingdings" w:char="00FC"/>
            </w:r>
          </w:p>
        </w:tc>
        <w:tc>
          <w:tcPr>
            <w:tcW w:w="1251" w:type="dxa"/>
            <w:tcBorders>
              <w:top w:val="single" w:sz="6" w:space="0" w:color="1F497D"/>
              <w:left w:val="single" w:sz="6" w:space="0" w:color="1F497D"/>
              <w:bottom w:val="single" w:sz="6" w:space="0" w:color="1F497D"/>
              <w:right w:val="single" w:sz="6" w:space="0" w:color="1F497D"/>
            </w:tcBorders>
            <w:shd w:val="clear" w:color="auto" w:fill="FFFFFF"/>
          </w:tcPr>
          <w:p w:rsidR="0033725C" w:rsidRPr="003410C7" w:rsidRDefault="0033725C" w:rsidP="00A73DBD">
            <w:pPr>
              <w:pStyle w:val="TableText"/>
              <w:rPr>
                <w:rFonts w:eastAsia="Calibri" w:cs="Segoe UI"/>
                <w:b/>
                <w:sz w:val="24"/>
                <w:szCs w:val="24"/>
              </w:rPr>
            </w:pPr>
          </w:p>
        </w:tc>
      </w:tr>
      <w:tr w:rsidR="000C172E" w:rsidRPr="003410C7" w:rsidTr="000C172E">
        <w:tc>
          <w:tcPr>
            <w:tcW w:w="2020" w:type="dxa"/>
            <w:tcBorders>
              <w:top w:val="single" w:sz="6" w:space="0" w:color="1F497D"/>
              <w:left w:val="single" w:sz="4" w:space="0" w:color="072B61"/>
              <w:bottom w:val="single" w:sz="6" w:space="0" w:color="1F497D"/>
              <w:right w:val="single" w:sz="6" w:space="0" w:color="1F497D"/>
            </w:tcBorders>
            <w:shd w:val="clear" w:color="auto" w:fill="FFFFFF"/>
          </w:tcPr>
          <w:p w:rsidR="0033725C" w:rsidRPr="00451078" w:rsidRDefault="0033725C" w:rsidP="00A73DBD">
            <w:pPr>
              <w:pStyle w:val="TableText"/>
              <w:jc w:val="left"/>
              <w:rPr>
                <w:rFonts w:ascii="Tahoma" w:eastAsia="Calibri" w:hAnsi="Tahoma" w:cs="Tahoma"/>
                <w:sz w:val="18"/>
                <w:szCs w:val="18"/>
                <w:lang w:val="it-IT"/>
              </w:rPr>
            </w:pPr>
            <w:r w:rsidRPr="00451078">
              <w:rPr>
                <w:rFonts w:ascii="Tahoma" w:eastAsia="Calibri" w:hAnsi="Tahoma" w:cs="Tahoma"/>
                <w:sz w:val="18"/>
                <w:szCs w:val="18"/>
                <w:lang w:val="it-IT"/>
              </w:rPr>
              <w:t>Creazione di una Finestra di Dialogo</w:t>
            </w:r>
          </w:p>
        </w:tc>
        <w:tc>
          <w:tcPr>
            <w:tcW w:w="972" w:type="dxa"/>
            <w:tcBorders>
              <w:top w:val="single" w:sz="6" w:space="0" w:color="1F497D"/>
              <w:left w:val="single" w:sz="6" w:space="0" w:color="1F497D"/>
              <w:bottom w:val="single" w:sz="6" w:space="0" w:color="1F497D"/>
              <w:right w:val="single" w:sz="6" w:space="0" w:color="1F497D"/>
            </w:tcBorders>
            <w:shd w:val="clear" w:color="auto" w:fill="FFFFFF"/>
          </w:tcPr>
          <w:p w:rsidR="0033725C" w:rsidRPr="00451078" w:rsidRDefault="0033725C" w:rsidP="00A73DBD">
            <w:pPr>
              <w:pStyle w:val="TableText"/>
              <w:rPr>
                <w:rFonts w:eastAsia="Calibri" w:cs="Segoe UI"/>
                <w:b/>
                <w:sz w:val="24"/>
                <w:szCs w:val="24"/>
                <w:lang w:val="it-IT"/>
              </w:rPr>
            </w:pPr>
          </w:p>
        </w:tc>
        <w:tc>
          <w:tcPr>
            <w:tcW w:w="1053" w:type="dxa"/>
            <w:tcBorders>
              <w:top w:val="single" w:sz="6" w:space="0" w:color="1F497D"/>
              <w:left w:val="single" w:sz="6" w:space="0" w:color="1F497D"/>
              <w:bottom w:val="single" w:sz="6" w:space="0" w:color="1F497D"/>
              <w:right w:val="single" w:sz="6" w:space="0" w:color="1F497D"/>
            </w:tcBorders>
            <w:shd w:val="clear" w:color="auto" w:fill="FFFFFF"/>
          </w:tcPr>
          <w:p w:rsidR="0033725C" w:rsidRPr="00451078" w:rsidRDefault="0033725C" w:rsidP="00A73DBD">
            <w:pPr>
              <w:pStyle w:val="TableText"/>
              <w:rPr>
                <w:rFonts w:eastAsia="Calibri" w:cs="Segoe UI"/>
                <w:b/>
                <w:sz w:val="24"/>
                <w:szCs w:val="24"/>
                <w:lang w:val="it-IT"/>
              </w:rPr>
            </w:pPr>
          </w:p>
        </w:tc>
        <w:tc>
          <w:tcPr>
            <w:tcW w:w="1152" w:type="dxa"/>
            <w:tcBorders>
              <w:top w:val="single" w:sz="6" w:space="0" w:color="1F497D"/>
              <w:left w:val="single" w:sz="6" w:space="0" w:color="1F497D"/>
              <w:bottom w:val="single" w:sz="6" w:space="0" w:color="1F497D"/>
              <w:right w:val="single" w:sz="6" w:space="0" w:color="1F497D"/>
            </w:tcBorders>
            <w:shd w:val="clear" w:color="auto" w:fill="FFFFFF"/>
          </w:tcPr>
          <w:p w:rsidR="0033725C" w:rsidRPr="003410C7" w:rsidRDefault="0033725C" w:rsidP="00A73DBD">
            <w:pPr>
              <w:pStyle w:val="TableText"/>
              <w:rPr>
                <w:rFonts w:eastAsia="Calibri" w:cs="Segoe UI"/>
                <w:b/>
                <w:sz w:val="24"/>
                <w:szCs w:val="24"/>
              </w:rPr>
            </w:pPr>
            <w:r w:rsidRPr="003410C7">
              <w:rPr>
                <w:rFonts w:eastAsia="Calibri" w:cs="Segoe UI"/>
                <w:b/>
                <w:sz w:val="24"/>
                <w:szCs w:val="24"/>
              </w:rPr>
              <w:sym w:font="Wingdings" w:char="00FC"/>
            </w:r>
          </w:p>
        </w:tc>
        <w:tc>
          <w:tcPr>
            <w:tcW w:w="1125" w:type="dxa"/>
            <w:tcBorders>
              <w:top w:val="single" w:sz="6" w:space="0" w:color="1F497D"/>
              <w:left w:val="single" w:sz="6" w:space="0" w:color="1F497D"/>
              <w:bottom w:val="single" w:sz="6" w:space="0" w:color="1F497D"/>
              <w:right w:val="single" w:sz="6" w:space="0" w:color="1F497D"/>
            </w:tcBorders>
            <w:shd w:val="clear" w:color="auto" w:fill="FFFFFF"/>
          </w:tcPr>
          <w:p w:rsidR="0033725C" w:rsidRPr="003410C7" w:rsidRDefault="0033725C" w:rsidP="00A73DBD">
            <w:pPr>
              <w:pStyle w:val="TableText"/>
              <w:rPr>
                <w:rFonts w:eastAsia="Calibri" w:cs="Segoe UI"/>
                <w:b/>
                <w:sz w:val="24"/>
                <w:szCs w:val="24"/>
              </w:rPr>
            </w:pPr>
          </w:p>
        </w:tc>
        <w:tc>
          <w:tcPr>
            <w:tcW w:w="1305" w:type="dxa"/>
            <w:tcBorders>
              <w:top w:val="single" w:sz="6" w:space="0" w:color="1F497D"/>
              <w:left w:val="single" w:sz="6" w:space="0" w:color="1F497D"/>
              <w:bottom w:val="single" w:sz="6" w:space="0" w:color="1F497D"/>
              <w:right w:val="single" w:sz="6" w:space="0" w:color="1F497D"/>
            </w:tcBorders>
            <w:shd w:val="clear" w:color="auto" w:fill="FFFFFF"/>
          </w:tcPr>
          <w:p w:rsidR="0033725C" w:rsidRPr="003410C7" w:rsidRDefault="0033725C" w:rsidP="00A73DBD">
            <w:pPr>
              <w:pStyle w:val="TableText"/>
              <w:rPr>
                <w:rFonts w:eastAsia="Calibri" w:cs="Segoe UI"/>
                <w:b/>
                <w:sz w:val="24"/>
                <w:szCs w:val="24"/>
              </w:rPr>
            </w:pPr>
            <w:r w:rsidRPr="003410C7">
              <w:rPr>
                <w:rFonts w:eastAsia="Calibri" w:cs="Segoe UI"/>
                <w:b/>
                <w:sz w:val="24"/>
                <w:szCs w:val="24"/>
              </w:rPr>
              <w:sym w:font="Wingdings" w:char="00FC"/>
            </w:r>
          </w:p>
        </w:tc>
        <w:tc>
          <w:tcPr>
            <w:tcW w:w="1251" w:type="dxa"/>
            <w:tcBorders>
              <w:top w:val="single" w:sz="6" w:space="0" w:color="1F497D"/>
              <w:left w:val="single" w:sz="6" w:space="0" w:color="1F497D"/>
              <w:bottom w:val="single" w:sz="6" w:space="0" w:color="1F497D"/>
              <w:right w:val="single" w:sz="6" w:space="0" w:color="1F497D"/>
            </w:tcBorders>
            <w:shd w:val="clear" w:color="auto" w:fill="FFFFFF"/>
          </w:tcPr>
          <w:p w:rsidR="0033725C" w:rsidRPr="003410C7" w:rsidRDefault="0033725C" w:rsidP="00A73DBD">
            <w:pPr>
              <w:pStyle w:val="TableText"/>
              <w:rPr>
                <w:rFonts w:eastAsia="Calibri" w:cs="Segoe UI"/>
                <w:b/>
                <w:sz w:val="24"/>
                <w:szCs w:val="24"/>
              </w:rPr>
            </w:pPr>
          </w:p>
        </w:tc>
      </w:tr>
      <w:tr w:rsidR="000C172E" w:rsidRPr="003410C7" w:rsidTr="000C172E">
        <w:tc>
          <w:tcPr>
            <w:tcW w:w="2020" w:type="dxa"/>
            <w:tcBorders>
              <w:top w:val="single" w:sz="6" w:space="0" w:color="1F497D"/>
              <w:left w:val="single" w:sz="4" w:space="0" w:color="072B61"/>
              <w:bottom w:val="single" w:sz="6" w:space="0" w:color="1F497D"/>
              <w:right w:val="single" w:sz="6" w:space="0" w:color="1F497D"/>
            </w:tcBorders>
            <w:shd w:val="clear" w:color="auto" w:fill="FFFFFF"/>
          </w:tcPr>
          <w:p w:rsidR="0033725C" w:rsidRPr="00451078" w:rsidRDefault="0033725C" w:rsidP="00A73DBD">
            <w:pPr>
              <w:pStyle w:val="TableText"/>
              <w:jc w:val="left"/>
              <w:rPr>
                <w:rFonts w:ascii="Tahoma" w:eastAsia="Calibri" w:hAnsi="Tahoma" w:cs="Tahoma"/>
                <w:sz w:val="18"/>
                <w:szCs w:val="18"/>
                <w:lang w:val="it-IT"/>
              </w:rPr>
            </w:pPr>
            <w:r w:rsidRPr="00451078">
              <w:rPr>
                <w:rFonts w:ascii="Tahoma" w:eastAsia="Calibri" w:hAnsi="Tahoma" w:cs="Tahoma"/>
                <w:sz w:val="18"/>
                <w:szCs w:val="18"/>
                <w:lang w:val="it-IT"/>
              </w:rPr>
              <w:t>Aggiornamento di una Finestra di Dialogo</w:t>
            </w:r>
          </w:p>
        </w:tc>
        <w:tc>
          <w:tcPr>
            <w:tcW w:w="972" w:type="dxa"/>
            <w:tcBorders>
              <w:top w:val="single" w:sz="6" w:space="0" w:color="1F497D"/>
              <w:left w:val="single" w:sz="6" w:space="0" w:color="1F497D"/>
              <w:bottom w:val="single" w:sz="6" w:space="0" w:color="1F497D"/>
              <w:right w:val="single" w:sz="6" w:space="0" w:color="1F497D"/>
            </w:tcBorders>
            <w:shd w:val="clear" w:color="auto" w:fill="FFFFFF"/>
          </w:tcPr>
          <w:p w:rsidR="0033725C" w:rsidRPr="00451078" w:rsidRDefault="0033725C" w:rsidP="00A73DBD">
            <w:pPr>
              <w:pStyle w:val="TableText"/>
              <w:rPr>
                <w:rFonts w:eastAsia="Calibri" w:cs="Segoe UI"/>
                <w:b/>
                <w:sz w:val="24"/>
                <w:szCs w:val="24"/>
                <w:lang w:val="it-IT"/>
              </w:rPr>
            </w:pPr>
          </w:p>
        </w:tc>
        <w:tc>
          <w:tcPr>
            <w:tcW w:w="1053" w:type="dxa"/>
            <w:tcBorders>
              <w:top w:val="single" w:sz="6" w:space="0" w:color="1F497D"/>
              <w:left w:val="single" w:sz="6" w:space="0" w:color="1F497D"/>
              <w:bottom w:val="single" w:sz="6" w:space="0" w:color="1F497D"/>
              <w:right w:val="single" w:sz="6" w:space="0" w:color="1F497D"/>
            </w:tcBorders>
            <w:shd w:val="clear" w:color="auto" w:fill="FFFFFF"/>
          </w:tcPr>
          <w:p w:rsidR="0033725C" w:rsidRPr="00451078" w:rsidRDefault="0033725C" w:rsidP="00A73DBD">
            <w:pPr>
              <w:pStyle w:val="TableText"/>
              <w:rPr>
                <w:rFonts w:eastAsia="Calibri" w:cs="Segoe UI"/>
                <w:b/>
                <w:sz w:val="24"/>
                <w:szCs w:val="24"/>
                <w:lang w:val="it-IT"/>
              </w:rPr>
            </w:pPr>
          </w:p>
        </w:tc>
        <w:tc>
          <w:tcPr>
            <w:tcW w:w="1152" w:type="dxa"/>
            <w:tcBorders>
              <w:top w:val="single" w:sz="6" w:space="0" w:color="1F497D"/>
              <w:left w:val="single" w:sz="6" w:space="0" w:color="1F497D"/>
              <w:bottom w:val="single" w:sz="6" w:space="0" w:color="1F497D"/>
              <w:right w:val="single" w:sz="6" w:space="0" w:color="1F497D"/>
            </w:tcBorders>
            <w:shd w:val="clear" w:color="auto" w:fill="FFFFFF"/>
          </w:tcPr>
          <w:p w:rsidR="0033725C" w:rsidRPr="003410C7" w:rsidRDefault="0033725C" w:rsidP="00A73DBD">
            <w:pPr>
              <w:pStyle w:val="TableText"/>
              <w:rPr>
                <w:rFonts w:eastAsia="Calibri" w:cs="Segoe UI"/>
                <w:b/>
                <w:sz w:val="24"/>
                <w:szCs w:val="24"/>
              </w:rPr>
            </w:pPr>
            <w:r w:rsidRPr="003410C7">
              <w:rPr>
                <w:rFonts w:eastAsia="Calibri" w:cs="Segoe UI"/>
                <w:b/>
                <w:sz w:val="24"/>
                <w:szCs w:val="24"/>
              </w:rPr>
              <w:sym w:font="Wingdings" w:char="00FC"/>
            </w:r>
          </w:p>
        </w:tc>
        <w:tc>
          <w:tcPr>
            <w:tcW w:w="1125" w:type="dxa"/>
            <w:tcBorders>
              <w:top w:val="single" w:sz="6" w:space="0" w:color="1F497D"/>
              <w:left w:val="single" w:sz="6" w:space="0" w:color="1F497D"/>
              <w:bottom w:val="single" w:sz="6" w:space="0" w:color="1F497D"/>
              <w:right w:val="single" w:sz="6" w:space="0" w:color="1F497D"/>
            </w:tcBorders>
            <w:shd w:val="clear" w:color="auto" w:fill="FFFFFF"/>
          </w:tcPr>
          <w:p w:rsidR="0033725C" w:rsidRPr="003410C7" w:rsidRDefault="0033725C" w:rsidP="00A73DBD">
            <w:pPr>
              <w:pStyle w:val="TableText"/>
              <w:rPr>
                <w:rFonts w:eastAsia="Calibri" w:cs="Segoe UI"/>
                <w:b/>
                <w:sz w:val="24"/>
                <w:szCs w:val="24"/>
              </w:rPr>
            </w:pPr>
          </w:p>
        </w:tc>
        <w:tc>
          <w:tcPr>
            <w:tcW w:w="1305" w:type="dxa"/>
            <w:tcBorders>
              <w:top w:val="single" w:sz="6" w:space="0" w:color="1F497D"/>
              <w:left w:val="single" w:sz="6" w:space="0" w:color="1F497D"/>
              <w:bottom w:val="single" w:sz="6" w:space="0" w:color="1F497D"/>
              <w:right w:val="single" w:sz="6" w:space="0" w:color="1F497D"/>
            </w:tcBorders>
            <w:shd w:val="clear" w:color="auto" w:fill="FFFFFF"/>
          </w:tcPr>
          <w:p w:rsidR="0033725C" w:rsidRPr="003410C7" w:rsidRDefault="0033725C" w:rsidP="00A73DBD">
            <w:pPr>
              <w:pStyle w:val="TableText"/>
              <w:rPr>
                <w:rFonts w:eastAsia="Calibri" w:cs="Segoe UI"/>
                <w:b/>
                <w:sz w:val="24"/>
                <w:szCs w:val="24"/>
              </w:rPr>
            </w:pPr>
            <w:r w:rsidRPr="003410C7">
              <w:rPr>
                <w:rFonts w:eastAsia="Calibri" w:cs="Segoe UI"/>
                <w:b/>
                <w:sz w:val="24"/>
                <w:szCs w:val="24"/>
              </w:rPr>
              <w:sym w:font="Wingdings" w:char="00FC"/>
            </w:r>
          </w:p>
        </w:tc>
        <w:tc>
          <w:tcPr>
            <w:tcW w:w="1251" w:type="dxa"/>
            <w:tcBorders>
              <w:top w:val="single" w:sz="6" w:space="0" w:color="1F497D"/>
              <w:left w:val="single" w:sz="6" w:space="0" w:color="1F497D"/>
              <w:bottom w:val="single" w:sz="6" w:space="0" w:color="1F497D"/>
              <w:right w:val="single" w:sz="6" w:space="0" w:color="1F497D"/>
            </w:tcBorders>
            <w:shd w:val="clear" w:color="auto" w:fill="FFFFFF"/>
          </w:tcPr>
          <w:p w:rsidR="0033725C" w:rsidRPr="003410C7" w:rsidRDefault="0033725C" w:rsidP="00A73DBD">
            <w:pPr>
              <w:pStyle w:val="TableText"/>
              <w:rPr>
                <w:rFonts w:eastAsia="Calibri" w:cs="Segoe UI"/>
                <w:b/>
                <w:sz w:val="24"/>
                <w:szCs w:val="24"/>
              </w:rPr>
            </w:pPr>
          </w:p>
        </w:tc>
      </w:tr>
      <w:tr w:rsidR="000C172E" w:rsidRPr="003410C7" w:rsidTr="000C172E">
        <w:tc>
          <w:tcPr>
            <w:tcW w:w="2020" w:type="dxa"/>
            <w:tcBorders>
              <w:top w:val="single" w:sz="6" w:space="0" w:color="1F497D"/>
              <w:left w:val="single" w:sz="4" w:space="0" w:color="072B61"/>
              <w:bottom w:val="single" w:sz="6" w:space="0" w:color="1F497D"/>
              <w:right w:val="single" w:sz="6" w:space="0" w:color="1F497D"/>
            </w:tcBorders>
            <w:shd w:val="clear" w:color="auto" w:fill="FFFFFF"/>
          </w:tcPr>
          <w:p w:rsidR="0033725C" w:rsidRPr="00451078" w:rsidRDefault="0033725C" w:rsidP="000B5FBB">
            <w:pPr>
              <w:pStyle w:val="TableText"/>
              <w:jc w:val="left"/>
              <w:rPr>
                <w:rFonts w:ascii="Tahoma" w:eastAsia="Calibri" w:hAnsi="Tahoma" w:cs="Tahoma"/>
                <w:sz w:val="18"/>
                <w:szCs w:val="18"/>
                <w:lang w:val="it-IT"/>
              </w:rPr>
            </w:pPr>
            <w:r w:rsidRPr="00451078">
              <w:rPr>
                <w:rFonts w:ascii="Tahoma" w:eastAsia="Calibri" w:hAnsi="Tahoma" w:cs="Tahoma"/>
                <w:sz w:val="18"/>
                <w:szCs w:val="18"/>
                <w:lang w:val="it-IT"/>
              </w:rPr>
              <w:t>Avvio di una Finestra di</w:t>
            </w:r>
            <w:r w:rsidR="000B5FBB" w:rsidRPr="00451078">
              <w:rPr>
                <w:rFonts w:ascii="Tahoma" w:eastAsia="Calibri" w:hAnsi="Tahoma" w:cs="Tahoma"/>
                <w:sz w:val="18"/>
                <w:szCs w:val="18"/>
                <w:lang w:val="it-IT"/>
              </w:rPr>
              <w:t> </w:t>
            </w:r>
            <w:r w:rsidRPr="00451078">
              <w:rPr>
                <w:rFonts w:ascii="Tahoma" w:eastAsia="Calibri" w:hAnsi="Tahoma" w:cs="Tahoma"/>
                <w:sz w:val="18"/>
                <w:szCs w:val="18"/>
                <w:lang w:val="it-IT"/>
              </w:rPr>
              <w:t>Dialogo</w:t>
            </w:r>
          </w:p>
        </w:tc>
        <w:tc>
          <w:tcPr>
            <w:tcW w:w="972" w:type="dxa"/>
            <w:tcBorders>
              <w:top w:val="single" w:sz="6" w:space="0" w:color="1F497D"/>
              <w:left w:val="single" w:sz="6" w:space="0" w:color="1F497D"/>
              <w:bottom w:val="single" w:sz="6" w:space="0" w:color="1F497D"/>
              <w:right w:val="single" w:sz="6" w:space="0" w:color="1F497D"/>
            </w:tcBorders>
            <w:shd w:val="clear" w:color="auto" w:fill="FFFFFF"/>
          </w:tcPr>
          <w:p w:rsidR="0033725C" w:rsidRPr="00451078" w:rsidRDefault="0033725C" w:rsidP="00A73DBD">
            <w:pPr>
              <w:pStyle w:val="TableText"/>
              <w:rPr>
                <w:rFonts w:eastAsia="Calibri" w:cs="Segoe UI"/>
                <w:b/>
                <w:sz w:val="24"/>
                <w:szCs w:val="24"/>
                <w:lang w:val="it-IT"/>
              </w:rPr>
            </w:pPr>
          </w:p>
        </w:tc>
        <w:tc>
          <w:tcPr>
            <w:tcW w:w="1053" w:type="dxa"/>
            <w:tcBorders>
              <w:top w:val="single" w:sz="6" w:space="0" w:color="1F497D"/>
              <w:left w:val="single" w:sz="6" w:space="0" w:color="1F497D"/>
              <w:bottom w:val="single" w:sz="6" w:space="0" w:color="1F497D"/>
              <w:right w:val="single" w:sz="6" w:space="0" w:color="1F497D"/>
            </w:tcBorders>
            <w:shd w:val="clear" w:color="auto" w:fill="auto"/>
          </w:tcPr>
          <w:p w:rsidR="0033725C" w:rsidRPr="003410C7" w:rsidRDefault="0033725C" w:rsidP="00A73DBD">
            <w:pPr>
              <w:pStyle w:val="TableText"/>
              <w:rPr>
                <w:rFonts w:eastAsia="Calibri" w:cs="Segoe UI"/>
                <w:b/>
                <w:sz w:val="24"/>
                <w:szCs w:val="24"/>
              </w:rPr>
            </w:pPr>
            <w:r w:rsidRPr="003410C7">
              <w:rPr>
                <w:rFonts w:eastAsia="Calibri" w:cs="Segoe UI"/>
                <w:b/>
                <w:sz w:val="24"/>
                <w:szCs w:val="24"/>
              </w:rPr>
              <w:sym w:font="Wingdings" w:char="00FC"/>
            </w:r>
            <w:r w:rsidRPr="003410C7">
              <w:rPr>
                <w:rFonts w:eastAsia="Calibri" w:cs="Segoe UI"/>
                <w:b/>
                <w:sz w:val="24"/>
                <w:szCs w:val="24"/>
                <w:vertAlign w:val="superscript"/>
              </w:rPr>
              <w:t>5</w:t>
            </w:r>
          </w:p>
        </w:tc>
        <w:tc>
          <w:tcPr>
            <w:tcW w:w="1152" w:type="dxa"/>
            <w:tcBorders>
              <w:top w:val="single" w:sz="6" w:space="0" w:color="1F497D"/>
              <w:left w:val="single" w:sz="6" w:space="0" w:color="1F497D"/>
              <w:bottom w:val="single" w:sz="6" w:space="0" w:color="1F497D"/>
              <w:right w:val="single" w:sz="6" w:space="0" w:color="1F497D"/>
            </w:tcBorders>
            <w:shd w:val="clear" w:color="auto" w:fill="FFFFFF"/>
          </w:tcPr>
          <w:p w:rsidR="0033725C" w:rsidRPr="003410C7" w:rsidRDefault="0033725C" w:rsidP="00A73DBD">
            <w:pPr>
              <w:pStyle w:val="TableText"/>
              <w:rPr>
                <w:rFonts w:eastAsia="Calibri" w:cs="Segoe UI"/>
                <w:b/>
                <w:sz w:val="24"/>
                <w:szCs w:val="24"/>
              </w:rPr>
            </w:pPr>
            <w:r w:rsidRPr="003410C7">
              <w:rPr>
                <w:rFonts w:eastAsia="Calibri" w:cs="Segoe UI"/>
                <w:b/>
                <w:sz w:val="24"/>
                <w:szCs w:val="24"/>
              </w:rPr>
              <w:sym w:font="Wingdings" w:char="00FC"/>
            </w:r>
          </w:p>
        </w:tc>
        <w:tc>
          <w:tcPr>
            <w:tcW w:w="1125" w:type="dxa"/>
            <w:tcBorders>
              <w:top w:val="single" w:sz="6" w:space="0" w:color="1F497D"/>
              <w:left w:val="single" w:sz="6" w:space="0" w:color="1F497D"/>
              <w:bottom w:val="single" w:sz="6" w:space="0" w:color="1F497D"/>
              <w:right w:val="single" w:sz="6" w:space="0" w:color="1F497D"/>
            </w:tcBorders>
            <w:shd w:val="clear" w:color="auto" w:fill="FFFFFF"/>
          </w:tcPr>
          <w:p w:rsidR="0033725C" w:rsidRPr="003410C7" w:rsidRDefault="0033725C" w:rsidP="00A73DBD">
            <w:pPr>
              <w:pStyle w:val="TableText"/>
              <w:rPr>
                <w:rFonts w:eastAsia="Calibri" w:cs="Segoe UI"/>
                <w:b/>
                <w:sz w:val="24"/>
                <w:szCs w:val="24"/>
              </w:rPr>
            </w:pPr>
            <w:r w:rsidRPr="003410C7">
              <w:rPr>
                <w:rFonts w:eastAsia="Calibri" w:cs="Segoe UI"/>
                <w:b/>
                <w:sz w:val="24"/>
                <w:szCs w:val="24"/>
              </w:rPr>
              <w:sym w:font="Wingdings" w:char="00FC"/>
            </w:r>
            <w:r w:rsidRPr="003410C7">
              <w:rPr>
                <w:rFonts w:eastAsia="Calibri" w:cs="Segoe UI"/>
                <w:b/>
                <w:sz w:val="24"/>
                <w:szCs w:val="24"/>
                <w:vertAlign w:val="superscript"/>
              </w:rPr>
              <w:t>5</w:t>
            </w:r>
          </w:p>
        </w:tc>
        <w:tc>
          <w:tcPr>
            <w:tcW w:w="1305" w:type="dxa"/>
            <w:tcBorders>
              <w:top w:val="single" w:sz="6" w:space="0" w:color="1F497D"/>
              <w:left w:val="single" w:sz="6" w:space="0" w:color="1F497D"/>
              <w:bottom w:val="single" w:sz="6" w:space="0" w:color="1F497D"/>
              <w:right w:val="single" w:sz="6" w:space="0" w:color="1F497D"/>
            </w:tcBorders>
            <w:shd w:val="clear" w:color="auto" w:fill="FFFFFF"/>
          </w:tcPr>
          <w:p w:rsidR="0033725C" w:rsidRPr="003410C7" w:rsidRDefault="0033725C" w:rsidP="00A73DBD">
            <w:pPr>
              <w:pStyle w:val="TableText"/>
              <w:rPr>
                <w:rFonts w:eastAsia="Calibri" w:cs="Segoe UI"/>
                <w:b/>
                <w:sz w:val="24"/>
                <w:szCs w:val="24"/>
              </w:rPr>
            </w:pPr>
            <w:r w:rsidRPr="003410C7">
              <w:rPr>
                <w:rFonts w:eastAsia="Calibri" w:cs="Segoe UI"/>
                <w:b/>
                <w:sz w:val="24"/>
                <w:szCs w:val="24"/>
              </w:rPr>
              <w:sym w:font="Wingdings" w:char="00FC"/>
            </w:r>
          </w:p>
        </w:tc>
        <w:tc>
          <w:tcPr>
            <w:tcW w:w="1251" w:type="dxa"/>
            <w:tcBorders>
              <w:top w:val="single" w:sz="6" w:space="0" w:color="1F497D"/>
              <w:left w:val="single" w:sz="6" w:space="0" w:color="1F497D"/>
              <w:bottom w:val="single" w:sz="6" w:space="0" w:color="1F497D"/>
              <w:right w:val="single" w:sz="6" w:space="0" w:color="1F497D"/>
            </w:tcBorders>
            <w:shd w:val="clear" w:color="auto" w:fill="FFFFFF"/>
          </w:tcPr>
          <w:p w:rsidR="0033725C" w:rsidRPr="003410C7" w:rsidRDefault="0033725C" w:rsidP="00A73DBD">
            <w:pPr>
              <w:pStyle w:val="TableText"/>
              <w:rPr>
                <w:rFonts w:eastAsia="Calibri" w:cs="Segoe UI"/>
                <w:b/>
                <w:sz w:val="24"/>
                <w:szCs w:val="24"/>
              </w:rPr>
            </w:pPr>
          </w:p>
        </w:tc>
      </w:tr>
      <w:tr w:rsidR="000C172E" w:rsidRPr="003410C7" w:rsidTr="000C172E">
        <w:tc>
          <w:tcPr>
            <w:tcW w:w="2020" w:type="dxa"/>
            <w:tcBorders>
              <w:top w:val="single" w:sz="6" w:space="0" w:color="1F497D"/>
              <w:left w:val="single" w:sz="4" w:space="0" w:color="072B61"/>
              <w:bottom w:val="single" w:sz="6" w:space="0" w:color="1F497D"/>
              <w:right w:val="single" w:sz="6" w:space="0" w:color="1F497D"/>
            </w:tcBorders>
            <w:shd w:val="clear" w:color="auto" w:fill="FFFFFF"/>
          </w:tcPr>
          <w:p w:rsidR="0033725C" w:rsidRPr="003410C7" w:rsidRDefault="0033725C" w:rsidP="000B5FBB">
            <w:pPr>
              <w:pStyle w:val="TableText"/>
              <w:jc w:val="left"/>
              <w:rPr>
                <w:rFonts w:ascii="Tahoma" w:eastAsia="Calibri" w:hAnsi="Tahoma" w:cs="Tahoma"/>
                <w:sz w:val="18"/>
                <w:szCs w:val="18"/>
              </w:rPr>
            </w:pPr>
            <w:r w:rsidRPr="003410C7">
              <w:rPr>
                <w:rFonts w:ascii="Tahoma" w:eastAsia="Calibri" w:hAnsi="Tahoma" w:cs="Tahoma"/>
                <w:sz w:val="18"/>
                <w:szCs w:val="18"/>
              </w:rPr>
              <w:t>Creazione di un</w:t>
            </w:r>
            <w:r w:rsidR="000B5FBB">
              <w:rPr>
                <w:rFonts w:ascii="Tahoma" w:eastAsia="Calibri" w:hAnsi="Tahoma" w:cs="Tahoma"/>
                <w:sz w:val="18"/>
                <w:szCs w:val="18"/>
              </w:rPr>
              <w:t> </w:t>
            </w:r>
            <w:r w:rsidRPr="003410C7">
              <w:rPr>
                <w:rFonts w:ascii="Tahoma" w:eastAsia="Calibri" w:hAnsi="Tahoma" w:cs="Tahoma"/>
                <w:sz w:val="18"/>
                <w:szCs w:val="18"/>
              </w:rPr>
              <w:t>Rapporto</w:t>
            </w:r>
          </w:p>
        </w:tc>
        <w:tc>
          <w:tcPr>
            <w:tcW w:w="972" w:type="dxa"/>
            <w:tcBorders>
              <w:top w:val="single" w:sz="6" w:space="0" w:color="1F497D"/>
              <w:left w:val="single" w:sz="6" w:space="0" w:color="1F497D"/>
              <w:bottom w:val="single" w:sz="6" w:space="0" w:color="1F497D"/>
              <w:right w:val="single" w:sz="6" w:space="0" w:color="1F497D"/>
            </w:tcBorders>
            <w:shd w:val="clear" w:color="auto" w:fill="FFFFFF"/>
          </w:tcPr>
          <w:p w:rsidR="0033725C" w:rsidRPr="003410C7" w:rsidRDefault="0033725C" w:rsidP="00A73DBD">
            <w:pPr>
              <w:pStyle w:val="TableText"/>
              <w:rPr>
                <w:rFonts w:eastAsia="Calibri" w:cs="Segoe UI"/>
                <w:b/>
                <w:sz w:val="24"/>
                <w:szCs w:val="24"/>
              </w:rPr>
            </w:pPr>
          </w:p>
        </w:tc>
        <w:tc>
          <w:tcPr>
            <w:tcW w:w="1053" w:type="dxa"/>
            <w:tcBorders>
              <w:top w:val="single" w:sz="6" w:space="0" w:color="1F497D"/>
              <w:left w:val="single" w:sz="6" w:space="0" w:color="1F497D"/>
              <w:bottom w:val="single" w:sz="6" w:space="0" w:color="1F497D"/>
              <w:right w:val="single" w:sz="6" w:space="0" w:color="1F497D"/>
            </w:tcBorders>
            <w:shd w:val="clear" w:color="auto" w:fill="FFFFFF"/>
          </w:tcPr>
          <w:p w:rsidR="0033725C" w:rsidRPr="003410C7" w:rsidRDefault="0033725C" w:rsidP="00A73DBD">
            <w:pPr>
              <w:pStyle w:val="TableText"/>
              <w:rPr>
                <w:rFonts w:eastAsia="Calibri" w:cs="Segoe UI"/>
                <w:b/>
                <w:sz w:val="24"/>
                <w:szCs w:val="24"/>
              </w:rPr>
            </w:pPr>
            <w:r w:rsidRPr="003410C7">
              <w:rPr>
                <w:rFonts w:eastAsia="Calibri" w:cs="Segoe UI"/>
                <w:b/>
                <w:sz w:val="24"/>
                <w:szCs w:val="24"/>
              </w:rPr>
              <w:sym w:font="Wingdings" w:char="00FC"/>
            </w:r>
          </w:p>
        </w:tc>
        <w:tc>
          <w:tcPr>
            <w:tcW w:w="1152" w:type="dxa"/>
            <w:tcBorders>
              <w:top w:val="single" w:sz="6" w:space="0" w:color="1F497D"/>
              <w:left w:val="single" w:sz="6" w:space="0" w:color="1F497D"/>
              <w:bottom w:val="single" w:sz="6" w:space="0" w:color="1F497D"/>
              <w:right w:val="single" w:sz="6" w:space="0" w:color="1F497D"/>
            </w:tcBorders>
            <w:shd w:val="clear" w:color="auto" w:fill="FFFFFF"/>
          </w:tcPr>
          <w:p w:rsidR="0033725C" w:rsidRPr="003410C7" w:rsidRDefault="0033725C" w:rsidP="00A73DBD">
            <w:pPr>
              <w:pStyle w:val="TableText"/>
              <w:rPr>
                <w:rFonts w:eastAsia="Calibri" w:cs="Segoe UI"/>
                <w:b/>
                <w:sz w:val="24"/>
                <w:szCs w:val="24"/>
              </w:rPr>
            </w:pPr>
            <w:r w:rsidRPr="003410C7">
              <w:rPr>
                <w:rFonts w:eastAsia="Calibri" w:cs="Segoe UI"/>
                <w:b/>
                <w:sz w:val="24"/>
                <w:szCs w:val="24"/>
              </w:rPr>
              <w:sym w:font="Wingdings" w:char="00FC"/>
            </w:r>
          </w:p>
        </w:tc>
        <w:tc>
          <w:tcPr>
            <w:tcW w:w="1125" w:type="dxa"/>
            <w:tcBorders>
              <w:top w:val="single" w:sz="6" w:space="0" w:color="1F497D"/>
              <w:left w:val="single" w:sz="6" w:space="0" w:color="1F497D"/>
              <w:bottom w:val="single" w:sz="6" w:space="0" w:color="1F497D"/>
              <w:right w:val="single" w:sz="6" w:space="0" w:color="1F497D"/>
            </w:tcBorders>
            <w:shd w:val="clear" w:color="auto" w:fill="FFFFFF"/>
          </w:tcPr>
          <w:p w:rsidR="0033725C" w:rsidRPr="003410C7" w:rsidRDefault="0033725C" w:rsidP="00A73DBD">
            <w:pPr>
              <w:pStyle w:val="TableText"/>
              <w:rPr>
                <w:rFonts w:eastAsia="Calibri" w:cs="Segoe UI"/>
                <w:b/>
                <w:sz w:val="24"/>
                <w:szCs w:val="24"/>
              </w:rPr>
            </w:pPr>
            <w:r w:rsidRPr="003410C7">
              <w:rPr>
                <w:rFonts w:eastAsia="Calibri" w:cs="Segoe UI"/>
                <w:b/>
                <w:sz w:val="24"/>
                <w:szCs w:val="24"/>
              </w:rPr>
              <w:sym w:font="Wingdings" w:char="00FC"/>
            </w:r>
          </w:p>
        </w:tc>
        <w:tc>
          <w:tcPr>
            <w:tcW w:w="1305" w:type="dxa"/>
            <w:tcBorders>
              <w:top w:val="single" w:sz="6" w:space="0" w:color="1F497D"/>
              <w:left w:val="single" w:sz="6" w:space="0" w:color="1F497D"/>
              <w:bottom w:val="single" w:sz="6" w:space="0" w:color="1F497D"/>
              <w:right w:val="single" w:sz="6" w:space="0" w:color="1F497D"/>
            </w:tcBorders>
            <w:shd w:val="clear" w:color="auto" w:fill="FFFFFF"/>
          </w:tcPr>
          <w:p w:rsidR="0033725C" w:rsidRPr="003410C7" w:rsidRDefault="0033725C" w:rsidP="00A73DBD">
            <w:pPr>
              <w:pStyle w:val="TableText"/>
              <w:rPr>
                <w:rFonts w:eastAsia="Calibri" w:cs="Segoe UI"/>
                <w:b/>
                <w:sz w:val="24"/>
                <w:szCs w:val="24"/>
              </w:rPr>
            </w:pPr>
          </w:p>
        </w:tc>
        <w:tc>
          <w:tcPr>
            <w:tcW w:w="1251" w:type="dxa"/>
            <w:tcBorders>
              <w:top w:val="single" w:sz="6" w:space="0" w:color="1F497D"/>
              <w:left w:val="single" w:sz="6" w:space="0" w:color="1F497D"/>
              <w:bottom w:val="single" w:sz="6" w:space="0" w:color="1F497D"/>
              <w:right w:val="single" w:sz="6" w:space="0" w:color="1F497D"/>
            </w:tcBorders>
            <w:shd w:val="clear" w:color="auto" w:fill="FFFFFF"/>
          </w:tcPr>
          <w:p w:rsidR="0033725C" w:rsidRPr="003410C7" w:rsidRDefault="0033725C" w:rsidP="00A73DBD">
            <w:pPr>
              <w:pStyle w:val="TableText"/>
              <w:rPr>
                <w:rFonts w:eastAsia="Calibri" w:cs="Segoe UI"/>
                <w:b/>
                <w:sz w:val="24"/>
                <w:szCs w:val="24"/>
              </w:rPr>
            </w:pPr>
          </w:p>
        </w:tc>
      </w:tr>
      <w:tr w:rsidR="000C172E" w:rsidRPr="003410C7" w:rsidTr="000C172E">
        <w:tc>
          <w:tcPr>
            <w:tcW w:w="2020" w:type="dxa"/>
            <w:tcBorders>
              <w:top w:val="single" w:sz="6" w:space="0" w:color="1F497D"/>
              <w:left w:val="single" w:sz="4" w:space="0" w:color="072B61"/>
              <w:bottom w:val="single" w:sz="6" w:space="0" w:color="1F497D"/>
              <w:right w:val="single" w:sz="6" w:space="0" w:color="1F497D"/>
            </w:tcBorders>
            <w:shd w:val="clear" w:color="auto" w:fill="FFFFFF"/>
          </w:tcPr>
          <w:p w:rsidR="0033725C" w:rsidRPr="003410C7" w:rsidRDefault="0033725C" w:rsidP="000B5FBB">
            <w:pPr>
              <w:pStyle w:val="TableText"/>
              <w:jc w:val="left"/>
              <w:rPr>
                <w:rFonts w:ascii="Tahoma" w:eastAsia="Calibri" w:hAnsi="Tahoma" w:cs="Tahoma"/>
                <w:sz w:val="18"/>
                <w:szCs w:val="18"/>
              </w:rPr>
            </w:pPr>
            <w:r w:rsidRPr="003410C7">
              <w:rPr>
                <w:rFonts w:ascii="Tahoma" w:eastAsia="Calibri" w:hAnsi="Tahoma" w:cs="Tahoma"/>
                <w:sz w:val="18"/>
                <w:szCs w:val="18"/>
              </w:rPr>
              <w:t>Esecuzione di un</w:t>
            </w:r>
            <w:r w:rsidR="000B5FBB">
              <w:rPr>
                <w:rFonts w:ascii="Tahoma" w:eastAsia="Calibri" w:hAnsi="Tahoma" w:cs="Tahoma"/>
                <w:sz w:val="18"/>
                <w:szCs w:val="18"/>
              </w:rPr>
              <w:t> </w:t>
            </w:r>
            <w:r w:rsidRPr="003410C7">
              <w:rPr>
                <w:rFonts w:ascii="Tahoma" w:eastAsia="Calibri" w:hAnsi="Tahoma" w:cs="Tahoma"/>
                <w:sz w:val="18"/>
                <w:szCs w:val="18"/>
              </w:rPr>
              <w:t xml:space="preserve">Rapporto </w:t>
            </w:r>
          </w:p>
        </w:tc>
        <w:tc>
          <w:tcPr>
            <w:tcW w:w="972" w:type="dxa"/>
            <w:tcBorders>
              <w:top w:val="single" w:sz="6" w:space="0" w:color="1F497D"/>
              <w:left w:val="single" w:sz="6" w:space="0" w:color="1F497D"/>
              <w:bottom w:val="single" w:sz="6" w:space="0" w:color="1F497D"/>
              <w:right w:val="single" w:sz="6" w:space="0" w:color="1F497D"/>
            </w:tcBorders>
            <w:shd w:val="clear" w:color="auto" w:fill="FFFFFF"/>
          </w:tcPr>
          <w:p w:rsidR="0033725C" w:rsidRPr="003410C7" w:rsidRDefault="0033725C" w:rsidP="00A73DBD">
            <w:pPr>
              <w:pStyle w:val="TableText"/>
              <w:rPr>
                <w:rFonts w:eastAsia="Calibri" w:cs="Segoe UI"/>
                <w:b/>
                <w:sz w:val="24"/>
                <w:szCs w:val="24"/>
              </w:rPr>
            </w:pPr>
          </w:p>
        </w:tc>
        <w:tc>
          <w:tcPr>
            <w:tcW w:w="1053" w:type="dxa"/>
            <w:tcBorders>
              <w:top w:val="single" w:sz="6" w:space="0" w:color="1F497D"/>
              <w:left w:val="single" w:sz="6" w:space="0" w:color="1F497D"/>
              <w:bottom w:val="single" w:sz="6" w:space="0" w:color="1F497D"/>
              <w:right w:val="single" w:sz="6" w:space="0" w:color="1F497D"/>
            </w:tcBorders>
            <w:shd w:val="clear" w:color="auto" w:fill="FFFFFF"/>
          </w:tcPr>
          <w:p w:rsidR="0033725C" w:rsidRPr="003410C7" w:rsidRDefault="0033725C" w:rsidP="00A73DBD">
            <w:pPr>
              <w:pStyle w:val="TableText"/>
              <w:rPr>
                <w:rFonts w:eastAsia="Calibri" w:cs="Segoe UI"/>
                <w:b/>
                <w:sz w:val="24"/>
                <w:szCs w:val="24"/>
              </w:rPr>
            </w:pPr>
            <w:r w:rsidRPr="003410C7">
              <w:rPr>
                <w:rFonts w:eastAsia="Calibri" w:cs="Segoe UI"/>
                <w:b/>
                <w:sz w:val="24"/>
                <w:szCs w:val="24"/>
              </w:rPr>
              <w:sym w:font="Wingdings" w:char="00FC"/>
            </w:r>
          </w:p>
        </w:tc>
        <w:tc>
          <w:tcPr>
            <w:tcW w:w="1152" w:type="dxa"/>
            <w:tcBorders>
              <w:top w:val="single" w:sz="6" w:space="0" w:color="1F497D"/>
              <w:left w:val="single" w:sz="6" w:space="0" w:color="1F497D"/>
              <w:bottom w:val="single" w:sz="6" w:space="0" w:color="1F497D"/>
              <w:right w:val="single" w:sz="6" w:space="0" w:color="1F497D"/>
            </w:tcBorders>
            <w:shd w:val="clear" w:color="auto" w:fill="FFFFFF"/>
          </w:tcPr>
          <w:p w:rsidR="0033725C" w:rsidRPr="003410C7" w:rsidRDefault="0033725C" w:rsidP="00A73DBD">
            <w:pPr>
              <w:pStyle w:val="TableText"/>
              <w:rPr>
                <w:rFonts w:eastAsia="Calibri" w:cs="Segoe UI"/>
                <w:b/>
                <w:sz w:val="24"/>
                <w:szCs w:val="24"/>
              </w:rPr>
            </w:pPr>
            <w:r w:rsidRPr="003410C7">
              <w:rPr>
                <w:rFonts w:eastAsia="Calibri" w:cs="Segoe UI"/>
                <w:b/>
                <w:sz w:val="24"/>
                <w:szCs w:val="24"/>
              </w:rPr>
              <w:sym w:font="Wingdings" w:char="00FC"/>
            </w:r>
          </w:p>
        </w:tc>
        <w:tc>
          <w:tcPr>
            <w:tcW w:w="1125" w:type="dxa"/>
            <w:tcBorders>
              <w:top w:val="single" w:sz="6" w:space="0" w:color="1F497D"/>
              <w:left w:val="single" w:sz="6" w:space="0" w:color="1F497D"/>
              <w:bottom w:val="single" w:sz="6" w:space="0" w:color="1F497D"/>
              <w:right w:val="single" w:sz="6" w:space="0" w:color="1F497D"/>
            </w:tcBorders>
            <w:shd w:val="clear" w:color="auto" w:fill="FFFFFF"/>
          </w:tcPr>
          <w:p w:rsidR="0033725C" w:rsidRPr="003410C7" w:rsidRDefault="0033725C" w:rsidP="00A73DBD">
            <w:pPr>
              <w:pStyle w:val="TableText"/>
              <w:rPr>
                <w:rFonts w:eastAsia="Calibri" w:cs="Segoe UI"/>
                <w:b/>
                <w:sz w:val="24"/>
                <w:szCs w:val="24"/>
              </w:rPr>
            </w:pPr>
            <w:r w:rsidRPr="003410C7">
              <w:rPr>
                <w:rFonts w:eastAsia="Calibri" w:cs="Segoe UI"/>
                <w:b/>
                <w:sz w:val="24"/>
                <w:szCs w:val="24"/>
              </w:rPr>
              <w:sym w:font="Wingdings" w:char="00FC"/>
            </w:r>
          </w:p>
        </w:tc>
        <w:tc>
          <w:tcPr>
            <w:tcW w:w="1305" w:type="dxa"/>
            <w:tcBorders>
              <w:top w:val="single" w:sz="6" w:space="0" w:color="1F497D"/>
              <w:left w:val="single" w:sz="6" w:space="0" w:color="1F497D"/>
              <w:bottom w:val="single" w:sz="6" w:space="0" w:color="1F497D"/>
              <w:right w:val="single" w:sz="6" w:space="0" w:color="1F497D"/>
            </w:tcBorders>
            <w:shd w:val="clear" w:color="auto" w:fill="FFFFFF"/>
          </w:tcPr>
          <w:p w:rsidR="0033725C" w:rsidRPr="003410C7" w:rsidRDefault="0033725C" w:rsidP="00A73DBD">
            <w:pPr>
              <w:pStyle w:val="TableText"/>
              <w:rPr>
                <w:rFonts w:eastAsia="Calibri" w:cs="Segoe UI"/>
                <w:b/>
                <w:sz w:val="24"/>
                <w:szCs w:val="24"/>
              </w:rPr>
            </w:pPr>
          </w:p>
        </w:tc>
        <w:tc>
          <w:tcPr>
            <w:tcW w:w="1251" w:type="dxa"/>
            <w:tcBorders>
              <w:top w:val="single" w:sz="6" w:space="0" w:color="1F497D"/>
              <w:left w:val="single" w:sz="6" w:space="0" w:color="1F497D"/>
              <w:bottom w:val="single" w:sz="6" w:space="0" w:color="1F497D"/>
              <w:right w:val="single" w:sz="6" w:space="0" w:color="1F497D"/>
            </w:tcBorders>
            <w:shd w:val="clear" w:color="auto" w:fill="FFFFFF"/>
          </w:tcPr>
          <w:p w:rsidR="0033725C" w:rsidRPr="003410C7" w:rsidRDefault="0033725C" w:rsidP="00A73DBD">
            <w:pPr>
              <w:pStyle w:val="TableText"/>
              <w:rPr>
                <w:rFonts w:eastAsia="Calibri" w:cs="Segoe UI"/>
                <w:b/>
                <w:sz w:val="24"/>
                <w:szCs w:val="24"/>
              </w:rPr>
            </w:pPr>
          </w:p>
        </w:tc>
      </w:tr>
      <w:tr w:rsidR="000C172E" w:rsidRPr="003410C7" w:rsidTr="000C172E">
        <w:tc>
          <w:tcPr>
            <w:tcW w:w="2020" w:type="dxa"/>
            <w:tcBorders>
              <w:top w:val="single" w:sz="6" w:space="0" w:color="1F497D"/>
              <w:left w:val="single" w:sz="4" w:space="0" w:color="072B61"/>
              <w:bottom w:val="single" w:sz="6" w:space="0" w:color="1F497D"/>
              <w:right w:val="single" w:sz="6" w:space="0" w:color="1F497D"/>
            </w:tcBorders>
            <w:shd w:val="clear" w:color="auto" w:fill="FFFFFF"/>
          </w:tcPr>
          <w:p w:rsidR="0033725C" w:rsidRPr="003410C7" w:rsidRDefault="0033725C" w:rsidP="00A73DBD">
            <w:pPr>
              <w:pStyle w:val="TableText"/>
              <w:jc w:val="left"/>
              <w:rPr>
                <w:rFonts w:ascii="Tahoma" w:eastAsia="Calibri" w:hAnsi="Tahoma" w:cs="Tahoma"/>
                <w:sz w:val="18"/>
                <w:szCs w:val="18"/>
              </w:rPr>
            </w:pPr>
            <w:r w:rsidRPr="003410C7">
              <w:rPr>
                <w:rFonts w:ascii="Tahoma" w:eastAsia="Calibri" w:hAnsi="Tahoma" w:cs="Tahoma"/>
                <w:sz w:val="18"/>
                <w:szCs w:val="18"/>
              </w:rPr>
              <w:t>Esecuzione di Stampa Unione</w:t>
            </w:r>
          </w:p>
        </w:tc>
        <w:tc>
          <w:tcPr>
            <w:tcW w:w="972" w:type="dxa"/>
            <w:tcBorders>
              <w:top w:val="single" w:sz="6" w:space="0" w:color="1F497D"/>
              <w:left w:val="single" w:sz="6" w:space="0" w:color="1F497D"/>
              <w:bottom w:val="single" w:sz="6" w:space="0" w:color="1F497D"/>
              <w:right w:val="single" w:sz="6" w:space="0" w:color="1F497D"/>
            </w:tcBorders>
            <w:shd w:val="clear" w:color="auto" w:fill="FFFFFF"/>
          </w:tcPr>
          <w:p w:rsidR="0033725C" w:rsidRPr="003410C7" w:rsidRDefault="0033725C" w:rsidP="00A73DBD">
            <w:pPr>
              <w:pStyle w:val="TableText"/>
              <w:rPr>
                <w:rFonts w:eastAsia="Calibri" w:cs="Segoe UI"/>
                <w:b/>
                <w:sz w:val="24"/>
                <w:szCs w:val="24"/>
              </w:rPr>
            </w:pPr>
          </w:p>
        </w:tc>
        <w:tc>
          <w:tcPr>
            <w:tcW w:w="1053" w:type="dxa"/>
            <w:tcBorders>
              <w:top w:val="single" w:sz="6" w:space="0" w:color="1F497D"/>
              <w:left w:val="single" w:sz="6" w:space="0" w:color="1F497D"/>
              <w:bottom w:val="single" w:sz="6" w:space="0" w:color="1F497D"/>
              <w:right w:val="single" w:sz="6" w:space="0" w:color="1F497D"/>
            </w:tcBorders>
            <w:shd w:val="clear" w:color="auto" w:fill="FFFFFF"/>
          </w:tcPr>
          <w:p w:rsidR="0033725C" w:rsidRPr="003410C7" w:rsidRDefault="0033725C" w:rsidP="00A73DBD">
            <w:pPr>
              <w:pStyle w:val="TableText"/>
              <w:rPr>
                <w:rFonts w:eastAsia="Calibri" w:cs="Segoe UI"/>
                <w:b/>
                <w:sz w:val="24"/>
                <w:szCs w:val="24"/>
              </w:rPr>
            </w:pPr>
          </w:p>
        </w:tc>
        <w:tc>
          <w:tcPr>
            <w:tcW w:w="1152" w:type="dxa"/>
            <w:tcBorders>
              <w:top w:val="single" w:sz="6" w:space="0" w:color="1F497D"/>
              <w:left w:val="single" w:sz="6" w:space="0" w:color="1F497D"/>
              <w:bottom w:val="single" w:sz="6" w:space="0" w:color="1F497D"/>
              <w:right w:val="single" w:sz="6" w:space="0" w:color="1F497D"/>
            </w:tcBorders>
            <w:shd w:val="clear" w:color="auto" w:fill="FFFFFF"/>
          </w:tcPr>
          <w:p w:rsidR="0033725C" w:rsidRPr="003410C7" w:rsidRDefault="0033725C" w:rsidP="00A73DBD">
            <w:pPr>
              <w:pStyle w:val="TableText"/>
              <w:rPr>
                <w:rFonts w:eastAsia="Calibri" w:cs="Segoe UI"/>
                <w:b/>
                <w:sz w:val="24"/>
                <w:szCs w:val="24"/>
              </w:rPr>
            </w:pPr>
            <w:r w:rsidRPr="003410C7">
              <w:rPr>
                <w:rFonts w:eastAsia="Calibri" w:cs="Segoe UI"/>
                <w:b/>
                <w:sz w:val="24"/>
                <w:szCs w:val="24"/>
              </w:rPr>
              <w:sym w:font="Wingdings" w:char="00FC"/>
            </w:r>
          </w:p>
        </w:tc>
        <w:tc>
          <w:tcPr>
            <w:tcW w:w="1125" w:type="dxa"/>
            <w:tcBorders>
              <w:top w:val="single" w:sz="6" w:space="0" w:color="1F497D"/>
              <w:left w:val="single" w:sz="6" w:space="0" w:color="1F497D"/>
              <w:bottom w:val="single" w:sz="6" w:space="0" w:color="1F497D"/>
              <w:right w:val="single" w:sz="6" w:space="0" w:color="1F497D"/>
            </w:tcBorders>
            <w:shd w:val="clear" w:color="auto" w:fill="FFFFFF"/>
          </w:tcPr>
          <w:p w:rsidR="0033725C" w:rsidRPr="003410C7" w:rsidRDefault="0033725C" w:rsidP="00A73DBD">
            <w:pPr>
              <w:pStyle w:val="TableText"/>
              <w:rPr>
                <w:rFonts w:eastAsia="Calibri" w:cs="Segoe UI"/>
                <w:b/>
                <w:sz w:val="24"/>
                <w:szCs w:val="24"/>
              </w:rPr>
            </w:pPr>
          </w:p>
        </w:tc>
        <w:tc>
          <w:tcPr>
            <w:tcW w:w="1305" w:type="dxa"/>
            <w:tcBorders>
              <w:top w:val="single" w:sz="6" w:space="0" w:color="1F497D"/>
              <w:left w:val="single" w:sz="6" w:space="0" w:color="1F497D"/>
              <w:bottom w:val="single" w:sz="6" w:space="0" w:color="1F497D"/>
              <w:right w:val="single" w:sz="6" w:space="0" w:color="1F497D"/>
            </w:tcBorders>
            <w:shd w:val="clear" w:color="auto" w:fill="FFFFFF"/>
          </w:tcPr>
          <w:p w:rsidR="0033725C" w:rsidRPr="003410C7" w:rsidRDefault="0033725C" w:rsidP="00A73DBD">
            <w:pPr>
              <w:pStyle w:val="TableText"/>
              <w:rPr>
                <w:rFonts w:eastAsia="Calibri" w:cs="Segoe UI"/>
                <w:b/>
                <w:sz w:val="24"/>
                <w:szCs w:val="24"/>
              </w:rPr>
            </w:pPr>
            <w:r w:rsidRPr="003410C7">
              <w:rPr>
                <w:rFonts w:eastAsia="Calibri" w:cs="Segoe UI"/>
                <w:b/>
                <w:sz w:val="24"/>
                <w:szCs w:val="24"/>
              </w:rPr>
              <w:sym w:font="Wingdings" w:char="00FC"/>
            </w:r>
          </w:p>
        </w:tc>
        <w:tc>
          <w:tcPr>
            <w:tcW w:w="1251" w:type="dxa"/>
            <w:tcBorders>
              <w:top w:val="single" w:sz="6" w:space="0" w:color="1F497D"/>
              <w:left w:val="single" w:sz="6" w:space="0" w:color="1F497D"/>
              <w:bottom w:val="single" w:sz="6" w:space="0" w:color="1F497D"/>
              <w:right w:val="single" w:sz="6" w:space="0" w:color="1F497D"/>
            </w:tcBorders>
            <w:shd w:val="clear" w:color="auto" w:fill="FFFFFF"/>
          </w:tcPr>
          <w:p w:rsidR="0033725C" w:rsidRPr="003410C7" w:rsidRDefault="0033725C" w:rsidP="00A73DBD">
            <w:pPr>
              <w:pStyle w:val="TableText"/>
              <w:rPr>
                <w:rFonts w:eastAsia="Calibri" w:cs="Segoe UI"/>
                <w:b/>
                <w:sz w:val="24"/>
                <w:szCs w:val="24"/>
              </w:rPr>
            </w:pPr>
          </w:p>
        </w:tc>
      </w:tr>
      <w:tr w:rsidR="000C172E" w:rsidRPr="003410C7" w:rsidTr="000C172E">
        <w:tc>
          <w:tcPr>
            <w:tcW w:w="2020" w:type="dxa"/>
            <w:tcBorders>
              <w:top w:val="single" w:sz="6" w:space="0" w:color="1F497D"/>
              <w:left w:val="single" w:sz="4" w:space="0" w:color="072B61"/>
              <w:bottom w:val="single" w:sz="6" w:space="0" w:color="1F497D"/>
              <w:right w:val="single" w:sz="6" w:space="0" w:color="1F497D"/>
            </w:tcBorders>
            <w:shd w:val="clear" w:color="auto" w:fill="FFFFFF"/>
          </w:tcPr>
          <w:p w:rsidR="0033725C" w:rsidRPr="00451078" w:rsidRDefault="0033725C" w:rsidP="000B5FBB">
            <w:pPr>
              <w:pStyle w:val="TableText"/>
              <w:jc w:val="left"/>
              <w:rPr>
                <w:rFonts w:ascii="Tahoma" w:eastAsia="Calibri" w:hAnsi="Tahoma" w:cs="Tahoma"/>
                <w:sz w:val="18"/>
                <w:szCs w:val="18"/>
                <w:lang w:val="it-IT"/>
              </w:rPr>
            </w:pPr>
            <w:r w:rsidRPr="00451078">
              <w:rPr>
                <w:rFonts w:ascii="Tahoma" w:eastAsia="Calibri" w:hAnsi="Tahoma" w:cs="Tahoma"/>
                <w:sz w:val="18"/>
                <w:szCs w:val="18"/>
                <w:lang w:val="it-IT"/>
              </w:rPr>
              <w:t>Esportazione di dati in</w:t>
            </w:r>
            <w:r w:rsidR="000B5FBB" w:rsidRPr="00451078">
              <w:rPr>
                <w:rFonts w:ascii="Tahoma" w:eastAsia="Calibri" w:hAnsi="Tahoma" w:cs="Tahoma"/>
                <w:sz w:val="18"/>
                <w:szCs w:val="18"/>
                <w:lang w:val="it-IT"/>
              </w:rPr>
              <w:t> </w:t>
            </w:r>
            <w:r w:rsidRPr="00451078">
              <w:rPr>
                <w:rFonts w:ascii="Tahoma" w:eastAsia="Calibri" w:hAnsi="Tahoma" w:cs="Tahoma"/>
                <w:sz w:val="18"/>
                <w:szCs w:val="18"/>
                <w:lang w:val="it-IT"/>
              </w:rPr>
              <w:t>Microsoft Excel</w:t>
            </w:r>
          </w:p>
        </w:tc>
        <w:tc>
          <w:tcPr>
            <w:tcW w:w="972" w:type="dxa"/>
            <w:tcBorders>
              <w:top w:val="single" w:sz="6" w:space="0" w:color="1F497D"/>
              <w:left w:val="single" w:sz="6" w:space="0" w:color="1F497D"/>
              <w:bottom w:val="single" w:sz="6" w:space="0" w:color="1F497D"/>
              <w:right w:val="single" w:sz="6" w:space="0" w:color="1F497D"/>
            </w:tcBorders>
            <w:shd w:val="clear" w:color="auto" w:fill="FFFFFF"/>
          </w:tcPr>
          <w:p w:rsidR="0033725C" w:rsidRPr="00451078" w:rsidRDefault="0033725C" w:rsidP="00A73DBD">
            <w:pPr>
              <w:pStyle w:val="TableText"/>
              <w:rPr>
                <w:rFonts w:eastAsia="Calibri" w:cs="Segoe UI"/>
                <w:b/>
                <w:sz w:val="24"/>
                <w:szCs w:val="24"/>
                <w:lang w:val="it-IT"/>
              </w:rPr>
            </w:pPr>
          </w:p>
        </w:tc>
        <w:tc>
          <w:tcPr>
            <w:tcW w:w="1053" w:type="dxa"/>
            <w:tcBorders>
              <w:top w:val="single" w:sz="6" w:space="0" w:color="1F497D"/>
              <w:left w:val="single" w:sz="6" w:space="0" w:color="1F497D"/>
              <w:bottom w:val="single" w:sz="6" w:space="0" w:color="1F497D"/>
              <w:right w:val="single" w:sz="6" w:space="0" w:color="1F497D"/>
            </w:tcBorders>
            <w:shd w:val="clear" w:color="auto" w:fill="FFFFFF"/>
          </w:tcPr>
          <w:p w:rsidR="0033725C" w:rsidRPr="003410C7" w:rsidRDefault="0033725C" w:rsidP="00A73DBD">
            <w:pPr>
              <w:pStyle w:val="TableText"/>
              <w:rPr>
                <w:rFonts w:eastAsia="Calibri" w:cs="Segoe UI"/>
                <w:b/>
                <w:sz w:val="24"/>
                <w:szCs w:val="24"/>
              </w:rPr>
            </w:pPr>
            <w:r w:rsidRPr="003410C7">
              <w:rPr>
                <w:rFonts w:eastAsia="Calibri" w:cs="Segoe UI"/>
                <w:b/>
                <w:sz w:val="24"/>
                <w:szCs w:val="24"/>
              </w:rPr>
              <w:sym w:font="Wingdings" w:char="00FC"/>
            </w:r>
          </w:p>
        </w:tc>
        <w:tc>
          <w:tcPr>
            <w:tcW w:w="1152" w:type="dxa"/>
            <w:tcBorders>
              <w:top w:val="single" w:sz="6" w:space="0" w:color="1F497D"/>
              <w:left w:val="single" w:sz="6" w:space="0" w:color="1F497D"/>
              <w:bottom w:val="single" w:sz="6" w:space="0" w:color="1F497D"/>
              <w:right w:val="single" w:sz="6" w:space="0" w:color="1F497D"/>
            </w:tcBorders>
            <w:shd w:val="clear" w:color="auto" w:fill="FFFFFF"/>
          </w:tcPr>
          <w:p w:rsidR="0033725C" w:rsidRPr="003410C7" w:rsidRDefault="0033725C" w:rsidP="00A73DBD">
            <w:pPr>
              <w:pStyle w:val="TableText"/>
              <w:rPr>
                <w:rFonts w:eastAsia="Calibri" w:cs="Segoe UI"/>
                <w:b/>
                <w:sz w:val="24"/>
                <w:szCs w:val="24"/>
              </w:rPr>
            </w:pPr>
            <w:r w:rsidRPr="003410C7">
              <w:rPr>
                <w:rFonts w:eastAsia="Calibri" w:cs="Segoe UI"/>
                <w:b/>
                <w:sz w:val="24"/>
                <w:szCs w:val="24"/>
              </w:rPr>
              <w:sym w:font="Wingdings" w:char="00FC"/>
            </w:r>
          </w:p>
        </w:tc>
        <w:tc>
          <w:tcPr>
            <w:tcW w:w="1125" w:type="dxa"/>
            <w:tcBorders>
              <w:top w:val="single" w:sz="6" w:space="0" w:color="1F497D"/>
              <w:left w:val="single" w:sz="6" w:space="0" w:color="1F497D"/>
              <w:bottom w:val="single" w:sz="6" w:space="0" w:color="1F497D"/>
              <w:right w:val="single" w:sz="6" w:space="0" w:color="1F497D"/>
            </w:tcBorders>
            <w:shd w:val="clear" w:color="auto" w:fill="FFFFFF"/>
          </w:tcPr>
          <w:p w:rsidR="0033725C" w:rsidRPr="003410C7" w:rsidRDefault="0033725C" w:rsidP="00A73DBD">
            <w:pPr>
              <w:pStyle w:val="TableText"/>
              <w:rPr>
                <w:rFonts w:eastAsia="Calibri" w:cs="Segoe UI"/>
                <w:b/>
                <w:sz w:val="24"/>
                <w:szCs w:val="24"/>
              </w:rPr>
            </w:pPr>
            <w:r w:rsidRPr="003410C7">
              <w:rPr>
                <w:rFonts w:eastAsia="Calibri" w:cs="Segoe UI"/>
                <w:b/>
                <w:sz w:val="24"/>
                <w:szCs w:val="24"/>
              </w:rPr>
              <w:sym w:font="Wingdings" w:char="00FC"/>
            </w:r>
          </w:p>
        </w:tc>
        <w:tc>
          <w:tcPr>
            <w:tcW w:w="1305" w:type="dxa"/>
            <w:tcBorders>
              <w:top w:val="single" w:sz="6" w:space="0" w:color="1F497D"/>
              <w:left w:val="single" w:sz="6" w:space="0" w:color="1F497D"/>
              <w:bottom w:val="single" w:sz="6" w:space="0" w:color="1F497D"/>
              <w:right w:val="single" w:sz="6" w:space="0" w:color="1F497D"/>
            </w:tcBorders>
            <w:shd w:val="clear" w:color="auto" w:fill="FFFFFF"/>
          </w:tcPr>
          <w:p w:rsidR="0033725C" w:rsidRPr="003410C7" w:rsidRDefault="0033725C" w:rsidP="00A73DBD">
            <w:pPr>
              <w:pStyle w:val="TableText"/>
              <w:rPr>
                <w:rFonts w:eastAsia="Calibri" w:cs="Segoe UI"/>
                <w:b/>
                <w:sz w:val="24"/>
                <w:szCs w:val="24"/>
              </w:rPr>
            </w:pPr>
          </w:p>
        </w:tc>
        <w:tc>
          <w:tcPr>
            <w:tcW w:w="1251" w:type="dxa"/>
            <w:tcBorders>
              <w:top w:val="single" w:sz="6" w:space="0" w:color="1F497D"/>
              <w:left w:val="single" w:sz="6" w:space="0" w:color="1F497D"/>
              <w:bottom w:val="single" w:sz="6" w:space="0" w:color="1F497D"/>
              <w:right w:val="single" w:sz="6" w:space="0" w:color="1F497D"/>
            </w:tcBorders>
            <w:shd w:val="clear" w:color="auto" w:fill="FFFFFF"/>
          </w:tcPr>
          <w:p w:rsidR="0033725C" w:rsidRPr="003410C7" w:rsidRDefault="0033725C" w:rsidP="00A73DBD">
            <w:pPr>
              <w:pStyle w:val="TableText"/>
              <w:rPr>
                <w:rFonts w:eastAsia="Calibri" w:cs="Segoe UI"/>
                <w:b/>
                <w:sz w:val="24"/>
                <w:szCs w:val="24"/>
              </w:rPr>
            </w:pPr>
          </w:p>
        </w:tc>
      </w:tr>
      <w:tr w:rsidR="000C172E" w:rsidRPr="003410C7" w:rsidTr="000B5FBB">
        <w:trPr>
          <w:cantSplit/>
        </w:trPr>
        <w:tc>
          <w:tcPr>
            <w:tcW w:w="2020" w:type="dxa"/>
            <w:tcBorders>
              <w:top w:val="single" w:sz="6" w:space="0" w:color="1F497D"/>
              <w:left w:val="single" w:sz="4" w:space="0" w:color="072B61"/>
              <w:bottom w:val="single" w:sz="6" w:space="0" w:color="1F497D"/>
              <w:right w:val="single" w:sz="6" w:space="0" w:color="1F497D"/>
            </w:tcBorders>
            <w:shd w:val="clear" w:color="auto" w:fill="FFFFFF"/>
          </w:tcPr>
          <w:p w:rsidR="0033725C" w:rsidRPr="00451078" w:rsidRDefault="0033725C" w:rsidP="000B5FBB">
            <w:pPr>
              <w:pStyle w:val="TableText"/>
              <w:jc w:val="left"/>
              <w:rPr>
                <w:rFonts w:ascii="Tahoma" w:eastAsia="Calibri" w:hAnsi="Tahoma" w:cs="Tahoma"/>
                <w:sz w:val="18"/>
                <w:szCs w:val="18"/>
                <w:lang w:val="it-IT"/>
              </w:rPr>
            </w:pPr>
            <w:r w:rsidRPr="00451078">
              <w:rPr>
                <w:rFonts w:ascii="Tahoma" w:eastAsia="Calibri" w:hAnsi="Tahoma" w:cs="Tahoma"/>
                <w:sz w:val="18"/>
                <w:szCs w:val="18"/>
                <w:lang w:val="it-IT"/>
              </w:rPr>
              <w:t>Gestione e</w:t>
            </w:r>
            <w:r w:rsidR="000B5FBB" w:rsidRPr="00451078">
              <w:rPr>
                <w:rFonts w:ascii="Tahoma" w:eastAsia="Calibri" w:hAnsi="Tahoma" w:cs="Tahoma"/>
                <w:sz w:val="18"/>
                <w:szCs w:val="18"/>
                <w:lang w:val="it-IT"/>
              </w:rPr>
              <w:t> </w:t>
            </w:r>
            <w:r w:rsidRPr="00451078">
              <w:rPr>
                <w:rFonts w:ascii="Tahoma" w:eastAsia="Calibri" w:hAnsi="Tahoma" w:cs="Tahoma"/>
                <w:sz w:val="18"/>
                <w:szCs w:val="18"/>
                <w:lang w:val="it-IT"/>
              </w:rPr>
              <w:t>pubblicazione di feed attività che interessano Account, Contatti, Lead e Record delle persone giuridiche personalizzati utilizzando l</w:t>
            </w:r>
            <w:r w:rsidR="0073727D">
              <w:rPr>
                <w:rFonts w:ascii="Tahoma" w:eastAsia="Calibri" w:hAnsi="Tahoma" w:cs="Tahoma"/>
                <w:sz w:val="18"/>
                <w:szCs w:val="18"/>
                <w:lang w:val="it-IT"/>
              </w:rPr>
              <w:t>’</w:t>
            </w:r>
            <w:r w:rsidRPr="00451078">
              <w:rPr>
                <w:rFonts w:ascii="Tahoma" w:eastAsia="Calibri" w:hAnsi="Tahoma" w:cs="Tahoma"/>
                <w:sz w:val="18"/>
                <w:szCs w:val="18"/>
                <w:lang w:val="it-IT"/>
              </w:rPr>
              <w:t>accesso alle API</w:t>
            </w:r>
          </w:p>
        </w:tc>
        <w:tc>
          <w:tcPr>
            <w:tcW w:w="972" w:type="dxa"/>
            <w:tcBorders>
              <w:top w:val="single" w:sz="6" w:space="0" w:color="1F497D"/>
              <w:left w:val="single" w:sz="6" w:space="0" w:color="1F497D"/>
              <w:bottom w:val="single" w:sz="6" w:space="0" w:color="1F497D"/>
              <w:right w:val="single" w:sz="6" w:space="0" w:color="1F497D"/>
            </w:tcBorders>
            <w:shd w:val="clear" w:color="auto" w:fill="FFFFFF"/>
          </w:tcPr>
          <w:p w:rsidR="0033725C" w:rsidRPr="003410C7" w:rsidRDefault="0033725C" w:rsidP="00A73DBD">
            <w:pPr>
              <w:pStyle w:val="TableText"/>
              <w:rPr>
                <w:rFonts w:eastAsia="Calibri" w:cs="Segoe UI"/>
                <w:b/>
                <w:sz w:val="24"/>
                <w:szCs w:val="24"/>
              </w:rPr>
            </w:pPr>
            <w:r w:rsidRPr="003410C7">
              <w:rPr>
                <w:rFonts w:eastAsia="Calibri" w:cs="Segoe UI"/>
                <w:b/>
                <w:sz w:val="24"/>
                <w:szCs w:val="24"/>
              </w:rPr>
              <w:sym w:font="Wingdings" w:char="00FC"/>
            </w:r>
          </w:p>
        </w:tc>
        <w:tc>
          <w:tcPr>
            <w:tcW w:w="1053" w:type="dxa"/>
            <w:tcBorders>
              <w:top w:val="single" w:sz="6" w:space="0" w:color="1F497D"/>
              <w:left w:val="single" w:sz="6" w:space="0" w:color="1F497D"/>
              <w:bottom w:val="single" w:sz="6" w:space="0" w:color="1F497D"/>
              <w:right w:val="single" w:sz="6" w:space="0" w:color="1F497D"/>
            </w:tcBorders>
            <w:shd w:val="clear" w:color="auto" w:fill="FFFFFF"/>
          </w:tcPr>
          <w:p w:rsidR="0033725C" w:rsidRPr="003410C7" w:rsidRDefault="0033725C" w:rsidP="00A73DBD">
            <w:pPr>
              <w:pStyle w:val="TableText"/>
              <w:rPr>
                <w:rFonts w:eastAsia="Calibri" w:cs="Segoe UI"/>
                <w:b/>
                <w:sz w:val="24"/>
                <w:szCs w:val="24"/>
              </w:rPr>
            </w:pPr>
            <w:r w:rsidRPr="003410C7">
              <w:rPr>
                <w:rFonts w:eastAsia="Calibri" w:cs="Segoe UI"/>
                <w:b/>
                <w:sz w:val="24"/>
                <w:szCs w:val="24"/>
              </w:rPr>
              <w:sym w:font="Wingdings" w:char="00FC"/>
            </w:r>
          </w:p>
        </w:tc>
        <w:tc>
          <w:tcPr>
            <w:tcW w:w="1152" w:type="dxa"/>
            <w:tcBorders>
              <w:top w:val="single" w:sz="6" w:space="0" w:color="1F497D"/>
              <w:left w:val="single" w:sz="6" w:space="0" w:color="1F497D"/>
              <w:bottom w:val="single" w:sz="6" w:space="0" w:color="1F497D"/>
              <w:right w:val="single" w:sz="6" w:space="0" w:color="1F497D"/>
            </w:tcBorders>
            <w:shd w:val="clear" w:color="auto" w:fill="FFFFFF"/>
          </w:tcPr>
          <w:p w:rsidR="0033725C" w:rsidRPr="003410C7" w:rsidRDefault="0033725C" w:rsidP="00A73DBD">
            <w:pPr>
              <w:pStyle w:val="TableText"/>
              <w:rPr>
                <w:rFonts w:eastAsia="Calibri" w:cs="Segoe UI"/>
                <w:b/>
                <w:sz w:val="24"/>
                <w:szCs w:val="24"/>
              </w:rPr>
            </w:pPr>
            <w:r w:rsidRPr="003410C7">
              <w:rPr>
                <w:rFonts w:eastAsia="Calibri" w:cs="Segoe UI"/>
                <w:b/>
                <w:sz w:val="24"/>
                <w:szCs w:val="24"/>
              </w:rPr>
              <w:sym w:font="Wingdings" w:char="00FC"/>
            </w:r>
          </w:p>
        </w:tc>
        <w:tc>
          <w:tcPr>
            <w:tcW w:w="1125" w:type="dxa"/>
            <w:tcBorders>
              <w:top w:val="single" w:sz="6" w:space="0" w:color="1F497D"/>
              <w:left w:val="single" w:sz="6" w:space="0" w:color="1F497D"/>
              <w:bottom w:val="single" w:sz="6" w:space="0" w:color="1F497D"/>
              <w:right w:val="single" w:sz="6" w:space="0" w:color="1F497D"/>
            </w:tcBorders>
            <w:shd w:val="clear" w:color="auto" w:fill="FFFFFF"/>
          </w:tcPr>
          <w:p w:rsidR="0033725C" w:rsidRPr="003410C7" w:rsidRDefault="0033725C" w:rsidP="00A73DBD">
            <w:pPr>
              <w:pStyle w:val="TableText"/>
              <w:rPr>
                <w:rFonts w:eastAsia="Calibri" w:cs="Segoe UI"/>
                <w:b/>
                <w:sz w:val="24"/>
                <w:szCs w:val="24"/>
              </w:rPr>
            </w:pPr>
          </w:p>
        </w:tc>
        <w:tc>
          <w:tcPr>
            <w:tcW w:w="1305" w:type="dxa"/>
            <w:tcBorders>
              <w:top w:val="single" w:sz="6" w:space="0" w:color="1F497D"/>
              <w:left w:val="single" w:sz="6" w:space="0" w:color="1F497D"/>
              <w:bottom w:val="single" w:sz="6" w:space="0" w:color="1F497D"/>
              <w:right w:val="single" w:sz="6" w:space="0" w:color="1F497D"/>
            </w:tcBorders>
            <w:shd w:val="clear" w:color="auto" w:fill="FFFFFF"/>
          </w:tcPr>
          <w:p w:rsidR="0033725C" w:rsidRPr="003410C7" w:rsidRDefault="0033725C" w:rsidP="00A73DBD">
            <w:pPr>
              <w:pStyle w:val="TableText"/>
              <w:rPr>
                <w:rFonts w:eastAsia="Calibri" w:cs="Segoe UI"/>
                <w:b/>
                <w:sz w:val="24"/>
                <w:szCs w:val="24"/>
              </w:rPr>
            </w:pPr>
          </w:p>
        </w:tc>
        <w:tc>
          <w:tcPr>
            <w:tcW w:w="1251" w:type="dxa"/>
            <w:tcBorders>
              <w:top w:val="single" w:sz="6" w:space="0" w:color="1F497D"/>
              <w:left w:val="single" w:sz="6" w:space="0" w:color="1F497D"/>
              <w:bottom w:val="single" w:sz="6" w:space="0" w:color="1F497D"/>
              <w:right w:val="single" w:sz="6" w:space="0" w:color="1F497D"/>
            </w:tcBorders>
            <w:shd w:val="clear" w:color="auto" w:fill="FFFFFF"/>
          </w:tcPr>
          <w:p w:rsidR="0033725C" w:rsidRPr="003410C7" w:rsidRDefault="0033725C" w:rsidP="00A73DBD">
            <w:pPr>
              <w:pStyle w:val="TableText"/>
              <w:rPr>
                <w:rFonts w:eastAsia="Calibri" w:cs="Segoe UI"/>
                <w:b/>
                <w:sz w:val="24"/>
                <w:szCs w:val="24"/>
              </w:rPr>
            </w:pPr>
            <w:r w:rsidRPr="003410C7">
              <w:rPr>
                <w:rFonts w:eastAsia="Calibri" w:cs="Segoe UI"/>
                <w:b/>
                <w:sz w:val="24"/>
                <w:szCs w:val="24"/>
              </w:rPr>
              <w:sym w:font="Wingdings" w:char="00FC"/>
            </w:r>
          </w:p>
        </w:tc>
      </w:tr>
      <w:tr w:rsidR="000C172E" w:rsidRPr="003410C7" w:rsidTr="000C172E">
        <w:tc>
          <w:tcPr>
            <w:tcW w:w="2020" w:type="dxa"/>
            <w:tcBorders>
              <w:top w:val="single" w:sz="6" w:space="0" w:color="1F497D"/>
              <w:left w:val="single" w:sz="4" w:space="0" w:color="072B61"/>
              <w:bottom w:val="single" w:sz="6" w:space="0" w:color="1F497D"/>
              <w:right w:val="single" w:sz="6" w:space="0" w:color="1F497D"/>
            </w:tcBorders>
            <w:shd w:val="clear" w:color="auto" w:fill="FFFFFF"/>
          </w:tcPr>
          <w:p w:rsidR="0033725C" w:rsidRPr="00451078" w:rsidRDefault="0033725C" w:rsidP="00A73DBD">
            <w:pPr>
              <w:pStyle w:val="TableText"/>
              <w:jc w:val="left"/>
              <w:rPr>
                <w:rFonts w:ascii="Tahoma" w:eastAsia="Calibri" w:hAnsi="Tahoma" w:cs="Tahoma"/>
                <w:sz w:val="18"/>
                <w:szCs w:val="18"/>
                <w:lang w:val="it-IT"/>
              </w:rPr>
            </w:pPr>
            <w:r w:rsidRPr="00451078">
              <w:rPr>
                <w:rFonts w:ascii="Tahoma" w:eastAsia="Calibri" w:hAnsi="Tahoma" w:cs="Tahoma"/>
                <w:sz w:val="18"/>
                <w:szCs w:val="18"/>
                <w:lang w:val="it-IT"/>
              </w:rPr>
              <w:t>Gestione e pubblicazione di feed attività che interessano record delle persone giuridiche standard Dynamics CRM utilizzando client Dynamics CRM</w:t>
            </w:r>
          </w:p>
        </w:tc>
        <w:tc>
          <w:tcPr>
            <w:tcW w:w="972" w:type="dxa"/>
            <w:tcBorders>
              <w:top w:val="single" w:sz="6" w:space="0" w:color="1F497D"/>
              <w:left w:val="single" w:sz="6" w:space="0" w:color="1F497D"/>
              <w:bottom w:val="single" w:sz="6" w:space="0" w:color="1F497D"/>
              <w:right w:val="single" w:sz="6" w:space="0" w:color="1F497D"/>
            </w:tcBorders>
            <w:shd w:val="clear" w:color="auto" w:fill="FFFFFF"/>
          </w:tcPr>
          <w:p w:rsidR="0033725C" w:rsidRPr="00451078" w:rsidRDefault="0033725C" w:rsidP="00A73DBD">
            <w:pPr>
              <w:pStyle w:val="TableText"/>
              <w:rPr>
                <w:rFonts w:eastAsia="Calibri" w:cs="Segoe UI"/>
                <w:b/>
                <w:sz w:val="24"/>
                <w:szCs w:val="24"/>
                <w:lang w:val="it-IT"/>
              </w:rPr>
            </w:pPr>
          </w:p>
        </w:tc>
        <w:tc>
          <w:tcPr>
            <w:tcW w:w="1053" w:type="dxa"/>
            <w:tcBorders>
              <w:top w:val="single" w:sz="6" w:space="0" w:color="1F497D"/>
              <w:left w:val="single" w:sz="6" w:space="0" w:color="1F497D"/>
              <w:bottom w:val="single" w:sz="6" w:space="0" w:color="1F497D"/>
              <w:right w:val="single" w:sz="6" w:space="0" w:color="1F497D"/>
            </w:tcBorders>
            <w:shd w:val="clear" w:color="auto" w:fill="FFFFFF"/>
          </w:tcPr>
          <w:p w:rsidR="0033725C" w:rsidRPr="003410C7" w:rsidRDefault="0033725C" w:rsidP="00A73DBD">
            <w:pPr>
              <w:pStyle w:val="TableText"/>
              <w:rPr>
                <w:rFonts w:eastAsia="Calibri" w:cs="Segoe UI"/>
                <w:b/>
                <w:sz w:val="24"/>
                <w:szCs w:val="24"/>
              </w:rPr>
            </w:pPr>
            <w:r w:rsidRPr="003410C7">
              <w:rPr>
                <w:rFonts w:eastAsia="Calibri" w:cs="Segoe UI"/>
                <w:b/>
                <w:sz w:val="24"/>
                <w:szCs w:val="24"/>
              </w:rPr>
              <w:sym w:font="Wingdings" w:char="00FC"/>
            </w:r>
          </w:p>
        </w:tc>
        <w:tc>
          <w:tcPr>
            <w:tcW w:w="1152" w:type="dxa"/>
            <w:tcBorders>
              <w:top w:val="single" w:sz="6" w:space="0" w:color="1F497D"/>
              <w:left w:val="single" w:sz="6" w:space="0" w:color="1F497D"/>
              <w:bottom w:val="single" w:sz="6" w:space="0" w:color="1F497D"/>
              <w:right w:val="single" w:sz="6" w:space="0" w:color="1F497D"/>
            </w:tcBorders>
            <w:shd w:val="clear" w:color="auto" w:fill="FFFFFF"/>
          </w:tcPr>
          <w:p w:rsidR="0033725C" w:rsidRPr="003410C7" w:rsidRDefault="0033725C" w:rsidP="00A73DBD">
            <w:pPr>
              <w:pStyle w:val="TableText"/>
              <w:rPr>
                <w:rFonts w:eastAsia="Calibri" w:cs="Segoe UI"/>
                <w:b/>
                <w:sz w:val="24"/>
                <w:szCs w:val="24"/>
              </w:rPr>
            </w:pPr>
            <w:r w:rsidRPr="003410C7">
              <w:rPr>
                <w:rFonts w:eastAsia="Calibri" w:cs="Segoe UI"/>
                <w:b/>
                <w:sz w:val="24"/>
                <w:szCs w:val="24"/>
              </w:rPr>
              <w:sym w:font="Wingdings" w:char="00FC"/>
            </w:r>
          </w:p>
        </w:tc>
        <w:tc>
          <w:tcPr>
            <w:tcW w:w="1125" w:type="dxa"/>
            <w:tcBorders>
              <w:top w:val="single" w:sz="6" w:space="0" w:color="1F497D"/>
              <w:left w:val="single" w:sz="6" w:space="0" w:color="1F497D"/>
              <w:bottom w:val="single" w:sz="6" w:space="0" w:color="1F497D"/>
              <w:right w:val="single" w:sz="6" w:space="0" w:color="1F497D"/>
            </w:tcBorders>
            <w:shd w:val="clear" w:color="auto" w:fill="FFFFFF"/>
          </w:tcPr>
          <w:p w:rsidR="0033725C" w:rsidRPr="003410C7" w:rsidRDefault="0033725C" w:rsidP="00A73DBD">
            <w:pPr>
              <w:pStyle w:val="TableText"/>
              <w:rPr>
                <w:rFonts w:eastAsia="Calibri" w:cs="Segoe UI"/>
                <w:b/>
                <w:sz w:val="24"/>
                <w:szCs w:val="24"/>
              </w:rPr>
            </w:pPr>
            <w:r w:rsidRPr="003410C7">
              <w:rPr>
                <w:rFonts w:eastAsia="Calibri" w:cs="Segoe UI"/>
                <w:b/>
                <w:sz w:val="24"/>
                <w:szCs w:val="24"/>
              </w:rPr>
              <w:sym w:font="Wingdings" w:char="00FC"/>
            </w:r>
          </w:p>
        </w:tc>
        <w:tc>
          <w:tcPr>
            <w:tcW w:w="1305" w:type="dxa"/>
            <w:tcBorders>
              <w:top w:val="single" w:sz="6" w:space="0" w:color="1F497D"/>
              <w:left w:val="single" w:sz="6" w:space="0" w:color="1F497D"/>
              <w:bottom w:val="single" w:sz="6" w:space="0" w:color="1F497D"/>
              <w:right w:val="single" w:sz="6" w:space="0" w:color="1F497D"/>
            </w:tcBorders>
            <w:shd w:val="clear" w:color="auto" w:fill="FFFFFF"/>
          </w:tcPr>
          <w:p w:rsidR="0033725C" w:rsidRPr="003410C7" w:rsidRDefault="0033725C" w:rsidP="00A73DBD">
            <w:pPr>
              <w:pStyle w:val="TableText"/>
              <w:rPr>
                <w:rFonts w:eastAsia="Calibri" w:cs="Segoe UI"/>
                <w:b/>
                <w:sz w:val="24"/>
                <w:szCs w:val="24"/>
              </w:rPr>
            </w:pPr>
          </w:p>
        </w:tc>
        <w:tc>
          <w:tcPr>
            <w:tcW w:w="1251" w:type="dxa"/>
            <w:tcBorders>
              <w:top w:val="single" w:sz="6" w:space="0" w:color="1F497D"/>
              <w:left w:val="single" w:sz="6" w:space="0" w:color="1F497D"/>
              <w:bottom w:val="single" w:sz="6" w:space="0" w:color="1F497D"/>
              <w:right w:val="single" w:sz="6" w:space="0" w:color="1F497D"/>
            </w:tcBorders>
            <w:shd w:val="clear" w:color="auto" w:fill="FFFFFF"/>
          </w:tcPr>
          <w:p w:rsidR="0033725C" w:rsidRPr="003410C7" w:rsidRDefault="0033725C" w:rsidP="00A73DBD">
            <w:pPr>
              <w:pStyle w:val="TableText"/>
              <w:rPr>
                <w:rFonts w:eastAsia="Calibri" w:cs="Segoe UI"/>
                <w:b/>
                <w:sz w:val="24"/>
                <w:szCs w:val="24"/>
              </w:rPr>
            </w:pPr>
          </w:p>
        </w:tc>
      </w:tr>
      <w:tr w:rsidR="000C172E" w:rsidRPr="003410C7" w:rsidTr="000C172E">
        <w:tc>
          <w:tcPr>
            <w:tcW w:w="2020" w:type="dxa"/>
            <w:tcBorders>
              <w:top w:val="single" w:sz="6" w:space="0" w:color="1F497D"/>
              <w:left w:val="single" w:sz="4" w:space="0" w:color="072B61"/>
              <w:bottom w:val="single" w:sz="6" w:space="0" w:color="1F497D"/>
              <w:right w:val="single" w:sz="6" w:space="0" w:color="1F497D"/>
            </w:tcBorders>
            <w:shd w:val="clear" w:color="auto" w:fill="FFFFFF"/>
          </w:tcPr>
          <w:p w:rsidR="0033725C" w:rsidRPr="00451078" w:rsidRDefault="0033725C" w:rsidP="00A73DBD">
            <w:pPr>
              <w:pStyle w:val="TableText"/>
              <w:jc w:val="left"/>
              <w:rPr>
                <w:rFonts w:ascii="Tahoma" w:eastAsia="Calibri" w:hAnsi="Tahoma" w:cs="Tahoma"/>
                <w:sz w:val="18"/>
                <w:szCs w:val="18"/>
                <w:lang w:val="it-IT"/>
              </w:rPr>
            </w:pPr>
            <w:r w:rsidRPr="00451078">
              <w:rPr>
                <w:rFonts w:ascii="Tahoma" w:eastAsia="Calibri" w:hAnsi="Tahoma" w:cs="Tahoma"/>
                <w:sz w:val="18"/>
                <w:szCs w:val="18"/>
                <w:lang w:val="it-IT"/>
              </w:rPr>
              <w:t xml:space="preserve">Gestione e pubblicazione di feed </w:t>
            </w:r>
            <w:r w:rsidRPr="00451078">
              <w:rPr>
                <w:rFonts w:ascii="Tahoma" w:eastAsia="Calibri" w:hAnsi="Tahoma" w:cs="Tahoma"/>
                <w:sz w:val="18"/>
                <w:szCs w:val="18"/>
                <w:lang w:val="it-IT"/>
              </w:rPr>
              <w:lastRenderedPageBreak/>
              <w:t>attività che interessano record delle persone giuridiche personalizzati utilizzando client Dynamics CRM</w:t>
            </w:r>
          </w:p>
        </w:tc>
        <w:tc>
          <w:tcPr>
            <w:tcW w:w="972" w:type="dxa"/>
            <w:tcBorders>
              <w:top w:val="single" w:sz="6" w:space="0" w:color="1F497D"/>
              <w:left w:val="single" w:sz="6" w:space="0" w:color="1F497D"/>
              <w:bottom w:val="single" w:sz="6" w:space="0" w:color="1F497D"/>
              <w:right w:val="single" w:sz="6" w:space="0" w:color="1F497D"/>
            </w:tcBorders>
            <w:shd w:val="clear" w:color="auto" w:fill="FFFFFF"/>
          </w:tcPr>
          <w:p w:rsidR="0033725C" w:rsidRPr="00451078" w:rsidRDefault="0033725C" w:rsidP="00A73DBD">
            <w:pPr>
              <w:pStyle w:val="TableText"/>
              <w:rPr>
                <w:rFonts w:eastAsia="Calibri" w:cs="Segoe UI"/>
                <w:b/>
                <w:sz w:val="24"/>
                <w:szCs w:val="24"/>
                <w:lang w:val="it-IT"/>
              </w:rPr>
            </w:pPr>
          </w:p>
        </w:tc>
        <w:tc>
          <w:tcPr>
            <w:tcW w:w="1053" w:type="dxa"/>
            <w:tcBorders>
              <w:top w:val="single" w:sz="6" w:space="0" w:color="1F497D"/>
              <w:left w:val="single" w:sz="6" w:space="0" w:color="1F497D"/>
              <w:bottom w:val="single" w:sz="6" w:space="0" w:color="1F497D"/>
              <w:right w:val="single" w:sz="6" w:space="0" w:color="1F497D"/>
            </w:tcBorders>
            <w:shd w:val="clear" w:color="auto" w:fill="FFFFFF"/>
          </w:tcPr>
          <w:p w:rsidR="0033725C" w:rsidRPr="00451078" w:rsidRDefault="0033725C" w:rsidP="00A73DBD">
            <w:pPr>
              <w:pStyle w:val="TableText"/>
              <w:rPr>
                <w:rFonts w:eastAsia="Calibri" w:cs="Segoe UI"/>
                <w:b/>
                <w:sz w:val="24"/>
                <w:szCs w:val="24"/>
                <w:lang w:val="it-IT"/>
              </w:rPr>
            </w:pPr>
          </w:p>
        </w:tc>
        <w:tc>
          <w:tcPr>
            <w:tcW w:w="1152" w:type="dxa"/>
            <w:tcBorders>
              <w:top w:val="single" w:sz="6" w:space="0" w:color="1F497D"/>
              <w:left w:val="single" w:sz="6" w:space="0" w:color="1F497D"/>
              <w:bottom w:val="single" w:sz="6" w:space="0" w:color="1F497D"/>
              <w:right w:val="single" w:sz="6" w:space="0" w:color="1F497D"/>
            </w:tcBorders>
            <w:shd w:val="clear" w:color="auto" w:fill="FFFFFF"/>
          </w:tcPr>
          <w:p w:rsidR="0033725C" w:rsidRPr="003410C7" w:rsidRDefault="0033725C" w:rsidP="00A73DBD">
            <w:pPr>
              <w:pStyle w:val="TableText"/>
              <w:rPr>
                <w:rFonts w:eastAsia="Calibri" w:cs="Segoe UI"/>
                <w:b/>
                <w:sz w:val="24"/>
                <w:szCs w:val="24"/>
              </w:rPr>
            </w:pPr>
            <w:r w:rsidRPr="003410C7">
              <w:rPr>
                <w:rFonts w:eastAsia="Calibri" w:cs="Segoe UI"/>
                <w:b/>
                <w:sz w:val="24"/>
                <w:szCs w:val="24"/>
              </w:rPr>
              <w:sym w:font="Wingdings" w:char="00FC"/>
            </w:r>
          </w:p>
        </w:tc>
        <w:tc>
          <w:tcPr>
            <w:tcW w:w="1125" w:type="dxa"/>
            <w:tcBorders>
              <w:top w:val="single" w:sz="6" w:space="0" w:color="1F497D"/>
              <w:left w:val="single" w:sz="6" w:space="0" w:color="1F497D"/>
              <w:bottom w:val="single" w:sz="6" w:space="0" w:color="1F497D"/>
              <w:right w:val="single" w:sz="6" w:space="0" w:color="1F497D"/>
            </w:tcBorders>
            <w:shd w:val="clear" w:color="auto" w:fill="FFFFFF"/>
          </w:tcPr>
          <w:p w:rsidR="0033725C" w:rsidRPr="003410C7" w:rsidRDefault="0033725C" w:rsidP="00A73DBD">
            <w:pPr>
              <w:pStyle w:val="TableText"/>
              <w:rPr>
                <w:rFonts w:eastAsia="Calibri" w:cs="Segoe UI"/>
                <w:b/>
                <w:sz w:val="24"/>
                <w:szCs w:val="24"/>
              </w:rPr>
            </w:pPr>
          </w:p>
        </w:tc>
        <w:tc>
          <w:tcPr>
            <w:tcW w:w="1305" w:type="dxa"/>
            <w:tcBorders>
              <w:top w:val="single" w:sz="6" w:space="0" w:color="1F497D"/>
              <w:left w:val="single" w:sz="6" w:space="0" w:color="1F497D"/>
              <w:bottom w:val="single" w:sz="6" w:space="0" w:color="1F497D"/>
              <w:right w:val="single" w:sz="6" w:space="0" w:color="1F497D"/>
            </w:tcBorders>
            <w:shd w:val="clear" w:color="auto" w:fill="FFFFFF"/>
          </w:tcPr>
          <w:p w:rsidR="0033725C" w:rsidRPr="003410C7" w:rsidRDefault="0033725C" w:rsidP="00A73DBD">
            <w:pPr>
              <w:pStyle w:val="TableText"/>
              <w:rPr>
                <w:rFonts w:eastAsia="Calibri" w:cs="Segoe UI"/>
                <w:b/>
                <w:sz w:val="24"/>
                <w:szCs w:val="24"/>
              </w:rPr>
            </w:pPr>
            <w:r w:rsidRPr="003410C7">
              <w:rPr>
                <w:rFonts w:eastAsia="Calibri" w:cs="Segoe UI"/>
                <w:b/>
                <w:sz w:val="24"/>
                <w:szCs w:val="24"/>
              </w:rPr>
              <w:sym w:font="Wingdings" w:char="00FC"/>
            </w:r>
          </w:p>
        </w:tc>
        <w:tc>
          <w:tcPr>
            <w:tcW w:w="1251" w:type="dxa"/>
            <w:tcBorders>
              <w:top w:val="single" w:sz="6" w:space="0" w:color="1F497D"/>
              <w:left w:val="single" w:sz="6" w:space="0" w:color="1F497D"/>
              <w:bottom w:val="single" w:sz="6" w:space="0" w:color="1F497D"/>
              <w:right w:val="single" w:sz="6" w:space="0" w:color="1F497D"/>
            </w:tcBorders>
            <w:shd w:val="clear" w:color="auto" w:fill="FFFFFF"/>
          </w:tcPr>
          <w:p w:rsidR="0033725C" w:rsidRPr="003410C7" w:rsidRDefault="0033725C" w:rsidP="00A73DBD">
            <w:pPr>
              <w:pStyle w:val="TableText"/>
              <w:rPr>
                <w:rFonts w:eastAsia="Calibri" w:cs="Segoe UI"/>
                <w:b/>
                <w:sz w:val="24"/>
                <w:szCs w:val="24"/>
              </w:rPr>
            </w:pPr>
          </w:p>
        </w:tc>
      </w:tr>
      <w:tr w:rsidR="000C172E" w:rsidRPr="003410C7" w:rsidTr="000C172E">
        <w:tc>
          <w:tcPr>
            <w:tcW w:w="2020" w:type="dxa"/>
            <w:tcBorders>
              <w:top w:val="single" w:sz="6" w:space="0" w:color="1F497D"/>
              <w:left w:val="single" w:sz="4" w:space="0" w:color="072B61"/>
              <w:bottom w:val="single" w:sz="6" w:space="0" w:color="1F497D"/>
              <w:right w:val="single" w:sz="6" w:space="0" w:color="1F497D"/>
            </w:tcBorders>
            <w:shd w:val="clear" w:color="auto" w:fill="FFFFFF"/>
          </w:tcPr>
          <w:p w:rsidR="0033725C" w:rsidRPr="00451078" w:rsidRDefault="0033725C" w:rsidP="000B5FBB">
            <w:pPr>
              <w:pStyle w:val="TableText"/>
              <w:jc w:val="left"/>
              <w:rPr>
                <w:rFonts w:ascii="Tahoma" w:eastAsia="Calibri" w:hAnsi="Tahoma" w:cs="Tahoma"/>
                <w:sz w:val="18"/>
                <w:szCs w:val="18"/>
                <w:lang w:val="it-IT"/>
              </w:rPr>
            </w:pPr>
            <w:r w:rsidRPr="00451078">
              <w:rPr>
                <w:rFonts w:ascii="Tahoma" w:eastAsia="Calibri" w:hAnsi="Tahoma" w:cs="Tahoma"/>
                <w:sz w:val="18"/>
                <w:szCs w:val="18"/>
                <w:lang w:val="it-IT"/>
              </w:rPr>
              <w:lastRenderedPageBreak/>
              <w:t>Accesso in Lettura alla funzionalità completa Microsoft Dynamics</w:t>
            </w:r>
            <w:r w:rsidR="000B5FBB" w:rsidRPr="00451078">
              <w:rPr>
                <w:rFonts w:ascii="Tahoma" w:eastAsia="Calibri" w:hAnsi="Tahoma" w:cs="Tahoma"/>
                <w:sz w:val="18"/>
                <w:szCs w:val="18"/>
                <w:lang w:val="it-IT"/>
              </w:rPr>
              <w:t> </w:t>
            </w:r>
            <w:r w:rsidRPr="00451078">
              <w:rPr>
                <w:rFonts w:ascii="Tahoma" w:eastAsia="Calibri" w:hAnsi="Tahoma" w:cs="Tahoma"/>
                <w:sz w:val="18"/>
                <w:szCs w:val="18"/>
                <w:lang w:val="it-IT"/>
              </w:rPr>
              <w:t>CRM</w:t>
            </w:r>
          </w:p>
        </w:tc>
        <w:tc>
          <w:tcPr>
            <w:tcW w:w="972" w:type="dxa"/>
            <w:tcBorders>
              <w:top w:val="single" w:sz="6" w:space="0" w:color="1F497D"/>
              <w:left w:val="single" w:sz="6" w:space="0" w:color="1F497D"/>
              <w:bottom w:val="single" w:sz="6" w:space="0" w:color="1F497D"/>
              <w:right w:val="single" w:sz="6" w:space="0" w:color="1F497D"/>
            </w:tcBorders>
            <w:shd w:val="clear" w:color="auto" w:fill="FFFFFF"/>
          </w:tcPr>
          <w:p w:rsidR="0033725C" w:rsidRPr="00451078" w:rsidRDefault="0033725C" w:rsidP="00A73DBD">
            <w:pPr>
              <w:pStyle w:val="TableText"/>
              <w:rPr>
                <w:rFonts w:eastAsia="Calibri" w:cs="Segoe UI"/>
                <w:b/>
                <w:sz w:val="24"/>
                <w:szCs w:val="24"/>
                <w:lang w:val="it-IT"/>
              </w:rPr>
            </w:pPr>
          </w:p>
        </w:tc>
        <w:tc>
          <w:tcPr>
            <w:tcW w:w="1053" w:type="dxa"/>
            <w:tcBorders>
              <w:top w:val="single" w:sz="6" w:space="0" w:color="1F497D"/>
              <w:left w:val="single" w:sz="6" w:space="0" w:color="1F497D"/>
              <w:bottom w:val="single" w:sz="6" w:space="0" w:color="1F497D"/>
              <w:right w:val="single" w:sz="6" w:space="0" w:color="1F497D"/>
            </w:tcBorders>
            <w:shd w:val="clear" w:color="auto" w:fill="FFFFFF"/>
          </w:tcPr>
          <w:p w:rsidR="0033725C" w:rsidRPr="003410C7" w:rsidRDefault="0033725C" w:rsidP="00A73DBD">
            <w:pPr>
              <w:pStyle w:val="TableText"/>
              <w:rPr>
                <w:rFonts w:eastAsia="Calibri" w:cs="Segoe UI"/>
                <w:b/>
                <w:sz w:val="24"/>
                <w:szCs w:val="24"/>
              </w:rPr>
            </w:pPr>
            <w:r w:rsidRPr="003410C7">
              <w:rPr>
                <w:rFonts w:eastAsia="Calibri" w:cs="Segoe UI"/>
                <w:b/>
                <w:sz w:val="24"/>
                <w:szCs w:val="24"/>
              </w:rPr>
              <w:sym w:font="Wingdings" w:char="00FC"/>
            </w:r>
          </w:p>
        </w:tc>
        <w:tc>
          <w:tcPr>
            <w:tcW w:w="1152" w:type="dxa"/>
            <w:tcBorders>
              <w:top w:val="single" w:sz="6" w:space="0" w:color="1F497D"/>
              <w:left w:val="single" w:sz="6" w:space="0" w:color="1F497D"/>
              <w:bottom w:val="single" w:sz="6" w:space="0" w:color="1F497D"/>
              <w:right w:val="single" w:sz="6" w:space="0" w:color="1F497D"/>
            </w:tcBorders>
            <w:shd w:val="clear" w:color="auto" w:fill="FFFFFF"/>
          </w:tcPr>
          <w:p w:rsidR="0033725C" w:rsidRPr="003410C7" w:rsidRDefault="0033725C" w:rsidP="00A73DBD">
            <w:pPr>
              <w:pStyle w:val="TableText"/>
              <w:rPr>
                <w:rFonts w:eastAsia="Calibri" w:cs="Segoe UI"/>
                <w:b/>
                <w:sz w:val="24"/>
                <w:szCs w:val="24"/>
              </w:rPr>
            </w:pPr>
            <w:r w:rsidRPr="003410C7">
              <w:rPr>
                <w:rFonts w:eastAsia="Calibri" w:cs="Segoe UI"/>
                <w:b/>
                <w:sz w:val="24"/>
                <w:szCs w:val="24"/>
              </w:rPr>
              <w:sym w:font="Wingdings" w:char="00FC"/>
            </w:r>
          </w:p>
        </w:tc>
        <w:tc>
          <w:tcPr>
            <w:tcW w:w="1125" w:type="dxa"/>
            <w:tcBorders>
              <w:top w:val="single" w:sz="6" w:space="0" w:color="1F497D"/>
              <w:left w:val="single" w:sz="6" w:space="0" w:color="1F497D"/>
              <w:bottom w:val="single" w:sz="6" w:space="0" w:color="1F497D"/>
              <w:right w:val="single" w:sz="6" w:space="0" w:color="1F497D"/>
            </w:tcBorders>
            <w:shd w:val="clear" w:color="auto" w:fill="FFFFFF"/>
          </w:tcPr>
          <w:p w:rsidR="0033725C" w:rsidRPr="003410C7" w:rsidRDefault="0033725C" w:rsidP="00A73DBD">
            <w:pPr>
              <w:pStyle w:val="TableText"/>
              <w:rPr>
                <w:rFonts w:eastAsia="Calibri" w:cs="Segoe UI"/>
                <w:b/>
                <w:sz w:val="24"/>
                <w:szCs w:val="24"/>
              </w:rPr>
            </w:pPr>
            <w:r w:rsidRPr="003410C7">
              <w:rPr>
                <w:rFonts w:eastAsia="Calibri" w:cs="Segoe UI"/>
                <w:b/>
                <w:sz w:val="24"/>
                <w:szCs w:val="24"/>
              </w:rPr>
              <w:sym w:font="Wingdings" w:char="00FC"/>
            </w:r>
          </w:p>
        </w:tc>
        <w:tc>
          <w:tcPr>
            <w:tcW w:w="1305" w:type="dxa"/>
            <w:tcBorders>
              <w:top w:val="single" w:sz="6" w:space="0" w:color="1F497D"/>
              <w:left w:val="single" w:sz="6" w:space="0" w:color="1F497D"/>
              <w:bottom w:val="single" w:sz="6" w:space="0" w:color="1F497D"/>
              <w:right w:val="single" w:sz="6" w:space="0" w:color="1F497D"/>
            </w:tcBorders>
            <w:shd w:val="clear" w:color="auto" w:fill="FFFFFF"/>
          </w:tcPr>
          <w:p w:rsidR="0033725C" w:rsidRPr="003410C7" w:rsidRDefault="0033725C" w:rsidP="00A73DBD">
            <w:pPr>
              <w:pStyle w:val="TableText"/>
              <w:rPr>
                <w:rFonts w:eastAsia="Calibri" w:cs="Segoe UI"/>
                <w:b/>
                <w:sz w:val="24"/>
                <w:szCs w:val="24"/>
              </w:rPr>
            </w:pPr>
          </w:p>
        </w:tc>
        <w:tc>
          <w:tcPr>
            <w:tcW w:w="1251" w:type="dxa"/>
            <w:tcBorders>
              <w:top w:val="single" w:sz="6" w:space="0" w:color="1F497D"/>
              <w:left w:val="single" w:sz="6" w:space="0" w:color="1F497D"/>
              <w:bottom w:val="single" w:sz="6" w:space="0" w:color="1F497D"/>
              <w:right w:val="single" w:sz="6" w:space="0" w:color="1F497D"/>
            </w:tcBorders>
            <w:shd w:val="clear" w:color="auto" w:fill="FFFFFF"/>
          </w:tcPr>
          <w:p w:rsidR="0033725C" w:rsidRPr="003410C7" w:rsidRDefault="0033725C" w:rsidP="00A73DBD">
            <w:pPr>
              <w:pStyle w:val="TableText"/>
              <w:rPr>
                <w:rFonts w:eastAsia="Calibri" w:cs="Segoe UI"/>
                <w:b/>
                <w:sz w:val="24"/>
                <w:szCs w:val="24"/>
              </w:rPr>
            </w:pPr>
            <w:r w:rsidRPr="003410C7">
              <w:rPr>
                <w:rFonts w:eastAsia="Calibri" w:cs="Segoe UI"/>
                <w:b/>
                <w:sz w:val="24"/>
                <w:szCs w:val="24"/>
              </w:rPr>
              <w:sym w:font="Wingdings" w:char="00FC"/>
            </w:r>
            <w:r w:rsidRPr="003410C7">
              <w:rPr>
                <w:rFonts w:eastAsia="Calibri" w:cs="Segoe UI"/>
                <w:b/>
                <w:sz w:val="24"/>
                <w:szCs w:val="24"/>
                <w:vertAlign w:val="superscript"/>
              </w:rPr>
              <w:t>4</w:t>
            </w:r>
          </w:p>
        </w:tc>
      </w:tr>
      <w:tr w:rsidR="000C172E" w:rsidRPr="003410C7" w:rsidTr="000C172E">
        <w:tc>
          <w:tcPr>
            <w:tcW w:w="2020" w:type="dxa"/>
            <w:tcBorders>
              <w:top w:val="single" w:sz="6" w:space="0" w:color="1F497D"/>
              <w:left w:val="single" w:sz="4" w:space="0" w:color="072B61"/>
              <w:bottom w:val="single" w:sz="6" w:space="0" w:color="1F497D"/>
              <w:right w:val="single" w:sz="6" w:space="0" w:color="1F497D"/>
            </w:tcBorders>
            <w:shd w:val="clear" w:color="auto" w:fill="FFFFFF"/>
          </w:tcPr>
          <w:p w:rsidR="0033725C" w:rsidRPr="00451078" w:rsidRDefault="0033725C" w:rsidP="000B5FBB">
            <w:pPr>
              <w:pStyle w:val="TableText"/>
              <w:jc w:val="left"/>
              <w:rPr>
                <w:rFonts w:ascii="Tahoma" w:eastAsia="Calibri" w:hAnsi="Tahoma" w:cs="Tahoma"/>
                <w:sz w:val="18"/>
                <w:szCs w:val="18"/>
                <w:lang w:val="it-IT"/>
              </w:rPr>
            </w:pPr>
            <w:r w:rsidRPr="00451078">
              <w:rPr>
                <w:rFonts w:ascii="Tahoma" w:eastAsia="Calibri" w:hAnsi="Tahoma" w:cs="Tahoma"/>
                <w:sz w:val="18"/>
                <w:szCs w:val="18"/>
                <w:lang w:val="it-IT"/>
              </w:rPr>
              <w:t>Accesso in Scrittura alla funzionalità completa Microsoft Dynamics</w:t>
            </w:r>
            <w:r w:rsidR="000B5FBB" w:rsidRPr="00451078">
              <w:rPr>
                <w:rFonts w:ascii="Tahoma" w:eastAsia="Calibri" w:hAnsi="Tahoma" w:cs="Tahoma"/>
                <w:sz w:val="18"/>
                <w:szCs w:val="18"/>
                <w:lang w:val="it-IT"/>
              </w:rPr>
              <w:t> </w:t>
            </w:r>
            <w:r w:rsidRPr="00451078">
              <w:rPr>
                <w:rFonts w:ascii="Tahoma" w:eastAsia="Calibri" w:hAnsi="Tahoma" w:cs="Tahoma"/>
                <w:sz w:val="18"/>
                <w:szCs w:val="18"/>
                <w:lang w:val="it-IT"/>
              </w:rPr>
              <w:t>CRM</w:t>
            </w:r>
          </w:p>
        </w:tc>
        <w:tc>
          <w:tcPr>
            <w:tcW w:w="972" w:type="dxa"/>
            <w:tcBorders>
              <w:top w:val="single" w:sz="6" w:space="0" w:color="1F497D"/>
              <w:left w:val="single" w:sz="6" w:space="0" w:color="1F497D"/>
              <w:bottom w:val="single" w:sz="6" w:space="0" w:color="1F497D"/>
              <w:right w:val="single" w:sz="6" w:space="0" w:color="1F497D"/>
            </w:tcBorders>
            <w:shd w:val="clear" w:color="auto" w:fill="FFFFFF"/>
          </w:tcPr>
          <w:p w:rsidR="0033725C" w:rsidRPr="00451078" w:rsidRDefault="0033725C" w:rsidP="00A73DBD">
            <w:pPr>
              <w:pStyle w:val="TableText"/>
              <w:rPr>
                <w:rFonts w:eastAsia="Calibri" w:cs="Segoe UI"/>
                <w:b/>
                <w:sz w:val="24"/>
                <w:szCs w:val="24"/>
                <w:lang w:val="it-IT"/>
              </w:rPr>
            </w:pPr>
          </w:p>
        </w:tc>
        <w:tc>
          <w:tcPr>
            <w:tcW w:w="1053" w:type="dxa"/>
            <w:tcBorders>
              <w:top w:val="single" w:sz="6" w:space="0" w:color="1F497D"/>
              <w:left w:val="single" w:sz="6" w:space="0" w:color="1F497D"/>
              <w:bottom w:val="single" w:sz="6" w:space="0" w:color="1F497D"/>
              <w:right w:val="single" w:sz="6" w:space="0" w:color="1F497D"/>
            </w:tcBorders>
            <w:shd w:val="clear" w:color="auto" w:fill="FFFFFF"/>
          </w:tcPr>
          <w:p w:rsidR="0033725C" w:rsidRPr="00451078" w:rsidRDefault="0033725C" w:rsidP="00A73DBD">
            <w:pPr>
              <w:pStyle w:val="TableText"/>
              <w:rPr>
                <w:rFonts w:eastAsia="Calibri" w:cs="Segoe UI"/>
                <w:b/>
                <w:sz w:val="24"/>
                <w:szCs w:val="24"/>
                <w:lang w:val="it-IT"/>
              </w:rPr>
            </w:pPr>
          </w:p>
        </w:tc>
        <w:tc>
          <w:tcPr>
            <w:tcW w:w="1152" w:type="dxa"/>
            <w:tcBorders>
              <w:top w:val="single" w:sz="6" w:space="0" w:color="1F497D"/>
              <w:left w:val="single" w:sz="6" w:space="0" w:color="1F497D"/>
              <w:bottom w:val="single" w:sz="6" w:space="0" w:color="1F497D"/>
              <w:right w:val="single" w:sz="6" w:space="0" w:color="1F497D"/>
            </w:tcBorders>
            <w:shd w:val="clear" w:color="auto" w:fill="FFFFFF"/>
          </w:tcPr>
          <w:p w:rsidR="0033725C" w:rsidRPr="003410C7" w:rsidRDefault="0033725C" w:rsidP="00A73DBD">
            <w:pPr>
              <w:pStyle w:val="TableText"/>
              <w:rPr>
                <w:rFonts w:eastAsia="Calibri" w:cs="Segoe UI"/>
                <w:b/>
                <w:sz w:val="24"/>
                <w:szCs w:val="24"/>
              </w:rPr>
            </w:pPr>
            <w:r w:rsidRPr="003410C7">
              <w:rPr>
                <w:rFonts w:eastAsia="Calibri" w:cs="Segoe UI"/>
                <w:b/>
                <w:sz w:val="24"/>
                <w:szCs w:val="24"/>
              </w:rPr>
              <w:sym w:font="Wingdings" w:char="00FC"/>
            </w:r>
          </w:p>
        </w:tc>
        <w:tc>
          <w:tcPr>
            <w:tcW w:w="1125" w:type="dxa"/>
            <w:tcBorders>
              <w:top w:val="single" w:sz="6" w:space="0" w:color="1F497D"/>
              <w:left w:val="single" w:sz="6" w:space="0" w:color="1F497D"/>
              <w:bottom w:val="single" w:sz="6" w:space="0" w:color="1F497D"/>
              <w:right w:val="single" w:sz="6" w:space="0" w:color="1F497D"/>
            </w:tcBorders>
            <w:shd w:val="clear" w:color="auto" w:fill="FFFFFF"/>
          </w:tcPr>
          <w:p w:rsidR="0033725C" w:rsidRPr="003410C7" w:rsidRDefault="0033725C" w:rsidP="00A73DBD">
            <w:pPr>
              <w:pStyle w:val="TableText"/>
              <w:rPr>
                <w:rFonts w:eastAsia="Calibri" w:cs="Segoe UI"/>
                <w:b/>
                <w:sz w:val="24"/>
                <w:szCs w:val="24"/>
              </w:rPr>
            </w:pPr>
          </w:p>
        </w:tc>
        <w:tc>
          <w:tcPr>
            <w:tcW w:w="1305" w:type="dxa"/>
            <w:tcBorders>
              <w:top w:val="single" w:sz="6" w:space="0" w:color="1F497D"/>
              <w:left w:val="single" w:sz="6" w:space="0" w:color="1F497D"/>
              <w:bottom w:val="single" w:sz="6" w:space="0" w:color="1F497D"/>
              <w:right w:val="single" w:sz="6" w:space="0" w:color="1F497D"/>
            </w:tcBorders>
            <w:shd w:val="clear" w:color="auto" w:fill="FFFFFF"/>
          </w:tcPr>
          <w:p w:rsidR="0033725C" w:rsidRPr="003410C7" w:rsidRDefault="0033725C" w:rsidP="00A73DBD">
            <w:pPr>
              <w:pStyle w:val="TableText"/>
              <w:rPr>
                <w:rFonts w:eastAsia="Calibri" w:cs="Segoe UI"/>
                <w:b/>
                <w:sz w:val="24"/>
                <w:szCs w:val="24"/>
              </w:rPr>
            </w:pPr>
            <w:r w:rsidRPr="003410C7">
              <w:rPr>
                <w:rFonts w:eastAsia="Calibri" w:cs="Segoe UI"/>
                <w:b/>
                <w:sz w:val="24"/>
                <w:szCs w:val="24"/>
              </w:rPr>
              <w:sym w:font="Wingdings" w:char="00FC"/>
            </w:r>
          </w:p>
        </w:tc>
        <w:tc>
          <w:tcPr>
            <w:tcW w:w="1251" w:type="dxa"/>
            <w:tcBorders>
              <w:top w:val="single" w:sz="6" w:space="0" w:color="1F497D"/>
              <w:left w:val="single" w:sz="6" w:space="0" w:color="1F497D"/>
              <w:bottom w:val="single" w:sz="6" w:space="0" w:color="1F497D"/>
              <w:right w:val="single" w:sz="6" w:space="0" w:color="1F497D"/>
            </w:tcBorders>
            <w:shd w:val="clear" w:color="auto" w:fill="FFFFFF"/>
          </w:tcPr>
          <w:p w:rsidR="0033725C" w:rsidRPr="003410C7" w:rsidRDefault="0033725C" w:rsidP="00A73DBD">
            <w:pPr>
              <w:pStyle w:val="TableText"/>
              <w:rPr>
                <w:rFonts w:eastAsia="Calibri" w:cs="Segoe UI"/>
                <w:b/>
                <w:sz w:val="24"/>
                <w:szCs w:val="24"/>
              </w:rPr>
            </w:pPr>
            <w:r w:rsidRPr="003410C7">
              <w:rPr>
                <w:rFonts w:eastAsia="Calibri" w:cs="Segoe UI"/>
                <w:b/>
                <w:sz w:val="24"/>
                <w:szCs w:val="24"/>
              </w:rPr>
              <w:sym w:font="Wingdings" w:char="00FC"/>
            </w:r>
            <w:r w:rsidRPr="003410C7">
              <w:rPr>
                <w:rFonts w:eastAsia="Calibri" w:cs="Segoe UI"/>
                <w:b/>
                <w:sz w:val="24"/>
                <w:szCs w:val="24"/>
                <w:vertAlign w:val="superscript"/>
              </w:rPr>
              <w:t>4</w:t>
            </w:r>
          </w:p>
        </w:tc>
      </w:tr>
      <w:tr w:rsidR="0033725C" w:rsidRPr="00DC1102" w:rsidTr="00CA14C9">
        <w:tc>
          <w:tcPr>
            <w:tcW w:w="8878" w:type="dxa"/>
            <w:gridSpan w:val="7"/>
            <w:tcBorders>
              <w:top w:val="single" w:sz="6" w:space="0" w:color="1F497D"/>
              <w:left w:val="single" w:sz="4" w:space="0" w:color="072B61"/>
              <w:bottom w:val="single" w:sz="6" w:space="0" w:color="1F497D"/>
              <w:right w:val="single" w:sz="6" w:space="0" w:color="1F497D"/>
            </w:tcBorders>
            <w:shd w:val="clear" w:color="auto" w:fill="FFFFFF"/>
          </w:tcPr>
          <w:p w:rsidR="0033725C" w:rsidRPr="000B5FBB" w:rsidRDefault="0033725C" w:rsidP="00A73DBD">
            <w:pPr>
              <w:pStyle w:val="TableText"/>
              <w:jc w:val="left"/>
              <w:rPr>
                <w:sz w:val="14"/>
                <w:szCs w:val="14"/>
              </w:rPr>
            </w:pPr>
            <w:r w:rsidRPr="000B5FBB">
              <w:rPr>
                <w:rFonts w:ascii="Tahoma" w:eastAsia="Calibri" w:hAnsi="Tahoma" w:cs="Tahoma"/>
                <w:i/>
                <w:sz w:val="14"/>
                <w:szCs w:val="14"/>
              </w:rPr>
              <w:t>(1) Client Web Microsoft Dynamics CRM, client Microsoft Dynamics CRM per Microsoft Outlook e Mobile Express per Microsoft Dynamics CRM.</w:t>
            </w:r>
          </w:p>
          <w:p w:rsidR="0033725C" w:rsidRPr="00451078" w:rsidRDefault="0033725C" w:rsidP="00A73DBD">
            <w:pPr>
              <w:pStyle w:val="TableText"/>
              <w:jc w:val="left"/>
              <w:rPr>
                <w:sz w:val="14"/>
                <w:szCs w:val="14"/>
                <w:lang w:val="it-IT"/>
              </w:rPr>
            </w:pPr>
            <w:r w:rsidRPr="00451078">
              <w:rPr>
                <w:rFonts w:ascii="Tahoma" w:eastAsia="Calibri" w:hAnsi="Tahoma" w:cs="Tahoma"/>
                <w:i/>
                <w:sz w:val="14"/>
                <w:szCs w:val="14"/>
                <w:lang w:val="it-IT"/>
              </w:rPr>
              <w:t>(2) Privilegi applicabili solo ai record creati dallo stesso utente.</w:t>
            </w:r>
          </w:p>
          <w:p w:rsidR="0033725C" w:rsidRPr="00451078" w:rsidRDefault="0033725C" w:rsidP="00A73DBD">
            <w:pPr>
              <w:pStyle w:val="TableText"/>
              <w:jc w:val="left"/>
              <w:rPr>
                <w:sz w:val="14"/>
                <w:szCs w:val="14"/>
                <w:lang w:val="it-IT"/>
              </w:rPr>
            </w:pPr>
            <w:r w:rsidRPr="00451078">
              <w:rPr>
                <w:rFonts w:ascii="Tahoma" w:eastAsia="Calibri" w:hAnsi="Tahoma" w:cs="Tahoma"/>
                <w:i/>
                <w:sz w:val="14"/>
                <w:szCs w:val="14"/>
                <w:lang w:val="it-IT"/>
              </w:rPr>
              <w:t>(3) Privilegi applicabili SOLO alle attività personalizzate.</w:t>
            </w:r>
          </w:p>
          <w:p w:rsidR="0033725C" w:rsidRPr="00451078" w:rsidRDefault="0033725C" w:rsidP="00A73DBD">
            <w:pPr>
              <w:rPr>
                <w:sz w:val="14"/>
                <w:szCs w:val="14"/>
                <w:lang w:val="it-IT"/>
              </w:rPr>
            </w:pPr>
            <w:r w:rsidRPr="00451078">
              <w:rPr>
                <w:rFonts w:eastAsia="Calibri" w:cs="Segoe UI"/>
                <w:i/>
                <w:sz w:val="14"/>
                <w:szCs w:val="14"/>
                <w:lang w:val="it-IT"/>
              </w:rPr>
              <w:t xml:space="preserve">(4) Privilegi per creare record, </w:t>
            </w:r>
            <w:r w:rsidRPr="00451078">
              <w:rPr>
                <w:rFonts w:eastAsia="Calibri"/>
                <w:bCs/>
                <w:i/>
                <w:sz w:val="14"/>
                <w:szCs w:val="14"/>
                <w:lang w:val="it-IT"/>
              </w:rPr>
              <w:t>aggiungere, aggiungere a e aggiornare</w:t>
            </w:r>
            <w:r w:rsidRPr="00451078">
              <w:rPr>
                <w:rFonts w:eastAsia="Calibri"/>
                <w:i/>
                <w:sz w:val="14"/>
                <w:szCs w:val="14"/>
                <w:lang w:val="it-IT"/>
              </w:rPr>
              <w:t xml:space="preserve"> </w:t>
            </w:r>
            <w:r w:rsidRPr="00451078">
              <w:rPr>
                <w:rFonts w:eastAsia="Calibri"/>
                <w:bCs/>
                <w:i/>
                <w:sz w:val="14"/>
                <w:szCs w:val="14"/>
                <w:lang w:val="it-IT"/>
              </w:rPr>
              <w:t xml:space="preserve">record creati da utenti CRM. </w:t>
            </w:r>
            <w:r w:rsidRPr="00451078">
              <w:rPr>
                <w:rFonts w:eastAsia="Calibri"/>
                <w:bCs/>
                <w:i/>
                <w:sz w:val="14"/>
                <w:szCs w:val="14"/>
                <w:u w:val="single"/>
                <w:lang w:val="it-IT"/>
              </w:rPr>
              <w:t>Nessun privilegio di dati</w:t>
            </w:r>
            <w:r w:rsidRPr="00451078">
              <w:rPr>
                <w:rFonts w:eastAsia="Calibri"/>
                <w:i/>
                <w:sz w:val="14"/>
                <w:szCs w:val="14"/>
                <w:lang w:val="it-IT"/>
              </w:rPr>
              <w:t xml:space="preserve"> per </w:t>
            </w:r>
            <w:r w:rsidRPr="00451078">
              <w:rPr>
                <w:rFonts w:eastAsia="Calibri"/>
                <w:bCs/>
                <w:i/>
                <w:sz w:val="14"/>
                <w:szCs w:val="14"/>
                <w:lang w:val="it-IT"/>
              </w:rPr>
              <w:t>cedere, condividere o eliminare</w:t>
            </w:r>
            <w:r w:rsidRPr="00451078">
              <w:rPr>
                <w:rFonts w:eastAsia="Calibri"/>
                <w:i/>
                <w:sz w:val="14"/>
                <w:szCs w:val="14"/>
                <w:lang w:val="it-IT"/>
              </w:rPr>
              <w:t xml:space="preserve"> record. </w:t>
            </w:r>
            <w:r w:rsidRPr="00451078">
              <w:rPr>
                <w:rFonts w:eastAsia="Calibri"/>
                <w:bCs/>
                <w:i/>
                <w:sz w:val="14"/>
                <w:szCs w:val="14"/>
                <w:lang w:val="it-IT"/>
              </w:rPr>
              <w:t>Solo accesso alle API.</w:t>
            </w:r>
          </w:p>
          <w:p w:rsidR="0033725C" w:rsidRPr="00451078" w:rsidRDefault="0033725C" w:rsidP="00A73DBD">
            <w:pPr>
              <w:rPr>
                <w:rFonts w:eastAsia="Calibri"/>
                <w:b/>
                <w:bCs/>
                <w:szCs w:val="18"/>
                <w:lang w:val="it-IT"/>
              </w:rPr>
            </w:pPr>
            <w:r w:rsidRPr="00451078">
              <w:rPr>
                <w:rFonts w:eastAsia="Calibri" w:cs="Segoe UI"/>
                <w:i/>
                <w:sz w:val="14"/>
                <w:szCs w:val="18"/>
                <w:lang w:val="it-IT"/>
              </w:rPr>
              <w:t xml:space="preserve">(5) </w:t>
            </w:r>
            <w:r w:rsidRPr="00451078">
              <w:rPr>
                <w:rFonts w:eastAsia="Calibri"/>
                <w:i/>
                <w:sz w:val="14"/>
                <w:lang w:val="it-IT"/>
              </w:rPr>
              <w:t>Solo Account, Contatti, Casi, Lead, Attività e Record delle persone giuridiche personalizzati.</w:t>
            </w:r>
            <w:r w:rsidRPr="00451078">
              <w:rPr>
                <w:rFonts w:eastAsia="Calibri" w:cs="Segoe UI"/>
                <w:b/>
                <w:sz w:val="14"/>
                <w:szCs w:val="18"/>
                <w:lang w:val="it-IT"/>
              </w:rPr>
              <w:t xml:space="preserve"> </w:t>
            </w:r>
          </w:p>
        </w:tc>
      </w:tr>
    </w:tbl>
    <w:p w:rsidR="0033725C" w:rsidRPr="00451078" w:rsidRDefault="0033725C" w:rsidP="00D47417">
      <w:pPr>
        <w:ind w:left="540"/>
        <w:rPr>
          <w:lang w:val="it-IT"/>
        </w:rPr>
      </w:pPr>
    </w:p>
    <w:p w:rsidR="00BF7FDE" w:rsidRPr="00451078" w:rsidRDefault="0033725C" w:rsidP="007B699C">
      <w:pPr>
        <w:ind w:left="720"/>
        <w:rPr>
          <w:lang w:val="it-IT"/>
        </w:rPr>
      </w:pPr>
      <w:r w:rsidRPr="00451078">
        <w:rPr>
          <w:lang w:val="it-IT"/>
        </w:rPr>
        <w:t>Fare riferimento alla guida sui prezzi e le licenze di Microsoft Dynamics CRM 2011 per ulteriori informazioni sulle licenze Microsoft Dynamics CRM.</w:t>
      </w:r>
      <w:bookmarkStart w:id="1330" w:name="_69_Office_365"/>
      <w:bookmarkStart w:id="1331" w:name="_69_68_Office"/>
      <w:bookmarkEnd w:id="1330"/>
      <w:bookmarkEnd w:id="1331"/>
    </w:p>
    <w:p w:rsidR="00A47403" w:rsidRPr="00451078" w:rsidRDefault="00A47403" w:rsidP="007B699C">
      <w:pPr>
        <w:ind w:left="720"/>
        <w:rPr>
          <w:lang w:val="it-IT"/>
        </w:rPr>
      </w:pPr>
    </w:p>
    <w:p w:rsidR="00A04495" w:rsidRPr="00451078" w:rsidRDefault="00A04495" w:rsidP="007B699C">
      <w:pPr>
        <w:spacing w:after="60"/>
        <w:ind w:left="720"/>
        <w:rPr>
          <w:lang w:val="it-IT"/>
        </w:rPr>
      </w:pPr>
      <w:bookmarkStart w:id="1332" w:name="_71_Office_365_1"/>
      <w:bookmarkStart w:id="1333" w:name="Srv_70Office365PlanE1"/>
      <w:bookmarkEnd w:id="1332"/>
      <w:r w:rsidRPr="00451078">
        <w:rPr>
          <w:rFonts w:cs="Tahoma"/>
          <w:b/>
          <w:bCs/>
          <w:color w:val="000000"/>
          <w:szCs w:val="20"/>
          <w:lang w:val="it-IT"/>
        </w:rPr>
        <w:t>Licenza per il Sito degli Esami per la Certificazione MOS (Microsoft Office Specialist)</w:t>
      </w:r>
    </w:p>
    <w:p w:rsidR="00A04495" w:rsidRPr="00451078" w:rsidRDefault="00A04495" w:rsidP="007B699C">
      <w:pPr>
        <w:ind w:left="720"/>
        <w:rPr>
          <w:lang w:val="it-IT"/>
        </w:rPr>
      </w:pPr>
      <w:r w:rsidRPr="00451078">
        <w:rPr>
          <w:rFonts w:cs="Tahoma"/>
          <w:lang w:val="it-IT"/>
        </w:rPr>
        <w:t>Alla società verrà chiesto di fungere da centro di test autorizzato Certiport per poter utilizzare la licenza per</w:t>
      </w:r>
      <w:r w:rsidR="000B5FBB" w:rsidRPr="00451078">
        <w:rPr>
          <w:rFonts w:cs="Tahoma"/>
          <w:lang w:val="it-IT"/>
        </w:rPr>
        <w:t> </w:t>
      </w:r>
      <w:r w:rsidRPr="00451078">
        <w:rPr>
          <w:rFonts w:cs="Tahoma"/>
          <w:lang w:val="it-IT"/>
        </w:rPr>
        <w:t>il sito.</w:t>
      </w:r>
      <w:r w:rsidR="00082E1C" w:rsidRPr="00451078">
        <w:rPr>
          <w:rFonts w:cs="Tahoma"/>
          <w:lang w:val="it-IT"/>
        </w:rPr>
        <w:t xml:space="preserve"> </w:t>
      </w:r>
      <w:r w:rsidRPr="00451078">
        <w:rPr>
          <w:rFonts w:cs="Tahoma"/>
          <w:lang w:val="it-IT"/>
        </w:rPr>
        <w:t xml:space="preserve">Qualora la società non sia un centro di test Certiport autorizzato, dovrà attenersi alla seguente procedura per </w:t>
      </w:r>
      <w:hyperlink r:id="rId56" w:history="1">
        <w:r w:rsidRPr="00451078">
          <w:rPr>
            <w:rStyle w:val="Hyperlink"/>
            <w:rFonts w:cs="Tahoma"/>
            <w:lang w:val="it-IT"/>
          </w:rPr>
          <w:t>diventare un centro di test Certiport</w:t>
        </w:r>
      </w:hyperlink>
      <w:r w:rsidRPr="00451078">
        <w:rPr>
          <w:rFonts w:cs="Tahoma"/>
          <w:lang w:val="it-IT"/>
        </w:rPr>
        <w:t xml:space="preserve"> prima di poter utilizzare la licenza per il sito</w:t>
      </w:r>
      <w:r w:rsidRPr="00451078">
        <w:rPr>
          <w:rFonts w:cs="Tahoma"/>
          <w:color w:val="1F497D"/>
          <w:lang w:val="it-IT"/>
        </w:rPr>
        <w:t>.</w:t>
      </w:r>
    </w:p>
    <w:p w:rsidR="00A04495" w:rsidRPr="00451078" w:rsidRDefault="00A04495" w:rsidP="007B699C">
      <w:pPr>
        <w:ind w:left="720"/>
        <w:rPr>
          <w:lang w:val="it-IT"/>
        </w:rPr>
      </w:pPr>
    </w:p>
    <w:p w:rsidR="00A04495" w:rsidRPr="00451078" w:rsidRDefault="00A04495" w:rsidP="007B699C">
      <w:pPr>
        <w:spacing w:after="60"/>
        <w:ind w:left="720"/>
        <w:rPr>
          <w:lang w:val="it-IT"/>
        </w:rPr>
      </w:pPr>
      <w:r w:rsidRPr="00451078">
        <w:rPr>
          <w:rFonts w:cs="Tahoma"/>
          <w:b/>
          <w:lang w:val="it-IT"/>
        </w:rPr>
        <w:t>Licenza per il Sito degli Esami per la Certificazione MTA (Microsoft Technology Associate)</w:t>
      </w:r>
    </w:p>
    <w:p w:rsidR="00A04495" w:rsidRPr="00451078" w:rsidRDefault="00A04495" w:rsidP="007B699C">
      <w:pPr>
        <w:ind w:left="720"/>
        <w:rPr>
          <w:lang w:val="it-IT"/>
        </w:rPr>
      </w:pPr>
      <w:r w:rsidRPr="00451078">
        <w:rPr>
          <w:rFonts w:cs="Tahoma"/>
          <w:lang w:val="it-IT"/>
        </w:rPr>
        <w:t>Alla società verrà chiesto di fungere da centro di test autorizzato Certiport per poter utilizzare la licenza per</w:t>
      </w:r>
      <w:r w:rsidR="000B5FBB" w:rsidRPr="00451078">
        <w:rPr>
          <w:rFonts w:cs="Tahoma"/>
          <w:lang w:val="it-IT"/>
        </w:rPr>
        <w:t> </w:t>
      </w:r>
      <w:r w:rsidRPr="00451078">
        <w:rPr>
          <w:rFonts w:cs="Tahoma"/>
          <w:lang w:val="it-IT"/>
        </w:rPr>
        <w:t>il sito.</w:t>
      </w:r>
      <w:r w:rsidR="00082E1C" w:rsidRPr="00451078">
        <w:rPr>
          <w:rFonts w:cs="Tahoma"/>
          <w:lang w:val="it-IT"/>
        </w:rPr>
        <w:t xml:space="preserve"> </w:t>
      </w:r>
      <w:r w:rsidRPr="00451078">
        <w:rPr>
          <w:rFonts w:cs="Tahoma"/>
          <w:lang w:val="it-IT"/>
        </w:rPr>
        <w:t xml:space="preserve">Qualora la società non sia un centro di test Certiport autorizzato, dovrà attenersi alla seguente procedura per </w:t>
      </w:r>
      <w:hyperlink r:id="rId57" w:history="1">
        <w:r w:rsidRPr="00451078">
          <w:rPr>
            <w:rStyle w:val="Hyperlink"/>
            <w:rFonts w:cs="Tahoma"/>
            <w:lang w:val="it-IT"/>
          </w:rPr>
          <w:t>diventare un centro di test Certiport</w:t>
        </w:r>
      </w:hyperlink>
      <w:bookmarkStart w:id="1334" w:name="_Toc336338329"/>
      <w:r w:rsidRPr="00451078">
        <w:rPr>
          <w:rFonts w:cs="Tahoma"/>
          <w:lang w:val="it-IT"/>
        </w:rPr>
        <w:t xml:space="preserve"> prima di poter </w:t>
      </w:r>
      <w:r w:rsidRPr="00451078">
        <w:rPr>
          <w:rFonts w:cs="Tahoma"/>
          <w:color w:val="1F497D"/>
          <w:u w:val="single"/>
          <w:lang w:val="it-IT"/>
        </w:rPr>
        <w:t>acquistare e</w:t>
      </w:r>
      <w:r w:rsidRPr="00451078">
        <w:rPr>
          <w:rFonts w:cs="Tahoma"/>
          <w:color w:val="1F497D"/>
          <w:lang w:val="it-IT"/>
        </w:rPr>
        <w:t xml:space="preserve"> </w:t>
      </w:r>
      <w:r w:rsidRPr="00451078">
        <w:rPr>
          <w:rFonts w:cs="Tahoma"/>
          <w:lang w:val="it-IT"/>
        </w:rPr>
        <w:t>utilizzare la licenza per il sito</w:t>
      </w:r>
      <w:r w:rsidRPr="00451078">
        <w:rPr>
          <w:rFonts w:cs="Tahoma"/>
          <w:color w:val="1F497D"/>
          <w:lang w:val="it-IT"/>
        </w:rPr>
        <w:t>.</w:t>
      </w:r>
    </w:p>
    <w:p w:rsidR="006E28CC" w:rsidRPr="00451078" w:rsidRDefault="006E28CC" w:rsidP="006D6A83">
      <w:pPr>
        <w:rPr>
          <w:lang w:val="it-IT"/>
        </w:rPr>
      </w:pPr>
    </w:p>
    <w:p w:rsidR="006E28CC" w:rsidRPr="00451078" w:rsidRDefault="006E28CC" w:rsidP="006D6A83">
      <w:pPr>
        <w:rPr>
          <w:lang w:val="it-IT"/>
        </w:rPr>
      </w:pPr>
    </w:p>
    <w:p w:rsidR="006E28CC" w:rsidRPr="00451078" w:rsidRDefault="0099402E" w:rsidP="009C5D30">
      <w:pPr>
        <w:pStyle w:val="Heading2"/>
        <w:ind w:left="0"/>
        <w:rPr>
          <w:lang w:val="it-IT"/>
        </w:rPr>
      </w:pPr>
      <w:bookmarkStart w:id="1335" w:name="_66_Microsoft_Dynamics"/>
      <w:bookmarkStart w:id="1336" w:name="_Toc352234920"/>
      <w:bookmarkEnd w:id="1335"/>
      <w:r w:rsidRPr="00451078">
        <w:rPr>
          <w:rFonts w:ascii="Tahoma" w:hAnsi="Tahoma" w:cs="Tahoma"/>
          <w:caps/>
          <w:color w:val="FF6600"/>
          <w:sz w:val="22"/>
          <w:szCs w:val="22"/>
          <w:vertAlign w:val="superscript"/>
          <w:lang w:val="it-IT"/>
        </w:rPr>
        <w:t xml:space="preserve">67 </w:t>
      </w:r>
      <w:r w:rsidRPr="00451078">
        <w:rPr>
          <w:rFonts w:ascii="Tahoma" w:hAnsi="Tahoma" w:cs="Tahoma"/>
          <w:color w:val="FF6600"/>
          <w:sz w:val="22"/>
          <w:szCs w:val="22"/>
          <w:lang w:val="it-IT"/>
        </w:rPr>
        <w:t>Microsoft Dynamics CRM 2011 Server</w:t>
      </w:r>
      <w:bookmarkEnd w:id="1336"/>
    </w:p>
    <w:p w:rsidR="006E28CC" w:rsidRPr="00451078" w:rsidRDefault="006E28CC" w:rsidP="006E28CC">
      <w:pPr>
        <w:tabs>
          <w:tab w:val="left" w:pos="1800"/>
        </w:tabs>
        <w:spacing w:after="60"/>
        <w:rPr>
          <w:lang w:val="it-IT"/>
        </w:rPr>
      </w:pPr>
    </w:p>
    <w:p w:rsidR="006E28CC" w:rsidRPr="00451078" w:rsidRDefault="006E28CC" w:rsidP="009C5D30">
      <w:pPr>
        <w:spacing w:after="60"/>
        <w:ind w:left="720"/>
        <w:rPr>
          <w:lang w:val="it-IT"/>
        </w:rPr>
      </w:pPr>
      <w:r w:rsidRPr="00451078">
        <w:rPr>
          <w:b/>
          <w:lang w:val="it-IT"/>
        </w:rPr>
        <w:t>Microsoft Dynamics CRM Server 2011 - Microsoft Dynamics Marketing Online Integration Grant</w:t>
      </w:r>
    </w:p>
    <w:p w:rsidR="00A04495" w:rsidRPr="00451078" w:rsidRDefault="006E28CC" w:rsidP="0004051B">
      <w:pPr>
        <w:ind w:left="720"/>
        <w:rPr>
          <w:lang w:val="it-IT"/>
        </w:rPr>
      </w:pPr>
      <w:r w:rsidRPr="00451078">
        <w:rPr>
          <w:rFonts w:eastAsia="Calibri" w:cs="Tahoma"/>
          <w:color w:val="000000"/>
          <w:szCs w:val="18"/>
          <w:lang w:val="it-IT"/>
        </w:rPr>
        <w:t>La rinuncia di licenza che segue si applica agli utenti in possesso della licenza per Microsoft Dynamics Marketing Online con l</w:t>
      </w:r>
      <w:r w:rsidR="0073727D">
        <w:rPr>
          <w:rFonts w:eastAsia="Calibri" w:cs="Tahoma"/>
          <w:color w:val="000000"/>
          <w:szCs w:val="18"/>
          <w:lang w:val="it-IT"/>
        </w:rPr>
        <w:t>’</w:t>
      </w:r>
      <w:r w:rsidRPr="00451078">
        <w:rPr>
          <w:rFonts w:eastAsia="Calibri" w:cs="Tahoma"/>
          <w:color w:val="000000"/>
          <w:szCs w:val="18"/>
          <w:lang w:val="it-IT"/>
        </w:rPr>
        <w:t xml:space="preserve">opzione Maintenance Support and Upgrade attiva che accedono al servizio Microsoft Dynamics CRM Server 2011 direttamente o indirettamente tramite il Software </w:t>
      </w:r>
      <w:r w:rsidRPr="00451078">
        <w:rPr>
          <w:bCs/>
          <w:lang w:val="it-IT"/>
        </w:rPr>
        <w:t>MarketingPilot Connector per Microsoft Dynamics CRM</w:t>
      </w:r>
      <w:r w:rsidRPr="00451078">
        <w:rPr>
          <w:rFonts w:eastAsia="Calibri" w:cs="Tahoma"/>
          <w:color w:val="000000"/>
          <w:szCs w:val="18"/>
          <w:lang w:val="it-IT"/>
        </w:rPr>
        <w:t xml:space="preserve"> al solo scopo di sincronizzare i dati della società.</w:t>
      </w:r>
      <w:r w:rsidR="00082E1C" w:rsidRPr="00451078">
        <w:rPr>
          <w:rFonts w:eastAsia="Calibri" w:cs="Tahoma"/>
          <w:color w:val="000000"/>
          <w:szCs w:val="18"/>
          <w:lang w:val="it-IT"/>
        </w:rPr>
        <w:t xml:space="preserve"> </w:t>
      </w:r>
      <w:r w:rsidRPr="00451078">
        <w:rPr>
          <w:rFonts w:eastAsia="Calibri" w:cs="Tahoma"/>
          <w:color w:val="000000"/>
          <w:szCs w:val="18"/>
          <w:lang w:val="it-IT"/>
        </w:rPr>
        <w:t>Tali utenti non richiedono una licenza CAL per Microsoft Dynamics CRM 2011. Tale rinuncia si applica fino al 30 giugno 2014. Dopo tale data Microsoft si riserva il diritto di richiedere le licenze CAL appropriate.</w:t>
      </w:r>
    </w:p>
    <w:p w:rsidR="00A04495" w:rsidRPr="00451078" w:rsidRDefault="00A04495" w:rsidP="007B1734">
      <w:pPr>
        <w:rPr>
          <w:lang w:val="it-IT"/>
        </w:rPr>
      </w:pPr>
    </w:p>
    <w:p w:rsidR="00D70D2C" w:rsidRPr="00451078" w:rsidRDefault="0099402E" w:rsidP="00D70D2C">
      <w:pPr>
        <w:pStyle w:val="Heading2"/>
        <w:ind w:left="0"/>
        <w:rPr>
          <w:lang w:val="it-IT"/>
        </w:rPr>
      </w:pPr>
      <w:bookmarkStart w:id="1337" w:name="_70_68_Office"/>
      <w:bookmarkStart w:id="1338" w:name="_Toc352234921"/>
      <w:bookmarkEnd w:id="1337"/>
      <w:r w:rsidRPr="00451078">
        <w:rPr>
          <w:rFonts w:ascii="Tahoma" w:hAnsi="Tahoma" w:cs="Tahoma"/>
          <w:caps/>
          <w:color w:val="FF6600"/>
          <w:sz w:val="22"/>
          <w:szCs w:val="22"/>
          <w:vertAlign w:val="superscript"/>
          <w:lang w:val="it-IT"/>
        </w:rPr>
        <w:t>68</w:t>
      </w:r>
      <w:r w:rsidRPr="00451078">
        <w:rPr>
          <w:rFonts w:ascii="Tahoma" w:hAnsi="Tahoma" w:cs="Tahoma"/>
          <w:color w:val="FF6600"/>
          <w:lang w:val="it-IT"/>
        </w:rPr>
        <w:t xml:space="preserve"> </w:t>
      </w:r>
      <w:r w:rsidRPr="00451078">
        <w:rPr>
          <w:rFonts w:ascii="Tahoma" w:hAnsi="Tahoma" w:cs="Tahoma"/>
          <w:color w:val="FF6600"/>
          <w:sz w:val="22"/>
          <w:szCs w:val="22"/>
          <w:lang w:val="it-IT"/>
        </w:rPr>
        <w:t>Office 365 Enterprise E1</w:t>
      </w:r>
      <w:bookmarkEnd w:id="1334"/>
      <w:bookmarkEnd w:id="1338"/>
    </w:p>
    <w:bookmarkEnd w:id="1333"/>
    <w:p w:rsidR="00D70D2C" w:rsidRPr="00451078" w:rsidRDefault="00D70D2C" w:rsidP="006F0E0F">
      <w:pPr>
        <w:ind w:left="900"/>
        <w:rPr>
          <w:lang w:val="it-IT"/>
        </w:rPr>
      </w:pPr>
    </w:p>
    <w:p w:rsidR="00F754FE" w:rsidRPr="00451078" w:rsidRDefault="00F754FE" w:rsidP="00E62BC4">
      <w:pPr>
        <w:ind w:left="720"/>
        <w:rPr>
          <w:lang w:val="it-IT"/>
        </w:rPr>
      </w:pPr>
      <w:r w:rsidRPr="00451078">
        <w:rPr>
          <w:rFonts w:cs="Tahoma"/>
          <w:color w:val="000000"/>
          <w:szCs w:val="18"/>
          <w:lang w:val="it-IT"/>
        </w:rPr>
        <w:t>Office 365 Enterprise E1 era precedentemente noto come Business Productivity Online Standard Suite (BPOS Standard). Permette l</w:t>
      </w:r>
      <w:r w:rsidR="0073727D">
        <w:rPr>
          <w:rFonts w:cs="Tahoma"/>
          <w:color w:val="000000"/>
          <w:szCs w:val="18"/>
          <w:lang w:val="it-IT"/>
        </w:rPr>
        <w:t>’</w:t>
      </w:r>
      <w:r w:rsidRPr="00451078">
        <w:rPr>
          <w:rFonts w:cs="Tahoma"/>
          <w:color w:val="000000"/>
          <w:szCs w:val="18"/>
          <w:lang w:val="it-IT"/>
        </w:rPr>
        <w:t>accesso a quanto segue: Exchange Online Piano 1, SharePoint Online Piano 1, Lync Online Piano 2 e Office Web Applications. Questa lista è soggetta a modifiche. Nell</w:t>
      </w:r>
      <w:r w:rsidR="0073727D">
        <w:rPr>
          <w:rFonts w:cs="Tahoma"/>
          <w:color w:val="000000"/>
          <w:szCs w:val="18"/>
          <w:lang w:val="it-IT"/>
        </w:rPr>
        <w:t>’</w:t>
      </w:r>
      <w:r w:rsidRPr="00451078">
        <w:rPr>
          <w:rFonts w:cs="Tahoma"/>
          <w:color w:val="000000"/>
          <w:szCs w:val="18"/>
          <w:lang w:val="it-IT"/>
        </w:rPr>
        <w:t>eventualità di una discrepanza tra le condizioni di licenza per Office 365 Enterprise E1 e questa nota, i Diritti di Utilizzo del Prodotto correnti avranno prevalenza.</w:t>
      </w:r>
    </w:p>
    <w:p w:rsidR="00F754FE" w:rsidRPr="00451078" w:rsidRDefault="00F754FE" w:rsidP="00E62BC4">
      <w:pPr>
        <w:ind w:left="720"/>
        <w:rPr>
          <w:lang w:val="it-IT"/>
        </w:rPr>
      </w:pPr>
    </w:p>
    <w:p w:rsidR="00A15CF5" w:rsidRPr="00451078" w:rsidRDefault="00F754FE" w:rsidP="00A15CF5">
      <w:pPr>
        <w:ind w:left="720"/>
        <w:rPr>
          <w:lang w:val="it-IT"/>
        </w:rPr>
      </w:pPr>
      <w:r w:rsidRPr="00451078">
        <w:rPr>
          <w:rFonts w:cs="Tahoma"/>
          <w:color w:val="000000"/>
          <w:szCs w:val="18"/>
          <w:lang w:val="it-IT"/>
        </w:rPr>
        <w:t>Lync Online Piano 1 e Piano 2 richiedono l</w:t>
      </w:r>
      <w:r w:rsidR="0073727D">
        <w:rPr>
          <w:rFonts w:cs="Tahoma"/>
          <w:color w:val="000000"/>
          <w:szCs w:val="18"/>
          <w:lang w:val="it-IT"/>
        </w:rPr>
        <w:t>’</w:t>
      </w:r>
      <w:r w:rsidRPr="00451078">
        <w:rPr>
          <w:rFonts w:cs="Tahoma"/>
          <w:color w:val="000000"/>
          <w:szCs w:val="18"/>
          <w:lang w:val="it-IT"/>
        </w:rPr>
        <w:t>acquisto e l</w:t>
      </w:r>
      <w:r w:rsidR="0073727D">
        <w:rPr>
          <w:rFonts w:cs="Tahoma"/>
          <w:color w:val="000000"/>
          <w:szCs w:val="18"/>
          <w:lang w:val="it-IT"/>
        </w:rPr>
        <w:t>’</w:t>
      </w:r>
      <w:r w:rsidRPr="00451078">
        <w:rPr>
          <w:rFonts w:cs="Tahoma"/>
          <w:color w:val="000000"/>
          <w:szCs w:val="18"/>
          <w:lang w:val="it-IT"/>
        </w:rPr>
        <w:t xml:space="preserve">installazione separati di Microsoft Lync 2013 (o di Lync per Mac 2011) per accedere al set completo di funzionalità di Lync Online Piano 1 e Piano 2. Grazie </w:t>
      </w:r>
      <w:r w:rsidRPr="00451078">
        <w:rPr>
          <w:rFonts w:cs="Tahoma"/>
          <w:color w:val="000000"/>
          <w:szCs w:val="18"/>
          <w:lang w:val="it-IT"/>
        </w:rPr>
        <w:lastRenderedPageBreak/>
        <w:t>a</w:t>
      </w:r>
      <w:r w:rsidR="00F9066C" w:rsidRPr="00451078">
        <w:rPr>
          <w:rFonts w:cs="Tahoma"/>
          <w:color w:val="000000"/>
          <w:szCs w:val="18"/>
          <w:lang w:val="it-IT"/>
        </w:rPr>
        <w:t> </w:t>
      </w:r>
      <w:r w:rsidRPr="00451078">
        <w:rPr>
          <w:rFonts w:cs="Tahoma"/>
          <w:color w:val="000000"/>
          <w:szCs w:val="18"/>
          <w:lang w:val="it-IT"/>
        </w:rPr>
        <w:t>un</w:t>
      </w:r>
      <w:r w:rsidR="0073727D">
        <w:rPr>
          <w:rFonts w:cs="Tahoma"/>
          <w:color w:val="000000"/>
          <w:szCs w:val="18"/>
          <w:lang w:val="it-IT"/>
        </w:rPr>
        <w:t>’</w:t>
      </w:r>
      <w:r w:rsidRPr="00451078">
        <w:rPr>
          <w:rFonts w:cs="Tahoma"/>
          <w:color w:val="000000"/>
          <w:szCs w:val="18"/>
          <w:lang w:val="it-IT"/>
        </w:rPr>
        <w:t xml:space="preserve">offerta di durata limitata, le società titolari di licenza per Lync Online riceveranno gratuitamente in licenza una copia di Lync per Mac 2011 per ciascuna licenza </w:t>
      </w:r>
      <w:r w:rsidR="001A3EC5" w:rsidRPr="00451078">
        <w:rPr>
          <w:rFonts w:cs="Tahoma"/>
          <w:color w:val="000000"/>
          <w:szCs w:val="18"/>
          <w:lang w:val="it-IT"/>
        </w:rPr>
        <w:t>“</w:t>
      </w:r>
      <w:r w:rsidRPr="00451078">
        <w:rPr>
          <w:rFonts w:cs="Tahoma"/>
          <w:color w:val="000000"/>
          <w:szCs w:val="18"/>
          <w:lang w:val="it-IT"/>
        </w:rPr>
        <w:t>subscription</w:t>
      </w:r>
      <w:r w:rsidR="001A3EC5" w:rsidRPr="00451078">
        <w:rPr>
          <w:rFonts w:cs="Tahoma"/>
          <w:color w:val="000000"/>
          <w:szCs w:val="18"/>
          <w:lang w:val="it-IT"/>
        </w:rPr>
        <w:t>”</w:t>
      </w:r>
      <w:r w:rsidRPr="00451078">
        <w:rPr>
          <w:rFonts w:cs="Tahoma"/>
          <w:color w:val="000000"/>
          <w:szCs w:val="18"/>
          <w:lang w:val="it-IT"/>
        </w:rPr>
        <w:t xml:space="preserve"> acquistata o in versione di valutazione di Lync Online. Il software potrà essere utilizzato esclusivamente con Lync Online e tutti i diritti di utilizzo del software cesseranno alla scadenza della licenza </w:t>
      </w:r>
      <w:r w:rsidR="001A3EC5" w:rsidRPr="00451078">
        <w:rPr>
          <w:rFonts w:cs="Tahoma"/>
          <w:color w:val="000000"/>
          <w:szCs w:val="18"/>
          <w:lang w:val="it-IT"/>
        </w:rPr>
        <w:t>“</w:t>
      </w:r>
      <w:r w:rsidRPr="00451078">
        <w:rPr>
          <w:rFonts w:cs="Tahoma"/>
          <w:color w:val="000000"/>
          <w:szCs w:val="18"/>
          <w:lang w:val="it-IT"/>
        </w:rPr>
        <w:t>Subscription</w:t>
      </w:r>
      <w:r w:rsidR="001A3EC5" w:rsidRPr="00451078">
        <w:rPr>
          <w:rFonts w:cs="Tahoma"/>
          <w:color w:val="000000"/>
          <w:szCs w:val="18"/>
          <w:lang w:val="it-IT"/>
        </w:rPr>
        <w:t>”</w:t>
      </w:r>
      <w:r w:rsidRPr="00451078">
        <w:rPr>
          <w:rFonts w:cs="Tahoma"/>
          <w:color w:val="000000"/>
          <w:szCs w:val="18"/>
          <w:lang w:val="it-IT"/>
        </w:rPr>
        <w:t xml:space="preserve"> sottostante oppure in occasione della migrazione alla successiva nuova versione principale di Lync Online, a seconda di quale evento si verificherà per primo.</w:t>
      </w:r>
      <w:r w:rsidR="00082E1C" w:rsidRPr="00451078">
        <w:rPr>
          <w:rFonts w:cs="Tahoma"/>
          <w:color w:val="000000"/>
          <w:szCs w:val="18"/>
          <w:lang w:val="it-IT"/>
        </w:rPr>
        <w:t xml:space="preserve"> </w:t>
      </w:r>
      <w:r w:rsidRPr="00451078">
        <w:rPr>
          <w:rFonts w:cs="Tahoma"/>
          <w:color w:val="000000"/>
          <w:szCs w:val="18"/>
          <w:lang w:val="it-IT"/>
        </w:rPr>
        <w:t>Le società potranno utilizzare il client gratuito Lync Basic 2013 per i loro utenti finali in</w:t>
      </w:r>
      <w:r w:rsidR="00F9066C" w:rsidRPr="00451078">
        <w:rPr>
          <w:rFonts w:cs="Tahoma"/>
          <w:color w:val="000000"/>
          <w:szCs w:val="18"/>
          <w:lang w:val="it-IT"/>
        </w:rPr>
        <w:t> </w:t>
      </w:r>
      <w:r w:rsidRPr="00451078">
        <w:rPr>
          <w:rFonts w:cs="Tahoma"/>
          <w:color w:val="000000"/>
          <w:szCs w:val="18"/>
          <w:lang w:val="it-IT"/>
        </w:rPr>
        <w:t xml:space="preserve">possesso di Windows. </w:t>
      </w:r>
    </w:p>
    <w:p w:rsidR="00F754FE" w:rsidRPr="00451078" w:rsidRDefault="00F754FE" w:rsidP="00E62BC4">
      <w:pPr>
        <w:ind w:left="720"/>
        <w:rPr>
          <w:lang w:val="it-IT"/>
        </w:rPr>
      </w:pPr>
    </w:p>
    <w:p w:rsidR="00F754FE" w:rsidRPr="00451078" w:rsidRDefault="00F754FE" w:rsidP="00E62BC4">
      <w:pPr>
        <w:ind w:left="720"/>
        <w:rPr>
          <w:lang w:val="it-IT"/>
        </w:rPr>
      </w:pPr>
      <w:r w:rsidRPr="00451078">
        <w:rPr>
          <w:rFonts w:cs="Tahoma"/>
          <w:color w:val="000000"/>
          <w:szCs w:val="18"/>
          <w:lang w:val="it-IT"/>
        </w:rPr>
        <w:t>Le società esistenti o che rinnovano in possesso di sottoscrizioni attive di Business Productivity Online Suite in data 27 giugno 2011 potranno continuare ad accedere e a utilizzare il servizio Live Meeting ai sensi delle condizioni di licenza contenute nell</w:t>
      </w:r>
      <w:r w:rsidR="0073727D">
        <w:rPr>
          <w:rFonts w:cs="Tahoma"/>
          <w:color w:val="000000"/>
          <w:szCs w:val="18"/>
          <w:lang w:val="it-IT"/>
        </w:rPr>
        <w:t>’</w:t>
      </w:r>
      <w:r w:rsidRPr="00451078">
        <w:rPr>
          <w:rFonts w:cs="Tahoma"/>
          <w:color w:val="000000"/>
          <w:szCs w:val="18"/>
          <w:lang w:val="it-IT"/>
        </w:rPr>
        <w:t xml:space="preserve">edizione di marzo 2011 dei Diritti di Utilizzo del Prodotto dopo avere effettuato la migrazione da Business Productivity Online Suite a Office 365 Enterprise E1 e fino al 1 aprile 2013 e alla scadenza delle licenze </w:t>
      </w:r>
      <w:r w:rsidR="001A3EC5" w:rsidRPr="00451078">
        <w:rPr>
          <w:rFonts w:cs="Tahoma"/>
          <w:color w:val="000000"/>
          <w:szCs w:val="18"/>
          <w:lang w:val="it-IT"/>
        </w:rPr>
        <w:t>“</w:t>
      </w:r>
      <w:r w:rsidRPr="00451078">
        <w:rPr>
          <w:rFonts w:cs="Tahoma"/>
          <w:color w:val="000000"/>
          <w:szCs w:val="18"/>
          <w:lang w:val="it-IT"/>
        </w:rPr>
        <w:t>Subscription</w:t>
      </w:r>
      <w:r w:rsidR="001A3EC5" w:rsidRPr="00451078">
        <w:rPr>
          <w:rFonts w:cs="Tahoma"/>
          <w:color w:val="000000"/>
          <w:szCs w:val="18"/>
          <w:lang w:val="it-IT"/>
        </w:rPr>
        <w:t>”</w:t>
      </w:r>
      <w:r w:rsidRPr="00451078">
        <w:rPr>
          <w:rFonts w:cs="Tahoma"/>
          <w:color w:val="000000"/>
          <w:szCs w:val="18"/>
          <w:lang w:val="it-IT"/>
        </w:rPr>
        <w:t xml:space="preserve"> per utente per Office 365 Enterprise E1 corrispondenti, a</w:t>
      </w:r>
      <w:r w:rsidR="00F9066C" w:rsidRPr="00451078">
        <w:rPr>
          <w:rFonts w:cs="Tahoma"/>
          <w:color w:val="000000"/>
          <w:szCs w:val="18"/>
          <w:lang w:val="it-IT"/>
        </w:rPr>
        <w:t> </w:t>
      </w:r>
      <w:r w:rsidRPr="00451078">
        <w:rPr>
          <w:rFonts w:cs="Tahoma"/>
          <w:color w:val="000000"/>
          <w:szCs w:val="18"/>
          <w:lang w:val="it-IT"/>
        </w:rPr>
        <w:t>seconda di quale dei due eventi si verificherà per primo.</w:t>
      </w:r>
      <w:r w:rsidR="00082E1C" w:rsidRPr="00451078">
        <w:rPr>
          <w:rFonts w:cs="Tahoma"/>
          <w:color w:val="000000"/>
          <w:szCs w:val="18"/>
          <w:lang w:val="it-IT"/>
        </w:rPr>
        <w:t xml:space="preserve"> </w:t>
      </w:r>
      <w:r w:rsidRPr="00451078">
        <w:rPr>
          <w:rFonts w:cs="Tahoma"/>
          <w:color w:val="000000"/>
          <w:szCs w:val="18"/>
          <w:lang w:val="it-IT"/>
        </w:rPr>
        <w:t>Le società, le cui condizioni di sottoscrizione si estendono oltre il 1 aprile 2013, dopo tale data potranno accedere solo ai componenti del servizio Office 365.</w:t>
      </w:r>
      <w:r w:rsidR="00082E1C" w:rsidRPr="00451078">
        <w:rPr>
          <w:rFonts w:cs="Tahoma"/>
          <w:color w:val="000000"/>
          <w:szCs w:val="18"/>
          <w:lang w:val="it-IT"/>
        </w:rPr>
        <w:t xml:space="preserve"> </w:t>
      </w:r>
      <w:r w:rsidRPr="00451078">
        <w:rPr>
          <w:rFonts w:cs="Tahoma"/>
          <w:color w:val="000000"/>
          <w:szCs w:val="18"/>
          <w:lang w:val="it-IT"/>
        </w:rPr>
        <w:t>Le società con sottoscrizioni nuove di Office 365 Enterprise E1 effettuate dopo il 27 giugno 2011 non potranno accedere a Live Meeting.</w:t>
      </w:r>
    </w:p>
    <w:p w:rsidR="00F754FE" w:rsidRPr="00451078" w:rsidRDefault="00F754FE" w:rsidP="00E62BC4">
      <w:pPr>
        <w:ind w:left="720"/>
        <w:rPr>
          <w:lang w:val="it-IT"/>
        </w:rPr>
      </w:pPr>
    </w:p>
    <w:p w:rsidR="00194DAF" w:rsidRPr="00451078" w:rsidRDefault="00F754FE" w:rsidP="00BA1490">
      <w:pPr>
        <w:ind w:left="720"/>
        <w:rPr>
          <w:lang w:val="it-IT"/>
        </w:rPr>
      </w:pPr>
      <w:r w:rsidRPr="00451078">
        <w:rPr>
          <w:rFonts w:cs="Tahoma"/>
          <w:color w:val="000000"/>
          <w:szCs w:val="18"/>
          <w:lang w:val="it-IT"/>
        </w:rPr>
        <w:t>Le società che, in Brasile o in Cile, acquisteranno Office 365 Enterprise E1 riceveranno BPOS Standard.</w:t>
      </w:r>
      <w:r w:rsidR="00082E1C" w:rsidRPr="00451078">
        <w:rPr>
          <w:rFonts w:cs="Tahoma"/>
          <w:color w:val="000000"/>
          <w:szCs w:val="18"/>
          <w:lang w:val="it-IT"/>
        </w:rPr>
        <w:t xml:space="preserve"> </w:t>
      </w:r>
      <w:r w:rsidRPr="00451078">
        <w:rPr>
          <w:rFonts w:cs="Tahoma"/>
          <w:color w:val="000000"/>
          <w:szCs w:val="18"/>
          <w:lang w:val="it-IT"/>
        </w:rPr>
        <w:t>Tali</w:t>
      </w:r>
      <w:r w:rsidR="00F9066C" w:rsidRPr="00451078">
        <w:rPr>
          <w:rFonts w:cs="Tahoma"/>
          <w:color w:val="000000"/>
          <w:szCs w:val="18"/>
          <w:lang w:val="it-IT"/>
        </w:rPr>
        <w:t> </w:t>
      </w:r>
      <w:r w:rsidRPr="00451078">
        <w:rPr>
          <w:rFonts w:cs="Tahoma"/>
          <w:color w:val="000000"/>
          <w:szCs w:val="18"/>
          <w:lang w:val="it-IT"/>
        </w:rPr>
        <w:t>società potranno migrare a Office 365 Enterprise E1 in un secondo momento.</w:t>
      </w:r>
      <w:bookmarkStart w:id="1339" w:name="_71_Office_365"/>
      <w:bookmarkEnd w:id="1339"/>
    </w:p>
    <w:p w:rsidR="00BE7AC3" w:rsidRPr="00451078" w:rsidRDefault="00BE7AC3" w:rsidP="00BA1490">
      <w:pPr>
        <w:ind w:left="720"/>
        <w:rPr>
          <w:lang w:val="it-IT"/>
        </w:rPr>
      </w:pPr>
    </w:p>
    <w:p w:rsidR="00F9066C" w:rsidRDefault="00F9066C" w:rsidP="00BA1490">
      <w:pPr>
        <w:ind w:left="720"/>
        <w:rPr>
          <w:lang w:val="it-IT"/>
        </w:rPr>
      </w:pPr>
    </w:p>
    <w:p w:rsidR="0060383F" w:rsidRDefault="0060383F" w:rsidP="00BA1490">
      <w:pPr>
        <w:ind w:left="720"/>
        <w:rPr>
          <w:lang w:val="it-IT"/>
        </w:rPr>
      </w:pPr>
    </w:p>
    <w:p w:rsidR="0060383F" w:rsidRPr="00451078" w:rsidRDefault="0060383F" w:rsidP="00BA1490">
      <w:pPr>
        <w:ind w:left="720"/>
        <w:rPr>
          <w:lang w:val="it-IT"/>
        </w:rPr>
      </w:pPr>
    </w:p>
    <w:p w:rsidR="00BE7AC3" w:rsidRPr="00451078" w:rsidRDefault="00BE7AC3" w:rsidP="00BE7AC3">
      <w:pPr>
        <w:pStyle w:val="Heading2"/>
        <w:ind w:left="0"/>
        <w:rPr>
          <w:lang w:val="it-IT"/>
        </w:rPr>
      </w:pPr>
      <w:bookmarkStart w:id="1340" w:name="_69_Office_365_1"/>
      <w:bookmarkStart w:id="1341" w:name="_Toc352234922"/>
      <w:bookmarkEnd w:id="1340"/>
      <w:r w:rsidRPr="00451078">
        <w:rPr>
          <w:rFonts w:ascii="Tahoma" w:hAnsi="Tahoma" w:cs="Tahoma"/>
          <w:caps/>
          <w:color w:val="F66400"/>
          <w:sz w:val="22"/>
          <w:szCs w:val="20"/>
          <w:vertAlign w:val="superscript"/>
          <w:lang w:val="it-IT"/>
        </w:rPr>
        <w:t>69</w:t>
      </w:r>
      <w:r w:rsidRPr="00451078">
        <w:rPr>
          <w:rFonts w:ascii="Tahoma" w:hAnsi="Tahoma" w:cs="Tahoma"/>
          <w:caps/>
          <w:color w:val="F66400"/>
          <w:sz w:val="22"/>
          <w:szCs w:val="20"/>
          <w:lang w:val="it-IT"/>
        </w:rPr>
        <w:t xml:space="preserve"> </w:t>
      </w:r>
      <w:r w:rsidRPr="00451078">
        <w:rPr>
          <w:rFonts w:ascii="Tahoma" w:hAnsi="Tahoma" w:cs="Tahoma"/>
          <w:color w:val="FF6600"/>
          <w:sz w:val="22"/>
          <w:szCs w:val="22"/>
          <w:lang w:val="it-IT"/>
        </w:rPr>
        <w:t>Office 365 Enterprise K1 e K2 (SL per Utente)</w:t>
      </w:r>
      <w:bookmarkEnd w:id="1341"/>
    </w:p>
    <w:p w:rsidR="00BE7AC3" w:rsidRPr="00451078" w:rsidRDefault="00BE7AC3" w:rsidP="00BE7AC3">
      <w:pPr>
        <w:ind w:left="720"/>
        <w:rPr>
          <w:lang w:val="it-IT"/>
        </w:rPr>
      </w:pPr>
    </w:p>
    <w:p w:rsidR="00BE7AC3" w:rsidRPr="00451078" w:rsidRDefault="00BE7AC3" w:rsidP="00BE7AC3">
      <w:pPr>
        <w:ind w:left="720"/>
        <w:rPr>
          <w:lang w:val="it-IT"/>
        </w:rPr>
      </w:pPr>
      <w:r w:rsidRPr="00451078">
        <w:rPr>
          <w:rFonts w:cs="Tahoma"/>
          <w:color w:val="000000"/>
          <w:szCs w:val="18"/>
          <w:lang w:val="it-IT"/>
        </w:rPr>
        <w:t>Nonostante quanto diversamente stabilito nei contratti di licenza delle società, gli utenti qualificati non includono gli utenti titolari di licenza per Chiosco Exchange Online, Chiosco SharePoint Online o Office 365 Enterprise K1 o K2</w:t>
      </w:r>
    </w:p>
    <w:p w:rsidR="00BE7AC3" w:rsidRPr="00451078" w:rsidRDefault="00BE7AC3" w:rsidP="00BE7AC3">
      <w:pPr>
        <w:ind w:left="720"/>
        <w:rPr>
          <w:lang w:val="it-IT"/>
        </w:rPr>
      </w:pPr>
    </w:p>
    <w:p w:rsidR="00BE7AC3" w:rsidRPr="00451078" w:rsidRDefault="00BE7AC3" w:rsidP="00BE7AC3">
      <w:pPr>
        <w:ind w:left="720"/>
        <w:rPr>
          <w:lang w:val="it-IT"/>
        </w:rPr>
      </w:pPr>
      <w:r w:rsidRPr="003410C7">
        <w:rPr>
          <w:rFonts w:cs="Tahoma"/>
          <w:color w:val="000000"/>
          <w:szCs w:val="18"/>
        </w:rPr>
        <w:t>Office 365 Enterprise K1 era precedentemente noto come Business Productivity Online Deskless Suite (BPOS</w:t>
      </w:r>
      <w:r w:rsidR="00F9066C">
        <w:rPr>
          <w:rFonts w:cs="Tahoma"/>
          <w:color w:val="000000"/>
          <w:szCs w:val="18"/>
        </w:rPr>
        <w:t> </w:t>
      </w:r>
      <w:r w:rsidRPr="003410C7">
        <w:rPr>
          <w:rFonts w:cs="Tahoma"/>
          <w:color w:val="000000"/>
          <w:szCs w:val="18"/>
        </w:rPr>
        <w:t>Deskless).</w:t>
      </w:r>
      <w:r w:rsidR="00082E1C">
        <w:rPr>
          <w:rFonts w:cs="Tahoma"/>
          <w:color w:val="000000"/>
          <w:szCs w:val="18"/>
        </w:rPr>
        <w:t xml:space="preserve"> </w:t>
      </w:r>
      <w:r w:rsidRPr="00451078">
        <w:rPr>
          <w:rFonts w:cs="Tahoma"/>
          <w:color w:val="000000"/>
          <w:szCs w:val="18"/>
          <w:lang w:val="it-IT"/>
        </w:rPr>
        <w:t>Le società che, in Brasile o in Cile, acquisteranno Office 365 Enterprise K1 riceveranno BPOS Deskless.</w:t>
      </w:r>
      <w:r w:rsidR="00082E1C" w:rsidRPr="00451078">
        <w:rPr>
          <w:rFonts w:cs="Tahoma"/>
          <w:color w:val="000000"/>
          <w:szCs w:val="18"/>
          <w:lang w:val="it-IT"/>
        </w:rPr>
        <w:t xml:space="preserve"> </w:t>
      </w:r>
      <w:r w:rsidRPr="00451078">
        <w:rPr>
          <w:rFonts w:cs="Tahoma"/>
          <w:color w:val="000000"/>
          <w:szCs w:val="18"/>
          <w:lang w:val="it-IT"/>
        </w:rPr>
        <w:t>Tali società potranno migrare a Office 365 Enterprise K1 in un secondo momento.</w:t>
      </w:r>
    </w:p>
    <w:p w:rsidR="00BE7AC3" w:rsidRPr="00451078" w:rsidRDefault="00BE7AC3" w:rsidP="00BE7AC3">
      <w:pPr>
        <w:ind w:left="720"/>
        <w:rPr>
          <w:lang w:val="it-IT"/>
        </w:rPr>
      </w:pPr>
    </w:p>
    <w:p w:rsidR="00BE7AC3" w:rsidRPr="00451078" w:rsidRDefault="00BE7AC3" w:rsidP="00BE7AC3">
      <w:pPr>
        <w:spacing w:after="60"/>
        <w:ind w:left="720"/>
        <w:rPr>
          <w:lang w:val="it-IT"/>
        </w:rPr>
      </w:pPr>
      <w:r w:rsidRPr="00451078">
        <w:rPr>
          <w:rFonts w:eastAsia="Calibri" w:cs="Tahoma"/>
          <w:b/>
          <w:color w:val="000000"/>
          <w:szCs w:val="18"/>
          <w:lang w:val="it-IT"/>
        </w:rPr>
        <w:t>Community Cloud per Enti Pubblici (solo Stati Uniti)</w:t>
      </w:r>
    </w:p>
    <w:p w:rsidR="00BE7AC3" w:rsidRPr="00451078" w:rsidRDefault="00BE7AC3" w:rsidP="00BE7AC3">
      <w:pPr>
        <w:ind w:left="720"/>
        <w:rPr>
          <w:lang w:val="it-IT"/>
        </w:rPr>
      </w:pPr>
      <w:r w:rsidRPr="00451078">
        <w:rPr>
          <w:rFonts w:eastAsia="Calibri" w:cs="Tahoma"/>
          <w:color w:val="000000"/>
          <w:szCs w:val="18"/>
          <w:lang w:val="it-IT"/>
        </w:rPr>
        <w:t>Alcuni servizi online della famiglia di prodotti Office 365 (incluso Office 365 Enterprise K1 e K2) sono offerti come servizi di community cloud per enti pubblici e come servizi di community cloud per enti non pubblici.</w:t>
      </w:r>
      <w:r w:rsidR="00082E1C" w:rsidRPr="00451078">
        <w:rPr>
          <w:rFonts w:eastAsia="Calibri" w:cs="Tahoma"/>
          <w:color w:val="000000"/>
          <w:szCs w:val="18"/>
          <w:lang w:val="it-IT"/>
        </w:rPr>
        <w:t xml:space="preserve"> </w:t>
      </w:r>
      <w:r w:rsidRPr="00451078">
        <w:rPr>
          <w:rFonts w:eastAsia="Calibri" w:cs="Tahoma"/>
          <w:color w:val="000000"/>
          <w:szCs w:val="18"/>
          <w:lang w:val="it-IT"/>
        </w:rPr>
        <w:t>Alle società potrà essere effettuato il provisioning come ente pubblico o non pubblico, ma non come una combinazione di entrambi.</w:t>
      </w:r>
      <w:r w:rsidR="00082E1C" w:rsidRPr="00451078">
        <w:rPr>
          <w:rFonts w:eastAsia="Calibri" w:cs="Tahoma"/>
          <w:color w:val="000000"/>
          <w:szCs w:val="18"/>
          <w:lang w:val="it-IT"/>
        </w:rPr>
        <w:t xml:space="preserve"> </w:t>
      </w:r>
      <w:r w:rsidRPr="00451078">
        <w:rPr>
          <w:rFonts w:eastAsia="Calibri" w:cs="Tahoma"/>
          <w:color w:val="000000"/>
          <w:szCs w:val="18"/>
          <w:lang w:val="it-IT"/>
        </w:rPr>
        <w:t>I Servizi Online designati come community cloud per enti pubblici non potranno essere distribuiti nello stesso dominio in cui vengono distribuiti servizi specifici di community cloud per enti non pubblici. Tale limitazione si estende a qualsiasi servizio online facente parte della famiglia di prodotti Office 365, inclusi Exchange Online, SharePoint Online e Lync Online.</w:t>
      </w:r>
      <w:r w:rsidR="00082E1C" w:rsidRPr="00451078">
        <w:rPr>
          <w:rFonts w:eastAsia="Calibri" w:cs="Tahoma"/>
          <w:color w:val="000000"/>
          <w:szCs w:val="18"/>
          <w:lang w:val="it-IT"/>
        </w:rPr>
        <w:t xml:space="preserve"> </w:t>
      </w:r>
    </w:p>
    <w:p w:rsidR="00BE7AC3" w:rsidRPr="00451078" w:rsidRDefault="00BE7AC3" w:rsidP="00BE7AC3">
      <w:pPr>
        <w:ind w:left="720"/>
        <w:rPr>
          <w:lang w:val="it-IT"/>
        </w:rPr>
      </w:pPr>
    </w:p>
    <w:p w:rsidR="00BE7AC3" w:rsidRPr="00451078" w:rsidRDefault="00BE7AC3" w:rsidP="00BE7AC3">
      <w:pPr>
        <w:ind w:left="720"/>
        <w:rPr>
          <w:lang w:val="it-IT"/>
        </w:rPr>
      </w:pPr>
      <w:r w:rsidRPr="00451078">
        <w:rPr>
          <w:rFonts w:eastAsia="Calibri" w:cs="Tahoma"/>
          <w:color w:val="000000"/>
          <w:szCs w:val="18"/>
          <w:lang w:val="it-IT"/>
        </w:rPr>
        <w:t>Quando verrà effettuato il provisioning di un servizio online nel community cloud per enti pubblici, rimarrà tale per tutto il periodo di validità della sottoscrizione. Le società che sono enti pubblici federali, statali, locali o tribali negli Stati Uniti dovranno essere in possesso di un</w:t>
      </w:r>
      <w:r w:rsidR="0073727D">
        <w:rPr>
          <w:rFonts w:eastAsia="Calibri" w:cs="Tahoma"/>
          <w:color w:val="000000"/>
          <w:szCs w:val="18"/>
          <w:lang w:val="it-IT"/>
        </w:rPr>
        <w:t>’</w:t>
      </w:r>
      <w:r w:rsidRPr="00451078">
        <w:rPr>
          <w:rFonts w:eastAsia="Calibri" w:cs="Tahoma"/>
          <w:color w:val="000000"/>
          <w:szCs w:val="18"/>
          <w:lang w:val="it-IT"/>
        </w:rPr>
        <w:t>Iscrizione Enterprise o Enterprise Subscription per Enti Pubblici Statunitensi per essere idonei all</w:t>
      </w:r>
      <w:r w:rsidR="0073727D">
        <w:rPr>
          <w:rFonts w:eastAsia="Calibri" w:cs="Tahoma"/>
          <w:color w:val="000000"/>
          <w:szCs w:val="18"/>
          <w:lang w:val="it-IT"/>
        </w:rPr>
        <w:t>’</w:t>
      </w:r>
      <w:r w:rsidRPr="00451078">
        <w:rPr>
          <w:rFonts w:eastAsia="Calibri" w:cs="Tahoma"/>
          <w:color w:val="000000"/>
          <w:szCs w:val="18"/>
          <w:lang w:val="it-IT"/>
        </w:rPr>
        <w:t>acquisto di servizi online designati come community cloud per enti pubblici.</w:t>
      </w:r>
      <w:r w:rsidR="00082E1C" w:rsidRPr="00451078">
        <w:rPr>
          <w:rFonts w:eastAsia="Calibri" w:cs="Tahoma"/>
          <w:color w:val="000000"/>
          <w:szCs w:val="18"/>
          <w:lang w:val="it-IT"/>
        </w:rPr>
        <w:t xml:space="preserve"> </w:t>
      </w:r>
      <w:r w:rsidRPr="00451078">
        <w:rPr>
          <w:rFonts w:eastAsia="Calibri" w:cs="Tahoma"/>
          <w:color w:val="000000"/>
          <w:szCs w:val="18"/>
          <w:lang w:val="it-IT"/>
        </w:rPr>
        <w:t>I Diritti sull</w:t>
      </w:r>
      <w:r w:rsidR="0073727D">
        <w:rPr>
          <w:rFonts w:eastAsia="Calibri" w:cs="Tahoma"/>
          <w:color w:val="000000"/>
          <w:szCs w:val="18"/>
          <w:lang w:val="it-IT"/>
        </w:rPr>
        <w:t>’</w:t>
      </w:r>
      <w:r w:rsidRPr="00451078">
        <w:rPr>
          <w:rFonts w:eastAsia="Calibri" w:cs="Tahoma"/>
          <w:color w:val="000000"/>
          <w:szCs w:val="18"/>
          <w:lang w:val="it-IT"/>
        </w:rPr>
        <w:t>Utilizzo relativi ai servizi di community cloud per enti pubblici sono simili a quelli dei loro equivalenti multi-tenant standard.</w:t>
      </w:r>
    </w:p>
    <w:p w:rsidR="00BE7AC3" w:rsidRPr="00451078" w:rsidRDefault="00BE7AC3" w:rsidP="00BA1490">
      <w:pPr>
        <w:ind w:left="720"/>
        <w:rPr>
          <w:lang w:val="it-IT"/>
        </w:rPr>
      </w:pPr>
    </w:p>
    <w:p w:rsidR="006A63D7" w:rsidRDefault="006A63D7" w:rsidP="007E466C">
      <w:pPr>
        <w:rPr>
          <w:lang w:val="it-IT"/>
        </w:rPr>
      </w:pPr>
      <w:bookmarkStart w:id="1342" w:name="Srv_73Office365PlanG2toG4"/>
    </w:p>
    <w:p w:rsidR="004F09FE" w:rsidRPr="00451078" w:rsidRDefault="004F09FE" w:rsidP="007E466C">
      <w:pPr>
        <w:rPr>
          <w:lang w:val="it-IT"/>
        </w:rPr>
      </w:pPr>
    </w:p>
    <w:p w:rsidR="00A83600" w:rsidRPr="00451078" w:rsidRDefault="00BE7AC3" w:rsidP="00A83600">
      <w:pPr>
        <w:pStyle w:val="Heading2"/>
        <w:ind w:left="0"/>
        <w:rPr>
          <w:lang w:val="it-IT"/>
        </w:rPr>
      </w:pPr>
      <w:bookmarkStart w:id="1343" w:name="_70_Office_365"/>
      <w:bookmarkStart w:id="1344" w:name="_Toc336338330"/>
      <w:bookmarkStart w:id="1345" w:name="_Toc352234923"/>
      <w:bookmarkEnd w:id="1343"/>
      <w:r w:rsidRPr="00451078">
        <w:rPr>
          <w:rFonts w:ascii="Tahoma" w:hAnsi="Tahoma" w:cs="Tahoma"/>
          <w:caps/>
          <w:color w:val="FF6600"/>
          <w:sz w:val="22"/>
          <w:szCs w:val="22"/>
          <w:vertAlign w:val="superscript"/>
          <w:lang w:val="it-IT"/>
        </w:rPr>
        <w:t>70</w:t>
      </w:r>
      <w:r w:rsidRPr="00451078">
        <w:rPr>
          <w:rFonts w:ascii="Tahoma" w:hAnsi="Tahoma" w:cs="Tahoma"/>
          <w:color w:val="FF6600"/>
          <w:lang w:val="it-IT"/>
        </w:rPr>
        <w:t xml:space="preserve"> </w:t>
      </w:r>
      <w:r w:rsidRPr="00451078">
        <w:rPr>
          <w:rFonts w:ascii="Tahoma" w:hAnsi="Tahoma" w:cs="Tahoma"/>
          <w:color w:val="FF6600"/>
          <w:sz w:val="22"/>
          <w:szCs w:val="22"/>
          <w:lang w:val="it-IT"/>
        </w:rPr>
        <w:t>Office 365 Government G1-G4</w:t>
      </w:r>
      <w:bookmarkEnd w:id="1344"/>
      <w:bookmarkEnd w:id="1345"/>
    </w:p>
    <w:p w:rsidR="00A83600" w:rsidRPr="00451078" w:rsidRDefault="00A83600" w:rsidP="00A83600">
      <w:pPr>
        <w:rPr>
          <w:lang w:val="it-IT"/>
        </w:rPr>
      </w:pPr>
    </w:p>
    <w:bookmarkEnd w:id="1342"/>
    <w:p w:rsidR="00A83600" w:rsidRPr="00451078" w:rsidRDefault="00A83600" w:rsidP="00E62BC4">
      <w:pPr>
        <w:ind w:left="720"/>
        <w:rPr>
          <w:lang w:val="it-IT"/>
        </w:rPr>
      </w:pPr>
      <w:r w:rsidRPr="00451078">
        <w:rPr>
          <w:color w:val="000000"/>
          <w:lang w:val="it-IT"/>
        </w:rPr>
        <w:t>Office 365 Government G1-G4 permette l</w:t>
      </w:r>
      <w:r w:rsidR="0073727D">
        <w:rPr>
          <w:color w:val="000000"/>
          <w:lang w:val="it-IT"/>
        </w:rPr>
        <w:t>’</w:t>
      </w:r>
      <w:r w:rsidRPr="00451078">
        <w:rPr>
          <w:color w:val="000000"/>
          <w:lang w:val="it-IT"/>
        </w:rPr>
        <w:t>accesso ai seguenti Servizi Online:</w:t>
      </w:r>
    </w:p>
    <w:p w:rsidR="00A83600" w:rsidRPr="00451078" w:rsidRDefault="00A83600" w:rsidP="00A83600">
      <w:pPr>
        <w:rPr>
          <w:lang w:val="it-IT"/>
        </w:rPr>
      </w:pPr>
    </w:p>
    <w:tbl>
      <w:tblPr>
        <w:tblW w:w="0" w:type="auto"/>
        <w:tblInd w:w="87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070"/>
        <w:gridCol w:w="2160"/>
        <w:gridCol w:w="2250"/>
        <w:gridCol w:w="2088"/>
      </w:tblGrid>
      <w:tr w:rsidR="00A83600" w:rsidRPr="003410C7" w:rsidTr="00CA14C9">
        <w:tc>
          <w:tcPr>
            <w:tcW w:w="2070" w:type="dxa"/>
            <w:shd w:val="clear" w:color="auto" w:fill="FABF8F"/>
          </w:tcPr>
          <w:p w:rsidR="00A83600" w:rsidRPr="003410C7" w:rsidRDefault="00A83600" w:rsidP="0050116B">
            <w:pPr>
              <w:keepNext/>
              <w:keepLines/>
              <w:jc w:val="center"/>
              <w:rPr>
                <w:rFonts w:eastAsia="Calibri"/>
                <w:b/>
                <w:color w:val="000000"/>
                <w:sz w:val="20"/>
              </w:rPr>
            </w:pPr>
            <w:r w:rsidRPr="003410C7">
              <w:rPr>
                <w:rFonts w:eastAsia="Calibri"/>
                <w:b/>
                <w:color w:val="000000"/>
                <w:sz w:val="20"/>
              </w:rPr>
              <w:lastRenderedPageBreak/>
              <w:t>Office 365 Government G1</w:t>
            </w:r>
          </w:p>
        </w:tc>
        <w:tc>
          <w:tcPr>
            <w:tcW w:w="2160" w:type="dxa"/>
            <w:shd w:val="clear" w:color="auto" w:fill="FABF8F"/>
          </w:tcPr>
          <w:p w:rsidR="00A83600" w:rsidRPr="003410C7" w:rsidRDefault="00A83600" w:rsidP="0050116B">
            <w:pPr>
              <w:keepNext/>
              <w:keepLines/>
              <w:jc w:val="center"/>
              <w:rPr>
                <w:rFonts w:eastAsia="Calibri"/>
                <w:b/>
                <w:color w:val="000000"/>
                <w:sz w:val="20"/>
              </w:rPr>
            </w:pPr>
            <w:r w:rsidRPr="003410C7">
              <w:rPr>
                <w:rFonts w:eastAsia="Calibri"/>
                <w:b/>
                <w:color w:val="000000"/>
                <w:sz w:val="20"/>
              </w:rPr>
              <w:t>Office 365 Government G2</w:t>
            </w:r>
          </w:p>
        </w:tc>
        <w:tc>
          <w:tcPr>
            <w:tcW w:w="2250" w:type="dxa"/>
            <w:shd w:val="clear" w:color="auto" w:fill="FABF8F"/>
          </w:tcPr>
          <w:p w:rsidR="00A83600" w:rsidRPr="003410C7" w:rsidRDefault="00A83600" w:rsidP="0050116B">
            <w:pPr>
              <w:keepNext/>
              <w:keepLines/>
              <w:jc w:val="center"/>
              <w:rPr>
                <w:rFonts w:eastAsia="Calibri"/>
                <w:b/>
                <w:color w:val="000000"/>
                <w:sz w:val="20"/>
              </w:rPr>
            </w:pPr>
            <w:r w:rsidRPr="003410C7">
              <w:rPr>
                <w:rFonts w:eastAsia="Calibri"/>
                <w:b/>
                <w:color w:val="000000"/>
                <w:sz w:val="20"/>
              </w:rPr>
              <w:t>Office 365 Government G3</w:t>
            </w:r>
          </w:p>
        </w:tc>
        <w:tc>
          <w:tcPr>
            <w:tcW w:w="2088" w:type="dxa"/>
            <w:shd w:val="clear" w:color="auto" w:fill="FABF8F"/>
          </w:tcPr>
          <w:p w:rsidR="00A83600" w:rsidRPr="003410C7" w:rsidRDefault="00A83600" w:rsidP="0050116B">
            <w:pPr>
              <w:keepNext/>
              <w:keepLines/>
              <w:jc w:val="center"/>
              <w:rPr>
                <w:rFonts w:eastAsia="Calibri"/>
                <w:b/>
                <w:color w:val="000000"/>
                <w:sz w:val="20"/>
              </w:rPr>
            </w:pPr>
            <w:r w:rsidRPr="003410C7">
              <w:rPr>
                <w:rFonts w:eastAsia="Calibri"/>
                <w:b/>
                <w:color w:val="000000"/>
                <w:sz w:val="20"/>
              </w:rPr>
              <w:t>Office 365 Government G4</w:t>
            </w:r>
          </w:p>
        </w:tc>
      </w:tr>
      <w:tr w:rsidR="00A83600" w:rsidRPr="003410C7" w:rsidTr="00CA14C9">
        <w:tc>
          <w:tcPr>
            <w:tcW w:w="2070" w:type="dxa"/>
          </w:tcPr>
          <w:p w:rsidR="00A83600" w:rsidRPr="003410C7" w:rsidRDefault="00A83600" w:rsidP="00C066F9">
            <w:pPr>
              <w:keepNext/>
              <w:keepLines/>
              <w:ind w:left="180" w:right="186"/>
              <w:rPr>
                <w:rFonts w:eastAsia="Calibri"/>
                <w:color w:val="000000"/>
              </w:rPr>
            </w:pPr>
            <w:r w:rsidRPr="003410C7">
              <w:rPr>
                <w:rFonts w:eastAsia="Calibri"/>
                <w:color w:val="000000"/>
              </w:rPr>
              <w:t>Exchange Online Piano 1</w:t>
            </w:r>
          </w:p>
        </w:tc>
        <w:tc>
          <w:tcPr>
            <w:tcW w:w="2160" w:type="dxa"/>
            <w:shd w:val="clear" w:color="auto" w:fill="auto"/>
          </w:tcPr>
          <w:p w:rsidR="00A83600" w:rsidRPr="003410C7" w:rsidRDefault="00A83600" w:rsidP="00C066F9">
            <w:pPr>
              <w:keepNext/>
              <w:keepLines/>
              <w:ind w:left="180" w:right="186"/>
              <w:rPr>
                <w:rFonts w:eastAsia="Calibri"/>
                <w:color w:val="000000"/>
              </w:rPr>
            </w:pPr>
            <w:r w:rsidRPr="003410C7">
              <w:rPr>
                <w:rFonts w:eastAsia="Calibri"/>
                <w:color w:val="000000"/>
              </w:rPr>
              <w:t>Exchange Online Piano 1</w:t>
            </w:r>
          </w:p>
        </w:tc>
        <w:tc>
          <w:tcPr>
            <w:tcW w:w="2250" w:type="dxa"/>
            <w:shd w:val="clear" w:color="auto" w:fill="auto"/>
          </w:tcPr>
          <w:p w:rsidR="00A83600" w:rsidRPr="003410C7" w:rsidRDefault="00A83600" w:rsidP="00C066F9">
            <w:pPr>
              <w:keepNext/>
              <w:keepLines/>
              <w:ind w:left="138" w:right="138"/>
              <w:rPr>
                <w:rFonts w:eastAsia="Calibri"/>
                <w:color w:val="000000"/>
              </w:rPr>
            </w:pPr>
            <w:r w:rsidRPr="003410C7">
              <w:rPr>
                <w:rFonts w:eastAsia="Calibri"/>
                <w:color w:val="000000"/>
              </w:rPr>
              <w:t xml:space="preserve">Exchange Online Piano 2 </w:t>
            </w:r>
          </w:p>
        </w:tc>
        <w:tc>
          <w:tcPr>
            <w:tcW w:w="2088" w:type="dxa"/>
            <w:shd w:val="clear" w:color="auto" w:fill="auto"/>
          </w:tcPr>
          <w:p w:rsidR="00A83600" w:rsidRPr="003410C7" w:rsidRDefault="00A83600" w:rsidP="00C066F9">
            <w:pPr>
              <w:keepNext/>
              <w:keepLines/>
              <w:ind w:left="186" w:right="180"/>
              <w:rPr>
                <w:rFonts w:eastAsia="Calibri"/>
                <w:color w:val="000000"/>
              </w:rPr>
            </w:pPr>
            <w:r w:rsidRPr="003410C7">
              <w:rPr>
                <w:rFonts w:eastAsia="Calibri"/>
                <w:color w:val="000000"/>
              </w:rPr>
              <w:t>Exchange Online Piano 2</w:t>
            </w:r>
          </w:p>
        </w:tc>
      </w:tr>
      <w:tr w:rsidR="00A83600" w:rsidRPr="003410C7" w:rsidTr="00CA14C9">
        <w:tc>
          <w:tcPr>
            <w:tcW w:w="2070" w:type="dxa"/>
          </w:tcPr>
          <w:p w:rsidR="00A83600" w:rsidRPr="003410C7" w:rsidRDefault="00A83600" w:rsidP="00C066F9">
            <w:pPr>
              <w:keepNext/>
              <w:keepLines/>
              <w:ind w:left="180" w:right="186"/>
              <w:rPr>
                <w:rFonts w:eastAsia="Calibri"/>
                <w:color w:val="000000"/>
              </w:rPr>
            </w:pPr>
            <w:r w:rsidRPr="003410C7">
              <w:rPr>
                <w:rFonts w:eastAsia="Calibri"/>
                <w:color w:val="000000"/>
              </w:rPr>
              <w:t>SharePoint Online Piano 1</w:t>
            </w:r>
          </w:p>
        </w:tc>
        <w:tc>
          <w:tcPr>
            <w:tcW w:w="2160" w:type="dxa"/>
            <w:shd w:val="clear" w:color="auto" w:fill="auto"/>
          </w:tcPr>
          <w:p w:rsidR="00A83600" w:rsidRPr="003410C7" w:rsidRDefault="00A83600" w:rsidP="00C066F9">
            <w:pPr>
              <w:keepNext/>
              <w:keepLines/>
              <w:ind w:left="180" w:right="186"/>
              <w:rPr>
                <w:rFonts w:eastAsia="Calibri"/>
                <w:color w:val="000000"/>
              </w:rPr>
            </w:pPr>
            <w:r w:rsidRPr="003410C7">
              <w:rPr>
                <w:rFonts w:eastAsia="Calibri"/>
                <w:color w:val="000000"/>
              </w:rPr>
              <w:t>SharePoint Online Piano 1</w:t>
            </w:r>
          </w:p>
        </w:tc>
        <w:tc>
          <w:tcPr>
            <w:tcW w:w="2250" w:type="dxa"/>
            <w:shd w:val="clear" w:color="auto" w:fill="auto"/>
          </w:tcPr>
          <w:p w:rsidR="00A83600" w:rsidRPr="003410C7" w:rsidRDefault="00A83600" w:rsidP="00C066F9">
            <w:pPr>
              <w:keepNext/>
              <w:keepLines/>
              <w:ind w:left="138" w:right="138"/>
              <w:rPr>
                <w:rFonts w:eastAsia="Calibri"/>
                <w:color w:val="000000"/>
              </w:rPr>
            </w:pPr>
            <w:r w:rsidRPr="003410C7">
              <w:rPr>
                <w:rFonts w:eastAsia="Calibri"/>
                <w:color w:val="000000"/>
              </w:rPr>
              <w:t>SharePoint Online Piano 2</w:t>
            </w:r>
          </w:p>
        </w:tc>
        <w:tc>
          <w:tcPr>
            <w:tcW w:w="2088" w:type="dxa"/>
            <w:shd w:val="clear" w:color="auto" w:fill="auto"/>
          </w:tcPr>
          <w:p w:rsidR="00A83600" w:rsidRPr="003410C7" w:rsidRDefault="00A83600" w:rsidP="00C066F9">
            <w:pPr>
              <w:keepNext/>
              <w:keepLines/>
              <w:ind w:left="186" w:right="180"/>
              <w:rPr>
                <w:rFonts w:eastAsia="Calibri"/>
                <w:color w:val="000000"/>
              </w:rPr>
            </w:pPr>
            <w:r w:rsidRPr="003410C7">
              <w:rPr>
                <w:rFonts w:eastAsia="Calibri"/>
                <w:color w:val="000000"/>
              </w:rPr>
              <w:t>SharePoint Online Piano 2</w:t>
            </w:r>
          </w:p>
        </w:tc>
      </w:tr>
      <w:tr w:rsidR="00A83600" w:rsidRPr="003410C7" w:rsidTr="00CA14C9">
        <w:tc>
          <w:tcPr>
            <w:tcW w:w="2070" w:type="dxa"/>
          </w:tcPr>
          <w:p w:rsidR="00A83600" w:rsidRPr="003410C7" w:rsidRDefault="00A83600" w:rsidP="004E422F">
            <w:pPr>
              <w:keepNext/>
              <w:keepLines/>
              <w:ind w:left="180" w:right="186"/>
              <w:rPr>
                <w:rFonts w:eastAsia="Calibri"/>
                <w:color w:val="000000"/>
              </w:rPr>
            </w:pPr>
            <w:r w:rsidRPr="003410C7">
              <w:rPr>
                <w:rFonts w:eastAsia="Calibri"/>
                <w:color w:val="000000"/>
              </w:rPr>
              <w:t>Lync Online Piano</w:t>
            </w:r>
            <w:r w:rsidR="004E422F">
              <w:rPr>
                <w:rFonts w:eastAsia="Calibri"/>
                <w:color w:val="000000"/>
              </w:rPr>
              <w:t> </w:t>
            </w:r>
            <w:r w:rsidRPr="003410C7">
              <w:rPr>
                <w:rFonts w:eastAsia="Calibri"/>
                <w:color w:val="000000"/>
              </w:rPr>
              <w:t>2</w:t>
            </w:r>
          </w:p>
        </w:tc>
        <w:tc>
          <w:tcPr>
            <w:tcW w:w="2160" w:type="dxa"/>
            <w:shd w:val="clear" w:color="auto" w:fill="auto"/>
          </w:tcPr>
          <w:p w:rsidR="00A83600" w:rsidRPr="003410C7" w:rsidRDefault="00A83600" w:rsidP="00C066F9">
            <w:pPr>
              <w:keepNext/>
              <w:keepLines/>
              <w:ind w:left="180" w:right="186"/>
              <w:rPr>
                <w:rFonts w:eastAsia="Calibri"/>
                <w:color w:val="000000"/>
              </w:rPr>
            </w:pPr>
            <w:r w:rsidRPr="003410C7">
              <w:rPr>
                <w:rFonts w:eastAsia="Calibri"/>
                <w:color w:val="000000"/>
              </w:rPr>
              <w:t>Lync Online Piano 2</w:t>
            </w:r>
          </w:p>
        </w:tc>
        <w:tc>
          <w:tcPr>
            <w:tcW w:w="2250" w:type="dxa"/>
            <w:shd w:val="clear" w:color="auto" w:fill="auto"/>
          </w:tcPr>
          <w:p w:rsidR="00A83600" w:rsidRPr="003410C7" w:rsidRDefault="00A83600" w:rsidP="00C066F9">
            <w:pPr>
              <w:keepNext/>
              <w:keepLines/>
              <w:ind w:left="138" w:right="138"/>
              <w:rPr>
                <w:rFonts w:eastAsia="Calibri"/>
                <w:color w:val="000000"/>
              </w:rPr>
            </w:pPr>
            <w:r w:rsidRPr="003410C7">
              <w:rPr>
                <w:rFonts w:eastAsia="Calibri"/>
                <w:color w:val="000000"/>
              </w:rPr>
              <w:t>Lync Online Piano 2</w:t>
            </w:r>
          </w:p>
        </w:tc>
        <w:tc>
          <w:tcPr>
            <w:tcW w:w="2088" w:type="dxa"/>
            <w:shd w:val="clear" w:color="auto" w:fill="auto"/>
          </w:tcPr>
          <w:p w:rsidR="00A83600" w:rsidRPr="003410C7" w:rsidRDefault="00A83600" w:rsidP="004E422F">
            <w:pPr>
              <w:keepNext/>
              <w:keepLines/>
              <w:ind w:left="186" w:right="180"/>
              <w:rPr>
                <w:rFonts w:eastAsia="Calibri"/>
                <w:color w:val="000000"/>
              </w:rPr>
            </w:pPr>
            <w:r w:rsidRPr="003410C7">
              <w:rPr>
                <w:rFonts w:eastAsia="Calibri"/>
                <w:color w:val="000000"/>
              </w:rPr>
              <w:t>Lync Online Piano</w:t>
            </w:r>
            <w:r w:rsidR="004E422F">
              <w:rPr>
                <w:rFonts w:eastAsia="Calibri"/>
                <w:color w:val="000000"/>
              </w:rPr>
              <w:t> </w:t>
            </w:r>
            <w:r w:rsidRPr="003410C7">
              <w:rPr>
                <w:rFonts w:eastAsia="Calibri"/>
                <w:color w:val="000000"/>
              </w:rPr>
              <w:t>2</w:t>
            </w:r>
          </w:p>
        </w:tc>
      </w:tr>
      <w:tr w:rsidR="00A83600" w:rsidRPr="003410C7" w:rsidTr="00CA14C9">
        <w:tc>
          <w:tcPr>
            <w:tcW w:w="2070" w:type="dxa"/>
          </w:tcPr>
          <w:p w:rsidR="00A83600" w:rsidRPr="003410C7" w:rsidRDefault="0050116B" w:rsidP="00C066F9">
            <w:pPr>
              <w:keepNext/>
              <w:keepLines/>
              <w:ind w:left="180" w:right="186"/>
              <w:rPr>
                <w:rFonts w:eastAsia="Calibri"/>
                <w:color w:val="000000"/>
              </w:rPr>
            </w:pPr>
            <w:r w:rsidRPr="003410C7">
              <w:rPr>
                <w:rFonts w:eastAsia="Calibri"/>
                <w:color w:val="000000"/>
              </w:rPr>
              <w:t>Office Web Applications (Microsoft Hosted)</w:t>
            </w:r>
          </w:p>
        </w:tc>
        <w:tc>
          <w:tcPr>
            <w:tcW w:w="2160" w:type="dxa"/>
            <w:shd w:val="clear" w:color="auto" w:fill="auto"/>
          </w:tcPr>
          <w:p w:rsidR="00A83600" w:rsidRPr="003410C7" w:rsidRDefault="00A83600" w:rsidP="00C066F9">
            <w:pPr>
              <w:keepNext/>
              <w:keepLines/>
              <w:ind w:left="180" w:right="186"/>
              <w:rPr>
                <w:rFonts w:eastAsia="Calibri"/>
                <w:color w:val="000000"/>
              </w:rPr>
            </w:pPr>
            <w:r w:rsidRPr="003410C7">
              <w:rPr>
                <w:rFonts w:eastAsia="Calibri"/>
                <w:color w:val="000000"/>
              </w:rPr>
              <w:t>Office Web Applications (Microsoft Hosted)</w:t>
            </w:r>
          </w:p>
        </w:tc>
        <w:tc>
          <w:tcPr>
            <w:tcW w:w="2250" w:type="dxa"/>
            <w:shd w:val="clear" w:color="auto" w:fill="auto"/>
          </w:tcPr>
          <w:p w:rsidR="00A83600" w:rsidRPr="003410C7" w:rsidRDefault="00A83600" w:rsidP="00C066F9">
            <w:pPr>
              <w:keepNext/>
              <w:keepLines/>
              <w:ind w:left="138" w:right="138"/>
              <w:rPr>
                <w:rFonts w:eastAsia="Calibri"/>
                <w:color w:val="000000"/>
              </w:rPr>
            </w:pPr>
            <w:r w:rsidRPr="003410C7">
              <w:rPr>
                <w:rFonts w:eastAsia="Calibri"/>
                <w:color w:val="000000"/>
              </w:rPr>
              <w:t>Office Web Applications (Microsoft Hosted)</w:t>
            </w:r>
          </w:p>
        </w:tc>
        <w:tc>
          <w:tcPr>
            <w:tcW w:w="2088" w:type="dxa"/>
            <w:shd w:val="clear" w:color="auto" w:fill="auto"/>
          </w:tcPr>
          <w:p w:rsidR="00A83600" w:rsidRPr="003410C7" w:rsidRDefault="00A83600" w:rsidP="00C066F9">
            <w:pPr>
              <w:keepNext/>
              <w:keepLines/>
              <w:ind w:left="186" w:right="180"/>
              <w:rPr>
                <w:rFonts w:eastAsia="Calibri"/>
                <w:color w:val="000000"/>
              </w:rPr>
            </w:pPr>
            <w:r w:rsidRPr="003410C7">
              <w:rPr>
                <w:rFonts w:eastAsia="Calibri"/>
                <w:color w:val="000000"/>
              </w:rPr>
              <w:t>Office Web Applications (Microsoft Hosted)</w:t>
            </w:r>
          </w:p>
        </w:tc>
      </w:tr>
      <w:tr w:rsidR="00A83600" w:rsidRPr="00DC1102" w:rsidTr="00CA14C9">
        <w:tc>
          <w:tcPr>
            <w:tcW w:w="2070" w:type="dxa"/>
          </w:tcPr>
          <w:p w:rsidR="00A83600" w:rsidRPr="003410C7" w:rsidRDefault="00A83600" w:rsidP="00C066F9">
            <w:pPr>
              <w:keepNext/>
              <w:keepLines/>
              <w:ind w:left="180" w:right="186"/>
              <w:rPr>
                <w:rFonts w:eastAsia="Calibri"/>
                <w:color w:val="000000"/>
              </w:rPr>
            </w:pPr>
          </w:p>
        </w:tc>
        <w:tc>
          <w:tcPr>
            <w:tcW w:w="2160" w:type="dxa"/>
            <w:shd w:val="clear" w:color="auto" w:fill="auto"/>
          </w:tcPr>
          <w:p w:rsidR="00A83600" w:rsidRPr="003410C7" w:rsidRDefault="00A83600" w:rsidP="00C066F9">
            <w:pPr>
              <w:keepNext/>
              <w:keepLines/>
              <w:ind w:left="180" w:right="186"/>
              <w:rPr>
                <w:rFonts w:eastAsia="Calibri"/>
                <w:color w:val="000000"/>
              </w:rPr>
            </w:pPr>
          </w:p>
        </w:tc>
        <w:tc>
          <w:tcPr>
            <w:tcW w:w="2250" w:type="dxa"/>
            <w:shd w:val="clear" w:color="auto" w:fill="auto"/>
          </w:tcPr>
          <w:p w:rsidR="00A83600" w:rsidRPr="00451078" w:rsidRDefault="00A83600" w:rsidP="00C066F9">
            <w:pPr>
              <w:keepNext/>
              <w:keepLines/>
              <w:ind w:left="138" w:right="138"/>
              <w:rPr>
                <w:rFonts w:eastAsia="Calibri"/>
                <w:color w:val="000000"/>
                <w:lang w:val="it-IT"/>
              </w:rPr>
            </w:pPr>
            <w:r w:rsidRPr="00451078">
              <w:rPr>
                <w:rFonts w:eastAsia="Calibri"/>
                <w:color w:val="000000"/>
                <w:lang w:val="it-IT"/>
              </w:rPr>
              <w:t xml:space="preserve">Sottoscrizione di Office Professional Plus </w:t>
            </w:r>
          </w:p>
        </w:tc>
        <w:tc>
          <w:tcPr>
            <w:tcW w:w="2088" w:type="dxa"/>
            <w:shd w:val="clear" w:color="auto" w:fill="auto"/>
          </w:tcPr>
          <w:p w:rsidR="00A83600" w:rsidRPr="00451078" w:rsidRDefault="00A83600" w:rsidP="00C066F9">
            <w:pPr>
              <w:keepNext/>
              <w:keepLines/>
              <w:ind w:left="186" w:right="180"/>
              <w:rPr>
                <w:rFonts w:eastAsia="Calibri"/>
                <w:color w:val="000000"/>
                <w:lang w:val="it-IT"/>
              </w:rPr>
            </w:pPr>
            <w:r w:rsidRPr="00451078">
              <w:rPr>
                <w:rFonts w:eastAsia="Calibri"/>
                <w:color w:val="000000"/>
                <w:lang w:val="it-IT"/>
              </w:rPr>
              <w:t xml:space="preserve">Sottoscrizione di Office Professional Plus </w:t>
            </w:r>
          </w:p>
        </w:tc>
      </w:tr>
    </w:tbl>
    <w:p w:rsidR="00263B62" w:rsidRPr="00451078" w:rsidRDefault="00A83600" w:rsidP="00E62BC4">
      <w:pPr>
        <w:ind w:left="720"/>
        <w:rPr>
          <w:lang w:val="it-IT"/>
        </w:rPr>
      </w:pPr>
      <w:r w:rsidRPr="00451078">
        <w:rPr>
          <w:color w:val="000000"/>
          <w:lang w:val="it-IT"/>
        </w:rPr>
        <w:br/>
      </w:r>
    </w:p>
    <w:p w:rsidR="00A83600" w:rsidRPr="00451078" w:rsidRDefault="00A83600" w:rsidP="00E62BC4">
      <w:pPr>
        <w:ind w:left="720"/>
        <w:rPr>
          <w:lang w:val="it-IT"/>
        </w:rPr>
      </w:pPr>
      <w:r w:rsidRPr="00451078">
        <w:rPr>
          <w:color w:val="000000"/>
          <w:lang w:val="it-IT"/>
        </w:rPr>
        <w:t>Questa lista è soggetta a modifiche. Nell</w:t>
      </w:r>
      <w:r w:rsidR="0073727D">
        <w:rPr>
          <w:color w:val="000000"/>
          <w:lang w:val="it-IT"/>
        </w:rPr>
        <w:t>’</w:t>
      </w:r>
      <w:r w:rsidRPr="00451078">
        <w:rPr>
          <w:color w:val="000000"/>
          <w:lang w:val="it-IT"/>
        </w:rPr>
        <w:t>eventualità di una discrepanza tra le condizioni di licenza per Office 365 Government G1 - G4 e questa nota, i Diritti di Utilizzo del Prodotto correnti avranno prevalenza. Gli eventuali diritti di accesso aggiuntivi per il software On-Premise concesso in licenza separatamente sono specificati nei Diritti di Utilizzo del Prodotto.</w:t>
      </w:r>
    </w:p>
    <w:p w:rsidR="00A83600" w:rsidRPr="00451078" w:rsidRDefault="00A83600" w:rsidP="00E62BC4">
      <w:pPr>
        <w:ind w:left="720"/>
        <w:rPr>
          <w:lang w:val="it-IT"/>
        </w:rPr>
      </w:pPr>
    </w:p>
    <w:p w:rsidR="00A83600" w:rsidRPr="00451078" w:rsidRDefault="00A83600" w:rsidP="00E62BC4">
      <w:pPr>
        <w:ind w:left="720"/>
        <w:rPr>
          <w:lang w:val="it-IT"/>
        </w:rPr>
      </w:pPr>
      <w:r w:rsidRPr="00451078">
        <w:rPr>
          <w:color w:val="000000"/>
          <w:lang w:val="it-IT"/>
        </w:rPr>
        <w:t>Lync Online Piano 1 e Piano 2 richiedono l</w:t>
      </w:r>
      <w:r w:rsidR="0073727D">
        <w:rPr>
          <w:color w:val="000000"/>
          <w:lang w:val="it-IT"/>
        </w:rPr>
        <w:t>’</w:t>
      </w:r>
      <w:r w:rsidRPr="00451078">
        <w:rPr>
          <w:color w:val="000000"/>
          <w:lang w:val="it-IT"/>
        </w:rPr>
        <w:t>acquisto e l</w:t>
      </w:r>
      <w:r w:rsidR="0073727D">
        <w:rPr>
          <w:color w:val="000000"/>
          <w:lang w:val="it-IT"/>
        </w:rPr>
        <w:t>’</w:t>
      </w:r>
      <w:r w:rsidRPr="00451078">
        <w:rPr>
          <w:color w:val="000000"/>
          <w:lang w:val="it-IT"/>
        </w:rPr>
        <w:t>installazione separati di Microsoft Lync 2013 (o di Lync per Mac 2011) per accedere al set completo di funzionalità di Lync Online Piano 1 e Piano 2. Grazie a</w:t>
      </w:r>
      <w:r w:rsidR="00F9066C" w:rsidRPr="00451078">
        <w:rPr>
          <w:color w:val="000000"/>
          <w:lang w:val="it-IT"/>
        </w:rPr>
        <w:t> </w:t>
      </w:r>
      <w:r w:rsidRPr="00451078">
        <w:rPr>
          <w:color w:val="000000"/>
          <w:lang w:val="it-IT"/>
        </w:rPr>
        <w:t>un</w:t>
      </w:r>
      <w:r w:rsidR="0073727D">
        <w:rPr>
          <w:color w:val="000000"/>
          <w:lang w:val="it-IT"/>
        </w:rPr>
        <w:t>’</w:t>
      </w:r>
      <w:r w:rsidRPr="00451078">
        <w:rPr>
          <w:color w:val="000000"/>
          <w:lang w:val="it-IT"/>
        </w:rPr>
        <w:t xml:space="preserve">offerta di durata limitata, le società titolari di licenza per Lync Online riceveranno gratuitamente in licenza una copia di Lync per Mac 2011 per ciascuna licenza </w:t>
      </w:r>
      <w:r w:rsidR="001A3EC5" w:rsidRPr="00451078">
        <w:rPr>
          <w:color w:val="000000"/>
          <w:lang w:val="it-IT"/>
        </w:rPr>
        <w:t>“</w:t>
      </w:r>
      <w:r w:rsidRPr="00451078">
        <w:rPr>
          <w:color w:val="000000"/>
          <w:lang w:val="it-IT"/>
        </w:rPr>
        <w:t>subscription</w:t>
      </w:r>
      <w:r w:rsidR="001A3EC5" w:rsidRPr="00451078">
        <w:rPr>
          <w:color w:val="000000"/>
          <w:lang w:val="it-IT"/>
        </w:rPr>
        <w:t>”</w:t>
      </w:r>
      <w:r w:rsidRPr="00451078">
        <w:rPr>
          <w:color w:val="000000"/>
          <w:lang w:val="it-IT"/>
        </w:rPr>
        <w:t xml:space="preserve"> acquistata o in versione di valutazione di</w:t>
      </w:r>
      <w:r w:rsidR="00F9066C" w:rsidRPr="00451078">
        <w:rPr>
          <w:color w:val="000000"/>
          <w:lang w:val="it-IT"/>
        </w:rPr>
        <w:t> </w:t>
      </w:r>
      <w:r w:rsidRPr="00451078">
        <w:rPr>
          <w:color w:val="000000"/>
          <w:lang w:val="it-IT"/>
        </w:rPr>
        <w:t>Lync Online. Il software potrà essere utilizzato esclusivamente con Lync Online e tutti i diritti di utilizzo del</w:t>
      </w:r>
      <w:r w:rsidR="00F9066C" w:rsidRPr="00451078">
        <w:rPr>
          <w:color w:val="000000"/>
          <w:lang w:val="it-IT"/>
        </w:rPr>
        <w:t> </w:t>
      </w:r>
      <w:r w:rsidRPr="00451078">
        <w:rPr>
          <w:color w:val="000000"/>
          <w:lang w:val="it-IT"/>
        </w:rPr>
        <w:t xml:space="preserve">software cesseranno alla scadenza della licenza </w:t>
      </w:r>
      <w:r w:rsidR="001A3EC5" w:rsidRPr="00451078">
        <w:rPr>
          <w:color w:val="000000"/>
          <w:lang w:val="it-IT"/>
        </w:rPr>
        <w:t>“</w:t>
      </w:r>
      <w:r w:rsidRPr="00451078">
        <w:rPr>
          <w:color w:val="000000"/>
          <w:lang w:val="it-IT"/>
        </w:rPr>
        <w:t>Subscription</w:t>
      </w:r>
      <w:r w:rsidR="001A3EC5" w:rsidRPr="00451078">
        <w:rPr>
          <w:color w:val="000000"/>
          <w:lang w:val="it-IT"/>
        </w:rPr>
        <w:t>”</w:t>
      </w:r>
      <w:r w:rsidRPr="00451078">
        <w:rPr>
          <w:color w:val="000000"/>
          <w:lang w:val="it-IT"/>
        </w:rPr>
        <w:t xml:space="preserve"> sottostante oppure in occasione della migrazione alla successiva nuova versione principale di Lync Online, a seconda di quale evento si verificherà per primo.</w:t>
      </w:r>
      <w:r w:rsidR="00082E1C" w:rsidRPr="00451078">
        <w:rPr>
          <w:color w:val="000000"/>
          <w:lang w:val="it-IT"/>
        </w:rPr>
        <w:t xml:space="preserve"> </w:t>
      </w:r>
      <w:r w:rsidRPr="00451078">
        <w:rPr>
          <w:lang w:val="it-IT"/>
        </w:rPr>
        <w:t>Le società potranno utilizzare il client gratuito Lync Basic 2013 per i loro utenti finali in</w:t>
      </w:r>
      <w:r w:rsidR="00F9066C" w:rsidRPr="00451078">
        <w:rPr>
          <w:lang w:val="it-IT"/>
        </w:rPr>
        <w:t> </w:t>
      </w:r>
      <w:r w:rsidRPr="00451078">
        <w:rPr>
          <w:lang w:val="it-IT"/>
        </w:rPr>
        <w:t>possesso di Windows.</w:t>
      </w:r>
    </w:p>
    <w:p w:rsidR="00A83600" w:rsidRPr="00451078" w:rsidRDefault="00A83600" w:rsidP="00E62BC4">
      <w:pPr>
        <w:ind w:left="720"/>
        <w:rPr>
          <w:lang w:val="it-IT"/>
        </w:rPr>
      </w:pPr>
    </w:p>
    <w:p w:rsidR="00A83600" w:rsidRPr="00451078" w:rsidRDefault="00A83600" w:rsidP="00E62BC4">
      <w:pPr>
        <w:ind w:left="720"/>
        <w:rPr>
          <w:lang w:val="it-IT"/>
        </w:rPr>
      </w:pPr>
      <w:r w:rsidRPr="00451078">
        <w:rPr>
          <w:rFonts w:eastAsia="Calibri" w:cs="Tahoma"/>
          <w:color w:val="000000"/>
          <w:szCs w:val="18"/>
          <w:lang w:val="it-IT"/>
        </w:rPr>
        <w:t>G1-G4 non potranno essere distribuiti nello stesso dominio in cui vengono distribuiti servizi specifici di community cloud per enti non pubblici. Tale limitazione si estende a qualsiasi servizio online facente parte</w:t>
      </w:r>
      <w:r w:rsidR="00F9066C" w:rsidRPr="00451078">
        <w:rPr>
          <w:rFonts w:eastAsia="Calibri" w:cs="Tahoma"/>
          <w:color w:val="000000"/>
          <w:szCs w:val="18"/>
          <w:lang w:val="it-IT"/>
        </w:rPr>
        <w:t> </w:t>
      </w:r>
      <w:r w:rsidRPr="00451078">
        <w:rPr>
          <w:rFonts w:eastAsia="Calibri" w:cs="Tahoma"/>
          <w:color w:val="000000"/>
          <w:szCs w:val="18"/>
          <w:lang w:val="it-IT"/>
        </w:rPr>
        <w:t>della famiglia di prodotti Office 365, inclusi Exchange Online, SharePoint Online e Lync Online.</w:t>
      </w:r>
    </w:p>
    <w:p w:rsidR="00A83600" w:rsidRPr="00451078" w:rsidRDefault="00A83600" w:rsidP="00E62BC4">
      <w:pPr>
        <w:ind w:left="720"/>
        <w:rPr>
          <w:lang w:val="it-IT"/>
        </w:rPr>
      </w:pPr>
    </w:p>
    <w:p w:rsidR="00F9066C" w:rsidRPr="00451078" w:rsidRDefault="00F9066C" w:rsidP="00E62BC4">
      <w:pPr>
        <w:ind w:left="720"/>
        <w:rPr>
          <w:lang w:val="it-IT"/>
        </w:rPr>
      </w:pPr>
    </w:p>
    <w:p w:rsidR="00A83600" w:rsidRPr="00451078" w:rsidRDefault="00A83600" w:rsidP="00E62BC4">
      <w:pPr>
        <w:ind w:left="720"/>
        <w:rPr>
          <w:lang w:val="it-IT"/>
        </w:rPr>
      </w:pPr>
      <w:r w:rsidRPr="00451078">
        <w:rPr>
          <w:rFonts w:eastAsia="Calibri" w:cs="Tahoma"/>
          <w:color w:val="000000"/>
          <w:szCs w:val="18"/>
          <w:lang w:val="it-IT"/>
        </w:rPr>
        <w:t>Quando verrà effettuato il provisioning di un servizio online nel community cloud per enti pubblici, rimarrà tale per tutto il periodo di validità della sottoscrizione. Le società che sono enti pubblici federali, statali, locali o tribali negli Stati Uniti dovranno essere in possesso di un</w:t>
      </w:r>
      <w:r w:rsidR="0073727D">
        <w:rPr>
          <w:rFonts w:eastAsia="Calibri" w:cs="Tahoma"/>
          <w:color w:val="000000"/>
          <w:szCs w:val="18"/>
          <w:lang w:val="it-IT"/>
        </w:rPr>
        <w:t>’</w:t>
      </w:r>
      <w:r w:rsidRPr="00451078">
        <w:rPr>
          <w:rFonts w:eastAsia="Calibri" w:cs="Tahoma"/>
          <w:color w:val="000000"/>
          <w:szCs w:val="18"/>
          <w:lang w:val="it-IT"/>
        </w:rPr>
        <w:t>Iscrizione Enterprise o Enterprise Subscription per Enti Pubblici Statunitensi per essere idonei all</w:t>
      </w:r>
      <w:r w:rsidR="0073727D">
        <w:rPr>
          <w:rFonts w:eastAsia="Calibri" w:cs="Tahoma"/>
          <w:color w:val="000000"/>
          <w:szCs w:val="18"/>
          <w:lang w:val="it-IT"/>
        </w:rPr>
        <w:t>’</w:t>
      </w:r>
      <w:r w:rsidRPr="00451078">
        <w:rPr>
          <w:rFonts w:eastAsia="Calibri" w:cs="Tahoma"/>
          <w:color w:val="000000"/>
          <w:szCs w:val="18"/>
          <w:lang w:val="it-IT"/>
        </w:rPr>
        <w:t>acquisto di servizi online designati come community cloud per enti pubblici.</w:t>
      </w:r>
      <w:r w:rsidR="00082E1C" w:rsidRPr="00451078">
        <w:rPr>
          <w:rFonts w:eastAsia="Calibri" w:cs="Tahoma"/>
          <w:color w:val="000000"/>
          <w:szCs w:val="18"/>
          <w:lang w:val="it-IT"/>
        </w:rPr>
        <w:t xml:space="preserve"> </w:t>
      </w:r>
      <w:r w:rsidRPr="00451078">
        <w:rPr>
          <w:rFonts w:eastAsia="Calibri" w:cs="Tahoma"/>
          <w:color w:val="000000"/>
          <w:szCs w:val="18"/>
          <w:lang w:val="it-IT"/>
        </w:rPr>
        <w:t>I Diritti sull</w:t>
      </w:r>
      <w:r w:rsidR="0073727D">
        <w:rPr>
          <w:rFonts w:eastAsia="Calibri" w:cs="Tahoma"/>
          <w:color w:val="000000"/>
          <w:szCs w:val="18"/>
          <w:lang w:val="it-IT"/>
        </w:rPr>
        <w:t>’</w:t>
      </w:r>
      <w:r w:rsidRPr="00451078">
        <w:rPr>
          <w:rFonts w:eastAsia="Calibri" w:cs="Tahoma"/>
          <w:color w:val="000000"/>
          <w:szCs w:val="18"/>
          <w:lang w:val="it-IT"/>
        </w:rPr>
        <w:t>Utilizzo relativi ai servizi di community cloud per enti pubblici sono simili a quelli dei loro equivalenti multi-tenant standard, come indicato nella seguente tabella:</w:t>
      </w:r>
    </w:p>
    <w:p w:rsidR="00A83600" w:rsidRPr="00451078" w:rsidRDefault="00A83600" w:rsidP="00A83600">
      <w:pPr>
        <w:ind w:left="900"/>
        <w:rPr>
          <w:lang w:val="it-IT"/>
        </w:rPr>
      </w:pPr>
    </w:p>
    <w:tbl>
      <w:tblPr>
        <w:tblW w:w="0" w:type="auto"/>
        <w:tblInd w:w="87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202"/>
        <w:gridCol w:w="4366"/>
      </w:tblGrid>
      <w:tr w:rsidR="00A83600" w:rsidRPr="00DC1102" w:rsidTr="00CA14C9">
        <w:tc>
          <w:tcPr>
            <w:tcW w:w="4202" w:type="dxa"/>
            <w:shd w:val="clear" w:color="auto" w:fill="FABF8F"/>
          </w:tcPr>
          <w:p w:rsidR="00A83600" w:rsidRPr="003410C7" w:rsidRDefault="00A83600" w:rsidP="00722522">
            <w:pPr>
              <w:rPr>
                <w:rFonts w:eastAsia="Calibri"/>
                <w:b/>
                <w:color w:val="000000"/>
                <w:sz w:val="20"/>
                <w:szCs w:val="20"/>
              </w:rPr>
            </w:pPr>
            <w:r w:rsidRPr="003410C7">
              <w:rPr>
                <w:rFonts w:eastAsia="Calibri"/>
                <w:b/>
                <w:color w:val="000000"/>
                <w:sz w:val="20"/>
                <w:szCs w:val="20"/>
              </w:rPr>
              <w:t xml:space="preserve">Office 365 Enterprise E </w:t>
            </w:r>
          </w:p>
        </w:tc>
        <w:tc>
          <w:tcPr>
            <w:tcW w:w="4366" w:type="dxa"/>
            <w:shd w:val="clear" w:color="auto" w:fill="FABF8F"/>
          </w:tcPr>
          <w:p w:rsidR="00A83600" w:rsidRPr="00451078" w:rsidRDefault="00A83600" w:rsidP="00F9066C">
            <w:pPr>
              <w:rPr>
                <w:rFonts w:eastAsia="Calibri"/>
                <w:b/>
                <w:color w:val="000000"/>
                <w:sz w:val="20"/>
                <w:szCs w:val="20"/>
                <w:lang w:val="it-IT"/>
              </w:rPr>
            </w:pPr>
            <w:r w:rsidRPr="00451078">
              <w:rPr>
                <w:rFonts w:eastAsia="Calibri"/>
                <w:b/>
                <w:color w:val="000000"/>
                <w:sz w:val="20"/>
                <w:szCs w:val="20"/>
                <w:lang w:val="it-IT"/>
              </w:rPr>
              <w:t>Servizio per Office 365 Government G</w:t>
            </w:r>
            <w:r w:rsidR="00F9066C" w:rsidRPr="00451078">
              <w:rPr>
                <w:rFonts w:eastAsia="Calibri"/>
                <w:b/>
                <w:color w:val="000000"/>
                <w:sz w:val="20"/>
                <w:szCs w:val="20"/>
                <w:lang w:val="it-IT"/>
              </w:rPr>
              <w:t> </w:t>
            </w:r>
            <w:r w:rsidRPr="00451078">
              <w:rPr>
                <w:rFonts w:eastAsia="Calibri"/>
                <w:b/>
                <w:color w:val="000000"/>
                <w:sz w:val="20"/>
                <w:szCs w:val="20"/>
                <w:lang w:val="it-IT"/>
              </w:rPr>
              <w:t>con Diritti sull</w:t>
            </w:r>
            <w:r w:rsidR="0073727D">
              <w:rPr>
                <w:rFonts w:eastAsia="Calibri"/>
                <w:b/>
                <w:color w:val="000000"/>
                <w:sz w:val="20"/>
                <w:szCs w:val="20"/>
                <w:lang w:val="it-IT"/>
              </w:rPr>
              <w:t>’</w:t>
            </w:r>
            <w:r w:rsidRPr="00451078">
              <w:rPr>
                <w:rFonts w:eastAsia="Calibri"/>
                <w:b/>
                <w:color w:val="000000"/>
                <w:sz w:val="20"/>
                <w:szCs w:val="20"/>
                <w:lang w:val="it-IT"/>
              </w:rPr>
              <w:t>Utilizzo equivalenti</w:t>
            </w:r>
          </w:p>
        </w:tc>
      </w:tr>
      <w:tr w:rsidR="00A83600" w:rsidRPr="003410C7" w:rsidTr="00CA14C9">
        <w:tc>
          <w:tcPr>
            <w:tcW w:w="4202" w:type="dxa"/>
            <w:shd w:val="clear" w:color="auto" w:fill="auto"/>
          </w:tcPr>
          <w:p w:rsidR="00A83600" w:rsidRPr="003410C7" w:rsidRDefault="00A83600" w:rsidP="00722522">
            <w:pPr>
              <w:rPr>
                <w:rFonts w:eastAsia="Calibri"/>
                <w:color w:val="000000"/>
              </w:rPr>
            </w:pPr>
            <w:r w:rsidRPr="003410C7">
              <w:rPr>
                <w:rFonts w:eastAsia="Calibri"/>
                <w:color w:val="000000"/>
              </w:rPr>
              <w:t>Office 365 Enterprise E1</w:t>
            </w:r>
          </w:p>
        </w:tc>
        <w:tc>
          <w:tcPr>
            <w:tcW w:w="4366" w:type="dxa"/>
            <w:shd w:val="clear" w:color="auto" w:fill="auto"/>
          </w:tcPr>
          <w:p w:rsidR="00A83600" w:rsidRPr="003410C7" w:rsidRDefault="00A83600" w:rsidP="00722522">
            <w:pPr>
              <w:rPr>
                <w:rFonts w:eastAsia="Calibri"/>
                <w:color w:val="000000"/>
              </w:rPr>
            </w:pPr>
            <w:r w:rsidRPr="003410C7">
              <w:rPr>
                <w:rFonts w:eastAsia="Calibri"/>
                <w:color w:val="000000"/>
              </w:rPr>
              <w:t>Office 365 Government G1</w:t>
            </w:r>
          </w:p>
        </w:tc>
      </w:tr>
      <w:tr w:rsidR="00A83600" w:rsidRPr="003410C7" w:rsidTr="00CA14C9">
        <w:tc>
          <w:tcPr>
            <w:tcW w:w="4202" w:type="dxa"/>
            <w:shd w:val="clear" w:color="auto" w:fill="auto"/>
          </w:tcPr>
          <w:p w:rsidR="00A83600" w:rsidRPr="003410C7" w:rsidRDefault="00A83600" w:rsidP="00722522">
            <w:pPr>
              <w:rPr>
                <w:rFonts w:eastAsia="Calibri"/>
                <w:color w:val="000000"/>
              </w:rPr>
            </w:pPr>
            <w:r w:rsidRPr="003410C7">
              <w:rPr>
                <w:rFonts w:eastAsia="Calibri"/>
                <w:color w:val="000000"/>
              </w:rPr>
              <w:t>Office 365 Enterprise E2</w:t>
            </w:r>
          </w:p>
        </w:tc>
        <w:tc>
          <w:tcPr>
            <w:tcW w:w="4366" w:type="dxa"/>
            <w:shd w:val="clear" w:color="auto" w:fill="auto"/>
          </w:tcPr>
          <w:p w:rsidR="00A83600" w:rsidRPr="003410C7" w:rsidRDefault="00A83600" w:rsidP="00722522">
            <w:pPr>
              <w:rPr>
                <w:rFonts w:eastAsia="Calibri"/>
                <w:color w:val="000000"/>
              </w:rPr>
            </w:pPr>
            <w:r w:rsidRPr="003410C7">
              <w:rPr>
                <w:rFonts w:eastAsia="Calibri"/>
                <w:color w:val="000000"/>
              </w:rPr>
              <w:t>Office 365 Government G2</w:t>
            </w:r>
          </w:p>
        </w:tc>
      </w:tr>
      <w:tr w:rsidR="00A83600" w:rsidRPr="003410C7" w:rsidTr="00CA14C9">
        <w:tc>
          <w:tcPr>
            <w:tcW w:w="4202" w:type="dxa"/>
            <w:shd w:val="clear" w:color="auto" w:fill="auto"/>
          </w:tcPr>
          <w:p w:rsidR="00A83600" w:rsidRPr="003410C7" w:rsidRDefault="00A83600" w:rsidP="00722522">
            <w:pPr>
              <w:rPr>
                <w:rFonts w:eastAsia="Calibri"/>
                <w:color w:val="000000"/>
              </w:rPr>
            </w:pPr>
            <w:r w:rsidRPr="003410C7">
              <w:rPr>
                <w:rFonts w:eastAsia="Calibri"/>
                <w:color w:val="000000"/>
              </w:rPr>
              <w:t>Office 365 Enterprise E3</w:t>
            </w:r>
          </w:p>
        </w:tc>
        <w:tc>
          <w:tcPr>
            <w:tcW w:w="4366" w:type="dxa"/>
            <w:shd w:val="clear" w:color="auto" w:fill="auto"/>
          </w:tcPr>
          <w:p w:rsidR="00A83600" w:rsidRPr="003410C7" w:rsidRDefault="00A83600" w:rsidP="00722522">
            <w:pPr>
              <w:rPr>
                <w:rFonts w:eastAsia="Calibri"/>
                <w:color w:val="000000"/>
              </w:rPr>
            </w:pPr>
            <w:r w:rsidRPr="003410C7">
              <w:rPr>
                <w:rFonts w:eastAsia="Calibri"/>
                <w:color w:val="000000"/>
              </w:rPr>
              <w:t>Office 365 Government G3</w:t>
            </w:r>
          </w:p>
        </w:tc>
      </w:tr>
      <w:tr w:rsidR="00A83600" w:rsidRPr="003410C7" w:rsidTr="00CA14C9">
        <w:tc>
          <w:tcPr>
            <w:tcW w:w="4202" w:type="dxa"/>
            <w:shd w:val="clear" w:color="auto" w:fill="auto"/>
          </w:tcPr>
          <w:p w:rsidR="00A83600" w:rsidRPr="003410C7" w:rsidRDefault="00A83600" w:rsidP="00722522">
            <w:pPr>
              <w:rPr>
                <w:rFonts w:eastAsia="Calibri"/>
                <w:color w:val="000000"/>
              </w:rPr>
            </w:pPr>
            <w:r w:rsidRPr="003410C7">
              <w:rPr>
                <w:rFonts w:eastAsia="Calibri"/>
                <w:color w:val="000000"/>
              </w:rPr>
              <w:t>Office 365 Enterprise E4</w:t>
            </w:r>
          </w:p>
        </w:tc>
        <w:tc>
          <w:tcPr>
            <w:tcW w:w="4366" w:type="dxa"/>
            <w:shd w:val="clear" w:color="auto" w:fill="auto"/>
          </w:tcPr>
          <w:p w:rsidR="00A83600" w:rsidRPr="003410C7" w:rsidRDefault="00A83600" w:rsidP="00722522">
            <w:pPr>
              <w:rPr>
                <w:rFonts w:eastAsia="Calibri"/>
                <w:color w:val="000000"/>
              </w:rPr>
            </w:pPr>
            <w:r w:rsidRPr="003410C7">
              <w:rPr>
                <w:rFonts w:eastAsia="Calibri"/>
                <w:color w:val="000000"/>
              </w:rPr>
              <w:t>Office 365 Government G4</w:t>
            </w:r>
          </w:p>
        </w:tc>
      </w:tr>
    </w:tbl>
    <w:p w:rsidR="004574E9" w:rsidRPr="003410C7" w:rsidRDefault="004574E9" w:rsidP="00194DAF"/>
    <w:p w:rsidR="002512D3" w:rsidRPr="003410C7" w:rsidRDefault="002512D3">
      <w:bookmarkStart w:id="1346" w:name="_59_Office_Communications"/>
      <w:bookmarkStart w:id="1347" w:name="_57_Office_Communications"/>
      <w:bookmarkStart w:id="1348" w:name="_59_Office_Groove"/>
      <w:bookmarkStart w:id="1349" w:name="_Toc336338331"/>
      <w:bookmarkStart w:id="1350" w:name="Srv_74Office365PlanK1K2"/>
      <w:bookmarkEnd w:id="1322"/>
      <w:bookmarkEnd w:id="1346"/>
      <w:bookmarkEnd w:id="1347"/>
      <w:bookmarkEnd w:id="1348"/>
    </w:p>
    <w:p w:rsidR="00F42FD5" w:rsidRPr="003410C7" w:rsidRDefault="00A7003F" w:rsidP="00F42FD5">
      <w:pPr>
        <w:pStyle w:val="Heading2"/>
        <w:ind w:left="0"/>
      </w:pPr>
      <w:bookmarkStart w:id="1351" w:name="_68_SharePoint_Online"/>
      <w:bookmarkStart w:id="1352" w:name="_71_SharePoint_Online"/>
      <w:bookmarkStart w:id="1353" w:name="_Toc336338334"/>
      <w:bookmarkStart w:id="1354" w:name="_Toc352234924"/>
      <w:bookmarkStart w:id="1355" w:name="Srv_73SharepointOnlinePlan1"/>
      <w:bookmarkStart w:id="1356" w:name="Srv_74SharepointOnlinePlan1"/>
      <w:bookmarkStart w:id="1357" w:name="Srv_62OfficePerfPointSvr07"/>
      <w:bookmarkEnd w:id="1349"/>
      <w:bookmarkEnd w:id="1350"/>
      <w:bookmarkEnd w:id="1351"/>
      <w:bookmarkEnd w:id="1352"/>
      <w:r w:rsidRPr="003410C7">
        <w:rPr>
          <w:rFonts w:ascii="Tahoma" w:hAnsi="Tahoma" w:cs="Tahoma"/>
          <w:caps/>
          <w:color w:val="FF6600"/>
          <w:sz w:val="22"/>
          <w:vertAlign w:val="superscript"/>
        </w:rPr>
        <w:t>71</w:t>
      </w:r>
      <w:r w:rsidRPr="003410C7">
        <w:rPr>
          <w:rFonts w:ascii="Tahoma" w:hAnsi="Tahoma" w:cs="Tahoma"/>
          <w:color w:val="FF6600"/>
        </w:rPr>
        <w:t xml:space="preserve"> </w:t>
      </w:r>
      <w:r w:rsidRPr="003410C7">
        <w:rPr>
          <w:rFonts w:ascii="Tahoma" w:hAnsi="Tahoma" w:cs="Tahoma"/>
          <w:color w:val="FF6600"/>
          <w:sz w:val="22"/>
          <w:szCs w:val="22"/>
        </w:rPr>
        <w:t>SharePoint Online Piani 1 e 2</w:t>
      </w:r>
      <w:bookmarkEnd w:id="1353"/>
      <w:bookmarkEnd w:id="1354"/>
    </w:p>
    <w:bookmarkEnd w:id="1355"/>
    <w:bookmarkEnd w:id="1356"/>
    <w:p w:rsidR="00F42FD5" w:rsidRPr="003410C7" w:rsidRDefault="00F42FD5" w:rsidP="00F42FD5"/>
    <w:p w:rsidR="00F42FD5" w:rsidRPr="003410C7" w:rsidRDefault="00F42FD5" w:rsidP="00AC0ED2">
      <w:pPr>
        <w:pStyle w:val="EndnoteText"/>
        <w:ind w:left="720"/>
      </w:pPr>
      <w:r w:rsidRPr="003410C7">
        <w:rPr>
          <w:rFonts w:ascii="Tahoma" w:hAnsi="Tahoma" w:cs="Tahoma"/>
          <w:color w:val="000000"/>
          <w:sz w:val="18"/>
          <w:szCs w:val="18"/>
        </w:rPr>
        <w:t>SharePoint Online Piano 1 era precedentemente noto come SharePoint Online Standard.</w:t>
      </w:r>
    </w:p>
    <w:p w:rsidR="00F42FD5" w:rsidRPr="003410C7" w:rsidRDefault="00F42FD5" w:rsidP="00AC0ED2">
      <w:pPr>
        <w:pStyle w:val="EndnoteText"/>
        <w:ind w:left="720"/>
      </w:pPr>
    </w:p>
    <w:p w:rsidR="00F42FD5" w:rsidRPr="00451078" w:rsidRDefault="00F42FD5" w:rsidP="00AC0ED2">
      <w:pPr>
        <w:pStyle w:val="EndnoteText"/>
        <w:ind w:left="720"/>
        <w:rPr>
          <w:lang w:val="it-IT"/>
        </w:rPr>
      </w:pPr>
      <w:r w:rsidRPr="00451078">
        <w:rPr>
          <w:rFonts w:ascii="Tahoma" w:hAnsi="Tahoma" w:cs="Tahoma"/>
          <w:color w:val="000000"/>
          <w:sz w:val="18"/>
          <w:szCs w:val="18"/>
          <w:lang w:val="it-IT"/>
        </w:rPr>
        <w:t>Le società che, in Brasile o in Cile, acquisteranno SharePoint Online Piano 1 riceveranno SharePoint Online Standard.</w:t>
      </w:r>
      <w:r w:rsidR="00082E1C" w:rsidRPr="00451078">
        <w:rPr>
          <w:rFonts w:ascii="Tahoma" w:hAnsi="Tahoma" w:cs="Tahoma"/>
          <w:color w:val="000000"/>
          <w:sz w:val="18"/>
          <w:szCs w:val="18"/>
          <w:lang w:val="it-IT"/>
        </w:rPr>
        <w:t xml:space="preserve"> </w:t>
      </w:r>
      <w:r w:rsidRPr="00451078">
        <w:rPr>
          <w:rFonts w:ascii="Tahoma" w:hAnsi="Tahoma" w:cs="Tahoma"/>
          <w:color w:val="000000"/>
          <w:sz w:val="18"/>
          <w:szCs w:val="18"/>
          <w:lang w:val="it-IT"/>
        </w:rPr>
        <w:t>Tali società potranno migrare a SharePoint Online Piano 1 in un secondo momento.</w:t>
      </w:r>
    </w:p>
    <w:p w:rsidR="007316A1" w:rsidRPr="00451078" w:rsidRDefault="007316A1" w:rsidP="00AC0ED2">
      <w:pPr>
        <w:pStyle w:val="EndnoteText"/>
        <w:ind w:left="720"/>
        <w:rPr>
          <w:lang w:val="it-IT"/>
        </w:rPr>
      </w:pPr>
    </w:p>
    <w:p w:rsidR="00DB7BD1" w:rsidRPr="00451078" w:rsidRDefault="00DB7BD1" w:rsidP="007B699C">
      <w:pPr>
        <w:spacing w:after="60"/>
        <w:ind w:left="720"/>
        <w:rPr>
          <w:lang w:val="it-IT"/>
        </w:rPr>
      </w:pPr>
      <w:r w:rsidRPr="00451078">
        <w:rPr>
          <w:rFonts w:eastAsia="Calibri" w:cs="Tahoma"/>
          <w:b/>
          <w:color w:val="000000"/>
          <w:szCs w:val="18"/>
          <w:lang w:val="it-IT"/>
        </w:rPr>
        <w:t>Community Cloud per Enti Pubblici (solo Stati Uniti)</w:t>
      </w:r>
    </w:p>
    <w:p w:rsidR="00DB7BD1" w:rsidRPr="00451078" w:rsidRDefault="00DB7BD1" w:rsidP="00AC0ED2">
      <w:pPr>
        <w:ind w:left="720"/>
        <w:rPr>
          <w:lang w:val="it-IT"/>
        </w:rPr>
      </w:pPr>
      <w:r w:rsidRPr="00451078">
        <w:rPr>
          <w:rFonts w:eastAsia="Calibri" w:cs="Tahoma"/>
          <w:color w:val="000000"/>
          <w:szCs w:val="18"/>
          <w:lang w:val="it-IT"/>
        </w:rPr>
        <w:lastRenderedPageBreak/>
        <w:t>Alcuni servizi online della famiglia di prodotti Office 365 (incluso SharePoint Online Piano 1 e 2) sono offerti come servizi di community cloud per enti pubblici e come servizi di community cloud per enti non pubblici.</w:t>
      </w:r>
      <w:r w:rsidR="00082E1C" w:rsidRPr="00451078">
        <w:rPr>
          <w:rFonts w:eastAsia="Calibri" w:cs="Tahoma"/>
          <w:color w:val="000000"/>
          <w:szCs w:val="18"/>
          <w:lang w:val="it-IT"/>
        </w:rPr>
        <w:t xml:space="preserve"> </w:t>
      </w:r>
      <w:r w:rsidRPr="00451078">
        <w:rPr>
          <w:rFonts w:eastAsia="Calibri" w:cs="Tahoma"/>
          <w:color w:val="000000"/>
          <w:szCs w:val="18"/>
          <w:lang w:val="it-IT"/>
        </w:rPr>
        <w:t>Alle società potrà essere effettuato il provisioning come ente pubblico o non pubblico, ma non come una combinazione di entrambi.</w:t>
      </w:r>
      <w:r w:rsidR="00082E1C" w:rsidRPr="00451078">
        <w:rPr>
          <w:rFonts w:eastAsia="Calibri" w:cs="Tahoma"/>
          <w:color w:val="000000"/>
          <w:szCs w:val="18"/>
          <w:lang w:val="it-IT"/>
        </w:rPr>
        <w:t xml:space="preserve"> </w:t>
      </w:r>
      <w:r w:rsidRPr="00451078">
        <w:rPr>
          <w:rFonts w:eastAsia="Calibri" w:cs="Tahoma"/>
          <w:color w:val="000000"/>
          <w:szCs w:val="18"/>
          <w:lang w:val="it-IT"/>
        </w:rPr>
        <w:t>I Servizi Online designati come community cloud per enti pubblici non potranno essere distribuiti nello stesso dominio in cui vengono distribuiti servizi specifici di community cloud per enti non pubblici. Tale limitazione si estende a qualsiasi servizio online facente parte della famiglia di prodotti Office 365, inclusi Exchange Online, SharePoint Online e Lync Online.</w:t>
      </w:r>
      <w:r w:rsidR="00082E1C" w:rsidRPr="00451078">
        <w:rPr>
          <w:rFonts w:eastAsia="Calibri" w:cs="Tahoma"/>
          <w:color w:val="000000"/>
          <w:szCs w:val="18"/>
          <w:lang w:val="it-IT"/>
        </w:rPr>
        <w:t xml:space="preserve"> </w:t>
      </w:r>
    </w:p>
    <w:p w:rsidR="00DB7BD1" w:rsidRPr="00451078" w:rsidRDefault="00DB7BD1" w:rsidP="00AC0ED2">
      <w:pPr>
        <w:ind w:left="720"/>
        <w:rPr>
          <w:lang w:val="it-IT"/>
        </w:rPr>
      </w:pPr>
    </w:p>
    <w:p w:rsidR="00DB7BD1" w:rsidRPr="00451078" w:rsidRDefault="00DB7BD1" w:rsidP="00AC0ED2">
      <w:pPr>
        <w:ind w:left="720"/>
        <w:rPr>
          <w:lang w:val="it-IT"/>
        </w:rPr>
      </w:pPr>
      <w:r w:rsidRPr="00451078">
        <w:rPr>
          <w:rFonts w:eastAsia="Calibri" w:cs="Tahoma"/>
          <w:color w:val="000000"/>
          <w:szCs w:val="18"/>
          <w:lang w:val="it-IT"/>
        </w:rPr>
        <w:t>Quando verrà effettuato il provisioning di un servizio online nel community cloud per enti pubblici, rimarrà tale per tutto il periodo di validità della sottoscrizione. Le società che sono enti pubblici federali, statali, locali o tribali negli Stati Uniti dovranno essere in possesso di un</w:t>
      </w:r>
      <w:r w:rsidR="0073727D">
        <w:rPr>
          <w:rFonts w:eastAsia="Calibri" w:cs="Tahoma"/>
          <w:color w:val="000000"/>
          <w:szCs w:val="18"/>
          <w:lang w:val="it-IT"/>
        </w:rPr>
        <w:t>’</w:t>
      </w:r>
      <w:r w:rsidRPr="00451078">
        <w:rPr>
          <w:rFonts w:eastAsia="Calibri" w:cs="Tahoma"/>
          <w:color w:val="000000"/>
          <w:szCs w:val="18"/>
          <w:lang w:val="it-IT"/>
        </w:rPr>
        <w:t>Iscrizione Enterprise o Enterprise Subscription per Enti Pubblici Statunitensi per essere idonei all</w:t>
      </w:r>
      <w:r w:rsidR="0073727D">
        <w:rPr>
          <w:rFonts w:eastAsia="Calibri" w:cs="Tahoma"/>
          <w:color w:val="000000"/>
          <w:szCs w:val="18"/>
          <w:lang w:val="it-IT"/>
        </w:rPr>
        <w:t>’</w:t>
      </w:r>
      <w:r w:rsidRPr="00451078">
        <w:rPr>
          <w:rFonts w:eastAsia="Calibri" w:cs="Tahoma"/>
          <w:color w:val="000000"/>
          <w:szCs w:val="18"/>
          <w:lang w:val="it-IT"/>
        </w:rPr>
        <w:t>acquisto di servizi online designati come community cloud per enti pubblici.</w:t>
      </w:r>
      <w:r w:rsidR="00082E1C" w:rsidRPr="00451078">
        <w:rPr>
          <w:rFonts w:eastAsia="Calibri" w:cs="Tahoma"/>
          <w:color w:val="000000"/>
          <w:szCs w:val="18"/>
          <w:lang w:val="it-IT"/>
        </w:rPr>
        <w:t xml:space="preserve"> </w:t>
      </w:r>
      <w:r w:rsidRPr="00451078">
        <w:rPr>
          <w:rFonts w:eastAsia="Calibri" w:cs="Tahoma"/>
          <w:color w:val="000000"/>
          <w:szCs w:val="18"/>
          <w:lang w:val="it-IT"/>
        </w:rPr>
        <w:t>I Diritti sull</w:t>
      </w:r>
      <w:r w:rsidR="0073727D">
        <w:rPr>
          <w:rFonts w:eastAsia="Calibri" w:cs="Tahoma"/>
          <w:color w:val="000000"/>
          <w:szCs w:val="18"/>
          <w:lang w:val="it-IT"/>
        </w:rPr>
        <w:t>’</w:t>
      </w:r>
      <w:r w:rsidRPr="00451078">
        <w:rPr>
          <w:rFonts w:eastAsia="Calibri" w:cs="Tahoma"/>
          <w:color w:val="000000"/>
          <w:szCs w:val="18"/>
          <w:lang w:val="it-IT"/>
        </w:rPr>
        <w:t>Utilizzo relativi ai servizi di community cloud per enti pubblici sono simili a quelli dei loro equivalenti multi-tenant standard.</w:t>
      </w:r>
    </w:p>
    <w:p w:rsidR="00C737B6" w:rsidRPr="00451078" w:rsidRDefault="00C737B6" w:rsidP="00697E59">
      <w:pPr>
        <w:pStyle w:val="EndnoteText"/>
        <w:ind w:left="0"/>
        <w:rPr>
          <w:lang w:val="it-IT"/>
        </w:rPr>
      </w:pPr>
    </w:p>
    <w:p w:rsidR="007B699C" w:rsidRPr="00451078" w:rsidRDefault="007B699C" w:rsidP="00697E59">
      <w:pPr>
        <w:pStyle w:val="EndnoteText"/>
        <w:ind w:left="0"/>
        <w:rPr>
          <w:lang w:val="it-IT"/>
        </w:rPr>
      </w:pPr>
    </w:p>
    <w:p w:rsidR="002F7FB8" w:rsidRPr="003410C7" w:rsidRDefault="00A7003F" w:rsidP="002F7FB8">
      <w:pPr>
        <w:pStyle w:val="Heading2"/>
        <w:ind w:left="0"/>
      </w:pPr>
      <w:bookmarkStart w:id="1358" w:name="_69_SharePoint_Server"/>
      <w:bookmarkStart w:id="1359" w:name="_74_72_SharePoint"/>
      <w:bookmarkStart w:id="1360" w:name="_Toc336338335"/>
      <w:bookmarkStart w:id="1361" w:name="_Toc352234925"/>
      <w:bookmarkStart w:id="1362" w:name="Srv_65ShareptSvr10"/>
      <w:bookmarkStart w:id="1363" w:name="Srv_64OfficeShareptSvr10"/>
      <w:bookmarkStart w:id="1364" w:name="Srv_63OfficeShareptSvr07"/>
      <w:bookmarkStart w:id="1365" w:name="Srv_62OfficeShareptSvr07"/>
      <w:bookmarkEnd w:id="1357"/>
      <w:bookmarkEnd w:id="1358"/>
      <w:bookmarkEnd w:id="1359"/>
      <w:r w:rsidRPr="003410C7">
        <w:rPr>
          <w:rFonts w:ascii="Tahoma" w:hAnsi="Tahoma" w:cs="Tahoma"/>
          <w:caps/>
          <w:color w:val="FA6500"/>
          <w:sz w:val="22"/>
          <w:vertAlign w:val="superscript"/>
        </w:rPr>
        <w:t xml:space="preserve">72 </w:t>
      </w:r>
      <w:r w:rsidRPr="003410C7">
        <w:rPr>
          <w:rFonts w:ascii="Tahoma" w:hAnsi="Tahoma" w:cs="Tahoma"/>
          <w:color w:val="FA6500"/>
          <w:sz w:val="22"/>
        </w:rPr>
        <w:t xml:space="preserve">SharePoint Server </w:t>
      </w:r>
      <w:bookmarkEnd w:id="1360"/>
      <w:r w:rsidRPr="003410C7">
        <w:rPr>
          <w:rFonts w:ascii="Tahoma" w:hAnsi="Tahoma" w:cs="Tahoma"/>
          <w:color w:val="FA6500"/>
          <w:sz w:val="22"/>
        </w:rPr>
        <w:t>2013</w:t>
      </w:r>
      <w:bookmarkEnd w:id="1361"/>
      <w:r w:rsidRPr="003410C7">
        <w:rPr>
          <w:rFonts w:ascii="Tahoma" w:hAnsi="Tahoma" w:cs="Tahoma"/>
          <w:color w:val="FA6500"/>
          <w:sz w:val="22"/>
        </w:rPr>
        <w:t xml:space="preserve"> </w:t>
      </w:r>
    </w:p>
    <w:bookmarkEnd w:id="1362"/>
    <w:bookmarkEnd w:id="1363"/>
    <w:bookmarkEnd w:id="1364"/>
    <w:bookmarkEnd w:id="1365"/>
    <w:p w:rsidR="002F7FB8" w:rsidRPr="003410C7" w:rsidRDefault="002F7FB8" w:rsidP="002F7FB8">
      <w:pPr>
        <w:ind w:left="720"/>
      </w:pPr>
    </w:p>
    <w:p w:rsidR="002F7FB8" w:rsidRPr="003410C7" w:rsidRDefault="002F7FB8" w:rsidP="002F7FB8">
      <w:pPr>
        <w:ind w:left="720"/>
      </w:pPr>
      <w:r w:rsidRPr="003410C7">
        <w:rPr>
          <w:rFonts w:cs="Tahoma"/>
          <w:color w:val="000000"/>
          <w:szCs w:val="18"/>
        </w:rPr>
        <w:t>SharePoint Server 2013 è l</w:t>
      </w:r>
      <w:r w:rsidR="0073727D">
        <w:rPr>
          <w:rFonts w:cs="Tahoma"/>
          <w:color w:val="000000"/>
          <w:szCs w:val="18"/>
        </w:rPr>
        <w:t>’</w:t>
      </w:r>
      <w:r w:rsidRPr="003410C7">
        <w:rPr>
          <w:rFonts w:cs="Tahoma"/>
          <w:color w:val="000000"/>
          <w:szCs w:val="18"/>
        </w:rPr>
        <w:t>ultima versione di SharePoint Server.</w:t>
      </w:r>
    </w:p>
    <w:p w:rsidR="002F7FB8" w:rsidRPr="003410C7" w:rsidRDefault="002F7FB8" w:rsidP="002F7FB8">
      <w:pPr>
        <w:ind w:left="720"/>
      </w:pPr>
    </w:p>
    <w:p w:rsidR="002F7FB8" w:rsidRPr="003410C7" w:rsidRDefault="002F7FB8" w:rsidP="007B699C">
      <w:pPr>
        <w:spacing w:after="60"/>
        <w:ind w:left="720"/>
      </w:pPr>
      <w:r w:rsidRPr="003410C7">
        <w:rPr>
          <w:rFonts w:cs="Tahoma"/>
          <w:b/>
          <w:color w:val="000000"/>
          <w:szCs w:val="18"/>
        </w:rPr>
        <w:t>Concessioni di Licenza per le Società Titolari di Licenze SharePoint Server 2010 for Internet Sites Enterprise, SharePoint Server 2010 for Internet Sites Standard, FAST Search Server 2010 for SharePoint Server, Search Server 2010</w:t>
      </w:r>
    </w:p>
    <w:p w:rsidR="002F7FB8" w:rsidRPr="003410C7" w:rsidRDefault="00CD0D74" w:rsidP="002F7FB8">
      <w:pPr>
        <w:ind w:left="720"/>
      </w:pPr>
      <w:r w:rsidRPr="003410C7">
        <w:rPr>
          <w:rFonts w:cs="Tahoma"/>
          <w:color w:val="000000"/>
          <w:szCs w:val="18"/>
        </w:rPr>
        <w:t>La versione 2010 delle licenze per SharePoint Server for Internet Sites Enterprise e SharePoint Server for Internet Sites Standard, FAST Search Server for SharePoint Server e Search Server è la versione finale di tali prodotti.</w:t>
      </w:r>
      <w:r w:rsidR="00082E1C">
        <w:rPr>
          <w:rFonts w:cs="Tahoma"/>
          <w:color w:val="000000"/>
          <w:szCs w:val="18"/>
        </w:rPr>
        <w:t xml:space="preserve"> </w:t>
      </w:r>
      <w:r w:rsidRPr="003410C7">
        <w:rPr>
          <w:rFonts w:cs="Tahoma"/>
          <w:color w:val="000000"/>
          <w:szCs w:val="18"/>
        </w:rPr>
        <w:t>Alla luce di ciò, le società con licenze per SharePoint Server 2010 for Internet Sites Enterprise, SharePoint Server 2010 for Internet Sites Standard, FAST Search Server 2010 for SharePoint, Search Server 2010 con copertura Software Assurance attiva a partire dal 1 dicembre 2012 sono idonee alle concessioni di licenze che seguono.</w:t>
      </w:r>
    </w:p>
    <w:p w:rsidR="002F7FB8" w:rsidRPr="003410C7" w:rsidRDefault="002F7FB8" w:rsidP="002F7FB8">
      <w:pPr>
        <w:ind w:left="900"/>
      </w:pPr>
    </w:p>
    <w:tbl>
      <w:tblPr>
        <w:tblW w:w="0" w:type="auto"/>
        <w:tblInd w:w="82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4500"/>
        <w:gridCol w:w="3600"/>
      </w:tblGrid>
      <w:tr w:rsidR="002F7FB8" w:rsidRPr="003410C7" w:rsidTr="002C3AB1">
        <w:trPr>
          <w:trHeight w:val="332"/>
        </w:trPr>
        <w:tc>
          <w:tcPr>
            <w:tcW w:w="4500" w:type="dxa"/>
            <w:shd w:val="clear" w:color="auto" w:fill="FABF8F"/>
          </w:tcPr>
          <w:p w:rsidR="002F7FB8" w:rsidRPr="003410C7" w:rsidRDefault="002F7FB8" w:rsidP="007E466C">
            <w:pPr>
              <w:keepNext/>
              <w:keepLines/>
              <w:spacing w:before="60" w:after="60"/>
              <w:rPr>
                <w:rFonts w:cs="Tahoma"/>
                <w:b/>
                <w:color w:val="000000"/>
                <w:szCs w:val="18"/>
              </w:rPr>
            </w:pPr>
            <w:r w:rsidRPr="003410C7">
              <w:rPr>
                <w:rFonts w:cs="Tahoma"/>
                <w:b/>
                <w:color w:val="000000"/>
                <w:szCs w:val="18"/>
              </w:rPr>
              <w:t>Licenza Qualificante</w:t>
            </w:r>
          </w:p>
        </w:tc>
        <w:tc>
          <w:tcPr>
            <w:tcW w:w="3600" w:type="dxa"/>
            <w:shd w:val="clear" w:color="auto" w:fill="FABF8F"/>
          </w:tcPr>
          <w:p w:rsidR="002F7FB8" w:rsidRPr="003410C7" w:rsidRDefault="002F7FB8" w:rsidP="007E466C">
            <w:pPr>
              <w:keepNext/>
              <w:keepLines/>
              <w:spacing w:before="60" w:after="60"/>
              <w:rPr>
                <w:rFonts w:cs="Tahoma"/>
                <w:b/>
                <w:color w:val="000000"/>
                <w:szCs w:val="18"/>
              </w:rPr>
            </w:pPr>
            <w:r w:rsidRPr="003410C7">
              <w:rPr>
                <w:rFonts w:cs="Tahoma"/>
                <w:b/>
                <w:color w:val="000000"/>
                <w:szCs w:val="18"/>
              </w:rPr>
              <w:t>Licenza Gratuita e Vantaggi</w:t>
            </w:r>
          </w:p>
        </w:tc>
      </w:tr>
      <w:tr w:rsidR="00CD0D74" w:rsidRPr="00DC1102" w:rsidTr="002C3AB1">
        <w:trPr>
          <w:trHeight w:val="70"/>
        </w:trPr>
        <w:tc>
          <w:tcPr>
            <w:tcW w:w="4500" w:type="dxa"/>
            <w:shd w:val="clear" w:color="auto" w:fill="auto"/>
          </w:tcPr>
          <w:p w:rsidR="00CD0D74" w:rsidRPr="00451078" w:rsidRDefault="00CD0D74" w:rsidP="00C066F9">
            <w:pPr>
              <w:keepNext/>
              <w:keepLines/>
              <w:rPr>
                <w:rFonts w:cs="Tahoma"/>
                <w:color w:val="000000"/>
                <w:szCs w:val="18"/>
                <w:lang w:val="it-IT"/>
              </w:rPr>
            </w:pPr>
            <w:r w:rsidRPr="00451078">
              <w:rPr>
                <w:rFonts w:cs="Tahoma"/>
                <w:color w:val="000000"/>
                <w:szCs w:val="18"/>
                <w:lang w:val="it-IT"/>
              </w:rPr>
              <w:t>Licenza per SharePoint Server 2010 for Internet Sites Enterprise con Software Assurance attiva a partire dal 1 dicembre 2012</w:t>
            </w:r>
          </w:p>
        </w:tc>
        <w:tc>
          <w:tcPr>
            <w:tcW w:w="3600" w:type="dxa"/>
            <w:shd w:val="clear" w:color="auto" w:fill="auto"/>
          </w:tcPr>
          <w:p w:rsidR="00CD0D74" w:rsidRPr="00451078" w:rsidRDefault="00CD0D74" w:rsidP="00C066F9">
            <w:pPr>
              <w:keepNext/>
              <w:keepLines/>
              <w:rPr>
                <w:rFonts w:cs="Tahoma"/>
                <w:color w:val="000000"/>
                <w:szCs w:val="18"/>
                <w:lang w:val="it-IT"/>
              </w:rPr>
            </w:pPr>
            <w:r w:rsidRPr="00451078">
              <w:rPr>
                <w:rFonts w:cs="Tahoma"/>
                <w:color w:val="000000"/>
                <w:szCs w:val="18"/>
                <w:lang w:val="it-IT"/>
              </w:rPr>
              <w:t>Una licenza per SharePoint Server 2013</w:t>
            </w:r>
          </w:p>
        </w:tc>
      </w:tr>
      <w:tr w:rsidR="00CD0D74" w:rsidRPr="00DC1102" w:rsidTr="002C3AB1">
        <w:trPr>
          <w:trHeight w:val="152"/>
        </w:trPr>
        <w:tc>
          <w:tcPr>
            <w:tcW w:w="4500" w:type="dxa"/>
            <w:shd w:val="clear" w:color="auto" w:fill="auto"/>
          </w:tcPr>
          <w:p w:rsidR="00CD0D74" w:rsidRPr="00451078" w:rsidRDefault="00CD0D74" w:rsidP="00C066F9">
            <w:pPr>
              <w:keepNext/>
              <w:keepLines/>
              <w:rPr>
                <w:rFonts w:cs="Tahoma"/>
                <w:color w:val="000000"/>
                <w:szCs w:val="18"/>
                <w:lang w:val="it-IT"/>
              </w:rPr>
            </w:pPr>
            <w:r w:rsidRPr="00451078">
              <w:rPr>
                <w:rFonts w:cs="Tahoma"/>
                <w:color w:val="000000"/>
                <w:szCs w:val="18"/>
                <w:lang w:val="it-IT"/>
              </w:rPr>
              <w:t xml:space="preserve">Licenza per SharePoint Server 2010 for Internet Sites Standard con Software Assurance attiva a partire dal 1 dicembre 2012 </w:t>
            </w:r>
          </w:p>
        </w:tc>
        <w:tc>
          <w:tcPr>
            <w:tcW w:w="3600" w:type="dxa"/>
            <w:shd w:val="clear" w:color="auto" w:fill="auto"/>
          </w:tcPr>
          <w:p w:rsidR="00CD0D74" w:rsidRPr="00451078" w:rsidRDefault="00CD0D74" w:rsidP="00C066F9">
            <w:pPr>
              <w:keepNext/>
              <w:keepLines/>
              <w:rPr>
                <w:rFonts w:cs="Tahoma"/>
                <w:color w:val="000000"/>
                <w:szCs w:val="18"/>
                <w:lang w:val="it-IT"/>
              </w:rPr>
            </w:pPr>
            <w:r w:rsidRPr="00451078">
              <w:rPr>
                <w:rFonts w:cs="Tahoma"/>
                <w:color w:val="000000"/>
                <w:szCs w:val="18"/>
                <w:lang w:val="it-IT"/>
              </w:rPr>
              <w:t>Una licenza per SharePoint Server 2013</w:t>
            </w:r>
          </w:p>
        </w:tc>
      </w:tr>
      <w:tr w:rsidR="00CD0D74" w:rsidRPr="00DC1102" w:rsidTr="002C3AB1">
        <w:trPr>
          <w:trHeight w:val="152"/>
        </w:trPr>
        <w:tc>
          <w:tcPr>
            <w:tcW w:w="4500" w:type="dxa"/>
            <w:shd w:val="clear" w:color="auto" w:fill="auto"/>
          </w:tcPr>
          <w:p w:rsidR="00CD0D74" w:rsidRPr="00451078" w:rsidRDefault="00CD0D74" w:rsidP="004E422F">
            <w:pPr>
              <w:keepNext/>
              <w:keepLines/>
              <w:rPr>
                <w:rFonts w:cs="Tahoma"/>
                <w:color w:val="000000"/>
                <w:szCs w:val="18"/>
                <w:lang w:val="it-IT"/>
              </w:rPr>
            </w:pPr>
            <w:r w:rsidRPr="00451078">
              <w:rPr>
                <w:rFonts w:cs="Tahoma"/>
                <w:color w:val="000000"/>
                <w:szCs w:val="18"/>
                <w:lang w:val="it-IT"/>
              </w:rPr>
              <w:t>Licenza per FAST Search Server 2010 for SharePoint Server con Software Assurance attiva a partire dal 1</w:t>
            </w:r>
            <w:r w:rsidR="004E422F" w:rsidRPr="00451078">
              <w:rPr>
                <w:rFonts w:cs="Tahoma"/>
                <w:color w:val="000000"/>
                <w:szCs w:val="18"/>
                <w:lang w:val="it-IT"/>
              </w:rPr>
              <w:t> </w:t>
            </w:r>
            <w:r w:rsidRPr="00451078">
              <w:rPr>
                <w:rFonts w:cs="Tahoma"/>
                <w:color w:val="000000"/>
                <w:szCs w:val="18"/>
                <w:lang w:val="it-IT"/>
              </w:rPr>
              <w:t>dicembre 2012</w:t>
            </w:r>
          </w:p>
        </w:tc>
        <w:tc>
          <w:tcPr>
            <w:tcW w:w="3600" w:type="dxa"/>
            <w:shd w:val="clear" w:color="auto" w:fill="auto"/>
          </w:tcPr>
          <w:p w:rsidR="00CD0D74" w:rsidRPr="00451078" w:rsidRDefault="00CD0D74" w:rsidP="00C066F9">
            <w:pPr>
              <w:keepNext/>
              <w:keepLines/>
              <w:rPr>
                <w:rFonts w:cs="Tahoma"/>
                <w:color w:val="000000"/>
                <w:szCs w:val="18"/>
                <w:lang w:val="it-IT"/>
              </w:rPr>
            </w:pPr>
            <w:r w:rsidRPr="00451078">
              <w:rPr>
                <w:rFonts w:cs="Tahoma"/>
                <w:color w:val="000000"/>
                <w:szCs w:val="18"/>
                <w:lang w:val="it-IT"/>
              </w:rPr>
              <w:t>Una licenza per SharePoint Server 2013</w:t>
            </w:r>
          </w:p>
        </w:tc>
      </w:tr>
      <w:tr w:rsidR="00CD0D74" w:rsidRPr="003410C7" w:rsidTr="002C3AB1">
        <w:trPr>
          <w:trHeight w:val="233"/>
        </w:trPr>
        <w:tc>
          <w:tcPr>
            <w:tcW w:w="4500" w:type="dxa"/>
            <w:shd w:val="clear" w:color="auto" w:fill="auto"/>
          </w:tcPr>
          <w:p w:rsidR="00CD0D74" w:rsidRPr="00451078" w:rsidRDefault="00CD0D74" w:rsidP="00C066F9">
            <w:pPr>
              <w:keepNext/>
              <w:keepLines/>
              <w:rPr>
                <w:rFonts w:cs="Tahoma"/>
                <w:color w:val="000000"/>
                <w:szCs w:val="18"/>
                <w:lang w:val="it-IT"/>
              </w:rPr>
            </w:pPr>
            <w:r w:rsidRPr="00451078">
              <w:rPr>
                <w:rFonts w:cs="Tahoma"/>
                <w:color w:val="000000"/>
                <w:szCs w:val="18"/>
                <w:lang w:val="it-IT"/>
              </w:rPr>
              <w:t>Licenza per Search Server 2010 con Software Assurance attiva a partire dal 1 dicembre 2012</w:t>
            </w:r>
          </w:p>
        </w:tc>
        <w:tc>
          <w:tcPr>
            <w:tcW w:w="3600" w:type="dxa"/>
            <w:shd w:val="clear" w:color="auto" w:fill="auto"/>
          </w:tcPr>
          <w:p w:rsidR="00CD0D74" w:rsidRPr="00451078" w:rsidRDefault="00CD0D74" w:rsidP="00C066F9">
            <w:pPr>
              <w:keepNext/>
              <w:keepLines/>
              <w:rPr>
                <w:lang w:val="it-IT"/>
              </w:rPr>
            </w:pPr>
            <w:r w:rsidRPr="00451078">
              <w:rPr>
                <w:rFonts w:cs="Tahoma"/>
                <w:color w:val="000000"/>
                <w:szCs w:val="18"/>
                <w:lang w:val="it-IT"/>
              </w:rPr>
              <w:t xml:space="preserve">Una licenza per SharePoint Server 2013 </w:t>
            </w:r>
            <w:r w:rsidRPr="00451078">
              <w:rPr>
                <w:rFonts w:cs="Tahoma"/>
                <w:b/>
                <w:color w:val="000000"/>
                <w:szCs w:val="18"/>
                <w:lang w:val="it-IT"/>
              </w:rPr>
              <w:t>e</w:t>
            </w:r>
          </w:p>
          <w:p w:rsidR="00CD0D74" w:rsidRPr="00451078" w:rsidRDefault="00CD0D74" w:rsidP="00C066F9">
            <w:pPr>
              <w:keepNext/>
              <w:keepLines/>
              <w:rPr>
                <w:lang w:val="it-IT"/>
              </w:rPr>
            </w:pPr>
          </w:p>
          <w:p w:rsidR="00CD0D74" w:rsidRPr="003410C7" w:rsidRDefault="00CD0D74" w:rsidP="004E422F">
            <w:pPr>
              <w:keepNext/>
              <w:keepLines/>
              <w:rPr>
                <w:rFonts w:cs="Tahoma"/>
                <w:color w:val="000000"/>
                <w:szCs w:val="18"/>
              </w:rPr>
            </w:pPr>
            <w:r w:rsidRPr="003410C7">
              <w:rPr>
                <w:rFonts w:cs="Tahoma"/>
                <w:color w:val="000000"/>
                <w:szCs w:val="18"/>
              </w:rPr>
              <w:t>100 Standard CAL per SharePoint Server</w:t>
            </w:r>
            <w:r w:rsidR="004E422F">
              <w:rPr>
                <w:rFonts w:cs="Tahoma"/>
                <w:color w:val="000000"/>
                <w:szCs w:val="18"/>
              </w:rPr>
              <w:t> </w:t>
            </w:r>
            <w:r w:rsidRPr="003410C7">
              <w:rPr>
                <w:rFonts w:cs="Tahoma"/>
                <w:color w:val="000000"/>
                <w:szCs w:val="18"/>
              </w:rPr>
              <w:t>2013</w:t>
            </w:r>
          </w:p>
        </w:tc>
      </w:tr>
    </w:tbl>
    <w:p w:rsidR="00586FCE" w:rsidRPr="003410C7" w:rsidRDefault="00586FCE" w:rsidP="00586FCE"/>
    <w:p w:rsidR="002F7FB8" w:rsidRPr="00451078" w:rsidRDefault="002F7FB8" w:rsidP="002F7FB8">
      <w:pPr>
        <w:ind w:left="720"/>
        <w:rPr>
          <w:lang w:val="it-IT"/>
        </w:rPr>
      </w:pPr>
      <w:r w:rsidRPr="00451078">
        <w:rPr>
          <w:rFonts w:cs="Tahoma"/>
          <w:color w:val="000000"/>
          <w:szCs w:val="18"/>
          <w:lang w:val="it-IT"/>
        </w:rPr>
        <w:t>Le condizioni che seguono si applicano alle concessioni di licenze riportate sopra.</w:t>
      </w:r>
    </w:p>
    <w:p w:rsidR="002F7FB8" w:rsidRPr="00451078" w:rsidRDefault="002F7FB8" w:rsidP="002F7FB8">
      <w:pPr>
        <w:ind w:left="720"/>
        <w:rPr>
          <w:lang w:val="it-IT"/>
        </w:rPr>
      </w:pPr>
    </w:p>
    <w:p w:rsidR="002F7FB8" w:rsidRPr="00451078" w:rsidRDefault="002F7FB8" w:rsidP="00745AB3">
      <w:pPr>
        <w:numPr>
          <w:ilvl w:val="0"/>
          <w:numId w:val="100"/>
        </w:numPr>
        <w:spacing w:after="60"/>
        <w:ind w:left="1440"/>
        <w:rPr>
          <w:lang w:val="it-IT"/>
        </w:rPr>
      </w:pPr>
      <w:r w:rsidRPr="00451078">
        <w:rPr>
          <w:rFonts w:cs="Tahoma"/>
          <w:bCs/>
          <w:color w:val="000000"/>
          <w:szCs w:val="18"/>
          <w:u w:val="single"/>
          <w:lang w:val="it-IT"/>
        </w:rPr>
        <w:t>Percorso di Migrazione</w:t>
      </w:r>
      <w:r w:rsidRPr="00451078">
        <w:rPr>
          <w:rFonts w:cs="Tahoma"/>
          <w:color w:val="000000"/>
          <w:szCs w:val="18"/>
          <w:lang w:val="it-IT"/>
        </w:rPr>
        <w:t>: le società con copertura Software Assurance attiva per una determinata licenza Qualificante al 1 dicembre 2012 e al rilascio della versione commerciale di SharePoint Server 2013 sono idonee a effettuare l</w:t>
      </w:r>
      <w:r w:rsidR="0073727D">
        <w:rPr>
          <w:rFonts w:cs="Tahoma"/>
          <w:color w:val="000000"/>
          <w:szCs w:val="18"/>
          <w:lang w:val="it-IT"/>
        </w:rPr>
        <w:t>’</w:t>
      </w:r>
      <w:r w:rsidRPr="00451078">
        <w:rPr>
          <w:rFonts w:cs="Tahoma"/>
          <w:color w:val="000000"/>
          <w:szCs w:val="18"/>
          <w:lang w:val="it-IT"/>
        </w:rPr>
        <w:t>aggiornamento al software SharePoint 2013 e a utilizzarlo ai sensi della Licenza Gratuita al posto della corrispondente copia con licenza della versione 2010 del software.</w:t>
      </w:r>
      <w:r w:rsidR="00082E1C" w:rsidRPr="00451078">
        <w:rPr>
          <w:rFonts w:cs="Tahoma"/>
          <w:color w:val="000000"/>
          <w:szCs w:val="18"/>
          <w:lang w:val="it-IT"/>
        </w:rPr>
        <w:t xml:space="preserve"> </w:t>
      </w:r>
    </w:p>
    <w:p w:rsidR="002F7FB8" w:rsidRPr="00451078" w:rsidRDefault="002F7FB8" w:rsidP="00745AB3">
      <w:pPr>
        <w:numPr>
          <w:ilvl w:val="0"/>
          <w:numId w:val="100"/>
        </w:numPr>
        <w:spacing w:after="60"/>
        <w:ind w:left="1440"/>
        <w:rPr>
          <w:lang w:val="it-IT"/>
        </w:rPr>
      </w:pPr>
      <w:r w:rsidRPr="00451078">
        <w:rPr>
          <w:rFonts w:cs="Tahoma"/>
          <w:color w:val="000000"/>
          <w:szCs w:val="18"/>
          <w:u w:val="single"/>
          <w:lang w:val="it-IT"/>
        </w:rPr>
        <w:t>Diritti sull</w:t>
      </w:r>
      <w:r w:rsidR="0073727D">
        <w:rPr>
          <w:rFonts w:cs="Tahoma"/>
          <w:color w:val="000000"/>
          <w:szCs w:val="18"/>
          <w:u w:val="single"/>
          <w:lang w:val="it-IT"/>
        </w:rPr>
        <w:t>’</w:t>
      </w:r>
      <w:r w:rsidRPr="00451078">
        <w:rPr>
          <w:rFonts w:cs="Tahoma"/>
          <w:color w:val="000000"/>
          <w:szCs w:val="18"/>
          <w:u w:val="single"/>
          <w:lang w:val="it-IT"/>
        </w:rPr>
        <w:t>utilizzo</w:t>
      </w:r>
      <w:r w:rsidRPr="00451078">
        <w:rPr>
          <w:rFonts w:cs="Tahoma"/>
          <w:color w:val="000000"/>
          <w:szCs w:val="18"/>
          <w:lang w:val="it-IT"/>
        </w:rPr>
        <w:t>: il diritto di utilizzo del software ai sensi della Licenza Gratuita della presente offerta scadrà alla scadenza del diritto di utilizzo del software ai sensi della Licenza Qualificante.</w:t>
      </w:r>
      <w:r w:rsidR="00082E1C" w:rsidRPr="00451078">
        <w:rPr>
          <w:rFonts w:cs="Tahoma"/>
          <w:color w:val="000000"/>
          <w:szCs w:val="18"/>
          <w:lang w:val="it-IT"/>
        </w:rPr>
        <w:t xml:space="preserve"> </w:t>
      </w:r>
      <w:r w:rsidRPr="00451078">
        <w:rPr>
          <w:rFonts w:cs="Tahoma"/>
          <w:color w:val="000000"/>
          <w:szCs w:val="18"/>
          <w:lang w:val="it-IT"/>
        </w:rPr>
        <w:t>L</w:t>
      </w:r>
      <w:r w:rsidR="0073727D">
        <w:rPr>
          <w:rFonts w:cs="Tahoma"/>
          <w:color w:val="000000"/>
          <w:szCs w:val="18"/>
          <w:lang w:val="it-IT"/>
        </w:rPr>
        <w:t>’</w:t>
      </w:r>
      <w:r w:rsidRPr="00451078">
        <w:rPr>
          <w:rFonts w:cs="Tahoma"/>
          <w:color w:val="000000"/>
          <w:szCs w:val="18"/>
          <w:lang w:val="it-IT"/>
        </w:rPr>
        <w:t>utilizzo di tale software è regolato dai diritti sull</w:t>
      </w:r>
      <w:r w:rsidR="0073727D">
        <w:rPr>
          <w:rFonts w:cs="Tahoma"/>
          <w:color w:val="000000"/>
          <w:szCs w:val="18"/>
          <w:lang w:val="it-IT"/>
        </w:rPr>
        <w:t>’</w:t>
      </w:r>
      <w:r w:rsidRPr="00451078">
        <w:rPr>
          <w:rFonts w:cs="Tahoma"/>
          <w:color w:val="000000"/>
          <w:szCs w:val="18"/>
          <w:lang w:val="it-IT"/>
        </w:rPr>
        <w:t>utilizzo del software e dalle condizioni del contratto Volume License della società.</w:t>
      </w:r>
      <w:r w:rsidR="00082E1C" w:rsidRPr="00451078">
        <w:rPr>
          <w:rFonts w:cs="Tahoma"/>
          <w:color w:val="000000"/>
          <w:szCs w:val="18"/>
          <w:lang w:val="it-IT"/>
        </w:rPr>
        <w:t xml:space="preserve"> </w:t>
      </w:r>
      <w:r w:rsidRPr="00451078">
        <w:rPr>
          <w:rFonts w:cs="Tahoma"/>
          <w:color w:val="000000"/>
          <w:szCs w:val="18"/>
          <w:lang w:val="it-IT"/>
        </w:rPr>
        <w:t xml:space="preserve">Questa nota relativa alle condizioni del prodotto e la prova da parte della società della corrispondente Licenza e Software Assurance (L&amp;SA) Qualificante </w:t>
      </w:r>
      <w:r w:rsidRPr="00451078">
        <w:rPr>
          <w:rFonts w:cs="Tahoma"/>
          <w:color w:val="000000"/>
          <w:szCs w:val="18"/>
          <w:lang w:val="it-IT"/>
        </w:rPr>
        <w:lastRenderedPageBreak/>
        <w:t xml:space="preserve">costituiscono insieme la prova del diritto di utilizzo del software ai sensi della Licenza Gratuita della presente offerta. </w:t>
      </w:r>
    </w:p>
    <w:p w:rsidR="002F7FB8" w:rsidRPr="00451078" w:rsidRDefault="002F7FB8" w:rsidP="007B699C">
      <w:pPr>
        <w:numPr>
          <w:ilvl w:val="0"/>
          <w:numId w:val="8"/>
        </w:numPr>
        <w:spacing w:after="60"/>
        <w:ind w:left="1440"/>
        <w:rPr>
          <w:lang w:val="it-IT"/>
        </w:rPr>
      </w:pPr>
      <w:r w:rsidRPr="00451078">
        <w:rPr>
          <w:rFonts w:cs="Tahoma"/>
          <w:color w:val="000000"/>
          <w:szCs w:val="18"/>
          <w:u w:val="single"/>
          <w:lang w:val="it-IT"/>
        </w:rPr>
        <w:t>Licenza e Software Assurance (L&amp;SA)</w:t>
      </w:r>
      <w:r w:rsidRPr="00451078">
        <w:rPr>
          <w:rFonts w:cs="Tahoma"/>
          <w:color w:val="000000"/>
          <w:szCs w:val="18"/>
          <w:lang w:val="it-IT"/>
        </w:rPr>
        <w:t>: la Licenza Gratuita include la copertura Software Assurance.</w:t>
      </w:r>
      <w:r w:rsidR="00082E1C" w:rsidRPr="00451078">
        <w:rPr>
          <w:rFonts w:cs="Tahoma"/>
          <w:color w:val="000000"/>
          <w:szCs w:val="18"/>
          <w:lang w:val="it-IT"/>
        </w:rPr>
        <w:t xml:space="preserve"> </w:t>
      </w:r>
      <w:r w:rsidRPr="00451078">
        <w:rPr>
          <w:rFonts w:cs="Tahoma"/>
          <w:color w:val="000000"/>
          <w:szCs w:val="18"/>
          <w:lang w:val="it-IT"/>
        </w:rPr>
        <w:t>La copertura Software Assurance per la Licenza Gratuita scadrà alla scadenza della copertura per la Licenza Qualificante.</w:t>
      </w:r>
      <w:r w:rsidR="00082E1C" w:rsidRPr="00451078">
        <w:rPr>
          <w:rFonts w:cs="Tahoma"/>
          <w:color w:val="000000"/>
          <w:szCs w:val="18"/>
          <w:lang w:val="it-IT"/>
        </w:rPr>
        <w:t xml:space="preserve"> </w:t>
      </w:r>
      <w:r w:rsidRPr="00451078">
        <w:rPr>
          <w:rFonts w:cs="Tahoma"/>
          <w:color w:val="000000"/>
          <w:szCs w:val="18"/>
          <w:lang w:val="it-IT"/>
        </w:rPr>
        <w:t>Alla scadenza della copertura Software Assurance per la Licenza Qualificante, la società potrà rinnovare Software Assurance per la Licenza Gratuita senza dover acquistare una nuova licenza specifica.</w:t>
      </w:r>
    </w:p>
    <w:p w:rsidR="002F7FB8" w:rsidRPr="00451078" w:rsidRDefault="002F7FB8" w:rsidP="00745AB3">
      <w:pPr>
        <w:numPr>
          <w:ilvl w:val="0"/>
          <w:numId w:val="101"/>
        </w:numPr>
        <w:spacing w:after="60"/>
        <w:ind w:left="1440"/>
        <w:rPr>
          <w:lang w:val="it-IT"/>
        </w:rPr>
      </w:pPr>
      <w:r w:rsidRPr="00451078">
        <w:rPr>
          <w:rFonts w:eastAsia="Calibri" w:cs="Tahoma"/>
          <w:color w:val="000000"/>
          <w:szCs w:val="18"/>
          <w:u w:val="single"/>
          <w:lang w:val="it-IT"/>
        </w:rPr>
        <w:t>True-up</w:t>
      </w:r>
      <w:r w:rsidRPr="00451078">
        <w:rPr>
          <w:rFonts w:eastAsia="Calibri" w:cs="Tahoma"/>
          <w:color w:val="000000"/>
          <w:szCs w:val="18"/>
          <w:lang w:val="it-IT"/>
        </w:rPr>
        <w:t>.</w:t>
      </w:r>
      <w:r w:rsidR="00082E1C" w:rsidRPr="00451078">
        <w:rPr>
          <w:rFonts w:eastAsia="Calibri" w:cs="Tahoma"/>
          <w:color w:val="000000"/>
          <w:szCs w:val="18"/>
          <w:lang w:val="it-IT"/>
        </w:rPr>
        <w:t xml:space="preserve"> </w:t>
      </w:r>
      <w:r w:rsidRPr="00451078">
        <w:rPr>
          <w:rFonts w:eastAsia="Calibri" w:cs="Tahoma"/>
          <w:color w:val="000000"/>
          <w:szCs w:val="18"/>
          <w:lang w:val="it-IT"/>
        </w:rPr>
        <w:t>Per le società titolari di un Contratto Enterprise idonee a ricevere tali Licenze Gratuite e</w:t>
      </w:r>
      <w:r w:rsidR="00F9066C" w:rsidRPr="00451078">
        <w:rPr>
          <w:rFonts w:eastAsia="Calibri" w:cs="Tahoma"/>
          <w:color w:val="000000"/>
          <w:szCs w:val="18"/>
          <w:lang w:val="it-IT"/>
        </w:rPr>
        <w:t> </w:t>
      </w:r>
      <w:r w:rsidRPr="00451078">
        <w:rPr>
          <w:rFonts w:eastAsia="Calibri" w:cs="Tahoma"/>
          <w:color w:val="000000"/>
          <w:szCs w:val="18"/>
          <w:lang w:val="it-IT"/>
        </w:rPr>
        <w:t>i</w:t>
      </w:r>
      <w:r w:rsidR="00F9066C" w:rsidRPr="00451078">
        <w:rPr>
          <w:rFonts w:eastAsia="Calibri" w:cs="Tahoma"/>
          <w:color w:val="000000"/>
          <w:szCs w:val="18"/>
          <w:lang w:val="it-IT"/>
        </w:rPr>
        <w:t> </w:t>
      </w:r>
      <w:r w:rsidRPr="00451078">
        <w:rPr>
          <w:rFonts w:eastAsia="Calibri" w:cs="Tahoma"/>
          <w:color w:val="000000"/>
          <w:szCs w:val="18"/>
          <w:lang w:val="it-IT"/>
        </w:rPr>
        <w:t xml:space="preserve">diritti descritti in precedenza, le licenze SharePoint Server 2010 for Internet Sites Enterprise, SharePoint Server 2010 for Internet Sites Standard </w:t>
      </w:r>
      <w:r w:rsidRPr="00451078">
        <w:rPr>
          <w:rFonts w:cs="Tahoma"/>
          <w:color w:val="000000"/>
          <w:szCs w:val="20"/>
          <w:lang w:val="it-IT"/>
        </w:rPr>
        <w:t xml:space="preserve">e FAST Search Server 2010 for SharePoint Server </w:t>
      </w:r>
      <w:r w:rsidRPr="00451078">
        <w:rPr>
          <w:rFonts w:eastAsia="Calibri" w:cs="Tahoma"/>
          <w:color w:val="000000"/>
          <w:szCs w:val="18"/>
          <w:lang w:val="it-IT"/>
        </w:rPr>
        <w:t>acquistate nell</w:t>
      </w:r>
      <w:r w:rsidR="0073727D">
        <w:rPr>
          <w:rFonts w:eastAsia="Calibri" w:cs="Tahoma"/>
          <w:color w:val="000000"/>
          <w:szCs w:val="18"/>
          <w:lang w:val="it-IT"/>
        </w:rPr>
        <w:t>’</w:t>
      </w:r>
      <w:r w:rsidRPr="00451078">
        <w:rPr>
          <w:rFonts w:eastAsia="Calibri" w:cs="Tahoma"/>
          <w:color w:val="000000"/>
          <w:szCs w:val="18"/>
          <w:lang w:val="it-IT"/>
        </w:rPr>
        <w:t xml:space="preserve">ambito di una procedura </w:t>
      </w:r>
      <w:r w:rsidRPr="00451078">
        <w:rPr>
          <w:rFonts w:cs="Tahoma"/>
          <w:color w:val="000000"/>
          <w:szCs w:val="18"/>
          <w:lang w:val="it-IT"/>
        </w:rPr>
        <w:t>annuale di true-up sono, anch</w:t>
      </w:r>
      <w:r w:rsidR="0073727D">
        <w:rPr>
          <w:rFonts w:cs="Tahoma"/>
          <w:color w:val="000000"/>
          <w:szCs w:val="18"/>
          <w:lang w:val="it-IT"/>
        </w:rPr>
        <w:t>’</w:t>
      </w:r>
      <w:r w:rsidRPr="00451078">
        <w:rPr>
          <w:rFonts w:cs="Tahoma"/>
          <w:color w:val="000000"/>
          <w:szCs w:val="18"/>
          <w:lang w:val="it-IT"/>
        </w:rPr>
        <w:t xml:space="preserve">esse, licenze qualificanti. </w:t>
      </w:r>
    </w:p>
    <w:p w:rsidR="002F7FB8" w:rsidRPr="00451078" w:rsidRDefault="002F7FB8" w:rsidP="00745AB3">
      <w:pPr>
        <w:numPr>
          <w:ilvl w:val="0"/>
          <w:numId w:val="101"/>
        </w:numPr>
        <w:spacing w:after="60"/>
        <w:ind w:left="1440"/>
        <w:rPr>
          <w:lang w:val="it-IT"/>
        </w:rPr>
      </w:pPr>
      <w:r w:rsidRPr="00451078">
        <w:rPr>
          <w:rFonts w:cs="Tahoma"/>
          <w:color w:val="000000"/>
          <w:szCs w:val="18"/>
          <w:u w:val="single"/>
          <w:lang w:val="it-IT"/>
        </w:rPr>
        <w:t xml:space="preserve">Contratti </w:t>
      </w:r>
      <w:r w:rsidR="001A3EC5" w:rsidRPr="00451078">
        <w:rPr>
          <w:rFonts w:cs="Tahoma"/>
          <w:color w:val="000000"/>
          <w:szCs w:val="18"/>
          <w:u w:val="single"/>
          <w:lang w:val="it-IT"/>
        </w:rPr>
        <w:t>“</w:t>
      </w:r>
      <w:r w:rsidRPr="00451078">
        <w:rPr>
          <w:rFonts w:cs="Tahoma"/>
          <w:color w:val="000000"/>
          <w:szCs w:val="18"/>
          <w:u w:val="single"/>
          <w:lang w:val="it-IT"/>
        </w:rPr>
        <w:t>Subscription</w:t>
      </w:r>
      <w:r w:rsidR="001A3EC5" w:rsidRPr="00725E12">
        <w:rPr>
          <w:rFonts w:cs="Tahoma"/>
          <w:color w:val="000000"/>
          <w:szCs w:val="18"/>
          <w:lang w:val="it-IT"/>
        </w:rPr>
        <w:t>”</w:t>
      </w:r>
      <w:r w:rsidRPr="00451078">
        <w:rPr>
          <w:rFonts w:cs="Tahoma"/>
          <w:color w:val="000000"/>
          <w:szCs w:val="18"/>
          <w:lang w:val="it-IT"/>
        </w:rPr>
        <w:t>.</w:t>
      </w:r>
      <w:r w:rsidR="00082E1C" w:rsidRPr="00451078">
        <w:rPr>
          <w:rFonts w:cs="Tahoma"/>
          <w:color w:val="000000"/>
          <w:szCs w:val="18"/>
          <w:lang w:val="it-IT"/>
        </w:rPr>
        <w:t xml:space="preserve"> </w:t>
      </w:r>
      <w:r w:rsidRPr="00451078">
        <w:rPr>
          <w:rFonts w:cs="Tahoma"/>
          <w:color w:val="000000"/>
          <w:szCs w:val="18"/>
          <w:lang w:val="it-IT"/>
        </w:rPr>
        <w:t xml:space="preserve">per quanto riguarda i Contratti Enterprise Subscription, </w:t>
      </w:r>
      <w:r w:rsidRPr="00451078">
        <w:rPr>
          <w:rFonts w:cs="Tahoma"/>
          <w:szCs w:val="18"/>
          <w:lang w:val="it-IT"/>
        </w:rPr>
        <w:t>Open Value Subscription, Campus e School, Enrollment for Education Solutions e Open Value Subscription-Education Solutions, gli stessi diritti verranno concessi temporaneamente, in base alle medesime condizioni,</w:t>
      </w:r>
      <w:r w:rsidRPr="00451078">
        <w:rPr>
          <w:rFonts w:cs="Tahoma"/>
          <w:color w:val="000000"/>
          <w:szCs w:val="18"/>
          <w:lang w:val="it-IT"/>
        </w:rPr>
        <w:t xml:space="preserve"> fino al termine del periodo di validità corrente dell</w:t>
      </w:r>
      <w:r w:rsidR="0073727D">
        <w:rPr>
          <w:rFonts w:cs="Tahoma"/>
          <w:color w:val="000000"/>
          <w:szCs w:val="18"/>
          <w:lang w:val="it-IT"/>
        </w:rPr>
        <w:t>’</w:t>
      </w:r>
      <w:r w:rsidRPr="00451078">
        <w:rPr>
          <w:rFonts w:cs="Tahoma"/>
          <w:color w:val="000000"/>
          <w:szCs w:val="18"/>
          <w:lang w:val="it-IT"/>
        </w:rPr>
        <w:t>iscrizione (o del periodo di validità del</w:t>
      </w:r>
      <w:r w:rsidR="00F9066C" w:rsidRPr="00451078">
        <w:rPr>
          <w:rFonts w:cs="Tahoma"/>
          <w:color w:val="000000"/>
          <w:szCs w:val="18"/>
          <w:lang w:val="it-IT"/>
        </w:rPr>
        <w:t> </w:t>
      </w:r>
      <w:r w:rsidRPr="00451078">
        <w:rPr>
          <w:rFonts w:cs="Tahoma"/>
          <w:color w:val="000000"/>
          <w:szCs w:val="18"/>
          <w:lang w:val="it-IT"/>
        </w:rPr>
        <w:t>contratto nel caso di Open Value).</w:t>
      </w:r>
      <w:r w:rsidR="00082E1C" w:rsidRPr="00451078">
        <w:rPr>
          <w:rFonts w:cs="Tahoma"/>
          <w:color w:val="000000"/>
          <w:szCs w:val="18"/>
          <w:lang w:val="it-IT"/>
        </w:rPr>
        <w:t xml:space="preserve"> </w:t>
      </w:r>
      <w:r w:rsidRPr="00451078">
        <w:rPr>
          <w:rFonts w:cs="Tahoma"/>
          <w:color w:val="000000"/>
          <w:szCs w:val="18"/>
          <w:lang w:val="it-IT"/>
        </w:rPr>
        <w:t>La società dovrà mantenere la copertura dell</w:t>
      </w:r>
      <w:r w:rsidR="0073727D">
        <w:rPr>
          <w:rFonts w:cs="Tahoma"/>
          <w:color w:val="000000"/>
          <w:szCs w:val="18"/>
          <w:lang w:val="it-IT"/>
        </w:rPr>
        <w:t>’</w:t>
      </w:r>
      <w:r w:rsidRPr="00451078">
        <w:rPr>
          <w:rFonts w:cs="Tahoma"/>
          <w:color w:val="000000"/>
          <w:szCs w:val="18"/>
          <w:lang w:val="it-IT"/>
        </w:rPr>
        <w:t>abbonamento in via continuativa.</w:t>
      </w:r>
      <w:r w:rsidR="00082E1C" w:rsidRPr="00451078">
        <w:rPr>
          <w:rFonts w:cs="Tahoma"/>
          <w:color w:val="000000"/>
          <w:szCs w:val="18"/>
          <w:lang w:val="it-IT"/>
        </w:rPr>
        <w:t xml:space="preserve"> </w:t>
      </w:r>
      <w:r w:rsidRPr="00451078">
        <w:rPr>
          <w:rFonts w:cs="Tahoma"/>
          <w:color w:val="000000"/>
          <w:szCs w:val="18"/>
          <w:lang w:val="it-IT"/>
        </w:rPr>
        <w:t>Tali diritti diventeranno permanenti soltanto all</w:t>
      </w:r>
      <w:r w:rsidR="0073727D">
        <w:rPr>
          <w:rFonts w:cs="Tahoma"/>
          <w:color w:val="000000"/>
          <w:szCs w:val="18"/>
          <w:lang w:val="it-IT"/>
        </w:rPr>
        <w:t>’</w:t>
      </w:r>
      <w:r w:rsidRPr="00451078">
        <w:rPr>
          <w:rFonts w:cs="Tahoma"/>
          <w:color w:val="000000"/>
          <w:szCs w:val="18"/>
          <w:lang w:val="it-IT"/>
        </w:rPr>
        <w:t>esercizio dell</w:t>
      </w:r>
      <w:r w:rsidR="0073727D">
        <w:rPr>
          <w:rFonts w:cs="Tahoma"/>
          <w:color w:val="000000"/>
          <w:szCs w:val="18"/>
          <w:lang w:val="it-IT"/>
        </w:rPr>
        <w:t>’</w:t>
      </w:r>
      <w:r w:rsidRPr="00451078">
        <w:rPr>
          <w:rFonts w:cs="Tahoma"/>
          <w:color w:val="000000"/>
          <w:szCs w:val="18"/>
          <w:lang w:val="it-IT"/>
        </w:rPr>
        <w:t>opzione buy-out e</w:t>
      </w:r>
      <w:r w:rsidR="00F9066C" w:rsidRPr="00451078">
        <w:rPr>
          <w:rFonts w:cs="Tahoma"/>
          <w:color w:val="000000"/>
          <w:szCs w:val="18"/>
          <w:lang w:val="it-IT"/>
        </w:rPr>
        <w:t> </w:t>
      </w:r>
      <w:r w:rsidRPr="00451078">
        <w:rPr>
          <w:rFonts w:cs="Tahoma"/>
          <w:color w:val="000000"/>
          <w:szCs w:val="18"/>
          <w:lang w:val="it-IT"/>
        </w:rPr>
        <w:t>resteranno soggetti a tutte le condizioni del contratto di licenza della società.</w:t>
      </w:r>
    </w:p>
    <w:p w:rsidR="002F7FB8" w:rsidRPr="00451078" w:rsidRDefault="002F7FB8" w:rsidP="00745AB3">
      <w:pPr>
        <w:numPr>
          <w:ilvl w:val="0"/>
          <w:numId w:val="102"/>
        </w:numPr>
        <w:spacing w:after="60"/>
        <w:ind w:left="1440"/>
        <w:rPr>
          <w:lang w:val="it-IT"/>
        </w:rPr>
      </w:pPr>
      <w:r w:rsidRPr="00451078">
        <w:rPr>
          <w:rFonts w:cs="Tahoma"/>
          <w:szCs w:val="18"/>
          <w:u w:val="single"/>
          <w:lang w:val="it-IT"/>
        </w:rPr>
        <w:t>Transizioni ai Contratti Campus e School</w:t>
      </w:r>
      <w:r w:rsidRPr="00451078">
        <w:rPr>
          <w:rFonts w:cs="Tahoma"/>
          <w:szCs w:val="18"/>
          <w:lang w:val="it-IT"/>
        </w:rPr>
        <w:t>. Per quanto riguarda le società che a metà del periodo di</w:t>
      </w:r>
      <w:r w:rsidR="00F9066C" w:rsidRPr="00451078">
        <w:rPr>
          <w:rFonts w:cs="Tahoma"/>
          <w:szCs w:val="18"/>
          <w:lang w:val="it-IT"/>
        </w:rPr>
        <w:t> </w:t>
      </w:r>
      <w:r w:rsidRPr="00451078">
        <w:rPr>
          <w:rFonts w:cs="Tahoma"/>
          <w:szCs w:val="18"/>
          <w:lang w:val="it-IT"/>
        </w:rPr>
        <w:t>validità effettuano la transizione dai contratti Campus e School al contratto Enrollment for Education Solutions o Open Value Subscription-Education Solutions mantenendo la copertura della sottoscrizione in via continuativa:</w:t>
      </w:r>
    </w:p>
    <w:p w:rsidR="002F7FB8" w:rsidRPr="00451078" w:rsidRDefault="002F7FB8" w:rsidP="00745AB3">
      <w:pPr>
        <w:pStyle w:val="ListParagraph"/>
        <w:numPr>
          <w:ilvl w:val="0"/>
          <w:numId w:val="86"/>
        </w:numPr>
        <w:spacing w:after="60"/>
        <w:ind w:left="1800"/>
        <w:rPr>
          <w:rFonts w:ascii="Tahoma" w:hAnsi="Tahoma" w:cs="Tahoma"/>
          <w:sz w:val="18"/>
          <w:szCs w:val="18"/>
          <w:lang w:val="it-IT"/>
        </w:rPr>
      </w:pPr>
      <w:r w:rsidRPr="00451078">
        <w:rPr>
          <w:rFonts w:ascii="Tahoma" w:hAnsi="Tahoma" w:cs="Tahoma"/>
          <w:sz w:val="18"/>
          <w:szCs w:val="18"/>
          <w:lang w:val="it-IT"/>
        </w:rPr>
        <w:t xml:space="preserve">Vengono concessi gli stessi diritti su base temporanea, ai sensi delle medesime condizioni, fino al termine, rispettivamente, del loro contratto Enrollment for Education Solutions o Open Value Subscription-Education Solutions. </w:t>
      </w:r>
    </w:p>
    <w:p w:rsidR="002512D3" w:rsidRPr="00451078" w:rsidRDefault="002F7FB8" w:rsidP="00745AB3">
      <w:pPr>
        <w:pStyle w:val="ListParagraph"/>
        <w:numPr>
          <w:ilvl w:val="0"/>
          <w:numId w:val="86"/>
        </w:numPr>
        <w:spacing w:after="60"/>
        <w:ind w:left="1800"/>
        <w:rPr>
          <w:rFonts w:ascii="Tahoma" w:hAnsi="Tahoma" w:cs="Tahoma"/>
          <w:sz w:val="18"/>
          <w:szCs w:val="18"/>
          <w:lang w:val="it-IT"/>
        </w:rPr>
      </w:pPr>
      <w:r w:rsidRPr="00451078">
        <w:rPr>
          <w:rFonts w:ascii="Tahoma" w:hAnsi="Tahoma" w:cs="Tahoma"/>
          <w:sz w:val="18"/>
          <w:szCs w:val="18"/>
          <w:lang w:val="it-IT"/>
        </w:rPr>
        <w:t>Tali diritti diventeranno permanenti soltanto all</w:t>
      </w:r>
      <w:r w:rsidR="0073727D">
        <w:rPr>
          <w:rFonts w:ascii="Tahoma" w:hAnsi="Tahoma" w:cs="Tahoma"/>
          <w:sz w:val="18"/>
          <w:szCs w:val="18"/>
          <w:lang w:val="it-IT"/>
        </w:rPr>
        <w:t>’</w:t>
      </w:r>
      <w:r w:rsidRPr="00451078">
        <w:rPr>
          <w:rFonts w:ascii="Tahoma" w:hAnsi="Tahoma" w:cs="Tahoma"/>
          <w:sz w:val="18"/>
          <w:szCs w:val="18"/>
          <w:lang w:val="it-IT"/>
        </w:rPr>
        <w:t>esercizio dell</w:t>
      </w:r>
      <w:r w:rsidR="0073727D">
        <w:rPr>
          <w:rFonts w:ascii="Tahoma" w:hAnsi="Tahoma" w:cs="Tahoma"/>
          <w:sz w:val="18"/>
          <w:szCs w:val="18"/>
          <w:lang w:val="it-IT"/>
        </w:rPr>
        <w:t>’</w:t>
      </w:r>
      <w:r w:rsidRPr="00451078">
        <w:rPr>
          <w:rFonts w:ascii="Tahoma" w:hAnsi="Tahoma" w:cs="Tahoma"/>
          <w:sz w:val="18"/>
          <w:szCs w:val="18"/>
          <w:lang w:val="it-IT"/>
        </w:rPr>
        <w:t>opzione buy-out e resteranno soggetti a tutte le condizioni del contratto di licenza della società.</w:t>
      </w:r>
    </w:p>
    <w:p w:rsidR="0004051B" w:rsidRPr="00451078" w:rsidRDefault="0004051B" w:rsidP="0004051B">
      <w:pPr>
        <w:ind w:left="720"/>
        <w:rPr>
          <w:rFonts w:cs="Tahoma"/>
          <w:szCs w:val="18"/>
          <w:lang w:val="it-IT"/>
        </w:rPr>
      </w:pPr>
    </w:p>
    <w:p w:rsidR="002F7FB8" w:rsidRPr="00451078" w:rsidRDefault="002F7FB8" w:rsidP="007B699C">
      <w:pPr>
        <w:spacing w:after="60"/>
        <w:ind w:left="720"/>
        <w:rPr>
          <w:lang w:val="it-IT"/>
        </w:rPr>
      </w:pPr>
      <w:r w:rsidRPr="00451078">
        <w:rPr>
          <w:rFonts w:cs="Tahoma"/>
          <w:b/>
          <w:color w:val="000000"/>
          <w:szCs w:val="18"/>
          <w:lang w:val="it-IT"/>
        </w:rPr>
        <w:t>Diritti di Downgrade Eccezionali per Office SharePoint Server 2013</w:t>
      </w:r>
    </w:p>
    <w:p w:rsidR="002F7FB8" w:rsidRPr="00451078" w:rsidRDefault="002F7FB8" w:rsidP="002F7FB8">
      <w:pPr>
        <w:ind w:left="720"/>
        <w:rPr>
          <w:lang w:val="it-IT"/>
        </w:rPr>
      </w:pPr>
      <w:r w:rsidRPr="00451078">
        <w:rPr>
          <w:rFonts w:cs="Tahoma"/>
          <w:szCs w:val="18"/>
          <w:lang w:val="it-IT"/>
        </w:rPr>
        <w:t>Le società titolari di una licenza per SharePoint Server 2013 potranno accedere a qualsiasi prodotto elencato nella tabella che segue e utilizzarlo al posto di SharePoint Server 2013 come descritto di seguito:</w:t>
      </w:r>
    </w:p>
    <w:p w:rsidR="002F7FB8" w:rsidRPr="00451078" w:rsidRDefault="002F7FB8" w:rsidP="002F7FB8">
      <w:pPr>
        <w:ind w:left="810"/>
        <w:rPr>
          <w:lang w:val="it-IT"/>
        </w:rPr>
      </w:pPr>
    </w:p>
    <w:tbl>
      <w:tblPr>
        <w:tblW w:w="8688" w:type="dxa"/>
        <w:tblInd w:w="878" w:type="dxa"/>
        <w:tblCellMar>
          <w:left w:w="0" w:type="dxa"/>
          <w:right w:w="0" w:type="dxa"/>
        </w:tblCellMar>
        <w:tblLook w:val="04A0" w:firstRow="1" w:lastRow="0" w:firstColumn="1" w:lastColumn="0" w:noHBand="0" w:noVBand="1"/>
      </w:tblPr>
      <w:tblGrid>
        <w:gridCol w:w="4392"/>
        <w:gridCol w:w="4296"/>
      </w:tblGrid>
      <w:tr w:rsidR="00BD1A6A" w:rsidRPr="003410C7" w:rsidTr="00CA14C9">
        <w:trPr>
          <w:tblHeader/>
        </w:trPr>
        <w:tc>
          <w:tcPr>
            <w:tcW w:w="4392" w:type="dxa"/>
            <w:tcBorders>
              <w:top w:val="single" w:sz="8" w:space="0" w:color="000000"/>
              <w:left w:val="single" w:sz="8" w:space="0" w:color="000000"/>
              <w:bottom w:val="single" w:sz="8" w:space="0" w:color="000000"/>
              <w:right w:val="single" w:sz="8" w:space="0" w:color="000000"/>
            </w:tcBorders>
            <w:shd w:val="clear" w:color="auto" w:fill="FABF8F"/>
            <w:tcMar>
              <w:top w:w="0" w:type="dxa"/>
              <w:left w:w="108" w:type="dxa"/>
              <w:bottom w:w="0" w:type="dxa"/>
              <w:right w:w="108" w:type="dxa"/>
            </w:tcMar>
          </w:tcPr>
          <w:p w:rsidR="00BD1A6A" w:rsidRPr="003410C7" w:rsidRDefault="00BD1A6A" w:rsidP="007E466C">
            <w:pPr>
              <w:spacing w:before="60" w:after="60"/>
              <w:ind w:left="162"/>
              <w:rPr>
                <w:rFonts w:cs="Tahoma"/>
                <w:b/>
                <w:bCs/>
                <w:color w:val="000000"/>
                <w:szCs w:val="18"/>
              </w:rPr>
            </w:pPr>
            <w:r w:rsidRPr="003410C7">
              <w:rPr>
                <w:rFonts w:cs="Tahoma"/>
                <w:b/>
                <w:bCs/>
                <w:color w:val="000000"/>
                <w:szCs w:val="18"/>
              </w:rPr>
              <w:t>Licenze per SharePoint Server 2013</w:t>
            </w:r>
          </w:p>
        </w:tc>
        <w:tc>
          <w:tcPr>
            <w:tcW w:w="4296" w:type="dxa"/>
            <w:tcBorders>
              <w:top w:val="single" w:sz="8" w:space="0" w:color="000000"/>
              <w:left w:val="nil"/>
              <w:bottom w:val="single" w:sz="8" w:space="0" w:color="000000"/>
              <w:right w:val="single" w:sz="8" w:space="0" w:color="auto"/>
            </w:tcBorders>
            <w:shd w:val="clear" w:color="auto" w:fill="FABF8F"/>
          </w:tcPr>
          <w:p w:rsidR="00BD1A6A" w:rsidRPr="003410C7" w:rsidRDefault="00BD1A6A" w:rsidP="007E466C">
            <w:pPr>
              <w:spacing w:before="60" w:after="60"/>
              <w:ind w:left="180"/>
              <w:rPr>
                <w:rFonts w:cs="Tahoma"/>
                <w:b/>
                <w:bCs/>
                <w:color w:val="000000"/>
                <w:szCs w:val="18"/>
              </w:rPr>
            </w:pPr>
            <w:r w:rsidRPr="003410C7">
              <w:rPr>
                <w:rFonts w:cs="Tahoma"/>
                <w:b/>
                <w:bCs/>
                <w:color w:val="000000"/>
                <w:szCs w:val="18"/>
              </w:rPr>
              <w:t>Downgrade a</w:t>
            </w:r>
          </w:p>
        </w:tc>
      </w:tr>
      <w:tr w:rsidR="00BD1A6A" w:rsidRPr="003410C7" w:rsidTr="007E466C">
        <w:tc>
          <w:tcPr>
            <w:tcW w:w="4392" w:type="dxa"/>
            <w:tcBorders>
              <w:top w:val="nil"/>
              <w:left w:val="single" w:sz="8" w:space="0" w:color="000000"/>
              <w:bottom w:val="single" w:sz="8" w:space="0" w:color="000000"/>
              <w:right w:val="single" w:sz="8" w:space="0" w:color="000000"/>
            </w:tcBorders>
            <w:tcMar>
              <w:top w:w="0" w:type="dxa"/>
              <w:left w:w="108" w:type="dxa"/>
              <w:bottom w:w="0" w:type="dxa"/>
              <w:right w:w="108" w:type="dxa"/>
            </w:tcMar>
            <w:vAlign w:val="center"/>
          </w:tcPr>
          <w:p w:rsidR="00BD1A6A" w:rsidRPr="003410C7" w:rsidRDefault="00BD1A6A" w:rsidP="00722522">
            <w:pPr>
              <w:ind w:left="162"/>
              <w:rPr>
                <w:rFonts w:cs="Tahoma"/>
                <w:color w:val="000000"/>
                <w:szCs w:val="18"/>
              </w:rPr>
            </w:pPr>
            <w:r w:rsidRPr="003410C7">
              <w:rPr>
                <w:rFonts w:cs="Tahoma"/>
                <w:color w:val="000000"/>
                <w:szCs w:val="18"/>
              </w:rPr>
              <w:t>Licenza per SharePoint Server 2013</w:t>
            </w:r>
          </w:p>
        </w:tc>
        <w:tc>
          <w:tcPr>
            <w:tcW w:w="4296" w:type="dxa"/>
            <w:tcBorders>
              <w:top w:val="nil"/>
              <w:left w:val="nil"/>
              <w:bottom w:val="single" w:sz="8" w:space="0" w:color="000000"/>
              <w:right w:val="single" w:sz="8" w:space="0" w:color="000000"/>
            </w:tcBorders>
          </w:tcPr>
          <w:p w:rsidR="00BD1A6A" w:rsidRPr="003410C7" w:rsidRDefault="00BD1A6A" w:rsidP="00F249BF">
            <w:pPr>
              <w:ind w:left="162" w:right="180"/>
            </w:pPr>
            <w:r w:rsidRPr="003410C7">
              <w:rPr>
                <w:rFonts w:cs="Tahoma"/>
                <w:color w:val="000000"/>
                <w:szCs w:val="18"/>
              </w:rPr>
              <w:t xml:space="preserve">SharePoint Server 2010, </w:t>
            </w:r>
            <w:r w:rsidRPr="003410C7">
              <w:rPr>
                <w:rFonts w:cs="Tahoma"/>
                <w:b/>
                <w:color w:val="000000"/>
                <w:szCs w:val="18"/>
              </w:rPr>
              <w:t>o</w:t>
            </w:r>
          </w:p>
          <w:p w:rsidR="00BD1A6A" w:rsidRPr="003410C7" w:rsidRDefault="00BD1A6A" w:rsidP="002C3AB1">
            <w:pPr>
              <w:ind w:left="162" w:right="180"/>
              <w:rPr>
                <w:rFonts w:cs="Tahoma"/>
                <w:color w:val="000000"/>
                <w:szCs w:val="18"/>
              </w:rPr>
            </w:pPr>
            <w:r w:rsidRPr="003410C7">
              <w:rPr>
                <w:rFonts w:cs="Tahoma"/>
                <w:color w:val="000000"/>
                <w:szCs w:val="18"/>
              </w:rPr>
              <w:t xml:space="preserve">FAST Search Server 2010 for SharePoint Server </w:t>
            </w:r>
          </w:p>
        </w:tc>
      </w:tr>
    </w:tbl>
    <w:p w:rsidR="002F7FB8" w:rsidRPr="003410C7" w:rsidRDefault="002F7FB8" w:rsidP="002F7FB8">
      <w:pPr>
        <w:ind w:left="810"/>
      </w:pPr>
    </w:p>
    <w:p w:rsidR="002F7FB8" w:rsidRPr="00451078" w:rsidRDefault="002F7FB8" w:rsidP="002F7FB8">
      <w:pPr>
        <w:ind w:left="720"/>
        <w:rPr>
          <w:lang w:val="it-IT"/>
        </w:rPr>
      </w:pPr>
      <w:r w:rsidRPr="00451078">
        <w:rPr>
          <w:rFonts w:cs="Tahoma"/>
          <w:color w:val="000000"/>
          <w:szCs w:val="18"/>
          <w:lang w:val="it-IT"/>
        </w:rPr>
        <w:t>Il diritto di accesso a, e di utilizzo di, copie di SharePoint Server 2010 o FAST Search Server 2010 for SharePoint Server da parte di una società al posto di copie con licenza di SharePoint Server 2013 ai sensi della presente offerta è soggetto alle condizioni di un contratto multilicenza, ai diritti di utilizzo del prodotto per SharePoint Server 2013 e a queste condizioni. Tale diritto cesserà alla scadenza o alla risoluzione delle licenze per SharePoint Server.</w:t>
      </w:r>
    </w:p>
    <w:p w:rsidR="002F7FB8" w:rsidRPr="00451078" w:rsidRDefault="002F7FB8" w:rsidP="002F7FB8">
      <w:pPr>
        <w:ind w:left="720"/>
        <w:rPr>
          <w:lang w:val="it-IT"/>
        </w:rPr>
      </w:pPr>
    </w:p>
    <w:p w:rsidR="002F7FB8" w:rsidRPr="00451078" w:rsidRDefault="002F7FB8" w:rsidP="00031ABF">
      <w:pPr>
        <w:spacing w:after="60"/>
        <w:ind w:left="720"/>
        <w:rPr>
          <w:lang w:val="it-IT"/>
        </w:rPr>
      </w:pPr>
      <w:r w:rsidRPr="00451078">
        <w:rPr>
          <w:rFonts w:cs="Tahoma"/>
          <w:b/>
          <w:color w:val="000000"/>
          <w:szCs w:val="18"/>
          <w:lang w:val="it-IT"/>
        </w:rPr>
        <w:t>Estensione dei diritti delle Applicazioni Self-Hosted con Software Assurance per le Società in</w:t>
      </w:r>
      <w:r w:rsidR="00F9066C" w:rsidRPr="00451078">
        <w:rPr>
          <w:rFonts w:cs="Tahoma"/>
          <w:b/>
          <w:color w:val="000000"/>
          <w:szCs w:val="18"/>
          <w:lang w:val="it-IT"/>
        </w:rPr>
        <w:t> </w:t>
      </w:r>
      <w:r w:rsidRPr="00451078">
        <w:rPr>
          <w:rFonts w:cs="Tahoma"/>
          <w:b/>
          <w:color w:val="000000"/>
          <w:szCs w:val="18"/>
          <w:lang w:val="it-IT"/>
        </w:rPr>
        <w:t xml:space="preserve">possesso di SharePoint Server </w:t>
      </w:r>
      <w:bookmarkStart w:id="1366" w:name="Srv_65SharepointSvr10IntSites"/>
      <w:bookmarkStart w:id="1367" w:name="_Toc336338336"/>
      <w:bookmarkStart w:id="1368" w:name="Srv_66SharepointSvr10IntSites"/>
      <w:bookmarkStart w:id="1369" w:name="Srv_63SharepointSvr07IntSites"/>
      <w:bookmarkStart w:id="1370" w:name="Srv_64SharepointSvr07IntSites"/>
      <w:r w:rsidRPr="00451078">
        <w:rPr>
          <w:rFonts w:cs="Tahoma"/>
          <w:b/>
          <w:color w:val="000000"/>
          <w:szCs w:val="18"/>
          <w:lang w:val="it-IT"/>
        </w:rPr>
        <w:t>for Internet Sites Enterprise</w:t>
      </w:r>
      <w:bookmarkEnd w:id="1366"/>
      <w:bookmarkEnd w:id="1367"/>
      <w:bookmarkEnd w:id="1368"/>
      <w:bookmarkEnd w:id="1369"/>
    </w:p>
    <w:bookmarkEnd w:id="1370"/>
    <w:p w:rsidR="002F7FB8" w:rsidRPr="00451078" w:rsidRDefault="002F7FB8" w:rsidP="002F7FB8">
      <w:pPr>
        <w:ind w:left="720"/>
        <w:rPr>
          <w:lang w:val="it-IT"/>
        </w:rPr>
      </w:pPr>
      <w:r w:rsidRPr="00451078">
        <w:rPr>
          <w:rFonts w:cs="Tahoma"/>
          <w:color w:val="000000"/>
          <w:szCs w:val="18"/>
          <w:lang w:val="it-IT"/>
        </w:rPr>
        <w:t>Le società in possesso di SharePoint Server 2010 for Internet Sites Enterprise, alle quali sono concesse le licenze per SharePoint Server 2013 tramite la concessione di licenza delineata sopra, potranno effettuare l</w:t>
      </w:r>
      <w:r w:rsidR="0073727D">
        <w:rPr>
          <w:rFonts w:cs="Tahoma"/>
          <w:color w:val="000000"/>
          <w:szCs w:val="18"/>
          <w:lang w:val="it-IT"/>
        </w:rPr>
        <w:t>’</w:t>
      </w:r>
      <w:r w:rsidRPr="00451078">
        <w:rPr>
          <w:rFonts w:cs="Tahoma"/>
          <w:color w:val="000000"/>
          <w:szCs w:val="18"/>
          <w:lang w:val="it-IT"/>
        </w:rPr>
        <w:t xml:space="preserve">aggiornamento a SharePoint Server 2013 (come stabilito nella suddetta concessione) e utilizzare SharePoint Server 2013 ai sensi dei diritti di utilizzo del prodotto relativi a SharePoint Server 2013 e le condizioni della sezione </w:t>
      </w:r>
      <w:r w:rsidR="001A3EC5" w:rsidRPr="00451078">
        <w:rPr>
          <w:rFonts w:cs="Tahoma"/>
          <w:color w:val="000000"/>
          <w:szCs w:val="18"/>
          <w:lang w:val="it-IT"/>
        </w:rPr>
        <w:t>“</w:t>
      </w:r>
      <w:r w:rsidRPr="00451078">
        <w:rPr>
          <w:rFonts w:cs="Tahoma"/>
          <w:color w:val="000000"/>
          <w:szCs w:val="18"/>
          <w:lang w:val="it-IT"/>
        </w:rPr>
        <w:t>Applicazioni Server - Self-Hosted</w:t>
      </w:r>
      <w:r w:rsidR="001A3EC5" w:rsidRPr="00451078">
        <w:rPr>
          <w:rFonts w:cs="Tahoma"/>
          <w:color w:val="000000"/>
          <w:szCs w:val="18"/>
          <w:lang w:val="it-IT"/>
        </w:rPr>
        <w:t>”</w:t>
      </w:r>
      <w:r w:rsidRPr="00451078">
        <w:rPr>
          <w:rFonts w:cs="Tahoma"/>
          <w:color w:val="000000"/>
          <w:szCs w:val="18"/>
          <w:lang w:val="it-IT"/>
        </w:rPr>
        <w:t xml:space="preserve"> dei Diritti di Utilizzo del Prodotto. Le società idonee mantengono la copertura Software Assurance per le licenze gratuite per SharePoint Server 2013, in questo modo il diritto di utilizzo di SharePoint Server 2013 si applicherà fino a quando non sarà disponibile la versione successiva di SharePoint Server 2013.</w:t>
      </w:r>
      <w:r w:rsidR="00082E1C" w:rsidRPr="00451078">
        <w:rPr>
          <w:rFonts w:cs="Tahoma"/>
          <w:color w:val="000000"/>
          <w:szCs w:val="18"/>
          <w:lang w:val="it-IT"/>
        </w:rPr>
        <w:t xml:space="preserve"> </w:t>
      </w:r>
    </w:p>
    <w:p w:rsidR="000D76F0" w:rsidRPr="00451078" w:rsidRDefault="000D76F0" w:rsidP="00031ABF">
      <w:pPr>
        <w:rPr>
          <w:lang w:val="it-IT"/>
        </w:rPr>
      </w:pPr>
    </w:p>
    <w:p w:rsidR="00023FE7" w:rsidRPr="00451078" w:rsidRDefault="00023FE7" w:rsidP="00697E59">
      <w:pPr>
        <w:pStyle w:val="EndnoteText"/>
        <w:ind w:left="0"/>
        <w:rPr>
          <w:lang w:val="it-IT"/>
        </w:rPr>
      </w:pPr>
      <w:bookmarkStart w:id="1371" w:name="_78_SharePoint™_Server"/>
      <w:bookmarkStart w:id="1372" w:name="_Toc336338339"/>
      <w:bookmarkStart w:id="1373" w:name="Srv_81SQLSvr08R2DataCenter"/>
      <w:bookmarkEnd w:id="1371"/>
    </w:p>
    <w:p w:rsidR="00A81E83" w:rsidRPr="00451078" w:rsidRDefault="0099402E" w:rsidP="00A81E83">
      <w:pPr>
        <w:pStyle w:val="Heading3"/>
        <w:rPr>
          <w:lang w:val="it-IT"/>
        </w:rPr>
      </w:pPr>
      <w:bookmarkStart w:id="1374" w:name="_75_73_SQL"/>
      <w:bookmarkStart w:id="1375" w:name="_Toc352234926"/>
      <w:bookmarkStart w:id="1376" w:name="Srv_69SQLSvr08EntandEntProc"/>
      <w:bookmarkStart w:id="1377" w:name="Srv_70SQLSvr08EntandEntProc"/>
      <w:bookmarkStart w:id="1378" w:name="Srv_72SQLSvr08R2developer"/>
      <w:bookmarkStart w:id="1379" w:name="Srv_72SQLSvr08R2DataCenter"/>
      <w:bookmarkEnd w:id="1374"/>
      <w:r w:rsidRPr="00451078">
        <w:rPr>
          <w:rFonts w:ascii="Tahoma" w:hAnsi="Tahoma"/>
          <w:caps/>
          <w:color w:val="F66400"/>
          <w:sz w:val="22"/>
          <w:vertAlign w:val="superscript"/>
          <w:lang w:val="it-IT"/>
        </w:rPr>
        <w:t>73</w:t>
      </w:r>
      <w:r w:rsidRPr="00451078">
        <w:rPr>
          <w:rFonts w:ascii="Tahoma" w:hAnsi="Tahoma"/>
          <w:color w:val="F66400"/>
          <w:sz w:val="22"/>
          <w:lang w:val="it-IT"/>
        </w:rPr>
        <w:t xml:space="preserve"> SQL Server</w:t>
      </w:r>
      <w:r w:rsidR="003410C7" w:rsidRPr="00451078">
        <w:rPr>
          <w:rFonts w:ascii="Tahoma" w:hAnsi="Tahoma"/>
          <w:color w:val="F66400"/>
          <w:sz w:val="22"/>
          <w:vertAlign w:val="superscript"/>
          <w:lang w:val="it-IT"/>
        </w:rPr>
        <w:t>®</w:t>
      </w:r>
      <w:r w:rsidRPr="00451078">
        <w:rPr>
          <w:rFonts w:ascii="Tahoma" w:hAnsi="Tahoma"/>
          <w:color w:val="F66400"/>
          <w:sz w:val="22"/>
          <w:lang w:val="it-IT"/>
        </w:rPr>
        <w:t xml:space="preserve"> 2008 R2 Datacenter</w:t>
      </w:r>
      <w:bookmarkEnd w:id="1372"/>
      <w:bookmarkEnd w:id="1375"/>
    </w:p>
    <w:bookmarkEnd w:id="1373"/>
    <w:p w:rsidR="00A81E83" w:rsidRPr="00451078" w:rsidRDefault="00A81E83" w:rsidP="00031ABF">
      <w:pPr>
        <w:rPr>
          <w:lang w:val="it-IT"/>
        </w:rPr>
      </w:pPr>
    </w:p>
    <w:p w:rsidR="00031ABF" w:rsidRPr="00451078" w:rsidRDefault="00A81E83" w:rsidP="00031ABF">
      <w:pPr>
        <w:spacing w:after="60"/>
        <w:ind w:left="720"/>
        <w:rPr>
          <w:lang w:val="it-IT"/>
        </w:rPr>
      </w:pPr>
      <w:r w:rsidRPr="00451078">
        <w:rPr>
          <w:rFonts w:cs="Tahoma"/>
          <w:b/>
          <w:color w:val="000000"/>
          <w:szCs w:val="18"/>
          <w:lang w:val="it-IT"/>
        </w:rPr>
        <w:t>Concessioni di Licenza Associate alla Variazione del Modello di Licenza e della Fine del Ciclo di</w:t>
      </w:r>
      <w:r w:rsidR="00F9066C" w:rsidRPr="00451078">
        <w:rPr>
          <w:rFonts w:cs="Tahoma"/>
          <w:b/>
          <w:color w:val="000000"/>
          <w:szCs w:val="18"/>
          <w:lang w:val="it-IT"/>
        </w:rPr>
        <w:t> </w:t>
      </w:r>
      <w:r w:rsidRPr="00451078">
        <w:rPr>
          <w:rFonts w:cs="Tahoma"/>
          <w:b/>
          <w:color w:val="000000"/>
          <w:szCs w:val="18"/>
          <w:lang w:val="it-IT"/>
        </w:rPr>
        <w:t>Vita di SQL Server Datacenter</w:t>
      </w:r>
    </w:p>
    <w:p w:rsidR="00A81E83" w:rsidRPr="00451078" w:rsidRDefault="00A81E83" w:rsidP="00031ABF">
      <w:pPr>
        <w:ind w:left="720"/>
        <w:rPr>
          <w:lang w:val="it-IT"/>
        </w:rPr>
      </w:pPr>
      <w:r w:rsidRPr="00451078">
        <w:rPr>
          <w:color w:val="000000"/>
          <w:lang w:val="it-IT"/>
        </w:rPr>
        <w:t>SQL Server 2008 R2 sarà l</w:t>
      </w:r>
      <w:r w:rsidR="0073727D">
        <w:rPr>
          <w:color w:val="000000"/>
          <w:lang w:val="it-IT"/>
        </w:rPr>
        <w:t>’</w:t>
      </w:r>
      <w:r w:rsidRPr="00451078">
        <w:rPr>
          <w:color w:val="000000"/>
          <w:lang w:val="it-IT"/>
        </w:rPr>
        <w:t>ultima versione di SQL Server concessa in licenza ai sensi del modello di licenza per processore e l</w:t>
      </w:r>
      <w:r w:rsidR="0073727D">
        <w:rPr>
          <w:color w:val="000000"/>
          <w:lang w:val="it-IT"/>
        </w:rPr>
        <w:t>’</w:t>
      </w:r>
      <w:r w:rsidRPr="00451078">
        <w:rPr>
          <w:color w:val="000000"/>
          <w:lang w:val="it-IT"/>
        </w:rPr>
        <w:t>ultima versione di SQL Server Datacenter.</w:t>
      </w:r>
      <w:r w:rsidR="00082E1C" w:rsidRPr="00451078">
        <w:rPr>
          <w:color w:val="000000"/>
          <w:lang w:val="it-IT"/>
        </w:rPr>
        <w:t xml:space="preserve"> </w:t>
      </w:r>
      <w:r w:rsidRPr="00451078">
        <w:rPr>
          <w:color w:val="000000"/>
          <w:lang w:val="it-IT"/>
        </w:rPr>
        <w:t>In via eccezionale, alle società con contratti multilicenza e copertura Software Assurance attiva per le licenze per processore per SQL Server 2008 R2 Datacenter in data 1 aprile 2012 (</w:t>
      </w:r>
      <w:r w:rsidR="001A3EC5" w:rsidRPr="00451078">
        <w:rPr>
          <w:color w:val="000000"/>
          <w:lang w:val="it-IT"/>
        </w:rPr>
        <w:t>“</w:t>
      </w:r>
      <w:r w:rsidRPr="00451078">
        <w:rPr>
          <w:color w:val="000000"/>
          <w:lang w:val="it-IT"/>
        </w:rPr>
        <w:t>licenze qualificanti</w:t>
      </w:r>
      <w:r w:rsidR="001A3EC5" w:rsidRPr="00451078">
        <w:rPr>
          <w:color w:val="000000"/>
          <w:lang w:val="it-IT"/>
        </w:rPr>
        <w:t>”</w:t>
      </w:r>
      <w:r w:rsidRPr="00451078">
        <w:rPr>
          <w:color w:val="000000"/>
          <w:lang w:val="it-IT"/>
        </w:rPr>
        <w:t xml:space="preserve">) vengono offerte le opzioni che seguono. Le licenze per processore per SQL Server 2008 R2 Datacenter </w:t>
      </w:r>
      <w:r w:rsidRPr="00451078">
        <w:rPr>
          <w:rFonts w:cs="Tahoma"/>
          <w:bCs/>
          <w:color w:val="000000"/>
          <w:szCs w:val="18"/>
          <w:lang w:val="it-IT"/>
        </w:rPr>
        <w:t>acquistate successivamente nello stesso periodo di</w:t>
      </w:r>
      <w:r w:rsidR="00F9066C" w:rsidRPr="00451078">
        <w:rPr>
          <w:rFonts w:cs="Tahoma"/>
          <w:bCs/>
          <w:color w:val="000000"/>
          <w:szCs w:val="18"/>
          <w:lang w:val="it-IT"/>
        </w:rPr>
        <w:t> </w:t>
      </w:r>
      <w:r w:rsidRPr="00451078">
        <w:rPr>
          <w:rFonts w:cs="Tahoma"/>
          <w:bCs/>
          <w:color w:val="000000"/>
          <w:szCs w:val="18"/>
          <w:lang w:val="it-IT"/>
        </w:rPr>
        <w:t>validità dell</w:t>
      </w:r>
      <w:r w:rsidR="0073727D">
        <w:rPr>
          <w:rFonts w:cs="Tahoma"/>
          <w:bCs/>
          <w:color w:val="000000"/>
          <w:szCs w:val="18"/>
          <w:lang w:val="it-IT"/>
        </w:rPr>
        <w:t>’</w:t>
      </w:r>
      <w:r w:rsidRPr="00451078">
        <w:rPr>
          <w:rFonts w:cs="Tahoma"/>
          <w:bCs/>
          <w:color w:val="000000"/>
          <w:szCs w:val="18"/>
          <w:lang w:val="it-IT"/>
        </w:rPr>
        <w:t>iscrizione, ma prima del 1 aprile 2015 nell</w:t>
      </w:r>
      <w:r w:rsidR="0073727D">
        <w:rPr>
          <w:rFonts w:cs="Tahoma"/>
          <w:bCs/>
          <w:color w:val="000000"/>
          <w:szCs w:val="18"/>
          <w:lang w:val="it-IT"/>
        </w:rPr>
        <w:t>’</w:t>
      </w:r>
      <w:r w:rsidRPr="00451078">
        <w:rPr>
          <w:rFonts w:cs="Tahoma"/>
          <w:bCs/>
          <w:color w:val="000000"/>
          <w:szCs w:val="18"/>
          <w:lang w:val="it-IT"/>
        </w:rPr>
        <w:t>ambito di una procedura pianificata di true-up della</w:t>
      </w:r>
      <w:r w:rsidR="00F9066C" w:rsidRPr="00451078">
        <w:rPr>
          <w:rFonts w:cs="Tahoma"/>
          <w:bCs/>
          <w:color w:val="000000"/>
          <w:szCs w:val="18"/>
          <w:lang w:val="it-IT"/>
        </w:rPr>
        <w:t> </w:t>
      </w:r>
      <w:r w:rsidRPr="00451078">
        <w:rPr>
          <w:rFonts w:cs="Tahoma"/>
          <w:bCs/>
          <w:color w:val="000000"/>
          <w:szCs w:val="18"/>
          <w:lang w:val="it-IT"/>
        </w:rPr>
        <w:t>società Enterprise, Enterprise Subscription, Open Value Subscription o EES, sono anch</w:t>
      </w:r>
      <w:r w:rsidR="0073727D">
        <w:rPr>
          <w:rFonts w:cs="Tahoma"/>
          <w:bCs/>
          <w:color w:val="000000"/>
          <w:szCs w:val="18"/>
          <w:lang w:val="it-IT"/>
        </w:rPr>
        <w:t>’</w:t>
      </w:r>
      <w:r w:rsidRPr="00451078">
        <w:rPr>
          <w:rFonts w:cs="Tahoma"/>
          <w:bCs/>
          <w:color w:val="000000"/>
          <w:szCs w:val="18"/>
          <w:lang w:val="it-IT"/>
        </w:rPr>
        <w:t>esse licenze qualificanti per gli scopi previsti da tali opzioni.</w:t>
      </w:r>
      <w:r w:rsidR="00082E1C" w:rsidRPr="00451078">
        <w:rPr>
          <w:rFonts w:cs="Tahoma"/>
          <w:bCs/>
          <w:color w:val="000000"/>
          <w:szCs w:val="18"/>
          <w:lang w:val="it-IT"/>
        </w:rPr>
        <w:t xml:space="preserve"> </w:t>
      </w:r>
      <w:r w:rsidRPr="00451078">
        <w:rPr>
          <w:rFonts w:cs="Tahoma"/>
          <w:bCs/>
          <w:color w:val="000000"/>
          <w:szCs w:val="18"/>
          <w:lang w:val="it-IT"/>
        </w:rPr>
        <w:t>Le licenze acquistate dopo il 1 aprile 2015, o in un periodo di</w:t>
      </w:r>
      <w:r w:rsidR="00F9066C" w:rsidRPr="00451078">
        <w:rPr>
          <w:rFonts w:cs="Tahoma"/>
          <w:bCs/>
          <w:color w:val="000000"/>
          <w:szCs w:val="18"/>
          <w:lang w:val="it-IT"/>
        </w:rPr>
        <w:t> </w:t>
      </w:r>
      <w:r w:rsidRPr="00451078">
        <w:rPr>
          <w:rFonts w:cs="Tahoma"/>
          <w:bCs/>
          <w:color w:val="000000"/>
          <w:szCs w:val="18"/>
          <w:lang w:val="it-IT"/>
        </w:rPr>
        <w:t>validità dell</w:t>
      </w:r>
      <w:r w:rsidR="0073727D">
        <w:rPr>
          <w:rFonts w:cs="Tahoma"/>
          <w:bCs/>
          <w:color w:val="000000"/>
          <w:szCs w:val="18"/>
          <w:lang w:val="it-IT"/>
        </w:rPr>
        <w:t>’</w:t>
      </w:r>
      <w:r w:rsidRPr="00451078">
        <w:rPr>
          <w:rFonts w:cs="Tahoma"/>
          <w:bCs/>
          <w:color w:val="000000"/>
          <w:szCs w:val="18"/>
          <w:lang w:val="it-IT"/>
        </w:rPr>
        <w:t>iscrizione successivo, ai sensi di un contratto distinto o di un</w:t>
      </w:r>
      <w:r w:rsidR="0073727D">
        <w:rPr>
          <w:rFonts w:cs="Tahoma"/>
          <w:bCs/>
          <w:color w:val="000000"/>
          <w:szCs w:val="18"/>
          <w:lang w:val="it-IT"/>
        </w:rPr>
        <w:t>’</w:t>
      </w:r>
      <w:r w:rsidRPr="00451078">
        <w:rPr>
          <w:rFonts w:cs="Tahoma"/>
          <w:bCs/>
          <w:color w:val="000000"/>
          <w:szCs w:val="18"/>
          <w:lang w:val="it-IT"/>
        </w:rPr>
        <w:t>iscrizione con la data di entrata in</w:t>
      </w:r>
      <w:r w:rsidR="00F9066C" w:rsidRPr="00451078">
        <w:rPr>
          <w:rFonts w:cs="Tahoma"/>
          <w:bCs/>
          <w:color w:val="000000"/>
          <w:szCs w:val="18"/>
          <w:lang w:val="it-IT"/>
        </w:rPr>
        <w:t> </w:t>
      </w:r>
      <w:r w:rsidRPr="00451078">
        <w:rPr>
          <w:rFonts w:cs="Tahoma"/>
          <w:bCs/>
          <w:color w:val="000000"/>
          <w:szCs w:val="18"/>
          <w:lang w:val="it-IT"/>
        </w:rPr>
        <w:t>vigore posteriore al 1 aprile 2012, non sono licenze qualificanti.</w:t>
      </w:r>
    </w:p>
    <w:p w:rsidR="00031ABF" w:rsidRPr="00451078" w:rsidRDefault="00031ABF" w:rsidP="00031ABF">
      <w:pPr>
        <w:ind w:left="720"/>
        <w:rPr>
          <w:lang w:val="it-IT"/>
        </w:rPr>
      </w:pPr>
    </w:p>
    <w:p w:rsidR="00031ABF" w:rsidRPr="00451078" w:rsidRDefault="00031ABF" w:rsidP="00031ABF">
      <w:pPr>
        <w:spacing w:after="60"/>
        <w:ind w:left="720"/>
        <w:rPr>
          <w:lang w:val="it-IT"/>
        </w:rPr>
      </w:pPr>
      <w:r w:rsidRPr="00451078">
        <w:rPr>
          <w:rFonts w:cs="Tahoma"/>
          <w:b/>
          <w:color w:val="000000"/>
          <w:szCs w:val="18"/>
          <w:lang w:val="it-IT"/>
        </w:rPr>
        <w:t>Periodo di Validità Corrente</w:t>
      </w:r>
    </w:p>
    <w:p w:rsidR="00A81E83" w:rsidRPr="00451078" w:rsidRDefault="00A81E83" w:rsidP="00031ABF">
      <w:pPr>
        <w:ind w:left="720"/>
        <w:contextualSpacing/>
        <w:rPr>
          <w:lang w:val="it-IT"/>
        </w:rPr>
      </w:pPr>
      <w:r w:rsidRPr="00451078">
        <w:rPr>
          <w:rFonts w:eastAsia="Calibri" w:cs="Tahoma"/>
          <w:szCs w:val="18"/>
          <w:lang w:val="it-IT"/>
        </w:rPr>
        <w:t xml:space="preserve">durante il periodo di validità corrente della copertura Software Assurance a partire dal 1 aprile 2012 le società (incluse le società titolari di contratti </w:t>
      </w:r>
      <w:r w:rsidR="001A3EC5" w:rsidRPr="00451078">
        <w:rPr>
          <w:rFonts w:eastAsia="Calibri" w:cs="Tahoma"/>
          <w:szCs w:val="18"/>
          <w:lang w:val="it-IT"/>
        </w:rPr>
        <w:t>“</w:t>
      </w:r>
      <w:r w:rsidRPr="00451078">
        <w:rPr>
          <w:rFonts w:eastAsia="Calibri" w:cs="Tahoma"/>
          <w:szCs w:val="18"/>
          <w:lang w:val="it-IT"/>
        </w:rPr>
        <w:t>subscription</w:t>
      </w:r>
      <w:r w:rsidR="001A3EC5" w:rsidRPr="00451078">
        <w:rPr>
          <w:rFonts w:eastAsia="Calibri" w:cs="Tahoma"/>
          <w:szCs w:val="18"/>
          <w:lang w:val="it-IT"/>
        </w:rPr>
        <w:t>”</w:t>
      </w:r>
      <w:r w:rsidRPr="00451078">
        <w:rPr>
          <w:rFonts w:eastAsia="Calibri" w:cs="Tahoma"/>
          <w:szCs w:val="18"/>
          <w:lang w:val="it-IT"/>
        </w:rPr>
        <w:t>) potranno, ai sensi di una licenza qualificante, effettuare l</w:t>
      </w:r>
      <w:r w:rsidR="0073727D">
        <w:rPr>
          <w:rFonts w:eastAsia="Calibri" w:cs="Tahoma"/>
          <w:szCs w:val="18"/>
          <w:lang w:val="it-IT"/>
        </w:rPr>
        <w:t>’</w:t>
      </w:r>
      <w:r w:rsidRPr="00451078">
        <w:rPr>
          <w:rFonts w:eastAsia="Calibri" w:cs="Tahoma"/>
          <w:szCs w:val="18"/>
          <w:lang w:val="it-IT"/>
        </w:rPr>
        <w:t>aggiornamento al software SQL Server 2012 Enterprise Core e utilizzarlo al posto di SQL Server 2008 R2 Datacenter in conformità ai diritti di utilizzo del prodotto previsti dalla licenza per processore SQL Server 2008 R2 Enterprise (come indicato nei Diritti di Utilizzo del Prodotto del mese di gennaio 2012). Tali</w:t>
      </w:r>
      <w:r w:rsidR="00F9066C" w:rsidRPr="00451078">
        <w:rPr>
          <w:rFonts w:eastAsia="Calibri" w:cs="Tahoma"/>
          <w:szCs w:val="18"/>
          <w:lang w:val="it-IT"/>
        </w:rPr>
        <w:t> </w:t>
      </w:r>
      <w:r w:rsidRPr="00451078">
        <w:rPr>
          <w:rFonts w:eastAsia="Calibri" w:cs="Tahoma"/>
          <w:szCs w:val="18"/>
          <w:lang w:val="it-IT"/>
        </w:rPr>
        <w:t>società dispongono anche dei diritti sull</w:t>
      </w:r>
      <w:r w:rsidR="0073727D">
        <w:rPr>
          <w:rFonts w:eastAsia="Calibri" w:cs="Tahoma"/>
          <w:szCs w:val="18"/>
          <w:lang w:val="it-IT"/>
        </w:rPr>
        <w:t>’</w:t>
      </w:r>
      <w:r w:rsidRPr="00451078">
        <w:rPr>
          <w:rFonts w:eastAsia="Calibri" w:cs="Tahoma"/>
          <w:szCs w:val="18"/>
          <w:lang w:val="it-IT"/>
        </w:rPr>
        <w:t>utilizzo per la Virtualizzazione Illimitata come descritto nelle note</w:t>
      </w:r>
      <w:r w:rsidR="00F9066C" w:rsidRPr="00451078">
        <w:rPr>
          <w:rFonts w:eastAsia="Calibri" w:cs="Tahoma"/>
          <w:szCs w:val="18"/>
          <w:lang w:val="it-IT"/>
        </w:rPr>
        <w:t> </w:t>
      </w:r>
      <w:r w:rsidRPr="00451078">
        <w:rPr>
          <w:rFonts w:eastAsia="Calibri" w:cs="Tahoma"/>
          <w:szCs w:val="18"/>
          <w:lang w:val="it-IT"/>
        </w:rPr>
        <w:t>del</w:t>
      </w:r>
      <w:r w:rsidR="00F9066C" w:rsidRPr="00451078">
        <w:rPr>
          <w:rFonts w:eastAsia="Calibri" w:cs="Tahoma"/>
          <w:szCs w:val="18"/>
          <w:lang w:val="it-IT"/>
        </w:rPr>
        <w:t> </w:t>
      </w:r>
      <w:r w:rsidRPr="00451078">
        <w:rPr>
          <w:rFonts w:eastAsia="Calibri" w:cs="Tahoma"/>
          <w:szCs w:val="18"/>
          <w:lang w:val="it-IT"/>
        </w:rPr>
        <w:t>prodotto SQL Server 2012 Enterprise della presente Lista dei Prodotti.</w:t>
      </w:r>
    </w:p>
    <w:p w:rsidR="00031ABF" w:rsidRPr="00451078" w:rsidRDefault="00031ABF" w:rsidP="00031ABF">
      <w:pPr>
        <w:ind w:left="720"/>
        <w:contextualSpacing/>
        <w:rPr>
          <w:lang w:val="it-IT"/>
        </w:rPr>
      </w:pPr>
    </w:p>
    <w:p w:rsidR="00031ABF" w:rsidRPr="00451078" w:rsidRDefault="00A81E83" w:rsidP="00031ABF">
      <w:pPr>
        <w:spacing w:after="60"/>
        <w:ind w:left="720"/>
        <w:rPr>
          <w:lang w:val="it-IT"/>
        </w:rPr>
      </w:pPr>
      <w:r w:rsidRPr="00451078">
        <w:rPr>
          <w:rFonts w:cs="Tahoma"/>
          <w:b/>
          <w:color w:val="000000"/>
          <w:szCs w:val="18"/>
          <w:lang w:val="it-IT"/>
        </w:rPr>
        <w:t>Primo Periodo di Rinnovo (prima del 1 aprile 2015)</w:t>
      </w:r>
    </w:p>
    <w:p w:rsidR="00A81E83" w:rsidRPr="00451078" w:rsidRDefault="00A81E83" w:rsidP="00031ABF">
      <w:pPr>
        <w:tabs>
          <w:tab w:val="left" w:pos="720"/>
        </w:tabs>
        <w:ind w:left="720"/>
        <w:contextualSpacing/>
        <w:rPr>
          <w:lang w:val="it-IT"/>
        </w:rPr>
      </w:pPr>
      <w:r w:rsidRPr="00451078">
        <w:rPr>
          <w:rFonts w:eastAsia="Calibri" w:cs="Tahoma"/>
          <w:szCs w:val="18"/>
          <w:lang w:val="it-IT"/>
        </w:rPr>
        <w:t>in occasione del primo rinnovo di Software Assurance in data 1 aprile 2012 o successiva (ma prima del 1</w:t>
      </w:r>
      <w:r w:rsidR="004E422F" w:rsidRPr="00451078">
        <w:rPr>
          <w:rFonts w:eastAsia="Calibri" w:cs="Tahoma"/>
          <w:szCs w:val="18"/>
          <w:lang w:val="it-IT"/>
        </w:rPr>
        <w:t> </w:t>
      </w:r>
      <w:r w:rsidRPr="00451078">
        <w:rPr>
          <w:rFonts w:eastAsia="Calibri" w:cs="Tahoma"/>
          <w:szCs w:val="18"/>
          <w:lang w:val="it-IT"/>
        </w:rPr>
        <w:t>aprile 2015), per ogni server che una società ha ricevuto validamente in licenza in conformità ai diritti di</w:t>
      </w:r>
      <w:r w:rsidR="004E422F" w:rsidRPr="00451078">
        <w:rPr>
          <w:rFonts w:eastAsia="Calibri" w:cs="Tahoma"/>
          <w:szCs w:val="18"/>
          <w:lang w:val="it-IT"/>
        </w:rPr>
        <w:t> </w:t>
      </w:r>
      <w:r w:rsidRPr="00451078">
        <w:rPr>
          <w:rFonts w:eastAsia="Calibri" w:cs="Tahoma"/>
          <w:szCs w:val="18"/>
          <w:lang w:val="it-IT"/>
        </w:rPr>
        <w:t>utilizzo del prodotto previsti dalla licenza per processore SQL Server 2008 R2, la società potrà acquistare la</w:t>
      </w:r>
      <w:r w:rsidR="00187E83" w:rsidRPr="00451078">
        <w:rPr>
          <w:rFonts w:eastAsia="Calibri" w:cs="Tahoma"/>
          <w:szCs w:val="18"/>
          <w:lang w:val="it-IT"/>
        </w:rPr>
        <w:t> </w:t>
      </w:r>
      <w:r w:rsidRPr="00451078">
        <w:rPr>
          <w:rFonts w:eastAsia="Calibri" w:cs="Tahoma"/>
          <w:szCs w:val="18"/>
          <w:lang w:val="it-IT"/>
        </w:rPr>
        <w:t>copertura Software Assurance per le licenze core per SQL Server Enterprise senza dovere acquistare le</w:t>
      </w:r>
      <w:r w:rsidR="00187E83" w:rsidRPr="00451078">
        <w:rPr>
          <w:rFonts w:eastAsia="Calibri" w:cs="Tahoma"/>
          <w:szCs w:val="18"/>
          <w:lang w:val="it-IT"/>
        </w:rPr>
        <w:t> </w:t>
      </w:r>
      <w:r w:rsidRPr="00451078">
        <w:rPr>
          <w:rFonts w:eastAsia="Calibri" w:cs="Tahoma"/>
          <w:szCs w:val="18"/>
          <w:lang w:val="it-IT"/>
        </w:rPr>
        <w:t>licenze core sottostanti per un numero di licenze core pari alla somma di (a) e (b):</w:t>
      </w:r>
    </w:p>
    <w:p w:rsidR="00A81E83" w:rsidRPr="00451078" w:rsidRDefault="00A81E83" w:rsidP="00745AB3">
      <w:pPr>
        <w:numPr>
          <w:ilvl w:val="1"/>
          <w:numId w:val="133"/>
        </w:numPr>
        <w:tabs>
          <w:tab w:val="left" w:pos="1440"/>
        </w:tabs>
        <w:contextualSpacing/>
        <w:rPr>
          <w:lang w:val="it-IT"/>
        </w:rPr>
      </w:pPr>
      <w:r w:rsidRPr="00451078">
        <w:rPr>
          <w:rFonts w:eastAsia="Calibri" w:cs="Tahoma"/>
          <w:szCs w:val="18"/>
          <w:lang w:val="it-IT"/>
        </w:rPr>
        <w:t xml:space="preserve">un numero pari al numero minore delle licenze qualificanti cedute al server o al numero totale dei processori fisici sul server moltiplicato per il maggiore tra: </w:t>
      </w:r>
    </w:p>
    <w:p w:rsidR="00A81E83" w:rsidRPr="003410C7" w:rsidRDefault="00A81E83" w:rsidP="00745AB3">
      <w:pPr>
        <w:numPr>
          <w:ilvl w:val="2"/>
          <w:numId w:val="53"/>
        </w:numPr>
        <w:tabs>
          <w:tab w:val="left" w:pos="1800"/>
        </w:tabs>
        <w:ind w:left="1800" w:hanging="360"/>
        <w:contextualSpacing/>
      </w:pPr>
      <w:r w:rsidRPr="003410C7">
        <w:rPr>
          <w:rFonts w:eastAsia="Calibri" w:cs="Tahoma"/>
          <w:szCs w:val="18"/>
        </w:rPr>
        <w:t>otto O</w:t>
      </w:r>
    </w:p>
    <w:p w:rsidR="00A81E83" w:rsidRPr="00451078" w:rsidRDefault="00A81E83" w:rsidP="00745AB3">
      <w:pPr>
        <w:numPr>
          <w:ilvl w:val="2"/>
          <w:numId w:val="53"/>
        </w:numPr>
        <w:tabs>
          <w:tab w:val="left" w:pos="1800"/>
        </w:tabs>
        <w:ind w:left="1800" w:hanging="360"/>
        <w:contextualSpacing/>
        <w:rPr>
          <w:lang w:val="it-IT"/>
        </w:rPr>
      </w:pPr>
      <w:r w:rsidRPr="00451078">
        <w:rPr>
          <w:rFonts w:eastAsia="Calibri" w:cs="Tahoma"/>
          <w:szCs w:val="18"/>
          <w:lang w:val="it-IT"/>
        </w:rPr>
        <w:t>il numero effettivo di core per processore fisico moltiplicato per il fattore core appropriato.</w:t>
      </w:r>
      <w:r w:rsidR="00082E1C" w:rsidRPr="00451078">
        <w:rPr>
          <w:rFonts w:eastAsia="Calibri" w:cs="Tahoma"/>
          <w:szCs w:val="18"/>
          <w:lang w:val="it-IT"/>
        </w:rPr>
        <w:t xml:space="preserve"> </w:t>
      </w:r>
      <w:r w:rsidRPr="00451078">
        <w:rPr>
          <w:rFonts w:eastAsia="Calibri" w:cs="Tahoma"/>
          <w:szCs w:val="18"/>
          <w:lang w:val="it-IT"/>
        </w:rPr>
        <w:t>(Nei</w:t>
      </w:r>
      <w:r w:rsidR="00187E83" w:rsidRPr="00451078">
        <w:rPr>
          <w:rFonts w:eastAsia="Calibri" w:cs="Tahoma"/>
          <w:szCs w:val="18"/>
          <w:lang w:val="it-IT"/>
        </w:rPr>
        <w:t> </w:t>
      </w:r>
      <w:r w:rsidRPr="00451078">
        <w:rPr>
          <w:rFonts w:eastAsia="Calibri" w:cs="Tahoma"/>
          <w:szCs w:val="18"/>
          <w:lang w:val="it-IT"/>
        </w:rPr>
        <w:t>casi in cui il numero effettivo di core per processore fisico superi otto, le società dovranno conservare un record della configurazione del software SQL Server in esecuzione sul server (istanze con licenza in esecuzione negli ambienti del sistema operativo sul server con licenza) e l</w:t>
      </w:r>
      <w:r w:rsidR="0073727D">
        <w:rPr>
          <w:rFonts w:eastAsia="Calibri" w:cs="Tahoma"/>
          <w:szCs w:val="18"/>
          <w:lang w:val="it-IT"/>
        </w:rPr>
        <w:t>’</w:t>
      </w:r>
      <w:r w:rsidRPr="00451078">
        <w:rPr>
          <w:rFonts w:eastAsia="Calibri" w:cs="Tahoma"/>
          <w:szCs w:val="18"/>
          <w:lang w:val="it-IT"/>
        </w:rPr>
        <w:t xml:space="preserve">hardware fisico che supporta tale software appena prima del rinnovo di Software Assurance utilizzando lo strumento MAP di Microsoft o un software equivalente). </w:t>
      </w:r>
    </w:p>
    <w:p w:rsidR="00A81E83" w:rsidRPr="00451078" w:rsidRDefault="00A81E83" w:rsidP="00745AB3">
      <w:pPr>
        <w:numPr>
          <w:ilvl w:val="1"/>
          <w:numId w:val="133"/>
        </w:numPr>
        <w:tabs>
          <w:tab w:val="left" w:pos="1440"/>
          <w:tab w:val="left" w:pos="2970"/>
        </w:tabs>
        <w:contextualSpacing/>
        <w:rPr>
          <w:lang w:val="it-IT"/>
        </w:rPr>
      </w:pPr>
      <w:r w:rsidRPr="00451078">
        <w:rPr>
          <w:rFonts w:eastAsia="Calibri" w:cs="Tahoma"/>
          <w:szCs w:val="18"/>
          <w:lang w:val="it-IT"/>
        </w:rPr>
        <w:t>un numero pari al numero di licenze qualificanti cedute al server oltre al numero effettivo di</w:t>
      </w:r>
      <w:r w:rsidR="00187E83" w:rsidRPr="00451078">
        <w:rPr>
          <w:rFonts w:eastAsia="Calibri" w:cs="Tahoma"/>
          <w:szCs w:val="18"/>
          <w:lang w:val="it-IT"/>
        </w:rPr>
        <w:t> </w:t>
      </w:r>
      <w:r w:rsidRPr="00451078">
        <w:rPr>
          <w:rFonts w:eastAsia="Calibri" w:cs="Tahoma"/>
          <w:szCs w:val="18"/>
          <w:lang w:val="it-IT"/>
        </w:rPr>
        <w:t>processori fisici sul server moltiplicato per otto.</w:t>
      </w:r>
    </w:p>
    <w:p w:rsidR="00031ABF" w:rsidRPr="00451078" w:rsidRDefault="00031ABF" w:rsidP="00031ABF">
      <w:pPr>
        <w:ind w:left="720"/>
        <w:contextualSpacing/>
        <w:rPr>
          <w:lang w:val="it-IT"/>
        </w:rPr>
      </w:pPr>
    </w:p>
    <w:p w:rsidR="00031ABF" w:rsidRPr="00451078" w:rsidRDefault="00A81E83" w:rsidP="00031ABF">
      <w:pPr>
        <w:spacing w:after="60"/>
        <w:ind w:left="720"/>
        <w:rPr>
          <w:lang w:val="it-IT"/>
        </w:rPr>
      </w:pPr>
      <w:r w:rsidRPr="00451078">
        <w:rPr>
          <w:rFonts w:eastAsia="Calibri" w:cs="Tahoma"/>
          <w:b/>
          <w:szCs w:val="18"/>
          <w:lang w:val="it-IT"/>
        </w:rPr>
        <w:t>Primo Periodo di Rinnovo (in data 1 aprile 2015 o successiva)</w:t>
      </w:r>
    </w:p>
    <w:p w:rsidR="00A81E83" w:rsidRPr="00451078" w:rsidRDefault="00A81E83" w:rsidP="00031ABF">
      <w:pPr>
        <w:ind w:left="720"/>
        <w:contextualSpacing/>
        <w:rPr>
          <w:lang w:val="it-IT"/>
        </w:rPr>
      </w:pPr>
      <w:r w:rsidRPr="00451078">
        <w:rPr>
          <w:rFonts w:eastAsia="Calibri" w:cs="Tahoma"/>
          <w:color w:val="000000"/>
          <w:szCs w:val="18"/>
          <w:lang w:val="it-IT"/>
        </w:rPr>
        <w:t>Le società che rinnovano per la prima volta la copertura in data 1 aprile 2015</w:t>
      </w:r>
      <w:r w:rsidRPr="00451078">
        <w:rPr>
          <w:rFonts w:eastAsia="Calibri" w:cs="Tahoma"/>
          <w:szCs w:val="18"/>
          <w:lang w:val="it-IT"/>
        </w:rPr>
        <w:t xml:space="preserve"> potranno, per ogni server ottenuto in licenza in conformità ai diritti di utilizzo del prodotto previsti dalla licenza per processore SQL Server 2008 R2, acquistare la copertura Software Assurance come di seguito indicato:</w:t>
      </w:r>
    </w:p>
    <w:p w:rsidR="00031ABF" w:rsidRPr="00451078" w:rsidRDefault="00031ABF" w:rsidP="00031ABF">
      <w:pPr>
        <w:ind w:left="720"/>
        <w:contextualSpacing/>
        <w:rPr>
          <w:lang w:val="it-IT"/>
        </w:rPr>
      </w:pPr>
    </w:p>
    <w:p w:rsidR="00A81E83" w:rsidRPr="00451078" w:rsidRDefault="00A81E83" w:rsidP="00745AB3">
      <w:pPr>
        <w:numPr>
          <w:ilvl w:val="2"/>
          <w:numId w:val="133"/>
        </w:numPr>
        <w:spacing w:after="60"/>
        <w:ind w:left="1440" w:hanging="360"/>
        <w:rPr>
          <w:lang w:val="it-IT"/>
        </w:rPr>
      </w:pPr>
      <w:r w:rsidRPr="00451078">
        <w:rPr>
          <w:rFonts w:eastAsia="Calibri" w:cs="Tahoma"/>
          <w:szCs w:val="18"/>
          <w:lang w:val="it-IT"/>
        </w:rPr>
        <w:t xml:space="preserve">come stabilito nel primo paragrafo di questa nota relativa al prodotto, le licenze acquistate prima del 1 aprile 2015 sono licenze qualificanti e le società potranno rinnovare la copertura Software Assurance in base alle condizioni riportate nel precedente Articolo </w:t>
      </w:r>
      <w:r w:rsidR="001A3EC5" w:rsidRPr="00451078">
        <w:rPr>
          <w:rFonts w:eastAsia="Calibri" w:cs="Tahoma"/>
          <w:szCs w:val="18"/>
          <w:lang w:val="it-IT"/>
        </w:rPr>
        <w:t>“</w:t>
      </w:r>
      <w:r w:rsidRPr="00451078">
        <w:rPr>
          <w:rFonts w:eastAsia="Calibri" w:cs="Tahoma"/>
          <w:szCs w:val="18"/>
          <w:lang w:val="it-IT"/>
        </w:rPr>
        <w:t>Primo Periodo di Rinnovo (prima</w:t>
      </w:r>
      <w:r w:rsidR="00187E83" w:rsidRPr="00451078">
        <w:rPr>
          <w:rFonts w:eastAsia="Calibri" w:cs="Tahoma"/>
          <w:szCs w:val="18"/>
          <w:lang w:val="it-IT"/>
        </w:rPr>
        <w:t> </w:t>
      </w:r>
      <w:r w:rsidRPr="00451078">
        <w:rPr>
          <w:rFonts w:eastAsia="Calibri" w:cs="Tahoma"/>
          <w:szCs w:val="18"/>
          <w:lang w:val="it-IT"/>
        </w:rPr>
        <w:t>del 1 aprile 2015)</w:t>
      </w:r>
      <w:r w:rsidR="001A3EC5" w:rsidRPr="00451078">
        <w:rPr>
          <w:rFonts w:eastAsia="Calibri" w:cs="Tahoma"/>
          <w:szCs w:val="18"/>
          <w:lang w:val="it-IT"/>
        </w:rPr>
        <w:t>”</w:t>
      </w:r>
      <w:r w:rsidRPr="00451078">
        <w:rPr>
          <w:rFonts w:eastAsia="Calibri" w:cs="Tahoma"/>
          <w:szCs w:val="18"/>
          <w:lang w:val="it-IT"/>
        </w:rPr>
        <w:t xml:space="preserve"> e </w:t>
      </w:r>
    </w:p>
    <w:p w:rsidR="00A81E83" w:rsidRPr="00451078" w:rsidRDefault="00A81E83" w:rsidP="00745AB3">
      <w:pPr>
        <w:numPr>
          <w:ilvl w:val="2"/>
          <w:numId w:val="133"/>
        </w:numPr>
        <w:spacing w:after="60"/>
        <w:ind w:left="1440" w:hanging="360"/>
        <w:rPr>
          <w:lang w:val="it-IT"/>
        </w:rPr>
      </w:pPr>
      <w:r w:rsidRPr="00451078">
        <w:rPr>
          <w:rFonts w:eastAsia="Calibri" w:cs="Tahoma"/>
          <w:szCs w:val="18"/>
          <w:lang w:val="it-IT"/>
        </w:rPr>
        <w:t>per le licenze acquistate dopo il 1 aprile 2015 le società potranno rinnovare la copertura Software Assurance per otto licenze core per SQL Server Enterprise senza dover acquistare le licenze core sottostanti per ogni licenza per processore per SQL Server 2008 R2 Datacenter. Per l</w:t>
      </w:r>
      <w:r w:rsidR="0073727D">
        <w:rPr>
          <w:rFonts w:eastAsia="Calibri" w:cs="Tahoma"/>
          <w:szCs w:val="18"/>
          <w:lang w:val="it-IT"/>
        </w:rPr>
        <w:t>’</w:t>
      </w:r>
      <w:r w:rsidRPr="00451078">
        <w:rPr>
          <w:rFonts w:eastAsia="Calibri" w:cs="Tahoma"/>
          <w:szCs w:val="18"/>
          <w:lang w:val="it-IT"/>
        </w:rPr>
        <w:t>utilizzo continuativo di SQL Server 2012 su processori che richiedono più di otto licenze core per processore la società deve acquistare le licenze core aggiuntive.</w:t>
      </w:r>
    </w:p>
    <w:p w:rsidR="00031ABF" w:rsidRPr="00451078" w:rsidRDefault="00031ABF" w:rsidP="00031ABF">
      <w:pPr>
        <w:ind w:left="1440"/>
        <w:contextualSpacing/>
        <w:rPr>
          <w:lang w:val="it-IT"/>
        </w:rPr>
      </w:pPr>
    </w:p>
    <w:p w:rsidR="00A81E83" w:rsidRPr="00451078" w:rsidRDefault="00A81E83" w:rsidP="00031ABF">
      <w:pPr>
        <w:ind w:left="720"/>
        <w:contextualSpacing/>
        <w:rPr>
          <w:lang w:val="it-IT"/>
        </w:rPr>
      </w:pPr>
      <w:r w:rsidRPr="00451078">
        <w:rPr>
          <w:rFonts w:eastAsia="Calibri" w:cs="Tahoma"/>
          <w:szCs w:val="18"/>
          <w:lang w:val="it-IT"/>
        </w:rPr>
        <w:lastRenderedPageBreak/>
        <w:t>Le licenze per processore delle società non sono più valide se si acquista la copertura Software Assurance per licenze core ai sensi della presente offerta. L</w:t>
      </w:r>
      <w:r w:rsidR="0073727D">
        <w:rPr>
          <w:rFonts w:eastAsia="Calibri" w:cs="Tahoma"/>
          <w:szCs w:val="18"/>
          <w:lang w:val="it-IT"/>
        </w:rPr>
        <w:t>’</w:t>
      </w:r>
      <w:r w:rsidRPr="00451078">
        <w:rPr>
          <w:rFonts w:eastAsia="Calibri" w:cs="Tahoma"/>
          <w:szCs w:val="18"/>
          <w:lang w:val="it-IT"/>
        </w:rPr>
        <w:t>opzione di acquistare Software Assurance per le licenze core per SQL Server non è applicabile al rinnovo della copertura ai sensi dei programmi di sottoscrizione.</w:t>
      </w:r>
    </w:p>
    <w:p w:rsidR="00031ABF" w:rsidRPr="00451078" w:rsidRDefault="00031ABF" w:rsidP="00031ABF">
      <w:pPr>
        <w:tabs>
          <w:tab w:val="left" w:pos="720"/>
        </w:tabs>
        <w:ind w:left="720"/>
        <w:contextualSpacing/>
        <w:rPr>
          <w:lang w:val="it-IT"/>
        </w:rPr>
      </w:pPr>
    </w:p>
    <w:p w:rsidR="00031ABF" w:rsidRPr="00451078" w:rsidRDefault="00A81E83" w:rsidP="00031ABF">
      <w:pPr>
        <w:tabs>
          <w:tab w:val="left" w:pos="720"/>
        </w:tabs>
        <w:spacing w:after="60"/>
        <w:ind w:left="720"/>
        <w:rPr>
          <w:lang w:val="it-IT"/>
        </w:rPr>
      </w:pPr>
      <w:r w:rsidRPr="00451078">
        <w:rPr>
          <w:rFonts w:eastAsia="Calibri" w:cs="Tahoma"/>
          <w:b/>
          <w:szCs w:val="18"/>
          <w:lang w:val="it-IT"/>
        </w:rPr>
        <w:t>Per le Società con copertura Software Assurance in scadenza prima del 1 aprile 2015 che scelgono di non effettuare il rinnovo</w:t>
      </w:r>
    </w:p>
    <w:p w:rsidR="00A81E83" w:rsidRPr="00451078" w:rsidRDefault="00A81E83" w:rsidP="00031ABF">
      <w:pPr>
        <w:tabs>
          <w:tab w:val="left" w:pos="720"/>
        </w:tabs>
        <w:ind w:left="720"/>
        <w:contextualSpacing/>
        <w:rPr>
          <w:lang w:val="it-IT"/>
        </w:rPr>
      </w:pPr>
      <w:r w:rsidRPr="00451078">
        <w:rPr>
          <w:rFonts w:eastAsia="Calibri" w:cs="Tahoma"/>
          <w:szCs w:val="18"/>
          <w:lang w:val="it-IT"/>
        </w:rPr>
        <w:t xml:space="preserve">Le società titolari di contratti Enterprise Subscription </w:t>
      </w:r>
      <w:r w:rsidRPr="00451078">
        <w:rPr>
          <w:rFonts w:cs="Tahoma"/>
          <w:bCs/>
          <w:color w:val="000000"/>
          <w:szCs w:val="18"/>
          <w:lang w:val="it-IT"/>
        </w:rPr>
        <w:t xml:space="preserve">e Open Value Subscription </w:t>
      </w:r>
      <w:r w:rsidRPr="00451078">
        <w:rPr>
          <w:rFonts w:eastAsia="Calibri" w:cs="Tahoma"/>
          <w:szCs w:val="18"/>
          <w:lang w:val="it-IT"/>
        </w:rPr>
        <w:t>con copertura in scadenza prima del 1 aprile 2015 che scelgono di effettuare il buy-out delle licenze per processore e altre società che acquistano licenze perpetue ai sensi del loro contratto e scelgono di non rinnovare Software Assurance potranno eseguire SQL Server 2008 R2 o SQL Server 2012 ai sensi di tali licenze come indicato sotto:</w:t>
      </w:r>
    </w:p>
    <w:p w:rsidR="00CA0E2D" w:rsidRPr="00451078" w:rsidRDefault="00CA0E2D" w:rsidP="00031ABF">
      <w:pPr>
        <w:tabs>
          <w:tab w:val="left" w:pos="720"/>
        </w:tabs>
        <w:ind w:left="720"/>
        <w:contextualSpacing/>
        <w:rPr>
          <w:lang w:val="it-IT"/>
        </w:rPr>
      </w:pPr>
    </w:p>
    <w:p w:rsidR="00A81E83" w:rsidRPr="00451078" w:rsidRDefault="00A81E83" w:rsidP="00745AB3">
      <w:pPr>
        <w:numPr>
          <w:ilvl w:val="0"/>
          <w:numId w:val="50"/>
        </w:numPr>
        <w:tabs>
          <w:tab w:val="left" w:pos="1440"/>
        </w:tabs>
        <w:spacing w:after="60"/>
        <w:rPr>
          <w:lang w:val="it-IT"/>
        </w:rPr>
      </w:pPr>
      <w:r w:rsidRPr="00451078">
        <w:rPr>
          <w:rFonts w:eastAsia="Calibri" w:cs="Tahoma"/>
          <w:b/>
          <w:szCs w:val="18"/>
          <w:lang w:val="it-IT"/>
        </w:rPr>
        <w:t>SQL Server 2008 R2 Datacenter:</w:t>
      </w:r>
      <w:r w:rsidRPr="00451078">
        <w:rPr>
          <w:rFonts w:eastAsia="Calibri" w:cs="Tahoma"/>
          <w:szCs w:val="18"/>
          <w:lang w:val="it-IT"/>
        </w:rPr>
        <w:t xml:space="preserve"> l</w:t>
      </w:r>
      <w:r w:rsidR="0073727D">
        <w:rPr>
          <w:rFonts w:eastAsia="Calibri" w:cs="Tahoma"/>
          <w:szCs w:val="18"/>
          <w:lang w:val="it-IT"/>
        </w:rPr>
        <w:t>’</w:t>
      </w:r>
      <w:r w:rsidRPr="00451078">
        <w:rPr>
          <w:rFonts w:eastAsia="Calibri" w:cs="Tahoma"/>
          <w:szCs w:val="18"/>
          <w:lang w:val="it-IT"/>
        </w:rPr>
        <w:t xml:space="preserve">utilizzo continuativo di tale versione del software è soggetto ai diritti di utilizzo del prodotto previsti dalla licenza per processore SQL Server 2008 R2 Datacenter. </w:t>
      </w:r>
    </w:p>
    <w:p w:rsidR="00A81E83" w:rsidRPr="00451078" w:rsidRDefault="00A81E83" w:rsidP="00745AB3">
      <w:pPr>
        <w:numPr>
          <w:ilvl w:val="0"/>
          <w:numId w:val="50"/>
        </w:numPr>
        <w:tabs>
          <w:tab w:val="left" w:pos="1440"/>
          <w:tab w:val="left" w:pos="2970"/>
        </w:tabs>
        <w:spacing w:after="60"/>
        <w:rPr>
          <w:lang w:val="it-IT"/>
        </w:rPr>
      </w:pPr>
      <w:r w:rsidRPr="00451078">
        <w:rPr>
          <w:rFonts w:eastAsia="Calibri" w:cs="Tahoma"/>
          <w:b/>
          <w:szCs w:val="18"/>
          <w:lang w:val="it-IT"/>
        </w:rPr>
        <w:t xml:space="preserve">SQL Server 2012 Enterprise Core: </w:t>
      </w:r>
      <w:r w:rsidRPr="00451078">
        <w:rPr>
          <w:rFonts w:eastAsia="Calibri" w:cs="Tahoma"/>
          <w:szCs w:val="18"/>
          <w:lang w:val="it-IT"/>
        </w:rPr>
        <w:t>l</w:t>
      </w:r>
      <w:r w:rsidR="0073727D">
        <w:rPr>
          <w:rFonts w:eastAsia="Calibri" w:cs="Tahoma"/>
          <w:szCs w:val="18"/>
          <w:lang w:val="it-IT"/>
        </w:rPr>
        <w:t>’</w:t>
      </w:r>
      <w:r w:rsidRPr="00451078">
        <w:rPr>
          <w:rFonts w:eastAsia="Calibri" w:cs="Tahoma"/>
          <w:szCs w:val="18"/>
          <w:lang w:val="it-IT"/>
        </w:rPr>
        <w:t xml:space="preserve">utilizzo di tale versione del software è soggetto ai diritti di utilizzo del prodotto previsti dalla licenza per processore SQL Server 2008 R2 Enterprise, tuttavia: </w:t>
      </w:r>
    </w:p>
    <w:p w:rsidR="00A81E83" w:rsidRPr="00451078" w:rsidRDefault="00A81E83" w:rsidP="00745AB3">
      <w:pPr>
        <w:numPr>
          <w:ilvl w:val="1"/>
          <w:numId w:val="50"/>
        </w:numPr>
        <w:tabs>
          <w:tab w:val="left" w:pos="1800"/>
        </w:tabs>
        <w:spacing w:after="60"/>
        <w:ind w:left="1800"/>
        <w:rPr>
          <w:lang w:val="it-IT"/>
        </w:rPr>
      </w:pPr>
      <w:r w:rsidRPr="00451078">
        <w:rPr>
          <w:rFonts w:eastAsia="Calibri" w:cs="Tahoma"/>
          <w:szCs w:val="18"/>
          <w:lang w:val="it-IT"/>
        </w:rPr>
        <w:t>le società non disporranno più di diritti sull</w:t>
      </w:r>
      <w:r w:rsidR="0073727D">
        <w:rPr>
          <w:rFonts w:eastAsia="Calibri" w:cs="Tahoma"/>
          <w:szCs w:val="18"/>
          <w:lang w:val="it-IT"/>
        </w:rPr>
        <w:t>’</w:t>
      </w:r>
      <w:r w:rsidRPr="00451078">
        <w:rPr>
          <w:rFonts w:eastAsia="Calibri" w:cs="Tahoma"/>
          <w:szCs w:val="18"/>
          <w:lang w:val="it-IT"/>
        </w:rPr>
        <w:t>utilizzo per la Virtualizzazione Illimitata, Mobilità delle Licenze all</w:t>
      </w:r>
      <w:r w:rsidR="0073727D">
        <w:rPr>
          <w:rFonts w:eastAsia="Calibri" w:cs="Tahoma"/>
          <w:szCs w:val="18"/>
          <w:lang w:val="it-IT"/>
        </w:rPr>
        <w:t>’</w:t>
      </w:r>
      <w:r w:rsidRPr="00451078">
        <w:rPr>
          <w:rFonts w:eastAsia="Calibri" w:cs="Tahoma"/>
          <w:szCs w:val="18"/>
          <w:lang w:val="it-IT"/>
        </w:rPr>
        <w:t xml:space="preserve">interno di Server Farm o Mobilità delle Licenze tramite Software Assurance e </w:t>
      </w:r>
    </w:p>
    <w:p w:rsidR="00A81E83" w:rsidRPr="00451078" w:rsidRDefault="00A81E83" w:rsidP="00745AB3">
      <w:pPr>
        <w:numPr>
          <w:ilvl w:val="1"/>
          <w:numId w:val="50"/>
        </w:numPr>
        <w:tabs>
          <w:tab w:val="left" w:pos="1800"/>
        </w:tabs>
        <w:spacing w:after="60"/>
        <w:ind w:left="1800"/>
        <w:rPr>
          <w:lang w:val="it-IT"/>
        </w:rPr>
      </w:pPr>
      <w:r w:rsidRPr="00451078">
        <w:rPr>
          <w:rFonts w:eastAsia="Calibri" w:cs="Tahoma"/>
          <w:szCs w:val="18"/>
          <w:lang w:val="it-IT"/>
        </w:rPr>
        <w:t>l</w:t>
      </w:r>
      <w:r w:rsidR="0073727D">
        <w:rPr>
          <w:rFonts w:eastAsia="Calibri" w:cs="Tahoma"/>
          <w:szCs w:val="18"/>
          <w:lang w:val="it-IT"/>
        </w:rPr>
        <w:t>’</w:t>
      </w:r>
      <w:r w:rsidRPr="00451078">
        <w:rPr>
          <w:rFonts w:eastAsia="Calibri" w:cs="Tahoma"/>
          <w:szCs w:val="18"/>
          <w:lang w:val="it-IT"/>
        </w:rPr>
        <w:t xml:space="preserve">eventuale riassegnazione di licenze è soggetta ai limiti indicati nei paragrafi (i) e (ii) che seguono relativi alla loro </w:t>
      </w:r>
      <w:r w:rsidR="001A3EC5" w:rsidRPr="00451078">
        <w:rPr>
          <w:rFonts w:eastAsia="Calibri" w:cs="Tahoma"/>
          <w:szCs w:val="18"/>
          <w:lang w:val="it-IT"/>
        </w:rPr>
        <w:t>“</w:t>
      </w:r>
      <w:r w:rsidRPr="00451078">
        <w:rPr>
          <w:rFonts w:eastAsia="Calibri" w:cs="Tahoma"/>
          <w:szCs w:val="18"/>
          <w:lang w:val="it-IT"/>
        </w:rPr>
        <w:t>equivalenza di licenze core</w:t>
      </w:r>
      <w:r w:rsidR="001A3EC5" w:rsidRPr="00451078">
        <w:rPr>
          <w:rFonts w:eastAsia="Calibri" w:cs="Tahoma"/>
          <w:szCs w:val="18"/>
          <w:lang w:val="it-IT"/>
        </w:rPr>
        <w:t>”</w:t>
      </w:r>
      <w:r w:rsidRPr="00451078">
        <w:rPr>
          <w:rFonts w:eastAsia="Calibri" w:cs="Tahoma"/>
          <w:szCs w:val="18"/>
          <w:lang w:val="it-IT"/>
        </w:rPr>
        <w:t>. L</w:t>
      </w:r>
      <w:r w:rsidR="0073727D">
        <w:rPr>
          <w:rFonts w:eastAsia="Calibri" w:cs="Tahoma"/>
          <w:szCs w:val="18"/>
          <w:lang w:val="it-IT"/>
        </w:rPr>
        <w:t>’</w:t>
      </w:r>
      <w:r w:rsidRPr="00451078">
        <w:rPr>
          <w:rFonts w:eastAsia="Calibri" w:cs="Tahoma"/>
          <w:szCs w:val="18"/>
          <w:lang w:val="it-IT"/>
        </w:rPr>
        <w:t>equivalenza di licenze core è</w:t>
      </w:r>
      <w:r w:rsidR="00187E83" w:rsidRPr="00451078">
        <w:rPr>
          <w:rFonts w:eastAsia="Calibri" w:cs="Tahoma"/>
          <w:szCs w:val="18"/>
          <w:lang w:val="it-IT"/>
        </w:rPr>
        <w:t> </w:t>
      </w:r>
      <w:r w:rsidRPr="00451078">
        <w:rPr>
          <w:rFonts w:eastAsia="Calibri" w:cs="Tahoma"/>
          <w:szCs w:val="18"/>
          <w:lang w:val="it-IT"/>
        </w:rPr>
        <w:t xml:space="preserve">determinata come di seguito riportato. </w:t>
      </w:r>
    </w:p>
    <w:p w:rsidR="00A81E83" w:rsidRPr="00451078" w:rsidRDefault="00A81E83" w:rsidP="00745AB3">
      <w:pPr>
        <w:numPr>
          <w:ilvl w:val="2"/>
          <w:numId w:val="50"/>
        </w:numPr>
        <w:tabs>
          <w:tab w:val="left" w:pos="2160"/>
        </w:tabs>
        <w:spacing w:after="60"/>
        <w:ind w:left="2160" w:hanging="360"/>
        <w:rPr>
          <w:lang w:val="it-IT"/>
        </w:rPr>
      </w:pPr>
      <w:r w:rsidRPr="00451078">
        <w:rPr>
          <w:rFonts w:eastAsia="Calibri" w:cs="Tahoma"/>
          <w:szCs w:val="18"/>
          <w:lang w:val="it-IT"/>
        </w:rPr>
        <w:t>Per un numero di licenze pari al numero inferiore tra (x) il numero totale di licenze per processore cedute a un server con licenza appena prima della scadenza di Software Assurance o (y) il numero totale di processori fisici su tale server, l</w:t>
      </w:r>
      <w:r w:rsidR="0073727D">
        <w:rPr>
          <w:rFonts w:eastAsia="Calibri" w:cs="Tahoma"/>
          <w:szCs w:val="18"/>
          <w:lang w:val="it-IT"/>
        </w:rPr>
        <w:t>’</w:t>
      </w:r>
      <w:r w:rsidRPr="00451078">
        <w:rPr>
          <w:rFonts w:eastAsia="Calibri" w:cs="Tahoma"/>
          <w:szCs w:val="18"/>
          <w:lang w:val="it-IT"/>
        </w:rPr>
        <w:t xml:space="preserve">equivalenza di licenze core è il numero maggiore tra: </w:t>
      </w:r>
    </w:p>
    <w:p w:rsidR="00A81E83" w:rsidRPr="00451078" w:rsidRDefault="00A81E83" w:rsidP="00745AB3">
      <w:pPr>
        <w:numPr>
          <w:ilvl w:val="4"/>
          <w:numId w:val="133"/>
        </w:numPr>
        <w:tabs>
          <w:tab w:val="left" w:pos="2520"/>
        </w:tabs>
        <w:spacing w:after="60"/>
        <w:ind w:left="2520"/>
        <w:rPr>
          <w:lang w:val="it-IT"/>
        </w:rPr>
      </w:pPr>
      <w:r w:rsidRPr="00451078">
        <w:rPr>
          <w:rFonts w:eastAsia="Calibri" w:cs="Tahoma"/>
          <w:szCs w:val="18"/>
          <w:lang w:val="it-IT"/>
        </w:rPr>
        <w:t xml:space="preserve">otto core per licenza per processore O </w:t>
      </w:r>
    </w:p>
    <w:p w:rsidR="00A81E83" w:rsidRPr="00451078" w:rsidRDefault="00A81E83" w:rsidP="00745AB3">
      <w:pPr>
        <w:numPr>
          <w:ilvl w:val="4"/>
          <w:numId w:val="133"/>
        </w:numPr>
        <w:tabs>
          <w:tab w:val="left" w:pos="2520"/>
        </w:tabs>
        <w:spacing w:after="60"/>
        <w:ind w:left="2520"/>
        <w:rPr>
          <w:lang w:val="it-IT"/>
        </w:rPr>
      </w:pPr>
      <w:r w:rsidRPr="00451078">
        <w:rPr>
          <w:rFonts w:eastAsia="Calibri" w:cs="Tahoma"/>
          <w:szCs w:val="18"/>
          <w:lang w:val="it-IT"/>
        </w:rPr>
        <w:t>un numero di core per licenza per processore basato sul numero effettivo di core per processore fisico moltiplicato per il fattore core appropriato. (Nei casi in cui il numero effettivo di core per processore fisico superi otto, le società dovranno conservare un record della configurazione del software SQL Server in esecuzione sul server (istanze con licenza in esecuzione negli ambienti del sistema operativo sul server con licenza) e l</w:t>
      </w:r>
      <w:r w:rsidR="0073727D">
        <w:rPr>
          <w:rFonts w:eastAsia="Calibri" w:cs="Tahoma"/>
          <w:szCs w:val="18"/>
          <w:lang w:val="it-IT"/>
        </w:rPr>
        <w:t>’</w:t>
      </w:r>
      <w:r w:rsidRPr="00451078">
        <w:rPr>
          <w:rFonts w:eastAsia="Calibri" w:cs="Tahoma"/>
          <w:szCs w:val="18"/>
          <w:lang w:val="it-IT"/>
        </w:rPr>
        <w:t xml:space="preserve">hardware fisico che supporta tale software appena prima della scadenza di Software Assurance utilizzando lo strumento MAP di Microsoft o un software equivalente). </w:t>
      </w:r>
    </w:p>
    <w:p w:rsidR="00A81E83" w:rsidRPr="00451078" w:rsidRDefault="00A81E83" w:rsidP="00745AB3">
      <w:pPr>
        <w:numPr>
          <w:ilvl w:val="2"/>
          <w:numId w:val="50"/>
        </w:numPr>
        <w:tabs>
          <w:tab w:val="left" w:pos="2160"/>
        </w:tabs>
        <w:spacing w:after="60"/>
        <w:ind w:left="2160" w:hanging="360"/>
        <w:rPr>
          <w:lang w:val="it-IT"/>
        </w:rPr>
      </w:pPr>
      <w:r w:rsidRPr="00451078">
        <w:rPr>
          <w:rFonts w:eastAsia="Calibri" w:cs="Tahoma"/>
          <w:szCs w:val="18"/>
          <w:lang w:val="it-IT"/>
        </w:rPr>
        <w:t>Per qualsiasi licenza per processore con la copertura Software Assurance in scadenza ceduta allo stesso server con licenza che ecceda il numero effettivo di processori fisici sul</w:t>
      </w:r>
      <w:r w:rsidR="00187E83" w:rsidRPr="00451078">
        <w:rPr>
          <w:rFonts w:eastAsia="Calibri" w:cs="Tahoma"/>
          <w:szCs w:val="18"/>
          <w:lang w:val="it-IT"/>
        </w:rPr>
        <w:t> </w:t>
      </w:r>
      <w:r w:rsidRPr="00451078">
        <w:rPr>
          <w:rFonts w:eastAsia="Calibri" w:cs="Tahoma"/>
          <w:szCs w:val="18"/>
          <w:lang w:val="it-IT"/>
        </w:rPr>
        <w:t>server, l</w:t>
      </w:r>
      <w:r w:rsidR="0073727D">
        <w:rPr>
          <w:rFonts w:eastAsia="Calibri" w:cs="Tahoma"/>
          <w:szCs w:val="18"/>
          <w:lang w:val="it-IT"/>
        </w:rPr>
        <w:t>’</w:t>
      </w:r>
      <w:r w:rsidRPr="00451078">
        <w:rPr>
          <w:rFonts w:eastAsia="Calibri" w:cs="Tahoma"/>
          <w:szCs w:val="18"/>
          <w:lang w:val="it-IT"/>
        </w:rPr>
        <w:t>equivalenza core è di otto core per licenza per processore.</w:t>
      </w:r>
    </w:p>
    <w:p w:rsidR="00A81E83" w:rsidRPr="00451078" w:rsidRDefault="00A81E83" w:rsidP="00745AB3">
      <w:pPr>
        <w:numPr>
          <w:ilvl w:val="1"/>
          <w:numId w:val="50"/>
        </w:numPr>
        <w:tabs>
          <w:tab w:val="left" w:pos="1800"/>
          <w:tab w:val="left" w:pos="2970"/>
        </w:tabs>
        <w:spacing w:after="60"/>
        <w:ind w:left="1800"/>
        <w:rPr>
          <w:szCs w:val="18"/>
          <w:lang w:val="it-IT"/>
        </w:rPr>
      </w:pPr>
      <w:r w:rsidRPr="00451078">
        <w:rPr>
          <w:rFonts w:eastAsia="Calibri" w:cs="Tahoma"/>
          <w:szCs w:val="18"/>
          <w:lang w:val="it-IT"/>
        </w:rPr>
        <w:t>Le società potranno riassegnare le licenze a un altro server. Tuttavia, qualora la società riassegni una licenza a un altro server, dovrà attenersi ai diritti sull</w:t>
      </w:r>
      <w:r w:rsidR="0073727D">
        <w:rPr>
          <w:rFonts w:eastAsia="Calibri" w:cs="Tahoma"/>
          <w:szCs w:val="18"/>
          <w:lang w:val="it-IT"/>
        </w:rPr>
        <w:t>’</w:t>
      </w:r>
      <w:r w:rsidRPr="00451078">
        <w:rPr>
          <w:rFonts w:eastAsia="Calibri" w:cs="Tahoma"/>
          <w:szCs w:val="18"/>
          <w:lang w:val="it-IT"/>
        </w:rPr>
        <w:t>utilizzo di SQL Server 2012. Quando cede licenze core a server ai sensi dei diritti sull</w:t>
      </w:r>
      <w:r w:rsidR="0073727D">
        <w:rPr>
          <w:rFonts w:eastAsia="Calibri" w:cs="Tahoma"/>
          <w:szCs w:val="18"/>
          <w:lang w:val="it-IT"/>
        </w:rPr>
        <w:t>’</w:t>
      </w:r>
      <w:r w:rsidRPr="00451078">
        <w:rPr>
          <w:rFonts w:eastAsia="Calibri" w:cs="Tahoma"/>
          <w:szCs w:val="18"/>
          <w:lang w:val="it-IT"/>
        </w:rPr>
        <w:t>utilizzo per SQL 2012, la società potrà combinare l</w:t>
      </w:r>
      <w:r w:rsidR="0073727D">
        <w:rPr>
          <w:rFonts w:eastAsia="Calibri" w:cs="Tahoma"/>
          <w:szCs w:val="18"/>
          <w:lang w:val="it-IT"/>
        </w:rPr>
        <w:t>’</w:t>
      </w:r>
      <w:r w:rsidRPr="00451078">
        <w:rPr>
          <w:rFonts w:eastAsia="Calibri" w:cs="Tahoma"/>
          <w:szCs w:val="18"/>
          <w:lang w:val="it-IT"/>
        </w:rPr>
        <w:t>equivalenza core delle licenze esistenti con le licenze core per SQL Server 2012 aggiuntive.</w:t>
      </w:r>
      <w:r w:rsidR="00082E1C" w:rsidRPr="00451078">
        <w:rPr>
          <w:rFonts w:eastAsia="Calibri" w:cs="Tahoma"/>
          <w:szCs w:val="18"/>
          <w:lang w:val="it-IT"/>
        </w:rPr>
        <w:t xml:space="preserve"> </w:t>
      </w:r>
    </w:p>
    <w:p w:rsidR="00A81E83" w:rsidRPr="00451078" w:rsidRDefault="00A81E83" w:rsidP="00745AB3">
      <w:pPr>
        <w:numPr>
          <w:ilvl w:val="1"/>
          <w:numId w:val="50"/>
        </w:numPr>
        <w:tabs>
          <w:tab w:val="left" w:pos="1800"/>
        </w:tabs>
        <w:spacing w:after="60"/>
        <w:ind w:left="1800"/>
        <w:rPr>
          <w:szCs w:val="18"/>
          <w:lang w:val="it-IT"/>
        </w:rPr>
      </w:pPr>
      <w:r w:rsidRPr="00451078">
        <w:rPr>
          <w:rFonts w:eastAsia="Calibri" w:cs="Tahoma"/>
          <w:szCs w:val="18"/>
          <w:lang w:val="it-IT"/>
        </w:rPr>
        <w:t>L</w:t>
      </w:r>
      <w:r w:rsidR="0073727D">
        <w:rPr>
          <w:rFonts w:eastAsia="Calibri" w:cs="Tahoma"/>
          <w:szCs w:val="18"/>
          <w:lang w:val="it-IT"/>
        </w:rPr>
        <w:t>’</w:t>
      </w:r>
      <w:r w:rsidRPr="00451078">
        <w:rPr>
          <w:rFonts w:eastAsia="Calibri" w:cs="Tahoma"/>
          <w:szCs w:val="18"/>
          <w:lang w:val="it-IT"/>
        </w:rPr>
        <w:t>equivalenza di licenze core stimata delle società non implica che esse possano cedere una licenza singola per processore a core attraverso due o più processori.</w:t>
      </w:r>
    </w:p>
    <w:p w:rsidR="00CA0E2D" w:rsidRPr="00451078" w:rsidRDefault="00CA0E2D" w:rsidP="00CA0E2D">
      <w:pPr>
        <w:tabs>
          <w:tab w:val="left" w:pos="720"/>
        </w:tabs>
        <w:ind w:left="720"/>
        <w:contextualSpacing/>
        <w:rPr>
          <w:lang w:val="it-IT"/>
        </w:rPr>
      </w:pPr>
    </w:p>
    <w:p w:rsidR="00CA0E2D" w:rsidRPr="00451078" w:rsidRDefault="00A81E83" w:rsidP="00CA0E2D">
      <w:pPr>
        <w:tabs>
          <w:tab w:val="left" w:pos="720"/>
        </w:tabs>
        <w:spacing w:after="60"/>
        <w:ind w:left="720"/>
        <w:rPr>
          <w:lang w:val="it-IT"/>
        </w:rPr>
      </w:pPr>
      <w:r w:rsidRPr="00451078">
        <w:rPr>
          <w:rFonts w:eastAsia="Calibri" w:cs="Tahoma"/>
          <w:b/>
          <w:szCs w:val="18"/>
          <w:lang w:val="it-IT"/>
        </w:rPr>
        <w:t>Per le Società con copertura Software Assurance in scadenza in data 1 aprile 2015 o successiva che scelgono di non effettuare il rinnovo</w:t>
      </w:r>
    </w:p>
    <w:p w:rsidR="00A81E83" w:rsidRPr="00451078" w:rsidRDefault="00A81E83" w:rsidP="00CA0E2D">
      <w:pPr>
        <w:tabs>
          <w:tab w:val="left" w:pos="720"/>
        </w:tabs>
        <w:ind w:left="720"/>
        <w:contextualSpacing/>
        <w:rPr>
          <w:lang w:val="it-IT"/>
        </w:rPr>
      </w:pPr>
      <w:r w:rsidRPr="00451078">
        <w:rPr>
          <w:rFonts w:eastAsia="Calibri" w:cs="Tahoma"/>
          <w:color w:val="000000"/>
          <w:szCs w:val="18"/>
          <w:lang w:val="it-IT"/>
        </w:rPr>
        <w:t xml:space="preserve">Alle società titolari di contratti Enterprise Subscription </w:t>
      </w:r>
      <w:r w:rsidRPr="00451078">
        <w:rPr>
          <w:rFonts w:cs="Tahoma"/>
          <w:bCs/>
          <w:color w:val="000000"/>
          <w:szCs w:val="18"/>
          <w:lang w:val="it-IT"/>
        </w:rPr>
        <w:t xml:space="preserve">e Open Value Subscription </w:t>
      </w:r>
      <w:r w:rsidRPr="00451078">
        <w:rPr>
          <w:rFonts w:eastAsia="Calibri" w:cs="Tahoma"/>
          <w:color w:val="000000"/>
          <w:szCs w:val="18"/>
          <w:lang w:val="it-IT"/>
        </w:rPr>
        <w:t xml:space="preserve">con copertura in scadenza in data 1 aprile 2015 o successiva che scelgono di effettuare il buy-out delle licenze per processore e alle altre società che acquistano licenze perpetue ai sensi del loro contratto verranno offerte le seguenti opzioni: </w:t>
      </w:r>
    </w:p>
    <w:p w:rsidR="00CA0E2D" w:rsidRPr="00451078" w:rsidRDefault="00CA0E2D" w:rsidP="00CA0E2D">
      <w:pPr>
        <w:tabs>
          <w:tab w:val="left" w:pos="720"/>
        </w:tabs>
        <w:ind w:left="720"/>
        <w:contextualSpacing/>
        <w:rPr>
          <w:lang w:val="it-IT"/>
        </w:rPr>
      </w:pPr>
    </w:p>
    <w:p w:rsidR="00A81E83" w:rsidRPr="00451078" w:rsidRDefault="00A81E83" w:rsidP="00745AB3">
      <w:pPr>
        <w:numPr>
          <w:ilvl w:val="2"/>
          <w:numId w:val="133"/>
        </w:numPr>
        <w:tabs>
          <w:tab w:val="left" w:pos="1440"/>
        </w:tabs>
        <w:spacing w:after="60"/>
        <w:ind w:left="1440" w:hanging="360"/>
        <w:rPr>
          <w:lang w:val="it-IT"/>
        </w:rPr>
      </w:pPr>
      <w:r w:rsidRPr="00451078">
        <w:rPr>
          <w:rFonts w:eastAsia="Calibri" w:cs="Tahoma"/>
          <w:szCs w:val="18"/>
          <w:lang w:val="it-IT"/>
        </w:rPr>
        <w:t xml:space="preserve">come stabilito nel primo paragrafo di questa nota relativa al prodotto, le licenze acquistate prima del 1 aprile 2015 sono licenze qualificanti e le società potranno continuare a utilizzare SQL Server 2012 in base alle condizioni riportate nel precedente Articolo </w:t>
      </w:r>
      <w:r w:rsidR="001A3EC5" w:rsidRPr="00451078">
        <w:rPr>
          <w:rFonts w:eastAsia="Calibri" w:cs="Tahoma"/>
          <w:szCs w:val="18"/>
          <w:lang w:val="it-IT"/>
        </w:rPr>
        <w:t>“</w:t>
      </w:r>
      <w:r w:rsidRPr="00451078">
        <w:rPr>
          <w:rFonts w:eastAsia="Calibri" w:cs="Tahoma"/>
          <w:szCs w:val="18"/>
          <w:lang w:val="it-IT"/>
        </w:rPr>
        <w:t>Per le società con copertura Software Assurance in scadenza prima del 1 aprile 2015 che scelgono di non effettuare il rinnovo</w:t>
      </w:r>
      <w:r w:rsidR="001A3EC5" w:rsidRPr="00451078">
        <w:rPr>
          <w:rFonts w:eastAsia="Calibri" w:cs="Tahoma"/>
          <w:szCs w:val="18"/>
          <w:lang w:val="it-IT"/>
        </w:rPr>
        <w:t>”</w:t>
      </w:r>
      <w:r w:rsidRPr="00451078">
        <w:rPr>
          <w:rFonts w:eastAsia="Calibri" w:cs="Tahoma"/>
          <w:szCs w:val="18"/>
          <w:lang w:val="it-IT"/>
        </w:rPr>
        <w:t xml:space="preserve"> e </w:t>
      </w:r>
    </w:p>
    <w:p w:rsidR="00A81E83" w:rsidRPr="00451078" w:rsidRDefault="00A81E83" w:rsidP="00745AB3">
      <w:pPr>
        <w:numPr>
          <w:ilvl w:val="2"/>
          <w:numId w:val="133"/>
        </w:numPr>
        <w:tabs>
          <w:tab w:val="left" w:pos="1440"/>
        </w:tabs>
        <w:spacing w:after="60"/>
        <w:ind w:left="1440" w:hanging="360"/>
        <w:rPr>
          <w:lang w:val="it-IT"/>
        </w:rPr>
      </w:pPr>
      <w:r w:rsidRPr="00451078">
        <w:rPr>
          <w:rFonts w:eastAsia="Calibri" w:cs="Tahoma"/>
          <w:szCs w:val="18"/>
          <w:lang w:val="it-IT"/>
        </w:rPr>
        <w:lastRenderedPageBreak/>
        <w:t>per le licenze acquistate dopo il 1 aprile 2015 la licenza per processore delle società avrà un</w:t>
      </w:r>
      <w:r w:rsidR="0073727D">
        <w:rPr>
          <w:rFonts w:eastAsia="Calibri" w:cs="Tahoma"/>
          <w:szCs w:val="18"/>
          <w:lang w:val="it-IT"/>
        </w:rPr>
        <w:t>’</w:t>
      </w:r>
      <w:r w:rsidRPr="00451078">
        <w:rPr>
          <w:rFonts w:eastAsia="Calibri" w:cs="Tahoma"/>
          <w:szCs w:val="18"/>
          <w:lang w:val="it-IT"/>
        </w:rPr>
        <w:t>equivalenza core di otto licenze core Enterprise per SQL Server 2012. Per l</w:t>
      </w:r>
      <w:r w:rsidR="0073727D">
        <w:rPr>
          <w:rFonts w:eastAsia="Calibri" w:cs="Tahoma"/>
          <w:szCs w:val="18"/>
          <w:lang w:val="it-IT"/>
        </w:rPr>
        <w:t>’</w:t>
      </w:r>
      <w:r w:rsidRPr="00451078">
        <w:rPr>
          <w:rFonts w:eastAsia="Calibri" w:cs="Tahoma"/>
          <w:szCs w:val="18"/>
          <w:lang w:val="it-IT"/>
        </w:rPr>
        <w:t>utilizzo continuativo di SQL Server 2012 su processori che richiedono più di otto licenze core per processore la società deve acquistare le licenze core aggiuntive.</w:t>
      </w:r>
    </w:p>
    <w:p w:rsidR="00CA0E2D" w:rsidRPr="00451078" w:rsidRDefault="00CA0E2D" w:rsidP="00CA0E2D">
      <w:pPr>
        <w:tabs>
          <w:tab w:val="left" w:pos="1440"/>
        </w:tabs>
        <w:ind w:left="1440"/>
        <w:contextualSpacing/>
        <w:rPr>
          <w:lang w:val="it-IT"/>
        </w:rPr>
      </w:pPr>
    </w:p>
    <w:p w:rsidR="00CA0E2D" w:rsidRPr="00451078" w:rsidRDefault="00A81E83" w:rsidP="00CA0E2D">
      <w:pPr>
        <w:tabs>
          <w:tab w:val="left" w:pos="720"/>
        </w:tabs>
        <w:spacing w:after="60"/>
        <w:ind w:left="720"/>
        <w:rPr>
          <w:lang w:val="it-IT"/>
        </w:rPr>
      </w:pPr>
      <w:r w:rsidRPr="00451078">
        <w:rPr>
          <w:rFonts w:eastAsia="Calibri" w:cs="Tahoma"/>
          <w:b/>
          <w:szCs w:val="18"/>
          <w:lang w:val="it-IT"/>
        </w:rPr>
        <w:t>Per le società con sede nella Repubblica popolare cinese, dove acquistano licenze per processore e Software Assurance per SQL Server 2008 R2</w:t>
      </w:r>
    </w:p>
    <w:p w:rsidR="00A81E83" w:rsidRPr="00451078" w:rsidRDefault="00A81E83" w:rsidP="00CA0E2D">
      <w:pPr>
        <w:tabs>
          <w:tab w:val="left" w:pos="720"/>
        </w:tabs>
        <w:ind w:left="720"/>
        <w:contextualSpacing/>
        <w:rPr>
          <w:lang w:val="it-IT"/>
        </w:rPr>
      </w:pPr>
      <w:r w:rsidRPr="00451078">
        <w:rPr>
          <w:lang w:val="it-IT"/>
        </w:rPr>
        <w:t>Non si applicano i riferimenti al 1 aprile 2012 e al 1 aprile 2015 presenti in questa nota relativa alla lista dei prodotti. Le date applicabili per queste società sarebbero rispettivamente il 1 luglio 2012 e il 1 luglio 2015.</w:t>
      </w:r>
    </w:p>
    <w:p w:rsidR="00A81E83" w:rsidRDefault="00A81E83" w:rsidP="00A81E83">
      <w:pPr>
        <w:ind w:left="900"/>
        <w:rPr>
          <w:lang w:val="it-IT"/>
        </w:rPr>
      </w:pPr>
    </w:p>
    <w:p w:rsidR="004F09FE" w:rsidRPr="00451078" w:rsidRDefault="004F09FE" w:rsidP="00A81E83">
      <w:pPr>
        <w:ind w:left="900"/>
        <w:rPr>
          <w:lang w:val="it-IT"/>
        </w:rPr>
      </w:pPr>
    </w:p>
    <w:p w:rsidR="00A81E83" w:rsidRPr="007B3AF6" w:rsidRDefault="0099402E" w:rsidP="00A81E83">
      <w:pPr>
        <w:pStyle w:val="Heading3"/>
        <w:rPr>
          <w:lang w:val="it-IT"/>
        </w:rPr>
      </w:pPr>
      <w:bookmarkStart w:id="1380" w:name="_76_74_SQL"/>
      <w:bookmarkStart w:id="1381" w:name="_Toc336338341"/>
      <w:bookmarkStart w:id="1382" w:name="_Toc352234927"/>
      <w:bookmarkStart w:id="1383" w:name="Srv_83SQL2008R2Smallbiz"/>
      <w:bookmarkEnd w:id="1380"/>
      <w:r w:rsidRPr="007B3AF6">
        <w:rPr>
          <w:rFonts w:ascii="Tahoma" w:hAnsi="Tahoma" w:cs="Tahoma"/>
          <w:caps/>
          <w:color w:val="FE6700"/>
          <w:sz w:val="22"/>
          <w:vertAlign w:val="superscript"/>
          <w:lang w:val="it-IT"/>
        </w:rPr>
        <w:t>74</w:t>
      </w:r>
      <w:r w:rsidRPr="007B3AF6">
        <w:rPr>
          <w:rFonts w:ascii="Tahoma" w:hAnsi="Tahoma" w:cs="Tahoma"/>
          <w:caps/>
          <w:color w:val="FE6700"/>
          <w:sz w:val="22"/>
          <w:lang w:val="it-IT"/>
        </w:rPr>
        <w:t xml:space="preserve"> </w:t>
      </w:r>
      <w:r w:rsidRPr="007B3AF6">
        <w:rPr>
          <w:rFonts w:ascii="Tahoma" w:hAnsi="Tahoma" w:cs="Tahoma"/>
          <w:color w:val="FE6700"/>
          <w:sz w:val="22"/>
          <w:lang w:val="it-IT"/>
        </w:rPr>
        <w:t>SQL Server</w:t>
      </w:r>
      <w:r w:rsidR="003410C7" w:rsidRPr="007B3AF6">
        <w:rPr>
          <w:rFonts w:ascii="Tahoma" w:hAnsi="Tahoma" w:cs="Tahoma"/>
          <w:color w:val="FE6700"/>
          <w:sz w:val="22"/>
          <w:vertAlign w:val="superscript"/>
          <w:lang w:val="it-IT"/>
        </w:rPr>
        <w:t>®</w:t>
      </w:r>
      <w:r w:rsidRPr="007B3AF6">
        <w:rPr>
          <w:rFonts w:ascii="Tahoma" w:hAnsi="Tahoma" w:cs="Tahoma"/>
          <w:color w:val="FE6700"/>
          <w:sz w:val="22"/>
          <w:lang w:val="it-IT"/>
        </w:rPr>
        <w:t xml:space="preserve"> 2008 R2 Small Business</w:t>
      </w:r>
      <w:bookmarkEnd w:id="1381"/>
      <w:bookmarkEnd w:id="1382"/>
    </w:p>
    <w:bookmarkEnd w:id="1383"/>
    <w:p w:rsidR="00A81E83" w:rsidRPr="007B3AF6" w:rsidRDefault="00A81E83" w:rsidP="00BD4B91">
      <w:pPr>
        <w:rPr>
          <w:lang w:val="it-IT"/>
        </w:rPr>
      </w:pPr>
    </w:p>
    <w:p w:rsidR="00CA0E2D" w:rsidRPr="00451078" w:rsidRDefault="00A81E83" w:rsidP="00CA0E2D">
      <w:pPr>
        <w:spacing w:after="60" w:line="276" w:lineRule="auto"/>
        <w:ind w:left="720"/>
        <w:rPr>
          <w:lang w:val="it-IT"/>
        </w:rPr>
      </w:pPr>
      <w:r w:rsidRPr="00451078">
        <w:rPr>
          <w:rFonts w:eastAsia="Calibri" w:cs="Tahoma"/>
          <w:b/>
          <w:szCs w:val="18"/>
          <w:lang w:val="it-IT"/>
        </w:rPr>
        <w:t>Concessioni di Licenza Associate alla fine del ciclo di vita di SQL Server Small Business Edition</w:t>
      </w:r>
    </w:p>
    <w:p w:rsidR="00A81E83" w:rsidRPr="00451078" w:rsidRDefault="00A81E83" w:rsidP="00E01D1A">
      <w:pPr>
        <w:spacing w:after="200"/>
        <w:ind w:left="720"/>
        <w:rPr>
          <w:lang w:val="it-IT"/>
        </w:rPr>
      </w:pPr>
      <w:r w:rsidRPr="00451078">
        <w:rPr>
          <w:rFonts w:eastAsia="Calibri" w:cs="Tahoma"/>
          <w:szCs w:val="18"/>
          <w:lang w:val="it-IT"/>
        </w:rPr>
        <w:t>SQL Server 2008 R2 per Small Business sarà l</w:t>
      </w:r>
      <w:r w:rsidR="0073727D">
        <w:rPr>
          <w:rFonts w:eastAsia="Calibri" w:cs="Tahoma"/>
          <w:szCs w:val="18"/>
          <w:lang w:val="it-IT"/>
        </w:rPr>
        <w:t>’</w:t>
      </w:r>
      <w:r w:rsidRPr="00451078">
        <w:rPr>
          <w:rFonts w:eastAsia="Calibri" w:cs="Tahoma"/>
          <w:szCs w:val="18"/>
          <w:lang w:val="it-IT"/>
        </w:rPr>
        <w:t>ultima versione di SQL Server per Small Business Edition.</w:t>
      </w:r>
      <w:r w:rsidR="00082E1C" w:rsidRPr="00451078">
        <w:rPr>
          <w:rFonts w:eastAsia="Calibri" w:cs="Tahoma"/>
          <w:szCs w:val="18"/>
          <w:lang w:val="it-IT"/>
        </w:rPr>
        <w:t xml:space="preserve"> </w:t>
      </w:r>
      <w:r w:rsidRPr="00451078">
        <w:rPr>
          <w:rFonts w:eastAsia="Calibri" w:cs="Tahoma"/>
          <w:szCs w:val="18"/>
          <w:lang w:val="it-IT"/>
        </w:rPr>
        <w:t>In</w:t>
      </w:r>
      <w:r w:rsidR="00264783">
        <w:rPr>
          <w:rFonts w:eastAsia="Calibri" w:cs="Tahoma"/>
          <w:szCs w:val="18"/>
          <w:lang w:val="it-IT"/>
        </w:rPr>
        <w:t> </w:t>
      </w:r>
      <w:r w:rsidRPr="00451078">
        <w:rPr>
          <w:rFonts w:eastAsia="Calibri" w:cs="Tahoma"/>
          <w:szCs w:val="18"/>
          <w:lang w:val="it-IT"/>
        </w:rPr>
        <w:t>via eccezionale, le società con contratti multilicenza e con copertura Software Assurance attiva per le licenze per SQL Server 2008 R2 per Small Business in data 1 aprile 2012 potranno effettuare l</w:t>
      </w:r>
      <w:r w:rsidR="0073727D">
        <w:rPr>
          <w:rFonts w:eastAsia="Calibri" w:cs="Tahoma"/>
          <w:szCs w:val="18"/>
          <w:lang w:val="it-IT"/>
        </w:rPr>
        <w:t>’</w:t>
      </w:r>
      <w:r w:rsidRPr="00451078">
        <w:rPr>
          <w:rFonts w:eastAsia="Calibri" w:cs="Tahoma"/>
          <w:szCs w:val="18"/>
          <w:lang w:val="it-IT"/>
        </w:rPr>
        <w:t>aggiornamento a SQL Server 2012 Standard Server e utilizzarlo (o a qualsiasi versione successiva del prodotto resa disponibile durante la copertura) al posto di SQL Server Workgroup Edition e acquistare Software Assurance per SQL Server Standard alla scadenza della copertura in corso. Inoltre, le società con contratti multilicenza e con copertura Software Assurance attiva per le CAL per SQL Server 2008 R2 per Small Business in data 1 aprile 2012 potranno effettuare l</w:t>
      </w:r>
      <w:r w:rsidR="0073727D">
        <w:rPr>
          <w:rFonts w:eastAsia="Calibri" w:cs="Tahoma"/>
          <w:szCs w:val="18"/>
          <w:lang w:val="it-IT"/>
        </w:rPr>
        <w:t>’</w:t>
      </w:r>
      <w:r w:rsidRPr="00451078">
        <w:rPr>
          <w:rFonts w:eastAsia="Calibri" w:cs="Tahoma"/>
          <w:szCs w:val="18"/>
          <w:lang w:val="it-IT"/>
        </w:rPr>
        <w:t xml:space="preserve">aggiornamento alle CAL per SQL Server 2012 </w:t>
      </w:r>
      <w:r w:rsidR="00312AFF">
        <w:rPr>
          <w:rFonts w:eastAsia="Calibri" w:cs="Tahoma"/>
          <w:szCs w:val="18"/>
          <w:lang w:val="it-IT"/>
        </w:rPr>
        <w:br/>
      </w:r>
      <w:r w:rsidRPr="00451078">
        <w:rPr>
          <w:rFonts w:eastAsia="Calibri" w:cs="Tahoma"/>
          <w:szCs w:val="18"/>
          <w:lang w:val="it-IT"/>
        </w:rPr>
        <w:t>(o a qualsiasi versione successiva della CAL resa disponibile durante la copertura) e utilizzarle al posto della</w:t>
      </w:r>
      <w:r w:rsidR="00312AFF">
        <w:rPr>
          <w:rFonts w:eastAsia="Calibri" w:cs="Tahoma"/>
          <w:szCs w:val="18"/>
          <w:lang w:val="it-IT"/>
        </w:rPr>
        <w:t> </w:t>
      </w:r>
      <w:r w:rsidRPr="00451078">
        <w:rPr>
          <w:rFonts w:eastAsia="Calibri" w:cs="Tahoma"/>
          <w:szCs w:val="18"/>
          <w:lang w:val="it-IT"/>
        </w:rPr>
        <w:t>CAL per SQL Server Small Business, e acquistare Software Assurance per la CAL per SQL Server alla scadenza della copertura in corso.</w:t>
      </w:r>
      <w:r w:rsidR="00082E1C" w:rsidRPr="00451078">
        <w:rPr>
          <w:rFonts w:eastAsia="Calibri" w:cs="Tahoma"/>
          <w:szCs w:val="18"/>
          <w:lang w:val="it-IT"/>
        </w:rPr>
        <w:t xml:space="preserve"> </w:t>
      </w:r>
      <w:r w:rsidRPr="00451078">
        <w:rPr>
          <w:rFonts w:eastAsia="Calibri" w:cs="Tahoma"/>
          <w:szCs w:val="18"/>
          <w:lang w:val="it-IT"/>
        </w:rPr>
        <w:t>Le licenze per SQL Server Small Business delle società non sono più valide quando acquistano la copertura Software Assurance per SQL Server Standard ai sensi della presente</w:t>
      </w:r>
      <w:r w:rsidR="00E01D1A">
        <w:rPr>
          <w:rFonts w:eastAsia="Calibri" w:cs="Tahoma"/>
          <w:szCs w:val="18"/>
          <w:lang w:val="it-IT"/>
        </w:rPr>
        <w:t> </w:t>
      </w:r>
      <w:r w:rsidRPr="00451078">
        <w:rPr>
          <w:rFonts w:eastAsia="Calibri" w:cs="Tahoma"/>
          <w:szCs w:val="18"/>
          <w:lang w:val="it-IT"/>
        </w:rPr>
        <w:t>offerta.</w:t>
      </w:r>
    </w:p>
    <w:p w:rsidR="00CA0E2D" w:rsidRPr="00451078" w:rsidRDefault="00A81E83" w:rsidP="00CA0E2D">
      <w:pPr>
        <w:spacing w:after="60" w:line="276" w:lineRule="auto"/>
        <w:ind w:left="720"/>
        <w:rPr>
          <w:lang w:val="it-IT"/>
        </w:rPr>
      </w:pPr>
      <w:r w:rsidRPr="00451078">
        <w:rPr>
          <w:b/>
          <w:lang w:val="it-IT"/>
        </w:rPr>
        <w:t>Per le società con sede nella Repubblica popolare</w:t>
      </w:r>
      <w:r w:rsidRPr="00451078">
        <w:rPr>
          <w:lang w:val="it-IT"/>
        </w:rPr>
        <w:t xml:space="preserve"> </w:t>
      </w:r>
      <w:r w:rsidRPr="00451078">
        <w:rPr>
          <w:b/>
          <w:lang w:val="it-IT"/>
        </w:rPr>
        <w:t>cinese, dove acquistano licenze e Software Assurance per SQL Server 2008 R2</w:t>
      </w:r>
    </w:p>
    <w:p w:rsidR="00CA0E2D" w:rsidRPr="00451078" w:rsidRDefault="00A81E83" w:rsidP="00CA0E2D">
      <w:pPr>
        <w:ind w:left="720"/>
        <w:rPr>
          <w:lang w:val="it-IT"/>
        </w:rPr>
      </w:pPr>
      <w:r w:rsidRPr="00451078">
        <w:rPr>
          <w:lang w:val="it-IT"/>
        </w:rPr>
        <w:t>Non si applicano i riferimenti al 1 aprile 2012 presenti in questa nota relativa alla lista dei prodotti. La data applicabile per queste società sarebbe il 1 luglio 2012.</w:t>
      </w:r>
    </w:p>
    <w:p w:rsidR="00CA0E2D" w:rsidRPr="00451078" w:rsidRDefault="00CA0E2D" w:rsidP="00CA0E2D">
      <w:pPr>
        <w:ind w:left="720"/>
        <w:rPr>
          <w:lang w:val="it-IT"/>
        </w:rPr>
      </w:pPr>
    </w:p>
    <w:p w:rsidR="004F09FE" w:rsidRPr="00451078" w:rsidRDefault="004F09FE">
      <w:pPr>
        <w:rPr>
          <w:lang w:val="it-IT"/>
        </w:rPr>
      </w:pPr>
      <w:bookmarkStart w:id="1384" w:name="_Toc336338342"/>
      <w:bookmarkStart w:id="1385" w:name="Srv_84SQL2008R2Webproc"/>
    </w:p>
    <w:p w:rsidR="00A81E83" w:rsidRPr="00451078" w:rsidRDefault="0099402E" w:rsidP="00A81E83">
      <w:pPr>
        <w:pStyle w:val="Heading3"/>
        <w:rPr>
          <w:lang w:val="it-IT"/>
        </w:rPr>
      </w:pPr>
      <w:bookmarkStart w:id="1386" w:name="_77_75_SQL"/>
      <w:bookmarkStart w:id="1387" w:name="_Toc352234928"/>
      <w:bookmarkEnd w:id="1386"/>
      <w:r w:rsidRPr="00451078">
        <w:rPr>
          <w:rFonts w:ascii="Tahoma" w:hAnsi="Tahoma" w:cs="Tahoma"/>
          <w:caps/>
          <w:color w:val="F66400"/>
          <w:sz w:val="22"/>
          <w:vertAlign w:val="superscript"/>
          <w:lang w:val="it-IT"/>
        </w:rPr>
        <w:t>75</w:t>
      </w:r>
      <w:r w:rsidRPr="00451078">
        <w:rPr>
          <w:rFonts w:ascii="Tahoma" w:hAnsi="Tahoma" w:cs="Tahoma"/>
          <w:color w:val="F66400"/>
          <w:sz w:val="22"/>
          <w:lang w:val="it-IT"/>
        </w:rPr>
        <w:t xml:space="preserve"> Processore per SQL Server</w:t>
      </w:r>
      <w:r w:rsidR="003410C7" w:rsidRPr="00451078">
        <w:rPr>
          <w:rFonts w:ascii="Tahoma" w:hAnsi="Tahoma" w:cs="Tahoma"/>
          <w:color w:val="F66400"/>
          <w:sz w:val="22"/>
          <w:vertAlign w:val="superscript"/>
          <w:lang w:val="it-IT"/>
        </w:rPr>
        <w:t>®</w:t>
      </w:r>
      <w:r w:rsidRPr="00451078">
        <w:rPr>
          <w:rFonts w:ascii="Tahoma" w:hAnsi="Tahoma" w:cs="Tahoma"/>
          <w:color w:val="F66400"/>
          <w:sz w:val="22"/>
          <w:lang w:val="it-IT"/>
        </w:rPr>
        <w:t xml:space="preserve"> 2008 R2 Web</w:t>
      </w:r>
      <w:bookmarkEnd w:id="1384"/>
      <w:bookmarkEnd w:id="1387"/>
    </w:p>
    <w:bookmarkEnd w:id="1385"/>
    <w:p w:rsidR="00A81E83" w:rsidRPr="00451078" w:rsidRDefault="00A81E83" w:rsidP="008558DC">
      <w:pPr>
        <w:rPr>
          <w:lang w:val="it-IT"/>
        </w:rPr>
      </w:pPr>
    </w:p>
    <w:p w:rsidR="008558DC" w:rsidRPr="00451078" w:rsidRDefault="00A81E83" w:rsidP="008558DC">
      <w:pPr>
        <w:spacing w:after="60"/>
        <w:ind w:left="720"/>
        <w:rPr>
          <w:lang w:val="it-IT"/>
        </w:rPr>
      </w:pPr>
      <w:r w:rsidRPr="00451078">
        <w:rPr>
          <w:rFonts w:eastAsia="Calibri" w:cs="Tahoma"/>
          <w:b/>
          <w:szCs w:val="18"/>
          <w:lang w:val="it-IT"/>
        </w:rPr>
        <w:t>Concessioni di Licenza Associate alla Variazione del Modello di Licenza</w:t>
      </w:r>
    </w:p>
    <w:p w:rsidR="00A81E83" w:rsidRPr="00451078" w:rsidRDefault="00A81E83" w:rsidP="001054EE">
      <w:pPr>
        <w:ind w:left="720"/>
        <w:rPr>
          <w:lang w:val="it-IT"/>
        </w:rPr>
      </w:pPr>
      <w:r w:rsidRPr="00451078">
        <w:rPr>
          <w:rFonts w:eastAsia="Calibri" w:cs="Tahoma"/>
          <w:szCs w:val="18"/>
          <w:lang w:val="it-IT"/>
        </w:rPr>
        <w:t>SQL Server 2008 R2 sarà l</w:t>
      </w:r>
      <w:r w:rsidR="0073727D">
        <w:rPr>
          <w:rFonts w:eastAsia="Calibri" w:cs="Tahoma"/>
          <w:szCs w:val="18"/>
          <w:lang w:val="it-IT"/>
        </w:rPr>
        <w:t>’</w:t>
      </w:r>
      <w:r w:rsidRPr="00451078">
        <w:rPr>
          <w:rFonts w:eastAsia="Calibri" w:cs="Tahoma"/>
          <w:szCs w:val="18"/>
          <w:lang w:val="it-IT"/>
        </w:rPr>
        <w:t>ultima versione di SQL Server concessa in licenza ai sensi del modello di licenza per processore e l</w:t>
      </w:r>
      <w:r w:rsidR="0073727D">
        <w:rPr>
          <w:rFonts w:eastAsia="Calibri" w:cs="Tahoma"/>
          <w:szCs w:val="18"/>
          <w:lang w:val="it-IT"/>
        </w:rPr>
        <w:t>’</w:t>
      </w:r>
      <w:r w:rsidRPr="00451078">
        <w:rPr>
          <w:rFonts w:eastAsia="Calibri" w:cs="Tahoma"/>
          <w:szCs w:val="18"/>
          <w:lang w:val="it-IT"/>
        </w:rPr>
        <w:t>ultima versione di SQL Server Web Edition ai sensi dei programmi per contratti multilicenza.</w:t>
      </w:r>
      <w:r w:rsidR="00082E1C" w:rsidRPr="00451078">
        <w:rPr>
          <w:rFonts w:eastAsia="Calibri" w:cs="Tahoma"/>
          <w:szCs w:val="18"/>
          <w:lang w:val="it-IT"/>
        </w:rPr>
        <w:t xml:space="preserve"> </w:t>
      </w:r>
      <w:r w:rsidRPr="00451078">
        <w:rPr>
          <w:rFonts w:eastAsia="Calibri" w:cs="Tahoma"/>
          <w:szCs w:val="18"/>
          <w:lang w:val="it-IT"/>
        </w:rPr>
        <w:t>In via eccezionale, alle società con contratti multilicenza e copertura Software Assurance attiva per le licenze per processore per SQL Server 2008 R2 Web in data 1 aprile 2012 (</w:t>
      </w:r>
      <w:r w:rsidR="001A3EC5" w:rsidRPr="00451078">
        <w:rPr>
          <w:rFonts w:eastAsia="Calibri" w:cs="Tahoma"/>
          <w:szCs w:val="18"/>
          <w:lang w:val="it-IT"/>
        </w:rPr>
        <w:t>“</w:t>
      </w:r>
      <w:r w:rsidRPr="00451078">
        <w:rPr>
          <w:rFonts w:eastAsia="Calibri" w:cs="Tahoma"/>
          <w:szCs w:val="18"/>
          <w:lang w:val="it-IT"/>
        </w:rPr>
        <w:t>licenze qualificanti</w:t>
      </w:r>
      <w:r w:rsidR="001A3EC5" w:rsidRPr="00451078">
        <w:rPr>
          <w:rFonts w:eastAsia="Calibri" w:cs="Tahoma"/>
          <w:szCs w:val="18"/>
          <w:lang w:val="it-IT"/>
        </w:rPr>
        <w:t>”</w:t>
      </w:r>
      <w:r w:rsidRPr="00451078">
        <w:rPr>
          <w:rFonts w:eastAsia="Calibri" w:cs="Tahoma"/>
          <w:szCs w:val="18"/>
          <w:lang w:val="it-IT"/>
        </w:rPr>
        <w:t xml:space="preserve">) vengono offerte le opzioni che seguono. </w:t>
      </w:r>
      <w:r w:rsidRPr="00451078">
        <w:rPr>
          <w:lang w:val="it-IT"/>
        </w:rPr>
        <w:t>Le licenze per processore per SQL Server 2008 R2 Web</w:t>
      </w:r>
      <w:r w:rsidRPr="00451078">
        <w:rPr>
          <w:rFonts w:cs="Tahoma"/>
          <w:bCs/>
          <w:color w:val="000000"/>
          <w:szCs w:val="18"/>
          <w:lang w:val="it-IT"/>
        </w:rPr>
        <w:t xml:space="preserve"> acquistate successivamente nello stesso periodo di validità dell</w:t>
      </w:r>
      <w:r w:rsidR="0073727D">
        <w:rPr>
          <w:rFonts w:cs="Tahoma"/>
          <w:bCs/>
          <w:color w:val="000000"/>
          <w:szCs w:val="18"/>
          <w:lang w:val="it-IT"/>
        </w:rPr>
        <w:t>’</w:t>
      </w:r>
      <w:r w:rsidRPr="00451078">
        <w:rPr>
          <w:rFonts w:cs="Tahoma"/>
          <w:bCs/>
          <w:color w:val="000000"/>
          <w:szCs w:val="18"/>
          <w:lang w:val="it-IT"/>
        </w:rPr>
        <w:t>iscrizione, ma prima del 1 aprile 2015 nell</w:t>
      </w:r>
      <w:r w:rsidR="0073727D">
        <w:rPr>
          <w:rFonts w:cs="Tahoma"/>
          <w:bCs/>
          <w:color w:val="000000"/>
          <w:szCs w:val="18"/>
          <w:lang w:val="it-IT"/>
        </w:rPr>
        <w:t>’</w:t>
      </w:r>
      <w:r w:rsidRPr="00451078">
        <w:rPr>
          <w:rFonts w:cs="Tahoma"/>
          <w:bCs/>
          <w:color w:val="000000"/>
          <w:szCs w:val="18"/>
          <w:lang w:val="it-IT"/>
        </w:rPr>
        <w:t>ambito di una procedura pianificata di true-up della società Enterprise, Enterprise Subscription, Open Value Subscription o</w:t>
      </w:r>
      <w:r w:rsidR="001054EE">
        <w:rPr>
          <w:rFonts w:cs="Tahoma"/>
          <w:bCs/>
          <w:color w:val="000000"/>
          <w:szCs w:val="18"/>
          <w:lang w:val="it-IT"/>
        </w:rPr>
        <w:t> </w:t>
      </w:r>
      <w:r w:rsidRPr="00451078">
        <w:rPr>
          <w:rFonts w:cs="Tahoma"/>
          <w:bCs/>
          <w:color w:val="000000"/>
          <w:szCs w:val="18"/>
          <w:lang w:val="it-IT"/>
        </w:rPr>
        <w:t>EES, sono anch</w:t>
      </w:r>
      <w:r w:rsidR="0073727D">
        <w:rPr>
          <w:rFonts w:cs="Tahoma"/>
          <w:bCs/>
          <w:color w:val="000000"/>
          <w:szCs w:val="18"/>
          <w:lang w:val="it-IT"/>
        </w:rPr>
        <w:t>’</w:t>
      </w:r>
      <w:r w:rsidRPr="00451078">
        <w:rPr>
          <w:rFonts w:cs="Tahoma"/>
          <w:bCs/>
          <w:color w:val="000000"/>
          <w:szCs w:val="18"/>
          <w:lang w:val="it-IT"/>
        </w:rPr>
        <w:t>esse licenze qualificanti per gli scopi previsti da tali opzioni.</w:t>
      </w:r>
      <w:r w:rsidR="00082E1C" w:rsidRPr="00451078">
        <w:rPr>
          <w:rFonts w:cs="Tahoma"/>
          <w:bCs/>
          <w:color w:val="000000"/>
          <w:szCs w:val="18"/>
          <w:lang w:val="it-IT"/>
        </w:rPr>
        <w:t xml:space="preserve"> </w:t>
      </w:r>
      <w:r w:rsidRPr="00451078">
        <w:rPr>
          <w:rFonts w:cs="Tahoma"/>
          <w:bCs/>
          <w:color w:val="000000"/>
          <w:szCs w:val="18"/>
          <w:lang w:val="it-IT"/>
        </w:rPr>
        <w:t>Le licenze acquistate dopo il 1</w:t>
      </w:r>
      <w:r w:rsidR="001054EE">
        <w:rPr>
          <w:rFonts w:cs="Tahoma"/>
          <w:bCs/>
          <w:color w:val="000000"/>
          <w:szCs w:val="18"/>
          <w:lang w:val="it-IT"/>
        </w:rPr>
        <w:t> </w:t>
      </w:r>
      <w:r w:rsidRPr="00451078">
        <w:rPr>
          <w:rFonts w:cs="Tahoma"/>
          <w:bCs/>
          <w:color w:val="000000"/>
          <w:szCs w:val="18"/>
          <w:lang w:val="it-IT"/>
        </w:rPr>
        <w:t>aprile 2015, o in un periodo di validità dell</w:t>
      </w:r>
      <w:r w:rsidR="0073727D">
        <w:rPr>
          <w:rFonts w:cs="Tahoma"/>
          <w:bCs/>
          <w:color w:val="000000"/>
          <w:szCs w:val="18"/>
          <w:lang w:val="it-IT"/>
        </w:rPr>
        <w:t>’</w:t>
      </w:r>
      <w:r w:rsidRPr="00451078">
        <w:rPr>
          <w:rFonts w:cs="Tahoma"/>
          <w:bCs/>
          <w:color w:val="000000"/>
          <w:szCs w:val="18"/>
          <w:lang w:val="it-IT"/>
        </w:rPr>
        <w:t>iscrizione successivo, ai sensi di un contratto distinto o di un</w:t>
      </w:r>
      <w:r w:rsidR="0073727D">
        <w:rPr>
          <w:rFonts w:cs="Tahoma"/>
          <w:bCs/>
          <w:color w:val="000000"/>
          <w:szCs w:val="18"/>
          <w:lang w:val="it-IT"/>
        </w:rPr>
        <w:t>’</w:t>
      </w:r>
      <w:r w:rsidRPr="00451078">
        <w:rPr>
          <w:rFonts w:cs="Tahoma"/>
          <w:bCs/>
          <w:color w:val="000000"/>
          <w:szCs w:val="18"/>
          <w:lang w:val="it-IT"/>
        </w:rPr>
        <w:t>iscrizione con la data di entrata in vigore posteriore al 1 aprile 2012, non sono licenze qualificanti.</w:t>
      </w:r>
    </w:p>
    <w:p w:rsidR="008558DC" w:rsidRPr="00451078" w:rsidRDefault="008558DC" w:rsidP="008558DC">
      <w:pPr>
        <w:ind w:left="720"/>
        <w:rPr>
          <w:lang w:val="it-IT"/>
        </w:rPr>
      </w:pPr>
    </w:p>
    <w:p w:rsidR="008558DC" w:rsidRPr="00451078" w:rsidRDefault="008558DC" w:rsidP="008558DC">
      <w:pPr>
        <w:spacing w:after="60"/>
        <w:ind w:left="720"/>
        <w:rPr>
          <w:lang w:val="it-IT"/>
        </w:rPr>
      </w:pPr>
      <w:r w:rsidRPr="00451078">
        <w:rPr>
          <w:rFonts w:eastAsia="Calibri" w:cs="Tahoma"/>
          <w:b/>
          <w:szCs w:val="18"/>
          <w:lang w:val="it-IT"/>
        </w:rPr>
        <w:t>Periodo di Validità Corrente</w:t>
      </w:r>
    </w:p>
    <w:p w:rsidR="008558DC" w:rsidRPr="00451078" w:rsidRDefault="00A81E83" w:rsidP="008558DC">
      <w:pPr>
        <w:ind w:left="720"/>
        <w:rPr>
          <w:lang w:val="it-IT"/>
        </w:rPr>
      </w:pPr>
      <w:r w:rsidRPr="00451078">
        <w:rPr>
          <w:rFonts w:eastAsia="Calibri" w:cs="Tahoma"/>
          <w:szCs w:val="18"/>
          <w:lang w:val="it-IT"/>
        </w:rPr>
        <w:t xml:space="preserve">durante il periodo di validità corrente della copertura Software Assurance a partire dal 1 aprile 2012 le società (incluse le società titolari di contratti </w:t>
      </w:r>
      <w:r w:rsidR="001A3EC5" w:rsidRPr="00451078">
        <w:rPr>
          <w:rFonts w:eastAsia="Calibri" w:cs="Tahoma"/>
          <w:szCs w:val="18"/>
          <w:lang w:val="it-IT"/>
        </w:rPr>
        <w:t>“</w:t>
      </w:r>
      <w:r w:rsidRPr="00451078">
        <w:rPr>
          <w:rFonts w:eastAsia="Calibri" w:cs="Tahoma"/>
          <w:szCs w:val="18"/>
          <w:lang w:val="it-IT"/>
        </w:rPr>
        <w:t>subscription</w:t>
      </w:r>
      <w:r w:rsidR="001A3EC5" w:rsidRPr="00451078">
        <w:rPr>
          <w:rFonts w:eastAsia="Calibri" w:cs="Tahoma"/>
          <w:szCs w:val="18"/>
          <w:lang w:val="it-IT"/>
        </w:rPr>
        <w:t>”</w:t>
      </w:r>
      <w:r w:rsidRPr="00451078">
        <w:rPr>
          <w:rFonts w:eastAsia="Calibri" w:cs="Tahoma"/>
          <w:szCs w:val="18"/>
          <w:lang w:val="it-IT"/>
        </w:rPr>
        <w:t>) potranno, ai sensi di una licenza qualificante, effettuare l</w:t>
      </w:r>
      <w:r w:rsidR="0073727D">
        <w:rPr>
          <w:rFonts w:eastAsia="Calibri" w:cs="Tahoma"/>
          <w:szCs w:val="18"/>
          <w:lang w:val="it-IT"/>
        </w:rPr>
        <w:t>’</w:t>
      </w:r>
      <w:r w:rsidRPr="00451078">
        <w:rPr>
          <w:rFonts w:eastAsia="Calibri" w:cs="Tahoma"/>
          <w:szCs w:val="18"/>
          <w:lang w:val="it-IT"/>
        </w:rPr>
        <w:t>aggiornamento al software SQL Server 2012 Standard Core e utilizzarlo al posto di SQL Server 2008 R2 Web in conformità ai diritti di utilizzo del prodotto previsti dalla licenza per processore SQL Server 2008 R2 Standard (come indicato nei Diritti di Utilizzo del Prodotto del mese di gennaio 2012). alle società vengono concessi diritti aggiuntivi ai sensi di Mobilità delle Licenze tramite Software Assurance e Mobilità delle Licenze all</w:t>
      </w:r>
      <w:r w:rsidR="0073727D">
        <w:rPr>
          <w:rFonts w:eastAsia="Calibri" w:cs="Tahoma"/>
          <w:szCs w:val="18"/>
          <w:lang w:val="it-IT"/>
        </w:rPr>
        <w:t>’</w:t>
      </w:r>
      <w:r w:rsidRPr="00451078">
        <w:rPr>
          <w:rFonts w:eastAsia="Calibri" w:cs="Tahoma"/>
          <w:szCs w:val="18"/>
          <w:lang w:val="it-IT"/>
        </w:rPr>
        <w:t>interno di Server Farm.</w:t>
      </w:r>
      <w:r w:rsidR="00082E1C" w:rsidRPr="00451078">
        <w:rPr>
          <w:rFonts w:eastAsia="Calibri" w:cs="Tahoma"/>
          <w:szCs w:val="18"/>
          <w:lang w:val="it-IT"/>
        </w:rPr>
        <w:t xml:space="preserve"> </w:t>
      </w:r>
      <w:r w:rsidRPr="00451078">
        <w:rPr>
          <w:rFonts w:eastAsia="Calibri" w:cs="Tahoma"/>
          <w:szCs w:val="18"/>
          <w:lang w:val="it-IT"/>
        </w:rPr>
        <w:t>Le società dovranno fare riferimento ai Diritti di Utilizzo del Prodotto per SQL Server 2012 Standard Core per quanto riguarda le condizioni di licenza per Mobilità delle Licenze.</w:t>
      </w:r>
    </w:p>
    <w:p w:rsidR="008558DC" w:rsidRPr="00451078" w:rsidRDefault="008558DC" w:rsidP="008558DC">
      <w:pPr>
        <w:ind w:left="720"/>
        <w:rPr>
          <w:lang w:val="it-IT"/>
        </w:rPr>
      </w:pPr>
    </w:p>
    <w:p w:rsidR="008558DC" w:rsidRPr="00451078" w:rsidRDefault="00A81E83" w:rsidP="008558DC">
      <w:pPr>
        <w:spacing w:after="60"/>
        <w:ind w:left="720"/>
        <w:rPr>
          <w:lang w:val="it-IT"/>
        </w:rPr>
      </w:pPr>
      <w:r w:rsidRPr="00451078">
        <w:rPr>
          <w:rFonts w:eastAsia="Calibri" w:cs="Tahoma"/>
          <w:b/>
          <w:szCs w:val="18"/>
          <w:lang w:val="it-IT"/>
        </w:rPr>
        <w:lastRenderedPageBreak/>
        <w:t>Primo Periodo di Rinnovo (prima del 1 aprile 2015)</w:t>
      </w:r>
    </w:p>
    <w:p w:rsidR="00A81E83" w:rsidRPr="00451078" w:rsidRDefault="00A81E83" w:rsidP="008558DC">
      <w:pPr>
        <w:ind w:left="720"/>
        <w:rPr>
          <w:lang w:val="it-IT"/>
        </w:rPr>
      </w:pPr>
      <w:r w:rsidRPr="00451078">
        <w:rPr>
          <w:rFonts w:eastAsia="Calibri" w:cs="Tahoma"/>
          <w:szCs w:val="18"/>
          <w:lang w:val="it-IT"/>
        </w:rPr>
        <w:t>in occasione del primo rinnovo di Software Assurance in data 1 aprile 2012 o successiva (ma prima del 1 aprile 2015), per ogni server che una società ha ricevuto validamente in licenza in conformità ai diritti di utilizzo del prodotto previsti dalla licenza per processore SQL Server 2008 R2 Standard, la società potrà acquistare la copertura Software Assurance per le licenze core per SQL Server Standard senza dovere acquistare le licenze core sottostanti per un numero di licenze core pari alla somma di (a) e (b):</w:t>
      </w:r>
    </w:p>
    <w:p w:rsidR="00A81E83" w:rsidRPr="00451078" w:rsidRDefault="00A81E83" w:rsidP="00745AB3">
      <w:pPr>
        <w:numPr>
          <w:ilvl w:val="0"/>
          <w:numId w:val="115"/>
        </w:numPr>
        <w:tabs>
          <w:tab w:val="left" w:pos="1800"/>
        </w:tabs>
        <w:spacing w:after="60"/>
        <w:rPr>
          <w:lang w:val="it-IT"/>
        </w:rPr>
      </w:pPr>
      <w:r w:rsidRPr="00451078">
        <w:rPr>
          <w:rFonts w:eastAsia="Calibri" w:cs="Tahoma"/>
          <w:szCs w:val="18"/>
          <w:lang w:val="it-IT"/>
        </w:rPr>
        <w:t xml:space="preserve">un numero pari al numero minore delle licenze qualificanti cedute al server o al numero totale dei processori fisici sul server moltiplicato per il maggiore tra: </w:t>
      </w:r>
    </w:p>
    <w:p w:rsidR="00A81E83" w:rsidRPr="003410C7" w:rsidRDefault="00A81E83" w:rsidP="00745AB3">
      <w:pPr>
        <w:numPr>
          <w:ilvl w:val="3"/>
          <w:numId w:val="54"/>
        </w:numPr>
        <w:spacing w:after="60"/>
        <w:ind w:left="2160"/>
      </w:pPr>
      <w:r w:rsidRPr="003410C7">
        <w:rPr>
          <w:rFonts w:eastAsia="Calibri" w:cs="Tahoma"/>
          <w:szCs w:val="18"/>
        </w:rPr>
        <w:t>quattro O</w:t>
      </w:r>
    </w:p>
    <w:p w:rsidR="00A81E83" w:rsidRPr="00451078" w:rsidRDefault="00A81E83" w:rsidP="00745AB3">
      <w:pPr>
        <w:numPr>
          <w:ilvl w:val="3"/>
          <w:numId w:val="54"/>
        </w:numPr>
        <w:spacing w:after="60"/>
        <w:ind w:left="2160"/>
        <w:rPr>
          <w:lang w:val="it-IT"/>
        </w:rPr>
      </w:pPr>
      <w:r w:rsidRPr="00451078">
        <w:rPr>
          <w:rFonts w:eastAsia="Calibri" w:cs="Tahoma"/>
          <w:szCs w:val="18"/>
          <w:lang w:val="it-IT"/>
        </w:rPr>
        <w:t>il numero effettivo di core per processore fisico moltiplicato per il fattore core appropriato.</w:t>
      </w:r>
      <w:r w:rsidR="00082E1C" w:rsidRPr="00451078">
        <w:rPr>
          <w:rFonts w:eastAsia="Calibri" w:cs="Tahoma"/>
          <w:szCs w:val="18"/>
          <w:lang w:val="it-IT"/>
        </w:rPr>
        <w:t xml:space="preserve"> </w:t>
      </w:r>
      <w:r w:rsidRPr="00451078">
        <w:rPr>
          <w:rFonts w:eastAsia="Calibri" w:cs="Tahoma"/>
          <w:szCs w:val="18"/>
          <w:lang w:val="it-IT"/>
        </w:rPr>
        <w:t>(Nei casi in cui il numero effettivo di core per processore fisico superi quattro, le società dovranno conservare un record della configurazione del software SQL Server in esecuzione sul server (istanze con licenza in esecuzione negli ambienti del sistema operativo sul server con licenza) e l</w:t>
      </w:r>
      <w:r w:rsidR="0073727D">
        <w:rPr>
          <w:rFonts w:eastAsia="Calibri" w:cs="Tahoma"/>
          <w:szCs w:val="18"/>
          <w:lang w:val="it-IT"/>
        </w:rPr>
        <w:t>’</w:t>
      </w:r>
      <w:r w:rsidRPr="00451078">
        <w:rPr>
          <w:rFonts w:eastAsia="Calibri" w:cs="Tahoma"/>
          <w:szCs w:val="18"/>
          <w:lang w:val="it-IT"/>
        </w:rPr>
        <w:t xml:space="preserve">hardware fisico che supporta tale software appena prima del rinnovo di Software Assurance utilizzando lo strumento MAP di Microsoft o un software equivalente). </w:t>
      </w:r>
    </w:p>
    <w:p w:rsidR="008558DC" w:rsidRPr="00451078" w:rsidRDefault="00A81E83" w:rsidP="00745AB3">
      <w:pPr>
        <w:numPr>
          <w:ilvl w:val="0"/>
          <w:numId w:val="115"/>
        </w:numPr>
        <w:tabs>
          <w:tab w:val="left" w:pos="1800"/>
        </w:tabs>
        <w:spacing w:after="60"/>
        <w:rPr>
          <w:lang w:val="it-IT"/>
        </w:rPr>
      </w:pPr>
      <w:r w:rsidRPr="00451078">
        <w:rPr>
          <w:rFonts w:eastAsia="Calibri" w:cs="Tahoma"/>
          <w:szCs w:val="18"/>
          <w:lang w:val="it-IT"/>
        </w:rPr>
        <w:t>un numero pari al numero di licenze qualificanti cedute al server oltre al numero effettivo di</w:t>
      </w:r>
      <w:r w:rsidR="00187E83" w:rsidRPr="00451078">
        <w:rPr>
          <w:rFonts w:eastAsia="Calibri" w:cs="Tahoma"/>
          <w:szCs w:val="18"/>
          <w:lang w:val="it-IT"/>
        </w:rPr>
        <w:t> </w:t>
      </w:r>
      <w:r w:rsidRPr="00451078">
        <w:rPr>
          <w:rFonts w:eastAsia="Calibri" w:cs="Tahoma"/>
          <w:szCs w:val="18"/>
          <w:lang w:val="it-IT"/>
        </w:rPr>
        <w:t>processori fisici sul server moltiplicato per quattro.</w:t>
      </w:r>
    </w:p>
    <w:p w:rsidR="00E5029B" w:rsidRPr="00451078" w:rsidRDefault="00E5029B">
      <w:pPr>
        <w:rPr>
          <w:lang w:val="it-IT"/>
        </w:rPr>
      </w:pPr>
    </w:p>
    <w:p w:rsidR="008558DC" w:rsidRPr="00451078" w:rsidRDefault="00A81E83" w:rsidP="008558DC">
      <w:pPr>
        <w:spacing w:after="60"/>
        <w:ind w:left="720"/>
        <w:rPr>
          <w:lang w:val="it-IT"/>
        </w:rPr>
      </w:pPr>
      <w:r w:rsidRPr="00451078">
        <w:rPr>
          <w:rFonts w:eastAsia="Calibri" w:cs="Tahoma"/>
          <w:b/>
          <w:szCs w:val="18"/>
          <w:lang w:val="it-IT"/>
        </w:rPr>
        <w:t>Primo Periodo di Rinnovo (in data 1 aprile 2015 o successiva)</w:t>
      </w:r>
    </w:p>
    <w:p w:rsidR="00A81E83" w:rsidRPr="00451078" w:rsidRDefault="00A81E83" w:rsidP="008558DC">
      <w:pPr>
        <w:ind w:left="720"/>
        <w:contextualSpacing/>
        <w:rPr>
          <w:lang w:val="it-IT"/>
        </w:rPr>
      </w:pPr>
      <w:r w:rsidRPr="00451078">
        <w:rPr>
          <w:rFonts w:eastAsia="Calibri" w:cs="Tahoma"/>
          <w:color w:val="000000"/>
          <w:szCs w:val="18"/>
          <w:lang w:val="it-IT"/>
        </w:rPr>
        <w:t>Le società che rinnovano per la prima volta la copertura in data 1 aprile 2015</w:t>
      </w:r>
      <w:r w:rsidRPr="00451078">
        <w:rPr>
          <w:rFonts w:eastAsia="Calibri" w:cs="Tahoma"/>
          <w:szCs w:val="18"/>
          <w:lang w:val="it-IT"/>
        </w:rPr>
        <w:t xml:space="preserve"> potranno, per ogni server ottenuto in licenza in conformità ai diritti di utilizzo del prodotto previsti dalla licenza per processore SQL Server 2008 R2, acquistare la copertura Software Assurance come di seguito indicato:</w:t>
      </w:r>
    </w:p>
    <w:p w:rsidR="008558DC" w:rsidRPr="00451078" w:rsidRDefault="008558DC" w:rsidP="008558DC">
      <w:pPr>
        <w:ind w:left="720"/>
        <w:contextualSpacing/>
        <w:rPr>
          <w:lang w:val="it-IT"/>
        </w:rPr>
      </w:pPr>
    </w:p>
    <w:p w:rsidR="00A81E83" w:rsidRPr="00451078" w:rsidRDefault="00A81E83" w:rsidP="001054EE">
      <w:pPr>
        <w:numPr>
          <w:ilvl w:val="3"/>
          <w:numId w:val="88"/>
        </w:numPr>
        <w:spacing w:after="60"/>
        <w:ind w:left="1440"/>
        <w:rPr>
          <w:lang w:val="it-IT"/>
        </w:rPr>
      </w:pPr>
      <w:r w:rsidRPr="00451078">
        <w:rPr>
          <w:rFonts w:eastAsia="Calibri" w:cs="Tahoma"/>
          <w:szCs w:val="18"/>
          <w:lang w:val="it-IT"/>
        </w:rPr>
        <w:t xml:space="preserve">come stabilito nel primo paragrafo di questa nota relativa al prodotto, le licenze acquistate prima del 1 aprile 2015 sono licenze qualificanti e le società potranno rinnovare la copertura Software Assurance in base alle condizioni riportate nel precedente Articolo </w:t>
      </w:r>
      <w:r w:rsidR="001A3EC5" w:rsidRPr="00451078">
        <w:rPr>
          <w:rFonts w:eastAsia="Calibri" w:cs="Tahoma"/>
          <w:szCs w:val="18"/>
          <w:lang w:val="it-IT"/>
        </w:rPr>
        <w:t>“</w:t>
      </w:r>
      <w:r w:rsidRPr="00451078">
        <w:rPr>
          <w:rFonts w:eastAsia="Calibri" w:cs="Tahoma"/>
          <w:szCs w:val="18"/>
          <w:lang w:val="it-IT"/>
        </w:rPr>
        <w:t>Primo Periodo di Rinnovo (prima</w:t>
      </w:r>
      <w:r w:rsidR="001054EE">
        <w:rPr>
          <w:rFonts w:eastAsia="Calibri" w:cs="Tahoma"/>
          <w:szCs w:val="18"/>
          <w:lang w:val="it-IT"/>
        </w:rPr>
        <w:t> </w:t>
      </w:r>
      <w:r w:rsidRPr="00451078">
        <w:rPr>
          <w:rFonts w:eastAsia="Calibri" w:cs="Tahoma"/>
          <w:szCs w:val="18"/>
          <w:lang w:val="it-IT"/>
        </w:rPr>
        <w:t>del 1 aprile 2015)</w:t>
      </w:r>
      <w:r w:rsidR="001A3EC5" w:rsidRPr="00451078">
        <w:rPr>
          <w:rFonts w:eastAsia="Calibri" w:cs="Tahoma"/>
          <w:szCs w:val="18"/>
          <w:lang w:val="it-IT"/>
        </w:rPr>
        <w:t>”</w:t>
      </w:r>
      <w:r w:rsidRPr="00451078">
        <w:rPr>
          <w:rFonts w:eastAsia="Calibri" w:cs="Tahoma"/>
          <w:szCs w:val="18"/>
          <w:lang w:val="it-IT"/>
        </w:rPr>
        <w:t xml:space="preserve"> e </w:t>
      </w:r>
    </w:p>
    <w:p w:rsidR="00A81E83" w:rsidRPr="00451078" w:rsidRDefault="00A81E83" w:rsidP="00745AB3">
      <w:pPr>
        <w:numPr>
          <w:ilvl w:val="3"/>
          <w:numId w:val="88"/>
        </w:numPr>
        <w:spacing w:after="60"/>
        <w:ind w:left="1440"/>
        <w:rPr>
          <w:lang w:val="it-IT"/>
        </w:rPr>
      </w:pPr>
      <w:r w:rsidRPr="00451078">
        <w:rPr>
          <w:rFonts w:eastAsia="Calibri" w:cs="Tahoma"/>
          <w:szCs w:val="18"/>
          <w:lang w:val="it-IT"/>
        </w:rPr>
        <w:t>per le licenze acquistate dopo il 1 aprile 2015 le società potranno rinnovare la copertura Software Assurance per quattro licenze core per SQL Server Standard senza dover acquistare le licenze core sottostanti per ogni licenza per processore per SQL Server 2008 R2 Web. Per l</w:t>
      </w:r>
      <w:r w:rsidR="0073727D">
        <w:rPr>
          <w:rFonts w:eastAsia="Calibri" w:cs="Tahoma"/>
          <w:szCs w:val="18"/>
          <w:lang w:val="it-IT"/>
        </w:rPr>
        <w:t>’</w:t>
      </w:r>
      <w:r w:rsidRPr="00451078">
        <w:rPr>
          <w:rFonts w:eastAsia="Calibri" w:cs="Tahoma"/>
          <w:szCs w:val="18"/>
          <w:lang w:val="it-IT"/>
        </w:rPr>
        <w:t>utilizzo continuativo di SQL Server 2012 su processori che richiedono più di quattro licenze core per processore la società deve acquistare le licenze core aggiuntive.</w:t>
      </w:r>
    </w:p>
    <w:p w:rsidR="00A81E83" w:rsidRPr="00451078" w:rsidRDefault="00A81E83" w:rsidP="00745AB3">
      <w:pPr>
        <w:numPr>
          <w:ilvl w:val="3"/>
          <w:numId w:val="88"/>
        </w:numPr>
        <w:spacing w:after="60"/>
        <w:ind w:left="1440"/>
        <w:rPr>
          <w:lang w:val="it-IT"/>
        </w:rPr>
      </w:pPr>
      <w:r w:rsidRPr="00451078">
        <w:rPr>
          <w:rFonts w:eastAsia="Calibri" w:cs="Tahoma"/>
          <w:szCs w:val="18"/>
          <w:lang w:val="it-IT"/>
        </w:rPr>
        <w:t>Le licenze per processore delle società non sono più valide se si acquista la copertura Software Assurance per licenze core ai sensi della presente offerta. L</w:t>
      </w:r>
      <w:r w:rsidR="0073727D">
        <w:rPr>
          <w:rFonts w:eastAsia="Calibri" w:cs="Tahoma"/>
          <w:szCs w:val="18"/>
          <w:lang w:val="it-IT"/>
        </w:rPr>
        <w:t>’</w:t>
      </w:r>
      <w:r w:rsidRPr="00451078">
        <w:rPr>
          <w:rFonts w:eastAsia="Calibri" w:cs="Tahoma"/>
          <w:szCs w:val="18"/>
          <w:lang w:val="it-IT"/>
        </w:rPr>
        <w:t>opzione di acquistare Software Assurance per le licenze core per SQL Server non è applicabile al rinnovo della copertura ai sensi dei programmi di sottoscrizione.</w:t>
      </w:r>
    </w:p>
    <w:p w:rsidR="008558DC" w:rsidRPr="00451078" w:rsidRDefault="008558DC" w:rsidP="008558DC">
      <w:pPr>
        <w:ind w:left="720"/>
        <w:contextualSpacing/>
        <w:rPr>
          <w:lang w:val="it-IT"/>
        </w:rPr>
      </w:pPr>
    </w:p>
    <w:p w:rsidR="008558DC" w:rsidRPr="00451078" w:rsidRDefault="00A81E83" w:rsidP="008558DC">
      <w:pPr>
        <w:spacing w:after="60"/>
        <w:ind w:left="720"/>
        <w:rPr>
          <w:lang w:val="it-IT"/>
        </w:rPr>
      </w:pPr>
      <w:r w:rsidRPr="00451078">
        <w:rPr>
          <w:rFonts w:eastAsia="Calibri" w:cs="Tahoma"/>
          <w:b/>
          <w:szCs w:val="18"/>
          <w:lang w:val="it-IT"/>
        </w:rPr>
        <w:t>Per le Società con copertura Software Assurance in scadenza prima del 1 aprile 2015 che scelgono di non effettuare il rinnovo</w:t>
      </w:r>
    </w:p>
    <w:p w:rsidR="00A81E83" w:rsidRPr="00451078" w:rsidRDefault="00A81E83" w:rsidP="008558DC">
      <w:pPr>
        <w:ind w:left="720"/>
        <w:contextualSpacing/>
        <w:rPr>
          <w:lang w:val="it-IT"/>
        </w:rPr>
      </w:pPr>
      <w:r w:rsidRPr="00451078">
        <w:rPr>
          <w:rFonts w:eastAsia="Calibri" w:cs="Tahoma"/>
          <w:szCs w:val="18"/>
          <w:lang w:val="it-IT"/>
        </w:rPr>
        <w:t xml:space="preserve">Le società titolari di contratti Enterprise Subscription </w:t>
      </w:r>
      <w:r w:rsidRPr="00451078">
        <w:rPr>
          <w:rFonts w:cs="Tahoma"/>
          <w:bCs/>
          <w:color w:val="000000"/>
          <w:szCs w:val="18"/>
          <w:lang w:val="it-IT"/>
        </w:rPr>
        <w:t xml:space="preserve">e Open Value Subscription </w:t>
      </w:r>
      <w:r w:rsidRPr="00451078">
        <w:rPr>
          <w:rFonts w:eastAsia="Calibri" w:cs="Tahoma"/>
          <w:szCs w:val="18"/>
          <w:lang w:val="it-IT"/>
        </w:rPr>
        <w:t>con copertura in scadenza prima del 1 aprile 2015 che scelgono di effettuare il buy-out delle licenze per processore e altre società che acquistano licenze perpetue ai sensi del loro contratto e scelgono di non rinnovare Software Assurance potranno eseguire SQL Server 2008 R2 o SQL Server 2012 ai sensi di tali licenze come indicato sotto:</w:t>
      </w:r>
    </w:p>
    <w:p w:rsidR="00A81E83" w:rsidRPr="00451078" w:rsidRDefault="00A81E83" w:rsidP="00745AB3">
      <w:pPr>
        <w:numPr>
          <w:ilvl w:val="0"/>
          <w:numId w:val="89"/>
        </w:numPr>
        <w:tabs>
          <w:tab w:val="left" w:pos="1800"/>
        </w:tabs>
        <w:spacing w:after="60"/>
        <w:ind w:left="1800"/>
        <w:rPr>
          <w:lang w:val="it-IT"/>
        </w:rPr>
      </w:pPr>
      <w:r w:rsidRPr="00451078">
        <w:rPr>
          <w:rFonts w:eastAsia="Calibri" w:cs="Tahoma"/>
          <w:b/>
          <w:szCs w:val="18"/>
          <w:lang w:val="it-IT"/>
        </w:rPr>
        <w:t>SQL Server Web 2008 R2 Web:</w:t>
      </w:r>
      <w:r w:rsidRPr="00451078">
        <w:rPr>
          <w:rFonts w:eastAsia="Calibri" w:cs="Tahoma"/>
          <w:szCs w:val="18"/>
          <w:lang w:val="it-IT"/>
        </w:rPr>
        <w:t xml:space="preserve"> l</w:t>
      </w:r>
      <w:r w:rsidR="0073727D">
        <w:rPr>
          <w:rFonts w:eastAsia="Calibri" w:cs="Tahoma"/>
          <w:szCs w:val="18"/>
          <w:lang w:val="it-IT"/>
        </w:rPr>
        <w:t>’</w:t>
      </w:r>
      <w:r w:rsidRPr="00451078">
        <w:rPr>
          <w:rFonts w:eastAsia="Calibri" w:cs="Tahoma"/>
          <w:szCs w:val="18"/>
          <w:lang w:val="it-IT"/>
        </w:rPr>
        <w:t>utilizzo continuativo di tale versione del software è soggetto ai diritti di utilizzo del prodotto previsti dalla licenza per processore SQL Server 2008 R2 Web. Le società non disporranno più di diritti ai sensi della Mobilità delle Licenze all</w:t>
      </w:r>
      <w:r w:rsidR="0073727D">
        <w:rPr>
          <w:rFonts w:eastAsia="Calibri" w:cs="Tahoma"/>
          <w:szCs w:val="18"/>
          <w:lang w:val="it-IT"/>
        </w:rPr>
        <w:t>’</w:t>
      </w:r>
      <w:r w:rsidRPr="00451078">
        <w:rPr>
          <w:rFonts w:eastAsia="Calibri" w:cs="Tahoma"/>
          <w:szCs w:val="18"/>
          <w:lang w:val="it-IT"/>
        </w:rPr>
        <w:t xml:space="preserve">interno di Server Farm o della Mobilità delle Licenze tramite Software Assurance. </w:t>
      </w:r>
    </w:p>
    <w:p w:rsidR="00A81E83" w:rsidRPr="00451078" w:rsidRDefault="00A81E83" w:rsidP="00745AB3">
      <w:pPr>
        <w:numPr>
          <w:ilvl w:val="0"/>
          <w:numId w:val="89"/>
        </w:numPr>
        <w:tabs>
          <w:tab w:val="left" w:pos="1800"/>
        </w:tabs>
        <w:spacing w:after="60"/>
        <w:ind w:left="1800"/>
        <w:rPr>
          <w:lang w:val="it-IT"/>
        </w:rPr>
      </w:pPr>
      <w:r w:rsidRPr="00451078">
        <w:rPr>
          <w:rFonts w:eastAsia="Calibri" w:cs="Tahoma"/>
          <w:b/>
          <w:szCs w:val="18"/>
          <w:lang w:val="it-IT"/>
        </w:rPr>
        <w:t xml:space="preserve">SQL Server 2012 Standard Core: </w:t>
      </w:r>
      <w:r w:rsidRPr="00451078">
        <w:rPr>
          <w:rFonts w:eastAsia="Calibri" w:cs="Tahoma"/>
          <w:szCs w:val="18"/>
          <w:lang w:val="it-IT"/>
        </w:rPr>
        <w:t>l</w:t>
      </w:r>
      <w:r w:rsidR="0073727D">
        <w:rPr>
          <w:rFonts w:eastAsia="Calibri" w:cs="Tahoma"/>
          <w:szCs w:val="18"/>
          <w:lang w:val="it-IT"/>
        </w:rPr>
        <w:t>’</w:t>
      </w:r>
      <w:r w:rsidRPr="00451078">
        <w:rPr>
          <w:rFonts w:eastAsia="Calibri" w:cs="Tahoma"/>
          <w:szCs w:val="18"/>
          <w:lang w:val="it-IT"/>
        </w:rPr>
        <w:t xml:space="preserve">utilizzo di tale versione del software è soggetto ai diritti di utilizzo del prodotto previsti dalla licenza per processore SQL Server 2008 R2 Standard, tuttavia: </w:t>
      </w:r>
    </w:p>
    <w:p w:rsidR="00A81E83" w:rsidRPr="00451078" w:rsidRDefault="00A81E83" w:rsidP="00745AB3">
      <w:pPr>
        <w:numPr>
          <w:ilvl w:val="1"/>
          <w:numId w:val="51"/>
        </w:numPr>
        <w:tabs>
          <w:tab w:val="left" w:pos="2160"/>
        </w:tabs>
        <w:spacing w:after="60"/>
        <w:ind w:left="2160"/>
        <w:rPr>
          <w:lang w:val="it-IT"/>
        </w:rPr>
      </w:pPr>
      <w:r w:rsidRPr="00451078">
        <w:rPr>
          <w:rFonts w:eastAsia="Calibri" w:cs="Tahoma"/>
          <w:szCs w:val="18"/>
          <w:lang w:val="it-IT"/>
        </w:rPr>
        <w:t>le società non disporranno più di diritti ai sensi della Mobilità delle Licenze all</w:t>
      </w:r>
      <w:r w:rsidR="0073727D">
        <w:rPr>
          <w:rFonts w:eastAsia="Calibri" w:cs="Tahoma"/>
          <w:szCs w:val="18"/>
          <w:lang w:val="it-IT"/>
        </w:rPr>
        <w:t>’</w:t>
      </w:r>
      <w:r w:rsidRPr="00451078">
        <w:rPr>
          <w:rFonts w:eastAsia="Calibri" w:cs="Tahoma"/>
          <w:szCs w:val="18"/>
          <w:lang w:val="it-IT"/>
        </w:rPr>
        <w:t>interno di</w:t>
      </w:r>
      <w:r w:rsidR="00187E83" w:rsidRPr="00451078">
        <w:rPr>
          <w:rFonts w:eastAsia="Calibri" w:cs="Tahoma"/>
          <w:szCs w:val="18"/>
          <w:lang w:val="it-IT"/>
        </w:rPr>
        <w:t> </w:t>
      </w:r>
      <w:r w:rsidRPr="00451078">
        <w:rPr>
          <w:rFonts w:eastAsia="Calibri" w:cs="Tahoma"/>
          <w:szCs w:val="18"/>
          <w:lang w:val="it-IT"/>
        </w:rPr>
        <w:t xml:space="preserve">Server Farm o della Mobilità delle Licenze tramite Software Assurance e </w:t>
      </w:r>
    </w:p>
    <w:p w:rsidR="00A81E83" w:rsidRPr="00451078" w:rsidRDefault="00A81E83" w:rsidP="00745AB3">
      <w:pPr>
        <w:numPr>
          <w:ilvl w:val="1"/>
          <w:numId w:val="51"/>
        </w:numPr>
        <w:tabs>
          <w:tab w:val="left" w:pos="2160"/>
        </w:tabs>
        <w:spacing w:after="60"/>
        <w:ind w:left="2160"/>
        <w:rPr>
          <w:lang w:val="it-IT"/>
        </w:rPr>
      </w:pPr>
      <w:r w:rsidRPr="00451078">
        <w:rPr>
          <w:rFonts w:eastAsia="Calibri" w:cs="Tahoma"/>
          <w:szCs w:val="18"/>
          <w:lang w:val="it-IT"/>
        </w:rPr>
        <w:t>l</w:t>
      </w:r>
      <w:r w:rsidR="0073727D">
        <w:rPr>
          <w:rFonts w:eastAsia="Calibri" w:cs="Tahoma"/>
          <w:szCs w:val="18"/>
          <w:lang w:val="it-IT"/>
        </w:rPr>
        <w:t>’</w:t>
      </w:r>
      <w:r w:rsidRPr="00451078">
        <w:rPr>
          <w:rFonts w:eastAsia="Calibri" w:cs="Tahoma"/>
          <w:szCs w:val="18"/>
          <w:lang w:val="it-IT"/>
        </w:rPr>
        <w:t xml:space="preserve">eventuale riassegnazione di licenze è soggetta ai limiti indicati nei paragrafi (i) e (ii) che seguono relativi alla loro </w:t>
      </w:r>
      <w:r w:rsidR="001A3EC5" w:rsidRPr="00451078">
        <w:rPr>
          <w:rFonts w:eastAsia="Calibri" w:cs="Tahoma"/>
          <w:szCs w:val="18"/>
          <w:lang w:val="it-IT"/>
        </w:rPr>
        <w:t>“</w:t>
      </w:r>
      <w:r w:rsidRPr="00451078">
        <w:rPr>
          <w:rFonts w:eastAsia="Calibri" w:cs="Tahoma"/>
          <w:szCs w:val="18"/>
          <w:lang w:val="it-IT"/>
        </w:rPr>
        <w:t>equivalenza di licenze core</w:t>
      </w:r>
      <w:r w:rsidR="001A3EC5" w:rsidRPr="00451078">
        <w:rPr>
          <w:rFonts w:eastAsia="Calibri" w:cs="Tahoma"/>
          <w:szCs w:val="18"/>
          <w:lang w:val="it-IT"/>
        </w:rPr>
        <w:t>”</w:t>
      </w:r>
      <w:r w:rsidRPr="00451078">
        <w:rPr>
          <w:rFonts w:eastAsia="Calibri" w:cs="Tahoma"/>
          <w:szCs w:val="18"/>
          <w:lang w:val="it-IT"/>
        </w:rPr>
        <w:t>. L</w:t>
      </w:r>
      <w:r w:rsidR="0073727D">
        <w:rPr>
          <w:rFonts w:eastAsia="Calibri" w:cs="Tahoma"/>
          <w:szCs w:val="18"/>
          <w:lang w:val="it-IT"/>
        </w:rPr>
        <w:t>’</w:t>
      </w:r>
      <w:r w:rsidRPr="00451078">
        <w:rPr>
          <w:rFonts w:eastAsia="Calibri" w:cs="Tahoma"/>
          <w:szCs w:val="18"/>
          <w:lang w:val="it-IT"/>
        </w:rPr>
        <w:t>equivalenza di licenze core è</w:t>
      </w:r>
      <w:r w:rsidR="00187E83" w:rsidRPr="00451078">
        <w:rPr>
          <w:rFonts w:eastAsia="Calibri" w:cs="Tahoma"/>
          <w:szCs w:val="18"/>
          <w:lang w:val="it-IT"/>
        </w:rPr>
        <w:t> </w:t>
      </w:r>
      <w:r w:rsidRPr="00451078">
        <w:rPr>
          <w:rFonts w:eastAsia="Calibri" w:cs="Tahoma"/>
          <w:szCs w:val="18"/>
          <w:lang w:val="it-IT"/>
        </w:rPr>
        <w:t xml:space="preserve">determinata come di seguito riportato. </w:t>
      </w:r>
    </w:p>
    <w:p w:rsidR="00A81E83" w:rsidRPr="00451078" w:rsidRDefault="00A81E83" w:rsidP="00745AB3">
      <w:pPr>
        <w:numPr>
          <w:ilvl w:val="2"/>
          <w:numId w:val="51"/>
        </w:numPr>
        <w:tabs>
          <w:tab w:val="left" w:pos="2520"/>
        </w:tabs>
        <w:spacing w:after="60"/>
        <w:ind w:left="2520"/>
        <w:rPr>
          <w:lang w:val="it-IT"/>
        </w:rPr>
      </w:pPr>
      <w:r w:rsidRPr="00451078">
        <w:rPr>
          <w:rFonts w:eastAsia="Calibri" w:cs="Tahoma"/>
          <w:szCs w:val="18"/>
          <w:lang w:val="it-IT"/>
        </w:rPr>
        <w:lastRenderedPageBreak/>
        <w:t>Per un numero di licenze pari al numero inferiore tra (x) il numero totale di licenze per processore cedute a un server con licenza appena prima della scadenza di Software Assurance o (y) il numero totale di processori fisici su tale server, l</w:t>
      </w:r>
      <w:r w:rsidR="0073727D">
        <w:rPr>
          <w:rFonts w:eastAsia="Calibri" w:cs="Tahoma"/>
          <w:szCs w:val="18"/>
          <w:lang w:val="it-IT"/>
        </w:rPr>
        <w:t>’</w:t>
      </w:r>
      <w:r w:rsidRPr="00451078">
        <w:rPr>
          <w:rFonts w:eastAsia="Calibri" w:cs="Tahoma"/>
          <w:szCs w:val="18"/>
          <w:lang w:val="it-IT"/>
        </w:rPr>
        <w:t xml:space="preserve">equivalenza di licenze core è il numero maggiore tra: </w:t>
      </w:r>
    </w:p>
    <w:p w:rsidR="00A81E83" w:rsidRPr="00451078" w:rsidRDefault="00A81E83" w:rsidP="00745AB3">
      <w:pPr>
        <w:numPr>
          <w:ilvl w:val="4"/>
          <w:numId w:val="133"/>
        </w:numPr>
        <w:tabs>
          <w:tab w:val="left" w:pos="2880"/>
        </w:tabs>
        <w:spacing w:after="60"/>
        <w:ind w:left="2880"/>
        <w:rPr>
          <w:lang w:val="it-IT"/>
        </w:rPr>
      </w:pPr>
      <w:r w:rsidRPr="00451078">
        <w:rPr>
          <w:rFonts w:eastAsia="Calibri" w:cs="Tahoma"/>
          <w:szCs w:val="18"/>
          <w:lang w:val="it-IT"/>
        </w:rPr>
        <w:t xml:space="preserve">quattro core per licenza per processore O </w:t>
      </w:r>
    </w:p>
    <w:p w:rsidR="00A81E83" w:rsidRPr="00451078" w:rsidRDefault="00A81E83" w:rsidP="00745AB3">
      <w:pPr>
        <w:numPr>
          <w:ilvl w:val="4"/>
          <w:numId w:val="133"/>
        </w:numPr>
        <w:tabs>
          <w:tab w:val="left" w:pos="2880"/>
        </w:tabs>
        <w:spacing w:after="60"/>
        <w:ind w:left="2880"/>
        <w:rPr>
          <w:lang w:val="it-IT"/>
        </w:rPr>
      </w:pPr>
      <w:r w:rsidRPr="00451078">
        <w:rPr>
          <w:rFonts w:eastAsia="Calibri" w:cs="Tahoma"/>
          <w:szCs w:val="18"/>
          <w:lang w:val="it-IT"/>
        </w:rPr>
        <w:t>un numero di core per licenza per processore basato sul numero effettivo di core per processore fisico moltiplicato per il fattore core appropriato. (Nei casi in cui il numero effettivo di core per processore fisico superi quattro, le società dovranno conservare un record della configurazione del software SQL Server in esecuzione sul server (istanze con licenza in esecuzione negli ambienti del sistema operativo sul server con licenza) e l</w:t>
      </w:r>
      <w:r w:rsidR="0073727D">
        <w:rPr>
          <w:rFonts w:eastAsia="Calibri" w:cs="Tahoma"/>
          <w:szCs w:val="18"/>
          <w:lang w:val="it-IT"/>
        </w:rPr>
        <w:t>’</w:t>
      </w:r>
      <w:r w:rsidRPr="00451078">
        <w:rPr>
          <w:rFonts w:eastAsia="Calibri" w:cs="Tahoma"/>
          <w:szCs w:val="18"/>
          <w:lang w:val="it-IT"/>
        </w:rPr>
        <w:t xml:space="preserve">hardware fisico che supporta tale software appena prima della scadenza di Software Assurance utilizzando lo strumento MAP di Microsoft o un software equivalente). </w:t>
      </w:r>
    </w:p>
    <w:p w:rsidR="008558DC" w:rsidRPr="00451078" w:rsidRDefault="00A81E83" w:rsidP="00745AB3">
      <w:pPr>
        <w:numPr>
          <w:ilvl w:val="2"/>
          <w:numId w:val="51"/>
        </w:numPr>
        <w:tabs>
          <w:tab w:val="left" w:pos="2520"/>
        </w:tabs>
        <w:spacing w:after="60"/>
        <w:ind w:left="2520"/>
        <w:rPr>
          <w:lang w:val="it-IT"/>
        </w:rPr>
      </w:pPr>
      <w:r w:rsidRPr="00451078">
        <w:rPr>
          <w:rFonts w:eastAsia="Calibri" w:cs="Tahoma"/>
          <w:szCs w:val="18"/>
          <w:lang w:val="it-IT"/>
        </w:rPr>
        <w:t>Per qualsiasi licenza per processore con la copertura Software Assurance in scadenza ceduta allo stesso server con licenza che ecceda il numero effettivo di processori fisici sul server, l</w:t>
      </w:r>
      <w:r w:rsidR="0073727D">
        <w:rPr>
          <w:rFonts w:eastAsia="Calibri" w:cs="Tahoma"/>
          <w:szCs w:val="18"/>
          <w:lang w:val="it-IT"/>
        </w:rPr>
        <w:t>’</w:t>
      </w:r>
      <w:r w:rsidRPr="00451078">
        <w:rPr>
          <w:rFonts w:eastAsia="Calibri" w:cs="Tahoma"/>
          <w:szCs w:val="18"/>
          <w:lang w:val="it-IT"/>
        </w:rPr>
        <w:t>equivalenza core è di quattro core per licenza per processore.</w:t>
      </w:r>
    </w:p>
    <w:p w:rsidR="00A81E83" w:rsidRPr="00451078" w:rsidRDefault="00A81E83" w:rsidP="00745AB3">
      <w:pPr>
        <w:numPr>
          <w:ilvl w:val="1"/>
          <w:numId w:val="51"/>
        </w:numPr>
        <w:tabs>
          <w:tab w:val="left" w:pos="2160"/>
        </w:tabs>
        <w:spacing w:after="60"/>
        <w:ind w:left="2160"/>
        <w:rPr>
          <w:lang w:val="it-IT"/>
        </w:rPr>
      </w:pPr>
      <w:r w:rsidRPr="00451078">
        <w:rPr>
          <w:rFonts w:eastAsia="Calibri" w:cs="Tahoma"/>
          <w:szCs w:val="18"/>
          <w:lang w:val="it-IT"/>
        </w:rPr>
        <w:t>Le società potranno riassegnare le licenze a un altro server. Tuttavia, qualora la società riassegni una licenza a un altro server, dovrà attenersi ai diritti sull</w:t>
      </w:r>
      <w:r w:rsidR="0073727D">
        <w:rPr>
          <w:rFonts w:eastAsia="Calibri" w:cs="Tahoma"/>
          <w:szCs w:val="18"/>
          <w:lang w:val="it-IT"/>
        </w:rPr>
        <w:t>’</w:t>
      </w:r>
      <w:r w:rsidRPr="00451078">
        <w:rPr>
          <w:rFonts w:eastAsia="Calibri" w:cs="Tahoma"/>
          <w:szCs w:val="18"/>
          <w:lang w:val="it-IT"/>
        </w:rPr>
        <w:t>utilizzo di SQL Server 2012. Quando cede licenze core a server ai sensi dei diritti sull</w:t>
      </w:r>
      <w:r w:rsidR="0073727D">
        <w:rPr>
          <w:rFonts w:eastAsia="Calibri" w:cs="Tahoma"/>
          <w:szCs w:val="18"/>
          <w:lang w:val="it-IT"/>
        </w:rPr>
        <w:t>’</w:t>
      </w:r>
      <w:r w:rsidRPr="00451078">
        <w:rPr>
          <w:rFonts w:eastAsia="Calibri" w:cs="Tahoma"/>
          <w:szCs w:val="18"/>
          <w:lang w:val="it-IT"/>
        </w:rPr>
        <w:t>utilizzo per SQL 2012, la società potrà combinare l</w:t>
      </w:r>
      <w:r w:rsidR="0073727D">
        <w:rPr>
          <w:rFonts w:eastAsia="Calibri" w:cs="Tahoma"/>
          <w:szCs w:val="18"/>
          <w:lang w:val="it-IT"/>
        </w:rPr>
        <w:t>’</w:t>
      </w:r>
      <w:r w:rsidRPr="00451078">
        <w:rPr>
          <w:rFonts w:eastAsia="Calibri" w:cs="Tahoma"/>
          <w:szCs w:val="18"/>
          <w:lang w:val="it-IT"/>
        </w:rPr>
        <w:t>equivalenza core delle licenze esistenti con le licenze core per SQL Server 2012 aggiuntive.</w:t>
      </w:r>
    </w:p>
    <w:p w:rsidR="00A81E83" w:rsidRPr="00451078" w:rsidRDefault="00A81E83" w:rsidP="00745AB3">
      <w:pPr>
        <w:numPr>
          <w:ilvl w:val="1"/>
          <w:numId w:val="51"/>
        </w:numPr>
        <w:tabs>
          <w:tab w:val="left" w:pos="2160"/>
        </w:tabs>
        <w:spacing w:after="60"/>
        <w:ind w:left="2160"/>
        <w:rPr>
          <w:lang w:val="it-IT"/>
        </w:rPr>
      </w:pPr>
      <w:r w:rsidRPr="00451078">
        <w:rPr>
          <w:rFonts w:eastAsia="Calibri" w:cs="Tahoma"/>
          <w:szCs w:val="18"/>
          <w:lang w:val="it-IT"/>
        </w:rPr>
        <w:t>L</w:t>
      </w:r>
      <w:r w:rsidR="0073727D">
        <w:rPr>
          <w:rFonts w:eastAsia="Calibri" w:cs="Tahoma"/>
          <w:szCs w:val="18"/>
          <w:lang w:val="it-IT"/>
        </w:rPr>
        <w:t>’</w:t>
      </w:r>
      <w:r w:rsidRPr="00451078">
        <w:rPr>
          <w:rFonts w:eastAsia="Calibri" w:cs="Tahoma"/>
          <w:szCs w:val="18"/>
          <w:lang w:val="it-IT"/>
        </w:rPr>
        <w:t>equivalenza di licenze core stimata delle società non implica che esse possano cedere una licenza singola per processore a core attraverso due o più processori.</w:t>
      </w:r>
    </w:p>
    <w:p w:rsidR="00B06AAC" w:rsidRPr="00451078" w:rsidRDefault="00B06AAC" w:rsidP="00B06AAC">
      <w:pPr>
        <w:tabs>
          <w:tab w:val="left" w:pos="2160"/>
        </w:tabs>
        <w:spacing w:after="60"/>
        <w:rPr>
          <w:lang w:val="it-IT"/>
        </w:rPr>
      </w:pPr>
    </w:p>
    <w:p w:rsidR="00B06AAC" w:rsidRPr="00451078" w:rsidRDefault="00A81E83" w:rsidP="00B06AAC">
      <w:pPr>
        <w:tabs>
          <w:tab w:val="left" w:pos="720"/>
        </w:tabs>
        <w:spacing w:after="60"/>
        <w:ind w:left="720"/>
        <w:rPr>
          <w:lang w:val="it-IT"/>
        </w:rPr>
      </w:pPr>
      <w:r w:rsidRPr="00451078">
        <w:rPr>
          <w:rFonts w:eastAsia="Calibri" w:cs="Tahoma"/>
          <w:b/>
          <w:szCs w:val="18"/>
          <w:lang w:val="it-IT"/>
        </w:rPr>
        <w:t>Per le Società con copertura Software Assurance in scadenza in data 1 aprile 2015 o successiva che scelgono di non effettuare il rinnovo</w:t>
      </w:r>
    </w:p>
    <w:p w:rsidR="00A81E83" w:rsidRPr="00451078" w:rsidRDefault="00A81E83" w:rsidP="00B06AAC">
      <w:pPr>
        <w:tabs>
          <w:tab w:val="left" w:pos="720"/>
        </w:tabs>
        <w:ind w:left="720"/>
        <w:contextualSpacing/>
        <w:rPr>
          <w:lang w:val="it-IT"/>
        </w:rPr>
      </w:pPr>
      <w:r w:rsidRPr="00451078">
        <w:rPr>
          <w:rFonts w:eastAsia="Calibri" w:cs="Tahoma"/>
          <w:color w:val="000000"/>
          <w:szCs w:val="18"/>
          <w:lang w:val="it-IT"/>
        </w:rPr>
        <w:t xml:space="preserve">Alle società titolari di contratti Enterprise Subscription </w:t>
      </w:r>
      <w:r w:rsidRPr="00451078">
        <w:rPr>
          <w:rFonts w:cs="Tahoma"/>
          <w:bCs/>
          <w:color w:val="000000"/>
          <w:szCs w:val="18"/>
          <w:lang w:val="it-IT"/>
        </w:rPr>
        <w:t xml:space="preserve">e Open Value Subscription </w:t>
      </w:r>
      <w:r w:rsidRPr="00451078">
        <w:rPr>
          <w:rFonts w:eastAsia="Calibri" w:cs="Tahoma"/>
          <w:color w:val="000000"/>
          <w:szCs w:val="18"/>
          <w:lang w:val="it-IT"/>
        </w:rPr>
        <w:t xml:space="preserve">con copertura in scadenza in data 1 aprile 2015 o successiva che scelgono di effettuare il buy-out delle licenze per processore e alle altre società che acquistano licenze perpetue ai sensi del loro contratto verranno offerte le seguenti opzioni: </w:t>
      </w:r>
    </w:p>
    <w:p w:rsidR="00B06AAC" w:rsidRPr="00451078" w:rsidRDefault="00B06AAC" w:rsidP="00B06AAC">
      <w:pPr>
        <w:tabs>
          <w:tab w:val="left" w:pos="720"/>
        </w:tabs>
        <w:ind w:left="720"/>
        <w:contextualSpacing/>
        <w:rPr>
          <w:lang w:val="it-IT"/>
        </w:rPr>
      </w:pPr>
    </w:p>
    <w:p w:rsidR="00A81E83" w:rsidRPr="00451078" w:rsidRDefault="00A81E83" w:rsidP="00745AB3">
      <w:pPr>
        <w:numPr>
          <w:ilvl w:val="2"/>
          <w:numId w:val="133"/>
        </w:numPr>
        <w:spacing w:after="60"/>
        <w:ind w:left="1440" w:hanging="360"/>
        <w:rPr>
          <w:lang w:val="it-IT"/>
        </w:rPr>
      </w:pPr>
      <w:r w:rsidRPr="00451078">
        <w:rPr>
          <w:rFonts w:eastAsia="Calibri" w:cs="Tahoma"/>
          <w:szCs w:val="18"/>
          <w:lang w:val="it-IT"/>
        </w:rPr>
        <w:t xml:space="preserve">come stabilito nel primo paragrafo di questa nota relativa al prodotto, le licenze acquistate prima del 1 aprile 2015 sono licenze qualificanti e le società potranno continuare a utilizzare SQL Server 2012 in base alle condizioni riportate nel precedente Articolo </w:t>
      </w:r>
      <w:r w:rsidR="001A3EC5" w:rsidRPr="00451078">
        <w:rPr>
          <w:rFonts w:eastAsia="Calibri" w:cs="Tahoma"/>
          <w:szCs w:val="18"/>
          <w:lang w:val="it-IT"/>
        </w:rPr>
        <w:t>“</w:t>
      </w:r>
      <w:r w:rsidRPr="00451078">
        <w:rPr>
          <w:rFonts w:eastAsia="Calibri" w:cs="Tahoma"/>
          <w:szCs w:val="18"/>
          <w:lang w:val="it-IT"/>
        </w:rPr>
        <w:t>Per le società con copertura Software Assurance in scadenza prima del 1 aprile 2015 che scelgono di non effettuare il rinnovo</w:t>
      </w:r>
      <w:r w:rsidR="001A3EC5" w:rsidRPr="00451078">
        <w:rPr>
          <w:rFonts w:eastAsia="Calibri" w:cs="Tahoma"/>
          <w:szCs w:val="18"/>
          <w:lang w:val="it-IT"/>
        </w:rPr>
        <w:t>”</w:t>
      </w:r>
      <w:r w:rsidRPr="00451078">
        <w:rPr>
          <w:rFonts w:eastAsia="Calibri" w:cs="Tahoma"/>
          <w:szCs w:val="18"/>
          <w:lang w:val="it-IT"/>
        </w:rPr>
        <w:t xml:space="preserve"> e </w:t>
      </w:r>
    </w:p>
    <w:p w:rsidR="00A81E83" w:rsidRPr="00451078" w:rsidRDefault="00A81E83" w:rsidP="00745AB3">
      <w:pPr>
        <w:numPr>
          <w:ilvl w:val="2"/>
          <w:numId w:val="133"/>
        </w:numPr>
        <w:spacing w:after="60"/>
        <w:ind w:left="1440" w:hanging="360"/>
        <w:rPr>
          <w:lang w:val="it-IT"/>
        </w:rPr>
      </w:pPr>
      <w:r w:rsidRPr="00451078">
        <w:rPr>
          <w:rFonts w:eastAsia="Calibri" w:cs="Tahoma"/>
          <w:szCs w:val="18"/>
          <w:lang w:val="it-IT"/>
        </w:rPr>
        <w:t>per le licenze acquistate dopo il 1 aprile 2015 la licenza per processore delle società avrà un</w:t>
      </w:r>
      <w:r w:rsidR="0073727D">
        <w:rPr>
          <w:rFonts w:eastAsia="Calibri" w:cs="Tahoma"/>
          <w:szCs w:val="18"/>
          <w:lang w:val="it-IT"/>
        </w:rPr>
        <w:t>’</w:t>
      </w:r>
      <w:r w:rsidRPr="00451078">
        <w:rPr>
          <w:rFonts w:eastAsia="Calibri" w:cs="Tahoma"/>
          <w:szCs w:val="18"/>
          <w:lang w:val="it-IT"/>
        </w:rPr>
        <w:t>equivalenza core di quattro licenze core Standard per SQL Server 2012. Per l</w:t>
      </w:r>
      <w:r w:rsidR="0073727D">
        <w:rPr>
          <w:rFonts w:eastAsia="Calibri" w:cs="Tahoma"/>
          <w:szCs w:val="18"/>
          <w:lang w:val="it-IT"/>
        </w:rPr>
        <w:t>’</w:t>
      </w:r>
      <w:r w:rsidRPr="00451078">
        <w:rPr>
          <w:rFonts w:eastAsia="Calibri" w:cs="Tahoma"/>
          <w:szCs w:val="18"/>
          <w:lang w:val="it-IT"/>
        </w:rPr>
        <w:t>utilizzo continuativo di SQL Server 2012 su processori che richiedono più di quattro licenze core per processore la società deve acquistare le licenze core aggiuntive.</w:t>
      </w:r>
    </w:p>
    <w:p w:rsidR="002512D3" w:rsidRPr="00451078" w:rsidRDefault="002512D3">
      <w:pPr>
        <w:rPr>
          <w:lang w:val="it-IT"/>
        </w:rPr>
      </w:pPr>
    </w:p>
    <w:p w:rsidR="00B06AAC" w:rsidRPr="00451078" w:rsidRDefault="00A81E83" w:rsidP="00B06AAC">
      <w:pPr>
        <w:tabs>
          <w:tab w:val="left" w:pos="720"/>
        </w:tabs>
        <w:spacing w:after="60"/>
        <w:ind w:left="720"/>
        <w:rPr>
          <w:lang w:val="it-IT"/>
        </w:rPr>
      </w:pPr>
      <w:r w:rsidRPr="00451078">
        <w:rPr>
          <w:b/>
          <w:lang w:val="it-IT"/>
        </w:rPr>
        <w:t>Per le società con sede nella Repubblica popolare</w:t>
      </w:r>
      <w:r w:rsidRPr="00451078">
        <w:rPr>
          <w:lang w:val="it-IT"/>
        </w:rPr>
        <w:t xml:space="preserve"> </w:t>
      </w:r>
      <w:r w:rsidRPr="00451078">
        <w:rPr>
          <w:b/>
          <w:lang w:val="it-IT"/>
        </w:rPr>
        <w:t>cinese, dove acquistano licenze per processore e Software Assurance per SQL Server 2008 R2</w:t>
      </w:r>
    </w:p>
    <w:p w:rsidR="00A81E83" w:rsidRPr="00451078" w:rsidRDefault="00A81E83" w:rsidP="00B06AAC">
      <w:pPr>
        <w:tabs>
          <w:tab w:val="left" w:pos="720"/>
        </w:tabs>
        <w:ind w:left="720"/>
        <w:contextualSpacing/>
        <w:rPr>
          <w:lang w:val="it-IT"/>
        </w:rPr>
      </w:pPr>
      <w:r w:rsidRPr="00451078">
        <w:rPr>
          <w:lang w:val="it-IT"/>
        </w:rPr>
        <w:t>Non si applicano i riferimenti al 1 aprile 2012 e al 1 aprile 2015 presenti in questa nota relativa alla lista dei prodotti. Le date applicabili per queste società sarebbero rispettivamente il 1 luglio 2012 e il 1 luglio 2015.</w:t>
      </w:r>
    </w:p>
    <w:p w:rsidR="00A81E83" w:rsidRPr="00451078" w:rsidRDefault="00A81E83" w:rsidP="008558DC">
      <w:pPr>
        <w:ind w:left="900"/>
        <w:rPr>
          <w:lang w:val="it-IT"/>
        </w:rPr>
      </w:pPr>
    </w:p>
    <w:p w:rsidR="00A81E83" w:rsidRPr="00451078" w:rsidRDefault="00A81E83" w:rsidP="008558DC">
      <w:pPr>
        <w:rPr>
          <w:lang w:val="it-IT"/>
        </w:rPr>
      </w:pPr>
    </w:p>
    <w:p w:rsidR="00A81E83" w:rsidRPr="003410C7" w:rsidRDefault="0099402E" w:rsidP="00BD4B91">
      <w:pPr>
        <w:pStyle w:val="Heading3"/>
      </w:pPr>
      <w:bookmarkStart w:id="1388" w:name="_85_84_SQL"/>
      <w:bookmarkStart w:id="1389" w:name="_78_76_SQL"/>
      <w:bookmarkStart w:id="1390" w:name="Srv_85SQL2008R2Workgroup5ClientAddon"/>
      <w:bookmarkStart w:id="1391" w:name="_Toc336338343"/>
      <w:bookmarkStart w:id="1392" w:name="_Toc352234929"/>
      <w:bookmarkEnd w:id="1388"/>
      <w:bookmarkEnd w:id="1389"/>
      <w:r w:rsidRPr="003410C7">
        <w:rPr>
          <w:rFonts w:ascii="Tahoma" w:hAnsi="Tahoma"/>
          <w:color w:val="F66400"/>
          <w:sz w:val="22"/>
          <w:vertAlign w:val="superscript"/>
        </w:rPr>
        <w:t>76</w:t>
      </w:r>
      <w:r w:rsidRPr="003410C7">
        <w:rPr>
          <w:rFonts w:ascii="Tahoma" w:hAnsi="Tahoma"/>
          <w:color w:val="F66400"/>
          <w:sz w:val="22"/>
        </w:rPr>
        <w:t xml:space="preserve"> SQL Server</w:t>
      </w:r>
      <w:r w:rsidR="003410C7" w:rsidRPr="003410C7">
        <w:rPr>
          <w:rFonts w:ascii="Tahoma" w:hAnsi="Tahoma"/>
          <w:color w:val="F66400"/>
          <w:sz w:val="22"/>
          <w:vertAlign w:val="superscript"/>
        </w:rPr>
        <w:t>®</w:t>
      </w:r>
      <w:r w:rsidRPr="003410C7">
        <w:rPr>
          <w:rFonts w:ascii="Tahoma" w:hAnsi="Tahoma"/>
          <w:color w:val="F66400"/>
          <w:sz w:val="22"/>
        </w:rPr>
        <w:t xml:space="preserve"> 2008 R2 Workgroup (5 Add On Client)</w:t>
      </w:r>
      <w:bookmarkEnd w:id="1390"/>
      <w:bookmarkEnd w:id="1391"/>
      <w:bookmarkEnd w:id="1392"/>
    </w:p>
    <w:p w:rsidR="00A81E83" w:rsidRPr="003410C7" w:rsidRDefault="00A81E83" w:rsidP="00DA46D5">
      <w:pPr>
        <w:pStyle w:val="EndnoteText"/>
        <w:ind w:left="0"/>
      </w:pPr>
    </w:p>
    <w:p w:rsidR="00DA46D5" w:rsidRPr="00451078" w:rsidRDefault="00A81E83" w:rsidP="00DA46D5">
      <w:pPr>
        <w:spacing w:after="60"/>
        <w:ind w:left="720"/>
        <w:rPr>
          <w:lang w:val="it-IT"/>
        </w:rPr>
      </w:pPr>
      <w:r w:rsidRPr="00451078">
        <w:rPr>
          <w:b/>
          <w:lang w:val="it-IT"/>
        </w:rPr>
        <w:t>Concessioni di Licenza Associate alla fine del ciclo di vita di SQL Server Workgroup Edition</w:t>
      </w:r>
    </w:p>
    <w:p w:rsidR="00A81E83" w:rsidRPr="00451078" w:rsidRDefault="00A81E83" w:rsidP="00DA46D5">
      <w:pPr>
        <w:ind w:left="720"/>
        <w:rPr>
          <w:lang w:val="it-IT"/>
        </w:rPr>
      </w:pPr>
      <w:r w:rsidRPr="00451078">
        <w:rPr>
          <w:rFonts w:eastAsia="Calibri" w:cs="Tahoma"/>
          <w:szCs w:val="18"/>
          <w:lang w:val="it-IT"/>
        </w:rPr>
        <w:t>SQL Server 2008 R2 Workgroup sarà l</w:t>
      </w:r>
      <w:r w:rsidR="0073727D">
        <w:rPr>
          <w:rFonts w:eastAsia="Calibri" w:cs="Tahoma"/>
          <w:szCs w:val="18"/>
          <w:lang w:val="it-IT"/>
        </w:rPr>
        <w:t>’</w:t>
      </w:r>
      <w:r w:rsidRPr="00451078">
        <w:rPr>
          <w:rFonts w:eastAsia="Calibri" w:cs="Tahoma"/>
          <w:szCs w:val="18"/>
          <w:lang w:val="it-IT"/>
        </w:rPr>
        <w:t>ultima versione di SQL Server Workgroup Edition.</w:t>
      </w:r>
      <w:r w:rsidR="00082E1C" w:rsidRPr="00451078">
        <w:rPr>
          <w:rFonts w:eastAsia="Calibri" w:cs="Tahoma"/>
          <w:szCs w:val="18"/>
          <w:lang w:val="it-IT"/>
        </w:rPr>
        <w:t xml:space="preserve"> </w:t>
      </w:r>
      <w:r w:rsidRPr="00451078">
        <w:rPr>
          <w:rFonts w:eastAsia="Calibri" w:cs="Tahoma"/>
          <w:szCs w:val="18"/>
          <w:lang w:val="it-IT"/>
        </w:rPr>
        <w:t>In via eccezionale, le società con contratti multilicenza e con copertura Software Assurance attiva per le licenze per SQL Server 2008 R2 Workgroup Server in data 1 aprile 2012 potranno effettuare l</w:t>
      </w:r>
      <w:r w:rsidR="0073727D">
        <w:rPr>
          <w:rFonts w:eastAsia="Calibri" w:cs="Tahoma"/>
          <w:szCs w:val="18"/>
          <w:lang w:val="it-IT"/>
        </w:rPr>
        <w:t>’</w:t>
      </w:r>
      <w:r w:rsidRPr="00451078">
        <w:rPr>
          <w:rFonts w:eastAsia="Calibri" w:cs="Tahoma"/>
          <w:szCs w:val="18"/>
          <w:lang w:val="it-IT"/>
        </w:rPr>
        <w:t>aggiornamento a SQL Server 2012 Standard Server e utilizzarlo (o a qualsiasi versione successiva del prodotto resa disponibile durante la copertura) al posto di SQL Server Workgroup Edition e acquistare Software Assurance per SQL Server Standard alla scadenza della copertura in corso. Inoltre, le società con contratti multilicenza e con copertura Software Assurance attiva per le CAL per SQL Server 2008 R2 Workgroup in data 1 aprile 2012 potranno effettuare l</w:t>
      </w:r>
      <w:r w:rsidR="0073727D">
        <w:rPr>
          <w:rFonts w:eastAsia="Calibri" w:cs="Tahoma"/>
          <w:szCs w:val="18"/>
          <w:lang w:val="it-IT"/>
        </w:rPr>
        <w:t>’</w:t>
      </w:r>
      <w:r w:rsidRPr="00451078">
        <w:rPr>
          <w:rFonts w:eastAsia="Calibri" w:cs="Tahoma"/>
          <w:szCs w:val="18"/>
          <w:lang w:val="it-IT"/>
        </w:rPr>
        <w:t xml:space="preserve">aggiornamento alle CAL per SQL Server 2012 (o a qualsiasi versione successiva della CAL resa </w:t>
      </w:r>
      <w:r w:rsidRPr="00451078">
        <w:rPr>
          <w:rFonts w:eastAsia="Calibri" w:cs="Tahoma"/>
          <w:szCs w:val="18"/>
          <w:lang w:val="it-IT"/>
        </w:rPr>
        <w:lastRenderedPageBreak/>
        <w:t>disponibile durante la copertura) e utilizzarle al posto delle loro CAL per SQL Server Workgroup, e acquistare Software Assurance per la CAL per SQL Server in occasione del loro prossimo rinnovo.</w:t>
      </w:r>
      <w:r w:rsidR="00082E1C" w:rsidRPr="00451078">
        <w:rPr>
          <w:rFonts w:eastAsia="Calibri" w:cs="Tahoma"/>
          <w:szCs w:val="18"/>
          <w:lang w:val="it-IT"/>
        </w:rPr>
        <w:t xml:space="preserve"> </w:t>
      </w:r>
      <w:r w:rsidRPr="00451078">
        <w:rPr>
          <w:rFonts w:eastAsia="Calibri" w:cs="Tahoma"/>
          <w:szCs w:val="18"/>
          <w:lang w:val="it-IT"/>
        </w:rPr>
        <w:t>Le licenze per SQL Server Workgroup delle società non sono più valide quando acquistano la copertura Software Assurance per</w:t>
      </w:r>
      <w:r w:rsidR="00187E83" w:rsidRPr="00451078">
        <w:rPr>
          <w:rFonts w:eastAsia="Calibri" w:cs="Tahoma"/>
          <w:szCs w:val="18"/>
          <w:lang w:val="it-IT"/>
        </w:rPr>
        <w:t> </w:t>
      </w:r>
      <w:r w:rsidRPr="00451078">
        <w:rPr>
          <w:rFonts w:eastAsia="Calibri" w:cs="Tahoma"/>
          <w:szCs w:val="18"/>
          <w:lang w:val="it-IT"/>
        </w:rPr>
        <w:t>SQL Server Standard ai sensi della presente offerta.</w:t>
      </w:r>
    </w:p>
    <w:p w:rsidR="000D5F24" w:rsidRPr="00451078" w:rsidRDefault="000D5F24">
      <w:pPr>
        <w:rPr>
          <w:lang w:val="it-IT"/>
        </w:rPr>
      </w:pPr>
    </w:p>
    <w:p w:rsidR="00DA46D5" w:rsidRPr="00451078" w:rsidRDefault="00A81E83" w:rsidP="00DA46D5">
      <w:pPr>
        <w:spacing w:after="60"/>
        <w:ind w:left="720"/>
        <w:rPr>
          <w:lang w:val="it-IT"/>
        </w:rPr>
      </w:pPr>
      <w:r w:rsidRPr="00451078">
        <w:rPr>
          <w:b/>
          <w:lang w:val="it-IT"/>
        </w:rPr>
        <w:t>Per le società con sede nella Repubblica popolare</w:t>
      </w:r>
      <w:r w:rsidRPr="00451078">
        <w:rPr>
          <w:lang w:val="it-IT"/>
        </w:rPr>
        <w:t xml:space="preserve"> </w:t>
      </w:r>
      <w:r w:rsidRPr="00451078">
        <w:rPr>
          <w:b/>
          <w:lang w:val="it-IT"/>
        </w:rPr>
        <w:t>cinese, dove acquistano licenze e Software Assurance per SQL Server 2008 R2</w:t>
      </w:r>
    </w:p>
    <w:p w:rsidR="00A81E83" w:rsidRPr="00451078" w:rsidRDefault="00A81E83" w:rsidP="00DA46D5">
      <w:pPr>
        <w:ind w:left="720"/>
        <w:rPr>
          <w:lang w:val="it-IT"/>
        </w:rPr>
      </w:pPr>
      <w:r w:rsidRPr="00451078">
        <w:rPr>
          <w:lang w:val="it-IT"/>
        </w:rPr>
        <w:t>Non si applicano i riferimenti al 1 aprile 2012 presenti in questa nota relativa alla lista dei prodotti. La data applicabile per queste società sarebbe il 1 luglio 2012.</w:t>
      </w:r>
    </w:p>
    <w:p w:rsidR="00DA46D5" w:rsidRPr="00451078" w:rsidRDefault="00DA46D5" w:rsidP="00DA46D5">
      <w:pPr>
        <w:ind w:left="720"/>
        <w:rPr>
          <w:lang w:val="it-IT"/>
        </w:rPr>
      </w:pPr>
    </w:p>
    <w:p w:rsidR="00DA46D5" w:rsidRPr="00451078" w:rsidRDefault="00DA46D5" w:rsidP="00DA46D5">
      <w:pPr>
        <w:ind w:left="720"/>
        <w:rPr>
          <w:lang w:val="it-IT"/>
        </w:rPr>
      </w:pPr>
    </w:p>
    <w:p w:rsidR="00A81E83" w:rsidRPr="00451078" w:rsidRDefault="0099402E" w:rsidP="00A81E83">
      <w:pPr>
        <w:pStyle w:val="Heading3"/>
        <w:ind w:left="720" w:hanging="720"/>
        <w:rPr>
          <w:lang w:val="it-IT"/>
        </w:rPr>
      </w:pPr>
      <w:bookmarkStart w:id="1393" w:name="_79_77_SQL"/>
      <w:bookmarkStart w:id="1394" w:name="_Toc336338344"/>
      <w:bookmarkStart w:id="1395" w:name="_Toc352234930"/>
      <w:bookmarkStart w:id="1396" w:name="Srv_72SQLSvr08R2WorkgroupProc"/>
      <w:bookmarkEnd w:id="1393"/>
      <w:r w:rsidRPr="00451078">
        <w:rPr>
          <w:rFonts w:ascii="Tahoma" w:hAnsi="Tahoma" w:cs="Tahoma"/>
          <w:color w:val="F66400"/>
          <w:sz w:val="22"/>
          <w:vertAlign w:val="superscript"/>
          <w:lang w:val="it-IT"/>
        </w:rPr>
        <w:t>77</w:t>
      </w:r>
      <w:r w:rsidRPr="00451078">
        <w:rPr>
          <w:rFonts w:ascii="Tahoma" w:hAnsi="Tahoma" w:cs="Tahoma"/>
          <w:color w:val="F66400"/>
          <w:sz w:val="22"/>
          <w:lang w:val="it-IT"/>
        </w:rPr>
        <w:t xml:space="preserve"> Processore per SQL Server</w:t>
      </w:r>
      <w:r w:rsidR="003410C7" w:rsidRPr="00451078">
        <w:rPr>
          <w:rFonts w:ascii="Tahoma" w:hAnsi="Tahoma" w:cs="Tahoma"/>
          <w:color w:val="F66400"/>
          <w:sz w:val="22"/>
          <w:vertAlign w:val="superscript"/>
          <w:lang w:val="it-IT"/>
        </w:rPr>
        <w:t>®</w:t>
      </w:r>
      <w:r w:rsidRPr="00451078">
        <w:rPr>
          <w:rFonts w:ascii="Tahoma" w:hAnsi="Tahoma" w:cs="Tahoma"/>
          <w:color w:val="F66400"/>
          <w:sz w:val="22"/>
          <w:lang w:val="it-IT"/>
        </w:rPr>
        <w:t xml:space="preserve"> 2008 R2 Workgroup</w:t>
      </w:r>
      <w:bookmarkEnd w:id="1394"/>
      <w:bookmarkEnd w:id="1395"/>
    </w:p>
    <w:bookmarkEnd w:id="1396"/>
    <w:p w:rsidR="00A81E83" w:rsidRPr="00451078" w:rsidRDefault="00A81E83" w:rsidP="000C03F3">
      <w:pPr>
        <w:ind w:left="720"/>
        <w:rPr>
          <w:lang w:val="it-IT"/>
        </w:rPr>
      </w:pPr>
    </w:p>
    <w:p w:rsidR="000C03F3" w:rsidRPr="00451078" w:rsidRDefault="00A81E83" w:rsidP="000C03F3">
      <w:pPr>
        <w:spacing w:after="60"/>
        <w:ind w:left="720"/>
        <w:rPr>
          <w:lang w:val="it-IT"/>
        </w:rPr>
      </w:pPr>
      <w:r w:rsidRPr="00451078">
        <w:rPr>
          <w:rFonts w:eastAsia="Calibri" w:cs="Tahoma"/>
          <w:b/>
          <w:color w:val="000000"/>
          <w:szCs w:val="18"/>
          <w:lang w:val="it-IT"/>
        </w:rPr>
        <w:t>Concessioni di Licenza Associate alla Variazione del Modello di Licenza</w:t>
      </w:r>
    </w:p>
    <w:p w:rsidR="00A81E83" w:rsidRPr="00451078" w:rsidRDefault="00A81E83" w:rsidP="000C03F3">
      <w:pPr>
        <w:ind w:left="720"/>
        <w:rPr>
          <w:lang w:val="it-IT"/>
        </w:rPr>
      </w:pPr>
      <w:r w:rsidRPr="00451078">
        <w:rPr>
          <w:rFonts w:eastAsia="Calibri" w:cs="Tahoma"/>
          <w:color w:val="000000"/>
          <w:szCs w:val="18"/>
          <w:lang w:val="it-IT"/>
        </w:rPr>
        <w:t>SQL Server 2008 R2 sarà l</w:t>
      </w:r>
      <w:r w:rsidR="0073727D">
        <w:rPr>
          <w:rFonts w:eastAsia="Calibri" w:cs="Tahoma"/>
          <w:color w:val="000000"/>
          <w:szCs w:val="18"/>
          <w:lang w:val="it-IT"/>
        </w:rPr>
        <w:t>’</w:t>
      </w:r>
      <w:r w:rsidRPr="00451078">
        <w:rPr>
          <w:rFonts w:eastAsia="Calibri" w:cs="Tahoma"/>
          <w:color w:val="000000"/>
          <w:szCs w:val="18"/>
          <w:lang w:val="it-IT"/>
        </w:rPr>
        <w:t>ultima versione di SQL Server concessa in licenza ai sensi del modello di licenza per processore e l</w:t>
      </w:r>
      <w:r w:rsidR="0073727D">
        <w:rPr>
          <w:rFonts w:eastAsia="Calibri" w:cs="Tahoma"/>
          <w:color w:val="000000"/>
          <w:szCs w:val="18"/>
          <w:lang w:val="it-IT"/>
        </w:rPr>
        <w:t>’</w:t>
      </w:r>
      <w:r w:rsidRPr="00451078">
        <w:rPr>
          <w:rFonts w:eastAsia="Calibri" w:cs="Tahoma"/>
          <w:color w:val="000000"/>
          <w:szCs w:val="18"/>
          <w:lang w:val="it-IT"/>
        </w:rPr>
        <w:t>ultima versione di SQL Server Workgroup Edition.</w:t>
      </w:r>
      <w:r w:rsidR="00082E1C" w:rsidRPr="00451078">
        <w:rPr>
          <w:rFonts w:eastAsia="Calibri" w:cs="Tahoma"/>
          <w:color w:val="000000"/>
          <w:szCs w:val="18"/>
          <w:lang w:val="it-IT"/>
        </w:rPr>
        <w:t xml:space="preserve"> </w:t>
      </w:r>
      <w:r w:rsidRPr="00451078">
        <w:rPr>
          <w:rFonts w:eastAsia="Calibri" w:cs="Tahoma"/>
          <w:color w:val="000000"/>
          <w:szCs w:val="18"/>
          <w:lang w:val="it-IT"/>
        </w:rPr>
        <w:t>In via eccezionale, alle società con contratti multilicenza e copertura Software Assurance attiva per le licenze per processore per SQL Server 2008 R2 Workgroup in data 1 aprile 2012 (</w:t>
      </w:r>
      <w:r w:rsidR="001A3EC5" w:rsidRPr="00451078">
        <w:rPr>
          <w:rFonts w:eastAsia="Calibri" w:cs="Tahoma"/>
          <w:color w:val="000000"/>
          <w:szCs w:val="18"/>
          <w:lang w:val="it-IT"/>
        </w:rPr>
        <w:t>“</w:t>
      </w:r>
      <w:r w:rsidRPr="00451078">
        <w:rPr>
          <w:rFonts w:eastAsia="Calibri" w:cs="Tahoma"/>
          <w:color w:val="000000"/>
          <w:szCs w:val="18"/>
          <w:lang w:val="it-IT"/>
        </w:rPr>
        <w:t>licenze qualificanti</w:t>
      </w:r>
      <w:r w:rsidR="001A3EC5" w:rsidRPr="00451078">
        <w:rPr>
          <w:rFonts w:eastAsia="Calibri" w:cs="Tahoma"/>
          <w:color w:val="000000"/>
          <w:szCs w:val="18"/>
          <w:lang w:val="it-IT"/>
        </w:rPr>
        <w:t>”</w:t>
      </w:r>
      <w:r w:rsidRPr="00451078">
        <w:rPr>
          <w:rFonts w:eastAsia="Calibri" w:cs="Tahoma"/>
          <w:color w:val="000000"/>
          <w:szCs w:val="18"/>
          <w:lang w:val="it-IT"/>
        </w:rPr>
        <w:t>) vengono offerte le opzioni che seguono. Le</w:t>
      </w:r>
      <w:r w:rsidR="00187E83" w:rsidRPr="00451078">
        <w:rPr>
          <w:rFonts w:eastAsia="Calibri" w:cs="Tahoma"/>
          <w:color w:val="000000"/>
          <w:szCs w:val="18"/>
          <w:lang w:val="it-IT"/>
        </w:rPr>
        <w:t> </w:t>
      </w:r>
      <w:r w:rsidRPr="00451078">
        <w:rPr>
          <w:rFonts w:eastAsia="Calibri" w:cs="Tahoma"/>
          <w:color w:val="000000"/>
          <w:szCs w:val="18"/>
          <w:lang w:val="it-IT"/>
        </w:rPr>
        <w:t xml:space="preserve">licenze per processore per SQL Server 2008 R2 Workgroup </w:t>
      </w:r>
      <w:r w:rsidRPr="00451078">
        <w:rPr>
          <w:rFonts w:cs="Tahoma"/>
          <w:bCs/>
          <w:color w:val="000000"/>
          <w:szCs w:val="18"/>
          <w:lang w:val="it-IT"/>
        </w:rPr>
        <w:t>acquistate successivamente nello stesso periodo di validità dell</w:t>
      </w:r>
      <w:r w:rsidR="0073727D">
        <w:rPr>
          <w:rFonts w:cs="Tahoma"/>
          <w:bCs/>
          <w:color w:val="000000"/>
          <w:szCs w:val="18"/>
          <w:lang w:val="it-IT"/>
        </w:rPr>
        <w:t>’</w:t>
      </w:r>
      <w:r w:rsidRPr="00451078">
        <w:rPr>
          <w:rFonts w:cs="Tahoma"/>
          <w:bCs/>
          <w:color w:val="000000"/>
          <w:szCs w:val="18"/>
          <w:lang w:val="it-IT"/>
        </w:rPr>
        <w:t>iscrizione, ma prima del 1 aprile 2015 nell</w:t>
      </w:r>
      <w:r w:rsidR="0073727D">
        <w:rPr>
          <w:rFonts w:cs="Tahoma"/>
          <w:bCs/>
          <w:color w:val="000000"/>
          <w:szCs w:val="18"/>
          <w:lang w:val="it-IT"/>
        </w:rPr>
        <w:t>’</w:t>
      </w:r>
      <w:r w:rsidRPr="00451078">
        <w:rPr>
          <w:rFonts w:cs="Tahoma"/>
          <w:bCs/>
          <w:color w:val="000000"/>
          <w:szCs w:val="18"/>
          <w:lang w:val="it-IT"/>
        </w:rPr>
        <w:t>ambito di una procedura pianificata di true-up della</w:t>
      </w:r>
      <w:r w:rsidR="00187E83" w:rsidRPr="00451078">
        <w:rPr>
          <w:rFonts w:cs="Tahoma"/>
          <w:bCs/>
          <w:color w:val="000000"/>
          <w:szCs w:val="18"/>
          <w:lang w:val="it-IT"/>
        </w:rPr>
        <w:t> </w:t>
      </w:r>
      <w:r w:rsidRPr="00451078">
        <w:rPr>
          <w:rFonts w:cs="Tahoma"/>
          <w:bCs/>
          <w:color w:val="000000"/>
          <w:szCs w:val="18"/>
          <w:lang w:val="it-IT"/>
        </w:rPr>
        <w:t>società Enterprise, Enterprise Subscription, Open Value Subscription o EES, sono anch</w:t>
      </w:r>
      <w:r w:rsidR="0073727D">
        <w:rPr>
          <w:rFonts w:cs="Tahoma"/>
          <w:bCs/>
          <w:color w:val="000000"/>
          <w:szCs w:val="18"/>
          <w:lang w:val="it-IT"/>
        </w:rPr>
        <w:t>’</w:t>
      </w:r>
      <w:r w:rsidRPr="00451078">
        <w:rPr>
          <w:rFonts w:cs="Tahoma"/>
          <w:bCs/>
          <w:color w:val="000000"/>
          <w:szCs w:val="18"/>
          <w:lang w:val="it-IT"/>
        </w:rPr>
        <w:t>esse licenze qualificanti per gli scopi previsti da tali opzioni.</w:t>
      </w:r>
      <w:r w:rsidR="00082E1C" w:rsidRPr="00451078">
        <w:rPr>
          <w:rFonts w:cs="Tahoma"/>
          <w:bCs/>
          <w:color w:val="000000"/>
          <w:szCs w:val="18"/>
          <w:lang w:val="it-IT"/>
        </w:rPr>
        <w:t xml:space="preserve"> </w:t>
      </w:r>
      <w:r w:rsidRPr="00451078">
        <w:rPr>
          <w:rFonts w:cs="Tahoma"/>
          <w:bCs/>
          <w:color w:val="000000"/>
          <w:szCs w:val="18"/>
          <w:lang w:val="it-IT"/>
        </w:rPr>
        <w:t>Le licenze acquistate dopo il 1 aprile 2015, o in un periodo di</w:t>
      </w:r>
      <w:r w:rsidR="00187E83" w:rsidRPr="00451078">
        <w:rPr>
          <w:rFonts w:cs="Tahoma"/>
          <w:bCs/>
          <w:color w:val="000000"/>
          <w:szCs w:val="18"/>
          <w:lang w:val="it-IT"/>
        </w:rPr>
        <w:t> </w:t>
      </w:r>
      <w:r w:rsidRPr="00451078">
        <w:rPr>
          <w:rFonts w:cs="Tahoma"/>
          <w:bCs/>
          <w:color w:val="000000"/>
          <w:szCs w:val="18"/>
          <w:lang w:val="it-IT"/>
        </w:rPr>
        <w:t>validità dell</w:t>
      </w:r>
      <w:r w:rsidR="0073727D">
        <w:rPr>
          <w:rFonts w:cs="Tahoma"/>
          <w:bCs/>
          <w:color w:val="000000"/>
          <w:szCs w:val="18"/>
          <w:lang w:val="it-IT"/>
        </w:rPr>
        <w:t>’</w:t>
      </w:r>
      <w:r w:rsidRPr="00451078">
        <w:rPr>
          <w:rFonts w:cs="Tahoma"/>
          <w:bCs/>
          <w:color w:val="000000"/>
          <w:szCs w:val="18"/>
          <w:lang w:val="it-IT"/>
        </w:rPr>
        <w:t>iscrizione successivo, ai sensi di un contratto distinto o di un</w:t>
      </w:r>
      <w:r w:rsidR="0073727D">
        <w:rPr>
          <w:rFonts w:cs="Tahoma"/>
          <w:bCs/>
          <w:color w:val="000000"/>
          <w:szCs w:val="18"/>
          <w:lang w:val="it-IT"/>
        </w:rPr>
        <w:t>’</w:t>
      </w:r>
      <w:r w:rsidRPr="00451078">
        <w:rPr>
          <w:rFonts w:cs="Tahoma"/>
          <w:bCs/>
          <w:color w:val="000000"/>
          <w:szCs w:val="18"/>
          <w:lang w:val="it-IT"/>
        </w:rPr>
        <w:t>iscrizione con la data di entrata in</w:t>
      </w:r>
      <w:r w:rsidR="00187E83" w:rsidRPr="00451078">
        <w:rPr>
          <w:rFonts w:cs="Tahoma"/>
          <w:bCs/>
          <w:color w:val="000000"/>
          <w:szCs w:val="18"/>
          <w:lang w:val="it-IT"/>
        </w:rPr>
        <w:t> </w:t>
      </w:r>
      <w:r w:rsidRPr="00451078">
        <w:rPr>
          <w:rFonts w:cs="Tahoma"/>
          <w:bCs/>
          <w:color w:val="000000"/>
          <w:szCs w:val="18"/>
          <w:lang w:val="it-IT"/>
        </w:rPr>
        <w:t>vigore posteriore al 1 aprile 2012, non sono licenze qualificanti.</w:t>
      </w:r>
    </w:p>
    <w:p w:rsidR="000C03F3" w:rsidRDefault="000C03F3" w:rsidP="000C03F3">
      <w:pPr>
        <w:ind w:left="720"/>
        <w:rPr>
          <w:lang w:val="it-IT"/>
        </w:rPr>
      </w:pPr>
    </w:p>
    <w:p w:rsidR="00A243E1" w:rsidRDefault="00A243E1" w:rsidP="000C03F3">
      <w:pPr>
        <w:ind w:left="720"/>
        <w:rPr>
          <w:lang w:val="it-IT"/>
        </w:rPr>
      </w:pPr>
    </w:p>
    <w:p w:rsidR="00A243E1" w:rsidRDefault="00A243E1" w:rsidP="000C03F3">
      <w:pPr>
        <w:ind w:left="720"/>
        <w:rPr>
          <w:lang w:val="it-IT"/>
        </w:rPr>
      </w:pPr>
    </w:p>
    <w:p w:rsidR="004F09FE" w:rsidRPr="00451078" w:rsidRDefault="004F09FE" w:rsidP="000C03F3">
      <w:pPr>
        <w:ind w:left="720"/>
        <w:rPr>
          <w:lang w:val="it-IT"/>
        </w:rPr>
      </w:pPr>
    </w:p>
    <w:p w:rsidR="000C03F3" w:rsidRPr="00451078" w:rsidRDefault="000C03F3" w:rsidP="000C03F3">
      <w:pPr>
        <w:spacing w:after="60"/>
        <w:ind w:left="720"/>
        <w:rPr>
          <w:lang w:val="it-IT"/>
        </w:rPr>
      </w:pPr>
      <w:r w:rsidRPr="00451078">
        <w:rPr>
          <w:rFonts w:eastAsia="Calibri" w:cs="Tahoma"/>
          <w:b/>
          <w:color w:val="000000"/>
          <w:szCs w:val="18"/>
          <w:lang w:val="it-IT"/>
        </w:rPr>
        <w:t>Periodo di Validità Corrente</w:t>
      </w:r>
    </w:p>
    <w:p w:rsidR="00A81E83" w:rsidRPr="00451078" w:rsidRDefault="00A81E83" w:rsidP="000C03F3">
      <w:pPr>
        <w:tabs>
          <w:tab w:val="left" w:pos="720"/>
        </w:tabs>
        <w:ind w:left="720"/>
        <w:rPr>
          <w:lang w:val="it-IT"/>
        </w:rPr>
      </w:pPr>
      <w:r w:rsidRPr="00451078">
        <w:rPr>
          <w:rFonts w:eastAsia="Calibri" w:cs="Tahoma"/>
          <w:szCs w:val="18"/>
          <w:lang w:val="it-IT"/>
        </w:rPr>
        <w:t xml:space="preserve">durante il periodo di validità corrente della copertura Software Assurance a partire dal 1 aprile 2012 le società (incluse le società titolari di contratti </w:t>
      </w:r>
      <w:r w:rsidR="001A3EC5" w:rsidRPr="00451078">
        <w:rPr>
          <w:rFonts w:eastAsia="Calibri" w:cs="Tahoma"/>
          <w:szCs w:val="18"/>
          <w:lang w:val="it-IT"/>
        </w:rPr>
        <w:t>“</w:t>
      </w:r>
      <w:r w:rsidRPr="00451078">
        <w:rPr>
          <w:rFonts w:eastAsia="Calibri" w:cs="Tahoma"/>
          <w:szCs w:val="18"/>
          <w:lang w:val="it-IT"/>
        </w:rPr>
        <w:t>subscription</w:t>
      </w:r>
      <w:r w:rsidR="001A3EC5" w:rsidRPr="00451078">
        <w:rPr>
          <w:rFonts w:eastAsia="Calibri" w:cs="Tahoma"/>
          <w:szCs w:val="18"/>
          <w:lang w:val="it-IT"/>
        </w:rPr>
        <w:t>”</w:t>
      </w:r>
      <w:r w:rsidRPr="00451078">
        <w:rPr>
          <w:rFonts w:eastAsia="Calibri" w:cs="Tahoma"/>
          <w:szCs w:val="18"/>
          <w:lang w:val="it-IT"/>
        </w:rPr>
        <w:t>) potranno, ai sensi di una licenza qualificante, effettuare l</w:t>
      </w:r>
      <w:r w:rsidR="0073727D">
        <w:rPr>
          <w:rFonts w:eastAsia="Calibri" w:cs="Tahoma"/>
          <w:szCs w:val="18"/>
          <w:lang w:val="it-IT"/>
        </w:rPr>
        <w:t>’</w:t>
      </w:r>
      <w:r w:rsidRPr="00451078">
        <w:rPr>
          <w:rFonts w:eastAsia="Calibri" w:cs="Tahoma"/>
          <w:szCs w:val="18"/>
          <w:lang w:val="it-IT"/>
        </w:rPr>
        <w:t>aggiornamento al software SQL Server 2012 Standard Core e utilizzarlo al posto di SQL Server 2008 R2 Workgroup in conformità ai diritti di utilizzo del prodotto previsti dalla licenza per processore SQL Server 2008 R2 Standard (come indicato nei Diritti di Utilizzo del Prodotto del mese di gennaio 2012). alle società vengono concessi diritti aggiuntivi ai sensi di Mobilità delle Licenze tramite Software Assurance e Mobilità delle Licenze all</w:t>
      </w:r>
      <w:r w:rsidR="0073727D">
        <w:rPr>
          <w:rFonts w:eastAsia="Calibri" w:cs="Tahoma"/>
          <w:szCs w:val="18"/>
          <w:lang w:val="it-IT"/>
        </w:rPr>
        <w:t>’</w:t>
      </w:r>
      <w:r w:rsidRPr="00451078">
        <w:rPr>
          <w:rFonts w:eastAsia="Calibri" w:cs="Tahoma"/>
          <w:szCs w:val="18"/>
          <w:lang w:val="it-IT"/>
        </w:rPr>
        <w:t>interno di Server Farm. Le società dovranno fare riferimento ai Diritti di Utilizzo del Prodotto per SQL Server 2012 Standard Core per quanto riguarda le condizioni di licenza per Mobilità delle Licenze.</w:t>
      </w:r>
    </w:p>
    <w:p w:rsidR="000C03F3" w:rsidRPr="00451078" w:rsidRDefault="000C03F3" w:rsidP="000C03F3">
      <w:pPr>
        <w:tabs>
          <w:tab w:val="left" w:pos="720"/>
        </w:tabs>
        <w:ind w:left="720"/>
        <w:rPr>
          <w:lang w:val="it-IT"/>
        </w:rPr>
      </w:pPr>
    </w:p>
    <w:p w:rsidR="000C03F3" w:rsidRPr="00451078" w:rsidRDefault="00A81E83" w:rsidP="000C03F3">
      <w:pPr>
        <w:spacing w:after="60"/>
        <w:ind w:left="720"/>
        <w:rPr>
          <w:lang w:val="it-IT"/>
        </w:rPr>
      </w:pPr>
      <w:r w:rsidRPr="00451078">
        <w:rPr>
          <w:rFonts w:eastAsia="Calibri" w:cs="Tahoma"/>
          <w:b/>
          <w:color w:val="000000"/>
          <w:szCs w:val="18"/>
          <w:lang w:val="it-IT"/>
        </w:rPr>
        <w:t>Primo Periodo di Rinnovo (prima del 1 aprile 2015)</w:t>
      </w:r>
    </w:p>
    <w:p w:rsidR="00A81E83" w:rsidRPr="00451078" w:rsidRDefault="00A81E83" w:rsidP="000C03F3">
      <w:pPr>
        <w:tabs>
          <w:tab w:val="left" w:pos="720"/>
        </w:tabs>
        <w:ind w:left="720"/>
        <w:rPr>
          <w:lang w:val="it-IT"/>
        </w:rPr>
      </w:pPr>
      <w:r w:rsidRPr="00451078">
        <w:rPr>
          <w:rFonts w:eastAsia="Calibri" w:cs="Tahoma"/>
          <w:szCs w:val="18"/>
          <w:lang w:val="it-IT"/>
        </w:rPr>
        <w:t>in occasione del primo rinnovo di Software Assurance in data 1 aprile 2012 o successiva (ma prima del 1 aprile 2015), per ogni server che una società ha ricevuto validamente in licenza in conformità ai diritti di utilizzo del prodotto previsti dalla licenza per processore SQL Server 2008 R2 Standard, la società potrà acquistare la copertura Software Assurance per le licenze core per SQL Server Standard senza dovere acquistare le licenze core sottostanti per un numero di licenze core pari alla somma di (a) e (b):</w:t>
      </w:r>
    </w:p>
    <w:p w:rsidR="00A81E83" w:rsidRPr="00451078" w:rsidRDefault="00A81E83" w:rsidP="00745AB3">
      <w:pPr>
        <w:numPr>
          <w:ilvl w:val="0"/>
          <w:numId w:val="116"/>
        </w:numPr>
        <w:tabs>
          <w:tab w:val="left" w:pos="1440"/>
        </w:tabs>
        <w:ind w:left="1440"/>
        <w:rPr>
          <w:lang w:val="it-IT"/>
        </w:rPr>
      </w:pPr>
      <w:r w:rsidRPr="00451078">
        <w:rPr>
          <w:rFonts w:eastAsia="Calibri" w:cs="Tahoma"/>
          <w:szCs w:val="18"/>
          <w:lang w:val="it-IT"/>
        </w:rPr>
        <w:t>un numero pari al numero minore delle licenze qualificanti cedute al server o al numero totale dei</w:t>
      </w:r>
      <w:r w:rsidR="00187E83" w:rsidRPr="00451078">
        <w:rPr>
          <w:rFonts w:eastAsia="Calibri" w:cs="Tahoma"/>
          <w:szCs w:val="18"/>
          <w:lang w:val="it-IT"/>
        </w:rPr>
        <w:t> </w:t>
      </w:r>
      <w:r w:rsidRPr="00451078">
        <w:rPr>
          <w:rFonts w:eastAsia="Calibri" w:cs="Tahoma"/>
          <w:szCs w:val="18"/>
          <w:lang w:val="it-IT"/>
        </w:rPr>
        <w:t xml:space="preserve">processori fisici sul server moltiplicato per il maggiore tra: </w:t>
      </w:r>
    </w:p>
    <w:p w:rsidR="00A81E83" w:rsidRPr="003410C7" w:rsidRDefault="00A81E83" w:rsidP="00745AB3">
      <w:pPr>
        <w:numPr>
          <w:ilvl w:val="0"/>
          <w:numId w:val="90"/>
        </w:numPr>
        <w:tabs>
          <w:tab w:val="left" w:pos="1800"/>
        </w:tabs>
        <w:ind w:left="1800"/>
      </w:pPr>
      <w:r w:rsidRPr="003410C7">
        <w:rPr>
          <w:rFonts w:eastAsia="Calibri" w:cs="Tahoma"/>
          <w:szCs w:val="18"/>
        </w:rPr>
        <w:t>quattro O</w:t>
      </w:r>
    </w:p>
    <w:p w:rsidR="00A81E83" w:rsidRPr="00451078" w:rsidRDefault="00A81E83" w:rsidP="00745AB3">
      <w:pPr>
        <w:numPr>
          <w:ilvl w:val="0"/>
          <w:numId w:val="90"/>
        </w:numPr>
        <w:tabs>
          <w:tab w:val="left" w:pos="1800"/>
        </w:tabs>
        <w:ind w:left="1800"/>
        <w:rPr>
          <w:lang w:val="it-IT"/>
        </w:rPr>
      </w:pPr>
      <w:r w:rsidRPr="00451078">
        <w:rPr>
          <w:rFonts w:eastAsia="Calibri" w:cs="Tahoma"/>
          <w:szCs w:val="18"/>
          <w:lang w:val="it-IT"/>
        </w:rPr>
        <w:t>il numero effettivo di core per processore fisico moltiplicato per il fattore core appropriato.</w:t>
      </w:r>
      <w:r w:rsidR="00082E1C" w:rsidRPr="00451078">
        <w:rPr>
          <w:rFonts w:eastAsia="Calibri" w:cs="Tahoma"/>
          <w:szCs w:val="18"/>
          <w:lang w:val="it-IT"/>
        </w:rPr>
        <w:t xml:space="preserve"> </w:t>
      </w:r>
      <w:r w:rsidRPr="00451078">
        <w:rPr>
          <w:rFonts w:eastAsia="Calibri" w:cs="Tahoma"/>
          <w:szCs w:val="18"/>
          <w:lang w:val="it-IT"/>
        </w:rPr>
        <w:t>(Nei</w:t>
      </w:r>
      <w:r w:rsidR="00187E83" w:rsidRPr="00451078">
        <w:rPr>
          <w:rFonts w:eastAsia="Calibri" w:cs="Tahoma"/>
          <w:szCs w:val="18"/>
          <w:lang w:val="it-IT"/>
        </w:rPr>
        <w:t> </w:t>
      </w:r>
      <w:r w:rsidRPr="00451078">
        <w:rPr>
          <w:rFonts w:eastAsia="Calibri" w:cs="Tahoma"/>
          <w:szCs w:val="18"/>
          <w:lang w:val="it-IT"/>
        </w:rPr>
        <w:t>casi in cui il numero effettivo di core per processore fisico superi quattro, le società dovranno conservare un record della configurazione del software SQL Server in esecuzione sul</w:t>
      </w:r>
      <w:r w:rsidR="00187E83" w:rsidRPr="00451078">
        <w:rPr>
          <w:rFonts w:eastAsia="Calibri" w:cs="Tahoma"/>
          <w:szCs w:val="18"/>
          <w:lang w:val="it-IT"/>
        </w:rPr>
        <w:t> </w:t>
      </w:r>
      <w:r w:rsidRPr="00451078">
        <w:rPr>
          <w:rFonts w:eastAsia="Calibri" w:cs="Tahoma"/>
          <w:szCs w:val="18"/>
          <w:lang w:val="it-IT"/>
        </w:rPr>
        <w:t>server (istanze con licenza in esecuzione negli ambienti del sistema operativo sul server con licenza) e l</w:t>
      </w:r>
      <w:r w:rsidR="0073727D">
        <w:rPr>
          <w:rFonts w:eastAsia="Calibri" w:cs="Tahoma"/>
          <w:szCs w:val="18"/>
          <w:lang w:val="it-IT"/>
        </w:rPr>
        <w:t>’</w:t>
      </w:r>
      <w:r w:rsidRPr="00451078">
        <w:rPr>
          <w:rFonts w:eastAsia="Calibri" w:cs="Tahoma"/>
          <w:szCs w:val="18"/>
          <w:lang w:val="it-IT"/>
        </w:rPr>
        <w:t xml:space="preserve">hardware fisico che supporta tale software appena prima del rinnovo di Software Assurance utilizzando lo strumento MAP di Microsoft o un software equivalente). </w:t>
      </w:r>
    </w:p>
    <w:p w:rsidR="00A81E83" w:rsidRPr="00451078" w:rsidRDefault="00A81E83" w:rsidP="00745AB3">
      <w:pPr>
        <w:numPr>
          <w:ilvl w:val="0"/>
          <w:numId w:val="116"/>
        </w:numPr>
        <w:tabs>
          <w:tab w:val="left" w:pos="1440"/>
        </w:tabs>
        <w:ind w:left="1440"/>
        <w:rPr>
          <w:lang w:val="it-IT"/>
        </w:rPr>
      </w:pPr>
      <w:r w:rsidRPr="00451078">
        <w:rPr>
          <w:rFonts w:eastAsia="Calibri" w:cs="Tahoma"/>
          <w:szCs w:val="18"/>
          <w:lang w:val="it-IT"/>
        </w:rPr>
        <w:t>un numero pari al numero di licenze qualificanti cedute al server oltre al numero effettivo di processori fisici sul server moltiplicato per quattro.</w:t>
      </w:r>
    </w:p>
    <w:p w:rsidR="000C03F3" w:rsidRPr="00451078" w:rsidRDefault="000C03F3" w:rsidP="000C03F3">
      <w:pPr>
        <w:tabs>
          <w:tab w:val="left" w:pos="1440"/>
        </w:tabs>
        <w:rPr>
          <w:lang w:val="it-IT"/>
        </w:rPr>
      </w:pPr>
    </w:p>
    <w:p w:rsidR="000C03F3" w:rsidRPr="00451078" w:rsidRDefault="00A81E83" w:rsidP="000C03F3">
      <w:pPr>
        <w:spacing w:after="60"/>
        <w:ind w:left="720"/>
        <w:rPr>
          <w:lang w:val="it-IT"/>
        </w:rPr>
      </w:pPr>
      <w:r w:rsidRPr="00451078">
        <w:rPr>
          <w:rFonts w:eastAsia="Calibri" w:cs="Tahoma"/>
          <w:b/>
          <w:szCs w:val="18"/>
          <w:lang w:val="it-IT"/>
        </w:rPr>
        <w:t>Primo Periodo di Rinnovo (in data 1 aprile 2015 o successiva)</w:t>
      </w:r>
    </w:p>
    <w:p w:rsidR="00A81E83" w:rsidRPr="00451078" w:rsidRDefault="00A81E83" w:rsidP="000C03F3">
      <w:pPr>
        <w:ind w:left="720"/>
        <w:rPr>
          <w:lang w:val="it-IT"/>
        </w:rPr>
      </w:pPr>
      <w:r w:rsidRPr="00451078">
        <w:rPr>
          <w:rFonts w:eastAsia="Calibri" w:cs="Tahoma"/>
          <w:color w:val="000000"/>
          <w:szCs w:val="18"/>
          <w:lang w:val="it-IT"/>
        </w:rPr>
        <w:lastRenderedPageBreak/>
        <w:t>Le società che rinnovano per la prima volta la copertura in data 1 aprile 2015</w:t>
      </w:r>
      <w:r w:rsidRPr="00451078">
        <w:rPr>
          <w:rFonts w:eastAsia="Calibri" w:cs="Tahoma"/>
          <w:szCs w:val="18"/>
          <w:lang w:val="it-IT"/>
        </w:rPr>
        <w:t xml:space="preserve"> potranno, per ogni server ottenuto in licenza in conformità ai diritti di utilizzo del prodotto previsti dalla licenza per processore SQL Server 2008 R2, acquistare la copertura Software Assurance come di seguito indicato:</w:t>
      </w:r>
    </w:p>
    <w:p w:rsidR="000C03F3" w:rsidRPr="00451078" w:rsidRDefault="000C03F3" w:rsidP="000C03F3">
      <w:pPr>
        <w:ind w:left="720"/>
        <w:rPr>
          <w:lang w:val="it-IT"/>
        </w:rPr>
      </w:pPr>
    </w:p>
    <w:p w:rsidR="00A81E83" w:rsidRPr="00451078" w:rsidRDefault="00A81E83" w:rsidP="00745AB3">
      <w:pPr>
        <w:numPr>
          <w:ilvl w:val="3"/>
          <w:numId w:val="91"/>
        </w:numPr>
        <w:tabs>
          <w:tab w:val="left" w:pos="1170"/>
        </w:tabs>
        <w:spacing w:after="60"/>
        <w:ind w:left="1440" w:hanging="360"/>
        <w:rPr>
          <w:lang w:val="it-IT"/>
        </w:rPr>
      </w:pPr>
      <w:r w:rsidRPr="00451078">
        <w:rPr>
          <w:rFonts w:eastAsia="Calibri" w:cs="Tahoma"/>
          <w:szCs w:val="18"/>
          <w:lang w:val="it-IT"/>
        </w:rPr>
        <w:t xml:space="preserve">come stabilito nel primo paragrafo di questa nota relativa al prodotto, le licenze acquistate prima del 1 aprile 2015 sono licenze qualificanti e le società potranno rinnovare la copertura Software Assurance in base alle condizioni riportate nel precedente Articolo </w:t>
      </w:r>
      <w:r w:rsidR="001A3EC5" w:rsidRPr="00451078">
        <w:rPr>
          <w:rFonts w:eastAsia="Calibri" w:cs="Tahoma"/>
          <w:szCs w:val="18"/>
          <w:lang w:val="it-IT"/>
        </w:rPr>
        <w:t>“</w:t>
      </w:r>
      <w:r w:rsidRPr="00451078">
        <w:rPr>
          <w:rFonts w:eastAsia="Calibri" w:cs="Tahoma"/>
          <w:szCs w:val="18"/>
          <w:lang w:val="it-IT"/>
        </w:rPr>
        <w:t>Primo Periodo di Rinnovo (prima del 1 aprile 2015)</w:t>
      </w:r>
      <w:r w:rsidR="001A3EC5" w:rsidRPr="00451078">
        <w:rPr>
          <w:rFonts w:eastAsia="Calibri" w:cs="Tahoma"/>
          <w:szCs w:val="18"/>
          <w:lang w:val="it-IT"/>
        </w:rPr>
        <w:t>”</w:t>
      </w:r>
      <w:r w:rsidRPr="00451078">
        <w:rPr>
          <w:rFonts w:eastAsia="Calibri" w:cs="Tahoma"/>
          <w:szCs w:val="18"/>
          <w:lang w:val="it-IT"/>
        </w:rPr>
        <w:t xml:space="preserve"> e </w:t>
      </w:r>
    </w:p>
    <w:p w:rsidR="00A81E83" w:rsidRPr="00451078" w:rsidRDefault="00A81E83" w:rsidP="00745AB3">
      <w:pPr>
        <w:numPr>
          <w:ilvl w:val="3"/>
          <w:numId w:val="91"/>
        </w:numPr>
        <w:tabs>
          <w:tab w:val="left" w:pos="1170"/>
        </w:tabs>
        <w:spacing w:after="60"/>
        <w:ind w:left="1440" w:hanging="360"/>
        <w:rPr>
          <w:lang w:val="it-IT"/>
        </w:rPr>
      </w:pPr>
      <w:r w:rsidRPr="00451078">
        <w:rPr>
          <w:rFonts w:eastAsia="Calibri" w:cs="Tahoma"/>
          <w:szCs w:val="18"/>
          <w:lang w:val="it-IT"/>
        </w:rPr>
        <w:t>per le licenze acquistate dopo il 1 aprile 2015 le società potranno rinnovare la copertura Software Assurance per quattro licenze core per SQL Server Standard senza dover acquistare le licenze core sottostanti per ogni licenza per processore per SQL Server 2008 R2 Workgroup. Per l</w:t>
      </w:r>
      <w:r w:rsidR="0073727D">
        <w:rPr>
          <w:rFonts w:eastAsia="Calibri" w:cs="Tahoma"/>
          <w:szCs w:val="18"/>
          <w:lang w:val="it-IT"/>
        </w:rPr>
        <w:t>’</w:t>
      </w:r>
      <w:r w:rsidRPr="00451078">
        <w:rPr>
          <w:rFonts w:eastAsia="Calibri" w:cs="Tahoma"/>
          <w:szCs w:val="18"/>
          <w:lang w:val="it-IT"/>
        </w:rPr>
        <w:t>utilizzo continuativo di SQL Server 2012 su processori che richiedono più di quattro licenze core per processore la società deve acquistare le licenze core aggiuntive.</w:t>
      </w:r>
    </w:p>
    <w:p w:rsidR="00A81E83" w:rsidRPr="00451078" w:rsidRDefault="00A81E83" w:rsidP="00745AB3">
      <w:pPr>
        <w:numPr>
          <w:ilvl w:val="0"/>
          <w:numId w:val="133"/>
        </w:numPr>
        <w:tabs>
          <w:tab w:val="left" w:pos="720"/>
          <w:tab w:val="left" w:pos="1170"/>
        </w:tabs>
        <w:spacing w:after="60"/>
        <w:rPr>
          <w:lang w:val="it-IT"/>
        </w:rPr>
      </w:pPr>
      <w:r w:rsidRPr="00451078">
        <w:rPr>
          <w:rFonts w:eastAsia="Calibri" w:cs="Tahoma"/>
          <w:szCs w:val="18"/>
          <w:lang w:val="it-IT"/>
        </w:rPr>
        <w:t>Le licenze per processore delle società non sono più valide se si acquista la copertura Software Assurance per licenze core ai sensi della presente offerta. L</w:t>
      </w:r>
      <w:r w:rsidR="0073727D">
        <w:rPr>
          <w:rFonts w:eastAsia="Calibri" w:cs="Tahoma"/>
          <w:szCs w:val="18"/>
          <w:lang w:val="it-IT"/>
        </w:rPr>
        <w:t>’</w:t>
      </w:r>
      <w:r w:rsidRPr="00451078">
        <w:rPr>
          <w:rFonts w:eastAsia="Calibri" w:cs="Tahoma"/>
          <w:szCs w:val="18"/>
          <w:lang w:val="it-IT"/>
        </w:rPr>
        <w:t>opzione di acquistare Software Assurance per le licenze core per SQL Server non è applicabile al rinnovo della copertura ai sensi dei programmi di sottoscrizione.</w:t>
      </w:r>
      <w:r w:rsidR="00082E1C" w:rsidRPr="00451078">
        <w:rPr>
          <w:rFonts w:eastAsia="Calibri" w:cs="Tahoma"/>
          <w:szCs w:val="18"/>
          <w:lang w:val="it-IT"/>
        </w:rPr>
        <w:t xml:space="preserve"> </w:t>
      </w:r>
    </w:p>
    <w:p w:rsidR="000C03F3" w:rsidRPr="00451078" w:rsidRDefault="000C03F3" w:rsidP="000C03F3">
      <w:pPr>
        <w:tabs>
          <w:tab w:val="left" w:pos="720"/>
        </w:tabs>
        <w:ind w:left="720"/>
        <w:rPr>
          <w:lang w:val="it-IT"/>
        </w:rPr>
      </w:pPr>
    </w:p>
    <w:p w:rsidR="000C03F3" w:rsidRPr="00451078" w:rsidRDefault="00A81E83" w:rsidP="000C03F3">
      <w:pPr>
        <w:tabs>
          <w:tab w:val="left" w:pos="720"/>
          <w:tab w:val="left" w:pos="1800"/>
        </w:tabs>
        <w:spacing w:after="60"/>
        <w:ind w:left="720"/>
        <w:rPr>
          <w:lang w:val="it-IT"/>
        </w:rPr>
      </w:pPr>
      <w:r w:rsidRPr="00451078">
        <w:rPr>
          <w:rFonts w:eastAsia="Calibri" w:cs="Tahoma"/>
          <w:b/>
          <w:szCs w:val="18"/>
          <w:lang w:val="it-IT"/>
        </w:rPr>
        <w:t>Per le Società con copertura Software Assurance in scadenza prima del 1 aprile 2015 che scelgono di non effettuare il rinnovo</w:t>
      </w:r>
    </w:p>
    <w:p w:rsidR="00A81E83" w:rsidRPr="00451078" w:rsidRDefault="00A81E83" w:rsidP="000C03F3">
      <w:pPr>
        <w:tabs>
          <w:tab w:val="left" w:pos="720"/>
          <w:tab w:val="left" w:pos="1800"/>
        </w:tabs>
        <w:ind w:left="720"/>
        <w:rPr>
          <w:lang w:val="it-IT"/>
        </w:rPr>
      </w:pPr>
      <w:r w:rsidRPr="00451078">
        <w:rPr>
          <w:rFonts w:eastAsia="Calibri" w:cs="Tahoma"/>
          <w:szCs w:val="18"/>
          <w:lang w:val="it-IT"/>
        </w:rPr>
        <w:t xml:space="preserve">Le società titolari di contratti Enterprise Subscription </w:t>
      </w:r>
      <w:r w:rsidRPr="00451078">
        <w:rPr>
          <w:rFonts w:cs="Tahoma"/>
          <w:bCs/>
          <w:color w:val="000000"/>
          <w:szCs w:val="18"/>
          <w:lang w:val="it-IT"/>
        </w:rPr>
        <w:t xml:space="preserve">e Open Value Subscription </w:t>
      </w:r>
      <w:r w:rsidRPr="00451078">
        <w:rPr>
          <w:rFonts w:eastAsia="Calibri" w:cs="Tahoma"/>
          <w:szCs w:val="18"/>
          <w:lang w:val="it-IT"/>
        </w:rPr>
        <w:t>con copertura in scadenza prima del 1 aprile 2015 che scelgono di effettuare il buy-out delle licenze per processore e altre società che acquistano licenze perpetue ai sensi del loro contratto e scelgono di non rinnovare Software Assurance potranno eseguire SQL Server 2008 R2 o SQL Server 2012 ai sensi di tali licenze come indicato sotto:</w:t>
      </w:r>
    </w:p>
    <w:p w:rsidR="000C03F3" w:rsidRPr="00451078" w:rsidRDefault="000C03F3" w:rsidP="000C03F3">
      <w:pPr>
        <w:tabs>
          <w:tab w:val="left" w:pos="720"/>
          <w:tab w:val="left" w:pos="1800"/>
        </w:tabs>
        <w:ind w:left="720"/>
        <w:rPr>
          <w:lang w:val="it-IT"/>
        </w:rPr>
      </w:pPr>
    </w:p>
    <w:p w:rsidR="00A81E83" w:rsidRPr="00451078" w:rsidRDefault="00A81E83" w:rsidP="00745AB3">
      <w:pPr>
        <w:numPr>
          <w:ilvl w:val="0"/>
          <w:numId w:val="57"/>
        </w:numPr>
        <w:tabs>
          <w:tab w:val="left" w:pos="1440"/>
        </w:tabs>
        <w:spacing w:after="60"/>
        <w:ind w:left="1440"/>
        <w:rPr>
          <w:lang w:val="it-IT"/>
        </w:rPr>
      </w:pPr>
      <w:r w:rsidRPr="00451078">
        <w:rPr>
          <w:rFonts w:eastAsia="Calibri" w:cs="Tahoma"/>
          <w:b/>
          <w:szCs w:val="18"/>
          <w:lang w:val="it-IT"/>
        </w:rPr>
        <w:t>SQL Server 2008 R2 Workgroup:</w:t>
      </w:r>
      <w:r w:rsidRPr="00451078">
        <w:rPr>
          <w:rFonts w:eastAsia="Calibri" w:cs="Tahoma"/>
          <w:szCs w:val="18"/>
          <w:lang w:val="it-IT"/>
        </w:rPr>
        <w:t xml:space="preserve"> l</w:t>
      </w:r>
      <w:r w:rsidR="0073727D">
        <w:rPr>
          <w:rFonts w:eastAsia="Calibri" w:cs="Tahoma"/>
          <w:szCs w:val="18"/>
          <w:lang w:val="it-IT"/>
        </w:rPr>
        <w:t>’</w:t>
      </w:r>
      <w:r w:rsidRPr="00451078">
        <w:rPr>
          <w:rFonts w:eastAsia="Calibri" w:cs="Tahoma"/>
          <w:szCs w:val="18"/>
          <w:lang w:val="it-IT"/>
        </w:rPr>
        <w:t>utilizzo continuativo di tale versione del software è soggetto ai diritti di utilizzo del prodotto previsti dalla licenza per processore SQL Server 2008 R2 Workgroup. Le società non disporranno più di diritti ai sensi della Mobilità delle Licenze all</w:t>
      </w:r>
      <w:r w:rsidR="0073727D">
        <w:rPr>
          <w:rFonts w:eastAsia="Calibri" w:cs="Tahoma"/>
          <w:szCs w:val="18"/>
          <w:lang w:val="it-IT"/>
        </w:rPr>
        <w:t>’</w:t>
      </w:r>
      <w:r w:rsidRPr="00451078">
        <w:rPr>
          <w:rFonts w:eastAsia="Calibri" w:cs="Tahoma"/>
          <w:szCs w:val="18"/>
          <w:lang w:val="it-IT"/>
        </w:rPr>
        <w:t xml:space="preserve">interno di Server Farm o della Mobilità delle Licenze tramite Software Assurance. </w:t>
      </w:r>
    </w:p>
    <w:p w:rsidR="00A81E83" w:rsidRPr="00451078" w:rsidRDefault="00A81E83" w:rsidP="00745AB3">
      <w:pPr>
        <w:numPr>
          <w:ilvl w:val="0"/>
          <w:numId w:val="57"/>
        </w:numPr>
        <w:tabs>
          <w:tab w:val="left" w:pos="1440"/>
        </w:tabs>
        <w:spacing w:after="60"/>
        <w:ind w:left="1440"/>
        <w:rPr>
          <w:lang w:val="it-IT"/>
        </w:rPr>
      </w:pPr>
      <w:r w:rsidRPr="00451078">
        <w:rPr>
          <w:rFonts w:eastAsia="Calibri" w:cs="Tahoma"/>
          <w:b/>
          <w:szCs w:val="18"/>
          <w:lang w:val="it-IT"/>
        </w:rPr>
        <w:t xml:space="preserve">SQL Server 2012 Standard Core: </w:t>
      </w:r>
      <w:r w:rsidRPr="00451078">
        <w:rPr>
          <w:rFonts w:eastAsia="Calibri" w:cs="Tahoma"/>
          <w:szCs w:val="18"/>
          <w:lang w:val="it-IT"/>
        </w:rPr>
        <w:t>l</w:t>
      </w:r>
      <w:r w:rsidR="0073727D">
        <w:rPr>
          <w:rFonts w:eastAsia="Calibri" w:cs="Tahoma"/>
          <w:szCs w:val="18"/>
          <w:lang w:val="it-IT"/>
        </w:rPr>
        <w:t>’</w:t>
      </w:r>
      <w:r w:rsidRPr="00451078">
        <w:rPr>
          <w:rFonts w:eastAsia="Calibri" w:cs="Tahoma"/>
          <w:szCs w:val="18"/>
          <w:lang w:val="it-IT"/>
        </w:rPr>
        <w:t xml:space="preserve">utilizzo di tale versione del software è soggetto ai diritti di utilizzo del prodotto previsti dalla licenza per processore SQL Server 2008 R2 Standard, tuttavia: </w:t>
      </w:r>
    </w:p>
    <w:p w:rsidR="00A81E83" w:rsidRPr="00451078" w:rsidRDefault="00A81E83" w:rsidP="00745AB3">
      <w:pPr>
        <w:numPr>
          <w:ilvl w:val="1"/>
          <w:numId w:val="57"/>
        </w:numPr>
        <w:tabs>
          <w:tab w:val="left" w:pos="1800"/>
        </w:tabs>
        <w:spacing w:after="60"/>
        <w:ind w:left="1800"/>
        <w:rPr>
          <w:lang w:val="it-IT"/>
        </w:rPr>
      </w:pPr>
      <w:r w:rsidRPr="00451078">
        <w:rPr>
          <w:rFonts w:eastAsia="Calibri" w:cs="Tahoma"/>
          <w:szCs w:val="18"/>
          <w:lang w:val="it-IT"/>
        </w:rPr>
        <w:t>le società non disporranno più di diritti ai sensi della Mobilità delle Licenze all</w:t>
      </w:r>
      <w:r w:rsidR="0073727D">
        <w:rPr>
          <w:rFonts w:eastAsia="Calibri" w:cs="Tahoma"/>
          <w:szCs w:val="18"/>
          <w:lang w:val="it-IT"/>
        </w:rPr>
        <w:t>’</w:t>
      </w:r>
      <w:r w:rsidRPr="00451078">
        <w:rPr>
          <w:rFonts w:eastAsia="Calibri" w:cs="Tahoma"/>
          <w:szCs w:val="18"/>
          <w:lang w:val="it-IT"/>
        </w:rPr>
        <w:t xml:space="preserve">interno di Server Farm o della Mobilità delle Licenze tramite Software Assurance e </w:t>
      </w:r>
    </w:p>
    <w:p w:rsidR="00A81E83" w:rsidRPr="00451078" w:rsidRDefault="00A81E83" w:rsidP="00745AB3">
      <w:pPr>
        <w:numPr>
          <w:ilvl w:val="1"/>
          <w:numId w:val="57"/>
        </w:numPr>
        <w:tabs>
          <w:tab w:val="left" w:pos="1800"/>
        </w:tabs>
        <w:spacing w:after="60"/>
        <w:ind w:left="1800"/>
        <w:rPr>
          <w:lang w:val="it-IT"/>
        </w:rPr>
      </w:pPr>
      <w:r w:rsidRPr="00451078">
        <w:rPr>
          <w:rFonts w:eastAsia="Calibri" w:cs="Tahoma"/>
          <w:szCs w:val="18"/>
          <w:lang w:val="it-IT"/>
        </w:rPr>
        <w:t>l</w:t>
      </w:r>
      <w:r w:rsidR="0073727D">
        <w:rPr>
          <w:rFonts w:eastAsia="Calibri" w:cs="Tahoma"/>
          <w:szCs w:val="18"/>
          <w:lang w:val="it-IT"/>
        </w:rPr>
        <w:t>’</w:t>
      </w:r>
      <w:r w:rsidRPr="00451078">
        <w:rPr>
          <w:rFonts w:eastAsia="Calibri" w:cs="Tahoma"/>
          <w:szCs w:val="18"/>
          <w:lang w:val="it-IT"/>
        </w:rPr>
        <w:t xml:space="preserve">eventuale riassegnazione di licenze è soggetta ai limiti indicati nei paragrafi (i) e (ii) che seguono relativi alla loro </w:t>
      </w:r>
      <w:r w:rsidR="001A3EC5" w:rsidRPr="00451078">
        <w:rPr>
          <w:rFonts w:eastAsia="Calibri" w:cs="Tahoma"/>
          <w:szCs w:val="18"/>
          <w:lang w:val="it-IT"/>
        </w:rPr>
        <w:t>“</w:t>
      </w:r>
      <w:r w:rsidRPr="00451078">
        <w:rPr>
          <w:rFonts w:eastAsia="Calibri" w:cs="Tahoma"/>
          <w:szCs w:val="18"/>
          <w:lang w:val="it-IT"/>
        </w:rPr>
        <w:t>equivalenza di licenze core</w:t>
      </w:r>
      <w:r w:rsidR="001A3EC5" w:rsidRPr="00451078">
        <w:rPr>
          <w:rFonts w:eastAsia="Calibri" w:cs="Tahoma"/>
          <w:szCs w:val="18"/>
          <w:lang w:val="it-IT"/>
        </w:rPr>
        <w:t>”</w:t>
      </w:r>
      <w:r w:rsidRPr="00451078">
        <w:rPr>
          <w:rFonts w:eastAsia="Calibri" w:cs="Tahoma"/>
          <w:szCs w:val="18"/>
          <w:lang w:val="it-IT"/>
        </w:rPr>
        <w:t>. L</w:t>
      </w:r>
      <w:r w:rsidR="0073727D">
        <w:rPr>
          <w:rFonts w:eastAsia="Calibri" w:cs="Tahoma"/>
          <w:szCs w:val="18"/>
          <w:lang w:val="it-IT"/>
        </w:rPr>
        <w:t>’</w:t>
      </w:r>
      <w:r w:rsidRPr="00451078">
        <w:rPr>
          <w:rFonts w:eastAsia="Calibri" w:cs="Tahoma"/>
          <w:szCs w:val="18"/>
          <w:lang w:val="it-IT"/>
        </w:rPr>
        <w:t xml:space="preserve">equivalenza di licenze core è determinata come di seguito riportato. </w:t>
      </w:r>
    </w:p>
    <w:p w:rsidR="00A81E83" w:rsidRPr="00451078" w:rsidRDefault="00A81E83" w:rsidP="00745AB3">
      <w:pPr>
        <w:numPr>
          <w:ilvl w:val="2"/>
          <w:numId w:val="57"/>
        </w:numPr>
        <w:tabs>
          <w:tab w:val="left" w:pos="2160"/>
        </w:tabs>
        <w:spacing w:after="60"/>
        <w:rPr>
          <w:lang w:val="it-IT"/>
        </w:rPr>
      </w:pPr>
      <w:r w:rsidRPr="00451078">
        <w:rPr>
          <w:rFonts w:eastAsia="Calibri" w:cs="Tahoma"/>
          <w:szCs w:val="18"/>
          <w:lang w:val="it-IT"/>
        </w:rPr>
        <w:t>Per un numero di licenze pari al numero inferiore tra (x) il numero totale di licenze per processore cedute a un server con licenza appena prima della scadenza di Software Assurance o (y) il numero totale di processori fisici su tale server, l</w:t>
      </w:r>
      <w:r w:rsidR="0073727D">
        <w:rPr>
          <w:rFonts w:eastAsia="Calibri" w:cs="Tahoma"/>
          <w:szCs w:val="18"/>
          <w:lang w:val="it-IT"/>
        </w:rPr>
        <w:t>’</w:t>
      </w:r>
      <w:r w:rsidRPr="00451078">
        <w:rPr>
          <w:rFonts w:eastAsia="Calibri" w:cs="Tahoma"/>
          <w:szCs w:val="18"/>
          <w:lang w:val="it-IT"/>
        </w:rPr>
        <w:t xml:space="preserve">equivalenza di licenze core è il numero maggiore tra: </w:t>
      </w:r>
    </w:p>
    <w:p w:rsidR="00A81E83" w:rsidRPr="00451078" w:rsidRDefault="00A81E83" w:rsidP="00745AB3">
      <w:pPr>
        <w:numPr>
          <w:ilvl w:val="4"/>
          <w:numId w:val="133"/>
        </w:numPr>
        <w:tabs>
          <w:tab w:val="left" w:pos="2520"/>
        </w:tabs>
        <w:spacing w:after="60"/>
        <w:ind w:left="2520"/>
        <w:rPr>
          <w:lang w:val="it-IT"/>
        </w:rPr>
      </w:pPr>
      <w:r w:rsidRPr="00451078">
        <w:rPr>
          <w:rFonts w:eastAsia="Calibri" w:cs="Tahoma"/>
          <w:szCs w:val="18"/>
          <w:lang w:val="it-IT"/>
        </w:rPr>
        <w:t xml:space="preserve">quattro core per licenza per processore O </w:t>
      </w:r>
    </w:p>
    <w:p w:rsidR="00A81E83" w:rsidRPr="00451078" w:rsidRDefault="00A81E83" w:rsidP="00745AB3">
      <w:pPr>
        <w:numPr>
          <w:ilvl w:val="4"/>
          <w:numId w:val="133"/>
        </w:numPr>
        <w:tabs>
          <w:tab w:val="left" w:pos="2520"/>
        </w:tabs>
        <w:spacing w:after="60"/>
        <w:ind w:left="2520"/>
        <w:rPr>
          <w:lang w:val="it-IT"/>
        </w:rPr>
      </w:pPr>
      <w:r w:rsidRPr="00451078">
        <w:rPr>
          <w:rFonts w:eastAsia="Calibri" w:cs="Tahoma"/>
          <w:szCs w:val="18"/>
          <w:lang w:val="it-IT"/>
        </w:rPr>
        <w:t>un numero di core per licenza per processore basato sul numero effettivo di core per processore fisico moltiplicato per il fattore core appropriato. (Nei casi in cui il numero effettivo di core per processore fisico superi quattro, le società dovranno conservare un record della configurazione del software SQL Server in esecuzione sul server (istanze con licenza in esecuzione negli ambienti del sistema operativo sul server con licenza) e l</w:t>
      </w:r>
      <w:r w:rsidR="0073727D">
        <w:rPr>
          <w:rFonts w:eastAsia="Calibri" w:cs="Tahoma"/>
          <w:szCs w:val="18"/>
          <w:lang w:val="it-IT"/>
        </w:rPr>
        <w:t>’</w:t>
      </w:r>
      <w:r w:rsidRPr="00451078">
        <w:rPr>
          <w:rFonts w:eastAsia="Calibri" w:cs="Tahoma"/>
          <w:szCs w:val="18"/>
          <w:lang w:val="it-IT"/>
        </w:rPr>
        <w:t xml:space="preserve">hardware fisico che supporta tale software appena prima della scadenza di Software Assurance utilizzando lo strumento MAP di Microsoft o un software equivalente). </w:t>
      </w:r>
    </w:p>
    <w:p w:rsidR="00A81E83" w:rsidRPr="00451078" w:rsidRDefault="00A81E83" w:rsidP="00745AB3">
      <w:pPr>
        <w:numPr>
          <w:ilvl w:val="1"/>
          <w:numId w:val="57"/>
        </w:numPr>
        <w:tabs>
          <w:tab w:val="left" w:pos="1800"/>
        </w:tabs>
        <w:spacing w:after="60"/>
        <w:ind w:left="1800"/>
        <w:rPr>
          <w:lang w:val="it-IT"/>
        </w:rPr>
      </w:pPr>
      <w:r w:rsidRPr="00451078">
        <w:rPr>
          <w:rFonts w:eastAsia="Calibri" w:cs="Tahoma"/>
          <w:szCs w:val="18"/>
          <w:lang w:val="it-IT"/>
        </w:rPr>
        <w:t>Per qualsiasi licenza per processore con la copertura Software Assurance in scadenza ceduta allo stesso server con licenza che ecceda il numero effettivo di processori fisici sul server, l</w:t>
      </w:r>
      <w:r w:rsidR="0073727D">
        <w:rPr>
          <w:rFonts w:eastAsia="Calibri" w:cs="Tahoma"/>
          <w:szCs w:val="18"/>
          <w:lang w:val="it-IT"/>
        </w:rPr>
        <w:t>’</w:t>
      </w:r>
      <w:r w:rsidRPr="00451078">
        <w:rPr>
          <w:rFonts w:eastAsia="Calibri" w:cs="Tahoma"/>
          <w:szCs w:val="18"/>
          <w:lang w:val="it-IT"/>
        </w:rPr>
        <w:t>equivalenza core è di quattro core per licenza per processore.</w:t>
      </w:r>
    </w:p>
    <w:p w:rsidR="00187E83" w:rsidRPr="00451078" w:rsidRDefault="00187E83" w:rsidP="00187E83">
      <w:pPr>
        <w:tabs>
          <w:tab w:val="left" w:pos="1800"/>
        </w:tabs>
        <w:spacing w:after="60"/>
        <w:ind w:left="1800"/>
        <w:rPr>
          <w:lang w:val="it-IT"/>
        </w:rPr>
      </w:pPr>
    </w:p>
    <w:p w:rsidR="00A81E83" w:rsidRPr="00451078" w:rsidRDefault="00A81E83" w:rsidP="00745AB3">
      <w:pPr>
        <w:numPr>
          <w:ilvl w:val="1"/>
          <w:numId w:val="57"/>
        </w:numPr>
        <w:tabs>
          <w:tab w:val="left" w:pos="1800"/>
        </w:tabs>
        <w:spacing w:after="60"/>
        <w:ind w:left="1800"/>
        <w:rPr>
          <w:spacing w:val="-2"/>
          <w:lang w:val="it-IT"/>
        </w:rPr>
      </w:pPr>
      <w:r w:rsidRPr="00451078">
        <w:rPr>
          <w:rFonts w:eastAsia="Calibri" w:cs="Tahoma"/>
          <w:spacing w:val="-2"/>
          <w:szCs w:val="18"/>
          <w:lang w:val="it-IT"/>
        </w:rPr>
        <w:t>Le società potranno riassegnare le licenze a un altro server. Tuttavia, qualora la società riassegni una licenza a un altro server, dovrà attenersi ai diritti sull</w:t>
      </w:r>
      <w:r w:rsidR="0073727D">
        <w:rPr>
          <w:rFonts w:eastAsia="Calibri" w:cs="Tahoma"/>
          <w:spacing w:val="-2"/>
          <w:szCs w:val="18"/>
          <w:lang w:val="it-IT"/>
        </w:rPr>
        <w:t>’</w:t>
      </w:r>
      <w:r w:rsidRPr="00451078">
        <w:rPr>
          <w:rFonts w:eastAsia="Calibri" w:cs="Tahoma"/>
          <w:spacing w:val="-2"/>
          <w:szCs w:val="18"/>
          <w:lang w:val="it-IT"/>
        </w:rPr>
        <w:t xml:space="preserve">utilizzo di SQL Server 2012. Quando </w:t>
      </w:r>
      <w:r w:rsidRPr="00451078">
        <w:rPr>
          <w:rFonts w:eastAsia="Calibri" w:cs="Tahoma"/>
          <w:spacing w:val="-2"/>
          <w:szCs w:val="18"/>
          <w:lang w:val="it-IT"/>
        </w:rPr>
        <w:lastRenderedPageBreak/>
        <w:t>cede licenze core a server ai sensi dei diritti sull</w:t>
      </w:r>
      <w:r w:rsidR="0073727D">
        <w:rPr>
          <w:rFonts w:eastAsia="Calibri" w:cs="Tahoma"/>
          <w:spacing w:val="-2"/>
          <w:szCs w:val="18"/>
          <w:lang w:val="it-IT"/>
        </w:rPr>
        <w:t>’</w:t>
      </w:r>
      <w:r w:rsidRPr="00451078">
        <w:rPr>
          <w:rFonts w:eastAsia="Calibri" w:cs="Tahoma"/>
          <w:spacing w:val="-2"/>
          <w:szCs w:val="18"/>
          <w:lang w:val="it-IT"/>
        </w:rPr>
        <w:t>utilizzo per SQL 2012, la società potrà combinare l</w:t>
      </w:r>
      <w:r w:rsidR="0073727D">
        <w:rPr>
          <w:rFonts w:eastAsia="Calibri" w:cs="Tahoma"/>
          <w:spacing w:val="-2"/>
          <w:szCs w:val="18"/>
          <w:lang w:val="it-IT"/>
        </w:rPr>
        <w:t>’</w:t>
      </w:r>
      <w:r w:rsidRPr="00451078">
        <w:rPr>
          <w:rFonts w:eastAsia="Calibri" w:cs="Tahoma"/>
          <w:spacing w:val="-2"/>
          <w:szCs w:val="18"/>
          <w:lang w:val="it-IT"/>
        </w:rPr>
        <w:t>equivalenza core delle licenze esistenti con le licenze core per SQL Server 2012 aggiuntive.</w:t>
      </w:r>
    </w:p>
    <w:p w:rsidR="00A81E83" w:rsidRPr="00451078" w:rsidRDefault="00A81E83" w:rsidP="00745AB3">
      <w:pPr>
        <w:numPr>
          <w:ilvl w:val="1"/>
          <w:numId w:val="57"/>
        </w:numPr>
        <w:tabs>
          <w:tab w:val="left" w:pos="1800"/>
        </w:tabs>
        <w:spacing w:after="60"/>
        <w:ind w:left="1800"/>
        <w:rPr>
          <w:lang w:val="it-IT"/>
        </w:rPr>
      </w:pPr>
      <w:r w:rsidRPr="00451078">
        <w:rPr>
          <w:rFonts w:eastAsia="Calibri" w:cs="Tahoma"/>
          <w:szCs w:val="18"/>
          <w:lang w:val="it-IT"/>
        </w:rPr>
        <w:t>L</w:t>
      </w:r>
      <w:r w:rsidR="0073727D">
        <w:rPr>
          <w:rFonts w:eastAsia="Calibri" w:cs="Tahoma"/>
          <w:szCs w:val="18"/>
          <w:lang w:val="it-IT"/>
        </w:rPr>
        <w:t>’</w:t>
      </w:r>
      <w:r w:rsidRPr="00451078">
        <w:rPr>
          <w:rFonts w:eastAsia="Calibri" w:cs="Tahoma"/>
          <w:szCs w:val="18"/>
          <w:lang w:val="it-IT"/>
        </w:rPr>
        <w:t>equivalenza di licenze core stimata delle società non implica che esse possano cedere una licenza singola per processore a core attraverso due o più processori.</w:t>
      </w:r>
    </w:p>
    <w:p w:rsidR="000C03F3" w:rsidRPr="00451078" w:rsidRDefault="000C03F3" w:rsidP="000C03F3">
      <w:pPr>
        <w:tabs>
          <w:tab w:val="left" w:pos="1800"/>
        </w:tabs>
        <w:spacing w:after="60"/>
        <w:rPr>
          <w:lang w:val="it-IT"/>
        </w:rPr>
      </w:pPr>
    </w:p>
    <w:p w:rsidR="000C03F3" w:rsidRPr="00451078" w:rsidRDefault="00A81E83" w:rsidP="000C03F3">
      <w:pPr>
        <w:tabs>
          <w:tab w:val="left" w:pos="720"/>
        </w:tabs>
        <w:spacing w:after="60"/>
        <w:ind w:left="720"/>
        <w:rPr>
          <w:lang w:val="it-IT"/>
        </w:rPr>
      </w:pPr>
      <w:r w:rsidRPr="00451078">
        <w:rPr>
          <w:rFonts w:eastAsia="Calibri" w:cs="Tahoma"/>
          <w:b/>
          <w:color w:val="000000"/>
          <w:szCs w:val="18"/>
          <w:lang w:val="it-IT"/>
        </w:rPr>
        <w:t>Per le Società con copertura Software Assurance in scadenza in data 1 aprile 2015 o successiva che scelgono di non effettuare il rinnovo</w:t>
      </w:r>
    </w:p>
    <w:p w:rsidR="00A81E83" w:rsidRPr="00451078" w:rsidRDefault="00A81E83" w:rsidP="000C03F3">
      <w:pPr>
        <w:tabs>
          <w:tab w:val="left" w:pos="720"/>
        </w:tabs>
        <w:ind w:left="720"/>
        <w:rPr>
          <w:lang w:val="it-IT"/>
        </w:rPr>
      </w:pPr>
      <w:r w:rsidRPr="00451078">
        <w:rPr>
          <w:rFonts w:eastAsia="Calibri" w:cs="Tahoma"/>
          <w:color w:val="000000"/>
          <w:szCs w:val="18"/>
          <w:lang w:val="it-IT"/>
        </w:rPr>
        <w:t xml:space="preserve">Alle società titolari di contratti Enterprise Subscription </w:t>
      </w:r>
      <w:r w:rsidRPr="00451078">
        <w:rPr>
          <w:rFonts w:cs="Tahoma"/>
          <w:bCs/>
          <w:color w:val="000000"/>
          <w:szCs w:val="18"/>
          <w:lang w:val="it-IT"/>
        </w:rPr>
        <w:t xml:space="preserve">e Open Value Subscription </w:t>
      </w:r>
      <w:r w:rsidRPr="00451078">
        <w:rPr>
          <w:rFonts w:eastAsia="Calibri" w:cs="Tahoma"/>
          <w:color w:val="000000"/>
          <w:szCs w:val="18"/>
          <w:lang w:val="it-IT"/>
        </w:rPr>
        <w:t xml:space="preserve">con copertura in scadenza in data 1 aprile 2015 o successiva che scelgono di effettuare il buy-out delle licenze per processore e alle altre società che acquistano licenze perpetue ai sensi del loro contratto verranno offerte le seguenti opzioni: </w:t>
      </w:r>
    </w:p>
    <w:p w:rsidR="000C03F3" w:rsidRPr="00451078" w:rsidRDefault="000C03F3" w:rsidP="000C03F3">
      <w:pPr>
        <w:tabs>
          <w:tab w:val="left" w:pos="720"/>
        </w:tabs>
        <w:ind w:left="720"/>
        <w:rPr>
          <w:lang w:val="it-IT"/>
        </w:rPr>
      </w:pPr>
    </w:p>
    <w:p w:rsidR="00A81E83" w:rsidRPr="00451078" w:rsidRDefault="00A81E83" w:rsidP="00745AB3">
      <w:pPr>
        <w:numPr>
          <w:ilvl w:val="2"/>
          <w:numId w:val="133"/>
        </w:numPr>
        <w:spacing w:after="60"/>
        <w:ind w:left="1440" w:hanging="360"/>
        <w:rPr>
          <w:lang w:val="it-IT"/>
        </w:rPr>
      </w:pPr>
      <w:r w:rsidRPr="00451078">
        <w:rPr>
          <w:rFonts w:eastAsia="Calibri" w:cs="Tahoma"/>
          <w:szCs w:val="18"/>
          <w:lang w:val="it-IT"/>
        </w:rPr>
        <w:t xml:space="preserve">come stabilito nel primo paragrafo di questa nota relativa al prodotto, le licenze acquistate prima del 1 aprile 2015 sono licenze qualificanti e le società potranno continuare a utilizzare SQL Server 2012 in base alle condizioni riportate nel precedente Articolo </w:t>
      </w:r>
      <w:r w:rsidR="001A3EC5" w:rsidRPr="00451078">
        <w:rPr>
          <w:rFonts w:eastAsia="Calibri" w:cs="Tahoma"/>
          <w:szCs w:val="18"/>
          <w:lang w:val="it-IT"/>
        </w:rPr>
        <w:t>“</w:t>
      </w:r>
      <w:r w:rsidRPr="00451078">
        <w:rPr>
          <w:rFonts w:eastAsia="Calibri" w:cs="Tahoma"/>
          <w:szCs w:val="18"/>
          <w:lang w:val="it-IT"/>
        </w:rPr>
        <w:t>Per le società con copertura Software Assurance in scadenza prima del 1 aprile 2015 che scelgono di non effettuare il rinnovo</w:t>
      </w:r>
      <w:r w:rsidR="001A3EC5" w:rsidRPr="00451078">
        <w:rPr>
          <w:rFonts w:eastAsia="Calibri" w:cs="Tahoma"/>
          <w:szCs w:val="18"/>
          <w:lang w:val="it-IT"/>
        </w:rPr>
        <w:t>”</w:t>
      </w:r>
      <w:r w:rsidRPr="00451078">
        <w:rPr>
          <w:rFonts w:eastAsia="Calibri" w:cs="Tahoma"/>
          <w:szCs w:val="18"/>
          <w:lang w:val="it-IT"/>
        </w:rPr>
        <w:t xml:space="preserve"> e </w:t>
      </w:r>
    </w:p>
    <w:p w:rsidR="00A81E83" w:rsidRPr="00451078" w:rsidRDefault="00A81E83" w:rsidP="00745AB3">
      <w:pPr>
        <w:numPr>
          <w:ilvl w:val="2"/>
          <w:numId w:val="133"/>
        </w:numPr>
        <w:spacing w:after="60"/>
        <w:ind w:left="1440" w:hanging="360"/>
        <w:rPr>
          <w:lang w:val="it-IT"/>
        </w:rPr>
      </w:pPr>
      <w:r w:rsidRPr="00451078">
        <w:rPr>
          <w:rFonts w:eastAsia="Calibri" w:cs="Tahoma"/>
          <w:color w:val="000000"/>
          <w:szCs w:val="18"/>
          <w:lang w:val="it-IT"/>
        </w:rPr>
        <w:t>per le licenze acquistate dopo il 1 aprile 2015 la licenza per processore delle società avrà un</w:t>
      </w:r>
      <w:r w:rsidR="0073727D">
        <w:rPr>
          <w:rFonts w:eastAsia="Calibri" w:cs="Tahoma"/>
          <w:color w:val="000000"/>
          <w:szCs w:val="18"/>
          <w:lang w:val="it-IT"/>
        </w:rPr>
        <w:t>’</w:t>
      </w:r>
      <w:r w:rsidRPr="00451078">
        <w:rPr>
          <w:rFonts w:eastAsia="Calibri" w:cs="Tahoma"/>
          <w:color w:val="000000"/>
          <w:szCs w:val="18"/>
          <w:lang w:val="it-IT"/>
        </w:rPr>
        <w:t>equivalenza core di quattro licenze core Standard per SQL Server 2012. Per l</w:t>
      </w:r>
      <w:r w:rsidR="0073727D">
        <w:rPr>
          <w:rFonts w:eastAsia="Calibri" w:cs="Tahoma"/>
          <w:color w:val="000000"/>
          <w:szCs w:val="18"/>
          <w:lang w:val="it-IT"/>
        </w:rPr>
        <w:t>’</w:t>
      </w:r>
      <w:r w:rsidRPr="00451078">
        <w:rPr>
          <w:rFonts w:eastAsia="Calibri" w:cs="Tahoma"/>
          <w:color w:val="000000"/>
          <w:szCs w:val="18"/>
          <w:lang w:val="it-IT"/>
        </w:rPr>
        <w:t>utilizzo continuativo di SQL Server 2012 su processori che richiedono più di quattro licenze core per processore la società deve acquistare le licenze core aggiuntive.</w:t>
      </w:r>
    </w:p>
    <w:p w:rsidR="000C03F3" w:rsidRPr="00451078" w:rsidRDefault="000C03F3" w:rsidP="000C03F3">
      <w:pPr>
        <w:rPr>
          <w:lang w:val="it-IT"/>
        </w:rPr>
      </w:pPr>
    </w:p>
    <w:p w:rsidR="000C03F3" w:rsidRPr="00451078" w:rsidRDefault="00A81E83" w:rsidP="000C03F3">
      <w:pPr>
        <w:pStyle w:val="ListParagraph"/>
        <w:tabs>
          <w:tab w:val="left" w:pos="720"/>
        </w:tabs>
        <w:spacing w:after="60"/>
        <w:contextualSpacing w:val="0"/>
        <w:rPr>
          <w:rFonts w:ascii="Tahoma" w:hAnsi="Tahoma" w:cs="Tahoma"/>
          <w:sz w:val="18"/>
          <w:szCs w:val="18"/>
          <w:lang w:val="it-IT"/>
        </w:rPr>
      </w:pPr>
      <w:r w:rsidRPr="00451078">
        <w:rPr>
          <w:rFonts w:ascii="Tahoma" w:hAnsi="Tahoma" w:cs="Tahoma"/>
          <w:b/>
          <w:color w:val="000000"/>
          <w:sz w:val="18"/>
          <w:szCs w:val="18"/>
          <w:lang w:val="it-IT"/>
        </w:rPr>
        <w:t>Per le società con sede nella Repubblica popolare</w:t>
      </w:r>
      <w:r w:rsidRPr="00451078">
        <w:rPr>
          <w:rFonts w:ascii="Tahoma" w:hAnsi="Tahoma" w:cs="Tahoma"/>
          <w:color w:val="000000"/>
          <w:sz w:val="18"/>
          <w:szCs w:val="18"/>
          <w:lang w:val="it-IT"/>
        </w:rPr>
        <w:t xml:space="preserve"> </w:t>
      </w:r>
      <w:r w:rsidRPr="00451078">
        <w:rPr>
          <w:rFonts w:ascii="Tahoma" w:hAnsi="Tahoma" w:cs="Tahoma"/>
          <w:b/>
          <w:color w:val="000000"/>
          <w:sz w:val="18"/>
          <w:szCs w:val="18"/>
          <w:lang w:val="it-IT"/>
        </w:rPr>
        <w:t>cinese, dove acquistano licenze per processore e Software Assurance per SQL Server 2008 R2</w:t>
      </w:r>
    </w:p>
    <w:p w:rsidR="00A81E83" w:rsidRPr="00451078" w:rsidRDefault="00A81E83" w:rsidP="000C03F3">
      <w:pPr>
        <w:pStyle w:val="ListParagraph"/>
        <w:tabs>
          <w:tab w:val="left" w:pos="720"/>
        </w:tabs>
        <w:contextualSpacing w:val="0"/>
        <w:rPr>
          <w:rFonts w:ascii="Tahoma" w:hAnsi="Tahoma" w:cs="Tahoma"/>
          <w:sz w:val="18"/>
          <w:szCs w:val="18"/>
          <w:lang w:val="it-IT"/>
        </w:rPr>
      </w:pPr>
      <w:r w:rsidRPr="00451078">
        <w:rPr>
          <w:rFonts w:ascii="Tahoma" w:hAnsi="Tahoma" w:cs="Tahoma"/>
          <w:color w:val="000000"/>
          <w:sz w:val="18"/>
          <w:szCs w:val="18"/>
          <w:lang w:val="it-IT"/>
        </w:rPr>
        <w:t>Non si applicano i riferimenti al 1 aprile 2012 e al 1 aprile 2015 presenti in questa nota relativa alla lista dei prodotti. Le date applicabili per queste società sarebbero rispettivamente il 1 luglio 2012 e il 1 luglio 2015.</w:t>
      </w:r>
    </w:p>
    <w:p w:rsidR="00A81E83" w:rsidRPr="00451078" w:rsidRDefault="00A81E83" w:rsidP="000C03F3">
      <w:pPr>
        <w:tabs>
          <w:tab w:val="left" w:pos="1080"/>
          <w:tab w:val="left" w:pos="1800"/>
        </w:tabs>
        <w:rPr>
          <w:lang w:val="it-IT"/>
        </w:rPr>
      </w:pPr>
      <w:bookmarkStart w:id="1397" w:name="Srv_87SQLServer2012Developer"/>
    </w:p>
    <w:p w:rsidR="00BE30E6" w:rsidRDefault="00BE30E6" w:rsidP="000C03F3">
      <w:pPr>
        <w:tabs>
          <w:tab w:val="left" w:pos="1080"/>
          <w:tab w:val="left" w:pos="1800"/>
        </w:tabs>
        <w:rPr>
          <w:lang w:val="it-IT"/>
        </w:rPr>
      </w:pPr>
    </w:p>
    <w:p w:rsidR="004F09FE" w:rsidRPr="00451078" w:rsidRDefault="004F09FE" w:rsidP="000C03F3">
      <w:pPr>
        <w:tabs>
          <w:tab w:val="left" w:pos="1080"/>
          <w:tab w:val="left" w:pos="1800"/>
        </w:tabs>
        <w:rPr>
          <w:lang w:val="it-IT"/>
        </w:rPr>
      </w:pPr>
    </w:p>
    <w:p w:rsidR="00A81E83" w:rsidRPr="00451078" w:rsidRDefault="0099402E" w:rsidP="00EF5637">
      <w:pPr>
        <w:pStyle w:val="Heading3"/>
        <w:rPr>
          <w:lang w:val="it-IT"/>
        </w:rPr>
      </w:pPr>
      <w:bookmarkStart w:id="1398" w:name="_80_78_SQL"/>
      <w:bookmarkStart w:id="1399" w:name="_Toc336338345"/>
      <w:bookmarkStart w:id="1400" w:name="_Toc352234931"/>
      <w:bookmarkEnd w:id="1398"/>
      <w:r w:rsidRPr="00451078">
        <w:rPr>
          <w:rFonts w:ascii="Tahoma" w:hAnsi="Tahoma"/>
          <w:color w:val="F66400"/>
          <w:sz w:val="22"/>
          <w:vertAlign w:val="superscript"/>
          <w:lang w:val="it-IT"/>
        </w:rPr>
        <w:t>78</w:t>
      </w:r>
      <w:r w:rsidRPr="00451078">
        <w:rPr>
          <w:rFonts w:ascii="Tahoma" w:hAnsi="Tahoma"/>
          <w:color w:val="F66400"/>
          <w:sz w:val="22"/>
          <w:lang w:val="it-IT"/>
        </w:rPr>
        <w:t xml:space="preserve"> SQL Server</w:t>
      </w:r>
      <w:r w:rsidR="003410C7" w:rsidRPr="00451078">
        <w:rPr>
          <w:rFonts w:ascii="Tahoma" w:hAnsi="Tahoma"/>
          <w:color w:val="F66400"/>
          <w:sz w:val="22"/>
          <w:vertAlign w:val="superscript"/>
          <w:lang w:val="it-IT"/>
        </w:rPr>
        <w:t>®</w:t>
      </w:r>
      <w:r w:rsidRPr="00451078">
        <w:rPr>
          <w:rFonts w:ascii="Tahoma" w:hAnsi="Tahoma"/>
          <w:color w:val="F66400"/>
          <w:sz w:val="22"/>
          <w:lang w:val="it-IT"/>
        </w:rPr>
        <w:t xml:space="preserve"> 2012 Developer</w:t>
      </w:r>
      <w:bookmarkEnd w:id="1399"/>
      <w:bookmarkEnd w:id="1400"/>
    </w:p>
    <w:bookmarkEnd w:id="1397"/>
    <w:p w:rsidR="00A81E83" w:rsidRPr="00451078" w:rsidRDefault="00A81E83" w:rsidP="00EF5637">
      <w:pPr>
        <w:rPr>
          <w:lang w:val="it-IT"/>
        </w:rPr>
      </w:pPr>
    </w:p>
    <w:p w:rsidR="000C03F3" w:rsidRPr="00451078" w:rsidRDefault="00A81E83" w:rsidP="000C03F3">
      <w:pPr>
        <w:spacing w:after="60"/>
        <w:ind w:left="720"/>
        <w:rPr>
          <w:lang w:val="it-IT"/>
        </w:rPr>
      </w:pPr>
      <w:r w:rsidRPr="00451078">
        <w:rPr>
          <w:b/>
          <w:color w:val="000000"/>
          <w:szCs w:val="18"/>
          <w:lang w:val="it-IT"/>
        </w:rPr>
        <w:t>Comunicazione Importante</w:t>
      </w:r>
    </w:p>
    <w:p w:rsidR="00A81E83" w:rsidRPr="00FB171C" w:rsidRDefault="00A81E83" w:rsidP="00FB171C">
      <w:pPr>
        <w:ind w:left="720"/>
        <w:rPr>
          <w:lang w:val="it-IT"/>
        </w:rPr>
      </w:pPr>
      <w:r w:rsidRPr="00FB171C">
        <w:rPr>
          <w:color w:val="000000"/>
          <w:szCs w:val="18"/>
          <w:lang w:val="it-IT"/>
        </w:rPr>
        <w:t>Aggiornamenti Automatici di SQL Server 2008, SQL Server 2005 e SQL Server 2000. Qualora questo software sia installato su server o dispositivi che eseguono una qualunque delle versioni di SQL Server 2008,</w:t>
      </w:r>
      <w:r w:rsidR="00FB171C">
        <w:rPr>
          <w:color w:val="000000"/>
          <w:szCs w:val="18"/>
          <w:lang w:val="it-IT"/>
        </w:rPr>
        <w:t> </w:t>
      </w:r>
      <w:r w:rsidRPr="00FB171C">
        <w:rPr>
          <w:color w:val="000000"/>
          <w:szCs w:val="18"/>
          <w:lang w:val="it-IT"/>
        </w:rPr>
        <w:t>SQL Server 2005 o SQL Server 2000 (o componenti di esse), il software aggiornerà e sostituirà automaticamente alcuni file o funzionalità presenti in tali versioni con file del software.</w:t>
      </w:r>
      <w:r w:rsidR="00082E1C" w:rsidRPr="00FB171C">
        <w:rPr>
          <w:color w:val="000000"/>
          <w:szCs w:val="18"/>
          <w:lang w:val="it-IT"/>
        </w:rPr>
        <w:t xml:space="preserve"> </w:t>
      </w:r>
      <w:r w:rsidRPr="00FB171C">
        <w:rPr>
          <w:color w:val="000000"/>
          <w:szCs w:val="18"/>
          <w:lang w:val="it-IT"/>
        </w:rPr>
        <w:t>Questa funzionalità non può essere disattivata.</w:t>
      </w:r>
      <w:r w:rsidR="00082E1C" w:rsidRPr="00FB171C">
        <w:rPr>
          <w:color w:val="000000"/>
          <w:szCs w:val="18"/>
          <w:lang w:val="it-IT"/>
        </w:rPr>
        <w:t xml:space="preserve"> </w:t>
      </w:r>
      <w:r w:rsidRPr="00FB171C">
        <w:rPr>
          <w:color w:val="000000"/>
          <w:szCs w:val="18"/>
          <w:lang w:val="it-IT"/>
        </w:rPr>
        <w:t>Non sarà possibile rimuovere i file aggiornati né recuperare i file originali.</w:t>
      </w:r>
      <w:r w:rsidR="00082E1C" w:rsidRPr="00FB171C">
        <w:rPr>
          <w:color w:val="000000"/>
          <w:szCs w:val="18"/>
          <w:lang w:val="it-IT"/>
        </w:rPr>
        <w:t xml:space="preserve"> </w:t>
      </w:r>
      <w:r w:rsidRPr="00FB171C">
        <w:rPr>
          <w:color w:val="000000"/>
          <w:szCs w:val="18"/>
          <w:lang w:val="it-IT"/>
        </w:rPr>
        <w:t>L</w:t>
      </w:r>
      <w:r w:rsidR="0073727D">
        <w:rPr>
          <w:color w:val="000000"/>
          <w:szCs w:val="18"/>
          <w:lang w:val="it-IT"/>
        </w:rPr>
        <w:t>’</w:t>
      </w:r>
      <w:r w:rsidRPr="00FB171C">
        <w:rPr>
          <w:color w:val="000000"/>
          <w:szCs w:val="18"/>
          <w:lang w:val="it-IT"/>
        </w:rPr>
        <w:t>installazione di questo software su un server o su un dispositivo che esegue una qualunque delle versioni</w:t>
      </w:r>
      <w:r w:rsidR="00187E83" w:rsidRPr="00FB171C">
        <w:rPr>
          <w:color w:val="000000"/>
          <w:szCs w:val="18"/>
          <w:lang w:val="it-IT"/>
        </w:rPr>
        <w:t> </w:t>
      </w:r>
      <w:r w:rsidRPr="00FB171C">
        <w:rPr>
          <w:color w:val="000000"/>
          <w:szCs w:val="18"/>
          <w:lang w:val="it-IT"/>
        </w:rPr>
        <w:t>di SQL Server 2008, SQL Server 2005 o SQL Server 2000 costituisce accettazione implicita di tali aggiornamenti per tutte le versioni e le copie di SQL Server (inclusi componenti di esse) che sono eseguite su tale server o dispositivo.</w:t>
      </w:r>
      <w:r w:rsidR="00082E1C" w:rsidRPr="00FB171C">
        <w:rPr>
          <w:color w:val="000000"/>
          <w:szCs w:val="18"/>
          <w:lang w:val="it-IT"/>
        </w:rPr>
        <w:t xml:space="preserve"> </w:t>
      </w:r>
    </w:p>
    <w:p w:rsidR="00A81E83" w:rsidRPr="00451078" w:rsidRDefault="00A81E83" w:rsidP="00EF5637">
      <w:pPr>
        <w:ind w:left="720"/>
        <w:rPr>
          <w:lang w:val="it-IT"/>
        </w:rPr>
      </w:pPr>
    </w:p>
    <w:p w:rsidR="00155B9B" w:rsidRPr="00451078" w:rsidRDefault="00155B9B" w:rsidP="00EF5637">
      <w:pPr>
        <w:ind w:left="720"/>
        <w:rPr>
          <w:lang w:val="it-IT"/>
        </w:rPr>
      </w:pPr>
    </w:p>
    <w:p w:rsidR="00A81E83" w:rsidRPr="00451078" w:rsidRDefault="0099402E" w:rsidP="00EF5637">
      <w:pPr>
        <w:pStyle w:val="Heading3"/>
        <w:rPr>
          <w:lang w:val="it-IT"/>
        </w:rPr>
      </w:pPr>
      <w:bookmarkStart w:id="1401" w:name="_81_79_SQL"/>
      <w:bookmarkStart w:id="1402" w:name="_Toc336338346"/>
      <w:bookmarkStart w:id="1403" w:name="_Toc352234932"/>
      <w:bookmarkStart w:id="1404" w:name="Srv_88SQLServer2012Enterprise"/>
      <w:bookmarkEnd w:id="1401"/>
      <w:r w:rsidRPr="00451078">
        <w:rPr>
          <w:rFonts w:ascii="Tahoma" w:hAnsi="Tahoma"/>
          <w:color w:val="F66400"/>
          <w:sz w:val="22"/>
          <w:vertAlign w:val="superscript"/>
          <w:lang w:val="it-IT"/>
        </w:rPr>
        <w:t>79</w:t>
      </w:r>
      <w:r w:rsidRPr="00451078">
        <w:rPr>
          <w:rFonts w:ascii="Tahoma" w:hAnsi="Tahoma"/>
          <w:color w:val="F66400"/>
          <w:sz w:val="22"/>
          <w:lang w:val="it-IT"/>
        </w:rPr>
        <w:t xml:space="preserve"> SQL Server</w:t>
      </w:r>
      <w:r w:rsidR="003410C7" w:rsidRPr="00451078">
        <w:rPr>
          <w:rFonts w:ascii="Tahoma" w:hAnsi="Tahoma"/>
          <w:color w:val="F66400"/>
          <w:sz w:val="22"/>
          <w:vertAlign w:val="superscript"/>
          <w:lang w:val="it-IT"/>
        </w:rPr>
        <w:t>®</w:t>
      </w:r>
      <w:r w:rsidRPr="00451078">
        <w:rPr>
          <w:rFonts w:ascii="Tahoma" w:hAnsi="Tahoma"/>
          <w:color w:val="F66400"/>
          <w:sz w:val="22"/>
          <w:lang w:val="it-IT"/>
        </w:rPr>
        <w:t xml:space="preserve"> 2012 Enterprise</w:t>
      </w:r>
      <w:bookmarkEnd w:id="1402"/>
      <w:bookmarkEnd w:id="1403"/>
    </w:p>
    <w:bookmarkEnd w:id="1404"/>
    <w:p w:rsidR="00A81E83" w:rsidRPr="00451078" w:rsidRDefault="00A81E83" w:rsidP="00C321B6">
      <w:pPr>
        <w:rPr>
          <w:lang w:val="it-IT"/>
        </w:rPr>
      </w:pPr>
    </w:p>
    <w:p w:rsidR="00A81E83" w:rsidRPr="00451078" w:rsidRDefault="00A81E83" w:rsidP="00C321B6">
      <w:pPr>
        <w:ind w:left="720"/>
        <w:rPr>
          <w:lang w:val="it-IT"/>
        </w:rPr>
      </w:pPr>
      <w:r w:rsidRPr="00451078">
        <w:rPr>
          <w:rFonts w:eastAsia="Calibri" w:cs="Tahoma"/>
          <w:color w:val="000000"/>
          <w:szCs w:val="18"/>
          <w:lang w:val="it-IT"/>
        </w:rPr>
        <w:t>SQL Server 2012 Enterprise è la versione successiva di SQL Server Enterprise e la licenza CAL per SQL Server 2012 è la versione successiva della licenza CAL per SQL Server.</w:t>
      </w:r>
    </w:p>
    <w:p w:rsidR="00C321B6" w:rsidRPr="00451078" w:rsidRDefault="00C321B6" w:rsidP="00C321B6">
      <w:pPr>
        <w:ind w:left="720"/>
        <w:rPr>
          <w:lang w:val="it-IT"/>
        </w:rPr>
      </w:pPr>
    </w:p>
    <w:p w:rsidR="00C321B6" w:rsidRPr="00451078" w:rsidRDefault="00A81E83" w:rsidP="00C321B6">
      <w:pPr>
        <w:spacing w:after="60"/>
        <w:ind w:left="720"/>
        <w:rPr>
          <w:lang w:val="it-IT"/>
        </w:rPr>
      </w:pPr>
      <w:r w:rsidRPr="00451078">
        <w:rPr>
          <w:rFonts w:eastAsia="Calibri" w:cs="Tahoma"/>
          <w:b/>
          <w:color w:val="000000"/>
          <w:szCs w:val="18"/>
          <w:lang w:val="it-IT"/>
        </w:rPr>
        <w:t>Società Titolari di Licenze CAL/Server per SQL Server Enterprise - Opzione Speciale di Rinnovo di Software Assurance</w:t>
      </w:r>
    </w:p>
    <w:p w:rsidR="00A81E83" w:rsidRPr="00451078" w:rsidRDefault="00A81E83" w:rsidP="00C321B6">
      <w:pPr>
        <w:ind w:left="720"/>
        <w:rPr>
          <w:lang w:val="it-IT"/>
        </w:rPr>
      </w:pPr>
      <w:r w:rsidRPr="00451078">
        <w:rPr>
          <w:rFonts w:eastAsia="Calibri"/>
          <w:color w:val="000000"/>
          <w:szCs w:val="18"/>
          <w:lang w:val="it-IT"/>
        </w:rPr>
        <w:t>Le società con copertura Software Assurance attiva per le licenze CAL/Server per SQL Server Enterprise alla</w:t>
      </w:r>
      <w:r w:rsidR="00187E83" w:rsidRPr="00451078">
        <w:rPr>
          <w:rFonts w:eastAsia="Calibri"/>
          <w:color w:val="000000"/>
          <w:szCs w:val="18"/>
          <w:lang w:val="it-IT"/>
        </w:rPr>
        <w:t> </w:t>
      </w:r>
      <w:r w:rsidRPr="00451078">
        <w:rPr>
          <w:rFonts w:eastAsia="Calibri"/>
          <w:color w:val="000000"/>
          <w:szCs w:val="18"/>
          <w:lang w:val="it-IT"/>
        </w:rPr>
        <w:t>data del 1 aprile 2012 potranno, in alternativa al rinnovo della loro copertura per Enterprise, acquistare Software Assurance per un numero uguale di licenze per SQL Server 2012 Business Intelligence senza dovere acquistare le licenze sottostanti.</w:t>
      </w:r>
      <w:r w:rsidR="00082E1C" w:rsidRPr="00451078">
        <w:rPr>
          <w:rFonts w:eastAsia="Calibri"/>
          <w:color w:val="000000"/>
          <w:szCs w:val="18"/>
          <w:lang w:val="it-IT"/>
        </w:rPr>
        <w:t xml:space="preserve"> </w:t>
      </w:r>
      <w:r w:rsidRPr="00451078">
        <w:rPr>
          <w:rFonts w:eastAsia="Calibri"/>
          <w:color w:val="000000"/>
          <w:szCs w:val="18"/>
          <w:lang w:val="it-IT"/>
        </w:rPr>
        <w:t>Acquistando Software Assurance per SQL Server 2012 Business Intelligence in base alla presente offerta, le società non potranno più utilizzare SQL Server Enterprise ai sensi delle relative licenze qualificanti.</w:t>
      </w:r>
      <w:r w:rsidR="00082E1C" w:rsidRPr="00451078">
        <w:rPr>
          <w:rFonts w:eastAsia="Calibri"/>
          <w:color w:val="000000"/>
          <w:szCs w:val="18"/>
          <w:lang w:val="it-IT"/>
        </w:rPr>
        <w:t xml:space="preserve"> </w:t>
      </w:r>
      <w:r w:rsidRPr="00451078">
        <w:rPr>
          <w:rFonts w:eastAsia="Calibri"/>
          <w:color w:val="000000"/>
          <w:szCs w:val="18"/>
          <w:lang w:val="it-IT"/>
        </w:rPr>
        <w:t>Le società che acquistano Software Assurance per SQL Server Business Intelligence in base alla presente offerta non avranno inoltre la possibilità di ritornare alla copertura SQL Server Enterprise per le loro licenze SQL Server Enterprise qualificanti.</w:t>
      </w:r>
    </w:p>
    <w:p w:rsidR="00C321B6" w:rsidRPr="00451078" w:rsidRDefault="00A81E83" w:rsidP="00C321B6">
      <w:pPr>
        <w:spacing w:after="60"/>
        <w:ind w:left="720"/>
        <w:rPr>
          <w:lang w:val="it-IT"/>
        </w:rPr>
      </w:pPr>
      <w:r w:rsidRPr="00451078">
        <w:rPr>
          <w:rFonts w:eastAsia="Calibri" w:cs="Tahoma"/>
          <w:b/>
          <w:color w:val="000000"/>
          <w:szCs w:val="18"/>
          <w:lang w:val="it-IT"/>
        </w:rPr>
        <w:t>Opzioni di Adempimento per SQL Server 2012</w:t>
      </w:r>
    </w:p>
    <w:p w:rsidR="00A81E83" w:rsidRPr="00451078" w:rsidRDefault="00A81E83" w:rsidP="00C321B6">
      <w:pPr>
        <w:ind w:left="720"/>
        <w:rPr>
          <w:lang w:val="it-IT"/>
        </w:rPr>
      </w:pPr>
      <w:r w:rsidRPr="00451078">
        <w:rPr>
          <w:rFonts w:eastAsia="Calibri" w:cs="Tahoma"/>
          <w:color w:val="000000"/>
          <w:szCs w:val="18"/>
          <w:lang w:val="it-IT"/>
        </w:rPr>
        <w:lastRenderedPageBreak/>
        <w:t>Le società potranno utilizzare solo il software che corrisponde al modello di licenza ai sensi del quale vengono acquistate le licenze per SQL Server.</w:t>
      </w:r>
      <w:r w:rsidR="00082E1C" w:rsidRPr="00451078">
        <w:rPr>
          <w:rFonts w:eastAsia="Calibri" w:cs="Tahoma"/>
          <w:color w:val="000000"/>
          <w:szCs w:val="18"/>
          <w:lang w:val="it-IT"/>
        </w:rPr>
        <w:t xml:space="preserve"> </w:t>
      </w:r>
    </w:p>
    <w:p w:rsidR="00C321B6" w:rsidRPr="00451078" w:rsidRDefault="00C321B6" w:rsidP="00C321B6">
      <w:pPr>
        <w:ind w:left="720"/>
        <w:rPr>
          <w:lang w:val="it-IT"/>
        </w:rPr>
      </w:pPr>
    </w:p>
    <w:p w:rsidR="00C321B6" w:rsidRPr="00451078" w:rsidRDefault="00A81E83" w:rsidP="00C321B6">
      <w:pPr>
        <w:spacing w:after="60"/>
        <w:ind w:left="720"/>
        <w:rPr>
          <w:lang w:val="it-IT"/>
        </w:rPr>
      </w:pPr>
      <w:r w:rsidRPr="00451078">
        <w:rPr>
          <w:rFonts w:eastAsia="Calibri" w:cs="Tahoma"/>
          <w:b/>
          <w:color w:val="000000"/>
          <w:szCs w:val="18"/>
          <w:lang w:val="it-IT"/>
        </w:rPr>
        <w:t>Opzione Buy-out per SQL Server ai sensi di EAP</w:t>
      </w:r>
    </w:p>
    <w:p w:rsidR="00A81E83" w:rsidRPr="00451078" w:rsidRDefault="00A81E83" w:rsidP="00C321B6">
      <w:pPr>
        <w:ind w:left="720"/>
        <w:rPr>
          <w:lang w:val="it-IT"/>
        </w:rPr>
      </w:pPr>
      <w:r w:rsidRPr="00451078">
        <w:rPr>
          <w:rFonts w:eastAsia="Calibri" w:cs="Tahoma"/>
          <w:color w:val="000000"/>
          <w:szCs w:val="18"/>
          <w:lang w:val="it-IT"/>
        </w:rPr>
        <w:t>Le società avranno la possibilità di rinnovare Software Assurance per le licenze CAL/Server per SQL Server Enterprise dopo il 30 giugno 2012,</w:t>
      </w:r>
      <w:r w:rsidRPr="00451078">
        <w:rPr>
          <w:rFonts w:eastAsia="Calibri" w:cs="Tahoma"/>
          <w:b/>
          <w:bCs/>
          <w:color w:val="000000"/>
          <w:szCs w:val="18"/>
          <w:lang w:val="it-IT"/>
        </w:rPr>
        <w:t xml:space="preserve"> </w:t>
      </w:r>
      <w:r w:rsidRPr="00451078">
        <w:rPr>
          <w:rFonts w:eastAsia="Calibri" w:cs="Tahoma"/>
          <w:color w:val="000000"/>
          <w:szCs w:val="18"/>
          <w:lang w:val="it-IT"/>
        </w:rPr>
        <w:t>tuttavia la loro unica opzione buy-out al termine del periodo di validità dell</w:t>
      </w:r>
      <w:r w:rsidR="0073727D">
        <w:rPr>
          <w:rFonts w:eastAsia="Calibri" w:cs="Tahoma"/>
          <w:color w:val="000000"/>
          <w:szCs w:val="18"/>
          <w:lang w:val="it-IT"/>
        </w:rPr>
        <w:t>’</w:t>
      </w:r>
      <w:r w:rsidRPr="00451078">
        <w:rPr>
          <w:rFonts w:eastAsia="Calibri" w:cs="Tahoma"/>
          <w:color w:val="000000"/>
          <w:szCs w:val="18"/>
          <w:lang w:val="it-IT"/>
        </w:rPr>
        <w:t>iscrizione sarà per le licenze core.</w:t>
      </w:r>
    </w:p>
    <w:p w:rsidR="00C321B6" w:rsidRPr="00451078" w:rsidRDefault="00C321B6" w:rsidP="00C321B6">
      <w:pPr>
        <w:ind w:left="720"/>
        <w:rPr>
          <w:lang w:val="it-IT"/>
        </w:rPr>
      </w:pPr>
    </w:p>
    <w:p w:rsidR="00C321B6" w:rsidRPr="00451078" w:rsidRDefault="00A81E83" w:rsidP="00C321B6">
      <w:pPr>
        <w:spacing w:after="60"/>
        <w:ind w:left="720"/>
        <w:rPr>
          <w:lang w:val="it-IT"/>
        </w:rPr>
      </w:pPr>
      <w:r w:rsidRPr="00451078">
        <w:rPr>
          <w:rFonts w:eastAsia="Calibri" w:cs="Tahoma"/>
          <w:b/>
          <w:color w:val="000000"/>
          <w:szCs w:val="18"/>
          <w:lang w:val="it-IT"/>
        </w:rPr>
        <w:t>Utilizzo Continuativo di SQL Server 2008 R2 Enterprise</w:t>
      </w:r>
    </w:p>
    <w:p w:rsidR="00A81E83" w:rsidRPr="00451078" w:rsidRDefault="00A81E83" w:rsidP="00C321B6">
      <w:pPr>
        <w:ind w:left="720"/>
        <w:rPr>
          <w:lang w:val="it-IT"/>
        </w:rPr>
      </w:pPr>
      <w:r w:rsidRPr="00451078">
        <w:rPr>
          <w:rFonts w:eastAsia="Calibri" w:cs="Tahoma"/>
          <w:color w:val="000000"/>
          <w:szCs w:val="18"/>
          <w:lang w:val="it-IT"/>
        </w:rPr>
        <w:t>Le società con Software Assurance</w:t>
      </w:r>
      <w:r w:rsidRPr="00451078">
        <w:rPr>
          <w:rFonts w:eastAsia="Calibri" w:cs="Tahoma"/>
          <w:b/>
          <w:bCs/>
          <w:color w:val="000000"/>
          <w:szCs w:val="18"/>
          <w:lang w:val="it-IT"/>
        </w:rPr>
        <w:t xml:space="preserve"> </w:t>
      </w:r>
      <w:r w:rsidRPr="00451078">
        <w:rPr>
          <w:rFonts w:eastAsia="Calibri" w:cs="Tahoma"/>
          <w:color w:val="000000"/>
          <w:szCs w:val="18"/>
          <w:lang w:val="it-IT"/>
        </w:rPr>
        <w:t>che continuano a utilizzare SQL Server 2008 R2 Enterprise ai sensi di licenze acquistate in base al contratto o all</w:t>
      </w:r>
      <w:r w:rsidR="0073727D">
        <w:rPr>
          <w:rFonts w:eastAsia="Calibri" w:cs="Tahoma"/>
          <w:color w:val="000000"/>
          <w:szCs w:val="18"/>
          <w:lang w:val="it-IT"/>
        </w:rPr>
        <w:t>’</w:t>
      </w:r>
      <w:r w:rsidRPr="00451078">
        <w:rPr>
          <w:rFonts w:eastAsia="Calibri" w:cs="Tahoma"/>
          <w:color w:val="000000"/>
          <w:szCs w:val="18"/>
          <w:lang w:val="it-IT"/>
        </w:rPr>
        <w:t>iscrizione in vigore il 1 aprile 2012 potranno usare il software in conformità ai diritti sull</w:t>
      </w:r>
      <w:r w:rsidR="0073727D">
        <w:rPr>
          <w:rFonts w:eastAsia="Calibri" w:cs="Tahoma"/>
          <w:color w:val="000000"/>
          <w:szCs w:val="18"/>
          <w:lang w:val="it-IT"/>
        </w:rPr>
        <w:t>’</w:t>
      </w:r>
      <w:r w:rsidRPr="00451078">
        <w:rPr>
          <w:rFonts w:eastAsia="Calibri" w:cs="Tahoma"/>
          <w:color w:val="000000"/>
          <w:szCs w:val="18"/>
          <w:lang w:val="it-IT"/>
        </w:rPr>
        <w:t>utilizzo di SQL Server 2008 R2 Enterprise durante il periodo di validità corrente ed eventuali periodi di rinnovo.</w:t>
      </w:r>
      <w:r w:rsidR="00082E1C" w:rsidRPr="00451078">
        <w:rPr>
          <w:rFonts w:eastAsia="Calibri" w:cs="Tahoma"/>
          <w:color w:val="000000"/>
          <w:szCs w:val="18"/>
          <w:lang w:val="it-IT"/>
        </w:rPr>
        <w:t xml:space="preserve"> </w:t>
      </w:r>
      <w:r w:rsidRPr="00451078">
        <w:rPr>
          <w:rFonts w:eastAsia="Calibri" w:cs="Tahoma"/>
          <w:color w:val="000000"/>
          <w:szCs w:val="18"/>
          <w:lang w:val="it-IT"/>
        </w:rPr>
        <w:t>Le società che utilizzano SQL Server 2008 R2 Enterprise in conformità ai diritti di downgrade ai sensi di licenze acquistate dopo il rinnovo della copertura dovranno utilizzare il software in base ai diritti sull</w:t>
      </w:r>
      <w:r w:rsidR="0073727D">
        <w:rPr>
          <w:rFonts w:eastAsia="Calibri" w:cs="Tahoma"/>
          <w:color w:val="000000"/>
          <w:szCs w:val="18"/>
          <w:lang w:val="it-IT"/>
        </w:rPr>
        <w:t>’</w:t>
      </w:r>
      <w:r w:rsidRPr="00451078">
        <w:rPr>
          <w:rFonts w:eastAsia="Calibri" w:cs="Tahoma"/>
          <w:color w:val="000000"/>
          <w:szCs w:val="18"/>
          <w:lang w:val="it-IT"/>
        </w:rPr>
        <w:t>utilizzo per la versione ottenuta in licenza.</w:t>
      </w:r>
    </w:p>
    <w:p w:rsidR="00C321B6" w:rsidRPr="00451078" w:rsidRDefault="00C321B6" w:rsidP="00C321B6">
      <w:pPr>
        <w:ind w:left="720"/>
        <w:rPr>
          <w:lang w:val="it-IT"/>
        </w:rPr>
      </w:pPr>
    </w:p>
    <w:p w:rsidR="00C321B6" w:rsidRPr="00451078" w:rsidRDefault="00A81E83" w:rsidP="00C321B6">
      <w:pPr>
        <w:spacing w:after="60"/>
        <w:ind w:left="720"/>
        <w:rPr>
          <w:lang w:val="it-IT"/>
        </w:rPr>
      </w:pPr>
      <w:r w:rsidRPr="00451078">
        <w:rPr>
          <w:rFonts w:eastAsia="Calibri" w:cs="Tahoma"/>
          <w:b/>
          <w:color w:val="000000"/>
          <w:szCs w:val="18"/>
          <w:lang w:val="it-IT"/>
        </w:rPr>
        <w:t>Per le società con sede nella Repubblica popolare cinese, dove acquistano licenze e Software Assurance per SQL Server 2008 R2</w:t>
      </w:r>
    </w:p>
    <w:p w:rsidR="00A81E83" w:rsidRPr="00451078" w:rsidRDefault="00A81E83" w:rsidP="00C321B6">
      <w:pPr>
        <w:ind w:left="720"/>
        <w:rPr>
          <w:lang w:val="it-IT"/>
        </w:rPr>
      </w:pPr>
      <w:r w:rsidRPr="00451078">
        <w:rPr>
          <w:lang w:val="it-IT"/>
        </w:rPr>
        <w:t>Non si applicano i riferimenti al 1 aprile 2012 presenti in questa nota relativa alla lista dei prodotti. La data applicabile per queste società sarebbe il 1 luglio 2012.</w:t>
      </w:r>
    </w:p>
    <w:p w:rsidR="00A81E83" w:rsidRPr="00451078" w:rsidRDefault="00A81E83" w:rsidP="00C321B6">
      <w:pPr>
        <w:rPr>
          <w:lang w:val="it-IT"/>
        </w:rPr>
      </w:pPr>
    </w:p>
    <w:p w:rsidR="00A81E83" w:rsidRPr="00451078" w:rsidRDefault="00A81E83" w:rsidP="00C321B6">
      <w:pPr>
        <w:rPr>
          <w:lang w:val="it-IT"/>
        </w:rPr>
      </w:pPr>
    </w:p>
    <w:p w:rsidR="00A81E83" w:rsidRPr="00451078" w:rsidRDefault="00A7003F" w:rsidP="00EF5637">
      <w:pPr>
        <w:pStyle w:val="Heading3"/>
        <w:rPr>
          <w:lang w:val="it-IT"/>
        </w:rPr>
      </w:pPr>
      <w:bookmarkStart w:id="1405" w:name="_80_SQL_Server®"/>
      <w:bookmarkStart w:id="1406" w:name="_Toc336338347"/>
      <w:bookmarkStart w:id="1407" w:name="_Toc352234933"/>
      <w:bookmarkStart w:id="1408" w:name="Srv_89SQLServer2012EnterpriseCore"/>
      <w:bookmarkEnd w:id="1405"/>
      <w:r w:rsidRPr="00451078">
        <w:rPr>
          <w:rFonts w:ascii="Tahoma" w:hAnsi="Tahoma"/>
          <w:caps/>
          <w:color w:val="F66400"/>
          <w:sz w:val="22"/>
          <w:vertAlign w:val="superscript"/>
          <w:lang w:val="it-IT"/>
        </w:rPr>
        <w:t>80</w:t>
      </w:r>
      <w:r w:rsidRPr="00451078">
        <w:rPr>
          <w:rFonts w:ascii="Tahoma" w:hAnsi="Tahoma"/>
          <w:caps/>
          <w:color w:val="F66400"/>
          <w:sz w:val="22"/>
          <w:lang w:val="it-IT"/>
        </w:rPr>
        <w:t xml:space="preserve"> </w:t>
      </w:r>
      <w:r w:rsidRPr="00451078">
        <w:rPr>
          <w:rFonts w:ascii="Tahoma" w:hAnsi="Tahoma"/>
          <w:color w:val="F66400"/>
          <w:sz w:val="22"/>
          <w:lang w:val="it-IT"/>
        </w:rPr>
        <w:t>SQL Server</w:t>
      </w:r>
      <w:r w:rsidR="003410C7" w:rsidRPr="00451078">
        <w:rPr>
          <w:rFonts w:ascii="Tahoma" w:hAnsi="Tahoma"/>
          <w:color w:val="F66400"/>
          <w:sz w:val="22"/>
          <w:vertAlign w:val="superscript"/>
          <w:lang w:val="it-IT"/>
        </w:rPr>
        <w:t>®</w:t>
      </w:r>
      <w:r w:rsidRPr="00451078">
        <w:rPr>
          <w:rFonts w:ascii="Tahoma" w:hAnsi="Tahoma"/>
          <w:color w:val="F66400"/>
          <w:sz w:val="22"/>
          <w:lang w:val="it-IT"/>
        </w:rPr>
        <w:t xml:space="preserve"> 2012 Enterprise Core</w:t>
      </w:r>
      <w:bookmarkEnd w:id="1406"/>
      <w:bookmarkEnd w:id="1407"/>
    </w:p>
    <w:bookmarkEnd w:id="1408"/>
    <w:p w:rsidR="00A81E83" w:rsidRPr="00451078" w:rsidRDefault="00A81E83" w:rsidP="00C321B6">
      <w:pPr>
        <w:pStyle w:val="EndnoteText"/>
        <w:rPr>
          <w:lang w:val="it-IT"/>
        </w:rPr>
      </w:pPr>
    </w:p>
    <w:p w:rsidR="00C321B6" w:rsidRPr="00451078" w:rsidRDefault="00A81E83" w:rsidP="00C321B6">
      <w:pPr>
        <w:spacing w:after="60"/>
        <w:ind w:left="720"/>
        <w:rPr>
          <w:lang w:val="it-IT"/>
        </w:rPr>
      </w:pPr>
      <w:r w:rsidRPr="00451078">
        <w:rPr>
          <w:rFonts w:eastAsia="Calibri" w:cs="Tahoma"/>
          <w:b/>
          <w:color w:val="000000"/>
          <w:szCs w:val="18"/>
          <w:lang w:val="it-IT"/>
        </w:rPr>
        <w:t>Estensione dei Diritti sull</w:t>
      </w:r>
      <w:r w:rsidR="0073727D">
        <w:rPr>
          <w:rFonts w:eastAsia="Calibri" w:cs="Tahoma"/>
          <w:b/>
          <w:color w:val="000000"/>
          <w:szCs w:val="18"/>
          <w:lang w:val="it-IT"/>
        </w:rPr>
        <w:t>’</w:t>
      </w:r>
      <w:r w:rsidRPr="00451078">
        <w:rPr>
          <w:rFonts w:eastAsia="Calibri" w:cs="Tahoma"/>
          <w:b/>
          <w:color w:val="000000"/>
          <w:szCs w:val="18"/>
          <w:lang w:val="it-IT"/>
        </w:rPr>
        <w:t>Utilizzo per la Virtualizzazione Illimitata per SQL Server 2008 R2 Enterprise (per processore)</w:t>
      </w:r>
    </w:p>
    <w:p w:rsidR="00A81E83" w:rsidRPr="00451078" w:rsidRDefault="00A81E83" w:rsidP="00C321B6">
      <w:pPr>
        <w:ind w:left="720"/>
        <w:rPr>
          <w:lang w:val="it-IT"/>
        </w:rPr>
      </w:pPr>
      <w:r w:rsidRPr="00451078">
        <w:rPr>
          <w:rFonts w:eastAsia="Calibri" w:cs="Tahoma"/>
          <w:color w:val="000000"/>
          <w:szCs w:val="18"/>
          <w:lang w:val="it-IT"/>
        </w:rPr>
        <w:t>Nonostante eventuali disposizioni contrarie previste nei Diritti di Utilizzo del Prodotto o nelle versioni precedenti della Lista dei Prodotti, qualora una società abbia ottenuto in licenza tutti i processori fisici su un</w:t>
      </w:r>
      <w:r w:rsidR="00187E83" w:rsidRPr="00451078">
        <w:rPr>
          <w:rFonts w:eastAsia="Calibri" w:cs="Tahoma"/>
          <w:color w:val="000000"/>
          <w:szCs w:val="18"/>
          <w:lang w:val="it-IT"/>
        </w:rPr>
        <w:t> </w:t>
      </w:r>
      <w:r w:rsidRPr="00451078">
        <w:rPr>
          <w:rFonts w:eastAsia="Calibri" w:cs="Tahoma"/>
          <w:color w:val="000000"/>
          <w:szCs w:val="18"/>
          <w:lang w:val="it-IT"/>
        </w:rPr>
        <w:t>server con licenza e mantenga la copertura Software Assurance attiva su tali licenze, potrà continuare a</w:t>
      </w:r>
      <w:r w:rsidR="00187E83" w:rsidRPr="00451078">
        <w:rPr>
          <w:rFonts w:eastAsia="Calibri" w:cs="Tahoma"/>
          <w:color w:val="000000"/>
          <w:szCs w:val="18"/>
          <w:lang w:val="it-IT"/>
        </w:rPr>
        <w:t> </w:t>
      </w:r>
      <w:r w:rsidRPr="00451078">
        <w:rPr>
          <w:rFonts w:eastAsia="Calibri" w:cs="Tahoma"/>
          <w:color w:val="000000"/>
          <w:szCs w:val="18"/>
          <w:lang w:val="it-IT"/>
        </w:rPr>
        <w:t xml:space="preserve">eseguire il software server in un numero illimitato di ambienti del sistema operativo su quel server. </w:t>
      </w:r>
    </w:p>
    <w:p w:rsidR="00C321B6" w:rsidRPr="00451078" w:rsidRDefault="00C321B6" w:rsidP="00C321B6">
      <w:pPr>
        <w:ind w:left="720"/>
        <w:rPr>
          <w:lang w:val="it-IT"/>
        </w:rPr>
      </w:pPr>
    </w:p>
    <w:p w:rsidR="00C321B6" w:rsidRPr="00451078" w:rsidRDefault="00A81E83" w:rsidP="00C321B6">
      <w:pPr>
        <w:spacing w:after="60"/>
        <w:ind w:left="720"/>
        <w:rPr>
          <w:lang w:val="it-IT"/>
        </w:rPr>
      </w:pPr>
      <w:r w:rsidRPr="00451078">
        <w:rPr>
          <w:rFonts w:eastAsia="Calibri" w:cs="Tahoma"/>
          <w:b/>
          <w:color w:val="000000"/>
          <w:szCs w:val="18"/>
          <w:lang w:val="it-IT"/>
        </w:rPr>
        <w:t>Concessioni di Licenza Associate alla Variazione del Modello di Licenza</w:t>
      </w:r>
    </w:p>
    <w:p w:rsidR="00A81E83" w:rsidRPr="00451078" w:rsidRDefault="00A81E83" w:rsidP="00C321B6">
      <w:pPr>
        <w:ind w:left="720"/>
        <w:rPr>
          <w:lang w:val="it-IT"/>
        </w:rPr>
      </w:pPr>
      <w:r w:rsidRPr="00451078">
        <w:rPr>
          <w:rFonts w:eastAsia="Calibri" w:cs="Tahoma"/>
          <w:color w:val="000000"/>
          <w:szCs w:val="18"/>
          <w:lang w:val="it-IT"/>
        </w:rPr>
        <w:t>SQL Server 2008 R2 sarà l</w:t>
      </w:r>
      <w:r w:rsidR="0073727D">
        <w:rPr>
          <w:rFonts w:eastAsia="Calibri" w:cs="Tahoma"/>
          <w:color w:val="000000"/>
          <w:szCs w:val="18"/>
          <w:lang w:val="it-IT"/>
        </w:rPr>
        <w:t>’</w:t>
      </w:r>
      <w:r w:rsidRPr="00451078">
        <w:rPr>
          <w:rFonts w:eastAsia="Calibri" w:cs="Tahoma"/>
          <w:color w:val="000000"/>
          <w:szCs w:val="18"/>
          <w:lang w:val="it-IT"/>
        </w:rPr>
        <w:t>ultima versione di SQL Server concessa in licenza ai sensi del modello di licenza per processore.</w:t>
      </w:r>
      <w:r w:rsidR="00082E1C" w:rsidRPr="00451078">
        <w:rPr>
          <w:rFonts w:eastAsia="Calibri" w:cs="Tahoma"/>
          <w:color w:val="000000"/>
          <w:szCs w:val="18"/>
          <w:lang w:val="it-IT"/>
        </w:rPr>
        <w:t xml:space="preserve"> </w:t>
      </w:r>
      <w:r w:rsidRPr="00451078">
        <w:rPr>
          <w:rFonts w:eastAsia="Calibri" w:cs="Tahoma"/>
          <w:color w:val="000000"/>
          <w:szCs w:val="18"/>
          <w:lang w:val="it-IT"/>
        </w:rPr>
        <w:t>In via eccezionale, alle società con contratti multilicenza e copertura Software Assurance attiva per le licenze per processore per SQL Server 2008 R2 Enterprise in data 1 aprile 2012 (</w:t>
      </w:r>
      <w:r w:rsidR="001A3EC5" w:rsidRPr="00451078">
        <w:rPr>
          <w:rFonts w:eastAsia="Calibri" w:cs="Tahoma"/>
          <w:color w:val="000000"/>
          <w:szCs w:val="18"/>
          <w:lang w:val="it-IT"/>
        </w:rPr>
        <w:t>“</w:t>
      </w:r>
      <w:r w:rsidRPr="00451078">
        <w:rPr>
          <w:rFonts w:eastAsia="Calibri" w:cs="Tahoma"/>
          <w:color w:val="000000"/>
          <w:szCs w:val="18"/>
          <w:lang w:val="it-IT"/>
        </w:rPr>
        <w:t>licenze qualificanti</w:t>
      </w:r>
      <w:r w:rsidR="001A3EC5" w:rsidRPr="00451078">
        <w:rPr>
          <w:rFonts w:eastAsia="Calibri" w:cs="Tahoma"/>
          <w:color w:val="000000"/>
          <w:szCs w:val="18"/>
          <w:lang w:val="it-IT"/>
        </w:rPr>
        <w:t>”</w:t>
      </w:r>
      <w:r w:rsidRPr="00451078">
        <w:rPr>
          <w:rFonts w:eastAsia="Calibri" w:cs="Tahoma"/>
          <w:color w:val="000000"/>
          <w:szCs w:val="18"/>
          <w:lang w:val="it-IT"/>
        </w:rPr>
        <w:t xml:space="preserve">) vengono offerte le opzioni che seguono. Le licenze per processore per SQL Server 2008 R2 Enterprise </w:t>
      </w:r>
      <w:r w:rsidRPr="00451078">
        <w:rPr>
          <w:rFonts w:cs="Tahoma"/>
          <w:bCs/>
          <w:color w:val="000000"/>
          <w:szCs w:val="18"/>
          <w:lang w:val="it-IT"/>
        </w:rPr>
        <w:t>acquistate successivamente nello stesso periodo di validità dell</w:t>
      </w:r>
      <w:r w:rsidR="0073727D">
        <w:rPr>
          <w:rFonts w:cs="Tahoma"/>
          <w:bCs/>
          <w:color w:val="000000"/>
          <w:szCs w:val="18"/>
          <w:lang w:val="it-IT"/>
        </w:rPr>
        <w:t>’</w:t>
      </w:r>
      <w:r w:rsidRPr="00451078">
        <w:rPr>
          <w:rFonts w:cs="Tahoma"/>
          <w:bCs/>
          <w:color w:val="000000"/>
          <w:szCs w:val="18"/>
          <w:lang w:val="it-IT"/>
        </w:rPr>
        <w:t>iscrizione, ma prima del 1 aprile 2015 nell</w:t>
      </w:r>
      <w:r w:rsidR="0073727D">
        <w:rPr>
          <w:rFonts w:cs="Tahoma"/>
          <w:bCs/>
          <w:color w:val="000000"/>
          <w:szCs w:val="18"/>
          <w:lang w:val="it-IT"/>
        </w:rPr>
        <w:t>’</w:t>
      </w:r>
      <w:r w:rsidRPr="00451078">
        <w:rPr>
          <w:rFonts w:cs="Tahoma"/>
          <w:bCs/>
          <w:color w:val="000000"/>
          <w:szCs w:val="18"/>
          <w:lang w:val="it-IT"/>
        </w:rPr>
        <w:t>ambito di una procedura pianificata di true-up della società Enterprise, Enterprise Subscription, Open Value Subscription o EES, sono anch</w:t>
      </w:r>
      <w:r w:rsidR="0073727D">
        <w:rPr>
          <w:rFonts w:cs="Tahoma"/>
          <w:bCs/>
          <w:color w:val="000000"/>
          <w:szCs w:val="18"/>
          <w:lang w:val="it-IT"/>
        </w:rPr>
        <w:t>’</w:t>
      </w:r>
      <w:r w:rsidRPr="00451078">
        <w:rPr>
          <w:rFonts w:cs="Tahoma"/>
          <w:bCs/>
          <w:color w:val="000000"/>
          <w:szCs w:val="18"/>
          <w:lang w:val="it-IT"/>
        </w:rPr>
        <w:t>esse licenze qualificanti per gli scopi previsti da tali opzioni.</w:t>
      </w:r>
      <w:r w:rsidR="00082E1C" w:rsidRPr="00451078">
        <w:rPr>
          <w:rFonts w:cs="Tahoma"/>
          <w:bCs/>
          <w:color w:val="000000"/>
          <w:szCs w:val="18"/>
          <w:lang w:val="it-IT"/>
        </w:rPr>
        <w:t xml:space="preserve"> </w:t>
      </w:r>
      <w:r w:rsidRPr="00451078">
        <w:rPr>
          <w:rFonts w:cs="Tahoma"/>
          <w:bCs/>
          <w:color w:val="000000"/>
          <w:szCs w:val="18"/>
          <w:lang w:val="it-IT"/>
        </w:rPr>
        <w:t>Le licenze acquistate dopo il 1 aprile 2015, o in un periodo di validità dell</w:t>
      </w:r>
      <w:r w:rsidR="0073727D">
        <w:rPr>
          <w:rFonts w:cs="Tahoma"/>
          <w:bCs/>
          <w:color w:val="000000"/>
          <w:szCs w:val="18"/>
          <w:lang w:val="it-IT"/>
        </w:rPr>
        <w:t>’</w:t>
      </w:r>
      <w:r w:rsidRPr="00451078">
        <w:rPr>
          <w:rFonts w:cs="Tahoma"/>
          <w:bCs/>
          <w:color w:val="000000"/>
          <w:szCs w:val="18"/>
          <w:lang w:val="it-IT"/>
        </w:rPr>
        <w:t>iscrizione successivo, ai sensi di un contratto distinto o di un</w:t>
      </w:r>
      <w:r w:rsidR="0073727D">
        <w:rPr>
          <w:rFonts w:cs="Tahoma"/>
          <w:bCs/>
          <w:color w:val="000000"/>
          <w:szCs w:val="18"/>
          <w:lang w:val="it-IT"/>
        </w:rPr>
        <w:t>’</w:t>
      </w:r>
      <w:r w:rsidRPr="00451078">
        <w:rPr>
          <w:rFonts w:cs="Tahoma"/>
          <w:bCs/>
          <w:color w:val="000000"/>
          <w:szCs w:val="18"/>
          <w:lang w:val="it-IT"/>
        </w:rPr>
        <w:t>iscrizione con la data di entrata in vigore posteriore al 1 aprile 2012, non sono licenze qualificanti.</w:t>
      </w:r>
    </w:p>
    <w:p w:rsidR="00C321B6" w:rsidRPr="00451078" w:rsidRDefault="00C321B6" w:rsidP="00C321B6">
      <w:pPr>
        <w:ind w:left="720"/>
        <w:rPr>
          <w:lang w:val="it-IT"/>
        </w:rPr>
      </w:pPr>
    </w:p>
    <w:p w:rsidR="00F94F25" w:rsidRPr="00451078" w:rsidRDefault="00F94F25" w:rsidP="00F94F25">
      <w:pPr>
        <w:spacing w:after="60"/>
        <w:ind w:left="720"/>
        <w:rPr>
          <w:lang w:val="it-IT"/>
        </w:rPr>
      </w:pPr>
      <w:r w:rsidRPr="00451078">
        <w:rPr>
          <w:rFonts w:eastAsia="Calibri" w:cs="Tahoma"/>
          <w:b/>
          <w:color w:val="000000"/>
          <w:szCs w:val="18"/>
          <w:lang w:val="it-IT"/>
        </w:rPr>
        <w:t>Periodo di Validità Corrente</w:t>
      </w:r>
    </w:p>
    <w:p w:rsidR="00A81E83" w:rsidRPr="00451078" w:rsidRDefault="00A81E83" w:rsidP="00F94F25">
      <w:pPr>
        <w:ind w:left="720"/>
        <w:rPr>
          <w:lang w:val="it-IT"/>
        </w:rPr>
      </w:pPr>
      <w:r w:rsidRPr="00451078">
        <w:rPr>
          <w:rFonts w:eastAsia="Calibri" w:cs="Tahoma"/>
          <w:color w:val="000000"/>
          <w:szCs w:val="18"/>
          <w:lang w:val="it-IT"/>
        </w:rPr>
        <w:t xml:space="preserve">durante il periodo di validità corrente della copertura Software Assurance a partire dal 1 aprile 2012 le società (incluse le società titolari di contratti </w:t>
      </w:r>
      <w:r w:rsidR="001A3EC5" w:rsidRPr="00451078">
        <w:rPr>
          <w:rFonts w:eastAsia="Calibri" w:cs="Tahoma"/>
          <w:color w:val="000000"/>
          <w:szCs w:val="18"/>
          <w:lang w:val="it-IT"/>
        </w:rPr>
        <w:t>“</w:t>
      </w:r>
      <w:r w:rsidRPr="00451078">
        <w:rPr>
          <w:rFonts w:eastAsia="Calibri" w:cs="Tahoma"/>
          <w:color w:val="000000"/>
          <w:szCs w:val="18"/>
          <w:lang w:val="it-IT"/>
        </w:rPr>
        <w:t>subscription</w:t>
      </w:r>
      <w:r w:rsidR="001A3EC5" w:rsidRPr="00451078">
        <w:rPr>
          <w:rFonts w:eastAsia="Calibri" w:cs="Tahoma"/>
          <w:color w:val="000000"/>
          <w:szCs w:val="18"/>
          <w:lang w:val="it-IT"/>
        </w:rPr>
        <w:t>”</w:t>
      </w:r>
      <w:r w:rsidRPr="00451078">
        <w:rPr>
          <w:rFonts w:eastAsia="Calibri" w:cs="Tahoma"/>
          <w:color w:val="000000"/>
          <w:szCs w:val="18"/>
          <w:lang w:val="it-IT"/>
        </w:rPr>
        <w:t>) potranno, ai sensi di una licenza qualificante, effettuare l</w:t>
      </w:r>
      <w:r w:rsidR="0073727D">
        <w:rPr>
          <w:rFonts w:eastAsia="Calibri" w:cs="Tahoma"/>
          <w:color w:val="000000"/>
          <w:szCs w:val="18"/>
          <w:lang w:val="it-IT"/>
        </w:rPr>
        <w:t>’</w:t>
      </w:r>
      <w:r w:rsidRPr="00451078">
        <w:rPr>
          <w:rFonts w:eastAsia="Calibri" w:cs="Tahoma"/>
          <w:color w:val="000000"/>
          <w:szCs w:val="18"/>
          <w:lang w:val="it-IT"/>
        </w:rPr>
        <w:t xml:space="preserve">aggiornamento al software SQL Server 2012 Enterprise Core e utilizzarlo al posto di SQL Server 2008 R2 Enterprise in conformità ai diritti di utilizzo del prodotto previsti dalla licenza per processore SQL Server 2008 R2 Enterprise (come indicato nei Diritti di Utilizzo del Prodotto del mese di gennaio 2012). </w:t>
      </w:r>
    </w:p>
    <w:p w:rsidR="00F94F25" w:rsidRPr="00451078" w:rsidRDefault="00F94F25" w:rsidP="00F94F25">
      <w:pPr>
        <w:ind w:left="720"/>
        <w:rPr>
          <w:lang w:val="it-IT"/>
        </w:rPr>
      </w:pPr>
    </w:p>
    <w:p w:rsidR="00F94F25" w:rsidRPr="00451078" w:rsidRDefault="00A81E83" w:rsidP="00F94F25">
      <w:pPr>
        <w:spacing w:after="60"/>
        <w:ind w:left="720"/>
        <w:rPr>
          <w:lang w:val="it-IT"/>
        </w:rPr>
      </w:pPr>
      <w:r w:rsidRPr="00451078">
        <w:rPr>
          <w:rFonts w:eastAsia="Calibri" w:cs="Tahoma"/>
          <w:b/>
          <w:color w:val="000000"/>
          <w:szCs w:val="18"/>
          <w:lang w:val="it-IT"/>
        </w:rPr>
        <w:t>Primo Periodo di Rinnovo (prima del 1 aprile 2015)</w:t>
      </w:r>
    </w:p>
    <w:p w:rsidR="00A81E83" w:rsidRPr="00451078" w:rsidRDefault="00A81E83" w:rsidP="00F94F25">
      <w:pPr>
        <w:tabs>
          <w:tab w:val="left" w:pos="1440"/>
        </w:tabs>
        <w:ind w:left="720"/>
        <w:rPr>
          <w:lang w:val="it-IT"/>
        </w:rPr>
      </w:pPr>
      <w:r w:rsidRPr="00451078">
        <w:rPr>
          <w:rFonts w:eastAsia="Calibri" w:cs="Tahoma"/>
          <w:color w:val="000000"/>
          <w:szCs w:val="18"/>
          <w:lang w:val="it-IT"/>
        </w:rPr>
        <w:t>in occasione del primo rinnovo di Software Assurance in data 1 aprile 2012 o successiva (ma prima del 1 aprile 2015), per ogni server che una società ha ricevuto validamente in licenza in conformità ai diritti di utilizzo del prodotto previsti dalla licenza per processore SQL Server 2008 R2, la società potrà acquistare la</w:t>
      </w:r>
      <w:r w:rsidR="00187E83" w:rsidRPr="00451078">
        <w:rPr>
          <w:rFonts w:eastAsia="Calibri" w:cs="Tahoma"/>
          <w:color w:val="000000"/>
          <w:szCs w:val="18"/>
          <w:lang w:val="it-IT"/>
        </w:rPr>
        <w:t> </w:t>
      </w:r>
      <w:r w:rsidRPr="00451078">
        <w:rPr>
          <w:rFonts w:eastAsia="Calibri" w:cs="Tahoma"/>
          <w:color w:val="000000"/>
          <w:szCs w:val="18"/>
          <w:lang w:val="it-IT"/>
        </w:rPr>
        <w:t>copertura Software Assurance per le licenze core per SQL Server Enterprise senza dovere acquistare le</w:t>
      </w:r>
      <w:r w:rsidR="00187E83" w:rsidRPr="00451078">
        <w:rPr>
          <w:rFonts w:eastAsia="Calibri" w:cs="Tahoma"/>
          <w:color w:val="000000"/>
          <w:szCs w:val="18"/>
          <w:lang w:val="it-IT"/>
        </w:rPr>
        <w:t> </w:t>
      </w:r>
      <w:r w:rsidRPr="00451078">
        <w:rPr>
          <w:rFonts w:eastAsia="Calibri" w:cs="Tahoma"/>
          <w:color w:val="000000"/>
          <w:szCs w:val="18"/>
          <w:lang w:val="it-IT"/>
        </w:rPr>
        <w:t>licenze core sottostanti per un numero di licenze core pari alla somma di (a) e (b):</w:t>
      </w:r>
    </w:p>
    <w:p w:rsidR="002512D3" w:rsidRPr="00451078" w:rsidRDefault="002512D3">
      <w:pPr>
        <w:rPr>
          <w:lang w:val="it-IT"/>
        </w:rPr>
      </w:pPr>
    </w:p>
    <w:p w:rsidR="00A81E83" w:rsidRPr="00451078" w:rsidRDefault="00A81E83" w:rsidP="00745AB3">
      <w:pPr>
        <w:numPr>
          <w:ilvl w:val="0"/>
          <w:numId w:val="117"/>
        </w:numPr>
        <w:tabs>
          <w:tab w:val="left" w:pos="1800"/>
        </w:tabs>
        <w:spacing w:after="60"/>
        <w:ind w:left="1440"/>
        <w:rPr>
          <w:lang w:val="it-IT"/>
        </w:rPr>
      </w:pPr>
      <w:r w:rsidRPr="00451078">
        <w:rPr>
          <w:rFonts w:eastAsia="Calibri" w:cs="Tahoma"/>
          <w:color w:val="000000"/>
          <w:szCs w:val="18"/>
          <w:lang w:val="it-IT"/>
        </w:rPr>
        <w:lastRenderedPageBreak/>
        <w:t xml:space="preserve">un numero pari al numero minore delle licenze qualificanti cedute al server o al numero totale dei processori fisici sul server moltiplicato per il maggiore tra: </w:t>
      </w:r>
    </w:p>
    <w:p w:rsidR="00A81E83" w:rsidRPr="003410C7" w:rsidRDefault="00A81E83" w:rsidP="00745AB3">
      <w:pPr>
        <w:numPr>
          <w:ilvl w:val="3"/>
          <w:numId w:val="92"/>
        </w:numPr>
        <w:tabs>
          <w:tab w:val="left" w:pos="2160"/>
        </w:tabs>
        <w:spacing w:after="60"/>
        <w:ind w:left="2160"/>
      </w:pPr>
      <w:r w:rsidRPr="003410C7">
        <w:rPr>
          <w:rFonts w:eastAsia="Calibri" w:cs="Tahoma"/>
          <w:color w:val="000000"/>
          <w:szCs w:val="18"/>
        </w:rPr>
        <w:t>quattro O</w:t>
      </w:r>
    </w:p>
    <w:p w:rsidR="00A81E83" w:rsidRPr="00451078" w:rsidRDefault="00A81E83" w:rsidP="00745AB3">
      <w:pPr>
        <w:numPr>
          <w:ilvl w:val="3"/>
          <w:numId w:val="92"/>
        </w:numPr>
        <w:tabs>
          <w:tab w:val="left" w:pos="2160"/>
        </w:tabs>
        <w:spacing w:after="60"/>
        <w:ind w:left="2160"/>
        <w:rPr>
          <w:lang w:val="it-IT"/>
        </w:rPr>
      </w:pPr>
      <w:r w:rsidRPr="00451078">
        <w:rPr>
          <w:rFonts w:eastAsia="Calibri" w:cs="Tahoma"/>
          <w:color w:val="000000"/>
          <w:szCs w:val="18"/>
          <w:lang w:val="it-IT"/>
        </w:rPr>
        <w:t>il numero effettivo di core per processore fisico moltiplicato per il fattore core appropriato.</w:t>
      </w:r>
      <w:r w:rsidR="00082E1C" w:rsidRPr="00451078">
        <w:rPr>
          <w:rFonts w:eastAsia="Calibri" w:cs="Tahoma"/>
          <w:color w:val="000000"/>
          <w:szCs w:val="18"/>
          <w:lang w:val="it-IT"/>
        </w:rPr>
        <w:t xml:space="preserve"> </w:t>
      </w:r>
      <w:r w:rsidRPr="00451078">
        <w:rPr>
          <w:rFonts w:eastAsia="Calibri" w:cs="Tahoma"/>
          <w:color w:val="000000"/>
          <w:szCs w:val="18"/>
          <w:lang w:val="it-IT"/>
        </w:rPr>
        <w:t>(Nei casi in cui il numero effettivo di core per processore fisico superi quattro, le società dovranno conservare un record della configurazione del software SQL Server in esecuzione sul server (istanze con licenza in esecuzione negli ambienti del sistema operativo sul server con licenza) e l</w:t>
      </w:r>
      <w:r w:rsidR="0073727D">
        <w:rPr>
          <w:rFonts w:eastAsia="Calibri" w:cs="Tahoma"/>
          <w:color w:val="000000"/>
          <w:szCs w:val="18"/>
          <w:lang w:val="it-IT"/>
        </w:rPr>
        <w:t>’</w:t>
      </w:r>
      <w:r w:rsidRPr="00451078">
        <w:rPr>
          <w:rFonts w:eastAsia="Calibri" w:cs="Tahoma"/>
          <w:color w:val="000000"/>
          <w:szCs w:val="18"/>
          <w:lang w:val="it-IT"/>
        </w:rPr>
        <w:t xml:space="preserve">hardware fisico che supporta tale software appena prima del rinnovo di Software Assurance utilizzando lo strumento MAP di Microsoft o un software equivalente). </w:t>
      </w:r>
    </w:p>
    <w:p w:rsidR="00A81E83" w:rsidRPr="00451078" w:rsidRDefault="00A81E83" w:rsidP="00745AB3">
      <w:pPr>
        <w:numPr>
          <w:ilvl w:val="0"/>
          <w:numId w:val="117"/>
        </w:numPr>
        <w:tabs>
          <w:tab w:val="left" w:pos="1800"/>
        </w:tabs>
        <w:spacing w:after="60"/>
        <w:ind w:left="1440"/>
        <w:rPr>
          <w:lang w:val="it-IT"/>
        </w:rPr>
      </w:pPr>
      <w:r w:rsidRPr="00451078">
        <w:rPr>
          <w:rFonts w:eastAsia="Calibri" w:cs="Tahoma"/>
          <w:color w:val="000000"/>
          <w:szCs w:val="18"/>
          <w:lang w:val="it-IT"/>
        </w:rPr>
        <w:t>un numero pari al numero di licenze qualificanti cedute al server oltre al numero effettivo di</w:t>
      </w:r>
      <w:r w:rsidR="00187E83" w:rsidRPr="00451078">
        <w:rPr>
          <w:rFonts w:eastAsia="Calibri" w:cs="Tahoma"/>
          <w:color w:val="000000"/>
          <w:szCs w:val="18"/>
          <w:lang w:val="it-IT"/>
        </w:rPr>
        <w:t> </w:t>
      </w:r>
      <w:r w:rsidRPr="00451078">
        <w:rPr>
          <w:rFonts w:eastAsia="Calibri" w:cs="Tahoma"/>
          <w:color w:val="000000"/>
          <w:szCs w:val="18"/>
          <w:lang w:val="it-IT"/>
        </w:rPr>
        <w:t>processori fisici sul server moltiplicato per quattro.</w:t>
      </w:r>
    </w:p>
    <w:p w:rsidR="00F94F25" w:rsidRPr="00451078" w:rsidRDefault="00F94F25" w:rsidP="00F94F25">
      <w:pPr>
        <w:tabs>
          <w:tab w:val="left" w:pos="1800"/>
        </w:tabs>
        <w:ind w:left="1080"/>
        <w:rPr>
          <w:lang w:val="it-IT"/>
        </w:rPr>
      </w:pPr>
    </w:p>
    <w:p w:rsidR="00F94F25" w:rsidRPr="00451078" w:rsidRDefault="007A34E3" w:rsidP="00F94F25">
      <w:pPr>
        <w:spacing w:after="60"/>
        <w:ind w:left="720"/>
        <w:rPr>
          <w:lang w:val="it-IT"/>
        </w:rPr>
      </w:pPr>
      <w:r w:rsidRPr="00451078">
        <w:rPr>
          <w:rFonts w:eastAsia="Calibri" w:cs="Tahoma"/>
          <w:b/>
          <w:color w:val="000000"/>
          <w:szCs w:val="18"/>
          <w:lang w:val="it-IT"/>
        </w:rPr>
        <w:t>Primo Periodo di Rinnovo in data 1 aprile 2015 o successiva</w:t>
      </w:r>
    </w:p>
    <w:p w:rsidR="00A81E83" w:rsidRPr="00451078" w:rsidRDefault="00A81E83" w:rsidP="00F94F25">
      <w:pPr>
        <w:ind w:left="720"/>
        <w:rPr>
          <w:lang w:val="it-IT"/>
        </w:rPr>
      </w:pPr>
      <w:r w:rsidRPr="00451078">
        <w:rPr>
          <w:rFonts w:eastAsia="Calibri" w:cs="Tahoma"/>
          <w:color w:val="000000"/>
          <w:szCs w:val="18"/>
          <w:lang w:val="it-IT"/>
        </w:rPr>
        <w:t>Le società che rinnovano per la prima volta la copertura in data 1 aprile 2015</w:t>
      </w:r>
      <w:r w:rsidRPr="00451078">
        <w:rPr>
          <w:rFonts w:eastAsia="Calibri" w:cs="Tahoma"/>
          <w:szCs w:val="18"/>
          <w:lang w:val="it-IT"/>
        </w:rPr>
        <w:t xml:space="preserve"> potranno, per ogni server ottenuto in licenza in conformità ai diritti di utilizzo del prodotto previsti dalla licenza per processore SQL Server 2008 R2, acquistare la copertura Software Assurance come di seguito indicato:</w:t>
      </w:r>
    </w:p>
    <w:p w:rsidR="00F94F25" w:rsidRPr="00451078" w:rsidRDefault="00F94F25" w:rsidP="00F94F25">
      <w:pPr>
        <w:ind w:left="720"/>
        <w:rPr>
          <w:lang w:val="it-IT"/>
        </w:rPr>
      </w:pPr>
    </w:p>
    <w:p w:rsidR="00A81E83" w:rsidRPr="00451078" w:rsidRDefault="00A81E83" w:rsidP="00745AB3">
      <w:pPr>
        <w:numPr>
          <w:ilvl w:val="3"/>
          <w:numId w:val="93"/>
        </w:numPr>
        <w:spacing w:after="60"/>
        <w:ind w:left="1440" w:hanging="360"/>
        <w:rPr>
          <w:lang w:val="it-IT"/>
        </w:rPr>
      </w:pPr>
      <w:r w:rsidRPr="00451078">
        <w:rPr>
          <w:rFonts w:eastAsia="Calibri" w:cs="Tahoma"/>
          <w:szCs w:val="18"/>
          <w:lang w:val="it-IT"/>
        </w:rPr>
        <w:t xml:space="preserve">come stabilito nel primo paragrafo di questa nota relativa al prodotto, le licenze acquistate prima del 1 aprile 2015 sono licenze qualificanti e le società potranno rinnovare la copertura Software Assurance in base alle condizioni riportate nel precedente Articolo </w:t>
      </w:r>
      <w:r w:rsidR="001A3EC5" w:rsidRPr="00451078">
        <w:rPr>
          <w:rFonts w:eastAsia="Calibri" w:cs="Tahoma"/>
          <w:szCs w:val="18"/>
          <w:lang w:val="it-IT"/>
        </w:rPr>
        <w:t>“</w:t>
      </w:r>
      <w:r w:rsidRPr="00451078">
        <w:rPr>
          <w:rFonts w:eastAsia="Calibri" w:cs="Tahoma"/>
          <w:szCs w:val="18"/>
          <w:lang w:val="it-IT"/>
        </w:rPr>
        <w:t>Primo Periodo di Rinnovo (prima del 1 aprile 2015)</w:t>
      </w:r>
      <w:r w:rsidR="001A3EC5" w:rsidRPr="00451078">
        <w:rPr>
          <w:rFonts w:eastAsia="Calibri" w:cs="Tahoma"/>
          <w:szCs w:val="18"/>
          <w:lang w:val="it-IT"/>
        </w:rPr>
        <w:t>”</w:t>
      </w:r>
      <w:r w:rsidRPr="00451078">
        <w:rPr>
          <w:rFonts w:eastAsia="Calibri" w:cs="Tahoma"/>
          <w:szCs w:val="18"/>
          <w:lang w:val="it-IT"/>
        </w:rPr>
        <w:t xml:space="preserve"> e </w:t>
      </w:r>
    </w:p>
    <w:p w:rsidR="00A81E83" w:rsidRPr="00451078" w:rsidRDefault="00A81E83" w:rsidP="00745AB3">
      <w:pPr>
        <w:numPr>
          <w:ilvl w:val="3"/>
          <w:numId w:val="93"/>
        </w:numPr>
        <w:spacing w:after="60"/>
        <w:ind w:left="1440" w:hanging="360"/>
        <w:rPr>
          <w:lang w:val="it-IT"/>
        </w:rPr>
      </w:pPr>
      <w:r w:rsidRPr="00451078">
        <w:rPr>
          <w:rFonts w:eastAsia="Calibri" w:cs="Tahoma"/>
          <w:szCs w:val="18"/>
          <w:lang w:val="it-IT"/>
        </w:rPr>
        <w:t>per le licenze acquistate dopo il 1 aprile 2015 le società potranno rinnovare la copertura Software Assurance per quattro licenze core per SQL Server Enterprise senza dover acquistare le licenze core</w:t>
      </w:r>
      <w:r w:rsidR="00187E83" w:rsidRPr="00451078">
        <w:rPr>
          <w:rFonts w:eastAsia="Calibri" w:cs="Tahoma"/>
          <w:szCs w:val="18"/>
          <w:lang w:val="it-IT"/>
        </w:rPr>
        <w:t> </w:t>
      </w:r>
      <w:r w:rsidRPr="00451078">
        <w:rPr>
          <w:rFonts w:eastAsia="Calibri" w:cs="Tahoma"/>
          <w:szCs w:val="18"/>
          <w:lang w:val="it-IT"/>
        </w:rPr>
        <w:t>sottostanti per ogni licenza per processore per SQL Server 2008 R2 Enterprise. Per l</w:t>
      </w:r>
      <w:r w:rsidR="0073727D">
        <w:rPr>
          <w:rFonts w:eastAsia="Calibri" w:cs="Tahoma"/>
          <w:szCs w:val="18"/>
          <w:lang w:val="it-IT"/>
        </w:rPr>
        <w:t>’</w:t>
      </w:r>
      <w:r w:rsidRPr="00451078">
        <w:rPr>
          <w:rFonts w:eastAsia="Calibri" w:cs="Tahoma"/>
          <w:szCs w:val="18"/>
          <w:lang w:val="it-IT"/>
        </w:rPr>
        <w:t>utilizzo continuativo di SQL Server 2012 su processori che richiedono più di quattro licenze core per processore la società deve acquistare le licenze core aggiuntive.</w:t>
      </w:r>
    </w:p>
    <w:p w:rsidR="00A81E83" w:rsidRPr="00451078" w:rsidRDefault="00A81E83" w:rsidP="00745AB3">
      <w:pPr>
        <w:numPr>
          <w:ilvl w:val="0"/>
          <w:numId w:val="133"/>
        </w:numPr>
        <w:spacing w:after="60"/>
        <w:rPr>
          <w:lang w:val="it-IT"/>
        </w:rPr>
      </w:pPr>
      <w:r w:rsidRPr="00451078">
        <w:rPr>
          <w:rFonts w:eastAsia="Calibri" w:cs="Tahoma"/>
          <w:color w:val="000000"/>
          <w:szCs w:val="18"/>
          <w:lang w:val="it-IT"/>
        </w:rPr>
        <w:t xml:space="preserve">Le licenze per processore delle società non sono più valide se si acquista la copertura Software Assurance per licenze core ai sensi della presente offerta. </w:t>
      </w:r>
      <w:r w:rsidRPr="00451078">
        <w:rPr>
          <w:rFonts w:eastAsia="Calibri" w:cs="Tahoma"/>
          <w:szCs w:val="18"/>
          <w:lang w:val="it-IT"/>
        </w:rPr>
        <w:t>L</w:t>
      </w:r>
      <w:r w:rsidR="0073727D">
        <w:rPr>
          <w:rFonts w:eastAsia="Calibri" w:cs="Tahoma"/>
          <w:szCs w:val="18"/>
          <w:lang w:val="it-IT"/>
        </w:rPr>
        <w:t>’</w:t>
      </w:r>
      <w:r w:rsidRPr="00451078">
        <w:rPr>
          <w:rFonts w:eastAsia="Calibri" w:cs="Tahoma"/>
          <w:szCs w:val="18"/>
          <w:lang w:val="it-IT"/>
        </w:rPr>
        <w:t>opzione di acquistare Software Assurance per le licenze core per SQL Server non è applicabile al rinnovo della copertura ai sensi dei programmi di sottoscrizione.</w:t>
      </w:r>
      <w:r w:rsidR="00082E1C" w:rsidRPr="00451078">
        <w:rPr>
          <w:rFonts w:eastAsia="Calibri" w:cs="Tahoma"/>
          <w:szCs w:val="18"/>
          <w:lang w:val="it-IT"/>
        </w:rPr>
        <w:t xml:space="preserve"> </w:t>
      </w:r>
    </w:p>
    <w:p w:rsidR="00F94F25" w:rsidRPr="00451078" w:rsidRDefault="00F94F25" w:rsidP="00F94F25">
      <w:pPr>
        <w:ind w:left="1440"/>
        <w:rPr>
          <w:lang w:val="it-IT"/>
        </w:rPr>
      </w:pPr>
    </w:p>
    <w:p w:rsidR="00204D6D" w:rsidRPr="00451078" w:rsidRDefault="00A81E83" w:rsidP="00204D6D">
      <w:pPr>
        <w:tabs>
          <w:tab w:val="left" w:pos="1440"/>
        </w:tabs>
        <w:spacing w:after="60"/>
        <w:ind w:left="720"/>
        <w:rPr>
          <w:lang w:val="it-IT"/>
        </w:rPr>
      </w:pPr>
      <w:r w:rsidRPr="00451078">
        <w:rPr>
          <w:rFonts w:eastAsia="Calibri" w:cs="Tahoma"/>
          <w:b/>
          <w:color w:val="000000"/>
          <w:szCs w:val="18"/>
          <w:lang w:val="it-IT"/>
        </w:rPr>
        <w:t>Per le Società con copertura Software Assurance in scadenza prima del 1 aprile 2015 che scelgono di non effettuare il rinnovo</w:t>
      </w:r>
    </w:p>
    <w:p w:rsidR="00A81E83" w:rsidRPr="00451078" w:rsidRDefault="00A81E83" w:rsidP="00204D6D">
      <w:pPr>
        <w:tabs>
          <w:tab w:val="left" w:pos="1440"/>
        </w:tabs>
        <w:ind w:left="720"/>
        <w:rPr>
          <w:lang w:val="it-IT"/>
        </w:rPr>
      </w:pPr>
      <w:r w:rsidRPr="00451078">
        <w:rPr>
          <w:rFonts w:eastAsia="Calibri" w:cs="Tahoma"/>
          <w:color w:val="000000"/>
          <w:szCs w:val="18"/>
          <w:lang w:val="it-IT"/>
        </w:rPr>
        <w:t xml:space="preserve">Le società titolari di contratti Enterprise Subscription </w:t>
      </w:r>
      <w:r w:rsidRPr="00451078">
        <w:rPr>
          <w:rFonts w:cs="Tahoma"/>
          <w:bCs/>
          <w:color w:val="000000"/>
          <w:szCs w:val="18"/>
          <w:lang w:val="it-IT"/>
        </w:rPr>
        <w:t xml:space="preserve">e Open Value Subscription </w:t>
      </w:r>
      <w:r w:rsidRPr="00451078">
        <w:rPr>
          <w:rFonts w:eastAsia="Calibri" w:cs="Tahoma"/>
          <w:color w:val="000000"/>
          <w:szCs w:val="18"/>
          <w:lang w:val="it-IT"/>
        </w:rPr>
        <w:t>con copertura in scadenza prima del 1 aprile 2015 che scelgono di effettuare il buy-out delle licenze per processore e altre società che acquistano licenze perpetue ai sensi del loro contratto e scelgono di non rinnovare Software Assurance potranno eseguire SQL Server 2008 R2 o SQL Server 2012 ai sensi di tali licenze come indicato sotto:</w:t>
      </w:r>
    </w:p>
    <w:p w:rsidR="00204D6D" w:rsidRPr="00451078" w:rsidRDefault="00204D6D" w:rsidP="00204D6D">
      <w:pPr>
        <w:tabs>
          <w:tab w:val="left" w:pos="1440"/>
        </w:tabs>
        <w:ind w:left="720"/>
        <w:rPr>
          <w:lang w:val="it-IT"/>
        </w:rPr>
      </w:pPr>
    </w:p>
    <w:p w:rsidR="00A81E83" w:rsidRPr="00451078" w:rsidRDefault="00A81E83" w:rsidP="00745AB3">
      <w:pPr>
        <w:numPr>
          <w:ilvl w:val="0"/>
          <w:numId w:val="52"/>
        </w:numPr>
        <w:spacing w:after="60"/>
        <w:ind w:left="1440"/>
        <w:rPr>
          <w:lang w:val="it-IT"/>
        </w:rPr>
      </w:pPr>
      <w:r w:rsidRPr="00451078">
        <w:rPr>
          <w:rFonts w:eastAsia="Calibri" w:cs="Tahoma"/>
          <w:b/>
          <w:color w:val="000000"/>
          <w:szCs w:val="18"/>
          <w:lang w:val="it-IT"/>
        </w:rPr>
        <w:t>SQL Server 2008 R2 Enterprise:</w:t>
      </w:r>
      <w:r w:rsidRPr="00451078">
        <w:rPr>
          <w:rFonts w:eastAsia="Calibri" w:cs="Tahoma"/>
          <w:color w:val="000000"/>
          <w:szCs w:val="18"/>
          <w:lang w:val="it-IT"/>
        </w:rPr>
        <w:t xml:space="preserve"> l</w:t>
      </w:r>
      <w:r w:rsidR="0073727D">
        <w:rPr>
          <w:rFonts w:eastAsia="Calibri" w:cs="Tahoma"/>
          <w:color w:val="000000"/>
          <w:szCs w:val="18"/>
          <w:lang w:val="it-IT"/>
        </w:rPr>
        <w:t>’</w:t>
      </w:r>
      <w:r w:rsidRPr="00451078">
        <w:rPr>
          <w:rFonts w:eastAsia="Calibri" w:cs="Tahoma"/>
          <w:color w:val="000000"/>
          <w:szCs w:val="18"/>
          <w:lang w:val="it-IT"/>
        </w:rPr>
        <w:t>utilizzo continuativo di questo software è soggetto ai diritti di</w:t>
      </w:r>
      <w:r w:rsidR="00187E83" w:rsidRPr="00451078">
        <w:rPr>
          <w:rFonts w:eastAsia="Calibri" w:cs="Tahoma"/>
          <w:color w:val="000000"/>
          <w:szCs w:val="18"/>
          <w:lang w:val="it-IT"/>
        </w:rPr>
        <w:t> </w:t>
      </w:r>
      <w:r w:rsidRPr="00451078">
        <w:rPr>
          <w:rFonts w:eastAsia="Calibri" w:cs="Tahoma"/>
          <w:color w:val="000000"/>
          <w:szCs w:val="18"/>
          <w:lang w:val="it-IT"/>
        </w:rPr>
        <w:t>utilizzo del prodotto previsti dalla licenza per processore per SQL Server 2008 R2 Enterprise; tuttavia, le società non disporranno più di diritti sull</w:t>
      </w:r>
      <w:r w:rsidR="0073727D">
        <w:rPr>
          <w:rFonts w:eastAsia="Calibri" w:cs="Tahoma"/>
          <w:color w:val="000000"/>
          <w:szCs w:val="18"/>
          <w:lang w:val="it-IT"/>
        </w:rPr>
        <w:t>’</w:t>
      </w:r>
      <w:r w:rsidRPr="00451078">
        <w:rPr>
          <w:rFonts w:eastAsia="Calibri" w:cs="Tahoma"/>
          <w:color w:val="000000"/>
          <w:szCs w:val="18"/>
          <w:lang w:val="it-IT"/>
        </w:rPr>
        <w:t xml:space="preserve">utilizzo per la Virtualizzazione Illimitata o di Mobilità delle Licenze tramite Software Assurance. </w:t>
      </w:r>
    </w:p>
    <w:p w:rsidR="00A81E83" w:rsidRPr="00451078" w:rsidRDefault="00A81E83" w:rsidP="00745AB3">
      <w:pPr>
        <w:numPr>
          <w:ilvl w:val="0"/>
          <w:numId w:val="52"/>
        </w:numPr>
        <w:tabs>
          <w:tab w:val="left" w:pos="1800"/>
        </w:tabs>
        <w:spacing w:after="60"/>
        <w:ind w:left="1440"/>
        <w:rPr>
          <w:lang w:val="it-IT"/>
        </w:rPr>
      </w:pPr>
      <w:r w:rsidRPr="00451078">
        <w:rPr>
          <w:rFonts w:eastAsia="Calibri" w:cs="Tahoma"/>
          <w:b/>
          <w:color w:val="000000"/>
          <w:szCs w:val="18"/>
          <w:lang w:val="it-IT"/>
        </w:rPr>
        <w:t xml:space="preserve">SQL Server 2012 Enterprise Core: </w:t>
      </w:r>
      <w:r w:rsidRPr="00451078">
        <w:rPr>
          <w:rFonts w:eastAsia="Calibri" w:cs="Tahoma"/>
          <w:color w:val="000000"/>
          <w:szCs w:val="18"/>
          <w:lang w:val="it-IT"/>
        </w:rPr>
        <w:t>l</w:t>
      </w:r>
      <w:r w:rsidR="0073727D">
        <w:rPr>
          <w:rFonts w:eastAsia="Calibri" w:cs="Tahoma"/>
          <w:color w:val="000000"/>
          <w:szCs w:val="18"/>
          <w:lang w:val="it-IT"/>
        </w:rPr>
        <w:t>’</w:t>
      </w:r>
      <w:r w:rsidRPr="00451078">
        <w:rPr>
          <w:rFonts w:eastAsia="Calibri" w:cs="Tahoma"/>
          <w:color w:val="000000"/>
          <w:szCs w:val="18"/>
          <w:lang w:val="it-IT"/>
        </w:rPr>
        <w:t xml:space="preserve">utilizzo di tale versione del software è soggetto ai diritti di utilizzo del prodotto previsti dalla licenza per processore SQL Server 2008 R2 Enterprise, tuttavia: </w:t>
      </w:r>
    </w:p>
    <w:p w:rsidR="00A81E83" w:rsidRPr="00451078" w:rsidRDefault="00A81E83" w:rsidP="00745AB3">
      <w:pPr>
        <w:numPr>
          <w:ilvl w:val="1"/>
          <w:numId w:val="52"/>
        </w:numPr>
        <w:tabs>
          <w:tab w:val="left" w:pos="2160"/>
        </w:tabs>
        <w:spacing w:after="60"/>
        <w:ind w:left="2160"/>
        <w:rPr>
          <w:lang w:val="it-IT"/>
        </w:rPr>
      </w:pPr>
      <w:r w:rsidRPr="00451078">
        <w:rPr>
          <w:rFonts w:eastAsia="Calibri" w:cs="Tahoma"/>
          <w:color w:val="000000"/>
          <w:szCs w:val="18"/>
          <w:lang w:val="it-IT"/>
        </w:rPr>
        <w:t>le società non disporranno più di diritti sull</w:t>
      </w:r>
      <w:r w:rsidR="0073727D">
        <w:rPr>
          <w:rFonts w:eastAsia="Calibri" w:cs="Tahoma"/>
          <w:color w:val="000000"/>
          <w:szCs w:val="18"/>
          <w:lang w:val="it-IT"/>
        </w:rPr>
        <w:t>’</w:t>
      </w:r>
      <w:r w:rsidRPr="00451078">
        <w:rPr>
          <w:rFonts w:eastAsia="Calibri" w:cs="Tahoma"/>
          <w:color w:val="000000"/>
          <w:szCs w:val="18"/>
          <w:lang w:val="it-IT"/>
        </w:rPr>
        <w:t>utilizzo per la Virtualizzazione Illimitata, Mobilità delle Licenze all</w:t>
      </w:r>
      <w:r w:rsidR="0073727D">
        <w:rPr>
          <w:rFonts w:eastAsia="Calibri" w:cs="Tahoma"/>
          <w:color w:val="000000"/>
          <w:szCs w:val="18"/>
          <w:lang w:val="it-IT"/>
        </w:rPr>
        <w:t>’</w:t>
      </w:r>
      <w:r w:rsidRPr="00451078">
        <w:rPr>
          <w:rFonts w:eastAsia="Calibri" w:cs="Tahoma"/>
          <w:color w:val="000000"/>
          <w:szCs w:val="18"/>
          <w:lang w:val="it-IT"/>
        </w:rPr>
        <w:t xml:space="preserve">interno di Server Farm o Mobilità delle Licenze tramite Software Assurance e </w:t>
      </w:r>
    </w:p>
    <w:p w:rsidR="00A81E83" w:rsidRPr="00451078" w:rsidRDefault="00A81E83" w:rsidP="00745AB3">
      <w:pPr>
        <w:numPr>
          <w:ilvl w:val="1"/>
          <w:numId w:val="52"/>
        </w:numPr>
        <w:tabs>
          <w:tab w:val="left" w:pos="2160"/>
          <w:tab w:val="left" w:pos="2970"/>
        </w:tabs>
        <w:spacing w:after="60"/>
        <w:ind w:left="2160"/>
        <w:rPr>
          <w:lang w:val="it-IT"/>
        </w:rPr>
      </w:pPr>
      <w:r w:rsidRPr="00451078">
        <w:rPr>
          <w:rFonts w:eastAsia="Calibri" w:cs="Tahoma"/>
          <w:color w:val="000000"/>
          <w:szCs w:val="18"/>
          <w:lang w:val="it-IT"/>
        </w:rPr>
        <w:t>l</w:t>
      </w:r>
      <w:r w:rsidR="0073727D">
        <w:rPr>
          <w:rFonts w:eastAsia="Calibri" w:cs="Tahoma"/>
          <w:color w:val="000000"/>
          <w:szCs w:val="18"/>
          <w:lang w:val="it-IT"/>
        </w:rPr>
        <w:t>’</w:t>
      </w:r>
      <w:r w:rsidRPr="00451078">
        <w:rPr>
          <w:rFonts w:eastAsia="Calibri" w:cs="Tahoma"/>
          <w:color w:val="000000"/>
          <w:szCs w:val="18"/>
          <w:lang w:val="it-IT"/>
        </w:rPr>
        <w:t xml:space="preserve">eventuale riassegnazione di licenze è soggetta ai limiti indicati nei paragrafi (i) e (ii) che seguono relativi alla loro </w:t>
      </w:r>
      <w:r w:rsidR="001A3EC5" w:rsidRPr="00451078">
        <w:rPr>
          <w:rFonts w:eastAsia="Calibri" w:cs="Tahoma"/>
          <w:color w:val="000000"/>
          <w:szCs w:val="18"/>
          <w:lang w:val="it-IT"/>
        </w:rPr>
        <w:t>“</w:t>
      </w:r>
      <w:r w:rsidRPr="00451078">
        <w:rPr>
          <w:rFonts w:eastAsia="Calibri" w:cs="Tahoma"/>
          <w:color w:val="000000"/>
          <w:szCs w:val="18"/>
          <w:lang w:val="it-IT"/>
        </w:rPr>
        <w:t>equivalenza di licenze core</w:t>
      </w:r>
      <w:r w:rsidR="001A3EC5" w:rsidRPr="00451078">
        <w:rPr>
          <w:rFonts w:eastAsia="Calibri" w:cs="Tahoma"/>
          <w:color w:val="000000"/>
          <w:szCs w:val="18"/>
          <w:lang w:val="it-IT"/>
        </w:rPr>
        <w:t>”</w:t>
      </w:r>
      <w:r w:rsidRPr="00451078">
        <w:rPr>
          <w:rFonts w:eastAsia="Calibri" w:cs="Tahoma"/>
          <w:color w:val="000000"/>
          <w:szCs w:val="18"/>
          <w:lang w:val="it-IT"/>
        </w:rPr>
        <w:t>. L</w:t>
      </w:r>
      <w:r w:rsidR="0073727D">
        <w:rPr>
          <w:rFonts w:eastAsia="Calibri" w:cs="Tahoma"/>
          <w:color w:val="000000"/>
          <w:szCs w:val="18"/>
          <w:lang w:val="it-IT"/>
        </w:rPr>
        <w:t>’</w:t>
      </w:r>
      <w:r w:rsidRPr="00451078">
        <w:rPr>
          <w:rFonts w:eastAsia="Calibri" w:cs="Tahoma"/>
          <w:color w:val="000000"/>
          <w:szCs w:val="18"/>
          <w:lang w:val="it-IT"/>
        </w:rPr>
        <w:t>equivalenza di licenze core è</w:t>
      </w:r>
      <w:r w:rsidR="00187E83" w:rsidRPr="00451078">
        <w:rPr>
          <w:rFonts w:eastAsia="Calibri" w:cs="Tahoma"/>
          <w:color w:val="000000"/>
          <w:szCs w:val="18"/>
          <w:lang w:val="it-IT"/>
        </w:rPr>
        <w:t> </w:t>
      </w:r>
      <w:r w:rsidRPr="00451078">
        <w:rPr>
          <w:rFonts w:eastAsia="Calibri" w:cs="Tahoma"/>
          <w:color w:val="000000"/>
          <w:szCs w:val="18"/>
          <w:lang w:val="it-IT"/>
        </w:rPr>
        <w:t xml:space="preserve">determinata come di seguito riportato. </w:t>
      </w:r>
    </w:p>
    <w:p w:rsidR="00A81E83" w:rsidRPr="00451078" w:rsidRDefault="00A81E83" w:rsidP="00745AB3">
      <w:pPr>
        <w:numPr>
          <w:ilvl w:val="2"/>
          <w:numId w:val="52"/>
        </w:numPr>
        <w:tabs>
          <w:tab w:val="left" w:pos="2520"/>
        </w:tabs>
        <w:spacing w:after="60"/>
        <w:ind w:left="2520"/>
        <w:rPr>
          <w:lang w:val="it-IT"/>
        </w:rPr>
      </w:pPr>
      <w:r w:rsidRPr="00451078">
        <w:rPr>
          <w:rFonts w:eastAsia="Calibri" w:cs="Tahoma"/>
          <w:color w:val="000000"/>
          <w:szCs w:val="18"/>
          <w:lang w:val="it-IT"/>
        </w:rPr>
        <w:t>Per un numero di licenze pari al numero inferiore tra (x) il numero totale di licenze per processore cedute a un server con licenza appena prima della scadenza di Software Assurance o (y) il numero totale di processori fisici su tale server, l</w:t>
      </w:r>
      <w:r w:rsidR="0073727D">
        <w:rPr>
          <w:rFonts w:eastAsia="Calibri" w:cs="Tahoma"/>
          <w:color w:val="000000"/>
          <w:szCs w:val="18"/>
          <w:lang w:val="it-IT"/>
        </w:rPr>
        <w:t>’</w:t>
      </w:r>
      <w:r w:rsidRPr="00451078">
        <w:rPr>
          <w:rFonts w:eastAsia="Calibri" w:cs="Tahoma"/>
          <w:color w:val="000000"/>
          <w:szCs w:val="18"/>
          <w:lang w:val="it-IT"/>
        </w:rPr>
        <w:t xml:space="preserve">equivalenza di licenze core è il numero maggiore tra: </w:t>
      </w:r>
    </w:p>
    <w:p w:rsidR="00A81E83" w:rsidRPr="00451078" w:rsidRDefault="00A81E83" w:rsidP="00745AB3">
      <w:pPr>
        <w:numPr>
          <w:ilvl w:val="4"/>
          <w:numId w:val="133"/>
        </w:numPr>
        <w:tabs>
          <w:tab w:val="left" w:pos="2880"/>
        </w:tabs>
        <w:spacing w:after="60"/>
        <w:ind w:left="2880"/>
        <w:rPr>
          <w:lang w:val="it-IT"/>
        </w:rPr>
      </w:pPr>
      <w:r w:rsidRPr="00451078">
        <w:rPr>
          <w:rFonts w:eastAsia="Calibri" w:cs="Tahoma"/>
          <w:color w:val="000000"/>
          <w:szCs w:val="18"/>
          <w:lang w:val="it-IT"/>
        </w:rPr>
        <w:t xml:space="preserve">quattro core per licenza per processore O </w:t>
      </w:r>
    </w:p>
    <w:p w:rsidR="00A81E83" w:rsidRPr="00451078" w:rsidRDefault="00A81E83" w:rsidP="00745AB3">
      <w:pPr>
        <w:numPr>
          <w:ilvl w:val="4"/>
          <w:numId w:val="133"/>
        </w:numPr>
        <w:tabs>
          <w:tab w:val="left" w:pos="2880"/>
        </w:tabs>
        <w:spacing w:after="60"/>
        <w:ind w:left="2880"/>
        <w:rPr>
          <w:lang w:val="it-IT"/>
        </w:rPr>
      </w:pPr>
      <w:r w:rsidRPr="00451078">
        <w:rPr>
          <w:rFonts w:eastAsia="Calibri" w:cs="Tahoma"/>
          <w:color w:val="000000"/>
          <w:szCs w:val="18"/>
          <w:lang w:val="it-IT"/>
        </w:rPr>
        <w:lastRenderedPageBreak/>
        <w:t>un numero di core per licenza per processore basato sul numero effettivo di core per processore fisico moltiplicato per il fattore core appropriato. (Nei casi in cui il numero effettivo di core per processore fisico superi quattro, le società dovranno conservare un record della configurazione del software SQL Server in esecuzione sul server (istanze con licenza in esecuzione negli ambienti del sistema operativo sul server con licenza) e l</w:t>
      </w:r>
      <w:r w:rsidR="0073727D">
        <w:rPr>
          <w:rFonts w:eastAsia="Calibri" w:cs="Tahoma"/>
          <w:color w:val="000000"/>
          <w:szCs w:val="18"/>
          <w:lang w:val="it-IT"/>
        </w:rPr>
        <w:t>’</w:t>
      </w:r>
      <w:r w:rsidRPr="00451078">
        <w:rPr>
          <w:rFonts w:eastAsia="Calibri" w:cs="Tahoma"/>
          <w:color w:val="000000"/>
          <w:szCs w:val="18"/>
          <w:lang w:val="it-IT"/>
        </w:rPr>
        <w:t xml:space="preserve">hardware fisico che supporta tale software appena prima della scadenza di Software Assurance utilizzando lo strumento MAP di Microsoft o un software equivalente). </w:t>
      </w:r>
    </w:p>
    <w:p w:rsidR="00A81E83" w:rsidRPr="00451078" w:rsidRDefault="00A81E83" w:rsidP="00745AB3">
      <w:pPr>
        <w:numPr>
          <w:ilvl w:val="2"/>
          <w:numId w:val="52"/>
        </w:numPr>
        <w:tabs>
          <w:tab w:val="left" w:pos="2520"/>
        </w:tabs>
        <w:spacing w:after="60"/>
        <w:ind w:left="2520"/>
        <w:rPr>
          <w:lang w:val="it-IT"/>
        </w:rPr>
      </w:pPr>
      <w:r w:rsidRPr="00451078">
        <w:rPr>
          <w:rFonts w:eastAsia="Calibri" w:cs="Tahoma"/>
          <w:color w:val="000000"/>
          <w:szCs w:val="18"/>
          <w:lang w:val="it-IT"/>
        </w:rPr>
        <w:t>Per qualsiasi licenza per processore con la copertura Software Assurance in scadenza ceduta allo stesso server con licenza che ecceda il numero effettivo di processori fisici sul server, l</w:t>
      </w:r>
      <w:r w:rsidR="0073727D">
        <w:rPr>
          <w:rFonts w:eastAsia="Calibri" w:cs="Tahoma"/>
          <w:color w:val="000000"/>
          <w:szCs w:val="18"/>
          <w:lang w:val="it-IT"/>
        </w:rPr>
        <w:t>’</w:t>
      </w:r>
      <w:r w:rsidRPr="00451078">
        <w:rPr>
          <w:rFonts w:eastAsia="Calibri" w:cs="Tahoma"/>
          <w:color w:val="000000"/>
          <w:szCs w:val="18"/>
          <w:lang w:val="it-IT"/>
        </w:rPr>
        <w:t>equivalenza core è di quattro core per licenza per processore.</w:t>
      </w:r>
    </w:p>
    <w:p w:rsidR="00A81E83" w:rsidRPr="00451078" w:rsidRDefault="00A81E83" w:rsidP="00745AB3">
      <w:pPr>
        <w:numPr>
          <w:ilvl w:val="1"/>
          <w:numId w:val="52"/>
        </w:numPr>
        <w:tabs>
          <w:tab w:val="left" w:pos="1800"/>
        </w:tabs>
        <w:spacing w:after="60"/>
        <w:ind w:left="1800"/>
        <w:rPr>
          <w:lang w:val="it-IT"/>
        </w:rPr>
      </w:pPr>
      <w:r w:rsidRPr="00451078">
        <w:rPr>
          <w:rFonts w:eastAsia="Calibri" w:cs="Tahoma"/>
          <w:color w:val="000000"/>
          <w:szCs w:val="18"/>
          <w:lang w:val="it-IT"/>
        </w:rPr>
        <w:t xml:space="preserve">Le società </w:t>
      </w:r>
      <w:r w:rsidRPr="00451078">
        <w:rPr>
          <w:rFonts w:eastAsia="Calibri" w:cs="Tahoma"/>
          <w:szCs w:val="18"/>
          <w:lang w:val="it-IT"/>
        </w:rPr>
        <w:t>potranno riassegnare le licenze a un altro server. Tuttavia, qualora la società riassegni una licenza a un altro server, dovrà attenersi ai diritti sull</w:t>
      </w:r>
      <w:r w:rsidR="0073727D">
        <w:rPr>
          <w:rFonts w:eastAsia="Calibri" w:cs="Tahoma"/>
          <w:szCs w:val="18"/>
          <w:lang w:val="it-IT"/>
        </w:rPr>
        <w:t>’</w:t>
      </w:r>
      <w:r w:rsidRPr="00451078">
        <w:rPr>
          <w:rFonts w:eastAsia="Calibri" w:cs="Tahoma"/>
          <w:szCs w:val="18"/>
          <w:lang w:val="it-IT"/>
        </w:rPr>
        <w:t>utilizzo di SQL Server 2012. Quando cede licenze core a server ai sensi dei diritti sull</w:t>
      </w:r>
      <w:r w:rsidR="0073727D">
        <w:rPr>
          <w:rFonts w:eastAsia="Calibri" w:cs="Tahoma"/>
          <w:szCs w:val="18"/>
          <w:lang w:val="it-IT"/>
        </w:rPr>
        <w:t>’</w:t>
      </w:r>
      <w:r w:rsidRPr="00451078">
        <w:rPr>
          <w:rFonts w:eastAsia="Calibri" w:cs="Tahoma"/>
          <w:szCs w:val="18"/>
          <w:lang w:val="it-IT"/>
        </w:rPr>
        <w:t>utilizzo per SQL 2012, la società potrà combinare l</w:t>
      </w:r>
      <w:r w:rsidR="0073727D">
        <w:rPr>
          <w:rFonts w:eastAsia="Calibri" w:cs="Tahoma"/>
          <w:szCs w:val="18"/>
          <w:lang w:val="it-IT"/>
        </w:rPr>
        <w:t>’</w:t>
      </w:r>
      <w:r w:rsidRPr="00451078">
        <w:rPr>
          <w:rFonts w:eastAsia="Calibri" w:cs="Tahoma"/>
          <w:szCs w:val="18"/>
          <w:lang w:val="it-IT"/>
        </w:rPr>
        <w:t>equivalenza core delle licenze esistenti con le licenze core per SQL Server 2012 aggiuntive.</w:t>
      </w:r>
    </w:p>
    <w:p w:rsidR="00A81E83" w:rsidRPr="00451078" w:rsidRDefault="00A81E83" w:rsidP="00745AB3">
      <w:pPr>
        <w:numPr>
          <w:ilvl w:val="1"/>
          <w:numId w:val="52"/>
        </w:numPr>
        <w:tabs>
          <w:tab w:val="left" w:pos="1800"/>
          <w:tab w:val="left" w:pos="2970"/>
        </w:tabs>
        <w:spacing w:after="60"/>
        <w:ind w:left="1800"/>
        <w:rPr>
          <w:lang w:val="it-IT"/>
        </w:rPr>
      </w:pPr>
      <w:r w:rsidRPr="00451078">
        <w:rPr>
          <w:rFonts w:eastAsia="Calibri" w:cs="Tahoma"/>
          <w:color w:val="000000"/>
          <w:szCs w:val="18"/>
          <w:lang w:val="it-IT"/>
        </w:rPr>
        <w:t>L</w:t>
      </w:r>
      <w:r w:rsidR="0073727D">
        <w:rPr>
          <w:rFonts w:eastAsia="Calibri" w:cs="Tahoma"/>
          <w:color w:val="000000"/>
          <w:szCs w:val="18"/>
          <w:lang w:val="it-IT"/>
        </w:rPr>
        <w:t>’</w:t>
      </w:r>
      <w:r w:rsidRPr="00451078">
        <w:rPr>
          <w:rFonts w:eastAsia="Calibri" w:cs="Tahoma"/>
          <w:color w:val="000000"/>
          <w:szCs w:val="18"/>
          <w:lang w:val="it-IT"/>
        </w:rPr>
        <w:t>equivalenza di licenze core stimata delle società non implica che esse possano cedere una licenza singola per processore a core attraverso due o più processori.</w:t>
      </w:r>
    </w:p>
    <w:p w:rsidR="00204D6D" w:rsidRPr="00451078" w:rsidRDefault="00204D6D" w:rsidP="00204D6D">
      <w:pPr>
        <w:tabs>
          <w:tab w:val="left" w:pos="1800"/>
          <w:tab w:val="left" w:pos="2970"/>
        </w:tabs>
        <w:rPr>
          <w:lang w:val="it-IT"/>
        </w:rPr>
      </w:pPr>
    </w:p>
    <w:p w:rsidR="00204D6D" w:rsidRPr="00451078" w:rsidRDefault="00A81E83" w:rsidP="00204D6D">
      <w:pPr>
        <w:tabs>
          <w:tab w:val="left" w:pos="720"/>
        </w:tabs>
        <w:spacing w:after="60"/>
        <w:ind w:left="720"/>
        <w:rPr>
          <w:lang w:val="it-IT"/>
        </w:rPr>
      </w:pPr>
      <w:r w:rsidRPr="00451078">
        <w:rPr>
          <w:rFonts w:eastAsia="Calibri" w:cs="Tahoma"/>
          <w:b/>
          <w:color w:val="000000"/>
          <w:szCs w:val="18"/>
          <w:lang w:val="it-IT"/>
        </w:rPr>
        <w:t>Per le Società con copertura Software Assurance in scadenza in data 1 aprile 2015 o successiva che scelgono di non effettuare il rinnovo</w:t>
      </w:r>
    </w:p>
    <w:p w:rsidR="00A81E83" w:rsidRPr="00451078" w:rsidRDefault="00A81E83" w:rsidP="00204D6D">
      <w:pPr>
        <w:tabs>
          <w:tab w:val="left" w:pos="720"/>
        </w:tabs>
        <w:ind w:left="720"/>
        <w:rPr>
          <w:lang w:val="it-IT"/>
        </w:rPr>
      </w:pPr>
      <w:r w:rsidRPr="00451078">
        <w:rPr>
          <w:rFonts w:eastAsia="Calibri" w:cs="Tahoma"/>
          <w:color w:val="000000"/>
          <w:szCs w:val="18"/>
          <w:lang w:val="it-IT"/>
        </w:rPr>
        <w:t xml:space="preserve">Alle società titolari di contratti Enterprise Subscription </w:t>
      </w:r>
      <w:r w:rsidRPr="00451078">
        <w:rPr>
          <w:rFonts w:cs="Tahoma"/>
          <w:bCs/>
          <w:color w:val="000000"/>
          <w:szCs w:val="18"/>
          <w:lang w:val="it-IT"/>
        </w:rPr>
        <w:t xml:space="preserve">e Open Value Subscription </w:t>
      </w:r>
      <w:r w:rsidRPr="00451078">
        <w:rPr>
          <w:rFonts w:eastAsia="Calibri" w:cs="Tahoma"/>
          <w:color w:val="000000"/>
          <w:szCs w:val="18"/>
          <w:lang w:val="it-IT"/>
        </w:rPr>
        <w:t xml:space="preserve">con copertura in scadenza in data 1 aprile 2015 o successiva che scelgono di effettuare il buy-out delle licenze per processore e alle altre società che acquistano licenze perpetue ai sensi del loro contratto verranno offerte le seguenti opzioni: </w:t>
      </w:r>
    </w:p>
    <w:p w:rsidR="00A81E83" w:rsidRPr="00451078" w:rsidRDefault="00A81E83" w:rsidP="00745AB3">
      <w:pPr>
        <w:numPr>
          <w:ilvl w:val="2"/>
          <w:numId w:val="133"/>
        </w:numPr>
        <w:spacing w:after="60"/>
        <w:ind w:left="1440" w:hanging="360"/>
        <w:rPr>
          <w:lang w:val="it-IT"/>
        </w:rPr>
      </w:pPr>
      <w:r w:rsidRPr="00451078">
        <w:rPr>
          <w:rFonts w:eastAsia="Calibri" w:cs="Tahoma"/>
          <w:szCs w:val="18"/>
          <w:lang w:val="it-IT"/>
        </w:rPr>
        <w:t xml:space="preserve">come stabilito nel primo paragrafo di questa nota relativa al prodotto, le licenze acquistate prima del 1 aprile 2015 sono licenze qualificanti e le società potranno continuare a utilizzare SQL Server 2012 in base alle condizioni riportate nel precedente Articolo </w:t>
      </w:r>
      <w:r w:rsidR="001A3EC5" w:rsidRPr="00451078">
        <w:rPr>
          <w:rFonts w:eastAsia="Calibri" w:cs="Tahoma"/>
          <w:szCs w:val="18"/>
          <w:lang w:val="it-IT"/>
        </w:rPr>
        <w:t>“</w:t>
      </w:r>
      <w:r w:rsidRPr="00451078">
        <w:rPr>
          <w:rFonts w:eastAsia="Calibri" w:cs="Tahoma"/>
          <w:szCs w:val="18"/>
          <w:lang w:val="it-IT"/>
        </w:rPr>
        <w:t>Per le società con copertura Software Assurance in scadenza prima del 1 aprile 2015 che scelgono di non effettuare il rinnovo</w:t>
      </w:r>
      <w:r w:rsidR="001A3EC5" w:rsidRPr="00451078">
        <w:rPr>
          <w:rFonts w:eastAsia="Calibri" w:cs="Tahoma"/>
          <w:szCs w:val="18"/>
          <w:lang w:val="it-IT"/>
        </w:rPr>
        <w:t>”</w:t>
      </w:r>
      <w:r w:rsidRPr="00451078">
        <w:rPr>
          <w:rFonts w:eastAsia="Calibri" w:cs="Tahoma"/>
          <w:szCs w:val="18"/>
          <w:lang w:val="it-IT"/>
        </w:rPr>
        <w:t xml:space="preserve"> e </w:t>
      </w:r>
    </w:p>
    <w:p w:rsidR="00A81E83" w:rsidRPr="00451078" w:rsidRDefault="00A81E83" w:rsidP="00745AB3">
      <w:pPr>
        <w:numPr>
          <w:ilvl w:val="2"/>
          <w:numId w:val="133"/>
        </w:numPr>
        <w:spacing w:after="60"/>
        <w:ind w:left="1440" w:hanging="360"/>
        <w:rPr>
          <w:lang w:val="it-IT"/>
        </w:rPr>
      </w:pPr>
      <w:r w:rsidRPr="00451078">
        <w:rPr>
          <w:rFonts w:eastAsia="Calibri" w:cs="Tahoma"/>
          <w:szCs w:val="18"/>
          <w:lang w:val="it-IT"/>
        </w:rPr>
        <w:t>per le licenze acquistate dopo il 1 aprile 2015 la licenza per processore delle società avrà un</w:t>
      </w:r>
      <w:r w:rsidR="0073727D">
        <w:rPr>
          <w:rFonts w:eastAsia="Calibri" w:cs="Tahoma"/>
          <w:szCs w:val="18"/>
          <w:lang w:val="it-IT"/>
        </w:rPr>
        <w:t>’</w:t>
      </w:r>
      <w:r w:rsidRPr="00451078">
        <w:rPr>
          <w:rFonts w:eastAsia="Calibri" w:cs="Tahoma"/>
          <w:szCs w:val="18"/>
          <w:lang w:val="it-IT"/>
        </w:rPr>
        <w:t>equivalenza core di quattro licenze core Enterprise per SQL Server 2012. Per l</w:t>
      </w:r>
      <w:r w:rsidR="0073727D">
        <w:rPr>
          <w:rFonts w:eastAsia="Calibri" w:cs="Tahoma"/>
          <w:szCs w:val="18"/>
          <w:lang w:val="it-IT"/>
        </w:rPr>
        <w:t>’</w:t>
      </w:r>
      <w:r w:rsidRPr="00451078">
        <w:rPr>
          <w:rFonts w:eastAsia="Calibri" w:cs="Tahoma"/>
          <w:szCs w:val="18"/>
          <w:lang w:val="it-IT"/>
        </w:rPr>
        <w:t>utilizzo continuativo di SQL Server 2012 su processori che richiedono più di quattro licenze core per</w:t>
      </w:r>
      <w:r w:rsidR="009F18F3" w:rsidRPr="00451078">
        <w:rPr>
          <w:rFonts w:eastAsia="Calibri" w:cs="Tahoma"/>
          <w:szCs w:val="18"/>
          <w:lang w:val="it-IT"/>
        </w:rPr>
        <w:t> </w:t>
      </w:r>
      <w:r w:rsidRPr="00451078">
        <w:rPr>
          <w:rFonts w:eastAsia="Calibri" w:cs="Tahoma"/>
          <w:szCs w:val="18"/>
          <w:lang w:val="it-IT"/>
        </w:rPr>
        <w:t>processore la società deve acquistare le licenze core aggiuntive.</w:t>
      </w:r>
    </w:p>
    <w:p w:rsidR="00204D6D" w:rsidRPr="00451078" w:rsidRDefault="00204D6D" w:rsidP="00204D6D">
      <w:pPr>
        <w:ind w:left="1440"/>
        <w:rPr>
          <w:lang w:val="it-IT"/>
        </w:rPr>
      </w:pPr>
    </w:p>
    <w:p w:rsidR="00204D6D" w:rsidRPr="00451078" w:rsidRDefault="00A81E83" w:rsidP="00204D6D">
      <w:pPr>
        <w:tabs>
          <w:tab w:val="left" w:pos="720"/>
        </w:tabs>
        <w:spacing w:after="60"/>
        <w:ind w:left="720"/>
        <w:rPr>
          <w:lang w:val="it-IT"/>
        </w:rPr>
      </w:pPr>
      <w:r w:rsidRPr="00451078">
        <w:rPr>
          <w:b/>
          <w:lang w:val="it-IT"/>
        </w:rPr>
        <w:t>Per le società con sede nella Repubblica popolare</w:t>
      </w:r>
      <w:r w:rsidRPr="00451078">
        <w:rPr>
          <w:lang w:val="it-IT"/>
        </w:rPr>
        <w:t xml:space="preserve"> </w:t>
      </w:r>
      <w:r w:rsidRPr="00451078">
        <w:rPr>
          <w:b/>
          <w:lang w:val="it-IT"/>
        </w:rPr>
        <w:t>cinese, dove acquistano licenze per processore e Software Assurance per SQL Server 2008 R2</w:t>
      </w:r>
    </w:p>
    <w:p w:rsidR="00A81E83" w:rsidRPr="00451078" w:rsidRDefault="00A81E83" w:rsidP="00204D6D">
      <w:pPr>
        <w:tabs>
          <w:tab w:val="left" w:pos="720"/>
        </w:tabs>
        <w:ind w:left="720"/>
        <w:rPr>
          <w:lang w:val="it-IT"/>
        </w:rPr>
      </w:pPr>
      <w:r w:rsidRPr="00451078">
        <w:rPr>
          <w:lang w:val="it-IT"/>
        </w:rPr>
        <w:t>Non si applicano i riferimenti al 1 aprile 2012 e al 1 aprile 2015 presenti in questa nota relativa alla lista dei prodotti. Le date applicabili per queste società sarebbero rispettivamente il 1 luglio 2012 e il 1 luglio 2015.</w:t>
      </w:r>
    </w:p>
    <w:p w:rsidR="006E28CC" w:rsidRPr="00451078" w:rsidRDefault="006E28CC" w:rsidP="00204D6D">
      <w:pPr>
        <w:tabs>
          <w:tab w:val="left" w:pos="720"/>
        </w:tabs>
        <w:ind w:left="720"/>
        <w:rPr>
          <w:lang w:val="it-IT"/>
        </w:rPr>
      </w:pPr>
    </w:p>
    <w:p w:rsidR="00187E83" w:rsidRPr="00451078" w:rsidRDefault="00187E83" w:rsidP="00204D6D">
      <w:pPr>
        <w:tabs>
          <w:tab w:val="left" w:pos="720"/>
        </w:tabs>
        <w:ind w:left="720"/>
        <w:rPr>
          <w:lang w:val="it-IT"/>
        </w:rPr>
      </w:pPr>
    </w:p>
    <w:p w:rsidR="006E28CC" w:rsidRPr="00451078" w:rsidRDefault="0099402E" w:rsidP="006E28CC">
      <w:pPr>
        <w:pStyle w:val="Heading3"/>
        <w:rPr>
          <w:lang w:val="it-IT"/>
        </w:rPr>
      </w:pPr>
      <w:bookmarkStart w:id="1409" w:name="_80_SQL_Server"/>
      <w:bookmarkStart w:id="1410" w:name="_81_SQL_Server"/>
      <w:bookmarkStart w:id="1411" w:name="_Toc352234934"/>
      <w:bookmarkEnd w:id="1409"/>
      <w:bookmarkEnd w:id="1410"/>
      <w:r w:rsidRPr="00451078">
        <w:rPr>
          <w:rFonts w:ascii="Tahoma" w:hAnsi="Tahoma"/>
          <w:caps/>
          <w:color w:val="F66400"/>
          <w:sz w:val="22"/>
          <w:vertAlign w:val="superscript"/>
          <w:lang w:val="it-IT"/>
        </w:rPr>
        <w:t>81</w:t>
      </w:r>
      <w:r w:rsidRPr="00451078">
        <w:rPr>
          <w:rFonts w:ascii="Tahoma" w:hAnsi="Tahoma"/>
          <w:color w:val="F66400"/>
          <w:sz w:val="22"/>
          <w:lang w:val="it-IT"/>
        </w:rPr>
        <w:t xml:space="preserve"> SQL Server </w:t>
      </w:r>
      <w:r w:rsidR="003410C7" w:rsidRPr="00451078">
        <w:rPr>
          <w:rFonts w:ascii="Tahoma" w:hAnsi="Tahoma"/>
          <w:color w:val="F66400"/>
          <w:sz w:val="22"/>
          <w:vertAlign w:val="superscript"/>
          <w:lang w:val="it-IT"/>
        </w:rPr>
        <w:t>®</w:t>
      </w:r>
      <w:r w:rsidRPr="00451078">
        <w:rPr>
          <w:rFonts w:ascii="Tahoma" w:hAnsi="Tahoma"/>
          <w:color w:val="F66400"/>
          <w:sz w:val="22"/>
          <w:lang w:val="it-IT"/>
        </w:rPr>
        <w:t xml:space="preserve"> 2012 Parallel Data Warehouse</w:t>
      </w:r>
      <w:bookmarkEnd w:id="1411"/>
    </w:p>
    <w:p w:rsidR="006E28CC" w:rsidRPr="00451078" w:rsidRDefault="006E28CC" w:rsidP="006E28CC">
      <w:pPr>
        <w:pStyle w:val="EndnoteText"/>
        <w:rPr>
          <w:rFonts w:ascii="Tahoma" w:hAnsi="Tahoma" w:cs="Tahoma"/>
          <w:sz w:val="18"/>
          <w:szCs w:val="18"/>
          <w:lang w:val="it-IT"/>
        </w:rPr>
      </w:pPr>
    </w:p>
    <w:p w:rsidR="000A30EE" w:rsidRPr="00451078" w:rsidRDefault="000A30EE" w:rsidP="000A30EE">
      <w:pPr>
        <w:spacing w:after="60"/>
        <w:ind w:left="720"/>
        <w:rPr>
          <w:lang w:val="it-IT"/>
        </w:rPr>
      </w:pPr>
      <w:r w:rsidRPr="00451078">
        <w:rPr>
          <w:rFonts w:eastAsia="Calibri" w:cs="Tahoma"/>
          <w:b/>
          <w:color w:val="000000"/>
          <w:szCs w:val="18"/>
          <w:lang w:val="it-IT"/>
        </w:rPr>
        <w:t>Concessioni di Licenza Associate alla Variazione del Modello di Licenza</w:t>
      </w:r>
    </w:p>
    <w:p w:rsidR="000A30EE" w:rsidRPr="00451078" w:rsidRDefault="000A30EE" w:rsidP="000A30EE">
      <w:pPr>
        <w:ind w:left="720"/>
        <w:rPr>
          <w:lang w:val="it-IT"/>
        </w:rPr>
      </w:pPr>
      <w:r w:rsidRPr="00451078">
        <w:rPr>
          <w:rFonts w:eastAsia="Calibri" w:cs="Tahoma"/>
          <w:color w:val="000000"/>
          <w:szCs w:val="18"/>
          <w:lang w:val="it-IT"/>
        </w:rPr>
        <w:t>SQL Server 2008 R2 sarà l</w:t>
      </w:r>
      <w:r w:rsidR="0073727D">
        <w:rPr>
          <w:rFonts w:eastAsia="Calibri" w:cs="Tahoma"/>
          <w:color w:val="000000"/>
          <w:szCs w:val="18"/>
          <w:lang w:val="it-IT"/>
        </w:rPr>
        <w:t>’</w:t>
      </w:r>
      <w:r w:rsidRPr="00451078">
        <w:rPr>
          <w:rFonts w:eastAsia="Calibri" w:cs="Tahoma"/>
          <w:color w:val="000000"/>
          <w:szCs w:val="18"/>
          <w:lang w:val="it-IT"/>
        </w:rPr>
        <w:t>ultima versione di SQL Server Parallel Data Warehouse concessa in licenza ai sensi del modello di licenza per processore.</w:t>
      </w:r>
      <w:r w:rsidR="00082E1C" w:rsidRPr="00451078">
        <w:rPr>
          <w:rFonts w:eastAsia="Calibri" w:cs="Tahoma"/>
          <w:color w:val="000000"/>
          <w:szCs w:val="18"/>
          <w:lang w:val="it-IT"/>
        </w:rPr>
        <w:t xml:space="preserve"> </w:t>
      </w:r>
      <w:r w:rsidRPr="00451078">
        <w:rPr>
          <w:rFonts w:eastAsia="Calibri" w:cs="Tahoma"/>
          <w:color w:val="000000"/>
          <w:szCs w:val="18"/>
          <w:lang w:val="it-IT"/>
        </w:rPr>
        <w:t>In via eccezionale, alle società con contratti multilicenza e copertura Software Assurance attiva per le licenze per SQL Server 2008 R2 Parallel Data Warehouse in data 1 marzo 2013 (</w:t>
      </w:r>
      <w:r w:rsidR="001A3EC5" w:rsidRPr="00451078">
        <w:rPr>
          <w:rFonts w:eastAsia="Calibri" w:cs="Tahoma"/>
          <w:color w:val="000000"/>
          <w:szCs w:val="18"/>
          <w:lang w:val="it-IT"/>
        </w:rPr>
        <w:t>“</w:t>
      </w:r>
      <w:r w:rsidRPr="00451078">
        <w:rPr>
          <w:rFonts w:eastAsia="Calibri" w:cs="Tahoma"/>
          <w:color w:val="000000"/>
          <w:szCs w:val="18"/>
          <w:lang w:val="it-IT"/>
        </w:rPr>
        <w:t>licenze qualificanti</w:t>
      </w:r>
      <w:r w:rsidR="001A3EC5" w:rsidRPr="00451078">
        <w:rPr>
          <w:rFonts w:eastAsia="Calibri" w:cs="Tahoma"/>
          <w:color w:val="000000"/>
          <w:szCs w:val="18"/>
          <w:lang w:val="it-IT"/>
        </w:rPr>
        <w:t>”</w:t>
      </w:r>
      <w:r w:rsidRPr="00451078">
        <w:rPr>
          <w:rFonts w:eastAsia="Calibri" w:cs="Tahoma"/>
          <w:color w:val="000000"/>
          <w:szCs w:val="18"/>
          <w:lang w:val="it-IT"/>
        </w:rPr>
        <w:t xml:space="preserve">) vengono offerte le opzioni che seguono. Le licenze per SQL Server 2008 R2 Parallel Data Warehouse </w:t>
      </w:r>
      <w:r w:rsidRPr="00451078">
        <w:rPr>
          <w:rFonts w:cs="Tahoma"/>
          <w:bCs/>
          <w:color w:val="000000"/>
          <w:szCs w:val="18"/>
          <w:lang w:val="it-IT"/>
        </w:rPr>
        <w:t>acquistate successivamente nello stesso periodo di validità dell</w:t>
      </w:r>
      <w:r w:rsidR="0073727D">
        <w:rPr>
          <w:rFonts w:cs="Tahoma"/>
          <w:bCs/>
          <w:color w:val="000000"/>
          <w:szCs w:val="18"/>
          <w:lang w:val="it-IT"/>
        </w:rPr>
        <w:t>’</w:t>
      </w:r>
      <w:r w:rsidRPr="00451078">
        <w:rPr>
          <w:rFonts w:cs="Tahoma"/>
          <w:bCs/>
          <w:color w:val="000000"/>
          <w:szCs w:val="18"/>
          <w:lang w:val="it-IT"/>
        </w:rPr>
        <w:t>iscrizione nell</w:t>
      </w:r>
      <w:r w:rsidR="0073727D">
        <w:rPr>
          <w:rFonts w:cs="Tahoma"/>
          <w:bCs/>
          <w:color w:val="000000"/>
          <w:szCs w:val="18"/>
          <w:lang w:val="it-IT"/>
        </w:rPr>
        <w:t>’</w:t>
      </w:r>
      <w:r w:rsidRPr="00451078">
        <w:rPr>
          <w:rFonts w:cs="Tahoma"/>
          <w:bCs/>
          <w:color w:val="000000"/>
          <w:szCs w:val="18"/>
          <w:lang w:val="it-IT"/>
        </w:rPr>
        <w:t>ambito di una procedura pianificata di true-up della società Enterprise o Enterprise Subscription sono anch</w:t>
      </w:r>
      <w:r w:rsidR="0073727D">
        <w:rPr>
          <w:rFonts w:cs="Tahoma"/>
          <w:bCs/>
          <w:color w:val="000000"/>
          <w:szCs w:val="18"/>
          <w:lang w:val="it-IT"/>
        </w:rPr>
        <w:t>’</w:t>
      </w:r>
      <w:r w:rsidRPr="00451078">
        <w:rPr>
          <w:rFonts w:cs="Tahoma"/>
          <w:bCs/>
          <w:color w:val="000000"/>
          <w:szCs w:val="18"/>
          <w:lang w:val="it-IT"/>
        </w:rPr>
        <w:t>esse licenze qualificanti per gli scopi previsti da tali opzioni.</w:t>
      </w:r>
    </w:p>
    <w:p w:rsidR="000A30EE" w:rsidRPr="00451078" w:rsidRDefault="000A30EE" w:rsidP="000A30EE">
      <w:pPr>
        <w:ind w:left="720"/>
        <w:rPr>
          <w:lang w:val="it-IT"/>
        </w:rPr>
      </w:pPr>
    </w:p>
    <w:p w:rsidR="000A30EE" w:rsidRPr="00451078" w:rsidRDefault="000A30EE" w:rsidP="00745AB3">
      <w:pPr>
        <w:numPr>
          <w:ilvl w:val="0"/>
          <w:numId w:val="52"/>
        </w:numPr>
        <w:spacing w:after="60"/>
        <w:ind w:left="1440"/>
        <w:rPr>
          <w:lang w:val="it-IT"/>
        </w:rPr>
      </w:pPr>
      <w:r w:rsidRPr="00451078">
        <w:rPr>
          <w:rFonts w:eastAsia="Calibri" w:cs="Tahoma"/>
          <w:color w:val="000000"/>
          <w:szCs w:val="18"/>
          <w:lang w:val="it-IT"/>
        </w:rPr>
        <w:t>Per ogni licenza qualificante in suo possesso, la società potrà eseguire l</w:t>
      </w:r>
      <w:r w:rsidR="0073727D">
        <w:rPr>
          <w:rFonts w:eastAsia="Calibri" w:cs="Tahoma"/>
          <w:color w:val="000000"/>
          <w:szCs w:val="18"/>
          <w:lang w:val="it-IT"/>
        </w:rPr>
        <w:t>’</w:t>
      </w:r>
      <w:r w:rsidRPr="00451078">
        <w:rPr>
          <w:rFonts w:eastAsia="Calibri" w:cs="Tahoma"/>
          <w:color w:val="000000"/>
          <w:szCs w:val="18"/>
          <w:lang w:val="it-IT"/>
        </w:rPr>
        <w:t>aggiornamento a 8 licenze core per SQL Server 2012 Parallel Data Warehouse. Eseguendo l</w:t>
      </w:r>
      <w:r w:rsidR="0073727D">
        <w:rPr>
          <w:rFonts w:eastAsia="Calibri" w:cs="Tahoma"/>
          <w:color w:val="000000"/>
          <w:szCs w:val="18"/>
          <w:lang w:val="it-IT"/>
        </w:rPr>
        <w:t>’</w:t>
      </w:r>
      <w:r w:rsidRPr="00451078">
        <w:rPr>
          <w:rFonts w:eastAsia="Calibri" w:cs="Tahoma"/>
          <w:color w:val="000000"/>
          <w:szCs w:val="18"/>
          <w:lang w:val="it-IT"/>
        </w:rPr>
        <w:t>aggiornamento a SQL Server 2012, le licenze per SQL Server 2008 R2 sottostanti delle società non saranno più valide.</w:t>
      </w:r>
    </w:p>
    <w:p w:rsidR="000A30EE" w:rsidRPr="00451078" w:rsidRDefault="000A30EE" w:rsidP="000A30EE">
      <w:pPr>
        <w:rPr>
          <w:lang w:val="it-IT"/>
        </w:rPr>
      </w:pPr>
    </w:p>
    <w:p w:rsidR="000A30EE" w:rsidRPr="00451078" w:rsidRDefault="000A30EE" w:rsidP="000A30EE">
      <w:pPr>
        <w:spacing w:after="60"/>
        <w:ind w:left="720"/>
        <w:rPr>
          <w:lang w:val="it-IT"/>
        </w:rPr>
      </w:pPr>
      <w:r w:rsidRPr="00451078">
        <w:rPr>
          <w:rFonts w:eastAsia="Calibri" w:cs="Tahoma"/>
          <w:b/>
          <w:color w:val="000000"/>
          <w:szCs w:val="18"/>
          <w:lang w:val="it-IT"/>
        </w:rPr>
        <w:t>Concessione di Licenza Standard per System Center</w:t>
      </w:r>
    </w:p>
    <w:p w:rsidR="000A30EE" w:rsidRPr="00451078" w:rsidRDefault="000A30EE" w:rsidP="000A30EE">
      <w:pPr>
        <w:spacing w:after="60"/>
        <w:ind w:left="720"/>
        <w:rPr>
          <w:lang w:val="it-IT"/>
        </w:rPr>
      </w:pPr>
      <w:r w:rsidRPr="00451078">
        <w:rPr>
          <w:rFonts w:eastAsia="Calibri" w:cs="Tahoma"/>
          <w:color w:val="000000"/>
          <w:szCs w:val="18"/>
          <w:lang w:val="it-IT"/>
        </w:rPr>
        <w:t>Le società che eseguono l</w:t>
      </w:r>
      <w:r w:rsidR="0073727D">
        <w:rPr>
          <w:rFonts w:eastAsia="Calibri" w:cs="Tahoma"/>
          <w:color w:val="000000"/>
          <w:szCs w:val="18"/>
          <w:lang w:val="it-IT"/>
        </w:rPr>
        <w:t>’</w:t>
      </w:r>
      <w:r w:rsidRPr="00451078">
        <w:rPr>
          <w:rFonts w:eastAsia="Calibri" w:cs="Tahoma"/>
          <w:color w:val="000000"/>
          <w:szCs w:val="18"/>
          <w:lang w:val="it-IT"/>
        </w:rPr>
        <w:t>aggiornamento a SQL Server 2012 Parallel Data Warehouse ai sensi delle licenze qualificanti saranno inoltre idonee alle seguenti concessioni di licenza per System Center:</w:t>
      </w:r>
    </w:p>
    <w:p w:rsidR="000A30EE" w:rsidRPr="00451078" w:rsidRDefault="000A30EE" w:rsidP="00745AB3">
      <w:pPr>
        <w:numPr>
          <w:ilvl w:val="0"/>
          <w:numId w:val="52"/>
        </w:numPr>
        <w:spacing w:after="60"/>
        <w:ind w:left="1440"/>
        <w:rPr>
          <w:lang w:val="it-IT"/>
        </w:rPr>
      </w:pPr>
      <w:r w:rsidRPr="00451078">
        <w:rPr>
          <w:rFonts w:eastAsia="Calibri" w:cs="Tahoma"/>
          <w:color w:val="000000"/>
          <w:szCs w:val="18"/>
          <w:lang w:val="it-IT"/>
        </w:rPr>
        <w:lastRenderedPageBreak/>
        <w:t>una licenza Standard per System Center 2012 per server per ogni server su cui è in esecuzione il</w:t>
      </w:r>
      <w:r w:rsidR="009F18F3" w:rsidRPr="00451078">
        <w:rPr>
          <w:rFonts w:eastAsia="Calibri" w:cs="Tahoma"/>
          <w:color w:val="000000"/>
          <w:szCs w:val="18"/>
          <w:lang w:val="it-IT"/>
        </w:rPr>
        <w:t> </w:t>
      </w:r>
      <w:r w:rsidRPr="00451078">
        <w:rPr>
          <w:rFonts w:eastAsia="Calibri" w:cs="Tahoma"/>
          <w:color w:val="000000"/>
          <w:szCs w:val="18"/>
          <w:lang w:val="it-IT"/>
        </w:rPr>
        <w:t>software SQL Server 2012 Parallel Data Warehouse</w:t>
      </w:r>
    </w:p>
    <w:p w:rsidR="000A30EE" w:rsidRPr="00451078" w:rsidRDefault="000A30EE" w:rsidP="00745AB3">
      <w:pPr>
        <w:numPr>
          <w:ilvl w:val="0"/>
          <w:numId w:val="52"/>
        </w:numPr>
        <w:spacing w:after="60"/>
        <w:ind w:left="1440"/>
        <w:rPr>
          <w:lang w:val="it-IT"/>
        </w:rPr>
      </w:pPr>
      <w:r w:rsidRPr="00451078">
        <w:rPr>
          <w:rFonts w:eastAsia="Calibri" w:cs="Tahoma"/>
          <w:color w:val="000000"/>
          <w:szCs w:val="18"/>
          <w:lang w:val="it-IT"/>
        </w:rPr>
        <w:t>due licenze Standard per System Center 2012 per server per tutti i server restanti dell</w:t>
      </w:r>
      <w:r w:rsidR="0073727D">
        <w:rPr>
          <w:rFonts w:eastAsia="Calibri" w:cs="Tahoma"/>
          <w:color w:val="000000"/>
          <w:szCs w:val="18"/>
          <w:lang w:val="it-IT"/>
        </w:rPr>
        <w:t>’</w:t>
      </w:r>
      <w:r w:rsidRPr="00451078">
        <w:rPr>
          <w:rFonts w:eastAsia="Calibri" w:cs="Tahoma"/>
          <w:color w:val="000000"/>
          <w:szCs w:val="18"/>
          <w:lang w:val="it-IT"/>
        </w:rPr>
        <w:t>Applicazione SQL Server 2012 Parallel Data Warehouse.</w:t>
      </w:r>
    </w:p>
    <w:p w:rsidR="000A30EE" w:rsidRPr="00451078" w:rsidRDefault="000A30EE" w:rsidP="009F18F3">
      <w:pPr>
        <w:spacing w:after="60"/>
        <w:ind w:left="720"/>
        <w:rPr>
          <w:lang w:val="it-IT"/>
        </w:rPr>
      </w:pPr>
      <w:r w:rsidRPr="00451078">
        <w:rPr>
          <w:rFonts w:eastAsia="Calibri" w:cs="Tahoma"/>
          <w:color w:val="000000"/>
          <w:szCs w:val="18"/>
          <w:lang w:val="it-IT"/>
        </w:rPr>
        <w:t>Il software potrà essere utilizzato esclusivamente per supportare l</w:t>
      </w:r>
      <w:r w:rsidR="0073727D">
        <w:rPr>
          <w:rFonts w:eastAsia="Calibri" w:cs="Tahoma"/>
          <w:color w:val="000000"/>
          <w:szCs w:val="18"/>
          <w:lang w:val="it-IT"/>
        </w:rPr>
        <w:t>’</w:t>
      </w:r>
      <w:r w:rsidRPr="00451078">
        <w:rPr>
          <w:rFonts w:eastAsia="Calibri" w:cs="Tahoma"/>
          <w:color w:val="000000"/>
          <w:szCs w:val="18"/>
          <w:lang w:val="it-IT"/>
        </w:rPr>
        <w:t>Applicazione SQL Server 2012 Parallel Data Warehouse.</w:t>
      </w:r>
    </w:p>
    <w:p w:rsidR="000A30EE" w:rsidRPr="00451078" w:rsidRDefault="000A30EE" w:rsidP="000A30EE">
      <w:pPr>
        <w:spacing w:after="60"/>
        <w:ind w:firstLine="720"/>
        <w:rPr>
          <w:lang w:val="it-IT"/>
        </w:rPr>
      </w:pPr>
    </w:p>
    <w:p w:rsidR="000A30EE" w:rsidRPr="00451078" w:rsidRDefault="000A30EE" w:rsidP="000A30EE">
      <w:pPr>
        <w:tabs>
          <w:tab w:val="left" w:pos="1440"/>
        </w:tabs>
        <w:spacing w:after="60"/>
        <w:ind w:left="720"/>
        <w:rPr>
          <w:lang w:val="it-IT"/>
        </w:rPr>
      </w:pPr>
      <w:r w:rsidRPr="00451078">
        <w:rPr>
          <w:rFonts w:eastAsia="Calibri" w:cs="Tahoma"/>
          <w:b/>
          <w:color w:val="000000"/>
          <w:szCs w:val="18"/>
          <w:lang w:val="it-IT"/>
        </w:rPr>
        <w:t>Per le Società con copertura Software Assurance che scelgono di non effettuare il rinnovo</w:t>
      </w:r>
    </w:p>
    <w:p w:rsidR="000A30EE" w:rsidRPr="00451078" w:rsidRDefault="000A30EE" w:rsidP="000A30EE">
      <w:pPr>
        <w:tabs>
          <w:tab w:val="left" w:pos="1440"/>
        </w:tabs>
        <w:ind w:left="720"/>
        <w:rPr>
          <w:lang w:val="it-IT"/>
        </w:rPr>
      </w:pPr>
      <w:r w:rsidRPr="00451078">
        <w:rPr>
          <w:rFonts w:eastAsia="Calibri" w:cs="Tahoma"/>
          <w:color w:val="000000"/>
          <w:szCs w:val="18"/>
          <w:lang w:val="it-IT"/>
        </w:rPr>
        <w:t>Le società titolari di contratti Enterprise Subscription con copertura a partire dal 1 marzo 2013 che scelgono</w:t>
      </w:r>
      <w:r w:rsidR="009F18F3" w:rsidRPr="00451078">
        <w:rPr>
          <w:rFonts w:eastAsia="Calibri" w:cs="Tahoma"/>
          <w:color w:val="000000"/>
          <w:szCs w:val="18"/>
          <w:lang w:val="it-IT"/>
        </w:rPr>
        <w:t> </w:t>
      </w:r>
      <w:r w:rsidRPr="00451078">
        <w:rPr>
          <w:rFonts w:eastAsia="Calibri" w:cs="Tahoma"/>
          <w:color w:val="000000"/>
          <w:szCs w:val="18"/>
          <w:lang w:val="it-IT"/>
        </w:rPr>
        <w:t>di effettuare il buy-out delle licenze per processore e altre società che acquistano licenze perpetue qualificanti ai sensi del loro contratto e scelgono di non rinnovare Software Assurance potranno eseguire SQL Server 2008 R2 o SQL Server 2012 ai sensi di tali licenze come indicato sotto:</w:t>
      </w:r>
    </w:p>
    <w:p w:rsidR="000A30EE" w:rsidRPr="00451078" w:rsidRDefault="000A30EE" w:rsidP="000A30EE">
      <w:pPr>
        <w:tabs>
          <w:tab w:val="left" w:pos="1440"/>
        </w:tabs>
        <w:ind w:left="720"/>
        <w:rPr>
          <w:lang w:val="it-IT"/>
        </w:rPr>
      </w:pPr>
    </w:p>
    <w:p w:rsidR="000A30EE" w:rsidRPr="00451078" w:rsidRDefault="000A30EE" w:rsidP="00745AB3">
      <w:pPr>
        <w:numPr>
          <w:ilvl w:val="0"/>
          <w:numId w:val="52"/>
        </w:numPr>
        <w:spacing w:after="60"/>
        <w:ind w:left="1440"/>
        <w:rPr>
          <w:szCs w:val="18"/>
          <w:lang w:val="it-IT"/>
        </w:rPr>
      </w:pPr>
      <w:r w:rsidRPr="00451078">
        <w:rPr>
          <w:rFonts w:eastAsia="Calibri" w:cs="Tahoma"/>
          <w:b/>
          <w:color w:val="000000"/>
          <w:szCs w:val="18"/>
          <w:lang w:val="it-IT"/>
        </w:rPr>
        <w:t>SQL Server 2008 R2 Parallel Data Warehouse:</w:t>
      </w:r>
      <w:r w:rsidRPr="00451078">
        <w:rPr>
          <w:rFonts w:eastAsia="Calibri" w:cs="Tahoma"/>
          <w:color w:val="000000"/>
          <w:szCs w:val="18"/>
          <w:lang w:val="it-IT"/>
        </w:rPr>
        <w:t xml:space="preserve"> l</w:t>
      </w:r>
      <w:r w:rsidR="0073727D">
        <w:rPr>
          <w:rFonts w:eastAsia="Calibri" w:cs="Tahoma"/>
          <w:color w:val="000000"/>
          <w:szCs w:val="18"/>
          <w:lang w:val="it-IT"/>
        </w:rPr>
        <w:t>’</w:t>
      </w:r>
      <w:r w:rsidRPr="00451078">
        <w:rPr>
          <w:rFonts w:eastAsia="Calibri" w:cs="Tahoma"/>
          <w:color w:val="000000"/>
          <w:szCs w:val="18"/>
          <w:lang w:val="it-IT"/>
        </w:rPr>
        <w:t xml:space="preserve">utilizzo continuativo di tale versione del software è soggetto ai diritti di utilizzo del prodotto previsti dalla licenza per SQL Server 2008 R2. </w:t>
      </w:r>
    </w:p>
    <w:p w:rsidR="000A30EE" w:rsidRPr="00451078" w:rsidRDefault="000A30EE" w:rsidP="00745AB3">
      <w:pPr>
        <w:numPr>
          <w:ilvl w:val="0"/>
          <w:numId w:val="52"/>
        </w:numPr>
        <w:tabs>
          <w:tab w:val="left" w:pos="1800"/>
        </w:tabs>
        <w:spacing w:after="60"/>
        <w:ind w:left="1440"/>
        <w:rPr>
          <w:szCs w:val="18"/>
          <w:lang w:val="it-IT"/>
        </w:rPr>
      </w:pPr>
      <w:r w:rsidRPr="00451078">
        <w:rPr>
          <w:rFonts w:eastAsia="Calibri" w:cs="Tahoma"/>
          <w:b/>
          <w:color w:val="000000"/>
          <w:szCs w:val="18"/>
          <w:lang w:val="it-IT"/>
        </w:rPr>
        <w:t xml:space="preserve">SQL Server 2012 Parallel Data Warehouse: </w:t>
      </w:r>
      <w:r w:rsidRPr="00451078">
        <w:rPr>
          <w:rFonts w:eastAsia="Calibri" w:cs="Tahoma"/>
          <w:color w:val="000000"/>
          <w:szCs w:val="18"/>
          <w:lang w:val="it-IT"/>
        </w:rPr>
        <w:t>l</w:t>
      </w:r>
      <w:r w:rsidR="0073727D">
        <w:rPr>
          <w:rFonts w:eastAsia="Calibri" w:cs="Tahoma"/>
          <w:color w:val="000000"/>
          <w:szCs w:val="18"/>
          <w:lang w:val="it-IT"/>
        </w:rPr>
        <w:t>’</w:t>
      </w:r>
      <w:r w:rsidRPr="00451078">
        <w:rPr>
          <w:rFonts w:eastAsia="Calibri" w:cs="Tahoma"/>
          <w:color w:val="000000"/>
          <w:szCs w:val="18"/>
          <w:lang w:val="it-IT"/>
        </w:rPr>
        <w:t xml:space="preserve">utilizzo continuativo di tale versione del software è soggetto ai diritti di utilizzo del prodotto previsti dalla licenza per SQL Server 2012 Parallel Data Warehouse. </w:t>
      </w:r>
    </w:p>
    <w:p w:rsidR="000A30EE" w:rsidRPr="00451078" w:rsidRDefault="000A30EE" w:rsidP="000A30EE">
      <w:pPr>
        <w:spacing w:after="60"/>
        <w:rPr>
          <w:lang w:val="it-IT"/>
        </w:rPr>
      </w:pPr>
    </w:p>
    <w:p w:rsidR="000A30EE" w:rsidRPr="00451078" w:rsidRDefault="000A30EE" w:rsidP="000A30EE">
      <w:pPr>
        <w:ind w:left="720"/>
        <w:rPr>
          <w:lang w:val="it-IT"/>
        </w:rPr>
      </w:pPr>
      <w:r w:rsidRPr="00451078">
        <w:rPr>
          <w:rFonts w:cs="Tahoma"/>
          <w:color w:val="000000"/>
          <w:szCs w:val="24"/>
          <w:lang w:val="it-IT"/>
        </w:rPr>
        <w:t xml:space="preserve">Tutte le licenze per SQL Server Parallel Data Warehouse e System Center concesse ai sensi della presente offerta includeranno la copertura Software Assurance. Tale copertura cesserà alla scadenza della copertura Software Assurance qualificante corrispondente. Alla scadenza della copertura, le società potranno rinnovare Software Assurance sulle licenze concesse. </w:t>
      </w:r>
    </w:p>
    <w:p w:rsidR="000A30EE" w:rsidRPr="00451078" w:rsidRDefault="000A30EE" w:rsidP="000A30EE">
      <w:pPr>
        <w:ind w:left="720"/>
        <w:rPr>
          <w:lang w:val="it-IT"/>
        </w:rPr>
      </w:pPr>
    </w:p>
    <w:p w:rsidR="000A30EE" w:rsidRPr="00451078" w:rsidRDefault="000A30EE" w:rsidP="000A30EE">
      <w:pPr>
        <w:ind w:left="720"/>
        <w:rPr>
          <w:lang w:val="it-IT"/>
        </w:rPr>
      </w:pPr>
      <w:r w:rsidRPr="00451078">
        <w:rPr>
          <w:rFonts w:cs="Tahoma"/>
          <w:color w:val="000000"/>
          <w:szCs w:val="24"/>
          <w:lang w:val="it-IT"/>
        </w:rPr>
        <w:t>L</w:t>
      </w:r>
      <w:r w:rsidR="0073727D">
        <w:rPr>
          <w:rFonts w:cs="Tahoma"/>
          <w:color w:val="000000"/>
          <w:szCs w:val="24"/>
          <w:lang w:val="it-IT"/>
        </w:rPr>
        <w:t>’</w:t>
      </w:r>
      <w:r w:rsidRPr="00451078">
        <w:rPr>
          <w:rFonts w:cs="Tahoma"/>
          <w:color w:val="000000"/>
          <w:szCs w:val="24"/>
          <w:lang w:val="it-IT"/>
        </w:rPr>
        <w:t>utilizzo di software da parte della società ai sensi della presente offerta sarà soggetto alle condizioni del relativo contratto di licenza e ai diritti di utilizzo del prodotto relativi al software. Il diritto di utilizzo del software cesserà alla scadenza del diritto di utilizzo del software ai sensi delle licenze qualificanti. Questa Nota relativa al Prodotto insieme alla prova delle licenze qualificanti attesteranno il diritto della società di utilizzare SQL Server 2012 Parallel Data Warehouse e System Center 2012 ai sensi delle condizioni della presente offerta. Le società non potranno trasferire le licenze concesse in virtù della presente offerta separatamente dalle licenze qualificanti corrispondenti.</w:t>
      </w:r>
    </w:p>
    <w:p w:rsidR="00A81E83" w:rsidRPr="00451078" w:rsidRDefault="00A81E83" w:rsidP="00C321B6">
      <w:pPr>
        <w:tabs>
          <w:tab w:val="left" w:pos="2970"/>
        </w:tabs>
        <w:ind w:left="1440"/>
        <w:rPr>
          <w:lang w:val="it-IT"/>
        </w:rPr>
      </w:pPr>
      <w:bookmarkStart w:id="1412" w:name="Srv_90SQLServer2012Standard"/>
    </w:p>
    <w:p w:rsidR="009F18F3" w:rsidRPr="00451078" w:rsidRDefault="009F18F3" w:rsidP="00C321B6">
      <w:pPr>
        <w:tabs>
          <w:tab w:val="left" w:pos="2970"/>
        </w:tabs>
        <w:ind w:left="1440"/>
        <w:rPr>
          <w:lang w:val="it-IT"/>
        </w:rPr>
      </w:pPr>
    </w:p>
    <w:p w:rsidR="00A81E83" w:rsidRPr="00451078" w:rsidRDefault="00AF6526" w:rsidP="00EF5637">
      <w:pPr>
        <w:pStyle w:val="Heading3"/>
        <w:rPr>
          <w:lang w:val="it-IT"/>
        </w:rPr>
      </w:pPr>
      <w:bookmarkStart w:id="1413" w:name="_82_SQL_Server®"/>
      <w:bookmarkStart w:id="1414" w:name="_Toc336338348"/>
      <w:bookmarkStart w:id="1415" w:name="_Toc352234935"/>
      <w:bookmarkEnd w:id="1413"/>
      <w:r w:rsidRPr="00451078">
        <w:rPr>
          <w:rFonts w:ascii="Tahoma" w:hAnsi="Tahoma"/>
          <w:caps/>
          <w:color w:val="F66400"/>
          <w:sz w:val="22"/>
          <w:vertAlign w:val="superscript"/>
          <w:lang w:val="it-IT"/>
        </w:rPr>
        <w:t>82</w:t>
      </w:r>
      <w:r w:rsidRPr="00451078">
        <w:rPr>
          <w:rFonts w:ascii="Tahoma" w:hAnsi="Tahoma"/>
          <w:color w:val="F66400"/>
          <w:sz w:val="22"/>
          <w:lang w:val="it-IT"/>
        </w:rPr>
        <w:t xml:space="preserve"> SQL Server</w:t>
      </w:r>
      <w:r w:rsidR="003410C7" w:rsidRPr="00451078">
        <w:rPr>
          <w:rFonts w:ascii="Tahoma" w:hAnsi="Tahoma"/>
          <w:color w:val="F66400"/>
          <w:sz w:val="22"/>
          <w:vertAlign w:val="superscript"/>
          <w:lang w:val="it-IT"/>
        </w:rPr>
        <w:t>®</w:t>
      </w:r>
      <w:r w:rsidRPr="00451078">
        <w:rPr>
          <w:rFonts w:ascii="Tahoma" w:hAnsi="Tahoma"/>
          <w:color w:val="F66400"/>
          <w:sz w:val="22"/>
          <w:lang w:val="it-IT"/>
        </w:rPr>
        <w:t xml:space="preserve"> 2012 Standard</w:t>
      </w:r>
      <w:bookmarkEnd w:id="1414"/>
      <w:bookmarkEnd w:id="1415"/>
      <w:r w:rsidRPr="00451078">
        <w:rPr>
          <w:rFonts w:ascii="Tahoma" w:hAnsi="Tahoma"/>
          <w:color w:val="F66400"/>
          <w:sz w:val="22"/>
          <w:lang w:val="it-IT"/>
        </w:rPr>
        <w:t xml:space="preserve"> </w:t>
      </w:r>
    </w:p>
    <w:bookmarkEnd w:id="1412"/>
    <w:p w:rsidR="00A81E83" w:rsidRPr="00451078" w:rsidRDefault="00A81E83" w:rsidP="00204D6D">
      <w:pPr>
        <w:pStyle w:val="EndnoteText"/>
        <w:ind w:left="0"/>
        <w:rPr>
          <w:lang w:val="it-IT"/>
        </w:rPr>
      </w:pPr>
    </w:p>
    <w:p w:rsidR="00A81E83" w:rsidRPr="00451078" w:rsidRDefault="00A81E83" w:rsidP="00204D6D">
      <w:pPr>
        <w:ind w:left="720"/>
        <w:rPr>
          <w:lang w:val="it-IT"/>
        </w:rPr>
      </w:pPr>
      <w:r w:rsidRPr="00451078">
        <w:rPr>
          <w:rFonts w:eastAsia="Calibri" w:cs="Tahoma"/>
          <w:szCs w:val="18"/>
          <w:lang w:val="it-IT"/>
        </w:rPr>
        <w:t>SQL Server 2012 Standard è la versione successiva di SQL Server Standard e la licenza CAL per SQL Server 2012 è la versione successiva della licenza CAL per SQL Server.</w:t>
      </w:r>
    </w:p>
    <w:p w:rsidR="00204D6D" w:rsidRPr="00451078" w:rsidRDefault="00204D6D" w:rsidP="00204D6D">
      <w:pPr>
        <w:ind w:left="720"/>
        <w:rPr>
          <w:lang w:val="it-IT"/>
        </w:rPr>
      </w:pPr>
    </w:p>
    <w:p w:rsidR="00204D6D" w:rsidRPr="00451078" w:rsidRDefault="00204D6D" w:rsidP="00204D6D">
      <w:pPr>
        <w:ind w:left="720"/>
        <w:rPr>
          <w:lang w:val="it-IT"/>
        </w:rPr>
      </w:pPr>
    </w:p>
    <w:p w:rsidR="00A81E83" w:rsidRPr="00451078" w:rsidRDefault="0099402E" w:rsidP="00EF5637">
      <w:pPr>
        <w:pStyle w:val="Heading3"/>
        <w:rPr>
          <w:lang w:val="it-IT"/>
        </w:rPr>
      </w:pPr>
      <w:bookmarkStart w:id="1416" w:name="_85_83_SQL"/>
      <w:bookmarkStart w:id="1417" w:name="_Toc336338349"/>
      <w:bookmarkStart w:id="1418" w:name="_Toc352234936"/>
      <w:bookmarkStart w:id="1419" w:name="Srv_91SQLServer2012StandardCore"/>
      <w:bookmarkEnd w:id="1416"/>
      <w:r w:rsidRPr="00451078">
        <w:rPr>
          <w:rFonts w:ascii="Tahoma" w:hAnsi="Tahoma" w:cs="Tahoma"/>
          <w:caps/>
          <w:color w:val="F66400"/>
          <w:sz w:val="22"/>
          <w:vertAlign w:val="superscript"/>
          <w:lang w:val="it-IT"/>
        </w:rPr>
        <w:t>83</w:t>
      </w:r>
      <w:r w:rsidRPr="00451078">
        <w:rPr>
          <w:rFonts w:ascii="Tahoma" w:hAnsi="Tahoma" w:cs="Tahoma"/>
          <w:color w:val="F66400"/>
          <w:sz w:val="22"/>
          <w:lang w:val="it-IT"/>
        </w:rPr>
        <w:t xml:space="preserve"> SQL Server</w:t>
      </w:r>
      <w:r w:rsidR="003410C7" w:rsidRPr="00451078">
        <w:rPr>
          <w:rFonts w:ascii="Tahoma" w:hAnsi="Tahoma" w:cs="Tahoma"/>
          <w:color w:val="F66400"/>
          <w:sz w:val="22"/>
          <w:vertAlign w:val="superscript"/>
          <w:lang w:val="it-IT"/>
        </w:rPr>
        <w:t>®</w:t>
      </w:r>
      <w:r w:rsidRPr="00451078">
        <w:rPr>
          <w:rFonts w:ascii="Tahoma" w:hAnsi="Tahoma" w:cs="Tahoma"/>
          <w:color w:val="F66400"/>
          <w:sz w:val="22"/>
          <w:lang w:val="it-IT"/>
        </w:rPr>
        <w:t xml:space="preserve"> 2012 Standard</w:t>
      </w:r>
      <w:r w:rsidRPr="00451078">
        <w:rPr>
          <w:rFonts w:ascii="Tahoma" w:eastAsia="Calibri" w:hAnsi="Tahoma" w:cs="Tahoma"/>
          <w:color w:val="F66400"/>
          <w:sz w:val="22"/>
          <w:szCs w:val="18"/>
          <w:lang w:val="it-IT"/>
        </w:rPr>
        <w:t xml:space="preserve"> Core</w:t>
      </w:r>
      <w:bookmarkEnd w:id="1417"/>
      <w:bookmarkEnd w:id="1418"/>
    </w:p>
    <w:bookmarkEnd w:id="1419"/>
    <w:p w:rsidR="00A81E83" w:rsidRPr="00451078" w:rsidRDefault="00A81E83" w:rsidP="0026723A">
      <w:pPr>
        <w:rPr>
          <w:lang w:val="it-IT"/>
        </w:rPr>
      </w:pPr>
    </w:p>
    <w:p w:rsidR="0026723A" w:rsidRPr="00451078" w:rsidRDefault="00A81E83" w:rsidP="0026723A">
      <w:pPr>
        <w:spacing w:after="60"/>
        <w:ind w:left="720"/>
        <w:rPr>
          <w:lang w:val="it-IT"/>
        </w:rPr>
      </w:pPr>
      <w:r w:rsidRPr="00451078">
        <w:rPr>
          <w:rFonts w:eastAsia="Calibri" w:cs="Tahoma"/>
          <w:b/>
          <w:szCs w:val="18"/>
          <w:lang w:val="it-IT"/>
        </w:rPr>
        <w:t>Concessioni di Licenza Associate alla Variazione del Modello di Licenza</w:t>
      </w:r>
    </w:p>
    <w:p w:rsidR="00A81E83" w:rsidRPr="00451078" w:rsidRDefault="00A81E83" w:rsidP="0026723A">
      <w:pPr>
        <w:ind w:left="720"/>
        <w:rPr>
          <w:lang w:val="it-IT"/>
        </w:rPr>
      </w:pPr>
      <w:r w:rsidRPr="00451078">
        <w:rPr>
          <w:rFonts w:eastAsia="Calibri" w:cs="Tahoma"/>
          <w:color w:val="000000"/>
          <w:szCs w:val="18"/>
          <w:lang w:val="it-IT"/>
        </w:rPr>
        <w:t>SQL Server 2008 R2 sarà l</w:t>
      </w:r>
      <w:r w:rsidR="0073727D">
        <w:rPr>
          <w:rFonts w:eastAsia="Calibri" w:cs="Tahoma"/>
          <w:color w:val="000000"/>
          <w:szCs w:val="18"/>
          <w:lang w:val="it-IT"/>
        </w:rPr>
        <w:t>’</w:t>
      </w:r>
      <w:r w:rsidRPr="00451078">
        <w:rPr>
          <w:rFonts w:eastAsia="Calibri" w:cs="Tahoma"/>
          <w:color w:val="000000"/>
          <w:szCs w:val="18"/>
          <w:lang w:val="it-IT"/>
        </w:rPr>
        <w:t>ultima versione di SQL Server concessa in licenza ai sensi del modello di licenza per processore.</w:t>
      </w:r>
      <w:r w:rsidR="00082E1C" w:rsidRPr="00451078">
        <w:rPr>
          <w:rFonts w:eastAsia="Calibri" w:cs="Tahoma"/>
          <w:color w:val="000000"/>
          <w:szCs w:val="18"/>
          <w:lang w:val="it-IT"/>
        </w:rPr>
        <w:t xml:space="preserve"> </w:t>
      </w:r>
      <w:r w:rsidRPr="00451078">
        <w:rPr>
          <w:rFonts w:eastAsia="Calibri" w:cs="Tahoma"/>
          <w:color w:val="000000"/>
          <w:szCs w:val="18"/>
          <w:lang w:val="it-IT"/>
        </w:rPr>
        <w:t>In via eccezionale, alle società con contratti multilicenza e copertura Software Assurance attiva per le licenze per processore per SQL Server 2008 R2 Standard in data 1 aprile 2012 (</w:t>
      </w:r>
      <w:r w:rsidR="001A3EC5" w:rsidRPr="00451078">
        <w:rPr>
          <w:rFonts w:eastAsia="Calibri" w:cs="Tahoma"/>
          <w:color w:val="000000"/>
          <w:szCs w:val="18"/>
          <w:lang w:val="it-IT"/>
        </w:rPr>
        <w:t>“</w:t>
      </w:r>
      <w:r w:rsidRPr="00451078">
        <w:rPr>
          <w:rFonts w:eastAsia="Calibri" w:cs="Tahoma"/>
          <w:color w:val="000000"/>
          <w:szCs w:val="18"/>
          <w:lang w:val="it-IT"/>
        </w:rPr>
        <w:t>licenze qualificanti</w:t>
      </w:r>
      <w:r w:rsidR="001A3EC5" w:rsidRPr="00451078">
        <w:rPr>
          <w:rFonts w:eastAsia="Calibri" w:cs="Tahoma"/>
          <w:color w:val="000000"/>
          <w:szCs w:val="18"/>
          <w:lang w:val="it-IT"/>
        </w:rPr>
        <w:t>”</w:t>
      </w:r>
      <w:r w:rsidRPr="00451078">
        <w:rPr>
          <w:rFonts w:eastAsia="Calibri" w:cs="Tahoma"/>
          <w:color w:val="000000"/>
          <w:szCs w:val="18"/>
          <w:lang w:val="it-IT"/>
        </w:rPr>
        <w:t xml:space="preserve">) vengono offerte le opzioni che seguono. Le licenze per processore per SQL Server 2008 R2 Standard </w:t>
      </w:r>
      <w:r w:rsidRPr="00451078">
        <w:rPr>
          <w:rFonts w:cs="Tahoma"/>
          <w:bCs/>
          <w:color w:val="000000"/>
          <w:szCs w:val="18"/>
          <w:lang w:val="it-IT"/>
        </w:rPr>
        <w:t>acquistate successivamente nello stesso periodo di validità dell</w:t>
      </w:r>
      <w:r w:rsidR="0073727D">
        <w:rPr>
          <w:rFonts w:cs="Tahoma"/>
          <w:bCs/>
          <w:color w:val="000000"/>
          <w:szCs w:val="18"/>
          <w:lang w:val="it-IT"/>
        </w:rPr>
        <w:t>’</w:t>
      </w:r>
      <w:r w:rsidRPr="00451078">
        <w:rPr>
          <w:rFonts w:cs="Tahoma"/>
          <w:bCs/>
          <w:color w:val="000000"/>
          <w:szCs w:val="18"/>
          <w:lang w:val="it-IT"/>
        </w:rPr>
        <w:t>iscrizione, ma prima del 1 aprile 2015 nell</w:t>
      </w:r>
      <w:r w:rsidR="0073727D">
        <w:rPr>
          <w:rFonts w:cs="Tahoma"/>
          <w:bCs/>
          <w:color w:val="000000"/>
          <w:szCs w:val="18"/>
          <w:lang w:val="it-IT"/>
        </w:rPr>
        <w:t>’</w:t>
      </w:r>
      <w:r w:rsidRPr="00451078">
        <w:rPr>
          <w:rFonts w:cs="Tahoma"/>
          <w:bCs/>
          <w:color w:val="000000"/>
          <w:szCs w:val="18"/>
          <w:lang w:val="it-IT"/>
        </w:rPr>
        <w:t>ambito di una procedura pianificata di true-up della società Enterprise, Enterprise Subscription, Open Value Subscription o EES, sono anch</w:t>
      </w:r>
      <w:r w:rsidR="0073727D">
        <w:rPr>
          <w:rFonts w:cs="Tahoma"/>
          <w:bCs/>
          <w:color w:val="000000"/>
          <w:szCs w:val="18"/>
          <w:lang w:val="it-IT"/>
        </w:rPr>
        <w:t>’</w:t>
      </w:r>
      <w:r w:rsidRPr="00451078">
        <w:rPr>
          <w:rFonts w:cs="Tahoma"/>
          <w:bCs/>
          <w:color w:val="000000"/>
          <w:szCs w:val="18"/>
          <w:lang w:val="it-IT"/>
        </w:rPr>
        <w:t>esse licenze qualificanti per gli scopi previsti da tali opzioni.</w:t>
      </w:r>
      <w:r w:rsidR="00082E1C" w:rsidRPr="00451078">
        <w:rPr>
          <w:rFonts w:cs="Tahoma"/>
          <w:bCs/>
          <w:color w:val="000000"/>
          <w:szCs w:val="18"/>
          <w:lang w:val="it-IT"/>
        </w:rPr>
        <w:t xml:space="preserve"> </w:t>
      </w:r>
      <w:r w:rsidRPr="00451078">
        <w:rPr>
          <w:rFonts w:cs="Tahoma"/>
          <w:bCs/>
          <w:color w:val="000000"/>
          <w:szCs w:val="18"/>
          <w:lang w:val="it-IT"/>
        </w:rPr>
        <w:t>Le licenze acquistate dopo il 1 aprile 2015, o in un periodo di validità dell</w:t>
      </w:r>
      <w:r w:rsidR="0073727D">
        <w:rPr>
          <w:rFonts w:cs="Tahoma"/>
          <w:bCs/>
          <w:color w:val="000000"/>
          <w:szCs w:val="18"/>
          <w:lang w:val="it-IT"/>
        </w:rPr>
        <w:t>’</w:t>
      </w:r>
      <w:r w:rsidRPr="00451078">
        <w:rPr>
          <w:rFonts w:cs="Tahoma"/>
          <w:bCs/>
          <w:color w:val="000000"/>
          <w:szCs w:val="18"/>
          <w:lang w:val="it-IT"/>
        </w:rPr>
        <w:t>iscrizione successivo, ai sensi di un contratto distinto o di un</w:t>
      </w:r>
      <w:r w:rsidR="0073727D">
        <w:rPr>
          <w:rFonts w:cs="Tahoma"/>
          <w:bCs/>
          <w:color w:val="000000"/>
          <w:szCs w:val="18"/>
          <w:lang w:val="it-IT"/>
        </w:rPr>
        <w:t>’</w:t>
      </w:r>
      <w:r w:rsidRPr="00451078">
        <w:rPr>
          <w:rFonts w:cs="Tahoma"/>
          <w:bCs/>
          <w:color w:val="000000"/>
          <w:szCs w:val="18"/>
          <w:lang w:val="it-IT"/>
        </w:rPr>
        <w:t>iscrizione con la data di entrata in vigore posteriore al 1 aprile 2012, non sono licenze qualificanti.</w:t>
      </w:r>
    </w:p>
    <w:p w:rsidR="0026723A" w:rsidRPr="00451078" w:rsidRDefault="0026723A" w:rsidP="0026723A">
      <w:pPr>
        <w:ind w:left="720"/>
        <w:rPr>
          <w:lang w:val="it-IT"/>
        </w:rPr>
      </w:pPr>
    </w:p>
    <w:p w:rsidR="0026723A" w:rsidRPr="00451078" w:rsidRDefault="0026723A" w:rsidP="0026723A">
      <w:pPr>
        <w:spacing w:after="60"/>
        <w:ind w:left="720"/>
        <w:rPr>
          <w:lang w:val="it-IT"/>
        </w:rPr>
      </w:pPr>
      <w:r w:rsidRPr="00451078">
        <w:rPr>
          <w:rFonts w:eastAsia="Calibri" w:cs="Tahoma"/>
          <w:b/>
          <w:szCs w:val="18"/>
          <w:lang w:val="it-IT"/>
        </w:rPr>
        <w:t>Periodo di Validità Corrente</w:t>
      </w:r>
    </w:p>
    <w:p w:rsidR="00A81E83" w:rsidRPr="00451078" w:rsidRDefault="00A81E83" w:rsidP="0026723A">
      <w:pPr>
        <w:ind w:left="720"/>
        <w:rPr>
          <w:lang w:val="it-IT"/>
        </w:rPr>
      </w:pPr>
      <w:r w:rsidRPr="00451078">
        <w:rPr>
          <w:rFonts w:eastAsia="Calibri" w:cs="Tahoma"/>
          <w:szCs w:val="18"/>
          <w:lang w:val="it-IT"/>
        </w:rPr>
        <w:t xml:space="preserve">durante il periodo di validità corrente della copertura Software Assurance a partire dal 1 aprile 2012 le società (incluse le società titolari di contratti </w:t>
      </w:r>
      <w:r w:rsidR="001A3EC5" w:rsidRPr="00451078">
        <w:rPr>
          <w:rFonts w:eastAsia="Calibri" w:cs="Tahoma"/>
          <w:szCs w:val="18"/>
          <w:lang w:val="it-IT"/>
        </w:rPr>
        <w:t>“</w:t>
      </w:r>
      <w:r w:rsidRPr="00451078">
        <w:rPr>
          <w:rFonts w:eastAsia="Calibri" w:cs="Tahoma"/>
          <w:szCs w:val="18"/>
          <w:lang w:val="it-IT"/>
        </w:rPr>
        <w:t>subscription</w:t>
      </w:r>
      <w:r w:rsidR="001A3EC5" w:rsidRPr="00451078">
        <w:rPr>
          <w:rFonts w:eastAsia="Calibri" w:cs="Tahoma"/>
          <w:szCs w:val="18"/>
          <w:lang w:val="it-IT"/>
        </w:rPr>
        <w:t>”</w:t>
      </w:r>
      <w:r w:rsidRPr="00451078">
        <w:rPr>
          <w:rFonts w:eastAsia="Calibri" w:cs="Tahoma"/>
          <w:szCs w:val="18"/>
          <w:lang w:val="it-IT"/>
        </w:rPr>
        <w:t>) potranno, ai sensi di una licenza qualificante, effettuare l</w:t>
      </w:r>
      <w:r w:rsidR="0073727D">
        <w:rPr>
          <w:rFonts w:eastAsia="Calibri" w:cs="Tahoma"/>
          <w:szCs w:val="18"/>
          <w:lang w:val="it-IT"/>
        </w:rPr>
        <w:t>’</w:t>
      </w:r>
      <w:r w:rsidRPr="00451078">
        <w:rPr>
          <w:rFonts w:eastAsia="Calibri" w:cs="Tahoma"/>
          <w:szCs w:val="18"/>
          <w:lang w:val="it-IT"/>
        </w:rPr>
        <w:t xml:space="preserve">aggiornamento al software SQL Server 2012 Standard Core e utilizzarlo al posto di SQL Server </w:t>
      </w:r>
      <w:r w:rsidRPr="00451078">
        <w:rPr>
          <w:rFonts w:eastAsia="Calibri" w:cs="Tahoma"/>
          <w:szCs w:val="18"/>
          <w:lang w:val="it-IT"/>
        </w:rPr>
        <w:lastRenderedPageBreak/>
        <w:t>2008 R2 Standard in conformità ai diritti di utilizzo del prodotto previsti dalla licenza per processore SQL Server 2008 R2 Standard (come indicato nei Diritti di Utilizzo del Prodotto del mese di gennaio 2012). alle società vengono concessi diritti aggiuntivi ai sensi di Mobilità delle Licenze tramite Software Assurance e Mobilità delle Licenze all</w:t>
      </w:r>
      <w:r w:rsidR="0073727D">
        <w:rPr>
          <w:rFonts w:eastAsia="Calibri" w:cs="Tahoma"/>
          <w:szCs w:val="18"/>
          <w:lang w:val="it-IT"/>
        </w:rPr>
        <w:t>’</w:t>
      </w:r>
      <w:r w:rsidRPr="00451078">
        <w:rPr>
          <w:rFonts w:eastAsia="Calibri" w:cs="Tahoma"/>
          <w:szCs w:val="18"/>
          <w:lang w:val="it-IT"/>
        </w:rPr>
        <w:t>interno di Server Farm.</w:t>
      </w:r>
      <w:r w:rsidR="00082E1C" w:rsidRPr="00451078">
        <w:rPr>
          <w:rFonts w:eastAsia="Calibri" w:cs="Tahoma"/>
          <w:szCs w:val="18"/>
          <w:lang w:val="it-IT"/>
        </w:rPr>
        <w:t xml:space="preserve"> </w:t>
      </w:r>
      <w:r w:rsidRPr="00451078">
        <w:rPr>
          <w:rFonts w:eastAsia="Calibri" w:cs="Tahoma"/>
          <w:szCs w:val="18"/>
          <w:lang w:val="it-IT"/>
        </w:rPr>
        <w:t>Le società dovranno fare riferimento ai Diritti di Utilizzo del Prodotto per SQL Server 2012 Standard Core per quanto riguarda le condizioni di licenza per Mobilità delle Licenze.</w:t>
      </w:r>
    </w:p>
    <w:p w:rsidR="0026723A" w:rsidRPr="00451078" w:rsidRDefault="0026723A" w:rsidP="0026723A">
      <w:pPr>
        <w:ind w:left="720"/>
        <w:rPr>
          <w:lang w:val="it-IT"/>
        </w:rPr>
      </w:pPr>
    </w:p>
    <w:p w:rsidR="0026723A" w:rsidRPr="00451078" w:rsidRDefault="00A81E83" w:rsidP="0026723A">
      <w:pPr>
        <w:spacing w:after="60"/>
        <w:ind w:left="720"/>
        <w:rPr>
          <w:lang w:val="it-IT"/>
        </w:rPr>
      </w:pPr>
      <w:r w:rsidRPr="00451078">
        <w:rPr>
          <w:rFonts w:eastAsia="Calibri" w:cs="Tahoma"/>
          <w:b/>
          <w:szCs w:val="18"/>
          <w:lang w:val="it-IT"/>
        </w:rPr>
        <w:t>Primo Periodo di Rinnovo (prima del 1 aprile 2015)</w:t>
      </w:r>
    </w:p>
    <w:p w:rsidR="00A81E83" w:rsidRPr="00451078" w:rsidRDefault="00A81E83" w:rsidP="0026723A">
      <w:pPr>
        <w:ind w:left="720"/>
        <w:rPr>
          <w:lang w:val="it-IT"/>
        </w:rPr>
      </w:pPr>
      <w:r w:rsidRPr="00451078">
        <w:rPr>
          <w:rFonts w:eastAsia="Calibri" w:cs="Tahoma"/>
          <w:szCs w:val="18"/>
          <w:lang w:val="it-IT"/>
        </w:rPr>
        <w:t>in occasione del primo rinnovo di Software Assurance in data 1 aprile 2012 o successiva (ma prima del 1 aprile 2015), per ogni server che una società ha ricevuto validamente in licenza in conformità ai diritti di utilizzo del prodotto previsti dalla licenza per processore SQL Server 2008 R2 Standard, la società potrà acquistare la copertura Software Assurance per le licenze core per SQL Server Standard senza dovere acquistare le licenze core sottostanti per un numero di licenze core pari alla somma di (a) e (b):</w:t>
      </w:r>
    </w:p>
    <w:p w:rsidR="0026723A" w:rsidRPr="00451078" w:rsidRDefault="0026723A" w:rsidP="0026723A">
      <w:pPr>
        <w:ind w:left="720"/>
        <w:rPr>
          <w:lang w:val="it-IT"/>
        </w:rPr>
      </w:pPr>
    </w:p>
    <w:p w:rsidR="0026723A" w:rsidRPr="00451078" w:rsidRDefault="00A81E83" w:rsidP="00745AB3">
      <w:pPr>
        <w:numPr>
          <w:ilvl w:val="0"/>
          <w:numId w:val="118"/>
        </w:numPr>
        <w:tabs>
          <w:tab w:val="left" w:pos="1440"/>
        </w:tabs>
        <w:spacing w:after="60"/>
        <w:ind w:left="1440"/>
        <w:rPr>
          <w:lang w:val="it-IT"/>
        </w:rPr>
      </w:pPr>
      <w:r w:rsidRPr="00451078">
        <w:rPr>
          <w:rFonts w:eastAsia="Calibri" w:cs="Tahoma"/>
          <w:szCs w:val="18"/>
          <w:lang w:val="it-IT"/>
        </w:rPr>
        <w:t xml:space="preserve">un numero pari al numero minore delle licenze qualificanti cedute al server o al numero totale dei processori fisici sul server moltiplicato per il maggiore tra: </w:t>
      </w:r>
    </w:p>
    <w:p w:rsidR="00A81E83" w:rsidRPr="003410C7" w:rsidRDefault="00A81E83" w:rsidP="00745AB3">
      <w:pPr>
        <w:numPr>
          <w:ilvl w:val="3"/>
          <w:numId w:val="56"/>
        </w:numPr>
        <w:spacing w:after="60"/>
        <w:ind w:left="1800"/>
      </w:pPr>
      <w:r w:rsidRPr="003410C7">
        <w:rPr>
          <w:rFonts w:eastAsia="Calibri" w:cs="Tahoma"/>
          <w:szCs w:val="18"/>
        </w:rPr>
        <w:t>quattro O</w:t>
      </w:r>
    </w:p>
    <w:p w:rsidR="00A81E83" w:rsidRPr="00451078" w:rsidRDefault="00A81E83" w:rsidP="00745AB3">
      <w:pPr>
        <w:numPr>
          <w:ilvl w:val="3"/>
          <w:numId w:val="56"/>
        </w:numPr>
        <w:spacing w:after="60"/>
        <w:ind w:left="1800"/>
        <w:rPr>
          <w:lang w:val="it-IT"/>
        </w:rPr>
      </w:pPr>
      <w:r w:rsidRPr="00451078">
        <w:rPr>
          <w:rFonts w:eastAsia="Calibri" w:cs="Tahoma"/>
          <w:szCs w:val="18"/>
          <w:lang w:val="it-IT"/>
        </w:rPr>
        <w:t>il numero effettivo di core per processore fisico moltiplicato per il fattore core appropriato.</w:t>
      </w:r>
      <w:r w:rsidR="00082E1C" w:rsidRPr="00451078">
        <w:rPr>
          <w:rFonts w:eastAsia="Calibri" w:cs="Tahoma"/>
          <w:szCs w:val="18"/>
          <w:lang w:val="it-IT"/>
        </w:rPr>
        <w:t xml:space="preserve"> </w:t>
      </w:r>
      <w:r w:rsidRPr="00451078">
        <w:rPr>
          <w:rFonts w:eastAsia="Calibri" w:cs="Tahoma"/>
          <w:szCs w:val="18"/>
          <w:lang w:val="it-IT"/>
        </w:rPr>
        <w:t>(Nei</w:t>
      </w:r>
      <w:r w:rsidR="009F18F3" w:rsidRPr="00451078">
        <w:rPr>
          <w:rFonts w:eastAsia="Calibri" w:cs="Tahoma"/>
          <w:szCs w:val="18"/>
          <w:lang w:val="it-IT"/>
        </w:rPr>
        <w:t> </w:t>
      </w:r>
      <w:r w:rsidRPr="00451078">
        <w:rPr>
          <w:rFonts w:eastAsia="Calibri" w:cs="Tahoma"/>
          <w:szCs w:val="18"/>
          <w:lang w:val="it-IT"/>
        </w:rPr>
        <w:t>casi in cui il numero effettivo di core per processore fisico superi quattro, le società dovranno conservare un record della configurazione del software SQL Server in esecuzione sul</w:t>
      </w:r>
      <w:r w:rsidR="009F18F3" w:rsidRPr="00451078">
        <w:rPr>
          <w:rFonts w:eastAsia="Calibri" w:cs="Tahoma"/>
          <w:szCs w:val="18"/>
          <w:lang w:val="it-IT"/>
        </w:rPr>
        <w:t> </w:t>
      </w:r>
      <w:r w:rsidRPr="00451078">
        <w:rPr>
          <w:rFonts w:eastAsia="Calibri" w:cs="Tahoma"/>
          <w:szCs w:val="18"/>
          <w:lang w:val="it-IT"/>
        </w:rPr>
        <w:t>server (istanze con licenza in esecuzione negli ambienti del sistema operativo sul server con licenza) e l</w:t>
      </w:r>
      <w:r w:rsidR="0073727D">
        <w:rPr>
          <w:rFonts w:eastAsia="Calibri" w:cs="Tahoma"/>
          <w:szCs w:val="18"/>
          <w:lang w:val="it-IT"/>
        </w:rPr>
        <w:t>’</w:t>
      </w:r>
      <w:r w:rsidRPr="00451078">
        <w:rPr>
          <w:rFonts w:eastAsia="Calibri" w:cs="Tahoma"/>
          <w:szCs w:val="18"/>
          <w:lang w:val="it-IT"/>
        </w:rPr>
        <w:t xml:space="preserve">hardware fisico che supporta tale software appena prima del rinnovo di Software Assurance utilizzando lo strumento MAP di Microsoft o un software equivalente). </w:t>
      </w:r>
    </w:p>
    <w:p w:rsidR="00A81E83" w:rsidRPr="00451078" w:rsidRDefault="00A81E83" w:rsidP="00745AB3">
      <w:pPr>
        <w:numPr>
          <w:ilvl w:val="0"/>
          <w:numId w:val="118"/>
        </w:numPr>
        <w:tabs>
          <w:tab w:val="left" w:pos="1440"/>
        </w:tabs>
        <w:spacing w:after="60"/>
        <w:ind w:left="1440"/>
        <w:rPr>
          <w:lang w:val="it-IT"/>
        </w:rPr>
      </w:pPr>
      <w:r w:rsidRPr="00451078">
        <w:rPr>
          <w:rFonts w:eastAsia="Calibri" w:cs="Tahoma"/>
          <w:szCs w:val="18"/>
          <w:lang w:val="it-IT"/>
        </w:rPr>
        <w:t>un numero pari al numero di licenze qualificanti cedute al server oltre al numero effettivo di processori fisici sul server moltiplicato per quattro.</w:t>
      </w:r>
    </w:p>
    <w:p w:rsidR="0026723A" w:rsidRPr="00451078" w:rsidRDefault="0026723A" w:rsidP="0026723A">
      <w:pPr>
        <w:tabs>
          <w:tab w:val="left" w:pos="1440"/>
        </w:tabs>
        <w:ind w:left="1080"/>
        <w:rPr>
          <w:lang w:val="it-IT"/>
        </w:rPr>
      </w:pPr>
    </w:p>
    <w:p w:rsidR="0026723A" w:rsidRPr="00451078" w:rsidRDefault="00A81E83" w:rsidP="0026723A">
      <w:pPr>
        <w:spacing w:after="60"/>
        <w:ind w:left="720"/>
        <w:rPr>
          <w:lang w:val="it-IT"/>
        </w:rPr>
      </w:pPr>
      <w:r w:rsidRPr="00451078">
        <w:rPr>
          <w:rFonts w:eastAsia="Calibri" w:cs="Tahoma"/>
          <w:b/>
          <w:szCs w:val="18"/>
          <w:lang w:val="it-IT"/>
        </w:rPr>
        <w:t>Primo Periodo di Rinnovo (in data 1 aprile 2015 o successiva)</w:t>
      </w:r>
    </w:p>
    <w:p w:rsidR="00A81E83" w:rsidRPr="00451078" w:rsidRDefault="00A81E83" w:rsidP="0026723A">
      <w:pPr>
        <w:ind w:left="720"/>
        <w:rPr>
          <w:lang w:val="it-IT"/>
        </w:rPr>
      </w:pPr>
      <w:r w:rsidRPr="00451078">
        <w:rPr>
          <w:rFonts w:eastAsia="Calibri" w:cs="Tahoma"/>
          <w:color w:val="000000"/>
          <w:szCs w:val="18"/>
          <w:lang w:val="it-IT"/>
        </w:rPr>
        <w:t>Le società che rinnovano per la prima volta la copertura in data 1 aprile 2015</w:t>
      </w:r>
      <w:r w:rsidRPr="00451078">
        <w:rPr>
          <w:rFonts w:eastAsia="Calibri" w:cs="Tahoma"/>
          <w:szCs w:val="18"/>
          <w:lang w:val="it-IT"/>
        </w:rPr>
        <w:t xml:space="preserve"> potranno, per ogni server ottenuto in licenza in conformità ai diritti di utilizzo del prodotto previsti dalla licenza per processore SQL Server 2008 R2, acquistare la copertura Software Assurance come di seguito indicato:</w:t>
      </w:r>
    </w:p>
    <w:p w:rsidR="0026723A" w:rsidRPr="00451078" w:rsidRDefault="0026723A" w:rsidP="0026723A">
      <w:pPr>
        <w:ind w:left="720"/>
        <w:rPr>
          <w:lang w:val="it-IT"/>
        </w:rPr>
      </w:pPr>
    </w:p>
    <w:p w:rsidR="00A81E83" w:rsidRPr="00451078" w:rsidRDefault="00A81E83" w:rsidP="00745AB3">
      <w:pPr>
        <w:numPr>
          <w:ilvl w:val="3"/>
          <w:numId w:val="94"/>
        </w:numPr>
        <w:spacing w:after="60"/>
        <w:ind w:left="1440"/>
        <w:rPr>
          <w:lang w:val="it-IT"/>
        </w:rPr>
      </w:pPr>
      <w:r w:rsidRPr="00451078">
        <w:rPr>
          <w:rFonts w:eastAsia="Calibri" w:cs="Tahoma"/>
          <w:szCs w:val="18"/>
          <w:lang w:val="it-IT"/>
        </w:rPr>
        <w:t xml:space="preserve">come stabilito nel primo paragrafo di questa nota relativa al prodotto, le licenze acquistate prima del 1 aprile 2015 sono licenze qualificanti e le società potranno rinnovare la copertura Software Assurance in base alle condizioni riportate nel precedente Articolo </w:t>
      </w:r>
      <w:r w:rsidR="001A3EC5" w:rsidRPr="00451078">
        <w:rPr>
          <w:rFonts w:eastAsia="Calibri" w:cs="Tahoma"/>
          <w:szCs w:val="18"/>
          <w:lang w:val="it-IT"/>
        </w:rPr>
        <w:t>“</w:t>
      </w:r>
      <w:r w:rsidRPr="00451078">
        <w:rPr>
          <w:rFonts w:eastAsia="Calibri" w:cs="Tahoma"/>
          <w:szCs w:val="18"/>
          <w:lang w:val="it-IT"/>
        </w:rPr>
        <w:t>Primo Periodo di Rinnovo (prima</w:t>
      </w:r>
      <w:r w:rsidR="009F18F3" w:rsidRPr="00451078">
        <w:rPr>
          <w:rFonts w:eastAsia="Calibri" w:cs="Tahoma"/>
          <w:szCs w:val="18"/>
          <w:lang w:val="it-IT"/>
        </w:rPr>
        <w:t> </w:t>
      </w:r>
      <w:r w:rsidRPr="00451078">
        <w:rPr>
          <w:rFonts w:eastAsia="Calibri" w:cs="Tahoma"/>
          <w:szCs w:val="18"/>
          <w:lang w:val="it-IT"/>
        </w:rPr>
        <w:t>del 1 aprile 2015)</w:t>
      </w:r>
      <w:r w:rsidR="001A3EC5" w:rsidRPr="00451078">
        <w:rPr>
          <w:rFonts w:eastAsia="Calibri" w:cs="Tahoma"/>
          <w:szCs w:val="18"/>
          <w:lang w:val="it-IT"/>
        </w:rPr>
        <w:t>”</w:t>
      </w:r>
      <w:r w:rsidRPr="00451078">
        <w:rPr>
          <w:rFonts w:eastAsia="Calibri" w:cs="Tahoma"/>
          <w:szCs w:val="18"/>
          <w:lang w:val="it-IT"/>
        </w:rPr>
        <w:t xml:space="preserve"> e </w:t>
      </w:r>
    </w:p>
    <w:p w:rsidR="00A81E83" w:rsidRPr="00451078" w:rsidRDefault="00A81E83" w:rsidP="00745AB3">
      <w:pPr>
        <w:numPr>
          <w:ilvl w:val="3"/>
          <w:numId w:val="94"/>
        </w:numPr>
        <w:spacing w:after="60"/>
        <w:ind w:left="1440"/>
        <w:rPr>
          <w:lang w:val="it-IT"/>
        </w:rPr>
      </w:pPr>
      <w:r w:rsidRPr="00451078">
        <w:rPr>
          <w:rFonts w:eastAsia="Calibri" w:cs="Tahoma"/>
          <w:szCs w:val="18"/>
          <w:lang w:val="it-IT"/>
        </w:rPr>
        <w:t>per le licenze acquistate dopo il 1 aprile 2015 le società potranno rinnovare la copertura Software Assurance per quattro licenze core per SQL Server Standard senza dover acquistare le licenze core sottostanti per ogni licenza per processore per SQL Server 2008 R2 Standard. Per l</w:t>
      </w:r>
      <w:r w:rsidR="0073727D">
        <w:rPr>
          <w:rFonts w:eastAsia="Calibri" w:cs="Tahoma"/>
          <w:szCs w:val="18"/>
          <w:lang w:val="it-IT"/>
        </w:rPr>
        <w:t>’</w:t>
      </w:r>
      <w:r w:rsidRPr="00451078">
        <w:rPr>
          <w:rFonts w:eastAsia="Calibri" w:cs="Tahoma"/>
          <w:szCs w:val="18"/>
          <w:lang w:val="it-IT"/>
        </w:rPr>
        <w:t>utilizzo continuativo di SQL Server 2012 su processori che richiedono più di quattro licenze core per processore la società deve acquistare le licenze core aggiuntive.</w:t>
      </w:r>
    </w:p>
    <w:p w:rsidR="00A81E83" w:rsidRPr="00451078" w:rsidRDefault="00A81E83" w:rsidP="00745AB3">
      <w:pPr>
        <w:numPr>
          <w:ilvl w:val="0"/>
          <w:numId w:val="133"/>
        </w:numPr>
        <w:spacing w:after="60"/>
        <w:rPr>
          <w:lang w:val="it-IT"/>
        </w:rPr>
      </w:pPr>
      <w:r w:rsidRPr="00451078">
        <w:rPr>
          <w:rFonts w:eastAsia="Calibri" w:cs="Tahoma"/>
          <w:szCs w:val="18"/>
          <w:lang w:val="it-IT"/>
        </w:rPr>
        <w:t>Le licenze per processore delle società non sono più valide se si acquista la copertura Software Assurance per licenze core ai sensi della presente offerta. L</w:t>
      </w:r>
      <w:r w:rsidR="0073727D">
        <w:rPr>
          <w:rFonts w:eastAsia="Calibri" w:cs="Tahoma"/>
          <w:szCs w:val="18"/>
          <w:lang w:val="it-IT"/>
        </w:rPr>
        <w:t>’</w:t>
      </w:r>
      <w:r w:rsidRPr="00451078">
        <w:rPr>
          <w:rFonts w:eastAsia="Calibri" w:cs="Tahoma"/>
          <w:szCs w:val="18"/>
          <w:lang w:val="it-IT"/>
        </w:rPr>
        <w:t>opzione di acquistare Software Assurance per le licenze core per SQL Server non è applicabile al rinnovo della copertura ai sensi dei programmi di sottoscrizione.</w:t>
      </w:r>
      <w:r w:rsidR="00082E1C" w:rsidRPr="00451078">
        <w:rPr>
          <w:rFonts w:eastAsia="Calibri" w:cs="Tahoma"/>
          <w:szCs w:val="18"/>
          <w:lang w:val="it-IT"/>
        </w:rPr>
        <w:t xml:space="preserve"> </w:t>
      </w:r>
    </w:p>
    <w:p w:rsidR="0026723A" w:rsidRPr="00451078" w:rsidRDefault="0026723A" w:rsidP="0026723A">
      <w:pPr>
        <w:tabs>
          <w:tab w:val="left" w:pos="1080"/>
        </w:tabs>
        <w:ind w:left="1080"/>
        <w:rPr>
          <w:lang w:val="it-IT"/>
        </w:rPr>
      </w:pPr>
    </w:p>
    <w:p w:rsidR="0026723A" w:rsidRPr="00451078" w:rsidRDefault="00A431D5" w:rsidP="0026723A">
      <w:pPr>
        <w:spacing w:after="60"/>
        <w:ind w:left="720"/>
        <w:rPr>
          <w:lang w:val="it-IT"/>
        </w:rPr>
      </w:pPr>
      <w:r w:rsidRPr="00451078">
        <w:rPr>
          <w:rFonts w:eastAsia="Calibri" w:cs="Tahoma"/>
          <w:b/>
          <w:szCs w:val="18"/>
          <w:lang w:val="it-IT"/>
        </w:rPr>
        <w:t>Per le società che desiderano eseguire lo step-up da SQL Server Standard a SQL Server Enterprise Core</w:t>
      </w:r>
    </w:p>
    <w:p w:rsidR="00A431D5" w:rsidRPr="00451078" w:rsidRDefault="00A431D5" w:rsidP="0026723A">
      <w:pPr>
        <w:ind w:left="720"/>
        <w:rPr>
          <w:lang w:val="it-IT"/>
        </w:rPr>
      </w:pPr>
      <w:r w:rsidRPr="00451078">
        <w:rPr>
          <w:rFonts w:eastAsia="Calibri" w:cs="Tahoma"/>
          <w:szCs w:val="18"/>
          <w:lang w:val="it-IT"/>
        </w:rPr>
        <w:t>Le società in possesso di licenze qualificanti per SQL Server 2008 R2 Standard possono eseguire lo step-up di tali licenze a SQL Server Enterprise (Per Core) in qualsiasi momento durante il periodo di validità corrente della copertura Software Assurance. Per ogni server ottenuto validamente in licenza in conformità ai diritti di</w:t>
      </w:r>
      <w:r w:rsidR="009F18F3" w:rsidRPr="00451078">
        <w:rPr>
          <w:rFonts w:eastAsia="Calibri" w:cs="Tahoma"/>
          <w:szCs w:val="18"/>
          <w:lang w:val="it-IT"/>
        </w:rPr>
        <w:t> </w:t>
      </w:r>
      <w:r w:rsidRPr="00451078">
        <w:rPr>
          <w:rFonts w:eastAsia="Calibri" w:cs="Tahoma"/>
          <w:szCs w:val="18"/>
          <w:lang w:val="it-IT"/>
        </w:rPr>
        <w:t xml:space="preserve">utilizzo del prodotto previsti dalla licenza per processore SQL Server 2008 R2 Standard, la società potrà acquistare un numero di Licenze di Step-Up per SQL Server Enterprise Core pari al numero totale dei processori fisici sul server moltiplicato per il maggiore tra: </w:t>
      </w:r>
    </w:p>
    <w:p w:rsidR="0026723A" w:rsidRPr="00451078" w:rsidRDefault="0026723A" w:rsidP="0026723A">
      <w:pPr>
        <w:tabs>
          <w:tab w:val="left" w:pos="1080"/>
        </w:tabs>
        <w:ind w:left="1080"/>
        <w:rPr>
          <w:lang w:val="it-IT"/>
        </w:rPr>
      </w:pPr>
    </w:p>
    <w:p w:rsidR="00A431D5" w:rsidRPr="003410C7" w:rsidRDefault="00A431D5" w:rsidP="00745AB3">
      <w:pPr>
        <w:numPr>
          <w:ilvl w:val="3"/>
          <w:numId w:val="95"/>
        </w:numPr>
        <w:tabs>
          <w:tab w:val="left" w:pos="1440"/>
        </w:tabs>
        <w:spacing w:after="60"/>
        <w:ind w:left="1440"/>
      </w:pPr>
      <w:r w:rsidRPr="003410C7">
        <w:rPr>
          <w:rFonts w:eastAsia="Calibri" w:cs="Tahoma"/>
          <w:szCs w:val="18"/>
        </w:rPr>
        <w:t>quattro O</w:t>
      </w:r>
    </w:p>
    <w:p w:rsidR="00A431D5" w:rsidRPr="00451078" w:rsidRDefault="00A431D5" w:rsidP="00745AB3">
      <w:pPr>
        <w:numPr>
          <w:ilvl w:val="3"/>
          <w:numId w:val="95"/>
        </w:numPr>
        <w:tabs>
          <w:tab w:val="left" w:pos="1440"/>
        </w:tabs>
        <w:spacing w:after="60"/>
        <w:ind w:left="1440"/>
        <w:rPr>
          <w:lang w:val="it-IT"/>
        </w:rPr>
      </w:pPr>
      <w:r w:rsidRPr="00451078">
        <w:rPr>
          <w:rFonts w:eastAsia="Calibri" w:cs="Tahoma"/>
          <w:szCs w:val="18"/>
          <w:lang w:val="it-IT"/>
        </w:rPr>
        <w:t>il numero effettivo di core per processore fisico moltiplicato per il fattore core appropriato.</w:t>
      </w:r>
      <w:r w:rsidR="00082E1C" w:rsidRPr="00451078">
        <w:rPr>
          <w:rFonts w:eastAsia="Calibri" w:cs="Tahoma"/>
          <w:szCs w:val="18"/>
          <w:lang w:val="it-IT"/>
        </w:rPr>
        <w:t xml:space="preserve"> </w:t>
      </w:r>
      <w:r w:rsidRPr="00451078">
        <w:rPr>
          <w:rFonts w:eastAsia="Calibri" w:cs="Tahoma"/>
          <w:szCs w:val="18"/>
          <w:lang w:val="it-IT"/>
        </w:rPr>
        <w:t>(Nei</w:t>
      </w:r>
      <w:r w:rsidR="009F18F3" w:rsidRPr="00451078">
        <w:rPr>
          <w:rFonts w:eastAsia="Calibri" w:cs="Tahoma"/>
          <w:szCs w:val="18"/>
          <w:lang w:val="it-IT"/>
        </w:rPr>
        <w:t> </w:t>
      </w:r>
      <w:r w:rsidRPr="00451078">
        <w:rPr>
          <w:rFonts w:eastAsia="Calibri" w:cs="Tahoma"/>
          <w:szCs w:val="18"/>
          <w:lang w:val="it-IT"/>
        </w:rPr>
        <w:t>casi</w:t>
      </w:r>
      <w:r w:rsidR="009F18F3" w:rsidRPr="00451078">
        <w:rPr>
          <w:rFonts w:eastAsia="Calibri" w:cs="Tahoma"/>
          <w:szCs w:val="18"/>
          <w:lang w:val="it-IT"/>
        </w:rPr>
        <w:t> </w:t>
      </w:r>
      <w:r w:rsidRPr="00451078">
        <w:rPr>
          <w:rFonts w:eastAsia="Calibri" w:cs="Tahoma"/>
          <w:szCs w:val="18"/>
          <w:lang w:val="it-IT"/>
        </w:rPr>
        <w:t xml:space="preserve">in cui il numero effettivo di core per processore fisico superi quattro, le società dovranno </w:t>
      </w:r>
      <w:r w:rsidRPr="00451078">
        <w:rPr>
          <w:rFonts w:eastAsia="Calibri" w:cs="Tahoma"/>
          <w:szCs w:val="18"/>
          <w:lang w:val="it-IT"/>
        </w:rPr>
        <w:lastRenderedPageBreak/>
        <w:t>conservare un record della configurazione del software SQL Server in esecuzione sul server (istanze con licenza in esecuzione negli ambienti del sistema operativo sul server con licenza) e l</w:t>
      </w:r>
      <w:r w:rsidR="0073727D">
        <w:rPr>
          <w:rFonts w:eastAsia="Calibri" w:cs="Tahoma"/>
          <w:szCs w:val="18"/>
          <w:lang w:val="it-IT"/>
        </w:rPr>
        <w:t>’</w:t>
      </w:r>
      <w:r w:rsidRPr="00451078">
        <w:rPr>
          <w:rFonts w:eastAsia="Calibri" w:cs="Tahoma"/>
          <w:szCs w:val="18"/>
          <w:lang w:val="it-IT"/>
        </w:rPr>
        <w:t>hardware fisico che supporta tale software appena prima dell</w:t>
      </w:r>
      <w:r w:rsidR="0073727D">
        <w:rPr>
          <w:rFonts w:eastAsia="Calibri" w:cs="Tahoma"/>
          <w:szCs w:val="18"/>
          <w:lang w:val="it-IT"/>
        </w:rPr>
        <w:t>’</w:t>
      </w:r>
      <w:r w:rsidRPr="00451078">
        <w:rPr>
          <w:rFonts w:eastAsia="Calibri" w:cs="Tahoma"/>
          <w:szCs w:val="18"/>
          <w:lang w:val="it-IT"/>
        </w:rPr>
        <w:t xml:space="preserve">acquisto delle licenze di Step-Up utilizzando lo strumento MAP di Microsoft o un software equivalente). </w:t>
      </w:r>
    </w:p>
    <w:p w:rsidR="0026723A" w:rsidRPr="00451078" w:rsidRDefault="0026723A" w:rsidP="0026723A">
      <w:pPr>
        <w:tabs>
          <w:tab w:val="left" w:pos="1440"/>
        </w:tabs>
        <w:ind w:left="1440"/>
        <w:rPr>
          <w:lang w:val="it-IT"/>
        </w:rPr>
      </w:pPr>
    </w:p>
    <w:p w:rsidR="00A431D5" w:rsidRPr="00451078" w:rsidRDefault="00A431D5" w:rsidP="0026723A">
      <w:pPr>
        <w:ind w:left="720"/>
        <w:rPr>
          <w:lang w:val="it-IT"/>
        </w:rPr>
      </w:pPr>
      <w:r w:rsidRPr="00451078">
        <w:rPr>
          <w:rFonts w:eastAsia="Calibri" w:cs="Tahoma"/>
          <w:szCs w:val="18"/>
          <w:lang w:val="it-IT"/>
        </w:rPr>
        <w:t>All</w:t>
      </w:r>
      <w:r w:rsidR="0073727D">
        <w:rPr>
          <w:rFonts w:eastAsia="Calibri" w:cs="Tahoma"/>
          <w:szCs w:val="18"/>
          <w:lang w:val="it-IT"/>
        </w:rPr>
        <w:t>’</w:t>
      </w:r>
      <w:r w:rsidRPr="00451078">
        <w:rPr>
          <w:rFonts w:eastAsia="Calibri" w:cs="Tahoma"/>
          <w:szCs w:val="18"/>
          <w:lang w:val="it-IT"/>
        </w:rPr>
        <w:t>acquisto nel numero appropriato di licenze di Step-Up per SQL Server Enterprise Core, la società potrà distribuire e utilizzare il software ai sensi dei diritti di utilizzo di SQL Server Enterprise Core.</w:t>
      </w:r>
      <w:r w:rsidR="00082E1C" w:rsidRPr="00451078">
        <w:rPr>
          <w:rFonts w:eastAsia="Calibri" w:cs="Tahoma"/>
          <w:szCs w:val="18"/>
          <w:lang w:val="it-IT"/>
        </w:rPr>
        <w:t xml:space="preserve"> </w:t>
      </w:r>
      <w:r w:rsidRPr="00451078">
        <w:rPr>
          <w:rFonts w:eastAsia="Calibri" w:cs="Tahoma"/>
          <w:szCs w:val="18"/>
          <w:lang w:val="it-IT"/>
        </w:rPr>
        <w:t xml:space="preserve">Salvo per quanto previsto al presente Articolo </w:t>
      </w:r>
      <w:r w:rsidR="001A3EC5" w:rsidRPr="00451078">
        <w:rPr>
          <w:rFonts w:eastAsia="Calibri" w:cs="Tahoma"/>
          <w:szCs w:val="18"/>
          <w:lang w:val="it-IT"/>
        </w:rPr>
        <w:t>“</w:t>
      </w:r>
      <w:r w:rsidRPr="00451078">
        <w:rPr>
          <w:rFonts w:eastAsia="Calibri" w:cs="Tahoma"/>
          <w:szCs w:val="18"/>
          <w:lang w:val="it-IT"/>
        </w:rPr>
        <w:t>Per le società che desiderano eseguire lo step-up da SQL Server Standard a SQL Server Enterprise Core</w:t>
      </w:r>
      <w:r w:rsidR="001A3EC5" w:rsidRPr="00451078">
        <w:rPr>
          <w:rFonts w:eastAsia="Calibri" w:cs="Tahoma"/>
          <w:szCs w:val="18"/>
          <w:lang w:val="it-IT"/>
        </w:rPr>
        <w:t>”</w:t>
      </w:r>
      <w:r w:rsidRPr="00451078">
        <w:rPr>
          <w:rFonts w:eastAsia="Calibri" w:cs="Tahoma"/>
          <w:b/>
          <w:szCs w:val="18"/>
          <w:lang w:val="it-IT"/>
        </w:rPr>
        <w:t xml:space="preserve">, </w:t>
      </w:r>
      <w:r w:rsidRPr="00451078">
        <w:rPr>
          <w:rFonts w:eastAsia="Calibri" w:cs="Tahoma"/>
          <w:szCs w:val="18"/>
          <w:lang w:val="it-IT"/>
        </w:rPr>
        <w:t>si applicano le condizioni relative all</w:t>
      </w:r>
      <w:r w:rsidR="0073727D">
        <w:rPr>
          <w:rFonts w:eastAsia="Calibri" w:cs="Tahoma"/>
          <w:szCs w:val="18"/>
          <w:lang w:val="it-IT"/>
        </w:rPr>
        <w:t>’</w:t>
      </w:r>
      <w:r w:rsidRPr="00451078">
        <w:rPr>
          <w:rFonts w:eastAsia="Calibri" w:cs="Tahoma"/>
          <w:szCs w:val="18"/>
          <w:lang w:val="it-IT"/>
        </w:rPr>
        <w:t>acquisto di licenze di Step-Up, come descritte nell</w:t>
      </w:r>
      <w:r w:rsidR="0073727D">
        <w:rPr>
          <w:rFonts w:eastAsia="Calibri" w:cs="Tahoma"/>
          <w:szCs w:val="18"/>
          <w:lang w:val="it-IT"/>
        </w:rPr>
        <w:t>’</w:t>
      </w:r>
      <w:r w:rsidRPr="00451078">
        <w:rPr>
          <w:rFonts w:eastAsia="Calibri" w:cs="Tahoma"/>
          <w:szCs w:val="18"/>
          <w:lang w:val="it-IT"/>
        </w:rPr>
        <w:t>Articolo relativo a Software Assurance in questa Lista dei Prodotti.</w:t>
      </w:r>
      <w:r w:rsidRPr="00451078">
        <w:rPr>
          <w:rFonts w:eastAsia="Calibri" w:cs="Tahoma"/>
          <w:b/>
          <w:szCs w:val="18"/>
          <w:lang w:val="it-IT"/>
        </w:rPr>
        <w:t xml:space="preserve"> </w:t>
      </w:r>
    </w:p>
    <w:p w:rsidR="0026723A" w:rsidRPr="00451078" w:rsidRDefault="0026723A" w:rsidP="0026723A">
      <w:pPr>
        <w:tabs>
          <w:tab w:val="left" w:pos="1080"/>
        </w:tabs>
        <w:ind w:left="1080"/>
        <w:rPr>
          <w:lang w:val="it-IT"/>
        </w:rPr>
      </w:pPr>
    </w:p>
    <w:p w:rsidR="0026723A" w:rsidRPr="00451078" w:rsidRDefault="00A81E83" w:rsidP="0026723A">
      <w:pPr>
        <w:spacing w:after="60"/>
        <w:ind w:left="720"/>
        <w:rPr>
          <w:lang w:val="it-IT"/>
        </w:rPr>
      </w:pPr>
      <w:r w:rsidRPr="00451078">
        <w:rPr>
          <w:rFonts w:eastAsia="Calibri" w:cs="Tahoma"/>
          <w:b/>
          <w:szCs w:val="18"/>
          <w:lang w:val="it-IT"/>
        </w:rPr>
        <w:t>Per le Società con copertura Software Assurance in scadenza prima del 1 aprile 2015 che scelgono di non effettuare il rinnovo</w:t>
      </w:r>
    </w:p>
    <w:p w:rsidR="00A81E83" w:rsidRPr="00451078" w:rsidRDefault="00A81E83" w:rsidP="0026723A">
      <w:pPr>
        <w:ind w:left="720"/>
        <w:rPr>
          <w:lang w:val="it-IT"/>
        </w:rPr>
      </w:pPr>
      <w:r w:rsidRPr="00451078">
        <w:rPr>
          <w:rFonts w:eastAsia="Calibri" w:cs="Tahoma"/>
          <w:szCs w:val="18"/>
          <w:lang w:val="it-IT"/>
        </w:rPr>
        <w:t>Le società titolari di contratti Enterprise Subscription e Open Value Subscription con copertura in scadenza prima del 1 aprile 2015 che scelgono di effettuare il buy-out delle licenze per processore e altre società che acquistano licenze perpetue ai sensi del loro contratto e scelgono di non rinnovare Software Assurance potranno eseguire SQL Server 2008 R2 o SQL Server 2012 ai sensi di tali licenze come indicato sotto:</w:t>
      </w:r>
    </w:p>
    <w:p w:rsidR="009C7505" w:rsidRPr="00451078" w:rsidRDefault="009C7505" w:rsidP="0026723A">
      <w:pPr>
        <w:ind w:left="720"/>
        <w:rPr>
          <w:lang w:val="it-IT"/>
        </w:rPr>
      </w:pPr>
    </w:p>
    <w:p w:rsidR="00A81E83" w:rsidRPr="00451078" w:rsidRDefault="00A81E83" w:rsidP="00745AB3">
      <w:pPr>
        <w:numPr>
          <w:ilvl w:val="0"/>
          <w:numId w:val="96"/>
        </w:numPr>
        <w:tabs>
          <w:tab w:val="left" w:pos="1440"/>
        </w:tabs>
        <w:spacing w:after="60"/>
        <w:ind w:left="1440"/>
        <w:rPr>
          <w:lang w:val="it-IT"/>
        </w:rPr>
      </w:pPr>
      <w:r w:rsidRPr="00451078">
        <w:rPr>
          <w:rFonts w:eastAsia="Calibri" w:cs="Tahoma"/>
          <w:b/>
          <w:szCs w:val="18"/>
          <w:lang w:val="it-IT"/>
        </w:rPr>
        <w:t>SQL Server 2008 R2 Standard:</w:t>
      </w:r>
      <w:r w:rsidRPr="00451078">
        <w:rPr>
          <w:rFonts w:eastAsia="Calibri" w:cs="Tahoma"/>
          <w:szCs w:val="18"/>
          <w:lang w:val="it-IT"/>
        </w:rPr>
        <w:t xml:space="preserve"> l</w:t>
      </w:r>
      <w:r w:rsidR="0073727D">
        <w:rPr>
          <w:rFonts w:eastAsia="Calibri" w:cs="Tahoma"/>
          <w:szCs w:val="18"/>
          <w:lang w:val="it-IT"/>
        </w:rPr>
        <w:t>’</w:t>
      </w:r>
      <w:r w:rsidRPr="00451078">
        <w:rPr>
          <w:rFonts w:eastAsia="Calibri" w:cs="Tahoma"/>
          <w:szCs w:val="18"/>
          <w:lang w:val="it-IT"/>
        </w:rPr>
        <w:t>utilizzo continuativo di tale versione del software è soggetto ai</w:t>
      </w:r>
      <w:r w:rsidR="009F18F3" w:rsidRPr="00451078">
        <w:rPr>
          <w:rFonts w:eastAsia="Calibri" w:cs="Tahoma"/>
          <w:szCs w:val="18"/>
          <w:lang w:val="it-IT"/>
        </w:rPr>
        <w:t> </w:t>
      </w:r>
      <w:r w:rsidRPr="00451078">
        <w:rPr>
          <w:rFonts w:eastAsia="Calibri" w:cs="Tahoma"/>
          <w:szCs w:val="18"/>
          <w:lang w:val="it-IT"/>
        </w:rPr>
        <w:t>diritti di utilizzo del prodotto previsti dalla licenza per processore SQL Server 2008 R2 Standard. Le</w:t>
      </w:r>
      <w:r w:rsidR="009F18F3" w:rsidRPr="00451078">
        <w:rPr>
          <w:rFonts w:eastAsia="Calibri" w:cs="Tahoma"/>
          <w:szCs w:val="18"/>
          <w:lang w:val="it-IT"/>
        </w:rPr>
        <w:t> </w:t>
      </w:r>
      <w:r w:rsidRPr="00451078">
        <w:rPr>
          <w:rFonts w:eastAsia="Calibri" w:cs="Tahoma"/>
          <w:szCs w:val="18"/>
          <w:lang w:val="it-IT"/>
        </w:rPr>
        <w:t>società non disporranno più di diritti ai sensi della Mobilità delle Licenze all</w:t>
      </w:r>
      <w:r w:rsidR="0073727D">
        <w:rPr>
          <w:rFonts w:eastAsia="Calibri" w:cs="Tahoma"/>
          <w:szCs w:val="18"/>
          <w:lang w:val="it-IT"/>
        </w:rPr>
        <w:t>’</w:t>
      </w:r>
      <w:r w:rsidRPr="00451078">
        <w:rPr>
          <w:rFonts w:eastAsia="Calibri" w:cs="Tahoma"/>
          <w:szCs w:val="18"/>
          <w:lang w:val="it-IT"/>
        </w:rPr>
        <w:t>interno di Server Farm o</w:t>
      </w:r>
      <w:r w:rsidR="009F18F3" w:rsidRPr="00451078">
        <w:rPr>
          <w:rFonts w:eastAsia="Calibri" w:cs="Tahoma"/>
          <w:szCs w:val="18"/>
          <w:lang w:val="it-IT"/>
        </w:rPr>
        <w:t> </w:t>
      </w:r>
      <w:r w:rsidRPr="00451078">
        <w:rPr>
          <w:rFonts w:eastAsia="Calibri" w:cs="Tahoma"/>
          <w:szCs w:val="18"/>
          <w:lang w:val="it-IT"/>
        </w:rPr>
        <w:t xml:space="preserve">della Mobilità delle Licenze tramite Software Assurance. </w:t>
      </w:r>
    </w:p>
    <w:p w:rsidR="00A81E83" w:rsidRPr="00451078" w:rsidRDefault="00A81E83" w:rsidP="00745AB3">
      <w:pPr>
        <w:numPr>
          <w:ilvl w:val="0"/>
          <w:numId w:val="96"/>
        </w:numPr>
        <w:tabs>
          <w:tab w:val="left" w:pos="1440"/>
        </w:tabs>
        <w:spacing w:after="60"/>
        <w:ind w:left="1440"/>
        <w:rPr>
          <w:lang w:val="it-IT"/>
        </w:rPr>
      </w:pPr>
      <w:r w:rsidRPr="00451078">
        <w:rPr>
          <w:rFonts w:eastAsia="Calibri" w:cs="Tahoma"/>
          <w:b/>
          <w:szCs w:val="18"/>
          <w:lang w:val="it-IT"/>
        </w:rPr>
        <w:t xml:space="preserve">SQL Server 2012 Standard Core: </w:t>
      </w:r>
      <w:r w:rsidRPr="00451078">
        <w:rPr>
          <w:rFonts w:eastAsia="Calibri" w:cs="Tahoma"/>
          <w:szCs w:val="18"/>
          <w:lang w:val="it-IT"/>
        </w:rPr>
        <w:t>l</w:t>
      </w:r>
      <w:r w:rsidR="0073727D">
        <w:rPr>
          <w:rFonts w:eastAsia="Calibri" w:cs="Tahoma"/>
          <w:szCs w:val="18"/>
          <w:lang w:val="it-IT"/>
        </w:rPr>
        <w:t>’</w:t>
      </w:r>
      <w:r w:rsidRPr="00451078">
        <w:rPr>
          <w:rFonts w:eastAsia="Calibri" w:cs="Tahoma"/>
          <w:szCs w:val="18"/>
          <w:lang w:val="it-IT"/>
        </w:rPr>
        <w:t xml:space="preserve">utilizzo di tale versione del software è soggetto ai diritti di utilizzo del prodotto previsti dalla licenza per processore SQL Server 2008 R2 Standard, tuttavia: </w:t>
      </w:r>
    </w:p>
    <w:p w:rsidR="00A81E83" w:rsidRPr="00451078" w:rsidRDefault="00A81E83" w:rsidP="00745AB3">
      <w:pPr>
        <w:numPr>
          <w:ilvl w:val="1"/>
          <w:numId w:val="97"/>
        </w:numPr>
        <w:tabs>
          <w:tab w:val="left" w:pos="1800"/>
        </w:tabs>
        <w:spacing w:after="60"/>
        <w:ind w:left="1800"/>
        <w:rPr>
          <w:lang w:val="it-IT"/>
        </w:rPr>
      </w:pPr>
      <w:r w:rsidRPr="00451078">
        <w:rPr>
          <w:rFonts w:eastAsia="Calibri" w:cs="Tahoma"/>
          <w:szCs w:val="18"/>
          <w:lang w:val="it-IT"/>
        </w:rPr>
        <w:t>le società non disporranno più di diritti ai sensi della Mobilità delle Licenze all</w:t>
      </w:r>
      <w:r w:rsidR="0073727D">
        <w:rPr>
          <w:rFonts w:eastAsia="Calibri" w:cs="Tahoma"/>
          <w:szCs w:val="18"/>
          <w:lang w:val="it-IT"/>
        </w:rPr>
        <w:t>’</w:t>
      </w:r>
      <w:r w:rsidRPr="00451078">
        <w:rPr>
          <w:rFonts w:eastAsia="Calibri" w:cs="Tahoma"/>
          <w:szCs w:val="18"/>
          <w:lang w:val="it-IT"/>
        </w:rPr>
        <w:t xml:space="preserve">interno di Server Farm o della Mobilità delle Licenze tramite Software Assurance e </w:t>
      </w:r>
    </w:p>
    <w:p w:rsidR="00A81E83" w:rsidRPr="00451078" w:rsidRDefault="00A81E83" w:rsidP="00745AB3">
      <w:pPr>
        <w:numPr>
          <w:ilvl w:val="1"/>
          <w:numId w:val="97"/>
        </w:numPr>
        <w:tabs>
          <w:tab w:val="left" w:pos="1800"/>
        </w:tabs>
        <w:spacing w:after="60"/>
        <w:ind w:left="1800"/>
        <w:rPr>
          <w:lang w:val="it-IT"/>
        </w:rPr>
      </w:pPr>
      <w:r w:rsidRPr="00451078">
        <w:rPr>
          <w:rFonts w:eastAsia="Calibri" w:cs="Tahoma"/>
          <w:szCs w:val="18"/>
          <w:lang w:val="it-IT"/>
        </w:rPr>
        <w:t>l</w:t>
      </w:r>
      <w:r w:rsidR="0073727D">
        <w:rPr>
          <w:rFonts w:eastAsia="Calibri" w:cs="Tahoma"/>
          <w:szCs w:val="18"/>
          <w:lang w:val="it-IT"/>
        </w:rPr>
        <w:t>’</w:t>
      </w:r>
      <w:r w:rsidRPr="00451078">
        <w:rPr>
          <w:rFonts w:eastAsia="Calibri" w:cs="Tahoma"/>
          <w:szCs w:val="18"/>
          <w:lang w:val="it-IT"/>
        </w:rPr>
        <w:t>eventuale riassegnazione di licenze è soggetta ai limiti indicati nei paragrafi (i) e (ii) che</w:t>
      </w:r>
      <w:r w:rsidR="009F18F3" w:rsidRPr="00451078">
        <w:rPr>
          <w:rFonts w:eastAsia="Calibri" w:cs="Tahoma"/>
          <w:szCs w:val="18"/>
          <w:lang w:val="it-IT"/>
        </w:rPr>
        <w:t> </w:t>
      </w:r>
      <w:r w:rsidRPr="00451078">
        <w:rPr>
          <w:rFonts w:eastAsia="Calibri" w:cs="Tahoma"/>
          <w:szCs w:val="18"/>
          <w:lang w:val="it-IT"/>
        </w:rPr>
        <w:t xml:space="preserve">seguono relativi alla loro </w:t>
      </w:r>
      <w:r w:rsidR="001A3EC5" w:rsidRPr="00451078">
        <w:rPr>
          <w:rFonts w:eastAsia="Calibri" w:cs="Tahoma"/>
          <w:szCs w:val="18"/>
          <w:lang w:val="it-IT"/>
        </w:rPr>
        <w:t>“</w:t>
      </w:r>
      <w:r w:rsidRPr="00451078">
        <w:rPr>
          <w:rFonts w:eastAsia="Calibri" w:cs="Tahoma"/>
          <w:szCs w:val="18"/>
          <w:lang w:val="it-IT"/>
        </w:rPr>
        <w:t>equivalenza di licenze core</w:t>
      </w:r>
      <w:r w:rsidR="001A3EC5" w:rsidRPr="00451078">
        <w:rPr>
          <w:rFonts w:eastAsia="Calibri" w:cs="Tahoma"/>
          <w:szCs w:val="18"/>
          <w:lang w:val="it-IT"/>
        </w:rPr>
        <w:t>”</w:t>
      </w:r>
      <w:r w:rsidRPr="00451078">
        <w:rPr>
          <w:rFonts w:eastAsia="Calibri" w:cs="Tahoma"/>
          <w:szCs w:val="18"/>
          <w:lang w:val="it-IT"/>
        </w:rPr>
        <w:t>. L</w:t>
      </w:r>
      <w:r w:rsidR="0073727D">
        <w:rPr>
          <w:rFonts w:eastAsia="Calibri" w:cs="Tahoma"/>
          <w:szCs w:val="18"/>
          <w:lang w:val="it-IT"/>
        </w:rPr>
        <w:t>’</w:t>
      </w:r>
      <w:r w:rsidRPr="00451078">
        <w:rPr>
          <w:rFonts w:eastAsia="Calibri" w:cs="Tahoma"/>
          <w:szCs w:val="18"/>
          <w:lang w:val="it-IT"/>
        </w:rPr>
        <w:t>equivalenza di licenze core è</w:t>
      </w:r>
      <w:r w:rsidR="009F18F3" w:rsidRPr="00451078">
        <w:rPr>
          <w:rFonts w:eastAsia="Calibri" w:cs="Tahoma"/>
          <w:szCs w:val="18"/>
          <w:lang w:val="it-IT"/>
        </w:rPr>
        <w:t> </w:t>
      </w:r>
      <w:r w:rsidRPr="00451078">
        <w:rPr>
          <w:rFonts w:eastAsia="Calibri" w:cs="Tahoma"/>
          <w:szCs w:val="18"/>
          <w:lang w:val="it-IT"/>
        </w:rPr>
        <w:t xml:space="preserve">determinata come di seguito riportato. </w:t>
      </w:r>
    </w:p>
    <w:p w:rsidR="00A81E83" w:rsidRPr="00451078" w:rsidRDefault="00A81E83" w:rsidP="00745AB3">
      <w:pPr>
        <w:numPr>
          <w:ilvl w:val="2"/>
          <w:numId w:val="96"/>
        </w:numPr>
        <w:tabs>
          <w:tab w:val="left" w:pos="2160"/>
        </w:tabs>
        <w:spacing w:after="60"/>
        <w:ind w:hanging="360"/>
        <w:rPr>
          <w:lang w:val="it-IT"/>
        </w:rPr>
      </w:pPr>
      <w:r w:rsidRPr="00451078">
        <w:rPr>
          <w:rFonts w:eastAsia="Calibri" w:cs="Tahoma"/>
          <w:szCs w:val="18"/>
          <w:lang w:val="it-IT"/>
        </w:rPr>
        <w:t>Per un numero di licenze pari al numero inferiore tra (x) il numero totale di licenze per processore cedute a un server con licenza appena prima della scadenza di Software Assurance o (y) il numero totale di processori fisici su tale server, l</w:t>
      </w:r>
      <w:r w:rsidR="0073727D">
        <w:rPr>
          <w:rFonts w:eastAsia="Calibri" w:cs="Tahoma"/>
          <w:szCs w:val="18"/>
          <w:lang w:val="it-IT"/>
        </w:rPr>
        <w:t>’</w:t>
      </w:r>
      <w:r w:rsidRPr="00451078">
        <w:rPr>
          <w:rFonts w:eastAsia="Calibri" w:cs="Tahoma"/>
          <w:szCs w:val="18"/>
          <w:lang w:val="it-IT"/>
        </w:rPr>
        <w:t xml:space="preserve">equivalenza di licenze core è il numero maggiore tra: </w:t>
      </w:r>
    </w:p>
    <w:p w:rsidR="00A81E83" w:rsidRPr="00451078" w:rsidRDefault="00A81E83" w:rsidP="00745AB3">
      <w:pPr>
        <w:numPr>
          <w:ilvl w:val="4"/>
          <w:numId w:val="133"/>
        </w:numPr>
        <w:tabs>
          <w:tab w:val="left" w:pos="2520"/>
        </w:tabs>
        <w:spacing w:after="60"/>
        <w:ind w:left="2880"/>
        <w:rPr>
          <w:lang w:val="it-IT"/>
        </w:rPr>
      </w:pPr>
      <w:r w:rsidRPr="00451078">
        <w:rPr>
          <w:rFonts w:eastAsia="Calibri" w:cs="Tahoma"/>
          <w:szCs w:val="18"/>
          <w:lang w:val="it-IT"/>
        </w:rPr>
        <w:t xml:space="preserve">quattro core per licenza per processore O </w:t>
      </w:r>
    </w:p>
    <w:p w:rsidR="00A81E83" w:rsidRPr="00451078" w:rsidRDefault="00A81E83" w:rsidP="00745AB3">
      <w:pPr>
        <w:numPr>
          <w:ilvl w:val="4"/>
          <w:numId w:val="133"/>
        </w:numPr>
        <w:tabs>
          <w:tab w:val="left" w:pos="2520"/>
        </w:tabs>
        <w:spacing w:after="60"/>
        <w:ind w:left="2880"/>
        <w:rPr>
          <w:lang w:val="it-IT"/>
        </w:rPr>
      </w:pPr>
      <w:r w:rsidRPr="00451078">
        <w:rPr>
          <w:rFonts w:eastAsia="Calibri" w:cs="Tahoma"/>
          <w:szCs w:val="18"/>
          <w:lang w:val="it-IT"/>
        </w:rPr>
        <w:t>un numero di core per licenza per processore basato sul numero effettivo di core per processore fisico moltiplicato per il fattore core appropriato. (Nei casi in cui il numero effettivo di core per processore fisico superi quattro, le società dovranno conservare un record della configurazione del software SQL Server in esecuzione sul server (istanze con licenza in esecuzione negli ambienti del sistema operativo sul server con licenza) e l</w:t>
      </w:r>
      <w:r w:rsidR="0073727D">
        <w:rPr>
          <w:rFonts w:eastAsia="Calibri" w:cs="Tahoma"/>
          <w:szCs w:val="18"/>
          <w:lang w:val="it-IT"/>
        </w:rPr>
        <w:t>’</w:t>
      </w:r>
      <w:r w:rsidRPr="00451078">
        <w:rPr>
          <w:rFonts w:eastAsia="Calibri" w:cs="Tahoma"/>
          <w:szCs w:val="18"/>
          <w:lang w:val="it-IT"/>
        </w:rPr>
        <w:t>hardware fisico che supporta tale software appena prima della scadenza di Software Assurance utilizzando lo strumento MAP di Microsoft o un software equivalente).</w:t>
      </w:r>
    </w:p>
    <w:p w:rsidR="00A81E83" w:rsidRPr="00451078" w:rsidRDefault="00A81E83" w:rsidP="00745AB3">
      <w:pPr>
        <w:numPr>
          <w:ilvl w:val="2"/>
          <w:numId w:val="96"/>
        </w:numPr>
        <w:tabs>
          <w:tab w:val="left" w:pos="2160"/>
        </w:tabs>
        <w:spacing w:after="60"/>
        <w:ind w:hanging="360"/>
        <w:rPr>
          <w:lang w:val="it-IT"/>
        </w:rPr>
      </w:pPr>
      <w:r w:rsidRPr="00451078">
        <w:rPr>
          <w:rFonts w:eastAsia="Calibri" w:cs="Tahoma"/>
          <w:szCs w:val="18"/>
          <w:lang w:val="it-IT"/>
        </w:rPr>
        <w:t>Per qualsiasi licenza per processore con la copertura Software Assurance in scadenza ceduta allo stesso server con licenza che ecceda il numero effettivo di processori fisici sul</w:t>
      </w:r>
      <w:r w:rsidR="009F18F3" w:rsidRPr="00451078">
        <w:rPr>
          <w:rFonts w:eastAsia="Calibri" w:cs="Tahoma"/>
          <w:szCs w:val="18"/>
          <w:lang w:val="it-IT"/>
        </w:rPr>
        <w:t> </w:t>
      </w:r>
      <w:r w:rsidRPr="00451078">
        <w:rPr>
          <w:rFonts w:eastAsia="Calibri" w:cs="Tahoma"/>
          <w:szCs w:val="18"/>
          <w:lang w:val="it-IT"/>
        </w:rPr>
        <w:t>server, l</w:t>
      </w:r>
      <w:r w:rsidR="0073727D">
        <w:rPr>
          <w:rFonts w:eastAsia="Calibri" w:cs="Tahoma"/>
          <w:szCs w:val="18"/>
          <w:lang w:val="it-IT"/>
        </w:rPr>
        <w:t>’</w:t>
      </w:r>
      <w:r w:rsidRPr="00451078">
        <w:rPr>
          <w:rFonts w:eastAsia="Calibri" w:cs="Tahoma"/>
          <w:szCs w:val="18"/>
          <w:lang w:val="it-IT"/>
        </w:rPr>
        <w:t>equivalenza core è di quattro core per licenza per processore.</w:t>
      </w:r>
    </w:p>
    <w:p w:rsidR="00A81E83" w:rsidRPr="00451078" w:rsidRDefault="00A81E83" w:rsidP="00745AB3">
      <w:pPr>
        <w:numPr>
          <w:ilvl w:val="0"/>
          <w:numId w:val="52"/>
        </w:numPr>
        <w:tabs>
          <w:tab w:val="left" w:pos="1440"/>
        </w:tabs>
        <w:spacing w:after="60"/>
        <w:ind w:left="1440"/>
        <w:rPr>
          <w:lang w:val="it-IT"/>
        </w:rPr>
      </w:pPr>
      <w:r w:rsidRPr="00451078">
        <w:rPr>
          <w:rFonts w:eastAsia="Calibri" w:cs="Tahoma"/>
          <w:szCs w:val="18"/>
          <w:lang w:val="it-IT"/>
        </w:rPr>
        <w:t>Le società potranno riassegnare le licenze a un altro server. Tuttavia, qualora la società riassegni una licenza a un altro server, dovrà attenersi ai diritti sull</w:t>
      </w:r>
      <w:r w:rsidR="0073727D">
        <w:rPr>
          <w:rFonts w:eastAsia="Calibri" w:cs="Tahoma"/>
          <w:szCs w:val="18"/>
          <w:lang w:val="it-IT"/>
        </w:rPr>
        <w:t>’</w:t>
      </w:r>
      <w:r w:rsidRPr="00451078">
        <w:rPr>
          <w:rFonts w:eastAsia="Calibri" w:cs="Tahoma"/>
          <w:szCs w:val="18"/>
          <w:lang w:val="it-IT"/>
        </w:rPr>
        <w:t>utilizzo di SQL Server 2012. Quando cede</w:t>
      </w:r>
      <w:r w:rsidR="009F18F3" w:rsidRPr="00451078">
        <w:rPr>
          <w:rFonts w:eastAsia="Calibri" w:cs="Tahoma"/>
          <w:szCs w:val="18"/>
          <w:lang w:val="it-IT"/>
        </w:rPr>
        <w:t> </w:t>
      </w:r>
      <w:r w:rsidRPr="00451078">
        <w:rPr>
          <w:rFonts w:eastAsia="Calibri" w:cs="Tahoma"/>
          <w:szCs w:val="18"/>
          <w:lang w:val="it-IT"/>
        </w:rPr>
        <w:t>licenze core a server ai sensi dei diritti sull</w:t>
      </w:r>
      <w:r w:rsidR="0073727D">
        <w:rPr>
          <w:rFonts w:eastAsia="Calibri" w:cs="Tahoma"/>
          <w:szCs w:val="18"/>
          <w:lang w:val="it-IT"/>
        </w:rPr>
        <w:t>’</w:t>
      </w:r>
      <w:r w:rsidRPr="00451078">
        <w:rPr>
          <w:rFonts w:eastAsia="Calibri" w:cs="Tahoma"/>
          <w:szCs w:val="18"/>
          <w:lang w:val="it-IT"/>
        </w:rPr>
        <w:t>utilizzo per SQL 2012, la società potrà combinare l</w:t>
      </w:r>
      <w:r w:rsidR="0073727D">
        <w:rPr>
          <w:rFonts w:eastAsia="Calibri" w:cs="Tahoma"/>
          <w:szCs w:val="18"/>
          <w:lang w:val="it-IT"/>
        </w:rPr>
        <w:t>’</w:t>
      </w:r>
      <w:r w:rsidRPr="00451078">
        <w:rPr>
          <w:rFonts w:eastAsia="Calibri" w:cs="Tahoma"/>
          <w:szCs w:val="18"/>
          <w:lang w:val="it-IT"/>
        </w:rPr>
        <w:t>equivalenza core delle licenze esistenti con le licenze core per SQL Server 2012 aggiuntive.</w:t>
      </w:r>
    </w:p>
    <w:p w:rsidR="00A81E83" w:rsidRPr="00451078" w:rsidRDefault="00A81E83" w:rsidP="00745AB3">
      <w:pPr>
        <w:numPr>
          <w:ilvl w:val="0"/>
          <w:numId w:val="52"/>
        </w:numPr>
        <w:tabs>
          <w:tab w:val="left" w:pos="1440"/>
        </w:tabs>
        <w:spacing w:after="60"/>
        <w:ind w:left="1440"/>
        <w:rPr>
          <w:lang w:val="it-IT"/>
        </w:rPr>
      </w:pPr>
      <w:r w:rsidRPr="00451078">
        <w:rPr>
          <w:rFonts w:eastAsia="Calibri" w:cs="Tahoma"/>
          <w:szCs w:val="18"/>
          <w:lang w:val="it-IT"/>
        </w:rPr>
        <w:t>L</w:t>
      </w:r>
      <w:r w:rsidR="0073727D">
        <w:rPr>
          <w:rFonts w:eastAsia="Calibri" w:cs="Tahoma"/>
          <w:szCs w:val="18"/>
          <w:lang w:val="it-IT"/>
        </w:rPr>
        <w:t>’</w:t>
      </w:r>
      <w:r w:rsidRPr="00451078">
        <w:rPr>
          <w:rFonts w:eastAsia="Calibri" w:cs="Tahoma"/>
          <w:szCs w:val="18"/>
          <w:lang w:val="it-IT"/>
        </w:rPr>
        <w:t>equivalenza di licenze core stimata delle società non implica che esse possano cedere una licenza singola per processore a core attraverso due o più processori.</w:t>
      </w:r>
    </w:p>
    <w:p w:rsidR="009C7505" w:rsidRPr="00451078" w:rsidRDefault="009C7505" w:rsidP="009C7505">
      <w:pPr>
        <w:tabs>
          <w:tab w:val="left" w:pos="1440"/>
        </w:tabs>
        <w:ind w:left="1080"/>
        <w:rPr>
          <w:lang w:val="it-IT"/>
        </w:rPr>
      </w:pPr>
    </w:p>
    <w:p w:rsidR="009C7505" w:rsidRPr="00451078" w:rsidRDefault="00A81E83" w:rsidP="009C7505">
      <w:pPr>
        <w:tabs>
          <w:tab w:val="left" w:pos="720"/>
        </w:tabs>
        <w:spacing w:after="60"/>
        <w:ind w:left="720"/>
        <w:rPr>
          <w:lang w:val="it-IT"/>
        </w:rPr>
      </w:pPr>
      <w:r w:rsidRPr="00451078">
        <w:rPr>
          <w:rFonts w:eastAsia="Calibri" w:cs="Tahoma"/>
          <w:b/>
          <w:szCs w:val="18"/>
          <w:lang w:val="it-IT"/>
        </w:rPr>
        <w:t>Per le Società con copertura Software Assurance in scadenza in data 1 aprile 2015 o successiva che scelgono di non effettuare il rinnovo</w:t>
      </w:r>
    </w:p>
    <w:p w:rsidR="00A81E83" w:rsidRPr="00451078" w:rsidRDefault="00A81E83" w:rsidP="009C7505">
      <w:pPr>
        <w:tabs>
          <w:tab w:val="left" w:pos="720"/>
        </w:tabs>
        <w:ind w:left="720"/>
        <w:rPr>
          <w:lang w:val="it-IT"/>
        </w:rPr>
      </w:pPr>
      <w:r w:rsidRPr="00451078">
        <w:rPr>
          <w:rFonts w:eastAsia="Calibri" w:cs="Tahoma"/>
          <w:color w:val="000000"/>
          <w:szCs w:val="18"/>
          <w:lang w:val="it-IT"/>
        </w:rPr>
        <w:lastRenderedPageBreak/>
        <w:t xml:space="preserve">Alle società titolari di contratti Enterprise Subscription </w:t>
      </w:r>
      <w:r w:rsidRPr="00451078">
        <w:rPr>
          <w:rFonts w:eastAsia="Calibri" w:cs="Tahoma"/>
          <w:szCs w:val="18"/>
          <w:lang w:val="it-IT"/>
        </w:rPr>
        <w:t xml:space="preserve">e Open Value Subscription </w:t>
      </w:r>
      <w:r w:rsidRPr="00451078">
        <w:rPr>
          <w:rFonts w:eastAsia="Calibri" w:cs="Tahoma"/>
          <w:color w:val="000000"/>
          <w:szCs w:val="18"/>
          <w:lang w:val="it-IT"/>
        </w:rPr>
        <w:t xml:space="preserve">con copertura in scadenza in data 1 aprile 2015 o successiva che scelgono di effettuare il buy-out delle licenze per processore e alle altre società che acquistano licenze perpetue ai sensi del loro contratto verranno offerte le seguenti opzioni: </w:t>
      </w:r>
    </w:p>
    <w:p w:rsidR="009C7505" w:rsidRPr="00451078" w:rsidRDefault="009C7505" w:rsidP="009C7505">
      <w:pPr>
        <w:tabs>
          <w:tab w:val="left" w:pos="720"/>
        </w:tabs>
        <w:ind w:left="720"/>
        <w:rPr>
          <w:lang w:val="it-IT"/>
        </w:rPr>
      </w:pPr>
    </w:p>
    <w:p w:rsidR="00A81E83" w:rsidRPr="00451078" w:rsidRDefault="00A81E83" w:rsidP="00745AB3">
      <w:pPr>
        <w:numPr>
          <w:ilvl w:val="2"/>
          <w:numId w:val="133"/>
        </w:numPr>
        <w:spacing w:after="60"/>
        <w:ind w:left="1440" w:hanging="360"/>
        <w:rPr>
          <w:lang w:val="it-IT"/>
        </w:rPr>
      </w:pPr>
      <w:r w:rsidRPr="00451078">
        <w:rPr>
          <w:rFonts w:eastAsia="Calibri" w:cs="Tahoma"/>
          <w:szCs w:val="18"/>
          <w:lang w:val="it-IT"/>
        </w:rPr>
        <w:t xml:space="preserve">come stabilito nel primo paragrafo di questa nota relativa al prodotto, le licenze acquistate prima del 1 aprile 2015 sono licenze qualificanti e le società potranno continuare a utilizzare SQL Server 2012 in base alle condizioni riportate nel precedente Articolo </w:t>
      </w:r>
      <w:r w:rsidR="001A3EC5" w:rsidRPr="00451078">
        <w:rPr>
          <w:rFonts w:eastAsia="Calibri" w:cs="Tahoma"/>
          <w:szCs w:val="18"/>
          <w:lang w:val="it-IT"/>
        </w:rPr>
        <w:t>“</w:t>
      </w:r>
      <w:r w:rsidRPr="00451078">
        <w:rPr>
          <w:rFonts w:eastAsia="Calibri" w:cs="Tahoma"/>
          <w:szCs w:val="18"/>
          <w:lang w:val="it-IT"/>
        </w:rPr>
        <w:t>Per le società con copertura Software Assurance in scadenza prima del 1 aprile 2015 che scelgono di non effettuare il rinnovo</w:t>
      </w:r>
      <w:r w:rsidR="001A3EC5" w:rsidRPr="00451078">
        <w:rPr>
          <w:rFonts w:eastAsia="Calibri" w:cs="Tahoma"/>
          <w:szCs w:val="18"/>
          <w:lang w:val="it-IT"/>
        </w:rPr>
        <w:t>”</w:t>
      </w:r>
      <w:r w:rsidRPr="00451078">
        <w:rPr>
          <w:rFonts w:eastAsia="Calibri" w:cs="Tahoma"/>
          <w:szCs w:val="18"/>
          <w:lang w:val="it-IT"/>
        </w:rPr>
        <w:t xml:space="preserve"> e </w:t>
      </w:r>
    </w:p>
    <w:p w:rsidR="00A81E83" w:rsidRPr="00451078" w:rsidRDefault="00A81E83" w:rsidP="00745AB3">
      <w:pPr>
        <w:numPr>
          <w:ilvl w:val="2"/>
          <w:numId w:val="133"/>
        </w:numPr>
        <w:spacing w:after="60"/>
        <w:ind w:left="1440" w:hanging="360"/>
        <w:rPr>
          <w:lang w:val="it-IT"/>
        </w:rPr>
      </w:pPr>
      <w:r w:rsidRPr="00451078">
        <w:rPr>
          <w:rFonts w:eastAsia="Calibri" w:cs="Tahoma"/>
          <w:szCs w:val="18"/>
          <w:lang w:val="it-IT"/>
        </w:rPr>
        <w:t>per le licenze acquistate dopo il 1 aprile 2015 la licenza per processore delle società avrà un</w:t>
      </w:r>
      <w:r w:rsidR="0073727D">
        <w:rPr>
          <w:rFonts w:eastAsia="Calibri" w:cs="Tahoma"/>
          <w:szCs w:val="18"/>
          <w:lang w:val="it-IT"/>
        </w:rPr>
        <w:t>’</w:t>
      </w:r>
      <w:r w:rsidRPr="00451078">
        <w:rPr>
          <w:rFonts w:eastAsia="Calibri" w:cs="Tahoma"/>
          <w:szCs w:val="18"/>
          <w:lang w:val="it-IT"/>
        </w:rPr>
        <w:t>equivalenza core di quattro licenze core Standard per SQL Server 2012. Per l</w:t>
      </w:r>
      <w:r w:rsidR="0073727D">
        <w:rPr>
          <w:rFonts w:eastAsia="Calibri" w:cs="Tahoma"/>
          <w:szCs w:val="18"/>
          <w:lang w:val="it-IT"/>
        </w:rPr>
        <w:t>’</w:t>
      </w:r>
      <w:r w:rsidRPr="00451078">
        <w:rPr>
          <w:rFonts w:eastAsia="Calibri" w:cs="Tahoma"/>
          <w:szCs w:val="18"/>
          <w:lang w:val="it-IT"/>
        </w:rPr>
        <w:t>utilizzo continuativo di SQL Server 2012 su processori che richiedono più di quattro licenze core per</w:t>
      </w:r>
      <w:r w:rsidR="009F18F3" w:rsidRPr="00451078">
        <w:rPr>
          <w:rFonts w:eastAsia="Calibri" w:cs="Tahoma"/>
          <w:szCs w:val="18"/>
          <w:lang w:val="it-IT"/>
        </w:rPr>
        <w:t> </w:t>
      </w:r>
      <w:r w:rsidRPr="00451078">
        <w:rPr>
          <w:rFonts w:eastAsia="Calibri" w:cs="Tahoma"/>
          <w:szCs w:val="18"/>
          <w:lang w:val="it-IT"/>
        </w:rPr>
        <w:t>processore la società deve acquistare le licenze core aggiuntive.</w:t>
      </w:r>
    </w:p>
    <w:p w:rsidR="009C7505" w:rsidRPr="00451078" w:rsidRDefault="009C7505" w:rsidP="009C7505">
      <w:pPr>
        <w:ind w:left="1440"/>
        <w:rPr>
          <w:lang w:val="it-IT"/>
        </w:rPr>
      </w:pPr>
    </w:p>
    <w:p w:rsidR="009C7505" w:rsidRPr="00451078" w:rsidRDefault="00A81E83" w:rsidP="009C7505">
      <w:pPr>
        <w:spacing w:after="60"/>
        <w:ind w:left="720"/>
        <w:rPr>
          <w:lang w:val="it-IT"/>
        </w:rPr>
      </w:pPr>
      <w:r w:rsidRPr="00451078">
        <w:rPr>
          <w:b/>
          <w:lang w:val="it-IT"/>
        </w:rPr>
        <w:t>Per le società con sede nella Repubblica popolare</w:t>
      </w:r>
      <w:r w:rsidRPr="00451078">
        <w:rPr>
          <w:lang w:val="it-IT"/>
        </w:rPr>
        <w:t xml:space="preserve"> </w:t>
      </w:r>
      <w:r w:rsidRPr="00451078">
        <w:rPr>
          <w:b/>
          <w:lang w:val="it-IT"/>
        </w:rPr>
        <w:t>cinese, dove acquistano licenze per processore e Software Assurance per SQL Server 2008 R2</w:t>
      </w:r>
    </w:p>
    <w:p w:rsidR="001D7A2C" w:rsidRPr="00451078" w:rsidRDefault="00A81E83" w:rsidP="009C7505">
      <w:pPr>
        <w:ind w:left="720"/>
        <w:rPr>
          <w:lang w:val="it-IT"/>
        </w:rPr>
      </w:pPr>
      <w:r w:rsidRPr="00451078">
        <w:rPr>
          <w:lang w:val="it-IT"/>
        </w:rPr>
        <w:t>Non si applicano i riferimenti al 1 aprile 2012 e al 1 aprile 2015 presenti in questa nota relativa alla lista dei prodotti. Le date applicabili per queste società sarebbero rispettivamente il 1 luglio 2012 e il 1 luglio 2015.</w:t>
      </w:r>
      <w:bookmarkStart w:id="1420" w:name="_821_SQL_Server®"/>
      <w:bookmarkEnd w:id="1376"/>
      <w:bookmarkEnd w:id="1377"/>
      <w:bookmarkEnd w:id="1378"/>
      <w:bookmarkEnd w:id="1379"/>
      <w:bookmarkEnd w:id="1420"/>
    </w:p>
    <w:p w:rsidR="009C7505" w:rsidRPr="00451078" w:rsidRDefault="009C7505" w:rsidP="009C7505">
      <w:pPr>
        <w:rPr>
          <w:lang w:val="it-IT"/>
        </w:rPr>
      </w:pPr>
    </w:p>
    <w:p w:rsidR="00602EF4" w:rsidRPr="00451078" w:rsidRDefault="00602EF4" w:rsidP="00602EF4">
      <w:pPr>
        <w:rPr>
          <w:lang w:val="it-IT"/>
        </w:rPr>
      </w:pPr>
      <w:bookmarkStart w:id="1421" w:name="Srv_82SysCtrDataProMgr07StdSvrMgmtML"/>
      <w:bookmarkStart w:id="1422" w:name="Srv_78SysCtrDataProMgr07StdSvrMgmtML"/>
      <w:bookmarkStart w:id="1423" w:name="Srv_79SysCtrDataProMgr07StdSvrMgmtML"/>
    </w:p>
    <w:p w:rsidR="009F18F3" w:rsidRPr="00451078" w:rsidRDefault="009F18F3" w:rsidP="0037081F">
      <w:pPr>
        <w:pStyle w:val="Heading3"/>
        <w:rPr>
          <w:rFonts w:ascii="Tahoma" w:hAnsi="Tahoma"/>
          <w:caps/>
          <w:color w:val="F66400"/>
          <w:sz w:val="22"/>
          <w:vertAlign w:val="superscript"/>
          <w:lang w:val="it-IT"/>
        </w:rPr>
      </w:pPr>
      <w:bookmarkStart w:id="1424" w:name="_79_System_Center"/>
      <w:bookmarkStart w:id="1425" w:name="_86_84_System"/>
      <w:bookmarkStart w:id="1426" w:name="_Toc336338351"/>
      <w:bookmarkStart w:id="1427" w:name="Srv_79SystemCenterEssentials07"/>
      <w:bookmarkStart w:id="1428" w:name="Srv_80SystemCenterEssentials07"/>
      <w:bookmarkStart w:id="1429" w:name="Srv_83SystemCenterEssentials07"/>
      <w:bookmarkEnd w:id="1421"/>
      <w:bookmarkEnd w:id="1422"/>
      <w:bookmarkEnd w:id="1423"/>
      <w:bookmarkEnd w:id="1424"/>
      <w:bookmarkEnd w:id="1425"/>
    </w:p>
    <w:p w:rsidR="009F18F3" w:rsidRPr="00451078" w:rsidRDefault="009F18F3" w:rsidP="009F18F3">
      <w:pPr>
        <w:rPr>
          <w:lang w:val="it-IT"/>
        </w:rPr>
      </w:pPr>
    </w:p>
    <w:p w:rsidR="00023FE7" w:rsidRPr="00451078" w:rsidRDefault="0099402E" w:rsidP="0037081F">
      <w:pPr>
        <w:pStyle w:val="Heading3"/>
        <w:rPr>
          <w:lang w:val="it-IT"/>
        </w:rPr>
      </w:pPr>
      <w:bookmarkStart w:id="1430" w:name="_84_System_Center"/>
      <w:bookmarkStart w:id="1431" w:name="_Toc352234937"/>
      <w:bookmarkEnd w:id="1430"/>
      <w:r w:rsidRPr="00451078">
        <w:rPr>
          <w:rFonts w:ascii="Tahoma" w:hAnsi="Tahoma"/>
          <w:caps/>
          <w:color w:val="F66400"/>
          <w:sz w:val="22"/>
          <w:vertAlign w:val="superscript"/>
          <w:lang w:val="it-IT"/>
        </w:rPr>
        <w:t>84</w:t>
      </w:r>
      <w:r w:rsidRPr="00451078">
        <w:rPr>
          <w:rFonts w:ascii="Tahoma" w:hAnsi="Tahoma"/>
          <w:color w:val="F66400"/>
          <w:sz w:val="22"/>
          <w:lang w:val="it-IT"/>
        </w:rPr>
        <w:t xml:space="preserve"> System Center Essentials 2010</w:t>
      </w:r>
      <w:bookmarkEnd w:id="1426"/>
      <w:bookmarkEnd w:id="1431"/>
    </w:p>
    <w:bookmarkEnd w:id="1427"/>
    <w:bookmarkEnd w:id="1428"/>
    <w:bookmarkEnd w:id="1429"/>
    <w:p w:rsidR="00A30254" w:rsidRPr="00451078" w:rsidRDefault="00A30254" w:rsidP="00602EF4">
      <w:pPr>
        <w:spacing w:after="60"/>
        <w:ind w:left="720"/>
        <w:rPr>
          <w:lang w:val="it-IT"/>
        </w:rPr>
      </w:pPr>
    </w:p>
    <w:p w:rsidR="00A30254" w:rsidRPr="00451078" w:rsidRDefault="00A30254" w:rsidP="00A30254">
      <w:pPr>
        <w:spacing w:after="60"/>
        <w:ind w:left="720"/>
        <w:rPr>
          <w:lang w:val="it-IT"/>
        </w:rPr>
      </w:pPr>
      <w:r w:rsidRPr="00451078">
        <w:rPr>
          <w:rFonts w:cs="Tahoma"/>
          <w:b/>
          <w:color w:val="000000"/>
          <w:szCs w:val="20"/>
          <w:lang w:val="it-IT"/>
        </w:rPr>
        <w:t>Concessione di Licenza per le Società in possesso di Software Assurance per System Center Essentials 2010</w:t>
      </w:r>
    </w:p>
    <w:p w:rsidR="00A30254" w:rsidRPr="003410C7" w:rsidRDefault="00A30254" w:rsidP="00A30254">
      <w:pPr>
        <w:pStyle w:val="EndnoteText"/>
        <w:ind w:left="720"/>
      </w:pPr>
      <w:r w:rsidRPr="00451078">
        <w:rPr>
          <w:rFonts w:ascii="Tahoma" w:hAnsi="Tahoma" w:cs="Tahoma"/>
          <w:sz w:val="18"/>
          <w:lang w:val="it-IT"/>
        </w:rPr>
        <w:t>La versione 2010 di System Center Essentials (SCE) sarà l</w:t>
      </w:r>
      <w:r w:rsidR="0073727D">
        <w:rPr>
          <w:rFonts w:ascii="Tahoma" w:hAnsi="Tahoma" w:cs="Tahoma"/>
          <w:sz w:val="18"/>
          <w:lang w:val="it-IT"/>
        </w:rPr>
        <w:t>’</w:t>
      </w:r>
      <w:r w:rsidRPr="00451078">
        <w:rPr>
          <w:rFonts w:ascii="Tahoma" w:hAnsi="Tahoma" w:cs="Tahoma"/>
          <w:sz w:val="18"/>
          <w:lang w:val="it-IT"/>
        </w:rPr>
        <w:t>ultima versione del prodotto.</w:t>
      </w:r>
      <w:r w:rsidR="00082E1C" w:rsidRPr="00451078">
        <w:rPr>
          <w:rFonts w:ascii="Tahoma" w:hAnsi="Tahoma" w:cs="Tahoma"/>
          <w:sz w:val="18"/>
          <w:lang w:val="it-IT"/>
        </w:rPr>
        <w:t xml:space="preserve"> </w:t>
      </w:r>
      <w:r w:rsidRPr="00451078">
        <w:rPr>
          <w:rFonts w:ascii="Tahoma" w:hAnsi="Tahoma" w:cs="Tahoma"/>
          <w:sz w:val="18"/>
          <w:lang w:val="it-IT"/>
        </w:rPr>
        <w:t>Alle società in possesso della copertura Software Assurance per SCE in data 1 marzo 2013 verranno concesse le licenze per System Center 2012 senza alcuna spesa aggiuntiva che non siano i costi (eventuali) dei supporti di memorizzazione.</w:t>
      </w:r>
      <w:r w:rsidR="00082E1C" w:rsidRPr="00451078">
        <w:rPr>
          <w:rFonts w:ascii="Tahoma" w:hAnsi="Tahoma" w:cs="Tahoma"/>
          <w:sz w:val="18"/>
          <w:lang w:val="it-IT"/>
        </w:rPr>
        <w:t xml:space="preserve"> </w:t>
      </w:r>
      <w:r w:rsidRPr="00451078">
        <w:rPr>
          <w:rFonts w:ascii="Tahoma" w:hAnsi="Tahoma" w:cs="Tahoma"/>
          <w:sz w:val="18"/>
          <w:lang w:val="it-IT"/>
        </w:rPr>
        <w:t>Il numero di licenze per System Center 2012, di cui sarà idonea una società ai sensi della presente offerta, varia sulla base del numero e del tipo di licenze per SCE dotate di copertura Software Assurance che la società ha acquistato.</w:t>
      </w:r>
      <w:r w:rsidR="00082E1C" w:rsidRPr="00451078">
        <w:rPr>
          <w:rFonts w:ascii="Tahoma" w:hAnsi="Tahoma" w:cs="Tahoma"/>
          <w:sz w:val="18"/>
          <w:lang w:val="it-IT"/>
        </w:rPr>
        <w:t xml:space="preserve"> </w:t>
      </w:r>
      <w:r w:rsidRPr="003410C7">
        <w:rPr>
          <w:rFonts w:ascii="Tahoma" w:hAnsi="Tahoma" w:cs="Tahoma"/>
          <w:sz w:val="18"/>
        </w:rPr>
        <w:t>Per informazioni, vedere la tabella che segue.</w:t>
      </w:r>
    </w:p>
    <w:p w:rsidR="00A30254" w:rsidRPr="003410C7" w:rsidRDefault="00A30254" w:rsidP="00A30254">
      <w:pPr>
        <w:pStyle w:val="EndnoteText"/>
      </w:pPr>
    </w:p>
    <w:tbl>
      <w:tblPr>
        <w:tblStyle w:val="TableGrid1"/>
        <w:tblW w:w="8553" w:type="dxa"/>
        <w:tblInd w:w="824" w:type="dxa"/>
        <w:tblLook w:val="04A0" w:firstRow="1" w:lastRow="0" w:firstColumn="1" w:lastColumn="0" w:noHBand="0" w:noVBand="1"/>
      </w:tblPr>
      <w:tblGrid>
        <w:gridCol w:w="3960"/>
        <w:gridCol w:w="4593"/>
      </w:tblGrid>
      <w:tr w:rsidR="00A30254" w:rsidRPr="005E4903" w:rsidTr="00CE334A">
        <w:tc>
          <w:tcPr>
            <w:tcW w:w="3960" w:type="dxa"/>
            <w:shd w:val="clear" w:color="auto" w:fill="FABF8F"/>
            <w:hideMark/>
          </w:tcPr>
          <w:p w:rsidR="00A30254" w:rsidRPr="00451078" w:rsidRDefault="00A30254" w:rsidP="00CE334A">
            <w:pPr>
              <w:ind w:left="162"/>
              <w:jc w:val="center"/>
              <w:rPr>
                <w:rFonts w:cs="Tahoma"/>
                <w:b/>
                <w:bCs/>
                <w:color w:val="000000"/>
                <w:szCs w:val="18"/>
                <w:lang w:val="it-IT"/>
              </w:rPr>
            </w:pPr>
            <w:r w:rsidRPr="00451078">
              <w:rPr>
                <w:rFonts w:cs="Tahoma"/>
                <w:b/>
                <w:bCs/>
                <w:color w:val="000000"/>
                <w:szCs w:val="18"/>
                <w:lang w:val="it-IT"/>
              </w:rPr>
              <w:t>Licenze Qualificanti con Software Assurance</w:t>
            </w:r>
          </w:p>
        </w:tc>
        <w:tc>
          <w:tcPr>
            <w:tcW w:w="4593" w:type="dxa"/>
            <w:shd w:val="clear" w:color="auto" w:fill="FABF8F"/>
            <w:hideMark/>
          </w:tcPr>
          <w:p w:rsidR="00A30254" w:rsidRPr="00451078" w:rsidRDefault="00A30254" w:rsidP="009F18F3">
            <w:pPr>
              <w:ind w:left="162"/>
              <w:jc w:val="center"/>
              <w:rPr>
                <w:rFonts w:cs="Tahoma"/>
                <w:b/>
                <w:bCs/>
                <w:color w:val="000000"/>
                <w:szCs w:val="18"/>
                <w:lang w:val="it-IT"/>
              </w:rPr>
            </w:pPr>
            <w:r w:rsidRPr="00451078">
              <w:rPr>
                <w:rFonts w:cs="Tahoma"/>
                <w:b/>
                <w:bCs/>
                <w:color w:val="000000"/>
                <w:szCs w:val="18"/>
                <w:lang w:val="it-IT"/>
              </w:rPr>
              <w:t>Concessione di Licenza per System Center</w:t>
            </w:r>
            <w:r w:rsidR="009F18F3" w:rsidRPr="00451078">
              <w:rPr>
                <w:rFonts w:cs="Tahoma"/>
                <w:b/>
                <w:bCs/>
                <w:color w:val="000000"/>
                <w:szCs w:val="18"/>
                <w:lang w:val="it-IT"/>
              </w:rPr>
              <w:t> </w:t>
            </w:r>
            <w:r w:rsidRPr="00451078">
              <w:rPr>
                <w:rFonts w:cs="Tahoma"/>
                <w:b/>
                <w:bCs/>
                <w:color w:val="000000"/>
                <w:szCs w:val="18"/>
                <w:lang w:val="it-IT"/>
              </w:rPr>
              <w:t>2012</w:t>
            </w:r>
          </w:p>
        </w:tc>
      </w:tr>
      <w:tr w:rsidR="00A30254" w:rsidRPr="005E4903" w:rsidTr="00CE334A">
        <w:tc>
          <w:tcPr>
            <w:tcW w:w="3960" w:type="dxa"/>
            <w:hideMark/>
          </w:tcPr>
          <w:p w:rsidR="00A30254" w:rsidRPr="003410C7" w:rsidRDefault="00A30254" w:rsidP="00CE334A">
            <w:pPr>
              <w:ind w:left="162"/>
              <w:rPr>
                <w:rFonts w:cs="Tahoma"/>
                <w:bCs/>
                <w:color w:val="000000"/>
                <w:szCs w:val="18"/>
              </w:rPr>
            </w:pPr>
            <w:r w:rsidRPr="003410C7">
              <w:rPr>
                <w:rFonts w:cs="Tahoma"/>
                <w:bCs/>
                <w:color w:val="000000"/>
                <w:szCs w:val="18"/>
              </w:rPr>
              <w:t>System Center Essentials 2010</w:t>
            </w:r>
          </w:p>
        </w:tc>
        <w:tc>
          <w:tcPr>
            <w:tcW w:w="4593" w:type="dxa"/>
            <w:hideMark/>
          </w:tcPr>
          <w:p w:rsidR="00A30254" w:rsidRPr="00451078" w:rsidRDefault="00A30254" w:rsidP="00CE334A">
            <w:pPr>
              <w:ind w:left="162"/>
              <w:rPr>
                <w:rFonts w:cs="Tahoma"/>
                <w:bCs/>
                <w:color w:val="000000"/>
                <w:szCs w:val="18"/>
                <w:lang w:val="it-IT"/>
              </w:rPr>
            </w:pPr>
            <w:r w:rsidRPr="00451078">
              <w:rPr>
                <w:rFonts w:cs="Tahoma"/>
                <w:bCs/>
                <w:color w:val="000000"/>
                <w:szCs w:val="18"/>
                <w:lang w:val="it-IT"/>
              </w:rPr>
              <w:t>una Licenza di Gestione Server per System Center 2012 Standard per ogni otto* licenze qualificanti</w:t>
            </w:r>
          </w:p>
        </w:tc>
      </w:tr>
      <w:tr w:rsidR="00A30254" w:rsidRPr="005E4903" w:rsidTr="00CE334A">
        <w:tc>
          <w:tcPr>
            <w:tcW w:w="3960" w:type="dxa"/>
            <w:hideMark/>
          </w:tcPr>
          <w:p w:rsidR="00A30254" w:rsidRPr="003410C7" w:rsidRDefault="00A30254" w:rsidP="00CE334A">
            <w:pPr>
              <w:ind w:left="162"/>
              <w:rPr>
                <w:rFonts w:cs="Tahoma"/>
                <w:bCs/>
                <w:color w:val="000000"/>
                <w:szCs w:val="18"/>
              </w:rPr>
            </w:pPr>
            <w:r w:rsidRPr="003410C7">
              <w:rPr>
                <w:rFonts w:cs="Tahoma"/>
                <w:bCs/>
                <w:color w:val="000000"/>
                <w:szCs w:val="18"/>
              </w:rPr>
              <w:t>System Center Essentials 2010 con SQL</w:t>
            </w:r>
          </w:p>
        </w:tc>
        <w:tc>
          <w:tcPr>
            <w:tcW w:w="4593" w:type="dxa"/>
            <w:hideMark/>
          </w:tcPr>
          <w:p w:rsidR="00A30254" w:rsidRPr="00451078" w:rsidRDefault="00A30254" w:rsidP="00CE334A">
            <w:pPr>
              <w:ind w:left="162"/>
              <w:rPr>
                <w:rFonts w:cs="Tahoma"/>
                <w:bCs/>
                <w:color w:val="000000"/>
                <w:szCs w:val="18"/>
                <w:lang w:val="it-IT"/>
              </w:rPr>
            </w:pPr>
            <w:r w:rsidRPr="00451078">
              <w:rPr>
                <w:rFonts w:cs="Tahoma"/>
                <w:bCs/>
                <w:color w:val="000000"/>
                <w:szCs w:val="18"/>
                <w:lang w:val="it-IT"/>
              </w:rPr>
              <w:t>una Licenza di Gestione Server per System Center 2012 Standard per ogni licenza qualificante</w:t>
            </w:r>
          </w:p>
        </w:tc>
      </w:tr>
      <w:tr w:rsidR="00A30254" w:rsidRPr="005E4903" w:rsidTr="00CE334A">
        <w:tc>
          <w:tcPr>
            <w:tcW w:w="3960" w:type="dxa"/>
            <w:hideMark/>
          </w:tcPr>
          <w:p w:rsidR="00A30254" w:rsidRPr="00451078" w:rsidRDefault="00A30254" w:rsidP="00CE334A">
            <w:pPr>
              <w:ind w:left="162"/>
              <w:rPr>
                <w:rFonts w:cs="Tahoma"/>
                <w:bCs/>
                <w:color w:val="000000"/>
                <w:szCs w:val="18"/>
                <w:lang w:val="it-IT"/>
              </w:rPr>
            </w:pPr>
            <w:r w:rsidRPr="00451078">
              <w:rPr>
                <w:rFonts w:cs="Tahoma"/>
                <w:bCs/>
                <w:color w:val="000000"/>
                <w:szCs w:val="18"/>
                <w:lang w:val="it-IT"/>
              </w:rPr>
              <w:t>Licenza di Gestione Server per System Center Essentials 2010</w:t>
            </w:r>
          </w:p>
        </w:tc>
        <w:tc>
          <w:tcPr>
            <w:tcW w:w="4593" w:type="dxa"/>
            <w:hideMark/>
          </w:tcPr>
          <w:p w:rsidR="00A30254" w:rsidRPr="00451078" w:rsidRDefault="00A30254" w:rsidP="00CE334A">
            <w:pPr>
              <w:ind w:left="162"/>
              <w:rPr>
                <w:rFonts w:cs="Tahoma"/>
                <w:bCs/>
                <w:color w:val="000000"/>
                <w:szCs w:val="18"/>
                <w:lang w:val="it-IT"/>
              </w:rPr>
            </w:pPr>
            <w:r w:rsidRPr="00451078">
              <w:rPr>
                <w:rFonts w:cs="Tahoma"/>
                <w:bCs/>
                <w:color w:val="000000"/>
                <w:szCs w:val="18"/>
                <w:lang w:val="it-IT"/>
              </w:rPr>
              <w:t>una Licenza di Gestione Server per System Center 2012 Standard per ogni otto* licenze qualificanti</w:t>
            </w:r>
          </w:p>
        </w:tc>
      </w:tr>
      <w:tr w:rsidR="00A30254" w:rsidRPr="005E4903" w:rsidTr="00CE334A">
        <w:tc>
          <w:tcPr>
            <w:tcW w:w="3960" w:type="dxa"/>
            <w:hideMark/>
          </w:tcPr>
          <w:p w:rsidR="00A30254" w:rsidRPr="00451078" w:rsidRDefault="00A30254" w:rsidP="00CE334A">
            <w:pPr>
              <w:ind w:left="162"/>
              <w:rPr>
                <w:lang w:val="it-IT"/>
              </w:rPr>
            </w:pPr>
            <w:r w:rsidRPr="00451078">
              <w:rPr>
                <w:rFonts w:cs="Tahoma"/>
                <w:bCs/>
                <w:color w:val="000000"/>
                <w:szCs w:val="18"/>
                <w:lang w:val="it-IT"/>
              </w:rPr>
              <w:t>System Center Essentials 2010 Plus</w:t>
            </w:r>
          </w:p>
          <w:p w:rsidR="00A30254" w:rsidRPr="00451078" w:rsidRDefault="00A30254" w:rsidP="00CE334A">
            <w:pPr>
              <w:ind w:left="162"/>
              <w:rPr>
                <w:rFonts w:cs="Tahoma"/>
                <w:bCs/>
                <w:color w:val="000000"/>
                <w:szCs w:val="18"/>
                <w:lang w:val="it-IT"/>
              </w:rPr>
            </w:pPr>
            <w:r w:rsidRPr="00451078">
              <w:rPr>
                <w:rFonts w:cs="Tahoma"/>
                <w:bCs/>
                <w:color w:val="000000"/>
                <w:szCs w:val="18"/>
                <w:lang w:val="it-IT"/>
              </w:rPr>
              <w:t>Suite di Licenze di Gestione Server</w:t>
            </w:r>
          </w:p>
        </w:tc>
        <w:tc>
          <w:tcPr>
            <w:tcW w:w="4593" w:type="dxa"/>
            <w:hideMark/>
          </w:tcPr>
          <w:p w:rsidR="00A30254" w:rsidRPr="00451078" w:rsidRDefault="00A30254" w:rsidP="00CE334A">
            <w:pPr>
              <w:ind w:left="162"/>
              <w:rPr>
                <w:rFonts w:cs="Tahoma"/>
                <w:bCs/>
                <w:color w:val="000000"/>
                <w:szCs w:val="18"/>
                <w:lang w:val="it-IT"/>
              </w:rPr>
            </w:pPr>
            <w:r w:rsidRPr="00451078">
              <w:rPr>
                <w:rFonts w:cs="Tahoma"/>
                <w:bCs/>
                <w:color w:val="000000"/>
                <w:szCs w:val="18"/>
                <w:lang w:val="it-IT"/>
              </w:rPr>
              <w:t>una Licenza di Gestione Server per System Center 2012 Standard per ogni due** licenze qualificanti</w:t>
            </w:r>
          </w:p>
        </w:tc>
      </w:tr>
      <w:tr w:rsidR="00A30254" w:rsidRPr="005E4903" w:rsidTr="00CE334A">
        <w:tc>
          <w:tcPr>
            <w:tcW w:w="3960" w:type="dxa"/>
            <w:hideMark/>
          </w:tcPr>
          <w:p w:rsidR="00A30254" w:rsidRPr="00451078" w:rsidRDefault="00A30254" w:rsidP="00CE334A">
            <w:pPr>
              <w:ind w:left="162"/>
              <w:rPr>
                <w:rFonts w:cs="Tahoma"/>
                <w:bCs/>
                <w:color w:val="000000"/>
                <w:szCs w:val="18"/>
                <w:lang w:val="it-IT"/>
              </w:rPr>
            </w:pPr>
            <w:r w:rsidRPr="00451078">
              <w:rPr>
                <w:rFonts w:cs="Tahoma"/>
                <w:bCs/>
                <w:color w:val="000000"/>
                <w:szCs w:val="18"/>
                <w:lang w:val="it-IT"/>
              </w:rPr>
              <w:t>Licenza di Gestione Client per System Center Essentials 2010</w:t>
            </w:r>
          </w:p>
        </w:tc>
        <w:tc>
          <w:tcPr>
            <w:tcW w:w="4593" w:type="dxa"/>
            <w:hideMark/>
          </w:tcPr>
          <w:p w:rsidR="00A30254" w:rsidRPr="00451078" w:rsidRDefault="00A30254" w:rsidP="00CE334A">
            <w:pPr>
              <w:ind w:left="162"/>
              <w:rPr>
                <w:rFonts w:cs="Tahoma"/>
                <w:bCs/>
                <w:color w:val="000000"/>
                <w:szCs w:val="18"/>
                <w:lang w:val="it-IT"/>
              </w:rPr>
            </w:pPr>
            <w:r w:rsidRPr="00451078">
              <w:rPr>
                <w:rFonts w:cs="Tahoma"/>
                <w:bCs/>
                <w:color w:val="000000"/>
                <w:szCs w:val="18"/>
                <w:lang w:val="it-IT"/>
              </w:rPr>
              <w:t>una Licenza di Gestione Client per System Center 2012 Configuration Manager per ogni licenza qualificante</w:t>
            </w:r>
          </w:p>
        </w:tc>
      </w:tr>
      <w:tr w:rsidR="00A30254" w:rsidRPr="005E4903" w:rsidTr="00CE334A">
        <w:tc>
          <w:tcPr>
            <w:tcW w:w="3960" w:type="dxa"/>
            <w:hideMark/>
          </w:tcPr>
          <w:p w:rsidR="00A30254" w:rsidRPr="00451078" w:rsidRDefault="00A30254" w:rsidP="00CE334A">
            <w:pPr>
              <w:ind w:left="162"/>
              <w:rPr>
                <w:rFonts w:cs="Tahoma"/>
                <w:bCs/>
                <w:color w:val="000000"/>
                <w:szCs w:val="18"/>
                <w:lang w:val="it-IT"/>
              </w:rPr>
            </w:pPr>
            <w:r w:rsidRPr="00451078">
              <w:rPr>
                <w:rFonts w:cs="Tahoma"/>
                <w:bCs/>
                <w:color w:val="000000"/>
                <w:szCs w:val="18"/>
                <w:lang w:val="it-IT"/>
              </w:rPr>
              <w:t>Licenza di Gestione Client per System Center Essentials 2010 Plus</w:t>
            </w:r>
          </w:p>
        </w:tc>
        <w:tc>
          <w:tcPr>
            <w:tcW w:w="4593" w:type="dxa"/>
            <w:hideMark/>
          </w:tcPr>
          <w:p w:rsidR="00A30254" w:rsidRPr="00451078" w:rsidRDefault="00A30254" w:rsidP="00CE334A">
            <w:pPr>
              <w:ind w:left="162"/>
              <w:rPr>
                <w:rFonts w:cs="Tahoma"/>
                <w:bCs/>
                <w:color w:val="000000"/>
                <w:szCs w:val="18"/>
                <w:lang w:val="it-IT"/>
              </w:rPr>
            </w:pPr>
            <w:r w:rsidRPr="00451078">
              <w:rPr>
                <w:rFonts w:cs="Tahoma"/>
                <w:bCs/>
                <w:color w:val="000000"/>
                <w:szCs w:val="18"/>
                <w:lang w:val="it-IT"/>
              </w:rPr>
              <w:t>una Licenza di Gestione Client per System Center 2012 Configuration Manager per ogni licenza qualificante</w:t>
            </w:r>
          </w:p>
        </w:tc>
      </w:tr>
      <w:tr w:rsidR="00A30254" w:rsidRPr="005E4903" w:rsidTr="00CE334A">
        <w:tc>
          <w:tcPr>
            <w:tcW w:w="3960" w:type="dxa"/>
            <w:hideMark/>
          </w:tcPr>
          <w:p w:rsidR="00A30254" w:rsidRPr="003410C7" w:rsidRDefault="00A30254" w:rsidP="00CE334A">
            <w:pPr>
              <w:ind w:left="162"/>
              <w:rPr>
                <w:rFonts w:cs="Tahoma"/>
                <w:bCs/>
                <w:color w:val="000000"/>
                <w:szCs w:val="18"/>
              </w:rPr>
            </w:pPr>
            <w:r w:rsidRPr="003410C7">
              <w:rPr>
                <w:rFonts w:cs="Tahoma"/>
                <w:bCs/>
                <w:color w:val="000000"/>
                <w:szCs w:val="18"/>
              </w:rPr>
              <w:t>Licenza Server per Virtual Machine Manager Workgroup Edition</w:t>
            </w:r>
          </w:p>
        </w:tc>
        <w:tc>
          <w:tcPr>
            <w:tcW w:w="4593" w:type="dxa"/>
            <w:hideMark/>
          </w:tcPr>
          <w:p w:rsidR="00A30254" w:rsidRPr="00451078" w:rsidRDefault="00A30254" w:rsidP="00CE334A">
            <w:pPr>
              <w:ind w:left="162"/>
              <w:rPr>
                <w:rFonts w:cs="Tahoma"/>
                <w:bCs/>
                <w:color w:val="000000"/>
                <w:szCs w:val="18"/>
                <w:lang w:val="it-IT"/>
              </w:rPr>
            </w:pPr>
            <w:r w:rsidRPr="00451078">
              <w:rPr>
                <w:rFonts w:cs="Tahoma"/>
                <w:bCs/>
                <w:color w:val="000000"/>
                <w:szCs w:val="18"/>
                <w:lang w:val="it-IT"/>
              </w:rPr>
              <w:t>una Licenza di Gestione Server per System Center 2012 Standard per ogni due** licenze qualificanti</w:t>
            </w:r>
          </w:p>
        </w:tc>
      </w:tr>
    </w:tbl>
    <w:p w:rsidR="00A30254" w:rsidRPr="00451078" w:rsidRDefault="00A30254" w:rsidP="00A30254">
      <w:pPr>
        <w:pStyle w:val="EndnoteText"/>
        <w:rPr>
          <w:sz w:val="16"/>
          <w:szCs w:val="16"/>
          <w:lang w:val="it-IT"/>
        </w:rPr>
      </w:pPr>
      <w:r w:rsidRPr="00451078">
        <w:rPr>
          <w:rFonts w:ascii="Tahoma" w:hAnsi="Tahoma" w:cs="Tahoma"/>
          <w:i/>
          <w:sz w:val="16"/>
          <w:szCs w:val="16"/>
          <w:lang w:val="it-IT"/>
        </w:rPr>
        <w:t>*Il numero di licenze per le società con meno di otto licenze qualificanti verrà arrotondato a otto ai fini di determinare la loro concessione di licenza ai sensi della presente offerta.</w:t>
      </w:r>
      <w:r w:rsidR="00082E1C" w:rsidRPr="00451078">
        <w:rPr>
          <w:rFonts w:ascii="Tahoma" w:hAnsi="Tahoma" w:cs="Tahoma"/>
          <w:i/>
          <w:sz w:val="16"/>
          <w:szCs w:val="16"/>
          <w:lang w:val="it-IT"/>
        </w:rPr>
        <w:t xml:space="preserve"> </w:t>
      </w:r>
      <w:r w:rsidRPr="00451078">
        <w:rPr>
          <w:rFonts w:ascii="Tahoma" w:hAnsi="Tahoma" w:cs="Tahoma"/>
          <w:i/>
          <w:sz w:val="16"/>
          <w:szCs w:val="16"/>
          <w:lang w:val="it-IT"/>
        </w:rPr>
        <w:t>Analogamente, il numero di licenze per le società con una quantità di licenze superiori a otto verrà arrotondato al multiplo di otto più vicino ai fini di determinare la loro concessione di licenza ai sensi della presente offerta.</w:t>
      </w:r>
    </w:p>
    <w:p w:rsidR="00A30254" w:rsidRPr="00451078" w:rsidRDefault="00A30254" w:rsidP="00A30254">
      <w:pPr>
        <w:pStyle w:val="EndnoteText"/>
        <w:rPr>
          <w:lang w:val="it-IT"/>
        </w:rPr>
      </w:pPr>
    </w:p>
    <w:p w:rsidR="00A30254" w:rsidRPr="00451078" w:rsidRDefault="00A30254" w:rsidP="00A30254">
      <w:pPr>
        <w:pStyle w:val="EndnoteText"/>
        <w:rPr>
          <w:sz w:val="16"/>
          <w:szCs w:val="16"/>
          <w:lang w:val="it-IT"/>
        </w:rPr>
      </w:pPr>
      <w:r w:rsidRPr="00451078">
        <w:rPr>
          <w:rFonts w:ascii="Tahoma" w:hAnsi="Tahoma" w:cs="Tahoma"/>
          <w:i/>
          <w:sz w:val="16"/>
          <w:szCs w:val="16"/>
          <w:lang w:val="it-IT"/>
        </w:rPr>
        <w:t>**Il numero di licenze per le società con meno di due licenze qualificanti verrà arrotondato a due ai fini di determinare la loro concessione di licenza ai sensi della presente offerta.</w:t>
      </w:r>
      <w:r w:rsidR="00082E1C" w:rsidRPr="00451078">
        <w:rPr>
          <w:rFonts w:ascii="Tahoma" w:hAnsi="Tahoma" w:cs="Tahoma"/>
          <w:i/>
          <w:sz w:val="16"/>
          <w:szCs w:val="16"/>
          <w:lang w:val="it-IT"/>
        </w:rPr>
        <w:t xml:space="preserve"> </w:t>
      </w:r>
      <w:r w:rsidRPr="00451078">
        <w:rPr>
          <w:rFonts w:ascii="Tahoma" w:hAnsi="Tahoma" w:cs="Tahoma"/>
          <w:i/>
          <w:sz w:val="16"/>
          <w:szCs w:val="16"/>
          <w:lang w:val="it-IT"/>
        </w:rPr>
        <w:t xml:space="preserve">Analogamente, il numero di licenze per le società con una </w:t>
      </w:r>
      <w:r w:rsidRPr="00451078">
        <w:rPr>
          <w:rFonts w:ascii="Tahoma" w:hAnsi="Tahoma" w:cs="Tahoma"/>
          <w:i/>
          <w:sz w:val="16"/>
          <w:szCs w:val="16"/>
          <w:lang w:val="it-IT"/>
        </w:rPr>
        <w:lastRenderedPageBreak/>
        <w:t>quantità di licenze superiori a due verrà arrotondato al multiplo di due più vicino ai fini di determinare la loro concessione di licenza ai sensi della presente offerta.</w:t>
      </w:r>
    </w:p>
    <w:p w:rsidR="00A30254" w:rsidRPr="00451078" w:rsidRDefault="00A30254" w:rsidP="00CE334A">
      <w:pPr>
        <w:spacing w:line="276" w:lineRule="auto"/>
        <w:rPr>
          <w:lang w:val="it-IT"/>
        </w:rPr>
      </w:pPr>
    </w:p>
    <w:p w:rsidR="00A30254" w:rsidRPr="00451078" w:rsidRDefault="00A30254" w:rsidP="00CE334A">
      <w:pPr>
        <w:pStyle w:val="EndnoteText"/>
        <w:ind w:left="720"/>
        <w:rPr>
          <w:lang w:val="it-IT"/>
        </w:rPr>
      </w:pPr>
      <w:r w:rsidRPr="00451078">
        <w:rPr>
          <w:rFonts w:ascii="Tahoma" w:hAnsi="Tahoma" w:cs="Tahoma"/>
          <w:sz w:val="18"/>
          <w:szCs w:val="18"/>
          <w:lang w:val="it-IT"/>
        </w:rPr>
        <w:t>Tutte le licenze concesse ai sensi della presente offerta includeranno la copertura Software Assurance. Tale</w:t>
      </w:r>
      <w:r w:rsidR="009F18F3" w:rsidRPr="00451078">
        <w:rPr>
          <w:rFonts w:ascii="Tahoma" w:hAnsi="Tahoma" w:cs="Tahoma"/>
          <w:sz w:val="18"/>
          <w:szCs w:val="18"/>
          <w:lang w:val="it-IT"/>
        </w:rPr>
        <w:t> </w:t>
      </w:r>
      <w:r w:rsidRPr="00451078">
        <w:rPr>
          <w:rFonts w:ascii="Tahoma" w:hAnsi="Tahoma" w:cs="Tahoma"/>
          <w:sz w:val="18"/>
          <w:szCs w:val="18"/>
          <w:lang w:val="it-IT"/>
        </w:rPr>
        <w:t>copertura cesserà alla scadenza della copertura per le licenze per SCE qualificanti. Alla scadenza della</w:t>
      </w:r>
      <w:r w:rsidR="009F18F3" w:rsidRPr="00451078">
        <w:rPr>
          <w:rFonts w:ascii="Tahoma" w:hAnsi="Tahoma" w:cs="Tahoma"/>
          <w:sz w:val="18"/>
          <w:szCs w:val="18"/>
          <w:lang w:val="it-IT"/>
        </w:rPr>
        <w:t> </w:t>
      </w:r>
      <w:r w:rsidRPr="00451078">
        <w:rPr>
          <w:rFonts w:ascii="Tahoma" w:hAnsi="Tahoma" w:cs="Tahoma"/>
          <w:sz w:val="18"/>
          <w:szCs w:val="18"/>
          <w:lang w:val="it-IT"/>
        </w:rPr>
        <w:t xml:space="preserve">copertura, le società potranno rinnovare Software Assurance per le licenze per System Center 2012. </w:t>
      </w:r>
    </w:p>
    <w:p w:rsidR="00A30254" w:rsidRPr="00451078" w:rsidRDefault="00A30254" w:rsidP="00CE334A">
      <w:pPr>
        <w:spacing w:line="276" w:lineRule="auto"/>
        <w:rPr>
          <w:lang w:val="it-IT"/>
        </w:rPr>
      </w:pPr>
    </w:p>
    <w:p w:rsidR="00A30254" w:rsidRPr="00451078" w:rsidRDefault="00A30254" w:rsidP="00CE334A">
      <w:pPr>
        <w:pStyle w:val="EndnoteText"/>
        <w:ind w:left="720"/>
        <w:rPr>
          <w:lang w:val="it-IT"/>
        </w:rPr>
      </w:pPr>
      <w:r w:rsidRPr="00451078">
        <w:rPr>
          <w:rFonts w:ascii="Tahoma" w:hAnsi="Tahoma" w:cs="Tahoma"/>
          <w:sz w:val="18"/>
          <w:szCs w:val="18"/>
          <w:lang w:val="it-IT"/>
        </w:rPr>
        <w:t>L</w:t>
      </w:r>
      <w:r w:rsidR="0073727D">
        <w:rPr>
          <w:rFonts w:ascii="Tahoma" w:hAnsi="Tahoma" w:cs="Tahoma"/>
          <w:sz w:val="18"/>
          <w:szCs w:val="18"/>
          <w:lang w:val="it-IT"/>
        </w:rPr>
        <w:t>’</w:t>
      </w:r>
      <w:r w:rsidRPr="00451078">
        <w:rPr>
          <w:rFonts w:ascii="Tahoma" w:hAnsi="Tahoma" w:cs="Tahoma"/>
          <w:sz w:val="18"/>
          <w:szCs w:val="18"/>
          <w:lang w:val="it-IT"/>
        </w:rPr>
        <w:t>utilizzo del software da parte della società ai sensi della presente offerta sarà soggetto alle condizioni del</w:t>
      </w:r>
      <w:r w:rsidR="009F18F3" w:rsidRPr="00451078">
        <w:rPr>
          <w:rFonts w:ascii="Tahoma" w:hAnsi="Tahoma" w:cs="Tahoma"/>
          <w:sz w:val="18"/>
          <w:szCs w:val="18"/>
          <w:lang w:val="it-IT"/>
        </w:rPr>
        <w:t> </w:t>
      </w:r>
      <w:r w:rsidRPr="00451078">
        <w:rPr>
          <w:rFonts w:ascii="Tahoma" w:hAnsi="Tahoma" w:cs="Tahoma"/>
          <w:sz w:val="18"/>
          <w:szCs w:val="18"/>
          <w:lang w:val="it-IT"/>
        </w:rPr>
        <w:t>relativo contratto di licenza e ai diritti di utilizzo del prodotto relativi al software. Il diritto di utilizzo del</w:t>
      </w:r>
      <w:r w:rsidR="009F18F3" w:rsidRPr="00451078">
        <w:rPr>
          <w:rFonts w:ascii="Tahoma" w:hAnsi="Tahoma" w:cs="Tahoma"/>
          <w:sz w:val="18"/>
          <w:szCs w:val="18"/>
          <w:lang w:val="it-IT"/>
        </w:rPr>
        <w:t> </w:t>
      </w:r>
      <w:r w:rsidRPr="00451078">
        <w:rPr>
          <w:rFonts w:ascii="Tahoma" w:hAnsi="Tahoma" w:cs="Tahoma"/>
          <w:sz w:val="18"/>
          <w:szCs w:val="18"/>
          <w:lang w:val="it-IT"/>
        </w:rPr>
        <w:t>software in concessione cesserà alla scadenza del diritto di utilizzo della licenza per SCE qualificante. Le</w:t>
      </w:r>
      <w:r w:rsidR="009F18F3" w:rsidRPr="00451078">
        <w:rPr>
          <w:rFonts w:ascii="Tahoma" w:hAnsi="Tahoma" w:cs="Tahoma"/>
          <w:sz w:val="18"/>
          <w:szCs w:val="18"/>
          <w:lang w:val="it-IT"/>
        </w:rPr>
        <w:t> </w:t>
      </w:r>
      <w:r w:rsidRPr="00451078">
        <w:rPr>
          <w:rFonts w:ascii="Tahoma" w:hAnsi="Tahoma" w:cs="Tahoma"/>
          <w:sz w:val="18"/>
          <w:szCs w:val="18"/>
          <w:lang w:val="it-IT"/>
        </w:rPr>
        <w:t>società non potranno trasferire le licenze concesse ai sensi della presente offerta separatamente dalle licenze per SCE qualificanti corrispondenti.</w:t>
      </w:r>
    </w:p>
    <w:p w:rsidR="00A30254" w:rsidRPr="00451078" w:rsidRDefault="00A30254" w:rsidP="00CE334A">
      <w:pPr>
        <w:pStyle w:val="EndnoteText"/>
        <w:ind w:left="720"/>
        <w:rPr>
          <w:lang w:val="it-IT"/>
        </w:rPr>
      </w:pPr>
    </w:p>
    <w:p w:rsidR="00A30254" w:rsidRPr="00451078" w:rsidRDefault="00A30254" w:rsidP="00CE334A">
      <w:pPr>
        <w:ind w:left="720"/>
        <w:rPr>
          <w:lang w:val="it-IT"/>
        </w:rPr>
      </w:pPr>
      <w:r w:rsidRPr="00451078">
        <w:rPr>
          <w:rFonts w:eastAsia="Calibri" w:cs="Tahoma"/>
          <w:color w:val="000000"/>
          <w:szCs w:val="18"/>
          <w:lang w:val="it-IT"/>
        </w:rPr>
        <w:t>Le licenze per SCE,</w:t>
      </w:r>
      <w:r w:rsidRPr="00451078">
        <w:rPr>
          <w:rFonts w:cs="Tahoma"/>
          <w:bCs/>
          <w:szCs w:val="18"/>
          <w:lang w:val="it-IT"/>
        </w:rPr>
        <w:t xml:space="preserve"> acquistate dopo il 1 marzo 2013 nell</w:t>
      </w:r>
      <w:r w:rsidR="0073727D">
        <w:rPr>
          <w:rFonts w:cs="Tahoma"/>
          <w:bCs/>
          <w:szCs w:val="18"/>
          <w:lang w:val="it-IT"/>
        </w:rPr>
        <w:t>’</w:t>
      </w:r>
      <w:r w:rsidRPr="00451078">
        <w:rPr>
          <w:rFonts w:cs="Tahoma"/>
          <w:bCs/>
          <w:szCs w:val="18"/>
          <w:lang w:val="it-IT"/>
        </w:rPr>
        <w:t xml:space="preserve">ambito di una procedura annuale di true-up della società per le Iscrizioni Enterprise o Enrollment for Education Solutions ai sensi delle quali le licenze per </w:t>
      </w:r>
      <w:r w:rsidRPr="00451078">
        <w:rPr>
          <w:rFonts w:eastAsia="Calibri" w:cs="Tahoma"/>
          <w:color w:val="000000"/>
          <w:szCs w:val="18"/>
          <w:lang w:val="it-IT"/>
        </w:rPr>
        <w:t>SCE</w:t>
      </w:r>
      <w:r w:rsidRPr="00451078">
        <w:rPr>
          <w:rFonts w:cs="Tahoma"/>
          <w:bCs/>
          <w:szCs w:val="18"/>
          <w:lang w:val="it-IT"/>
        </w:rPr>
        <w:t xml:space="preserve"> sono state inizialmente acquistate prima del 1 marzo 2013, sono anch</w:t>
      </w:r>
      <w:r w:rsidR="0073727D">
        <w:rPr>
          <w:rFonts w:cs="Tahoma"/>
          <w:bCs/>
          <w:szCs w:val="18"/>
          <w:lang w:val="it-IT"/>
        </w:rPr>
        <w:t>’</w:t>
      </w:r>
      <w:r w:rsidRPr="00451078">
        <w:rPr>
          <w:rFonts w:cs="Tahoma"/>
          <w:bCs/>
          <w:szCs w:val="18"/>
          <w:lang w:val="it-IT"/>
        </w:rPr>
        <w:t>esse licenze per SCE qualificanti ai fini della presente concessione.</w:t>
      </w:r>
    </w:p>
    <w:p w:rsidR="00A30254" w:rsidRPr="00451078" w:rsidRDefault="00A30254" w:rsidP="00CE334A">
      <w:pPr>
        <w:ind w:left="720"/>
        <w:rPr>
          <w:lang w:val="it-IT"/>
        </w:rPr>
      </w:pPr>
    </w:p>
    <w:p w:rsidR="00A30254" w:rsidRPr="00451078" w:rsidRDefault="00A30254" w:rsidP="00CE334A">
      <w:pPr>
        <w:ind w:left="720"/>
        <w:rPr>
          <w:lang w:val="it-IT"/>
        </w:rPr>
      </w:pPr>
      <w:r w:rsidRPr="00451078">
        <w:rPr>
          <w:rFonts w:cs="Tahoma"/>
          <w:bCs/>
          <w:szCs w:val="18"/>
          <w:lang w:val="it-IT"/>
        </w:rPr>
        <w:t>Per le società titolari di Contratti Enrollment for Education Solutions, Enterprise Subscription, Campus e School e Open Value Subscription, gli stessi diritti verranno concessi temporaneamente fino al termine del periodo di validità dell</w:t>
      </w:r>
      <w:r w:rsidR="0073727D">
        <w:rPr>
          <w:rFonts w:cs="Tahoma"/>
          <w:bCs/>
          <w:szCs w:val="18"/>
          <w:lang w:val="it-IT"/>
        </w:rPr>
        <w:t>’</w:t>
      </w:r>
      <w:r w:rsidRPr="00451078">
        <w:rPr>
          <w:rFonts w:cs="Tahoma"/>
          <w:bCs/>
          <w:szCs w:val="18"/>
          <w:lang w:val="it-IT"/>
        </w:rPr>
        <w:t>iscrizione della licenza, purché le Licenze e la copertura Software Assurance siano valide durante il periodo di concessione e la società mantenga la copertura della sottoscrizione in via continuativa.</w:t>
      </w:r>
      <w:r w:rsidR="00082E1C" w:rsidRPr="00451078">
        <w:rPr>
          <w:rFonts w:cs="Tahoma"/>
          <w:bCs/>
          <w:szCs w:val="18"/>
          <w:lang w:val="it-IT"/>
        </w:rPr>
        <w:t xml:space="preserve"> </w:t>
      </w:r>
      <w:r w:rsidRPr="00451078">
        <w:rPr>
          <w:rFonts w:cs="Tahoma"/>
          <w:bCs/>
          <w:szCs w:val="18"/>
          <w:lang w:val="it-IT"/>
        </w:rPr>
        <w:t>Tali diritti diventeranno permanenti soltanto all</w:t>
      </w:r>
      <w:r w:rsidR="0073727D">
        <w:rPr>
          <w:rFonts w:cs="Tahoma"/>
          <w:bCs/>
          <w:szCs w:val="18"/>
          <w:lang w:val="it-IT"/>
        </w:rPr>
        <w:t>’</w:t>
      </w:r>
      <w:r w:rsidRPr="00451078">
        <w:rPr>
          <w:rFonts w:cs="Tahoma"/>
          <w:bCs/>
          <w:szCs w:val="18"/>
          <w:lang w:val="it-IT"/>
        </w:rPr>
        <w:t>esercizio dell</w:t>
      </w:r>
      <w:r w:rsidR="0073727D">
        <w:rPr>
          <w:rFonts w:cs="Tahoma"/>
          <w:bCs/>
          <w:szCs w:val="18"/>
          <w:lang w:val="it-IT"/>
        </w:rPr>
        <w:t>’</w:t>
      </w:r>
      <w:r w:rsidRPr="00451078">
        <w:rPr>
          <w:rFonts w:cs="Tahoma"/>
          <w:bCs/>
          <w:szCs w:val="18"/>
          <w:lang w:val="it-IT"/>
        </w:rPr>
        <w:t>opzione buy-out e resteranno soggetti a tutte le condizioni del contratto di licenza della società.</w:t>
      </w:r>
    </w:p>
    <w:p w:rsidR="00A30254" w:rsidRPr="00451078" w:rsidRDefault="00A30254" w:rsidP="00602EF4">
      <w:pPr>
        <w:spacing w:after="60"/>
        <w:ind w:left="720"/>
        <w:rPr>
          <w:lang w:val="it-IT"/>
        </w:rPr>
      </w:pPr>
    </w:p>
    <w:p w:rsidR="00CE2BD2" w:rsidRPr="00451078" w:rsidRDefault="00CE2BD2" w:rsidP="006D6A83">
      <w:pPr>
        <w:spacing w:after="60"/>
        <w:ind w:left="720"/>
        <w:rPr>
          <w:lang w:val="it-IT"/>
        </w:rPr>
      </w:pPr>
      <w:r w:rsidRPr="00451078">
        <w:rPr>
          <w:rFonts w:cs="Tahoma"/>
          <w:b/>
          <w:color w:val="000000"/>
          <w:szCs w:val="20"/>
          <w:lang w:val="it-IT"/>
        </w:rPr>
        <w:t>Percorso di Migrazione da System Center Essentials 2007 (SCE 2007) a System Center Essentials 2010 (SCE 2010)</w:t>
      </w:r>
    </w:p>
    <w:p w:rsidR="00A30254" w:rsidRPr="00451078" w:rsidRDefault="00A30254" w:rsidP="00A30254">
      <w:pPr>
        <w:ind w:left="720"/>
        <w:rPr>
          <w:lang w:val="it-IT"/>
        </w:rPr>
      </w:pPr>
      <w:r w:rsidRPr="00451078">
        <w:rPr>
          <w:rFonts w:cs="Tahoma"/>
          <w:color w:val="000000"/>
          <w:szCs w:val="20"/>
          <w:lang w:val="it-IT"/>
        </w:rPr>
        <w:t>Per le condizioni che disciplinano il diritto delle società di eseguire l</w:t>
      </w:r>
      <w:r w:rsidR="0073727D">
        <w:rPr>
          <w:rFonts w:cs="Tahoma"/>
          <w:color w:val="000000"/>
          <w:szCs w:val="20"/>
          <w:lang w:val="it-IT"/>
        </w:rPr>
        <w:t>’</w:t>
      </w:r>
      <w:r w:rsidRPr="00451078">
        <w:rPr>
          <w:rFonts w:cs="Tahoma"/>
          <w:color w:val="000000"/>
          <w:szCs w:val="20"/>
          <w:lang w:val="it-IT"/>
        </w:rPr>
        <w:t>aggiornamento a SCE 2010 da SCE 2007 ai sensi della copertura Software Assurance, vedere la Lista dei Prodotti del mese di febbraio 2013.</w:t>
      </w:r>
    </w:p>
    <w:p w:rsidR="00CE2BD2" w:rsidRPr="00451078" w:rsidRDefault="00CE2BD2" w:rsidP="0037081F">
      <w:pPr>
        <w:ind w:left="720"/>
        <w:rPr>
          <w:lang w:val="it-IT"/>
        </w:rPr>
      </w:pPr>
    </w:p>
    <w:p w:rsidR="00CE2BD2" w:rsidRPr="00451078" w:rsidRDefault="00CE2BD2" w:rsidP="00CE2BD2">
      <w:pPr>
        <w:ind w:left="720"/>
        <w:rPr>
          <w:lang w:val="it-IT"/>
        </w:rPr>
      </w:pPr>
    </w:p>
    <w:p w:rsidR="00ED5504" w:rsidRPr="00451078" w:rsidRDefault="0099402E" w:rsidP="00ED5504">
      <w:pPr>
        <w:pStyle w:val="Heading3"/>
        <w:rPr>
          <w:lang w:val="it-IT"/>
        </w:rPr>
      </w:pPr>
      <w:bookmarkStart w:id="1432" w:name="_80_System_Center"/>
      <w:bookmarkStart w:id="1433" w:name="_95_System_Center"/>
      <w:bookmarkStart w:id="1434" w:name="_81_System_Center"/>
      <w:bookmarkStart w:id="1435" w:name="_82_System_Center"/>
      <w:bookmarkStart w:id="1436" w:name="_83_System_Center"/>
      <w:bookmarkStart w:id="1437" w:name="_84__System"/>
      <w:bookmarkStart w:id="1438" w:name="_87_85_System"/>
      <w:bookmarkStart w:id="1439" w:name="_Toc336338353"/>
      <w:bookmarkStart w:id="1440" w:name="_Toc352234938"/>
      <w:bookmarkStart w:id="1441" w:name="Srv_88SystemCtrReportMgr2006"/>
      <w:bookmarkStart w:id="1442" w:name="Srv_89SysCtrSvrMgmtSuiteEnterprise"/>
      <w:bookmarkEnd w:id="1432"/>
      <w:bookmarkEnd w:id="1433"/>
      <w:bookmarkEnd w:id="1434"/>
      <w:bookmarkEnd w:id="1435"/>
      <w:bookmarkEnd w:id="1436"/>
      <w:bookmarkEnd w:id="1437"/>
      <w:bookmarkEnd w:id="1438"/>
      <w:r w:rsidRPr="00451078">
        <w:rPr>
          <w:rFonts w:ascii="Tahoma" w:hAnsi="Tahoma"/>
          <w:caps/>
          <w:color w:val="F66400"/>
          <w:sz w:val="22"/>
          <w:vertAlign w:val="superscript"/>
          <w:lang w:val="it-IT"/>
        </w:rPr>
        <w:t>85</w:t>
      </w:r>
      <w:r w:rsidRPr="00451078">
        <w:rPr>
          <w:rFonts w:ascii="Tahoma" w:hAnsi="Tahoma"/>
          <w:color w:val="F66400"/>
          <w:sz w:val="22"/>
          <w:lang w:val="it-IT"/>
        </w:rPr>
        <w:t xml:space="preserve"> System Center Reporting Manager 2006</w:t>
      </w:r>
      <w:bookmarkEnd w:id="1439"/>
      <w:bookmarkEnd w:id="1440"/>
    </w:p>
    <w:bookmarkEnd w:id="1441"/>
    <w:p w:rsidR="00ED5504" w:rsidRPr="00451078" w:rsidRDefault="00ED5504" w:rsidP="00D511CC">
      <w:pPr>
        <w:pStyle w:val="EndnoteText"/>
        <w:ind w:left="0"/>
        <w:rPr>
          <w:lang w:val="it-IT"/>
        </w:rPr>
      </w:pPr>
    </w:p>
    <w:p w:rsidR="00ED5504" w:rsidRPr="00451078" w:rsidRDefault="00ED5504" w:rsidP="00D511CC">
      <w:pPr>
        <w:pStyle w:val="EndnoteText"/>
        <w:ind w:left="720"/>
        <w:rPr>
          <w:lang w:val="it-IT"/>
        </w:rPr>
      </w:pPr>
      <w:r w:rsidRPr="00451078">
        <w:rPr>
          <w:rFonts w:ascii="Tahoma" w:hAnsi="Tahoma" w:cs="Tahoma"/>
          <w:sz w:val="18"/>
          <w:lang w:val="it-IT"/>
        </w:rPr>
        <w:t>Prodotto End-Of-Life (EOL) che non verrà più offerto.</w:t>
      </w:r>
    </w:p>
    <w:p w:rsidR="00ED5504" w:rsidRPr="00451078" w:rsidRDefault="00ED5504" w:rsidP="00D511CC">
      <w:pPr>
        <w:pStyle w:val="EndnoteText"/>
        <w:ind w:left="720"/>
        <w:rPr>
          <w:lang w:val="it-IT"/>
        </w:rPr>
      </w:pPr>
    </w:p>
    <w:p w:rsidR="00ED5504" w:rsidRPr="00451078" w:rsidRDefault="00ED5504" w:rsidP="00D511CC">
      <w:pPr>
        <w:pStyle w:val="EndnoteText"/>
        <w:spacing w:after="60"/>
        <w:ind w:left="720"/>
        <w:rPr>
          <w:lang w:val="it-IT"/>
        </w:rPr>
      </w:pPr>
      <w:r w:rsidRPr="00451078">
        <w:rPr>
          <w:rFonts w:ascii="Tahoma" w:hAnsi="Tahoma" w:cs="Tahoma"/>
          <w:b/>
          <w:sz w:val="18"/>
          <w:lang w:val="it-IT"/>
        </w:rPr>
        <w:t>Concessione di una Licenza Una Tantum ai Titolari di Licenza per System Center Reporting Manager 2006</w:t>
      </w:r>
    </w:p>
    <w:p w:rsidR="00ED5504" w:rsidRPr="00451078" w:rsidRDefault="00ED5504" w:rsidP="00D511CC">
      <w:pPr>
        <w:pStyle w:val="EndnoteText"/>
        <w:ind w:left="720"/>
        <w:rPr>
          <w:lang w:val="it-IT"/>
        </w:rPr>
      </w:pPr>
      <w:r w:rsidRPr="00451078">
        <w:rPr>
          <w:rFonts w:ascii="Tahoma" w:hAnsi="Tahoma" w:cs="Tahoma"/>
          <w:sz w:val="18"/>
          <w:lang w:val="it-IT"/>
        </w:rPr>
        <w:t>Come eccezione una tantum legata all</w:t>
      </w:r>
      <w:r w:rsidR="0073727D">
        <w:rPr>
          <w:rFonts w:ascii="Tahoma" w:hAnsi="Tahoma" w:cs="Tahoma"/>
          <w:sz w:val="18"/>
          <w:lang w:val="it-IT"/>
        </w:rPr>
        <w:t>’</w:t>
      </w:r>
      <w:r w:rsidRPr="00451078">
        <w:rPr>
          <w:rFonts w:ascii="Tahoma" w:hAnsi="Tahoma" w:cs="Tahoma"/>
          <w:sz w:val="18"/>
          <w:lang w:val="it-IT"/>
        </w:rPr>
        <w:t>interruzione di System Center Reporting Manager 2006, Microsoft concederà alle società in possesso di contratti Select, Enterprise, Open License, Open Value e Campus e School e con copertura Software Assurance attiva per ogni licenza di System Center Reporting Manager 2006 al 31 maggio 2010, le seguenti licenze senza alcuna spesa aggiuntiva che non siano i costi (eventuali) dei supporti di memorizzazione</w:t>
      </w:r>
      <w:r w:rsidRPr="00451078">
        <w:rPr>
          <w:rFonts w:ascii="Tahoma" w:hAnsi="Tahoma" w:cs="Tahoma"/>
          <w:color w:val="000000"/>
          <w:sz w:val="18"/>
          <w:szCs w:val="20"/>
          <w:lang w:val="it-IT"/>
        </w:rPr>
        <w:t>:</w:t>
      </w:r>
    </w:p>
    <w:p w:rsidR="00ED5504" w:rsidRPr="00451078" w:rsidRDefault="00ED5504" w:rsidP="00D511CC">
      <w:pPr>
        <w:pStyle w:val="EndnoteText"/>
        <w:rPr>
          <w:lang w:val="it-IT"/>
        </w:rPr>
      </w:pPr>
    </w:p>
    <w:p w:rsidR="00ED5504" w:rsidRPr="00451078" w:rsidRDefault="00ED5504" w:rsidP="00D511CC">
      <w:pPr>
        <w:pStyle w:val="EndnoteText"/>
        <w:numPr>
          <w:ilvl w:val="0"/>
          <w:numId w:val="7"/>
        </w:numPr>
        <w:tabs>
          <w:tab w:val="left" w:pos="1440"/>
        </w:tabs>
        <w:spacing w:after="60"/>
        <w:ind w:left="1440"/>
        <w:rPr>
          <w:lang w:val="it-IT"/>
        </w:rPr>
      </w:pPr>
      <w:r w:rsidRPr="00451078">
        <w:rPr>
          <w:rFonts w:ascii="Tahoma" w:hAnsi="Tahoma" w:cs="Tahoma"/>
          <w:sz w:val="18"/>
          <w:lang w:val="it-IT"/>
        </w:rPr>
        <w:t>Una licenza di Gestione Server per System Center Service Manager 2010 (senza Tecnologia SQL)</w:t>
      </w:r>
    </w:p>
    <w:p w:rsidR="00ED5504" w:rsidRPr="00451078" w:rsidRDefault="00ED5504" w:rsidP="00D511CC">
      <w:pPr>
        <w:pStyle w:val="EndnoteText"/>
        <w:numPr>
          <w:ilvl w:val="0"/>
          <w:numId w:val="7"/>
        </w:numPr>
        <w:spacing w:after="60"/>
        <w:ind w:left="1440"/>
        <w:rPr>
          <w:lang w:val="it-IT"/>
        </w:rPr>
      </w:pPr>
      <w:r w:rsidRPr="00451078">
        <w:rPr>
          <w:rFonts w:ascii="Tahoma" w:hAnsi="Tahoma" w:cs="Tahoma"/>
          <w:sz w:val="18"/>
          <w:lang w:val="it-IT"/>
        </w:rPr>
        <w:t>Cinque licenze di Gestione Server per System Center Service Manager 2010</w:t>
      </w:r>
    </w:p>
    <w:p w:rsidR="00ED5504" w:rsidRPr="00451078" w:rsidRDefault="00ED5504" w:rsidP="00D511CC">
      <w:pPr>
        <w:pStyle w:val="EndnoteText"/>
        <w:numPr>
          <w:ilvl w:val="0"/>
          <w:numId w:val="7"/>
        </w:numPr>
        <w:spacing w:after="60"/>
        <w:ind w:left="1440"/>
        <w:rPr>
          <w:lang w:val="it-IT"/>
        </w:rPr>
      </w:pPr>
      <w:r w:rsidRPr="00451078">
        <w:rPr>
          <w:rFonts w:ascii="Tahoma" w:hAnsi="Tahoma" w:cs="Tahoma"/>
          <w:sz w:val="18"/>
          <w:lang w:val="it-IT"/>
        </w:rPr>
        <w:t>Trenta licenze di Gestione Client per System Center Service Manager 2010</w:t>
      </w:r>
    </w:p>
    <w:p w:rsidR="00ED5504" w:rsidRPr="00451078" w:rsidRDefault="00ED5504" w:rsidP="00D511CC">
      <w:pPr>
        <w:pStyle w:val="EndnoteText"/>
        <w:ind w:left="0"/>
        <w:rPr>
          <w:lang w:val="it-IT"/>
        </w:rPr>
      </w:pPr>
    </w:p>
    <w:p w:rsidR="00ED5504" w:rsidRPr="00451078" w:rsidRDefault="00ED5504" w:rsidP="00D511CC">
      <w:pPr>
        <w:pStyle w:val="EndnoteText"/>
        <w:ind w:left="720"/>
        <w:rPr>
          <w:lang w:val="it-IT"/>
        </w:rPr>
      </w:pPr>
      <w:r w:rsidRPr="00451078">
        <w:rPr>
          <w:rFonts w:ascii="Tahoma" w:hAnsi="Tahoma" w:cs="Tahoma"/>
          <w:sz w:val="18"/>
          <w:lang w:val="it-IT"/>
        </w:rPr>
        <w:t>Tutte le licenze concesse ai sensi della presente offerta includeranno la copertura Software Assurance. Tale copertura cesserà alla scadenza della copertura System Center Reporting Manager 2006 corrispondente. Alla</w:t>
      </w:r>
      <w:r w:rsidR="009F18F3" w:rsidRPr="00451078">
        <w:rPr>
          <w:rFonts w:ascii="Tahoma" w:hAnsi="Tahoma" w:cs="Tahoma"/>
          <w:sz w:val="18"/>
          <w:lang w:val="it-IT"/>
        </w:rPr>
        <w:t> </w:t>
      </w:r>
      <w:r w:rsidRPr="00451078">
        <w:rPr>
          <w:rFonts w:ascii="Tahoma" w:hAnsi="Tahoma" w:cs="Tahoma"/>
          <w:sz w:val="18"/>
          <w:lang w:val="it-IT"/>
        </w:rPr>
        <w:t xml:space="preserve">scadenza della copertura, le società potranno rinnovare Software Assurance sulle licenze concesse. </w:t>
      </w:r>
    </w:p>
    <w:p w:rsidR="00ED5504" w:rsidRPr="00451078" w:rsidRDefault="00ED5504" w:rsidP="00D511CC">
      <w:pPr>
        <w:pStyle w:val="EndnoteText"/>
        <w:ind w:left="720"/>
        <w:rPr>
          <w:lang w:val="it-IT"/>
        </w:rPr>
      </w:pPr>
    </w:p>
    <w:p w:rsidR="00ED5504" w:rsidRPr="00451078" w:rsidRDefault="00ED5504" w:rsidP="00D511CC">
      <w:pPr>
        <w:pStyle w:val="EndnoteText"/>
        <w:ind w:left="720"/>
        <w:rPr>
          <w:lang w:val="it-IT"/>
        </w:rPr>
      </w:pPr>
      <w:r w:rsidRPr="00451078">
        <w:rPr>
          <w:rFonts w:ascii="Tahoma" w:hAnsi="Tahoma" w:cs="Tahoma"/>
          <w:sz w:val="18"/>
          <w:lang w:val="it-IT"/>
        </w:rPr>
        <w:t>L</w:t>
      </w:r>
      <w:r w:rsidR="0073727D">
        <w:rPr>
          <w:rFonts w:ascii="Tahoma" w:hAnsi="Tahoma" w:cs="Tahoma"/>
          <w:sz w:val="18"/>
          <w:lang w:val="it-IT"/>
        </w:rPr>
        <w:t>’</w:t>
      </w:r>
      <w:r w:rsidRPr="00451078">
        <w:rPr>
          <w:rFonts w:ascii="Tahoma" w:hAnsi="Tahoma" w:cs="Tahoma"/>
          <w:sz w:val="18"/>
          <w:lang w:val="it-IT"/>
        </w:rPr>
        <w:t>utilizzo del software da parte della società ai sensi della presente offerta sarà soggetto alle condizioni del</w:t>
      </w:r>
      <w:r w:rsidR="009F18F3" w:rsidRPr="00451078">
        <w:rPr>
          <w:rFonts w:ascii="Tahoma" w:hAnsi="Tahoma" w:cs="Tahoma"/>
          <w:sz w:val="18"/>
          <w:lang w:val="it-IT"/>
        </w:rPr>
        <w:t> </w:t>
      </w:r>
      <w:r w:rsidRPr="00451078">
        <w:rPr>
          <w:rFonts w:ascii="Tahoma" w:hAnsi="Tahoma" w:cs="Tahoma"/>
          <w:sz w:val="18"/>
          <w:lang w:val="it-IT"/>
        </w:rPr>
        <w:t>relativo contratto di licenza e ai diritti di utilizzo del prodotto relativi al software. Il diritto di utilizzo del</w:t>
      </w:r>
      <w:r w:rsidR="009F18F3" w:rsidRPr="00451078">
        <w:rPr>
          <w:rFonts w:ascii="Tahoma" w:hAnsi="Tahoma" w:cs="Tahoma"/>
          <w:sz w:val="18"/>
          <w:lang w:val="it-IT"/>
        </w:rPr>
        <w:t> </w:t>
      </w:r>
      <w:r w:rsidRPr="00451078">
        <w:rPr>
          <w:rFonts w:ascii="Tahoma" w:hAnsi="Tahoma" w:cs="Tahoma"/>
          <w:sz w:val="18"/>
          <w:lang w:val="it-IT"/>
        </w:rPr>
        <w:t>software concesso scadrà alla scadenza del diritto di utilizzo della licenza per System Center Reporting Manager 2006 qualificante. Le società non potranno trasferire le licenze concesse in virtù della presente offerta separatamente dalle licenze qualificanti corrispondenti.</w:t>
      </w:r>
    </w:p>
    <w:p w:rsidR="00ED5504" w:rsidRPr="00451078" w:rsidRDefault="00ED5504" w:rsidP="00D511CC">
      <w:pPr>
        <w:pStyle w:val="EndnoteText"/>
        <w:ind w:left="720"/>
        <w:rPr>
          <w:lang w:val="it-IT"/>
        </w:rPr>
      </w:pPr>
    </w:p>
    <w:p w:rsidR="00ED5504" w:rsidRPr="00451078" w:rsidRDefault="00ED5504" w:rsidP="00D511CC">
      <w:pPr>
        <w:ind w:left="720"/>
        <w:rPr>
          <w:lang w:val="it-IT"/>
        </w:rPr>
      </w:pPr>
      <w:r w:rsidRPr="00451078">
        <w:rPr>
          <w:rFonts w:eastAsia="Calibri" w:cs="Tahoma"/>
          <w:color w:val="000000"/>
          <w:szCs w:val="18"/>
          <w:lang w:val="it-IT"/>
        </w:rPr>
        <w:lastRenderedPageBreak/>
        <w:t>Le licenze per System Center Reporting Manager 2006,</w:t>
      </w:r>
      <w:r w:rsidRPr="00451078">
        <w:rPr>
          <w:rFonts w:cs="Tahoma"/>
          <w:bCs/>
          <w:szCs w:val="18"/>
          <w:lang w:val="it-IT"/>
        </w:rPr>
        <w:t xml:space="preserve"> acquistate dopo il 31 maggio 2010 nell</w:t>
      </w:r>
      <w:r w:rsidR="0073727D">
        <w:rPr>
          <w:rFonts w:cs="Tahoma"/>
          <w:bCs/>
          <w:szCs w:val="18"/>
          <w:lang w:val="it-IT"/>
        </w:rPr>
        <w:t>’</w:t>
      </w:r>
      <w:r w:rsidRPr="00451078">
        <w:rPr>
          <w:rFonts w:cs="Tahoma"/>
          <w:bCs/>
          <w:szCs w:val="18"/>
          <w:lang w:val="it-IT"/>
        </w:rPr>
        <w:t xml:space="preserve">ambito del processo annuale di true-up per le Iscrizioni Enterprise ai sensi delle quali le licenze per </w:t>
      </w:r>
      <w:r w:rsidRPr="00451078">
        <w:rPr>
          <w:rFonts w:eastAsia="Calibri" w:cs="Tahoma"/>
          <w:color w:val="000000"/>
          <w:szCs w:val="18"/>
          <w:lang w:val="it-IT"/>
        </w:rPr>
        <w:t>System Center Reporting Manager 2006</w:t>
      </w:r>
      <w:r w:rsidRPr="00451078">
        <w:rPr>
          <w:rFonts w:cs="Tahoma"/>
          <w:bCs/>
          <w:szCs w:val="18"/>
          <w:lang w:val="it-IT"/>
        </w:rPr>
        <w:t xml:space="preserve"> sono state inizialmente acquistate prima del 31 maggio 2010, sono anch</w:t>
      </w:r>
      <w:r w:rsidR="0073727D">
        <w:rPr>
          <w:rFonts w:cs="Tahoma"/>
          <w:bCs/>
          <w:szCs w:val="18"/>
          <w:lang w:val="it-IT"/>
        </w:rPr>
        <w:t>’</w:t>
      </w:r>
      <w:r w:rsidRPr="00451078">
        <w:rPr>
          <w:rFonts w:cs="Tahoma"/>
          <w:bCs/>
          <w:szCs w:val="18"/>
          <w:lang w:val="it-IT"/>
        </w:rPr>
        <w:t>esse idonee a ricevere le licenze Server di Gestione per System Center Service Manager 2010 e le licenze di Gestione Client/Server in base alla presente offerta.</w:t>
      </w:r>
    </w:p>
    <w:p w:rsidR="00ED5504" w:rsidRPr="00451078" w:rsidRDefault="00ED5504" w:rsidP="00D511CC">
      <w:pPr>
        <w:ind w:left="720"/>
        <w:rPr>
          <w:lang w:val="it-IT"/>
        </w:rPr>
      </w:pPr>
    </w:p>
    <w:p w:rsidR="00ED5504" w:rsidRPr="00451078" w:rsidRDefault="00ED5504" w:rsidP="00D511CC">
      <w:pPr>
        <w:pStyle w:val="EndnoteText"/>
        <w:ind w:left="720"/>
        <w:rPr>
          <w:lang w:val="it-IT"/>
        </w:rPr>
      </w:pPr>
      <w:r w:rsidRPr="00451078">
        <w:rPr>
          <w:rFonts w:ascii="Tahoma" w:hAnsi="Tahoma" w:cs="Tahoma"/>
          <w:bCs/>
          <w:sz w:val="18"/>
          <w:szCs w:val="18"/>
          <w:lang w:val="it-IT"/>
        </w:rPr>
        <w:t>Per Contratti Enterprise Subscription, Campus e School e Open Value Subscription, gli stessi diritti verranno concessi temporaneamente fino al termine del periodo di validità dell</w:t>
      </w:r>
      <w:r w:rsidR="0073727D">
        <w:rPr>
          <w:rFonts w:ascii="Tahoma" w:hAnsi="Tahoma" w:cs="Tahoma"/>
          <w:bCs/>
          <w:sz w:val="18"/>
          <w:szCs w:val="18"/>
          <w:lang w:val="it-IT"/>
        </w:rPr>
        <w:t>’</w:t>
      </w:r>
      <w:r w:rsidRPr="00451078">
        <w:rPr>
          <w:rFonts w:ascii="Tahoma" w:hAnsi="Tahoma" w:cs="Tahoma"/>
          <w:bCs/>
          <w:sz w:val="18"/>
          <w:szCs w:val="18"/>
          <w:lang w:val="it-IT"/>
        </w:rPr>
        <w:t>iscrizione della licenza, qualora le Licenze e la copertura Software Assurance siano valide durante il periodo di concessione e la società mantenga la copertura dell</w:t>
      </w:r>
      <w:r w:rsidR="0073727D">
        <w:rPr>
          <w:rFonts w:ascii="Tahoma" w:hAnsi="Tahoma" w:cs="Tahoma"/>
          <w:bCs/>
          <w:sz w:val="18"/>
          <w:szCs w:val="18"/>
          <w:lang w:val="it-IT"/>
        </w:rPr>
        <w:t>’</w:t>
      </w:r>
      <w:r w:rsidRPr="00451078">
        <w:rPr>
          <w:rFonts w:ascii="Tahoma" w:hAnsi="Tahoma" w:cs="Tahoma"/>
          <w:bCs/>
          <w:sz w:val="18"/>
          <w:szCs w:val="18"/>
          <w:lang w:val="it-IT"/>
        </w:rPr>
        <w:t>abbonamento in via continuativa.</w:t>
      </w:r>
      <w:r w:rsidR="00082E1C" w:rsidRPr="00451078">
        <w:rPr>
          <w:rFonts w:ascii="Tahoma" w:hAnsi="Tahoma" w:cs="Tahoma"/>
          <w:bCs/>
          <w:sz w:val="18"/>
          <w:szCs w:val="18"/>
          <w:lang w:val="it-IT"/>
        </w:rPr>
        <w:t xml:space="preserve"> </w:t>
      </w:r>
      <w:r w:rsidRPr="00451078">
        <w:rPr>
          <w:rFonts w:ascii="Tahoma" w:hAnsi="Tahoma" w:cs="Tahoma"/>
          <w:bCs/>
          <w:sz w:val="18"/>
          <w:szCs w:val="18"/>
          <w:lang w:val="it-IT"/>
        </w:rPr>
        <w:t>Tali diritti diventeranno permanenti soltanto all</w:t>
      </w:r>
      <w:r w:rsidR="0073727D">
        <w:rPr>
          <w:rFonts w:ascii="Tahoma" w:hAnsi="Tahoma" w:cs="Tahoma"/>
          <w:bCs/>
          <w:sz w:val="18"/>
          <w:szCs w:val="18"/>
          <w:lang w:val="it-IT"/>
        </w:rPr>
        <w:t>’</w:t>
      </w:r>
      <w:r w:rsidRPr="00451078">
        <w:rPr>
          <w:rFonts w:ascii="Tahoma" w:hAnsi="Tahoma" w:cs="Tahoma"/>
          <w:bCs/>
          <w:sz w:val="18"/>
          <w:szCs w:val="18"/>
          <w:lang w:val="it-IT"/>
        </w:rPr>
        <w:t>esercizio dell</w:t>
      </w:r>
      <w:r w:rsidR="0073727D">
        <w:rPr>
          <w:rFonts w:ascii="Tahoma" w:hAnsi="Tahoma" w:cs="Tahoma"/>
          <w:bCs/>
          <w:sz w:val="18"/>
          <w:szCs w:val="18"/>
          <w:lang w:val="it-IT"/>
        </w:rPr>
        <w:t>’</w:t>
      </w:r>
      <w:r w:rsidRPr="00451078">
        <w:rPr>
          <w:rFonts w:ascii="Tahoma" w:hAnsi="Tahoma" w:cs="Tahoma"/>
          <w:bCs/>
          <w:sz w:val="18"/>
          <w:szCs w:val="18"/>
          <w:lang w:val="it-IT"/>
        </w:rPr>
        <w:t>opzione buy-out e resteranno soggetti a tutte le condizioni del contratto di licenza della società.</w:t>
      </w:r>
    </w:p>
    <w:p w:rsidR="00023FE7" w:rsidRPr="00451078" w:rsidRDefault="00023FE7" w:rsidP="00D511CC">
      <w:pPr>
        <w:pStyle w:val="EndnoteText"/>
        <w:rPr>
          <w:lang w:val="it-IT"/>
        </w:rPr>
      </w:pPr>
    </w:p>
    <w:p w:rsidR="00ED5504" w:rsidRPr="00451078" w:rsidRDefault="00ED5504">
      <w:pPr>
        <w:pStyle w:val="EndnoteText"/>
        <w:rPr>
          <w:lang w:val="it-IT"/>
        </w:rPr>
      </w:pPr>
    </w:p>
    <w:p w:rsidR="00023FE7" w:rsidRPr="00451078" w:rsidRDefault="0099402E">
      <w:pPr>
        <w:pStyle w:val="Heading3"/>
        <w:rPr>
          <w:lang w:val="it-IT"/>
        </w:rPr>
      </w:pPr>
      <w:bookmarkStart w:id="1443" w:name="Srv_85SysCtrSvrMgmtSuiteEnterprise"/>
      <w:bookmarkStart w:id="1444" w:name="_85_System_Center"/>
      <w:bookmarkStart w:id="1445" w:name="_98_System_Center"/>
      <w:bookmarkStart w:id="1446" w:name="_Toc336338354"/>
      <w:bookmarkStart w:id="1447" w:name="_Toc352234939"/>
      <w:bookmarkEnd w:id="1443"/>
      <w:bookmarkEnd w:id="1444"/>
      <w:bookmarkEnd w:id="1445"/>
      <w:r w:rsidRPr="00451078">
        <w:rPr>
          <w:rFonts w:ascii="Tahoma" w:hAnsi="Tahoma"/>
          <w:caps/>
          <w:color w:val="F66400"/>
          <w:sz w:val="22"/>
          <w:vertAlign w:val="superscript"/>
          <w:lang w:val="it-IT"/>
        </w:rPr>
        <w:t>86</w:t>
      </w:r>
      <w:r w:rsidRPr="00451078">
        <w:rPr>
          <w:rFonts w:ascii="Tahoma" w:hAnsi="Tahoma"/>
          <w:caps/>
          <w:color w:val="F66400"/>
          <w:sz w:val="22"/>
          <w:lang w:val="it-IT"/>
        </w:rPr>
        <w:t xml:space="preserve"> </w:t>
      </w:r>
      <w:r w:rsidRPr="00451078">
        <w:rPr>
          <w:rFonts w:ascii="Tahoma" w:hAnsi="Tahoma"/>
          <w:color w:val="F66400"/>
          <w:sz w:val="22"/>
          <w:lang w:val="it-IT"/>
        </w:rPr>
        <w:t>System Center Server Management Suite Enterprise</w:t>
      </w:r>
      <w:bookmarkEnd w:id="1446"/>
      <w:bookmarkEnd w:id="1447"/>
    </w:p>
    <w:bookmarkEnd w:id="1442"/>
    <w:p w:rsidR="00023FE7" w:rsidRPr="00451078" w:rsidRDefault="00023FE7" w:rsidP="00D511CC">
      <w:pPr>
        <w:pStyle w:val="EndnoteText"/>
        <w:ind w:left="720"/>
        <w:rPr>
          <w:lang w:val="it-IT"/>
        </w:rPr>
      </w:pPr>
    </w:p>
    <w:p w:rsidR="00FF4CAB" w:rsidRPr="00451078" w:rsidRDefault="00FF4CAB" w:rsidP="00D511CC">
      <w:pPr>
        <w:pStyle w:val="EndnoteText"/>
        <w:ind w:left="720"/>
        <w:rPr>
          <w:lang w:val="it-IT"/>
        </w:rPr>
      </w:pPr>
      <w:r w:rsidRPr="00451078">
        <w:rPr>
          <w:rFonts w:ascii="Tahoma" w:hAnsi="Tahoma" w:cs="Tahoma"/>
          <w:color w:val="000000"/>
          <w:sz w:val="18"/>
          <w:lang w:val="it-IT"/>
        </w:rPr>
        <w:t>Prodotto End-Of-Life (EOL) che non verrà più offerto.</w:t>
      </w:r>
    </w:p>
    <w:p w:rsidR="00D511CC" w:rsidRPr="00451078" w:rsidRDefault="00D511CC" w:rsidP="00D511CC">
      <w:pPr>
        <w:pStyle w:val="EndnoteText"/>
        <w:ind w:left="720"/>
        <w:rPr>
          <w:lang w:val="it-IT"/>
        </w:rPr>
      </w:pPr>
    </w:p>
    <w:p w:rsidR="00FF4CAB" w:rsidRPr="00451078" w:rsidRDefault="00FF4CAB" w:rsidP="00D511CC">
      <w:pPr>
        <w:pStyle w:val="FootnoteBulletLevel1"/>
        <w:tabs>
          <w:tab w:val="clear" w:pos="900"/>
        </w:tabs>
        <w:spacing w:before="0" w:after="60"/>
        <w:ind w:left="720" w:firstLine="0"/>
        <w:rPr>
          <w:lang w:val="it-IT"/>
        </w:rPr>
      </w:pPr>
      <w:r w:rsidRPr="00451078">
        <w:rPr>
          <w:rFonts w:ascii="Tahoma" w:hAnsi="Tahoma" w:cs="Tahoma"/>
          <w:b/>
          <w:sz w:val="18"/>
          <w:lang w:val="it-IT"/>
        </w:rPr>
        <w:t>Dettagli relativi alla Concessione di una Licenza Transitoria Una Tantum per System Center</w:t>
      </w:r>
      <w:r w:rsidR="009F18F3" w:rsidRPr="00451078">
        <w:rPr>
          <w:rFonts w:ascii="Tahoma" w:hAnsi="Tahoma" w:cs="Tahoma"/>
          <w:b/>
          <w:sz w:val="18"/>
          <w:lang w:val="it-IT"/>
        </w:rPr>
        <w:t> </w:t>
      </w:r>
      <w:r w:rsidRPr="00451078">
        <w:rPr>
          <w:rFonts w:ascii="Tahoma" w:hAnsi="Tahoma" w:cs="Tahoma"/>
          <w:b/>
          <w:sz w:val="18"/>
          <w:lang w:val="it-IT"/>
        </w:rPr>
        <w:t>2012</w:t>
      </w:r>
    </w:p>
    <w:p w:rsidR="00FF4CAB" w:rsidRPr="00451078" w:rsidRDefault="00FF4CAB" w:rsidP="00D511CC">
      <w:pPr>
        <w:ind w:left="720"/>
        <w:rPr>
          <w:lang w:val="it-IT"/>
        </w:rPr>
      </w:pPr>
      <w:r w:rsidRPr="00451078">
        <w:rPr>
          <w:lang w:val="it-IT"/>
        </w:rPr>
        <w:t>Per dettagli sulle concessioni di licenze transitorie, fare riferimento alla nota relativa al prodotto presente nelle offerte di System Center 2012.</w:t>
      </w:r>
    </w:p>
    <w:p w:rsidR="00023FE7" w:rsidRPr="00451078" w:rsidRDefault="00023FE7" w:rsidP="00D511CC">
      <w:pPr>
        <w:ind w:left="720"/>
        <w:rPr>
          <w:lang w:val="it-IT"/>
        </w:rPr>
      </w:pPr>
      <w:r w:rsidRPr="00451078">
        <w:rPr>
          <w:rFonts w:cs="Tahoma"/>
          <w:szCs w:val="20"/>
          <w:lang w:val="it-IT"/>
        </w:rPr>
        <w:t xml:space="preserve">System Center Server Management Suite Enterprise </w:t>
      </w:r>
      <w:r w:rsidRPr="00451078">
        <w:rPr>
          <w:rFonts w:cs="Tahoma"/>
          <w:color w:val="000000"/>
          <w:szCs w:val="20"/>
          <w:lang w:val="it-IT"/>
        </w:rPr>
        <w:t>non dispone di versioni e i diritti di utilizzo del prodotto sono determinati dallo stato della copertura Software Assurance per System Center Server Management Suite Enterprise. Qualora la copertura sia scaduta, i diritti di accesso attribuiti da licenze perpetue sono determinati sulla base dei diritti di utilizzo del prodotto in vigore prima della scadenza della copertura.</w:t>
      </w:r>
      <w:r w:rsidR="00082E1C" w:rsidRPr="00451078">
        <w:rPr>
          <w:rFonts w:cs="Tahoma"/>
          <w:color w:val="000000"/>
          <w:szCs w:val="20"/>
          <w:lang w:val="it-IT"/>
        </w:rPr>
        <w:t xml:space="preserve"> </w:t>
      </w:r>
    </w:p>
    <w:p w:rsidR="00E72B93" w:rsidRPr="00451078" w:rsidRDefault="00E72B93" w:rsidP="00D511CC">
      <w:pPr>
        <w:ind w:left="720"/>
        <w:rPr>
          <w:lang w:val="it-IT"/>
        </w:rPr>
      </w:pPr>
    </w:p>
    <w:p w:rsidR="005C164D" w:rsidRPr="00451078" w:rsidRDefault="005C164D" w:rsidP="00D511CC">
      <w:pPr>
        <w:ind w:left="720"/>
        <w:jc w:val="both"/>
        <w:rPr>
          <w:lang w:val="it-IT"/>
        </w:rPr>
      </w:pPr>
      <w:r w:rsidRPr="00451078">
        <w:rPr>
          <w:rFonts w:cs="Tahoma"/>
          <w:color w:val="000000"/>
          <w:szCs w:val="18"/>
          <w:lang w:val="it-IT"/>
        </w:rPr>
        <w:t>Al 1 novembre 2010 una licenza per System Center Server Management Suite Enterprise con copertura Software Assurance attiva fornisce i diritti di gestione server per le licenze di gestione server per System Center Enterprise relativamente a Operations Manager 2007 R2, Configuration Manager 2007 R3, Data Protection Manager 2010, Service Manager 2010 e Virtual Machine Manager 2008 R2. Inoltre, è inclusa anche la licenza server per Virtual Machine Manager 2008 R2 e Data Protection Manager 2010. La società dovrà riesaminare il documento PUR per verificare i diritti sull</w:t>
      </w:r>
      <w:r w:rsidR="0073727D">
        <w:rPr>
          <w:rFonts w:cs="Tahoma"/>
          <w:color w:val="000000"/>
          <w:szCs w:val="18"/>
          <w:lang w:val="it-IT"/>
        </w:rPr>
        <w:t>’</w:t>
      </w:r>
      <w:r w:rsidRPr="00451078">
        <w:rPr>
          <w:rFonts w:cs="Tahoma"/>
          <w:color w:val="000000"/>
          <w:szCs w:val="18"/>
          <w:lang w:val="it-IT"/>
        </w:rPr>
        <w:t>utilizzo.</w:t>
      </w:r>
    </w:p>
    <w:p w:rsidR="00023FE7" w:rsidRPr="00451078" w:rsidRDefault="00023FE7" w:rsidP="00D511CC">
      <w:pPr>
        <w:ind w:left="720"/>
        <w:rPr>
          <w:lang w:val="it-IT"/>
        </w:rPr>
      </w:pPr>
    </w:p>
    <w:p w:rsidR="004323B9" w:rsidRPr="00451078" w:rsidRDefault="00D511CC" w:rsidP="00D511CC">
      <w:pPr>
        <w:spacing w:after="60"/>
        <w:ind w:left="720"/>
        <w:rPr>
          <w:lang w:val="it-IT"/>
        </w:rPr>
      </w:pPr>
      <w:r w:rsidRPr="00451078">
        <w:rPr>
          <w:rFonts w:cs="Tahoma"/>
          <w:b/>
          <w:szCs w:val="20"/>
          <w:lang w:val="it-IT"/>
        </w:rPr>
        <w:t>Concessione di Licenza</w:t>
      </w:r>
    </w:p>
    <w:p w:rsidR="004323B9" w:rsidRPr="00451078" w:rsidRDefault="004323B9" w:rsidP="00D511CC">
      <w:pPr>
        <w:pStyle w:val="FootnoteBulletLevel1"/>
        <w:tabs>
          <w:tab w:val="left" w:pos="900"/>
        </w:tabs>
        <w:spacing w:before="0" w:after="0"/>
        <w:ind w:left="720" w:firstLine="0"/>
        <w:rPr>
          <w:lang w:val="it-IT"/>
        </w:rPr>
      </w:pPr>
      <w:r w:rsidRPr="00451078">
        <w:rPr>
          <w:rFonts w:ascii="Tahoma" w:hAnsi="Tahoma" w:cs="Tahoma"/>
          <w:sz w:val="18"/>
          <w:lang w:val="it-IT"/>
        </w:rPr>
        <w:t>Concessione di una Licenza Una Tantum per System Center Server Management Suite Datacenter (SMSD) ai</w:t>
      </w:r>
      <w:r w:rsidR="009F18F3" w:rsidRPr="00451078">
        <w:rPr>
          <w:rFonts w:ascii="Tahoma" w:hAnsi="Tahoma" w:cs="Tahoma"/>
          <w:sz w:val="18"/>
          <w:lang w:val="it-IT"/>
        </w:rPr>
        <w:t> </w:t>
      </w:r>
      <w:r w:rsidRPr="00451078">
        <w:rPr>
          <w:rFonts w:ascii="Tahoma" w:hAnsi="Tahoma" w:cs="Tahoma"/>
          <w:sz w:val="18"/>
          <w:lang w:val="it-IT"/>
        </w:rPr>
        <w:t>Titolari di Licenza per System Center Server Management Suite Enterprise (SMSE).</w:t>
      </w:r>
    </w:p>
    <w:p w:rsidR="000A18AA" w:rsidRPr="00451078" w:rsidRDefault="000A18AA" w:rsidP="00D511CC">
      <w:pPr>
        <w:pStyle w:val="FootnoteBulletLevel1"/>
        <w:tabs>
          <w:tab w:val="left" w:pos="900"/>
        </w:tabs>
        <w:spacing w:before="0" w:after="0"/>
        <w:ind w:left="720" w:firstLine="0"/>
        <w:rPr>
          <w:lang w:val="it-IT"/>
        </w:rPr>
      </w:pPr>
    </w:p>
    <w:p w:rsidR="004323B9" w:rsidRPr="00451078" w:rsidRDefault="004323B9" w:rsidP="00D511CC">
      <w:pPr>
        <w:pStyle w:val="FootnoteBulletLevel1"/>
        <w:tabs>
          <w:tab w:val="clear" w:pos="900"/>
          <w:tab w:val="left" w:pos="720"/>
        </w:tabs>
        <w:spacing w:before="0" w:after="0"/>
        <w:ind w:left="720" w:firstLine="0"/>
        <w:rPr>
          <w:lang w:val="it-IT"/>
        </w:rPr>
      </w:pPr>
      <w:r w:rsidRPr="00451078">
        <w:rPr>
          <w:rFonts w:ascii="Tahoma" w:hAnsi="Tahoma" w:cs="Tahoma"/>
          <w:sz w:val="18"/>
          <w:lang w:val="it-IT"/>
        </w:rPr>
        <w:t>Come eccezione una tantum legata alla transizione di SMSE* da una suite che consente la gestione di qualunque numero di OSE su un dispositivo con licenza a un suite che consente la gestione di un massimo di quattro OSE su un dispositivo con licenza, Microsoft concede alle società che hanno concluso contratti Select, Enterprise, Open License, Open Value e Campus e School e che dispongono di una copertura Software Assurance attiva su SMSE in data 1 luglio 2009 le seguenti licenze</w:t>
      </w:r>
      <w:r w:rsidRPr="00451078">
        <w:rPr>
          <w:rFonts w:ascii="Tahoma" w:hAnsi="Tahoma" w:cs="Tahoma"/>
          <w:color w:val="000000"/>
          <w:sz w:val="18"/>
          <w:lang w:val="it-IT"/>
        </w:rPr>
        <w:t>:</w:t>
      </w:r>
    </w:p>
    <w:p w:rsidR="000A18AA" w:rsidRPr="00451078" w:rsidRDefault="000A18AA" w:rsidP="00D511CC">
      <w:pPr>
        <w:pStyle w:val="FootnoteBulletLevel1"/>
        <w:tabs>
          <w:tab w:val="clear" w:pos="900"/>
          <w:tab w:val="left" w:pos="720"/>
        </w:tabs>
        <w:spacing w:before="0" w:after="0"/>
        <w:ind w:left="720" w:firstLine="0"/>
        <w:rPr>
          <w:lang w:val="it-IT"/>
        </w:rPr>
      </w:pPr>
    </w:p>
    <w:p w:rsidR="004323B9" w:rsidRPr="00451078" w:rsidRDefault="004323B9" w:rsidP="00D511CC">
      <w:pPr>
        <w:numPr>
          <w:ilvl w:val="0"/>
          <w:numId w:val="3"/>
        </w:numPr>
        <w:ind w:left="1440"/>
        <w:rPr>
          <w:lang w:val="it-IT"/>
        </w:rPr>
      </w:pPr>
      <w:r w:rsidRPr="00451078">
        <w:rPr>
          <w:rFonts w:cs="Tahoma"/>
          <w:color w:val="000000"/>
          <w:szCs w:val="20"/>
          <w:lang w:val="it-IT"/>
        </w:rPr>
        <w:t>Quattro licenze gratuite SMSD per ogni licenza SMSE qualificante con copertura Software Assurance attiva di cui la società sia titolare al 1 luglio 2009. Ogni gruppo di quattro licenze SMSD concesse deve essere assegnato a un unico dispositivo e non può essere separato per un utilizzo su due o più dispostivi.</w:t>
      </w:r>
    </w:p>
    <w:p w:rsidR="000A18AA" w:rsidRPr="00451078" w:rsidRDefault="000A18AA" w:rsidP="000A18AA">
      <w:pPr>
        <w:rPr>
          <w:lang w:val="it-IT"/>
        </w:rPr>
      </w:pPr>
    </w:p>
    <w:p w:rsidR="004323B9" w:rsidRPr="00451078" w:rsidRDefault="004323B9" w:rsidP="00D511CC">
      <w:pPr>
        <w:pStyle w:val="FootnoteBulletLevel1"/>
        <w:tabs>
          <w:tab w:val="clear" w:pos="900"/>
        </w:tabs>
        <w:spacing w:before="0" w:after="0"/>
        <w:ind w:left="720" w:firstLine="0"/>
        <w:rPr>
          <w:lang w:val="it-IT"/>
        </w:rPr>
      </w:pPr>
      <w:r w:rsidRPr="00451078">
        <w:rPr>
          <w:rFonts w:ascii="Tahoma" w:hAnsi="Tahoma" w:cs="Tahoma"/>
          <w:sz w:val="18"/>
          <w:lang w:val="it-IT"/>
        </w:rPr>
        <w:t>I diritti di gestione associati alle licenze gratuite SMSD sono concessi al posto dei diritti di gestione associati alla licenza SMSE qualificante.</w:t>
      </w:r>
      <w:r w:rsidR="00082E1C" w:rsidRPr="00451078">
        <w:rPr>
          <w:rFonts w:ascii="Tahoma" w:hAnsi="Tahoma" w:cs="Tahoma"/>
          <w:sz w:val="18"/>
          <w:lang w:val="it-IT"/>
        </w:rPr>
        <w:t xml:space="preserve"> </w:t>
      </w:r>
      <w:r w:rsidRPr="00451078">
        <w:rPr>
          <w:rFonts w:ascii="Tahoma" w:hAnsi="Tahoma" w:cs="Tahoma"/>
          <w:sz w:val="18"/>
          <w:lang w:val="it-IT"/>
        </w:rPr>
        <w:t>All</w:t>
      </w:r>
      <w:r w:rsidR="0073727D">
        <w:rPr>
          <w:rFonts w:ascii="Tahoma" w:hAnsi="Tahoma" w:cs="Tahoma"/>
          <w:sz w:val="18"/>
          <w:lang w:val="it-IT"/>
        </w:rPr>
        <w:t>’</w:t>
      </w:r>
      <w:r w:rsidRPr="00451078">
        <w:rPr>
          <w:rFonts w:ascii="Tahoma" w:hAnsi="Tahoma" w:cs="Tahoma"/>
          <w:sz w:val="18"/>
          <w:lang w:val="it-IT"/>
        </w:rPr>
        <w:t>assegnazione delle licenze SMSD concesse, la società perderà i diritti di gestione ai sensi della corrispondente licenza SMSE.</w:t>
      </w:r>
    </w:p>
    <w:p w:rsidR="004323B9" w:rsidRPr="00451078" w:rsidRDefault="004323B9" w:rsidP="00D511CC">
      <w:pPr>
        <w:pStyle w:val="FootnoteBulletLevel1"/>
        <w:tabs>
          <w:tab w:val="clear" w:pos="900"/>
        </w:tabs>
        <w:spacing w:before="0" w:after="0"/>
        <w:ind w:left="720" w:firstLine="0"/>
        <w:rPr>
          <w:lang w:val="it-IT"/>
        </w:rPr>
      </w:pPr>
      <w:r w:rsidRPr="00451078">
        <w:rPr>
          <w:rFonts w:ascii="Tahoma" w:hAnsi="Tahoma" w:cs="Tahoma"/>
          <w:sz w:val="18"/>
          <w:lang w:val="it-IT"/>
        </w:rPr>
        <w:t>Tutte le licenze concesse ai sensi della presente offerta sono soggette alla seguente limitazione:</w:t>
      </w:r>
      <w:r w:rsidRPr="00451078">
        <w:rPr>
          <w:rFonts w:ascii="Tahoma" w:hAnsi="Tahoma" w:cs="Tahoma"/>
          <w:color w:val="000000"/>
          <w:sz w:val="18"/>
          <w:lang w:val="it-IT"/>
        </w:rPr>
        <w:t xml:space="preserve"> Ogni gruppo di licenze per SMSD concesse dovrà essere ceduto a un unico dispositivo</w:t>
      </w:r>
      <w:r w:rsidRPr="00451078">
        <w:rPr>
          <w:rFonts w:ascii="Tahoma" w:hAnsi="Tahoma" w:cs="Tahoma"/>
          <w:sz w:val="18"/>
          <w:lang w:val="it-IT"/>
        </w:rPr>
        <w:t>.</w:t>
      </w:r>
    </w:p>
    <w:p w:rsidR="000A18AA" w:rsidRPr="00451078" w:rsidRDefault="000A18AA" w:rsidP="00D511CC">
      <w:pPr>
        <w:pStyle w:val="FootnoteBulletLevel1"/>
        <w:tabs>
          <w:tab w:val="clear" w:pos="900"/>
        </w:tabs>
        <w:spacing w:before="0" w:after="0"/>
        <w:ind w:left="720" w:firstLine="0"/>
        <w:rPr>
          <w:lang w:val="it-IT"/>
        </w:rPr>
      </w:pPr>
    </w:p>
    <w:p w:rsidR="00CF7343" w:rsidRPr="00451078" w:rsidRDefault="004323B9" w:rsidP="000A18AA">
      <w:pPr>
        <w:pStyle w:val="FootnoteBulletLevel1"/>
        <w:tabs>
          <w:tab w:val="clear" w:pos="900"/>
        </w:tabs>
        <w:spacing w:before="0" w:after="60"/>
        <w:ind w:left="720" w:firstLine="0"/>
        <w:rPr>
          <w:lang w:val="it-IT"/>
        </w:rPr>
      </w:pPr>
      <w:r w:rsidRPr="00451078">
        <w:rPr>
          <w:rFonts w:ascii="Tahoma" w:hAnsi="Tahoma" w:cs="Tahoma"/>
          <w:b/>
          <w:color w:val="000000"/>
          <w:sz w:val="18"/>
          <w:lang w:val="it-IT"/>
        </w:rPr>
        <w:t>Opzioni di Rinnovo di Software Assurance</w:t>
      </w:r>
      <w:r w:rsidR="00082E1C" w:rsidRPr="00451078">
        <w:rPr>
          <w:rFonts w:ascii="Tahoma" w:hAnsi="Tahoma" w:cs="Tahoma"/>
          <w:b/>
          <w:color w:val="000000"/>
          <w:sz w:val="18"/>
          <w:lang w:val="it-IT"/>
        </w:rPr>
        <w:t xml:space="preserve"> </w:t>
      </w:r>
    </w:p>
    <w:p w:rsidR="004323B9" w:rsidRPr="00451078" w:rsidRDefault="004323B9" w:rsidP="00D511CC">
      <w:pPr>
        <w:pStyle w:val="FootnoteBulletLevel1"/>
        <w:tabs>
          <w:tab w:val="clear" w:pos="900"/>
        </w:tabs>
        <w:spacing w:before="0" w:after="0"/>
        <w:ind w:left="720" w:firstLine="0"/>
        <w:rPr>
          <w:lang w:val="it-IT"/>
        </w:rPr>
      </w:pPr>
      <w:r w:rsidRPr="00451078">
        <w:rPr>
          <w:rFonts w:ascii="Tahoma" w:hAnsi="Tahoma" w:cs="Tahoma"/>
          <w:color w:val="000000"/>
          <w:sz w:val="18"/>
          <w:lang w:val="it-IT"/>
        </w:rPr>
        <w:lastRenderedPageBreak/>
        <w:t xml:space="preserve">Le licenze concesse ai sensi della presente offerta includono la Copertura Software Assurance, che cesserà alla scadenza della copertura sulle corrispondenti licenze qualificanti. </w:t>
      </w:r>
      <w:r w:rsidRPr="00451078">
        <w:rPr>
          <w:rFonts w:ascii="Tahoma" w:hAnsi="Tahoma" w:cs="Tahoma"/>
          <w:sz w:val="18"/>
          <w:lang w:val="it-IT"/>
        </w:rPr>
        <w:t>Alla scadenza della copertura Software Assurance, le società potranno rinnovarla scegliendo tra le seguenti opzioni:</w:t>
      </w:r>
    </w:p>
    <w:p w:rsidR="000A18AA" w:rsidRPr="00451078" w:rsidRDefault="000A18AA" w:rsidP="00D511CC">
      <w:pPr>
        <w:pStyle w:val="FootnoteBulletLevel1"/>
        <w:tabs>
          <w:tab w:val="clear" w:pos="900"/>
        </w:tabs>
        <w:spacing w:before="0" w:after="0"/>
        <w:ind w:left="720" w:firstLine="0"/>
        <w:rPr>
          <w:lang w:val="it-IT"/>
        </w:rPr>
      </w:pPr>
    </w:p>
    <w:p w:rsidR="004323B9" w:rsidRPr="00451078" w:rsidRDefault="004323B9" w:rsidP="000A18AA">
      <w:pPr>
        <w:pStyle w:val="FootnoteBulletLevel1"/>
        <w:numPr>
          <w:ilvl w:val="0"/>
          <w:numId w:val="13"/>
        </w:numPr>
        <w:tabs>
          <w:tab w:val="left" w:pos="720"/>
        </w:tabs>
        <w:spacing w:before="0" w:after="60"/>
        <w:ind w:left="1440"/>
        <w:rPr>
          <w:lang w:val="it-IT"/>
        </w:rPr>
      </w:pPr>
      <w:r w:rsidRPr="00451078">
        <w:rPr>
          <w:rFonts w:ascii="Tahoma" w:hAnsi="Tahoma" w:cs="Tahoma"/>
          <w:sz w:val="18"/>
          <w:lang w:val="it-IT"/>
        </w:rPr>
        <w:t>Le società potranno rinnovare la copertura sulla licenza SMSE originale. I diritti di gestione ai sensi della copertura Software Assurance sulla licenza SMSE saranno determinati in base ai diritti applicabili alla licenza SMSE all</w:t>
      </w:r>
      <w:r w:rsidR="0073727D">
        <w:rPr>
          <w:rFonts w:ascii="Tahoma" w:hAnsi="Tahoma" w:cs="Tahoma"/>
          <w:sz w:val="18"/>
          <w:lang w:val="it-IT"/>
        </w:rPr>
        <w:t>’</w:t>
      </w:r>
      <w:r w:rsidRPr="00451078">
        <w:rPr>
          <w:rFonts w:ascii="Tahoma" w:hAnsi="Tahoma" w:cs="Tahoma"/>
          <w:sz w:val="18"/>
          <w:lang w:val="it-IT"/>
        </w:rPr>
        <w:t>epoca del rinnovo. Rinnovando la licenza SMSE originale, la società perderà i diritti relativi alle quattro licenze SMSD gratuite.</w:t>
      </w:r>
    </w:p>
    <w:p w:rsidR="004323B9" w:rsidRPr="00451078" w:rsidRDefault="004323B9" w:rsidP="000A18AA">
      <w:pPr>
        <w:pStyle w:val="FootnoteBulletLevel1"/>
        <w:numPr>
          <w:ilvl w:val="0"/>
          <w:numId w:val="14"/>
        </w:numPr>
        <w:tabs>
          <w:tab w:val="left" w:pos="720"/>
        </w:tabs>
        <w:spacing w:before="0" w:after="60"/>
        <w:ind w:left="1440"/>
        <w:rPr>
          <w:lang w:val="it-IT"/>
        </w:rPr>
      </w:pPr>
      <w:r w:rsidRPr="00451078">
        <w:rPr>
          <w:rFonts w:ascii="Tahoma" w:hAnsi="Tahoma" w:cs="Tahoma"/>
          <w:sz w:val="18"/>
          <w:lang w:val="it-IT"/>
        </w:rPr>
        <w:t>Le società potranno rinnovare la copertura sulle licenze SMSD gratuite.</w:t>
      </w:r>
    </w:p>
    <w:p w:rsidR="004323B9" w:rsidRPr="00451078" w:rsidRDefault="004323B9" w:rsidP="000A18AA">
      <w:pPr>
        <w:pStyle w:val="FootnoteBulletLevel1"/>
        <w:numPr>
          <w:ilvl w:val="2"/>
          <w:numId w:val="15"/>
        </w:numPr>
        <w:tabs>
          <w:tab w:val="left" w:pos="720"/>
        </w:tabs>
        <w:spacing w:before="0" w:after="60"/>
        <w:ind w:left="1980"/>
        <w:rPr>
          <w:lang w:val="it-IT"/>
        </w:rPr>
      </w:pPr>
      <w:r w:rsidRPr="00451078">
        <w:rPr>
          <w:rFonts w:ascii="Tahoma" w:hAnsi="Tahoma" w:cs="Tahoma"/>
          <w:sz w:val="18"/>
          <w:lang w:val="it-IT"/>
        </w:rPr>
        <w:t>Le società potranno rinnovare la copertura per tutte le licenze SMSD del gruppo di quattro licenze SMSD gratuite concesse in virtù dell</w:t>
      </w:r>
      <w:r w:rsidR="0073727D">
        <w:rPr>
          <w:rFonts w:ascii="Tahoma" w:hAnsi="Tahoma" w:cs="Tahoma"/>
          <w:sz w:val="18"/>
          <w:lang w:val="it-IT"/>
        </w:rPr>
        <w:t>’</w:t>
      </w:r>
      <w:r w:rsidRPr="00451078">
        <w:rPr>
          <w:rFonts w:ascii="Tahoma" w:hAnsi="Tahoma" w:cs="Tahoma"/>
          <w:sz w:val="18"/>
          <w:lang w:val="it-IT"/>
        </w:rPr>
        <w:t>offerta. Qualora si scelta questa opzione, il</w:t>
      </w:r>
      <w:r w:rsidR="004E422F" w:rsidRPr="00451078">
        <w:rPr>
          <w:rFonts w:ascii="Tahoma" w:hAnsi="Tahoma" w:cs="Tahoma"/>
          <w:sz w:val="18"/>
          <w:lang w:val="it-IT"/>
        </w:rPr>
        <w:t> </w:t>
      </w:r>
      <w:r w:rsidRPr="00451078">
        <w:rPr>
          <w:rFonts w:ascii="Tahoma" w:hAnsi="Tahoma" w:cs="Tahoma"/>
          <w:sz w:val="18"/>
          <w:lang w:val="it-IT"/>
        </w:rPr>
        <w:t>requisito dell</w:t>
      </w:r>
      <w:r w:rsidR="0073727D">
        <w:rPr>
          <w:rFonts w:ascii="Tahoma" w:hAnsi="Tahoma" w:cs="Tahoma"/>
          <w:sz w:val="18"/>
          <w:lang w:val="it-IT"/>
        </w:rPr>
        <w:t>’</w:t>
      </w:r>
      <w:r w:rsidRPr="00451078">
        <w:rPr>
          <w:rFonts w:ascii="Tahoma" w:hAnsi="Tahoma" w:cs="Tahoma"/>
          <w:sz w:val="18"/>
          <w:lang w:val="it-IT"/>
        </w:rPr>
        <w:t>assegnazione del gruppo di quattro licenze a un unico dispositivo non ha</w:t>
      </w:r>
      <w:r w:rsidR="004E422F" w:rsidRPr="00451078">
        <w:rPr>
          <w:rFonts w:ascii="Tahoma" w:hAnsi="Tahoma" w:cs="Tahoma"/>
          <w:sz w:val="18"/>
          <w:lang w:val="it-IT"/>
        </w:rPr>
        <w:t> </w:t>
      </w:r>
      <w:r w:rsidRPr="00451078">
        <w:rPr>
          <w:rFonts w:ascii="Tahoma" w:hAnsi="Tahoma" w:cs="Tahoma"/>
          <w:sz w:val="18"/>
          <w:lang w:val="it-IT"/>
        </w:rPr>
        <w:t>più</w:t>
      </w:r>
      <w:r w:rsidR="004E422F" w:rsidRPr="00451078">
        <w:rPr>
          <w:rFonts w:ascii="Tahoma" w:hAnsi="Tahoma" w:cs="Tahoma"/>
          <w:sz w:val="18"/>
          <w:lang w:val="it-IT"/>
        </w:rPr>
        <w:t> </w:t>
      </w:r>
      <w:r w:rsidRPr="00451078">
        <w:rPr>
          <w:rFonts w:ascii="Tahoma" w:hAnsi="Tahoma" w:cs="Tahoma"/>
          <w:sz w:val="18"/>
          <w:lang w:val="it-IT"/>
        </w:rPr>
        <w:t>validità.</w:t>
      </w:r>
    </w:p>
    <w:p w:rsidR="004323B9" w:rsidRPr="00451078" w:rsidRDefault="004323B9" w:rsidP="000A18AA">
      <w:pPr>
        <w:pStyle w:val="FootnoteBulletLevel1"/>
        <w:numPr>
          <w:ilvl w:val="2"/>
          <w:numId w:val="15"/>
        </w:numPr>
        <w:tabs>
          <w:tab w:val="left" w:pos="720"/>
        </w:tabs>
        <w:spacing w:before="0" w:after="60"/>
        <w:ind w:left="1980"/>
        <w:rPr>
          <w:lang w:val="it-IT"/>
        </w:rPr>
      </w:pPr>
      <w:r w:rsidRPr="00451078">
        <w:rPr>
          <w:rFonts w:ascii="Tahoma" w:hAnsi="Tahoma" w:cs="Tahoma"/>
          <w:sz w:val="18"/>
          <w:lang w:val="it-IT"/>
        </w:rPr>
        <w:t>Le società che rinnoveranno Software Assurance prima del 1 luglio 2011 potranno rinnovare la copertura per due licenze del gruppo di quattro licenze per SMSD gratuite concesse ai sensi della presente offerta. In questo caso, rinnoveranno automaticamente la copertura per le quattro licenze SMSD dello stesso gruppo.</w:t>
      </w:r>
      <w:r w:rsidR="00082E1C" w:rsidRPr="00451078">
        <w:rPr>
          <w:rFonts w:ascii="Tahoma" w:hAnsi="Tahoma" w:cs="Tahoma"/>
          <w:sz w:val="18"/>
          <w:lang w:val="it-IT"/>
        </w:rPr>
        <w:t xml:space="preserve"> </w:t>
      </w:r>
      <w:r w:rsidRPr="00451078">
        <w:rPr>
          <w:rFonts w:ascii="Tahoma" w:hAnsi="Tahoma" w:cs="Tahoma"/>
          <w:sz w:val="18"/>
          <w:lang w:val="it-IT"/>
        </w:rPr>
        <w:t>Qualora si scelga questa opzione, il requisito dell</w:t>
      </w:r>
      <w:r w:rsidR="0073727D">
        <w:rPr>
          <w:rFonts w:ascii="Tahoma" w:hAnsi="Tahoma" w:cs="Tahoma"/>
          <w:sz w:val="18"/>
          <w:lang w:val="it-IT"/>
        </w:rPr>
        <w:t>’</w:t>
      </w:r>
      <w:r w:rsidRPr="00451078">
        <w:rPr>
          <w:rFonts w:ascii="Tahoma" w:hAnsi="Tahoma" w:cs="Tahoma"/>
          <w:sz w:val="18"/>
          <w:lang w:val="it-IT"/>
        </w:rPr>
        <w:t>assegnazione del gruppo di quattro licenze a un unico dispositivo resterà valido anche dopo il rinnovo.</w:t>
      </w:r>
      <w:r w:rsidR="00082E1C" w:rsidRPr="00451078">
        <w:rPr>
          <w:rFonts w:ascii="Tahoma" w:hAnsi="Tahoma" w:cs="Tahoma"/>
          <w:sz w:val="18"/>
          <w:lang w:val="it-IT"/>
        </w:rPr>
        <w:t xml:space="preserve"> </w:t>
      </w:r>
      <w:r w:rsidRPr="00451078">
        <w:rPr>
          <w:rFonts w:ascii="Tahoma" w:hAnsi="Tahoma" w:cs="Tahoma"/>
          <w:sz w:val="18"/>
          <w:lang w:val="it-IT"/>
        </w:rPr>
        <w:t>In occasione del successivo rinnovo di Software Assurance, le società potranno rinnovare la copertura sulle licenze SMSD gratuite di ciascun gruppo di quattro licenze che occorreranno loro. In tale rinnovo successivo, diverso dal primo rinnovo, la copertura Software Assurance si estinguerà per qualsiasi licenza SMSD la cui copertura non sia stata rinnovata. Il requisito di assegnare un gruppo di quattro licenze SMSD gratuite a un unico dispositivo non si applicherà più in occasione del successivo rinnovo soltanto se verrà rinnovata la copertura per tutte e quattro le licenze SMSD.</w:t>
      </w:r>
    </w:p>
    <w:p w:rsidR="00D63733" w:rsidRPr="00451078" w:rsidRDefault="00D63733" w:rsidP="00D511CC">
      <w:pPr>
        <w:pStyle w:val="FootnoteBulletLevel1"/>
        <w:tabs>
          <w:tab w:val="clear" w:pos="900"/>
          <w:tab w:val="left" w:pos="720"/>
        </w:tabs>
        <w:spacing w:before="0" w:after="0"/>
        <w:ind w:firstLine="0"/>
        <w:rPr>
          <w:rFonts w:ascii="Tahoma" w:hAnsi="Tahoma" w:cs="Tahoma"/>
          <w:sz w:val="18"/>
          <w:szCs w:val="18"/>
          <w:lang w:val="it-IT"/>
        </w:rPr>
      </w:pPr>
    </w:p>
    <w:p w:rsidR="00CF7343" w:rsidRPr="00451078" w:rsidRDefault="004323B9" w:rsidP="000A18AA">
      <w:pPr>
        <w:pStyle w:val="FootnoteBulletLevel1"/>
        <w:tabs>
          <w:tab w:val="clear" w:pos="900"/>
          <w:tab w:val="left" w:pos="720"/>
        </w:tabs>
        <w:spacing w:before="0" w:after="60"/>
        <w:ind w:left="720" w:firstLine="0"/>
        <w:rPr>
          <w:lang w:val="it-IT"/>
        </w:rPr>
      </w:pPr>
      <w:r w:rsidRPr="00451078">
        <w:rPr>
          <w:rFonts w:ascii="Tahoma" w:hAnsi="Tahoma" w:cs="Tahoma"/>
          <w:b/>
          <w:sz w:val="18"/>
          <w:lang w:val="it-IT"/>
        </w:rPr>
        <w:t xml:space="preserve">Eliminazione del vincolo di </w:t>
      </w:r>
      <w:r w:rsidRPr="00451078">
        <w:rPr>
          <w:rFonts w:ascii="Tahoma" w:hAnsi="Tahoma" w:cs="Tahoma"/>
          <w:b/>
          <w:color w:val="000000"/>
          <w:sz w:val="18"/>
          <w:lang w:val="it-IT"/>
        </w:rPr>
        <w:t>dover cedere a un unico dispositivo ogni gruppo di licenze per SMSD concesse</w:t>
      </w:r>
    </w:p>
    <w:p w:rsidR="004323B9" w:rsidRPr="00451078" w:rsidRDefault="004323B9" w:rsidP="00D511CC">
      <w:pPr>
        <w:pStyle w:val="FootnoteBulletLevel1"/>
        <w:tabs>
          <w:tab w:val="clear" w:pos="900"/>
          <w:tab w:val="left" w:pos="720"/>
        </w:tabs>
        <w:spacing w:before="0" w:after="0"/>
        <w:ind w:left="720" w:firstLine="0"/>
        <w:rPr>
          <w:lang w:val="it-IT"/>
        </w:rPr>
      </w:pPr>
      <w:r w:rsidRPr="00451078">
        <w:rPr>
          <w:rFonts w:ascii="Tahoma" w:hAnsi="Tahoma" w:cs="Tahoma"/>
          <w:sz w:val="18"/>
          <w:lang w:val="it-IT"/>
        </w:rPr>
        <w:t xml:space="preserve">In qualunque momento precedente al primo rinnovo di Software Assurance dopo la presente concessione le società potranno eliminare il vincolo </w:t>
      </w:r>
      <w:r w:rsidRPr="00451078">
        <w:rPr>
          <w:rFonts w:ascii="Tahoma" w:hAnsi="Tahoma" w:cs="Tahoma"/>
          <w:color w:val="000000"/>
          <w:sz w:val="18"/>
          <w:lang w:val="it-IT"/>
        </w:rPr>
        <w:t>della cessione a un unico dispositivo di ogni gruppo di licenze per SMSD concesse. A tale scopo</w:t>
      </w:r>
      <w:r w:rsidRPr="00451078">
        <w:rPr>
          <w:rFonts w:ascii="Tahoma" w:hAnsi="Tahoma" w:cs="Tahoma"/>
          <w:sz w:val="18"/>
          <w:lang w:val="it-IT"/>
        </w:rPr>
        <w:t xml:space="preserve"> potranno acquistare la copertura Software Assurance per due licenze per SMSD appartenenti a un dato gruppo di quattro licenze per SMSD gratuite.</w:t>
      </w:r>
      <w:r w:rsidR="00082E1C" w:rsidRPr="00451078">
        <w:rPr>
          <w:rFonts w:ascii="Tahoma" w:hAnsi="Tahoma" w:cs="Tahoma"/>
          <w:sz w:val="18"/>
          <w:lang w:val="it-IT"/>
        </w:rPr>
        <w:t xml:space="preserve"> </w:t>
      </w:r>
    </w:p>
    <w:p w:rsidR="000A18AA" w:rsidRPr="00451078" w:rsidRDefault="000A18AA" w:rsidP="00D511CC">
      <w:pPr>
        <w:pStyle w:val="FootnoteBulletLevel1"/>
        <w:tabs>
          <w:tab w:val="clear" w:pos="900"/>
          <w:tab w:val="left" w:pos="720"/>
        </w:tabs>
        <w:spacing w:before="0" w:after="0"/>
        <w:ind w:left="720" w:firstLine="0"/>
        <w:rPr>
          <w:lang w:val="it-IT"/>
        </w:rPr>
      </w:pPr>
    </w:p>
    <w:p w:rsidR="004323B9" w:rsidRPr="00451078" w:rsidRDefault="004323B9" w:rsidP="00D511CC">
      <w:pPr>
        <w:pStyle w:val="FootnoteBulletLevel1"/>
        <w:tabs>
          <w:tab w:val="clear" w:pos="900"/>
          <w:tab w:val="left" w:pos="720"/>
        </w:tabs>
        <w:spacing w:before="0" w:after="0"/>
        <w:ind w:left="720" w:firstLine="0"/>
        <w:rPr>
          <w:lang w:val="it-IT"/>
        </w:rPr>
      </w:pPr>
      <w:r w:rsidRPr="00451078">
        <w:rPr>
          <w:rFonts w:ascii="Tahoma" w:hAnsi="Tahoma" w:cs="Tahoma"/>
          <w:sz w:val="18"/>
          <w:lang w:val="it-IT"/>
        </w:rPr>
        <w:t>Il diritto di utilizzo del software da parte della società ai sensi delle licenze SMSD gratuite è attestato dalla presente nota relativa alle condizioni del prodotto e dalla prova delle licenze qualificanti corrispondenti.</w:t>
      </w:r>
      <w:r w:rsidR="00082E1C" w:rsidRPr="00451078">
        <w:rPr>
          <w:rFonts w:ascii="Tahoma" w:hAnsi="Tahoma" w:cs="Tahoma"/>
          <w:sz w:val="18"/>
          <w:lang w:val="it-IT"/>
        </w:rPr>
        <w:t xml:space="preserve"> </w:t>
      </w:r>
      <w:r w:rsidRPr="00451078">
        <w:rPr>
          <w:rFonts w:ascii="Tahoma" w:hAnsi="Tahoma" w:cs="Tahoma"/>
          <w:sz w:val="18"/>
          <w:lang w:val="it-IT"/>
        </w:rPr>
        <w:t>L</w:t>
      </w:r>
      <w:r w:rsidR="0073727D">
        <w:rPr>
          <w:rFonts w:ascii="Tahoma" w:hAnsi="Tahoma" w:cs="Tahoma"/>
          <w:sz w:val="18"/>
          <w:lang w:val="it-IT"/>
        </w:rPr>
        <w:t>’</w:t>
      </w:r>
      <w:r w:rsidRPr="00451078">
        <w:rPr>
          <w:rFonts w:ascii="Tahoma" w:hAnsi="Tahoma" w:cs="Tahoma"/>
          <w:sz w:val="18"/>
          <w:lang w:val="it-IT"/>
        </w:rPr>
        <w:t>utilizzo del software da parte della società ai sensi della presente offerta sarà soggetto alle condizioni del</w:t>
      </w:r>
      <w:r w:rsidR="009F18F3" w:rsidRPr="00451078">
        <w:rPr>
          <w:rFonts w:ascii="Tahoma" w:hAnsi="Tahoma" w:cs="Tahoma"/>
          <w:sz w:val="18"/>
          <w:lang w:val="it-IT"/>
        </w:rPr>
        <w:t> </w:t>
      </w:r>
      <w:r w:rsidRPr="00451078">
        <w:rPr>
          <w:rFonts w:ascii="Tahoma" w:hAnsi="Tahoma" w:cs="Tahoma"/>
          <w:sz w:val="18"/>
          <w:lang w:val="it-IT"/>
        </w:rPr>
        <w:t>relativo contratto di licenza e ai diritti di utilizzo del prodotto relativi al software. Il diritto di utilizzo del software ai sensi delle licenze gratuite scadrà alla scadenza del diritto di utilizzo del software ai sensi delle licenze qualificanti. Le società non potranno trasferire le licenze concesse in virtù della presente offerta separatamente dalle licenze qualificanti corrispondenti.</w:t>
      </w:r>
    </w:p>
    <w:p w:rsidR="000A18AA" w:rsidRPr="00451078" w:rsidRDefault="000A18AA" w:rsidP="00D511CC">
      <w:pPr>
        <w:pStyle w:val="FootnoteBulletLevel1"/>
        <w:tabs>
          <w:tab w:val="clear" w:pos="900"/>
          <w:tab w:val="left" w:pos="720"/>
        </w:tabs>
        <w:spacing w:before="0" w:after="0"/>
        <w:ind w:left="720" w:firstLine="0"/>
        <w:rPr>
          <w:lang w:val="it-IT"/>
        </w:rPr>
      </w:pPr>
    </w:p>
    <w:p w:rsidR="00F23A1B" w:rsidRPr="00451078" w:rsidRDefault="004323B9" w:rsidP="000A18AA">
      <w:pPr>
        <w:pStyle w:val="FootnoteBulletLevel1"/>
        <w:tabs>
          <w:tab w:val="clear" w:pos="900"/>
          <w:tab w:val="left" w:pos="720"/>
        </w:tabs>
        <w:spacing w:before="0" w:after="0"/>
        <w:ind w:left="720" w:firstLine="0"/>
        <w:rPr>
          <w:lang w:val="it-IT"/>
        </w:rPr>
      </w:pPr>
      <w:r w:rsidRPr="00451078">
        <w:rPr>
          <w:rFonts w:ascii="Tahoma" w:hAnsi="Tahoma" w:cs="Tahoma"/>
          <w:sz w:val="18"/>
          <w:lang w:val="it-IT"/>
        </w:rPr>
        <w:t>*Le modifiche alla concessione delle licenze SMSE si applicheranno a System Center Operations Manager 2007 R2 e alle nuove versioni degli altri prodotti inclusi in System Center Server Management Suite Enterprise (ad esempio System Center Virtual Machine Manager 2008 R2).</w:t>
      </w:r>
    </w:p>
    <w:p w:rsidR="000A18AA" w:rsidRPr="00034D6B" w:rsidRDefault="000A18AA" w:rsidP="000A18AA">
      <w:pPr>
        <w:pStyle w:val="FootnoteBulletLevel1"/>
        <w:tabs>
          <w:tab w:val="clear" w:pos="900"/>
          <w:tab w:val="left" w:pos="720"/>
        </w:tabs>
        <w:spacing w:before="0" w:after="0"/>
        <w:rPr>
          <w:sz w:val="18"/>
          <w:szCs w:val="18"/>
          <w:lang w:val="it-IT"/>
        </w:rPr>
      </w:pPr>
    </w:p>
    <w:p w:rsidR="000A18AA" w:rsidRPr="00034D6B" w:rsidRDefault="000A18AA" w:rsidP="000A18AA">
      <w:pPr>
        <w:pStyle w:val="FootnoteBulletLevel1"/>
        <w:tabs>
          <w:tab w:val="clear" w:pos="900"/>
          <w:tab w:val="left" w:pos="720"/>
        </w:tabs>
        <w:spacing w:before="0" w:after="0"/>
        <w:rPr>
          <w:sz w:val="18"/>
          <w:szCs w:val="18"/>
          <w:lang w:val="it-IT"/>
        </w:rPr>
      </w:pPr>
    </w:p>
    <w:p w:rsidR="00F411FE" w:rsidRPr="00451078" w:rsidRDefault="0099402E" w:rsidP="0097015A">
      <w:pPr>
        <w:pStyle w:val="Heading3"/>
        <w:rPr>
          <w:lang w:val="it-IT"/>
        </w:rPr>
      </w:pPr>
      <w:bookmarkStart w:id="1448" w:name="_86_System_Center"/>
      <w:bookmarkStart w:id="1449" w:name="_Toc336338355"/>
      <w:bookmarkStart w:id="1450" w:name="_Toc352234940"/>
      <w:bookmarkStart w:id="1451" w:name="Srv_90SysCtrSvrMgmtSuiteDatacenter"/>
      <w:bookmarkEnd w:id="1448"/>
      <w:r w:rsidRPr="00451078">
        <w:rPr>
          <w:rFonts w:ascii="Tahoma" w:hAnsi="Tahoma" w:cs="Tahoma"/>
          <w:caps/>
          <w:color w:val="FF7415"/>
          <w:sz w:val="22"/>
          <w:szCs w:val="22"/>
          <w:vertAlign w:val="superscript"/>
          <w:lang w:val="it-IT"/>
        </w:rPr>
        <w:t>87</w:t>
      </w:r>
      <w:r w:rsidRPr="00451078">
        <w:rPr>
          <w:rFonts w:ascii="Tahoma" w:hAnsi="Tahoma" w:cs="Tahoma"/>
          <w:caps/>
          <w:color w:val="FF7415"/>
          <w:sz w:val="22"/>
          <w:szCs w:val="22"/>
          <w:lang w:val="it-IT"/>
        </w:rPr>
        <w:t xml:space="preserve"> </w:t>
      </w:r>
      <w:r w:rsidRPr="00451078">
        <w:rPr>
          <w:rFonts w:ascii="Tahoma" w:hAnsi="Tahoma" w:cs="Tahoma"/>
          <w:color w:val="FF7415"/>
          <w:sz w:val="22"/>
          <w:szCs w:val="22"/>
          <w:lang w:val="it-IT"/>
        </w:rPr>
        <w:t>System Center Server Management Suite Datacenter</w:t>
      </w:r>
      <w:bookmarkEnd w:id="1449"/>
      <w:bookmarkEnd w:id="1450"/>
    </w:p>
    <w:bookmarkEnd w:id="1451"/>
    <w:p w:rsidR="00F411FE" w:rsidRPr="00451078" w:rsidRDefault="00F411FE" w:rsidP="00F411FE">
      <w:pPr>
        <w:ind w:left="360"/>
        <w:rPr>
          <w:lang w:val="it-IT"/>
        </w:rPr>
      </w:pPr>
    </w:p>
    <w:p w:rsidR="00FF4CAB" w:rsidRPr="00451078" w:rsidRDefault="00FF4CAB" w:rsidP="000A18AA">
      <w:pPr>
        <w:pStyle w:val="EndnoteText"/>
        <w:ind w:left="720"/>
        <w:rPr>
          <w:lang w:val="it-IT"/>
        </w:rPr>
      </w:pPr>
      <w:r w:rsidRPr="00451078">
        <w:rPr>
          <w:rFonts w:ascii="Tahoma" w:hAnsi="Tahoma" w:cs="Tahoma"/>
          <w:color w:val="000000"/>
          <w:sz w:val="18"/>
          <w:lang w:val="it-IT"/>
        </w:rPr>
        <w:t xml:space="preserve">Prodotto End-Of-Life (EOL) che non verrà più offerto. </w:t>
      </w:r>
    </w:p>
    <w:p w:rsidR="004F0CAE" w:rsidRPr="00451078" w:rsidRDefault="004F0CAE" w:rsidP="000A18AA">
      <w:pPr>
        <w:pStyle w:val="EndnoteText"/>
        <w:ind w:left="720"/>
        <w:rPr>
          <w:lang w:val="it-IT"/>
        </w:rPr>
      </w:pPr>
    </w:p>
    <w:p w:rsidR="00FF4CAB" w:rsidRPr="00451078" w:rsidRDefault="00FF4CAB" w:rsidP="004F0CAE">
      <w:pPr>
        <w:pStyle w:val="FootnoteBulletLevel1"/>
        <w:tabs>
          <w:tab w:val="clear" w:pos="900"/>
        </w:tabs>
        <w:spacing w:before="0" w:after="60"/>
        <w:ind w:left="720" w:firstLine="0"/>
        <w:rPr>
          <w:lang w:val="it-IT"/>
        </w:rPr>
      </w:pPr>
      <w:r w:rsidRPr="00451078">
        <w:rPr>
          <w:rFonts w:ascii="Tahoma" w:hAnsi="Tahoma" w:cs="Tahoma"/>
          <w:b/>
          <w:sz w:val="18"/>
          <w:lang w:val="it-IT"/>
        </w:rPr>
        <w:t>Dettagli relativi alla Concessione di una Licenza Transitoria Una Tantum per System Center</w:t>
      </w:r>
      <w:r w:rsidR="009F18F3" w:rsidRPr="00451078">
        <w:rPr>
          <w:rFonts w:ascii="Tahoma" w:hAnsi="Tahoma" w:cs="Tahoma"/>
          <w:b/>
          <w:sz w:val="18"/>
          <w:lang w:val="it-IT"/>
        </w:rPr>
        <w:t> </w:t>
      </w:r>
      <w:r w:rsidRPr="00451078">
        <w:rPr>
          <w:rFonts w:ascii="Tahoma" w:hAnsi="Tahoma" w:cs="Tahoma"/>
          <w:b/>
          <w:sz w:val="18"/>
          <w:lang w:val="it-IT"/>
        </w:rPr>
        <w:t>2012</w:t>
      </w:r>
    </w:p>
    <w:p w:rsidR="00FF4CAB" w:rsidRPr="00451078" w:rsidRDefault="00FF4CAB" w:rsidP="000A18AA">
      <w:pPr>
        <w:ind w:left="720"/>
        <w:rPr>
          <w:lang w:val="it-IT"/>
        </w:rPr>
      </w:pPr>
      <w:r w:rsidRPr="00451078">
        <w:rPr>
          <w:lang w:val="it-IT"/>
        </w:rPr>
        <w:t>Per dettagli sulle concessioni di licenze transitorie, fare riferimento alla nota relativa al prodotto presente nelle offerte di System Center 2012.</w:t>
      </w:r>
    </w:p>
    <w:p w:rsidR="00FF4CAB" w:rsidRPr="00451078" w:rsidRDefault="00FF4CAB" w:rsidP="000A18AA">
      <w:pPr>
        <w:ind w:left="720"/>
        <w:rPr>
          <w:lang w:val="it-IT"/>
        </w:rPr>
      </w:pPr>
    </w:p>
    <w:p w:rsidR="00F411FE" w:rsidRPr="00451078" w:rsidRDefault="00F411FE" w:rsidP="000A18AA">
      <w:pPr>
        <w:ind w:left="720"/>
        <w:rPr>
          <w:lang w:val="it-IT"/>
        </w:rPr>
      </w:pPr>
      <w:r w:rsidRPr="00451078">
        <w:rPr>
          <w:rFonts w:cs="Tahoma"/>
          <w:szCs w:val="20"/>
          <w:lang w:val="it-IT"/>
        </w:rPr>
        <w:t xml:space="preserve">System Center Server Management Suite Datacenter non dispone di versioni e i diritti di utilizzo del prodotto sono determinati dallo stato della copertura Software Assurance per System Center Server Management </w:t>
      </w:r>
      <w:r w:rsidRPr="00451078">
        <w:rPr>
          <w:rFonts w:cs="Tahoma"/>
          <w:szCs w:val="20"/>
          <w:lang w:val="it-IT"/>
        </w:rPr>
        <w:lastRenderedPageBreak/>
        <w:t>Suite Datacenter. Qualora la copertura sia scaduta, i diritti di accesso attribuiti da licenze perpetue sono determinati sulla base dei diritti di utilizzo del prodotto in vigore prima della scadenza della copertura.</w:t>
      </w:r>
      <w:r w:rsidR="00082E1C" w:rsidRPr="00451078">
        <w:rPr>
          <w:rFonts w:cs="Tahoma"/>
          <w:szCs w:val="20"/>
          <w:lang w:val="it-IT"/>
        </w:rPr>
        <w:t xml:space="preserve"> </w:t>
      </w:r>
    </w:p>
    <w:p w:rsidR="00E72B93" w:rsidRPr="00451078" w:rsidRDefault="00E72B93" w:rsidP="000A18AA">
      <w:pPr>
        <w:ind w:left="720"/>
        <w:rPr>
          <w:lang w:val="it-IT"/>
        </w:rPr>
      </w:pPr>
    </w:p>
    <w:p w:rsidR="00143CF6" w:rsidRPr="00451078" w:rsidRDefault="005C164D" w:rsidP="003165D6">
      <w:pPr>
        <w:ind w:left="720"/>
        <w:rPr>
          <w:lang w:val="it-IT"/>
        </w:rPr>
      </w:pPr>
      <w:r w:rsidRPr="00451078">
        <w:rPr>
          <w:rFonts w:cs="Tahoma"/>
          <w:color w:val="000000"/>
          <w:szCs w:val="18"/>
          <w:lang w:val="it-IT"/>
        </w:rPr>
        <w:t>Al 1 novembre 2010 una licenza per System Center Server Management Suite Datacenter con copertura Software Assurance attiva fornisce i diritti di gestione server per le licenze di gestione server per System Center Enterprise relativamente a Operations Manager 2007 R2, Configuration Manager 2007 R3, Data Protection Manager 2010, Service Manager 2010 e Virtual Machine Manager 2008 R2. Inoltre, è inclusa anche la licenza server per Virtual Machine Manager 2008 R2 e Data Protection Manager 2010. La società dovrà riesaminare il documento PUR per verificare i diritti sull</w:t>
      </w:r>
      <w:r w:rsidR="0073727D">
        <w:rPr>
          <w:rFonts w:cs="Tahoma"/>
          <w:color w:val="000000"/>
          <w:szCs w:val="18"/>
          <w:lang w:val="it-IT"/>
        </w:rPr>
        <w:t>’</w:t>
      </w:r>
      <w:r w:rsidRPr="00451078">
        <w:rPr>
          <w:rFonts w:cs="Tahoma"/>
          <w:color w:val="000000"/>
          <w:szCs w:val="18"/>
          <w:lang w:val="it-IT"/>
        </w:rPr>
        <w:t>utilizzo.</w:t>
      </w:r>
      <w:bookmarkStart w:id="1452" w:name="_90_System_Center"/>
      <w:bookmarkEnd w:id="1452"/>
    </w:p>
    <w:p w:rsidR="00FF4CAB" w:rsidRPr="00451078" w:rsidRDefault="00FF4CAB" w:rsidP="004F0CAE">
      <w:pPr>
        <w:rPr>
          <w:lang w:val="it-IT"/>
        </w:rPr>
      </w:pPr>
      <w:bookmarkStart w:id="1453" w:name="Srv_92TechNetPlusSingleUser"/>
    </w:p>
    <w:p w:rsidR="00FF4CAB" w:rsidRPr="00451078" w:rsidRDefault="00FF4CAB" w:rsidP="004F0CAE">
      <w:pPr>
        <w:rPr>
          <w:lang w:val="it-IT"/>
        </w:rPr>
      </w:pPr>
    </w:p>
    <w:p w:rsidR="00FF4CAB" w:rsidRPr="00451078" w:rsidRDefault="0099402E" w:rsidP="009F18F3">
      <w:pPr>
        <w:pStyle w:val="Heading3"/>
        <w:ind w:left="259" w:hanging="259"/>
        <w:rPr>
          <w:lang w:val="it-IT"/>
        </w:rPr>
      </w:pPr>
      <w:bookmarkStart w:id="1454" w:name="_87_System_Center"/>
      <w:bookmarkStart w:id="1455" w:name="_88_System_Center"/>
      <w:bookmarkStart w:id="1456" w:name="_Toc336338357"/>
      <w:bookmarkStart w:id="1457" w:name="_Toc352234941"/>
      <w:bookmarkStart w:id="1458" w:name="Srv_100SysCenterVMM2008R2"/>
      <w:bookmarkEnd w:id="1454"/>
      <w:bookmarkEnd w:id="1455"/>
      <w:r w:rsidRPr="00451078">
        <w:rPr>
          <w:rFonts w:ascii="Tahoma" w:hAnsi="Tahoma" w:cs="Tahoma"/>
          <w:caps/>
          <w:color w:val="FF6F0D"/>
          <w:sz w:val="22"/>
          <w:szCs w:val="22"/>
          <w:vertAlign w:val="superscript"/>
          <w:lang w:val="it-IT"/>
        </w:rPr>
        <w:t>88</w:t>
      </w:r>
      <w:r w:rsidRPr="00451078">
        <w:rPr>
          <w:rFonts w:ascii="Tahoma" w:hAnsi="Tahoma" w:cs="Tahoma"/>
          <w:color w:val="FF6F0D"/>
          <w:sz w:val="22"/>
          <w:szCs w:val="22"/>
          <w:lang w:val="it-IT"/>
        </w:rPr>
        <w:t xml:space="preserve"> System Center Virtual Machine Manager 2008 R2 - Licenze di Gestione Client e</w:t>
      </w:r>
      <w:r w:rsidR="009F18F3" w:rsidRPr="00451078">
        <w:rPr>
          <w:rFonts w:ascii="Tahoma" w:hAnsi="Tahoma" w:cs="Tahoma"/>
          <w:color w:val="FF6F0D"/>
          <w:sz w:val="22"/>
          <w:szCs w:val="22"/>
          <w:lang w:val="it-IT"/>
        </w:rPr>
        <w:t> </w:t>
      </w:r>
      <w:r w:rsidRPr="00451078">
        <w:rPr>
          <w:rFonts w:ascii="Tahoma" w:hAnsi="Tahoma" w:cs="Tahoma"/>
          <w:color w:val="FF6F0D"/>
          <w:sz w:val="22"/>
          <w:szCs w:val="22"/>
          <w:lang w:val="it-IT"/>
        </w:rPr>
        <w:t>Server</w:t>
      </w:r>
      <w:bookmarkEnd w:id="1456"/>
      <w:bookmarkEnd w:id="1457"/>
    </w:p>
    <w:bookmarkEnd w:id="1458"/>
    <w:p w:rsidR="00FF4CAB" w:rsidRPr="00451078" w:rsidRDefault="00FF4CAB" w:rsidP="004F0CAE">
      <w:pPr>
        <w:rPr>
          <w:lang w:val="it-IT"/>
        </w:rPr>
      </w:pPr>
    </w:p>
    <w:p w:rsidR="00FF4CAB" w:rsidRPr="00451078" w:rsidRDefault="00FF4CAB" w:rsidP="004F0CAE">
      <w:pPr>
        <w:ind w:left="720"/>
        <w:rPr>
          <w:lang w:val="it-IT"/>
        </w:rPr>
      </w:pPr>
      <w:r w:rsidRPr="00451078">
        <w:rPr>
          <w:lang w:val="it-IT"/>
        </w:rPr>
        <w:t>Prodotti End-Of-Life (EOL) che non verranno più offerti.</w:t>
      </w:r>
    </w:p>
    <w:p w:rsidR="004F0CAE" w:rsidRPr="00451078" w:rsidRDefault="004F0CAE" w:rsidP="004F0CAE">
      <w:pPr>
        <w:ind w:left="720"/>
        <w:rPr>
          <w:lang w:val="it-IT"/>
        </w:rPr>
      </w:pPr>
    </w:p>
    <w:p w:rsidR="00FF4CAB" w:rsidRPr="00451078" w:rsidRDefault="00FF4CAB" w:rsidP="004F0CAE">
      <w:pPr>
        <w:adjustRightInd w:val="0"/>
        <w:spacing w:after="60"/>
        <w:ind w:left="720"/>
        <w:textAlignment w:val="baseline"/>
        <w:rPr>
          <w:lang w:val="it-IT"/>
        </w:rPr>
      </w:pPr>
      <w:r w:rsidRPr="00451078">
        <w:rPr>
          <w:rFonts w:cs="Tahoma"/>
          <w:b/>
          <w:szCs w:val="20"/>
          <w:lang w:val="it-IT"/>
        </w:rPr>
        <w:t>Dettagli relativi alla Concessione di una Licenza Transitoria Una Tantum per System Center</w:t>
      </w:r>
      <w:r w:rsidR="009F18F3" w:rsidRPr="00451078">
        <w:rPr>
          <w:rFonts w:cs="Tahoma"/>
          <w:b/>
          <w:szCs w:val="20"/>
          <w:lang w:val="it-IT"/>
        </w:rPr>
        <w:t> </w:t>
      </w:r>
      <w:r w:rsidRPr="00451078">
        <w:rPr>
          <w:rFonts w:cs="Tahoma"/>
          <w:b/>
          <w:szCs w:val="20"/>
          <w:lang w:val="it-IT"/>
        </w:rPr>
        <w:t>2012</w:t>
      </w:r>
    </w:p>
    <w:p w:rsidR="00586FCE" w:rsidRDefault="00FF4CAB" w:rsidP="004F0CAE">
      <w:pPr>
        <w:ind w:left="720"/>
        <w:rPr>
          <w:lang w:val="it-IT"/>
        </w:rPr>
      </w:pPr>
      <w:r w:rsidRPr="00451078">
        <w:rPr>
          <w:lang w:val="it-IT"/>
        </w:rPr>
        <w:t>Per dettagli sulle concessioni di licenze transitorie, fare riferimento alla nota relativa al prodotto presente nelle offerte di System Center 2012</w:t>
      </w:r>
      <w:bookmarkStart w:id="1459" w:name="_Toc336338358"/>
      <w:bookmarkStart w:id="1460" w:name="Srv_101SystemCenter2012"/>
      <w:r w:rsidRPr="00451078">
        <w:rPr>
          <w:lang w:val="it-IT"/>
        </w:rPr>
        <w:t>.</w:t>
      </w:r>
    </w:p>
    <w:p w:rsidR="004F09FE" w:rsidRDefault="004F09FE" w:rsidP="004F0CAE">
      <w:pPr>
        <w:ind w:left="720"/>
        <w:rPr>
          <w:lang w:val="it-IT"/>
        </w:rPr>
      </w:pPr>
    </w:p>
    <w:p w:rsidR="004F09FE" w:rsidRDefault="004F09FE" w:rsidP="004F0CAE">
      <w:pPr>
        <w:ind w:left="720"/>
        <w:rPr>
          <w:lang w:val="it-IT"/>
        </w:rPr>
      </w:pPr>
    </w:p>
    <w:p w:rsidR="004F09FE" w:rsidRDefault="004F09FE" w:rsidP="004F0CAE">
      <w:pPr>
        <w:ind w:left="720"/>
        <w:rPr>
          <w:lang w:val="it-IT"/>
        </w:rPr>
      </w:pPr>
    </w:p>
    <w:p w:rsidR="004F09FE" w:rsidRPr="00451078" w:rsidRDefault="004F09FE" w:rsidP="004F0CAE">
      <w:pPr>
        <w:ind w:left="720"/>
        <w:rPr>
          <w:lang w:val="it-IT"/>
        </w:rPr>
      </w:pPr>
    </w:p>
    <w:p w:rsidR="00FF4CAB" w:rsidRPr="00451078" w:rsidRDefault="0099402E" w:rsidP="00FF4CAB">
      <w:pPr>
        <w:pStyle w:val="Heading3"/>
        <w:rPr>
          <w:lang w:val="it-IT"/>
        </w:rPr>
      </w:pPr>
      <w:bookmarkStart w:id="1461" w:name="_91_89_System"/>
      <w:bookmarkStart w:id="1462" w:name="_Toc352234942"/>
      <w:bookmarkEnd w:id="1461"/>
      <w:r w:rsidRPr="00451078">
        <w:rPr>
          <w:rFonts w:ascii="Tahoma" w:hAnsi="Tahoma" w:cs="Tahoma"/>
          <w:caps/>
          <w:color w:val="FF6F0D"/>
          <w:sz w:val="22"/>
          <w:szCs w:val="22"/>
          <w:vertAlign w:val="superscript"/>
          <w:lang w:val="it-IT"/>
        </w:rPr>
        <w:t>89</w:t>
      </w:r>
      <w:r w:rsidRPr="00451078">
        <w:rPr>
          <w:rFonts w:ascii="Tahoma" w:hAnsi="Tahoma" w:cs="Tahoma"/>
          <w:color w:val="FF6F0D"/>
          <w:sz w:val="22"/>
          <w:szCs w:val="22"/>
          <w:lang w:val="it-IT"/>
        </w:rPr>
        <w:t xml:space="preserve"> System Center 2012</w:t>
      </w:r>
      <w:bookmarkEnd w:id="1459"/>
      <w:bookmarkEnd w:id="1462"/>
    </w:p>
    <w:bookmarkEnd w:id="1460"/>
    <w:p w:rsidR="00FF4CAB" w:rsidRPr="00451078" w:rsidRDefault="00FF4CAB" w:rsidP="004F0CAE">
      <w:pPr>
        <w:rPr>
          <w:lang w:val="it-IT"/>
        </w:rPr>
      </w:pPr>
    </w:p>
    <w:p w:rsidR="00FF4CAB" w:rsidRPr="00451078" w:rsidRDefault="00FF4CAB" w:rsidP="004F0CAE">
      <w:pPr>
        <w:ind w:left="720"/>
        <w:rPr>
          <w:lang w:val="it-IT"/>
        </w:rPr>
      </w:pPr>
      <w:r w:rsidRPr="00451078">
        <w:rPr>
          <w:rFonts w:cs="Tahoma"/>
          <w:color w:val="000000"/>
          <w:szCs w:val="24"/>
          <w:lang w:val="it-IT"/>
        </w:rPr>
        <w:t>Le ultime versioni di System Center Data Protection Manager 2010, System Center Operations Manager 2008 R2, System Center Service Manager 2010 e System Center Virtual Machine Manager 2008 R2 non saranno disponibili.</w:t>
      </w:r>
      <w:r w:rsidR="00082E1C" w:rsidRPr="00451078">
        <w:rPr>
          <w:rFonts w:cs="Tahoma"/>
          <w:color w:val="000000"/>
          <w:szCs w:val="24"/>
          <w:lang w:val="it-IT"/>
        </w:rPr>
        <w:t xml:space="preserve"> </w:t>
      </w:r>
      <w:r w:rsidRPr="00451078">
        <w:rPr>
          <w:rFonts w:cs="Tahoma"/>
          <w:color w:val="000000"/>
          <w:szCs w:val="24"/>
          <w:lang w:val="it-IT"/>
        </w:rPr>
        <w:t>Analogamente, le ultime versioni di System Center Configuration Manager 2007 R3 non</w:t>
      </w:r>
      <w:r w:rsidR="009F18F3" w:rsidRPr="00451078">
        <w:rPr>
          <w:rFonts w:cs="Tahoma"/>
          <w:color w:val="000000"/>
          <w:szCs w:val="24"/>
          <w:lang w:val="it-IT"/>
        </w:rPr>
        <w:t> </w:t>
      </w:r>
      <w:r w:rsidRPr="00451078">
        <w:rPr>
          <w:rFonts w:cs="Tahoma"/>
          <w:color w:val="000000"/>
          <w:szCs w:val="24"/>
          <w:lang w:val="it-IT"/>
        </w:rPr>
        <w:t>saranno disponibili ai sensi di licenze per il software separate né di licenze di gestione server. In via eccezionale, in caso di disponibilità di System Center 2012 alle società con Software Assurance attiva che sono stati titolari di una copertura sul software e di licenze di gestione per questi prodotti in data 1 aprile 2012 verranno fornite le licenze per effettuare l</w:t>
      </w:r>
      <w:r w:rsidR="0073727D">
        <w:rPr>
          <w:rFonts w:cs="Tahoma"/>
          <w:color w:val="000000"/>
          <w:szCs w:val="24"/>
          <w:lang w:val="it-IT"/>
        </w:rPr>
        <w:t>’</w:t>
      </w:r>
      <w:r w:rsidRPr="00451078">
        <w:rPr>
          <w:rFonts w:cs="Tahoma"/>
          <w:color w:val="000000"/>
          <w:szCs w:val="24"/>
          <w:lang w:val="it-IT"/>
        </w:rPr>
        <w:t>aggiornamento al software Systems Center 2012 e per utilizzarlo al posto dei prodotti che seguono.</w:t>
      </w:r>
    </w:p>
    <w:p w:rsidR="00FF4CAB" w:rsidRPr="00451078" w:rsidRDefault="00FF4CAB" w:rsidP="004F0CAE">
      <w:pPr>
        <w:ind w:left="900"/>
        <w:rPr>
          <w:lang w:val="it-IT"/>
        </w:rPr>
      </w:pPr>
    </w:p>
    <w:p w:rsidR="00FF4CAB" w:rsidRPr="00451078" w:rsidRDefault="00FF4CAB" w:rsidP="004F0CAE">
      <w:pPr>
        <w:ind w:left="900"/>
        <w:rPr>
          <w:lang w:val="it-IT"/>
        </w:rPr>
      </w:pPr>
    </w:p>
    <w:tbl>
      <w:tblPr>
        <w:tblW w:w="0" w:type="auto"/>
        <w:tblInd w:w="878" w:type="dxa"/>
        <w:tblBorders>
          <w:top w:val="single" w:sz="4" w:space="0" w:color="000000"/>
          <w:left w:val="single" w:sz="4" w:space="0" w:color="000000"/>
          <w:bottom w:val="single" w:sz="4" w:space="0" w:color="000000"/>
          <w:right w:val="single" w:sz="4" w:space="0" w:color="000000"/>
          <w:insideH w:val="single" w:sz="6" w:space="0" w:color="000000"/>
          <w:insideV w:val="single" w:sz="6" w:space="0" w:color="000000"/>
        </w:tblBorders>
        <w:shd w:val="clear" w:color="auto" w:fill="FFFFFF"/>
        <w:tblLook w:val="04A0" w:firstRow="1" w:lastRow="0" w:firstColumn="1" w:lastColumn="0" w:noHBand="0" w:noVBand="1"/>
      </w:tblPr>
      <w:tblGrid>
        <w:gridCol w:w="3960"/>
        <w:gridCol w:w="4050"/>
      </w:tblGrid>
      <w:tr w:rsidR="00FF4CAB" w:rsidRPr="003410C7" w:rsidTr="00094AEE">
        <w:trPr>
          <w:tblHeader/>
        </w:trPr>
        <w:tc>
          <w:tcPr>
            <w:tcW w:w="3960" w:type="dxa"/>
            <w:tcBorders>
              <w:top w:val="single" w:sz="4" w:space="0" w:color="000000"/>
              <w:bottom w:val="single" w:sz="6" w:space="0" w:color="000000"/>
            </w:tcBorders>
            <w:shd w:val="clear" w:color="auto" w:fill="FABF8F"/>
          </w:tcPr>
          <w:p w:rsidR="00FF4CAB" w:rsidRPr="003410C7" w:rsidRDefault="00FF4CAB" w:rsidP="00FF4CAB">
            <w:pPr>
              <w:jc w:val="center"/>
              <w:rPr>
                <w:rFonts w:cs="Tahoma"/>
                <w:b/>
                <w:color w:val="000000"/>
                <w:szCs w:val="20"/>
              </w:rPr>
            </w:pPr>
            <w:r w:rsidRPr="003410C7">
              <w:rPr>
                <w:rFonts w:cs="Tahoma"/>
                <w:b/>
                <w:color w:val="000000"/>
                <w:szCs w:val="20"/>
              </w:rPr>
              <w:t>Licenze Qualificanti</w:t>
            </w:r>
          </w:p>
        </w:tc>
        <w:tc>
          <w:tcPr>
            <w:tcW w:w="4050" w:type="dxa"/>
            <w:tcBorders>
              <w:top w:val="single" w:sz="4" w:space="0" w:color="000000"/>
              <w:bottom w:val="single" w:sz="6" w:space="0" w:color="000000"/>
            </w:tcBorders>
            <w:shd w:val="clear" w:color="auto" w:fill="FABF8F"/>
          </w:tcPr>
          <w:p w:rsidR="00FF4CAB" w:rsidRPr="003410C7" w:rsidRDefault="00FF4CAB" w:rsidP="00FF4CAB">
            <w:pPr>
              <w:jc w:val="center"/>
              <w:rPr>
                <w:rFonts w:cs="Tahoma"/>
                <w:b/>
                <w:color w:val="000000"/>
                <w:szCs w:val="20"/>
              </w:rPr>
            </w:pPr>
            <w:r w:rsidRPr="003410C7">
              <w:rPr>
                <w:rFonts w:cs="Tahoma"/>
                <w:b/>
                <w:color w:val="000000"/>
                <w:szCs w:val="20"/>
              </w:rPr>
              <w:t>Licenze per System Center 2012:</w:t>
            </w:r>
          </w:p>
        </w:tc>
      </w:tr>
      <w:tr w:rsidR="00FF4CAB" w:rsidRPr="005E4903" w:rsidTr="00CA14C9">
        <w:tc>
          <w:tcPr>
            <w:tcW w:w="3960" w:type="dxa"/>
            <w:tcBorders>
              <w:top w:val="single" w:sz="6" w:space="0" w:color="000000"/>
            </w:tcBorders>
            <w:shd w:val="clear" w:color="auto" w:fill="FFFFFF"/>
          </w:tcPr>
          <w:p w:rsidR="00FF4CAB" w:rsidRPr="00451078" w:rsidRDefault="00FF4CAB" w:rsidP="00FF4CAB">
            <w:pPr>
              <w:rPr>
                <w:rFonts w:cs="Tahoma"/>
                <w:color w:val="000000"/>
                <w:szCs w:val="20"/>
                <w:lang w:val="fr-FR"/>
              </w:rPr>
            </w:pPr>
            <w:r w:rsidRPr="00451078">
              <w:rPr>
                <w:rFonts w:cs="Tahoma"/>
                <w:color w:val="000000"/>
                <w:szCs w:val="20"/>
                <w:lang w:val="fr-FR"/>
              </w:rPr>
              <w:t>System Center Client Management Suite (Client ML) per OSE</w:t>
            </w:r>
          </w:p>
        </w:tc>
        <w:tc>
          <w:tcPr>
            <w:tcW w:w="4050" w:type="dxa"/>
            <w:tcBorders>
              <w:top w:val="single" w:sz="6" w:space="0" w:color="000000"/>
            </w:tcBorders>
            <w:shd w:val="clear" w:color="auto" w:fill="FFFFFF"/>
          </w:tcPr>
          <w:p w:rsidR="00FF4CAB" w:rsidRPr="00451078" w:rsidRDefault="00FF4CAB" w:rsidP="00FF4CAB">
            <w:pPr>
              <w:rPr>
                <w:rFonts w:cs="Tahoma"/>
                <w:color w:val="000000"/>
                <w:szCs w:val="20"/>
                <w:lang w:val="fr-FR"/>
              </w:rPr>
            </w:pPr>
            <w:r w:rsidRPr="00451078">
              <w:rPr>
                <w:rFonts w:cs="Tahoma"/>
                <w:color w:val="000000"/>
                <w:szCs w:val="20"/>
                <w:lang w:val="fr-FR"/>
              </w:rPr>
              <w:t>1 System Center 2012 Client Management Suite (Client ML) per OSE</w:t>
            </w:r>
          </w:p>
        </w:tc>
      </w:tr>
      <w:tr w:rsidR="00FF4CAB" w:rsidRPr="005E4903" w:rsidTr="00CA14C9">
        <w:tc>
          <w:tcPr>
            <w:tcW w:w="3960" w:type="dxa"/>
            <w:shd w:val="clear" w:color="auto" w:fill="FFFFFF"/>
          </w:tcPr>
          <w:p w:rsidR="00FF4CAB" w:rsidRPr="00451078" w:rsidRDefault="00FF4CAB" w:rsidP="00FF4CAB">
            <w:pPr>
              <w:rPr>
                <w:rFonts w:cs="Tahoma"/>
                <w:color w:val="000000"/>
                <w:szCs w:val="20"/>
                <w:lang w:val="fr-FR"/>
              </w:rPr>
            </w:pPr>
            <w:r w:rsidRPr="00451078">
              <w:rPr>
                <w:rFonts w:cs="Tahoma"/>
                <w:color w:val="000000"/>
                <w:szCs w:val="20"/>
                <w:lang w:val="fr-FR"/>
              </w:rPr>
              <w:t>System Center Client Management Suite (Client ML) per Utente</w:t>
            </w:r>
          </w:p>
        </w:tc>
        <w:tc>
          <w:tcPr>
            <w:tcW w:w="4050" w:type="dxa"/>
            <w:shd w:val="clear" w:color="auto" w:fill="FFFFFF"/>
          </w:tcPr>
          <w:p w:rsidR="00FF4CAB" w:rsidRPr="00451078" w:rsidRDefault="00FF4CAB" w:rsidP="00FF4CAB">
            <w:pPr>
              <w:rPr>
                <w:rFonts w:cs="Tahoma"/>
                <w:color w:val="000000"/>
                <w:szCs w:val="20"/>
                <w:lang w:val="fr-FR"/>
              </w:rPr>
            </w:pPr>
            <w:r w:rsidRPr="00451078">
              <w:rPr>
                <w:rFonts w:cs="Tahoma"/>
                <w:color w:val="000000"/>
                <w:szCs w:val="20"/>
                <w:lang w:val="fr-FR"/>
              </w:rPr>
              <w:t>1 System Center 2012 Client Management Suite (Client ML) per Utente</w:t>
            </w:r>
          </w:p>
        </w:tc>
      </w:tr>
      <w:tr w:rsidR="00FF4CAB" w:rsidRPr="005E4903" w:rsidTr="00CA14C9">
        <w:tc>
          <w:tcPr>
            <w:tcW w:w="3960" w:type="dxa"/>
            <w:shd w:val="clear" w:color="auto" w:fill="FFFFFF"/>
          </w:tcPr>
          <w:p w:rsidR="00FF4CAB" w:rsidRPr="003410C7" w:rsidRDefault="00FF4CAB" w:rsidP="00FF4CAB">
            <w:pPr>
              <w:rPr>
                <w:rFonts w:cs="Tahoma"/>
                <w:color w:val="000000"/>
                <w:szCs w:val="20"/>
              </w:rPr>
            </w:pPr>
            <w:r w:rsidRPr="003410C7">
              <w:rPr>
                <w:rFonts w:cs="Tahoma"/>
                <w:color w:val="000000"/>
                <w:szCs w:val="20"/>
              </w:rPr>
              <w:t>System Center Configuration Manager 2007 R3</w:t>
            </w:r>
          </w:p>
        </w:tc>
        <w:tc>
          <w:tcPr>
            <w:tcW w:w="4050" w:type="dxa"/>
            <w:shd w:val="clear" w:color="auto" w:fill="FFFFFF"/>
          </w:tcPr>
          <w:p w:rsidR="00FF4CAB" w:rsidRPr="00451078" w:rsidRDefault="00FF4CAB" w:rsidP="00FF4CAB">
            <w:pPr>
              <w:rPr>
                <w:rFonts w:cs="Tahoma"/>
                <w:color w:val="000000"/>
                <w:szCs w:val="20"/>
                <w:lang w:val="it-IT"/>
              </w:rPr>
            </w:pPr>
            <w:r w:rsidRPr="00451078">
              <w:rPr>
                <w:rFonts w:cs="Tahoma"/>
                <w:color w:val="000000"/>
                <w:szCs w:val="20"/>
                <w:lang w:val="it-IT"/>
              </w:rPr>
              <w:t>1 Licenza di Gestione Server (Server ML) per System Center 2012 Standard</w:t>
            </w:r>
          </w:p>
        </w:tc>
      </w:tr>
      <w:tr w:rsidR="00FF4CAB" w:rsidRPr="005E4903" w:rsidTr="00CA14C9">
        <w:tc>
          <w:tcPr>
            <w:tcW w:w="3960" w:type="dxa"/>
            <w:shd w:val="clear" w:color="auto" w:fill="FFFFFF"/>
          </w:tcPr>
          <w:p w:rsidR="00FF4CAB" w:rsidRPr="00451078" w:rsidRDefault="00FF4CAB" w:rsidP="00FF4CAB">
            <w:pPr>
              <w:rPr>
                <w:rFonts w:cs="Tahoma"/>
                <w:color w:val="000000"/>
                <w:szCs w:val="20"/>
                <w:lang w:val="it-IT"/>
              </w:rPr>
            </w:pPr>
            <w:r w:rsidRPr="00451078">
              <w:rPr>
                <w:rFonts w:cs="Tahoma"/>
                <w:color w:val="000000"/>
                <w:szCs w:val="20"/>
                <w:lang w:val="it-IT"/>
              </w:rPr>
              <w:t>Licenza di Gestione Client (Client ML) per OSE per System Center Configuration Manager 2007 R3</w:t>
            </w:r>
          </w:p>
        </w:tc>
        <w:tc>
          <w:tcPr>
            <w:tcW w:w="4050" w:type="dxa"/>
            <w:shd w:val="clear" w:color="auto" w:fill="FFFFFF"/>
          </w:tcPr>
          <w:p w:rsidR="00FF4CAB" w:rsidRPr="00451078" w:rsidRDefault="00FF4CAB" w:rsidP="00FF4CAB">
            <w:pPr>
              <w:rPr>
                <w:rFonts w:cs="Tahoma"/>
                <w:color w:val="000000"/>
                <w:szCs w:val="20"/>
                <w:lang w:val="it-IT"/>
              </w:rPr>
            </w:pPr>
            <w:r w:rsidRPr="00451078">
              <w:rPr>
                <w:rFonts w:cs="Tahoma"/>
                <w:szCs w:val="20"/>
                <w:lang w:val="it-IT"/>
              </w:rPr>
              <w:t>1 Licenza di Gestione Client (Client ML) per OSE per System Center 2012 Configuration Manager</w:t>
            </w:r>
          </w:p>
        </w:tc>
      </w:tr>
      <w:tr w:rsidR="00FF4CAB" w:rsidRPr="005E4903" w:rsidTr="00CA14C9">
        <w:tc>
          <w:tcPr>
            <w:tcW w:w="3960" w:type="dxa"/>
            <w:shd w:val="clear" w:color="auto" w:fill="FFFFFF"/>
          </w:tcPr>
          <w:p w:rsidR="00FF4CAB" w:rsidRPr="00451078" w:rsidRDefault="00FF4CAB" w:rsidP="00FF4CAB">
            <w:pPr>
              <w:rPr>
                <w:rFonts w:cs="Tahoma"/>
                <w:color w:val="000000"/>
                <w:szCs w:val="20"/>
                <w:lang w:val="it-IT"/>
              </w:rPr>
            </w:pPr>
            <w:r w:rsidRPr="00451078">
              <w:rPr>
                <w:rFonts w:cs="Tahoma"/>
                <w:color w:val="000000"/>
                <w:szCs w:val="20"/>
                <w:lang w:val="it-IT"/>
              </w:rPr>
              <w:t>Licenza di Gestione Client (Client ML) per Utente per System Center Configuration Manager 2007 R3</w:t>
            </w:r>
          </w:p>
        </w:tc>
        <w:tc>
          <w:tcPr>
            <w:tcW w:w="4050" w:type="dxa"/>
            <w:shd w:val="clear" w:color="auto" w:fill="FFFFFF"/>
          </w:tcPr>
          <w:p w:rsidR="00FF4CAB" w:rsidRPr="00451078" w:rsidRDefault="00FF4CAB" w:rsidP="00FF4CAB">
            <w:pPr>
              <w:rPr>
                <w:rFonts w:cs="Tahoma"/>
                <w:color w:val="000000"/>
                <w:szCs w:val="20"/>
                <w:lang w:val="it-IT"/>
              </w:rPr>
            </w:pPr>
            <w:r w:rsidRPr="00451078">
              <w:rPr>
                <w:rFonts w:cs="Tahoma"/>
                <w:szCs w:val="20"/>
                <w:lang w:val="it-IT"/>
              </w:rPr>
              <w:t>1 Licenza di Gestione Client (Client ML) per Utente per System Center 2012 Configuration Manager</w:t>
            </w:r>
          </w:p>
        </w:tc>
      </w:tr>
      <w:tr w:rsidR="00FF4CAB" w:rsidRPr="005E4903" w:rsidTr="00CA14C9">
        <w:tc>
          <w:tcPr>
            <w:tcW w:w="3960" w:type="dxa"/>
            <w:shd w:val="clear" w:color="auto" w:fill="FFFFFF"/>
          </w:tcPr>
          <w:p w:rsidR="00FF4CAB" w:rsidRPr="00451078" w:rsidRDefault="00FF4CAB" w:rsidP="00FF4CAB">
            <w:pPr>
              <w:rPr>
                <w:rFonts w:cs="Tahoma"/>
                <w:color w:val="000000"/>
                <w:szCs w:val="20"/>
                <w:lang w:val="it-IT"/>
              </w:rPr>
            </w:pPr>
            <w:r w:rsidRPr="00451078">
              <w:rPr>
                <w:rFonts w:cs="Tahoma"/>
                <w:color w:val="000000"/>
                <w:szCs w:val="20"/>
                <w:lang w:val="it-IT"/>
              </w:rPr>
              <w:t>Licenza di Gestione Client (Client ML) per System Center Configuration Manager 2007 R3 (Solo Studenti)</w:t>
            </w:r>
            <w:r w:rsidRPr="00451078">
              <w:rPr>
                <w:rFonts w:cs="Tahoma"/>
                <w:color w:val="000000"/>
                <w:szCs w:val="20"/>
                <w:vertAlign w:val="superscript"/>
                <w:lang w:val="it-IT"/>
              </w:rPr>
              <w:t>*</w:t>
            </w:r>
          </w:p>
        </w:tc>
        <w:tc>
          <w:tcPr>
            <w:tcW w:w="4050" w:type="dxa"/>
            <w:shd w:val="clear" w:color="auto" w:fill="FFFFFF"/>
          </w:tcPr>
          <w:p w:rsidR="00FF4CAB" w:rsidRPr="00451078" w:rsidRDefault="00FF4CAB" w:rsidP="00FF4CAB">
            <w:pPr>
              <w:rPr>
                <w:rFonts w:cs="Tahoma"/>
                <w:color w:val="000000"/>
                <w:szCs w:val="20"/>
                <w:lang w:val="it-IT"/>
              </w:rPr>
            </w:pPr>
            <w:r w:rsidRPr="00451078">
              <w:rPr>
                <w:rFonts w:cs="Tahoma"/>
                <w:szCs w:val="20"/>
                <w:lang w:val="it-IT"/>
              </w:rPr>
              <w:t>1 Licenza di Gestione Client (Client ML) per System Center 2012 Configuration Manager (Solo Studenti)</w:t>
            </w:r>
            <w:r w:rsidRPr="00451078">
              <w:rPr>
                <w:rFonts w:cs="Tahoma"/>
                <w:szCs w:val="20"/>
                <w:vertAlign w:val="superscript"/>
                <w:lang w:val="it-IT"/>
              </w:rPr>
              <w:t>*</w:t>
            </w:r>
          </w:p>
        </w:tc>
      </w:tr>
      <w:tr w:rsidR="00FF4CAB" w:rsidRPr="005E4903" w:rsidTr="00CA14C9">
        <w:tc>
          <w:tcPr>
            <w:tcW w:w="3960" w:type="dxa"/>
            <w:shd w:val="clear" w:color="auto" w:fill="FFFFFF"/>
          </w:tcPr>
          <w:p w:rsidR="00FF4CAB" w:rsidRPr="00451078" w:rsidRDefault="00FF4CAB" w:rsidP="00FF4CAB">
            <w:pPr>
              <w:rPr>
                <w:rFonts w:cs="Tahoma"/>
                <w:color w:val="000000"/>
                <w:szCs w:val="20"/>
                <w:lang w:val="it-IT"/>
              </w:rPr>
            </w:pPr>
            <w:r w:rsidRPr="00451078">
              <w:rPr>
                <w:rFonts w:cs="Tahoma"/>
                <w:color w:val="000000"/>
                <w:szCs w:val="20"/>
                <w:lang w:val="it-IT"/>
              </w:rPr>
              <w:t>Licenza di Gestione Server Enterprise per System Center Configuration Manager 2007 R3</w:t>
            </w:r>
          </w:p>
        </w:tc>
        <w:tc>
          <w:tcPr>
            <w:tcW w:w="4050" w:type="dxa"/>
            <w:shd w:val="clear" w:color="auto" w:fill="FFFFFF"/>
          </w:tcPr>
          <w:p w:rsidR="00FF4CAB" w:rsidRPr="00451078" w:rsidRDefault="00FF4CAB" w:rsidP="00FF4CAB">
            <w:pPr>
              <w:rPr>
                <w:rFonts w:cs="Tahoma"/>
                <w:color w:val="000000"/>
                <w:szCs w:val="20"/>
                <w:lang w:val="it-IT"/>
              </w:rPr>
            </w:pPr>
            <w:r w:rsidRPr="00451078">
              <w:rPr>
                <w:rFonts w:cs="Tahoma"/>
                <w:color w:val="000000"/>
                <w:szCs w:val="20"/>
                <w:lang w:val="it-IT"/>
              </w:rPr>
              <w:t>1 Licenza di Gestione Server (Server ML) per System Center 2012 Standard</w:t>
            </w:r>
          </w:p>
        </w:tc>
      </w:tr>
      <w:tr w:rsidR="00FF4CAB" w:rsidRPr="005E4903" w:rsidTr="00CA14C9">
        <w:tc>
          <w:tcPr>
            <w:tcW w:w="3960" w:type="dxa"/>
            <w:shd w:val="clear" w:color="auto" w:fill="FFFFFF"/>
          </w:tcPr>
          <w:p w:rsidR="00FF4CAB" w:rsidRPr="00451078" w:rsidRDefault="00FF4CAB" w:rsidP="00FF4CAB">
            <w:pPr>
              <w:rPr>
                <w:rFonts w:cs="Tahoma"/>
                <w:color w:val="000000"/>
                <w:szCs w:val="20"/>
                <w:lang w:val="it-IT"/>
              </w:rPr>
            </w:pPr>
            <w:r w:rsidRPr="00451078">
              <w:rPr>
                <w:rFonts w:cs="Tahoma"/>
                <w:color w:val="000000"/>
                <w:szCs w:val="20"/>
                <w:lang w:val="it-IT"/>
              </w:rPr>
              <w:t xml:space="preserve">Licenza di Gestione Server Standard per System Center Configuration Manager 2007 R3 </w:t>
            </w:r>
          </w:p>
        </w:tc>
        <w:tc>
          <w:tcPr>
            <w:tcW w:w="4050" w:type="dxa"/>
            <w:shd w:val="clear" w:color="auto" w:fill="FFFFFF"/>
          </w:tcPr>
          <w:p w:rsidR="00FF4CAB" w:rsidRPr="00451078" w:rsidRDefault="00FF4CAB" w:rsidP="00FF4CAB">
            <w:pPr>
              <w:rPr>
                <w:rFonts w:cs="Tahoma"/>
                <w:color w:val="000000"/>
                <w:szCs w:val="20"/>
                <w:lang w:val="it-IT"/>
              </w:rPr>
            </w:pPr>
            <w:r w:rsidRPr="00451078">
              <w:rPr>
                <w:rFonts w:cs="Tahoma"/>
                <w:color w:val="000000"/>
                <w:szCs w:val="20"/>
                <w:lang w:val="it-IT"/>
              </w:rPr>
              <w:t>1 Licenza di Gestione Server (Server ML) per System Center 2012 Standard</w:t>
            </w:r>
          </w:p>
        </w:tc>
      </w:tr>
      <w:tr w:rsidR="00FF4CAB" w:rsidRPr="005E4903" w:rsidTr="00CA14C9">
        <w:tc>
          <w:tcPr>
            <w:tcW w:w="3960" w:type="dxa"/>
            <w:shd w:val="clear" w:color="auto" w:fill="FFFFFF"/>
          </w:tcPr>
          <w:p w:rsidR="00FF4CAB" w:rsidRPr="003410C7" w:rsidRDefault="00FF4CAB" w:rsidP="00FF4CAB">
            <w:pPr>
              <w:rPr>
                <w:rFonts w:cs="Tahoma"/>
                <w:color w:val="000000"/>
                <w:szCs w:val="20"/>
              </w:rPr>
            </w:pPr>
            <w:r w:rsidRPr="003410C7">
              <w:rPr>
                <w:rFonts w:cs="Tahoma"/>
                <w:color w:val="000000"/>
                <w:szCs w:val="20"/>
              </w:rPr>
              <w:t>System Center Configuration Manager 2007 R3 con Tecnologia SQL Server 2008</w:t>
            </w:r>
          </w:p>
        </w:tc>
        <w:tc>
          <w:tcPr>
            <w:tcW w:w="4050" w:type="dxa"/>
            <w:shd w:val="clear" w:color="auto" w:fill="FFFFFF"/>
          </w:tcPr>
          <w:p w:rsidR="00FF4CAB" w:rsidRPr="00451078" w:rsidRDefault="00FF4CAB" w:rsidP="00FF4CAB">
            <w:pPr>
              <w:rPr>
                <w:rFonts w:cs="Tahoma"/>
                <w:color w:val="000000"/>
                <w:szCs w:val="20"/>
                <w:lang w:val="it-IT"/>
              </w:rPr>
            </w:pPr>
            <w:r w:rsidRPr="00451078">
              <w:rPr>
                <w:rFonts w:cs="Tahoma"/>
                <w:color w:val="000000"/>
                <w:szCs w:val="20"/>
                <w:lang w:val="it-IT"/>
              </w:rPr>
              <w:t>1 Licenza di Gestione Server (Server ML) per System Center 2012 Standard</w:t>
            </w:r>
          </w:p>
        </w:tc>
      </w:tr>
      <w:tr w:rsidR="00FF4CAB" w:rsidRPr="005E4903" w:rsidTr="00CA14C9">
        <w:tc>
          <w:tcPr>
            <w:tcW w:w="3960" w:type="dxa"/>
            <w:shd w:val="clear" w:color="auto" w:fill="FFFFFF"/>
          </w:tcPr>
          <w:p w:rsidR="00FF4CAB" w:rsidRPr="00451078" w:rsidRDefault="00FF4CAB" w:rsidP="00FF4CAB">
            <w:pPr>
              <w:rPr>
                <w:rFonts w:cs="Tahoma"/>
                <w:color w:val="000000"/>
                <w:szCs w:val="20"/>
                <w:lang w:val="it-IT"/>
              </w:rPr>
            </w:pPr>
            <w:r w:rsidRPr="00451078">
              <w:rPr>
                <w:rFonts w:cs="Tahoma"/>
                <w:color w:val="000000"/>
                <w:szCs w:val="20"/>
                <w:lang w:val="it-IT"/>
              </w:rPr>
              <w:lastRenderedPageBreak/>
              <w:t>Licenza di Gestione Client per Utente per System Center Data Protection Manager 2010</w:t>
            </w:r>
          </w:p>
        </w:tc>
        <w:tc>
          <w:tcPr>
            <w:tcW w:w="4050" w:type="dxa"/>
            <w:shd w:val="clear" w:color="auto" w:fill="FFFFFF"/>
          </w:tcPr>
          <w:p w:rsidR="00FF4CAB" w:rsidRPr="00451078" w:rsidRDefault="00FF4CAB" w:rsidP="00FF4CAB">
            <w:pPr>
              <w:rPr>
                <w:rFonts w:cs="Tahoma"/>
                <w:color w:val="000000"/>
                <w:szCs w:val="20"/>
                <w:lang w:val="fr-FR"/>
              </w:rPr>
            </w:pPr>
            <w:r w:rsidRPr="00451078">
              <w:rPr>
                <w:rFonts w:cs="Tahoma"/>
                <w:color w:val="000000"/>
                <w:szCs w:val="20"/>
                <w:lang w:val="fr-FR"/>
              </w:rPr>
              <w:t>1 System Center 2012 Client Management Suite (Client ML) per Utente</w:t>
            </w:r>
          </w:p>
        </w:tc>
      </w:tr>
      <w:tr w:rsidR="00FF4CAB" w:rsidRPr="005E4903" w:rsidTr="00CA14C9">
        <w:tc>
          <w:tcPr>
            <w:tcW w:w="3960" w:type="dxa"/>
            <w:shd w:val="clear" w:color="auto" w:fill="FFFFFF"/>
          </w:tcPr>
          <w:p w:rsidR="00FF4CAB" w:rsidRPr="00451078" w:rsidRDefault="00FF4CAB" w:rsidP="00FF4CAB">
            <w:pPr>
              <w:rPr>
                <w:rFonts w:cs="Tahoma"/>
                <w:color w:val="000000"/>
                <w:szCs w:val="20"/>
                <w:lang w:val="it-IT"/>
              </w:rPr>
            </w:pPr>
            <w:r w:rsidRPr="00451078">
              <w:rPr>
                <w:rFonts w:cs="Tahoma"/>
                <w:color w:val="000000"/>
                <w:szCs w:val="20"/>
                <w:lang w:val="it-IT"/>
              </w:rPr>
              <w:t>Licenza di Gestione Client per OSE per System Center Data Protection Manager 2010</w:t>
            </w:r>
          </w:p>
        </w:tc>
        <w:tc>
          <w:tcPr>
            <w:tcW w:w="4050" w:type="dxa"/>
            <w:shd w:val="clear" w:color="auto" w:fill="FFFFFF"/>
          </w:tcPr>
          <w:p w:rsidR="00FF4CAB" w:rsidRPr="00451078" w:rsidRDefault="00FF4CAB" w:rsidP="00FF4CAB">
            <w:pPr>
              <w:rPr>
                <w:rFonts w:cs="Tahoma"/>
                <w:color w:val="000000"/>
                <w:szCs w:val="20"/>
                <w:lang w:val="fr-FR"/>
              </w:rPr>
            </w:pPr>
            <w:r w:rsidRPr="00451078">
              <w:rPr>
                <w:rFonts w:cs="Tahoma"/>
                <w:color w:val="000000"/>
                <w:szCs w:val="20"/>
                <w:lang w:val="fr-FR"/>
              </w:rPr>
              <w:t>1 System Center 2012 Client Management Suite (Client ML) per OSE</w:t>
            </w:r>
          </w:p>
        </w:tc>
      </w:tr>
      <w:tr w:rsidR="00FF4CAB" w:rsidRPr="005E4903" w:rsidTr="00CA14C9">
        <w:tc>
          <w:tcPr>
            <w:tcW w:w="3960" w:type="dxa"/>
            <w:shd w:val="clear" w:color="auto" w:fill="FFFFFF"/>
          </w:tcPr>
          <w:p w:rsidR="00FF4CAB" w:rsidRPr="00451078" w:rsidRDefault="00FF4CAB" w:rsidP="00FF4CAB">
            <w:pPr>
              <w:rPr>
                <w:rFonts w:cs="Tahoma"/>
                <w:color w:val="000000"/>
                <w:szCs w:val="20"/>
                <w:lang w:val="it-IT"/>
              </w:rPr>
            </w:pPr>
            <w:r w:rsidRPr="00451078">
              <w:rPr>
                <w:rFonts w:cs="Tahoma"/>
                <w:color w:val="000000"/>
                <w:szCs w:val="20"/>
                <w:lang w:val="it-IT"/>
              </w:rPr>
              <w:t>Licenza di Gestione Server Enterprise per System Center Data Protection Manager 2010</w:t>
            </w:r>
          </w:p>
        </w:tc>
        <w:tc>
          <w:tcPr>
            <w:tcW w:w="4050" w:type="dxa"/>
            <w:shd w:val="clear" w:color="auto" w:fill="FFFFFF"/>
          </w:tcPr>
          <w:p w:rsidR="00FF4CAB" w:rsidRPr="00451078" w:rsidRDefault="00FF4CAB" w:rsidP="00FF4CAB">
            <w:pPr>
              <w:rPr>
                <w:rFonts w:cs="Tahoma"/>
                <w:color w:val="000000"/>
                <w:szCs w:val="20"/>
                <w:lang w:val="it-IT"/>
              </w:rPr>
            </w:pPr>
            <w:r w:rsidRPr="00451078">
              <w:rPr>
                <w:rFonts w:cs="Tahoma"/>
                <w:color w:val="000000"/>
                <w:szCs w:val="20"/>
                <w:lang w:val="it-IT"/>
              </w:rPr>
              <w:t>1 Licenza di Gestione Server (Server ML) per System Center 2012 Standard</w:t>
            </w:r>
          </w:p>
        </w:tc>
      </w:tr>
      <w:tr w:rsidR="00FF4CAB" w:rsidRPr="005E4903" w:rsidTr="00CA14C9">
        <w:tc>
          <w:tcPr>
            <w:tcW w:w="3960" w:type="dxa"/>
            <w:shd w:val="clear" w:color="auto" w:fill="FFFFFF"/>
          </w:tcPr>
          <w:p w:rsidR="00FF4CAB" w:rsidRPr="00451078" w:rsidRDefault="00FF4CAB" w:rsidP="00FF4CAB">
            <w:pPr>
              <w:rPr>
                <w:rFonts w:cs="Tahoma"/>
                <w:color w:val="000000"/>
                <w:szCs w:val="20"/>
                <w:lang w:val="it-IT"/>
              </w:rPr>
            </w:pPr>
            <w:r w:rsidRPr="00451078">
              <w:rPr>
                <w:rFonts w:cs="Tahoma"/>
                <w:color w:val="000000"/>
                <w:szCs w:val="20"/>
                <w:lang w:val="it-IT"/>
              </w:rPr>
              <w:t>Licenza di Gestione Server Standard per System Center Data Protection Manager 2010</w:t>
            </w:r>
          </w:p>
        </w:tc>
        <w:tc>
          <w:tcPr>
            <w:tcW w:w="4050" w:type="dxa"/>
            <w:shd w:val="clear" w:color="auto" w:fill="FFFFFF"/>
          </w:tcPr>
          <w:p w:rsidR="00FF4CAB" w:rsidRPr="00451078" w:rsidRDefault="00FF4CAB" w:rsidP="00FF4CAB">
            <w:pPr>
              <w:rPr>
                <w:rFonts w:cs="Tahoma"/>
                <w:color w:val="000000"/>
                <w:szCs w:val="20"/>
                <w:lang w:val="it-IT"/>
              </w:rPr>
            </w:pPr>
            <w:r w:rsidRPr="00451078">
              <w:rPr>
                <w:rFonts w:cs="Tahoma"/>
                <w:color w:val="000000"/>
                <w:szCs w:val="20"/>
                <w:lang w:val="it-IT"/>
              </w:rPr>
              <w:t>1 Licenza di Gestione Server (Server ML) per System Center 2012 Standard</w:t>
            </w:r>
          </w:p>
        </w:tc>
      </w:tr>
      <w:tr w:rsidR="00FF4CAB" w:rsidRPr="005E4903" w:rsidTr="00CA14C9">
        <w:tc>
          <w:tcPr>
            <w:tcW w:w="3960" w:type="dxa"/>
            <w:shd w:val="clear" w:color="auto" w:fill="FFFFFF"/>
          </w:tcPr>
          <w:p w:rsidR="00FF4CAB" w:rsidRPr="00A348BF" w:rsidRDefault="00FF4CAB" w:rsidP="00FF4CAB">
            <w:pPr>
              <w:rPr>
                <w:rFonts w:cs="Tahoma"/>
                <w:color w:val="000000"/>
                <w:szCs w:val="20"/>
                <w:lang w:val="da-DK"/>
              </w:rPr>
            </w:pPr>
            <w:r w:rsidRPr="00A348BF">
              <w:rPr>
                <w:rFonts w:cs="Tahoma"/>
                <w:color w:val="000000"/>
                <w:szCs w:val="20"/>
                <w:lang w:val="da-DK"/>
              </w:rPr>
              <w:t>System Center Operations Manager 2007 R2</w:t>
            </w:r>
          </w:p>
        </w:tc>
        <w:tc>
          <w:tcPr>
            <w:tcW w:w="4050" w:type="dxa"/>
            <w:shd w:val="clear" w:color="auto" w:fill="FFFFFF"/>
          </w:tcPr>
          <w:p w:rsidR="00FF4CAB" w:rsidRPr="00451078" w:rsidRDefault="00FF4CAB" w:rsidP="00FF4CAB">
            <w:pPr>
              <w:rPr>
                <w:rFonts w:cs="Tahoma"/>
                <w:color w:val="000000"/>
                <w:szCs w:val="20"/>
                <w:lang w:val="it-IT"/>
              </w:rPr>
            </w:pPr>
            <w:r w:rsidRPr="00451078">
              <w:rPr>
                <w:rFonts w:cs="Tahoma"/>
                <w:color w:val="000000"/>
                <w:szCs w:val="20"/>
                <w:lang w:val="it-IT"/>
              </w:rPr>
              <w:t>1 Licenza di Gestione Server (Server ML) per System Center 2012 Standard</w:t>
            </w:r>
          </w:p>
        </w:tc>
      </w:tr>
      <w:tr w:rsidR="00FF4CAB" w:rsidRPr="005E4903" w:rsidTr="00CA14C9">
        <w:tc>
          <w:tcPr>
            <w:tcW w:w="3960" w:type="dxa"/>
            <w:shd w:val="clear" w:color="auto" w:fill="FFFFFF"/>
          </w:tcPr>
          <w:p w:rsidR="00FF4CAB" w:rsidRPr="003410C7" w:rsidRDefault="00FF4CAB" w:rsidP="00FF4CAB">
            <w:pPr>
              <w:rPr>
                <w:rFonts w:cs="Tahoma"/>
                <w:color w:val="000000"/>
                <w:szCs w:val="20"/>
              </w:rPr>
            </w:pPr>
            <w:r w:rsidRPr="003410C7">
              <w:rPr>
                <w:rFonts w:cs="Tahoma"/>
                <w:color w:val="000000"/>
                <w:szCs w:val="20"/>
              </w:rPr>
              <w:t>System Center Operations Manager 2007 R2 con Tecnologia SQL Server 2008</w:t>
            </w:r>
          </w:p>
        </w:tc>
        <w:tc>
          <w:tcPr>
            <w:tcW w:w="4050" w:type="dxa"/>
            <w:shd w:val="clear" w:color="auto" w:fill="FFFFFF"/>
          </w:tcPr>
          <w:p w:rsidR="00FF4CAB" w:rsidRPr="00451078" w:rsidRDefault="00FF4CAB" w:rsidP="00FF4CAB">
            <w:pPr>
              <w:rPr>
                <w:rFonts w:cs="Tahoma"/>
                <w:color w:val="000000"/>
                <w:szCs w:val="20"/>
                <w:lang w:val="it-IT"/>
              </w:rPr>
            </w:pPr>
            <w:r w:rsidRPr="00451078">
              <w:rPr>
                <w:rFonts w:cs="Tahoma"/>
                <w:color w:val="000000"/>
                <w:szCs w:val="20"/>
                <w:lang w:val="it-IT"/>
              </w:rPr>
              <w:t>1 Licenza di Gestione Server (Server ML) per System Center 2012 Standard</w:t>
            </w:r>
          </w:p>
        </w:tc>
      </w:tr>
      <w:tr w:rsidR="00FF4CAB" w:rsidRPr="005E4903" w:rsidTr="00CA14C9">
        <w:tc>
          <w:tcPr>
            <w:tcW w:w="3960" w:type="dxa"/>
            <w:shd w:val="clear" w:color="auto" w:fill="FFFFFF"/>
          </w:tcPr>
          <w:p w:rsidR="00FF4CAB" w:rsidRPr="00451078" w:rsidRDefault="00FF4CAB" w:rsidP="00FF4CAB">
            <w:pPr>
              <w:rPr>
                <w:rFonts w:cs="Tahoma"/>
                <w:color w:val="000000"/>
                <w:szCs w:val="20"/>
                <w:lang w:val="it-IT"/>
              </w:rPr>
            </w:pPr>
            <w:r w:rsidRPr="00451078">
              <w:rPr>
                <w:rFonts w:cs="Tahoma"/>
                <w:color w:val="000000"/>
                <w:szCs w:val="20"/>
                <w:lang w:val="it-IT"/>
              </w:rPr>
              <w:t>Licenza di Gestione Server Standard per System Center Operations Manager 2007 R2</w:t>
            </w:r>
          </w:p>
        </w:tc>
        <w:tc>
          <w:tcPr>
            <w:tcW w:w="4050" w:type="dxa"/>
            <w:shd w:val="clear" w:color="auto" w:fill="FFFFFF"/>
          </w:tcPr>
          <w:p w:rsidR="00FF4CAB" w:rsidRPr="00451078" w:rsidRDefault="00FF4CAB" w:rsidP="00FF4CAB">
            <w:pPr>
              <w:rPr>
                <w:rFonts w:cs="Tahoma"/>
                <w:color w:val="000000"/>
                <w:szCs w:val="20"/>
                <w:lang w:val="it-IT"/>
              </w:rPr>
            </w:pPr>
            <w:r w:rsidRPr="00451078">
              <w:rPr>
                <w:rFonts w:cs="Tahoma"/>
                <w:color w:val="000000"/>
                <w:szCs w:val="20"/>
                <w:lang w:val="it-IT"/>
              </w:rPr>
              <w:t>1 Licenza di Gestione Server (Server ML) per System Center 2012 Standard</w:t>
            </w:r>
          </w:p>
        </w:tc>
      </w:tr>
      <w:tr w:rsidR="00FF4CAB" w:rsidRPr="005E4903" w:rsidTr="00CA14C9">
        <w:tc>
          <w:tcPr>
            <w:tcW w:w="3960" w:type="dxa"/>
            <w:shd w:val="clear" w:color="auto" w:fill="FFFFFF"/>
          </w:tcPr>
          <w:p w:rsidR="00FF4CAB" w:rsidRPr="00451078" w:rsidRDefault="00FF4CAB" w:rsidP="00FF4CAB">
            <w:pPr>
              <w:rPr>
                <w:rFonts w:cs="Tahoma"/>
                <w:color w:val="000000"/>
                <w:szCs w:val="20"/>
                <w:lang w:val="it-IT"/>
              </w:rPr>
            </w:pPr>
            <w:r w:rsidRPr="00451078">
              <w:rPr>
                <w:rFonts w:cs="Tahoma"/>
                <w:color w:val="000000"/>
                <w:szCs w:val="20"/>
                <w:lang w:val="it-IT"/>
              </w:rPr>
              <w:t>Licenza di Gestione Server Enterprise per System Center Operations Manager 2007 R2</w:t>
            </w:r>
          </w:p>
        </w:tc>
        <w:tc>
          <w:tcPr>
            <w:tcW w:w="4050" w:type="dxa"/>
            <w:shd w:val="clear" w:color="auto" w:fill="FFFFFF"/>
          </w:tcPr>
          <w:p w:rsidR="00FF4CAB" w:rsidRPr="00451078" w:rsidRDefault="00FF4CAB" w:rsidP="00FF4CAB">
            <w:pPr>
              <w:rPr>
                <w:rFonts w:cs="Tahoma"/>
                <w:color w:val="000000"/>
                <w:szCs w:val="20"/>
                <w:lang w:val="it-IT"/>
              </w:rPr>
            </w:pPr>
            <w:r w:rsidRPr="00451078">
              <w:rPr>
                <w:rFonts w:cs="Tahoma"/>
                <w:color w:val="000000"/>
                <w:szCs w:val="20"/>
                <w:lang w:val="it-IT"/>
              </w:rPr>
              <w:t>1 Licenza di Gestione Server (Server ML) per System Center 2012 Standard</w:t>
            </w:r>
          </w:p>
        </w:tc>
      </w:tr>
      <w:tr w:rsidR="00FF4CAB" w:rsidRPr="005E4903" w:rsidTr="00CA14C9">
        <w:tc>
          <w:tcPr>
            <w:tcW w:w="3960" w:type="dxa"/>
            <w:shd w:val="clear" w:color="auto" w:fill="FFFFFF"/>
          </w:tcPr>
          <w:p w:rsidR="00FF4CAB" w:rsidRPr="00451078" w:rsidRDefault="00FF4CAB" w:rsidP="00FF4CAB">
            <w:pPr>
              <w:rPr>
                <w:rFonts w:cs="Tahoma"/>
                <w:color w:val="000000"/>
                <w:szCs w:val="20"/>
                <w:lang w:val="it-IT"/>
              </w:rPr>
            </w:pPr>
            <w:r w:rsidRPr="00451078">
              <w:rPr>
                <w:rFonts w:cs="Tahoma"/>
                <w:color w:val="000000"/>
                <w:szCs w:val="20"/>
                <w:lang w:val="it-IT"/>
              </w:rPr>
              <w:t>Licenza di Gestione Client per OSE per System Center Operations Manager 2007 R2</w:t>
            </w:r>
          </w:p>
        </w:tc>
        <w:tc>
          <w:tcPr>
            <w:tcW w:w="4050" w:type="dxa"/>
            <w:shd w:val="clear" w:color="auto" w:fill="FFFFFF"/>
          </w:tcPr>
          <w:p w:rsidR="00FF4CAB" w:rsidRPr="00451078" w:rsidRDefault="00FF4CAB" w:rsidP="00FF4CAB">
            <w:pPr>
              <w:rPr>
                <w:rFonts w:cs="Tahoma"/>
                <w:color w:val="000000"/>
                <w:szCs w:val="20"/>
                <w:lang w:val="fr-FR"/>
              </w:rPr>
            </w:pPr>
            <w:r w:rsidRPr="00451078">
              <w:rPr>
                <w:rFonts w:cs="Tahoma"/>
                <w:color w:val="000000"/>
                <w:szCs w:val="20"/>
                <w:lang w:val="fr-FR"/>
              </w:rPr>
              <w:t>1 System Center 2012 Client Management Suite (Client ML) per OSE</w:t>
            </w:r>
          </w:p>
        </w:tc>
      </w:tr>
      <w:tr w:rsidR="00FF4CAB" w:rsidRPr="005E4903" w:rsidTr="00CA14C9">
        <w:tc>
          <w:tcPr>
            <w:tcW w:w="3960" w:type="dxa"/>
            <w:shd w:val="clear" w:color="auto" w:fill="FFFFFF"/>
          </w:tcPr>
          <w:p w:rsidR="00FF4CAB" w:rsidRPr="00451078" w:rsidRDefault="00FF4CAB" w:rsidP="00FF4CAB">
            <w:pPr>
              <w:rPr>
                <w:rFonts w:cs="Tahoma"/>
                <w:color w:val="000000"/>
                <w:szCs w:val="20"/>
                <w:lang w:val="it-IT"/>
              </w:rPr>
            </w:pPr>
            <w:r w:rsidRPr="00451078">
              <w:rPr>
                <w:rFonts w:cs="Tahoma"/>
                <w:color w:val="000000"/>
                <w:szCs w:val="20"/>
                <w:lang w:val="it-IT"/>
              </w:rPr>
              <w:t>Licenza di Gestione Client per Utente per System Center Operations Manager 2007 R2</w:t>
            </w:r>
          </w:p>
        </w:tc>
        <w:tc>
          <w:tcPr>
            <w:tcW w:w="4050" w:type="dxa"/>
            <w:shd w:val="clear" w:color="auto" w:fill="FFFFFF"/>
          </w:tcPr>
          <w:p w:rsidR="00FF4CAB" w:rsidRPr="00451078" w:rsidRDefault="00FF4CAB" w:rsidP="00FF4CAB">
            <w:pPr>
              <w:rPr>
                <w:rFonts w:cs="Tahoma"/>
                <w:color w:val="000000"/>
                <w:szCs w:val="20"/>
                <w:lang w:val="fr-FR"/>
              </w:rPr>
            </w:pPr>
            <w:r w:rsidRPr="00451078">
              <w:rPr>
                <w:rFonts w:cs="Tahoma"/>
                <w:color w:val="000000"/>
                <w:szCs w:val="20"/>
                <w:lang w:val="fr-FR"/>
              </w:rPr>
              <w:t>1 System Center 2012 Client Management Suite (Client ML) per Utente</w:t>
            </w:r>
          </w:p>
        </w:tc>
      </w:tr>
      <w:tr w:rsidR="00FF4CAB" w:rsidRPr="005E4903" w:rsidTr="00CA14C9">
        <w:tc>
          <w:tcPr>
            <w:tcW w:w="3960" w:type="dxa"/>
            <w:shd w:val="clear" w:color="auto" w:fill="FFFFFF"/>
          </w:tcPr>
          <w:p w:rsidR="00FF4CAB" w:rsidRPr="003410C7" w:rsidRDefault="00FF4CAB" w:rsidP="00FF4CAB">
            <w:pPr>
              <w:rPr>
                <w:rFonts w:cs="Tahoma"/>
                <w:color w:val="000000"/>
                <w:szCs w:val="20"/>
              </w:rPr>
            </w:pPr>
            <w:r w:rsidRPr="003410C7">
              <w:rPr>
                <w:rFonts w:cs="Tahoma"/>
                <w:color w:val="000000"/>
                <w:szCs w:val="20"/>
              </w:rPr>
              <w:t>System Center Server Management Suite Enterprise</w:t>
            </w:r>
          </w:p>
        </w:tc>
        <w:tc>
          <w:tcPr>
            <w:tcW w:w="4050" w:type="dxa"/>
            <w:shd w:val="clear" w:color="auto" w:fill="FFFFFF"/>
          </w:tcPr>
          <w:p w:rsidR="00FF4CAB" w:rsidRPr="00451078" w:rsidRDefault="00FF4CAB" w:rsidP="00FF4CAB">
            <w:pPr>
              <w:rPr>
                <w:rFonts w:cs="Tahoma"/>
                <w:color w:val="000000"/>
                <w:szCs w:val="20"/>
                <w:lang w:val="it-IT"/>
              </w:rPr>
            </w:pPr>
            <w:r w:rsidRPr="00451078">
              <w:rPr>
                <w:rFonts w:cs="Tahoma"/>
                <w:color w:val="000000"/>
                <w:szCs w:val="20"/>
                <w:lang w:val="it-IT"/>
              </w:rPr>
              <w:t>2 Licenze di Gestione Server (Server ML) per System Center 2012</w:t>
            </w:r>
          </w:p>
        </w:tc>
      </w:tr>
      <w:tr w:rsidR="00FF4CAB" w:rsidRPr="005E4903" w:rsidTr="00CA14C9">
        <w:tc>
          <w:tcPr>
            <w:tcW w:w="3960" w:type="dxa"/>
            <w:shd w:val="clear" w:color="auto" w:fill="FFFFFF"/>
          </w:tcPr>
          <w:p w:rsidR="00FF4CAB" w:rsidRPr="003410C7" w:rsidRDefault="00FF4CAB" w:rsidP="00FF4CAB">
            <w:pPr>
              <w:rPr>
                <w:rFonts w:cs="Tahoma"/>
                <w:color w:val="000000"/>
                <w:szCs w:val="20"/>
              </w:rPr>
            </w:pPr>
            <w:r w:rsidRPr="003410C7">
              <w:rPr>
                <w:rFonts w:cs="Tahoma"/>
                <w:color w:val="000000"/>
                <w:szCs w:val="20"/>
              </w:rPr>
              <w:t>System Center Server Management Suite Datacenter</w:t>
            </w:r>
          </w:p>
        </w:tc>
        <w:tc>
          <w:tcPr>
            <w:tcW w:w="4050" w:type="dxa"/>
            <w:shd w:val="clear" w:color="auto" w:fill="FFFFFF"/>
          </w:tcPr>
          <w:p w:rsidR="00FF4CAB" w:rsidRPr="00451078" w:rsidRDefault="00FF4CAB" w:rsidP="00FF4CAB">
            <w:pPr>
              <w:rPr>
                <w:rFonts w:cs="Tahoma"/>
                <w:color w:val="000000"/>
                <w:szCs w:val="20"/>
                <w:lang w:val="it-IT"/>
              </w:rPr>
            </w:pPr>
            <w:r w:rsidRPr="00451078">
              <w:rPr>
                <w:rFonts w:cs="Tahoma"/>
                <w:color w:val="000000"/>
                <w:szCs w:val="20"/>
                <w:lang w:val="it-IT"/>
              </w:rPr>
              <w:t>1 Licenza di Gestione Server (Server ML) per System Center 2012 Datacenter per ogni 2 licenze qualificanti per System Center Server Management Suite Datacenter</w:t>
            </w:r>
          </w:p>
        </w:tc>
      </w:tr>
      <w:tr w:rsidR="00FF4CAB" w:rsidRPr="005E4903" w:rsidTr="00CA14C9">
        <w:tc>
          <w:tcPr>
            <w:tcW w:w="3960" w:type="dxa"/>
            <w:shd w:val="clear" w:color="auto" w:fill="FFFFFF"/>
          </w:tcPr>
          <w:p w:rsidR="00FF4CAB" w:rsidRPr="003410C7" w:rsidRDefault="00FF4CAB" w:rsidP="00FF4CAB">
            <w:pPr>
              <w:rPr>
                <w:rFonts w:cs="Tahoma"/>
                <w:color w:val="000000"/>
                <w:szCs w:val="20"/>
              </w:rPr>
            </w:pPr>
            <w:r w:rsidRPr="003410C7">
              <w:rPr>
                <w:rFonts w:cs="Tahoma"/>
                <w:color w:val="000000"/>
                <w:szCs w:val="20"/>
              </w:rPr>
              <w:t>System Center Service Manager 2010</w:t>
            </w:r>
          </w:p>
        </w:tc>
        <w:tc>
          <w:tcPr>
            <w:tcW w:w="4050" w:type="dxa"/>
            <w:shd w:val="clear" w:color="auto" w:fill="FFFFFF"/>
          </w:tcPr>
          <w:p w:rsidR="00FF4CAB" w:rsidRPr="00451078" w:rsidRDefault="00FF4CAB" w:rsidP="00FF4CAB">
            <w:pPr>
              <w:rPr>
                <w:rFonts w:cs="Tahoma"/>
                <w:color w:val="000000"/>
                <w:szCs w:val="20"/>
                <w:lang w:val="it-IT"/>
              </w:rPr>
            </w:pPr>
            <w:r w:rsidRPr="00451078">
              <w:rPr>
                <w:rFonts w:cs="Tahoma"/>
                <w:color w:val="000000"/>
                <w:szCs w:val="20"/>
                <w:lang w:val="it-IT"/>
              </w:rPr>
              <w:t>1 Licenza di Gestione Server (Server ML) per System Center 2012 Standard</w:t>
            </w:r>
          </w:p>
        </w:tc>
      </w:tr>
      <w:tr w:rsidR="00FF4CAB" w:rsidRPr="005E4903" w:rsidTr="00CA14C9">
        <w:tc>
          <w:tcPr>
            <w:tcW w:w="3960" w:type="dxa"/>
            <w:shd w:val="clear" w:color="auto" w:fill="FFFFFF"/>
          </w:tcPr>
          <w:p w:rsidR="00FF4CAB" w:rsidRPr="00451078" w:rsidRDefault="00FF4CAB" w:rsidP="00FF4CAB">
            <w:pPr>
              <w:rPr>
                <w:rFonts w:cs="Tahoma"/>
                <w:color w:val="000000"/>
                <w:szCs w:val="20"/>
                <w:lang w:val="it-IT"/>
              </w:rPr>
            </w:pPr>
            <w:r w:rsidRPr="00451078">
              <w:rPr>
                <w:rFonts w:cs="Tahoma"/>
                <w:color w:val="000000"/>
                <w:szCs w:val="20"/>
                <w:lang w:val="it-IT"/>
              </w:rPr>
              <w:t>System Center Service Manager 2010 con Tecnologia SQL Server 2008</w:t>
            </w:r>
          </w:p>
        </w:tc>
        <w:tc>
          <w:tcPr>
            <w:tcW w:w="4050" w:type="dxa"/>
            <w:shd w:val="clear" w:color="auto" w:fill="FFFFFF"/>
          </w:tcPr>
          <w:p w:rsidR="00FF4CAB" w:rsidRPr="00451078" w:rsidRDefault="00FF4CAB" w:rsidP="00FF4CAB">
            <w:pPr>
              <w:rPr>
                <w:rFonts w:cs="Tahoma"/>
                <w:color w:val="000000"/>
                <w:szCs w:val="20"/>
                <w:lang w:val="it-IT"/>
              </w:rPr>
            </w:pPr>
            <w:r w:rsidRPr="00451078">
              <w:rPr>
                <w:rFonts w:cs="Tahoma"/>
                <w:color w:val="000000"/>
                <w:szCs w:val="20"/>
                <w:lang w:val="it-IT"/>
              </w:rPr>
              <w:t>1 Licenza di Gestione Server (Server ML) per System Center 2012 Standard</w:t>
            </w:r>
          </w:p>
        </w:tc>
      </w:tr>
      <w:tr w:rsidR="00FF4CAB" w:rsidRPr="005E4903" w:rsidTr="00CA14C9">
        <w:tc>
          <w:tcPr>
            <w:tcW w:w="3960" w:type="dxa"/>
            <w:shd w:val="clear" w:color="auto" w:fill="FFFFFF"/>
          </w:tcPr>
          <w:p w:rsidR="00FF4CAB" w:rsidRPr="00451078" w:rsidRDefault="00FF4CAB" w:rsidP="00FF4CAB">
            <w:pPr>
              <w:rPr>
                <w:rFonts w:cs="Tahoma"/>
                <w:color w:val="000000"/>
                <w:szCs w:val="20"/>
                <w:lang w:val="it-IT"/>
              </w:rPr>
            </w:pPr>
            <w:r w:rsidRPr="00451078">
              <w:rPr>
                <w:rFonts w:cs="Tahoma"/>
                <w:color w:val="000000"/>
                <w:szCs w:val="20"/>
                <w:lang w:val="it-IT"/>
              </w:rPr>
              <w:t>Licenza di Gestione Client (Client ML) per OSE per System Center Service Manager 2010</w:t>
            </w:r>
          </w:p>
        </w:tc>
        <w:tc>
          <w:tcPr>
            <w:tcW w:w="4050" w:type="dxa"/>
            <w:shd w:val="clear" w:color="auto" w:fill="FFFFFF"/>
          </w:tcPr>
          <w:p w:rsidR="00FF4CAB" w:rsidRPr="00451078" w:rsidRDefault="00FF4CAB" w:rsidP="00FF4CAB">
            <w:pPr>
              <w:rPr>
                <w:rFonts w:cs="Tahoma"/>
                <w:color w:val="000000"/>
                <w:szCs w:val="20"/>
                <w:lang w:val="fr-FR"/>
              </w:rPr>
            </w:pPr>
            <w:r w:rsidRPr="00451078">
              <w:rPr>
                <w:rFonts w:cs="Tahoma"/>
                <w:color w:val="000000"/>
                <w:szCs w:val="20"/>
                <w:lang w:val="fr-FR"/>
              </w:rPr>
              <w:t>1 System Center 2012 Client Management Suite (Client ML) per OSE</w:t>
            </w:r>
          </w:p>
        </w:tc>
      </w:tr>
      <w:tr w:rsidR="00FF4CAB" w:rsidRPr="005E4903" w:rsidTr="00CA14C9">
        <w:tc>
          <w:tcPr>
            <w:tcW w:w="3960" w:type="dxa"/>
            <w:shd w:val="clear" w:color="auto" w:fill="FFFFFF"/>
          </w:tcPr>
          <w:p w:rsidR="00FF4CAB" w:rsidRPr="00451078" w:rsidRDefault="00FF4CAB" w:rsidP="00FF4CAB">
            <w:pPr>
              <w:rPr>
                <w:rFonts w:cs="Tahoma"/>
                <w:color w:val="000000"/>
                <w:szCs w:val="20"/>
                <w:lang w:val="it-IT"/>
              </w:rPr>
            </w:pPr>
            <w:r w:rsidRPr="00451078">
              <w:rPr>
                <w:rFonts w:cs="Tahoma"/>
                <w:color w:val="000000"/>
                <w:szCs w:val="20"/>
                <w:lang w:val="it-IT"/>
              </w:rPr>
              <w:t>Licenza di Gestione Client (Client ML) per Utente per System Center Service Manager 2010</w:t>
            </w:r>
          </w:p>
        </w:tc>
        <w:tc>
          <w:tcPr>
            <w:tcW w:w="4050" w:type="dxa"/>
            <w:shd w:val="clear" w:color="auto" w:fill="FFFFFF"/>
          </w:tcPr>
          <w:p w:rsidR="00FF4CAB" w:rsidRPr="00451078" w:rsidRDefault="00FF4CAB" w:rsidP="00FF4CAB">
            <w:pPr>
              <w:rPr>
                <w:rFonts w:cs="Tahoma"/>
                <w:color w:val="000000"/>
                <w:szCs w:val="20"/>
                <w:lang w:val="fr-FR"/>
              </w:rPr>
            </w:pPr>
            <w:r w:rsidRPr="00451078">
              <w:rPr>
                <w:rFonts w:cs="Tahoma"/>
                <w:color w:val="000000"/>
                <w:szCs w:val="20"/>
                <w:lang w:val="fr-FR"/>
              </w:rPr>
              <w:t>1 System Center 2012 Client Management Suite (Client ML) per Utente</w:t>
            </w:r>
          </w:p>
        </w:tc>
      </w:tr>
      <w:tr w:rsidR="00FF4CAB" w:rsidRPr="005E4903" w:rsidTr="00CA14C9">
        <w:tc>
          <w:tcPr>
            <w:tcW w:w="3960" w:type="dxa"/>
            <w:shd w:val="clear" w:color="auto" w:fill="FFFFFF"/>
          </w:tcPr>
          <w:p w:rsidR="00FF4CAB" w:rsidRPr="00451078" w:rsidRDefault="00FF4CAB" w:rsidP="00FF4CAB">
            <w:pPr>
              <w:rPr>
                <w:rFonts w:cs="Tahoma"/>
                <w:color w:val="000000"/>
                <w:szCs w:val="20"/>
                <w:lang w:val="it-IT"/>
              </w:rPr>
            </w:pPr>
            <w:r w:rsidRPr="00451078">
              <w:rPr>
                <w:rFonts w:cs="Tahoma"/>
                <w:color w:val="000000"/>
                <w:szCs w:val="20"/>
                <w:lang w:val="it-IT"/>
              </w:rPr>
              <w:t xml:space="preserve">Licenza di Gestione Server (Server ML) per System Center Service Manager 2010 </w:t>
            </w:r>
          </w:p>
        </w:tc>
        <w:tc>
          <w:tcPr>
            <w:tcW w:w="4050" w:type="dxa"/>
            <w:shd w:val="clear" w:color="auto" w:fill="FFFFFF"/>
          </w:tcPr>
          <w:p w:rsidR="00FF4CAB" w:rsidRPr="00451078" w:rsidRDefault="00FF4CAB" w:rsidP="00FF4CAB">
            <w:pPr>
              <w:rPr>
                <w:rFonts w:cs="Tahoma"/>
                <w:color w:val="000000"/>
                <w:szCs w:val="20"/>
                <w:lang w:val="it-IT"/>
              </w:rPr>
            </w:pPr>
            <w:r w:rsidRPr="00451078">
              <w:rPr>
                <w:rFonts w:cs="Tahoma"/>
                <w:color w:val="000000"/>
                <w:szCs w:val="20"/>
                <w:lang w:val="it-IT"/>
              </w:rPr>
              <w:t>1 Licenza di Gestione Server (Server ML) per System Center 2012 Standard</w:t>
            </w:r>
          </w:p>
        </w:tc>
      </w:tr>
      <w:tr w:rsidR="00FF4CAB" w:rsidRPr="005E4903" w:rsidTr="00CA14C9">
        <w:tc>
          <w:tcPr>
            <w:tcW w:w="3960" w:type="dxa"/>
            <w:shd w:val="clear" w:color="auto" w:fill="FFFFFF"/>
          </w:tcPr>
          <w:p w:rsidR="00FF4CAB" w:rsidRPr="00451078" w:rsidRDefault="00FF4CAB" w:rsidP="00FF4CAB">
            <w:pPr>
              <w:rPr>
                <w:rFonts w:cs="Tahoma"/>
                <w:color w:val="000000"/>
                <w:szCs w:val="20"/>
                <w:lang w:val="it-IT"/>
              </w:rPr>
            </w:pPr>
            <w:r w:rsidRPr="00451078">
              <w:rPr>
                <w:rFonts w:cs="Tahoma"/>
                <w:color w:val="000000"/>
                <w:szCs w:val="20"/>
                <w:lang w:val="it-IT"/>
              </w:rPr>
              <w:t>Licenza di Gestione Client per OSE per System Center Virtual Machine Manager 2008 R2</w:t>
            </w:r>
          </w:p>
        </w:tc>
        <w:tc>
          <w:tcPr>
            <w:tcW w:w="4050" w:type="dxa"/>
            <w:shd w:val="clear" w:color="auto" w:fill="FFFFFF"/>
          </w:tcPr>
          <w:p w:rsidR="00FF4CAB" w:rsidRPr="00451078" w:rsidRDefault="00FF4CAB" w:rsidP="00FF4CAB">
            <w:pPr>
              <w:rPr>
                <w:rFonts w:cs="Tahoma"/>
                <w:color w:val="000000"/>
                <w:szCs w:val="20"/>
                <w:lang w:val="it-IT"/>
              </w:rPr>
            </w:pPr>
            <w:r w:rsidRPr="00451078">
              <w:rPr>
                <w:rFonts w:cs="Tahoma"/>
                <w:color w:val="000000"/>
                <w:szCs w:val="20"/>
                <w:lang w:val="it-IT"/>
              </w:rPr>
              <w:t>1 Licenza di Gestione Client (Client ML) per OSE per System Center Configuration Manager</w:t>
            </w:r>
          </w:p>
        </w:tc>
      </w:tr>
      <w:tr w:rsidR="00FF4CAB" w:rsidRPr="005E4903" w:rsidTr="00CA14C9">
        <w:tc>
          <w:tcPr>
            <w:tcW w:w="3960" w:type="dxa"/>
            <w:shd w:val="clear" w:color="auto" w:fill="FFFFFF"/>
          </w:tcPr>
          <w:p w:rsidR="00FF4CAB" w:rsidRPr="00451078" w:rsidRDefault="00FF4CAB" w:rsidP="00045273">
            <w:pPr>
              <w:rPr>
                <w:rFonts w:cs="Tahoma"/>
                <w:color w:val="000000"/>
                <w:szCs w:val="20"/>
                <w:lang w:val="it-IT"/>
              </w:rPr>
            </w:pPr>
            <w:r w:rsidRPr="00451078">
              <w:rPr>
                <w:rFonts w:cs="Tahoma"/>
                <w:color w:val="000000"/>
                <w:szCs w:val="20"/>
                <w:lang w:val="it-IT"/>
              </w:rPr>
              <w:t>Licenza di Gestione Client per Utente per System Center Virtual Machine Manager 2008</w:t>
            </w:r>
            <w:r w:rsidR="00045273" w:rsidRPr="00451078">
              <w:rPr>
                <w:rFonts w:cs="Tahoma"/>
                <w:color w:val="000000"/>
                <w:szCs w:val="20"/>
                <w:lang w:val="it-IT"/>
              </w:rPr>
              <w:t> </w:t>
            </w:r>
            <w:r w:rsidRPr="00451078">
              <w:rPr>
                <w:rFonts w:cs="Tahoma"/>
                <w:color w:val="000000"/>
                <w:szCs w:val="20"/>
                <w:lang w:val="it-IT"/>
              </w:rPr>
              <w:t>R2</w:t>
            </w:r>
          </w:p>
        </w:tc>
        <w:tc>
          <w:tcPr>
            <w:tcW w:w="4050" w:type="dxa"/>
            <w:shd w:val="clear" w:color="auto" w:fill="FFFFFF"/>
          </w:tcPr>
          <w:p w:rsidR="00FF4CAB" w:rsidRPr="00451078" w:rsidRDefault="00FF4CAB" w:rsidP="00FF4CAB">
            <w:pPr>
              <w:rPr>
                <w:rFonts w:cs="Tahoma"/>
                <w:color w:val="000000"/>
                <w:szCs w:val="20"/>
                <w:lang w:val="it-IT"/>
              </w:rPr>
            </w:pPr>
            <w:r w:rsidRPr="00451078">
              <w:rPr>
                <w:rFonts w:cs="Tahoma"/>
                <w:color w:val="000000"/>
                <w:szCs w:val="20"/>
                <w:lang w:val="it-IT"/>
              </w:rPr>
              <w:t>1 Licenza di Gestione Client (Client ML) per Utente per System Center Configuration Manager</w:t>
            </w:r>
          </w:p>
        </w:tc>
      </w:tr>
      <w:tr w:rsidR="00FF4CAB" w:rsidRPr="005E4903" w:rsidTr="00CA14C9">
        <w:tc>
          <w:tcPr>
            <w:tcW w:w="3960" w:type="dxa"/>
            <w:shd w:val="clear" w:color="auto" w:fill="FFFFFF"/>
          </w:tcPr>
          <w:p w:rsidR="00FF4CAB" w:rsidRPr="00451078" w:rsidRDefault="00FF4CAB" w:rsidP="00FF4CAB">
            <w:pPr>
              <w:rPr>
                <w:rFonts w:cs="Tahoma"/>
                <w:color w:val="000000"/>
                <w:szCs w:val="20"/>
                <w:lang w:val="it-IT"/>
              </w:rPr>
            </w:pPr>
            <w:r w:rsidRPr="00451078">
              <w:rPr>
                <w:rFonts w:cs="Tahoma"/>
                <w:color w:val="000000"/>
                <w:szCs w:val="20"/>
                <w:lang w:val="it-IT"/>
              </w:rPr>
              <w:t>Licenza di Gestione Server per System Center Virtual Machine Manager 2008 R2 Enterprise</w:t>
            </w:r>
          </w:p>
        </w:tc>
        <w:tc>
          <w:tcPr>
            <w:tcW w:w="4050" w:type="dxa"/>
            <w:shd w:val="clear" w:color="auto" w:fill="FFFFFF"/>
          </w:tcPr>
          <w:p w:rsidR="00FF4CAB" w:rsidRPr="00451078" w:rsidRDefault="00FF4CAB" w:rsidP="00FF4CAB">
            <w:pPr>
              <w:rPr>
                <w:rFonts w:cs="Tahoma"/>
                <w:color w:val="000000"/>
                <w:szCs w:val="20"/>
                <w:lang w:val="it-IT"/>
              </w:rPr>
            </w:pPr>
            <w:r w:rsidRPr="00451078">
              <w:rPr>
                <w:rFonts w:cs="Tahoma"/>
                <w:color w:val="000000"/>
                <w:szCs w:val="20"/>
                <w:lang w:val="it-IT"/>
              </w:rPr>
              <w:t>1 Licenza di Gestione Server (Server ML) per System Center 2012 Datacenter</w:t>
            </w:r>
          </w:p>
        </w:tc>
      </w:tr>
    </w:tbl>
    <w:p w:rsidR="00FF4CAB" w:rsidRPr="00451078" w:rsidRDefault="00FF4CAB" w:rsidP="00376D4B">
      <w:pPr>
        <w:ind w:left="720"/>
        <w:rPr>
          <w:lang w:val="it-IT"/>
        </w:rPr>
      </w:pPr>
      <w:r w:rsidRPr="00451078">
        <w:rPr>
          <w:rFonts w:cs="Tahoma"/>
          <w:i/>
          <w:color w:val="000000"/>
          <w:sz w:val="16"/>
          <w:szCs w:val="24"/>
          <w:vertAlign w:val="superscript"/>
          <w:lang w:val="it-IT"/>
        </w:rPr>
        <w:t>*</w:t>
      </w:r>
      <w:r w:rsidRPr="00451078">
        <w:rPr>
          <w:rFonts w:cs="Tahoma"/>
          <w:i/>
          <w:color w:val="000000"/>
          <w:sz w:val="16"/>
          <w:szCs w:val="24"/>
          <w:lang w:val="it-IT"/>
        </w:rPr>
        <w:t>Le Client ML Solo per Studenti sono disponibili per i PC di proprietà dello studente titolare della licenza o per i PC di proprietà dell</w:t>
      </w:r>
      <w:r w:rsidR="0073727D">
        <w:rPr>
          <w:rFonts w:cs="Tahoma"/>
          <w:i/>
          <w:color w:val="000000"/>
          <w:sz w:val="16"/>
          <w:szCs w:val="24"/>
          <w:lang w:val="it-IT"/>
        </w:rPr>
        <w:t>’</w:t>
      </w:r>
      <w:r w:rsidRPr="00451078">
        <w:rPr>
          <w:rFonts w:cs="Tahoma"/>
          <w:i/>
          <w:color w:val="000000"/>
          <w:sz w:val="16"/>
          <w:szCs w:val="24"/>
          <w:lang w:val="it-IT"/>
        </w:rPr>
        <w:t>istituto che siano assegnati solo a un singolo studente e non siano utilizzati nei laboratori o in classe</w:t>
      </w:r>
    </w:p>
    <w:p w:rsidR="00FF4CAB" w:rsidRPr="00451078" w:rsidRDefault="00FF4CAB" w:rsidP="00376D4B">
      <w:pPr>
        <w:ind w:left="720"/>
        <w:rPr>
          <w:lang w:val="it-IT"/>
        </w:rPr>
      </w:pPr>
    </w:p>
    <w:p w:rsidR="00FF4CAB" w:rsidRPr="00451078" w:rsidRDefault="00FF4CAB" w:rsidP="00E9261A">
      <w:pPr>
        <w:ind w:left="720"/>
        <w:rPr>
          <w:lang w:val="it-IT"/>
        </w:rPr>
      </w:pPr>
      <w:r w:rsidRPr="00451078">
        <w:rPr>
          <w:rFonts w:cs="Tahoma"/>
          <w:color w:val="000000"/>
          <w:szCs w:val="24"/>
          <w:lang w:val="it-IT"/>
        </w:rPr>
        <w:t>Tutte le licenze concesse ai sensi della presente offerta includeranno la copertura Software Assurance. Tale</w:t>
      </w:r>
      <w:r w:rsidR="00E9261A">
        <w:rPr>
          <w:rFonts w:cs="Tahoma"/>
          <w:color w:val="000000"/>
          <w:szCs w:val="24"/>
          <w:lang w:val="it-IT"/>
        </w:rPr>
        <w:t> </w:t>
      </w:r>
      <w:r w:rsidRPr="00451078">
        <w:rPr>
          <w:rFonts w:cs="Tahoma"/>
          <w:color w:val="000000"/>
          <w:szCs w:val="24"/>
          <w:lang w:val="it-IT"/>
        </w:rPr>
        <w:t>copertura cesserà alla scadenza della copertura Software Assurance qualificante corrispondente. Alla</w:t>
      </w:r>
      <w:r w:rsidR="00E9261A">
        <w:rPr>
          <w:rFonts w:cs="Tahoma"/>
          <w:color w:val="000000"/>
          <w:szCs w:val="24"/>
          <w:lang w:val="it-IT"/>
        </w:rPr>
        <w:t> </w:t>
      </w:r>
      <w:r w:rsidRPr="00451078">
        <w:rPr>
          <w:rFonts w:cs="Tahoma"/>
          <w:color w:val="000000"/>
          <w:szCs w:val="24"/>
          <w:lang w:val="it-IT"/>
        </w:rPr>
        <w:t xml:space="preserve">scadenza della copertura, le società potranno rinnovare Software Assurance sulle licenze concesse. </w:t>
      </w:r>
    </w:p>
    <w:p w:rsidR="00FF4CAB" w:rsidRPr="00451078" w:rsidRDefault="00FF4CAB" w:rsidP="00376D4B">
      <w:pPr>
        <w:ind w:left="720"/>
        <w:rPr>
          <w:lang w:val="it-IT"/>
        </w:rPr>
      </w:pPr>
    </w:p>
    <w:p w:rsidR="00FF4CAB" w:rsidRPr="00451078" w:rsidRDefault="00FF4CAB" w:rsidP="00376D4B">
      <w:pPr>
        <w:ind w:left="720"/>
        <w:rPr>
          <w:lang w:val="it-IT"/>
        </w:rPr>
      </w:pPr>
      <w:r w:rsidRPr="00451078">
        <w:rPr>
          <w:rFonts w:cs="Tahoma"/>
          <w:color w:val="000000"/>
          <w:szCs w:val="24"/>
          <w:lang w:val="it-IT"/>
        </w:rPr>
        <w:t>L</w:t>
      </w:r>
      <w:r w:rsidR="0073727D">
        <w:rPr>
          <w:rFonts w:cs="Tahoma"/>
          <w:color w:val="000000"/>
          <w:szCs w:val="24"/>
          <w:lang w:val="it-IT"/>
        </w:rPr>
        <w:t>’</w:t>
      </w:r>
      <w:r w:rsidRPr="00451078">
        <w:rPr>
          <w:rFonts w:cs="Tahoma"/>
          <w:color w:val="000000"/>
          <w:szCs w:val="24"/>
          <w:lang w:val="it-IT"/>
        </w:rPr>
        <w:t>utilizzo del software da parte della società ai sensi della presente offerta sarà soggetto alle condizioni del relativo contratto di licenza e ai diritti di utilizzo del prodotto relativi al software. Il diritto di utilizzo del software cesserà alla scadenza del diritto di utilizzo del software ai sensi delle licenze qualificanti. Questa Nota relativa al Prodotto insieme alla prova delle licenze qualificanti attesteranno il diritto della società di utilizzare System Center 2012 ai sensi delle condizioni della presente offerta. La società non avrà più il diritto</w:t>
      </w:r>
      <w:r w:rsidR="009F18F3" w:rsidRPr="00451078">
        <w:rPr>
          <w:rFonts w:cs="Tahoma"/>
          <w:color w:val="000000"/>
          <w:szCs w:val="24"/>
          <w:lang w:val="it-IT"/>
        </w:rPr>
        <w:t> </w:t>
      </w:r>
      <w:r w:rsidRPr="00451078">
        <w:rPr>
          <w:rFonts w:cs="Tahoma"/>
          <w:color w:val="000000"/>
          <w:szCs w:val="24"/>
          <w:lang w:val="it-IT"/>
        </w:rPr>
        <w:t>di utilizzo del software ai sensi di licenze qualificanti cedute al server al momento dell</w:t>
      </w:r>
      <w:r w:rsidR="0073727D">
        <w:rPr>
          <w:rFonts w:cs="Tahoma"/>
          <w:color w:val="000000"/>
          <w:szCs w:val="24"/>
          <w:lang w:val="it-IT"/>
        </w:rPr>
        <w:t>’</w:t>
      </w:r>
      <w:r w:rsidRPr="00451078">
        <w:rPr>
          <w:rFonts w:cs="Tahoma"/>
          <w:color w:val="000000"/>
          <w:szCs w:val="24"/>
          <w:lang w:val="it-IT"/>
        </w:rPr>
        <w:t xml:space="preserve">aggiornamento </w:t>
      </w:r>
      <w:r w:rsidRPr="00451078">
        <w:rPr>
          <w:rFonts w:cs="Tahoma"/>
          <w:color w:val="000000"/>
          <w:szCs w:val="24"/>
          <w:lang w:val="it-IT"/>
        </w:rPr>
        <w:lastRenderedPageBreak/>
        <w:t>a System Center 2012. Le società non potranno trasferire le licenze ottenute in base alla presente offerta separatamente dalle licenze qualificanti corrispondenti.</w:t>
      </w:r>
    </w:p>
    <w:p w:rsidR="00FF4CAB" w:rsidRPr="00451078" w:rsidRDefault="00FF4CAB" w:rsidP="00376D4B">
      <w:pPr>
        <w:ind w:left="720"/>
        <w:rPr>
          <w:lang w:val="it-IT"/>
        </w:rPr>
      </w:pPr>
    </w:p>
    <w:p w:rsidR="00924690" w:rsidRPr="00451078" w:rsidRDefault="00924690" w:rsidP="00924690">
      <w:pPr>
        <w:spacing w:after="60"/>
        <w:ind w:left="720"/>
        <w:rPr>
          <w:lang w:val="it-IT"/>
        </w:rPr>
      </w:pPr>
      <w:r w:rsidRPr="00451078">
        <w:rPr>
          <w:rFonts w:eastAsia="Calibri" w:cs="Tahoma"/>
          <w:b/>
          <w:color w:val="000000"/>
          <w:szCs w:val="18"/>
          <w:lang w:val="it-IT"/>
        </w:rPr>
        <w:t>Per le Società con Contratti Enterprise</w:t>
      </w:r>
    </w:p>
    <w:p w:rsidR="00A3706D" w:rsidRPr="00E9261A" w:rsidRDefault="00A3706D" w:rsidP="00376D4B">
      <w:pPr>
        <w:ind w:left="720"/>
        <w:rPr>
          <w:szCs w:val="18"/>
          <w:lang w:val="it-IT"/>
        </w:rPr>
      </w:pPr>
      <w:r w:rsidRPr="00E9261A">
        <w:rPr>
          <w:rFonts w:eastAsia="Calibri" w:cs="Tahoma"/>
          <w:color w:val="000000"/>
          <w:szCs w:val="18"/>
          <w:lang w:val="it-IT"/>
        </w:rPr>
        <w:t>Le licenze</w:t>
      </w:r>
      <w:r w:rsidRPr="00E9261A">
        <w:rPr>
          <w:rFonts w:eastAsia="Calibri" w:cs="Tahoma"/>
          <w:b/>
          <w:bCs/>
          <w:color w:val="000000"/>
          <w:szCs w:val="18"/>
          <w:vertAlign w:val="superscript"/>
          <w:lang w:val="it-IT"/>
        </w:rPr>
        <w:t xml:space="preserve">* </w:t>
      </w:r>
      <w:r w:rsidRPr="00E9261A">
        <w:rPr>
          <w:rFonts w:eastAsia="Calibri" w:cs="Tahoma"/>
          <w:color w:val="000000"/>
          <w:szCs w:val="18"/>
          <w:lang w:val="it-IT"/>
        </w:rPr>
        <w:t>acquistate il giorno stesso o in un giorno precedente la prima ricorrenza della data di entrata in vigore dell</w:t>
      </w:r>
      <w:r w:rsidR="0073727D">
        <w:rPr>
          <w:rFonts w:eastAsia="Calibri" w:cs="Tahoma"/>
          <w:color w:val="000000"/>
          <w:szCs w:val="18"/>
          <w:lang w:val="it-IT"/>
        </w:rPr>
        <w:t>’</w:t>
      </w:r>
      <w:r w:rsidRPr="00E9261A">
        <w:rPr>
          <w:rFonts w:eastAsia="Calibri" w:cs="Tahoma"/>
          <w:color w:val="000000"/>
          <w:szCs w:val="18"/>
          <w:lang w:val="it-IT"/>
        </w:rPr>
        <w:t>iscrizione di una società dopo il 17 gennaio 2012 nell</w:t>
      </w:r>
      <w:r w:rsidR="0073727D">
        <w:rPr>
          <w:rFonts w:eastAsia="Calibri" w:cs="Tahoma"/>
          <w:color w:val="000000"/>
          <w:szCs w:val="18"/>
          <w:lang w:val="it-IT"/>
        </w:rPr>
        <w:t>’</w:t>
      </w:r>
      <w:r w:rsidRPr="00E9261A">
        <w:rPr>
          <w:rFonts w:eastAsia="Calibri" w:cs="Tahoma"/>
          <w:color w:val="000000"/>
          <w:szCs w:val="18"/>
          <w:lang w:val="it-IT"/>
        </w:rPr>
        <w:t>ambito della procedura annuale di true-up di</w:t>
      </w:r>
      <w:r w:rsidR="009F18F3" w:rsidRPr="00E9261A">
        <w:rPr>
          <w:rFonts w:eastAsia="Calibri" w:cs="Tahoma"/>
          <w:color w:val="000000"/>
          <w:szCs w:val="18"/>
          <w:lang w:val="it-IT"/>
        </w:rPr>
        <w:t> </w:t>
      </w:r>
      <w:r w:rsidRPr="00E9261A">
        <w:rPr>
          <w:rFonts w:eastAsia="Calibri" w:cs="Tahoma"/>
          <w:color w:val="000000"/>
          <w:szCs w:val="18"/>
          <w:lang w:val="it-IT"/>
        </w:rPr>
        <w:t>una società si qualificano per la concessione di licenze descritta sopra. Le licenze acquistate dopo tale data non si qualificheranno per alcuna concessione di licenze per System Center 2012 ai sensi della presente</w:t>
      </w:r>
      <w:r w:rsidR="009F18F3" w:rsidRPr="00E9261A">
        <w:rPr>
          <w:rFonts w:eastAsia="Calibri" w:cs="Tahoma"/>
          <w:color w:val="000000"/>
          <w:szCs w:val="18"/>
          <w:lang w:val="it-IT"/>
        </w:rPr>
        <w:t> </w:t>
      </w:r>
      <w:r w:rsidRPr="00E9261A">
        <w:rPr>
          <w:rFonts w:eastAsia="Calibri" w:cs="Tahoma"/>
          <w:color w:val="000000"/>
          <w:szCs w:val="18"/>
          <w:lang w:val="it-IT"/>
        </w:rPr>
        <w:t xml:space="preserve">offerta. </w:t>
      </w:r>
    </w:p>
    <w:p w:rsidR="00924690" w:rsidRPr="00451078" w:rsidRDefault="00924690" w:rsidP="00376D4B">
      <w:pPr>
        <w:ind w:left="720"/>
        <w:rPr>
          <w:lang w:val="it-IT"/>
        </w:rPr>
      </w:pPr>
    </w:p>
    <w:p w:rsidR="00A3706D" w:rsidRPr="00451078" w:rsidRDefault="00A3706D" w:rsidP="00376D4B">
      <w:pPr>
        <w:ind w:left="720"/>
        <w:rPr>
          <w:rFonts w:eastAsia="Calibri" w:cs="Tahoma"/>
          <w:color w:val="000000"/>
          <w:spacing w:val="-2"/>
          <w:szCs w:val="18"/>
          <w:lang w:val="it-IT"/>
        </w:rPr>
      </w:pPr>
      <w:r w:rsidRPr="00451078">
        <w:rPr>
          <w:rFonts w:eastAsia="Calibri" w:cs="Tahoma"/>
          <w:b/>
          <w:bCs/>
          <w:color w:val="000000"/>
          <w:spacing w:val="-2"/>
          <w:szCs w:val="18"/>
          <w:vertAlign w:val="superscript"/>
          <w:lang w:val="it-IT"/>
        </w:rPr>
        <w:t>*</w:t>
      </w:r>
      <w:r w:rsidRPr="00451078">
        <w:rPr>
          <w:rFonts w:eastAsia="Calibri" w:cs="Tahoma"/>
          <w:color w:val="000000"/>
          <w:spacing w:val="-2"/>
          <w:szCs w:val="18"/>
          <w:lang w:val="it-IT"/>
        </w:rPr>
        <w:t>Per quanto riguarda System Center Server Management Suite Enterprise, System Center Server Management Suite Datacenter, System Center Client Management Suite e System Center Configuration Manager Client Management License, tutte le licenze acquistate fino alla scadenza del contratto si qualificano per la concessione.</w:t>
      </w:r>
    </w:p>
    <w:p w:rsidR="004E422F" w:rsidRPr="00451078" w:rsidRDefault="004E422F" w:rsidP="00376D4B">
      <w:pPr>
        <w:ind w:left="720"/>
        <w:rPr>
          <w:spacing w:val="-2"/>
          <w:lang w:val="it-IT"/>
        </w:rPr>
      </w:pPr>
    </w:p>
    <w:p w:rsidR="00924690" w:rsidRPr="00451078" w:rsidRDefault="00FF4CAB" w:rsidP="00924690">
      <w:pPr>
        <w:spacing w:after="60"/>
        <w:ind w:left="720"/>
        <w:rPr>
          <w:lang w:val="it-IT"/>
        </w:rPr>
      </w:pPr>
      <w:r w:rsidRPr="00451078">
        <w:rPr>
          <w:rFonts w:eastAsia="Calibri" w:cs="Tahoma"/>
          <w:b/>
          <w:color w:val="000000"/>
          <w:szCs w:val="18"/>
          <w:lang w:val="it-IT"/>
        </w:rPr>
        <w:t>Per le Società con Contratti Enterprise Subscription, Campus e School (tra cui Enrollment for Education Solutions) e Open Value Subscription</w:t>
      </w:r>
    </w:p>
    <w:p w:rsidR="00FF4CAB" w:rsidRPr="00451078" w:rsidRDefault="00FF4CAB" w:rsidP="00376D4B">
      <w:pPr>
        <w:ind w:left="720"/>
        <w:rPr>
          <w:lang w:val="it-IT"/>
        </w:rPr>
      </w:pPr>
      <w:r w:rsidRPr="00451078">
        <w:rPr>
          <w:rFonts w:cs="Tahoma"/>
          <w:bCs/>
          <w:color w:val="000000"/>
          <w:szCs w:val="18"/>
          <w:lang w:val="it-IT"/>
        </w:rPr>
        <w:t>Le licenze sono concesse ai sensi delle medesime condizioni, ma temporaneamente, fino al termine del periodo di validità dell</w:t>
      </w:r>
      <w:r w:rsidR="0073727D">
        <w:rPr>
          <w:rFonts w:cs="Tahoma"/>
          <w:bCs/>
          <w:color w:val="000000"/>
          <w:szCs w:val="18"/>
          <w:lang w:val="it-IT"/>
        </w:rPr>
        <w:t>’</w:t>
      </w:r>
      <w:r w:rsidRPr="00451078">
        <w:rPr>
          <w:rFonts w:cs="Tahoma"/>
          <w:bCs/>
          <w:color w:val="000000"/>
          <w:szCs w:val="18"/>
          <w:lang w:val="it-IT"/>
        </w:rPr>
        <w:t>iscrizione Enterprise Subscription, del contratto Campus, School o Open Value Subscription oppure di Enrollment for Education Solutions, a condizione che la società mantenga la copertura della sottoscrizione in via continuativa.</w:t>
      </w:r>
      <w:r w:rsidR="00082E1C" w:rsidRPr="00451078">
        <w:rPr>
          <w:rFonts w:cs="Tahoma"/>
          <w:bCs/>
          <w:color w:val="000000"/>
          <w:szCs w:val="18"/>
          <w:lang w:val="it-IT"/>
        </w:rPr>
        <w:t xml:space="preserve"> </w:t>
      </w:r>
      <w:r w:rsidRPr="00451078">
        <w:rPr>
          <w:rFonts w:cs="Tahoma"/>
          <w:bCs/>
          <w:color w:val="000000"/>
          <w:szCs w:val="18"/>
          <w:lang w:val="it-IT"/>
        </w:rPr>
        <w:t>Le società che scelgono di eseguire il buy-out delle licenze</w:t>
      </w:r>
      <w:r w:rsidR="009F18F3" w:rsidRPr="00451078">
        <w:rPr>
          <w:rFonts w:cs="Tahoma"/>
          <w:bCs/>
          <w:color w:val="000000"/>
          <w:szCs w:val="18"/>
          <w:lang w:val="it-IT"/>
        </w:rPr>
        <w:t> </w:t>
      </w:r>
      <w:r w:rsidRPr="00451078">
        <w:rPr>
          <w:rFonts w:cs="Tahoma"/>
          <w:bCs/>
          <w:color w:val="000000"/>
          <w:szCs w:val="18"/>
          <w:lang w:val="it-IT"/>
        </w:rPr>
        <w:t>hanno due opzioni.</w:t>
      </w:r>
      <w:r w:rsidR="00082E1C" w:rsidRPr="00451078">
        <w:rPr>
          <w:rFonts w:cs="Tahoma"/>
          <w:bCs/>
          <w:color w:val="000000"/>
          <w:szCs w:val="18"/>
          <w:lang w:val="it-IT"/>
        </w:rPr>
        <w:t xml:space="preserve"> </w:t>
      </w:r>
    </w:p>
    <w:p w:rsidR="00FF4CAB" w:rsidRPr="00451078" w:rsidRDefault="00FF4CAB" w:rsidP="00376D4B">
      <w:pPr>
        <w:ind w:left="720"/>
        <w:rPr>
          <w:lang w:val="it-IT"/>
        </w:rPr>
      </w:pPr>
    </w:p>
    <w:p w:rsidR="00FF4CAB" w:rsidRPr="00451078" w:rsidRDefault="00FF4CAB" w:rsidP="00376D4B">
      <w:pPr>
        <w:ind w:left="720"/>
        <w:rPr>
          <w:lang w:val="it-IT"/>
        </w:rPr>
      </w:pPr>
      <w:r w:rsidRPr="00451078">
        <w:rPr>
          <w:rFonts w:cs="Tahoma"/>
          <w:bCs/>
          <w:color w:val="000000"/>
          <w:szCs w:val="18"/>
          <w:lang w:val="it-IT"/>
        </w:rPr>
        <w:t>Opzione 1: acquistare licenze per i prodotti System Center corrispondenti alle licenze qualificanti della società. In base a questa opzione la società non sarà idonea ad aggiungere Software Assurance alla licenza o a utilizzare System Center 2012 o qualsiasi altra versione successiva del software System Center.</w:t>
      </w:r>
    </w:p>
    <w:p w:rsidR="00FF4CAB" w:rsidRPr="00451078" w:rsidRDefault="00FF4CAB" w:rsidP="00376D4B">
      <w:pPr>
        <w:ind w:left="720"/>
        <w:rPr>
          <w:lang w:val="it-IT"/>
        </w:rPr>
      </w:pPr>
    </w:p>
    <w:p w:rsidR="00FF4CAB" w:rsidRPr="00451078" w:rsidRDefault="00FF4CAB" w:rsidP="00376D4B">
      <w:pPr>
        <w:ind w:left="720"/>
        <w:rPr>
          <w:lang w:val="it-IT"/>
        </w:rPr>
      </w:pPr>
      <w:r w:rsidRPr="00451078">
        <w:rPr>
          <w:rFonts w:cs="Tahoma"/>
          <w:bCs/>
          <w:color w:val="000000"/>
          <w:szCs w:val="18"/>
          <w:lang w:val="it-IT"/>
        </w:rPr>
        <w:t>Opzione 2: acquistare licenze per System Center 2012 corrispondenti alle licenze qualificanti della società.</w:t>
      </w:r>
      <w:r w:rsidR="00082E1C" w:rsidRPr="00451078">
        <w:rPr>
          <w:rFonts w:cs="Tahoma"/>
          <w:bCs/>
          <w:color w:val="000000"/>
          <w:szCs w:val="18"/>
          <w:lang w:val="it-IT"/>
        </w:rPr>
        <w:t xml:space="preserve"> </w:t>
      </w:r>
      <w:r w:rsidRPr="00451078">
        <w:rPr>
          <w:rFonts w:cs="Tahoma"/>
          <w:bCs/>
          <w:color w:val="000000"/>
          <w:szCs w:val="18"/>
          <w:lang w:val="it-IT"/>
        </w:rPr>
        <w:t>In</w:t>
      </w:r>
      <w:r w:rsidR="009F18F3" w:rsidRPr="00451078">
        <w:rPr>
          <w:rFonts w:cs="Tahoma"/>
          <w:bCs/>
          <w:color w:val="000000"/>
          <w:szCs w:val="18"/>
          <w:lang w:val="it-IT"/>
        </w:rPr>
        <w:t> </w:t>
      </w:r>
      <w:r w:rsidRPr="00451078">
        <w:rPr>
          <w:rFonts w:cs="Tahoma"/>
          <w:bCs/>
          <w:color w:val="000000"/>
          <w:szCs w:val="18"/>
          <w:lang w:val="it-IT"/>
        </w:rPr>
        <w:t>base a questa opzione la società sarà idonea ad aggiungere Software Assurance.</w:t>
      </w:r>
    </w:p>
    <w:p w:rsidR="00FF4CAB" w:rsidRPr="00451078" w:rsidRDefault="00FF4CAB" w:rsidP="00376D4B">
      <w:pPr>
        <w:ind w:left="720"/>
        <w:rPr>
          <w:lang w:val="it-IT"/>
        </w:rPr>
      </w:pPr>
    </w:p>
    <w:p w:rsidR="00924690" w:rsidRPr="00451078" w:rsidRDefault="00FF4CAB" w:rsidP="00924690">
      <w:pPr>
        <w:spacing w:after="60"/>
        <w:ind w:left="720"/>
        <w:rPr>
          <w:lang w:val="it-IT"/>
        </w:rPr>
      </w:pPr>
      <w:r w:rsidRPr="00451078">
        <w:rPr>
          <w:rFonts w:eastAsia="Calibri" w:cs="Tahoma"/>
          <w:b/>
          <w:color w:val="000000"/>
          <w:szCs w:val="18"/>
          <w:lang w:val="it-IT"/>
        </w:rPr>
        <w:t>Concessione di Licenza Alternativa per System Center 2012 Standard per le Società in possesso di Server con Più di Due Processori</w:t>
      </w:r>
    </w:p>
    <w:p w:rsidR="00FF4CAB" w:rsidRPr="00451078" w:rsidRDefault="00FF4CAB" w:rsidP="00C80F8A">
      <w:pPr>
        <w:ind w:left="720"/>
        <w:rPr>
          <w:lang w:val="it-IT"/>
        </w:rPr>
      </w:pPr>
      <w:r w:rsidRPr="00451078">
        <w:rPr>
          <w:rFonts w:cs="Tahoma"/>
          <w:szCs w:val="18"/>
          <w:lang w:val="it-IT"/>
        </w:rPr>
        <w:t>Ciascuna Server ML per System Center 2012 Standard copre fino a due processori di un server fisico.</w:t>
      </w:r>
      <w:r w:rsidR="00082E1C" w:rsidRPr="00451078">
        <w:rPr>
          <w:rFonts w:cs="Tahoma"/>
          <w:szCs w:val="18"/>
          <w:lang w:val="it-IT"/>
        </w:rPr>
        <w:t xml:space="preserve"> </w:t>
      </w:r>
      <w:r w:rsidRPr="00451078">
        <w:rPr>
          <w:rFonts w:cs="Tahoma"/>
          <w:szCs w:val="18"/>
          <w:lang w:val="it-IT"/>
        </w:rPr>
        <w:t>Le</w:t>
      </w:r>
      <w:r w:rsidR="00C80F8A">
        <w:rPr>
          <w:rFonts w:cs="Tahoma"/>
          <w:szCs w:val="18"/>
          <w:lang w:val="it-IT"/>
        </w:rPr>
        <w:t> </w:t>
      </w:r>
      <w:r w:rsidRPr="00451078">
        <w:rPr>
          <w:rFonts w:cs="Tahoma"/>
          <w:szCs w:val="18"/>
          <w:lang w:val="it-IT"/>
        </w:rPr>
        <w:t>società titolari di licenze qualificanti cedute a server con più di due processori in data 1 aprile 2012 o alla</w:t>
      </w:r>
      <w:r w:rsidR="009F18F3" w:rsidRPr="00451078">
        <w:rPr>
          <w:rFonts w:cs="Tahoma"/>
          <w:szCs w:val="18"/>
          <w:lang w:val="it-IT"/>
        </w:rPr>
        <w:t> </w:t>
      </w:r>
      <w:r w:rsidRPr="00451078">
        <w:rPr>
          <w:rFonts w:cs="Tahoma"/>
          <w:szCs w:val="18"/>
          <w:lang w:val="it-IT"/>
        </w:rPr>
        <w:t>prima ricorrenza annuale della società dopo il 17 gennaio 2012, a seconda di quale delle due date si verificherà per ultima, potranno scegliere una concessione alternativa di un numero di Server ML per System Center 2012 Standard pari al numero di processori fisici sul server gestito diviso per due.</w:t>
      </w:r>
      <w:r w:rsidR="00082E1C" w:rsidRPr="00451078">
        <w:rPr>
          <w:rFonts w:cs="Tahoma"/>
          <w:szCs w:val="18"/>
          <w:lang w:val="it-IT"/>
        </w:rPr>
        <w:t xml:space="preserve"> </w:t>
      </w:r>
      <w:r w:rsidRPr="00451078">
        <w:rPr>
          <w:rFonts w:cs="Tahoma"/>
          <w:szCs w:val="18"/>
          <w:lang w:val="it-IT"/>
        </w:rPr>
        <w:t>Il server dovrà disporre di una licenza completa per consentire la gestione degli ambienti del sistema operativo sul quel server ai sensi delle condizioni delle licenze qualificanti al momento della concessione.</w:t>
      </w:r>
      <w:r w:rsidR="00082E1C" w:rsidRPr="00451078">
        <w:rPr>
          <w:rFonts w:cs="Tahoma"/>
          <w:szCs w:val="18"/>
          <w:lang w:val="it-IT"/>
        </w:rPr>
        <w:t xml:space="preserve"> </w:t>
      </w:r>
      <w:r w:rsidRPr="00451078">
        <w:rPr>
          <w:rFonts w:cs="Tahoma"/>
          <w:szCs w:val="18"/>
          <w:lang w:val="it-IT"/>
        </w:rPr>
        <w:t>La concessione alternativa garantisce che i server della società continuino a disporre di una licenza completa per tutto il periodo della transizione. La società dovrà documentare il numero di processori fisici presenti nel server gestito utilizzando lo strumento Microsoft MAP o un software equivalente.</w:t>
      </w:r>
      <w:r w:rsidR="00082E1C" w:rsidRPr="00451078">
        <w:rPr>
          <w:rFonts w:cs="Tahoma"/>
          <w:szCs w:val="18"/>
          <w:lang w:val="it-IT"/>
        </w:rPr>
        <w:t xml:space="preserve"> </w:t>
      </w:r>
      <w:r w:rsidRPr="00451078">
        <w:rPr>
          <w:rFonts w:cs="Tahoma"/>
          <w:szCs w:val="18"/>
          <w:lang w:val="it-IT"/>
        </w:rPr>
        <w:t>Questa documentazione insieme alla prova delle licenze qualificanti e alla presente Nota relativa al Prodotto attesteranno il diritto della società di utilizzare System Center 2012 ai sensi delle condizioni della presente offerta. La società non avrà</w:t>
      </w:r>
      <w:r w:rsidR="009F18F3" w:rsidRPr="00451078">
        <w:rPr>
          <w:rFonts w:cs="Tahoma"/>
          <w:szCs w:val="18"/>
          <w:lang w:val="it-IT"/>
        </w:rPr>
        <w:t> </w:t>
      </w:r>
      <w:r w:rsidRPr="00451078">
        <w:rPr>
          <w:rFonts w:cs="Tahoma"/>
          <w:szCs w:val="18"/>
          <w:lang w:val="it-IT"/>
        </w:rPr>
        <w:t>più il diritto di utilizzo del software ai sensi di licenze qualificanti cedute al server al momento dell</w:t>
      </w:r>
      <w:r w:rsidR="0073727D">
        <w:rPr>
          <w:rFonts w:cs="Tahoma"/>
          <w:szCs w:val="18"/>
          <w:lang w:val="it-IT"/>
        </w:rPr>
        <w:t>’</w:t>
      </w:r>
      <w:r w:rsidRPr="00451078">
        <w:rPr>
          <w:rFonts w:cs="Tahoma"/>
          <w:szCs w:val="18"/>
          <w:lang w:val="it-IT"/>
        </w:rPr>
        <w:t>aggiornamento a System Center 2012.</w:t>
      </w:r>
      <w:r w:rsidRPr="00451078">
        <w:rPr>
          <w:rFonts w:cs="Tahoma"/>
          <w:color w:val="000000"/>
          <w:lang w:val="it-IT"/>
        </w:rPr>
        <w:t xml:space="preserve"> Le società non potranno trasferire le licenze ottenute in base</w:t>
      </w:r>
      <w:r w:rsidR="009F18F3" w:rsidRPr="00451078">
        <w:rPr>
          <w:rFonts w:cs="Tahoma"/>
          <w:color w:val="000000"/>
          <w:lang w:val="it-IT"/>
        </w:rPr>
        <w:t> </w:t>
      </w:r>
      <w:r w:rsidRPr="00451078">
        <w:rPr>
          <w:rFonts w:cs="Tahoma"/>
          <w:color w:val="000000"/>
          <w:lang w:val="it-IT"/>
        </w:rPr>
        <w:t>alla</w:t>
      </w:r>
      <w:r w:rsidR="009F18F3" w:rsidRPr="00451078">
        <w:rPr>
          <w:rFonts w:cs="Tahoma"/>
          <w:color w:val="000000"/>
          <w:lang w:val="it-IT"/>
        </w:rPr>
        <w:t> </w:t>
      </w:r>
      <w:r w:rsidRPr="00451078">
        <w:rPr>
          <w:rFonts w:cs="Tahoma"/>
          <w:color w:val="000000"/>
          <w:lang w:val="it-IT"/>
        </w:rPr>
        <w:t>presente offerta separatamente dalle licenze qualificanti corrispondenti.</w:t>
      </w:r>
    </w:p>
    <w:p w:rsidR="00FF4CAB" w:rsidRPr="00451078" w:rsidRDefault="00FF4CAB" w:rsidP="00376D4B">
      <w:pPr>
        <w:tabs>
          <w:tab w:val="left" w:pos="2970"/>
        </w:tabs>
        <w:ind w:left="720"/>
        <w:contextualSpacing/>
        <w:rPr>
          <w:lang w:val="it-IT"/>
        </w:rPr>
      </w:pPr>
    </w:p>
    <w:p w:rsidR="00924690" w:rsidRPr="00451078" w:rsidRDefault="00FF4CAB" w:rsidP="00924690">
      <w:pPr>
        <w:spacing w:after="60"/>
        <w:ind w:left="720"/>
        <w:rPr>
          <w:lang w:val="it-IT"/>
        </w:rPr>
      </w:pPr>
      <w:r w:rsidRPr="00451078">
        <w:rPr>
          <w:rFonts w:eastAsia="Calibri" w:cs="Tahoma"/>
          <w:b/>
          <w:color w:val="000000"/>
          <w:szCs w:val="18"/>
          <w:lang w:val="it-IT"/>
        </w:rPr>
        <w:t>Concessione di Licenza Alternativa per System Center 2012 Datacenter per le Società in possesso di licenze qualificanti per Virtual Machine Manager (Enterprise Server ML per VMM)</w:t>
      </w:r>
    </w:p>
    <w:p w:rsidR="00FF4CAB" w:rsidRDefault="00FF4CAB" w:rsidP="00376D4B">
      <w:pPr>
        <w:tabs>
          <w:tab w:val="left" w:pos="2970"/>
        </w:tabs>
        <w:ind w:left="720"/>
        <w:contextualSpacing/>
        <w:rPr>
          <w:rFonts w:cs="Tahoma"/>
          <w:color w:val="000000"/>
          <w:szCs w:val="24"/>
          <w:lang w:val="it-IT"/>
        </w:rPr>
      </w:pPr>
      <w:r w:rsidRPr="00451078">
        <w:rPr>
          <w:rFonts w:cs="Tahoma"/>
          <w:szCs w:val="18"/>
          <w:lang w:val="it-IT"/>
        </w:rPr>
        <w:t>Le società titolari di Enterprise Server ML qualificanti per VMM cedute a server con più di due processori in data 1 aprile 2012 o alla prima ricorrenza annuale della società dopo il 17 gennaio 2012, a seconda di quale delle due date si verificherà per ultima, potranno scegliere una concessione alternativa di un numero di Server ML per System Center 2012 Datacenter pari al numero di processori fisici sul server gestito diviso per</w:t>
      </w:r>
      <w:r w:rsidR="009F18F3" w:rsidRPr="00451078">
        <w:rPr>
          <w:rFonts w:cs="Tahoma"/>
          <w:szCs w:val="18"/>
          <w:lang w:val="it-IT"/>
        </w:rPr>
        <w:t> </w:t>
      </w:r>
      <w:r w:rsidRPr="00451078">
        <w:rPr>
          <w:rFonts w:cs="Tahoma"/>
          <w:szCs w:val="18"/>
          <w:lang w:val="it-IT"/>
        </w:rPr>
        <w:t>due.</w:t>
      </w:r>
      <w:r w:rsidR="00082E1C" w:rsidRPr="00451078">
        <w:rPr>
          <w:rFonts w:cs="Tahoma"/>
          <w:szCs w:val="18"/>
          <w:lang w:val="it-IT"/>
        </w:rPr>
        <w:t xml:space="preserve"> </w:t>
      </w:r>
      <w:r w:rsidRPr="00451078">
        <w:rPr>
          <w:rFonts w:cs="Tahoma"/>
          <w:szCs w:val="18"/>
          <w:lang w:val="it-IT"/>
        </w:rPr>
        <w:t>La concessione alternativa garantisce che i server della società continuino a disporre di una licenza completa per tutto il periodo della transizione. La società dovrà documentare il numero di processori fisici presenti nel server gestito utilizzando lo strumento Microsoft MAP o un software equivalente.</w:t>
      </w:r>
      <w:r w:rsidR="00082E1C" w:rsidRPr="00451078">
        <w:rPr>
          <w:rFonts w:cs="Tahoma"/>
          <w:szCs w:val="18"/>
          <w:lang w:val="it-IT"/>
        </w:rPr>
        <w:t xml:space="preserve"> </w:t>
      </w:r>
      <w:r w:rsidRPr="00451078">
        <w:rPr>
          <w:rFonts w:cs="Tahoma"/>
          <w:szCs w:val="18"/>
          <w:lang w:val="it-IT"/>
        </w:rPr>
        <w:t xml:space="preserve">Questa documentazione insieme alla prova delle licenze qualificanti e alla presente Nota relativa al Prodotto attesteranno il diritto della società di utilizzare System Center 2012 ai sensi delle condizioni della presente </w:t>
      </w:r>
      <w:r w:rsidRPr="00451078">
        <w:rPr>
          <w:rFonts w:cs="Tahoma"/>
          <w:szCs w:val="18"/>
          <w:lang w:val="it-IT"/>
        </w:rPr>
        <w:lastRenderedPageBreak/>
        <w:t>offerta. La società non avrà più il diritto di utilizzo del software ai sensi di licenze qualificanti cedute al</w:t>
      </w:r>
      <w:r w:rsidR="004E422F" w:rsidRPr="00451078">
        <w:rPr>
          <w:rFonts w:cs="Tahoma"/>
          <w:szCs w:val="18"/>
          <w:lang w:val="it-IT"/>
        </w:rPr>
        <w:t> </w:t>
      </w:r>
      <w:r w:rsidRPr="00451078">
        <w:rPr>
          <w:rFonts w:cs="Tahoma"/>
          <w:szCs w:val="18"/>
          <w:lang w:val="it-IT"/>
        </w:rPr>
        <w:t>server</w:t>
      </w:r>
      <w:r w:rsidR="004E422F" w:rsidRPr="00451078">
        <w:rPr>
          <w:rFonts w:cs="Tahoma"/>
          <w:szCs w:val="18"/>
          <w:lang w:val="it-IT"/>
        </w:rPr>
        <w:t> </w:t>
      </w:r>
      <w:r w:rsidRPr="00451078">
        <w:rPr>
          <w:rFonts w:cs="Tahoma"/>
          <w:szCs w:val="18"/>
          <w:lang w:val="it-IT"/>
        </w:rPr>
        <w:t>al momento dell</w:t>
      </w:r>
      <w:r w:rsidR="0073727D">
        <w:rPr>
          <w:rFonts w:cs="Tahoma"/>
          <w:szCs w:val="18"/>
          <w:lang w:val="it-IT"/>
        </w:rPr>
        <w:t>’</w:t>
      </w:r>
      <w:r w:rsidRPr="00451078">
        <w:rPr>
          <w:rFonts w:cs="Tahoma"/>
          <w:szCs w:val="18"/>
          <w:lang w:val="it-IT"/>
        </w:rPr>
        <w:t>aggiornamento a System Center 2012.</w:t>
      </w:r>
      <w:r w:rsidRPr="00451078">
        <w:rPr>
          <w:rFonts w:cs="Tahoma"/>
          <w:color w:val="000000"/>
          <w:szCs w:val="24"/>
          <w:lang w:val="it-IT"/>
        </w:rPr>
        <w:t xml:space="preserve"> Le società non potranno trasferire le</w:t>
      </w:r>
      <w:r w:rsidR="004E422F" w:rsidRPr="00451078">
        <w:rPr>
          <w:rFonts w:cs="Tahoma"/>
          <w:color w:val="000000"/>
          <w:szCs w:val="24"/>
          <w:lang w:val="it-IT"/>
        </w:rPr>
        <w:t> </w:t>
      </w:r>
      <w:r w:rsidRPr="00451078">
        <w:rPr>
          <w:rFonts w:cs="Tahoma"/>
          <w:color w:val="000000"/>
          <w:szCs w:val="24"/>
          <w:lang w:val="it-IT"/>
        </w:rPr>
        <w:t>licenze ottenute in base alla presente offerta separatamente dalle licenze qualificanti corrispondenti.</w:t>
      </w:r>
    </w:p>
    <w:p w:rsidR="0076160E" w:rsidRPr="00451078" w:rsidRDefault="0076160E" w:rsidP="00376D4B">
      <w:pPr>
        <w:tabs>
          <w:tab w:val="left" w:pos="2970"/>
        </w:tabs>
        <w:ind w:left="720"/>
        <w:contextualSpacing/>
        <w:rPr>
          <w:lang w:val="it-IT"/>
        </w:rPr>
      </w:pPr>
    </w:p>
    <w:p w:rsidR="009B12B7" w:rsidRPr="00451078" w:rsidRDefault="00FF4CAB" w:rsidP="00924690">
      <w:pPr>
        <w:spacing w:after="60"/>
        <w:ind w:left="720"/>
        <w:rPr>
          <w:lang w:val="it-IT"/>
        </w:rPr>
      </w:pPr>
      <w:r w:rsidRPr="00451078">
        <w:rPr>
          <w:rFonts w:eastAsia="Calibri" w:cs="Tahoma"/>
          <w:b/>
          <w:color w:val="000000"/>
          <w:szCs w:val="18"/>
          <w:lang w:val="it-IT"/>
        </w:rPr>
        <w:t>Società che Rinnovano Software Assurance Prima del 1 Ottobre 2012</w:t>
      </w:r>
    </w:p>
    <w:p w:rsidR="009B12B7" w:rsidRPr="00451078" w:rsidRDefault="00DC4FEC" w:rsidP="00376D4B">
      <w:pPr>
        <w:ind w:left="720"/>
        <w:rPr>
          <w:lang w:val="it-IT"/>
        </w:rPr>
      </w:pPr>
      <w:r w:rsidRPr="00451078">
        <w:rPr>
          <w:rFonts w:cs="Tahoma"/>
          <w:color w:val="000000"/>
          <w:szCs w:val="18"/>
          <w:lang w:val="it-IT"/>
        </w:rPr>
        <w:t xml:space="preserve">Le società titolari di contratti Academic, Open e Open Value </w:t>
      </w:r>
      <w:r w:rsidRPr="00451078">
        <w:rPr>
          <w:rFonts w:cs="Tahoma"/>
          <w:szCs w:val="18"/>
          <w:lang w:val="it-IT"/>
        </w:rPr>
        <w:t>che rinnovano Software Assurance per System</w:t>
      </w:r>
      <w:r w:rsidR="009F18F3" w:rsidRPr="00451078">
        <w:rPr>
          <w:rFonts w:cs="Tahoma"/>
          <w:szCs w:val="18"/>
          <w:lang w:val="it-IT"/>
        </w:rPr>
        <w:t> </w:t>
      </w:r>
      <w:r w:rsidRPr="00451078">
        <w:rPr>
          <w:rFonts w:cs="Tahoma"/>
          <w:szCs w:val="18"/>
          <w:lang w:val="it-IT"/>
        </w:rPr>
        <w:t>Center 2012 prima del 1 ottobre 2012 saranno idonee a rinnovare la copertura</w:t>
      </w:r>
      <w:r w:rsidRPr="00451078">
        <w:rPr>
          <w:rFonts w:cs="Tahoma"/>
          <w:color w:val="000000"/>
          <w:szCs w:val="18"/>
          <w:lang w:val="it-IT"/>
        </w:rPr>
        <w:t xml:space="preserve"> per le licenze che li</w:t>
      </w:r>
      <w:r w:rsidR="009F18F3" w:rsidRPr="00451078">
        <w:rPr>
          <w:rFonts w:cs="Tahoma"/>
          <w:color w:val="000000"/>
          <w:szCs w:val="18"/>
          <w:lang w:val="it-IT"/>
        </w:rPr>
        <w:t> </w:t>
      </w:r>
      <w:r w:rsidRPr="00451078">
        <w:rPr>
          <w:rFonts w:cs="Tahoma"/>
          <w:color w:val="000000"/>
          <w:szCs w:val="18"/>
          <w:lang w:val="it-IT"/>
        </w:rPr>
        <w:t xml:space="preserve">qualificano per la concessione di licenza per System Center 2012 (ciascuna, una </w:t>
      </w:r>
      <w:r w:rsidR="001A3EC5" w:rsidRPr="00451078">
        <w:rPr>
          <w:rFonts w:cs="Tahoma"/>
          <w:color w:val="000000"/>
          <w:szCs w:val="18"/>
          <w:lang w:val="it-IT"/>
        </w:rPr>
        <w:t>“</w:t>
      </w:r>
      <w:r w:rsidRPr="00451078">
        <w:rPr>
          <w:rFonts w:cs="Tahoma"/>
          <w:color w:val="000000"/>
          <w:szCs w:val="18"/>
          <w:lang w:val="it-IT"/>
        </w:rPr>
        <w:t>licenza qualificante</w:t>
      </w:r>
      <w:r w:rsidR="001A3EC5" w:rsidRPr="00451078">
        <w:rPr>
          <w:rFonts w:cs="Tahoma"/>
          <w:color w:val="000000"/>
          <w:szCs w:val="18"/>
          <w:lang w:val="it-IT"/>
        </w:rPr>
        <w:t>”</w:t>
      </w:r>
      <w:r w:rsidRPr="00451078">
        <w:rPr>
          <w:rFonts w:cs="Tahoma"/>
          <w:color w:val="000000"/>
          <w:szCs w:val="18"/>
          <w:lang w:val="it-IT"/>
        </w:rPr>
        <w:t>).</w:t>
      </w:r>
      <w:r w:rsidR="00082E1C" w:rsidRPr="00451078">
        <w:rPr>
          <w:rFonts w:cs="Tahoma"/>
          <w:color w:val="000000"/>
          <w:szCs w:val="18"/>
          <w:lang w:val="it-IT"/>
        </w:rPr>
        <w:t xml:space="preserve"> </w:t>
      </w:r>
      <w:r w:rsidRPr="00451078">
        <w:rPr>
          <w:rFonts w:cs="Tahoma"/>
          <w:color w:val="000000"/>
          <w:szCs w:val="18"/>
          <w:lang w:val="it-IT"/>
        </w:rPr>
        <w:t>Rinnovando la copertura per una licenza qualificante, una società rinnoverà automaticamente la copertura per la licenza o le licenze per System Center 2012 corrispondenti fornite attraverso la concessione.</w:t>
      </w:r>
      <w:r w:rsidR="00082E1C" w:rsidRPr="00451078">
        <w:rPr>
          <w:rFonts w:cs="Tahoma"/>
          <w:color w:val="000000"/>
          <w:szCs w:val="18"/>
          <w:lang w:val="it-IT"/>
        </w:rPr>
        <w:t xml:space="preserve"> </w:t>
      </w:r>
      <w:r w:rsidRPr="00451078">
        <w:rPr>
          <w:rFonts w:cs="Tahoma"/>
          <w:color w:val="000000"/>
          <w:szCs w:val="18"/>
          <w:lang w:val="it-IT"/>
        </w:rPr>
        <w:t>Di</w:t>
      </w:r>
      <w:r w:rsidR="009F18F3" w:rsidRPr="00451078">
        <w:rPr>
          <w:rFonts w:cs="Tahoma"/>
          <w:color w:val="000000"/>
          <w:szCs w:val="18"/>
          <w:lang w:val="it-IT"/>
        </w:rPr>
        <w:t> </w:t>
      </w:r>
      <w:r w:rsidRPr="00451078">
        <w:rPr>
          <w:rFonts w:cs="Tahoma"/>
          <w:color w:val="000000"/>
          <w:szCs w:val="18"/>
          <w:lang w:val="it-IT"/>
        </w:rPr>
        <w:t>conseguenza, la società sarà idonea per qualsiasi versione successiva di System Center 2012 resa disponibile durante il periodo di validità rinnovato della copertura Software Assurance e sarà altresì idonea a rinnovare la copertura per System Center 2012 sulla base dei prezzi per il rinnovo di System Center 2012 in vigore in quel momento, alla scadenza della copertura ordinata ai sensi della presente offerta. Nonostante il</w:t>
      </w:r>
      <w:r w:rsidR="009F18F3" w:rsidRPr="00451078">
        <w:rPr>
          <w:rFonts w:cs="Tahoma"/>
          <w:color w:val="000000"/>
          <w:szCs w:val="18"/>
          <w:lang w:val="it-IT"/>
        </w:rPr>
        <w:t> </w:t>
      </w:r>
      <w:r w:rsidRPr="00451078">
        <w:rPr>
          <w:rFonts w:cs="Tahoma"/>
          <w:color w:val="000000"/>
          <w:szCs w:val="18"/>
          <w:lang w:val="it-IT"/>
        </w:rPr>
        <w:t>rinnovo di Software Assurance per le licenze qualificanti, le condizioni della concessione di licenza per System Center 2012 rimangono pienamente vincolanti ed efficaci.</w:t>
      </w:r>
      <w:r w:rsidR="00082E1C" w:rsidRPr="00451078">
        <w:rPr>
          <w:rFonts w:cs="Tahoma"/>
          <w:color w:val="000000"/>
          <w:szCs w:val="18"/>
          <w:lang w:val="it-IT"/>
        </w:rPr>
        <w:t xml:space="preserve"> </w:t>
      </w:r>
      <w:r w:rsidRPr="00451078">
        <w:rPr>
          <w:rFonts w:cs="Tahoma"/>
          <w:color w:val="000000"/>
          <w:szCs w:val="18"/>
          <w:lang w:val="it-IT"/>
        </w:rPr>
        <w:t>Di conseguenza, le società non potranno</w:t>
      </w:r>
      <w:r w:rsidR="009F18F3" w:rsidRPr="00451078">
        <w:rPr>
          <w:rFonts w:cs="Tahoma"/>
          <w:color w:val="000000"/>
          <w:szCs w:val="18"/>
          <w:lang w:val="it-IT"/>
        </w:rPr>
        <w:t> </w:t>
      </w:r>
      <w:r w:rsidRPr="00451078">
        <w:rPr>
          <w:rFonts w:cs="Tahoma"/>
          <w:color w:val="000000"/>
          <w:szCs w:val="18"/>
          <w:lang w:val="it-IT"/>
        </w:rPr>
        <w:t>utilizzare contemporaneamente software ai sensi sia di una licenza qualificante che delle licenze</w:t>
      </w:r>
      <w:r w:rsidR="009F18F3" w:rsidRPr="00451078">
        <w:rPr>
          <w:rFonts w:cs="Tahoma"/>
          <w:color w:val="000000"/>
          <w:szCs w:val="18"/>
          <w:lang w:val="it-IT"/>
        </w:rPr>
        <w:t> </w:t>
      </w:r>
      <w:r w:rsidRPr="00451078">
        <w:rPr>
          <w:rFonts w:cs="Tahoma"/>
          <w:color w:val="000000"/>
          <w:szCs w:val="18"/>
          <w:lang w:val="it-IT"/>
        </w:rPr>
        <w:t>corrispondenti per System Center 2012.</w:t>
      </w:r>
      <w:r w:rsidR="00082E1C" w:rsidRPr="00451078">
        <w:rPr>
          <w:rFonts w:cs="Tahoma"/>
          <w:color w:val="000000"/>
          <w:szCs w:val="18"/>
          <w:lang w:val="it-IT"/>
        </w:rPr>
        <w:t xml:space="preserve"> </w:t>
      </w:r>
      <w:r w:rsidRPr="00451078">
        <w:rPr>
          <w:rFonts w:cs="Tahoma"/>
          <w:color w:val="000000"/>
          <w:szCs w:val="18"/>
          <w:lang w:val="it-IT"/>
        </w:rPr>
        <w:t>Licenza e Software Assurance (L&amp;SA) per le nuove licenze acquistate in occasione del rinnovo dovrà essere ordinata sulla base dei prezzi per System Center 2012. </w:t>
      </w:r>
    </w:p>
    <w:p w:rsidR="009B12B7" w:rsidRPr="00451078" w:rsidRDefault="009B12B7" w:rsidP="00376D4B">
      <w:pPr>
        <w:ind w:left="720"/>
        <w:rPr>
          <w:lang w:val="it-IT"/>
        </w:rPr>
      </w:pPr>
    </w:p>
    <w:p w:rsidR="00FF4CAB" w:rsidRPr="00451078" w:rsidRDefault="009B12B7" w:rsidP="00376D4B">
      <w:pPr>
        <w:ind w:left="720"/>
        <w:rPr>
          <w:lang w:val="it-IT"/>
        </w:rPr>
      </w:pPr>
      <w:r w:rsidRPr="00451078">
        <w:rPr>
          <w:rFonts w:cs="Tahoma"/>
          <w:szCs w:val="18"/>
          <w:lang w:val="it-IT"/>
        </w:rPr>
        <w:t>Analogamente qualsiasi altra società che rinnovi Software Assurance prima del 1 ottobre 2012 per le licenze</w:t>
      </w:r>
      <w:r w:rsidR="009F18F3" w:rsidRPr="00451078">
        <w:rPr>
          <w:rFonts w:cs="Tahoma"/>
          <w:szCs w:val="18"/>
          <w:lang w:val="it-IT"/>
        </w:rPr>
        <w:t> </w:t>
      </w:r>
      <w:r w:rsidRPr="00451078">
        <w:rPr>
          <w:rFonts w:cs="Tahoma"/>
          <w:szCs w:val="18"/>
          <w:lang w:val="it-IT"/>
        </w:rPr>
        <w:t>per System Center 2012 concesse ai sensi della presente offerta potrà essere idonea a rinnovare la copertura, sulla base dei prezzi per Software Assurance, per le licenze che li qualificano per la concessione.</w:t>
      </w:r>
      <w:r w:rsidR="00082E1C" w:rsidRPr="00451078">
        <w:rPr>
          <w:rFonts w:cs="Tahoma"/>
          <w:szCs w:val="18"/>
          <w:lang w:val="it-IT"/>
        </w:rPr>
        <w:t xml:space="preserve"> </w:t>
      </w:r>
      <w:r w:rsidRPr="00451078">
        <w:rPr>
          <w:rFonts w:cs="Tahoma"/>
          <w:szCs w:val="18"/>
          <w:lang w:val="it-IT"/>
        </w:rPr>
        <w:t>Per dettagli, le società dovranno contattare il proprio rivenditore o l</w:t>
      </w:r>
      <w:r w:rsidR="0073727D">
        <w:rPr>
          <w:rFonts w:cs="Tahoma"/>
          <w:szCs w:val="18"/>
          <w:lang w:val="it-IT"/>
        </w:rPr>
        <w:t>’</w:t>
      </w:r>
      <w:r w:rsidRPr="00451078">
        <w:rPr>
          <w:rFonts w:cs="Tahoma"/>
          <w:szCs w:val="18"/>
          <w:lang w:val="it-IT"/>
        </w:rPr>
        <w:t>account manager designato da Microsoft.</w:t>
      </w:r>
      <w:r w:rsidR="00082E1C" w:rsidRPr="00451078">
        <w:rPr>
          <w:rFonts w:cs="Tahoma"/>
          <w:szCs w:val="18"/>
          <w:lang w:val="it-IT"/>
        </w:rPr>
        <w:t xml:space="preserve"> </w:t>
      </w:r>
      <w:r w:rsidRPr="00451078">
        <w:rPr>
          <w:rFonts w:cs="Tahoma"/>
          <w:szCs w:val="18"/>
          <w:lang w:val="it-IT"/>
        </w:rPr>
        <w:t>Tale offerta non si applica al rinnovo di Software Assurance per le licenze di gestione client per</w:t>
      </w:r>
      <w:r w:rsidR="009F18F3" w:rsidRPr="00451078">
        <w:rPr>
          <w:rFonts w:cs="Tahoma"/>
          <w:szCs w:val="18"/>
          <w:lang w:val="it-IT"/>
        </w:rPr>
        <w:t> </w:t>
      </w:r>
      <w:r w:rsidRPr="00451078">
        <w:rPr>
          <w:rFonts w:cs="Tahoma"/>
          <w:szCs w:val="18"/>
          <w:lang w:val="it-IT"/>
        </w:rPr>
        <w:t>System Center Client Management Suite e System Center Configuration Manager.</w:t>
      </w:r>
    </w:p>
    <w:p w:rsidR="00FF4CAB" w:rsidRPr="00451078" w:rsidRDefault="00FF4CAB" w:rsidP="00924690">
      <w:pPr>
        <w:rPr>
          <w:lang w:val="it-IT"/>
        </w:rPr>
      </w:pPr>
    </w:p>
    <w:p w:rsidR="00FF4CAB" w:rsidRPr="00451078" w:rsidRDefault="00FF4CAB" w:rsidP="00FF4CAB">
      <w:pPr>
        <w:rPr>
          <w:lang w:val="it-IT"/>
        </w:rPr>
      </w:pPr>
    </w:p>
    <w:p w:rsidR="00916E81" w:rsidRPr="00451078" w:rsidRDefault="00AF6526" w:rsidP="002D35ED">
      <w:pPr>
        <w:pStyle w:val="Heading3"/>
        <w:rPr>
          <w:lang w:val="it-IT"/>
        </w:rPr>
      </w:pPr>
      <w:bookmarkStart w:id="1463" w:name="_103_System_Center"/>
      <w:bookmarkStart w:id="1464" w:name="_91_System_Center"/>
      <w:bookmarkStart w:id="1465" w:name="Srv_102SysCtr2012EndpointProt"/>
      <w:bookmarkStart w:id="1466" w:name="_Toc336338359"/>
      <w:bookmarkStart w:id="1467" w:name="_Toc352234943"/>
      <w:bookmarkEnd w:id="1463"/>
      <w:bookmarkEnd w:id="1464"/>
      <w:r w:rsidRPr="00451078">
        <w:rPr>
          <w:rFonts w:ascii="Tahoma" w:hAnsi="Tahoma" w:cs="Tahoma"/>
          <w:caps/>
          <w:color w:val="F66400"/>
          <w:sz w:val="22"/>
          <w:szCs w:val="22"/>
          <w:vertAlign w:val="superscript"/>
          <w:lang w:val="it-IT"/>
        </w:rPr>
        <w:t>90</w:t>
      </w:r>
      <w:r w:rsidRPr="00451078">
        <w:rPr>
          <w:rFonts w:ascii="Tahoma" w:hAnsi="Tahoma" w:cs="Tahoma"/>
          <w:color w:val="F66400"/>
          <w:sz w:val="22"/>
          <w:szCs w:val="22"/>
          <w:lang w:val="it-IT"/>
        </w:rPr>
        <w:t xml:space="preserve"> System Center 2012 Endpoint Protection</w:t>
      </w:r>
      <w:bookmarkEnd w:id="1465"/>
      <w:bookmarkEnd w:id="1466"/>
      <w:bookmarkEnd w:id="1467"/>
    </w:p>
    <w:p w:rsidR="00916E81" w:rsidRPr="00451078" w:rsidRDefault="00916E81" w:rsidP="00C21BCF">
      <w:pPr>
        <w:ind w:left="720"/>
        <w:rPr>
          <w:lang w:val="it-IT"/>
        </w:rPr>
      </w:pPr>
    </w:p>
    <w:p w:rsidR="00C21BCF" w:rsidRPr="00451078" w:rsidRDefault="00A0581B" w:rsidP="00A0581B">
      <w:pPr>
        <w:spacing w:after="60"/>
        <w:ind w:left="720"/>
        <w:rPr>
          <w:lang w:val="it-IT"/>
        </w:rPr>
      </w:pPr>
      <w:r w:rsidRPr="00451078">
        <w:rPr>
          <w:rFonts w:eastAsia="Calibri" w:cs="Tahoma"/>
          <w:b/>
          <w:szCs w:val="18"/>
          <w:lang w:val="it-IT"/>
        </w:rPr>
        <w:t>Aggiornamenti/Downgrade</w:t>
      </w:r>
    </w:p>
    <w:p w:rsidR="00C21BCF" w:rsidRPr="00451078" w:rsidRDefault="00C21BCF" w:rsidP="00C21BCF">
      <w:pPr>
        <w:ind w:left="720"/>
        <w:rPr>
          <w:lang w:val="it-IT"/>
        </w:rPr>
      </w:pPr>
      <w:r w:rsidRPr="00451078">
        <w:rPr>
          <w:rFonts w:eastAsia="Calibri" w:cs="Tahoma"/>
          <w:szCs w:val="18"/>
          <w:lang w:val="it-IT"/>
        </w:rPr>
        <w:t>A partire dal 1 aprile 2012 l</w:t>
      </w:r>
      <w:r w:rsidR="0073727D">
        <w:rPr>
          <w:rFonts w:eastAsia="Calibri" w:cs="Tahoma"/>
          <w:szCs w:val="18"/>
          <w:lang w:val="it-IT"/>
        </w:rPr>
        <w:t>’</w:t>
      </w:r>
      <w:r w:rsidRPr="00451078">
        <w:rPr>
          <w:rFonts w:eastAsia="Calibri" w:cs="Tahoma"/>
          <w:szCs w:val="18"/>
          <w:lang w:val="it-IT"/>
        </w:rPr>
        <w:t>applicazione Forefront Endpoint Protection è diventata System Center 2012 Endpoint Protection. System Center 2012 Endpoint Protection, trattandosi di un</w:t>
      </w:r>
      <w:r w:rsidR="0073727D">
        <w:rPr>
          <w:rFonts w:eastAsia="Calibri" w:cs="Tahoma"/>
          <w:szCs w:val="18"/>
          <w:lang w:val="it-IT"/>
        </w:rPr>
        <w:t>’</w:t>
      </w:r>
      <w:r w:rsidRPr="00451078">
        <w:rPr>
          <w:rFonts w:eastAsia="Calibri" w:cs="Tahoma"/>
          <w:szCs w:val="18"/>
          <w:lang w:val="it-IT"/>
        </w:rPr>
        <w:t>offerta standalone, conferisce diritti sull</w:t>
      </w:r>
      <w:r w:rsidR="0073727D">
        <w:rPr>
          <w:rFonts w:eastAsia="Calibri" w:cs="Tahoma"/>
          <w:szCs w:val="18"/>
          <w:lang w:val="it-IT"/>
        </w:rPr>
        <w:t>’</w:t>
      </w:r>
      <w:r w:rsidRPr="00451078">
        <w:rPr>
          <w:rFonts w:eastAsia="Calibri" w:cs="Tahoma"/>
          <w:szCs w:val="18"/>
          <w:lang w:val="it-IT"/>
        </w:rPr>
        <w:t>utilizzo solo per proteggere i dispositivi client. I diritti sull</w:t>
      </w:r>
      <w:r w:rsidR="0073727D">
        <w:rPr>
          <w:rFonts w:eastAsia="Calibri" w:cs="Tahoma"/>
          <w:szCs w:val="18"/>
          <w:lang w:val="it-IT"/>
        </w:rPr>
        <w:t>’</w:t>
      </w:r>
      <w:r w:rsidRPr="00451078">
        <w:rPr>
          <w:rFonts w:eastAsia="Calibri" w:cs="Tahoma"/>
          <w:szCs w:val="18"/>
          <w:lang w:val="it-IT"/>
        </w:rPr>
        <w:t>utilizzo per la protezione dei dispositivi server possono essere acquistati solo tramite l</w:t>
      </w:r>
      <w:r w:rsidR="0073727D">
        <w:rPr>
          <w:rFonts w:eastAsia="Calibri" w:cs="Tahoma"/>
          <w:szCs w:val="18"/>
          <w:lang w:val="it-IT"/>
        </w:rPr>
        <w:t>’</w:t>
      </w:r>
      <w:r w:rsidRPr="00451078">
        <w:rPr>
          <w:rFonts w:eastAsia="Calibri" w:cs="Tahoma"/>
          <w:szCs w:val="18"/>
          <w:lang w:val="it-IT"/>
        </w:rPr>
        <w:t>acquisto di licenze di gestione server per System Center 2012 Standard o Datacenter.</w:t>
      </w:r>
    </w:p>
    <w:p w:rsidR="00C21BCF" w:rsidRPr="00451078" w:rsidRDefault="00C21BCF" w:rsidP="00C21BCF">
      <w:pPr>
        <w:ind w:left="720"/>
        <w:rPr>
          <w:lang w:val="it-IT"/>
        </w:rPr>
      </w:pPr>
    </w:p>
    <w:p w:rsidR="00C21BCF" w:rsidRPr="00451078" w:rsidRDefault="00C21BCF" w:rsidP="00C21BCF">
      <w:pPr>
        <w:ind w:left="720"/>
        <w:rPr>
          <w:lang w:val="it-IT"/>
        </w:rPr>
      </w:pPr>
      <w:r w:rsidRPr="00451078">
        <w:rPr>
          <w:rFonts w:eastAsia="Calibri" w:cs="Tahoma"/>
          <w:szCs w:val="18"/>
          <w:lang w:val="it-IT"/>
        </w:rPr>
        <w:t>Gli utenti con sottoscrizioni di Forefront Endpoint Protection attive che utilizzano il servizio per proteggere i</w:t>
      </w:r>
      <w:r w:rsidR="009F18F3" w:rsidRPr="00451078">
        <w:rPr>
          <w:rFonts w:eastAsia="Calibri" w:cs="Tahoma"/>
          <w:szCs w:val="18"/>
          <w:lang w:val="it-IT"/>
        </w:rPr>
        <w:t> </w:t>
      </w:r>
      <w:r w:rsidRPr="00451078">
        <w:rPr>
          <w:rFonts w:eastAsia="Calibri" w:cs="Tahoma"/>
          <w:szCs w:val="18"/>
          <w:lang w:val="it-IT"/>
        </w:rPr>
        <w:t>dispositivi client possono effettuare l</w:t>
      </w:r>
      <w:r w:rsidR="0073727D">
        <w:rPr>
          <w:rFonts w:eastAsia="Calibri" w:cs="Tahoma"/>
          <w:szCs w:val="18"/>
          <w:lang w:val="it-IT"/>
        </w:rPr>
        <w:t>’</w:t>
      </w:r>
      <w:r w:rsidRPr="00451078">
        <w:rPr>
          <w:rFonts w:eastAsia="Calibri" w:cs="Tahoma"/>
          <w:szCs w:val="18"/>
          <w:lang w:val="it-IT"/>
        </w:rPr>
        <w:t>aggiornamento a System Center 2012 Endpoint Protection e utilizzare l</w:t>
      </w:r>
      <w:r w:rsidR="0073727D">
        <w:rPr>
          <w:rFonts w:eastAsia="Calibri" w:cs="Tahoma"/>
          <w:szCs w:val="18"/>
          <w:lang w:val="it-IT"/>
        </w:rPr>
        <w:t>’</w:t>
      </w:r>
      <w:r w:rsidRPr="00451078">
        <w:rPr>
          <w:rFonts w:eastAsia="Calibri" w:cs="Tahoma"/>
          <w:szCs w:val="18"/>
          <w:lang w:val="it-IT"/>
        </w:rPr>
        <w:t>applicazione per lo stesso scopo. Le società in possesso di sottoscrizioni di System Center 2012 Endpoint Protection potranno anche effettuare il downgrade a Forefront Endpoint Protection.</w:t>
      </w:r>
    </w:p>
    <w:p w:rsidR="00C21BCF" w:rsidRPr="00451078" w:rsidRDefault="00C21BCF" w:rsidP="00C21BCF">
      <w:pPr>
        <w:ind w:left="720"/>
        <w:rPr>
          <w:lang w:val="it-IT"/>
        </w:rPr>
      </w:pPr>
    </w:p>
    <w:p w:rsidR="00C21BCF" w:rsidRPr="00451078" w:rsidRDefault="00C21BCF" w:rsidP="00C21BCF">
      <w:pPr>
        <w:ind w:left="720"/>
        <w:rPr>
          <w:lang w:val="it-IT"/>
        </w:rPr>
      </w:pPr>
      <w:r w:rsidRPr="00451078">
        <w:rPr>
          <w:rFonts w:eastAsia="Calibri" w:cs="Tahoma"/>
          <w:szCs w:val="18"/>
          <w:lang w:val="it-IT"/>
        </w:rPr>
        <w:t>System Center 2012 Configuration Manager è la console di gestione di System Center 2012 Endpoint Protection. Le società dovranno avere la licenza per System Center 2012 Configuration Manager per fornire funzionalità di gestione a System Center 2012 Endpoint Protection. In alternativa, System Center 2012 Endpoint Protection può essere utilizzato senza funzionalità di gestione e senza dovere acquistare la licenza per System Center 2012 Configuration Manager.</w:t>
      </w:r>
      <w:r w:rsidR="00082E1C" w:rsidRPr="00451078">
        <w:rPr>
          <w:rFonts w:eastAsia="Calibri" w:cs="Tahoma"/>
          <w:szCs w:val="18"/>
          <w:lang w:val="it-IT"/>
        </w:rPr>
        <w:t xml:space="preserve"> </w:t>
      </w:r>
    </w:p>
    <w:p w:rsidR="00C21BCF" w:rsidRPr="00451078" w:rsidRDefault="00C21BCF" w:rsidP="00C21BCF">
      <w:pPr>
        <w:ind w:left="720"/>
        <w:rPr>
          <w:lang w:val="it-IT"/>
        </w:rPr>
      </w:pPr>
    </w:p>
    <w:p w:rsidR="00C21BCF" w:rsidRPr="00451078" w:rsidRDefault="00A0581B" w:rsidP="00A0581B">
      <w:pPr>
        <w:spacing w:after="60"/>
        <w:ind w:left="720"/>
        <w:rPr>
          <w:lang w:val="it-IT"/>
        </w:rPr>
      </w:pPr>
      <w:r w:rsidRPr="00451078">
        <w:rPr>
          <w:rFonts w:eastAsia="Calibri" w:cs="Tahoma"/>
          <w:b/>
          <w:szCs w:val="18"/>
          <w:lang w:val="it-IT"/>
        </w:rPr>
        <w:t>Home Use Program</w:t>
      </w:r>
    </w:p>
    <w:p w:rsidR="00FF4CAB" w:rsidRPr="00451078" w:rsidRDefault="00C21BCF" w:rsidP="00A0581B">
      <w:pPr>
        <w:ind w:left="720"/>
        <w:rPr>
          <w:lang w:val="it-IT"/>
        </w:rPr>
      </w:pPr>
      <w:r w:rsidRPr="00451078">
        <w:rPr>
          <w:rFonts w:eastAsia="Calibri" w:cs="Tahoma"/>
          <w:szCs w:val="18"/>
          <w:lang w:val="it-IT"/>
        </w:rPr>
        <w:t xml:space="preserve">Le società in possesso di Licenze </w:t>
      </w:r>
      <w:r w:rsidR="001A3EC5" w:rsidRPr="00451078">
        <w:rPr>
          <w:rFonts w:eastAsia="Calibri" w:cs="Tahoma"/>
          <w:szCs w:val="18"/>
          <w:lang w:val="it-IT"/>
        </w:rPr>
        <w:t>“</w:t>
      </w:r>
      <w:r w:rsidRPr="00451078">
        <w:rPr>
          <w:rFonts w:eastAsia="Calibri" w:cs="Tahoma"/>
          <w:szCs w:val="18"/>
          <w:lang w:val="it-IT"/>
        </w:rPr>
        <w:t>Subscription</w:t>
      </w:r>
      <w:r w:rsidR="001A3EC5" w:rsidRPr="00451078">
        <w:rPr>
          <w:rFonts w:eastAsia="Calibri" w:cs="Tahoma"/>
          <w:szCs w:val="18"/>
          <w:lang w:val="it-IT"/>
        </w:rPr>
        <w:t>”</w:t>
      </w:r>
      <w:r w:rsidRPr="00451078">
        <w:rPr>
          <w:rFonts w:eastAsia="Calibri" w:cs="Tahoma"/>
          <w:szCs w:val="18"/>
          <w:lang w:val="it-IT"/>
        </w:rPr>
        <w:t xml:space="preserve"> per Utente attive per System Center 2012 Endpoint Protection si qualificano per il programma Home Use Program.</w:t>
      </w:r>
    </w:p>
    <w:p w:rsidR="00A0581B" w:rsidRPr="00451078" w:rsidRDefault="00A0581B" w:rsidP="00A0581B">
      <w:pPr>
        <w:rPr>
          <w:lang w:val="it-IT"/>
        </w:rPr>
      </w:pPr>
    </w:p>
    <w:p w:rsidR="00A0581B" w:rsidRPr="00451078" w:rsidRDefault="00A0581B" w:rsidP="00A0581B">
      <w:pPr>
        <w:rPr>
          <w:lang w:val="it-IT"/>
        </w:rPr>
      </w:pPr>
    </w:p>
    <w:p w:rsidR="00023FE7" w:rsidRPr="00451078" w:rsidRDefault="00AF6526">
      <w:pPr>
        <w:pStyle w:val="Heading3"/>
        <w:rPr>
          <w:lang w:val="it-IT"/>
        </w:rPr>
      </w:pPr>
      <w:bookmarkStart w:id="1468" w:name="_91_TechNet_Plus"/>
      <w:bookmarkStart w:id="1469" w:name="Srv_103TechNetPlusSingleUser"/>
      <w:bookmarkStart w:id="1470" w:name="_Toc336338360"/>
      <w:bookmarkStart w:id="1471" w:name="_Toc352234944"/>
      <w:bookmarkEnd w:id="1468"/>
      <w:r w:rsidRPr="00451078">
        <w:rPr>
          <w:rFonts w:ascii="Tahoma" w:hAnsi="Tahoma"/>
          <w:caps/>
          <w:color w:val="F66400"/>
          <w:sz w:val="22"/>
          <w:vertAlign w:val="superscript"/>
          <w:lang w:val="it-IT"/>
        </w:rPr>
        <w:t>91</w:t>
      </w:r>
      <w:r w:rsidRPr="00451078">
        <w:rPr>
          <w:rFonts w:ascii="Tahoma" w:hAnsi="Tahoma"/>
          <w:color w:val="F66400"/>
          <w:sz w:val="22"/>
          <w:lang w:val="it-IT"/>
        </w:rPr>
        <w:t xml:space="preserve"> TechNet Plus Single User</w:t>
      </w:r>
      <w:bookmarkEnd w:id="1453"/>
      <w:bookmarkEnd w:id="1469"/>
      <w:bookmarkEnd w:id="1470"/>
      <w:bookmarkEnd w:id="1471"/>
    </w:p>
    <w:p w:rsidR="00023FE7" w:rsidRPr="00451078" w:rsidRDefault="00023FE7" w:rsidP="001704C2">
      <w:pPr>
        <w:tabs>
          <w:tab w:val="left" w:pos="2690"/>
        </w:tabs>
        <w:rPr>
          <w:lang w:val="it-IT"/>
        </w:rPr>
      </w:pPr>
    </w:p>
    <w:p w:rsidR="00023FE7" w:rsidRPr="006F6307" w:rsidRDefault="00023FE7" w:rsidP="001704C2">
      <w:pPr>
        <w:pStyle w:val="FootnoteBulletLevel1"/>
        <w:tabs>
          <w:tab w:val="clear" w:pos="900"/>
        </w:tabs>
        <w:spacing w:before="0" w:after="60"/>
        <w:ind w:left="720" w:firstLine="0"/>
        <w:rPr>
          <w:spacing w:val="-1"/>
          <w:lang w:val="it-IT"/>
        </w:rPr>
      </w:pPr>
      <w:r w:rsidRPr="006F6307">
        <w:rPr>
          <w:rFonts w:ascii="Tahoma" w:hAnsi="Tahoma" w:cs="Tahoma"/>
          <w:b/>
          <w:spacing w:val="-1"/>
          <w:sz w:val="18"/>
          <w:lang w:val="it-IT"/>
        </w:rPr>
        <w:t>Percorso di Migrazione per società con TechNet Plus Single Server iscritte a Software Assurance</w:t>
      </w:r>
    </w:p>
    <w:p w:rsidR="00023FE7" w:rsidRPr="00451078" w:rsidRDefault="00023FE7" w:rsidP="001704C2">
      <w:pPr>
        <w:pStyle w:val="FootnoteBulletLevel1"/>
        <w:tabs>
          <w:tab w:val="clear" w:pos="900"/>
        </w:tabs>
        <w:spacing w:before="0" w:after="0"/>
        <w:ind w:left="720" w:firstLine="0"/>
        <w:rPr>
          <w:lang w:val="it-IT"/>
        </w:rPr>
      </w:pPr>
      <w:r w:rsidRPr="00451078">
        <w:rPr>
          <w:rFonts w:ascii="Tahoma" w:hAnsi="Tahoma" w:cs="Tahoma"/>
          <w:sz w:val="18"/>
          <w:lang w:val="it-IT"/>
        </w:rPr>
        <w:lastRenderedPageBreak/>
        <w:t>Le società con copertura Software Assurance in scadenza per TechNet Plus Single Server che intendono rinnovare tale copertura possono acquistare Software Assurance per TechNet Plus Single User o TechNet Plus Direct.</w:t>
      </w:r>
      <w:r w:rsidR="00082E1C" w:rsidRPr="00451078">
        <w:rPr>
          <w:rFonts w:ascii="Tahoma" w:hAnsi="Tahoma" w:cs="Tahoma"/>
          <w:sz w:val="18"/>
          <w:lang w:val="it-IT"/>
        </w:rPr>
        <w:t xml:space="preserve"> </w:t>
      </w:r>
    </w:p>
    <w:p w:rsidR="006B1BAF" w:rsidRDefault="006B1BAF" w:rsidP="001704C2">
      <w:pPr>
        <w:rPr>
          <w:lang w:val="it-IT"/>
        </w:rPr>
      </w:pPr>
    </w:p>
    <w:p w:rsidR="00CA20C8" w:rsidRPr="00451078" w:rsidRDefault="00CA20C8" w:rsidP="001704C2">
      <w:pPr>
        <w:rPr>
          <w:lang w:val="it-IT"/>
        </w:rPr>
      </w:pPr>
    </w:p>
    <w:p w:rsidR="00FF4CAB" w:rsidRPr="00451078" w:rsidRDefault="00BA29A7" w:rsidP="00FF4CAB">
      <w:pPr>
        <w:pStyle w:val="Heading3"/>
        <w:rPr>
          <w:lang w:val="it-IT"/>
        </w:rPr>
      </w:pPr>
      <w:bookmarkStart w:id="1472" w:name="_92_Visual_Studio"/>
      <w:bookmarkStart w:id="1473" w:name="_90_VDI_Standard"/>
      <w:bookmarkStart w:id="1474" w:name="_Toc336338361"/>
      <w:bookmarkStart w:id="1475" w:name="_Toc352234945"/>
      <w:bookmarkStart w:id="1476" w:name="Srv_105VDIStandardandPremiumSuites"/>
      <w:bookmarkStart w:id="1477" w:name="Srv_94VSLoadTestVirtualUserPack10"/>
      <w:bookmarkEnd w:id="1472"/>
      <w:bookmarkEnd w:id="1473"/>
      <w:r w:rsidRPr="00451078">
        <w:rPr>
          <w:rFonts w:ascii="Tahoma" w:hAnsi="Tahoma" w:cs="Tahoma"/>
          <w:caps/>
          <w:color w:val="FF7415"/>
          <w:sz w:val="22"/>
          <w:szCs w:val="22"/>
          <w:vertAlign w:val="superscript"/>
          <w:lang w:val="it-IT"/>
        </w:rPr>
        <w:t>92</w:t>
      </w:r>
      <w:r w:rsidRPr="00451078">
        <w:rPr>
          <w:rFonts w:ascii="Tahoma" w:hAnsi="Tahoma" w:cs="Tahoma"/>
          <w:caps/>
          <w:color w:val="FF7415"/>
          <w:sz w:val="22"/>
          <w:szCs w:val="22"/>
          <w:lang w:val="it-IT"/>
        </w:rPr>
        <w:t xml:space="preserve"> </w:t>
      </w:r>
      <w:r w:rsidRPr="00451078">
        <w:rPr>
          <w:rFonts w:ascii="Tahoma" w:hAnsi="Tahoma" w:cs="Tahoma"/>
          <w:color w:val="FF7415"/>
          <w:sz w:val="22"/>
          <w:szCs w:val="22"/>
          <w:lang w:val="it-IT"/>
        </w:rPr>
        <w:t>VDI Standard e Premium Suite</w:t>
      </w:r>
      <w:bookmarkEnd w:id="1474"/>
      <w:bookmarkEnd w:id="1475"/>
    </w:p>
    <w:bookmarkEnd w:id="1476"/>
    <w:p w:rsidR="00FF4CAB" w:rsidRPr="00451078" w:rsidRDefault="00FF4CAB" w:rsidP="00B76943">
      <w:pPr>
        <w:rPr>
          <w:lang w:val="it-IT"/>
        </w:rPr>
      </w:pPr>
    </w:p>
    <w:p w:rsidR="00FF4CAB" w:rsidRPr="00451078" w:rsidRDefault="00FF4CAB" w:rsidP="00B76943">
      <w:pPr>
        <w:pStyle w:val="EndnoteText"/>
        <w:ind w:left="720"/>
        <w:rPr>
          <w:lang w:val="it-IT"/>
        </w:rPr>
      </w:pPr>
      <w:r w:rsidRPr="00451078">
        <w:rPr>
          <w:rFonts w:ascii="Tahoma" w:hAnsi="Tahoma" w:cs="Tahoma"/>
          <w:color w:val="000000"/>
          <w:sz w:val="18"/>
          <w:lang w:val="it-IT"/>
        </w:rPr>
        <w:t>Prodotti End-Of-Life (EOL) che non verranno più offerti. Le società con Contratto Enterprise possono fare riferimento alle versioni precedenti dei Diritti di Utilizzo del Prodotto per informazioni sui diritti sull</w:t>
      </w:r>
      <w:r w:rsidR="0073727D">
        <w:rPr>
          <w:rFonts w:ascii="Tahoma" w:hAnsi="Tahoma" w:cs="Tahoma"/>
          <w:color w:val="000000"/>
          <w:sz w:val="18"/>
          <w:lang w:val="it-IT"/>
        </w:rPr>
        <w:t>’</w:t>
      </w:r>
      <w:r w:rsidRPr="00451078">
        <w:rPr>
          <w:rFonts w:ascii="Tahoma" w:hAnsi="Tahoma" w:cs="Tahoma"/>
          <w:color w:val="000000"/>
          <w:sz w:val="18"/>
          <w:lang w:val="it-IT"/>
        </w:rPr>
        <w:t>utilizzo.</w:t>
      </w:r>
    </w:p>
    <w:p w:rsidR="00EA31A6" w:rsidRPr="00451078" w:rsidRDefault="00EA31A6" w:rsidP="00EA31A6">
      <w:pPr>
        <w:rPr>
          <w:lang w:val="it-IT"/>
        </w:rPr>
      </w:pPr>
    </w:p>
    <w:p w:rsidR="00EA31A6" w:rsidRPr="00451078" w:rsidRDefault="00EA31A6" w:rsidP="00B76943">
      <w:pPr>
        <w:pStyle w:val="EndnoteText"/>
        <w:ind w:left="0"/>
        <w:rPr>
          <w:lang w:val="it-IT"/>
        </w:rPr>
      </w:pPr>
    </w:p>
    <w:p w:rsidR="00EA31A6" w:rsidRPr="00451078" w:rsidRDefault="00BA29A7" w:rsidP="00EA31A6">
      <w:pPr>
        <w:pStyle w:val="Heading3"/>
        <w:rPr>
          <w:lang w:val="it-IT"/>
        </w:rPr>
      </w:pPr>
      <w:bookmarkStart w:id="1478" w:name="_91_Vexcel_Server,"/>
      <w:bookmarkStart w:id="1479" w:name="_Toc352234946"/>
      <w:bookmarkEnd w:id="1478"/>
      <w:r w:rsidRPr="00451078">
        <w:rPr>
          <w:rFonts w:ascii="Tahoma" w:hAnsi="Tahoma" w:cs="Tahoma"/>
          <w:caps/>
          <w:color w:val="EE6000"/>
          <w:sz w:val="22"/>
          <w:szCs w:val="18"/>
          <w:vertAlign w:val="superscript"/>
          <w:lang w:val="it-IT"/>
        </w:rPr>
        <w:t>93</w:t>
      </w:r>
      <w:r w:rsidRPr="00451078">
        <w:rPr>
          <w:rFonts w:ascii="Tahoma" w:hAnsi="Tahoma" w:cs="Tahoma"/>
          <w:caps/>
          <w:color w:val="EE6000"/>
          <w:sz w:val="22"/>
          <w:szCs w:val="18"/>
          <w:lang w:val="it-IT"/>
        </w:rPr>
        <w:t xml:space="preserve"> </w:t>
      </w:r>
      <w:r w:rsidRPr="00451078">
        <w:rPr>
          <w:rFonts w:ascii="Tahoma" w:hAnsi="Tahoma"/>
          <w:color w:val="F66400"/>
          <w:sz w:val="22"/>
          <w:lang w:val="it-IT"/>
        </w:rPr>
        <w:t>Vexcel Server e Vexcel Server con Enhanced Content Pack</w:t>
      </w:r>
      <w:bookmarkEnd w:id="1479"/>
    </w:p>
    <w:p w:rsidR="00EA31A6" w:rsidRPr="00451078" w:rsidRDefault="00EA31A6" w:rsidP="00EA31A6">
      <w:pPr>
        <w:ind w:left="720"/>
        <w:rPr>
          <w:lang w:val="it-IT"/>
        </w:rPr>
      </w:pPr>
    </w:p>
    <w:p w:rsidR="00EA31A6" w:rsidRPr="00451078" w:rsidRDefault="00EA31A6" w:rsidP="00EA31A6">
      <w:pPr>
        <w:ind w:left="720"/>
        <w:rPr>
          <w:lang w:val="it-IT"/>
        </w:rPr>
      </w:pPr>
      <w:r w:rsidRPr="00451078">
        <w:rPr>
          <w:rFonts w:cs="Tahoma"/>
          <w:szCs w:val="20"/>
          <w:u w:val="single"/>
          <w:lang w:val="it-IT"/>
        </w:rPr>
        <w:t>Servizi di Compilazione Necessari</w:t>
      </w:r>
      <w:r w:rsidRPr="00451078">
        <w:rPr>
          <w:rFonts w:cs="Tahoma"/>
          <w:szCs w:val="20"/>
          <w:lang w:val="it-IT"/>
        </w:rPr>
        <w:t>. Vexcel Server e Vexcel Server con Enhanced Content Pack richiedono abbonamenti annuali al software Server/CAL e i servizi di compilazione del sistema di Vexcel, filiale geospaziale di Microsoft.</w:t>
      </w:r>
      <w:r w:rsidR="00082E1C" w:rsidRPr="00451078">
        <w:rPr>
          <w:rFonts w:cs="Tahoma"/>
          <w:szCs w:val="20"/>
          <w:lang w:val="it-IT"/>
        </w:rPr>
        <w:t xml:space="preserve"> </w:t>
      </w:r>
      <w:r w:rsidRPr="00451078">
        <w:rPr>
          <w:rFonts w:cs="Tahoma"/>
          <w:szCs w:val="20"/>
          <w:lang w:val="it-IT"/>
        </w:rPr>
        <w:t>Servizi aggiuntivi di formazione, supporto e manutenzione sono disponibili, ma</w:t>
      </w:r>
      <w:r w:rsidR="009F18F3" w:rsidRPr="00451078">
        <w:rPr>
          <w:rFonts w:cs="Tahoma"/>
          <w:szCs w:val="20"/>
          <w:lang w:val="it-IT"/>
        </w:rPr>
        <w:t> </w:t>
      </w:r>
      <w:r w:rsidRPr="00451078">
        <w:rPr>
          <w:rFonts w:cs="Tahoma"/>
          <w:szCs w:val="20"/>
          <w:lang w:val="it-IT"/>
        </w:rPr>
        <w:t>non</w:t>
      </w:r>
      <w:r w:rsidR="009F18F3" w:rsidRPr="00451078">
        <w:rPr>
          <w:rFonts w:cs="Tahoma"/>
          <w:szCs w:val="20"/>
          <w:lang w:val="it-IT"/>
        </w:rPr>
        <w:t> </w:t>
      </w:r>
      <w:r w:rsidRPr="00451078">
        <w:rPr>
          <w:rFonts w:cs="Tahoma"/>
          <w:szCs w:val="20"/>
          <w:lang w:val="it-IT"/>
        </w:rPr>
        <w:t xml:space="preserve">necessari. Per ulteriori informazioni, visitare il sito </w:t>
      </w:r>
      <w:hyperlink r:id="rId58" w:history="1">
        <w:r w:rsidRPr="00451078">
          <w:rPr>
            <w:rStyle w:val="Hyperlink"/>
            <w:lang w:val="it-IT"/>
          </w:rPr>
          <w:t>http://www.vexcel.com/geospatial/bingmapsserver/index.asp</w:t>
        </w:r>
      </w:hyperlink>
    </w:p>
    <w:p w:rsidR="00B54C21" w:rsidRDefault="00B54C21" w:rsidP="00B76943">
      <w:pPr>
        <w:pStyle w:val="EndnoteText"/>
        <w:ind w:left="0"/>
        <w:rPr>
          <w:lang w:val="it-IT"/>
        </w:rPr>
      </w:pPr>
    </w:p>
    <w:p w:rsidR="004F09FE" w:rsidRPr="00451078" w:rsidRDefault="004F09FE" w:rsidP="00B76943">
      <w:pPr>
        <w:pStyle w:val="EndnoteText"/>
        <w:ind w:left="0"/>
        <w:rPr>
          <w:lang w:val="it-IT"/>
        </w:rPr>
      </w:pPr>
    </w:p>
    <w:p w:rsidR="00E8145C" w:rsidRPr="00451078" w:rsidRDefault="00BA29A7" w:rsidP="00E8145C">
      <w:pPr>
        <w:pStyle w:val="Heading2"/>
        <w:ind w:left="0"/>
        <w:rPr>
          <w:lang w:val="it-IT"/>
        </w:rPr>
      </w:pPr>
      <w:bookmarkStart w:id="1480" w:name="_105_Windows_Azure"/>
      <w:bookmarkStart w:id="1481" w:name="_Toc336338362"/>
      <w:bookmarkStart w:id="1482" w:name="_Toc352234947"/>
      <w:bookmarkEnd w:id="1480"/>
      <w:r w:rsidRPr="00451078">
        <w:rPr>
          <w:rFonts w:ascii="Tahoma" w:hAnsi="Tahoma" w:cs="Tahoma"/>
          <w:caps/>
          <w:color w:val="EE6000"/>
          <w:sz w:val="22"/>
          <w:szCs w:val="18"/>
          <w:vertAlign w:val="superscript"/>
          <w:lang w:val="it-IT"/>
        </w:rPr>
        <w:t>94</w:t>
      </w:r>
      <w:r w:rsidRPr="00451078">
        <w:rPr>
          <w:rFonts w:ascii="Tahoma" w:hAnsi="Tahoma" w:cs="Tahoma"/>
          <w:caps/>
          <w:color w:val="EE6000"/>
          <w:sz w:val="22"/>
          <w:szCs w:val="18"/>
          <w:lang w:val="it-IT"/>
        </w:rPr>
        <w:t xml:space="preserve"> </w:t>
      </w:r>
      <w:r w:rsidRPr="00451078">
        <w:rPr>
          <w:rFonts w:ascii="Tahoma" w:hAnsi="Tahoma" w:cs="Tahoma"/>
          <w:color w:val="F8701C"/>
          <w:sz w:val="22"/>
          <w:szCs w:val="22"/>
          <w:lang w:val="it-IT"/>
        </w:rPr>
        <w:t>Servizi Windows Azure</w:t>
      </w:r>
      <w:bookmarkEnd w:id="1481"/>
      <w:bookmarkEnd w:id="1482"/>
    </w:p>
    <w:p w:rsidR="00E8145C" w:rsidRPr="00451078" w:rsidRDefault="00E8145C" w:rsidP="00B76943">
      <w:pPr>
        <w:widowControl w:val="0"/>
        <w:jc w:val="both"/>
        <w:rPr>
          <w:lang w:val="it-IT"/>
        </w:rPr>
      </w:pPr>
    </w:p>
    <w:p w:rsidR="00B76943" w:rsidRPr="00451078" w:rsidRDefault="00E8145C" w:rsidP="00B76943">
      <w:pPr>
        <w:widowControl w:val="0"/>
        <w:spacing w:after="60"/>
        <w:ind w:left="720"/>
        <w:jc w:val="both"/>
        <w:rPr>
          <w:lang w:val="it-IT"/>
        </w:rPr>
      </w:pPr>
      <w:r w:rsidRPr="00451078">
        <w:rPr>
          <w:b/>
          <w:color w:val="000000"/>
          <w:lang w:val="it-IT"/>
        </w:rPr>
        <w:t>Impegno in termini di Risorse di Calcolo per Windows Azure</w:t>
      </w:r>
    </w:p>
    <w:p w:rsidR="00E8145C" w:rsidRPr="00451078" w:rsidRDefault="00E8145C" w:rsidP="00B76943">
      <w:pPr>
        <w:widowControl w:val="0"/>
        <w:ind w:left="720"/>
        <w:jc w:val="both"/>
        <w:rPr>
          <w:lang w:val="it-IT"/>
        </w:rPr>
      </w:pPr>
      <w:r w:rsidRPr="00451078">
        <w:rPr>
          <w:lang w:val="it-IT"/>
        </w:rPr>
        <w:t>Per il servizio Calcolo di Windows Azure, Microsoft accetta di fornire alla società un Impegno in termini di</w:t>
      </w:r>
      <w:r w:rsidR="009F18F3" w:rsidRPr="00451078">
        <w:rPr>
          <w:lang w:val="it-IT"/>
        </w:rPr>
        <w:t> </w:t>
      </w:r>
      <w:r w:rsidRPr="00451078">
        <w:rPr>
          <w:lang w:val="it-IT"/>
        </w:rPr>
        <w:t>Risorse di Calcolo. L</w:t>
      </w:r>
      <w:r w:rsidR="0073727D">
        <w:rPr>
          <w:lang w:val="it-IT"/>
        </w:rPr>
        <w:t>’</w:t>
      </w:r>
      <w:r w:rsidRPr="00451078">
        <w:rPr>
          <w:lang w:val="it-IT"/>
        </w:rPr>
        <w:t xml:space="preserve">Impegno in termini di Risorse di Calcolo sarà pari al maggiore tra (1) </w:t>
      </w:r>
      <w:r w:rsidRPr="00451078">
        <w:rPr>
          <w:rFonts w:eastAsia="Times New Roman"/>
          <w:color w:val="000000"/>
          <w:lang w:val="it-IT"/>
        </w:rPr>
        <w:t>50 istanze di</w:t>
      </w:r>
      <w:r w:rsidR="009F18F3" w:rsidRPr="00451078">
        <w:rPr>
          <w:rFonts w:eastAsia="Times New Roman"/>
          <w:color w:val="000000"/>
          <w:lang w:val="it-IT"/>
        </w:rPr>
        <w:t> </w:t>
      </w:r>
      <w:r w:rsidRPr="00451078">
        <w:rPr>
          <w:rFonts w:eastAsia="Times New Roman"/>
          <w:color w:val="000000"/>
          <w:lang w:val="it-IT"/>
        </w:rPr>
        <w:t xml:space="preserve">calcolo di piccole dimensioni concorrenti al mese oppure (2) </w:t>
      </w:r>
      <w:r w:rsidRPr="00451078">
        <w:rPr>
          <w:lang w:val="it-IT"/>
        </w:rPr>
        <w:t>il 125% dell</w:t>
      </w:r>
      <w:r w:rsidR="0073727D">
        <w:rPr>
          <w:lang w:val="it-IT"/>
        </w:rPr>
        <w:t>’</w:t>
      </w:r>
      <w:r w:rsidRPr="00451078">
        <w:rPr>
          <w:lang w:val="it-IT"/>
        </w:rPr>
        <w:t xml:space="preserve">Utilizzo Stimato del Calcolo della società (come indicato di seguito). </w:t>
      </w:r>
    </w:p>
    <w:p w:rsidR="00B76943" w:rsidRPr="00451078" w:rsidRDefault="00B76943" w:rsidP="00B76943">
      <w:pPr>
        <w:widowControl w:val="0"/>
        <w:ind w:left="720"/>
        <w:jc w:val="both"/>
        <w:rPr>
          <w:lang w:val="it-IT"/>
        </w:rPr>
      </w:pPr>
    </w:p>
    <w:p w:rsidR="00E8145C" w:rsidRPr="00451078" w:rsidRDefault="00E8145C" w:rsidP="00B76943">
      <w:pPr>
        <w:widowControl w:val="0"/>
        <w:ind w:left="720"/>
        <w:jc w:val="both"/>
        <w:rPr>
          <w:lang w:val="it-IT"/>
        </w:rPr>
      </w:pPr>
      <w:r w:rsidRPr="00451078">
        <w:rPr>
          <w:lang w:val="it-IT"/>
        </w:rPr>
        <w:t>L</w:t>
      </w:r>
      <w:r w:rsidR="0073727D">
        <w:rPr>
          <w:lang w:val="it-IT"/>
        </w:rPr>
        <w:t>’</w:t>
      </w:r>
      <w:r w:rsidR="001A3EC5" w:rsidRPr="00451078">
        <w:rPr>
          <w:lang w:val="it-IT"/>
        </w:rPr>
        <w:t>“</w:t>
      </w:r>
      <w:r w:rsidRPr="00451078">
        <w:rPr>
          <w:lang w:val="it-IT"/>
        </w:rPr>
        <w:t>Utilizzo Stimato del Calcolo</w:t>
      </w:r>
      <w:r w:rsidR="001A3EC5" w:rsidRPr="00451078">
        <w:rPr>
          <w:lang w:val="it-IT"/>
        </w:rPr>
        <w:t>”</w:t>
      </w:r>
      <w:r w:rsidRPr="00451078">
        <w:rPr>
          <w:lang w:val="it-IT"/>
        </w:rPr>
        <w:t xml:space="preserve"> viene calcolato dividendo l</w:t>
      </w:r>
      <w:r w:rsidR="0073727D">
        <w:rPr>
          <w:lang w:val="it-IT"/>
        </w:rPr>
        <w:t>’</w:t>
      </w:r>
      <w:r w:rsidRPr="00451078">
        <w:rPr>
          <w:lang w:val="it-IT"/>
        </w:rPr>
        <w:t>Impegno Monetario della società per il numero di</w:t>
      </w:r>
      <w:r w:rsidR="009F18F3" w:rsidRPr="00451078">
        <w:rPr>
          <w:lang w:val="it-IT"/>
        </w:rPr>
        <w:t> </w:t>
      </w:r>
      <w:r w:rsidRPr="00451078">
        <w:rPr>
          <w:lang w:val="it-IT"/>
        </w:rPr>
        <w:t>mesi coperti da tale Impegno Monetario (12 mesi oppure il numero di mesi residui dell</w:t>
      </w:r>
      <w:r w:rsidR="0073727D">
        <w:rPr>
          <w:lang w:val="it-IT"/>
        </w:rPr>
        <w:t>’</w:t>
      </w:r>
      <w:r w:rsidRPr="00451078">
        <w:rPr>
          <w:lang w:val="it-IT"/>
        </w:rPr>
        <w:t>Iscrizione della società, a seconda che la società scelga l</w:t>
      </w:r>
      <w:r w:rsidR="0073727D">
        <w:rPr>
          <w:lang w:val="it-IT"/>
        </w:rPr>
        <w:t>’</w:t>
      </w:r>
      <w:r w:rsidRPr="00451078">
        <w:rPr>
          <w:lang w:val="it-IT"/>
        </w:rPr>
        <w:t xml:space="preserve">Opzione </w:t>
      </w:r>
      <w:r w:rsidR="001A3EC5" w:rsidRPr="00451078">
        <w:rPr>
          <w:lang w:val="it-IT"/>
        </w:rPr>
        <w:t>“</w:t>
      </w:r>
      <w:r w:rsidRPr="00451078">
        <w:rPr>
          <w:lang w:val="it-IT"/>
        </w:rPr>
        <w:t>Subscription</w:t>
      </w:r>
      <w:r w:rsidR="001A3EC5" w:rsidRPr="00451078">
        <w:rPr>
          <w:lang w:val="it-IT"/>
        </w:rPr>
        <w:t>”</w:t>
      </w:r>
      <w:r w:rsidRPr="00451078">
        <w:rPr>
          <w:lang w:val="it-IT"/>
        </w:rPr>
        <w:t xml:space="preserve"> annuale o l</w:t>
      </w:r>
      <w:r w:rsidR="0073727D">
        <w:rPr>
          <w:lang w:val="it-IT"/>
        </w:rPr>
        <w:t>’</w:t>
      </w:r>
      <w:r w:rsidRPr="00451078">
        <w:rPr>
          <w:lang w:val="it-IT"/>
        </w:rPr>
        <w:t xml:space="preserve">opzione </w:t>
      </w:r>
      <w:r w:rsidR="001A3EC5" w:rsidRPr="00451078">
        <w:rPr>
          <w:lang w:val="it-IT"/>
        </w:rPr>
        <w:t>“</w:t>
      </w:r>
      <w:r w:rsidRPr="00451078">
        <w:rPr>
          <w:lang w:val="it-IT"/>
        </w:rPr>
        <w:t>Subscription</w:t>
      </w:r>
      <w:r w:rsidR="001A3EC5" w:rsidRPr="00451078">
        <w:rPr>
          <w:lang w:val="it-IT"/>
        </w:rPr>
        <w:t>”</w:t>
      </w:r>
      <w:r w:rsidRPr="00451078">
        <w:rPr>
          <w:lang w:val="it-IT"/>
        </w:rPr>
        <w:t xml:space="preserve"> </w:t>
      </w:r>
      <w:r w:rsidRPr="00451078">
        <w:rPr>
          <w:rFonts w:cs="Tahoma"/>
          <w:szCs w:val="18"/>
          <w:lang w:val="it-IT"/>
        </w:rPr>
        <w:t>con scadenza identica</w:t>
      </w:r>
      <w:r w:rsidRPr="00451078">
        <w:rPr>
          <w:lang w:val="it-IT"/>
        </w:rPr>
        <w:t>) e dividendo la cifra risultante per la Tariffa di Impegno relativa al Calcolo di Windows Azure. Qualora, nel corso del periodo di validità dell</w:t>
      </w:r>
      <w:r w:rsidR="0073727D">
        <w:rPr>
          <w:lang w:val="it-IT"/>
        </w:rPr>
        <w:t>’</w:t>
      </w:r>
      <w:r w:rsidRPr="00451078">
        <w:rPr>
          <w:lang w:val="it-IT"/>
        </w:rPr>
        <w:t>iscrizione, la società aggiunga fondi al proprio Impegno Monetario, l</w:t>
      </w:r>
      <w:r w:rsidR="0073727D">
        <w:rPr>
          <w:lang w:val="it-IT"/>
        </w:rPr>
        <w:t>’</w:t>
      </w:r>
      <w:r w:rsidRPr="00451078">
        <w:rPr>
          <w:lang w:val="it-IT"/>
        </w:rPr>
        <w:t>Utilizzo Stimato del Calcolo verrà ricalcolato di conseguenza. Qualora l</w:t>
      </w:r>
      <w:r w:rsidR="0073727D">
        <w:rPr>
          <w:lang w:val="it-IT"/>
        </w:rPr>
        <w:t>’</w:t>
      </w:r>
      <w:r w:rsidRPr="00451078">
        <w:rPr>
          <w:lang w:val="it-IT"/>
        </w:rPr>
        <w:t>Impegno Monetario residuo della società scenda al di sotto del valore monetario dell</w:t>
      </w:r>
      <w:r w:rsidR="0073727D">
        <w:rPr>
          <w:lang w:val="it-IT"/>
        </w:rPr>
        <w:t>’</w:t>
      </w:r>
      <w:r w:rsidRPr="00451078">
        <w:rPr>
          <w:lang w:val="it-IT"/>
        </w:rPr>
        <w:t>Utilizzo Stimato del Calcolo, l</w:t>
      </w:r>
      <w:r w:rsidR="0073727D">
        <w:rPr>
          <w:lang w:val="it-IT"/>
        </w:rPr>
        <w:t>’</w:t>
      </w:r>
      <w:r w:rsidRPr="00451078">
        <w:rPr>
          <w:lang w:val="it-IT"/>
        </w:rPr>
        <w:t>Utilizzo Stimato del Calcolo verrà ridotto proporzionalmente in modo che l</w:t>
      </w:r>
      <w:r w:rsidR="0073727D">
        <w:rPr>
          <w:lang w:val="it-IT"/>
        </w:rPr>
        <w:t>’</w:t>
      </w:r>
      <w:r w:rsidRPr="00451078">
        <w:rPr>
          <w:lang w:val="it-IT"/>
        </w:rPr>
        <w:t>Impegno Monetario residuo sia pari al</w:t>
      </w:r>
      <w:r w:rsidR="009F18F3" w:rsidRPr="00451078">
        <w:rPr>
          <w:lang w:val="it-IT"/>
        </w:rPr>
        <w:t> </w:t>
      </w:r>
      <w:r w:rsidRPr="00451078">
        <w:rPr>
          <w:lang w:val="it-IT"/>
        </w:rPr>
        <w:t>valore monetario dell</w:t>
      </w:r>
      <w:r w:rsidR="0073727D">
        <w:rPr>
          <w:lang w:val="it-IT"/>
        </w:rPr>
        <w:t>’</w:t>
      </w:r>
      <w:r w:rsidRPr="00451078">
        <w:rPr>
          <w:lang w:val="it-IT"/>
        </w:rPr>
        <w:t>Utilizzo Stimato del Calcolo.</w:t>
      </w:r>
    </w:p>
    <w:p w:rsidR="00B76943" w:rsidRPr="00451078" w:rsidRDefault="00B76943" w:rsidP="00B76943">
      <w:pPr>
        <w:widowControl w:val="0"/>
        <w:ind w:left="720"/>
        <w:jc w:val="both"/>
        <w:rPr>
          <w:lang w:val="it-IT"/>
        </w:rPr>
      </w:pPr>
    </w:p>
    <w:p w:rsidR="00E8145C" w:rsidRPr="00451078" w:rsidRDefault="00E8145C" w:rsidP="00B76943">
      <w:pPr>
        <w:widowControl w:val="0"/>
        <w:ind w:left="720"/>
        <w:jc w:val="both"/>
        <w:rPr>
          <w:lang w:val="it-IT"/>
        </w:rPr>
      </w:pPr>
      <w:r w:rsidRPr="00451078">
        <w:rPr>
          <w:lang w:val="it-IT"/>
        </w:rPr>
        <w:t>Qualora Microsoft non faccia fronte all</w:t>
      </w:r>
      <w:r w:rsidR="0073727D">
        <w:rPr>
          <w:lang w:val="it-IT"/>
        </w:rPr>
        <w:t>’</w:t>
      </w:r>
      <w:r w:rsidRPr="00451078">
        <w:rPr>
          <w:lang w:val="it-IT"/>
        </w:rPr>
        <w:t>Impegno in termini di Risorse di Calcolo, la società riceverà un credito pari al 25% del valore monetario del servizio Calcolo di Windows Azure in questione, alla Tariffa di Impegno. Tale credito non potrà superare il valore monetario totale dell</w:t>
      </w:r>
      <w:r w:rsidR="0073727D">
        <w:rPr>
          <w:lang w:val="it-IT"/>
        </w:rPr>
        <w:t>’</w:t>
      </w:r>
      <w:r w:rsidRPr="00451078">
        <w:rPr>
          <w:lang w:val="it-IT"/>
        </w:rPr>
        <w:t>Impegno Monetario residuo della società. Qualora tale indisponibilità qualifichi la società anche per un Credito di Servizio ai sensi del Contratto di</w:t>
      </w:r>
      <w:r w:rsidR="009F18F3" w:rsidRPr="00451078">
        <w:rPr>
          <w:lang w:val="it-IT"/>
        </w:rPr>
        <w:t> </w:t>
      </w:r>
      <w:r w:rsidRPr="00451078">
        <w:rPr>
          <w:lang w:val="it-IT"/>
        </w:rPr>
        <w:t>Servizio (vedere il precedente l</w:t>
      </w:r>
      <w:r w:rsidR="0073727D">
        <w:rPr>
          <w:lang w:val="it-IT"/>
        </w:rPr>
        <w:t>’</w:t>
      </w:r>
      <w:r w:rsidRPr="00451078">
        <w:rPr>
          <w:lang w:val="it-IT"/>
        </w:rPr>
        <w:t>Articolo 2.c), la società riceverà esclusivamente il rimedio con il valore monetario più elevato.</w:t>
      </w:r>
    </w:p>
    <w:p w:rsidR="00E8145C" w:rsidRPr="00451078" w:rsidRDefault="00E8145C" w:rsidP="00B76943">
      <w:pPr>
        <w:widowControl w:val="0"/>
        <w:ind w:left="720"/>
        <w:jc w:val="both"/>
        <w:rPr>
          <w:lang w:val="it-IT"/>
        </w:rPr>
      </w:pPr>
      <w:r w:rsidRPr="00451078">
        <w:rPr>
          <w:lang w:val="it-IT"/>
        </w:rPr>
        <w:t>L</w:t>
      </w:r>
      <w:r w:rsidR="0073727D">
        <w:rPr>
          <w:lang w:val="it-IT"/>
        </w:rPr>
        <w:t>’</w:t>
      </w:r>
      <w:r w:rsidRPr="00451078">
        <w:rPr>
          <w:lang w:val="it-IT"/>
        </w:rPr>
        <w:t>utilizzo globale del Calcolo di Windows Azure al di sopra dell</w:t>
      </w:r>
      <w:r w:rsidR="0073727D">
        <w:rPr>
          <w:lang w:val="it-IT"/>
        </w:rPr>
        <w:t>’</w:t>
      </w:r>
      <w:r w:rsidRPr="00451078">
        <w:rPr>
          <w:lang w:val="it-IT"/>
        </w:rPr>
        <w:t>Impegno in termini di Risorse di Calcolo avverrà in base alla disponibilità. L</w:t>
      </w:r>
      <w:r w:rsidR="0073727D">
        <w:rPr>
          <w:lang w:val="it-IT"/>
        </w:rPr>
        <w:t>’</w:t>
      </w:r>
      <w:r w:rsidRPr="00451078">
        <w:rPr>
          <w:lang w:val="it-IT"/>
        </w:rPr>
        <w:t xml:space="preserve">utilizzo globale di qualsiasi Servizio di Windows Azure diverso dal Calcolo di Windows Azure avverrà in base alla disponibilità. </w:t>
      </w:r>
    </w:p>
    <w:p w:rsidR="00152361" w:rsidRPr="00546A34" w:rsidRDefault="00152361" w:rsidP="00B76943">
      <w:pPr>
        <w:pStyle w:val="EndnoteText"/>
        <w:ind w:left="720"/>
        <w:rPr>
          <w:sz w:val="18"/>
          <w:szCs w:val="18"/>
          <w:lang w:val="it-IT"/>
        </w:rPr>
      </w:pPr>
    </w:p>
    <w:p w:rsidR="00FF4CAB" w:rsidRPr="00546A34" w:rsidRDefault="00FF4CAB" w:rsidP="00376D4B">
      <w:pPr>
        <w:pStyle w:val="EndnoteText"/>
        <w:ind w:left="720"/>
        <w:rPr>
          <w:sz w:val="18"/>
          <w:szCs w:val="18"/>
          <w:lang w:val="it-IT"/>
        </w:rPr>
      </w:pPr>
    </w:p>
    <w:p w:rsidR="00ED12C0" w:rsidRPr="00451078" w:rsidRDefault="00BA29A7" w:rsidP="00ED12C0">
      <w:pPr>
        <w:pStyle w:val="Heading2"/>
        <w:ind w:left="0"/>
        <w:rPr>
          <w:lang w:val="it-IT"/>
        </w:rPr>
      </w:pPr>
      <w:bookmarkStart w:id="1483" w:name="Srv_107WindowsEmbeddedDeviceMgr2011"/>
      <w:bookmarkStart w:id="1484" w:name="_Toc336338363"/>
      <w:bookmarkStart w:id="1485" w:name="_Toc352234948"/>
      <w:bookmarkStart w:id="1486" w:name="Srv_93SBS2008PremiumEdition"/>
      <w:bookmarkEnd w:id="1477"/>
      <w:r w:rsidRPr="00451078">
        <w:rPr>
          <w:rFonts w:ascii="Tahoma" w:hAnsi="Tahoma" w:cs="Tahoma"/>
          <w:caps/>
          <w:color w:val="FF6600"/>
          <w:sz w:val="22"/>
          <w:vertAlign w:val="superscript"/>
          <w:lang w:val="it-IT"/>
        </w:rPr>
        <w:t>95</w:t>
      </w:r>
      <w:r w:rsidRPr="00451078">
        <w:rPr>
          <w:rFonts w:ascii="Tahoma" w:hAnsi="Tahoma" w:cs="Tahoma"/>
          <w:color w:val="FF6600"/>
          <w:lang w:val="it-IT"/>
        </w:rPr>
        <w:t xml:space="preserve"> </w:t>
      </w:r>
      <w:r w:rsidRPr="00451078">
        <w:rPr>
          <w:rFonts w:ascii="Tahoma" w:hAnsi="Tahoma" w:cs="Tahoma"/>
          <w:color w:val="FF6600"/>
          <w:sz w:val="22"/>
          <w:lang w:val="it-IT"/>
        </w:rPr>
        <w:t>Licenza di Server di Gestione per Windows Embedded Device Manager 2011</w:t>
      </w:r>
      <w:bookmarkEnd w:id="1483"/>
      <w:bookmarkEnd w:id="1484"/>
      <w:bookmarkEnd w:id="1485"/>
    </w:p>
    <w:p w:rsidR="00ED12C0" w:rsidRPr="00451078" w:rsidRDefault="00ED12C0" w:rsidP="00B76943">
      <w:pPr>
        <w:rPr>
          <w:lang w:val="it-IT"/>
        </w:rPr>
      </w:pPr>
    </w:p>
    <w:p w:rsidR="00ED12C0" w:rsidRPr="00451078" w:rsidRDefault="00ED12C0" w:rsidP="00B76943">
      <w:pPr>
        <w:pStyle w:val="EndnoteText"/>
        <w:ind w:left="720"/>
        <w:rPr>
          <w:lang w:val="it-IT"/>
        </w:rPr>
      </w:pPr>
      <w:r w:rsidRPr="00451078">
        <w:rPr>
          <w:rFonts w:ascii="Tahoma" w:hAnsi="Tahoma" w:cs="Tahoma"/>
          <w:color w:val="000000"/>
          <w:sz w:val="18"/>
          <w:lang w:val="it-IT"/>
        </w:rPr>
        <w:t>Prodotto End-Of-Life (EOL) che non verrà più offerto.</w:t>
      </w:r>
    </w:p>
    <w:p w:rsidR="00ED12C0" w:rsidRPr="00451078" w:rsidRDefault="00ED12C0" w:rsidP="00B76943">
      <w:pPr>
        <w:pStyle w:val="EndnoteText"/>
        <w:ind w:left="720"/>
        <w:rPr>
          <w:lang w:val="it-IT"/>
        </w:rPr>
      </w:pPr>
    </w:p>
    <w:p w:rsidR="00ED12C0" w:rsidRPr="00451078" w:rsidRDefault="00ED12C0" w:rsidP="00B76943">
      <w:pPr>
        <w:pStyle w:val="EndnoteText"/>
        <w:spacing w:after="60"/>
        <w:ind w:left="720"/>
        <w:rPr>
          <w:lang w:val="it-IT"/>
        </w:rPr>
      </w:pPr>
      <w:r w:rsidRPr="00451078">
        <w:rPr>
          <w:rFonts w:ascii="Tahoma" w:hAnsi="Tahoma" w:cs="Tahoma"/>
          <w:b/>
          <w:color w:val="000000"/>
          <w:sz w:val="18"/>
          <w:lang w:val="it-IT"/>
        </w:rPr>
        <w:t>Concessione di una Licenza Una Tantum ai Titolari di Licenza per Windows Embedded Device Manager 2011 con Software Assurance Attiva</w:t>
      </w:r>
    </w:p>
    <w:p w:rsidR="002512D3" w:rsidRPr="00451078" w:rsidRDefault="00ED12C0" w:rsidP="003165D6">
      <w:pPr>
        <w:pStyle w:val="EndnoteText"/>
        <w:ind w:left="720"/>
        <w:rPr>
          <w:lang w:val="it-IT"/>
        </w:rPr>
      </w:pPr>
      <w:r w:rsidRPr="00451078">
        <w:rPr>
          <w:rFonts w:ascii="Tahoma" w:hAnsi="Tahoma" w:cs="Tahoma"/>
          <w:color w:val="000000"/>
          <w:sz w:val="18"/>
          <w:lang w:val="it-IT"/>
        </w:rPr>
        <w:t>In via di eccezione una tantum legata all</w:t>
      </w:r>
      <w:r w:rsidR="0073727D">
        <w:rPr>
          <w:rFonts w:ascii="Tahoma" w:hAnsi="Tahoma" w:cs="Tahoma"/>
          <w:color w:val="000000"/>
          <w:sz w:val="18"/>
          <w:lang w:val="it-IT"/>
        </w:rPr>
        <w:t>’</w:t>
      </w:r>
      <w:r w:rsidRPr="00451078">
        <w:rPr>
          <w:rFonts w:ascii="Tahoma" w:hAnsi="Tahoma" w:cs="Tahoma"/>
          <w:color w:val="000000"/>
          <w:sz w:val="18"/>
          <w:lang w:val="it-IT"/>
        </w:rPr>
        <w:t>interruzione di licenze di server di gestione per Windows Embedded Device Manager 2011, alle società in possesso di Software Assurance con copertura attiva al 1 aprile 2012 verranno fornite le licenze di gestione client come di seguito indicato</w:t>
      </w:r>
      <w:r w:rsidRPr="00451078">
        <w:rPr>
          <w:rFonts w:ascii="Tahoma" w:hAnsi="Tahoma" w:cs="Tahoma"/>
          <w:color w:val="000000"/>
          <w:sz w:val="18"/>
          <w:szCs w:val="20"/>
          <w:lang w:val="it-IT"/>
        </w:rPr>
        <w:t>:</w:t>
      </w:r>
    </w:p>
    <w:p w:rsidR="00ED12C0" w:rsidRPr="00451078" w:rsidRDefault="00ED12C0" w:rsidP="00B76943">
      <w:pPr>
        <w:pStyle w:val="EndnoteText"/>
        <w:ind w:left="720"/>
        <w:rPr>
          <w:lang w:val="it-IT"/>
        </w:rPr>
      </w:pPr>
    </w:p>
    <w:tbl>
      <w:tblPr>
        <w:tblW w:w="0" w:type="auto"/>
        <w:tblInd w:w="878" w:type="dxa"/>
        <w:tblBorders>
          <w:top w:val="single" w:sz="4" w:space="0" w:color="000000"/>
          <w:left w:val="single" w:sz="4" w:space="0" w:color="000000"/>
          <w:bottom w:val="single" w:sz="4" w:space="0" w:color="000000"/>
          <w:right w:val="single" w:sz="4" w:space="0" w:color="000000"/>
          <w:insideH w:val="single" w:sz="6" w:space="0" w:color="000000"/>
          <w:insideV w:val="single" w:sz="6" w:space="0" w:color="000000"/>
        </w:tblBorders>
        <w:shd w:val="clear" w:color="auto" w:fill="FFFFFF"/>
        <w:tblLook w:val="04A0" w:firstRow="1" w:lastRow="0" w:firstColumn="1" w:lastColumn="0" w:noHBand="0" w:noVBand="1"/>
      </w:tblPr>
      <w:tblGrid>
        <w:gridCol w:w="3960"/>
        <w:gridCol w:w="4050"/>
      </w:tblGrid>
      <w:tr w:rsidR="00ED12C0" w:rsidRPr="005E4903" w:rsidTr="00CA14C9">
        <w:tc>
          <w:tcPr>
            <w:tcW w:w="3960" w:type="dxa"/>
            <w:tcBorders>
              <w:top w:val="single" w:sz="4" w:space="0" w:color="000000"/>
              <w:bottom w:val="single" w:sz="6" w:space="0" w:color="000000"/>
            </w:tcBorders>
            <w:shd w:val="clear" w:color="auto" w:fill="FABF8F"/>
          </w:tcPr>
          <w:p w:rsidR="00ED12C0" w:rsidRPr="003410C7" w:rsidRDefault="00ED12C0" w:rsidP="004342E4">
            <w:pPr>
              <w:jc w:val="center"/>
              <w:rPr>
                <w:rFonts w:cs="Tahoma"/>
                <w:b/>
                <w:color w:val="000000"/>
                <w:szCs w:val="20"/>
              </w:rPr>
            </w:pPr>
            <w:r w:rsidRPr="003410C7">
              <w:rPr>
                <w:rFonts w:cs="Tahoma"/>
                <w:b/>
                <w:color w:val="000000"/>
                <w:szCs w:val="20"/>
              </w:rPr>
              <w:t>Licenze Qualificanti</w:t>
            </w:r>
          </w:p>
        </w:tc>
        <w:tc>
          <w:tcPr>
            <w:tcW w:w="4050" w:type="dxa"/>
            <w:tcBorders>
              <w:top w:val="single" w:sz="4" w:space="0" w:color="000000"/>
              <w:bottom w:val="single" w:sz="6" w:space="0" w:color="000000"/>
            </w:tcBorders>
            <w:shd w:val="clear" w:color="auto" w:fill="FABF8F"/>
          </w:tcPr>
          <w:p w:rsidR="00ED12C0" w:rsidRPr="00451078" w:rsidRDefault="00ED12C0" w:rsidP="004342E4">
            <w:pPr>
              <w:jc w:val="center"/>
              <w:rPr>
                <w:rFonts w:cs="Tahoma"/>
                <w:b/>
                <w:color w:val="000000"/>
                <w:szCs w:val="20"/>
                <w:lang w:val="it-IT"/>
              </w:rPr>
            </w:pPr>
            <w:r w:rsidRPr="00451078">
              <w:rPr>
                <w:rFonts w:cs="Tahoma"/>
                <w:color w:val="000000"/>
                <w:lang w:val="it-IT"/>
              </w:rPr>
              <w:t>Licenze di Gestione Client per Windows Embedded Device Manager 2011</w:t>
            </w:r>
          </w:p>
        </w:tc>
      </w:tr>
      <w:tr w:rsidR="00ED12C0" w:rsidRPr="005E4903" w:rsidTr="00CA14C9">
        <w:tc>
          <w:tcPr>
            <w:tcW w:w="3960" w:type="dxa"/>
            <w:tcBorders>
              <w:top w:val="single" w:sz="6" w:space="0" w:color="000000"/>
            </w:tcBorders>
            <w:shd w:val="clear" w:color="auto" w:fill="FFFFFF"/>
          </w:tcPr>
          <w:p w:rsidR="00ED12C0" w:rsidRPr="003410C7" w:rsidRDefault="00ED12C0" w:rsidP="004342E4">
            <w:pPr>
              <w:rPr>
                <w:rFonts w:cs="Tahoma"/>
                <w:color w:val="000000"/>
                <w:szCs w:val="20"/>
              </w:rPr>
            </w:pPr>
            <w:r w:rsidRPr="003410C7">
              <w:rPr>
                <w:rFonts w:cs="Tahoma"/>
                <w:color w:val="000000"/>
                <w:szCs w:val="20"/>
              </w:rPr>
              <w:t>Licenza per Windows Embedded Device Manager 2011 Server</w:t>
            </w:r>
          </w:p>
        </w:tc>
        <w:tc>
          <w:tcPr>
            <w:tcW w:w="4050" w:type="dxa"/>
            <w:tcBorders>
              <w:top w:val="single" w:sz="6" w:space="0" w:color="000000"/>
            </w:tcBorders>
            <w:shd w:val="clear" w:color="auto" w:fill="FFFFFF"/>
          </w:tcPr>
          <w:p w:rsidR="00ED12C0" w:rsidRPr="00451078" w:rsidRDefault="00ED12C0" w:rsidP="004342E4">
            <w:pPr>
              <w:rPr>
                <w:rFonts w:cs="Tahoma"/>
                <w:color w:val="000000"/>
                <w:szCs w:val="20"/>
                <w:lang w:val="it-IT"/>
              </w:rPr>
            </w:pPr>
            <w:r w:rsidRPr="00451078">
              <w:rPr>
                <w:rFonts w:cs="Tahoma"/>
                <w:color w:val="000000"/>
                <w:szCs w:val="20"/>
                <w:lang w:val="it-IT"/>
              </w:rPr>
              <w:t>13 Licenze di Gestione Client per Windows Embedded Device Manager 2011</w:t>
            </w:r>
          </w:p>
        </w:tc>
      </w:tr>
      <w:tr w:rsidR="00ED12C0" w:rsidRPr="005E4903" w:rsidTr="00CA14C9">
        <w:tc>
          <w:tcPr>
            <w:tcW w:w="3960" w:type="dxa"/>
            <w:shd w:val="clear" w:color="auto" w:fill="FFFFFF"/>
          </w:tcPr>
          <w:p w:rsidR="00ED12C0" w:rsidRPr="00451078" w:rsidRDefault="00ED12C0" w:rsidP="004342E4">
            <w:pPr>
              <w:rPr>
                <w:rFonts w:cs="Tahoma"/>
                <w:color w:val="000000"/>
                <w:szCs w:val="20"/>
                <w:lang w:val="it-IT"/>
              </w:rPr>
            </w:pPr>
            <w:r w:rsidRPr="00451078">
              <w:rPr>
                <w:rFonts w:cs="Tahoma"/>
                <w:color w:val="000000"/>
                <w:szCs w:val="20"/>
                <w:lang w:val="it-IT"/>
              </w:rPr>
              <w:t>Licenza per Windows Embedded Device Manager 2011 Server con Tecnologia SQL Server 2008</w:t>
            </w:r>
          </w:p>
        </w:tc>
        <w:tc>
          <w:tcPr>
            <w:tcW w:w="4050" w:type="dxa"/>
            <w:shd w:val="clear" w:color="auto" w:fill="FFFFFF"/>
          </w:tcPr>
          <w:p w:rsidR="00ED12C0" w:rsidRPr="00451078" w:rsidRDefault="00ED12C0" w:rsidP="004342E4">
            <w:pPr>
              <w:rPr>
                <w:rFonts w:cs="Tahoma"/>
                <w:color w:val="000000"/>
                <w:szCs w:val="20"/>
                <w:lang w:val="it-IT"/>
              </w:rPr>
            </w:pPr>
            <w:r w:rsidRPr="00451078">
              <w:rPr>
                <w:rFonts w:cs="Tahoma"/>
                <w:color w:val="000000"/>
                <w:szCs w:val="20"/>
                <w:lang w:val="it-IT"/>
              </w:rPr>
              <w:t>30 Licenze di Gestione Client per Windows Embedded Device Manager 2011</w:t>
            </w:r>
          </w:p>
        </w:tc>
      </w:tr>
    </w:tbl>
    <w:p w:rsidR="00ED12C0" w:rsidRPr="00451078" w:rsidRDefault="00ED12C0" w:rsidP="00ED12C0">
      <w:pPr>
        <w:pStyle w:val="EndnoteText"/>
        <w:ind w:left="0"/>
        <w:rPr>
          <w:lang w:val="it-IT"/>
        </w:rPr>
      </w:pPr>
    </w:p>
    <w:p w:rsidR="00ED12C0" w:rsidRPr="00451078" w:rsidRDefault="00ED12C0" w:rsidP="00376D4B">
      <w:pPr>
        <w:pStyle w:val="EndnoteText"/>
        <w:ind w:left="720"/>
        <w:rPr>
          <w:lang w:val="it-IT"/>
        </w:rPr>
      </w:pPr>
      <w:r w:rsidRPr="00451078">
        <w:rPr>
          <w:rFonts w:ascii="Tahoma" w:hAnsi="Tahoma" w:cs="Tahoma"/>
          <w:color w:val="000000"/>
          <w:sz w:val="18"/>
          <w:lang w:val="it-IT"/>
        </w:rPr>
        <w:t>Tutte le licenze concesse ai sensi della presente offerta includeranno la copertura Software Assurance. Tale</w:t>
      </w:r>
      <w:r w:rsidR="009F18F3" w:rsidRPr="00451078">
        <w:rPr>
          <w:rFonts w:ascii="Tahoma" w:hAnsi="Tahoma" w:cs="Tahoma"/>
          <w:color w:val="000000"/>
          <w:sz w:val="18"/>
          <w:lang w:val="it-IT"/>
        </w:rPr>
        <w:t> </w:t>
      </w:r>
      <w:r w:rsidRPr="00451078">
        <w:rPr>
          <w:rFonts w:ascii="Tahoma" w:hAnsi="Tahoma" w:cs="Tahoma"/>
          <w:color w:val="000000"/>
          <w:sz w:val="18"/>
          <w:lang w:val="it-IT"/>
        </w:rPr>
        <w:t xml:space="preserve">copertura cesserà alla scadenza della copertura per le licenze qualificanti. Alla scadenza della copertura, le società potranno rinnovare Software Assurance sulle licenze concesse. </w:t>
      </w:r>
    </w:p>
    <w:p w:rsidR="00ED12C0" w:rsidRPr="00451078" w:rsidRDefault="00ED12C0" w:rsidP="00376D4B">
      <w:pPr>
        <w:pStyle w:val="EndnoteText"/>
        <w:ind w:left="720"/>
        <w:rPr>
          <w:lang w:val="it-IT"/>
        </w:rPr>
      </w:pPr>
    </w:p>
    <w:p w:rsidR="00ED12C0" w:rsidRPr="00451078" w:rsidRDefault="00ED12C0" w:rsidP="00376D4B">
      <w:pPr>
        <w:pStyle w:val="EndnoteText"/>
        <w:ind w:left="720"/>
        <w:rPr>
          <w:lang w:val="it-IT"/>
        </w:rPr>
      </w:pPr>
      <w:r w:rsidRPr="00451078">
        <w:rPr>
          <w:rFonts w:ascii="Tahoma" w:hAnsi="Tahoma" w:cs="Tahoma"/>
          <w:color w:val="000000"/>
          <w:sz w:val="18"/>
          <w:lang w:val="it-IT"/>
        </w:rPr>
        <w:t>L</w:t>
      </w:r>
      <w:r w:rsidR="0073727D">
        <w:rPr>
          <w:rFonts w:ascii="Tahoma" w:hAnsi="Tahoma" w:cs="Tahoma"/>
          <w:color w:val="000000"/>
          <w:sz w:val="18"/>
          <w:lang w:val="it-IT"/>
        </w:rPr>
        <w:t>’</w:t>
      </w:r>
      <w:r w:rsidRPr="00451078">
        <w:rPr>
          <w:rFonts w:ascii="Tahoma" w:hAnsi="Tahoma" w:cs="Tahoma"/>
          <w:color w:val="000000"/>
          <w:sz w:val="18"/>
          <w:lang w:val="it-IT"/>
        </w:rPr>
        <w:t>utilizzo del software da parte della società ai sensi della presente offerta sarà soggetto alle condizioni del</w:t>
      </w:r>
      <w:r w:rsidR="009F18F3" w:rsidRPr="00451078">
        <w:rPr>
          <w:rFonts w:ascii="Tahoma" w:hAnsi="Tahoma" w:cs="Tahoma"/>
          <w:color w:val="000000"/>
          <w:sz w:val="18"/>
          <w:lang w:val="it-IT"/>
        </w:rPr>
        <w:t> </w:t>
      </w:r>
      <w:r w:rsidRPr="00451078">
        <w:rPr>
          <w:rFonts w:ascii="Tahoma" w:hAnsi="Tahoma" w:cs="Tahoma"/>
          <w:color w:val="000000"/>
          <w:sz w:val="18"/>
          <w:lang w:val="it-IT"/>
        </w:rPr>
        <w:t>relativo contratto di licenza e ai diritti di utilizzo del prodotto relativi al software. Il diritto di utilizzo del</w:t>
      </w:r>
      <w:r w:rsidR="009F18F3" w:rsidRPr="00451078">
        <w:rPr>
          <w:rFonts w:ascii="Tahoma" w:hAnsi="Tahoma" w:cs="Tahoma"/>
          <w:color w:val="000000"/>
          <w:sz w:val="18"/>
          <w:lang w:val="it-IT"/>
        </w:rPr>
        <w:t> </w:t>
      </w:r>
      <w:r w:rsidRPr="00451078">
        <w:rPr>
          <w:rFonts w:ascii="Tahoma" w:hAnsi="Tahoma" w:cs="Tahoma"/>
          <w:color w:val="000000"/>
          <w:sz w:val="18"/>
          <w:lang w:val="it-IT"/>
        </w:rPr>
        <w:t>software in concessione scadrà alla scadenza del diritto di utilizzo del software ai sensi della licenza qualificante per Windows Embedded Device Manager 2011. Questa Nota relativa al Prodotto insieme alla prova delle licenze qualificanti attesteranno il diritto della società di utilizzare Windows Embedded Device Manager 2011 ai sensi delle condizioni della presente offerta. La società non avrà più il diritto di utilizzo del</w:t>
      </w:r>
      <w:r w:rsidR="009F18F3" w:rsidRPr="00451078">
        <w:rPr>
          <w:rFonts w:ascii="Tahoma" w:hAnsi="Tahoma" w:cs="Tahoma"/>
          <w:color w:val="000000"/>
          <w:sz w:val="18"/>
          <w:lang w:val="it-IT"/>
        </w:rPr>
        <w:t> </w:t>
      </w:r>
      <w:r w:rsidRPr="00451078">
        <w:rPr>
          <w:rFonts w:ascii="Tahoma" w:hAnsi="Tahoma" w:cs="Tahoma"/>
          <w:color w:val="000000"/>
          <w:sz w:val="18"/>
          <w:lang w:val="it-IT"/>
        </w:rPr>
        <w:t>software ai sensi di licenze qualificanti cedute al server al momento dell</w:t>
      </w:r>
      <w:r w:rsidR="0073727D">
        <w:rPr>
          <w:rFonts w:ascii="Tahoma" w:hAnsi="Tahoma" w:cs="Tahoma"/>
          <w:color w:val="000000"/>
          <w:sz w:val="18"/>
          <w:lang w:val="it-IT"/>
        </w:rPr>
        <w:t>’</w:t>
      </w:r>
      <w:r w:rsidRPr="00451078">
        <w:rPr>
          <w:rFonts w:ascii="Tahoma" w:hAnsi="Tahoma" w:cs="Tahoma"/>
          <w:color w:val="000000"/>
          <w:sz w:val="18"/>
          <w:lang w:val="it-IT"/>
        </w:rPr>
        <w:t>uso del software in base alla presente offerta. Le società non potranno trasferire le licenze concesse in virtù della presente offerta separatamente dalle licenze qualificanti corrispondenti.</w:t>
      </w:r>
    </w:p>
    <w:p w:rsidR="00ED12C0" w:rsidRPr="00451078" w:rsidRDefault="00ED12C0" w:rsidP="00376D4B">
      <w:pPr>
        <w:pStyle w:val="EndnoteText"/>
        <w:ind w:left="720"/>
        <w:rPr>
          <w:lang w:val="it-IT"/>
        </w:rPr>
      </w:pPr>
    </w:p>
    <w:p w:rsidR="00ED12C0" w:rsidRPr="00451078" w:rsidRDefault="00ED12C0" w:rsidP="00376D4B">
      <w:pPr>
        <w:ind w:left="720"/>
        <w:rPr>
          <w:lang w:val="it-IT"/>
        </w:rPr>
      </w:pPr>
      <w:r w:rsidRPr="00451078">
        <w:rPr>
          <w:rFonts w:cs="Tahoma"/>
          <w:color w:val="000000"/>
          <w:szCs w:val="24"/>
          <w:lang w:val="it-IT"/>
        </w:rPr>
        <w:t>Le licenze per Windows Embedded Device Manager 2011, acquistate dopo il 1 aprile 2012 nell</w:t>
      </w:r>
      <w:r w:rsidR="0073727D">
        <w:rPr>
          <w:rFonts w:cs="Tahoma"/>
          <w:color w:val="000000"/>
          <w:szCs w:val="24"/>
          <w:lang w:val="it-IT"/>
        </w:rPr>
        <w:t>’</w:t>
      </w:r>
      <w:r w:rsidRPr="00451078">
        <w:rPr>
          <w:rFonts w:cs="Tahoma"/>
          <w:color w:val="000000"/>
          <w:szCs w:val="24"/>
          <w:lang w:val="it-IT"/>
        </w:rPr>
        <w:t>ambito della procedura annuale di true-up di una società per le Iscrizioni Enterprise, ai sensi delle quali le licenze per Windows Embedded Device Manager 2011 sono state inizialmente acquistate prima del 1 aprile 2012, sono anch</w:t>
      </w:r>
      <w:r w:rsidR="0073727D">
        <w:rPr>
          <w:rFonts w:cs="Tahoma"/>
          <w:color w:val="000000"/>
          <w:szCs w:val="24"/>
          <w:lang w:val="it-IT"/>
        </w:rPr>
        <w:t>’</w:t>
      </w:r>
      <w:r w:rsidRPr="00451078">
        <w:rPr>
          <w:rFonts w:cs="Tahoma"/>
          <w:color w:val="000000"/>
          <w:szCs w:val="24"/>
          <w:lang w:val="it-IT"/>
        </w:rPr>
        <w:t>esse idonee a ricevere Client ML per Windows Embedded Device Manager 2011 in base alla presente offerta.</w:t>
      </w:r>
    </w:p>
    <w:p w:rsidR="00ED12C0" w:rsidRPr="00451078" w:rsidRDefault="00ED12C0" w:rsidP="00376D4B">
      <w:pPr>
        <w:ind w:left="720"/>
        <w:rPr>
          <w:lang w:val="it-IT"/>
        </w:rPr>
      </w:pPr>
    </w:p>
    <w:p w:rsidR="00ED12C0" w:rsidRPr="00451078" w:rsidRDefault="00ED12C0" w:rsidP="004731B6">
      <w:pPr>
        <w:ind w:left="720"/>
        <w:rPr>
          <w:lang w:val="it-IT"/>
        </w:rPr>
      </w:pPr>
      <w:r w:rsidRPr="00451078">
        <w:rPr>
          <w:rFonts w:cs="Tahoma"/>
          <w:color w:val="000000"/>
          <w:szCs w:val="24"/>
          <w:lang w:val="it-IT"/>
        </w:rPr>
        <w:t>Per Contratti Enterprise Subscription, Campus e School e Open Value Subscription, gli stessi diritti verranno concessi temporaneamente fino al termine del periodo di validità dell</w:t>
      </w:r>
      <w:r w:rsidR="0073727D">
        <w:rPr>
          <w:rFonts w:cs="Tahoma"/>
          <w:color w:val="000000"/>
          <w:szCs w:val="24"/>
          <w:lang w:val="it-IT"/>
        </w:rPr>
        <w:t>’</w:t>
      </w:r>
      <w:r w:rsidRPr="00451078">
        <w:rPr>
          <w:rFonts w:cs="Tahoma"/>
          <w:color w:val="000000"/>
          <w:szCs w:val="24"/>
          <w:lang w:val="it-IT"/>
        </w:rPr>
        <w:t>iscrizione della licenza, qualora le Licenze e la copertura Software Assurance siano valide durante il periodo di concessione e la società mantenga la copertura dell</w:t>
      </w:r>
      <w:r w:rsidR="0073727D">
        <w:rPr>
          <w:rFonts w:cs="Tahoma"/>
          <w:color w:val="000000"/>
          <w:szCs w:val="24"/>
          <w:lang w:val="it-IT"/>
        </w:rPr>
        <w:t>’</w:t>
      </w:r>
      <w:r w:rsidRPr="00451078">
        <w:rPr>
          <w:rFonts w:cs="Tahoma"/>
          <w:color w:val="000000"/>
          <w:szCs w:val="24"/>
          <w:lang w:val="it-IT"/>
        </w:rPr>
        <w:t>abbonamento in via continuativa.</w:t>
      </w:r>
      <w:r w:rsidR="00082E1C" w:rsidRPr="00451078">
        <w:rPr>
          <w:rFonts w:cs="Tahoma"/>
          <w:color w:val="000000"/>
          <w:szCs w:val="24"/>
          <w:lang w:val="it-IT"/>
        </w:rPr>
        <w:t xml:space="preserve"> </w:t>
      </w:r>
      <w:r w:rsidRPr="00451078">
        <w:rPr>
          <w:rFonts w:cs="Tahoma"/>
          <w:color w:val="000000"/>
          <w:szCs w:val="24"/>
          <w:lang w:val="it-IT"/>
        </w:rPr>
        <w:t>Tali diritti diventeranno permanenti soltanto all</w:t>
      </w:r>
      <w:r w:rsidR="0073727D">
        <w:rPr>
          <w:rFonts w:cs="Tahoma"/>
          <w:color w:val="000000"/>
          <w:szCs w:val="24"/>
          <w:lang w:val="it-IT"/>
        </w:rPr>
        <w:t>’</w:t>
      </w:r>
      <w:r w:rsidRPr="00451078">
        <w:rPr>
          <w:rFonts w:cs="Tahoma"/>
          <w:color w:val="000000"/>
          <w:szCs w:val="24"/>
          <w:lang w:val="it-IT"/>
        </w:rPr>
        <w:t>esercizio dell</w:t>
      </w:r>
      <w:r w:rsidR="0073727D">
        <w:rPr>
          <w:rFonts w:cs="Tahoma"/>
          <w:color w:val="000000"/>
          <w:szCs w:val="24"/>
          <w:lang w:val="it-IT"/>
        </w:rPr>
        <w:t>’</w:t>
      </w:r>
      <w:r w:rsidRPr="00451078">
        <w:rPr>
          <w:rFonts w:cs="Tahoma"/>
          <w:color w:val="000000"/>
          <w:szCs w:val="24"/>
          <w:lang w:val="it-IT"/>
        </w:rPr>
        <w:t>opzione buy-out e resteranno soggetti a tutte le condizioni del contratto di licenza della</w:t>
      </w:r>
      <w:r w:rsidR="004731B6">
        <w:rPr>
          <w:rFonts w:cs="Tahoma"/>
          <w:color w:val="000000"/>
          <w:szCs w:val="24"/>
          <w:lang w:val="it-IT"/>
        </w:rPr>
        <w:t> </w:t>
      </w:r>
      <w:r w:rsidRPr="00451078">
        <w:rPr>
          <w:rFonts w:cs="Tahoma"/>
          <w:color w:val="000000"/>
          <w:szCs w:val="24"/>
          <w:lang w:val="it-IT"/>
        </w:rPr>
        <w:t>società.</w:t>
      </w:r>
    </w:p>
    <w:p w:rsidR="00A40838" w:rsidRPr="00451078" w:rsidRDefault="00A40838" w:rsidP="00376D4B">
      <w:pPr>
        <w:ind w:left="720"/>
        <w:rPr>
          <w:lang w:val="it-IT"/>
        </w:rPr>
      </w:pPr>
    </w:p>
    <w:p w:rsidR="005D5C95" w:rsidRPr="00451078" w:rsidRDefault="005D5C95" w:rsidP="00376D4B">
      <w:pPr>
        <w:ind w:left="720"/>
        <w:rPr>
          <w:lang w:val="it-IT"/>
        </w:rPr>
      </w:pPr>
    </w:p>
    <w:p w:rsidR="005D5C95" w:rsidRPr="00451078" w:rsidRDefault="00BA29A7" w:rsidP="005D5C95">
      <w:pPr>
        <w:pStyle w:val="Heading2"/>
        <w:ind w:left="0"/>
        <w:rPr>
          <w:lang w:val="it-IT"/>
        </w:rPr>
      </w:pPr>
      <w:bookmarkStart w:id="1487" w:name="_96_Windows_Embedded"/>
      <w:bookmarkStart w:id="1488" w:name="_96_Licenze_di"/>
      <w:bookmarkStart w:id="1489" w:name="_Toc352234949"/>
      <w:bookmarkStart w:id="1490" w:name="Srv_108EBS2008StandardPrem"/>
      <w:bookmarkEnd w:id="1487"/>
      <w:bookmarkEnd w:id="1488"/>
      <w:r w:rsidRPr="00451078">
        <w:rPr>
          <w:rFonts w:ascii="Tahoma" w:hAnsi="Tahoma" w:cs="Tahoma"/>
          <w:caps/>
          <w:color w:val="FF6600"/>
          <w:sz w:val="22"/>
          <w:vertAlign w:val="superscript"/>
          <w:lang w:val="it-IT"/>
        </w:rPr>
        <w:t>96</w:t>
      </w:r>
      <w:r w:rsidRPr="00451078">
        <w:rPr>
          <w:rFonts w:ascii="Tahoma" w:hAnsi="Tahoma" w:cs="Tahoma"/>
          <w:color w:val="FF6600"/>
          <w:lang w:val="it-IT"/>
        </w:rPr>
        <w:t xml:space="preserve"> </w:t>
      </w:r>
      <w:r w:rsidRPr="00451078">
        <w:rPr>
          <w:rFonts w:ascii="Tahoma" w:hAnsi="Tahoma" w:cs="Tahoma"/>
          <w:color w:val="FF6600"/>
          <w:sz w:val="22"/>
          <w:lang w:val="it-IT"/>
        </w:rPr>
        <w:t>Licenze di Gestione Client per Windows Embedded Device Manager 2011</w:t>
      </w:r>
      <w:bookmarkEnd w:id="1489"/>
    </w:p>
    <w:p w:rsidR="005D5C95" w:rsidRPr="00451078" w:rsidRDefault="005D5C95" w:rsidP="005D5C95">
      <w:pPr>
        <w:rPr>
          <w:lang w:val="it-IT"/>
        </w:rPr>
      </w:pPr>
    </w:p>
    <w:p w:rsidR="005D5C95" w:rsidRPr="00451078" w:rsidRDefault="005D5C95" w:rsidP="005D5C95">
      <w:pPr>
        <w:pStyle w:val="EndnoteText"/>
        <w:ind w:left="720"/>
        <w:rPr>
          <w:lang w:val="it-IT"/>
        </w:rPr>
      </w:pPr>
      <w:r w:rsidRPr="00451078">
        <w:rPr>
          <w:rFonts w:ascii="Tahoma" w:hAnsi="Tahoma" w:cs="Tahoma"/>
          <w:color w:val="000000"/>
          <w:sz w:val="18"/>
          <w:lang w:val="it-IT"/>
        </w:rPr>
        <w:t>Prodotto End-Of-Life (EOL) che non verrà più offerto.</w:t>
      </w:r>
    </w:p>
    <w:p w:rsidR="005D5C95" w:rsidRPr="00451078" w:rsidRDefault="005D5C95" w:rsidP="005D5C95">
      <w:pPr>
        <w:pStyle w:val="EndnoteText"/>
        <w:ind w:left="720"/>
        <w:rPr>
          <w:lang w:val="it-IT"/>
        </w:rPr>
      </w:pPr>
    </w:p>
    <w:p w:rsidR="005D5C95" w:rsidRPr="00451078" w:rsidRDefault="005D5C95" w:rsidP="007A34E3">
      <w:pPr>
        <w:pStyle w:val="EndnoteText"/>
        <w:spacing w:after="60"/>
        <w:ind w:left="720"/>
        <w:rPr>
          <w:lang w:val="it-IT"/>
        </w:rPr>
      </w:pPr>
      <w:r w:rsidRPr="00451078">
        <w:rPr>
          <w:rFonts w:ascii="Tahoma" w:hAnsi="Tahoma" w:cs="Tahoma"/>
          <w:b/>
          <w:color w:val="000000"/>
          <w:sz w:val="18"/>
          <w:lang w:val="it-IT"/>
        </w:rPr>
        <w:t>Concessione di una Licenza di Gestione Client Una Tantum ai Titolari di Licenza per Windows Embedded Device Manager 2011 con Software Assurance Attiva</w:t>
      </w:r>
    </w:p>
    <w:p w:rsidR="005D5C95" w:rsidRDefault="005D5C95" w:rsidP="005D5C95">
      <w:pPr>
        <w:pStyle w:val="EndnoteText"/>
        <w:ind w:left="720"/>
        <w:rPr>
          <w:rFonts w:ascii="Tahoma" w:hAnsi="Tahoma" w:cs="Tahoma"/>
          <w:color w:val="000000"/>
          <w:sz w:val="18"/>
          <w:lang w:val="it-IT"/>
        </w:rPr>
      </w:pPr>
      <w:r w:rsidRPr="00451078">
        <w:rPr>
          <w:rFonts w:ascii="Tahoma" w:hAnsi="Tahoma" w:cs="Tahoma"/>
          <w:color w:val="000000"/>
          <w:sz w:val="18"/>
          <w:lang w:val="it-IT"/>
        </w:rPr>
        <w:t>In via di eccezione una tantum legata all</w:t>
      </w:r>
      <w:r w:rsidR="0073727D">
        <w:rPr>
          <w:rFonts w:ascii="Tahoma" w:hAnsi="Tahoma" w:cs="Tahoma"/>
          <w:color w:val="000000"/>
          <w:sz w:val="18"/>
          <w:lang w:val="it-IT"/>
        </w:rPr>
        <w:t>’</w:t>
      </w:r>
      <w:r w:rsidRPr="00451078">
        <w:rPr>
          <w:rFonts w:ascii="Tahoma" w:hAnsi="Tahoma" w:cs="Tahoma"/>
          <w:color w:val="000000"/>
          <w:sz w:val="18"/>
          <w:lang w:val="it-IT"/>
        </w:rPr>
        <w:t>interruzione di licenze di Gestione Client per Windows Embedded Device Manager 2011 (per OSE/Utente), alle società in possesso di Software Assurance con copertura attiva al 1 gennaio 2013 verrà fornito lo stesso numero di licenze di Gestione Client per System Center 2012 Configuration Manager (per OSE/Utente).</w:t>
      </w:r>
    </w:p>
    <w:p w:rsidR="00BA4186" w:rsidRPr="00451078" w:rsidRDefault="00BA4186" w:rsidP="005D5C95">
      <w:pPr>
        <w:pStyle w:val="EndnoteText"/>
        <w:ind w:left="720"/>
        <w:rPr>
          <w:lang w:val="it-IT"/>
        </w:rPr>
      </w:pPr>
    </w:p>
    <w:p w:rsidR="005D5C95" w:rsidRPr="00451078" w:rsidRDefault="005D5C95" w:rsidP="005D5C95">
      <w:pPr>
        <w:pStyle w:val="EndnoteText"/>
        <w:ind w:left="720"/>
        <w:rPr>
          <w:lang w:val="it-IT"/>
        </w:rPr>
      </w:pPr>
      <w:r w:rsidRPr="00451078">
        <w:rPr>
          <w:rFonts w:ascii="Tahoma" w:hAnsi="Tahoma" w:cs="Tahoma"/>
          <w:color w:val="000000"/>
          <w:sz w:val="18"/>
          <w:lang w:val="it-IT"/>
        </w:rPr>
        <w:t xml:space="preserve">Tutte le licenze concesse ai sensi della presente offerta includeranno la copertura Software Assurance. Tale copertura cesserà alla scadenza della copertura per le licenze qualificanti. Alla scadenza della copertura, le società potranno rinnovare Software Assurance sulle licenze concesse. </w:t>
      </w:r>
    </w:p>
    <w:p w:rsidR="005D5C95" w:rsidRPr="00451078" w:rsidRDefault="005D5C95" w:rsidP="005D5C95">
      <w:pPr>
        <w:pStyle w:val="EndnoteText"/>
        <w:ind w:left="720"/>
        <w:rPr>
          <w:lang w:val="it-IT"/>
        </w:rPr>
      </w:pPr>
    </w:p>
    <w:p w:rsidR="005D5C95" w:rsidRPr="00451078" w:rsidRDefault="005D5C95" w:rsidP="005D5C95">
      <w:pPr>
        <w:pStyle w:val="EndnoteText"/>
        <w:ind w:left="720"/>
        <w:rPr>
          <w:lang w:val="it-IT"/>
        </w:rPr>
      </w:pPr>
      <w:r w:rsidRPr="00451078">
        <w:rPr>
          <w:rFonts w:ascii="Tahoma" w:hAnsi="Tahoma" w:cs="Tahoma"/>
          <w:color w:val="000000"/>
          <w:sz w:val="18"/>
          <w:lang w:val="it-IT"/>
        </w:rPr>
        <w:t>L</w:t>
      </w:r>
      <w:r w:rsidR="0073727D">
        <w:rPr>
          <w:rFonts w:ascii="Tahoma" w:hAnsi="Tahoma" w:cs="Tahoma"/>
          <w:color w:val="000000"/>
          <w:sz w:val="18"/>
          <w:lang w:val="it-IT"/>
        </w:rPr>
        <w:t>’</w:t>
      </w:r>
      <w:r w:rsidRPr="00451078">
        <w:rPr>
          <w:rFonts w:ascii="Tahoma" w:hAnsi="Tahoma" w:cs="Tahoma"/>
          <w:color w:val="000000"/>
          <w:sz w:val="18"/>
          <w:lang w:val="it-IT"/>
        </w:rPr>
        <w:t>utilizzo del software da parte della società ai sensi della presente offerta sarà soggetto alle condizioni del</w:t>
      </w:r>
      <w:r w:rsidR="009F18F3" w:rsidRPr="00451078">
        <w:rPr>
          <w:rFonts w:ascii="Tahoma" w:hAnsi="Tahoma" w:cs="Tahoma"/>
          <w:color w:val="000000"/>
          <w:sz w:val="18"/>
          <w:lang w:val="it-IT"/>
        </w:rPr>
        <w:t> </w:t>
      </w:r>
      <w:r w:rsidRPr="00451078">
        <w:rPr>
          <w:rFonts w:ascii="Tahoma" w:hAnsi="Tahoma" w:cs="Tahoma"/>
          <w:color w:val="000000"/>
          <w:sz w:val="18"/>
          <w:lang w:val="it-IT"/>
        </w:rPr>
        <w:t>relativo contratto di licenza e ai diritti di utilizzo del prodotto relativi al software. Il diritto di utilizzo del</w:t>
      </w:r>
      <w:r w:rsidR="009F18F3" w:rsidRPr="00451078">
        <w:rPr>
          <w:rFonts w:ascii="Tahoma" w:hAnsi="Tahoma" w:cs="Tahoma"/>
          <w:color w:val="000000"/>
          <w:sz w:val="18"/>
          <w:lang w:val="it-IT"/>
        </w:rPr>
        <w:t> </w:t>
      </w:r>
      <w:r w:rsidRPr="00451078">
        <w:rPr>
          <w:rFonts w:ascii="Tahoma" w:hAnsi="Tahoma" w:cs="Tahoma"/>
          <w:color w:val="000000"/>
          <w:sz w:val="18"/>
          <w:lang w:val="it-IT"/>
        </w:rPr>
        <w:t xml:space="preserve">software in concessione scadrà alla scadenza del diritto di utilizzo del software ai sensi della licenza qualificante di Gestione Client per Windows Embedded Device Manager 2011. Questa Nota relativa al Prodotto insieme alla prova delle licenze qualificanti attesteranno il diritto della società di utilizzare la licenza di Gestione Client per System Center 2012 Configuration Manager ai sensi delle condizioni della presente offerta. La società non avrà più il diritto di utilizzo del software ai sensi di licenze qualificanti cedute al server </w:t>
      </w:r>
      <w:r w:rsidRPr="00451078">
        <w:rPr>
          <w:rFonts w:ascii="Tahoma" w:hAnsi="Tahoma" w:cs="Tahoma"/>
          <w:color w:val="000000"/>
          <w:sz w:val="18"/>
          <w:lang w:val="it-IT"/>
        </w:rPr>
        <w:lastRenderedPageBreak/>
        <w:t>al momento dell</w:t>
      </w:r>
      <w:r w:rsidR="0073727D">
        <w:rPr>
          <w:rFonts w:ascii="Tahoma" w:hAnsi="Tahoma" w:cs="Tahoma"/>
          <w:color w:val="000000"/>
          <w:sz w:val="18"/>
          <w:lang w:val="it-IT"/>
        </w:rPr>
        <w:t>’</w:t>
      </w:r>
      <w:r w:rsidRPr="00451078">
        <w:rPr>
          <w:rFonts w:ascii="Tahoma" w:hAnsi="Tahoma" w:cs="Tahoma"/>
          <w:color w:val="000000"/>
          <w:sz w:val="18"/>
          <w:lang w:val="it-IT"/>
        </w:rPr>
        <w:t>uso del software in base alla presente offerta. Le società non potranno trasferire le licenze concesse in virtù della presente offerta separatamente dalle licenze qualificanti corrispondenti.</w:t>
      </w:r>
    </w:p>
    <w:p w:rsidR="005D5C95" w:rsidRPr="00451078" w:rsidRDefault="005D5C95" w:rsidP="005D5C95">
      <w:pPr>
        <w:pStyle w:val="EndnoteText"/>
        <w:ind w:left="720"/>
        <w:rPr>
          <w:lang w:val="it-IT"/>
        </w:rPr>
      </w:pPr>
    </w:p>
    <w:p w:rsidR="005D5C95" w:rsidRPr="00451078" w:rsidRDefault="005D5C95" w:rsidP="005D5C95">
      <w:pPr>
        <w:ind w:left="720"/>
        <w:rPr>
          <w:lang w:val="it-IT"/>
        </w:rPr>
      </w:pPr>
      <w:r w:rsidRPr="00451078">
        <w:rPr>
          <w:rFonts w:cs="Tahoma"/>
          <w:color w:val="000000"/>
          <w:szCs w:val="24"/>
          <w:lang w:val="it-IT"/>
        </w:rPr>
        <w:t>Le licenze di Gestione Client per Windows Embedded Device Manager 2011, acquistate dopo il 1 gennaio 2013 nell</w:t>
      </w:r>
      <w:r w:rsidR="0073727D">
        <w:rPr>
          <w:rFonts w:cs="Tahoma"/>
          <w:color w:val="000000"/>
          <w:szCs w:val="24"/>
          <w:lang w:val="it-IT"/>
        </w:rPr>
        <w:t>’</w:t>
      </w:r>
      <w:r w:rsidRPr="00451078">
        <w:rPr>
          <w:rFonts w:cs="Tahoma"/>
          <w:color w:val="000000"/>
          <w:szCs w:val="24"/>
          <w:lang w:val="it-IT"/>
        </w:rPr>
        <w:t>ambito della procedura annuale di true-up di una società per le Iscrizioni Enterprise ai sensi delle quali le licenze di Gestione Client per Windows Embedded Device Manager 2011 sono state inizialmente acquistate prima del 1 gennaio 2013, sono anch</w:t>
      </w:r>
      <w:r w:rsidR="0073727D">
        <w:rPr>
          <w:rFonts w:cs="Tahoma"/>
          <w:color w:val="000000"/>
          <w:szCs w:val="24"/>
          <w:lang w:val="it-IT"/>
        </w:rPr>
        <w:t>’</w:t>
      </w:r>
      <w:r w:rsidRPr="00451078">
        <w:rPr>
          <w:rFonts w:cs="Tahoma"/>
          <w:color w:val="000000"/>
          <w:szCs w:val="24"/>
          <w:lang w:val="it-IT"/>
        </w:rPr>
        <w:t>esse idonee a ricevere le Client ML per System Center 2012 Configuration Manager in base alla presente offerta.</w:t>
      </w:r>
    </w:p>
    <w:p w:rsidR="005D5C95" w:rsidRPr="00451078" w:rsidRDefault="005D5C95" w:rsidP="005D5C95">
      <w:pPr>
        <w:ind w:left="720"/>
        <w:rPr>
          <w:lang w:val="it-IT"/>
        </w:rPr>
      </w:pPr>
    </w:p>
    <w:p w:rsidR="005D5C95" w:rsidRPr="00451078" w:rsidRDefault="005D5C95" w:rsidP="005D5C95">
      <w:pPr>
        <w:ind w:left="720"/>
        <w:rPr>
          <w:lang w:val="it-IT"/>
        </w:rPr>
      </w:pPr>
      <w:r w:rsidRPr="00451078">
        <w:rPr>
          <w:rFonts w:cs="Tahoma"/>
          <w:color w:val="000000"/>
          <w:szCs w:val="24"/>
          <w:lang w:val="it-IT"/>
        </w:rPr>
        <w:t>Per Contratti Enterprise Subscription, Campus e School e Open Value Subscription, gli stessi diritti verranno concessi temporaneamente fino al termine del periodo di validità dell</w:t>
      </w:r>
      <w:r w:rsidR="0073727D">
        <w:rPr>
          <w:rFonts w:cs="Tahoma"/>
          <w:color w:val="000000"/>
          <w:szCs w:val="24"/>
          <w:lang w:val="it-IT"/>
        </w:rPr>
        <w:t>’</w:t>
      </w:r>
      <w:r w:rsidRPr="00451078">
        <w:rPr>
          <w:rFonts w:cs="Tahoma"/>
          <w:color w:val="000000"/>
          <w:szCs w:val="24"/>
          <w:lang w:val="it-IT"/>
        </w:rPr>
        <w:t>iscrizione della licenza, qualora le Licenze e la copertura Software Assurance siano valide durante il periodo di concessione e la società mantenga la copertura dell</w:t>
      </w:r>
      <w:r w:rsidR="0073727D">
        <w:rPr>
          <w:rFonts w:cs="Tahoma"/>
          <w:color w:val="000000"/>
          <w:szCs w:val="24"/>
          <w:lang w:val="it-IT"/>
        </w:rPr>
        <w:t>’</w:t>
      </w:r>
      <w:r w:rsidRPr="00451078">
        <w:rPr>
          <w:rFonts w:cs="Tahoma"/>
          <w:color w:val="000000"/>
          <w:szCs w:val="24"/>
          <w:lang w:val="it-IT"/>
        </w:rPr>
        <w:t>abbonamento in via continuativa.</w:t>
      </w:r>
      <w:r w:rsidR="00082E1C" w:rsidRPr="00451078">
        <w:rPr>
          <w:rFonts w:cs="Tahoma"/>
          <w:color w:val="000000"/>
          <w:szCs w:val="24"/>
          <w:lang w:val="it-IT"/>
        </w:rPr>
        <w:t xml:space="preserve"> </w:t>
      </w:r>
      <w:r w:rsidRPr="00451078">
        <w:rPr>
          <w:rFonts w:cs="Tahoma"/>
          <w:color w:val="000000"/>
          <w:szCs w:val="24"/>
          <w:lang w:val="it-IT"/>
        </w:rPr>
        <w:t>Tali diritti diventeranno permanenti soltanto all</w:t>
      </w:r>
      <w:r w:rsidR="0073727D">
        <w:rPr>
          <w:rFonts w:cs="Tahoma"/>
          <w:color w:val="000000"/>
          <w:szCs w:val="24"/>
          <w:lang w:val="it-IT"/>
        </w:rPr>
        <w:t>’</w:t>
      </w:r>
      <w:r w:rsidRPr="00451078">
        <w:rPr>
          <w:rFonts w:cs="Tahoma"/>
          <w:color w:val="000000"/>
          <w:szCs w:val="24"/>
          <w:lang w:val="it-IT"/>
        </w:rPr>
        <w:t>esercizio dell</w:t>
      </w:r>
      <w:r w:rsidR="0073727D">
        <w:rPr>
          <w:rFonts w:cs="Tahoma"/>
          <w:color w:val="000000"/>
          <w:szCs w:val="24"/>
          <w:lang w:val="it-IT"/>
        </w:rPr>
        <w:t>’</w:t>
      </w:r>
      <w:r w:rsidRPr="00451078">
        <w:rPr>
          <w:rFonts w:cs="Tahoma"/>
          <w:color w:val="000000"/>
          <w:szCs w:val="24"/>
          <w:lang w:val="it-IT"/>
        </w:rPr>
        <w:t>opzione buy-out e resteranno soggetti a tutte le condizioni del contratto di licenza della società.</w:t>
      </w:r>
    </w:p>
    <w:p w:rsidR="005D5C95" w:rsidRPr="00451078" w:rsidRDefault="005D5C95" w:rsidP="005D5C95">
      <w:pPr>
        <w:ind w:left="720"/>
        <w:rPr>
          <w:lang w:val="it-IT"/>
        </w:rPr>
      </w:pPr>
    </w:p>
    <w:p w:rsidR="005D5C95" w:rsidRPr="00451078" w:rsidRDefault="005D5C95" w:rsidP="005D5C95">
      <w:pPr>
        <w:ind w:left="720"/>
        <w:rPr>
          <w:lang w:val="it-IT"/>
        </w:rPr>
      </w:pPr>
      <w:r w:rsidRPr="00451078">
        <w:rPr>
          <w:rFonts w:cs="Tahoma"/>
          <w:color w:val="000000"/>
          <w:szCs w:val="24"/>
          <w:lang w:val="it-IT"/>
        </w:rPr>
        <w:t>I diritti di downgrade della versione sono applicabili a tutte le licenze di Gestione Client per System Center 2012 Configuration Manager concesse.</w:t>
      </w:r>
    </w:p>
    <w:p w:rsidR="00ED12C0" w:rsidRDefault="00ED12C0" w:rsidP="00ED12C0">
      <w:pPr>
        <w:ind w:left="900"/>
        <w:rPr>
          <w:lang w:val="it-IT"/>
        </w:rPr>
      </w:pPr>
    </w:p>
    <w:p w:rsidR="004F09FE" w:rsidRPr="00451078" w:rsidRDefault="004F09FE" w:rsidP="00ED12C0">
      <w:pPr>
        <w:ind w:left="900"/>
        <w:rPr>
          <w:lang w:val="it-IT"/>
        </w:rPr>
      </w:pPr>
    </w:p>
    <w:p w:rsidR="00A6493D" w:rsidRPr="00451078" w:rsidRDefault="00BA29A7" w:rsidP="00A6493D">
      <w:pPr>
        <w:pStyle w:val="Heading3"/>
        <w:rPr>
          <w:lang w:val="it-IT"/>
        </w:rPr>
      </w:pPr>
      <w:bookmarkStart w:id="1491" w:name="_107_EBS_2008"/>
      <w:bookmarkStart w:id="1492" w:name="_95_EBS_2008"/>
      <w:bookmarkStart w:id="1493" w:name="_97_Windows_EBS"/>
      <w:bookmarkStart w:id="1494" w:name="_Toc336338364"/>
      <w:bookmarkStart w:id="1495" w:name="_Toc352234950"/>
      <w:bookmarkStart w:id="1496" w:name="Srv_101WindowsEssBusSvrStdPrem"/>
      <w:bookmarkEnd w:id="1491"/>
      <w:bookmarkEnd w:id="1492"/>
      <w:bookmarkEnd w:id="1493"/>
      <w:r w:rsidRPr="00451078">
        <w:rPr>
          <w:rFonts w:ascii="Tahoma" w:hAnsi="Tahoma"/>
          <w:caps/>
          <w:color w:val="F66400"/>
          <w:sz w:val="22"/>
          <w:vertAlign w:val="superscript"/>
          <w:lang w:val="it-IT"/>
        </w:rPr>
        <w:t>97</w:t>
      </w:r>
      <w:r w:rsidRPr="00451078">
        <w:rPr>
          <w:rFonts w:ascii="Tahoma" w:hAnsi="Tahoma"/>
          <w:caps/>
          <w:color w:val="F66400"/>
          <w:sz w:val="24"/>
          <w:vertAlign w:val="superscript"/>
          <w:lang w:val="it-IT"/>
        </w:rPr>
        <w:t xml:space="preserve"> </w:t>
      </w:r>
      <w:r w:rsidRPr="00451078">
        <w:rPr>
          <w:rFonts w:ascii="Tahoma" w:hAnsi="Tahoma"/>
          <w:color w:val="F66400"/>
          <w:sz w:val="22"/>
          <w:szCs w:val="22"/>
          <w:lang w:val="it-IT"/>
        </w:rPr>
        <w:t>Windows EBS 2008, Edizioni Standard e Premium</w:t>
      </w:r>
      <w:bookmarkEnd w:id="1490"/>
      <w:bookmarkEnd w:id="1494"/>
      <w:bookmarkEnd w:id="1495"/>
    </w:p>
    <w:bookmarkEnd w:id="1486"/>
    <w:bookmarkEnd w:id="1496"/>
    <w:p w:rsidR="00113634" w:rsidRPr="00451078" w:rsidRDefault="00113634" w:rsidP="00113634">
      <w:pPr>
        <w:rPr>
          <w:lang w:val="it-IT"/>
        </w:rPr>
      </w:pPr>
    </w:p>
    <w:p w:rsidR="00113634" w:rsidRPr="00451078" w:rsidRDefault="00113634" w:rsidP="00376D4B">
      <w:pPr>
        <w:pStyle w:val="EndnoteText"/>
        <w:ind w:left="720"/>
        <w:rPr>
          <w:lang w:val="it-IT"/>
        </w:rPr>
      </w:pPr>
      <w:r w:rsidRPr="00451078">
        <w:rPr>
          <w:rFonts w:ascii="Tahoma" w:hAnsi="Tahoma" w:cs="Tahoma"/>
          <w:sz w:val="18"/>
          <w:szCs w:val="18"/>
          <w:lang w:val="it-IT"/>
        </w:rPr>
        <w:t>Prodotti End-Of-Life (EOL) che non verranno più offerti.</w:t>
      </w:r>
    </w:p>
    <w:p w:rsidR="00113634" w:rsidRPr="00451078" w:rsidRDefault="00113634" w:rsidP="00376D4B">
      <w:pPr>
        <w:pStyle w:val="EndnoteText"/>
        <w:ind w:left="720"/>
        <w:rPr>
          <w:lang w:val="it-IT"/>
        </w:rPr>
      </w:pPr>
    </w:p>
    <w:p w:rsidR="00113634" w:rsidRPr="00451078" w:rsidRDefault="00113634" w:rsidP="00B76943">
      <w:pPr>
        <w:pStyle w:val="EndnoteText"/>
        <w:spacing w:after="60"/>
        <w:ind w:left="720"/>
        <w:rPr>
          <w:lang w:val="it-IT"/>
        </w:rPr>
      </w:pPr>
      <w:r w:rsidRPr="00451078">
        <w:rPr>
          <w:rFonts w:ascii="Tahoma" w:hAnsi="Tahoma" w:cs="Tahoma"/>
          <w:b/>
          <w:sz w:val="18"/>
          <w:szCs w:val="18"/>
          <w:lang w:val="it-IT"/>
        </w:rPr>
        <w:t>Concessione di una Licenza Una Tantum ai Titolari di Licenza per EBS 2008 Standard ed EBS 2008 Premium</w:t>
      </w:r>
    </w:p>
    <w:p w:rsidR="00113634" w:rsidRPr="00451078" w:rsidRDefault="00113634" w:rsidP="003D4B48">
      <w:pPr>
        <w:pStyle w:val="ListParagraph"/>
        <w:contextualSpacing w:val="0"/>
        <w:rPr>
          <w:lang w:val="it-IT"/>
        </w:rPr>
      </w:pPr>
      <w:r w:rsidRPr="00451078">
        <w:rPr>
          <w:rFonts w:ascii="Tahoma" w:hAnsi="Tahoma" w:cs="Tahoma"/>
          <w:sz w:val="18"/>
          <w:szCs w:val="18"/>
          <w:u w:val="single"/>
          <w:lang w:val="it-IT"/>
        </w:rPr>
        <w:t>Tutte le società che hanno stipulato Contratti Multilicenza per Windows Essential Business Server 2008 (EBS) Standard e Premium</w:t>
      </w:r>
      <w:r w:rsidRPr="00451078">
        <w:rPr>
          <w:rFonts w:ascii="Tahoma" w:hAnsi="Tahoma" w:cs="Tahoma"/>
          <w:b/>
          <w:sz w:val="18"/>
          <w:szCs w:val="18"/>
          <w:lang w:val="it-IT"/>
        </w:rPr>
        <w:t xml:space="preserve"> </w:t>
      </w:r>
      <w:r w:rsidRPr="00451078">
        <w:rPr>
          <w:rFonts w:ascii="Tahoma" w:hAnsi="Tahoma" w:cs="Tahoma"/>
          <w:sz w:val="18"/>
          <w:szCs w:val="18"/>
          <w:lang w:val="it-IT"/>
        </w:rPr>
        <w:t>sono idonee a ricevere le seguenti licenze gratuite per ogni licenza per EBS 2008</w:t>
      </w:r>
      <w:r w:rsidR="003D4B48">
        <w:rPr>
          <w:rFonts w:ascii="Tahoma" w:hAnsi="Tahoma" w:cs="Tahoma"/>
          <w:sz w:val="18"/>
          <w:szCs w:val="18"/>
          <w:lang w:val="it-IT"/>
        </w:rPr>
        <w:t> </w:t>
      </w:r>
      <w:r w:rsidRPr="00451078">
        <w:rPr>
          <w:rFonts w:ascii="Tahoma" w:hAnsi="Tahoma" w:cs="Tahoma"/>
          <w:sz w:val="18"/>
          <w:szCs w:val="18"/>
          <w:lang w:val="it-IT"/>
        </w:rPr>
        <w:t>Standard o Premium posseduta al 1 luglio 2010:</w:t>
      </w:r>
    </w:p>
    <w:p w:rsidR="00A6493D" w:rsidRPr="00451078" w:rsidRDefault="00A6493D" w:rsidP="00E63984">
      <w:pPr>
        <w:pStyle w:val="ListParagraph"/>
        <w:ind w:left="1260"/>
        <w:contextualSpacing w:val="0"/>
        <w:rPr>
          <w:rFonts w:ascii="Tahoma" w:hAnsi="Tahoma" w:cs="Tahoma"/>
          <w:sz w:val="18"/>
          <w:szCs w:val="18"/>
          <w:lang w:val="it-IT"/>
        </w:rPr>
      </w:pPr>
    </w:p>
    <w:p w:rsidR="00113634" w:rsidRPr="009F18F3" w:rsidRDefault="00113634" w:rsidP="00745AB3">
      <w:pPr>
        <w:pStyle w:val="ListParagraph"/>
        <w:numPr>
          <w:ilvl w:val="0"/>
          <w:numId w:val="24"/>
        </w:numPr>
        <w:spacing w:after="60"/>
        <w:ind w:left="1440"/>
        <w:contextualSpacing w:val="0"/>
        <w:rPr>
          <w:rFonts w:ascii="Tahoma" w:hAnsi="Tahoma" w:cs="Tahoma"/>
          <w:sz w:val="18"/>
          <w:szCs w:val="18"/>
        </w:rPr>
      </w:pPr>
      <w:r w:rsidRPr="009F18F3">
        <w:rPr>
          <w:rFonts w:ascii="Tahoma" w:hAnsi="Tahoma" w:cs="Tahoma"/>
          <w:sz w:val="18"/>
          <w:szCs w:val="18"/>
        </w:rPr>
        <w:t>3 licenze software per Windows Server 2008 Standard</w:t>
      </w:r>
    </w:p>
    <w:p w:rsidR="00113634" w:rsidRPr="009F18F3" w:rsidRDefault="00113634" w:rsidP="00745AB3">
      <w:pPr>
        <w:pStyle w:val="ListParagraph"/>
        <w:numPr>
          <w:ilvl w:val="0"/>
          <w:numId w:val="24"/>
        </w:numPr>
        <w:spacing w:after="60"/>
        <w:ind w:left="1440"/>
        <w:contextualSpacing w:val="0"/>
        <w:rPr>
          <w:rFonts w:ascii="Tahoma" w:hAnsi="Tahoma" w:cs="Tahoma"/>
          <w:sz w:val="18"/>
          <w:szCs w:val="18"/>
        </w:rPr>
      </w:pPr>
      <w:r w:rsidRPr="009F18F3">
        <w:rPr>
          <w:rFonts w:ascii="Tahoma" w:hAnsi="Tahoma" w:cs="Tahoma"/>
          <w:sz w:val="18"/>
          <w:szCs w:val="18"/>
        </w:rPr>
        <w:t>2 licenze software per Exchange Server 2007 Standard</w:t>
      </w:r>
    </w:p>
    <w:p w:rsidR="00113634" w:rsidRPr="00451078" w:rsidRDefault="00113634" w:rsidP="00745AB3">
      <w:pPr>
        <w:pStyle w:val="ListParagraph"/>
        <w:numPr>
          <w:ilvl w:val="0"/>
          <w:numId w:val="24"/>
        </w:numPr>
        <w:spacing w:after="60"/>
        <w:ind w:left="1440"/>
        <w:contextualSpacing w:val="0"/>
        <w:rPr>
          <w:rFonts w:ascii="Tahoma" w:hAnsi="Tahoma" w:cs="Tahoma"/>
          <w:sz w:val="18"/>
          <w:szCs w:val="18"/>
          <w:lang w:val="it-IT"/>
        </w:rPr>
      </w:pPr>
      <w:r w:rsidRPr="00451078">
        <w:rPr>
          <w:rFonts w:ascii="Tahoma" w:hAnsi="Tahoma" w:cs="Tahoma"/>
          <w:sz w:val="18"/>
          <w:szCs w:val="18"/>
          <w:lang w:val="it-IT"/>
        </w:rPr>
        <w:t>1 licenza software per System Center Essentials 2007 e 10 licenze di gestione Server e 50 di gestione Client</w:t>
      </w:r>
    </w:p>
    <w:p w:rsidR="00113634" w:rsidRPr="00451078" w:rsidRDefault="00113634" w:rsidP="00E63984">
      <w:pPr>
        <w:ind w:left="1260"/>
        <w:rPr>
          <w:lang w:val="it-IT"/>
        </w:rPr>
      </w:pPr>
    </w:p>
    <w:p w:rsidR="00113634" w:rsidRPr="00451078" w:rsidRDefault="00113634" w:rsidP="00B76943">
      <w:pPr>
        <w:ind w:left="720"/>
        <w:rPr>
          <w:rFonts w:cs="Tahoma"/>
          <w:szCs w:val="18"/>
          <w:lang w:val="it-IT"/>
        </w:rPr>
      </w:pPr>
      <w:r w:rsidRPr="00451078">
        <w:rPr>
          <w:rFonts w:cs="Tahoma"/>
          <w:szCs w:val="18"/>
          <w:lang w:val="it-IT"/>
        </w:rPr>
        <w:t>Le licenze gratuite sono attestate dal Contratto Multilicenza della società e dalla presente nota relativa alle condizioni del prodotto.</w:t>
      </w:r>
      <w:r w:rsidR="00082E1C" w:rsidRPr="00451078">
        <w:rPr>
          <w:rFonts w:cs="Tahoma"/>
          <w:szCs w:val="18"/>
          <w:lang w:val="it-IT"/>
        </w:rPr>
        <w:t xml:space="preserve"> </w:t>
      </w:r>
      <w:r w:rsidRPr="00451078">
        <w:rPr>
          <w:rFonts w:cs="Tahoma"/>
          <w:szCs w:val="18"/>
          <w:lang w:val="it-IT"/>
        </w:rPr>
        <w:t>L</w:t>
      </w:r>
      <w:r w:rsidR="0073727D">
        <w:rPr>
          <w:rFonts w:cs="Tahoma"/>
          <w:szCs w:val="18"/>
          <w:lang w:val="it-IT"/>
        </w:rPr>
        <w:t>’</w:t>
      </w:r>
      <w:r w:rsidRPr="00451078">
        <w:rPr>
          <w:rFonts w:cs="Tahoma"/>
          <w:szCs w:val="18"/>
          <w:lang w:val="it-IT"/>
        </w:rPr>
        <w:t>utilizzo del software ai sensi delle licenze gratuite è soggetto alle condizioni del contratto della società e ai diritti di utilizzo del prodotto per i prodotti individuali.</w:t>
      </w:r>
      <w:r w:rsidR="00082E1C" w:rsidRPr="00451078">
        <w:rPr>
          <w:rFonts w:cs="Tahoma"/>
          <w:szCs w:val="18"/>
          <w:lang w:val="it-IT"/>
        </w:rPr>
        <w:t xml:space="preserve"> </w:t>
      </w:r>
      <w:r w:rsidRPr="00451078">
        <w:rPr>
          <w:rFonts w:cs="Tahoma"/>
          <w:szCs w:val="18"/>
          <w:lang w:val="it-IT"/>
        </w:rPr>
        <w:t>Il diritto di utilizzo del software ai sensi delle licenze gratuite scadrà alla scadenza del diritto di utilizzo del software ai sensi delle licenze qualificanti.</w:t>
      </w:r>
      <w:r w:rsidR="00082E1C" w:rsidRPr="00451078">
        <w:rPr>
          <w:rFonts w:cs="Tahoma"/>
          <w:szCs w:val="18"/>
          <w:lang w:val="it-IT"/>
        </w:rPr>
        <w:t xml:space="preserve"> </w:t>
      </w:r>
      <w:r w:rsidRPr="00451078">
        <w:rPr>
          <w:rFonts w:cs="Tahoma"/>
          <w:szCs w:val="18"/>
          <w:lang w:val="it-IT"/>
        </w:rPr>
        <w:t>Le licenze gratuite non possono essere trasferite separatamente dalle licenze qualificanti.</w:t>
      </w:r>
    </w:p>
    <w:p w:rsidR="00113634" w:rsidRPr="00451078" w:rsidRDefault="00113634" w:rsidP="00957DE8">
      <w:pPr>
        <w:ind w:left="720"/>
        <w:rPr>
          <w:rFonts w:cs="Tahoma"/>
          <w:szCs w:val="18"/>
          <w:lang w:val="it-IT"/>
        </w:rPr>
      </w:pPr>
    </w:p>
    <w:p w:rsidR="00113634" w:rsidRPr="00451078" w:rsidRDefault="00113634" w:rsidP="00957DE8">
      <w:pPr>
        <w:pStyle w:val="ListParagraph"/>
        <w:contextualSpacing w:val="0"/>
        <w:rPr>
          <w:rFonts w:ascii="Tahoma" w:hAnsi="Tahoma" w:cs="Tahoma"/>
          <w:sz w:val="18"/>
          <w:szCs w:val="18"/>
          <w:lang w:val="it-IT"/>
        </w:rPr>
      </w:pPr>
      <w:r w:rsidRPr="00451078">
        <w:rPr>
          <w:rFonts w:ascii="Tahoma" w:hAnsi="Tahoma" w:cs="Tahoma"/>
          <w:sz w:val="18"/>
          <w:szCs w:val="18"/>
          <w:u w:val="single"/>
          <w:lang w:val="it-IT"/>
        </w:rPr>
        <w:t>Le società con Contratti Multilicenza per Windows Essential Business Server (EBS) 2008 Standard</w:t>
      </w:r>
      <w:r w:rsidRPr="00451078">
        <w:rPr>
          <w:rFonts w:ascii="Tahoma" w:hAnsi="Tahoma" w:cs="Tahoma"/>
          <w:b/>
          <w:sz w:val="18"/>
          <w:szCs w:val="18"/>
          <w:lang w:val="it-IT"/>
        </w:rPr>
        <w:t xml:space="preserve"> </w:t>
      </w:r>
      <w:r w:rsidRPr="00451078">
        <w:rPr>
          <w:rFonts w:ascii="Tahoma" w:hAnsi="Tahoma" w:cs="Tahoma"/>
          <w:sz w:val="18"/>
          <w:szCs w:val="18"/>
          <w:lang w:val="it-IT"/>
        </w:rPr>
        <w:t>sono anche idonee a ricevere le seguenti licenze gratuite per ogni licenza per EBS 2008 Standard con Software Assurance attiva posseduta al 1 luglio 2010:</w:t>
      </w:r>
    </w:p>
    <w:p w:rsidR="00A6493D" w:rsidRPr="00451078" w:rsidRDefault="00A6493D" w:rsidP="00E63984">
      <w:pPr>
        <w:pStyle w:val="ListParagraph"/>
        <w:ind w:left="1260"/>
        <w:contextualSpacing w:val="0"/>
        <w:rPr>
          <w:rFonts w:ascii="Tahoma" w:hAnsi="Tahoma" w:cs="Tahoma"/>
          <w:sz w:val="18"/>
          <w:szCs w:val="18"/>
          <w:lang w:val="it-IT"/>
        </w:rPr>
      </w:pPr>
    </w:p>
    <w:p w:rsidR="00113634" w:rsidRPr="009F18F3" w:rsidRDefault="00113634" w:rsidP="00745AB3">
      <w:pPr>
        <w:pStyle w:val="ListParagraph"/>
        <w:numPr>
          <w:ilvl w:val="0"/>
          <w:numId w:val="25"/>
        </w:numPr>
        <w:spacing w:after="60"/>
        <w:ind w:left="1440"/>
        <w:contextualSpacing w:val="0"/>
        <w:rPr>
          <w:rFonts w:ascii="Tahoma" w:hAnsi="Tahoma" w:cs="Tahoma"/>
          <w:sz w:val="18"/>
          <w:szCs w:val="18"/>
        </w:rPr>
      </w:pPr>
      <w:r w:rsidRPr="009F18F3">
        <w:rPr>
          <w:rFonts w:ascii="Tahoma" w:hAnsi="Tahoma" w:cs="Tahoma"/>
          <w:sz w:val="18"/>
          <w:szCs w:val="18"/>
        </w:rPr>
        <w:t>3 licenze software per Windows Server 2008 R2 Standard</w:t>
      </w:r>
    </w:p>
    <w:p w:rsidR="00113634" w:rsidRPr="00451078" w:rsidRDefault="00113634" w:rsidP="00745AB3">
      <w:pPr>
        <w:pStyle w:val="ListParagraph"/>
        <w:numPr>
          <w:ilvl w:val="0"/>
          <w:numId w:val="25"/>
        </w:numPr>
        <w:spacing w:after="60"/>
        <w:ind w:left="1440"/>
        <w:contextualSpacing w:val="0"/>
        <w:rPr>
          <w:rFonts w:ascii="Tahoma" w:hAnsi="Tahoma" w:cs="Tahoma"/>
          <w:sz w:val="18"/>
          <w:szCs w:val="18"/>
          <w:lang w:val="it-IT"/>
        </w:rPr>
      </w:pPr>
      <w:r w:rsidRPr="00451078">
        <w:rPr>
          <w:rFonts w:ascii="Tahoma" w:hAnsi="Tahoma" w:cs="Tahoma"/>
          <w:sz w:val="18"/>
          <w:szCs w:val="18"/>
          <w:lang w:val="it-IT"/>
        </w:rPr>
        <w:t>1 licenza software per Exchange Server 2010 Standard</w:t>
      </w:r>
    </w:p>
    <w:p w:rsidR="00113634" w:rsidRPr="00451078" w:rsidRDefault="00113634" w:rsidP="00745AB3">
      <w:pPr>
        <w:pStyle w:val="ListParagraph"/>
        <w:numPr>
          <w:ilvl w:val="0"/>
          <w:numId w:val="25"/>
        </w:numPr>
        <w:spacing w:after="60"/>
        <w:ind w:left="1440"/>
        <w:contextualSpacing w:val="0"/>
        <w:rPr>
          <w:rFonts w:ascii="Tahoma" w:hAnsi="Tahoma" w:cs="Tahoma"/>
          <w:sz w:val="18"/>
          <w:szCs w:val="18"/>
          <w:lang w:val="it-IT"/>
        </w:rPr>
      </w:pPr>
      <w:r w:rsidRPr="00451078">
        <w:rPr>
          <w:rFonts w:ascii="Tahoma" w:hAnsi="Tahoma" w:cs="Tahoma"/>
          <w:sz w:val="18"/>
          <w:szCs w:val="18"/>
          <w:lang w:val="it-IT"/>
        </w:rPr>
        <w:t>1 licenza software per System Center Essentials 2010 e 10 licenze di gestione Server e 50 di gestione Client</w:t>
      </w:r>
    </w:p>
    <w:p w:rsidR="00113634" w:rsidRPr="009F18F3" w:rsidRDefault="00113634" w:rsidP="00745AB3">
      <w:pPr>
        <w:pStyle w:val="ListParagraph"/>
        <w:numPr>
          <w:ilvl w:val="0"/>
          <w:numId w:val="25"/>
        </w:numPr>
        <w:spacing w:after="60"/>
        <w:ind w:left="1440"/>
        <w:contextualSpacing w:val="0"/>
        <w:rPr>
          <w:rFonts w:ascii="Tahoma" w:hAnsi="Tahoma" w:cs="Tahoma"/>
          <w:sz w:val="18"/>
          <w:szCs w:val="18"/>
        </w:rPr>
      </w:pPr>
      <w:r w:rsidRPr="009F18F3">
        <w:rPr>
          <w:rFonts w:ascii="Tahoma" w:hAnsi="Tahoma" w:cs="Tahoma"/>
          <w:sz w:val="18"/>
          <w:szCs w:val="18"/>
        </w:rPr>
        <w:t>1 licenza software per Forefront Threat Management Gateway Medium Business Edition 2010</w:t>
      </w:r>
    </w:p>
    <w:p w:rsidR="00113634" w:rsidRPr="009F18F3" w:rsidRDefault="00113634" w:rsidP="00E63984">
      <w:pPr>
        <w:pStyle w:val="ListParagraph"/>
        <w:ind w:left="1260"/>
        <w:rPr>
          <w:rFonts w:ascii="Tahoma" w:hAnsi="Tahoma" w:cs="Tahoma"/>
          <w:sz w:val="18"/>
          <w:szCs w:val="18"/>
        </w:rPr>
      </w:pPr>
    </w:p>
    <w:p w:rsidR="00113634" w:rsidRPr="00451078" w:rsidRDefault="00113634" w:rsidP="00957DE8">
      <w:pPr>
        <w:pStyle w:val="ListParagraph"/>
        <w:rPr>
          <w:rFonts w:ascii="Tahoma" w:hAnsi="Tahoma" w:cs="Tahoma"/>
          <w:sz w:val="18"/>
          <w:szCs w:val="18"/>
          <w:lang w:val="it-IT"/>
        </w:rPr>
      </w:pPr>
      <w:r w:rsidRPr="00451078">
        <w:rPr>
          <w:rFonts w:ascii="Tahoma" w:hAnsi="Tahoma" w:cs="Tahoma"/>
          <w:sz w:val="18"/>
          <w:szCs w:val="18"/>
          <w:lang w:val="it-IT"/>
        </w:rPr>
        <w:t>(qualora sia disponibile una nuova versione di uno qualsiasi dei prodotti summenzionati ai sensi del programma Volume Licensing in base al quale una società ha acquistato le licenze qualificanti prima della fine della copertura Software Assurance attiva per la licenza di EBS 2008 Standard, la società sarà idonea a utilizzare la nuova versione al posto della versione specificata sopra).</w:t>
      </w:r>
    </w:p>
    <w:p w:rsidR="00113634" w:rsidRPr="00451078" w:rsidRDefault="00113634" w:rsidP="00957DE8">
      <w:pPr>
        <w:pStyle w:val="ListParagraph"/>
        <w:rPr>
          <w:rFonts w:ascii="Tahoma" w:hAnsi="Tahoma" w:cs="Tahoma"/>
          <w:sz w:val="18"/>
          <w:szCs w:val="18"/>
          <w:lang w:val="it-IT"/>
        </w:rPr>
      </w:pPr>
    </w:p>
    <w:p w:rsidR="00113634" w:rsidRPr="00451078" w:rsidRDefault="00113634" w:rsidP="00957DE8">
      <w:pPr>
        <w:ind w:left="720"/>
        <w:rPr>
          <w:rFonts w:cs="Tahoma"/>
          <w:szCs w:val="18"/>
          <w:lang w:val="it-IT"/>
        </w:rPr>
      </w:pPr>
      <w:r w:rsidRPr="00451078">
        <w:rPr>
          <w:rFonts w:cs="Tahoma"/>
          <w:szCs w:val="18"/>
          <w:lang w:val="it-IT"/>
        </w:rPr>
        <w:lastRenderedPageBreak/>
        <w:t>Le licenze gratuite sono attestate dal Contratto Multilicenza della società e dalla presente nota relativa alle condizioni del prodotto.</w:t>
      </w:r>
      <w:r w:rsidR="00082E1C" w:rsidRPr="00451078">
        <w:rPr>
          <w:rFonts w:cs="Tahoma"/>
          <w:szCs w:val="18"/>
          <w:lang w:val="it-IT"/>
        </w:rPr>
        <w:t xml:space="preserve"> </w:t>
      </w:r>
      <w:r w:rsidRPr="00451078">
        <w:rPr>
          <w:rFonts w:cs="Tahoma"/>
          <w:szCs w:val="18"/>
          <w:lang w:val="it-IT"/>
        </w:rPr>
        <w:t>L</w:t>
      </w:r>
      <w:r w:rsidR="0073727D">
        <w:rPr>
          <w:rFonts w:cs="Tahoma"/>
          <w:szCs w:val="18"/>
          <w:lang w:val="it-IT"/>
        </w:rPr>
        <w:t>’</w:t>
      </w:r>
      <w:r w:rsidRPr="00451078">
        <w:rPr>
          <w:rFonts w:cs="Tahoma"/>
          <w:szCs w:val="18"/>
          <w:lang w:val="it-IT"/>
        </w:rPr>
        <w:t>utilizzo del software ai sensi delle licenze gratuite è soggetto alle condizioni del contratto della società e ai diritti di utilizzo del prodotto per i prodotti individuali.</w:t>
      </w:r>
      <w:r w:rsidR="00082E1C" w:rsidRPr="00451078">
        <w:rPr>
          <w:rFonts w:cs="Tahoma"/>
          <w:szCs w:val="18"/>
          <w:lang w:val="it-IT"/>
        </w:rPr>
        <w:t xml:space="preserve"> </w:t>
      </w:r>
      <w:r w:rsidRPr="00451078">
        <w:rPr>
          <w:rFonts w:cs="Tahoma"/>
          <w:szCs w:val="18"/>
          <w:lang w:val="it-IT"/>
        </w:rPr>
        <w:t>Tranne per Forefront Protection for Exchange Server 2010, il diritto di utilizzo del software ai sensi delle licenze gratuite scadrà alla scadenza del diritto di utilizzo del software ai sensi delle licenze qualificanti.</w:t>
      </w:r>
      <w:r w:rsidR="00082E1C" w:rsidRPr="00451078">
        <w:rPr>
          <w:rFonts w:cs="Tahoma"/>
          <w:szCs w:val="18"/>
          <w:lang w:val="it-IT"/>
        </w:rPr>
        <w:t xml:space="preserve"> </w:t>
      </w:r>
      <w:r w:rsidRPr="00451078">
        <w:rPr>
          <w:rFonts w:cs="Tahoma"/>
          <w:szCs w:val="18"/>
          <w:lang w:val="it-IT"/>
        </w:rPr>
        <w:t>Il diritto di utilizzo di Forefront Protection for Exchange Server 2010 scadrà alla scadenza della copertura Software Assurance sulle licenze qualificanti.</w:t>
      </w:r>
      <w:r w:rsidR="00082E1C" w:rsidRPr="00451078">
        <w:rPr>
          <w:rFonts w:cs="Tahoma"/>
          <w:szCs w:val="18"/>
          <w:lang w:val="it-IT"/>
        </w:rPr>
        <w:t xml:space="preserve"> </w:t>
      </w:r>
      <w:r w:rsidRPr="00451078">
        <w:rPr>
          <w:rFonts w:cs="Tahoma"/>
          <w:szCs w:val="18"/>
          <w:lang w:val="it-IT"/>
        </w:rPr>
        <w:t>Le licenze gratuite non possono in nessun caso essere trasferite separatamente dalle licenze qualificanti.</w:t>
      </w:r>
    </w:p>
    <w:p w:rsidR="00113634" w:rsidRPr="00451078" w:rsidRDefault="00113634" w:rsidP="00E63984">
      <w:pPr>
        <w:pStyle w:val="ListParagraph"/>
        <w:ind w:left="1260"/>
        <w:rPr>
          <w:rFonts w:ascii="Tahoma" w:hAnsi="Tahoma" w:cs="Tahoma"/>
          <w:sz w:val="18"/>
          <w:szCs w:val="18"/>
          <w:lang w:val="it-IT"/>
        </w:rPr>
      </w:pPr>
    </w:p>
    <w:p w:rsidR="00113634" w:rsidRPr="00451078" w:rsidRDefault="00113634" w:rsidP="00957DE8">
      <w:pPr>
        <w:tabs>
          <w:tab w:val="left" w:pos="1260"/>
        </w:tabs>
        <w:ind w:left="720"/>
        <w:rPr>
          <w:rFonts w:cs="Tahoma"/>
          <w:szCs w:val="18"/>
          <w:lang w:val="it-IT"/>
        </w:rPr>
      </w:pPr>
      <w:r w:rsidRPr="00451078">
        <w:rPr>
          <w:rFonts w:cs="Tahoma"/>
          <w:szCs w:val="18"/>
          <w:u w:val="single"/>
          <w:lang w:val="it-IT"/>
        </w:rPr>
        <w:t>Le società con Contratti Multilicenza per Windows Essential Business Server (EBS) 2008 Premium</w:t>
      </w:r>
      <w:r w:rsidRPr="00451078">
        <w:rPr>
          <w:rFonts w:cs="Tahoma"/>
          <w:szCs w:val="18"/>
          <w:lang w:val="it-IT"/>
        </w:rPr>
        <w:t xml:space="preserve"> sono anche idonee a ricevere le seguenti licenze gratuite per ogni licenza per EBS 2008 Premium con copertura Software Assurance attiva posseduta al 1 luglio 2010:</w:t>
      </w:r>
    </w:p>
    <w:p w:rsidR="00A6493D" w:rsidRPr="00451078" w:rsidRDefault="00A6493D" w:rsidP="00E63984">
      <w:pPr>
        <w:pStyle w:val="ListParagraph"/>
        <w:ind w:left="1620"/>
        <w:contextualSpacing w:val="0"/>
        <w:rPr>
          <w:rFonts w:ascii="Tahoma" w:hAnsi="Tahoma" w:cs="Tahoma"/>
          <w:sz w:val="18"/>
          <w:szCs w:val="18"/>
          <w:lang w:val="it-IT"/>
        </w:rPr>
      </w:pPr>
    </w:p>
    <w:p w:rsidR="00113634" w:rsidRPr="009F18F3" w:rsidRDefault="00113634" w:rsidP="00745AB3">
      <w:pPr>
        <w:pStyle w:val="ListParagraph"/>
        <w:numPr>
          <w:ilvl w:val="0"/>
          <w:numId w:val="26"/>
        </w:numPr>
        <w:spacing w:after="60"/>
        <w:contextualSpacing w:val="0"/>
        <w:rPr>
          <w:rFonts w:ascii="Tahoma" w:hAnsi="Tahoma" w:cs="Tahoma"/>
          <w:sz w:val="18"/>
          <w:szCs w:val="18"/>
        </w:rPr>
      </w:pPr>
      <w:r w:rsidRPr="009F18F3">
        <w:rPr>
          <w:rFonts w:ascii="Tahoma" w:hAnsi="Tahoma" w:cs="Tahoma"/>
          <w:sz w:val="18"/>
          <w:szCs w:val="18"/>
        </w:rPr>
        <w:t>4 licenze software per Windows Server 2008 R2 Standard</w:t>
      </w:r>
    </w:p>
    <w:p w:rsidR="00113634" w:rsidRPr="00451078" w:rsidRDefault="00113634" w:rsidP="00745AB3">
      <w:pPr>
        <w:pStyle w:val="ListParagraph"/>
        <w:numPr>
          <w:ilvl w:val="0"/>
          <w:numId w:val="26"/>
        </w:numPr>
        <w:spacing w:after="60"/>
        <w:contextualSpacing w:val="0"/>
        <w:rPr>
          <w:rFonts w:ascii="Tahoma" w:hAnsi="Tahoma" w:cs="Tahoma"/>
          <w:sz w:val="18"/>
          <w:szCs w:val="18"/>
          <w:lang w:val="it-IT"/>
        </w:rPr>
      </w:pPr>
      <w:r w:rsidRPr="00451078">
        <w:rPr>
          <w:rFonts w:ascii="Tahoma" w:hAnsi="Tahoma" w:cs="Tahoma"/>
          <w:sz w:val="18"/>
          <w:szCs w:val="18"/>
          <w:lang w:val="it-IT"/>
        </w:rPr>
        <w:t>1 licenza software per SQL Server 2008 R2 Standard</w:t>
      </w:r>
    </w:p>
    <w:p w:rsidR="00113634" w:rsidRPr="009F18F3" w:rsidRDefault="00113634" w:rsidP="00745AB3">
      <w:pPr>
        <w:pStyle w:val="ListParagraph"/>
        <w:numPr>
          <w:ilvl w:val="0"/>
          <w:numId w:val="26"/>
        </w:numPr>
        <w:spacing w:after="60"/>
        <w:contextualSpacing w:val="0"/>
        <w:rPr>
          <w:rFonts w:ascii="Tahoma" w:hAnsi="Tahoma" w:cs="Tahoma"/>
          <w:sz w:val="18"/>
          <w:szCs w:val="18"/>
        </w:rPr>
      </w:pPr>
      <w:r w:rsidRPr="009F18F3">
        <w:rPr>
          <w:rFonts w:ascii="Tahoma" w:hAnsi="Tahoma" w:cs="Tahoma"/>
          <w:sz w:val="18"/>
          <w:szCs w:val="18"/>
        </w:rPr>
        <w:t>2 licenze software per Exchange Server 2010 Standard</w:t>
      </w:r>
    </w:p>
    <w:p w:rsidR="00113634" w:rsidRPr="00451078" w:rsidRDefault="00113634" w:rsidP="00745AB3">
      <w:pPr>
        <w:pStyle w:val="ListParagraph"/>
        <w:numPr>
          <w:ilvl w:val="0"/>
          <w:numId w:val="26"/>
        </w:numPr>
        <w:spacing w:after="60"/>
        <w:contextualSpacing w:val="0"/>
        <w:rPr>
          <w:rFonts w:ascii="Tahoma" w:hAnsi="Tahoma" w:cs="Tahoma"/>
          <w:sz w:val="18"/>
          <w:szCs w:val="18"/>
          <w:lang w:val="it-IT"/>
        </w:rPr>
      </w:pPr>
      <w:r w:rsidRPr="00451078">
        <w:rPr>
          <w:rFonts w:ascii="Tahoma" w:hAnsi="Tahoma" w:cs="Tahoma"/>
          <w:sz w:val="18"/>
          <w:szCs w:val="18"/>
          <w:lang w:val="it-IT"/>
        </w:rPr>
        <w:t>1 licenza software per System Center Essentials 2010 e 10 licenze di gestione Server e 50 di gestione Client</w:t>
      </w:r>
    </w:p>
    <w:p w:rsidR="00113634" w:rsidRPr="009F18F3" w:rsidRDefault="00113634" w:rsidP="00745AB3">
      <w:pPr>
        <w:pStyle w:val="ListParagraph"/>
        <w:numPr>
          <w:ilvl w:val="0"/>
          <w:numId w:val="26"/>
        </w:numPr>
        <w:spacing w:after="60"/>
        <w:contextualSpacing w:val="0"/>
        <w:rPr>
          <w:rFonts w:ascii="Tahoma" w:hAnsi="Tahoma" w:cs="Tahoma"/>
          <w:sz w:val="18"/>
          <w:szCs w:val="18"/>
        </w:rPr>
      </w:pPr>
      <w:r w:rsidRPr="009F18F3">
        <w:rPr>
          <w:rFonts w:ascii="Tahoma" w:hAnsi="Tahoma" w:cs="Tahoma"/>
          <w:sz w:val="18"/>
          <w:szCs w:val="18"/>
        </w:rPr>
        <w:t>1 licenza software per Forefront Threat Management Gateway Medium Business Edition 2010</w:t>
      </w:r>
    </w:p>
    <w:p w:rsidR="00113634" w:rsidRPr="00451078" w:rsidRDefault="00113634" w:rsidP="00957DE8">
      <w:pPr>
        <w:pStyle w:val="ListParagraph"/>
        <w:rPr>
          <w:rFonts w:ascii="Tahoma" w:hAnsi="Tahoma" w:cs="Tahoma"/>
          <w:sz w:val="18"/>
          <w:szCs w:val="18"/>
          <w:lang w:val="it-IT"/>
        </w:rPr>
      </w:pPr>
      <w:r w:rsidRPr="00451078">
        <w:rPr>
          <w:rFonts w:ascii="Tahoma" w:hAnsi="Tahoma" w:cs="Tahoma"/>
          <w:sz w:val="18"/>
          <w:szCs w:val="18"/>
          <w:lang w:val="it-IT"/>
        </w:rPr>
        <w:t>(qualora sia disponibile una nuova versione di uno qualsiasi dei prodotti summenzionati ai sensi del programma Volume Licensing in base al quale una società ha acquistato le licenze qualificanti prima della fine della copertura Software Assurance attiva per la licenza di EBS 2008 Premium, la società sarà idonea a utilizzare quella versione al posto della versione specificata sopra).</w:t>
      </w:r>
    </w:p>
    <w:p w:rsidR="00113634" w:rsidRPr="00451078" w:rsidRDefault="00113634" w:rsidP="00EF2279">
      <w:pPr>
        <w:pStyle w:val="ListParagraph"/>
        <w:ind w:left="1260"/>
        <w:rPr>
          <w:rFonts w:ascii="Tahoma" w:hAnsi="Tahoma" w:cs="Tahoma"/>
          <w:sz w:val="18"/>
          <w:szCs w:val="18"/>
          <w:lang w:val="it-IT"/>
        </w:rPr>
      </w:pPr>
    </w:p>
    <w:p w:rsidR="00113634" w:rsidRPr="00451078" w:rsidRDefault="00113634" w:rsidP="00957DE8">
      <w:pPr>
        <w:ind w:left="720"/>
        <w:rPr>
          <w:rFonts w:cs="Tahoma"/>
          <w:szCs w:val="18"/>
          <w:lang w:val="it-IT"/>
        </w:rPr>
      </w:pPr>
      <w:r w:rsidRPr="00451078">
        <w:rPr>
          <w:rFonts w:cs="Tahoma"/>
          <w:szCs w:val="18"/>
          <w:lang w:val="it-IT"/>
        </w:rPr>
        <w:t>Le licenze gratuite sono attestate dal Contratto Multilicenza della società e dalla presente nota relativa alle condizioni del prodotto.</w:t>
      </w:r>
      <w:r w:rsidR="00082E1C" w:rsidRPr="00451078">
        <w:rPr>
          <w:rFonts w:cs="Tahoma"/>
          <w:szCs w:val="18"/>
          <w:lang w:val="it-IT"/>
        </w:rPr>
        <w:t xml:space="preserve"> </w:t>
      </w:r>
      <w:r w:rsidRPr="00451078">
        <w:rPr>
          <w:rFonts w:cs="Tahoma"/>
          <w:szCs w:val="18"/>
          <w:lang w:val="it-IT"/>
        </w:rPr>
        <w:t>L</w:t>
      </w:r>
      <w:r w:rsidR="0073727D">
        <w:rPr>
          <w:rFonts w:cs="Tahoma"/>
          <w:szCs w:val="18"/>
          <w:lang w:val="it-IT"/>
        </w:rPr>
        <w:t>’</w:t>
      </w:r>
      <w:r w:rsidRPr="00451078">
        <w:rPr>
          <w:rFonts w:cs="Tahoma"/>
          <w:szCs w:val="18"/>
          <w:lang w:val="it-IT"/>
        </w:rPr>
        <w:t>utilizzo del software ai sensi delle licenze gratuite è soggetto alle condizioni del contratto della società e ai diritti di utilizzo del prodotto per i prodotti individuali.</w:t>
      </w:r>
      <w:r w:rsidR="00082E1C" w:rsidRPr="00451078">
        <w:rPr>
          <w:rFonts w:cs="Tahoma"/>
          <w:szCs w:val="18"/>
          <w:lang w:val="it-IT"/>
        </w:rPr>
        <w:t xml:space="preserve"> </w:t>
      </w:r>
      <w:r w:rsidRPr="00451078">
        <w:rPr>
          <w:rFonts w:cs="Tahoma"/>
          <w:szCs w:val="18"/>
          <w:lang w:val="it-IT"/>
        </w:rPr>
        <w:t>Tranne per Forefront Protection for Exchange Server 2010, il diritto di utilizzo del software ai sensi delle licenze gratuite scadrà alla scadenza del diritto di utilizzo del software ai sensi delle licenze qualificanti.</w:t>
      </w:r>
      <w:r w:rsidR="00082E1C" w:rsidRPr="00451078">
        <w:rPr>
          <w:rFonts w:cs="Tahoma"/>
          <w:szCs w:val="18"/>
          <w:lang w:val="it-IT"/>
        </w:rPr>
        <w:t xml:space="preserve"> </w:t>
      </w:r>
      <w:r w:rsidRPr="00451078">
        <w:rPr>
          <w:rFonts w:cs="Tahoma"/>
          <w:szCs w:val="18"/>
          <w:lang w:val="it-IT"/>
        </w:rPr>
        <w:t>Il diritto di utilizzo di Forefront Protection for Exchange Server 2010 scadrà alla scadenza della copertura Software Assurance sulle licenze qualificanti.</w:t>
      </w:r>
      <w:r w:rsidR="00082E1C" w:rsidRPr="00451078">
        <w:rPr>
          <w:rFonts w:cs="Tahoma"/>
          <w:szCs w:val="18"/>
          <w:lang w:val="it-IT"/>
        </w:rPr>
        <w:t xml:space="preserve"> </w:t>
      </w:r>
      <w:r w:rsidRPr="00451078">
        <w:rPr>
          <w:rFonts w:cs="Tahoma"/>
          <w:szCs w:val="18"/>
          <w:lang w:val="it-IT"/>
        </w:rPr>
        <w:t>Le licenze gratuite non possono in nessun caso essere trasferite separatamente dalle licenze qualificanti.</w:t>
      </w:r>
    </w:p>
    <w:p w:rsidR="00113634" w:rsidRPr="00451078" w:rsidRDefault="00113634" w:rsidP="00E63984">
      <w:pPr>
        <w:pStyle w:val="ListParagraph"/>
        <w:ind w:left="1800"/>
        <w:rPr>
          <w:rFonts w:ascii="Tahoma" w:hAnsi="Tahoma" w:cs="Tahoma"/>
          <w:sz w:val="18"/>
          <w:szCs w:val="18"/>
          <w:lang w:val="it-IT"/>
        </w:rPr>
      </w:pPr>
    </w:p>
    <w:p w:rsidR="00113634" w:rsidRPr="00451078" w:rsidRDefault="00113634" w:rsidP="00957DE8">
      <w:pPr>
        <w:pStyle w:val="ListParagraph"/>
        <w:spacing w:after="60"/>
        <w:contextualSpacing w:val="0"/>
        <w:rPr>
          <w:rFonts w:ascii="Tahoma" w:hAnsi="Tahoma" w:cs="Tahoma"/>
          <w:sz w:val="18"/>
          <w:szCs w:val="18"/>
          <w:lang w:val="it-IT"/>
        </w:rPr>
      </w:pPr>
      <w:r w:rsidRPr="00451078">
        <w:rPr>
          <w:rFonts w:ascii="Tahoma" w:hAnsi="Tahoma" w:cs="Tahoma"/>
          <w:b/>
          <w:sz w:val="18"/>
          <w:szCs w:val="18"/>
          <w:lang w:val="it-IT"/>
        </w:rPr>
        <w:t>Diritti di utilizzo aggiuntivi per le licenze CAL per Windows Essential Business Server (EBS)</w:t>
      </w:r>
      <w:r w:rsidR="009F18F3" w:rsidRPr="00451078">
        <w:rPr>
          <w:rFonts w:ascii="Tahoma" w:hAnsi="Tahoma" w:cs="Tahoma"/>
          <w:b/>
          <w:sz w:val="18"/>
          <w:szCs w:val="18"/>
          <w:lang w:val="it-IT"/>
        </w:rPr>
        <w:t> </w:t>
      </w:r>
      <w:r w:rsidRPr="00451078">
        <w:rPr>
          <w:rFonts w:ascii="Tahoma" w:hAnsi="Tahoma" w:cs="Tahoma"/>
          <w:b/>
          <w:sz w:val="18"/>
          <w:szCs w:val="18"/>
          <w:lang w:val="it-IT"/>
        </w:rPr>
        <w:t>2008</w:t>
      </w:r>
    </w:p>
    <w:p w:rsidR="00113634" w:rsidRPr="00451078" w:rsidRDefault="00113634" w:rsidP="00957DE8">
      <w:pPr>
        <w:ind w:left="720"/>
        <w:rPr>
          <w:lang w:val="it-IT"/>
        </w:rPr>
      </w:pPr>
      <w:r w:rsidRPr="00451078">
        <w:rPr>
          <w:rFonts w:cs="Tahoma"/>
          <w:szCs w:val="18"/>
          <w:lang w:val="it-IT"/>
        </w:rPr>
        <w:t>Nonostante eventuali disposizioni contrarie dei diritti di utilizzo del prodotto per Windows Server 2008 ed Exchange Server 2007 Standard, le società possono utilizzare EBS 2008 CAL Suite ed EBS 2008 CAL Suite per Utenti o Dispositivi Premium per accedere alle istanze in licenza del software all</w:t>
      </w:r>
      <w:r w:rsidR="0073727D">
        <w:rPr>
          <w:rFonts w:cs="Tahoma"/>
          <w:szCs w:val="18"/>
          <w:lang w:val="it-IT"/>
        </w:rPr>
        <w:t>’</w:t>
      </w:r>
      <w:r w:rsidRPr="00451078">
        <w:rPr>
          <w:rFonts w:cs="Tahoma"/>
          <w:szCs w:val="18"/>
          <w:lang w:val="it-IT"/>
        </w:rPr>
        <w:t>interno o all</w:t>
      </w:r>
      <w:r w:rsidR="0073727D">
        <w:rPr>
          <w:rFonts w:cs="Tahoma"/>
          <w:szCs w:val="18"/>
          <w:lang w:val="it-IT"/>
        </w:rPr>
        <w:t>’</w:t>
      </w:r>
      <w:r w:rsidRPr="00451078">
        <w:rPr>
          <w:rFonts w:cs="Tahoma"/>
          <w:szCs w:val="18"/>
          <w:lang w:val="it-IT"/>
        </w:rPr>
        <w:t>esterno del loro dominio EBS 2008. Inoltre, nonostante eventuali disposizioni contrarie dei diritti di utilizzo del prodotto per SQL Server 2008 Standard, le società possono utilizzare EBS 2008 CAL Suite per Utenti o Dispositivi Premium per accedere alle istanze in licenza di SQL Server 2008 Standard all</w:t>
      </w:r>
      <w:r w:rsidR="0073727D">
        <w:rPr>
          <w:rFonts w:cs="Tahoma"/>
          <w:szCs w:val="18"/>
          <w:lang w:val="it-IT"/>
        </w:rPr>
        <w:t>’</w:t>
      </w:r>
      <w:r w:rsidRPr="00451078">
        <w:rPr>
          <w:rFonts w:cs="Tahoma"/>
          <w:szCs w:val="18"/>
          <w:lang w:val="it-IT"/>
        </w:rPr>
        <w:t>interno o all</w:t>
      </w:r>
      <w:r w:rsidR="0073727D">
        <w:rPr>
          <w:rFonts w:cs="Tahoma"/>
          <w:szCs w:val="18"/>
          <w:lang w:val="it-IT"/>
        </w:rPr>
        <w:t>’</w:t>
      </w:r>
      <w:r w:rsidRPr="00451078">
        <w:rPr>
          <w:rFonts w:cs="Tahoma"/>
          <w:szCs w:val="18"/>
          <w:lang w:val="it-IT"/>
        </w:rPr>
        <w:t>esterno del loro dominio EBS 2008.</w:t>
      </w:r>
    </w:p>
    <w:p w:rsidR="00113634" w:rsidRPr="00451078" w:rsidRDefault="00113634" w:rsidP="00EF2279">
      <w:pPr>
        <w:tabs>
          <w:tab w:val="left" w:pos="1260"/>
        </w:tabs>
        <w:ind w:left="1260"/>
        <w:rPr>
          <w:rFonts w:cs="Tahoma"/>
          <w:szCs w:val="18"/>
          <w:lang w:val="it-IT"/>
        </w:rPr>
      </w:pPr>
    </w:p>
    <w:p w:rsidR="00113634" w:rsidRPr="00451078" w:rsidRDefault="00113634" w:rsidP="00957DE8">
      <w:pPr>
        <w:tabs>
          <w:tab w:val="left" w:pos="1260"/>
        </w:tabs>
        <w:ind w:left="720"/>
        <w:rPr>
          <w:rFonts w:cs="Tahoma"/>
          <w:szCs w:val="18"/>
          <w:lang w:val="it-IT"/>
        </w:rPr>
      </w:pPr>
      <w:r w:rsidRPr="00451078">
        <w:rPr>
          <w:rFonts w:cs="Tahoma"/>
          <w:szCs w:val="18"/>
          <w:lang w:val="it-IT"/>
        </w:rPr>
        <w:t>Per le società con copertura Software Assurance attiva per CAL per Windows Essential Business Server (EBS) 2008 al 1 luglio 2010 è previsto quanto segue:</w:t>
      </w:r>
    </w:p>
    <w:p w:rsidR="00A6493D" w:rsidRPr="00451078" w:rsidRDefault="00A6493D" w:rsidP="00EF2279">
      <w:pPr>
        <w:pStyle w:val="ListParagraph"/>
        <w:tabs>
          <w:tab w:val="left" w:pos="1260"/>
        </w:tabs>
        <w:ind w:left="1260"/>
        <w:contextualSpacing w:val="0"/>
        <w:rPr>
          <w:rFonts w:ascii="Tahoma" w:hAnsi="Tahoma" w:cs="Tahoma"/>
          <w:sz w:val="18"/>
          <w:szCs w:val="18"/>
          <w:lang w:val="it-IT"/>
        </w:rPr>
      </w:pPr>
    </w:p>
    <w:p w:rsidR="00113634" w:rsidRPr="00451078" w:rsidRDefault="00113634" w:rsidP="00745AB3">
      <w:pPr>
        <w:pStyle w:val="ListParagraph"/>
        <w:numPr>
          <w:ilvl w:val="0"/>
          <w:numId w:val="119"/>
        </w:numPr>
        <w:tabs>
          <w:tab w:val="left" w:pos="1440"/>
        </w:tabs>
        <w:spacing w:after="60"/>
        <w:contextualSpacing w:val="0"/>
        <w:rPr>
          <w:rFonts w:ascii="Tahoma" w:hAnsi="Tahoma" w:cs="Tahoma"/>
          <w:sz w:val="18"/>
          <w:szCs w:val="18"/>
          <w:lang w:val="it-IT"/>
        </w:rPr>
      </w:pPr>
      <w:r w:rsidRPr="00451078">
        <w:rPr>
          <w:rFonts w:ascii="Tahoma" w:hAnsi="Tahoma" w:cs="Tahoma"/>
          <w:sz w:val="18"/>
          <w:szCs w:val="18"/>
          <w:lang w:val="it-IT"/>
        </w:rPr>
        <w:t>Per ogni EBS 2008 CAL Suite con copertura Software Assurance attiva in data 1 luglio 2010 in possesso di una società, tale società sarà idonea a ricevere le seguenti licenze gratuite:</w:t>
      </w:r>
    </w:p>
    <w:p w:rsidR="00113634" w:rsidRPr="00451078" w:rsidRDefault="00113634" w:rsidP="00745AB3">
      <w:pPr>
        <w:pStyle w:val="ListParagraph"/>
        <w:numPr>
          <w:ilvl w:val="1"/>
          <w:numId w:val="120"/>
        </w:numPr>
        <w:tabs>
          <w:tab w:val="clear" w:pos="720"/>
        </w:tabs>
        <w:spacing w:after="60"/>
        <w:ind w:left="1980"/>
        <w:contextualSpacing w:val="0"/>
        <w:rPr>
          <w:rFonts w:ascii="Tahoma" w:hAnsi="Tahoma" w:cs="Tahoma"/>
          <w:sz w:val="18"/>
          <w:szCs w:val="18"/>
          <w:lang w:val="it-IT"/>
        </w:rPr>
      </w:pPr>
      <w:r w:rsidRPr="00451078">
        <w:rPr>
          <w:rFonts w:ascii="Tahoma" w:hAnsi="Tahoma" w:cs="Tahoma"/>
          <w:sz w:val="18"/>
          <w:szCs w:val="18"/>
          <w:lang w:val="it-IT"/>
        </w:rPr>
        <w:t>1 licenza CAL per Windows Server 2008</w:t>
      </w:r>
    </w:p>
    <w:p w:rsidR="00113634" w:rsidRPr="009F18F3" w:rsidRDefault="00113634" w:rsidP="00745AB3">
      <w:pPr>
        <w:pStyle w:val="ListParagraph"/>
        <w:numPr>
          <w:ilvl w:val="1"/>
          <w:numId w:val="120"/>
        </w:numPr>
        <w:tabs>
          <w:tab w:val="clear" w:pos="720"/>
        </w:tabs>
        <w:spacing w:after="60"/>
        <w:ind w:left="1980"/>
        <w:contextualSpacing w:val="0"/>
        <w:rPr>
          <w:rFonts w:ascii="Tahoma" w:hAnsi="Tahoma" w:cs="Tahoma"/>
          <w:sz w:val="18"/>
          <w:szCs w:val="18"/>
        </w:rPr>
      </w:pPr>
      <w:r w:rsidRPr="009F18F3">
        <w:rPr>
          <w:rFonts w:ascii="Tahoma" w:hAnsi="Tahoma" w:cs="Tahoma"/>
          <w:sz w:val="18"/>
          <w:szCs w:val="18"/>
        </w:rPr>
        <w:t>1 Standard CAL per Exchange Server 2010</w:t>
      </w:r>
    </w:p>
    <w:p w:rsidR="00113634" w:rsidRPr="009F18F3" w:rsidRDefault="00113634" w:rsidP="00745AB3">
      <w:pPr>
        <w:pStyle w:val="ListParagraph"/>
        <w:numPr>
          <w:ilvl w:val="1"/>
          <w:numId w:val="120"/>
        </w:numPr>
        <w:tabs>
          <w:tab w:val="clear" w:pos="720"/>
        </w:tabs>
        <w:spacing w:after="60"/>
        <w:ind w:left="1980"/>
        <w:contextualSpacing w:val="0"/>
        <w:rPr>
          <w:rFonts w:ascii="Tahoma" w:hAnsi="Tahoma" w:cs="Tahoma"/>
          <w:sz w:val="18"/>
          <w:szCs w:val="18"/>
        </w:rPr>
      </w:pPr>
      <w:r w:rsidRPr="009F18F3">
        <w:rPr>
          <w:rFonts w:ascii="Tahoma" w:hAnsi="Tahoma" w:cs="Tahoma"/>
          <w:sz w:val="18"/>
          <w:szCs w:val="18"/>
        </w:rPr>
        <w:t xml:space="preserve">1 licenza </w:t>
      </w:r>
      <w:r w:rsidR="001A3EC5" w:rsidRPr="009F18F3">
        <w:rPr>
          <w:rFonts w:ascii="Tahoma" w:hAnsi="Tahoma" w:cs="Tahoma"/>
          <w:sz w:val="18"/>
          <w:szCs w:val="18"/>
        </w:rPr>
        <w:t>“</w:t>
      </w:r>
      <w:r w:rsidRPr="009F18F3">
        <w:rPr>
          <w:rFonts w:ascii="Tahoma" w:hAnsi="Tahoma" w:cs="Tahoma"/>
          <w:sz w:val="18"/>
          <w:szCs w:val="18"/>
        </w:rPr>
        <w:t>Subscription</w:t>
      </w:r>
      <w:r w:rsidR="001A3EC5" w:rsidRPr="009F18F3">
        <w:rPr>
          <w:rFonts w:ascii="Tahoma" w:hAnsi="Tahoma" w:cs="Tahoma"/>
          <w:sz w:val="18"/>
          <w:szCs w:val="18"/>
        </w:rPr>
        <w:t>”</w:t>
      </w:r>
      <w:r w:rsidRPr="009F18F3">
        <w:rPr>
          <w:rFonts w:ascii="Tahoma" w:hAnsi="Tahoma" w:cs="Tahoma"/>
          <w:sz w:val="18"/>
          <w:szCs w:val="18"/>
        </w:rPr>
        <w:t xml:space="preserve"> per utente o dispositivo per Forefront Protection for Exchange Server 2010</w:t>
      </w:r>
    </w:p>
    <w:p w:rsidR="00A6493D" w:rsidRPr="009F18F3" w:rsidRDefault="00A6493D" w:rsidP="00A434A4">
      <w:pPr>
        <w:pStyle w:val="ListParagraph"/>
        <w:tabs>
          <w:tab w:val="num" w:pos="1800"/>
        </w:tabs>
        <w:spacing w:after="60"/>
        <w:ind w:left="1800"/>
        <w:contextualSpacing w:val="0"/>
        <w:rPr>
          <w:rFonts w:ascii="Tahoma" w:hAnsi="Tahoma" w:cs="Tahoma"/>
          <w:sz w:val="18"/>
          <w:szCs w:val="18"/>
        </w:rPr>
      </w:pPr>
    </w:p>
    <w:p w:rsidR="00113634" w:rsidRPr="00451078" w:rsidRDefault="00113634" w:rsidP="00745AB3">
      <w:pPr>
        <w:pStyle w:val="ListParagraph"/>
        <w:numPr>
          <w:ilvl w:val="0"/>
          <w:numId w:val="119"/>
        </w:numPr>
        <w:tabs>
          <w:tab w:val="left" w:pos="1440"/>
        </w:tabs>
        <w:spacing w:after="60"/>
        <w:contextualSpacing w:val="0"/>
        <w:rPr>
          <w:rFonts w:ascii="Tahoma" w:hAnsi="Tahoma" w:cs="Tahoma"/>
          <w:sz w:val="18"/>
          <w:szCs w:val="18"/>
          <w:lang w:val="it-IT"/>
        </w:rPr>
      </w:pPr>
      <w:r w:rsidRPr="00451078">
        <w:rPr>
          <w:rFonts w:ascii="Tahoma" w:hAnsi="Tahoma" w:cs="Tahoma"/>
          <w:sz w:val="18"/>
          <w:szCs w:val="18"/>
          <w:lang w:val="it-IT"/>
        </w:rPr>
        <w:t>Per ogni EBS 2008 CAL Suite per Utenti e Dispositivi Premium con copertura Software Assurance attiva in data 1 luglio 2010 in possesso di una società, tale società sarà idonea a ricevere le seguenti licenze gratuite:</w:t>
      </w:r>
    </w:p>
    <w:p w:rsidR="00113634" w:rsidRPr="00451078" w:rsidRDefault="00113634" w:rsidP="00745AB3">
      <w:pPr>
        <w:pStyle w:val="ListParagraph"/>
        <w:numPr>
          <w:ilvl w:val="1"/>
          <w:numId w:val="120"/>
        </w:numPr>
        <w:tabs>
          <w:tab w:val="clear" w:pos="720"/>
        </w:tabs>
        <w:spacing w:after="60"/>
        <w:ind w:left="1980"/>
        <w:contextualSpacing w:val="0"/>
        <w:rPr>
          <w:rFonts w:ascii="Tahoma" w:hAnsi="Tahoma" w:cs="Tahoma"/>
          <w:sz w:val="18"/>
          <w:szCs w:val="18"/>
          <w:lang w:val="it-IT"/>
        </w:rPr>
      </w:pPr>
      <w:r w:rsidRPr="00451078">
        <w:rPr>
          <w:rFonts w:ascii="Tahoma" w:hAnsi="Tahoma" w:cs="Tahoma"/>
          <w:sz w:val="18"/>
          <w:szCs w:val="18"/>
          <w:lang w:val="it-IT"/>
        </w:rPr>
        <w:lastRenderedPageBreak/>
        <w:t>licenza CAL per Windows Server 2008</w:t>
      </w:r>
    </w:p>
    <w:p w:rsidR="00113634" w:rsidRPr="009F18F3" w:rsidRDefault="00113634" w:rsidP="00745AB3">
      <w:pPr>
        <w:pStyle w:val="ListParagraph"/>
        <w:numPr>
          <w:ilvl w:val="1"/>
          <w:numId w:val="120"/>
        </w:numPr>
        <w:tabs>
          <w:tab w:val="clear" w:pos="720"/>
        </w:tabs>
        <w:spacing w:after="60"/>
        <w:ind w:left="1980"/>
        <w:contextualSpacing w:val="0"/>
        <w:rPr>
          <w:rFonts w:ascii="Tahoma" w:hAnsi="Tahoma" w:cs="Tahoma"/>
          <w:sz w:val="18"/>
          <w:szCs w:val="18"/>
        </w:rPr>
      </w:pPr>
      <w:r w:rsidRPr="009F18F3">
        <w:rPr>
          <w:rFonts w:ascii="Tahoma" w:hAnsi="Tahoma" w:cs="Tahoma"/>
          <w:sz w:val="18"/>
          <w:szCs w:val="18"/>
        </w:rPr>
        <w:t>Standard CAL per Exchange Server 2010</w:t>
      </w:r>
    </w:p>
    <w:p w:rsidR="002512D3" w:rsidRPr="00451078" w:rsidRDefault="00113634" w:rsidP="00745AB3">
      <w:pPr>
        <w:pStyle w:val="ListParagraph"/>
        <w:numPr>
          <w:ilvl w:val="1"/>
          <w:numId w:val="120"/>
        </w:numPr>
        <w:tabs>
          <w:tab w:val="clear" w:pos="720"/>
        </w:tabs>
        <w:spacing w:after="60"/>
        <w:ind w:left="1980"/>
        <w:contextualSpacing w:val="0"/>
        <w:rPr>
          <w:rFonts w:ascii="Tahoma" w:hAnsi="Tahoma" w:cs="Tahoma"/>
          <w:sz w:val="18"/>
          <w:szCs w:val="18"/>
          <w:lang w:val="it-IT"/>
        </w:rPr>
      </w:pPr>
      <w:r w:rsidRPr="00451078">
        <w:rPr>
          <w:rFonts w:ascii="Tahoma" w:hAnsi="Tahoma" w:cs="Tahoma"/>
          <w:sz w:val="18"/>
          <w:szCs w:val="18"/>
          <w:lang w:val="it-IT"/>
        </w:rPr>
        <w:t>licenza CAL per SQL Server 2008 R2</w:t>
      </w:r>
    </w:p>
    <w:p w:rsidR="00113634" w:rsidRPr="009F18F3" w:rsidRDefault="00113634" w:rsidP="00745AB3">
      <w:pPr>
        <w:pStyle w:val="ListParagraph"/>
        <w:numPr>
          <w:ilvl w:val="1"/>
          <w:numId w:val="120"/>
        </w:numPr>
        <w:tabs>
          <w:tab w:val="clear" w:pos="720"/>
        </w:tabs>
        <w:spacing w:after="60"/>
        <w:ind w:left="1980"/>
        <w:contextualSpacing w:val="0"/>
        <w:rPr>
          <w:rFonts w:ascii="Tahoma" w:hAnsi="Tahoma" w:cs="Tahoma"/>
          <w:sz w:val="18"/>
          <w:szCs w:val="18"/>
        </w:rPr>
      </w:pPr>
      <w:r w:rsidRPr="009F18F3">
        <w:rPr>
          <w:rFonts w:ascii="Tahoma" w:hAnsi="Tahoma" w:cs="Tahoma"/>
          <w:sz w:val="18"/>
          <w:szCs w:val="18"/>
        </w:rPr>
        <w:t xml:space="preserve">1 licenza </w:t>
      </w:r>
      <w:r w:rsidR="001A3EC5" w:rsidRPr="009F18F3">
        <w:rPr>
          <w:rFonts w:ascii="Tahoma" w:hAnsi="Tahoma" w:cs="Tahoma"/>
          <w:sz w:val="18"/>
          <w:szCs w:val="18"/>
        </w:rPr>
        <w:t>“</w:t>
      </w:r>
      <w:r w:rsidRPr="009F18F3">
        <w:rPr>
          <w:rFonts w:ascii="Tahoma" w:hAnsi="Tahoma" w:cs="Tahoma"/>
          <w:sz w:val="18"/>
          <w:szCs w:val="18"/>
        </w:rPr>
        <w:t>Subscription</w:t>
      </w:r>
      <w:r w:rsidR="001A3EC5" w:rsidRPr="009F18F3">
        <w:rPr>
          <w:rFonts w:ascii="Tahoma" w:hAnsi="Tahoma" w:cs="Tahoma"/>
          <w:sz w:val="18"/>
          <w:szCs w:val="18"/>
        </w:rPr>
        <w:t>”</w:t>
      </w:r>
      <w:r w:rsidRPr="009F18F3">
        <w:rPr>
          <w:rFonts w:ascii="Tahoma" w:hAnsi="Tahoma" w:cs="Tahoma"/>
          <w:sz w:val="18"/>
          <w:szCs w:val="18"/>
        </w:rPr>
        <w:t xml:space="preserve"> per utente o dispositivo per Forefront Protection for Exchange Server 2010</w:t>
      </w:r>
    </w:p>
    <w:p w:rsidR="00113634" w:rsidRPr="00451078" w:rsidRDefault="00113634" w:rsidP="00A434A4">
      <w:pPr>
        <w:pStyle w:val="ListParagraph"/>
        <w:spacing w:after="60"/>
        <w:ind w:left="1980"/>
        <w:contextualSpacing w:val="0"/>
        <w:rPr>
          <w:rFonts w:ascii="Tahoma" w:hAnsi="Tahoma" w:cs="Tahoma"/>
          <w:sz w:val="18"/>
          <w:szCs w:val="18"/>
          <w:lang w:val="it-IT"/>
        </w:rPr>
      </w:pPr>
      <w:r w:rsidRPr="00451078">
        <w:rPr>
          <w:rFonts w:ascii="Tahoma" w:hAnsi="Tahoma" w:cs="Tahoma"/>
          <w:sz w:val="18"/>
          <w:szCs w:val="18"/>
          <w:lang w:val="it-IT"/>
        </w:rPr>
        <w:t>(qualora sia disponibile una nuova versione di tali prodotti ai sensi del programma di Contratti Multilicenza in base al quale una società ha acquistato le licenze qualificanti prima della fine della copertura Software Assurance attiva per la licenza CAL qualificante per EBS 2008, la società sarà idonea a ricevere invece le licenze CAL corrispondenti a quella versione).</w:t>
      </w:r>
    </w:p>
    <w:p w:rsidR="00113634" w:rsidRPr="00451078" w:rsidRDefault="00113634" w:rsidP="00113634">
      <w:pPr>
        <w:rPr>
          <w:rFonts w:cs="Tahoma"/>
          <w:szCs w:val="18"/>
          <w:lang w:val="it-IT"/>
        </w:rPr>
      </w:pPr>
    </w:p>
    <w:p w:rsidR="001E3F07" w:rsidRPr="00451078" w:rsidRDefault="00113634" w:rsidP="00A434A4">
      <w:pPr>
        <w:ind w:left="720"/>
        <w:rPr>
          <w:rFonts w:cs="Tahoma"/>
          <w:szCs w:val="18"/>
          <w:lang w:val="it-IT"/>
        </w:rPr>
      </w:pPr>
      <w:r w:rsidRPr="00451078">
        <w:rPr>
          <w:rFonts w:cs="Tahoma"/>
          <w:szCs w:val="18"/>
          <w:lang w:val="it-IT"/>
        </w:rPr>
        <w:t>Le CAL gratuite sono attestate dal contratto multilicenza (Volume Licensing) della società e dalla presente nota relativa alle condizioni del prodotto.</w:t>
      </w:r>
      <w:r w:rsidR="00082E1C" w:rsidRPr="00451078">
        <w:rPr>
          <w:rFonts w:cs="Tahoma"/>
          <w:szCs w:val="18"/>
          <w:lang w:val="it-IT"/>
        </w:rPr>
        <w:t xml:space="preserve"> </w:t>
      </w:r>
      <w:r w:rsidRPr="00451078">
        <w:rPr>
          <w:rFonts w:cs="Tahoma"/>
          <w:szCs w:val="18"/>
          <w:lang w:val="it-IT"/>
        </w:rPr>
        <w:t>L</w:t>
      </w:r>
      <w:r w:rsidR="0073727D">
        <w:rPr>
          <w:rFonts w:cs="Tahoma"/>
          <w:szCs w:val="18"/>
          <w:lang w:val="it-IT"/>
        </w:rPr>
        <w:t>’</w:t>
      </w:r>
      <w:r w:rsidRPr="00451078">
        <w:rPr>
          <w:rFonts w:cs="Tahoma"/>
          <w:szCs w:val="18"/>
          <w:lang w:val="it-IT"/>
        </w:rPr>
        <w:t>utilizzo del software ai sensi delle CAL gratuite è soggetto alle condizioni del contratto della società e ai diritti di utilizzo del prodotto per i prodotti individuali.</w:t>
      </w:r>
      <w:r w:rsidR="00082E1C" w:rsidRPr="00451078">
        <w:rPr>
          <w:rFonts w:cs="Tahoma"/>
          <w:szCs w:val="18"/>
          <w:lang w:val="it-IT"/>
        </w:rPr>
        <w:t xml:space="preserve"> </w:t>
      </w:r>
      <w:r w:rsidRPr="00451078">
        <w:rPr>
          <w:rFonts w:cs="Tahoma"/>
          <w:szCs w:val="18"/>
          <w:lang w:val="it-IT"/>
        </w:rPr>
        <w:t>Il diritto di</w:t>
      </w:r>
      <w:r w:rsidR="007E28A3" w:rsidRPr="00451078">
        <w:rPr>
          <w:rFonts w:cs="Tahoma"/>
          <w:szCs w:val="18"/>
          <w:lang w:val="it-IT"/>
        </w:rPr>
        <w:t> </w:t>
      </w:r>
      <w:r w:rsidRPr="00451078">
        <w:rPr>
          <w:rFonts w:cs="Tahoma"/>
          <w:szCs w:val="18"/>
          <w:lang w:val="it-IT"/>
        </w:rPr>
        <w:t>utilizzo del software ai sensi delle CAL gratuite scadrà alla scadenza del diritto di utilizzo del software ai</w:t>
      </w:r>
      <w:r w:rsidR="007E28A3" w:rsidRPr="00451078">
        <w:rPr>
          <w:rFonts w:cs="Tahoma"/>
          <w:szCs w:val="18"/>
          <w:lang w:val="it-IT"/>
        </w:rPr>
        <w:t> </w:t>
      </w:r>
      <w:r w:rsidRPr="00451078">
        <w:rPr>
          <w:rFonts w:cs="Tahoma"/>
          <w:szCs w:val="18"/>
          <w:lang w:val="it-IT"/>
        </w:rPr>
        <w:t>sensi delle CAL qualificanti.</w:t>
      </w:r>
      <w:r w:rsidR="00082E1C" w:rsidRPr="00451078">
        <w:rPr>
          <w:rFonts w:cs="Tahoma"/>
          <w:szCs w:val="18"/>
          <w:lang w:val="it-IT"/>
        </w:rPr>
        <w:t xml:space="preserve"> </w:t>
      </w:r>
      <w:r w:rsidRPr="00451078">
        <w:rPr>
          <w:rFonts w:cs="Tahoma"/>
          <w:szCs w:val="18"/>
          <w:lang w:val="it-IT"/>
        </w:rPr>
        <w:t>Le CAL gratuite non possono in nessun caso essere trasferite separatamente dalle CAL qualificanti.</w:t>
      </w:r>
      <w:bookmarkStart w:id="1497" w:name="_107_Windows_Azure"/>
      <w:bookmarkEnd w:id="1497"/>
    </w:p>
    <w:p w:rsidR="00113634" w:rsidRPr="00451078" w:rsidRDefault="00113634" w:rsidP="00113634">
      <w:pPr>
        <w:rPr>
          <w:lang w:val="it-IT"/>
        </w:rPr>
      </w:pPr>
    </w:p>
    <w:p w:rsidR="00DE0D10" w:rsidRPr="00451078" w:rsidRDefault="00DE0D10" w:rsidP="00957DE8">
      <w:pPr>
        <w:rPr>
          <w:lang w:val="it-IT"/>
        </w:rPr>
      </w:pPr>
    </w:p>
    <w:p w:rsidR="00023FE7" w:rsidRPr="00451078" w:rsidRDefault="00BA29A7" w:rsidP="00EF2279">
      <w:pPr>
        <w:pStyle w:val="Heading3"/>
        <w:rPr>
          <w:lang w:val="it-IT"/>
        </w:rPr>
      </w:pPr>
      <w:bookmarkStart w:id="1498" w:name="Srv_109HPCServer2008_R2Suite"/>
      <w:bookmarkStart w:id="1499" w:name="_Toc336338365"/>
      <w:bookmarkStart w:id="1500" w:name="_Toc352234951"/>
      <w:bookmarkStart w:id="1501" w:name="Srv_96WindowsHighPerfCompSvr08"/>
      <w:bookmarkStart w:id="1502" w:name="Srv_94HPCServer2008_R2Suite"/>
      <w:bookmarkStart w:id="1503" w:name="Srv_106HPCServer2008_R2Suite"/>
      <w:r w:rsidRPr="00451078">
        <w:rPr>
          <w:rFonts w:ascii="Tahoma" w:hAnsi="Tahoma"/>
          <w:caps/>
          <w:color w:val="F66400"/>
          <w:sz w:val="22"/>
          <w:vertAlign w:val="superscript"/>
          <w:lang w:val="it-IT"/>
        </w:rPr>
        <w:t>98</w:t>
      </w:r>
      <w:r w:rsidRPr="00451078">
        <w:rPr>
          <w:rFonts w:ascii="Tahoma" w:hAnsi="Tahoma"/>
          <w:caps/>
          <w:color w:val="F66400"/>
          <w:sz w:val="22"/>
          <w:lang w:val="it-IT"/>
        </w:rPr>
        <w:t xml:space="preserve"> </w:t>
      </w:r>
      <w:r w:rsidRPr="00451078">
        <w:rPr>
          <w:rFonts w:ascii="Tahoma" w:hAnsi="Tahoma"/>
          <w:color w:val="F66400"/>
          <w:sz w:val="22"/>
          <w:lang w:val="it-IT"/>
        </w:rPr>
        <w:t>Windows HPC Server 2008 R2 Suite</w:t>
      </w:r>
      <w:bookmarkEnd w:id="1498"/>
      <w:bookmarkEnd w:id="1499"/>
      <w:bookmarkEnd w:id="1500"/>
    </w:p>
    <w:bookmarkEnd w:id="1501"/>
    <w:bookmarkEnd w:id="1502"/>
    <w:bookmarkEnd w:id="1503"/>
    <w:p w:rsidR="00023FE7" w:rsidRPr="00451078" w:rsidRDefault="00023FE7" w:rsidP="00A434A4">
      <w:pPr>
        <w:pStyle w:val="EndnoteText"/>
        <w:rPr>
          <w:lang w:val="it-IT"/>
        </w:rPr>
      </w:pPr>
    </w:p>
    <w:p w:rsidR="00A434A4" w:rsidRPr="00451078" w:rsidRDefault="001978C7" w:rsidP="00A434A4">
      <w:pPr>
        <w:spacing w:after="60"/>
        <w:ind w:left="720"/>
        <w:rPr>
          <w:lang w:val="it-IT"/>
        </w:rPr>
      </w:pPr>
      <w:r w:rsidRPr="00451078">
        <w:rPr>
          <w:b/>
          <w:color w:val="000000"/>
          <w:lang w:val="it-IT"/>
        </w:rPr>
        <w:t>Concessioni di licenza associate alla fine del ciclo di vita di HPC Server Suite</w:t>
      </w:r>
    </w:p>
    <w:p w:rsidR="001978C7" w:rsidRPr="00451078" w:rsidRDefault="001978C7" w:rsidP="00A434A4">
      <w:pPr>
        <w:ind w:left="720"/>
        <w:rPr>
          <w:lang w:val="it-IT"/>
        </w:rPr>
      </w:pPr>
      <w:r w:rsidRPr="00451078">
        <w:rPr>
          <w:color w:val="000000"/>
          <w:lang w:val="it-IT"/>
        </w:rPr>
        <w:t>HPC Server Suite 2008 R2 sarà l</w:t>
      </w:r>
      <w:r w:rsidR="0073727D">
        <w:rPr>
          <w:color w:val="000000"/>
          <w:lang w:val="it-IT"/>
        </w:rPr>
        <w:t>’</w:t>
      </w:r>
      <w:r w:rsidRPr="00451078">
        <w:rPr>
          <w:color w:val="000000"/>
          <w:lang w:val="it-IT"/>
        </w:rPr>
        <w:t>ultima versione di HPC Server Suite. Le società titolari di contratti multilicenza con copertura Software Assurance attiva per le licenze per HPC Server Suite in data 1 settembre 2012 o in occasione della prima disponibilità di Windows Server 2012 per il download dal sito Web Volume Licensing Service Center, a seconda di quale evento si verificherà per primo, (</w:t>
      </w:r>
      <w:r w:rsidR="001A3EC5" w:rsidRPr="00451078">
        <w:rPr>
          <w:color w:val="000000"/>
          <w:lang w:val="it-IT"/>
        </w:rPr>
        <w:t>“</w:t>
      </w:r>
      <w:r w:rsidRPr="00451078">
        <w:rPr>
          <w:color w:val="000000"/>
          <w:lang w:val="it-IT"/>
        </w:rPr>
        <w:t>Licenze Qualificanti</w:t>
      </w:r>
      <w:r w:rsidR="001A3EC5" w:rsidRPr="00451078">
        <w:rPr>
          <w:color w:val="000000"/>
          <w:lang w:val="it-IT"/>
        </w:rPr>
        <w:t>”</w:t>
      </w:r>
      <w:r w:rsidRPr="00451078">
        <w:rPr>
          <w:color w:val="000000"/>
          <w:lang w:val="it-IT"/>
        </w:rPr>
        <w:t>) saranno autorizzate a</w:t>
      </w:r>
      <w:r w:rsidRPr="00451078">
        <w:rPr>
          <w:rFonts w:eastAsia="Calibri" w:cs="Tahoma"/>
          <w:szCs w:val="18"/>
          <w:lang w:val="it-IT"/>
        </w:rPr>
        <w:t xml:space="preserve"> effettuare l</w:t>
      </w:r>
      <w:r w:rsidR="0073727D">
        <w:rPr>
          <w:rFonts w:eastAsia="Calibri" w:cs="Tahoma"/>
          <w:szCs w:val="18"/>
          <w:lang w:val="it-IT"/>
        </w:rPr>
        <w:t>’</w:t>
      </w:r>
      <w:r w:rsidRPr="00451078">
        <w:rPr>
          <w:rFonts w:eastAsia="Calibri" w:cs="Tahoma"/>
          <w:szCs w:val="18"/>
          <w:lang w:val="it-IT"/>
        </w:rPr>
        <w:t>aggiornamento al software Windows Server 2012 Standard e a utilizzarlo al posto di HPC Server Suite. Per agevolare tale aggiornamento, per ogni Licenza Qualificante in suo possesso, alla</w:t>
      </w:r>
      <w:r w:rsidR="007E28A3" w:rsidRPr="00451078">
        <w:rPr>
          <w:rFonts w:eastAsia="Calibri" w:cs="Tahoma"/>
          <w:szCs w:val="18"/>
          <w:lang w:val="it-IT"/>
        </w:rPr>
        <w:t> </w:t>
      </w:r>
      <w:r w:rsidRPr="00451078">
        <w:rPr>
          <w:rFonts w:eastAsia="Calibri" w:cs="Tahoma"/>
          <w:szCs w:val="18"/>
          <w:lang w:val="it-IT"/>
        </w:rPr>
        <w:t>società verrà concessa una licenza per processore per Windows Server 2012 Standard in base alla</w:t>
      </w:r>
      <w:r w:rsidR="007E28A3" w:rsidRPr="00451078">
        <w:rPr>
          <w:rFonts w:eastAsia="Calibri" w:cs="Tahoma"/>
          <w:szCs w:val="18"/>
          <w:lang w:val="it-IT"/>
        </w:rPr>
        <w:t> </w:t>
      </w:r>
      <w:r w:rsidRPr="00451078">
        <w:rPr>
          <w:rFonts w:eastAsia="Calibri" w:cs="Tahoma"/>
          <w:szCs w:val="18"/>
          <w:lang w:val="it-IT"/>
        </w:rPr>
        <w:t>disponibilità di Windows Server 2012.</w:t>
      </w:r>
    </w:p>
    <w:p w:rsidR="00A434A4" w:rsidRPr="00451078" w:rsidRDefault="00A434A4" w:rsidP="00A434A4">
      <w:pPr>
        <w:ind w:left="720"/>
        <w:rPr>
          <w:lang w:val="it-IT"/>
        </w:rPr>
      </w:pPr>
    </w:p>
    <w:p w:rsidR="001978C7" w:rsidRPr="00451078" w:rsidRDefault="001978C7" w:rsidP="00745AB3">
      <w:pPr>
        <w:numPr>
          <w:ilvl w:val="0"/>
          <w:numId w:val="51"/>
        </w:numPr>
        <w:tabs>
          <w:tab w:val="left" w:pos="1440"/>
        </w:tabs>
        <w:spacing w:after="60"/>
        <w:ind w:left="1440"/>
        <w:rPr>
          <w:lang w:val="it-IT"/>
        </w:rPr>
      </w:pPr>
      <w:r w:rsidRPr="00451078">
        <w:rPr>
          <w:rFonts w:eastAsia="Calibri" w:cs="Tahoma"/>
          <w:szCs w:val="18"/>
          <w:lang w:val="it-IT"/>
        </w:rPr>
        <w:t>Le licenze acquistate ai sensi della presente concessione includono la copertura Software Assurance.</w:t>
      </w:r>
      <w:r w:rsidR="00082E1C" w:rsidRPr="00451078">
        <w:rPr>
          <w:rFonts w:eastAsia="Calibri" w:cs="Tahoma"/>
          <w:szCs w:val="18"/>
          <w:lang w:val="it-IT"/>
        </w:rPr>
        <w:t xml:space="preserve"> </w:t>
      </w:r>
      <w:r w:rsidRPr="00451078">
        <w:rPr>
          <w:rFonts w:eastAsia="Calibri" w:cs="Tahoma"/>
          <w:szCs w:val="18"/>
          <w:lang w:val="it-IT"/>
        </w:rPr>
        <w:t>Tale copertura cessa alla scadenza della corrispondente copertura per le Licenze Qualificanti.</w:t>
      </w:r>
    </w:p>
    <w:p w:rsidR="001978C7" w:rsidRPr="00451078" w:rsidRDefault="001978C7" w:rsidP="00745AB3">
      <w:pPr>
        <w:numPr>
          <w:ilvl w:val="0"/>
          <w:numId w:val="51"/>
        </w:numPr>
        <w:tabs>
          <w:tab w:val="left" w:pos="1440"/>
        </w:tabs>
        <w:spacing w:after="60"/>
        <w:ind w:left="1440"/>
        <w:rPr>
          <w:lang w:val="it-IT"/>
        </w:rPr>
      </w:pPr>
      <w:r w:rsidRPr="00451078">
        <w:rPr>
          <w:rFonts w:eastAsia="Calibri" w:cs="Tahoma"/>
          <w:szCs w:val="18"/>
          <w:lang w:val="it-IT"/>
        </w:rPr>
        <w:t>Nel caso in cui le società abbiano acquistato diritti perpetui di utilizzo del software ai sensi di Licenze Qualificanti, le licenze acquistate ai sensi della presente concessione saranno anch</w:t>
      </w:r>
      <w:r w:rsidR="0073727D">
        <w:rPr>
          <w:rFonts w:eastAsia="Calibri" w:cs="Tahoma"/>
          <w:szCs w:val="18"/>
          <w:lang w:val="it-IT"/>
        </w:rPr>
        <w:t>’</w:t>
      </w:r>
      <w:r w:rsidRPr="00451078">
        <w:rPr>
          <w:rFonts w:eastAsia="Calibri" w:cs="Tahoma"/>
          <w:szCs w:val="18"/>
          <w:lang w:val="it-IT"/>
        </w:rPr>
        <w:t>esse perpetue; diversamente, le licenze acquistate ai sensi della presente concessione cesseranno alla scadenza delle Licenze Qualificanti sottostanti.</w:t>
      </w:r>
    </w:p>
    <w:p w:rsidR="001978C7" w:rsidRPr="00451078" w:rsidRDefault="001978C7" w:rsidP="00745AB3">
      <w:pPr>
        <w:numPr>
          <w:ilvl w:val="0"/>
          <w:numId w:val="51"/>
        </w:numPr>
        <w:tabs>
          <w:tab w:val="left" w:pos="1440"/>
        </w:tabs>
        <w:spacing w:after="60"/>
        <w:ind w:left="1440"/>
        <w:rPr>
          <w:lang w:val="it-IT"/>
        </w:rPr>
      </w:pPr>
      <w:r w:rsidRPr="00451078">
        <w:rPr>
          <w:rFonts w:eastAsia="Calibri" w:cs="Tahoma"/>
          <w:szCs w:val="18"/>
          <w:lang w:val="it-IT"/>
        </w:rPr>
        <w:t>Eseguendo l</w:t>
      </w:r>
      <w:r w:rsidR="0073727D">
        <w:rPr>
          <w:rFonts w:eastAsia="Calibri" w:cs="Tahoma"/>
          <w:szCs w:val="18"/>
          <w:lang w:val="it-IT"/>
        </w:rPr>
        <w:t>’</w:t>
      </w:r>
      <w:r w:rsidRPr="00451078">
        <w:rPr>
          <w:rFonts w:eastAsia="Calibri" w:cs="Tahoma"/>
          <w:szCs w:val="18"/>
          <w:lang w:val="it-IT"/>
        </w:rPr>
        <w:t>aggiornamento a Windows Server 2012 Standard ai sensi della presente concessione, le Licenze Qualificanti in essere per HPC Server Suite non saranno più valide.</w:t>
      </w:r>
    </w:p>
    <w:p w:rsidR="001978C7" w:rsidRPr="00451078" w:rsidRDefault="001978C7" w:rsidP="00745AB3">
      <w:pPr>
        <w:numPr>
          <w:ilvl w:val="0"/>
          <w:numId w:val="55"/>
        </w:numPr>
        <w:tabs>
          <w:tab w:val="left" w:pos="1440"/>
        </w:tabs>
        <w:spacing w:after="60"/>
        <w:ind w:left="1440"/>
        <w:rPr>
          <w:lang w:val="it-IT"/>
        </w:rPr>
      </w:pPr>
      <w:r w:rsidRPr="00451078">
        <w:rPr>
          <w:lang w:val="it-IT"/>
        </w:rPr>
        <w:t xml:space="preserve">Le licenze per </w:t>
      </w:r>
      <w:r w:rsidRPr="00451078">
        <w:rPr>
          <w:color w:val="000000"/>
          <w:lang w:val="it-IT"/>
        </w:rPr>
        <w:t>HPC Server Suite</w:t>
      </w:r>
      <w:r w:rsidR="00082E1C" w:rsidRPr="00451078">
        <w:rPr>
          <w:color w:val="000000"/>
          <w:lang w:val="it-IT"/>
        </w:rPr>
        <w:t xml:space="preserve"> </w:t>
      </w:r>
      <w:r w:rsidRPr="00451078">
        <w:rPr>
          <w:rFonts w:cs="Tahoma"/>
          <w:bCs/>
          <w:color w:val="000000"/>
          <w:szCs w:val="18"/>
          <w:lang w:val="it-IT"/>
        </w:rPr>
        <w:t>acquistate successivamente nello stesso periodo di validità dell</w:t>
      </w:r>
      <w:r w:rsidR="0073727D">
        <w:rPr>
          <w:rFonts w:cs="Tahoma"/>
          <w:bCs/>
          <w:color w:val="000000"/>
          <w:szCs w:val="18"/>
          <w:lang w:val="it-IT"/>
        </w:rPr>
        <w:t>’</w:t>
      </w:r>
      <w:r w:rsidRPr="00451078">
        <w:rPr>
          <w:rFonts w:cs="Tahoma"/>
          <w:bCs/>
          <w:color w:val="000000"/>
          <w:szCs w:val="18"/>
          <w:lang w:val="it-IT"/>
        </w:rPr>
        <w:t>iscrizione nell</w:t>
      </w:r>
      <w:r w:rsidR="0073727D">
        <w:rPr>
          <w:rFonts w:cs="Tahoma"/>
          <w:bCs/>
          <w:color w:val="000000"/>
          <w:szCs w:val="18"/>
          <w:lang w:val="it-IT"/>
        </w:rPr>
        <w:t>’</w:t>
      </w:r>
      <w:r w:rsidRPr="00451078">
        <w:rPr>
          <w:rFonts w:cs="Tahoma"/>
          <w:bCs/>
          <w:color w:val="000000"/>
          <w:szCs w:val="18"/>
          <w:lang w:val="it-IT"/>
        </w:rPr>
        <w:t>ambito di una procedura pianificata di true-up di una società Enterprise, Enterprise Subscription, Open Value Subscription o EES sono anch</w:t>
      </w:r>
      <w:r w:rsidR="0073727D">
        <w:rPr>
          <w:rFonts w:cs="Tahoma"/>
          <w:bCs/>
          <w:color w:val="000000"/>
          <w:szCs w:val="18"/>
          <w:lang w:val="it-IT"/>
        </w:rPr>
        <w:t>’</w:t>
      </w:r>
      <w:r w:rsidRPr="00451078">
        <w:rPr>
          <w:rFonts w:cs="Tahoma"/>
          <w:bCs/>
          <w:color w:val="000000"/>
          <w:szCs w:val="18"/>
          <w:lang w:val="it-IT"/>
        </w:rPr>
        <w:t xml:space="preserve">esse Licenze Qualificanti per gli scopi previsti dalla suddetta concessione. </w:t>
      </w:r>
    </w:p>
    <w:p w:rsidR="001978C7" w:rsidRPr="00451078" w:rsidRDefault="001978C7" w:rsidP="00745AB3">
      <w:pPr>
        <w:numPr>
          <w:ilvl w:val="0"/>
          <w:numId w:val="55"/>
        </w:numPr>
        <w:tabs>
          <w:tab w:val="left" w:pos="1440"/>
        </w:tabs>
        <w:spacing w:after="60"/>
        <w:ind w:left="1440"/>
        <w:rPr>
          <w:lang w:val="it-IT"/>
        </w:rPr>
      </w:pPr>
      <w:r w:rsidRPr="00451078">
        <w:rPr>
          <w:rFonts w:cs="Tahoma"/>
          <w:bCs/>
          <w:color w:val="000000"/>
          <w:szCs w:val="18"/>
          <w:lang w:val="it-IT"/>
        </w:rPr>
        <w:t>Nonostante la concessione di licenze per Windows Server 2012 Standard e di aggiornamenti per tale versione, le obbligazioni di pagamento degli importi scaduti e dovuti per le Licenze Qualificanti e la copertura rimangono pienamente vincolanti ed efficaci.</w:t>
      </w:r>
    </w:p>
    <w:p w:rsidR="00DE4110" w:rsidRPr="00451078" w:rsidRDefault="001978C7" w:rsidP="00745AB3">
      <w:pPr>
        <w:numPr>
          <w:ilvl w:val="0"/>
          <w:numId w:val="55"/>
        </w:numPr>
        <w:tabs>
          <w:tab w:val="left" w:pos="1440"/>
        </w:tabs>
        <w:spacing w:after="60"/>
        <w:ind w:left="1440"/>
        <w:rPr>
          <w:lang w:val="it-IT"/>
        </w:rPr>
      </w:pPr>
      <w:r w:rsidRPr="00451078">
        <w:rPr>
          <w:rFonts w:cs="Tahoma"/>
          <w:bCs/>
          <w:color w:val="000000"/>
          <w:szCs w:val="18"/>
          <w:lang w:val="it-IT"/>
        </w:rPr>
        <w:t>Fare anche riferimento alle note della lista dei prodotti per Windows Server 2008 R2 HPC Edition e HPC Pack 2008 R2 Enterprise.</w:t>
      </w:r>
      <w:bookmarkStart w:id="1504" w:name="_109_Windows®_Intune"/>
      <w:bookmarkEnd w:id="1504"/>
    </w:p>
    <w:p w:rsidR="00A434A4" w:rsidRPr="00451078" w:rsidRDefault="00A434A4" w:rsidP="00A434A4">
      <w:pPr>
        <w:tabs>
          <w:tab w:val="left" w:pos="1440"/>
        </w:tabs>
        <w:ind w:left="1080"/>
        <w:contextualSpacing/>
        <w:rPr>
          <w:lang w:val="it-IT"/>
        </w:rPr>
      </w:pPr>
    </w:p>
    <w:p w:rsidR="00A434A4" w:rsidRPr="00451078" w:rsidRDefault="00A434A4" w:rsidP="00376D4B">
      <w:pPr>
        <w:ind w:left="720"/>
        <w:rPr>
          <w:lang w:val="it-IT"/>
        </w:rPr>
      </w:pPr>
    </w:p>
    <w:p w:rsidR="008779BC" w:rsidRPr="00451078" w:rsidRDefault="00BA29A7" w:rsidP="00A434A4">
      <w:pPr>
        <w:pStyle w:val="Heading2"/>
        <w:ind w:left="0"/>
        <w:rPr>
          <w:lang w:val="it-IT"/>
        </w:rPr>
      </w:pPr>
      <w:bookmarkStart w:id="1505" w:name="_99_Windows_Multipoint"/>
      <w:bookmarkStart w:id="1506" w:name="_Toc336338367"/>
      <w:bookmarkStart w:id="1507" w:name="_Toc352234952"/>
      <w:bookmarkEnd w:id="1505"/>
      <w:r w:rsidRPr="00451078">
        <w:rPr>
          <w:rFonts w:ascii="Tahoma" w:hAnsi="Tahoma" w:cs="Tahoma"/>
          <w:caps/>
          <w:color w:val="FA6500"/>
          <w:sz w:val="22"/>
          <w:vertAlign w:val="superscript"/>
          <w:lang w:val="it-IT"/>
        </w:rPr>
        <w:t>99</w:t>
      </w:r>
      <w:r w:rsidRPr="00451078">
        <w:rPr>
          <w:rFonts w:ascii="Tahoma" w:hAnsi="Tahoma" w:cs="Tahoma"/>
          <w:caps/>
          <w:color w:val="FA6500"/>
          <w:sz w:val="22"/>
          <w:lang w:val="it-IT"/>
        </w:rPr>
        <w:t xml:space="preserve"> </w:t>
      </w:r>
      <w:r w:rsidRPr="00451078">
        <w:rPr>
          <w:rFonts w:ascii="Tahoma" w:hAnsi="Tahoma" w:cs="Tahoma"/>
          <w:color w:val="FA6500"/>
          <w:sz w:val="22"/>
          <w:lang w:val="it-IT"/>
        </w:rPr>
        <w:t xml:space="preserve">Windows Multipoint Server </w:t>
      </w:r>
      <w:bookmarkEnd w:id="1506"/>
      <w:r w:rsidRPr="00451078">
        <w:rPr>
          <w:rFonts w:ascii="Tahoma" w:hAnsi="Tahoma" w:cs="Tahoma"/>
          <w:color w:val="FA6500"/>
          <w:sz w:val="22"/>
          <w:lang w:val="it-IT"/>
        </w:rPr>
        <w:t>2012 Standard</w:t>
      </w:r>
      <w:bookmarkEnd w:id="1507"/>
      <w:r w:rsidRPr="00451078">
        <w:rPr>
          <w:rFonts w:ascii="Tahoma" w:hAnsi="Tahoma" w:cs="Tahoma"/>
          <w:color w:val="FA6500"/>
          <w:sz w:val="22"/>
          <w:lang w:val="it-IT"/>
        </w:rPr>
        <w:t xml:space="preserve"> </w:t>
      </w:r>
    </w:p>
    <w:p w:rsidR="00A434A4" w:rsidRPr="00451078" w:rsidRDefault="00A434A4" w:rsidP="00A434A4">
      <w:pPr>
        <w:rPr>
          <w:lang w:val="it-IT"/>
        </w:rPr>
      </w:pPr>
    </w:p>
    <w:p w:rsidR="00F745E1" w:rsidRPr="00451078" w:rsidRDefault="008779BC" w:rsidP="00A434A4">
      <w:pPr>
        <w:ind w:left="720"/>
        <w:rPr>
          <w:lang w:val="it-IT"/>
        </w:rPr>
      </w:pPr>
      <w:r w:rsidRPr="00451078">
        <w:rPr>
          <w:rFonts w:eastAsia="Calibri" w:cs="Tahoma"/>
          <w:color w:val="000000"/>
          <w:szCs w:val="18"/>
          <w:lang w:val="it-IT"/>
        </w:rPr>
        <w:t>Windows Multipoint Server 2012 Standard è la versione successiva di Windows Multipoint Server 2011 Standard.</w:t>
      </w:r>
    </w:p>
    <w:p w:rsidR="00A434A4" w:rsidRPr="00451078" w:rsidRDefault="00A434A4" w:rsidP="00A434A4">
      <w:pPr>
        <w:rPr>
          <w:lang w:val="it-IT"/>
        </w:rPr>
      </w:pPr>
    </w:p>
    <w:p w:rsidR="00A434A4" w:rsidRPr="00451078" w:rsidRDefault="00A434A4" w:rsidP="00A434A4">
      <w:pPr>
        <w:rPr>
          <w:lang w:val="it-IT"/>
        </w:rPr>
      </w:pPr>
    </w:p>
    <w:p w:rsidR="00092F30" w:rsidRPr="003410C7" w:rsidRDefault="00BA29A7" w:rsidP="00A434A4">
      <w:pPr>
        <w:pStyle w:val="Heading2"/>
        <w:ind w:left="0"/>
      </w:pPr>
      <w:bookmarkStart w:id="1508" w:name="_Toc336338368"/>
      <w:bookmarkStart w:id="1509" w:name="_Toc352234953"/>
      <w:bookmarkStart w:id="1510" w:name="Srv_103WinMultipointSvr2011Premium"/>
      <w:bookmarkStart w:id="1511" w:name="Srv_107WinMultipointSvr2011Premium"/>
      <w:bookmarkStart w:id="1512" w:name="Srv_111WinMultipointSvr2011Premium"/>
      <w:r w:rsidRPr="003410C7">
        <w:rPr>
          <w:rFonts w:ascii="Tahoma" w:hAnsi="Tahoma" w:cs="Tahoma"/>
          <w:caps/>
          <w:color w:val="FA6500"/>
          <w:sz w:val="22"/>
          <w:szCs w:val="22"/>
          <w:vertAlign w:val="superscript"/>
        </w:rPr>
        <w:t>100</w:t>
      </w:r>
      <w:r w:rsidRPr="00CB7510">
        <w:rPr>
          <w:rFonts w:ascii="Tahoma" w:hAnsi="Tahoma" w:cs="Tahoma"/>
          <w:caps/>
          <w:color w:val="FA6500"/>
          <w:sz w:val="22"/>
        </w:rPr>
        <w:t xml:space="preserve"> </w:t>
      </w:r>
      <w:r w:rsidRPr="003410C7">
        <w:rPr>
          <w:rFonts w:ascii="Tahoma" w:hAnsi="Tahoma" w:cs="Tahoma"/>
          <w:color w:val="FA6500"/>
          <w:sz w:val="22"/>
        </w:rPr>
        <w:t xml:space="preserve">Windows Multipoint Server </w:t>
      </w:r>
      <w:bookmarkEnd w:id="1508"/>
      <w:r w:rsidRPr="003410C7">
        <w:rPr>
          <w:rFonts w:ascii="Tahoma" w:hAnsi="Tahoma" w:cs="Tahoma"/>
          <w:color w:val="FA6500"/>
          <w:sz w:val="22"/>
        </w:rPr>
        <w:t>2012 Premium</w:t>
      </w:r>
      <w:bookmarkEnd w:id="1509"/>
      <w:r w:rsidRPr="003410C7">
        <w:rPr>
          <w:rFonts w:ascii="Tahoma" w:hAnsi="Tahoma" w:cs="Tahoma"/>
          <w:color w:val="FA6500"/>
          <w:sz w:val="22"/>
        </w:rPr>
        <w:t xml:space="preserve"> </w:t>
      </w:r>
      <w:bookmarkEnd w:id="1510"/>
      <w:bookmarkEnd w:id="1511"/>
      <w:bookmarkEnd w:id="1512"/>
    </w:p>
    <w:p w:rsidR="00A434A4" w:rsidRPr="003410C7" w:rsidRDefault="00A434A4" w:rsidP="00A434A4"/>
    <w:p w:rsidR="00F745E1" w:rsidRPr="003410C7" w:rsidRDefault="00092F30" w:rsidP="00A434A4">
      <w:pPr>
        <w:ind w:left="720"/>
      </w:pPr>
      <w:r w:rsidRPr="003410C7">
        <w:rPr>
          <w:rFonts w:eastAsia="Calibri" w:cs="Tahoma"/>
          <w:color w:val="000000"/>
          <w:szCs w:val="18"/>
        </w:rPr>
        <w:t>Windows Multipoint Server 2012 Premium è la versione successiva di Windows Multipoint Server 2011 Premium.</w:t>
      </w:r>
      <w:bookmarkStart w:id="1513" w:name="_Toc280612355"/>
    </w:p>
    <w:p w:rsidR="00A434A4" w:rsidRPr="003410C7" w:rsidRDefault="00A434A4" w:rsidP="00A434A4"/>
    <w:p w:rsidR="00A434A4" w:rsidRPr="003410C7" w:rsidRDefault="00A434A4" w:rsidP="00A434A4"/>
    <w:p w:rsidR="00092F30" w:rsidRPr="003410C7" w:rsidRDefault="00BA29A7" w:rsidP="00092F30">
      <w:pPr>
        <w:pStyle w:val="Heading2"/>
        <w:ind w:left="0"/>
      </w:pPr>
      <w:bookmarkStart w:id="1514" w:name="_Toc352234954"/>
      <w:bookmarkStart w:id="1515" w:name="Srv_104WinMultipointSvr2011CAL"/>
      <w:bookmarkStart w:id="1516" w:name="Srv_108WinMultipointSvr2011CAL"/>
      <w:bookmarkStart w:id="1517" w:name="Srv_112WinMultipointSvr2011CAL"/>
      <w:r w:rsidRPr="003410C7">
        <w:rPr>
          <w:rFonts w:ascii="Tahoma" w:hAnsi="Tahoma" w:cs="Tahoma"/>
          <w:caps/>
          <w:color w:val="FA6500"/>
          <w:sz w:val="22"/>
          <w:szCs w:val="22"/>
          <w:vertAlign w:val="superscript"/>
        </w:rPr>
        <w:t>101</w:t>
      </w:r>
      <w:r w:rsidRPr="003410C7">
        <w:rPr>
          <w:rFonts w:ascii="Tahoma" w:hAnsi="Tahoma" w:cs="Tahoma"/>
          <w:color w:val="FA6500"/>
          <w:sz w:val="22"/>
          <w:szCs w:val="22"/>
        </w:rPr>
        <w:t xml:space="preserve"> Licenza CAL per Windows </w:t>
      </w:r>
      <w:bookmarkEnd w:id="1513"/>
      <w:r w:rsidRPr="003410C7">
        <w:rPr>
          <w:rFonts w:ascii="Tahoma" w:hAnsi="Tahoma" w:cs="Tahoma"/>
          <w:color w:val="FA6500"/>
          <w:sz w:val="22"/>
          <w:szCs w:val="22"/>
        </w:rPr>
        <w:t>Multipoint Server 2012</w:t>
      </w:r>
      <w:bookmarkEnd w:id="1514"/>
    </w:p>
    <w:bookmarkEnd w:id="1515"/>
    <w:bookmarkEnd w:id="1516"/>
    <w:bookmarkEnd w:id="1517"/>
    <w:p w:rsidR="00092F30" w:rsidRPr="003410C7" w:rsidRDefault="00092F30" w:rsidP="00092F30">
      <w:pPr>
        <w:ind w:firstLine="360"/>
      </w:pPr>
    </w:p>
    <w:p w:rsidR="0008452D" w:rsidRPr="00451078" w:rsidRDefault="00092F30" w:rsidP="00A434A4">
      <w:pPr>
        <w:ind w:left="720"/>
        <w:rPr>
          <w:lang w:val="it-IT"/>
        </w:rPr>
      </w:pPr>
      <w:r w:rsidRPr="00451078">
        <w:rPr>
          <w:rFonts w:eastAsia="Calibri" w:cs="Tahoma"/>
          <w:color w:val="000000"/>
          <w:szCs w:val="18"/>
          <w:lang w:val="it-IT"/>
        </w:rPr>
        <w:t>La CAL per Windows MultiPoint Server 2012 è la versione successiva della CAL per Windows Multipoint Server 2011.</w:t>
      </w:r>
    </w:p>
    <w:p w:rsidR="00A434A4" w:rsidRPr="00451078" w:rsidRDefault="00A434A4" w:rsidP="00A434A4">
      <w:pPr>
        <w:rPr>
          <w:lang w:val="it-IT"/>
        </w:rPr>
      </w:pPr>
    </w:p>
    <w:p w:rsidR="00A434A4" w:rsidRPr="00451078" w:rsidRDefault="00A434A4" w:rsidP="00A434A4">
      <w:pPr>
        <w:rPr>
          <w:lang w:val="it-IT"/>
        </w:rPr>
      </w:pPr>
    </w:p>
    <w:p w:rsidR="00023FE7" w:rsidRPr="00451078" w:rsidRDefault="00BA29A7" w:rsidP="00EF2279">
      <w:pPr>
        <w:pStyle w:val="Heading3"/>
        <w:ind w:left="360" w:hanging="360"/>
        <w:rPr>
          <w:lang w:val="it-IT"/>
        </w:rPr>
      </w:pPr>
      <w:bookmarkStart w:id="1518" w:name="_Toc336338369"/>
      <w:bookmarkStart w:id="1519" w:name="_Toc352234955"/>
      <w:bookmarkStart w:id="1520" w:name="Srv_97WinSvr08HighPerfCompandHyperV"/>
      <w:bookmarkStart w:id="1521" w:name="Srv_98WinSvr08HighPerfCompandHyperV"/>
      <w:bookmarkStart w:id="1522" w:name="Srv_110WinSvr08R2HPC"/>
      <w:bookmarkStart w:id="1523" w:name="Srv_114WinSvr08R2HPC"/>
      <w:r w:rsidRPr="00451078">
        <w:rPr>
          <w:rFonts w:ascii="Tahoma" w:hAnsi="Tahoma"/>
          <w:caps/>
          <w:color w:val="F66400"/>
          <w:sz w:val="22"/>
          <w:vertAlign w:val="superscript"/>
          <w:lang w:val="it-IT"/>
        </w:rPr>
        <w:t>102</w:t>
      </w:r>
      <w:r w:rsidRPr="00451078">
        <w:rPr>
          <w:rFonts w:ascii="Tahoma" w:hAnsi="Tahoma"/>
          <w:color w:val="F66400"/>
          <w:sz w:val="22"/>
          <w:lang w:val="it-IT"/>
        </w:rPr>
        <w:t xml:space="preserve"> Windows Server 2008 R2 HPC</w:t>
      </w:r>
      <w:r w:rsidRPr="00451078">
        <w:rPr>
          <w:rStyle w:val="Heading3Char"/>
          <w:rFonts w:ascii="Tahoma" w:hAnsi="Tahoma"/>
          <w:b/>
          <w:color w:val="F66400"/>
          <w:sz w:val="22"/>
          <w:lang w:val="it-IT"/>
        </w:rPr>
        <w:t xml:space="preserve"> Edition</w:t>
      </w:r>
      <w:bookmarkEnd w:id="1518"/>
      <w:bookmarkEnd w:id="1519"/>
      <w:r w:rsidRPr="00451078">
        <w:rPr>
          <w:rStyle w:val="Heading3Char"/>
          <w:rFonts w:ascii="Tahoma" w:hAnsi="Tahoma"/>
          <w:b/>
          <w:color w:val="F66400"/>
          <w:sz w:val="22"/>
          <w:lang w:val="it-IT"/>
        </w:rPr>
        <w:t xml:space="preserve"> </w:t>
      </w:r>
    </w:p>
    <w:bookmarkEnd w:id="1520"/>
    <w:bookmarkEnd w:id="1521"/>
    <w:bookmarkEnd w:id="1522"/>
    <w:bookmarkEnd w:id="1523"/>
    <w:p w:rsidR="00023FE7" w:rsidRPr="00451078" w:rsidRDefault="00023FE7" w:rsidP="00A434A4">
      <w:pPr>
        <w:rPr>
          <w:lang w:val="it-IT"/>
        </w:rPr>
      </w:pPr>
    </w:p>
    <w:p w:rsidR="00A434A4" w:rsidRPr="00451078" w:rsidRDefault="001978C7" w:rsidP="00A434A4">
      <w:pPr>
        <w:spacing w:after="60"/>
        <w:ind w:left="720"/>
        <w:rPr>
          <w:lang w:val="it-IT"/>
        </w:rPr>
      </w:pPr>
      <w:r w:rsidRPr="00451078">
        <w:rPr>
          <w:b/>
          <w:color w:val="000000"/>
          <w:lang w:val="it-IT"/>
        </w:rPr>
        <w:t>Concessioni di licenza associate alla fine del ciclo di vita di Windows Server HPC Edition</w:t>
      </w:r>
    </w:p>
    <w:p w:rsidR="001978C7" w:rsidRPr="00451078" w:rsidRDefault="001978C7" w:rsidP="00A434A4">
      <w:pPr>
        <w:ind w:left="720"/>
        <w:rPr>
          <w:lang w:val="it-IT"/>
        </w:rPr>
      </w:pPr>
      <w:r w:rsidRPr="00451078">
        <w:rPr>
          <w:color w:val="000000"/>
          <w:lang w:val="it-IT"/>
        </w:rPr>
        <w:t>Windows Server 2008 R2 sarà l</w:t>
      </w:r>
      <w:r w:rsidR="0073727D">
        <w:rPr>
          <w:color w:val="000000"/>
          <w:lang w:val="it-IT"/>
        </w:rPr>
        <w:t>’</w:t>
      </w:r>
      <w:r w:rsidRPr="00451078">
        <w:rPr>
          <w:color w:val="000000"/>
          <w:lang w:val="it-IT"/>
        </w:rPr>
        <w:t>ultima versione di Windows Server HPC Edition. Le società titolari di contratti</w:t>
      </w:r>
      <w:r w:rsidR="007E28A3" w:rsidRPr="00451078">
        <w:rPr>
          <w:color w:val="000000"/>
          <w:lang w:val="it-IT"/>
        </w:rPr>
        <w:t> </w:t>
      </w:r>
      <w:r w:rsidRPr="00451078">
        <w:rPr>
          <w:color w:val="000000"/>
          <w:lang w:val="it-IT"/>
        </w:rPr>
        <w:t>multilicenza con copertura Software Assurance attiva per le licenze per Windows Server 2008 R2 HPC Edition in data 1 settembre 2012 o in occasione della prima disponibilità di Windows Server 2012 per il download dal sito Web Volume Licensing Service Center, a seconda di quale evento si verificherà per primo, (</w:t>
      </w:r>
      <w:r w:rsidR="001A3EC5" w:rsidRPr="00451078">
        <w:rPr>
          <w:color w:val="000000"/>
          <w:lang w:val="it-IT"/>
        </w:rPr>
        <w:t>“</w:t>
      </w:r>
      <w:r w:rsidRPr="00451078">
        <w:rPr>
          <w:color w:val="000000"/>
          <w:lang w:val="it-IT"/>
        </w:rPr>
        <w:t>Licenze Qualificanti</w:t>
      </w:r>
      <w:r w:rsidR="001A3EC5" w:rsidRPr="00451078">
        <w:rPr>
          <w:color w:val="000000"/>
          <w:lang w:val="it-IT"/>
        </w:rPr>
        <w:t>”</w:t>
      </w:r>
      <w:r w:rsidRPr="00451078">
        <w:rPr>
          <w:color w:val="000000"/>
          <w:lang w:val="it-IT"/>
        </w:rPr>
        <w:t xml:space="preserve">) saranno autorizzate a </w:t>
      </w:r>
      <w:r w:rsidRPr="00451078">
        <w:rPr>
          <w:rFonts w:eastAsia="Calibri" w:cs="Tahoma"/>
          <w:szCs w:val="18"/>
          <w:lang w:val="it-IT"/>
        </w:rPr>
        <w:t xml:space="preserve">utilizzare il software Windows Server 2012 Standard. Per agevolare tale utilizzo, per ogni due Licenze Qualificanti in suo possesso, alla società verrà concessa una licenza per processore per Windows Server 2012 Standard in base alla disponibilità di Windows Server 2012. </w:t>
      </w:r>
    </w:p>
    <w:p w:rsidR="00A434A4" w:rsidRPr="00451078" w:rsidRDefault="00A434A4" w:rsidP="00A434A4">
      <w:pPr>
        <w:ind w:left="720"/>
        <w:rPr>
          <w:lang w:val="it-IT"/>
        </w:rPr>
      </w:pPr>
    </w:p>
    <w:p w:rsidR="001978C7" w:rsidRPr="00451078" w:rsidRDefault="001978C7" w:rsidP="00745AB3">
      <w:pPr>
        <w:numPr>
          <w:ilvl w:val="0"/>
          <w:numId w:val="55"/>
        </w:numPr>
        <w:tabs>
          <w:tab w:val="clear" w:pos="360"/>
          <w:tab w:val="num" w:pos="1440"/>
        </w:tabs>
        <w:spacing w:after="60"/>
        <w:ind w:left="1440"/>
        <w:rPr>
          <w:lang w:val="it-IT"/>
        </w:rPr>
      </w:pPr>
      <w:r w:rsidRPr="00451078">
        <w:rPr>
          <w:color w:val="000000"/>
          <w:lang w:val="it-IT"/>
        </w:rPr>
        <w:t>Qualora una società disponga di un numero dispari di licenze per Windows Server HPC Edition, dovrà arrotondarle al successivo numero pari per determinare la quantità concessa.</w:t>
      </w:r>
      <w:r w:rsidR="00082E1C" w:rsidRPr="00451078">
        <w:rPr>
          <w:color w:val="000000"/>
          <w:lang w:val="it-IT"/>
        </w:rPr>
        <w:t xml:space="preserve"> </w:t>
      </w:r>
      <w:r w:rsidRPr="00451078">
        <w:rPr>
          <w:color w:val="000000"/>
          <w:lang w:val="it-IT"/>
        </w:rPr>
        <w:t>Ad esempio, una società titolare di tre licenze per Windows Server HPC Edition riceverà in totale due licenze per</w:t>
      </w:r>
      <w:r w:rsidR="007E28A3" w:rsidRPr="00451078">
        <w:rPr>
          <w:color w:val="000000"/>
          <w:lang w:val="it-IT"/>
        </w:rPr>
        <w:t> </w:t>
      </w:r>
      <w:r w:rsidRPr="00451078">
        <w:rPr>
          <w:color w:val="000000"/>
          <w:lang w:val="it-IT"/>
        </w:rPr>
        <w:t>Windows Server 2012 Standard.</w:t>
      </w:r>
    </w:p>
    <w:p w:rsidR="001978C7" w:rsidRPr="00451078" w:rsidRDefault="001978C7" w:rsidP="00745AB3">
      <w:pPr>
        <w:pStyle w:val="ListParagraph"/>
        <w:numPr>
          <w:ilvl w:val="0"/>
          <w:numId w:val="55"/>
        </w:numPr>
        <w:tabs>
          <w:tab w:val="clear" w:pos="360"/>
          <w:tab w:val="num" w:pos="1440"/>
        </w:tabs>
        <w:spacing w:after="60"/>
        <w:ind w:left="1440"/>
        <w:contextualSpacing w:val="0"/>
        <w:rPr>
          <w:spacing w:val="-2"/>
          <w:lang w:val="it-IT"/>
        </w:rPr>
      </w:pPr>
      <w:r w:rsidRPr="00451078">
        <w:rPr>
          <w:rFonts w:ascii="Tahoma" w:eastAsia="Calibri" w:hAnsi="Tahoma" w:cs="Tahoma"/>
          <w:spacing w:val="-2"/>
          <w:sz w:val="18"/>
          <w:szCs w:val="18"/>
          <w:lang w:val="it-IT"/>
        </w:rPr>
        <w:t>Le licenze acquistate ai sensi della presente concessione includono la copertura Software Assurance.</w:t>
      </w:r>
      <w:r w:rsidR="00082E1C" w:rsidRPr="00451078">
        <w:rPr>
          <w:rFonts w:ascii="Tahoma" w:eastAsia="Calibri" w:hAnsi="Tahoma" w:cs="Tahoma"/>
          <w:spacing w:val="-2"/>
          <w:sz w:val="18"/>
          <w:szCs w:val="18"/>
          <w:lang w:val="it-IT"/>
        </w:rPr>
        <w:t xml:space="preserve"> </w:t>
      </w:r>
      <w:r w:rsidRPr="00451078">
        <w:rPr>
          <w:rFonts w:ascii="Tahoma" w:eastAsia="Calibri" w:hAnsi="Tahoma" w:cs="Tahoma"/>
          <w:spacing w:val="-2"/>
          <w:sz w:val="18"/>
          <w:szCs w:val="18"/>
          <w:lang w:val="it-IT"/>
        </w:rPr>
        <w:t>Tale copertura cessa alla scadenza della corrispondente copertura per le Licenze Qualificanti.</w:t>
      </w:r>
    </w:p>
    <w:p w:rsidR="001978C7" w:rsidRPr="00451078" w:rsidRDefault="001978C7" w:rsidP="00745AB3">
      <w:pPr>
        <w:pStyle w:val="ListParagraph"/>
        <w:numPr>
          <w:ilvl w:val="0"/>
          <w:numId w:val="55"/>
        </w:numPr>
        <w:tabs>
          <w:tab w:val="clear" w:pos="360"/>
          <w:tab w:val="num" w:pos="1440"/>
        </w:tabs>
        <w:spacing w:after="60"/>
        <w:ind w:left="1440"/>
        <w:contextualSpacing w:val="0"/>
        <w:rPr>
          <w:lang w:val="it-IT"/>
        </w:rPr>
      </w:pPr>
      <w:r w:rsidRPr="00451078">
        <w:rPr>
          <w:rFonts w:ascii="Tahoma" w:eastAsia="Calibri" w:hAnsi="Tahoma" w:cs="Tahoma"/>
          <w:sz w:val="18"/>
          <w:szCs w:val="18"/>
          <w:lang w:val="it-IT"/>
        </w:rPr>
        <w:t>Nel caso in cui le società abbiano acquistato diritti perpetui per utilizzare software ai sensi di Licenze Qualificanti, le licenze acquistate ai sensi della presente concessione saranno anch</w:t>
      </w:r>
      <w:r w:rsidR="0073727D">
        <w:rPr>
          <w:rFonts w:ascii="Tahoma" w:eastAsia="Calibri" w:hAnsi="Tahoma" w:cs="Tahoma"/>
          <w:sz w:val="18"/>
          <w:szCs w:val="18"/>
          <w:lang w:val="it-IT"/>
        </w:rPr>
        <w:t>’</w:t>
      </w:r>
      <w:r w:rsidRPr="00451078">
        <w:rPr>
          <w:rFonts w:ascii="Tahoma" w:eastAsia="Calibri" w:hAnsi="Tahoma" w:cs="Tahoma"/>
          <w:sz w:val="18"/>
          <w:szCs w:val="18"/>
          <w:lang w:val="it-IT"/>
        </w:rPr>
        <w:t>esse perpetue; diversamente, le licenze acquistate ai sensi della presente concessione cesseranno alla scadenza delle Licenze Qualificanti sottostanti.</w:t>
      </w:r>
    </w:p>
    <w:p w:rsidR="001978C7" w:rsidRPr="00451078" w:rsidRDefault="001978C7" w:rsidP="00745AB3">
      <w:pPr>
        <w:numPr>
          <w:ilvl w:val="0"/>
          <w:numId w:val="55"/>
        </w:numPr>
        <w:tabs>
          <w:tab w:val="clear" w:pos="360"/>
          <w:tab w:val="num" w:pos="1440"/>
          <w:tab w:val="left" w:pos="2160"/>
        </w:tabs>
        <w:spacing w:after="60"/>
        <w:ind w:left="1440"/>
        <w:rPr>
          <w:lang w:val="it-IT"/>
        </w:rPr>
      </w:pPr>
      <w:r w:rsidRPr="00451078">
        <w:rPr>
          <w:rFonts w:eastAsia="Calibri" w:cs="Tahoma"/>
          <w:szCs w:val="18"/>
          <w:lang w:val="it-IT"/>
        </w:rPr>
        <w:t>Eseguendo l</w:t>
      </w:r>
      <w:r w:rsidR="0073727D">
        <w:rPr>
          <w:rFonts w:eastAsia="Calibri" w:cs="Tahoma"/>
          <w:szCs w:val="18"/>
          <w:lang w:val="it-IT"/>
        </w:rPr>
        <w:t>’</w:t>
      </w:r>
      <w:r w:rsidRPr="00451078">
        <w:rPr>
          <w:rFonts w:eastAsia="Calibri" w:cs="Tahoma"/>
          <w:szCs w:val="18"/>
          <w:lang w:val="it-IT"/>
        </w:rPr>
        <w:t xml:space="preserve">aggiornamento a Windows Server 2012 Standard ai sensi della presente concessione, le licenze in essere per </w:t>
      </w:r>
      <w:r w:rsidRPr="00451078">
        <w:rPr>
          <w:color w:val="000000"/>
          <w:lang w:val="it-IT"/>
        </w:rPr>
        <w:t>Windows Server 2008 R2 HPC Edition</w:t>
      </w:r>
      <w:r w:rsidRPr="00451078">
        <w:rPr>
          <w:rFonts w:eastAsia="Calibri" w:cs="Tahoma"/>
          <w:szCs w:val="18"/>
          <w:lang w:val="it-IT"/>
        </w:rPr>
        <w:t xml:space="preserve"> rimangono valide.</w:t>
      </w:r>
    </w:p>
    <w:p w:rsidR="001978C7" w:rsidRPr="00451078" w:rsidRDefault="001978C7" w:rsidP="00745AB3">
      <w:pPr>
        <w:numPr>
          <w:ilvl w:val="0"/>
          <w:numId w:val="55"/>
        </w:numPr>
        <w:tabs>
          <w:tab w:val="clear" w:pos="360"/>
          <w:tab w:val="num" w:pos="1440"/>
        </w:tabs>
        <w:spacing w:after="60"/>
        <w:ind w:left="1440"/>
        <w:rPr>
          <w:lang w:val="it-IT"/>
        </w:rPr>
      </w:pPr>
      <w:r w:rsidRPr="00451078">
        <w:rPr>
          <w:lang w:val="it-IT"/>
        </w:rPr>
        <w:t xml:space="preserve">Le licenze per </w:t>
      </w:r>
      <w:r w:rsidRPr="00451078">
        <w:rPr>
          <w:color w:val="000000"/>
          <w:lang w:val="it-IT"/>
        </w:rPr>
        <w:t xml:space="preserve">Windows Server 2008 R2 HPC Edition </w:t>
      </w:r>
      <w:r w:rsidRPr="00451078">
        <w:rPr>
          <w:rFonts w:cs="Tahoma"/>
          <w:bCs/>
          <w:color w:val="000000"/>
          <w:szCs w:val="18"/>
          <w:lang w:val="it-IT"/>
        </w:rPr>
        <w:t>acquistate successivamente nello stesso periodo di validità dell</w:t>
      </w:r>
      <w:r w:rsidR="0073727D">
        <w:rPr>
          <w:rFonts w:cs="Tahoma"/>
          <w:bCs/>
          <w:color w:val="000000"/>
          <w:szCs w:val="18"/>
          <w:lang w:val="it-IT"/>
        </w:rPr>
        <w:t>’</w:t>
      </w:r>
      <w:r w:rsidRPr="00451078">
        <w:rPr>
          <w:rFonts w:cs="Tahoma"/>
          <w:bCs/>
          <w:color w:val="000000"/>
          <w:szCs w:val="18"/>
          <w:lang w:val="it-IT"/>
        </w:rPr>
        <w:t>iscrizione nell</w:t>
      </w:r>
      <w:r w:rsidR="0073727D">
        <w:rPr>
          <w:rFonts w:cs="Tahoma"/>
          <w:bCs/>
          <w:color w:val="000000"/>
          <w:szCs w:val="18"/>
          <w:lang w:val="it-IT"/>
        </w:rPr>
        <w:t>’</w:t>
      </w:r>
      <w:r w:rsidRPr="00451078">
        <w:rPr>
          <w:rFonts w:cs="Tahoma"/>
          <w:bCs/>
          <w:color w:val="000000"/>
          <w:szCs w:val="18"/>
          <w:lang w:val="it-IT"/>
        </w:rPr>
        <w:t>ambito di una procedura pianificata di true-up di una società Enterprise, Enterprise Subscription, Open Value Subscription o EES sono anch</w:t>
      </w:r>
      <w:r w:rsidR="0073727D">
        <w:rPr>
          <w:rFonts w:cs="Tahoma"/>
          <w:bCs/>
          <w:color w:val="000000"/>
          <w:szCs w:val="18"/>
          <w:lang w:val="it-IT"/>
        </w:rPr>
        <w:t>’</w:t>
      </w:r>
      <w:r w:rsidRPr="00451078">
        <w:rPr>
          <w:rFonts w:cs="Tahoma"/>
          <w:bCs/>
          <w:color w:val="000000"/>
          <w:szCs w:val="18"/>
          <w:lang w:val="it-IT"/>
        </w:rPr>
        <w:t xml:space="preserve">esse Licenze Qualificanti per gli scopi previsti dalla suddetta concessione. </w:t>
      </w:r>
    </w:p>
    <w:p w:rsidR="001978C7" w:rsidRPr="00451078" w:rsidRDefault="001978C7" w:rsidP="00745AB3">
      <w:pPr>
        <w:numPr>
          <w:ilvl w:val="0"/>
          <w:numId w:val="55"/>
        </w:numPr>
        <w:tabs>
          <w:tab w:val="clear" w:pos="360"/>
          <w:tab w:val="num" w:pos="1440"/>
        </w:tabs>
        <w:spacing w:after="60"/>
        <w:ind w:left="1440"/>
        <w:rPr>
          <w:lang w:val="it-IT"/>
        </w:rPr>
      </w:pPr>
      <w:r w:rsidRPr="00451078">
        <w:rPr>
          <w:rFonts w:cs="Tahoma"/>
          <w:bCs/>
          <w:color w:val="000000"/>
          <w:szCs w:val="18"/>
          <w:lang w:val="it-IT"/>
        </w:rPr>
        <w:t>Nonostante la concessione di licenze per Windows Server 2012 Standard e di aggiornamenti per tale versione, le obbligazioni di pagamento degli importi scaduti e dovuti per le Licenze Qualificanti e la copertura rimangono pienamente vincolanti ed efficaci.</w:t>
      </w:r>
    </w:p>
    <w:p w:rsidR="00A434A4" w:rsidRPr="00451078" w:rsidRDefault="00A434A4" w:rsidP="00A434A4">
      <w:pPr>
        <w:contextualSpacing/>
        <w:rPr>
          <w:lang w:val="it-IT"/>
        </w:rPr>
      </w:pPr>
    </w:p>
    <w:p w:rsidR="008C2FF8" w:rsidRPr="00451078" w:rsidRDefault="001978C7" w:rsidP="008C2FF8">
      <w:pPr>
        <w:spacing w:after="60"/>
        <w:ind w:left="720"/>
        <w:rPr>
          <w:spacing w:val="-3"/>
          <w:lang w:val="it-IT"/>
        </w:rPr>
      </w:pPr>
      <w:r w:rsidRPr="00451078">
        <w:rPr>
          <w:rFonts w:eastAsia="Calibri" w:cs="Tahoma"/>
          <w:b/>
          <w:spacing w:val="-3"/>
          <w:szCs w:val="18"/>
          <w:lang w:val="it-IT"/>
        </w:rPr>
        <w:t>Informazioni aggiuntive sull</w:t>
      </w:r>
      <w:r w:rsidR="0073727D">
        <w:rPr>
          <w:rFonts w:eastAsia="Calibri" w:cs="Tahoma"/>
          <w:b/>
          <w:spacing w:val="-3"/>
          <w:szCs w:val="18"/>
          <w:lang w:val="it-IT"/>
        </w:rPr>
        <w:t>’</w:t>
      </w:r>
      <w:r w:rsidRPr="00451078">
        <w:rPr>
          <w:rFonts w:eastAsia="Calibri" w:cs="Tahoma"/>
          <w:b/>
          <w:spacing w:val="-3"/>
          <w:szCs w:val="18"/>
          <w:lang w:val="it-IT"/>
        </w:rPr>
        <w:t>utilizzo di Windows Server 2012 High Performance Computing</w:t>
      </w:r>
      <w:r w:rsidR="007E28A3" w:rsidRPr="00451078">
        <w:rPr>
          <w:rFonts w:eastAsia="Calibri" w:cs="Tahoma"/>
          <w:b/>
          <w:spacing w:val="-3"/>
          <w:szCs w:val="18"/>
          <w:lang w:val="it-IT"/>
        </w:rPr>
        <w:t xml:space="preserve"> </w:t>
      </w:r>
      <w:r w:rsidRPr="00451078">
        <w:rPr>
          <w:rFonts w:eastAsia="Calibri" w:cs="Tahoma"/>
          <w:b/>
          <w:spacing w:val="-3"/>
          <w:szCs w:val="18"/>
          <w:lang w:val="it-IT"/>
        </w:rPr>
        <w:t>(HPC)</w:t>
      </w:r>
    </w:p>
    <w:p w:rsidR="002F7203" w:rsidRPr="00451078" w:rsidRDefault="001978C7" w:rsidP="008C2FF8">
      <w:pPr>
        <w:ind w:left="720"/>
        <w:contextualSpacing/>
        <w:rPr>
          <w:lang w:val="it-IT"/>
        </w:rPr>
      </w:pPr>
      <w:r w:rsidRPr="00451078">
        <w:rPr>
          <w:rFonts w:eastAsia="Calibri" w:cs="Tahoma"/>
          <w:szCs w:val="18"/>
          <w:lang w:val="it-IT"/>
        </w:rPr>
        <w:t xml:space="preserve">Quando Windows Server 2012 Standard o Datacenter viene utilizzato per High Performance Computing, non servono licenze CAL per accedere al software. Un </w:t>
      </w:r>
      <w:r w:rsidR="001A3EC5" w:rsidRPr="00451078">
        <w:rPr>
          <w:rFonts w:eastAsia="Calibri" w:cs="Tahoma"/>
          <w:szCs w:val="18"/>
          <w:lang w:val="it-IT"/>
        </w:rPr>
        <w:t>“</w:t>
      </w:r>
      <w:r w:rsidRPr="00451078">
        <w:rPr>
          <w:lang w:val="it-IT"/>
        </w:rPr>
        <w:t>Carico di Lavoro High Performance Computing (</w:t>
      </w:r>
      <w:r w:rsidR="001A3EC5" w:rsidRPr="00451078">
        <w:rPr>
          <w:lang w:val="it-IT"/>
        </w:rPr>
        <w:t>“</w:t>
      </w:r>
      <w:r w:rsidRPr="00451078">
        <w:rPr>
          <w:lang w:val="it-IT"/>
        </w:rPr>
        <w:t>HPC</w:t>
      </w:r>
      <w:r w:rsidR="001A3EC5" w:rsidRPr="00451078">
        <w:rPr>
          <w:lang w:val="it-IT"/>
        </w:rPr>
        <w:t>”</w:t>
      </w:r>
      <w:r w:rsidRPr="00451078">
        <w:rPr>
          <w:lang w:val="it-IT"/>
        </w:rPr>
        <w:t>)</w:t>
      </w:r>
      <w:r w:rsidR="001A3EC5" w:rsidRPr="00451078">
        <w:rPr>
          <w:lang w:val="it-IT"/>
        </w:rPr>
        <w:t>”</w:t>
      </w:r>
      <w:r w:rsidRPr="00451078">
        <w:rPr>
          <w:b/>
          <w:bCs/>
          <w:lang w:val="it-IT"/>
        </w:rPr>
        <w:t xml:space="preserve"> </w:t>
      </w:r>
      <w:r w:rsidRPr="00451078">
        <w:rPr>
          <w:lang w:val="it-IT"/>
        </w:rPr>
        <w:t xml:space="preserve">indica un carico di lavoro nel quale il software server </w:t>
      </w:r>
      <w:r w:rsidRPr="00451078">
        <w:rPr>
          <w:u w:val="single"/>
          <w:lang w:val="it-IT"/>
        </w:rPr>
        <w:t>viene utilizzato</w:t>
      </w:r>
      <w:r w:rsidRPr="00451078">
        <w:rPr>
          <w:lang w:val="it-IT"/>
        </w:rPr>
        <w:t xml:space="preserve"> per eseguire un Nodo del Cluster e per consentire, insieme ad altro software, la gestione dei sistemi, la gestione della protezione e dell</w:t>
      </w:r>
      <w:r w:rsidR="0073727D">
        <w:rPr>
          <w:lang w:val="it-IT"/>
        </w:rPr>
        <w:t>’</w:t>
      </w:r>
      <w:r w:rsidRPr="00451078">
        <w:rPr>
          <w:lang w:val="it-IT"/>
        </w:rPr>
        <w:t>archiviazione o il miglioramento delle prestazioni in un nodo del cluster allo scopo di supportare le Applicazioni HPC con cluster.</w:t>
      </w:r>
      <w:r w:rsidRPr="00451078">
        <w:rPr>
          <w:rFonts w:eastAsia="Calibri" w:cs="Tahoma"/>
          <w:szCs w:val="18"/>
          <w:lang w:val="it-IT"/>
        </w:rPr>
        <w:t xml:space="preserve"> Ulteriori dettagli sono disponibili nei Diritti di Utilizzo del Prodotto.</w:t>
      </w:r>
      <w:bookmarkStart w:id="1524" w:name="Srv_1120WinSvr08R2Enterprise"/>
    </w:p>
    <w:p w:rsidR="008C2FF8" w:rsidRPr="00451078" w:rsidRDefault="008C2FF8" w:rsidP="008C2FF8">
      <w:pPr>
        <w:contextualSpacing/>
        <w:rPr>
          <w:lang w:val="it-IT"/>
        </w:rPr>
      </w:pPr>
    </w:p>
    <w:p w:rsidR="002512D3" w:rsidRPr="00451078" w:rsidRDefault="002512D3">
      <w:pPr>
        <w:rPr>
          <w:lang w:val="it-IT"/>
        </w:rPr>
      </w:pPr>
      <w:bookmarkStart w:id="1525" w:name="_97_Windows_Server"/>
      <w:bookmarkStart w:id="1526" w:name="_98_Windows_Server"/>
      <w:bookmarkStart w:id="1527" w:name="_Toc336338370"/>
      <w:bookmarkStart w:id="1528" w:name="Srv_116WinSvr08R2Enterprise"/>
      <w:bookmarkStart w:id="1529" w:name="Srv_100WinSvr08R2Enterprise"/>
      <w:bookmarkEnd w:id="1525"/>
      <w:bookmarkEnd w:id="1526"/>
    </w:p>
    <w:p w:rsidR="006D0B36" w:rsidRPr="00451078" w:rsidRDefault="00BA29A7" w:rsidP="00EF2279">
      <w:pPr>
        <w:pStyle w:val="Heading3"/>
        <w:ind w:left="360" w:hanging="360"/>
        <w:rPr>
          <w:lang w:val="it-IT"/>
        </w:rPr>
      </w:pPr>
      <w:bookmarkStart w:id="1530" w:name="_103_Windows_Server"/>
      <w:bookmarkStart w:id="1531" w:name="_Toc352234956"/>
      <w:bookmarkEnd w:id="1530"/>
      <w:r w:rsidRPr="00451078">
        <w:rPr>
          <w:rFonts w:ascii="Tahoma" w:hAnsi="Tahoma"/>
          <w:caps/>
          <w:color w:val="F66400"/>
          <w:sz w:val="22"/>
          <w:vertAlign w:val="superscript"/>
          <w:lang w:val="it-IT"/>
        </w:rPr>
        <w:t>103</w:t>
      </w:r>
      <w:r w:rsidRPr="00451078">
        <w:rPr>
          <w:rFonts w:ascii="Tahoma" w:hAnsi="Tahoma"/>
          <w:color w:val="F66400"/>
          <w:sz w:val="22"/>
          <w:lang w:val="it-IT"/>
        </w:rPr>
        <w:t xml:space="preserve"> Windows Server 2008 R2 Enterprise</w:t>
      </w:r>
      <w:bookmarkEnd w:id="1527"/>
      <w:bookmarkEnd w:id="1531"/>
      <w:r w:rsidRPr="00451078">
        <w:rPr>
          <w:rFonts w:ascii="Tahoma" w:hAnsi="Tahoma"/>
          <w:color w:val="F66400"/>
          <w:sz w:val="22"/>
          <w:lang w:val="it-IT"/>
        </w:rPr>
        <w:t xml:space="preserve"> </w:t>
      </w:r>
      <w:bookmarkEnd w:id="1528"/>
    </w:p>
    <w:bookmarkEnd w:id="1524"/>
    <w:bookmarkEnd w:id="1529"/>
    <w:p w:rsidR="00156AE7" w:rsidRPr="00451078" w:rsidRDefault="00156AE7" w:rsidP="008C2FF8">
      <w:pPr>
        <w:ind w:left="900"/>
        <w:rPr>
          <w:lang w:val="it-IT"/>
        </w:rPr>
      </w:pPr>
    </w:p>
    <w:p w:rsidR="00171927" w:rsidRPr="00451078" w:rsidRDefault="00156AE7" w:rsidP="00171927">
      <w:pPr>
        <w:spacing w:after="60"/>
        <w:ind w:left="720"/>
        <w:rPr>
          <w:lang w:val="it-IT"/>
        </w:rPr>
      </w:pPr>
      <w:r w:rsidRPr="00451078">
        <w:rPr>
          <w:b/>
          <w:color w:val="000000"/>
          <w:lang w:val="it-IT"/>
        </w:rPr>
        <w:t>Concessioni di licenza associate alla fine del ciclo di vita di Windows Server Enterprise</w:t>
      </w:r>
    </w:p>
    <w:p w:rsidR="00156AE7" w:rsidRPr="00451078" w:rsidRDefault="00156AE7" w:rsidP="00E415A7">
      <w:pPr>
        <w:ind w:left="720"/>
        <w:rPr>
          <w:lang w:val="it-IT"/>
        </w:rPr>
      </w:pPr>
      <w:r w:rsidRPr="00451078">
        <w:rPr>
          <w:color w:val="000000"/>
          <w:lang w:val="it-IT"/>
        </w:rPr>
        <w:lastRenderedPageBreak/>
        <w:t>Windows Server 2008 R2 sarà l</w:t>
      </w:r>
      <w:r w:rsidR="0073727D">
        <w:rPr>
          <w:color w:val="000000"/>
          <w:lang w:val="it-IT"/>
        </w:rPr>
        <w:t>’</w:t>
      </w:r>
      <w:r w:rsidRPr="00451078">
        <w:rPr>
          <w:color w:val="000000"/>
          <w:lang w:val="it-IT"/>
        </w:rPr>
        <w:t>ultima versione di Windows Server Enterprise.</w:t>
      </w:r>
      <w:r w:rsidR="00082E1C" w:rsidRPr="00451078">
        <w:rPr>
          <w:color w:val="000000"/>
          <w:lang w:val="it-IT"/>
        </w:rPr>
        <w:t xml:space="preserve"> </w:t>
      </w:r>
      <w:r w:rsidRPr="00451078">
        <w:rPr>
          <w:color w:val="000000"/>
          <w:lang w:val="it-IT"/>
        </w:rPr>
        <w:t>Le società titolari di Contratti Multilicenza con copertura Software Assurance attiva per le licenze per Windows Server 2008 R2 Enterprise in data 1 settembre 2012 o in occasione della prima disponibilità di Windows Server 2012 per il download dal sito Web Volume Licensing Service Center, a seconda di quale evento si verificherà per primo, (</w:t>
      </w:r>
      <w:r w:rsidR="001A3EC5" w:rsidRPr="00451078">
        <w:rPr>
          <w:color w:val="000000"/>
          <w:lang w:val="it-IT"/>
        </w:rPr>
        <w:t>“</w:t>
      </w:r>
      <w:r w:rsidRPr="00451078">
        <w:rPr>
          <w:color w:val="000000"/>
          <w:lang w:val="it-IT"/>
        </w:rPr>
        <w:t>Licenze Qualificanti</w:t>
      </w:r>
      <w:r w:rsidR="001A3EC5" w:rsidRPr="00451078">
        <w:rPr>
          <w:color w:val="000000"/>
          <w:lang w:val="it-IT"/>
        </w:rPr>
        <w:t>”</w:t>
      </w:r>
      <w:r w:rsidRPr="00451078">
        <w:rPr>
          <w:color w:val="000000"/>
          <w:lang w:val="it-IT"/>
        </w:rPr>
        <w:t xml:space="preserve">) </w:t>
      </w:r>
      <w:r w:rsidRPr="00451078">
        <w:rPr>
          <w:rFonts w:eastAsia="Calibri" w:cs="Tahoma"/>
          <w:szCs w:val="18"/>
          <w:lang w:val="it-IT"/>
        </w:rPr>
        <w:t>saranno autorizzate a effettuare l</w:t>
      </w:r>
      <w:r w:rsidR="0073727D">
        <w:rPr>
          <w:rFonts w:eastAsia="Calibri" w:cs="Tahoma"/>
          <w:szCs w:val="18"/>
          <w:lang w:val="it-IT"/>
        </w:rPr>
        <w:t>’</w:t>
      </w:r>
      <w:r w:rsidRPr="00451078">
        <w:rPr>
          <w:rFonts w:eastAsia="Calibri" w:cs="Tahoma"/>
          <w:szCs w:val="18"/>
          <w:lang w:val="it-IT"/>
        </w:rPr>
        <w:t>aggiornamento al software Windows Server 2012 Standard e</w:t>
      </w:r>
      <w:r w:rsidR="00E415A7">
        <w:rPr>
          <w:rFonts w:eastAsia="Calibri" w:cs="Tahoma"/>
          <w:szCs w:val="18"/>
          <w:lang w:val="it-IT"/>
        </w:rPr>
        <w:t> </w:t>
      </w:r>
      <w:r w:rsidRPr="00451078">
        <w:rPr>
          <w:rFonts w:eastAsia="Calibri" w:cs="Tahoma"/>
          <w:szCs w:val="18"/>
          <w:lang w:val="it-IT"/>
        </w:rPr>
        <w:t>a utilizzarlo al posto di Windows Server 2008 R2 Enterprise. Per agevolare tale aggiornamento, per ogni Licenza Qualificante in suo possesso, alla società verrà concesso quanto segue in base alla disponibilità di Windows Server 2012:</w:t>
      </w:r>
    </w:p>
    <w:p w:rsidR="00171927" w:rsidRPr="00451078" w:rsidRDefault="00171927" w:rsidP="00171927">
      <w:pPr>
        <w:spacing w:after="60"/>
        <w:ind w:left="720"/>
        <w:rPr>
          <w:lang w:val="it-IT"/>
        </w:rPr>
      </w:pPr>
    </w:p>
    <w:p w:rsidR="00156AE7" w:rsidRPr="00451078" w:rsidRDefault="00156AE7" w:rsidP="00745AB3">
      <w:pPr>
        <w:numPr>
          <w:ilvl w:val="0"/>
          <w:numId w:val="51"/>
        </w:numPr>
        <w:spacing w:after="60"/>
        <w:ind w:left="1440"/>
        <w:rPr>
          <w:lang w:val="it-IT"/>
        </w:rPr>
      </w:pPr>
      <w:r w:rsidRPr="00451078">
        <w:rPr>
          <w:rFonts w:eastAsia="Calibri" w:cs="Tahoma"/>
          <w:szCs w:val="18"/>
          <w:lang w:val="it-IT"/>
        </w:rPr>
        <w:t>due licenze per Windows Server 2012 Standard o</w:t>
      </w:r>
    </w:p>
    <w:p w:rsidR="00156AE7" w:rsidRPr="00451078" w:rsidRDefault="00156AE7" w:rsidP="00745AB3">
      <w:pPr>
        <w:numPr>
          <w:ilvl w:val="0"/>
          <w:numId w:val="51"/>
        </w:numPr>
        <w:spacing w:after="60"/>
        <w:ind w:left="1440"/>
        <w:rPr>
          <w:lang w:val="it-IT"/>
        </w:rPr>
      </w:pPr>
      <w:r w:rsidRPr="00451078">
        <w:rPr>
          <w:rFonts w:eastAsia="Calibri" w:cs="Tahoma"/>
          <w:szCs w:val="18"/>
          <w:lang w:val="it-IT"/>
        </w:rPr>
        <w:t>tre, nel caso di Licenze Qualificanti acquistate con la copertura SA o rinnovate nel periodo 1 aprile - 31 agosto 2012 o</w:t>
      </w:r>
    </w:p>
    <w:p w:rsidR="00156AE7" w:rsidRPr="00451078" w:rsidRDefault="00156AE7" w:rsidP="00745AB3">
      <w:pPr>
        <w:numPr>
          <w:ilvl w:val="0"/>
          <w:numId w:val="51"/>
        </w:numPr>
        <w:spacing w:after="60"/>
        <w:ind w:left="1440"/>
        <w:rPr>
          <w:lang w:val="it-IT"/>
        </w:rPr>
      </w:pPr>
      <w:r w:rsidRPr="00451078">
        <w:rPr>
          <w:rFonts w:eastAsia="Calibri" w:cs="Tahoma"/>
          <w:szCs w:val="18"/>
          <w:lang w:val="it-IT"/>
        </w:rPr>
        <w:t>quatto licenze per Windows Server 2012 Standard, qualora il numero effettivo di processori fisici sul server al quale viene ceduta la Licenza Qualificante sia maggiore di quattro. (In questi casi le</w:t>
      </w:r>
      <w:r w:rsidR="007E28A3" w:rsidRPr="00451078">
        <w:rPr>
          <w:rFonts w:eastAsia="Calibri" w:cs="Tahoma"/>
          <w:szCs w:val="18"/>
          <w:lang w:val="it-IT"/>
        </w:rPr>
        <w:t> </w:t>
      </w:r>
      <w:r w:rsidRPr="00451078">
        <w:rPr>
          <w:rFonts w:eastAsia="Calibri" w:cs="Tahoma"/>
          <w:szCs w:val="18"/>
          <w:lang w:val="it-IT"/>
        </w:rPr>
        <w:t>società dovranno creare un record della configurazione dell</w:t>
      </w:r>
      <w:r w:rsidR="0073727D">
        <w:rPr>
          <w:rFonts w:eastAsia="Calibri" w:cs="Tahoma"/>
          <w:szCs w:val="18"/>
          <w:lang w:val="it-IT"/>
        </w:rPr>
        <w:t>’</w:t>
      </w:r>
      <w:r w:rsidRPr="00451078">
        <w:rPr>
          <w:rFonts w:eastAsia="Calibri" w:cs="Tahoma"/>
          <w:szCs w:val="18"/>
          <w:lang w:val="it-IT"/>
        </w:rPr>
        <w:t>hardware fisico che supporta tale software prima della scadenza della copertura Software Assurance per le Licenze Qualificanti ai</w:t>
      </w:r>
      <w:r w:rsidR="007E28A3" w:rsidRPr="00451078">
        <w:rPr>
          <w:rFonts w:eastAsia="Calibri" w:cs="Tahoma"/>
          <w:szCs w:val="18"/>
          <w:lang w:val="it-IT"/>
        </w:rPr>
        <w:t> </w:t>
      </w:r>
      <w:r w:rsidRPr="00451078">
        <w:rPr>
          <w:rFonts w:eastAsia="Calibri" w:cs="Tahoma"/>
          <w:szCs w:val="18"/>
          <w:lang w:val="it-IT"/>
        </w:rPr>
        <w:t>sensi del presente contratto, utilizzando lo strumento MAP di Microsoft o qualsiasi software equivalente. La presente concessione è disponibile solo per una Licenza Qualificante per server).</w:t>
      </w:r>
    </w:p>
    <w:p w:rsidR="00156AE7" w:rsidRPr="00451078" w:rsidRDefault="00156AE7" w:rsidP="00745AB3">
      <w:pPr>
        <w:numPr>
          <w:ilvl w:val="0"/>
          <w:numId w:val="51"/>
        </w:numPr>
        <w:spacing w:after="60"/>
        <w:ind w:left="1440"/>
        <w:rPr>
          <w:lang w:val="it-IT"/>
        </w:rPr>
      </w:pPr>
      <w:r w:rsidRPr="00451078">
        <w:rPr>
          <w:rFonts w:eastAsia="Calibri" w:cs="Tahoma"/>
          <w:szCs w:val="18"/>
          <w:lang w:val="it-IT"/>
        </w:rPr>
        <w:t>Le licenze acquistate ai sensi della presente concessione includono la copertura Software Assurance.</w:t>
      </w:r>
      <w:r w:rsidR="00082E1C" w:rsidRPr="00451078">
        <w:rPr>
          <w:rFonts w:eastAsia="Calibri" w:cs="Tahoma"/>
          <w:szCs w:val="18"/>
          <w:lang w:val="it-IT"/>
        </w:rPr>
        <w:t xml:space="preserve"> </w:t>
      </w:r>
      <w:r w:rsidRPr="00451078">
        <w:rPr>
          <w:rFonts w:eastAsia="Calibri" w:cs="Tahoma"/>
          <w:szCs w:val="18"/>
          <w:lang w:val="it-IT"/>
        </w:rPr>
        <w:t>Tale copertura cessa alla scadenza della corrispondente copertura per le Licenze Qualificanti.</w:t>
      </w:r>
    </w:p>
    <w:p w:rsidR="00156AE7" w:rsidRPr="00451078" w:rsidRDefault="00156AE7" w:rsidP="00745AB3">
      <w:pPr>
        <w:numPr>
          <w:ilvl w:val="0"/>
          <w:numId w:val="51"/>
        </w:numPr>
        <w:spacing w:after="60"/>
        <w:ind w:left="1440"/>
        <w:rPr>
          <w:lang w:val="it-IT"/>
        </w:rPr>
      </w:pPr>
      <w:r w:rsidRPr="00451078">
        <w:rPr>
          <w:rFonts w:eastAsia="Calibri" w:cs="Tahoma"/>
          <w:szCs w:val="18"/>
          <w:lang w:val="it-IT"/>
        </w:rPr>
        <w:t>Nel caso in cui le società abbiano acquistato diritti perpetui di utilizzo del software ai sensi di Licenze Qualificanti, le licenze acquistate ai sensi della presente concessione saranno anch</w:t>
      </w:r>
      <w:r w:rsidR="0073727D">
        <w:rPr>
          <w:rFonts w:eastAsia="Calibri" w:cs="Tahoma"/>
          <w:szCs w:val="18"/>
          <w:lang w:val="it-IT"/>
        </w:rPr>
        <w:t>’</w:t>
      </w:r>
      <w:r w:rsidRPr="00451078">
        <w:rPr>
          <w:rFonts w:eastAsia="Calibri" w:cs="Tahoma"/>
          <w:szCs w:val="18"/>
          <w:lang w:val="it-IT"/>
        </w:rPr>
        <w:t>esse perpetue; diversamente, le licenze acquistate ai sensi della presente concessione cesseranno alla</w:t>
      </w:r>
      <w:r w:rsidR="007E28A3" w:rsidRPr="00451078">
        <w:rPr>
          <w:rFonts w:eastAsia="Calibri" w:cs="Tahoma"/>
          <w:szCs w:val="18"/>
          <w:lang w:val="it-IT"/>
        </w:rPr>
        <w:t> </w:t>
      </w:r>
      <w:r w:rsidRPr="00451078">
        <w:rPr>
          <w:rFonts w:eastAsia="Calibri" w:cs="Tahoma"/>
          <w:szCs w:val="18"/>
          <w:lang w:val="it-IT"/>
        </w:rPr>
        <w:t>scadenza delle Licenze Qualificanti sottostanti.</w:t>
      </w:r>
      <w:r w:rsidR="00082E1C" w:rsidRPr="00451078">
        <w:rPr>
          <w:rFonts w:eastAsia="Calibri" w:cs="Tahoma"/>
          <w:szCs w:val="18"/>
          <w:lang w:val="it-IT"/>
        </w:rPr>
        <w:t xml:space="preserve"> </w:t>
      </w:r>
    </w:p>
    <w:p w:rsidR="00156AE7" w:rsidRPr="00451078" w:rsidRDefault="00156AE7" w:rsidP="00745AB3">
      <w:pPr>
        <w:numPr>
          <w:ilvl w:val="0"/>
          <w:numId w:val="51"/>
        </w:numPr>
        <w:spacing w:after="60"/>
        <w:ind w:left="1440"/>
        <w:rPr>
          <w:lang w:val="it-IT"/>
        </w:rPr>
      </w:pPr>
      <w:r w:rsidRPr="00451078">
        <w:rPr>
          <w:rFonts w:eastAsia="Calibri" w:cs="Tahoma"/>
          <w:szCs w:val="18"/>
          <w:lang w:val="it-IT"/>
        </w:rPr>
        <w:t>Eseguendo l</w:t>
      </w:r>
      <w:r w:rsidR="0073727D">
        <w:rPr>
          <w:rFonts w:eastAsia="Calibri" w:cs="Tahoma"/>
          <w:szCs w:val="18"/>
          <w:lang w:val="it-IT"/>
        </w:rPr>
        <w:t>’</w:t>
      </w:r>
      <w:r w:rsidRPr="00451078">
        <w:rPr>
          <w:rFonts w:eastAsia="Calibri" w:cs="Tahoma"/>
          <w:szCs w:val="18"/>
          <w:lang w:val="it-IT"/>
        </w:rPr>
        <w:t>aggiornamento a Windows Server 2012 Standard ai sensi della presente concessione, le Licenze Qualificanti in essere per Windows Server Enterprise non saranno più valide.</w:t>
      </w:r>
    </w:p>
    <w:p w:rsidR="00156AE7" w:rsidRPr="00451078" w:rsidRDefault="00156AE7" w:rsidP="00745AB3">
      <w:pPr>
        <w:numPr>
          <w:ilvl w:val="0"/>
          <w:numId w:val="51"/>
        </w:numPr>
        <w:spacing w:after="60"/>
        <w:ind w:left="1440"/>
        <w:rPr>
          <w:lang w:val="it-IT"/>
        </w:rPr>
      </w:pPr>
      <w:r w:rsidRPr="00451078">
        <w:rPr>
          <w:rFonts w:eastAsia="Calibri" w:cs="Tahoma"/>
          <w:szCs w:val="18"/>
          <w:lang w:val="it-IT"/>
        </w:rPr>
        <w:t>Le licenze per Windows Server 2008 R2 Enterprise acquistate successivamente nello stesso periodo</w:t>
      </w:r>
      <w:r w:rsidR="007E28A3" w:rsidRPr="00451078">
        <w:rPr>
          <w:rFonts w:eastAsia="Calibri" w:cs="Tahoma"/>
          <w:szCs w:val="18"/>
          <w:lang w:val="it-IT"/>
        </w:rPr>
        <w:t> </w:t>
      </w:r>
      <w:r w:rsidRPr="00451078">
        <w:rPr>
          <w:rFonts w:eastAsia="Calibri" w:cs="Tahoma"/>
          <w:szCs w:val="18"/>
          <w:lang w:val="it-IT"/>
        </w:rPr>
        <w:t>di validità dell</w:t>
      </w:r>
      <w:r w:rsidR="0073727D">
        <w:rPr>
          <w:rFonts w:eastAsia="Calibri" w:cs="Tahoma"/>
          <w:szCs w:val="18"/>
          <w:lang w:val="it-IT"/>
        </w:rPr>
        <w:t>’</w:t>
      </w:r>
      <w:r w:rsidRPr="00451078">
        <w:rPr>
          <w:rFonts w:eastAsia="Calibri" w:cs="Tahoma"/>
          <w:szCs w:val="18"/>
          <w:lang w:val="it-IT"/>
        </w:rPr>
        <w:t>iscrizione nell</w:t>
      </w:r>
      <w:r w:rsidR="0073727D">
        <w:rPr>
          <w:rFonts w:eastAsia="Calibri" w:cs="Tahoma"/>
          <w:szCs w:val="18"/>
          <w:lang w:val="it-IT"/>
        </w:rPr>
        <w:t>’</w:t>
      </w:r>
      <w:r w:rsidRPr="00451078">
        <w:rPr>
          <w:rFonts w:eastAsia="Calibri" w:cs="Tahoma"/>
          <w:szCs w:val="18"/>
          <w:lang w:val="it-IT"/>
        </w:rPr>
        <w:t>ambito di una procedura pianificata di true-up di una società Enterprise, Enterprise Subscription, Open Value Subscription o EES sono anch</w:t>
      </w:r>
      <w:r w:rsidR="0073727D">
        <w:rPr>
          <w:rFonts w:eastAsia="Calibri" w:cs="Tahoma"/>
          <w:szCs w:val="18"/>
          <w:lang w:val="it-IT"/>
        </w:rPr>
        <w:t>’</w:t>
      </w:r>
      <w:r w:rsidRPr="00451078">
        <w:rPr>
          <w:rFonts w:eastAsia="Calibri" w:cs="Tahoma"/>
          <w:szCs w:val="18"/>
          <w:lang w:val="it-IT"/>
        </w:rPr>
        <w:t>esse Licenze Qualificanti per gli scopi previsti dalla suddetta concessione di licenze.</w:t>
      </w:r>
      <w:r w:rsidR="00082E1C" w:rsidRPr="00451078">
        <w:rPr>
          <w:rFonts w:eastAsia="Calibri" w:cs="Tahoma"/>
          <w:szCs w:val="18"/>
          <w:lang w:val="it-IT"/>
        </w:rPr>
        <w:t xml:space="preserve"> </w:t>
      </w:r>
    </w:p>
    <w:p w:rsidR="00156AE7" w:rsidRPr="00451078" w:rsidRDefault="00156AE7" w:rsidP="00745AB3">
      <w:pPr>
        <w:numPr>
          <w:ilvl w:val="0"/>
          <w:numId w:val="51"/>
        </w:numPr>
        <w:spacing w:after="60"/>
        <w:ind w:left="1440"/>
        <w:rPr>
          <w:lang w:val="it-IT"/>
        </w:rPr>
      </w:pPr>
      <w:r w:rsidRPr="00451078">
        <w:rPr>
          <w:rFonts w:eastAsia="Calibri" w:cs="Tahoma"/>
          <w:szCs w:val="18"/>
          <w:lang w:val="it-IT"/>
        </w:rPr>
        <w:t>Nonostante la concessione di licenze per Windows Server 2012 Standard e di aggiornamenti per tale versione, le obbligazioni di pagamento degli importi scaduti e dovuti per le Licenze Qualificanti e la copertura rimangono pienamente vincolanti ed efficaci.</w:t>
      </w:r>
    </w:p>
    <w:p w:rsidR="00047339" w:rsidRPr="00451078" w:rsidRDefault="00047339" w:rsidP="00171927">
      <w:pPr>
        <w:pStyle w:val="EndnoteText"/>
        <w:ind w:left="0"/>
        <w:rPr>
          <w:lang w:val="it-IT"/>
        </w:rPr>
      </w:pPr>
    </w:p>
    <w:p w:rsidR="00171927" w:rsidRPr="00451078" w:rsidRDefault="00171927" w:rsidP="00171927">
      <w:pPr>
        <w:pStyle w:val="EndnoteText"/>
        <w:ind w:left="0"/>
        <w:rPr>
          <w:lang w:val="it-IT"/>
        </w:rPr>
      </w:pPr>
    </w:p>
    <w:p w:rsidR="00EF1978" w:rsidRPr="00451078" w:rsidRDefault="00BA29A7" w:rsidP="00EF2279">
      <w:pPr>
        <w:rPr>
          <w:lang w:val="it-IT"/>
        </w:rPr>
      </w:pPr>
      <w:bookmarkStart w:id="1532" w:name="Srv_1102WinSvr08R2Itanium"/>
      <w:bookmarkStart w:id="1533" w:name="_Toc336338371"/>
      <w:bookmarkStart w:id="1534" w:name="_Toc352234957"/>
      <w:bookmarkStart w:id="1535" w:name="Srv_1132WinSvr08R2Itanium"/>
      <w:bookmarkStart w:id="1536" w:name="Srv_117WinSvr08R2Itanium"/>
      <w:bookmarkStart w:id="1537" w:name="Srv_98WinSvr08StdandHyperV"/>
      <w:bookmarkStart w:id="1538" w:name="Srv_99WinSvr08StdandHyperV"/>
      <w:r w:rsidRPr="00451078">
        <w:rPr>
          <w:rStyle w:val="Heading3Char"/>
          <w:rFonts w:ascii="Tahoma" w:hAnsi="Tahoma"/>
          <w:caps/>
          <w:color w:val="F66400"/>
          <w:sz w:val="22"/>
          <w:vertAlign w:val="superscript"/>
          <w:lang w:val="it-IT"/>
        </w:rPr>
        <w:t>104</w:t>
      </w:r>
      <w:r w:rsidRPr="00451078">
        <w:rPr>
          <w:rStyle w:val="Heading3Char"/>
          <w:rFonts w:ascii="Tahoma" w:hAnsi="Tahoma"/>
          <w:color w:val="F66400"/>
          <w:sz w:val="22"/>
          <w:lang w:val="it-IT"/>
        </w:rPr>
        <w:t xml:space="preserve"> Windows Server 2008 R2 per Sistemi Itanium</w:t>
      </w:r>
      <w:bookmarkEnd w:id="1532"/>
      <w:bookmarkEnd w:id="1533"/>
      <w:bookmarkEnd w:id="1534"/>
    </w:p>
    <w:bookmarkEnd w:id="1535"/>
    <w:bookmarkEnd w:id="1536"/>
    <w:p w:rsidR="00376D4B" w:rsidRPr="00451078" w:rsidRDefault="00376D4B" w:rsidP="007E3162">
      <w:pPr>
        <w:ind w:left="360"/>
        <w:rPr>
          <w:lang w:val="it-IT"/>
        </w:rPr>
      </w:pPr>
    </w:p>
    <w:p w:rsidR="007E3162" w:rsidRPr="00451078" w:rsidRDefault="006533DF" w:rsidP="007E3162">
      <w:pPr>
        <w:spacing w:after="60"/>
        <w:ind w:left="720"/>
        <w:rPr>
          <w:lang w:val="it-IT"/>
        </w:rPr>
      </w:pPr>
      <w:r w:rsidRPr="00451078">
        <w:rPr>
          <w:b/>
          <w:color w:val="000000"/>
          <w:lang w:val="it-IT"/>
        </w:rPr>
        <w:t>Concessioni di licenza associate alla fine del ciclo di vita di Windows Server per i Sistemi Itanium</w:t>
      </w:r>
    </w:p>
    <w:p w:rsidR="006533DF" w:rsidRPr="00451078" w:rsidRDefault="006533DF" w:rsidP="007E3162">
      <w:pPr>
        <w:ind w:left="720"/>
        <w:rPr>
          <w:lang w:val="it-IT"/>
        </w:rPr>
      </w:pPr>
      <w:r w:rsidRPr="00451078">
        <w:rPr>
          <w:color w:val="000000"/>
          <w:lang w:val="it-IT"/>
        </w:rPr>
        <w:t>Windows Server 2008 R2 sarà l</w:t>
      </w:r>
      <w:r w:rsidR="0073727D">
        <w:rPr>
          <w:color w:val="000000"/>
          <w:lang w:val="it-IT"/>
        </w:rPr>
        <w:t>’</w:t>
      </w:r>
      <w:r w:rsidRPr="00451078">
        <w:rPr>
          <w:color w:val="000000"/>
          <w:lang w:val="it-IT"/>
        </w:rPr>
        <w:t>ultima versione di Windows Server per Sistemi Itanium.</w:t>
      </w:r>
      <w:r w:rsidR="00082E1C" w:rsidRPr="00451078">
        <w:rPr>
          <w:color w:val="000000"/>
          <w:lang w:val="it-IT"/>
        </w:rPr>
        <w:t xml:space="preserve"> </w:t>
      </w:r>
      <w:r w:rsidRPr="00451078">
        <w:rPr>
          <w:color w:val="000000"/>
          <w:lang w:val="it-IT"/>
        </w:rPr>
        <w:t>Le società titolari di contratti multilicenza con copertura Software Assurance attiva per le licenze per Windows Server 2008 R2 per Sistemi Itanium in data 1 settembre 2012 o in occasione della prima disponibilità di Windows Server 2012 per il download dal sito Web Volume Licensing Service Center, a seconda di quale evento si verificherà per primo, (</w:t>
      </w:r>
      <w:r w:rsidR="001A3EC5" w:rsidRPr="00451078">
        <w:rPr>
          <w:color w:val="000000"/>
          <w:lang w:val="it-IT"/>
        </w:rPr>
        <w:t>“</w:t>
      </w:r>
      <w:r w:rsidRPr="00451078">
        <w:rPr>
          <w:color w:val="000000"/>
          <w:lang w:val="it-IT"/>
        </w:rPr>
        <w:t>Licenze Qualificanti</w:t>
      </w:r>
      <w:r w:rsidR="001A3EC5" w:rsidRPr="00451078">
        <w:rPr>
          <w:color w:val="000000"/>
          <w:lang w:val="it-IT"/>
        </w:rPr>
        <w:t>”</w:t>
      </w:r>
      <w:r w:rsidRPr="00451078">
        <w:rPr>
          <w:color w:val="000000"/>
          <w:lang w:val="it-IT"/>
        </w:rPr>
        <w:t>) saranno autorizzate a</w:t>
      </w:r>
      <w:r w:rsidRPr="00451078">
        <w:rPr>
          <w:rFonts w:eastAsia="Calibri" w:cs="Tahoma"/>
          <w:szCs w:val="18"/>
          <w:lang w:val="it-IT"/>
        </w:rPr>
        <w:t xml:space="preserve"> effettuare l</w:t>
      </w:r>
      <w:r w:rsidR="0073727D">
        <w:rPr>
          <w:rFonts w:eastAsia="Calibri" w:cs="Tahoma"/>
          <w:szCs w:val="18"/>
          <w:lang w:val="it-IT"/>
        </w:rPr>
        <w:t>’</w:t>
      </w:r>
      <w:r w:rsidRPr="00451078">
        <w:rPr>
          <w:rFonts w:eastAsia="Calibri" w:cs="Tahoma"/>
          <w:szCs w:val="18"/>
          <w:lang w:val="it-IT"/>
        </w:rPr>
        <w:t>aggiornamento al software Windows Server 2012 Datacenter e a utilizzarlo al posto di Windows Server 2008 R2 per Sistemi Itanium. Per agevolare tale aggiornamento, per due Licenze Qualificanti in suo possesso, alla società verrà concessa una</w:t>
      </w:r>
      <w:r w:rsidR="007E28A3" w:rsidRPr="00451078">
        <w:rPr>
          <w:rFonts w:eastAsia="Calibri" w:cs="Tahoma"/>
          <w:szCs w:val="18"/>
          <w:lang w:val="it-IT"/>
        </w:rPr>
        <w:t> </w:t>
      </w:r>
      <w:r w:rsidRPr="00451078">
        <w:rPr>
          <w:rFonts w:eastAsia="Calibri" w:cs="Tahoma"/>
          <w:szCs w:val="18"/>
          <w:lang w:val="it-IT"/>
        </w:rPr>
        <w:t>licenza per processore per Windows Server 2012 Datacenter in base alla disponibilità di Windows Server</w:t>
      </w:r>
      <w:r w:rsidR="007E28A3" w:rsidRPr="00451078">
        <w:rPr>
          <w:rFonts w:eastAsia="Calibri" w:cs="Tahoma"/>
          <w:szCs w:val="18"/>
          <w:lang w:val="it-IT"/>
        </w:rPr>
        <w:t> </w:t>
      </w:r>
      <w:r w:rsidRPr="00451078">
        <w:rPr>
          <w:rFonts w:eastAsia="Calibri" w:cs="Tahoma"/>
          <w:szCs w:val="18"/>
          <w:lang w:val="it-IT"/>
        </w:rPr>
        <w:t xml:space="preserve">2012. </w:t>
      </w:r>
    </w:p>
    <w:p w:rsidR="007E3162" w:rsidRPr="00451078" w:rsidRDefault="007E3162" w:rsidP="007E3162">
      <w:pPr>
        <w:ind w:left="720"/>
        <w:rPr>
          <w:lang w:val="it-IT"/>
        </w:rPr>
      </w:pPr>
    </w:p>
    <w:p w:rsidR="006533DF" w:rsidRPr="00451078" w:rsidRDefault="006533DF" w:rsidP="00745AB3">
      <w:pPr>
        <w:numPr>
          <w:ilvl w:val="0"/>
          <w:numId w:val="55"/>
        </w:numPr>
        <w:tabs>
          <w:tab w:val="clear" w:pos="360"/>
          <w:tab w:val="num" w:pos="1440"/>
        </w:tabs>
        <w:spacing w:after="60"/>
        <w:ind w:left="1440"/>
        <w:rPr>
          <w:lang w:val="it-IT"/>
        </w:rPr>
      </w:pPr>
      <w:r w:rsidRPr="00451078">
        <w:rPr>
          <w:color w:val="000000"/>
          <w:lang w:val="it-IT"/>
        </w:rPr>
        <w:t>Qualora una società disponga di un numero dispari di Licenze Qualificanti, dovrà arrotondarle per difetto al numero pari più vicino per determinare la quantità concessa.</w:t>
      </w:r>
      <w:r w:rsidR="00082E1C" w:rsidRPr="00451078">
        <w:rPr>
          <w:color w:val="000000"/>
          <w:lang w:val="it-IT"/>
        </w:rPr>
        <w:t xml:space="preserve"> </w:t>
      </w:r>
      <w:r w:rsidRPr="00451078">
        <w:rPr>
          <w:color w:val="000000"/>
          <w:lang w:val="it-IT"/>
        </w:rPr>
        <w:t xml:space="preserve">Ad esempio, una società titolare di tre Licenze Qualificanti riceverà in totale una licenza per Windows Server 2012 Datacenter. </w:t>
      </w:r>
    </w:p>
    <w:p w:rsidR="006533DF" w:rsidRPr="00451078" w:rsidRDefault="006533DF" w:rsidP="00745AB3">
      <w:pPr>
        <w:pStyle w:val="ListParagraph"/>
        <w:numPr>
          <w:ilvl w:val="0"/>
          <w:numId w:val="55"/>
        </w:numPr>
        <w:tabs>
          <w:tab w:val="clear" w:pos="360"/>
          <w:tab w:val="num" w:pos="1440"/>
        </w:tabs>
        <w:spacing w:after="60"/>
        <w:ind w:left="1440"/>
        <w:contextualSpacing w:val="0"/>
        <w:rPr>
          <w:lang w:val="it-IT"/>
        </w:rPr>
      </w:pPr>
      <w:r w:rsidRPr="00451078">
        <w:rPr>
          <w:rFonts w:ascii="Tahoma" w:eastAsia="Calibri" w:hAnsi="Tahoma" w:cs="Tahoma"/>
          <w:sz w:val="18"/>
          <w:szCs w:val="18"/>
          <w:lang w:val="it-IT"/>
        </w:rPr>
        <w:t>Le licenze acquistate ai sensi della presente concessione includono la copertura Software Assurance.</w:t>
      </w:r>
      <w:r w:rsidR="00082E1C" w:rsidRPr="00451078">
        <w:rPr>
          <w:rFonts w:ascii="Tahoma" w:eastAsia="Calibri" w:hAnsi="Tahoma" w:cs="Tahoma"/>
          <w:sz w:val="18"/>
          <w:szCs w:val="18"/>
          <w:lang w:val="it-IT"/>
        </w:rPr>
        <w:t xml:space="preserve"> </w:t>
      </w:r>
      <w:r w:rsidRPr="00451078">
        <w:rPr>
          <w:rFonts w:ascii="Tahoma" w:eastAsia="Calibri" w:hAnsi="Tahoma" w:cs="Tahoma"/>
          <w:sz w:val="18"/>
          <w:szCs w:val="18"/>
          <w:lang w:val="it-IT"/>
        </w:rPr>
        <w:t>Tale copertura cessa alla scadenza della corrispondente copertura per le Licenze Qualificanti.</w:t>
      </w:r>
    </w:p>
    <w:p w:rsidR="006533DF" w:rsidRPr="00451078" w:rsidRDefault="006533DF" w:rsidP="00745AB3">
      <w:pPr>
        <w:pStyle w:val="ListParagraph"/>
        <w:numPr>
          <w:ilvl w:val="0"/>
          <w:numId w:val="55"/>
        </w:numPr>
        <w:tabs>
          <w:tab w:val="clear" w:pos="360"/>
          <w:tab w:val="num" w:pos="1440"/>
        </w:tabs>
        <w:spacing w:after="60"/>
        <w:ind w:left="1440"/>
        <w:contextualSpacing w:val="0"/>
        <w:rPr>
          <w:lang w:val="it-IT"/>
        </w:rPr>
      </w:pPr>
      <w:r w:rsidRPr="00451078">
        <w:rPr>
          <w:rFonts w:ascii="Tahoma" w:eastAsia="Calibri" w:hAnsi="Tahoma" w:cs="Tahoma"/>
          <w:sz w:val="18"/>
          <w:szCs w:val="18"/>
          <w:lang w:val="it-IT"/>
        </w:rPr>
        <w:lastRenderedPageBreak/>
        <w:t>Nel caso in cui le società abbiano acquistato diritti perpetui di utilizzo del software ai sensi di Licenze Qualificanti, le licenze acquistate ai sensi della presente concessione saranno anch</w:t>
      </w:r>
      <w:r w:rsidR="0073727D">
        <w:rPr>
          <w:rFonts w:ascii="Tahoma" w:eastAsia="Calibri" w:hAnsi="Tahoma" w:cs="Tahoma"/>
          <w:sz w:val="18"/>
          <w:szCs w:val="18"/>
          <w:lang w:val="it-IT"/>
        </w:rPr>
        <w:t>’</w:t>
      </w:r>
      <w:r w:rsidRPr="00451078">
        <w:rPr>
          <w:rFonts w:ascii="Tahoma" w:eastAsia="Calibri" w:hAnsi="Tahoma" w:cs="Tahoma"/>
          <w:sz w:val="18"/>
          <w:szCs w:val="18"/>
          <w:lang w:val="it-IT"/>
        </w:rPr>
        <w:t>esse perpetue; diversamente, le licenze acquistate ai sensi della presente concessione cesseranno alla scadenza delle Licenze Qualificanti sottostanti.</w:t>
      </w:r>
    </w:p>
    <w:p w:rsidR="006533DF" w:rsidRPr="00451078" w:rsidRDefault="006533DF" w:rsidP="00745AB3">
      <w:pPr>
        <w:numPr>
          <w:ilvl w:val="0"/>
          <w:numId w:val="55"/>
        </w:numPr>
        <w:tabs>
          <w:tab w:val="clear" w:pos="360"/>
          <w:tab w:val="num" w:pos="1440"/>
        </w:tabs>
        <w:spacing w:after="60"/>
        <w:ind w:left="1440"/>
        <w:rPr>
          <w:lang w:val="it-IT"/>
        </w:rPr>
      </w:pPr>
      <w:r w:rsidRPr="00451078">
        <w:rPr>
          <w:rFonts w:eastAsia="Calibri" w:cs="Tahoma"/>
          <w:szCs w:val="18"/>
          <w:lang w:val="it-IT"/>
        </w:rPr>
        <w:t>Eseguendo l</w:t>
      </w:r>
      <w:r w:rsidR="0073727D">
        <w:rPr>
          <w:rFonts w:eastAsia="Calibri" w:cs="Tahoma"/>
          <w:szCs w:val="18"/>
          <w:lang w:val="it-IT"/>
        </w:rPr>
        <w:t>’</w:t>
      </w:r>
      <w:r w:rsidRPr="00451078">
        <w:rPr>
          <w:rFonts w:eastAsia="Calibri" w:cs="Tahoma"/>
          <w:szCs w:val="18"/>
          <w:lang w:val="it-IT"/>
        </w:rPr>
        <w:t>aggiornamento a Windows Server 2012 Datacenter ai sensi della presente concessione, le Licenze Qualificanti in essere per Windows Server 2008 R2 per Sistemi Itanium non saranno più valide.</w:t>
      </w:r>
    </w:p>
    <w:p w:rsidR="007E28A3" w:rsidRPr="00451078" w:rsidRDefault="007E28A3" w:rsidP="007E28A3">
      <w:pPr>
        <w:spacing w:after="60"/>
        <w:ind w:left="1440"/>
        <w:rPr>
          <w:rFonts w:eastAsia="Calibri" w:cs="Tahoma"/>
          <w:szCs w:val="18"/>
          <w:lang w:val="it-IT"/>
        </w:rPr>
      </w:pPr>
    </w:p>
    <w:p w:rsidR="006533DF" w:rsidRPr="00451078" w:rsidRDefault="006533DF" w:rsidP="00745AB3">
      <w:pPr>
        <w:numPr>
          <w:ilvl w:val="0"/>
          <w:numId w:val="55"/>
        </w:numPr>
        <w:tabs>
          <w:tab w:val="clear" w:pos="360"/>
          <w:tab w:val="num" w:pos="1440"/>
        </w:tabs>
        <w:spacing w:after="60"/>
        <w:ind w:left="1440"/>
        <w:rPr>
          <w:lang w:val="it-IT"/>
        </w:rPr>
      </w:pPr>
      <w:r w:rsidRPr="00451078">
        <w:rPr>
          <w:lang w:val="it-IT"/>
        </w:rPr>
        <w:t xml:space="preserve">Le licenze per </w:t>
      </w:r>
      <w:r w:rsidRPr="00451078">
        <w:rPr>
          <w:color w:val="000000"/>
          <w:lang w:val="it-IT"/>
        </w:rPr>
        <w:t xml:space="preserve">Windows Server 2008 R2 per Sistemi Itanium </w:t>
      </w:r>
      <w:r w:rsidRPr="00451078">
        <w:rPr>
          <w:rFonts w:cs="Tahoma"/>
          <w:bCs/>
          <w:color w:val="000000"/>
          <w:szCs w:val="18"/>
          <w:lang w:val="it-IT"/>
        </w:rPr>
        <w:t>acquistate successivamente nello stesso periodo di validità dell</w:t>
      </w:r>
      <w:r w:rsidR="0073727D">
        <w:rPr>
          <w:rFonts w:cs="Tahoma"/>
          <w:bCs/>
          <w:color w:val="000000"/>
          <w:szCs w:val="18"/>
          <w:lang w:val="it-IT"/>
        </w:rPr>
        <w:t>’</w:t>
      </w:r>
      <w:r w:rsidRPr="00451078">
        <w:rPr>
          <w:rFonts w:cs="Tahoma"/>
          <w:bCs/>
          <w:color w:val="000000"/>
          <w:szCs w:val="18"/>
          <w:lang w:val="it-IT"/>
        </w:rPr>
        <w:t>iscrizione nell</w:t>
      </w:r>
      <w:r w:rsidR="0073727D">
        <w:rPr>
          <w:rFonts w:cs="Tahoma"/>
          <w:bCs/>
          <w:color w:val="000000"/>
          <w:szCs w:val="18"/>
          <w:lang w:val="it-IT"/>
        </w:rPr>
        <w:t>’</w:t>
      </w:r>
      <w:r w:rsidRPr="00451078">
        <w:rPr>
          <w:rFonts w:cs="Tahoma"/>
          <w:bCs/>
          <w:color w:val="000000"/>
          <w:szCs w:val="18"/>
          <w:lang w:val="it-IT"/>
        </w:rPr>
        <w:t>ambito di una procedura pianificata di true-up della società Enterprise, Enterprise Subscription, Open Value Subscription o EES sono anch</w:t>
      </w:r>
      <w:r w:rsidR="0073727D">
        <w:rPr>
          <w:rFonts w:cs="Tahoma"/>
          <w:bCs/>
          <w:color w:val="000000"/>
          <w:szCs w:val="18"/>
          <w:lang w:val="it-IT"/>
        </w:rPr>
        <w:t>’</w:t>
      </w:r>
      <w:r w:rsidRPr="00451078">
        <w:rPr>
          <w:rFonts w:cs="Tahoma"/>
          <w:bCs/>
          <w:color w:val="000000"/>
          <w:szCs w:val="18"/>
          <w:lang w:val="it-IT"/>
        </w:rPr>
        <w:t>esse Licenze Qualificanti per gli scopi previsti dalla suddetta concessione.</w:t>
      </w:r>
      <w:r w:rsidR="00082E1C" w:rsidRPr="00451078">
        <w:rPr>
          <w:rFonts w:cs="Tahoma"/>
          <w:bCs/>
          <w:color w:val="000000"/>
          <w:szCs w:val="18"/>
          <w:lang w:val="it-IT"/>
        </w:rPr>
        <w:t xml:space="preserve"> </w:t>
      </w:r>
    </w:p>
    <w:p w:rsidR="006533DF" w:rsidRPr="00451078" w:rsidRDefault="006533DF" w:rsidP="00745AB3">
      <w:pPr>
        <w:numPr>
          <w:ilvl w:val="0"/>
          <w:numId w:val="55"/>
        </w:numPr>
        <w:tabs>
          <w:tab w:val="clear" w:pos="360"/>
          <w:tab w:val="num" w:pos="1440"/>
        </w:tabs>
        <w:spacing w:after="60"/>
        <w:ind w:left="1440"/>
        <w:rPr>
          <w:lang w:val="it-IT"/>
        </w:rPr>
      </w:pPr>
      <w:r w:rsidRPr="00451078">
        <w:rPr>
          <w:rFonts w:cs="Tahoma"/>
          <w:bCs/>
          <w:color w:val="000000"/>
          <w:szCs w:val="18"/>
          <w:lang w:val="it-IT"/>
        </w:rPr>
        <w:t>Nonostante la concessione di licenze per Windows Server 2012 Datacenter e di aggiornamenti per tale versione, le obbligazioni di pagamento degli importi scaduti e dovuti per le Licenze Qualificanti e la copertura rimangono pienamente vincolanti ed efficaci.</w:t>
      </w:r>
    </w:p>
    <w:p w:rsidR="00D63C1B" w:rsidRPr="00451078" w:rsidRDefault="00D63C1B" w:rsidP="007E3162">
      <w:pPr>
        <w:rPr>
          <w:lang w:val="it-IT"/>
        </w:rPr>
      </w:pPr>
      <w:bookmarkStart w:id="1539" w:name="_117_Windows_Server"/>
      <w:bookmarkEnd w:id="1537"/>
      <w:bookmarkEnd w:id="1538"/>
      <w:bookmarkEnd w:id="1539"/>
    </w:p>
    <w:p w:rsidR="00586FCE" w:rsidRPr="00451078" w:rsidRDefault="00586FCE" w:rsidP="00EF2279">
      <w:pPr>
        <w:rPr>
          <w:lang w:val="it-IT"/>
        </w:rPr>
      </w:pPr>
    </w:p>
    <w:p w:rsidR="00FE1A01" w:rsidRPr="00451078" w:rsidRDefault="00BA29A7" w:rsidP="00EF2279">
      <w:pPr>
        <w:pStyle w:val="Heading3"/>
        <w:rPr>
          <w:lang w:val="it-IT"/>
        </w:rPr>
      </w:pPr>
      <w:bookmarkStart w:id="1540" w:name="_116_Windows_Server"/>
      <w:bookmarkStart w:id="1541" w:name="_Toc336338372"/>
      <w:bookmarkStart w:id="1542" w:name="_Toc352234958"/>
      <w:bookmarkStart w:id="1543" w:name="Srv_101Win2008RemoteCALandExtConn"/>
      <w:bookmarkStart w:id="1544" w:name="Srv_115Win2008RemoteCALandExtConn"/>
      <w:bookmarkStart w:id="1545" w:name="Srv_119Win2008RemoteCALandExtConn"/>
      <w:bookmarkStart w:id="1546" w:name="Srv_101WindowsSvr2008RemoteDesktop"/>
      <w:bookmarkEnd w:id="1540"/>
      <w:r w:rsidRPr="00451078">
        <w:rPr>
          <w:rStyle w:val="Heading3Char"/>
          <w:rFonts w:ascii="Tahoma" w:hAnsi="Tahoma"/>
          <w:b/>
          <w:caps/>
          <w:color w:val="F66400"/>
          <w:sz w:val="22"/>
          <w:vertAlign w:val="superscript"/>
          <w:lang w:val="it-IT"/>
        </w:rPr>
        <w:t>105</w:t>
      </w:r>
      <w:r w:rsidRPr="00451078">
        <w:rPr>
          <w:rStyle w:val="Heading3Char"/>
          <w:rFonts w:ascii="Tahoma" w:hAnsi="Tahoma"/>
          <w:b/>
          <w:caps/>
          <w:color w:val="F66400"/>
          <w:sz w:val="22"/>
          <w:lang w:val="it-IT"/>
        </w:rPr>
        <w:t xml:space="preserve"> </w:t>
      </w:r>
      <w:r w:rsidRPr="00451078">
        <w:rPr>
          <w:rFonts w:ascii="Tahoma" w:hAnsi="Tahoma"/>
          <w:color w:val="F66400"/>
          <w:sz w:val="22"/>
          <w:lang w:val="it-IT"/>
        </w:rPr>
        <w:t>Licenza CAL per Windows Server 2012</w:t>
      </w:r>
      <w:bookmarkEnd w:id="1541"/>
      <w:bookmarkEnd w:id="1542"/>
    </w:p>
    <w:p w:rsidR="00FE1A01" w:rsidRPr="00451078" w:rsidRDefault="00FE1A01" w:rsidP="002A01C2">
      <w:pPr>
        <w:rPr>
          <w:lang w:val="it-IT"/>
        </w:rPr>
      </w:pPr>
    </w:p>
    <w:p w:rsidR="00FE1A01" w:rsidRPr="00451078" w:rsidRDefault="00FE1A01" w:rsidP="002A01C2">
      <w:pPr>
        <w:ind w:left="720"/>
        <w:rPr>
          <w:lang w:val="it-IT"/>
        </w:rPr>
      </w:pPr>
      <w:r w:rsidRPr="00451078">
        <w:rPr>
          <w:rFonts w:cs="Tahoma"/>
          <w:szCs w:val="18"/>
          <w:lang w:val="it-IT"/>
        </w:rPr>
        <w:t>La CAL per Windows Server 2012 è la versione successiva della CAL per Windows Server 2008.</w:t>
      </w:r>
    </w:p>
    <w:p w:rsidR="002A01C2" w:rsidRPr="00451078" w:rsidRDefault="002A01C2" w:rsidP="002A01C2">
      <w:pPr>
        <w:ind w:left="720"/>
        <w:rPr>
          <w:lang w:val="it-IT"/>
        </w:rPr>
      </w:pPr>
    </w:p>
    <w:p w:rsidR="002A01C2" w:rsidRPr="00451078" w:rsidRDefault="00FE1A01" w:rsidP="002A01C2">
      <w:pPr>
        <w:spacing w:after="60"/>
        <w:ind w:left="720"/>
        <w:rPr>
          <w:lang w:val="it-IT"/>
        </w:rPr>
      </w:pPr>
      <w:r w:rsidRPr="00451078">
        <w:rPr>
          <w:rFonts w:eastAsia="Calibri" w:cs="Tahoma"/>
          <w:b/>
          <w:szCs w:val="18"/>
          <w:lang w:val="it-IT"/>
        </w:rPr>
        <w:t>Utilizzo di Windows Server 2012 come Server Web</w:t>
      </w:r>
    </w:p>
    <w:p w:rsidR="00FE1A01" w:rsidRPr="00451078" w:rsidRDefault="00FE1A01" w:rsidP="002A01C2">
      <w:pPr>
        <w:ind w:left="720"/>
        <w:rPr>
          <w:lang w:val="it-IT"/>
        </w:rPr>
      </w:pPr>
      <w:r w:rsidRPr="00451078">
        <w:rPr>
          <w:rFonts w:cs="Tahoma"/>
          <w:color w:val="000000"/>
          <w:szCs w:val="18"/>
          <w:lang w:val="it-IT"/>
        </w:rPr>
        <w:t xml:space="preserve">Quando Windows Server 2012 Standard o Datacenter viene utilizzato come Server Web, non servono licenze CAL per accedere al software. Un </w:t>
      </w:r>
      <w:r w:rsidR="001A3EC5" w:rsidRPr="00451078">
        <w:rPr>
          <w:rFonts w:cs="Tahoma"/>
          <w:color w:val="000000"/>
          <w:szCs w:val="18"/>
          <w:lang w:val="it-IT"/>
        </w:rPr>
        <w:t>“</w:t>
      </w:r>
      <w:r w:rsidRPr="00451078">
        <w:rPr>
          <w:rFonts w:cs="Tahoma"/>
          <w:color w:val="000000"/>
          <w:szCs w:val="18"/>
          <w:lang w:val="it-IT"/>
        </w:rPr>
        <w:t>Carico di Lavoro Web</w:t>
      </w:r>
      <w:r w:rsidR="001A3EC5" w:rsidRPr="00451078">
        <w:rPr>
          <w:rFonts w:cs="Tahoma"/>
          <w:color w:val="000000"/>
          <w:szCs w:val="18"/>
          <w:lang w:val="it-IT"/>
        </w:rPr>
        <w:t>”</w:t>
      </w:r>
      <w:r w:rsidRPr="00451078">
        <w:rPr>
          <w:rFonts w:cs="Tahoma"/>
          <w:color w:val="000000"/>
          <w:szCs w:val="18"/>
          <w:lang w:val="it-IT"/>
        </w:rPr>
        <w:t xml:space="preserve"> indica:</w:t>
      </w:r>
    </w:p>
    <w:p w:rsidR="002A01C2" w:rsidRPr="00451078" w:rsidRDefault="002A01C2" w:rsidP="002A01C2">
      <w:pPr>
        <w:pStyle w:val="PURBody-Indented"/>
        <w:spacing w:after="0"/>
        <w:ind w:left="720"/>
        <w:rPr>
          <w:lang w:val="it-IT"/>
        </w:rPr>
      </w:pPr>
    </w:p>
    <w:p w:rsidR="002A01C2" w:rsidRPr="00451078" w:rsidRDefault="006707A3" w:rsidP="002A01C2">
      <w:pPr>
        <w:pStyle w:val="PURBody-Indented"/>
        <w:spacing w:after="60"/>
        <w:ind w:left="720"/>
        <w:rPr>
          <w:lang w:val="it-IT"/>
        </w:rPr>
      </w:pPr>
      <w:r w:rsidRPr="00451078">
        <w:rPr>
          <w:rFonts w:ascii="Tahoma" w:hAnsi="Tahoma" w:cs="Tahoma"/>
          <w:b/>
          <w:bCs/>
          <w:sz w:val="18"/>
          <w:szCs w:val="18"/>
          <w:lang w:val="it-IT"/>
        </w:rPr>
        <w:t>Carico di Lavoro Web</w:t>
      </w:r>
      <w:r w:rsidRPr="00451078">
        <w:rPr>
          <w:rFonts w:ascii="Tahoma" w:hAnsi="Tahoma" w:cs="Tahoma"/>
          <w:b/>
          <w:sz w:val="18"/>
          <w:szCs w:val="18"/>
          <w:lang w:val="it-IT"/>
        </w:rPr>
        <w:t xml:space="preserve"> (Soluzioni per il Web su Internet)</w:t>
      </w:r>
    </w:p>
    <w:p w:rsidR="006707A3" w:rsidRPr="00451078" w:rsidRDefault="006707A3" w:rsidP="002A01C2">
      <w:pPr>
        <w:pStyle w:val="PURBody-Indented"/>
        <w:spacing w:after="0"/>
        <w:ind w:left="720"/>
        <w:rPr>
          <w:lang w:val="it-IT"/>
        </w:rPr>
      </w:pPr>
      <w:r w:rsidRPr="00451078">
        <w:rPr>
          <w:rFonts w:ascii="Tahoma" w:hAnsi="Tahoma" w:cs="Tahoma"/>
          <w:sz w:val="18"/>
          <w:szCs w:val="18"/>
          <w:lang w:val="it-IT"/>
        </w:rPr>
        <w:t xml:space="preserve">Le </w:t>
      </w:r>
      <w:r w:rsidR="001A3EC5" w:rsidRPr="00451078">
        <w:rPr>
          <w:rFonts w:ascii="Tahoma" w:hAnsi="Tahoma" w:cs="Tahoma"/>
          <w:sz w:val="18"/>
          <w:szCs w:val="18"/>
          <w:lang w:val="it-IT"/>
        </w:rPr>
        <w:t>“</w:t>
      </w:r>
      <w:r w:rsidRPr="00451078">
        <w:rPr>
          <w:rFonts w:ascii="Tahoma" w:hAnsi="Tahoma" w:cs="Tahoma"/>
          <w:sz w:val="18"/>
          <w:szCs w:val="18"/>
          <w:lang w:val="it-IT"/>
        </w:rPr>
        <w:t>soluzioni per il Web su Internet</w:t>
      </w:r>
      <w:r w:rsidR="001A3EC5" w:rsidRPr="00451078">
        <w:rPr>
          <w:rFonts w:ascii="Tahoma" w:hAnsi="Tahoma" w:cs="Tahoma"/>
          <w:sz w:val="18"/>
          <w:szCs w:val="18"/>
          <w:lang w:val="it-IT"/>
        </w:rPr>
        <w:t>”</w:t>
      </w:r>
      <w:r w:rsidRPr="00451078">
        <w:rPr>
          <w:rFonts w:ascii="Tahoma" w:hAnsi="Tahoma" w:cs="Tahoma"/>
          <w:sz w:val="18"/>
          <w:szCs w:val="18"/>
          <w:lang w:val="it-IT"/>
        </w:rPr>
        <w:t xml:space="preserve"> sono accessibili pubblicamente e consistono esclusivamente di pagine Web, siti Web, applicazioni Web, servizi Web e/o servizi di posta POP3. Per maggiore chiarezza, l</w:t>
      </w:r>
      <w:r w:rsidR="0073727D">
        <w:rPr>
          <w:rFonts w:ascii="Tahoma" w:hAnsi="Tahoma" w:cs="Tahoma"/>
          <w:sz w:val="18"/>
          <w:szCs w:val="18"/>
          <w:lang w:val="it-IT"/>
        </w:rPr>
        <w:t>’</w:t>
      </w:r>
      <w:r w:rsidRPr="00451078">
        <w:rPr>
          <w:rFonts w:ascii="Tahoma" w:hAnsi="Tahoma" w:cs="Tahoma"/>
          <w:sz w:val="18"/>
          <w:szCs w:val="18"/>
          <w:lang w:val="it-IT"/>
        </w:rPr>
        <w:t>accesso al</w:t>
      </w:r>
      <w:r w:rsidR="007E28A3" w:rsidRPr="00451078">
        <w:rPr>
          <w:rFonts w:ascii="Tahoma" w:hAnsi="Tahoma" w:cs="Tahoma"/>
          <w:sz w:val="18"/>
          <w:szCs w:val="18"/>
          <w:lang w:val="it-IT"/>
        </w:rPr>
        <w:t> </w:t>
      </w:r>
      <w:r w:rsidRPr="00451078">
        <w:rPr>
          <w:rFonts w:ascii="Tahoma" w:hAnsi="Tahoma" w:cs="Tahoma"/>
          <w:sz w:val="18"/>
          <w:szCs w:val="18"/>
          <w:lang w:val="it-IT"/>
        </w:rPr>
        <w:t xml:space="preserve">contenuto, alle informazioni e alle applicazioni gestiti dal software in una soluzione per il Web su Internet non è limitata ai dipendenti del licenziatario o delle consociate del licenziatario. </w:t>
      </w:r>
    </w:p>
    <w:p w:rsidR="002A01C2" w:rsidRPr="00451078" w:rsidRDefault="002A01C2" w:rsidP="002A01C2">
      <w:pPr>
        <w:pStyle w:val="PURBody-Indented"/>
        <w:spacing w:after="0"/>
        <w:ind w:firstLine="450"/>
        <w:rPr>
          <w:lang w:val="it-IT"/>
        </w:rPr>
      </w:pPr>
    </w:p>
    <w:p w:rsidR="006707A3" w:rsidRPr="00451078" w:rsidRDefault="006707A3" w:rsidP="002A01C2">
      <w:pPr>
        <w:pStyle w:val="PURBody-Indented"/>
        <w:spacing w:after="0"/>
        <w:ind w:firstLine="450"/>
        <w:rPr>
          <w:lang w:val="it-IT"/>
        </w:rPr>
      </w:pPr>
      <w:r w:rsidRPr="00451078">
        <w:rPr>
          <w:rFonts w:ascii="Tahoma" w:hAnsi="Tahoma" w:cs="Tahoma"/>
          <w:sz w:val="18"/>
          <w:szCs w:val="18"/>
          <w:lang w:val="it-IT"/>
        </w:rPr>
        <w:t xml:space="preserve">Il licenziatario potrà utilizzare il software delle </w:t>
      </w:r>
      <w:r w:rsidR="001A3EC5" w:rsidRPr="00451078">
        <w:rPr>
          <w:rFonts w:ascii="Tahoma" w:hAnsi="Tahoma" w:cs="Tahoma"/>
          <w:sz w:val="18"/>
          <w:szCs w:val="18"/>
          <w:lang w:val="it-IT"/>
        </w:rPr>
        <w:t>“</w:t>
      </w:r>
      <w:r w:rsidRPr="00451078">
        <w:rPr>
          <w:rFonts w:ascii="Tahoma" w:hAnsi="Tahoma" w:cs="Tahoma"/>
          <w:sz w:val="18"/>
          <w:szCs w:val="18"/>
          <w:lang w:val="it-IT"/>
        </w:rPr>
        <w:t>Soluzioni per il Web su Internet</w:t>
      </w:r>
      <w:r w:rsidR="001A3EC5" w:rsidRPr="00451078">
        <w:rPr>
          <w:rFonts w:ascii="Tahoma" w:hAnsi="Tahoma" w:cs="Tahoma"/>
          <w:sz w:val="18"/>
          <w:szCs w:val="18"/>
          <w:lang w:val="it-IT"/>
        </w:rPr>
        <w:t>”</w:t>
      </w:r>
      <w:r w:rsidRPr="00451078">
        <w:rPr>
          <w:rFonts w:ascii="Tahoma" w:hAnsi="Tahoma" w:cs="Tahoma"/>
          <w:sz w:val="18"/>
          <w:szCs w:val="18"/>
          <w:lang w:val="it-IT"/>
        </w:rPr>
        <w:t xml:space="preserve"> per eseguire:</w:t>
      </w:r>
    </w:p>
    <w:p w:rsidR="002A01C2" w:rsidRPr="00451078" w:rsidRDefault="002A01C2" w:rsidP="002A01C2">
      <w:pPr>
        <w:pStyle w:val="PURBody-Indented"/>
        <w:spacing w:after="0"/>
        <w:ind w:firstLine="450"/>
        <w:rPr>
          <w:lang w:val="it-IT"/>
        </w:rPr>
      </w:pPr>
    </w:p>
    <w:p w:rsidR="006707A3" w:rsidRPr="00451078" w:rsidRDefault="006707A3" w:rsidP="00745AB3">
      <w:pPr>
        <w:pStyle w:val="PURBullet-Indented"/>
        <w:numPr>
          <w:ilvl w:val="0"/>
          <w:numId w:val="121"/>
        </w:numPr>
        <w:spacing w:after="60" w:line="240" w:lineRule="auto"/>
        <w:ind w:left="1440" w:hanging="360"/>
        <w:contextualSpacing w:val="0"/>
        <w:rPr>
          <w:lang w:val="it-IT"/>
        </w:rPr>
      </w:pPr>
      <w:r w:rsidRPr="00451078">
        <w:rPr>
          <w:rFonts w:ascii="Tahoma" w:hAnsi="Tahoma" w:cs="Tahoma"/>
          <w:sz w:val="18"/>
          <w:szCs w:val="18"/>
          <w:lang w:val="it-IT"/>
        </w:rPr>
        <w:t>software server Web (ad esempio, Microsoft Internet Information Services) e agenti di gestione o di sicurezza (ad esempio l</w:t>
      </w:r>
      <w:r w:rsidR="0073727D">
        <w:rPr>
          <w:rFonts w:ascii="Tahoma" w:hAnsi="Tahoma" w:cs="Tahoma"/>
          <w:sz w:val="18"/>
          <w:szCs w:val="18"/>
          <w:lang w:val="it-IT"/>
        </w:rPr>
        <w:t>’</w:t>
      </w:r>
      <w:r w:rsidRPr="00451078">
        <w:rPr>
          <w:rFonts w:ascii="Tahoma" w:hAnsi="Tahoma" w:cs="Tahoma"/>
          <w:sz w:val="18"/>
          <w:szCs w:val="18"/>
          <w:lang w:val="it-IT"/>
        </w:rPr>
        <w:t>agente System Center Operations Manager);</w:t>
      </w:r>
    </w:p>
    <w:p w:rsidR="006707A3" w:rsidRPr="00451078" w:rsidRDefault="006707A3" w:rsidP="00745AB3">
      <w:pPr>
        <w:pStyle w:val="PURBullet-Indented"/>
        <w:numPr>
          <w:ilvl w:val="0"/>
          <w:numId w:val="121"/>
        </w:numPr>
        <w:spacing w:after="60" w:line="240" w:lineRule="auto"/>
        <w:ind w:left="1440" w:hanging="360"/>
        <w:contextualSpacing w:val="0"/>
        <w:rPr>
          <w:lang w:val="it-IT"/>
        </w:rPr>
      </w:pPr>
      <w:r w:rsidRPr="00451078">
        <w:rPr>
          <w:rFonts w:ascii="Tahoma" w:hAnsi="Tahoma" w:cs="Tahoma"/>
          <w:sz w:val="18"/>
          <w:szCs w:val="18"/>
          <w:lang w:val="it-IT"/>
        </w:rPr>
        <w:t xml:space="preserve">software del motore di database (ad esempio, Microsoft SQL Server) esclusivamente per supportare le soluzioni per il Web su Internet; </w:t>
      </w:r>
    </w:p>
    <w:p w:rsidR="006707A3" w:rsidRPr="00451078" w:rsidRDefault="006707A3" w:rsidP="00745AB3">
      <w:pPr>
        <w:pStyle w:val="PURBullet-Indented"/>
        <w:numPr>
          <w:ilvl w:val="0"/>
          <w:numId w:val="121"/>
        </w:numPr>
        <w:spacing w:after="60" w:line="240" w:lineRule="auto"/>
        <w:ind w:left="1440" w:hanging="360"/>
        <w:contextualSpacing w:val="0"/>
        <w:rPr>
          <w:lang w:val="it-IT"/>
        </w:rPr>
      </w:pPr>
      <w:r w:rsidRPr="00451078">
        <w:rPr>
          <w:rFonts w:ascii="Tahoma" w:hAnsi="Tahoma" w:cs="Tahoma"/>
          <w:sz w:val="18"/>
          <w:szCs w:val="18"/>
          <w:lang w:val="it-IT"/>
        </w:rPr>
        <w:t>il servizio Domain Name System (DNS) per fornire la risoluzione dei nomi Internet agli indirizzi IP</w:t>
      </w:r>
      <w:r w:rsidR="007E28A3" w:rsidRPr="00451078">
        <w:rPr>
          <w:rFonts w:ascii="Tahoma" w:hAnsi="Tahoma" w:cs="Tahoma"/>
          <w:sz w:val="18"/>
          <w:szCs w:val="18"/>
          <w:lang w:val="it-IT"/>
        </w:rPr>
        <w:t> </w:t>
      </w:r>
      <w:r w:rsidRPr="00451078">
        <w:rPr>
          <w:rFonts w:ascii="Tahoma" w:hAnsi="Tahoma" w:cs="Tahoma"/>
          <w:sz w:val="18"/>
          <w:szCs w:val="18"/>
          <w:lang w:val="it-IT"/>
        </w:rPr>
        <w:t>a</w:t>
      </w:r>
      <w:r w:rsidR="007E28A3" w:rsidRPr="00451078">
        <w:rPr>
          <w:rFonts w:ascii="Tahoma" w:hAnsi="Tahoma" w:cs="Tahoma"/>
          <w:sz w:val="18"/>
          <w:szCs w:val="18"/>
          <w:lang w:val="it-IT"/>
        </w:rPr>
        <w:t> </w:t>
      </w:r>
      <w:r w:rsidRPr="00451078">
        <w:rPr>
          <w:rFonts w:ascii="Tahoma" w:hAnsi="Tahoma" w:cs="Tahoma"/>
          <w:sz w:val="18"/>
          <w:szCs w:val="18"/>
          <w:lang w:val="it-IT"/>
        </w:rPr>
        <w:t>condizione che non sia l</w:t>
      </w:r>
      <w:r w:rsidR="0073727D">
        <w:rPr>
          <w:rFonts w:ascii="Tahoma" w:hAnsi="Tahoma" w:cs="Tahoma"/>
          <w:sz w:val="18"/>
          <w:szCs w:val="18"/>
          <w:lang w:val="it-IT"/>
        </w:rPr>
        <w:t>’</w:t>
      </w:r>
      <w:r w:rsidRPr="00451078">
        <w:rPr>
          <w:rFonts w:ascii="Tahoma" w:hAnsi="Tahoma" w:cs="Tahoma"/>
          <w:sz w:val="18"/>
          <w:szCs w:val="18"/>
          <w:lang w:val="it-IT"/>
        </w:rPr>
        <w:t>unica funzione di quell</w:t>
      </w:r>
      <w:r w:rsidR="0073727D">
        <w:rPr>
          <w:rFonts w:ascii="Tahoma" w:hAnsi="Tahoma" w:cs="Tahoma"/>
          <w:sz w:val="18"/>
          <w:szCs w:val="18"/>
          <w:lang w:val="it-IT"/>
        </w:rPr>
        <w:t>’</w:t>
      </w:r>
      <w:r w:rsidRPr="00451078">
        <w:rPr>
          <w:rFonts w:ascii="Tahoma" w:hAnsi="Tahoma" w:cs="Tahoma"/>
          <w:sz w:val="18"/>
          <w:szCs w:val="18"/>
          <w:lang w:val="it-IT"/>
        </w:rPr>
        <w:t>istanza del software.</w:t>
      </w:r>
    </w:p>
    <w:p w:rsidR="000D5F24" w:rsidRPr="00451078" w:rsidRDefault="000D5F24">
      <w:pPr>
        <w:rPr>
          <w:lang w:val="it-IT"/>
        </w:rPr>
      </w:pPr>
    </w:p>
    <w:p w:rsidR="002A01C2" w:rsidRPr="003410C7" w:rsidRDefault="00FE1A01" w:rsidP="002A01C2">
      <w:pPr>
        <w:spacing w:after="60"/>
        <w:ind w:left="720"/>
      </w:pPr>
      <w:r w:rsidRPr="003410C7">
        <w:rPr>
          <w:rFonts w:eastAsia="Calibri" w:cs="Tahoma"/>
          <w:b/>
          <w:szCs w:val="18"/>
        </w:rPr>
        <w:t>Utilizzo di Windows Server 2012 per High Performance Computing (HPC)</w:t>
      </w:r>
    </w:p>
    <w:p w:rsidR="00376D4B" w:rsidRPr="00451078" w:rsidRDefault="00FE1A01" w:rsidP="002A01C2">
      <w:pPr>
        <w:ind w:left="720"/>
        <w:rPr>
          <w:lang w:val="it-IT"/>
        </w:rPr>
      </w:pPr>
      <w:r w:rsidRPr="00451078">
        <w:rPr>
          <w:color w:val="000000"/>
          <w:lang w:val="it-IT"/>
        </w:rPr>
        <w:t xml:space="preserve">Quando Windows Server 2012 Standard o Datacenter viene utilizzato per High Performance Computing, non servono licenze CAL per accedere al software. Un </w:t>
      </w:r>
      <w:r w:rsidR="001A3EC5" w:rsidRPr="00451078">
        <w:rPr>
          <w:color w:val="000000"/>
          <w:lang w:val="it-IT"/>
        </w:rPr>
        <w:t>“</w:t>
      </w:r>
      <w:r w:rsidRPr="00451078">
        <w:rPr>
          <w:color w:val="000000"/>
          <w:lang w:val="it-IT"/>
        </w:rPr>
        <w:t>Carico di Lavoro High Performance Computing (</w:t>
      </w:r>
      <w:r w:rsidR="001A3EC5" w:rsidRPr="00451078">
        <w:rPr>
          <w:color w:val="000000"/>
          <w:lang w:val="it-IT"/>
        </w:rPr>
        <w:t>“</w:t>
      </w:r>
      <w:r w:rsidRPr="00451078">
        <w:rPr>
          <w:color w:val="000000"/>
          <w:lang w:val="it-IT"/>
        </w:rPr>
        <w:t>HPC</w:t>
      </w:r>
      <w:r w:rsidR="001A3EC5" w:rsidRPr="00451078">
        <w:rPr>
          <w:color w:val="000000"/>
          <w:lang w:val="it-IT"/>
        </w:rPr>
        <w:t>”</w:t>
      </w:r>
      <w:r w:rsidRPr="00451078">
        <w:rPr>
          <w:color w:val="000000"/>
          <w:lang w:val="it-IT"/>
        </w:rPr>
        <w:t>)</w:t>
      </w:r>
      <w:r w:rsidR="001A3EC5" w:rsidRPr="00451078">
        <w:rPr>
          <w:color w:val="000000"/>
          <w:lang w:val="it-IT"/>
        </w:rPr>
        <w:t>”</w:t>
      </w:r>
      <w:r w:rsidRPr="00451078">
        <w:rPr>
          <w:color w:val="000000"/>
          <w:lang w:val="it-IT"/>
        </w:rPr>
        <w:t xml:space="preserve"> indica un carico di lavoro nel quale il software server viene utilizzato per eseguire un Nodo del Cluster e per consentire, insieme ad altro software, la gestione dei sistemi, la gestione della protezione e dell</w:t>
      </w:r>
      <w:r w:rsidR="0073727D">
        <w:rPr>
          <w:color w:val="000000"/>
          <w:lang w:val="it-IT"/>
        </w:rPr>
        <w:t>’</w:t>
      </w:r>
      <w:r w:rsidRPr="00451078">
        <w:rPr>
          <w:color w:val="000000"/>
          <w:lang w:val="it-IT"/>
        </w:rPr>
        <w:t>archiviazione o il miglioramento delle prestazioni in un nodo del cluster allo scopo di supportare le Applicazioni HPC con cluster. Ulteriori dettagli sono disponibili nei Diritti di Utilizzo del Prodotto.</w:t>
      </w:r>
      <w:bookmarkEnd w:id="1543"/>
      <w:bookmarkEnd w:id="1544"/>
      <w:bookmarkEnd w:id="1545"/>
    </w:p>
    <w:p w:rsidR="00376D4B" w:rsidRPr="00451078" w:rsidRDefault="00376D4B" w:rsidP="002A01C2">
      <w:pPr>
        <w:pStyle w:val="ListParagraph"/>
        <w:ind w:left="0"/>
        <w:contextualSpacing w:val="0"/>
        <w:rPr>
          <w:rFonts w:ascii="Tahoma" w:hAnsi="Tahoma" w:cs="Tahoma"/>
          <w:sz w:val="18"/>
          <w:szCs w:val="18"/>
          <w:lang w:val="it-IT"/>
        </w:rPr>
      </w:pPr>
    </w:p>
    <w:p w:rsidR="002720CB" w:rsidRPr="00451078" w:rsidRDefault="002720CB" w:rsidP="002A01C2">
      <w:pPr>
        <w:pStyle w:val="ListParagraph"/>
        <w:ind w:left="0"/>
        <w:contextualSpacing w:val="0"/>
        <w:rPr>
          <w:rFonts w:ascii="Tahoma" w:hAnsi="Tahoma" w:cs="Tahoma"/>
          <w:sz w:val="18"/>
          <w:szCs w:val="18"/>
          <w:lang w:val="it-IT"/>
        </w:rPr>
      </w:pPr>
    </w:p>
    <w:p w:rsidR="00F745E1" w:rsidRPr="00451078" w:rsidRDefault="00BA29A7" w:rsidP="00F745E1">
      <w:pPr>
        <w:pStyle w:val="Heading3"/>
        <w:ind w:left="360" w:hanging="360"/>
        <w:rPr>
          <w:lang w:val="it-IT"/>
        </w:rPr>
      </w:pPr>
      <w:bookmarkStart w:id="1547" w:name="_114_Windows_Server"/>
      <w:bookmarkStart w:id="1548" w:name="_Toc336338373"/>
      <w:bookmarkStart w:id="1549" w:name="_Toc352234959"/>
      <w:bookmarkStart w:id="1550" w:name="Srv_111WinSvr08R2Datacenter"/>
      <w:bookmarkStart w:id="1551" w:name="Srv_115WinSvr08R2Datacenter"/>
      <w:bookmarkEnd w:id="1547"/>
      <w:r w:rsidRPr="00451078">
        <w:rPr>
          <w:rFonts w:ascii="Tahoma" w:hAnsi="Tahoma"/>
          <w:caps/>
          <w:color w:val="F66400"/>
          <w:sz w:val="22"/>
          <w:vertAlign w:val="superscript"/>
          <w:lang w:val="it-IT"/>
        </w:rPr>
        <w:t>106</w:t>
      </w:r>
      <w:r w:rsidRPr="00451078">
        <w:rPr>
          <w:rFonts w:ascii="Tahoma" w:hAnsi="Tahoma"/>
          <w:caps/>
          <w:color w:val="F66400"/>
          <w:sz w:val="22"/>
          <w:lang w:val="it-IT"/>
        </w:rPr>
        <w:t xml:space="preserve"> </w:t>
      </w:r>
      <w:r w:rsidRPr="00451078">
        <w:rPr>
          <w:rFonts w:ascii="Tahoma" w:hAnsi="Tahoma"/>
          <w:color w:val="F66400"/>
          <w:sz w:val="22"/>
          <w:lang w:val="it-IT"/>
        </w:rPr>
        <w:t>Windows Server 2008 R2 Datacenter</w:t>
      </w:r>
      <w:bookmarkEnd w:id="1548"/>
      <w:bookmarkEnd w:id="1549"/>
      <w:r w:rsidRPr="00451078">
        <w:rPr>
          <w:rFonts w:ascii="Tahoma" w:hAnsi="Tahoma"/>
          <w:color w:val="F66400"/>
          <w:sz w:val="22"/>
          <w:lang w:val="it-IT"/>
        </w:rPr>
        <w:t xml:space="preserve"> </w:t>
      </w:r>
    </w:p>
    <w:bookmarkEnd w:id="1550"/>
    <w:bookmarkEnd w:id="1551"/>
    <w:p w:rsidR="00F745E1" w:rsidRPr="00451078" w:rsidRDefault="00F745E1" w:rsidP="00F745E1">
      <w:pPr>
        <w:ind w:left="900"/>
        <w:rPr>
          <w:lang w:val="it-IT"/>
        </w:rPr>
      </w:pPr>
    </w:p>
    <w:p w:rsidR="002A01C2" w:rsidRPr="00451078" w:rsidRDefault="00F745E1" w:rsidP="002A01C2">
      <w:pPr>
        <w:spacing w:after="60"/>
        <w:ind w:left="720"/>
        <w:rPr>
          <w:lang w:val="it-IT"/>
        </w:rPr>
      </w:pPr>
      <w:r w:rsidRPr="00451078">
        <w:rPr>
          <w:b/>
          <w:color w:val="000000"/>
          <w:lang w:val="it-IT"/>
        </w:rPr>
        <w:t>Concessioni di licenza associate alla variazione del modello di licenza per Windows Server Datacenter</w:t>
      </w:r>
    </w:p>
    <w:p w:rsidR="00F745E1" w:rsidRPr="00451078" w:rsidRDefault="00F745E1" w:rsidP="00F745E1">
      <w:pPr>
        <w:spacing w:after="200"/>
        <w:ind w:left="720"/>
        <w:rPr>
          <w:lang w:val="it-IT"/>
        </w:rPr>
      </w:pPr>
      <w:r w:rsidRPr="00451078">
        <w:rPr>
          <w:color w:val="000000"/>
          <w:lang w:val="it-IT"/>
        </w:rPr>
        <w:t>Windows Server 2012 Datacenter sarà concesso in licenza ai sensi di un nuovo modello di licenza in base al</w:t>
      </w:r>
      <w:r w:rsidR="007E28A3" w:rsidRPr="00451078">
        <w:rPr>
          <w:color w:val="000000"/>
          <w:lang w:val="it-IT"/>
        </w:rPr>
        <w:t> </w:t>
      </w:r>
      <w:r w:rsidRPr="00451078">
        <w:rPr>
          <w:color w:val="000000"/>
          <w:lang w:val="it-IT"/>
        </w:rPr>
        <w:t xml:space="preserve">quale ciascuna licenza può coprire fino a due processori fisici. Le società titolari di contratti multilicenza con copertura Software Assurance attiva per le licenze per Windows Server 2008 R2 Datacenter in data </w:t>
      </w:r>
      <w:r w:rsidRPr="00451078">
        <w:rPr>
          <w:color w:val="000000"/>
          <w:lang w:val="it-IT"/>
        </w:rPr>
        <w:lastRenderedPageBreak/>
        <w:t>1</w:t>
      </w:r>
      <w:r w:rsidR="007E28A3" w:rsidRPr="00451078">
        <w:rPr>
          <w:color w:val="000000"/>
          <w:lang w:val="it-IT"/>
        </w:rPr>
        <w:t> </w:t>
      </w:r>
      <w:r w:rsidRPr="00451078">
        <w:rPr>
          <w:color w:val="000000"/>
          <w:lang w:val="it-IT"/>
        </w:rPr>
        <w:t>settembre 2012 o in occasione della prima disponibilità di Windows Server 2012 per il download dal sito</w:t>
      </w:r>
      <w:r w:rsidR="007E28A3" w:rsidRPr="00451078">
        <w:rPr>
          <w:color w:val="000000"/>
          <w:lang w:val="it-IT"/>
        </w:rPr>
        <w:t> </w:t>
      </w:r>
      <w:r w:rsidRPr="00451078">
        <w:rPr>
          <w:color w:val="000000"/>
          <w:lang w:val="it-IT"/>
        </w:rPr>
        <w:t>Web Volume Licensing Service Center, a seconda di quale evento si verificherà per primo, (</w:t>
      </w:r>
      <w:r w:rsidR="001A3EC5" w:rsidRPr="00451078">
        <w:rPr>
          <w:color w:val="000000"/>
          <w:lang w:val="it-IT"/>
        </w:rPr>
        <w:t>“</w:t>
      </w:r>
      <w:r w:rsidRPr="00451078">
        <w:rPr>
          <w:color w:val="000000"/>
          <w:lang w:val="it-IT"/>
        </w:rPr>
        <w:t>Licenze Qualificanti</w:t>
      </w:r>
      <w:r w:rsidR="001A3EC5" w:rsidRPr="00451078">
        <w:rPr>
          <w:color w:val="000000"/>
          <w:lang w:val="it-IT"/>
        </w:rPr>
        <w:t>”</w:t>
      </w:r>
      <w:r w:rsidRPr="00451078">
        <w:rPr>
          <w:color w:val="000000"/>
          <w:lang w:val="it-IT"/>
        </w:rPr>
        <w:t>) saranno autorizzate a</w:t>
      </w:r>
      <w:r w:rsidRPr="00451078">
        <w:rPr>
          <w:rFonts w:eastAsia="Calibri" w:cs="Tahoma"/>
          <w:szCs w:val="18"/>
          <w:lang w:val="it-IT"/>
        </w:rPr>
        <w:t xml:space="preserve"> effettuare l</w:t>
      </w:r>
      <w:r w:rsidR="0073727D">
        <w:rPr>
          <w:rFonts w:eastAsia="Calibri" w:cs="Tahoma"/>
          <w:szCs w:val="18"/>
          <w:lang w:val="it-IT"/>
        </w:rPr>
        <w:t>’</w:t>
      </w:r>
      <w:r w:rsidRPr="00451078">
        <w:rPr>
          <w:rFonts w:eastAsia="Calibri" w:cs="Tahoma"/>
          <w:szCs w:val="18"/>
          <w:lang w:val="it-IT"/>
        </w:rPr>
        <w:t xml:space="preserve">aggiornamento al software Windows Server 2012 Datacenter e a utilizzarlo al posto di Windows Server 2008 R2 Datacenter. Per agevolare tale aggiornamento, per due Licenze Qualificanti in suo possesso, alla società verrà concessa una licenza per processore per Windows Server 2012 Datacenter in base alla disponibilità di Windows Server 2012. </w:t>
      </w:r>
    </w:p>
    <w:p w:rsidR="00F745E1" w:rsidRPr="00451078" w:rsidRDefault="00F745E1" w:rsidP="00745AB3">
      <w:pPr>
        <w:numPr>
          <w:ilvl w:val="0"/>
          <w:numId w:val="51"/>
        </w:numPr>
        <w:spacing w:afterLines="60" w:after="144"/>
        <w:ind w:left="1440" w:hanging="274"/>
        <w:rPr>
          <w:lang w:val="it-IT"/>
        </w:rPr>
      </w:pPr>
      <w:r w:rsidRPr="00451078">
        <w:rPr>
          <w:color w:val="000000"/>
          <w:lang w:val="it-IT"/>
        </w:rPr>
        <w:t>Qualora una società disponga di un numero dispari di Licenze Qualificanti, dovrà arrotondarle per difetto al numero pari più vicino per determinare la quantità concessa.</w:t>
      </w:r>
      <w:r w:rsidR="00082E1C" w:rsidRPr="00451078">
        <w:rPr>
          <w:color w:val="000000"/>
          <w:lang w:val="it-IT"/>
        </w:rPr>
        <w:t xml:space="preserve"> </w:t>
      </w:r>
      <w:r w:rsidRPr="00451078">
        <w:rPr>
          <w:color w:val="000000"/>
          <w:lang w:val="it-IT"/>
        </w:rPr>
        <w:t xml:space="preserve">Ad esempio, una società titolare di tre Licenze Qualificanti riceverà in totale una licenza per </w:t>
      </w:r>
      <w:r w:rsidR="002720CB" w:rsidRPr="00451078">
        <w:rPr>
          <w:color w:val="000000"/>
          <w:lang w:val="it-IT"/>
        </w:rPr>
        <w:t>Windows Server 2012 Datacenter.</w:t>
      </w:r>
    </w:p>
    <w:p w:rsidR="00F745E1" w:rsidRPr="00451078" w:rsidRDefault="00F745E1" w:rsidP="00745AB3">
      <w:pPr>
        <w:numPr>
          <w:ilvl w:val="0"/>
          <w:numId w:val="51"/>
        </w:numPr>
        <w:tabs>
          <w:tab w:val="left" w:pos="990"/>
        </w:tabs>
        <w:spacing w:afterLines="60" w:after="144"/>
        <w:ind w:left="1440" w:hanging="274"/>
        <w:rPr>
          <w:lang w:val="it-IT"/>
        </w:rPr>
      </w:pPr>
      <w:r w:rsidRPr="00451078">
        <w:rPr>
          <w:rFonts w:eastAsia="Calibri" w:cs="Tahoma"/>
          <w:szCs w:val="18"/>
          <w:lang w:val="it-IT"/>
        </w:rPr>
        <w:t>Le licenze acquistate ai sensi della presente concessione includono la copertura Software Assurance.</w:t>
      </w:r>
      <w:r w:rsidR="00082E1C" w:rsidRPr="00451078">
        <w:rPr>
          <w:rFonts w:eastAsia="Calibri" w:cs="Tahoma"/>
          <w:szCs w:val="18"/>
          <w:lang w:val="it-IT"/>
        </w:rPr>
        <w:t xml:space="preserve"> </w:t>
      </w:r>
      <w:r w:rsidRPr="00451078">
        <w:rPr>
          <w:rFonts w:eastAsia="Calibri" w:cs="Tahoma"/>
          <w:szCs w:val="18"/>
          <w:lang w:val="it-IT"/>
        </w:rPr>
        <w:t>Tale copertura cessa alla scadenza della corrispondente copertura per le Licenze Qualificanti.</w:t>
      </w:r>
    </w:p>
    <w:p w:rsidR="00F745E1" w:rsidRPr="00451078" w:rsidRDefault="00F745E1" w:rsidP="00745AB3">
      <w:pPr>
        <w:numPr>
          <w:ilvl w:val="0"/>
          <w:numId w:val="51"/>
        </w:numPr>
        <w:tabs>
          <w:tab w:val="left" w:pos="990"/>
        </w:tabs>
        <w:spacing w:afterLines="60" w:after="144"/>
        <w:ind w:left="1440" w:hanging="274"/>
        <w:rPr>
          <w:lang w:val="it-IT"/>
        </w:rPr>
      </w:pPr>
      <w:r w:rsidRPr="00451078">
        <w:rPr>
          <w:rFonts w:eastAsia="Calibri" w:cs="Tahoma"/>
          <w:szCs w:val="18"/>
          <w:lang w:val="it-IT"/>
        </w:rPr>
        <w:t>Nel caso in cui le società abbiano acquistato diritti perpetui di utilizzo del software ai sensi di Licenze Qualificanti, le licenze acquistate ai sensi della presente concessione saranno anch</w:t>
      </w:r>
      <w:r w:rsidR="0073727D">
        <w:rPr>
          <w:rFonts w:eastAsia="Calibri" w:cs="Tahoma"/>
          <w:szCs w:val="18"/>
          <w:lang w:val="it-IT"/>
        </w:rPr>
        <w:t>’</w:t>
      </w:r>
      <w:r w:rsidRPr="00451078">
        <w:rPr>
          <w:rFonts w:eastAsia="Calibri" w:cs="Tahoma"/>
          <w:szCs w:val="18"/>
          <w:lang w:val="it-IT"/>
        </w:rPr>
        <w:t>esse perpetue; diversamente, le licenze acquistate ai sensi della presente concessione cesseranno alla</w:t>
      </w:r>
      <w:r w:rsidR="002720CB" w:rsidRPr="00451078">
        <w:rPr>
          <w:rFonts w:eastAsia="Calibri" w:cs="Tahoma"/>
          <w:szCs w:val="18"/>
          <w:lang w:val="it-IT"/>
        </w:rPr>
        <w:t> </w:t>
      </w:r>
      <w:r w:rsidRPr="00451078">
        <w:rPr>
          <w:rFonts w:eastAsia="Calibri" w:cs="Tahoma"/>
          <w:szCs w:val="18"/>
          <w:lang w:val="it-IT"/>
        </w:rPr>
        <w:t>scadenza delle Licenze Qualificanti sottostanti.</w:t>
      </w:r>
    </w:p>
    <w:p w:rsidR="00F745E1" w:rsidRPr="00451078" w:rsidRDefault="00F745E1" w:rsidP="00745AB3">
      <w:pPr>
        <w:numPr>
          <w:ilvl w:val="0"/>
          <w:numId w:val="55"/>
        </w:numPr>
        <w:spacing w:afterLines="60" w:after="144"/>
        <w:ind w:left="1440" w:hanging="274"/>
        <w:rPr>
          <w:lang w:val="it-IT"/>
        </w:rPr>
      </w:pPr>
      <w:r w:rsidRPr="00451078">
        <w:rPr>
          <w:rFonts w:eastAsia="Calibri" w:cs="Tahoma"/>
          <w:szCs w:val="18"/>
          <w:lang w:val="it-IT"/>
        </w:rPr>
        <w:t>Eseguendo l</w:t>
      </w:r>
      <w:r w:rsidR="0073727D">
        <w:rPr>
          <w:rFonts w:eastAsia="Calibri" w:cs="Tahoma"/>
          <w:szCs w:val="18"/>
          <w:lang w:val="it-IT"/>
        </w:rPr>
        <w:t>’</w:t>
      </w:r>
      <w:r w:rsidRPr="00451078">
        <w:rPr>
          <w:rFonts w:eastAsia="Calibri" w:cs="Tahoma"/>
          <w:szCs w:val="18"/>
          <w:lang w:val="it-IT"/>
        </w:rPr>
        <w:t>aggiornamento a Windows Server 2012 Datacenter ai sensi della presente concessione, le Licenze Qualificanti in essere per Windows Server 2008 R2 Datacenter non saranno più valide.</w:t>
      </w:r>
    </w:p>
    <w:p w:rsidR="00F745E1" w:rsidRPr="00451078" w:rsidRDefault="00F745E1" w:rsidP="00745AB3">
      <w:pPr>
        <w:numPr>
          <w:ilvl w:val="0"/>
          <w:numId w:val="55"/>
        </w:numPr>
        <w:spacing w:afterLines="60" w:after="144"/>
        <w:ind w:left="1440" w:hanging="274"/>
        <w:rPr>
          <w:lang w:val="it-IT"/>
        </w:rPr>
      </w:pPr>
      <w:r w:rsidRPr="00451078">
        <w:rPr>
          <w:lang w:val="it-IT"/>
        </w:rPr>
        <w:t xml:space="preserve">Le licenze per </w:t>
      </w:r>
      <w:r w:rsidRPr="00451078">
        <w:rPr>
          <w:color w:val="000000"/>
          <w:lang w:val="it-IT"/>
        </w:rPr>
        <w:t xml:space="preserve">Windows Server 2008 R2 Datacenter </w:t>
      </w:r>
      <w:r w:rsidRPr="00451078">
        <w:rPr>
          <w:rFonts w:cs="Tahoma"/>
          <w:bCs/>
          <w:color w:val="000000"/>
          <w:szCs w:val="18"/>
          <w:lang w:val="it-IT"/>
        </w:rPr>
        <w:t>acquistate successivamente nello stesso periodo di validità dell</w:t>
      </w:r>
      <w:r w:rsidR="0073727D">
        <w:rPr>
          <w:rFonts w:cs="Tahoma"/>
          <w:bCs/>
          <w:color w:val="000000"/>
          <w:szCs w:val="18"/>
          <w:lang w:val="it-IT"/>
        </w:rPr>
        <w:t>’</w:t>
      </w:r>
      <w:r w:rsidRPr="00451078">
        <w:rPr>
          <w:rFonts w:cs="Tahoma"/>
          <w:bCs/>
          <w:color w:val="000000"/>
          <w:szCs w:val="18"/>
          <w:lang w:val="it-IT"/>
        </w:rPr>
        <w:t>iscrizione nell</w:t>
      </w:r>
      <w:r w:rsidR="0073727D">
        <w:rPr>
          <w:rFonts w:cs="Tahoma"/>
          <w:bCs/>
          <w:color w:val="000000"/>
          <w:szCs w:val="18"/>
          <w:lang w:val="it-IT"/>
        </w:rPr>
        <w:t>’</w:t>
      </w:r>
      <w:r w:rsidRPr="00451078">
        <w:rPr>
          <w:rFonts w:cs="Tahoma"/>
          <w:bCs/>
          <w:color w:val="000000"/>
          <w:szCs w:val="18"/>
          <w:lang w:val="it-IT"/>
        </w:rPr>
        <w:t>ambito di una procedura pianificata di true-up di una società Enterprise, Enterprise Subscription, Open Value Subscription o EES sono anch</w:t>
      </w:r>
      <w:r w:rsidR="0073727D">
        <w:rPr>
          <w:rFonts w:cs="Tahoma"/>
          <w:bCs/>
          <w:color w:val="000000"/>
          <w:szCs w:val="18"/>
          <w:lang w:val="it-IT"/>
        </w:rPr>
        <w:t>’</w:t>
      </w:r>
      <w:r w:rsidRPr="00451078">
        <w:rPr>
          <w:rFonts w:cs="Tahoma"/>
          <w:bCs/>
          <w:color w:val="000000"/>
          <w:szCs w:val="18"/>
          <w:lang w:val="it-IT"/>
        </w:rPr>
        <w:t>esse Licenze Qualificanti per gli scopi previsti dalla suddetta concessione.</w:t>
      </w:r>
      <w:r w:rsidR="00082E1C" w:rsidRPr="00451078">
        <w:rPr>
          <w:rFonts w:cs="Tahoma"/>
          <w:bCs/>
          <w:color w:val="000000"/>
          <w:szCs w:val="18"/>
          <w:lang w:val="it-IT"/>
        </w:rPr>
        <w:t xml:space="preserve"> </w:t>
      </w:r>
    </w:p>
    <w:p w:rsidR="00FD1141" w:rsidRPr="00451078" w:rsidRDefault="00FD1141" w:rsidP="00745AB3">
      <w:pPr>
        <w:numPr>
          <w:ilvl w:val="0"/>
          <w:numId w:val="55"/>
        </w:numPr>
        <w:spacing w:afterLines="60" w:after="144"/>
        <w:ind w:left="1440" w:hanging="274"/>
        <w:rPr>
          <w:lang w:val="it-IT"/>
        </w:rPr>
      </w:pPr>
      <w:r w:rsidRPr="00451078">
        <w:rPr>
          <w:rFonts w:cs="Tahoma"/>
          <w:lang w:val="it-IT"/>
        </w:rPr>
        <w:t>Le licenze per processore singolo per Windows Server Datacenter acquistate dopo il 1 settembre 2012 con copertura Software Assurance sono anch</w:t>
      </w:r>
      <w:r w:rsidR="0073727D">
        <w:rPr>
          <w:rFonts w:cs="Tahoma"/>
          <w:lang w:val="it-IT"/>
        </w:rPr>
        <w:t>’</w:t>
      </w:r>
      <w:r w:rsidRPr="00451078">
        <w:rPr>
          <w:rFonts w:cs="Tahoma"/>
          <w:lang w:val="it-IT"/>
        </w:rPr>
        <w:t>esse Licenze Qualificanti per gli scopi previsti dalla suddetta concessione. </w:t>
      </w:r>
    </w:p>
    <w:p w:rsidR="00F745E1" w:rsidRPr="00451078" w:rsidRDefault="00F745E1" w:rsidP="00745AB3">
      <w:pPr>
        <w:numPr>
          <w:ilvl w:val="0"/>
          <w:numId w:val="55"/>
        </w:numPr>
        <w:spacing w:afterLines="60" w:after="144"/>
        <w:ind w:left="1440" w:hanging="274"/>
        <w:rPr>
          <w:lang w:val="it-IT"/>
        </w:rPr>
      </w:pPr>
      <w:r w:rsidRPr="00451078">
        <w:rPr>
          <w:rFonts w:cs="Tahoma"/>
          <w:bCs/>
          <w:color w:val="000000"/>
          <w:szCs w:val="18"/>
          <w:lang w:val="it-IT"/>
        </w:rPr>
        <w:t>Nonostante la concessione di licenze per Windows Server 2012 Datacenter e di aggiornamenti per tale versione, le obbligazioni di pagamento degli importi scaduti e dovuti per le Licenze Qualificanti e la copertura rimangono pienamente vincolanti ed efficaci.</w:t>
      </w:r>
    </w:p>
    <w:p w:rsidR="00376D4B" w:rsidRPr="00451078" w:rsidRDefault="00376D4B" w:rsidP="00376D4B">
      <w:pPr>
        <w:ind w:left="720"/>
        <w:rPr>
          <w:lang w:val="it-IT"/>
        </w:rPr>
      </w:pPr>
    </w:p>
    <w:p w:rsidR="00FD1141" w:rsidRPr="00451078" w:rsidRDefault="00BF7C75" w:rsidP="00FD1141">
      <w:pPr>
        <w:ind w:left="720"/>
        <w:rPr>
          <w:lang w:val="it-IT"/>
        </w:rPr>
      </w:pPr>
      <w:r w:rsidRPr="00451078">
        <w:rPr>
          <w:rFonts w:cs="Tahoma"/>
          <w:color w:val="000000"/>
          <w:szCs w:val="18"/>
          <w:lang w:val="it-IT"/>
        </w:rPr>
        <w:t>Windows Server 2012 Datacenter: SKU della Licenza per 1 Processore; Windows Server 2012 sta passando a un modello di licenza Plus CAL per Processore, con ciascuna licenza per 2 processori. L</w:t>
      </w:r>
      <w:r w:rsidR="0073727D">
        <w:rPr>
          <w:rFonts w:cs="Tahoma"/>
          <w:color w:val="000000"/>
          <w:szCs w:val="18"/>
          <w:lang w:val="it-IT"/>
        </w:rPr>
        <w:t>’</w:t>
      </w:r>
      <w:r w:rsidRPr="00451078">
        <w:rPr>
          <w:rFonts w:cs="Tahoma"/>
          <w:color w:val="000000"/>
          <w:szCs w:val="18"/>
          <w:lang w:val="it-IT"/>
        </w:rPr>
        <w:t>offerta n. P71-01031 era stata inclusa erroneamente nel listino prezzi di settembre e deve essere utilizzata esclusivamente per i contratti SPLA. Tale offerta riguarda solo un processore singolo; le società che l</w:t>
      </w:r>
      <w:r w:rsidR="0073727D">
        <w:rPr>
          <w:rFonts w:cs="Tahoma"/>
          <w:color w:val="000000"/>
          <w:szCs w:val="18"/>
          <w:lang w:val="it-IT"/>
        </w:rPr>
        <w:t>’</w:t>
      </w:r>
      <w:r w:rsidRPr="00451078">
        <w:rPr>
          <w:rFonts w:cs="Tahoma"/>
          <w:color w:val="000000"/>
          <w:szCs w:val="18"/>
          <w:lang w:val="it-IT"/>
        </w:rPr>
        <w:t>acquistano non saranno coperte dai diritti sull</w:t>
      </w:r>
      <w:r w:rsidR="0073727D">
        <w:rPr>
          <w:rFonts w:cs="Tahoma"/>
          <w:color w:val="000000"/>
          <w:szCs w:val="18"/>
          <w:lang w:val="it-IT"/>
        </w:rPr>
        <w:t>’</w:t>
      </w:r>
      <w:r w:rsidRPr="00451078">
        <w:rPr>
          <w:rFonts w:cs="Tahoma"/>
          <w:color w:val="000000"/>
          <w:szCs w:val="18"/>
          <w:lang w:val="it-IT"/>
        </w:rPr>
        <w:t>utilizzo correnti. La presente SKU deve essere utilizzata solo da società titolari di contratti SPLA. L</w:t>
      </w:r>
      <w:r w:rsidR="0073727D">
        <w:rPr>
          <w:rFonts w:cs="Tahoma"/>
          <w:color w:val="000000"/>
          <w:szCs w:val="18"/>
          <w:lang w:val="it-IT"/>
        </w:rPr>
        <w:t>’</w:t>
      </w:r>
      <w:r w:rsidRPr="00451078">
        <w:rPr>
          <w:rFonts w:cs="Tahoma"/>
          <w:color w:val="000000"/>
          <w:szCs w:val="18"/>
          <w:lang w:val="it-IT"/>
        </w:rPr>
        <w:t xml:space="preserve">offerta corretta per tutti gli altri programmi </w:t>
      </w:r>
      <w:r w:rsidRPr="00451078">
        <w:rPr>
          <w:rFonts w:cs="Tahoma"/>
          <w:szCs w:val="18"/>
          <w:lang w:val="it-IT"/>
        </w:rPr>
        <w:t>che non prevedono contratti SPLA è la n. P71-07280. Per le società che hanno già acquistato l</w:t>
      </w:r>
      <w:r w:rsidR="0073727D">
        <w:rPr>
          <w:rFonts w:cs="Tahoma"/>
          <w:szCs w:val="18"/>
          <w:lang w:val="it-IT"/>
        </w:rPr>
        <w:t>’</w:t>
      </w:r>
      <w:r w:rsidRPr="00451078">
        <w:rPr>
          <w:rFonts w:cs="Tahoma"/>
          <w:szCs w:val="18"/>
          <w:lang w:val="it-IT"/>
        </w:rPr>
        <w:t>offerta n. P71-01031 è disponibile la concessione per la</w:t>
      </w:r>
      <w:r w:rsidR="002720CB" w:rsidRPr="00451078">
        <w:rPr>
          <w:rFonts w:cs="Tahoma"/>
          <w:szCs w:val="18"/>
          <w:lang w:val="it-IT"/>
        </w:rPr>
        <w:t> </w:t>
      </w:r>
      <w:r w:rsidRPr="00451078">
        <w:rPr>
          <w:rFonts w:cs="Tahoma"/>
          <w:szCs w:val="18"/>
          <w:lang w:val="it-IT"/>
        </w:rPr>
        <w:t>migrazione di cui sopra.</w:t>
      </w:r>
    </w:p>
    <w:p w:rsidR="00202A44" w:rsidRPr="00451078" w:rsidRDefault="00202A44" w:rsidP="00376D4B">
      <w:pPr>
        <w:ind w:left="720"/>
        <w:rPr>
          <w:lang w:val="it-IT"/>
        </w:rPr>
      </w:pPr>
    </w:p>
    <w:p w:rsidR="00F745E1" w:rsidRPr="00451078" w:rsidRDefault="00202A44" w:rsidP="00BA1490">
      <w:pPr>
        <w:pStyle w:val="PURBody-Indented"/>
        <w:ind w:left="720"/>
        <w:rPr>
          <w:lang w:val="it-IT"/>
        </w:rPr>
      </w:pPr>
      <w:r w:rsidRPr="00451078">
        <w:rPr>
          <w:rFonts w:ascii="Tahoma" w:hAnsi="Tahoma" w:cs="Tahoma"/>
          <w:color w:val="000000"/>
          <w:sz w:val="18"/>
          <w:szCs w:val="18"/>
          <w:lang w:val="it-IT"/>
        </w:rPr>
        <w:t xml:space="preserve">Windows Server 2012 Datacenter: </w:t>
      </w:r>
      <w:r w:rsidRPr="00451078">
        <w:rPr>
          <w:rFonts w:ascii="Tahoma" w:hAnsi="Tahoma" w:cs="Tahoma"/>
          <w:sz w:val="18"/>
          <w:szCs w:val="18"/>
          <w:lang w:val="it-IT"/>
        </w:rPr>
        <w:t>Il licenziatario potrà eseguire un</w:t>
      </w:r>
      <w:r w:rsidR="0073727D">
        <w:rPr>
          <w:rFonts w:ascii="Tahoma" w:hAnsi="Tahoma" w:cs="Tahoma"/>
          <w:sz w:val="18"/>
          <w:szCs w:val="18"/>
          <w:lang w:val="it-IT"/>
        </w:rPr>
        <w:t>’</w:t>
      </w:r>
      <w:r w:rsidRPr="00451078">
        <w:rPr>
          <w:rFonts w:ascii="Tahoma" w:hAnsi="Tahoma" w:cs="Tahoma"/>
          <w:sz w:val="18"/>
          <w:szCs w:val="18"/>
          <w:lang w:val="it-IT"/>
        </w:rPr>
        <w:t>istanza di Windows Server Datacenter, Enterprise, Standard o Essentials (versione identica o qualsiasi versione precedente) al posto di Windows Server 2012 Datacenter in qualunque OSE sul server con licenza.</w:t>
      </w:r>
    </w:p>
    <w:p w:rsidR="00BF7C75" w:rsidRPr="00451078" w:rsidRDefault="00BF7C75" w:rsidP="00F745E1">
      <w:pPr>
        <w:pStyle w:val="ListParagraph"/>
        <w:ind w:left="0"/>
        <w:contextualSpacing w:val="0"/>
        <w:rPr>
          <w:rFonts w:ascii="Tahoma" w:hAnsi="Tahoma" w:cs="Tahoma"/>
          <w:sz w:val="18"/>
          <w:szCs w:val="18"/>
          <w:lang w:val="it-IT"/>
        </w:rPr>
      </w:pPr>
    </w:p>
    <w:p w:rsidR="002A01C2" w:rsidRPr="00451078" w:rsidRDefault="002A01C2" w:rsidP="00F745E1">
      <w:pPr>
        <w:pStyle w:val="ListParagraph"/>
        <w:ind w:left="0"/>
        <w:contextualSpacing w:val="0"/>
        <w:rPr>
          <w:rFonts w:ascii="Tahoma" w:hAnsi="Tahoma" w:cs="Tahoma"/>
          <w:sz w:val="18"/>
          <w:szCs w:val="18"/>
          <w:lang w:val="it-IT"/>
        </w:rPr>
      </w:pPr>
    </w:p>
    <w:p w:rsidR="00F745E1" w:rsidRPr="00451078" w:rsidRDefault="00BA29A7" w:rsidP="00F745E1">
      <w:pPr>
        <w:pStyle w:val="Heading3"/>
        <w:rPr>
          <w:lang w:val="it-IT"/>
        </w:rPr>
      </w:pPr>
      <w:bookmarkStart w:id="1552" w:name="_118_Windows_Server"/>
      <w:bookmarkStart w:id="1553" w:name="_Toc336338374"/>
      <w:bookmarkStart w:id="1554" w:name="_Toc352234960"/>
      <w:bookmarkStart w:id="1555" w:name="Srv_102WindowsSvr08R2Std"/>
      <w:bookmarkStart w:id="1556" w:name="Srv_114WindowsSvr08R2Std"/>
      <w:bookmarkStart w:id="1557" w:name="Srv_118WindowsSvr08R2Std"/>
      <w:bookmarkStart w:id="1558" w:name="Srv_99WindowsSvr08R2ItaniumSys"/>
      <w:bookmarkStart w:id="1559" w:name="Srv_100WindowsSvr08R2ItaniumSys"/>
      <w:bookmarkEnd w:id="1552"/>
      <w:r w:rsidRPr="00451078">
        <w:rPr>
          <w:rStyle w:val="Heading3Char"/>
          <w:rFonts w:ascii="Tahoma" w:hAnsi="Tahoma"/>
          <w:b/>
          <w:caps/>
          <w:color w:val="F66400"/>
          <w:sz w:val="22"/>
          <w:vertAlign w:val="superscript"/>
          <w:lang w:val="it-IT"/>
        </w:rPr>
        <w:t>107</w:t>
      </w:r>
      <w:r w:rsidRPr="00451078">
        <w:rPr>
          <w:rStyle w:val="Heading3Char"/>
          <w:rFonts w:ascii="Tahoma" w:hAnsi="Tahoma"/>
          <w:b/>
          <w:caps/>
          <w:color w:val="F66400"/>
          <w:sz w:val="22"/>
          <w:lang w:val="it-IT"/>
        </w:rPr>
        <w:t xml:space="preserve"> </w:t>
      </w:r>
      <w:r w:rsidRPr="00451078">
        <w:rPr>
          <w:rStyle w:val="Heading3Char"/>
          <w:rFonts w:ascii="Tahoma" w:hAnsi="Tahoma"/>
          <w:b/>
          <w:color w:val="F66400"/>
          <w:sz w:val="22"/>
          <w:lang w:val="it-IT"/>
        </w:rPr>
        <w:t>Windows Server 2008 R2 Standard</w:t>
      </w:r>
      <w:bookmarkEnd w:id="1553"/>
      <w:bookmarkEnd w:id="1554"/>
      <w:r w:rsidRPr="00451078">
        <w:rPr>
          <w:rStyle w:val="Heading3Char"/>
          <w:rFonts w:ascii="Tahoma" w:hAnsi="Tahoma"/>
          <w:b/>
          <w:color w:val="F66400"/>
          <w:sz w:val="22"/>
          <w:lang w:val="it-IT"/>
        </w:rPr>
        <w:t xml:space="preserve"> </w:t>
      </w:r>
    </w:p>
    <w:bookmarkEnd w:id="1555"/>
    <w:bookmarkEnd w:id="1556"/>
    <w:bookmarkEnd w:id="1557"/>
    <w:p w:rsidR="00376D4B" w:rsidRPr="00451078" w:rsidRDefault="00376D4B" w:rsidP="002A01C2">
      <w:pPr>
        <w:tabs>
          <w:tab w:val="left" w:pos="360"/>
        </w:tabs>
        <w:ind w:left="360"/>
        <w:rPr>
          <w:lang w:val="it-IT"/>
        </w:rPr>
      </w:pPr>
    </w:p>
    <w:p w:rsidR="002A01C2" w:rsidRPr="00451078" w:rsidRDefault="00F745E1" w:rsidP="002A01C2">
      <w:pPr>
        <w:spacing w:after="60"/>
        <w:ind w:left="720"/>
        <w:rPr>
          <w:lang w:val="it-IT"/>
        </w:rPr>
      </w:pPr>
      <w:r w:rsidRPr="00451078">
        <w:rPr>
          <w:b/>
          <w:color w:val="000000"/>
          <w:lang w:val="it-IT"/>
        </w:rPr>
        <w:t>Concessioni di licenza associate alla variazione del modello di licenza per Windows Server</w:t>
      </w:r>
      <w:r w:rsidR="00E90C6C" w:rsidRPr="00451078">
        <w:rPr>
          <w:b/>
          <w:color w:val="000000"/>
          <w:lang w:val="it-IT"/>
        </w:rPr>
        <w:t> </w:t>
      </w:r>
      <w:r w:rsidRPr="00451078">
        <w:rPr>
          <w:b/>
          <w:color w:val="000000"/>
          <w:lang w:val="it-IT"/>
        </w:rPr>
        <w:t>Standard</w:t>
      </w:r>
    </w:p>
    <w:p w:rsidR="00F745E1" w:rsidRPr="00451078" w:rsidRDefault="00F745E1" w:rsidP="00745AB3">
      <w:pPr>
        <w:numPr>
          <w:ilvl w:val="0"/>
          <w:numId w:val="51"/>
        </w:numPr>
        <w:tabs>
          <w:tab w:val="left" w:pos="1260"/>
          <w:tab w:val="left" w:pos="1440"/>
        </w:tabs>
        <w:ind w:left="1440"/>
        <w:rPr>
          <w:lang w:val="it-IT"/>
        </w:rPr>
      </w:pPr>
      <w:r w:rsidRPr="00451078">
        <w:rPr>
          <w:color w:val="000000"/>
          <w:lang w:val="it-IT"/>
        </w:rPr>
        <w:t>Windows Server 2008 R2 Standard sarà l</w:t>
      </w:r>
      <w:r w:rsidR="0073727D">
        <w:rPr>
          <w:color w:val="000000"/>
          <w:lang w:val="it-IT"/>
        </w:rPr>
        <w:t>’</w:t>
      </w:r>
      <w:r w:rsidRPr="00451078">
        <w:rPr>
          <w:color w:val="000000"/>
          <w:lang w:val="it-IT"/>
        </w:rPr>
        <w:t>ultima versione di Windows Server concessa in licenza ai</w:t>
      </w:r>
      <w:r w:rsidR="00E90C6C" w:rsidRPr="00451078">
        <w:rPr>
          <w:color w:val="000000"/>
          <w:lang w:val="it-IT"/>
        </w:rPr>
        <w:t> </w:t>
      </w:r>
      <w:r w:rsidRPr="00451078">
        <w:rPr>
          <w:color w:val="000000"/>
          <w:lang w:val="it-IT"/>
        </w:rPr>
        <w:t>sensi del modello di licenza Server/CAL. Windows Server 2012 Standard sarà concesso in licenza ai</w:t>
      </w:r>
      <w:r w:rsidR="00E90C6C" w:rsidRPr="00451078">
        <w:rPr>
          <w:color w:val="000000"/>
          <w:lang w:val="it-IT"/>
        </w:rPr>
        <w:t> </w:t>
      </w:r>
      <w:r w:rsidRPr="00451078">
        <w:rPr>
          <w:color w:val="000000"/>
          <w:lang w:val="it-IT"/>
        </w:rPr>
        <w:t xml:space="preserve">sensi di un nuovo modello di licenza in base al quale ciascuna licenza può coprire fino a due processori fisici. Le società titolari di contratti multilicenza con copertura Software Assurance attiva </w:t>
      </w:r>
      <w:r w:rsidRPr="00451078">
        <w:rPr>
          <w:color w:val="000000"/>
          <w:lang w:val="it-IT"/>
        </w:rPr>
        <w:lastRenderedPageBreak/>
        <w:t>per le licenze Standard per Windows Server 2008 R2 in data 1 settembre 2012 o in occasione della prima disponibilità di Windows Server 2012 per il download dal sito Web Volume Licensing Service Center, a seconda di quale evento si verificherà per primo, (</w:t>
      </w:r>
      <w:r w:rsidR="001A3EC5" w:rsidRPr="00451078">
        <w:rPr>
          <w:color w:val="000000"/>
          <w:lang w:val="it-IT"/>
        </w:rPr>
        <w:t>“</w:t>
      </w:r>
      <w:r w:rsidRPr="00451078">
        <w:rPr>
          <w:color w:val="000000"/>
          <w:lang w:val="it-IT"/>
        </w:rPr>
        <w:t>Licenze Qualificanti</w:t>
      </w:r>
      <w:r w:rsidR="001A3EC5" w:rsidRPr="00451078">
        <w:rPr>
          <w:color w:val="000000"/>
          <w:lang w:val="it-IT"/>
        </w:rPr>
        <w:t>”</w:t>
      </w:r>
      <w:r w:rsidRPr="00451078">
        <w:rPr>
          <w:color w:val="000000"/>
          <w:lang w:val="it-IT"/>
        </w:rPr>
        <w:t>) saranno autorizzate a</w:t>
      </w:r>
      <w:r w:rsidRPr="00451078">
        <w:rPr>
          <w:rFonts w:eastAsia="Calibri" w:cs="Tahoma"/>
          <w:szCs w:val="18"/>
          <w:lang w:val="it-IT"/>
        </w:rPr>
        <w:t xml:space="preserve"> effettuare l</w:t>
      </w:r>
      <w:r w:rsidR="0073727D">
        <w:rPr>
          <w:rFonts w:eastAsia="Calibri" w:cs="Tahoma"/>
          <w:szCs w:val="18"/>
          <w:lang w:val="it-IT"/>
        </w:rPr>
        <w:t>’</w:t>
      </w:r>
      <w:r w:rsidRPr="00451078">
        <w:rPr>
          <w:rFonts w:eastAsia="Calibri" w:cs="Tahoma"/>
          <w:szCs w:val="18"/>
          <w:lang w:val="it-IT"/>
        </w:rPr>
        <w:t>aggiornamento al software Windows Server 2012 Standard e a utilizzarlo al posto di Windows Server 2008 R2 Standard. Per agevolare tale aggiornamento, per ogni Licenza Qualificante in suo possesso, alla società verrà concesso quanto segue in base alla disponibilità di Windows Server 2012:</w:t>
      </w:r>
    </w:p>
    <w:p w:rsidR="00F745E1" w:rsidRPr="00451078" w:rsidRDefault="00F745E1" w:rsidP="00745AB3">
      <w:pPr>
        <w:numPr>
          <w:ilvl w:val="0"/>
          <w:numId w:val="51"/>
        </w:numPr>
        <w:tabs>
          <w:tab w:val="left" w:pos="1260"/>
          <w:tab w:val="left" w:pos="1440"/>
        </w:tabs>
        <w:ind w:left="1440"/>
        <w:rPr>
          <w:lang w:val="it-IT"/>
        </w:rPr>
      </w:pPr>
      <w:r w:rsidRPr="00451078">
        <w:rPr>
          <w:rFonts w:eastAsia="Calibri" w:cs="Tahoma"/>
          <w:szCs w:val="18"/>
          <w:lang w:val="it-IT"/>
        </w:rPr>
        <w:t>una licenza per Windows Server 2012 Standard o</w:t>
      </w:r>
    </w:p>
    <w:p w:rsidR="00F745E1" w:rsidRPr="00451078" w:rsidRDefault="00F745E1" w:rsidP="00745AB3">
      <w:pPr>
        <w:numPr>
          <w:ilvl w:val="0"/>
          <w:numId w:val="51"/>
        </w:numPr>
        <w:tabs>
          <w:tab w:val="left" w:pos="1260"/>
          <w:tab w:val="left" w:pos="1440"/>
        </w:tabs>
        <w:ind w:left="1440"/>
        <w:rPr>
          <w:lang w:val="it-IT"/>
        </w:rPr>
      </w:pPr>
      <w:r w:rsidRPr="00451078">
        <w:rPr>
          <w:rFonts w:eastAsia="Calibri" w:cs="Tahoma"/>
          <w:szCs w:val="18"/>
          <w:lang w:val="it-IT"/>
        </w:rPr>
        <w:t>due licenze per Windows Server 2012 Standard, qualora il numero effettivo di processori fisici sul server al quale viene ceduta la Licenza Qualificante sia maggiore di due. (In questi casi le società dovranno creare un record della configurazione dell</w:t>
      </w:r>
      <w:r w:rsidR="0073727D">
        <w:rPr>
          <w:rFonts w:eastAsia="Calibri" w:cs="Tahoma"/>
          <w:szCs w:val="18"/>
          <w:lang w:val="it-IT"/>
        </w:rPr>
        <w:t>’</w:t>
      </w:r>
      <w:r w:rsidRPr="00451078">
        <w:rPr>
          <w:rFonts w:eastAsia="Calibri" w:cs="Tahoma"/>
          <w:szCs w:val="18"/>
          <w:lang w:val="it-IT"/>
        </w:rPr>
        <w:t>hardware fisico che supporta tale software prima della scadenza della copertura Software Assurance ai sensi del presente contratto, utilizzando lo strumento MAP di Microsoft o qualsiasi software equivalente. La presente concessione è disponibile solo per una Licenza Qualificante per server).</w:t>
      </w:r>
    </w:p>
    <w:p w:rsidR="00F745E1" w:rsidRPr="00451078" w:rsidRDefault="00F745E1" w:rsidP="00745AB3">
      <w:pPr>
        <w:numPr>
          <w:ilvl w:val="0"/>
          <w:numId w:val="51"/>
        </w:numPr>
        <w:tabs>
          <w:tab w:val="left" w:pos="1260"/>
          <w:tab w:val="left" w:pos="1440"/>
        </w:tabs>
        <w:ind w:left="1440"/>
        <w:rPr>
          <w:lang w:val="it-IT"/>
        </w:rPr>
      </w:pPr>
      <w:r w:rsidRPr="00451078">
        <w:rPr>
          <w:rFonts w:eastAsia="Calibri" w:cs="Tahoma"/>
          <w:szCs w:val="18"/>
          <w:lang w:val="it-IT"/>
        </w:rPr>
        <w:t>Le licenze acquistate ai sensi della presente concessione includono la copertura Software Assurance.</w:t>
      </w:r>
      <w:r w:rsidR="00082E1C" w:rsidRPr="00451078">
        <w:rPr>
          <w:rFonts w:eastAsia="Calibri" w:cs="Tahoma"/>
          <w:szCs w:val="18"/>
          <w:lang w:val="it-IT"/>
        </w:rPr>
        <w:t xml:space="preserve"> </w:t>
      </w:r>
      <w:r w:rsidRPr="00451078">
        <w:rPr>
          <w:rFonts w:eastAsia="Calibri" w:cs="Tahoma"/>
          <w:szCs w:val="18"/>
          <w:lang w:val="it-IT"/>
        </w:rPr>
        <w:t>Tale copertura cessa alla scadenza della corrispondente copertura per le Licenze Qualificanti.</w:t>
      </w:r>
    </w:p>
    <w:p w:rsidR="00F745E1" w:rsidRPr="00451078" w:rsidRDefault="00F745E1" w:rsidP="00745AB3">
      <w:pPr>
        <w:numPr>
          <w:ilvl w:val="0"/>
          <w:numId w:val="51"/>
        </w:numPr>
        <w:tabs>
          <w:tab w:val="left" w:pos="1260"/>
          <w:tab w:val="left" w:pos="1440"/>
        </w:tabs>
        <w:ind w:left="1440"/>
        <w:rPr>
          <w:lang w:val="it-IT"/>
        </w:rPr>
      </w:pPr>
      <w:r w:rsidRPr="00451078">
        <w:rPr>
          <w:rFonts w:eastAsia="Calibri" w:cs="Tahoma"/>
          <w:szCs w:val="18"/>
          <w:lang w:val="it-IT"/>
        </w:rPr>
        <w:t>Nel caso in cui le società abbiano acquistato diritti perpetui di utilizzo del software ai sensi di Licenze Qualificanti, le licenze acquistate ai sensi della presente concessione saranno anch</w:t>
      </w:r>
      <w:r w:rsidR="0073727D">
        <w:rPr>
          <w:rFonts w:eastAsia="Calibri" w:cs="Tahoma"/>
          <w:szCs w:val="18"/>
          <w:lang w:val="it-IT"/>
        </w:rPr>
        <w:t>’</w:t>
      </w:r>
      <w:r w:rsidRPr="00451078">
        <w:rPr>
          <w:rFonts w:eastAsia="Calibri" w:cs="Tahoma"/>
          <w:szCs w:val="18"/>
          <w:lang w:val="it-IT"/>
        </w:rPr>
        <w:t>esse perpetue; diversamente, le licenze acquistate ai sensi della presente concessione cesseranno alla scadenza delle Licenze Qualificanti sottostanti.</w:t>
      </w:r>
    </w:p>
    <w:p w:rsidR="00F745E1" w:rsidRPr="00451078" w:rsidRDefault="00F745E1" w:rsidP="00745AB3">
      <w:pPr>
        <w:numPr>
          <w:ilvl w:val="0"/>
          <w:numId w:val="51"/>
        </w:numPr>
        <w:tabs>
          <w:tab w:val="left" w:pos="1260"/>
          <w:tab w:val="left" w:pos="1440"/>
        </w:tabs>
        <w:ind w:left="1440"/>
        <w:rPr>
          <w:lang w:val="it-IT"/>
        </w:rPr>
      </w:pPr>
      <w:r w:rsidRPr="00451078">
        <w:rPr>
          <w:rFonts w:eastAsia="Calibri" w:cs="Tahoma"/>
          <w:szCs w:val="18"/>
          <w:lang w:val="it-IT"/>
        </w:rPr>
        <w:t>Eseguendo l</w:t>
      </w:r>
      <w:r w:rsidR="0073727D">
        <w:rPr>
          <w:rFonts w:eastAsia="Calibri" w:cs="Tahoma"/>
          <w:szCs w:val="18"/>
          <w:lang w:val="it-IT"/>
        </w:rPr>
        <w:t>’</w:t>
      </w:r>
      <w:r w:rsidRPr="00451078">
        <w:rPr>
          <w:rFonts w:eastAsia="Calibri" w:cs="Tahoma"/>
          <w:szCs w:val="18"/>
          <w:lang w:val="it-IT"/>
        </w:rPr>
        <w:t>aggiornamento a Windows Server 2012 Standard ai sensi della presente concessione, le licenze in essere per Windows Server 2008 R2 Standard non saranno più valide.</w:t>
      </w:r>
    </w:p>
    <w:p w:rsidR="00F745E1" w:rsidRPr="00451078" w:rsidRDefault="00F745E1" w:rsidP="00745AB3">
      <w:pPr>
        <w:numPr>
          <w:ilvl w:val="0"/>
          <w:numId w:val="55"/>
        </w:numPr>
        <w:tabs>
          <w:tab w:val="left" w:pos="1440"/>
        </w:tabs>
        <w:ind w:left="1440"/>
        <w:rPr>
          <w:lang w:val="it-IT"/>
        </w:rPr>
      </w:pPr>
      <w:r w:rsidRPr="00451078">
        <w:rPr>
          <w:lang w:val="it-IT"/>
        </w:rPr>
        <w:t xml:space="preserve">Le licenze per </w:t>
      </w:r>
      <w:r w:rsidRPr="00451078">
        <w:rPr>
          <w:color w:val="000000"/>
          <w:lang w:val="it-IT"/>
        </w:rPr>
        <w:t xml:space="preserve">Windows Server 2008 R2 Standard </w:t>
      </w:r>
      <w:r w:rsidRPr="00451078">
        <w:rPr>
          <w:rFonts w:cs="Tahoma"/>
          <w:bCs/>
          <w:color w:val="000000"/>
          <w:szCs w:val="18"/>
          <w:lang w:val="it-IT"/>
        </w:rPr>
        <w:t>acquistate successivamente nello stesso periodo di validità dell</w:t>
      </w:r>
      <w:r w:rsidR="0073727D">
        <w:rPr>
          <w:rFonts w:cs="Tahoma"/>
          <w:bCs/>
          <w:color w:val="000000"/>
          <w:szCs w:val="18"/>
          <w:lang w:val="it-IT"/>
        </w:rPr>
        <w:t>’</w:t>
      </w:r>
      <w:r w:rsidRPr="00451078">
        <w:rPr>
          <w:rFonts w:cs="Tahoma"/>
          <w:bCs/>
          <w:color w:val="000000"/>
          <w:szCs w:val="18"/>
          <w:lang w:val="it-IT"/>
        </w:rPr>
        <w:t>iscrizione nell</w:t>
      </w:r>
      <w:r w:rsidR="0073727D">
        <w:rPr>
          <w:rFonts w:cs="Tahoma"/>
          <w:bCs/>
          <w:color w:val="000000"/>
          <w:szCs w:val="18"/>
          <w:lang w:val="it-IT"/>
        </w:rPr>
        <w:t>’</w:t>
      </w:r>
      <w:r w:rsidRPr="00451078">
        <w:rPr>
          <w:rFonts w:cs="Tahoma"/>
          <w:bCs/>
          <w:color w:val="000000"/>
          <w:szCs w:val="18"/>
          <w:lang w:val="it-IT"/>
        </w:rPr>
        <w:t>ambito di una procedura pianificata di true-up della società Enterprise, Enterprise Subscription, Open Value Subscription o EES sono anch</w:t>
      </w:r>
      <w:r w:rsidR="0073727D">
        <w:rPr>
          <w:rFonts w:cs="Tahoma"/>
          <w:bCs/>
          <w:color w:val="000000"/>
          <w:szCs w:val="18"/>
          <w:lang w:val="it-IT"/>
        </w:rPr>
        <w:t>’</w:t>
      </w:r>
      <w:r w:rsidRPr="00451078">
        <w:rPr>
          <w:rFonts w:cs="Tahoma"/>
          <w:bCs/>
          <w:color w:val="000000"/>
          <w:szCs w:val="18"/>
          <w:lang w:val="it-IT"/>
        </w:rPr>
        <w:t>esse Licenze Qualificanti per gli scopi previsti dalla suddetta concessione di licenze.</w:t>
      </w:r>
    </w:p>
    <w:p w:rsidR="00F745E1" w:rsidRPr="00451078" w:rsidRDefault="00F745E1" w:rsidP="00745AB3">
      <w:pPr>
        <w:numPr>
          <w:ilvl w:val="0"/>
          <w:numId w:val="55"/>
        </w:numPr>
        <w:tabs>
          <w:tab w:val="left" w:pos="1440"/>
        </w:tabs>
        <w:ind w:left="1440"/>
        <w:rPr>
          <w:lang w:val="it-IT"/>
        </w:rPr>
      </w:pPr>
      <w:r w:rsidRPr="00451078">
        <w:rPr>
          <w:rFonts w:cs="Tahoma"/>
          <w:bCs/>
          <w:color w:val="000000"/>
          <w:szCs w:val="18"/>
          <w:lang w:val="it-IT"/>
        </w:rPr>
        <w:t>Nonostante la concessione di licenze per Windows Server 2012 Standard e di aggiornamenti per tale versione, le obbligazioni di pagamento degli importi scaduti e dovuti per le Licenze Qualificanti e la copertura rimangono pienamente vincolanti ed efficaci.</w:t>
      </w:r>
    </w:p>
    <w:p w:rsidR="00F745E1" w:rsidRPr="00451078" w:rsidRDefault="00F745E1" w:rsidP="002A01C2">
      <w:pPr>
        <w:tabs>
          <w:tab w:val="left" w:pos="1440"/>
        </w:tabs>
        <w:ind w:left="1440"/>
        <w:rPr>
          <w:lang w:val="it-IT"/>
        </w:rPr>
      </w:pPr>
    </w:p>
    <w:bookmarkEnd w:id="1558"/>
    <w:bookmarkEnd w:id="1559"/>
    <w:p w:rsidR="002A01C2" w:rsidRPr="00451078" w:rsidRDefault="005403C8" w:rsidP="002A01C2">
      <w:pPr>
        <w:pStyle w:val="PURBody-Indented"/>
        <w:spacing w:after="60"/>
        <w:ind w:left="720"/>
        <w:rPr>
          <w:lang w:val="it-IT"/>
        </w:rPr>
      </w:pPr>
      <w:r w:rsidRPr="00451078">
        <w:rPr>
          <w:rFonts w:ascii="Tahoma" w:hAnsi="Tahoma" w:cs="Tahoma"/>
          <w:b/>
          <w:color w:val="000000"/>
          <w:sz w:val="18"/>
          <w:szCs w:val="18"/>
          <w:lang w:val="it-IT"/>
        </w:rPr>
        <w:t>Windows Server 2012 Standard</w:t>
      </w:r>
    </w:p>
    <w:p w:rsidR="005403C8" w:rsidRPr="00451078" w:rsidRDefault="005403C8" w:rsidP="002A01C2">
      <w:pPr>
        <w:pStyle w:val="PURBody-Indented"/>
        <w:spacing w:after="0"/>
        <w:ind w:left="720"/>
        <w:rPr>
          <w:lang w:val="it-IT"/>
        </w:rPr>
      </w:pPr>
      <w:r w:rsidRPr="00451078">
        <w:rPr>
          <w:rFonts w:ascii="Tahoma" w:hAnsi="Tahoma" w:cs="Tahoma"/>
          <w:sz w:val="18"/>
          <w:lang w:val="it-IT"/>
        </w:rPr>
        <w:t>Il licenziatario potrà eseguire un</w:t>
      </w:r>
      <w:r w:rsidR="0073727D">
        <w:rPr>
          <w:rFonts w:ascii="Tahoma" w:hAnsi="Tahoma" w:cs="Tahoma"/>
          <w:sz w:val="18"/>
          <w:lang w:val="it-IT"/>
        </w:rPr>
        <w:t>’</w:t>
      </w:r>
      <w:r w:rsidRPr="00451078">
        <w:rPr>
          <w:rFonts w:ascii="Tahoma" w:hAnsi="Tahoma" w:cs="Tahoma"/>
          <w:sz w:val="18"/>
          <w:lang w:val="it-IT"/>
        </w:rPr>
        <w:t>istanza di Windows Server Enterprise, Standard o Essentials (versione identica o qualsiasi versione precedente) al posto di Windows Server 2012 Standard in qualunque OSE sul</w:t>
      </w:r>
      <w:r w:rsidR="00E90C6C" w:rsidRPr="00451078">
        <w:rPr>
          <w:rFonts w:ascii="Tahoma" w:hAnsi="Tahoma" w:cs="Tahoma"/>
          <w:sz w:val="18"/>
          <w:lang w:val="it-IT"/>
        </w:rPr>
        <w:t> </w:t>
      </w:r>
      <w:r w:rsidRPr="00451078">
        <w:rPr>
          <w:rFonts w:ascii="Tahoma" w:hAnsi="Tahoma" w:cs="Tahoma"/>
          <w:sz w:val="18"/>
          <w:lang w:val="it-IT"/>
        </w:rPr>
        <w:t>server con licenza.</w:t>
      </w:r>
    </w:p>
    <w:p w:rsidR="00F745E1" w:rsidRPr="00451078" w:rsidRDefault="00F745E1" w:rsidP="002A01C2">
      <w:pPr>
        <w:pStyle w:val="ListParagraph"/>
        <w:ind w:left="0"/>
        <w:contextualSpacing w:val="0"/>
        <w:rPr>
          <w:rFonts w:ascii="Tahoma" w:hAnsi="Tahoma" w:cs="Tahoma"/>
          <w:sz w:val="18"/>
          <w:szCs w:val="18"/>
          <w:lang w:val="it-IT"/>
        </w:rPr>
      </w:pPr>
    </w:p>
    <w:p w:rsidR="00103AD5" w:rsidRPr="00451078" w:rsidRDefault="00103AD5" w:rsidP="002A01C2">
      <w:pPr>
        <w:pStyle w:val="ListParagraph"/>
        <w:ind w:left="0"/>
        <w:contextualSpacing w:val="0"/>
        <w:rPr>
          <w:rFonts w:ascii="Tahoma" w:hAnsi="Tahoma" w:cs="Tahoma"/>
          <w:sz w:val="18"/>
          <w:szCs w:val="18"/>
          <w:lang w:val="it-IT"/>
        </w:rPr>
      </w:pPr>
    </w:p>
    <w:p w:rsidR="00816F76" w:rsidRPr="00451078" w:rsidRDefault="00BA29A7" w:rsidP="00EF2279">
      <w:pPr>
        <w:pStyle w:val="Heading3"/>
        <w:rPr>
          <w:lang w:val="it-IT"/>
        </w:rPr>
      </w:pPr>
      <w:bookmarkStart w:id="1560" w:name="_119_Windows_Web"/>
      <w:bookmarkStart w:id="1561" w:name="_Toc336338375"/>
      <w:bookmarkStart w:id="1562" w:name="_Toc352234961"/>
      <w:bookmarkStart w:id="1563" w:name="Srv_111WinSmallBizSVR2011Addon"/>
      <w:bookmarkStart w:id="1564" w:name="Srv_116WinSmallBizSVR2011Addon"/>
      <w:bookmarkStart w:id="1565" w:name="Srv_120WinSmallBizSVR2011Addon"/>
      <w:bookmarkEnd w:id="1546"/>
      <w:bookmarkEnd w:id="1560"/>
      <w:r w:rsidRPr="00451078">
        <w:rPr>
          <w:rFonts w:ascii="Tahoma" w:hAnsi="Tahoma" w:cs="Tahoma"/>
          <w:caps/>
          <w:color w:val="EE6000"/>
          <w:sz w:val="22"/>
          <w:szCs w:val="18"/>
          <w:vertAlign w:val="superscript"/>
          <w:lang w:val="it-IT"/>
        </w:rPr>
        <w:t>108</w:t>
      </w:r>
      <w:r w:rsidRPr="00451078">
        <w:rPr>
          <w:rFonts w:ascii="Tahoma" w:hAnsi="Tahoma" w:cs="Tahoma"/>
          <w:color w:val="EE6000"/>
          <w:sz w:val="22"/>
          <w:szCs w:val="18"/>
          <w:lang w:val="it-IT"/>
        </w:rPr>
        <w:t xml:space="preserve"> </w:t>
      </w:r>
      <w:r w:rsidRPr="00451078">
        <w:rPr>
          <w:rFonts w:ascii="Tahoma" w:hAnsi="Tahoma"/>
          <w:color w:val="F66400"/>
          <w:sz w:val="22"/>
          <w:lang w:val="it-IT"/>
        </w:rPr>
        <w:t>Windows Web Server</w:t>
      </w:r>
      <w:r w:rsidR="003410C7" w:rsidRPr="00451078">
        <w:rPr>
          <w:rFonts w:ascii="Tahoma" w:hAnsi="Tahoma"/>
          <w:color w:val="F66400"/>
          <w:sz w:val="22"/>
          <w:vertAlign w:val="superscript"/>
          <w:lang w:val="it-IT"/>
        </w:rPr>
        <w:t>®</w:t>
      </w:r>
      <w:r w:rsidRPr="00451078">
        <w:rPr>
          <w:rFonts w:ascii="Tahoma" w:hAnsi="Tahoma"/>
          <w:color w:val="F66400"/>
          <w:sz w:val="22"/>
          <w:lang w:val="it-IT"/>
        </w:rPr>
        <w:t xml:space="preserve"> 2008 R2</w:t>
      </w:r>
      <w:bookmarkEnd w:id="1561"/>
      <w:bookmarkEnd w:id="1562"/>
    </w:p>
    <w:p w:rsidR="00816F76" w:rsidRPr="00451078" w:rsidRDefault="00816F76" w:rsidP="00CE7FAD">
      <w:pPr>
        <w:rPr>
          <w:lang w:val="it-IT"/>
        </w:rPr>
      </w:pPr>
    </w:p>
    <w:p w:rsidR="00CE7FAD" w:rsidRPr="00451078" w:rsidRDefault="00816F76" w:rsidP="00CE7FAD">
      <w:pPr>
        <w:tabs>
          <w:tab w:val="left" w:pos="720"/>
        </w:tabs>
        <w:spacing w:after="60"/>
        <w:ind w:left="720"/>
        <w:rPr>
          <w:lang w:val="it-IT"/>
        </w:rPr>
      </w:pPr>
      <w:r w:rsidRPr="00451078">
        <w:rPr>
          <w:b/>
          <w:color w:val="000000"/>
          <w:lang w:val="it-IT"/>
        </w:rPr>
        <w:t>Concessioni di licenza associate alla fine del ciclo di vita di Windows Web Server</w:t>
      </w:r>
    </w:p>
    <w:p w:rsidR="00816F76" w:rsidRPr="00451078" w:rsidRDefault="00816F76" w:rsidP="00CE7FAD">
      <w:pPr>
        <w:tabs>
          <w:tab w:val="left" w:pos="720"/>
        </w:tabs>
        <w:ind w:left="720"/>
        <w:rPr>
          <w:lang w:val="it-IT"/>
        </w:rPr>
      </w:pPr>
      <w:r w:rsidRPr="00451078">
        <w:rPr>
          <w:color w:val="000000"/>
          <w:lang w:val="it-IT"/>
        </w:rPr>
        <w:t>Windows Server 2008 R2 sarà l</w:t>
      </w:r>
      <w:r w:rsidR="0073727D">
        <w:rPr>
          <w:color w:val="000000"/>
          <w:lang w:val="it-IT"/>
        </w:rPr>
        <w:t>’</w:t>
      </w:r>
      <w:r w:rsidRPr="00451078">
        <w:rPr>
          <w:color w:val="000000"/>
          <w:lang w:val="it-IT"/>
        </w:rPr>
        <w:t>ultima versione di Windows Web Server. Le società titolari di contratti multilicenza (Volume License) con copertura Software Assurance attiva per le licenze per Windows Web Server 2008 R2 in data 1 settembre 2012 o in occasione della prima disponibilità di Windows Server 2012 per il download dal sito Web Volume Licensing Service Center, a seconda di quale evento si verificherà per primo, (</w:t>
      </w:r>
      <w:r w:rsidR="001A3EC5" w:rsidRPr="00451078">
        <w:rPr>
          <w:color w:val="000000"/>
          <w:lang w:val="it-IT"/>
        </w:rPr>
        <w:t>“</w:t>
      </w:r>
      <w:r w:rsidRPr="00451078">
        <w:rPr>
          <w:color w:val="000000"/>
          <w:lang w:val="it-IT"/>
        </w:rPr>
        <w:t>Licenze Qualificanti</w:t>
      </w:r>
      <w:r w:rsidR="001A3EC5" w:rsidRPr="00451078">
        <w:rPr>
          <w:color w:val="000000"/>
          <w:lang w:val="it-IT"/>
        </w:rPr>
        <w:t>”</w:t>
      </w:r>
      <w:r w:rsidRPr="00451078">
        <w:rPr>
          <w:color w:val="000000"/>
          <w:lang w:val="it-IT"/>
        </w:rPr>
        <w:t xml:space="preserve">) saranno autorizzate a </w:t>
      </w:r>
      <w:r w:rsidRPr="00451078">
        <w:rPr>
          <w:rFonts w:eastAsia="Calibri" w:cs="Tahoma"/>
          <w:szCs w:val="18"/>
          <w:lang w:val="it-IT"/>
        </w:rPr>
        <w:t xml:space="preserve">utilizzare il software Windows Server 2012 Standard. Per agevolare tale utilizzo, per ogni due Licenze Qualificanti in suo possesso, alla società verrà concessa una licenza per processore per Windows Server 2012 Standard in base alla disponibilità di Windows Server 2012. </w:t>
      </w:r>
    </w:p>
    <w:p w:rsidR="00CE7FAD" w:rsidRPr="00451078" w:rsidRDefault="00CE7FAD" w:rsidP="00CE7FAD">
      <w:pPr>
        <w:tabs>
          <w:tab w:val="left" w:pos="720"/>
        </w:tabs>
        <w:ind w:left="720"/>
        <w:rPr>
          <w:lang w:val="it-IT"/>
        </w:rPr>
      </w:pPr>
    </w:p>
    <w:p w:rsidR="00816F76" w:rsidRPr="00451078" w:rsidRDefault="00816F76" w:rsidP="00745AB3">
      <w:pPr>
        <w:numPr>
          <w:ilvl w:val="0"/>
          <w:numId w:val="55"/>
        </w:numPr>
        <w:tabs>
          <w:tab w:val="clear" w:pos="360"/>
          <w:tab w:val="num" w:pos="1440"/>
        </w:tabs>
        <w:spacing w:after="60"/>
        <w:ind w:left="1440"/>
        <w:rPr>
          <w:lang w:val="it-IT"/>
        </w:rPr>
      </w:pPr>
      <w:r w:rsidRPr="00451078">
        <w:rPr>
          <w:color w:val="000000"/>
          <w:lang w:val="it-IT"/>
        </w:rPr>
        <w:t>Qualora una società disponga di un numero dispari di licenze per Web Server, dovrà arrotondarle al</w:t>
      </w:r>
      <w:r w:rsidR="00E90C6C" w:rsidRPr="00451078">
        <w:rPr>
          <w:color w:val="000000"/>
          <w:lang w:val="it-IT"/>
        </w:rPr>
        <w:t> </w:t>
      </w:r>
      <w:r w:rsidRPr="00451078">
        <w:rPr>
          <w:color w:val="000000"/>
          <w:lang w:val="it-IT"/>
        </w:rPr>
        <w:t>successivo numero pari per determinare la quantità concessa.</w:t>
      </w:r>
      <w:r w:rsidR="00082E1C" w:rsidRPr="00451078">
        <w:rPr>
          <w:color w:val="000000"/>
          <w:lang w:val="it-IT"/>
        </w:rPr>
        <w:t xml:space="preserve"> </w:t>
      </w:r>
      <w:r w:rsidRPr="00451078">
        <w:rPr>
          <w:color w:val="000000"/>
          <w:lang w:val="it-IT"/>
        </w:rPr>
        <w:t>Ad esempio, una società titolare di</w:t>
      </w:r>
      <w:r w:rsidR="00E90C6C" w:rsidRPr="00451078">
        <w:rPr>
          <w:color w:val="000000"/>
          <w:lang w:val="it-IT"/>
        </w:rPr>
        <w:t> </w:t>
      </w:r>
      <w:r w:rsidRPr="00451078">
        <w:rPr>
          <w:color w:val="000000"/>
          <w:lang w:val="it-IT"/>
        </w:rPr>
        <w:t>tre licenze per Web Server riceverà in totale due licenze per Windows Server 2012 Standard.</w:t>
      </w:r>
    </w:p>
    <w:p w:rsidR="00816F76" w:rsidRPr="00451078" w:rsidRDefault="00816F76" w:rsidP="00745AB3">
      <w:pPr>
        <w:numPr>
          <w:ilvl w:val="0"/>
          <w:numId w:val="55"/>
        </w:numPr>
        <w:tabs>
          <w:tab w:val="clear" w:pos="360"/>
          <w:tab w:val="num" w:pos="1440"/>
        </w:tabs>
        <w:spacing w:after="60"/>
        <w:ind w:left="1440"/>
        <w:rPr>
          <w:lang w:val="it-IT"/>
        </w:rPr>
      </w:pPr>
      <w:r w:rsidRPr="00451078">
        <w:rPr>
          <w:rFonts w:eastAsia="Calibri" w:cs="Tahoma"/>
          <w:szCs w:val="18"/>
          <w:lang w:val="it-IT"/>
        </w:rPr>
        <w:t>Eseguendo l</w:t>
      </w:r>
      <w:r w:rsidR="0073727D">
        <w:rPr>
          <w:rFonts w:eastAsia="Calibri" w:cs="Tahoma"/>
          <w:szCs w:val="18"/>
          <w:lang w:val="it-IT"/>
        </w:rPr>
        <w:t>’</w:t>
      </w:r>
      <w:r w:rsidRPr="00451078">
        <w:rPr>
          <w:rFonts w:eastAsia="Calibri" w:cs="Tahoma"/>
          <w:szCs w:val="18"/>
          <w:lang w:val="it-IT"/>
        </w:rPr>
        <w:t>aggiornamento a Windows Server 2012 Standard ai sensi della presente concessione, le licenze in essere per Windows Web Server 2008 R2 rimangono valide.</w:t>
      </w:r>
    </w:p>
    <w:p w:rsidR="00816F76" w:rsidRPr="00451078" w:rsidRDefault="00816F76" w:rsidP="00745AB3">
      <w:pPr>
        <w:pStyle w:val="ListParagraph"/>
        <w:numPr>
          <w:ilvl w:val="0"/>
          <w:numId w:val="55"/>
        </w:numPr>
        <w:tabs>
          <w:tab w:val="clear" w:pos="360"/>
          <w:tab w:val="num" w:pos="1440"/>
        </w:tabs>
        <w:spacing w:after="60"/>
        <w:ind w:left="1440"/>
        <w:contextualSpacing w:val="0"/>
        <w:rPr>
          <w:lang w:val="it-IT"/>
        </w:rPr>
      </w:pPr>
      <w:r w:rsidRPr="00451078">
        <w:rPr>
          <w:rFonts w:ascii="Tahoma" w:eastAsia="Calibri" w:hAnsi="Tahoma" w:cs="Tahoma"/>
          <w:sz w:val="18"/>
          <w:szCs w:val="18"/>
          <w:lang w:val="it-IT"/>
        </w:rPr>
        <w:t>Le licenze acquistate ai sensi della presente concessione includono la copertura Software Assurance.</w:t>
      </w:r>
      <w:r w:rsidR="00082E1C" w:rsidRPr="00451078">
        <w:rPr>
          <w:rFonts w:ascii="Tahoma" w:eastAsia="Calibri" w:hAnsi="Tahoma" w:cs="Tahoma"/>
          <w:sz w:val="18"/>
          <w:szCs w:val="18"/>
          <w:lang w:val="it-IT"/>
        </w:rPr>
        <w:t xml:space="preserve"> </w:t>
      </w:r>
      <w:r w:rsidRPr="00451078">
        <w:rPr>
          <w:rFonts w:ascii="Tahoma" w:eastAsia="Calibri" w:hAnsi="Tahoma" w:cs="Tahoma"/>
          <w:sz w:val="18"/>
          <w:szCs w:val="18"/>
          <w:lang w:val="it-IT"/>
        </w:rPr>
        <w:t>Tale copertura cessa alla scadenza della corrispondente copertura per le Licenze Qualificanti.</w:t>
      </w:r>
    </w:p>
    <w:p w:rsidR="00816F76" w:rsidRPr="00451078" w:rsidRDefault="00816F76" w:rsidP="00745AB3">
      <w:pPr>
        <w:pStyle w:val="ListParagraph"/>
        <w:numPr>
          <w:ilvl w:val="0"/>
          <w:numId w:val="55"/>
        </w:numPr>
        <w:tabs>
          <w:tab w:val="clear" w:pos="360"/>
          <w:tab w:val="num" w:pos="1440"/>
        </w:tabs>
        <w:spacing w:after="60"/>
        <w:ind w:left="1440"/>
        <w:contextualSpacing w:val="0"/>
        <w:rPr>
          <w:lang w:val="it-IT"/>
        </w:rPr>
      </w:pPr>
      <w:r w:rsidRPr="00451078">
        <w:rPr>
          <w:rFonts w:ascii="Tahoma" w:eastAsia="Calibri" w:hAnsi="Tahoma" w:cs="Tahoma"/>
          <w:sz w:val="18"/>
          <w:szCs w:val="18"/>
          <w:lang w:val="it-IT"/>
        </w:rPr>
        <w:t>Nel caso in cui le società abbiano acquistato diritti perpetui per utilizzare software ai sensi di Licenze Qualificanti, le licenze acquistate ai sensi della presente concessione saranno anch</w:t>
      </w:r>
      <w:r w:rsidR="0073727D">
        <w:rPr>
          <w:rFonts w:ascii="Tahoma" w:eastAsia="Calibri" w:hAnsi="Tahoma" w:cs="Tahoma"/>
          <w:sz w:val="18"/>
          <w:szCs w:val="18"/>
          <w:lang w:val="it-IT"/>
        </w:rPr>
        <w:t>’</w:t>
      </w:r>
      <w:r w:rsidRPr="00451078">
        <w:rPr>
          <w:rFonts w:ascii="Tahoma" w:eastAsia="Calibri" w:hAnsi="Tahoma" w:cs="Tahoma"/>
          <w:sz w:val="18"/>
          <w:szCs w:val="18"/>
          <w:lang w:val="it-IT"/>
        </w:rPr>
        <w:t xml:space="preserve">esse </w:t>
      </w:r>
      <w:r w:rsidRPr="00451078">
        <w:rPr>
          <w:rFonts w:ascii="Tahoma" w:eastAsia="Calibri" w:hAnsi="Tahoma" w:cs="Tahoma"/>
          <w:sz w:val="18"/>
          <w:szCs w:val="18"/>
          <w:lang w:val="it-IT"/>
        </w:rPr>
        <w:lastRenderedPageBreak/>
        <w:t>perpetue; diversamente, le licenze acquistate ai sensi della presente concessione cesseranno alla scadenza delle Licenze Qualificanti sottostanti.</w:t>
      </w:r>
    </w:p>
    <w:p w:rsidR="00816F76" w:rsidRPr="00451078" w:rsidRDefault="00816F76" w:rsidP="00745AB3">
      <w:pPr>
        <w:numPr>
          <w:ilvl w:val="0"/>
          <w:numId w:val="55"/>
        </w:numPr>
        <w:tabs>
          <w:tab w:val="clear" w:pos="360"/>
          <w:tab w:val="num" w:pos="1440"/>
        </w:tabs>
        <w:spacing w:after="60"/>
        <w:ind w:left="1440"/>
        <w:rPr>
          <w:lang w:val="it-IT"/>
        </w:rPr>
      </w:pPr>
      <w:r w:rsidRPr="00451078">
        <w:rPr>
          <w:lang w:val="it-IT"/>
        </w:rPr>
        <w:t xml:space="preserve">Le licenze per </w:t>
      </w:r>
      <w:r w:rsidRPr="00451078">
        <w:rPr>
          <w:color w:val="000000"/>
          <w:lang w:val="it-IT"/>
        </w:rPr>
        <w:t xml:space="preserve">Windows Web Server 2008 R2 </w:t>
      </w:r>
      <w:r w:rsidRPr="00451078">
        <w:rPr>
          <w:rFonts w:cs="Tahoma"/>
          <w:bCs/>
          <w:color w:val="000000"/>
          <w:szCs w:val="18"/>
          <w:lang w:val="it-IT"/>
        </w:rPr>
        <w:t>acquistate successivamente nello stesso periodo di validità dell</w:t>
      </w:r>
      <w:r w:rsidR="0073727D">
        <w:rPr>
          <w:rFonts w:cs="Tahoma"/>
          <w:bCs/>
          <w:color w:val="000000"/>
          <w:szCs w:val="18"/>
          <w:lang w:val="it-IT"/>
        </w:rPr>
        <w:t>’</w:t>
      </w:r>
      <w:r w:rsidRPr="00451078">
        <w:rPr>
          <w:rFonts w:cs="Tahoma"/>
          <w:bCs/>
          <w:color w:val="000000"/>
          <w:szCs w:val="18"/>
          <w:lang w:val="it-IT"/>
        </w:rPr>
        <w:t>iscrizione nell</w:t>
      </w:r>
      <w:r w:rsidR="0073727D">
        <w:rPr>
          <w:rFonts w:cs="Tahoma"/>
          <w:bCs/>
          <w:color w:val="000000"/>
          <w:szCs w:val="18"/>
          <w:lang w:val="it-IT"/>
        </w:rPr>
        <w:t>’</w:t>
      </w:r>
      <w:r w:rsidRPr="00451078">
        <w:rPr>
          <w:rFonts w:cs="Tahoma"/>
          <w:bCs/>
          <w:color w:val="000000"/>
          <w:szCs w:val="18"/>
          <w:lang w:val="it-IT"/>
        </w:rPr>
        <w:t>ambito di una procedura pianificata di true-up di una società Enterprise, Enterprise Subscription, Open Value Subscription o EES sono anch</w:t>
      </w:r>
      <w:r w:rsidR="0073727D">
        <w:rPr>
          <w:rFonts w:cs="Tahoma"/>
          <w:bCs/>
          <w:color w:val="000000"/>
          <w:szCs w:val="18"/>
          <w:lang w:val="it-IT"/>
        </w:rPr>
        <w:t>’</w:t>
      </w:r>
      <w:r w:rsidRPr="00451078">
        <w:rPr>
          <w:rFonts w:cs="Tahoma"/>
          <w:bCs/>
          <w:color w:val="000000"/>
          <w:szCs w:val="18"/>
          <w:lang w:val="it-IT"/>
        </w:rPr>
        <w:t xml:space="preserve">esse Licenze Qualificanti per gli scopi previsti dalla suddetta concessione. </w:t>
      </w:r>
    </w:p>
    <w:p w:rsidR="00816F76" w:rsidRPr="00451078" w:rsidRDefault="00816F76" w:rsidP="00745AB3">
      <w:pPr>
        <w:numPr>
          <w:ilvl w:val="0"/>
          <w:numId w:val="55"/>
        </w:numPr>
        <w:tabs>
          <w:tab w:val="clear" w:pos="360"/>
          <w:tab w:val="num" w:pos="1440"/>
        </w:tabs>
        <w:spacing w:after="60"/>
        <w:ind w:left="1440"/>
        <w:rPr>
          <w:lang w:val="it-IT"/>
        </w:rPr>
      </w:pPr>
      <w:r w:rsidRPr="00451078">
        <w:rPr>
          <w:rFonts w:cs="Tahoma"/>
          <w:bCs/>
          <w:color w:val="000000"/>
          <w:szCs w:val="18"/>
          <w:lang w:val="it-IT"/>
        </w:rPr>
        <w:t>Nonostante la concessione di licenze per Windows Server 2012 Standard e di aggiornamenti per tale versione, le obbligazioni di pagamento degli importi scaduti e dovuti per le Licenze Qualificanti e la copertura rimangono pienamente vincolanti ed efficaci.</w:t>
      </w:r>
    </w:p>
    <w:p w:rsidR="00CE7FAD" w:rsidRPr="00451078" w:rsidRDefault="00816F76" w:rsidP="00CE7FAD">
      <w:pPr>
        <w:spacing w:after="60"/>
        <w:ind w:left="720"/>
        <w:rPr>
          <w:lang w:val="it-IT"/>
        </w:rPr>
      </w:pPr>
      <w:r w:rsidRPr="00451078">
        <w:rPr>
          <w:rFonts w:eastAsia="Calibri" w:cs="Tahoma"/>
          <w:b/>
          <w:szCs w:val="18"/>
          <w:lang w:val="it-IT"/>
        </w:rPr>
        <w:t>Informazioni aggiuntive sull</w:t>
      </w:r>
      <w:r w:rsidR="0073727D">
        <w:rPr>
          <w:rFonts w:eastAsia="Calibri" w:cs="Tahoma"/>
          <w:b/>
          <w:szCs w:val="18"/>
          <w:lang w:val="it-IT"/>
        </w:rPr>
        <w:t>’</w:t>
      </w:r>
      <w:r w:rsidRPr="00451078">
        <w:rPr>
          <w:rFonts w:eastAsia="Calibri" w:cs="Tahoma"/>
          <w:b/>
          <w:szCs w:val="18"/>
          <w:lang w:val="it-IT"/>
        </w:rPr>
        <w:t>utilizzo di Windows Server 2012 come Server Web</w:t>
      </w:r>
    </w:p>
    <w:p w:rsidR="00816F76" w:rsidRPr="00451078" w:rsidRDefault="00816F76" w:rsidP="00CE7FAD">
      <w:pPr>
        <w:ind w:left="720"/>
        <w:rPr>
          <w:lang w:val="it-IT"/>
        </w:rPr>
      </w:pPr>
      <w:r w:rsidRPr="00451078">
        <w:rPr>
          <w:rFonts w:eastAsia="Calibri" w:cs="Tahoma"/>
          <w:szCs w:val="18"/>
          <w:lang w:val="it-IT"/>
        </w:rPr>
        <w:t xml:space="preserve">Quando Windows Server 2012 Standard o Datacenter viene utilizzato come Server Web, non servono licenze CAL per accedere al software. Un </w:t>
      </w:r>
      <w:r w:rsidR="001A3EC5" w:rsidRPr="00451078">
        <w:rPr>
          <w:lang w:val="it-IT"/>
        </w:rPr>
        <w:t>“</w:t>
      </w:r>
      <w:r w:rsidRPr="00451078">
        <w:rPr>
          <w:lang w:val="it-IT"/>
        </w:rPr>
        <w:t>Carico di Lavoro Web</w:t>
      </w:r>
      <w:r w:rsidR="001A3EC5" w:rsidRPr="00451078">
        <w:rPr>
          <w:lang w:val="it-IT"/>
        </w:rPr>
        <w:t>”</w:t>
      </w:r>
      <w:r w:rsidRPr="00451078">
        <w:rPr>
          <w:lang w:val="it-IT"/>
        </w:rPr>
        <w:t xml:space="preserve"> indica un carico di lavoro nel quale</w:t>
      </w:r>
      <w:r w:rsidRPr="00451078">
        <w:rPr>
          <w:bCs/>
          <w:lang w:val="it-IT"/>
        </w:rPr>
        <w:t xml:space="preserve"> </w:t>
      </w:r>
      <w:r w:rsidRPr="00451078">
        <w:rPr>
          <w:lang w:val="it-IT"/>
        </w:rPr>
        <w:t>il software viene utilizzato come server Web front-end per lo sviluppo e la distribuzione di pagine Web accessibili su</w:t>
      </w:r>
      <w:r w:rsidR="00F26041" w:rsidRPr="00451078">
        <w:rPr>
          <w:lang w:val="it-IT"/>
        </w:rPr>
        <w:t> </w:t>
      </w:r>
      <w:r w:rsidRPr="00451078">
        <w:rPr>
          <w:lang w:val="it-IT"/>
        </w:rPr>
        <w:t>Internet, siti Web, applicazioni Web e servizi Web e nel quale il servizio di posta POP3 e l</w:t>
      </w:r>
      <w:r w:rsidR="0073727D">
        <w:rPr>
          <w:lang w:val="it-IT"/>
        </w:rPr>
        <w:t>’</w:t>
      </w:r>
      <w:r w:rsidRPr="00451078">
        <w:rPr>
          <w:lang w:val="it-IT"/>
        </w:rPr>
        <w:t>accesso a</w:t>
      </w:r>
      <w:r w:rsidR="00F26041" w:rsidRPr="00451078">
        <w:rPr>
          <w:lang w:val="it-IT"/>
        </w:rPr>
        <w:t> </w:t>
      </w:r>
      <w:r w:rsidRPr="00451078">
        <w:rPr>
          <w:lang w:val="it-IT"/>
        </w:rPr>
        <w:t>contenuti, informazioni e applicazioni servite dal software non</w:t>
      </w:r>
      <w:r w:rsidRPr="00451078">
        <w:rPr>
          <w:u w:val="single"/>
          <w:lang w:val="it-IT"/>
        </w:rPr>
        <w:t xml:space="preserve"> </w:t>
      </w:r>
      <w:r w:rsidRPr="00451078">
        <w:rPr>
          <w:lang w:val="it-IT"/>
        </w:rPr>
        <w:t>sono limitati ai dipendenti.</w:t>
      </w:r>
      <w:r w:rsidR="00082E1C" w:rsidRPr="00451078">
        <w:rPr>
          <w:lang w:val="it-IT"/>
        </w:rPr>
        <w:t xml:space="preserve"> </w:t>
      </w:r>
      <w:r w:rsidRPr="00451078">
        <w:rPr>
          <w:rFonts w:eastAsia="Calibri" w:cs="Tahoma"/>
          <w:szCs w:val="18"/>
          <w:lang w:val="it-IT"/>
        </w:rPr>
        <w:t>Ulteriori dettagli sono disponibili nei Diritti di Utilizzo del Prodotto.</w:t>
      </w:r>
      <w:r w:rsidR="00082E1C" w:rsidRPr="00451078">
        <w:rPr>
          <w:rFonts w:eastAsia="Calibri" w:cs="Tahoma"/>
          <w:szCs w:val="18"/>
          <w:lang w:val="it-IT"/>
        </w:rPr>
        <w:t xml:space="preserve"> </w:t>
      </w:r>
    </w:p>
    <w:p w:rsidR="00816F76" w:rsidRPr="00451078" w:rsidRDefault="00816F76" w:rsidP="00CE7FAD">
      <w:pPr>
        <w:rPr>
          <w:lang w:val="it-IT"/>
        </w:rPr>
      </w:pPr>
    </w:p>
    <w:p w:rsidR="002512D3" w:rsidRPr="00451078" w:rsidRDefault="002512D3">
      <w:pPr>
        <w:rPr>
          <w:lang w:val="it-IT"/>
        </w:rPr>
      </w:pPr>
      <w:bookmarkStart w:id="1566" w:name="_Toc336338376"/>
    </w:p>
    <w:p w:rsidR="00532ABF" w:rsidRPr="003410C7" w:rsidRDefault="00BA29A7" w:rsidP="00EF2279">
      <w:pPr>
        <w:pStyle w:val="Heading2"/>
        <w:ind w:hanging="720"/>
      </w:pPr>
      <w:bookmarkStart w:id="1567" w:name="_109_Windows_Small"/>
      <w:bookmarkStart w:id="1568" w:name="_Toc352234962"/>
      <w:bookmarkEnd w:id="1567"/>
      <w:r w:rsidRPr="003410C7">
        <w:rPr>
          <w:rFonts w:ascii="Tahoma" w:hAnsi="Tahoma" w:cs="Tahoma"/>
          <w:caps/>
          <w:color w:val="F8701C"/>
          <w:sz w:val="22"/>
          <w:szCs w:val="22"/>
          <w:vertAlign w:val="superscript"/>
        </w:rPr>
        <w:t>109</w:t>
      </w:r>
      <w:r w:rsidRPr="003410C7">
        <w:rPr>
          <w:rFonts w:ascii="Tahoma" w:hAnsi="Tahoma" w:cs="Tahoma"/>
          <w:color w:val="F8701C"/>
          <w:sz w:val="22"/>
          <w:szCs w:val="22"/>
        </w:rPr>
        <w:t xml:space="preserve"> Windows Small Business Server (SBS) 2008 Premium</w:t>
      </w:r>
      <w:bookmarkEnd w:id="1566"/>
      <w:bookmarkEnd w:id="1568"/>
    </w:p>
    <w:bookmarkEnd w:id="1563"/>
    <w:bookmarkEnd w:id="1564"/>
    <w:bookmarkEnd w:id="1565"/>
    <w:p w:rsidR="00515A83" w:rsidRPr="003410C7" w:rsidRDefault="00515A83" w:rsidP="00EF2279">
      <w:pPr>
        <w:ind w:left="900"/>
      </w:pPr>
    </w:p>
    <w:p w:rsidR="00532ABF" w:rsidRPr="00451078" w:rsidRDefault="00532ABF" w:rsidP="00376D4B">
      <w:pPr>
        <w:ind w:left="720"/>
        <w:rPr>
          <w:lang w:val="it-IT"/>
        </w:rPr>
      </w:pPr>
      <w:r w:rsidRPr="00451078">
        <w:rPr>
          <w:lang w:val="it-IT"/>
        </w:rPr>
        <w:t>Le società con copertura Software Assurance attiva per licenze di SBS 2008 Premium in data 1 gennaio 2011, sono idonee a effettuare l</w:t>
      </w:r>
      <w:r w:rsidR="0073727D">
        <w:rPr>
          <w:lang w:val="it-IT"/>
        </w:rPr>
        <w:t>’</w:t>
      </w:r>
      <w:r w:rsidRPr="00451078">
        <w:rPr>
          <w:lang w:val="it-IT"/>
        </w:rPr>
        <w:t xml:space="preserve">aggiornamento a e utilizzare i software SBS 2011 Standard e Premium </w:t>
      </w:r>
      <w:r w:rsidR="00F26041" w:rsidRPr="00451078">
        <w:rPr>
          <w:lang w:val="it-IT"/>
        </w:rPr>
        <w:br/>
      </w:r>
      <w:r w:rsidRPr="00451078">
        <w:rPr>
          <w:lang w:val="it-IT"/>
        </w:rPr>
        <w:t>Add-on per Windows SBS 2011 (o per una qualsiasi versione successiva resa disponibile durante il periodo di</w:t>
      </w:r>
      <w:r w:rsidR="00F26041" w:rsidRPr="00451078">
        <w:rPr>
          <w:lang w:val="it-IT"/>
        </w:rPr>
        <w:t> </w:t>
      </w:r>
      <w:r w:rsidRPr="00451078">
        <w:rPr>
          <w:lang w:val="it-IT"/>
        </w:rPr>
        <w:t>validità della copertura Software Assurance) al posto del software SBS2008 Premium. Per ogni licenza qualificata posseduta al 1 gennaio 2011, le società saranno considerate titolari di una licenza SBS 2011 Standard e di una licenza per Add-on Premium per SBS 2011 con copertura Software Assurance attiva.</w:t>
      </w:r>
      <w:r w:rsidR="00082E1C" w:rsidRPr="00451078">
        <w:rPr>
          <w:lang w:val="it-IT"/>
        </w:rPr>
        <w:t xml:space="preserve"> </w:t>
      </w:r>
    </w:p>
    <w:p w:rsidR="00532ABF" w:rsidRPr="00451078" w:rsidRDefault="00532ABF" w:rsidP="00376D4B">
      <w:pPr>
        <w:ind w:left="720"/>
        <w:rPr>
          <w:lang w:val="it-IT"/>
        </w:rPr>
      </w:pPr>
    </w:p>
    <w:p w:rsidR="00532ABF" w:rsidRPr="00451078" w:rsidRDefault="00532ABF" w:rsidP="00376D4B">
      <w:pPr>
        <w:ind w:left="720"/>
        <w:rPr>
          <w:lang w:val="it-IT"/>
        </w:rPr>
      </w:pPr>
      <w:r w:rsidRPr="00451078">
        <w:rPr>
          <w:lang w:val="it-IT"/>
        </w:rPr>
        <w:t xml:space="preserve">Le società con copertura Software Assurance attiva per le CAL Suite per SBS 2008 per Utenti e Dispositivi Premium in data 1 gennaio 2011 sono idonee ad accedere a SBS 2011 Standard e Premium Add-on per Windows SBS 2011 (o per una qualsiasi versione successiva resa disponibile durante il periodo di validità della copertura Software Assurance). Per ogni licenza qualificante CAL Suite per SBS 2008 per Utenti e Dispositivi Premium posseduta al 1 gennaio 2011, le società saranno considerate titolari di una licenza CAL Suite per SBS 2011 e di una licenza per Premium Add-on CAL Suite per SBS 2011 con copertura Software Assurance attiva. </w:t>
      </w:r>
    </w:p>
    <w:p w:rsidR="00532ABF" w:rsidRPr="00451078" w:rsidRDefault="00532ABF" w:rsidP="00376D4B">
      <w:pPr>
        <w:ind w:left="720"/>
        <w:rPr>
          <w:lang w:val="it-IT"/>
        </w:rPr>
      </w:pPr>
      <w:r w:rsidRPr="00451078">
        <w:rPr>
          <w:lang w:val="it-IT"/>
        </w:rPr>
        <w:t>Il diritto di utilizzo del software ai sensi della presente offerta scadrà alla scadenza del diritto di utilizzo del software ai sensi della Licenza Qualificante. L</w:t>
      </w:r>
      <w:r w:rsidR="0073727D">
        <w:rPr>
          <w:lang w:val="it-IT"/>
        </w:rPr>
        <w:t>’</w:t>
      </w:r>
      <w:r w:rsidRPr="00451078">
        <w:rPr>
          <w:lang w:val="it-IT"/>
        </w:rPr>
        <w:t>utilizzo del software da parte della società è soggetto alle condizioni del contratto multilicenza (Volume License) e ai diritti di utilizzo del prodotto per il software SBS 2011 Standard e Premium Add-on per SBS 2011 e alle presenti condizioni. La presente nota, relativa alle condizioni del prodotto, unitamente alla prova delle licenze qualificanti attestano i diritti concessi ai sensi della presente offerta. Allo scadere della copertura della licenza qualificante, la società avrà diritto di</w:t>
      </w:r>
      <w:r w:rsidR="00F26041" w:rsidRPr="00451078">
        <w:rPr>
          <w:lang w:val="it-IT"/>
        </w:rPr>
        <w:t> </w:t>
      </w:r>
      <w:r w:rsidRPr="00451078">
        <w:rPr>
          <w:lang w:val="it-IT"/>
        </w:rPr>
        <w:t>rinnovare Software Assurance per le licenze degli Add-on SBS Premium e per le Suite CAL.</w:t>
      </w:r>
    </w:p>
    <w:p w:rsidR="00296B89" w:rsidRPr="00451078" w:rsidRDefault="00296B89" w:rsidP="00EF2279">
      <w:pPr>
        <w:ind w:left="900"/>
        <w:rPr>
          <w:lang w:val="it-IT"/>
        </w:rPr>
      </w:pPr>
    </w:p>
    <w:p w:rsidR="00586FCE" w:rsidRPr="00451078" w:rsidRDefault="00586FCE" w:rsidP="00EF2279">
      <w:pPr>
        <w:ind w:left="900"/>
        <w:rPr>
          <w:lang w:val="it-IT"/>
        </w:rPr>
      </w:pPr>
    </w:p>
    <w:p w:rsidR="00296B89" w:rsidRPr="003410C7" w:rsidRDefault="00BA29A7" w:rsidP="00EF2279">
      <w:pPr>
        <w:pStyle w:val="Heading3"/>
      </w:pPr>
      <w:bookmarkStart w:id="1569" w:name="_119_Windows_Small"/>
      <w:bookmarkStart w:id="1570" w:name="_Toc336338377"/>
      <w:bookmarkStart w:id="1571" w:name="_Toc352234963"/>
      <w:bookmarkStart w:id="1572" w:name="Srv_117WinSmallBizSVR2011Addon"/>
      <w:bookmarkStart w:id="1573" w:name="Srv_121WinSmallBizSVR2011Addon"/>
      <w:bookmarkEnd w:id="1569"/>
      <w:r w:rsidRPr="003410C7">
        <w:rPr>
          <w:rFonts w:ascii="Tahoma" w:hAnsi="Tahoma" w:cs="Tahoma"/>
          <w:caps/>
          <w:color w:val="FF6D09"/>
          <w:sz w:val="22"/>
          <w:vertAlign w:val="superscript"/>
        </w:rPr>
        <w:t>110</w:t>
      </w:r>
      <w:r w:rsidRPr="003410C7">
        <w:rPr>
          <w:rFonts w:ascii="Tahoma" w:hAnsi="Tahoma" w:cs="Tahoma"/>
          <w:color w:val="FF6D09"/>
          <w:sz w:val="22"/>
        </w:rPr>
        <w:t xml:space="preserve"> Windows Small Business Server (SBS) 2011 Standard</w:t>
      </w:r>
      <w:bookmarkEnd w:id="1570"/>
      <w:bookmarkEnd w:id="1571"/>
    </w:p>
    <w:bookmarkEnd w:id="1572"/>
    <w:bookmarkEnd w:id="1573"/>
    <w:p w:rsidR="00296B89" w:rsidRPr="003410C7" w:rsidRDefault="00296B89" w:rsidP="00CE7FAD">
      <w:pPr>
        <w:ind w:left="900"/>
      </w:pPr>
    </w:p>
    <w:p w:rsidR="00CE7FAD" w:rsidRPr="00451078" w:rsidRDefault="00836655" w:rsidP="00CE7FAD">
      <w:pPr>
        <w:spacing w:after="60"/>
        <w:ind w:left="720"/>
        <w:rPr>
          <w:lang w:val="it-IT"/>
        </w:rPr>
      </w:pPr>
      <w:r w:rsidRPr="00451078">
        <w:rPr>
          <w:b/>
          <w:color w:val="000000"/>
          <w:lang w:val="it-IT"/>
        </w:rPr>
        <w:t>Concessioni di licenza associate alla fine del ciclo di vita di SBS 2011 Standard</w:t>
      </w:r>
    </w:p>
    <w:p w:rsidR="00CE7FAD" w:rsidRPr="00451078" w:rsidRDefault="00836655" w:rsidP="00CE7FAD">
      <w:pPr>
        <w:ind w:left="720"/>
        <w:rPr>
          <w:lang w:val="it-IT"/>
        </w:rPr>
      </w:pPr>
      <w:r w:rsidRPr="00451078">
        <w:rPr>
          <w:color w:val="000000"/>
          <w:lang w:val="it-IT"/>
        </w:rPr>
        <w:t>SBS 2011 Standard sarà l</w:t>
      </w:r>
      <w:r w:rsidR="0073727D">
        <w:rPr>
          <w:color w:val="000000"/>
          <w:lang w:val="it-IT"/>
        </w:rPr>
        <w:t>’</w:t>
      </w:r>
      <w:r w:rsidRPr="00451078">
        <w:rPr>
          <w:color w:val="000000"/>
          <w:lang w:val="it-IT"/>
        </w:rPr>
        <w:t>ultima versione di SBS Standard. Alle società titolari di contratti multilicenza con</w:t>
      </w:r>
      <w:r w:rsidR="00F26041" w:rsidRPr="00451078">
        <w:rPr>
          <w:color w:val="000000"/>
          <w:lang w:val="it-IT"/>
        </w:rPr>
        <w:t> </w:t>
      </w:r>
      <w:r w:rsidRPr="00451078">
        <w:rPr>
          <w:color w:val="000000"/>
          <w:lang w:val="it-IT"/>
        </w:rPr>
        <w:t>copertura Software Assurance attiva per le licenze Standard per SBS 2011 (</w:t>
      </w:r>
      <w:r w:rsidR="001A3EC5" w:rsidRPr="00451078">
        <w:rPr>
          <w:color w:val="000000"/>
          <w:lang w:val="it-IT"/>
        </w:rPr>
        <w:t>“</w:t>
      </w:r>
      <w:r w:rsidRPr="00451078">
        <w:rPr>
          <w:color w:val="000000"/>
          <w:lang w:val="it-IT"/>
        </w:rPr>
        <w:t>Licenze Qualificanti</w:t>
      </w:r>
      <w:r w:rsidR="001A3EC5" w:rsidRPr="00451078">
        <w:rPr>
          <w:color w:val="000000"/>
          <w:lang w:val="it-IT"/>
        </w:rPr>
        <w:t>”</w:t>
      </w:r>
      <w:r w:rsidRPr="00451078">
        <w:rPr>
          <w:color w:val="000000"/>
          <w:lang w:val="it-IT"/>
        </w:rPr>
        <w:t>) sarà consentito effettuare l</w:t>
      </w:r>
      <w:r w:rsidR="0073727D">
        <w:rPr>
          <w:color w:val="000000"/>
          <w:lang w:val="it-IT"/>
        </w:rPr>
        <w:t>’</w:t>
      </w:r>
      <w:r w:rsidRPr="00451078">
        <w:rPr>
          <w:color w:val="000000"/>
          <w:lang w:val="it-IT"/>
        </w:rPr>
        <w:t xml:space="preserve">aggiornamento ai prodotti software Windows Server Standard ed Exchange Server Standard e a </w:t>
      </w:r>
      <w:r w:rsidRPr="00451078">
        <w:rPr>
          <w:rFonts w:eastAsia="Calibri" w:cs="Tahoma"/>
          <w:szCs w:val="18"/>
          <w:lang w:val="it-IT"/>
        </w:rPr>
        <w:t xml:space="preserve">utilizzarli al posto di SBS 2011. Per agevolare tale utilizzo, per ogni Licenza Qualificante in suo possesso, alla società verrà concessa una licenza per Windows Server Standard e una licenza per Exchange Server 2010 Standard, come illustrato nella tabella che segue. </w:t>
      </w:r>
    </w:p>
    <w:p w:rsidR="00CE7FAD" w:rsidRPr="00451078" w:rsidRDefault="00CE7FAD" w:rsidP="00CE7FAD">
      <w:pPr>
        <w:ind w:left="720"/>
        <w:rPr>
          <w:lang w:val="it-IT"/>
        </w:rPr>
      </w:pPr>
    </w:p>
    <w:tbl>
      <w:tblPr>
        <w:tblW w:w="0" w:type="auto"/>
        <w:tblInd w:w="82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3960"/>
        <w:gridCol w:w="4788"/>
      </w:tblGrid>
      <w:tr w:rsidR="009E5BF9" w:rsidRPr="003410C7" w:rsidTr="006E5A58">
        <w:tc>
          <w:tcPr>
            <w:tcW w:w="3960" w:type="dxa"/>
            <w:tcBorders>
              <w:top w:val="single" w:sz="4" w:space="0" w:color="auto"/>
              <w:left w:val="single" w:sz="4" w:space="0" w:color="auto"/>
              <w:bottom w:val="single" w:sz="4" w:space="0" w:color="auto"/>
              <w:right w:val="single" w:sz="4" w:space="0" w:color="auto"/>
            </w:tcBorders>
            <w:shd w:val="clear" w:color="auto" w:fill="F4B083" w:themeFill="accent2" w:themeFillTint="99"/>
            <w:hideMark/>
          </w:tcPr>
          <w:p w:rsidR="00836655" w:rsidRPr="003410C7" w:rsidRDefault="00836655" w:rsidP="000A5032">
            <w:pPr>
              <w:spacing w:after="200" w:line="276" w:lineRule="auto"/>
              <w:rPr>
                <w:rFonts w:eastAsia="Calibri" w:cs="Tahoma"/>
                <w:szCs w:val="18"/>
              </w:rPr>
            </w:pPr>
            <w:r w:rsidRPr="003410C7">
              <w:rPr>
                <w:b/>
                <w:color w:val="000000"/>
              </w:rPr>
              <w:t>Licenze Qualificanti</w:t>
            </w:r>
          </w:p>
        </w:tc>
        <w:tc>
          <w:tcPr>
            <w:tcW w:w="4788" w:type="dxa"/>
            <w:tcBorders>
              <w:top w:val="single" w:sz="4" w:space="0" w:color="auto"/>
              <w:left w:val="single" w:sz="4" w:space="0" w:color="auto"/>
              <w:bottom w:val="single" w:sz="4" w:space="0" w:color="auto"/>
              <w:right w:val="single" w:sz="4" w:space="0" w:color="auto"/>
            </w:tcBorders>
            <w:shd w:val="clear" w:color="auto" w:fill="F4B083" w:themeFill="accent2" w:themeFillTint="99"/>
            <w:hideMark/>
          </w:tcPr>
          <w:p w:rsidR="00836655" w:rsidRPr="003410C7" w:rsidRDefault="00836655" w:rsidP="000A5032">
            <w:pPr>
              <w:spacing w:after="200" w:line="276" w:lineRule="auto"/>
              <w:rPr>
                <w:rFonts w:eastAsia="Calibri" w:cs="Tahoma"/>
                <w:szCs w:val="18"/>
              </w:rPr>
            </w:pPr>
            <w:r w:rsidRPr="003410C7">
              <w:rPr>
                <w:b/>
                <w:color w:val="000000"/>
              </w:rPr>
              <w:t>Concessione di Licenza</w:t>
            </w:r>
          </w:p>
        </w:tc>
      </w:tr>
      <w:tr w:rsidR="009E5BF9" w:rsidRPr="005E4903" w:rsidTr="00E35CB6">
        <w:tc>
          <w:tcPr>
            <w:tcW w:w="3960" w:type="dxa"/>
            <w:tcBorders>
              <w:top w:val="single" w:sz="4" w:space="0" w:color="auto"/>
              <w:left w:val="single" w:sz="4" w:space="0" w:color="auto"/>
              <w:bottom w:val="single" w:sz="4" w:space="0" w:color="auto"/>
              <w:right w:val="single" w:sz="4" w:space="0" w:color="auto"/>
            </w:tcBorders>
            <w:shd w:val="clear" w:color="auto" w:fill="auto"/>
            <w:hideMark/>
          </w:tcPr>
          <w:p w:rsidR="00836655" w:rsidRPr="00451078" w:rsidRDefault="00836655" w:rsidP="000D5F24">
            <w:pPr>
              <w:spacing w:line="276" w:lineRule="auto"/>
              <w:rPr>
                <w:rFonts w:eastAsia="Calibri" w:cs="Tahoma"/>
                <w:szCs w:val="18"/>
                <w:lang w:val="it-IT"/>
              </w:rPr>
            </w:pPr>
            <w:r w:rsidRPr="00451078">
              <w:rPr>
                <w:rFonts w:eastAsia="Calibri" w:cs="Tahoma"/>
                <w:szCs w:val="18"/>
                <w:lang w:val="it-IT"/>
              </w:rPr>
              <w:t>SBS 2011 Standard con copertura Software Assurance fino al 31 luglio 2012</w:t>
            </w:r>
          </w:p>
        </w:tc>
        <w:tc>
          <w:tcPr>
            <w:tcW w:w="4788" w:type="dxa"/>
            <w:tcBorders>
              <w:top w:val="single" w:sz="4" w:space="0" w:color="auto"/>
              <w:left w:val="single" w:sz="4" w:space="0" w:color="auto"/>
              <w:bottom w:val="single" w:sz="4" w:space="0" w:color="auto"/>
              <w:right w:val="single" w:sz="4" w:space="0" w:color="auto"/>
            </w:tcBorders>
            <w:shd w:val="clear" w:color="auto" w:fill="auto"/>
            <w:hideMark/>
          </w:tcPr>
          <w:p w:rsidR="00836655" w:rsidRPr="00451078" w:rsidRDefault="009E5BF9" w:rsidP="000D5F24">
            <w:pPr>
              <w:spacing w:line="276" w:lineRule="auto"/>
              <w:rPr>
                <w:szCs w:val="18"/>
                <w:lang w:val="it-IT"/>
              </w:rPr>
            </w:pPr>
            <w:r w:rsidRPr="00451078">
              <w:rPr>
                <w:rFonts w:eastAsia="Calibri" w:cs="Tahoma"/>
                <w:szCs w:val="18"/>
                <w:lang w:val="it-IT"/>
              </w:rPr>
              <w:t>Due licenze per Windows Server 2008 R2 con Software Assurance</w:t>
            </w:r>
          </w:p>
          <w:p w:rsidR="00836655" w:rsidRPr="00451078" w:rsidRDefault="009E5BF9" w:rsidP="000D5F24">
            <w:pPr>
              <w:spacing w:line="276" w:lineRule="auto"/>
              <w:rPr>
                <w:rFonts w:eastAsia="Calibri" w:cs="Tahoma"/>
                <w:szCs w:val="18"/>
                <w:lang w:val="it-IT"/>
              </w:rPr>
            </w:pPr>
            <w:r w:rsidRPr="00451078">
              <w:rPr>
                <w:rFonts w:eastAsia="Calibri" w:cs="Tahoma"/>
                <w:szCs w:val="18"/>
                <w:lang w:val="it-IT"/>
              </w:rPr>
              <w:lastRenderedPageBreak/>
              <w:t>Una licenza per Exchange Server 2010 Standard con Software Assurance</w:t>
            </w:r>
          </w:p>
        </w:tc>
      </w:tr>
      <w:tr w:rsidR="009E5BF9" w:rsidRPr="005E4903" w:rsidTr="00E35CB6">
        <w:tc>
          <w:tcPr>
            <w:tcW w:w="3960" w:type="dxa"/>
            <w:tcBorders>
              <w:top w:val="single" w:sz="4" w:space="0" w:color="auto"/>
              <w:left w:val="single" w:sz="4" w:space="0" w:color="auto"/>
              <w:bottom w:val="single" w:sz="4" w:space="0" w:color="auto"/>
              <w:right w:val="single" w:sz="4" w:space="0" w:color="auto"/>
            </w:tcBorders>
            <w:shd w:val="clear" w:color="auto" w:fill="auto"/>
            <w:hideMark/>
          </w:tcPr>
          <w:p w:rsidR="00836655" w:rsidRPr="00451078" w:rsidRDefault="00836655" w:rsidP="000D5F24">
            <w:pPr>
              <w:spacing w:line="276" w:lineRule="auto"/>
              <w:rPr>
                <w:rFonts w:eastAsia="Calibri" w:cs="Tahoma"/>
                <w:szCs w:val="18"/>
                <w:lang w:val="it-IT"/>
              </w:rPr>
            </w:pPr>
            <w:r w:rsidRPr="00451078">
              <w:rPr>
                <w:rFonts w:eastAsia="Calibri" w:cs="Tahoma"/>
                <w:szCs w:val="18"/>
                <w:lang w:val="it-IT"/>
              </w:rPr>
              <w:lastRenderedPageBreak/>
              <w:t>SBS 2011 Standard con copertura Software Assurance in data 1 agosto 2012 o successiva</w:t>
            </w:r>
          </w:p>
        </w:tc>
        <w:tc>
          <w:tcPr>
            <w:tcW w:w="4788" w:type="dxa"/>
            <w:tcBorders>
              <w:top w:val="single" w:sz="4" w:space="0" w:color="auto"/>
              <w:left w:val="single" w:sz="4" w:space="0" w:color="auto"/>
              <w:bottom w:val="single" w:sz="4" w:space="0" w:color="auto"/>
              <w:right w:val="single" w:sz="4" w:space="0" w:color="auto"/>
            </w:tcBorders>
            <w:shd w:val="clear" w:color="auto" w:fill="auto"/>
            <w:hideMark/>
          </w:tcPr>
          <w:p w:rsidR="00836655" w:rsidRPr="00451078" w:rsidRDefault="009E5BF9" w:rsidP="000D5F24">
            <w:pPr>
              <w:spacing w:line="276" w:lineRule="auto"/>
              <w:rPr>
                <w:szCs w:val="18"/>
                <w:lang w:val="it-IT"/>
              </w:rPr>
            </w:pPr>
            <w:r w:rsidRPr="00451078">
              <w:rPr>
                <w:rFonts w:eastAsia="Calibri" w:cs="Tahoma"/>
                <w:szCs w:val="18"/>
                <w:lang w:val="it-IT"/>
              </w:rPr>
              <w:t>Due licenze per Windows Server 2012 con Software Assurance</w:t>
            </w:r>
          </w:p>
          <w:p w:rsidR="00836655" w:rsidRPr="00451078" w:rsidRDefault="009E5BF9" w:rsidP="00F26041">
            <w:pPr>
              <w:spacing w:line="276" w:lineRule="auto"/>
              <w:rPr>
                <w:rFonts w:eastAsia="Calibri" w:cs="Tahoma"/>
                <w:szCs w:val="18"/>
                <w:lang w:val="it-IT"/>
              </w:rPr>
            </w:pPr>
            <w:r w:rsidRPr="00451078">
              <w:rPr>
                <w:rFonts w:eastAsia="Calibri" w:cs="Tahoma"/>
                <w:szCs w:val="18"/>
                <w:lang w:val="it-IT"/>
              </w:rPr>
              <w:t>Una licenza per Exchange Server 2010 Standard con</w:t>
            </w:r>
            <w:r w:rsidR="00F26041" w:rsidRPr="00451078">
              <w:rPr>
                <w:rFonts w:eastAsia="Calibri" w:cs="Tahoma"/>
                <w:szCs w:val="18"/>
                <w:lang w:val="it-IT"/>
              </w:rPr>
              <w:t> </w:t>
            </w:r>
            <w:r w:rsidRPr="00451078">
              <w:rPr>
                <w:rFonts w:eastAsia="Calibri" w:cs="Tahoma"/>
                <w:szCs w:val="18"/>
                <w:lang w:val="it-IT"/>
              </w:rPr>
              <w:t>Software Assurance</w:t>
            </w:r>
          </w:p>
        </w:tc>
      </w:tr>
    </w:tbl>
    <w:p w:rsidR="00CE7FAD" w:rsidRPr="00451078" w:rsidRDefault="00CE7FAD" w:rsidP="00CE7FAD">
      <w:pPr>
        <w:spacing w:after="100" w:afterAutospacing="1" w:line="276" w:lineRule="auto"/>
        <w:ind w:left="720"/>
        <w:contextualSpacing/>
        <w:rPr>
          <w:lang w:val="it-IT"/>
        </w:rPr>
      </w:pPr>
    </w:p>
    <w:p w:rsidR="00836655" w:rsidRPr="00451078" w:rsidRDefault="00836655" w:rsidP="00CE7FAD">
      <w:pPr>
        <w:ind w:left="720"/>
        <w:rPr>
          <w:lang w:val="it-IT"/>
        </w:rPr>
      </w:pPr>
      <w:r w:rsidRPr="00451078">
        <w:rPr>
          <w:rFonts w:eastAsia="Calibri" w:cs="Tahoma"/>
          <w:szCs w:val="18"/>
          <w:lang w:val="it-IT"/>
        </w:rPr>
        <w:t>La copertura Software Assurance inclusa nella suddetta concessione scade alla scadenza della corrispondente copertura per le Licenze Qualificanti. In via eccezionale, le società con copertura Software Assurance attiva per le Licenze Qualificanti hanno la possibilità fino al 31 dicembre 2012 di rinnovare la copertura per le licenze per Windows Server ed Exchange Server ricevute in concessione ai sensi della presente offerta.</w:t>
      </w:r>
    </w:p>
    <w:p w:rsidR="00CE7FAD" w:rsidRPr="00451078" w:rsidRDefault="00CE7FAD" w:rsidP="00CE7FAD">
      <w:pPr>
        <w:pStyle w:val="ListParagraph"/>
        <w:contextualSpacing w:val="0"/>
        <w:rPr>
          <w:rFonts w:ascii="Tahoma" w:hAnsi="Tahoma" w:cs="Tahoma"/>
          <w:sz w:val="18"/>
          <w:szCs w:val="18"/>
          <w:lang w:val="it-IT"/>
        </w:rPr>
      </w:pPr>
    </w:p>
    <w:p w:rsidR="00836655" w:rsidRPr="00451078" w:rsidRDefault="00836655" w:rsidP="00CE7FAD">
      <w:pPr>
        <w:pStyle w:val="ListParagraph"/>
        <w:contextualSpacing w:val="0"/>
        <w:rPr>
          <w:rFonts w:ascii="Tahoma" w:hAnsi="Tahoma" w:cs="Tahoma"/>
          <w:sz w:val="18"/>
          <w:szCs w:val="18"/>
          <w:lang w:val="it-IT"/>
        </w:rPr>
      </w:pPr>
      <w:r w:rsidRPr="00451078">
        <w:rPr>
          <w:rFonts w:ascii="Tahoma" w:eastAsia="Calibri" w:hAnsi="Tahoma" w:cs="Tahoma"/>
          <w:sz w:val="18"/>
          <w:szCs w:val="18"/>
          <w:lang w:val="it-IT"/>
        </w:rPr>
        <w:t>Nel caso in cui le società abbiano acquistato diritti perpetui per utilizzare software ai sensi di Licenze Qualificanti, le licenze acquistate ai sensi della presente concessione saranno anch</w:t>
      </w:r>
      <w:r w:rsidR="0073727D">
        <w:rPr>
          <w:rFonts w:ascii="Tahoma" w:eastAsia="Calibri" w:hAnsi="Tahoma" w:cs="Tahoma"/>
          <w:sz w:val="18"/>
          <w:szCs w:val="18"/>
          <w:lang w:val="it-IT"/>
        </w:rPr>
        <w:t>’</w:t>
      </w:r>
      <w:r w:rsidRPr="00451078">
        <w:rPr>
          <w:rFonts w:ascii="Tahoma" w:eastAsia="Calibri" w:hAnsi="Tahoma" w:cs="Tahoma"/>
          <w:sz w:val="18"/>
          <w:szCs w:val="18"/>
          <w:lang w:val="it-IT"/>
        </w:rPr>
        <w:t>esse perpetue; diversamente, le licenze acquistate ai sensi della presente concessione cesseranno alla scadenza delle Licenze Qualificanti sottostanti.</w:t>
      </w:r>
    </w:p>
    <w:p w:rsidR="00CE7FAD" w:rsidRPr="00451078" w:rsidRDefault="00CE7FAD" w:rsidP="00CE7FAD">
      <w:pPr>
        <w:pStyle w:val="ListParagraph"/>
        <w:contextualSpacing w:val="0"/>
        <w:rPr>
          <w:rFonts w:ascii="Tahoma" w:hAnsi="Tahoma" w:cs="Tahoma"/>
          <w:sz w:val="18"/>
          <w:szCs w:val="18"/>
          <w:lang w:val="it-IT"/>
        </w:rPr>
      </w:pPr>
    </w:p>
    <w:p w:rsidR="00836655" w:rsidRPr="00451078" w:rsidRDefault="00836655" w:rsidP="00CE7FAD">
      <w:pPr>
        <w:pStyle w:val="ListParagraph"/>
        <w:contextualSpacing w:val="0"/>
        <w:rPr>
          <w:rFonts w:ascii="Tahoma" w:hAnsi="Tahoma" w:cs="Tahoma"/>
          <w:sz w:val="18"/>
          <w:szCs w:val="18"/>
          <w:lang w:val="it-IT"/>
        </w:rPr>
      </w:pPr>
      <w:r w:rsidRPr="00451078">
        <w:rPr>
          <w:rFonts w:ascii="Tahoma" w:eastAsia="Calibri" w:hAnsi="Tahoma" w:cs="Tahoma"/>
          <w:sz w:val="18"/>
          <w:szCs w:val="18"/>
          <w:lang w:val="it-IT"/>
        </w:rPr>
        <w:t>Per ogni Licenza Qualificante acquistata ai sensi del contratto Open Value Subscription, una società potrà eseguire il buy-out di una licenza per SBS 2011 Standard come indicato o di:</w:t>
      </w:r>
    </w:p>
    <w:p w:rsidR="00CE7FAD" w:rsidRPr="00451078" w:rsidRDefault="00CE7FAD" w:rsidP="00CE7FAD">
      <w:pPr>
        <w:pStyle w:val="ListParagraph"/>
        <w:contextualSpacing w:val="0"/>
        <w:rPr>
          <w:rFonts w:ascii="Tahoma" w:hAnsi="Tahoma" w:cs="Tahoma"/>
          <w:sz w:val="18"/>
          <w:szCs w:val="18"/>
          <w:lang w:val="it-IT"/>
        </w:rPr>
      </w:pPr>
    </w:p>
    <w:p w:rsidR="00836655" w:rsidRPr="00451078" w:rsidRDefault="009E5BF9" w:rsidP="00745AB3">
      <w:pPr>
        <w:pStyle w:val="ListParagraph"/>
        <w:numPr>
          <w:ilvl w:val="1"/>
          <w:numId w:val="99"/>
        </w:numPr>
        <w:tabs>
          <w:tab w:val="clear" w:pos="1440"/>
        </w:tabs>
        <w:contextualSpacing w:val="0"/>
        <w:rPr>
          <w:rFonts w:ascii="Tahoma" w:hAnsi="Tahoma" w:cs="Tahoma"/>
          <w:sz w:val="18"/>
          <w:szCs w:val="18"/>
          <w:lang w:val="it-IT"/>
        </w:rPr>
      </w:pPr>
      <w:r w:rsidRPr="00451078">
        <w:rPr>
          <w:rFonts w:ascii="Tahoma" w:eastAsia="Calibri" w:hAnsi="Tahoma" w:cs="Tahoma"/>
          <w:sz w:val="18"/>
          <w:szCs w:val="18"/>
          <w:lang w:val="it-IT"/>
        </w:rPr>
        <w:t>Due licenze per Windows Server 2012 Standard e una licenza per Exchange Server 2010 Standard per i contratti in scadenza in data 1 agosto 2012 o successiva oppure</w:t>
      </w:r>
    </w:p>
    <w:p w:rsidR="00836655" w:rsidRPr="00451078" w:rsidRDefault="009E5BF9" w:rsidP="00745AB3">
      <w:pPr>
        <w:pStyle w:val="ListParagraph"/>
        <w:numPr>
          <w:ilvl w:val="1"/>
          <w:numId w:val="99"/>
        </w:numPr>
        <w:tabs>
          <w:tab w:val="clear" w:pos="1440"/>
        </w:tabs>
        <w:contextualSpacing w:val="0"/>
        <w:rPr>
          <w:rFonts w:ascii="Tahoma" w:hAnsi="Tahoma" w:cs="Tahoma"/>
          <w:sz w:val="18"/>
          <w:szCs w:val="18"/>
          <w:lang w:val="it-IT"/>
        </w:rPr>
      </w:pPr>
      <w:r w:rsidRPr="00451078">
        <w:rPr>
          <w:rFonts w:ascii="Tahoma" w:eastAsia="Calibri" w:hAnsi="Tahoma" w:cs="Tahoma"/>
          <w:sz w:val="18"/>
          <w:szCs w:val="18"/>
          <w:lang w:val="it-IT"/>
        </w:rPr>
        <w:t>Due licenze per Windows Server 2008 R2 Standard e una licenza per Exchange Server 2010 Standard per i contratti in scadenza in data 1 luglio 2012.</w:t>
      </w:r>
    </w:p>
    <w:p w:rsidR="00836655" w:rsidRPr="00451078" w:rsidRDefault="00836655" w:rsidP="00CE7FAD">
      <w:pPr>
        <w:ind w:left="720"/>
        <w:rPr>
          <w:rFonts w:cs="Tahoma"/>
          <w:szCs w:val="18"/>
          <w:lang w:val="it-IT"/>
        </w:rPr>
      </w:pPr>
      <w:r w:rsidRPr="00451078">
        <w:rPr>
          <w:rFonts w:eastAsia="Calibri" w:cs="Tahoma"/>
          <w:szCs w:val="18"/>
          <w:lang w:val="it-IT"/>
        </w:rPr>
        <w:t>Eseguendo l</w:t>
      </w:r>
      <w:r w:rsidR="0073727D">
        <w:rPr>
          <w:rFonts w:eastAsia="Calibri" w:cs="Tahoma"/>
          <w:szCs w:val="18"/>
          <w:lang w:val="it-IT"/>
        </w:rPr>
        <w:t>’</w:t>
      </w:r>
      <w:r w:rsidRPr="00451078">
        <w:rPr>
          <w:rFonts w:eastAsia="Calibri" w:cs="Tahoma"/>
          <w:szCs w:val="18"/>
          <w:lang w:val="it-IT"/>
        </w:rPr>
        <w:t>aggiornamento a Windows Server Standard ed Exchange Server 2010 Standard ai sensi della</w:t>
      </w:r>
      <w:r w:rsidR="00F26041" w:rsidRPr="00451078">
        <w:rPr>
          <w:rFonts w:eastAsia="Calibri" w:cs="Tahoma"/>
          <w:szCs w:val="18"/>
          <w:lang w:val="it-IT"/>
        </w:rPr>
        <w:t> </w:t>
      </w:r>
      <w:r w:rsidRPr="00451078">
        <w:rPr>
          <w:rFonts w:eastAsia="Calibri" w:cs="Tahoma"/>
          <w:szCs w:val="18"/>
          <w:lang w:val="it-IT"/>
        </w:rPr>
        <w:t>presente concessione, le Licenze Qualificanti in essere per SBS Standard non saranno più valide.</w:t>
      </w:r>
    </w:p>
    <w:p w:rsidR="00CE7FAD" w:rsidRPr="00451078" w:rsidRDefault="00CE7FAD" w:rsidP="00CE7FAD">
      <w:pPr>
        <w:ind w:left="720"/>
        <w:rPr>
          <w:rFonts w:cs="Tahoma"/>
          <w:szCs w:val="18"/>
          <w:lang w:val="it-IT"/>
        </w:rPr>
      </w:pPr>
    </w:p>
    <w:p w:rsidR="00836655" w:rsidRPr="00451078" w:rsidRDefault="00836655" w:rsidP="00CE7FAD">
      <w:pPr>
        <w:ind w:left="720"/>
        <w:rPr>
          <w:rFonts w:cs="Tahoma"/>
          <w:szCs w:val="18"/>
          <w:lang w:val="it-IT"/>
        </w:rPr>
      </w:pPr>
      <w:r w:rsidRPr="00451078">
        <w:rPr>
          <w:rFonts w:cs="Tahoma"/>
          <w:szCs w:val="18"/>
          <w:lang w:val="it-IT"/>
        </w:rPr>
        <w:t xml:space="preserve">Le licenze Standard per </w:t>
      </w:r>
      <w:r w:rsidRPr="00451078">
        <w:rPr>
          <w:rFonts w:cs="Tahoma"/>
          <w:color w:val="000000"/>
          <w:szCs w:val="18"/>
          <w:lang w:val="it-IT"/>
        </w:rPr>
        <w:t xml:space="preserve">SBS 2011 </w:t>
      </w:r>
      <w:r w:rsidRPr="00451078">
        <w:rPr>
          <w:rFonts w:cs="Tahoma"/>
          <w:bCs/>
          <w:color w:val="000000"/>
          <w:szCs w:val="18"/>
          <w:lang w:val="it-IT"/>
        </w:rPr>
        <w:t>acquistate successivamente nello stesso periodo di validità dell</w:t>
      </w:r>
      <w:r w:rsidR="0073727D">
        <w:rPr>
          <w:rFonts w:cs="Tahoma"/>
          <w:bCs/>
          <w:color w:val="000000"/>
          <w:szCs w:val="18"/>
          <w:lang w:val="it-IT"/>
        </w:rPr>
        <w:t>’</w:t>
      </w:r>
      <w:r w:rsidRPr="00451078">
        <w:rPr>
          <w:rFonts w:cs="Tahoma"/>
          <w:bCs/>
          <w:color w:val="000000"/>
          <w:szCs w:val="18"/>
          <w:lang w:val="it-IT"/>
        </w:rPr>
        <w:t>iscrizione nell</w:t>
      </w:r>
      <w:r w:rsidR="0073727D">
        <w:rPr>
          <w:rFonts w:cs="Tahoma"/>
          <w:bCs/>
          <w:color w:val="000000"/>
          <w:szCs w:val="18"/>
          <w:lang w:val="it-IT"/>
        </w:rPr>
        <w:t>’</w:t>
      </w:r>
      <w:r w:rsidRPr="00451078">
        <w:rPr>
          <w:rFonts w:cs="Tahoma"/>
          <w:bCs/>
          <w:color w:val="000000"/>
          <w:szCs w:val="18"/>
          <w:lang w:val="it-IT"/>
        </w:rPr>
        <w:t>ambito di una procedura pianificata di true-up di una società Open Value Subscription o EES sono anch</w:t>
      </w:r>
      <w:r w:rsidR="0073727D">
        <w:rPr>
          <w:rFonts w:cs="Tahoma"/>
          <w:bCs/>
          <w:color w:val="000000"/>
          <w:szCs w:val="18"/>
          <w:lang w:val="it-IT"/>
        </w:rPr>
        <w:t>’</w:t>
      </w:r>
      <w:r w:rsidRPr="00451078">
        <w:rPr>
          <w:rFonts w:cs="Tahoma"/>
          <w:bCs/>
          <w:color w:val="000000"/>
          <w:szCs w:val="18"/>
          <w:lang w:val="it-IT"/>
        </w:rPr>
        <w:t>esse Licenze Qualificanti per gli scopi previsti dalla suddetta concessione.</w:t>
      </w:r>
    </w:p>
    <w:p w:rsidR="00D16723" w:rsidRPr="00451078" w:rsidRDefault="00D16723" w:rsidP="00CE7FAD">
      <w:pPr>
        <w:ind w:left="720"/>
        <w:rPr>
          <w:lang w:val="it-IT"/>
        </w:rPr>
      </w:pPr>
    </w:p>
    <w:p w:rsidR="00D16723" w:rsidRPr="00451078" w:rsidRDefault="00D16723">
      <w:pPr>
        <w:rPr>
          <w:lang w:val="it-IT"/>
        </w:rPr>
      </w:pPr>
      <w:bookmarkStart w:id="1574" w:name="_100_SBS_2008"/>
      <w:bookmarkStart w:id="1575" w:name="_101_SBS_2008"/>
      <w:bookmarkStart w:id="1576" w:name="_105_SBS_2008"/>
      <w:bookmarkStart w:id="1577" w:name="_125_Windows_Web"/>
      <w:bookmarkEnd w:id="1574"/>
      <w:bookmarkEnd w:id="1575"/>
      <w:bookmarkEnd w:id="1576"/>
      <w:bookmarkEnd w:id="1577"/>
    </w:p>
    <w:p w:rsidR="00E06578" w:rsidRPr="003410C7" w:rsidRDefault="00BA29A7" w:rsidP="00EF2279">
      <w:pPr>
        <w:pStyle w:val="Heading2"/>
        <w:ind w:left="0"/>
      </w:pPr>
      <w:bookmarkStart w:id="1578" w:name="_122_Windows_Small"/>
      <w:bookmarkStart w:id="1579" w:name="_120_Windows_Small"/>
      <w:bookmarkStart w:id="1580" w:name="_110_Windows_Small"/>
      <w:bookmarkStart w:id="1581" w:name="_111_CAL_Suite"/>
      <w:bookmarkStart w:id="1582" w:name="_Toc336338378"/>
      <w:bookmarkStart w:id="1583" w:name="_Toc352234964"/>
      <w:bookmarkEnd w:id="1578"/>
      <w:bookmarkEnd w:id="1579"/>
      <w:bookmarkEnd w:id="1580"/>
      <w:bookmarkEnd w:id="1581"/>
      <w:r w:rsidRPr="003410C7">
        <w:rPr>
          <w:rFonts w:ascii="Tahoma" w:hAnsi="Tahoma" w:cs="Tahoma"/>
          <w:caps/>
          <w:color w:val="EE6000"/>
          <w:sz w:val="22"/>
          <w:szCs w:val="18"/>
          <w:vertAlign w:val="superscript"/>
        </w:rPr>
        <w:t>111</w:t>
      </w:r>
      <w:r w:rsidRPr="00F26041">
        <w:rPr>
          <w:rFonts w:ascii="Tahoma" w:hAnsi="Tahoma" w:cs="Tahoma"/>
          <w:caps/>
          <w:color w:val="EE6000"/>
          <w:sz w:val="22"/>
          <w:szCs w:val="18"/>
        </w:rPr>
        <w:t xml:space="preserve"> </w:t>
      </w:r>
      <w:r w:rsidRPr="003410C7">
        <w:rPr>
          <w:rFonts w:ascii="Tahoma" w:hAnsi="Tahoma" w:cs="Tahoma"/>
          <w:color w:val="F8701C"/>
          <w:sz w:val="22"/>
          <w:szCs w:val="22"/>
        </w:rPr>
        <w:t>CAL Suite per Windows Small Business Server (SBS) 2011</w:t>
      </w:r>
      <w:bookmarkEnd w:id="1582"/>
      <w:bookmarkEnd w:id="1583"/>
    </w:p>
    <w:p w:rsidR="00E06578" w:rsidRPr="003410C7" w:rsidRDefault="00E06578" w:rsidP="000F0F4D">
      <w:pPr>
        <w:ind w:left="900"/>
      </w:pPr>
    </w:p>
    <w:p w:rsidR="000F0F4D" w:rsidRPr="00451078" w:rsidRDefault="00836655" w:rsidP="000F0F4D">
      <w:pPr>
        <w:spacing w:after="60"/>
        <w:ind w:left="720"/>
        <w:rPr>
          <w:lang w:val="it-IT"/>
        </w:rPr>
      </w:pPr>
      <w:r w:rsidRPr="00451078">
        <w:rPr>
          <w:b/>
          <w:color w:val="000000"/>
          <w:lang w:val="it-IT"/>
        </w:rPr>
        <w:t>Concessioni di licenza associate alla fine del ciclo di vita della CAL Suite per SBS 2011</w:t>
      </w:r>
    </w:p>
    <w:p w:rsidR="00836655" w:rsidRPr="00451078" w:rsidRDefault="00836655" w:rsidP="000F0F4D">
      <w:pPr>
        <w:ind w:left="720"/>
        <w:rPr>
          <w:lang w:val="it-IT"/>
        </w:rPr>
      </w:pPr>
      <w:r w:rsidRPr="00451078">
        <w:rPr>
          <w:lang w:val="it-IT"/>
        </w:rPr>
        <w:t>Le società con copertura Software Assurance attiva per CAL Suite per SBS 2011 (</w:t>
      </w:r>
      <w:r w:rsidR="001A3EC5" w:rsidRPr="00451078">
        <w:rPr>
          <w:lang w:val="it-IT"/>
        </w:rPr>
        <w:t>“</w:t>
      </w:r>
      <w:r w:rsidRPr="00451078">
        <w:rPr>
          <w:lang w:val="it-IT"/>
        </w:rPr>
        <w:t>Licenze Qualificanti</w:t>
      </w:r>
      <w:r w:rsidR="001A3EC5" w:rsidRPr="00451078">
        <w:rPr>
          <w:lang w:val="it-IT"/>
        </w:rPr>
        <w:t>”</w:t>
      </w:r>
      <w:r w:rsidRPr="00451078">
        <w:rPr>
          <w:lang w:val="it-IT"/>
        </w:rPr>
        <w:t xml:space="preserve">) sono idonee ad accedere al software Windows Server Standard ed Exchange Server 2010. </w:t>
      </w:r>
      <w:r w:rsidRPr="00451078">
        <w:rPr>
          <w:rFonts w:eastAsia="Calibri" w:cs="Tahoma"/>
          <w:szCs w:val="18"/>
          <w:lang w:val="it-IT"/>
        </w:rPr>
        <w:t xml:space="preserve">Per agevolare tale utilizzo, per ogni licenza CAL Qualificante in suo possesso, alla società verrà concessa una licenza CAL per Windows Server Standard e una per Exchange Server 2010, come illustrato nella tabella che segue. </w:t>
      </w:r>
    </w:p>
    <w:p w:rsidR="000F0F4D" w:rsidRPr="00451078" w:rsidRDefault="000F0F4D" w:rsidP="00155B9B">
      <w:pPr>
        <w:rPr>
          <w:lang w:val="it-IT"/>
        </w:rPr>
      </w:pPr>
    </w:p>
    <w:tbl>
      <w:tblPr>
        <w:tblW w:w="0" w:type="auto"/>
        <w:tblInd w:w="82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3960"/>
        <w:gridCol w:w="4788"/>
      </w:tblGrid>
      <w:tr w:rsidR="00836655" w:rsidRPr="003410C7" w:rsidTr="006E5A58">
        <w:tc>
          <w:tcPr>
            <w:tcW w:w="3960" w:type="dxa"/>
            <w:tcBorders>
              <w:top w:val="single" w:sz="4" w:space="0" w:color="auto"/>
              <w:left w:val="single" w:sz="4" w:space="0" w:color="auto"/>
              <w:bottom w:val="single" w:sz="4" w:space="0" w:color="auto"/>
              <w:right w:val="single" w:sz="4" w:space="0" w:color="auto"/>
            </w:tcBorders>
            <w:shd w:val="clear" w:color="auto" w:fill="F4B083" w:themeFill="accent2" w:themeFillTint="99"/>
            <w:hideMark/>
          </w:tcPr>
          <w:p w:rsidR="00836655" w:rsidRPr="003410C7" w:rsidRDefault="00836655" w:rsidP="000A5032">
            <w:pPr>
              <w:spacing w:after="200" w:line="276" w:lineRule="auto"/>
              <w:rPr>
                <w:rFonts w:eastAsia="Calibri" w:cs="Tahoma"/>
                <w:szCs w:val="18"/>
              </w:rPr>
            </w:pPr>
            <w:r w:rsidRPr="003410C7">
              <w:rPr>
                <w:b/>
                <w:color w:val="000000"/>
              </w:rPr>
              <w:t>Licenze Qualificanti</w:t>
            </w:r>
          </w:p>
        </w:tc>
        <w:tc>
          <w:tcPr>
            <w:tcW w:w="4788" w:type="dxa"/>
            <w:tcBorders>
              <w:top w:val="single" w:sz="4" w:space="0" w:color="auto"/>
              <w:left w:val="single" w:sz="4" w:space="0" w:color="auto"/>
              <w:bottom w:val="single" w:sz="4" w:space="0" w:color="auto"/>
              <w:right w:val="single" w:sz="4" w:space="0" w:color="auto"/>
            </w:tcBorders>
            <w:shd w:val="clear" w:color="auto" w:fill="F4B083" w:themeFill="accent2" w:themeFillTint="99"/>
            <w:hideMark/>
          </w:tcPr>
          <w:p w:rsidR="00836655" w:rsidRPr="003410C7" w:rsidRDefault="00836655" w:rsidP="000A5032">
            <w:pPr>
              <w:spacing w:after="200" w:line="276" w:lineRule="auto"/>
              <w:rPr>
                <w:rFonts w:eastAsia="Calibri" w:cs="Tahoma"/>
                <w:szCs w:val="18"/>
              </w:rPr>
            </w:pPr>
            <w:r w:rsidRPr="003410C7">
              <w:rPr>
                <w:b/>
                <w:color w:val="000000"/>
              </w:rPr>
              <w:t>Concessione di Licenza</w:t>
            </w:r>
          </w:p>
        </w:tc>
      </w:tr>
      <w:tr w:rsidR="00836655" w:rsidRPr="005E4903" w:rsidTr="006E5A58">
        <w:tc>
          <w:tcPr>
            <w:tcW w:w="3960" w:type="dxa"/>
            <w:tcBorders>
              <w:top w:val="single" w:sz="4" w:space="0" w:color="auto"/>
              <w:left w:val="single" w:sz="4" w:space="0" w:color="auto"/>
              <w:bottom w:val="single" w:sz="4" w:space="0" w:color="auto"/>
              <w:right w:val="single" w:sz="4" w:space="0" w:color="auto"/>
            </w:tcBorders>
            <w:shd w:val="clear" w:color="auto" w:fill="auto"/>
            <w:hideMark/>
          </w:tcPr>
          <w:p w:rsidR="00836655" w:rsidRPr="00451078" w:rsidRDefault="00836655" w:rsidP="00CA14C9">
            <w:pPr>
              <w:spacing w:line="276" w:lineRule="auto"/>
              <w:rPr>
                <w:rFonts w:eastAsia="Calibri" w:cs="Tahoma"/>
                <w:szCs w:val="18"/>
                <w:lang w:val="it-IT"/>
              </w:rPr>
            </w:pPr>
            <w:r w:rsidRPr="00451078">
              <w:rPr>
                <w:rFonts w:eastAsia="Calibri" w:cs="Tahoma"/>
                <w:szCs w:val="18"/>
                <w:lang w:val="it-IT"/>
              </w:rPr>
              <w:t>CAL Suite per SBS 2011 con copertura Software Assurance fino al 31 luglio 2012</w:t>
            </w:r>
          </w:p>
        </w:tc>
        <w:tc>
          <w:tcPr>
            <w:tcW w:w="4788" w:type="dxa"/>
            <w:tcBorders>
              <w:top w:val="single" w:sz="4" w:space="0" w:color="auto"/>
              <w:left w:val="single" w:sz="4" w:space="0" w:color="auto"/>
              <w:bottom w:val="single" w:sz="4" w:space="0" w:color="auto"/>
              <w:right w:val="single" w:sz="4" w:space="0" w:color="auto"/>
            </w:tcBorders>
            <w:shd w:val="clear" w:color="auto" w:fill="auto"/>
            <w:hideMark/>
          </w:tcPr>
          <w:p w:rsidR="00836655" w:rsidRPr="00451078" w:rsidRDefault="00836655" w:rsidP="00CA14C9">
            <w:pPr>
              <w:spacing w:line="276" w:lineRule="auto"/>
              <w:rPr>
                <w:lang w:val="it-IT"/>
              </w:rPr>
            </w:pPr>
            <w:r w:rsidRPr="00451078">
              <w:rPr>
                <w:rFonts w:eastAsia="Calibri" w:cs="Tahoma"/>
                <w:szCs w:val="18"/>
                <w:lang w:val="it-IT"/>
              </w:rPr>
              <w:t>Licenza CAL per Windows Server 2008 R2</w:t>
            </w:r>
          </w:p>
          <w:p w:rsidR="00836655" w:rsidRPr="00451078" w:rsidRDefault="00836655" w:rsidP="00CA14C9">
            <w:pPr>
              <w:spacing w:line="276" w:lineRule="auto"/>
              <w:rPr>
                <w:rFonts w:eastAsia="Calibri" w:cs="Tahoma"/>
                <w:szCs w:val="18"/>
                <w:lang w:val="it-IT"/>
              </w:rPr>
            </w:pPr>
            <w:r w:rsidRPr="00451078">
              <w:rPr>
                <w:rFonts w:eastAsia="Calibri" w:cs="Tahoma"/>
                <w:szCs w:val="18"/>
                <w:lang w:val="it-IT"/>
              </w:rPr>
              <w:t>Licenza CAL per Exchange Server 2010</w:t>
            </w:r>
          </w:p>
        </w:tc>
      </w:tr>
      <w:tr w:rsidR="00836655" w:rsidRPr="005E4903" w:rsidTr="006E5A58">
        <w:tc>
          <w:tcPr>
            <w:tcW w:w="3960" w:type="dxa"/>
            <w:tcBorders>
              <w:top w:val="single" w:sz="4" w:space="0" w:color="auto"/>
              <w:left w:val="single" w:sz="4" w:space="0" w:color="auto"/>
              <w:bottom w:val="single" w:sz="4" w:space="0" w:color="auto"/>
              <w:right w:val="single" w:sz="4" w:space="0" w:color="auto"/>
            </w:tcBorders>
            <w:shd w:val="clear" w:color="auto" w:fill="auto"/>
            <w:hideMark/>
          </w:tcPr>
          <w:p w:rsidR="00836655" w:rsidRPr="00451078" w:rsidRDefault="00836655" w:rsidP="00F26041">
            <w:pPr>
              <w:spacing w:line="276" w:lineRule="auto"/>
              <w:rPr>
                <w:rFonts w:eastAsia="Calibri" w:cs="Tahoma"/>
                <w:szCs w:val="18"/>
                <w:lang w:val="it-IT"/>
              </w:rPr>
            </w:pPr>
            <w:r w:rsidRPr="00451078">
              <w:rPr>
                <w:rFonts w:eastAsia="Calibri" w:cs="Tahoma"/>
                <w:szCs w:val="18"/>
                <w:lang w:val="it-IT"/>
              </w:rPr>
              <w:t>CAL Suite per SBS 2011 con copertura Software Assurance in data 1 agosto 2012 o</w:t>
            </w:r>
            <w:r w:rsidR="00F26041" w:rsidRPr="00451078">
              <w:rPr>
                <w:rFonts w:eastAsia="Calibri" w:cs="Tahoma"/>
                <w:szCs w:val="18"/>
                <w:lang w:val="it-IT"/>
              </w:rPr>
              <w:t> </w:t>
            </w:r>
            <w:r w:rsidRPr="00451078">
              <w:rPr>
                <w:rFonts w:eastAsia="Calibri" w:cs="Tahoma"/>
                <w:szCs w:val="18"/>
                <w:lang w:val="it-IT"/>
              </w:rPr>
              <w:t>successiva</w:t>
            </w:r>
          </w:p>
        </w:tc>
        <w:tc>
          <w:tcPr>
            <w:tcW w:w="4788" w:type="dxa"/>
            <w:tcBorders>
              <w:top w:val="single" w:sz="4" w:space="0" w:color="auto"/>
              <w:left w:val="single" w:sz="4" w:space="0" w:color="auto"/>
              <w:bottom w:val="single" w:sz="4" w:space="0" w:color="auto"/>
              <w:right w:val="single" w:sz="4" w:space="0" w:color="auto"/>
            </w:tcBorders>
            <w:shd w:val="clear" w:color="auto" w:fill="auto"/>
            <w:hideMark/>
          </w:tcPr>
          <w:p w:rsidR="00836655" w:rsidRPr="00451078" w:rsidRDefault="00836655" w:rsidP="00CA14C9">
            <w:pPr>
              <w:spacing w:line="276" w:lineRule="auto"/>
              <w:rPr>
                <w:lang w:val="it-IT"/>
              </w:rPr>
            </w:pPr>
            <w:r w:rsidRPr="00451078">
              <w:rPr>
                <w:rFonts w:eastAsia="Calibri" w:cs="Tahoma"/>
                <w:szCs w:val="18"/>
                <w:lang w:val="it-IT"/>
              </w:rPr>
              <w:t>Licenza CAL per Windows Server 2012 con Software Assurance</w:t>
            </w:r>
          </w:p>
          <w:p w:rsidR="00836655" w:rsidRPr="00451078" w:rsidRDefault="00836655" w:rsidP="00CA14C9">
            <w:pPr>
              <w:spacing w:line="276" w:lineRule="auto"/>
              <w:rPr>
                <w:rFonts w:eastAsia="Calibri" w:cs="Tahoma"/>
                <w:szCs w:val="18"/>
                <w:lang w:val="it-IT"/>
              </w:rPr>
            </w:pPr>
            <w:r w:rsidRPr="00451078">
              <w:rPr>
                <w:rFonts w:eastAsia="Calibri" w:cs="Tahoma"/>
                <w:szCs w:val="18"/>
                <w:lang w:val="it-IT"/>
              </w:rPr>
              <w:t>CAL per Exchange Server 2010 con Software Assurance</w:t>
            </w:r>
          </w:p>
        </w:tc>
      </w:tr>
    </w:tbl>
    <w:p w:rsidR="000F0F4D" w:rsidRPr="00451078" w:rsidRDefault="000F0F4D" w:rsidP="000F0F4D">
      <w:pPr>
        <w:pStyle w:val="ListParagraph"/>
        <w:contextualSpacing w:val="0"/>
        <w:rPr>
          <w:rFonts w:ascii="Tahoma" w:hAnsi="Tahoma" w:cs="Tahoma"/>
          <w:sz w:val="18"/>
          <w:szCs w:val="18"/>
          <w:lang w:val="it-IT"/>
        </w:rPr>
      </w:pPr>
    </w:p>
    <w:p w:rsidR="00836655" w:rsidRPr="00451078" w:rsidRDefault="00836655" w:rsidP="000F0F4D">
      <w:pPr>
        <w:pStyle w:val="ListParagraph"/>
        <w:contextualSpacing w:val="0"/>
        <w:rPr>
          <w:rFonts w:ascii="Tahoma" w:hAnsi="Tahoma" w:cs="Tahoma"/>
          <w:sz w:val="18"/>
          <w:szCs w:val="18"/>
          <w:lang w:val="it-IT"/>
        </w:rPr>
      </w:pPr>
      <w:r w:rsidRPr="00451078">
        <w:rPr>
          <w:rFonts w:ascii="Tahoma" w:eastAsia="Calibri" w:hAnsi="Tahoma" w:cs="Tahoma"/>
          <w:sz w:val="18"/>
          <w:szCs w:val="18"/>
          <w:lang w:val="it-IT"/>
        </w:rPr>
        <w:t>La copertura Software Assurance inclusa nella suddetta concessione scade alla scadenza della corrispondente copertura per le CAL Qualificanti. In via eccezionale, le società con copertura Software Assurance attiva per le Licenze CAL Qualificanti in scadenza nel mese di agosto 2012 hanno la possibilità fino al 31 dicembre 2012 di rinnovare la copertura per le CAL ricevute in concessione ai sensi della presente offerta. Le società con copertura Software Assurance attiva per le Licenze CAL Qualificanti in scadenza nel mese di luglio 2012 hanno la possibilità fino al 31 dicembre 2012 di acquistare la copertura per le Licenze CAL ricevute in concessione ai sensi della presente offerta.</w:t>
      </w:r>
    </w:p>
    <w:p w:rsidR="000F0F4D" w:rsidRPr="00451078" w:rsidRDefault="000F0F4D" w:rsidP="000F0F4D">
      <w:pPr>
        <w:pStyle w:val="ListParagraph"/>
        <w:contextualSpacing w:val="0"/>
        <w:rPr>
          <w:rFonts w:ascii="Tahoma" w:hAnsi="Tahoma" w:cs="Tahoma"/>
          <w:sz w:val="18"/>
          <w:szCs w:val="18"/>
          <w:lang w:val="it-IT"/>
        </w:rPr>
      </w:pPr>
    </w:p>
    <w:p w:rsidR="00836655" w:rsidRPr="00451078" w:rsidRDefault="00836655" w:rsidP="000F0F4D">
      <w:pPr>
        <w:pStyle w:val="ListParagraph"/>
        <w:contextualSpacing w:val="0"/>
        <w:rPr>
          <w:rFonts w:ascii="Tahoma" w:hAnsi="Tahoma" w:cs="Tahoma"/>
          <w:sz w:val="18"/>
          <w:szCs w:val="18"/>
          <w:lang w:val="it-IT"/>
        </w:rPr>
      </w:pPr>
      <w:r w:rsidRPr="00451078">
        <w:rPr>
          <w:rFonts w:ascii="Tahoma" w:eastAsia="Calibri" w:hAnsi="Tahoma" w:cs="Tahoma"/>
          <w:sz w:val="18"/>
          <w:szCs w:val="18"/>
          <w:lang w:val="it-IT"/>
        </w:rPr>
        <w:lastRenderedPageBreak/>
        <w:t>Nel caso in cui le società abbiano acquistato diritti perpetui previsti dalle CAL qualificanti, le CAL acquistate ai sensi della presente concessione saranno anch</w:t>
      </w:r>
      <w:r w:rsidR="0073727D">
        <w:rPr>
          <w:rFonts w:ascii="Tahoma" w:eastAsia="Calibri" w:hAnsi="Tahoma" w:cs="Tahoma"/>
          <w:sz w:val="18"/>
          <w:szCs w:val="18"/>
          <w:lang w:val="it-IT"/>
        </w:rPr>
        <w:t>’</w:t>
      </w:r>
      <w:r w:rsidRPr="00451078">
        <w:rPr>
          <w:rFonts w:ascii="Tahoma" w:eastAsia="Calibri" w:hAnsi="Tahoma" w:cs="Tahoma"/>
          <w:sz w:val="18"/>
          <w:szCs w:val="18"/>
          <w:lang w:val="it-IT"/>
        </w:rPr>
        <w:t>esse perpetue; diversamente, le CAL acquistate ai sensi della presente concessione cesseranno alla scadenza delle CAL Qualificanti sottostanti.</w:t>
      </w:r>
    </w:p>
    <w:p w:rsidR="000F0F4D" w:rsidRPr="00451078" w:rsidRDefault="000F0F4D" w:rsidP="000F0F4D">
      <w:pPr>
        <w:pStyle w:val="ListParagraph"/>
        <w:contextualSpacing w:val="0"/>
        <w:rPr>
          <w:rFonts w:ascii="Tahoma" w:hAnsi="Tahoma" w:cs="Tahoma"/>
          <w:sz w:val="18"/>
          <w:szCs w:val="18"/>
          <w:lang w:val="it-IT"/>
        </w:rPr>
      </w:pPr>
    </w:p>
    <w:p w:rsidR="00836655" w:rsidRPr="00451078" w:rsidRDefault="00836655" w:rsidP="000F0F4D">
      <w:pPr>
        <w:pStyle w:val="ListParagraph"/>
        <w:contextualSpacing w:val="0"/>
        <w:rPr>
          <w:rFonts w:ascii="Tahoma" w:hAnsi="Tahoma" w:cs="Tahoma"/>
          <w:sz w:val="18"/>
          <w:szCs w:val="18"/>
          <w:lang w:val="it-IT"/>
        </w:rPr>
      </w:pPr>
      <w:r w:rsidRPr="00451078">
        <w:rPr>
          <w:rFonts w:ascii="Tahoma" w:eastAsia="Calibri" w:hAnsi="Tahoma" w:cs="Tahoma"/>
          <w:sz w:val="18"/>
          <w:szCs w:val="18"/>
          <w:lang w:val="it-IT"/>
        </w:rPr>
        <w:t>Per ogni CAL Qualificante acquistata ai sensi del contratto Open Value Subscription, una società potrà eseguire il buy-out di una CAL Suite per SBS 2011 come indicato o di:</w:t>
      </w:r>
    </w:p>
    <w:p w:rsidR="00836655" w:rsidRPr="00451078" w:rsidRDefault="00836655" w:rsidP="00745AB3">
      <w:pPr>
        <w:pStyle w:val="ListParagraph"/>
        <w:numPr>
          <w:ilvl w:val="1"/>
          <w:numId w:val="99"/>
        </w:numPr>
        <w:tabs>
          <w:tab w:val="clear" w:pos="1440"/>
        </w:tabs>
        <w:spacing w:after="60"/>
        <w:ind w:left="1800"/>
        <w:contextualSpacing w:val="0"/>
        <w:rPr>
          <w:rFonts w:ascii="Tahoma" w:hAnsi="Tahoma" w:cs="Tahoma"/>
          <w:sz w:val="18"/>
          <w:szCs w:val="18"/>
          <w:lang w:val="it-IT"/>
        </w:rPr>
      </w:pPr>
      <w:r w:rsidRPr="00451078">
        <w:rPr>
          <w:rFonts w:ascii="Tahoma" w:eastAsia="Calibri" w:hAnsi="Tahoma" w:cs="Tahoma"/>
          <w:sz w:val="18"/>
          <w:szCs w:val="18"/>
          <w:lang w:val="it-IT"/>
        </w:rPr>
        <w:t>Una Licenza CAL per Windows Server 2012 e una per Exchange Server 2010 Standard per i</w:t>
      </w:r>
      <w:r w:rsidR="00F26041" w:rsidRPr="00451078">
        <w:rPr>
          <w:rFonts w:ascii="Tahoma" w:eastAsia="Calibri" w:hAnsi="Tahoma" w:cs="Tahoma"/>
          <w:sz w:val="18"/>
          <w:szCs w:val="18"/>
          <w:lang w:val="it-IT"/>
        </w:rPr>
        <w:t> </w:t>
      </w:r>
      <w:r w:rsidRPr="00451078">
        <w:rPr>
          <w:rFonts w:ascii="Tahoma" w:eastAsia="Calibri" w:hAnsi="Tahoma" w:cs="Tahoma"/>
          <w:sz w:val="18"/>
          <w:szCs w:val="18"/>
          <w:lang w:val="it-IT"/>
        </w:rPr>
        <w:t>contratti in scadenza in data 1 agosto 2012 o successiva e</w:t>
      </w:r>
    </w:p>
    <w:p w:rsidR="00836655" w:rsidRPr="00451078" w:rsidRDefault="00836655" w:rsidP="00745AB3">
      <w:pPr>
        <w:pStyle w:val="ListParagraph"/>
        <w:numPr>
          <w:ilvl w:val="1"/>
          <w:numId w:val="99"/>
        </w:numPr>
        <w:tabs>
          <w:tab w:val="clear" w:pos="1440"/>
        </w:tabs>
        <w:spacing w:after="60"/>
        <w:ind w:left="1800"/>
        <w:contextualSpacing w:val="0"/>
        <w:rPr>
          <w:rFonts w:ascii="Tahoma" w:hAnsi="Tahoma" w:cs="Tahoma"/>
          <w:sz w:val="18"/>
          <w:szCs w:val="18"/>
          <w:lang w:val="it-IT"/>
        </w:rPr>
      </w:pPr>
      <w:r w:rsidRPr="00451078">
        <w:rPr>
          <w:rFonts w:ascii="Tahoma" w:eastAsia="Calibri" w:hAnsi="Tahoma" w:cs="Tahoma"/>
          <w:sz w:val="18"/>
          <w:szCs w:val="18"/>
          <w:lang w:val="it-IT"/>
        </w:rPr>
        <w:t>Una Licenza CAL per Windows Server 2008 e una per Exchange Server 2010 Standard per i</w:t>
      </w:r>
      <w:r w:rsidR="00F26041" w:rsidRPr="00451078">
        <w:rPr>
          <w:rFonts w:ascii="Tahoma" w:eastAsia="Calibri" w:hAnsi="Tahoma" w:cs="Tahoma"/>
          <w:sz w:val="18"/>
          <w:szCs w:val="18"/>
          <w:lang w:val="it-IT"/>
        </w:rPr>
        <w:t> </w:t>
      </w:r>
      <w:r w:rsidRPr="00451078">
        <w:rPr>
          <w:rFonts w:ascii="Tahoma" w:eastAsia="Calibri" w:hAnsi="Tahoma" w:cs="Tahoma"/>
          <w:sz w:val="18"/>
          <w:szCs w:val="18"/>
          <w:lang w:val="it-IT"/>
        </w:rPr>
        <w:t>contratti in scadenza nel mese di luglio 2012.</w:t>
      </w:r>
    </w:p>
    <w:p w:rsidR="000F0F4D" w:rsidRPr="00451078" w:rsidRDefault="000F0F4D" w:rsidP="000F0F4D">
      <w:pPr>
        <w:ind w:left="720"/>
        <w:rPr>
          <w:rFonts w:cs="Tahoma"/>
          <w:szCs w:val="18"/>
          <w:lang w:val="it-IT"/>
        </w:rPr>
      </w:pPr>
    </w:p>
    <w:p w:rsidR="00836655" w:rsidRPr="00451078" w:rsidRDefault="00836655" w:rsidP="000F0F4D">
      <w:pPr>
        <w:ind w:left="720"/>
        <w:rPr>
          <w:rFonts w:cs="Tahoma"/>
          <w:szCs w:val="18"/>
          <w:lang w:val="it-IT"/>
        </w:rPr>
      </w:pPr>
      <w:r w:rsidRPr="00451078">
        <w:rPr>
          <w:rFonts w:eastAsia="Calibri" w:cs="Tahoma"/>
          <w:szCs w:val="18"/>
          <w:lang w:val="it-IT"/>
        </w:rPr>
        <w:t>Utilizzando la Licenza CAL per Windows Server e la Licenza Standard CAL per Exchange Server 2010 ai sensi della presente concessione, le Licenze CAL Qualificanti delle società per la CAL Suite in essere per SBS 2011 non saranno più valide.</w:t>
      </w:r>
    </w:p>
    <w:p w:rsidR="000F0F4D" w:rsidRPr="00451078" w:rsidRDefault="000F0F4D" w:rsidP="000F0F4D">
      <w:pPr>
        <w:ind w:left="720"/>
        <w:rPr>
          <w:rFonts w:cs="Tahoma"/>
          <w:szCs w:val="18"/>
          <w:lang w:val="it-IT"/>
        </w:rPr>
      </w:pPr>
    </w:p>
    <w:p w:rsidR="00836655" w:rsidRPr="00451078" w:rsidRDefault="00836655" w:rsidP="000F0F4D">
      <w:pPr>
        <w:ind w:left="720"/>
        <w:rPr>
          <w:rFonts w:cs="Tahoma"/>
          <w:szCs w:val="18"/>
          <w:lang w:val="it-IT"/>
        </w:rPr>
      </w:pPr>
      <w:r w:rsidRPr="00451078">
        <w:rPr>
          <w:rFonts w:cs="Tahoma"/>
          <w:color w:val="000000"/>
          <w:szCs w:val="18"/>
          <w:lang w:val="it-IT"/>
        </w:rPr>
        <w:t>La CAL Suite per SBS 2011</w:t>
      </w:r>
      <w:r w:rsidRPr="00451078">
        <w:rPr>
          <w:rFonts w:cs="Tahoma"/>
          <w:bCs/>
          <w:color w:val="000000"/>
          <w:szCs w:val="18"/>
          <w:lang w:val="it-IT"/>
        </w:rPr>
        <w:t xml:space="preserve"> acquistata successivamente nello stesso periodo di validità dell</w:t>
      </w:r>
      <w:r w:rsidR="0073727D">
        <w:rPr>
          <w:rFonts w:cs="Tahoma"/>
          <w:bCs/>
          <w:color w:val="000000"/>
          <w:szCs w:val="18"/>
          <w:lang w:val="it-IT"/>
        </w:rPr>
        <w:t>’</w:t>
      </w:r>
      <w:r w:rsidRPr="00451078">
        <w:rPr>
          <w:rFonts w:cs="Tahoma"/>
          <w:bCs/>
          <w:color w:val="000000"/>
          <w:szCs w:val="18"/>
          <w:lang w:val="it-IT"/>
        </w:rPr>
        <w:t>iscrizione nell</w:t>
      </w:r>
      <w:r w:rsidR="0073727D">
        <w:rPr>
          <w:rFonts w:cs="Tahoma"/>
          <w:bCs/>
          <w:color w:val="000000"/>
          <w:szCs w:val="18"/>
          <w:lang w:val="it-IT"/>
        </w:rPr>
        <w:t>’</w:t>
      </w:r>
      <w:r w:rsidRPr="00451078">
        <w:rPr>
          <w:rFonts w:cs="Tahoma"/>
          <w:bCs/>
          <w:color w:val="000000"/>
          <w:szCs w:val="18"/>
          <w:lang w:val="it-IT"/>
        </w:rPr>
        <w:t>ambito di una procedura pianificata di true-up di una società Open Value Subscription o EES sono anch</w:t>
      </w:r>
      <w:r w:rsidR="0073727D">
        <w:rPr>
          <w:rFonts w:cs="Tahoma"/>
          <w:bCs/>
          <w:color w:val="000000"/>
          <w:szCs w:val="18"/>
          <w:lang w:val="it-IT"/>
        </w:rPr>
        <w:t>’</w:t>
      </w:r>
      <w:r w:rsidRPr="00451078">
        <w:rPr>
          <w:rFonts w:cs="Tahoma"/>
          <w:bCs/>
          <w:color w:val="000000"/>
          <w:szCs w:val="18"/>
          <w:lang w:val="it-IT"/>
        </w:rPr>
        <w:t>esse CAL Qualificanti per gli scopi previsti dalla suddetta concessione.</w:t>
      </w:r>
      <w:r w:rsidRPr="00451078">
        <w:rPr>
          <w:rFonts w:eastAsia="Calibri" w:cs="Tahoma"/>
          <w:szCs w:val="18"/>
          <w:lang w:val="it-IT"/>
        </w:rPr>
        <w:t xml:space="preserve"> </w:t>
      </w:r>
    </w:p>
    <w:p w:rsidR="009B1D83" w:rsidRPr="00451078" w:rsidRDefault="009B1D83" w:rsidP="000F0F4D">
      <w:pPr>
        <w:ind w:left="900"/>
        <w:rPr>
          <w:rFonts w:cs="Tahoma"/>
          <w:szCs w:val="18"/>
          <w:lang w:val="it-IT"/>
        </w:rPr>
      </w:pPr>
    </w:p>
    <w:p w:rsidR="00586FCE" w:rsidRPr="00451078" w:rsidRDefault="00586FCE" w:rsidP="000F0F4D">
      <w:pPr>
        <w:ind w:left="900"/>
        <w:rPr>
          <w:lang w:val="it-IT"/>
        </w:rPr>
      </w:pPr>
    </w:p>
    <w:p w:rsidR="009B1D83" w:rsidRPr="003410C7" w:rsidRDefault="00BA29A7" w:rsidP="009B1D83">
      <w:pPr>
        <w:pStyle w:val="Heading2"/>
        <w:ind w:hanging="720"/>
      </w:pPr>
      <w:bookmarkStart w:id="1584" w:name="_112_Premium_Add-on"/>
      <w:bookmarkStart w:id="1585" w:name="Srv_122WinSmallBizSVR2011Addon"/>
      <w:bookmarkStart w:id="1586" w:name="_Toc336338379"/>
      <w:bookmarkStart w:id="1587" w:name="_Toc352234965"/>
      <w:bookmarkStart w:id="1588" w:name="Srv_112WinSmallBizSVR2011Addon"/>
      <w:bookmarkStart w:id="1589" w:name="Srv_118WinSmallBizSVR2011Addon"/>
      <w:bookmarkEnd w:id="1584"/>
      <w:r w:rsidRPr="003410C7">
        <w:rPr>
          <w:rFonts w:ascii="Tahoma" w:hAnsi="Tahoma" w:cs="Tahoma"/>
          <w:caps/>
          <w:color w:val="EE6000"/>
          <w:sz w:val="22"/>
          <w:szCs w:val="18"/>
          <w:vertAlign w:val="superscript"/>
        </w:rPr>
        <w:t>112</w:t>
      </w:r>
      <w:r w:rsidRPr="00F26041">
        <w:rPr>
          <w:rFonts w:ascii="Tahoma" w:hAnsi="Tahoma" w:cs="Tahoma"/>
          <w:caps/>
          <w:color w:val="EE6000"/>
          <w:sz w:val="22"/>
          <w:szCs w:val="18"/>
        </w:rPr>
        <w:t xml:space="preserve"> </w:t>
      </w:r>
      <w:r w:rsidRPr="003410C7">
        <w:rPr>
          <w:rFonts w:ascii="Tahoma" w:hAnsi="Tahoma" w:cs="Tahoma"/>
          <w:color w:val="EE6000"/>
          <w:sz w:val="22"/>
          <w:szCs w:val="18"/>
        </w:rPr>
        <w:t>Premium Add-on per Windows Small Business Server (SBS) 2011</w:t>
      </w:r>
      <w:bookmarkEnd w:id="1585"/>
      <w:bookmarkEnd w:id="1586"/>
      <w:bookmarkEnd w:id="1587"/>
    </w:p>
    <w:bookmarkEnd w:id="1588"/>
    <w:bookmarkEnd w:id="1589"/>
    <w:p w:rsidR="009B1D83" w:rsidRPr="003410C7" w:rsidRDefault="009B1D83" w:rsidP="000F0F4D">
      <w:pPr>
        <w:ind w:left="900"/>
      </w:pPr>
    </w:p>
    <w:p w:rsidR="000F0F4D" w:rsidRPr="00451078" w:rsidRDefault="00836655" w:rsidP="000F0F4D">
      <w:pPr>
        <w:spacing w:after="60"/>
        <w:ind w:left="720"/>
        <w:rPr>
          <w:lang w:val="it-IT"/>
        </w:rPr>
      </w:pPr>
      <w:r w:rsidRPr="00451078">
        <w:rPr>
          <w:b/>
          <w:color w:val="000000"/>
          <w:lang w:val="it-IT"/>
        </w:rPr>
        <w:t>Concessioni di licenza associate alla fine del ciclo di vita di SBS 2011 Premium Add-on</w:t>
      </w:r>
    </w:p>
    <w:p w:rsidR="00836655" w:rsidRPr="00451078" w:rsidRDefault="00836655" w:rsidP="000F0F4D">
      <w:pPr>
        <w:ind w:left="720"/>
        <w:rPr>
          <w:lang w:val="it-IT"/>
        </w:rPr>
      </w:pPr>
      <w:r w:rsidRPr="00451078">
        <w:rPr>
          <w:color w:val="000000"/>
          <w:lang w:val="it-IT"/>
        </w:rPr>
        <w:t>SBS 2011 Premium Add-on sarà l</w:t>
      </w:r>
      <w:r w:rsidR="0073727D">
        <w:rPr>
          <w:color w:val="000000"/>
          <w:lang w:val="it-IT"/>
        </w:rPr>
        <w:t>’</w:t>
      </w:r>
      <w:r w:rsidRPr="00451078">
        <w:rPr>
          <w:color w:val="000000"/>
          <w:lang w:val="it-IT"/>
        </w:rPr>
        <w:t>ultima versione di SBS Premium Add-on. Alle società titolari di contratti multilicenza con copertura Software Assurance per le licenze SBS 2011 Premium Add-on (</w:t>
      </w:r>
      <w:r w:rsidR="001A3EC5" w:rsidRPr="00451078">
        <w:rPr>
          <w:color w:val="000000"/>
          <w:lang w:val="it-IT"/>
        </w:rPr>
        <w:t>“</w:t>
      </w:r>
      <w:r w:rsidRPr="00451078">
        <w:rPr>
          <w:color w:val="000000"/>
          <w:lang w:val="it-IT"/>
        </w:rPr>
        <w:t>Licenze Qualificanti</w:t>
      </w:r>
      <w:r w:rsidR="001A3EC5" w:rsidRPr="00451078">
        <w:rPr>
          <w:color w:val="000000"/>
          <w:lang w:val="it-IT"/>
        </w:rPr>
        <w:t>”</w:t>
      </w:r>
      <w:r w:rsidRPr="00451078">
        <w:rPr>
          <w:color w:val="000000"/>
          <w:lang w:val="it-IT"/>
        </w:rPr>
        <w:t>) sarà consentito effettuare l</w:t>
      </w:r>
      <w:r w:rsidR="0073727D">
        <w:rPr>
          <w:color w:val="000000"/>
          <w:lang w:val="it-IT"/>
        </w:rPr>
        <w:t>’</w:t>
      </w:r>
      <w:r w:rsidRPr="00451078">
        <w:rPr>
          <w:color w:val="000000"/>
          <w:lang w:val="it-IT"/>
        </w:rPr>
        <w:t>aggiornamento ai prodotti software Windows Server Standard e</w:t>
      </w:r>
      <w:r w:rsidR="00F26041" w:rsidRPr="00451078">
        <w:rPr>
          <w:color w:val="000000"/>
          <w:lang w:val="it-IT"/>
        </w:rPr>
        <w:t> </w:t>
      </w:r>
      <w:r w:rsidRPr="00451078">
        <w:rPr>
          <w:color w:val="000000"/>
          <w:lang w:val="it-IT"/>
        </w:rPr>
        <w:t xml:space="preserve">SQL Server 2012 Standard e </w:t>
      </w:r>
      <w:r w:rsidRPr="00451078">
        <w:rPr>
          <w:rFonts w:eastAsia="Calibri" w:cs="Tahoma"/>
          <w:szCs w:val="18"/>
          <w:lang w:val="it-IT"/>
        </w:rPr>
        <w:t xml:space="preserve">utilizzarli al posto di SBS 2011 Premium. Per agevolare tale utilizzo, per ogni licenza Qualificante in suo possesso, alla società verrà concessa una licenza per Windows Server e una per SQL Server 2012 (secondo il modello Server/CAL), come illustrato nella tabella che segue. </w:t>
      </w:r>
    </w:p>
    <w:p w:rsidR="0004051B" w:rsidRPr="00451078" w:rsidRDefault="0004051B" w:rsidP="000F0F4D">
      <w:pPr>
        <w:ind w:left="720"/>
        <w:rPr>
          <w:lang w:val="it-IT"/>
        </w:rPr>
      </w:pPr>
    </w:p>
    <w:tbl>
      <w:tblPr>
        <w:tblW w:w="8748" w:type="dxa"/>
        <w:tblInd w:w="82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4690"/>
        <w:gridCol w:w="4058"/>
      </w:tblGrid>
      <w:tr w:rsidR="00836655" w:rsidRPr="003410C7" w:rsidTr="00D16723">
        <w:tc>
          <w:tcPr>
            <w:tcW w:w="4690" w:type="dxa"/>
            <w:tcBorders>
              <w:top w:val="single" w:sz="4" w:space="0" w:color="auto"/>
              <w:left w:val="single" w:sz="4" w:space="0" w:color="auto"/>
              <w:bottom w:val="single" w:sz="4" w:space="0" w:color="auto"/>
              <w:right w:val="single" w:sz="4" w:space="0" w:color="auto"/>
            </w:tcBorders>
            <w:shd w:val="clear" w:color="auto" w:fill="F4B083" w:themeFill="accent2" w:themeFillTint="99"/>
            <w:hideMark/>
          </w:tcPr>
          <w:p w:rsidR="00836655" w:rsidRPr="003410C7" w:rsidRDefault="00836655" w:rsidP="00D16723">
            <w:pPr>
              <w:keepNext/>
              <w:spacing w:after="200" w:line="276" w:lineRule="auto"/>
              <w:rPr>
                <w:rFonts w:eastAsia="Calibri" w:cs="Tahoma"/>
                <w:szCs w:val="18"/>
              </w:rPr>
            </w:pPr>
            <w:r w:rsidRPr="003410C7">
              <w:rPr>
                <w:b/>
                <w:color w:val="000000"/>
              </w:rPr>
              <w:t>Licenze Qualificanti</w:t>
            </w:r>
          </w:p>
        </w:tc>
        <w:tc>
          <w:tcPr>
            <w:tcW w:w="4058" w:type="dxa"/>
            <w:tcBorders>
              <w:top w:val="single" w:sz="4" w:space="0" w:color="auto"/>
              <w:left w:val="single" w:sz="4" w:space="0" w:color="auto"/>
              <w:bottom w:val="single" w:sz="4" w:space="0" w:color="auto"/>
              <w:right w:val="single" w:sz="4" w:space="0" w:color="auto"/>
            </w:tcBorders>
            <w:shd w:val="clear" w:color="auto" w:fill="F4B083" w:themeFill="accent2" w:themeFillTint="99"/>
            <w:hideMark/>
          </w:tcPr>
          <w:p w:rsidR="00836655" w:rsidRPr="003410C7" w:rsidRDefault="00836655" w:rsidP="00D16723">
            <w:pPr>
              <w:keepNext/>
              <w:spacing w:after="200" w:line="276" w:lineRule="auto"/>
              <w:rPr>
                <w:rFonts w:eastAsia="Calibri" w:cs="Tahoma"/>
                <w:szCs w:val="18"/>
              </w:rPr>
            </w:pPr>
            <w:r w:rsidRPr="003410C7">
              <w:rPr>
                <w:b/>
                <w:color w:val="000000"/>
              </w:rPr>
              <w:t>Concessione di Licenza</w:t>
            </w:r>
          </w:p>
        </w:tc>
      </w:tr>
      <w:tr w:rsidR="00836655" w:rsidRPr="003410C7" w:rsidTr="00D16723">
        <w:tc>
          <w:tcPr>
            <w:tcW w:w="4690" w:type="dxa"/>
            <w:tcBorders>
              <w:top w:val="single" w:sz="4" w:space="0" w:color="auto"/>
              <w:left w:val="single" w:sz="4" w:space="0" w:color="auto"/>
              <w:bottom w:val="single" w:sz="4" w:space="0" w:color="auto"/>
              <w:right w:val="single" w:sz="4" w:space="0" w:color="auto"/>
            </w:tcBorders>
            <w:shd w:val="clear" w:color="auto" w:fill="auto"/>
            <w:hideMark/>
          </w:tcPr>
          <w:p w:rsidR="00836655" w:rsidRPr="00451078" w:rsidRDefault="00836655" w:rsidP="00D16723">
            <w:pPr>
              <w:keepNext/>
              <w:spacing w:line="276" w:lineRule="auto"/>
              <w:rPr>
                <w:rFonts w:eastAsia="Calibri" w:cs="Tahoma"/>
                <w:szCs w:val="18"/>
                <w:lang w:val="it-IT"/>
              </w:rPr>
            </w:pPr>
            <w:r w:rsidRPr="00451078">
              <w:rPr>
                <w:rFonts w:eastAsia="Calibri" w:cs="Tahoma"/>
                <w:szCs w:val="18"/>
                <w:lang w:val="it-IT"/>
              </w:rPr>
              <w:t>SBS 2011 Premium Add-on con copertura Software Assurance fino al 31 luglio 2012</w:t>
            </w:r>
          </w:p>
        </w:tc>
        <w:tc>
          <w:tcPr>
            <w:tcW w:w="4058" w:type="dxa"/>
            <w:tcBorders>
              <w:top w:val="single" w:sz="4" w:space="0" w:color="auto"/>
              <w:left w:val="single" w:sz="4" w:space="0" w:color="auto"/>
              <w:bottom w:val="single" w:sz="4" w:space="0" w:color="auto"/>
              <w:right w:val="single" w:sz="4" w:space="0" w:color="auto"/>
            </w:tcBorders>
            <w:shd w:val="clear" w:color="auto" w:fill="auto"/>
            <w:hideMark/>
          </w:tcPr>
          <w:p w:rsidR="00836655" w:rsidRPr="003410C7" w:rsidRDefault="00836655" w:rsidP="00D16723">
            <w:pPr>
              <w:keepNext/>
              <w:spacing w:line="276" w:lineRule="auto"/>
            </w:pPr>
            <w:r w:rsidRPr="003410C7">
              <w:rPr>
                <w:rFonts w:eastAsia="Calibri" w:cs="Tahoma"/>
                <w:szCs w:val="18"/>
              </w:rPr>
              <w:t xml:space="preserve">Windows Server 2008 R2 </w:t>
            </w:r>
          </w:p>
          <w:p w:rsidR="00836655" w:rsidRPr="003410C7" w:rsidRDefault="00836655" w:rsidP="00D16723">
            <w:pPr>
              <w:keepNext/>
              <w:spacing w:line="276" w:lineRule="auto"/>
              <w:rPr>
                <w:rFonts w:eastAsia="Calibri" w:cs="Tahoma"/>
                <w:szCs w:val="18"/>
              </w:rPr>
            </w:pPr>
            <w:r w:rsidRPr="003410C7">
              <w:rPr>
                <w:rFonts w:eastAsia="Calibri" w:cs="Tahoma"/>
                <w:szCs w:val="18"/>
              </w:rPr>
              <w:t xml:space="preserve">SQL Server 2012 </w:t>
            </w:r>
          </w:p>
        </w:tc>
      </w:tr>
      <w:tr w:rsidR="00836655" w:rsidRPr="003410C7" w:rsidTr="00D16723">
        <w:tc>
          <w:tcPr>
            <w:tcW w:w="4690" w:type="dxa"/>
            <w:tcBorders>
              <w:top w:val="single" w:sz="4" w:space="0" w:color="auto"/>
              <w:left w:val="single" w:sz="4" w:space="0" w:color="auto"/>
              <w:bottom w:val="single" w:sz="4" w:space="0" w:color="auto"/>
              <w:right w:val="single" w:sz="4" w:space="0" w:color="auto"/>
            </w:tcBorders>
            <w:shd w:val="clear" w:color="auto" w:fill="auto"/>
            <w:hideMark/>
          </w:tcPr>
          <w:p w:rsidR="00836655" w:rsidRPr="00451078" w:rsidRDefault="00836655" w:rsidP="00D16723">
            <w:pPr>
              <w:keepNext/>
              <w:spacing w:line="276" w:lineRule="auto"/>
              <w:rPr>
                <w:rFonts w:eastAsia="Calibri" w:cs="Tahoma"/>
                <w:szCs w:val="18"/>
                <w:lang w:val="it-IT"/>
              </w:rPr>
            </w:pPr>
            <w:r w:rsidRPr="00451078">
              <w:rPr>
                <w:rFonts w:eastAsia="Calibri" w:cs="Tahoma"/>
                <w:szCs w:val="18"/>
                <w:lang w:val="it-IT"/>
              </w:rPr>
              <w:t>SBS 2011 Premium Add-on con copertura Software Assurance in data 1 agosto 2012 o successiva</w:t>
            </w:r>
          </w:p>
        </w:tc>
        <w:tc>
          <w:tcPr>
            <w:tcW w:w="4058" w:type="dxa"/>
            <w:tcBorders>
              <w:top w:val="single" w:sz="4" w:space="0" w:color="auto"/>
              <w:left w:val="single" w:sz="4" w:space="0" w:color="auto"/>
              <w:bottom w:val="single" w:sz="4" w:space="0" w:color="auto"/>
              <w:right w:val="single" w:sz="4" w:space="0" w:color="auto"/>
            </w:tcBorders>
            <w:shd w:val="clear" w:color="auto" w:fill="auto"/>
            <w:hideMark/>
          </w:tcPr>
          <w:p w:rsidR="00836655" w:rsidRPr="003410C7" w:rsidRDefault="00836655" w:rsidP="00D16723">
            <w:pPr>
              <w:keepNext/>
              <w:spacing w:line="276" w:lineRule="auto"/>
            </w:pPr>
            <w:r w:rsidRPr="003410C7">
              <w:rPr>
                <w:rFonts w:eastAsia="Calibri" w:cs="Tahoma"/>
                <w:szCs w:val="18"/>
              </w:rPr>
              <w:t>Windows Server 2012 con Software Assurance</w:t>
            </w:r>
          </w:p>
          <w:p w:rsidR="00836655" w:rsidRPr="003410C7" w:rsidRDefault="00836655" w:rsidP="00D16723">
            <w:pPr>
              <w:keepNext/>
              <w:spacing w:line="276" w:lineRule="auto"/>
              <w:rPr>
                <w:rFonts w:eastAsia="Calibri" w:cs="Tahoma"/>
                <w:szCs w:val="18"/>
              </w:rPr>
            </w:pPr>
            <w:r w:rsidRPr="003410C7">
              <w:rPr>
                <w:rFonts w:eastAsia="Calibri" w:cs="Tahoma"/>
                <w:szCs w:val="18"/>
              </w:rPr>
              <w:t>SQL Server 2012 con Software Assurance</w:t>
            </w:r>
          </w:p>
        </w:tc>
      </w:tr>
    </w:tbl>
    <w:p w:rsidR="000F0F4D" w:rsidRPr="00F26041" w:rsidRDefault="000F0F4D" w:rsidP="000F0F4D">
      <w:pPr>
        <w:pStyle w:val="ListParagraph"/>
        <w:spacing w:after="100" w:afterAutospacing="1"/>
        <w:rPr>
          <w:rFonts w:ascii="Tahoma" w:hAnsi="Tahoma" w:cs="Tahoma"/>
          <w:sz w:val="18"/>
          <w:szCs w:val="18"/>
        </w:rPr>
      </w:pPr>
    </w:p>
    <w:p w:rsidR="00836655" w:rsidRPr="00451078" w:rsidRDefault="00836655" w:rsidP="000F0F4D">
      <w:pPr>
        <w:pStyle w:val="ListParagraph"/>
        <w:contextualSpacing w:val="0"/>
        <w:rPr>
          <w:rFonts w:ascii="Tahoma" w:hAnsi="Tahoma" w:cs="Tahoma"/>
          <w:sz w:val="18"/>
          <w:szCs w:val="18"/>
          <w:lang w:val="it-IT"/>
        </w:rPr>
      </w:pPr>
      <w:r w:rsidRPr="00451078">
        <w:rPr>
          <w:rFonts w:ascii="Tahoma" w:eastAsia="Calibri" w:hAnsi="Tahoma" w:cs="Tahoma"/>
          <w:sz w:val="18"/>
          <w:szCs w:val="18"/>
          <w:lang w:val="it-IT"/>
        </w:rPr>
        <w:t xml:space="preserve">La copertura Software Assurance inclusa nella suddetta concessione scade alla scadenza della corrispondente copertura per le Licenze Qualificanti. In via eccezionale, le società con copertura Software Assurance attiva per le Licenze Qualificanti in scadenza nel mese di </w:t>
      </w:r>
      <w:r w:rsidRPr="00451078">
        <w:rPr>
          <w:rStyle w:val="CommentReference"/>
          <w:rFonts w:ascii="Tahoma" w:hAnsi="Tahoma" w:cs="Tahoma"/>
          <w:sz w:val="18"/>
          <w:szCs w:val="18"/>
          <w:lang w:val="it-IT"/>
        </w:rPr>
        <w:t>agosto</w:t>
      </w:r>
      <w:r w:rsidRPr="00451078">
        <w:rPr>
          <w:rFonts w:ascii="Tahoma" w:eastAsia="Calibri" w:hAnsi="Tahoma" w:cs="Tahoma"/>
          <w:sz w:val="18"/>
          <w:szCs w:val="18"/>
          <w:lang w:val="it-IT"/>
        </w:rPr>
        <w:t xml:space="preserve"> 2012 hanno la possibilità fino al</w:t>
      </w:r>
      <w:r w:rsidR="00F26041" w:rsidRPr="00451078">
        <w:rPr>
          <w:rFonts w:ascii="Tahoma" w:eastAsia="Calibri" w:hAnsi="Tahoma" w:cs="Tahoma"/>
          <w:sz w:val="18"/>
          <w:szCs w:val="18"/>
          <w:lang w:val="it-IT"/>
        </w:rPr>
        <w:t> </w:t>
      </w:r>
      <w:r w:rsidRPr="00451078">
        <w:rPr>
          <w:rFonts w:ascii="Tahoma" w:eastAsia="Calibri" w:hAnsi="Tahoma" w:cs="Tahoma"/>
          <w:sz w:val="18"/>
          <w:szCs w:val="18"/>
          <w:lang w:val="it-IT"/>
        </w:rPr>
        <w:t>31 dicembre 2012 di rinnovare la copertura per le licenze ottenute ai sensi della presente offerta.</w:t>
      </w:r>
    </w:p>
    <w:p w:rsidR="000F0F4D" w:rsidRPr="00451078" w:rsidRDefault="000F0F4D" w:rsidP="000F0F4D">
      <w:pPr>
        <w:pStyle w:val="ListParagraph"/>
        <w:contextualSpacing w:val="0"/>
        <w:rPr>
          <w:rFonts w:ascii="Tahoma" w:hAnsi="Tahoma" w:cs="Tahoma"/>
          <w:sz w:val="18"/>
          <w:szCs w:val="18"/>
          <w:lang w:val="it-IT"/>
        </w:rPr>
      </w:pPr>
    </w:p>
    <w:p w:rsidR="00836655" w:rsidRPr="00451078" w:rsidRDefault="00836655" w:rsidP="000F0F4D">
      <w:pPr>
        <w:spacing w:line="276" w:lineRule="auto"/>
        <w:ind w:left="720"/>
        <w:rPr>
          <w:rFonts w:cs="Tahoma"/>
          <w:szCs w:val="18"/>
          <w:lang w:val="it-IT"/>
        </w:rPr>
      </w:pPr>
      <w:r w:rsidRPr="00451078">
        <w:rPr>
          <w:rFonts w:cs="Tahoma"/>
          <w:color w:val="000000"/>
          <w:szCs w:val="18"/>
          <w:lang w:val="it-IT"/>
        </w:rPr>
        <w:t>Le società con copertura Software Assurance attiva per le Licenze Qualificanti in scadenza nel mese di luglio</w:t>
      </w:r>
      <w:r w:rsidR="00F26041" w:rsidRPr="00451078">
        <w:rPr>
          <w:rFonts w:cs="Tahoma"/>
          <w:color w:val="000000"/>
          <w:szCs w:val="18"/>
          <w:lang w:val="it-IT"/>
        </w:rPr>
        <w:t> </w:t>
      </w:r>
      <w:r w:rsidRPr="00451078">
        <w:rPr>
          <w:rFonts w:cs="Tahoma"/>
          <w:color w:val="000000"/>
          <w:szCs w:val="18"/>
          <w:lang w:val="it-IT"/>
        </w:rPr>
        <w:t xml:space="preserve">2012 hanno la possibilità </w:t>
      </w:r>
      <w:r w:rsidRPr="00451078">
        <w:rPr>
          <w:rFonts w:eastAsia="Calibri" w:cs="Tahoma"/>
          <w:szCs w:val="18"/>
          <w:lang w:val="it-IT"/>
        </w:rPr>
        <w:t>fino al 31 dicembre 2012 di acquistare la copertura per le licenze ricevute in</w:t>
      </w:r>
      <w:r w:rsidR="00F26041" w:rsidRPr="00451078">
        <w:rPr>
          <w:rFonts w:eastAsia="Calibri" w:cs="Tahoma"/>
          <w:szCs w:val="18"/>
          <w:lang w:val="it-IT"/>
        </w:rPr>
        <w:t> </w:t>
      </w:r>
      <w:r w:rsidRPr="00451078">
        <w:rPr>
          <w:rFonts w:eastAsia="Calibri" w:cs="Tahoma"/>
          <w:szCs w:val="18"/>
          <w:lang w:val="it-IT"/>
        </w:rPr>
        <w:t>concessione ai sensi della presente offerta.</w:t>
      </w:r>
    </w:p>
    <w:p w:rsidR="000F0F4D" w:rsidRPr="00451078" w:rsidRDefault="000F0F4D" w:rsidP="000F0F4D">
      <w:pPr>
        <w:spacing w:line="276" w:lineRule="auto"/>
        <w:ind w:left="720"/>
        <w:rPr>
          <w:rFonts w:cs="Tahoma"/>
          <w:szCs w:val="18"/>
          <w:lang w:val="it-IT"/>
        </w:rPr>
      </w:pPr>
    </w:p>
    <w:p w:rsidR="00836655" w:rsidRPr="00451078" w:rsidRDefault="00836655" w:rsidP="000F0F4D">
      <w:pPr>
        <w:pStyle w:val="ListParagraph"/>
        <w:contextualSpacing w:val="0"/>
        <w:rPr>
          <w:rFonts w:ascii="Tahoma" w:hAnsi="Tahoma" w:cs="Tahoma"/>
          <w:sz w:val="18"/>
          <w:szCs w:val="18"/>
          <w:lang w:val="it-IT"/>
        </w:rPr>
      </w:pPr>
      <w:r w:rsidRPr="00451078">
        <w:rPr>
          <w:rFonts w:ascii="Tahoma" w:eastAsia="Calibri" w:hAnsi="Tahoma" w:cs="Tahoma"/>
          <w:sz w:val="18"/>
          <w:szCs w:val="18"/>
          <w:lang w:val="it-IT"/>
        </w:rPr>
        <w:t>Nel caso in cui le società abbiano acquistato diritti perpetui per utilizzare software ai sensi di Licenze Qualificanti, le licenze acquistate ai sensi della presente concessione saranno anch</w:t>
      </w:r>
      <w:r w:rsidR="0073727D">
        <w:rPr>
          <w:rFonts w:ascii="Tahoma" w:eastAsia="Calibri" w:hAnsi="Tahoma" w:cs="Tahoma"/>
          <w:sz w:val="18"/>
          <w:szCs w:val="18"/>
          <w:lang w:val="it-IT"/>
        </w:rPr>
        <w:t>’</w:t>
      </w:r>
      <w:r w:rsidRPr="00451078">
        <w:rPr>
          <w:rFonts w:ascii="Tahoma" w:eastAsia="Calibri" w:hAnsi="Tahoma" w:cs="Tahoma"/>
          <w:sz w:val="18"/>
          <w:szCs w:val="18"/>
          <w:lang w:val="it-IT"/>
        </w:rPr>
        <w:t>esse perpetue; diversamente, le licenze acquistate ai sensi della presente concessione cesseranno alla scadenza delle Licenze Qualificanti sottostanti.</w:t>
      </w:r>
    </w:p>
    <w:p w:rsidR="000F0F4D" w:rsidRPr="00451078" w:rsidRDefault="000F0F4D" w:rsidP="000F0F4D">
      <w:pPr>
        <w:pStyle w:val="ListParagraph"/>
        <w:contextualSpacing w:val="0"/>
        <w:rPr>
          <w:rFonts w:ascii="Tahoma" w:hAnsi="Tahoma" w:cs="Tahoma"/>
          <w:sz w:val="18"/>
          <w:szCs w:val="18"/>
          <w:lang w:val="it-IT"/>
        </w:rPr>
      </w:pPr>
    </w:p>
    <w:p w:rsidR="00836655" w:rsidRPr="00451078" w:rsidRDefault="00836655" w:rsidP="000F0F4D">
      <w:pPr>
        <w:pStyle w:val="ListParagraph"/>
        <w:contextualSpacing w:val="0"/>
        <w:rPr>
          <w:rFonts w:ascii="Tahoma" w:hAnsi="Tahoma" w:cs="Tahoma"/>
          <w:sz w:val="18"/>
          <w:szCs w:val="18"/>
          <w:lang w:val="it-IT"/>
        </w:rPr>
      </w:pPr>
      <w:r w:rsidRPr="00451078">
        <w:rPr>
          <w:rFonts w:ascii="Tahoma" w:eastAsia="Calibri" w:hAnsi="Tahoma" w:cs="Tahoma"/>
          <w:sz w:val="18"/>
          <w:szCs w:val="18"/>
          <w:lang w:val="it-IT"/>
        </w:rPr>
        <w:t>Per ogni Licenza Qualificante acquistata ai sensi del contratto Open Value Subscription, una società potrà eseguire il buy-out di una licenza per SBS 2011 Premium Add-on come indicato o di:</w:t>
      </w:r>
    </w:p>
    <w:p w:rsidR="000F0F4D" w:rsidRPr="00451078" w:rsidRDefault="000F0F4D" w:rsidP="000F0F4D">
      <w:pPr>
        <w:pStyle w:val="ListParagraph"/>
        <w:contextualSpacing w:val="0"/>
        <w:rPr>
          <w:rFonts w:ascii="Tahoma" w:hAnsi="Tahoma" w:cs="Tahoma"/>
          <w:sz w:val="18"/>
          <w:szCs w:val="18"/>
          <w:lang w:val="it-IT"/>
        </w:rPr>
      </w:pPr>
    </w:p>
    <w:p w:rsidR="00836655" w:rsidRPr="00451078" w:rsidRDefault="00836655" w:rsidP="00745AB3">
      <w:pPr>
        <w:pStyle w:val="ListParagraph"/>
        <w:numPr>
          <w:ilvl w:val="1"/>
          <w:numId w:val="99"/>
        </w:numPr>
        <w:tabs>
          <w:tab w:val="clear" w:pos="1440"/>
        </w:tabs>
        <w:spacing w:after="60"/>
        <w:contextualSpacing w:val="0"/>
        <w:rPr>
          <w:rFonts w:ascii="Tahoma" w:hAnsi="Tahoma" w:cs="Tahoma"/>
          <w:sz w:val="18"/>
          <w:szCs w:val="18"/>
          <w:lang w:val="it-IT"/>
        </w:rPr>
      </w:pPr>
      <w:r w:rsidRPr="00451078">
        <w:rPr>
          <w:rFonts w:ascii="Tahoma" w:eastAsia="Calibri" w:hAnsi="Tahoma" w:cs="Tahoma"/>
          <w:sz w:val="18"/>
          <w:szCs w:val="18"/>
          <w:lang w:val="it-IT"/>
        </w:rPr>
        <w:t>Una licenza per Windows Server 2012 Standard e una per SQL Server 2012 Standard (ricevute in</w:t>
      </w:r>
      <w:r w:rsidR="00F26041" w:rsidRPr="00451078">
        <w:rPr>
          <w:rFonts w:ascii="Tahoma" w:eastAsia="Calibri" w:hAnsi="Tahoma" w:cs="Tahoma"/>
          <w:sz w:val="18"/>
          <w:szCs w:val="18"/>
          <w:lang w:val="it-IT"/>
        </w:rPr>
        <w:t> </w:t>
      </w:r>
      <w:r w:rsidRPr="00451078">
        <w:rPr>
          <w:rFonts w:ascii="Tahoma" w:eastAsia="Calibri" w:hAnsi="Tahoma" w:cs="Tahoma"/>
          <w:sz w:val="18"/>
          <w:szCs w:val="18"/>
          <w:lang w:val="it-IT"/>
        </w:rPr>
        <w:t>licenza secondo il modello Server/CAL) per i contratti in scadenza in data 1 agosto 2012 o successiva oppure</w:t>
      </w:r>
    </w:p>
    <w:p w:rsidR="00836655" w:rsidRPr="00451078" w:rsidRDefault="00836655" w:rsidP="00745AB3">
      <w:pPr>
        <w:pStyle w:val="ListParagraph"/>
        <w:numPr>
          <w:ilvl w:val="1"/>
          <w:numId w:val="99"/>
        </w:numPr>
        <w:tabs>
          <w:tab w:val="clear" w:pos="1440"/>
        </w:tabs>
        <w:spacing w:after="60"/>
        <w:contextualSpacing w:val="0"/>
        <w:rPr>
          <w:rFonts w:ascii="Tahoma" w:hAnsi="Tahoma" w:cs="Tahoma"/>
          <w:sz w:val="18"/>
          <w:szCs w:val="18"/>
          <w:lang w:val="it-IT"/>
        </w:rPr>
      </w:pPr>
      <w:r w:rsidRPr="00451078">
        <w:rPr>
          <w:rFonts w:ascii="Tahoma" w:eastAsia="Calibri" w:hAnsi="Tahoma" w:cs="Tahoma"/>
          <w:sz w:val="18"/>
          <w:szCs w:val="18"/>
          <w:lang w:val="it-IT"/>
        </w:rPr>
        <w:lastRenderedPageBreak/>
        <w:t>Una licenza per Windows Server 2008 R2 Standard e una per SQL Server 2012 Standard (ricevute in licenza secondo il modello Server/CAL) per i contratti in scadenza nel mese di luglio 2012.</w:t>
      </w:r>
    </w:p>
    <w:p w:rsidR="000F0F4D" w:rsidRPr="00451078" w:rsidRDefault="000F0F4D" w:rsidP="000F0F4D">
      <w:pPr>
        <w:spacing w:line="276" w:lineRule="auto"/>
        <w:ind w:left="720"/>
        <w:rPr>
          <w:rFonts w:cs="Tahoma"/>
          <w:szCs w:val="18"/>
          <w:lang w:val="it-IT"/>
        </w:rPr>
      </w:pPr>
    </w:p>
    <w:p w:rsidR="00836655" w:rsidRPr="00451078" w:rsidRDefault="00836655" w:rsidP="000F0F4D">
      <w:pPr>
        <w:spacing w:line="276" w:lineRule="auto"/>
        <w:ind w:left="720"/>
        <w:rPr>
          <w:lang w:val="it-IT"/>
        </w:rPr>
      </w:pPr>
      <w:r w:rsidRPr="00451078">
        <w:rPr>
          <w:rFonts w:eastAsia="Calibri" w:cs="Tahoma"/>
          <w:szCs w:val="18"/>
          <w:lang w:val="it-IT"/>
        </w:rPr>
        <w:t>Eseguendo l</w:t>
      </w:r>
      <w:r w:rsidR="0073727D">
        <w:rPr>
          <w:rFonts w:eastAsia="Calibri" w:cs="Tahoma"/>
          <w:szCs w:val="18"/>
          <w:lang w:val="it-IT"/>
        </w:rPr>
        <w:t>’</w:t>
      </w:r>
      <w:r w:rsidRPr="00451078">
        <w:rPr>
          <w:rFonts w:eastAsia="Calibri" w:cs="Tahoma"/>
          <w:szCs w:val="18"/>
          <w:lang w:val="it-IT"/>
        </w:rPr>
        <w:t>aggiornamento a Windows Server Standard e a SQL Server 2012 Standard ai sensi della presente concessione, le Licenze Qualificanti in essere per SBS Premium Add-on non saranno più valide.</w:t>
      </w:r>
    </w:p>
    <w:p w:rsidR="000F0F4D" w:rsidRPr="00451078" w:rsidRDefault="000F0F4D" w:rsidP="000F0F4D">
      <w:pPr>
        <w:spacing w:line="276" w:lineRule="auto"/>
        <w:ind w:left="720"/>
        <w:rPr>
          <w:lang w:val="it-IT"/>
        </w:rPr>
      </w:pPr>
    </w:p>
    <w:p w:rsidR="00836655" w:rsidRPr="00451078" w:rsidRDefault="00836655" w:rsidP="000F0F4D">
      <w:pPr>
        <w:spacing w:line="276" w:lineRule="auto"/>
        <w:ind w:left="720"/>
        <w:rPr>
          <w:lang w:val="it-IT"/>
        </w:rPr>
      </w:pPr>
      <w:r w:rsidRPr="00451078">
        <w:rPr>
          <w:rFonts w:eastAsia="Calibri" w:cs="Tahoma"/>
          <w:szCs w:val="18"/>
          <w:lang w:val="it-IT"/>
        </w:rPr>
        <w:t>Le licenze per SBS 2011 Premium Add-on acquistate successivamente nello stesso periodo di validità dell</w:t>
      </w:r>
      <w:r w:rsidR="0073727D">
        <w:rPr>
          <w:rFonts w:eastAsia="Calibri" w:cs="Tahoma"/>
          <w:szCs w:val="18"/>
          <w:lang w:val="it-IT"/>
        </w:rPr>
        <w:t>’</w:t>
      </w:r>
      <w:r w:rsidRPr="00451078">
        <w:rPr>
          <w:rFonts w:eastAsia="Calibri" w:cs="Tahoma"/>
          <w:szCs w:val="18"/>
          <w:lang w:val="it-IT"/>
        </w:rPr>
        <w:t>iscrizione nell</w:t>
      </w:r>
      <w:r w:rsidR="0073727D">
        <w:rPr>
          <w:rFonts w:eastAsia="Calibri" w:cs="Tahoma"/>
          <w:szCs w:val="18"/>
          <w:lang w:val="it-IT"/>
        </w:rPr>
        <w:t>’</w:t>
      </w:r>
      <w:r w:rsidRPr="00451078">
        <w:rPr>
          <w:rFonts w:eastAsia="Calibri" w:cs="Tahoma"/>
          <w:szCs w:val="18"/>
          <w:lang w:val="it-IT"/>
        </w:rPr>
        <w:t>ambito di una procedura pianificata di true-up di una società Open Value Subscription o</w:t>
      </w:r>
      <w:r w:rsidR="00F26041" w:rsidRPr="00451078">
        <w:rPr>
          <w:rFonts w:eastAsia="Calibri" w:cs="Tahoma"/>
          <w:szCs w:val="18"/>
          <w:lang w:val="it-IT"/>
        </w:rPr>
        <w:t> </w:t>
      </w:r>
      <w:r w:rsidRPr="00451078">
        <w:rPr>
          <w:rFonts w:eastAsia="Calibri" w:cs="Tahoma"/>
          <w:szCs w:val="18"/>
          <w:lang w:val="it-IT"/>
        </w:rPr>
        <w:t>EES sono anch</w:t>
      </w:r>
      <w:r w:rsidR="0073727D">
        <w:rPr>
          <w:rFonts w:eastAsia="Calibri" w:cs="Tahoma"/>
          <w:szCs w:val="18"/>
          <w:lang w:val="it-IT"/>
        </w:rPr>
        <w:t>’</w:t>
      </w:r>
      <w:r w:rsidRPr="00451078">
        <w:rPr>
          <w:rFonts w:eastAsia="Calibri" w:cs="Tahoma"/>
          <w:szCs w:val="18"/>
          <w:lang w:val="it-IT"/>
        </w:rPr>
        <w:t>esse Licenze Qualificanti per gli scopi previsti dalla suddetta concessione.</w:t>
      </w:r>
    </w:p>
    <w:p w:rsidR="009B1D83" w:rsidRPr="00451078" w:rsidRDefault="009B1D83" w:rsidP="00EF2279">
      <w:pPr>
        <w:rPr>
          <w:lang w:val="it-IT"/>
        </w:rPr>
      </w:pPr>
    </w:p>
    <w:p w:rsidR="00F26041" w:rsidRPr="00451078" w:rsidRDefault="00F26041" w:rsidP="00EF2279">
      <w:pPr>
        <w:rPr>
          <w:lang w:val="it-IT"/>
        </w:rPr>
      </w:pPr>
    </w:p>
    <w:p w:rsidR="00E06578" w:rsidRPr="003410C7" w:rsidRDefault="00BA29A7" w:rsidP="00EF2279">
      <w:pPr>
        <w:pStyle w:val="Heading2"/>
        <w:ind w:left="0"/>
      </w:pPr>
      <w:bookmarkStart w:id="1590" w:name="_124_Windows_Small"/>
      <w:bookmarkStart w:id="1591" w:name="_112_Windows_Small"/>
      <w:bookmarkStart w:id="1592" w:name="_113_Premium_Add-on"/>
      <w:bookmarkStart w:id="1593" w:name="_Toc336338380"/>
      <w:bookmarkStart w:id="1594" w:name="_Toc352234966"/>
      <w:bookmarkEnd w:id="1590"/>
      <w:bookmarkEnd w:id="1591"/>
      <w:bookmarkEnd w:id="1592"/>
      <w:r w:rsidRPr="003410C7">
        <w:rPr>
          <w:rFonts w:ascii="Tahoma" w:hAnsi="Tahoma" w:cs="Tahoma"/>
          <w:caps/>
          <w:color w:val="EE6000"/>
          <w:sz w:val="22"/>
          <w:szCs w:val="18"/>
          <w:vertAlign w:val="superscript"/>
        </w:rPr>
        <w:t>113</w:t>
      </w:r>
      <w:r w:rsidRPr="003410C7">
        <w:rPr>
          <w:rFonts w:ascii="Tahoma" w:hAnsi="Tahoma" w:cs="Tahoma"/>
          <w:color w:val="EE6000"/>
          <w:sz w:val="22"/>
          <w:szCs w:val="18"/>
        </w:rPr>
        <w:t xml:space="preserve"> </w:t>
      </w:r>
      <w:r w:rsidRPr="003410C7">
        <w:rPr>
          <w:rFonts w:ascii="Tahoma" w:hAnsi="Tahoma" w:cs="Tahoma"/>
          <w:color w:val="F8701C"/>
          <w:sz w:val="22"/>
          <w:szCs w:val="22"/>
        </w:rPr>
        <w:t>Premium Add-on CAL Suite per Windows Small Business Server (SBS) 2011</w:t>
      </w:r>
      <w:bookmarkEnd w:id="1593"/>
      <w:bookmarkEnd w:id="1594"/>
    </w:p>
    <w:p w:rsidR="00E06578" w:rsidRPr="003410C7" w:rsidRDefault="00E06578" w:rsidP="00910113">
      <w:pPr>
        <w:ind w:left="720"/>
      </w:pPr>
    </w:p>
    <w:p w:rsidR="00910113" w:rsidRPr="00451078" w:rsidRDefault="00836655" w:rsidP="00910113">
      <w:pPr>
        <w:spacing w:after="60"/>
        <w:ind w:left="720"/>
        <w:rPr>
          <w:lang w:val="it-IT"/>
        </w:rPr>
      </w:pPr>
      <w:r w:rsidRPr="00451078">
        <w:rPr>
          <w:b/>
          <w:color w:val="000000"/>
          <w:lang w:val="it-IT"/>
        </w:rPr>
        <w:t>Concessioni di licenza associate alla fine del ciclo di vita della Premium Add-on CAL Suite per SBS 2011</w:t>
      </w:r>
    </w:p>
    <w:p w:rsidR="002512D3" w:rsidRPr="00451078" w:rsidRDefault="00836655" w:rsidP="00003601">
      <w:pPr>
        <w:ind w:left="720"/>
        <w:rPr>
          <w:lang w:val="it-IT"/>
        </w:rPr>
      </w:pPr>
      <w:r w:rsidRPr="00451078">
        <w:rPr>
          <w:lang w:val="it-IT"/>
        </w:rPr>
        <w:t>Le società con copertura Software Assurance attiva per la Premium Add-on CAL Suite per SBS 2011 (</w:t>
      </w:r>
      <w:r w:rsidR="001A3EC5" w:rsidRPr="00451078">
        <w:rPr>
          <w:lang w:val="it-IT"/>
        </w:rPr>
        <w:t>“</w:t>
      </w:r>
      <w:r w:rsidRPr="00451078">
        <w:rPr>
          <w:lang w:val="it-IT"/>
        </w:rPr>
        <w:t>Licenze CAL Qualificanti</w:t>
      </w:r>
      <w:r w:rsidR="001A3EC5" w:rsidRPr="00451078">
        <w:rPr>
          <w:lang w:val="it-IT"/>
        </w:rPr>
        <w:t>”</w:t>
      </w:r>
      <w:r w:rsidRPr="00451078">
        <w:rPr>
          <w:lang w:val="it-IT"/>
        </w:rPr>
        <w:t>) sono idonee ad accedere al software Windows Server Standard e SQL Server 2012 Standard. Per ogni Premium Add-on CAL Suite per SBS 2011 qualificante in suo possesso in data 1</w:t>
      </w:r>
      <w:r w:rsidR="00F26041" w:rsidRPr="00451078">
        <w:rPr>
          <w:lang w:val="it-IT"/>
        </w:rPr>
        <w:t> </w:t>
      </w:r>
      <w:r w:rsidRPr="00451078">
        <w:rPr>
          <w:lang w:val="it-IT"/>
        </w:rPr>
        <w:t>agosto 2012, alla società verrà concessa una licenza CAL per Windows Server 2012 e una licenza CAL per</w:t>
      </w:r>
      <w:r w:rsidR="00F26041" w:rsidRPr="00451078">
        <w:rPr>
          <w:lang w:val="it-IT"/>
        </w:rPr>
        <w:t> </w:t>
      </w:r>
      <w:r w:rsidRPr="00451078">
        <w:rPr>
          <w:lang w:val="it-IT"/>
        </w:rPr>
        <w:t xml:space="preserve">SQL Server 2012 con copertura Software Assurance. </w:t>
      </w:r>
      <w:r w:rsidRPr="00451078">
        <w:rPr>
          <w:rFonts w:eastAsia="Calibri" w:cs="Tahoma"/>
          <w:szCs w:val="18"/>
          <w:lang w:val="it-IT"/>
        </w:rPr>
        <w:t xml:space="preserve">Per agevolare tale utilizzo, per ogni Licenza CAL Qualificante in suo possesso, alla società verrà concessa una licenza per Windows Server e una per SQL Server 2012 (secondo il modello Server/CAL), come illustrato nella tabella che segue. </w:t>
      </w:r>
    </w:p>
    <w:p w:rsidR="00836655" w:rsidRPr="00451078" w:rsidRDefault="00836655" w:rsidP="00910113">
      <w:pPr>
        <w:ind w:left="720"/>
        <w:rPr>
          <w:lang w:val="it-IT"/>
        </w:rPr>
      </w:pPr>
    </w:p>
    <w:tbl>
      <w:tblPr>
        <w:tblW w:w="0" w:type="auto"/>
        <w:tblInd w:w="82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3960"/>
        <w:gridCol w:w="4788"/>
      </w:tblGrid>
      <w:tr w:rsidR="00836655" w:rsidRPr="003410C7" w:rsidTr="006E5A58">
        <w:tc>
          <w:tcPr>
            <w:tcW w:w="3960" w:type="dxa"/>
            <w:tcBorders>
              <w:top w:val="single" w:sz="4" w:space="0" w:color="auto"/>
              <w:left w:val="single" w:sz="4" w:space="0" w:color="auto"/>
              <w:bottom w:val="single" w:sz="4" w:space="0" w:color="auto"/>
              <w:right w:val="single" w:sz="4" w:space="0" w:color="auto"/>
            </w:tcBorders>
            <w:shd w:val="clear" w:color="auto" w:fill="F4B083" w:themeFill="accent2" w:themeFillTint="99"/>
            <w:hideMark/>
          </w:tcPr>
          <w:p w:rsidR="00836655" w:rsidRPr="003410C7" w:rsidRDefault="00836655" w:rsidP="000A5032">
            <w:pPr>
              <w:spacing w:after="200" w:line="276" w:lineRule="auto"/>
              <w:rPr>
                <w:rFonts w:eastAsia="Calibri" w:cs="Tahoma"/>
                <w:szCs w:val="18"/>
              </w:rPr>
            </w:pPr>
            <w:r w:rsidRPr="003410C7">
              <w:rPr>
                <w:b/>
                <w:color w:val="000000"/>
              </w:rPr>
              <w:t>Licenze Qualificanti</w:t>
            </w:r>
          </w:p>
        </w:tc>
        <w:tc>
          <w:tcPr>
            <w:tcW w:w="4788" w:type="dxa"/>
            <w:tcBorders>
              <w:top w:val="single" w:sz="4" w:space="0" w:color="auto"/>
              <w:left w:val="single" w:sz="4" w:space="0" w:color="auto"/>
              <w:bottom w:val="single" w:sz="4" w:space="0" w:color="auto"/>
              <w:right w:val="single" w:sz="4" w:space="0" w:color="auto"/>
            </w:tcBorders>
            <w:shd w:val="clear" w:color="auto" w:fill="F4B083" w:themeFill="accent2" w:themeFillTint="99"/>
            <w:hideMark/>
          </w:tcPr>
          <w:p w:rsidR="00836655" w:rsidRPr="003410C7" w:rsidRDefault="00836655" w:rsidP="000A5032">
            <w:pPr>
              <w:spacing w:after="200" w:line="276" w:lineRule="auto"/>
              <w:rPr>
                <w:rFonts w:eastAsia="Calibri" w:cs="Tahoma"/>
                <w:szCs w:val="18"/>
              </w:rPr>
            </w:pPr>
            <w:r w:rsidRPr="003410C7">
              <w:rPr>
                <w:b/>
                <w:color w:val="000000"/>
              </w:rPr>
              <w:t>Concessione di Licenza</w:t>
            </w:r>
          </w:p>
        </w:tc>
      </w:tr>
      <w:tr w:rsidR="00836655" w:rsidRPr="005E4903" w:rsidTr="006E5A58">
        <w:tc>
          <w:tcPr>
            <w:tcW w:w="3960" w:type="dxa"/>
            <w:tcBorders>
              <w:top w:val="single" w:sz="4" w:space="0" w:color="auto"/>
              <w:left w:val="single" w:sz="4" w:space="0" w:color="auto"/>
              <w:bottom w:val="single" w:sz="4" w:space="0" w:color="auto"/>
              <w:right w:val="single" w:sz="4" w:space="0" w:color="auto"/>
            </w:tcBorders>
            <w:shd w:val="clear" w:color="auto" w:fill="auto"/>
            <w:hideMark/>
          </w:tcPr>
          <w:p w:rsidR="00836655" w:rsidRPr="00451078" w:rsidRDefault="00836655" w:rsidP="00CA14C9">
            <w:pPr>
              <w:spacing w:line="276" w:lineRule="auto"/>
              <w:rPr>
                <w:rFonts w:eastAsia="Calibri" w:cs="Tahoma"/>
                <w:szCs w:val="18"/>
                <w:lang w:val="it-IT"/>
              </w:rPr>
            </w:pPr>
            <w:r w:rsidRPr="00451078">
              <w:rPr>
                <w:rFonts w:eastAsia="Calibri" w:cs="Tahoma"/>
                <w:szCs w:val="18"/>
                <w:lang w:val="it-IT"/>
              </w:rPr>
              <w:t>CAL Suite per SBS 2011 Premium Add-on con copertura Software Assurance fino al 31 luglio 2012</w:t>
            </w:r>
          </w:p>
        </w:tc>
        <w:tc>
          <w:tcPr>
            <w:tcW w:w="4788" w:type="dxa"/>
            <w:tcBorders>
              <w:top w:val="single" w:sz="4" w:space="0" w:color="auto"/>
              <w:left w:val="single" w:sz="4" w:space="0" w:color="auto"/>
              <w:bottom w:val="single" w:sz="4" w:space="0" w:color="auto"/>
              <w:right w:val="single" w:sz="4" w:space="0" w:color="auto"/>
            </w:tcBorders>
            <w:shd w:val="clear" w:color="auto" w:fill="auto"/>
            <w:hideMark/>
          </w:tcPr>
          <w:p w:rsidR="00836655" w:rsidRPr="00451078" w:rsidRDefault="00836655" w:rsidP="00CA14C9">
            <w:pPr>
              <w:spacing w:line="276" w:lineRule="auto"/>
              <w:rPr>
                <w:lang w:val="it-IT"/>
              </w:rPr>
            </w:pPr>
            <w:r w:rsidRPr="00451078">
              <w:rPr>
                <w:rFonts w:eastAsia="Calibri" w:cs="Tahoma"/>
                <w:szCs w:val="18"/>
                <w:lang w:val="it-IT"/>
              </w:rPr>
              <w:t>Licenza CAL per Windows Server 2008 R2</w:t>
            </w:r>
          </w:p>
          <w:p w:rsidR="00836655" w:rsidRPr="00451078" w:rsidRDefault="00836655" w:rsidP="00CA14C9">
            <w:pPr>
              <w:spacing w:line="276" w:lineRule="auto"/>
              <w:rPr>
                <w:rFonts w:eastAsia="Calibri" w:cs="Tahoma"/>
                <w:szCs w:val="18"/>
                <w:lang w:val="it-IT"/>
              </w:rPr>
            </w:pPr>
            <w:r w:rsidRPr="00451078">
              <w:rPr>
                <w:rFonts w:eastAsia="Calibri" w:cs="Tahoma"/>
                <w:szCs w:val="18"/>
                <w:lang w:val="it-IT"/>
              </w:rPr>
              <w:t>Licenza CAL per SQL Server 2012</w:t>
            </w:r>
          </w:p>
        </w:tc>
      </w:tr>
      <w:tr w:rsidR="00836655" w:rsidRPr="005E4903" w:rsidTr="006E5A58">
        <w:tc>
          <w:tcPr>
            <w:tcW w:w="3960" w:type="dxa"/>
            <w:tcBorders>
              <w:top w:val="single" w:sz="4" w:space="0" w:color="auto"/>
              <w:left w:val="single" w:sz="4" w:space="0" w:color="auto"/>
              <w:bottom w:val="single" w:sz="4" w:space="0" w:color="auto"/>
              <w:right w:val="single" w:sz="4" w:space="0" w:color="auto"/>
            </w:tcBorders>
            <w:shd w:val="clear" w:color="auto" w:fill="auto"/>
            <w:hideMark/>
          </w:tcPr>
          <w:p w:rsidR="00836655" w:rsidRPr="00451078" w:rsidRDefault="00836655" w:rsidP="00CA14C9">
            <w:pPr>
              <w:spacing w:line="276" w:lineRule="auto"/>
              <w:rPr>
                <w:rFonts w:eastAsia="Calibri" w:cs="Tahoma"/>
                <w:szCs w:val="18"/>
                <w:lang w:val="it-IT"/>
              </w:rPr>
            </w:pPr>
            <w:r w:rsidRPr="00451078">
              <w:rPr>
                <w:rFonts w:eastAsia="Calibri" w:cs="Tahoma"/>
                <w:szCs w:val="18"/>
                <w:lang w:val="it-IT"/>
              </w:rPr>
              <w:t>CAL Suite per SBS 2011 Premium Add-on con copertura Software Assurance in data 1 agosto 2012 o successiva</w:t>
            </w:r>
          </w:p>
        </w:tc>
        <w:tc>
          <w:tcPr>
            <w:tcW w:w="4788" w:type="dxa"/>
            <w:tcBorders>
              <w:top w:val="single" w:sz="4" w:space="0" w:color="auto"/>
              <w:left w:val="single" w:sz="4" w:space="0" w:color="auto"/>
              <w:bottom w:val="single" w:sz="4" w:space="0" w:color="auto"/>
              <w:right w:val="single" w:sz="4" w:space="0" w:color="auto"/>
            </w:tcBorders>
            <w:shd w:val="clear" w:color="auto" w:fill="auto"/>
            <w:hideMark/>
          </w:tcPr>
          <w:p w:rsidR="00836655" w:rsidRPr="00451078" w:rsidRDefault="00836655" w:rsidP="00CA14C9">
            <w:pPr>
              <w:spacing w:line="276" w:lineRule="auto"/>
              <w:rPr>
                <w:lang w:val="it-IT"/>
              </w:rPr>
            </w:pPr>
            <w:r w:rsidRPr="00451078">
              <w:rPr>
                <w:rFonts w:eastAsia="Calibri" w:cs="Tahoma"/>
                <w:szCs w:val="18"/>
                <w:lang w:val="it-IT"/>
              </w:rPr>
              <w:t>Licenza CAL per Windows Server 2012 con Software Assurance</w:t>
            </w:r>
          </w:p>
          <w:p w:rsidR="00836655" w:rsidRPr="00451078" w:rsidRDefault="00836655" w:rsidP="00CA14C9">
            <w:pPr>
              <w:spacing w:line="276" w:lineRule="auto"/>
              <w:rPr>
                <w:rFonts w:eastAsia="Calibri" w:cs="Tahoma"/>
                <w:szCs w:val="18"/>
                <w:lang w:val="it-IT"/>
              </w:rPr>
            </w:pPr>
            <w:r w:rsidRPr="00451078">
              <w:rPr>
                <w:rFonts w:eastAsia="Calibri" w:cs="Tahoma"/>
                <w:szCs w:val="18"/>
                <w:lang w:val="it-IT"/>
              </w:rPr>
              <w:t>Licenza CAL per SQL Server 2012 con Software Assurance</w:t>
            </w:r>
          </w:p>
        </w:tc>
      </w:tr>
    </w:tbl>
    <w:p w:rsidR="00836655" w:rsidRPr="00451078" w:rsidRDefault="00836655" w:rsidP="00910113">
      <w:pPr>
        <w:rPr>
          <w:lang w:val="it-IT"/>
        </w:rPr>
      </w:pPr>
    </w:p>
    <w:p w:rsidR="00836655" w:rsidRPr="00451078" w:rsidRDefault="00836655" w:rsidP="00910113">
      <w:pPr>
        <w:pStyle w:val="ListParagraph"/>
        <w:contextualSpacing w:val="0"/>
        <w:rPr>
          <w:rFonts w:ascii="Tahoma" w:hAnsi="Tahoma" w:cs="Tahoma"/>
          <w:sz w:val="18"/>
          <w:szCs w:val="18"/>
          <w:lang w:val="it-IT"/>
        </w:rPr>
      </w:pPr>
      <w:r w:rsidRPr="00451078">
        <w:rPr>
          <w:rFonts w:ascii="Tahoma" w:eastAsia="Calibri" w:hAnsi="Tahoma" w:cs="Tahoma"/>
          <w:sz w:val="18"/>
          <w:szCs w:val="18"/>
          <w:lang w:val="it-IT"/>
        </w:rPr>
        <w:t>La copertura Software Assurance inclusa nella suddetta concessione scade alla scadenza della corrispondente copertura per le CAL Qualificanti. In via eccezionale, le società con copertura Software Assurance attiva per le CAL Qualificanti in scadenza nel mese di agosto 2012 hanno la possibilità fino al</w:t>
      </w:r>
      <w:r w:rsidR="00F26041" w:rsidRPr="00451078">
        <w:rPr>
          <w:rFonts w:ascii="Tahoma" w:eastAsia="Calibri" w:hAnsi="Tahoma" w:cs="Tahoma"/>
          <w:sz w:val="18"/>
          <w:szCs w:val="18"/>
          <w:lang w:val="it-IT"/>
        </w:rPr>
        <w:t> </w:t>
      </w:r>
      <w:r w:rsidRPr="00451078">
        <w:rPr>
          <w:rFonts w:ascii="Tahoma" w:eastAsia="Calibri" w:hAnsi="Tahoma" w:cs="Tahoma"/>
          <w:sz w:val="18"/>
          <w:szCs w:val="18"/>
          <w:lang w:val="it-IT"/>
        </w:rPr>
        <w:t>31</w:t>
      </w:r>
      <w:r w:rsidR="00F26041" w:rsidRPr="00451078">
        <w:rPr>
          <w:rFonts w:ascii="Tahoma" w:eastAsia="Calibri" w:hAnsi="Tahoma" w:cs="Tahoma"/>
          <w:sz w:val="18"/>
          <w:szCs w:val="18"/>
          <w:lang w:val="it-IT"/>
        </w:rPr>
        <w:t> </w:t>
      </w:r>
      <w:r w:rsidRPr="00451078">
        <w:rPr>
          <w:rFonts w:ascii="Tahoma" w:eastAsia="Calibri" w:hAnsi="Tahoma" w:cs="Tahoma"/>
          <w:sz w:val="18"/>
          <w:szCs w:val="18"/>
          <w:lang w:val="it-IT"/>
        </w:rPr>
        <w:t>dicembre 2012 di rinnovare la copertura per le Licenze CAL ricevute in concessione ai sensi della presente offerta.</w:t>
      </w:r>
      <w:r w:rsidR="00082E1C" w:rsidRPr="00451078">
        <w:rPr>
          <w:rFonts w:ascii="Tahoma" w:eastAsia="Calibri" w:hAnsi="Tahoma" w:cs="Tahoma"/>
          <w:sz w:val="18"/>
          <w:szCs w:val="18"/>
          <w:lang w:val="it-IT"/>
        </w:rPr>
        <w:t xml:space="preserve"> </w:t>
      </w:r>
      <w:r w:rsidRPr="00451078">
        <w:rPr>
          <w:rFonts w:ascii="Tahoma" w:eastAsia="Calibri" w:hAnsi="Tahoma" w:cs="Tahoma"/>
          <w:sz w:val="18"/>
          <w:szCs w:val="18"/>
          <w:lang w:val="it-IT"/>
        </w:rPr>
        <w:t>Le società con copertura Software Assurance attiva per le Licenze CAL Qualificanti in scadenza nel mese di luglio 2012 hanno la possibilità fino al 31 dicembre 2012 di acquistare la copertura per</w:t>
      </w:r>
      <w:r w:rsidR="00F26041" w:rsidRPr="00451078">
        <w:rPr>
          <w:rFonts w:ascii="Tahoma" w:eastAsia="Calibri" w:hAnsi="Tahoma" w:cs="Tahoma"/>
          <w:sz w:val="18"/>
          <w:szCs w:val="18"/>
          <w:lang w:val="it-IT"/>
        </w:rPr>
        <w:t> </w:t>
      </w:r>
      <w:r w:rsidRPr="00451078">
        <w:rPr>
          <w:rFonts w:ascii="Tahoma" w:eastAsia="Calibri" w:hAnsi="Tahoma" w:cs="Tahoma"/>
          <w:sz w:val="18"/>
          <w:szCs w:val="18"/>
          <w:lang w:val="it-IT"/>
        </w:rPr>
        <w:t>le Licenze CAL ricevute in concessione ai sensi della presente offerta.</w:t>
      </w:r>
    </w:p>
    <w:p w:rsidR="00910113" w:rsidRPr="00451078" w:rsidRDefault="00910113" w:rsidP="00910113">
      <w:pPr>
        <w:pStyle w:val="ListParagraph"/>
        <w:contextualSpacing w:val="0"/>
        <w:rPr>
          <w:rFonts w:ascii="Tahoma" w:hAnsi="Tahoma" w:cs="Tahoma"/>
          <w:sz w:val="18"/>
          <w:szCs w:val="18"/>
          <w:lang w:val="it-IT"/>
        </w:rPr>
      </w:pPr>
    </w:p>
    <w:p w:rsidR="00836655" w:rsidRPr="00451078" w:rsidRDefault="00836655" w:rsidP="00910113">
      <w:pPr>
        <w:pStyle w:val="ListParagraph"/>
        <w:contextualSpacing w:val="0"/>
        <w:rPr>
          <w:rFonts w:ascii="Tahoma" w:hAnsi="Tahoma" w:cs="Tahoma"/>
          <w:sz w:val="18"/>
          <w:szCs w:val="18"/>
          <w:lang w:val="it-IT"/>
        </w:rPr>
      </w:pPr>
      <w:r w:rsidRPr="00451078">
        <w:rPr>
          <w:rFonts w:ascii="Tahoma" w:eastAsia="Calibri" w:hAnsi="Tahoma" w:cs="Tahoma"/>
          <w:sz w:val="18"/>
          <w:szCs w:val="18"/>
          <w:lang w:val="it-IT"/>
        </w:rPr>
        <w:t>Nel caso in cui le società abbiano acquistato diritti perpetui previsti dalle CAL qualificanti, le CAL acquistate ai sensi della presente concessione saranno anch</w:t>
      </w:r>
      <w:r w:rsidR="0073727D">
        <w:rPr>
          <w:rFonts w:ascii="Tahoma" w:eastAsia="Calibri" w:hAnsi="Tahoma" w:cs="Tahoma"/>
          <w:sz w:val="18"/>
          <w:szCs w:val="18"/>
          <w:lang w:val="it-IT"/>
        </w:rPr>
        <w:t>’</w:t>
      </w:r>
      <w:r w:rsidRPr="00451078">
        <w:rPr>
          <w:rFonts w:ascii="Tahoma" w:eastAsia="Calibri" w:hAnsi="Tahoma" w:cs="Tahoma"/>
          <w:sz w:val="18"/>
          <w:szCs w:val="18"/>
          <w:lang w:val="it-IT"/>
        </w:rPr>
        <w:t>esse perpetue; diversamente, le CAL acquistate ai sensi della presente concessione cesseranno alla scadenza delle CAL Qualificanti sottostanti.</w:t>
      </w:r>
    </w:p>
    <w:p w:rsidR="00910113" w:rsidRPr="00451078" w:rsidRDefault="00910113" w:rsidP="00910113">
      <w:pPr>
        <w:pStyle w:val="ListParagraph"/>
        <w:contextualSpacing w:val="0"/>
        <w:rPr>
          <w:rFonts w:ascii="Tahoma" w:hAnsi="Tahoma" w:cs="Tahoma"/>
          <w:sz w:val="18"/>
          <w:szCs w:val="18"/>
          <w:lang w:val="it-IT"/>
        </w:rPr>
      </w:pPr>
    </w:p>
    <w:p w:rsidR="00836655" w:rsidRPr="00451078" w:rsidRDefault="00836655" w:rsidP="00910113">
      <w:pPr>
        <w:pStyle w:val="ListParagraph"/>
        <w:contextualSpacing w:val="0"/>
        <w:rPr>
          <w:rFonts w:ascii="Tahoma" w:hAnsi="Tahoma" w:cs="Tahoma"/>
          <w:sz w:val="18"/>
          <w:szCs w:val="18"/>
          <w:lang w:val="it-IT"/>
        </w:rPr>
      </w:pPr>
      <w:r w:rsidRPr="00451078">
        <w:rPr>
          <w:rFonts w:ascii="Tahoma" w:eastAsia="Calibri" w:hAnsi="Tahoma" w:cs="Tahoma"/>
          <w:sz w:val="18"/>
          <w:szCs w:val="18"/>
          <w:lang w:val="it-IT"/>
        </w:rPr>
        <w:t>Per ogni CAL Qualificante acquistata ai sensi del contratto Open Value Subscription, una società potrà eseguire il buy-out di una CAL Suite per SBS 2011 Premium Add-on come indicato o di:</w:t>
      </w:r>
    </w:p>
    <w:p w:rsidR="00910113" w:rsidRPr="00451078" w:rsidRDefault="00910113" w:rsidP="00910113">
      <w:pPr>
        <w:pStyle w:val="ListParagraph"/>
        <w:contextualSpacing w:val="0"/>
        <w:rPr>
          <w:rFonts w:ascii="Tahoma" w:hAnsi="Tahoma" w:cs="Tahoma"/>
          <w:sz w:val="18"/>
          <w:szCs w:val="18"/>
          <w:lang w:val="it-IT"/>
        </w:rPr>
      </w:pPr>
    </w:p>
    <w:p w:rsidR="00836655" w:rsidRPr="00451078" w:rsidRDefault="00836655" w:rsidP="00745AB3">
      <w:pPr>
        <w:pStyle w:val="ListParagraph"/>
        <w:numPr>
          <w:ilvl w:val="1"/>
          <w:numId w:val="99"/>
        </w:numPr>
        <w:tabs>
          <w:tab w:val="clear" w:pos="1440"/>
        </w:tabs>
        <w:spacing w:after="60"/>
        <w:ind w:hanging="274"/>
        <w:contextualSpacing w:val="0"/>
        <w:rPr>
          <w:rFonts w:ascii="Tahoma" w:hAnsi="Tahoma" w:cs="Tahoma"/>
          <w:sz w:val="18"/>
          <w:szCs w:val="18"/>
          <w:lang w:val="it-IT"/>
        </w:rPr>
      </w:pPr>
      <w:r w:rsidRPr="00451078">
        <w:rPr>
          <w:rFonts w:ascii="Tahoma" w:eastAsia="Calibri" w:hAnsi="Tahoma" w:cs="Tahoma"/>
          <w:sz w:val="18"/>
          <w:szCs w:val="18"/>
          <w:lang w:val="it-IT"/>
        </w:rPr>
        <w:t>Una Licenza CAL per Windows Server 2012 e una per SQL Server 2012 per i contratti in scadenza in data 1 agosto 2012 o successiva oppure</w:t>
      </w:r>
    </w:p>
    <w:p w:rsidR="00836655" w:rsidRPr="00451078" w:rsidRDefault="00836655" w:rsidP="00745AB3">
      <w:pPr>
        <w:pStyle w:val="ListParagraph"/>
        <w:numPr>
          <w:ilvl w:val="1"/>
          <w:numId w:val="99"/>
        </w:numPr>
        <w:tabs>
          <w:tab w:val="clear" w:pos="1440"/>
        </w:tabs>
        <w:spacing w:after="60"/>
        <w:ind w:hanging="274"/>
        <w:contextualSpacing w:val="0"/>
        <w:rPr>
          <w:rFonts w:ascii="Tahoma" w:hAnsi="Tahoma" w:cs="Tahoma"/>
          <w:sz w:val="18"/>
          <w:szCs w:val="18"/>
          <w:lang w:val="it-IT"/>
        </w:rPr>
      </w:pPr>
      <w:r w:rsidRPr="00451078">
        <w:rPr>
          <w:rFonts w:ascii="Tahoma" w:eastAsia="Calibri" w:hAnsi="Tahoma" w:cs="Tahoma"/>
          <w:sz w:val="18"/>
          <w:szCs w:val="18"/>
          <w:lang w:val="it-IT"/>
        </w:rPr>
        <w:t>Una Licenza CAL per Windows Server 2008 e una per SQL Server 2012 per i contratti in scadenza nel mese di luglio 2012.</w:t>
      </w:r>
    </w:p>
    <w:p w:rsidR="00910113" w:rsidRPr="00451078" w:rsidRDefault="00910113" w:rsidP="00910113">
      <w:pPr>
        <w:pStyle w:val="ListParagraph"/>
        <w:ind w:left="1800"/>
        <w:contextualSpacing w:val="0"/>
        <w:rPr>
          <w:rFonts w:ascii="Tahoma" w:hAnsi="Tahoma" w:cs="Tahoma"/>
          <w:sz w:val="18"/>
          <w:szCs w:val="18"/>
          <w:lang w:val="it-IT"/>
        </w:rPr>
      </w:pPr>
    </w:p>
    <w:p w:rsidR="00836655" w:rsidRPr="00451078" w:rsidRDefault="00836655" w:rsidP="00910113">
      <w:pPr>
        <w:ind w:left="720"/>
        <w:rPr>
          <w:rFonts w:cs="Tahoma"/>
          <w:szCs w:val="18"/>
          <w:lang w:val="it-IT"/>
        </w:rPr>
      </w:pPr>
      <w:r w:rsidRPr="00451078">
        <w:rPr>
          <w:rFonts w:eastAsia="Calibri" w:cs="Tahoma"/>
          <w:szCs w:val="18"/>
          <w:lang w:val="it-IT"/>
        </w:rPr>
        <w:t>Utilizzando le Licenze CAL per Windows Server 2012 e le Licenze CAL per SQL Server 2012 ai sensi della presente concessione, le Premium Add-on CAL Suite Qualificanti per SBS delle società in essere non saranno più valide.</w:t>
      </w:r>
    </w:p>
    <w:p w:rsidR="00910113" w:rsidRPr="00451078" w:rsidRDefault="00910113" w:rsidP="00910113">
      <w:pPr>
        <w:ind w:left="720"/>
        <w:rPr>
          <w:lang w:val="it-IT"/>
        </w:rPr>
      </w:pPr>
    </w:p>
    <w:p w:rsidR="00836655" w:rsidRPr="00451078" w:rsidRDefault="00836655" w:rsidP="00910113">
      <w:pPr>
        <w:ind w:left="720"/>
        <w:rPr>
          <w:lang w:val="it-IT"/>
        </w:rPr>
      </w:pPr>
      <w:r w:rsidRPr="00451078">
        <w:rPr>
          <w:lang w:val="it-IT"/>
        </w:rPr>
        <w:t xml:space="preserve">Le </w:t>
      </w:r>
      <w:r w:rsidRPr="00451078">
        <w:rPr>
          <w:color w:val="000000"/>
          <w:lang w:val="it-IT"/>
        </w:rPr>
        <w:t>Premium Add-on CAL Suite per SBS 2011</w:t>
      </w:r>
      <w:r w:rsidRPr="00451078">
        <w:rPr>
          <w:rFonts w:cs="Tahoma"/>
          <w:bCs/>
          <w:color w:val="000000"/>
          <w:szCs w:val="18"/>
          <w:lang w:val="it-IT"/>
        </w:rPr>
        <w:t xml:space="preserve"> acquistate successivamente nello stesso periodo di validità dell</w:t>
      </w:r>
      <w:r w:rsidR="0073727D">
        <w:rPr>
          <w:rFonts w:cs="Tahoma"/>
          <w:bCs/>
          <w:color w:val="000000"/>
          <w:szCs w:val="18"/>
          <w:lang w:val="it-IT"/>
        </w:rPr>
        <w:t>’</w:t>
      </w:r>
      <w:r w:rsidRPr="00451078">
        <w:rPr>
          <w:rFonts w:cs="Tahoma"/>
          <w:bCs/>
          <w:color w:val="000000"/>
          <w:szCs w:val="18"/>
          <w:lang w:val="it-IT"/>
        </w:rPr>
        <w:t>iscrizione nell</w:t>
      </w:r>
      <w:r w:rsidR="0073727D">
        <w:rPr>
          <w:rFonts w:cs="Tahoma"/>
          <w:bCs/>
          <w:color w:val="000000"/>
          <w:szCs w:val="18"/>
          <w:lang w:val="it-IT"/>
        </w:rPr>
        <w:t>’</w:t>
      </w:r>
      <w:r w:rsidRPr="00451078">
        <w:rPr>
          <w:rFonts w:cs="Tahoma"/>
          <w:bCs/>
          <w:color w:val="000000"/>
          <w:szCs w:val="18"/>
          <w:lang w:val="it-IT"/>
        </w:rPr>
        <w:t>ambito di una procedura pianificata di true-up di una società Open Value Subscription o</w:t>
      </w:r>
      <w:r w:rsidR="00F26041" w:rsidRPr="00451078">
        <w:rPr>
          <w:rFonts w:cs="Tahoma"/>
          <w:bCs/>
          <w:color w:val="000000"/>
          <w:szCs w:val="18"/>
          <w:lang w:val="it-IT"/>
        </w:rPr>
        <w:t> </w:t>
      </w:r>
      <w:r w:rsidRPr="00451078">
        <w:rPr>
          <w:rFonts w:cs="Tahoma"/>
          <w:bCs/>
          <w:color w:val="000000"/>
          <w:szCs w:val="18"/>
          <w:lang w:val="it-IT"/>
        </w:rPr>
        <w:t>EES sono anch</w:t>
      </w:r>
      <w:r w:rsidR="0073727D">
        <w:rPr>
          <w:rFonts w:cs="Tahoma"/>
          <w:bCs/>
          <w:color w:val="000000"/>
          <w:szCs w:val="18"/>
          <w:lang w:val="it-IT"/>
        </w:rPr>
        <w:t>’</w:t>
      </w:r>
      <w:r w:rsidRPr="00451078">
        <w:rPr>
          <w:rFonts w:cs="Tahoma"/>
          <w:bCs/>
          <w:color w:val="000000"/>
          <w:szCs w:val="18"/>
          <w:lang w:val="it-IT"/>
        </w:rPr>
        <w:t>esse Licenze CAL Qualificanti per gli scopi previsti dalla suddetta concessione.</w:t>
      </w:r>
      <w:r w:rsidRPr="00451078">
        <w:rPr>
          <w:rFonts w:eastAsia="Calibri" w:cs="Tahoma"/>
          <w:szCs w:val="18"/>
          <w:lang w:val="it-IT"/>
        </w:rPr>
        <w:t xml:space="preserve"> </w:t>
      </w:r>
    </w:p>
    <w:p w:rsidR="00836655" w:rsidRPr="00451078" w:rsidRDefault="00836655" w:rsidP="00910113">
      <w:pPr>
        <w:rPr>
          <w:lang w:val="it-IT"/>
        </w:rPr>
      </w:pPr>
    </w:p>
    <w:p w:rsidR="00F26041" w:rsidRPr="00451078" w:rsidRDefault="00F26041" w:rsidP="00910113">
      <w:pPr>
        <w:widowControl w:val="0"/>
        <w:jc w:val="both"/>
        <w:rPr>
          <w:lang w:val="it-IT"/>
        </w:rPr>
      </w:pPr>
      <w:bookmarkStart w:id="1595" w:name="_123_Windows_Azure"/>
      <w:bookmarkEnd w:id="1595"/>
    </w:p>
    <w:p w:rsidR="00836655" w:rsidRPr="00451078" w:rsidRDefault="00BA29A7" w:rsidP="00836655">
      <w:pPr>
        <w:pStyle w:val="Heading2"/>
        <w:ind w:left="0"/>
        <w:rPr>
          <w:lang w:val="it-IT"/>
        </w:rPr>
      </w:pPr>
      <w:bookmarkStart w:id="1596" w:name="_124_Windows_Small_1"/>
      <w:bookmarkStart w:id="1597" w:name="_114_Windows_Small"/>
      <w:bookmarkStart w:id="1598" w:name="_Toc336338381"/>
      <w:bookmarkStart w:id="1599" w:name="_Toc352234967"/>
      <w:bookmarkEnd w:id="1596"/>
      <w:bookmarkEnd w:id="1597"/>
      <w:r w:rsidRPr="00451078">
        <w:rPr>
          <w:rFonts w:ascii="Tahoma" w:hAnsi="Tahoma" w:cs="Tahoma"/>
          <w:color w:val="F8701C"/>
          <w:sz w:val="22"/>
          <w:szCs w:val="22"/>
          <w:vertAlign w:val="superscript"/>
          <w:lang w:val="it-IT"/>
        </w:rPr>
        <w:t>114</w:t>
      </w:r>
      <w:r w:rsidRPr="00451078">
        <w:rPr>
          <w:rFonts w:ascii="Tahoma" w:hAnsi="Tahoma" w:cs="Tahoma"/>
          <w:color w:val="F8701C"/>
          <w:sz w:val="22"/>
          <w:szCs w:val="22"/>
          <w:lang w:val="it-IT"/>
        </w:rPr>
        <w:t xml:space="preserve"> Windows Small Business Server 2011 Essentials</w:t>
      </w:r>
      <w:bookmarkEnd w:id="1598"/>
      <w:bookmarkEnd w:id="1599"/>
    </w:p>
    <w:p w:rsidR="003C1BA8" w:rsidRPr="00451078" w:rsidRDefault="003C1BA8" w:rsidP="0021735C">
      <w:pPr>
        <w:rPr>
          <w:lang w:val="it-IT"/>
        </w:rPr>
      </w:pPr>
    </w:p>
    <w:p w:rsidR="00910113" w:rsidRPr="00451078" w:rsidRDefault="00836655" w:rsidP="00910113">
      <w:pPr>
        <w:spacing w:after="60"/>
        <w:ind w:left="720"/>
        <w:rPr>
          <w:lang w:val="it-IT"/>
        </w:rPr>
      </w:pPr>
      <w:r w:rsidRPr="00451078">
        <w:rPr>
          <w:b/>
          <w:bCs/>
          <w:color w:val="000000"/>
          <w:lang w:val="it-IT"/>
        </w:rPr>
        <w:t>Concessioni di Licenza associate alla fine del ciclo di vita di Windows Small Business Server (SBS) 2011 Essentials</w:t>
      </w:r>
      <w:r w:rsidRPr="00451078">
        <w:rPr>
          <w:color w:val="000000"/>
          <w:lang w:val="it-IT"/>
        </w:rPr>
        <w:t xml:space="preserve"> </w:t>
      </w:r>
    </w:p>
    <w:p w:rsidR="00836655" w:rsidRPr="00451078" w:rsidRDefault="00836655" w:rsidP="00910113">
      <w:pPr>
        <w:ind w:left="720"/>
        <w:rPr>
          <w:lang w:val="it-IT"/>
        </w:rPr>
      </w:pPr>
      <w:r w:rsidRPr="00451078">
        <w:rPr>
          <w:lang w:val="it-IT"/>
        </w:rPr>
        <w:t>Windows SBS 2011 Essentials sarà l</w:t>
      </w:r>
      <w:r w:rsidR="0073727D">
        <w:rPr>
          <w:lang w:val="it-IT"/>
        </w:rPr>
        <w:t>’</w:t>
      </w:r>
      <w:r w:rsidRPr="00451078">
        <w:rPr>
          <w:lang w:val="it-IT"/>
        </w:rPr>
        <w:t>ultima versione di Windows SBS Essentials. Le società titolari di contratti multilicenza con copertura Software Assurance attiva per le licenze per Windows SBS 2011 Essentials in data 1 novembre 2012 o in occasione della prima disponibilità di Windows Server 2012 Essentials per il download dal sito Web Volume Licensing Service Center, a seconda di quale evento si verificherà per primo, (</w:t>
      </w:r>
      <w:r w:rsidR="001A3EC5" w:rsidRPr="00451078">
        <w:rPr>
          <w:lang w:val="it-IT"/>
        </w:rPr>
        <w:t>“</w:t>
      </w:r>
      <w:r w:rsidRPr="00451078">
        <w:rPr>
          <w:lang w:val="it-IT"/>
        </w:rPr>
        <w:t>Licenze Qualificanti</w:t>
      </w:r>
      <w:r w:rsidR="001A3EC5" w:rsidRPr="00451078">
        <w:rPr>
          <w:lang w:val="it-IT"/>
        </w:rPr>
        <w:t>”</w:t>
      </w:r>
      <w:r w:rsidRPr="00451078">
        <w:rPr>
          <w:lang w:val="it-IT"/>
        </w:rPr>
        <w:t xml:space="preserve">) saranno autorizzate a </w:t>
      </w:r>
      <w:r w:rsidRPr="00451078">
        <w:rPr>
          <w:u w:val="single"/>
          <w:lang w:val="it-IT"/>
        </w:rPr>
        <w:t>effettuare l</w:t>
      </w:r>
      <w:r w:rsidR="0073727D">
        <w:rPr>
          <w:u w:val="single"/>
          <w:lang w:val="it-IT"/>
        </w:rPr>
        <w:t>’</w:t>
      </w:r>
      <w:r w:rsidRPr="00451078">
        <w:rPr>
          <w:u w:val="single"/>
          <w:lang w:val="it-IT"/>
        </w:rPr>
        <w:t>aggiornamento al software Windows Server 2012 Essentials e a</w:t>
      </w:r>
      <w:r w:rsidRPr="00451078">
        <w:rPr>
          <w:lang w:val="it-IT"/>
        </w:rPr>
        <w:t xml:space="preserve"> utilizzarlo </w:t>
      </w:r>
      <w:r w:rsidRPr="00451078">
        <w:rPr>
          <w:u w:val="single"/>
          <w:lang w:val="it-IT"/>
        </w:rPr>
        <w:t>al posto di SBS Essentials</w:t>
      </w:r>
      <w:r w:rsidRPr="00451078">
        <w:rPr>
          <w:lang w:val="it-IT"/>
        </w:rPr>
        <w:t>. Per agevolare tale utilizzo, per ogni Licenza Qualificante in suo possesso, alla società verrà concessa una licenza per Windows Server 2012 Essentials in base alla disponibilità di Windows Server 2012 Essentials. L</w:t>
      </w:r>
      <w:r w:rsidR="0073727D">
        <w:rPr>
          <w:lang w:val="it-IT"/>
        </w:rPr>
        <w:t>’</w:t>
      </w:r>
      <w:r w:rsidRPr="00451078">
        <w:rPr>
          <w:lang w:val="it-IT"/>
        </w:rPr>
        <w:t>utilizzo di Windows Server 2012 Essentials sarà disciplinato ai sensi delle condizioni di licenza per tale prodotto contenute nei Diritti di Utilizzo del Prodotto</w:t>
      </w:r>
      <w:r w:rsidR="00F26041" w:rsidRPr="00451078">
        <w:rPr>
          <w:lang w:val="it-IT"/>
        </w:rPr>
        <w:t> </w:t>
      </w:r>
      <w:r w:rsidRPr="00451078">
        <w:rPr>
          <w:lang w:val="it-IT"/>
        </w:rPr>
        <w:t>e</w:t>
      </w:r>
      <w:r w:rsidR="00F26041" w:rsidRPr="00451078">
        <w:rPr>
          <w:lang w:val="it-IT"/>
        </w:rPr>
        <w:t> </w:t>
      </w:r>
      <w:r w:rsidRPr="00451078">
        <w:rPr>
          <w:lang w:val="it-IT"/>
        </w:rPr>
        <w:t>alle condizioni dei Contratti Multilicenza della società.</w:t>
      </w:r>
    </w:p>
    <w:p w:rsidR="00F26041" w:rsidRPr="00451078" w:rsidRDefault="00F26041" w:rsidP="00910113">
      <w:pPr>
        <w:ind w:left="720"/>
        <w:rPr>
          <w:lang w:val="it-IT"/>
        </w:rPr>
      </w:pPr>
    </w:p>
    <w:p w:rsidR="00836655" w:rsidRPr="00451078" w:rsidRDefault="00836655" w:rsidP="00910113">
      <w:pPr>
        <w:ind w:left="720"/>
        <w:rPr>
          <w:lang w:val="it-IT"/>
        </w:rPr>
      </w:pPr>
      <w:r w:rsidRPr="00451078">
        <w:rPr>
          <w:lang w:val="it-IT"/>
        </w:rPr>
        <w:t>Nel caso in cui le società abbiano acquistato diritti perpetui per utilizzare software ai sensi di Licenze Qualificanti, le licenze acquistate ai sensi della presente concessione saranno anch</w:t>
      </w:r>
      <w:r w:rsidR="0073727D">
        <w:rPr>
          <w:lang w:val="it-IT"/>
        </w:rPr>
        <w:t>’</w:t>
      </w:r>
      <w:r w:rsidRPr="00451078">
        <w:rPr>
          <w:lang w:val="it-IT"/>
        </w:rPr>
        <w:t>esse perpetue; diversamente, le licenze acquistate ai sensi della presente concessione cesseranno alla scadenza delle Licenze Qualificanti sottostanti.</w:t>
      </w:r>
    </w:p>
    <w:p w:rsidR="00836655" w:rsidRPr="00451078" w:rsidRDefault="00836655" w:rsidP="00910113">
      <w:pPr>
        <w:ind w:left="720"/>
        <w:rPr>
          <w:lang w:val="it-IT"/>
        </w:rPr>
      </w:pPr>
      <w:r w:rsidRPr="00451078">
        <w:rPr>
          <w:lang w:val="it-IT"/>
        </w:rPr>
        <w:t>Eseguendo l</w:t>
      </w:r>
      <w:r w:rsidR="0073727D">
        <w:rPr>
          <w:lang w:val="it-IT"/>
        </w:rPr>
        <w:t>’</w:t>
      </w:r>
      <w:r w:rsidRPr="00451078">
        <w:rPr>
          <w:lang w:val="it-IT"/>
        </w:rPr>
        <w:t>aggiornamento a Windows Server 2012 Essentials ai sensi della presente concessione, le</w:t>
      </w:r>
      <w:r w:rsidR="00F26041" w:rsidRPr="00451078">
        <w:rPr>
          <w:lang w:val="it-IT"/>
        </w:rPr>
        <w:t> </w:t>
      </w:r>
      <w:r w:rsidRPr="00451078">
        <w:rPr>
          <w:lang w:val="it-IT"/>
        </w:rPr>
        <w:t>Licenze Qualificanti delle società in essere per SBS Essentials non saranno più valide.</w:t>
      </w:r>
    </w:p>
    <w:p w:rsidR="00836655" w:rsidRPr="00451078" w:rsidRDefault="00836655" w:rsidP="00910113">
      <w:pPr>
        <w:ind w:left="720"/>
        <w:rPr>
          <w:lang w:val="it-IT"/>
        </w:rPr>
      </w:pPr>
    </w:p>
    <w:p w:rsidR="00AF68D4" w:rsidRPr="00451078" w:rsidRDefault="00836655" w:rsidP="00D16723">
      <w:pPr>
        <w:ind w:left="720"/>
        <w:rPr>
          <w:lang w:val="it-IT"/>
        </w:rPr>
      </w:pPr>
      <w:r w:rsidRPr="00451078">
        <w:rPr>
          <w:lang w:val="it-IT"/>
        </w:rPr>
        <w:t>Le licenze per SBS Essentials acquistate successivamente nello stesso periodo di validità dell</w:t>
      </w:r>
      <w:r w:rsidR="0073727D">
        <w:rPr>
          <w:lang w:val="it-IT"/>
        </w:rPr>
        <w:t>’</w:t>
      </w:r>
      <w:r w:rsidRPr="00451078">
        <w:rPr>
          <w:lang w:val="it-IT"/>
        </w:rPr>
        <w:t>iscrizione nell</w:t>
      </w:r>
      <w:r w:rsidR="0073727D">
        <w:rPr>
          <w:lang w:val="it-IT"/>
        </w:rPr>
        <w:t>’</w:t>
      </w:r>
      <w:r w:rsidRPr="00451078">
        <w:rPr>
          <w:lang w:val="it-IT"/>
        </w:rPr>
        <w:t>ambito di una procedura pianificata di true-up di una società Open Value Subscription o EES sono anch</w:t>
      </w:r>
      <w:r w:rsidR="0073727D">
        <w:rPr>
          <w:lang w:val="it-IT"/>
        </w:rPr>
        <w:t>’</w:t>
      </w:r>
      <w:r w:rsidRPr="00451078">
        <w:rPr>
          <w:lang w:val="it-IT"/>
        </w:rPr>
        <w:t>esse Licenze Qualificanti per gli scopi previsti dalla suddetta concessione.</w:t>
      </w:r>
    </w:p>
    <w:sectPr w:rsidR="00AF68D4" w:rsidRPr="00451078" w:rsidSect="00B40674">
      <w:footerReference w:type="default" r:id="rId59"/>
      <w:headerReference w:type="first" r:id="rId60"/>
      <w:footerReference w:type="first" r:id="rId61"/>
      <w:endnotePr>
        <w:numFmt w:val="decimal"/>
      </w:endnotePr>
      <w:pgSz w:w="12240" w:h="15840" w:code="1"/>
      <w:pgMar w:top="1170" w:right="1440" w:bottom="720" w:left="144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FC1A4D" w:rsidRDefault="00FC1A4D">
      <w:r>
        <w:separator/>
      </w:r>
    </w:p>
  </w:endnote>
  <w:endnote w:type="continuationSeparator" w:id="0">
    <w:p w:rsidR="00FC1A4D" w:rsidRDefault="00FC1A4D">
      <w:r>
        <w:continuationSeparator/>
      </w:r>
    </w:p>
  </w:endnote>
  <w:endnote w:type="continuationNotice" w:id="1">
    <w:p w:rsidR="00FC1A4D" w:rsidRDefault="00FC1A4D"/>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Webdings">
    <w:panose1 w:val="05030102010509060703"/>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Trebuchet MS">
    <w:panose1 w:val="020B0603020202020204"/>
    <w:charset w:val="00"/>
    <w:family w:val="swiss"/>
    <w:pitch w:val="variable"/>
    <w:sig w:usb0="00000287" w:usb1="00000000" w:usb2="00000000" w:usb3="00000000" w:csb0="0000009F" w:csb1="00000000"/>
  </w:font>
  <w:font w:name="Tahoma">
    <w:panose1 w:val="020B0604030504040204"/>
    <w:charset w:val="00"/>
    <w:family w:val="swiss"/>
    <w:pitch w:val="variable"/>
    <w:sig w:usb0="E1002EFF" w:usb1="C000605B" w:usb2="00000029" w:usb3="00000000" w:csb0="000101FF" w:csb1="00000000"/>
  </w:font>
  <w:font w:name="MS Mincho">
    <w:altName w:val="ＭＳ 明朝"/>
    <w:panose1 w:val="02020609040205080304"/>
    <w:charset w:val="80"/>
    <w:family w:val="modern"/>
    <w:pitch w:val="fixed"/>
    <w:sig w:usb0="E00002FF" w:usb1="6AC7FDFB" w:usb2="00000012" w:usb3="00000000" w:csb0="0002009F"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Arial Narrow">
    <w:panose1 w:val="020B0606020202030204"/>
    <w:charset w:val="00"/>
    <w:family w:val="swiss"/>
    <w:pitch w:val="variable"/>
    <w:sig w:usb0="00000287" w:usb1="00000800" w:usb2="00000000" w:usb3="00000000" w:csb0="0000009F" w:csb1="00000000"/>
  </w:font>
  <w:font w:name="MS PGothic">
    <w:panose1 w:val="020B0600070205080204"/>
    <w:charset w:val="80"/>
    <w:family w:val="swiss"/>
    <w:pitch w:val="variable"/>
    <w:sig w:usb0="E00002FF" w:usb1="6AC7FDFB" w:usb2="00000012" w:usb3="00000000" w:csb0="0002009F" w:csb1="00000000"/>
  </w:font>
  <w:font w:name="Consolas">
    <w:panose1 w:val="020B0609020204030204"/>
    <w:charset w:val="00"/>
    <w:family w:val="modern"/>
    <w:pitch w:val="fixed"/>
    <w:sig w:usb0="E10002FF" w:usb1="4000FCFF" w:usb2="00000009" w:usb3="00000000" w:csb0="0000019F" w:csb1="00000000"/>
  </w:font>
  <w:font w:name="Verdana">
    <w:panose1 w:val="020B0604030504040204"/>
    <w:charset w:val="00"/>
    <w:family w:val="swiss"/>
    <w:pitch w:val="variable"/>
    <w:sig w:usb0="A10006FF" w:usb1="4000205B" w:usb2="00000010" w:usb3="00000000" w:csb0="0000019F" w:csb1="00000000"/>
  </w:font>
  <w:font w:name="Cambria">
    <w:panose1 w:val="02040503050406030204"/>
    <w:charset w:val="00"/>
    <w:family w:val="roman"/>
    <w:pitch w:val="variable"/>
    <w:sig w:usb0="E00002FF" w:usb1="400004FF" w:usb2="00000000" w:usb3="00000000" w:csb0="0000019F" w:csb1="00000000"/>
  </w:font>
  <w:font w:name="SimSun">
    <w:altName w:val="宋体"/>
    <w:panose1 w:val="02010600030101010101"/>
    <w:charset w:val="86"/>
    <w:family w:val="auto"/>
    <w:pitch w:val="variable"/>
    <w:sig w:usb0="00000003" w:usb1="288F0000" w:usb2="00000016" w:usb3="00000000" w:csb0="00040001" w:csb1="00000000"/>
  </w:font>
  <w:font w:name="MS UI Gothic">
    <w:panose1 w:val="020B0600070205080204"/>
    <w:charset w:val="80"/>
    <w:family w:val="swiss"/>
    <w:pitch w:val="variable"/>
    <w:sig w:usb0="E00002FF" w:usb1="6AC7FDFB" w:usb2="00000012" w:usb3="00000000" w:csb0="0002009F" w:csb1="00000000"/>
  </w:font>
  <w:font w:name="SegoeBook">
    <w:altName w:val="Arial"/>
    <w:panose1 w:val="00000000000000000000"/>
    <w:charset w:val="00"/>
    <w:family w:val="swiss"/>
    <w:notTrueType/>
    <w:pitch w:val="variable"/>
    <w:sig w:usb0="00000001" w:usb1="00000000" w:usb2="00000000" w:usb3="00000000" w:csb0="00000009" w:csb1="00000000"/>
  </w:font>
  <w:font w:name="Segoe UI">
    <w:panose1 w:val="020B0502040204020203"/>
    <w:charset w:val="00"/>
    <w:family w:val="swiss"/>
    <w:pitch w:val="variable"/>
    <w:sig w:usb0="E10022FF" w:usb1="C000E47F" w:usb2="00000029" w:usb3="00000000" w:csb0="000001DF" w:csb1="00000000"/>
  </w:font>
  <w:font w:name="Segoe">
    <w:altName w:val="Segoe UI"/>
    <w:panose1 w:val="020B0502040504020203"/>
    <w:charset w:val="00"/>
    <w:family w:val="swiss"/>
    <w:pitch w:val="variable"/>
    <w:sig w:usb0="A00002AF" w:usb1="4000205B" w:usb2="00000000" w:usb3="00000000" w:csb0="0000009F" w:csb1="00000000"/>
  </w:font>
  <w:font w:name="Calibri Light">
    <w:panose1 w:val="020F0302020204030204"/>
    <w:charset w:val="00"/>
    <w:family w:val="swiss"/>
    <w:pitch w:val="variable"/>
    <w:sig w:usb0="A00002EF" w:usb1="4000207B"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F86FFF" w:rsidRPr="00451078" w:rsidRDefault="00F86FFF">
    <w:pPr>
      <w:pStyle w:val="Footer"/>
      <w:pBdr>
        <w:top w:val="single" w:sz="6" w:space="1" w:color="808080"/>
      </w:pBdr>
      <w:tabs>
        <w:tab w:val="clear" w:pos="5155"/>
        <w:tab w:val="clear" w:pos="10325"/>
        <w:tab w:val="right" w:pos="10620"/>
      </w:tabs>
      <w:ind w:left="-540"/>
      <w:rPr>
        <w:rFonts w:ascii="Trebuchet MS" w:hAnsi="Trebuchet MS"/>
        <w:color w:val="808080"/>
        <w:sz w:val="14"/>
        <w:lang w:val="it-IT"/>
      </w:rPr>
    </w:pPr>
    <w:r w:rsidRPr="00451078">
      <w:rPr>
        <w:rFonts w:ascii="Trebuchet MS" w:hAnsi="Trebuchet MS"/>
        <w:color w:val="808080"/>
        <w:sz w:val="14"/>
        <w:lang w:val="it-IT"/>
      </w:rPr>
      <w:t xml:space="preserve">© 2009 Microsoft Corporation. Tutti i diritti riservati. Pagina </w:t>
    </w:r>
    <w:r>
      <w:fldChar w:fldCharType="begin"/>
    </w:r>
    <w:r w:rsidRPr="00451078">
      <w:rPr>
        <w:lang w:val="it-IT"/>
      </w:rPr>
      <w:instrText xml:space="preserve"> PAGE </w:instrText>
    </w:r>
    <w:r>
      <w:fldChar w:fldCharType="separate"/>
    </w:r>
    <w:r w:rsidRPr="00451078">
      <w:rPr>
        <w:noProof/>
        <w:lang w:val="it-IT"/>
      </w:rPr>
      <w:t>2</w:t>
    </w:r>
    <w:r>
      <w:fldChar w:fldCharType="end"/>
    </w:r>
    <w:r w:rsidRPr="00451078">
      <w:rPr>
        <w:rFonts w:ascii="Trebuchet MS" w:hAnsi="Trebuchet MS"/>
        <w:color w:val="808080"/>
        <w:sz w:val="14"/>
        <w:lang w:val="it-IT"/>
      </w:rPr>
      <w:t xml:space="preserve"> di </w:t>
    </w:r>
    <w:r>
      <w:fldChar w:fldCharType="begin"/>
    </w:r>
    <w:r w:rsidRPr="00451078">
      <w:rPr>
        <w:lang w:val="it-IT"/>
      </w:rPr>
      <w:instrText xml:space="preserve"> NUMPAGES </w:instrText>
    </w:r>
    <w:r>
      <w:fldChar w:fldCharType="separate"/>
    </w:r>
    <w:r>
      <w:rPr>
        <w:noProof/>
        <w:lang w:val="it-IT"/>
      </w:rPr>
      <w:t>202</w:t>
    </w:r>
    <w:r>
      <w:rPr>
        <w:noProof/>
      </w:rPr>
      <w:fldChar w:fldCharType="end"/>
    </w:r>
    <w:r w:rsidRPr="00451078">
      <w:rPr>
        <w:lang w:val="it-IT"/>
      </w:rPr>
      <w:t xml:space="preserve"> </w:t>
    </w:r>
    <w:r w:rsidRPr="00451078">
      <w:rPr>
        <w:rFonts w:ascii="Trebuchet MS" w:hAnsi="Trebuchet MS"/>
        <w:color w:val="808080"/>
        <w:sz w:val="14"/>
        <w:lang w:val="it-IT"/>
      </w:rPr>
      <w:t>Pubblicato ad aprile 2009</w:t>
    </w:r>
  </w:p>
  <w:p w:rsidR="00F86FFF" w:rsidRPr="00451078" w:rsidRDefault="00F86FFF">
    <w:pPr>
      <w:pStyle w:val="Footer"/>
      <w:pBdr>
        <w:top w:val="single" w:sz="6" w:space="1" w:color="808080"/>
      </w:pBdr>
      <w:tabs>
        <w:tab w:val="clear" w:pos="5155"/>
        <w:tab w:val="clear" w:pos="10325"/>
        <w:tab w:val="right" w:pos="10620"/>
      </w:tabs>
      <w:ind w:left="-540"/>
      <w:rPr>
        <w:rFonts w:ascii="Verdana" w:hAnsi="Verdana"/>
        <w:color w:val="808080"/>
        <w:sz w:val="16"/>
        <w:lang w:val="it-IT"/>
      </w:rPr>
    </w:pPr>
    <w:r w:rsidRPr="00451078">
      <w:rPr>
        <w:rFonts w:ascii="Trebuchet MS" w:hAnsi="Trebuchet MS"/>
        <w:color w:val="808080"/>
        <w:sz w:val="14"/>
        <w:lang w:val="it-IT"/>
      </w:rPr>
      <w:t xml:space="preserve"> Microsoft è un marchio registrato di Microsoft Corporation negli Stati Uniti e/o negli altri paesi.</w: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F86FFF" w:rsidRPr="003410C7" w:rsidRDefault="00F86FFF" w:rsidP="003410C7">
    <w:pPr>
      <w:pStyle w:val="Footer"/>
      <w:pBdr>
        <w:top w:val="single" w:sz="6" w:space="1" w:color="808080"/>
      </w:pBdr>
      <w:tabs>
        <w:tab w:val="clear" w:pos="5155"/>
        <w:tab w:val="clear" w:pos="10325"/>
        <w:tab w:val="right" w:pos="9360"/>
      </w:tabs>
      <w:rPr>
        <w:rFonts w:ascii="Trebuchet MS" w:hAnsi="Trebuchet MS"/>
        <w:color w:val="808080"/>
        <w:sz w:val="14"/>
        <w:lang w:val="it-IT"/>
      </w:rPr>
    </w:pPr>
    <w:r w:rsidRPr="003410C7">
      <w:rPr>
        <w:rFonts w:ascii="Trebuchet MS" w:hAnsi="Trebuchet MS"/>
        <w:color w:val="808080"/>
        <w:sz w:val="14"/>
        <w:lang w:val="it-IT"/>
      </w:rPr>
      <w:t>© 2013 Microsoft Corporation. Tutti i diritti riservati.</w:t>
    </w:r>
    <w:r>
      <w:rPr>
        <w:rFonts w:ascii="Trebuchet MS" w:hAnsi="Trebuchet MS"/>
        <w:color w:val="808080"/>
        <w:sz w:val="14"/>
        <w:lang w:val="it-IT"/>
      </w:rPr>
      <w:tab/>
    </w:r>
    <w:r w:rsidRPr="003410C7">
      <w:rPr>
        <w:rFonts w:ascii="Trebuchet MS" w:hAnsi="Trebuchet MS"/>
        <w:color w:val="808080"/>
        <w:sz w:val="14"/>
        <w:lang w:val="it-IT"/>
      </w:rPr>
      <w:t xml:space="preserve">Pagina </w:t>
    </w:r>
    <w:r w:rsidRPr="003410C7">
      <w:rPr>
        <w:noProof/>
      </w:rPr>
      <w:fldChar w:fldCharType="begin"/>
    </w:r>
    <w:r w:rsidRPr="00451078">
      <w:rPr>
        <w:noProof/>
        <w:lang w:val="it-IT"/>
      </w:rPr>
      <w:instrText xml:space="preserve"> PAGE </w:instrText>
    </w:r>
    <w:r w:rsidRPr="003410C7">
      <w:rPr>
        <w:noProof/>
      </w:rPr>
      <w:fldChar w:fldCharType="separate"/>
    </w:r>
    <w:r w:rsidR="007E54C6">
      <w:rPr>
        <w:noProof/>
        <w:lang w:val="it-IT"/>
      </w:rPr>
      <w:t>1</w:t>
    </w:r>
    <w:r w:rsidRPr="003410C7">
      <w:rPr>
        <w:noProof/>
      </w:rPr>
      <w:fldChar w:fldCharType="end"/>
    </w:r>
    <w:r w:rsidRPr="003410C7">
      <w:rPr>
        <w:rFonts w:ascii="Trebuchet MS" w:hAnsi="Trebuchet MS"/>
        <w:color w:val="808080"/>
        <w:sz w:val="14"/>
        <w:lang w:val="it-IT"/>
      </w:rPr>
      <w:t xml:space="preserve"> di </w:t>
    </w:r>
    <w:r w:rsidRPr="003410C7">
      <w:rPr>
        <w:noProof/>
      </w:rPr>
      <w:fldChar w:fldCharType="begin"/>
    </w:r>
    <w:r w:rsidRPr="00451078">
      <w:rPr>
        <w:noProof/>
        <w:lang w:val="it-IT"/>
      </w:rPr>
      <w:instrText xml:space="preserve"> NUMPAGES </w:instrText>
    </w:r>
    <w:r w:rsidRPr="003410C7">
      <w:rPr>
        <w:noProof/>
      </w:rPr>
      <w:fldChar w:fldCharType="separate"/>
    </w:r>
    <w:r w:rsidR="007E54C6">
      <w:rPr>
        <w:noProof/>
        <w:lang w:val="it-IT"/>
      </w:rPr>
      <w:t>201</w:t>
    </w:r>
    <w:r w:rsidRPr="003410C7">
      <w:rPr>
        <w:noProof/>
      </w:rPr>
      <w:fldChar w:fldCharType="end"/>
    </w:r>
    <w:r w:rsidRPr="003410C7">
      <w:rPr>
        <w:rFonts w:ascii="Trebuchet MS" w:hAnsi="Trebuchet MS"/>
        <w:color w:val="808080"/>
        <w:sz w:val="14"/>
        <w:lang w:val="it-IT"/>
      </w:rPr>
      <w:t xml:space="preserve"> Pubblicato ad </w:t>
    </w:r>
    <w:r>
      <w:rPr>
        <w:rFonts w:ascii="Trebuchet MS" w:hAnsi="Trebuchet MS"/>
        <w:color w:val="808080"/>
        <w:sz w:val="14"/>
        <w:lang w:val="it-IT"/>
      </w:rPr>
      <w:t>A</w:t>
    </w:r>
    <w:r w:rsidRPr="003410C7">
      <w:rPr>
        <w:rFonts w:ascii="Trebuchet MS" w:hAnsi="Trebuchet MS"/>
        <w:color w:val="808080"/>
        <w:sz w:val="14"/>
        <w:lang w:val="it-IT"/>
      </w:rPr>
      <w:t>prile 2013</w:t>
    </w:r>
  </w:p>
  <w:p w:rsidR="00F86FFF" w:rsidRDefault="00F86FFF" w:rsidP="003410C7">
    <w:pPr>
      <w:pStyle w:val="Footer"/>
      <w:pBdr>
        <w:top w:val="single" w:sz="6" w:space="1" w:color="808080"/>
      </w:pBdr>
      <w:tabs>
        <w:tab w:val="clear" w:pos="5155"/>
        <w:tab w:val="clear" w:pos="10325"/>
        <w:tab w:val="right" w:pos="9360"/>
      </w:tabs>
      <w:rPr>
        <w:rFonts w:ascii="Trebuchet MS" w:hAnsi="Trebuchet MS"/>
        <w:color w:val="808080"/>
        <w:sz w:val="14"/>
        <w:lang w:val="it-IT"/>
      </w:rPr>
    </w:pPr>
    <w:r w:rsidRPr="003410C7">
      <w:rPr>
        <w:rFonts w:ascii="Trebuchet MS" w:hAnsi="Trebuchet MS"/>
        <w:color w:val="808080"/>
        <w:sz w:val="14"/>
        <w:lang w:val="it-IT"/>
      </w:rPr>
      <w:t>Microsoft è un marchio registrato di Microsoft Corporation negli Stati Uniti e/o negli altri paesi.</w:t>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F86FFF" w:rsidRPr="003410C7" w:rsidRDefault="00F86FFF" w:rsidP="003410C7">
    <w:pPr>
      <w:pStyle w:val="Footer"/>
      <w:pBdr>
        <w:top w:val="single" w:sz="6" w:space="1" w:color="808080"/>
      </w:pBdr>
      <w:tabs>
        <w:tab w:val="clear" w:pos="5155"/>
        <w:tab w:val="clear" w:pos="10325"/>
        <w:tab w:val="right" w:pos="9360"/>
      </w:tabs>
      <w:rPr>
        <w:rFonts w:ascii="Trebuchet MS" w:hAnsi="Trebuchet MS"/>
        <w:color w:val="808080"/>
        <w:sz w:val="14"/>
        <w:lang w:val="it-IT"/>
      </w:rPr>
    </w:pPr>
    <w:r w:rsidRPr="003410C7">
      <w:rPr>
        <w:rFonts w:ascii="Trebuchet MS" w:hAnsi="Trebuchet MS"/>
        <w:color w:val="808080"/>
        <w:sz w:val="14"/>
        <w:lang w:val="it-IT"/>
      </w:rPr>
      <w:t>© 2013 Microsoft Corporation. Tutti i diritti riservati.</w:t>
    </w:r>
    <w:r>
      <w:rPr>
        <w:rFonts w:ascii="Trebuchet MS" w:hAnsi="Trebuchet MS"/>
        <w:color w:val="808080"/>
        <w:sz w:val="14"/>
        <w:lang w:val="it-IT"/>
      </w:rPr>
      <w:tab/>
    </w:r>
    <w:r w:rsidRPr="003410C7">
      <w:rPr>
        <w:rFonts w:ascii="Trebuchet MS" w:hAnsi="Trebuchet MS"/>
        <w:color w:val="808080"/>
        <w:sz w:val="14"/>
        <w:lang w:val="it-IT"/>
      </w:rPr>
      <w:t xml:space="preserve">Pagina </w:t>
    </w:r>
    <w:r w:rsidRPr="00BA6035">
      <w:rPr>
        <w:noProof/>
      </w:rPr>
      <w:fldChar w:fldCharType="begin"/>
    </w:r>
    <w:r w:rsidRPr="00BA6035">
      <w:rPr>
        <w:noProof/>
      </w:rPr>
      <w:instrText xml:space="preserve"> PAGE </w:instrText>
    </w:r>
    <w:r w:rsidRPr="00BA6035">
      <w:rPr>
        <w:noProof/>
      </w:rPr>
      <w:fldChar w:fldCharType="separate"/>
    </w:r>
    <w:r w:rsidR="007E54C6">
      <w:rPr>
        <w:noProof/>
      </w:rPr>
      <w:t>201</w:t>
    </w:r>
    <w:r w:rsidRPr="00BA6035">
      <w:rPr>
        <w:noProof/>
      </w:rPr>
      <w:fldChar w:fldCharType="end"/>
    </w:r>
    <w:r w:rsidRPr="003410C7">
      <w:rPr>
        <w:rFonts w:ascii="Trebuchet MS" w:hAnsi="Trebuchet MS"/>
        <w:color w:val="808080"/>
        <w:sz w:val="14"/>
        <w:lang w:val="it-IT"/>
      </w:rPr>
      <w:t xml:space="preserve"> di </w:t>
    </w:r>
    <w:r w:rsidRPr="00BA6035">
      <w:rPr>
        <w:noProof/>
      </w:rPr>
      <w:fldChar w:fldCharType="begin"/>
    </w:r>
    <w:r w:rsidRPr="00BA6035">
      <w:rPr>
        <w:noProof/>
      </w:rPr>
      <w:instrText xml:space="preserve"> NUMPAGES </w:instrText>
    </w:r>
    <w:r w:rsidRPr="00BA6035">
      <w:rPr>
        <w:noProof/>
      </w:rPr>
      <w:fldChar w:fldCharType="separate"/>
    </w:r>
    <w:r w:rsidR="007E54C6">
      <w:rPr>
        <w:noProof/>
      </w:rPr>
      <w:t>201</w:t>
    </w:r>
    <w:r w:rsidRPr="00BA6035">
      <w:rPr>
        <w:noProof/>
      </w:rPr>
      <w:fldChar w:fldCharType="end"/>
    </w:r>
    <w:r w:rsidRPr="003410C7">
      <w:rPr>
        <w:rFonts w:ascii="Trebuchet MS" w:hAnsi="Trebuchet MS"/>
        <w:color w:val="808080"/>
        <w:sz w:val="14"/>
        <w:lang w:val="it-IT"/>
      </w:rPr>
      <w:t xml:space="preserve"> Pubblicato ad </w:t>
    </w:r>
    <w:r>
      <w:rPr>
        <w:rFonts w:ascii="Trebuchet MS" w:hAnsi="Trebuchet MS"/>
        <w:color w:val="808080"/>
        <w:sz w:val="14"/>
        <w:lang w:val="it-IT"/>
      </w:rPr>
      <w:t>A</w:t>
    </w:r>
    <w:r w:rsidRPr="003410C7">
      <w:rPr>
        <w:rFonts w:ascii="Trebuchet MS" w:hAnsi="Trebuchet MS"/>
        <w:color w:val="808080"/>
        <w:sz w:val="14"/>
        <w:lang w:val="it-IT"/>
      </w:rPr>
      <w:t>prile 2013</w:t>
    </w:r>
  </w:p>
  <w:p w:rsidR="00F86FFF" w:rsidRPr="003410C7" w:rsidRDefault="00F86FFF" w:rsidP="003410C7">
    <w:pPr>
      <w:pStyle w:val="Footer"/>
      <w:pBdr>
        <w:top w:val="single" w:sz="6" w:space="1" w:color="808080"/>
      </w:pBdr>
      <w:tabs>
        <w:tab w:val="clear" w:pos="5155"/>
        <w:tab w:val="clear" w:pos="10325"/>
        <w:tab w:val="right" w:pos="9360"/>
      </w:tabs>
      <w:rPr>
        <w:rFonts w:ascii="Trebuchet MS" w:hAnsi="Trebuchet MS"/>
        <w:color w:val="808080"/>
        <w:sz w:val="14"/>
        <w:lang w:val="it-IT"/>
      </w:rPr>
    </w:pPr>
    <w:r w:rsidRPr="003410C7">
      <w:rPr>
        <w:rFonts w:ascii="Trebuchet MS" w:hAnsi="Trebuchet MS"/>
        <w:color w:val="808080"/>
        <w:sz w:val="14"/>
        <w:lang w:val="it-IT"/>
      </w:rPr>
      <w:t>Microsoft è un marchio registrato di Microsoft Corporation negli Stati Uniti e/o negli altri paesi.</w:t>
    </w: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F86FFF" w:rsidRDefault="00F86FFF"/>
  <w:p w:rsidR="00F86FFF" w:rsidRPr="00451078" w:rsidRDefault="00F86FFF">
    <w:pPr>
      <w:pStyle w:val="Footer"/>
      <w:pBdr>
        <w:top w:val="single" w:sz="6" w:space="1" w:color="808080"/>
      </w:pBdr>
      <w:tabs>
        <w:tab w:val="clear" w:pos="5155"/>
        <w:tab w:val="clear" w:pos="10325"/>
        <w:tab w:val="right" w:pos="10620"/>
      </w:tabs>
      <w:rPr>
        <w:rFonts w:ascii="Trebuchet MS" w:hAnsi="Trebuchet MS"/>
        <w:color w:val="808080"/>
        <w:sz w:val="14"/>
        <w:lang w:val="it-IT"/>
      </w:rPr>
    </w:pPr>
    <w:r w:rsidRPr="00451078">
      <w:rPr>
        <w:rFonts w:ascii="Trebuchet MS" w:hAnsi="Trebuchet MS"/>
        <w:color w:val="808080"/>
        <w:sz w:val="14"/>
        <w:lang w:val="it-IT"/>
      </w:rPr>
      <w:t xml:space="preserve">© 2009 Microsoft Corporation. Tutti i diritti riservati. Pagina </w:t>
    </w:r>
    <w:r>
      <w:fldChar w:fldCharType="begin"/>
    </w:r>
    <w:r w:rsidRPr="00451078">
      <w:rPr>
        <w:lang w:val="it-IT"/>
      </w:rPr>
      <w:instrText xml:space="preserve"> PAGE </w:instrText>
    </w:r>
    <w:r>
      <w:fldChar w:fldCharType="separate"/>
    </w:r>
    <w:r w:rsidRPr="00451078">
      <w:rPr>
        <w:noProof/>
        <w:lang w:val="it-IT"/>
      </w:rPr>
      <w:t>1</w:t>
    </w:r>
    <w:r>
      <w:fldChar w:fldCharType="end"/>
    </w:r>
    <w:r w:rsidRPr="00451078">
      <w:rPr>
        <w:rFonts w:ascii="Trebuchet MS" w:hAnsi="Trebuchet MS"/>
        <w:color w:val="808080"/>
        <w:sz w:val="14"/>
        <w:lang w:val="it-IT"/>
      </w:rPr>
      <w:t xml:space="preserve"> di </w:t>
    </w:r>
    <w:r>
      <w:fldChar w:fldCharType="begin"/>
    </w:r>
    <w:r w:rsidRPr="00451078">
      <w:rPr>
        <w:lang w:val="it-IT"/>
      </w:rPr>
      <w:instrText xml:space="preserve"> NUMPAGES </w:instrText>
    </w:r>
    <w:r>
      <w:fldChar w:fldCharType="separate"/>
    </w:r>
    <w:r>
      <w:rPr>
        <w:noProof/>
        <w:lang w:val="it-IT"/>
      </w:rPr>
      <w:t>202</w:t>
    </w:r>
    <w:r>
      <w:rPr>
        <w:noProof/>
      </w:rPr>
      <w:fldChar w:fldCharType="end"/>
    </w:r>
    <w:r w:rsidRPr="00451078">
      <w:rPr>
        <w:lang w:val="it-IT"/>
      </w:rPr>
      <w:t xml:space="preserve"> Pubblicato a maggio 2009</w:t>
    </w:r>
  </w:p>
  <w:p w:rsidR="00F86FFF" w:rsidRPr="00451078" w:rsidRDefault="00F86FFF">
    <w:pPr>
      <w:pStyle w:val="Footer"/>
      <w:rPr>
        <w:rFonts w:ascii="Verdana" w:hAnsi="Verdana"/>
        <w:color w:val="808080"/>
        <w:sz w:val="16"/>
        <w:lang w:val="it-IT"/>
      </w:rPr>
    </w:pPr>
    <w:r w:rsidRPr="00451078">
      <w:rPr>
        <w:rFonts w:ascii="Trebuchet MS" w:hAnsi="Trebuchet MS"/>
        <w:color w:val="808080"/>
        <w:sz w:val="14"/>
        <w:lang w:val="it-IT"/>
      </w:rPr>
      <w:t>Microsoft è un marchio registrato di Microsoft Corporation negli Stati Uniti e/o negli altri paesi.</w: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FC1A4D" w:rsidRDefault="00FC1A4D">
      <w:r>
        <w:separator/>
      </w:r>
    </w:p>
  </w:footnote>
  <w:footnote w:type="continuationSeparator" w:id="0">
    <w:p w:rsidR="00FC1A4D" w:rsidRDefault="00FC1A4D">
      <w:r>
        <w:continuationSeparator/>
      </w:r>
    </w:p>
  </w:footnote>
  <w:footnote w:type="continuationNotice" w:id="1">
    <w:p w:rsidR="00FC1A4D" w:rsidRDefault="00FC1A4D"/>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F86FFF" w:rsidRDefault="00F86FFF">
    <w:pPr>
      <w:pStyle w:val="Header"/>
      <w:tabs>
        <w:tab w:val="clear" w:pos="3240"/>
        <w:tab w:val="left" w:pos="2970"/>
      </w:tabs>
      <w:ind w:firstLine="2160"/>
    </w:pPr>
    <w:r>
      <w:rPr>
        <w:noProof/>
        <w:lang w:val="en-US" w:eastAsia="en-US"/>
      </w:rPr>
      <mc:AlternateContent>
        <mc:Choice Requires="wps">
          <w:drawing>
            <wp:anchor distT="0" distB="0" distL="114300" distR="114300" simplePos="0" relativeHeight="251655680" behindDoc="0" locked="0" layoutInCell="0" allowOverlap="1">
              <wp:simplePos x="0" y="0"/>
              <wp:positionH relativeFrom="column">
                <wp:posOffset>-314325</wp:posOffset>
              </wp:positionH>
              <wp:positionV relativeFrom="paragraph">
                <wp:posOffset>-139700</wp:posOffset>
              </wp:positionV>
              <wp:extent cx="2228850" cy="574675"/>
              <wp:effectExtent l="0" t="0" r="0" b="0"/>
              <wp:wrapNone/>
              <wp:docPr id="5" name="Text Box 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228850" cy="57467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F86FFF" w:rsidRDefault="00F86FFF">
                          <w:r>
                            <w:rPr>
                              <w:noProof/>
                            </w:rPr>
                            <w:drawing>
                              <wp:inline distT="0" distB="0" distL="0" distR="0" wp14:anchorId="543A5686" wp14:editId="5D1637D5">
                                <wp:extent cx="1952625" cy="495300"/>
                                <wp:effectExtent l="0" t="0" r="9525" b="0"/>
                                <wp:docPr id="11" name="Picture 24" descr="Description: logo(ITA).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Description: logo(ITA).jpg"/>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952625" cy="495300"/>
                                        </a:xfrm>
                                        <a:prstGeom prst="rect">
                                          <a:avLst/>
                                        </a:prstGeom>
                                        <a:noFill/>
                                        <a:ln>
                                          <a:noFill/>
                                        </a:ln>
                                      </pic:spPr>
                                    </pic:pic>
                                  </a:graphicData>
                                </a:graphic>
                              </wp:inline>
                            </w:drawing>
                          </w:r>
                          <w:r>
                            <w:rPr>
                              <w:noProof/>
                            </w:rPr>
                            <w:drawing>
                              <wp:inline distT="0" distB="0" distL="0" distR="0" wp14:anchorId="3868C876" wp14:editId="26DF27CB">
                                <wp:extent cx="1911985" cy="510540"/>
                                <wp:effectExtent l="0" t="0" r="0" b="3810"/>
                                <wp:docPr id="19" name="Picture 4" descr="productlist0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productlist01"/>
                                        <pic:cNvPicPr>
                                          <a:picLocks noChangeAspect="1" noChangeArrowheads="1"/>
                                        </pic:cNvPicPr>
                                      </pic:nvPicPr>
                                      <pic:blipFill>
                                        <a:blip r:embed="rId2">
                                          <a:extLst>
                                            <a:ext uri="{28A0092B-C50C-407E-A947-70E740481C1C}">
                                              <a14:useLocalDpi xmlns:a14="http://schemas.microsoft.com/office/drawing/2010/main" val="0"/>
                                            </a:ext>
                                          </a:extLst>
                                        </a:blip>
                                        <a:srcRect/>
                                        <a:stretch>
                                          <a:fillRect/>
                                        </a:stretch>
                                      </pic:blipFill>
                                      <pic:spPr bwMode="auto">
                                        <a:xfrm>
                                          <a:off x="0" y="0"/>
                                          <a:ext cx="1911985" cy="510540"/>
                                        </a:xfrm>
                                        <a:prstGeom prst="rect">
                                          <a:avLst/>
                                        </a:prstGeom>
                                        <a:noFill/>
                                        <a:ln>
                                          <a:noFill/>
                                        </a:ln>
                                      </pic:spPr>
                                    </pic:pic>
                                  </a:graphicData>
                                </a:graphic>
                              </wp:inline>
                            </w:drawing>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xmlns:w15="http://schemas.microsoft.com/office/word/2012/wordml">
          <w:pict>
            <v:shapetype id="_x0000_t202" coordsize="21600,21600" o:spt="202" path="m,l,21600r21600,l21600,xe">
              <v:stroke joinstyle="miter"/>
              <v:path gradientshapeok="t" o:connecttype="rect"/>
            </v:shapetype>
            <v:shape id="Text Box 4" o:spid="_x0000_s1030" type="#_x0000_t202" style="position:absolute;left:0;text-align:left;margin-left:-24.75pt;margin-top:-11pt;width:175.5pt;height:45.25pt;z-index:2516556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KtPumtAIAALkFAAAOAAAAZHJzL2Uyb0RvYy54bWysVG1vmzAQ/j5p/8Hyd8rLTAKopGpDmCZ1&#10;L1K7H+CACdbAZrYT0lX77zubJE1bTZq28QHZvvNz99w9vsurfd+hHVOaS5Hj8CLAiIlK1lxscvz1&#10;vvQSjLShoqadFCzHD0zjq8XbN5fjkLFItrKrmUIAInQ2DjlujRky39dVy3qqL+TABBgbqXpqYKs2&#10;fq3oCOh950dBMPNHqepByYppDafFZMQLh980rDKfm0Yzg7ocQ27G/ZX7r+3fX1zSbKPo0PLqkAb9&#10;iyx6ygUEPUEV1FC0VfwVVM8rJbVszEUle182Da+Y4wBswuAFm7uWDsxxgeLo4VQm/f9gq0+7Lwrx&#10;OscxRoL20KJ7tjfoRu4RsdUZB52B090AbmYPx9Blx1QPt7L6ppGQy5aKDbtWSo4tozVkF9qb/tnV&#10;CUdbkPX4UdYQhm6NdED7RvW2dFAMBOjQpYdTZ2wqFRxGUZQkMZgqsMVzMpvHLgTNjrcHpc17Jntk&#10;FzlW0HmHTne32thsaHZ0scGELHnXue534tkBOE4nEBuuWpvNwjXzMQ3SVbJKiEei2cojQVF41+WS&#10;eLMynMfFu2K5LMKfNm5IspbXNRM2zFFYIfmzxh0kPkniJC0tO15bOJuSVpv1slNoR0HYpfsOBTlz&#10;85+n4YoAXF5QCiMS3ESpV86SuUdKEnvpPEi8IExv0llAUlKUzyndcsH+nRIac5zGUTyJ6bfcAve9&#10;5kaznhsYHR3vc5ycnGhmJbgStWutobyb1melsOk/lQLafWy0E6zV6KRWs1/vAcWqeC3rB5CukqAs&#10;ECHMO1i0Uv3AaITZkWP9fUsVw6j7IED+aUiIHTZuQ+J5BBt1blmfW6ioACrHBqNpuTTTgNoOim9a&#10;iDQ9OCGv4ck03Kn5KavDQ4P54EgdZpkdQOd75/U0cRe/AAAA//8DAFBLAwQUAAYACAAAACEAhSh9&#10;wt8AAAAKAQAADwAAAGRycy9kb3ducmV2LnhtbEyPQW/CMAyF75P4D5GRdoOEjiLomiLEtOumsQ2J&#10;W2hMW61xqibQ7t/PO2032+/p+Xv5dnStuGEfGk8aFnMFAqn0tqFKw8f782wNIkRD1rSeUMM3BtgW&#10;k7vcZNYP9Ia3Q6wEh1DIjIY6xi6TMpQ1OhPmvkNi7eJ7ZyKvfSVtbwYOd61MlFpJZxriD7XpcF9j&#10;+XW4Og2fL5fTcaleqyeXdoMflSS3kVrfT8fdI4iIY/wzwy8+o0PBTGd/JRtEq2G23KRs5SFJuBQ7&#10;HtSCL2cNq3UKssjl/wrFDwAAAP//AwBQSwECLQAUAAYACAAAACEAtoM4kv4AAADhAQAAEwAAAAAA&#10;AAAAAAAAAAAAAAAAW0NvbnRlbnRfVHlwZXNdLnhtbFBLAQItABQABgAIAAAAIQA4/SH/1gAAAJQB&#10;AAALAAAAAAAAAAAAAAAAAC8BAABfcmVscy8ucmVsc1BLAQItABQABgAIAAAAIQAKtPumtAIAALkF&#10;AAAOAAAAAAAAAAAAAAAAAC4CAABkcnMvZTJvRG9jLnhtbFBLAQItABQABgAIAAAAIQCFKH3C3wAA&#10;AAoBAAAPAAAAAAAAAAAAAAAAAA4FAABkcnMvZG93bnJldi54bWxQSwUGAAAAAAQABADzAAAAGgYA&#10;AAAA&#10;" o:allowincell="f" filled="f" stroked="f">
              <v:textbox>
                <w:txbxContent>
                  <w:p w:rsidR="00F86FFF" w:rsidRDefault="00F86FFF">
                    <w:r>
                      <w:rPr>
                        <w:noProof/>
                      </w:rPr>
                      <w:drawing>
                        <wp:inline distT="0" distB="0" distL="0" distR="0" wp14:anchorId="543A5686" wp14:editId="5D1637D5">
                          <wp:extent cx="1952625" cy="495300"/>
                          <wp:effectExtent l="0" t="0" r="9525" b="0"/>
                          <wp:docPr id="11" name="Picture 24" descr="Description: logo(ITA).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Description: logo(ITA).jpg"/>
                                  <pic:cNvPicPr>
                                    <a:picLocks noChangeAspect="1" noChangeArrowheads="1"/>
                                  </pic:cNvPicPr>
                                </pic:nvPicPr>
                                <pic:blipFill>
                                  <a:blip r:embed="rId3">
                                    <a:extLst>
                                      <a:ext uri="{28A0092B-C50C-407E-A947-70E740481C1C}">
                                        <a14:useLocalDpi xmlns:a14="http://schemas.microsoft.com/office/drawing/2010/main" val="0"/>
                                      </a:ext>
                                    </a:extLst>
                                  </a:blip>
                                  <a:srcRect/>
                                  <a:stretch>
                                    <a:fillRect/>
                                  </a:stretch>
                                </pic:blipFill>
                                <pic:spPr bwMode="auto">
                                  <a:xfrm>
                                    <a:off x="0" y="0"/>
                                    <a:ext cx="1952625" cy="495300"/>
                                  </a:xfrm>
                                  <a:prstGeom prst="rect">
                                    <a:avLst/>
                                  </a:prstGeom>
                                  <a:noFill/>
                                  <a:ln>
                                    <a:noFill/>
                                  </a:ln>
                                </pic:spPr>
                              </pic:pic>
                            </a:graphicData>
                          </a:graphic>
                        </wp:inline>
                      </w:drawing>
                    </w:r>
                    <w:r>
                      <w:rPr>
                        <w:noProof/>
                      </w:rPr>
                      <w:drawing>
                        <wp:inline distT="0" distB="0" distL="0" distR="0" wp14:anchorId="3868C876" wp14:editId="26DF27CB">
                          <wp:extent cx="1911985" cy="510540"/>
                          <wp:effectExtent l="0" t="0" r="0" b="3810"/>
                          <wp:docPr id="19" name="Picture 4" descr="productlist0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productlist01"/>
                                  <pic:cNvPicPr>
                                    <a:picLocks noChangeAspect="1" noChangeArrowheads="1"/>
                                  </pic:cNvPicPr>
                                </pic:nvPicPr>
                                <pic:blipFill>
                                  <a:blip r:embed="rId4">
                                    <a:extLst>
                                      <a:ext uri="{28A0092B-C50C-407E-A947-70E740481C1C}">
                                        <a14:useLocalDpi xmlns:a14="http://schemas.microsoft.com/office/drawing/2010/main" val="0"/>
                                      </a:ext>
                                    </a:extLst>
                                  </a:blip>
                                  <a:srcRect/>
                                  <a:stretch>
                                    <a:fillRect/>
                                  </a:stretch>
                                </pic:blipFill>
                                <pic:spPr bwMode="auto">
                                  <a:xfrm>
                                    <a:off x="0" y="0"/>
                                    <a:ext cx="1911985" cy="510540"/>
                                  </a:xfrm>
                                  <a:prstGeom prst="rect">
                                    <a:avLst/>
                                  </a:prstGeom>
                                  <a:noFill/>
                                  <a:ln>
                                    <a:noFill/>
                                  </a:ln>
                                </pic:spPr>
                              </pic:pic>
                            </a:graphicData>
                          </a:graphic>
                        </wp:inline>
                      </w:drawing>
                    </w:r>
                  </w:p>
                </w:txbxContent>
              </v:textbox>
            </v:shape>
          </w:pict>
        </mc:Fallback>
      </mc:AlternateContent>
    </w:r>
    <w:r>
      <w:t xml:space="preserve"> </w:t>
    </w:r>
  </w:p>
  <w:p w:rsidR="00F86FFF" w:rsidRDefault="00F86FFF">
    <w:r>
      <w:rPr>
        <w:noProof/>
      </w:rPr>
      <mc:AlternateContent>
        <mc:Choice Requires="wps">
          <w:drawing>
            <wp:anchor distT="4294967295" distB="4294967295" distL="114300" distR="114300" simplePos="0" relativeHeight="251658752" behindDoc="0" locked="0" layoutInCell="0" allowOverlap="1">
              <wp:simplePos x="0" y="0"/>
              <wp:positionH relativeFrom="column">
                <wp:posOffset>-23495</wp:posOffset>
              </wp:positionH>
              <wp:positionV relativeFrom="paragraph">
                <wp:posOffset>70484</wp:posOffset>
              </wp:positionV>
              <wp:extent cx="6931025" cy="0"/>
              <wp:effectExtent l="0" t="0" r="3175" b="0"/>
              <wp:wrapNone/>
              <wp:docPr id="4" name="Line 5"/>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931025" cy="0"/>
                      </a:xfrm>
                      <a:prstGeom prst="line">
                        <a:avLst/>
                      </a:prstGeom>
                      <a:noFill/>
                      <a:ln w="317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w15="http://schemas.microsoft.com/office/word/2012/wordml">
          <w:pict>
            <v:line w14:anchorId="6A120873" id="Line 5" o:spid="_x0000_s1026" style="position:absolute;z-index:251658752;visibility:visible;mso-wrap-style:square;mso-width-percent:0;mso-height-percent:0;mso-wrap-distance-left:9pt;mso-wrap-distance-top:-3e-5mm;mso-wrap-distance-right:9pt;mso-wrap-distance-bottom:-3e-5mm;mso-position-horizontal:absolute;mso-position-horizontal-relative:text;mso-position-vertical:absolute;mso-position-vertical-relative:text;mso-width-percent:0;mso-height-percent:0;mso-width-relative:page;mso-height-relative:page" from="-1.85pt,5.55pt" to="543.9pt,5.5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Gtm2vEQIAACgEAAAOAAAAZHJzL2Uyb0RvYy54bWysU8GO2jAQvVfqP1i+QxIIFCLCqkqgl22L&#10;tNsPMLZDrDq2ZRsCqvrvHRuC2PZSVc3BGXtmnt/MG6+ezp1EJ26d0KrE2TjFiCuqmVCHEn973Y4W&#10;GDlPFCNSK17iC3f4af3+3ao3BZ/oVkvGLQIQ5YrelLj13hRJ4mjLO+LG2nAFzkbbjnjY2kPCLOkB&#10;vZPJJE3nSa8tM1ZT7hyc1lcnXkf8puHUf20axz2SJQZuPq42rvuwJusVKQ6WmFbQGw3yDyw6IhRc&#10;eoeqiSfoaMUfUJ2gVjvd+DHVXaKbRlAea4BqsvS3al5aYnisBZrjzL1N7v/B0i+nnUWClTjHSJEO&#10;JHoWiqNZ6ExvXAEBldrZUBs9qxfzrOl3h5SuWqIOPDJ8vRhIy0JG8iYlbJwB/H3/WTOIIUevY5vO&#10;je0CJDQAnaMal7sa/OwRhcP5cpqlkxlGdPAlpBgSjXX+E9cdCkaJJXCOwOT07HwgQoohJNyj9FZI&#10;GcWWCvUlnmYfZjHBaSlYcIYwZw/7Slp0ImFc4herAs9jmNVHxSJYywnb3GxPhLzacLlUAQ9KATo3&#10;6zoPP5bpcrPYLPJRPplvRnla16OP2yofzbdAqZ7WVVVnPwO1LC9awRhXgd0wm1n+d9rfXsl1qu7T&#10;eW9D8hY99gvIDv9IOmoZ5LsOwl6zy84OGsM4xuDb0wnz/rgH+/GBr38BAAD//wMAUEsDBBQABgAI&#10;AAAAIQC5Qw4r3gAAAAkBAAAPAAAAZHJzL2Rvd25yZXYueG1sTI9BT8JAEIXvJvyHzZB4g20xAVK7&#10;JbbRAwdNBBP1tnTHtrE7W7pbqP/eIRz0OO+9vPleuhltK07Y+8aRgngegUAqnWmoUvC2f5qtQfig&#10;yejWESr4QQ+bbHKT6sS4M73iaRcqwSXkE62gDqFLpPRljVb7ueuQ2PtyvdWBz76SptdnLretXETR&#10;UlrdEH+odYdFjeX3brAKgn//eAnD9pgv8+cC9/ln8Si3St1Ox4d7EAHH8BeGCz6jQ8ZMBzeQ8aJV&#10;MLtbcZL1OAZx8aP1irccrorMUvl/QfYLAAD//wMAUEsBAi0AFAAGAAgAAAAhALaDOJL+AAAA4QEA&#10;ABMAAAAAAAAAAAAAAAAAAAAAAFtDb250ZW50X1R5cGVzXS54bWxQSwECLQAUAAYACAAAACEAOP0h&#10;/9YAAACUAQAACwAAAAAAAAAAAAAAAAAvAQAAX3JlbHMvLnJlbHNQSwECLQAUAAYACAAAACEAhrZt&#10;rxECAAAoBAAADgAAAAAAAAAAAAAAAAAuAgAAZHJzL2Uyb0RvYy54bWxQSwECLQAUAAYACAAAACEA&#10;uUMOK94AAAAJAQAADwAAAAAAAAAAAAAAAABrBAAAZHJzL2Rvd25yZXYueG1sUEsFBgAAAAAEAAQA&#10;8wAAAHYFAAAAAA==&#10;" o:allowincell="f" strokeweight=".25pt"/>
          </w:pict>
        </mc:Fallback>
      </mc:AlternateConten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F86FFF" w:rsidRDefault="00F86FFF" w:rsidP="006D6A83">
    <w:pPr>
      <w:ind w:rightChars="185" w:right="333"/>
    </w:pPr>
  </w:p>
  <w:p w:rsidR="00F86FFF" w:rsidRDefault="00F86FFF" w:rsidP="006D6A83">
    <w:pPr>
      <w:ind w:rightChars="185" w:right="333"/>
    </w:pPr>
  </w:p>
  <w:p w:rsidR="00F86FFF" w:rsidRDefault="00F86FFF" w:rsidP="006D6A83">
    <w:pPr>
      <w:ind w:rightChars="185" w:right="333"/>
    </w:pPr>
    <w:r>
      <w:rPr>
        <w:noProof/>
      </w:rPr>
      <w:drawing>
        <wp:anchor distT="0" distB="0" distL="114300" distR="114300" simplePos="0" relativeHeight="251661824" behindDoc="0" locked="0" layoutInCell="1" allowOverlap="1" wp14:anchorId="39F853FD" wp14:editId="06BAF398">
          <wp:simplePos x="0" y="0"/>
          <wp:positionH relativeFrom="margin">
            <wp:align>center</wp:align>
          </wp:positionH>
          <wp:positionV relativeFrom="paragraph">
            <wp:posOffset>15240</wp:posOffset>
          </wp:positionV>
          <wp:extent cx="5734050" cy="561975"/>
          <wp:effectExtent l="0" t="0" r="0" b="9525"/>
          <wp:wrapNone/>
          <wp:docPr id="18" name="Picture 1" descr="Description: C:\Users\v-elibro\Desktop\Watermark\Banner for Agreements.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Description: C:\Users\v-elibro\Desktop\Watermark\Banner for Agreements.png"/>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5734050" cy="561975"/>
                  </a:xfrm>
                  <a:prstGeom prst="rect">
                    <a:avLst/>
                  </a:prstGeom>
                  <a:noFill/>
                </pic:spPr>
              </pic:pic>
            </a:graphicData>
          </a:graphic>
        </wp:anchor>
      </w:drawing>
    </w:r>
  </w:p>
  <w:p w:rsidR="00F86FFF" w:rsidRDefault="00F86FFF">
    <w:pPr>
      <w:pStyle w:val="Header"/>
      <w:tabs>
        <w:tab w:val="left" w:pos="8550"/>
        <w:tab w:val="left" w:pos="12600"/>
      </w:tabs>
      <w:ind w:right="-1788"/>
    </w:pPr>
    <w:r>
      <w:t xml:space="preserve"> </w:t>
    </w: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F86FFF" w:rsidRDefault="00F86FFF" w:rsidP="00426BAD">
    <w:pPr>
      <w:ind w:rightChars="185" w:right="333"/>
    </w:pPr>
  </w:p>
  <w:p w:rsidR="00F86FFF" w:rsidRDefault="00F86FFF">
    <w:pPr>
      <w:pStyle w:val="Header"/>
      <w:tabs>
        <w:tab w:val="left" w:pos="8550"/>
        <w:tab w:val="left" w:pos="12600"/>
      </w:tabs>
      <w:ind w:right="-1788"/>
    </w:pPr>
    <w:r>
      <w:t xml:space="preserve"> </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88"/>
    <w:multiLevelType w:val="singleLevel"/>
    <w:tmpl w:val="7A0A6D6C"/>
    <w:lvl w:ilvl="0">
      <w:start w:val="1"/>
      <w:numFmt w:val="decimal"/>
      <w:lvlText w:val="%1."/>
      <w:lvlJc w:val="left"/>
      <w:pPr>
        <w:tabs>
          <w:tab w:val="num" w:pos="360"/>
        </w:tabs>
        <w:ind w:left="360" w:hanging="360"/>
      </w:pPr>
    </w:lvl>
  </w:abstractNum>
  <w:abstractNum w:abstractNumId="1">
    <w:nsid w:val="00945EA5"/>
    <w:multiLevelType w:val="hybridMultilevel"/>
    <w:tmpl w:val="66263754"/>
    <w:lvl w:ilvl="0" w:tplc="D902DDBC">
      <w:start w:val="1"/>
      <w:numFmt w:val="bullet"/>
      <w:lvlText w:val=""/>
      <w:lvlJc w:val="left"/>
      <w:pPr>
        <w:ind w:left="1080" w:hanging="360"/>
      </w:pPr>
      <w:rPr>
        <w:rFonts w:ascii="Webdings" w:hAnsi="Webdings" w:hint="default"/>
        <w:b w:val="0"/>
        <w:i w:val="0"/>
        <w:color w:val="FF6600"/>
        <w:sz w:val="24"/>
        <w:szCs w:val="24"/>
      </w:rPr>
    </w:lvl>
    <w:lvl w:ilvl="1" w:tplc="04090003" w:tentative="1">
      <w:start w:val="1"/>
      <w:numFmt w:val="bullet"/>
      <w:lvlText w:val="o"/>
      <w:lvlJc w:val="left"/>
      <w:pPr>
        <w:ind w:left="1800" w:hanging="360"/>
      </w:pPr>
      <w:rPr>
        <w:rFonts w:ascii="Courier New" w:hAnsi="Courier New" w:cs="Wingdings"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Wingdings"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Wingdings" w:hint="default"/>
      </w:rPr>
    </w:lvl>
    <w:lvl w:ilvl="8" w:tplc="04090005" w:tentative="1">
      <w:start w:val="1"/>
      <w:numFmt w:val="bullet"/>
      <w:lvlText w:val=""/>
      <w:lvlJc w:val="left"/>
      <w:pPr>
        <w:ind w:left="6840" w:hanging="360"/>
      </w:pPr>
      <w:rPr>
        <w:rFonts w:ascii="Wingdings" w:hAnsi="Wingdings" w:hint="default"/>
      </w:rPr>
    </w:lvl>
  </w:abstractNum>
  <w:abstractNum w:abstractNumId="2">
    <w:nsid w:val="01932142"/>
    <w:multiLevelType w:val="hybridMultilevel"/>
    <w:tmpl w:val="42B45350"/>
    <w:lvl w:ilvl="0" w:tplc="D902DDBC">
      <w:start w:val="1"/>
      <w:numFmt w:val="bullet"/>
      <w:lvlText w:val=""/>
      <w:lvlJc w:val="left"/>
      <w:pPr>
        <w:ind w:left="1627" w:hanging="360"/>
      </w:pPr>
      <w:rPr>
        <w:rFonts w:ascii="Webdings" w:hAnsi="Webdings" w:hint="default"/>
        <w:b w:val="0"/>
        <w:i w:val="0"/>
        <w:color w:val="FF6600"/>
        <w:sz w:val="24"/>
      </w:rPr>
    </w:lvl>
    <w:lvl w:ilvl="1" w:tplc="04090003" w:tentative="1">
      <w:start w:val="1"/>
      <w:numFmt w:val="bullet"/>
      <w:lvlText w:val="o"/>
      <w:lvlJc w:val="left"/>
      <w:pPr>
        <w:ind w:left="2347" w:hanging="360"/>
      </w:pPr>
      <w:rPr>
        <w:rFonts w:ascii="Courier New" w:hAnsi="Courier New" w:hint="default"/>
      </w:rPr>
    </w:lvl>
    <w:lvl w:ilvl="2" w:tplc="04090005" w:tentative="1">
      <w:start w:val="1"/>
      <w:numFmt w:val="bullet"/>
      <w:lvlText w:val=""/>
      <w:lvlJc w:val="left"/>
      <w:pPr>
        <w:ind w:left="3067" w:hanging="360"/>
      </w:pPr>
      <w:rPr>
        <w:rFonts w:ascii="Wingdings" w:hAnsi="Wingdings" w:hint="default"/>
      </w:rPr>
    </w:lvl>
    <w:lvl w:ilvl="3" w:tplc="04090001" w:tentative="1">
      <w:start w:val="1"/>
      <w:numFmt w:val="bullet"/>
      <w:lvlText w:val=""/>
      <w:lvlJc w:val="left"/>
      <w:pPr>
        <w:ind w:left="3787" w:hanging="360"/>
      </w:pPr>
      <w:rPr>
        <w:rFonts w:ascii="Symbol" w:hAnsi="Symbol" w:hint="default"/>
      </w:rPr>
    </w:lvl>
    <w:lvl w:ilvl="4" w:tplc="04090003" w:tentative="1">
      <w:start w:val="1"/>
      <w:numFmt w:val="bullet"/>
      <w:lvlText w:val="o"/>
      <w:lvlJc w:val="left"/>
      <w:pPr>
        <w:ind w:left="4507" w:hanging="360"/>
      </w:pPr>
      <w:rPr>
        <w:rFonts w:ascii="Courier New" w:hAnsi="Courier New" w:hint="default"/>
      </w:rPr>
    </w:lvl>
    <w:lvl w:ilvl="5" w:tplc="04090005" w:tentative="1">
      <w:start w:val="1"/>
      <w:numFmt w:val="bullet"/>
      <w:lvlText w:val=""/>
      <w:lvlJc w:val="left"/>
      <w:pPr>
        <w:ind w:left="5227" w:hanging="360"/>
      </w:pPr>
      <w:rPr>
        <w:rFonts w:ascii="Wingdings" w:hAnsi="Wingdings" w:hint="default"/>
      </w:rPr>
    </w:lvl>
    <w:lvl w:ilvl="6" w:tplc="04090001" w:tentative="1">
      <w:start w:val="1"/>
      <w:numFmt w:val="bullet"/>
      <w:lvlText w:val=""/>
      <w:lvlJc w:val="left"/>
      <w:pPr>
        <w:ind w:left="5947" w:hanging="360"/>
      </w:pPr>
      <w:rPr>
        <w:rFonts w:ascii="Symbol" w:hAnsi="Symbol" w:hint="default"/>
      </w:rPr>
    </w:lvl>
    <w:lvl w:ilvl="7" w:tplc="04090003" w:tentative="1">
      <w:start w:val="1"/>
      <w:numFmt w:val="bullet"/>
      <w:lvlText w:val="o"/>
      <w:lvlJc w:val="left"/>
      <w:pPr>
        <w:ind w:left="6667" w:hanging="360"/>
      </w:pPr>
      <w:rPr>
        <w:rFonts w:ascii="Courier New" w:hAnsi="Courier New" w:hint="default"/>
      </w:rPr>
    </w:lvl>
    <w:lvl w:ilvl="8" w:tplc="04090005" w:tentative="1">
      <w:start w:val="1"/>
      <w:numFmt w:val="bullet"/>
      <w:lvlText w:val=""/>
      <w:lvlJc w:val="left"/>
      <w:pPr>
        <w:ind w:left="7387" w:hanging="360"/>
      </w:pPr>
      <w:rPr>
        <w:rFonts w:ascii="Wingdings" w:hAnsi="Wingdings" w:hint="default"/>
      </w:rPr>
    </w:lvl>
  </w:abstractNum>
  <w:abstractNum w:abstractNumId="3">
    <w:nsid w:val="02505610"/>
    <w:multiLevelType w:val="hybridMultilevel"/>
    <w:tmpl w:val="C30E9EC8"/>
    <w:lvl w:ilvl="0" w:tplc="D902DDBC">
      <w:start w:val="1"/>
      <w:numFmt w:val="bullet"/>
      <w:lvlText w:val=""/>
      <w:lvlJc w:val="left"/>
      <w:pPr>
        <w:ind w:left="1260" w:hanging="360"/>
      </w:pPr>
      <w:rPr>
        <w:rFonts w:ascii="Webdings" w:hAnsi="Webdings" w:hint="default"/>
        <w:b w:val="0"/>
        <w:i w:val="0"/>
        <w:color w:val="FF6600"/>
        <w:sz w:val="24"/>
      </w:rPr>
    </w:lvl>
    <w:lvl w:ilvl="1" w:tplc="04090003">
      <w:start w:val="1"/>
      <w:numFmt w:val="bullet"/>
      <w:lvlText w:val="o"/>
      <w:lvlJc w:val="left"/>
      <w:pPr>
        <w:ind w:left="1980" w:hanging="360"/>
      </w:pPr>
      <w:rPr>
        <w:rFonts w:ascii="Courier New" w:hAnsi="Courier New" w:hint="default"/>
      </w:rPr>
    </w:lvl>
    <w:lvl w:ilvl="2" w:tplc="04090001">
      <w:start w:val="1"/>
      <w:numFmt w:val="bullet"/>
      <w:lvlText w:val=""/>
      <w:lvlJc w:val="left"/>
      <w:pPr>
        <w:ind w:left="2700" w:hanging="360"/>
      </w:pPr>
      <w:rPr>
        <w:rFonts w:ascii="Symbol" w:hAnsi="Symbol" w:hint="default"/>
      </w:rPr>
    </w:lvl>
    <w:lvl w:ilvl="3" w:tplc="04090001">
      <w:start w:val="1"/>
      <w:numFmt w:val="bullet"/>
      <w:lvlText w:val=""/>
      <w:lvlJc w:val="left"/>
      <w:pPr>
        <w:ind w:left="3420" w:hanging="360"/>
      </w:pPr>
      <w:rPr>
        <w:rFonts w:ascii="Symbol" w:hAnsi="Symbol" w:hint="default"/>
      </w:rPr>
    </w:lvl>
    <w:lvl w:ilvl="4" w:tplc="04090003" w:tentative="1">
      <w:start w:val="1"/>
      <w:numFmt w:val="bullet"/>
      <w:lvlText w:val="o"/>
      <w:lvlJc w:val="left"/>
      <w:pPr>
        <w:ind w:left="4140" w:hanging="360"/>
      </w:pPr>
      <w:rPr>
        <w:rFonts w:ascii="Courier New" w:hAnsi="Courier New" w:hint="default"/>
      </w:rPr>
    </w:lvl>
    <w:lvl w:ilvl="5" w:tplc="04090005" w:tentative="1">
      <w:start w:val="1"/>
      <w:numFmt w:val="bullet"/>
      <w:lvlText w:val=""/>
      <w:lvlJc w:val="left"/>
      <w:pPr>
        <w:ind w:left="4860" w:hanging="360"/>
      </w:pPr>
      <w:rPr>
        <w:rFonts w:ascii="Wingdings" w:hAnsi="Wingdings" w:hint="default"/>
      </w:rPr>
    </w:lvl>
    <w:lvl w:ilvl="6" w:tplc="04090001" w:tentative="1">
      <w:start w:val="1"/>
      <w:numFmt w:val="bullet"/>
      <w:lvlText w:val=""/>
      <w:lvlJc w:val="left"/>
      <w:pPr>
        <w:ind w:left="5580" w:hanging="360"/>
      </w:pPr>
      <w:rPr>
        <w:rFonts w:ascii="Symbol" w:hAnsi="Symbol" w:hint="default"/>
      </w:rPr>
    </w:lvl>
    <w:lvl w:ilvl="7" w:tplc="04090003" w:tentative="1">
      <w:start w:val="1"/>
      <w:numFmt w:val="bullet"/>
      <w:lvlText w:val="o"/>
      <w:lvlJc w:val="left"/>
      <w:pPr>
        <w:ind w:left="6300" w:hanging="360"/>
      </w:pPr>
      <w:rPr>
        <w:rFonts w:ascii="Courier New" w:hAnsi="Courier New" w:hint="default"/>
      </w:rPr>
    </w:lvl>
    <w:lvl w:ilvl="8" w:tplc="04090005" w:tentative="1">
      <w:start w:val="1"/>
      <w:numFmt w:val="bullet"/>
      <w:lvlText w:val=""/>
      <w:lvlJc w:val="left"/>
      <w:pPr>
        <w:ind w:left="7020" w:hanging="360"/>
      </w:pPr>
      <w:rPr>
        <w:rFonts w:ascii="Wingdings" w:hAnsi="Wingdings" w:hint="default"/>
      </w:rPr>
    </w:lvl>
  </w:abstractNum>
  <w:abstractNum w:abstractNumId="4">
    <w:nsid w:val="027A3D7F"/>
    <w:multiLevelType w:val="hybridMultilevel"/>
    <w:tmpl w:val="D108C94A"/>
    <w:lvl w:ilvl="0" w:tplc="D902DDBC">
      <w:start w:val="1"/>
      <w:numFmt w:val="bullet"/>
      <w:lvlText w:val=""/>
      <w:lvlJc w:val="left"/>
      <w:pPr>
        <w:ind w:left="1620" w:hanging="360"/>
      </w:pPr>
      <w:rPr>
        <w:rFonts w:ascii="Webdings" w:hAnsi="Webdings" w:hint="default"/>
        <w:b w:val="0"/>
        <w:i w:val="0"/>
        <w:color w:val="FF6600"/>
        <w:sz w:val="24"/>
      </w:rPr>
    </w:lvl>
    <w:lvl w:ilvl="1" w:tplc="04090003" w:tentative="1">
      <w:start w:val="1"/>
      <w:numFmt w:val="bullet"/>
      <w:lvlText w:val="o"/>
      <w:lvlJc w:val="left"/>
      <w:pPr>
        <w:ind w:left="2340" w:hanging="360"/>
      </w:pPr>
      <w:rPr>
        <w:rFonts w:ascii="Courier New" w:hAnsi="Courier New" w:cs="Courier New" w:hint="default"/>
      </w:rPr>
    </w:lvl>
    <w:lvl w:ilvl="2" w:tplc="04090005" w:tentative="1">
      <w:start w:val="1"/>
      <w:numFmt w:val="bullet"/>
      <w:lvlText w:val=""/>
      <w:lvlJc w:val="left"/>
      <w:pPr>
        <w:ind w:left="3060" w:hanging="360"/>
      </w:pPr>
      <w:rPr>
        <w:rFonts w:ascii="Wingdings" w:hAnsi="Wingdings" w:hint="default"/>
      </w:rPr>
    </w:lvl>
    <w:lvl w:ilvl="3" w:tplc="D902DDBC">
      <w:start w:val="1"/>
      <w:numFmt w:val="bullet"/>
      <w:lvlText w:val=""/>
      <w:lvlJc w:val="left"/>
      <w:pPr>
        <w:ind w:left="3780" w:hanging="360"/>
      </w:pPr>
      <w:rPr>
        <w:rFonts w:ascii="Webdings" w:hAnsi="Webdings" w:hint="default"/>
        <w:b w:val="0"/>
        <w:i w:val="0"/>
        <w:color w:val="FF6600"/>
        <w:sz w:val="24"/>
      </w:rPr>
    </w:lvl>
    <w:lvl w:ilvl="4" w:tplc="04090003" w:tentative="1">
      <w:start w:val="1"/>
      <w:numFmt w:val="bullet"/>
      <w:lvlText w:val="o"/>
      <w:lvlJc w:val="left"/>
      <w:pPr>
        <w:ind w:left="4500" w:hanging="360"/>
      </w:pPr>
      <w:rPr>
        <w:rFonts w:ascii="Courier New" w:hAnsi="Courier New" w:cs="Courier New" w:hint="default"/>
      </w:rPr>
    </w:lvl>
    <w:lvl w:ilvl="5" w:tplc="04090005" w:tentative="1">
      <w:start w:val="1"/>
      <w:numFmt w:val="bullet"/>
      <w:lvlText w:val=""/>
      <w:lvlJc w:val="left"/>
      <w:pPr>
        <w:ind w:left="5220" w:hanging="360"/>
      </w:pPr>
      <w:rPr>
        <w:rFonts w:ascii="Wingdings" w:hAnsi="Wingdings" w:hint="default"/>
      </w:rPr>
    </w:lvl>
    <w:lvl w:ilvl="6" w:tplc="04090001" w:tentative="1">
      <w:start w:val="1"/>
      <w:numFmt w:val="bullet"/>
      <w:lvlText w:val=""/>
      <w:lvlJc w:val="left"/>
      <w:pPr>
        <w:ind w:left="5940" w:hanging="360"/>
      </w:pPr>
      <w:rPr>
        <w:rFonts w:ascii="Symbol" w:hAnsi="Symbol" w:hint="default"/>
      </w:rPr>
    </w:lvl>
    <w:lvl w:ilvl="7" w:tplc="04090003" w:tentative="1">
      <w:start w:val="1"/>
      <w:numFmt w:val="bullet"/>
      <w:lvlText w:val="o"/>
      <w:lvlJc w:val="left"/>
      <w:pPr>
        <w:ind w:left="6660" w:hanging="360"/>
      </w:pPr>
      <w:rPr>
        <w:rFonts w:ascii="Courier New" w:hAnsi="Courier New" w:cs="Courier New" w:hint="default"/>
      </w:rPr>
    </w:lvl>
    <w:lvl w:ilvl="8" w:tplc="04090005" w:tentative="1">
      <w:start w:val="1"/>
      <w:numFmt w:val="bullet"/>
      <w:lvlText w:val=""/>
      <w:lvlJc w:val="left"/>
      <w:pPr>
        <w:ind w:left="7380" w:hanging="360"/>
      </w:pPr>
      <w:rPr>
        <w:rFonts w:ascii="Wingdings" w:hAnsi="Wingdings" w:hint="default"/>
      </w:rPr>
    </w:lvl>
  </w:abstractNum>
  <w:abstractNum w:abstractNumId="5">
    <w:nsid w:val="036608B4"/>
    <w:multiLevelType w:val="hybridMultilevel"/>
    <w:tmpl w:val="1FD807DE"/>
    <w:lvl w:ilvl="0" w:tplc="49CEB1AC">
      <w:start w:val="1"/>
      <w:numFmt w:val="bullet"/>
      <w:lvlText w:val=""/>
      <w:lvlJc w:val="left"/>
      <w:pPr>
        <w:ind w:left="720" w:hanging="360"/>
      </w:pPr>
      <w:rPr>
        <w:rFonts w:ascii="Webdings" w:hAnsi="Webdings" w:hint="default"/>
        <w:b w:val="0"/>
        <w:i w:val="0"/>
        <w:color w:val="FF6600"/>
        <w:sz w:val="24"/>
      </w:rPr>
    </w:lvl>
    <w:lvl w:ilvl="1" w:tplc="47143CFC">
      <w:start w:val="1"/>
      <w:numFmt w:val="bullet"/>
      <w:lvlText w:val=""/>
      <w:lvlJc w:val="left"/>
      <w:pPr>
        <w:ind w:left="1440" w:hanging="360"/>
      </w:pPr>
      <w:rPr>
        <w:rFonts w:ascii="Symbol" w:hAnsi="Symbol" w:hint="default"/>
        <w:b w:val="0"/>
        <w:i w:val="0"/>
        <w:color w:val="auto"/>
        <w:sz w:val="18"/>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038362F9"/>
    <w:multiLevelType w:val="hybridMultilevel"/>
    <w:tmpl w:val="9CB2E654"/>
    <w:lvl w:ilvl="0" w:tplc="D902DDBC">
      <w:start w:val="1"/>
      <w:numFmt w:val="bullet"/>
      <w:lvlText w:val=""/>
      <w:lvlJc w:val="left"/>
      <w:pPr>
        <w:ind w:left="1620" w:hanging="360"/>
      </w:pPr>
      <w:rPr>
        <w:rFonts w:ascii="Webdings" w:hAnsi="Webdings" w:hint="default"/>
        <w:b w:val="0"/>
        <w:i w:val="0"/>
        <w:color w:val="FF6600"/>
        <w:sz w:val="24"/>
      </w:rPr>
    </w:lvl>
    <w:lvl w:ilvl="1" w:tplc="04090003" w:tentative="1">
      <w:start w:val="1"/>
      <w:numFmt w:val="bullet"/>
      <w:lvlText w:val="o"/>
      <w:lvlJc w:val="left"/>
      <w:pPr>
        <w:ind w:left="2340" w:hanging="360"/>
      </w:pPr>
      <w:rPr>
        <w:rFonts w:ascii="Courier New" w:hAnsi="Courier New" w:cs="Courier New" w:hint="default"/>
      </w:rPr>
    </w:lvl>
    <w:lvl w:ilvl="2" w:tplc="04090005" w:tentative="1">
      <w:start w:val="1"/>
      <w:numFmt w:val="bullet"/>
      <w:lvlText w:val=""/>
      <w:lvlJc w:val="left"/>
      <w:pPr>
        <w:ind w:left="3060" w:hanging="360"/>
      </w:pPr>
      <w:rPr>
        <w:rFonts w:ascii="Wingdings" w:hAnsi="Wingdings" w:hint="default"/>
      </w:rPr>
    </w:lvl>
    <w:lvl w:ilvl="3" w:tplc="04090001" w:tentative="1">
      <w:start w:val="1"/>
      <w:numFmt w:val="bullet"/>
      <w:lvlText w:val=""/>
      <w:lvlJc w:val="left"/>
      <w:pPr>
        <w:ind w:left="3780" w:hanging="360"/>
      </w:pPr>
      <w:rPr>
        <w:rFonts w:ascii="Symbol" w:hAnsi="Symbol" w:hint="default"/>
      </w:rPr>
    </w:lvl>
    <w:lvl w:ilvl="4" w:tplc="04090003" w:tentative="1">
      <w:start w:val="1"/>
      <w:numFmt w:val="bullet"/>
      <w:lvlText w:val="o"/>
      <w:lvlJc w:val="left"/>
      <w:pPr>
        <w:ind w:left="4500" w:hanging="360"/>
      </w:pPr>
      <w:rPr>
        <w:rFonts w:ascii="Courier New" w:hAnsi="Courier New" w:cs="Courier New" w:hint="default"/>
      </w:rPr>
    </w:lvl>
    <w:lvl w:ilvl="5" w:tplc="04090005" w:tentative="1">
      <w:start w:val="1"/>
      <w:numFmt w:val="bullet"/>
      <w:lvlText w:val=""/>
      <w:lvlJc w:val="left"/>
      <w:pPr>
        <w:ind w:left="5220" w:hanging="360"/>
      </w:pPr>
      <w:rPr>
        <w:rFonts w:ascii="Wingdings" w:hAnsi="Wingdings" w:hint="default"/>
      </w:rPr>
    </w:lvl>
    <w:lvl w:ilvl="6" w:tplc="04090001" w:tentative="1">
      <w:start w:val="1"/>
      <w:numFmt w:val="bullet"/>
      <w:lvlText w:val=""/>
      <w:lvlJc w:val="left"/>
      <w:pPr>
        <w:ind w:left="5940" w:hanging="360"/>
      </w:pPr>
      <w:rPr>
        <w:rFonts w:ascii="Symbol" w:hAnsi="Symbol" w:hint="default"/>
      </w:rPr>
    </w:lvl>
    <w:lvl w:ilvl="7" w:tplc="04090003" w:tentative="1">
      <w:start w:val="1"/>
      <w:numFmt w:val="bullet"/>
      <w:lvlText w:val="o"/>
      <w:lvlJc w:val="left"/>
      <w:pPr>
        <w:ind w:left="6660" w:hanging="360"/>
      </w:pPr>
      <w:rPr>
        <w:rFonts w:ascii="Courier New" w:hAnsi="Courier New" w:cs="Courier New" w:hint="default"/>
      </w:rPr>
    </w:lvl>
    <w:lvl w:ilvl="8" w:tplc="04090005" w:tentative="1">
      <w:start w:val="1"/>
      <w:numFmt w:val="bullet"/>
      <w:lvlText w:val=""/>
      <w:lvlJc w:val="left"/>
      <w:pPr>
        <w:ind w:left="7380" w:hanging="360"/>
      </w:pPr>
      <w:rPr>
        <w:rFonts w:ascii="Wingdings" w:hAnsi="Wingdings" w:hint="default"/>
      </w:rPr>
    </w:lvl>
  </w:abstractNum>
  <w:abstractNum w:abstractNumId="7">
    <w:nsid w:val="04030D64"/>
    <w:multiLevelType w:val="hybridMultilevel"/>
    <w:tmpl w:val="C81C5BEA"/>
    <w:lvl w:ilvl="0" w:tplc="04090017">
      <w:start w:val="1"/>
      <w:numFmt w:val="lowerLetter"/>
      <w:lvlText w:val="%1)"/>
      <w:lvlJc w:val="left"/>
      <w:pPr>
        <w:ind w:left="2880" w:hanging="360"/>
      </w:pPr>
    </w:lvl>
    <w:lvl w:ilvl="1" w:tplc="04090019" w:tentative="1">
      <w:start w:val="1"/>
      <w:numFmt w:val="lowerLetter"/>
      <w:lvlText w:val="%2."/>
      <w:lvlJc w:val="left"/>
      <w:pPr>
        <w:ind w:left="3600" w:hanging="360"/>
      </w:pPr>
    </w:lvl>
    <w:lvl w:ilvl="2" w:tplc="0409001B" w:tentative="1">
      <w:start w:val="1"/>
      <w:numFmt w:val="lowerRoman"/>
      <w:lvlText w:val="%3."/>
      <w:lvlJc w:val="right"/>
      <w:pPr>
        <w:ind w:left="4320" w:hanging="180"/>
      </w:pPr>
    </w:lvl>
    <w:lvl w:ilvl="3" w:tplc="0409000F" w:tentative="1">
      <w:start w:val="1"/>
      <w:numFmt w:val="decimal"/>
      <w:lvlText w:val="%4."/>
      <w:lvlJc w:val="left"/>
      <w:pPr>
        <w:ind w:left="5040" w:hanging="360"/>
      </w:pPr>
    </w:lvl>
    <w:lvl w:ilvl="4" w:tplc="04090019" w:tentative="1">
      <w:start w:val="1"/>
      <w:numFmt w:val="lowerLetter"/>
      <w:lvlText w:val="%5."/>
      <w:lvlJc w:val="left"/>
      <w:pPr>
        <w:ind w:left="5760" w:hanging="360"/>
      </w:pPr>
    </w:lvl>
    <w:lvl w:ilvl="5" w:tplc="0409001B" w:tentative="1">
      <w:start w:val="1"/>
      <w:numFmt w:val="lowerRoman"/>
      <w:lvlText w:val="%6."/>
      <w:lvlJc w:val="right"/>
      <w:pPr>
        <w:ind w:left="6480" w:hanging="180"/>
      </w:pPr>
    </w:lvl>
    <w:lvl w:ilvl="6" w:tplc="0409000F" w:tentative="1">
      <w:start w:val="1"/>
      <w:numFmt w:val="decimal"/>
      <w:lvlText w:val="%7."/>
      <w:lvlJc w:val="left"/>
      <w:pPr>
        <w:ind w:left="7200" w:hanging="360"/>
      </w:pPr>
    </w:lvl>
    <w:lvl w:ilvl="7" w:tplc="04090019" w:tentative="1">
      <w:start w:val="1"/>
      <w:numFmt w:val="lowerLetter"/>
      <w:lvlText w:val="%8."/>
      <w:lvlJc w:val="left"/>
      <w:pPr>
        <w:ind w:left="7920" w:hanging="360"/>
      </w:pPr>
    </w:lvl>
    <w:lvl w:ilvl="8" w:tplc="0409001B" w:tentative="1">
      <w:start w:val="1"/>
      <w:numFmt w:val="lowerRoman"/>
      <w:lvlText w:val="%9."/>
      <w:lvlJc w:val="right"/>
      <w:pPr>
        <w:ind w:left="8640" w:hanging="180"/>
      </w:pPr>
    </w:lvl>
  </w:abstractNum>
  <w:abstractNum w:abstractNumId="8">
    <w:nsid w:val="04DD508A"/>
    <w:multiLevelType w:val="hybridMultilevel"/>
    <w:tmpl w:val="EA3CB742"/>
    <w:lvl w:ilvl="0" w:tplc="D902DDBC">
      <w:start w:val="1"/>
      <w:numFmt w:val="bullet"/>
      <w:lvlText w:val=""/>
      <w:lvlJc w:val="left"/>
      <w:pPr>
        <w:ind w:left="901" w:hanging="360"/>
      </w:pPr>
      <w:rPr>
        <w:rFonts w:ascii="Webdings" w:hAnsi="Webdings" w:hint="default"/>
        <w:b w:val="0"/>
        <w:i w:val="0"/>
        <w:color w:val="FF6600"/>
        <w:sz w:val="24"/>
      </w:rPr>
    </w:lvl>
    <w:lvl w:ilvl="1" w:tplc="04090003" w:tentative="1">
      <w:start w:val="1"/>
      <w:numFmt w:val="bullet"/>
      <w:lvlText w:val="o"/>
      <w:lvlJc w:val="left"/>
      <w:pPr>
        <w:ind w:left="1621" w:hanging="360"/>
      </w:pPr>
      <w:rPr>
        <w:rFonts w:ascii="Courier New" w:hAnsi="Courier New" w:cs="Courier New" w:hint="default"/>
      </w:rPr>
    </w:lvl>
    <w:lvl w:ilvl="2" w:tplc="04090005" w:tentative="1">
      <w:start w:val="1"/>
      <w:numFmt w:val="bullet"/>
      <w:lvlText w:val=""/>
      <w:lvlJc w:val="left"/>
      <w:pPr>
        <w:ind w:left="2341" w:hanging="360"/>
      </w:pPr>
      <w:rPr>
        <w:rFonts w:ascii="Wingdings" w:hAnsi="Wingdings" w:hint="default"/>
      </w:rPr>
    </w:lvl>
    <w:lvl w:ilvl="3" w:tplc="04090001" w:tentative="1">
      <w:start w:val="1"/>
      <w:numFmt w:val="bullet"/>
      <w:lvlText w:val=""/>
      <w:lvlJc w:val="left"/>
      <w:pPr>
        <w:ind w:left="3061" w:hanging="360"/>
      </w:pPr>
      <w:rPr>
        <w:rFonts w:ascii="Symbol" w:hAnsi="Symbol" w:hint="default"/>
      </w:rPr>
    </w:lvl>
    <w:lvl w:ilvl="4" w:tplc="04090003" w:tentative="1">
      <w:start w:val="1"/>
      <w:numFmt w:val="bullet"/>
      <w:lvlText w:val="o"/>
      <w:lvlJc w:val="left"/>
      <w:pPr>
        <w:ind w:left="3781" w:hanging="360"/>
      </w:pPr>
      <w:rPr>
        <w:rFonts w:ascii="Courier New" w:hAnsi="Courier New" w:cs="Courier New" w:hint="default"/>
      </w:rPr>
    </w:lvl>
    <w:lvl w:ilvl="5" w:tplc="04090005" w:tentative="1">
      <w:start w:val="1"/>
      <w:numFmt w:val="bullet"/>
      <w:lvlText w:val=""/>
      <w:lvlJc w:val="left"/>
      <w:pPr>
        <w:ind w:left="4501" w:hanging="360"/>
      </w:pPr>
      <w:rPr>
        <w:rFonts w:ascii="Wingdings" w:hAnsi="Wingdings" w:hint="default"/>
      </w:rPr>
    </w:lvl>
    <w:lvl w:ilvl="6" w:tplc="04090001" w:tentative="1">
      <w:start w:val="1"/>
      <w:numFmt w:val="bullet"/>
      <w:lvlText w:val=""/>
      <w:lvlJc w:val="left"/>
      <w:pPr>
        <w:ind w:left="5221" w:hanging="360"/>
      </w:pPr>
      <w:rPr>
        <w:rFonts w:ascii="Symbol" w:hAnsi="Symbol" w:hint="default"/>
      </w:rPr>
    </w:lvl>
    <w:lvl w:ilvl="7" w:tplc="04090003" w:tentative="1">
      <w:start w:val="1"/>
      <w:numFmt w:val="bullet"/>
      <w:lvlText w:val="o"/>
      <w:lvlJc w:val="left"/>
      <w:pPr>
        <w:ind w:left="5941" w:hanging="360"/>
      </w:pPr>
      <w:rPr>
        <w:rFonts w:ascii="Courier New" w:hAnsi="Courier New" w:cs="Courier New" w:hint="default"/>
      </w:rPr>
    </w:lvl>
    <w:lvl w:ilvl="8" w:tplc="04090005" w:tentative="1">
      <w:start w:val="1"/>
      <w:numFmt w:val="bullet"/>
      <w:lvlText w:val=""/>
      <w:lvlJc w:val="left"/>
      <w:pPr>
        <w:ind w:left="6661" w:hanging="360"/>
      </w:pPr>
      <w:rPr>
        <w:rFonts w:ascii="Wingdings" w:hAnsi="Wingdings" w:hint="default"/>
      </w:rPr>
    </w:lvl>
  </w:abstractNum>
  <w:abstractNum w:abstractNumId="9">
    <w:nsid w:val="059544C6"/>
    <w:multiLevelType w:val="multilevel"/>
    <w:tmpl w:val="8072F2AE"/>
    <w:lvl w:ilvl="0">
      <w:start w:val="1"/>
      <w:numFmt w:val="upperRoman"/>
      <w:lvlText w:val="%1)"/>
      <w:lvlJc w:val="left"/>
      <w:pPr>
        <w:tabs>
          <w:tab w:val="num" w:pos="360"/>
        </w:tabs>
        <w:ind w:left="360" w:hanging="360"/>
      </w:pPr>
      <w:rPr>
        <w:rFonts w:ascii="Trebuchet MS" w:hAnsi="Trebuchet MS" w:cs="Times New Roman"/>
        <w:b/>
        <w:sz w:val="18"/>
      </w:rPr>
    </w:lvl>
    <w:lvl w:ilvl="1">
      <w:start w:val="1"/>
      <w:numFmt w:val="lowerLetter"/>
      <w:lvlText w:val="%2)"/>
      <w:lvlJc w:val="left"/>
      <w:pPr>
        <w:tabs>
          <w:tab w:val="num" w:pos="720"/>
        </w:tabs>
        <w:ind w:left="720" w:hanging="360"/>
      </w:pPr>
      <w:rPr>
        <w:rFonts w:ascii="Trebuchet MS" w:hAnsi="Trebuchet MS" w:cs="Times New Roman"/>
        <w:sz w:val="18"/>
      </w:rPr>
    </w:lvl>
    <w:lvl w:ilvl="2">
      <w:start w:val="1"/>
      <w:numFmt w:val="lowerLetter"/>
      <w:lvlText w:val="%3)"/>
      <w:lvlJc w:val="left"/>
      <w:pPr>
        <w:tabs>
          <w:tab w:val="num" w:pos="1080"/>
        </w:tabs>
        <w:ind w:left="1080" w:hanging="360"/>
      </w:pPr>
      <w:rPr>
        <w:rFonts w:hint="default"/>
        <w:b/>
        <w:color w:val="auto"/>
      </w:rPr>
    </w:lvl>
    <w:lvl w:ilvl="3">
      <w:start w:val="1"/>
      <w:numFmt w:val="bullet"/>
      <w:lvlText w:val=""/>
      <w:lvlJc w:val="left"/>
      <w:pPr>
        <w:tabs>
          <w:tab w:val="num" w:pos="1440"/>
        </w:tabs>
        <w:ind w:left="1800" w:hanging="360"/>
      </w:pPr>
      <w:rPr>
        <w:rFonts w:ascii="Webdings" w:hAnsi="Webdings" w:hint="default"/>
        <w:b w:val="0"/>
        <w:i w:val="0"/>
        <w:color w:val="FF6600"/>
        <w:sz w:val="24"/>
      </w:rPr>
    </w:lvl>
    <w:lvl w:ilvl="4">
      <w:start w:val="1"/>
      <w:numFmt w:val="lowerLetter"/>
      <w:lvlText w:val="(%5)"/>
      <w:lvlJc w:val="left"/>
      <w:pPr>
        <w:tabs>
          <w:tab w:val="num" w:pos="1800"/>
        </w:tabs>
        <w:ind w:left="1800" w:hanging="360"/>
      </w:pPr>
      <w:rPr>
        <w:rFonts w:cs="Times New Roman"/>
      </w:rPr>
    </w:lvl>
    <w:lvl w:ilvl="5">
      <w:start w:val="1"/>
      <w:numFmt w:val="lowerRoman"/>
      <w:lvlText w:val="(%6)"/>
      <w:lvlJc w:val="left"/>
      <w:pPr>
        <w:tabs>
          <w:tab w:val="num" w:pos="2160"/>
        </w:tabs>
        <w:ind w:left="2160" w:hanging="360"/>
      </w:pPr>
      <w:rPr>
        <w:rFonts w:cs="Times New Roman"/>
      </w:rPr>
    </w:lvl>
    <w:lvl w:ilvl="6">
      <w:start w:val="1"/>
      <w:numFmt w:val="decimal"/>
      <w:lvlText w:val="%7."/>
      <w:lvlJc w:val="left"/>
      <w:pPr>
        <w:tabs>
          <w:tab w:val="num" w:pos="2520"/>
        </w:tabs>
        <w:ind w:left="2520" w:hanging="360"/>
      </w:pPr>
      <w:rPr>
        <w:rFonts w:cs="Times New Roman"/>
      </w:rPr>
    </w:lvl>
    <w:lvl w:ilvl="7">
      <w:start w:val="1"/>
      <w:numFmt w:val="lowerLetter"/>
      <w:lvlText w:val="%8."/>
      <w:lvlJc w:val="left"/>
      <w:pPr>
        <w:tabs>
          <w:tab w:val="num" w:pos="2880"/>
        </w:tabs>
        <w:ind w:left="2880" w:hanging="360"/>
      </w:pPr>
      <w:rPr>
        <w:rFonts w:cs="Times New Roman"/>
      </w:rPr>
    </w:lvl>
    <w:lvl w:ilvl="8">
      <w:start w:val="1"/>
      <w:numFmt w:val="lowerRoman"/>
      <w:lvlText w:val="%9."/>
      <w:lvlJc w:val="left"/>
      <w:pPr>
        <w:tabs>
          <w:tab w:val="num" w:pos="3240"/>
        </w:tabs>
        <w:ind w:left="3240" w:hanging="360"/>
      </w:pPr>
      <w:rPr>
        <w:rFonts w:cs="Times New Roman"/>
      </w:rPr>
    </w:lvl>
  </w:abstractNum>
  <w:abstractNum w:abstractNumId="10">
    <w:nsid w:val="06132704"/>
    <w:multiLevelType w:val="multilevel"/>
    <w:tmpl w:val="18AA9E04"/>
    <w:lvl w:ilvl="0">
      <w:start w:val="1"/>
      <w:numFmt w:val="bullet"/>
      <w:lvlText w:val=""/>
      <w:lvlJc w:val="left"/>
      <w:pPr>
        <w:tabs>
          <w:tab w:val="num" w:pos="360"/>
        </w:tabs>
        <w:ind w:left="360" w:hanging="360"/>
      </w:pPr>
      <w:rPr>
        <w:rFonts w:ascii="Webdings" w:hAnsi="Webdings" w:hint="default"/>
        <w:b w:val="0"/>
        <w:i w:val="0"/>
        <w:color w:val="FF6600"/>
        <w:sz w:val="24"/>
        <w:szCs w:val="24"/>
      </w:rPr>
    </w:lvl>
    <w:lvl w:ilvl="1">
      <w:start w:val="1"/>
      <w:numFmt w:val="lowerLetter"/>
      <w:lvlText w:val="%2)"/>
      <w:lvlJc w:val="left"/>
      <w:pPr>
        <w:tabs>
          <w:tab w:val="num" w:pos="720"/>
        </w:tabs>
        <w:ind w:left="720" w:hanging="360"/>
      </w:pPr>
      <w:rPr>
        <w:rFonts w:ascii="Trebuchet MS" w:hAnsi="Trebuchet MS" w:cs="Times New Roman"/>
        <w:sz w:val="18"/>
      </w:rPr>
    </w:lvl>
    <w:lvl w:ilvl="2">
      <w:start w:val="1"/>
      <w:numFmt w:val="bullet"/>
      <w:lvlText w:val=""/>
      <w:lvlJc w:val="left"/>
      <w:pPr>
        <w:tabs>
          <w:tab w:val="num" w:pos="1080"/>
        </w:tabs>
        <w:ind w:left="1080" w:hanging="360"/>
      </w:pPr>
      <w:rPr>
        <w:rFonts w:ascii="Symbol" w:hAnsi="Symbol" w:hint="default"/>
        <w:color w:val="auto"/>
      </w:rPr>
    </w:lvl>
    <w:lvl w:ilvl="3">
      <w:start w:val="1"/>
      <w:numFmt w:val="decimal"/>
      <w:lvlText w:val="(%4)"/>
      <w:lvlJc w:val="left"/>
      <w:pPr>
        <w:tabs>
          <w:tab w:val="num" w:pos="1440"/>
        </w:tabs>
        <w:ind w:left="1800" w:hanging="360"/>
      </w:pPr>
      <w:rPr>
        <w:rFonts w:ascii="Trebuchet MS" w:hAnsi="Trebuchet MS" w:cs="Times New Roman"/>
        <w:sz w:val="18"/>
      </w:rPr>
    </w:lvl>
    <w:lvl w:ilvl="4">
      <w:start w:val="1"/>
      <w:numFmt w:val="lowerLetter"/>
      <w:lvlText w:val="(%5)"/>
      <w:lvlJc w:val="left"/>
      <w:pPr>
        <w:tabs>
          <w:tab w:val="num" w:pos="1800"/>
        </w:tabs>
        <w:ind w:left="1800" w:hanging="360"/>
      </w:pPr>
      <w:rPr>
        <w:rFonts w:cs="Times New Roman"/>
      </w:rPr>
    </w:lvl>
    <w:lvl w:ilvl="5">
      <w:start w:val="1"/>
      <w:numFmt w:val="bullet"/>
      <w:lvlText w:val=""/>
      <w:lvlJc w:val="left"/>
      <w:pPr>
        <w:tabs>
          <w:tab w:val="num" w:pos="2160"/>
        </w:tabs>
        <w:ind w:left="2160" w:hanging="360"/>
      </w:pPr>
      <w:rPr>
        <w:rFonts w:ascii="Webdings" w:hAnsi="Webdings" w:hint="default"/>
        <w:b w:val="0"/>
        <w:i w:val="0"/>
        <w:color w:val="FF6600"/>
        <w:sz w:val="24"/>
      </w:rPr>
    </w:lvl>
    <w:lvl w:ilvl="6">
      <w:start w:val="1"/>
      <w:numFmt w:val="decimal"/>
      <w:lvlText w:val="%7."/>
      <w:lvlJc w:val="left"/>
      <w:pPr>
        <w:tabs>
          <w:tab w:val="num" w:pos="2520"/>
        </w:tabs>
        <w:ind w:left="2520" w:hanging="360"/>
      </w:pPr>
      <w:rPr>
        <w:rFonts w:cs="Times New Roman"/>
      </w:rPr>
    </w:lvl>
    <w:lvl w:ilvl="7">
      <w:start w:val="1"/>
      <w:numFmt w:val="lowerLetter"/>
      <w:lvlText w:val="%8."/>
      <w:lvlJc w:val="left"/>
      <w:pPr>
        <w:tabs>
          <w:tab w:val="num" w:pos="2880"/>
        </w:tabs>
        <w:ind w:left="2880" w:hanging="360"/>
      </w:pPr>
      <w:rPr>
        <w:rFonts w:cs="Times New Roman"/>
      </w:rPr>
    </w:lvl>
    <w:lvl w:ilvl="8">
      <w:start w:val="1"/>
      <w:numFmt w:val="lowerRoman"/>
      <w:lvlText w:val="%9."/>
      <w:lvlJc w:val="left"/>
      <w:pPr>
        <w:tabs>
          <w:tab w:val="num" w:pos="3240"/>
        </w:tabs>
        <w:ind w:left="3240" w:hanging="360"/>
      </w:pPr>
      <w:rPr>
        <w:rFonts w:cs="Times New Roman"/>
      </w:rPr>
    </w:lvl>
  </w:abstractNum>
  <w:abstractNum w:abstractNumId="11">
    <w:nsid w:val="06F33AE8"/>
    <w:multiLevelType w:val="hybridMultilevel"/>
    <w:tmpl w:val="0FFA52C0"/>
    <w:lvl w:ilvl="0" w:tplc="04090001">
      <w:start w:val="1"/>
      <w:numFmt w:val="bullet"/>
      <w:lvlText w:val=""/>
      <w:lvlJc w:val="left"/>
      <w:pPr>
        <w:ind w:left="2160" w:hanging="360"/>
      </w:pPr>
      <w:rPr>
        <w:rFonts w:ascii="Symbol" w:hAnsi="Symbol"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
    <w:nsid w:val="09B34B15"/>
    <w:multiLevelType w:val="hybridMultilevel"/>
    <w:tmpl w:val="EDF686DE"/>
    <w:lvl w:ilvl="0" w:tplc="D902DDBC">
      <w:start w:val="1"/>
      <w:numFmt w:val="bullet"/>
      <w:lvlText w:val=""/>
      <w:lvlJc w:val="left"/>
      <w:pPr>
        <w:ind w:left="1710" w:hanging="360"/>
      </w:pPr>
      <w:rPr>
        <w:rFonts w:ascii="Webdings" w:hAnsi="Webdings" w:hint="default"/>
        <w:b w:val="0"/>
        <w:i w:val="0"/>
        <w:color w:val="FF6600"/>
        <w:sz w:val="24"/>
      </w:rPr>
    </w:lvl>
    <w:lvl w:ilvl="1" w:tplc="04090003" w:tentative="1">
      <w:start w:val="1"/>
      <w:numFmt w:val="bullet"/>
      <w:lvlText w:val="o"/>
      <w:lvlJc w:val="left"/>
      <w:pPr>
        <w:ind w:left="2430" w:hanging="360"/>
      </w:pPr>
      <w:rPr>
        <w:rFonts w:ascii="Courier New" w:hAnsi="Courier New" w:hint="default"/>
      </w:rPr>
    </w:lvl>
    <w:lvl w:ilvl="2" w:tplc="04090005" w:tentative="1">
      <w:start w:val="1"/>
      <w:numFmt w:val="bullet"/>
      <w:lvlText w:val=""/>
      <w:lvlJc w:val="left"/>
      <w:pPr>
        <w:ind w:left="3150" w:hanging="360"/>
      </w:pPr>
      <w:rPr>
        <w:rFonts w:ascii="Wingdings" w:hAnsi="Wingdings" w:hint="default"/>
      </w:rPr>
    </w:lvl>
    <w:lvl w:ilvl="3" w:tplc="04090001" w:tentative="1">
      <w:start w:val="1"/>
      <w:numFmt w:val="bullet"/>
      <w:lvlText w:val=""/>
      <w:lvlJc w:val="left"/>
      <w:pPr>
        <w:ind w:left="3870" w:hanging="360"/>
      </w:pPr>
      <w:rPr>
        <w:rFonts w:ascii="Symbol" w:hAnsi="Symbol" w:hint="default"/>
      </w:rPr>
    </w:lvl>
    <w:lvl w:ilvl="4" w:tplc="04090003" w:tentative="1">
      <w:start w:val="1"/>
      <w:numFmt w:val="bullet"/>
      <w:lvlText w:val="o"/>
      <w:lvlJc w:val="left"/>
      <w:pPr>
        <w:ind w:left="4590" w:hanging="360"/>
      </w:pPr>
      <w:rPr>
        <w:rFonts w:ascii="Courier New" w:hAnsi="Courier New" w:hint="default"/>
      </w:rPr>
    </w:lvl>
    <w:lvl w:ilvl="5" w:tplc="04090005" w:tentative="1">
      <w:start w:val="1"/>
      <w:numFmt w:val="bullet"/>
      <w:lvlText w:val=""/>
      <w:lvlJc w:val="left"/>
      <w:pPr>
        <w:ind w:left="5310" w:hanging="360"/>
      </w:pPr>
      <w:rPr>
        <w:rFonts w:ascii="Wingdings" w:hAnsi="Wingdings" w:hint="default"/>
      </w:rPr>
    </w:lvl>
    <w:lvl w:ilvl="6" w:tplc="04090001" w:tentative="1">
      <w:start w:val="1"/>
      <w:numFmt w:val="bullet"/>
      <w:lvlText w:val=""/>
      <w:lvlJc w:val="left"/>
      <w:pPr>
        <w:ind w:left="6030" w:hanging="360"/>
      </w:pPr>
      <w:rPr>
        <w:rFonts w:ascii="Symbol" w:hAnsi="Symbol" w:hint="default"/>
      </w:rPr>
    </w:lvl>
    <w:lvl w:ilvl="7" w:tplc="04090003" w:tentative="1">
      <w:start w:val="1"/>
      <w:numFmt w:val="bullet"/>
      <w:lvlText w:val="o"/>
      <w:lvlJc w:val="left"/>
      <w:pPr>
        <w:ind w:left="6750" w:hanging="360"/>
      </w:pPr>
      <w:rPr>
        <w:rFonts w:ascii="Courier New" w:hAnsi="Courier New" w:hint="default"/>
      </w:rPr>
    </w:lvl>
    <w:lvl w:ilvl="8" w:tplc="04090005" w:tentative="1">
      <w:start w:val="1"/>
      <w:numFmt w:val="bullet"/>
      <w:lvlText w:val=""/>
      <w:lvlJc w:val="left"/>
      <w:pPr>
        <w:ind w:left="7470" w:hanging="360"/>
      </w:pPr>
      <w:rPr>
        <w:rFonts w:ascii="Wingdings" w:hAnsi="Wingdings" w:hint="default"/>
      </w:rPr>
    </w:lvl>
  </w:abstractNum>
  <w:abstractNum w:abstractNumId="13">
    <w:nsid w:val="0B1B37C2"/>
    <w:multiLevelType w:val="hybridMultilevel"/>
    <w:tmpl w:val="7874971C"/>
    <w:lvl w:ilvl="0" w:tplc="04090017">
      <w:start w:val="1"/>
      <w:numFmt w:val="lowerLetter"/>
      <w:lvlText w:val="%1)"/>
      <w:lvlJc w:val="left"/>
      <w:pPr>
        <w:ind w:left="3600" w:hanging="360"/>
      </w:pPr>
    </w:lvl>
    <w:lvl w:ilvl="1" w:tplc="04090019" w:tentative="1">
      <w:start w:val="1"/>
      <w:numFmt w:val="lowerLetter"/>
      <w:lvlText w:val="%2."/>
      <w:lvlJc w:val="left"/>
      <w:pPr>
        <w:ind w:left="4320" w:hanging="360"/>
      </w:pPr>
    </w:lvl>
    <w:lvl w:ilvl="2" w:tplc="0409001B" w:tentative="1">
      <w:start w:val="1"/>
      <w:numFmt w:val="lowerRoman"/>
      <w:lvlText w:val="%3."/>
      <w:lvlJc w:val="right"/>
      <w:pPr>
        <w:ind w:left="5040" w:hanging="180"/>
      </w:pPr>
    </w:lvl>
    <w:lvl w:ilvl="3" w:tplc="0409000F" w:tentative="1">
      <w:start w:val="1"/>
      <w:numFmt w:val="decimal"/>
      <w:lvlText w:val="%4."/>
      <w:lvlJc w:val="left"/>
      <w:pPr>
        <w:ind w:left="5760" w:hanging="360"/>
      </w:pPr>
    </w:lvl>
    <w:lvl w:ilvl="4" w:tplc="04090019" w:tentative="1">
      <w:start w:val="1"/>
      <w:numFmt w:val="lowerLetter"/>
      <w:lvlText w:val="%5."/>
      <w:lvlJc w:val="left"/>
      <w:pPr>
        <w:ind w:left="6480" w:hanging="360"/>
      </w:pPr>
    </w:lvl>
    <w:lvl w:ilvl="5" w:tplc="0409001B" w:tentative="1">
      <w:start w:val="1"/>
      <w:numFmt w:val="lowerRoman"/>
      <w:lvlText w:val="%6."/>
      <w:lvlJc w:val="right"/>
      <w:pPr>
        <w:ind w:left="7200" w:hanging="180"/>
      </w:pPr>
    </w:lvl>
    <w:lvl w:ilvl="6" w:tplc="0409000F" w:tentative="1">
      <w:start w:val="1"/>
      <w:numFmt w:val="decimal"/>
      <w:lvlText w:val="%7."/>
      <w:lvlJc w:val="left"/>
      <w:pPr>
        <w:ind w:left="7920" w:hanging="360"/>
      </w:pPr>
    </w:lvl>
    <w:lvl w:ilvl="7" w:tplc="04090019" w:tentative="1">
      <w:start w:val="1"/>
      <w:numFmt w:val="lowerLetter"/>
      <w:lvlText w:val="%8."/>
      <w:lvlJc w:val="left"/>
      <w:pPr>
        <w:ind w:left="8640" w:hanging="360"/>
      </w:pPr>
    </w:lvl>
    <w:lvl w:ilvl="8" w:tplc="0409001B" w:tentative="1">
      <w:start w:val="1"/>
      <w:numFmt w:val="lowerRoman"/>
      <w:lvlText w:val="%9."/>
      <w:lvlJc w:val="right"/>
      <w:pPr>
        <w:ind w:left="9360" w:hanging="180"/>
      </w:pPr>
    </w:lvl>
  </w:abstractNum>
  <w:abstractNum w:abstractNumId="14">
    <w:nsid w:val="0B277AB0"/>
    <w:multiLevelType w:val="hybridMultilevel"/>
    <w:tmpl w:val="1D78F30C"/>
    <w:lvl w:ilvl="0" w:tplc="D924BEEC">
      <w:start w:val="1"/>
      <w:numFmt w:val="bullet"/>
      <w:lvlText w:val=""/>
      <w:lvlJc w:val="left"/>
      <w:pPr>
        <w:ind w:left="720" w:hanging="360"/>
      </w:pPr>
      <w:rPr>
        <w:rFonts w:ascii="Webdings" w:hAnsi="Webdings" w:hint="default"/>
        <w:b w:val="0"/>
        <w:i w:val="0"/>
        <w:color w:val="FF6600"/>
        <w:sz w:val="24"/>
      </w:rPr>
    </w:lvl>
    <w:lvl w:ilvl="1" w:tplc="04090001">
      <w:start w:val="1"/>
      <w:numFmt w:val="bullet"/>
      <w:lvlText w:val=""/>
      <w:lvlJc w:val="left"/>
      <w:pPr>
        <w:ind w:left="1440" w:hanging="360"/>
      </w:pPr>
      <w:rPr>
        <w:rFonts w:ascii="Symbol" w:hAnsi="Symbol" w:hint="default"/>
      </w:r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5">
    <w:nsid w:val="0BD7575C"/>
    <w:multiLevelType w:val="hybridMultilevel"/>
    <w:tmpl w:val="4454D8EE"/>
    <w:lvl w:ilvl="0" w:tplc="D902DDBC">
      <w:start w:val="1"/>
      <w:numFmt w:val="bullet"/>
      <w:lvlText w:val=""/>
      <w:lvlJc w:val="left"/>
      <w:pPr>
        <w:ind w:left="720" w:hanging="360"/>
      </w:pPr>
      <w:rPr>
        <w:rFonts w:ascii="Webdings" w:hAnsi="Webdings" w:hint="default"/>
        <w:b w:val="0"/>
        <w:i w:val="0"/>
        <w:color w:val="FF6600"/>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nsid w:val="0C210039"/>
    <w:multiLevelType w:val="hybridMultilevel"/>
    <w:tmpl w:val="91421076"/>
    <w:lvl w:ilvl="0" w:tplc="D902DDBC">
      <w:start w:val="1"/>
      <w:numFmt w:val="bullet"/>
      <w:lvlText w:val=""/>
      <w:lvlJc w:val="left"/>
      <w:pPr>
        <w:ind w:left="720" w:hanging="360"/>
      </w:pPr>
      <w:rPr>
        <w:rFonts w:ascii="Webdings" w:hAnsi="Webdings" w:hint="default"/>
        <w:b w:val="0"/>
        <w:i w:val="0"/>
        <w:color w:val="FF6600"/>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nsid w:val="0CDA38D4"/>
    <w:multiLevelType w:val="hybridMultilevel"/>
    <w:tmpl w:val="D4B0F45A"/>
    <w:lvl w:ilvl="0" w:tplc="604470B4">
      <w:start w:val="1"/>
      <w:numFmt w:val="bullet"/>
      <w:lvlText w:val=""/>
      <w:lvlJc w:val="left"/>
      <w:pPr>
        <w:ind w:left="1620" w:hanging="360"/>
      </w:pPr>
      <w:rPr>
        <w:rFonts w:ascii="Webdings" w:hAnsi="Webdings" w:hint="default"/>
        <w:b w:val="0"/>
        <w:i w:val="0"/>
        <w:color w:val="FF6600"/>
        <w:sz w:val="24"/>
        <w:szCs w:val="24"/>
      </w:rPr>
    </w:lvl>
    <w:lvl w:ilvl="1" w:tplc="04090017">
      <w:start w:val="1"/>
      <w:numFmt w:val="lowerLetter"/>
      <w:lvlText w:val="%2)"/>
      <w:lvlJc w:val="left"/>
      <w:pPr>
        <w:ind w:left="2340" w:hanging="360"/>
      </w:pPr>
      <w:rPr>
        <w:rFonts w:hint="default"/>
      </w:rPr>
    </w:lvl>
    <w:lvl w:ilvl="2" w:tplc="04090005" w:tentative="1">
      <w:start w:val="1"/>
      <w:numFmt w:val="bullet"/>
      <w:lvlText w:val=""/>
      <w:lvlJc w:val="left"/>
      <w:pPr>
        <w:ind w:left="3060" w:hanging="360"/>
      </w:pPr>
      <w:rPr>
        <w:rFonts w:ascii="Wingdings" w:hAnsi="Wingdings" w:hint="default"/>
      </w:rPr>
    </w:lvl>
    <w:lvl w:ilvl="3" w:tplc="CC9645FA">
      <w:start w:val="1"/>
      <w:numFmt w:val="bullet"/>
      <w:lvlText w:val=""/>
      <w:lvlJc w:val="left"/>
      <w:pPr>
        <w:ind w:left="3780" w:hanging="360"/>
      </w:pPr>
      <w:rPr>
        <w:rFonts w:ascii="Webdings" w:hAnsi="Webdings" w:hint="default"/>
        <w:b w:val="0"/>
        <w:i w:val="0"/>
        <w:color w:val="auto"/>
        <w:sz w:val="24"/>
      </w:rPr>
    </w:lvl>
    <w:lvl w:ilvl="4" w:tplc="04090003" w:tentative="1">
      <w:start w:val="1"/>
      <w:numFmt w:val="bullet"/>
      <w:lvlText w:val="o"/>
      <w:lvlJc w:val="left"/>
      <w:pPr>
        <w:ind w:left="4500" w:hanging="360"/>
      </w:pPr>
      <w:rPr>
        <w:rFonts w:ascii="Courier New" w:hAnsi="Courier New" w:cs="Courier New" w:hint="default"/>
      </w:rPr>
    </w:lvl>
    <w:lvl w:ilvl="5" w:tplc="04090005" w:tentative="1">
      <w:start w:val="1"/>
      <w:numFmt w:val="bullet"/>
      <w:lvlText w:val=""/>
      <w:lvlJc w:val="left"/>
      <w:pPr>
        <w:ind w:left="5220" w:hanging="360"/>
      </w:pPr>
      <w:rPr>
        <w:rFonts w:ascii="Wingdings" w:hAnsi="Wingdings" w:hint="default"/>
      </w:rPr>
    </w:lvl>
    <w:lvl w:ilvl="6" w:tplc="04090001" w:tentative="1">
      <w:start w:val="1"/>
      <w:numFmt w:val="bullet"/>
      <w:lvlText w:val=""/>
      <w:lvlJc w:val="left"/>
      <w:pPr>
        <w:ind w:left="5940" w:hanging="360"/>
      </w:pPr>
      <w:rPr>
        <w:rFonts w:ascii="Symbol" w:hAnsi="Symbol" w:hint="default"/>
      </w:rPr>
    </w:lvl>
    <w:lvl w:ilvl="7" w:tplc="04090003" w:tentative="1">
      <w:start w:val="1"/>
      <w:numFmt w:val="bullet"/>
      <w:lvlText w:val="o"/>
      <w:lvlJc w:val="left"/>
      <w:pPr>
        <w:ind w:left="6660" w:hanging="360"/>
      </w:pPr>
      <w:rPr>
        <w:rFonts w:ascii="Courier New" w:hAnsi="Courier New" w:cs="Courier New" w:hint="default"/>
      </w:rPr>
    </w:lvl>
    <w:lvl w:ilvl="8" w:tplc="04090005" w:tentative="1">
      <w:start w:val="1"/>
      <w:numFmt w:val="bullet"/>
      <w:lvlText w:val=""/>
      <w:lvlJc w:val="left"/>
      <w:pPr>
        <w:ind w:left="7380" w:hanging="360"/>
      </w:pPr>
      <w:rPr>
        <w:rFonts w:ascii="Wingdings" w:hAnsi="Wingdings" w:hint="default"/>
      </w:rPr>
    </w:lvl>
  </w:abstractNum>
  <w:abstractNum w:abstractNumId="18">
    <w:nsid w:val="0D510CED"/>
    <w:multiLevelType w:val="hybridMultilevel"/>
    <w:tmpl w:val="64382FD2"/>
    <w:lvl w:ilvl="0" w:tplc="D902DDBC">
      <w:start w:val="1"/>
      <w:numFmt w:val="bullet"/>
      <w:lvlText w:val=""/>
      <w:lvlJc w:val="left"/>
      <w:pPr>
        <w:ind w:left="1440" w:hanging="360"/>
      </w:pPr>
      <w:rPr>
        <w:rFonts w:ascii="Webdings" w:hAnsi="Webdings" w:hint="default"/>
        <w:b w:val="0"/>
        <w:i w:val="0"/>
        <w:color w:val="FF6600"/>
        <w:sz w:val="24"/>
      </w:rPr>
    </w:lvl>
    <w:lvl w:ilvl="1" w:tplc="189A2A2A">
      <w:start w:val="1"/>
      <w:numFmt w:val="bullet"/>
      <w:lvlText w:val=""/>
      <w:lvlJc w:val="left"/>
      <w:pPr>
        <w:ind w:left="2160" w:hanging="360"/>
      </w:pPr>
      <w:rPr>
        <w:rFonts w:ascii="Symbol" w:hAnsi="Symbol" w:hint="default"/>
        <w:b w:val="0"/>
        <w:i w:val="0"/>
        <w:color w:val="auto"/>
        <w:sz w:val="18"/>
        <w:szCs w:val="18"/>
      </w:rPr>
    </w:lvl>
    <w:lvl w:ilvl="2" w:tplc="0826EDFE">
      <w:start w:val="1"/>
      <w:numFmt w:val="bullet"/>
      <w:lvlText w:val=""/>
      <w:lvlJc w:val="left"/>
      <w:pPr>
        <w:ind w:left="3060" w:hanging="180"/>
      </w:pPr>
      <w:rPr>
        <w:rFonts w:ascii="Webdings" w:hAnsi="Webdings" w:hint="default"/>
        <w:b w:val="0"/>
        <w:i w:val="0"/>
        <w:color w:val="auto"/>
        <w:sz w:val="18"/>
        <w:szCs w:val="18"/>
      </w:r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19">
    <w:nsid w:val="0E404D25"/>
    <w:multiLevelType w:val="hybridMultilevel"/>
    <w:tmpl w:val="98F45ED4"/>
    <w:lvl w:ilvl="0" w:tplc="D902DDBC">
      <w:start w:val="1"/>
      <w:numFmt w:val="bullet"/>
      <w:lvlText w:val=""/>
      <w:lvlJc w:val="left"/>
      <w:pPr>
        <w:ind w:left="720" w:hanging="360"/>
      </w:pPr>
      <w:rPr>
        <w:rFonts w:ascii="Webdings" w:hAnsi="Webdings" w:hint="default"/>
        <w:b w:val="0"/>
        <w:i w:val="0"/>
        <w:color w:val="FF6600"/>
        <w:sz w:val="24"/>
        <w:szCs w:val="18"/>
      </w:rPr>
    </w:lvl>
    <w:lvl w:ilvl="1" w:tplc="04090017">
      <w:start w:val="1"/>
      <w:numFmt w:val="lowerLetter"/>
      <w:lvlText w:val="%2)"/>
      <w:lvlJc w:val="left"/>
      <w:pPr>
        <w:ind w:left="1440" w:hanging="360"/>
      </w:pPr>
      <w:rPr>
        <w:rFonts w:hint="default"/>
      </w:rPr>
    </w:lvl>
    <w:lvl w:ilvl="2" w:tplc="D902DDBC">
      <w:start w:val="1"/>
      <w:numFmt w:val="bullet"/>
      <w:lvlText w:val=""/>
      <w:lvlJc w:val="left"/>
      <w:pPr>
        <w:ind w:left="2160" w:hanging="360"/>
      </w:pPr>
      <w:rPr>
        <w:rFonts w:ascii="Webdings" w:hAnsi="Webdings" w:hint="default"/>
        <w:b w:val="0"/>
        <w:i w:val="0"/>
        <w:color w:val="FF6600"/>
        <w:sz w:val="24"/>
      </w:rPr>
    </w:lvl>
    <w:lvl w:ilvl="3" w:tplc="D902DDBC">
      <w:start w:val="1"/>
      <w:numFmt w:val="bullet"/>
      <w:lvlText w:val=""/>
      <w:lvlJc w:val="left"/>
      <w:pPr>
        <w:ind w:left="2880" w:hanging="360"/>
      </w:pPr>
      <w:rPr>
        <w:rFonts w:ascii="Webdings" w:hAnsi="Webdings" w:hint="default"/>
        <w:b w:val="0"/>
        <w:i w:val="0"/>
        <w:color w:val="FF6600"/>
        <w:sz w:val="24"/>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nsid w:val="0EDE0312"/>
    <w:multiLevelType w:val="hybridMultilevel"/>
    <w:tmpl w:val="5B86BF0A"/>
    <w:lvl w:ilvl="0" w:tplc="49CEB1AC">
      <w:start w:val="1"/>
      <w:numFmt w:val="bullet"/>
      <w:lvlText w:val=""/>
      <w:lvlJc w:val="left"/>
      <w:pPr>
        <w:ind w:left="720" w:hanging="360"/>
      </w:pPr>
      <w:rPr>
        <w:rFonts w:ascii="Webdings" w:hAnsi="Webdings" w:hint="default"/>
        <w:b w:val="0"/>
        <w:i w:val="0"/>
        <w:color w:val="FF6600"/>
        <w:sz w:val="24"/>
      </w:rPr>
    </w:lvl>
    <w:lvl w:ilvl="1" w:tplc="646CEBF4">
      <w:start w:val="1"/>
      <w:numFmt w:val="bullet"/>
      <w:lvlText w:val=""/>
      <w:lvlJc w:val="left"/>
      <w:pPr>
        <w:ind w:left="1440" w:hanging="360"/>
      </w:pPr>
      <w:rPr>
        <w:rFonts w:ascii="Symbol" w:hAnsi="Symbol" w:hint="default"/>
        <w:b w:val="0"/>
        <w:i w:val="0"/>
        <w:color w:val="auto"/>
        <w:sz w:val="18"/>
        <w:szCs w:val="18"/>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nsid w:val="0F723A4C"/>
    <w:multiLevelType w:val="hybridMultilevel"/>
    <w:tmpl w:val="65328D06"/>
    <w:lvl w:ilvl="0" w:tplc="D902DDBC">
      <w:start w:val="1"/>
      <w:numFmt w:val="bullet"/>
      <w:lvlText w:val=""/>
      <w:lvlJc w:val="left"/>
      <w:pPr>
        <w:ind w:left="1140" w:hanging="360"/>
      </w:pPr>
      <w:rPr>
        <w:rFonts w:ascii="Webdings" w:hAnsi="Webdings" w:hint="default"/>
        <w:b w:val="0"/>
        <w:i w:val="0"/>
        <w:color w:val="FF6600"/>
        <w:sz w:val="24"/>
      </w:rPr>
    </w:lvl>
    <w:lvl w:ilvl="1" w:tplc="04090019" w:tentative="1">
      <w:start w:val="1"/>
      <w:numFmt w:val="lowerLetter"/>
      <w:lvlText w:val="%2."/>
      <w:lvlJc w:val="left"/>
      <w:pPr>
        <w:ind w:left="1860" w:hanging="360"/>
      </w:pPr>
    </w:lvl>
    <w:lvl w:ilvl="2" w:tplc="0409001B" w:tentative="1">
      <w:start w:val="1"/>
      <w:numFmt w:val="lowerRoman"/>
      <w:lvlText w:val="%3."/>
      <w:lvlJc w:val="right"/>
      <w:pPr>
        <w:ind w:left="2580" w:hanging="180"/>
      </w:pPr>
    </w:lvl>
    <w:lvl w:ilvl="3" w:tplc="0409000F" w:tentative="1">
      <w:start w:val="1"/>
      <w:numFmt w:val="decimal"/>
      <w:lvlText w:val="%4."/>
      <w:lvlJc w:val="left"/>
      <w:pPr>
        <w:ind w:left="3300" w:hanging="360"/>
      </w:pPr>
    </w:lvl>
    <w:lvl w:ilvl="4" w:tplc="04090019" w:tentative="1">
      <w:start w:val="1"/>
      <w:numFmt w:val="lowerLetter"/>
      <w:lvlText w:val="%5."/>
      <w:lvlJc w:val="left"/>
      <w:pPr>
        <w:ind w:left="4020" w:hanging="360"/>
      </w:pPr>
    </w:lvl>
    <w:lvl w:ilvl="5" w:tplc="0409001B" w:tentative="1">
      <w:start w:val="1"/>
      <w:numFmt w:val="lowerRoman"/>
      <w:lvlText w:val="%6."/>
      <w:lvlJc w:val="right"/>
      <w:pPr>
        <w:ind w:left="4740" w:hanging="180"/>
      </w:pPr>
    </w:lvl>
    <w:lvl w:ilvl="6" w:tplc="0409000F" w:tentative="1">
      <w:start w:val="1"/>
      <w:numFmt w:val="decimal"/>
      <w:lvlText w:val="%7."/>
      <w:lvlJc w:val="left"/>
      <w:pPr>
        <w:ind w:left="5460" w:hanging="360"/>
      </w:pPr>
    </w:lvl>
    <w:lvl w:ilvl="7" w:tplc="04090019" w:tentative="1">
      <w:start w:val="1"/>
      <w:numFmt w:val="lowerLetter"/>
      <w:lvlText w:val="%8."/>
      <w:lvlJc w:val="left"/>
      <w:pPr>
        <w:ind w:left="6180" w:hanging="360"/>
      </w:pPr>
    </w:lvl>
    <w:lvl w:ilvl="8" w:tplc="0409001B" w:tentative="1">
      <w:start w:val="1"/>
      <w:numFmt w:val="lowerRoman"/>
      <w:lvlText w:val="%9."/>
      <w:lvlJc w:val="right"/>
      <w:pPr>
        <w:ind w:left="6900" w:hanging="180"/>
      </w:pPr>
    </w:lvl>
  </w:abstractNum>
  <w:abstractNum w:abstractNumId="22">
    <w:nsid w:val="0FBA1539"/>
    <w:multiLevelType w:val="hybridMultilevel"/>
    <w:tmpl w:val="23AA7F12"/>
    <w:lvl w:ilvl="0" w:tplc="04090001">
      <w:start w:val="1"/>
      <w:numFmt w:val="bullet"/>
      <w:lvlText w:val=""/>
      <w:lvlJc w:val="left"/>
      <w:pPr>
        <w:ind w:left="1620" w:hanging="360"/>
      </w:pPr>
      <w:rPr>
        <w:rFonts w:ascii="Symbol" w:hAnsi="Symbol" w:hint="default"/>
      </w:rPr>
    </w:lvl>
    <w:lvl w:ilvl="1" w:tplc="04090017">
      <w:start w:val="1"/>
      <w:numFmt w:val="lowerLetter"/>
      <w:lvlText w:val="%2)"/>
      <w:lvlJc w:val="left"/>
      <w:pPr>
        <w:ind w:left="2340" w:hanging="360"/>
      </w:pPr>
      <w:rPr>
        <w:rFonts w:hint="default"/>
      </w:rPr>
    </w:lvl>
    <w:lvl w:ilvl="2" w:tplc="04090001">
      <w:start w:val="1"/>
      <w:numFmt w:val="bullet"/>
      <w:lvlText w:val=""/>
      <w:lvlJc w:val="left"/>
      <w:pPr>
        <w:ind w:left="3060" w:hanging="360"/>
      </w:pPr>
      <w:rPr>
        <w:rFonts w:ascii="Symbol" w:hAnsi="Symbol" w:hint="default"/>
      </w:rPr>
    </w:lvl>
    <w:lvl w:ilvl="3" w:tplc="04090001">
      <w:start w:val="1"/>
      <w:numFmt w:val="bullet"/>
      <w:lvlText w:val=""/>
      <w:lvlJc w:val="left"/>
      <w:pPr>
        <w:ind w:left="3780" w:hanging="360"/>
      </w:pPr>
      <w:rPr>
        <w:rFonts w:ascii="Symbol" w:hAnsi="Symbol" w:hint="default"/>
      </w:rPr>
    </w:lvl>
    <w:lvl w:ilvl="4" w:tplc="04090003" w:tentative="1">
      <w:start w:val="1"/>
      <w:numFmt w:val="bullet"/>
      <w:lvlText w:val="o"/>
      <w:lvlJc w:val="left"/>
      <w:pPr>
        <w:ind w:left="4500" w:hanging="360"/>
      </w:pPr>
      <w:rPr>
        <w:rFonts w:ascii="Courier New" w:hAnsi="Courier New" w:cs="Courier New" w:hint="default"/>
      </w:rPr>
    </w:lvl>
    <w:lvl w:ilvl="5" w:tplc="04090005" w:tentative="1">
      <w:start w:val="1"/>
      <w:numFmt w:val="bullet"/>
      <w:lvlText w:val=""/>
      <w:lvlJc w:val="left"/>
      <w:pPr>
        <w:ind w:left="5220" w:hanging="360"/>
      </w:pPr>
      <w:rPr>
        <w:rFonts w:ascii="Wingdings" w:hAnsi="Wingdings" w:hint="default"/>
      </w:rPr>
    </w:lvl>
    <w:lvl w:ilvl="6" w:tplc="04090001" w:tentative="1">
      <w:start w:val="1"/>
      <w:numFmt w:val="bullet"/>
      <w:lvlText w:val=""/>
      <w:lvlJc w:val="left"/>
      <w:pPr>
        <w:ind w:left="5940" w:hanging="360"/>
      </w:pPr>
      <w:rPr>
        <w:rFonts w:ascii="Symbol" w:hAnsi="Symbol" w:hint="default"/>
      </w:rPr>
    </w:lvl>
    <w:lvl w:ilvl="7" w:tplc="04090003" w:tentative="1">
      <w:start w:val="1"/>
      <w:numFmt w:val="bullet"/>
      <w:lvlText w:val="o"/>
      <w:lvlJc w:val="left"/>
      <w:pPr>
        <w:ind w:left="6660" w:hanging="360"/>
      </w:pPr>
      <w:rPr>
        <w:rFonts w:ascii="Courier New" w:hAnsi="Courier New" w:cs="Courier New" w:hint="default"/>
      </w:rPr>
    </w:lvl>
    <w:lvl w:ilvl="8" w:tplc="04090005" w:tentative="1">
      <w:start w:val="1"/>
      <w:numFmt w:val="bullet"/>
      <w:lvlText w:val=""/>
      <w:lvlJc w:val="left"/>
      <w:pPr>
        <w:ind w:left="7380" w:hanging="360"/>
      </w:pPr>
      <w:rPr>
        <w:rFonts w:ascii="Wingdings" w:hAnsi="Wingdings" w:hint="default"/>
      </w:rPr>
    </w:lvl>
  </w:abstractNum>
  <w:abstractNum w:abstractNumId="23">
    <w:nsid w:val="11646DC6"/>
    <w:multiLevelType w:val="multilevel"/>
    <w:tmpl w:val="E2A43F42"/>
    <w:lvl w:ilvl="0">
      <w:start w:val="1"/>
      <w:numFmt w:val="upperRoman"/>
      <w:lvlText w:val="%1)"/>
      <w:lvlJc w:val="left"/>
      <w:pPr>
        <w:tabs>
          <w:tab w:val="num" w:pos="360"/>
        </w:tabs>
        <w:ind w:left="360" w:hanging="360"/>
      </w:pPr>
      <w:rPr>
        <w:rFonts w:ascii="Trebuchet MS" w:hAnsi="Trebuchet MS" w:cs="Times New Roman"/>
        <w:b/>
        <w:sz w:val="18"/>
      </w:rPr>
    </w:lvl>
    <w:lvl w:ilvl="1">
      <w:start w:val="1"/>
      <w:numFmt w:val="bullet"/>
      <w:lvlText w:val=""/>
      <w:lvlJc w:val="left"/>
      <w:pPr>
        <w:tabs>
          <w:tab w:val="num" w:pos="720"/>
        </w:tabs>
        <w:ind w:left="720" w:hanging="360"/>
      </w:pPr>
      <w:rPr>
        <w:rFonts w:ascii="Symbol" w:hAnsi="Symbol" w:hint="default"/>
        <w:b w:val="0"/>
        <w:i w:val="0"/>
        <w:color w:val="auto"/>
        <w:sz w:val="18"/>
        <w:szCs w:val="18"/>
      </w:rPr>
    </w:lvl>
    <w:lvl w:ilvl="2">
      <w:start w:val="1"/>
      <w:numFmt w:val="lowerLetter"/>
      <w:lvlText w:val="%3)"/>
      <w:lvlJc w:val="left"/>
      <w:pPr>
        <w:tabs>
          <w:tab w:val="num" w:pos="1080"/>
        </w:tabs>
        <w:ind w:left="1080" w:hanging="360"/>
      </w:pPr>
      <w:rPr>
        <w:rFonts w:hint="default"/>
        <w:b/>
        <w:color w:val="auto"/>
      </w:rPr>
    </w:lvl>
    <w:lvl w:ilvl="3">
      <w:start w:val="1"/>
      <w:numFmt w:val="lowerLetter"/>
      <w:lvlText w:val="%4)"/>
      <w:lvlJc w:val="left"/>
      <w:pPr>
        <w:tabs>
          <w:tab w:val="num" w:pos="1440"/>
        </w:tabs>
        <w:ind w:left="1800" w:hanging="360"/>
      </w:pPr>
      <w:rPr>
        <w:b w:val="0"/>
        <w:sz w:val="18"/>
      </w:rPr>
    </w:lvl>
    <w:lvl w:ilvl="4">
      <w:start w:val="1"/>
      <w:numFmt w:val="lowerLetter"/>
      <w:lvlText w:val="(%5)"/>
      <w:lvlJc w:val="left"/>
      <w:pPr>
        <w:tabs>
          <w:tab w:val="num" w:pos="1800"/>
        </w:tabs>
        <w:ind w:left="1800" w:hanging="360"/>
      </w:pPr>
      <w:rPr>
        <w:rFonts w:cs="Times New Roman"/>
      </w:rPr>
    </w:lvl>
    <w:lvl w:ilvl="5">
      <w:start w:val="1"/>
      <w:numFmt w:val="lowerRoman"/>
      <w:lvlText w:val="(%6)"/>
      <w:lvlJc w:val="left"/>
      <w:pPr>
        <w:tabs>
          <w:tab w:val="num" w:pos="2160"/>
        </w:tabs>
        <w:ind w:left="2160" w:hanging="360"/>
      </w:pPr>
      <w:rPr>
        <w:rFonts w:cs="Times New Roman"/>
      </w:rPr>
    </w:lvl>
    <w:lvl w:ilvl="6">
      <w:start w:val="1"/>
      <w:numFmt w:val="decimal"/>
      <w:lvlText w:val="%7."/>
      <w:lvlJc w:val="left"/>
      <w:pPr>
        <w:tabs>
          <w:tab w:val="num" w:pos="2520"/>
        </w:tabs>
        <w:ind w:left="2520" w:hanging="360"/>
      </w:pPr>
      <w:rPr>
        <w:rFonts w:cs="Times New Roman"/>
      </w:rPr>
    </w:lvl>
    <w:lvl w:ilvl="7">
      <w:start w:val="1"/>
      <w:numFmt w:val="lowerLetter"/>
      <w:lvlText w:val="%8."/>
      <w:lvlJc w:val="left"/>
      <w:pPr>
        <w:tabs>
          <w:tab w:val="num" w:pos="2880"/>
        </w:tabs>
        <w:ind w:left="2880" w:hanging="360"/>
      </w:pPr>
      <w:rPr>
        <w:rFonts w:cs="Times New Roman"/>
      </w:rPr>
    </w:lvl>
    <w:lvl w:ilvl="8">
      <w:start w:val="1"/>
      <w:numFmt w:val="lowerRoman"/>
      <w:lvlText w:val="%9."/>
      <w:lvlJc w:val="left"/>
      <w:pPr>
        <w:tabs>
          <w:tab w:val="num" w:pos="3240"/>
        </w:tabs>
        <w:ind w:left="3240" w:hanging="360"/>
      </w:pPr>
      <w:rPr>
        <w:rFonts w:cs="Times New Roman"/>
      </w:rPr>
    </w:lvl>
  </w:abstractNum>
  <w:abstractNum w:abstractNumId="24">
    <w:nsid w:val="13611A28"/>
    <w:multiLevelType w:val="hybridMultilevel"/>
    <w:tmpl w:val="3DE4C1D0"/>
    <w:lvl w:ilvl="0" w:tplc="D902DDBC">
      <w:start w:val="1"/>
      <w:numFmt w:val="bullet"/>
      <w:lvlText w:val=""/>
      <w:lvlJc w:val="left"/>
      <w:pPr>
        <w:ind w:left="1080" w:hanging="360"/>
      </w:pPr>
      <w:rPr>
        <w:rFonts w:ascii="Webdings" w:hAnsi="Webdings" w:hint="default"/>
        <w:b w:val="0"/>
        <w:i w:val="0"/>
        <w:color w:val="FF6600"/>
        <w:sz w:val="24"/>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nsid w:val="142326E3"/>
    <w:multiLevelType w:val="multilevel"/>
    <w:tmpl w:val="1EB676A4"/>
    <w:lvl w:ilvl="0">
      <w:start w:val="1"/>
      <w:numFmt w:val="bullet"/>
      <w:lvlText w:val=""/>
      <w:lvlJc w:val="left"/>
      <w:pPr>
        <w:tabs>
          <w:tab w:val="num" w:pos="360"/>
        </w:tabs>
        <w:ind w:left="360" w:hanging="360"/>
      </w:pPr>
      <w:rPr>
        <w:rFonts w:ascii="Webdings" w:hAnsi="Webdings" w:hint="default"/>
        <w:b w:val="0"/>
        <w:i w:val="0"/>
        <w:color w:val="FF6600"/>
        <w:sz w:val="24"/>
        <w:szCs w:val="24"/>
      </w:rPr>
    </w:lvl>
    <w:lvl w:ilvl="1">
      <w:start w:val="1"/>
      <w:numFmt w:val="lowerLetter"/>
      <w:lvlText w:val="%2)"/>
      <w:lvlJc w:val="left"/>
      <w:pPr>
        <w:tabs>
          <w:tab w:val="num" w:pos="720"/>
        </w:tabs>
        <w:ind w:left="720" w:hanging="360"/>
      </w:pPr>
      <w:rPr>
        <w:rFonts w:ascii="Trebuchet MS" w:hAnsi="Trebuchet MS" w:cs="Times New Roman"/>
        <w:sz w:val="18"/>
      </w:rPr>
    </w:lvl>
    <w:lvl w:ilvl="2">
      <w:start w:val="1"/>
      <w:numFmt w:val="bullet"/>
      <w:lvlText w:val=""/>
      <w:lvlJc w:val="left"/>
      <w:pPr>
        <w:tabs>
          <w:tab w:val="num" w:pos="1080"/>
        </w:tabs>
        <w:ind w:left="1080" w:hanging="360"/>
      </w:pPr>
      <w:rPr>
        <w:rFonts w:ascii="Symbol" w:hAnsi="Symbol" w:hint="default"/>
        <w:color w:val="auto"/>
      </w:rPr>
    </w:lvl>
    <w:lvl w:ilvl="3">
      <w:start w:val="1"/>
      <w:numFmt w:val="decimal"/>
      <w:lvlText w:val="(%4)"/>
      <w:lvlJc w:val="left"/>
      <w:pPr>
        <w:tabs>
          <w:tab w:val="num" w:pos="1440"/>
        </w:tabs>
        <w:ind w:left="1800" w:hanging="360"/>
      </w:pPr>
      <w:rPr>
        <w:rFonts w:ascii="Trebuchet MS" w:hAnsi="Trebuchet MS" w:cs="Times New Roman"/>
        <w:sz w:val="18"/>
      </w:rPr>
    </w:lvl>
    <w:lvl w:ilvl="4">
      <w:start w:val="1"/>
      <w:numFmt w:val="lowerLetter"/>
      <w:lvlText w:val="(%5)"/>
      <w:lvlJc w:val="left"/>
      <w:pPr>
        <w:tabs>
          <w:tab w:val="num" w:pos="1800"/>
        </w:tabs>
        <w:ind w:left="1800" w:hanging="360"/>
      </w:pPr>
      <w:rPr>
        <w:rFonts w:cs="Times New Roman"/>
      </w:rPr>
    </w:lvl>
    <w:lvl w:ilvl="5">
      <w:start w:val="1"/>
      <w:numFmt w:val="bullet"/>
      <w:lvlText w:val=""/>
      <w:lvlJc w:val="left"/>
      <w:pPr>
        <w:tabs>
          <w:tab w:val="num" w:pos="2160"/>
        </w:tabs>
        <w:ind w:left="2160" w:hanging="360"/>
      </w:pPr>
      <w:rPr>
        <w:rFonts w:ascii="Webdings" w:hAnsi="Webdings" w:hint="default"/>
        <w:b w:val="0"/>
        <w:i w:val="0"/>
        <w:color w:val="FF6600"/>
        <w:sz w:val="24"/>
      </w:rPr>
    </w:lvl>
    <w:lvl w:ilvl="6">
      <w:start w:val="1"/>
      <w:numFmt w:val="decimal"/>
      <w:lvlText w:val="%7."/>
      <w:lvlJc w:val="left"/>
      <w:pPr>
        <w:tabs>
          <w:tab w:val="num" w:pos="2520"/>
        </w:tabs>
        <w:ind w:left="2520" w:hanging="360"/>
      </w:pPr>
      <w:rPr>
        <w:rFonts w:cs="Times New Roman"/>
      </w:rPr>
    </w:lvl>
    <w:lvl w:ilvl="7">
      <w:start w:val="1"/>
      <w:numFmt w:val="lowerLetter"/>
      <w:lvlText w:val="%8."/>
      <w:lvlJc w:val="left"/>
      <w:pPr>
        <w:tabs>
          <w:tab w:val="num" w:pos="2880"/>
        </w:tabs>
        <w:ind w:left="2880" w:hanging="360"/>
      </w:pPr>
      <w:rPr>
        <w:rFonts w:cs="Times New Roman"/>
      </w:rPr>
    </w:lvl>
    <w:lvl w:ilvl="8">
      <w:start w:val="1"/>
      <w:numFmt w:val="lowerRoman"/>
      <w:lvlText w:val="%9."/>
      <w:lvlJc w:val="left"/>
      <w:pPr>
        <w:tabs>
          <w:tab w:val="num" w:pos="3240"/>
        </w:tabs>
        <w:ind w:left="3240" w:hanging="360"/>
      </w:pPr>
      <w:rPr>
        <w:rFonts w:cs="Times New Roman"/>
      </w:rPr>
    </w:lvl>
  </w:abstractNum>
  <w:abstractNum w:abstractNumId="26">
    <w:nsid w:val="150B0B26"/>
    <w:multiLevelType w:val="hybridMultilevel"/>
    <w:tmpl w:val="AC0CB6A8"/>
    <w:lvl w:ilvl="0" w:tplc="99D4E280">
      <w:start w:val="1"/>
      <w:numFmt w:val="lowerLetter"/>
      <w:lvlText w:val="%1."/>
      <w:lvlJc w:val="left"/>
      <w:pPr>
        <w:ind w:left="720" w:hanging="360"/>
      </w:pPr>
      <w:rPr>
        <w:b/>
      </w:r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27">
    <w:nsid w:val="15FF1D91"/>
    <w:multiLevelType w:val="hybridMultilevel"/>
    <w:tmpl w:val="E71A7548"/>
    <w:lvl w:ilvl="0" w:tplc="B846FE08">
      <w:start w:val="1"/>
      <w:numFmt w:val="decimal"/>
      <w:lvlText w:val="%1."/>
      <w:lvlJc w:val="left"/>
      <w:pPr>
        <w:ind w:left="1440" w:hanging="360"/>
      </w:pPr>
      <w:rPr>
        <w:rFonts w:ascii="Tahoma" w:hAnsi="Tahoma" w:cs="Tahoma" w:hint="default"/>
        <w:sz w:val="18"/>
        <w:szCs w:val="18"/>
      </w:rPr>
    </w:lvl>
    <w:lvl w:ilvl="1" w:tplc="04090019">
      <w:start w:val="1"/>
      <w:numFmt w:val="decimal"/>
      <w:lvlText w:val="%2."/>
      <w:lvlJc w:val="left"/>
      <w:pPr>
        <w:tabs>
          <w:tab w:val="num" w:pos="2160"/>
        </w:tabs>
        <w:ind w:left="2160" w:hanging="360"/>
      </w:pPr>
    </w:lvl>
    <w:lvl w:ilvl="2" w:tplc="0409001B">
      <w:start w:val="1"/>
      <w:numFmt w:val="decimal"/>
      <w:lvlText w:val="%3."/>
      <w:lvlJc w:val="left"/>
      <w:pPr>
        <w:tabs>
          <w:tab w:val="num" w:pos="2880"/>
        </w:tabs>
        <w:ind w:left="2880" w:hanging="360"/>
      </w:pPr>
    </w:lvl>
    <w:lvl w:ilvl="3" w:tplc="0409000F">
      <w:start w:val="1"/>
      <w:numFmt w:val="decimal"/>
      <w:lvlText w:val="%4."/>
      <w:lvlJc w:val="left"/>
      <w:pPr>
        <w:tabs>
          <w:tab w:val="num" w:pos="3600"/>
        </w:tabs>
        <w:ind w:left="3600" w:hanging="360"/>
      </w:pPr>
    </w:lvl>
    <w:lvl w:ilvl="4" w:tplc="04090019">
      <w:start w:val="1"/>
      <w:numFmt w:val="decimal"/>
      <w:lvlText w:val="%5."/>
      <w:lvlJc w:val="left"/>
      <w:pPr>
        <w:tabs>
          <w:tab w:val="num" w:pos="4320"/>
        </w:tabs>
        <w:ind w:left="4320" w:hanging="360"/>
      </w:pPr>
    </w:lvl>
    <w:lvl w:ilvl="5" w:tplc="0409001B">
      <w:start w:val="1"/>
      <w:numFmt w:val="decimal"/>
      <w:lvlText w:val="%6."/>
      <w:lvlJc w:val="left"/>
      <w:pPr>
        <w:tabs>
          <w:tab w:val="num" w:pos="5040"/>
        </w:tabs>
        <w:ind w:left="5040" w:hanging="360"/>
      </w:pPr>
    </w:lvl>
    <w:lvl w:ilvl="6" w:tplc="0409000F">
      <w:start w:val="1"/>
      <w:numFmt w:val="decimal"/>
      <w:lvlText w:val="%7."/>
      <w:lvlJc w:val="left"/>
      <w:pPr>
        <w:tabs>
          <w:tab w:val="num" w:pos="5760"/>
        </w:tabs>
        <w:ind w:left="5760" w:hanging="360"/>
      </w:pPr>
    </w:lvl>
    <w:lvl w:ilvl="7" w:tplc="04090019">
      <w:start w:val="1"/>
      <w:numFmt w:val="decimal"/>
      <w:lvlText w:val="%8."/>
      <w:lvlJc w:val="left"/>
      <w:pPr>
        <w:tabs>
          <w:tab w:val="num" w:pos="6480"/>
        </w:tabs>
        <w:ind w:left="6480" w:hanging="360"/>
      </w:pPr>
    </w:lvl>
    <w:lvl w:ilvl="8" w:tplc="0409001B">
      <w:start w:val="1"/>
      <w:numFmt w:val="decimal"/>
      <w:lvlText w:val="%9."/>
      <w:lvlJc w:val="left"/>
      <w:pPr>
        <w:tabs>
          <w:tab w:val="num" w:pos="7200"/>
        </w:tabs>
        <w:ind w:left="7200" w:hanging="360"/>
      </w:pPr>
    </w:lvl>
  </w:abstractNum>
  <w:abstractNum w:abstractNumId="28">
    <w:nsid w:val="1A461F1F"/>
    <w:multiLevelType w:val="hybridMultilevel"/>
    <w:tmpl w:val="539040CA"/>
    <w:lvl w:ilvl="0" w:tplc="952C4BD0">
      <w:start w:val="1"/>
      <w:numFmt w:val="lowerLetter"/>
      <w:lvlText w:val="%1)"/>
      <w:lvlJc w:val="left"/>
      <w:pPr>
        <w:ind w:left="720" w:hanging="360"/>
      </w:pPr>
      <w:rPr>
        <w:rFonts w:hint="default"/>
        <w:b w:val="0"/>
        <w:i w:val="0"/>
        <w:color w:val="000000"/>
        <w:sz w:val="18"/>
        <w:szCs w:val="18"/>
      </w:rPr>
    </w:lvl>
    <w:lvl w:ilvl="1" w:tplc="04090001">
      <w:start w:val="1"/>
      <w:numFmt w:val="bullet"/>
      <w:lvlText w:val=""/>
      <w:lvlJc w:val="left"/>
      <w:pPr>
        <w:ind w:left="1440" w:hanging="360"/>
      </w:pPr>
      <w:rPr>
        <w:rFonts w:ascii="Symbol" w:hAnsi="Symbol" w:hint="default"/>
      </w:rPr>
    </w:lvl>
    <w:lvl w:ilvl="2" w:tplc="0409001B">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9">
    <w:nsid w:val="1BBE07DA"/>
    <w:multiLevelType w:val="hybridMultilevel"/>
    <w:tmpl w:val="C2FCE78E"/>
    <w:lvl w:ilvl="0" w:tplc="D902DDBC">
      <w:start w:val="1"/>
      <w:numFmt w:val="bullet"/>
      <w:lvlText w:val=""/>
      <w:lvlJc w:val="left"/>
      <w:pPr>
        <w:ind w:left="1260" w:hanging="360"/>
      </w:pPr>
      <w:rPr>
        <w:rFonts w:ascii="Webdings" w:hAnsi="Webdings" w:hint="default"/>
        <w:b w:val="0"/>
        <w:i w:val="0"/>
        <w:color w:val="FF6600"/>
        <w:sz w:val="24"/>
      </w:rPr>
    </w:lvl>
    <w:lvl w:ilvl="1" w:tplc="D902DDBC">
      <w:start w:val="1"/>
      <w:numFmt w:val="bullet"/>
      <w:lvlText w:val=""/>
      <w:lvlJc w:val="left"/>
      <w:pPr>
        <w:ind w:left="1980" w:hanging="360"/>
      </w:pPr>
      <w:rPr>
        <w:rFonts w:ascii="Webdings" w:hAnsi="Webdings" w:hint="default"/>
        <w:b w:val="0"/>
        <w:i w:val="0"/>
        <w:color w:val="FF6600"/>
        <w:sz w:val="24"/>
      </w:rPr>
    </w:lvl>
    <w:lvl w:ilvl="2" w:tplc="04090005" w:tentative="1">
      <w:start w:val="1"/>
      <w:numFmt w:val="bullet"/>
      <w:lvlText w:val=""/>
      <w:lvlJc w:val="left"/>
      <w:pPr>
        <w:ind w:left="2700" w:hanging="360"/>
      </w:pPr>
      <w:rPr>
        <w:rFonts w:ascii="Wingdings" w:hAnsi="Wingdings" w:hint="default"/>
      </w:rPr>
    </w:lvl>
    <w:lvl w:ilvl="3" w:tplc="04090001" w:tentative="1">
      <w:start w:val="1"/>
      <w:numFmt w:val="bullet"/>
      <w:lvlText w:val=""/>
      <w:lvlJc w:val="left"/>
      <w:pPr>
        <w:ind w:left="3420" w:hanging="360"/>
      </w:pPr>
      <w:rPr>
        <w:rFonts w:ascii="Symbol" w:hAnsi="Symbol" w:hint="default"/>
      </w:rPr>
    </w:lvl>
    <w:lvl w:ilvl="4" w:tplc="04090003" w:tentative="1">
      <w:start w:val="1"/>
      <w:numFmt w:val="bullet"/>
      <w:lvlText w:val="o"/>
      <w:lvlJc w:val="left"/>
      <w:pPr>
        <w:ind w:left="4140" w:hanging="360"/>
      </w:pPr>
      <w:rPr>
        <w:rFonts w:ascii="Courier New" w:hAnsi="Courier New" w:cs="Courier New" w:hint="default"/>
      </w:rPr>
    </w:lvl>
    <w:lvl w:ilvl="5" w:tplc="04090005" w:tentative="1">
      <w:start w:val="1"/>
      <w:numFmt w:val="bullet"/>
      <w:lvlText w:val=""/>
      <w:lvlJc w:val="left"/>
      <w:pPr>
        <w:ind w:left="4860" w:hanging="360"/>
      </w:pPr>
      <w:rPr>
        <w:rFonts w:ascii="Wingdings" w:hAnsi="Wingdings" w:hint="default"/>
      </w:rPr>
    </w:lvl>
    <w:lvl w:ilvl="6" w:tplc="04090001" w:tentative="1">
      <w:start w:val="1"/>
      <w:numFmt w:val="bullet"/>
      <w:lvlText w:val=""/>
      <w:lvlJc w:val="left"/>
      <w:pPr>
        <w:ind w:left="5580" w:hanging="360"/>
      </w:pPr>
      <w:rPr>
        <w:rFonts w:ascii="Symbol" w:hAnsi="Symbol" w:hint="default"/>
      </w:rPr>
    </w:lvl>
    <w:lvl w:ilvl="7" w:tplc="04090003" w:tentative="1">
      <w:start w:val="1"/>
      <w:numFmt w:val="bullet"/>
      <w:lvlText w:val="o"/>
      <w:lvlJc w:val="left"/>
      <w:pPr>
        <w:ind w:left="6300" w:hanging="360"/>
      </w:pPr>
      <w:rPr>
        <w:rFonts w:ascii="Courier New" w:hAnsi="Courier New" w:cs="Courier New" w:hint="default"/>
      </w:rPr>
    </w:lvl>
    <w:lvl w:ilvl="8" w:tplc="04090005" w:tentative="1">
      <w:start w:val="1"/>
      <w:numFmt w:val="bullet"/>
      <w:lvlText w:val=""/>
      <w:lvlJc w:val="left"/>
      <w:pPr>
        <w:ind w:left="7020" w:hanging="360"/>
      </w:pPr>
      <w:rPr>
        <w:rFonts w:ascii="Wingdings" w:hAnsi="Wingdings" w:hint="default"/>
      </w:rPr>
    </w:lvl>
  </w:abstractNum>
  <w:abstractNum w:abstractNumId="30">
    <w:nsid w:val="1BC87612"/>
    <w:multiLevelType w:val="hybridMultilevel"/>
    <w:tmpl w:val="D0943268"/>
    <w:lvl w:ilvl="0" w:tplc="D902DDBC">
      <w:start w:val="1"/>
      <w:numFmt w:val="bullet"/>
      <w:lvlText w:val=""/>
      <w:lvlJc w:val="left"/>
      <w:pPr>
        <w:ind w:left="720" w:hanging="360"/>
      </w:pPr>
      <w:rPr>
        <w:rFonts w:ascii="Webdings" w:hAnsi="Webdings" w:hint="default"/>
        <w:b w:val="0"/>
        <w:i w:val="0"/>
        <w:color w:val="FF6600"/>
        <w:sz w:val="24"/>
        <w:szCs w:val="18"/>
      </w:rPr>
    </w:lvl>
    <w:lvl w:ilvl="1" w:tplc="04090001">
      <w:start w:val="1"/>
      <w:numFmt w:val="bullet"/>
      <w:lvlText w:val=""/>
      <w:lvlJc w:val="left"/>
      <w:pPr>
        <w:ind w:left="1440" w:hanging="360"/>
      </w:pPr>
      <w:rPr>
        <w:rFonts w:ascii="Symbol" w:hAnsi="Symbol" w:hint="default"/>
      </w:rPr>
    </w:lvl>
    <w:lvl w:ilvl="2" w:tplc="0A5CAFB0">
      <w:start w:val="1"/>
      <w:numFmt w:val="bullet"/>
      <w:lvlText w:val=""/>
      <w:lvlJc w:val="left"/>
      <w:pPr>
        <w:ind w:left="2160" w:hanging="360"/>
      </w:pPr>
      <w:rPr>
        <w:rFonts w:ascii="Webdings" w:hAnsi="Webdings" w:hint="default"/>
        <w:b w:val="0"/>
        <w:i w:val="0"/>
        <w:color w:val="auto"/>
        <w:sz w:val="18"/>
        <w:szCs w:val="18"/>
      </w:rPr>
    </w:lvl>
    <w:lvl w:ilvl="3" w:tplc="D902DDBC">
      <w:start w:val="1"/>
      <w:numFmt w:val="bullet"/>
      <w:lvlText w:val=""/>
      <w:lvlJc w:val="left"/>
      <w:pPr>
        <w:ind w:left="2880" w:hanging="360"/>
      </w:pPr>
      <w:rPr>
        <w:rFonts w:ascii="Webdings" w:hAnsi="Webdings" w:hint="default"/>
        <w:b w:val="0"/>
        <w:i w:val="0"/>
        <w:color w:val="FF6600"/>
        <w:sz w:val="24"/>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
    <w:nsid w:val="1BEF6207"/>
    <w:multiLevelType w:val="hybridMultilevel"/>
    <w:tmpl w:val="EBA82102"/>
    <w:lvl w:ilvl="0" w:tplc="D902DDBC">
      <w:start w:val="1"/>
      <w:numFmt w:val="bullet"/>
      <w:lvlText w:val=""/>
      <w:lvlJc w:val="left"/>
      <w:pPr>
        <w:ind w:left="3312" w:hanging="360"/>
      </w:pPr>
      <w:rPr>
        <w:rFonts w:ascii="Webdings" w:hAnsi="Webdings" w:hint="default"/>
        <w:b w:val="0"/>
        <w:i w:val="0"/>
        <w:color w:val="FF6600"/>
        <w:sz w:val="24"/>
      </w:rPr>
    </w:lvl>
    <w:lvl w:ilvl="1" w:tplc="04090003">
      <w:start w:val="1"/>
      <w:numFmt w:val="bullet"/>
      <w:lvlText w:val="o"/>
      <w:lvlJc w:val="left"/>
      <w:pPr>
        <w:ind w:left="4032" w:hanging="360"/>
      </w:pPr>
      <w:rPr>
        <w:rFonts w:ascii="Courier New" w:hAnsi="Courier New" w:hint="default"/>
      </w:rPr>
    </w:lvl>
    <w:lvl w:ilvl="2" w:tplc="04090005" w:tentative="1">
      <w:start w:val="1"/>
      <w:numFmt w:val="bullet"/>
      <w:lvlText w:val=""/>
      <w:lvlJc w:val="left"/>
      <w:pPr>
        <w:ind w:left="4752" w:hanging="360"/>
      </w:pPr>
      <w:rPr>
        <w:rFonts w:ascii="Wingdings" w:hAnsi="Wingdings" w:hint="default"/>
      </w:rPr>
    </w:lvl>
    <w:lvl w:ilvl="3" w:tplc="04090001" w:tentative="1">
      <w:start w:val="1"/>
      <w:numFmt w:val="bullet"/>
      <w:lvlText w:val=""/>
      <w:lvlJc w:val="left"/>
      <w:pPr>
        <w:ind w:left="5472" w:hanging="360"/>
      </w:pPr>
      <w:rPr>
        <w:rFonts w:ascii="Symbol" w:hAnsi="Symbol" w:hint="default"/>
      </w:rPr>
    </w:lvl>
    <w:lvl w:ilvl="4" w:tplc="04090003" w:tentative="1">
      <w:start w:val="1"/>
      <w:numFmt w:val="bullet"/>
      <w:lvlText w:val="o"/>
      <w:lvlJc w:val="left"/>
      <w:pPr>
        <w:ind w:left="6192" w:hanging="360"/>
      </w:pPr>
      <w:rPr>
        <w:rFonts w:ascii="Courier New" w:hAnsi="Courier New" w:hint="default"/>
      </w:rPr>
    </w:lvl>
    <w:lvl w:ilvl="5" w:tplc="04090005" w:tentative="1">
      <w:start w:val="1"/>
      <w:numFmt w:val="bullet"/>
      <w:lvlText w:val=""/>
      <w:lvlJc w:val="left"/>
      <w:pPr>
        <w:ind w:left="6912" w:hanging="360"/>
      </w:pPr>
      <w:rPr>
        <w:rFonts w:ascii="Wingdings" w:hAnsi="Wingdings" w:hint="default"/>
      </w:rPr>
    </w:lvl>
    <w:lvl w:ilvl="6" w:tplc="04090001" w:tentative="1">
      <w:start w:val="1"/>
      <w:numFmt w:val="bullet"/>
      <w:lvlText w:val=""/>
      <w:lvlJc w:val="left"/>
      <w:pPr>
        <w:ind w:left="7632" w:hanging="360"/>
      </w:pPr>
      <w:rPr>
        <w:rFonts w:ascii="Symbol" w:hAnsi="Symbol" w:hint="default"/>
      </w:rPr>
    </w:lvl>
    <w:lvl w:ilvl="7" w:tplc="04090003" w:tentative="1">
      <w:start w:val="1"/>
      <w:numFmt w:val="bullet"/>
      <w:lvlText w:val="o"/>
      <w:lvlJc w:val="left"/>
      <w:pPr>
        <w:ind w:left="8352" w:hanging="360"/>
      </w:pPr>
      <w:rPr>
        <w:rFonts w:ascii="Courier New" w:hAnsi="Courier New" w:hint="default"/>
      </w:rPr>
    </w:lvl>
    <w:lvl w:ilvl="8" w:tplc="04090005" w:tentative="1">
      <w:start w:val="1"/>
      <w:numFmt w:val="bullet"/>
      <w:lvlText w:val=""/>
      <w:lvlJc w:val="left"/>
      <w:pPr>
        <w:ind w:left="9072" w:hanging="360"/>
      </w:pPr>
      <w:rPr>
        <w:rFonts w:ascii="Wingdings" w:hAnsi="Wingdings" w:hint="default"/>
      </w:rPr>
    </w:lvl>
  </w:abstractNum>
  <w:abstractNum w:abstractNumId="32">
    <w:nsid w:val="1C4F47D3"/>
    <w:multiLevelType w:val="hybridMultilevel"/>
    <w:tmpl w:val="38FEE8EC"/>
    <w:lvl w:ilvl="0" w:tplc="0152F0C0">
      <w:start w:val="1"/>
      <w:numFmt w:val="bullet"/>
      <w:lvlText w:val=""/>
      <w:lvlJc w:val="left"/>
      <w:pPr>
        <w:ind w:left="720" w:hanging="360"/>
      </w:pPr>
      <w:rPr>
        <w:rFonts w:ascii="Webdings" w:hAnsi="Webdings" w:hint="default"/>
        <w:b w:val="0"/>
        <w:i w:val="0"/>
        <w:color w:val="FF6600"/>
        <w:sz w:val="22"/>
      </w:rPr>
    </w:lvl>
    <w:lvl w:ilvl="1" w:tplc="04090017">
      <w:start w:val="1"/>
      <w:numFmt w:val="lowerLetter"/>
      <w:lvlText w:val="%2)"/>
      <w:lvlJc w:val="left"/>
      <w:pPr>
        <w:ind w:left="1440" w:hanging="360"/>
      </w:pPr>
      <w:rPr>
        <w:rFonts w:hint="default"/>
      </w:rPr>
    </w:lvl>
    <w:lvl w:ilvl="2" w:tplc="D902DDBC">
      <w:start w:val="1"/>
      <w:numFmt w:val="bullet"/>
      <w:lvlText w:val=""/>
      <w:lvlJc w:val="left"/>
      <w:pPr>
        <w:ind w:left="2160" w:hanging="360"/>
      </w:pPr>
      <w:rPr>
        <w:rFonts w:ascii="Webdings" w:hAnsi="Webdings" w:hint="default"/>
        <w:b w:val="0"/>
        <w:i w:val="0"/>
        <w:color w:val="FF6600"/>
        <w:sz w:val="24"/>
      </w:rPr>
    </w:lvl>
    <w:lvl w:ilvl="3" w:tplc="D902DDBC">
      <w:start w:val="1"/>
      <w:numFmt w:val="bullet"/>
      <w:lvlText w:val=""/>
      <w:lvlJc w:val="left"/>
      <w:pPr>
        <w:ind w:left="2880" w:hanging="360"/>
      </w:pPr>
      <w:rPr>
        <w:rFonts w:ascii="Webdings" w:hAnsi="Webdings" w:hint="default"/>
        <w:b w:val="0"/>
        <w:i w:val="0"/>
        <w:color w:val="FF6600"/>
        <w:sz w:val="24"/>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nsid w:val="1CC30CCB"/>
    <w:multiLevelType w:val="hybridMultilevel"/>
    <w:tmpl w:val="0BC60840"/>
    <w:lvl w:ilvl="0" w:tplc="C4C44152">
      <w:start w:val="1"/>
      <w:numFmt w:val="bullet"/>
      <w:lvlText w:val=""/>
      <w:lvlJc w:val="left"/>
      <w:pPr>
        <w:ind w:left="720" w:hanging="360"/>
      </w:pPr>
      <w:rPr>
        <w:rFonts w:ascii="Symbol" w:hAnsi="Symbol" w:hint="default"/>
        <w:b w:val="0"/>
        <w:i w:val="0"/>
        <w:color w:val="auto"/>
        <w:sz w:val="18"/>
        <w:szCs w:val="18"/>
      </w:r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4">
    <w:nsid w:val="1FA1126D"/>
    <w:multiLevelType w:val="hybridMultilevel"/>
    <w:tmpl w:val="D16843E0"/>
    <w:lvl w:ilvl="0" w:tplc="D902DDBC">
      <w:start w:val="1"/>
      <w:numFmt w:val="bullet"/>
      <w:lvlText w:val=""/>
      <w:lvlJc w:val="left"/>
      <w:pPr>
        <w:tabs>
          <w:tab w:val="num" w:pos="1440"/>
        </w:tabs>
        <w:ind w:left="1440" w:hanging="360"/>
      </w:pPr>
      <w:rPr>
        <w:rFonts w:ascii="Webdings" w:hAnsi="Webdings" w:hint="default"/>
        <w:b w:val="0"/>
        <w:i w:val="0"/>
        <w:color w:val="FF6600"/>
        <w:sz w:val="24"/>
      </w:rPr>
    </w:lvl>
    <w:lvl w:ilvl="1" w:tplc="04090003">
      <w:start w:val="1"/>
      <w:numFmt w:val="decimal"/>
      <w:lvlText w:val="%2."/>
      <w:lvlJc w:val="left"/>
      <w:pPr>
        <w:tabs>
          <w:tab w:val="num" w:pos="2520"/>
        </w:tabs>
        <w:ind w:left="2520" w:hanging="360"/>
      </w:pPr>
      <w:rPr>
        <w:rFonts w:cs="Times New Roman"/>
      </w:rPr>
    </w:lvl>
    <w:lvl w:ilvl="2" w:tplc="04090005">
      <w:start w:val="1"/>
      <w:numFmt w:val="decimal"/>
      <w:lvlText w:val="%3."/>
      <w:lvlJc w:val="left"/>
      <w:pPr>
        <w:tabs>
          <w:tab w:val="num" w:pos="3240"/>
        </w:tabs>
        <w:ind w:left="3240" w:hanging="360"/>
      </w:pPr>
      <w:rPr>
        <w:rFonts w:cs="Times New Roman"/>
      </w:rPr>
    </w:lvl>
    <w:lvl w:ilvl="3" w:tplc="04090001">
      <w:start w:val="1"/>
      <w:numFmt w:val="decimal"/>
      <w:lvlText w:val="%4."/>
      <w:lvlJc w:val="left"/>
      <w:pPr>
        <w:tabs>
          <w:tab w:val="num" w:pos="3960"/>
        </w:tabs>
        <w:ind w:left="3960" w:hanging="360"/>
      </w:pPr>
      <w:rPr>
        <w:rFonts w:cs="Times New Roman"/>
      </w:rPr>
    </w:lvl>
    <w:lvl w:ilvl="4" w:tplc="04090003">
      <w:start w:val="1"/>
      <w:numFmt w:val="decimal"/>
      <w:lvlText w:val="%5."/>
      <w:lvlJc w:val="left"/>
      <w:pPr>
        <w:tabs>
          <w:tab w:val="num" w:pos="4680"/>
        </w:tabs>
        <w:ind w:left="4680" w:hanging="360"/>
      </w:pPr>
      <w:rPr>
        <w:rFonts w:cs="Times New Roman"/>
      </w:rPr>
    </w:lvl>
    <w:lvl w:ilvl="5" w:tplc="04090005">
      <w:start w:val="1"/>
      <w:numFmt w:val="decimal"/>
      <w:lvlText w:val="%6."/>
      <w:lvlJc w:val="left"/>
      <w:pPr>
        <w:tabs>
          <w:tab w:val="num" w:pos="5400"/>
        </w:tabs>
        <w:ind w:left="5400" w:hanging="360"/>
      </w:pPr>
      <w:rPr>
        <w:rFonts w:cs="Times New Roman"/>
      </w:rPr>
    </w:lvl>
    <w:lvl w:ilvl="6" w:tplc="04090001">
      <w:start w:val="1"/>
      <w:numFmt w:val="decimal"/>
      <w:lvlText w:val="%7."/>
      <w:lvlJc w:val="left"/>
      <w:pPr>
        <w:tabs>
          <w:tab w:val="num" w:pos="6120"/>
        </w:tabs>
        <w:ind w:left="6120" w:hanging="360"/>
      </w:pPr>
      <w:rPr>
        <w:rFonts w:cs="Times New Roman"/>
      </w:rPr>
    </w:lvl>
    <w:lvl w:ilvl="7" w:tplc="04090003">
      <w:start w:val="1"/>
      <w:numFmt w:val="decimal"/>
      <w:lvlText w:val="%8."/>
      <w:lvlJc w:val="left"/>
      <w:pPr>
        <w:tabs>
          <w:tab w:val="num" w:pos="6840"/>
        </w:tabs>
        <w:ind w:left="6840" w:hanging="360"/>
      </w:pPr>
      <w:rPr>
        <w:rFonts w:cs="Times New Roman"/>
      </w:rPr>
    </w:lvl>
    <w:lvl w:ilvl="8" w:tplc="04090005">
      <w:start w:val="1"/>
      <w:numFmt w:val="decimal"/>
      <w:lvlText w:val="%9."/>
      <w:lvlJc w:val="left"/>
      <w:pPr>
        <w:tabs>
          <w:tab w:val="num" w:pos="7560"/>
        </w:tabs>
        <w:ind w:left="7560" w:hanging="360"/>
      </w:pPr>
      <w:rPr>
        <w:rFonts w:cs="Times New Roman"/>
      </w:rPr>
    </w:lvl>
  </w:abstractNum>
  <w:abstractNum w:abstractNumId="35">
    <w:nsid w:val="22BD523E"/>
    <w:multiLevelType w:val="hybridMultilevel"/>
    <w:tmpl w:val="DBF00120"/>
    <w:lvl w:ilvl="0" w:tplc="D902DDBC">
      <w:start w:val="1"/>
      <w:numFmt w:val="bullet"/>
      <w:lvlText w:val=""/>
      <w:lvlJc w:val="left"/>
      <w:pPr>
        <w:ind w:left="882" w:hanging="360"/>
      </w:pPr>
      <w:rPr>
        <w:rFonts w:ascii="Webdings" w:hAnsi="Webdings" w:hint="default"/>
        <w:b w:val="0"/>
        <w:i w:val="0"/>
        <w:color w:val="FF6600"/>
        <w:sz w:val="24"/>
      </w:rPr>
    </w:lvl>
    <w:lvl w:ilvl="1" w:tplc="04090003" w:tentative="1">
      <w:start w:val="1"/>
      <w:numFmt w:val="bullet"/>
      <w:lvlText w:val="o"/>
      <w:lvlJc w:val="left"/>
      <w:pPr>
        <w:ind w:left="1602" w:hanging="360"/>
      </w:pPr>
      <w:rPr>
        <w:rFonts w:ascii="Courier New" w:hAnsi="Courier New" w:cs="Courier New" w:hint="default"/>
      </w:rPr>
    </w:lvl>
    <w:lvl w:ilvl="2" w:tplc="04090005" w:tentative="1">
      <w:start w:val="1"/>
      <w:numFmt w:val="bullet"/>
      <w:lvlText w:val=""/>
      <w:lvlJc w:val="left"/>
      <w:pPr>
        <w:ind w:left="2322" w:hanging="360"/>
      </w:pPr>
      <w:rPr>
        <w:rFonts w:ascii="Wingdings" w:hAnsi="Wingdings" w:hint="default"/>
      </w:rPr>
    </w:lvl>
    <w:lvl w:ilvl="3" w:tplc="04090001" w:tentative="1">
      <w:start w:val="1"/>
      <w:numFmt w:val="bullet"/>
      <w:lvlText w:val=""/>
      <w:lvlJc w:val="left"/>
      <w:pPr>
        <w:ind w:left="3042" w:hanging="360"/>
      </w:pPr>
      <w:rPr>
        <w:rFonts w:ascii="Symbol" w:hAnsi="Symbol" w:hint="default"/>
      </w:rPr>
    </w:lvl>
    <w:lvl w:ilvl="4" w:tplc="04090003" w:tentative="1">
      <w:start w:val="1"/>
      <w:numFmt w:val="bullet"/>
      <w:lvlText w:val="o"/>
      <w:lvlJc w:val="left"/>
      <w:pPr>
        <w:ind w:left="3762" w:hanging="360"/>
      </w:pPr>
      <w:rPr>
        <w:rFonts w:ascii="Courier New" w:hAnsi="Courier New" w:cs="Courier New" w:hint="default"/>
      </w:rPr>
    </w:lvl>
    <w:lvl w:ilvl="5" w:tplc="04090005" w:tentative="1">
      <w:start w:val="1"/>
      <w:numFmt w:val="bullet"/>
      <w:lvlText w:val=""/>
      <w:lvlJc w:val="left"/>
      <w:pPr>
        <w:ind w:left="4482" w:hanging="360"/>
      </w:pPr>
      <w:rPr>
        <w:rFonts w:ascii="Wingdings" w:hAnsi="Wingdings" w:hint="default"/>
      </w:rPr>
    </w:lvl>
    <w:lvl w:ilvl="6" w:tplc="04090001" w:tentative="1">
      <w:start w:val="1"/>
      <w:numFmt w:val="bullet"/>
      <w:lvlText w:val=""/>
      <w:lvlJc w:val="left"/>
      <w:pPr>
        <w:ind w:left="5202" w:hanging="360"/>
      </w:pPr>
      <w:rPr>
        <w:rFonts w:ascii="Symbol" w:hAnsi="Symbol" w:hint="default"/>
      </w:rPr>
    </w:lvl>
    <w:lvl w:ilvl="7" w:tplc="04090003" w:tentative="1">
      <w:start w:val="1"/>
      <w:numFmt w:val="bullet"/>
      <w:lvlText w:val="o"/>
      <w:lvlJc w:val="left"/>
      <w:pPr>
        <w:ind w:left="5922" w:hanging="360"/>
      </w:pPr>
      <w:rPr>
        <w:rFonts w:ascii="Courier New" w:hAnsi="Courier New" w:cs="Courier New" w:hint="default"/>
      </w:rPr>
    </w:lvl>
    <w:lvl w:ilvl="8" w:tplc="04090005" w:tentative="1">
      <w:start w:val="1"/>
      <w:numFmt w:val="bullet"/>
      <w:lvlText w:val=""/>
      <w:lvlJc w:val="left"/>
      <w:pPr>
        <w:ind w:left="6642" w:hanging="360"/>
      </w:pPr>
      <w:rPr>
        <w:rFonts w:ascii="Wingdings" w:hAnsi="Wingdings" w:hint="default"/>
      </w:rPr>
    </w:lvl>
  </w:abstractNum>
  <w:abstractNum w:abstractNumId="36">
    <w:nsid w:val="23F65B89"/>
    <w:multiLevelType w:val="hybridMultilevel"/>
    <w:tmpl w:val="B3847BF4"/>
    <w:lvl w:ilvl="0" w:tplc="D902DDBC">
      <w:start w:val="1"/>
      <w:numFmt w:val="bullet"/>
      <w:lvlText w:val=""/>
      <w:lvlJc w:val="left"/>
      <w:pPr>
        <w:ind w:left="1800" w:hanging="360"/>
      </w:pPr>
      <w:rPr>
        <w:rFonts w:ascii="Webdings" w:hAnsi="Webdings" w:hint="default"/>
        <w:b w:val="0"/>
        <w:i w:val="0"/>
        <w:color w:val="FF6600"/>
        <w:sz w:val="24"/>
        <w:szCs w:val="18"/>
      </w:rPr>
    </w:lvl>
    <w:lvl w:ilvl="1" w:tplc="04090003">
      <w:start w:val="1"/>
      <w:numFmt w:val="bullet"/>
      <w:lvlText w:val="o"/>
      <w:lvlJc w:val="left"/>
      <w:pPr>
        <w:ind w:left="2520" w:hanging="360"/>
      </w:pPr>
      <w:rPr>
        <w:rFonts w:ascii="Courier New" w:hAnsi="Courier New" w:cs="Courier New" w:hint="default"/>
      </w:rPr>
    </w:lvl>
    <w:lvl w:ilvl="2" w:tplc="04090005">
      <w:start w:val="1"/>
      <w:numFmt w:val="bullet"/>
      <w:lvlText w:val=""/>
      <w:lvlJc w:val="left"/>
      <w:pPr>
        <w:ind w:left="3240" w:hanging="360"/>
      </w:pPr>
      <w:rPr>
        <w:rFonts w:ascii="Wingdings" w:hAnsi="Wingdings" w:hint="default"/>
      </w:rPr>
    </w:lvl>
    <w:lvl w:ilvl="3" w:tplc="04090001">
      <w:start w:val="1"/>
      <w:numFmt w:val="bullet"/>
      <w:lvlText w:val=""/>
      <w:lvlJc w:val="left"/>
      <w:pPr>
        <w:ind w:left="3960" w:hanging="360"/>
      </w:pPr>
      <w:rPr>
        <w:rFonts w:ascii="Symbol" w:hAnsi="Symbol" w:hint="default"/>
      </w:rPr>
    </w:lvl>
    <w:lvl w:ilvl="4" w:tplc="04090003">
      <w:start w:val="1"/>
      <w:numFmt w:val="bullet"/>
      <w:lvlText w:val="o"/>
      <w:lvlJc w:val="left"/>
      <w:pPr>
        <w:ind w:left="4680" w:hanging="360"/>
      </w:pPr>
      <w:rPr>
        <w:rFonts w:ascii="Courier New" w:hAnsi="Courier New" w:cs="Courier New" w:hint="default"/>
      </w:rPr>
    </w:lvl>
    <w:lvl w:ilvl="5" w:tplc="04090005">
      <w:start w:val="1"/>
      <w:numFmt w:val="bullet"/>
      <w:lvlText w:val=""/>
      <w:lvlJc w:val="left"/>
      <w:pPr>
        <w:ind w:left="5400" w:hanging="360"/>
      </w:pPr>
      <w:rPr>
        <w:rFonts w:ascii="Wingdings" w:hAnsi="Wingdings" w:hint="default"/>
      </w:rPr>
    </w:lvl>
    <w:lvl w:ilvl="6" w:tplc="04090001">
      <w:start w:val="1"/>
      <w:numFmt w:val="bullet"/>
      <w:lvlText w:val=""/>
      <w:lvlJc w:val="left"/>
      <w:pPr>
        <w:ind w:left="6120" w:hanging="360"/>
      </w:pPr>
      <w:rPr>
        <w:rFonts w:ascii="Symbol" w:hAnsi="Symbol" w:hint="default"/>
      </w:rPr>
    </w:lvl>
    <w:lvl w:ilvl="7" w:tplc="04090003">
      <w:start w:val="1"/>
      <w:numFmt w:val="bullet"/>
      <w:lvlText w:val="o"/>
      <w:lvlJc w:val="left"/>
      <w:pPr>
        <w:ind w:left="6840" w:hanging="360"/>
      </w:pPr>
      <w:rPr>
        <w:rFonts w:ascii="Courier New" w:hAnsi="Courier New" w:cs="Courier New" w:hint="default"/>
      </w:rPr>
    </w:lvl>
    <w:lvl w:ilvl="8" w:tplc="04090005">
      <w:start w:val="1"/>
      <w:numFmt w:val="bullet"/>
      <w:lvlText w:val=""/>
      <w:lvlJc w:val="left"/>
      <w:pPr>
        <w:ind w:left="7560" w:hanging="360"/>
      </w:pPr>
      <w:rPr>
        <w:rFonts w:ascii="Wingdings" w:hAnsi="Wingdings" w:hint="default"/>
      </w:rPr>
    </w:lvl>
  </w:abstractNum>
  <w:abstractNum w:abstractNumId="37">
    <w:nsid w:val="253F157C"/>
    <w:multiLevelType w:val="hybridMultilevel"/>
    <w:tmpl w:val="CAB8AB2E"/>
    <w:lvl w:ilvl="0" w:tplc="D902DDBC">
      <w:start w:val="1"/>
      <w:numFmt w:val="bullet"/>
      <w:lvlText w:val=""/>
      <w:lvlJc w:val="left"/>
      <w:pPr>
        <w:ind w:left="1800" w:hanging="360"/>
      </w:pPr>
      <w:rPr>
        <w:rFonts w:ascii="Webdings" w:hAnsi="Webdings" w:hint="default"/>
        <w:b w:val="0"/>
        <w:i w:val="0"/>
        <w:color w:val="FF6600"/>
        <w:sz w:val="24"/>
      </w:rPr>
    </w:lvl>
    <w:lvl w:ilvl="1" w:tplc="04090003" w:tentative="1">
      <w:start w:val="1"/>
      <w:numFmt w:val="bullet"/>
      <w:lvlText w:val="o"/>
      <w:lvlJc w:val="left"/>
      <w:pPr>
        <w:ind w:left="2520" w:hanging="360"/>
      </w:pPr>
      <w:rPr>
        <w:rFonts w:ascii="Courier New" w:hAnsi="Courier New" w:cs="Courier New" w:hint="default"/>
      </w:rPr>
    </w:lvl>
    <w:lvl w:ilvl="2" w:tplc="04090005" w:tentative="1">
      <w:start w:val="1"/>
      <w:numFmt w:val="bullet"/>
      <w:lvlText w:val=""/>
      <w:lvlJc w:val="left"/>
      <w:pPr>
        <w:ind w:left="3240" w:hanging="360"/>
      </w:pPr>
      <w:rPr>
        <w:rFonts w:ascii="Wingdings" w:hAnsi="Wingdings" w:hint="default"/>
      </w:rPr>
    </w:lvl>
    <w:lvl w:ilvl="3" w:tplc="04090001" w:tentative="1">
      <w:start w:val="1"/>
      <w:numFmt w:val="bullet"/>
      <w:lvlText w:val=""/>
      <w:lvlJc w:val="left"/>
      <w:pPr>
        <w:ind w:left="3960" w:hanging="360"/>
      </w:pPr>
      <w:rPr>
        <w:rFonts w:ascii="Symbol" w:hAnsi="Symbol" w:hint="default"/>
      </w:rPr>
    </w:lvl>
    <w:lvl w:ilvl="4" w:tplc="04090003" w:tentative="1">
      <w:start w:val="1"/>
      <w:numFmt w:val="bullet"/>
      <w:lvlText w:val="o"/>
      <w:lvlJc w:val="left"/>
      <w:pPr>
        <w:ind w:left="4680" w:hanging="360"/>
      </w:pPr>
      <w:rPr>
        <w:rFonts w:ascii="Courier New" w:hAnsi="Courier New" w:cs="Courier New" w:hint="default"/>
      </w:rPr>
    </w:lvl>
    <w:lvl w:ilvl="5" w:tplc="04090005" w:tentative="1">
      <w:start w:val="1"/>
      <w:numFmt w:val="bullet"/>
      <w:lvlText w:val=""/>
      <w:lvlJc w:val="left"/>
      <w:pPr>
        <w:ind w:left="5400" w:hanging="360"/>
      </w:pPr>
      <w:rPr>
        <w:rFonts w:ascii="Wingdings" w:hAnsi="Wingdings" w:hint="default"/>
      </w:rPr>
    </w:lvl>
    <w:lvl w:ilvl="6" w:tplc="04090001" w:tentative="1">
      <w:start w:val="1"/>
      <w:numFmt w:val="bullet"/>
      <w:lvlText w:val=""/>
      <w:lvlJc w:val="left"/>
      <w:pPr>
        <w:ind w:left="6120" w:hanging="360"/>
      </w:pPr>
      <w:rPr>
        <w:rFonts w:ascii="Symbol" w:hAnsi="Symbol" w:hint="default"/>
      </w:rPr>
    </w:lvl>
    <w:lvl w:ilvl="7" w:tplc="04090003" w:tentative="1">
      <w:start w:val="1"/>
      <w:numFmt w:val="bullet"/>
      <w:lvlText w:val="o"/>
      <w:lvlJc w:val="left"/>
      <w:pPr>
        <w:ind w:left="6840" w:hanging="360"/>
      </w:pPr>
      <w:rPr>
        <w:rFonts w:ascii="Courier New" w:hAnsi="Courier New" w:cs="Courier New" w:hint="default"/>
      </w:rPr>
    </w:lvl>
    <w:lvl w:ilvl="8" w:tplc="04090005" w:tentative="1">
      <w:start w:val="1"/>
      <w:numFmt w:val="bullet"/>
      <w:lvlText w:val=""/>
      <w:lvlJc w:val="left"/>
      <w:pPr>
        <w:ind w:left="7560" w:hanging="360"/>
      </w:pPr>
      <w:rPr>
        <w:rFonts w:ascii="Wingdings" w:hAnsi="Wingdings" w:hint="default"/>
      </w:rPr>
    </w:lvl>
  </w:abstractNum>
  <w:abstractNum w:abstractNumId="38">
    <w:nsid w:val="274079DD"/>
    <w:multiLevelType w:val="hybridMultilevel"/>
    <w:tmpl w:val="EEB2D384"/>
    <w:lvl w:ilvl="0" w:tplc="D902DDBC">
      <w:start w:val="1"/>
      <w:numFmt w:val="bullet"/>
      <w:lvlText w:val=""/>
      <w:lvlJc w:val="left"/>
      <w:pPr>
        <w:ind w:left="1627" w:hanging="360"/>
      </w:pPr>
      <w:rPr>
        <w:rFonts w:ascii="Webdings" w:hAnsi="Webdings" w:hint="default"/>
        <w:b w:val="0"/>
        <w:i w:val="0"/>
        <w:color w:val="FF6600"/>
        <w:sz w:val="24"/>
      </w:rPr>
    </w:lvl>
    <w:lvl w:ilvl="1" w:tplc="D902DDBC">
      <w:start w:val="1"/>
      <w:numFmt w:val="bullet"/>
      <w:lvlText w:val=""/>
      <w:lvlJc w:val="left"/>
      <w:pPr>
        <w:ind w:left="2347" w:hanging="360"/>
      </w:pPr>
      <w:rPr>
        <w:rFonts w:ascii="Webdings" w:hAnsi="Webdings" w:hint="default"/>
        <w:b w:val="0"/>
        <w:i w:val="0"/>
        <w:color w:val="FF6600"/>
        <w:sz w:val="24"/>
      </w:rPr>
    </w:lvl>
    <w:lvl w:ilvl="2" w:tplc="04090005">
      <w:start w:val="1"/>
      <w:numFmt w:val="bullet"/>
      <w:lvlText w:val=""/>
      <w:lvlJc w:val="left"/>
      <w:pPr>
        <w:ind w:left="3067" w:hanging="360"/>
      </w:pPr>
      <w:rPr>
        <w:rFonts w:ascii="Wingdings" w:hAnsi="Wingdings" w:hint="default"/>
      </w:rPr>
    </w:lvl>
    <w:lvl w:ilvl="3" w:tplc="04090001">
      <w:start w:val="1"/>
      <w:numFmt w:val="bullet"/>
      <w:lvlText w:val=""/>
      <w:lvlJc w:val="left"/>
      <w:pPr>
        <w:ind w:left="3787" w:hanging="360"/>
      </w:pPr>
      <w:rPr>
        <w:rFonts w:ascii="Symbol" w:hAnsi="Symbol" w:hint="default"/>
      </w:rPr>
    </w:lvl>
    <w:lvl w:ilvl="4" w:tplc="04090003" w:tentative="1">
      <w:start w:val="1"/>
      <w:numFmt w:val="bullet"/>
      <w:lvlText w:val="o"/>
      <w:lvlJc w:val="left"/>
      <w:pPr>
        <w:ind w:left="4507" w:hanging="360"/>
      </w:pPr>
      <w:rPr>
        <w:rFonts w:ascii="Courier New" w:hAnsi="Courier New" w:cs="Courier New" w:hint="default"/>
      </w:rPr>
    </w:lvl>
    <w:lvl w:ilvl="5" w:tplc="04090005" w:tentative="1">
      <w:start w:val="1"/>
      <w:numFmt w:val="bullet"/>
      <w:lvlText w:val=""/>
      <w:lvlJc w:val="left"/>
      <w:pPr>
        <w:ind w:left="5227" w:hanging="360"/>
      </w:pPr>
      <w:rPr>
        <w:rFonts w:ascii="Wingdings" w:hAnsi="Wingdings" w:hint="default"/>
      </w:rPr>
    </w:lvl>
    <w:lvl w:ilvl="6" w:tplc="04090001" w:tentative="1">
      <w:start w:val="1"/>
      <w:numFmt w:val="bullet"/>
      <w:lvlText w:val=""/>
      <w:lvlJc w:val="left"/>
      <w:pPr>
        <w:ind w:left="5947" w:hanging="360"/>
      </w:pPr>
      <w:rPr>
        <w:rFonts w:ascii="Symbol" w:hAnsi="Symbol" w:hint="default"/>
      </w:rPr>
    </w:lvl>
    <w:lvl w:ilvl="7" w:tplc="04090003" w:tentative="1">
      <w:start w:val="1"/>
      <w:numFmt w:val="bullet"/>
      <w:lvlText w:val="o"/>
      <w:lvlJc w:val="left"/>
      <w:pPr>
        <w:ind w:left="6667" w:hanging="360"/>
      </w:pPr>
      <w:rPr>
        <w:rFonts w:ascii="Courier New" w:hAnsi="Courier New" w:cs="Courier New" w:hint="default"/>
      </w:rPr>
    </w:lvl>
    <w:lvl w:ilvl="8" w:tplc="04090005" w:tentative="1">
      <w:start w:val="1"/>
      <w:numFmt w:val="bullet"/>
      <w:lvlText w:val=""/>
      <w:lvlJc w:val="left"/>
      <w:pPr>
        <w:ind w:left="7387" w:hanging="360"/>
      </w:pPr>
      <w:rPr>
        <w:rFonts w:ascii="Wingdings" w:hAnsi="Wingdings" w:hint="default"/>
      </w:rPr>
    </w:lvl>
  </w:abstractNum>
  <w:abstractNum w:abstractNumId="39">
    <w:nsid w:val="28AE539D"/>
    <w:multiLevelType w:val="hybridMultilevel"/>
    <w:tmpl w:val="2B2A7604"/>
    <w:lvl w:ilvl="0" w:tplc="D902DDBC">
      <w:start w:val="1"/>
      <w:numFmt w:val="bullet"/>
      <w:lvlText w:val=""/>
      <w:lvlJc w:val="left"/>
      <w:pPr>
        <w:ind w:left="720" w:hanging="360"/>
      </w:pPr>
      <w:rPr>
        <w:rFonts w:ascii="Webdings" w:hAnsi="Webdings" w:hint="default"/>
        <w:b w:val="0"/>
        <w:i w:val="0"/>
        <w:color w:val="FF6600"/>
        <w:sz w:val="24"/>
        <w:szCs w:val="18"/>
      </w:rPr>
    </w:lvl>
    <w:lvl w:ilvl="1" w:tplc="04090001">
      <w:start w:val="1"/>
      <w:numFmt w:val="bullet"/>
      <w:lvlText w:val=""/>
      <w:lvlJc w:val="left"/>
      <w:pPr>
        <w:ind w:left="1440" w:hanging="360"/>
      </w:pPr>
      <w:rPr>
        <w:rFonts w:ascii="Symbol" w:hAnsi="Symbol" w:hint="default"/>
      </w:rPr>
    </w:lvl>
    <w:lvl w:ilvl="2" w:tplc="F4DA1104">
      <w:start w:val="1"/>
      <w:numFmt w:val="bullet"/>
      <w:lvlText w:val=""/>
      <w:lvlJc w:val="left"/>
      <w:pPr>
        <w:ind w:left="2160" w:hanging="360"/>
      </w:pPr>
      <w:rPr>
        <w:rFonts w:ascii="Webdings" w:hAnsi="Webdings" w:hint="default"/>
        <w:b w:val="0"/>
        <w:i w:val="0"/>
        <w:color w:val="auto"/>
        <w:sz w:val="18"/>
        <w:szCs w:val="18"/>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0">
    <w:nsid w:val="29706942"/>
    <w:multiLevelType w:val="hybridMultilevel"/>
    <w:tmpl w:val="8C6A57C8"/>
    <w:lvl w:ilvl="0" w:tplc="0152F0C0">
      <w:start w:val="1"/>
      <w:numFmt w:val="bullet"/>
      <w:lvlText w:val=""/>
      <w:lvlJc w:val="left"/>
      <w:pPr>
        <w:ind w:left="720" w:hanging="360"/>
      </w:pPr>
      <w:rPr>
        <w:rFonts w:ascii="Webdings" w:hAnsi="Webdings" w:hint="default"/>
        <w:b w:val="0"/>
        <w:i w:val="0"/>
        <w:color w:val="FF6600"/>
        <w:sz w:val="22"/>
      </w:rPr>
    </w:lvl>
    <w:lvl w:ilvl="1" w:tplc="04090017">
      <w:start w:val="1"/>
      <w:numFmt w:val="lowerLetter"/>
      <w:lvlText w:val="%2)"/>
      <w:lvlJc w:val="left"/>
      <w:pPr>
        <w:ind w:left="1440" w:hanging="360"/>
      </w:pPr>
      <w:rPr>
        <w:rFonts w:hint="default"/>
      </w:rPr>
    </w:lvl>
    <w:lvl w:ilvl="2" w:tplc="1BCE2F50">
      <w:start w:val="1"/>
      <w:numFmt w:val="bullet"/>
      <w:lvlText w:val=""/>
      <w:lvlJc w:val="left"/>
      <w:pPr>
        <w:ind w:left="2160" w:hanging="360"/>
      </w:pPr>
      <w:rPr>
        <w:rFonts w:ascii="Symbol" w:hAnsi="Symbol" w:hint="default"/>
        <w:b w:val="0"/>
        <w:i w:val="0"/>
        <w:color w:val="auto"/>
        <w:sz w:val="18"/>
      </w:rPr>
    </w:lvl>
    <w:lvl w:ilvl="3" w:tplc="D902DDBC">
      <w:start w:val="1"/>
      <w:numFmt w:val="bullet"/>
      <w:lvlText w:val=""/>
      <w:lvlJc w:val="left"/>
      <w:pPr>
        <w:ind w:left="2880" w:hanging="360"/>
      </w:pPr>
      <w:rPr>
        <w:rFonts w:ascii="Webdings" w:hAnsi="Webdings" w:hint="default"/>
        <w:b w:val="0"/>
        <w:i w:val="0"/>
        <w:color w:val="FF6600"/>
        <w:sz w:val="24"/>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1">
    <w:nsid w:val="2A7A4778"/>
    <w:multiLevelType w:val="hybridMultilevel"/>
    <w:tmpl w:val="0A14FDDC"/>
    <w:lvl w:ilvl="0" w:tplc="D902DDBC">
      <w:start w:val="1"/>
      <w:numFmt w:val="bullet"/>
      <w:lvlText w:val=""/>
      <w:lvlJc w:val="left"/>
      <w:pPr>
        <w:ind w:left="1440" w:hanging="360"/>
      </w:pPr>
      <w:rPr>
        <w:rFonts w:ascii="Webdings" w:hAnsi="Webdings" w:hint="default"/>
        <w:b w:val="0"/>
        <w:i w:val="0"/>
        <w:color w:val="FF6600"/>
        <w:sz w:val="24"/>
      </w:rPr>
    </w:lvl>
    <w:lvl w:ilvl="1" w:tplc="D902DDBC">
      <w:start w:val="1"/>
      <w:numFmt w:val="bullet"/>
      <w:lvlText w:val=""/>
      <w:lvlJc w:val="left"/>
      <w:pPr>
        <w:ind w:left="2160" w:hanging="360"/>
      </w:pPr>
      <w:rPr>
        <w:rFonts w:ascii="Webdings" w:hAnsi="Webdings" w:hint="default"/>
        <w:b w:val="0"/>
        <w:i w:val="0"/>
        <w:color w:val="FF6600"/>
        <w:sz w:val="24"/>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2">
    <w:nsid w:val="2BAC17D4"/>
    <w:multiLevelType w:val="hybridMultilevel"/>
    <w:tmpl w:val="BDA0285A"/>
    <w:lvl w:ilvl="0" w:tplc="D902DDBC">
      <w:start w:val="1"/>
      <w:numFmt w:val="bullet"/>
      <w:lvlText w:val=""/>
      <w:lvlJc w:val="left"/>
      <w:pPr>
        <w:ind w:left="2160" w:hanging="360"/>
      </w:pPr>
      <w:rPr>
        <w:rFonts w:ascii="Webdings" w:hAnsi="Webdings" w:hint="default"/>
        <w:b w:val="0"/>
        <w:i w:val="0"/>
        <w:color w:val="FF6600"/>
        <w:sz w:val="24"/>
      </w:rPr>
    </w:lvl>
    <w:lvl w:ilvl="1" w:tplc="58D2010E">
      <w:start w:val="1"/>
      <w:numFmt w:val="bullet"/>
      <w:lvlText w:val=""/>
      <w:lvlJc w:val="left"/>
      <w:pPr>
        <w:ind w:left="1890" w:hanging="360"/>
      </w:pPr>
      <w:rPr>
        <w:rFonts w:ascii="Symbol" w:hAnsi="Symbol" w:hint="default"/>
        <w:b w:val="0"/>
        <w:i w:val="0"/>
        <w:color w:val="auto"/>
        <w:sz w:val="18"/>
        <w:szCs w:val="18"/>
      </w:rPr>
    </w:lvl>
    <w:lvl w:ilvl="2" w:tplc="04090005" w:tentative="1">
      <w:start w:val="1"/>
      <w:numFmt w:val="bullet"/>
      <w:lvlText w:val=""/>
      <w:lvlJc w:val="left"/>
      <w:pPr>
        <w:ind w:left="3600" w:hanging="360"/>
      </w:pPr>
      <w:rPr>
        <w:rFonts w:ascii="Wingdings" w:hAnsi="Wingdings" w:hint="default"/>
      </w:rPr>
    </w:lvl>
    <w:lvl w:ilvl="3" w:tplc="04090001" w:tentative="1">
      <w:start w:val="1"/>
      <w:numFmt w:val="bullet"/>
      <w:lvlText w:val=""/>
      <w:lvlJc w:val="left"/>
      <w:pPr>
        <w:ind w:left="4320" w:hanging="360"/>
      </w:pPr>
      <w:rPr>
        <w:rFonts w:ascii="Symbol" w:hAnsi="Symbol" w:hint="default"/>
      </w:rPr>
    </w:lvl>
    <w:lvl w:ilvl="4" w:tplc="04090003" w:tentative="1">
      <w:start w:val="1"/>
      <w:numFmt w:val="bullet"/>
      <w:lvlText w:val="o"/>
      <w:lvlJc w:val="left"/>
      <w:pPr>
        <w:ind w:left="5040" w:hanging="360"/>
      </w:pPr>
      <w:rPr>
        <w:rFonts w:ascii="Courier New" w:hAnsi="Courier New" w:cs="Courier New" w:hint="default"/>
      </w:rPr>
    </w:lvl>
    <w:lvl w:ilvl="5" w:tplc="04090005" w:tentative="1">
      <w:start w:val="1"/>
      <w:numFmt w:val="bullet"/>
      <w:lvlText w:val=""/>
      <w:lvlJc w:val="left"/>
      <w:pPr>
        <w:ind w:left="5760" w:hanging="360"/>
      </w:pPr>
      <w:rPr>
        <w:rFonts w:ascii="Wingdings" w:hAnsi="Wingdings" w:hint="default"/>
      </w:rPr>
    </w:lvl>
    <w:lvl w:ilvl="6" w:tplc="04090001" w:tentative="1">
      <w:start w:val="1"/>
      <w:numFmt w:val="bullet"/>
      <w:lvlText w:val=""/>
      <w:lvlJc w:val="left"/>
      <w:pPr>
        <w:ind w:left="6480" w:hanging="360"/>
      </w:pPr>
      <w:rPr>
        <w:rFonts w:ascii="Symbol" w:hAnsi="Symbol" w:hint="default"/>
      </w:rPr>
    </w:lvl>
    <w:lvl w:ilvl="7" w:tplc="04090003" w:tentative="1">
      <w:start w:val="1"/>
      <w:numFmt w:val="bullet"/>
      <w:lvlText w:val="o"/>
      <w:lvlJc w:val="left"/>
      <w:pPr>
        <w:ind w:left="7200" w:hanging="360"/>
      </w:pPr>
      <w:rPr>
        <w:rFonts w:ascii="Courier New" w:hAnsi="Courier New" w:cs="Courier New" w:hint="default"/>
      </w:rPr>
    </w:lvl>
    <w:lvl w:ilvl="8" w:tplc="04090005" w:tentative="1">
      <w:start w:val="1"/>
      <w:numFmt w:val="bullet"/>
      <w:lvlText w:val=""/>
      <w:lvlJc w:val="left"/>
      <w:pPr>
        <w:ind w:left="7920" w:hanging="360"/>
      </w:pPr>
      <w:rPr>
        <w:rFonts w:ascii="Wingdings" w:hAnsi="Wingdings" w:hint="default"/>
      </w:rPr>
    </w:lvl>
  </w:abstractNum>
  <w:abstractNum w:abstractNumId="43">
    <w:nsid w:val="2C0446D3"/>
    <w:multiLevelType w:val="hybridMultilevel"/>
    <w:tmpl w:val="C3425462"/>
    <w:lvl w:ilvl="0" w:tplc="99D4E280">
      <w:start w:val="1"/>
      <w:numFmt w:val="lowerLetter"/>
      <w:lvlText w:val="%1."/>
      <w:lvlJc w:val="left"/>
      <w:pPr>
        <w:ind w:left="720" w:hanging="360"/>
      </w:pPr>
      <w:rPr>
        <w:b/>
      </w:r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44">
    <w:nsid w:val="2D86166F"/>
    <w:multiLevelType w:val="hybridMultilevel"/>
    <w:tmpl w:val="CB7CED1C"/>
    <w:lvl w:ilvl="0" w:tplc="D902DDBC">
      <w:start w:val="1"/>
      <w:numFmt w:val="bullet"/>
      <w:lvlText w:val=""/>
      <w:lvlJc w:val="left"/>
      <w:pPr>
        <w:ind w:left="720" w:hanging="360"/>
      </w:pPr>
      <w:rPr>
        <w:rFonts w:ascii="Webdings" w:hAnsi="Webdings" w:hint="default"/>
        <w:b w:val="0"/>
        <w:i w:val="0"/>
        <w:color w:val="FF6600"/>
        <w:sz w:val="24"/>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nsid w:val="2E3D2824"/>
    <w:multiLevelType w:val="hybridMultilevel"/>
    <w:tmpl w:val="D542D3AC"/>
    <w:lvl w:ilvl="0" w:tplc="D902DDBC">
      <w:start w:val="1"/>
      <w:numFmt w:val="bullet"/>
      <w:lvlText w:val=""/>
      <w:lvlJc w:val="left"/>
      <w:pPr>
        <w:ind w:left="1170" w:hanging="360"/>
      </w:pPr>
      <w:rPr>
        <w:rFonts w:ascii="Webdings" w:hAnsi="Webdings" w:hint="default"/>
        <w:b w:val="0"/>
        <w:i w:val="0"/>
        <w:color w:val="FF6600"/>
        <w:sz w:val="24"/>
      </w:rPr>
    </w:lvl>
    <w:lvl w:ilvl="1" w:tplc="04090003" w:tentative="1">
      <w:start w:val="1"/>
      <w:numFmt w:val="bullet"/>
      <w:lvlText w:val="o"/>
      <w:lvlJc w:val="left"/>
      <w:pPr>
        <w:ind w:left="1890" w:hanging="360"/>
      </w:pPr>
      <w:rPr>
        <w:rFonts w:ascii="Courier New" w:hAnsi="Courier New" w:cs="Courier New" w:hint="default"/>
      </w:rPr>
    </w:lvl>
    <w:lvl w:ilvl="2" w:tplc="04090005" w:tentative="1">
      <w:start w:val="1"/>
      <w:numFmt w:val="bullet"/>
      <w:lvlText w:val=""/>
      <w:lvlJc w:val="left"/>
      <w:pPr>
        <w:ind w:left="2610" w:hanging="360"/>
      </w:pPr>
      <w:rPr>
        <w:rFonts w:ascii="Wingdings" w:hAnsi="Wingdings" w:hint="default"/>
      </w:rPr>
    </w:lvl>
    <w:lvl w:ilvl="3" w:tplc="04090001" w:tentative="1">
      <w:start w:val="1"/>
      <w:numFmt w:val="bullet"/>
      <w:lvlText w:val=""/>
      <w:lvlJc w:val="left"/>
      <w:pPr>
        <w:ind w:left="3330" w:hanging="360"/>
      </w:pPr>
      <w:rPr>
        <w:rFonts w:ascii="Symbol" w:hAnsi="Symbol" w:hint="default"/>
      </w:rPr>
    </w:lvl>
    <w:lvl w:ilvl="4" w:tplc="04090003" w:tentative="1">
      <w:start w:val="1"/>
      <w:numFmt w:val="bullet"/>
      <w:lvlText w:val="o"/>
      <w:lvlJc w:val="left"/>
      <w:pPr>
        <w:ind w:left="4050" w:hanging="360"/>
      </w:pPr>
      <w:rPr>
        <w:rFonts w:ascii="Courier New" w:hAnsi="Courier New" w:cs="Courier New" w:hint="default"/>
      </w:rPr>
    </w:lvl>
    <w:lvl w:ilvl="5" w:tplc="04090005" w:tentative="1">
      <w:start w:val="1"/>
      <w:numFmt w:val="bullet"/>
      <w:lvlText w:val=""/>
      <w:lvlJc w:val="left"/>
      <w:pPr>
        <w:ind w:left="4770" w:hanging="360"/>
      </w:pPr>
      <w:rPr>
        <w:rFonts w:ascii="Wingdings" w:hAnsi="Wingdings" w:hint="default"/>
      </w:rPr>
    </w:lvl>
    <w:lvl w:ilvl="6" w:tplc="04090001" w:tentative="1">
      <w:start w:val="1"/>
      <w:numFmt w:val="bullet"/>
      <w:lvlText w:val=""/>
      <w:lvlJc w:val="left"/>
      <w:pPr>
        <w:ind w:left="5490" w:hanging="360"/>
      </w:pPr>
      <w:rPr>
        <w:rFonts w:ascii="Symbol" w:hAnsi="Symbol" w:hint="default"/>
      </w:rPr>
    </w:lvl>
    <w:lvl w:ilvl="7" w:tplc="04090003" w:tentative="1">
      <w:start w:val="1"/>
      <w:numFmt w:val="bullet"/>
      <w:lvlText w:val="o"/>
      <w:lvlJc w:val="left"/>
      <w:pPr>
        <w:ind w:left="6210" w:hanging="360"/>
      </w:pPr>
      <w:rPr>
        <w:rFonts w:ascii="Courier New" w:hAnsi="Courier New" w:cs="Courier New" w:hint="default"/>
      </w:rPr>
    </w:lvl>
    <w:lvl w:ilvl="8" w:tplc="04090005" w:tentative="1">
      <w:start w:val="1"/>
      <w:numFmt w:val="bullet"/>
      <w:lvlText w:val=""/>
      <w:lvlJc w:val="left"/>
      <w:pPr>
        <w:ind w:left="6930" w:hanging="360"/>
      </w:pPr>
      <w:rPr>
        <w:rFonts w:ascii="Wingdings" w:hAnsi="Wingdings" w:hint="default"/>
      </w:rPr>
    </w:lvl>
  </w:abstractNum>
  <w:abstractNum w:abstractNumId="46">
    <w:nsid w:val="2FCA10A4"/>
    <w:multiLevelType w:val="hybridMultilevel"/>
    <w:tmpl w:val="A9BE9272"/>
    <w:lvl w:ilvl="0" w:tplc="8E22554A">
      <w:start w:val="1"/>
      <w:numFmt w:val="bullet"/>
      <w:lvlText w:val=""/>
      <w:lvlJc w:val="left"/>
      <w:pPr>
        <w:ind w:left="1440" w:hanging="360"/>
      </w:pPr>
      <w:rPr>
        <w:rFonts w:ascii="Webdings" w:hAnsi="Webdings" w:hint="default"/>
        <w:b w:val="0"/>
        <w:i w:val="0"/>
        <w:color w:val="FF6600"/>
        <w:sz w:val="22"/>
        <w:szCs w:val="22"/>
      </w:rPr>
    </w:lvl>
    <w:lvl w:ilvl="1" w:tplc="04090017">
      <w:start w:val="1"/>
      <w:numFmt w:val="lowerLetter"/>
      <w:lvlText w:val="%2)"/>
      <w:lvlJc w:val="left"/>
      <w:pPr>
        <w:ind w:left="1440" w:hanging="360"/>
      </w:pPr>
      <w:rPr>
        <w:rFonts w:hint="default"/>
      </w:rPr>
    </w:lvl>
    <w:lvl w:ilvl="2" w:tplc="D902DDBC">
      <w:start w:val="1"/>
      <w:numFmt w:val="bullet"/>
      <w:lvlText w:val=""/>
      <w:lvlJc w:val="left"/>
      <w:pPr>
        <w:ind w:left="2160" w:hanging="180"/>
      </w:pPr>
      <w:rPr>
        <w:rFonts w:ascii="Webdings" w:hAnsi="Webdings" w:hint="default"/>
        <w:b w:val="0"/>
        <w:i w:val="0"/>
        <w:color w:val="FF6600"/>
        <w:sz w:val="24"/>
      </w:rPr>
    </w:lvl>
    <w:lvl w:ilvl="3" w:tplc="0409000F">
      <w:start w:val="1"/>
      <w:numFmt w:val="decimal"/>
      <w:lvlText w:val="%4."/>
      <w:lvlJc w:val="left"/>
      <w:pPr>
        <w:ind w:left="2880" w:hanging="360"/>
      </w:pPr>
    </w:lvl>
    <w:lvl w:ilvl="4" w:tplc="04090003">
      <w:start w:val="1"/>
      <w:numFmt w:val="bullet"/>
      <w:lvlText w:val="o"/>
      <w:lvlJc w:val="left"/>
      <w:pPr>
        <w:ind w:left="3600" w:hanging="360"/>
      </w:pPr>
      <w:rPr>
        <w:rFonts w:ascii="Courier New" w:hAnsi="Courier New" w:cs="Courier New" w:hint="default"/>
      </w:r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7">
    <w:nsid w:val="301264BE"/>
    <w:multiLevelType w:val="hybridMultilevel"/>
    <w:tmpl w:val="53648A18"/>
    <w:lvl w:ilvl="0" w:tplc="EC8EAD0E">
      <w:start w:val="1"/>
      <w:numFmt w:val="bullet"/>
      <w:lvlText w:val=""/>
      <w:lvlJc w:val="left"/>
      <w:pPr>
        <w:ind w:left="1440" w:hanging="360"/>
      </w:pPr>
      <w:rPr>
        <w:rFonts w:ascii="Webdings" w:hAnsi="Webdings" w:hint="default"/>
        <w:b w:val="0"/>
        <w:i w:val="0"/>
        <w:color w:val="FF6600"/>
        <w:sz w:val="24"/>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D902DDBC">
      <w:start w:val="1"/>
      <w:numFmt w:val="bullet"/>
      <w:lvlText w:val=""/>
      <w:lvlJc w:val="left"/>
      <w:pPr>
        <w:ind w:left="3600" w:hanging="360"/>
      </w:pPr>
      <w:rPr>
        <w:rFonts w:ascii="Webdings" w:hAnsi="Webdings" w:hint="default"/>
        <w:b w:val="0"/>
        <w:i w:val="0"/>
        <w:color w:val="FF6600"/>
        <w:sz w:val="24"/>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8">
    <w:nsid w:val="30E74D6D"/>
    <w:multiLevelType w:val="hybridMultilevel"/>
    <w:tmpl w:val="120EE1C2"/>
    <w:lvl w:ilvl="0" w:tplc="D902DDBC">
      <w:start w:val="1"/>
      <w:numFmt w:val="bullet"/>
      <w:lvlText w:val=""/>
      <w:lvlJc w:val="left"/>
      <w:pPr>
        <w:ind w:left="720" w:hanging="360"/>
      </w:pPr>
      <w:rPr>
        <w:rFonts w:ascii="Webdings" w:hAnsi="Webdings" w:hint="default"/>
        <w:b w:val="0"/>
        <w:i w:val="0"/>
        <w:color w:val="FF6600"/>
        <w:sz w:val="24"/>
        <w:szCs w:val="18"/>
      </w:rPr>
    </w:lvl>
    <w:lvl w:ilvl="1" w:tplc="D902DDBC">
      <w:start w:val="1"/>
      <w:numFmt w:val="bullet"/>
      <w:lvlText w:val=""/>
      <w:lvlJc w:val="left"/>
      <w:pPr>
        <w:ind w:left="1440" w:hanging="360"/>
      </w:pPr>
      <w:rPr>
        <w:rFonts w:ascii="Webdings" w:hAnsi="Webdings" w:hint="default"/>
        <w:b w:val="0"/>
        <w:i w:val="0"/>
        <w:color w:val="FF6600"/>
        <w:sz w:val="24"/>
      </w:rPr>
    </w:lvl>
    <w:lvl w:ilvl="2" w:tplc="0A5CAFB0">
      <w:start w:val="1"/>
      <w:numFmt w:val="bullet"/>
      <w:lvlText w:val=""/>
      <w:lvlJc w:val="left"/>
      <w:pPr>
        <w:ind w:left="2160" w:hanging="360"/>
      </w:pPr>
      <w:rPr>
        <w:rFonts w:ascii="Webdings" w:hAnsi="Webdings" w:hint="default"/>
        <w:b w:val="0"/>
        <w:i w:val="0"/>
        <w:color w:val="auto"/>
        <w:sz w:val="18"/>
        <w:szCs w:val="18"/>
      </w:rPr>
    </w:lvl>
    <w:lvl w:ilvl="3" w:tplc="D902DDBC">
      <w:start w:val="1"/>
      <w:numFmt w:val="bullet"/>
      <w:lvlText w:val=""/>
      <w:lvlJc w:val="left"/>
      <w:pPr>
        <w:ind w:left="2880" w:hanging="360"/>
      </w:pPr>
      <w:rPr>
        <w:rFonts w:ascii="Webdings" w:hAnsi="Webdings" w:hint="default"/>
        <w:b w:val="0"/>
        <w:i w:val="0"/>
        <w:color w:val="FF6600"/>
        <w:sz w:val="24"/>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9">
    <w:nsid w:val="32AB128E"/>
    <w:multiLevelType w:val="hybridMultilevel"/>
    <w:tmpl w:val="E73463BC"/>
    <w:lvl w:ilvl="0" w:tplc="9FECC202">
      <w:start w:val="1"/>
      <w:numFmt w:val="lowerLetter"/>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0">
    <w:nsid w:val="337F56D0"/>
    <w:multiLevelType w:val="hybridMultilevel"/>
    <w:tmpl w:val="5316FA16"/>
    <w:lvl w:ilvl="0" w:tplc="D902DDBC">
      <w:start w:val="1"/>
      <w:numFmt w:val="bullet"/>
      <w:lvlText w:val=""/>
      <w:lvlJc w:val="left"/>
      <w:pPr>
        <w:ind w:left="1440" w:hanging="360"/>
      </w:pPr>
      <w:rPr>
        <w:rFonts w:ascii="Webdings" w:hAnsi="Webdings" w:hint="default"/>
        <w:b w:val="0"/>
        <w:i w:val="0"/>
        <w:color w:val="FF6600"/>
        <w:sz w:val="24"/>
      </w:rPr>
    </w:lvl>
    <w:lvl w:ilvl="1" w:tplc="04090011">
      <w:start w:val="1"/>
      <w:numFmt w:val="decimal"/>
      <w:lvlText w:val="%2)"/>
      <w:lvlJc w:val="left"/>
      <w:pPr>
        <w:ind w:left="2160" w:hanging="360"/>
      </w:pPr>
      <w:rPr>
        <w:rFonts w:hint="default"/>
      </w:rPr>
    </w:lvl>
    <w:lvl w:ilvl="2" w:tplc="0409001B">
      <w:start w:val="1"/>
      <w:numFmt w:val="lowerRoman"/>
      <w:lvlText w:val="%3."/>
      <w:lvlJc w:val="right"/>
      <w:pPr>
        <w:ind w:left="3060" w:hanging="180"/>
      </w:pPr>
      <w:rPr>
        <w:rFonts w:hint="default"/>
      </w:r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51">
    <w:nsid w:val="34335258"/>
    <w:multiLevelType w:val="hybridMultilevel"/>
    <w:tmpl w:val="B75A781E"/>
    <w:lvl w:ilvl="0" w:tplc="49CEB1AC">
      <w:start w:val="1"/>
      <w:numFmt w:val="bullet"/>
      <w:lvlText w:val=""/>
      <w:lvlJc w:val="left"/>
      <w:pPr>
        <w:ind w:left="720" w:hanging="360"/>
      </w:pPr>
      <w:rPr>
        <w:rFonts w:ascii="Webdings" w:hAnsi="Webdings" w:hint="default"/>
        <w:b w:val="0"/>
        <w:i w:val="0"/>
        <w:color w:val="FF6600"/>
        <w:sz w:val="24"/>
      </w:rPr>
    </w:lvl>
    <w:lvl w:ilvl="1" w:tplc="B1AEDF88">
      <w:start w:val="1"/>
      <w:numFmt w:val="bullet"/>
      <w:lvlText w:val=""/>
      <w:lvlJc w:val="left"/>
      <w:pPr>
        <w:ind w:left="1440" w:hanging="360"/>
      </w:pPr>
      <w:rPr>
        <w:rFonts w:ascii="Symbol" w:hAnsi="Symbol" w:hint="default"/>
        <w:b w:val="0"/>
        <w:i w:val="0"/>
        <w:color w:val="auto"/>
        <w:sz w:val="18"/>
        <w:szCs w:val="18"/>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2">
    <w:nsid w:val="34F431EF"/>
    <w:multiLevelType w:val="hybridMultilevel"/>
    <w:tmpl w:val="C9D2F146"/>
    <w:lvl w:ilvl="0" w:tplc="D902DDBC">
      <w:start w:val="1"/>
      <w:numFmt w:val="bullet"/>
      <w:lvlText w:val=""/>
      <w:lvlJc w:val="left"/>
      <w:pPr>
        <w:ind w:left="720" w:hanging="360"/>
      </w:pPr>
      <w:rPr>
        <w:rFonts w:ascii="Webdings" w:hAnsi="Webdings" w:hint="default"/>
        <w:b w:val="0"/>
        <w:i w:val="0"/>
        <w:color w:val="FF6600"/>
        <w:sz w:val="24"/>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D902DDBC">
      <w:start w:val="1"/>
      <w:numFmt w:val="bullet"/>
      <w:lvlText w:val=""/>
      <w:lvlJc w:val="left"/>
      <w:pPr>
        <w:ind w:left="2880" w:hanging="360"/>
      </w:pPr>
      <w:rPr>
        <w:rFonts w:ascii="Webdings" w:hAnsi="Webdings" w:hint="default"/>
        <w:b w:val="0"/>
        <w:i w:val="0"/>
        <w:color w:val="FF6600"/>
        <w:sz w:val="24"/>
      </w:r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3">
    <w:nsid w:val="35ED0E22"/>
    <w:multiLevelType w:val="hybridMultilevel"/>
    <w:tmpl w:val="B886947E"/>
    <w:lvl w:ilvl="0" w:tplc="D902DDBC">
      <w:start w:val="1"/>
      <w:numFmt w:val="bullet"/>
      <w:lvlText w:val=""/>
      <w:lvlJc w:val="left"/>
      <w:pPr>
        <w:ind w:left="720" w:hanging="360"/>
      </w:pPr>
      <w:rPr>
        <w:rFonts w:ascii="Webdings" w:hAnsi="Webdings" w:hint="default"/>
        <w:b w:val="0"/>
        <w:i w:val="0"/>
        <w:color w:val="FF6600"/>
        <w:sz w:val="24"/>
      </w:rPr>
    </w:lvl>
    <w:lvl w:ilvl="1" w:tplc="04090003" w:tentative="1">
      <w:start w:val="1"/>
      <w:numFmt w:val="bullet"/>
      <w:lvlText w:val="o"/>
      <w:lvlJc w:val="left"/>
      <w:pPr>
        <w:ind w:left="1440" w:hanging="360"/>
      </w:pPr>
      <w:rPr>
        <w:rFonts w:ascii="Courier New" w:hAnsi="Courier New" w:cs="Wingdings"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Wingdings"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Wingdings" w:hint="default"/>
      </w:rPr>
    </w:lvl>
    <w:lvl w:ilvl="8" w:tplc="04090005" w:tentative="1">
      <w:start w:val="1"/>
      <w:numFmt w:val="bullet"/>
      <w:lvlText w:val=""/>
      <w:lvlJc w:val="left"/>
      <w:pPr>
        <w:ind w:left="6480" w:hanging="360"/>
      </w:pPr>
      <w:rPr>
        <w:rFonts w:ascii="Wingdings" w:hAnsi="Wingdings" w:hint="default"/>
      </w:rPr>
    </w:lvl>
  </w:abstractNum>
  <w:abstractNum w:abstractNumId="54">
    <w:nsid w:val="36C55435"/>
    <w:multiLevelType w:val="hybridMultilevel"/>
    <w:tmpl w:val="84D2CB3A"/>
    <w:lvl w:ilvl="0" w:tplc="D902DDBC">
      <w:start w:val="1"/>
      <w:numFmt w:val="bullet"/>
      <w:lvlText w:val=""/>
      <w:lvlJc w:val="left"/>
      <w:pPr>
        <w:ind w:left="1620" w:hanging="360"/>
      </w:pPr>
      <w:rPr>
        <w:rFonts w:ascii="Webdings" w:hAnsi="Webdings" w:hint="default"/>
        <w:b w:val="0"/>
        <w:i w:val="0"/>
        <w:color w:val="FF6600"/>
        <w:sz w:val="24"/>
      </w:rPr>
    </w:lvl>
    <w:lvl w:ilvl="1" w:tplc="04090003" w:tentative="1">
      <w:start w:val="1"/>
      <w:numFmt w:val="bullet"/>
      <w:lvlText w:val="o"/>
      <w:lvlJc w:val="left"/>
      <w:pPr>
        <w:ind w:left="2340" w:hanging="360"/>
      </w:pPr>
      <w:rPr>
        <w:rFonts w:ascii="Courier New" w:hAnsi="Courier New" w:cs="Courier New" w:hint="default"/>
      </w:rPr>
    </w:lvl>
    <w:lvl w:ilvl="2" w:tplc="04090005">
      <w:start w:val="1"/>
      <w:numFmt w:val="bullet"/>
      <w:lvlText w:val=""/>
      <w:lvlJc w:val="left"/>
      <w:pPr>
        <w:ind w:left="3060" w:hanging="360"/>
      </w:pPr>
      <w:rPr>
        <w:rFonts w:ascii="Wingdings" w:hAnsi="Wingdings" w:hint="default"/>
      </w:rPr>
    </w:lvl>
    <w:lvl w:ilvl="3" w:tplc="04090001" w:tentative="1">
      <w:start w:val="1"/>
      <w:numFmt w:val="bullet"/>
      <w:lvlText w:val=""/>
      <w:lvlJc w:val="left"/>
      <w:pPr>
        <w:ind w:left="3780" w:hanging="360"/>
      </w:pPr>
      <w:rPr>
        <w:rFonts w:ascii="Symbol" w:hAnsi="Symbol" w:hint="default"/>
      </w:rPr>
    </w:lvl>
    <w:lvl w:ilvl="4" w:tplc="04090003" w:tentative="1">
      <w:start w:val="1"/>
      <w:numFmt w:val="bullet"/>
      <w:lvlText w:val="o"/>
      <w:lvlJc w:val="left"/>
      <w:pPr>
        <w:ind w:left="4500" w:hanging="360"/>
      </w:pPr>
      <w:rPr>
        <w:rFonts w:ascii="Courier New" w:hAnsi="Courier New" w:cs="Courier New" w:hint="default"/>
      </w:rPr>
    </w:lvl>
    <w:lvl w:ilvl="5" w:tplc="04090005" w:tentative="1">
      <w:start w:val="1"/>
      <w:numFmt w:val="bullet"/>
      <w:lvlText w:val=""/>
      <w:lvlJc w:val="left"/>
      <w:pPr>
        <w:ind w:left="5220" w:hanging="360"/>
      </w:pPr>
      <w:rPr>
        <w:rFonts w:ascii="Wingdings" w:hAnsi="Wingdings" w:hint="default"/>
      </w:rPr>
    </w:lvl>
    <w:lvl w:ilvl="6" w:tplc="04090001" w:tentative="1">
      <w:start w:val="1"/>
      <w:numFmt w:val="bullet"/>
      <w:lvlText w:val=""/>
      <w:lvlJc w:val="left"/>
      <w:pPr>
        <w:ind w:left="5940" w:hanging="360"/>
      </w:pPr>
      <w:rPr>
        <w:rFonts w:ascii="Symbol" w:hAnsi="Symbol" w:hint="default"/>
      </w:rPr>
    </w:lvl>
    <w:lvl w:ilvl="7" w:tplc="04090003" w:tentative="1">
      <w:start w:val="1"/>
      <w:numFmt w:val="bullet"/>
      <w:lvlText w:val="o"/>
      <w:lvlJc w:val="left"/>
      <w:pPr>
        <w:ind w:left="6660" w:hanging="360"/>
      </w:pPr>
      <w:rPr>
        <w:rFonts w:ascii="Courier New" w:hAnsi="Courier New" w:cs="Courier New" w:hint="default"/>
      </w:rPr>
    </w:lvl>
    <w:lvl w:ilvl="8" w:tplc="04090005" w:tentative="1">
      <w:start w:val="1"/>
      <w:numFmt w:val="bullet"/>
      <w:lvlText w:val=""/>
      <w:lvlJc w:val="left"/>
      <w:pPr>
        <w:ind w:left="7380" w:hanging="360"/>
      </w:pPr>
      <w:rPr>
        <w:rFonts w:ascii="Wingdings" w:hAnsi="Wingdings" w:hint="default"/>
      </w:rPr>
    </w:lvl>
  </w:abstractNum>
  <w:abstractNum w:abstractNumId="55">
    <w:nsid w:val="37335173"/>
    <w:multiLevelType w:val="hybridMultilevel"/>
    <w:tmpl w:val="DD56ADBC"/>
    <w:lvl w:ilvl="0" w:tplc="D902DDBC">
      <w:start w:val="1"/>
      <w:numFmt w:val="bullet"/>
      <w:lvlText w:val=""/>
      <w:lvlJc w:val="left"/>
      <w:pPr>
        <w:ind w:left="1620" w:hanging="360"/>
      </w:pPr>
      <w:rPr>
        <w:rFonts w:ascii="Webdings" w:hAnsi="Webdings" w:hint="default"/>
        <w:b w:val="0"/>
        <w:i w:val="0"/>
        <w:color w:val="FF6600"/>
        <w:sz w:val="24"/>
      </w:rPr>
    </w:lvl>
    <w:lvl w:ilvl="1" w:tplc="04090003" w:tentative="1">
      <w:start w:val="1"/>
      <w:numFmt w:val="bullet"/>
      <w:lvlText w:val="o"/>
      <w:lvlJc w:val="left"/>
      <w:pPr>
        <w:ind w:left="2340" w:hanging="360"/>
      </w:pPr>
      <w:rPr>
        <w:rFonts w:ascii="Courier New" w:hAnsi="Courier New" w:cs="Courier New" w:hint="default"/>
      </w:rPr>
    </w:lvl>
    <w:lvl w:ilvl="2" w:tplc="04090005" w:tentative="1">
      <w:start w:val="1"/>
      <w:numFmt w:val="bullet"/>
      <w:lvlText w:val=""/>
      <w:lvlJc w:val="left"/>
      <w:pPr>
        <w:ind w:left="3060" w:hanging="360"/>
      </w:pPr>
      <w:rPr>
        <w:rFonts w:ascii="Wingdings" w:hAnsi="Wingdings" w:hint="default"/>
      </w:rPr>
    </w:lvl>
    <w:lvl w:ilvl="3" w:tplc="04090001" w:tentative="1">
      <w:start w:val="1"/>
      <w:numFmt w:val="bullet"/>
      <w:lvlText w:val=""/>
      <w:lvlJc w:val="left"/>
      <w:pPr>
        <w:ind w:left="3780" w:hanging="360"/>
      </w:pPr>
      <w:rPr>
        <w:rFonts w:ascii="Symbol" w:hAnsi="Symbol" w:hint="default"/>
      </w:rPr>
    </w:lvl>
    <w:lvl w:ilvl="4" w:tplc="04090003" w:tentative="1">
      <w:start w:val="1"/>
      <w:numFmt w:val="bullet"/>
      <w:lvlText w:val="o"/>
      <w:lvlJc w:val="left"/>
      <w:pPr>
        <w:ind w:left="4500" w:hanging="360"/>
      </w:pPr>
      <w:rPr>
        <w:rFonts w:ascii="Courier New" w:hAnsi="Courier New" w:cs="Courier New" w:hint="default"/>
      </w:rPr>
    </w:lvl>
    <w:lvl w:ilvl="5" w:tplc="04090005" w:tentative="1">
      <w:start w:val="1"/>
      <w:numFmt w:val="bullet"/>
      <w:lvlText w:val=""/>
      <w:lvlJc w:val="left"/>
      <w:pPr>
        <w:ind w:left="5220" w:hanging="360"/>
      </w:pPr>
      <w:rPr>
        <w:rFonts w:ascii="Wingdings" w:hAnsi="Wingdings" w:hint="default"/>
      </w:rPr>
    </w:lvl>
    <w:lvl w:ilvl="6" w:tplc="04090001" w:tentative="1">
      <w:start w:val="1"/>
      <w:numFmt w:val="bullet"/>
      <w:lvlText w:val=""/>
      <w:lvlJc w:val="left"/>
      <w:pPr>
        <w:ind w:left="5940" w:hanging="360"/>
      </w:pPr>
      <w:rPr>
        <w:rFonts w:ascii="Symbol" w:hAnsi="Symbol" w:hint="default"/>
      </w:rPr>
    </w:lvl>
    <w:lvl w:ilvl="7" w:tplc="04090003" w:tentative="1">
      <w:start w:val="1"/>
      <w:numFmt w:val="bullet"/>
      <w:lvlText w:val="o"/>
      <w:lvlJc w:val="left"/>
      <w:pPr>
        <w:ind w:left="6660" w:hanging="360"/>
      </w:pPr>
      <w:rPr>
        <w:rFonts w:ascii="Courier New" w:hAnsi="Courier New" w:cs="Courier New" w:hint="default"/>
      </w:rPr>
    </w:lvl>
    <w:lvl w:ilvl="8" w:tplc="04090005" w:tentative="1">
      <w:start w:val="1"/>
      <w:numFmt w:val="bullet"/>
      <w:lvlText w:val=""/>
      <w:lvlJc w:val="left"/>
      <w:pPr>
        <w:ind w:left="7380" w:hanging="360"/>
      </w:pPr>
      <w:rPr>
        <w:rFonts w:ascii="Wingdings" w:hAnsi="Wingdings" w:hint="default"/>
      </w:rPr>
    </w:lvl>
  </w:abstractNum>
  <w:abstractNum w:abstractNumId="56">
    <w:nsid w:val="37A85924"/>
    <w:multiLevelType w:val="hybridMultilevel"/>
    <w:tmpl w:val="22B4A304"/>
    <w:lvl w:ilvl="0" w:tplc="D902DDBC">
      <w:start w:val="1"/>
      <w:numFmt w:val="bullet"/>
      <w:lvlText w:val=""/>
      <w:lvlJc w:val="left"/>
      <w:pPr>
        <w:ind w:left="720" w:hanging="360"/>
      </w:pPr>
      <w:rPr>
        <w:rFonts w:ascii="Webdings" w:hAnsi="Webdings" w:hint="default"/>
        <w:b w:val="0"/>
        <w:i w:val="0"/>
        <w:color w:val="FF6600"/>
        <w:sz w:val="24"/>
      </w:rPr>
    </w:lvl>
    <w:lvl w:ilvl="1" w:tplc="D902DDBC">
      <w:start w:val="1"/>
      <w:numFmt w:val="bullet"/>
      <w:lvlText w:val=""/>
      <w:lvlJc w:val="left"/>
      <w:pPr>
        <w:ind w:left="1440" w:hanging="360"/>
      </w:pPr>
      <w:rPr>
        <w:rFonts w:ascii="Webdings" w:hAnsi="Webdings" w:hint="default"/>
        <w:b w:val="0"/>
        <w:i w:val="0"/>
        <w:color w:val="FF6600"/>
        <w:sz w:val="24"/>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7">
    <w:nsid w:val="37D46ECF"/>
    <w:multiLevelType w:val="hybridMultilevel"/>
    <w:tmpl w:val="8C260966"/>
    <w:lvl w:ilvl="0" w:tplc="D902DDBC">
      <w:start w:val="1"/>
      <w:numFmt w:val="bullet"/>
      <w:lvlText w:val=""/>
      <w:lvlJc w:val="left"/>
      <w:pPr>
        <w:ind w:left="720" w:hanging="360"/>
      </w:pPr>
      <w:rPr>
        <w:rFonts w:ascii="Webdings" w:hAnsi="Webdings" w:hint="default"/>
        <w:b w:val="0"/>
        <w:i w:val="0"/>
        <w:color w:val="FF6600"/>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8">
    <w:nsid w:val="38F419FA"/>
    <w:multiLevelType w:val="multilevel"/>
    <w:tmpl w:val="95184C38"/>
    <w:lvl w:ilvl="0">
      <w:start w:val="1"/>
      <w:numFmt w:val="decimal"/>
      <w:lvlText w:val="%1."/>
      <w:lvlJc w:val="left"/>
      <w:pPr>
        <w:ind w:left="720" w:hanging="360"/>
      </w:pPr>
      <w:rPr>
        <w:rFonts w:hint="default"/>
      </w:rPr>
    </w:lvl>
    <w:lvl w:ilvl="1">
      <w:start w:val="1"/>
      <w:numFmt w:val="decimal"/>
      <w:isLgl/>
      <w:lvlText w:val="%1.%2."/>
      <w:lvlJc w:val="left"/>
      <w:pPr>
        <w:ind w:left="1080" w:hanging="360"/>
      </w:pPr>
      <w:rPr>
        <w:rFonts w:hint="default"/>
      </w:rPr>
    </w:lvl>
    <w:lvl w:ilvl="2">
      <w:start w:val="1"/>
      <w:numFmt w:val="decimal"/>
      <w:isLgl/>
      <w:lvlText w:val="%1.%2.%3."/>
      <w:lvlJc w:val="left"/>
      <w:pPr>
        <w:ind w:left="1800" w:hanging="720"/>
      </w:pPr>
      <w:rPr>
        <w:rFonts w:hint="default"/>
      </w:rPr>
    </w:lvl>
    <w:lvl w:ilvl="3">
      <w:start w:val="1"/>
      <w:numFmt w:val="bullet"/>
      <w:lvlText w:val=""/>
      <w:lvlJc w:val="left"/>
      <w:pPr>
        <w:ind w:left="2160" w:hanging="720"/>
      </w:pPr>
      <w:rPr>
        <w:rFonts w:ascii="Webdings" w:hAnsi="Webdings" w:hint="default"/>
        <w:b w:val="0"/>
        <w:i w:val="0"/>
        <w:color w:val="FF6600"/>
        <w:sz w:val="24"/>
      </w:rPr>
    </w:lvl>
    <w:lvl w:ilvl="4">
      <w:start w:val="1"/>
      <w:numFmt w:val="decimal"/>
      <w:isLgl/>
      <w:lvlText w:val="%1.%2.%3.%4.%5."/>
      <w:lvlJc w:val="left"/>
      <w:pPr>
        <w:ind w:left="2880" w:hanging="1080"/>
      </w:pPr>
      <w:rPr>
        <w:rFonts w:hint="default"/>
      </w:rPr>
    </w:lvl>
    <w:lvl w:ilvl="5">
      <w:start w:val="1"/>
      <w:numFmt w:val="decimal"/>
      <w:isLgl/>
      <w:lvlText w:val="%1.%2.%3.%4.%5.%6."/>
      <w:lvlJc w:val="left"/>
      <w:pPr>
        <w:ind w:left="3240" w:hanging="1080"/>
      </w:pPr>
      <w:rPr>
        <w:rFonts w:hint="default"/>
      </w:rPr>
    </w:lvl>
    <w:lvl w:ilvl="6">
      <w:start w:val="1"/>
      <w:numFmt w:val="decimal"/>
      <w:isLgl/>
      <w:lvlText w:val="%1.%2.%3.%4.%5.%6.%7."/>
      <w:lvlJc w:val="left"/>
      <w:pPr>
        <w:ind w:left="3600" w:hanging="1080"/>
      </w:pPr>
      <w:rPr>
        <w:rFonts w:hint="default"/>
      </w:rPr>
    </w:lvl>
    <w:lvl w:ilvl="7">
      <w:start w:val="1"/>
      <w:numFmt w:val="decimal"/>
      <w:isLgl/>
      <w:lvlText w:val="%1.%2.%3.%4.%5.%6.%7.%8."/>
      <w:lvlJc w:val="left"/>
      <w:pPr>
        <w:ind w:left="4320" w:hanging="1440"/>
      </w:pPr>
      <w:rPr>
        <w:rFonts w:hint="default"/>
      </w:rPr>
    </w:lvl>
    <w:lvl w:ilvl="8">
      <w:start w:val="1"/>
      <w:numFmt w:val="decimal"/>
      <w:isLgl/>
      <w:lvlText w:val="%1.%2.%3.%4.%5.%6.%7.%8.%9."/>
      <w:lvlJc w:val="left"/>
      <w:pPr>
        <w:ind w:left="4680" w:hanging="1440"/>
      </w:pPr>
      <w:rPr>
        <w:rFonts w:hint="default"/>
      </w:rPr>
    </w:lvl>
  </w:abstractNum>
  <w:abstractNum w:abstractNumId="59">
    <w:nsid w:val="3A806EA4"/>
    <w:multiLevelType w:val="hybridMultilevel"/>
    <w:tmpl w:val="7BECA1CA"/>
    <w:lvl w:ilvl="0" w:tplc="0152F0C0">
      <w:start w:val="1"/>
      <w:numFmt w:val="bullet"/>
      <w:lvlText w:val=""/>
      <w:lvlJc w:val="left"/>
      <w:pPr>
        <w:ind w:left="720" w:hanging="360"/>
      </w:pPr>
      <w:rPr>
        <w:rFonts w:ascii="Webdings" w:hAnsi="Webdings" w:hint="default"/>
        <w:b w:val="0"/>
        <w:i w:val="0"/>
        <w:color w:val="FF6600"/>
        <w:sz w:val="22"/>
      </w:rPr>
    </w:lvl>
    <w:lvl w:ilvl="1" w:tplc="04090001">
      <w:start w:val="1"/>
      <w:numFmt w:val="bullet"/>
      <w:lvlText w:val=""/>
      <w:lvlJc w:val="left"/>
      <w:pPr>
        <w:ind w:left="1440" w:hanging="360"/>
      </w:pPr>
      <w:rPr>
        <w:rFonts w:ascii="Symbol" w:hAnsi="Symbol" w:hint="default"/>
      </w:rPr>
    </w:lvl>
    <w:lvl w:ilvl="2" w:tplc="3886FCEC">
      <w:start w:val="1"/>
      <w:numFmt w:val="bullet"/>
      <w:lvlText w:val=""/>
      <w:lvlJc w:val="left"/>
      <w:pPr>
        <w:ind w:left="2160" w:hanging="360"/>
      </w:pPr>
      <w:rPr>
        <w:rFonts w:ascii="Webdings" w:hAnsi="Webdings" w:hint="default"/>
        <w:b w:val="0"/>
        <w:i w:val="0"/>
        <w:color w:val="auto"/>
        <w:sz w:val="18"/>
        <w:szCs w:val="18"/>
      </w:rPr>
    </w:lvl>
    <w:lvl w:ilvl="3" w:tplc="D902DDBC">
      <w:start w:val="1"/>
      <w:numFmt w:val="bullet"/>
      <w:lvlText w:val=""/>
      <w:lvlJc w:val="left"/>
      <w:pPr>
        <w:ind w:left="2880" w:hanging="360"/>
      </w:pPr>
      <w:rPr>
        <w:rFonts w:ascii="Webdings" w:hAnsi="Webdings" w:hint="default"/>
        <w:b w:val="0"/>
        <w:i w:val="0"/>
        <w:color w:val="FF6600"/>
        <w:sz w:val="24"/>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0">
    <w:nsid w:val="3C3908C6"/>
    <w:multiLevelType w:val="hybridMultilevel"/>
    <w:tmpl w:val="68C49B16"/>
    <w:lvl w:ilvl="0" w:tplc="D902DDBC">
      <w:start w:val="1"/>
      <w:numFmt w:val="bullet"/>
      <w:lvlText w:val=""/>
      <w:lvlJc w:val="left"/>
      <w:pPr>
        <w:tabs>
          <w:tab w:val="num" w:pos="720"/>
        </w:tabs>
        <w:ind w:left="720" w:hanging="360"/>
      </w:pPr>
      <w:rPr>
        <w:rFonts w:ascii="Webdings" w:hAnsi="Webdings" w:hint="default"/>
        <w:b w:val="0"/>
        <w:i w:val="0"/>
        <w:color w:val="FF6600"/>
        <w:sz w:val="24"/>
      </w:rPr>
    </w:lvl>
    <w:lvl w:ilvl="1" w:tplc="04090003">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61">
    <w:nsid w:val="3DA476BA"/>
    <w:multiLevelType w:val="hybridMultilevel"/>
    <w:tmpl w:val="7CC40FCA"/>
    <w:lvl w:ilvl="0" w:tplc="1C7644F6">
      <w:start w:val="1"/>
      <w:numFmt w:val="bullet"/>
      <w:lvlText w:val=""/>
      <w:lvlJc w:val="left"/>
      <w:pPr>
        <w:ind w:left="720" w:hanging="360"/>
      </w:pPr>
      <w:rPr>
        <w:rFonts w:ascii="Webdings" w:hAnsi="Webdings" w:hint="default"/>
        <w:b w:val="0"/>
        <w:i w:val="0"/>
        <w:color w:val="FF6600"/>
        <w:sz w:val="24"/>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2">
    <w:nsid w:val="3FAD0CE4"/>
    <w:multiLevelType w:val="hybridMultilevel"/>
    <w:tmpl w:val="840EA4DE"/>
    <w:lvl w:ilvl="0" w:tplc="D902DDBC">
      <w:start w:val="1"/>
      <w:numFmt w:val="bullet"/>
      <w:lvlText w:val=""/>
      <w:lvlJc w:val="left"/>
      <w:pPr>
        <w:ind w:left="1800" w:hanging="360"/>
      </w:pPr>
      <w:rPr>
        <w:rFonts w:ascii="Webdings" w:hAnsi="Webdings" w:hint="default"/>
        <w:b w:val="0"/>
        <w:i w:val="0"/>
        <w:color w:val="FF6600"/>
        <w:sz w:val="24"/>
      </w:rPr>
    </w:lvl>
    <w:lvl w:ilvl="1" w:tplc="8C10D200">
      <w:start w:val="1"/>
      <w:numFmt w:val="bullet"/>
      <w:lvlText w:val=""/>
      <w:lvlJc w:val="left"/>
      <w:pPr>
        <w:ind w:left="2520" w:hanging="360"/>
      </w:pPr>
      <w:rPr>
        <w:rFonts w:ascii="Symbol" w:hAnsi="Symbol" w:hint="default"/>
        <w:b w:val="0"/>
        <w:i w:val="0"/>
        <w:color w:val="auto"/>
        <w:sz w:val="18"/>
      </w:rPr>
    </w:lvl>
    <w:lvl w:ilvl="2" w:tplc="04090005" w:tentative="1">
      <w:start w:val="1"/>
      <w:numFmt w:val="bullet"/>
      <w:lvlText w:val=""/>
      <w:lvlJc w:val="left"/>
      <w:pPr>
        <w:ind w:left="3240" w:hanging="360"/>
      </w:pPr>
      <w:rPr>
        <w:rFonts w:ascii="Wingdings" w:hAnsi="Wingdings" w:hint="default"/>
      </w:rPr>
    </w:lvl>
    <w:lvl w:ilvl="3" w:tplc="04090001" w:tentative="1">
      <w:start w:val="1"/>
      <w:numFmt w:val="bullet"/>
      <w:lvlText w:val=""/>
      <w:lvlJc w:val="left"/>
      <w:pPr>
        <w:ind w:left="3960" w:hanging="360"/>
      </w:pPr>
      <w:rPr>
        <w:rFonts w:ascii="Symbol" w:hAnsi="Symbol" w:hint="default"/>
      </w:rPr>
    </w:lvl>
    <w:lvl w:ilvl="4" w:tplc="04090003" w:tentative="1">
      <w:start w:val="1"/>
      <w:numFmt w:val="bullet"/>
      <w:lvlText w:val="o"/>
      <w:lvlJc w:val="left"/>
      <w:pPr>
        <w:ind w:left="4680" w:hanging="360"/>
      </w:pPr>
      <w:rPr>
        <w:rFonts w:ascii="Courier New" w:hAnsi="Courier New" w:cs="Courier New" w:hint="default"/>
      </w:rPr>
    </w:lvl>
    <w:lvl w:ilvl="5" w:tplc="04090005" w:tentative="1">
      <w:start w:val="1"/>
      <w:numFmt w:val="bullet"/>
      <w:lvlText w:val=""/>
      <w:lvlJc w:val="left"/>
      <w:pPr>
        <w:ind w:left="5400" w:hanging="360"/>
      </w:pPr>
      <w:rPr>
        <w:rFonts w:ascii="Wingdings" w:hAnsi="Wingdings" w:hint="default"/>
      </w:rPr>
    </w:lvl>
    <w:lvl w:ilvl="6" w:tplc="04090001" w:tentative="1">
      <w:start w:val="1"/>
      <w:numFmt w:val="bullet"/>
      <w:lvlText w:val=""/>
      <w:lvlJc w:val="left"/>
      <w:pPr>
        <w:ind w:left="6120" w:hanging="360"/>
      </w:pPr>
      <w:rPr>
        <w:rFonts w:ascii="Symbol" w:hAnsi="Symbol" w:hint="default"/>
      </w:rPr>
    </w:lvl>
    <w:lvl w:ilvl="7" w:tplc="04090003" w:tentative="1">
      <w:start w:val="1"/>
      <w:numFmt w:val="bullet"/>
      <w:lvlText w:val="o"/>
      <w:lvlJc w:val="left"/>
      <w:pPr>
        <w:ind w:left="6840" w:hanging="360"/>
      </w:pPr>
      <w:rPr>
        <w:rFonts w:ascii="Courier New" w:hAnsi="Courier New" w:cs="Courier New" w:hint="default"/>
      </w:rPr>
    </w:lvl>
    <w:lvl w:ilvl="8" w:tplc="04090005" w:tentative="1">
      <w:start w:val="1"/>
      <w:numFmt w:val="bullet"/>
      <w:lvlText w:val=""/>
      <w:lvlJc w:val="left"/>
      <w:pPr>
        <w:ind w:left="7560" w:hanging="360"/>
      </w:pPr>
      <w:rPr>
        <w:rFonts w:ascii="Wingdings" w:hAnsi="Wingdings" w:hint="default"/>
      </w:rPr>
    </w:lvl>
  </w:abstractNum>
  <w:abstractNum w:abstractNumId="63">
    <w:nsid w:val="40152C41"/>
    <w:multiLevelType w:val="hybridMultilevel"/>
    <w:tmpl w:val="F914246C"/>
    <w:lvl w:ilvl="0" w:tplc="D902DDBC">
      <w:start w:val="1"/>
      <w:numFmt w:val="bullet"/>
      <w:lvlText w:val=""/>
      <w:lvlJc w:val="left"/>
      <w:pPr>
        <w:ind w:left="1440" w:hanging="360"/>
      </w:pPr>
      <w:rPr>
        <w:rFonts w:ascii="Webdings" w:hAnsi="Webdings" w:hint="default"/>
        <w:b w:val="0"/>
        <w:i w:val="0"/>
        <w:color w:val="FF6600"/>
        <w:sz w:val="24"/>
      </w:rPr>
    </w:lvl>
    <w:lvl w:ilvl="1" w:tplc="04090011">
      <w:start w:val="1"/>
      <w:numFmt w:val="decimal"/>
      <w:lvlText w:val="%2)"/>
      <w:lvlJc w:val="left"/>
      <w:pPr>
        <w:ind w:left="2160" w:hanging="360"/>
      </w:pPr>
      <w:rPr>
        <w:rFonts w:hint="default"/>
      </w:rPr>
    </w:lvl>
    <w:lvl w:ilvl="2" w:tplc="0409001B">
      <w:start w:val="1"/>
      <w:numFmt w:val="lowerRoman"/>
      <w:lvlText w:val="%3."/>
      <w:lvlJc w:val="right"/>
      <w:pPr>
        <w:ind w:left="3060" w:hanging="180"/>
      </w:pPr>
      <w:rPr>
        <w:rFonts w:hint="default"/>
      </w:r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64">
    <w:nsid w:val="40FC36E1"/>
    <w:multiLevelType w:val="hybridMultilevel"/>
    <w:tmpl w:val="1BCEF858"/>
    <w:lvl w:ilvl="0" w:tplc="D902DDBC">
      <w:start w:val="1"/>
      <w:numFmt w:val="bullet"/>
      <w:lvlText w:val=""/>
      <w:lvlJc w:val="left"/>
      <w:pPr>
        <w:ind w:left="1627" w:hanging="360"/>
      </w:pPr>
      <w:rPr>
        <w:rFonts w:ascii="Webdings" w:hAnsi="Webdings" w:hint="default"/>
        <w:b w:val="0"/>
        <w:i w:val="0"/>
        <w:color w:val="FF6600"/>
        <w:sz w:val="24"/>
      </w:rPr>
    </w:lvl>
    <w:lvl w:ilvl="1" w:tplc="D902DDBC">
      <w:start w:val="1"/>
      <w:numFmt w:val="bullet"/>
      <w:lvlText w:val=""/>
      <w:lvlJc w:val="left"/>
      <w:pPr>
        <w:ind w:left="2347" w:hanging="360"/>
      </w:pPr>
      <w:rPr>
        <w:rFonts w:ascii="Webdings" w:hAnsi="Webdings" w:hint="default"/>
        <w:b w:val="0"/>
        <w:i w:val="0"/>
        <w:color w:val="FF6600"/>
        <w:sz w:val="24"/>
      </w:rPr>
    </w:lvl>
    <w:lvl w:ilvl="2" w:tplc="04090005">
      <w:start w:val="1"/>
      <w:numFmt w:val="bullet"/>
      <w:lvlText w:val=""/>
      <w:lvlJc w:val="left"/>
      <w:pPr>
        <w:ind w:left="3067" w:hanging="360"/>
      </w:pPr>
      <w:rPr>
        <w:rFonts w:ascii="Wingdings" w:hAnsi="Wingdings" w:hint="default"/>
      </w:rPr>
    </w:lvl>
    <w:lvl w:ilvl="3" w:tplc="04090001">
      <w:start w:val="1"/>
      <w:numFmt w:val="bullet"/>
      <w:lvlText w:val=""/>
      <w:lvlJc w:val="left"/>
      <w:pPr>
        <w:ind w:left="3787" w:hanging="360"/>
      </w:pPr>
      <w:rPr>
        <w:rFonts w:ascii="Symbol" w:hAnsi="Symbol" w:hint="default"/>
      </w:rPr>
    </w:lvl>
    <w:lvl w:ilvl="4" w:tplc="04090003" w:tentative="1">
      <w:start w:val="1"/>
      <w:numFmt w:val="bullet"/>
      <w:lvlText w:val="o"/>
      <w:lvlJc w:val="left"/>
      <w:pPr>
        <w:ind w:left="4507" w:hanging="360"/>
      </w:pPr>
      <w:rPr>
        <w:rFonts w:ascii="Courier New" w:hAnsi="Courier New" w:cs="Courier New" w:hint="default"/>
      </w:rPr>
    </w:lvl>
    <w:lvl w:ilvl="5" w:tplc="04090005" w:tentative="1">
      <w:start w:val="1"/>
      <w:numFmt w:val="bullet"/>
      <w:lvlText w:val=""/>
      <w:lvlJc w:val="left"/>
      <w:pPr>
        <w:ind w:left="5227" w:hanging="360"/>
      </w:pPr>
      <w:rPr>
        <w:rFonts w:ascii="Wingdings" w:hAnsi="Wingdings" w:hint="default"/>
      </w:rPr>
    </w:lvl>
    <w:lvl w:ilvl="6" w:tplc="04090001" w:tentative="1">
      <w:start w:val="1"/>
      <w:numFmt w:val="bullet"/>
      <w:lvlText w:val=""/>
      <w:lvlJc w:val="left"/>
      <w:pPr>
        <w:ind w:left="5947" w:hanging="360"/>
      </w:pPr>
      <w:rPr>
        <w:rFonts w:ascii="Symbol" w:hAnsi="Symbol" w:hint="default"/>
      </w:rPr>
    </w:lvl>
    <w:lvl w:ilvl="7" w:tplc="04090003" w:tentative="1">
      <w:start w:val="1"/>
      <w:numFmt w:val="bullet"/>
      <w:lvlText w:val="o"/>
      <w:lvlJc w:val="left"/>
      <w:pPr>
        <w:ind w:left="6667" w:hanging="360"/>
      </w:pPr>
      <w:rPr>
        <w:rFonts w:ascii="Courier New" w:hAnsi="Courier New" w:cs="Courier New" w:hint="default"/>
      </w:rPr>
    </w:lvl>
    <w:lvl w:ilvl="8" w:tplc="04090005" w:tentative="1">
      <w:start w:val="1"/>
      <w:numFmt w:val="bullet"/>
      <w:lvlText w:val=""/>
      <w:lvlJc w:val="left"/>
      <w:pPr>
        <w:ind w:left="7387" w:hanging="360"/>
      </w:pPr>
      <w:rPr>
        <w:rFonts w:ascii="Wingdings" w:hAnsi="Wingdings" w:hint="default"/>
      </w:rPr>
    </w:lvl>
  </w:abstractNum>
  <w:abstractNum w:abstractNumId="65">
    <w:nsid w:val="4125733E"/>
    <w:multiLevelType w:val="hybridMultilevel"/>
    <w:tmpl w:val="E92E17B8"/>
    <w:lvl w:ilvl="0" w:tplc="D902DDBC">
      <w:start w:val="1"/>
      <w:numFmt w:val="bullet"/>
      <w:lvlText w:val=""/>
      <w:lvlJc w:val="left"/>
      <w:pPr>
        <w:ind w:left="720" w:hanging="360"/>
      </w:pPr>
      <w:rPr>
        <w:rFonts w:ascii="Webdings" w:hAnsi="Webdings" w:hint="default"/>
        <w:b w:val="0"/>
        <w:i w:val="0"/>
        <w:color w:val="FF6600"/>
        <w:sz w:val="24"/>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6">
    <w:nsid w:val="42A16218"/>
    <w:multiLevelType w:val="hybridMultilevel"/>
    <w:tmpl w:val="42E241C4"/>
    <w:lvl w:ilvl="0" w:tplc="49CEB1AC">
      <w:start w:val="1"/>
      <w:numFmt w:val="bullet"/>
      <w:lvlText w:val=""/>
      <w:lvlJc w:val="left"/>
      <w:pPr>
        <w:ind w:left="720" w:hanging="360"/>
      </w:pPr>
      <w:rPr>
        <w:rFonts w:ascii="Webdings" w:hAnsi="Webdings" w:hint="default"/>
        <w:b w:val="0"/>
        <w:i w:val="0"/>
        <w:color w:val="FF6600"/>
        <w:sz w:val="24"/>
      </w:rPr>
    </w:lvl>
    <w:lvl w:ilvl="1" w:tplc="56BCC4C6">
      <w:start w:val="1"/>
      <w:numFmt w:val="bullet"/>
      <w:lvlText w:val=""/>
      <w:lvlJc w:val="left"/>
      <w:pPr>
        <w:ind w:left="1440" w:hanging="360"/>
      </w:pPr>
      <w:rPr>
        <w:rFonts w:ascii="Symbol" w:hAnsi="Symbol" w:hint="default"/>
        <w:b w:val="0"/>
        <w:i w:val="0"/>
        <w:color w:val="auto"/>
        <w:sz w:val="18"/>
        <w:szCs w:val="18"/>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7">
    <w:nsid w:val="43EA2CBE"/>
    <w:multiLevelType w:val="hybridMultilevel"/>
    <w:tmpl w:val="83062008"/>
    <w:lvl w:ilvl="0" w:tplc="D902DDBC">
      <w:start w:val="1"/>
      <w:numFmt w:val="bullet"/>
      <w:lvlText w:val=""/>
      <w:lvlJc w:val="left"/>
      <w:pPr>
        <w:ind w:left="1627" w:hanging="360"/>
      </w:pPr>
      <w:rPr>
        <w:rFonts w:ascii="Webdings" w:hAnsi="Webdings" w:hint="default"/>
        <w:b w:val="0"/>
        <w:i w:val="0"/>
        <w:color w:val="FF6600"/>
        <w:sz w:val="24"/>
      </w:rPr>
    </w:lvl>
    <w:lvl w:ilvl="1" w:tplc="04090003">
      <w:start w:val="1"/>
      <w:numFmt w:val="bullet"/>
      <w:lvlText w:val="o"/>
      <w:lvlJc w:val="left"/>
      <w:pPr>
        <w:ind w:left="2347" w:hanging="360"/>
      </w:pPr>
      <w:rPr>
        <w:rFonts w:ascii="Courier New" w:hAnsi="Courier New" w:cs="Courier New" w:hint="default"/>
      </w:rPr>
    </w:lvl>
    <w:lvl w:ilvl="2" w:tplc="04090005">
      <w:start w:val="1"/>
      <w:numFmt w:val="bullet"/>
      <w:lvlText w:val=""/>
      <w:lvlJc w:val="left"/>
      <w:pPr>
        <w:ind w:left="3067" w:hanging="360"/>
      </w:pPr>
      <w:rPr>
        <w:rFonts w:ascii="Wingdings" w:hAnsi="Wingdings" w:hint="default"/>
      </w:rPr>
    </w:lvl>
    <w:lvl w:ilvl="3" w:tplc="D902DDBC">
      <w:start w:val="1"/>
      <w:numFmt w:val="bullet"/>
      <w:lvlText w:val=""/>
      <w:lvlJc w:val="left"/>
      <w:pPr>
        <w:ind w:left="3787" w:hanging="360"/>
      </w:pPr>
      <w:rPr>
        <w:rFonts w:ascii="Webdings" w:hAnsi="Webdings" w:hint="default"/>
        <w:b w:val="0"/>
        <w:i w:val="0"/>
        <w:color w:val="FF6600"/>
        <w:sz w:val="24"/>
      </w:rPr>
    </w:lvl>
    <w:lvl w:ilvl="4" w:tplc="04090003" w:tentative="1">
      <w:start w:val="1"/>
      <w:numFmt w:val="bullet"/>
      <w:lvlText w:val="o"/>
      <w:lvlJc w:val="left"/>
      <w:pPr>
        <w:ind w:left="4507" w:hanging="360"/>
      </w:pPr>
      <w:rPr>
        <w:rFonts w:ascii="Courier New" w:hAnsi="Courier New" w:cs="Courier New" w:hint="default"/>
      </w:rPr>
    </w:lvl>
    <w:lvl w:ilvl="5" w:tplc="04090005" w:tentative="1">
      <w:start w:val="1"/>
      <w:numFmt w:val="bullet"/>
      <w:lvlText w:val=""/>
      <w:lvlJc w:val="left"/>
      <w:pPr>
        <w:ind w:left="5227" w:hanging="360"/>
      </w:pPr>
      <w:rPr>
        <w:rFonts w:ascii="Wingdings" w:hAnsi="Wingdings" w:hint="default"/>
      </w:rPr>
    </w:lvl>
    <w:lvl w:ilvl="6" w:tplc="04090001" w:tentative="1">
      <w:start w:val="1"/>
      <w:numFmt w:val="bullet"/>
      <w:lvlText w:val=""/>
      <w:lvlJc w:val="left"/>
      <w:pPr>
        <w:ind w:left="5947" w:hanging="360"/>
      </w:pPr>
      <w:rPr>
        <w:rFonts w:ascii="Symbol" w:hAnsi="Symbol" w:hint="default"/>
      </w:rPr>
    </w:lvl>
    <w:lvl w:ilvl="7" w:tplc="04090003" w:tentative="1">
      <w:start w:val="1"/>
      <w:numFmt w:val="bullet"/>
      <w:lvlText w:val="o"/>
      <w:lvlJc w:val="left"/>
      <w:pPr>
        <w:ind w:left="6667" w:hanging="360"/>
      </w:pPr>
      <w:rPr>
        <w:rFonts w:ascii="Courier New" w:hAnsi="Courier New" w:cs="Courier New" w:hint="default"/>
      </w:rPr>
    </w:lvl>
    <w:lvl w:ilvl="8" w:tplc="04090005" w:tentative="1">
      <w:start w:val="1"/>
      <w:numFmt w:val="bullet"/>
      <w:lvlText w:val=""/>
      <w:lvlJc w:val="left"/>
      <w:pPr>
        <w:ind w:left="7387" w:hanging="360"/>
      </w:pPr>
      <w:rPr>
        <w:rFonts w:ascii="Wingdings" w:hAnsi="Wingdings" w:hint="default"/>
      </w:rPr>
    </w:lvl>
  </w:abstractNum>
  <w:abstractNum w:abstractNumId="68">
    <w:nsid w:val="46EF72CA"/>
    <w:multiLevelType w:val="hybridMultilevel"/>
    <w:tmpl w:val="FDC620F8"/>
    <w:lvl w:ilvl="0" w:tplc="2FBA6986">
      <w:start w:val="1"/>
      <w:numFmt w:val="decimal"/>
      <w:lvlText w:val="%1."/>
      <w:lvlJc w:val="left"/>
      <w:pPr>
        <w:ind w:left="900" w:hanging="360"/>
      </w:pPr>
      <w:rPr>
        <w:rFonts w:ascii="Tahoma" w:hAnsi="Tahoma" w:cs="Tahoma" w:hint="default"/>
        <w:sz w:val="18"/>
        <w:szCs w:val="18"/>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69">
    <w:nsid w:val="47E60953"/>
    <w:multiLevelType w:val="hybridMultilevel"/>
    <w:tmpl w:val="9C9A5AAE"/>
    <w:lvl w:ilvl="0" w:tplc="604470B4">
      <w:start w:val="1"/>
      <w:numFmt w:val="bullet"/>
      <w:lvlText w:val=""/>
      <w:lvlJc w:val="left"/>
      <w:pPr>
        <w:ind w:left="1620" w:hanging="360"/>
      </w:pPr>
      <w:rPr>
        <w:rFonts w:ascii="Webdings" w:hAnsi="Webdings" w:hint="default"/>
        <w:b w:val="0"/>
        <w:i w:val="0"/>
        <w:color w:val="FF6600"/>
        <w:sz w:val="24"/>
        <w:szCs w:val="24"/>
      </w:rPr>
    </w:lvl>
    <w:lvl w:ilvl="1" w:tplc="04090017">
      <w:start w:val="1"/>
      <w:numFmt w:val="lowerLetter"/>
      <w:lvlText w:val="%2)"/>
      <w:lvlJc w:val="left"/>
      <w:pPr>
        <w:ind w:left="2340" w:hanging="360"/>
      </w:pPr>
      <w:rPr>
        <w:rFonts w:hint="default"/>
      </w:rPr>
    </w:lvl>
    <w:lvl w:ilvl="2" w:tplc="04090005" w:tentative="1">
      <w:start w:val="1"/>
      <w:numFmt w:val="bullet"/>
      <w:lvlText w:val=""/>
      <w:lvlJc w:val="left"/>
      <w:pPr>
        <w:ind w:left="3060" w:hanging="360"/>
      </w:pPr>
      <w:rPr>
        <w:rFonts w:ascii="Wingdings" w:hAnsi="Wingdings" w:hint="default"/>
      </w:rPr>
    </w:lvl>
    <w:lvl w:ilvl="3" w:tplc="04090001">
      <w:start w:val="1"/>
      <w:numFmt w:val="bullet"/>
      <w:lvlText w:val=""/>
      <w:lvlJc w:val="left"/>
      <w:pPr>
        <w:ind w:left="3780" w:hanging="360"/>
      </w:pPr>
      <w:rPr>
        <w:rFonts w:ascii="Symbol" w:hAnsi="Symbol" w:hint="default"/>
      </w:rPr>
    </w:lvl>
    <w:lvl w:ilvl="4" w:tplc="04090003" w:tentative="1">
      <w:start w:val="1"/>
      <w:numFmt w:val="bullet"/>
      <w:lvlText w:val="o"/>
      <w:lvlJc w:val="left"/>
      <w:pPr>
        <w:ind w:left="4500" w:hanging="360"/>
      </w:pPr>
      <w:rPr>
        <w:rFonts w:ascii="Courier New" w:hAnsi="Courier New" w:cs="Courier New" w:hint="default"/>
      </w:rPr>
    </w:lvl>
    <w:lvl w:ilvl="5" w:tplc="04090005" w:tentative="1">
      <w:start w:val="1"/>
      <w:numFmt w:val="bullet"/>
      <w:lvlText w:val=""/>
      <w:lvlJc w:val="left"/>
      <w:pPr>
        <w:ind w:left="5220" w:hanging="360"/>
      </w:pPr>
      <w:rPr>
        <w:rFonts w:ascii="Wingdings" w:hAnsi="Wingdings" w:hint="default"/>
      </w:rPr>
    </w:lvl>
    <w:lvl w:ilvl="6" w:tplc="04090001" w:tentative="1">
      <w:start w:val="1"/>
      <w:numFmt w:val="bullet"/>
      <w:lvlText w:val=""/>
      <w:lvlJc w:val="left"/>
      <w:pPr>
        <w:ind w:left="5940" w:hanging="360"/>
      </w:pPr>
      <w:rPr>
        <w:rFonts w:ascii="Symbol" w:hAnsi="Symbol" w:hint="default"/>
      </w:rPr>
    </w:lvl>
    <w:lvl w:ilvl="7" w:tplc="04090003" w:tentative="1">
      <w:start w:val="1"/>
      <w:numFmt w:val="bullet"/>
      <w:lvlText w:val="o"/>
      <w:lvlJc w:val="left"/>
      <w:pPr>
        <w:ind w:left="6660" w:hanging="360"/>
      </w:pPr>
      <w:rPr>
        <w:rFonts w:ascii="Courier New" w:hAnsi="Courier New" w:cs="Courier New" w:hint="default"/>
      </w:rPr>
    </w:lvl>
    <w:lvl w:ilvl="8" w:tplc="04090005" w:tentative="1">
      <w:start w:val="1"/>
      <w:numFmt w:val="bullet"/>
      <w:lvlText w:val=""/>
      <w:lvlJc w:val="left"/>
      <w:pPr>
        <w:ind w:left="7380" w:hanging="360"/>
      </w:pPr>
      <w:rPr>
        <w:rFonts w:ascii="Wingdings" w:hAnsi="Wingdings" w:hint="default"/>
      </w:rPr>
    </w:lvl>
  </w:abstractNum>
  <w:abstractNum w:abstractNumId="70">
    <w:nsid w:val="481516AF"/>
    <w:multiLevelType w:val="hybridMultilevel"/>
    <w:tmpl w:val="D9B6952C"/>
    <w:lvl w:ilvl="0" w:tplc="D902DDBC">
      <w:start w:val="1"/>
      <w:numFmt w:val="bullet"/>
      <w:lvlText w:val=""/>
      <w:lvlJc w:val="left"/>
      <w:pPr>
        <w:ind w:left="1440" w:hanging="360"/>
      </w:pPr>
      <w:rPr>
        <w:rFonts w:ascii="Webdings" w:hAnsi="Webdings" w:hint="default"/>
        <w:b w:val="0"/>
        <w:i w:val="0"/>
        <w:color w:val="FF6600"/>
        <w:sz w:val="24"/>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1">
    <w:nsid w:val="48E70778"/>
    <w:multiLevelType w:val="hybridMultilevel"/>
    <w:tmpl w:val="72EE7AFE"/>
    <w:lvl w:ilvl="0" w:tplc="D902DDBC">
      <w:start w:val="1"/>
      <w:numFmt w:val="bullet"/>
      <w:lvlText w:val=""/>
      <w:lvlJc w:val="left"/>
      <w:pPr>
        <w:ind w:left="720" w:hanging="360"/>
      </w:pPr>
      <w:rPr>
        <w:rFonts w:ascii="Webdings" w:hAnsi="Webdings" w:hint="default"/>
        <w:b w:val="0"/>
        <w:i w:val="0"/>
        <w:color w:val="FF6600"/>
        <w:sz w:val="24"/>
        <w:szCs w:val="18"/>
      </w:rPr>
    </w:lvl>
    <w:lvl w:ilvl="1" w:tplc="D902DDBC">
      <w:start w:val="1"/>
      <w:numFmt w:val="bullet"/>
      <w:lvlText w:val=""/>
      <w:lvlJc w:val="left"/>
      <w:pPr>
        <w:ind w:left="1440" w:hanging="360"/>
      </w:pPr>
      <w:rPr>
        <w:rFonts w:ascii="Webdings" w:hAnsi="Webdings" w:hint="default"/>
        <w:b w:val="0"/>
        <w:i w:val="0"/>
        <w:color w:val="FF6600"/>
        <w:sz w:val="24"/>
      </w:rPr>
    </w:lvl>
    <w:lvl w:ilvl="2" w:tplc="0A5CAFB0">
      <w:start w:val="1"/>
      <w:numFmt w:val="bullet"/>
      <w:lvlText w:val=""/>
      <w:lvlJc w:val="left"/>
      <w:pPr>
        <w:ind w:left="2160" w:hanging="360"/>
      </w:pPr>
      <w:rPr>
        <w:rFonts w:ascii="Webdings" w:hAnsi="Webdings" w:hint="default"/>
        <w:b w:val="0"/>
        <w:i w:val="0"/>
        <w:color w:val="auto"/>
        <w:sz w:val="18"/>
        <w:szCs w:val="18"/>
      </w:rPr>
    </w:lvl>
    <w:lvl w:ilvl="3" w:tplc="D902DDBC">
      <w:start w:val="1"/>
      <w:numFmt w:val="bullet"/>
      <w:lvlText w:val=""/>
      <w:lvlJc w:val="left"/>
      <w:pPr>
        <w:ind w:left="2880" w:hanging="360"/>
      </w:pPr>
      <w:rPr>
        <w:rFonts w:ascii="Webdings" w:hAnsi="Webdings" w:hint="default"/>
        <w:b w:val="0"/>
        <w:i w:val="0"/>
        <w:color w:val="FF6600"/>
        <w:sz w:val="24"/>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2">
    <w:nsid w:val="4D7006C8"/>
    <w:multiLevelType w:val="hybridMultilevel"/>
    <w:tmpl w:val="C16A7552"/>
    <w:lvl w:ilvl="0" w:tplc="D902DDBC">
      <w:start w:val="1"/>
      <w:numFmt w:val="bullet"/>
      <w:lvlText w:val=""/>
      <w:lvlJc w:val="left"/>
      <w:pPr>
        <w:ind w:left="2220" w:hanging="360"/>
      </w:pPr>
      <w:rPr>
        <w:rFonts w:ascii="Webdings" w:hAnsi="Webdings" w:hint="default"/>
        <w:b w:val="0"/>
        <w:i w:val="0"/>
        <w:color w:val="FF6600"/>
        <w:sz w:val="24"/>
      </w:rPr>
    </w:lvl>
    <w:lvl w:ilvl="1" w:tplc="04090003">
      <w:start w:val="1"/>
      <w:numFmt w:val="bullet"/>
      <w:lvlText w:val="o"/>
      <w:lvlJc w:val="left"/>
      <w:pPr>
        <w:ind w:left="2940" w:hanging="360"/>
      </w:pPr>
      <w:rPr>
        <w:rFonts w:ascii="Courier New" w:hAnsi="Courier New" w:cs="Times New Roman" w:hint="default"/>
      </w:rPr>
    </w:lvl>
    <w:lvl w:ilvl="2" w:tplc="04090005">
      <w:start w:val="1"/>
      <w:numFmt w:val="bullet"/>
      <w:lvlText w:val=""/>
      <w:lvlJc w:val="left"/>
      <w:pPr>
        <w:ind w:left="3660" w:hanging="360"/>
      </w:pPr>
      <w:rPr>
        <w:rFonts w:ascii="Wingdings" w:hAnsi="Wingdings" w:hint="default"/>
      </w:rPr>
    </w:lvl>
    <w:lvl w:ilvl="3" w:tplc="04090001">
      <w:start w:val="1"/>
      <w:numFmt w:val="bullet"/>
      <w:lvlText w:val=""/>
      <w:lvlJc w:val="left"/>
      <w:pPr>
        <w:ind w:left="4380" w:hanging="360"/>
      </w:pPr>
      <w:rPr>
        <w:rFonts w:ascii="Symbol" w:hAnsi="Symbol" w:hint="default"/>
      </w:rPr>
    </w:lvl>
    <w:lvl w:ilvl="4" w:tplc="04090003">
      <w:start w:val="1"/>
      <w:numFmt w:val="bullet"/>
      <w:lvlText w:val="o"/>
      <w:lvlJc w:val="left"/>
      <w:pPr>
        <w:ind w:left="5100" w:hanging="360"/>
      </w:pPr>
      <w:rPr>
        <w:rFonts w:ascii="Courier New" w:hAnsi="Courier New" w:cs="Times New Roman" w:hint="default"/>
      </w:rPr>
    </w:lvl>
    <w:lvl w:ilvl="5" w:tplc="04090005">
      <w:start w:val="1"/>
      <w:numFmt w:val="bullet"/>
      <w:lvlText w:val=""/>
      <w:lvlJc w:val="left"/>
      <w:pPr>
        <w:ind w:left="5820" w:hanging="360"/>
      </w:pPr>
      <w:rPr>
        <w:rFonts w:ascii="Wingdings" w:hAnsi="Wingdings" w:hint="default"/>
      </w:rPr>
    </w:lvl>
    <w:lvl w:ilvl="6" w:tplc="04090001">
      <w:start w:val="1"/>
      <w:numFmt w:val="bullet"/>
      <w:lvlText w:val=""/>
      <w:lvlJc w:val="left"/>
      <w:pPr>
        <w:ind w:left="6540" w:hanging="360"/>
      </w:pPr>
      <w:rPr>
        <w:rFonts w:ascii="Symbol" w:hAnsi="Symbol" w:hint="default"/>
      </w:rPr>
    </w:lvl>
    <w:lvl w:ilvl="7" w:tplc="04090003">
      <w:start w:val="1"/>
      <w:numFmt w:val="bullet"/>
      <w:lvlText w:val="o"/>
      <w:lvlJc w:val="left"/>
      <w:pPr>
        <w:ind w:left="7260" w:hanging="360"/>
      </w:pPr>
      <w:rPr>
        <w:rFonts w:ascii="Courier New" w:hAnsi="Courier New" w:cs="Times New Roman" w:hint="default"/>
      </w:rPr>
    </w:lvl>
    <w:lvl w:ilvl="8" w:tplc="04090005">
      <w:start w:val="1"/>
      <w:numFmt w:val="bullet"/>
      <w:lvlText w:val=""/>
      <w:lvlJc w:val="left"/>
      <w:pPr>
        <w:ind w:left="7980" w:hanging="360"/>
      </w:pPr>
      <w:rPr>
        <w:rFonts w:ascii="Wingdings" w:hAnsi="Wingdings" w:hint="default"/>
      </w:rPr>
    </w:lvl>
  </w:abstractNum>
  <w:abstractNum w:abstractNumId="73">
    <w:nsid w:val="4EEF6A4B"/>
    <w:multiLevelType w:val="hybridMultilevel"/>
    <w:tmpl w:val="65585854"/>
    <w:lvl w:ilvl="0" w:tplc="2F1A7CE4">
      <w:start w:val="1"/>
      <w:numFmt w:val="bullet"/>
      <w:lvlText w:val=""/>
      <w:lvlJc w:val="left"/>
      <w:pPr>
        <w:ind w:left="720" w:hanging="360"/>
      </w:pPr>
      <w:rPr>
        <w:rFonts w:ascii="Symbol" w:hAnsi="Symbol" w:hint="default"/>
        <w:b w:val="0"/>
        <w:i w:val="0"/>
        <w:color w:val="auto"/>
        <w:sz w:val="18"/>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4">
    <w:nsid w:val="4FD7328F"/>
    <w:multiLevelType w:val="multilevel"/>
    <w:tmpl w:val="C40EC506"/>
    <w:lvl w:ilvl="0">
      <w:start w:val="1"/>
      <w:numFmt w:val="bullet"/>
      <w:lvlText w:val=""/>
      <w:lvlJc w:val="left"/>
      <w:pPr>
        <w:ind w:left="936" w:hanging="216"/>
      </w:pPr>
      <w:rPr>
        <w:rFonts w:ascii="Webdings" w:hAnsi="Webdings" w:hint="default"/>
        <w:b w:val="0"/>
        <w:i w:val="0"/>
        <w:color w:val="FF6600"/>
        <w:sz w:val="24"/>
      </w:rPr>
    </w:lvl>
    <w:lvl w:ilvl="1">
      <w:numFmt w:val="decimal"/>
      <w:lvlText w:val=""/>
      <w:lvlJc w:val="left"/>
      <w:pPr>
        <w:ind w:left="432" w:firstLine="0"/>
      </w:pPr>
    </w:lvl>
    <w:lvl w:ilvl="2">
      <w:numFmt w:val="decimal"/>
      <w:lvlText w:val=""/>
      <w:lvlJc w:val="left"/>
      <w:pPr>
        <w:ind w:left="432" w:firstLine="0"/>
      </w:pPr>
    </w:lvl>
    <w:lvl w:ilvl="3">
      <w:numFmt w:val="decimal"/>
      <w:lvlText w:val=""/>
      <w:lvlJc w:val="left"/>
      <w:pPr>
        <w:ind w:left="432" w:firstLine="0"/>
      </w:pPr>
    </w:lvl>
    <w:lvl w:ilvl="4">
      <w:numFmt w:val="decimal"/>
      <w:lvlText w:val=""/>
      <w:lvlJc w:val="left"/>
      <w:pPr>
        <w:ind w:left="432" w:firstLine="0"/>
      </w:pPr>
    </w:lvl>
    <w:lvl w:ilvl="5">
      <w:numFmt w:val="decimal"/>
      <w:lvlText w:val=""/>
      <w:lvlJc w:val="left"/>
      <w:pPr>
        <w:ind w:left="432" w:firstLine="0"/>
      </w:pPr>
    </w:lvl>
    <w:lvl w:ilvl="6">
      <w:numFmt w:val="decimal"/>
      <w:lvlText w:val=""/>
      <w:lvlJc w:val="left"/>
      <w:pPr>
        <w:ind w:left="432" w:firstLine="0"/>
      </w:pPr>
    </w:lvl>
    <w:lvl w:ilvl="7">
      <w:numFmt w:val="decimal"/>
      <w:lvlText w:val=""/>
      <w:lvlJc w:val="left"/>
      <w:pPr>
        <w:ind w:left="432" w:firstLine="0"/>
      </w:pPr>
    </w:lvl>
    <w:lvl w:ilvl="8">
      <w:numFmt w:val="decimal"/>
      <w:lvlText w:val=""/>
      <w:lvlJc w:val="left"/>
      <w:pPr>
        <w:ind w:left="432" w:firstLine="0"/>
      </w:pPr>
    </w:lvl>
  </w:abstractNum>
  <w:abstractNum w:abstractNumId="75">
    <w:nsid w:val="503C62BB"/>
    <w:multiLevelType w:val="hybridMultilevel"/>
    <w:tmpl w:val="DE04F03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6">
    <w:nsid w:val="50B03704"/>
    <w:multiLevelType w:val="hybridMultilevel"/>
    <w:tmpl w:val="B1883FA8"/>
    <w:lvl w:ilvl="0" w:tplc="C534D382">
      <w:start w:val="1"/>
      <w:numFmt w:val="lowerLetter"/>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7">
    <w:nsid w:val="50BD352C"/>
    <w:multiLevelType w:val="hybridMultilevel"/>
    <w:tmpl w:val="4A504C80"/>
    <w:lvl w:ilvl="0" w:tplc="D902DDBC">
      <w:start w:val="1"/>
      <w:numFmt w:val="bullet"/>
      <w:lvlText w:val=""/>
      <w:lvlJc w:val="left"/>
      <w:pPr>
        <w:ind w:left="2220" w:hanging="360"/>
      </w:pPr>
      <w:rPr>
        <w:rFonts w:ascii="Webdings" w:hAnsi="Webdings" w:hint="default"/>
        <w:b w:val="0"/>
        <w:i w:val="0"/>
        <w:color w:val="FF6600"/>
        <w:sz w:val="24"/>
      </w:rPr>
    </w:lvl>
    <w:lvl w:ilvl="1" w:tplc="04090003">
      <w:start w:val="1"/>
      <w:numFmt w:val="bullet"/>
      <w:lvlText w:val="o"/>
      <w:lvlJc w:val="left"/>
      <w:pPr>
        <w:ind w:left="2940" w:hanging="360"/>
      </w:pPr>
      <w:rPr>
        <w:rFonts w:ascii="Courier New" w:hAnsi="Courier New" w:cs="Times New Roman" w:hint="default"/>
      </w:rPr>
    </w:lvl>
    <w:lvl w:ilvl="2" w:tplc="04090005">
      <w:start w:val="1"/>
      <w:numFmt w:val="bullet"/>
      <w:lvlText w:val=""/>
      <w:lvlJc w:val="left"/>
      <w:pPr>
        <w:ind w:left="3660" w:hanging="360"/>
      </w:pPr>
      <w:rPr>
        <w:rFonts w:ascii="Wingdings" w:hAnsi="Wingdings" w:hint="default"/>
      </w:rPr>
    </w:lvl>
    <w:lvl w:ilvl="3" w:tplc="04090001">
      <w:start w:val="1"/>
      <w:numFmt w:val="bullet"/>
      <w:lvlText w:val=""/>
      <w:lvlJc w:val="left"/>
      <w:pPr>
        <w:ind w:left="4380" w:hanging="360"/>
      </w:pPr>
      <w:rPr>
        <w:rFonts w:ascii="Symbol" w:hAnsi="Symbol" w:hint="default"/>
      </w:rPr>
    </w:lvl>
    <w:lvl w:ilvl="4" w:tplc="04090003">
      <w:start w:val="1"/>
      <w:numFmt w:val="bullet"/>
      <w:lvlText w:val="o"/>
      <w:lvlJc w:val="left"/>
      <w:pPr>
        <w:ind w:left="5100" w:hanging="360"/>
      </w:pPr>
      <w:rPr>
        <w:rFonts w:ascii="Courier New" w:hAnsi="Courier New" w:cs="Times New Roman" w:hint="default"/>
      </w:rPr>
    </w:lvl>
    <w:lvl w:ilvl="5" w:tplc="04090005">
      <w:start w:val="1"/>
      <w:numFmt w:val="bullet"/>
      <w:lvlText w:val=""/>
      <w:lvlJc w:val="left"/>
      <w:pPr>
        <w:ind w:left="5820" w:hanging="360"/>
      </w:pPr>
      <w:rPr>
        <w:rFonts w:ascii="Wingdings" w:hAnsi="Wingdings" w:hint="default"/>
      </w:rPr>
    </w:lvl>
    <w:lvl w:ilvl="6" w:tplc="04090001">
      <w:start w:val="1"/>
      <w:numFmt w:val="bullet"/>
      <w:lvlText w:val=""/>
      <w:lvlJc w:val="left"/>
      <w:pPr>
        <w:ind w:left="6540" w:hanging="360"/>
      </w:pPr>
      <w:rPr>
        <w:rFonts w:ascii="Symbol" w:hAnsi="Symbol" w:hint="default"/>
      </w:rPr>
    </w:lvl>
    <w:lvl w:ilvl="7" w:tplc="04090003">
      <w:start w:val="1"/>
      <w:numFmt w:val="bullet"/>
      <w:lvlText w:val="o"/>
      <w:lvlJc w:val="left"/>
      <w:pPr>
        <w:ind w:left="7260" w:hanging="360"/>
      </w:pPr>
      <w:rPr>
        <w:rFonts w:ascii="Courier New" w:hAnsi="Courier New" w:cs="Times New Roman" w:hint="default"/>
      </w:rPr>
    </w:lvl>
    <w:lvl w:ilvl="8" w:tplc="04090005">
      <w:start w:val="1"/>
      <w:numFmt w:val="bullet"/>
      <w:lvlText w:val=""/>
      <w:lvlJc w:val="left"/>
      <w:pPr>
        <w:ind w:left="7980" w:hanging="360"/>
      </w:pPr>
      <w:rPr>
        <w:rFonts w:ascii="Wingdings" w:hAnsi="Wingdings" w:hint="default"/>
      </w:rPr>
    </w:lvl>
  </w:abstractNum>
  <w:abstractNum w:abstractNumId="78">
    <w:nsid w:val="517F365B"/>
    <w:multiLevelType w:val="hybridMultilevel"/>
    <w:tmpl w:val="2EBC5F26"/>
    <w:lvl w:ilvl="0" w:tplc="D902DDBC">
      <w:start w:val="1"/>
      <w:numFmt w:val="bullet"/>
      <w:lvlText w:val=""/>
      <w:lvlJc w:val="left"/>
      <w:pPr>
        <w:ind w:left="720" w:hanging="360"/>
      </w:pPr>
      <w:rPr>
        <w:rFonts w:ascii="Webdings" w:hAnsi="Webdings" w:hint="default"/>
        <w:b w:val="0"/>
        <w:i w:val="0"/>
        <w:color w:val="FF6600"/>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9">
    <w:nsid w:val="51DC36AE"/>
    <w:multiLevelType w:val="hybridMultilevel"/>
    <w:tmpl w:val="715651AC"/>
    <w:lvl w:ilvl="0" w:tplc="CBBCAA52">
      <w:start w:val="1"/>
      <w:numFmt w:val="bullet"/>
      <w:lvlText w:val=""/>
      <w:lvlJc w:val="left"/>
      <w:pPr>
        <w:ind w:left="1620" w:hanging="360"/>
      </w:pPr>
      <w:rPr>
        <w:rFonts w:ascii="Symbol" w:hAnsi="Symbol" w:hint="default"/>
        <w:b w:val="0"/>
        <w:i w:val="0"/>
        <w:color w:val="auto"/>
        <w:sz w:val="18"/>
        <w:szCs w:val="18"/>
      </w:rPr>
    </w:lvl>
    <w:lvl w:ilvl="1" w:tplc="04090003" w:tentative="1">
      <w:start w:val="1"/>
      <w:numFmt w:val="bullet"/>
      <w:lvlText w:val="o"/>
      <w:lvlJc w:val="left"/>
      <w:pPr>
        <w:ind w:left="2340" w:hanging="360"/>
      </w:pPr>
      <w:rPr>
        <w:rFonts w:ascii="Courier New" w:hAnsi="Courier New" w:hint="default"/>
      </w:rPr>
    </w:lvl>
    <w:lvl w:ilvl="2" w:tplc="04090005" w:tentative="1">
      <w:start w:val="1"/>
      <w:numFmt w:val="bullet"/>
      <w:lvlText w:val=""/>
      <w:lvlJc w:val="left"/>
      <w:pPr>
        <w:ind w:left="3060" w:hanging="360"/>
      </w:pPr>
      <w:rPr>
        <w:rFonts w:ascii="Wingdings" w:hAnsi="Wingdings" w:hint="default"/>
      </w:rPr>
    </w:lvl>
    <w:lvl w:ilvl="3" w:tplc="04090001" w:tentative="1">
      <w:start w:val="1"/>
      <w:numFmt w:val="bullet"/>
      <w:lvlText w:val=""/>
      <w:lvlJc w:val="left"/>
      <w:pPr>
        <w:ind w:left="3780" w:hanging="360"/>
      </w:pPr>
      <w:rPr>
        <w:rFonts w:ascii="Symbol" w:hAnsi="Symbol" w:hint="default"/>
      </w:rPr>
    </w:lvl>
    <w:lvl w:ilvl="4" w:tplc="04090003" w:tentative="1">
      <w:start w:val="1"/>
      <w:numFmt w:val="bullet"/>
      <w:lvlText w:val="o"/>
      <w:lvlJc w:val="left"/>
      <w:pPr>
        <w:ind w:left="4500" w:hanging="360"/>
      </w:pPr>
      <w:rPr>
        <w:rFonts w:ascii="Courier New" w:hAnsi="Courier New" w:hint="default"/>
      </w:rPr>
    </w:lvl>
    <w:lvl w:ilvl="5" w:tplc="04090005" w:tentative="1">
      <w:start w:val="1"/>
      <w:numFmt w:val="bullet"/>
      <w:lvlText w:val=""/>
      <w:lvlJc w:val="left"/>
      <w:pPr>
        <w:ind w:left="5220" w:hanging="360"/>
      </w:pPr>
      <w:rPr>
        <w:rFonts w:ascii="Wingdings" w:hAnsi="Wingdings" w:hint="default"/>
      </w:rPr>
    </w:lvl>
    <w:lvl w:ilvl="6" w:tplc="04090001" w:tentative="1">
      <w:start w:val="1"/>
      <w:numFmt w:val="bullet"/>
      <w:lvlText w:val=""/>
      <w:lvlJc w:val="left"/>
      <w:pPr>
        <w:ind w:left="5940" w:hanging="360"/>
      </w:pPr>
      <w:rPr>
        <w:rFonts w:ascii="Symbol" w:hAnsi="Symbol" w:hint="default"/>
      </w:rPr>
    </w:lvl>
    <w:lvl w:ilvl="7" w:tplc="04090003" w:tentative="1">
      <w:start w:val="1"/>
      <w:numFmt w:val="bullet"/>
      <w:lvlText w:val="o"/>
      <w:lvlJc w:val="left"/>
      <w:pPr>
        <w:ind w:left="6660" w:hanging="360"/>
      </w:pPr>
      <w:rPr>
        <w:rFonts w:ascii="Courier New" w:hAnsi="Courier New" w:hint="default"/>
      </w:rPr>
    </w:lvl>
    <w:lvl w:ilvl="8" w:tplc="04090005" w:tentative="1">
      <w:start w:val="1"/>
      <w:numFmt w:val="bullet"/>
      <w:lvlText w:val=""/>
      <w:lvlJc w:val="left"/>
      <w:pPr>
        <w:ind w:left="7380" w:hanging="360"/>
      </w:pPr>
      <w:rPr>
        <w:rFonts w:ascii="Wingdings" w:hAnsi="Wingdings" w:hint="default"/>
      </w:rPr>
    </w:lvl>
  </w:abstractNum>
  <w:abstractNum w:abstractNumId="80">
    <w:nsid w:val="51E514ED"/>
    <w:multiLevelType w:val="multilevel"/>
    <w:tmpl w:val="279E5052"/>
    <w:lvl w:ilvl="0">
      <w:start w:val="1"/>
      <w:numFmt w:val="decimal"/>
      <w:lvlText w:val="%1."/>
      <w:lvlJc w:val="left"/>
      <w:pPr>
        <w:ind w:left="360" w:hanging="360"/>
      </w:pPr>
      <w:rPr>
        <w:rFonts w:hint="default"/>
        <w:b/>
        <w:i w:val="0"/>
        <w:color w:val="000000"/>
        <w:sz w:val="18"/>
        <w:szCs w:val="18"/>
      </w:rPr>
    </w:lvl>
    <w:lvl w:ilvl="1">
      <w:start w:val="1"/>
      <w:numFmt w:val="decimal"/>
      <w:lvlText w:val="%1.%2."/>
      <w:lvlJc w:val="left"/>
      <w:pPr>
        <w:ind w:left="792" w:hanging="432"/>
      </w:pPr>
      <w:rPr>
        <w:rFonts w:hint="default"/>
      </w:rPr>
    </w:lvl>
    <w:lvl w:ilvl="2">
      <w:start w:val="1"/>
      <w:numFmt w:val="decimal"/>
      <w:lvlText w:val="%1.%2.%3."/>
      <w:lvlJc w:val="left"/>
      <w:pPr>
        <w:ind w:left="1224" w:hanging="504"/>
      </w:pPr>
      <w:rPr>
        <w:rFonts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81">
    <w:nsid w:val="528323F4"/>
    <w:multiLevelType w:val="hybridMultilevel"/>
    <w:tmpl w:val="00E23350"/>
    <w:lvl w:ilvl="0" w:tplc="0152F0C0">
      <w:start w:val="1"/>
      <w:numFmt w:val="bullet"/>
      <w:lvlText w:val=""/>
      <w:lvlJc w:val="left"/>
      <w:pPr>
        <w:ind w:left="720" w:hanging="360"/>
      </w:pPr>
      <w:rPr>
        <w:rFonts w:ascii="Webdings" w:hAnsi="Webdings" w:hint="default"/>
        <w:b w:val="0"/>
        <w:i w:val="0"/>
        <w:color w:val="FF6600"/>
        <w:sz w:val="22"/>
      </w:rPr>
    </w:lvl>
    <w:lvl w:ilvl="1" w:tplc="04090017">
      <w:start w:val="1"/>
      <w:numFmt w:val="lowerLetter"/>
      <w:lvlText w:val="%2)"/>
      <w:lvlJc w:val="left"/>
      <w:pPr>
        <w:ind w:left="1440" w:hanging="360"/>
      </w:pPr>
      <w:rPr>
        <w:rFonts w:hint="default"/>
      </w:rPr>
    </w:lvl>
    <w:lvl w:ilvl="2" w:tplc="D902DDBC">
      <w:start w:val="1"/>
      <w:numFmt w:val="bullet"/>
      <w:lvlText w:val=""/>
      <w:lvlJc w:val="left"/>
      <w:pPr>
        <w:ind w:left="2160" w:hanging="360"/>
      </w:pPr>
      <w:rPr>
        <w:rFonts w:ascii="Webdings" w:hAnsi="Webdings" w:hint="default"/>
        <w:b w:val="0"/>
        <w:i w:val="0"/>
        <w:color w:val="FF6600"/>
        <w:sz w:val="24"/>
      </w:rPr>
    </w:lvl>
    <w:lvl w:ilvl="3" w:tplc="D902DDBC">
      <w:start w:val="1"/>
      <w:numFmt w:val="bullet"/>
      <w:lvlText w:val=""/>
      <w:lvlJc w:val="left"/>
      <w:pPr>
        <w:ind w:left="2880" w:hanging="360"/>
      </w:pPr>
      <w:rPr>
        <w:rFonts w:ascii="Webdings" w:hAnsi="Webdings" w:hint="default"/>
        <w:b w:val="0"/>
        <w:i w:val="0"/>
        <w:color w:val="FF6600"/>
        <w:sz w:val="24"/>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2">
    <w:nsid w:val="546E5471"/>
    <w:multiLevelType w:val="hybridMultilevel"/>
    <w:tmpl w:val="EFF8C1CE"/>
    <w:lvl w:ilvl="0" w:tplc="0409000F">
      <w:start w:val="1"/>
      <w:numFmt w:val="decimal"/>
      <w:lvlText w:val="%1."/>
      <w:lvlJc w:val="left"/>
      <w:pPr>
        <w:ind w:left="360" w:hanging="360"/>
      </w:pPr>
    </w:lvl>
    <w:lvl w:ilvl="1" w:tplc="A9605C92">
      <w:start w:val="1"/>
      <w:numFmt w:val="lowerLetter"/>
      <w:lvlText w:val="%2."/>
      <w:lvlJc w:val="left"/>
      <w:pPr>
        <w:ind w:left="1080" w:hanging="360"/>
      </w:pPr>
      <w:rPr>
        <w:b/>
      </w:rPr>
    </w:lvl>
    <w:lvl w:ilvl="2" w:tplc="0409001B">
      <w:start w:val="1"/>
      <w:numFmt w:val="lowerRoman"/>
      <w:lvlText w:val="%3."/>
      <w:lvlJc w:val="right"/>
      <w:pPr>
        <w:ind w:left="1800" w:hanging="180"/>
      </w:pPr>
    </w:lvl>
    <w:lvl w:ilvl="3" w:tplc="0409000F">
      <w:start w:val="1"/>
      <w:numFmt w:val="decimal"/>
      <w:lvlText w:val="%4."/>
      <w:lvlJc w:val="left"/>
      <w:pPr>
        <w:ind w:left="2520" w:hanging="360"/>
      </w:pPr>
    </w:lvl>
    <w:lvl w:ilvl="4" w:tplc="04090019">
      <w:start w:val="1"/>
      <w:numFmt w:val="lowerLetter"/>
      <w:lvlText w:val="%5."/>
      <w:lvlJc w:val="left"/>
      <w:pPr>
        <w:ind w:left="3240" w:hanging="360"/>
      </w:pPr>
    </w:lvl>
    <w:lvl w:ilvl="5" w:tplc="0409001B">
      <w:start w:val="1"/>
      <w:numFmt w:val="lowerRoman"/>
      <w:lvlText w:val="%6."/>
      <w:lvlJc w:val="right"/>
      <w:pPr>
        <w:ind w:left="3960" w:hanging="180"/>
      </w:pPr>
    </w:lvl>
    <w:lvl w:ilvl="6" w:tplc="0409000F">
      <w:start w:val="1"/>
      <w:numFmt w:val="decimal"/>
      <w:lvlText w:val="%7."/>
      <w:lvlJc w:val="left"/>
      <w:pPr>
        <w:ind w:left="4680" w:hanging="360"/>
      </w:pPr>
    </w:lvl>
    <w:lvl w:ilvl="7" w:tplc="04090019">
      <w:start w:val="1"/>
      <w:numFmt w:val="lowerLetter"/>
      <w:lvlText w:val="%8."/>
      <w:lvlJc w:val="left"/>
      <w:pPr>
        <w:ind w:left="5400" w:hanging="360"/>
      </w:pPr>
    </w:lvl>
    <w:lvl w:ilvl="8" w:tplc="0409001B">
      <w:start w:val="1"/>
      <w:numFmt w:val="lowerRoman"/>
      <w:lvlText w:val="%9."/>
      <w:lvlJc w:val="right"/>
      <w:pPr>
        <w:ind w:left="6120" w:hanging="180"/>
      </w:pPr>
    </w:lvl>
  </w:abstractNum>
  <w:abstractNum w:abstractNumId="83">
    <w:nsid w:val="57F33DF5"/>
    <w:multiLevelType w:val="hybridMultilevel"/>
    <w:tmpl w:val="D3E0C982"/>
    <w:lvl w:ilvl="0" w:tplc="49CEB1AC">
      <w:start w:val="1"/>
      <w:numFmt w:val="bullet"/>
      <w:lvlText w:val=""/>
      <w:lvlJc w:val="left"/>
      <w:pPr>
        <w:ind w:left="720" w:hanging="360"/>
      </w:pPr>
      <w:rPr>
        <w:rFonts w:ascii="Webdings" w:hAnsi="Webdings" w:hint="default"/>
        <w:b w:val="0"/>
        <w:i w:val="0"/>
        <w:color w:val="FF6600"/>
        <w:sz w:val="24"/>
      </w:rPr>
    </w:lvl>
    <w:lvl w:ilvl="1" w:tplc="F8D23ECE">
      <w:start w:val="1"/>
      <w:numFmt w:val="bullet"/>
      <w:lvlText w:val=""/>
      <w:lvlJc w:val="left"/>
      <w:pPr>
        <w:ind w:left="1440" w:hanging="360"/>
      </w:pPr>
      <w:rPr>
        <w:rFonts w:ascii="Symbol" w:hAnsi="Symbol" w:hint="default"/>
        <w:b w:val="0"/>
        <w:i w:val="0"/>
        <w:color w:val="auto"/>
        <w:sz w:val="18"/>
        <w:szCs w:val="18"/>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4">
    <w:nsid w:val="58FB6F88"/>
    <w:multiLevelType w:val="hybridMultilevel"/>
    <w:tmpl w:val="F6802B46"/>
    <w:lvl w:ilvl="0" w:tplc="D902DDBC">
      <w:start w:val="1"/>
      <w:numFmt w:val="bullet"/>
      <w:lvlText w:val=""/>
      <w:lvlJc w:val="left"/>
      <w:pPr>
        <w:ind w:left="1800" w:hanging="360"/>
      </w:pPr>
      <w:rPr>
        <w:rFonts w:ascii="Webdings" w:hAnsi="Webdings" w:hint="default"/>
        <w:b w:val="0"/>
        <w:i w:val="0"/>
        <w:color w:val="FF6600"/>
        <w:sz w:val="24"/>
      </w:rPr>
    </w:lvl>
    <w:lvl w:ilvl="1" w:tplc="04090003">
      <w:start w:val="1"/>
      <w:numFmt w:val="bullet"/>
      <w:lvlText w:val="o"/>
      <w:lvlJc w:val="left"/>
      <w:pPr>
        <w:ind w:left="2520" w:hanging="360"/>
      </w:pPr>
      <w:rPr>
        <w:rFonts w:ascii="Courier New" w:hAnsi="Courier New" w:hint="default"/>
      </w:rPr>
    </w:lvl>
    <w:lvl w:ilvl="2" w:tplc="04090005">
      <w:start w:val="1"/>
      <w:numFmt w:val="bullet"/>
      <w:lvlText w:val=""/>
      <w:lvlJc w:val="left"/>
      <w:pPr>
        <w:ind w:left="3240" w:hanging="360"/>
      </w:pPr>
      <w:rPr>
        <w:rFonts w:ascii="Wingdings" w:hAnsi="Wingdings" w:hint="default"/>
      </w:rPr>
    </w:lvl>
    <w:lvl w:ilvl="3" w:tplc="04090001" w:tentative="1">
      <w:start w:val="1"/>
      <w:numFmt w:val="bullet"/>
      <w:lvlText w:val=""/>
      <w:lvlJc w:val="left"/>
      <w:pPr>
        <w:ind w:left="3960" w:hanging="360"/>
      </w:pPr>
      <w:rPr>
        <w:rFonts w:ascii="Symbol" w:hAnsi="Symbol" w:hint="default"/>
      </w:rPr>
    </w:lvl>
    <w:lvl w:ilvl="4" w:tplc="04090003" w:tentative="1">
      <w:start w:val="1"/>
      <w:numFmt w:val="bullet"/>
      <w:lvlText w:val="o"/>
      <w:lvlJc w:val="left"/>
      <w:pPr>
        <w:ind w:left="4680" w:hanging="360"/>
      </w:pPr>
      <w:rPr>
        <w:rFonts w:ascii="Courier New" w:hAnsi="Courier New" w:hint="default"/>
      </w:rPr>
    </w:lvl>
    <w:lvl w:ilvl="5" w:tplc="04090005" w:tentative="1">
      <w:start w:val="1"/>
      <w:numFmt w:val="bullet"/>
      <w:lvlText w:val=""/>
      <w:lvlJc w:val="left"/>
      <w:pPr>
        <w:ind w:left="5400" w:hanging="360"/>
      </w:pPr>
      <w:rPr>
        <w:rFonts w:ascii="Wingdings" w:hAnsi="Wingdings" w:hint="default"/>
      </w:rPr>
    </w:lvl>
    <w:lvl w:ilvl="6" w:tplc="04090001" w:tentative="1">
      <w:start w:val="1"/>
      <w:numFmt w:val="bullet"/>
      <w:lvlText w:val=""/>
      <w:lvlJc w:val="left"/>
      <w:pPr>
        <w:ind w:left="6120" w:hanging="360"/>
      </w:pPr>
      <w:rPr>
        <w:rFonts w:ascii="Symbol" w:hAnsi="Symbol" w:hint="default"/>
      </w:rPr>
    </w:lvl>
    <w:lvl w:ilvl="7" w:tplc="04090003" w:tentative="1">
      <w:start w:val="1"/>
      <w:numFmt w:val="bullet"/>
      <w:lvlText w:val="o"/>
      <w:lvlJc w:val="left"/>
      <w:pPr>
        <w:ind w:left="6840" w:hanging="360"/>
      </w:pPr>
      <w:rPr>
        <w:rFonts w:ascii="Courier New" w:hAnsi="Courier New" w:hint="default"/>
      </w:rPr>
    </w:lvl>
    <w:lvl w:ilvl="8" w:tplc="04090005" w:tentative="1">
      <w:start w:val="1"/>
      <w:numFmt w:val="bullet"/>
      <w:lvlText w:val=""/>
      <w:lvlJc w:val="left"/>
      <w:pPr>
        <w:ind w:left="7560" w:hanging="360"/>
      </w:pPr>
      <w:rPr>
        <w:rFonts w:ascii="Wingdings" w:hAnsi="Wingdings" w:hint="default"/>
      </w:rPr>
    </w:lvl>
  </w:abstractNum>
  <w:abstractNum w:abstractNumId="85">
    <w:nsid w:val="59780705"/>
    <w:multiLevelType w:val="hybridMultilevel"/>
    <w:tmpl w:val="F21CD68E"/>
    <w:lvl w:ilvl="0" w:tplc="04090017">
      <w:start w:val="1"/>
      <w:numFmt w:val="lowerLetter"/>
      <w:lvlText w:val="%1)"/>
      <w:lvlJc w:val="left"/>
      <w:pPr>
        <w:ind w:left="2160" w:hanging="360"/>
      </w:pPr>
    </w:lvl>
    <w:lvl w:ilvl="1" w:tplc="04090019" w:tentative="1">
      <w:start w:val="1"/>
      <w:numFmt w:val="lowerLetter"/>
      <w:lvlText w:val="%2."/>
      <w:lvlJc w:val="left"/>
      <w:pPr>
        <w:ind w:left="2880" w:hanging="360"/>
      </w:pPr>
    </w:lvl>
    <w:lvl w:ilvl="2" w:tplc="0409001B" w:tentative="1">
      <w:start w:val="1"/>
      <w:numFmt w:val="lowerRoman"/>
      <w:lvlText w:val="%3."/>
      <w:lvlJc w:val="right"/>
      <w:pPr>
        <w:ind w:left="3600" w:hanging="180"/>
      </w:pPr>
    </w:lvl>
    <w:lvl w:ilvl="3" w:tplc="0409000F" w:tentative="1">
      <w:start w:val="1"/>
      <w:numFmt w:val="decimal"/>
      <w:lvlText w:val="%4."/>
      <w:lvlJc w:val="left"/>
      <w:pPr>
        <w:ind w:left="4320" w:hanging="360"/>
      </w:pPr>
    </w:lvl>
    <w:lvl w:ilvl="4" w:tplc="04090019" w:tentative="1">
      <w:start w:val="1"/>
      <w:numFmt w:val="lowerLetter"/>
      <w:lvlText w:val="%5."/>
      <w:lvlJc w:val="left"/>
      <w:pPr>
        <w:ind w:left="5040" w:hanging="360"/>
      </w:pPr>
    </w:lvl>
    <w:lvl w:ilvl="5" w:tplc="0409001B" w:tentative="1">
      <w:start w:val="1"/>
      <w:numFmt w:val="lowerRoman"/>
      <w:lvlText w:val="%6."/>
      <w:lvlJc w:val="right"/>
      <w:pPr>
        <w:ind w:left="5760" w:hanging="180"/>
      </w:pPr>
    </w:lvl>
    <w:lvl w:ilvl="6" w:tplc="0409000F" w:tentative="1">
      <w:start w:val="1"/>
      <w:numFmt w:val="decimal"/>
      <w:lvlText w:val="%7."/>
      <w:lvlJc w:val="left"/>
      <w:pPr>
        <w:ind w:left="6480" w:hanging="360"/>
      </w:pPr>
    </w:lvl>
    <w:lvl w:ilvl="7" w:tplc="04090019" w:tentative="1">
      <w:start w:val="1"/>
      <w:numFmt w:val="lowerLetter"/>
      <w:lvlText w:val="%8."/>
      <w:lvlJc w:val="left"/>
      <w:pPr>
        <w:ind w:left="7200" w:hanging="360"/>
      </w:pPr>
    </w:lvl>
    <w:lvl w:ilvl="8" w:tplc="0409001B" w:tentative="1">
      <w:start w:val="1"/>
      <w:numFmt w:val="lowerRoman"/>
      <w:lvlText w:val="%9."/>
      <w:lvlJc w:val="right"/>
      <w:pPr>
        <w:ind w:left="7920" w:hanging="180"/>
      </w:pPr>
    </w:lvl>
  </w:abstractNum>
  <w:abstractNum w:abstractNumId="86">
    <w:nsid w:val="5AC90FCF"/>
    <w:multiLevelType w:val="hybridMultilevel"/>
    <w:tmpl w:val="6F1E6F6A"/>
    <w:lvl w:ilvl="0" w:tplc="D902DDBC">
      <w:start w:val="1"/>
      <w:numFmt w:val="bullet"/>
      <w:lvlText w:val=""/>
      <w:lvlJc w:val="left"/>
      <w:pPr>
        <w:ind w:left="1440" w:hanging="360"/>
      </w:pPr>
      <w:rPr>
        <w:rFonts w:ascii="Webdings" w:hAnsi="Webdings" w:hint="default"/>
        <w:b w:val="0"/>
        <w:i w:val="0"/>
        <w:color w:val="FF6600"/>
        <w:sz w:val="24"/>
      </w:rPr>
    </w:lvl>
    <w:lvl w:ilvl="1" w:tplc="D902DDBC">
      <w:start w:val="1"/>
      <w:numFmt w:val="bullet"/>
      <w:lvlText w:val=""/>
      <w:lvlJc w:val="left"/>
      <w:pPr>
        <w:ind w:left="2160" w:hanging="360"/>
      </w:pPr>
      <w:rPr>
        <w:rFonts w:ascii="Webdings" w:hAnsi="Webdings" w:hint="default"/>
        <w:b w:val="0"/>
        <w:i w:val="0"/>
        <w:color w:val="FF6600"/>
        <w:sz w:val="24"/>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87">
    <w:nsid w:val="5B477C59"/>
    <w:multiLevelType w:val="hybridMultilevel"/>
    <w:tmpl w:val="743237D6"/>
    <w:lvl w:ilvl="0" w:tplc="D902DDBC">
      <w:start w:val="1"/>
      <w:numFmt w:val="bullet"/>
      <w:lvlText w:val=""/>
      <w:lvlJc w:val="left"/>
      <w:pPr>
        <w:ind w:left="720" w:hanging="360"/>
      </w:pPr>
      <w:rPr>
        <w:rFonts w:ascii="Webdings" w:hAnsi="Webdings" w:hint="default"/>
        <w:b w:val="0"/>
        <w:i w:val="0"/>
        <w:color w:val="FF6600"/>
        <w:sz w:val="24"/>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D902DDBC">
      <w:start w:val="1"/>
      <w:numFmt w:val="bullet"/>
      <w:lvlText w:val=""/>
      <w:lvlJc w:val="left"/>
      <w:pPr>
        <w:ind w:left="2880" w:hanging="360"/>
      </w:pPr>
      <w:rPr>
        <w:rFonts w:ascii="Webdings" w:hAnsi="Webdings" w:hint="default"/>
        <w:b w:val="0"/>
        <w:i w:val="0"/>
        <w:color w:val="FF6600"/>
        <w:sz w:val="24"/>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8">
    <w:nsid w:val="5BB27E92"/>
    <w:multiLevelType w:val="hybridMultilevel"/>
    <w:tmpl w:val="FF6EA6D6"/>
    <w:lvl w:ilvl="0" w:tplc="04090017">
      <w:start w:val="1"/>
      <w:numFmt w:val="lowerLetter"/>
      <w:lvlText w:val="%1)"/>
      <w:lvlJc w:val="left"/>
      <w:pPr>
        <w:ind w:left="1440" w:hanging="360"/>
      </w:pPr>
    </w:lvl>
    <w:lvl w:ilvl="1" w:tplc="04090011">
      <w:start w:val="1"/>
      <w:numFmt w:val="decimal"/>
      <w:lvlText w:val="%2)"/>
      <w:lvlJc w:val="left"/>
      <w:pPr>
        <w:ind w:left="2160" w:hanging="360"/>
      </w:pPr>
      <w:rPr>
        <w:rFonts w:hint="default"/>
      </w:rPr>
    </w:lvl>
    <w:lvl w:ilvl="2" w:tplc="0409001B">
      <w:start w:val="1"/>
      <w:numFmt w:val="lowerRoman"/>
      <w:lvlText w:val="%3."/>
      <w:lvlJc w:val="right"/>
      <w:pPr>
        <w:ind w:left="3060" w:hanging="180"/>
      </w:pPr>
      <w:rPr>
        <w:rFonts w:hint="default"/>
      </w:r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89">
    <w:nsid w:val="5CD36762"/>
    <w:multiLevelType w:val="hybridMultilevel"/>
    <w:tmpl w:val="DABE3E9E"/>
    <w:lvl w:ilvl="0" w:tplc="D902DDBC">
      <w:start w:val="1"/>
      <w:numFmt w:val="bullet"/>
      <w:lvlText w:val=""/>
      <w:lvlJc w:val="left"/>
      <w:pPr>
        <w:ind w:left="720" w:hanging="360"/>
      </w:pPr>
      <w:rPr>
        <w:rFonts w:ascii="Webdings" w:hAnsi="Webdings" w:hint="default"/>
        <w:b w:val="0"/>
        <w:i w:val="0"/>
        <w:color w:val="FF6600"/>
        <w:sz w:val="24"/>
        <w:szCs w:val="18"/>
      </w:rPr>
    </w:lvl>
    <w:lvl w:ilvl="1" w:tplc="04090019">
      <w:start w:val="1"/>
      <w:numFmt w:val="lowerLetter"/>
      <w:lvlText w:val="%2."/>
      <w:lvlJc w:val="left"/>
      <w:pPr>
        <w:ind w:left="1440" w:hanging="360"/>
      </w:pPr>
    </w:lvl>
    <w:lvl w:ilvl="2" w:tplc="8F96F1DE">
      <w:start w:val="1"/>
      <w:numFmt w:val="bullet"/>
      <w:lvlText w:val=""/>
      <w:lvlJc w:val="left"/>
      <w:pPr>
        <w:ind w:left="2160" w:hanging="180"/>
      </w:pPr>
      <w:rPr>
        <w:rFonts w:ascii="Webdings" w:hAnsi="Webdings" w:hint="default"/>
        <w:b w:val="0"/>
        <w:i w:val="0"/>
        <w:color w:val="auto"/>
        <w:sz w:val="18"/>
        <w:szCs w:val="18"/>
      </w:r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0">
    <w:nsid w:val="5D607222"/>
    <w:multiLevelType w:val="hybridMultilevel"/>
    <w:tmpl w:val="49603F68"/>
    <w:lvl w:ilvl="0" w:tplc="E02EFEBE">
      <w:start w:val="1"/>
      <w:numFmt w:val="bullet"/>
      <w:lvlText w:val=""/>
      <w:lvlJc w:val="left"/>
      <w:pPr>
        <w:ind w:left="720" w:hanging="360"/>
      </w:pPr>
      <w:rPr>
        <w:rFonts w:ascii="Symbol" w:hAnsi="Symbol" w:hint="default"/>
        <w:b w:val="0"/>
        <w:i w:val="0"/>
        <w:color w:val="000000"/>
        <w:sz w:val="18"/>
        <w:szCs w:val="18"/>
      </w:rPr>
    </w:lvl>
    <w:lvl w:ilvl="1" w:tplc="04090003" w:tentative="1">
      <w:start w:val="1"/>
      <w:numFmt w:val="bullet"/>
      <w:lvlText w:val="o"/>
      <w:lvlJc w:val="left"/>
      <w:pPr>
        <w:ind w:left="720" w:hanging="360"/>
      </w:pPr>
      <w:rPr>
        <w:rFonts w:ascii="Courier New" w:hAnsi="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91">
    <w:nsid w:val="60427CEF"/>
    <w:multiLevelType w:val="hybridMultilevel"/>
    <w:tmpl w:val="61905A72"/>
    <w:lvl w:ilvl="0" w:tplc="D902DDBC">
      <w:start w:val="1"/>
      <w:numFmt w:val="bullet"/>
      <w:lvlText w:val=""/>
      <w:lvlJc w:val="left"/>
      <w:pPr>
        <w:ind w:left="1440" w:hanging="360"/>
      </w:pPr>
      <w:rPr>
        <w:rFonts w:ascii="Webdings" w:hAnsi="Webdings" w:hint="default"/>
        <w:b w:val="0"/>
        <w:i w:val="0"/>
        <w:color w:val="FF6600"/>
        <w:sz w:val="24"/>
      </w:rPr>
    </w:lvl>
    <w:lvl w:ilvl="1" w:tplc="04090011">
      <w:start w:val="1"/>
      <w:numFmt w:val="decimal"/>
      <w:lvlText w:val="%2)"/>
      <w:lvlJc w:val="left"/>
      <w:pPr>
        <w:ind w:left="2160" w:hanging="360"/>
      </w:pPr>
      <w:rPr>
        <w:rFonts w:hint="default"/>
      </w:rPr>
    </w:lvl>
    <w:lvl w:ilvl="2" w:tplc="0409001B">
      <w:start w:val="1"/>
      <w:numFmt w:val="lowerRoman"/>
      <w:lvlText w:val="%3."/>
      <w:lvlJc w:val="right"/>
      <w:pPr>
        <w:ind w:left="3060" w:hanging="180"/>
      </w:pPr>
      <w:rPr>
        <w:rFonts w:hint="default"/>
      </w:r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92">
    <w:nsid w:val="60667AC2"/>
    <w:multiLevelType w:val="hybridMultilevel"/>
    <w:tmpl w:val="5ED0A8E6"/>
    <w:lvl w:ilvl="0" w:tplc="D902DDBC">
      <w:start w:val="1"/>
      <w:numFmt w:val="bullet"/>
      <w:lvlText w:val=""/>
      <w:lvlJc w:val="left"/>
      <w:pPr>
        <w:ind w:left="1440" w:hanging="360"/>
      </w:pPr>
      <w:rPr>
        <w:rFonts w:ascii="Webdings" w:hAnsi="Webdings" w:hint="default"/>
        <w:b w:val="0"/>
        <w:i w:val="0"/>
        <w:color w:val="FF6600"/>
        <w:sz w:val="24"/>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3">
    <w:nsid w:val="6171729C"/>
    <w:multiLevelType w:val="hybridMultilevel"/>
    <w:tmpl w:val="5046F2A0"/>
    <w:lvl w:ilvl="0" w:tplc="D902DDBC">
      <w:start w:val="1"/>
      <w:numFmt w:val="bullet"/>
      <w:lvlText w:val=""/>
      <w:lvlJc w:val="left"/>
      <w:pPr>
        <w:ind w:left="901" w:hanging="360"/>
      </w:pPr>
      <w:rPr>
        <w:rFonts w:ascii="Webdings" w:hAnsi="Webdings" w:hint="default"/>
        <w:b w:val="0"/>
        <w:i w:val="0"/>
        <w:color w:val="FF6600"/>
        <w:sz w:val="24"/>
      </w:rPr>
    </w:lvl>
    <w:lvl w:ilvl="1" w:tplc="04090003" w:tentative="1">
      <w:start w:val="1"/>
      <w:numFmt w:val="bullet"/>
      <w:lvlText w:val="o"/>
      <w:lvlJc w:val="left"/>
      <w:pPr>
        <w:ind w:left="1621" w:hanging="360"/>
      </w:pPr>
      <w:rPr>
        <w:rFonts w:ascii="Courier New" w:hAnsi="Courier New" w:cs="Courier New" w:hint="default"/>
      </w:rPr>
    </w:lvl>
    <w:lvl w:ilvl="2" w:tplc="04090005" w:tentative="1">
      <w:start w:val="1"/>
      <w:numFmt w:val="bullet"/>
      <w:lvlText w:val=""/>
      <w:lvlJc w:val="left"/>
      <w:pPr>
        <w:ind w:left="2341" w:hanging="360"/>
      </w:pPr>
      <w:rPr>
        <w:rFonts w:ascii="Wingdings" w:hAnsi="Wingdings" w:hint="default"/>
      </w:rPr>
    </w:lvl>
    <w:lvl w:ilvl="3" w:tplc="04090001" w:tentative="1">
      <w:start w:val="1"/>
      <w:numFmt w:val="bullet"/>
      <w:lvlText w:val=""/>
      <w:lvlJc w:val="left"/>
      <w:pPr>
        <w:ind w:left="3061" w:hanging="360"/>
      </w:pPr>
      <w:rPr>
        <w:rFonts w:ascii="Symbol" w:hAnsi="Symbol" w:hint="default"/>
      </w:rPr>
    </w:lvl>
    <w:lvl w:ilvl="4" w:tplc="04090003" w:tentative="1">
      <w:start w:val="1"/>
      <w:numFmt w:val="bullet"/>
      <w:lvlText w:val="o"/>
      <w:lvlJc w:val="left"/>
      <w:pPr>
        <w:ind w:left="3781" w:hanging="360"/>
      </w:pPr>
      <w:rPr>
        <w:rFonts w:ascii="Courier New" w:hAnsi="Courier New" w:cs="Courier New" w:hint="default"/>
      </w:rPr>
    </w:lvl>
    <w:lvl w:ilvl="5" w:tplc="04090005" w:tentative="1">
      <w:start w:val="1"/>
      <w:numFmt w:val="bullet"/>
      <w:lvlText w:val=""/>
      <w:lvlJc w:val="left"/>
      <w:pPr>
        <w:ind w:left="4501" w:hanging="360"/>
      </w:pPr>
      <w:rPr>
        <w:rFonts w:ascii="Wingdings" w:hAnsi="Wingdings" w:hint="default"/>
      </w:rPr>
    </w:lvl>
    <w:lvl w:ilvl="6" w:tplc="04090001" w:tentative="1">
      <w:start w:val="1"/>
      <w:numFmt w:val="bullet"/>
      <w:lvlText w:val=""/>
      <w:lvlJc w:val="left"/>
      <w:pPr>
        <w:ind w:left="5221" w:hanging="360"/>
      </w:pPr>
      <w:rPr>
        <w:rFonts w:ascii="Symbol" w:hAnsi="Symbol" w:hint="default"/>
      </w:rPr>
    </w:lvl>
    <w:lvl w:ilvl="7" w:tplc="04090003" w:tentative="1">
      <w:start w:val="1"/>
      <w:numFmt w:val="bullet"/>
      <w:lvlText w:val="o"/>
      <w:lvlJc w:val="left"/>
      <w:pPr>
        <w:ind w:left="5941" w:hanging="360"/>
      </w:pPr>
      <w:rPr>
        <w:rFonts w:ascii="Courier New" w:hAnsi="Courier New" w:cs="Courier New" w:hint="default"/>
      </w:rPr>
    </w:lvl>
    <w:lvl w:ilvl="8" w:tplc="04090005" w:tentative="1">
      <w:start w:val="1"/>
      <w:numFmt w:val="bullet"/>
      <w:lvlText w:val=""/>
      <w:lvlJc w:val="left"/>
      <w:pPr>
        <w:ind w:left="6661" w:hanging="360"/>
      </w:pPr>
      <w:rPr>
        <w:rFonts w:ascii="Wingdings" w:hAnsi="Wingdings" w:hint="default"/>
      </w:rPr>
    </w:lvl>
  </w:abstractNum>
  <w:abstractNum w:abstractNumId="94">
    <w:nsid w:val="62186EB7"/>
    <w:multiLevelType w:val="hybridMultilevel"/>
    <w:tmpl w:val="751E751C"/>
    <w:lvl w:ilvl="0" w:tplc="D902DDBC">
      <w:start w:val="1"/>
      <w:numFmt w:val="bullet"/>
      <w:lvlText w:val=""/>
      <w:lvlJc w:val="left"/>
      <w:pPr>
        <w:ind w:left="2220" w:hanging="360"/>
      </w:pPr>
      <w:rPr>
        <w:rFonts w:ascii="Webdings" w:hAnsi="Webdings" w:hint="default"/>
        <w:b w:val="0"/>
        <w:i w:val="0"/>
        <w:color w:val="FF6600"/>
        <w:sz w:val="24"/>
      </w:rPr>
    </w:lvl>
    <w:lvl w:ilvl="1" w:tplc="04090003">
      <w:start w:val="1"/>
      <w:numFmt w:val="bullet"/>
      <w:lvlText w:val="o"/>
      <w:lvlJc w:val="left"/>
      <w:pPr>
        <w:ind w:left="2940" w:hanging="360"/>
      </w:pPr>
      <w:rPr>
        <w:rFonts w:ascii="Courier New" w:hAnsi="Courier New" w:cs="Times New Roman" w:hint="default"/>
      </w:rPr>
    </w:lvl>
    <w:lvl w:ilvl="2" w:tplc="04090005">
      <w:start w:val="1"/>
      <w:numFmt w:val="bullet"/>
      <w:lvlText w:val=""/>
      <w:lvlJc w:val="left"/>
      <w:pPr>
        <w:ind w:left="3660" w:hanging="360"/>
      </w:pPr>
      <w:rPr>
        <w:rFonts w:ascii="Wingdings" w:hAnsi="Wingdings" w:hint="default"/>
      </w:rPr>
    </w:lvl>
    <w:lvl w:ilvl="3" w:tplc="04090001">
      <w:start w:val="1"/>
      <w:numFmt w:val="bullet"/>
      <w:lvlText w:val=""/>
      <w:lvlJc w:val="left"/>
      <w:pPr>
        <w:ind w:left="4380" w:hanging="360"/>
      </w:pPr>
      <w:rPr>
        <w:rFonts w:ascii="Symbol" w:hAnsi="Symbol" w:hint="default"/>
      </w:rPr>
    </w:lvl>
    <w:lvl w:ilvl="4" w:tplc="04090003">
      <w:start w:val="1"/>
      <w:numFmt w:val="bullet"/>
      <w:lvlText w:val="o"/>
      <w:lvlJc w:val="left"/>
      <w:pPr>
        <w:ind w:left="5100" w:hanging="360"/>
      </w:pPr>
      <w:rPr>
        <w:rFonts w:ascii="Courier New" w:hAnsi="Courier New" w:cs="Times New Roman" w:hint="default"/>
      </w:rPr>
    </w:lvl>
    <w:lvl w:ilvl="5" w:tplc="04090005">
      <w:start w:val="1"/>
      <w:numFmt w:val="bullet"/>
      <w:lvlText w:val=""/>
      <w:lvlJc w:val="left"/>
      <w:pPr>
        <w:ind w:left="5820" w:hanging="360"/>
      </w:pPr>
      <w:rPr>
        <w:rFonts w:ascii="Wingdings" w:hAnsi="Wingdings" w:hint="default"/>
      </w:rPr>
    </w:lvl>
    <w:lvl w:ilvl="6" w:tplc="04090001">
      <w:start w:val="1"/>
      <w:numFmt w:val="bullet"/>
      <w:lvlText w:val=""/>
      <w:lvlJc w:val="left"/>
      <w:pPr>
        <w:ind w:left="6540" w:hanging="360"/>
      </w:pPr>
      <w:rPr>
        <w:rFonts w:ascii="Symbol" w:hAnsi="Symbol" w:hint="default"/>
      </w:rPr>
    </w:lvl>
    <w:lvl w:ilvl="7" w:tplc="04090003">
      <w:start w:val="1"/>
      <w:numFmt w:val="bullet"/>
      <w:lvlText w:val="o"/>
      <w:lvlJc w:val="left"/>
      <w:pPr>
        <w:ind w:left="7260" w:hanging="360"/>
      </w:pPr>
      <w:rPr>
        <w:rFonts w:ascii="Courier New" w:hAnsi="Courier New" w:cs="Times New Roman" w:hint="default"/>
      </w:rPr>
    </w:lvl>
    <w:lvl w:ilvl="8" w:tplc="04090005">
      <w:start w:val="1"/>
      <w:numFmt w:val="bullet"/>
      <w:lvlText w:val=""/>
      <w:lvlJc w:val="left"/>
      <w:pPr>
        <w:ind w:left="7980" w:hanging="360"/>
      </w:pPr>
      <w:rPr>
        <w:rFonts w:ascii="Wingdings" w:hAnsi="Wingdings" w:hint="default"/>
      </w:rPr>
    </w:lvl>
  </w:abstractNum>
  <w:abstractNum w:abstractNumId="95">
    <w:nsid w:val="638D59FF"/>
    <w:multiLevelType w:val="hybridMultilevel"/>
    <w:tmpl w:val="8BE08CB0"/>
    <w:lvl w:ilvl="0" w:tplc="47061FE4">
      <w:start w:val="1"/>
      <w:numFmt w:val="lowerLetter"/>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6">
    <w:nsid w:val="63A57996"/>
    <w:multiLevelType w:val="hybridMultilevel"/>
    <w:tmpl w:val="99CE1804"/>
    <w:lvl w:ilvl="0" w:tplc="D902DDBC">
      <w:start w:val="1"/>
      <w:numFmt w:val="bullet"/>
      <w:lvlText w:val=""/>
      <w:lvlJc w:val="left"/>
      <w:pPr>
        <w:ind w:left="720" w:hanging="360"/>
      </w:pPr>
      <w:rPr>
        <w:rFonts w:ascii="Webdings" w:hAnsi="Webdings" w:hint="default"/>
        <w:b w:val="0"/>
        <w:i w:val="0"/>
        <w:color w:val="FF6600"/>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7">
    <w:nsid w:val="65107640"/>
    <w:multiLevelType w:val="hybridMultilevel"/>
    <w:tmpl w:val="9EACD7B6"/>
    <w:lvl w:ilvl="0" w:tplc="D902DDBC">
      <w:start w:val="1"/>
      <w:numFmt w:val="bullet"/>
      <w:lvlText w:val=""/>
      <w:lvlJc w:val="left"/>
      <w:pPr>
        <w:ind w:left="720" w:hanging="360"/>
      </w:pPr>
      <w:rPr>
        <w:rFonts w:ascii="Webdings" w:hAnsi="Webdings" w:hint="default"/>
        <w:b w:val="0"/>
        <w:i w:val="0"/>
        <w:color w:val="FF6600"/>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8">
    <w:nsid w:val="65681004"/>
    <w:multiLevelType w:val="hybridMultilevel"/>
    <w:tmpl w:val="E6C83A62"/>
    <w:lvl w:ilvl="0" w:tplc="D902DDBC">
      <w:start w:val="1"/>
      <w:numFmt w:val="bullet"/>
      <w:lvlText w:val=""/>
      <w:lvlJc w:val="left"/>
      <w:pPr>
        <w:tabs>
          <w:tab w:val="num" w:pos="360"/>
        </w:tabs>
        <w:ind w:left="360" w:hanging="360"/>
      </w:pPr>
      <w:rPr>
        <w:rFonts w:ascii="Webdings" w:hAnsi="Webdings" w:hint="default"/>
        <w:b w:val="0"/>
        <w:i w:val="0"/>
        <w:color w:val="FF6600"/>
        <w:sz w:val="24"/>
        <w:szCs w:val="20"/>
      </w:rPr>
    </w:lvl>
    <w:lvl w:ilvl="1" w:tplc="D902DDBC">
      <w:start w:val="1"/>
      <w:numFmt w:val="bullet"/>
      <w:lvlText w:val=""/>
      <w:lvlJc w:val="left"/>
      <w:pPr>
        <w:tabs>
          <w:tab w:val="num" w:pos="1440"/>
        </w:tabs>
        <w:ind w:left="1440" w:hanging="360"/>
      </w:pPr>
      <w:rPr>
        <w:rFonts w:ascii="Webdings" w:hAnsi="Webdings" w:hint="default"/>
        <w:b w:val="0"/>
        <w:i w:val="0"/>
        <w:color w:val="FF6600"/>
        <w:sz w:val="24"/>
      </w:rPr>
    </w:lvl>
    <w:lvl w:ilvl="2" w:tplc="FFFFFFFF">
      <w:start w:val="1"/>
      <w:numFmt w:val="decimal"/>
      <w:lvlText w:val="%3."/>
      <w:lvlJc w:val="left"/>
      <w:pPr>
        <w:tabs>
          <w:tab w:val="num" w:pos="2160"/>
        </w:tabs>
        <w:ind w:left="2160" w:hanging="360"/>
      </w:pPr>
    </w:lvl>
    <w:lvl w:ilvl="3" w:tplc="FFFFFFFF">
      <w:start w:val="1"/>
      <w:numFmt w:val="decimal"/>
      <w:lvlText w:val="%4."/>
      <w:lvlJc w:val="left"/>
      <w:pPr>
        <w:tabs>
          <w:tab w:val="num" w:pos="2880"/>
        </w:tabs>
        <w:ind w:left="2880" w:hanging="360"/>
      </w:pPr>
    </w:lvl>
    <w:lvl w:ilvl="4" w:tplc="FFFFFFFF">
      <w:start w:val="1"/>
      <w:numFmt w:val="decimal"/>
      <w:lvlText w:val="%5."/>
      <w:lvlJc w:val="left"/>
      <w:pPr>
        <w:tabs>
          <w:tab w:val="num" w:pos="3600"/>
        </w:tabs>
        <w:ind w:left="3600" w:hanging="360"/>
      </w:pPr>
    </w:lvl>
    <w:lvl w:ilvl="5" w:tplc="FFFFFFFF">
      <w:start w:val="1"/>
      <w:numFmt w:val="decimal"/>
      <w:lvlText w:val="%6."/>
      <w:lvlJc w:val="left"/>
      <w:pPr>
        <w:tabs>
          <w:tab w:val="num" w:pos="4320"/>
        </w:tabs>
        <w:ind w:left="4320" w:hanging="360"/>
      </w:pPr>
    </w:lvl>
    <w:lvl w:ilvl="6" w:tplc="FFFFFFFF">
      <w:start w:val="1"/>
      <w:numFmt w:val="decimal"/>
      <w:lvlText w:val="%7."/>
      <w:lvlJc w:val="left"/>
      <w:pPr>
        <w:tabs>
          <w:tab w:val="num" w:pos="5040"/>
        </w:tabs>
        <w:ind w:left="5040" w:hanging="360"/>
      </w:pPr>
    </w:lvl>
    <w:lvl w:ilvl="7" w:tplc="FFFFFFFF">
      <w:start w:val="1"/>
      <w:numFmt w:val="decimal"/>
      <w:lvlText w:val="%8."/>
      <w:lvlJc w:val="left"/>
      <w:pPr>
        <w:tabs>
          <w:tab w:val="num" w:pos="5760"/>
        </w:tabs>
        <w:ind w:left="5760" w:hanging="360"/>
      </w:pPr>
    </w:lvl>
    <w:lvl w:ilvl="8" w:tplc="FFFFFFFF">
      <w:start w:val="1"/>
      <w:numFmt w:val="decimal"/>
      <w:lvlText w:val="%9."/>
      <w:lvlJc w:val="left"/>
      <w:pPr>
        <w:tabs>
          <w:tab w:val="num" w:pos="6480"/>
        </w:tabs>
        <w:ind w:left="6480" w:hanging="360"/>
      </w:pPr>
    </w:lvl>
  </w:abstractNum>
  <w:abstractNum w:abstractNumId="99">
    <w:nsid w:val="67AA356D"/>
    <w:multiLevelType w:val="hybridMultilevel"/>
    <w:tmpl w:val="EC3EB1E2"/>
    <w:lvl w:ilvl="0" w:tplc="D902DDBC">
      <w:start w:val="1"/>
      <w:numFmt w:val="bullet"/>
      <w:lvlText w:val=""/>
      <w:lvlJc w:val="left"/>
      <w:pPr>
        <w:ind w:left="1440" w:hanging="360"/>
      </w:pPr>
      <w:rPr>
        <w:rFonts w:ascii="Webdings" w:hAnsi="Webdings" w:hint="default"/>
        <w:b w:val="0"/>
        <w:i w:val="0"/>
        <w:color w:val="FF6600"/>
        <w:sz w:val="24"/>
      </w:rPr>
    </w:lvl>
    <w:lvl w:ilvl="1" w:tplc="04090003">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nsid w:val="67C5344F"/>
    <w:multiLevelType w:val="hybridMultilevel"/>
    <w:tmpl w:val="F2567C40"/>
    <w:lvl w:ilvl="0" w:tplc="D902DDBC">
      <w:start w:val="1"/>
      <w:numFmt w:val="bullet"/>
      <w:lvlText w:val=""/>
      <w:lvlJc w:val="left"/>
      <w:pPr>
        <w:ind w:left="3960" w:hanging="360"/>
      </w:pPr>
      <w:rPr>
        <w:rFonts w:ascii="Webdings" w:hAnsi="Webdings" w:hint="default"/>
        <w:b w:val="0"/>
        <w:i w:val="0"/>
        <w:color w:val="FF6600"/>
        <w:sz w:val="24"/>
      </w:rPr>
    </w:lvl>
    <w:lvl w:ilvl="1" w:tplc="04090003" w:tentative="1">
      <w:start w:val="1"/>
      <w:numFmt w:val="bullet"/>
      <w:lvlText w:val="o"/>
      <w:lvlJc w:val="left"/>
      <w:pPr>
        <w:ind w:left="4680" w:hanging="360"/>
      </w:pPr>
      <w:rPr>
        <w:rFonts w:ascii="Courier New" w:hAnsi="Courier New" w:cs="Courier New" w:hint="default"/>
      </w:rPr>
    </w:lvl>
    <w:lvl w:ilvl="2" w:tplc="04090005" w:tentative="1">
      <w:start w:val="1"/>
      <w:numFmt w:val="bullet"/>
      <w:lvlText w:val=""/>
      <w:lvlJc w:val="left"/>
      <w:pPr>
        <w:ind w:left="5400" w:hanging="360"/>
      </w:pPr>
      <w:rPr>
        <w:rFonts w:ascii="Wingdings" w:hAnsi="Wingdings" w:hint="default"/>
      </w:rPr>
    </w:lvl>
    <w:lvl w:ilvl="3" w:tplc="04090001" w:tentative="1">
      <w:start w:val="1"/>
      <w:numFmt w:val="bullet"/>
      <w:lvlText w:val=""/>
      <w:lvlJc w:val="left"/>
      <w:pPr>
        <w:ind w:left="6120" w:hanging="360"/>
      </w:pPr>
      <w:rPr>
        <w:rFonts w:ascii="Symbol" w:hAnsi="Symbol" w:hint="default"/>
      </w:rPr>
    </w:lvl>
    <w:lvl w:ilvl="4" w:tplc="04090003" w:tentative="1">
      <w:start w:val="1"/>
      <w:numFmt w:val="bullet"/>
      <w:lvlText w:val="o"/>
      <w:lvlJc w:val="left"/>
      <w:pPr>
        <w:ind w:left="6840" w:hanging="360"/>
      </w:pPr>
      <w:rPr>
        <w:rFonts w:ascii="Courier New" w:hAnsi="Courier New" w:cs="Courier New" w:hint="default"/>
      </w:rPr>
    </w:lvl>
    <w:lvl w:ilvl="5" w:tplc="04090005" w:tentative="1">
      <w:start w:val="1"/>
      <w:numFmt w:val="bullet"/>
      <w:lvlText w:val=""/>
      <w:lvlJc w:val="left"/>
      <w:pPr>
        <w:ind w:left="7560" w:hanging="360"/>
      </w:pPr>
      <w:rPr>
        <w:rFonts w:ascii="Wingdings" w:hAnsi="Wingdings" w:hint="default"/>
      </w:rPr>
    </w:lvl>
    <w:lvl w:ilvl="6" w:tplc="04090001" w:tentative="1">
      <w:start w:val="1"/>
      <w:numFmt w:val="bullet"/>
      <w:lvlText w:val=""/>
      <w:lvlJc w:val="left"/>
      <w:pPr>
        <w:ind w:left="8280" w:hanging="360"/>
      </w:pPr>
      <w:rPr>
        <w:rFonts w:ascii="Symbol" w:hAnsi="Symbol" w:hint="default"/>
      </w:rPr>
    </w:lvl>
    <w:lvl w:ilvl="7" w:tplc="04090003" w:tentative="1">
      <w:start w:val="1"/>
      <w:numFmt w:val="bullet"/>
      <w:lvlText w:val="o"/>
      <w:lvlJc w:val="left"/>
      <w:pPr>
        <w:ind w:left="9000" w:hanging="360"/>
      </w:pPr>
      <w:rPr>
        <w:rFonts w:ascii="Courier New" w:hAnsi="Courier New" w:cs="Courier New" w:hint="default"/>
      </w:rPr>
    </w:lvl>
    <w:lvl w:ilvl="8" w:tplc="04090005" w:tentative="1">
      <w:start w:val="1"/>
      <w:numFmt w:val="bullet"/>
      <w:lvlText w:val=""/>
      <w:lvlJc w:val="left"/>
      <w:pPr>
        <w:ind w:left="9720" w:hanging="360"/>
      </w:pPr>
      <w:rPr>
        <w:rFonts w:ascii="Wingdings" w:hAnsi="Wingdings" w:hint="default"/>
      </w:rPr>
    </w:lvl>
  </w:abstractNum>
  <w:abstractNum w:abstractNumId="101">
    <w:nsid w:val="68BA008F"/>
    <w:multiLevelType w:val="hybridMultilevel"/>
    <w:tmpl w:val="508C935A"/>
    <w:lvl w:ilvl="0" w:tplc="D902DDBC">
      <w:start w:val="1"/>
      <w:numFmt w:val="bullet"/>
      <w:lvlText w:val=""/>
      <w:lvlJc w:val="left"/>
      <w:pPr>
        <w:ind w:left="1260" w:hanging="360"/>
      </w:pPr>
      <w:rPr>
        <w:rFonts w:ascii="Webdings" w:hAnsi="Webdings" w:hint="default"/>
        <w:b w:val="0"/>
        <w:i w:val="0"/>
        <w:color w:val="FF6600"/>
        <w:sz w:val="24"/>
      </w:rPr>
    </w:lvl>
    <w:lvl w:ilvl="1" w:tplc="04090003">
      <w:start w:val="1"/>
      <w:numFmt w:val="bullet"/>
      <w:lvlText w:val="o"/>
      <w:lvlJc w:val="left"/>
      <w:pPr>
        <w:ind w:left="1980" w:hanging="360"/>
      </w:pPr>
      <w:rPr>
        <w:rFonts w:ascii="Courier New" w:hAnsi="Courier New" w:hint="default"/>
      </w:rPr>
    </w:lvl>
    <w:lvl w:ilvl="2" w:tplc="04090005">
      <w:start w:val="1"/>
      <w:numFmt w:val="bullet"/>
      <w:lvlText w:val=""/>
      <w:lvlJc w:val="left"/>
      <w:pPr>
        <w:ind w:left="2700" w:hanging="360"/>
      </w:pPr>
      <w:rPr>
        <w:rFonts w:ascii="Wingdings" w:hAnsi="Wingdings" w:hint="default"/>
      </w:rPr>
    </w:lvl>
    <w:lvl w:ilvl="3" w:tplc="04090001">
      <w:start w:val="1"/>
      <w:numFmt w:val="bullet"/>
      <w:lvlText w:val=""/>
      <w:lvlJc w:val="left"/>
      <w:pPr>
        <w:ind w:left="3420" w:hanging="360"/>
      </w:pPr>
      <w:rPr>
        <w:rFonts w:ascii="Symbol" w:hAnsi="Symbol" w:hint="default"/>
      </w:rPr>
    </w:lvl>
    <w:lvl w:ilvl="4" w:tplc="04090003" w:tentative="1">
      <w:start w:val="1"/>
      <w:numFmt w:val="bullet"/>
      <w:lvlText w:val="o"/>
      <w:lvlJc w:val="left"/>
      <w:pPr>
        <w:ind w:left="4140" w:hanging="360"/>
      </w:pPr>
      <w:rPr>
        <w:rFonts w:ascii="Courier New" w:hAnsi="Courier New" w:hint="default"/>
      </w:rPr>
    </w:lvl>
    <w:lvl w:ilvl="5" w:tplc="04090005" w:tentative="1">
      <w:start w:val="1"/>
      <w:numFmt w:val="bullet"/>
      <w:lvlText w:val=""/>
      <w:lvlJc w:val="left"/>
      <w:pPr>
        <w:ind w:left="4860" w:hanging="360"/>
      </w:pPr>
      <w:rPr>
        <w:rFonts w:ascii="Wingdings" w:hAnsi="Wingdings" w:hint="default"/>
      </w:rPr>
    </w:lvl>
    <w:lvl w:ilvl="6" w:tplc="04090001" w:tentative="1">
      <w:start w:val="1"/>
      <w:numFmt w:val="bullet"/>
      <w:lvlText w:val=""/>
      <w:lvlJc w:val="left"/>
      <w:pPr>
        <w:ind w:left="5580" w:hanging="360"/>
      </w:pPr>
      <w:rPr>
        <w:rFonts w:ascii="Symbol" w:hAnsi="Symbol" w:hint="default"/>
      </w:rPr>
    </w:lvl>
    <w:lvl w:ilvl="7" w:tplc="04090003" w:tentative="1">
      <w:start w:val="1"/>
      <w:numFmt w:val="bullet"/>
      <w:lvlText w:val="o"/>
      <w:lvlJc w:val="left"/>
      <w:pPr>
        <w:ind w:left="6300" w:hanging="360"/>
      </w:pPr>
      <w:rPr>
        <w:rFonts w:ascii="Courier New" w:hAnsi="Courier New" w:hint="default"/>
      </w:rPr>
    </w:lvl>
    <w:lvl w:ilvl="8" w:tplc="04090005" w:tentative="1">
      <w:start w:val="1"/>
      <w:numFmt w:val="bullet"/>
      <w:lvlText w:val=""/>
      <w:lvlJc w:val="left"/>
      <w:pPr>
        <w:ind w:left="7020" w:hanging="360"/>
      </w:pPr>
      <w:rPr>
        <w:rFonts w:ascii="Wingdings" w:hAnsi="Wingdings" w:hint="default"/>
      </w:rPr>
    </w:lvl>
  </w:abstractNum>
  <w:abstractNum w:abstractNumId="102">
    <w:nsid w:val="69FB7F38"/>
    <w:multiLevelType w:val="hybridMultilevel"/>
    <w:tmpl w:val="D4DA68B2"/>
    <w:lvl w:ilvl="0" w:tplc="D902DDBC">
      <w:start w:val="1"/>
      <w:numFmt w:val="bullet"/>
      <w:lvlText w:val=""/>
      <w:lvlJc w:val="left"/>
      <w:pPr>
        <w:ind w:left="1440" w:hanging="360"/>
      </w:pPr>
      <w:rPr>
        <w:rFonts w:ascii="Webdings" w:hAnsi="Webdings" w:hint="default"/>
        <w:b w:val="0"/>
        <w:i w:val="0"/>
        <w:color w:val="FF6600"/>
        <w:sz w:val="24"/>
      </w:rPr>
    </w:lvl>
    <w:lvl w:ilvl="1" w:tplc="D902DDBC">
      <w:start w:val="1"/>
      <w:numFmt w:val="bullet"/>
      <w:lvlText w:val=""/>
      <w:lvlJc w:val="left"/>
      <w:pPr>
        <w:ind w:left="2160" w:hanging="360"/>
      </w:pPr>
      <w:rPr>
        <w:rFonts w:ascii="Webdings" w:hAnsi="Webdings" w:hint="default"/>
        <w:b w:val="0"/>
        <w:i w:val="0"/>
        <w:color w:val="FF6600"/>
        <w:sz w:val="24"/>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3">
    <w:nsid w:val="6ABA2A6A"/>
    <w:multiLevelType w:val="multilevel"/>
    <w:tmpl w:val="C8C275EA"/>
    <w:lvl w:ilvl="0">
      <w:start w:val="1"/>
      <w:numFmt w:val="bullet"/>
      <w:lvlText w:val=""/>
      <w:lvlJc w:val="left"/>
      <w:pPr>
        <w:tabs>
          <w:tab w:val="num" w:pos="360"/>
        </w:tabs>
        <w:ind w:left="360" w:hanging="360"/>
      </w:pPr>
      <w:rPr>
        <w:rFonts w:ascii="Webdings" w:hAnsi="Webdings" w:hint="default"/>
        <w:b w:val="0"/>
        <w:i w:val="0"/>
        <w:color w:val="FF6600"/>
        <w:sz w:val="24"/>
        <w:szCs w:val="24"/>
      </w:rPr>
    </w:lvl>
    <w:lvl w:ilvl="1">
      <w:start w:val="1"/>
      <w:numFmt w:val="lowerLetter"/>
      <w:lvlText w:val="%2)"/>
      <w:lvlJc w:val="left"/>
      <w:pPr>
        <w:tabs>
          <w:tab w:val="num" w:pos="720"/>
        </w:tabs>
        <w:ind w:left="720" w:hanging="360"/>
      </w:pPr>
      <w:rPr>
        <w:rFonts w:ascii="Trebuchet MS" w:hAnsi="Trebuchet MS" w:cs="Times New Roman"/>
        <w:sz w:val="18"/>
      </w:rPr>
    </w:lvl>
    <w:lvl w:ilvl="2">
      <w:start w:val="1"/>
      <w:numFmt w:val="bullet"/>
      <w:lvlText w:val=""/>
      <w:lvlJc w:val="left"/>
      <w:pPr>
        <w:tabs>
          <w:tab w:val="num" w:pos="1080"/>
        </w:tabs>
        <w:ind w:left="1080" w:hanging="360"/>
      </w:pPr>
      <w:rPr>
        <w:rFonts w:ascii="Symbol" w:hAnsi="Symbol" w:hint="default"/>
        <w:color w:val="auto"/>
      </w:rPr>
    </w:lvl>
    <w:lvl w:ilvl="3">
      <w:start w:val="1"/>
      <w:numFmt w:val="decimal"/>
      <w:lvlText w:val="(%4)"/>
      <w:lvlJc w:val="left"/>
      <w:pPr>
        <w:tabs>
          <w:tab w:val="num" w:pos="1440"/>
        </w:tabs>
        <w:ind w:left="1800" w:hanging="360"/>
      </w:pPr>
      <w:rPr>
        <w:rFonts w:ascii="Trebuchet MS" w:hAnsi="Trebuchet MS" w:cs="Times New Roman"/>
        <w:sz w:val="18"/>
      </w:rPr>
    </w:lvl>
    <w:lvl w:ilvl="4">
      <w:start w:val="1"/>
      <w:numFmt w:val="lowerLetter"/>
      <w:lvlText w:val="(%5)"/>
      <w:lvlJc w:val="left"/>
      <w:pPr>
        <w:tabs>
          <w:tab w:val="num" w:pos="1800"/>
        </w:tabs>
        <w:ind w:left="1800" w:hanging="360"/>
      </w:pPr>
      <w:rPr>
        <w:rFonts w:cs="Times New Roman"/>
      </w:rPr>
    </w:lvl>
    <w:lvl w:ilvl="5">
      <w:start w:val="1"/>
      <w:numFmt w:val="bullet"/>
      <w:lvlText w:val=""/>
      <w:lvlJc w:val="left"/>
      <w:pPr>
        <w:tabs>
          <w:tab w:val="num" w:pos="2160"/>
        </w:tabs>
        <w:ind w:left="2160" w:hanging="360"/>
      </w:pPr>
      <w:rPr>
        <w:rFonts w:ascii="Webdings" w:hAnsi="Webdings" w:hint="default"/>
        <w:b w:val="0"/>
        <w:i w:val="0"/>
        <w:color w:val="FF6600"/>
        <w:sz w:val="24"/>
      </w:rPr>
    </w:lvl>
    <w:lvl w:ilvl="6">
      <w:start w:val="1"/>
      <w:numFmt w:val="decimal"/>
      <w:lvlText w:val="%7."/>
      <w:lvlJc w:val="left"/>
      <w:pPr>
        <w:tabs>
          <w:tab w:val="num" w:pos="2520"/>
        </w:tabs>
        <w:ind w:left="2520" w:hanging="360"/>
      </w:pPr>
      <w:rPr>
        <w:rFonts w:cs="Times New Roman"/>
      </w:rPr>
    </w:lvl>
    <w:lvl w:ilvl="7">
      <w:start w:val="1"/>
      <w:numFmt w:val="lowerLetter"/>
      <w:lvlText w:val="%8."/>
      <w:lvlJc w:val="left"/>
      <w:pPr>
        <w:tabs>
          <w:tab w:val="num" w:pos="2880"/>
        </w:tabs>
        <w:ind w:left="2880" w:hanging="360"/>
      </w:pPr>
      <w:rPr>
        <w:rFonts w:cs="Times New Roman"/>
      </w:rPr>
    </w:lvl>
    <w:lvl w:ilvl="8">
      <w:start w:val="1"/>
      <w:numFmt w:val="lowerRoman"/>
      <w:lvlText w:val="%9."/>
      <w:lvlJc w:val="left"/>
      <w:pPr>
        <w:tabs>
          <w:tab w:val="num" w:pos="3240"/>
        </w:tabs>
        <w:ind w:left="3240" w:hanging="360"/>
      </w:pPr>
      <w:rPr>
        <w:rFonts w:cs="Times New Roman"/>
      </w:rPr>
    </w:lvl>
  </w:abstractNum>
  <w:abstractNum w:abstractNumId="104">
    <w:nsid w:val="6AC71F0B"/>
    <w:multiLevelType w:val="hybridMultilevel"/>
    <w:tmpl w:val="EACE8F22"/>
    <w:lvl w:ilvl="0" w:tplc="49CEB1AC">
      <w:start w:val="1"/>
      <w:numFmt w:val="bullet"/>
      <w:lvlText w:val=""/>
      <w:lvlJc w:val="left"/>
      <w:pPr>
        <w:ind w:left="720" w:hanging="360"/>
      </w:pPr>
      <w:rPr>
        <w:rFonts w:ascii="Webdings" w:hAnsi="Webdings" w:hint="default"/>
        <w:b w:val="0"/>
        <w:i w:val="0"/>
        <w:color w:val="FF6600"/>
        <w:sz w:val="24"/>
      </w:rPr>
    </w:lvl>
    <w:lvl w:ilvl="1" w:tplc="6D9084A0">
      <w:start w:val="1"/>
      <w:numFmt w:val="bullet"/>
      <w:lvlText w:val=""/>
      <w:lvlJc w:val="left"/>
      <w:pPr>
        <w:ind w:left="1440" w:hanging="360"/>
      </w:pPr>
      <w:rPr>
        <w:rFonts w:ascii="Symbol" w:hAnsi="Symbol" w:hint="default"/>
        <w:b w:val="0"/>
        <w:i w:val="0"/>
        <w:color w:val="auto"/>
        <w:sz w:val="18"/>
        <w:szCs w:val="18"/>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5">
    <w:nsid w:val="6ADF308B"/>
    <w:multiLevelType w:val="hybridMultilevel"/>
    <w:tmpl w:val="34202B2E"/>
    <w:lvl w:ilvl="0" w:tplc="A0C64A96">
      <w:start w:val="1"/>
      <w:numFmt w:val="bullet"/>
      <w:lvlText w:val=""/>
      <w:lvlJc w:val="left"/>
      <w:pPr>
        <w:ind w:left="720" w:hanging="360"/>
      </w:pPr>
      <w:rPr>
        <w:rFonts w:ascii="Webdings" w:hAnsi="Webdings" w:hint="default"/>
        <w:b w:val="0"/>
        <w:i w:val="0"/>
        <w:color w:val="000000" w:themeColor="text1"/>
        <w:sz w:val="24"/>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6">
    <w:nsid w:val="6B154436"/>
    <w:multiLevelType w:val="hybridMultilevel"/>
    <w:tmpl w:val="37AC117C"/>
    <w:lvl w:ilvl="0" w:tplc="D902DDBC">
      <w:start w:val="1"/>
      <w:numFmt w:val="bullet"/>
      <w:lvlText w:val=""/>
      <w:lvlJc w:val="left"/>
      <w:pPr>
        <w:ind w:left="720" w:hanging="360"/>
      </w:pPr>
      <w:rPr>
        <w:rFonts w:ascii="Webdings" w:hAnsi="Webdings" w:hint="default"/>
        <w:b w:val="0"/>
        <w:i w:val="0"/>
        <w:color w:val="FF6600"/>
        <w:sz w:val="24"/>
      </w:rPr>
    </w:lvl>
    <w:lvl w:ilvl="1" w:tplc="04090017">
      <w:start w:val="1"/>
      <w:numFmt w:val="lowerLetter"/>
      <w:lvlText w:val="%2)"/>
      <w:lvlJc w:val="left"/>
      <w:pPr>
        <w:ind w:left="1440" w:hanging="360"/>
      </w:pPr>
      <w:rPr>
        <w:rFonts w:hint="default"/>
      </w:rPr>
    </w:lvl>
    <w:lvl w:ilvl="2" w:tplc="D902DDBC">
      <w:start w:val="1"/>
      <w:numFmt w:val="bullet"/>
      <w:lvlText w:val=""/>
      <w:lvlJc w:val="left"/>
      <w:pPr>
        <w:ind w:left="2160" w:hanging="360"/>
      </w:pPr>
      <w:rPr>
        <w:rFonts w:ascii="Webdings" w:hAnsi="Webdings" w:hint="default"/>
        <w:b w:val="0"/>
        <w:i w:val="0"/>
        <w:color w:val="FF6600"/>
        <w:sz w:val="24"/>
      </w:rPr>
    </w:lvl>
    <w:lvl w:ilvl="3" w:tplc="D902DDBC">
      <w:start w:val="1"/>
      <w:numFmt w:val="bullet"/>
      <w:lvlText w:val=""/>
      <w:lvlJc w:val="left"/>
      <w:pPr>
        <w:ind w:left="2880" w:hanging="360"/>
      </w:pPr>
      <w:rPr>
        <w:rFonts w:ascii="Webdings" w:hAnsi="Webdings" w:hint="default"/>
        <w:b w:val="0"/>
        <w:i w:val="0"/>
        <w:color w:val="FF6600"/>
        <w:sz w:val="24"/>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7">
    <w:nsid w:val="6B2C4D22"/>
    <w:multiLevelType w:val="hybridMultilevel"/>
    <w:tmpl w:val="8EBADAA2"/>
    <w:lvl w:ilvl="0" w:tplc="D902DDBC">
      <w:start w:val="1"/>
      <w:numFmt w:val="bullet"/>
      <w:lvlText w:val=""/>
      <w:lvlJc w:val="left"/>
      <w:pPr>
        <w:ind w:left="720" w:hanging="360"/>
      </w:pPr>
      <w:rPr>
        <w:rFonts w:ascii="Webdings" w:hAnsi="Webdings" w:hint="default"/>
        <w:b w:val="0"/>
        <w:i w:val="0"/>
        <w:color w:val="FF6600"/>
        <w:sz w:val="24"/>
      </w:rPr>
    </w:lvl>
    <w:lvl w:ilvl="1" w:tplc="08B6783A">
      <w:start w:val="1"/>
      <w:numFmt w:val="decimal"/>
      <w:lvlText w:val="%2."/>
      <w:lvlJc w:val="left"/>
      <w:pPr>
        <w:tabs>
          <w:tab w:val="num" w:pos="1440"/>
        </w:tabs>
        <w:ind w:left="1440" w:hanging="360"/>
      </w:pPr>
      <w:rPr>
        <w:b/>
      </w:rPr>
    </w:lvl>
    <w:lvl w:ilvl="2" w:tplc="0409001B">
      <w:start w:val="1"/>
      <w:numFmt w:val="decimal"/>
      <w:lvlText w:val="%3."/>
      <w:lvlJc w:val="left"/>
      <w:pPr>
        <w:tabs>
          <w:tab w:val="num" w:pos="2160"/>
        </w:tabs>
        <w:ind w:left="2160" w:hanging="360"/>
      </w:pPr>
    </w:lvl>
    <w:lvl w:ilvl="3" w:tplc="0409000F">
      <w:start w:val="1"/>
      <w:numFmt w:val="decimal"/>
      <w:lvlText w:val="%4."/>
      <w:lvlJc w:val="left"/>
      <w:pPr>
        <w:tabs>
          <w:tab w:val="num" w:pos="2880"/>
        </w:tabs>
        <w:ind w:left="2880" w:hanging="360"/>
      </w:pPr>
    </w:lvl>
    <w:lvl w:ilvl="4" w:tplc="04090019">
      <w:start w:val="1"/>
      <w:numFmt w:val="decimal"/>
      <w:lvlText w:val="%5."/>
      <w:lvlJc w:val="left"/>
      <w:pPr>
        <w:tabs>
          <w:tab w:val="num" w:pos="3600"/>
        </w:tabs>
        <w:ind w:left="3600" w:hanging="360"/>
      </w:pPr>
    </w:lvl>
    <w:lvl w:ilvl="5" w:tplc="0409001B">
      <w:start w:val="1"/>
      <w:numFmt w:val="decimal"/>
      <w:lvlText w:val="%6."/>
      <w:lvlJc w:val="left"/>
      <w:pPr>
        <w:tabs>
          <w:tab w:val="num" w:pos="4320"/>
        </w:tabs>
        <w:ind w:left="4320" w:hanging="360"/>
      </w:pPr>
    </w:lvl>
    <w:lvl w:ilvl="6" w:tplc="0409000F">
      <w:start w:val="1"/>
      <w:numFmt w:val="decimal"/>
      <w:lvlText w:val="%7."/>
      <w:lvlJc w:val="left"/>
      <w:pPr>
        <w:tabs>
          <w:tab w:val="num" w:pos="5040"/>
        </w:tabs>
        <w:ind w:left="5040" w:hanging="360"/>
      </w:pPr>
    </w:lvl>
    <w:lvl w:ilvl="7" w:tplc="04090019">
      <w:start w:val="1"/>
      <w:numFmt w:val="decimal"/>
      <w:lvlText w:val="%8."/>
      <w:lvlJc w:val="left"/>
      <w:pPr>
        <w:tabs>
          <w:tab w:val="num" w:pos="5760"/>
        </w:tabs>
        <w:ind w:left="5760" w:hanging="360"/>
      </w:pPr>
    </w:lvl>
    <w:lvl w:ilvl="8" w:tplc="0409001B">
      <w:start w:val="1"/>
      <w:numFmt w:val="decimal"/>
      <w:lvlText w:val="%9."/>
      <w:lvlJc w:val="left"/>
      <w:pPr>
        <w:tabs>
          <w:tab w:val="num" w:pos="6480"/>
        </w:tabs>
        <w:ind w:left="6480" w:hanging="360"/>
      </w:pPr>
    </w:lvl>
  </w:abstractNum>
  <w:abstractNum w:abstractNumId="108">
    <w:nsid w:val="6CA417C6"/>
    <w:multiLevelType w:val="hybridMultilevel"/>
    <w:tmpl w:val="6B60C67A"/>
    <w:lvl w:ilvl="0" w:tplc="D902DDBC">
      <w:start w:val="1"/>
      <w:numFmt w:val="bullet"/>
      <w:lvlText w:val=""/>
      <w:lvlJc w:val="left"/>
      <w:pPr>
        <w:ind w:left="720" w:hanging="360"/>
      </w:pPr>
      <w:rPr>
        <w:rFonts w:ascii="Webdings" w:hAnsi="Webdings" w:hint="default"/>
        <w:b w:val="0"/>
        <w:i w:val="0"/>
        <w:color w:val="FF6600"/>
        <w:sz w:val="24"/>
      </w:rPr>
    </w:lvl>
    <w:lvl w:ilvl="1" w:tplc="04090017">
      <w:start w:val="1"/>
      <w:numFmt w:val="lowerLetter"/>
      <w:lvlText w:val="%2)"/>
      <w:lvlJc w:val="left"/>
      <w:pPr>
        <w:ind w:left="1440" w:hanging="360"/>
      </w:pPr>
      <w:rPr>
        <w:rFonts w:hint="default"/>
      </w:rPr>
    </w:lvl>
    <w:lvl w:ilvl="2" w:tplc="D902DDBC">
      <w:start w:val="1"/>
      <w:numFmt w:val="bullet"/>
      <w:lvlText w:val=""/>
      <w:lvlJc w:val="left"/>
      <w:pPr>
        <w:ind w:left="2160" w:hanging="360"/>
      </w:pPr>
      <w:rPr>
        <w:rFonts w:ascii="Webdings" w:hAnsi="Webdings" w:hint="default"/>
        <w:b w:val="0"/>
        <w:i w:val="0"/>
        <w:color w:val="FF6600"/>
        <w:sz w:val="24"/>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9">
    <w:nsid w:val="6DD00F62"/>
    <w:multiLevelType w:val="hybridMultilevel"/>
    <w:tmpl w:val="A7560B60"/>
    <w:lvl w:ilvl="0" w:tplc="D902DDBC">
      <w:start w:val="1"/>
      <w:numFmt w:val="bullet"/>
      <w:lvlText w:val=""/>
      <w:lvlJc w:val="left"/>
      <w:pPr>
        <w:ind w:left="1627" w:hanging="360"/>
      </w:pPr>
      <w:rPr>
        <w:rFonts w:ascii="Webdings" w:hAnsi="Webdings" w:hint="default"/>
        <w:b w:val="0"/>
        <w:i w:val="0"/>
        <w:color w:val="FF6600"/>
        <w:sz w:val="24"/>
      </w:rPr>
    </w:lvl>
    <w:lvl w:ilvl="1" w:tplc="04090003" w:tentative="1">
      <w:start w:val="1"/>
      <w:numFmt w:val="bullet"/>
      <w:lvlText w:val="o"/>
      <w:lvlJc w:val="left"/>
      <w:pPr>
        <w:ind w:left="2347" w:hanging="360"/>
      </w:pPr>
      <w:rPr>
        <w:rFonts w:ascii="Courier New" w:hAnsi="Courier New" w:cs="Courier New" w:hint="default"/>
      </w:rPr>
    </w:lvl>
    <w:lvl w:ilvl="2" w:tplc="04090005" w:tentative="1">
      <w:start w:val="1"/>
      <w:numFmt w:val="bullet"/>
      <w:lvlText w:val=""/>
      <w:lvlJc w:val="left"/>
      <w:pPr>
        <w:ind w:left="3067" w:hanging="360"/>
      </w:pPr>
      <w:rPr>
        <w:rFonts w:ascii="Wingdings" w:hAnsi="Wingdings" w:hint="default"/>
      </w:rPr>
    </w:lvl>
    <w:lvl w:ilvl="3" w:tplc="04090001">
      <w:start w:val="1"/>
      <w:numFmt w:val="bullet"/>
      <w:lvlText w:val=""/>
      <w:lvlJc w:val="left"/>
      <w:pPr>
        <w:ind w:left="3787" w:hanging="360"/>
      </w:pPr>
      <w:rPr>
        <w:rFonts w:ascii="Symbol" w:hAnsi="Symbol" w:hint="default"/>
      </w:rPr>
    </w:lvl>
    <w:lvl w:ilvl="4" w:tplc="04090003" w:tentative="1">
      <w:start w:val="1"/>
      <w:numFmt w:val="bullet"/>
      <w:lvlText w:val="o"/>
      <w:lvlJc w:val="left"/>
      <w:pPr>
        <w:ind w:left="4507" w:hanging="360"/>
      </w:pPr>
      <w:rPr>
        <w:rFonts w:ascii="Courier New" w:hAnsi="Courier New" w:cs="Courier New" w:hint="default"/>
      </w:rPr>
    </w:lvl>
    <w:lvl w:ilvl="5" w:tplc="04090005" w:tentative="1">
      <w:start w:val="1"/>
      <w:numFmt w:val="bullet"/>
      <w:lvlText w:val=""/>
      <w:lvlJc w:val="left"/>
      <w:pPr>
        <w:ind w:left="5227" w:hanging="360"/>
      </w:pPr>
      <w:rPr>
        <w:rFonts w:ascii="Wingdings" w:hAnsi="Wingdings" w:hint="default"/>
      </w:rPr>
    </w:lvl>
    <w:lvl w:ilvl="6" w:tplc="04090001" w:tentative="1">
      <w:start w:val="1"/>
      <w:numFmt w:val="bullet"/>
      <w:lvlText w:val=""/>
      <w:lvlJc w:val="left"/>
      <w:pPr>
        <w:ind w:left="5947" w:hanging="360"/>
      </w:pPr>
      <w:rPr>
        <w:rFonts w:ascii="Symbol" w:hAnsi="Symbol" w:hint="default"/>
      </w:rPr>
    </w:lvl>
    <w:lvl w:ilvl="7" w:tplc="04090003" w:tentative="1">
      <w:start w:val="1"/>
      <w:numFmt w:val="bullet"/>
      <w:lvlText w:val="o"/>
      <w:lvlJc w:val="left"/>
      <w:pPr>
        <w:ind w:left="6667" w:hanging="360"/>
      </w:pPr>
      <w:rPr>
        <w:rFonts w:ascii="Courier New" w:hAnsi="Courier New" w:cs="Courier New" w:hint="default"/>
      </w:rPr>
    </w:lvl>
    <w:lvl w:ilvl="8" w:tplc="04090005" w:tentative="1">
      <w:start w:val="1"/>
      <w:numFmt w:val="bullet"/>
      <w:lvlText w:val=""/>
      <w:lvlJc w:val="left"/>
      <w:pPr>
        <w:ind w:left="7387" w:hanging="360"/>
      </w:pPr>
      <w:rPr>
        <w:rFonts w:ascii="Wingdings" w:hAnsi="Wingdings" w:hint="default"/>
      </w:rPr>
    </w:lvl>
  </w:abstractNum>
  <w:abstractNum w:abstractNumId="110">
    <w:nsid w:val="6EC543B6"/>
    <w:multiLevelType w:val="hybridMultilevel"/>
    <w:tmpl w:val="260634CC"/>
    <w:lvl w:ilvl="0" w:tplc="CC2C34EC">
      <w:start w:val="1"/>
      <w:numFmt w:val="bullet"/>
      <w:lvlText w:val=""/>
      <w:lvlJc w:val="left"/>
      <w:pPr>
        <w:tabs>
          <w:tab w:val="num" w:pos="720"/>
        </w:tabs>
        <w:ind w:left="720" w:hanging="360"/>
      </w:pPr>
      <w:rPr>
        <w:rFonts w:ascii="Webdings" w:hAnsi="Webdings" w:hint="default"/>
        <w:b w:val="0"/>
        <w:i w:val="0"/>
        <w:color w:val="FF6600"/>
        <w:sz w:val="24"/>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11">
    <w:nsid w:val="708D3122"/>
    <w:multiLevelType w:val="hybridMultilevel"/>
    <w:tmpl w:val="5EFA17E8"/>
    <w:lvl w:ilvl="0" w:tplc="D902DDBC">
      <w:start w:val="1"/>
      <w:numFmt w:val="bullet"/>
      <w:lvlText w:val=""/>
      <w:lvlJc w:val="left"/>
      <w:pPr>
        <w:ind w:left="1440" w:hanging="360"/>
      </w:pPr>
      <w:rPr>
        <w:rFonts w:ascii="Webdings" w:hAnsi="Webdings" w:hint="default"/>
        <w:b w:val="0"/>
        <w:i w:val="0"/>
        <w:color w:val="FF6600"/>
        <w:sz w:val="24"/>
      </w:rPr>
    </w:lvl>
    <w:lvl w:ilvl="1" w:tplc="04090003" w:tentative="1">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2">
    <w:nsid w:val="72AB5EE6"/>
    <w:multiLevelType w:val="multilevel"/>
    <w:tmpl w:val="D3EED718"/>
    <w:lvl w:ilvl="0">
      <w:start w:val="1"/>
      <w:numFmt w:val="bullet"/>
      <w:lvlText w:val=""/>
      <w:lvlJc w:val="left"/>
      <w:pPr>
        <w:tabs>
          <w:tab w:val="num" w:pos="1080"/>
        </w:tabs>
        <w:ind w:left="1080" w:hanging="360"/>
      </w:pPr>
      <w:rPr>
        <w:rFonts w:ascii="Webdings" w:hAnsi="Webdings" w:hint="default"/>
        <w:b w:val="0"/>
        <w:i w:val="0"/>
        <w:color w:val="FF6600"/>
        <w:sz w:val="24"/>
      </w:rPr>
    </w:lvl>
    <w:lvl w:ilvl="1">
      <w:start w:val="1"/>
      <w:numFmt w:val="decimal"/>
      <w:lvlText w:val="%2."/>
      <w:lvlJc w:val="left"/>
      <w:pPr>
        <w:tabs>
          <w:tab w:val="num" w:pos="1800"/>
        </w:tabs>
        <w:ind w:left="1800" w:hanging="360"/>
      </w:pPr>
      <w:rPr>
        <w:rFonts w:cs="Times New Roman"/>
      </w:rPr>
    </w:lvl>
    <w:lvl w:ilvl="2">
      <w:start w:val="1"/>
      <w:numFmt w:val="decimal"/>
      <w:lvlText w:val="%3."/>
      <w:lvlJc w:val="left"/>
      <w:pPr>
        <w:tabs>
          <w:tab w:val="num" w:pos="2520"/>
        </w:tabs>
        <w:ind w:left="2520" w:hanging="360"/>
      </w:pPr>
      <w:rPr>
        <w:rFonts w:cs="Times New Roman"/>
      </w:rPr>
    </w:lvl>
    <w:lvl w:ilvl="3">
      <w:start w:val="1"/>
      <w:numFmt w:val="decimal"/>
      <w:lvlText w:val="%4."/>
      <w:lvlJc w:val="left"/>
      <w:pPr>
        <w:tabs>
          <w:tab w:val="num" w:pos="3240"/>
        </w:tabs>
        <w:ind w:left="3240" w:hanging="360"/>
      </w:pPr>
      <w:rPr>
        <w:rFonts w:cs="Times New Roman"/>
      </w:rPr>
    </w:lvl>
    <w:lvl w:ilvl="4">
      <w:start w:val="1"/>
      <w:numFmt w:val="decimal"/>
      <w:lvlText w:val="%5."/>
      <w:lvlJc w:val="left"/>
      <w:pPr>
        <w:tabs>
          <w:tab w:val="num" w:pos="3960"/>
        </w:tabs>
        <w:ind w:left="3960" w:hanging="360"/>
      </w:pPr>
      <w:rPr>
        <w:rFonts w:cs="Times New Roman"/>
      </w:rPr>
    </w:lvl>
    <w:lvl w:ilvl="5">
      <w:start w:val="1"/>
      <w:numFmt w:val="decimal"/>
      <w:lvlText w:val="%6."/>
      <w:lvlJc w:val="left"/>
      <w:pPr>
        <w:tabs>
          <w:tab w:val="num" w:pos="4680"/>
        </w:tabs>
        <w:ind w:left="4680" w:hanging="360"/>
      </w:pPr>
      <w:rPr>
        <w:rFonts w:cs="Times New Roman"/>
      </w:rPr>
    </w:lvl>
    <w:lvl w:ilvl="6">
      <w:start w:val="1"/>
      <w:numFmt w:val="decimal"/>
      <w:lvlText w:val="%7."/>
      <w:lvlJc w:val="left"/>
      <w:pPr>
        <w:tabs>
          <w:tab w:val="num" w:pos="5400"/>
        </w:tabs>
        <w:ind w:left="5400" w:hanging="360"/>
      </w:pPr>
      <w:rPr>
        <w:rFonts w:cs="Times New Roman"/>
      </w:rPr>
    </w:lvl>
    <w:lvl w:ilvl="7">
      <w:start w:val="1"/>
      <w:numFmt w:val="decimal"/>
      <w:lvlText w:val="%8."/>
      <w:lvlJc w:val="left"/>
      <w:pPr>
        <w:tabs>
          <w:tab w:val="num" w:pos="6120"/>
        </w:tabs>
        <w:ind w:left="6120" w:hanging="360"/>
      </w:pPr>
      <w:rPr>
        <w:rFonts w:cs="Times New Roman"/>
      </w:rPr>
    </w:lvl>
    <w:lvl w:ilvl="8">
      <w:start w:val="1"/>
      <w:numFmt w:val="decimal"/>
      <w:lvlText w:val="%9."/>
      <w:lvlJc w:val="left"/>
      <w:pPr>
        <w:tabs>
          <w:tab w:val="num" w:pos="6840"/>
        </w:tabs>
        <w:ind w:left="6840" w:hanging="360"/>
      </w:pPr>
      <w:rPr>
        <w:rFonts w:cs="Times New Roman"/>
      </w:rPr>
    </w:lvl>
  </w:abstractNum>
  <w:abstractNum w:abstractNumId="113">
    <w:nsid w:val="755E6803"/>
    <w:multiLevelType w:val="hybridMultilevel"/>
    <w:tmpl w:val="5AC24D7A"/>
    <w:lvl w:ilvl="0" w:tplc="D902DDBC">
      <w:start w:val="1"/>
      <w:numFmt w:val="bullet"/>
      <w:lvlText w:val=""/>
      <w:lvlJc w:val="left"/>
      <w:pPr>
        <w:ind w:left="1440" w:hanging="360"/>
      </w:pPr>
      <w:rPr>
        <w:rFonts w:ascii="Webdings" w:hAnsi="Webdings" w:hint="default"/>
        <w:b w:val="0"/>
        <w:i w:val="0"/>
        <w:color w:val="FF6600"/>
        <w:sz w:val="24"/>
      </w:rPr>
    </w:lvl>
    <w:lvl w:ilvl="1" w:tplc="BCDCC7D8">
      <w:numFmt w:val="bullet"/>
      <w:lvlText w:val="•"/>
      <w:lvlJc w:val="left"/>
      <w:pPr>
        <w:ind w:left="2520" w:hanging="720"/>
      </w:pPr>
      <w:rPr>
        <w:rFonts w:ascii="Tahoma" w:eastAsia="MS Mincho" w:hAnsi="Tahoma" w:cs="Tahoma" w:hint="default"/>
      </w:rPr>
    </w:lvl>
    <w:lvl w:ilvl="2" w:tplc="04090005" w:tentative="1">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hint="default"/>
      </w:rPr>
    </w:lvl>
    <w:lvl w:ilvl="5" w:tplc="04090005">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4">
    <w:nsid w:val="75EA50C0"/>
    <w:multiLevelType w:val="hybridMultilevel"/>
    <w:tmpl w:val="4BA46372"/>
    <w:lvl w:ilvl="0" w:tplc="99D4E280">
      <w:start w:val="1"/>
      <w:numFmt w:val="lowerLetter"/>
      <w:lvlText w:val="%1."/>
      <w:lvlJc w:val="left"/>
      <w:pPr>
        <w:ind w:left="720" w:hanging="360"/>
      </w:pPr>
      <w:rPr>
        <w:b/>
      </w:r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115">
    <w:nsid w:val="75FB62CB"/>
    <w:multiLevelType w:val="hybridMultilevel"/>
    <w:tmpl w:val="B30AF6B0"/>
    <w:lvl w:ilvl="0" w:tplc="D902DDBC">
      <w:start w:val="1"/>
      <w:numFmt w:val="bullet"/>
      <w:lvlText w:val=""/>
      <w:lvlJc w:val="left"/>
      <w:pPr>
        <w:ind w:left="3600" w:hanging="360"/>
      </w:pPr>
      <w:rPr>
        <w:rFonts w:ascii="Webdings" w:hAnsi="Webdings" w:hint="default"/>
        <w:b w:val="0"/>
        <w:i w:val="0"/>
        <w:color w:val="FF6600"/>
        <w:sz w:val="24"/>
      </w:rPr>
    </w:lvl>
    <w:lvl w:ilvl="1" w:tplc="04090003" w:tentative="1">
      <w:start w:val="1"/>
      <w:numFmt w:val="bullet"/>
      <w:lvlText w:val="o"/>
      <w:lvlJc w:val="left"/>
      <w:pPr>
        <w:ind w:left="3600" w:hanging="360"/>
      </w:pPr>
      <w:rPr>
        <w:rFonts w:ascii="Courier New" w:hAnsi="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hint="default"/>
      </w:rPr>
    </w:lvl>
    <w:lvl w:ilvl="8" w:tplc="04090005" w:tentative="1">
      <w:start w:val="1"/>
      <w:numFmt w:val="bullet"/>
      <w:lvlText w:val=""/>
      <w:lvlJc w:val="left"/>
      <w:pPr>
        <w:ind w:left="8640" w:hanging="360"/>
      </w:pPr>
      <w:rPr>
        <w:rFonts w:ascii="Wingdings" w:hAnsi="Wingdings" w:hint="default"/>
      </w:rPr>
    </w:lvl>
  </w:abstractNum>
  <w:abstractNum w:abstractNumId="116">
    <w:nsid w:val="76155754"/>
    <w:multiLevelType w:val="hybridMultilevel"/>
    <w:tmpl w:val="64AA5E14"/>
    <w:lvl w:ilvl="0" w:tplc="B99AE6E2">
      <w:start w:val="1"/>
      <w:numFmt w:val="lowerLetter"/>
      <w:lvlText w:val="%1."/>
      <w:lvlJc w:val="left"/>
      <w:pPr>
        <w:ind w:left="720" w:hanging="360"/>
      </w:pPr>
      <w:rPr>
        <w:rFonts w:hint="default"/>
        <w:b w:val="0"/>
      </w:rPr>
    </w:lvl>
    <w:lvl w:ilvl="1" w:tplc="B7ACF3AA">
      <w:start w:val="1"/>
      <w:numFmt w:val="bullet"/>
      <w:lvlText w:val=""/>
      <w:lvlJc w:val="left"/>
      <w:pPr>
        <w:ind w:left="1440" w:hanging="360"/>
      </w:pPr>
      <w:rPr>
        <w:rFonts w:ascii="Symbol" w:hAnsi="Symbol" w:hint="default"/>
        <w:sz w:val="18"/>
        <w:szCs w:val="18"/>
      </w:r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7">
    <w:nsid w:val="765E36FC"/>
    <w:multiLevelType w:val="hybridMultilevel"/>
    <w:tmpl w:val="C6901C10"/>
    <w:lvl w:ilvl="0" w:tplc="0152F0C0">
      <w:start w:val="1"/>
      <w:numFmt w:val="bullet"/>
      <w:lvlText w:val=""/>
      <w:lvlJc w:val="left"/>
      <w:pPr>
        <w:ind w:left="720" w:hanging="360"/>
      </w:pPr>
      <w:rPr>
        <w:rFonts w:ascii="Webdings" w:hAnsi="Webdings" w:hint="default"/>
        <w:b w:val="0"/>
        <w:i w:val="0"/>
        <w:color w:val="FF6600"/>
        <w:sz w:val="22"/>
      </w:rPr>
    </w:lvl>
    <w:lvl w:ilvl="1" w:tplc="04090017">
      <w:start w:val="1"/>
      <w:numFmt w:val="lowerLetter"/>
      <w:lvlText w:val="%2)"/>
      <w:lvlJc w:val="left"/>
      <w:pPr>
        <w:ind w:left="1440" w:hanging="360"/>
      </w:pPr>
      <w:rPr>
        <w:rFonts w:hint="default"/>
      </w:rPr>
    </w:lvl>
    <w:lvl w:ilvl="2" w:tplc="D902DDBC">
      <w:start w:val="1"/>
      <w:numFmt w:val="bullet"/>
      <w:lvlText w:val=""/>
      <w:lvlJc w:val="left"/>
      <w:pPr>
        <w:ind w:left="2160" w:hanging="360"/>
      </w:pPr>
      <w:rPr>
        <w:rFonts w:ascii="Webdings" w:hAnsi="Webdings" w:hint="default"/>
        <w:b w:val="0"/>
        <w:i w:val="0"/>
        <w:color w:val="FF6600"/>
        <w:sz w:val="24"/>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8">
    <w:nsid w:val="77014573"/>
    <w:multiLevelType w:val="hybridMultilevel"/>
    <w:tmpl w:val="6192B40C"/>
    <w:lvl w:ilvl="0" w:tplc="D902DDBC">
      <w:start w:val="1"/>
      <w:numFmt w:val="bullet"/>
      <w:lvlText w:val=""/>
      <w:lvlJc w:val="left"/>
      <w:pPr>
        <w:ind w:left="1987" w:hanging="360"/>
      </w:pPr>
      <w:rPr>
        <w:rFonts w:ascii="Webdings" w:hAnsi="Webdings" w:hint="default"/>
        <w:b w:val="0"/>
        <w:i w:val="0"/>
        <w:color w:val="FF6600"/>
        <w:sz w:val="24"/>
        <w:szCs w:val="18"/>
      </w:rPr>
    </w:lvl>
    <w:lvl w:ilvl="1" w:tplc="04090003">
      <w:start w:val="1"/>
      <w:numFmt w:val="bullet"/>
      <w:lvlText w:val="o"/>
      <w:lvlJc w:val="left"/>
      <w:pPr>
        <w:ind w:left="2707" w:hanging="360"/>
      </w:pPr>
      <w:rPr>
        <w:rFonts w:ascii="Courier New" w:hAnsi="Courier New" w:hint="default"/>
      </w:rPr>
    </w:lvl>
    <w:lvl w:ilvl="2" w:tplc="04090005">
      <w:start w:val="1"/>
      <w:numFmt w:val="bullet"/>
      <w:lvlText w:val=""/>
      <w:lvlJc w:val="left"/>
      <w:pPr>
        <w:ind w:left="3427" w:hanging="360"/>
      </w:pPr>
      <w:rPr>
        <w:rFonts w:ascii="Wingdings" w:hAnsi="Wingdings" w:hint="default"/>
      </w:rPr>
    </w:lvl>
    <w:lvl w:ilvl="3" w:tplc="04090001" w:tentative="1">
      <w:start w:val="1"/>
      <w:numFmt w:val="bullet"/>
      <w:lvlText w:val=""/>
      <w:lvlJc w:val="left"/>
      <w:pPr>
        <w:ind w:left="4147" w:hanging="360"/>
      </w:pPr>
      <w:rPr>
        <w:rFonts w:ascii="Symbol" w:hAnsi="Symbol" w:hint="default"/>
      </w:rPr>
    </w:lvl>
    <w:lvl w:ilvl="4" w:tplc="04090003" w:tentative="1">
      <w:start w:val="1"/>
      <w:numFmt w:val="bullet"/>
      <w:lvlText w:val="o"/>
      <w:lvlJc w:val="left"/>
      <w:pPr>
        <w:ind w:left="4867" w:hanging="360"/>
      </w:pPr>
      <w:rPr>
        <w:rFonts w:ascii="Courier New" w:hAnsi="Courier New" w:hint="default"/>
      </w:rPr>
    </w:lvl>
    <w:lvl w:ilvl="5" w:tplc="04090005" w:tentative="1">
      <w:start w:val="1"/>
      <w:numFmt w:val="bullet"/>
      <w:lvlText w:val=""/>
      <w:lvlJc w:val="left"/>
      <w:pPr>
        <w:ind w:left="5587" w:hanging="360"/>
      </w:pPr>
      <w:rPr>
        <w:rFonts w:ascii="Wingdings" w:hAnsi="Wingdings" w:hint="default"/>
      </w:rPr>
    </w:lvl>
    <w:lvl w:ilvl="6" w:tplc="04090001" w:tentative="1">
      <w:start w:val="1"/>
      <w:numFmt w:val="bullet"/>
      <w:lvlText w:val=""/>
      <w:lvlJc w:val="left"/>
      <w:pPr>
        <w:ind w:left="6307" w:hanging="360"/>
      </w:pPr>
      <w:rPr>
        <w:rFonts w:ascii="Symbol" w:hAnsi="Symbol" w:hint="default"/>
      </w:rPr>
    </w:lvl>
    <w:lvl w:ilvl="7" w:tplc="04090003" w:tentative="1">
      <w:start w:val="1"/>
      <w:numFmt w:val="bullet"/>
      <w:lvlText w:val="o"/>
      <w:lvlJc w:val="left"/>
      <w:pPr>
        <w:ind w:left="7027" w:hanging="360"/>
      </w:pPr>
      <w:rPr>
        <w:rFonts w:ascii="Courier New" w:hAnsi="Courier New" w:hint="default"/>
      </w:rPr>
    </w:lvl>
    <w:lvl w:ilvl="8" w:tplc="04090005" w:tentative="1">
      <w:start w:val="1"/>
      <w:numFmt w:val="bullet"/>
      <w:lvlText w:val=""/>
      <w:lvlJc w:val="left"/>
      <w:pPr>
        <w:ind w:left="7747" w:hanging="360"/>
      </w:pPr>
      <w:rPr>
        <w:rFonts w:ascii="Wingdings" w:hAnsi="Wingdings" w:hint="default"/>
      </w:rPr>
    </w:lvl>
  </w:abstractNum>
  <w:abstractNum w:abstractNumId="119">
    <w:nsid w:val="770A0548"/>
    <w:multiLevelType w:val="hybridMultilevel"/>
    <w:tmpl w:val="B01EEB14"/>
    <w:lvl w:ilvl="0" w:tplc="D902DDBC">
      <w:start w:val="1"/>
      <w:numFmt w:val="bullet"/>
      <w:lvlText w:val=""/>
      <w:lvlJc w:val="left"/>
      <w:pPr>
        <w:ind w:left="1627" w:hanging="360"/>
      </w:pPr>
      <w:rPr>
        <w:rFonts w:ascii="Webdings" w:hAnsi="Webdings" w:hint="default"/>
        <w:b w:val="0"/>
        <w:i w:val="0"/>
        <w:color w:val="FF6600"/>
        <w:sz w:val="24"/>
      </w:rPr>
    </w:lvl>
    <w:lvl w:ilvl="1" w:tplc="04090003">
      <w:start w:val="1"/>
      <w:numFmt w:val="bullet"/>
      <w:lvlText w:val="o"/>
      <w:lvlJc w:val="left"/>
      <w:pPr>
        <w:ind w:left="2347" w:hanging="360"/>
      </w:pPr>
      <w:rPr>
        <w:rFonts w:ascii="Courier New" w:hAnsi="Courier New" w:cs="Courier New" w:hint="default"/>
      </w:rPr>
    </w:lvl>
    <w:lvl w:ilvl="2" w:tplc="04090001">
      <w:start w:val="1"/>
      <w:numFmt w:val="bullet"/>
      <w:lvlText w:val=""/>
      <w:lvlJc w:val="left"/>
      <w:pPr>
        <w:ind w:left="3067" w:hanging="360"/>
      </w:pPr>
      <w:rPr>
        <w:rFonts w:ascii="Symbol" w:hAnsi="Symbol" w:hint="default"/>
        <w:b w:val="0"/>
        <w:i w:val="0"/>
        <w:color w:val="auto"/>
        <w:sz w:val="18"/>
      </w:rPr>
    </w:lvl>
    <w:lvl w:ilvl="3" w:tplc="04090001">
      <w:start w:val="1"/>
      <w:numFmt w:val="bullet"/>
      <w:lvlText w:val=""/>
      <w:lvlJc w:val="left"/>
      <w:pPr>
        <w:ind w:left="3787" w:hanging="360"/>
      </w:pPr>
      <w:rPr>
        <w:rFonts w:ascii="Symbol" w:hAnsi="Symbol" w:hint="default"/>
      </w:rPr>
    </w:lvl>
    <w:lvl w:ilvl="4" w:tplc="04090003" w:tentative="1">
      <w:start w:val="1"/>
      <w:numFmt w:val="bullet"/>
      <w:lvlText w:val="o"/>
      <w:lvlJc w:val="left"/>
      <w:pPr>
        <w:ind w:left="4507" w:hanging="360"/>
      </w:pPr>
      <w:rPr>
        <w:rFonts w:ascii="Courier New" w:hAnsi="Courier New" w:cs="Courier New" w:hint="default"/>
      </w:rPr>
    </w:lvl>
    <w:lvl w:ilvl="5" w:tplc="04090005" w:tentative="1">
      <w:start w:val="1"/>
      <w:numFmt w:val="bullet"/>
      <w:lvlText w:val=""/>
      <w:lvlJc w:val="left"/>
      <w:pPr>
        <w:ind w:left="5227" w:hanging="360"/>
      </w:pPr>
      <w:rPr>
        <w:rFonts w:ascii="Wingdings" w:hAnsi="Wingdings" w:hint="default"/>
      </w:rPr>
    </w:lvl>
    <w:lvl w:ilvl="6" w:tplc="04090001" w:tentative="1">
      <w:start w:val="1"/>
      <w:numFmt w:val="bullet"/>
      <w:lvlText w:val=""/>
      <w:lvlJc w:val="left"/>
      <w:pPr>
        <w:ind w:left="5947" w:hanging="360"/>
      </w:pPr>
      <w:rPr>
        <w:rFonts w:ascii="Symbol" w:hAnsi="Symbol" w:hint="default"/>
      </w:rPr>
    </w:lvl>
    <w:lvl w:ilvl="7" w:tplc="04090003" w:tentative="1">
      <w:start w:val="1"/>
      <w:numFmt w:val="bullet"/>
      <w:lvlText w:val="o"/>
      <w:lvlJc w:val="left"/>
      <w:pPr>
        <w:ind w:left="6667" w:hanging="360"/>
      </w:pPr>
      <w:rPr>
        <w:rFonts w:ascii="Courier New" w:hAnsi="Courier New" w:cs="Courier New" w:hint="default"/>
      </w:rPr>
    </w:lvl>
    <w:lvl w:ilvl="8" w:tplc="04090005" w:tentative="1">
      <w:start w:val="1"/>
      <w:numFmt w:val="bullet"/>
      <w:lvlText w:val=""/>
      <w:lvlJc w:val="left"/>
      <w:pPr>
        <w:ind w:left="7387" w:hanging="360"/>
      </w:pPr>
      <w:rPr>
        <w:rFonts w:ascii="Wingdings" w:hAnsi="Wingdings" w:hint="default"/>
      </w:rPr>
    </w:lvl>
  </w:abstractNum>
  <w:abstractNum w:abstractNumId="120">
    <w:nsid w:val="77C042DD"/>
    <w:multiLevelType w:val="hybridMultilevel"/>
    <w:tmpl w:val="245A0BCE"/>
    <w:lvl w:ilvl="0" w:tplc="49CEB1AC">
      <w:start w:val="1"/>
      <w:numFmt w:val="bullet"/>
      <w:lvlText w:val=""/>
      <w:lvlJc w:val="left"/>
      <w:pPr>
        <w:ind w:left="720" w:hanging="360"/>
      </w:pPr>
      <w:rPr>
        <w:rFonts w:ascii="Webdings" w:hAnsi="Webdings" w:hint="default"/>
        <w:b w:val="0"/>
        <w:i w:val="0"/>
        <w:color w:val="FF6600"/>
        <w:sz w:val="24"/>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1">
    <w:nsid w:val="7A113F27"/>
    <w:multiLevelType w:val="hybridMultilevel"/>
    <w:tmpl w:val="D940F3E2"/>
    <w:lvl w:ilvl="0" w:tplc="04090017">
      <w:start w:val="1"/>
      <w:numFmt w:val="lowerLetter"/>
      <w:lvlText w:val="%1)"/>
      <w:lvlJc w:val="left"/>
      <w:pPr>
        <w:ind w:left="1440" w:hanging="360"/>
      </w:p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122">
    <w:nsid w:val="7A8C29F5"/>
    <w:multiLevelType w:val="hybridMultilevel"/>
    <w:tmpl w:val="A4A604B8"/>
    <w:lvl w:ilvl="0" w:tplc="D902DDBC">
      <w:start w:val="1"/>
      <w:numFmt w:val="bullet"/>
      <w:lvlText w:val=""/>
      <w:lvlJc w:val="left"/>
      <w:pPr>
        <w:ind w:left="1620" w:hanging="360"/>
      </w:pPr>
      <w:rPr>
        <w:rFonts w:ascii="Webdings" w:hAnsi="Webdings" w:hint="default"/>
        <w:b w:val="0"/>
        <w:i w:val="0"/>
        <w:color w:val="FF6600"/>
        <w:sz w:val="24"/>
      </w:rPr>
    </w:lvl>
    <w:lvl w:ilvl="1" w:tplc="04090003" w:tentative="1">
      <w:start w:val="1"/>
      <w:numFmt w:val="bullet"/>
      <w:lvlText w:val="o"/>
      <w:lvlJc w:val="left"/>
      <w:pPr>
        <w:ind w:left="2340" w:hanging="360"/>
      </w:pPr>
      <w:rPr>
        <w:rFonts w:ascii="Courier New" w:hAnsi="Courier New" w:hint="default"/>
      </w:rPr>
    </w:lvl>
    <w:lvl w:ilvl="2" w:tplc="04090005" w:tentative="1">
      <w:start w:val="1"/>
      <w:numFmt w:val="bullet"/>
      <w:lvlText w:val=""/>
      <w:lvlJc w:val="left"/>
      <w:pPr>
        <w:ind w:left="3060" w:hanging="360"/>
      </w:pPr>
      <w:rPr>
        <w:rFonts w:ascii="Wingdings" w:hAnsi="Wingdings" w:hint="default"/>
      </w:rPr>
    </w:lvl>
    <w:lvl w:ilvl="3" w:tplc="04090001" w:tentative="1">
      <w:start w:val="1"/>
      <w:numFmt w:val="bullet"/>
      <w:lvlText w:val=""/>
      <w:lvlJc w:val="left"/>
      <w:pPr>
        <w:ind w:left="3780" w:hanging="360"/>
      </w:pPr>
      <w:rPr>
        <w:rFonts w:ascii="Symbol" w:hAnsi="Symbol" w:hint="default"/>
      </w:rPr>
    </w:lvl>
    <w:lvl w:ilvl="4" w:tplc="04090003" w:tentative="1">
      <w:start w:val="1"/>
      <w:numFmt w:val="bullet"/>
      <w:lvlText w:val="o"/>
      <w:lvlJc w:val="left"/>
      <w:pPr>
        <w:ind w:left="4500" w:hanging="360"/>
      </w:pPr>
      <w:rPr>
        <w:rFonts w:ascii="Courier New" w:hAnsi="Courier New" w:hint="default"/>
      </w:rPr>
    </w:lvl>
    <w:lvl w:ilvl="5" w:tplc="04090005" w:tentative="1">
      <w:start w:val="1"/>
      <w:numFmt w:val="bullet"/>
      <w:lvlText w:val=""/>
      <w:lvlJc w:val="left"/>
      <w:pPr>
        <w:ind w:left="5220" w:hanging="360"/>
      </w:pPr>
      <w:rPr>
        <w:rFonts w:ascii="Wingdings" w:hAnsi="Wingdings" w:hint="default"/>
      </w:rPr>
    </w:lvl>
    <w:lvl w:ilvl="6" w:tplc="04090001" w:tentative="1">
      <w:start w:val="1"/>
      <w:numFmt w:val="bullet"/>
      <w:lvlText w:val=""/>
      <w:lvlJc w:val="left"/>
      <w:pPr>
        <w:ind w:left="5940" w:hanging="360"/>
      </w:pPr>
      <w:rPr>
        <w:rFonts w:ascii="Symbol" w:hAnsi="Symbol" w:hint="default"/>
      </w:rPr>
    </w:lvl>
    <w:lvl w:ilvl="7" w:tplc="04090003" w:tentative="1">
      <w:start w:val="1"/>
      <w:numFmt w:val="bullet"/>
      <w:lvlText w:val="o"/>
      <w:lvlJc w:val="left"/>
      <w:pPr>
        <w:ind w:left="6660" w:hanging="360"/>
      </w:pPr>
      <w:rPr>
        <w:rFonts w:ascii="Courier New" w:hAnsi="Courier New" w:hint="default"/>
      </w:rPr>
    </w:lvl>
    <w:lvl w:ilvl="8" w:tplc="04090005" w:tentative="1">
      <w:start w:val="1"/>
      <w:numFmt w:val="bullet"/>
      <w:lvlText w:val=""/>
      <w:lvlJc w:val="left"/>
      <w:pPr>
        <w:ind w:left="7380" w:hanging="360"/>
      </w:pPr>
      <w:rPr>
        <w:rFonts w:ascii="Wingdings" w:hAnsi="Wingdings" w:hint="default"/>
      </w:rPr>
    </w:lvl>
  </w:abstractNum>
  <w:abstractNum w:abstractNumId="123">
    <w:nsid w:val="7A9452DC"/>
    <w:multiLevelType w:val="hybridMultilevel"/>
    <w:tmpl w:val="28105810"/>
    <w:lvl w:ilvl="0" w:tplc="E676EEA4">
      <w:start w:val="1"/>
      <w:numFmt w:val="bullet"/>
      <w:lvlText w:val=""/>
      <w:lvlJc w:val="left"/>
      <w:pPr>
        <w:ind w:left="1620" w:hanging="360"/>
      </w:pPr>
      <w:rPr>
        <w:rFonts w:ascii="Webdings" w:hAnsi="Webdings" w:hint="default"/>
        <w:b w:val="0"/>
        <w:i w:val="0"/>
        <w:color w:val="FF6600"/>
        <w:sz w:val="24"/>
        <w:szCs w:val="24"/>
      </w:rPr>
    </w:lvl>
    <w:lvl w:ilvl="1" w:tplc="04090017">
      <w:start w:val="1"/>
      <w:numFmt w:val="lowerLetter"/>
      <w:lvlText w:val="%2)"/>
      <w:lvlJc w:val="left"/>
      <w:pPr>
        <w:ind w:left="2340" w:hanging="360"/>
      </w:pPr>
      <w:rPr>
        <w:rFonts w:hint="default"/>
      </w:rPr>
    </w:lvl>
    <w:lvl w:ilvl="2" w:tplc="04090005" w:tentative="1">
      <w:start w:val="1"/>
      <w:numFmt w:val="bullet"/>
      <w:lvlText w:val=""/>
      <w:lvlJc w:val="left"/>
      <w:pPr>
        <w:ind w:left="3060" w:hanging="360"/>
      </w:pPr>
      <w:rPr>
        <w:rFonts w:ascii="Wingdings" w:hAnsi="Wingdings" w:hint="default"/>
      </w:rPr>
    </w:lvl>
    <w:lvl w:ilvl="3" w:tplc="04090001" w:tentative="1">
      <w:start w:val="1"/>
      <w:numFmt w:val="bullet"/>
      <w:lvlText w:val=""/>
      <w:lvlJc w:val="left"/>
      <w:pPr>
        <w:ind w:left="3780" w:hanging="360"/>
      </w:pPr>
      <w:rPr>
        <w:rFonts w:ascii="Symbol" w:hAnsi="Symbol" w:hint="default"/>
      </w:rPr>
    </w:lvl>
    <w:lvl w:ilvl="4" w:tplc="04090003" w:tentative="1">
      <w:start w:val="1"/>
      <w:numFmt w:val="bullet"/>
      <w:lvlText w:val="o"/>
      <w:lvlJc w:val="left"/>
      <w:pPr>
        <w:ind w:left="4500" w:hanging="360"/>
      </w:pPr>
      <w:rPr>
        <w:rFonts w:ascii="Courier New" w:hAnsi="Courier New" w:cs="Courier New" w:hint="default"/>
      </w:rPr>
    </w:lvl>
    <w:lvl w:ilvl="5" w:tplc="04090005" w:tentative="1">
      <w:start w:val="1"/>
      <w:numFmt w:val="bullet"/>
      <w:lvlText w:val=""/>
      <w:lvlJc w:val="left"/>
      <w:pPr>
        <w:ind w:left="5220" w:hanging="360"/>
      </w:pPr>
      <w:rPr>
        <w:rFonts w:ascii="Wingdings" w:hAnsi="Wingdings" w:hint="default"/>
      </w:rPr>
    </w:lvl>
    <w:lvl w:ilvl="6" w:tplc="04090001" w:tentative="1">
      <w:start w:val="1"/>
      <w:numFmt w:val="bullet"/>
      <w:lvlText w:val=""/>
      <w:lvlJc w:val="left"/>
      <w:pPr>
        <w:ind w:left="5940" w:hanging="360"/>
      </w:pPr>
      <w:rPr>
        <w:rFonts w:ascii="Symbol" w:hAnsi="Symbol" w:hint="default"/>
      </w:rPr>
    </w:lvl>
    <w:lvl w:ilvl="7" w:tplc="04090003" w:tentative="1">
      <w:start w:val="1"/>
      <w:numFmt w:val="bullet"/>
      <w:lvlText w:val="o"/>
      <w:lvlJc w:val="left"/>
      <w:pPr>
        <w:ind w:left="6660" w:hanging="360"/>
      </w:pPr>
      <w:rPr>
        <w:rFonts w:ascii="Courier New" w:hAnsi="Courier New" w:cs="Courier New" w:hint="default"/>
      </w:rPr>
    </w:lvl>
    <w:lvl w:ilvl="8" w:tplc="04090005" w:tentative="1">
      <w:start w:val="1"/>
      <w:numFmt w:val="bullet"/>
      <w:lvlText w:val=""/>
      <w:lvlJc w:val="left"/>
      <w:pPr>
        <w:ind w:left="7380" w:hanging="360"/>
      </w:pPr>
      <w:rPr>
        <w:rFonts w:ascii="Wingdings" w:hAnsi="Wingdings" w:hint="default"/>
      </w:rPr>
    </w:lvl>
  </w:abstractNum>
  <w:abstractNum w:abstractNumId="124">
    <w:nsid w:val="7DA45650"/>
    <w:multiLevelType w:val="hybridMultilevel"/>
    <w:tmpl w:val="EFC4C22E"/>
    <w:lvl w:ilvl="0" w:tplc="D902DDBC">
      <w:start w:val="1"/>
      <w:numFmt w:val="bullet"/>
      <w:lvlText w:val=""/>
      <w:lvlJc w:val="left"/>
      <w:pPr>
        <w:ind w:left="720" w:hanging="360"/>
      </w:pPr>
      <w:rPr>
        <w:rFonts w:ascii="Webdings" w:hAnsi="Webdings" w:hint="default"/>
        <w:b w:val="0"/>
        <w:i w:val="0"/>
        <w:color w:val="FF6600"/>
        <w:sz w:val="24"/>
      </w:rPr>
    </w:lvl>
    <w:lvl w:ilvl="1" w:tplc="04090017">
      <w:start w:val="1"/>
      <w:numFmt w:val="lowerLetter"/>
      <w:lvlText w:val="%2)"/>
      <w:lvlJc w:val="left"/>
      <w:pPr>
        <w:ind w:left="1440" w:hanging="360"/>
      </w:pPr>
      <w:rPr>
        <w:rFonts w:hint="default"/>
      </w:rPr>
    </w:lvl>
    <w:lvl w:ilvl="2" w:tplc="D902DDBC">
      <w:start w:val="1"/>
      <w:numFmt w:val="bullet"/>
      <w:lvlText w:val=""/>
      <w:lvlJc w:val="left"/>
      <w:pPr>
        <w:ind w:left="2160" w:hanging="360"/>
      </w:pPr>
      <w:rPr>
        <w:rFonts w:ascii="Webdings" w:hAnsi="Webdings" w:hint="default"/>
        <w:b w:val="0"/>
        <w:i w:val="0"/>
        <w:color w:val="FF6600"/>
        <w:sz w:val="24"/>
      </w:rPr>
    </w:lvl>
    <w:lvl w:ilvl="3" w:tplc="D902DDBC">
      <w:start w:val="1"/>
      <w:numFmt w:val="bullet"/>
      <w:lvlText w:val=""/>
      <w:lvlJc w:val="left"/>
      <w:pPr>
        <w:ind w:left="2880" w:hanging="360"/>
      </w:pPr>
      <w:rPr>
        <w:rFonts w:ascii="Webdings" w:hAnsi="Webdings" w:hint="default"/>
        <w:b w:val="0"/>
        <w:i w:val="0"/>
        <w:color w:val="FF6600"/>
        <w:sz w:val="24"/>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nsid w:val="7ECB0344"/>
    <w:multiLevelType w:val="hybridMultilevel"/>
    <w:tmpl w:val="FB28CD4E"/>
    <w:lvl w:ilvl="0" w:tplc="D902DDBC">
      <w:start w:val="1"/>
      <w:numFmt w:val="bullet"/>
      <w:lvlText w:val=""/>
      <w:lvlJc w:val="left"/>
      <w:pPr>
        <w:ind w:left="1987" w:hanging="360"/>
      </w:pPr>
      <w:rPr>
        <w:rFonts w:ascii="Webdings" w:hAnsi="Webdings" w:hint="default"/>
        <w:b w:val="0"/>
        <w:i w:val="0"/>
        <w:color w:val="FF6600"/>
        <w:sz w:val="24"/>
      </w:rPr>
    </w:lvl>
    <w:lvl w:ilvl="1" w:tplc="04090003" w:tentative="1">
      <w:start w:val="1"/>
      <w:numFmt w:val="bullet"/>
      <w:lvlText w:val="o"/>
      <w:lvlJc w:val="left"/>
      <w:pPr>
        <w:ind w:left="2707" w:hanging="360"/>
      </w:pPr>
      <w:rPr>
        <w:rFonts w:ascii="Courier New" w:hAnsi="Courier New" w:hint="default"/>
      </w:rPr>
    </w:lvl>
    <w:lvl w:ilvl="2" w:tplc="04090005" w:tentative="1">
      <w:start w:val="1"/>
      <w:numFmt w:val="bullet"/>
      <w:lvlText w:val=""/>
      <w:lvlJc w:val="left"/>
      <w:pPr>
        <w:ind w:left="3427" w:hanging="360"/>
      </w:pPr>
      <w:rPr>
        <w:rFonts w:ascii="Wingdings" w:hAnsi="Wingdings" w:hint="default"/>
      </w:rPr>
    </w:lvl>
    <w:lvl w:ilvl="3" w:tplc="04090001" w:tentative="1">
      <w:start w:val="1"/>
      <w:numFmt w:val="bullet"/>
      <w:lvlText w:val=""/>
      <w:lvlJc w:val="left"/>
      <w:pPr>
        <w:ind w:left="4147" w:hanging="360"/>
      </w:pPr>
      <w:rPr>
        <w:rFonts w:ascii="Symbol" w:hAnsi="Symbol" w:hint="default"/>
      </w:rPr>
    </w:lvl>
    <w:lvl w:ilvl="4" w:tplc="04090003" w:tentative="1">
      <w:start w:val="1"/>
      <w:numFmt w:val="bullet"/>
      <w:lvlText w:val="o"/>
      <w:lvlJc w:val="left"/>
      <w:pPr>
        <w:ind w:left="4867" w:hanging="360"/>
      </w:pPr>
      <w:rPr>
        <w:rFonts w:ascii="Courier New" w:hAnsi="Courier New" w:hint="default"/>
      </w:rPr>
    </w:lvl>
    <w:lvl w:ilvl="5" w:tplc="04090005" w:tentative="1">
      <w:start w:val="1"/>
      <w:numFmt w:val="bullet"/>
      <w:lvlText w:val=""/>
      <w:lvlJc w:val="left"/>
      <w:pPr>
        <w:ind w:left="5587" w:hanging="360"/>
      </w:pPr>
      <w:rPr>
        <w:rFonts w:ascii="Wingdings" w:hAnsi="Wingdings" w:hint="default"/>
      </w:rPr>
    </w:lvl>
    <w:lvl w:ilvl="6" w:tplc="04090001" w:tentative="1">
      <w:start w:val="1"/>
      <w:numFmt w:val="bullet"/>
      <w:lvlText w:val=""/>
      <w:lvlJc w:val="left"/>
      <w:pPr>
        <w:ind w:left="6307" w:hanging="360"/>
      </w:pPr>
      <w:rPr>
        <w:rFonts w:ascii="Symbol" w:hAnsi="Symbol" w:hint="default"/>
      </w:rPr>
    </w:lvl>
    <w:lvl w:ilvl="7" w:tplc="04090003" w:tentative="1">
      <w:start w:val="1"/>
      <w:numFmt w:val="bullet"/>
      <w:lvlText w:val="o"/>
      <w:lvlJc w:val="left"/>
      <w:pPr>
        <w:ind w:left="7027" w:hanging="360"/>
      </w:pPr>
      <w:rPr>
        <w:rFonts w:ascii="Courier New" w:hAnsi="Courier New" w:hint="default"/>
      </w:rPr>
    </w:lvl>
    <w:lvl w:ilvl="8" w:tplc="04090005" w:tentative="1">
      <w:start w:val="1"/>
      <w:numFmt w:val="bullet"/>
      <w:lvlText w:val=""/>
      <w:lvlJc w:val="left"/>
      <w:pPr>
        <w:ind w:left="7747" w:hanging="360"/>
      </w:pPr>
      <w:rPr>
        <w:rFonts w:ascii="Wingdings" w:hAnsi="Wingdings" w:hint="default"/>
      </w:rPr>
    </w:lvl>
  </w:abstractNum>
  <w:abstractNum w:abstractNumId="126">
    <w:nsid w:val="7F374449"/>
    <w:multiLevelType w:val="hybridMultilevel"/>
    <w:tmpl w:val="C58E851C"/>
    <w:lvl w:ilvl="0" w:tplc="D902DDBC">
      <w:start w:val="1"/>
      <w:numFmt w:val="bullet"/>
      <w:lvlText w:val=""/>
      <w:lvlJc w:val="left"/>
      <w:pPr>
        <w:ind w:left="720" w:hanging="360"/>
      </w:pPr>
      <w:rPr>
        <w:rFonts w:ascii="Webdings" w:hAnsi="Webdings" w:hint="default"/>
        <w:b w:val="0"/>
        <w:i w:val="0"/>
        <w:color w:val="FF6600"/>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7">
    <w:nsid w:val="7F5B2598"/>
    <w:multiLevelType w:val="hybridMultilevel"/>
    <w:tmpl w:val="FC18ED98"/>
    <w:lvl w:ilvl="0" w:tplc="D902DDBC">
      <w:start w:val="1"/>
      <w:numFmt w:val="bullet"/>
      <w:lvlText w:val=""/>
      <w:lvlJc w:val="left"/>
      <w:pPr>
        <w:ind w:left="720" w:hanging="360"/>
      </w:pPr>
      <w:rPr>
        <w:rFonts w:ascii="Webdings" w:hAnsi="Webdings" w:hint="default"/>
        <w:b w:val="0"/>
        <w:i w:val="0"/>
        <w:color w:val="FF6600"/>
        <w:sz w:val="24"/>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D902DDBC">
      <w:start w:val="1"/>
      <w:numFmt w:val="bullet"/>
      <w:lvlText w:val=""/>
      <w:lvlJc w:val="left"/>
      <w:pPr>
        <w:ind w:left="2880" w:hanging="360"/>
      </w:pPr>
      <w:rPr>
        <w:rFonts w:ascii="Webdings" w:hAnsi="Webdings" w:hint="default"/>
        <w:b w:val="0"/>
        <w:i w:val="0"/>
        <w:color w:val="FF6600"/>
        <w:sz w:val="24"/>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nsid w:val="7FD144C3"/>
    <w:multiLevelType w:val="multilevel"/>
    <w:tmpl w:val="3D36A410"/>
    <w:lvl w:ilvl="0">
      <w:start w:val="1"/>
      <w:numFmt w:val="decimal"/>
      <w:lvlText w:val="%1."/>
      <w:lvlJc w:val="left"/>
      <w:pPr>
        <w:ind w:left="720" w:hanging="360"/>
      </w:pPr>
      <w:rPr>
        <w:rFonts w:hint="default"/>
      </w:rPr>
    </w:lvl>
    <w:lvl w:ilvl="1">
      <w:start w:val="1"/>
      <w:numFmt w:val="decimal"/>
      <w:isLgl/>
      <w:lvlText w:val="%1.%2."/>
      <w:lvlJc w:val="left"/>
      <w:pPr>
        <w:ind w:left="1080" w:hanging="360"/>
      </w:pPr>
      <w:rPr>
        <w:rFonts w:hint="default"/>
      </w:rPr>
    </w:lvl>
    <w:lvl w:ilvl="2">
      <w:start w:val="1"/>
      <w:numFmt w:val="decimal"/>
      <w:isLgl/>
      <w:lvlText w:val="%1.%2.%3."/>
      <w:lvlJc w:val="left"/>
      <w:pPr>
        <w:ind w:left="1800" w:hanging="720"/>
      </w:pPr>
      <w:rPr>
        <w:rFonts w:hint="default"/>
      </w:rPr>
    </w:lvl>
    <w:lvl w:ilvl="3">
      <w:start w:val="1"/>
      <w:numFmt w:val="bullet"/>
      <w:lvlText w:val=""/>
      <w:lvlJc w:val="left"/>
      <w:pPr>
        <w:ind w:left="2160" w:hanging="720"/>
      </w:pPr>
      <w:rPr>
        <w:rFonts w:ascii="Webdings" w:hAnsi="Webdings" w:hint="default"/>
        <w:b w:val="0"/>
        <w:i w:val="0"/>
        <w:color w:val="FF6600"/>
        <w:sz w:val="24"/>
      </w:rPr>
    </w:lvl>
    <w:lvl w:ilvl="4">
      <w:start w:val="1"/>
      <w:numFmt w:val="decimal"/>
      <w:isLgl/>
      <w:lvlText w:val="%1.%2.%3.%4.%5."/>
      <w:lvlJc w:val="left"/>
      <w:pPr>
        <w:ind w:left="2880" w:hanging="1080"/>
      </w:pPr>
      <w:rPr>
        <w:rFonts w:hint="default"/>
      </w:rPr>
    </w:lvl>
    <w:lvl w:ilvl="5">
      <w:start w:val="1"/>
      <w:numFmt w:val="decimal"/>
      <w:isLgl/>
      <w:lvlText w:val="%1.%2.%3.%4.%5.%6."/>
      <w:lvlJc w:val="left"/>
      <w:pPr>
        <w:ind w:left="3240" w:hanging="1080"/>
      </w:pPr>
      <w:rPr>
        <w:rFonts w:hint="default"/>
      </w:rPr>
    </w:lvl>
    <w:lvl w:ilvl="6">
      <w:start w:val="1"/>
      <w:numFmt w:val="decimal"/>
      <w:isLgl/>
      <w:lvlText w:val="%1.%2.%3.%4.%5.%6.%7."/>
      <w:lvlJc w:val="left"/>
      <w:pPr>
        <w:ind w:left="3600" w:hanging="1080"/>
      </w:pPr>
      <w:rPr>
        <w:rFonts w:hint="default"/>
      </w:rPr>
    </w:lvl>
    <w:lvl w:ilvl="7">
      <w:start w:val="1"/>
      <w:numFmt w:val="decimal"/>
      <w:isLgl/>
      <w:lvlText w:val="%1.%2.%3.%4.%5.%6.%7.%8."/>
      <w:lvlJc w:val="left"/>
      <w:pPr>
        <w:ind w:left="4320" w:hanging="1440"/>
      </w:pPr>
      <w:rPr>
        <w:rFonts w:hint="default"/>
      </w:rPr>
    </w:lvl>
    <w:lvl w:ilvl="8">
      <w:start w:val="1"/>
      <w:numFmt w:val="decimal"/>
      <w:isLgl/>
      <w:lvlText w:val="%1.%2.%3.%4.%5.%6.%7.%8.%9."/>
      <w:lvlJc w:val="left"/>
      <w:pPr>
        <w:ind w:left="4680" w:hanging="1440"/>
      </w:pPr>
      <w:rPr>
        <w:rFonts w:hint="default"/>
      </w:rPr>
    </w:lvl>
  </w:abstractNum>
  <w:abstractNum w:abstractNumId="129">
    <w:nsid w:val="7FE70403"/>
    <w:multiLevelType w:val="hybridMultilevel"/>
    <w:tmpl w:val="37041110"/>
    <w:lvl w:ilvl="0" w:tplc="971C9212">
      <w:start w:val="1"/>
      <w:numFmt w:val="bullet"/>
      <w:lvlText w:val=""/>
      <w:lvlJc w:val="left"/>
      <w:pPr>
        <w:ind w:left="1440" w:hanging="360"/>
      </w:pPr>
      <w:rPr>
        <w:rFonts w:ascii="Webdings" w:hAnsi="Webdings" w:hint="default"/>
        <w:b w:val="0"/>
        <w:i w:val="0"/>
        <w:color w:val="FF6600"/>
        <w:sz w:val="22"/>
      </w:rPr>
    </w:lvl>
    <w:lvl w:ilvl="1" w:tplc="04090003">
      <w:start w:val="1"/>
      <w:numFmt w:val="bullet"/>
      <w:lvlText w:val="o"/>
      <w:lvlJc w:val="left"/>
      <w:pPr>
        <w:ind w:left="2160" w:hanging="360"/>
      </w:pPr>
      <w:rPr>
        <w:rFonts w:ascii="Courier New" w:hAnsi="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hint="default"/>
      </w:rPr>
    </w:lvl>
    <w:lvl w:ilvl="8" w:tplc="04090005" w:tentative="1">
      <w:start w:val="1"/>
      <w:numFmt w:val="bullet"/>
      <w:lvlText w:val=""/>
      <w:lvlJc w:val="left"/>
      <w:pPr>
        <w:ind w:left="7200" w:hanging="360"/>
      </w:pPr>
      <w:rPr>
        <w:rFonts w:ascii="Wingdings" w:hAnsi="Wingdings" w:hint="default"/>
      </w:rPr>
    </w:lvl>
  </w:abstractNum>
  <w:num w:numId="1">
    <w:abstractNumId w:val="60"/>
  </w:num>
  <w:num w:numId="2">
    <w:abstractNumId w:val="34"/>
  </w:num>
  <w:num w:numId="3">
    <w:abstractNumId w:val="112"/>
  </w:num>
  <w:num w:numId="4">
    <w:abstractNumId w:val="2"/>
  </w:num>
  <w:num w:numId="5">
    <w:abstractNumId w:val="12"/>
  </w:num>
  <w:num w:numId="6">
    <w:abstractNumId w:val="122"/>
  </w:num>
  <w:num w:numId="7">
    <w:abstractNumId w:val="1"/>
  </w:num>
  <w:num w:numId="8">
    <w:abstractNumId w:val="115"/>
  </w:num>
  <w:num w:numId="9">
    <w:abstractNumId w:val="61"/>
  </w:num>
  <w:num w:numId="10">
    <w:abstractNumId w:val="129"/>
  </w:num>
  <w:num w:numId="11">
    <w:abstractNumId w:val="120"/>
  </w:num>
  <w:num w:numId="12">
    <w:abstractNumId w:val="101"/>
    <w:lvlOverride w:ilvl="0"/>
    <w:lvlOverride w:ilvl="1"/>
    <w:lvlOverride w:ilvl="2">
      <w:startOverride w:val="1"/>
    </w:lvlOverride>
    <w:lvlOverride w:ilvl="3"/>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3">
    <w:abstractNumId w:val="123"/>
  </w:num>
  <w:num w:numId="14">
    <w:abstractNumId w:val="69"/>
  </w:num>
  <w:num w:numId="15">
    <w:abstractNumId w:val="22"/>
  </w:num>
  <w:num w:numId="16">
    <w:abstractNumId w:val="27"/>
  </w:num>
  <w:num w:numId="17">
    <w:abstractNumId w:val="113"/>
  </w:num>
  <w:num w:numId="18">
    <w:abstractNumId w:val="112"/>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9">
    <w:abstractNumId w:val="111"/>
  </w:num>
  <w:num w:numId="20">
    <w:abstractNumId w:val="45"/>
  </w:num>
  <w:num w:numId="21">
    <w:abstractNumId w:val="70"/>
  </w:num>
  <w:num w:numId="22">
    <w:abstractNumId w:val="96"/>
  </w:num>
  <w:num w:numId="23">
    <w:abstractNumId w:val="41"/>
  </w:num>
  <w:num w:numId="24">
    <w:abstractNumId w:val="55"/>
  </w:num>
  <w:num w:numId="25">
    <w:abstractNumId w:val="53"/>
  </w:num>
  <w:num w:numId="26">
    <w:abstractNumId w:val="37"/>
  </w:num>
  <w:num w:numId="27">
    <w:abstractNumId w:val="9"/>
  </w:num>
  <w:num w:numId="28">
    <w:abstractNumId w:val="101"/>
  </w:num>
  <w:num w:numId="29">
    <w:abstractNumId w:val="99"/>
  </w:num>
  <w:num w:numId="30">
    <w:abstractNumId w:val="79"/>
  </w:num>
  <w:num w:numId="31">
    <w:abstractNumId w:val="42"/>
  </w:num>
  <w:num w:numId="32">
    <w:abstractNumId w:val="125"/>
  </w:num>
  <w:num w:numId="33">
    <w:abstractNumId w:val="118"/>
  </w:num>
  <w:num w:numId="34">
    <w:abstractNumId w:val="109"/>
  </w:num>
  <w:num w:numId="35">
    <w:abstractNumId w:val="8"/>
  </w:num>
  <w:num w:numId="36">
    <w:abstractNumId w:val="93"/>
  </w:num>
  <w:num w:numId="37">
    <w:abstractNumId w:val="16"/>
  </w:num>
  <w:num w:numId="38">
    <w:abstractNumId w:val="35"/>
  </w:num>
  <w:num w:numId="39">
    <w:abstractNumId w:val="44"/>
  </w:num>
  <w:num w:numId="40">
    <w:abstractNumId w:val="24"/>
  </w:num>
  <w:num w:numId="41">
    <w:abstractNumId w:val="31"/>
  </w:num>
  <w:num w:numId="42">
    <w:abstractNumId w:val="78"/>
  </w:num>
  <w:num w:numId="43">
    <w:abstractNumId w:val="29"/>
  </w:num>
  <w:num w:numId="44">
    <w:abstractNumId w:val="75"/>
  </w:num>
  <w:num w:numId="45">
    <w:abstractNumId w:val="117"/>
  </w:num>
  <w:num w:numId="46">
    <w:abstractNumId w:val="108"/>
  </w:num>
  <w:num w:numId="47">
    <w:abstractNumId w:val="100"/>
  </w:num>
  <w:num w:numId="48">
    <w:abstractNumId w:val="40"/>
  </w:num>
  <w:num w:numId="49">
    <w:abstractNumId w:val="81"/>
  </w:num>
  <w:num w:numId="50">
    <w:abstractNumId w:val="18"/>
  </w:num>
  <w:num w:numId="51">
    <w:abstractNumId w:val="59"/>
  </w:num>
  <w:num w:numId="52">
    <w:abstractNumId w:val="30"/>
  </w:num>
  <w:num w:numId="53">
    <w:abstractNumId w:val="88"/>
  </w:num>
  <w:num w:numId="54">
    <w:abstractNumId w:val="3"/>
  </w:num>
  <w:num w:numId="55">
    <w:abstractNumId w:val="98"/>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6">
    <w:abstractNumId w:val="87"/>
  </w:num>
  <w:num w:numId="57">
    <w:abstractNumId w:val="39"/>
  </w:num>
  <w:num w:numId="58">
    <w:abstractNumId w:val="54"/>
  </w:num>
  <w:num w:numId="59">
    <w:abstractNumId w:val="103"/>
  </w:num>
  <w:num w:numId="60">
    <w:abstractNumId w:val="25"/>
  </w:num>
  <w:num w:numId="61">
    <w:abstractNumId w:val="10"/>
  </w:num>
  <w:num w:numId="62">
    <w:abstractNumId w:val="21"/>
  </w:num>
  <w:num w:numId="63">
    <w:abstractNumId w:val="126"/>
  </w:num>
  <w:num w:numId="64">
    <w:abstractNumId w:val="68"/>
  </w:num>
  <w:num w:numId="65">
    <w:abstractNumId w:val="107"/>
  </w:num>
  <w:num w:numId="66">
    <w:abstractNumId w:val="63"/>
  </w:num>
  <w:num w:numId="67">
    <w:abstractNumId w:val="50"/>
  </w:num>
  <w:num w:numId="68">
    <w:abstractNumId w:val="91"/>
  </w:num>
  <w:num w:numId="69">
    <w:abstractNumId w:val="90"/>
  </w:num>
  <w:num w:numId="70">
    <w:abstractNumId w:val="11"/>
  </w:num>
  <w:num w:numId="71">
    <w:abstractNumId w:val="86"/>
  </w:num>
  <w:num w:numId="72">
    <w:abstractNumId w:val="102"/>
  </w:num>
  <w:num w:numId="73">
    <w:abstractNumId w:val="106"/>
  </w:num>
  <w:num w:numId="74">
    <w:abstractNumId w:val="77"/>
  </w:num>
  <w:num w:numId="75">
    <w:abstractNumId w:val="94"/>
  </w:num>
  <w:num w:numId="76">
    <w:abstractNumId w:val="72"/>
  </w:num>
  <w:num w:numId="77">
    <w:abstractNumId w:val="124"/>
  </w:num>
  <w:num w:numId="78">
    <w:abstractNumId w:val="65"/>
  </w:num>
  <w:num w:numId="79">
    <w:abstractNumId w:val="73"/>
  </w:num>
  <w:num w:numId="80">
    <w:abstractNumId w:val="17"/>
  </w:num>
  <w:num w:numId="81">
    <w:abstractNumId w:val="56"/>
  </w:num>
  <w:num w:numId="82">
    <w:abstractNumId w:val="15"/>
  </w:num>
  <w:num w:numId="83">
    <w:abstractNumId w:val="38"/>
  </w:num>
  <w:num w:numId="84">
    <w:abstractNumId w:val="119"/>
  </w:num>
  <w:num w:numId="85">
    <w:abstractNumId w:val="64"/>
  </w:num>
  <w:num w:numId="86">
    <w:abstractNumId w:val="33"/>
  </w:num>
  <w:num w:numId="87">
    <w:abstractNumId w:val="80"/>
  </w:num>
  <w:num w:numId="88">
    <w:abstractNumId w:val="47"/>
  </w:num>
  <w:num w:numId="89">
    <w:abstractNumId w:val="19"/>
  </w:num>
  <w:num w:numId="90">
    <w:abstractNumId w:val="52"/>
  </w:num>
  <w:num w:numId="91">
    <w:abstractNumId w:val="128"/>
  </w:num>
  <w:num w:numId="92">
    <w:abstractNumId w:val="127"/>
  </w:num>
  <w:num w:numId="93">
    <w:abstractNumId w:val="58"/>
  </w:num>
  <w:num w:numId="94">
    <w:abstractNumId w:val="67"/>
  </w:num>
  <w:num w:numId="95">
    <w:abstractNumId w:val="4"/>
  </w:num>
  <w:num w:numId="96">
    <w:abstractNumId w:val="89"/>
  </w:num>
  <w:num w:numId="97">
    <w:abstractNumId w:val="28"/>
  </w:num>
  <w:num w:numId="98">
    <w:abstractNumId w:val="116"/>
  </w:num>
  <w:num w:numId="99">
    <w:abstractNumId w:val="98"/>
  </w:num>
  <w:num w:numId="100">
    <w:abstractNumId w:val="6"/>
  </w:num>
  <w:num w:numId="101">
    <w:abstractNumId w:val="125"/>
  </w:num>
  <w:num w:numId="102">
    <w:abstractNumId w:val="84"/>
  </w:num>
  <w:num w:numId="103">
    <w:abstractNumId w:val="62"/>
  </w:num>
  <w:num w:numId="104">
    <w:abstractNumId w:val="5"/>
  </w:num>
  <w:num w:numId="105">
    <w:abstractNumId w:val="51"/>
  </w:num>
  <w:num w:numId="106">
    <w:abstractNumId w:val="66"/>
  </w:num>
  <w:num w:numId="107">
    <w:abstractNumId w:val="83"/>
  </w:num>
  <w:num w:numId="108">
    <w:abstractNumId w:val="104"/>
  </w:num>
  <w:num w:numId="109">
    <w:abstractNumId w:val="20"/>
  </w:num>
  <w:num w:numId="110">
    <w:abstractNumId w:val="97"/>
  </w:num>
  <w:num w:numId="111">
    <w:abstractNumId w:val="110"/>
  </w:num>
  <w:num w:numId="112">
    <w:abstractNumId w:val="14"/>
  </w:num>
  <w:num w:numId="113">
    <w:abstractNumId w:val="105"/>
  </w:num>
  <w:num w:numId="114">
    <w:abstractNumId w:val="36"/>
  </w:num>
  <w:num w:numId="115">
    <w:abstractNumId w:val="121"/>
  </w:num>
  <w:num w:numId="116">
    <w:abstractNumId w:val="85"/>
  </w:num>
  <w:num w:numId="117">
    <w:abstractNumId w:val="7"/>
  </w:num>
  <w:num w:numId="118">
    <w:abstractNumId w:val="13"/>
  </w:num>
  <w:num w:numId="119">
    <w:abstractNumId w:val="92"/>
  </w:num>
  <w:num w:numId="120">
    <w:abstractNumId w:val="23"/>
  </w:num>
  <w:num w:numId="121">
    <w:abstractNumId w:val="74"/>
  </w:num>
  <w:num w:numId="122">
    <w:abstractNumId w:val="57"/>
  </w:num>
  <w:num w:numId="123">
    <w:abstractNumId w:val="2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24">
    <w:abstractNumId w:val="4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25">
    <w:abstractNumId w:val="32"/>
    <w:lvlOverride w:ilvl="0"/>
    <w:lvlOverride w:ilvl="1">
      <w:startOverride w:val="1"/>
    </w:lvlOverride>
    <w:lvlOverride w:ilvl="2"/>
    <w:lvlOverride w:ilvl="3"/>
    <w:lvlOverride w:ilvl="4"/>
    <w:lvlOverride w:ilvl="5"/>
    <w:lvlOverride w:ilvl="6"/>
    <w:lvlOverride w:ilvl="7"/>
    <w:lvlOverride w:ilvl="8"/>
  </w:num>
  <w:num w:numId="126">
    <w:abstractNumId w:val="71"/>
  </w:num>
  <w:num w:numId="127">
    <w:abstractNumId w:val="48"/>
  </w:num>
  <w:num w:numId="128">
    <w:abstractNumId w:val="82"/>
  </w:num>
  <w:num w:numId="129">
    <w:abstractNumId w:val="114"/>
  </w:num>
  <w:num w:numId="130">
    <w:abstractNumId w:val="49"/>
  </w:num>
  <w:num w:numId="131">
    <w:abstractNumId w:val="95"/>
  </w:num>
  <w:num w:numId="132">
    <w:abstractNumId w:val="76"/>
  </w:num>
  <w:num w:numId="133">
    <w:abstractNumId w:val="46"/>
  </w:num>
  <w:num w:numId="134">
    <w:abstractNumId w:val="0"/>
  </w:num>
  <w:numIdMacAtCleanup w:val="133"/>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hideSpellingErrors/>
  <w:hideGrammaticalErrors/>
  <w:documentProtection w:edit="readOnly" w:formatting="1" w:enforcement="1" w:cryptProviderType="rsaFull" w:cryptAlgorithmClass="hash" w:cryptAlgorithmType="typeAny" w:cryptAlgorithmSid="4" w:cryptSpinCount="100000" w:hash="3VuKnItQs+9OCzRRwVqwDsk0rMs=" w:salt="S5OyrIZnsaJTQA4JHkEoPQ=="/>
  <w:defaultTabStop w:val="720"/>
  <w:drawingGridHorizontalSpacing w:val="110"/>
  <w:displayHorizontalDrawingGridEvery w:val="2"/>
  <w:characterSpacingControl w:val="doNotCompress"/>
  <w:hdrShapeDefaults>
    <o:shapedefaults v:ext="edit" spidmax="2049">
      <v:textbox inset="5.85pt,.7pt,5.85pt,.7pt"/>
    </o:shapedefaults>
  </w:hdrShapeDefaults>
  <w:footnotePr>
    <w:footnote w:id="-1"/>
    <w:footnote w:id="0"/>
    <w:footnote w:id="1"/>
  </w:footnotePr>
  <w:endnotePr>
    <w:numFmt w:val="decimal"/>
    <w:endnote w:id="-1"/>
    <w:endnote w:id="0"/>
    <w:endnote w:id="1"/>
  </w:endnotePr>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181A"/>
    <w:rsid w:val="0000059A"/>
    <w:rsid w:val="00000F2B"/>
    <w:rsid w:val="00001517"/>
    <w:rsid w:val="00001A9A"/>
    <w:rsid w:val="00002C0B"/>
    <w:rsid w:val="00003601"/>
    <w:rsid w:val="00003D41"/>
    <w:rsid w:val="00004568"/>
    <w:rsid w:val="00004998"/>
    <w:rsid w:val="0000615E"/>
    <w:rsid w:val="00006372"/>
    <w:rsid w:val="00007875"/>
    <w:rsid w:val="000100BC"/>
    <w:rsid w:val="00010442"/>
    <w:rsid w:val="000114ED"/>
    <w:rsid w:val="00011E31"/>
    <w:rsid w:val="00012D48"/>
    <w:rsid w:val="00013691"/>
    <w:rsid w:val="00013F1B"/>
    <w:rsid w:val="00014083"/>
    <w:rsid w:val="000148B4"/>
    <w:rsid w:val="00014EAD"/>
    <w:rsid w:val="000158EE"/>
    <w:rsid w:val="0002020C"/>
    <w:rsid w:val="000210F7"/>
    <w:rsid w:val="00021544"/>
    <w:rsid w:val="000225E7"/>
    <w:rsid w:val="00022FBE"/>
    <w:rsid w:val="000232D9"/>
    <w:rsid w:val="00023FE7"/>
    <w:rsid w:val="00024C3C"/>
    <w:rsid w:val="00024FB1"/>
    <w:rsid w:val="00025419"/>
    <w:rsid w:val="00026546"/>
    <w:rsid w:val="0003011A"/>
    <w:rsid w:val="0003031D"/>
    <w:rsid w:val="0003065A"/>
    <w:rsid w:val="000306B4"/>
    <w:rsid w:val="00031547"/>
    <w:rsid w:val="00031ABF"/>
    <w:rsid w:val="00032193"/>
    <w:rsid w:val="000334F1"/>
    <w:rsid w:val="0003388B"/>
    <w:rsid w:val="0003390D"/>
    <w:rsid w:val="00033B0F"/>
    <w:rsid w:val="00033D02"/>
    <w:rsid w:val="00033DA4"/>
    <w:rsid w:val="000343AA"/>
    <w:rsid w:val="000345A0"/>
    <w:rsid w:val="00034D6B"/>
    <w:rsid w:val="0003582C"/>
    <w:rsid w:val="00036150"/>
    <w:rsid w:val="000365B0"/>
    <w:rsid w:val="00036731"/>
    <w:rsid w:val="00036B96"/>
    <w:rsid w:val="00037BBE"/>
    <w:rsid w:val="00037C05"/>
    <w:rsid w:val="0004051B"/>
    <w:rsid w:val="000405C5"/>
    <w:rsid w:val="00040ADC"/>
    <w:rsid w:val="00041F5A"/>
    <w:rsid w:val="0004299F"/>
    <w:rsid w:val="000429EF"/>
    <w:rsid w:val="00043114"/>
    <w:rsid w:val="0004313E"/>
    <w:rsid w:val="00043444"/>
    <w:rsid w:val="00043728"/>
    <w:rsid w:val="0004388E"/>
    <w:rsid w:val="00043A75"/>
    <w:rsid w:val="000449AA"/>
    <w:rsid w:val="000449B4"/>
    <w:rsid w:val="00044BFB"/>
    <w:rsid w:val="00045273"/>
    <w:rsid w:val="00045687"/>
    <w:rsid w:val="00045907"/>
    <w:rsid w:val="00045A0E"/>
    <w:rsid w:val="0004652A"/>
    <w:rsid w:val="000466E8"/>
    <w:rsid w:val="00047061"/>
    <w:rsid w:val="00047280"/>
    <w:rsid w:val="00047339"/>
    <w:rsid w:val="00047745"/>
    <w:rsid w:val="00047838"/>
    <w:rsid w:val="00047874"/>
    <w:rsid w:val="00047B21"/>
    <w:rsid w:val="0005132C"/>
    <w:rsid w:val="0005180A"/>
    <w:rsid w:val="00051AA6"/>
    <w:rsid w:val="0005221F"/>
    <w:rsid w:val="00052441"/>
    <w:rsid w:val="00052BF4"/>
    <w:rsid w:val="00052DA2"/>
    <w:rsid w:val="00053F31"/>
    <w:rsid w:val="00054811"/>
    <w:rsid w:val="000553EE"/>
    <w:rsid w:val="0005574D"/>
    <w:rsid w:val="00055EFD"/>
    <w:rsid w:val="00056DDF"/>
    <w:rsid w:val="00056E58"/>
    <w:rsid w:val="00060959"/>
    <w:rsid w:val="00060EEE"/>
    <w:rsid w:val="00061A45"/>
    <w:rsid w:val="00061A6E"/>
    <w:rsid w:val="000626C8"/>
    <w:rsid w:val="000658AA"/>
    <w:rsid w:val="00065D24"/>
    <w:rsid w:val="00066528"/>
    <w:rsid w:val="00067AB1"/>
    <w:rsid w:val="00070945"/>
    <w:rsid w:val="0007160C"/>
    <w:rsid w:val="00071922"/>
    <w:rsid w:val="0007218F"/>
    <w:rsid w:val="00072428"/>
    <w:rsid w:val="000731D9"/>
    <w:rsid w:val="00074B73"/>
    <w:rsid w:val="00074BB0"/>
    <w:rsid w:val="00074E4E"/>
    <w:rsid w:val="000750C2"/>
    <w:rsid w:val="0007557E"/>
    <w:rsid w:val="000756F1"/>
    <w:rsid w:val="00075CC1"/>
    <w:rsid w:val="0007693E"/>
    <w:rsid w:val="00076CB4"/>
    <w:rsid w:val="000773D2"/>
    <w:rsid w:val="00077B81"/>
    <w:rsid w:val="00077BAC"/>
    <w:rsid w:val="00077CE5"/>
    <w:rsid w:val="0008036A"/>
    <w:rsid w:val="00080982"/>
    <w:rsid w:val="00080B33"/>
    <w:rsid w:val="00081AEC"/>
    <w:rsid w:val="00081C19"/>
    <w:rsid w:val="00082458"/>
    <w:rsid w:val="00082CBC"/>
    <w:rsid w:val="00082E1C"/>
    <w:rsid w:val="0008414D"/>
    <w:rsid w:val="000841C9"/>
    <w:rsid w:val="0008452D"/>
    <w:rsid w:val="00084B9E"/>
    <w:rsid w:val="00085002"/>
    <w:rsid w:val="00085C3C"/>
    <w:rsid w:val="000862BC"/>
    <w:rsid w:val="00087380"/>
    <w:rsid w:val="000907C7"/>
    <w:rsid w:val="000908B0"/>
    <w:rsid w:val="0009153E"/>
    <w:rsid w:val="00091558"/>
    <w:rsid w:val="000916C1"/>
    <w:rsid w:val="000916C5"/>
    <w:rsid w:val="00092855"/>
    <w:rsid w:val="00092E9E"/>
    <w:rsid w:val="00092F30"/>
    <w:rsid w:val="000937BB"/>
    <w:rsid w:val="00094035"/>
    <w:rsid w:val="000945E1"/>
    <w:rsid w:val="00094AEE"/>
    <w:rsid w:val="00095643"/>
    <w:rsid w:val="00096CB5"/>
    <w:rsid w:val="00097B90"/>
    <w:rsid w:val="00097C8C"/>
    <w:rsid w:val="000A0435"/>
    <w:rsid w:val="000A05BC"/>
    <w:rsid w:val="000A090F"/>
    <w:rsid w:val="000A18AA"/>
    <w:rsid w:val="000A1CD9"/>
    <w:rsid w:val="000A2519"/>
    <w:rsid w:val="000A2923"/>
    <w:rsid w:val="000A297A"/>
    <w:rsid w:val="000A29B6"/>
    <w:rsid w:val="000A305F"/>
    <w:rsid w:val="000A30EE"/>
    <w:rsid w:val="000A35F8"/>
    <w:rsid w:val="000A3C7D"/>
    <w:rsid w:val="000A3CF8"/>
    <w:rsid w:val="000A5032"/>
    <w:rsid w:val="000A5857"/>
    <w:rsid w:val="000A6EF5"/>
    <w:rsid w:val="000A6FAA"/>
    <w:rsid w:val="000B0696"/>
    <w:rsid w:val="000B0A08"/>
    <w:rsid w:val="000B0A66"/>
    <w:rsid w:val="000B0B0D"/>
    <w:rsid w:val="000B0C6D"/>
    <w:rsid w:val="000B2451"/>
    <w:rsid w:val="000B2DFF"/>
    <w:rsid w:val="000B326B"/>
    <w:rsid w:val="000B3EED"/>
    <w:rsid w:val="000B4C49"/>
    <w:rsid w:val="000B4E0C"/>
    <w:rsid w:val="000B536E"/>
    <w:rsid w:val="000B5975"/>
    <w:rsid w:val="000B5A31"/>
    <w:rsid w:val="000B5FBB"/>
    <w:rsid w:val="000B668F"/>
    <w:rsid w:val="000B6DE0"/>
    <w:rsid w:val="000B7662"/>
    <w:rsid w:val="000B780A"/>
    <w:rsid w:val="000C03F3"/>
    <w:rsid w:val="000C0FBE"/>
    <w:rsid w:val="000C172E"/>
    <w:rsid w:val="000C185F"/>
    <w:rsid w:val="000C2842"/>
    <w:rsid w:val="000C2964"/>
    <w:rsid w:val="000C32C3"/>
    <w:rsid w:val="000C3CB1"/>
    <w:rsid w:val="000C4911"/>
    <w:rsid w:val="000C5EED"/>
    <w:rsid w:val="000C622E"/>
    <w:rsid w:val="000C646D"/>
    <w:rsid w:val="000C6A47"/>
    <w:rsid w:val="000C7265"/>
    <w:rsid w:val="000C72FC"/>
    <w:rsid w:val="000C79A2"/>
    <w:rsid w:val="000C7A8F"/>
    <w:rsid w:val="000C7C7E"/>
    <w:rsid w:val="000D158E"/>
    <w:rsid w:val="000D17D6"/>
    <w:rsid w:val="000D238A"/>
    <w:rsid w:val="000D2804"/>
    <w:rsid w:val="000D32B3"/>
    <w:rsid w:val="000D399F"/>
    <w:rsid w:val="000D4008"/>
    <w:rsid w:val="000D454E"/>
    <w:rsid w:val="000D4ECA"/>
    <w:rsid w:val="000D5E2F"/>
    <w:rsid w:val="000D5F24"/>
    <w:rsid w:val="000D747C"/>
    <w:rsid w:val="000D76F0"/>
    <w:rsid w:val="000D77DE"/>
    <w:rsid w:val="000D77F6"/>
    <w:rsid w:val="000E00F3"/>
    <w:rsid w:val="000E04C0"/>
    <w:rsid w:val="000E1409"/>
    <w:rsid w:val="000E260B"/>
    <w:rsid w:val="000E29CF"/>
    <w:rsid w:val="000E3AE4"/>
    <w:rsid w:val="000E485A"/>
    <w:rsid w:val="000E5145"/>
    <w:rsid w:val="000E6103"/>
    <w:rsid w:val="000E658A"/>
    <w:rsid w:val="000E6728"/>
    <w:rsid w:val="000E6B57"/>
    <w:rsid w:val="000E6E21"/>
    <w:rsid w:val="000F0642"/>
    <w:rsid w:val="000F0F42"/>
    <w:rsid w:val="000F0F4D"/>
    <w:rsid w:val="000F11BD"/>
    <w:rsid w:val="000F14A5"/>
    <w:rsid w:val="000F1ECA"/>
    <w:rsid w:val="000F407B"/>
    <w:rsid w:val="000F4E3B"/>
    <w:rsid w:val="000F59F6"/>
    <w:rsid w:val="000F6E5D"/>
    <w:rsid w:val="000F76E5"/>
    <w:rsid w:val="000F798B"/>
    <w:rsid w:val="00101859"/>
    <w:rsid w:val="00101CDD"/>
    <w:rsid w:val="00102035"/>
    <w:rsid w:val="00102195"/>
    <w:rsid w:val="001026FD"/>
    <w:rsid w:val="001039B4"/>
    <w:rsid w:val="00103AD5"/>
    <w:rsid w:val="00103B11"/>
    <w:rsid w:val="00104195"/>
    <w:rsid w:val="00104475"/>
    <w:rsid w:val="00104DE2"/>
    <w:rsid w:val="001051D1"/>
    <w:rsid w:val="001054EE"/>
    <w:rsid w:val="001063EC"/>
    <w:rsid w:val="001106F5"/>
    <w:rsid w:val="00110AFB"/>
    <w:rsid w:val="00110CE6"/>
    <w:rsid w:val="00110E1D"/>
    <w:rsid w:val="001123CB"/>
    <w:rsid w:val="001126E7"/>
    <w:rsid w:val="0011332E"/>
    <w:rsid w:val="001134F8"/>
    <w:rsid w:val="00113634"/>
    <w:rsid w:val="00113665"/>
    <w:rsid w:val="00113EC1"/>
    <w:rsid w:val="001140EF"/>
    <w:rsid w:val="00114E8A"/>
    <w:rsid w:val="001154B5"/>
    <w:rsid w:val="00116222"/>
    <w:rsid w:val="00116978"/>
    <w:rsid w:val="00116EDC"/>
    <w:rsid w:val="00117112"/>
    <w:rsid w:val="001178E8"/>
    <w:rsid w:val="00117B4A"/>
    <w:rsid w:val="00120E91"/>
    <w:rsid w:val="00122092"/>
    <w:rsid w:val="00122483"/>
    <w:rsid w:val="00123558"/>
    <w:rsid w:val="001253FF"/>
    <w:rsid w:val="00125604"/>
    <w:rsid w:val="00125610"/>
    <w:rsid w:val="00126292"/>
    <w:rsid w:val="001265B4"/>
    <w:rsid w:val="001279BA"/>
    <w:rsid w:val="00127FA7"/>
    <w:rsid w:val="00130278"/>
    <w:rsid w:val="00131042"/>
    <w:rsid w:val="001310D5"/>
    <w:rsid w:val="001319AE"/>
    <w:rsid w:val="001323B9"/>
    <w:rsid w:val="001324EC"/>
    <w:rsid w:val="001327D3"/>
    <w:rsid w:val="00133069"/>
    <w:rsid w:val="0013361B"/>
    <w:rsid w:val="00133A4B"/>
    <w:rsid w:val="00133C80"/>
    <w:rsid w:val="00134960"/>
    <w:rsid w:val="00135D5F"/>
    <w:rsid w:val="001363A0"/>
    <w:rsid w:val="00136585"/>
    <w:rsid w:val="0013786B"/>
    <w:rsid w:val="00140080"/>
    <w:rsid w:val="00140178"/>
    <w:rsid w:val="001409EF"/>
    <w:rsid w:val="00140B67"/>
    <w:rsid w:val="001414E7"/>
    <w:rsid w:val="00141DA5"/>
    <w:rsid w:val="001422CD"/>
    <w:rsid w:val="00142FC4"/>
    <w:rsid w:val="00143512"/>
    <w:rsid w:val="00143CF6"/>
    <w:rsid w:val="00144EB0"/>
    <w:rsid w:val="00145507"/>
    <w:rsid w:val="00145E67"/>
    <w:rsid w:val="00145EAD"/>
    <w:rsid w:val="0014632E"/>
    <w:rsid w:val="00146FC7"/>
    <w:rsid w:val="001472CD"/>
    <w:rsid w:val="001475EA"/>
    <w:rsid w:val="00151496"/>
    <w:rsid w:val="00152361"/>
    <w:rsid w:val="00152541"/>
    <w:rsid w:val="00152FCC"/>
    <w:rsid w:val="00153476"/>
    <w:rsid w:val="001538D0"/>
    <w:rsid w:val="00153E38"/>
    <w:rsid w:val="00154676"/>
    <w:rsid w:val="00155B9B"/>
    <w:rsid w:val="00155ECD"/>
    <w:rsid w:val="00156AE7"/>
    <w:rsid w:val="0016067A"/>
    <w:rsid w:val="00160C27"/>
    <w:rsid w:val="00162A93"/>
    <w:rsid w:val="00163658"/>
    <w:rsid w:val="00163848"/>
    <w:rsid w:val="00164103"/>
    <w:rsid w:val="00164CEB"/>
    <w:rsid w:val="001652F4"/>
    <w:rsid w:val="00166F21"/>
    <w:rsid w:val="00167B61"/>
    <w:rsid w:val="00170085"/>
    <w:rsid w:val="001704C2"/>
    <w:rsid w:val="00170933"/>
    <w:rsid w:val="00170ABC"/>
    <w:rsid w:val="00170CFB"/>
    <w:rsid w:val="001712B4"/>
    <w:rsid w:val="00171817"/>
    <w:rsid w:val="00171927"/>
    <w:rsid w:val="00172CBA"/>
    <w:rsid w:val="0017320F"/>
    <w:rsid w:val="00173A20"/>
    <w:rsid w:val="00174410"/>
    <w:rsid w:val="001744C9"/>
    <w:rsid w:val="001748E9"/>
    <w:rsid w:val="00174DCD"/>
    <w:rsid w:val="0017535D"/>
    <w:rsid w:val="00175615"/>
    <w:rsid w:val="001758DD"/>
    <w:rsid w:val="00175CDF"/>
    <w:rsid w:val="00175FBE"/>
    <w:rsid w:val="00176237"/>
    <w:rsid w:val="00176313"/>
    <w:rsid w:val="0017708B"/>
    <w:rsid w:val="00177824"/>
    <w:rsid w:val="00177D4C"/>
    <w:rsid w:val="00180075"/>
    <w:rsid w:val="00180424"/>
    <w:rsid w:val="00180F86"/>
    <w:rsid w:val="00181545"/>
    <w:rsid w:val="00181789"/>
    <w:rsid w:val="00181CF3"/>
    <w:rsid w:val="00181EAB"/>
    <w:rsid w:val="001820B4"/>
    <w:rsid w:val="00183E7C"/>
    <w:rsid w:val="0018541C"/>
    <w:rsid w:val="001858AD"/>
    <w:rsid w:val="00185918"/>
    <w:rsid w:val="00186270"/>
    <w:rsid w:val="001866F1"/>
    <w:rsid w:val="00186EDB"/>
    <w:rsid w:val="00186F02"/>
    <w:rsid w:val="001870C2"/>
    <w:rsid w:val="00187499"/>
    <w:rsid w:val="00187AF7"/>
    <w:rsid w:val="00187E83"/>
    <w:rsid w:val="00190F66"/>
    <w:rsid w:val="00192764"/>
    <w:rsid w:val="00192935"/>
    <w:rsid w:val="00192C6E"/>
    <w:rsid w:val="001932FB"/>
    <w:rsid w:val="00193706"/>
    <w:rsid w:val="0019370F"/>
    <w:rsid w:val="00193F9C"/>
    <w:rsid w:val="00194002"/>
    <w:rsid w:val="00194DAF"/>
    <w:rsid w:val="00196024"/>
    <w:rsid w:val="00196176"/>
    <w:rsid w:val="00196F45"/>
    <w:rsid w:val="0019770C"/>
    <w:rsid w:val="0019788A"/>
    <w:rsid w:val="001978C7"/>
    <w:rsid w:val="001979E9"/>
    <w:rsid w:val="001A0C68"/>
    <w:rsid w:val="001A2663"/>
    <w:rsid w:val="001A2AC2"/>
    <w:rsid w:val="001A3069"/>
    <w:rsid w:val="001A3367"/>
    <w:rsid w:val="001A3EC5"/>
    <w:rsid w:val="001A5DFA"/>
    <w:rsid w:val="001A63C6"/>
    <w:rsid w:val="001B035A"/>
    <w:rsid w:val="001B15A5"/>
    <w:rsid w:val="001B1DB9"/>
    <w:rsid w:val="001B1F6A"/>
    <w:rsid w:val="001B3397"/>
    <w:rsid w:val="001B3692"/>
    <w:rsid w:val="001B4E4D"/>
    <w:rsid w:val="001B4F17"/>
    <w:rsid w:val="001B6FC8"/>
    <w:rsid w:val="001B7889"/>
    <w:rsid w:val="001B7CC3"/>
    <w:rsid w:val="001B7E60"/>
    <w:rsid w:val="001C032E"/>
    <w:rsid w:val="001C076E"/>
    <w:rsid w:val="001C094E"/>
    <w:rsid w:val="001C0B01"/>
    <w:rsid w:val="001C123D"/>
    <w:rsid w:val="001C1727"/>
    <w:rsid w:val="001C17FF"/>
    <w:rsid w:val="001C20C9"/>
    <w:rsid w:val="001C310B"/>
    <w:rsid w:val="001C369B"/>
    <w:rsid w:val="001C38D4"/>
    <w:rsid w:val="001C4AC1"/>
    <w:rsid w:val="001C5084"/>
    <w:rsid w:val="001C5F2F"/>
    <w:rsid w:val="001C600A"/>
    <w:rsid w:val="001C67C8"/>
    <w:rsid w:val="001C6D08"/>
    <w:rsid w:val="001C776C"/>
    <w:rsid w:val="001C7F24"/>
    <w:rsid w:val="001D0A5E"/>
    <w:rsid w:val="001D0D87"/>
    <w:rsid w:val="001D100C"/>
    <w:rsid w:val="001D1F41"/>
    <w:rsid w:val="001D1FFD"/>
    <w:rsid w:val="001D214E"/>
    <w:rsid w:val="001D291F"/>
    <w:rsid w:val="001D2CFE"/>
    <w:rsid w:val="001D3CDF"/>
    <w:rsid w:val="001D3F04"/>
    <w:rsid w:val="001D4757"/>
    <w:rsid w:val="001D4FDC"/>
    <w:rsid w:val="001D5585"/>
    <w:rsid w:val="001D5998"/>
    <w:rsid w:val="001D6143"/>
    <w:rsid w:val="001D6378"/>
    <w:rsid w:val="001D63C2"/>
    <w:rsid w:val="001D6B0C"/>
    <w:rsid w:val="001D7A2C"/>
    <w:rsid w:val="001D7FAC"/>
    <w:rsid w:val="001E0933"/>
    <w:rsid w:val="001E2538"/>
    <w:rsid w:val="001E2E9C"/>
    <w:rsid w:val="001E3357"/>
    <w:rsid w:val="001E385C"/>
    <w:rsid w:val="001E397B"/>
    <w:rsid w:val="001E3B36"/>
    <w:rsid w:val="001E3F07"/>
    <w:rsid w:val="001E3F7D"/>
    <w:rsid w:val="001E4504"/>
    <w:rsid w:val="001E49BB"/>
    <w:rsid w:val="001E4FB3"/>
    <w:rsid w:val="001E5519"/>
    <w:rsid w:val="001E68E2"/>
    <w:rsid w:val="001E6946"/>
    <w:rsid w:val="001E6B57"/>
    <w:rsid w:val="001E7990"/>
    <w:rsid w:val="001E79DE"/>
    <w:rsid w:val="001E7B2F"/>
    <w:rsid w:val="001E7C5F"/>
    <w:rsid w:val="001F09EE"/>
    <w:rsid w:val="001F3114"/>
    <w:rsid w:val="001F45C4"/>
    <w:rsid w:val="001F52D2"/>
    <w:rsid w:val="001F63D6"/>
    <w:rsid w:val="001F67F9"/>
    <w:rsid w:val="001F71F2"/>
    <w:rsid w:val="0020051A"/>
    <w:rsid w:val="002015BC"/>
    <w:rsid w:val="00202A44"/>
    <w:rsid w:val="002030E1"/>
    <w:rsid w:val="00204AFE"/>
    <w:rsid w:val="00204D6D"/>
    <w:rsid w:val="00205C65"/>
    <w:rsid w:val="002065C2"/>
    <w:rsid w:val="0020722E"/>
    <w:rsid w:val="00207514"/>
    <w:rsid w:val="00207CB0"/>
    <w:rsid w:val="00210104"/>
    <w:rsid w:val="002101B4"/>
    <w:rsid w:val="00210C37"/>
    <w:rsid w:val="00210C85"/>
    <w:rsid w:val="0021235A"/>
    <w:rsid w:val="00212C87"/>
    <w:rsid w:val="00212CC6"/>
    <w:rsid w:val="002147C1"/>
    <w:rsid w:val="00214EC6"/>
    <w:rsid w:val="00215176"/>
    <w:rsid w:val="002153AF"/>
    <w:rsid w:val="00215BB0"/>
    <w:rsid w:val="002160EB"/>
    <w:rsid w:val="0021637C"/>
    <w:rsid w:val="002169A8"/>
    <w:rsid w:val="00216BFE"/>
    <w:rsid w:val="002171BB"/>
    <w:rsid w:val="002171C3"/>
    <w:rsid w:val="0021735C"/>
    <w:rsid w:val="002176B3"/>
    <w:rsid w:val="002202DB"/>
    <w:rsid w:val="002213E6"/>
    <w:rsid w:val="00221877"/>
    <w:rsid w:val="00221971"/>
    <w:rsid w:val="00221A57"/>
    <w:rsid w:val="00222404"/>
    <w:rsid w:val="00222641"/>
    <w:rsid w:val="00222B90"/>
    <w:rsid w:val="0022394B"/>
    <w:rsid w:val="00223A77"/>
    <w:rsid w:val="002243AA"/>
    <w:rsid w:val="002253A3"/>
    <w:rsid w:val="00226DE5"/>
    <w:rsid w:val="00226E5F"/>
    <w:rsid w:val="002278A3"/>
    <w:rsid w:val="00230134"/>
    <w:rsid w:val="0023047A"/>
    <w:rsid w:val="00230E01"/>
    <w:rsid w:val="00231EAF"/>
    <w:rsid w:val="00232756"/>
    <w:rsid w:val="00232775"/>
    <w:rsid w:val="00232DA9"/>
    <w:rsid w:val="002333B5"/>
    <w:rsid w:val="00233A1E"/>
    <w:rsid w:val="00233B9E"/>
    <w:rsid w:val="0023411E"/>
    <w:rsid w:val="002347F5"/>
    <w:rsid w:val="002367D3"/>
    <w:rsid w:val="00237686"/>
    <w:rsid w:val="00241434"/>
    <w:rsid w:val="00241885"/>
    <w:rsid w:val="00241B54"/>
    <w:rsid w:val="00242218"/>
    <w:rsid w:val="0024251B"/>
    <w:rsid w:val="00242B11"/>
    <w:rsid w:val="00243B33"/>
    <w:rsid w:val="00243E0C"/>
    <w:rsid w:val="00243E9E"/>
    <w:rsid w:val="00244608"/>
    <w:rsid w:val="00244E57"/>
    <w:rsid w:val="0024509C"/>
    <w:rsid w:val="00245448"/>
    <w:rsid w:val="002460AD"/>
    <w:rsid w:val="00246341"/>
    <w:rsid w:val="002463ED"/>
    <w:rsid w:val="00246B25"/>
    <w:rsid w:val="00246BBF"/>
    <w:rsid w:val="00246DB2"/>
    <w:rsid w:val="00247A55"/>
    <w:rsid w:val="0025016C"/>
    <w:rsid w:val="0025087E"/>
    <w:rsid w:val="00251243"/>
    <w:rsid w:val="0025128E"/>
    <w:rsid w:val="002512AB"/>
    <w:rsid w:val="002512D3"/>
    <w:rsid w:val="00252230"/>
    <w:rsid w:val="00252F56"/>
    <w:rsid w:val="002531FE"/>
    <w:rsid w:val="00253288"/>
    <w:rsid w:val="002541AE"/>
    <w:rsid w:val="002543B0"/>
    <w:rsid w:val="0025464E"/>
    <w:rsid w:val="00255158"/>
    <w:rsid w:val="0025569A"/>
    <w:rsid w:val="00255A83"/>
    <w:rsid w:val="00255E45"/>
    <w:rsid w:val="00256434"/>
    <w:rsid w:val="0025645E"/>
    <w:rsid w:val="002565A3"/>
    <w:rsid w:val="00256616"/>
    <w:rsid w:val="00257170"/>
    <w:rsid w:val="00257298"/>
    <w:rsid w:val="00257CF3"/>
    <w:rsid w:val="002601AC"/>
    <w:rsid w:val="00260693"/>
    <w:rsid w:val="0026153D"/>
    <w:rsid w:val="00261DF1"/>
    <w:rsid w:val="00261E60"/>
    <w:rsid w:val="002620FA"/>
    <w:rsid w:val="00262185"/>
    <w:rsid w:val="00263B62"/>
    <w:rsid w:val="00264630"/>
    <w:rsid w:val="00264783"/>
    <w:rsid w:val="0026584E"/>
    <w:rsid w:val="0026606F"/>
    <w:rsid w:val="00266AF5"/>
    <w:rsid w:val="00266F0E"/>
    <w:rsid w:val="0026723A"/>
    <w:rsid w:val="002677F5"/>
    <w:rsid w:val="0027028A"/>
    <w:rsid w:val="0027060A"/>
    <w:rsid w:val="00270612"/>
    <w:rsid w:val="00270850"/>
    <w:rsid w:val="00270EBE"/>
    <w:rsid w:val="00270F92"/>
    <w:rsid w:val="002720CB"/>
    <w:rsid w:val="00272869"/>
    <w:rsid w:val="00272E63"/>
    <w:rsid w:val="00273685"/>
    <w:rsid w:val="00273C3F"/>
    <w:rsid w:val="00273D00"/>
    <w:rsid w:val="00274D50"/>
    <w:rsid w:val="002751F6"/>
    <w:rsid w:val="00276586"/>
    <w:rsid w:val="002765CF"/>
    <w:rsid w:val="00277145"/>
    <w:rsid w:val="0028033C"/>
    <w:rsid w:val="00280A25"/>
    <w:rsid w:val="00281623"/>
    <w:rsid w:val="00281B6E"/>
    <w:rsid w:val="0028230A"/>
    <w:rsid w:val="00282C6B"/>
    <w:rsid w:val="00283A4E"/>
    <w:rsid w:val="002849A2"/>
    <w:rsid w:val="00285414"/>
    <w:rsid w:val="002854D4"/>
    <w:rsid w:val="00285547"/>
    <w:rsid w:val="0028591B"/>
    <w:rsid w:val="00285E3D"/>
    <w:rsid w:val="00285EE8"/>
    <w:rsid w:val="002868EB"/>
    <w:rsid w:val="002869CF"/>
    <w:rsid w:val="00287571"/>
    <w:rsid w:val="00287758"/>
    <w:rsid w:val="00287C64"/>
    <w:rsid w:val="00290203"/>
    <w:rsid w:val="00290BBF"/>
    <w:rsid w:val="002917A6"/>
    <w:rsid w:val="00292088"/>
    <w:rsid w:val="0029223A"/>
    <w:rsid w:val="0029286E"/>
    <w:rsid w:val="00292C42"/>
    <w:rsid w:val="00292C57"/>
    <w:rsid w:val="002932AB"/>
    <w:rsid w:val="00293B24"/>
    <w:rsid w:val="00296925"/>
    <w:rsid w:val="00296B89"/>
    <w:rsid w:val="00297619"/>
    <w:rsid w:val="00297F37"/>
    <w:rsid w:val="00297FA5"/>
    <w:rsid w:val="002A01C2"/>
    <w:rsid w:val="002A074D"/>
    <w:rsid w:val="002A0D4F"/>
    <w:rsid w:val="002A1564"/>
    <w:rsid w:val="002A1F73"/>
    <w:rsid w:val="002A2D71"/>
    <w:rsid w:val="002A3022"/>
    <w:rsid w:val="002A31E3"/>
    <w:rsid w:val="002A3AE6"/>
    <w:rsid w:val="002A4105"/>
    <w:rsid w:val="002A4AA5"/>
    <w:rsid w:val="002A4C9D"/>
    <w:rsid w:val="002A5CC2"/>
    <w:rsid w:val="002A6416"/>
    <w:rsid w:val="002A6E97"/>
    <w:rsid w:val="002A732F"/>
    <w:rsid w:val="002A760F"/>
    <w:rsid w:val="002A77B9"/>
    <w:rsid w:val="002B01D6"/>
    <w:rsid w:val="002B0377"/>
    <w:rsid w:val="002B04F2"/>
    <w:rsid w:val="002B0581"/>
    <w:rsid w:val="002B131B"/>
    <w:rsid w:val="002B1778"/>
    <w:rsid w:val="002B1F45"/>
    <w:rsid w:val="002B202E"/>
    <w:rsid w:val="002B279A"/>
    <w:rsid w:val="002B2A1D"/>
    <w:rsid w:val="002B2F57"/>
    <w:rsid w:val="002B327C"/>
    <w:rsid w:val="002B4A9E"/>
    <w:rsid w:val="002B4E5D"/>
    <w:rsid w:val="002B547C"/>
    <w:rsid w:val="002B665C"/>
    <w:rsid w:val="002B7094"/>
    <w:rsid w:val="002B75CB"/>
    <w:rsid w:val="002C0225"/>
    <w:rsid w:val="002C0CE1"/>
    <w:rsid w:val="002C1048"/>
    <w:rsid w:val="002C1899"/>
    <w:rsid w:val="002C1A50"/>
    <w:rsid w:val="002C3AB1"/>
    <w:rsid w:val="002C3D8E"/>
    <w:rsid w:val="002C46E7"/>
    <w:rsid w:val="002C4982"/>
    <w:rsid w:val="002C509B"/>
    <w:rsid w:val="002C5316"/>
    <w:rsid w:val="002C5924"/>
    <w:rsid w:val="002C6D27"/>
    <w:rsid w:val="002C74CF"/>
    <w:rsid w:val="002C7622"/>
    <w:rsid w:val="002C7FD6"/>
    <w:rsid w:val="002D01D3"/>
    <w:rsid w:val="002D0218"/>
    <w:rsid w:val="002D02B9"/>
    <w:rsid w:val="002D03E6"/>
    <w:rsid w:val="002D0D89"/>
    <w:rsid w:val="002D0DC4"/>
    <w:rsid w:val="002D0FAC"/>
    <w:rsid w:val="002D1020"/>
    <w:rsid w:val="002D1186"/>
    <w:rsid w:val="002D1594"/>
    <w:rsid w:val="002D19B7"/>
    <w:rsid w:val="002D1A9C"/>
    <w:rsid w:val="002D1E18"/>
    <w:rsid w:val="002D25C8"/>
    <w:rsid w:val="002D2868"/>
    <w:rsid w:val="002D2B17"/>
    <w:rsid w:val="002D2F62"/>
    <w:rsid w:val="002D32B4"/>
    <w:rsid w:val="002D35ED"/>
    <w:rsid w:val="002D44E5"/>
    <w:rsid w:val="002D4631"/>
    <w:rsid w:val="002D49FA"/>
    <w:rsid w:val="002D4B5C"/>
    <w:rsid w:val="002D4F11"/>
    <w:rsid w:val="002D5129"/>
    <w:rsid w:val="002D51A6"/>
    <w:rsid w:val="002D69ED"/>
    <w:rsid w:val="002D7A4B"/>
    <w:rsid w:val="002D7B73"/>
    <w:rsid w:val="002E0D98"/>
    <w:rsid w:val="002E125F"/>
    <w:rsid w:val="002E2254"/>
    <w:rsid w:val="002E2A3F"/>
    <w:rsid w:val="002E2ABD"/>
    <w:rsid w:val="002E2C37"/>
    <w:rsid w:val="002E3937"/>
    <w:rsid w:val="002E3D67"/>
    <w:rsid w:val="002E4298"/>
    <w:rsid w:val="002E57CF"/>
    <w:rsid w:val="002E5823"/>
    <w:rsid w:val="002E593F"/>
    <w:rsid w:val="002E5D03"/>
    <w:rsid w:val="002E5D6D"/>
    <w:rsid w:val="002E5E33"/>
    <w:rsid w:val="002E5F5A"/>
    <w:rsid w:val="002E6007"/>
    <w:rsid w:val="002E7045"/>
    <w:rsid w:val="002F01D2"/>
    <w:rsid w:val="002F0729"/>
    <w:rsid w:val="002F0DD0"/>
    <w:rsid w:val="002F2267"/>
    <w:rsid w:val="002F3152"/>
    <w:rsid w:val="002F357B"/>
    <w:rsid w:val="002F3836"/>
    <w:rsid w:val="002F39A5"/>
    <w:rsid w:val="002F4C7C"/>
    <w:rsid w:val="002F529F"/>
    <w:rsid w:val="002F5899"/>
    <w:rsid w:val="002F6A24"/>
    <w:rsid w:val="002F7203"/>
    <w:rsid w:val="002F72EC"/>
    <w:rsid w:val="002F7FB8"/>
    <w:rsid w:val="003009F1"/>
    <w:rsid w:val="00302B84"/>
    <w:rsid w:val="00303BEB"/>
    <w:rsid w:val="00304565"/>
    <w:rsid w:val="00306549"/>
    <w:rsid w:val="00306664"/>
    <w:rsid w:val="0030687E"/>
    <w:rsid w:val="00306A86"/>
    <w:rsid w:val="00306CDF"/>
    <w:rsid w:val="00306DA8"/>
    <w:rsid w:val="0030700C"/>
    <w:rsid w:val="0030704B"/>
    <w:rsid w:val="00307298"/>
    <w:rsid w:val="00307969"/>
    <w:rsid w:val="00307B1A"/>
    <w:rsid w:val="003101BF"/>
    <w:rsid w:val="00310EBB"/>
    <w:rsid w:val="00311089"/>
    <w:rsid w:val="003110BE"/>
    <w:rsid w:val="003113FB"/>
    <w:rsid w:val="003124DA"/>
    <w:rsid w:val="00312AFF"/>
    <w:rsid w:val="0031394C"/>
    <w:rsid w:val="00313B0C"/>
    <w:rsid w:val="003151E6"/>
    <w:rsid w:val="003157AE"/>
    <w:rsid w:val="00315993"/>
    <w:rsid w:val="00315B21"/>
    <w:rsid w:val="00315E11"/>
    <w:rsid w:val="003165D1"/>
    <w:rsid w:val="003165D6"/>
    <w:rsid w:val="003166AD"/>
    <w:rsid w:val="00316AE2"/>
    <w:rsid w:val="00316E24"/>
    <w:rsid w:val="003171B3"/>
    <w:rsid w:val="00320142"/>
    <w:rsid w:val="003205B6"/>
    <w:rsid w:val="00320613"/>
    <w:rsid w:val="0032113C"/>
    <w:rsid w:val="003219D2"/>
    <w:rsid w:val="00322128"/>
    <w:rsid w:val="00322275"/>
    <w:rsid w:val="003225E4"/>
    <w:rsid w:val="00323F94"/>
    <w:rsid w:val="00324479"/>
    <w:rsid w:val="0032469E"/>
    <w:rsid w:val="00325BA0"/>
    <w:rsid w:val="00325E60"/>
    <w:rsid w:val="00326833"/>
    <w:rsid w:val="00326BBD"/>
    <w:rsid w:val="00326EF7"/>
    <w:rsid w:val="00326F85"/>
    <w:rsid w:val="00330CD4"/>
    <w:rsid w:val="00331198"/>
    <w:rsid w:val="0033167A"/>
    <w:rsid w:val="00331692"/>
    <w:rsid w:val="00333A0E"/>
    <w:rsid w:val="00333F45"/>
    <w:rsid w:val="00333F5B"/>
    <w:rsid w:val="00334E27"/>
    <w:rsid w:val="00335046"/>
    <w:rsid w:val="0033513B"/>
    <w:rsid w:val="00335917"/>
    <w:rsid w:val="00335DFB"/>
    <w:rsid w:val="003367F4"/>
    <w:rsid w:val="00336BCA"/>
    <w:rsid w:val="0033725C"/>
    <w:rsid w:val="003410C7"/>
    <w:rsid w:val="00341566"/>
    <w:rsid w:val="003418C5"/>
    <w:rsid w:val="0034219A"/>
    <w:rsid w:val="00342DA2"/>
    <w:rsid w:val="0034327C"/>
    <w:rsid w:val="00343704"/>
    <w:rsid w:val="00343942"/>
    <w:rsid w:val="00343FB1"/>
    <w:rsid w:val="003440F5"/>
    <w:rsid w:val="003444EE"/>
    <w:rsid w:val="003459B2"/>
    <w:rsid w:val="0034661A"/>
    <w:rsid w:val="0034682D"/>
    <w:rsid w:val="00346E96"/>
    <w:rsid w:val="003479E5"/>
    <w:rsid w:val="003509F8"/>
    <w:rsid w:val="00350DD3"/>
    <w:rsid w:val="00351735"/>
    <w:rsid w:val="00352135"/>
    <w:rsid w:val="003526FB"/>
    <w:rsid w:val="00352A3A"/>
    <w:rsid w:val="00352C7B"/>
    <w:rsid w:val="00352CAD"/>
    <w:rsid w:val="0035314F"/>
    <w:rsid w:val="003537B9"/>
    <w:rsid w:val="00353C5E"/>
    <w:rsid w:val="003540FA"/>
    <w:rsid w:val="00354AE9"/>
    <w:rsid w:val="00354DAE"/>
    <w:rsid w:val="00356611"/>
    <w:rsid w:val="00356FF4"/>
    <w:rsid w:val="003573CD"/>
    <w:rsid w:val="00360354"/>
    <w:rsid w:val="0036063B"/>
    <w:rsid w:val="00360EB5"/>
    <w:rsid w:val="00361638"/>
    <w:rsid w:val="00361D7F"/>
    <w:rsid w:val="003623C3"/>
    <w:rsid w:val="0036280B"/>
    <w:rsid w:val="00363AFF"/>
    <w:rsid w:val="003649D6"/>
    <w:rsid w:val="00365312"/>
    <w:rsid w:val="0036588D"/>
    <w:rsid w:val="00365BAB"/>
    <w:rsid w:val="00366502"/>
    <w:rsid w:val="0036654E"/>
    <w:rsid w:val="00366B48"/>
    <w:rsid w:val="0036768F"/>
    <w:rsid w:val="00367AD0"/>
    <w:rsid w:val="00367CCF"/>
    <w:rsid w:val="00370049"/>
    <w:rsid w:val="0037031E"/>
    <w:rsid w:val="0037071B"/>
    <w:rsid w:val="00370775"/>
    <w:rsid w:val="0037081F"/>
    <w:rsid w:val="00370CA7"/>
    <w:rsid w:val="00371299"/>
    <w:rsid w:val="003714D3"/>
    <w:rsid w:val="00371BBA"/>
    <w:rsid w:val="00371D64"/>
    <w:rsid w:val="0037219A"/>
    <w:rsid w:val="003721BF"/>
    <w:rsid w:val="003721D1"/>
    <w:rsid w:val="00372812"/>
    <w:rsid w:val="00372904"/>
    <w:rsid w:val="00372AA7"/>
    <w:rsid w:val="00372F16"/>
    <w:rsid w:val="003732BC"/>
    <w:rsid w:val="0037362E"/>
    <w:rsid w:val="00373800"/>
    <w:rsid w:val="00374924"/>
    <w:rsid w:val="00374A12"/>
    <w:rsid w:val="00376971"/>
    <w:rsid w:val="00376D4B"/>
    <w:rsid w:val="003776F8"/>
    <w:rsid w:val="003778C4"/>
    <w:rsid w:val="00380363"/>
    <w:rsid w:val="00380B94"/>
    <w:rsid w:val="0038120B"/>
    <w:rsid w:val="00381B33"/>
    <w:rsid w:val="00381F2E"/>
    <w:rsid w:val="003822C1"/>
    <w:rsid w:val="0038336A"/>
    <w:rsid w:val="00384940"/>
    <w:rsid w:val="00384B84"/>
    <w:rsid w:val="003851BA"/>
    <w:rsid w:val="00385559"/>
    <w:rsid w:val="003856C2"/>
    <w:rsid w:val="00385965"/>
    <w:rsid w:val="00385C82"/>
    <w:rsid w:val="00386BEC"/>
    <w:rsid w:val="00387529"/>
    <w:rsid w:val="003878D1"/>
    <w:rsid w:val="00390C51"/>
    <w:rsid w:val="00390E6D"/>
    <w:rsid w:val="00391057"/>
    <w:rsid w:val="00391302"/>
    <w:rsid w:val="00391582"/>
    <w:rsid w:val="00391808"/>
    <w:rsid w:val="00391D38"/>
    <w:rsid w:val="003929D1"/>
    <w:rsid w:val="00392C7E"/>
    <w:rsid w:val="00393979"/>
    <w:rsid w:val="00393D1D"/>
    <w:rsid w:val="00394278"/>
    <w:rsid w:val="003949A0"/>
    <w:rsid w:val="00394D2B"/>
    <w:rsid w:val="00394D71"/>
    <w:rsid w:val="003967CE"/>
    <w:rsid w:val="003971A9"/>
    <w:rsid w:val="0039729F"/>
    <w:rsid w:val="003975AD"/>
    <w:rsid w:val="003979B4"/>
    <w:rsid w:val="003A018B"/>
    <w:rsid w:val="003A0416"/>
    <w:rsid w:val="003A1126"/>
    <w:rsid w:val="003A1942"/>
    <w:rsid w:val="003A1B3A"/>
    <w:rsid w:val="003A1CA4"/>
    <w:rsid w:val="003A31B1"/>
    <w:rsid w:val="003A3231"/>
    <w:rsid w:val="003A458C"/>
    <w:rsid w:val="003A49DB"/>
    <w:rsid w:val="003A49FF"/>
    <w:rsid w:val="003A5169"/>
    <w:rsid w:val="003A51E7"/>
    <w:rsid w:val="003A5ABA"/>
    <w:rsid w:val="003A5C76"/>
    <w:rsid w:val="003A6F89"/>
    <w:rsid w:val="003B0EE7"/>
    <w:rsid w:val="003B2A44"/>
    <w:rsid w:val="003B51F2"/>
    <w:rsid w:val="003B5406"/>
    <w:rsid w:val="003B662E"/>
    <w:rsid w:val="003B6B28"/>
    <w:rsid w:val="003B6FF8"/>
    <w:rsid w:val="003B700F"/>
    <w:rsid w:val="003B7853"/>
    <w:rsid w:val="003B7B3B"/>
    <w:rsid w:val="003C0F0E"/>
    <w:rsid w:val="003C1510"/>
    <w:rsid w:val="003C1BA8"/>
    <w:rsid w:val="003C206D"/>
    <w:rsid w:val="003C207C"/>
    <w:rsid w:val="003C23A4"/>
    <w:rsid w:val="003C2D30"/>
    <w:rsid w:val="003C30E5"/>
    <w:rsid w:val="003C494C"/>
    <w:rsid w:val="003C56F1"/>
    <w:rsid w:val="003C5DC1"/>
    <w:rsid w:val="003C5E0F"/>
    <w:rsid w:val="003C5E74"/>
    <w:rsid w:val="003C62DA"/>
    <w:rsid w:val="003C64D1"/>
    <w:rsid w:val="003C65F4"/>
    <w:rsid w:val="003C6BA5"/>
    <w:rsid w:val="003C75C8"/>
    <w:rsid w:val="003D0252"/>
    <w:rsid w:val="003D1150"/>
    <w:rsid w:val="003D1247"/>
    <w:rsid w:val="003D189F"/>
    <w:rsid w:val="003D1E74"/>
    <w:rsid w:val="003D2CC8"/>
    <w:rsid w:val="003D2DAA"/>
    <w:rsid w:val="003D2E23"/>
    <w:rsid w:val="003D30FE"/>
    <w:rsid w:val="003D4B48"/>
    <w:rsid w:val="003D5478"/>
    <w:rsid w:val="003D5DBD"/>
    <w:rsid w:val="003D6FBE"/>
    <w:rsid w:val="003E12EE"/>
    <w:rsid w:val="003E2151"/>
    <w:rsid w:val="003E2317"/>
    <w:rsid w:val="003E3FAF"/>
    <w:rsid w:val="003E450D"/>
    <w:rsid w:val="003E4B2F"/>
    <w:rsid w:val="003E5902"/>
    <w:rsid w:val="003E59A4"/>
    <w:rsid w:val="003E606C"/>
    <w:rsid w:val="003E6112"/>
    <w:rsid w:val="003E7ADB"/>
    <w:rsid w:val="003F1CB9"/>
    <w:rsid w:val="003F2CC6"/>
    <w:rsid w:val="003F3395"/>
    <w:rsid w:val="003F4204"/>
    <w:rsid w:val="003F44D6"/>
    <w:rsid w:val="003F46E2"/>
    <w:rsid w:val="003F47CB"/>
    <w:rsid w:val="003F518F"/>
    <w:rsid w:val="003F5F15"/>
    <w:rsid w:val="003F704E"/>
    <w:rsid w:val="003F775B"/>
    <w:rsid w:val="004000C7"/>
    <w:rsid w:val="004001C8"/>
    <w:rsid w:val="0040048F"/>
    <w:rsid w:val="00400D98"/>
    <w:rsid w:val="00403042"/>
    <w:rsid w:val="004030D1"/>
    <w:rsid w:val="004031C2"/>
    <w:rsid w:val="0040483A"/>
    <w:rsid w:val="00404F05"/>
    <w:rsid w:val="004055B8"/>
    <w:rsid w:val="00405AFC"/>
    <w:rsid w:val="0040633A"/>
    <w:rsid w:val="0040640C"/>
    <w:rsid w:val="004069A4"/>
    <w:rsid w:val="00406CB0"/>
    <w:rsid w:val="0040728D"/>
    <w:rsid w:val="0040741A"/>
    <w:rsid w:val="00407A8A"/>
    <w:rsid w:val="0041078A"/>
    <w:rsid w:val="0041080E"/>
    <w:rsid w:val="004127FF"/>
    <w:rsid w:val="00412AB4"/>
    <w:rsid w:val="00413E22"/>
    <w:rsid w:val="00414BFD"/>
    <w:rsid w:val="00415766"/>
    <w:rsid w:val="00415DD4"/>
    <w:rsid w:val="00415DDA"/>
    <w:rsid w:val="00416294"/>
    <w:rsid w:val="004162C6"/>
    <w:rsid w:val="0041691B"/>
    <w:rsid w:val="004178E2"/>
    <w:rsid w:val="00417910"/>
    <w:rsid w:val="00417BCF"/>
    <w:rsid w:val="0042122F"/>
    <w:rsid w:val="00421658"/>
    <w:rsid w:val="00421D4A"/>
    <w:rsid w:val="004226E4"/>
    <w:rsid w:val="00423037"/>
    <w:rsid w:val="004233A7"/>
    <w:rsid w:val="004239C6"/>
    <w:rsid w:val="00424658"/>
    <w:rsid w:val="00425511"/>
    <w:rsid w:val="00426BAD"/>
    <w:rsid w:val="00426D43"/>
    <w:rsid w:val="00426DA7"/>
    <w:rsid w:val="00427571"/>
    <w:rsid w:val="00427B69"/>
    <w:rsid w:val="004304CA"/>
    <w:rsid w:val="00430C3B"/>
    <w:rsid w:val="0043109C"/>
    <w:rsid w:val="00431351"/>
    <w:rsid w:val="0043190C"/>
    <w:rsid w:val="00431BC1"/>
    <w:rsid w:val="004320D3"/>
    <w:rsid w:val="004323B9"/>
    <w:rsid w:val="0043242A"/>
    <w:rsid w:val="0043356D"/>
    <w:rsid w:val="00433F5F"/>
    <w:rsid w:val="004342E4"/>
    <w:rsid w:val="0043570B"/>
    <w:rsid w:val="00435C04"/>
    <w:rsid w:val="00435C70"/>
    <w:rsid w:val="00436016"/>
    <w:rsid w:val="00436DB5"/>
    <w:rsid w:val="0043735F"/>
    <w:rsid w:val="004376EF"/>
    <w:rsid w:val="00437C10"/>
    <w:rsid w:val="004400D1"/>
    <w:rsid w:val="004403C3"/>
    <w:rsid w:val="00440467"/>
    <w:rsid w:val="00440CC3"/>
    <w:rsid w:val="00441451"/>
    <w:rsid w:val="00441A21"/>
    <w:rsid w:val="00442076"/>
    <w:rsid w:val="00442B9E"/>
    <w:rsid w:val="004441AA"/>
    <w:rsid w:val="00444705"/>
    <w:rsid w:val="00444DBD"/>
    <w:rsid w:val="004459F7"/>
    <w:rsid w:val="00445AE5"/>
    <w:rsid w:val="00445EDB"/>
    <w:rsid w:val="00446EC1"/>
    <w:rsid w:val="0044720D"/>
    <w:rsid w:val="004475DC"/>
    <w:rsid w:val="004479EA"/>
    <w:rsid w:val="00447A83"/>
    <w:rsid w:val="00447EFD"/>
    <w:rsid w:val="004501E3"/>
    <w:rsid w:val="004503B5"/>
    <w:rsid w:val="00450E9B"/>
    <w:rsid w:val="00450ECC"/>
    <w:rsid w:val="00451078"/>
    <w:rsid w:val="00451119"/>
    <w:rsid w:val="004525CA"/>
    <w:rsid w:val="004534A2"/>
    <w:rsid w:val="00453CAC"/>
    <w:rsid w:val="0045507F"/>
    <w:rsid w:val="0045538F"/>
    <w:rsid w:val="0045566F"/>
    <w:rsid w:val="00455EBA"/>
    <w:rsid w:val="00456002"/>
    <w:rsid w:val="004562D0"/>
    <w:rsid w:val="00456DA0"/>
    <w:rsid w:val="004574E9"/>
    <w:rsid w:val="00457812"/>
    <w:rsid w:val="00460103"/>
    <w:rsid w:val="00460F50"/>
    <w:rsid w:val="00461127"/>
    <w:rsid w:val="00461CA9"/>
    <w:rsid w:val="00461DCE"/>
    <w:rsid w:val="00462493"/>
    <w:rsid w:val="00462784"/>
    <w:rsid w:val="004627EA"/>
    <w:rsid w:val="004640EC"/>
    <w:rsid w:val="004641BD"/>
    <w:rsid w:val="004641FD"/>
    <w:rsid w:val="004648B5"/>
    <w:rsid w:val="00465757"/>
    <w:rsid w:val="00465ECA"/>
    <w:rsid w:val="00466D83"/>
    <w:rsid w:val="004705FE"/>
    <w:rsid w:val="004710F7"/>
    <w:rsid w:val="004718AA"/>
    <w:rsid w:val="00471E0A"/>
    <w:rsid w:val="00471E7E"/>
    <w:rsid w:val="00472642"/>
    <w:rsid w:val="00472D3F"/>
    <w:rsid w:val="00472DFD"/>
    <w:rsid w:val="00473147"/>
    <w:rsid w:val="004731B6"/>
    <w:rsid w:val="004743D2"/>
    <w:rsid w:val="00474A5B"/>
    <w:rsid w:val="00474A64"/>
    <w:rsid w:val="00475147"/>
    <w:rsid w:val="00475774"/>
    <w:rsid w:val="004759C6"/>
    <w:rsid w:val="00475BDD"/>
    <w:rsid w:val="004768FA"/>
    <w:rsid w:val="00477B4D"/>
    <w:rsid w:val="00480342"/>
    <w:rsid w:val="00480790"/>
    <w:rsid w:val="00481427"/>
    <w:rsid w:val="004815F3"/>
    <w:rsid w:val="00482570"/>
    <w:rsid w:val="00482DE6"/>
    <w:rsid w:val="00483440"/>
    <w:rsid w:val="004839BE"/>
    <w:rsid w:val="00483B3D"/>
    <w:rsid w:val="00485D95"/>
    <w:rsid w:val="0048622D"/>
    <w:rsid w:val="00486715"/>
    <w:rsid w:val="00486CB6"/>
    <w:rsid w:val="00486E38"/>
    <w:rsid w:val="00486E5E"/>
    <w:rsid w:val="00487E86"/>
    <w:rsid w:val="0049002C"/>
    <w:rsid w:val="00490295"/>
    <w:rsid w:val="00490CDF"/>
    <w:rsid w:val="004915E2"/>
    <w:rsid w:val="0049160B"/>
    <w:rsid w:val="00491C34"/>
    <w:rsid w:val="00491DAC"/>
    <w:rsid w:val="004923F4"/>
    <w:rsid w:val="00492CC9"/>
    <w:rsid w:val="00492D0E"/>
    <w:rsid w:val="00492E6C"/>
    <w:rsid w:val="004941B2"/>
    <w:rsid w:val="004945FA"/>
    <w:rsid w:val="00495319"/>
    <w:rsid w:val="00495425"/>
    <w:rsid w:val="00495E53"/>
    <w:rsid w:val="00496B43"/>
    <w:rsid w:val="00496B5E"/>
    <w:rsid w:val="0049721F"/>
    <w:rsid w:val="004976EE"/>
    <w:rsid w:val="00497ADA"/>
    <w:rsid w:val="00497FE7"/>
    <w:rsid w:val="004A2FC2"/>
    <w:rsid w:val="004A3437"/>
    <w:rsid w:val="004A3509"/>
    <w:rsid w:val="004A3A87"/>
    <w:rsid w:val="004A4D28"/>
    <w:rsid w:val="004A7161"/>
    <w:rsid w:val="004B0771"/>
    <w:rsid w:val="004B1508"/>
    <w:rsid w:val="004B18A8"/>
    <w:rsid w:val="004B1F7C"/>
    <w:rsid w:val="004B24A1"/>
    <w:rsid w:val="004B26A3"/>
    <w:rsid w:val="004B2B65"/>
    <w:rsid w:val="004B2EFF"/>
    <w:rsid w:val="004B3534"/>
    <w:rsid w:val="004B45C9"/>
    <w:rsid w:val="004B4A25"/>
    <w:rsid w:val="004B4C79"/>
    <w:rsid w:val="004B4FB2"/>
    <w:rsid w:val="004B52C0"/>
    <w:rsid w:val="004B54F7"/>
    <w:rsid w:val="004B6AE3"/>
    <w:rsid w:val="004B6D8C"/>
    <w:rsid w:val="004B6FB5"/>
    <w:rsid w:val="004C02A6"/>
    <w:rsid w:val="004C044B"/>
    <w:rsid w:val="004C0807"/>
    <w:rsid w:val="004C0863"/>
    <w:rsid w:val="004C08A3"/>
    <w:rsid w:val="004C303E"/>
    <w:rsid w:val="004C3222"/>
    <w:rsid w:val="004C3498"/>
    <w:rsid w:val="004C426F"/>
    <w:rsid w:val="004C4510"/>
    <w:rsid w:val="004C5BA4"/>
    <w:rsid w:val="004C5DAD"/>
    <w:rsid w:val="004C6855"/>
    <w:rsid w:val="004C6967"/>
    <w:rsid w:val="004C6C84"/>
    <w:rsid w:val="004C76CE"/>
    <w:rsid w:val="004C7AD8"/>
    <w:rsid w:val="004D0019"/>
    <w:rsid w:val="004D013C"/>
    <w:rsid w:val="004D0693"/>
    <w:rsid w:val="004D0C83"/>
    <w:rsid w:val="004D0CEB"/>
    <w:rsid w:val="004D199A"/>
    <w:rsid w:val="004D2744"/>
    <w:rsid w:val="004D2B62"/>
    <w:rsid w:val="004D2DE9"/>
    <w:rsid w:val="004D35C8"/>
    <w:rsid w:val="004D4D43"/>
    <w:rsid w:val="004D6031"/>
    <w:rsid w:val="004D6777"/>
    <w:rsid w:val="004D6A4B"/>
    <w:rsid w:val="004D6BD6"/>
    <w:rsid w:val="004D7002"/>
    <w:rsid w:val="004D700D"/>
    <w:rsid w:val="004D7614"/>
    <w:rsid w:val="004D7623"/>
    <w:rsid w:val="004D776B"/>
    <w:rsid w:val="004D7976"/>
    <w:rsid w:val="004E045A"/>
    <w:rsid w:val="004E0773"/>
    <w:rsid w:val="004E0852"/>
    <w:rsid w:val="004E12B8"/>
    <w:rsid w:val="004E292A"/>
    <w:rsid w:val="004E30C5"/>
    <w:rsid w:val="004E330D"/>
    <w:rsid w:val="004E3869"/>
    <w:rsid w:val="004E39EB"/>
    <w:rsid w:val="004E422F"/>
    <w:rsid w:val="004E47C0"/>
    <w:rsid w:val="004E500E"/>
    <w:rsid w:val="004E51E2"/>
    <w:rsid w:val="004E53C5"/>
    <w:rsid w:val="004E5CA1"/>
    <w:rsid w:val="004E5F2F"/>
    <w:rsid w:val="004E68DB"/>
    <w:rsid w:val="004E71FA"/>
    <w:rsid w:val="004F09FE"/>
    <w:rsid w:val="004F0CAE"/>
    <w:rsid w:val="004F0EC1"/>
    <w:rsid w:val="004F1A3C"/>
    <w:rsid w:val="004F2028"/>
    <w:rsid w:val="004F235C"/>
    <w:rsid w:val="004F2699"/>
    <w:rsid w:val="004F2A57"/>
    <w:rsid w:val="004F3ACA"/>
    <w:rsid w:val="004F4191"/>
    <w:rsid w:val="004F477D"/>
    <w:rsid w:val="004F4C82"/>
    <w:rsid w:val="004F4E1C"/>
    <w:rsid w:val="004F4E3E"/>
    <w:rsid w:val="004F4F12"/>
    <w:rsid w:val="004F5490"/>
    <w:rsid w:val="004F5F68"/>
    <w:rsid w:val="004F6233"/>
    <w:rsid w:val="004F638C"/>
    <w:rsid w:val="004F64BC"/>
    <w:rsid w:val="004F746C"/>
    <w:rsid w:val="00500078"/>
    <w:rsid w:val="005005BD"/>
    <w:rsid w:val="00500C5B"/>
    <w:rsid w:val="00500CD4"/>
    <w:rsid w:val="00500F34"/>
    <w:rsid w:val="0050116B"/>
    <w:rsid w:val="00501264"/>
    <w:rsid w:val="00502827"/>
    <w:rsid w:val="00502A0C"/>
    <w:rsid w:val="00502B35"/>
    <w:rsid w:val="00505148"/>
    <w:rsid w:val="00506100"/>
    <w:rsid w:val="0050647F"/>
    <w:rsid w:val="005072B0"/>
    <w:rsid w:val="00510427"/>
    <w:rsid w:val="005108D1"/>
    <w:rsid w:val="00510F6B"/>
    <w:rsid w:val="00511357"/>
    <w:rsid w:val="00513534"/>
    <w:rsid w:val="00513CEA"/>
    <w:rsid w:val="005144F2"/>
    <w:rsid w:val="00514BD6"/>
    <w:rsid w:val="005151C7"/>
    <w:rsid w:val="00515631"/>
    <w:rsid w:val="00515A83"/>
    <w:rsid w:val="00515ABC"/>
    <w:rsid w:val="0051604B"/>
    <w:rsid w:val="0051664E"/>
    <w:rsid w:val="00516E09"/>
    <w:rsid w:val="00517085"/>
    <w:rsid w:val="005170F6"/>
    <w:rsid w:val="00517228"/>
    <w:rsid w:val="00517602"/>
    <w:rsid w:val="0051768A"/>
    <w:rsid w:val="00517CA2"/>
    <w:rsid w:val="0052392B"/>
    <w:rsid w:val="0052396A"/>
    <w:rsid w:val="005242EC"/>
    <w:rsid w:val="00524896"/>
    <w:rsid w:val="00524E8F"/>
    <w:rsid w:val="00526303"/>
    <w:rsid w:val="005263D9"/>
    <w:rsid w:val="00526480"/>
    <w:rsid w:val="00526ADC"/>
    <w:rsid w:val="005272FA"/>
    <w:rsid w:val="0052794C"/>
    <w:rsid w:val="00527D48"/>
    <w:rsid w:val="00527E76"/>
    <w:rsid w:val="0053106B"/>
    <w:rsid w:val="00532266"/>
    <w:rsid w:val="00532ABF"/>
    <w:rsid w:val="00532DA7"/>
    <w:rsid w:val="005339E8"/>
    <w:rsid w:val="0053437B"/>
    <w:rsid w:val="005347E9"/>
    <w:rsid w:val="0053527A"/>
    <w:rsid w:val="00535341"/>
    <w:rsid w:val="00536751"/>
    <w:rsid w:val="00536D3F"/>
    <w:rsid w:val="00536DE4"/>
    <w:rsid w:val="0053721D"/>
    <w:rsid w:val="0053725A"/>
    <w:rsid w:val="005403C8"/>
    <w:rsid w:val="005409AE"/>
    <w:rsid w:val="00540A41"/>
    <w:rsid w:val="00540AE3"/>
    <w:rsid w:val="00540BCE"/>
    <w:rsid w:val="0054120F"/>
    <w:rsid w:val="00541611"/>
    <w:rsid w:val="00541898"/>
    <w:rsid w:val="005427B6"/>
    <w:rsid w:val="00543542"/>
    <w:rsid w:val="00543693"/>
    <w:rsid w:val="00543AD9"/>
    <w:rsid w:val="005447B0"/>
    <w:rsid w:val="00544D50"/>
    <w:rsid w:val="0054507B"/>
    <w:rsid w:val="00545EC6"/>
    <w:rsid w:val="00546475"/>
    <w:rsid w:val="00546749"/>
    <w:rsid w:val="00546A34"/>
    <w:rsid w:val="00547FE0"/>
    <w:rsid w:val="005500D9"/>
    <w:rsid w:val="00551367"/>
    <w:rsid w:val="00551705"/>
    <w:rsid w:val="00551EAB"/>
    <w:rsid w:val="0055283C"/>
    <w:rsid w:val="00553066"/>
    <w:rsid w:val="0055378E"/>
    <w:rsid w:val="00553E7E"/>
    <w:rsid w:val="0055442E"/>
    <w:rsid w:val="0055452D"/>
    <w:rsid w:val="00554A35"/>
    <w:rsid w:val="00554A7E"/>
    <w:rsid w:val="0055558B"/>
    <w:rsid w:val="00555986"/>
    <w:rsid w:val="0055611F"/>
    <w:rsid w:val="00556199"/>
    <w:rsid w:val="00556BD3"/>
    <w:rsid w:val="0055736D"/>
    <w:rsid w:val="005573B1"/>
    <w:rsid w:val="005579B8"/>
    <w:rsid w:val="005614CA"/>
    <w:rsid w:val="005626ED"/>
    <w:rsid w:val="00562D59"/>
    <w:rsid w:val="005634CD"/>
    <w:rsid w:val="00563625"/>
    <w:rsid w:val="00564246"/>
    <w:rsid w:val="005648A8"/>
    <w:rsid w:val="00564F95"/>
    <w:rsid w:val="00565005"/>
    <w:rsid w:val="005658ED"/>
    <w:rsid w:val="0056594B"/>
    <w:rsid w:val="00565E77"/>
    <w:rsid w:val="0057005F"/>
    <w:rsid w:val="005708F0"/>
    <w:rsid w:val="0057135E"/>
    <w:rsid w:val="0057194A"/>
    <w:rsid w:val="00572128"/>
    <w:rsid w:val="00573A2D"/>
    <w:rsid w:val="00573BA8"/>
    <w:rsid w:val="00573F9E"/>
    <w:rsid w:val="0057497D"/>
    <w:rsid w:val="0057503E"/>
    <w:rsid w:val="00575BBE"/>
    <w:rsid w:val="005763B4"/>
    <w:rsid w:val="00576B12"/>
    <w:rsid w:val="0058158C"/>
    <w:rsid w:val="00582075"/>
    <w:rsid w:val="00582176"/>
    <w:rsid w:val="0058242F"/>
    <w:rsid w:val="00582D5A"/>
    <w:rsid w:val="00582F72"/>
    <w:rsid w:val="0058377E"/>
    <w:rsid w:val="005837D7"/>
    <w:rsid w:val="0058566A"/>
    <w:rsid w:val="00585899"/>
    <w:rsid w:val="0058624D"/>
    <w:rsid w:val="00586333"/>
    <w:rsid w:val="00586385"/>
    <w:rsid w:val="005864FF"/>
    <w:rsid w:val="00586FCE"/>
    <w:rsid w:val="005873E5"/>
    <w:rsid w:val="00587D23"/>
    <w:rsid w:val="00587ECB"/>
    <w:rsid w:val="005910E9"/>
    <w:rsid w:val="00591CC6"/>
    <w:rsid w:val="00591D02"/>
    <w:rsid w:val="00592129"/>
    <w:rsid w:val="005935A5"/>
    <w:rsid w:val="00593695"/>
    <w:rsid w:val="005937B6"/>
    <w:rsid w:val="00593CD7"/>
    <w:rsid w:val="00593FBD"/>
    <w:rsid w:val="00594055"/>
    <w:rsid w:val="00594271"/>
    <w:rsid w:val="00594741"/>
    <w:rsid w:val="00595A75"/>
    <w:rsid w:val="00595EB3"/>
    <w:rsid w:val="0059600B"/>
    <w:rsid w:val="00596386"/>
    <w:rsid w:val="005A141F"/>
    <w:rsid w:val="005A172B"/>
    <w:rsid w:val="005A1B25"/>
    <w:rsid w:val="005A22B1"/>
    <w:rsid w:val="005A23F4"/>
    <w:rsid w:val="005A2441"/>
    <w:rsid w:val="005A2613"/>
    <w:rsid w:val="005A309E"/>
    <w:rsid w:val="005A36EF"/>
    <w:rsid w:val="005A3E25"/>
    <w:rsid w:val="005A4740"/>
    <w:rsid w:val="005A4AA2"/>
    <w:rsid w:val="005A4CB8"/>
    <w:rsid w:val="005A4D14"/>
    <w:rsid w:val="005A4D82"/>
    <w:rsid w:val="005A5C92"/>
    <w:rsid w:val="005B0791"/>
    <w:rsid w:val="005B0A14"/>
    <w:rsid w:val="005B0F04"/>
    <w:rsid w:val="005B107E"/>
    <w:rsid w:val="005B297B"/>
    <w:rsid w:val="005B31F0"/>
    <w:rsid w:val="005B372B"/>
    <w:rsid w:val="005B387C"/>
    <w:rsid w:val="005B48E5"/>
    <w:rsid w:val="005B5E8D"/>
    <w:rsid w:val="005B6FFF"/>
    <w:rsid w:val="005B7493"/>
    <w:rsid w:val="005B7E3A"/>
    <w:rsid w:val="005B7F68"/>
    <w:rsid w:val="005C0183"/>
    <w:rsid w:val="005C06BC"/>
    <w:rsid w:val="005C0A6B"/>
    <w:rsid w:val="005C11D1"/>
    <w:rsid w:val="005C164D"/>
    <w:rsid w:val="005C173F"/>
    <w:rsid w:val="005C18C5"/>
    <w:rsid w:val="005C1B2A"/>
    <w:rsid w:val="005C1C24"/>
    <w:rsid w:val="005C1FDE"/>
    <w:rsid w:val="005C2896"/>
    <w:rsid w:val="005C382A"/>
    <w:rsid w:val="005C3A8C"/>
    <w:rsid w:val="005C3CCD"/>
    <w:rsid w:val="005C3F52"/>
    <w:rsid w:val="005C46F6"/>
    <w:rsid w:val="005C485C"/>
    <w:rsid w:val="005C4CF6"/>
    <w:rsid w:val="005C55EB"/>
    <w:rsid w:val="005C5A27"/>
    <w:rsid w:val="005C6388"/>
    <w:rsid w:val="005C63C4"/>
    <w:rsid w:val="005C647E"/>
    <w:rsid w:val="005C6C70"/>
    <w:rsid w:val="005C7030"/>
    <w:rsid w:val="005D0FC6"/>
    <w:rsid w:val="005D1327"/>
    <w:rsid w:val="005D14F0"/>
    <w:rsid w:val="005D1AD1"/>
    <w:rsid w:val="005D1BAF"/>
    <w:rsid w:val="005D2031"/>
    <w:rsid w:val="005D204F"/>
    <w:rsid w:val="005D2680"/>
    <w:rsid w:val="005D2E88"/>
    <w:rsid w:val="005D2F0F"/>
    <w:rsid w:val="005D346C"/>
    <w:rsid w:val="005D38A7"/>
    <w:rsid w:val="005D41CC"/>
    <w:rsid w:val="005D46BA"/>
    <w:rsid w:val="005D4A8E"/>
    <w:rsid w:val="005D4DAB"/>
    <w:rsid w:val="005D4F1F"/>
    <w:rsid w:val="005D587A"/>
    <w:rsid w:val="005D5C95"/>
    <w:rsid w:val="005D6039"/>
    <w:rsid w:val="005D61EB"/>
    <w:rsid w:val="005D6C1F"/>
    <w:rsid w:val="005D6E25"/>
    <w:rsid w:val="005D7737"/>
    <w:rsid w:val="005E0391"/>
    <w:rsid w:val="005E047F"/>
    <w:rsid w:val="005E0743"/>
    <w:rsid w:val="005E0970"/>
    <w:rsid w:val="005E09A4"/>
    <w:rsid w:val="005E0CA4"/>
    <w:rsid w:val="005E0D68"/>
    <w:rsid w:val="005E1285"/>
    <w:rsid w:val="005E13D7"/>
    <w:rsid w:val="005E3B5E"/>
    <w:rsid w:val="005E439B"/>
    <w:rsid w:val="005E4903"/>
    <w:rsid w:val="005E4C78"/>
    <w:rsid w:val="005E4D82"/>
    <w:rsid w:val="005E5DE0"/>
    <w:rsid w:val="005E706E"/>
    <w:rsid w:val="005E70EF"/>
    <w:rsid w:val="005F02E0"/>
    <w:rsid w:val="005F0406"/>
    <w:rsid w:val="005F089F"/>
    <w:rsid w:val="005F2463"/>
    <w:rsid w:val="005F3056"/>
    <w:rsid w:val="005F3F78"/>
    <w:rsid w:val="005F4658"/>
    <w:rsid w:val="005F48CC"/>
    <w:rsid w:val="005F52C6"/>
    <w:rsid w:val="005F53B5"/>
    <w:rsid w:val="005F584F"/>
    <w:rsid w:val="005F5E9D"/>
    <w:rsid w:val="005F761E"/>
    <w:rsid w:val="005F7C38"/>
    <w:rsid w:val="00600678"/>
    <w:rsid w:val="00601418"/>
    <w:rsid w:val="00602AEE"/>
    <w:rsid w:val="00602D6A"/>
    <w:rsid w:val="00602EF4"/>
    <w:rsid w:val="0060383F"/>
    <w:rsid w:val="00603D26"/>
    <w:rsid w:val="006053E2"/>
    <w:rsid w:val="00605434"/>
    <w:rsid w:val="006060A8"/>
    <w:rsid w:val="006064CF"/>
    <w:rsid w:val="0060663A"/>
    <w:rsid w:val="00606873"/>
    <w:rsid w:val="00606BF0"/>
    <w:rsid w:val="00607FE8"/>
    <w:rsid w:val="00610160"/>
    <w:rsid w:val="006104D7"/>
    <w:rsid w:val="006106E9"/>
    <w:rsid w:val="00610A43"/>
    <w:rsid w:val="00611058"/>
    <w:rsid w:val="006112C0"/>
    <w:rsid w:val="006119F4"/>
    <w:rsid w:val="006127A9"/>
    <w:rsid w:val="00612FCC"/>
    <w:rsid w:val="00613063"/>
    <w:rsid w:val="0061393F"/>
    <w:rsid w:val="00613966"/>
    <w:rsid w:val="00613A4F"/>
    <w:rsid w:val="00613BBB"/>
    <w:rsid w:val="00613ECE"/>
    <w:rsid w:val="00614DFC"/>
    <w:rsid w:val="0061605E"/>
    <w:rsid w:val="0061645A"/>
    <w:rsid w:val="0061752B"/>
    <w:rsid w:val="0062012A"/>
    <w:rsid w:val="00620185"/>
    <w:rsid w:val="00620472"/>
    <w:rsid w:val="00620E40"/>
    <w:rsid w:val="00620E8B"/>
    <w:rsid w:val="00622ABE"/>
    <w:rsid w:val="00622DE2"/>
    <w:rsid w:val="00624548"/>
    <w:rsid w:val="00624A9A"/>
    <w:rsid w:val="006257CE"/>
    <w:rsid w:val="0062587C"/>
    <w:rsid w:val="006263D7"/>
    <w:rsid w:val="00626688"/>
    <w:rsid w:val="00626C99"/>
    <w:rsid w:val="00626D4E"/>
    <w:rsid w:val="0062725E"/>
    <w:rsid w:val="006272E0"/>
    <w:rsid w:val="00627361"/>
    <w:rsid w:val="006273AE"/>
    <w:rsid w:val="00627BCB"/>
    <w:rsid w:val="0063063A"/>
    <w:rsid w:val="006307AC"/>
    <w:rsid w:val="00630FC8"/>
    <w:rsid w:val="0063120C"/>
    <w:rsid w:val="00631C23"/>
    <w:rsid w:val="00631D01"/>
    <w:rsid w:val="006325D8"/>
    <w:rsid w:val="00632973"/>
    <w:rsid w:val="00633357"/>
    <w:rsid w:val="0063466C"/>
    <w:rsid w:val="00634905"/>
    <w:rsid w:val="006352C4"/>
    <w:rsid w:val="00635504"/>
    <w:rsid w:val="00635A31"/>
    <w:rsid w:val="00635D8F"/>
    <w:rsid w:val="00635F6C"/>
    <w:rsid w:val="006362B0"/>
    <w:rsid w:val="0064073F"/>
    <w:rsid w:val="006408AF"/>
    <w:rsid w:val="00640CE4"/>
    <w:rsid w:val="00640DBE"/>
    <w:rsid w:val="0064257F"/>
    <w:rsid w:val="00643249"/>
    <w:rsid w:val="00643573"/>
    <w:rsid w:val="00643D74"/>
    <w:rsid w:val="00643E6F"/>
    <w:rsid w:val="0064463E"/>
    <w:rsid w:val="00644FD3"/>
    <w:rsid w:val="00645FC1"/>
    <w:rsid w:val="0064651F"/>
    <w:rsid w:val="006468BB"/>
    <w:rsid w:val="00646E12"/>
    <w:rsid w:val="00647923"/>
    <w:rsid w:val="00647BB8"/>
    <w:rsid w:val="00647E1E"/>
    <w:rsid w:val="00651709"/>
    <w:rsid w:val="0065196E"/>
    <w:rsid w:val="00652053"/>
    <w:rsid w:val="00652366"/>
    <w:rsid w:val="0065274B"/>
    <w:rsid w:val="00652B0A"/>
    <w:rsid w:val="00652F0A"/>
    <w:rsid w:val="006533DF"/>
    <w:rsid w:val="0065382D"/>
    <w:rsid w:val="00653A20"/>
    <w:rsid w:val="00653A42"/>
    <w:rsid w:val="00655039"/>
    <w:rsid w:val="00655FC5"/>
    <w:rsid w:val="006562FC"/>
    <w:rsid w:val="00656363"/>
    <w:rsid w:val="00656592"/>
    <w:rsid w:val="00656B16"/>
    <w:rsid w:val="006571B7"/>
    <w:rsid w:val="00657DCB"/>
    <w:rsid w:val="00660D5F"/>
    <w:rsid w:val="006615A9"/>
    <w:rsid w:val="006615D1"/>
    <w:rsid w:val="006622B5"/>
    <w:rsid w:val="006623D3"/>
    <w:rsid w:val="0066298E"/>
    <w:rsid w:val="00662997"/>
    <w:rsid w:val="00662A44"/>
    <w:rsid w:val="00663E4F"/>
    <w:rsid w:val="006640D1"/>
    <w:rsid w:val="00664EE9"/>
    <w:rsid w:val="00664EEB"/>
    <w:rsid w:val="00665832"/>
    <w:rsid w:val="00665A44"/>
    <w:rsid w:val="00665CC8"/>
    <w:rsid w:val="00666A13"/>
    <w:rsid w:val="00667807"/>
    <w:rsid w:val="00667FDA"/>
    <w:rsid w:val="00670296"/>
    <w:rsid w:val="006705D4"/>
    <w:rsid w:val="006707A3"/>
    <w:rsid w:val="00670D57"/>
    <w:rsid w:val="006721D5"/>
    <w:rsid w:val="0067256D"/>
    <w:rsid w:val="00672DE1"/>
    <w:rsid w:val="00672E44"/>
    <w:rsid w:val="00673183"/>
    <w:rsid w:val="006734A8"/>
    <w:rsid w:val="006735B2"/>
    <w:rsid w:val="006738F6"/>
    <w:rsid w:val="0067458B"/>
    <w:rsid w:val="00675017"/>
    <w:rsid w:val="0067535C"/>
    <w:rsid w:val="006754E7"/>
    <w:rsid w:val="00675BBE"/>
    <w:rsid w:val="0067627F"/>
    <w:rsid w:val="006764A6"/>
    <w:rsid w:val="006765D4"/>
    <w:rsid w:val="006769C5"/>
    <w:rsid w:val="00677114"/>
    <w:rsid w:val="006771C8"/>
    <w:rsid w:val="0067725A"/>
    <w:rsid w:val="006776DF"/>
    <w:rsid w:val="00680715"/>
    <w:rsid w:val="0068103C"/>
    <w:rsid w:val="006829F7"/>
    <w:rsid w:val="00683224"/>
    <w:rsid w:val="00684265"/>
    <w:rsid w:val="00684AF9"/>
    <w:rsid w:val="00684C4D"/>
    <w:rsid w:val="00684C60"/>
    <w:rsid w:val="00685009"/>
    <w:rsid w:val="00685107"/>
    <w:rsid w:val="00685775"/>
    <w:rsid w:val="00685A49"/>
    <w:rsid w:val="006860D2"/>
    <w:rsid w:val="006864A1"/>
    <w:rsid w:val="00686685"/>
    <w:rsid w:val="00686D5F"/>
    <w:rsid w:val="00687598"/>
    <w:rsid w:val="00687F64"/>
    <w:rsid w:val="00690165"/>
    <w:rsid w:val="006903D1"/>
    <w:rsid w:val="00690404"/>
    <w:rsid w:val="006905EB"/>
    <w:rsid w:val="00690659"/>
    <w:rsid w:val="00691648"/>
    <w:rsid w:val="006933F8"/>
    <w:rsid w:val="00693524"/>
    <w:rsid w:val="00693C3E"/>
    <w:rsid w:val="006949F0"/>
    <w:rsid w:val="00694A6D"/>
    <w:rsid w:val="00695A3C"/>
    <w:rsid w:val="00695C01"/>
    <w:rsid w:val="00696E39"/>
    <w:rsid w:val="00697E59"/>
    <w:rsid w:val="006A0156"/>
    <w:rsid w:val="006A02DC"/>
    <w:rsid w:val="006A0A7E"/>
    <w:rsid w:val="006A0AFD"/>
    <w:rsid w:val="006A0B9E"/>
    <w:rsid w:val="006A0F87"/>
    <w:rsid w:val="006A10F4"/>
    <w:rsid w:val="006A137B"/>
    <w:rsid w:val="006A1A85"/>
    <w:rsid w:val="006A1CF0"/>
    <w:rsid w:val="006A2B52"/>
    <w:rsid w:val="006A2F66"/>
    <w:rsid w:val="006A33F3"/>
    <w:rsid w:val="006A3C64"/>
    <w:rsid w:val="006A4009"/>
    <w:rsid w:val="006A5568"/>
    <w:rsid w:val="006A59F4"/>
    <w:rsid w:val="006A5DAE"/>
    <w:rsid w:val="006A63D7"/>
    <w:rsid w:val="006B0EC3"/>
    <w:rsid w:val="006B1423"/>
    <w:rsid w:val="006B1A1A"/>
    <w:rsid w:val="006B1B97"/>
    <w:rsid w:val="006B1BAF"/>
    <w:rsid w:val="006B1F3F"/>
    <w:rsid w:val="006B263A"/>
    <w:rsid w:val="006B28B3"/>
    <w:rsid w:val="006B2A0B"/>
    <w:rsid w:val="006B2B6C"/>
    <w:rsid w:val="006B304B"/>
    <w:rsid w:val="006B37C0"/>
    <w:rsid w:val="006B3EEA"/>
    <w:rsid w:val="006B4EC3"/>
    <w:rsid w:val="006B5A36"/>
    <w:rsid w:val="006B605F"/>
    <w:rsid w:val="006B615D"/>
    <w:rsid w:val="006B65DF"/>
    <w:rsid w:val="006B6862"/>
    <w:rsid w:val="006B6D38"/>
    <w:rsid w:val="006B71CE"/>
    <w:rsid w:val="006B7286"/>
    <w:rsid w:val="006B7291"/>
    <w:rsid w:val="006B777B"/>
    <w:rsid w:val="006B7DEF"/>
    <w:rsid w:val="006B7FF7"/>
    <w:rsid w:val="006C08B2"/>
    <w:rsid w:val="006C1697"/>
    <w:rsid w:val="006C174D"/>
    <w:rsid w:val="006C177D"/>
    <w:rsid w:val="006C295D"/>
    <w:rsid w:val="006C2A69"/>
    <w:rsid w:val="006C2B58"/>
    <w:rsid w:val="006C3A1B"/>
    <w:rsid w:val="006C465D"/>
    <w:rsid w:val="006C4BAA"/>
    <w:rsid w:val="006C568B"/>
    <w:rsid w:val="006C633E"/>
    <w:rsid w:val="006C73D7"/>
    <w:rsid w:val="006C7B24"/>
    <w:rsid w:val="006D022D"/>
    <w:rsid w:val="006D032B"/>
    <w:rsid w:val="006D0B36"/>
    <w:rsid w:val="006D12CB"/>
    <w:rsid w:val="006D1AA6"/>
    <w:rsid w:val="006D207A"/>
    <w:rsid w:val="006D2556"/>
    <w:rsid w:val="006D33A5"/>
    <w:rsid w:val="006D3457"/>
    <w:rsid w:val="006D356F"/>
    <w:rsid w:val="006D3AEC"/>
    <w:rsid w:val="006D440C"/>
    <w:rsid w:val="006D494D"/>
    <w:rsid w:val="006D4958"/>
    <w:rsid w:val="006D4ECD"/>
    <w:rsid w:val="006D58DB"/>
    <w:rsid w:val="006D5B20"/>
    <w:rsid w:val="006D6A83"/>
    <w:rsid w:val="006D6BED"/>
    <w:rsid w:val="006D74D0"/>
    <w:rsid w:val="006E0D78"/>
    <w:rsid w:val="006E1BCB"/>
    <w:rsid w:val="006E1CD2"/>
    <w:rsid w:val="006E28CC"/>
    <w:rsid w:val="006E453F"/>
    <w:rsid w:val="006E4875"/>
    <w:rsid w:val="006E5645"/>
    <w:rsid w:val="006E5A58"/>
    <w:rsid w:val="006E62DA"/>
    <w:rsid w:val="006E7166"/>
    <w:rsid w:val="006E76E8"/>
    <w:rsid w:val="006E7D7A"/>
    <w:rsid w:val="006F0E0F"/>
    <w:rsid w:val="006F0EF5"/>
    <w:rsid w:val="006F19B0"/>
    <w:rsid w:val="006F201C"/>
    <w:rsid w:val="006F2206"/>
    <w:rsid w:val="006F2217"/>
    <w:rsid w:val="006F2B51"/>
    <w:rsid w:val="006F34D0"/>
    <w:rsid w:val="006F4670"/>
    <w:rsid w:val="006F4D54"/>
    <w:rsid w:val="006F50DD"/>
    <w:rsid w:val="006F59C1"/>
    <w:rsid w:val="006F5C81"/>
    <w:rsid w:val="006F60D9"/>
    <w:rsid w:val="006F6307"/>
    <w:rsid w:val="006F6531"/>
    <w:rsid w:val="006F693F"/>
    <w:rsid w:val="006F741C"/>
    <w:rsid w:val="006F7961"/>
    <w:rsid w:val="006F79E4"/>
    <w:rsid w:val="007002E0"/>
    <w:rsid w:val="007007D2"/>
    <w:rsid w:val="00700A3E"/>
    <w:rsid w:val="00700C31"/>
    <w:rsid w:val="00700CF2"/>
    <w:rsid w:val="00700F2D"/>
    <w:rsid w:val="00701735"/>
    <w:rsid w:val="007022C1"/>
    <w:rsid w:val="00702931"/>
    <w:rsid w:val="00702AEF"/>
    <w:rsid w:val="00703595"/>
    <w:rsid w:val="00703EB2"/>
    <w:rsid w:val="007045C0"/>
    <w:rsid w:val="00704723"/>
    <w:rsid w:val="0070485B"/>
    <w:rsid w:val="007049D1"/>
    <w:rsid w:val="00704B3A"/>
    <w:rsid w:val="00705C01"/>
    <w:rsid w:val="007064CF"/>
    <w:rsid w:val="00706824"/>
    <w:rsid w:val="00706E33"/>
    <w:rsid w:val="0070705D"/>
    <w:rsid w:val="00707A4C"/>
    <w:rsid w:val="00707D44"/>
    <w:rsid w:val="00707E03"/>
    <w:rsid w:val="00710279"/>
    <w:rsid w:val="00710584"/>
    <w:rsid w:val="00711E9A"/>
    <w:rsid w:val="0071258F"/>
    <w:rsid w:val="00712770"/>
    <w:rsid w:val="00713A6C"/>
    <w:rsid w:val="00714962"/>
    <w:rsid w:val="00714F49"/>
    <w:rsid w:val="007171EA"/>
    <w:rsid w:val="007177A5"/>
    <w:rsid w:val="00717B8D"/>
    <w:rsid w:val="0072020C"/>
    <w:rsid w:val="0072033F"/>
    <w:rsid w:val="007208A6"/>
    <w:rsid w:val="007223F4"/>
    <w:rsid w:val="007224CE"/>
    <w:rsid w:val="00722522"/>
    <w:rsid w:val="00723101"/>
    <w:rsid w:val="00723599"/>
    <w:rsid w:val="00723859"/>
    <w:rsid w:val="007240FE"/>
    <w:rsid w:val="00724CEB"/>
    <w:rsid w:val="007250E6"/>
    <w:rsid w:val="00725C91"/>
    <w:rsid w:val="00725DE7"/>
    <w:rsid w:val="00725E12"/>
    <w:rsid w:val="007265B1"/>
    <w:rsid w:val="007268B8"/>
    <w:rsid w:val="007269E6"/>
    <w:rsid w:val="00727130"/>
    <w:rsid w:val="007304D7"/>
    <w:rsid w:val="007311E1"/>
    <w:rsid w:val="007316A1"/>
    <w:rsid w:val="00731840"/>
    <w:rsid w:val="00731885"/>
    <w:rsid w:val="00731D02"/>
    <w:rsid w:val="0073207B"/>
    <w:rsid w:val="00732AEF"/>
    <w:rsid w:val="00732D70"/>
    <w:rsid w:val="007336B9"/>
    <w:rsid w:val="007337A0"/>
    <w:rsid w:val="007339D8"/>
    <w:rsid w:val="00733F61"/>
    <w:rsid w:val="0073424F"/>
    <w:rsid w:val="007348E7"/>
    <w:rsid w:val="00734CF4"/>
    <w:rsid w:val="0073502B"/>
    <w:rsid w:val="00735622"/>
    <w:rsid w:val="00736C73"/>
    <w:rsid w:val="0073727D"/>
    <w:rsid w:val="00737427"/>
    <w:rsid w:val="00737831"/>
    <w:rsid w:val="00737AED"/>
    <w:rsid w:val="00737CFC"/>
    <w:rsid w:val="007403BA"/>
    <w:rsid w:val="00740A66"/>
    <w:rsid w:val="00741B73"/>
    <w:rsid w:val="0074329C"/>
    <w:rsid w:val="00744F0F"/>
    <w:rsid w:val="00745179"/>
    <w:rsid w:val="00745AB3"/>
    <w:rsid w:val="007466F6"/>
    <w:rsid w:val="00746F8A"/>
    <w:rsid w:val="00747474"/>
    <w:rsid w:val="00747A7D"/>
    <w:rsid w:val="0075068E"/>
    <w:rsid w:val="00751573"/>
    <w:rsid w:val="007515DF"/>
    <w:rsid w:val="007516AC"/>
    <w:rsid w:val="00751F50"/>
    <w:rsid w:val="00752DFD"/>
    <w:rsid w:val="00752E78"/>
    <w:rsid w:val="00752EB2"/>
    <w:rsid w:val="0075467E"/>
    <w:rsid w:val="00754E40"/>
    <w:rsid w:val="007555A9"/>
    <w:rsid w:val="00755633"/>
    <w:rsid w:val="007564D3"/>
    <w:rsid w:val="00756F07"/>
    <w:rsid w:val="00757B92"/>
    <w:rsid w:val="00757E6D"/>
    <w:rsid w:val="0076025D"/>
    <w:rsid w:val="0076160E"/>
    <w:rsid w:val="00761D3C"/>
    <w:rsid w:val="00761E3B"/>
    <w:rsid w:val="00762183"/>
    <w:rsid w:val="007627B7"/>
    <w:rsid w:val="00762BDF"/>
    <w:rsid w:val="00762DA9"/>
    <w:rsid w:val="0076312D"/>
    <w:rsid w:val="007631EF"/>
    <w:rsid w:val="00763344"/>
    <w:rsid w:val="00763936"/>
    <w:rsid w:val="00763F00"/>
    <w:rsid w:val="00764636"/>
    <w:rsid w:val="007646F5"/>
    <w:rsid w:val="00764BA4"/>
    <w:rsid w:val="00764CA2"/>
    <w:rsid w:val="00764D99"/>
    <w:rsid w:val="00765482"/>
    <w:rsid w:val="007658FF"/>
    <w:rsid w:val="007665B1"/>
    <w:rsid w:val="00766C40"/>
    <w:rsid w:val="0076704E"/>
    <w:rsid w:val="007672EA"/>
    <w:rsid w:val="00767C4D"/>
    <w:rsid w:val="00767DA4"/>
    <w:rsid w:val="00767F9E"/>
    <w:rsid w:val="00770FEF"/>
    <w:rsid w:val="00771009"/>
    <w:rsid w:val="007711EE"/>
    <w:rsid w:val="0077167D"/>
    <w:rsid w:val="00771F32"/>
    <w:rsid w:val="00772B52"/>
    <w:rsid w:val="00772CAE"/>
    <w:rsid w:val="00772DA5"/>
    <w:rsid w:val="007731AC"/>
    <w:rsid w:val="007731FE"/>
    <w:rsid w:val="00773626"/>
    <w:rsid w:val="00773DF5"/>
    <w:rsid w:val="00774C18"/>
    <w:rsid w:val="00775255"/>
    <w:rsid w:val="00776244"/>
    <w:rsid w:val="00776A36"/>
    <w:rsid w:val="00776E3B"/>
    <w:rsid w:val="007771A3"/>
    <w:rsid w:val="007813BC"/>
    <w:rsid w:val="00781A60"/>
    <w:rsid w:val="00782440"/>
    <w:rsid w:val="007826D0"/>
    <w:rsid w:val="0078325A"/>
    <w:rsid w:val="0078331B"/>
    <w:rsid w:val="00783E17"/>
    <w:rsid w:val="0078519A"/>
    <w:rsid w:val="007854A8"/>
    <w:rsid w:val="00786F27"/>
    <w:rsid w:val="007876AC"/>
    <w:rsid w:val="00790519"/>
    <w:rsid w:val="00791271"/>
    <w:rsid w:val="0079143A"/>
    <w:rsid w:val="00791D18"/>
    <w:rsid w:val="00792371"/>
    <w:rsid w:val="00792825"/>
    <w:rsid w:val="00792D1E"/>
    <w:rsid w:val="00793560"/>
    <w:rsid w:val="00793CBD"/>
    <w:rsid w:val="0079439D"/>
    <w:rsid w:val="00794495"/>
    <w:rsid w:val="007948A2"/>
    <w:rsid w:val="007957CB"/>
    <w:rsid w:val="00795A88"/>
    <w:rsid w:val="00796FF5"/>
    <w:rsid w:val="00797AC9"/>
    <w:rsid w:val="00797D1C"/>
    <w:rsid w:val="007A0510"/>
    <w:rsid w:val="007A0919"/>
    <w:rsid w:val="007A0B1E"/>
    <w:rsid w:val="007A100E"/>
    <w:rsid w:val="007A19C9"/>
    <w:rsid w:val="007A1F1C"/>
    <w:rsid w:val="007A2978"/>
    <w:rsid w:val="007A34E3"/>
    <w:rsid w:val="007A37AD"/>
    <w:rsid w:val="007A3883"/>
    <w:rsid w:val="007A4659"/>
    <w:rsid w:val="007A4DCC"/>
    <w:rsid w:val="007A5098"/>
    <w:rsid w:val="007A54A5"/>
    <w:rsid w:val="007A5DB8"/>
    <w:rsid w:val="007A5EAF"/>
    <w:rsid w:val="007A61F6"/>
    <w:rsid w:val="007A6691"/>
    <w:rsid w:val="007A7316"/>
    <w:rsid w:val="007A73DF"/>
    <w:rsid w:val="007B0714"/>
    <w:rsid w:val="007B087F"/>
    <w:rsid w:val="007B0DDA"/>
    <w:rsid w:val="007B157C"/>
    <w:rsid w:val="007B1706"/>
    <w:rsid w:val="007B1734"/>
    <w:rsid w:val="007B1947"/>
    <w:rsid w:val="007B2C93"/>
    <w:rsid w:val="007B301B"/>
    <w:rsid w:val="007B35CF"/>
    <w:rsid w:val="007B39DA"/>
    <w:rsid w:val="007B3AF6"/>
    <w:rsid w:val="007B3BE9"/>
    <w:rsid w:val="007B3C86"/>
    <w:rsid w:val="007B3F15"/>
    <w:rsid w:val="007B4641"/>
    <w:rsid w:val="007B48BC"/>
    <w:rsid w:val="007B4CDB"/>
    <w:rsid w:val="007B553A"/>
    <w:rsid w:val="007B5652"/>
    <w:rsid w:val="007B675E"/>
    <w:rsid w:val="007B699C"/>
    <w:rsid w:val="007C05C1"/>
    <w:rsid w:val="007C1213"/>
    <w:rsid w:val="007C1991"/>
    <w:rsid w:val="007C1D14"/>
    <w:rsid w:val="007C2512"/>
    <w:rsid w:val="007C264B"/>
    <w:rsid w:val="007C26F4"/>
    <w:rsid w:val="007C2AD9"/>
    <w:rsid w:val="007C2D60"/>
    <w:rsid w:val="007C3E32"/>
    <w:rsid w:val="007C482A"/>
    <w:rsid w:val="007C49C5"/>
    <w:rsid w:val="007C4ADB"/>
    <w:rsid w:val="007C4B1E"/>
    <w:rsid w:val="007C578A"/>
    <w:rsid w:val="007C5840"/>
    <w:rsid w:val="007C64AD"/>
    <w:rsid w:val="007C6582"/>
    <w:rsid w:val="007C6ABA"/>
    <w:rsid w:val="007C7643"/>
    <w:rsid w:val="007C7687"/>
    <w:rsid w:val="007C76EC"/>
    <w:rsid w:val="007C799F"/>
    <w:rsid w:val="007C7DB8"/>
    <w:rsid w:val="007D181A"/>
    <w:rsid w:val="007D1966"/>
    <w:rsid w:val="007D1AEF"/>
    <w:rsid w:val="007D2714"/>
    <w:rsid w:val="007D3380"/>
    <w:rsid w:val="007D344A"/>
    <w:rsid w:val="007D381A"/>
    <w:rsid w:val="007D402F"/>
    <w:rsid w:val="007D4770"/>
    <w:rsid w:val="007D516A"/>
    <w:rsid w:val="007D5647"/>
    <w:rsid w:val="007D5BA0"/>
    <w:rsid w:val="007D6208"/>
    <w:rsid w:val="007D6CC5"/>
    <w:rsid w:val="007D77D8"/>
    <w:rsid w:val="007E0ACB"/>
    <w:rsid w:val="007E0CC6"/>
    <w:rsid w:val="007E1338"/>
    <w:rsid w:val="007E28A3"/>
    <w:rsid w:val="007E2FDE"/>
    <w:rsid w:val="007E3162"/>
    <w:rsid w:val="007E36C8"/>
    <w:rsid w:val="007E3EED"/>
    <w:rsid w:val="007E4138"/>
    <w:rsid w:val="007E42BC"/>
    <w:rsid w:val="007E4515"/>
    <w:rsid w:val="007E466C"/>
    <w:rsid w:val="007E54C6"/>
    <w:rsid w:val="007E66CC"/>
    <w:rsid w:val="007E710C"/>
    <w:rsid w:val="007E724F"/>
    <w:rsid w:val="007E75F9"/>
    <w:rsid w:val="007E7CAC"/>
    <w:rsid w:val="007F16CE"/>
    <w:rsid w:val="007F21F2"/>
    <w:rsid w:val="007F36E5"/>
    <w:rsid w:val="007F430D"/>
    <w:rsid w:val="007F447D"/>
    <w:rsid w:val="007F52A9"/>
    <w:rsid w:val="007F53EA"/>
    <w:rsid w:val="007F54B6"/>
    <w:rsid w:val="007F574F"/>
    <w:rsid w:val="007F58DB"/>
    <w:rsid w:val="007F5C20"/>
    <w:rsid w:val="007F620E"/>
    <w:rsid w:val="007F6692"/>
    <w:rsid w:val="007F769C"/>
    <w:rsid w:val="00803203"/>
    <w:rsid w:val="0080323A"/>
    <w:rsid w:val="0080380B"/>
    <w:rsid w:val="008045B0"/>
    <w:rsid w:val="00804794"/>
    <w:rsid w:val="00804847"/>
    <w:rsid w:val="0080493D"/>
    <w:rsid w:val="008049CB"/>
    <w:rsid w:val="00805364"/>
    <w:rsid w:val="008057CC"/>
    <w:rsid w:val="00805A36"/>
    <w:rsid w:val="00806487"/>
    <w:rsid w:val="00806515"/>
    <w:rsid w:val="00806FEA"/>
    <w:rsid w:val="00807343"/>
    <w:rsid w:val="00807CBD"/>
    <w:rsid w:val="00810479"/>
    <w:rsid w:val="00810A00"/>
    <w:rsid w:val="008112AA"/>
    <w:rsid w:val="00811920"/>
    <w:rsid w:val="00813519"/>
    <w:rsid w:val="00813D10"/>
    <w:rsid w:val="00813E1F"/>
    <w:rsid w:val="008140D8"/>
    <w:rsid w:val="00814D58"/>
    <w:rsid w:val="00814DAA"/>
    <w:rsid w:val="008156F0"/>
    <w:rsid w:val="00815976"/>
    <w:rsid w:val="00815CF7"/>
    <w:rsid w:val="00815D5C"/>
    <w:rsid w:val="00815DCF"/>
    <w:rsid w:val="00816DFF"/>
    <w:rsid w:val="00816F76"/>
    <w:rsid w:val="00820087"/>
    <w:rsid w:val="0082086A"/>
    <w:rsid w:val="00820B7B"/>
    <w:rsid w:val="008214E4"/>
    <w:rsid w:val="008217DA"/>
    <w:rsid w:val="00821966"/>
    <w:rsid w:val="00822307"/>
    <w:rsid w:val="00822466"/>
    <w:rsid w:val="00822871"/>
    <w:rsid w:val="00822EAE"/>
    <w:rsid w:val="008230CB"/>
    <w:rsid w:val="008230F3"/>
    <w:rsid w:val="008233B3"/>
    <w:rsid w:val="00823454"/>
    <w:rsid w:val="00824025"/>
    <w:rsid w:val="008241F4"/>
    <w:rsid w:val="00824201"/>
    <w:rsid w:val="00824A57"/>
    <w:rsid w:val="00825E55"/>
    <w:rsid w:val="00827D38"/>
    <w:rsid w:val="00827F06"/>
    <w:rsid w:val="00827F71"/>
    <w:rsid w:val="00830B1E"/>
    <w:rsid w:val="00831791"/>
    <w:rsid w:val="00832066"/>
    <w:rsid w:val="00833433"/>
    <w:rsid w:val="008335B9"/>
    <w:rsid w:val="00833877"/>
    <w:rsid w:val="00833F07"/>
    <w:rsid w:val="00833FE0"/>
    <w:rsid w:val="00834000"/>
    <w:rsid w:val="00834233"/>
    <w:rsid w:val="00834507"/>
    <w:rsid w:val="00834C8F"/>
    <w:rsid w:val="008357AC"/>
    <w:rsid w:val="008358AA"/>
    <w:rsid w:val="00836655"/>
    <w:rsid w:val="0083674D"/>
    <w:rsid w:val="008368B4"/>
    <w:rsid w:val="00836988"/>
    <w:rsid w:val="00836D9F"/>
    <w:rsid w:val="0083748D"/>
    <w:rsid w:val="00837AE2"/>
    <w:rsid w:val="0084003D"/>
    <w:rsid w:val="0084072C"/>
    <w:rsid w:val="00840B13"/>
    <w:rsid w:val="00842F32"/>
    <w:rsid w:val="008432CC"/>
    <w:rsid w:val="008434B8"/>
    <w:rsid w:val="00843C48"/>
    <w:rsid w:val="008446D1"/>
    <w:rsid w:val="00844BAF"/>
    <w:rsid w:val="00845031"/>
    <w:rsid w:val="00845771"/>
    <w:rsid w:val="00846611"/>
    <w:rsid w:val="00847115"/>
    <w:rsid w:val="008477AF"/>
    <w:rsid w:val="0085061F"/>
    <w:rsid w:val="00850837"/>
    <w:rsid w:val="00851B29"/>
    <w:rsid w:val="00851DBA"/>
    <w:rsid w:val="00852D0C"/>
    <w:rsid w:val="00853BB6"/>
    <w:rsid w:val="00853E11"/>
    <w:rsid w:val="00853FEC"/>
    <w:rsid w:val="00854170"/>
    <w:rsid w:val="00854AAB"/>
    <w:rsid w:val="00854CC2"/>
    <w:rsid w:val="008558DC"/>
    <w:rsid w:val="00855BA5"/>
    <w:rsid w:val="00856480"/>
    <w:rsid w:val="00856696"/>
    <w:rsid w:val="00856858"/>
    <w:rsid w:val="00856ABB"/>
    <w:rsid w:val="008570F4"/>
    <w:rsid w:val="008571B7"/>
    <w:rsid w:val="00857382"/>
    <w:rsid w:val="00857CCB"/>
    <w:rsid w:val="00857EF7"/>
    <w:rsid w:val="00860903"/>
    <w:rsid w:val="00860B3A"/>
    <w:rsid w:val="00860CF0"/>
    <w:rsid w:val="0086142A"/>
    <w:rsid w:val="00861A33"/>
    <w:rsid w:val="00862ED4"/>
    <w:rsid w:val="0086350B"/>
    <w:rsid w:val="008638CF"/>
    <w:rsid w:val="00863E6B"/>
    <w:rsid w:val="00864361"/>
    <w:rsid w:val="008643A3"/>
    <w:rsid w:val="0086495B"/>
    <w:rsid w:val="00864B8A"/>
    <w:rsid w:val="00865A60"/>
    <w:rsid w:val="00865F0E"/>
    <w:rsid w:val="00866192"/>
    <w:rsid w:val="00866F29"/>
    <w:rsid w:val="0086733A"/>
    <w:rsid w:val="00867CDF"/>
    <w:rsid w:val="00870095"/>
    <w:rsid w:val="008700FF"/>
    <w:rsid w:val="008701BA"/>
    <w:rsid w:val="008710C9"/>
    <w:rsid w:val="008714DC"/>
    <w:rsid w:val="00871AE2"/>
    <w:rsid w:val="00871F97"/>
    <w:rsid w:val="00872F81"/>
    <w:rsid w:val="0087388A"/>
    <w:rsid w:val="00874016"/>
    <w:rsid w:val="008741E0"/>
    <w:rsid w:val="008744A3"/>
    <w:rsid w:val="00875F3B"/>
    <w:rsid w:val="00876599"/>
    <w:rsid w:val="008778E2"/>
    <w:rsid w:val="008779BC"/>
    <w:rsid w:val="00877B33"/>
    <w:rsid w:val="00877DF8"/>
    <w:rsid w:val="0088022F"/>
    <w:rsid w:val="008803E5"/>
    <w:rsid w:val="00880CA1"/>
    <w:rsid w:val="0088185F"/>
    <w:rsid w:val="00881897"/>
    <w:rsid w:val="0088192F"/>
    <w:rsid w:val="00881CA5"/>
    <w:rsid w:val="0088225B"/>
    <w:rsid w:val="00882B11"/>
    <w:rsid w:val="0088311C"/>
    <w:rsid w:val="008838ED"/>
    <w:rsid w:val="00883D1F"/>
    <w:rsid w:val="00884289"/>
    <w:rsid w:val="008843EF"/>
    <w:rsid w:val="00884478"/>
    <w:rsid w:val="0088525D"/>
    <w:rsid w:val="00885286"/>
    <w:rsid w:val="00885A48"/>
    <w:rsid w:val="008864C6"/>
    <w:rsid w:val="00886719"/>
    <w:rsid w:val="008868CC"/>
    <w:rsid w:val="008904D2"/>
    <w:rsid w:val="008905FE"/>
    <w:rsid w:val="00890A37"/>
    <w:rsid w:val="00890BEE"/>
    <w:rsid w:val="0089130D"/>
    <w:rsid w:val="008914B0"/>
    <w:rsid w:val="00891F36"/>
    <w:rsid w:val="008925CF"/>
    <w:rsid w:val="008937F1"/>
    <w:rsid w:val="0089387B"/>
    <w:rsid w:val="00894563"/>
    <w:rsid w:val="0089552C"/>
    <w:rsid w:val="008959FD"/>
    <w:rsid w:val="00895F2D"/>
    <w:rsid w:val="0089649A"/>
    <w:rsid w:val="008969EA"/>
    <w:rsid w:val="00897CAE"/>
    <w:rsid w:val="008A085B"/>
    <w:rsid w:val="008A13C8"/>
    <w:rsid w:val="008A15A8"/>
    <w:rsid w:val="008A1637"/>
    <w:rsid w:val="008A1A57"/>
    <w:rsid w:val="008A1FD6"/>
    <w:rsid w:val="008A24D7"/>
    <w:rsid w:val="008A27B5"/>
    <w:rsid w:val="008A2D37"/>
    <w:rsid w:val="008A31AE"/>
    <w:rsid w:val="008A31E3"/>
    <w:rsid w:val="008A36D8"/>
    <w:rsid w:val="008A3B69"/>
    <w:rsid w:val="008A4B74"/>
    <w:rsid w:val="008A5D64"/>
    <w:rsid w:val="008A6812"/>
    <w:rsid w:val="008A68DF"/>
    <w:rsid w:val="008A7529"/>
    <w:rsid w:val="008A7860"/>
    <w:rsid w:val="008A7B14"/>
    <w:rsid w:val="008B0B3C"/>
    <w:rsid w:val="008B15B4"/>
    <w:rsid w:val="008B1D08"/>
    <w:rsid w:val="008B2755"/>
    <w:rsid w:val="008B2AA7"/>
    <w:rsid w:val="008B2CEB"/>
    <w:rsid w:val="008B4397"/>
    <w:rsid w:val="008B4B94"/>
    <w:rsid w:val="008B5229"/>
    <w:rsid w:val="008B560F"/>
    <w:rsid w:val="008B5F9A"/>
    <w:rsid w:val="008B6C9E"/>
    <w:rsid w:val="008B6EDD"/>
    <w:rsid w:val="008B720F"/>
    <w:rsid w:val="008C0608"/>
    <w:rsid w:val="008C0C2B"/>
    <w:rsid w:val="008C1FBF"/>
    <w:rsid w:val="008C2C92"/>
    <w:rsid w:val="008C2FF8"/>
    <w:rsid w:val="008C3088"/>
    <w:rsid w:val="008C3503"/>
    <w:rsid w:val="008C35F6"/>
    <w:rsid w:val="008C3BDD"/>
    <w:rsid w:val="008C3DFD"/>
    <w:rsid w:val="008C4052"/>
    <w:rsid w:val="008C5CD9"/>
    <w:rsid w:val="008C725D"/>
    <w:rsid w:val="008D15D0"/>
    <w:rsid w:val="008D1962"/>
    <w:rsid w:val="008D2C42"/>
    <w:rsid w:val="008D4398"/>
    <w:rsid w:val="008D5290"/>
    <w:rsid w:val="008D5507"/>
    <w:rsid w:val="008E0ECA"/>
    <w:rsid w:val="008E1345"/>
    <w:rsid w:val="008E1BE5"/>
    <w:rsid w:val="008E2798"/>
    <w:rsid w:val="008E35B0"/>
    <w:rsid w:val="008E3763"/>
    <w:rsid w:val="008E3B4D"/>
    <w:rsid w:val="008E3FD0"/>
    <w:rsid w:val="008E4238"/>
    <w:rsid w:val="008E4B2C"/>
    <w:rsid w:val="008E4CFA"/>
    <w:rsid w:val="008E4F2D"/>
    <w:rsid w:val="008E517B"/>
    <w:rsid w:val="008E5789"/>
    <w:rsid w:val="008E5A07"/>
    <w:rsid w:val="008E5A1F"/>
    <w:rsid w:val="008E6723"/>
    <w:rsid w:val="008E699C"/>
    <w:rsid w:val="008E7914"/>
    <w:rsid w:val="008F1656"/>
    <w:rsid w:val="008F186B"/>
    <w:rsid w:val="008F3C03"/>
    <w:rsid w:val="008F3DA4"/>
    <w:rsid w:val="008F4487"/>
    <w:rsid w:val="008F575D"/>
    <w:rsid w:val="008F5F61"/>
    <w:rsid w:val="008F6AA2"/>
    <w:rsid w:val="008F752C"/>
    <w:rsid w:val="008F77A2"/>
    <w:rsid w:val="0090057A"/>
    <w:rsid w:val="009011FD"/>
    <w:rsid w:val="00901E0D"/>
    <w:rsid w:val="00902862"/>
    <w:rsid w:val="00902AD2"/>
    <w:rsid w:val="00902C48"/>
    <w:rsid w:val="00902ECB"/>
    <w:rsid w:val="00904239"/>
    <w:rsid w:val="00904467"/>
    <w:rsid w:val="00904808"/>
    <w:rsid w:val="00904A23"/>
    <w:rsid w:val="00904B8D"/>
    <w:rsid w:val="009055B7"/>
    <w:rsid w:val="00905AE0"/>
    <w:rsid w:val="00906259"/>
    <w:rsid w:val="0090699E"/>
    <w:rsid w:val="009075F6"/>
    <w:rsid w:val="00910113"/>
    <w:rsid w:val="0091016D"/>
    <w:rsid w:val="009103C7"/>
    <w:rsid w:val="009107CB"/>
    <w:rsid w:val="00910A3F"/>
    <w:rsid w:val="009114A1"/>
    <w:rsid w:val="009115D6"/>
    <w:rsid w:val="009124DC"/>
    <w:rsid w:val="00912C18"/>
    <w:rsid w:val="00913B84"/>
    <w:rsid w:val="00913F3F"/>
    <w:rsid w:val="009141A3"/>
    <w:rsid w:val="009144B6"/>
    <w:rsid w:val="00916499"/>
    <w:rsid w:val="00916E81"/>
    <w:rsid w:val="0091793D"/>
    <w:rsid w:val="00920340"/>
    <w:rsid w:val="00920402"/>
    <w:rsid w:val="00920499"/>
    <w:rsid w:val="0092069E"/>
    <w:rsid w:val="009207CD"/>
    <w:rsid w:val="009210DE"/>
    <w:rsid w:val="00921478"/>
    <w:rsid w:val="00922683"/>
    <w:rsid w:val="009233CA"/>
    <w:rsid w:val="00924690"/>
    <w:rsid w:val="00924D0F"/>
    <w:rsid w:val="0092546A"/>
    <w:rsid w:val="00925DBB"/>
    <w:rsid w:val="0092602C"/>
    <w:rsid w:val="00926069"/>
    <w:rsid w:val="0092732E"/>
    <w:rsid w:val="00927331"/>
    <w:rsid w:val="009275A3"/>
    <w:rsid w:val="00927C5F"/>
    <w:rsid w:val="00930055"/>
    <w:rsid w:val="009302A8"/>
    <w:rsid w:val="0093046D"/>
    <w:rsid w:val="00931C0A"/>
    <w:rsid w:val="009329C1"/>
    <w:rsid w:val="00932DD0"/>
    <w:rsid w:val="0093301B"/>
    <w:rsid w:val="00933244"/>
    <w:rsid w:val="00933492"/>
    <w:rsid w:val="00933674"/>
    <w:rsid w:val="00933B31"/>
    <w:rsid w:val="009346B3"/>
    <w:rsid w:val="00934AF3"/>
    <w:rsid w:val="00936BE9"/>
    <w:rsid w:val="00936C19"/>
    <w:rsid w:val="00937E13"/>
    <w:rsid w:val="00937F25"/>
    <w:rsid w:val="009407FE"/>
    <w:rsid w:val="0094112A"/>
    <w:rsid w:val="00942C57"/>
    <w:rsid w:val="009447FB"/>
    <w:rsid w:val="00944BDF"/>
    <w:rsid w:val="00944DAD"/>
    <w:rsid w:val="00944EE1"/>
    <w:rsid w:val="0094529C"/>
    <w:rsid w:val="0094574D"/>
    <w:rsid w:val="009464CE"/>
    <w:rsid w:val="00946D45"/>
    <w:rsid w:val="009504CA"/>
    <w:rsid w:val="00951490"/>
    <w:rsid w:val="00951852"/>
    <w:rsid w:val="009518B1"/>
    <w:rsid w:val="009526C0"/>
    <w:rsid w:val="00952A87"/>
    <w:rsid w:val="00952ABB"/>
    <w:rsid w:val="00952D11"/>
    <w:rsid w:val="00953616"/>
    <w:rsid w:val="00953C63"/>
    <w:rsid w:val="00954586"/>
    <w:rsid w:val="00954BF1"/>
    <w:rsid w:val="00955003"/>
    <w:rsid w:val="00955424"/>
    <w:rsid w:val="00955685"/>
    <w:rsid w:val="00955DF1"/>
    <w:rsid w:val="0095607F"/>
    <w:rsid w:val="00956432"/>
    <w:rsid w:val="00956822"/>
    <w:rsid w:val="0095686B"/>
    <w:rsid w:val="00956A46"/>
    <w:rsid w:val="00956FAF"/>
    <w:rsid w:val="0095763C"/>
    <w:rsid w:val="009579EF"/>
    <w:rsid w:val="00957DE8"/>
    <w:rsid w:val="009601DD"/>
    <w:rsid w:val="009608CB"/>
    <w:rsid w:val="00961088"/>
    <w:rsid w:val="009635AC"/>
    <w:rsid w:val="009637E4"/>
    <w:rsid w:val="0096634F"/>
    <w:rsid w:val="00966401"/>
    <w:rsid w:val="009673FE"/>
    <w:rsid w:val="0096780A"/>
    <w:rsid w:val="00967DC7"/>
    <w:rsid w:val="0097015A"/>
    <w:rsid w:val="00970586"/>
    <w:rsid w:val="0097063B"/>
    <w:rsid w:val="00970F6F"/>
    <w:rsid w:val="009714BB"/>
    <w:rsid w:val="00973712"/>
    <w:rsid w:val="00973A93"/>
    <w:rsid w:val="00974188"/>
    <w:rsid w:val="009763F8"/>
    <w:rsid w:val="00980240"/>
    <w:rsid w:val="0098068F"/>
    <w:rsid w:val="009815CF"/>
    <w:rsid w:val="00982A40"/>
    <w:rsid w:val="00982E96"/>
    <w:rsid w:val="009832D3"/>
    <w:rsid w:val="0098395B"/>
    <w:rsid w:val="0098415A"/>
    <w:rsid w:val="009843D2"/>
    <w:rsid w:val="009870CB"/>
    <w:rsid w:val="009876E3"/>
    <w:rsid w:val="00987D07"/>
    <w:rsid w:val="00991DD4"/>
    <w:rsid w:val="00992120"/>
    <w:rsid w:val="00992534"/>
    <w:rsid w:val="0099402E"/>
    <w:rsid w:val="009943B7"/>
    <w:rsid w:val="00994C3B"/>
    <w:rsid w:val="009956B3"/>
    <w:rsid w:val="00997034"/>
    <w:rsid w:val="009970ED"/>
    <w:rsid w:val="0099746B"/>
    <w:rsid w:val="00997631"/>
    <w:rsid w:val="0099769C"/>
    <w:rsid w:val="00997972"/>
    <w:rsid w:val="00997D81"/>
    <w:rsid w:val="009A14A4"/>
    <w:rsid w:val="009A1EA6"/>
    <w:rsid w:val="009A2401"/>
    <w:rsid w:val="009A2885"/>
    <w:rsid w:val="009A2DF4"/>
    <w:rsid w:val="009A3284"/>
    <w:rsid w:val="009A3963"/>
    <w:rsid w:val="009A3FB8"/>
    <w:rsid w:val="009A52A3"/>
    <w:rsid w:val="009A5491"/>
    <w:rsid w:val="009A5604"/>
    <w:rsid w:val="009A65DC"/>
    <w:rsid w:val="009A727E"/>
    <w:rsid w:val="009B0A8C"/>
    <w:rsid w:val="009B12B7"/>
    <w:rsid w:val="009B1BFC"/>
    <w:rsid w:val="009B1D83"/>
    <w:rsid w:val="009B2474"/>
    <w:rsid w:val="009B2BF1"/>
    <w:rsid w:val="009B369E"/>
    <w:rsid w:val="009B3A14"/>
    <w:rsid w:val="009B3A44"/>
    <w:rsid w:val="009B3FA2"/>
    <w:rsid w:val="009B434E"/>
    <w:rsid w:val="009B47EB"/>
    <w:rsid w:val="009B4A6A"/>
    <w:rsid w:val="009B63E6"/>
    <w:rsid w:val="009B6439"/>
    <w:rsid w:val="009B7950"/>
    <w:rsid w:val="009B7D12"/>
    <w:rsid w:val="009C015A"/>
    <w:rsid w:val="009C070D"/>
    <w:rsid w:val="009C0DC9"/>
    <w:rsid w:val="009C1BF6"/>
    <w:rsid w:val="009C2B6B"/>
    <w:rsid w:val="009C2D27"/>
    <w:rsid w:val="009C3006"/>
    <w:rsid w:val="009C3A55"/>
    <w:rsid w:val="009C3D6C"/>
    <w:rsid w:val="009C4345"/>
    <w:rsid w:val="009C5477"/>
    <w:rsid w:val="009C5AA8"/>
    <w:rsid w:val="009C5D30"/>
    <w:rsid w:val="009C6375"/>
    <w:rsid w:val="009C6D1C"/>
    <w:rsid w:val="009C7505"/>
    <w:rsid w:val="009C779A"/>
    <w:rsid w:val="009D184D"/>
    <w:rsid w:val="009D1C99"/>
    <w:rsid w:val="009D20A2"/>
    <w:rsid w:val="009D2697"/>
    <w:rsid w:val="009D26EE"/>
    <w:rsid w:val="009D2F88"/>
    <w:rsid w:val="009D3013"/>
    <w:rsid w:val="009D367F"/>
    <w:rsid w:val="009D3F77"/>
    <w:rsid w:val="009D3FB6"/>
    <w:rsid w:val="009D4F59"/>
    <w:rsid w:val="009D5917"/>
    <w:rsid w:val="009D6A54"/>
    <w:rsid w:val="009D7C8E"/>
    <w:rsid w:val="009E0689"/>
    <w:rsid w:val="009E0AB4"/>
    <w:rsid w:val="009E1FC5"/>
    <w:rsid w:val="009E224B"/>
    <w:rsid w:val="009E22D0"/>
    <w:rsid w:val="009E2BDF"/>
    <w:rsid w:val="009E3460"/>
    <w:rsid w:val="009E3486"/>
    <w:rsid w:val="009E3775"/>
    <w:rsid w:val="009E3A4C"/>
    <w:rsid w:val="009E3F68"/>
    <w:rsid w:val="009E4001"/>
    <w:rsid w:val="009E44F4"/>
    <w:rsid w:val="009E4A3A"/>
    <w:rsid w:val="009E4FDD"/>
    <w:rsid w:val="009E535C"/>
    <w:rsid w:val="009E5BF9"/>
    <w:rsid w:val="009E5EC7"/>
    <w:rsid w:val="009E713F"/>
    <w:rsid w:val="009E71F7"/>
    <w:rsid w:val="009E77DA"/>
    <w:rsid w:val="009E7BA5"/>
    <w:rsid w:val="009F001E"/>
    <w:rsid w:val="009F17FF"/>
    <w:rsid w:val="009F18E9"/>
    <w:rsid w:val="009F18F3"/>
    <w:rsid w:val="009F19FE"/>
    <w:rsid w:val="009F1A2B"/>
    <w:rsid w:val="009F207B"/>
    <w:rsid w:val="009F254F"/>
    <w:rsid w:val="009F2CD9"/>
    <w:rsid w:val="009F3CA8"/>
    <w:rsid w:val="009F5AA6"/>
    <w:rsid w:val="009F5CDD"/>
    <w:rsid w:val="009F5F37"/>
    <w:rsid w:val="009F629E"/>
    <w:rsid w:val="009F670F"/>
    <w:rsid w:val="00A00733"/>
    <w:rsid w:val="00A00D42"/>
    <w:rsid w:val="00A0156A"/>
    <w:rsid w:val="00A01B66"/>
    <w:rsid w:val="00A0353B"/>
    <w:rsid w:val="00A043FC"/>
    <w:rsid w:val="00A04495"/>
    <w:rsid w:val="00A04565"/>
    <w:rsid w:val="00A0581B"/>
    <w:rsid w:val="00A0765A"/>
    <w:rsid w:val="00A0794D"/>
    <w:rsid w:val="00A10280"/>
    <w:rsid w:val="00A114EE"/>
    <w:rsid w:val="00A12176"/>
    <w:rsid w:val="00A13300"/>
    <w:rsid w:val="00A13BC3"/>
    <w:rsid w:val="00A13E82"/>
    <w:rsid w:val="00A14025"/>
    <w:rsid w:val="00A15092"/>
    <w:rsid w:val="00A15CF5"/>
    <w:rsid w:val="00A15E2F"/>
    <w:rsid w:val="00A16C45"/>
    <w:rsid w:val="00A1729A"/>
    <w:rsid w:val="00A17E03"/>
    <w:rsid w:val="00A2058E"/>
    <w:rsid w:val="00A206C8"/>
    <w:rsid w:val="00A2083B"/>
    <w:rsid w:val="00A20F57"/>
    <w:rsid w:val="00A20FA1"/>
    <w:rsid w:val="00A222F0"/>
    <w:rsid w:val="00A226F0"/>
    <w:rsid w:val="00A22C66"/>
    <w:rsid w:val="00A22E83"/>
    <w:rsid w:val="00A243E1"/>
    <w:rsid w:val="00A25D59"/>
    <w:rsid w:val="00A26614"/>
    <w:rsid w:val="00A2724A"/>
    <w:rsid w:val="00A30254"/>
    <w:rsid w:val="00A30C15"/>
    <w:rsid w:val="00A30F0B"/>
    <w:rsid w:val="00A3154F"/>
    <w:rsid w:val="00A315D0"/>
    <w:rsid w:val="00A31A6D"/>
    <w:rsid w:val="00A31C16"/>
    <w:rsid w:val="00A32052"/>
    <w:rsid w:val="00A32F15"/>
    <w:rsid w:val="00A32FE7"/>
    <w:rsid w:val="00A33112"/>
    <w:rsid w:val="00A33592"/>
    <w:rsid w:val="00A33C26"/>
    <w:rsid w:val="00A33CB0"/>
    <w:rsid w:val="00A33CF7"/>
    <w:rsid w:val="00A341D6"/>
    <w:rsid w:val="00A348BF"/>
    <w:rsid w:val="00A3706D"/>
    <w:rsid w:val="00A375DC"/>
    <w:rsid w:val="00A40838"/>
    <w:rsid w:val="00A40B43"/>
    <w:rsid w:val="00A4121E"/>
    <w:rsid w:val="00A41DC9"/>
    <w:rsid w:val="00A424A3"/>
    <w:rsid w:val="00A42868"/>
    <w:rsid w:val="00A42F5B"/>
    <w:rsid w:val="00A431D5"/>
    <w:rsid w:val="00A434A4"/>
    <w:rsid w:val="00A43956"/>
    <w:rsid w:val="00A442F1"/>
    <w:rsid w:val="00A446E2"/>
    <w:rsid w:val="00A44757"/>
    <w:rsid w:val="00A44CC0"/>
    <w:rsid w:val="00A45145"/>
    <w:rsid w:val="00A45174"/>
    <w:rsid w:val="00A45C68"/>
    <w:rsid w:val="00A45E13"/>
    <w:rsid w:val="00A463B6"/>
    <w:rsid w:val="00A46969"/>
    <w:rsid w:val="00A47403"/>
    <w:rsid w:val="00A47BFD"/>
    <w:rsid w:val="00A50530"/>
    <w:rsid w:val="00A5175F"/>
    <w:rsid w:val="00A51838"/>
    <w:rsid w:val="00A51C49"/>
    <w:rsid w:val="00A5282D"/>
    <w:rsid w:val="00A52FB2"/>
    <w:rsid w:val="00A53269"/>
    <w:rsid w:val="00A541F8"/>
    <w:rsid w:val="00A543C5"/>
    <w:rsid w:val="00A55BA0"/>
    <w:rsid w:val="00A5626B"/>
    <w:rsid w:val="00A56348"/>
    <w:rsid w:val="00A5643F"/>
    <w:rsid w:val="00A56C99"/>
    <w:rsid w:val="00A578E0"/>
    <w:rsid w:val="00A61080"/>
    <w:rsid w:val="00A61336"/>
    <w:rsid w:val="00A6185F"/>
    <w:rsid w:val="00A62049"/>
    <w:rsid w:val="00A62487"/>
    <w:rsid w:val="00A63863"/>
    <w:rsid w:val="00A63948"/>
    <w:rsid w:val="00A6404D"/>
    <w:rsid w:val="00A6493D"/>
    <w:rsid w:val="00A65414"/>
    <w:rsid w:val="00A65EC5"/>
    <w:rsid w:val="00A664E0"/>
    <w:rsid w:val="00A66614"/>
    <w:rsid w:val="00A66A10"/>
    <w:rsid w:val="00A66AB3"/>
    <w:rsid w:val="00A66B35"/>
    <w:rsid w:val="00A66BD2"/>
    <w:rsid w:val="00A66C7C"/>
    <w:rsid w:val="00A66EE2"/>
    <w:rsid w:val="00A673F7"/>
    <w:rsid w:val="00A677E9"/>
    <w:rsid w:val="00A7003F"/>
    <w:rsid w:val="00A70464"/>
    <w:rsid w:val="00A70EAE"/>
    <w:rsid w:val="00A71FCC"/>
    <w:rsid w:val="00A72466"/>
    <w:rsid w:val="00A72517"/>
    <w:rsid w:val="00A726EE"/>
    <w:rsid w:val="00A731E3"/>
    <w:rsid w:val="00A739D8"/>
    <w:rsid w:val="00A73BDB"/>
    <w:rsid w:val="00A73D63"/>
    <w:rsid w:val="00A73DBD"/>
    <w:rsid w:val="00A76038"/>
    <w:rsid w:val="00A768BD"/>
    <w:rsid w:val="00A76A85"/>
    <w:rsid w:val="00A77957"/>
    <w:rsid w:val="00A8084C"/>
    <w:rsid w:val="00A81908"/>
    <w:rsid w:val="00A81E83"/>
    <w:rsid w:val="00A83600"/>
    <w:rsid w:val="00A83A52"/>
    <w:rsid w:val="00A84CD1"/>
    <w:rsid w:val="00A84DF7"/>
    <w:rsid w:val="00A8592B"/>
    <w:rsid w:val="00A8613A"/>
    <w:rsid w:val="00A86267"/>
    <w:rsid w:val="00A8629B"/>
    <w:rsid w:val="00A862BA"/>
    <w:rsid w:val="00A86677"/>
    <w:rsid w:val="00A867BC"/>
    <w:rsid w:val="00A9013C"/>
    <w:rsid w:val="00A9099B"/>
    <w:rsid w:val="00A90B0F"/>
    <w:rsid w:val="00A936B5"/>
    <w:rsid w:val="00A954A1"/>
    <w:rsid w:val="00A96D60"/>
    <w:rsid w:val="00A97702"/>
    <w:rsid w:val="00AA018E"/>
    <w:rsid w:val="00AA0329"/>
    <w:rsid w:val="00AA0427"/>
    <w:rsid w:val="00AA0622"/>
    <w:rsid w:val="00AA16F3"/>
    <w:rsid w:val="00AA1732"/>
    <w:rsid w:val="00AA1833"/>
    <w:rsid w:val="00AA19FE"/>
    <w:rsid w:val="00AA1E8E"/>
    <w:rsid w:val="00AA1F6D"/>
    <w:rsid w:val="00AA31F2"/>
    <w:rsid w:val="00AA3E39"/>
    <w:rsid w:val="00AA502B"/>
    <w:rsid w:val="00AA69C5"/>
    <w:rsid w:val="00AA715A"/>
    <w:rsid w:val="00AA7711"/>
    <w:rsid w:val="00AA7D30"/>
    <w:rsid w:val="00AB0CCA"/>
    <w:rsid w:val="00AB24BD"/>
    <w:rsid w:val="00AB2D54"/>
    <w:rsid w:val="00AB31D6"/>
    <w:rsid w:val="00AB35A8"/>
    <w:rsid w:val="00AB3E3F"/>
    <w:rsid w:val="00AB4C80"/>
    <w:rsid w:val="00AB4D9D"/>
    <w:rsid w:val="00AB5012"/>
    <w:rsid w:val="00AB5138"/>
    <w:rsid w:val="00AB6D99"/>
    <w:rsid w:val="00AB6DFE"/>
    <w:rsid w:val="00AB7127"/>
    <w:rsid w:val="00AB73C1"/>
    <w:rsid w:val="00AB7AC2"/>
    <w:rsid w:val="00AC0ED2"/>
    <w:rsid w:val="00AC11F4"/>
    <w:rsid w:val="00AC1997"/>
    <w:rsid w:val="00AC204F"/>
    <w:rsid w:val="00AC246A"/>
    <w:rsid w:val="00AC28C0"/>
    <w:rsid w:val="00AC2A24"/>
    <w:rsid w:val="00AC42B6"/>
    <w:rsid w:val="00AC4485"/>
    <w:rsid w:val="00AC4772"/>
    <w:rsid w:val="00AC4969"/>
    <w:rsid w:val="00AC5200"/>
    <w:rsid w:val="00AC5C70"/>
    <w:rsid w:val="00AC5E77"/>
    <w:rsid w:val="00AC69AA"/>
    <w:rsid w:val="00AC6DB3"/>
    <w:rsid w:val="00AC6F4F"/>
    <w:rsid w:val="00AC7195"/>
    <w:rsid w:val="00AC7705"/>
    <w:rsid w:val="00AC7C0C"/>
    <w:rsid w:val="00AC7D40"/>
    <w:rsid w:val="00AD08B0"/>
    <w:rsid w:val="00AD19DE"/>
    <w:rsid w:val="00AD2BBA"/>
    <w:rsid w:val="00AD2FD7"/>
    <w:rsid w:val="00AD3A03"/>
    <w:rsid w:val="00AD41F3"/>
    <w:rsid w:val="00AD4C5F"/>
    <w:rsid w:val="00AD51E7"/>
    <w:rsid w:val="00AD56BD"/>
    <w:rsid w:val="00AD5751"/>
    <w:rsid w:val="00AD5DCD"/>
    <w:rsid w:val="00AD69BD"/>
    <w:rsid w:val="00AD6AD6"/>
    <w:rsid w:val="00AD7823"/>
    <w:rsid w:val="00AE1762"/>
    <w:rsid w:val="00AE1EA1"/>
    <w:rsid w:val="00AE208C"/>
    <w:rsid w:val="00AE2107"/>
    <w:rsid w:val="00AE2303"/>
    <w:rsid w:val="00AE255F"/>
    <w:rsid w:val="00AE2963"/>
    <w:rsid w:val="00AE296A"/>
    <w:rsid w:val="00AE3665"/>
    <w:rsid w:val="00AE406D"/>
    <w:rsid w:val="00AE41EE"/>
    <w:rsid w:val="00AE5A9F"/>
    <w:rsid w:val="00AE6177"/>
    <w:rsid w:val="00AE73AB"/>
    <w:rsid w:val="00AE7BC2"/>
    <w:rsid w:val="00AF0689"/>
    <w:rsid w:val="00AF1FD9"/>
    <w:rsid w:val="00AF21CC"/>
    <w:rsid w:val="00AF2678"/>
    <w:rsid w:val="00AF2A7C"/>
    <w:rsid w:val="00AF3250"/>
    <w:rsid w:val="00AF38E8"/>
    <w:rsid w:val="00AF3928"/>
    <w:rsid w:val="00AF3B19"/>
    <w:rsid w:val="00AF479B"/>
    <w:rsid w:val="00AF4B24"/>
    <w:rsid w:val="00AF4B30"/>
    <w:rsid w:val="00AF5338"/>
    <w:rsid w:val="00AF539A"/>
    <w:rsid w:val="00AF6526"/>
    <w:rsid w:val="00AF68D4"/>
    <w:rsid w:val="00AF714C"/>
    <w:rsid w:val="00AF7323"/>
    <w:rsid w:val="00B0036E"/>
    <w:rsid w:val="00B003D1"/>
    <w:rsid w:val="00B0058B"/>
    <w:rsid w:val="00B00B92"/>
    <w:rsid w:val="00B00C72"/>
    <w:rsid w:val="00B017B7"/>
    <w:rsid w:val="00B019E9"/>
    <w:rsid w:val="00B01A3F"/>
    <w:rsid w:val="00B02ADE"/>
    <w:rsid w:val="00B04741"/>
    <w:rsid w:val="00B04B55"/>
    <w:rsid w:val="00B04B81"/>
    <w:rsid w:val="00B04C01"/>
    <w:rsid w:val="00B057E6"/>
    <w:rsid w:val="00B05BA5"/>
    <w:rsid w:val="00B05E38"/>
    <w:rsid w:val="00B0650B"/>
    <w:rsid w:val="00B0658B"/>
    <w:rsid w:val="00B06AAC"/>
    <w:rsid w:val="00B06FB2"/>
    <w:rsid w:val="00B07E07"/>
    <w:rsid w:val="00B10462"/>
    <w:rsid w:val="00B10635"/>
    <w:rsid w:val="00B10A0D"/>
    <w:rsid w:val="00B10F79"/>
    <w:rsid w:val="00B1148B"/>
    <w:rsid w:val="00B116F5"/>
    <w:rsid w:val="00B11997"/>
    <w:rsid w:val="00B1205D"/>
    <w:rsid w:val="00B12331"/>
    <w:rsid w:val="00B12557"/>
    <w:rsid w:val="00B12996"/>
    <w:rsid w:val="00B1350A"/>
    <w:rsid w:val="00B13D5F"/>
    <w:rsid w:val="00B14006"/>
    <w:rsid w:val="00B147AB"/>
    <w:rsid w:val="00B14C46"/>
    <w:rsid w:val="00B14DEC"/>
    <w:rsid w:val="00B1513C"/>
    <w:rsid w:val="00B161AB"/>
    <w:rsid w:val="00B16A2C"/>
    <w:rsid w:val="00B16FF7"/>
    <w:rsid w:val="00B1779F"/>
    <w:rsid w:val="00B17DED"/>
    <w:rsid w:val="00B17EFB"/>
    <w:rsid w:val="00B201E8"/>
    <w:rsid w:val="00B20EAC"/>
    <w:rsid w:val="00B20F02"/>
    <w:rsid w:val="00B21811"/>
    <w:rsid w:val="00B2182D"/>
    <w:rsid w:val="00B21FED"/>
    <w:rsid w:val="00B232D4"/>
    <w:rsid w:val="00B23712"/>
    <w:rsid w:val="00B23BE6"/>
    <w:rsid w:val="00B24200"/>
    <w:rsid w:val="00B2420A"/>
    <w:rsid w:val="00B2460D"/>
    <w:rsid w:val="00B2469E"/>
    <w:rsid w:val="00B24768"/>
    <w:rsid w:val="00B24C9D"/>
    <w:rsid w:val="00B24D2C"/>
    <w:rsid w:val="00B24D90"/>
    <w:rsid w:val="00B24E8F"/>
    <w:rsid w:val="00B251AE"/>
    <w:rsid w:val="00B251B8"/>
    <w:rsid w:val="00B25BF8"/>
    <w:rsid w:val="00B26237"/>
    <w:rsid w:val="00B270F1"/>
    <w:rsid w:val="00B272F7"/>
    <w:rsid w:val="00B27742"/>
    <w:rsid w:val="00B278C0"/>
    <w:rsid w:val="00B279F5"/>
    <w:rsid w:val="00B27F12"/>
    <w:rsid w:val="00B30E15"/>
    <w:rsid w:val="00B30EF1"/>
    <w:rsid w:val="00B311A9"/>
    <w:rsid w:val="00B31BB3"/>
    <w:rsid w:val="00B31F3B"/>
    <w:rsid w:val="00B32853"/>
    <w:rsid w:val="00B32AB1"/>
    <w:rsid w:val="00B3310A"/>
    <w:rsid w:val="00B33A19"/>
    <w:rsid w:val="00B33D0E"/>
    <w:rsid w:val="00B33F0B"/>
    <w:rsid w:val="00B34059"/>
    <w:rsid w:val="00B350C6"/>
    <w:rsid w:val="00B35D10"/>
    <w:rsid w:val="00B35E56"/>
    <w:rsid w:val="00B363C7"/>
    <w:rsid w:val="00B3663C"/>
    <w:rsid w:val="00B367F4"/>
    <w:rsid w:val="00B368E3"/>
    <w:rsid w:val="00B40674"/>
    <w:rsid w:val="00B412B9"/>
    <w:rsid w:val="00B415AD"/>
    <w:rsid w:val="00B41F7F"/>
    <w:rsid w:val="00B42A20"/>
    <w:rsid w:val="00B43362"/>
    <w:rsid w:val="00B4350B"/>
    <w:rsid w:val="00B435C3"/>
    <w:rsid w:val="00B43C8E"/>
    <w:rsid w:val="00B45EE3"/>
    <w:rsid w:val="00B4677F"/>
    <w:rsid w:val="00B47724"/>
    <w:rsid w:val="00B47893"/>
    <w:rsid w:val="00B47F06"/>
    <w:rsid w:val="00B50A5B"/>
    <w:rsid w:val="00B5223A"/>
    <w:rsid w:val="00B52890"/>
    <w:rsid w:val="00B52F10"/>
    <w:rsid w:val="00B53C3C"/>
    <w:rsid w:val="00B54C21"/>
    <w:rsid w:val="00B5502C"/>
    <w:rsid w:val="00B56BEB"/>
    <w:rsid w:val="00B56F1D"/>
    <w:rsid w:val="00B57278"/>
    <w:rsid w:val="00B57705"/>
    <w:rsid w:val="00B60E3C"/>
    <w:rsid w:val="00B62865"/>
    <w:rsid w:val="00B62DEE"/>
    <w:rsid w:val="00B63107"/>
    <w:rsid w:val="00B638ED"/>
    <w:rsid w:val="00B63DDB"/>
    <w:rsid w:val="00B644BE"/>
    <w:rsid w:val="00B64DBA"/>
    <w:rsid w:val="00B64DC7"/>
    <w:rsid w:val="00B65F04"/>
    <w:rsid w:val="00B65F35"/>
    <w:rsid w:val="00B660EF"/>
    <w:rsid w:val="00B663CE"/>
    <w:rsid w:val="00B66401"/>
    <w:rsid w:val="00B6650E"/>
    <w:rsid w:val="00B66574"/>
    <w:rsid w:val="00B66AC8"/>
    <w:rsid w:val="00B672EC"/>
    <w:rsid w:val="00B7048F"/>
    <w:rsid w:val="00B70700"/>
    <w:rsid w:val="00B708BF"/>
    <w:rsid w:val="00B70B6E"/>
    <w:rsid w:val="00B712FD"/>
    <w:rsid w:val="00B72699"/>
    <w:rsid w:val="00B739A4"/>
    <w:rsid w:val="00B73A46"/>
    <w:rsid w:val="00B743D7"/>
    <w:rsid w:val="00B75269"/>
    <w:rsid w:val="00B754AD"/>
    <w:rsid w:val="00B75885"/>
    <w:rsid w:val="00B75DEA"/>
    <w:rsid w:val="00B76713"/>
    <w:rsid w:val="00B76943"/>
    <w:rsid w:val="00B76E48"/>
    <w:rsid w:val="00B800C8"/>
    <w:rsid w:val="00B81259"/>
    <w:rsid w:val="00B81C71"/>
    <w:rsid w:val="00B82A66"/>
    <w:rsid w:val="00B82E11"/>
    <w:rsid w:val="00B83AEE"/>
    <w:rsid w:val="00B842EC"/>
    <w:rsid w:val="00B844A4"/>
    <w:rsid w:val="00B85D3C"/>
    <w:rsid w:val="00B86DF9"/>
    <w:rsid w:val="00B871D7"/>
    <w:rsid w:val="00B8786B"/>
    <w:rsid w:val="00B87AFA"/>
    <w:rsid w:val="00B87B49"/>
    <w:rsid w:val="00B87CA3"/>
    <w:rsid w:val="00B902F6"/>
    <w:rsid w:val="00B909F2"/>
    <w:rsid w:val="00B9140C"/>
    <w:rsid w:val="00B91AB4"/>
    <w:rsid w:val="00B92910"/>
    <w:rsid w:val="00B92D51"/>
    <w:rsid w:val="00B934F7"/>
    <w:rsid w:val="00B938A6"/>
    <w:rsid w:val="00B939A4"/>
    <w:rsid w:val="00B947E4"/>
    <w:rsid w:val="00B954E3"/>
    <w:rsid w:val="00B95B9A"/>
    <w:rsid w:val="00B9607F"/>
    <w:rsid w:val="00B9674D"/>
    <w:rsid w:val="00B96A49"/>
    <w:rsid w:val="00B97270"/>
    <w:rsid w:val="00B97D66"/>
    <w:rsid w:val="00B97EB5"/>
    <w:rsid w:val="00BA0666"/>
    <w:rsid w:val="00BA0707"/>
    <w:rsid w:val="00BA1490"/>
    <w:rsid w:val="00BA1F88"/>
    <w:rsid w:val="00BA1FE3"/>
    <w:rsid w:val="00BA23E1"/>
    <w:rsid w:val="00BA2600"/>
    <w:rsid w:val="00BA29A7"/>
    <w:rsid w:val="00BA3004"/>
    <w:rsid w:val="00BA32A7"/>
    <w:rsid w:val="00BA3C13"/>
    <w:rsid w:val="00BA3E14"/>
    <w:rsid w:val="00BA4186"/>
    <w:rsid w:val="00BA4512"/>
    <w:rsid w:val="00BA4C27"/>
    <w:rsid w:val="00BA6035"/>
    <w:rsid w:val="00BA62E1"/>
    <w:rsid w:val="00BA68A6"/>
    <w:rsid w:val="00BA741C"/>
    <w:rsid w:val="00BA756F"/>
    <w:rsid w:val="00BA794E"/>
    <w:rsid w:val="00BA79B0"/>
    <w:rsid w:val="00BA7A56"/>
    <w:rsid w:val="00BB0250"/>
    <w:rsid w:val="00BB0C2F"/>
    <w:rsid w:val="00BB0E5C"/>
    <w:rsid w:val="00BB13BC"/>
    <w:rsid w:val="00BB205E"/>
    <w:rsid w:val="00BB2304"/>
    <w:rsid w:val="00BB31B0"/>
    <w:rsid w:val="00BB3BDF"/>
    <w:rsid w:val="00BB4720"/>
    <w:rsid w:val="00BB4A94"/>
    <w:rsid w:val="00BB4AC1"/>
    <w:rsid w:val="00BB4AE8"/>
    <w:rsid w:val="00BB4D73"/>
    <w:rsid w:val="00BB516F"/>
    <w:rsid w:val="00BB6A1F"/>
    <w:rsid w:val="00BB76DE"/>
    <w:rsid w:val="00BB79CD"/>
    <w:rsid w:val="00BB7D5F"/>
    <w:rsid w:val="00BC068F"/>
    <w:rsid w:val="00BC10BD"/>
    <w:rsid w:val="00BC10CD"/>
    <w:rsid w:val="00BC1157"/>
    <w:rsid w:val="00BC1F3E"/>
    <w:rsid w:val="00BC286E"/>
    <w:rsid w:val="00BC32EE"/>
    <w:rsid w:val="00BC3A25"/>
    <w:rsid w:val="00BC485C"/>
    <w:rsid w:val="00BC4B23"/>
    <w:rsid w:val="00BC56A6"/>
    <w:rsid w:val="00BC5929"/>
    <w:rsid w:val="00BC5F47"/>
    <w:rsid w:val="00BC5F57"/>
    <w:rsid w:val="00BC62D4"/>
    <w:rsid w:val="00BC692A"/>
    <w:rsid w:val="00BD0C73"/>
    <w:rsid w:val="00BD1A6A"/>
    <w:rsid w:val="00BD1B09"/>
    <w:rsid w:val="00BD1C97"/>
    <w:rsid w:val="00BD22EF"/>
    <w:rsid w:val="00BD2AB9"/>
    <w:rsid w:val="00BD2BE7"/>
    <w:rsid w:val="00BD372C"/>
    <w:rsid w:val="00BD40E2"/>
    <w:rsid w:val="00BD46F8"/>
    <w:rsid w:val="00BD4A4E"/>
    <w:rsid w:val="00BD4B91"/>
    <w:rsid w:val="00BD5039"/>
    <w:rsid w:val="00BD573F"/>
    <w:rsid w:val="00BD5ADA"/>
    <w:rsid w:val="00BD6C2C"/>
    <w:rsid w:val="00BD7513"/>
    <w:rsid w:val="00BD7A5E"/>
    <w:rsid w:val="00BD7DF7"/>
    <w:rsid w:val="00BD7F35"/>
    <w:rsid w:val="00BE0481"/>
    <w:rsid w:val="00BE0798"/>
    <w:rsid w:val="00BE0FA0"/>
    <w:rsid w:val="00BE1924"/>
    <w:rsid w:val="00BE1B34"/>
    <w:rsid w:val="00BE230B"/>
    <w:rsid w:val="00BE248C"/>
    <w:rsid w:val="00BE2DEA"/>
    <w:rsid w:val="00BE2E58"/>
    <w:rsid w:val="00BE30E6"/>
    <w:rsid w:val="00BE3268"/>
    <w:rsid w:val="00BE332E"/>
    <w:rsid w:val="00BE3DEA"/>
    <w:rsid w:val="00BE3FBC"/>
    <w:rsid w:val="00BE3FD9"/>
    <w:rsid w:val="00BE4D27"/>
    <w:rsid w:val="00BE7645"/>
    <w:rsid w:val="00BE79BF"/>
    <w:rsid w:val="00BE7A36"/>
    <w:rsid w:val="00BE7AC3"/>
    <w:rsid w:val="00BE7C01"/>
    <w:rsid w:val="00BF0AA8"/>
    <w:rsid w:val="00BF0FC3"/>
    <w:rsid w:val="00BF183D"/>
    <w:rsid w:val="00BF1889"/>
    <w:rsid w:val="00BF3086"/>
    <w:rsid w:val="00BF3612"/>
    <w:rsid w:val="00BF4B1C"/>
    <w:rsid w:val="00BF5C56"/>
    <w:rsid w:val="00BF63BF"/>
    <w:rsid w:val="00BF6761"/>
    <w:rsid w:val="00BF784B"/>
    <w:rsid w:val="00BF7986"/>
    <w:rsid w:val="00BF7A97"/>
    <w:rsid w:val="00BF7C75"/>
    <w:rsid w:val="00BF7FDE"/>
    <w:rsid w:val="00C012D7"/>
    <w:rsid w:val="00C018D5"/>
    <w:rsid w:val="00C031FA"/>
    <w:rsid w:val="00C03332"/>
    <w:rsid w:val="00C03555"/>
    <w:rsid w:val="00C036B8"/>
    <w:rsid w:val="00C03D8A"/>
    <w:rsid w:val="00C041C3"/>
    <w:rsid w:val="00C044A3"/>
    <w:rsid w:val="00C04EB6"/>
    <w:rsid w:val="00C06255"/>
    <w:rsid w:val="00C065C2"/>
    <w:rsid w:val="00C06646"/>
    <w:rsid w:val="00C066F9"/>
    <w:rsid w:val="00C06C70"/>
    <w:rsid w:val="00C06D40"/>
    <w:rsid w:val="00C07009"/>
    <w:rsid w:val="00C070D8"/>
    <w:rsid w:val="00C10AE3"/>
    <w:rsid w:val="00C10E55"/>
    <w:rsid w:val="00C10FB6"/>
    <w:rsid w:val="00C117E4"/>
    <w:rsid w:val="00C11978"/>
    <w:rsid w:val="00C12608"/>
    <w:rsid w:val="00C12DA4"/>
    <w:rsid w:val="00C1325C"/>
    <w:rsid w:val="00C134F1"/>
    <w:rsid w:val="00C1436A"/>
    <w:rsid w:val="00C14E34"/>
    <w:rsid w:val="00C151FB"/>
    <w:rsid w:val="00C15789"/>
    <w:rsid w:val="00C1697E"/>
    <w:rsid w:val="00C17270"/>
    <w:rsid w:val="00C175DE"/>
    <w:rsid w:val="00C177EF"/>
    <w:rsid w:val="00C2130B"/>
    <w:rsid w:val="00C21AC8"/>
    <w:rsid w:val="00C21BCF"/>
    <w:rsid w:val="00C21F5A"/>
    <w:rsid w:val="00C21FA0"/>
    <w:rsid w:val="00C22D58"/>
    <w:rsid w:val="00C231AB"/>
    <w:rsid w:val="00C239D4"/>
    <w:rsid w:val="00C24A31"/>
    <w:rsid w:val="00C24B9F"/>
    <w:rsid w:val="00C24CBE"/>
    <w:rsid w:val="00C24E47"/>
    <w:rsid w:val="00C265DB"/>
    <w:rsid w:val="00C2685A"/>
    <w:rsid w:val="00C269C5"/>
    <w:rsid w:val="00C26C63"/>
    <w:rsid w:val="00C26F2C"/>
    <w:rsid w:val="00C26FB7"/>
    <w:rsid w:val="00C27278"/>
    <w:rsid w:val="00C3025E"/>
    <w:rsid w:val="00C3058D"/>
    <w:rsid w:val="00C31598"/>
    <w:rsid w:val="00C321B6"/>
    <w:rsid w:val="00C3284F"/>
    <w:rsid w:val="00C32FD1"/>
    <w:rsid w:val="00C349AE"/>
    <w:rsid w:val="00C34B2E"/>
    <w:rsid w:val="00C353DE"/>
    <w:rsid w:val="00C3613B"/>
    <w:rsid w:val="00C3711E"/>
    <w:rsid w:val="00C37D62"/>
    <w:rsid w:val="00C37E9D"/>
    <w:rsid w:val="00C40168"/>
    <w:rsid w:val="00C40AEE"/>
    <w:rsid w:val="00C41ACD"/>
    <w:rsid w:val="00C428E6"/>
    <w:rsid w:val="00C42E54"/>
    <w:rsid w:val="00C42F28"/>
    <w:rsid w:val="00C433AB"/>
    <w:rsid w:val="00C4373F"/>
    <w:rsid w:val="00C4383D"/>
    <w:rsid w:val="00C443F9"/>
    <w:rsid w:val="00C44AEB"/>
    <w:rsid w:val="00C45066"/>
    <w:rsid w:val="00C45135"/>
    <w:rsid w:val="00C45365"/>
    <w:rsid w:val="00C459BC"/>
    <w:rsid w:val="00C45E6D"/>
    <w:rsid w:val="00C46051"/>
    <w:rsid w:val="00C46089"/>
    <w:rsid w:val="00C463C5"/>
    <w:rsid w:val="00C465B7"/>
    <w:rsid w:val="00C466C0"/>
    <w:rsid w:val="00C4684B"/>
    <w:rsid w:val="00C468C5"/>
    <w:rsid w:val="00C46DD9"/>
    <w:rsid w:val="00C5152A"/>
    <w:rsid w:val="00C5197C"/>
    <w:rsid w:val="00C51D6F"/>
    <w:rsid w:val="00C52680"/>
    <w:rsid w:val="00C52FC6"/>
    <w:rsid w:val="00C530A9"/>
    <w:rsid w:val="00C5333C"/>
    <w:rsid w:val="00C535B1"/>
    <w:rsid w:val="00C5411F"/>
    <w:rsid w:val="00C54835"/>
    <w:rsid w:val="00C55342"/>
    <w:rsid w:val="00C562C9"/>
    <w:rsid w:val="00C56D67"/>
    <w:rsid w:val="00C571BD"/>
    <w:rsid w:val="00C572EF"/>
    <w:rsid w:val="00C574C9"/>
    <w:rsid w:val="00C57C12"/>
    <w:rsid w:val="00C57C5E"/>
    <w:rsid w:val="00C60100"/>
    <w:rsid w:val="00C625E6"/>
    <w:rsid w:val="00C6298B"/>
    <w:rsid w:val="00C6316E"/>
    <w:rsid w:val="00C632F6"/>
    <w:rsid w:val="00C6358E"/>
    <w:rsid w:val="00C646B3"/>
    <w:rsid w:val="00C64CD1"/>
    <w:rsid w:val="00C64D48"/>
    <w:rsid w:val="00C65612"/>
    <w:rsid w:val="00C65D66"/>
    <w:rsid w:val="00C703E5"/>
    <w:rsid w:val="00C71A7F"/>
    <w:rsid w:val="00C726E3"/>
    <w:rsid w:val="00C730A6"/>
    <w:rsid w:val="00C737B6"/>
    <w:rsid w:val="00C73840"/>
    <w:rsid w:val="00C744BC"/>
    <w:rsid w:val="00C74785"/>
    <w:rsid w:val="00C7634A"/>
    <w:rsid w:val="00C7675B"/>
    <w:rsid w:val="00C76773"/>
    <w:rsid w:val="00C778DB"/>
    <w:rsid w:val="00C77A88"/>
    <w:rsid w:val="00C77E0B"/>
    <w:rsid w:val="00C80194"/>
    <w:rsid w:val="00C801C3"/>
    <w:rsid w:val="00C805A4"/>
    <w:rsid w:val="00C80AB8"/>
    <w:rsid w:val="00C80F8A"/>
    <w:rsid w:val="00C81507"/>
    <w:rsid w:val="00C82136"/>
    <w:rsid w:val="00C831EC"/>
    <w:rsid w:val="00C834BB"/>
    <w:rsid w:val="00C845CA"/>
    <w:rsid w:val="00C8471C"/>
    <w:rsid w:val="00C85BA5"/>
    <w:rsid w:val="00C85BE8"/>
    <w:rsid w:val="00C85F7C"/>
    <w:rsid w:val="00C8706B"/>
    <w:rsid w:val="00C870E0"/>
    <w:rsid w:val="00C8780F"/>
    <w:rsid w:val="00C9008A"/>
    <w:rsid w:val="00C90149"/>
    <w:rsid w:val="00C90612"/>
    <w:rsid w:val="00C9153C"/>
    <w:rsid w:val="00C917F4"/>
    <w:rsid w:val="00C92960"/>
    <w:rsid w:val="00C92E03"/>
    <w:rsid w:val="00C9378D"/>
    <w:rsid w:val="00C938FF"/>
    <w:rsid w:val="00C93927"/>
    <w:rsid w:val="00C95EE3"/>
    <w:rsid w:val="00C963D9"/>
    <w:rsid w:val="00C96860"/>
    <w:rsid w:val="00C96B16"/>
    <w:rsid w:val="00C96BAE"/>
    <w:rsid w:val="00C972FF"/>
    <w:rsid w:val="00C97DAD"/>
    <w:rsid w:val="00CA0E2D"/>
    <w:rsid w:val="00CA12DC"/>
    <w:rsid w:val="00CA14C9"/>
    <w:rsid w:val="00CA20C8"/>
    <w:rsid w:val="00CA2C96"/>
    <w:rsid w:val="00CA2F5A"/>
    <w:rsid w:val="00CA395A"/>
    <w:rsid w:val="00CA407F"/>
    <w:rsid w:val="00CA4488"/>
    <w:rsid w:val="00CA474E"/>
    <w:rsid w:val="00CA52FE"/>
    <w:rsid w:val="00CA5796"/>
    <w:rsid w:val="00CA606E"/>
    <w:rsid w:val="00CA6072"/>
    <w:rsid w:val="00CA6122"/>
    <w:rsid w:val="00CA6273"/>
    <w:rsid w:val="00CA674D"/>
    <w:rsid w:val="00CA7670"/>
    <w:rsid w:val="00CA7816"/>
    <w:rsid w:val="00CA7AB6"/>
    <w:rsid w:val="00CB0262"/>
    <w:rsid w:val="00CB02DF"/>
    <w:rsid w:val="00CB038A"/>
    <w:rsid w:val="00CB06DC"/>
    <w:rsid w:val="00CB08E1"/>
    <w:rsid w:val="00CB0AAD"/>
    <w:rsid w:val="00CB0C53"/>
    <w:rsid w:val="00CB11CE"/>
    <w:rsid w:val="00CB2AFD"/>
    <w:rsid w:val="00CB2CE5"/>
    <w:rsid w:val="00CB436E"/>
    <w:rsid w:val="00CB48E4"/>
    <w:rsid w:val="00CB4959"/>
    <w:rsid w:val="00CB4A7D"/>
    <w:rsid w:val="00CB500D"/>
    <w:rsid w:val="00CB5082"/>
    <w:rsid w:val="00CB5661"/>
    <w:rsid w:val="00CB5745"/>
    <w:rsid w:val="00CB6B7A"/>
    <w:rsid w:val="00CB7342"/>
    <w:rsid w:val="00CB7378"/>
    <w:rsid w:val="00CB7510"/>
    <w:rsid w:val="00CC0892"/>
    <w:rsid w:val="00CC0B79"/>
    <w:rsid w:val="00CC196E"/>
    <w:rsid w:val="00CC19FC"/>
    <w:rsid w:val="00CC1B99"/>
    <w:rsid w:val="00CC2EF6"/>
    <w:rsid w:val="00CC323E"/>
    <w:rsid w:val="00CC3681"/>
    <w:rsid w:val="00CC3864"/>
    <w:rsid w:val="00CC4602"/>
    <w:rsid w:val="00CC4AC7"/>
    <w:rsid w:val="00CC4C9E"/>
    <w:rsid w:val="00CC5223"/>
    <w:rsid w:val="00CC52B7"/>
    <w:rsid w:val="00CC5B84"/>
    <w:rsid w:val="00CC5D76"/>
    <w:rsid w:val="00CC66A0"/>
    <w:rsid w:val="00CC6AEE"/>
    <w:rsid w:val="00CC6F4E"/>
    <w:rsid w:val="00CC7741"/>
    <w:rsid w:val="00CC7D81"/>
    <w:rsid w:val="00CD0A5A"/>
    <w:rsid w:val="00CD0D74"/>
    <w:rsid w:val="00CD0E70"/>
    <w:rsid w:val="00CD0EBF"/>
    <w:rsid w:val="00CD16CF"/>
    <w:rsid w:val="00CD2437"/>
    <w:rsid w:val="00CD2451"/>
    <w:rsid w:val="00CD27D4"/>
    <w:rsid w:val="00CD37F8"/>
    <w:rsid w:val="00CD4F9A"/>
    <w:rsid w:val="00CD5DB2"/>
    <w:rsid w:val="00CD6B77"/>
    <w:rsid w:val="00CD6BE6"/>
    <w:rsid w:val="00CD6ECF"/>
    <w:rsid w:val="00CD7EA6"/>
    <w:rsid w:val="00CD7F9E"/>
    <w:rsid w:val="00CE0167"/>
    <w:rsid w:val="00CE0756"/>
    <w:rsid w:val="00CE0C60"/>
    <w:rsid w:val="00CE1716"/>
    <w:rsid w:val="00CE2638"/>
    <w:rsid w:val="00CE2718"/>
    <w:rsid w:val="00CE2BD2"/>
    <w:rsid w:val="00CE2CE0"/>
    <w:rsid w:val="00CE334A"/>
    <w:rsid w:val="00CE3768"/>
    <w:rsid w:val="00CE377C"/>
    <w:rsid w:val="00CE3B7D"/>
    <w:rsid w:val="00CE44E3"/>
    <w:rsid w:val="00CE49CC"/>
    <w:rsid w:val="00CE4A39"/>
    <w:rsid w:val="00CE4F65"/>
    <w:rsid w:val="00CE5AB1"/>
    <w:rsid w:val="00CE63B4"/>
    <w:rsid w:val="00CE6613"/>
    <w:rsid w:val="00CE68D4"/>
    <w:rsid w:val="00CE7FAD"/>
    <w:rsid w:val="00CF0BEE"/>
    <w:rsid w:val="00CF0EF0"/>
    <w:rsid w:val="00CF15E7"/>
    <w:rsid w:val="00CF208E"/>
    <w:rsid w:val="00CF3760"/>
    <w:rsid w:val="00CF3FEE"/>
    <w:rsid w:val="00CF4241"/>
    <w:rsid w:val="00CF4D72"/>
    <w:rsid w:val="00CF7343"/>
    <w:rsid w:val="00D0068A"/>
    <w:rsid w:val="00D008DC"/>
    <w:rsid w:val="00D0148E"/>
    <w:rsid w:val="00D015CA"/>
    <w:rsid w:val="00D02576"/>
    <w:rsid w:val="00D02999"/>
    <w:rsid w:val="00D02D7A"/>
    <w:rsid w:val="00D030F2"/>
    <w:rsid w:val="00D035AD"/>
    <w:rsid w:val="00D04131"/>
    <w:rsid w:val="00D05455"/>
    <w:rsid w:val="00D06270"/>
    <w:rsid w:val="00D07248"/>
    <w:rsid w:val="00D07267"/>
    <w:rsid w:val="00D07BCE"/>
    <w:rsid w:val="00D10A8A"/>
    <w:rsid w:val="00D11241"/>
    <w:rsid w:val="00D112A6"/>
    <w:rsid w:val="00D125D2"/>
    <w:rsid w:val="00D12DB0"/>
    <w:rsid w:val="00D13FD5"/>
    <w:rsid w:val="00D14532"/>
    <w:rsid w:val="00D15A8B"/>
    <w:rsid w:val="00D1628A"/>
    <w:rsid w:val="00D16723"/>
    <w:rsid w:val="00D16C5F"/>
    <w:rsid w:val="00D16E82"/>
    <w:rsid w:val="00D16EA8"/>
    <w:rsid w:val="00D176ED"/>
    <w:rsid w:val="00D17A91"/>
    <w:rsid w:val="00D202A9"/>
    <w:rsid w:val="00D20F3D"/>
    <w:rsid w:val="00D214B4"/>
    <w:rsid w:val="00D219F2"/>
    <w:rsid w:val="00D21E5F"/>
    <w:rsid w:val="00D238E0"/>
    <w:rsid w:val="00D238ED"/>
    <w:rsid w:val="00D23D62"/>
    <w:rsid w:val="00D246DF"/>
    <w:rsid w:val="00D24E3C"/>
    <w:rsid w:val="00D2651A"/>
    <w:rsid w:val="00D26F7E"/>
    <w:rsid w:val="00D27C1C"/>
    <w:rsid w:val="00D308C4"/>
    <w:rsid w:val="00D30A4F"/>
    <w:rsid w:val="00D30D3F"/>
    <w:rsid w:val="00D31281"/>
    <w:rsid w:val="00D31591"/>
    <w:rsid w:val="00D3250D"/>
    <w:rsid w:val="00D3250F"/>
    <w:rsid w:val="00D33D18"/>
    <w:rsid w:val="00D33D44"/>
    <w:rsid w:val="00D353E6"/>
    <w:rsid w:val="00D35AC9"/>
    <w:rsid w:val="00D363C8"/>
    <w:rsid w:val="00D36B97"/>
    <w:rsid w:val="00D409E4"/>
    <w:rsid w:val="00D40AC6"/>
    <w:rsid w:val="00D4177D"/>
    <w:rsid w:val="00D41BCF"/>
    <w:rsid w:val="00D41D75"/>
    <w:rsid w:val="00D41E38"/>
    <w:rsid w:val="00D41F45"/>
    <w:rsid w:val="00D433AC"/>
    <w:rsid w:val="00D435F2"/>
    <w:rsid w:val="00D4456A"/>
    <w:rsid w:val="00D44FEE"/>
    <w:rsid w:val="00D45F18"/>
    <w:rsid w:val="00D47417"/>
    <w:rsid w:val="00D47CAA"/>
    <w:rsid w:val="00D511CC"/>
    <w:rsid w:val="00D52A7B"/>
    <w:rsid w:val="00D54384"/>
    <w:rsid w:val="00D543E9"/>
    <w:rsid w:val="00D55040"/>
    <w:rsid w:val="00D55553"/>
    <w:rsid w:val="00D568ED"/>
    <w:rsid w:val="00D572D6"/>
    <w:rsid w:val="00D578B9"/>
    <w:rsid w:val="00D6156A"/>
    <w:rsid w:val="00D61D00"/>
    <w:rsid w:val="00D624B9"/>
    <w:rsid w:val="00D62592"/>
    <w:rsid w:val="00D62681"/>
    <w:rsid w:val="00D62701"/>
    <w:rsid w:val="00D62E98"/>
    <w:rsid w:val="00D62EFA"/>
    <w:rsid w:val="00D635E8"/>
    <w:rsid w:val="00D63733"/>
    <w:rsid w:val="00D63BF1"/>
    <w:rsid w:val="00D63C1B"/>
    <w:rsid w:val="00D643BE"/>
    <w:rsid w:val="00D64ECF"/>
    <w:rsid w:val="00D6538A"/>
    <w:rsid w:val="00D6552A"/>
    <w:rsid w:val="00D66335"/>
    <w:rsid w:val="00D66AFE"/>
    <w:rsid w:val="00D66F68"/>
    <w:rsid w:val="00D66FDE"/>
    <w:rsid w:val="00D670AC"/>
    <w:rsid w:val="00D70D2C"/>
    <w:rsid w:val="00D70F83"/>
    <w:rsid w:val="00D7167B"/>
    <w:rsid w:val="00D7273E"/>
    <w:rsid w:val="00D7292E"/>
    <w:rsid w:val="00D73853"/>
    <w:rsid w:val="00D739E6"/>
    <w:rsid w:val="00D74119"/>
    <w:rsid w:val="00D744FF"/>
    <w:rsid w:val="00D746A9"/>
    <w:rsid w:val="00D757A6"/>
    <w:rsid w:val="00D75F9F"/>
    <w:rsid w:val="00D76030"/>
    <w:rsid w:val="00D765A6"/>
    <w:rsid w:val="00D76795"/>
    <w:rsid w:val="00D8064F"/>
    <w:rsid w:val="00D80F2D"/>
    <w:rsid w:val="00D81474"/>
    <w:rsid w:val="00D814AB"/>
    <w:rsid w:val="00D81B96"/>
    <w:rsid w:val="00D821C0"/>
    <w:rsid w:val="00D822BE"/>
    <w:rsid w:val="00D82FA6"/>
    <w:rsid w:val="00D8428A"/>
    <w:rsid w:val="00D849C1"/>
    <w:rsid w:val="00D84F2C"/>
    <w:rsid w:val="00D905EA"/>
    <w:rsid w:val="00D90B00"/>
    <w:rsid w:val="00D912E8"/>
    <w:rsid w:val="00D91350"/>
    <w:rsid w:val="00D9212F"/>
    <w:rsid w:val="00D922C3"/>
    <w:rsid w:val="00D93080"/>
    <w:rsid w:val="00D94745"/>
    <w:rsid w:val="00D948A7"/>
    <w:rsid w:val="00D95BF4"/>
    <w:rsid w:val="00D95F7A"/>
    <w:rsid w:val="00DA20DB"/>
    <w:rsid w:val="00DA264A"/>
    <w:rsid w:val="00DA2788"/>
    <w:rsid w:val="00DA34B7"/>
    <w:rsid w:val="00DA364B"/>
    <w:rsid w:val="00DA37BA"/>
    <w:rsid w:val="00DA3AEC"/>
    <w:rsid w:val="00DA46D5"/>
    <w:rsid w:val="00DA4AA4"/>
    <w:rsid w:val="00DA5063"/>
    <w:rsid w:val="00DA5352"/>
    <w:rsid w:val="00DA5721"/>
    <w:rsid w:val="00DA7284"/>
    <w:rsid w:val="00DA78F3"/>
    <w:rsid w:val="00DA7FE7"/>
    <w:rsid w:val="00DB01E8"/>
    <w:rsid w:val="00DB1239"/>
    <w:rsid w:val="00DB232A"/>
    <w:rsid w:val="00DB2B7A"/>
    <w:rsid w:val="00DB2D1E"/>
    <w:rsid w:val="00DB2F89"/>
    <w:rsid w:val="00DB3E5C"/>
    <w:rsid w:val="00DB3FEA"/>
    <w:rsid w:val="00DB42FA"/>
    <w:rsid w:val="00DB46B9"/>
    <w:rsid w:val="00DB4827"/>
    <w:rsid w:val="00DB5562"/>
    <w:rsid w:val="00DB5A77"/>
    <w:rsid w:val="00DB6279"/>
    <w:rsid w:val="00DB7BD1"/>
    <w:rsid w:val="00DC00BC"/>
    <w:rsid w:val="00DC02DE"/>
    <w:rsid w:val="00DC0853"/>
    <w:rsid w:val="00DC10DF"/>
    <w:rsid w:val="00DC1102"/>
    <w:rsid w:val="00DC1B1B"/>
    <w:rsid w:val="00DC2291"/>
    <w:rsid w:val="00DC3D78"/>
    <w:rsid w:val="00DC3E36"/>
    <w:rsid w:val="00DC414A"/>
    <w:rsid w:val="00DC4FEC"/>
    <w:rsid w:val="00DC5AE8"/>
    <w:rsid w:val="00DC7077"/>
    <w:rsid w:val="00DC712B"/>
    <w:rsid w:val="00DC7894"/>
    <w:rsid w:val="00DD0F58"/>
    <w:rsid w:val="00DD1054"/>
    <w:rsid w:val="00DD1109"/>
    <w:rsid w:val="00DD14E6"/>
    <w:rsid w:val="00DD367D"/>
    <w:rsid w:val="00DD39C7"/>
    <w:rsid w:val="00DD4360"/>
    <w:rsid w:val="00DD4C58"/>
    <w:rsid w:val="00DD6311"/>
    <w:rsid w:val="00DD7A56"/>
    <w:rsid w:val="00DD7F8E"/>
    <w:rsid w:val="00DE051B"/>
    <w:rsid w:val="00DE0D10"/>
    <w:rsid w:val="00DE0DD8"/>
    <w:rsid w:val="00DE10A5"/>
    <w:rsid w:val="00DE1979"/>
    <w:rsid w:val="00DE1AF7"/>
    <w:rsid w:val="00DE2254"/>
    <w:rsid w:val="00DE2747"/>
    <w:rsid w:val="00DE28FE"/>
    <w:rsid w:val="00DE2906"/>
    <w:rsid w:val="00DE34FD"/>
    <w:rsid w:val="00DE4110"/>
    <w:rsid w:val="00DE41E7"/>
    <w:rsid w:val="00DE5682"/>
    <w:rsid w:val="00DE6D2B"/>
    <w:rsid w:val="00DE73D4"/>
    <w:rsid w:val="00DE7811"/>
    <w:rsid w:val="00DF0C2E"/>
    <w:rsid w:val="00DF0E39"/>
    <w:rsid w:val="00DF118B"/>
    <w:rsid w:val="00DF15CA"/>
    <w:rsid w:val="00DF1738"/>
    <w:rsid w:val="00DF28F2"/>
    <w:rsid w:val="00DF2FC3"/>
    <w:rsid w:val="00DF3109"/>
    <w:rsid w:val="00DF3CEE"/>
    <w:rsid w:val="00DF3E52"/>
    <w:rsid w:val="00DF400D"/>
    <w:rsid w:val="00DF48E9"/>
    <w:rsid w:val="00DF4A8C"/>
    <w:rsid w:val="00DF4B04"/>
    <w:rsid w:val="00DF4EB7"/>
    <w:rsid w:val="00DF550E"/>
    <w:rsid w:val="00DF6F3F"/>
    <w:rsid w:val="00DF74A6"/>
    <w:rsid w:val="00DF7888"/>
    <w:rsid w:val="00E0061A"/>
    <w:rsid w:val="00E01D1A"/>
    <w:rsid w:val="00E031A2"/>
    <w:rsid w:val="00E035D3"/>
    <w:rsid w:val="00E03856"/>
    <w:rsid w:val="00E03E2C"/>
    <w:rsid w:val="00E06050"/>
    <w:rsid w:val="00E06578"/>
    <w:rsid w:val="00E06FE8"/>
    <w:rsid w:val="00E072E8"/>
    <w:rsid w:val="00E07BB2"/>
    <w:rsid w:val="00E07EF4"/>
    <w:rsid w:val="00E101E4"/>
    <w:rsid w:val="00E106AF"/>
    <w:rsid w:val="00E10A4B"/>
    <w:rsid w:val="00E134AB"/>
    <w:rsid w:val="00E13599"/>
    <w:rsid w:val="00E14562"/>
    <w:rsid w:val="00E14FF2"/>
    <w:rsid w:val="00E154DF"/>
    <w:rsid w:val="00E156E8"/>
    <w:rsid w:val="00E161AF"/>
    <w:rsid w:val="00E171E7"/>
    <w:rsid w:val="00E17556"/>
    <w:rsid w:val="00E20102"/>
    <w:rsid w:val="00E20EAD"/>
    <w:rsid w:val="00E20FC3"/>
    <w:rsid w:val="00E22E94"/>
    <w:rsid w:val="00E23D7B"/>
    <w:rsid w:val="00E23D9C"/>
    <w:rsid w:val="00E23E08"/>
    <w:rsid w:val="00E24267"/>
    <w:rsid w:val="00E2472C"/>
    <w:rsid w:val="00E251C4"/>
    <w:rsid w:val="00E254DE"/>
    <w:rsid w:val="00E25F23"/>
    <w:rsid w:val="00E26657"/>
    <w:rsid w:val="00E26AEB"/>
    <w:rsid w:val="00E26FB5"/>
    <w:rsid w:val="00E271E9"/>
    <w:rsid w:val="00E27537"/>
    <w:rsid w:val="00E27713"/>
    <w:rsid w:val="00E27A85"/>
    <w:rsid w:val="00E27BCD"/>
    <w:rsid w:val="00E27FDC"/>
    <w:rsid w:val="00E30E2F"/>
    <w:rsid w:val="00E31242"/>
    <w:rsid w:val="00E316C2"/>
    <w:rsid w:val="00E318B1"/>
    <w:rsid w:val="00E319F9"/>
    <w:rsid w:val="00E31C0B"/>
    <w:rsid w:val="00E31CC0"/>
    <w:rsid w:val="00E3259C"/>
    <w:rsid w:val="00E3263C"/>
    <w:rsid w:val="00E32DD5"/>
    <w:rsid w:val="00E33156"/>
    <w:rsid w:val="00E33C07"/>
    <w:rsid w:val="00E345B7"/>
    <w:rsid w:val="00E34B9D"/>
    <w:rsid w:val="00E357D3"/>
    <w:rsid w:val="00E35CB6"/>
    <w:rsid w:val="00E35CF5"/>
    <w:rsid w:val="00E35E95"/>
    <w:rsid w:val="00E36943"/>
    <w:rsid w:val="00E37171"/>
    <w:rsid w:val="00E4006A"/>
    <w:rsid w:val="00E41068"/>
    <w:rsid w:val="00E41167"/>
    <w:rsid w:val="00E41259"/>
    <w:rsid w:val="00E415A7"/>
    <w:rsid w:val="00E41669"/>
    <w:rsid w:val="00E42F02"/>
    <w:rsid w:val="00E44188"/>
    <w:rsid w:val="00E44BAA"/>
    <w:rsid w:val="00E45922"/>
    <w:rsid w:val="00E46F60"/>
    <w:rsid w:val="00E472E9"/>
    <w:rsid w:val="00E5029B"/>
    <w:rsid w:val="00E50460"/>
    <w:rsid w:val="00E508C1"/>
    <w:rsid w:val="00E527E4"/>
    <w:rsid w:val="00E52A26"/>
    <w:rsid w:val="00E52E72"/>
    <w:rsid w:val="00E534E4"/>
    <w:rsid w:val="00E53C35"/>
    <w:rsid w:val="00E53EFA"/>
    <w:rsid w:val="00E544B3"/>
    <w:rsid w:val="00E54987"/>
    <w:rsid w:val="00E55393"/>
    <w:rsid w:val="00E55475"/>
    <w:rsid w:val="00E564C0"/>
    <w:rsid w:val="00E56D21"/>
    <w:rsid w:val="00E5745F"/>
    <w:rsid w:val="00E579CD"/>
    <w:rsid w:val="00E61255"/>
    <w:rsid w:val="00E6206A"/>
    <w:rsid w:val="00E62BC4"/>
    <w:rsid w:val="00E63984"/>
    <w:rsid w:val="00E64551"/>
    <w:rsid w:val="00E646F9"/>
    <w:rsid w:val="00E64830"/>
    <w:rsid w:val="00E64CCC"/>
    <w:rsid w:val="00E65789"/>
    <w:rsid w:val="00E65F5F"/>
    <w:rsid w:val="00E66087"/>
    <w:rsid w:val="00E67091"/>
    <w:rsid w:val="00E67B25"/>
    <w:rsid w:val="00E702AC"/>
    <w:rsid w:val="00E702E0"/>
    <w:rsid w:val="00E70DDA"/>
    <w:rsid w:val="00E7100E"/>
    <w:rsid w:val="00E710DF"/>
    <w:rsid w:val="00E7196C"/>
    <w:rsid w:val="00E71EB9"/>
    <w:rsid w:val="00E721EC"/>
    <w:rsid w:val="00E72309"/>
    <w:rsid w:val="00E72607"/>
    <w:rsid w:val="00E72B93"/>
    <w:rsid w:val="00E72B9D"/>
    <w:rsid w:val="00E72E76"/>
    <w:rsid w:val="00E72E77"/>
    <w:rsid w:val="00E72EFE"/>
    <w:rsid w:val="00E7419A"/>
    <w:rsid w:val="00E74270"/>
    <w:rsid w:val="00E7500D"/>
    <w:rsid w:val="00E7558B"/>
    <w:rsid w:val="00E75687"/>
    <w:rsid w:val="00E7620C"/>
    <w:rsid w:val="00E762F8"/>
    <w:rsid w:val="00E766EB"/>
    <w:rsid w:val="00E77153"/>
    <w:rsid w:val="00E77288"/>
    <w:rsid w:val="00E7767D"/>
    <w:rsid w:val="00E77F1E"/>
    <w:rsid w:val="00E804FE"/>
    <w:rsid w:val="00E80675"/>
    <w:rsid w:val="00E8080C"/>
    <w:rsid w:val="00E80C25"/>
    <w:rsid w:val="00E80F06"/>
    <w:rsid w:val="00E8102F"/>
    <w:rsid w:val="00E8145C"/>
    <w:rsid w:val="00E81BC1"/>
    <w:rsid w:val="00E822D9"/>
    <w:rsid w:val="00E82D1F"/>
    <w:rsid w:val="00E835DB"/>
    <w:rsid w:val="00E85257"/>
    <w:rsid w:val="00E85394"/>
    <w:rsid w:val="00E85A8C"/>
    <w:rsid w:val="00E86E33"/>
    <w:rsid w:val="00E87953"/>
    <w:rsid w:val="00E87D4D"/>
    <w:rsid w:val="00E90027"/>
    <w:rsid w:val="00E90485"/>
    <w:rsid w:val="00E904F3"/>
    <w:rsid w:val="00E906C1"/>
    <w:rsid w:val="00E90B6F"/>
    <w:rsid w:val="00E90C6C"/>
    <w:rsid w:val="00E917F5"/>
    <w:rsid w:val="00E92222"/>
    <w:rsid w:val="00E9231A"/>
    <w:rsid w:val="00E9261A"/>
    <w:rsid w:val="00E92A4A"/>
    <w:rsid w:val="00E92E22"/>
    <w:rsid w:val="00E93598"/>
    <w:rsid w:val="00E93A30"/>
    <w:rsid w:val="00E93DA5"/>
    <w:rsid w:val="00E9432A"/>
    <w:rsid w:val="00E947A1"/>
    <w:rsid w:val="00E952D9"/>
    <w:rsid w:val="00E95AFA"/>
    <w:rsid w:val="00E97819"/>
    <w:rsid w:val="00EA0C12"/>
    <w:rsid w:val="00EA0C6C"/>
    <w:rsid w:val="00EA0F2B"/>
    <w:rsid w:val="00EA19D3"/>
    <w:rsid w:val="00EA1A1E"/>
    <w:rsid w:val="00EA1A71"/>
    <w:rsid w:val="00EA1A82"/>
    <w:rsid w:val="00EA1BE9"/>
    <w:rsid w:val="00EA2A32"/>
    <w:rsid w:val="00EA31A6"/>
    <w:rsid w:val="00EA31D5"/>
    <w:rsid w:val="00EA35EC"/>
    <w:rsid w:val="00EA38BA"/>
    <w:rsid w:val="00EA3C3F"/>
    <w:rsid w:val="00EA3E9A"/>
    <w:rsid w:val="00EA41CB"/>
    <w:rsid w:val="00EA4575"/>
    <w:rsid w:val="00EA466D"/>
    <w:rsid w:val="00EA4AE5"/>
    <w:rsid w:val="00EA61BC"/>
    <w:rsid w:val="00EA6918"/>
    <w:rsid w:val="00EB0AE5"/>
    <w:rsid w:val="00EB0E46"/>
    <w:rsid w:val="00EB18FB"/>
    <w:rsid w:val="00EB1A89"/>
    <w:rsid w:val="00EB1C31"/>
    <w:rsid w:val="00EB2124"/>
    <w:rsid w:val="00EB2234"/>
    <w:rsid w:val="00EB2905"/>
    <w:rsid w:val="00EB2AD8"/>
    <w:rsid w:val="00EB2B3F"/>
    <w:rsid w:val="00EB3514"/>
    <w:rsid w:val="00EB3E62"/>
    <w:rsid w:val="00EB42F3"/>
    <w:rsid w:val="00EB4DA8"/>
    <w:rsid w:val="00EB5877"/>
    <w:rsid w:val="00EB5B79"/>
    <w:rsid w:val="00EB65CA"/>
    <w:rsid w:val="00EB6C66"/>
    <w:rsid w:val="00EC05F0"/>
    <w:rsid w:val="00EC16BB"/>
    <w:rsid w:val="00EC1C09"/>
    <w:rsid w:val="00EC1F23"/>
    <w:rsid w:val="00EC2AC3"/>
    <w:rsid w:val="00EC2E49"/>
    <w:rsid w:val="00EC36C8"/>
    <w:rsid w:val="00EC3F66"/>
    <w:rsid w:val="00EC4C52"/>
    <w:rsid w:val="00EC5321"/>
    <w:rsid w:val="00EC5B54"/>
    <w:rsid w:val="00EC5BFE"/>
    <w:rsid w:val="00EC5C9D"/>
    <w:rsid w:val="00EC64BE"/>
    <w:rsid w:val="00EC699A"/>
    <w:rsid w:val="00EC6ACF"/>
    <w:rsid w:val="00EC6DA4"/>
    <w:rsid w:val="00ED0F02"/>
    <w:rsid w:val="00ED12C0"/>
    <w:rsid w:val="00ED13E7"/>
    <w:rsid w:val="00ED1E1D"/>
    <w:rsid w:val="00ED2410"/>
    <w:rsid w:val="00ED303A"/>
    <w:rsid w:val="00ED3854"/>
    <w:rsid w:val="00ED3FD8"/>
    <w:rsid w:val="00ED40BF"/>
    <w:rsid w:val="00ED4EE4"/>
    <w:rsid w:val="00ED5504"/>
    <w:rsid w:val="00ED589D"/>
    <w:rsid w:val="00ED67E8"/>
    <w:rsid w:val="00ED6F81"/>
    <w:rsid w:val="00ED76AC"/>
    <w:rsid w:val="00EE0216"/>
    <w:rsid w:val="00EE035D"/>
    <w:rsid w:val="00EE06AF"/>
    <w:rsid w:val="00EE13B0"/>
    <w:rsid w:val="00EE19D2"/>
    <w:rsid w:val="00EE2B09"/>
    <w:rsid w:val="00EE30F1"/>
    <w:rsid w:val="00EE3432"/>
    <w:rsid w:val="00EE43E1"/>
    <w:rsid w:val="00EE450B"/>
    <w:rsid w:val="00EE45C1"/>
    <w:rsid w:val="00EE52D4"/>
    <w:rsid w:val="00EE53FF"/>
    <w:rsid w:val="00EE5562"/>
    <w:rsid w:val="00EE5D3F"/>
    <w:rsid w:val="00EE7EA5"/>
    <w:rsid w:val="00EE7F26"/>
    <w:rsid w:val="00EF018B"/>
    <w:rsid w:val="00EF02A6"/>
    <w:rsid w:val="00EF0595"/>
    <w:rsid w:val="00EF05F4"/>
    <w:rsid w:val="00EF0917"/>
    <w:rsid w:val="00EF0ACF"/>
    <w:rsid w:val="00EF0B6B"/>
    <w:rsid w:val="00EF0EFD"/>
    <w:rsid w:val="00EF0F6C"/>
    <w:rsid w:val="00EF1978"/>
    <w:rsid w:val="00EF2279"/>
    <w:rsid w:val="00EF228F"/>
    <w:rsid w:val="00EF2E07"/>
    <w:rsid w:val="00EF3B87"/>
    <w:rsid w:val="00EF4590"/>
    <w:rsid w:val="00EF49C7"/>
    <w:rsid w:val="00EF5637"/>
    <w:rsid w:val="00EF56BF"/>
    <w:rsid w:val="00EF69A0"/>
    <w:rsid w:val="00EF6A68"/>
    <w:rsid w:val="00EF6AE8"/>
    <w:rsid w:val="00EF762C"/>
    <w:rsid w:val="00EF7B94"/>
    <w:rsid w:val="00EF7CDD"/>
    <w:rsid w:val="00EF7D7B"/>
    <w:rsid w:val="00EF7EF4"/>
    <w:rsid w:val="00F003C2"/>
    <w:rsid w:val="00F0242E"/>
    <w:rsid w:val="00F02E9F"/>
    <w:rsid w:val="00F039AC"/>
    <w:rsid w:val="00F043EA"/>
    <w:rsid w:val="00F04424"/>
    <w:rsid w:val="00F05799"/>
    <w:rsid w:val="00F05845"/>
    <w:rsid w:val="00F0652C"/>
    <w:rsid w:val="00F06EC5"/>
    <w:rsid w:val="00F07323"/>
    <w:rsid w:val="00F079FA"/>
    <w:rsid w:val="00F07ACA"/>
    <w:rsid w:val="00F10B26"/>
    <w:rsid w:val="00F10F0F"/>
    <w:rsid w:val="00F11BEC"/>
    <w:rsid w:val="00F1314F"/>
    <w:rsid w:val="00F135DC"/>
    <w:rsid w:val="00F14B59"/>
    <w:rsid w:val="00F15585"/>
    <w:rsid w:val="00F155CE"/>
    <w:rsid w:val="00F20EA0"/>
    <w:rsid w:val="00F21723"/>
    <w:rsid w:val="00F21F1B"/>
    <w:rsid w:val="00F227E2"/>
    <w:rsid w:val="00F22928"/>
    <w:rsid w:val="00F23A1B"/>
    <w:rsid w:val="00F249BF"/>
    <w:rsid w:val="00F25A10"/>
    <w:rsid w:val="00F26041"/>
    <w:rsid w:val="00F26A30"/>
    <w:rsid w:val="00F26AF3"/>
    <w:rsid w:val="00F26F8B"/>
    <w:rsid w:val="00F27B29"/>
    <w:rsid w:val="00F30075"/>
    <w:rsid w:val="00F30F9F"/>
    <w:rsid w:val="00F321C8"/>
    <w:rsid w:val="00F33098"/>
    <w:rsid w:val="00F34056"/>
    <w:rsid w:val="00F34253"/>
    <w:rsid w:val="00F3503A"/>
    <w:rsid w:val="00F3616A"/>
    <w:rsid w:val="00F36BF4"/>
    <w:rsid w:val="00F37A95"/>
    <w:rsid w:val="00F40608"/>
    <w:rsid w:val="00F410B5"/>
    <w:rsid w:val="00F411FE"/>
    <w:rsid w:val="00F41CAA"/>
    <w:rsid w:val="00F42FB8"/>
    <w:rsid w:val="00F42FD5"/>
    <w:rsid w:val="00F43255"/>
    <w:rsid w:val="00F440FF"/>
    <w:rsid w:val="00F445DF"/>
    <w:rsid w:val="00F44961"/>
    <w:rsid w:val="00F4544C"/>
    <w:rsid w:val="00F4563D"/>
    <w:rsid w:val="00F463AB"/>
    <w:rsid w:val="00F46A5E"/>
    <w:rsid w:val="00F4773C"/>
    <w:rsid w:val="00F4796F"/>
    <w:rsid w:val="00F5030D"/>
    <w:rsid w:val="00F50AE8"/>
    <w:rsid w:val="00F50F41"/>
    <w:rsid w:val="00F51051"/>
    <w:rsid w:val="00F515B3"/>
    <w:rsid w:val="00F515DB"/>
    <w:rsid w:val="00F51B49"/>
    <w:rsid w:val="00F5260D"/>
    <w:rsid w:val="00F5274A"/>
    <w:rsid w:val="00F528E5"/>
    <w:rsid w:val="00F530ED"/>
    <w:rsid w:val="00F5340E"/>
    <w:rsid w:val="00F53459"/>
    <w:rsid w:val="00F53BF1"/>
    <w:rsid w:val="00F54CE5"/>
    <w:rsid w:val="00F55792"/>
    <w:rsid w:val="00F56325"/>
    <w:rsid w:val="00F567A4"/>
    <w:rsid w:val="00F56A44"/>
    <w:rsid w:val="00F56FC9"/>
    <w:rsid w:val="00F57514"/>
    <w:rsid w:val="00F57878"/>
    <w:rsid w:val="00F57D44"/>
    <w:rsid w:val="00F611A6"/>
    <w:rsid w:val="00F613DA"/>
    <w:rsid w:val="00F61D29"/>
    <w:rsid w:val="00F6226C"/>
    <w:rsid w:val="00F6243F"/>
    <w:rsid w:val="00F62841"/>
    <w:rsid w:val="00F62B9E"/>
    <w:rsid w:val="00F62BB2"/>
    <w:rsid w:val="00F62BED"/>
    <w:rsid w:val="00F63129"/>
    <w:rsid w:val="00F6352F"/>
    <w:rsid w:val="00F643B6"/>
    <w:rsid w:val="00F64A35"/>
    <w:rsid w:val="00F64A8C"/>
    <w:rsid w:val="00F64C27"/>
    <w:rsid w:val="00F64DEA"/>
    <w:rsid w:val="00F655B1"/>
    <w:rsid w:val="00F6565C"/>
    <w:rsid w:val="00F65CCC"/>
    <w:rsid w:val="00F65D05"/>
    <w:rsid w:val="00F6719E"/>
    <w:rsid w:val="00F7005D"/>
    <w:rsid w:val="00F7027D"/>
    <w:rsid w:val="00F70479"/>
    <w:rsid w:val="00F705F6"/>
    <w:rsid w:val="00F71C84"/>
    <w:rsid w:val="00F72C72"/>
    <w:rsid w:val="00F73587"/>
    <w:rsid w:val="00F73F9F"/>
    <w:rsid w:val="00F74167"/>
    <w:rsid w:val="00F745E1"/>
    <w:rsid w:val="00F754FE"/>
    <w:rsid w:val="00F7568A"/>
    <w:rsid w:val="00F75701"/>
    <w:rsid w:val="00F75C4D"/>
    <w:rsid w:val="00F76E0E"/>
    <w:rsid w:val="00F76ED4"/>
    <w:rsid w:val="00F778D9"/>
    <w:rsid w:val="00F77BFA"/>
    <w:rsid w:val="00F77C13"/>
    <w:rsid w:val="00F77D20"/>
    <w:rsid w:val="00F8080D"/>
    <w:rsid w:val="00F81543"/>
    <w:rsid w:val="00F815AC"/>
    <w:rsid w:val="00F818F4"/>
    <w:rsid w:val="00F81E37"/>
    <w:rsid w:val="00F822BB"/>
    <w:rsid w:val="00F8303F"/>
    <w:rsid w:val="00F83617"/>
    <w:rsid w:val="00F84628"/>
    <w:rsid w:val="00F846D7"/>
    <w:rsid w:val="00F84FA6"/>
    <w:rsid w:val="00F858D8"/>
    <w:rsid w:val="00F85B9E"/>
    <w:rsid w:val="00F86B84"/>
    <w:rsid w:val="00F86E06"/>
    <w:rsid w:val="00F86F65"/>
    <w:rsid w:val="00F86FFF"/>
    <w:rsid w:val="00F9041A"/>
    <w:rsid w:val="00F9066C"/>
    <w:rsid w:val="00F90F21"/>
    <w:rsid w:val="00F914BE"/>
    <w:rsid w:val="00F91562"/>
    <w:rsid w:val="00F91835"/>
    <w:rsid w:val="00F91EEB"/>
    <w:rsid w:val="00F9276A"/>
    <w:rsid w:val="00F92A6C"/>
    <w:rsid w:val="00F93617"/>
    <w:rsid w:val="00F94F25"/>
    <w:rsid w:val="00F9515B"/>
    <w:rsid w:val="00F954CB"/>
    <w:rsid w:val="00F95B1B"/>
    <w:rsid w:val="00F96682"/>
    <w:rsid w:val="00F9705E"/>
    <w:rsid w:val="00F9755C"/>
    <w:rsid w:val="00F97D54"/>
    <w:rsid w:val="00FA19CB"/>
    <w:rsid w:val="00FA1B15"/>
    <w:rsid w:val="00FA3E46"/>
    <w:rsid w:val="00FA4070"/>
    <w:rsid w:val="00FA4A63"/>
    <w:rsid w:val="00FA4ABC"/>
    <w:rsid w:val="00FA4D81"/>
    <w:rsid w:val="00FA508F"/>
    <w:rsid w:val="00FA5EBA"/>
    <w:rsid w:val="00FA6250"/>
    <w:rsid w:val="00FA6395"/>
    <w:rsid w:val="00FA643D"/>
    <w:rsid w:val="00FA6CB9"/>
    <w:rsid w:val="00FB0257"/>
    <w:rsid w:val="00FB03CE"/>
    <w:rsid w:val="00FB095D"/>
    <w:rsid w:val="00FB171C"/>
    <w:rsid w:val="00FB2068"/>
    <w:rsid w:val="00FB25FF"/>
    <w:rsid w:val="00FB28DC"/>
    <w:rsid w:val="00FB3ABC"/>
    <w:rsid w:val="00FB3CBC"/>
    <w:rsid w:val="00FB3DC2"/>
    <w:rsid w:val="00FB45A4"/>
    <w:rsid w:val="00FB57A5"/>
    <w:rsid w:val="00FB5B40"/>
    <w:rsid w:val="00FC0957"/>
    <w:rsid w:val="00FC114C"/>
    <w:rsid w:val="00FC1A4D"/>
    <w:rsid w:val="00FC31B7"/>
    <w:rsid w:val="00FC36C8"/>
    <w:rsid w:val="00FC5200"/>
    <w:rsid w:val="00FC549E"/>
    <w:rsid w:val="00FC5ED5"/>
    <w:rsid w:val="00FC626A"/>
    <w:rsid w:val="00FC69DF"/>
    <w:rsid w:val="00FC71D1"/>
    <w:rsid w:val="00FC7674"/>
    <w:rsid w:val="00FC79F6"/>
    <w:rsid w:val="00FC7DE9"/>
    <w:rsid w:val="00FC7FF3"/>
    <w:rsid w:val="00FD03DA"/>
    <w:rsid w:val="00FD093D"/>
    <w:rsid w:val="00FD1141"/>
    <w:rsid w:val="00FD27BC"/>
    <w:rsid w:val="00FD33A0"/>
    <w:rsid w:val="00FD33BD"/>
    <w:rsid w:val="00FD4210"/>
    <w:rsid w:val="00FD4919"/>
    <w:rsid w:val="00FD4ADE"/>
    <w:rsid w:val="00FD4E7E"/>
    <w:rsid w:val="00FD50C7"/>
    <w:rsid w:val="00FD57CC"/>
    <w:rsid w:val="00FD5D32"/>
    <w:rsid w:val="00FD5E20"/>
    <w:rsid w:val="00FD5FBA"/>
    <w:rsid w:val="00FD62E4"/>
    <w:rsid w:val="00FD7344"/>
    <w:rsid w:val="00FD79B0"/>
    <w:rsid w:val="00FE0EAB"/>
    <w:rsid w:val="00FE1A01"/>
    <w:rsid w:val="00FE1F1B"/>
    <w:rsid w:val="00FE20C3"/>
    <w:rsid w:val="00FE2419"/>
    <w:rsid w:val="00FE2D13"/>
    <w:rsid w:val="00FE3510"/>
    <w:rsid w:val="00FE38E6"/>
    <w:rsid w:val="00FE3BE2"/>
    <w:rsid w:val="00FE43DA"/>
    <w:rsid w:val="00FE5015"/>
    <w:rsid w:val="00FE5CF4"/>
    <w:rsid w:val="00FE5F1D"/>
    <w:rsid w:val="00FE6488"/>
    <w:rsid w:val="00FE6797"/>
    <w:rsid w:val="00FF02F6"/>
    <w:rsid w:val="00FF0411"/>
    <w:rsid w:val="00FF0D73"/>
    <w:rsid w:val="00FF1783"/>
    <w:rsid w:val="00FF1B2B"/>
    <w:rsid w:val="00FF1FD3"/>
    <w:rsid w:val="00FF2AF4"/>
    <w:rsid w:val="00FF3343"/>
    <w:rsid w:val="00FF4AF4"/>
    <w:rsid w:val="00FF4CAB"/>
    <w:rsid w:val="00FF6463"/>
    <w:rsid w:val="00FF6625"/>
    <w:rsid w:val="00FF73C5"/>
  </w:rsids>
  <m:mathPr>
    <m:mathFont m:val="Cambria Math"/>
    <m:brkBin m:val="before"/>
    <m:brkBinSub m:val="--"/>
    <m:smallFrac m:val="0"/>
    <m:dispDef/>
    <m:lMargin m:val="0"/>
    <m:rMargin m:val="0"/>
    <m:defJc m:val="centerGroup"/>
    <m:wrapIndent m:val="1440"/>
    <m:intLim m:val="subSup"/>
    <m:naryLim m:val="undOvr"/>
  </m:mathPr>
  <w:themeFontLang w:val="en-US"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2049">
      <v:textbox inset="5.85pt,.7pt,5.85pt,.7pt"/>
    </o:shapedefaults>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Calibri" w:eastAsia="MS Mincho" w:hAnsi="Calibri" w:cs="Times New Roman"/>
        <w:lang w:val="en-US" w:eastAsia="en-US" w:bidi="ar-SA"/>
      </w:rPr>
    </w:rPrDefault>
    <w:pPrDefault/>
  </w:docDefaults>
  <w:latentStyles w:defLockedState="0" w:defUIPriority="0" w:defSemiHidden="1" w:defUnhideWhenUsed="1" w:defQFormat="0" w:count="267">
    <w:lsdException w:name="Normal" w:semiHidden="0" w:unhideWhenUsed="0" w:qFormat="1"/>
    <w:lsdException w:name="heading 1" w:semiHidden="0" w:uiPriority="9" w:unhideWhenUsed="0" w:qFormat="1"/>
    <w:lsdException w:name="heading 2" w:semiHidden="0" w:uiPriority="9" w:unhideWhenUsed="0" w:qFormat="1"/>
    <w:lsdException w:name="heading 3" w:semiHidden="0" w:uiPriority="9" w:unhideWhenUsed="0" w:qFormat="1"/>
    <w:lsdException w:name="heading 4" w:semiHidden="0" w:uiPriority="9" w:unhideWhenUsed="0" w:qFormat="1"/>
    <w:lsdException w:name="heading 5" w:semiHidden="0" w:uiPriority="9" w:unhideWhenUsed="0" w:qFormat="1"/>
    <w:lsdException w:name="heading 6" w:semiHidden="0" w:uiPriority="9" w:unhideWhenUsed="0"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annotation text" w:uiPriority="99"/>
    <w:lsdException w:name="header" w:uiPriority="99"/>
    <w:lsdException w:name="footer" w:uiPriority="99"/>
    <w:lsdException w:name="caption" w:qFormat="1"/>
    <w:lsdException w:name="footnote reference" w:uiPriority="99"/>
    <w:lsdException w:name="annotation reference" w:uiPriority="99"/>
    <w:lsdException w:name="page number" w:uiPriority="99"/>
    <w:lsdException w:name="endnote reference" w:uiPriority="99"/>
    <w:lsdException w:name="endnote text" w:uiPriority="99"/>
    <w:lsdException w:name="List Number" w:semiHidden="0" w:unhideWhenUsed="0"/>
    <w:lsdException w:name="List 4" w:semiHidden="0" w:unhideWhenUsed="0"/>
    <w:lsdException w:name="List 5" w:semiHidden="0" w:unhideWhenUsed="0"/>
    <w:lsdException w:name="List Bullet 3" w:uiPriority="99"/>
    <w:lsdException w:name="Title" w:semiHidden="0" w:unhideWhenUsed="0" w:qFormat="1"/>
    <w:lsdException w:name="Default Paragraph Font" w:uiPriority="1"/>
    <w:lsdException w:name="Body Text" w:uiPriority="99"/>
    <w:lsdException w:name="Subtitle" w:semiHidden="0" w:unhideWhenUsed="0" w:qFormat="1"/>
    <w:lsdException w:name="Salutation" w:semiHidden="0" w:unhideWhenUsed="0"/>
    <w:lsdException w:name="Date" w:semiHidden="0" w:unhideWhenUsed="0"/>
    <w:lsdException w:name="Body Text First Indent" w:semiHidden="0" w:unhideWhenUsed="0"/>
    <w:lsdException w:name="Body Text 2" w:uiPriority="99"/>
    <w:lsdException w:name="Hyperlink" w:uiPriority="99"/>
    <w:lsdException w:name="FollowedHyperlink" w:uiPriority="99"/>
    <w:lsdException w:name="Strong" w:semiHidden="0" w:uiPriority="22" w:unhideWhenUsed="0" w:qFormat="1"/>
    <w:lsdException w:name="Emphasis" w:semiHidden="0" w:unhideWhenUsed="0" w:qFormat="1"/>
    <w:lsdException w:name="Document Map" w:uiPriority="99"/>
    <w:lsdException w:name="Plain Text" w:uiPriority="99"/>
    <w:lsdException w:name="Normal (Web)" w:uiPriority="99"/>
    <w:lsdException w:name="No List" w:uiPriority="99"/>
    <w:lsdException w:name="Balloon Text" w:uiPriority="99"/>
    <w:lsdException w:name="Table Grid" w:semiHidden="0" w:uiPriority="59" w:unhideWhenUsed="0"/>
    <w:lsdException w:name="Placeholder Text" w:uiPriority="99"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iPriority="99"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936C19"/>
    <w:rPr>
      <w:rFonts w:ascii="Tahoma" w:hAnsi="Tahoma"/>
      <w:sz w:val="18"/>
      <w:szCs w:val="22"/>
    </w:rPr>
  </w:style>
  <w:style w:type="paragraph" w:styleId="Heading1">
    <w:name w:val="heading 1"/>
    <w:basedOn w:val="Normal"/>
    <w:next w:val="Normal"/>
    <w:link w:val="Heading1Char"/>
    <w:uiPriority w:val="9"/>
    <w:qFormat/>
    <w:rsid w:val="000C2842"/>
    <w:pPr>
      <w:keepNext/>
      <w:spacing w:before="200" w:after="120"/>
      <w:outlineLvl w:val="0"/>
    </w:pPr>
    <w:rPr>
      <w:b/>
      <w:bCs/>
      <w:caps/>
      <w:color w:val="000000"/>
      <w:sz w:val="36"/>
      <w:szCs w:val="36"/>
      <w:lang w:val="x-none" w:eastAsia="x-none"/>
    </w:rPr>
  </w:style>
  <w:style w:type="paragraph" w:styleId="Heading2">
    <w:name w:val="heading 2"/>
    <w:basedOn w:val="Normal"/>
    <w:next w:val="Normal"/>
    <w:link w:val="Heading2Char"/>
    <w:uiPriority w:val="9"/>
    <w:qFormat/>
    <w:rsid w:val="00DA37BA"/>
    <w:pPr>
      <w:ind w:left="720"/>
      <w:outlineLvl w:val="1"/>
    </w:pPr>
    <w:rPr>
      <w:rFonts w:ascii="Trebuchet MS" w:hAnsi="Trebuchet MS"/>
      <w:b/>
      <w:sz w:val="24"/>
      <w:szCs w:val="24"/>
      <w:lang w:val="x-none" w:eastAsia="x-none"/>
    </w:rPr>
  </w:style>
  <w:style w:type="paragraph" w:styleId="Heading3">
    <w:name w:val="heading 3"/>
    <w:basedOn w:val="Heading2"/>
    <w:next w:val="Normal"/>
    <w:link w:val="Heading3Char"/>
    <w:uiPriority w:val="9"/>
    <w:qFormat/>
    <w:rsid w:val="00DA37BA"/>
    <w:pPr>
      <w:ind w:left="0"/>
      <w:outlineLvl w:val="2"/>
    </w:pPr>
    <w:rPr>
      <w:sz w:val="20"/>
      <w:szCs w:val="20"/>
    </w:rPr>
  </w:style>
  <w:style w:type="paragraph" w:styleId="Heading4">
    <w:name w:val="heading 4"/>
    <w:basedOn w:val="Normal"/>
    <w:next w:val="Normal"/>
    <w:link w:val="Heading4Char"/>
    <w:uiPriority w:val="9"/>
    <w:qFormat/>
    <w:rsid w:val="00DA37BA"/>
    <w:pPr>
      <w:keepNext/>
      <w:tabs>
        <w:tab w:val="num" w:pos="720"/>
      </w:tabs>
      <w:spacing w:before="60"/>
      <w:ind w:left="720" w:hanging="360"/>
      <w:outlineLvl w:val="3"/>
    </w:pPr>
    <w:rPr>
      <w:rFonts w:ascii="Trebuchet MS" w:hAnsi="Trebuchet MS"/>
      <w:b/>
      <w:sz w:val="20"/>
      <w:szCs w:val="20"/>
      <w:lang w:val="x-none" w:eastAsia="x-none"/>
    </w:rPr>
  </w:style>
  <w:style w:type="paragraph" w:styleId="Heading5">
    <w:name w:val="heading 5"/>
    <w:basedOn w:val="AppendixIndent"/>
    <w:next w:val="Normal"/>
    <w:link w:val="Heading5Char"/>
    <w:uiPriority w:val="9"/>
    <w:qFormat/>
    <w:rsid w:val="00DA37BA"/>
    <w:pPr>
      <w:outlineLvl w:val="4"/>
    </w:pPr>
    <w:rPr>
      <w:u w:val="single"/>
      <w:lang w:val="x-none" w:eastAsia="x-none"/>
    </w:rPr>
  </w:style>
  <w:style w:type="paragraph" w:styleId="Heading6">
    <w:name w:val="heading 6"/>
    <w:basedOn w:val="Body"/>
    <w:next w:val="Normal"/>
    <w:link w:val="Heading6Char"/>
    <w:uiPriority w:val="9"/>
    <w:qFormat/>
    <w:rsid w:val="00DA37BA"/>
    <w:pPr>
      <w:spacing w:after="120"/>
      <w:ind w:left="0"/>
      <w:outlineLvl w:val="5"/>
    </w:pPr>
    <w:rPr>
      <w:b/>
      <w:color w:val="FF6600"/>
      <w:szCs w:val="20"/>
      <w:lang w:val="x-none" w:eastAsia="x-none"/>
    </w:rPr>
  </w:style>
  <w:style w:type="paragraph" w:styleId="Heading7">
    <w:name w:val="heading 7"/>
    <w:basedOn w:val="Heading3"/>
    <w:next w:val="Normal"/>
    <w:link w:val="Heading7Char"/>
    <w:uiPriority w:val="9"/>
    <w:qFormat/>
    <w:rsid w:val="00DA37BA"/>
    <w:pPr>
      <w:outlineLvl w:val="6"/>
    </w:pPr>
  </w:style>
  <w:style w:type="paragraph" w:styleId="Heading8">
    <w:name w:val="heading 8"/>
    <w:basedOn w:val="Normal"/>
    <w:next w:val="Normal"/>
    <w:link w:val="Heading8Char"/>
    <w:uiPriority w:val="9"/>
    <w:qFormat/>
    <w:rsid w:val="00DA37BA"/>
    <w:pPr>
      <w:spacing w:before="240" w:after="60"/>
      <w:outlineLvl w:val="7"/>
    </w:pPr>
    <w:rPr>
      <w:rFonts w:ascii="Times New Roman" w:hAnsi="Times New Roman"/>
      <w:i/>
      <w:iCs/>
      <w:sz w:val="24"/>
      <w:szCs w:val="24"/>
      <w:lang w:val="x-none" w:eastAsia="x-none"/>
    </w:rPr>
  </w:style>
  <w:style w:type="paragraph" w:styleId="Heading9">
    <w:name w:val="heading 9"/>
    <w:basedOn w:val="Normal"/>
    <w:next w:val="Normal"/>
    <w:link w:val="Heading9Char"/>
    <w:uiPriority w:val="9"/>
    <w:qFormat/>
    <w:rsid w:val="00DA37BA"/>
    <w:pPr>
      <w:spacing w:before="240" w:after="60"/>
      <w:outlineLvl w:val="8"/>
    </w:pPr>
    <w:rPr>
      <w:rFonts w:ascii="Arial" w:hAnsi="Arial"/>
      <w:sz w:val="20"/>
      <w:szCs w:val="20"/>
      <w:lang w:val="x-none" w:eastAsia="x-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link w:val="Heading1"/>
    <w:uiPriority w:val="9"/>
    <w:rsid w:val="000C2842"/>
    <w:rPr>
      <w:rFonts w:ascii="Tahoma" w:hAnsi="Tahoma"/>
      <w:b/>
      <w:bCs/>
      <w:caps/>
      <w:color w:val="000000"/>
      <w:sz w:val="36"/>
      <w:szCs w:val="36"/>
      <w:lang w:val="x-none" w:eastAsia="x-none"/>
    </w:rPr>
  </w:style>
  <w:style w:type="character" w:customStyle="1" w:styleId="Heading2Char">
    <w:name w:val="Heading 2 Char"/>
    <w:link w:val="Heading2"/>
    <w:uiPriority w:val="9"/>
    <w:rsid w:val="00DA37BA"/>
    <w:rPr>
      <w:rFonts w:ascii="Trebuchet MS" w:eastAsia="MS Mincho" w:hAnsi="Trebuchet MS" w:cs="Times New Roman"/>
      <w:b/>
      <w:sz w:val="24"/>
      <w:szCs w:val="24"/>
    </w:rPr>
  </w:style>
  <w:style w:type="character" w:customStyle="1" w:styleId="Heading3Char">
    <w:name w:val="Heading 3 Char"/>
    <w:link w:val="Heading3"/>
    <w:uiPriority w:val="9"/>
    <w:rsid w:val="00DA37BA"/>
    <w:rPr>
      <w:rFonts w:ascii="Trebuchet MS" w:eastAsia="MS Mincho" w:hAnsi="Trebuchet MS" w:cs="Times New Roman"/>
      <w:b/>
      <w:sz w:val="20"/>
      <w:szCs w:val="20"/>
    </w:rPr>
  </w:style>
  <w:style w:type="character" w:customStyle="1" w:styleId="Heading4Char">
    <w:name w:val="Heading 4 Char"/>
    <w:link w:val="Heading4"/>
    <w:uiPriority w:val="9"/>
    <w:rsid w:val="00DA37BA"/>
    <w:rPr>
      <w:rFonts w:ascii="Trebuchet MS" w:eastAsia="MS Mincho" w:hAnsi="Trebuchet MS" w:cs="Times New Roman"/>
      <w:b/>
      <w:sz w:val="20"/>
      <w:szCs w:val="20"/>
    </w:rPr>
  </w:style>
  <w:style w:type="paragraph" w:customStyle="1" w:styleId="AppendixIndent">
    <w:name w:val="Appendix Indent"/>
    <w:basedOn w:val="Normal"/>
    <w:rsid w:val="00DA37BA"/>
    <w:pPr>
      <w:spacing w:before="60"/>
      <w:ind w:left="360"/>
    </w:pPr>
    <w:rPr>
      <w:rFonts w:ascii="Trebuchet MS" w:hAnsi="Trebuchet MS"/>
      <w:sz w:val="20"/>
      <w:szCs w:val="20"/>
    </w:rPr>
  </w:style>
  <w:style w:type="character" w:customStyle="1" w:styleId="Heading5Char">
    <w:name w:val="Heading 5 Char"/>
    <w:link w:val="Heading5"/>
    <w:uiPriority w:val="9"/>
    <w:rsid w:val="00DA37BA"/>
    <w:rPr>
      <w:rFonts w:ascii="Trebuchet MS" w:eastAsia="MS Mincho" w:hAnsi="Trebuchet MS" w:cs="Times New Roman"/>
      <w:sz w:val="20"/>
      <w:szCs w:val="20"/>
      <w:u w:val="single"/>
    </w:rPr>
  </w:style>
  <w:style w:type="paragraph" w:customStyle="1" w:styleId="Body">
    <w:name w:val="Body"/>
    <w:basedOn w:val="Normal"/>
    <w:rsid w:val="00DA37BA"/>
    <w:pPr>
      <w:ind w:left="720"/>
    </w:pPr>
    <w:rPr>
      <w:rFonts w:ascii="Trebuchet MS" w:hAnsi="Trebuchet MS"/>
      <w:sz w:val="20"/>
      <w:szCs w:val="24"/>
    </w:rPr>
  </w:style>
  <w:style w:type="character" w:customStyle="1" w:styleId="Heading6Char">
    <w:name w:val="Heading 6 Char"/>
    <w:link w:val="Heading6"/>
    <w:uiPriority w:val="9"/>
    <w:rsid w:val="00DA37BA"/>
    <w:rPr>
      <w:rFonts w:ascii="Trebuchet MS" w:eastAsia="MS Mincho" w:hAnsi="Trebuchet MS" w:cs="Times New Roman"/>
      <w:b/>
      <w:color w:val="FF6600"/>
      <w:sz w:val="20"/>
      <w:szCs w:val="20"/>
    </w:rPr>
  </w:style>
  <w:style w:type="character" w:customStyle="1" w:styleId="Heading7Char">
    <w:name w:val="Heading 7 Char"/>
    <w:link w:val="Heading7"/>
    <w:uiPriority w:val="9"/>
    <w:rsid w:val="00DA37BA"/>
    <w:rPr>
      <w:rFonts w:ascii="Trebuchet MS" w:eastAsia="MS Mincho" w:hAnsi="Trebuchet MS" w:cs="Times New Roman"/>
      <w:b/>
      <w:sz w:val="20"/>
      <w:szCs w:val="20"/>
    </w:rPr>
  </w:style>
  <w:style w:type="character" w:customStyle="1" w:styleId="Heading8Char">
    <w:name w:val="Heading 8 Char"/>
    <w:link w:val="Heading8"/>
    <w:uiPriority w:val="9"/>
    <w:rsid w:val="00DA37BA"/>
    <w:rPr>
      <w:rFonts w:ascii="Times New Roman" w:eastAsia="MS Mincho" w:hAnsi="Times New Roman" w:cs="Times New Roman"/>
      <w:i/>
      <w:iCs/>
      <w:sz w:val="24"/>
      <w:szCs w:val="24"/>
    </w:rPr>
  </w:style>
  <w:style w:type="character" w:customStyle="1" w:styleId="Heading9Char">
    <w:name w:val="Heading 9 Char"/>
    <w:link w:val="Heading9"/>
    <w:uiPriority w:val="9"/>
    <w:rsid w:val="00DA37BA"/>
    <w:rPr>
      <w:rFonts w:ascii="Arial" w:eastAsia="MS Mincho" w:hAnsi="Arial" w:cs="Arial"/>
    </w:rPr>
  </w:style>
  <w:style w:type="character" w:styleId="Hyperlink">
    <w:name w:val="Hyperlink"/>
    <w:uiPriority w:val="99"/>
    <w:unhideWhenUsed/>
    <w:rsid w:val="00DA37BA"/>
    <w:rPr>
      <w:rFonts w:cs="Times New Roman"/>
      <w:color w:val="0000FF"/>
      <w:u w:val="single"/>
    </w:rPr>
  </w:style>
  <w:style w:type="character" w:customStyle="1" w:styleId="BodyChar">
    <w:name w:val="Body Char"/>
    <w:rsid w:val="00DA37BA"/>
    <w:rPr>
      <w:rFonts w:ascii="Trebuchet MS" w:hAnsi="Trebuchet MS" w:cs="Times New Roman"/>
      <w:sz w:val="24"/>
      <w:szCs w:val="24"/>
      <w:lang w:val="en-US" w:eastAsia="en-US" w:bidi="ar-SA"/>
    </w:rPr>
  </w:style>
  <w:style w:type="paragraph" w:customStyle="1" w:styleId="Char">
    <w:name w:val="Char"/>
    <w:basedOn w:val="Normal"/>
    <w:rsid w:val="00DA37BA"/>
    <w:pPr>
      <w:spacing w:after="160" w:line="240" w:lineRule="exact"/>
    </w:pPr>
    <w:rPr>
      <w:sz w:val="20"/>
      <w:szCs w:val="20"/>
    </w:rPr>
  </w:style>
  <w:style w:type="paragraph" w:customStyle="1" w:styleId="ProductNames">
    <w:name w:val="Product Names"/>
    <w:basedOn w:val="Normal"/>
    <w:rsid w:val="00DA37BA"/>
    <w:pPr>
      <w:keepLines/>
      <w:spacing w:before="20" w:after="20"/>
    </w:pPr>
    <w:rPr>
      <w:rFonts w:ascii="Trebuchet MS" w:hAnsi="Trebuchet MS" w:cs="Arial"/>
      <w:position w:val="-11"/>
      <w:sz w:val="16"/>
      <w:szCs w:val="16"/>
    </w:rPr>
  </w:style>
  <w:style w:type="character" w:customStyle="1" w:styleId="ProductNamesChar">
    <w:name w:val="Product Names Char"/>
    <w:rsid w:val="00DA37BA"/>
    <w:rPr>
      <w:rFonts w:ascii="Trebuchet MS" w:hAnsi="Trebuchet MS" w:cs="Arial"/>
      <w:position w:val="-11"/>
      <w:sz w:val="16"/>
      <w:szCs w:val="16"/>
    </w:rPr>
  </w:style>
  <w:style w:type="paragraph" w:customStyle="1" w:styleId="ChartKeyHeadings">
    <w:name w:val="ChartKey Headings"/>
    <w:basedOn w:val="Normal"/>
    <w:rsid w:val="00DA37BA"/>
    <w:pPr>
      <w:ind w:left="720"/>
    </w:pPr>
    <w:rPr>
      <w:rFonts w:ascii="Trebuchet MS" w:hAnsi="Trebuchet MS" w:cs="Arial"/>
      <w:b/>
      <w:sz w:val="24"/>
      <w:szCs w:val="20"/>
    </w:rPr>
  </w:style>
  <w:style w:type="character" w:styleId="FollowedHyperlink">
    <w:name w:val="FollowedHyperlink"/>
    <w:uiPriority w:val="99"/>
    <w:rsid w:val="00DA37BA"/>
    <w:rPr>
      <w:rFonts w:cs="Times New Roman"/>
      <w:color w:val="800080"/>
      <w:u w:val="single"/>
    </w:rPr>
  </w:style>
  <w:style w:type="paragraph" w:styleId="Header">
    <w:name w:val="header"/>
    <w:basedOn w:val="Normal"/>
    <w:link w:val="HeaderChar"/>
    <w:uiPriority w:val="99"/>
    <w:rsid w:val="00DA37BA"/>
    <w:pPr>
      <w:tabs>
        <w:tab w:val="left" w:pos="3240"/>
      </w:tabs>
      <w:spacing w:before="400"/>
      <w:ind w:right="-187"/>
      <w:jc w:val="center"/>
    </w:pPr>
    <w:rPr>
      <w:rFonts w:ascii="Trebuchet MS" w:hAnsi="Trebuchet MS"/>
      <w:sz w:val="15"/>
      <w:szCs w:val="15"/>
      <w:lang w:val="x-none" w:eastAsia="x-none"/>
    </w:rPr>
  </w:style>
  <w:style w:type="character" w:customStyle="1" w:styleId="HeaderChar">
    <w:name w:val="Header Char"/>
    <w:link w:val="Header"/>
    <w:uiPriority w:val="99"/>
    <w:rsid w:val="00DA37BA"/>
    <w:rPr>
      <w:rFonts w:ascii="Trebuchet MS" w:eastAsia="MS Mincho" w:hAnsi="Trebuchet MS" w:cs="Arial"/>
      <w:sz w:val="15"/>
      <w:szCs w:val="15"/>
    </w:rPr>
  </w:style>
  <w:style w:type="paragraph" w:styleId="Footer">
    <w:name w:val="footer"/>
    <w:basedOn w:val="Normal"/>
    <w:link w:val="FooterChar"/>
    <w:uiPriority w:val="99"/>
    <w:rsid w:val="00DA37BA"/>
    <w:pPr>
      <w:tabs>
        <w:tab w:val="center" w:pos="5155"/>
        <w:tab w:val="right" w:pos="10325"/>
      </w:tabs>
      <w:spacing w:line="210" w:lineRule="exact"/>
    </w:pPr>
    <w:rPr>
      <w:rFonts w:ascii="Arial Narrow" w:hAnsi="Arial Narrow"/>
      <w:szCs w:val="20"/>
      <w:lang w:val="x-none" w:eastAsia="x-none"/>
    </w:rPr>
  </w:style>
  <w:style w:type="character" w:customStyle="1" w:styleId="FooterChar">
    <w:name w:val="Footer Char"/>
    <w:link w:val="Footer"/>
    <w:uiPriority w:val="99"/>
    <w:rsid w:val="00DA37BA"/>
    <w:rPr>
      <w:rFonts w:ascii="Arial Narrow" w:eastAsia="MS Mincho" w:hAnsi="Arial Narrow" w:cs="Arial"/>
      <w:sz w:val="18"/>
      <w:szCs w:val="20"/>
    </w:rPr>
  </w:style>
  <w:style w:type="paragraph" w:customStyle="1" w:styleId="PublishDate">
    <w:name w:val="Publish Date"/>
    <w:basedOn w:val="Normal"/>
    <w:rsid w:val="00DA37BA"/>
    <w:pPr>
      <w:jc w:val="right"/>
    </w:pPr>
    <w:rPr>
      <w:rFonts w:ascii="Trebuchet MS" w:hAnsi="Trebuchet MS" w:cs="Arial"/>
      <w:color w:val="808080"/>
      <w:sz w:val="20"/>
      <w:szCs w:val="20"/>
    </w:rPr>
  </w:style>
  <w:style w:type="character" w:customStyle="1" w:styleId="ProductEndnoteChar">
    <w:name w:val="Product Endnote Char"/>
    <w:link w:val="ProductEndnote"/>
    <w:uiPriority w:val="99"/>
    <w:locked/>
    <w:rsid w:val="00DA37BA"/>
    <w:rPr>
      <w:rFonts w:ascii="Trebuchet MS" w:hAnsi="Trebuchet MS" w:cs="Times New Roman"/>
      <w:b/>
      <w:color w:val="FF6600"/>
      <w:sz w:val="24"/>
      <w:szCs w:val="24"/>
    </w:rPr>
  </w:style>
  <w:style w:type="paragraph" w:customStyle="1" w:styleId="ProductEndnote">
    <w:name w:val="Product Endnote"/>
    <w:basedOn w:val="Normal"/>
    <w:link w:val="ProductEndnoteChar"/>
    <w:uiPriority w:val="99"/>
    <w:rsid w:val="00DA37BA"/>
    <w:pPr>
      <w:keepNext/>
      <w:spacing w:after="120"/>
      <w:ind w:left="216" w:hanging="216"/>
    </w:pPr>
    <w:rPr>
      <w:rFonts w:ascii="Trebuchet MS" w:hAnsi="Trebuchet MS"/>
      <w:b/>
      <w:color w:val="FF6600"/>
      <w:sz w:val="24"/>
      <w:szCs w:val="24"/>
      <w:lang w:val="x-none" w:eastAsia="x-none"/>
    </w:rPr>
  </w:style>
  <w:style w:type="paragraph" w:styleId="TOC1">
    <w:name w:val="toc 1"/>
    <w:basedOn w:val="Normal"/>
    <w:next w:val="Normal"/>
    <w:autoRedefine/>
    <w:uiPriority w:val="39"/>
    <w:rsid w:val="00836D9F"/>
    <w:pPr>
      <w:tabs>
        <w:tab w:val="right" w:leader="dot" w:pos="9360"/>
      </w:tabs>
      <w:spacing w:before="120"/>
      <w:ind w:right="-180"/>
    </w:pPr>
    <w:rPr>
      <w:rFonts w:cs="Tahoma"/>
      <w:b/>
      <w:caps/>
      <w:noProof/>
      <w:color w:val="000000"/>
      <w:sz w:val="22"/>
      <w:szCs w:val="18"/>
    </w:rPr>
  </w:style>
  <w:style w:type="paragraph" w:customStyle="1" w:styleId="BulletedList">
    <w:name w:val="Bulleted List"/>
    <w:basedOn w:val="Normal"/>
    <w:rsid w:val="00DA37BA"/>
    <w:pPr>
      <w:tabs>
        <w:tab w:val="num" w:pos="1080"/>
      </w:tabs>
      <w:ind w:left="720"/>
    </w:pPr>
    <w:rPr>
      <w:rFonts w:ascii="Trebuchet MS" w:hAnsi="Trebuchet MS"/>
      <w:sz w:val="20"/>
      <w:szCs w:val="24"/>
    </w:rPr>
  </w:style>
  <w:style w:type="paragraph" w:customStyle="1" w:styleId="Bodywithspace">
    <w:name w:val="Body with space"/>
    <w:basedOn w:val="Normal"/>
    <w:rsid w:val="00DA37BA"/>
    <w:pPr>
      <w:spacing w:before="80" w:after="80"/>
      <w:ind w:left="720"/>
    </w:pPr>
    <w:rPr>
      <w:rFonts w:ascii="Trebuchet MS" w:hAnsi="Trebuchet MS" w:cs="Arial"/>
      <w:sz w:val="20"/>
      <w:szCs w:val="20"/>
    </w:rPr>
  </w:style>
  <w:style w:type="paragraph" w:customStyle="1" w:styleId="TableHeadingsGreen">
    <w:name w:val="Table Headings Green"/>
    <w:basedOn w:val="Normal"/>
    <w:rsid w:val="00DA37BA"/>
    <w:pPr>
      <w:spacing w:before="40"/>
      <w:jc w:val="center"/>
    </w:pPr>
    <w:rPr>
      <w:rFonts w:ascii="Trebuchet MS" w:hAnsi="Trebuchet MS"/>
      <w:b/>
      <w:bCs/>
      <w:color w:val="008000"/>
      <w:sz w:val="11"/>
      <w:szCs w:val="20"/>
    </w:rPr>
  </w:style>
  <w:style w:type="paragraph" w:customStyle="1" w:styleId="NumberedSteps">
    <w:name w:val="Numbered Steps"/>
    <w:basedOn w:val="Body"/>
    <w:rsid w:val="00DA37BA"/>
    <w:pPr>
      <w:spacing w:before="200" w:after="200"/>
    </w:pPr>
    <w:rPr>
      <w:bCs/>
    </w:rPr>
  </w:style>
  <w:style w:type="paragraph" w:styleId="EndnoteText">
    <w:name w:val="endnote text"/>
    <w:basedOn w:val="Normal"/>
    <w:link w:val="EndnoteTextChar1"/>
    <w:uiPriority w:val="99"/>
    <w:rsid w:val="00DA37BA"/>
    <w:pPr>
      <w:ind w:left="900"/>
    </w:pPr>
    <w:rPr>
      <w:rFonts w:ascii="Trebuchet MS" w:hAnsi="Trebuchet MS"/>
      <w:sz w:val="20"/>
      <w:szCs w:val="24"/>
      <w:lang w:val="x-none" w:eastAsia="x-none"/>
    </w:rPr>
  </w:style>
  <w:style w:type="character" w:customStyle="1" w:styleId="EndnoteTextChar1">
    <w:name w:val="Endnote Text Char1"/>
    <w:link w:val="EndnoteText"/>
    <w:uiPriority w:val="99"/>
    <w:locked/>
    <w:rsid w:val="00DA37BA"/>
    <w:rPr>
      <w:rFonts w:ascii="Trebuchet MS" w:eastAsia="MS Mincho" w:hAnsi="Trebuchet MS" w:cs="Times New Roman"/>
      <w:sz w:val="20"/>
      <w:szCs w:val="24"/>
    </w:rPr>
  </w:style>
  <w:style w:type="character" w:customStyle="1" w:styleId="EndnoteTextChar">
    <w:name w:val="Endnote Text Char"/>
    <w:uiPriority w:val="99"/>
    <w:rsid w:val="00DA37BA"/>
    <w:rPr>
      <w:rFonts w:ascii="Calibri" w:eastAsia="MS Mincho" w:hAnsi="Calibri" w:cs="Times New Roman"/>
      <w:sz w:val="20"/>
      <w:szCs w:val="20"/>
    </w:rPr>
  </w:style>
  <w:style w:type="character" w:styleId="EndnoteReference">
    <w:name w:val="endnote reference"/>
    <w:uiPriority w:val="99"/>
    <w:semiHidden/>
    <w:rsid w:val="00DA37BA"/>
    <w:rPr>
      <w:rFonts w:ascii="Trebuchet MS" w:hAnsi="Trebuchet MS" w:cs="Times New Roman"/>
      <w:b/>
      <w:color w:val="FF0000"/>
      <w:sz w:val="18"/>
      <w:vertAlign w:val="superscript"/>
    </w:rPr>
  </w:style>
  <w:style w:type="paragraph" w:customStyle="1" w:styleId="TableVerticalText">
    <w:name w:val="Table Vertical Text"/>
    <w:basedOn w:val="Normal"/>
    <w:rsid w:val="00DA37BA"/>
    <w:pPr>
      <w:ind w:left="115" w:right="115"/>
      <w:jc w:val="center"/>
    </w:pPr>
    <w:rPr>
      <w:rFonts w:ascii="Trebuchet MS" w:hAnsi="Trebuchet MS"/>
      <w:sz w:val="11"/>
      <w:szCs w:val="20"/>
    </w:rPr>
  </w:style>
  <w:style w:type="paragraph" w:customStyle="1" w:styleId="TableHeadingsBlack">
    <w:name w:val="Table Headings Black"/>
    <w:basedOn w:val="Normal"/>
    <w:rsid w:val="00DA37BA"/>
    <w:pPr>
      <w:spacing w:before="40"/>
      <w:jc w:val="center"/>
    </w:pPr>
    <w:rPr>
      <w:rFonts w:ascii="Trebuchet MS" w:hAnsi="Trebuchet MS"/>
      <w:sz w:val="11"/>
      <w:szCs w:val="20"/>
    </w:rPr>
  </w:style>
  <w:style w:type="paragraph" w:customStyle="1" w:styleId="TableHeadingsBlue">
    <w:name w:val="Table Headings Blue"/>
    <w:basedOn w:val="Normal"/>
    <w:rsid w:val="00DA37BA"/>
    <w:pPr>
      <w:spacing w:before="40"/>
      <w:jc w:val="center"/>
    </w:pPr>
    <w:rPr>
      <w:rFonts w:ascii="Trebuchet MS" w:hAnsi="Trebuchet MS"/>
      <w:b/>
      <w:bCs/>
      <w:color w:val="0000FF"/>
      <w:sz w:val="11"/>
      <w:szCs w:val="20"/>
    </w:rPr>
  </w:style>
  <w:style w:type="paragraph" w:customStyle="1" w:styleId="TableHeadingsRed">
    <w:name w:val="Table Headings Red"/>
    <w:basedOn w:val="Normal"/>
    <w:rsid w:val="00DA37BA"/>
    <w:pPr>
      <w:spacing w:before="40"/>
      <w:jc w:val="center"/>
    </w:pPr>
    <w:rPr>
      <w:rFonts w:ascii="Trebuchet MS" w:hAnsi="Trebuchet MS"/>
      <w:b/>
      <w:bCs/>
      <w:color w:val="FF0000"/>
      <w:sz w:val="11"/>
      <w:szCs w:val="20"/>
    </w:rPr>
  </w:style>
  <w:style w:type="paragraph" w:customStyle="1" w:styleId="TableText">
    <w:name w:val="Table Text"/>
    <w:basedOn w:val="Heading3"/>
    <w:rsid w:val="00DA37BA"/>
    <w:pPr>
      <w:jc w:val="center"/>
      <w:outlineLvl w:val="9"/>
    </w:pPr>
    <w:rPr>
      <w:b w:val="0"/>
      <w:sz w:val="15"/>
      <w:szCs w:val="15"/>
    </w:rPr>
  </w:style>
  <w:style w:type="paragraph" w:customStyle="1" w:styleId="AppendixTableHeadings">
    <w:name w:val="Appendix Table Headings"/>
    <w:basedOn w:val="AppendixTableText"/>
    <w:rsid w:val="00DA37BA"/>
    <w:rPr>
      <w:b/>
      <w:bCs/>
    </w:rPr>
  </w:style>
  <w:style w:type="paragraph" w:customStyle="1" w:styleId="AppendixTableText">
    <w:name w:val="Appendix Table Text"/>
    <w:basedOn w:val="Normal"/>
    <w:rsid w:val="00DA37BA"/>
    <w:pPr>
      <w:spacing w:line="240" w:lineRule="atLeast"/>
      <w:jc w:val="center"/>
    </w:pPr>
    <w:rPr>
      <w:rFonts w:ascii="Trebuchet MS" w:hAnsi="Trebuchet MS" w:cs="Arial"/>
      <w:szCs w:val="18"/>
    </w:rPr>
  </w:style>
  <w:style w:type="paragraph" w:styleId="TOC2">
    <w:name w:val="toc 2"/>
    <w:basedOn w:val="Normal"/>
    <w:next w:val="Normal"/>
    <w:uiPriority w:val="39"/>
    <w:rsid w:val="00DA37BA"/>
    <w:pPr>
      <w:tabs>
        <w:tab w:val="right" w:leader="dot" w:pos="9360"/>
      </w:tabs>
    </w:pPr>
    <w:rPr>
      <w:noProof/>
      <w:szCs w:val="20"/>
    </w:rPr>
  </w:style>
  <w:style w:type="paragraph" w:customStyle="1" w:styleId="FootnoteBulletLevel2">
    <w:name w:val="Footnote Bullet Level 2"/>
    <w:basedOn w:val="Normal"/>
    <w:rsid w:val="00DA37BA"/>
    <w:pPr>
      <w:tabs>
        <w:tab w:val="num" w:pos="1260"/>
      </w:tabs>
      <w:adjustRightInd w:val="0"/>
      <w:snapToGrid w:val="0"/>
      <w:spacing w:before="120"/>
      <w:ind w:left="1267" w:hanging="360"/>
      <w:textAlignment w:val="baseline"/>
    </w:pPr>
    <w:rPr>
      <w:rFonts w:ascii="Trebuchet MS" w:hAnsi="Trebuchet MS"/>
      <w:sz w:val="20"/>
      <w:szCs w:val="24"/>
      <w:lang w:eastAsia="ja-JP"/>
    </w:rPr>
  </w:style>
  <w:style w:type="paragraph" w:customStyle="1" w:styleId="Footnotedash">
    <w:name w:val="Footnote dash"/>
    <w:basedOn w:val="Normal"/>
    <w:rsid w:val="00DA37BA"/>
    <w:pPr>
      <w:tabs>
        <w:tab w:val="num" w:pos="1620"/>
      </w:tabs>
      <w:adjustRightInd w:val="0"/>
      <w:snapToGrid w:val="0"/>
      <w:spacing w:before="60" w:after="60"/>
      <w:ind w:left="1627" w:hanging="360"/>
      <w:textAlignment w:val="baseline"/>
    </w:pPr>
    <w:rPr>
      <w:rFonts w:ascii="Trebuchet MS" w:hAnsi="Trebuchet MS" w:cs="Arial"/>
      <w:sz w:val="20"/>
      <w:szCs w:val="20"/>
    </w:rPr>
  </w:style>
  <w:style w:type="paragraph" w:customStyle="1" w:styleId="AppendixBodyText">
    <w:name w:val="Appendix Body Text"/>
    <w:basedOn w:val="Normal"/>
    <w:uiPriority w:val="99"/>
    <w:rsid w:val="00DA37BA"/>
    <w:pPr>
      <w:spacing w:after="60"/>
    </w:pPr>
    <w:rPr>
      <w:rFonts w:ascii="Trebuchet MS" w:hAnsi="Trebuchet MS" w:cs="Arial"/>
      <w:sz w:val="20"/>
      <w:szCs w:val="20"/>
    </w:rPr>
  </w:style>
  <w:style w:type="character" w:customStyle="1" w:styleId="ProductEndnoteCharChar">
    <w:name w:val="Product Endnote Char Char"/>
    <w:rsid w:val="00DA37BA"/>
    <w:rPr>
      <w:rFonts w:ascii="Trebuchet MS" w:hAnsi="Trebuchet MS" w:cs="Arial"/>
      <w:b/>
      <w:color w:val="FF6600"/>
      <w:sz w:val="24"/>
      <w:szCs w:val="24"/>
    </w:rPr>
  </w:style>
  <w:style w:type="paragraph" w:customStyle="1" w:styleId="FootnoteBulletLevel1">
    <w:name w:val="Footnote Bullet Level 1"/>
    <w:basedOn w:val="Normal"/>
    <w:rsid w:val="00DA37BA"/>
    <w:pPr>
      <w:tabs>
        <w:tab w:val="num" w:pos="900"/>
      </w:tabs>
      <w:adjustRightInd w:val="0"/>
      <w:spacing w:before="120" w:after="120"/>
      <w:ind w:left="900" w:hanging="360"/>
      <w:textAlignment w:val="baseline"/>
    </w:pPr>
    <w:rPr>
      <w:rFonts w:ascii="Trebuchet MS" w:hAnsi="Trebuchet MS" w:cs="Arial"/>
      <w:sz w:val="20"/>
      <w:szCs w:val="20"/>
    </w:rPr>
  </w:style>
  <w:style w:type="character" w:customStyle="1" w:styleId="FootnoteBulletLevel1CharChar">
    <w:name w:val="Footnote Bullet Level 1 Char Char"/>
    <w:rsid w:val="00DA37BA"/>
    <w:rPr>
      <w:rFonts w:ascii="Trebuchet MS" w:hAnsi="Trebuchet MS" w:cs="Arial"/>
    </w:rPr>
  </w:style>
  <w:style w:type="paragraph" w:styleId="TOC3">
    <w:name w:val="toc 3"/>
    <w:basedOn w:val="Normal"/>
    <w:next w:val="Normal"/>
    <w:uiPriority w:val="39"/>
    <w:rsid w:val="00836D9F"/>
    <w:pPr>
      <w:tabs>
        <w:tab w:val="right" w:leader="dot" w:pos="9360"/>
      </w:tabs>
    </w:pPr>
    <w:rPr>
      <w:rFonts w:cs="Tahoma"/>
      <w:bCs/>
      <w:noProof/>
      <w:color w:val="000000"/>
      <w:szCs w:val="18"/>
    </w:rPr>
  </w:style>
  <w:style w:type="paragraph" w:customStyle="1" w:styleId="Footnotenumberedlist">
    <w:name w:val="Footnote numbered list"/>
    <w:basedOn w:val="FootnoteBulletLevel2"/>
    <w:rsid w:val="00DA37BA"/>
    <w:pPr>
      <w:ind w:left="1260"/>
    </w:pPr>
  </w:style>
  <w:style w:type="paragraph" w:styleId="TOC4">
    <w:name w:val="toc 4"/>
    <w:basedOn w:val="Normal"/>
    <w:next w:val="Normal"/>
    <w:autoRedefine/>
    <w:uiPriority w:val="39"/>
    <w:rsid w:val="00DA37BA"/>
    <w:pPr>
      <w:tabs>
        <w:tab w:val="right" w:leader="dot" w:pos="9360"/>
      </w:tabs>
    </w:pPr>
    <w:rPr>
      <w:szCs w:val="24"/>
    </w:rPr>
  </w:style>
  <w:style w:type="paragraph" w:styleId="TOC5">
    <w:name w:val="toc 5"/>
    <w:basedOn w:val="Normal"/>
    <w:next w:val="Normal"/>
    <w:autoRedefine/>
    <w:uiPriority w:val="39"/>
    <w:rsid w:val="00DA37BA"/>
    <w:pPr>
      <w:ind w:left="960"/>
    </w:pPr>
    <w:rPr>
      <w:rFonts w:ascii="Times New Roman" w:hAnsi="Times New Roman"/>
      <w:sz w:val="24"/>
      <w:szCs w:val="24"/>
    </w:rPr>
  </w:style>
  <w:style w:type="paragraph" w:styleId="TOC6">
    <w:name w:val="toc 6"/>
    <w:basedOn w:val="Normal"/>
    <w:next w:val="Normal"/>
    <w:autoRedefine/>
    <w:uiPriority w:val="39"/>
    <w:rsid w:val="00DA37BA"/>
    <w:pPr>
      <w:ind w:left="1200"/>
    </w:pPr>
    <w:rPr>
      <w:rFonts w:ascii="Times New Roman" w:hAnsi="Times New Roman"/>
      <w:sz w:val="24"/>
      <w:szCs w:val="24"/>
    </w:rPr>
  </w:style>
  <w:style w:type="paragraph" w:styleId="TOC7">
    <w:name w:val="toc 7"/>
    <w:basedOn w:val="Normal"/>
    <w:next w:val="Normal"/>
    <w:autoRedefine/>
    <w:uiPriority w:val="39"/>
    <w:rsid w:val="00DA37BA"/>
    <w:pPr>
      <w:ind w:left="1440"/>
    </w:pPr>
    <w:rPr>
      <w:rFonts w:ascii="Times New Roman" w:hAnsi="Times New Roman"/>
      <w:sz w:val="24"/>
      <w:szCs w:val="24"/>
    </w:rPr>
  </w:style>
  <w:style w:type="paragraph" w:styleId="TOC8">
    <w:name w:val="toc 8"/>
    <w:basedOn w:val="Normal"/>
    <w:next w:val="Normal"/>
    <w:autoRedefine/>
    <w:uiPriority w:val="39"/>
    <w:rsid w:val="00DA37BA"/>
    <w:pPr>
      <w:ind w:left="1680"/>
    </w:pPr>
    <w:rPr>
      <w:rFonts w:ascii="Times New Roman" w:hAnsi="Times New Roman"/>
      <w:sz w:val="24"/>
      <w:szCs w:val="24"/>
    </w:rPr>
  </w:style>
  <w:style w:type="paragraph" w:styleId="TOC9">
    <w:name w:val="toc 9"/>
    <w:basedOn w:val="Normal"/>
    <w:next w:val="Normal"/>
    <w:autoRedefine/>
    <w:uiPriority w:val="39"/>
    <w:rsid w:val="00DA37BA"/>
    <w:pPr>
      <w:ind w:left="1920"/>
    </w:pPr>
    <w:rPr>
      <w:rFonts w:ascii="Times New Roman" w:hAnsi="Times New Roman"/>
      <w:sz w:val="24"/>
      <w:szCs w:val="24"/>
    </w:rPr>
  </w:style>
  <w:style w:type="paragraph" w:customStyle="1" w:styleId="AppendixBulletIndent">
    <w:name w:val="Appendix Bullet Indent"/>
    <w:basedOn w:val="AppendixFlushBulletedList"/>
    <w:rsid w:val="00DA37BA"/>
    <w:pPr>
      <w:tabs>
        <w:tab w:val="clear" w:pos="360"/>
        <w:tab w:val="num" w:pos="720"/>
      </w:tabs>
      <w:ind w:left="720"/>
    </w:pPr>
  </w:style>
  <w:style w:type="paragraph" w:customStyle="1" w:styleId="AppendixFlushBulletedList">
    <w:name w:val="Appendix Flush Bulleted List"/>
    <w:basedOn w:val="Normal"/>
    <w:rsid w:val="00DA37BA"/>
    <w:pPr>
      <w:tabs>
        <w:tab w:val="num" w:pos="360"/>
      </w:tabs>
      <w:ind w:left="360" w:hanging="360"/>
    </w:pPr>
    <w:rPr>
      <w:rFonts w:ascii="Trebuchet MS" w:hAnsi="Trebuchet MS" w:cs="Arial"/>
      <w:sz w:val="20"/>
      <w:szCs w:val="20"/>
    </w:rPr>
  </w:style>
  <w:style w:type="paragraph" w:customStyle="1" w:styleId="ProductPool">
    <w:name w:val="Product Pool"/>
    <w:basedOn w:val="Heading3"/>
    <w:rsid w:val="00DA37BA"/>
  </w:style>
  <w:style w:type="paragraph" w:customStyle="1" w:styleId="AppendixTabbedList">
    <w:name w:val="Appendix Tabbed List"/>
    <w:basedOn w:val="AppendixBodyText"/>
    <w:rsid w:val="00DA37BA"/>
    <w:pPr>
      <w:tabs>
        <w:tab w:val="left" w:pos="2520"/>
      </w:tabs>
    </w:pPr>
  </w:style>
  <w:style w:type="paragraph" w:customStyle="1" w:styleId="ProductNote">
    <w:name w:val="Product Note"/>
    <w:basedOn w:val="ProductNames"/>
    <w:rsid w:val="00DA37BA"/>
    <w:pPr>
      <w:spacing w:before="0" w:after="0"/>
    </w:pPr>
    <w:rPr>
      <w:sz w:val="12"/>
      <w:szCs w:val="12"/>
    </w:rPr>
  </w:style>
  <w:style w:type="character" w:customStyle="1" w:styleId="ProductNoteCharChar">
    <w:name w:val="Product Note Char Char"/>
    <w:rsid w:val="00DA37BA"/>
    <w:rPr>
      <w:rFonts w:ascii="Trebuchet MS" w:hAnsi="Trebuchet MS" w:cs="Arial"/>
      <w:position w:val="-11"/>
      <w:sz w:val="12"/>
      <w:szCs w:val="12"/>
    </w:rPr>
  </w:style>
  <w:style w:type="paragraph" w:customStyle="1" w:styleId="Bulletedlistflush">
    <w:name w:val="Bulleted list flush"/>
    <w:basedOn w:val="BulletedList"/>
    <w:rsid w:val="00DA37BA"/>
    <w:pPr>
      <w:tabs>
        <w:tab w:val="clear" w:pos="1080"/>
        <w:tab w:val="num" w:pos="360"/>
      </w:tabs>
      <w:ind w:left="360" w:hanging="360"/>
    </w:pPr>
  </w:style>
  <w:style w:type="paragraph" w:styleId="BalloonText">
    <w:name w:val="Balloon Text"/>
    <w:basedOn w:val="Normal"/>
    <w:link w:val="BalloonTextChar"/>
    <w:uiPriority w:val="99"/>
    <w:semiHidden/>
    <w:rsid w:val="00DA37BA"/>
    <w:rPr>
      <w:sz w:val="16"/>
      <w:szCs w:val="16"/>
      <w:lang w:val="x-none" w:eastAsia="x-none"/>
    </w:rPr>
  </w:style>
  <w:style w:type="character" w:customStyle="1" w:styleId="BalloonTextChar">
    <w:name w:val="Balloon Text Char"/>
    <w:link w:val="BalloonText"/>
    <w:uiPriority w:val="99"/>
    <w:semiHidden/>
    <w:rsid w:val="00DA37BA"/>
    <w:rPr>
      <w:rFonts w:ascii="Tahoma" w:eastAsia="MS Mincho" w:hAnsi="Tahoma" w:cs="Tahoma"/>
      <w:sz w:val="16"/>
      <w:szCs w:val="16"/>
    </w:rPr>
  </w:style>
  <w:style w:type="paragraph" w:customStyle="1" w:styleId="StyleHeading22Left138Firstline0">
    <w:name w:val="Style Heading 2 #2 + Left:  1.38&quot; First line:  0&quot;"/>
    <w:basedOn w:val="Normal"/>
    <w:rsid w:val="00DA37BA"/>
    <w:pPr>
      <w:ind w:left="1008"/>
      <w:jc w:val="both"/>
    </w:pPr>
    <w:rPr>
      <w:rFonts w:ascii="Arial" w:hAnsi="Arial"/>
      <w:sz w:val="20"/>
      <w:szCs w:val="20"/>
    </w:rPr>
  </w:style>
  <w:style w:type="paragraph" w:customStyle="1" w:styleId="AppendIndent">
    <w:name w:val="Append_Indent"/>
    <w:basedOn w:val="Normal"/>
    <w:rsid w:val="00DA37BA"/>
    <w:pPr>
      <w:tabs>
        <w:tab w:val="num" w:pos="720"/>
      </w:tabs>
      <w:ind w:left="720" w:hanging="360"/>
    </w:pPr>
    <w:rPr>
      <w:rFonts w:ascii="Trebuchet MS" w:hAnsi="Trebuchet MS"/>
      <w:b/>
      <w:sz w:val="20"/>
      <w:szCs w:val="20"/>
    </w:rPr>
  </w:style>
  <w:style w:type="paragraph" w:customStyle="1" w:styleId="AppendIndentSub">
    <w:name w:val="Append_Indent_Sub"/>
    <w:basedOn w:val="StyleHeading22Left138Firstline0"/>
    <w:rsid w:val="00DA37BA"/>
    <w:pPr>
      <w:jc w:val="left"/>
    </w:pPr>
    <w:rPr>
      <w:rFonts w:ascii="Trebuchet MS" w:hAnsi="Trebuchet MS"/>
    </w:rPr>
  </w:style>
  <w:style w:type="paragraph" w:customStyle="1" w:styleId="styleheading22left138firstline00">
    <w:name w:val="styleheading22left138firstline0"/>
    <w:basedOn w:val="Normal"/>
    <w:rsid w:val="00DA37BA"/>
    <w:pPr>
      <w:ind w:left="1008"/>
      <w:jc w:val="both"/>
    </w:pPr>
    <w:rPr>
      <w:rFonts w:ascii="Arial" w:hAnsi="Arial" w:cs="Arial"/>
      <w:sz w:val="20"/>
      <w:szCs w:val="20"/>
    </w:rPr>
  </w:style>
  <w:style w:type="paragraph" w:customStyle="1" w:styleId="Char1">
    <w:name w:val="Char1"/>
    <w:basedOn w:val="Normal"/>
    <w:rsid w:val="00DA37BA"/>
    <w:pPr>
      <w:spacing w:after="160" w:line="240" w:lineRule="exact"/>
    </w:pPr>
    <w:rPr>
      <w:sz w:val="20"/>
      <w:szCs w:val="20"/>
    </w:rPr>
  </w:style>
  <w:style w:type="paragraph" w:customStyle="1" w:styleId="StyleHeading22Left025Firstline0">
    <w:name w:val="Style Heading 2 #2 + Left:  0.25&quot; First line:  0&quot;"/>
    <w:basedOn w:val="Normal"/>
    <w:rsid w:val="00DA37BA"/>
    <w:pPr>
      <w:tabs>
        <w:tab w:val="num" w:pos="720"/>
      </w:tabs>
      <w:ind w:left="720" w:hanging="360"/>
      <w:jc w:val="both"/>
    </w:pPr>
    <w:rPr>
      <w:rFonts w:ascii="Arial" w:hAnsi="Arial"/>
      <w:b/>
      <w:sz w:val="20"/>
      <w:szCs w:val="20"/>
    </w:rPr>
  </w:style>
  <w:style w:type="character" w:styleId="CommentReference">
    <w:name w:val="annotation reference"/>
    <w:uiPriority w:val="99"/>
    <w:semiHidden/>
    <w:rsid w:val="00DA37BA"/>
    <w:rPr>
      <w:rFonts w:cs="Times New Roman"/>
      <w:sz w:val="16"/>
      <w:szCs w:val="16"/>
    </w:rPr>
  </w:style>
  <w:style w:type="character" w:styleId="PageNumber">
    <w:name w:val="page number"/>
    <w:uiPriority w:val="99"/>
    <w:rsid w:val="00DA37BA"/>
    <w:rPr>
      <w:rFonts w:cs="Times New Roman"/>
    </w:rPr>
  </w:style>
  <w:style w:type="paragraph" w:styleId="ListBullet3">
    <w:name w:val="List Bullet 3"/>
    <w:basedOn w:val="Normal"/>
    <w:uiPriority w:val="99"/>
    <w:rsid w:val="00DA37BA"/>
    <w:pPr>
      <w:tabs>
        <w:tab w:val="num" w:pos="1080"/>
      </w:tabs>
      <w:ind w:left="1080" w:hanging="360"/>
    </w:pPr>
    <w:rPr>
      <w:rFonts w:ascii="Arial" w:hAnsi="Arial" w:cs="Arial"/>
      <w:sz w:val="20"/>
      <w:szCs w:val="20"/>
    </w:rPr>
  </w:style>
  <w:style w:type="paragraph" w:customStyle="1" w:styleId="appendixbodytext0">
    <w:name w:val="appendixbodytext"/>
    <w:basedOn w:val="Normal"/>
    <w:rsid w:val="00DA37BA"/>
    <w:pPr>
      <w:spacing w:after="60"/>
    </w:pPr>
    <w:rPr>
      <w:rFonts w:ascii="Trebuchet MS" w:hAnsi="Trebuchet MS"/>
      <w:sz w:val="20"/>
      <w:szCs w:val="20"/>
    </w:rPr>
  </w:style>
  <w:style w:type="paragraph" w:customStyle="1" w:styleId="tableclose">
    <w:name w:val="tableclose"/>
    <w:basedOn w:val="Normal"/>
    <w:rsid w:val="00DA37BA"/>
    <w:rPr>
      <w:rFonts w:ascii="Arial" w:hAnsi="Arial" w:cs="Arial"/>
      <w:sz w:val="20"/>
      <w:szCs w:val="20"/>
    </w:rPr>
  </w:style>
  <w:style w:type="paragraph" w:customStyle="1" w:styleId="appendindent0">
    <w:name w:val="appendindent"/>
    <w:basedOn w:val="Normal"/>
    <w:rsid w:val="00DA37BA"/>
    <w:pPr>
      <w:ind w:left="720" w:hanging="360"/>
    </w:pPr>
    <w:rPr>
      <w:rFonts w:ascii="Trebuchet MS" w:hAnsi="Trebuchet MS"/>
      <w:b/>
      <w:bCs/>
      <w:sz w:val="20"/>
      <w:szCs w:val="20"/>
    </w:rPr>
  </w:style>
  <w:style w:type="paragraph" w:customStyle="1" w:styleId="productnames0">
    <w:name w:val="productnames"/>
    <w:basedOn w:val="Normal"/>
    <w:rsid w:val="00DA37BA"/>
    <w:pPr>
      <w:spacing w:before="20" w:after="20"/>
    </w:pPr>
    <w:rPr>
      <w:rFonts w:ascii="Trebuchet MS" w:hAnsi="Trebuchet MS"/>
      <w:position w:val="-11"/>
      <w:sz w:val="16"/>
      <w:szCs w:val="16"/>
    </w:rPr>
  </w:style>
  <w:style w:type="paragraph" w:customStyle="1" w:styleId="Char3">
    <w:name w:val="Char3"/>
    <w:basedOn w:val="Normal"/>
    <w:rsid w:val="00DA37BA"/>
    <w:pPr>
      <w:spacing w:after="160" w:line="240" w:lineRule="exact"/>
    </w:pPr>
    <w:rPr>
      <w:sz w:val="20"/>
      <w:szCs w:val="20"/>
    </w:rPr>
  </w:style>
  <w:style w:type="paragraph" w:customStyle="1" w:styleId="exceptionbody">
    <w:name w:val="exception body"/>
    <w:uiPriority w:val="99"/>
    <w:rsid w:val="00DA37BA"/>
    <w:pPr>
      <w:spacing w:after="60" w:line="255" w:lineRule="exact"/>
      <w:ind w:left="216"/>
    </w:pPr>
    <w:rPr>
      <w:rFonts w:ascii="Trebuchet MS" w:eastAsia="MS PGothic" w:hAnsi="Trebuchet MS" w:cs="Tahoma"/>
      <w:iCs/>
      <w:color w:val="000000"/>
      <w:sz w:val="18"/>
      <w:szCs w:val="18"/>
      <w:lang w:eastAsia="ja-JP"/>
    </w:rPr>
  </w:style>
  <w:style w:type="character" w:customStyle="1" w:styleId="FootnoteTextChar">
    <w:name w:val="Footnote Text Char"/>
    <w:link w:val="FootnoteText"/>
    <w:semiHidden/>
    <w:locked/>
    <w:rsid w:val="00DA37BA"/>
    <w:rPr>
      <w:rFonts w:ascii="Trebuchet MS" w:hAnsi="Trebuchet MS" w:cs="Arial"/>
    </w:rPr>
  </w:style>
  <w:style w:type="paragraph" w:styleId="FootnoteText">
    <w:name w:val="footnote text"/>
    <w:basedOn w:val="Normal"/>
    <w:link w:val="FootnoteTextChar"/>
    <w:semiHidden/>
    <w:rsid w:val="00DA37BA"/>
    <w:rPr>
      <w:rFonts w:ascii="Trebuchet MS" w:hAnsi="Trebuchet MS"/>
      <w:sz w:val="20"/>
      <w:szCs w:val="20"/>
      <w:lang w:val="x-none" w:eastAsia="x-none"/>
    </w:rPr>
  </w:style>
  <w:style w:type="character" w:customStyle="1" w:styleId="FootnoteTextChar1">
    <w:name w:val="Footnote Text Char1"/>
    <w:uiPriority w:val="99"/>
    <w:semiHidden/>
    <w:rsid w:val="00DA37BA"/>
    <w:rPr>
      <w:rFonts w:ascii="Calibri" w:eastAsia="MS Mincho" w:hAnsi="Calibri" w:cs="Times New Roman"/>
      <w:sz w:val="20"/>
      <w:szCs w:val="20"/>
    </w:rPr>
  </w:style>
  <w:style w:type="paragraph" w:customStyle="1" w:styleId="ColorfulList-Accent11">
    <w:name w:val="Colorful List - Accent 11"/>
    <w:basedOn w:val="Normal"/>
    <w:uiPriority w:val="34"/>
    <w:qFormat/>
    <w:rsid w:val="00DA37BA"/>
    <w:pPr>
      <w:ind w:left="720"/>
      <w:contextualSpacing/>
    </w:pPr>
    <w:rPr>
      <w:rFonts w:ascii="Times New Roman" w:hAnsi="Times New Roman"/>
      <w:sz w:val="24"/>
      <w:szCs w:val="24"/>
    </w:rPr>
  </w:style>
  <w:style w:type="paragraph" w:customStyle="1" w:styleId="bodywithspace0">
    <w:name w:val="bodywithspace"/>
    <w:basedOn w:val="Normal"/>
    <w:rsid w:val="00DA37BA"/>
    <w:pPr>
      <w:spacing w:before="80" w:after="80"/>
      <w:ind w:left="720"/>
    </w:pPr>
    <w:rPr>
      <w:rFonts w:ascii="Trebuchet MS" w:hAnsi="Trebuchet MS"/>
      <w:sz w:val="20"/>
      <w:szCs w:val="20"/>
    </w:rPr>
  </w:style>
  <w:style w:type="paragraph" w:customStyle="1" w:styleId="appendixtabletext0">
    <w:name w:val="appendixtabletext"/>
    <w:basedOn w:val="Normal"/>
    <w:uiPriority w:val="99"/>
    <w:rsid w:val="00DA37BA"/>
    <w:pPr>
      <w:spacing w:line="240" w:lineRule="atLeast"/>
      <w:jc w:val="center"/>
    </w:pPr>
    <w:rPr>
      <w:rFonts w:ascii="Trebuchet MS" w:hAnsi="Trebuchet MS"/>
      <w:szCs w:val="18"/>
    </w:rPr>
  </w:style>
  <w:style w:type="paragraph" w:customStyle="1" w:styleId="appendixtableheadings0">
    <w:name w:val="appendixtableheadings"/>
    <w:basedOn w:val="Normal"/>
    <w:uiPriority w:val="99"/>
    <w:rsid w:val="00DA37BA"/>
    <w:pPr>
      <w:spacing w:line="240" w:lineRule="atLeast"/>
      <w:jc w:val="center"/>
    </w:pPr>
    <w:rPr>
      <w:rFonts w:ascii="Trebuchet MS" w:hAnsi="Trebuchet MS"/>
      <w:b/>
      <w:bCs/>
      <w:szCs w:val="18"/>
    </w:rPr>
  </w:style>
  <w:style w:type="paragraph" w:customStyle="1" w:styleId="footnotebulletlevel10">
    <w:name w:val="footnotebulletlevel1"/>
    <w:basedOn w:val="Normal"/>
    <w:uiPriority w:val="99"/>
    <w:rsid w:val="00DA37BA"/>
    <w:pPr>
      <w:tabs>
        <w:tab w:val="num" w:pos="360"/>
      </w:tabs>
      <w:spacing w:before="120" w:after="120"/>
    </w:pPr>
    <w:rPr>
      <w:rFonts w:ascii="Trebuchet MS" w:hAnsi="Trebuchet MS"/>
      <w:sz w:val="20"/>
      <w:szCs w:val="20"/>
    </w:rPr>
  </w:style>
  <w:style w:type="paragraph" w:styleId="DocumentMap">
    <w:name w:val="Document Map"/>
    <w:basedOn w:val="Normal"/>
    <w:link w:val="DocumentMapChar"/>
    <w:uiPriority w:val="99"/>
    <w:rsid w:val="00DA37BA"/>
    <w:rPr>
      <w:sz w:val="16"/>
      <w:szCs w:val="16"/>
      <w:lang w:val="x-none" w:eastAsia="x-none"/>
    </w:rPr>
  </w:style>
  <w:style w:type="character" w:customStyle="1" w:styleId="DocumentMapChar">
    <w:name w:val="Document Map Char"/>
    <w:link w:val="DocumentMap"/>
    <w:uiPriority w:val="99"/>
    <w:rsid w:val="00DA37BA"/>
    <w:rPr>
      <w:rFonts w:ascii="Tahoma" w:eastAsia="MS Mincho" w:hAnsi="Tahoma" w:cs="Tahoma"/>
      <w:sz w:val="16"/>
      <w:szCs w:val="16"/>
    </w:rPr>
  </w:style>
  <w:style w:type="paragraph" w:customStyle="1" w:styleId="NoSpacing1">
    <w:name w:val="No Spacing1"/>
    <w:basedOn w:val="Normal"/>
    <w:link w:val="NoSpacingChar"/>
    <w:uiPriority w:val="1"/>
    <w:qFormat/>
    <w:rsid w:val="00DA37BA"/>
    <w:rPr>
      <w:rFonts w:ascii="Calibri" w:hAnsi="Calibri"/>
      <w:sz w:val="20"/>
      <w:szCs w:val="20"/>
      <w:lang w:val="x-none" w:eastAsia="zh-TW"/>
    </w:rPr>
  </w:style>
  <w:style w:type="character" w:customStyle="1" w:styleId="NoSpacingChar">
    <w:name w:val="No Spacing Char"/>
    <w:link w:val="NoSpacing1"/>
    <w:uiPriority w:val="1"/>
    <w:locked/>
    <w:rsid w:val="00DA37BA"/>
    <w:rPr>
      <w:rFonts w:ascii="Calibri" w:eastAsia="MS Mincho" w:hAnsi="Calibri" w:cs="Calibri"/>
      <w:lang w:eastAsia="zh-TW"/>
    </w:rPr>
  </w:style>
  <w:style w:type="paragraph" w:customStyle="1" w:styleId="footnotebulletlevel20">
    <w:name w:val="footnotebulletlevel2"/>
    <w:basedOn w:val="Normal"/>
    <w:rsid w:val="00DA37BA"/>
    <w:pPr>
      <w:tabs>
        <w:tab w:val="num" w:pos="900"/>
      </w:tabs>
      <w:snapToGrid w:val="0"/>
      <w:spacing w:before="120"/>
      <w:ind w:left="1267" w:hanging="360"/>
    </w:pPr>
    <w:rPr>
      <w:rFonts w:ascii="Trebuchet MS" w:hAnsi="Trebuchet MS"/>
      <w:sz w:val="20"/>
      <w:szCs w:val="20"/>
    </w:rPr>
  </w:style>
  <w:style w:type="character" w:customStyle="1" w:styleId="CommentTextChar">
    <w:name w:val="Comment Text Char"/>
    <w:link w:val="CommentText"/>
    <w:uiPriority w:val="99"/>
    <w:locked/>
    <w:rsid w:val="00DA37BA"/>
    <w:rPr>
      <w:rFonts w:ascii="Trebuchet MS" w:hAnsi="Trebuchet MS" w:cs="Arial"/>
    </w:rPr>
  </w:style>
  <w:style w:type="paragraph" w:styleId="CommentText">
    <w:name w:val="annotation text"/>
    <w:basedOn w:val="Normal"/>
    <w:link w:val="CommentTextChar"/>
    <w:uiPriority w:val="99"/>
    <w:rsid w:val="00DA37BA"/>
    <w:rPr>
      <w:rFonts w:ascii="Trebuchet MS" w:hAnsi="Trebuchet MS"/>
      <w:sz w:val="20"/>
      <w:szCs w:val="20"/>
      <w:lang w:val="x-none" w:eastAsia="x-none"/>
    </w:rPr>
  </w:style>
  <w:style w:type="character" w:customStyle="1" w:styleId="CommentTextChar1">
    <w:name w:val="Comment Text Char1"/>
    <w:uiPriority w:val="99"/>
    <w:semiHidden/>
    <w:rsid w:val="00DA37BA"/>
    <w:rPr>
      <w:rFonts w:ascii="Calibri" w:eastAsia="MS Mincho" w:hAnsi="Calibri" w:cs="Times New Roman"/>
      <w:sz w:val="20"/>
      <w:szCs w:val="20"/>
    </w:rPr>
  </w:style>
  <w:style w:type="character" w:customStyle="1" w:styleId="CommentSubjectChar">
    <w:name w:val="Comment Subject Char"/>
    <w:link w:val="CommentSubject"/>
    <w:semiHidden/>
    <w:locked/>
    <w:rsid w:val="00DA37BA"/>
    <w:rPr>
      <w:rFonts w:ascii="Trebuchet MS" w:hAnsi="Trebuchet MS" w:cs="Arial"/>
      <w:b/>
      <w:bCs/>
    </w:rPr>
  </w:style>
  <w:style w:type="paragraph" w:styleId="CommentSubject">
    <w:name w:val="annotation subject"/>
    <w:basedOn w:val="CommentText"/>
    <w:next w:val="CommentText"/>
    <w:link w:val="CommentSubjectChar"/>
    <w:semiHidden/>
    <w:rsid w:val="00DA37BA"/>
    <w:rPr>
      <w:b/>
      <w:bCs/>
    </w:rPr>
  </w:style>
  <w:style w:type="character" w:customStyle="1" w:styleId="CommentSubjectChar1">
    <w:name w:val="Comment Subject Char1"/>
    <w:uiPriority w:val="99"/>
    <w:semiHidden/>
    <w:rsid w:val="00DA37BA"/>
    <w:rPr>
      <w:rFonts w:ascii="Calibri" w:eastAsia="MS Mincho" w:hAnsi="Calibri" w:cs="Times New Roman"/>
      <w:b/>
      <w:bCs/>
      <w:sz w:val="20"/>
      <w:szCs w:val="20"/>
    </w:rPr>
  </w:style>
  <w:style w:type="character" w:styleId="Strong">
    <w:name w:val="Strong"/>
    <w:uiPriority w:val="22"/>
    <w:qFormat/>
    <w:rsid w:val="00DA37BA"/>
    <w:rPr>
      <w:rFonts w:cs="Times New Roman"/>
      <w:b/>
      <w:bCs/>
    </w:rPr>
  </w:style>
  <w:style w:type="paragraph" w:styleId="NormalWeb">
    <w:name w:val="Normal (Web)"/>
    <w:basedOn w:val="Normal"/>
    <w:uiPriority w:val="99"/>
    <w:unhideWhenUsed/>
    <w:rsid w:val="00DA37BA"/>
    <w:pPr>
      <w:spacing w:before="100" w:beforeAutospacing="1" w:after="100" w:afterAutospacing="1"/>
    </w:pPr>
    <w:rPr>
      <w:rFonts w:ascii="Times New Roman" w:hAnsi="Times New Roman"/>
      <w:sz w:val="24"/>
      <w:szCs w:val="24"/>
    </w:rPr>
  </w:style>
  <w:style w:type="paragraph" w:customStyle="1" w:styleId="footnotebulletlevel100">
    <w:name w:val="footnotebulletlevel10"/>
    <w:basedOn w:val="Normal"/>
    <w:uiPriority w:val="99"/>
    <w:rsid w:val="00DA37BA"/>
    <w:pPr>
      <w:tabs>
        <w:tab w:val="num" w:pos="900"/>
      </w:tabs>
      <w:spacing w:before="120" w:after="120"/>
      <w:ind w:left="900" w:hanging="360"/>
    </w:pPr>
    <w:rPr>
      <w:rFonts w:ascii="Trebuchet MS" w:hAnsi="Trebuchet MS"/>
      <w:sz w:val="20"/>
      <w:szCs w:val="20"/>
    </w:rPr>
  </w:style>
  <w:style w:type="character" w:styleId="FootnoteReference">
    <w:name w:val="footnote reference"/>
    <w:uiPriority w:val="99"/>
    <w:rsid w:val="00DA37BA"/>
    <w:rPr>
      <w:rFonts w:cs="Times New Roman"/>
      <w:vertAlign w:val="superscript"/>
    </w:rPr>
  </w:style>
  <w:style w:type="paragraph" w:styleId="PlainText">
    <w:name w:val="Plain Text"/>
    <w:basedOn w:val="Normal"/>
    <w:link w:val="PlainTextChar"/>
    <w:uiPriority w:val="99"/>
    <w:unhideWhenUsed/>
    <w:rsid w:val="00DA37BA"/>
    <w:rPr>
      <w:rFonts w:ascii="Consolas" w:hAnsi="Consolas"/>
      <w:sz w:val="21"/>
      <w:szCs w:val="21"/>
      <w:lang w:val="x-none" w:eastAsia="x-none"/>
    </w:rPr>
  </w:style>
  <w:style w:type="character" w:customStyle="1" w:styleId="PlainTextChar">
    <w:name w:val="Plain Text Char"/>
    <w:link w:val="PlainText"/>
    <w:uiPriority w:val="99"/>
    <w:rsid w:val="00DA37BA"/>
    <w:rPr>
      <w:rFonts w:ascii="Consolas" w:eastAsia="MS Mincho" w:hAnsi="Consolas" w:cs="Times New Roman"/>
      <w:sz w:val="21"/>
      <w:szCs w:val="21"/>
    </w:rPr>
  </w:style>
  <w:style w:type="paragraph" w:customStyle="1" w:styleId="productendnote0">
    <w:name w:val="productendnote"/>
    <w:basedOn w:val="Normal"/>
    <w:rsid w:val="00DA37BA"/>
    <w:pPr>
      <w:keepNext/>
      <w:spacing w:after="120"/>
      <w:ind w:left="216" w:hanging="216"/>
    </w:pPr>
    <w:rPr>
      <w:rFonts w:ascii="Trebuchet MS" w:hAnsi="Trebuchet MS"/>
      <w:b/>
      <w:bCs/>
      <w:color w:val="FF6600"/>
      <w:sz w:val="24"/>
      <w:szCs w:val="24"/>
    </w:rPr>
  </w:style>
  <w:style w:type="paragraph" w:customStyle="1" w:styleId="exceptionbody0">
    <w:name w:val="exceptionbody"/>
    <w:basedOn w:val="Normal"/>
    <w:rsid w:val="00DA37BA"/>
    <w:pPr>
      <w:spacing w:after="60" w:line="255" w:lineRule="atLeast"/>
      <w:ind w:left="216"/>
    </w:pPr>
    <w:rPr>
      <w:rFonts w:ascii="Trebuchet MS" w:hAnsi="Trebuchet MS"/>
      <w:color w:val="000000"/>
      <w:szCs w:val="18"/>
    </w:rPr>
  </w:style>
  <w:style w:type="paragraph" w:customStyle="1" w:styleId="appendindentsub0">
    <w:name w:val="appendindentsub"/>
    <w:basedOn w:val="Normal"/>
    <w:uiPriority w:val="99"/>
    <w:rsid w:val="00DA37BA"/>
    <w:rPr>
      <w:rFonts w:ascii="Times New Roman" w:hAnsi="Times New Roman"/>
      <w:sz w:val="24"/>
      <w:szCs w:val="24"/>
    </w:rPr>
  </w:style>
  <w:style w:type="paragraph" w:styleId="BodyText">
    <w:name w:val="Body Text"/>
    <w:basedOn w:val="Normal"/>
    <w:link w:val="BodyTextChar1"/>
    <w:uiPriority w:val="99"/>
    <w:unhideWhenUsed/>
    <w:rsid w:val="00DA37BA"/>
    <w:pPr>
      <w:spacing w:before="100" w:after="180" w:line="260" w:lineRule="exact"/>
    </w:pPr>
    <w:rPr>
      <w:rFonts w:ascii="Verdana" w:hAnsi="Verdana"/>
      <w:color w:val="000000"/>
      <w:sz w:val="20"/>
      <w:szCs w:val="20"/>
      <w:lang w:val="x-none" w:eastAsia="x-none"/>
    </w:rPr>
  </w:style>
  <w:style w:type="character" w:customStyle="1" w:styleId="BodyTextChar1">
    <w:name w:val="Body Text Char1"/>
    <w:link w:val="BodyText"/>
    <w:uiPriority w:val="99"/>
    <w:locked/>
    <w:rsid w:val="00DA37BA"/>
    <w:rPr>
      <w:rFonts w:ascii="Verdana" w:eastAsia="MS Mincho" w:hAnsi="Verdana" w:cs="Times New Roman"/>
      <w:color w:val="000000"/>
    </w:rPr>
  </w:style>
  <w:style w:type="character" w:customStyle="1" w:styleId="BodyTextChar">
    <w:name w:val="Body Text Char"/>
    <w:uiPriority w:val="99"/>
    <w:semiHidden/>
    <w:rsid w:val="00DA37BA"/>
    <w:rPr>
      <w:rFonts w:ascii="Calibri" w:eastAsia="MS Mincho" w:hAnsi="Calibri" w:cs="Times New Roman"/>
    </w:rPr>
  </w:style>
  <w:style w:type="paragraph" w:customStyle="1" w:styleId="ColorfulShading-Accent11">
    <w:name w:val="Colorful Shading - Accent 11"/>
    <w:hidden/>
    <w:uiPriority w:val="99"/>
    <w:semiHidden/>
    <w:rsid w:val="00DA37BA"/>
    <w:rPr>
      <w:sz w:val="22"/>
      <w:szCs w:val="22"/>
    </w:rPr>
  </w:style>
  <w:style w:type="paragraph" w:styleId="BodyText2">
    <w:name w:val="Body Text 2"/>
    <w:basedOn w:val="Normal"/>
    <w:link w:val="BodyText2Char"/>
    <w:uiPriority w:val="99"/>
    <w:semiHidden/>
    <w:unhideWhenUsed/>
    <w:rsid w:val="00DA37BA"/>
    <w:pPr>
      <w:spacing w:after="120" w:line="480" w:lineRule="auto"/>
    </w:pPr>
    <w:rPr>
      <w:rFonts w:ascii="Calibri" w:hAnsi="Calibri"/>
      <w:sz w:val="22"/>
      <w:lang w:val="x-none" w:eastAsia="x-none"/>
    </w:rPr>
  </w:style>
  <w:style w:type="character" w:customStyle="1" w:styleId="BodyText2Char">
    <w:name w:val="Body Text 2 Char"/>
    <w:link w:val="BodyText2"/>
    <w:uiPriority w:val="99"/>
    <w:semiHidden/>
    <w:rsid w:val="00DA37BA"/>
    <w:rPr>
      <w:sz w:val="22"/>
      <w:szCs w:val="22"/>
    </w:rPr>
  </w:style>
  <w:style w:type="paragraph" w:customStyle="1" w:styleId="normal1">
    <w:name w:val="normal1"/>
    <w:basedOn w:val="Normal"/>
    <w:rsid w:val="00DA37BA"/>
    <w:rPr>
      <w:rFonts w:ascii="Arial" w:eastAsia="Calibri" w:hAnsi="Arial" w:cs="Arial"/>
      <w:sz w:val="20"/>
      <w:szCs w:val="20"/>
    </w:rPr>
  </w:style>
  <w:style w:type="paragraph" w:customStyle="1" w:styleId="normal195">
    <w:name w:val="normal1 9.5"/>
    <w:basedOn w:val="Normal"/>
    <w:rsid w:val="00DA37BA"/>
    <w:pPr>
      <w:ind w:left="720"/>
      <w:jc w:val="both"/>
    </w:pPr>
    <w:rPr>
      <w:rFonts w:ascii="Arial" w:eastAsia="Calibri" w:hAnsi="Arial" w:cs="Arial"/>
      <w:sz w:val="19"/>
      <w:szCs w:val="19"/>
    </w:rPr>
  </w:style>
  <w:style w:type="character" w:customStyle="1" w:styleId="Head1Char">
    <w:name w:val="Head 1 Char"/>
    <w:link w:val="Head1"/>
    <w:locked/>
    <w:rsid w:val="00DA37BA"/>
    <w:rPr>
      <w:rFonts w:ascii="Arial" w:hAnsi="Arial" w:cs="Arial"/>
      <w:b/>
      <w:bCs/>
      <w:i/>
      <w:iCs/>
    </w:rPr>
  </w:style>
  <w:style w:type="paragraph" w:customStyle="1" w:styleId="Head1">
    <w:name w:val="Head 1"/>
    <w:basedOn w:val="Normal"/>
    <w:link w:val="Head1Char"/>
    <w:rsid w:val="00DA37BA"/>
    <w:pPr>
      <w:spacing w:before="120" w:after="120"/>
      <w:jc w:val="both"/>
    </w:pPr>
    <w:rPr>
      <w:rFonts w:ascii="Arial" w:hAnsi="Arial"/>
      <w:b/>
      <w:bCs/>
      <w:i/>
      <w:iCs/>
      <w:sz w:val="20"/>
      <w:szCs w:val="20"/>
      <w:lang w:val="x-none" w:eastAsia="x-none"/>
    </w:rPr>
  </w:style>
  <w:style w:type="table" w:styleId="TableGrid">
    <w:name w:val="Table Grid"/>
    <w:basedOn w:val="TableNormal"/>
    <w:uiPriority w:val="59"/>
    <w:rsid w:val="00DA37BA"/>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paragraph" w:customStyle="1" w:styleId="Title1">
    <w:name w:val="Title1"/>
    <w:basedOn w:val="Normal"/>
    <w:uiPriority w:val="99"/>
    <w:rsid w:val="00DA37BA"/>
    <w:pPr>
      <w:jc w:val="center"/>
    </w:pPr>
    <w:rPr>
      <w:rFonts w:ascii="Trebuchet MS" w:hAnsi="Trebuchet MS" w:cs="Tahoma"/>
      <w:b/>
      <w:sz w:val="40"/>
      <w:szCs w:val="72"/>
    </w:rPr>
  </w:style>
  <w:style w:type="paragraph" w:styleId="ListParagraph">
    <w:name w:val="List Paragraph"/>
    <w:aliases w:val="Bullet List,numbered,FooterText,List Paragraph1,Paragraphe de liste1,Foot"/>
    <w:basedOn w:val="Normal"/>
    <w:link w:val="ListParagraphChar"/>
    <w:uiPriority w:val="34"/>
    <w:qFormat/>
    <w:rsid w:val="00DA37BA"/>
    <w:pPr>
      <w:ind w:left="720"/>
      <w:contextualSpacing/>
    </w:pPr>
    <w:rPr>
      <w:rFonts w:ascii="Times New Roman" w:hAnsi="Times New Roman"/>
      <w:sz w:val="24"/>
      <w:szCs w:val="24"/>
      <w:lang w:val="x-none" w:eastAsia="x-none"/>
    </w:rPr>
  </w:style>
  <w:style w:type="paragraph" w:styleId="Revision">
    <w:name w:val="Revision"/>
    <w:hidden/>
    <w:uiPriority w:val="99"/>
    <w:semiHidden/>
    <w:rsid w:val="007631EF"/>
    <w:rPr>
      <w:sz w:val="22"/>
      <w:szCs w:val="22"/>
    </w:rPr>
  </w:style>
  <w:style w:type="paragraph" w:styleId="Title">
    <w:name w:val="Title"/>
    <w:basedOn w:val="Normal"/>
    <w:next w:val="Normal"/>
    <w:link w:val="TitleChar"/>
    <w:qFormat/>
    <w:rsid w:val="0041078A"/>
    <w:pPr>
      <w:spacing w:before="240" w:after="60"/>
      <w:jc w:val="center"/>
      <w:outlineLvl w:val="0"/>
    </w:pPr>
    <w:rPr>
      <w:rFonts w:ascii="Cambria" w:eastAsia="Times New Roman" w:hAnsi="Cambria"/>
      <w:b/>
      <w:bCs/>
      <w:kern w:val="28"/>
      <w:sz w:val="32"/>
      <w:szCs w:val="32"/>
      <w:lang w:val="x-none" w:eastAsia="x-none"/>
    </w:rPr>
  </w:style>
  <w:style w:type="character" w:customStyle="1" w:styleId="TitleChar">
    <w:name w:val="Title Char"/>
    <w:link w:val="Title"/>
    <w:rsid w:val="0041078A"/>
    <w:rPr>
      <w:rFonts w:ascii="Cambria" w:eastAsia="Times New Roman" w:hAnsi="Cambria" w:cs="Times New Roman"/>
      <w:b/>
      <w:bCs/>
      <w:kern w:val="28"/>
      <w:sz w:val="32"/>
      <w:szCs w:val="32"/>
    </w:rPr>
  </w:style>
  <w:style w:type="paragraph" w:customStyle="1" w:styleId="productlist">
    <w:name w:val="product list"/>
    <w:basedOn w:val="Normal"/>
    <w:uiPriority w:val="99"/>
    <w:rsid w:val="004F2A57"/>
    <w:pPr>
      <w:spacing w:after="80" w:line="180" w:lineRule="exact"/>
      <w:ind w:left="115"/>
    </w:pPr>
    <w:rPr>
      <w:rFonts w:ascii="Trebuchet MS" w:eastAsia="MS PGothic" w:hAnsi="Trebuchet MS" w:cs="MS PGothic"/>
      <w:szCs w:val="18"/>
      <w:lang w:eastAsia="ja-JP"/>
    </w:rPr>
  </w:style>
  <w:style w:type="paragraph" w:customStyle="1" w:styleId="bulletedlistflush0">
    <w:name w:val="bulletedlistflush"/>
    <w:basedOn w:val="Normal"/>
    <w:rsid w:val="00600678"/>
    <w:pPr>
      <w:spacing w:before="100" w:beforeAutospacing="1" w:after="100" w:afterAutospacing="1"/>
    </w:pPr>
    <w:rPr>
      <w:rFonts w:ascii="Times New Roman" w:eastAsia="Calibri" w:hAnsi="Times New Roman"/>
      <w:sz w:val="24"/>
      <w:szCs w:val="24"/>
    </w:rPr>
  </w:style>
  <w:style w:type="character" w:styleId="Emphasis">
    <w:name w:val="Emphasis"/>
    <w:qFormat/>
    <w:rsid w:val="00A424A3"/>
    <w:rPr>
      <w:i/>
      <w:iCs/>
    </w:rPr>
  </w:style>
  <w:style w:type="paragraph" w:styleId="Subtitle">
    <w:name w:val="Subtitle"/>
    <w:basedOn w:val="Normal"/>
    <w:next w:val="Normal"/>
    <w:link w:val="SubtitleChar"/>
    <w:qFormat/>
    <w:rsid w:val="00A424A3"/>
    <w:pPr>
      <w:spacing w:after="60"/>
      <w:jc w:val="center"/>
      <w:outlineLvl w:val="1"/>
    </w:pPr>
    <w:rPr>
      <w:rFonts w:ascii="Cambria" w:eastAsia="Times New Roman" w:hAnsi="Cambria"/>
      <w:sz w:val="24"/>
      <w:szCs w:val="24"/>
    </w:rPr>
  </w:style>
  <w:style w:type="character" w:customStyle="1" w:styleId="SubtitleChar">
    <w:name w:val="Subtitle Char"/>
    <w:link w:val="Subtitle"/>
    <w:rsid w:val="00A424A3"/>
    <w:rPr>
      <w:rFonts w:ascii="Cambria" w:eastAsia="Times New Roman" w:hAnsi="Cambria" w:cs="Times New Roman"/>
      <w:sz w:val="24"/>
      <w:szCs w:val="24"/>
    </w:rPr>
  </w:style>
  <w:style w:type="paragraph" w:styleId="NoSpacing">
    <w:name w:val="No Spacing"/>
    <w:uiPriority w:val="1"/>
    <w:qFormat/>
    <w:rsid w:val="00A424A3"/>
    <w:rPr>
      <w:sz w:val="22"/>
      <w:szCs w:val="22"/>
    </w:rPr>
  </w:style>
  <w:style w:type="character" w:customStyle="1" w:styleId="formelementblack1">
    <w:name w:val="formelement_black1"/>
    <w:rsid w:val="003124DA"/>
    <w:rPr>
      <w:rFonts w:ascii="Verdana" w:hAnsi="Verdana" w:hint="default"/>
      <w:b w:val="0"/>
      <w:bCs w:val="0"/>
      <w:color w:val="000000"/>
      <w:sz w:val="17"/>
      <w:szCs w:val="17"/>
    </w:rPr>
  </w:style>
  <w:style w:type="character" w:customStyle="1" w:styleId="ListParagraphChar">
    <w:name w:val="List Paragraph Char"/>
    <w:aliases w:val="Bullet List Char,numbered Char,FooterText Char,List Paragraph1 Char,Paragraphe de liste1 Char,Foot Char"/>
    <w:link w:val="ListParagraph"/>
    <w:uiPriority w:val="34"/>
    <w:locked/>
    <w:rsid w:val="008230F3"/>
    <w:rPr>
      <w:rFonts w:ascii="Times New Roman" w:hAnsi="Times New Roman"/>
      <w:sz w:val="24"/>
      <w:szCs w:val="24"/>
    </w:rPr>
  </w:style>
  <w:style w:type="paragraph" w:customStyle="1" w:styleId="3iNumbered2ndlevel">
    <w:name w:val="3i. Numbered 2nd level"/>
    <w:basedOn w:val="Normal"/>
    <w:uiPriority w:val="99"/>
    <w:rsid w:val="00B73A46"/>
    <w:pPr>
      <w:spacing w:before="60" w:line="160" w:lineRule="exact"/>
      <w:ind w:left="624" w:hanging="340"/>
    </w:pPr>
    <w:rPr>
      <w:rFonts w:eastAsia="Calibri" w:cs="Tahoma"/>
      <w:color w:val="000000"/>
      <w:sz w:val="14"/>
      <w:szCs w:val="14"/>
    </w:rPr>
  </w:style>
  <w:style w:type="character" w:customStyle="1" w:styleId="emailstyle28">
    <w:name w:val="emailstyle28"/>
    <w:semiHidden/>
    <w:rsid w:val="00D31591"/>
    <w:rPr>
      <w:rFonts w:ascii="Calibri" w:hAnsi="Calibri" w:cs="Calibri" w:hint="default"/>
      <w:b w:val="0"/>
      <w:bCs w:val="0"/>
      <w:i w:val="0"/>
      <w:iCs w:val="0"/>
      <w:color w:val="1F497D"/>
    </w:rPr>
  </w:style>
  <w:style w:type="character" w:customStyle="1" w:styleId="emailstyle25">
    <w:name w:val="emailstyle25"/>
    <w:semiHidden/>
    <w:rsid w:val="00D31591"/>
    <w:rPr>
      <w:rFonts w:ascii="Calibri" w:hAnsi="Calibri" w:cs="Calibri" w:hint="default"/>
      <w:color w:val="auto"/>
    </w:rPr>
  </w:style>
  <w:style w:type="table" w:customStyle="1" w:styleId="TableGrid1">
    <w:name w:val="Table Grid1"/>
    <w:basedOn w:val="TableNormal"/>
    <w:next w:val="TableGrid"/>
    <w:uiPriority w:val="59"/>
    <w:rsid w:val="00EC1F23"/>
    <w:rPr>
      <w:rFonts w:eastAsia="Calibri"/>
      <w:sz w:val="22"/>
      <w:szCs w:val="22"/>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footnotedash0">
    <w:name w:val="footnotedash"/>
    <w:basedOn w:val="Normal"/>
    <w:rsid w:val="00CD27D4"/>
    <w:pPr>
      <w:snapToGrid w:val="0"/>
      <w:spacing w:before="60" w:after="60"/>
      <w:ind w:left="1627" w:hanging="360"/>
    </w:pPr>
    <w:rPr>
      <w:rFonts w:ascii="Trebuchet MS" w:eastAsia="Calibri" w:hAnsi="Trebuchet MS"/>
      <w:sz w:val="20"/>
      <w:szCs w:val="20"/>
    </w:rPr>
  </w:style>
  <w:style w:type="table" w:customStyle="1" w:styleId="TableGrid2">
    <w:name w:val="Table Grid2"/>
    <w:basedOn w:val="TableNormal"/>
    <w:next w:val="TableGrid"/>
    <w:uiPriority w:val="59"/>
    <w:rsid w:val="00194DAF"/>
    <w:rPr>
      <w:rFonts w:eastAsia="Calibri"/>
      <w:sz w:val="22"/>
      <w:szCs w:val="22"/>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TableHeading">
    <w:name w:val="Table Heading"/>
    <w:basedOn w:val="BodyText"/>
    <w:next w:val="Normal"/>
    <w:rsid w:val="0033725C"/>
    <w:pPr>
      <w:spacing w:before="60" w:after="60" w:line="240" w:lineRule="auto"/>
      <w:ind w:left="72" w:right="72"/>
    </w:pPr>
    <w:rPr>
      <w:rFonts w:ascii="Arial" w:eastAsia="Times New Roman" w:hAnsi="Arial" w:cs="Arial"/>
      <w:b/>
      <w:bCs/>
      <w:color w:val="FFFFFF"/>
      <w:lang w:val="en-US" w:eastAsia="en-US"/>
    </w:rPr>
  </w:style>
  <w:style w:type="table" w:customStyle="1" w:styleId="TableGrid3">
    <w:name w:val="Table Grid3"/>
    <w:basedOn w:val="TableNormal"/>
    <w:next w:val="TableGrid"/>
    <w:uiPriority w:val="59"/>
    <w:rsid w:val="00B24E8F"/>
    <w:rPr>
      <w:rFonts w:eastAsia="Calibri"/>
      <w:sz w:val="22"/>
      <w:szCs w:val="22"/>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TableGrid4">
    <w:name w:val="Table Grid4"/>
    <w:basedOn w:val="TableNormal"/>
    <w:next w:val="TableGrid"/>
    <w:uiPriority w:val="59"/>
    <w:rsid w:val="009E224B"/>
    <w:rPr>
      <w:rFonts w:eastAsia="Calibri"/>
      <w:sz w:val="22"/>
      <w:szCs w:val="22"/>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PURProductName">
    <w:name w:val="PUR Product Name"/>
    <w:basedOn w:val="Normal"/>
    <w:link w:val="PURProductNameChar"/>
    <w:uiPriority w:val="3"/>
    <w:qFormat/>
    <w:rsid w:val="00047874"/>
    <w:pPr>
      <w:keepNext/>
      <w:keepLines/>
      <w:pBdr>
        <w:bottom w:val="single" w:sz="8" w:space="1" w:color="404040"/>
      </w:pBdr>
      <w:spacing w:before="240"/>
    </w:pPr>
    <w:rPr>
      <w:rFonts w:ascii="Arial" w:eastAsia="Arial" w:hAnsi="Arial"/>
      <w:sz w:val="28"/>
      <w:szCs w:val="20"/>
    </w:rPr>
  </w:style>
  <w:style w:type="character" w:customStyle="1" w:styleId="PURProductNameChar">
    <w:name w:val="PUR Product Name Char"/>
    <w:link w:val="PURProductName"/>
    <w:uiPriority w:val="3"/>
    <w:rsid w:val="00047874"/>
    <w:rPr>
      <w:rFonts w:ascii="Arial" w:eastAsia="Arial" w:hAnsi="Arial"/>
      <w:sz w:val="28"/>
    </w:rPr>
  </w:style>
  <w:style w:type="character" w:customStyle="1" w:styleId="PURBlueStrong-IndentedChar">
    <w:name w:val="PUR Blue Strong - Indented Char"/>
    <w:link w:val="PURBlueStrong-Indented"/>
    <w:uiPriority w:val="3"/>
    <w:locked/>
    <w:rsid w:val="00ED6F81"/>
    <w:rPr>
      <w:rFonts w:ascii="Arial" w:hAnsi="Arial" w:cs="Arial"/>
      <w:smallCaps/>
      <w:color w:val="1F497D"/>
      <w:spacing w:val="-4"/>
    </w:rPr>
  </w:style>
  <w:style w:type="paragraph" w:customStyle="1" w:styleId="PURBlueStrong-Indented">
    <w:name w:val="PUR Blue Strong - Indented"/>
    <w:basedOn w:val="Normal"/>
    <w:link w:val="PURBlueStrong-IndentedChar"/>
    <w:uiPriority w:val="3"/>
    <w:rsid w:val="00ED6F81"/>
    <w:pPr>
      <w:keepNext/>
      <w:spacing w:after="60" w:line="240" w:lineRule="exact"/>
      <w:ind w:left="270"/>
    </w:pPr>
    <w:rPr>
      <w:rFonts w:ascii="Arial" w:hAnsi="Arial" w:cs="Arial"/>
      <w:smallCaps/>
      <w:color w:val="1F497D"/>
      <w:spacing w:val="-4"/>
      <w:sz w:val="20"/>
      <w:szCs w:val="20"/>
    </w:rPr>
  </w:style>
  <w:style w:type="paragraph" w:customStyle="1" w:styleId="hangindent195">
    <w:name w:val="hang indent1 9.5"/>
    <w:basedOn w:val="Normal"/>
    <w:rsid w:val="00180424"/>
    <w:pPr>
      <w:ind w:left="1440" w:hanging="720"/>
      <w:jc w:val="both"/>
    </w:pPr>
    <w:rPr>
      <w:rFonts w:ascii="Arial" w:eastAsia="Times New Roman" w:hAnsi="Arial" w:cs="Arial"/>
      <w:sz w:val="19"/>
      <w:szCs w:val="19"/>
    </w:rPr>
  </w:style>
  <w:style w:type="character" w:customStyle="1" w:styleId="PURBody-IndentedChar">
    <w:name w:val="PUR Body - Indented Char"/>
    <w:link w:val="PURBody-Indented"/>
    <w:uiPriority w:val="3"/>
    <w:locked/>
    <w:rsid w:val="005403C8"/>
  </w:style>
  <w:style w:type="paragraph" w:customStyle="1" w:styleId="PURBody-Indented">
    <w:name w:val="PUR Body - Indented"/>
    <w:basedOn w:val="Normal"/>
    <w:link w:val="PURBody-IndentedChar"/>
    <w:uiPriority w:val="3"/>
    <w:rsid w:val="005403C8"/>
    <w:pPr>
      <w:spacing w:after="120"/>
      <w:ind w:left="270"/>
    </w:pPr>
    <w:rPr>
      <w:rFonts w:ascii="Calibri" w:hAnsi="Calibri"/>
      <w:sz w:val="20"/>
      <w:szCs w:val="20"/>
    </w:rPr>
  </w:style>
  <w:style w:type="character" w:customStyle="1" w:styleId="PURBullet-IndentedChar">
    <w:name w:val="PUR Bullet- Indented Char"/>
    <w:link w:val="PURBullet-Indented"/>
    <w:uiPriority w:val="3"/>
    <w:locked/>
    <w:rsid w:val="006707A3"/>
  </w:style>
  <w:style w:type="paragraph" w:customStyle="1" w:styleId="PURBullet-Indented">
    <w:name w:val="PUR Bullet- Indented"/>
    <w:basedOn w:val="Normal"/>
    <w:link w:val="PURBullet-IndentedChar"/>
    <w:uiPriority w:val="3"/>
    <w:rsid w:val="006707A3"/>
    <w:pPr>
      <w:spacing w:after="120" w:line="240" w:lineRule="exact"/>
      <w:ind w:left="540" w:hanging="360"/>
      <w:contextualSpacing/>
    </w:pPr>
    <w:rPr>
      <w:rFonts w:ascii="Calibri" w:hAnsi="Calibri"/>
      <w:sz w:val="20"/>
      <w:szCs w:val="20"/>
    </w:rPr>
  </w:style>
  <w:style w:type="character" w:customStyle="1" w:styleId="LogoportMarkup">
    <w:name w:val="LogoportMarkup"/>
    <w:basedOn w:val="DefaultParagraphFont"/>
    <w:rsid w:val="00431351"/>
    <w:rPr>
      <w:rFonts w:ascii="Courier New" w:hAnsi="Courier New" w:cs="Courier New"/>
      <w:b w:val="0"/>
      <w:i w:val="0"/>
      <w:color w:val="FF0000"/>
      <w:sz w:val="18"/>
      <w:szCs w:val="76"/>
    </w:rPr>
  </w:style>
  <w:style w:type="character" w:customStyle="1" w:styleId="LogoportDoNotTranslate">
    <w:name w:val="LogoportDoNotTranslate"/>
    <w:basedOn w:val="DefaultParagraphFont"/>
    <w:rsid w:val="00431351"/>
    <w:rPr>
      <w:rFonts w:ascii="Courier New" w:hAnsi="Courier New" w:cs="Courier New"/>
      <w:b w:val="0"/>
      <w:i w:val="0"/>
      <w:color w:val="808080"/>
      <w:sz w:val="18"/>
      <w:szCs w:val="76"/>
    </w:rPr>
  </w:style>
  <w:style w:type="paragraph" w:customStyle="1" w:styleId="Style1">
    <w:name w:val="Style1"/>
    <w:basedOn w:val="Heading1"/>
    <w:link w:val="Style1Char"/>
    <w:qFormat/>
    <w:rsid w:val="001A3EC5"/>
  </w:style>
  <w:style w:type="character" w:customStyle="1" w:styleId="Style1Char">
    <w:name w:val="Style1 Char"/>
    <w:basedOn w:val="Heading1Char"/>
    <w:link w:val="Style1"/>
    <w:rsid w:val="001A3EC5"/>
    <w:rPr>
      <w:rFonts w:ascii="Tahoma" w:hAnsi="Tahoma"/>
      <w:b/>
      <w:bCs/>
      <w:caps/>
      <w:color w:val="000000"/>
      <w:sz w:val="36"/>
      <w:szCs w:val="36"/>
      <w:lang w:val="x-none" w:eastAsia="x-none"/>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Calibri" w:eastAsia="MS Mincho" w:hAnsi="Calibri" w:cs="Times New Roman"/>
        <w:lang w:val="en-US" w:eastAsia="en-US" w:bidi="ar-SA"/>
      </w:rPr>
    </w:rPrDefault>
    <w:pPrDefault/>
  </w:docDefaults>
  <w:latentStyles w:defLockedState="0" w:defUIPriority="0" w:defSemiHidden="1" w:defUnhideWhenUsed="1" w:defQFormat="0" w:count="267">
    <w:lsdException w:name="Normal" w:semiHidden="0" w:unhideWhenUsed="0" w:qFormat="1"/>
    <w:lsdException w:name="heading 1" w:semiHidden="0" w:uiPriority="9" w:unhideWhenUsed="0" w:qFormat="1"/>
    <w:lsdException w:name="heading 2" w:semiHidden="0" w:uiPriority="9" w:unhideWhenUsed="0" w:qFormat="1"/>
    <w:lsdException w:name="heading 3" w:semiHidden="0" w:uiPriority="9" w:unhideWhenUsed="0" w:qFormat="1"/>
    <w:lsdException w:name="heading 4" w:semiHidden="0" w:uiPriority="9" w:unhideWhenUsed="0" w:qFormat="1"/>
    <w:lsdException w:name="heading 5" w:semiHidden="0" w:uiPriority="9" w:unhideWhenUsed="0" w:qFormat="1"/>
    <w:lsdException w:name="heading 6" w:semiHidden="0" w:uiPriority="9" w:unhideWhenUsed="0"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annotation text" w:uiPriority="99"/>
    <w:lsdException w:name="header" w:uiPriority="99"/>
    <w:lsdException w:name="footer" w:uiPriority="99"/>
    <w:lsdException w:name="caption" w:qFormat="1"/>
    <w:lsdException w:name="footnote reference" w:uiPriority="99"/>
    <w:lsdException w:name="annotation reference" w:uiPriority="99"/>
    <w:lsdException w:name="page number" w:uiPriority="99"/>
    <w:lsdException w:name="endnote reference" w:uiPriority="99"/>
    <w:lsdException w:name="endnote text" w:uiPriority="99"/>
    <w:lsdException w:name="List Number" w:semiHidden="0" w:unhideWhenUsed="0"/>
    <w:lsdException w:name="List 4" w:semiHidden="0" w:unhideWhenUsed="0"/>
    <w:lsdException w:name="List 5" w:semiHidden="0" w:unhideWhenUsed="0"/>
    <w:lsdException w:name="List Bullet 3" w:uiPriority="99"/>
    <w:lsdException w:name="Title" w:semiHidden="0" w:unhideWhenUsed="0" w:qFormat="1"/>
    <w:lsdException w:name="Default Paragraph Font" w:uiPriority="1"/>
    <w:lsdException w:name="Body Text" w:uiPriority="99"/>
    <w:lsdException w:name="Subtitle" w:semiHidden="0" w:unhideWhenUsed="0" w:qFormat="1"/>
    <w:lsdException w:name="Salutation" w:semiHidden="0" w:unhideWhenUsed="0"/>
    <w:lsdException w:name="Date" w:semiHidden="0" w:unhideWhenUsed="0"/>
    <w:lsdException w:name="Body Text First Indent" w:semiHidden="0" w:unhideWhenUsed="0"/>
    <w:lsdException w:name="Body Text 2" w:uiPriority="99"/>
    <w:lsdException w:name="Hyperlink" w:uiPriority="99"/>
    <w:lsdException w:name="FollowedHyperlink" w:uiPriority="99"/>
    <w:lsdException w:name="Strong" w:semiHidden="0" w:uiPriority="22" w:unhideWhenUsed="0" w:qFormat="1"/>
    <w:lsdException w:name="Emphasis" w:semiHidden="0" w:unhideWhenUsed="0" w:qFormat="1"/>
    <w:lsdException w:name="Document Map" w:uiPriority="99"/>
    <w:lsdException w:name="Plain Text" w:uiPriority="99"/>
    <w:lsdException w:name="Normal (Web)" w:uiPriority="99"/>
    <w:lsdException w:name="No List" w:uiPriority="99"/>
    <w:lsdException w:name="Balloon Text" w:uiPriority="99"/>
    <w:lsdException w:name="Table Grid" w:semiHidden="0" w:uiPriority="59" w:unhideWhenUsed="0"/>
    <w:lsdException w:name="Placeholder Text" w:uiPriority="99"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iPriority="99"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936C19"/>
    <w:rPr>
      <w:rFonts w:ascii="Tahoma" w:hAnsi="Tahoma"/>
      <w:sz w:val="18"/>
      <w:szCs w:val="22"/>
    </w:rPr>
  </w:style>
  <w:style w:type="paragraph" w:styleId="Heading1">
    <w:name w:val="heading 1"/>
    <w:basedOn w:val="Normal"/>
    <w:next w:val="Normal"/>
    <w:link w:val="Heading1Char"/>
    <w:uiPriority w:val="9"/>
    <w:qFormat/>
    <w:rsid w:val="000C2842"/>
    <w:pPr>
      <w:keepNext/>
      <w:spacing w:before="200" w:after="120"/>
      <w:outlineLvl w:val="0"/>
    </w:pPr>
    <w:rPr>
      <w:b/>
      <w:bCs/>
      <w:caps/>
      <w:color w:val="000000"/>
      <w:sz w:val="36"/>
      <w:szCs w:val="36"/>
      <w:lang w:val="x-none" w:eastAsia="x-none"/>
    </w:rPr>
  </w:style>
  <w:style w:type="paragraph" w:styleId="Heading2">
    <w:name w:val="heading 2"/>
    <w:basedOn w:val="Normal"/>
    <w:next w:val="Normal"/>
    <w:link w:val="Heading2Char"/>
    <w:uiPriority w:val="9"/>
    <w:qFormat/>
    <w:rsid w:val="00DA37BA"/>
    <w:pPr>
      <w:ind w:left="720"/>
      <w:outlineLvl w:val="1"/>
    </w:pPr>
    <w:rPr>
      <w:rFonts w:ascii="Trebuchet MS" w:hAnsi="Trebuchet MS"/>
      <w:b/>
      <w:sz w:val="24"/>
      <w:szCs w:val="24"/>
      <w:lang w:val="x-none" w:eastAsia="x-none"/>
    </w:rPr>
  </w:style>
  <w:style w:type="paragraph" w:styleId="Heading3">
    <w:name w:val="heading 3"/>
    <w:basedOn w:val="Heading2"/>
    <w:next w:val="Normal"/>
    <w:link w:val="Heading3Char"/>
    <w:uiPriority w:val="9"/>
    <w:qFormat/>
    <w:rsid w:val="00DA37BA"/>
    <w:pPr>
      <w:ind w:left="0"/>
      <w:outlineLvl w:val="2"/>
    </w:pPr>
    <w:rPr>
      <w:sz w:val="20"/>
      <w:szCs w:val="20"/>
    </w:rPr>
  </w:style>
  <w:style w:type="paragraph" w:styleId="Heading4">
    <w:name w:val="heading 4"/>
    <w:basedOn w:val="Normal"/>
    <w:next w:val="Normal"/>
    <w:link w:val="Heading4Char"/>
    <w:uiPriority w:val="9"/>
    <w:qFormat/>
    <w:rsid w:val="00DA37BA"/>
    <w:pPr>
      <w:keepNext/>
      <w:tabs>
        <w:tab w:val="num" w:pos="720"/>
      </w:tabs>
      <w:spacing w:before="60"/>
      <w:ind w:left="720" w:hanging="360"/>
      <w:outlineLvl w:val="3"/>
    </w:pPr>
    <w:rPr>
      <w:rFonts w:ascii="Trebuchet MS" w:hAnsi="Trebuchet MS"/>
      <w:b/>
      <w:sz w:val="20"/>
      <w:szCs w:val="20"/>
      <w:lang w:val="x-none" w:eastAsia="x-none"/>
    </w:rPr>
  </w:style>
  <w:style w:type="paragraph" w:styleId="Heading5">
    <w:name w:val="heading 5"/>
    <w:basedOn w:val="AppendixIndent"/>
    <w:next w:val="Normal"/>
    <w:link w:val="Heading5Char"/>
    <w:uiPriority w:val="9"/>
    <w:qFormat/>
    <w:rsid w:val="00DA37BA"/>
    <w:pPr>
      <w:outlineLvl w:val="4"/>
    </w:pPr>
    <w:rPr>
      <w:u w:val="single"/>
      <w:lang w:val="x-none" w:eastAsia="x-none"/>
    </w:rPr>
  </w:style>
  <w:style w:type="paragraph" w:styleId="Heading6">
    <w:name w:val="heading 6"/>
    <w:basedOn w:val="Body"/>
    <w:next w:val="Normal"/>
    <w:link w:val="Heading6Char"/>
    <w:uiPriority w:val="9"/>
    <w:qFormat/>
    <w:rsid w:val="00DA37BA"/>
    <w:pPr>
      <w:spacing w:after="120"/>
      <w:ind w:left="0"/>
      <w:outlineLvl w:val="5"/>
    </w:pPr>
    <w:rPr>
      <w:b/>
      <w:color w:val="FF6600"/>
      <w:szCs w:val="20"/>
      <w:lang w:val="x-none" w:eastAsia="x-none"/>
    </w:rPr>
  </w:style>
  <w:style w:type="paragraph" w:styleId="Heading7">
    <w:name w:val="heading 7"/>
    <w:basedOn w:val="Heading3"/>
    <w:next w:val="Normal"/>
    <w:link w:val="Heading7Char"/>
    <w:uiPriority w:val="9"/>
    <w:qFormat/>
    <w:rsid w:val="00DA37BA"/>
    <w:pPr>
      <w:outlineLvl w:val="6"/>
    </w:pPr>
  </w:style>
  <w:style w:type="paragraph" w:styleId="Heading8">
    <w:name w:val="heading 8"/>
    <w:basedOn w:val="Normal"/>
    <w:next w:val="Normal"/>
    <w:link w:val="Heading8Char"/>
    <w:uiPriority w:val="9"/>
    <w:qFormat/>
    <w:rsid w:val="00DA37BA"/>
    <w:pPr>
      <w:spacing w:before="240" w:after="60"/>
      <w:outlineLvl w:val="7"/>
    </w:pPr>
    <w:rPr>
      <w:rFonts w:ascii="Times New Roman" w:hAnsi="Times New Roman"/>
      <w:i/>
      <w:iCs/>
      <w:sz w:val="24"/>
      <w:szCs w:val="24"/>
      <w:lang w:val="x-none" w:eastAsia="x-none"/>
    </w:rPr>
  </w:style>
  <w:style w:type="paragraph" w:styleId="Heading9">
    <w:name w:val="heading 9"/>
    <w:basedOn w:val="Normal"/>
    <w:next w:val="Normal"/>
    <w:link w:val="Heading9Char"/>
    <w:uiPriority w:val="9"/>
    <w:qFormat/>
    <w:rsid w:val="00DA37BA"/>
    <w:pPr>
      <w:spacing w:before="240" w:after="60"/>
      <w:outlineLvl w:val="8"/>
    </w:pPr>
    <w:rPr>
      <w:rFonts w:ascii="Arial" w:hAnsi="Arial"/>
      <w:sz w:val="20"/>
      <w:szCs w:val="20"/>
      <w:lang w:val="x-none" w:eastAsia="x-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link w:val="Heading1"/>
    <w:uiPriority w:val="9"/>
    <w:rsid w:val="000C2842"/>
    <w:rPr>
      <w:rFonts w:ascii="Tahoma" w:hAnsi="Tahoma"/>
      <w:b/>
      <w:bCs/>
      <w:caps/>
      <w:color w:val="000000"/>
      <w:sz w:val="36"/>
      <w:szCs w:val="36"/>
      <w:lang w:val="x-none" w:eastAsia="x-none"/>
    </w:rPr>
  </w:style>
  <w:style w:type="character" w:customStyle="1" w:styleId="Heading2Char">
    <w:name w:val="Heading 2 Char"/>
    <w:link w:val="Heading2"/>
    <w:uiPriority w:val="9"/>
    <w:rsid w:val="00DA37BA"/>
    <w:rPr>
      <w:rFonts w:ascii="Trebuchet MS" w:eastAsia="MS Mincho" w:hAnsi="Trebuchet MS" w:cs="Times New Roman"/>
      <w:b/>
      <w:sz w:val="24"/>
      <w:szCs w:val="24"/>
    </w:rPr>
  </w:style>
  <w:style w:type="character" w:customStyle="1" w:styleId="Heading3Char">
    <w:name w:val="Heading 3 Char"/>
    <w:link w:val="Heading3"/>
    <w:uiPriority w:val="9"/>
    <w:rsid w:val="00DA37BA"/>
    <w:rPr>
      <w:rFonts w:ascii="Trebuchet MS" w:eastAsia="MS Mincho" w:hAnsi="Trebuchet MS" w:cs="Times New Roman"/>
      <w:b/>
      <w:sz w:val="20"/>
      <w:szCs w:val="20"/>
    </w:rPr>
  </w:style>
  <w:style w:type="character" w:customStyle="1" w:styleId="Heading4Char">
    <w:name w:val="Heading 4 Char"/>
    <w:link w:val="Heading4"/>
    <w:uiPriority w:val="9"/>
    <w:rsid w:val="00DA37BA"/>
    <w:rPr>
      <w:rFonts w:ascii="Trebuchet MS" w:eastAsia="MS Mincho" w:hAnsi="Trebuchet MS" w:cs="Times New Roman"/>
      <w:b/>
      <w:sz w:val="20"/>
      <w:szCs w:val="20"/>
    </w:rPr>
  </w:style>
  <w:style w:type="paragraph" w:customStyle="1" w:styleId="AppendixIndent">
    <w:name w:val="Appendix Indent"/>
    <w:basedOn w:val="Normal"/>
    <w:rsid w:val="00DA37BA"/>
    <w:pPr>
      <w:spacing w:before="60"/>
      <w:ind w:left="360"/>
    </w:pPr>
    <w:rPr>
      <w:rFonts w:ascii="Trebuchet MS" w:hAnsi="Trebuchet MS"/>
      <w:sz w:val="20"/>
      <w:szCs w:val="20"/>
    </w:rPr>
  </w:style>
  <w:style w:type="character" w:customStyle="1" w:styleId="Heading5Char">
    <w:name w:val="Heading 5 Char"/>
    <w:link w:val="Heading5"/>
    <w:uiPriority w:val="9"/>
    <w:rsid w:val="00DA37BA"/>
    <w:rPr>
      <w:rFonts w:ascii="Trebuchet MS" w:eastAsia="MS Mincho" w:hAnsi="Trebuchet MS" w:cs="Times New Roman"/>
      <w:sz w:val="20"/>
      <w:szCs w:val="20"/>
      <w:u w:val="single"/>
    </w:rPr>
  </w:style>
  <w:style w:type="paragraph" w:customStyle="1" w:styleId="Body">
    <w:name w:val="Body"/>
    <w:basedOn w:val="Normal"/>
    <w:rsid w:val="00DA37BA"/>
    <w:pPr>
      <w:ind w:left="720"/>
    </w:pPr>
    <w:rPr>
      <w:rFonts w:ascii="Trebuchet MS" w:hAnsi="Trebuchet MS"/>
      <w:sz w:val="20"/>
      <w:szCs w:val="24"/>
    </w:rPr>
  </w:style>
  <w:style w:type="character" w:customStyle="1" w:styleId="Heading6Char">
    <w:name w:val="Heading 6 Char"/>
    <w:link w:val="Heading6"/>
    <w:uiPriority w:val="9"/>
    <w:rsid w:val="00DA37BA"/>
    <w:rPr>
      <w:rFonts w:ascii="Trebuchet MS" w:eastAsia="MS Mincho" w:hAnsi="Trebuchet MS" w:cs="Times New Roman"/>
      <w:b/>
      <w:color w:val="FF6600"/>
      <w:sz w:val="20"/>
      <w:szCs w:val="20"/>
    </w:rPr>
  </w:style>
  <w:style w:type="character" w:customStyle="1" w:styleId="Heading7Char">
    <w:name w:val="Heading 7 Char"/>
    <w:link w:val="Heading7"/>
    <w:uiPriority w:val="9"/>
    <w:rsid w:val="00DA37BA"/>
    <w:rPr>
      <w:rFonts w:ascii="Trebuchet MS" w:eastAsia="MS Mincho" w:hAnsi="Trebuchet MS" w:cs="Times New Roman"/>
      <w:b/>
      <w:sz w:val="20"/>
      <w:szCs w:val="20"/>
    </w:rPr>
  </w:style>
  <w:style w:type="character" w:customStyle="1" w:styleId="Heading8Char">
    <w:name w:val="Heading 8 Char"/>
    <w:link w:val="Heading8"/>
    <w:uiPriority w:val="9"/>
    <w:rsid w:val="00DA37BA"/>
    <w:rPr>
      <w:rFonts w:ascii="Times New Roman" w:eastAsia="MS Mincho" w:hAnsi="Times New Roman" w:cs="Times New Roman"/>
      <w:i/>
      <w:iCs/>
      <w:sz w:val="24"/>
      <w:szCs w:val="24"/>
    </w:rPr>
  </w:style>
  <w:style w:type="character" w:customStyle="1" w:styleId="Heading9Char">
    <w:name w:val="Heading 9 Char"/>
    <w:link w:val="Heading9"/>
    <w:uiPriority w:val="9"/>
    <w:rsid w:val="00DA37BA"/>
    <w:rPr>
      <w:rFonts w:ascii="Arial" w:eastAsia="MS Mincho" w:hAnsi="Arial" w:cs="Arial"/>
    </w:rPr>
  </w:style>
  <w:style w:type="character" w:styleId="Hyperlink">
    <w:name w:val="Hyperlink"/>
    <w:uiPriority w:val="99"/>
    <w:unhideWhenUsed/>
    <w:rsid w:val="00DA37BA"/>
    <w:rPr>
      <w:rFonts w:cs="Times New Roman"/>
      <w:color w:val="0000FF"/>
      <w:u w:val="single"/>
    </w:rPr>
  </w:style>
  <w:style w:type="character" w:customStyle="1" w:styleId="BodyChar">
    <w:name w:val="Body Char"/>
    <w:rsid w:val="00DA37BA"/>
    <w:rPr>
      <w:rFonts w:ascii="Trebuchet MS" w:hAnsi="Trebuchet MS" w:cs="Times New Roman"/>
      <w:sz w:val="24"/>
      <w:szCs w:val="24"/>
      <w:lang w:val="en-US" w:eastAsia="en-US" w:bidi="ar-SA"/>
    </w:rPr>
  </w:style>
  <w:style w:type="paragraph" w:customStyle="1" w:styleId="Char">
    <w:name w:val="Char"/>
    <w:basedOn w:val="Normal"/>
    <w:rsid w:val="00DA37BA"/>
    <w:pPr>
      <w:spacing w:after="160" w:line="240" w:lineRule="exact"/>
    </w:pPr>
    <w:rPr>
      <w:sz w:val="20"/>
      <w:szCs w:val="20"/>
    </w:rPr>
  </w:style>
  <w:style w:type="paragraph" w:customStyle="1" w:styleId="ProductNames">
    <w:name w:val="Product Names"/>
    <w:basedOn w:val="Normal"/>
    <w:rsid w:val="00DA37BA"/>
    <w:pPr>
      <w:keepLines/>
      <w:spacing w:before="20" w:after="20"/>
    </w:pPr>
    <w:rPr>
      <w:rFonts w:ascii="Trebuchet MS" w:hAnsi="Trebuchet MS" w:cs="Arial"/>
      <w:position w:val="-11"/>
      <w:sz w:val="16"/>
      <w:szCs w:val="16"/>
    </w:rPr>
  </w:style>
  <w:style w:type="character" w:customStyle="1" w:styleId="ProductNamesChar">
    <w:name w:val="Product Names Char"/>
    <w:rsid w:val="00DA37BA"/>
    <w:rPr>
      <w:rFonts w:ascii="Trebuchet MS" w:hAnsi="Trebuchet MS" w:cs="Arial"/>
      <w:position w:val="-11"/>
      <w:sz w:val="16"/>
      <w:szCs w:val="16"/>
    </w:rPr>
  </w:style>
  <w:style w:type="paragraph" w:customStyle="1" w:styleId="ChartKeyHeadings">
    <w:name w:val="ChartKey Headings"/>
    <w:basedOn w:val="Normal"/>
    <w:rsid w:val="00DA37BA"/>
    <w:pPr>
      <w:ind w:left="720"/>
    </w:pPr>
    <w:rPr>
      <w:rFonts w:ascii="Trebuchet MS" w:hAnsi="Trebuchet MS" w:cs="Arial"/>
      <w:b/>
      <w:sz w:val="24"/>
      <w:szCs w:val="20"/>
    </w:rPr>
  </w:style>
  <w:style w:type="character" w:styleId="FollowedHyperlink">
    <w:name w:val="FollowedHyperlink"/>
    <w:uiPriority w:val="99"/>
    <w:rsid w:val="00DA37BA"/>
    <w:rPr>
      <w:rFonts w:cs="Times New Roman"/>
      <w:color w:val="800080"/>
      <w:u w:val="single"/>
    </w:rPr>
  </w:style>
  <w:style w:type="paragraph" w:styleId="Header">
    <w:name w:val="header"/>
    <w:basedOn w:val="Normal"/>
    <w:link w:val="HeaderChar"/>
    <w:uiPriority w:val="99"/>
    <w:rsid w:val="00DA37BA"/>
    <w:pPr>
      <w:tabs>
        <w:tab w:val="left" w:pos="3240"/>
      </w:tabs>
      <w:spacing w:before="400"/>
      <w:ind w:right="-187"/>
      <w:jc w:val="center"/>
    </w:pPr>
    <w:rPr>
      <w:rFonts w:ascii="Trebuchet MS" w:hAnsi="Trebuchet MS"/>
      <w:sz w:val="15"/>
      <w:szCs w:val="15"/>
      <w:lang w:val="x-none" w:eastAsia="x-none"/>
    </w:rPr>
  </w:style>
  <w:style w:type="character" w:customStyle="1" w:styleId="HeaderChar">
    <w:name w:val="Header Char"/>
    <w:link w:val="Header"/>
    <w:uiPriority w:val="99"/>
    <w:rsid w:val="00DA37BA"/>
    <w:rPr>
      <w:rFonts w:ascii="Trebuchet MS" w:eastAsia="MS Mincho" w:hAnsi="Trebuchet MS" w:cs="Arial"/>
      <w:sz w:val="15"/>
      <w:szCs w:val="15"/>
    </w:rPr>
  </w:style>
  <w:style w:type="paragraph" w:styleId="Footer">
    <w:name w:val="footer"/>
    <w:basedOn w:val="Normal"/>
    <w:link w:val="FooterChar"/>
    <w:uiPriority w:val="99"/>
    <w:rsid w:val="00DA37BA"/>
    <w:pPr>
      <w:tabs>
        <w:tab w:val="center" w:pos="5155"/>
        <w:tab w:val="right" w:pos="10325"/>
      </w:tabs>
      <w:spacing w:line="210" w:lineRule="exact"/>
    </w:pPr>
    <w:rPr>
      <w:rFonts w:ascii="Arial Narrow" w:hAnsi="Arial Narrow"/>
      <w:szCs w:val="20"/>
      <w:lang w:val="x-none" w:eastAsia="x-none"/>
    </w:rPr>
  </w:style>
  <w:style w:type="character" w:customStyle="1" w:styleId="FooterChar">
    <w:name w:val="Footer Char"/>
    <w:link w:val="Footer"/>
    <w:uiPriority w:val="99"/>
    <w:rsid w:val="00DA37BA"/>
    <w:rPr>
      <w:rFonts w:ascii="Arial Narrow" w:eastAsia="MS Mincho" w:hAnsi="Arial Narrow" w:cs="Arial"/>
      <w:sz w:val="18"/>
      <w:szCs w:val="20"/>
    </w:rPr>
  </w:style>
  <w:style w:type="paragraph" w:customStyle="1" w:styleId="PublishDate">
    <w:name w:val="Publish Date"/>
    <w:basedOn w:val="Normal"/>
    <w:rsid w:val="00DA37BA"/>
    <w:pPr>
      <w:jc w:val="right"/>
    </w:pPr>
    <w:rPr>
      <w:rFonts w:ascii="Trebuchet MS" w:hAnsi="Trebuchet MS" w:cs="Arial"/>
      <w:color w:val="808080"/>
      <w:sz w:val="20"/>
      <w:szCs w:val="20"/>
    </w:rPr>
  </w:style>
  <w:style w:type="character" w:customStyle="1" w:styleId="ProductEndnoteChar">
    <w:name w:val="Product Endnote Char"/>
    <w:link w:val="ProductEndnote"/>
    <w:uiPriority w:val="99"/>
    <w:locked/>
    <w:rsid w:val="00DA37BA"/>
    <w:rPr>
      <w:rFonts w:ascii="Trebuchet MS" w:hAnsi="Trebuchet MS" w:cs="Times New Roman"/>
      <w:b/>
      <w:color w:val="FF6600"/>
      <w:sz w:val="24"/>
      <w:szCs w:val="24"/>
    </w:rPr>
  </w:style>
  <w:style w:type="paragraph" w:customStyle="1" w:styleId="ProductEndnote">
    <w:name w:val="Product Endnote"/>
    <w:basedOn w:val="Normal"/>
    <w:link w:val="ProductEndnoteChar"/>
    <w:uiPriority w:val="99"/>
    <w:rsid w:val="00DA37BA"/>
    <w:pPr>
      <w:keepNext/>
      <w:spacing w:after="120"/>
      <w:ind w:left="216" w:hanging="216"/>
    </w:pPr>
    <w:rPr>
      <w:rFonts w:ascii="Trebuchet MS" w:hAnsi="Trebuchet MS"/>
      <w:b/>
      <w:color w:val="FF6600"/>
      <w:sz w:val="24"/>
      <w:szCs w:val="24"/>
      <w:lang w:val="x-none" w:eastAsia="x-none"/>
    </w:rPr>
  </w:style>
  <w:style w:type="paragraph" w:styleId="TOC1">
    <w:name w:val="toc 1"/>
    <w:basedOn w:val="Normal"/>
    <w:next w:val="Normal"/>
    <w:autoRedefine/>
    <w:uiPriority w:val="39"/>
    <w:rsid w:val="00836D9F"/>
    <w:pPr>
      <w:tabs>
        <w:tab w:val="right" w:leader="dot" w:pos="9360"/>
      </w:tabs>
      <w:spacing w:before="120"/>
      <w:ind w:right="-180"/>
    </w:pPr>
    <w:rPr>
      <w:rFonts w:cs="Tahoma"/>
      <w:b/>
      <w:caps/>
      <w:noProof/>
      <w:color w:val="000000"/>
      <w:sz w:val="22"/>
      <w:szCs w:val="18"/>
    </w:rPr>
  </w:style>
  <w:style w:type="paragraph" w:customStyle="1" w:styleId="BulletedList">
    <w:name w:val="Bulleted List"/>
    <w:basedOn w:val="Normal"/>
    <w:rsid w:val="00DA37BA"/>
    <w:pPr>
      <w:tabs>
        <w:tab w:val="num" w:pos="1080"/>
      </w:tabs>
      <w:ind w:left="720"/>
    </w:pPr>
    <w:rPr>
      <w:rFonts w:ascii="Trebuchet MS" w:hAnsi="Trebuchet MS"/>
      <w:sz w:val="20"/>
      <w:szCs w:val="24"/>
    </w:rPr>
  </w:style>
  <w:style w:type="paragraph" w:customStyle="1" w:styleId="Bodywithspace">
    <w:name w:val="Body with space"/>
    <w:basedOn w:val="Normal"/>
    <w:rsid w:val="00DA37BA"/>
    <w:pPr>
      <w:spacing w:before="80" w:after="80"/>
      <w:ind w:left="720"/>
    </w:pPr>
    <w:rPr>
      <w:rFonts w:ascii="Trebuchet MS" w:hAnsi="Trebuchet MS" w:cs="Arial"/>
      <w:sz w:val="20"/>
      <w:szCs w:val="20"/>
    </w:rPr>
  </w:style>
  <w:style w:type="paragraph" w:customStyle="1" w:styleId="TableHeadingsGreen">
    <w:name w:val="Table Headings Green"/>
    <w:basedOn w:val="Normal"/>
    <w:rsid w:val="00DA37BA"/>
    <w:pPr>
      <w:spacing w:before="40"/>
      <w:jc w:val="center"/>
    </w:pPr>
    <w:rPr>
      <w:rFonts w:ascii="Trebuchet MS" w:hAnsi="Trebuchet MS"/>
      <w:b/>
      <w:bCs/>
      <w:color w:val="008000"/>
      <w:sz w:val="11"/>
      <w:szCs w:val="20"/>
    </w:rPr>
  </w:style>
  <w:style w:type="paragraph" w:customStyle="1" w:styleId="NumberedSteps">
    <w:name w:val="Numbered Steps"/>
    <w:basedOn w:val="Body"/>
    <w:rsid w:val="00DA37BA"/>
    <w:pPr>
      <w:spacing w:before="200" w:after="200"/>
    </w:pPr>
    <w:rPr>
      <w:bCs/>
    </w:rPr>
  </w:style>
  <w:style w:type="paragraph" w:styleId="EndnoteText">
    <w:name w:val="endnote text"/>
    <w:basedOn w:val="Normal"/>
    <w:link w:val="EndnoteTextChar1"/>
    <w:uiPriority w:val="99"/>
    <w:rsid w:val="00DA37BA"/>
    <w:pPr>
      <w:ind w:left="900"/>
    </w:pPr>
    <w:rPr>
      <w:rFonts w:ascii="Trebuchet MS" w:hAnsi="Trebuchet MS"/>
      <w:sz w:val="20"/>
      <w:szCs w:val="24"/>
      <w:lang w:val="x-none" w:eastAsia="x-none"/>
    </w:rPr>
  </w:style>
  <w:style w:type="character" w:customStyle="1" w:styleId="EndnoteTextChar1">
    <w:name w:val="Endnote Text Char1"/>
    <w:link w:val="EndnoteText"/>
    <w:uiPriority w:val="99"/>
    <w:locked/>
    <w:rsid w:val="00DA37BA"/>
    <w:rPr>
      <w:rFonts w:ascii="Trebuchet MS" w:eastAsia="MS Mincho" w:hAnsi="Trebuchet MS" w:cs="Times New Roman"/>
      <w:sz w:val="20"/>
      <w:szCs w:val="24"/>
    </w:rPr>
  </w:style>
  <w:style w:type="character" w:customStyle="1" w:styleId="EndnoteTextChar">
    <w:name w:val="Endnote Text Char"/>
    <w:uiPriority w:val="99"/>
    <w:rsid w:val="00DA37BA"/>
    <w:rPr>
      <w:rFonts w:ascii="Calibri" w:eastAsia="MS Mincho" w:hAnsi="Calibri" w:cs="Times New Roman"/>
      <w:sz w:val="20"/>
      <w:szCs w:val="20"/>
    </w:rPr>
  </w:style>
  <w:style w:type="character" w:styleId="EndnoteReference">
    <w:name w:val="endnote reference"/>
    <w:uiPriority w:val="99"/>
    <w:semiHidden/>
    <w:rsid w:val="00DA37BA"/>
    <w:rPr>
      <w:rFonts w:ascii="Trebuchet MS" w:hAnsi="Trebuchet MS" w:cs="Times New Roman"/>
      <w:b/>
      <w:color w:val="FF0000"/>
      <w:sz w:val="18"/>
      <w:vertAlign w:val="superscript"/>
    </w:rPr>
  </w:style>
  <w:style w:type="paragraph" w:customStyle="1" w:styleId="TableVerticalText">
    <w:name w:val="Table Vertical Text"/>
    <w:basedOn w:val="Normal"/>
    <w:rsid w:val="00DA37BA"/>
    <w:pPr>
      <w:ind w:left="115" w:right="115"/>
      <w:jc w:val="center"/>
    </w:pPr>
    <w:rPr>
      <w:rFonts w:ascii="Trebuchet MS" w:hAnsi="Trebuchet MS"/>
      <w:sz w:val="11"/>
      <w:szCs w:val="20"/>
    </w:rPr>
  </w:style>
  <w:style w:type="paragraph" w:customStyle="1" w:styleId="TableHeadingsBlack">
    <w:name w:val="Table Headings Black"/>
    <w:basedOn w:val="Normal"/>
    <w:rsid w:val="00DA37BA"/>
    <w:pPr>
      <w:spacing w:before="40"/>
      <w:jc w:val="center"/>
    </w:pPr>
    <w:rPr>
      <w:rFonts w:ascii="Trebuchet MS" w:hAnsi="Trebuchet MS"/>
      <w:sz w:val="11"/>
      <w:szCs w:val="20"/>
    </w:rPr>
  </w:style>
  <w:style w:type="paragraph" w:customStyle="1" w:styleId="TableHeadingsBlue">
    <w:name w:val="Table Headings Blue"/>
    <w:basedOn w:val="Normal"/>
    <w:rsid w:val="00DA37BA"/>
    <w:pPr>
      <w:spacing w:before="40"/>
      <w:jc w:val="center"/>
    </w:pPr>
    <w:rPr>
      <w:rFonts w:ascii="Trebuchet MS" w:hAnsi="Trebuchet MS"/>
      <w:b/>
      <w:bCs/>
      <w:color w:val="0000FF"/>
      <w:sz w:val="11"/>
      <w:szCs w:val="20"/>
    </w:rPr>
  </w:style>
  <w:style w:type="paragraph" w:customStyle="1" w:styleId="TableHeadingsRed">
    <w:name w:val="Table Headings Red"/>
    <w:basedOn w:val="Normal"/>
    <w:rsid w:val="00DA37BA"/>
    <w:pPr>
      <w:spacing w:before="40"/>
      <w:jc w:val="center"/>
    </w:pPr>
    <w:rPr>
      <w:rFonts w:ascii="Trebuchet MS" w:hAnsi="Trebuchet MS"/>
      <w:b/>
      <w:bCs/>
      <w:color w:val="FF0000"/>
      <w:sz w:val="11"/>
      <w:szCs w:val="20"/>
    </w:rPr>
  </w:style>
  <w:style w:type="paragraph" w:customStyle="1" w:styleId="TableText">
    <w:name w:val="Table Text"/>
    <w:basedOn w:val="Heading3"/>
    <w:rsid w:val="00DA37BA"/>
    <w:pPr>
      <w:jc w:val="center"/>
      <w:outlineLvl w:val="9"/>
    </w:pPr>
    <w:rPr>
      <w:b w:val="0"/>
      <w:sz w:val="15"/>
      <w:szCs w:val="15"/>
    </w:rPr>
  </w:style>
  <w:style w:type="paragraph" w:customStyle="1" w:styleId="AppendixTableHeadings">
    <w:name w:val="Appendix Table Headings"/>
    <w:basedOn w:val="AppendixTableText"/>
    <w:rsid w:val="00DA37BA"/>
    <w:rPr>
      <w:b/>
      <w:bCs/>
    </w:rPr>
  </w:style>
  <w:style w:type="paragraph" w:customStyle="1" w:styleId="AppendixTableText">
    <w:name w:val="Appendix Table Text"/>
    <w:basedOn w:val="Normal"/>
    <w:rsid w:val="00DA37BA"/>
    <w:pPr>
      <w:spacing w:line="240" w:lineRule="atLeast"/>
      <w:jc w:val="center"/>
    </w:pPr>
    <w:rPr>
      <w:rFonts w:ascii="Trebuchet MS" w:hAnsi="Trebuchet MS" w:cs="Arial"/>
      <w:szCs w:val="18"/>
    </w:rPr>
  </w:style>
  <w:style w:type="paragraph" w:styleId="TOC2">
    <w:name w:val="toc 2"/>
    <w:basedOn w:val="Normal"/>
    <w:next w:val="Normal"/>
    <w:uiPriority w:val="39"/>
    <w:rsid w:val="00DA37BA"/>
    <w:pPr>
      <w:tabs>
        <w:tab w:val="right" w:leader="dot" w:pos="9360"/>
      </w:tabs>
    </w:pPr>
    <w:rPr>
      <w:noProof/>
      <w:szCs w:val="20"/>
    </w:rPr>
  </w:style>
  <w:style w:type="paragraph" w:customStyle="1" w:styleId="FootnoteBulletLevel2">
    <w:name w:val="Footnote Bullet Level 2"/>
    <w:basedOn w:val="Normal"/>
    <w:rsid w:val="00DA37BA"/>
    <w:pPr>
      <w:tabs>
        <w:tab w:val="num" w:pos="1260"/>
      </w:tabs>
      <w:adjustRightInd w:val="0"/>
      <w:snapToGrid w:val="0"/>
      <w:spacing w:before="120"/>
      <w:ind w:left="1267" w:hanging="360"/>
      <w:textAlignment w:val="baseline"/>
    </w:pPr>
    <w:rPr>
      <w:rFonts w:ascii="Trebuchet MS" w:hAnsi="Trebuchet MS"/>
      <w:sz w:val="20"/>
      <w:szCs w:val="24"/>
      <w:lang w:eastAsia="ja-JP"/>
    </w:rPr>
  </w:style>
  <w:style w:type="paragraph" w:customStyle="1" w:styleId="Footnotedash">
    <w:name w:val="Footnote dash"/>
    <w:basedOn w:val="Normal"/>
    <w:rsid w:val="00DA37BA"/>
    <w:pPr>
      <w:tabs>
        <w:tab w:val="num" w:pos="1620"/>
      </w:tabs>
      <w:adjustRightInd w:val="0"/>
      <w:snapToGrid w:val="0"/>
      <w:spacing w:before="60" w:after="60"/>
      <w:ind w:left="1627" w:hanging="360"/>
      <w:textAlignment w:val="baseline"/>
    </w:pPr>
    <w:rPr>
      <w:rFonts w:ascii="Trebuchet MS" w:hAnsi="Trebuchet MS" w:cs="Arial"/>
      <w:sz w:val="20"/>
      <w:szCs w:val="20"/>
    </w:rPr>
  </w:style>
  <w:style w:type="paragraph" w:customStyle="1" w:styleId="AppendixBodyText">
    <w:name w:val="Appendix Body Text"/>
    <w:basedOn w:val="Normal"/>
    <w:uiPriority w:val="99"/>
    <w:rsid w:val="00DA37BA"/>
    <w:pPr>
      <w:spacing w:after="60"/>
    </w:pPr>
    <w:rPr>
      <w:rFonts w:ascii="Trebuchet MS" w:hAnsi="Trebuchet MS" w:cs="Arial"/>
      <w:sz w:val="20"/>
      <w:szCs w:val="20"/>
    </w:rPr>
  </w:style>
  <w:style w:type="character" w:customStyle="1" w:styleId="ProductEndnoteCharChar">
    <w:name w:val="Product Endnote Char Char"/>
    <w:rsid w:val="00DA37BA"/>
    <w:rPr>
      <w:rFonts w:ascii="Trebuchet MS" w:hAnsi="Trebuchet MS" w:cs="Arial"/>
      <w:b/>
      <w:color w:val="FF6600"/>
      <w:sz w:val="24"/>
      <w:szCs w:val="24"/>
    </w:rPr>
  </w:style>
  <w:style w:type="paragraph" w:customStyle="1" w:styleId="FootnoteBulletLevel1">
    <w:name w:val="Footnote Bullet Level 1"/>
    <w:basedOn w:val="Normal"/>
    <w:rsid w:val="00DA37BA"/>
    <w:pPr>
      <w:tabs>
        <w:tab w:val="num" w:pos="900"/>
      </w:tabs>
      <w:adjustRightInd w:val="0"/>
      <w:spacing w:before="120" w:after="120"/>
      <w:ind w:left="900" w:hanging="360"/>
      <w:textAlignment w:val="baseline"/>
    </w:pPr>
    <w:rPr>
      <w:rFonts w:ascii="Trebuchet MS" w:hAnsi="Trebuchet MS" w:cs="Arial"/>
      <w:sz w:val="20"/>
      <w:szCs w:val="20"/>
    </w:rPr>
  </w:style>
  <w:style w:type="character" w:customStyle="1" w:styleId="FootnoteBulletLevel1CharChar">
    <w:name w:val="Footnote Bullet Level 1 Char Char"/>
    <w:rsid w:val="00DA37BA"/>
    <w:rPr>
      <w:rFonts w:ascii="Trebuchet MS" w:hAnsi="Trebuchet MS" w:cs="Arial"/>
    </w:rPr>
  </w:style>
  <w:style w:type="paragraph" w:styleId="TOC3">
    <w:name w:val="toc 3"/>
    <w:basedOn w:val="Normal"/>
    <w:next w:val="Normal"/>
    <w:uiPriority w:val="39"/>
    <w:rsid w:val="00836D9F"/>
    <w:pPr>
      <w:tabs>
        <w:tab w:val="right" w:leader="dot" w:pos="9360"/>
      </w:tabs>
    </w:pPr>
    <w:rPr>
      <w:rFonts w:cs="Tahoma"/>
      <w:bCs/>
      <w:noProof/>
      <w:color w:val="000000"/>
      <w:szCs w:val="18"/>
    </w:rPr>
  </w:style>
  <w:style w:type="paragraph" w:customStyle="1" w:styleId="Footnotenumberedlist">
    <w:name w:val="Footnote numbered list"/>
    <w:basedOn w:val="FootnoteBulletLevel2"/>
    <w:rsid w:val="00DA37BA"/>
    <w:pPr>
      <w:ind w:left="1260"/>
    </w:pPr>
  </w:style>
  <w:style w:type="paragraph" w:styleId="TOC4">
    <w:name w:val="toc 4"/>
    <w:basedOn w:val="Normal"/>
    <w:next w:val="Normal"/>
    <w:autoRedefine/>
    <w:uiPriority w:val="39"/>
    <w:rsid w:val="00DA37BA"/>
    <w:pPr>
      <w:tabs>
        <w:tab w:val="right" w:leader="dot" w:pos="9360"/>
      </w:tabs>
    </w:pPr>
    <w:rPr>
      <w:szCs w:val="24"/>
    </w:rPr>
  </w:style>
  <w:style w:type="paragraph" w:styleId="TOC5">
    <w:name w:val="toc 5"/>
    <w:basedOn w:val="Normal"/>
    <w:next w:val="Normal"/>
    <w:autoRedefine/>
    <w:uiPriority w:val="39"/>
    <w:rsid w:val="00DA37BA"/>
    <w:pPr>
      <w:ind w:left="960"/>
    </w:pPr>
    <w:rPr>
      <w:rFonts w:ascii="Times New Roman" w:hAnsi="Times New Roman"/>
      <w:sz w:val="24"/>
      <w:szCs w:val="24"/>
    </w:rPr>
  </w:style>
  <w:style w:type="paragraph" w:styleId="TOC6">
    <w:name w:val="toc 6"/>
    <w:basedOn w:val="Normal"/>
    <w:next w:val="Normal"/>
    <w:autoRedefine/>
    <w:uiPriority w:val="39"/>
    <w:rsid w:val="00DA37BA"/>
    <w:pPr>
      <w:ind w:left="1200"/>
    </w:pPr>
    <w:rPr>
      <w:rFonts w:ascii="Times New Roman" w:hAnsi="Times New Roman"/>
      <w:sz w:val="24"/>
      <w:szCs w:val="24"/>
    </w:rPr>
  </w:style>
  <w:style w:type="paragraph" w:styleId="TOC7">
    <w:name w:val="toc 7"/>
    <w:basedOn w:val="Normal"/>
    <w:next w:val="Normal"/>
    <w:autoRedefine/>
    <w:uiPriority w:val="39"/>
    <w:rsid w:val="00DA37BA"/>
    <w:pPr>
      <w:ind w:left="1440"/>
    </w:pPr>
    <w:rPr>
      <w:rFonts w:ascii="Times New Roman" w:hAnsi="Times New Roman"/>
      <w:sz w:val="24"/>
      <w:szCs w:val="24"/>
    </w:rPr>
  </w:style>
  <w:style w:type="paragraph" w:styleId="TOC8">
    <w:name w:val="toc 8"/>
    <w:basedOn w:val="Normal"/>
    <w:next w:val="Normal"/>
    <w:autoRedefine/>
    <w:uiPriority w:val="39"/>
    <w:rsid w:val="00DA37BA"/>
    <w:pPr>
      <w:ind w:left="1680"/>
    </w:pPr>
    <w:rPr>
      <w:rFonts w:ascii="Times New Roman" w:hAnsi="Times New Roman"/>
      <w:sz w:val="24"/>
      <w:szCs w:val="24"/>
    </w:rPr>
  </w:style>
  <w:style w:type="paragraph" w:styleId="TOC9">
    <w:name w:val="toc 9"/>
    <w:basedOn w:val="Normal"/>
    <w:next w:val="Normal"/>
    <w:autoRedefine/>
    <w:uiPriority w:val="39"/>
    <w:rsid w:val="00DA37BA"/>
    <w:pPr>
      <w:ind w:left="1920"/>
    </w:pPr>
    <w:rPr>
      <w:rFonts w:ascii="Times New Roman" w:hAnsi="Times New Roman"/>
      <w:sz w:val="24"/>
      <w:szCs w:val="24"/>
    </w:rPr>
  </w:style>
  <w:style w:type="paragraph" w:customStyle="1" w:styleId="AppendixBulletIndent">
    <w:name w:val="Appendix Bullet Indent"/>
    <w:basedOn w:val="AppendixFlushBulletedList"/>
    <w:rsid w:val="00DA37BA"/>
    <w:pPr>
      <w:tabs>
        <w:tab w:val="clear" w:pos="360"/>
        <w:tab w:val="num" w:pos="720"/>
      </w:tabs>
      <w:ind w:left="720"/>
    </w:pPr>
  </w:style>
  <w:style w:type="paragraph" w:customStyle="1" w:styleId="AppendixFlushBulletedList">
    <w:name w:val="Appendix Flush Bulleted List"/>
    <w:basedOn w:val="Normal"/>
    <w:rsid w:val="00DA37BA"/>
    <w:pPr>
      <w:tabs>
        <w:tab w:val="num" w:pos="360"/>
      </w:tabs>
      <w:ind w:left="360" w:hanging="360"/>
    </w:pPr>
    <w:rPr>
      <w:rFonts w:ascii="Trebuchet MS" w:hAnsi="Trebuchet MS" w:cs="Arial"/>
      <w:sz w:val="20"/>
      <w:szCs w:val="20"/>
    </w:rPr>
  </w:style>
  <w:style w:type="paragraph" w:customStyle="1" w:styleId="ProductPool">
    <w:name w:val="Product Pool"/>
    <w:basedOn w:val="Heading3"/>
    <w:rsid w:val="00DA37BA"/>
  </w:style>
  <w:style w:type="paragraph" w:customStyle="1" w:styleId="AppendixTabbedList">
    <w:name w:val="Appendix Tabbed List"/>
    <w:basedOn w:val="AppendixBodyText"/>
    <w:rsid w:val="00DA37BA"/>
    <w:pPr>
      <w:tabs>
        <w:tab w:val="left" w:pos="2520"/>
      </w:tabs>
    </w:pPr>
  </w:style>
  <w:style w:type="paragraph" w:customStyle="1" w:styleId="ProductNote">
    <w:name w:val="Product Note"/>
    <w:basedOn w:val="ProductNames"/>
    <w:rsid w:val="00DA37BA"/>
    <w:pPr>
      <w:spacing w:before="0" w:after="0"/>
    </w:pPr>
    <w:rPr>
      <w:sz w:val="12"/>
      <w:szCs w:val="12"/>
    </w:rPr>
  </w:style>
  <w:style w:type="character" w:customStyle="1" w:styleId="ProductNoteCharChar">
    <w:name w:val="Product Note Char Char"/>
    <w:rsid w:val="00DA37BA"/>
    <w:rPr>
      <w:rFonts w:ascii="Trebuchet MS" w:hAnsi="Trebuchet MS" w:cs="Arial"/>
      <w:position w:val="-11"/>
      <w:sz w:val="12"/>
      <w:szCs w:val="12"/>
    </w:rPr>
  </w:style>
  <w:style w:type="paragraph" w:customStyle="1" w:styleId="Bulletedlistflush">
    <w:name w:val="Bulleted list flush"/>
    <w:basedOn w:val="BulletedList"/>
    <w:rsid w:val="00DA37BA"/>
    <w:pPr>
      <w:tabs>
        <w:tab w:val="clear" w:pos="1080"/>
        <w:tab w:val="num" w:pos="360"/>
      </w:tabs>
      <w:ind w:left="360" w:hanging="360"/>
    </w:pPr>
  </w:style>
  <w:style w:type="paragraph" w:styleId="BalloonText">
    <w:name w:val="Balloon Text"/>
    <w:basedOn w:val="Normal"/>
    <w:link w:val="BalloonTextChar"/>
    <w:uiPriority w:val="99"/>
    <w:semiHidden/>
    <w:rsid w:val="00DA37BA"/>
    <w:rPr>
      <w:sz w:val="16"/>
      <w:szCs w:val="16"/>
      <w:lang w:val="x-none" w:eastAsia="x-none"/>
    </w:rPr>
  </w:style>
  <w:style w:type="character" w:customStyle="1" w:styleId="BalloonTextChar">
    <w:name w:val="Balloon Text Char"/>
    <w:link w:val="BalloonText"/>
    <w:uiPriority w:val="99"/>
    <w:semiHidden/>
    <w:rsid w:val="00DA37BA"/>
    <w:rPr>
      <w:rFonts w:ascii="Tahoma" w:eastAsia="MS Mincho" w:hAnsi="Tahoma" w:cs="Tahoma"/>
      <w:sz w:val="16"/>
      <w:szCs w:val="16"/>
    </w:rPr>
  </w:style>
  <w:style w:type="paragraph" w:customStyle="1" w:styleId="StyleHeading22Left138Firstline0">
    <w:name w:val="Style Heading 2 #2 + Left:  1.38&quot; First line:  0&quot;"/>
    <w:basedOn w:val="Normal"/>
    <w:rsid w:val="00DA37BA"/>
    <w:pPr>
      <w:ind w:left="1008"/>
      <w:jc w:val="both"/>
    </w:pPr>
    <w:rPr>
      <w:rFonts w:ascii="Arial" w:hAnsi="Arial"/>
      <w:sz w:val="20"/>
      <w:szCs w:val="20"/>
    </w:rPr>
  </w:style>
  <w:style w:type="paragraph" w:customStyle="1" w:styleId="AppendIndent">
    <w:name w:val="Append_Indent"/>
    <w:basedOn w:val="Normal"/>
    <w:rsid w:val="00DA37BA"/>
    <w:pPr>
      <w:tabs>
        <w:tab w:val="num" w:pos="720"/>
      </w:tabs>
      <w:ind w:left="720" w:hanging="360"/>
    </w:pPr>
    <w:rPr>
      <w:rFonts w:ascii="Trebuchet MS" w:hAnsi="Trebuchet MS"/>
      <w:b/>
      <w:sz w:val="20"/>
      <w:szCs w:val="20"/>
    </w:rPr>
  </w:style>
  <w:style w:type="paragraph" w:customStyle="1" w:styleId="AppendIndentSub">
    <w:name w:val="Append_Indent_Sub"/>
    <w:basedOn w:val="StyleHeading22Left138Firstline0"/>
    <w:rsid w:val="00DA37BA"/>
    <w:pPr>
      <w:jc w:val="left"/>
    </w:pPr>
    <w:rPr>
      <w:rFonts w:ascii="Trebuchet MS" w:hAnsi="Trebuchet MS"/>
    </w:rPr>
  </w:style>
  <w:style w:type="paragraph" w:customStyle="1" w:styleId="styleheading22left138firstline00">
    <w:name w:val="styleheading22left138firstline0"/>
    <w:basedOn w:val="Normal"/>
    <w:rsid w:val="00DA37BA"/>
    <w:pPr>
      <w:ind w:left="1008"/>
      <w:jc w:val="both"/>
    </w:pPr>
    <w:rPr>
      <w:rFonts w:ascii="Arial" w:hAnsi="Arial" w:cs="Arial"/>
      <w:sz w:val="20"/>
      <w:szCs w:val="20"/>
    </w:rPr>
  </w:style>
  <w:style w:type="paragraph" w:customStyle="1" w:styleId="Char1">
    <w:name w:val="Char1"/>
    <w:basedOn w:val="Normal"/>
    <w:rsid w:val="00DA37BA"/>
    <w:pPr>
      <w:spacing w:after="160" w:line="240" w:lineRule="exact"/>
    </w:pPr>
    <w:rPr>
      <w:sz w:val="20"/>
      <w:szCs w:val="20"/>
    </w:rPr>
  </w:style>
  <w:style w:type="paragraph" w:customStyle="1" w:styleId="StyleHeading22Left025Firstline0">
    <w:name w:val="Style Heading 2 #2 + Left:  0.25&quot; First line:  0&quot;"/>
    <w:basedOn w:val="Normal"/>
    <w:rsid w:val="00DA37BA"/>
    <w:pPr>
      <w:tabs>
        <w:tab w:val="num" w:pos="720"/>
      </w:tabs>
      <w:ind w:left="720" w:hanging="360"/>
      <w:jc w:val="both"/>
    </w:pPr>
    <w:rPr>
      <w:rFonts w:ascii="Arial" w:hAnsi="Arial"/>
      <w:b/>
      <w:sz w:val="20"/>
      <w:szCs w:val="20"/>
    </w:rPr>
  </w:style>
  <w:style w:type="character" w:styleId="CommentReference">
    <w:name w:val="annotation reference"/>
    <w:uiPriority w:val="99"/>
    <w:semiHidden/>
    <w:rsid w:val="00DA37BA"/>
    <w:rPr>
      <w:rFonts w:cs="Times New Roman"/>
      <w:sz w:val="16"/>
      <w:szCs w:val="16"/>
    </w:rPr>
  </w:style>
  <w:style w:type="character" w:styleId="PageNumber">
    <w:name w:val="page number"/>
    <w:uiPriority w:val="99"/>
    <w:rsid w:val="00DA37BA"/>
    <w:rPr>
      <w:rFonts w:cs="Times New Roman"/>
    </w:rPr>
  </w:style>
  <w:style w:type="paragraph" w:styleId="ListBullet3">
    <w:name w:val="List Bullet 3"/>
    <w:basedOn w:val="Normal"/>
    <w:uiPriority w:val="99"/>
    <w:rsid w:val="00DA37BA"/>
    <w:pPr>
      <w:tabs>
        <w:tab w:val="num" w:pos="1080"/>
      </w:tabs>
      <w:ind w:left="1080" w:hanging="360"/>
    </w:pPr>
    <w:rPr>
      <w:rFonts w:ascii="Arial" w:hAnsi="Arial" w:cs="Arial"/>
      <w:sz w:val="20"/>
      <w:szCs w:val="20"/>
    </w:rPr>
  </w:style>
  <w:style w:type="paragraph" w:customStyle="1" w:styleId="appendixbodytext0">
    <w:name w:val="appendixbodytext"/>
    <w:basedOn w:val="Normal"/>
    <w:rsid w:val="00DA37BA"/>
    <w:pPr>
      <w:spacing w:after="60"/>
    </w:pPr>
    <w:rPr>
      <w:rFonts w:ascii="Trebuchet MS" w:hAnsi="Trebuchet MS"/>
      <w:sz w:val="20"/>
      <w:szCs w:val="20"/>
    </w:rPr>
  </w:style>
  <w:style w:type="paragraph" w:customStyle="1" w:styleId="tableclose">
    <w:name w:val="tableclose"/>
    <w:basedOn w:val="Normal"/>
    <w:rsid w:val="00DA37BA"/>
    <w:rPr>
      <w:rFonts w:ascii="Arial" w:hAnsi="Arial" w:cs="Arial"/>
      <w:sz w:val="20"/>
      <w:szCs w:val="20"/>
    </w:rPr>
  </w:style>
  <w:style w:type="paragraph" w:customStyle="1" w:styleId="appendindent0">
    <w:name w:val="appendindent"/>
    <w:basedOn w:val="Normal"/>
    <w:rsid w:val="00DA37BA"/>
    <w:pPr>
      <w:ind w:left="720" w:hanging="360"/>
    </w:pPr>
    <w:rPr>
      <w:rFonts w:ascii="Trebuchet MS" w:hAnsi="Trebuchet MS"/>
      <w:b/>
      <w:bCs/>
      <w:sz w:val="20"/>
      <w:szCs w:val="20"/>
    </w:rPr>
  </w:style>
  <w:style w:type="paragraph" w:customStyle="1" w:styleId="productnames0">
    <w:name w:val="productnames"/>
    <w:basedOn w:val="Normal"/>
    <w:rsid w:val="00DA37BA"/>
    <w:pPr>
      <w:spacing w:before="20" w:after="20"/>
    </w:pPr>
    <w:rPr>
      <w:rFonts w:ascii="Trebuchet MS" w:hAnsi="Trebuchet MS"/>
      <w:position w:val="-11"/>
      <w:sz w:val="16"/>
      <w:szCs w:val="16"/>
    </w:rPr>
  </w:style>
  <w:style w:type="paragraph" w:customStyle="1" w:styleId="Char3">
    <w:name w:val="Char3"/>
    <w:basedOn w:val="Normal"/>
    <w:rsid w:val="00DA37BA"/>
    <w:pPr>
      <w:spacing w:after="160" w:line="240" w:lineRule="exact"/>
    </w:pPr>
    <w:rPr>
      <w:sz w:val="20"/>
      <w:szCs w:val="20"/>
    </w:rPr>
  </w:style>
  <w:style w:type="paragraph" w:customStyle="1" w:styleId="exceptionbody">
    <w:name w:val="exception body"/>
    <w:uiPriority w:val="99"/>
    <w:rsid w:val="00DA37BA"/>
    <w:pPr>
      <w:spacing w:after="60" w:line="255" w:lineRule="exact"/>
      <w:ind w:left="216"/>
    </w:pPr>
    <w:rPr>
      <w:rFonts w:ascii="Trebuchet MS" w:eastAsia="MS PGothic" w:hAnsi="Trebuchet MS" w:cs="Tahoma"/>
      <w:iCs/>
      <w:color w:val="000000"/>
      <w:sz w:val="18"/>
      <w:szCs w:val="18"/>
      <w:lang w:eastAsia="ja-JP"/>
    </w:rPr>
  </w:style>
  <w:style w:type="character" w:customStyle="1" w:styleId="FootnoteTextChar">
    <w:name w:val="Footnote Text Char"/>
    <w:link w:val="FootnoteText"/>
    <w:semiHidden/>
    <w:locked/>
    <w:rsid w:val="00DA37BA"/>
    <w:rPr>
      <w:rFonts w:ascii="Trebuchet MS" w:hAnsi="Trebuchet MS" w:cs="Arial"/>
    </w:rPr>
  </w:style>
  <w:style w:type="paragraph" w:styleId="FootnoteText">
    <w:name w:val="footnote text"/>
    <w:basedOn w:val="Normal"/>
    <w:link w:val="FootnoteTextChar"/>
    <w:semiHidden/>
    <w:rsid w:val="00DA37BA"/>
    <w:rPr>
      <w:rFonts w:ascii="Trebuchet MS" w:hAnsi="Trebuchet MS"/>
      <w:sz w:val="20"/>
      <w:szCs w:val="20"/>
      <w:lang w:val="x-none" w:eastAsia="x-none"/>
    </w:rPr>
  </w:style>
  <w:style w:type="character" w:customStyle="1" w:styleId="FootnoteTextChar1">
    <w:name w:val="Footnote Text Char1"/>
    <w:uiPriority w:val="99"/>
    <w:semiHidden/>
    <w:rsid w:val="00DA37BA"/>
    <w:rPr>
      <w:rFonts w:ascii="Calibri" w:eastAsia="MS Mincho" w:hAnsi="Calibri" w:cs="Times New Roman"/>
      <w:sz w:val="20"/>
      <w:szCs w:val="20"/>
    </w:rPr>
  </w:style>
  <w:style w:type="paragraph" w:customStyle="1" w:styleId="ColorfulList-Accent11">
    <w:name w:val="Colorful List - Accent 11"/>
    <w:basedOn w:val="Normal"/>
    <w:uiPriority w:val="34"/>
    <w:qFormat/>
    <w:rsid w:val="00DA37BA"/>
    <w:pPr>
      <w:ind w:left="720"/>
      <w:contextualSpacing/>
    </w:pPr>
    <w:rPr>
      <w:rFonts w:ascii="Times New Roman" w:hAnsi="Times New Roman"/>
      <w:sz w:val="24"/>
      <w:szCs w:val="24"/>
    </w:rPr>
  </w:style>
  <w:style w:type="paragraph" w:customStyle="1" w:styleId="bodywithspace0">
    <w:name w:val="bodywithspace"/>
    <w:basedOn w:val="Normal"/>
    <w:rsid w:val="00DA37BA"/>
    <w:pPr>
      <w:spacing w:before="80" w:after="80"/>
      <w:ind w:left="720"/>
    </w:pPr>
    <w:rPr>
      <w:rFonts w:ascii="Trebuchet MS" w:hAnsi="Trebuchet MS"/>
      <w:sz w:val="20"/>
      <w:szCs w:val="20"/>
    </w:rPr>
  </w:style>
  <w:style w:type="paragraph" w:customStyle="1" w:styleId="appendixtabletext0">
    <w:name w:val="appendixtabletext"/>
    <w:basedOn w:val="Normal"/>
    <w:uiPriority w:val="99"/>
    <w:rsid w:val="00DA37BA"/>
    <w:pPr>
      <w:spacing w:line="240" w:lineRule="atLeast"/>
      <w:jc w:val="center"/>
    </w:pPr>
    <w:rPr>
      <w:rFonts w:ascii="Trebuchet MS" w:hAnsi="Trebuchet MS"/>
      <w:szCs w:val="18"/>
    </w:rPr>
  </w:style>
  <w:style w:type="paragraph" w:customStyle="1" w:styleId="appendixtableheadings0">
    <w:name w:val="appendixtableheadings"/>
    <w:basedOn w:val="Normal"/>
    <w:uiPriority w:val="99"/>
    <w:rsid w:val="00DA37BA"/>
    <w:pPr>
      <w:spacing w:line="240" w:lineRule="atLeast"/>
      <w:jc w:val="center"/>
    </w:pPr>
    <w:rPr>
      <w:rFonts w:ascii="Trebuchet MS" w:hAnsi="Trebuchet MS"/>
      <w:b/>
      <w:bCs/>
      <w:szCs w:val="18"/>
    </w:rPr>
  </w:style>
  <w:style w:type="paragraph" w:customStyle="1" w:styleId="footnotebulletlevel10">
    <w:name w:val="footnotebulletlevel1"/>
    <w:basedOn w:val="Normal"/>
    <w:uiPriority w:val="99"/>
    <w:rsid w:val="00DA37BA"/>
    <w:pPr>
      <w:tabs>
        <w:tab w:val="num" w:pos="360"/>
      </w:tabs>
      <w:spacing w:before="120" w:after="120"/>
    </w:pPr>
    <w:rPr>
      <w:rFonts w:ascii="Trebuchet MS" w:hAnsi="Trebuchet MS"/>
      <w:sz w:val="20"/>
      <w:szCs w:val="20"/>
    </w:rPr>
  </w:style>
  <w:style w:type="paragraph" w:styleId="DocumentMap">
    <w:name w:val="Document Map"/>
    <w:basedOn w:val="Normal"/>
    <w:link w:val="DocumentMapChar"/>
    <w:uiPriority w:val="99"/>
    <w:rsid w:val="00DA37BA"/>
    <w:rPr>
      <w:sz w:val="16"/>
      <w:szCs w:val="16"/>
      <w:lang w:val="x-none" w:eastAsia="x-none"/>
    </w:rPr>
  </w:style>
  <w:style w:type="character" w:customStyle="1" w:styleId="DocumentMapChar">
    <w:name w:val="Document Map Char"/>
    <w:link w:val="DocumentMap"/>
    <w:uiPriority w:val="99"/>
    <w:rsid w:val="00DA37BA"/>
    <w:rPr>
      <w:rFonts w:ascii="Tahoma" w:eastAsia="MS Mincho" w:hAnsi="Tahoma" w:cs="Tahoma"/>
      <w:sz w:val="16"/>
      <w:szCs w:val="16"/>
    </w:rPr>
  </w:style>
  <w:style w:type="paragraph" w:customStyle="1" w:styleId="NoSpacing1">
    <w:name w:val="No Spacing1"/>
    <w:basedOn w:val="Normal"/>
    <w:link w:val="NoSpacingChar"/>
    <w:uiPriority w:val="1"/>
    <w:qFormat/>
    <w:rsid w:val="00DA37BA"/>
    <w:rPr>
      <w:rFonts w:ascii="Calibri" w:hAnsi="Calibri"/>
      <w:sz w:val="20"/>
      <w:szCs w:val="20"/>
      <w:lang w:val="x-none" w:eastAsia="zh-TW"/>
    </w:rPr>
  </w:style>
  <w:style w:type="character" w:customStyle="1" w:styleId="NoSpacingChar">
    <w:name w:val="No Spacing Char"/>
    <w:link w:val="NoSpacing1"/>
    <w:uiPriority w:val="1"/>
    <w:locked/>
    <w:rsid w:val="00DA37BA"/>
    <w:rPr>
      <w:rFonts w:ascii="Calibri" w:eastAsia="MS Mincho" w:hAnsi="Calibri" w:cs="Calibri"/>
      <w:lang w:eastAsia="zh-TW"/>
    </w:rPr>
  </w:style>
  <w:style w:type="paragraph" w:customStyle="1" w:styleId="footnotebulletlevel20">
    <w:name w:val="footnotebulletlevel2"/>
    <w:basedOn w:val="Normal"/>
    <w:rsid w:val="00DA37BA"/>
    <w:pPr>
      <w:tabs>
        <w:tab w:val="num" w:pos="900"/>
      </w:tabs>
      <w:snapToGrid w:val="0"/>
      <w:spacing w:before="120"/>
      <w:ind w:left="1267" w:hanging="360"/>
    </w:pPr>
    <w:rPr>
      <w:rFonts w:ascii="Trebuchet MS" w:hAnsi="Trebuchet MS"/>
      <w:sz w:val="20"/>
      <w:szCs w:val="20"/>
    </w:rPr>
  </w:style>
  <w:style w:type="character" w:customStyle="1" w:styleId="CommentTextChar">
    <w:name w:val="Comment Text Char"/>
    <w:link w:val="CommentText"/>
    <w:uiPriority w:val="99"/>
    <w:locked/>
    <w:rsid w:val="00DA37BA"/>
    <w:rPr>
      <w:rFonts w:ascii="Trebuchet MS" w:hAnsi="Trebuchet MS" w:cs="Arial"/>
    </w:rPr>
  </w:style>
  <w:style w:type="paragraph" w:styleId="CommentText">
    <w:name w:val="annotation text"/>
    <w:basedOn w:val="Normal"/>
    <w:link w:val="CommentTextChar"/>
    <w:uiPriority w:val="99"/>
    <w:rsid w:val="00DA37BA"/>
    <w:rPr>
      <w:rFonts w:ascii="Trebuchet MS" w:hAnsi="Trebuchet MS"/>
      <w:sz w:val="20"/>
      <w:szCs w:val="20"/>
      <w:lang w:val="x-none" w:eastAsia="x-none"/>
    </w:rPr>
  </w:style>
  <w:style w:type="character" w:customStyle="1" w:styleId="CommentTextChar1">
    <w:name w:val="Comment Text Char1"/>
    <w:uiPriority w:val="99"/>
    <w:semiHidden/>
    <w:rsid w:val="00DA37BA"/>
    <w:rPr>
      <w:rFonts w:ascii="Calibri" w:eastAsia="MS Mincho" w:hAnsi="Calibri" w:cs="Times New Roman"/>
      <w:sz w:val="20"/>
      <w:szCs w:val="20"/>
    </w:rPr>
  </w:style>
  <w:style w:type="character" w:customStyle="1" w:styleId="CommentSubjectChar">
    <w:name w:val="Comment Subject Char"/>
    <w:link w:val="CommentSubject"/>
    <w:semiHidden/>
    <w:locked/>
    <w:rsid w:val="00DA37BA"/>
    <w:rPr>
      <w:rFonts w:ascii="Trebuchet MS" w:hAnsi="Trebuchet MS" w:cs="Arial"/>
      <w:b/>
      <w:bCs/>
    </w:rPr>
  </w:style>
  <w:style w:type="paragraph" w:styleId="CommentSubject">
    <w:name w:val="annotation subject"/>
    <w:basedOn w:val="CommentText"/>
    <w:next w:val="CommentText"/>
    <w:link w:val="CommentSubjectChar"/>
    <w:semiHidden/>
    <w:rsid w:val="00DA37BA"/>
    <w:rPr>
      <w:b/>
      <w:bCs/>
    </w:rPr>
  </w:style>
  <w:style w:type="character" w:customStyle="1" w:styleId="CommentSubjectChar1">
    <w:name w:val="Comment Subject Char1"/>
    <w:uiPriority w:val="99"/>
    <w:semiHidden/>
    <w:rsid w:val="00DA37BA"/>
    <w:rPr>
      <w:rFonts w:ascii="Calibri" w:eastAsia="MS Mincho" w:hAnsi="Calibri" w:cs="Times New Roman"/>
      <w:b/>
      <w:bCs/>
      <w:sz w:val="20"/>
      <w:szCs w:val="20"/>
    </w:rPr>
  </w:style>
  <w:style w:type="character" w:styleId="Strong">
    <w:name w:val="Strong"/>
    <w:uiPriority w:val="22"/>
    <w:qFormat/>
    <w:rsid w:val="00DA37BA"/>
    <w:rPr>
      <w:rFonts w:cs="Times New Roman"/>
      <w:b/>
      <w:bCs/>
    </w:rPr>
  </w:style>
  <w:style w:type="paragraph" w:styleId="NormalWeb">
    <w:name w:val="Normal (Web)"/>
    <w:basedOn w:val="Normal"/>
    <w:uiPriority w:val="99"/>
    <w:unhideWhenUsed/>
    <w:rsid w:val="00DA37BA"/>
    <w:pPr>
      <w:spacing w:before="100" w:beforeAutospacing="1" w:after="100" w:afterAutospacing="1"/>
    </w:pPr>
    <w:rPr>
      <w:rFonts w:ascii="Times New Roman" w:hAnsi="Times New Roman"/>
      <w:sz w:val="24"/>
      <w:szCs w:val="24"/>
    </w:rPr>
  </w:style>
  <w:style w:type="paragraph" w:customStyle="1" w:styleId="footnotebulletlevel100">
    <w:name w:val="footnotebulletlevel10"/>
    <w:basedOn w:val="Normal"/>
    <w:uiPriority w:val="99"/>
    <w:rsid w:val="00DA37BA"/>
    <w:pPr>
      <w:tabs>
        <w:tab w:val="num" w:pos="900"/>
      </w:tabs>
      <w:spacing w:before="120" w:after="120"/>
      <w:ind w:left="900" w:hanging="360"/>
    </w:pPr>
    <w:rPr>
      <w:rFonts w:ascii="Trebuchet MS" w:hAnsi="Trebuchet MS"/>
      <w:sz w:val="20"/>
      <w:szCs w:val="20"/>
    </w:rPr>
  </w:style>
  <w:style w:type="character" w:styleId="FootnoteReference">
    <w:name w:val="footnote reference"/>
    <w:uiPriority w:val="99"/>
    <w:rsid w:val="00DA37BA"/>
    <w:rPr>
      <w:rFonts w:cs="Times New Roman"/>
      <w:vertAlign w:val="superscript"/>
    </w:rPr>
  </w:style>
  <w:style w:type="paragraph" w:styleId="PlainText">
    <w:name w:val="Plain Text"/>
    <w:basedOn w:val="Normal"/>
    <w:link w:val="PlainTextChar"/>
    <w:uiPriority w:val="99"/>
    <w:unhideWhenUsed/>
    <w:rsid w:val="00DA37BA"/>
    <w:rPr>
      <w:rFonts w:ascii="Consolas" w:hAnsi="Consolas"/>
      <w:sz w:val="21"/>
      <w:szCs w:val="21"/>
      <w:lang w:val="x-none" w:eastAsia="x-none"/>
    </w:rPr>
  </w:style>
  <w:style w:type="character" w:customStyle="1" w:styleId="PlainTextChar">
    <w:name w:val="Plain Text Char"/>
    <w:link w:val="PlainText"/>
    <w:uiPriority w:val="99"/>
    <w:rsid w:val="00DA37BA"/>
    <w:rPr>
      <w:rFonts w:ascii="Consolas" w:eastAsia="MS Mincho" w:hAnsi="Consolas" w:cs="Times New Roman"/>
      <w:sz w:val="21"/>
      <w:szCs w:val="21"/>
    </w:rPr>
  </w:style>
  <w:style w:type="paragraph" w:customStyle="1" w:styleId="productendnote0">
    <w:name w:val="productendnote"/>
    <w:basedOn w:val="Normal"/>
    <w:rsid w:val="00DA37BA"/>
    <w:pPr>
      <w:keepNext/>
      <w:spacing w:after="120"/>
      <w:ind w:left="216" w:hanging="216"/>
    </w:pPr>
    <w:rPr>
      <w:rFonts w:ascii="Trebuchet MS" w:hAnsi="Trebuchet MS"/>
      <w:b/>
      <w:bCs/>
      <w:color w:val="FF6600"/>
      <w:sz w:val="24"/>
      <w:szCs w:val="24"/>
    </w:rPr>
  </w:style>
  <w:style w:type="paragraph" w:customStyle="1" w:styleId="exceptionbody0">
    <w:name w:val="exceptionbody"/>
    <w:basedOn w:val="Normal"/>
    <w:rsid w:val="00DA37BA"/>
    <w:pPr>
      <w:spacing w:after="60" w:line="255" w:lineRule="atLeast"/>
      <w:ind w:left="216"/>
    </w:pPr>
    <w:rPr>
      <w:rFonts w:ascii="Trebuchet MS" w:hAnsi="Trebuchet MS"/>
      <w:color w:val="000000"/>
      <w:szCs w:val="18"/>
    </w:rPr>
  </w:style>
  <w:style w:type="paragraph" w:customStyle="1" w:styleId="appendindentsub0">
    <w:name w:val="appendindentsub"/>
    <w:basedOn w:val="Normal"/>
    <w:uiPriority w:val="99"/>
    <w:rsid w:val="00DA37BA"/>
    <w:rPr>
      <w:rFonts w:ascii="Times New Roman" w:hAnsi="Times New Roman"/>
      <w:sz w:val="24"/>
      <w:szCs w:val="24"/>
    </w:rPr>
  </w:style>
  <w:style w:type="paragraph" w:styleId="BodyText">
    <w:name w:val="Body Text"/>
    <w:basedOn w:val="Normal"/>
    <w:link w:val="BodyTextChar1"/>
    <w:uiPriority w:val="99"/>
    <w:unhideWhenUsed/>
    <w:rsid w:val="00DA37BA"/>
    <w:pPr>
      <w:spacing w:before="100" w:after="180" w:line="260" w:lineRule="exact"/>
    </w:pPr>
    <w:rPr>
      <w:rFonts w:ascii="Verdana" w:hAnsi="Verdana"/>
      <w:color w:val="000000"/>
      <w:sz w:val="20"/>
      <w:szCs w:val="20"/>
      <w:lang w:val="x-none" w:eastAsia="x-none"/>
    </w:rPr>
  </w:style>
  <w:style w:type="character" w:customStyle="1" w:styleId="BodyTextChar1">
    <w:name w:val="Body Text Char1"/>
    <w:link w:val="BodyText"/>
    <w:uiPriority w:val="99"/>
    <w:locked/>
    <w:rsid w:val="00DA37BA"/>
    <w:rPr>
      <w:rFonts w:ascii="Verdana" w:eastAsia="MS Mincho" w:hAnsi="Verdana" w:cs="Times New Roman"/>
      <w:color w:val="000000"/>
    </w:rPr>
  </w:style>
  <w:style w:type="character" w:customStyle="1" w:styleId="BodyTextChar">
    <w:name w:val="Body Text Char"/>
    <w:uiPriority w:val="99"/>
    <w:semiHidden/>
    <w:rsid w:val="00DA37BA"/>
    <w:rPr>
      <w:rFonts w:ascii="Calibri" w:eastAsia="MS Mincho" w:hAnsi="Calibri" w:cs="Times New Roman"/>
    </w:rPr>
  </w:style>
  <w:style w:type="paragraph" w:customStyle="1" w:styleId="ColorfulShading-Accent11">
    <w:name w:val="Colorful Shading - Accent 11"/>
    <w:hidden/>
    <w:uiPriority w:val="99"/>
    <w:semiHidden/>
    <w:rsid w:val="00DA37BA"/>
    <w:rPr>
      <w:sz w:val="22"/>
      <w:szCs w:val="22"/>
    </w:rPr>
  </w:style>
  <w:style w:type="paragraph" w:styleId="BodyText2">
    <w:name w:val="Body Text 2"/>
    <w:basedOn w:val="Normal"/>
    <w:link w:val="BodyText2Char"/>
    <w:uiPriority w:val="99"/>
    <w:semiHidden/>
    <w:unhideWhenUsed/>
    <w:rsid w:val="00DA37BA"/>
    <w:pPr>
      <w:spacing w:after="120" w:line="480" w:lineRule="auto"/>
    </w:pPr>
    <w:rPr>
      <w:rFonts w:ascii="Calibri" w:hAnsi="Calibri"/>
      <w:sz w:val="22"/>
      <w:lang w:val="x-none" w:eastAsia="x-none"/>
    </w:rPr>
  </w:style>
  <w:style w:type="character" w:customStyle="1" w:styleId="BodyText2Char">
    <w:name w:val="Body Text 2 Char"/>
    <w:link w:val="BodyText2"/>
    <w:uiPriority w:val="99"/>
    <w:semiHidden/>
    <w:rsid w:val="00DA37BA"/>
    <w:rPr>
      <w:sz w:val="22"/>
      <w:szCs w:val="22"/>
    </w:rPr>
  </w:style>
  <w:style w:type="paragraph" w:customStyle="1" w:styleId="normal1">
    <w:name w:val="normal1"/>
    <w:basedOn w:val="Normal"/>
    <w:rsid w:val="00DA37BA"/>
    <w:rPr>
      <w:rFonts w:ascii="Arial" w:eastAsia="Calibri" w:hAnsi="Arial" w:cs="Arial"/>
      <w:sz w:val="20"/>
      <w:szCs w:val="20"/>
    </w:rPr>
  </w:style>
  <w:style w:type="paragraph" w:customStyle="1" w:styleId="normal195">
    <w:name w:val="normal1 9.5"/>
    <w:basedOn w:val="Normal"/>
    <w:rsid w:val="00DA37BA"/>
    <w:pPr>
      <w:ind w:left="720"/>
      <w:jc w:val="both"/>
    </w:pPr>
    <w:rPr>
      <w:rFonts w:ascii="Arial" w:eastAsia="Calibri" w:hAnsi="Arial" w:cs="Arial"/>
      <w:sz w:val="19"/>
      <w:szCs w:val="19"/>
    </w:rPr>
  </w:style>
  <w:style w:type="character" w:customStyle="1" w:styleId="Head1Char">
    <w:name w:val="Head 1 Char"/>
    <w:link w:val="Head1"/>
    <w:locked/>
    <w:rsid w:val="00DA37BA"/>
    <w:rPr>
      <w:rFonts w:ascii="Arial" w:hAnsi="Arial" w:cs="Arial"/>
      <w:b/>
      <w:bCs/>
      <w:i/>
      <w:iCs/>
    </w:rPr>
  </w:style>
  <w:style w:type="paragraph" w:customStyle="1" w:styleId="Head1">
    <w:name w:val="Head 1"/>
    <w:basedOn w:val="Normal"/>
    <w:link w:val="Head1Char"/>
    <w:rsid w:val="00DA37BA"/>
    <w:pPr>
      <w:spacing w:before="120" w:after="120"/>
      <w:jc w:val="both"/>
    </w:pPr>
    <w:rPr>
      <w:rFonts w:ascii="Arial" w:hAnsi="Arial"/>
      <w:b/>
      <w:bCs/>
      <w:i/>
      <w:iCs/>
      <w:sz w:val="20"/>
      <w:szCs w:val="20"/>
      <w:lang w:val="x-none" w:eastAsia="x-none"/>
    </w:rPr>
  </w:style>
  <w:style w:type="table" w:styleId="TableGrid">
    <w:name w:val="Table Grid"/>
    <w:basedOn w:val="TableNormal"/>
    <w:uiPriority w:val="59"/>
    <w:rsid w:val="00DA37BA"/>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paragraph" w:customStyle="1" w:styleId="Title1">
    <w:name w:val="Title1"/>
    <w:basedOn w:val="Normal"/>
    <w:uiPriority w:val="99"/>
    <w:rsid w:val="00DA37BA"/>
    <w:pPr>
      <w:jc w:val="center"/>
    </w:pPr>
    <w:rPr>
      <w:rFonts w:ascii="Trebuchet MS" w:hAnsi="Trebuchet MS" w:cs="Tahoma"/>
      <w:b/>
      <w:sz w:val="40"/>
      <w:szCs w:val="72"/>
    </w:rPr>
  </w:style>
  <w:style w:type="paragraph" w:styleId="ListParagraph">
    <w:name w:val="List Paragraph"/>
    <w:aliases w:val="Bullet List,numbered,FooterText,List Paragraph1,Paragraphe de liste1,Foot"/>
    <w:basedOn w:val="Normal"/>
    <w:link w:val="ListParagraphChar"/>
    <w:uiPriority w:val="34"/>
    <w:qFormat/>
    <w:rsid w:val="00DA37BA"/>
    <w:pPr>
      <w:ind w:left="720"/>
      <w:contextualSpacing/>
    </w:pPr>
    <w:rPr>
      <w:rFonts w:ascii="Times New Roman" w:hAnsi="Times New Roman"/>
      <w:sz w:val="24"/>
      <w:szCs w:val="24"/>
      <w:lang w:val="x-none" w:eastAsia="x-none"/>
    </w:rPr>
  </w:style>
  <w:style w:type="paragraph" w:styleId="Revision">
    <w:name w:val="Revision"/>
    <w:hidden/>
    <w:uiPriority w:val="99"/>
    <w:semiHidden/>
    <w:rsid w:val="007631EF"/>
    <w:rPr>
      <w:sz w:val="22"/>
      <w:szCs w:val="22"/>
    </w:rPr>
  </w:style>
  <w:style w:type="paragraph" w:styleId="Title">
    <w:name w:val="Title"/>
    <w:basedOn w:val="Normal"/>
    <w:next w:val="Normal"/>
    <w:link w:val="TitleChar"/>
    <w:qFormat/>
    <w:rsid w:val="0041078A"/>
    <w:pPr>
      <w:spacing w:before="240" w:after="60"/>
      <w:jc w:val="center"/>
      <w:outlineLvl w:val="0"/>
    </w:pPr>
    <w:rPr>
      <w:rFonts w:ascii="Cambria" w:eastAsia="Times New Roman" w:hAnsi="Cambria"/>
      <w:b/>
      <w:bCs/>
      <w:kern w:val="28"/>
      <w:sz w:val="32"/>
      <w:szCs w:val="32"/>
      <w:lang w:val="x-none" w:eastAsia="x-none"/>
    </w:rPr>
  </w:style>
  <w:style w:type="character" w:customStyle="1" w:styleId="TitleChar">
    <w:name w:val="Title Char"/>
    <w:link w:val="Title"/>
    <w:rsid w:val="0041078A"/>
    <w:rPr>
      <w:rFonts w:ascii="Cambria" w:eastAsia="Times New Roman" w:hAnsi="Cambria" w:cs="Times New Roman"/>
      <w:b/>
      <w:bCs/>
      <w:kern w:val="28"/>
      <w:sz w:val="32"/>
      <w:szCs w:val="32"/>
    </w:rPr>
  </w:style>
  <w:style w:type="paragraph" w:customStyle="1" w:styleId="productlist">
    <w:name w:val="product list"/>
    <w:basedOn w:val="Normal"/>
    <w:uiPriority w:val="99"/>
    <w:rsid w:val="004F2A57"/>
    <w:pPr>
      <w:spacing w:after="80" w:line="180" w:lineRule="exact"/>
      <w:ind w:left="115"/>
    </w:pPr>
    <w:rPr>
      <w:rFonts w:ascii="Trebuchet MS" w:eastAsia="MS PGothic" w:hAnsi="Trebuchet MS" w:cs="MS PGothic"/>
      <w:szCs w:val="18"/>
      <w:lang w:eastAsia="ja-JP"/>
    </w:rPr>
  </w:style>
  <w:style w:type="paragraph" w:customStyle="1" w:styleId="bulletedlistflush0">
    <w:name w:val="bulletedlistflush"/>
    <w:basedOn w:val="Normal"/>
    <w:rsid w:val="00600678"/>
    <w:pPr>
      <w:spacing w:before="100" w:beforeAutospacing="1" w:after="100" w:afterAutospacing="1"/>
    </w:pPr>
    <w:rPr>
      <w:rFonts w:ascii="Times New Roman" w:eastAsia="Calibri" w:hAnsi="Times New Roman"/>
      <w:sz w:val="24"/>
      <w:szCs w:val="24"/>
    </w:rPr>
  </w:style>
  <w:style w:type="character" w:styleId="Emphasis">
    <w:name w:val="Emphasis"/>
    <w:qFormat/>
    <w:rsid w:val="00A424A3"/>
    <w:rPr>
      <w:i/>
      <w:iCs/>
    </w:rPr>
  </w:style>
  <w:style w:type="paragraph" w:styleId="Subtitle">
    <w:name w:val="Subtitle"/>
    <w:basedOn w:val="Normal"/>
    <w:next w:val="Normal"/>
    <w:link w:val="SubtitleChar"/>
    <w:qFormat/>
    <w:rsid w:val="00A424A3"/>
    <w:pPr>
      <w:spacing w:after="60"/>
      <w:jc w:val="center"/>
      <w:outlineLvl w:val="1"/>
    </w:pPr>
    <w:rPr>
      <w:rFonts w:ascii="Cambria" w:eastAsia="Times New Roman" w:hAnsi="Cambria"/>
      <w:sz w:val="24"/>
      <w:szCs w:val="24"/>
    </w:rPr>
  </w:style>
  <w:style w:type="character" w:customStyle="1" w:styleId="SubtitleChar">
    <w:name w:val="Subtitle Char"/>
    <w:link w:val="Subtitle"/>
    <w:rsid w:val="00A424A3"/>
    <w:rPr>
      <w:rFonts w:ascii="Cambria" w:eastAsia="Times New Roman" w:hAnsi="Cambria" w:cs="Times New Roman"/>
      <w:sz w:val="24"/>
      <w:szCs w:val="24"/>
    </w:rPr>
  </w:style>
  <w:style w:type="paragraph" w:styleId="NoSpacing">
    <w:name w:val="No Spacing"/>
    <w:uiPriority w:val="1"/>
    <w:qFormat/>
    <w:rsid w:val="00A424A3"/>
    <w:rPr>
      <w:sz w:val="22"/>
      <w:szCs w:val="22"/>
    </w:rPr>
  </w:style>
  <w:style w:type="character" w:customStyle="1" w:styleId="formelementblack1">
    <w:name w:val="formelement_black1"/>
    <w:rsid w:val="003124DA"/>
    <w:rPr>
      <w:rFonts w:ascii="Verdana" w:hAnsi="Verdana" w:hint="default"/>
      <w:b w:val="0"/>
      <w:bCs w:val="0"/>
      <w:color w:val="000000"/>
      <w:sz w:val="17"/>
      <w:szCs w:val="17"/>
    </w:rPr>
  </w:style>
  <w:style w:type="character" w:customStyle="1" w:styleId="ListParagraphChar">
    <w:name w:val="List Paragraph Char"/>
    <w:aliases w:val="Bullet List Char,numbered Char,FooterText Char,List Paragraph1 Char,Paragraphe de liste1 Char,Foot Char"/>
    <w:link w:val="ListParagraph"/>
    <w:uiPriority w:val="34"/>
    <w:locked/>
    <w:rsid w:val="008230F3"/>
    <w:rPr>
      <w:rFonts w:ascii="Times New Roman" w:hAnsi="Times New Roman"/>
      <w:sz w:val="24"/>
      <w:szCs w:val="24"/>
    </w:rPr>
  </w:style>
  <w:style w:type="paragraph" w:customStyle="1" w:styleId="3iNumbered2ndlevel">
    <w:name w:val="3i. Numbered 2nd level"/>
    <w:basedOn w:val="Normal"/>
    <w:uiPriority w:val="99"/>
    <w:rsid w:val="00B73A46"/>
    <w:pPr>
      <w:spacing w:before="60" w:line="160" w:lineRule="exact"/>
      <w:ind w:left="624" w:hanging="340"/>
    </w:pPr>
    <w:rPr>
      <w:rFonts w:eastAsia="Calibri" w:cs="Tahoma"/>
      <w:color w:val="000000"/>
      <w:sz w:val="14"/>
      <w:szCs w:val="14"/>
    </w:rPr>
  </w:style>
  <w:style w:type="character" w:customStyle="1" w:styleId="emailstyle28">
    <w:name w:val="emailstyle28"/>
    <w:semiHidden/>
    <w:rsid w:val="00D31591"/>
    <w:rPr>
      <w:rFonts w:ascii="Calibri" w:hAnsi="Calibri" w:cs="Calibri" w:hint="default"/>
      <w:b w:val="0"/>
      <w:bCs w:val="0"/>
      <w:i w:val="0"/>
      <w:iCs w:val="0"/>
      <w:color w:val="1F497D"/>
    </w:rPr>
  </w:style>
  <w:style w:type="character" w:customStyle="1" w:styleId="emailstyle25">
    <w:name w:val="emailstyle25"/>
    <w:semiHidden/>
    <w:rsid w:val="00D31591"/>
    <w:rPr>
      <w:rFonts w:ascii="Calibri" w:hAnsi="Calibri" w:cs="Calibri" w:hint="default"/>
      <w:color w:val="auto"/>
    </w:rPr>
  </w:style>
  <w:style w:type="table" w:customStyle="1" w:styleId="TableGrid1">
    <w:name w:val="Table Grid1"/>
    <w:basedOn w:val="TableNormal"/>
    <w:next w:val="TableGrid"/>
    <w:uiPriority w:val="59"/>
    <w:rsid w:val="00EC1F23"/>
    <w:rPr>
      <w:rFonts w:eastAsia="Calibri"/>
      <w:sz w:val="22"/>
      <w:szCs w:val="22"/>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footnotedash0">
    <w:name w:val="footnotedash"/>
    <w:basedOn w:val="Normal"/>
    <w:rsid w:val="00CD27D4"/>
    <w:pPr>
      <w:snapToGrid w:val="0"/>
      <w:spacing w:before="60" w:after="60"/>
      <w:ind w:left="1627" w:hanging="360"/>
    </w:pPr>
    <w:rPr>
      <w:rFonts w:ascii="Trebuchet MS" w:eastAsia="Calibri" w:hAnsi="Trebuchet MS"/>
      <w:sz w:val="20"/>
      <w:szCs w:val="20"/>
    </w:rPr>
  </w:style>
  <w:style w:type="table" w:customStyle="1" w:styleId="TableGrid2">
    <w:name w:val="Table Grid2"/>
    <w:basedOn w:val="TableNormal"/>
    <w:next w:val="TableGrid"/>
    <w:uiPriority w:val="59"/>
    <w:rsid w:val="00194DAF"/>
    <w:rPr>
      <w:rFonts w:eastAsia="Calibri"/>
      <w:sz w:val="22"/>
      <w:szCs w:val="22"/>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TableHeading">
    <w:name w:val="Table Heading"/>
    <w:basedOn w:val="BodyText"/>
    <w:next w:val="Normal"/>
    <w:rsid w:val="0033725C"/>
    <w:pPr>
      <w:spacing w:before="60" w:after="60" w:line="240" w:lineRule="auto"/>
      <w:ind w:left="72" w:right="72"/>
    </w:pPr>
    <w:rPr>
      <w:rFonts w:ascii="Arial" w:eastAsia="Times New Roman" w:hAnsi="Arial" w:cs="Arial"/>
      <w:b/>
      <w:bCs/>
      <w:color w:val="FFFFFF"/>
      <w:lang w:val="en-US" w:eastAsia="en-US"/>
    </w:rPr>
  </w:style>
  <w:style w:type="table" w:customStyle="1" w:styleId="TableGrid3">
    <w:name w:val="Table Grid3"/>
    <w:basedOn w:val="TableNormal"/>
    <w:next w:val="TableGrid"/>
    <w:uiPriority w:val="59"/>
    <w:rsid w:val="00B24E8F"/>
    <w:rPr>
      <w:rFonts w:eastAsia="Calibri"/>
      <w:sz w:val="22"/>
      <w:szCs w:val="22"/>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TableGrid4">
    <w:name w:val="Table Grid4"/>
    <w:basedOn w:val="TableNormal"/>
    <w:next w:val="TableGrid"/>
    <w:uiPriority w:val="59"/>
    <w:rsid w:val="009E224B"/>
    <w:rPr>
      <w:rFonts w:eastAsia="Calibri"/>
      <w:sz w:val="22"/>
      <w:szCs w:val="22"/>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PURProductName">
    <w:name w:val="PUR Product Name"/>
    <w:basedOn w:val="Normal"/>
    <w:link w:val="PURProductNameChar"/>
    <w:uiPriority w:val="3"/>
    <w:qFormat/>
    <w:rsid w:val="00047874"/>
    <w:pPr>
      <w:keepNext/>
      <w:keepLines/>
      <w:pBdr>
        <w:bottom w:val="single" w:sz="8" w:space="1" w:color="404040"/>
      </w:pBdr>
      <w:spacing w:before="240"/>
    </w:pPr>
    <w:rPr>
      <w:rFonts w:ascii="Arial" w:eastAsia="Arial" w:hAnsi="Arial"/>
      <w:sz w:val="28"/>
      <w:szCs w:val="20"/>
    </w:rPr>
  </w:style>
  <w:style w:type="character" w:customStyle="1" w:styleId="PURProductNameChar">
    <w:name w:val="PUR Product Name Char"/>
    <w:link w:val="PURProductName"/>
    <w:uiPriority w:val="3"/>
    <w:rsid w:val="00047874"/>
    <w:rPr>
      <w:rFonts w:ascii="Arial" w:eastAsia="Arial" w:hAnsi="Arial"/>
      <w:sz w:val="28"/>
    </w:rPr>
  </w:style>
  <w:style w:type="character" w:customStyle="1" w:styleId="PURBlueStrong-IndentedChar">
    <w:name w:val="PUR Blue Strong - Indented Char"/>
    <w:link w:val="PURBlueStrong-Indented"/>
    <w:uiPriority w:val="3"/>
    <w:locked/>
    <w:rsid w:val="00ED6F81"/>
    <w:rPr>
      <w:rFonts w:ascii="Arial" w:hAnsi="Arial" w:cs="Arial"/>
      <w:smallCaps/>
      <w:color w:val="1F497D"/>
      <w:spacing w:val="-4"/>
    </w:rPr>
  </w:style>
  <w:style w:type="paragraph" w:customStyle="1" w:styleId="PURBlueStrong-Indented">
    <w:name w:val="PUR Blue Strong - Indented"/>
    <w:basedOn w:val="Normal"/>
    <w:link w:val="PURBlueStrong-IndentedChar"/>
    <w:uiPriority w:val="3"/>
    <w:rsid w:val="00ED6F81"/>
    <w:pPr>
      <w:keepNext/>
      <w:spacing w:after="60" w:line="240" w:lineRule="exact"/>
      <w:ind w:left="270"/>
    </w:pPr>
    <w:rPr>
      <w:rFonts w:ascii="Arial" w:hAnsi="Arial" w:cs="Arial"/>
      <w:smallCaps/>
      <w:color w:val="1F497D"/>
      <w:spacing w:val="-4"/>
      <w:sz w:val="20"/>
      <w:szCs w:val="20"/>
    </w:rPr>
  </w:style>
  <w:style w:type="paragraph" w:customStyle="1" w:styleId="hangindent195">
    <w:name w:val="hang indent1 9.5"/>
    <w:basedOn w:val="Normal"/>
    <w:rsid w:val="00180424"/>
    <w:pPr>
      <w:ind w:left="1440" w:hanging="720"/>
      <w:jc w:val="both"/>
    </w:pPr>
    <w:rPr>
      <w:rFonts w:ascii="Arial" w:eastAsia="Times New Roman" w:hAnsi="Arial" w:cs="Arial"/>
      <w:sz w:val="19"/>
      <w:szCs w:val="19"/>
    </w:rPr>
  </w:style>
  <w:style w:type="character" w:customStyle="1" w:styleId="PURBody-IndentedChar">
    <w:name w:val="PUR Body - Indented Char"/>
    <w:link w:val="PURBody-Indented"/>
    <w:uiPriority w:val="3"/>
    <w:locked/>
    <w:rsid w:val="005403C8"/>
  </w:style>
  <w:style w:type="paragraph" w:customStyle="1" w:styleId="PURBody-Indented">
    <w:name w:val="PUR Body - Indented"/>
    <w:basedOn w:val="Normal"/>
    <w:link w:val="PURBody-IndentedChar"/>
    <w:uiPriority w:val="3"/>
    <w:rsid w:val="005403C8"/>
    <w:pPr>
      <w:spacing w:after="120"/>
      <w:ind w:left="270"/>
    </w:pPr>
    <w:rPr>
      <w:rFonts w:ascii="Calibri" w:hAnsi="Calibri"/>
      <w:sz w:val="20"/>
      <w:szCs w:val="20"/>
    </w:rPr>
  </w:style>
  <w:style w:type="character" w:customStyle="1" w:styleId="PURBullet-IndentedChar">
    <w:name w:val="PUR Bullet- Indented Char"/>
    <w:link w:val="PURBullet-Indented"/>
    <w:uiPriority w:val="3"/>
    <w:locked/>
    <w:rsid w:val="006707A3"/>
  </w:style>
  <w:style w:type="paragraph" w:customStyle="1" w:styleId="PURBullet-Indented">
    <w:name w:val="PUR Bullet- Indented"/>
    <w:basedOn w:val="Normal"/>
    <w:link w:val="PURBullet-IndentedChar"/>
    <w:uiPriority w:val="3"/>
    <w:rsid w:val="006707A3"/>
    <w:pPr>
      <w:spacing w:after="120" w:line="240" w:lineRule="exact"/>
      <w:ind w:left="540" w:hanging="360"/>
      <w:contextualSpacing/>
    </w:pPr>
    <w:rPr>
      <w:rFonts w:ascii="Calibri" w:hAnsi="Calibri"/>
      <w:sz w:val="20"/>
      <w:szCs w:val="20"/>
    </w:rPr>
  </w:style>
  <w:style w:type="character" w:customStyle="1" w:styleId="LogoportMarkup">
    <w:name w:val="LogoportMarkup"/>
    <w:basedOn w:val="DefaultParagraphFont"/>
    <w:rsid w:val="00431351"/>
    <w:rPr>
      <w:rFonts w:ascii="Courier New" w:hAnsi="Courier New" w:cs="Courier New"/>
      <w:b w:val="0"/>
      <w:i w:val="0"/>
      <w:color w:val="FF0000"/>
      <w:sz w:val="18"/>
      <w:szCs w:val="76"/>
    </w:rPr>
  </w:style>
  <w:style w:type="character" w:customStyle="1" w:styleId="LogoportDoNotTranslate">
    <w:name w:val="LogoportDoNotTranslate"/>
    <w:basedOn w:val="DefaultParagraphFont"/>
    <w:rsid w:val="00431351"/>
    <w:rPr>
      <w:rFonts w:ascii="Courier New" w:hAnsi="Courier New" w:cs="Courier New"/>
      <w:b w:val="0"/>
      <w:i w:val="0"/>
      <w:color w:val="808080"/>
      <w:sz w:val="18"/>
      <w:szCs w:val="76"/>
    </w:rPr>
  </w:style>
  <w:style w:type="paragraph" w:customStyle="1" w:styleId="Style1">
    <w:name w:val="Style1"/>
    <w:basedOn w:val="Heading1"/>
    <w:link w:val="Style1Char"/>
    <w:qFormat/>
    <w:rsid w:val="001A3EC5"/>
  </w:style>
  <w:style w:type="character" w:customStyle="1" w:styleId="Style1Char">
    <w:name w:val="Style1 Char"/>
    <w:basedOn w:val="Heading1Char"/>
    <w:link w:val="Style1"/>
    <w:rsid w:val="001A3EC5"/>
    <w:rPr>
      <w:rFonts w:ascii="Tahoma" w:hAnsi="Tahoma"/>
      <w:b/>
      <w:bCs/>
      <w:caps/>
      <w:color w:val="000000"/>
      <w:sz w:val="36"/>
      <w:szCs w:val="36"/>
      <w:lang w:val="x-none" w:eastAsia="x-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3363671">
      <w:bodyDiv w:val="1"/>
      <w:marLeft w:val="0"/>
      <w:marRight w:val="0"/>
      <w:marTop w:val="0"/>
      <w:marBottom w:val="0"/>
      <w:divBdr>
        <w:top w:val="none" w:sz="0" w:space="0" w:color="auto"/>
        <w:left w:val="none" w:sz="0" w:space="0" w:color="auto"/>
        <w:bottom w:val="none" w:sz="0" w:space="0" w:color="auto"/>
        <w:right w:val="none" w:sz="0" w:space="0" w:color="auto"/>
      </w:divBdr>
    </w:div>
    <w:div w:id="14229553">
      <w:bodyDiv w:val="1"/>
      <w:marLeft w:val="0"/>
      <w:marRight w:val="0"/>
      <w:marTop w:val="0"/>
      <w:marBottom w:val="0"/>
      <w:divBdr>
        <w:top w:val="none" w:sz="0" w:space="0" w:color="auto"/>
        <w:left w:val="none" w:sz="0" w:space="0" w:color="auto"/>
        <w:bottom w:val="none" w:sz="0" w:space="0" w:color="auto"/>
        <w:right w:val="none" w:sz="0" w:space="0" w:color="auto"/>
      </w:divBdr>
    </w:div>
    <w:div w:id="16204850">
      <w:bodyDiv w:val="1"/>
      <w:marLeft w:val="0"/>
      <w:marRight w:val="0"/>
      <w:marTop w:val="0"/>
      <w:marBottom w:val="0"/>
      <w:divBdr>
        <w:top w:val="none" w:sz="0" w:space="0" w:color="auto"/>
        <w:left w:val="none" w:sz="0" w:space="0" w:color="auto"/>
        <w:bottom w:val="none" w:sz="0" w:space="0" w:color="auto"/>
        <w:right w:val="none" w:sz="0" w:space="0" w:color="auto"/>
      </w:divBdr>
    </w:div>
    <w:div w:id="32199022">
      <w:bodyDiv w:val="1"/>
      <w:marLeft w:val="0"/>
      <w:marRight w:val="0"/>
      <w:marTop w:val="0"/>
      <w:marBottom w:val="0"/>
      <w:divBdr>
        <w:top w:val="none" w:sz="0" w:space="0" w:color="auto"/>
        <w:left w:val="none" w:sz="0" w:space="0" w:color="auto"/>
        <w:bottom w:val="none" w:sz="0" w:space="0" w:color="auto"/>
        <w:right w:val="none" w:sz="0" w:space="0" w:color="auto"/>
      </w:divBdr>
    </w:div>
    <w:div w:id="34087638">
      <w:bodyDiv w:val="1"/>
      <w:marLeft w:val="0"/>
      <w:marRight w:val="0"/>
      <w:marTop w:val="0"/>
      <w:marBottom w:val="0"/>
      <w:divBdr>
        <w:top w:val="none" w:sz="0" w:space="0" w:color="auto"/>
        <w:left w:val="none" w:sz="0" w:space="0" w:color="auto"/>
        <w:bottom w:val="none" w:sz="0" w:space="0" w:color="auto"/>
        <w:right w:val="none" w:sz="0" w:space="0" w:color="auto"/>
      </w:divBdr>
    </w:div>
    <w:div w:id="38016223">
      <w:bodyDiv w:val="1"/>
      <w:marLeft w:val="0"/>
      <w:marRight w:val="0"/>
      <w:marTop w:val="0"/>
      <w:marBottom w:val="0"/>
      <w:divBdr>
        <w:top w:val="none" w:sz="0" w:space="0" w:color="auto"/>
        <w:left w:val="none" w:sz="0" w:space="0" w:color="auto"/>
        <w:bottom w:val="none" w:sz="0" w:space="0" w:color="auto"/>
        <w:right w:val="none" w:sz="0" w:space="0" w:color="auto"/>
      </w:divBdr>
    </w:div>
    <w:div w:id="57629765">
      <w:bodyDiv w:val="1"/>
      <w:marLeft w:val="0"/>
      <w:marRight w:val="0"/>
      <w:marTop w:val="0"/>
      <w:marBottom w:val="0"/>
      <w:divBdr>
        <w:top w:val="none" w:sz="0" w:space="0" w:color="auto"/>
        <w:left w:val="none" w:sz="0" w:space="0" w:color="auto"/>
        <w:bottom w:val="none" w:sz="0" w:space="0" w:color="auto"/>
        <w:right w:val="none" w:sz="0" w:space="0" w:color="auto"/>
      </w:divBdr>
    </w:div>
    <w:div w:id="59597712">
      <w:bodyDiv w:val="1"/>
      <w:marLeft w:val="0"/>
      <w:marRight w:val="0"/>
      <w:marTop w:val="0"/>
      <w:marBottom w:val="0"/>
      <w:divBdr>
        <w:top w:val="none" w:sz="0" w:space="0" w:color="auto"/>
        <w:left w:val="none" w:sz="0" w:space="0" w:color="auto"/>
        <w:bottom w:val="none" w:sz="0" w:space="0" w:color="auto"/>
        <w:right w:val="none" w:sz="0" w:space="0" w:color="auto"/>
      </w:divBdr>
    </w:div>
    <w:div w:id="67312750">
      <w:bodyDiv w:val="1"/>
      <w:marLeft w:val="0"/>
      <w:marRight w:val="0"/>
      <w:marTop w:val="0"/>
      <w:marBottom w:val="0"/>
      <w:divBdr>
        <w:top w:val="none" w:sz="0" w:space="0" w:color="auto"/>
        <w:left w:val="none" w:sz="0" w:space="0" w:color="auto"/>
        <w:bottom w:val="none" w:sz="0" w:space="0" w:color="auto"/>
        <w:right w:val="none" w:sz="0" w:space="0" w:color="auto"/>
      </w:divBdr>
    </w:div>
    <w:div w:id="122963018">
      <w:bodyDiv w:val="1"/>
      <w:marLeft w:val="0"/>
      <w:marRight w:val="0"/>
      <w:marTop w:val="0"/>
      <w:marBottom w:val="0"/>
      <w:divBdr>
        <w:top w:val="none" w:sz="0" w:space="0" w:color="auto"/>
        <w:left w:val="none" w:sz="0" w:space="0" w:color="auto"/>
        <w:bottom w:val="none" w:sz="0" w:space="0" w:color="auto"/>
        <w:right w:val="none" w:sz="0" w:space="0" w:color="auto"/>
      </w:divBdr>
    </w:div>
    <w:div w:id="124587262">
      <w:bodyDiv w:val="1"/>
      <w:marLeft w:val="0"/>
      <w:marRight w:val="0"/>
      <w:marTop w:val="0"/>
      <w:marBottom w:val="0"/>
      <w:divBdr>
        <w:top w:val="none" w:sz="0" w:space="0" w:color="auto"/>
        <w:left w:val="none" w:sz="0" w:space="0" w:color="auto"/>
        <w:bottom w:val="none" w:sz="0" w:space="0" w:color="auto"/>
        <w:right w:val="none" w:sz="0" w:space="0" w:color="auto"/>
      </w:divBdr>
    </w:div>
    <w:div w:id="161430361">
      <w:bodyDiv w:val="1"/>
      <w:marLeft w:val="0"/>
      <w:marRight w:val="0"/>
      <w:marTop w:val="0"/>
      <w:marBottom w:val="0"/>
      <w:divBdr>
        <w:top w:val="none" w:sz="0" w:space="0" w:color="auto"/>
        <w:left w:val="none" w:sz="0" w:space="0" w:color="auto"/>
        <w:bottom w:val="none" w:sz="0" w:space="0" w:color="auto"/>
        <w:right w:val="none" w:sz="0" w:space="0" w:color="auto"/>
      </w:divBdr>
    </w:div>
    <w:div w:id="185951345">
      <w:bodyDiv w:val="1"/>
      <w:marLeft w:val="0"/>
      <w:marRight w:val="0"/>
      <w:marTop w:val="0"/>
      <w:marBottom w:val="0"/>
      <w:divBdr>
        <w:top w:val="none" w:sz="0" w:space="0" w:color="auto"/>
        <w:left w:val="none" w:sz="0" w:space="0" w:color="auto"/>
        <w:bottom w:val="none" w:sz="0" w:space="0" w:color="auto"/>
        <w:right w:val="none" w:sz="0" w:space="0" w:color="auto"/>
      </w:divBdr>
    </w:div>
    <w:div w:id="190147263">
      <w:bodyDiv w:val="1"/>
      <w:marLeft w:val="0"/>
      <w:marRight w:val="0"/>
      <w:marTop w:val="0"/>
      <w:marBottom w:val="0"/>
      <w:divBdr>
        <w:top w:val="none" w:sz="0" w:space="0" w:color="auto"/>
        <w:left w:val="none" w:sz="0" w:space="0" w:color="auto"/>
        <w:bottom w:val="none" w:sz="0" w:space="0" w:color="auto"/>
        <w:right w:val="none" w:sz="0" w:space="0" w:color="auto"/>
      </w:divBdr>
    </w:div>
    <w:div w:id="203639538">
      <w:bodyDiv w:val="1"/>
      <w:marLeft w:val="0"/>
      <w:marRight w:val="0"/>
      <w:marTop w:val="0"/>
      <w:marBottom w:val="0"/>
      <w:divBdr>
        <w:top w:val="none" w:sz="0" w:space="0" w:color="auto"/>
        <w:left w:val="none" w:sz="0" w:space="0" w:color="auto"/>
        <w:bottom w:val="none" w:sz="0" w:space="0" w:color="auto"/>
        <w:right w:val="none" w:sz="0" w:space="0" w:color="auto"/>
      </w:divBdr>
    </w:div>
    <w:div w:id="215243253">
      <w:bodyDiv w:val="1"/>
      <w:marLeft w:val="0"/>
      <w:marRight w:val="0"/>
      <w:marTop w:val="0"/>
      <w:marBottom w:val="0"/>
      <w:divBdr>
        <w:top w:val="none" w:sz="0" w:space="0" w:color="auto"/>
        <w:left w:val="none" w:sz="0" w:space="0" w:color="auto"/>
        <w:bottom w:val="none" w:sz="0" w:space="0" w:color="auto"/>
        <w:right w:val="none" w:sz="0" w:space="0" w:color="auto"/>
      </w:divBdr>
    </w:div>
    <w:div w:id="247665039">
      <w:bodyDiv w:val="1"/>
      <w:marLeft w:val="0"/>
      <w:marRight w:val="0"/>
      <w:marTop w:val="0"/>
      <w:marBottom w:val="0"/>
      <w:divBdr>
        <w:top w:val="none" w:sz="0" w:space="0" w:color="auto"/>
        <w:left w:val="none" w:sz="0" w:space="0" w:color="auto"/>
        <w:bottom w:val="none" w:sz="0" w:space="0" w:color="auto"/>
        <w:right w:val="none" w:sz="0" w:space="0" w:color="auto"/>
      </w:divBdr>
    </w:div>
    <w:div w:id="263618231">
      <w:bodyDiv w:val="1"/>
      <w:marLeft w:val="0"/>
      <w:marRight w:val="0"/>
      <w:marTop w:val="0"/>
      <w:marBottom w:val="0"/>
      <w:divBdr>
        <w:top w:val="none" w:sz="0" w:space="0" w:color="auto"/>
        <w:left w:val="none" w:sz="0" w:space="0" w:color="auto"/>
        <w:bottom w:val="none" w:sz="0" w:space="0" w:color="auto"/>
        <w:right w:val="none" w:sz="0" w:space="0" w:color="auto"/>
      </w:divBdr>
    </w:div>
    <w:div w:id="283738018">
      <w:bodyDiv w:val="1"/>
      <w:marLeft w:val="0"/>
      <w:marRight w:val="0"/>
      <w:marTop w:val="0"/>
      <w:marBottom w:val="0"/>
      <w:divBdr>
        <w:top w:val="none" w:sz="0" w:space="0" w:color="auto"/>
        <w:left w:val="none" w:sz="0" w:space="0" w:color="auto"/>
        <w:bottom w:val="none" w:sz="0" w:space="0" w:color="auto"/>
        <w:right w:val="none" w:sz="0" w:space="0" w:color="auto"/>
      </w:divBdr>
    </w:div>
    <w:div w:id="287056880">
      <w:bodyDiv w:val="1"/>
      <w:marLeft w:val="0"/>
      <w:marRight w:val="0"/>
      <w:marTop w:val="0"/>
      <w:marBottom w:val="0"/>
      <w:divBdr>
        <w:top w:val="none" w:sz="0" w:space="0" w:color="auto"/>
        <w:left w:val="none" w:sz="0" w:space="0" w:color="auto"/>
        <w:bottom w:val="none" w:sz="0" w:space="0" w:color="auto"/>
        <w:right w:val="none" w:sz="0" w:space="0" w:color="auto"/>
      </w:divBdr>
    </w:div>
    <w:div w:id="295795062">
      <w:bodyDiv w:val="1"/>
      <w:marLeft w:val="0"/>
      <w:marRight w:val="0"/>
      <w:marTop w:val="0"/>
      <w:marBottom w:val="0"/>
      <w:divBdr>
        <w:top w:val="none" w:sz="0" w:space="0" w:color="auto"/>
        <w:left w:val="none" w:sz="0" w:space="0" w:color="auto"/>
        <w:bottom w:val="none" w:sz="0" w:space="0" w:color="auto"/>
        <w:right w:val="none" w:sz="0" w:space="0" w:color="auto"/>
      </w:divBdr>
    </w:div>
    <w:div w:id="302348060">
      <w:bodyDiv w:val="1"/>
      <w:marLeft w:val="0"/>
      <w:marRight w:val="0"/>
      <w:marTop w:val="0"/>
      <w:marBottom w:val="0"/>
      <w:divBdr>
        <w:top w:val="none" w:sz="0" w:space="0" w:color="auto"/>
        <w:left w:val="none" w:sz="0" w:space="0" w:color="auto"/>
        <w:bottom w:val="none" w:sz="0" w:space="0" w:color="auto"/>
        <w:right w:val="none" w:sz="0" w:space="0" w:color="auto"/>
      </w:divBdr>
    </w:div>
    <w:div w:id="340087135">
      <w:bodyDiv w:val="1"/>
      <w:marLeft w:val="0"/>
      <w:marRight w:val="0"/>
      <w:marTop w:val="0"/>
      <w:marBottom w:val="0"/>
      <w:divBdr>
        <w:top w:val="none" w:sz="0" w:space="0" w:color="auto"/>
        <w:left w:val="none" w:sz="0" w:space="0" w:color="auto"/>
        <w:bottom w:val="none" w:sz="0" w:space="0" w:color="auto"/>
        <w:right w:val="none" w:sz="0" w:space="0" w:color="auto"/>
      </w:divBdr>
    </w:div>
    <w:div w:id="355616417">
      <w:bodyDiv w:val="1"/>
      <w:marLeft w:val="0"/>
      <w:marRight w:val="0"/>
      <w:marTop w:val="0"/>
      <w:marBottom w:val="0"/>
      <w:divBdr>
        <w:top w:val="none" w:sz="0" w:space="0" w:color="auto"/>
        <w:left w:val="none" w:sz="0" w:space="0" w:color="auto"/>
        <w:bottom w:val="none" w:sz="0" w:space="0" w:color="auto"/>
        <w:right w:val="none" w:sz="0" w:space="0" w:color="auto"/>
      </w:divBdr>
    </w:div>
    <w:div w:id="359084622">
      <w:bodyDiv w:val="1"/>
      <w:marLeft w:val="0"/>
      <w:marRight w:val="0"/>
      <w:marTop w:val="0"/>
      <w:marBottom w:val="0"/>
      <w:divBdr>
        <w:top w:val="none" w:sz="0" w:space="0" w:color="auto"/>
        <w:left w:val="none" w:sz="0" w:space="0" w:color="auto"/>
        <w:bottom w:val="none" w:sz="0" w:space="0" w:color="auto"/>
        <w:right w:val="none" w:sz="0" w:space="0" w:color="auto"/>
      </w:divBdr>
    </w:div>
    <w:div w:id="383068648">
      <w:bodyDiv w:val="1"/>
      <w:marLeft w:val="0"/>
      <w:marRight w:val="0"/>
      <w:marTop w:val="0"/>
      <w:marBottom w:val="0"/>
      <w:divBdr>
        <w:top w:val="none" w:sz="0" w:space="0" w:color="auto"/>
        <w:left w:val="none" w:sz="0" w:space="0" w:color="auto"/>
        <w:bottom w:val="none" w:sz="0" w:space="0" w:color="auto"/>
        <w:right w:val="none" w:sz="0" w:space="0" w:color="auto"/>
      </w:divBdr>
    </w:div>
    <w:div w:id="452749850">
      <w:bodyDiv w:val="1"/>
      <w:marLeft w:val="0"/>
      <w:marRight w:val="0"/>
      <w:marTop w:val="0"/>
      <w:marBottom w:val="0"/>
      <w:divBdr>
        <w:top w:val="none" w:sz="0" w:space="0" w:color="auto"/>
        <w:left w:val="none" w:sz="0" w:space="0" w:color="auto"/>
        <w:bottom w:val="none" w:sz="0" w:space="0" w:color="auto"/>
        <w:right w:val="none" w:sz="0" w:space="0" w:color="auto"/>
      </w:divBdr>
    </w:div>
    <w:div w:id="457338001">
      <w:bodyDiv w:val="1"/>
      <w:marLeft w:val="0"/>
      <w:marRight w:val="0"/>
      <w:marTop w:val="0"/>
      <w:marBottom w:val="0"/>
      <w:divBdr>
        <w:top w:val="none" w:sz="0" w:space="0" w:color="auto"/>
        <w:left w:val="none" w:sz="0" w:space="0" w:color="auto"/>
        <w:bottom w:val="none" w:sz="0" w:space="0" w:color="auto"/>
        <w:right w:val="none" w:sz="0" w:space="0" w:color="auto"/>
      </w:divBdr>
    </w:div>
    <w:div w:id="537084097">
      <w:bodyDiv w:val="1"/>
      <w:marLeft w:val="0"/>
      <w:marRight w:val="0"/>
      <w:marTop w:val="0"/>
      <w:marBottom w:val="0"/>
      <w:divBdr>
        <w:top w:val="none" w:sz="0" w:space="0" w:color="auto"/>
        <w:left w:val="none" w:sz="0" w:space="0" w:color="auto"/>
        <w:bottom w:val="none" w:sz="0" w:space="0" w:color="auto"/>
        <w:right w:val="none" w:sz="0" w:space="0" w:color="auto"/>
      </w:divBdr>
    </w:div>
    <w:div w:id="589192804">
      <w:bodyDiv w:val="1"/>
      <w:marLeft w:val="0"/>
      <w:marRight w:val="0"/>
      <w:marTop w:val="0"/>
      <w:marBottom w:val="0"/>
      <w:divBdr>
        <w:top w:val="none" w:sz="0" w:space="0" w:color="auto"/>
        <w:left w:val="none" w:sz="0" w:space="0" w:color="auto"/>
        <w:bottom w:val="none" w:sz="0" w:space="0" w:color="auto"/>
        <w:right w:val="none" w:sz="0" w:space="0" w:color="auto"/>
      </w:divBdr>
    </w:div>
    <w:div w:id="610623406">
      <w:bodyDiv w:val="1"/>
      <w:marLeft w:val="0"/>
      <w:marRight w:val="0"/>
      <w:marTop w:val="0"/>
      <w:marBottom w:val="0"/>
      <w:divBdr>
        <w:top w:val="none" w:sz="0" w:space="0" w:color="auto"/>
        <w:left w:val="none" w:sz="0" w:space="0" w:color="auto"/>
        <w:bottom w:val="none" w:sz="0" w:space="0" w:color="auto"/>
        <w:right w:val="none" w:sz="0" w:space="0" w:color="auto"/>
      </w:divBdr>
    </w:div>
    <w:div w:id="619994156">
      <w:bodyDiv w:val="1"/>
      <w:marLeft w:val="0"/>
      <w:marRight w:val="0"/>
      <w:marTop w:val="0"/>
      <w:marBottom w:val="0"/>
      <w:divBdr>
        <w:top w:val="none" w:sz="0" w:space="0" w:color="auto"/>
        <w:left w:val="none" w:sz="0" w:space="0" w:color="auto"/>
        <w:bottom w:val="none" w:sz="0" w:space="0" w:color="auto"/>
        <w:right w:val="none" w:sz="0" w:space="0" w:color="auto"/>
      </w:divBdr>
    </w:div>
    <w:div w:id="620653638">
      <w:bodyDiv w:val="1"/>
      <w:marLeft w:val="0"/>
      <w:marRight w:val="0"/>
      <w:marTop w:val="0"/>
      <w:marBottom w:val="0"/>
      <w:divBdr>
        <w:top w:val="none" w:sz="0" w:space="0" w:color="auto"/>
        <w:left w:val="none" w:sz="0" w:space="0" w:color="auto"/>
        <w:bottom w:val="none" w:sz="0" w:space="0" w:color="auto"/>
        <w:right w:val="none" w:sz="0" w:space="0" w:color="auto"/>
      </w:divBdr>
    </w:div>
    <w:div w:id="621569765">
      <w:bodyDiv w:val="1"/>
      <w:marLeft w:val="0"/>
      <w:marRight w:val="0"/>
      <w:marTop w:val="0"/>
      <w:marBottom w:val="0"/>
      <w:divBdr>
        <w:top w:val="none" w:sz="0" w:space="0" w:color="auto"/>
        <w:left w:val="none" w:sz="0" w:space="0" w:color="auto"/>
        <w:bottom w:val="none" w:sz="0" w:space="0" w:color="auto"/>
        <w:right w:val="none" w:sz="0" w:space="0" w:color="auto"/>
      </w:divBdr>
    </w:div>
    <w:div w:id="653990615">
      <w:bodyDiv w:val="1"/>
      <w:marLeft w:val="0"/>
      <w:marRight w:val="0"/>
      <w:marTop w:val="0"/>
      <w:marBottom w:val="0"/>
      <w:divBdr>
        <w:top w:val="none" w:sz="0" w:space="0" w:color="auto"/>
        <w:left w:val="none" w:sz="0" w:space="0" w:color="auto"/>
        <w:bottom w:val="none" w:sz="0" w:space="0" w:color="auto"/>
        <w:right w:val="none" w:sz="0" w:space="0" w:color="auto"/>
      </w:divBdr>
    </w:div>
    <w:div w:id="662900518">
      <w:bodyDiv w:val="1"/>
      <w:marLeft w:val="0"/>
      <w:marRight w:val="0"/>
      <w:marTop w:val="0"/>
      <w:marBottom w:val="0"/>
      <w:divBdr>
        <w:top w:val="none" w:sz="0" w:space="0" w:color="auto"/>
        <w:left w:val="none" w:sz="0" w:space="0" w:color="auto"/>
        <w:bottom w:val="none" w:sz="0" w:space="0" w:color="auto"/>
        <w:right w:val="none" w:sz="0" w:space="0" w:color="auto"/>
      </w:divBdr>
    </w:div>
    <w:div w:id="665669680">
      <w:bodyDiv w:val="1"/>
      <w:marLeft w:val="0"/>
      <w:marRight w:val="0"/>
      <w:marTop w:val="0"/>
      <w:marBottom w:val="0"/>
      <w:divBdr>
        <w:top w:val="none" w:sz="0" w:space="0" w:color="auto"/>
        <w:left w:val="none" w:sz="0" w:space="0" w:color="auto"/>
        <w:bottom w:val="none" w:sz="0" w:space="0" w:color="auto"/>
        <w:right w:val="none" w:sz="0" w:space="0" w:color="auto"/>
      </w:divBdr>
    </w:div>
    <w:div w:id="669024254">
      <w:bodyDiv w:val="1"/>
      <w:marLeft w:val="0"/>
      <w:marRight w:val="0"/>
      <w:marTop w:val="0"/>
      <w:marBottom w:val="0"/>
      <w:divBdr>
        <w:top w:val="none" w:sz="0" w:space="0" w:color="auto"/>
        <w:left w:val="none" w:sz="0" w:space="0" w:color="auto"/>
        <w:bottom w:val="none" w:sz="0" w:space="0" w:color="auto"/>
        <w:right w:val="none" w:sz="0" w:space="0" w:color="auto"/>
      </w:divBdr>
    </w:div>
    <w:div w:id="687411271">
      <w:bodyDiv w:val="1"/>
      <w:marLeft w:val="0"/>
      <w:marRight w:val="0"/>
      <w:marTop w:val="0"/>
      <w:marBottom w:val="0"/>
      <w:divBdr>
        <w:top w:val="none" w:sz="0" w:space="0" w:color="auto"/>
        <w:left w:val="none" w:sz="0" w:space="0" w:color="auto"/>
        <w:bottom w:val="none" w:sz="0" w:space="0" w:color="auto"/>
        <w:right w:val="none" w:sz="0" w:space="0" w:color="auto"/>
      </w:divBdr>
    </w:div>
    <w:div w:id="704715220">
      <w:bodyDiv w:val="1"/>
      <w:marLeft w:val="0"/>
      <w:marRight w:val="0"/>
      <w:marTop w:val="0"/>
      <w:marBottom w:val="0"/>
      <w:divBdr>
        <w:top w:val="none" w:sz="0" w:space="0" w:color="auto"/>
        <w:left w:val="none" w:sz="0" w:space="0" w:color="auto"/>
        <w:bottom w:val="none" w:sz="0" w:space="0" w:color="auto"/>
        <w:right w:val="none" w:sz="0" w:space="0" w:color="auto"/>
      </w:divBdr>
    </w:div>
    <w:div w:id="731541459">
      <w:bodyDiv w:val="1"/>
      <w:marLeft w:val="0"/>
      <w:marRight w:val="0"/>
      <w:marTop w:val="0"/>
      <w:marBottom w:val="0"/>
      <w:divBdr>
        <w:top w:val="none" w:sz="0" w:space="0" w:color="auto"/>
        <w:left w:val="none" w:sz="0" w:space="0" w:color="auto"/>
        <w:bottom w:val="none" w:sz="0" w:space="0" w:color="auto"/>
        <w:right w:val="none" w:sz="0" w:space="0" w:color="auto"/>
      </w:divBdr>
    </w:div>
    <w:div w:id="754013327">
      <w:bodyDiv w:val="1"/>
      <w:marLeft w:val="0"/>
      <w:marRight w:val="0"/>
      <w:marTop w:val="0"/>
      <w:marBottom w:val="0"/>
      <w:divBdr>
        <w:top w:val="none" w:sz="0" w:space="0" w:color="auto"/>
        <w:left w:val="none" w:sz="0" w:space="0" w:color="auto"/>
        <w:bottom w:val="none" w:sz="0" w:space="0" w:color="auto"/>
        <w:right w:val="none" w:sz="0" w:space="0" w:color="auto"/>
      </w:divBdr>
    </w:div>
    <w:div w:id="757678183">
      <w:bodyDiv w:val="1"/>
      <w:marLeft w:val="0"/>
      <w:marRight w:val="0"/>
      <w:marTop w:val="0"/>
      <w:marBottom w:val="0"/>
      <w:divBdr>
        <w:top w:val="none" w:sz="0" w:space="0" w:color="auto"/>
        <w:left w:val="none" w:sz="0" w:space="0" w:color="auto"/>
        <w:bottom w:val="none" w:sz="0" w:space="0" w:color="auto"/>
        <w:right w:val="none" w:sz="0" w:space="0" w:color="auto"/>
      </w:divBdr>
    </w:div>
    <w:div w:id="758020990">
      <w:bodyDiv w:val="1"/>
      <w:marLeft w:val="0"/>
      <w:marRight w:val="0"/>
      <w:marTop w:val="0"/>
      <w:marBottom w:val="0"/>
      <w:divBdr>
        <w:top w:val="none" w:sz="0" w:space="0" w:color="auto"/>
        <w:left w:val="none" w:sz="0" w:space="0" w:color="auto"/>
        <w:bottom w:val="none" w:sz="0" w:space="0" w:color="auto"/>
        <w:right w:val="none" w:sz="0" w:space="0" w:color="auto"/>
      </w:divBdr>
    </w:div>
    <w:div w:id="765736809">
      <w:bodyDiv w:val="1"/>
      <w:marLeft w:val="0"/>
      <w:marRight w:val="0"/>
      <w:marTop w:val="0"/>
      <w:marBottom w:val="0"/>
      <w:divBdr>
        <w:top w:val="none" w:sz="0" w:space="0" w:color="auto"/>
        <w:left w:val="none" w:sz="0" w:space="0" w:color="auto"/>
        <w:bottom w:val="none" w:sz="0" w:space="0" w:color="auto"/>
        <w:right w:val="none" w:sz="0" w:space="0" w:color="auto"/>
      </w:divBdr>
    </w:div>
    <w:div w:id="766077663">
      <w:bodyDiv w:val="1"/>
      <w:marLeft w:val="0"/>
      <w:marRight w:val="0"/>
      <w:marTop w:val="0"/>
      <w:marBottom w:val="0"/>
      <w:divBdr>
        <w:top w:val="none" w:sz="0" w:space="0" w:color="auto"/>
        <w:left w:val="none" w:sz="0" w:space="0" w:color="auto"/>
        <w:bottom w:val="none" w:sz="0" w:space="0" w:color="auto"/>
        <w:right w:val="none" w:sz="0" w:space="0" w:color="auto"/>
      </w:divBdr>
    </w:div>
    <w:div w:id="767895662">
      <w:bodyDiv w:val="1"/>
      <w:marLeft w:val="0"/>
      <w:marRight w:val="0"/>
      <w:marTop w:val="0"/>
      <w:marBottom w:val="0"/>
      <w:divBdr>
        <w:top w:val="none" w:sz="0" w:space="0" w:color="auto"/>
        <w:left w:val="none" w:sz="0" w:space="0" w:color="auto"/>
        <w:bottom w:val="none" w:sz="0" w:space="0" w:color="auto"/>
        <w:right w:val="none" w:sz="0" w:space="0" w:color="auto"/>
      </w:divBdr>
    </w:div>
    <w:div w:id="774056928">
      <w:bodyDiv w:val="1"/>
      <w:marLeft w:val="0"/>
      <w:marRight w:val="0"/>
      <w:marTop w:val="0"/>
      <w:marBottom w:val="0"/>
      <w:divBdr>
        <w:top w:val="none" w:sz="0" w:space="0" w:color="auto"/>
        <w:left w:val="none" w:sz="0" w:space="0" w:color="auto"/>
        <w:bottom w:val="none" w:sz="0" w:space="0" w:color="auto"/>
        <w:right w:val="none" w:sz="0" w:space="0" w:color="auto"/>
      </w:divBdr>
    </w:div>
    <w:div w:id="784690266">
      <w:bodyDiv w:val="1"/>
      <w:marLeft w:val="0"/>
      <w:marRight w:val="0"/>
      <w:marTop w:val="0"/>
      <w:marBottom w:val="0"/>
      <w:divBdr>
        <w:top w:val="none" w:sz="0" w:space="0" w:color="auto"/>
        <w:left w:val="none" w:sz="0" w:space="0" w:color="auto"/>
        <w:bottom w:val="none" w:sz="0" w:space="0" w:color="auto"/>
        <w:right w:val="none" w:sz="0" w:space="0" w:color="auto"/>
      </w:divBdr>
    </w:div>
    <w:div w:id="787820269">
      <w:bodyDiv w:val="1"/>
      <w:marLeft w:val="0"/>
      <w:marRight w:val="0"/>
      <w:marTop w:val="0"/>
      <w:marBottom w:val="0"/>
      <w:divBdr>
        <w:top w:val="none" w:sz="0" w:space="0" w:color="auto"/>
        <w:left w:val="none" w:sz="0" w:space="0" w:color="auto"/>
        <w:bottom w:val="none" w:sz="0" w:space="0" w:color="auto"/>
        <w:right w:val="none" w:sz="0" w:space="0" w:color="auto"/>
      </w:divBdr>
    </w:div>
    <w:div w:id="802818580">
      <w:bodyDiv w:val="1"/>
      <w:marLeft w:val="0"/>
      <w:marRight w:val="0"/>
      <w:marTop w:val="0"/>
      <w:marBottom w:val="0"/>
      <w:divBdr>
        <w:top w:val="none" w:sz="0" w:space="0" w:color="auto"/>
        <w:left w:val="none" w:sz="0" w:space="0" w:color="auto"/>
        <w:bottom w:val="none" w:sz="0" w:space="0" w:color="auto"/>
        <w:right w:val="none" w:sz="0" w:space="0" w:color="auto"/>
      </w:divBdr>
    </w:div>
    <w:div w:id="807554178">
      <w:bodyDiv w:val="1"/>
      <w:marLeft w:val="0"/>
      <w:marRight w:val="0"/>
      <w:marTop w:val="0"/>
      <w:marBottom w:val="0"/>
      <w:divBdr>
        <w:top w:val="none" w:sz="0" w:space="0" w:color="auto"/>
        <w:left w:val="none" w:sz="0" w:space="0" w:color="auto"/>
        <w:bottom w:val="none" w:sz="0" w:space="0" w:color="auto"/>
        <w:right w:val="none" w:sz="0" w:space="0" w:color="auto"/>
      </w:divBdr>
    </w:div>
    <w:div w:id="857081516">
      <w:bodyDiv w:val="1"/>
      <w:marLeft w:val="0"/>
      <w:marRight w:val="0"/>
      <w:marTop w:val="0"/>
      <w:marBottom w:val="0"/>
      <w:divBdr>
        <w:top w:val="none" w:sz="0" w:space="0" w:color="auto"/>
        <w:left w:val="none" w:sz="0" w:space="0" w:color="auto"/>
        <w:bottom w:val="none" w:sz="0" w:space="0" w:color="auto"/>
        <w:right w:val="none" w:sz="0" w:space="0" w:color="auto"/>
      </w:divBdr>
    </w:div>
    <w:div w:id="879434959">
      <w:bodyDiv w:val="1"/>
      <w:marLeft w:val="0"/>
      <w:marRight w:val="0"/>
      <w:marTop w:val="0"/>
      <w:marBottom w:val="0"/>
      <w:divBdr>
        <w:top w:val="none" w:sz="0" w:space="0" w:color="auto"/>
        <w:left w:val="none" w:sz="0" w:space="0" w:color="auto"/>
        <w:bottom w:val="none" w:sz="0" w:space="0" w:color="auto"/>
        <w:right w:val="none" w:sz="0" w:space="0" w:color="auto"/>
      </w:divBdr>
    </w:div>
    <w:div w:id="880704308">
      <w:bodyDiv w:val="1"/>
      <w:marLeft w:val="0"/>
      <w:marRight w:val="0"/>
      <w:marTop w:val="0"/>
      <w:marBottom w:val="0"/>
      <w:divBdr>
        <w:top w:val="none" w:sz="0" w:space="0" w:color="auto"/>
        <w:left w:val="none" w:sz="0" w:space="0" w:color="auto"/>
        <w:bottom w:val="none" w:sz="0" w:space="0" w:color="auto"/>
        <w:right w:val="none" w:sz="0" w:space="0" w:color="auto"/>
      </w:divBdr>
    </w:div>
    <w:div w:id="897667558">
      <w:bodyDiv w:val="1"/>
      <w:marLeft w:val="0"/>
      <w:marRight w:val="0"/>
      <w:marTop w:val="0"/>
      <w:marBottom w:val="0"/>
      <w:divBdr>
        <w:top w:val="none" w:sz="0" w:space="0" w:color="auto"/>
        <w:left w:val="none" w:sz="0" w:space="0" w:color="auto"/>
        <w:bottom w:val="none" w:sz="0" w:space="0" w:color="auto"/>
        <w:right w:val="none" w:sz="0" w:space="0" w:color="auto"/>
      </w:divBdr>
    </w:div>
    <w:div w:id="897935719">
      <w:bodyDiv w:val="1"/>
      <w:marLeft w:val="0"/>
      <w:marRight w:val="0"/>
      <w:marTop w:val="0"/>
      <w:marBottom w:val="0"/>
      <w:divBdr>
        <w:top w:val="none" w:sz="0" w:space="0" w:color="auto"/>
        <w:left w:val="none" w:sz="0" w:space="0" w:color="auto"/>
        <w:bottom w:val="none" w:sz="0" w:space="0" w:color="auto"/>
        <w:right w:val="none" w:sz="0" w:space="0" w:color="auto"/>
      </w:divBdr>
    </w:div>
    <w:div w:id="933173865">
      <w:bodyDiv w:val="1"/>
      <w:marLeft w:val="0"/>
      <w:marRight w:val="0"/>
      <w:marTop w:val="0"/>
      <w:marBottom w:val="0"/>
      <w:divBdr>
        <w:top w:val="none" w:sz="0" w:space="0" w:color="auto"/>
        <w:left w:val="none" w:sz="0" w:space="0" w:color="auto"/>
        <w:bottom w:val="none" w:sz="0" w:space="0" w:color="auto"/>
        <w:right w:val="none" w:sz="0" w:space="0" w:color="auto"/>
      </w:divBdr>
    </w:div>
    <w:div w:id="948664437">
      <w:bodyDiv w:val="1"/>
      <w:marLeft w:val="0"/>
      <w:marRight w:val="0"/>
      <w:marTop w:val="0"/>
      <w:marBottom w:val="0"/>
      <w:divBdr>
        <w:top w:val="none" w:sz="0" w:space="0" w:color="auto"/>
        <w:left w:val="none" w:sz="0" w:space="0" w:color="auto"/>
        <w:bottom w:val="none" w:sz="0" w:space="0" w:color="auto"/>
        <w:right w:val="none" w:sz="0" w:space="0" w:color="auto"/>
      </w:divBdr>
    </w:div>
    <w:div w:id="949628491">
      <w:bodyDiv w:val="1"/>
      <w:marLeft w:val="0"/>
      <w:marRight w:val="0"/>
      <w:marTop w:val="0"/>
      <w:marBottom w:val="0"/>
      <w:divBdr>
        <w:top w:val="none" w:sz="0" w:space="0" w:color="auto"/>
        <w:left w:val="none" w:sz="0" w:space="0" w:color="auto"/>
        <w:bottom w:val="none" w:sz="0" w:space="0" w:color="auto"/>
        <w:right w:val="none" w:sz="0" w:space="0" w:color="auto"/>
      </w:divBdr>
    </w:div>
    <w:div w:id="950092484">
      <w:bodyDiv w:val="1"/>
      <w:marLeft w:val="0"/>
      <w:marRight w:val="0"/>
      <w:marTop w:val="0"/>
      <w:marBottom w:val="0"/>
      <w:divBdr>
        <w:top w:val="none" w:sz="0" w:space="0" w:color="auto"/>
        <w:left w:val="none" w:sz="0" w:space="0" w:color="auto"/>
        <w:bottom w:val="none" w:sz="0" w:space="0" w:color="auto"/>
        <w:right w:val="none" w:sz="0" w:space="0" w:color="auto"/>
      </w:divBdr>
    </w:div>
    <w:div w:id="1017120898">
      <w:bodyDiv w:val="1"/>
      <w:marLeft w:val="0"/>
      <w:marRight w:val="0"/>
      <w:marTop w:val="0"/>
      <w:marBottom w:val="0"/>
      <w:divBdr>
        <w:top w:val="none" w:sz="0" w:space="0" w:color="auto"/>
        <w:left w:val="none" w:sz="0" w:space="0" w:color="auto"/>
        <w:bottom w:val="none" w:sz="0" w:space="0" w:color="auto"/>
        <w:right w:val="none" w:sz="0" w:space="0" w:color="auto"/>
      </w:divBdr>
    </w:div>
    <w:div w:id="1035037148">
      <w:bodyDiv w:val="1"/>
      <w:marLeft w:val="0"/>
      <w:marRight w:val="0"/>
      <w:marTop w:val="0"/>
      <w:marBottom w:val="0"/>
      <w:divBdr>
        <w:top w:val="none" w:sz="0" w:space="0" w:color="auto"/>
        <w:left w:val="none" w:sz="0" w:space="0" w:color="auto"/>
        <w:bottom w:val="none" w:sz="0" w:space="0" w:color="auto"/>
        <w:right w:val="none" w:sz="0" w:space="0" w:color="auto"/>
      </w:divBdr>
    </w:div>
    <w:div w:id="1041051030">
      <w:bodyDiv w:val="1"/>
      <w:marLeft w:val="0"/>
      <w:marRight w:val="0"/>
      <w:marTop w:val="0"/>
      <w:marBottom w:val="0"/>
      <w:divBdr>
        <w:top w:val="none" w:sz="0" w:space="0" w:color="auto"/>
        <w:left w:val="none" w:sz="0" w:space="0" w:color="auto"/>
        <w:bottom w:val="none" w:sz="0" w:space="0" w:color="auto"/>
        <w:right w:val="none" w:sz="0" w:space="0" w:color="auto"/>
      </w:divBdr>
    </w:div>
    <w:div w:id="1043990725">
      <w:bodyDiv w:val="1"/>
      <w:marLeft w:val="0"/>
      <w:marRight w:val="0"/>
      <w:marTop w:val="0"/>
      <w:marBottom w:val="0"/>
      <w:divBdr>
        <w:top w:val="none" w:sz="0" w:space="0" w:color="auto"/>
        <w:left w:val="none" w:sz="0" w:space="0" w:color="auto"/>
        <w:bottom w:val="none" w:sz="0" w:space="0" w:color="auto"/>
        <w:right w:val="none" w:sz="0" w:space="0" w:color="auto"/>
      </w:divBdr>
    </w:div>
    <w:div w:id="1048577362">
      <w:bodyDiv w:val="1"/>
      <w:marLeft w:val="0"/>
      <w:marRight w:val="0"/>
      <w:marTop w:val="0"/>
      <w:marBottom w:val="0"/>
      <w:divBdr>
        <w:top w:val="none" w:sz="0" w:space="0" w:color="auto"/>
        <w:left w:val="none" w:sz="0" w:space="0" w:color="auto"/>
        <w:bottom w:val="none" w:sz="0" w:space="0" w:color="auto"/>
        <w:right w:val="none" w:sz="0" w:space="0" w:color="auto"/>
      </w:divBdr>
    </w:div>
    <w:div w:id="1072970485">
      <w:bodyDiv w:val="1"/>
      <w:marLeft w:val="0"/>
      <w:marRight w:val="0"/>
      <w:marTop w:val="0"/>
      <w:marBottom w:val="0"/>
      <w:divBdr>
        <w:top w:val="none" w:sz="0" w:space="0" w:color="auto"/>
        <w:left w:val="none" w:sz="0" w:space="0" w:color="auto"/>
        <w:bottom w:val="none" w:sz="0" w:space="0" w:color="auto"/>
        <w:right w:val="none" w:sz="0" w:space="0" w:color="auto"/>
      </w:divBdr>
    </w:div>
    <w:div w:id="1083797878">
      <w:bodyDiv w:val="1"/>
      <w:marLeft w:val="0"/>
      <w:marRight w:val="0"/>
      <w:marTop w:val="0"/>
      <w:marBottom w:val="0"/>
      <w:divBdr>
        <w:top w:val="none" w:sz="0" w:space="0" w:color="auto"/>
        <w:left w:val="none" w:sz="0" w:space="0" w:color="auto"/>
        <w:bottom w:val="none" w:sz="0" w:space="0" w:color="auto"/>
        <w:right w:val="none" w:sz="0" w:space="0" w:color="auto"/>
      </w:divBdr>
    </w:div>
    <w:div w:id="1103720936">
      <w:bodyDiv w:val="1"/>
      <w:marLeft w:val="0"/>
      <w:marRight w:val="0"/>
      <w:marTop w:val="0"/>
      <w:marBottom w:val="0"/>
      <w:divBdr>
        <w:top w:val="none" w:sz="0" w:space="0" w:color="auto"/>
        <w:left w:val="none" w:sz="0" w:space="0" w:color="auto"/>
        <w:bottom w:val="none" w:sz="0" w:space="0" w:color="auto"/>
        <w:right w:val="none" w:sz="0" w:space="0" w:color="auto"/>
      </w:divBdr>
    </w:div>
    <w:div w:id="1112166469">
      <w:bodyDiv w:val="1"/>
      <w:marLeft w:val="0"/>
      <w:marRight w:val="0"/>
      <w:marTop w:val="0"/>
      <w:marBottom w:val="0"/>
      <w:divBdr>
        <w:top w:val="none" w:sz="0" w:space="0" w:color="auto"/>
        <w:left w:val="none" w:sz="0" w:space="0" w:color="auto"/>
        <w:bottom w:val="none" w:sz="0" w:space="0" w:color="auto"/>
        <w:right w:val="none" w:sz="0" w:space="0" w:color="auto"/>
      </w:divBdr>
    </w:div>
    <w:div w:id="1135837107">
      <w:bodyDiv w:val="1"/>
      <w:marLeft w:val="0"/>
      <w:marRight w:val="0"/>
      <w:marTop w:val="0"/>
      <w:marBottom w:val="0"/>
      <w:divBdr>
        <w:top w:val="none" w:sz="0" w:space="0" w:color="auto"/>
        <w:left w:val="none" w:sz="0" w:space="0" w:color="auto"/>
        <w:bottom w:val="none" w:sz="0" w:space="0" w:color="auto"/>
        <w:right w:val="none" w:sz="0" w:space="0" w:color="auto"/>
      </w:divBdr>
    </w:div>
    <w:div w:id="1165196892">
      <w:bodyDiv w:val="1"/>
      <w:marLeft w:val="0"/>
      <w:marRight w:val="0"/>
      <w:marTop w:val="0"/>
      <w:marBottom w:val="0"/>
      <w:divBdr>
        <w:top w:val="none" w:sz="0" w:space="0" w:color="auto"/>
        <w:left w:val="none" w:sz="0" w:space="0" w:color="auto"/>
        <w:bottom w:val="none" w:sz="0" w:space="0" w:color="auto"/>
        <w:right w:val="none" w:sz="0" w:space="0" w:color="auto"/>
      </w:divBdr>
    </w:div>
    <w:div w:id="1167669940">
      <w:bodyDiv w:val="1"/>
      <w:marLeft w:val="0"/>
      <w:marRight w:val="0"/>
      <w:marTop w:val="0"/>
      <w:marBottom w:val="0"/>
      <w:divBdr>
        <w:top w:val="none" w:sz="0" w:space="0" w:color="auto"/>
        <w:left w:val="none" w:sz="0" w:space="0" w:color="auto"/>
        <w:bottom w:val="none" w:sz="0" w:space="0" w:color="auto"/>
        <w:right w:val="none" w:sz="0" w:space="0" w:color="auto"/>
      </w:divBdr>
    </w:div>
    <w:div w:id="1172455359">
      <w:bodyDiv w:val="1"/>
      <w:marLeft w:val="0"/>
      <w:marRight w:val="0"/>
      <w:marTop w:val="0"/>
      <w:marBottom w:val="0"/>
      <w:divBdr>
        <w:top w:val="none" w:sz="0" w:space="0" w:color="auto"/>
        <w:left w:val="none" w:sz="0" w:space="0" w:color="auto"/>
        <w:bottom w:val="none" w:sz="0" w:space="0" w:color="auto"/>
        <w:right w:val="none" w:sz="0" w:space="0" w:color="auto"/>
      </w:divBdr>
    </w:div>
    <w:div w:id="1228951831">
      <w:bodyDiv w:val="1"/>
      <w:marLeft w:val="0"/>
      <w:marRight w:val="0"/>
      <w:marTop w:val="0"/>
      <w:marBottom w:val="0"/>
      <w:divBdr>
        <w:top w:val="none" w:sz="0" w:space="0" w:color="auto"/>
        <w:left w:val="none" w:sz="0" w:space="0" w:color="auto"/>
        <w:bottom w:val="none" w:sz="0" w:space="0" w:color="auto"/>
        <w:right w:val="none" w:sz="0" w:space="0" w:color="auto"/>
      </w:divBdr>
    </w:div>
    <w:div w:id="1248346000">
      <w:bodyDiv w:val="1"/>
      <w:marLeft w:val="0"/>
      <w:marRight w:val="0"/>
      <w:marTop w:val="0"/>
      <w:marBottom w:val="0"/>
      <w:divBdr>
        <w:top w:val="none" w:sz="0" w:space="0" w:color="auto"/>
        <w:left w:val="none" w:sz="0" w:space="0" w:color="auto"/>
        <w:bottom w:val="none" w:sz="0" w:space="0" w:color="auto"/>
        <w:right w:val="none" w:sz="0" w:space="0" w:color="auto"/>
      </w:divBdr>
    </w:div>
    <w:div w:id="1262765737">
      <w:bodyDiv w:val="1"/>
      <w:marLeft w:val="0"/>
      <w:marRight w:val="0"/>
      <w:marTop w:val="0"/>
      <w:marBottom w:val="0"/>
      <w:divBdr>
        <w:top w:val="none" w:sz="0" w:space="0" w:color="auto"/>
        <w:left w:val="none" w:sz="0" w:space="0" w:color="auto"/>
        <w:bottom w:val="none" w:sz="0" w:space="0" w:color="auto"/>
        <w:right w:val="none" w:sz="0" w:space="0" w:color="auto"/>
      </w:divBdr>
    </w:div>
    <w:div w:id="1270626043">
      <w:bodyDiv w:val="1"/>
      <w:marLeft w:val="0"/>
      <w:marRight w:val="0"/>
      <w:marTop w:val="0"/>
      <w:marBottom w:val="0"/>
      <w:divBdr>
        <w:top w:val="none" w:sz="0" w:space="0" w:color="auto"/>
        <w:left w:val="none" w:sz="0" w:space="0" w:color="auto"/>
        <w:bottom w:val="none" w:sz="0" w:space="0" w:color="auto"/>
        <w:right w:val="none" w:sz="0" w:space="0" w:color="auto"/>
      </w:divBdr>
    </w:div>
    <w:div w:id="1286548301">
      <w:bodyDiv w:val="1"/>
      <w:marLeft w:val="0"/>
      <w:marRight w:val="0"/>
      <w:marTop w:val="0"/>
      <w:marBottom w:val="0"/>
      <w:divBdr>
        <w:top w:val="none" w:sz="0" w:space="0" w:color="auto"/>
        <w:left w:val="none" w:sz="0" w:space="0" w:color="auto"/>
        <w:bottom w:val="none" w:sz="0" w:space="0" w:color="auto"/>
        <w:right w:val="none" w:sz="0" w:space="0" w:color="auto"/>
      </w:divBdr>
    </w:div>
    <w:div w:id="1292319278">
      <w:bodyDiv w:val="1"/>
      <w:marLeft w:val="0"/>
      <w:marRight w:val="0"/>
      <w:marTop w:val="0"/>
      <w:marBottom w:val="0"/>
      <w:divBdr>
        <w:top w:val="none" w:sz="0" w:space="0" w:color="auto"/>
        <w:left w:val="none" w:sz="0" w:space="0" w:color="auto"/>
        <w:bottom w:val="none" w:sz="0" w:space="0" w:color="auto"/>
        <w:right w:val="none" w:sz="0" w:space="0" w:color="auto"/>
      </w:divBdr>
    </w:div>
    <w:div w:id="1301500464">
      <w:bodyDiv w:val="1"/>
      <w:marLeft w:val="0"/>
      <w:marRight w:val="0"/>
      <w:marTop w:val="0"/>
      <w:marBottom w:val="0"/>
      <w:divBdr>
        <w:top w:val="none" w:sz="0" w:space="0" w:color="auto"/>
        <w:left w:val="none" w:sz="0" w:space="0" w:color="auto"/>
        <w:bottom w:val="none" w:sz="0" w:space="0" w:color="auto"/>
        <w:right w:val="none" w:sz="0" w:space="0" w:color="auto"/>
      </w:divBdr>
    </w:div>
    <w:div w:id="1317370650">
      <w:bodyDiv w:val="1"/>
      <w:marLeft w:val="0"/>
      <w:marRight w:val="0"/>
      <w:marTop w:val="0"/>
      <w:marBottom w:val="0"/>
      <w:divBdr>
        <w:top w:val="none" w:sz="0" w:space="0" w:color="auto"/>
        <w:left w:val="none" w:sz="0" w:space="0" w:color="auto"/>
        <w:bottom w:val="none" w:sz="0" w:space="0" w:color="auto"/>
        <w:right w:val="none" w:sz="0" w:space="0" w:color="auto"/>
      </w:divBdr>
    </w:div>
    <w:div w:id="1336229800">
      <w:bodyDiv w:val="1"/>
      <w:marLeft w:val="0"/>
      <w:marRight w:val="0"/>
      <w:marTop w:val="0"/>
      <w:marBottom w:val="0"/>
      <w:divBdr>
        <w:top w:val="none" w:sz="0" w:space="0" w:color="auto"/>
        <w:left w:val="none" w:sz="0" w:space="0" w:color="auto"/>
        <w:bottom w:val="none" w:sz="0" w:space="0" w:color="auto"/>
        <w:right w:val="none" w:sz="0" w:space="0" w:color="auto"/>
      </w:divBdr>
    </w:div>
    <w:div w:id="1410537993">
      <w:bodyDiv w:val="1"/>
      <w:marLeft w:val="0"/>
      <w:marRight w:val="0"/>
      <w:marTop w:val="0"/>
      <w:marBottom w:val="0"/>
      <w:divBdr>
        <w:top w:val="none" w:sz="0" w:space="0" w:color="auto"/>
        <w:left w:val="none" w:sz="0" w:space="0" w:color="auto"/>
        <w:bottom w:val="none" w:sz="0" w:space="0" w:color="auto"/>
        <w:right w:val="none" w:sz="0" w:space="0" w:color="auto"/>
      </w:divBdr>
    </w:div>
    <w:div w:id="1431730594">
      <w:bodyDiv w:val="1"/>
      <w:marLeft w:val="0"/>
      <w:marRight w:val="0"/>
      <w:marTop w:val="0"/>
      <w:marBottom w:val="0"/>
      <w:divBdr>
        <w:top w:val="none" w:sz="0" w:space="0" w:color="auto"/>
        <w:left w:val="none" w:sz="0" w:space="0" w:color="auto"/>
        <w:bottom w:val="none" w:sz="0" w:space="0" w:color="auto"/>
        <w:right w:val="none" w:sz="0" w:space="0" w:color="auto"/>
      </w:divBdr>
    </w:div>
    <w:div w:id="1456021298">
      <w:bodyDiv w:val="1"/>
      <w:marLeft w:val="0"/>
      <w:marRight w:val="0"/>
      <w:marTop w:val="0"/>
      <w:marBottom w:val="0"/>
      <w:divBdr>
        <w:top w:val="none" w:sz="0" w:space="0" w:color="auto"/>
        <w:left w:val="none" w:sz="0" w:space="0" w:color="auto"/>
        <w:bottom w:val="none" w:sz="0" w:space="0" w:color="auto"/>
        <w:right w:val="none" w:sz="0" w:space="0" w:color="auto"/>
      </w:divBdr>
    </w:div>
    <w:div w:id="1466656730">
      <w:bodyDiv w:val="1"/>
      <w:marLeft w:val="0"/>
      <w:marRight w:val="0"/>
      <w:marTop w:val="0"/>
      <w:marBottom w:val="0"/>
      <w:divBdr>
        <w:top w:val="none" w:sz="0" w:space="0" w:color="auto"/>
        <w:left w:val="none" w:sz="0" w:space="0" w:color="auto"/>
        <w:bottom w:val="none" w:sz="0" w:space="0" w:color="auto"/>
        <w:right w:val="none" w:sz="0" w:space="0" w:color="auto"/>
      </w:divBdr>
    </w:div>
    <w:div w:id="1477137460">
      <w:bodyDiv w:val="1"/>
      <w:marLeft w:val="0"/>
      <w:marRight w:val="0"/>
      <w:marTop w:val="0"/>
      <w:marBottom w:val="0"/>
      <w:divBdr>
        <w:top w:val="none" w:sz="0" w:space="0" w:color="auto"/>
        <w:left w:val="none" w:sz="0" w:space="0" w:color="auto"/>
        <w:bottom w:val="none" w:sz="0" w:space="0" w:color="auto"/>
        <w:right w:val="none" w:sz="0" w:space="0" w:color="auto"/>
      </w:divBdr>
    </w:div>
    <w:div w:id="1506048779">
      <w:bodyDiv w:val="1"/>
      <w:marLeft w:val="0"/>
      <w:marRight w:val="0"/>
      <w:marTop w:val="0"/>
      <w:marBottom w:val="0"/>
      <w:divBdr>
        <w:top w:val="none" w:sz="0" w:space="0" w:color="auto"/>
        <w:left w:val="none" w:sz="0" w:space="0" w:color="auto"/>
        <w:bottom w:val="none" w:sz="0" w:space="0" w:color="auto"/>
        <w:right w:val="none" w:sz="0" w:space="0" w:color="auto"/>
      </w:divBdr>
    </w:div>
    <w:div w:id="1508910762">
      <w:bodyDiv w:val="1"/>
      <w:marLeft w:val="0"/>
      <w:marRight w:val="0"/>
      <w:marTop w:val="0"/>
      <w:marBottom w:val="0"/>
      <w:divBdr>
        <w:top w:val="none" w:sz="0" w:space="0" w:color="auto"/>
        <w:left w:val="none" w:sz="0" w:space="0" w:color="auto"/>
        <w:bottom w:val="none" w:sz="0" w:space="0" w:color="auto"/>
        <w:right w:val="none" w:sz="0" w:space="0" w:color="auto"/>
      </w:divBdr>
    </w:div>
    <w:div w:id="1527450465">
      <w:bodyDiv w:val="1"/>
      <w:marLeft w:val="0"/>
      <w:marRight w:val="0"/>
      <w:marTop w:val="0"/>
      <w:marBottom w:val="0"/>
      <w:divBdr>
        <w:top w:val="none" w:sz="0" w:space="0" w:color="auto"/>
        <w:left w:val="none" w:sz="0" w:space="0" w:color="auto"/>
        <w:bottom w:val="none" w:sz="0" w:space="0" w:color="auto"/>
        <w:right w:val="none" w:sz="0" w:space="0" w:color="auto"/>
      </w:divBdr>
    </w:div>
    <w:div w:id="1530989290">
      <w:bodyDiv w:val="1"/>
      <w:marLeft w:val="0"/>
      <w:marRight w:val="0"/>
      <w:marTop w:val="0"/>
      <w:marBottom w:val="0"/>
      <w:divBdr>
        <w:top w:val="none" w:sz="0" w:space="0" w:color="auto"/>
        <w:left w:val="none" w:sz="0" w:space="0" w:color="auto"/>
        <w:bottom w:val="none" w:sz="0" w:space="0" w:color="auto"/>
        <w:right w:val="none" w:sz="0" w:space="0" w:color="auto"/>
      </w:divBdr>
    </w:div>
    <w:div w:id="1537542793">
      <w:bodyDiv w:val="1"/>
      <w:marLeft w:val="0"/>
      <w:marRight w:val="0"/>
      <w:marTop w:val="0"/>
      <w:marBottom w:val="0"/>
      <w:divBdr>
        <w:top w:val="none" w:sz="0" w:space="0" w:color="auto"/>
        <w:left w:val="none" w:sz="0" w:space="0" w:color="auto"/>
        <w:bottom w:val="none" w:sz="0" w:space="0" w:color="auto"/>
        <w:right w:val="none" w:sz="0" w:space="0" w:color="auto"/>
      </w:divBdr>
    </w:div>
    <w:div w:id="1539733250">
      <w:bodyDiv w:val="1"/>
      <w:marLeft w:val="0"/>
      <w:marRight w:val="0"/>
      <w:marTop w:val="0"/>
      <w:marBottom w:val="0"/>
      <w:divBdr>
        <w:top w:val="none" w:sz="0" w:space="0" w:color="auto"/>
        <w:left w:val="none" w:sz="0" w:space="0" w:color="auto"/>
        <w:bottom w:val="none" w:sz="0" w:space="0" w:color="auto"/>
        <w:right w:val="none" w:sz="0" w:space="0" w:color="auto"/>
      </w:divBdr>
    </w:div>
    <w:div w:id="1541819592">
      <w:bodyDiv w:val="1"/>
      <w:marLeft w:val="0"/>
      <w:marRight w:val="0"/>
      <w:marTop w:val="0"/>
      <w:marBottom w:val="0"/>
      <w:divBdr>
        <w:top w:val="none" w:sz="0" w:space="0" w:color="auto"/>
        <w:left w:val="none" w:sz="0" w:space="0" w:color="auto"/>
        <w:bottom w:val="none" w:sz="0" w:space="0" w:color="auto"/>
        <w:right w:val="none" w:sz="0" w:space="0" w:color="auto"/>
      </w:divBdr>
    </w:div>
    <w:div w:id="1577784871">
      <w:bodyDiv w:val="1"/>
      <w:marLeft w:val="0"/>
      <w:marRight w:val="0"/>
      <w:marTop w:val="0"/>
      <w:marBottom w:val="0"/>
      <w:divBdr>
        <w:top w:val="none" w:sz="0" w:space="0" w:color="auto"/>
        <w:left w:val="none" w:sz="0" w:space="0" w:color="auto"/>
        <w:bottom w:val="none" w:sz="0" w:space="0" w:color="auto"/>
        <w:right w:val="none" w:sz="0" w:space="0" w:color="auto"/>
      </w:divBdr>
    </w:div>
    <w:div w:id="1601182580">
      <w:bodyDiv w:val="1"/>
      <w:marLeft w:val="0"/>
      <w:marRight w:val="0"/>
      <w:marTop w:val="0"/>
      <w:marBottom w:val="0"/>
      <w:divBdr>
        <w:top w:val="none" w:sz="0" w:space="0" w:color="auto"/>
        <w:left w:val="none" w:sz="0" w:space="0" w:color="auto"/>
        <w:bottom w:val="none" w:sz="0" w:space="0" w:color="auto"/>
        <w:right w:val="none" w:sz="0" w:space="0" w:color="auto"/>
      </w:divBdr>
    </w:div>
    <w:div w:id="1607731564">
      <w:bodyDiv w:val="1"/>
      <w:marLeft w:val="0"/>
      <w:marRight w:val="0"/>
      <w:marTop w:val="0"/>
      <w:marBottom w:val="0"/>
      <w:divBdr>
        <w:top w:val="none" w:sz="0" w:space="0" w:color="auto"/>
        <w:left w:val="none" w:sz="0" w:space="0" w:color="auto"/>
        <w:bottom w:val="none" w:sz="0" w:space="0" w:color="auto"/>
        <w:right w:val="none" w:sz="0" w:space="0" w:color="auto"/>
      </w:divBdr>
    </w:div>
    <w:div w:id="1639996242">
      <w:bodyDiv w:val="1"/>
      <w:marLeft w:val="0"/>
      <w:marRight w:val="0"/>
      <w:marTop w:val="0"/>
      <w:marBottom w:val="0"/>
      <w:divBdr>
        <w:top w:val="none" w:sz="0" w:space="0" w:color="auto"/>
        <w:left w:val="none" w:sz="0" w:space="0" w:color="auto"/>
        <w:bottom w:val="none" w:sz="0" w:space="0" w:color="auto"/>
        <w:right w:val="none" w:sz="0" w:space="0" w:color="auto"/>
      </w:divBdr>
    </w:div>
    <w:div w:id="1714429706">
      <w:bodyDiv w:val="1"/>
      <w:marLeft w:val="0"/>
      <w:marRight w:val="0"/>
      <w:marTop w:val="0"/>
      <w:marBottom w:val="0"/>
      <w:divBdr>
        <w:top w:val="none" w:sz="0" w:space="0" w:color="auto"/>
        <w:left w:val="none" w:sz="0" w:space="0" w:color="auto"/>
        <w:bottom w:val="none" w:sz="0" w:space="0" w:color="auto"/>
        <w:right w:val="none" w:sz="0" w:space="0" w:color="auto"/>
      </w:divBdr>
    </w:div>
    <w:div w:id="1722055984">
      <w:bodyDiv w:val="1"/>
      <w:marLeft w:val="0"/>
      <w:marRight w:val="0"/>
      <w:marTop w:val="0"/>
      <w:marBottom w:val="0"/>
      <w:divBdr>
        <w:top w:val="none" w:sz="0" w:space="0" w:color="auto"/>
        <w:left w:val="none" w:sz="0" w:space="0" w:color="auto"/>
        <w:bottom w:val="none" w:sz="0" w:space="0" w:color="auto"/>
        <w:right w:val="none" w:sz="0" w:space="0" w:color="auto"/>
      </w:divBdr>
    </w:div>
    <w:div w:id="1723597092">
      <w:bodyDiv w:val="1"/>
      <w:marLeft w:val="0"/>
      <w:marRight w:val="0"/>
      <w:marTop w:val="0"/>
      <w:marBottom w:val="0"/>
      <w:divBdr>
        <w:top w:val="none" w:sz="0" w:space="0" w:color="auto"/>
        <w:left w:val="none" w:sz="0" w:space="0" w:color="auto"/>
        <w:bottom w:val="none" w:sz="0" w:space="0" w:color="auto"/>
        <w:right w:val="none" w:sz="0" w:space="0" w:color="auto"/>
      </w:divBdr>
    </w:div>
    <w:div w:id="1740128692">
      <w:bodyDiv w:val="1"/>
      <w:marLeft w:val="0"/>
      <w:marRight w:val="0"/>
      <w:marTop w:val="0"/>
      <w:marBottom w:val="0"/>
      <w:divBdr>
        <w:top w:val="none" w:sz="0" w:space="0" w:color="auto"/>
        <w:left w:val="none" w:sz="0" w:space="0" w:color="auto"/>
        <w:bottom w:val="none" w:sz="0" w:space="0" w:color="auto"/>
        <w:right w:val="none" w:sz="0" w:space="0" w:color="auto"/>
      </w:divBdr>
    </w:div>
    <w:div w:id="1780297133">
      <w:bodyDiv w:val="1"/>
      <w:marLeft w:val="0"/>
      <w:marRight w:val="0"/>
      <w:marTop w:val="0"/>
      <w:marBottom w:val="0"/>
      <w:divBdr>
        <w:top w:val="none" w:sz="0" w:space="0" w:color="auto"/>
        <w:left w:val="none" w:sz="0" w:space="0" w:color="auto"/>
        <w:bottom w:val="none" w:sz="0" w:space="0" w:color="auto"/>
        <w:right w:val="none" w:sz="0" w:space="0" w:color="auto"/>
      </w:divBdr>
    </w:div>
    <w:div w:id="1914270900">
      <w:bodyDiv w:val="1"/>
      <w:marLeft w:val="0"/>
      <w:marRight w:val="0"/>
      <w:marTop w:val="0"/>
      <w:marBottom w:val="0"/>
      <w:divBdr>
        <w:top w:val="none" w:sz="0" w:space="0" w:color="auto"/>
        <w:left w:val="none" w:sz="0" w:space="0" w:color="auto"/>
        <w:bottom w:val="none" w:sz="0" w:space="0" w:color="auto"/>
        <w:right w:val="none" w:sz="0" w:space="0" w:color="auto"/>
      </w:divBdr>
    </w:div>
    <w:div w:id="1929077866">
      <w:bodyDiv w:val="1"/>
      <w:marLeft w:val="0"/>
      <w:marRight w:val="0"/>
      <w:marTop w:val="0"/>
      <w:marBottom w:val="0"/>
      <w:divBdr>
        <w:top w:val="none" w:sz="0" w:space="0" w:color="auto"/>
        <w:left w:val="none" w:sz="0" w:space="0" w:color="auto"/>
        <w:bottom w:val="none" w:sz="0" w:space="0" w:color="auto"/>
        <w:right w:val="none" w:sz="0" w:space="0" w:color="auto"/>
      </w:divBdr>
    </w:div>
    <w:div w:id="1938826649">
      <w:bodyDiv w:val="1"/>
      <w:marLeft w:val="0"/>
      <w:marRight w:val="0"/>
      <w:marTop w:val="0"/>
      <w:marBottom w:val="0"/>
      <w:divBdr>
        <w:top w:val="none" w:sz="0" w:space="0" w:color="auto"/>
        <w:left w:val="none" w:sz="0" w:space="0" w:color="auto"/>
        <w:bottom w:val="none" w:sz="0" w:space="0" w:color="auto"/>
        <w:right w:val="none" w:sz="0" w:space="0" w:color="auto"/>
      </w:divBdr>
      <w:divsChild>
        <w:div w:id="84543521">
          <w:marLeft w:val="0"/>
          <w:marRight w:val="0"/>
          <w:marTop w:val="0"/>
          <w:marBottom w:val="0"/>
          <w:divBdr>
            <w:top w:val="none" w:sz="0" w:space="0" w:color="auto"/>
            <w:left w:val="none" w:sz="0" w:space="0" w:color="auto"/>
            <w:bottom w:val="none" w:sz="0" w:space="0" w:color="auto"/>
            <w:right w:val="none" w:sz="0" w:space="0" w:color="auto"/>
          </w:divBdr>
        </w:div>
      </w:divsChild>
    </w:div>
    <w:div w:id="1967929188">
      <w:bodyDiv w:val="1"/>
      <w:marLeft w:val="0"/>
      <w:marRight w:val="0"/>
      <w:marTop w:val="0"/>
      <w:marBottom w:val="0"/>
      <w:divBdr>
        <w:top w:val="none" w:sz="0" w:space="0" w:color="auto"/>
        <w:left w:val="none" w:sz="0" w:space="0" w:color="auto"/>
        <w:bottom w:val="none" w:sz="0" w:space="0" w:color="auto"/>
        <w:right w:val="none" w:sz="0" w:space="0" w:color="auto"/>
      </w:divBdr>
    </w:div>
    <w:div w:id="1983580070">
      <w:bodyDiv w:val="1"/>
      <w:marLeft w:val="0"/>
      <w:marRight w:val="0"/>
      <w:marTop w:val="0"/>
      <w:marBottom w:val="0"/>
      <w:divBdr>
        <w:top w:val="none" w:sz="0" w:space="0" w:color="auto"/>
        <w:left w:val="none" w:sz="0" w:space="0" w:color="auto"/>
        <w:bottom w:val="none" w:sz="0" w:space="0" w:color="auto"/>
        <w:right w:val="none" w:sz="0" w:space="0" w:color="auto"/>
      </w:divBdr>
    </w:div>
    <w:div w:id="2037148004">
      <w:bodyDiv w:val="1"/>
      <w:marLeft w:val="0"/>
      <w:marRight w:val="0"/>
      <w:marTop w:val="0"/>
      <w:marBottom w:val="0"/>
      <w:divBdr>
        <w:top w:val="none" w:sz="0" w:space="0" w:color="auto"/>
        <w:left w:val="none" w:sz="0" w:space="0" w:color="auto"/>
        <w:bottom w:val="none" w:sz="0" w:space="0" w:color="auto"/>
        <w:right w:val="none" w:sz="0" w:space="0" w:color="auto"/>
      </w:divBdr>
      <w:divsChild>
        <w:div w:id="230240466">
          <w:marLeft w:val="0"/>
          <w:marRight w:val="0"/>
          <w:marTop w:val="0"/>
          <w:marBottom w:val="0"/>
          <w:divBdr>
            <w:top w:val="none" w:sz="0" w:space="0" w:color="auto"/>
            <w:left w:val="none" w:sz="0" w:space="0" w:color="auto"/>
            <w:bottom w:val="none" w:sz="0" w:space="0" w:color="auto"/>
            <w:right w:val="none" w:sz="0" w:space="0" w:color="auto"/>
          </w:divBdr>
        </w:div>
      </w:divsChild>
    </w:div>
    <w:div w:id="2038970668">
      <w:bodyDiv w:val="1"/>
      <w:marLeft w:val="0"/>
      <w:marRight w:val="0"/>
      <w:marTop w:val="0"/>
      <w:marBottom w:val="0"/>
      <w:divBdr>
        <w:top w:val="none" w:sz="0" w:space="0" w:color="auto"/>
        <w:left w:val="none" w:sz="0" w:space="0" w:color="auto"/>
        <w:bottom w:val="none" w:sz="0" w:space="0" w:color="auto"/>
        <w:right w:val="none" w:sz="0" w:space="0" w:color="auto"/>
      </w:divBdr>
    </w:div>
    <w:div w:id="2046321591">
      <w:bodyDiv w:val="1"/>
      <w:marLeft w:val="0"/>
      <w:marRight w:val="0"/>
      <w:marTop w:val="0"/>
      <w:marBottom w:val="0"/>
      <w:divBdr>
        <w:top w:val="none" w:sz="0" w:space="0" w:color="auto"/>
        <w:left w:val="none" w:sz="0" w:space="0" w:color="auto"/>
        <w:bottom w:val="none" w:sz="0" w:space="0" w:color="auto"/>
        <w:right w:val="none" w:sz="0" w:space="0" w:color="auto"/>
      </w:divBdr>
    </w:div>
    <w:div w:id="2078236327">
      <w:bodyDiv w:val="1"/>
      <w:marLeft w:val="0"/>
      <w:marRight w:val="0"/>
      <w:marTop w:val="0"/>
      <w:marBottom w:val="0"/>
      <w:divBdr>
        <w:top w:val="none" w:sz="0" w:space="0" w:color="auto"/>
        <w:left w:val="none" w:sz="0" w:space="0" w:color="auto"/>
        <w:bottom w:val="none" w:sz="0" w:space="0" w:color="auto"/>
        <w:right w:val="none" w:sz="0" w:space="0" w:color="auto"/>
      </w:divBdr>
    </w:div>
    <w:div w:id="2085452282">
      <w:bodyDiv w:val="1"/>
      <w:marLeft w:val="0"/>
      <w:marRight w:val="0"/>
      <w:marTop w:val="0"/>
      <w:marBottom w:val="0"/>
      <w:divBdr>
        <w:top w:val="none" w:sz="0" w:space="0" w:color="auto"/>
        <w:left w:val="none" w:sz="0" w:space="0" w:color="auto"/>
        <w:bottom w:val="none" w:sz="0" w:space="0" w:color="auto"/>
        <w:right w:val="none" w:sz="0" w:space="0" w:color="auto"/>
      </w:divBdr>
    </w:div>
    <w:div w:id="2086999118">
      <w:bodyDiv w:val="1"/>
      <w:marLeft w:val="0"/>
      <w:marRight w:val="0"/>
      <w:marTop w:val="0"/>
      <w:marBottom w:val="0"/>
      <w:divBdr>
        <w:top w:val="none" w:sz="0" w:space="0" w:color="auto"/>
        <w:left w:val="none" w:sz="0" w:space="0" w:color="auto"/>
        <w:bottom w:val="none" w:sz="0" w:space="0" w:color="auto"/>
        <w:right w:val="none" w:sz="0" w:space="0" w:color="auto"/>
      </w:divBdr>
    </w:div>
    <w:div w:id="2088264838">
      <w:bodyDiv w:val="1"/>
      <w:marLeft w:val="0"/>
      <w:marRight w:val="0"/>
      <w:marTop w:val="0"/>
      <w:marBottom w:val="0"/>
      <w:divBdr>
        <w:top w:val="none" w:sz="0" w:space="0" w:color="auto"/>
        <w:left w:val="none" w:sz="0" w:space="0" w:color="auto"/>
        <w:bottom w:val="none" w:sz="0" w:space="0" w:color="auto"/>
        <w:right w:val="none" w:sz="0" w:space="0" w:color="auto"/>
      </w:divBdr>
    </w:div>
    <w:div w:id="2090534754">
      <w:bodyDiv w:val="1"/>
      <w:marLeft w:val="0"/>
      <w:marRight w:val="0"/>
      <w:marTop w:val="0"/>
      <w:marBottom w:val="0"/>
      <w:divBdr>
        <w:top w:val="none" w:sz="0" w:space="0" w:color="auto"/>
        <w:left w:val="none" w:sz="0" w:space="0" w:color="auto"/>
        <w:bottom w:val="none" w:sz="0" w:space="0" w:color="auto"/>
        <w:right w:val="none" w:sz="0" w:space="0" w:color="auto"/>
      </w:divBdr>
    </w:div>
    <w:div w:id="2094935318">
      <w:bodyDiv w:val="1"/>
      <w:marLeft w:val="0"/>
      <w:marRight w:val="0"/>
      <w:marTop w:val="0"/>
      <w:marBottom w:val="0"/>
      <w:divBdr>
        <w:top w:val="none" w:sz="0" w:space="0" w:color="auto"/>
        <w:left w:val="none" w:sz="0" w:space="0" w:color="auto"/>
        <w:bottom w:val="none" w:sz="0" w:space="0" w:color="auto"/>
        <w:right w:val="none" w:sz="0" w:space="0" w:color="auto"/>
      </w:divBdr>
    </w:div>
    <w:div w:id="2127457038">
      <w:bodyDiv w:val="1"/>
      <w:marLeft w:val="0"/>
      <w:marRight w:val="0"/>
      <w:marTop w:val="0"/>
      <w:marBottom w:val="0"/>
      <w:divBdr>
        <w:top w:val="none" w:sz="0" w:space="0" w:color="auto"/>
        <w:left w:val="none" w:sz="0" w:space="0" w:color="auto"/>
        <w:bottom w:val="none" w:sz="0" w:space="0" w:color="auto"/>
        <w:right w:val="none" w:sz="0" w:space="0" w:color="auto"/>
      </w:divBdr>
    </w:div>
    <w:div w:id="2137794773">
      <w:bodyDiv w:val="1"/>
      <w:marLeft w:val="0"/>
      <w:marRight w:val="0"/>
      <w:marTop w:val="0"/>
      <w:marBottom w:val="0"/>
      <w:divBdr>
        <w:top w:val="none" w:sz="0" w:space="0" w:color="auto"/>
        <w:left w:val="none" w:sz="0" w:space="0" w:color="auto"/>
        <w:bottom w:val="none" w:sz="0" w:space="0" w:color="auto"/>
        <w:right w:val="none" w:sz="0" w:space="0" w:color="auto"/>
      </w:divBdr>
    </w:div>
    <w:div w:id="213949300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footnotes" Target="footnotes.xml"/><Relationship Id="rId18" Type="http://schemas.openxmlformats.org/officeDocument/2006/relationships/footer" Target="footer2.xml"/><Relationship Id="rId26" Type="http://schemas.openxmlformats.org/officeDocument/2006/relationships/hyperlink" Target="http://www.microsoft.com/spd" TargetMode="External"/><Relationship Id="rId39" Type="http://schemas.openxmlformats.org/officeDocument/2006/relationships/hyperlink" Target="http://www.microsoft.com/licensing/resources/vol/volumelicensekey/default.mspx" TargetMode="External"/><Relationship Id="rId21" Type="http://schemas.openxmlformats.org/officeDocument/2006/relationships/image" Target="media/image6.png"/><Relationship Id="rId34" Type="http://schemas.openxmlformats.org/officeDocument/2006/relationships/hyperlink" Target="http://www.windowsazure.com" TargetMode="External"/><Relationship Id="rId42" Type="http://schemas.openxmlformats.org/officeDocument/2006/relationships/hyperlink" Target="http://www.vexcel.com/geospatial/bingmapsserver/index.asp" TargetMode="External"/><Relationship Id="rId47" Type="http://schemas.openxmlformats.org/officeDocument/2006/relationships/hyperlink" Target="mailto:bmesupp@microsoft.com" TargetMode="External"/><Relationship Id="rId50" Type="http://schemas.openxmlformats.org/officeDocument/2006/relationships/hyperlink" Target="http://www.microsoft.com/sqlserver/en/us/get-sql-server/how-to-buy.aspx" TargetMode="External"/><Relationship Id="rId55" Type="http://schemas.openxmlformats.org/officeDocument/2006/relationships/hyperlink" Target="http://www.microsoft.com/en-us/dynamics/erp-buy-ax-software.aspx" TargetMode="External"/><Relationship Id="rId63" Type="http://schemas.openxmlformats.org/officeDocument/2006/relationships/theme" Target="theme/theme1.xml"/><Relationship Id="rId7" Type="http://schemas.openxmlformats.org/officeDocument/2006/relationships/customXml" Target="../customXml/item7.xml"/><Relationship Id="rId2" Type="http://schemas.openxmlformats.org/officeDocument/2006/relationships/customXml" Target="../customXml/item2.xml"/><Relationship Id="rId16" Type="http://schemas.openxmlformats.org/officeDocument/2006/relationships/footer" Target="footer1.xml"/><Relationship Id="rId20" Type="http://schemas.openxmlformats.org/officeDocument/2006/relationships/image" Target="media/image5.png"/><Relationship Id="rId29" Type="http://schemas.openxmlformats.org/officeDocument/2006/relationships/hyperlink" Target="http://support.microsoft.com/common/international.aspx?rdpath=dm;en-us;lifecycle" TargetMode="External"/><Relationship Id="rId41" Type="http://schemas.openxmlformats.org/officeDocument/2006/relationships/hyperlink" Target="http://www.microsoftvolumelicensing.com/userights/PUR.aspx" TargetMode="External"/><Relationship Id="rId54" Type="http://schemas.openxmlformats.org/officeDocument/2006/relationships/hyperlink" Target="http://www.microsoft.com" TargetMode="External"/><Relationship Id="rId62"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customXml" Target="../customXml/item6.xml"/><Relationship Id="rId11" Type="http://schemas.openxmlformats.org/officeDocument/2006/relationships/settings" Target="settings.xml"/><Relationship Id="rId24" Type="http://schemas.openxmlformats.org/officeDocument/2006/relationships/hyperlink" Target="http://www.microsoft.com/online/faq.aspx" TargetMode="External"/><Relationship Id="rId32" Type="http://schemas.openxmlformats.org/officeDocument/2006/relationships/hyperlink" Target="http://www.microsoft.com/licensing" TargetMode="External"/><Relationship Id="rId37" Type="http://schemas.openxmlformats.org/officeDocument/2006/relationships/hyperlink" Target="https://www.microsoft.com/licensing/servicecenter/default.aspx" TargetMode="External"/><Relationship Id="rId40" Type="http://schemas.openxmlformats.org/officeDocument/2006/relationships/hyperlink" Target="http://www.microsoftvolumelicensing.com/userights/PUR.aspx" TargetMode="External"/><Relationship Id="rId45" Type="http://schemas.openxmlformats.org/officeDocument/2006/relationships/hyperlink" Target="http://www.microsoft.com/education/pil/partnersinlearning.aspx" TargetMode="External"/><Relationship Id="rId53" Type="http://schemas.openxmlformats.org/officeDocument/2006/relationships/hyperlink" Target="http://www.microsoft.com/en-us/dynamics/erp-explore-ax-capabilities.aspx" TargetMode="External"/><Relationship Id="rId58" Type="http://schemas.openxmlformats.org/officeDocument/2006/relationships/hyperlink" Target="http://www.vexcel.com/geospatial/bingmapsserver/index.asp" TargetMode="External"/><Relationship Id="rId5" Type="http://schemas.openxmlformats.org/officeDocument/2006/relationships/customXml" Target="../customXml/item5.xml"/><Relationship Id="rId15" Type="http://schemas.openxmlformats.org/officeDocument/2006/relationships/header" Target="header1.xml"/><Relationship Id="rId23" Type="http://schemas.openxmlformats.org/officeDocument/2006/relationships/hyperlink" Target="http://www.microsoft.com/licensing" TargetMode="External"/><Relationship Id="rId28" Type="http://schemas.openxmlformats.org/officeDocument/2006/relationships/hyperlink" Target="http://support.microsoft.com/lifecycle" TargetMode="External"/><Relationship Id="rId36" Type="http://schemas.openxmlformats.org/officeDocument/2006/relationships/hyperlink" Target="http://www.microsoft.com/products/exporting/basics.htm" TargetMode="External"/><Relationship Id="rId49" Type="http://schemas.openxmlformats.org/officeDocument/2006/relationships/hyperlink" Target="mailto:bmesupp@microsoft.com" TargetMode="External"/><Relationship Id="rId57" Type="http://schemas.openxmlformats.org/officeDocument/2006/relationships/hyperlink" Target="https://www.certiport.com/PORTAL/desktopdefault.aspx?tabid=682&amp;roleid=101" TargetMode="External"/><Relationship Id="rId61" Type="http://schemas.openxmlformats.org/officeDocument/2006/relationships/footer" Target="footer4.xml"/><Relationship Id="rId10" Type="http://schemas.microsoft.com/office/2007/relationships/stylesWithEffects" Target="stylesWithEffects.xml"/><Relationship Id="rId19" Type="http://schemas.openxmlformats.org/officeDocument/2006/relationships/image" Target="media/image4.png"/><Relationship Id="rId31" Type="http://schemas.openxmlformats.org/officeDocument/2006/relationships/hyperlink" Target="http://www.microsoft.com/technet/subscription" TargetMode="External"/><Relationship Id="rId44" Type="http://schemas.openxmlformats.org/officeDocument/2006/relationships/hyperlink" Target="http://www.microsoft.com/en-us/windows/windowsintune/faq/default.aspx" TargetMode="External"/><Relationship Id="rId52" Type="http://schemas.openxmlformats.org/officeDocument/2006/relationships/hyperlink" Target="https://www.microsoft.com/licensing/servicecenter" TargetMode="External"/><Relationship Id="rId60" Type="http://schemas.openxmlformats.org/officeDocument/2006/relationships/header" Target="header3.xml"/><Relationship Id="rId4" Type="http://schemas.openxmlformats.org/officeDocument/2006/relationships/customXml" Target="../customXml/item4.xml"/><Relationship Id="rId9" Type="http://schemas.openxmlformats.org/officeDocument/2006/relationships/styles" Target="styles.xml"/><Relationship Id="rId14" Type="http://schemas.openxmlformats.org/officeDocument/2006/relationships/endnotes" Target="endnotes.xml"/><Relationship Id="rId22" Type="http://schemas.openxmlformats.org/officeDocument/2006/relationships/hyperlink" Target="Subscription" TargetMode="External"/><Relationship Id="rId27" Type="http://schemas.openxmlformats.org/officeDocument/2006/relationships/hyperlink" Target="http://www.microsoft.com/resources/sharedsource/Licensing/Enterprise.mspx" TargetMode="External"/><Relationship Id="rId30" Type="http://schemas.openxmlformats.org/officeDocument/2006/relationships/hyperlink" Target="http://support.microsoft.com/lifecycle" TargetMode="External"/><Relationship Id="rId35" Type="http://schemas.openxmlformats.org/officeDocument/2006/relationships/hyperlink" Target="http://www.windowsazure.com/en-us/support/plans/" TargetMode="External"/><Relationship Id="rId43" Type="http://schemas.openxmlformats.org/officeDocument/2006/relationships/hyperlink" Target="http://www.microsoftvolumelicensing.com/userights/PUR.aspx" TargetMode="External"/><Relationship Id="rId48" Type="http://schemas.openxmlformats.org/officeDocument/2006/relationships/hyperlink" Target="https://support.microsoft.com/oas/default.aspx?prid=13766&amp;st=1" TargetMode="External"/><Relationship Id="rId56" Type="http://schemas.openxmlformats.org/officeDocument/2006/relationships/hyperlink" Target="https://www.certiport.com/PORTAL/desktopdefault.aspx?tabid=682&amp;roleid=101" TargetMode="External"/><Relationship Id="rId8" Type="http://schemas.openxmlformats.org/officeDocument/2006/relationships/numbering" Target="numbering.xml"/><Relationship Id="rId51" Type="http://schemas.openxmlformats.org/officeDocument/2006/relationships/hyperlink" Target="https://www.microsoft.com/licensing/servicecenter" TargetMode="External"/><Relationship Id="rId3" Type="http://schemas.openxmlformats.org/officeDocument/2006/relationships/customXml" Target="../customXml/item3.xml"/><Relationship Id="rId12" Type="http://schemas.openxmlformats.org/officeDocument/2006/relationships/webSettings" Target="webSettings.xml"/><Relationship Id="rId17" Type="http://schemas.openxmlformats.org/officeDocument/2006/relationships/header" Target="header2.xml"/><Relationship Id="rId25" Type="http://schemas.openxmlformats.org/officeDocument/2006/relationships/hyperlink" Target="http://www.microsoft.com/licensing" TargetMode="External"/><Relationship Id="rId33" Type="http://schemas.openxmlformats.org/officeDocument/2006/relationships/hyperlink" Target="http://www.windowsazure.com/en-us/support/plans/" TargetMode="External"/><Relationship Id="rId38" Type="http://schemas.openxmlformats.org/officeDocument/2006/relationships/hyperlink" Target="http://www.microsoft.com/licensing/resources/vol/numbers.mspx" TargetMode="External"/><Relationship Id="rId46" Type="http://schemas.openxmlformats.org/officeDocument/2006/relationships/hyperlink" Target="http://www.microsoft.com/licensing/contracts" TargetMode="External"/><Relationship Id="rId59" Type="http://schemas.openxmlformats.org/officeDocument/2006/relationships/footer" Target="footer3.xml"/></Relationships>
</file>

<file path=word/_rels/header1.xml.rels><?xml version="1.0" encoding="UTF-8" standalone="yes"?>
<Relationships xmlns="http://schemas.openxmlformats.org/package/2006/relationships"><Relationship Id="rId3" Type="http://schemas.openxmlformats.org/officeDocument/2006/relationships/image" Target="media/image10.jpeg"/><Relationship Id="rId2" Type="http://schemas.openxmlformats.org/officeDocument/2006/relationships/image" Target="media/image2.png"/><Relationship Id="rId1" Type="http://schemas.openxmlformats.org/officeDocument/2006/relationships/image" Target="media/image1.jpeg"/><Relationship Id="rId4" Type="http://schemas.openxmlformats.org/officeDocument/2006/relationships/image" Target="media/image20.png"/></Relationships>
</file>

<file path=word/_rels/header2.xml.rels><?xml version="1.0" encoding="UTF-8" standalone="yes"?>
<Relationships xmlns="http://schemas.openxmlformats.org/package/2006/relationships"><Relationship Id="rId1" Type="http://schemas.openxmlformats.org/officeDocument/2006/relationships/image" Target="media/image3.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_rels/item6.xml.rels><?xml version="1.0" encoding="UTF-8" standalone="yes"?>
<Relationships xmlns="http://schemas.openxmlformats.org/package/2006/relationships"><Relationship Id="rId1" Type="http://schemas.openxmlformats.org/officeDocument/2006/relationships/customXmlProps" Target="itemProps6.xml"/></Relationships>
</file>

<file path=customXml/_rels/item7.xml.rels><?xml version="1.0" encoding="UTF-8" standalone="yes"?>
<Relationships xmlns="http://schemas.openxmlformats.org/package/2006/relationships"><Relationship Id="rId1" Type="http://schemas.openxmlformats.org/officeDocument/2006/relationships/customXmlProps" Target="itemProps7.xml"/></Relationships>
</file>

<file path=customXml/item1.xml><?xml version="1.0" encoding="utf-8"?>
<p:properties xmlns:p="http://schemas.microsoft.com/office/2006/metadata/properties" xmlns:xsi="http://www.w3.org/2001/XMLSchema-instance" xmlns:pc="http://schemas.microsoft.com/office/infopath/2007/PartnerControls">
  <documentManagement/>
</p:properties>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ct:contentTypeSchema xmlns:ct="http://schemas.microsoft.com/office/2006/metadata/contentType" xmlns:ma="http://schemas.microsoft.com/office/2006/metadata/properties/metaAttributes" ct:_="" ma:_="" ma:contentTypeName="Document" ma:contentTypeID="0x010100D56A5B1AE2E87F4E9F7D7896DF9BAB7C" ma:contentTypeVersion="0" ma:contentTypeDescription="Create a new document." ma:contentTypeScope="" ma:versionID="290f1554bf6da374d20177b1432a3345">
  <xsd:schema xmlns:xsd="http://www.w3.org/2001/XMLSchema" xmlns:xs="http://www.w3.org/2001/XMLSchema" xmlns:p="http://schemas.microsoft.com/office/2006/metadata/properties" targetNamespace="http://schemas.microsoft.com/office/2006/metadata/properties" ma:root="true" ma:fieldsID="06e0e3112098b4d1518554ee266199a9">
    <xsd:element name="properties">
      <xsd:complexType>
        <xsd:sequence>
          <xsd:element name="documentManagement">
            <xsd:complexType>
              <xsd:all/>
            </xsd:complexType>
          </xsd:element>
        </xsd:sequence>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b:Sources xmlns:b="http://schemas.openxmlformats.org/officeDocument/2006/bibliography" xmlns="http://schemas.openxmlformats.org/officeDocument/2006/bibliography" SelectedStyle="\APA.XSL" StyleName="APA"/>
</file>

<file path=customXml/item5.xml><?xml version="1.0" encoding="utf-8"?>
<b:Sources xmlns:b="http://schemas.openxmlformats.org/officeDocument/2006/bibliography" xmlns="http://schemas.openxmlformats.org/officeDocument/2006/bibliography" SelectedStyle="\APA.XSL" StyleName="APA"/>
</file>

<file path=customXml/item6.xml><?xml version="1.0" encoding="utf-8"?>
<b:Sources xmlns:b="http://schemas.openxmlformats.org/officeDocument/2006/bibliography" xmlns="http://schemas.openxmlformats.org/officeDocument/2006/bibliography" SelectedStyle="\APA.XSL" StyleName="APA"/>
</file>

<file path=customXml/item7.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CBCD8E0F-845F-439D-896F-F1F762AB6E9A}">
  <ds:schemaRefs>
    <ds:schemaRef ds:uri="http://schemas.microsoft.com/office/2006/metadata/properties"/>
    <ds:schemaRef ds:uri="http://schemas.microsoft.com/office/infopath/2007/PartnerControls"/>
  </ds:schemaRefs>
</ds:datastoreItem>
</file>

<file path=customXml/itemProps2.xml><?xml version="1.0" encoding="utf-8"?>
<ds:datastoreItem xmlns:ds="http://schemas.openxmlformats.org/officeDocument/2006/customXml" ds:itemID="{8C9C8873-43C9-4F46-8093-3F116F53B690}">
  <ds:schemaRefs>
    <ds:schemaRef ds:uri="http://schemas.microsoft.com/sharepoint/v3/contenttype/forms"/>
  </ds:schemaRefs>
</ds:datastoreItem>
</file>

<file path=customXml/itemProps3.xml><?xml version="1.0" encoding="utf-8"?>
<ds:datastoreItem xmlns:ds="http://schemas.openxmlformats.org/officeDocument/2006/customXml" ds:itemID="{EFE04003-D521-43AF-81A3-232609D3876E}">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openxmlformats.org/package/2006/metadata/core-properties"/>
    <ds:schemaRef ds:uri="http://purl.org/dc/elements/1.1/"/>
    <ds:schemaRef ds:uri="http://purl.org/dc/terms/"/>
    <ds:schemaRef ds:uri="http://schemas.microsoft.com/internal/obd"/>
    <ds:schemaRef ds:uri="http://schemas.microsoft.com/office/infopath/2007/PartnerControls"/>
  </ds:schemaRefs>
</ds:datastoreItem>
</file>

<file path=customXml/itemProps4.xml><?xml version="1.0" encoding="utf-8"?>
<ds:datastoreItem xmlns:ds="http://schemas.openxmlformats.org/officeDocument/2006/customXml" ds:itemID="{4B48A8EC-38AD-4699-8DEB-497B86B5B404}">
  <ds:schemaRefs>
    <ds:schemaRef ds:uri="http://schemas.openxmlformats.org/officeDocument/2006/bibliography"/>
  </ds:schemaRefs>
</ds:datastoreItem>
</file>

<file path=customXml/itemProps5.xml><?xml version="1.0" encoding="utf-8"?>
<ds:datastoreItem xmlns:ds="http://schemas.openxmlformats.org/officeDocument/2006/customXml" ds:itemID="{752D7716-40FC-4090-8476-3A71C6ECE9B2}">
  <ds:schemaRefs>
    <ds:schemaRef ds:uri="http://schemas.openxmlformats.org/officeDocument/2006/bibliography"/>
  </ds:schemaRefs>
</ds:datastoreItem>
</file>

<file path=customXml/itemProps6.xml><?xml version="1.0" encoding="utf-8"?>
<ds:datastoreItem xmlns:ds="http://schemas.openxmlformats.org/officeDocument/2006/customXml" ds:itemID="{861CDA75-E3AB-4342-A4EC-7BF7292ECC52}">
  <ds:schemaRefs>
    <ds:schemaRef ds:uri="http://schemas.openxmlformats.org/officeDocument/2006/bibliography"/>
  </ds:schemaRefs>
</ds:datastoreItem>
</file>

<file path=customXml/itemProps7.xml><?xml version="1.0" encoding="utf-8"?>
<ds:datastoreItem xmlns:ds="http://schemas.openxmlformats.org/officeDocument/2006/customXml" ds:itemID="{2821FA7A-D52C-4B01-A153-D476D7EDC2F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201</Pages>
  <Words>100596</Words>
  <Characters>573400</Characters>
  <Application>Microsoft Office Word</Application>
  <DocSecurity>8</DocSecurity>
  <Lines>4778</Lines>
  <Paragraphs>1345</Paragraphs>
  <ScaleCrop>false</ScaleCrop>
  <HeadingPairs>
    <vt:vector size="2" baseType="variant">
      <vt:variant>
        <vt:lpstr>Title</vt:lpstr>
      </vt:variant>
      <vt:variant>
        <vt:i4>1</vt:i4>
      </vt:variant>
    </vt:vector>
  </HeadingPairs>
  <TitlesOfParts>
    <vt:vector size="1" baseType="lpstr">
      <vt:lpstr>Microsoft®</vt:lpstr>
    </vt:vector>
  </TitlesOfParts>
  <Company>Microsoft Corporation</Company>
  <LinksUpToDate>false</LinksUpToDate>
  <CharactersWithSpaces>672651</CharactersWithSpaces>
  <SharedDoc>false</SharedDoc>
  <HLinks>
    <vt:vector size="1302" baseType="variant">
      <vt:variant>
        <vt:i4>3670129</vt:i4>
      </vt:variant>
      <vt:variant>
        <vt:i4>2187</vt:i4>
      </vt:variant>
      <vt:variant>
        <vt:i4>0</vt:i4>
      </vt:variant>
      <vt:variant>
        <vt:i4>5</vt:i4>
      </vt:variant>
      <vt:variant>
        <vt:lpwstr>http://www.microsoft.com/sqlserver/2008/en/us/parallel-data-warehouse.aspx</vt:lpwstr>
      </vt:variant>
      <vt:variant>
        <vt:lpwstr/>
      </vt:variant>
      <vt:variant>
        <vt:i4>1048665</vt:i4>
      </vt:variant>
      <vt:variant>
        <vt:i4>2184</vt:i4>
      </vt:variant>
      <vt:variant>
        <vt:i4>0</vt:i4>
      </vt:variant>
      <vt:variant>
        <vt:i4>5</vt:i4>
      </vt:variant>
      <vt:variant>
        <vt:lpwstr>https://www.certiport.com/PORTAL/desktopdefault.aspx?tabid=682&amp;roleid=101</vt:lpwstr>
      </vt:variant>
      <vt:variant>
        <vt:lpwstr/>
      </vt:variant>
      <vt:variant>
        <vt:i4>1048665</vt:i4>
      </vt:variant>
      <vt:variant>
        <vt:i4>2181</vt:i4>
      </vt:variant>
      <vt:variant>
        <vt:i4>0</vt:i4>
      </vt:variant>
      <vt:variant>
        <vt:i4>5</vt:i4>
      </vt:variant>
      <vt:variant>
        <vt:lpwstr>https://www.certiport.com/PORTAL/desktopdefault.aspx?tabid=682&amp;roleid=101</vt:lpwstr>
      </vt:variant>
      <vt:variant>
        <vt:lpwstr/>
      </vt:variant>
      <vt:variant>
        <vt:i4>655435</vt:i4>
      </vt:variant>
      <vt:variant>
        <vt:i4>2178</vt:i4>
      </vt:variant>
      <vt:variant>
        <vt:i4>0</vt:i4>
      </vt:variant>
      <vt:variant>
        <vt:i4>5</vt:i4>
      </vt:variant>
      <vt:variant>
        <vt:lpwstr>http://www.microsoft.com/en-us/dynamics/erp-explore-ax-capabilities.aspx</vt:lpwstr>
      </vt:variant>
      <vt:variant>
        <vt:lpwstr/>
      </vt:variant>
      <vt:variant>
        <vt:i4>540475425</vt:i4>
      </vt:variant>
      <vt:variant>
        <vt:i4>2175</vt:i4>
      </vt:variant>
      <vt:variant>
        <vt:i4>0</vt:i4>
      </vt:variant>
      <vt:variant>
        <vt:i4>5</vt:i4>
      </vt:variant>
      <vt:variant>
        <vt:lpwstr/>
      </vt:variant>
      <vt:variant>
        <vt:lpwstr>_SECTION_3_–</vt:lpwstr>
      </vt:variant>
      <vt:variant>
        <vt:i4>540475425</vt:i4>
      </vt:variant>
      <vt:variant>
        <vt:i4>2172</vt:i4>
      </vt:variant>
      <vt:variant>
        <vt:i4>0</vt:i4>
      </vt:variant>
      <vt:variant>
        <vt:i4>5</vt:i4>
      </vt:variant>
      <vt:variant>
        <vt:lpwstr/>
      </vt:variant>
      <vt:variant>
        <vt:lpwstr>_SECTION_3_–</vt:lpwstr>
      </vt:variant>
      <vt:variant>
        <vt:i4>540475425</vt:i4>
      </vt:variant>
      <vt:variant>
        <vt:i4>2169</vt:i4>
      </vt:variant>
      <vt:variant>
        <vt:i4>0</vt:i4>
      </vt:variant>
      <vt:variant>
        <vt:i4>5</vt:i4>
      </vt:variant>
      <vt:variant>
        <vt:lpwstr/>
      </vt:variant>
      <vt:variant>
        <vt:lpwstr>_SECTION_3_–</vt:lpwstr>
      </vt:variant>
      <vt:variant>
        <vt:i4>540082209</vt:i4>
      </vt:variant>
      <vt:variant>
        <vt:i4>2166</vt:i4>
      </vt:variant>
      <vt:variant>
        <vt:i4>0</vt:i4>
      </vt:variant>
      <vt:variant>
        <vt:i4>5</vt:i4>
      </vt:variant>
      <vt:variant>
        <vt:lpwstr/>
      </vt:variant>
      <vt:variant>
        <vt:lpwstr>_Section_5_–</vt:lpwstr>
      </vt:variant>
      <vt:variant>
        <vt:i4>7864357</vt:i4>
      </vt:variant>
      <vt:variant>
        <vt:i4>2163</vt:i4>
      </vt:variant>
      <vt:variant>
        <vt:i4>0</vt:i4>
      </vt:variant>
      <vt:variant>
        <vt:i4>5</vt:i4>
      </vt:variant>
      <vt:variant>
        <vt:lpwstr>http://www.microsoft.com/sqlserver/en/us/get-sql-server/how-to-buy.aspx</vt:lpwstr>
      </vt:variant>
      <vt:variant>
        <vt:lpwstr/>
      </vt:variant>
      <vt:variant>
        <vt:i4>7864357</vt:i4>
      </vt:variant>
      <vt:variant>
        <vt:i4>2160</vt:i4>
      </vt:variant>
      <vt:variant>
        <vt:i4>0</vt:i4>
      </vt:variant>
      <vt:variant>
        <vt:i4>5</vt:i4>
      </vt:variant>
      <vt:variant>
        <vt:lpwstr>http://www.microsoft.com/sqlserver/en/us/get-sql-server/how-to-buy.aspx</vt:lpwstr>
      </vt:variant>
      <vt:variant>
        <vt:lpwstr/>
      </vt:variant>
      <vt:variant>
        <vt:i4>7405641</vt:i4>
      </vt:variant>
      <vt:variant>
        <vt:i4>2157</vt:i4>
      </vt:variant>
      <vt:variant>
        <vt:i4>0</vt:i4>
      </vt:variant>
      <vt:variant>
        <vt:i4>5</vt:i4>
      </vt:variant>
      <vt:variant>
        <vt:lpwstr/>
      </vt:variant>
      <vt:variant>
        <vt:lpwstr>Step_Up</vt:lpwstr>
      </vt:variant>
      <vt:variant>
        <vt:i4>540082209</vt:i4>
      </vt:variant>
      <vt:variant>
        <vt:i4>2154</vt:i4>
      </vt:variant>
      <vt:variant>
        <vt:i4>0</vt:i4>
      </vt:variant>
      <vt:variant>
        <vt:i4>5</vt:i4>
      </vt:variant>
      <vt:variant>
        <vt:lpwstr/>
      </vt:variant>
      <vt:variant>
        <vt:lpwstr>_Section_5_–</vt:lpwstr>
      </vt:variant>
      <vt:variant>
        <vt:i4>5242911</vt:i4>
      </vt:variant>
      <vt:variant>
        <vt:i4>2151</vt:i4>
      </vt:variant>
      <vt:variant>
        <vt:i4>0</vt:i4>
      </vt:variant>
      <vt:variant>
        <vt:i4>5</vt:i4>
      </vt:variant>
      <vt:variant>
        <vt:lpwstr>http://www.vexcel.com/geospatial/bingmapsserver/index.asp</vt:lpwstr>
      </vt:variant>
      <vt:variant>
        <vt:lpwstr/>
      </vt:variant>
      <vt:variant>
        <vt:i4>540475425</vt:i4>
      </vt:variant>
      <vt:variant>
        <vt:i4>2148</vt:i4>
      </vt:variant>
      <vt:variant>
        <vt:i4>0</vt:i4>
      </vt:variant>
      <vt:variant>
        <vt:i4>5</vt:i4>
      </vt:variant>
      <vt:variant>
        <vt:lpwstr/>
      </vt:variant>
      <vt:variant>
        <vt:lpwstr>_SECTION_3_–</vt:lpwstr>
      </vt:variant>
      <vt:variant>
        <vt:i4>6225920</vt:i4>
      </vt:variant>
      <vt:variant>
        <vt:i4>2145</vt:i4>
      </vt:variant>
      <vt:variant>
        <vt:i4>0</vt:i4>
      </vt:variant>
      <vt:variant>
        <vt:i4>5</vt:i4>
      </vt:variant>
      <vt:variant>
        <vt:lpwstr>http://www.microsoft.com/licensing/contracts</vt:lpwstr>
      </vt:variant>
      <vt:variant>
        <vt:lpwstr/>
      </vt:variant>
      <vt:variant>
        <vt:i4>6946848</vt:i4>
      </vt:variant>
      <vt:variant>
        <vt:i4>2142</vt:i4>
      </vt:variant>
      <vt:variant>
        <vt:i4>0</vt:i4>
      </vt:variant>
      <vt:variant>
        <vt:i4>5</vt:i4>
      </vt:variant>
      <vt:variant>
        <vt:lpwstr>http://www.microsoft.com/education/pil/partnersinlearning.aspx</vt:lpwstr>
      </vt:variant>
      <vt:variant>
        <vt:lpwstr/>
      </vt:variant>
      <vt:variant>
        <vt:i4>2031628</vt:i4>
      </vt:variant>
      <vt:variant>
        <vt:i4>2139</vt:i4>
      </vt:variant>
      <vt:variant>
        <vt:i4>0</vt:i4>
      </vt:variant>
      <vt:variant>
        <vt:i4>5</vt:i4>
      </vt:variant>
      <vt:variant>
        <vt:lpwstr>http://www.microsoft.com/en-us/windows/windowsintune/faq/default.aspx</vt:lpwstr>
      </vt:variant>
      <vt:variant>
        <vt:lpwstr/>
      </vt:variant>
      <vt:variant>
        <vt:i4>7405641</vt:i4>
      </vt:variant>
      <vt:variant>
        <vt:i4>2136</vt:i4>
      </vt:variant>
      <vt:variant>
        <vt:i4>0</vt:i4>
      </vt:variant>
      <vt:variant>
        <vt:i4>5</vt:i4>
      </vt:variant>
      <vt:variant>
        <vt:lpwstr/>
      </vt:variant>
      <vt:variant>
        <vt:lpwstr>Step_Up</vt:lpwstr>
      </vt:variant>
      <vt:variant>
        <vt:i4>7405641</vt:i4>
      </vt:variant>
      <vt:variant>
        <vt:i4>2133</vt:i4>
      </vt:variant>
      <vt:variant>
        <vt:i4>0</vt:i4>
      </vt:variant>
      <vt:variant>
        <vt:i4>5</vt:i4>
      </vt:variant>
      <vt:variant>
        <vt:lpwstr/>
      </vt:variant>
      <vt:variant>
        <vt:lpwstr>Step_Up</vt:lpwstr>
      </vt:variant>
      <vt:variant>
        <vt:i4>7405641</vt:i4>
      </vt:variant>
      <vt:variant>
        <vt:i4>2130</vt:i4>
      </vt:variant>
      <vt:variant>
        <vt:i4>0</vt:i4>
      </vt:variant>
      <vt:variant>
        <vt:i4>5</vt:i4>
      </vt:variant>
      <vt:variant>
        <vt:lpwstr/>
      </vt:variant>
      <vt:variant>
        <vt:lpwstr>Step_Up</vt:lpwstr>
      </vt:variant>
      <vt:variant>
        <vt:i4>7405641</vt:i4>
      </vt:variant>
      <vt:variant>
        <vt:i4>2127</vt:i4>
      </vt:variant>
      <vt:variant>
        <vt:i4>0</vt:i4>
      </vt:variant>
      <vt:variant>
        <vt:i4>5</vt:i4>
      </vt:variant>
      <vt:variant>
        <vt:lpwstr/>
      </vt:variant>
      <vt:variant>
        <vt:lpwstr>Step_Up</vt:lpwstr>
      </vt:variant>
      <vt:variant>
        <vt:i4>3932217</vt:i4>
      </vt:variant>
      <vt:variant>
        <vt:i4>2124</vt:i4>
      </vt:variant>
      <vt:variant>
        <vt:i4>0</vt:i4>
      </vt:variant>
      <vt:variant>
        <vt:i4>5</vt:i4>
      </vt:variant>
      <vt:variant>
        <vt:lpwstr>http://www.microsoftvolumelicensing.com/userights/PUR.aspx</vt:lpwstr>
      </vt:variant>
      <vt:variant>
        <vt:lpwstr/>
      </vt:variant>
      <vt:variant>
        <vt:i4>3932217</vt:i4>
      </vt:variant>
      <vt:variant>
        <vt:i4>2121</vt:i4>
      </vt:variant>
      <vt:variant>
        <vt:i4>0</vt:i4>
      </vt:variant>
      <vt:variant>
        <vt:i4>5</vt:i4>
      </vt:variant>
      <vt:variant>
        <vt:lpwstr>http://www.microsoftvolumelicensing.com/userights/PUR.aspx</vt:lpwstr>
      </vt:variant>
      <vt:variant>
        <vt:lpwstr/>
      </vt:variant>
      <vt:variant>
        <vt:i4>3932217</vt:i4>
      </vt:variant>
      <vt:variant>
        <vt:i4>2118</vt:i4>
      </vt:variant>
      <vt:variant>
        <vt:i4>0</vt:i4>
      </vt:variant>
      <vt:variant>
        <vt:i4>5</vt:i4>
      </vt:variant>
      <vt:variant>
        <vt:lpwstr>http://www.microsoftvolumelicensing.com/userights/PUR.aspx</vt:lpwstr>
      </vt:variant>
      <vt:variant>
        <vt:lpwstr/>
      </vt:variant>
      <vt:variant>
        <vt:i4>3932217</vt:i4>
      </vt:variant>
      <vt:variant>
        <vt:i4>2115</vt:i4>
      </vt:variant>
      <vt:variant>
        <vt:i4>0</vt:i4>
      </vt:variant>
      <vt:variant>
        <vt:i4>5</vt:i4>
      </vt:variant>
      <vt:variant>
        <vt:lpwstr>http://www.microsoftvolumelicensing.com/userights/PUR.aspx</vt:lpwstr>
      </vt:variant>
      <vt:variant>
        <vt:lpwstr/>
      </vt:variant>
      <vt:variant>
        <vt:i4>3932217</vt:i4>
      </vt:variant>
      <vt:variant>
        <vt:i4>2112</vt:i4>
      </vt:variant>
      <vt:variant>
        <vt:i4>0</vt:i4>
      </vt:variant>
      <vt:variant>
        <vt:i4>5</vt:i4>
      </vt:variant>
      <vt:variant>
        <vt:lpwstr>http://www.microsoftvolumelicensing.com/userights/PUR.aspx</vt:lpwstr>
      </vt:variant>
      <vt:variant>
        <vt:lpwstr/>
      </vt:variant>
      <vt:variant>
        <vt:i4>5242911</vt:i4>
      </vt:variant>
      <vt:variant>
        <vt:i4>2109</vt:i4>
      </vt:variant>
      <vt:variant>
        <vt:i4>0</vt:i4>
      </vt:variant>
      <vt:variant>
        <vt:i4>5</vt:i4>
      </vt:variant>
      <vt:variant>
        <vt:lpwstr>http://www.vexcel.com/geospatial/bingmapsserver/index.asp</vt:lpwstr>
      </vt:variant>
      <vt:variant>
        <vt:lpwstr/>
      </vt:variant>
      <vt:variant>
        <vt:i4>3801200</vt:i4>
      </vt:variant>
      <vt:variant>
        <vt:i4>2106</vt:i4>
      </vt:variant>
      <vt:variant>
        <vt:i4>0</vt:i4>
      </vt:variant>
      <vt:variant>
        <vt:i4>5</vt:i4>
      </vt:variant>
      <vt:variant>
        <vt:lpwstr>http://www.microsoft.com/licensing/resources/vol/volumelicensekey/default.mspx</vt:lpwstr>
      </vt:variant>
      <vt:variant>
        <vt:lpwstr/>
      </vt:variant>
      <vt:variant>
        <vt:i4>4587588</vt:i4>
      </vt:variant>
      <vt:variant>
        <vt:i4>2103</vt:i4>
      </vt:variant>
      <vt:variant>
        <vt:i4>0</vt:i4>
      </vt:variant>
      <vt:variant>
        <vt:i4>5</vt:i4>
      </vt:variant>
      <vt:variant>
        <vt:lpwstr>http://www.microsoft.com/licensing/resources/vol/numbers.mspx</vt:lpwstr>
      </vt:variant>
      <vt:variant>
        <vt:lpwstr/>
      </vt:variant>
      <vt:variant>
        <vt:i4>7077927</vt:i4>
      </vt:variant>
      <vt:variant>
        <vt:i4>2100</vt:i4>
      </vt:variant>
      <vt:variant>
        <vt:i4>0</vt:i4>
      </vt:variant>
      <vt:variant>
        <vt:i4>5</vt:i4>
      </vt:variant>
      <vt:variant>
        <vt:lpwstr>https://www.microsoft.com/licensing/servicecenter/default.aspx</vt:lpwstr>
      </vt:variant>
      <vt:variant>
        <vt:lpwstr/>
      </vt:variant>
      <vt:variant>
        <vt:i4>3276919</vt:i4>
      </vt:variant>
      <vt:variant>
        <vt:i4>2097</vt:i4>
      </vt:variant>
      <vt:variant>
        <vt:i4>0</vt:i4>
      </vt:variant>
      <vt:variant>
        <vt:i4>5</vt:i4>
      </vt:variant>
      <vt:variant>
        <vt:lpwstr>http://www.microsoft.com/products/exporting/basics.htm</vt:lpwstr>
      </vt:variant>
      <vt:variant>
        <vt:lpwstr/>
      </vt:variant>
      <vt:variant>
        <vt:i4>3145761</vt:i4>
      </vt:variant>
      <vt:variant>
        <vt:i4>2094</vt:i4>
      </vt:variant>
      <vt:variant>
        <vt:i4>0</vt:i4>
      </vt:variant>
      <vt:variant>
        <vt:i4>5</vt:i4>
      </vt:variant>
      <vt:variant>
        <vt:lpwstr>http://www.microsoft.com/licensing</vt:lpwstr>
      </vt:variant>
      <vt:variant>
        <vt:lpwstr/>
      </vt:variant>
      <vt:variant>
        <vt:i4>5373978</vt:i4>
      </vt:variant>
      <vt:variant>
        <vt:i4>2091</vt:i4>
      </vt:variant>
      <vt:variant>
        <vt:i4>0</vt:i4>
      </vt:variant>
      <vt:variant>
        <vt:i4>5</vt:i4>
      </vt:variant>
      <vt:variant>
        <vt:lpwstr>http://www.microsoft.com/technet/subscription</vt:lpwstr>
      </vt:variant>
      <vt:variant>
        <vt:lpwstr/>
      </vt:variant>
      <vt:variant>
        <vt:i4>2621481</vt:i4>
      </vt:variant>
      <vt:variant>
        <vt:i4>2088</vt:i4>
      </vt:variant>
      <vt:variant>
        <vt:i4>0</vt:i4>
      </vt:variant>
      <vt:variant>
        <vt:i4>5</vt:i4>
      </vt:variant>
      <vt:variant>
        <vt:lpwstr>http://support.microsoft.com/lifecycle</vt:lpwstr>
      </vt:variant>
      <vt:variant>
        <vt:lpwstr/>
      </vt:variant>
      <vt:variant>
        <vt:i4>4259868</vt:i4>
      </vt:variant>
      <vt:variant>
        <vt:i4>2085</vt:i4>
      </vt:variant>
      <vt:variant>
        <vt:i4>0</vt:i4>
      </vt:variant>
      <vt:variant>
        <vt:i4>5</vt:i4>
      </vt:variant>
      <vt:variant>
        <vt:lpwstr>http://support.microsoft.com/common/international.aspx?rdpath=dm;en-us;lifecycle</vt:lpwstr>
      </vt:variant>
      <vt:variant>
        <vt:lpwstr/>
      </vt:variant>
      <vt:variant>
        <vt:i4>2621481</vt:i4>
      </vt:variant>
      <vt:variant>
        <vt:i4>2082</vt:i4>
      </vt:variant>
      <vt:variant>
        <vt:i4>0</vt:i4>
      </vt:variant>
      <vt:variant>
        <vt:i4>5</vt:i4>
      </vt:variant>
      <vt:variant>
        <vt:lpwstr>http://support.microsoft.com/lifecycle</vt:lpwstr>
      </vt:variant>
      <vt:variant>
        <vt:lpwstr/>
      </vt:variant>
      <vt:variant>
        <vt:i4>5374036</vt:i4>
      </vt:variant>
      <vt:variant>
        <vt:i4>2079</vt:i4>
      </vt:variant>
      <vt:variant>
        <vt:i4>0</vt:i4>
      </vt:variant>
      <vt:variant>
        <vt:i4>5</vt:i4>
      </vt:variant>
      <vt:variant>
        <vt:lpwstr>http://www.microsoft.com/resources/sharedsource/Licensing/Enterprise.mspx</vt:lpwstr>
      </vt:variant>
      <vt:variant>
        <vt:lpwstr/>
      </vt:variant>
      <vt:variant>
        <vt:i4>4718656</vt:i4>
      </vt:variant>
      <vt:variant>
        <vt:i4>2076</vt:i4>
      </vt:variant>
      <vt:variant>
        <vt:i4>0</vt:i4>
      </vt:variant>
      <vt:variant>
        <vt:i4>5</vt:i4>
      </vt:variant>
      <vt:variant>
        <vt:lpwstr>http://www.microsoft.com/spd</vt:lpwstr>
      </vt:variant>
      <vt:variant>
        <vt:lpwstr/>
      </vt:variant>
      <vt:variant>
        <vt:i4>3145761</vt:i4>
      </vt:variant>
      <vt:variant>
        <vt:i4>2073</vt:i4>
      </vt:variant>
      <vt:variant>
        <vt:i4>0</vt:i4>
      </vt:variant>
      <vt:variant>
        <vt:i4>5</vt:i4>
      </vt:variant>
      <vt:variant>
        <vt:lpwstr>http://www.microsoft.com/licensing</vt:lpwstr>
      </vt:variant>
      <vt:variant>
        <vt:lpwstr/>
      </vt:variant>
      <vt:variant>
        <vt:i4>4587613</vt:i4>
      </vt:variant>
      <vt:variant>
        <vt:i4>2070</vt:i4>
      </vt:variant>
      <vt:variant>
        <vt:i4>0</vt:i4>
      </vt:variant>
      <vt:variant>
        <vt:i4>5</vt:i4>
      </vt:variant>
      <vt:variant>
        <vt:lpwstr>http://www.microsoft.com/online/faq.aspx</vt:lpwstr>
      </vt:variant>
      <vt:variant>
        <vt:lpwstr>international</vt:lpwstr>
      </vt:variant>
      <vt:variant>
        <vt:i4>3145761</vt:i4>
      </vt:variant>
      <vt:variant>
        <vt:i4>2067</vt:i4>
      </vt:variant>
      <vt:variant>
        <vt:i4>0</vt:i4>
      </vt:variant>
      <vt:variant>
        <vt:i4>5</vt:i4>
      </vt:variant>
      <vt:variant>
        <vt:lpwstr>http://www.microsoft.com/licensing</vt:lpwstr>
      </vt:variant>
      <vt:variant>
        <vt:lpwstr/>
      </vt:variant>
      <vt:variant>
        <vt:i4>5177417</vt:i4>
      </vt:variant>
      <vt:variant>
        <vt:i4>2064</vt:i4>
      </vt:variant>
      <vt:variant>
        <vt:i4>0</vt:i4>
      </vt:variant>
      <vt:variant>
        <vt:i4>5</vt:i4>
      </vt:variant>
      <vt:variant>
        <vt:lpwstr/>
      </vt:variant>
      <vt:variant>
        <vt:lpwstr>_124_Windows_Small_1</vt:lpwstr>
      </vt:variant>
      <vt:variant>
        <vt:i4>8257558</vt:i4>
      </vt:variant>
      <vt:variant>
        <vt:i4>2061</vt:i4>
      </vt:variant>
      <vt:variant>
        <vt:i4>0</vt:i4>
      </vt:variant>
      <vt:variant>
        <vt:i4>5</vt:i4>
      </vt:variant>
      <vt:variant>
        <vt:lpwstr/>
      </vt:variant>
      <vt:variant>
        <vt:lpwstr>_124_Windows_Small</vt:lpwstr>
      </vt:variant>
      <vt:variant>
        <vt:i4>8257558</vt:i4>
      </vt:variant>
      <vt:variant>
        <vt:i4>2058</vt:i4>
      </vt:variant>
      <vt:variant>
        <vt:i4>0</vt:i4>
      </vt:variant>
      <vt:variant>
        <vt:i4>5</vt:i4>
      </vt:variant>
      <vt:variant>
        <vt:lpwstr/>
      </vt:variant>
      <vt:variant>
        <vt:lpwstr>_124_Windows_Small</vt:lpwstr>
      </vt:variant>
      <vt:variant>
        <vt:i4>8257558</vt:i4>
      </vt:variant>
      <vt:variant>
        <vt:i4>2055</vt:i4>
      </vt:variant>
      <vt:variant>
        <vt:i4>0</vt:i4>
      </vt:variant>
      <vt:variant>
        <vt:i4>5</vt:i4>
      </vt:variant>
      <vt:variant>
        <vt:lpwstr/>
      </vt:variant>
      <vt:variant>
        <vt:lpwstr>_124_Windows_Small</vt:lpwstr>
      </vt:variant>
      <vt:variant>
        <vt:i4>131187</vt:i4>
      </vt:variant>
      <vt:variant>
        <vt:i4>2052</vt:i4>
      </vt:variant>
      <vt:variant>
        <vt:i4>0</vt:i4>
      </vt:variant>
      <vt:variant>
        <vt:i4>5</vt:i4>
      </vt:variant>
      <vt:variant>
        <vt:lpwstr/>
      </vt:variant>
      <vt:variant>
        <vt:lpwstr>Srv_112WinSmallBizSVR2011Addon</vt:lpwstr>
      </vt:variant>
      <vt:variant>
        <vt:i4>7864342</vt:i4>
      </vt:variant>
      <vt:variant>
        <vt:i4>2049</vt:i4>
      </vt:variant>
      <vt:variant>
        <vt:i4>0</vt:i4>
      </vt:variant>
      <vt:variant>
        <vt:i4>5</vt:i4>
      </vt:variant>
      <vt:variant>
        <vt:lpwstr/>
      </vt:variant>
      <vt:variant>
        <vt:lpwstr>_122_Windows_Small</vt:lpwstr>
      </vt:variant>
      <vt:variant>
        <vt:i4>7995414</vt:i4>
      </vt:variant>
      <vt:variant>
        <vt:i4>2046</vt:i4>
      </vt:variant>
      <vt:variant>
        <vt:i4>0</vt:i4>
      </vt:variant>
      <vt:variant>
        <vt:i4>5</vt:i4>
      </vt:variant>
      <vt:variant>
        <vt:lpwstr/>
      </vt:variant>
      <vt:variant>
        <vt:lpwstr>_120_Windows_Small</vt:lpwstr>
      </vt:variant>
      <vt:variant>
        <vt:i4>7995413</vt:i4>
      </vt:variant>
      <vt:variant>
        <vt:i4>2043</vt:i4>
      </vt:variant>
      <vt:variant>
        <vt:i4>0</vt:i4>
      </vt:variant>
      <vt:variant>
        <vt:i4>5</vt:i4>
      </vt:variant>
      <vt:variant>
        <vt:lpwstr/>
      </vt:variant>
      <vt:variant>
        <vt:lpwstr>_110_Windows_Small</vt:lpwstr>
      </vt:variant>
      <vt:variant>
        <vt:i4>131190</vt:i4>
      </vt:variant>
      <vt:variant>
        <vt:i4>2040</vt:i4>
      </vt:variant>
      <vt:variant>
        <vt:i4>0</vt:i4>
      </vt:variant>
      <vt:variant>
        <vt:i4>5</vt:i4>
      </vt:variant>
      <vt:variant>
        <vt:lpwstr/>
      </vt:variant>
      <vt:variant>
        <vt:lpwstr>Srv_117WinSmallBizSVR2011Addon</vt:lpwstr>
      </vt:variant>
      <vt:variant>
        <vt:i4>131191</vt:i4>
      </vt:variant>
      <vt:variant>
        <vt:i4>2037</vt:i4>
      </vt:variant>
      <vt:variant>
        <vt:i4>0</vt:i4>
      </vt:variant>
      <vt:variant>
        <vt:i4>5</vt:i4>
      </vt:variant>
      <vt:variant>
        <vt:lpwstr/>
      </vt:variant>
      <vt:variant>
        <vt:lpwstr>Srv_116WinSmallBizSVR2011Addon</vt:lpwstr>
      </vt:variant>
      <vt:variant>
        <vt:i4>1572977</vt:i4>
      </vt:variant>
      <vt:variant>
        <vt:i4>2034</vt:i4>
      </vt:variant>
      <vt:variant>
        <vt:i4>0</vt:i4>
      </vt:variant>
      <vt:variant>
        <vt:i4>5</vt:i4>
      </vt:variant>
      <vt:variant>
        <vt:lpwstr/>
      </vt:variant>
      <vt:variant>
        <vt:lpwstr>_119_Windows_Web</vt:lpwstr>
      </vt:variant>
      <vt:variant>
        <vt:i4>6815751</vt:i4>
      </vt:variant>
      <vt:variant>
        <vt:i4>2031</vt:i4>
      </vt:variant>
      <vt:variant>
        <vt:i4>0</vt:i4>
      </vt:variant>
      <vt:variant>
        <vt:i4>5</vt:i4>
      </vt:variant>
      <vt:variant>
        <vt:lpwstr/>
      </vt:variant>
      <vt:variant>
        <vt:lpwstr>_118_Windows_Server</vt:lpwstr>
      </vt:variant>
      <vt:variant>
        <vt:i4>6553607</vt:i4>
      </vt:variant>
      <vt:variant>
        <vt:i4>2028</vt:i4>
      </vt:variant>
      <vt:variant>
        <vt:i4>0</vt:i4>
      </vt:variant>
      <vt:variant>
        <vt:i4>5</vt:i4>
      </vt:variant>
      <vt:variant>
        <vt:lpwstr/>
      </vt:variant>
      <vt:variant>
        <vt:lpwstr>_114_Windows_Server</vt:lpwstr>
      </vt:variant>
      <vt:variant>
        <vt:i4>6684679</vt:i4>
      </vt:variant>
      <vt:variant>
        <vt:i4>2025</vt:i4>
      </vt:variant>
      <vt:variant>
        <vt:i4>0</vt:i4>
      </vt:variant>
      <vt:variant>
        <vt:i4>5</vt:i4>
      </vt:variant>
      <vt:variant>
        <vt:lpwstr/>
      </vt:variant>
      <vt:variant>
        <vt:lpwstr>_116_Windows_Server</vt:lpwstr>
      </vt:variant>
      <vt:variant>
        <vt:i4>2293835</vt:i4>
      </vt:variant>
      <vt:variant>
        <vt:i4>2022</vt:i4>
      </vt:variant>
      <vt:variant>
        <vt:i4>0</vt:i4>
      </vt:variant>
      <vt:variant>
        <vt:i4>5</vt:i4>
      </vt:variant>
      <vt:variant>
        <vt:lpwstr/>
      </vt:variant>
      <vt:variant>
        <vt:lpwstr>Srv_1132WinSvr08R2Itanium</vt:lpwstr>
      </vt:variant>
      <vt:variant>
        <vt:i4>2228233</vt:i4>
      </vt:variant>
      <vt:variant>
        <vt:i4>2019</vt:i4>
      </vt:variant>
      <vt:variant>
        <vt:i4>0</vt:i4>
      </vt:variant>
      <vt:variant>
        <vt:i4>5</vt:i4>
      </vt:variant>
      <vt:variant>
        <vt:lpwstr/>
      </vt:variant>
      <vt:variant>
        <vt:lpwstr>_97_Windows_Server</vt:lpwstr>
      </vt:variant>
      <vt:variant>
        <vt:i4>3801110</vt:i4>
      </vt:variant>
      <vt:variant>
        <vt:i4>2016</vt:i4>
      </vt:variant>
      <vt:variant>
        <vt:i4>0</vt:i4>
      </vt:variant>
      <vt:variant>
        <vt:i4>5</vt:i4>
      </vt:variant>
      <vt:variant>
        <vt:lpwstr/>
      </vt:variant>
      <vt:variant>
        <vt:lpwstr>Srv_110WinSvr08R2HPC</vt:lpwstr>
      </vt:variant>
      <vt:variant>
        <vt:i4>1179757</vt:i4>
      </vt:variant>
      <vt:variant>
        <vt:i4>2013</vt:i4>
      </vt:variant>
      <vt:variant>
        <vt:i4>0</vt:i4>
      </vt:variant>
      <vt:variant>
        <vt:i4>5</vt:i4>
      </vt:variant>
      <vt:variant>
        <vt:lpwstr/>
      </vt:variant>
      <vt:variant>
        <vt:lpwstr>Srv_108WinMultipointSvr2011CAL</vt:lpwstr>
      </vt:variant>
      <vt:variant>
        <vt:i4>786537</vt:i4>
      </vt:variant>
      <vt:variant>
        <vt:i4>2010</vt:i4>
      </vt:variant>
      <vt:variant>
        <vt:i4>0</vt:i4>
      </vt:variant>
      <vt:variant>
        <vt:i4>5</vt:i4>
      </vt:variant>
      <vt:variant>
        <vt:lpwstr/>
      </vt:variant>
      <vt:variant>
        <vt:lpwstr>Srv_107WinMultipointSvr2011Premium</vt:lpwstr>
      </vt:variant>
      <vt:variant>
        <vt:i4>3080203</vt:i4>
      </vt:variant>
      <vt:variant>
        <vt:i4>2007</vt:i4>
      </vt:variant>
      <vt:variant>
        <vt:i4>0</vt:i4>
      </vt:variant>
      <vt:variant>
        <vt:i4>5</vt:i4>
      </vt:variant>
      <vt:variant>
        <vt:lpwstr/>
      </vt:variant>
      <vt:variant>
        <vt:lpwstr>_98_Windows_Multipoint</vt:lpwstr>
      </vt:variant>
      <vt:variant>
        <vt:i4>7471224</vt:i4>
      </vt:variant>
      <vt:variant>
        <vt:i4>2004</vt:i4>
      </vt:variant>
      <vt:variant>
        <vt:i4>0</vt:i4>
      </vt:variant>
      <vt:variant>
        <vt:i4>5</vt:i4>
      </vt:variant>
      <vt:variant>
        <vt:lpwstr/>
      </vt:variant>
      <vt:variant>
        <vt:lpwstr>Srv_106HPCServer2008_R2Suite</vt:lpwstr>
      </vt:variant>
      <vt:variant>
        <vt:i4>196733</vt:i4>
      </vt:variant>
      <vt:variant>
        <vt:i4>2001</vt:i4>
      </vt:variant>
      <vt:variant>
        <vt:i4>0</vt:i4>
      </vt:variant>
      <vt:variant>
        <vt:i4>5</vt:i4>
      </vt:variant>
      <vt:variant>
        <vt:lpwstr/>
      </vt:variant>
      <vt:variant>
        <vt:lpwstr>Srv_108EBS2008StandardPrem</vt:lpwstr>
      </vt:variant>
      <vt:variant>
        <vt:i4>1179709</vt:i4>
      </vt:variant>
      <vt:variant>
        <vt:i4>1998</vt:i4>
      </vt:variant>
      <vt:variant>
        <vt:i4>0</vt:i4>
      </vt:variant>
      <vt:variant>
        <vt:i4>5</vt:i4>
      </vt:variant>
      <vt:variant>
        <vt:lpwstr/>
      </vt:variant>
      <vt:variant>
        <vt:lpwstr>_107_EBS_2008</vt:lpwstr>
      </vt:variant>
      <vt:variant>
        <vt:i4>1900577</vt:i4>
      </vt:variant>
      <vt:variant>
        <vt:i4>1995</vt:i4>
      </vt:variant>
      <vt:variant>
        <vt:i4>0</vt:i4>
      </vt:variant>
      <vt:variant>
        <vt:i4>5</vt:i4>
      </vt:variant>
      <vt:variant>
        <vt:lpwstr/>
      </vt:variant>
      <vt:variant>
        <vt:lpwstr>Srv_107WindowsEmbeddedDeviceMgr2011</vt:lpwstr>
      </vt:variant>
      <vt:variant>
        <vt:i4>1900577</vt:i4>
      </vt:variant>
      <vt:variant>
        <vt:i4>1992</vt:i4>
      </vt:variant>
      <vt:variant>
        <vt:i4>0</vt:i4>
      </vt:variant>
      <vt:variant>
        <vt:i4>5</vt:i4>
      </vt:variant>
      <vt:variant>
        <vt:lpwstr/>
      </vt:variant>
      <vt:variant>
        <vt:lpwstr>Srv_107WindowsEmbeddedDeviceMgr2011</vt:lpwstr>
      </vt:variant>
      <vt:variant>
        <vt:i4>7340061</vt:i4>
      </vt:variant>
      <vt:variant>
        <vt:i4>1989</vt:i4>
      </vt:variant>
      <vt:variant>
        <vt:i4>0</vt:i4>
      </vt:variant>
      <vt:variant>
        <vt:i4>5</vt:i4>
      </vt:variant>
      <vt:variant>
        <vt:lpwstr/>
      </vt:variant>
      <vt:variant>
        <vt:lpwstr>_105_Windows_Azure</vt:lpwstr>
      </vt:variant>
      <vt:variant>
        <vt:i4>1048689</vt:i4>
      </vt:variant>
      <vt:variant>
        <vt:i4>1986</vt:i4>
      </vt:variant>
      <vt:variant>
        <vt:i4>0</vt:i4>
      </vt:variant>
      <vt:variant>
        <vt:i4>5</vt:i4>
      </vt:variant>
      <vt:variant>
        <vt:lpwstr/>
      </vt:variant>
      <vt:variant>
        <vt:lpwstr>Srv_105VDIStandardandPremiumSuites</vt:lpwstr>
      </vt:variant>
      <vt:variant>
        <vt:i4>1048689</vt:i4>
      </vt:variant>
      <vt:variant>
        <vt:i4>1983</vt:i4>
      </vt:variant>
      <vt:variant>
        <vt:i4>0</vt:i4>
      </vt:variant>
      <vt:variant>
        <vt:i4>5</vt:i4>
      </vt:variant>
      <vt:variant>
        <vt:lpwstr/>
      </vt:variant>
      <vt:variant>
        <vt:lpwstr>Srv_105VDIStandardandPremiumSuites</vt:lpwstr>
      </vt:variant>
      <vt:variant>
        <vt:i4>1048689</vt:i4>
      </vt:variant>
      <vt:variant>
        <vt:i4>1980</vt:i4>
      </vt:variant>
      <vt:variant>
        <vt:i4>0</vt:i4>
      </vt:variant>
      <vt:variant>
        <vt:i4>5</vt:i4>
      </vt:variant>
      <vt:variant>
        <vt:lpwstr/>
      </vt:variant>
      <vt:variant>
        <vt:lpwstr>Srv_105VDIStandardandPremiumSuites</vt:lpwstr>
      </vt:variant>
      <vt:variant>
        <vt:i4>1048689</vt:i4>
      </vt:variant>
      <vt:variant>
        <vt:i4>1977</vt:i4>
      </vt:variant>
      <vt:variant>
        <vt:i4>0</vt:i4>
      </vt:variant>
      <vt:variant>
        <vt:i4>5</vt:i4>
      </vt:variant>
      <vt:variant>
        <vt:lpwstr/>
      </vt:variant>
      <vt:variant>
        <vt:lpwstr>Srv_105VDIStandardandPremiumSuites</vt:lpwstr>
      </vt:variant>
      <vt:variant>
        <vt:i4>6619147</vt:i4>
      </vt:variant>
      <vt:variant>
        <vt:i4>1974</vt:i4>
      </vt:variant>
      <vt:variant>
        <vt:i4>0</vt:i4>
      </vt:variant>
      <vt:variant>
        <vt:i4>5</vt:i4>
      </vt:variant>
      <vt:variant>
        <vt:lpwstr/>
      </vt:variant>
      <vt:variant>
        <vt:lpwstr>Srv_103TechNetPlusSingleUser</vt:lpwstr>
      </vt:variant>
      <vt:variant>
        <vt:i4>7667741</vt:i4>
      </vt:variant>
      <vt:variant>
        <vt:i4>1971</vt:i4>
      </vt:variant>
      <vt:variant>
        <vt:i4>0</vt:i4>
      </vt:variant>
      <vt:variant>
        <vt:i4>5</vt:i4>
      </vt:variant>
      <vt:variant>
        <vt:lpwstr/>
      </vt:variant>
      <vt:variant>
        <vt:lpwstr>Srv_102SysCtr2012EndpointProt</vt:lpwstr>
      </vt:variant>
      <vt:variant>
        <vt:i4>1245238</vt:i4>
      </vt:variant>
      <vt:variant>
        <vt:i4>1968</vt:i4>
      </vt:variant>
      <vt:variant>
        <vt:i4>0</vt:i4>
      </vt:variant>
      <vt:variant>
        <vt:i4>5</vt:i4>
      </vt:variant>
      <vt:variant>
        <vt:lpwstr/>
      </vt:variant>
      <vt:variant>
        <vt:lpwstr>Srv_101SystemCenter2012</vt:lpwstr>
      </vt:variant>
      <vt:variant>
        <vt:i4>1245238</vt:i4>
      </vt:variant>
      <vt:variant>
        <vt:i4>1965</vt:i4>
      </vt:variant>
      <vt:variant>
        <vt:i4>0</vt:i4>
      </vt:variant>
      <vt:variant>
        <vt:i4>5</vt:i4>
      </vt:variant>
      <vt:variant>
        <vt:lpwstr/>
      </vt:variant>
      <vt:variant>
        <vt:lpwstr>Srv_101SystemCenter2012</vt:lpwstr>
      </vt:variant>
      <vt:variant>
        <vt:i4>1245238</vt:i4>
      </vt:variant>
      <vt:variant>
        <vt:i4>1962</vt:i4>
      </vt:variant>
      <vt:variant>
        <vt:i4>0</vt:i4>
      </vt:variant>
      <vt:variant>
        <vt:i4>5</vt:i4>
      </vt:variant>
      <vt:variant>
        <vt:lpwstr/>
      </vt:variant>
      <vt:variant>
        <vt:lpwstr>Srv_101SystemCenter2012</vt:lpwstr>
      </vt:variant>
      <vt:variant>
        <vt:i4>1245238</vt:i4>
      </vt:variant>
      <vt:variant>
        <vt:i4>1959</vt:i4>
      </vt:variant>
      <vt:variant>
        <vt:i4>0</vt:i4>
      </vt:variant>
      <vt:variant>
        <vt:i4>5</vt:i4>
      </vt:variant>
      <vt:variant>
        <vt:lpwstr/>
      </vt:variant>
      <vt:variant>
        <vt:lpwstr>Srv_101SystemCenter2012</vt:lpwstr>
      </vt:variant>
      <vt:variant>
        <vt:i4>1245238</vt:i4>
      </vt:variant>
      <vt:variant>
        <vt:i4>1956</vt:i4>
      </vt:variant>
      <vt:variant>
        <vt:i4>0</vt:i4>
      </vt:variant>
      <vt:variant>
        <vt:i4>5</vt:i4>
      </vt:variant>
      <vt:variant>
        <vt:lpwstr/>
      </vt:variant>
      <vt:variant>
        <vt:lpwstr>Srv_101SystemCenter2012</vt:lpwstr>
      </vt:variant>
      <vt:variant>
        <vt:i4>1245238</vt:i4>
      </vt:variant>
      <vt:variant>
        <vt:i4>1953</vt:i4>
      </vt:variant>
      <vt:variant>
        <vt:i4>0</vt:i4>
      </vt:variant>
      <vt:variant>
        <vt:i4>5</vt:i4>
      </vt:variant>
      <vt:variant>
        <vt:lpwstr/>
      </vt:variant>
      <vt:variant>
        <vt:lpwstr>Srv_101SystemCenter2012</vt:lpwstr>
      </vt:variant>
      <vt:variant>
        <vt:i4>6488070</vt:i4>
      </vt:variant>
      <vt:variant>
        <vt:i4>1950</vt:i4>
      </vt:variant>
      <vt:variant>
        <vt:i4>0</vt:i4>
      </vt:variant>
      <vt:variant>
        <vt:i4>5</vt:i4>
      </vt:variant>
      <vt:variant>
        <vt:lpwstr/>
      </vt:variant>
      <vt:variant>
        <vt:lpwstr>Srv_100SysCenterVMM2008R2</vt:lpwstr>
      </vt:variant>
      <vt:variant>
        <vt:i4>6488070</vt:i4>
      </vt:variant>
      <vt:variant>
        <vt:i4>1947</vt:i4>
      </vt:variant>
      <vt:variant>
        <vt:i4>0</vt:i4>
      </vt:variant>
      <vt:variant>
        <vt:i4>5</vt:i4>
      </vt:variant>
      <vt:variant>
        <vt:lpwstr/>
      </vt:variant>
      <vt:variant>
        <vt:lpwstr>Srv_100SysCenterVMM2008R2</vt:lpwstr>
      </vt:variant>
      <vt:variant>
        <vt:i4>6881303</vt:i4>
      </vt:variant>
      <vt:variant>
        <vt:i4>1944</vt:i4>
      </vt:variant>
      <vt:variant>
        <vt:i4>0</vt:i4>
      </vt:variant>
      <vt:variant>
        <vt:i4>5</vt:i4>
      </vt:variant>
      <vt:variant>
        <vt:lpwstr/>
      </vt:variant>
      <vt:variant>
        <vt:lpwstr>Srv_99SystemCtrServiceMgr2010</vt:lpwstr>
      </vt:variant>
      <vt:variant>
        <vt:i4>2031651</vt:i4>
      </vt:variant>
      <vt:variant>
        <vt:i4>1941</vt:i4>
      </vt:variant>
      <vt:variant>
        <vt:i4>0</vt:i4>
      </vt:variant>
      <vt:variant>
        <vt:i4>5</vt:i4>
      </vt:variant>
      <vt:variant>
        <vt:lpwstr/>
      </vt:variant>
      <vt:variant>
        <vt:lpwstr>Srv_90SysCtrSvrMgmtSuiteDatacenter</vt:lpwstr>
      </vt:variant>
      <vt:variant>
        <vt:i4>7209036</vt:i4>
      </vt:variant>
      <vt:variant>
        <vt:i4>1938</vt:i4>
      </vt:variant>
      <vt:variant>
        <vt:i4>0</vt:i4>
      </vt:variant>
      <vt:variant>
        <vt:i4>5</vt:i4>
      </vt:variant>
      <vt:variant>
        <vt:lpwstr/>
      </vt:variant>
      <vt:variant>
        <vt:lpwstr>_98_System_Center</vt:lpwstr>
      </vt:variant>
      <vt:variant>
        <vt:i4>6815826</vt:i4>
      </vt:variant>
      <vt:variant>
        <vt:i4>1935</vt:i4>
      </vt:variant>
      <vt:variant>
        <vt:i4>0</vt:i4>
      </vt:variant>
      <vt:variant>
        <vt:i4>5</vt:i4>
      </vt:variant>
      <vt:variant>
        <vt:lpwstr/>
      </vt:variant>
      <vt:variant>
        <vt:lpwstr>Srv_88SystemCtrReportMgr2006</vt:lpwstr>
      </vt:variant>
      <vt:variant>
        <vt:i4>7209025</vt:i4>
      </vt:variant>
      <vt:variant>
        <vt:i4>1932</vt:i4>
      </vt:variant>
      <vt:variant>
        <vt:i4>0</vt:i4>
      </vt:variant>
      <vt:variant>
        <vt:i4>5</vt:i4>
      </vt:variant>
      <vt:variant>
        <vt:lpwstr/>
      </vt:variant>
      <vt:variant>
        <vt:lpwstr>_95_System_Center</vt:lpwstr>
      </vt:variant>
      <vt:variant>
        <vt:i4>5242994</vt:i4>
      </vt:variant>
      <vt:variant>
        <vt:i4>1929</vt:i4>
      </vt:variant>
      <vt:variant>
        <vt:i4>0</vt:i4>
      </vt:variant>
      <vt:variant>
        <vt:i4>5</vt:i4>
      </vt:variant>
      <vt:variant>
        <vt:lpwstr/>
      </vt:variant>
      <vt:variant>
        <vt:lpwstr>Srv_79SystemCenterEssentials07</vt:lpwstr>
      </vt:variant>
      <vt:variant>
        <vt:i4>393279</vt:i4>
      </vt:variant>
      <vt:variant>
        <vt:i4>1926</vt:i4>
      </vt:variant>
      <vt:variant>
        <vt:i4>0</vt:i4>
      </vt:variant>
      <vt:variant>
        <vt:i4>5</vt:i4>
      </vt:variant>
      <vt:variant>
        <vt:lpwstr/>
      </vt:variant>
      <vt:variant>
        <vt:lpwstr>Srv_94SystemsCenterDataProEtal</vt:lpwstr>
      </vt:variant>
      <vt:variant>
        <vt:i4>3670026</vt:i4>
      </vt:variant>
      <vt:variant>
        <vt:i4>1923</vt:i4>
      </vt:variant>
      <vt:variant>
        <vt:i4>0</vt:i4>
      </vt:variant>
      <vt:variant>
        <vt:i4>5</vt:i4>
      </vt:variant>
      <vt:variant>
        <vt:lpwstr/>
      </vt:variant>
      <vt:variant>
        <vt:lpwstr>Srv_76SysCtrConfigMgr07R2</vt:lpwstr>
      </vt:variant>
      <vt:variant>
        <vt:i4>2031664</vt:i4>
      </vt:variant>
      <vt:variant>
        <vt:i4>1920</vt:i4>
      </vt:variant>
      <vt:variant>
        <vt:i4>0</vt:i4>
      </vt:variant>
      <vt:variant>
        <vt:i4>5</vt:i4>
      </vt:variant>
      <vt:variant>
        <vt:lpwstr/>
      </vt:variant>
      <vt:variant>
        <vt:lpwstr>Srv_91SQLServer2012StandardCore</vt:lpwstr>
      </vt:variant>
      <vt:variant>
        <vt:i4>983099</vt:i4>
      </vt:variant>
      <vt:variant>
        <vt:i4>1917</vt:i4>
      </vt:variant>
      <vt:variant>
        <vt:i4>0</vt:i4>
      </vt:variant>
      <vt:variant>
        <vt:i4>5</vt:i4>
      </vt:variant>
      <vt:variant>
        <vt:lpwstr/>
      </vt:variant>
      <vt:variant>
        <vt:lpwstr>Srv_90SQLServer2012Standard</vt:lpwstr>
      </vt:variant>
      <vt:variant>
        <vt:i4>7405657</vt:i4>
      </vt:variant>
      <vt:variant>
        <vt:i4>1914</vt:i4>
      </vt:variant>
      <vt:variant>
        <vt:i4>0</vt:i4>
      </vt:variant>
      <vt:variant>
        <vt:i4>5</vt:i4>
      </vt:variant>
      <vt:variant>
        <vt:lpwstr/>
      </vt:variant>
      <vt:variant>
        <vt:lpwstr>Srv_89SQLServer2012EnterpriseCore</vt:lpwstr>
      </vt:variant>
      <vt:variant>
        <vt:i4>6357075</vt:i4>
      </vt:variant>
      <vt:variant>
        <vt:i4>1911</vt:i4>
      </vt:variant>
      <vt:variant>
        <vt:i4>0</vt:i4>
      </vt:variant>
      <vt:variant>
        <vt:i4>5</vt:i4>
      </vt:variant>
      <vt:variant>
        <vt:lpwstr/>
      </vt:variant>
      <vt:variant>
        <vt:lpwstr>Srv_88SQLServer2012Enterprise</vt:lpwstr>
      </vt:variant>
      <vt:variant>
        <vt:i4>7340107</vt:i4>
      </vt:variant>
      <vt:variant>
        <vt:i4>1908</vt:i4>
      </vt:variant>
      <vt:variant>
        <vt:i4>0</vt:i4>
      </vt:variant>
      <vt:variant>
        <vt:i4>5</vt:i4>
      </vt:variant>
      <vt:variant>
        <vt:lpwstr/>
      </vt:variant>
      <vt:variant>
        <vt:lpwstr>Srv_87SQLServer2012Developer</vt:lpwstr>
      </vt:variant>
      <vt:variant>
        <vt:i4>7012440</vt:i4>
      </vt:variant>
      <vt:variant>
        <vt:i4>1905</vt:i4>
      </vt:variant>
      <vt:variant>
        <vt:i4>0</vt:i4>
      </vt:variant>
      <vt:variant>
        <vt:i4>5</vt:i4>
      </vt:variant>
      <vt:variant>
        <vt:lpwstr/>
      </vt:variant>
      <vt:variant>
        <vt:lpwstr>Srv_85SQL2008R2Workgroup5ClientAddon</vt:lpwstr>
      </vt:variant>
      <vt:variant>
        <vt:i4>7012440</vt:i4>
      </vt:variant>
      <vt:variant>
        <vt:i4>1902</vt:i4>
      </vt:variant>
      <vt:variant>
        <vt:i4>0</vt:i4>
      </vt:variant>
      <vt:variant>
        <vt:i4>5</vt:i4>
      </vt:variant>
      <vt:variant>
        <vt:lpwstr/>
      </vt:variant>
      <vt:variant>
        <vt:lpwstr>Srv_85SQL2008R2Workgroup5ClientAddon</vt:lpwstr>
      </vt:variant>
      <vt:variant>
        <vt:i4>4980860</vt:i4>
      </vt:variant>
      <vt:variant>
        <vt:i4>1899</vt:i4>
      </vt:variant>
      <vt:variant>
        <vt:i4>0</vt:i4>
      </vt:variant>
      <vt:variant>
        <vt:i4>5</vt:i4>
      </vt:variant>
      <vt:variant>
        <vt:lpwstr/>
      </vt:variant>
      <vt:variant>
        <vt:lpwstr>_85_84_SQL</vt:lpwstr>
      </vt:variant>
      <vt:variant>
        <vt:i4>1835106</vt:i4>
      </vt:variant>
      <vt:variant>
        <vt:i4>1896</vt:i4>
      </vt:variant>
      <vt:variant>
        <vt:i4>0</vt:i4>
      </vt:variant>
      <vt:variant>
        <vt:i4>5</vt:i4>
      </vt:variant>
      <vt:variant>
        <vt:lpwstr/>
      </vt:variant>
      <vt:variant>
        <vt:lpwstr>Srv_84SQL2008R2Webproc</vt:lpwstr>
      </vt:variant>
      <vt:variant>
        <vt:i4>524411</vt:i4>
      </vt:variant>
      <vt:variant>
        <vt:i4>1893</vt:i4>
      </vt:variant>
      <vt:variant>
        <vt:i4>0</vt:i4>
      </vt:variant>
      <vt:variant>
        <vt:i4>5</vt:i4>
      </vt:variant>
      <vt:variant>
        <vt:lpwstr/>
      </vt:variant>
      <vt:variant>
        <vt:lpwstr>Srv_83SQL2008R2Smallbiz</vt:lpwstr>
      </vt:variant>
      <vt:variant>
        <vt:i4>7798859</vt:i4>
      </vt:variant>
      <vt:variant>
        <vt:i4>1890</vt:i4>
      </vt:variant>
      <vt:variant>
        <vt:i4>0</vt:i4>
      </vt:variant>
      <vt:variant>
        <vt:i4>5</vt:i4>
      </vt:variant>
      <vt:variant>
        <vt:lpwstr/>
      </vt:variant>
      <vt:variant>
        <vt:lpwstr>Srv_82SQL2008Paralleldata</vt:lpwstr>
      </vt:variant>
      <vt:variant>
        <vt:i4>327790</vt:i4>
      </vt:variant>
      <vt:variant>
        <vt:i4>1887</vt:i4>
      </vt:variant>
      <vt:variant>
        <vt:i4>0</vt:i4>
      </vt:variant>
      <vt:variant>
        <vt:i4>5</vt:i4>
      </vt:variant>
      <vt:variant>
        <vt:lpwstr/>
      </vt:variant>
      <vt:variant>
        <vt:lpwstr>Srv_81SQLSvr08R2DataCenter</vt:lpwstr>
      </vt:variant>
      <vt:variant>
        <vt:i4>917560</vt:i4>
      </vt:variant>
      <vt:variant>
        <vt:i4>1884</vt:i4>
      </vt:variant>
      <vt:variant>
        <vt:i4>0</vt:i4>
      </vt:variant>
      <vt:variant>
        <vt:i4>5</vt:i4>
      </vt:variant>
      <vt:variant>
        <vt:lpwstr/>
      </vt:variant>
      <vt:variant>
        <vt:lpwstr>Srv_74SharepointOnlinePlan1</vt:lpwstr>
      </vt:variant>
      <vt:variant>
        <vt:i4>917560</vt:i4>
      </vt:variant>
      <vt:variant>
        <vt:i4>1881</vt:i4>
      </vt:variant>
      <vt:variant>
        <vt:i4>0</vt:i4>
      </vt:variant>
      <vt:variant>
        <vt:i4>5</vt:i4>
      </vt:variant>
      <vt:variant>
        <vt:lpwstr/>
      </vt:variant>
      <vt:variant>
        <vt:lpwstr>Srv_74SharepointOnlinePlan1</vt:lpwstr>
      </vt:variant>
      <vt:variant>
        <vt:i4>5505133</vt:i4>
      </vt:variant>
      <vt:variant>
        <vt:i4>1878</vt:i4>
      </vt:variant>
      <vt:variant>
        <vt:i4>0</vt:i4>
      </vt:variant>
      <vt:variant>
        <vt:i4>5</vt:i4>
      </vt:variant>
      <vt:variant>
        <vt:lpwstr/>
      </vt:variant>
      <vt:variant>
        <vt:lpwstr>Srv_74Office365PlanK1K2</vt:lpwstr>
      </vt:variant>
      <vt:variant>
        <vt:i4>5505133</vt:i4>
      </vt:variant>
      <vt:variant>
        <vt:i4>1875</vt:i4>
      </vt:variant>
      <vt:variant>
        <vt:i4>0</vt:i4>
      </vt:variant>
      <vt:variant>
        <vt:i4>5</vt:i4>
      </vt:variant>
      <vt:variant>
        <vt:lpwstr/>
      </vt:variant>
      <vt:variant>
        <vt:lpwstr>Srv_74Office365PlanK1K2</vt:lpwstr>
      </vt:variant>
      <vt:variant>
        <vt:i4>2555905</vt:i4>
      </vt:variant>
      <vt:variant>
        <vt:i4>1872</vt:i4>
      </vt:variant>
      <vt:variant>
        <vt:i4>0</vt:i4>
      </vt:variant>
      <vt:variant>
        <vt:i4>5</vt:i4>
      </vt:variant>
      <vt:variant>
        <vt:lpwstr/>
      </vt:variant>
      <vt:variant>
        <vt:lpwstr>Srv_73Office365PlanG2toG4</vt:lpwstr>
      </vt:variant>
      <vt:variant>
        <vt:i4>3407961</vt:i4>
      </vt:variant>
      <vt:variant>
        <vt:i4>1869</vt:i4>
      </vt:variant>
      <vt:variant>
        <vt:i4>0</vt:i4>
      </vt:variant>
      <vt:variant>
        <vt:i4>5</vt:i4>
      </vt:variant>
      <vt:variant>
        <vt:lpwstr/>
      </vt:variant>
      <vt:variant>
        <vt:lpwstr>_7_Office_365</vt:lpwstr>
      </vt:variant>
      <vt:variant>
        <vt:i4>3473458</vt:i4>
      </vt:variant>
      <vt:variant>
        <vt:i4>1866</vt:i4>
      </vt:variant>
      <vt:variant>
        <vt:i4>0</vt:i4>
      </vt:variant>
      <vt:variant>
        <vt:i4>5</vt:i4>
      </vt:variant>
      <vt:variant>
        <vt:lpwstr/>
      </vt:variant>
      <vt:variant>
        <vt:lpwstr>_71_Office_365_1</vt:lpwstr>
      </vt:variant>
      <vt:variant>
        <vt:i4>3473497</vt:i4>
      </vt:variant>
      <vt:variant>
        <vt:i4>1863</vt:i4>
      </vt:variant>
      <vt:variant>
        <vt:i4>0</vt:i4>
      </vt:variant>
      <vt:variant>
        <vt:i4>5</vt:i4>
      </vt:variant>
      <vt:variant>
        <vt:lpwstr/>
      </vt:variant>
      <vt:variant>
        <vt:lpwstr>_6_Office_365</vt:lpwstr>
      </vt:variant>
      <vt:variant>
        <vt:i4>3473497</vt:i4>
      </vt:variant>
      <vt:variant>
        <vt:i4>1860</vt:i4>
      </vt:variant>
      <vt:variant>
        <vt:i4>0</vt:i4>
      </vt:variant>
      <vt:variant>
        <vt:i4>5</vt:i4>
      </vt:variant>
      <vt:variant>
        <vt:lpwstr/>
      </vt:variant>
      <vt:variant>
        <vt:lpwstr>_6_Office_365</vt:lpwstr>
      </vt:variant>
      <vt:variant>
        <vt:i4>3473497</vt:i4>
      </vt:variant>
      <vt:variant>
        <vt:i4>1857</vt:i4>
      </vt:variant>
      <vt:variant>
        <vt:i4>0</vt:i4>
      </vt:variant>
      <vt:variant>
        <vt:i4>5</vt:i4>
      </vt:variant>
      <vt:variant>
        <vt:lpwstr/>
      </vt:variant>
      <vt:variant>
        <vt:lpwstr>_6_Office_365</vt:lpwstr>
      </vt:variant>
      <vt:variant>
        <vt:i4>3801113</vt:i4>
      </vt:variant>
      <vt:variant>
        <vt:i4>1854</vt:i4>
      </vt:variant>
      <vt:variant>
        <vt:i4>0</vt:i4>
      </vt:variant>
      <vt:variant>
        <vt:i4>5</vt:i4>
      </vt:variant>
      <vt:variant>
        <vt:lpwstr/>
      </vt:variant>
      <vt:variant>
        <vt:lpwstr>_68_Microsoft_Dynamics</vt:lpwstr>
      </vt:variant>
      <vt:variant>
        <vt:i4>3801113</vt:i4>
      </vt:variant>
      <vt:variant>
        <vt:i4>1851</vt:i4>
      </vt:variant>
      <vt:variant>
        <vt:i4>0</vt:i4>
      </vt:variant>
      <vt:variant>
        <vt:i4>5</vt:i4>
      </vt:variant>
      <vt:variant>
        <vt:lpwstr/>
      </vt:variant>
      <vt:variant>
        <vt:lpwstr>_68_Microsoft_Dynamics</vt:lpwstr>
      </vt:variant>
      <vt:variant>
        <vt:i4>3801113</vt:i4>
      </vt:variant>
      <vt:variant>
        <vt:i4>1848</vt:i4>
      </vt:variant>
      <vt:variant>
        <vt:i4>0</vt:i4>
      </vt:variant>
      <vt:variant>
        <vt:i4>5</vt:i4>
      </vt:variant>
      <vt:variant>
        <vt:lpwstr/>
      </vt:variant>
      <vt:variant>
        <vt:lpwstr>_68_Microsoft_Dynamics</vt:lpwstr>
      </vt:variant>
      <vt:variant>
        <vt:i4>3801113</vt:i4>
      </vt:variant>
      <vt:variant>
        <vt:i4>1845</vt:i4>
      </vt:variant>
      <vt:variant>
        <vt:i4>0</vt:i4>
      </vt:variant>
      <vt:variant>
        <vt:i4>5</vt:i4>
      </vt:variant>
      <vt:variant>
        <vt:lpwstr/>
      </vt:variant>
      <vt:variant>
        <vt:lpwstr>_68_Microsoft_Dynamics</vt:lpwstr>
      </vt:variant>
      <vt:variant>
        <vt:i4>3801113</vt:i4>
      </vt:variant>
      <vt:variant>
        <vt:i4>1842</vt:i4>
      </vt:variant>
      <vt:variant>
        <vt:i4>0</vt:i4>
      </vt:variant>
      <vt:variant>
        <vt:i4>5</vt:i4>
      </vt:variant>
      <vt:variant>
        <vt:lpwstr/>
      </vt:variant>
      <vt:variant>
        <vt:lpwstr>_68_Microsoft_Dynamics</vt:lpwstr>
      </vt:variant>
      <vt:variant>
        <vt:i4>3801113</vt:i4>
      </vt:variant>
      <vt:variant>
        <vt:i4>1839</vt:i4>
      </vt:variant>
      <vt:variant>
        <vt:i4>0</vt:i4>
      </vt:variant>
      <vt:variant>
        <vt:i4>5</vt:i4>
      </vt:variant>
      <vt:variant>
        <vt:lpwstr/>
      </vt:variant>
      <vt:variant>
        <vt:lpwstr>_68_Microsoft_Dynamics</vt:lpwstr>
      </vt:variant>
      <vt:variant>
        <vt:i4>3801113</vt:i4>
      </vt:variant>
      <vt:variant>
        <vt:i4>1836</vt:i4>
      </vt:variant>
      <vt:variant>
        <vt:i4>0</vt:i4>
      </vt:variant>
      <vt:variant>
        <vt:i4>5</vt:i4>
      </vt:variant>
      <vt:variant>
        <vt:lpwstr/>
      </vt:variant>
      <vt:variant>
        <vt:lpwstr>_68_Microsoft_Dynamics</vt:lpwstr>
      </vt:variant>
      <vt:variant>
        <vt:i4>3801113</vt:i4>
      </vt:variant>
      <vt:variant>
        <vt:i4>1833</vt:i4>
      </vt:variant>
      <vt:variant>
        <vt:i4>0</vt:i4>
      </vt:variant>
      <vt:variant>
        <vt:i4>5</vt:i4>
      </vt:variant>
      <vt:variant>
        <vt:lpwstr/>
      </vt:variant>
      <vt:variant>
        <vt:lpwstr>_68_Microsoft_Dynamics</vt:lpwstr>
      </vt:variant>
      <vt:variant>
        <vt:i4>2031674</vt:i4>
      </vt:variant>
      <vt:variant>
        <vt:i4>1830</vt:i4>
      </vt:variant>
      <vt:variant>
        <vt:i4>0</vt:i4>
      </vt:variant>
      <vt:variant>
        <vt:i4>5</vt:i4>
      </vt:variant>
      <vt:variant>
        <vt:lpwstr/>
      </vt:variant>
      <vt:variant>
        <vt:lpwstr>Srv_67MicrosoftDynamicsCRM2011</vt:lpwstr>
      </vt:variant>
      <vt:variant>
        <vt:i4>2031674</vt:i4>
      </vt:variant>
      <vt:variant>
        <vt:i4>1827</vt:i4>
      </vt:variant>
      <vt:variant>
        <vt:i4>0</vt:i4>
      </vt:variant>
      <vt:variant>
        <vt:i4>5</vt:i4>
      </vt:variant>
      <vt:variant>
        <vt:lpwstr/>
      </vt:variant>
      <vt:variant>
        <vt:lpwstr>Srv_67MicrosoftDynamicsCRM2011</vt:lpwstr>
      </vt:variant>
      <vt:variant>
        <vt:i4>2031674</vt:i4>
      </vt:variant>
      <vt:variant>
        <vt:i4>1824</vt:i4>
      </vt:variant>
      <vt:variant>
        <vt:i4>0</vt:i4>
      </vt:variant>
      <vt:variant>
        <vt:i4>5</vt:i4>
      </vt:variant>
      <vt:variant>
        <vt:lpwstr/>
      </vt:variant>
      <vt:variant>
        <vt:lpwstr>Srv_67MicrosoftDynamicsCRM2011</vt:lpwstr>
      </vt:variant>
      <vt:variant>
        <vt:i4>2031674</vt:i4>
      </vt:variant>
      <vt:variant>
        <vt:i4>1821</vt:i4>
      </vt:variant>
      <vt:variant>
        <vt:i4>0</vt:i4>
      </vt:variant>
      <vt:variant>
        <vt:i4>5</vt:i4>
      </vt:variant>
      <vt:variant>
        <vt:lpwstr/>
      </vt:variant>
      <vt:variant>
        <vt:lpwstr>Srv_67MicrosoftDynamicsCRM2011</vt:lpwstr>
      </vt:variant>
      <vt:variant>
        <vt:i4>2031674</vt:i4>
      </vt:variant>
      <vt:variant>
        <vt:i4>1818</vt:i4>
      </vt:variant>
      <vt:variant>
        <vt:i4>0</vt:i4>
      </vt:variant>
      <vt:variant>
        <vt:i4>5</vt:i4>
      </vt:variant>
      <vt:variant>
        <vt:lpwstr/>
      </vt:variant>
      <vt:variant>
        <vt:lpwstr>Srv_67MicrosoftDynamicsCRM2011</vt:lpwstr>
      </vt:variant>
      <vt:variant>
        <vt:i4>2031674</vt:i4>
      </vt:variant>
      <vt:variant>
        <vt:i4>1815</vt:i4>
      </vt:variant>
      <vt:variant>
        <vt:i4>0</vt:i4>
      </vt:variant>
      <vt:variant>
        <vt:i4>5</vt:i4>
      </vt:variant>
      <vt:variant>
        <vt:lpwstr/>
      </vt:variant>
      <vt:variant>
        <vt:lpwstr>Srv_67MicrosoftDynamicsCRM2011</vt:lpwstr>
      </vt:variant>
      <vt:variant>
        <vt:i4>2031674</vt:i4>
      </vt:variant>
      <vt:variant>
        <vt:i4>1812</vt:i4>
      </vt:variant>
      <vt:variant>
        <vt:i4>0</vt:i4>
      </vt:variant>
      <vt:variant>
        <vt:i4>5</vt:i4>
      </vt:variant>
      <vt:variant>
        <vt:lpwstr/>
      </vt:variant>
      <vt:variant>
        <vt:lpwstr>Srv_67MicrosoftDynamicsCRM2011</vt:lpwstr>
      </vt:variant>
      <vt:variant>
        <vt:i4>2031674</vt:i4>
      </vt:variant>
      <vt:variant>
        <vt:i4>1809</vt:i4>
      </vt:variant>
      <vt:variant>
        <vt:i4>0</vt:i4>
      </vt:variant>
      <vt:variant>
        <vt:i4>5</vt:i4>
      </vt:variant>
      <vt:variant>
        <vt:lpwstr/>
      </vt:variant>
      <vt:variant>
        <vt:lpwstr>Srv_67MicrosoftDynamicsCRM2011</vt:lpwstr>
      </vt:variant>
      <vt:variant>
        <vt:i4>1507363</vt:i4>
      </vt:variant>
      <vt:variant>
        <vt:i4>1806</vt:i4>
      </vt:variant>
      <vt:variant>
        <vt:i4>0</vt:i4>
      </vt:variant>
      <vt:variant>
        <vt:i4>5</vt:i4>
      </vt:variant>
      <vt:variant>
        <vt:lpwstr/>
      </vt:variant>
      <vt:variant>
        <vt:lpwstr>_62_Lync_Server</vt:lpwstr>
      </vt:variant>
      <vt:variant>
        <vt:i4>6750226</vt:i4>
      </vt:variant>
      <vt:variant>
        <vt:i4>1803</vt:i4>
      </vt:variant>
      <vt:variant>
        <vt:i4>0</vt:i4>
      </vt:variant>
      <vt:variant>
        <vt:i4>5</vt:i4>
      </vt:variant>
      <vt:variant>
        <vt:lpwstr/>
      </vt:variant>
      <vt:variant>
        <vt:lpwstr>Srv_65LyncOnlinePlan1and2</vt:lpwstr>
      </vt:variant>
      <vt:variant>
        <vt:i4>6750226</vt:i4>
      </vt:variant>
      <vt:variant>
        <vt:i4>1800</vt:i4>
      </vt:variant>
      <vt:variant>
        <vt:i4>0</vt:i4>
      </vt:variant>
      <vt:variant>
        <vt:i4>5</vt:i4>
      </vt:variant>
      <vt:variant>
        <vt:lpwstr/>
      </vt:variant>
      <vt:variant>
        <vt:lpwstr>Srv_65LyncOnlinePlan1and2</vt:lpwstr>
      </vt:variant>
      <vt:variant>
        <vt:i4>6750226</vt:i4>
      </vt:variant>
      <vt:variant>
        <vt:i4>1797</vt:i4>
      </vt:variant>
      <vt:variant>
        <vt:i4>0</vt:i4>
      </vt:variant>
      <vt:variant>
        <vt:i4>5</vt:i4>
      </vt:variant>
      <vt:variant>
        <vt:lpwstr/>
      </vt:variant>
      <vt:variant>
        <vt:lpwstr>Srv_65LyncOnlinePlan1and2</vt:lpwstr>
      </vt:variant>
      <vt:variant>
        <vt:i4>6750226</vt:i4>
      </vt:variant>
      <vt:variant>
        <vt:i4>1794</vt:i4>
      </vt:variant>
      <vt:variant>
        <vt:i4>0</vt:i4>
      </vt:variant>
      <vt:variant>
        <vt:i4>5</vt:i4>
      </vt:variant>
      <vt:variant>
        <vt:lpwstr/>
      </vt:variant>
      <vt:variant>
        <vt:lpwstr>Srv_65LyncOnlinePlan1and2</vt:lpwstr>
      </vt:variant>
      <vt:variant>
        <vt:i4>2031721</vt:i4>
      </vt:variant>
      <vt:variant>
        <vt:i4>1791</vt:i4>
      </vt:variant>
      <vt:variant>
        <vt:i4>0</vt:i4>
      </vt:variant>
      <vt:variant>
        <vt:i4>5</vt:i4>
      </vt:variant>
      <vt:variant>
        <vt:lpwstr/>
      </vt:variant>
      <vt:variant>
        <vt:lpwstr>Srv_56LearningSolMCP1ExamVouch</vt:lpwstr>
      </vt:variant>
      <vt:variant>
        <vt:i4>852009</vt:i4>
      </vt:variant>
      <vt:variant>
        <vt:i4>1788</vt:i4>
      </vt:variant>
      <vt:variant>
        <vt:i4>0</vt:i4>
      </vt:variant>
      <vt:variant>
        <vt:i4>5</vt:i4>
      </vt:variant>
      <vt:variant>
        <vt:lpwstr/>
      </vt:variant>
      <vt:variant>
        <vt:lpwstr>Srv_54HighPerfComputingPack</vt:lpwstr>
      </vt:variant>
      <vt:variant>
        <vt:i4>852009</vt:i4>
      </vt:variant>
      <vt:variant>
        <vt:i4>1785</vt:i4>
      </vt:variant>
      <vt:variant>
        <vt:i4>0</vt:i4>
      </vt:variant>
      <vt:variant>
        <vt:i4>5</vt:i4>
      </vt:variant>
      <vt:variant>
        <vt:lpwstr/>
      </vt:variant>
      <vt:variant>
        <vt:lpwstr>Srv_54HighPerfComputingPack</vt:lpwstr>
      </vt:variant>
      <vt:variant>
        <vt:i4>6291542</vt:i4>
      </vt:variant>
      <vt:variant>
        <vt:i4>1782</vt:i4>
      </vt:variant>
      <vt:variant>
        <vt:i4>0</vt:i4>
      </vt:variant>
      <vt:variant>
        <vt:i4>5</vt:i4>
      </vt:variant>
      <vt:variant>
        <vt:lpwstr/>
      </vt:variant>
      <vt:variant>
        <vt:lpwstr>Srv_52ForefrontUnifiedAccessGtwy2010</vt:lpwstr>
      </vt:variant>
      <vt:variant>
        <vt:i4>6291542</vt:i4>
      </vt:variant>
      <vt:variant>
        <vt:i4>1779</vt:i4>
      </vt:variant>
      <vt:variant>
        <vt:i4>0</vt:i4>
      </vt:variant>
      <vt:variant>
        <vt:i4>5</vt:i4>
      </vt:variant>
      <vt:variant>
        <vt:lpwstr/>
      </vt:variant>
      <vt:variant>
        <vt:lpwstr>Srv_52ForefrontUnifiedAccessGtwy2010</vt:lpwstr>
      </vt:variant>
      <vt:variant>
        <vt:i4>6553686</vt:i4>
      </vt:variant>
      <vt:variant>
        <vt:i4>1776</vt:i4>
      </vt:variant>
      <vt:variant>
        <vt:i4>0</vt:i4>
      </vt:variant>
      <vt:variant>
        <vt:i4>5</vt:i4>
      </vt:variant>
      <vt:variant>
        <vt:lpwstr/>
      </vt:variant>
      <vt:variant>
        <vt:lpwstr>Srv_56ForefrontUnifiedAccessGtwy2010</vt:lpwstr>
      </vt:variant>
      <vt:variant>
        <vt:i4>6291542</vt:i4>
      </vt:variant>
      <vt:variant>
        <vt:i4>1773</vt:i4>
      </vt:variant>
      <vt:variant>
        <vt:i4>0</vt:i4>
      </vt:variant>
      <vt:variant>
        <vt:i4>5</vt:i4>
      </vt:variant>
      <vt:variant>
        <vt:lpwstr/>
      </vt:variant>
      <vt:variant>
        <vt:lpwstr>Srv_52ForefrontUnifiedAccessGtwy2010</vt:lpwstr>
      </vt:variant>
      <vt:variant>
        <vt:i4>5898342</vt:i4>
      </vt:variant>
      <vt:variant>
        <vt:i4>1770</vt:i4>
      </vt:variant>
      <vt:variant>
        <vt:i4>0</vt:i4>
      </vt:variant>
      <vt:variant>
        <vt:i4>5</vt:i4>
      </vt:variant>
      <vt:variant>
        <vt:lpwstr/>
      </vt:variant>
      <vt:variant>
        <vt:lpwstr>_57_Forefront_Threat</vt:lpwstr>
      </vt:variant>
      <vt:variant>
        <vt:i4>1376317</vt:i4>
      </vt:variant>
      <vt:variant>
        <vt:i4>1767</vt:i4>
      </vt:variant>
      <vt:variant>
        <vt:i4>0</vt:i4>
      </vt:variant>
      <vt:variant>
        <vt:i4>5</vt:i4>
      </vt:variant>
      <vt:variant>
        <vt:lpwstr/>
      </vt:variant>
      <vt:variant>
        <vt:lpwstr>Srv_49ForefrontSecfoOffComm</vt:lpwstr>
      </vt:variant>
      <vt:variant>
        <vt:i4>1900603</vt:i4>
      </vt:variant>
      <vt:variant>
        <vt:i4>1764</vt:i4>
      </vt:variant>
      <vt:variant>
        <vt:i4>0</vt:i4>
      </vt:variant>
      <vt:variant>
        <vt:i4>5</vt:i4>
      </vt:variant>
      <vt:variant>
        <vt:lpwstr/>
      </vt:variant>
      <vt:variant>
        <vt:lpwstr>Srv_48ForefrontProtectionSuite</vt:lpwstr>
      </vt:variant>
      <vt:variant>
        <vt:i4>4259939</vt:i4>
      </vt:variant>
      <vt:variant>
        <vt:i4>1761</vt:i4>
      </vt:variant>
      <vt:variant>
        <vt:i4>0</vt:i4>
      </vt:variant>
      <vt:variant>
        <vt:i4>5</vt:i4>
      </vt:variant>
      <vt:variant>
        <vt:lpwstr/>
      </vt:variant>
      <vt:variant>
        <vt:lpwstr>_54_Forefront_Protection</vt:lpwstr>
      </vt:variant>
      <vt:variant>
        <vt:i4>1441828</vt:i4>
      </vt:variant>
      <vt:variant>
        <vt:i4>1758</vt:i4>
      </vt:variant>
      <vt:variant>
        <vt:i4>0</vt:i4>
      </vt:variant>
      <vt:variant>
        <vt:i4>5</vt:i4>
      </vt:variant>
      <vt:variant>
        <vt:lpwstr/>
      </vt:variant>
      <vt:variant>
        <vt:lpwstr>Srv_46ForefrontOnlineProforExch</vt:lpwstr>
      </vt:variant>
      <vt:variant>
        <vt:i4>7274575</vt:i4>
      </vt:variant>
      <vt:variant>
        <vt:i4>1755</vt:i4>
      </vt:variant>
      <vt:variant>
        <vt:i4>0</vt:i4>
      </vt:variant>
      <vt:variant>
        <vt:i4>5</vt:i4>
      </vt:variant>
      <vt:variant>
        <vt:lpwstr/>
      </vt:variant>
      <vt:variant>
        <vt:lpwstr>Srv_54ForefrontIDMgrWinLiveEd</vt:lpwstr>
      </vt:variant>
      <vt:variant>
        <vt:i4>7667800</vt:i4>
      </vt:variant>
      <vt:variant>
        <vt:i4>1752</vt:i4>
      </vt:variant>
      <vt:variant>
        <vt:i4>0</vt:i4>
      </vt:variant>
      <vt:variant>
        <vt:i4>5</vt:i4>
      </vt:variant>
      <vt:variant>
        <vt:lpwstr/>
      </vt:variant>
      <vt:variant>
        <vt:lpwstr>Srv_48ForefrontIdMgr2010</vt:lpwstr>
      </vt:variant>
      <vt:variant>
        <vt:i4>7667800</vt:i4>
      </vt:variant>
      <vt:variant>
        <vt:i4>1749</vt:i4>
      </vt:variant>
      <vt:variant>
        <vt:i4>0</vt:i4>
      </vt:variant>
      <vt:variant>
        <vt:i4>5</vt:i4>
      </vt:variant>
      <vt:variant>
        <vt:lpwstr/>
      </vt:variant>
      <vt:variant>
        <vt:lpwstr>Srv_48ForefrontIdMgr2010</vt:lpwstr>
      </vt:variant>
      <vt:variant>
        <vt:i4>7667800</vt:i4>
      </vt:variant>
      <vt:variant>
        <vt:i4>1746</vt:i4>
      </vt:variant>
      <vt:variant>
        <vt:i4>0</vt:i4>
      </vt:variant>
      <vt:variant>
        <vt:i4>5</vt:i4>
      </vt:variant>
      <vt:variant>
        <vt:lpwstr/>
      </vt:variant>
      <vt:variant>
        <vt:lpwstr>Srv_48ForefrontIdMgr2010</vt:lpwstr>
      </vt:variant>
      <vt:variant>
        <vt:i4>7274585</vt:i4>
      </vt:variant>
      <vt:variant>
        <vt:i4>1743</vt:i4>
      </vt:variant>
      <vt:variant>
        <vt:i4>0</vt:i4>
      </vt:variant>
      <vt:variant>
        <vt:i4>5</vt:i4>
      </vt:variant>
      <vt:variant>
        <vt:lpwstr/>
      </vt:variant>
      <vt:variant>
        <vt:lpwstr>Srv_51ForfrontEndpointProtection</vt:lpwstr>
      </vt:variant>
      <vt:variant>
        <vt:i4>1376291</vt:i4>
      </vt:variant>
      <vt:variant>
        <vt:i4>1740</vt:i4>
      </vt:variant>
      <vt:variant>
        <vt:i4>0</vt:i4>
      </vt:variant>
      <vt:variant>
        <vt:i4>5</vt:i4>
      </vt:variant>
      <vt:variant>
        <vt:lpwstr/>
      </vt:variant>
      <vt:variant>
        <vt:lpwstr>_50_Exchange_Server</vt:lpwstr>
      </vt:variant>
      <vt:variant>
        <vt:i4>1310762</vt:i4>
      </vt:variant>
      <vt:variant>
        <vt:i4>1737</vt:i4>
      </vt:variant>
      <vt:variant>
        <vt:i4>0</vt:i4>
      </vt:variant>
      <vt:variant>
        <vt:i4>5</vt:i4>
      </vt:variant>
      <vt:variant>
        <vt:lpwstr/>
      </vt:variant>
      <vt:variant>
        <vt:lpwstr>_49_Exchange_Server</vt:lpwstr>
      </vt:variant>
      <vt:variant>
        <vt:i4>1310762</vt:i4>
      </vt:variant>
      <vt:variant>
        <vt:i4>1734</vt:i4>
      </vt:variant>
      <vt:variant>
        <vt:i4>0</vt:i4>
      </vt:variant>
      <vt:variant>
        <vt:i4>5</vt:i4>
      </vt:variant>
      <vt:variant>
        <vt:lpwstr/>
      </vt:variant>
      <vt:variant>
        <vt:lpwstr>_49_Exchange_Server</vt:lpwstr>
      </vt:variant>
      <vt:variant>
        <vt:i4>6684748</vt:i4>
      </vt:variant>
      <vt:variant>
        <vt:i4>1731</vt:i4>
      </vt:variant>
      <vt:variant>
        <vt:i4>0</vt:i4>
      </vt:variant>
      <vt:variant>
        <vt:i4>5</vt:i4>
      </vt:variant>
      <vt:variant>
        <vt:lpwstr/>
      </vt:variant>
      <vt:variant>
        <vt:lpwstr>Srv_50ExchangeOnlinePlan2</vt:lpwstr>
      </vt:variant>
      <vt:variant>
        <vt:i4>2621527</vt:i4>
      </vt:variant>
      <vt:variant>
        <vt:i4>1728</vt:i4>
      </vt:variant>
      <vt:variant>
        <vt:i4>0</vt:i4>
      </vt:variant>
      <vt:variant>
        <vt:i4>5</vt:i4>
      </vt:variant>
      <vt:variant>
        <vt:lpwstr/>
      </vt:variant>
      <vt:variant>
        <vt:lpwstr>Srv_46ExhangeOnlinePlan1</vt:lpwstr>
      </vt:variant>
      <vt:variant>
        <vt:i4>6750284</vt:i4>
      </vt:variant>
      <vt:variant>
        <vt:i4>1725</vt:i4>
      </vt:variant>
      <vt:variant>
        <vt:i4>0</vt:i4>
      </vt:variant>
      <vt:variant>
        <vt:i4>5</vt:i4>
      </vt:variant>
      <vt:variant>
        <vt:lpwstr/>
      </vt:variant>
      <vt:variant>
        <vt:lpwstr>Srv_45ExchangeOnDeskWork</vt:lpwstr>
      </vt:variant>
      <vt:variant>
        <vt:i4>7012427</vt:i4>
      </vt:variant>
      <vt:variant>
        <vt:i4>1722</vt:i4>
      </vt:variant>
      <vt:variant>
        <vt:i4>0</vt:i4>
      </vt:variant>
      <vt:variant>
        <vt:i4>5</vt:i4>
      </vt:variant>
      <vt:variant>
        <vt:lpwstr/>
      </vt:variant>
      <vt:variant>
        <vt:lpwstr>Srv_39ExchangeOnDeskWork</vt:lpwstr>
      </vt:variant>
      <vt:variant>
        <vt:i4>1703985</vt:i4>
      </vt:variant>
      <vt:variant>
        <vt:i4>1719</vt:i4>
      </vt:variant>
      <vt:variant>
        <vt:i4>0</vt:i4>
      </vt:variant>
      <vt:variant>
        <vt:i4>5</vt:i4>
      </vt:variant>
      <vt:variant>
        <vt:lpwstr/>
      </vt:variant>
      <vt:variant>
        <vt:lpwstr>Srv_44ExchHostArchiveandStorage</vt:lpwstr>
      </vt:variant>
      <vt:variant>
        <vt:i4>1703985</vt:i4>
      </vt:variant>
      <vt:variant>
        <vt:i4>1716</vt:i4>
      </vt:variant>
      <vt:variant>
        <vt:i4>0</vt:i4>
      </vt:variant>
      <vt:variant>
        <vt:i4>5</vt:i4>
      </vt:variant>
      <vt:variant>
        <vt:lpwstr/>
      </vt:variant>
      <vt:variant>
        <vt:lpwstr>Srv_44ExchHostArchiveandStorage</vt:lpwstr>
      </vt:variant>
      <vt:variant>
        <vt:i4>720958</vt:i4>
      </vt:variant>
      <vt:variant>
        <vt:i4>1713</vt:i4>
      </vt:variant>
      <vt:variant>
        <vt:i4>0</vt:i4>
      </vt:variant>
      <vt:variant>
        <vt:i4>5</vt:i4>
      </vt:variant>
      <vt:variant>
        <vt:lpwstr/>
      </vt:variant>
      <vt:variant>
        <vt:lpwstr>Srv_45ExchOnlineArchivingUserSL</vt:lpwstr>
      </vt:variant>
      <vt:variant>
        <vt:i4>7798877</vt:i4>
      </vt:variant>
      <vt:variant>
        <vt:i4>1710</vt:i4>
      </vt:variant>
      <vt:variant>
        <vt:i4>0</vt:i4>
      </vt:variant>
      <vt:variant>
        <vt:i4>5</vt:i4>
      </vt:variant>
      <vt:variant>
        <vt:lpwstr/>
      </vt:variant>
      <vt:variant>
        <vt:lpwstr>Srv_43EnterpriseCALSuite</vt:lpwstr>
      </vt:variant>
      <vt:variant>
        <vt:i4>1048623</vt:i4>
      </vt:variant>
      <vt:variant>
        <vt:i4>1707</vt:i4>
      </vt:variant>
      <vt:variant>
        <vt:i4>0</vt:i4>
      </vt:variant>
      <vt:variant>
        <vt:i4>5</vt:i4>
      </vt:variant>
      <vt:variant>
        <vt:lpwstr/>
      </vt:variant>
      <vt:variant>
        <vt:lpwstr>Srv_45EntCALBridgeWinIntune</vt:lpwstr>
      </vt:variant>
      <vt:variant>
        <vt:i4>1048623</vt:i4>
      </vt:variant>
      <vt:variant>
        <vt:i4>1704</vt:i4>
      </vt:variant>
      <vt:variant>
        <vt:i4>0</vt:i4>
      </vt:variant>
      <vt:variant>
        <vt:i4>5</vt:i4>
      </vt:variant>
      <vt:variant>
        <vt:lpwstr/>
      </vt:variant>
      <vt:variant>
        <vt:lpwstr>Srv_45EntCALBridgeWinIntune</vt:lpwstr>
      </vt:variant>
      <vt:variant>
        <vt:i4>1048623</vt:i4>
      </vt:variant>
      <vt:variant>
        <vt:i4>1701</vt:i4>
      </vt:variant>
      <vt:variant>
        <vt:i4>0</vt:i4>
      </vt:variant>
      <vt:variant>
        <vt:i4>5</vt:i4>
      </vt:variant>
      <vt:variant>
        <vt:lpwstr/>
      </vt:variant>
      <vt:variant>
        <vt:lpwstr>Srv_45EntCALBridgeWinIntune</vt:lpwstr>
      </vt:variant>
      <vt:variant>
        <vt:i4>6750278</vt:i4>
      </vt:variant>
      <vt:variant>
        <vt:i4>1698</vt:i4>
      </vt:variant>
      <vt:variant>
        <vt:i4>0</vt:i4>
      </vt:variant>
      <vt:variant>
        <vt:i4>5</vt:i4>
      </vt:variant>
      <vt:variant>
        <vt:lpwstr/>
      </vt:variant>
      <vt:variant>
        <vt:lpwstr>_40_Dynamics_CRM</vt:lpwstr>
      </vt:variant>
      <vt:variant>
        <vt:i4>458811</vt:i4>
      </vt:variant>
      <vt:variant>
        <vt:i4>1695</vt:i4>
      </vt:variant>
      <vt:variant>
        <vt:i4>0</vt:i4>
      </vt:variant>
      <vt:variant>
        <vt:i4>5</vt:i4>
      </vt:variant>
      <vt:variant>
        <vt:lpwstr/>
      </vt:variant>
      <vt:variant>
        <vt:lpwstr>Srv_37DynamicsCRMOnline</vt:lpwstr>
      </vt:variant>
      <vt:variant>
        <vt:i4>458811</vt:i4>
      </vt:variant>
      <vt:variant>
        <vt:i4>1692</vt:i4>
      </vt:variant>
      <vt:variant>
        <vt:i4>0</vt:i4>
      </vt:variant>
      <vt:variant>
        <vt:i4>5</vt:i4>
      </vt:variant>
      <vt:variant>
        <vt:lpwstr/>
      </vt:variant>
      <vt:variant>
        <vt:lpwstr>Srv_37DynamicsCRMOnline</vt:lpwstr>
      </vt:variant>
      <vt:variant>
        <vt:i4>1703987</vt:i4>
      </vt:variant>
      <vt:variant>
        <vt:i4>1689</vt:i4>
      </vt:variant>
      <vt:variant>
        <vt:i4>0</vt:i4>
      </vt:variant>
      <vt:variant>
        <vt:i4>5</vt:i4>
      </vt:variant>
      <vt:variant>
        <vt:lpwstr/>
      </vt:variant>
      <vt:variant>
        <vt:lpwstr>Srv_41DataWarehouseConsApp2012</vt:lpwstr>
      </vt:variant>
      <vt:variant>
        <vt:i4>7798865</vt:i4>
      </vt:variant>
      <vt:variant>
        <vt:i4>1686</vt:i4>
      </vt:variant>
      <vt:variant>
        <vt:i4>0</vt:i4>
      </vt:variant>
      <vt:variant>
        <vt:i4>5</vt:i4>
      </vt:variant>
      <vt:variant>
        <vt:lpwstr/>
      </vt:variant>
      <vt:variant>
        <vt:lpwstr>Srv_34CoreInfraSvrSuiteDatacenter</vt:lpwstr>
      </vt:variant>
      <vt:variant>
        <vt:i4>7864396</vt:i4>
      </vt:variant>
      <vt:variant>
        <vt:i4>1683</vt:i4>
      </vt:variant>
      <vt:variant>
        <vt:i4>0</vt:i4>
      </vt:variant>
      <vt:variant>
        <vt:i4>5</vt:i4>
      </vt:variant>
      <vt:variant>
        <vt:lpwstr/>
      </vt:variant>
      <vt:variant>
        <vt:lpwstr>Srv_36CoreInfraServerSuiteEnt</vt:lpwstr>
      </vt:variant>
      <vt:variant>
        <vt:i4>6357082</vt:i4>
      </vt:variant>
      <vt:variant>
        <vt:i4>1680</vt:i4>
      </vt:variant>
      <vt:variant>
        <vt:i4>0</vt:i4>
      </vt:variant>
      <vt:variant>
        <vt:i4>5</vt:i4>
      </vt:variant>
      <vt:variant>
        <vt:lpwstr/>
      </vt:variant>
      <vt:variant>
        <vt:lpwstr>Srv_35CoreInfraServerSuiteStd</vt:lpwstr>
      </vt:variant>
      <vt:variant>
        <vt:i4>852009</vt:i4>
      </vt:variant>
      <vt:variant>
        <vt:i4>1677</vt:i4>
      </vt:variant>
      <vt:variant>
        <vt:i4>0</vt:i4>
      </vt:variant>
      <vt:variant>
        <vt:i4>5</vt:i4>
      </vt:variant>
      <vt:variant>
        <vt:lpwstr/>
      </vt:variant>
      <vt:variant>
        <vt:lpwstr>Srv_34CoreCALSuite</vt:lpwstr>
      </vt:variant>
      <vt:variant>
        <vt:i4>7864385</vt:i4>
      </vt:variant>
      <vt:variant>
        <vt:i4>1674</vt:i4>
      </vt:variant>
      <vt:variant>
        <vt:i4>0</vt:i4>
      </vt:variant>
      <vt:variant>
        <vt:i4>5</vt:i4>
      </vt:variant>
      <vt:variant>
        <vt:lpwstr/>
      </vt:variant>
      <vt:variant>
        <vt:lpwstr>Srv_35CoreCALBridgeWinIntune</vt:lpwstr>
      </vt:variant>
      <vt:variant>
        <vt:i4>7864385</vt:i4>
      </vt:variant>
      <vt:variant>
        <vt:i4>1671</vt:i4>
      </vt:variant>
      <vt:variant>
        <vt:i4>0</vt:i4>
      </vt:variant>
      <vt:variant>
        <vt:i4>5</vt:i4>
      </vt:variant>
      <vt:variant>
        <vt:lpwstr/>
      </vt:variant>
      <vt:variant>
        <vt:lpwstr>Srv_35CoreCALBridgeWinIntune</vt:lpwstr>
      </vt:variant>
      <vt:variant>
        <vt:i4>7864385</vt:i4>
      </vt:variant>
      <vt:variant>
        <vt:i4>1668</vt:i4>
      </vt:variant>
      <vt:variant>
        <vt:i4>0</vt:i4>
      </vt:variant>
      <vt:variant>
        <vt:i4>5</vt:i4>
      </vt:variant>
      <vt:variant>
        <vt:lpwstr/>
      </vt:variant>
      <vt:variant>
        <vt:lpwstr>Srv_35CoreCALBridgeWinIntune</vt:lpwstr>
      </vt:variant>
      <vt:variant>
        <vt:i4>393322</vt:i4>
      </vt:variant>
      <vt:variant>
        <vt:i4>1665</vt:i4>
      </vt:variant>
      <vt:variant>
        <vt:i4>0</vt:i4>
      </vt:variant>
      <vt:variant>
        <vt:i4>5</vt:i4>
      </vt:variant>
      <vt:variant>
        <vt:lpwstr/>
      </vt:variant>
      <vt:variant>
        <vt:lpwstr>Srv_35BusinessIntellApp2012</vt:lpwstr>
      </vt:variant>
      <vt:variant>
        <vt:i4>1245223</vt:i4>
      </vt:variant>
      <vt:variant>
        <vt:i4>1662</vt:i4>
      </vt:variant>
      <vt:variant>
        <vt:i4>0</vt:i4>
      </vt:variant>
      <vt:variant>
        <vt:i4>5</vt:i4>
      </vt:variant>
      <vt:variant>
        <vt:lpwstr/>
      </vt:variant>
      <vt:variant>
        <vt:lpwstr>Srv_28BizTalkSvr2009StandEd</vt:lpwstr>
      </vt:variant>
      <vt:variant>
        <vt:i4>6815808</vt:i4>
      </vt:variant>
      <vt:variant>
        <vt:i4>1659</vt:i4>
      </vt:variant>
      <vt:variant>
        <vt:i4>0</vt:i4>
      </vt:variant>
      <vt:variant>
        <vt:i4>5</vt:i4>
      </vt:variant>
      <vt:variant>
        <vt:lpwstr/>
      </vt:variant>
      <vt:variant>
        <vt:lpwstr>Srv_27BizTalkSvr2009EntEd</vt:lpwstr>
      </vt:variant>
      <vt:variant>
        <vt:i4>1835037</vt:i4>
      </vt:variant>
      <vt:variant>
        <vt:i4>1656</vt:i4>
      </vt:variant>
      <vt:variant>
        <vt:i4>0</vt:i4>
      </vt:variant>
      <vt:variant>
        <vt:i4>5</vt:i4>
      </vt:variant>
      <vt:variant>
        <vt:lpwstr/>
      </vt:variant>
      <vt:variant>
        <vt:lpwstr>Srv_26_BizTalkServerBranch</vt:lpwstr>
      </vt:variant>
      <vt:variant>
        <vt:i4>65576</vt:i4>
      </vt:variant>
      <vt:variant>
        <vt:i4>1653</vt:i4>
      </vt:variant>
      <vt:variant>
        <vt:i4>0</vt:i4>
      </vt:variant>
      <vt:variant>
        <vt:i4>5</vt:i4>
      </vt:variant>
      <vt:variant>
        <vt:lpwstr/>
      </vt:variant>
      <vt:variant>
        <vt:lpwstr>Srv_25BingMapsandAddons</vt:lpwstr>
      </vt:variant>
      <vt:variant>
        <vt:i4>65576</vt:i4>
      </vt:variant>
      <vt:variant>
        <vt:i4>1650</vt:i4>
      </vt:variant>
      <vt:variant>
        <vt:i4>0</vt:i4>
      </vt:variant>
      <vt:variant>
        <vt:i4>5</vt:i4>
      </vt:variant>
      <vt:variant>
        <vt:lpwstr/>
      </vt:variant>
      <vt:variant>
        <vt:lpwstr>Srv_25BingMapsandAddons</vt:lpwstr>
      </vt:variant>
      <vt:variant>
        <vt:i4>1245236</vt:i4>
      </vt:variant>
      <vt:variant>
        <vt:i4>1647</vt:i4>
      </vt:variant>
      <vt:variant>
        <vt:i4>0</vt:i4>
      </vt:variant>
      <vt:variant>
        <vt:i4>5</vt:i4>
      </vt:variant>
      <vt:variant>
        <vt:lpwstr/>
      </vt:variant>
      <vt:variant>
        <vt:lpwstr>Srv_27BingMapsSvrandContentPack</vt:lpwstr>
      </vt:variant>
      <vt:variant>
        <vt:i4>1245236</vt:i4>
      </vt:variant>
      <vt:variant>
        <vt:i4>1644</vt:i4>
      </vt:variant>
      <vt:variant>
        <vt:i4>0</vt:i4>
      </vt:variant>
      <vt:variant>
        <vt:i4>5</vt:i4>
      </vt:variant>
      <vt:variant>
        <vt:lpwstr/>
      </vt:variant>
      <vt:variant>
        <vt:lpwstr>Srv_27BingMapsSvrandContentPack</vt:lpwstr>
      </vt:variant>
      <vt:variant>
        <vt:i4>1245236</vt:i4>
      </vt:variant>
      <vt:variant>
        <vt:i4>1641</vt:i4>
      </vt:variant>
      <vt:variant>
        <vt:i4>0</vt:i4>
      </vt:variant>
      <vt:variant>
        <vt:i4>5</vt:i4>
      </vt:variant>
      <vt:variant>
        <vt:lpwstr/>
      </vt:variant>
      <vt:variant>
        <vt:lpwstr>Srv_27BingMapsSvrandContentPack</vt:lpwstr>
      </vt:variant>
      <vt:variant>
        <vt:i4>1245236</vt:i4>
      </vt:variant>
      <vt:variant>
        <vt:i4>1638</vt:i4>
      </vt:variant>
      <vt:variant>
        <vt:i4>0</vt:i4>
      </vt:variant>
      <vt:variant>
        <vt:i4>5</vt:i4>
      </vt:variant>
      <vt:variant>
        <vt:lpwstr/>
      </vt:variant>
      <vt:variant>
        <vt:lpwstr>Srv_27BingMapsSvrandContentPack</vt:lpwstr>
      </vt:variant>
      <vt:variant>
        <vt:i4>7012435</vt:i4>
      </vt:variant>
      <vt:variant>
        <vt:i4>1635</vt:i4>
      </vt:variant>
      <vt:variant>
        <vt:i4>0</vt:i4>
      </vt:variant>
      <vt:variant>
        <vt:i4>5</vt:i4>
      </vt:variant>
      <vt:variant>
        <vt:lpwstr/>
      </vt:variant>
      <vt:variant>
        <vt:lpwstr>Sys_27WindowsVistaProUpgrade</vt:lpwstr>
      </vt:variant>
      <vt:variant>
        <vt:i4>7995466</vt:i4>
      </vt:variant>
      <vt:variant>
        <vt:i4>1632</vt:i4>
      </vt:variant>
      <vt:variant>
        <vt:i4>0</vt:i4>
      </vt:variant>
      <vt:variant>
        <vt:i4>5</vt:i4>
      </vt:variant>
      <vt:variant>
        <vt:lpwstr/>
      </vt:variant>
      <vt:variant>
        <vt:lpwstr>Sys_25WindowsPartnersLearning</vt:lpwstr>
      </vt:variant>
      <vt:variant>
        <vt:i4>8454193</vt:i4>
      </vt:variant>
      <vt:variant>
        <vt:i4>1629</vt:i4>
      </vt:variant>
      <vt:variant>
        <vt:i4>0</vt:i4>
      </vt:variant>
      <vt:variant>
        <vt:i4>5</vt:i4>
      </vt:variant>
      <vt:variant>
        <vt:lpwstr/>
      </vt:variant>
      <vt:variant>
        <vt:lpwstr>_24_Windows®_8</vt:lpwstr>
      </vt:variant>
      <vt:variant>
        <vt:i4>1769508</vt:i4>
      </vt:variant>
      <vt:variant>
        <vt:i4>1626</vt:i4>
      </vt:variant>
      <vt:variant>
        <vt:i4>0</vt:i4>
      </vt:variant>
      <vt:variant>
        <vt:i4>5</vt:i4>
      </vt:variant>
      <vt:variant>
        <vt:lpwstr/>
      </vt:variant>
      <vt:variant>
        <vt:lpwstr>Sys_25MDOPforSA</vt:lpwstr>
      </vt:variant>
      <vt:variant>
        <vt:i4>6881355</vt:i4>
      </vt:variant>
      <vt:variant>
        <vt:i4>1623</vt:i4>
      </vt:variant>
      <vt:variant>
        <vt:i4>0</vt:i4>
      </vt:variant>
      <vt:variant>
        <vt:i4>5</vt:i4>
      </vt:variant>
      <vt:variant>
        <vt:lpwstr/>
      </vt:variant>
      <vt:variant>
        <vt:lpwstr>Sys_24WindowsVistaDVDPack</vt:lpwstr>
      </vt:variant>
      <vt:variant>
        <vt:i4>13697071</vt:i4>
      </vt:variant>
      <vt:variant>
        <vt:i4>1620</vt:i4>
      </vt:variant>
      <vt:variant>
        <vt:i4>0</vt:i4>
      </vt:variant>
      <vt:variant>
        <vt:i4>5</vt:i4>
      </vt:variant>
      <vt:variant>
        <vt:lpwstr/>
      </vt:variant>
      <vt:variant>
        <vt:lpwstr>_24_Windows®_Companion</vt:lpwstr>
      </vt:variant>
      <vt:variant>
        <vt:i4>6881368</vt:i4>
      </vt:variant>
      <vt:variant>
        <vt:i4>1617</vt:i4>
      </vt:variant>
      <vt:variant>
        <vt:i4>0</vt:i4>
      </vt:variant>
      <vt:variant>
        <vt:i4>5</vt:i4>
      </vt:variant>
      <vt:variant>
        <vt:lpwstr/>
      </vt:variant>
      <vt:variant>
        <vt:lpwstr>Aps_19VS2010TestMSDN</vt:lpwstr>
      </vt:variant>
      <vt:variant>
        <vt:i4>7864391</vt:i4>
      </vt:variant>
      <vt:variant>
        <vt:i4>1614</vt:i4>
      </vt:variant>
      <vt:variant>
        <vt:i4>0</vt:i4>
      </vt:variant>
      <vt:variant>
        <vt:i4>5</vt:i4>
      </vt:variant>
      <vt:variant>
        <vt:lpwstr/>
      </vt:variant>
      <vt:variant>
        <vt:lpwstr>Aps_18VS2010UltimateMSDN</vt:lpwstr>
      </vt:variant>
      <vt:variant>
        <vt:i4>589876</vt:i4>
      </vt:variant>
      <vt:variant>
        <vt:i4>1611</vt:i4>
      </vt:variant>
      <vt:variant>
        <vt:i4>0</vt:i4>
      </vt:variant>
      <vt:variant>
        <vt:i4>5</vt:i4>
      </vt:variant>
      <vt:variant>
        <vt:lpwstr/>
      </vt:variant>
      <vt:variant>
        <vt:lpwstr>Aps_16VS2010PremiumMSDN</vt:lpwstr>
      </vt:variant>
      <vt:variant>
        <vt:i4>8257624</vt:i4>
      </vt:variant>
      <vt:variant>
        <vt:i4>1608</vt:i4>
      </vt:variant>
      <vt:variant>
        <vt:i4>0</vt:i4>
      </vt:variant>
      <vt:variant>
        <vt:i4>5</vt:i4>
      </vt:variant>
      <vt:variant>
        <vt:lpwstr/>
      </vt:variant>
      <vt:variant>
        <vt:lpwstr>Aps_13VS2010ProfessionalMSDN</vt:lpwstr>
      </vt:variant>
      <vt:variant>
        <vt:i4>6422609</vt:i4>
      </vt:variant>
      <vt:variant>
        <vt:i4>1605</vt:i4>
      </vt:variant>
      <vt:variant>
        <vt:i4>0</vt:i4>
      </vt:variant>
      <vt:variant>
        <vt:i4>5</vt:i4>
      </vt:variant>
      <vt:variant>
        <vt:lpwstr/>
      </vt:variant>
      <vt:variant>
        <vt:lpwstr>Aps_12VS2010Professional</vt:lpwstr>
      </vt:variant>
      <vt:variant>
        <vt:i4>3997703</vt:i4>
      </vt:variant>
      <vt:variant>
        <vt:i4>1602</vt:i4>
      </vt:variant>
      <vt:variant>
        <vt:i4>0</vt:i4>
      </vt:variant>
      <vt:variant>
        <vt:i4>5</vt:i4>
      </vt:variant>
      <vt:variant>
        <vt:lpwstr/>
      </vt:variant>
      <vt:variant>
        <vt:lpwstr>_15_Visio_Professional</vt:lpwstr>
      </vt:variant>
      <vt:variant>
        <vt:i4>5832747</vt:i4>
      </vt:variant>
      <vt:variant>
        <vt:i4>1599</vt:i4>
      </vt:variant>
      <vt:variant>
        <vt:i4>0</vt:i4>
      </vt:variant>
      <vt:variant>
        <vt:i4>5</vt:i4>
      </vt:variant>
      <vt:variant>
        <vt:lpwstr/>
      </vt:variant>
      <vt:variant>
        <vt:lpwstr>Aps_9RentalRightsOffice</vt:lpwstr>
      </vt:variant>
      <vt:variant>
        <vt:i4>5832747</vt:i4>
      </vt:variant>
      <vt:variant>
        <vt:i4>1596</vt:i4>
      </vt:variant>
      <vt:variant>
        <vt:i4>0</vt:i4>
      </vt:variant>
      <vt:variant>
        <vt:i4>5</vt:i4>
      </vt:variant>
      <vt:variant>
        <vt:lpwstr/>
      </vt:variant>
      <vt:variant>
        <vt:lpwstr>Aps_9RentalRightsOffice</vt:lpwstr>
      </vt:variant>
      <vt:variant>
        <vt:i4>5439522</vt:i4>
      </vt:variant>
      <vt:variant>
        <vt:i4>1593</vt:i4>
      </vt:variant>
      <vt:variant>
        <vt:i4>0</vt:i4>
      </vt:variant>
      <vt:variant>
        <vt:i4>5</vt:i4>
      </vt:variant>
      <vt:variant>
        <vt:lpwstr/>
      </vt:variant>
      <vt:variant>
        <vt:lpwstr>Aps_8Project2010Pro</vt:lpwstr>
      </vt:variant>
      <vt:variant>
        <vt:i4>5242996</vt:i4>
      </vt:variant>
      <vt:variant>
        <vt:i4>1590</vt:i4>
      </vt:variant>
      <vt:variant>
        <vt:i4>0</vt:i4>
      </vt:variant>
      <vt:variant>
        <vt:i4>5</vt:i4>
      </vt:variant>
      <vt:variant>
        <vt:lpwstr/>
      </vt:variant>
      <vt:variant>
        <vt:lpwstr>Srv_9OutlookMac2011</vt:lpwstr>
      </vt:variant>
      <vt:variant>
        <vt:i4>5439526</vt:i4>
      </vt:variant>
      <vt:variant>
        <vt:i4>1587</vt:i4>
      </vt:variant>
      <vt:variant>
        <vt:i4>0</vt:i4>
      </vt:variant>
      <vt:variant>
        <vt:i4>5</vt:i4>
      </vt:variant>
      <vt:variant>
        <vt:lpwstr/>
      </vt:variant>
      <vt:variant>
        <vt:lpwstr>Aps_9OfficeProPlusSubUserSL</vt:lpwstr>
      </vt:variant>
      <vt:variant>
        <vt:i4>5898367</vt:i4>
      </vt:variant>
      <vt:variant>
        <vt:i4>1584</vt:i4>
      </vt:variant>
      <vt:variant>
        <vt:i4>0</vt:i4>
      </vt:variant>
      <vt:variant>
        <vt:i4>5</vt:i4>
      </vt:variant>
      <vt:variant>
        <vt:lpwstr/>
      </vt:variant>
      <vt:variant>
        <vt:lpwstr>Aps_OfficeStandard2010</vt:lpwstr>
      </vt:variant>
      <vt:variant>
        <vt:i4>4522043</vt:i4>
      </vt:variant>
      <vt:variant>
        <vt:i4>1581</vt:i4>
      </vt:variant>
      <vt:variant>
        <vt:i4>0</vt:i4>
      </vt:variant>
      <vt:variant>
        <vt:i4>5</vt:i4>
      </vt:variant>
      <vt:variant>
        <vt:lpwstr/>
      </vt:variant>
      <vt:variant>
        <vt:lpwstr>Aps_7OfficeProPlus2010</vt:lpwstr>
      </vt:variant>
      <vt:variant>
        <vt:i4>2883602</vt:i4>
      </vt:variant>
      <vt:variant>
        <vt:i4>1578</vt:i4>
      </vt:variant>
      <vt:variant>
        <vt:i4>0</vt:i4>
      </vt:variant>
      <vt:variant>
        <vt:i4>5</vt:i4>
      </vt:variant>
      <vt:variant>
        <vt:lpwstr/>
      </vt:variant>
      <vt:variant>
        <vt:lpwstr>_7_Office_Multi-Language</vt:lpwstr>
      </vt:variant>
      <vt:variant>
        <vt:i4>5701693</vt:i4>
      </vt:variant>
      <vt:variant>
        <vt:i4>1575</vt:i4>
      </vt:variant>
      <vt:variant>
        <vt:i4>0</vt:i4>
      </vt:variant>
      <vt:variant>
        <vt:i4>5</vt:i4>
      </vt:variant>
      <vt:variant>
        <vt:lpwstr/>
      </vt:variant>
      <vt:variant>
        <vt:lpwstr>Srv_4OfficeMacStandard2011</vt:lpwstr>
      </vt:variant>
      <vt:variant>
        <vt:i4>3407961</vt:i4>
      </vt:variant>
      <vt:variant>
        <vt:i4>1572</vt:i4>
      </vt:variant>
      <vt:variant>
        <vt:i4>0</vt:i4>
      </vt:variant>
      <vt:variant>
        <vt:i4>5</vt:i4>
      </vt:variant>
      <vt:variant>
        <vt:lpwstr/>
      </vt:variant>
      <vt:variant>
        <vt:lpwstr>_7_Office_365</vt:lpwstr>
      </vt:variant>
      <vt:variant>
        <vt:i4>3407961</vt:i4>
      </vt:variant>
      <vt:variant>
        <vt:i4>1569</vt:i4>
      </vt:variant>
      <vt:variant>
        <vt:i4>0</vt:i4>
      </vt:variant>
      <vt:variant>
        <vt:i4>5</vt:i4>
      </vt:variant>
      <vt:variant>
        <vt:lpwstr/>
      </vt:variant>
      <vt:variant>
        <vt:lpwstr>_7_Office_365</vt:lpwstr>
      </vt:variant>
      <vt:variant>
        <vt:i4>3407961</vt:i4>
      </vt:variant>
      <vt:variant>
        <vt:i4>1566</vt:i4>
      </vt:variant>
      <vt:variant>
        <vt:i4>0</vt:i4>
      </vt:variant>
      <vt:variant>
        <vt:i4>5</vt:i4>
      </vt:variant>
      <vt:variant>
        <vt:lpwstr/>
      </vt:variant>
      <vt:variant>
        <vt:lpwstr>_7_Office_365</vt:lpwstr>
      </vt:variant>
      <vt:variant>
        <vt:i4>3473497</vt:i4>
      </vt:variant>
      <vt:variant>
        <vt:i4>1563</vt:i4>
      </vt:variant>
      <vt:variant>
        <vt:i4>0</vt:i4>
      </vt:variant>
      <vt:variant>
        <vt:i4>5</vt:i4>
      </vt:variant>
      <vt:variant>
        <vt:lpwstr/>
      </vt:variant>
      <vt:variant>
        <vt:lpwstr>_6_Office_365</vt:lpwstr>
      </vt:variant>
      <vt:variant>
        <vt:i4>3473497</vt:i4>
      </vt:variant>
      <vt:variant>
        <vt:i4>1560</vt:i4>
      </vt:variant>
      <vt:variant>
        <vt:i4>0</vt:i4>
      </vt:variant>
      <vt:variant>
        <vt:i4>5</vt:i4>
      </vt:variant>
      <vt:variant>
        <vt:lpwstr/>
      </vt:variant>
      <vt:variant>
        <vt:lpwstr>_6_Office_365</vt:lpwstr>
      </vt:variant>
      <vt:variant>
        <vt:i4>3473497</vt:i4>
      </vt:variant>
      <vt:variant>
        <vt:i4>1557</vt:i4>
      </vt:variant>
      <vt:variant>
        <vt:i4>0</vt:i4>
      </vt:variant>
      <vt:variant>
        <vt:i4>5</vt:i4>
      </vt:variant>
      <vt:variant>
        <vt:lpwstr/>
      </vt:variant>
      <vt:variant>
        <vt:lpwstr>_6_Office_365</vt:lpwstr>
      </vt:variant>
      <vt:variant>
        <vt:i4>2228241</vt:i4>
      </vt:variant>
      <vt:variant>
        <vt:i4>1554</vt:i4>
      </vt:variant>
      <vt:variant>
        <vt:i4>0</vt:i4>
      </vt:variant>
      <vt:variant>
        <vt:i4>5</vt:i4>
      </vt:variant>
      <vt:variant>
        <vt:lpwstr/>
      </vt:variant>
      <vt:variant>
        <vt:lpwstr>Aps_MSDNOPSystems</vt:lpwstr>
      </vt:variant>
      <vt:variant>
        <vt:i4>5963885</vt:i4>
      </vt:variant>
      <vt:variant>
        <vt:i4>1551</vt:i4>
      </vt:variant>
      <vt:variant>
        <vt:i4>0</vt:i4>
      </vt:variant>
      <vt:variant>
        <vt:i4>5</vt:i4>
      </vt:variant>
      <vt:variant>
        <vt:lpwstr/>
      </vt:variant>
      <vt:variant>
        <vt:lpwstr>Aps_4LyncforMac2011</vt:lpwstr>
      </vt:variant>
      <vt:variant>
        <vt:i4>2490381</vt:i4>
      </vt:variant>
      <vt:variant>
        <vt:i4>1548</vt:i4>
      </vt:variant>
      <vt:variant>
        <vt:i4>0</vt:i4>
      </vt:variant>
      <vt:variant>
        <vt:i4>5</vt:i4>
      </vt:variant>
      <vt:variant>
        <vt:lpwstr/>
      </vt:variant>
      <vt:variant>
        <vt:lpwstr>Aps_ExpStudioproducts</vt:lpwstr>
      </vt:variant>
      <vt:variant>
        <vt:i4>2490381</vt:i4>
      </vt:variant>
      <vt:variant>
        <vt:i4>1545</vt:i4>
      </vt:variant>
      <vt:variant>
        <vt:i4>0</vt:i4>
      </vt:variant>
      <vt:variant>
        <vt:i4>5</vt:i4>
      </vt:variant>
      <vt:variant>
        <vt:lpwstr/>
      </vt:variant>
      <vt:variant>
        <vt:lpwstr>Aps_ExpStudioproducts</vt:lpwstr>
      </vt:variant>
      <vt:variant>
        <vt:i4>2490381</vt:i4>
      </vt:variant>
      <vt:variant>
        <vt:i4>1542</vt:i4>
      </vt:variant>
      <vt:variant>
        <vt:i4>0</vt:i4>
      </vt:variant>
      <vt:variant>
        <vt:i4>5</vt:i4>
      </vt:variant>
      <vt:variant>
        <vt:lpwstr/>
      </vt:variant>
      <vt:variant>
        <vt:lpwstr>Aps_ExpStudioproducts</vt:lpwstr>
      </vt:variant>
      <vt:variant>
        <vt:i4>5570621</vt:i4>
      </vt:variant>
      <vt:variant>
        <vt:i4>1539</vt:i4>
      </vt:variant>
      <vt:variant>
        <vt:i4>0</vt:i4>
      </vt:variant>
      <vt:variant>
        <vt:i4>5</vt:i4>
      </vt:variant>
      <vt:variant>
        <vt:lpwstr/>
      </vt:variant>
      <vt:variant>
        <vt:lpwstr>Aps_1BingMapsDesktopandContentPack</vt:lpwstr>
      </vt:variant>
    </vt:vector>
  </HLinks>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Microsoft®</dc:title>
  <dc:creator>Microsoft</dc:creator>
  <cp:lastModifiedBy>Justin Kellogg</cp:lastModifiedBy>
  <cp:revision>2</cp:revision>
  <cp:lastPrinted>2013-03-21T15:59:00Z</cp:lastPrinted>
  <dcterms:created xsi:type="dcterms:W3CDTF">2013-03-29T03:44:00Z</dcterms:created>
  <dcterms:modified xsi:type="dcterms:W3CDTF">2013-03-29T03:44:00Z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0x010100D56A5B1AE2E87F4E9F7D7896DF9BAB7C</vt:lpwstr>
  </property>
</Properties>
</file>